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Default Extension="png" ContentType="image/png"/>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2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2.xml" ContentType="application/vnd.openxmlformats-officedocument.wordprocessingml.header+xml"/>
  <Override PartName="/word/footer30.xml" ContentType="application/vnd.openxmlformats-officedocument.wordprocessingml.footer+xml"/>
  <Override PartName="/word/header2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4.xml" ContentType="application/vnd.openxmlformats-officedocument.wordprocessingml.header+xml"/>
  <Override PartName="/word/footer34.xml" ContentType="application/vnd.openxmlformats-officedocument.wordprocessingml.footer+xml"/>
  <Override PartName="/word/header2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27.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header28.xml" ContentType="application/vnd.openxmlformats-officedocument.wordprocessingml.header+xml"/>
  <Override PartName="/word/footer6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38"/>
        <w:rPr>
          <w:rFonts w:ascii="Times New Roman"/>
          <w:sz w:val="20"/>
        </w:rPr>
      </w:pPr>
      <w:r>
        <w:rPr>
          <w:rFonts w:ascii="Times New Roman"/>
          <w:sz w:val="20"/>
        </w:rPr>
        <w:drawing>
          <wp:inline distT="0" distB="0" distL="0" distR="0">
            <wp:extent cx="952052" cy="809244"/>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52052" cy="809244"/>
                    </a:xfrm>
                    <a:prstGeom prst="rect">
                      <a:avLst/>
                    </a:prstGeom>
                  </pic:spPr>
                </pic:pic>
              </a:graphicData>
            </a:graphic>
          </wp:inline>
        </w:drawing>
      </w:r>
      <w:r>
        <w:rPr>
          <w:rFonts w:ascii="Times New Roman"/>
          <w:sz w:val="20"/>
        </w:rPr>
      </w:r>
    </w:p>
    <w:p>
      <w:pPr>
        <w:pStyle w:val="Heading3"/>
        <w:spacing w:before="99"/>
        <w:ind w:left="238" w:firstLine="0"/>
      </w:pPr>
      <w:r>
        <w:rPr>
          <w:spacing w:val="-32"/>
        </w:rPr>
        <w:t>项 目 代 码 ： </w:t>
      </w:r>
      <w:r>
        <w:rPr>
          <w:rFonts w:ascii="Times New Roman" w:eastAsia="Times New Roman"/>
        </w:rPr>
        <w:t>2 2 0 3</w:t>
      </w:r>
      <w:r>
        <w:rPr>
          <w:rFonts w:ascii="Times New Roman" w:eastAsia="Times New Roman"/>
          <w:spacing w:val="-20"/>
        </w:rPr>
        <w:t> - </w:t>
      </w:r>
      <w:r>
        <w:rPr>
          <w:rFonts w:ascii="Times New Roman" w:eastAsia="Times New Roman"/>
          <w:spacing w:val="32"/>
        </w:rPr>
        <w:t>330604</w:t>
      </w:r>
      <w:r>
        <w:rPr>
          <w:rFonts w:ascii="Times New Roman" w:eastAsia="Times New Roman"/>
          <w:spacing w:val="-21"/>
        </w:rPr>
        <w:t> - </w:t>
      </w:r>
      <w:r>
        <w:rPr>
          <w:rFonts w:ascii="Times New Roman" w:eastAsia="Times New Roman"/>
          <w:spacing w:val="19"/>
        </w:rPr>
        <w:t>99</w:t>
      </w:r>
      <w:r>
        <w:rPr>
          <w:rFonts w:ascii="Times New Roman" w:eastAsia="Times New Roman"/>
          <w:spacing w:val="-20"/>
        </w:rPr>
        <w:t> - </w:t>
      </w:r>
      <w:r>
        <w:rPr>
          <w:rFonts w:ascii="Times New Roman" w:eastAsia="Times New Roman"/>
          <w:spacing w:val="19"/>
        </w:rPr>
        <w:t>01</w:t>
      </w:r>
      <w:r>
        <w:rPr>
          <w:rFonts w:ascii="Times New Roman" w:eastAsia="Times New Roman"/>
          <w:spacing w:val="-21"/>
        </w:rPr>
        <w:t> - </w:t>
      </w:r>
      <w:r>
        <w:rPr>
          <w:rFonts w:ascii="Times New Roman" w:eastAsia="Times New Roman"/>
          <w:spacing w:val="32"/>
        </w:rPr>
        <w:t>587673</w:t>
      </w:r>
      <w:r>
        <w:rPr>
          <w:rFonts w:ascii="Times New Roman" w:eastAsia="Times New Roman"/>
          <w:spacing w:val="-29"/>
        </w:rPr>
        <w:t> </w:t>
      </w:r>
      <w:r>
        <w:rPr>
          <w:spacing w:val="-28"/>
        </w:rPr>
        <w:t>， 不 降 级</w:t>
      </w:r>
    </w:p>
    <w:p>
      <w:pPr>
        <w:pStyle w:val="BodyText"/>
        <w:rPr>
          <w:b/>
          <w:sz w:val="30"/>
        </w:rPr>
      </w:pPr>
    </w:p>
    <w:p>
      <w:pPr>
        <w:pStyle w:val="BodyText"/>
        <w:rPr>
          <w:b/>
          <w:sz w:val="30"/>
        </w:rPr>
      </w:pPr>
    </w:p>
    <w:p>
      <w:pPr>
        <w:pStyle w:val="BodyText"/>
        <w:spacing w:before="1"/>
        <w:rPr>
          <w:b/>
          <w:sz w:val="23"/>
        </w:rPr>
      </w:pPr>
    </w:p>
    <w:p>
      <w:pPr>
        <w:spacing w:before="0"/>
        <w:ind w:left="264" w:right="345" w:firstLine="0"/>
        <w:jc w:val="center"/>
        <w:rPr>
          <w:b/>
          <w:sz w:val="52"/>
        </w:rPr>
      </w:pPr>
      <w:r>
        <w:rPr>
          <w:b/>
          <w:spacing w:val="72"/>
          <w:sz w:val="52"/>
        </w:rPr>
        <w:t>绍兴贝斯美化工股份有限公司</w:t>
      </w:r>
    </w:p>
    <w:p>
      <w:pPr>
        <w:spacing w:line="280" w:lineRule="auto" w:before="351"/>
        <w:ind w:left="351" w:right="345" w:firstLine="0"/>
        <w:jc w:val="center"/>
        <w:rPr>
          <w:b/>
          <w:sz w:val="48"/>
        </w:rPr>
      </w:pPr>
      <w:r>
        <w:rPr>
          <w:b/>
          <w:sz w:val="48"/>
        </w:rPr>
        <w:t>贝斯美年产 </w:t>
      </w:r>
      <w:r>
        <w:rPr>
          <w:rFonts w:ascii="Times New Roman" w:eastAsia="Times New Roman"/>
          <w:b/>
          <w:sz w:val="48"/>
        </w:rPr>
        <w:t>300 </w:t>
      </w:r>
      <w:r>
        <w:rPr>
          <w:b/>
          <w:sz w:val="48"/>
        </w:rPr>
        <w:t>吨三环唑、 </w:t>
      </w:r>
      <w:r>
        <w:rPr>
          <w:rFonts w:ascii="Times New Roman" w:eastAsia="Times New Roman"/>
          <w:b/>
          <w:sz w:val="48"/>
        </w:rPr>
        <w:t>200 </w:t>
      </w:r>
      <w:r>
        <w:rPr>
          <w:b/>
          <w:sz w:val="48"/>
        </w:rPr>
        <w:t>吨三环唑可湿性粉剂项目</w:t>
      </w:r>
    </w:p>
    <w:p>
      <w:pPr>
        <w:spacing w:before="236"/>
        <w:ind w:left="345" w:right="345" w:firstLine="0"/>
        <w:jc w:val="center"/>
        <w:rPr>
          <w:b/>
          <w:sz w:val="84"/>
        </w:rPr>
      </w:pPr>
      <w:r>
        <w:rPr>
          <w:b/>
          <w:sz w:val="84"/>
        </w:rPr>
        <w:t>环境影响报告书</w:t>
      </w:r>
    </w:p>
    <w:p>
      <w:pPr>
        <w:spacing w:before="249"/>
        <w:ind w:left="351" w:right="345" w:firstLine="0"/>
        <w:jc w:val="center"/>
        <w:rPr>
          <w:rFonts w:ascii="Times New Roman" w:eastAsia="Times New Roman"/>
          <w:b/>
          <w:sz w:val="40"/>
        </w:rPr>
      </w:pPr>
      <w:r>
        <w:rPr>
          <w:rFonts w:ascii="Times New Roman" w:eastAsia="Times New Roman"/>
          <w:b/>
          <w:sz w:val="40"/>
        </w:rPr>
        <w:t>(</w:t>
      </w:r>
      <w:r>
        <w:rPr>
          <w:b/>
          <w:sz w:val="40"/>
        </w:rPr>
        <w:t>报 批 稿</w:t>
      </w:r>
      <w:r>
        <w:rPr>
          <w:rFonts w:ascii="Times New Roman" w:eastAsia="Times New Roman"/>
          <w:b/>
          <w:sz w:val="40"/>
        </w:rPr>
        <w:t>)</w:t>
      </w: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rPr>
          <w:rFonts w:ascii="Times New Roman"/>
          <w:b/>
          <w:sz w:val="44"/>
        </w:rPr>
      </w:pPr>
    </w:p>
    <w:p>
      <w:pPr>
        <w:pStyle w:val="BodyText"/>
        <w:spacing w:before="2"/>
        <w:rPr>
          <w:rFonts w:ascii="Times New Roman"/>
          <w:b/>
          <w:sz w:val="59"/>
        </w:rPr>
      </w:pPr>
    </w:p>
    <w:p>
      <w:pPr>
        <w:pStyle w:val="Heading3"/>
        <w:spacing w:line="364" w:lineRule="auto"/>
        <w:ind w:left="2824" w:right="2819" w:firstLine="0"/>
        <w:jc w:val="center"/>
      </w:pPr>
      <w:r>
        <w:rPr/>
        <w:t>浙江锦寰环保科技有限公司二零二二年六月</w:t>
      </w:r>
    </w:p>
    <w:p>
      <w:pPr>
        <w:spacing w:after="0" w:line="364" w:lineRule="auto"/>
        <w:jc w:val="center"/>
        <w:sectPr>
          <w:type w:val="continuous"/>
          <w:pgSz w:w="11910" w:h="16850"/>
          <w:pgMar w:top="1420" w:bottom="280" w:left="1180" w:right="1180"/>
        </w:sectPr>
      </w:pPr>
    </w:p>
    <w:p>
      <w:pPr>
        <w:pStyle w:val="BodyText"/>
        <w:spacing w:before="4"/>
        <w:rPr>
          <w:rFonts w:ascii="Times New Roman"/>
          <w:sz w:val="17"/>
        </w:rPr>
      </w:pPr>
    </w:p>
    <w:p>
      <w:pPr>
        <w:spacing w:after="0"/>
        <w:rPr>
          <w:rFonts w:ascii="Times New Roman"/>
          <w:sz w:val="17"/>
        </w:rPr>
        <w:sectPr>
          <w:pgSz w:w="11910" w:h="16850"/>
          <w:pgMar w:top="1600" w:bottom="280" w:left="1180" w:right="1180"/>
        </w:sectPr>
      </w:pPr>
    </w:p>
    <w:p>
      <w:pPr>
        <w:spacing w:before="70"/>
        <w:ind w:left="346" w:right="345" w:firstLine="0"/>
        <w:jc w:val="center"/>
        <w:rPr>
          <w:b/>
          <w:sz w:val="44"/>
        </w:rPr>
      </w:pPr>
      <w:r>
        <w:rPr>
          <w:b/>
          <w:sz w:val="44"/>
        </w:rPr>
        <w:t>目 录</w:t>
      </w:r>
    </w:p>
    <w:p>
      <w:pPr>
        <w:spacing w:after="0"/>
        <w:jc w:val="center"/>
        <w:rPr>
          <w:sz w:val="44"/>
        </w:rPr>
        <w:sectPr>
          <w:headerReference w:type="default" r:id="rId6"/>
          <w:footerReference w:type="default" r:id="rId7"/>
          <w:pgSz w:w="11910" w:h="16850"/>
          <w:pgMar w:header="1004" w:footer="1088" w:top="1340" w:bottom="1112" w:left="1180" w:right="1180"/>
          <w:pgNumType w:start="1"/>
        </w:sectPr>
      </w:pPr>
    </w:p>
    <w:sdt>
      <w:sdtPr>
        <w:docPartObj>
          <w:docPartGallery w:val="Table of Contents"/>
          <w:docPartUnique/>
        </w:docPartObj>
      </w:sdtPr>
      <w:sdtEndPr/>
      <w:sdtContent>
        <w:p>
          <w:pPr>
            <w:pStyle w:val="TOC1"/>
            <w:numPr>
              <w:ilvl w:val="0"/>
              <w:numId w:val="1"/>
            </w:numPr>
            <w:tabs>
              <w:tab w:pos="159" w:val="left" w:leader="none"/>
              <w:tab w:pos="9073" w:val="right" w:leader="dot"/>
            </w:tabs>
            <w:spacing w:line="240" w:lineRule="auto" w:before="564" w:after="0"/>
            <w:ind w:left="397" w:right="232" w:hanging="398"/>
            <w:jc w:val="right"/>
            <w:rPr>
              <w:rFonts w:ascii="Times New Roman" w:eastAsia="Times New Roman"/>
            </w:rPr>
          </w:pPr>
          <w:hyperlink w:history="true" w:anchor="_bookmark0">
            <w:r>
              <w:rPr/>
              <w:t>概述</w:t>
              <w:tab/>
            </w:r>
            <w:r>
              <w:rPr>
                <w:rFonts w:ascii="Times New Roman" w:eastAsia="Times New Roman"/>
              </w:rPr>
              <w:t>1</w:t>
            </w:r>
          </w:hyperlink>
        </w:p>
        <w:p>
          <w:pPr>
            <w:pStyle w:val="TOC2"/>
            <w:numPr>
              <w:ilvl w:val="1"/>
              <w:numId w:val="1"/>
            </w:numPr>
            <w:tabs>
              <w:tab w:pos="303" w:val="left" w:leader="none"/>
              <w:tab w:pos="8832" w:val="right" w:leader="dot"/>
            </w:tabs>
            <w:spacing w:line="240" w:lineRule="auto" w:before="142" w:after="0"/>
            <w:ind w:left="781" w:right="233" w:hanging="782"/>
            <w:jc w:val="right"/>
            <w:rPr>
              <w:rFonts w:ascii="Times New Roman" w:eastAsia="Times New Roman"/>
            </w:rPr>
          </w:pPr>
          <w:hyperlink w:history="true" w:anchor="_bookmark1">
            <w:r>
              <w:rPr/>
              <w:t>企业概况</w:t>
              <w:tab/>
            </w:r>
            <w:r>
              <w:rPr>
                <w:rFonts w:ascii="Times New Roman" w:eastAsia="Times New Roman"/>
              </w:rPr>
              <w:t>1</w:t>
            </w:r>
          </w:hyperlink>
        </w:p>
        <w:p>
          <w:pPr>
            <w:pStyle w:val="TOC2"/>
            <w:numPr>
              <w:ilvl w:val="1"/>
              <w:numId w:val="1"/>
            </w:numPr>
            <w:tabs>
              <w:tab w:pos="303" w:val="left" w:leader="none"/>
              <w:tab w:pos="8832" w:val="right" w:leader="dot"/>
            </w:tabs>
            <w:spacing w:line="240" w:lineRule="auto" w:before="132" w:after="0"/>
            <w:ind w:left="781" w:right="233" w:hanging="782"/>
            <w:jc w:val="right"/>
            <w:rPr>
              <w:rFonts w:ascii="Times New Roman" w:eastAsia="Times New Roman"/>
            </w:rPr>
          </w:pPr>
          <w:hyperlink w:history="true" w:anchor="_bookmark2">
            <w:r>
              <w:rPr/>
              <w:t>项目由来</w:t>
              <w:tab/>
            </w:r>
            <w:r>
              <w:rPr>
                <w:rFonts w:ascii="Times New Roman" w:eastAsia="Times New Roman"/>
              </w:rPr>
              <w:t>2</w:t>
            </w:r>
          </w:hyperlink>
        </w:p>
        <w:p>
          <w:pPr>
            <w:pStyle w:val="TOC2"/>
            <w:numPr>
              <w:ilvl w:val="1"/>
              <w:numId w:val="1"/>
            </w:numPr>
            <w:tabs>
              <w:tab w:pos="303" w:val="left" w:leader="none"/>
              <w:tab w:pos="8832" w:val="right" w:leader="dot"/>
            </w:tabs>
            <w:spacing w:line="240" w:lineRule="auto" w:before="133" w:after="0"/>
            <w:ind w:left="781" w:right="233" w:hanging="782"/>
            <w:jc w:val="right"/>
            <w:rPr>
              <w:rFonts w:ascii="Times New Roman" w:eastAsia="Times New Roman"/>
            </w:rPr>
          </w:pPr>
          <w:hyperlink w:history="true" w:anchor="_bookmark3">
            <w:r>
              <w:rPr/>
              <w:t>分析判定情况</w:t>
              <w:tab/>
            </w:r>
            <w:r>
              <w:rPr>
                <w:rFonts w:ascii="Times New Roman" w:eastAsia="Times New Roman"/>
              </w:rPr>
              <w:t>3</w:t>
            </w:r>
          </w:hyperlink>
        </w:p>
        <w:p>
          <w:pPr>
            <w:pStyle w:val="TOC2"/>
            <w:numPr>
              <w:ilvl w:val="1"/>
              <w:numId w:val="1"/>
            </w:numPr>
            <w:tabs>
              <w:tab w:pos="303" w:val="left" w:leader="none"/>
              <w:tab w:pos="8832" w:val="right" w:leader="dot"/>
            </w:tabs>
            <w:spacing w:line="240" w:lineRule="auto" w:before="132" w:after="0"/>
            <w:ind w:left="781" w:right="233" w:hanging="782"/>
            <w:jc w:val="right"/>
            <w:rPr>
              <w:rFonts w:ascii="Times New Roman" w:eastAsia="Times New Roman"/>
            </w:rPr>
          </w:pPr>
          <w:hyperlink w:history="true" w:anchor="_bookmark4">
            <w:r>
              <w:rPr/>
              <w:t>评价工作程序</w:t>
              <w:tab/>
            </w:r>
            <w:r>
              <w:rPr>
                <w:rFonts w:ascii="Times New Roman" w:eastAsia="Times New Roman"/>
              </w:rPr>
              <w:t>7</w:t>
            </w:r>
          </w:hyperlink>
        </w:p>
        <w:p>
          <w:pPr>
            <w:pStyle w:val="TOC2"/>
            <w:numPr>
              <w:ilvl w:val="1"/>
              <w:numId w:val="1"/>
            </w:numPr>
            <w:tabs>
              <w:tab w:pos="303" w:val="left" w:leader="none"/>
              <w:tab w:pos="8832" w:val="right" w:leader="dot"/>
            </w:tabs>
            <w:spacing w:line="240" w:lineRule="auto" w:before="133" w:after="0"/>
            <w:ind w:left="781" w:right="233" w:hanging="782"/>
            <w:jc w:val="right"/>
            <w:rPr>
              <w:rFonts w:ascii="Times New Roman" w:eastAsia="Times New Roman"/>
            </w:rPr>
          </w:pPr>
          <w:hyperlink w:history="true" w:anchor="_bookmark5">
            <w:r>
              <w:rPr/>
              <w:t>项目关注的主要环境</w:t>
            </w:r>
            <w:r>
              <w:rPr>
                <w:spacing w:val="3"/>
              </w:rPr>
              <w:t>问</w:t>
            </w:r>
            <w:r>
              <w:rPr/>
              <w:t>题</w:t>
              <w:tab/>
            </w:r>
            <w:r>
              <w:rPr>
                <w:rFonts w:ascii="Times New Roman" w:eastAsia="Times New Roman"/>
              </w:rPr>
              <w:t>8</w:t>
            </w:r>
          </w:hyperlink>
        </w:p>
        <w:p>
          <w:pPr>
            <w:pStyle w:val="TOC2"/>
            <w:numPr>
              <w:ilvl w:val="1"/>
              <w:numId w:val="1"/>
            </w:numPr>
            <w:tabs>
              <w:tab w:pos="303" w:val="left" w:leader="none"/>
              <w:tab w:pos="8832" w:val="right" w:leader="dot"/>
            </w:tabs>
            <w:spacing w:line="240" w:lineRule="auto" w:before="132" w:after="0"/>
            <w:ind w:left="781" w:right="233" w:hanging="782"/>
            <w:jc w:val="right"/>
            <w:rPr>
              <w:rFonts w:ascii="Times New Roman" w:eastAsia="Times New Roman"/>
            </w:rPr>
          </w:pPr>
          <w:hyperlink w:history="true" w:anchor="_bookmark6">
            <w:r>
              <w:rPr/>
              <w:t>环评报告结论</w:t>
              <w:tab/>
            </w:r>
            <w:r>
              <w:rPr>
                <w:rFonts w:ascii="Times New Roman" w:eastAsia="Times New Roman"/>
              </w:rPr>
              <w:t>8</w:t>
            </w:r>
          </w:hyperlink>
        </w:p>
        <w:p>
          <w:pPr>
            <w:pStyle w:val="TOC1"/>
            <w:tabs>
              <w:tab w:pos="9073" w:val="right" w:leader="dot"/>
            </w:tabs>
            <w:spacing w:before="133"/>
            <w:ind w:left="0" w:right="232" w:firstLine="0"/>
            <w:rPr>
              <w:rFonts w:ascii="Times New Roman" w:eastAsia="Times New Roman"/>
            </w:rPr>
          </w:pPr>
          <w:hyperlink w:history="true" w:anchor="_bookmark7">
            <w:r>
              <w:rPr>
                <w:rFonts w:ascii="Times New Roman" w:eastAsia="Times New Roman"/>
              </w:rPr>
              <w:t>2 </w:t>
            </w:r>
            <w:r>
              <w:rPr/>
              <w:t>总则</w:t>
              <w:tab/>
            </w:r>
            <w:r>
              <w:rPr>
                <w:rFonts w:ascii="Times New Roman" w:eastAsia="Times New Roman"/>
              </w:rPr>
              <w:t>10</w:t>
            </w:r>
          </w:hyperlink>
        </w:p>
        <w:p>
          <w:pPr>
            <w:pStyle w:val="TOC2"/>
            <w:numPr>
              <w:ilvl w:val="1"/>
              <w:numId w:val="2"/>
            </w:numPr>
            <w:tabs>
              <w:tab w:pos="303" w:val="left" w:leader="none"/>
              <w:tab w:pos="8835" w:val="right" w:leader="dot"/>
            </w:tabs>
            <w:spacing w:line="240" w:lineRule="auto" w:before="142" w:after="0"/>
            <w:ind w:left="781" w:right="229" w:hanging="782"/>
            <w:jc w:val="right"/>
            <w:rPr>
              <w:rFonts w:ascii="Times New Roman" w:eastAsia="Times New Roman"/>
            </w:rPr>
          </w:pPr>
          <w:hyperlink w:history="true" w:anchor="_bookmark8">
            <w:r>
              <w:rPr/>
              <w:t>编制依据</w:t>
              <w:tab/>
            </w:r>
            <w:r>
              <w:rPr>
                <w:rFonts w:ascii="Times New Roman" w:eastAsia="Times New Roman"/>
              </w:rPr>
              <w:t>10</w:t>
            </w:r>
          </w:hyperlink>
        </w:p>
        <w:p>
          <w:pPr>
            <w:pStyle w:val="TOC2"/>
            <w:numPr>
              <w:ilvl w:val="1"/>
              <w:numId w:val="2"/>
            </w:numPr>
            <w:tabs>
              <w:tab w:pos="303" w:val="left" w:leader="none"/>
              <w:tab w:pos="8835" w:val="right" w:leader="dot"/>
            </w:tabs>
            <w:spacing w:line="240" w:lineRule="auto" w:before="132" w:after="0"/>
            <w:ind w:left="781" w:right="229" w:hanging="782"/>
            <w:jc w:val="right"/>
            <w:rPr>
              <w:rFonts w:ascii="Times New Roman" w:eastAsia="Times New Roman"/>
            </w:rPr>
          </w:pPr>
          <w:hyperlink w:history="true" w:anchor="_bookmark9">
            <w:r>
              <w:rPr/>
              <w:t>评价因子</w:t>
              <w:tab/>
            </w:r>
            <w:r>
              <w:rPr>
                <w:rFonts w:ascii="Times New Roman" w:eastAsia="Times New Roman"/>
              </w:rPr>
              <w:t>15</w:t>
            </w:r>
          </w:hyperlink>
        </w:p>
        <w:p>
          <w:pPr>
            <w:pStyle w:val="TOC2"/>
            <w:numPr>
              <w:ilvl w:val="1"/>
              <w:numId w:val="2"/>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10">
            <w:r>
              <w:rPr/>
              <w:t>环境功能区划及评价标准</w:t>
              <w:tab/>
            </w:r>
            <w:r>
              <w:rPr>
                <w:rFonts w:ascii="Times New Roman" w:eastAsia="Times New Roman"/>
              </w:rPr>
              <w:t>16</w:t>
            </w:r>
          </w:hyperlink>
        </w:p>
        <w:p>
          <w:pPr>
            <w:pStyle w:val="TOC2"/>
            <w:numPr>
              <w:ilvl w:val="1"/>
              <w:numId w:val="2"/>
            </w:numPr>
            <w:tabs>
              <w:tab w:pos="303" w:val="left" w:leader="none"/>
              <w:tab w:pos="8835" w:val="right" w:leader="dot"/>
            </w:tabs>
            <w:spacing w:line="240" w:lineRule="auto" w:before="132" w:after="0"/>
            <w:ind w:left="781" w:right="229" w:hanging="782"/>
            <w:jc w:val="right"/>
            <w:rPr>
              <w:rFonts w:ascii="Times New Roman" w:eastAsia="Times New Roman"/>
            </w:rPr>
          </w:pPr>
          <w:hyperlink w:history="true" w:anchor="_bookmark11">
            <w:r>
              <w:rPr/>
              <w:t>评价等级</w:t>
              <w:tab/>
            </w:r>
            <w:r>
              <w:rPr>
                <w:rFonts w:ascii="Times New Roman" w:eastAsia="Times New Roman"/>
              </w:rPr>
              <w:t>23</w:t>
            </w:r>
          </w:hyperlink>
        </w:p>
        <w:p>
          <w:pPr>
            <w:pStyle w:val="TOC2"/>
            <w:numPr>
              <w:ilvl w:val="1"/>
              <w:numId w:val="2"/>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12">
            <w:r>
              <w:rPr/>
              <w:t>评价范围及环境敏感区</w:t>
              <w:tab/>
            </w:r>
            <w:r>
              <w:rPr>
                <w:rFonts w:ascii="Times New Roman" w:eastAsia="Times New Roman"/>
              </w:rPr>
              <w:t>26</w:t>
            </w:r>
          </w:hyperlink>
        </w:p>
        <w:p>
          <w:pPr>
            <w:pStyle w:val="TOC2"/>
            <w:numPr>
              <w:ilvl w:val="1"/>
              <w:numId w:val="2"/>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13">
            <w:r>
              <w:rPr/>
              <w:t>相关规划</w:t>
              <w:tab/>
            </w:r>
            <w:r>
              <w:rPr>
                <w:rFonts w:ascii="Times New Roman" w:eastAsia="Times New Roman"/>
              </w:rPr>
              <w:t>28</w:t>
            </w:r>
          </w:hyperlink>
        </w:p>
        <w:p>
          <w:pPr>
            <w:pStyle w:val="TOC1"/>
            <w:numPr>
              <w:ilvl w:val="0"/>
              <w:numId w:val="3"/>
            </w:numPr>
            <w:tabs>
              <w:tab w:pos="159" w:val="left" w:leader="none"/>
              <w:tab w:pos="9073" w:val="right" w:leader="dot"/>
            </w:tabs>
            <w:spacing w:line="240" w:lineRule="auto" w:before="132" w:after="0"/>
            <w:ind w:left="397" w:right="232" w:hanging="398"/>
            <w:jc w:val="right"/>
            <w:rPr>
              <w:rFonts w:ascii="Times New Roman" w:eastAsia="Times New Roman"/>
            </w:rPr>
          </w:pPr>
          <w:hyperlink w:history="true" w:anchor="_bookmark14">
            <w:r>
              <w:rPr/>
              <w:t>现有企业工程分析</w:t>
              <w:tab/>
            </w:r>
            <w:r>
              <w:rPr>
                <w:rFonts w:ascii="Times New Roman" w:eastAsia="Times New Roman"/>
              </w:rPr>
              <w:t>42</w:t>
            </w:r>
          </w:hyperlink>
        </w:p>
        <w:p>
          <w:pPr>
            <w:pStyle w:val="TOC2"/>
            <w:numPr>
              <w:ilvl w:val="1"/>
              <w:numId w:val="3"/>
            </w:numPr>
            <w:tabs>
              <w:tab w:pos="303" w:val="left" w:leader="none"/>
              <w:tab w:pos="8835" w:val="right" w:leader="dot"/>
            </w:tabs>
            <w:spacing w:line="240" w:lineRule="auto" w:before="139" w:after="0"/>
            <w:ind w:left="781" w:right="229" w:hanging="782"/>
            <w:jc w:val="right"/>
            <w:rPr>
              <w:rFonts w:ascii="Times New Roman" w:eastAsia="Times New Roman"/>
            </w:rPr>
          </w:pPr>
          <w:hyperlink w:history="true" w:anchor="_bookmark15">
            <w:r>
              <w:rPr/>
              <w:t>评价思路</w:t>
              <w:tab/>
            </w:r>
            <w:r>
              <w:rPr>
                <w:rFonts w:ascii="Times New Roman" w:eastAsia="Times New Roman"/>
              </w:rPr>
              <w:t>42</w:t>
            </w:r>
          </w:hyperlink>
        </w:p>
        <w:p>
          <w:pPr>
            <w:pStyle w:val="TOC2"/>
            <w:numPr>
              <w:ilvl w:val="1"/>
              <w:numId w:val="3"/>
            </w:numPr>
            <w:tabs>
              <w:tab w:pos="303" w:val="left" w:leader="none"/>
              <w:tab w:pos="8835" w:val="right" w:leader="dot"/>
            </w:tabs>
            <w:spacing w:line="240" w:lineRule="auto" w:before="135" w:after="0"/>
            <w:ind w:left="781" w:right="229" w:hanging="782"/>
            <w:jc w:val="right"/>
            <w:rPr>
              <w:rFonts w:ascii="Times New Roman" w:eastAsia="Times New Roman"/>
            </w:rPr>
          </w:pPr>
          <w:hyperlink w:history="true" w:anchor="_bookmark16">
            <w:r>
              <w:rPr/>
              <w:t>现有企业基本概况</w:t>
              <w:tab/>
            </w:r>
            <w:r>
              <w:rPr>
                <w:rFonts w:ascii="Times New Roman" w:eastAsia="Times New Roman"/>
              </w:rPr>
              <w:t>42</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17">
            <w:r>
              <w:rPr/>
              <w:t>现有已批建成装置生产情况</w:t>
              <w:tab/>
            </w:r>
            <w:r>
              <w:rPr>
                <w:rFonts w:ascii="Times New Roman" w:eastAsia="Times New Roman"/>
              </w:rPr>
              <w:t>44</w:t>
            </w:r>
          </w:hyperlink>
        </w:p>
        <w:p>
          <w:pPr>
            <w:pStyle w:val="TOC2"/>
            <w:numPr>
              <w:ilvl w:val="1"/>
              <w:numId w:val="3"/>
            </w:numPr>
            <w:tabs>
              <w:tab w:pos="334" w:val="left" w:leader="none"/>
              <w:tab w:pos="8835" w:val="right" w:leader="dot"/>
            </w:tabs>
            <w:spacing w:line="240" w:lineRule="auto" w:before="133" w:after="0"/>
            <w:ind w:left="812" w:right="229" w:hanging="813"/>
            <w:jc w:val="right"/>
            <w:rPr>
              <w:rFonts w:ascii="Times New Roman" w:eastAsia="Times New Roman"/>
            </w:rPr>
          </w:pPr>
          <w:hyperlink w:history="true" w:anchor="_bookmark18">
            <w:r>
              <w:rPr/>
              <w:t>现有企业污染物治理措施情况及达标性分析</w:t>
              <w:tab/>
            </w:r>
            <w:r>
              <w:rPr>
                <w:rFonts w:ascii="Times New Roman" w:eastAsia="Times New Roman"/>
              </w:rPr>
              <w:t>61</w:t>
            </w:r>
          </w:hyperlink>
        </w:p>
        <w:p>
          <w:pPr>
            <w:pStyle w:val="TOC2"/>
            <w:numPr>
              <w:ilvl w:val="1"/>
              <w:numId w:val="3"/>
            </w:numPr>
            <w:tabs>
              <w:tab w:pos="303" w:val="left" w:leader="none"/>
              <w:tab w:pos="8835" w:val="right" w:leader="dot"/>
            </w:tabs>
            <w:spacing w:line="240" w:lineRule="auto" w:before="132" w:after="0"/>
            <w:ind w:left="781" w:right="229" w:hanging="782"/>
            <w:jc w:val="right"/>
            <w:rPr>
              <w:rFonts w:ascii="Times New Roman" w:eastAsia="Times New Roman"/>
            </w:rPr>
          </w:pPr>
          <w:hyperlink w:history="true" w:anchor="_bookmark19">
            <w:r>
              <w:rPr/>
              <w:t>企业现有污染物排放及总量核定情况</w:t>
              <w:tab/>
            </w:r>
            <w:r>
              <w:rPr>
                <w:rFonts w:ascii="Times New Roman" w:eastAsia="Times New Roman"/>
              </w:rPr>
              <w:t>70</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20">
            <w:r>
              <w:rPr/>
              <w:t>现有工程进一步优化提升要求</w:t>
              <w:tab/>
            </w:r>
            <w:r>
              <w:rPr>
                <w:rFonts w:ascii="Times New Roman" w:eastAsia="Times New Roman"/>
              </w:rPr>
              <w:t>71</w:t>
            </w:r>
          </w:hyperlink>
        </w:p>
        <w:p>
          <w:pPr>
            <w:pStyle w:val="TOC2"/>
            <w:numPr>
              <w:ilvl w:val="1"/>
              <w:numId w:val="3"/>
            </w:numPr>
            <w:tabs>
              <w:tab w:pos="303" w:val="left" w:leader="none"/>
              <w:tab w:pos="8835" w:val="right" w:leader="dot"/>
            </w:tabs>
            <w:spacing w:line="240" w:lineRule="auto" w:before="132" w:after="0"/>
            <w:ind w:left="781" w:right="229" w:hanging="782"/>
            <w:jc w:val="right"/>
            <w:rPr>
              <w:rFonts w:ascii="Times New Roman" w:eastAsia="Times New Roman"/>
            </w:rPr>
          </w:pPr>
          <w:hyperlink w:history="true" w:anchor="_bookmark21">
            <w:r>
              <w:rPr/>
              <w:t>现有企业重大变动清单分析</w:t>
              <w:tab/>
            </w:r>
            <w:r>
              <w:rPr>
                <w:rFonts w:ascii="Times New Roman" w:eastAsia="Times New Roman"/>
              </w:rPr>
              <w:t>72</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22">
            <w:r>
              <w:rPr/>
              <w:t>排污许可证执行情况</w:t>
              <w:tab/>
            </w:r>
            <w:r>
              <w:rPr>
                <w:rFonts w:ascii="Times New Roman" w:eastAsia="Times New Roman"/>
              </w:rPr>
              <w:t>74</w:t>
            </w:r>
          </w:hyperlink>
        </w:p>
        <w:p>
          <w:pPr>
            <w:pStyle w:val="TOC1"/>
            <w:numPr>
              <w:ilvl w:val="0"/>
              <w:numId w:val="3"/>
            </w:numPr>
            <w:tabs>
              <w:tab w:pos="159" w:val="left" w:leader="none"/>
              <w:tab w:pos="9073" w:val="right" w:leader="dot"/>
            </w:tabs>
            <w:spacing w:line="240" w:lineRule="auto" w:before="132" w:after="0"/>
            <w:ind w:left="397" w:right="232" w:hanging="398"/>
            <w:jc w:val="right"/>
            <w:rPr>
              <w:rFonts w:ascii="Times New Roman" w:eastAsia="Times New Roman"/>
            </w:rPr>
          </w:pPr>
          <w:hyperlink w:history="true" w:anchor="_bookmark23">
            <w:r>
              <w:rPr/>
              <w:t>建设项目工程分析</w:t>
              <w:tab/>
            </w:r>
            <w:r>
              <w:rPr>
                <w:rFonts w:ascii="Times New Roman" w:eastAsia="Times New Roman"/>
              </w:rPr>
              <w:t>75</w:t>
            </w:r>
          </w:hyperlink>
        </w:p>
        <w:p>
          <w:pPr>
            <w:pStyle w:val="TOC2"/>
            <w:numPr>
              <w:ilvl w:val="1"/>
              <w:numId w:val="3"/>
            </w:numPr>
            <w:tabs>
              <w:tab w:pos="303" w:val="left" w:leader="none"/>
              <w:tab w:pos="8835" w:val="right" w:leader="dot"/>
            </w:tabs>
            <w:spacing w:line="240" w:lineRule="auto" w:before="142" w:after="0"/>
            <w:ind w:left="781" w:right="229" w:hanging="782"/>
            <w:jc w:val="right"/>
            <w:rPr>
              <w:rFonts w:ascii="Times New Roman" w:eastAsia="Times New Roman"/>
            </w:rPr>
          </w:pPr>
          <w:hyperlink w:history="true" w:anchor="_bookmark24">
            <w:r>
              <w:rPr/>
              <w:t>建设项目概况</w:t>
              <w:tab/>
            </w:r>
            <w:r>
              <w:rPr>
                <w:rFonts w:ascii="Times New Roman" w:eastAsia="Times New Roman"/>
              </w:rPr>
              <w:t>75</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25">
            <w:r>
              <w:rPr/>
              <w:t>项目工程分析</w:t>
              <w:tab/>
            </w:r>
            <w:r>
              <w:rPr>
                <w:rFonts w:ascii="Times New Roman" w:eastAsia="Times New Roman"/>
              </w:rPr>
              <w:t>82</w:t>
            </w:r>
          </w:hyperlink>
        </w:p>
        <w:p>
          <w:pPr>
            <w:pStyle w:val="TOC2"/>
            <w:numPr>
              <w:ilvl w:val="1"/>
              <w:numId w:val="3"/>
            </w:numPr>
            <w:tabs>
              <w:tab w:pos="303" w:val="left" w:leader="none"/>
              <w:tab w:pos="8835" w:val="right" w:leader="dot"/>
            </w:tabs>
            <w:spacing w:line="240" w:lineRule="auto" w:before="132" w:after="0"/>
            <w:ind w:left="781" w:right="229" w:hanging="782"/>
            <w:jc w:val="right"/>
            <w:rPr>
              <w:rFonts w:ascii="Times New Roman" w:eastAsia="Times New Roman"/>
            </w:rPr>
          </w:pPr>
          <w:hyperlink w:history="true" w:anchor="_bookmark26">
            <w:r>
              <w:rPr/>
              <w:t>项目水平衡图</w:t>
              <w:tab/>
            </w:r>
            <w:r>
              <w:rPr>
                <w:rFonts w:ascii="Times New Roman" w:eastAsia="Times New Roman"/>
              </w:rPr>
              <w:t>95</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27">
            <w:r>
              <w:rPr/>
              <w:t>污染物产生及排放情况汇总</w:t>
              <w:tab/>
            </w:r>
            <w:r>
              <w:rPr>
                <w:rFonts w:ascii="Times New Roman" w:eastAsia="Times New Roman"/>
              </w:rPr>
              <w:t>96</w:t>
            </w:r>
          </w:hyperlink>
        </w:p>
        <w:p>
          <w:pPr>
            <w:pStyle w:val="TOC2"/>
            <w:numPr>
              <w:ilvl w:val="1"/>
              <w:numId w:val="3"/>
            </w:numPr>
            <w:tabs>
              <w:tab w:pos="303" w:val="left" w:leader="none"/>
              <w:tab w:pos="8835" w:val="right" w:leader="dot"/>
            </w:tabs>
            <w:spacing w:line="240" w:lineRule="auto" w:before="132" w:after="0"/>
            <w:ind w:left="781" w:right="229" w:hanging="782"/>
            <w:jc w:val="right"/>
            <w:rPr>
              <w:rFonts w:ascii="Times New Roman" w:eastAsia="Times New Roman"/>
            </w:rPr>
          </w:pPr>
          <w:hyperlink w:history="true" w:anchor="_bookmark28">
            <w:r>
              <w:rPr/>
              <w:t>项目实施后全厂污染物产生及排放变化情况</w:t>
              <w:tab/>
            </w:r>
            <w:r>
              <w:rPr>
                <w:rFonts w:ascii="Times New Roman" w:eastAsia="Times New Roman"/>
              </w:rPr>
              <w:t>99</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29">
            <w:r>
              <w:rPr/>
              <w:t>非正常情况下污染因素分析</w:t>
              <w:tab/>
            </w:r>
            <w:r>
              <w:rPr>
                <w:rFonts w:ascii="Times New Roman" w:eastAsia="Times New Roman"/>
              </w:rPr>
              <w:t>99</w:t>
            </w:r>
          </w:hyperlink>
        </w:p>
        <w:p>
          <w:pPr>
            <w:pStyle w:val="TOC2"/>
            <w:numPr>
              <w:ilvl w:val="1"/>
              <w:numId w:val="3"/>
            </w:numPr>
            <w:tabs>
              <w:tab w:pos="303" w:val="left" w:leader="none"/>
              <w:tab w:pos="8835" w:val="right" w:leader="dot"/>
            </w:tabs>
            <w:spacing w:line="240" w:lineRule="auto" w:before="133" w:after="0"/>
            <w:ind w:left="781" w:right="229" w:hanging="782"/>
            <w:jc w:val="right"/>
            <w:rPr>
              <w:rFonts w:ascii="Times New Roman" w:eastAsia="Times New Roman"/>
            </w:rPr>
          </w:pPr>
          <w:hyperlink w:history="true" w:anchor="_bookmark30">
            <w:r>
              <w:rPr/>
              <w:t>总量控制情况</w:t>
              <w:tab/>
            </w:r>
            <w:r>
              <w:rPr>
                <w:rFonts w:ascii="Times New Roman" w:eastAsia="Times New Roman"/>
              </w:rPr>
              <w:t>101</w:t>
            </w:r>
          </w:hyperlink>
        </w:p>
        <w:p>
          <w:pPr>
            <w:pStyle w:val="TOC1"/>
            <w:numPr>
              <w:ilvl w:val="0"/>
              <w:numId w:val="3"/>
            </w:numPr>
            <w:tabs>
              <w:tab w:pos="159" w:val="left" w:leader="none"/>
              <w:tab w:pos="9075" w:val="right" w:leader="dot"/>
            </w:tabs>
            <w:spacing w:line="240" w:lineRule="auto" w:before="132" w:after="0"/>
            <w:ind w:left="397" w:right="229" w:hanging="398"/>
            <w:jc w:val="right"/>
            <w:rPr>
              <w:rFonts w:ascii="Times New Roman" w:eastAsia="Times New Roman"/>
            </w:rPr>
          </w:pPr>
          <w:hyperlink w:history="true" w:anchor="_bookmark31">
            <w:r>
              <w:rPr/>
              <w:t>污染防治对策</w:t>
              <w:tab/>
            </w:r>
            <w:r>
              <w:rPr>
                <w:rFonts w:ascii="Times New Roman" w:eastAsia="Times New Roman"/>
              </w:rPr>
              <w:t>103</w:t>
            </w:r>
          </w:hyperlink>
        </w:p>
        <w:p>
          <w:pPr>
            <w:pStyle w:val="TOC2"/>
            <w:numPr>
              <w:ilvl w:val="1"/>
              <w:numId w:val="3"/>
            </w:numPr>
            <w:tabs>
              <w:tab w:pos="303" w:val="left" w:leader="none"/>
              <w:tab w:pos="8835" w:val="right" w:leader="dot"/>
            </w:tabs>
            <w:spacing w:line="240" w:lineRule="auto" w:before="139" w:after="240"/>
            <w:ind w:left="781" w:right="229" w:hanging="782"/>
            <w:jc w:val="right"/>
            <w:rPr>
              <w:rFonts w:ascii="Times New Roman" w:eastAsia="Times New Roman"/>
            </w:rPr>
          </w:pPr>
          <w:hyperlink w:history="true" w:anchor="_bookmark32">
            <w:r>
              <w:rPr/>
              <w:t>项目废水治理措施</w:t>
              <w:tab/>
            </w:r>
            <w:r>
              <w:rPr>
                <w:rFonts w:ascii="Times New Roman" w:eastAsia="Times New Roman"/>
              </w:rPr>
              <w:t>103</w:t>
            </w:r>
          </w:hyperlink>
        </w:p>
        <w:p>
          <w:pPr>
            <w:pStyle w:val="TOC2"/>
            <w:numPr>
              <w:ilvl w:val="1"/>
              <w:numId w:val="3"/>
            </w:numPr>
            <w:tabs>
              <w:tab w:pos="303" w:val="left" w:leader="none"/>
              <w:tab w:pos="8533" w:val="left" w:leader="dot"/>
            </w:tabs>
            <w:spacing w:line="240" w:lineRule="auto" w:before="67" w:after="0"/>
            <w:ind w:left="781" w:right="229" w:hanging="782"/>
            <w:jc w:val="right"/>
            <w:rPr>
              <w:rFonts w:ascii="Times New Roman" w:eastAsia="Times New Roman"/>
            </w:rPr>
          </w:pPr>
          <w:hyperlink w:history="true" w:anchor="_bookmark33">
            <w:r>
              <w:rPr/>
              <w:t>项目废气治理措施及可行性分析</w:t>
              <w:tab/>
            </w:r>
            <w:r>
              <w:rPr>
                <w:rFonts w:ascii="Times New Roman" w:eastAsia="Times New Roman"/>
              </w:rPr>
              <w:t>107</w:t>
            </w:r>
          </w:hyperlink>
        </w:p>
        <w:p>
          <w:pPr>
            <w:pStyle w:val="TOC3"/>
            <w:numPr>
              <w:ilvl w:val="1"/>
              <w:numId w:val="3"/>
            </w:numPr>
            <w:tabs>
              <w:tab w:pos="782" w:val="left" w:leader="none"/>
              <w:tab w:pos="9026" w:val="left" w:leader="dot"/>
            </w:tabs>
            <w:spacing w:line="240" w:lineRule="auto" w:before="133" w:after="0"/>
            <w:ind w:left="781" w:right="0" w:hanging="304"/>
            <w:jc w:val="left"/>
            <w:rPr>
              <w:rFonts w:ascii="Times New Roman" w:eastAsia="Times New Roman"/>
            </w:rPr>
          </w:pPr>
          <w:hyperlink w:history="true" w:anchor="_bookmark34">
            <w:r>
              <w:rPr/>
              <w:t>地下水防治措施</w:t>
              <w:tab/>
            </w:r>
            <w:r>
              <w:rPr>
                <w:rFonts w:ascii="Times New Roman" w:eastAsia="Times New Roman"/>
                <w:spacing w:val="-6"/>
              </w:rPr>
              <w:t>111</w:t>
            </w:r>
          </w:hyperlink>
        </w:p>
        <w:p>
          <w:pPr>
            <w:pStyle w:val="TOC2"/>
            <w:numPr>
              <w:ilvl w:val="1"/>
              <w:numId w:val="3"/>
            </w:numPr>
            <w:tabs>
              <w:tab w:pos="303" w:val="left" w:leader="none"/>
              <w:tab w:pos="8540" w:val="left" w:leader="dot"/>
            </w:tabs>
            <w:spacing w:line="240" w:lineRule="auto" w:before="133" w:after="0"/>
            <w:ind w:left="781" w:right="230" w:hanging="782"/>
            <w:jc w:val="right"/>
            <w:rPr>
              <w:rFonts w:ascii="Times New Roman" w:eastAsia="Times New Roman"/>
            </w:rPr>
          </w:pPr>
          <w:hyperlink w:history="true" w:anchor="_bookmark35">
            <w:r>
              <w:rPr/>
              <w:t>固废防治措施及可行性分析</w:t>
              <w:tab/>
            </w:r>
            <w:r>
              <w:rPr>
                <w:rFonts w:ascii="Times New Roman" w:eastAsia="Times New Roman"/>
                <w:spacing w:val="-2"/>
                <w:w w:val="95"/>
              </w:rPr>
              <w:t>115</w:t>
            </w:r>
          </w:hyperlink>
        </w:p>
        <w:p>
          <w:pPr>
            <w:pStyle w:val="TOC3"/>
            <w:numPr>
              <w:ilvl w:val="1"/>
              <w:numId w:val="3"/>
            </w:numPr>
            <w:tabs>
              <w:tab w:pos="782" w:val="left" w:leader="none"/>
              <w:tab w:pos="9019" w:val="left" w:leader="dot"/>
            </w:tabs>
            <w:spacing w:line="240" w:lineRule="auto" w:before="132" w:after="0"/>
            <w:ind w:left="781" w:right="0" w:hanging="304"/>
            <w:jc w:val="left"/>
            <w:rPr>
              <w:rFonts w:ascii="Times New Roman" w:eastAsia="Times New Roman"/>
            </w:rPr>
          </w:pPr>
          <w:hyperlink w:history="true" w:anchor="_bookmark36">
            <w:r>
              <w:rPr/>
              <w:t>噪声防治措施</w:t>
              <w:tab/>
            </w:r>
            <w:r>
              <w:rPr>
                <w:rFonts w:ascii="Times New Roman" w:eastAsia="Times New Roman"/>
              </w:rPr>
              <w:t>117</w:t>
            </w:r>
          </w:hyperlink>
        </w:p>
        <w:p>
          <w:pPr>
            <w:pStyle w:val="TOC3"/>
            <w:numPr>
              <w:ilvl w:val="1"/>
              <w:numId w:val="3"/>
            </w:numPr>
            <w:tabs>
              <w:tab w:pos="782" w:val="left" w:leader="none"/>
              <w:tab w:pos="9019" w:val="left" w:leader="dot"/>
            </w:tabs>
            <w:spacing w:line="240" w:lineRule="auto" w:before="133" w:after="0"/>
            <w:ind w:left="781" w:right="0" w:hanging="304"/>
            <w:jc w:val="left"/>
            <w:rPr>
              <w:rFonts w:ascii="Times New Roman" w:eastAsia="Times New Roman"/>
            </w:rPr>
          </w:pPr>
          <w:hyperlink w:history="true" w:anchor="_bookmark37">
            <w:r>
              <w:rPr/>
              <w:t>土壤防治措施</w:t>
              <w:tab/>
            </w:r>
            <w:r>
              <w:rPr>
                <w:rFonts w:ascii="Times New Roman" w:eastAsia="Times New Roman"/>
              </w:rPr>
              <w:t>117</w:t>
            </w:r>
          </w:hyperlink>
        </w:p>
        <w:p>
          <w:pPr>
            <w:pStyle w:val="TOC2"/>
            <w:numPr>
              <w:ilvl w:val="1"/>
              <w:numId w:val="3"/>
            </w:numPr>
            <w:tabs>
              <w:tab w:pos="303" w:val="left" w:leader="none"/>
              <w:tab w:pos="8540" w:val="left" w:leader="dot"/>
            </w:tabs>
            <w:spacing w:line="240" w:lineRule="auto" w:before="132" w:after="0"/>
            <w:ind w:left="781" w:right="230" w:hanging="782"/>
            <w:jc w:val="right"/>
            <w:rPr>
              <w:rFonts w:ascii="Times New Roman" w:eastAsia="Times New Roman"/>
            </w:rPr>
          </w:pPr>
          <w:hyperlink w:history="true" w:anchor="_bookmark38">
            <w:r>
              <w:rPr/>
              <w:t>环保投资估算及污染治理措施运行费用估算</w:t>
              <w:tab/>
            </w:r>
            <w:r>
              <w:rPr>
                <w:rFonts w:ascii="Times New Roman" w:eastAsia="Times New Roman"/>
                <w:spacing w:val="-2"/>
                <w:w w:val="95"/>
              </w:rPr>
              <w:t>118</w:t>
            </w:r>
          </w:hyperlink>
        </w:p>
        <w:p>
          <w:pPr>
            <w:pStyle w:val="TOC1"/>
            <w:numPr>
              <w:ilvl w:val="0"/>
              <w:numId w:val="3"/>
            </w:numPr>
            <w:tabs>
              <w:tab w:pos="159" w:val="left" w:leader="none"/>
              <w:tab w:pos="8759" w:val="left" w:leader="dot"/>
            </w:tabs>
            <w:spacing w:line="240" w:lineRule="auto" w:before="133" w:after="0"/>
            <w:ind w:left="397" w:right="229" w:hanging="398"/>
            <w:jc w:val="right"/>
            <w:rPr>
              <w:rFonts w:ascii="Times New Roman" w:eastAsia="Times New Roman"/>
            </w:rPr>
          </w:pPr>
          <w:hyperlink w:history="true" w:anchor="_bookmark39">
            <w:r>
              <w:rPr/>
              <w:t>环境现状监测与</w:t>
            </w:r>
            <w:r>
              <w:rPr>
                <w:spacing w:val="-3"/>
              </w:rPr>
              <w:t>评</w:t>
            </w:r>
            <w:r>
              <w:rPr/>
              <w:t>价</w:t>
              <w:tab/>
            </w:r>
            <w:r>
              <w:rPr>
                <w:rFonts w:ascii="Times New Roman" w:eastAsia="Times New Roman"/>
              </w:rPr>
              <w:t>120</w:t>
            </w:r>
          </w:hyperlink>
        </w:p>
        <w:p>
          <w:pPr>
            <w:pStyle w:val="TOC2"/>
            <w:numPr>
              <w:ilvl w:val="1"/>
              <w:numId w:val="3"/>
            </w:numPr>
            <w:tabs>
              <w:tab w:pos="303" w:val="left" w:leader="none"/>
              <w:tab w:pos="8533" w:val="left" w:leader="dot"/>
            </w:tabs>
            <w:spacing w:line="240" w:lineRule="auto" w:before="141" w:after="0"/>
            <w:ind w:left="781" w:right="229" w:hanging="782"/>
            <w:jc w:val="right"/>
            <w:rPr>
              <w:rFonts w:ascii="Times New Roman" w:eastAsia="Times New Roman"/>
            </w:rPr>
          </w:pPr>
          <w:hyperlink w:history="true" w:anchor="_bookmark40">
            <w:r>
              <w:rPr/>
              <w:t>自然环境现状调查与评价</w:t>
              <w:tab/>
            </w:r>
            <w:r>
              <w:rPr>
                <w:rFonts w:ascii="Times New Roman" w:eastAsia="Times New Roman"/>
              </w:rPr>
              <w:t>120</w:t>
            </w:r>
          </w:hyperlink>
        </w:p>
        <w:p>
          <w:pPr>
            <w:pStyle w:val="TOC2"/>
            <w:numPr>
              <w:ilvl w:val="1"/>
              <w:numId w:val="3"/>
            </w:numPr>
            <w:tabs>
              <w:tab w:pos="303" w:val="left" w:leader="none"/>
              <w:tab w:pos="8533" w:val="left" w:leader="dot"/>
            </w:tabs>
            <w:spacing w:line="240" w:lineRule="auto" w:before="133" w:after="0"/>
            <w:ind w:left="781" w:right="229" w:hanging="782"/>
            <w:jc w:val="right"/>
            <w:rPr>
              <w:rFonts w:ascii="Times New Roman" w:eastAsia="Times New Roman"/>
            </w:rPr>
          </w:pPr>
          <w:hyperlink w:history="true" w:anchor="_bookmark41">
            <w:r>
              <w:rPr/>
              <w:t>环境质量现状调查与评价</w:t>
              <w:tab/>
            </w:r>
            <w:r>
              <w:rPr>
                <w:rFonts w:ascii="Times New Roman" w:eastAsia="Times New Roman"/>
              </w:rPr>
              <w:t>122</w:t>
            </w:r>
          </w:hyperlink>
        </w:p>
        <w:p>
          <w:pPr>
            <w:pStyle w:val="TOC1"/>
            <w:numPr>
              <w:ilvl w:val="0"/>
              <w:numId w:val="3"/>
            </w:numPr>
            <w:tabs>
              <w:tab w:pos="159" w:val="left" w:leader="none"/>
              <w:tab w:pos="8759" w:val="left" w:leader="dot"/>
            </w:tabs>
            <w:spacing w:line="240" w:lineRule="auto" w:before="132" w:after="0"/>
            <w:ind w:left="397" w:right="229" w:hanging="398"/>
            <w:jc w:val="right"/>
            <w:rPr>
              <w:rFonts w:ascii="Times New Roman" w:eastAsia="Times New Roman"/>
            </w:rPr>
          </w:pPr>
          <w:hyperlink w:history="true" w:anchor="_bookmark42">
            <w:r>
              <w:rPr/>
              <w:t>环境影响预测评价</w:t>
              <w:tab/>
            </w:r>
            <w:r>
              <w:rPr>
                <w:rFonts w:ascii="Times New Roman" w:eastAsia="Times New Roman"/>
              </w:rPr>
              <w:t>144</w:t>
            </w:r>
          </w:hyperlink>
        </w:p>
        <w:p>
          <w:pPr>
            <w:pStyle w:val="TOC2"/>
            <w:numPr>
              <w:ilvl w:val="1"/>
              <w:numId w:val="3"/>
            </w:numPr>
            <w:tabs>
              <w:tab w:pos="303" w:val="left" w:leader="none"/>
              <w:tab w:pos="8533" w:val="left" w:leader="dot"/>
            </w:tabs>
            <w:spacing w:line="240" w:lineRule="auto" w:before="140" w:after="0"/>
            <w:ind w:left="781" w:right="229" w:hanging="782"/>
            <w:jc w:val="right"/>
            <w:rPr>
              <w:rFonts w:ascii="Times New Roman" w:eastAsia="Times New Roman"/>
            </w:rPr>
          </w:pPr>
          <w:hyperlink w:history="true" w:anchor="_bookmark43">
            <w:r>
              <w:rPr/>
              <w:t>施工期环境影响分析</w:t>
              <w:tab/>
            </w:r>
            <w:r>
              <w:rPr>
                <w:rFonts w:ascii="Times New Roman" w:eastAsia="Times New Roman"/>
              </w:rPr>
              <w:t>144</w:t>
            </w:r>
          </w:hyperlink>
        </w:p>
        <w:p>
          <w:pPr>
            <w:pStyle w:val="TOC2"/>
            <w:numPr>
              <w:ilvl w:val="1"/>
              <w:numId w:val="3"/>
            </w:numPr>
            <w:tabs>
              <w:tab w:pos="303" w:val="left" w:leader="none"/>
              <w:tab w:pos="8533" w:val="left" w:leader="dot"/>
            </w:tabs>
            <w:spacing w:line="240" w:lineRule="auto" w:before="132" w:after="0"/>
            <w:ind w:left="781" w:right="229" w:hanging="782"/>
            <w:jc w:val="right"/>
            <w:rPr>
              <w:rFonts w:ascii="Times New Roman" w:eastAsia="Times New Roman"/>
            </w:rPr>
          </w:pPr>
          <w:hyperlink w:history="true" w:anchor="_bookmark44">
            <w:r>
              <w:rPr/>
              <w:t>营运期环境影响分析</w:t>
              <w:tab/>
            </w:r>
            <w:r>
              <w:rPr>
                <w:rFonts w:ascii="Times New Roman" w:eastAsia="Times New Roman"/>
              </w:rPr>
              <w:t>147</w:t>
            </w:r>
          </w:hyperlink>
        </w:p>
        <w:p>
          <w:pPr>
            <w:pStyle w:val="TOC2"/>
            <w:numPr>
              <w:ilvl w:val="1"/>
              <w:numId w:val="3"/>
            </w:numPr>
            <w:tabs>
              <w:tab w:pos="303" w:val="left" w:leader="none"/>
              <w:tab w:pos="8533" w:val="left" w:leader="dot"/>
            </w:tabs>
            <w:spacing w:line="240" w:lineRule="auto" w:before="133" w:after="0"/>
            <w:ind w:left="781" w:right="229" w:hanging="782"/>
            <w:jc w:val="right"/>
            <w:rPr>
              <w:rFonts w:ascii="Times New Roman" w:eastAsia="Times New Roman"/>
            </w:rPr>
          </w:pPr>
          <w:hyperlink w:history="true" w:anchor="_bookmark45">
            <w:r>
              <w:rPr/>
              <w:t>项目退役期环境影响分析</w:t>
              <w:tab/>
            </w:r>
            <w:r>
              <w:rPr>
                <w:rFonts w:ascii="Times New Roman" w:eastAsia="Times New Roman"/>
              </w:rPr>
              <w:t>197</w:t>
            </w:r>
          </w:hyperlink>
        </w:p>
        <w:p>
          <w:pPr>
            <w:pStyle w:val="TOC2"/>
            <w:numPr>
              <w:ilvl w:val="1"/>
              <w:numId w:val="3"/>
            </w:numPr>
            <w:tabs>
              <w:tab w:pos="303" w:val="left" w:leader="none"/>
              <w:tab w:pos="8533" w:val="left" w:leader="dot"/>
            </w:tabs>
            <w:spacing w:line="240" w:lineRule="auto" w:before="133" w:after="0"/>
            <w:ind w:left="781" w:right="229" w:hanging="782"/>
            <w:jc w:val="right"/>
            <w:rPr>
              <w:rFonts w:ascii="Times New Roman" w:eastAsia="Times New Roman"/>
            </w:rPr>
          </w:pPr>
          <w:hyperlink w:history="true" w:anchor="_bookmark46">
            <w:r>
              <w:rPr/>
              <w:t>碳排放环境影响评价</w:t>
              <w:tab/>
            </w:r>
            <w:r>
              <w:rPr>
                <w:rFonts w:ascii="Times New Roman" w:eastAsia="Times New Roman"/>
              </w:rPr>
              <w:t>197</w:t>
            </w:r>
          </w:hyperlink>
        </w:p>
        <w:p>
          <w:pPr>
            <w:pStyle w:val="TOC1"/>
            <w:numPr>
              <w:ilvl w:val="0"/>
              <w:numId w:val="3"/>
            </w:numPr>
            <w:tabs>
              <w:tab w:pos="159" w:val="left" w:leader="none"/>
              <w:tab w:pos="8759" w:val="left" w:leader="dot"/>
            </w:tabs>
            <w:spacing w:line="240" w:lineRule="auto" w:before="134" w:after="0"/>
            <w:ind w:left="397" w:right="229" w:hanging="398"/>
            <w:jc w:val="right"/>
            <w:rPr>
              <w:rFonts w:ascii="Times New Roman" w:eastAsia="Times New Roman"/>
            </w:rPr>
          </w:pPr>
          <w:hyperlink w:history="true" w:anchor="_bookmark47">
            <w:r>
              <w:rPr/>
              <w:t>环境风险评价</w:t>
              <w:tab/>
            </w:r>
            <w:r>
              <w:rPr>
                <w:rFonts w:ascii="Times New Roman" w:eastAsia="Times New Roman"/>
              </w:rPr>
              <w:t>204</w:t>
            </w:r>
          </w:hyperlink>
        </w:p>
        <w:p>
          <w:pPr>
            <w:pStyle w:val="TOC2"/>
            <w:numPr>
              <w:ilvl w:val="1"/>
              <w:numId w:val="3"/>
            </w:numPr>
            <w:tabs>
              <w:tab w:pos="303" w:val="left" w:leader="none"/>
              <w:tab w:pos="8533" w:val="left" w:leader="dot"/>
            </w:tabs>
            <w:spacing w:line="240" w:lineRule="auto" w:before="139" w:after="0"/>
            <w:ind w:left="781" w:right="229" w:hanging="782"/>
            <w:jc w:val="right"/>
            <w:rPr>
              <w:rFonts w:ascii="Times New Roman" w:eastAsia="Times New Roman"/>
            </w:rPr>
          </w:pPr>
          <w:hyperlink w:history="true" w:anchor="_bookmark48">
            <w:r>
              <w:rPr/>
              <w:t>建设项目风险源调查</w:t>
              <w:tab/>
            </w:r>
            <w:r>
              <w:rPr>
                <w:rFonts w:ascii="Times New Roman" w:eastAsia="Times New Roman"/>
              </w:rPr>
              <w:t>204</w:t>
            </w:r>
          </w:hyperlink>
        </w:p>
        <w:p>
          <w:pPr>
            <w:pStyle w:val="TOC2"/>
            <w:numPr>
              <w:ilvl w:val="1"/>
              <w:numId w:val="3"/>
            </w:numPr>
            <w:tabs>
              <w:tab w:pos="334" w:val="left" w:leader="none"/>
              <w:tab w:pos="8533" w:val="left" w:leader="dot"/>
            </w:tabs>
            <w:spacing w:line="240" w:lineRule="auto" w:before="133" w:after="0"/>
            <w:ind w:left="812" w:right="229" w:hanging="813"/>
            <w:jc w:val="right"/>
            <w:rPr>
              <w:rFonts w:ascii="Times New Roman" w:eastAsia="Times New Roman"/>
            </w:rPr>
          </w:pPr>
          <w:hyperlink w:history="true" w:anchor="_bookmark49">
            <w:r>
              <w:rPr/>
              <w:t>环境敏感目标调查</w:t>
              <w:tab/>
            </w:r>
            <w:r>
              <w:rPr>
                <w:rFonts w:ascii="Times New Roman" w:eastAsia="Times New Roman"/>
              </w:rPr>
              <w:t>205</w:t>
            </w:r>
          </w:hyperlink>
        </w:p>
        <w:p>
          <w:pPr>
            <w:pStyle w:val="TOC2"/>
            <w:numPr>
              <w:ilvl w:val="1"/>
              <w:numId w:val="3"/>
            </w:numPr>
            <w:tabs>
              <w:tab w:pos="334" w:val="left" w:leader="none"/>
              <w:tab w:pos="8533" w:val="left" w:leader="dot"/>
            </w:tabs>
            <w:spacing w:line="240" w:lineRule="auto" w:before="133" w:after="0"/>
            <w:ind w:left="812" w:right="229" w:hanging="813"/>
            <w:jc w:val="right"/>
            <w:rPr>
              <w:rFonts w:ascii="Times New Roman" w:eastAsia="Times New Roman"/>
            </w:rPr>
          </w:pPr>
          <w:hyperlink w:history="true" w:anchor="_bookmark50">
            <w:r>
              <w:rPr/>
              <w:t>环境风险潜势初判及评价等级判定</w:t>
              <w:tab/>
            </w:r>
            <w:r>
              <w:rPr>
                <w:rFonts w:ascii="Times New Roman" w:eastAsia="Times New Roman"/>
              </w:rPr>
              <w:t>207</w:t>
            </w:r>
          </w:hyperlink>
        </w:p>
        <w:p>
          <w:pPr>
            <w:pStyle w:val="TOC3"/>
            <w:numPr>
              <w:ilvl w:val="1"/>
              <w:numId w:val="3"/>
            </w:numPr>
            <w:tabs>
              <w:tab w:pos="782" w:val="left" w:leader="none"/>
              <w:tab w:pos="9012" w:val="left" w:leader="dot"/>
            </w:tabs>
            <w:spacing w:line="240" w:lineRule="auto" w:before="132" w:after="0"/>
            <w:ind w:left="781" w:right="0" w:hanging="304"/>
            <w:jc w:val="left"/>
            <w:rPr>
              <w:rFonts w:ascii="Times New Roman" w:eastAsia="Times New Roman"/>
            </w:rPr>
          </w:pPr>
          <w:hyperlink w:history="true" w:anchor="_bookmark51">
            <w:r>
              <w:rPr/>
              <w:t>风险识别</w:t>
              <w:tab/>
            </w:r>
            <w:r>
              <w:rPr>
                <w:rFonts w:ascii="Times New Roman" w:eastAsia="Times New Roman"/>
              </w:rPr>
              <w:t>212</w:t>
            </w:r>
          </w:hyperlink>
        </w:p>
        <w:p>
          <w:pPr>
            <w:pStyle w:val="TOC2"/>
            <w:numPr>
              <w:ilvl w:val="1"/>
              <w:numId w:val="3"/>
            </w:numPr>
            <w:tabs>
              <w:tab w:pos="303" w:val="left" w:leader="none"/>
              <w:tab w:pos="8533" w:val="left" w:leader="dot"/>
            </w:tabs>
            <w:spacing w:line="240" w:lineRule="auto" w:before="133" w:after="0"/>
            <w:ind w:left="781" w:right="229" w:hanging="782"/>
            <w:jc w:val="right"/>
            <w:rPr>
              <w:rFonts w:ascii="Times New Roman" w:eastAsia="Times New Roman"/>
            </w:rPr>
          </w:pPr>
          <w:hyperlink w:history="true" w:anchor="_bookmark52">
            <w:r>
              <w:rPr/>
              <w:t>风险事故情形分析</w:t>
              <w:tab/>
            </w:r>
            <w:r>
              <w:rPr>
                <w:rFonts w:ascii="Times New Roman" w:eastAsia="Times New Roman"/>
              </w:rPr>
              <w:t>220</w:t>
            </w:r>
          </w:hyperlink>
        </w:p>
        <w:p>
          <w:pPr>
            <w:pStyle w:val="TOC3"/>
            <w:numPr>
              <w:ilvl w:val="1"/>
              <w:numId w:val="3"/>
            </w:numPr>
            <w:tabs>
              <w:tab w:pos="782" w:val="left" w:leader="none"/>
              <w:tab w:pos="9012" w:val="left" w:leader="dot"/>
            </w:tabs>
            <w:spacing w:line="240" w:lineRule="auto" w:before="133" w:after="0"/>
            <w:ind w:left="781" w:right="0" w:hanging="304"/>
            <w:jc w:val="left"/>
            <w:rPr>
              <w:rFonts w:ascii="Times New Roman" w:eastAsia="Times New Roman"/>
            </w:rPr>
          </w:pPr>
          <w:hyperlink w:history="true" w:anchor="_bookmark53">
            <w:r>
              <w:rPr/>
              <w:t>风险预测与评价</w:t>
              <w:tab/>
            </w:r>
            <w:r>
              <w:rPr>
                <w:rFonts w:ascii="Times New Roman" w:eastAsia="Times New Roman"/>
              </w:rPr>
              <w:t>224</w:t>
            </w:r>
          </w:hyperlink>
        </w:p>
        <w:p>
          <w:pPr>
            <w:pStyle w:val="TOC2"/>
            <w:numPr>
              <w:ilvl w:val="1"/>
              <w:numId w:val="3"/>
            </w:numPr>
            <w:tabs>
              <w:tab w:pos="303" w:val="left" w:leader="none"/>
              <w:tab w:pos="8533" w:val="left" w:leader="dot"/>
            </w:tabs>
            <w:spacing w:line="240" w:lineRule="auto" w:before="132" w:after="0"/>
            <w:ind w:left="781" w:right="229" w:hanging="782"/>
            <w:jc w:val="right"/>
            <w:rPr>
              <w:rFonts w:ascii="Times New Roman" w:eastAsia="Times New Roman"/>
            </w:rPr>
          </w:pPr>
          <w:hyperlink w:history="true" w:anchor="_bookmark54">
            <w:r>
              <w:rPr/>
              <w:t>事故风险防范措施</w:t>
              <w:tab/>
            </w:r>
            <w:r>
              <w:rPr>
                <w:rFonts w:ascii="Times New Roman" w:eastAsia="Times New Roman"/>
              </w:rPr>
              <w:t>230</w:t>
            </w:r>
          </w:hyperlink>
        </w:p>
        <w:p>
          <w:pPr>
            <w:pStyle w:val="TOC2"/>
            <w:numPr>
              <w:ilvl w:val="1"/>
              <w:numId w:val="3"/>
            </w:numPr>
            <w:tabs>
              <w:tab w:pos="303" w:val="left" w:leader="none"/>
              <w:tab w:pos="8533" w:val="left" w:leader="dot"/>
            </w:tabs>
            <w:spacing w:line="240" w:lineRule="auto" w:before="135" w:after="0"/>
            <w:ind w:left="781" w:right="229" w:hanging="782"/>
            <w:jc w:val="right"/>
            <w:rPr>
              <w:rFonts w:ascii="Times New Roman" w:eastAsia="Times New Roman"/>
            </w:rPr>
          </w:pPr>
          <w:hyperlink w:history="true" w:anchor="_bookmark55">
            <w:r>
              <w:rPr/>
              <w:t>风险评价结论及建议</w:t>
              <w:tab/>
            </w:r>
            <w:r>
              <w:rPr>
                <w:rFonts w:ascii="Times New Roman" w:eastAsia="Times New Roman"/>
              </w:rPr>
              <w:t>242</w:t>
            </w:r>
          </w:hyperlink>
        </w:p>
        <w:p>
          <w:pPr>
            <w:pStyle w:val="TOC1"/>
            <w:numPr>
              <w:ilvl w:val="0"/>
              <w:numId w:val="3"/>
            </w:numPr>
            <w:tabs>
              <w:tab w:pos="159" w:val="left" w:leader="none"/>
              <w:tab w:pos="8759" w:val="left" w:leader="dot"/>
            </w:tabs>
            <w:spacing w:line="240" w:lineRule="auto" w:before="132" w:after="0"/>
            <w:ind w:left="397" w:right="229" w:hanging="398"/>
            <w:jc w:val="right"/>
            <w:rPr>
              <w:rFonts w:ascii="Times New Roman" w:eastAsia="Times New Roman"/>
            </w:rPr>
          </w:pPr>
          <w:hyperlink w:history="true" w:anchor="_bookmark56">
            <w:r>
              <w:rPr/>
              <w:t>环境影响经济损</w:t>
            </w:r>
            <w:r>
              <w:rPr>
                <w:spacing w:val="-3"/>
              </w:rPr>
              <w:t>益</w:t>
            </w:r>
            <w:r>
              <w:rPr/>
              <w:t>分析</w:t>
              <w:tab/>
            </w:r>
            <w:r>
              <w:rPr>
                <w:rFonts w:ascii="Times New Roman" w:eastAsia="Times New Roman"/>
              </w:rPr>
              <w:t>243</w:t>
            </w:r>
          </w:hyperlink>
        </w:p>
        <w:p>
          <w:pPr>
            <w:pStyle w:val="TOC3"/>
            <w:numPr>
              <w:ilvl w:val="1"/>
              <w:numId w:val="3"/>
            </w:numPr>
            <w:tabs>
              <w:tab w:pos="782" w:val="left" w:leader="none"/>
              <w:tab w:pos="9012" w:val="left" w:leader="dot"/>
            </w:tabs>
            <w:spacing w:line="240" w:lineRule="auto" w:before="140" w:after="0"/>
            <w:ind w:left="781" w:right="0" w:hanging="304"/>
            <w:jc w:val="left"/>
            <w:rPr>
              <w:rFonts w:ascii="Times New Roman" w:eastAsia="Times New Roman"/>
            </w:rPr>
          </w:pPr>
          <w:hyperlink w:history="true" w:anchor="_bookmark57">
            <w:r>
              <w:rPr/>
              <w:t>环境效益分析</w:t>
              <w:tab/>
            </w:r>
            <w:r>
              <w:rPr>
                <w:rFonts w:ascii="Times New Roman" w:eastAsia="Times New Roman"/>
              </w:rPr>
              <w:t>243</w:t>
            </w:r>
          </w:hyperlink>
        </w:p>
        <w:p>
          <w:pPr>
            <w:pStyle w:val="TOC3"/>
            <w:numPr>
              <w:ilvl w:val="1"/>
              <w:numId w:val="3"/>
            </w:numPr>
            <w:tabs>
              <w:tab w:pos="782" w:val="left" w:leader="none"/>
              <w:tab w:pos="9012" w:val="left" w:leader="dot"/>
            </w:tabs>
            <w:spacing w:line="240" w:lineRule="auto" w:before="132" w:after="0"/>
            <w:ind w:left="781" w:right="0" w:hanging="304"/>
            <w:jc w:val="left"/>
            <w:rPr>
              <w:rFonts w:ascii="Times New Roman" w:eastAsia="Times New Roman"/>
            </w:rPr>
          </w:pPr>
          <w:hyperlink w:history="true" w:anchor="_bookmark58">
            <w:r>
              <w:rPr/>
              <w:t>经济效益分析</w:t>
              <w:tab/>
            </w:r>
            <w:r>
              <w:rPr>
                <w:rFonts w:ascii="Times New Roman" w:eastAsia="Times New Roman"/>
              </w:rPr>
              <w:t>243</w:t>
            </w:r>
          </w:hyperlink>
        </w:p>
        <w:p>
          <w:pPr>
            <w:pStyle w:val="TOC3"/>
            <w:numPr>
              <w:ilvl w:val="1"/>
              <w:numId w:val="3"/>
            </w:numPr>
            <w:tabs>
              <w:tab w:pos="782" w:val="left" w:leader="none"/>
              <w:tab w:pos="9012" w:val="left" w:leader="dot"/>
            </w:tabs>
            <w:spacing w:line="240" w:lineRule="auto" w:before="133" w:after="0"/>
            <w:ind w:left="781" w:right="0" w:hanging="304"/>
            <w:jc w:val="left"/>
            <w:rPr>
              <w:rFonts w:ascii="Times New Roman" w:eastAsia="Times New Roman"/>
            </w:rPr>
          </w:pPr>
          <w:hyperlink w:history="true" w:anchor="_bookmark59">
            <w:r>
              <w:rPr/>
              <w:t>社会效益分析</w:t>
              <w:tab/>
            </w:r>
            <w:r>
              <w:rPr>
                <w:rFonts w:ascii="Times New Roman" w:eastAsia="Times New Roman"/>
              </w:rPr>
              <w:t>244</w:t>
            </w:r>
          </w:hyperlink>
        </w:p>
        <w:p>
          <w:pPr>
            <w:pStyle w:val="TOC2"/>
            <w:numPr>
              <w:ilvl w:val="1"/>
              <w:numId w:val="3"/>
            </w:numPr>
            <w:tabs>
              <w:tab w:pos="782" w:val="left" w:leader="none"/>
              <w:tab w:pos="8533" w:val="left" w:leader="dot"/>
            </w:tabs>
            <w:spacing w:line="240" w:lineRule="auto" w:before="132" w:after="0"/>
            <w:ind w:left="781" w:right="229" w:hanging="782"/>
            <w:jc w:val="right"/>
            <w:rPr>
              <w:rFonts w:ascii="Times New Roman" w:eastAsia="Times New Roman"/>
            </w:rPr>
          </w:pPr>
          <w:hyperlink w:history="true" w:anchor="_bookmark60">
            <w:r>
              <w:rPr/>
              <w:t>环境经济损益分析小结</w:t>
              <w:tab/>
            </w:r>
            <w:r>
              <w:rPr>
                <w:rFonts w:ascii="Times New Roman" w:eastAsia="Times New Roman"/>
              </w:rPr>
              <w:t>244</w:t>
            </w:r>
          </w:hyperlink>
        </w:p>
        <w:p>
          <w:pPr>
            <w:pStyle w:val="TOC1"/>
            <w:numPr>
              <w:ilvl w:val="0"/>
              <w:numId w:val="3"/>
            </w:numPr>
            <w:tabs>
              <w:tab w:pos="262" w:val="left" w:leader="none"/>
              <w:tab w:pos="8759" w:val="left" w:leader="dot"/>
            </w:tabs>
            <w:spacing w:line="240" w:lineRule="auto" w:before="133" w:after="0"/>
            <w:ind w:left="500" w:right="229" w:hanging="501"/>
            <w:jc w:val="right"/>
            <w:rPr>
              <w:rFonts w:ascii="Times New Roman" w:eastAsia="Times New Roman"/>
            </w:rPr>
          </w:pPr>
          <w:hyperlink w:history="true" w:anchor="_bookmark61">
            <w:r>
              <w:rPr/>
              <w:t>环境管理和监测计划</w:t>
              <w:tab/>
            </w:r>
            <w:r>
              <w:rPr>
                <w:rFonts w:ascii="Times New Roman" w:eastAsia="Times New Roman"/>
              </w:rPr>
              <w:t>245</w:t>
            </w:r>
          </w:hyperlink>
        </w:p>
        <w:p>
          <w:pPr>
            <w:pStyle w:val="TOC2"/>
            <w:numPr>
              <w:ilvl w:val="1"/>
              <w:numId w:val="3"/>
            </w:numPr>
            <w:tabs>
              <w:tab w:pos="404" w:val="left" w:leader="none"/>
              <w:tab w:pos="8533" w:val="left" w:leader="dot"/>
            </w:tabs>
            <w:spacing w:line="240" w:lineRule="auto" w:before="142" w:after="0"/>
            <w:ind w:left="882" w:right="229" w:hanging="882"/>
            <w:jc w:val="right"/>
            <w:rPr>
              <w:rFonts w:ascii="Times New Roman" w:eastAsia="Times New Roman"/>
            </w:rPr>
          </w:pPr>
          <w:hyperlink w:history="true" w:anchor="_bookmark62">
            <w:r>
              <w:rPr/>
              <w:t>环境管理及监测目的</w:t>
              <w:tab/>
            </w:r>
            <w:r>
              <w:rPr>
                <w:rFonts w:ascii="Times New Roman" w:eastAsia="Times New Roman"/>
              </w:rPr>
              <w:t>245</w:t>
            </w:r>
          </w:hyperlink>
        </w:p>
        <w:p>
          <w:pPr>
            <w:pStyle w:val="TOC3"/>
            <w:numPr>
              <w:ilvl w:val="1"/>
              <w:numId w:val="3"/>
            </w:numPr>
            <w:tabs>
              <w:tab w:pos="882" w:val="left" w:leader="none"/>
              <w:tab w:pos="9012" w:val="left" w:leader="dot"/>
            </w:tabs>
            <w:spacing w:line="240" w:lineRule="auto" w:before="132" w:after="0"/>
            <w:ind w:left="882" w:right="0" w:hanging="404"/>
            <w:jc w:val="left"/>
            <w:rPr>
              <w:rFonts w:ascii="Times New Roman" w:eastAsia="Times New Roman"/>
            </w:rPr>
          </w:pPr>
          <w:hyperlink w:history="true" w:anchor="_bookmark63">
            <w:r>
              <w:rPr/>
              <w:t>环境执行监督机构</w:t>
              <w:tab/>
            </w:r>
            <w:r>
              <w:rPr>
                <w:rFonts w:ascii="Times New Roman" w:eastAsia="Times New Roman"/>
              </w:rPr>
              <w:t>245</w:t>
            </w:r>
          </w:hyperlink>
        </w:p>
        <w:p>
          <w:pPr>
            <w:pStyle w:val="TOC3"/>
            <w:numPr>
              <w:ilvl w:val="1"/>
              <w:numId w:val="3"/>
            </w:numPr>
            <w:tabs>
              <w:tab w:pos="882" w:val="left" w:leader="none"/>
              <w:tab w:pos="9012" w:val="left" w:leader="dot"/>
            </w:tabs>
            <w:spacing w:line="240" w:lineRule="auto" w:before="133" w:after="0"/>
            <w:ind w:left="882" w:right="0" w:hanging="404"/>
            <w:jc w:val="left"/>
            <w:rPr>
              <w:rFonts w:ascii="Times New Roman" w:eastAsia="Times New Roman"/>
            </w:rPr>
          </w:pPr>
          <w:hyperlink w:history="true" w:anchor="_bookmark64">
            <w:r>
              <w:rPr/>
              <w:t>加强环境管理</w:t>
              <w:tab/>
            </w:r>
            <w:r>
              <w:rPr>
                <w:rFonts w:ascii="Times New Roman" w:eastAsia="Times New Roman"/>
              </w:rPr>
              <w:t>245</w:t>
            </w:r>
          </w:hyperlink>
        </w:p>
        <w:p>
          <w:pPr>
            <w:pStyle w:val="TOC3"/>
            <w:numPr>
              <w:ilvl w:val="1"/>
              <w:numId w:val="3"/>
            </w:numPr>
            <w:tabs>
              <w:tab w:pos="911" w:val="left" w:leader="none"/>
              <w:tab w:pos="9012" w:val="left" w:leader="dot"/>
            </w:tabs>
            <w:spacing w:line="240" w:lineRule="auto" w:before="132" w:after="0"/>
            <w:ind w:left="910" w:right="0" w:hanging="433"/>
            <w:jc w:val="left"/>
            <w:rPr>
              <w:rFonts w:ascii="Times New Roman" w:eastAsia="Times New Roman"/>
            </w:rPr>
          </w:pPr>
          <w:hyperlink w:history="true" w:anchor="_bookmark65">
            <w:r>
              <w:rPr/>
              <w:t>污染物排放清单</w:t>
              <w:tab/>
            </w:r>
            <w:r>
              <w:rPr>
                <w:rFonts w:ascii="Times New Roman" w:eastAsia="Times New Roman"/>
              </w:rPr>
              <w:t>246</w:t>
            </w:r>
          </w:hyperlink>
        </w:p>
        <w:p>
          <w:pPr>
            <w:pStyle w:val="TOC2"/>
            <w:numPr>
              <w:ilvl w:val="1"/>
              <w:numId w:val="3"/>
            </w:numPr>
            <w:tabs>
              <w:tab w:pos="432" w:val="left" w:leader="none"/>
              <w:tab w:pos="8533" w:val="left" w:leader="dot"/>
            </w:tabs>
            <w:spacing w:line="240" w:lineRule="auto" w:before="133" w:after="0"/>
            <w:ind w:left="910" w:right="229" w:hanging="911"/>
            <w:jc w:val="right"/>
            <w:rPr>
              <w:rFonts w:ascii="Times New Roman" w:eastAsia="Times New Roman"/>
            </w:rPr>
          </w:pPr>
          <w:hyperlink w:history="true" w:anchor="_bookmark66">
            <w:r>
              <w:rPr/>
              <w:t>排污口设置及规范化管理</w:t>
              <w:tab/>
            </w:r>
            <w:r>
              <w:rPr>
                <w:rFonts w:ascii="Times New Roman" w:eastAsia="Times New Roman"/>
              </w:rPr>
              <w:t>249</w:t>
            </w:r>
          </w:hyperlink>
        </w:p>
        <w:p>
          <w:pPr>
            <w:pStyle w:val="TOC3"/>
            <w:numPr>
              <w:ilvl w:val="1"/>
              <w:numId w:val="3"/>
            </w:numPr>
            <w:tabs>
              <w:tab w:pos="882" w:val="left" w:leader="none"/>
              <w:tab w:pos="9012" w:val="left" w:leader="dot"/>
            </w:tabs>
            <w:spacing w:line="240" w:lineRule="auto" w:before="132" w:after="0"/>
            <w:ind w:left="882" w:right="0" w:hanging="404"/>
            <w:jc w:val="left"/>
            <w:rPr>
              <w:rFonts w:ascii="Times New Roman" w:eastAsia="Times New Roman"/>
            </w:rPr>
          </w:pPr>
          <w:hyperlink w:history="true" w:anchor="_bookmark67">
            <w:r>
              <w:rPr/>
              <w:t>环境监测计划</w:t>
              <w:tab/>
            </w:r>
            <w:r>
              <w:rPr>
                <w:rFonts w:ascii="Times New Roman" w:eastAsia="Times New Roman"/>
              </w:rPr>
              <w:t>250</w:t>
            </w:r>
          </w:hyperlink>
        </w:p>
        <w:p>
          <w:pPr>
            <w:pStyle w:val="TOC1"/>
            <w:numPr>
              <w:ilvl w:val="0"/>
              <w:numId w:val="3"/>
            </w:numPr>
            <w:tabs>
              <w:tab w:pos="303" w:val="left" w:leader="none"/>
              <w:tab w:pos="8759" w:val="left" w:leader="dot"/>
            </w:tabs>
            <w:spacing w:line="240" w:lineRule="auto" w:before="133" w:after="240"/>
            <w:ind w:left="541" w:right="229" w:hanging="542"/>
            <w:jc w:val="right"/>
            <w:rPr>
              <w:rFonts w:ascii="Times New Roman" w:eastAsia="Times New Roman"/>
            </w:rPr>
          </w:pPr>
          <w:hyperlink w:history="true" w:anchor="_bookmark68">
            <w:r>
              <w:rPr/>
              <w:t>环保审批原则符合性</w:t>
            </w:r>
            <w:r>
              <w:rPr>
                <w:spacing w:val="-3"/>
              </w:rPr>
              <w:t>分</w:t>
            </w:r>
            <w:r>
              <w:rPr/>
              <w:t>析</w:t>
              <w:tab/>
            </w:r>
            <w:r>
              <w:rPr>
                <w:rFonts w:ascii="Times New Roman" w:eastAsia="Times New Roman"/>
              </w:rPr>
              <w:t>253</w:t>
            </w:r>
          </w:hyperlink>
        </w:p>
        <w:p>
          <w:pPr>
            <w:pStyle w:val="TOC2"/>
            <w:numPr>
              <w:ilvl w:val="1"/>
              <w:numId w:val="3"/>
            </w:numPr>
            <w:tabs>
              <w:tab w:pos="396" w:val="left" w:leader="none"/>
              <w:tab w:pos="8835" w:val="right" w:leader="dot"/>
            </w:tabs>
            <w:spacing w:line="240" w:lineRule="auto" w:before="67" w:after="0"/>
            <w:ind w:left="874" w:right="229" w:hanging="875"/>
            <w:jc w:val="right"/>
            <w:rPr>
              <w:rFonts w:ascii="Times New Roman" w:hAnsi="Times New Roman" w:eastAsia="Times New Roman"/>
            </w:rPr>
          </w:pPr>
          <w:hyperlink w:history="true" w:anchor="_bookmark69">
            <w:r>
              <w:rPr/>
              <w:t>建设项目环境保护管理条例</w:t>
            </w:r>
            <w:r>
              <w:rPr>
                <w:rFonts w:ascii="Times New Roman" w:hAnsi="Times New Roman" w:eastAsia="Times New Roman"/>
              </w:rPr>
              <w:t>“</w:t>
            </w:r>
            <w:r>
              <w:rPr/>
              <w:t>四性五不批</w:t>
            </w:r>
            <w:r>
              <w:rPr>
                <w:rFonts w:ascii="Times New Roman" w:hAnsi="Times New Roman" w:eastAsia="Times New Roman"/>
              </w:rPr>
              <w:t>”</w:t>
            </w:r>
            <w:r>
              <w:rPr/>
              <w:t>符合性分析</w:t>
              <w:tab/>
            </w:r>
            <w:r>
              <w:rPr>
                <w:rFonts w:ascii="Times New Roman" w:hAnsi="Times New Roman" w:eastAsia="Times New Roman"/>
              </w:rPr>
              <w:t>253</w:t>
            </w:r>
          </w:hyperlink>
        </w:p>
        <w:p>
          <w:pPr>
            <w:pStyle w:val="TOC2"/>
            <w:numPr>
              <w:ilvl w:val="1"/>
              <w:numId w:val="3"/>
            </w:numPr>
            <w:tabs>
              <w:tab w:pos="346" w:val="left" w:leader="none"/>
              <w:tab w:pos="8835" w:val="right" w:leader="dot"/>
            </w:tabs>
            <w:spacing w:line="240" w:lineRule="auto" w:before="133" w:after="0"/>
            <w:ind w:left="824" w:right="229" w:hanging="825"/>
            <w:jc w:val="right"/>
            <w:rPr>
              <w:rFonts w:ascii="Times New Roman" w:eastAsia="Times New Roman"/>
            </w:rPr>
          </w:pPr>
          <w:hyperlink w:history="true" w:anchor="_bookmark70">
            <w:r>
              <w:rPr/>
              <w:t>《浙江省建设项目环境保护管理办法》</w:t>
            </w:r>
            <w:r>
              <w:rPr>
                <w:rFonts w:ascii="Times New Roman" w:eastAsia="Times New Roman"/>
              </w:rPr>
              <w:t>(2021</w:t>
            </w:r>
            <w:r>
              <w:rPr>
                <w:rFonts w:ascii="Times New Roman" w:eastAsia="Times New Roman"/>
                <w:spacing w:val="1"/>
              </w:rPr>
              <w:t> </w:t>
            </w:r>
            <w:r>
              <w:rPr/>
              <w:t>年修正</w:t>
            </w:r>
            <w:r>
              <w:rPr>
                <w:rFonts w:ascii="Times New Roman" w:eastAsia="Times New Roman"/>
              </w:rPr>
              <w:t>)</w:t>
            </w:r>
            <w:r>
              <w:rPr/>
              <w:t>符合性分析</w:t>
              <w:tab/>
            </w:r>
            <w:r>
              <w:rPr>
                <w:rFonts w:ascii="Times New Roman" w:eastAsia="Times New Roman"/>
              </w:rPr>
              <w:t>262</w:t>
            </w:r>
          </w:hyperlink>
        </w:p>
        <w:p>
          <w:pPr>
            <w:pStyle w:val="TOC2"/>
            <w:numPr>
              <w:ilvl w:val="1"/>
              <w:numId w:val="3"/>
            </w:numPr>
            <w:tabs>
              <w:tab w:pos="396" w:val="left" w:leader="none"/>
              <w:tab w:pos="8835" w:val="right" w:leader="dot"/>
            </w:tabs>
            <w:spacing w:line="240" w:lineRule="auto" w:before="133" w:after="0"/>
            <w:ind w:left="874" w:right="229" w:hanging="875"/>
            <w:jc w:val="right"/>
            <w:rPr>
              <w:rFonts w:ascii="Times New Roman" w:eastAsia="Times New Roman"/>
            </w:rPr>
          </w:pPr>
          <w:hyperlink w:history="true" w:anchor="_bookmark71">
            <w:r>
              <w:rPr/>
              <w:t>建设项目其他部门审批要求符合性分析</w:t>
              <w:tab/>
            </w:r>
            <w:r>
              <w:rPr>
                <w:rFonts w:ascii="Times New Roman" w:eastAsia="Times New Roman"/>
              </w:rPr>
              <w:t>262</w:t>
            </w:r>
          </w:hyperlink>
        </w:p>
        <w:p>
          <w:pPr>
            <w:pStyle w:val="TOC2"/>
            <w:tabs>
              <w:tab w:pos="8835" w:val="right" w:leader="dot"/>
            </w:tabs>
            <w:spacing w:before="132"/>
            <w:ind w:left="0" w:firstLine="0"/>
            <w:rPr>
              <w:rFonts w:ascii="Times New Roman" w:eastAsia="Times New Roman"/>
            </w:rPr>
          </w:pPr>
          <w:hyperlink w:history="true" w:anchor="_bookmark72">
            <w:r>
              <w:rPr>
                <w:rFonts w:ascii="Times New Roman" w:eastAsia="Times New Roman"/>
              </w:rPr>
              <w:t>11.4 </w:t>
            </w:r>
            <w:r>
              <w:rPr/>
              <w:t>总结</w:t>
              <w:tab/>
            </w:r>
            <w:r>
              <w:rPr>
                <w:rFonts w:ascii="Times New Roman" w:eastAsia="Times New Roman"/>
              </w:rPr>
              <w:t>276</w:t>
            </w:r>
          </w:hyperlink>
        </w:p>
        <w:p>
          <w:pPr>
            <w:pStyle w:val="TOC1"/>
            <w:numPr>
              <w:ilvl w:val="0"/>
              <w:numId w:val="3"/>
            </w:numPr>
            <w:tabs>
              <w:tab w:pos="262" w:val="left" w:leader="none"/>
              <w:tab w:pos="9075" w:val="right" w:leader="dot"/>
            </w:tabs>
            <w:spacing w:line="240" w:lineRule="auto" w:before="132" w:after="0"/>
            <w:ind w:left="500" w:right="229" w:hanging="501"/>
            <w:jc w:val="right"/>
            <w:rPr>
              <w:rFonts w:ascii="Times New Roman" w:eastAsia="Times New Roman"/>
            </w:rPr>
          </w:pPr>
          <w:hyperlink w:history="true" w:anchor="_bookmark73">
            <w:r>
              <w:rPr/>
              <w:t>结论和建议</w:t>
              <w:tab/>
            </w:r>
            <w:r>
              <w:rPr>
                <w:rFonts w:ascii="Times New Roman" w:eastAsia="Times New Roman"/>
              </w:rPr>
              <w:t>277</w:t>
            </w:r>
          </w:hyperlink>
        </w:p>
        <w:p>
          <w:pPr>
            <w:pStyle w:val="TOC2"/>
            <w:numPr>
              <w:ilvl w:val="1"/>
              <w:numId w:val="3"/>
            </w:numPr>
            <w:tabs>
              <w:tab w:pos="404" w:val="left" w:leader="none"/>
              <w:tab w:pos="8835" w:val="right" w:leader="dot"/>
            </w:tabs>
            <w:spacing w:line="240" w:lineRule="auto" w:before="140" w:after="0"/>
            <w:ind w:left="882" w:right="229" w:hanging="882"/>
            <w:jc w:val="right"/>
            <w:rPr>
              <w:rFonts w:ascii="Times New Roman" w:eastAsia="Times New Roman"/>
            </w:rPr>
          </w:pPr>
          <w:hyperlink w:history="true" w:anchor="_bookmark74">
            <w:r>
              <w:rPr/>
              <w:t>建设项目的建设情况</w:t>
              <w:tab/>
            </w:r>
            <w:r>
              <w:rPr>
                <w:rFonts w:ascii="Times New Roman" w:eastAsia="Times New Roman"/>
              </w:rPr>
              <w:t>277</w:t>
            </w:r>
          </w:hyperlink>
        </w:p>
        <w:p>
          <w:pPr>
            <w:pStyle w:val="TOC2"/>
            <w:numPr>
              <w:ilvl w:val="1"/>
              <w:numId w:val="3"/>
            </w:numPr>
            <w:tabs>
              <w:tab w:pos="404" w:val="left" w:leader="none"/>
              <w:tab w:pos="8835" w:val="right" w:leader="dot"/>
            </w:tabs>
            <w:spacing w:line="240" w:lineRule="auto" w:before="135" w:after="0"/>
            <w:ind w:left="882" w:right="229" w:hanging="882"/>
            <w:jc w:val="right"/>
            <w:rPr>
              <w:rFonts w:ascii="Times New Roman" w:eastAsia="Times New Roman"/>
            </w:rPr>
          </w:pPr>
          <w:hyperlink w:history="true" w:anchor="_bookmark75">
            <w:r>
              <w:rPr/>
              <w:t>环境质量现状</w:t>
              <w:tab/>
            </w:r>
            <w:r>
              <w:rPr>
                <w:rFonts w:ascii="Times New Roman" w:eastAsia="Times New Roman"/>
              </w:rPr>
              <w:t>277</w:t>
            </w:r>
          </w:hyperlink>
        </w:p>
        <w:p>
          <w:pPr>
            <w:pStyle w:val="TOC2"/>
            <w:numPr>
              <w:ilvl w:val="1"/>
              <w:numId w:val="3"/>
            </w:numPr>
            <w:tabs>
              <w:tab w:pos="404" w:val="left" w:leader="none"/>
              <w:tab w:pos="8835" w:val="right" w:leader="dot"/>
            </w:tabs>
            <w:spacing w:line="240" w:lineRule="auto" w:before="132" w:after="0"/>
            <w:ind w:left="882" w:right="229" w:hanging="882"/>
            <w:jc w:val="right"/>
            <w:rPr>
              <w:rFonts w:ascii="Times New Roman" w:eastAsia="Times New Roman"/>
            </w:rPr>
          </w:pPr>
          <w:hyperlink w:history="true" w:anchor="_bookmark76">
            <w:r>
              <w:rPr/>
              <w:t>污染物排放情况</w:t>
              <w:tab/>
            </w:r>
            <w:r>
              <w:rPr>
                <w:rFonts w:ascii="Times New Roman" w:eastAsia="Times New Roman"/>
              </w:rPr>
              <w:t>278</w:t>
            </w:r>
          </w:hyperlink>
        </w:p>
        <w:p>
          <w:pPr>
            <w:pStyle w:val="TOC2"/>
            <w:numPr>
              <w:ilvl w:val="1"/>
              <w:numId w:val="3"/>
            </w:numPr>
            <w:tabs>
              <w:tab w:pos="404" w:val="left" w:leader="none"/>
              <w:tab w:pos="8835" w:val="right" w:leader="dot"/>
            </w:tabs>
            <w:spacing w:line="240" w:lineRule="auto" w:before="133" w:after="0"/>
            <w:ind w:left="882" w:right="229" w:hanging="882"/>
            <w:jc w:val="right"/>
            <w:rPr>
              <w:rFonts w:ascii="Times New Roman" w:eastAsia="Times New Roman"/>
            </w:rPr>
          </w:pPr>
          <w:hyperlink w:history="true" w:anchor="_bookmark77">
            <w:r>
              <w:rPr/>
              <w:t>主要环境影响</w:t>
              <w:tab/>
            </w:r>
            <w:r>
              <w:rPr>
                <w:rFonts w:ascii="Times New Roman" w:eastAsia="Times New Roman"/>
              </w:rPr>
              <w:t>278</w:t>
            </w:r>
          </w:hyperlink>
        </w:p>
        <w:p>
          <w:pPr>
            <w:pStyle w:val="TOC2"/>
            <w:numPr>
              <w:ilvl w:val="1"/>
              <w:numId w:val="3"/>
            </w:numPr>
            <w:tabs>
              <w:tab w:pos="404" w:val="left" w:leader="none"/>
              <w:tab w:pos="8835" w:val="right" w:leader="dot"/>
            </w:tabs>
            <w:spacing w:line="240" w:lineRule="auto" w:before="132" w:after="0"/>
            <w:ind w:left="882" w:right="229" w:hanging="882"/>
            <w:jc w:val="right"/>
            <w:rPr>
              <w:rFonts w:ascii="Times New Roman" w:eastAsia="Times New Roman"/>
            </w:rPr>
          </w:pPr>
          <w:hyperlink w:history="true" w:anchor="_bookmark78">
            <w:r>
              <w:rPr/>
              <w:t>公众意见采纳情况</w:t>
              <w:tab/>
            </w:r>
            <w:r>
              <w:rPr>
                <w:rFonts w:ascii="Times New Roman" w:eastAsia="Times New Roman"/>
              </w:rPr>
              <w:t>279</w:t>
            </w:r>
          </w:hyperlink>
        </w:p>
        <w:p>
          <w:pPr>
            <w:pStyle w:val="TOC2"/>
            <w:numPr>
              <w:ilvl w:val="1"/>
              <w:numId w:val="3"/>
            </w:numPr>
            <w:tabs>
              <w:tab w:pos="404" w:val="left" w:leader="none"/>
              <w:tab w:pos="8835" w:val="right" w:leader="dot"/>
            </w:tabs>
            <w:spacing w:line="240" w:lineRule="auto" w:before="133" w:after="0"/>
            <w:ind w:left="882" w:right="229" w:hanging="882"/>
            <w:jc w:val="right"/>
            <w:rPr>
              <w:rFonts w:ascii="Times New Roman" w:eastAsia="Times New Roman"/>
            </w:rPr>
          </w:pPr>
          <w:hyperlink w:history="true" w:anchor="_bookmark79">
            <w:r>
              <w:rPr/>
              <w:t>环境可行性分析</w:t>
              <w:tab/>
            </w:r>
            <w:r>
              <w:rPr>
                <w:rFonts w:ascii="Times New Roman" w:eastAsia="Times New Roman"/>
              </w:rPr>
              <w:t>280</w:t>
            </w:r>
          </w:hyperlink>
        </w:p>
        <w:p>
          <w:pPr>
            <w:pStyle w:val="TOC2"/>
            <w:tabs>
              <w:tab w:pos="8835" w:val="right" w:leader="dot"/>
            </w:tabs>
            <w:ind w:left="0" w:firstLine="0"/>
            <w:rPr>
              <w:rFonts w:ascii="Times New Roman" w:eastAsia="Times New Roman"/>
            </w:rPr>
          </w:pPr>
          <w:hyperlink w:history="true" w:anchor="_bookmark80">
            <w:r>
              <w:rPr>
                <w:rFonts w:ascii="Times New Roman" w:eastAsia="Times New Roman"/>
              </w:rPr>
              <w:t>13.7</w:t>
            </w:r>
            <w:r>
              <w:rPr>
                <w:rFonts w:ascii="Times New Roman" w:eastAsia="Times New Roman"/>
                <w:spacing w:val="29"/>
              </w:rPr>
              <w:t> </w:t>
            </w:r>
            <w:r>
              <w:rPr/>
              <w:t>环境影响经济损益分析</w:t>
              <w:tab/>
            </w:r>
            <w:r>
              <w:rPr>
                <w:rFonts w:ascii="Times New Roman" w:eastAsia="Times New Roman"/>
              </w:rPr>
              <w:t>281</w:t>
            </w:r>
          </w:hyperlink>
        </w:p>
        <w:p>
          <w:pPr>
            <w:pStyle w:val="TOC2"/>
            <w:numPr>
              <w:ilvl w:val="1"/>
              <w:numId w:val="4"/>
            </w:numPr>
            <w:tabs>
              <w:tab w:pos="404" w:val="left" w:leader="none"/>
              <w:tab w:pos="8835" w:val="right" w:leader="dot"/>
            </w:tabs>
            <w:spacing w:line="240" w:lineRule="auto" w:before="133" w:after="0"/>
            <w:ind w:left="882" w:right="229" w:hanging="882"/>
            <w:jc w:val="right"/>
            <w:rPr>
              <w:rFonts w:ascii="Times New Roman" w:eastAsia="Times New Roman"/>
            </w:rPr>
          </w:pPr>
          <w:hyperlink w:history="true" w:anchor="_bookmark81">
            <w:r>
              <w:rPr/>
              <w:t>环境管理和监测计划</w:t>
              <w:tab/>
            </w:r>
            <w:r>
              <w:rPr>
                <w:rFonts w:ascii="Times New Roman" w:eastAsia="Times New Roman"/>
              </w:rPr>
              <w:t>281</w:t>
            </w:r>
          </w:hyperlink>
        </w:p>
        <w:p>
          <w:pPr>
            <w:pStyle w:val="TOC2"/>
            <w:numPr>
              <w:ilvl w:val="1"/>
              <w:numId w:val="4"/>
            </w:numPr>
            <w:tabs>
              <w:tab w:pos="404" w:val="left" w:leader="none"/>
              <w:tab w:pos="8835" w:val="right" w:leader="dot"/>
            </w:tabs>
            <w:spacing w:line="240" w:lineRule="auto" w:before="132" w:after="0"/>
            <w:ind w:left="882" w:right="229" w:hanging="882"/>
            <w:jc w:val="right"/>
            <w:rPr>
              <w:rFonts w:ascii="Times New Roman" w:eastAsia="Times New Roman"/>
            </w:rPr>
          </w:pPr>
          <w:hyperlink w:history="true" w:anchor="_bookmark82">
            <w:r>
              <w:rPr/>
              <w:t>要求与建议</w:t>
              <w:tab/>
            </w:r>
            <w:r>
              <w:rPr>
                <w:rFonts w:ascii="Times New Roman" w:eastAsia="Times New Roman"/>
              </w:rPr>
              <w:t>281</w:t>
            </w:r>
          </w:hyperlink>
        </w:p>
        <w:p>
          <w:pPr>
            <w:pStyle w:val="TOC2"/>
            <w:numPr>
              <w:ilvl w:val="1"/>
              <w:numId w:val="4"/>
            </w:numPr>
            <w:tabs>
              <w:tab w:pos="502" w:val="left" w:leader="none"/>
              <w:tab w:pos="8835" w:val="right" w:leader="dot"/>
            </w:tabs>
            <w:spacing w:line="240" w:lineRule="auto" w:before="133" w:after="0"/>
            <w:ind w:left="980" w:right="229" w:hanging="981"/>
            <w:jc w:val="right"/>
            <w:rPr>
              <w:rFonts w:ascii="Times New Roman" w:eastAsia="Times New Roman"/>
            </w:rPr>
          </w:pPr>
          <w:hyperlink w:history="true" w:anchor="_bookmark83">
            <w:r>
              <w:rPr/>
              <w:t>环评综合结论</w:t>
              <w:tab/>
            </w:r>
            <w:r>
              <w:rPr>
                <w:rFonts w:ascii="Times New Roman" w:eastAsia="Times New Roman"/>
              </w:rPr>
              <w:t>282</w:t>
            </w:r>
          </w:hyperlink>
        </w:p>
        <w:p>
          <w:pPr>
            <w:pStyle w:val="TOC1"/>
            <w:tabs>
              <w:tab w:pos="9075" w:val="right" w:leader="dot"/>
            </w:tabs>
            <w:spacing w:before="134"/>
            <w:ind w:left="0" w:firstLine="0"/>
            <w:rPr>
              <w:rFonts w:ascii="Times New Roman" w:eastAsia="Times New Roman"/>
            </w:rPr>
          </w:pPr>
          <w:hyperlink w:history="true" w:anchor="_bookmark84">
            <w:r>
              <w:rPr/>
              <w:t>附表</w:t>
            </w:r>
            <w:r>
              <w:rPr>
                <w:spacing w:val="-1"/>
              </w:rPr>
              <w:t> </w:t>
            </w:r>
            <w:r>
              <w:rPr/>
              <w:t>建设项目大气</w:t>
            </w:r>
            <w:r>
              <w:rPr>
                <w:spacing w:val="-3"/>
              </w:rPr>
              <w:t>环</w:t>
            </w:r>
            <w:r>
              <w:rPr/>
              <w:t>境</w:t>
            </w:r>
            <w:r>
              <w:rPr>
                <w:spacing w:val="-3"/>
              </w:rPr>
              <w:t>影</w:t>
            </w:r>
            <w:r>
              <w:rPr/>
              <w:t>响评价自查表</w:t>
            </w:r>
          </w:hyperlink>
          <w:r>
            <w:rPr/>
            <w:tab/>
          </w:r>
          <w:hyperlink w:history="true" w:anchor="_bookmark84">
            <w:r>
              <w:rPr>
                <w:rFonts w:ascii="Times New Roman" w:eastAsia="Times New Roman"/>
              </w:rPr>
              <w:t>283</w:t>
            </w:r>
          </w:hyperlink>
        </w:p>
        <w:p>
          <w:pPr>
            <w:pStyle w:val="TOC1"/>
            <w:tabs>
              <w:tab w:pos="9075" w:val="right" w:leader="dot"/>
            </w:tabs>
            <w:spacing w:before="139"/>
            <w:ind w:left="0" w:firstLine="0"/>
            <w:rPr>
              <w:rFonts w:ascii="Times New Roman" w:eastAsia="Times New Roman"/>
            </w:rPr>
          </w:pPr>
          <w:hyperlink w:history="true" w:anchor="_bookmark85">
            <w:r>
              <w:rPr/>
              <w:t>建设项目地表水环</w:t>
            </w:r>
            <w:r>
              <w:rPr>
                <w:spacing w:val="-3"/>
              </w:rPr>
              <w:t>境</w:t>
            </w:r>
            <w:r>
              <w:rPr/>
              <w:t>影</w:t>
            </w:r>
            <w:r>
              <w:rPr>
                <w:spacing w:val="-3"/>
              </w:rPr>
              <w:t>响</w:t>
            </w:r>
            <w:r>
              <w:rPr/>
              <w:t>评价自查表</w:t>
            </w:r>
          </w:hyperlink>
          <w:r>
            <w:rPr/>
            <w:tab/>
          </w:r>
          <w:hyperlink w:history="true" w:anchor="_bookmark85">
            <w:r>
              <w:rPr>
                <w:rFonts w:ascii="Times New Roman" w:eastAsia="Times New Roman"/>
              </w:rPr>
              <w:t>284</w:t>
            </w:r>
          </w:hyperlink>
        </w:p>
        <w:p>
          <w:pPr>
            <w:pStyle w:val="TOC1"/>
            <w:tabs>
              <w:tab w:pos="9075" w:val="right" w:leader="dot"/>
            </w:tabs>
            <w:spacing w:before="139"/>
            <w:ind w:left="0" w:firstLine="0"/>
            <w:rPr>
              <w:rFonts w:ascii="Times New Roman" w:eastAsia="Times New Roman"/>
            </w:rPr>
          </w:pPr>
          <w:hyperlink w:history="true" w:anchor="_bookmark86">
            <w:r>
              <w:rPr/>
              <w:t>建设项目环境风险</w:t>
            </w:r>
            <w:r>
              <w:rPr>
                <w:spacing w:val="-3"/>
              </w:rPr>
              <w:t>评</w:t>
            </w:r>
            <w:r>
              <w:rPr/>
              <w:t>价</w:t>
            </w:r>
            <w:r>
              <w:rPr>
                <w:spacing w:val="-3"/>
              </w:rPr>
              <w:t>自</w:t>
            </w:r>
            <w:r>
              <w:rPr/>
              <w:t>查表</w:t>
            </w:r>
          </w:hyperlink>
          <w:r>
            <w:rPr/>
            <w:tab/>
          </w:r>
          <w:hyperlink w:history="true" w:anchor="_bookmark86">
            <w:r>
              <w:rPr>
                <w:rFonts w:ascii="Times New Roman" w:eastAsia="Times New Roman"/>
              </w:rPr>
              <w:t>286</w:t>
            </w:r>
          </w:hyperlink>
        </w:p>
        <w:p>
          <w:pPr>
            <w:pStyle w:val="TOC1"/>
            <w:tabs>
              <w:tab w:pos="9075" w:val="right" w:leader="dot"/>
            </w:tabs>
            <w:spacing w:before="139"/>
            <w:ind w:left="0" w:firstLine="0"/>
            <w:rPr>
              <w:rFonts w:ascii="Times New Roman" w:eastAsia="Times New Roman"/>
            </w:rPr>
          </w:pPr>
          <w:hyperlink w:history="true" w:anchor="_bookmark87">
            <w:r>
              <w:rPr/>
              <w:t>土壤环境影响评价</w:t>
            </w:r>
            <w:r>
              <w:rPr>
                <w:spacing w:val="-3"/>
              </w:rPr>
              <w:t>自</w:t>
            </w:r>
            <w:r>
              <w:rPr/>
              <w:t>查表</w:t>
            </w:r>
          </w:hyperlink>
          <w:r>
            <w:rPr/>
            <w:tab/>
          </w:r>
          <w:hyperlink w:history="true" w:anchor="_bookmark87">
            <w:r>
              <w:rPr>
                <w:rFonts w:ascii="Times New Roman" w:eastAsia="Times New Roman"/>
              </w:rPr>
              <w:t>287</w:t>
            </w:r>
          </w:hyperlink>
        </w:p>
      </w:sdtContent>
    </w:sdt>
    <w:p>
      <w:pPr>
        <w:spacing w:after="0"/>
        <w:rPr>
          <w:rFonts w:ascii="Times New Roman" w:eastAsia="Times New Roman"/>
        </w:rPr>
        <w:sectPr>
          <w:type w:val="continuous"/>
          <w:pgSz w:w="11910" w:h="16850"/>
          <w:pgMar w:top="1362" w:bottom="1112" w:left="1180" w:right="1180"/>
        </w:sectPr>
      </w:pPr>
    </w:p>
    <w:p>
      <w:pPr>
        <w:spacing w:before="144"/>
        <w:ind w:left="450" w:right="0" w:firstLine="0"/>
        <w:jc w:val="left"/>
        <w:rPr>
          <w:b/>
          <w:sz w:val="21"/>
        </w:rPr>
      </w:pPr>
      <w:r>
        <w:rPr>
          <w:b/>
          <w:sz w:val="21"/>
        </w:rPr>
        <w:t>附图：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1</w:t>
        <w:tab/>
      </w:r>
      <w:r>
        <w:rPr>
          <w:spacing w:val="-3"/>
          <w:sz w:val="21"/>
        </w:rPr>
        <w:t>建</w:t>
      </w:r>
      <w:r>
        <w:rPr>
          <w:sz w:val="21"/>
        </w:rPr>
        <w:t>设</w:t>
      </w:r>
      <w:r>
        <w:rPr>
          <w:spacing w:val="-3"/>
          <w:sz w:val="21"/>
        </w:rPr>
        <w:t>项</w:t>
      </w:r>
      <w:r>
        <w:rPr>
          <w:sz w:val="21"/>
        </w:rPr>
        <w:t>目</w:t>
      </w:r>
      <w:r>
        <w:rPr>
          <w:spacing w:val="-3"/>
          <w:sz w:val="21"/>
        </w:rPr>
        <w:t>地</w:t>
      </w:r>
      <w:r>
        <w:rPr>
          <w:sz w:val="21"/>
        </w:rPr>
        <w:t>理</w:t>
      </w:r>
      <w:r>
        <w:rPr>
          <w:spacing w:val="-3"/>
          <w:sz w:val="21"/>
        </w:rPr>
        <w:t>位</w:t>
      </w:r>
      <w:r>
        <w:rPr>
          <w:sz w:val="21"/>
        </w:rPr>
        <w:t>置示</w:t>
      </w:r>
      <w:r>
        <w:rPr>
          <w:spacing w:val="-3"/>
          <w:sz w:val="21"/>
        </w:rPr>
        <w:t>意</w:t>
      </w:r>
      <w:r>
        <w:rPr>
          <w:sz w:val="21"/>
        </w:rPr>
        <w:t>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2</w:t>
        <w:tab/>
      </w:r>
      <w:r>
        <w:rPr>
          <w:spacing w:val="-3"/>
          <w:sz w:val="21"/>
        </w:rPr>
        <w:t>项</w:t>
      </w:r>
      <w:r>
        <w:rPr>
          <w:sz w:val="21"/>
        </w:rPr>
        <w:t>目</w:t>
      </w:r>
      <w:r>
        <w:rPr>
          <w:spacing w:val="-3"/>
          <w:sz w:val="21"/>
        </w:rPr>
        <w:t>周</w:t>
      </w:r>
      <w:r>
        <w:rPr>
          <w:sz w:val="21"/>
        </w:rPr>
        <w:t>边</w:t>
      </w:r>
      <w:r>
        <w:rPr>
          <w:spacing w:val="-3"/>
          <w:sz w:val="21"/>
        </w:rPr>
        <w:t>环</w:t>
      </w:r>
      <w:r>
        <w:rPr>
          <w:sz w:val="21"/>
        </w:rPr>
        <w:t>境</w:t>
      </w:r>
      <w:r>
        <w:rPr>
          <w:spacing w:val="-3"/>
          <w:sz w:val="21"/>
        </w:rPr>
        <w:t>概</w:t>
      </w:r>
      <w:r>
        <w:rPr>
          <w:sz w:val="21"/>
        </w:rPr>
        <w:t>况示</w:t>
      </w:r>
      <w:r>
        <w:rPr>
          <w:spacing w:val="-3"/>
          <w:sz w:val="21"/>
        </w:rPr>
        <w:t>意</w:t>
      </w:r>
      <w:r>
        <w:rPr>
          <w:sz w:val="21"/>
        </w:rPr>
        <w:t>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3</w:t>
        <w:tab/>
      </w:r>
      <w:r>
        <w:rPr>
          <w:spacing w:val="-3"/>
          <w:sz w:val="21"/>
        </w:rPr>
        <w:t>项</w:t>
      </w:r>
      <w:r>
        <w:rPr>
          <w:sz w:val="21"/>
        </w:rPr>
        <w:t>目</w:t>
      </w:r>
      <w:r>
        <w:rPr>
          <w:spacing w:val="-3"/>
          <w:sz w:val="21"/>
        </w:rPr>
        <w:t>所</w:t>
      </w:r>
      <w:r>
        <w:rPr>
          <w:sz w:val="21"/>
        </w:rPr>
        <w:t>在</w:t>
      </w:r>
      <w:r>
        <w:rPr>
          <w:spacing w:val="-3"/>
          <w:sz w:val="21"/>
        </w:rPr>
        <w:t>厂</w:t>
      </w:r>
      <w:r>
        <w:rPr>
          <w:sz w:val="21"/>
        </w:rPr>
        <w:t>区</w:t>
      </w:r>
      <w:r>
        <w:rPr>
          <w:spacing w:val="-3"/>
          <w:sz w:val="21"/>
        </w:rPr>
        <w:t>四</w:t>
      </w:r>
      <w:r>
        <w:rPr>
          <w:sz w:val="21"/>
        </w:rPr>
        <w:t>周周</w:t>
      </w:r>
      <w:r>
        <w:rPr>
          <w:spacing w:val="-3"/>
          <w:sz w:val="21"/>
        </w:rPr>
        <w:t>边</w:t>
      </w:r>
      <w:r>
        <w:rPr>
          <w:sz w:val="21"/>
        </w:rPr>
        <w:t>环</w:t>
      </w:r>
      <w:r>
        <w:rPr>
          <w:spacing w:val="-3"/>
          <w:sz w:val="21"/>
        </w:rPr>
        <w:t>境</w:t>
      </w:r>
      <w:r>
        <w:rPr>
          <w:sz w:val="21"/>
        </w:rPr>
        <w:t>实</w:t>
      </w:r>
      <w:r>
        <w:rPr>
          <w:spacing w:val="-3"/>
          <w:sz w:val="21"/>
        </w:rPr>
        <w:t>景</w:t>
      </w:r>
      <w:r>
        <w:rPr>
          <w:sz w:val="21"/>
        </w:rPr>
        <w:t>照片</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4</w:t>
        <w:tab/>
      </w:r>
      <w:r>
        <w:rPr>
          <w:spacing w:val="-3"/>
          <w:sz w:val="21"/>
        </w:rPr>
        <w:t>项</w:t>
      </w:r>
      <w:r>
        <w:rPr>
          <w:sz w:val="21"/>
        </w:rPr>
        <w:t>目</w:t>
      </w:r>
      <w:r>
        <w:rPr>
          <w:spacing w:val="-3"/>
          <w:sz w:val="21"/>
        </w:rPr>
        <w:t>建</w:t>
      </w:r>
      <w:r>
        <w:rPr>
          <w:sz w:val="21"/>
        </w:rPr>
        <w:t>设</w:t>
      </w:r>
      <w:r>
        <w:rPr>
          <w:spacing w:val="-3"/>
          <w:sz w:val="21"/>
        </w:rPr>
        <w:t>地</w:t>
      </w:r>
      <w:r>
        <w:rPr>
          <w:sz w:val="21"/>
        </w:rPr>
        <w:t>周</w:t>
      </w:r>
      <w:r>
        <w:rPr>
          <w:spacing w:val="-3"/>
          <w:sz w:val="21"/>
        </w:rPr>
        <w:t>边</w:t>
      </w:r>
      <w:r>
        <w:rPr>
          <w:sz w:val="21"/>
        </w:rPr>
        <w:t>敏感</w:t>
      </w:r>
      <w:r>
        <w:rPr>
          <w:spacing w:val="-3"/>
          <w:sz w:val="21"/>
        </w:rPr>
        <w:t>点</w:t>
      </w:r>
      <w:r>
        <w:rPr>
          <w:sz w:val="21"/>
        </w:rPr>
        <w:t>分</w:t>
      </w:r>
      <w:r>
        <w:rPr>
          <w:spacing w:val="-3"/>
          <w:sz w:val="21"/>
        </w:rPr>
        <w:t>布</w:t>
      </w:r>
      <w:r>
        <w:rPr>
          <w:sz w:val="21"/>
        </w:rPr>
        <w:t>及</w:t>
      </w:r>
      <w:r>
        <w:rPr>
          <w:spacing w:val="-3"/>
          <w:sz w:val="21"/>
        </w:rPr>
        <w:t>大</w:t>
      </w:r>
      <w:r>
        <w:rPr>
          <w:sz w:val="21"/>
        </w:rPr>
        <w:t>气</w:t>
      </w:r>
      <w:r>
        <w:rPr>
          <w:spacing w:val="-3"/>
          <w:sz w:val="21"/>
        </w:rPr>
        <w:t>环</w:t>
      </w:r>
      <w:r>
        <w:rPr>
          <w:sz w:val="21"/>
        </w:rPr>
        <w:t>境</w:t>
      </w:r>
      <w:r>
        <w:rPr>
          <w:spacing w:val="-3"/>
          <w:sz w:val="21"/>
        </w:rPr>
        <w:t>影</w:t>
      </w:r>
      <w:r>
        <w:rPr>
          <w:sz w:val="21"/>
        </w:rPr>
        <w:t>响评</w:t>
      </w:r>
      <w:r>
        <w:rPr>
          <w:spacing w:val="-3"/>
          <w:sz w:val="21"/>
        </w:rPr>
        <w:t>价</w:t>
      </w:r>
      <w:r>
        <w:rPr>
          <w:sz w:val="21"/>
        </w:rPr>
        <w:t>范</w:t>
      </w:r>
      <w:r>
        <w:rPr>
          <w:spacing w:val="-3"/>
          <w:sz w:val="21"/>
        </w:rPr>
        <w:t>围</w:t>
      </w:r>
      <w:r>
        <w:rPr>
          <w:sz w:val="21"/>
        </w:rPr>
        <w:t>示</w:t>
      </w:r>
      <w:r>
        <w:rPr>
          <w:spacing w:val="-3"/>
          <w:sz w:val="21"/>
        </w:rPr>
        <w:t>意</w:t>
      </w:r>
      <w:r>
        <w:rPr>
          <w:sz w:val="21"/>
        </w:rPr>
        <w:t>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5</w:t>
        <w:tab/>
      </w:r>
      <w:r>
        <w:rPr>
          <w:spacing w:val="-3"/>
          <w:sz w:val="21"/>
        </w:rPr>
        <w:t>厂</w:t>
      </w:r>
      <w:r>
        <w:rPr>
          <w:sz w:val="21"/>
        </w:rPr>
        <w:t>区</w:t>
      </w:r>
      <w:r>
        <w:rPr>
          <w:spacing w:val="-3"/>
          <w:sz w:val="21"/>
        </w:rPr>
        <w:t>平</w:t>
      </w:r>
      <w:r>
        <w:rPr>
          <w:sz w:val="21"/>
        </w:rPr>
        <w:t>面</w:t>
      </w:r>
      <w:r>
        <w:rPr>
          <w:spacing w:val="-3"/>
          <w:sz w:val="21"/>
        </w:rPr>
        <w:t>布</w:t>
      </w:r>
      <w:r>
        <w:rPr>
          <w:sz w:val="21"/>
        </w:rPr>
        <w:t>置</w:t>
      </w:r>
      <w:r>
        <w:rPr>
          <w:spacing w:val="-3"/>
          <w:sz w:val="21"/>
        </w:rPr>
        <w:t>示</w:t>
      </w:r>
      <w:r>
        <w:rPr>
          <w:sz w:val="21"/>
        </w:rPr>
        <w:t>意图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6</w:t>
        <w:tab/>
      </w:r>
      <w:r>
        <w:rPr>
          <w:spacing w:val="-3"/>
          <w:sz w:val="21"/>
        </w:rPr>
        <w:t>绍</w:t>
      </w:r>
      <w:r>
        <w:rPr>
          <w:sz w:val="21"/>
        </w:rPr>
        <w:t>兴</w:t>
      </w:r>
      <w:r>
        <w:rPr>
          <w:spacing w:val="-3"/>
          <w:sz w:val="21"/>
        </w:rPr>
        <w:t>市</w:t>
      </w:r>
      <w:r>
        <w:rPr>
          <w:sz w:val="21"/>
        </w:rPr>
        <w:t>上</w:t>
      </w:r>
      <w:r>
        <w:rPr>
          <w:spacing w:val="-3"/>
          <w:sz w:val="21"/>
        </w:rPr>
        <w:t>虞</w:t>
      </w:r>
      <w:r>
        <w:rPr>
          <w:sz w:val="21"/>
        </w:rPr>
        <w:t>区</w:t>
      </w:r>
      <w:r>
        <w:rPr>
          <w:spacing w:val="-3"/>
          <w:sz w:val="21"/>
        </w:rPr>
        <w:t>水</w:t>
      </w:r>
      <w:r>
        <w:rPr>
          <w:sz w:val="21"/>
        </w:rPr>
        <w:t>环境</w:t>
      </w:r>
      <w:r>
        <w:rPr>
          <w:spacing w:val="-3"/>
          <w:sz w:val="21"/>
        </w:rPr>
        <w:t>功</w:t>
      </w:r>
      <w:r>
        <w:rPr>
          <w:sz w:val="21"/>
        </w:rPr>
        <w:t>能</w:t>
      </w:r>
      <w:r>
        <w:rPr>
          <w:spacing w:val="-3"/>
          <w:sz w:val="21"/>
        </w:rPr>
        <w:t>区</w:t>
      </w:r>
      <w:r>
        <w:rPr>
          <w:sz w:val="21"/>
        </w:rPr>
        <w:t>划图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hAnsi="Times New Roman" w:eastAsia="Times New Roman"/>
          <w:sz w:val="21"/>
        </w:rPr>
        <w:t>7</w:t>
        <w:tab/>
      </w:r>
      <w:r>
        <w:rPr>
          <w:spacing w:val="-3"/>
          <w:sz w:val="21"/>
        </w:rPr>
        <w:t>上</w:t>
      </w:r>
      <w:r>
        <w:rPr>
          <w:sz w:val="21"/>
        </w:rPr>
        <w:t>虞</w:t>
      </w:r>
      <w:r>
        <w:rPr>
          <w:spacing w:val="-3"/>
          <w:sz w:val="21"/>
        </w:rPr>
        <w:t>区</w:t>
      </w:r>
      <w:r>
        <w:rPr>
          <w:sz w:val="21"/>
        </w:rPr>
        <w:t>“</w:t>
      </w:r>
      <w:r>
        <w:rPr>
          <w:spacing w:val="-3"/>
          <w:sz w:val="21"/>
        </w:rPr>
        <w:t>三</w:t>
      </w:r>
      <w:r>
        <w:rPr>
          <w:sz w:val="21"/>
        </w:rPr>
        <w:t>线</w:t>
      </w:r>
      <w:r>
        <w:rPr>
          <w:spacing w:val="-3"/>
          <w:sz w:val="21"/>
        </w:rPr>
        <w:t>一</w:t>
      </w:r>
      <w:r>
        <w:rPr>
          <w:sz w:val="21"/>
        </w:rPr>
        <w:t>单”</w:t>
      </w:r>
      <w:r>
        <w:rPr>
          <w:spacing w:val="-3"/>
          <w:sz w:val="21"/>
        </w:rPr>
        <w:t>环</w:t>
      </w:r>
      <w:r>
        <w:rPr>
          <w:sz w:val="21"/>
        </w:rPr>
        <w:t>境</w:t>
      </w:r>
      <w:r>
        <w:rPr>
          <w:spacing w:val="-3"/>
          <w:sz w:val="21"/>
        </w:rPr>
        <w:t>管</w:t>
      </w:r>
      <w:r>
        <w:rPr>
          <w:sz w:val="21"/>
        </w:rPr>
        <w:t>控</w:t>
      </w:r>
      <w:r>
        <w:rPr>
          <w:spacing w:val="-3"/>
          <w:sz w:val="21"/>
        </w:rPr>
        <w:t>单</w:t>
      </w:r>
      <w:r>
        <w:rPr>
          <w:sz w:val="21"/>
        </w:rPr>
        <w:t>元图</w:t>
      </w:r>
    </w:p>
    <w:p>
      <w:pPr>
        <w:tabs>
          <w:tab w:pos="1448" w:val="left" w:leader="none"/>
        </w:tabs>
        <w:spacing w:before="91"/>
        <w:ind w:left="658" w:right="0" w:firstLine="0"/>
        <w:jc w:val="left"/>
        <w:rPr>
          <w:sz w:val="21"/>
        </w:rPr>
      </w:pPr>
      <w:r>
        <w:rPr>
          <w:sz w:val="21"/>
        </w:rPr>
        <w:t>附图</w:t>
      </w:r>
      <w:r>
        <w:rPr>
          <w:spacing w:val="-53"/>
          <w:sz w:val="21"/>
        </w:rPr>
        <w:t> </w:t>
      </w:r>
      <w:r>
        <w:rPr>
          <w:rFonts w:ascii="Times New Roman" w:eastAsia="Times New Roman"/>
          <w:sz w:val="21"/>
        </w:rPr>
        <w:t>8</w:t>
        <w:tab/>
      </w:r>
      <w:r>
        <w:rPr>
          <w:spacing w:val="-3"/>
          <w:sz w:val="21"/>
        </w:rPr>
        <w:t>项</w:t>
      </w:r>
      <w:r>
        <w:rPr>
          <w:sz w:val="21"/>
        </w:rPr>
        <w:t>目</w:t>
      </w:r>
      <w:r>
        <w:rPr>
          <w:spacing w:val="-3"/>
          <w:sz w:val="21"/>
        </w:rPr>
        <w:t>环</w:t>
      </w:r>
      <w:r>
        <w:rPr>
          <w:sz w:val="21"/>
        </w:rPr>
        <w:t>境</w:t>
      </w:r>
      <w:r>
        <w:rPr>
          <w:spacing w:val="-3"/>
          <w:sz w:val="21"/>
        </w:rPr>
        <w:t>空</w:t>
      </w:r>
      <w:r>
        <w:rPr>
          <w:sz w:val="21"/>
        </w:rPr>
        <w:t>气</w:t>
      </w:r>
      <w:r>
        <w:rPr>
          <w:spacing w:val="-3"/>
          <w:sz w:val="21"/>
        </w:rPr>
        <w:t>、</w:t>
      </w:r>
      <w:r>
        <w:rPr>
          <w:sz w:val="21"/>
        </w:rPr>
        <w:t>地表</w:t>
      </w:r>
      <w:r>
        <w:rPr>
          <w:spacing w:val="-3"/>
          <w:sz w:val="21"/>
        </w:rPr>
        <w:t>水</w:t>
      </w:r>
      <w:r>
        <w:rPr>
          <w:sz w:val="21"/>
        </w:rPr>
        <w:t>、</w:t>
      </w:r>
      <w:r>
        <w:rPr>
          <w:spacing w:val="-3"/>
          <w:sz w:val="21"/>
        </w:rPr>
        <w:t>地</w:t>
      </w:r>
      <w:r>
        <w:rPr>
          <w:sz w:val="21"/>
        </w:rPr>
        <w:t>下</w:t>
      </w:r>
      <w:r>
        <w:rPr>
          <w:spacing w:val="-3"/>
          <w:sz w:val="21"/>
        </w:rPr>
        <w:t>水</w:t>
      </w:r>
      <w:r>
        <w:rPr>
          <w:sz w:val="21"/>
        </w:rPr>
        <w:t>、</w:t>
      </w:r>
      <w:r>
        <w:rPr>
          <w:spacing w:val="-3"/>
          <w:sz w:val="21"/>
        </w:rPr>
        <w:t>声</w:t>
      </w:r>
      <w:r>
        <w:rPr>
          <w:sz w:val="21"/>
        </w:rPr>
        <w:t>环</w:t>
      </w:r>
      <w:r>
        <w:rPr>
          <w:spacing w:val="-3"/>
          <w:sz w:val="21"/>
        </w:rPr>
        <w:t>境</w:t>
      </w:r>
      <w:r>
        <w:rPr>
          <w:sz w:val="21"/>
        </w:rPr>
        <w:t>监测</w:t>
      </w:r>
      <w:r>
        <w:rPr>
          <w:spacing w:val="-3"/>
          <w:sz w:val="21"/>
        </w:rPr>
        <w:t>布</w:t>
      </w:r>
      <w:r>
        <w:rPr>
          <w:sz w:val="21"/>
        </w:rPr>
        <w:t>点</w:t>
      </w:r>
      <w:r>
        <w:rPr>
          <w:spacing w:val="-3"/>
          <w:sz w:val="21"/>
        </w:rPr>
        <w:t>示</w:t>
      </w:r>
      <w:r>
        <w:rPr>
          <w:sz w:val="21"/>
        </w:rPr>
        <w:t>意图</w:t>
      </w:r>
    </w:p>
    <w:p>
      <w:pPr>
        <w:pStyle w:val="BodyText"/>
        <w:rPr>
          <w:sz w:val="22"/>
        </w:rPr>
      </w:pPr>
    </w:p>
    <w:p>
      <w:pPr>
        <w:spacing w:before="169"/>
        <w:ind w:left="450" w:right="0" w:firstLine="0"/>
        <w:jc w:val="left"/>
        <w:rPr>
          <w:b/>
          <w:sz w:val="21"/>
        </w:rPr>
      </w:pPr>
      <w:r>
        <w:rPr>
          <w:b/>
          <w:sz w:val="21"/>
        </w:rPr>
        <w:t>附件：</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1</w:t>
        <w:tab/>
      </w:r>
      <w:r>
        <w:rPr>
          <w:spacing w:val="-3"/>
          <w:sz w:val="21"/>
        </w:rPr>
        <w:t>企</w:t>
      </w:r>
      <w:r>
        <w:rPr>
          <w:sz w:val="21"/>
        </w:rPr>
        <w:t>业</w:t>
      </w:r>
      <w:r>
        <w:rPr>
          <w:spacing w:val="-3"/>
          <w:sz w:val="21"/>
        </w:rPr>
        <w:t>法</w:t>
      </w:r>
      <w:r>
        <w:rPr>
          <w:sz w:val="21"/>
        </w:rPr>
        <w:t>人</w:t>
      </w:r>
      <w:r>
        <w:rPr>
          <w:spacing w:val="-3"/>
          <w:sz w:val="21"/>
        </w:rPr>
        <w:t>营</w:t>
      </w:r>
      <w:r>
        <w:rPr>
          <w:sz w:val="21"/>
        </w:rPr>
        <w:t>业</w:t>
      </w:r>
      <w:r>
        <w:rPr>
          <w:spacing w:val="-3"/>
          <w:sz w:val="21"/>
        </w:rPr>
        <w:t>执</w:t>
      </w:r>
      <w:r>
        <w:rPr>
          <w:sz w:val="21"/>
        </w:rPr>
        <w:t>照</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2</w:t>
        <w:tab/>
      </w:r>
      <w:r>
        <w:rPr>
          <w:spacing w:val="-3"/>
          <w:sz w:val="21"/>
        </w:rPr>
        <w:t>项</w:t>
      </w:r>
      <w:r>
        <w:rPr>
          <w:sz w:val="21"/>
        </w:rPr>
        <w:t>目</w:t>
      </w:r>
      <w:r>
        <w:rPr>
          <w:spacing w:val="-3"/>
          <w:sz w:val="21"/>
        </w:rPr>
        <w:t>备</w:t>
      </w:r>
      <w:r>
        <w:rPr>
          <w:sz w:val="21"/>
        </w:rPr>
        <w:t>案</w:t>
      </w:r>
      <w:r>
        <w:rPr>
          <w:spacing w:val="-3"/>
          <w:sz w:val="21"/>
        </w:rPr>
        <w:t>文</w:t>
      </w:r>
      <w:r>
        <w:rPr>
          <w:sz w:val="21"/>
        </w:rPr>
        <w:t>件</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3</w:t>
        <w:tab/>
      </w:r>
      <w:r>
        <w:rPr>
          <w:spacing w:val="-3"/>
          <w:sz w:val="21"/>
        </w:rPr>
        <w:t>不</w:t>
      </w:r>
      <w:r>
        <w:rPr>
          <w:sz w:val="21"/>
        </w:rPr>
        <w:t>动</w:t>
      </w:r>
      <w:r>
        <w:rPr>
          <w:spacing w:val="-3"/>
          <w:sz w:val="21"/>
        </w:rPr>
        <w:t>产</w:t>
      </w:r>
      <w:r>
        <w:rPr>
          <w:sz w:val="21"/>
        </w:rPr>
        <w:t>权</w:t>
      </w:r>
      <w:r>
        <w:rPr>
          <w:spacing w:val="-3"/>
          <w:sz w:val="21"/>
        </w:rPr>
        <w:t>登</w:t>
      </w:r>
      <w:r>
        <w:rPr>
          <w:sz w:val="21"/>
        </w:rPr>
        <w:t>记</w:t>
      </w:r>
      <w:r>
        <w:rPr>
          <w:spacing w:val="-3"/>
          <w:sz w:val="21"/>
        </w:rPr>
        <w:t>证</w:t>
      </w:r>
      <w:r>
        <w:rPr>
          <w:sz w:val="21"/>
        </w:rPr>
        <w:t>（西</w:t>
      </w:r>
      <w:r>
        <w:rPr>
          <w:spacing w:val="-3"/>
          <w:sz w:val="21"/>
        </w:rPr>
        <w:t>区</w:t>
      </w:r>
      <w:r>
        <w:rPr>
          <w:sz w:val="21"/>
        </w:rPr>
        <w:t>及</w:t>
      </w:r>
      <w:r>
        <w:rPr>
          <w:spacing w:val="-3"/>
          <w:sz w:val="21"/>
        </w:rPr>
        <w:t>东</w:t>
      </w:r>
      <w:r>
        <w:rPr>
          <w:sz w:val="21"/>
        </w:rPr>
        <w:t>区）</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4</w:t>
        <w:tab/>
      </w:r>
      <w:r>
        <w:rPr>
          <w:spacing w:val="-3"/>
          <w:sz w:val="21"/>
        </w:rPr>
        <w:t>企</w:t>
      </w:r>
      <w:r>
        <w:rPr>
          <w:sz w:val="21"/>
        </w:rPr>
        <w:t>业</w:t>
      </w:r>
      <w:r>
        <w:rPr>
          <w:spacing w:val="-3"/>
          <w:sz w:val="21"/>
        </w:rPr>
        <w:t>历</w:t>
      </w:r>
      <w:r>
        <w:rPr>
          <w:sz w:val="21"/>
        </w:rPr>
        <w:t>次</w:t>
      </w:r>
      <w:r>
        <w:rPr>
          <w:spacing w:val="-3"/>
          <w:sz w:val="21"/>
        </w:rPr>
        <w:t>环</w:t>
      </w:r>
      <w:r>
        <w:rPr>
          <w:sz w:val="21"/>
        </w:rPr>
        <w:t>评</w:t>
      </w:r>
      <w:r>
        <w:rPr>
          <w:spacing w:val="-3"/>
          <w:sz w:val="21"/>
        </w:rPr>
        <w:t>批</w:t>
      </w:r>
      <w:r>
        <w:rPr>
          <w:sz w:val="21"/>
        </w:rPr>
        <w:t>复、</w:t>
      </w:r>
      <w:r>
        <w:rPr>
          <w:spacing w:val="-3"/>
          <w:sz w:val="21"/>
        </w:rPr>
        <w:t>验</w:t>
      </w:r>
      <w:r>
        <w:rPr>
          <w:sz w:val="21"/>
        </w:rPr>
        <w:t>收</w:t>
      </w:r>
      <w:r>
        <w:rPr>
          <w:spacing w:val="-3"/>
          <w:sz w:val="21"/>
        </w:rPr>
        <w:t>意</w:t>
      </w:r>
      <w:r>
        <w:rPr>
          <w:sz w:val="21"/>
        </w:rPr>
        <w:t>见</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5</w:t>
        <w:tab/>
      </w:r>
      <w:r>
        <w:rPr>
          <w:spacing w:val="-3"/>
          <w:sz w:val="21"/>
        </w:rPr>
        <w:t>排</w:t>
      </w:r>
      <w:r>
        <w:rPr>
          <w:sz w:val="21"/>
        </w:rPr>
        <w:t>污</w:t>
      </w:r>
      <w:r>
        <w:rPr>
          <w:spacing w:val="-3"/>
          <w:sz w:val="21"/>
        </w:rPr>
        <w:t>许</w:t>
      </w:r>
      <w:r>
        <w:rPr>
          <w:sz w:val="21"/>
        </w:rPr>
        <w:t>可证</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6</w:t>
        <w:tab/>
      </w:r>
      <w:r>
        <w:rPr>
          <w:spacing w:val="-3"/>
          <w:sz w:val="21"/>
        </w:rPr>
        <w:t>危</w:t>
      </w:r>
      <w:r>
        <w:rPr>
          <w:sz w:val="21"/>
        </w:rPr>
        <w:t>废</w:t>
      </w:r>
      <w:r>
        <w:rPr>
          <w:spacing w:val="-3"/>
          <w:sz w:val="21"/>
        </w:rPr>
        <w:t>处</w:t>
      </w:r>
      <w:r>
        <w:rPr>
          <w:sz w:val="21"/>
        </w:rPr>
        <w:t>置</w:t>
      </w:r>
      <w:r>
        <w:rPr>
          <w:spacing w:val="-3"/>
          <w:sz w:val="21"/>
        </w:rPr>
        <w:t>协</w:t>
      </w:r>
      <w:r>
        <w:rPr>
          <w:sz w:val="21"/>
        </w:rPr>
        <w:t>议</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7</w:t>
        <w:tab/>
      </w:r>
      <w:r>
        <w:rPr>
          <w:spacing w:val="-3"/>
          <w:sz w:val="21"/>
        </w:rPr>
        <w:t>污</w:t>
      </w:r>
      <w:r>
        <w:rPr>
          <w:sz w:val="21"/>
        </w:rPr>
        <w:t>水</w:t>
      </w:r>
      <w:r>
        <w:rPr>
          <w:spacing w:val="-3"/>
          <w:sz w:val="21"/>
        </w:rPr>
        <w:t>集</w:t>
      </w:r>
      <w:r>
        <w:rPr>
          <w:sz w:val="21"/>
        </w:rPr>
        <w:t>中</w:t>
      </w:r>
      <w:r>
        <w:rPr>
          <w:spacing w:val="-3"/>
          <w:sz w:val="21"/>
        </w:rPr>
        <w:t>入</w:t>
      </w:r>
      <w:r>
        <w:rPr>
          <w:sz w:val="21"/>
        </w:rPr>
        <w:t>网</w:t>
      </w:r>
      <w:r>
        <w:rPr>
          <w:spacing w:val="-3"/>
          <w:sz w:val="21"/>
        </w:rPr>
        <w:t>处</w:t>
      </w:r>
      <w:r>
        <w:rPr>
          <w:sz w:val="21"/>
        </w:rPr>
        <w:t>置协议</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8</w:t>
        <w:tab/>
      </w:r>
      <w:r>
        <w:rPr>
          <w:spacing w:val="-3"/>
          <w:sz w:val="21"/>
        </w:rPr>
        <w:t>节</w:t>
      </w:r>
      <w:r>
        <w:rPr>
          <w:sz w:val="21"/>
        </w:rPr>
        <w:t>能</w:t>
      </w:r>
      <w:r>
        <w:rPr>
          <w:spacing w:val="-3"/>
          <w:sz w:val="21"/>
        </w:rPr>
        <w:t>承</w:t>
      </w:r>
      <w:r>
        <w:rPr>
          <w:sz w:val="21"/>
        </w:rPr>
        <w:t>诺</w:t>
      </w:r>
      <w:r>
        <w:rPr>
          <w:spacing w:val="-3"/>
          <w:sz w:val="21"/>
        </w:rPr>
        <w:t>备</w:t>
      </w:r>
      <w:r>
        <w:rPr>
          <w:sz w:val="21"/>
        </w:rPr>
        <w:t>案表</w:t>
      </w:r>
    </w:p>
    <w:p>
      <w:pPr>
        <w:tabs>
          <w:tab w:pos="1448" w:val="left" w:leader="none"/>
        </w:tabs>
        <w:spacing w:before="91"/>
        <w:ind w:left="658" w:right="0" w:firstLine="0"/>
        <w:jc w:val="left"/>
        <w:rPr>
          <w:sz w:val="21"/>
        </w:rPr>
      </w:pPr>
      <w:r>
        <w:rPr>
          <w:sz w:val="21"/>
        </w:rPr>
        <w:t>附件</w:t>
      </w:r>
      <w:r>
        <w:rPr>
          <w:spacing w:val="-53"/>
          <w:sz w:val="21"/>
        </w:rPr>
        <w:t> </w:t>
      </w:r>
      <w:r>
        <w:rPr>
          <w:rFonts w:ascii="Times New Roman" w:eastAsia="Times New Roman"/>
          <w:sz w:val="21"/>
        </w:rPr>
        <w:t>9</w:t>
        <w:tab/>
      </w:r>
      <w:r>
        <w:rPr>
          <w:spacing w:val="-3"/>
          <w:sz w:val="21"/>
        </w:rPr>
        <w:t>现</w:t>
      </w:r>
      <w:r>
        <w:rPr>
          <w:sz w:val="21"/>
        </w:rPr>
        <w:t>有</w:t>
      </w:r>
      <w:r>
        <w:rPr>
          <w:spacing w:val="-3"/>
          <w:sz w:val="21"/>
        </w:rPr>
        <w:t>项</w:t>
      </w:r>
      <w:r>
        <w:rPr>
          <w:sz w:val="21"/>
        </w:rPr>
        <w:t>目</w:t>
      </w:r>
      <w:r>
        <w:rPr>
          <w:spacing w:val="-3"/>
          <w:sz w:val="21"/>
        </w:rPr>
        <w:t>联</w:t>
      </w:r>
      <w:r>
        <w:rPr>
          <w:sz w:val="21"/>
        </w:rPr>
        <w:t>产</w:t>
      </w:r>
      <w:r>
        <w:rPr>
          <w:spacing w:val="-3"/>
          <w:sz w:val="21"/>
        </w:rPr>
        <w:t>产</w:t>
      </w:r>
      <w:r>
        <w:rPr>
          <w:sz w:val="21"/>
        </w:rPr>
        <w:t>品执</w:t>
      </w:r>
      <w:r>
        <w:rPr>
          <w:spacing w:val="-3"/>
          <w:sz w:val="21"/>
        </w:rPr>
        <w:t>行</w:t>
      </w:r>
      <w:r>
        <w:rPr>
          <w:sz w:val="21"/>
        </w:rPr>
        <w:t>标</w:t>
      </w:r>
      <w:r>
        <w:rPr>
          <w:spacing w:val="-3"/>
          <w:sz w:val="21"/>
        </w:rPr>
        <w:t>准</w:t>
      </w:r>
      <w:r>
        <w:rPr>
          <w:sz w:val="21"/>
        </w:rPr>
        <w:t>、</w:t>
      </w:r>
      <w:r>
        <w:rPr>
          <w:spacing w:val="-3"/>
          <w:sz w:val="21"/>
        </w:rPr>
        <w:t>检</w:t>
      </w:r>
      <w:r>
        <w:rPr>
          <w:sz w:val="21"/>
        </w:rPr>
        <w:t>测</w:t>
      </w:r>
      <w:r>
        <w:rPr>
          <w:spacing w:val="-3"/>
          <w:sz w:val="21"/>
        </w:rPr>
        <w:t>报</w:t>
      </w:r>
      <w:r>
        <w:rPr>
          <w:sz w:val="21"/>
        </w:rPr>
        <w:t>告</w:t>
      </w:r>
      <w:r>
        <w:rPr>
          <w:spacing w:val="-3"/>
          <w:sz w:val="21"/>
        </w:rPr>
        <w:t>及</w:t>
      </w:r>
      <w:r>
        <w:rPr>
          <w:sz w:val="21"/>
        </w:rPr>
        <w:t>外销</w:t>
      </w:r>
      <w:r>
        <w:rPr>
          <w:spacing w:val="-3"/>
          <w:sz w:val="21"/>
        </w:rPr>
        <w:t>合</w:t>
      </w:r>
      <w:r>
        <w:rPr>
          <w:sz w:val="21"/>
        </w:rPr>
        <w:t>同</w:t>
      </w:r>
    </w:p>
    <w:p>
      <w:pPr>
        <w:spacing w:before="91"/>
        <w:ind w:left="658" w:right="0" w:firstLine="0"/>
        <w:jc w:val="left"/>
        <w:rPr>
          <w:sz w:val="21"/>
        </w:rPr>
      </w:pPr>
      <w:r>
        <w:rPr>
          <w:sz w:val="21"/>
        </w:rPr>
        <w:t>附件 </w:t>
      </w:r>
      <w:r>
        <w:rPr>
          <w:rFonts w:ascii="Times New Roman" w:eastAsia="Times New Roman"/>
          <w:sz w:val="21"/>
        </w:rPr>
        <w:t>10 </w:t>
      </w:r>
      <w:r>
        <w:rPr>
          <w:sz w:val="21"/>
        </w:rPr>
        <w:t>监测报告</w:t>
      </w:r>
    </w:p>
    <w:p>
      <w:pPr>
        <w:pStyle w:val="BodyText"/>
        <w:rPr>
          <w:sz w:val="22"/>
        </w:rPr>
      </w:pPr>
    </w:p>
    <w:p>
      <w:pPr>
        <w:pStyle w:val="BodyText"/>
        <w:rPr>
          <w:sz w:val="22"/>
        </w:rPr>
      </w:pPr>
    </w:p>
    <w:p>
      <w:pPr>
        <w:pStyle w:val="BodyText"/>
        <w:spacing w:before="4"/>
        <w:rPr>
          <w:sz w:val="19"/>
        </w:rPr>
      </w:pPr>
    </w:p>
    <w:p>
      <w:pPr>
        <w:spacing w:before="0"/>
        <w:ind w:left="973" w:right="0" w:firstLine="0"/>
        <w:jc w:val="left"/>
        <w:rPr>
          <w:sz w:val="21"/>
        </w:rPr>
      </w:pPr>
      <w:r>
        <w:rPr/>
        <w:pict>
          <v:shape style="position:absolute;margin-left:95.5pt;margin-top:-1.390006pt;width:9pt;height:8.2pt;mso-position-horizontal-relative:page;mso-position-vertical-relative:paragraph;z-index:251659264" coordorigin="1910,-28" coordsize="180,164" path="m2000,-28l1910,136,2090,136,2000,-28xe" filled="false" stroked="true" strokeweight=".75pt" strokecolor="#000000">
            <v:path arrowok="t"/>
            <v:stroke dashstyle="solid"/>
            <w10:wrap type="none"/>
          </v:shape>
        </w:pict>
      </w:r>
      <w:r>
        <w:rPr>
          <w:sz w:val="21"/>
        </w:rPr>
        <w:t>环评确认书</w:t>
      </w:r>
    </w:p>
    <w:p>
      <w:pPr>
        <w:spacing w:before="91"/>
        <w:ind w:left="973" w:right="0" w:firstLine="0"/>
        <w:jc w:val="left"/>
        <w:rPr>
          <w:sz w:val="21"/>
        </w:rPr>
      </w:pPr>
      <w:r>
        <w:rPr/>
        <w:pict>
          <v:shape style="position:absolute;margin-left:95.5pt;margin-top:3.159994pt;width:9pt;height:8.2pt;mso-position-horizontal-relative:page;mso-position-vertical-relative:paragraph;z-index:251658240" coordorigin="1910,63" coordsize="180,164" path="m2000,63l1910,227,2090,227,2000,63xe" filled="false" stroked="true" strokeweight=".75pt" strokecolor="#000000">
            <v:path arrowok="t"/>
            <v:stroke dashstyle="solid"/>
            <w10:wrap type="none"/>
          </v:shape>
        </w:pict>
      </w:r>
      <w:r>
        <w:rPr>
          <w:sz w:val="21"/>
        </w:rPr>
        <w:t>建设项目环境保护审批登记表</w:t>
      </w:r>
    </w:p>
    <w:p>
      <w:pPr>
        <w:spacing w:after="0"/>
        <w:jc w:val="left"/>
        <w:rPr>
          <w:sz w:val="21"/>
        </w:rPr>
        <w:sectPr>
          <w:footerReference w:type="default" r:id="rId8"/>
          <w:pgSz w:w="11910" w:h="16850"/>
          <w:pgMar w:footer="1088" w:header="1004" w:top="1340" w:bottom="1280" w:left="1180" w:right="1180"/>
          <w:pgNumType w:start="4"/>
        </w:sectPr>
      </w:pPr>
    </w:p>
    <w:p>
      <w:pPr>
        <w:pStyle w:val="Heading2"/>
        <w:numPr>
          <w:ilvl w:val="0"/>
          <w:numId w:val="5"/>
        </w:numPr>
        <w:tabs>
          <w:tab w:pos="465" w:val="left" w:leader="none"/>
        </w:tabs>
        <w:spacing w:line="240" w:lineRule="auto" w:before="68" w:after="0"/>
        <w:ind w:left="464" w:right="0" w:hanging="227"/>
        <w:jc w:val="both"/>
      </w:pPr>
      <w:bookmarkStart w:name="_bookmark0" w:id="1"/>
      <w:bookmarkEnd w:id="1"/>
      <w:r>
        <w:rPr>
          <w:b w:val="0"/>
        </w:rPr>
      </w:r>
      <w:bookmarkStart w:name="_bookmark0" w:id="2"/>
      <w:bookmarkEnd w:id="2"/>
      <w:r>
        <w:rPr/>
        <w:t>概述</w:t>
      </w:r>
    </w:p>
    <w:p>
      <w:pPr>
        <w:pStyle w:val="Heading3"/>
        <w:numPr>
          <w:ilvl w:val="1"/>
          <w:numId w:val="5"/>
        </w:numPr>
        <w:tabs>
          <w:tab w:pos="801" w:val="left" w:leader="none"/>
        </w:tabs>
        <w:spacing w:line="240" w:lineRule="auto" w:before="200" w:after="0"/>
        <w:ind w:left="800" w:right="0" w:hanging="421"/>
        <w:jc w:val="both"/>
      </w:pPr>
      <w:bookmarkStart w:name="_bookmark1" w:id="3"/>
      <w:bookmarkEnd w:id="3"/>
      <w:r>
        <w:rPr>
          <w:b w:val="0"/>
        </w:rPr>
      </w:r>
      <w:bookmarkStart w:name="_bookmark1" w:id="4"/>
      <w:bookmarkEnd w:id="4"/>
      <w:r>
        <w:rPr/>
        <w:t>企业概况</w:t>
      </w:r>
    </w:p>
    <w:p>
      <w:pPr>
        <w:spacing w:line="364" w:lineRule="auto" w:before="185"/>
        <w:ind w:left="238" w:right="232" w:firstLine="480"/>
        <w:jc w:val="both"/>
        <w:rPr>
          <w:sz w:val="24"/>
        </w:rPr>
      </w:pPr>
      <w:r>
        <w:rPr>
          <w:spacing w:val="-1"/>
          <w:sz w:val="24"/>
        </w:rPr>
        <w:t>绍兴贝斯美化工股份有限公司</w:t>
      </w:r>
      <w:r>
        <w:rPr>
          <w:sz w:val="24"/>
        </w:rPr>
        <w:t>（营业执照见</w:t>
      </w:r>
      <w:r>
        <w:rPr>
          <w:b/>
          <w:w w:val="99"/>
          <w:sz w:val="24"/>
          <w:u w:val="single"/>
        </w:rPr>
        <w:t>附件</w:t>
      </w:r>
      <w:r>
        <w:rPr>
          <w:b/>
          <w:spacing w:val="-56"/>
          <w:sz w:val="24"/>
          <w:u w:val="single"/>
        </w:rPr>
        <w:t> </w:t>
      </w:r>
      <w:r>
        <w:rPr>
          <w:rFonts w:ascii="Times New Roman" w:hAnsi="Times New Roman" w:eastAsia="Times New Roman"/>
          <w:b/>
          <w:sz w:val="24"/>
          <w:u w:val="single"/>
        </w:rPr>
        <w:t>1</w:t>
      </w:r>
      <w:r>
        <w:rPr>
          <w:spacing w:val="-120"/>
          <w:sz w:val="24"/>
        </w:rPr>
        <w:t>）</w:t>
      </w:r>
      <w:r>
        <w:rPr>
          <w:spacing w:val="-12"/>
          <w:sz w:val="24"/>
        </w:rPr>
        <w:t>，成立于 </w:t>
      </w:r>
      <w:r>
        <w:rPr>
          <w:rFonts w:ascii="Times New Roman" w:hAnsi="Times New Roman" w:eastAsia="Times New Roman"/>
          <w:sz w:val="24"/>
        </w:rPr>
        <w:t>20</w:t>
      </w:r>
      <w:r>
        <w:rPr>
          <w:rFonts w:ascii="Times New Roman" w:hAnsi="Times New Roman" w:eastAsia="Times New Roman"/>
          <w:spacing w:val="-3"/>
          <w:sz w:val="24"/>
        </w:rPr>
        <w:t>0</w:t>
      </w:r>
      <w:r>
        <w:rPr>
          <w:rFonts w:ascii="Times New Roman" w:hAnsi="Times New Roman" w:eastAsia="Times New Roman"/>
          <w:sz w:val="24"/>
        </w:rPr>
        <w:t>3</w:t>
      </w:r>
      <w:r>
        <w:rPr>
          <w:rFonts w:ascii="Times New Roman" w:hAnsi="Times New Roman" w:eastAsia="Times New Roman"/>
          <w:spacing w:val="2"/>
          <w:sz w:val="24"/>
        </w:rPr>
        <w:t> </w:t>
      </w:r>
      <w:r>
        <w:rPr>
          <w:spacing w:val="-2"/>
          <w:sz w:val="24"/>
        </w:rPr>
        <w:t>年，</w:t>
      </w:r>
      <w:r>
        <w:rPr>
          <w:b/>
          <w:w w:val="99"/>
          <w:sz w:val="24"/>
        </w:rPr>
        <w:t>目前位于杭</w:t>
      </w:r>
      <w:r>
        <w:rPr>
          <w:b/>
          <w:spacing w:val="-5"/>
          <w:w w:val="99"/>
          <w:sz w:val="24"/>
        </w:rPr>
        <w:t>州湾上虞经济技术开发区经十一路，该厂区简称“西区”</w:t>
      </w:r>
      <w:r>
        <w:rPr>
          <w:sz w:val="24"/>
        </w:rPr>
        <w:t>，占地面积约 </w:t>
      </w:r>
      <w:r>
        <w:rPr>
          <w:rFonts w:ascii="Times New Roman" w:hAnsi="Times New Roman" w:eastAsia="Times New Roman"/>
          <w:sz w:val="24"/>
        </w:rPr>
        <w:t>24543</w:t>
      </w:r>
      <w:r>
        <w:rPr>
          <w:rFonts w:ascii="Times New Roman" w:hAnsi="Times New Roman" w:eastAsia="Times New Roman"/>
          <w:spacing w:val="1"/>
          <w:sz w:val="24"/>
        </w:rPr>
        <w:t>m</w:t>
      </w:r>
      <w:r>
        <w:rPr>
          <w:rFonts w:ascii="Times New Roman" w:hAnsi="Times New Roman" w:eastAsia="Times New Roman"/>
          <w:spacing w:val="1"/>
          <w:w w:val="100"/>
          <w:position w:val="9"/>
          <w:sz w:val="16"/>
        </w:rPr>
        <w:t>2</w:t>
      </w:r>
      <w:r>
        <w:rPr>
          <w:spacing w:val="-4"/>
          <w:sz w:val="24"/>
        </w:rPr>
        <w:t>，是全</w:t>
      </w:r>
      <w:r>
        <w:rPr>
          <w:spacing w:val="-13"/>
          <w:sz w:val="24"/>
        </w:rPr>
        <w:t>国最大的 </w:t>
      </w:r>
      <w:r>
        <w:rPr>
          <w:rFonts w:ascii="Times New Roman" w:hAnsi="Times New Roman" w:eastAsia="Times New Roman"/>
          <w:sz w:val="24"/>
        </w:rPr>
        <w:t>4-</w:t>
      </w:r>
      <w:r>
        <w:rPr>
          <w:spacing w:val="-12"/>
          <w:sz w:val="24"/>
        </w:rPr>
        <w:t>硝基邻二甲苯、</w:t>
      </w:r>
      <w:r>
        <w:rPr>
          <w:rFonts w:ascii="Times New Roman" w:hAnsi="Times New Roman" w:eastAsia="Times New Roman"/>
          <w:sz w:val="24"/>
        </w:rPr>
        <w:t>2,3-</w:t>
      </w:r>
      <w:r>
        <w:rPr>
          <w:spacing w:val="-9"/>
          <w:sz w:val="24"/>
        </w:rPr>
        <w:t>二甲基苯胺和 </w:t>
      </w:r>
      <w:r>
        <w:rPr>
          <w:rFonts w:ascii="Times New Roman" w:hAnsi="Times New Roman" w:eastAsia="Times New Roman"/>
          <w:sz w:val="24"/>
        </w:rPr>
        <w:t>N-(1-</w:t>
      </w:r>
      <w:r>
        <w:rPr>
          <w:sz w:val="24"/>
        </w:rPr>
        <w:t>乙基丙基</w:t>
      </w:r>
      <w:r>
        <w:rPr>
          <w:spacing w:val="-14"/>
          <w:sz w:val="24"/>
        </w:rPr>
        <w:t>）</w:t>
      </w:r>
      <w:r>
        <w:rPr>
          <w:rFonts w:ascii="Times New Roman" w:hAnsi="Times New Roman" w:eastAsia="Times New Roman"/>
          <w:spacing w:val="-14"/>
          <w:sz w:val="24"/>
        </w:rPr>
        <w:t>-3,4-</w:t>
      </w:r>
      <w:r>
        <w:rPr>
          <w:spacing w:val="-16"/>
          <w:sz w:val="24"/>
        </w:rPr>
        <w:t>二甲基苯胺</w:t>
      </w:r>
      <w:r>
        <w:rPr>
          <w:sz w:val="24"/>
        </w:rPr>
        <w:t>（</w:t>
      </w:r>
      <w:r>
        <w:rPr>
          <w:spacing w:val="-27"/>
          <w:sz w:val="24"/>
        </w:rPr>
        <w:t>亦称“</w:t>
      </w:r>
      <w:r>
        <w:rPr>
          <w:rFonts w:ascii="Times New Roman" w:hAnsi="Times New Roman" w:eastAsia="Times New Roman"/>
          <w:sz w:val="24"/>
        </w:rPr>
        <w:t>N- </w:t>
      </w:r>
      <w:r>
        <w:rPr>
          <w:spacing w:val="-25"/>
          <w:w w:val="99"/>
          <w:sz w:val="24"/>
        </w:rPr>
        <w:t>戊基苯胺”</w:t>
      </w:r>
      <w:r>
        <w:rPr>
          <w:w w:val="99"/>
          <w:sz w:val="24"/>
        </w:rPr>
        <w:t>）生产企业。</w:t>
      </w:r>
    </w:p>
    <w:p>
      <w:pPr>
        <w:pStyle w:val="BodyText"/>
        <w:spacing w:line="364" w:lineRule="auto"/>
        <w:ind w:left="238" w:right="110" w:firstLine="480"/>
      </w:pPr>
      <w:r>
        <w:rPr>
          <w:spacing w:val="-6"/>
        </w:rPr>
        <w:t>公司自成立以来，持续秉承“产业聚焦、科技创新、安环保障”的发展理念，高度</w:t>
      </w:r>
      <w:r>
        <w:rPr>
          <w:spacing w:val="-15"/>
        </w:rPr>
        <w:t>重视自身技术研发与投入，不断加强技术和产品储备。以自主研发为主，合作开发为辅， </w:t>
      </w:r>
      <w:r>
        <w:rPr>
          <w:spacing w:val="-6"/>
        </w:rPr>
        <w:t>并持续将科研成果转化为生产力。公司于 </w:t>
      </w:r>
      <w:r>
        <w:rPr>
          <w:rFonts w:ascii="Times New Roman" w:hAnsi="Times New Roman" w:eastAsia="Times New Roman"/>
        </w:rPr>
        <w:t>2015 </w:t>
      </w:r>
      <w:r>
        <w:rPr/>
        <w:t>年成为国家高新技术企业</w:t>
      </w:r>
      <w:r>
        <w:rPr>
          <w:spacing w:val="-22"/>
        </w:rPr>
        <w:t>，“新型医药中</w:t>
      </w:r>
    </w:p>
    <w:p>
      <w:pPr>
        <w:pStyle w:val="BodyText"/>
        <w:spacing w:line="364" w:lineRule="auto"/>
        <w:ind w:left="238" w:right="234"/>
        <w:jc w:val="both"/>
      </w:pPr>
      <w:r>
        <w:rPr>
          <w:spacing w:val="-5"/>
        </w:rPr>
        <w:t>间体研究开发中心”于 </w:t>
      </w:r>
      <w:r>
        <w:rPr>
          <w:rFonts w:ascii="Times New Roman" w:hAnsi="Times New Roman" w:eastAsia="Times New Roman"/>
        </w:rPr>
        <w:t>2016 </w:t>
      </w:r>
      <w:r>
        <w:rPr>
          <w:spacing w:val="-24"/>
        </w:rPr>
        <w:t>年 </w:t>
      </w:r>
      <w:r>
        <w:rPr>
          <w:rFonts w:ascii="Times New Roman" w:hAnsi="Times New Roman" w:eastAsia="Times New Roman"/>
        </w:rPr>
        <w:t>12 </w:t>
      </w:r>
      <w:r>
        <w:rPr>
          <w:spacing w:val="-24"/>
        </w:rPr>
        <w:t>月 </w:t>
      </w:r>
      <w:r>
        <w:rPr>
          <w:rFonts w:ascii="Times New Roman" w:hAnsi="Times New Roman" w:eastAsia="Times New Roman"/>
        </w:rPr>
        <w:t>22 </w:t>
      </w:r>
      <w:r>
        <w:rPr>
          <w:spacing w:val="-1"/>
        </w:rPr>
        <w:t>日被浙江省科技厅认定为省级高新技术企业研</w:t>
      </w:r>
      <w:r>
        <w:rPr>
          <w:spacing w:val="-3"/>
        </w:rPr>
        <w:t>究开发中心。经过长期的研发和技术积累，公司已拥有“</w:t>
      </w:r>
      <w:r>
        <w:rPr>
          <w:rFonts w:ascii="Times New Roman" w:hAnsi="Times New Roman" w:eastAsia="Times New Roman"/>
        </w:rPr>
        <w:t>4-</w:t>
      </w:r>
      <w:r>
        <w:rPr>
          <w:spacing w:val="-22"/>
        </w:rPr>
        <w:t>硝生产技术”、“戊胺生产技</w:t>
      </w:r>
      <w:r>
        <w:rPr>
          <w:spacing w:val="-59"/>
        </w:rPr>
        <w:t>术”、“</w:t>
      </w:r>
      <w:r>
        <w:rPr>
          <w:rFonts w:ascii="Times New Roman" w:hAnsi="Times New Roman" w:eastAsia="Times New Roman"/>
          <w:spacing w:val="2"/>
        </w:rPr>
        <w:t>3-</w:t>
      </w:r>
      <w:r>
        <w:rPr/>
        <w:t>硝转化技术” 等多个行业专属、业内领先的技术专长，成为公司的核心技术实力，有效增强了公司产品的综合竞争力。</w:t>
      </w:r>
    </w:p>
    <w:p>
      <w:pPr>
        <w:pStyle w:val="BodyText"/>
        <w:spacing w:line="362" w:lineRule="auto"/>
        <w:ind w:left="238" w:right="173" w:firstLine="480"/>
      </w:pPr>
      <w:r>
        <w:rPr/>
        <w:t>企业目前已审批项目均位于西区，具体产品方案、审批及验收情况及目前状态见下表。</w:t>
      </w:r>
    </w:p>
    <w:p>
      <w:pPr>
        <w:pStyle w:val="Heading4"/>
        <w:tabs>
          <w:tab w:pos="3728" w:val="left" w:leader="none"/>
        </w:tabs>
        <w:spacing w:before="142" w:after="29"/>
        <w:ind w:left="2686"/>
      </w:pPr>
      <w:r>
        <w:rPr/>
        <w:t>表</w:t>
      </w:r>
      <w:r>
        <w:rPr>
          <w:spacing w:val="-59"/>
        </w:rPr>
        <w:t> </w:t>
      </w:r>
      <w:r>
        <w:rPr>
          <w:rFonts w:ascii="Times New Roman" w:eastAsia="Times New Roman"/>
        </w:rPr>
        <w:t>1.1-1</w:t>
        <w:tab/>
      </w:r>
      <w:r>
        <w:rPr/>
        <w:t>企业已批产品方案及验收情况</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509"/>
        <w:gridCol w:w="1356"/>
        <w:gridCol w:w="1018"/>
        <w:gridCol w:w="1694"/>
        <w:gridCol w:w="1018"/>
        <w:gridCol w:w="1142"/>
      </w:tblGrid>
      <w:tr>
        <w:trPr>
          <w:trHeight w:val="467" w:hRule="atLeast"/>
        </w:trPr>
        <w:tc>
          <w:tcPr>
            <w:tcW w:w="2551" w:type="dxa"/>
          </w:tcPr>
          <w:p>
            <w:pPr>
              <w:pStyle w:val="TableParagraph"/>
              <w:spacing w:before="117"/>
              <w:ind w:left="13" w:right="4"/>
              <w:rPr>
                <w:b/>
                <w:sz w:val="18"/>
              </w:rPr>
            </w:pPr>
            <w:r>
              <w:rPr>
                <w:b/>
                <w:sz w:val="18"/>
              </w:rPr>
              <w:t>项目名称</w:t>
            </w:r>
          </w:p>
        </w:tc>
        <w:tc>
          <w:tcPr>
            <w:tcW w:w="1865" w:type="dxa"/>
            <w:gridSpan w:val="2"/>
          </w:tcPr>
          <w:p>
            <w:pPr>
              <w:pStyle w:val="TableParagraph"/>
              <w:spacing w:before="117"/>
              <w:ind w:left="571"/>
              <w:jc w:val="left"/>
              <w:rPr>
                <w:b/>
                <w:sz w:val="18"/>
              </w:rPr>
            </w:pPr>
            <w:r>
              <w:rPr>
                <w:b/>
                <w:sz w:val="18"/>
              </w:rPr>
              <w:t>产品名称</w:t>
            </w:r>
          </w:p>
        </w:tc>
        <w:tc>
          <w:tcPr>
            <w:tcW w:w="1018" w:type="dxa"/>
          </w:tcPr>
          <w:p>
            <w:pPr>
              <w:pStyle w:val="TableParagraph"/>
              <w:spacing w:line="230" w:lineRule="exact"/>
              <w:ind w:left="146"/>
              <w:jc w:val="left"/>
              <w:rPr>
                <w:b/>
                <w:sz w:val="18"/>
              </w:rPr>
            </w:pPr>
            <w:r>
              <w:rPr>
                <w:b/>
                <w:sz w:val="18"/>
              </w:rPr>
              <w:t>批复产量</w:t>
            </w:r>
          </w:p>
          <w:p>
            <w:pPr>
              <w:pStyle w:val="TableParagraph"/>
              <w:spacing w:line="215" w:lineRule="exact" w:before="2"/>
              <w:ind w:left="225"/>
              <w:jc w:val="left"/>
              <w:rPr>
                <w:b/>
                <w:sz w:val="18"/>
              </w:rPr>
            </w:pPr>
            <w:r>
              <w:rPr>
                <w:b/>
                <w:sz w:val="18"/>
              </w:rPr>
              <w:t>（</w:t>
            </w:r>
            <w:r>
              <w:rPr>
                <w:rFonts w:ascii="Times New Roman" w:eastAsia="Times New Roman"/>
                <w:b/>
                <w:sz w:val="18"/>
              </w:rPr>
              <w:t>t/a</w:t>
            </w:r>
            <w:r>
              <w:rPr>
                <w:b/>
                <w:sz w:val="18"/>
              </w:rPr>
              <w:t>）</w:t>
            </w:r>
          </w:p>
        </w:tc>
        <w:tc>
          <w:tcPr>
            <w:tcW w:w="1694" w:type="dxa"/>
          </w:tcPr>
          <w:p>
            <w:pPr>
              <w:pStyle w:val="TableParagraph"/>
              <w:spacing w:before="117"/>
              <w:ind w:left="216"/>
              <w:jc w:val="left"/>
              <w:rPr>
                <w:b/>
                <w:sz w:val="18"/>
              </w:rPr>
            </w:pPr>
            <w:r>
              <w:rPr>
                <w:b/>
                <w:sz w:val="18"/>
              </w:rPr>
              <w:t>批复及验收情况</w:t>
            </w:r>
          </w:p>
        </w:tc>
        <w:tc>
          <w:tcPr>
            <w:tcW w:w="1018" w:type="dxa"/>
          </w:tcPr>
          <w:p>
            <w:pPr>
              <w:pStyle w:val="TableParagraph"/>
              <w:spacing w:before="117"/>
              <w:ind w:left="327"/>
              <w:jc w:val="left"/>
              <w:rPr>
                <w:b/>
                <w:sz w:val="18"/>
              </w:rPr>
            </w:pPr>
            <w:r>
              <w:rPr>
                <w:b/>
                <w:sz w:val="18"/>
              </w:rPr>
              <w:t>现状</w:t>
            </w:r>
          </w:p>
        </w:tc>
        <w:tc>
          <w:tcPr>
            <w:tcW w:w="1142" w:type="dxa"/>
          </w:tcPr>
          <w:p>
            <w:pPr>
              <w:pStyle w:val="TableParagraph"/>
              <w:spacing w:before="117"/>
              <w:ind w:left="108" w:right="96"/>
              <w:rPr>
                <w:b/>
                <w:sz w:val="18"/>
              </w:rPr>
            </w:pPr>
            <w:r>
              <w:rPr>
                <w:b/>
                <w:sz w:val="18"/>
              </w:rPr>
              <w:t>备注</w:t>
            </w:r>
          </w:p>
        </w:tc>
      </w:tr>
      <w:tr>
        <w:trPr>
          <w:trHeight w:val="282" w:hRule="atLeast"/>
        </w:trPr>
        <w:tc>
          <w:tcPr>
            <w:tcW w:w="2551" w:type="dxa"/>
            <w:vMerge w:val="restart"/>
          </w:tcPr>
          <w:p>
            <w:pPr>
              <w:pStyle w:val="TableParagraph"/>
              <w:spacing w:line="242" w:lineRule="auto"/>
              <w:ind w:left="107" w:right="4"/>
              <w:rPr>
                <w:sz w:val="18"/>
              </w:rPr>
            </w:pPr>
            <w:r>
              <w:rPr>
                <w:spacing w:val="-18"/>
                <w:sz w:val="18"/>
              </w:rPr>
              <w:t>年产 </w:t>
            </w:r>
            <w:r>
              <w:rPr>
                <w:rFonts w:ascii="Times New Roman" w:eastAsia="Times New Roman"/>
                <w:sz w:val="18"/>
              </w:rPr>
              <w:t>1000 </w:t>
            </w:r>
            <w:r>
              <w:rPr>
                <w:spacing w:val="-27"/>
                <w:sz w:val="18"/>
              </w:rPr>
              <w:t>吨 </w:t>
            </w:r>
            <w:r>
              <w:rPr>
                <w:rFonts w:ascii="Times New Roman" w:eastAsia="Times New Roman"/>
                <w:sz w:val="18"/>
              </w:rPr>
              <w:t>4-</w:t>
            </w:r>
            <w:r>
              <w:rPr>
                <w:spacing w:val="-2"/>
                <w:sz w:val="18"/>
              </w:rPr>
              <w:t>硝基邻二甲苯、</w:t>
            </w:r>
            <w:r>
              <w:rPr>
                <w:rFonts w:ascii="Times New Roman" w:eastAsia="Times New Roman"/>
                <w:sz w:val="18"/>
              </w:rPr>
              <w:t>940 </w:t>
            </w:r>
            <w:r>
              <w:rPr>
                <w:spacing w:val="-23"/>
                <w:sz w:val="18"/>
              </w:rPr>
              <w:t>吨 </w:t>
            </w:r>
            <w:r>
              <w:rPr>
                <w:rFonts w:ascii="Times New Roman" w:eastAsia="Times New Roman"/>
                <w:sz w:val="18"/>
              </w:rPr>
              <w:t>2,3-</w:t>
            </w:r>
            <w:r>
              <w:rPr>
                <w:sz w:val="18"/>
              </w:rPr>
              <w:t>二甲基苯胺技改项</w:t>
            </w:r>
          </w:p>
          <w:p>
            <w:pPr>
              <w:pStyle w:val="TableParagraph"/>
              <w:spacing w:line="215" w:lineRule="exact"/>
              <w:ind w:left="9"/>
              <w:rPr>
                <w:sz w:val="18"/>
              </w:rPr>
            </w:pPr>
            <w:r>
              <w:rPr>
                <w:sz w:val="18"/>
              </w:rPr>
              <w:t>目</w:t>
            </w:r>
          </w:p>
        </w:tc>
        <w:tc>
          <w:tcPr>
            <w:tcW w:w="1865" w:type="dxa"/>
            <w:gridSpan w:val="2"/>
          </w:tcPr>
          <w:p>
            <w:pPr>
              <w:pStyle w:val="TableParagraph"/>
              <w:spacing w:before="24"/>
              <w:ind w:left="317"/>
              <w:jc w:val="left"/>
              <w:rPr>
                <w:sz w:val="18"/>
              </w:rPr>
            </w:pPr>
            <w:r>
              <w:rPr>
                <w:rFonts w:ascii="Times New Roman" w:eastAsia="Times New Roman"/>
                <w:sz w:val="18"/>
              </w:rPr>
              <w:t>4-</w:t>
            </w:r>
            <w:r>
              <w:rPr>
                <w:sz w:val="18"/>
              </w:rPr>
              <w:t>硝基邻二甲苯</w:t>
            </w:r>
          </w:p>
        </w:tc>
        <w:tc>
          <w:tcPr>
            <w:tcW w:w="1018" w:type="dxa"/>
          </w:tcPr>
          <w:p>
            <w:pPr>
              <w:pStyle w:val="TableParagraph"/>
              <w:spacing w:before="38"/>
              <w:ind w:left="144" w:right="138"/>
              <w:rPr>
                <w:rFonts w:ascii="Times New Roman"/>
                <w:sz w:val="18"/>
              </w:rPr>
            </w:pPr>
            <w:r>
              <w:rPr>
                <w:rFonts w:ascii="Times New Roman"/>
                <w:sz w:val="18"/>
              </w:rPr>
              <w:t>1000</w:t>
            </w:r>
          </w:p>
        </w:tc>
        <w:tc>
          <w:tcPr>
            <w:tcW w:w="1694" w:type="dxa"/>
            <w:vMerge w:val="restart"/>
          </w:tcPr>
          <w:p>
            <w:pPr>
              <w:pStyle w:val="TableParagraph"/>
              <w:spacing w:line="230" w:lineRule="exact"/>
              <w:ind w:left="155" w:right="142"/>
              <w:rPr>
                <w:rFonts w:ascii="Times New Roman" w:eastAsia="Times New Roman"/>
                <w:sz w:val="18"/>
              </w:rPr>
            </w:pPr>
            <w:r>
              <w:rPr>
                <w:sz w:val="18"/>
              </w:rPr>
              <w:t>虞环审</w:t>
            </w:r>
            <w:r>
              <w:rPr>
                <w:rFonts w:ascii="Times New Roman" w:eastAsia="Times New Roman"/>
                <w:sz w:val="18"/>
              </w:rPr>
              <w:t>[2004]179</w:t>
            </w:r>
          </w:p>
          <w:p>
            <w:pPr>
              <w:pStyle w:val="TableParagraph"/>
              <w:spacing w:before="2"/>
              <w:ind w:left="153" w:right="142"/>
              <w:rPr>
                <w:sz w:val="18"/>
              </w:rPr>
            </w:pPr>
            <w:r>
              <w:rPr>
                <w:sz w:val="18"/>
              </w:rPr>
              <w:t>号，虞环建验</w:t>
            </w:r>
          </w:p>
          <w:p>
            <w:pPr>
              <w:pStyle w:val="TableParagraph"/>
              <w:spacing w:line="215" w:lineRule="exact" w:before="2"/>
              <w:ind w:left="155" w:right="142"/>
              <w:rPr>
                <w:sz w:val="18"/>
              </w:rPr>
            </w:pPr>
            <w:r>
              <w:rPr>
                <w:sz w:val="18"/>
              </w:rPr>
              <w:t>（</w:t>
            </w:r>
            <w:r>
              <w:rPr>
                <w:rFonts w:ascii="Times New Roman" w:eastAsia="Times New Roman"/>
                <w:sz w:val="18"/>
              </w:rPr>
              <w:t>2006</w:t>
            </w:r>
            <w:r>
              <w:rPr>
                <w:sz w:val="18"/>
              </w:rPr>
              <w:t>）</w:t>
            </w:r>
            <w:r>
              <w:rPr>
                <w:rFonts w:ascii="Times New Roman" w:eastAsia="Times New Roman"/>
                <w:sz w:val="18"/>
              </w:rPr>
              <w:t>038</w:t>
            </w:r>
            <w:r>
              <w:rPr>
                <w:rFonts w:ascii="Times New Roman" w:eastAsia="Times New Roman"/>
                <w:spacing w:val="-2"/>
                <w:sz w:val="18"/>
              </w:rPr>
              <w:t> </w:t>
            </w:r>
            <w:r>
              <w:rPr>
                <w:sz w:val="18"/>
              </w:rPr>
              <w:t>号</w:t>
            </w:r>
          </w:p>
        </w:tc>
        <w:tc>
          <w:tcPr>
            <w:tcW w:w="1018" w:type="dxa"/>
            <w:vMerge w:val="restart"/>
          </w:tcPr>
          <w:p>
            <w:pPr>
              <w:pStyle w:val="TableParagraph"/>
              <w:spacing w:before="1"/>
              <w:jc w:val="left"/>
              <w:rPr>
                <w:b/>
                <w:sz w:val="18"/>
              </w:rPr>
            </w:pPr>
          </w:p>
          <w:p>
            <w:pPr>
              <w:pStyle w:val="TableParagraph"/>
              <w:spacing w:before="1"/>
              <w:ind w:left="238"/>
              <w:jc w:val="left"/>
              <w:rPr>
                <w:sz w:val="18"/>
              </w:rPr>
            </w:pPr>
            <w:r>
              <w:rPr>
                <w:sz w:val="18"/>
              </w:rPr>
              <w:t>已淘汰</w:t>
            </w:r>
          </w:p>
        </w:tc>
        <w:tc>
          <w:tcPr>
            <w:tcW w:w="1142" w:type="dxa"/>
            <w:vMerge w:val="restart"/>
          </w:tcPr>
          <w:p>
            <w:pPr>
              <w:pStyle w:val="TableParagraph"/>
              <w:spacing w:before="1"/>
              <w:jc w:val="left"/>
              <w:rPr>
                <w:b/>
                <w:sz w:val="19"/>
              </w:rPr>
            </w:pPr>
          </w:p>
          <w:p>
            <w:pPr>
              <w:pStyle w:val="TableParagraph"/>
              <w:ind w:left="9"/>
              <w:rPr>
                <w:rFonts w:ascii="Times New Roman"/>
                <w:sz w:val="18"/>
              </w:rPr>
            </w:pPr>
            <w:r>
              <w:rPr>
                <w:rFonts w:ascii="Times New Roman"/>
                <w:sz w:val="18"/>
              </w:rPr>
              <w:t>/</w:t>
            </w:r>
          </w:p>
        </w:tc>
      </w:tr>
      <w:tr>
        <w:trPr>
          <w:trHeight w:val="407" w:hRule="atLeast"/>
        </w:trPr>
        <w:tc>
          <w:tcPr>
            <w:tcW w:w="2551" w:type="dxa"/>
            <w:vMerge/>
            <w:tcBorders>
              <w:top w:val="nil"/>
            </w:tcBorders>
          </w:tcPr>
          <w:p>
            <w:pPr>
              <w:rPr>
                <w:sz w:val="2"/>
                <w:szCs w:val="2"/>
              </w:rPr>
            </w:pPr>
          </w:p>
        </w:tc>
        <w:tc>
          <w:tcPr>
            <w:tcW w:w="1865" w:type="dxa"/>
            <w:gridSpan w:val="2"/>
          </w:tcPr>
          <w:p>
            <w:pPr>
              <w:pStyle w:val="TableParagraph"/>
              <w:spacing w:before="86"/>
              <w:ind w:left="341"/>
              <w:jc w:val="left"/>
              <w:rPr>
                <w:sz w:val="18"/>
              </w:rPr>
            </w:pPr>
            <w:r>
              <w:rPr>
                <w:rFonts w:ascii="Times New Roman" w:eastAsia="Times New Roman"/>
                <w:sz w:val="18"/>
              </w:rPr>
              <w:t>2,3-</w:t>
            </w:r>
            <w:r>
              <w:rPr>
                <w:sz w:val="18"/>
              </w:rPr>
              <w:t>二甲基苯胺</w:t>
            </w:r>
          </w:p>
        </w:tc>
        <w:tc>
          <w:tcPr>
            <w:tcW w:w="1018" w:type="dxa"/>
          </w:tcPr>
          <w:p>
            <w:pPr>
              <w:pStyle w:val="TableParagraph"/>
              <w:spacing w:before="100"/>
              <w:ind w:left="147" w:right="137"/>
              <w:rPr>
                <w:rFonts w:ascii="Times New Roman"/>
                <w:sz w:val="18"/>
              </w:rPr>
            </w:pPr>
            <w:r>
              <w:rPr>
                <w:rFonts w:ascii="Times New Roman"/>
                <w:sz w:val="18"/>
              </w:rPr>
              <w:t>940</w:t>
            </w:r>
          </w:p>
        </w:tc>
        <w:tc>
          <w:tcPr>
            <w:tcW w:w="1694" w:type="dxa"/>
            <w:vMerge/>
            <w:tcBorders>
              <w:top w:val="nil"/>
            </w:tcBorders>
          </w:tcPr>
          <w:p>
            <w:pPr>
              <w:rPr>
                <w:sz w:val="2"/>
                <w:szCs w:val="2"/>
              </w:rPr>
            </w:pPr>
          </w:p>
        </w:tc>
        <w:tc>
          <w:tcPr>
            <w:tcW w:w="1018" w:type="dxa"/>
            <w:vMerge/>
            <w:tcBorders>
              <w:top w:val="nil"/>
            </w:tcBorders>
          </w:tcPr>
          <w:p>
            <w:pPr>
              <w:rPr>
                <w:sz w:val="2"/>
                <w:szCs w:val="2"/>
              </w:rPr>
            </w:pPr>
          </w:p>
        </w:tc>
        <w:tc>
          <w:tcPr>
            <w:tcW w:w="1142" w:type="dxa"/>
            <w:vMerge/>
            <w:tcBorders>
              <w:top w:val="nil"/>
            </w:tcBorders>
          </w:tcPr>
          <w:p>
            <w:pPr>
              <w:rPr>
                <w:sz w:val="2"/>
                <w:szCs w:val="2"/>
              </w:rPr>
            </w:pPr>
          </w:p>
        </w:tc>
      </w:tr>
      <w:tr>
        <w:trPr>
          <w:trHeight w:val="282" w:hRule="atLeast"/>
        </w:trPr>
        <w:tc>
          <w:tcPr>
            <w:tcW w:w="2551" w:type="dxa"/>
            <w:vMerge w:val="restart"/>
          </w:tcPr>
          <w:p>
            <w:pPr>
              <w:pStyle w:val="TableParagraph"/>
              <w:spacing w:line="230" w:lineRule="exact"/>
              <w:ind w:left="237"/>
              <w:jc w:val="left"/>
              <w:rPr>
                <w:sz w:val="18"/>
              </w:rPr>
            </w:pPr>
            <w:r>
              <w:rPr>
                <w:rFonts w:ascii="Times New Roman" w:eastAsia="Times New Roman"/>
                <w:sz w:val="18"/>
              </w:rPr>
              <w:t>1000 </w:t>
            </w:r>
            <w:r>
              <w:rPr>
                <w:sz w:val="18"/>
              </w:rPr>
              <w:t>吨</w:t>
            </w:r>
            <w:r>
              <w:rPr>
                <w:rFonts w:ascii="Times New Roman" w:eastAsia="Times New Roman"/>
                <w:sz w:val="18"/>
              </w:rPr>
              <w:t>/</w:t>
            </w:r>
            <w:r>
              <w:rPr>
                <w:sz w:val="18"/>
              </w:rPr>
              <w:t>年二甲基硝基苯及</w:t>
            </w:r>
          </w:p>
          <w:p>
            <w:pPr>
              <w:pStyle w:val="TableParagraph"/>
              <w:spacing w:line="230" w:lineRule="atLeast" w:before="2"/>
              <w:ind w:left="1005" w:right="134" w:hanging="860"/>
              <w:jc w:val="left"/>
              <w:rPr>
                <w:sz w:val="18"/>
              </w:rPr>
            </w:pPr>
            <w:r>
              <w:rPr>
                <w:rFonts w:ascii="Times New Roman" w:eastAsia="Times New Roman"/>
                <w:sz w:val="18"/>
              </w:rPr>
              <w:t>1060 </w:t>
            </w:r>
            <w:r>
              <w:rPr>
                <w:sz w:val="18"/>
              </w:rPr>
              <w:t>吨</w:t>
            </w:r>
            <w:r>
              <w:rPr>
                <w:rFonts w:ascii="Times New Roman" w:eastAsia="Times New Roman"/>
                <w:sz w:val="18"/>
              </w:rPr>
              <w:t>/</w:t>
            </w:r>
            <w:r>
              <w:rPr>
                <w:sz w:val="18"/>
              </w:rPr>
              <w:t>年二甲基苯胺产品扩产项目</w:t>
            </w:r>
          </w:p>
        </w:tc>
        <w:tc>
          <w:tcPr>
            <w:tcW w:w="1865" w:type="dxa"/>
            <w:gridSpan w:val="2"/>
          </w:tcPr>
          <w:p>
            <w:pPr>
              <w:pStyle w:val="TableParagraph"/>
              <w:spacing w:before="23"/>
              <w:ind w:left="394"/>
              <w:jc w:val="left"/>
              <w:rPr>
                <w:sz w:val="18"/>
              </w:rPr>
            </w:pPr>
            <w:r>
              <w:rPr>
                <w:sz w:val="18"/>
              </w:rPr>
              <w:t>二甲基硝基苯</w:t>
            </w:r>
          </w:p>
        </w:tc>
        <w:tc>
          <w:tcPr>
            <w:tcW w:w="1018" w:type="dxa"/>
          </w:tcPr>
          <w:p>
            <w:pPr>
              <w:pStyle w:val="TableParagraph"/>
              <w:spacing w:before="38"/>
              <w:ind w:left="144" w:right="138"/>
              <w:rPr>
                <w:rFonts w:ascii="Times New Roman"/>
                <w:sz w:val="18"/>
              </w:rPr>
            </w:pPr>
            <w:r>
              <w:rPr>
                <w:rFonts w:ascii="Times New Roman"/>
                <w:sz w:val="18"/>
              </w:rPr>
              <w:t>1000</w:t>
            </w:r>
          </w:p>
        </w:tc>
        <w:tc>
          <w:tcPr>
            <w:tcW w:w="1694" w:type="dxa"/>
            <w:vMerge w:val="restart"/>
          </w:tcPr>
          <w:p>
            <w:pPr>
              <w:pStyle w:val="TableParagraph"/>
              <w:spacing w:line="230" w:lineRule="exact"/>
              <w:ind w:left="155" w:right="142"/>
              <w:rPr>
                <w:rFonts w:ascii="Times New Roman" w:eastAsia="Times New Roman"/>
                <w:sz w:val="18"/>
              </w:rPr>
            </w:pPr>
            <w:r>
              <w:rPr>
                <w:sz w:val="18"/>
              </w:rPr>
              <w:t>虞环审</w:t>
            </w:r>
            <w:r>
              <w:rPr>
                <w:rFonts w:ascii="Times New Roman" w:eastAsia="Times New Roman"/>
                <w:sz w:val="18"/>
              </w:rPr>
              <w:t>[2005]185</w:t>
            </w:r>
          </w:p>
          <w:p>
            <w:pPr>
              <w:pStyle w:val="TableParagraph"/>
              <w:spacing w:before="2"/>
              <w:ind w:left="153" w:right="142"/>
              <w:rPr>
                <w:sz w:val="18"/>
              </w:rPr>
            </w:pPr>
            <w:r>
              <w:rPr>
                <w:sz w:val="18"/>
              </w:rPr>
              <w:t>号，虞环建验</w:t>
            </w:r>
          </w:p>
          <w:p>
            <w:pPr>
              <w:pStyle w:val="TableParagraph"/>
              <w:spacing w:line="213" w:lineRule="exact" w:before="2"/>
              <w:ind w:left="155" w:right="142"/>
              <w:rPr>
                <w:sz w:val="18"/>
              </w:rPr>
            </w:pPr>
            <w:r>
              <w:rPr>
                <w:sz w:val="18"/>
              </w:rPr>
              <w:t>（</w:t>
            </w:r>
            <w:r>
              <w:rPr>
                <w:rFonts w:ascii="Times New Roman" w:eastAsia="Times New Roman"/>
                <w:sz w:val="18"/>
              </w:rPr>
              <w:t>2006</w:t>
            </w:r>
            <w:r>
              <w:rPr>
                <w:sz w:val="18"/>
              </w:rPr>
              <w:t>）</w:t>
            </w:r>
            <w:r>
              <w:rPr>
                <w:rFonts w:ascii="Times New Roman" w:eastAsia="Times New Roman"/>
                <w:sz w:val="18"/>
              </w:rPr>
              <w:t>038</w:t>
            </w:r>
            <w:r>
              <w:rPr>
                <w:rFonts w:ascii="Times New Roman" w:eastAsia="Times New Roman"/>
                <w:spacing w:val="-2"/>
                <w:sz w:val="18"/>
              </w:rPr>
              <w:t> </w:t>
            </w:r>
            <w:r>
              <w:rPr>
                <w:sz w:val="18"/>
              </w:rPr>
              <w:t>号</w:t>
            </w:r>
          </w:p>
        </w:tc>
        <w:tc>
          <w:tcPr>
            <w:tcW w:w="1018" w:type="dxa"/>
            <w:vMerge w:val="restart"/>
          </w:tcPr>
          <w:p>
            <w:pPr>
              <w:pStyle w:val="TableParagraph"/>
              <w:spacing w:before="1"/>
              <w:jc w:val="left"/>
              <w:rPr>
                <w:b/>
                <w:sz w:val="18"/>
              </w:rPr>
            </w:pPr>
          </w:p>
          <w:p>
            <w:pPr>
              <w:pStyle w:val="TableParagraph"/>
              <w:spacing w:before="1"/>
              <w:ind w:left="238"/>
              <w:jc w:val="left"/>
              <w:rPr>
                <w:sz w:val="18"/>
              </w:rPr>
            </w:pPr>
            <w:r>
              <w:rPr>
                <w:sz w:val="18"/>
              </w:rPr>
              <w:t>已淘汰</w:t>
            </w:r>
          </w:p>
        </w:tc>
        <w:tc>
          <w:tcPr>
            <w:tcW w:w="1142" w:type="dxa"/>
            <w:vMerge w:val="restart"/>
          </w:tcPr>
          <w:p>
            <w:pPr>
              <w:pStyle w:val="TableParagraph"/>
              <w:spacing w:before="1"/>
              <w:jc w:val="left"/>
              <w:rPr>
                <w:b/>
                <w:sz w:val="19"/>
              </w:rPr>
            </w:pPr>
          </w:p>
          <w:p>
            <w:pPr>
              <w:pStyle w:val="TableParagraph"/>
              <w:ind w:left="9"/>
              <w:rPr>
                <w:rFonts w:ascii="Times New Roman"/>
                <w:sz w:val="18"/>
              </w:rPr>
            </w:pPr>
            <w:r>
              <w:rPr>
                <w:rFonts w:ascii="Times New Roman"/>
                <w:sz w:val="18"/>
              </w:rPr>
              <w:t>/</w:t>
            </w:r>
          </w:p>
        </w:tc>
      </w:tr>
      <w:tr>
        <w:trPr>
          <w:trHeight w:val="405" w:hRule="atLeast"/>
        </w:trPr>
        <w:tc>
          <w:tcPr>
            <w:tcW w:w="2551" w:type="dxa"/>
            <w:vMerge/>
            <w:tcBorders>
              <w:top w:val="nil"/>
            </w:tcBorders>
          </w:tcPr>
          <w:p>
            <w:pPr>
              <w:rPr>
                <w:sz w:val="2"/>
                <w:szCs w:val="2"/>
              </w:rPr>
            </w:pPr>
          </w:p>
        </w:tc>
        <w:tc>
          <w:tcPr>
            <w:tcW w:w="1865" w:type="dxa"/>
            <w:gridSpan w:val="2"/>
          </w:tcPr>
          <w:p>
            <w:pPr>
              <w:pStyle w:val="TableParagraph"/>
              <w:spacing w:before="86"/>
              <w:ind w:left="482"/>
              <w:jc w:val="left"/>
              <w:rPr>
                <w:sz w:val="18"/>
              </w:rPr>
            </w:pPr>
            <w:r>
              <w:rPr>
                <w:sz w:val="18"/>
              </w:rPr>
              <w:t>二甲基苯胺</w:t>
            </w:r>
          </w:p>
        </w:tc>
        <w:tc>
          <w:tcPr>
            <w:tcW w:w="1018" w:type="dxa"/>
          </w:tcPr>
          <w:p>
            <w:pPr>
              <w:pStyle w:val="TableParagraph"/>
              <w:spacing w:before="100"/>
              <w:ind w:left="144" w:right="138"/>
              <w:rPr>
                <w:rFonts w:ascii="Times New Roman"/>
                <w:sz w:val="18"/>
              </w:rPr>
            </w:pPr>
            <w:r>
              <w:rPr>
                <w:rFonts w:ascii="Times New Roman"/>
                <w:sz w:val="18"/>
              </w:rPr>
              <w:t>1060</w:t>
            </w:r>
          </w:p>
        </w:tc>
        <w:tc>
          <w:tcPr>
            <w:tcW w:w="1694" w:type="dxa"/>
            <w:vMerge/>
            <w:tcBorders>
              <w:top w:val="nil"/>
            </w:tcBorders>
          </w:tcPr>
          <w:p>
            <w:pPr>
              <w:rPr>
                <w:sz w:val="2"/>
                <w:szCs w:val="2"/>
              </w:rPr>
            </w:pPr>
          </w:p>
        </w:tc>
        <w:tc>
          <w:tcPr>
            <w:tcW w:w="1018" w:type="dxa"/>
            <w:vMerge/>
            <w:tcBorders>
              <w:top w:val="nil"/>
            </w:tcBorders>
          </w:tcPr>
          <w:p>
            <w:pPr>
              <w:rPr>
                <w:sz w:val="2"/>
                <w:szCs w:val="2"/>
              </w:rPr>
            </w:pPr>
          </w:p>
        </w:tc>
        <w:tc>
          <w:tcPr>
            <w:tcW w:w="1142" w:type="dxa"/>
            <w:vMerge/>
            <w:tcBorders>
              <w:top w:val="nil"/>
            </w:tcBorders>
          </w:tcPr>
          <w:p>
            <w:pPr>
              <w:rPr>
                <w:sz w:val="2"/>
                <w:szCs w:val="2"/>
              </w:rPr>
            </w:pPr>
          </w:p>
        </w:tc>
      </w:tr>
      <w:tr>
        <w:trPr>
          <w:trHeight w:val="285" w:hRule="atLeast"/>
        </w:trPr>
        <w:tc>
          <w:tcPr>
            <w:tcW w:w="2551" w:type="dxa"/>
            <w:vMerge w:val="restart"/>
          </w:tcPr>
          <w:p>
            <w:pPr>
              <w:pStyle w:val="TableParagraph"/>
              <w:spacing w:before="117"/>
              <w:ind w:left="14" w:right="4"/>
              <w:rPr>
                <w:rFonts w:ascii="Times New Roman" w:eastAsia="Times New Roman"/>
                <w:sz w:val="18"/>
              </w:rPr>
            </w:pPr>
            <w:r>
              <w:rPr>
                <w:rFonts w:ascii="Times New Roman" w:eastAsia="Times New Roman"/>
                <w:sz w:val="18"/>
              </w:rPr>
              <w:t>600 </w:t>
            </w:r>
            <w:r>
              <w:rPr>
                <w:sz w:val="18"/>
              </w:rPr>
              <w:t>吨</w:t>
            </w:r>
            <w:r>
              <w:rPr>
                <w:rFonts w:ascii="Times New Roman" w:eastAsia="Times New Roman"/>
                <w:sz w:val="18"/>
              </w:rPr>
              <w:t>/</w:t>
            </w:r>
            <w:r>
              <w:rPr>
                <w:sz w:val="18"/>
              </w:rPr>
              <w:t>年 </w:t>
            </w:r>
            <w:r>
              <w:rPr>
                <w:rFonts w:ascii="Times New Roman" w:eastAsia="Times New Roman"/>
                <w:sz w:val="18"/>
              </w:rPr>
              <w:t>3,4-</w:t>
            </w:r>
            <w:r>
              <w:rPr>
                <w:sz w:val="18"/>
              </w:rPr>
              <w:t>二甲基苯胺、</w:t>
            </w:r>
            <w:r>
              <w:rPr>
                <w:rFonts w:ascii="Times New Roman" w:eastAsia="Times New Roman"/>
                <w:sz w:val="18"/>
              </w:rPr>
              <w:t>650</w:t>
            </w:r>
          </w:p>
          <w:p>
            <w:pPr>
              <w:pStyle w:val="TableParagraph"/>
              <w:spacing w:before="5"/>
              <w:ind w:left="13" w:right="4"/>
              <w:rPr>
                <w:sz w:val="18"/>
              </w:rPr>
            </w:pPr>
            <w:r>
              <w:rPr>
                <w:sz w:val="18"/>
              </w:rPr>
              <w:t>吨</w:t>
            </w:r>
            <w:r>
              <w:rPr>
                <w:rFonts w:ascii="Times New Roman" w:eastAsia="Times New Roman"/>
                <w:sz w:val="18"/>
              </w:rPr>
              <w:t>/</w:t>
            </w:r>
            <w:r>
              <w:rPr>
                <w:sz w:val="18"/>
              </w:rPr>
              <w:t>年 </w:t>
            </w:r>
            <w:r>
              <w:rPr>
                <w:rFonts w:ascii="Times New Roman" w:eastAsia="Times New Roman"/>
                <w:sz w:val="18"/>
              </w:rPr>
              <w:t>N-</w:t>
            </w:r>
            <w:r>
              <w:rPr>
                <w:sz w:val="18"/>
              </w:rPr>
              <w:t>戊基苯胺技改项目</w:t>
            </w:r>
          </w:p>
        </w:tc>
        <w:tc>
          <w:tcPr>
            <w:tcW w:w="1865" w:type="dxa"/>
            <w:gridSpan w:val="2"/>
          </w:tcPr>
          <w:p>
            <w:pPr>
              <w:pStyle w:val="TableParagraph"/>
              <w:spacing w:before="26"/>
              <w:ind w:left="341"/>
              <w:jc w:val="left"/>
              <w:rPr>
                <w:sz w:val="18"/>
              </w:rPr>
            </w:pPr>
            <w:r>
              <w:rPr>
                <w:rFonts w:ascii="Times New Roman" w:eastAsia="Times New Roman"/>
                <w:sz w:val="18"/>
              </w:rPr>
              <w:t>3,4-</w:t>
            </w:r>
            <w:r>
              <w:rPr>
                <w:sz w:val="18"/>
              </w:rPr>
              <w:t>二甲基苯胺</w:t>
            </w:r>
          </w:p>
        </w:tc>
        <w:tc>
          <w:tcPr>
            <w:tcW w:w="1018" w:type="dxa"/>
          </w:tcPr>
          <w:p>
            <w:pPr>
              <w:pStyle w:val="TableParagraph"/>
              <w:spacing w:before="40"/>
              <w:ind w:left="147" w:right="137"/>
              <w:rPr>
                <w:rFonts w:ascii="Times New Roman"/>
                <w:sz w:val="18"/>
              </w:rPr>
            </w:pPr>
            <w:r>
              <w:rPr>
                <w:rFonts w:ascii="Times New Roman"/>
                <w:sz w:val="18"/>
              </w:rPr>
              <w:t>600</w:t>
            </w:r>
          </w:p>
        </w:tc>
        <w:tc>
          <w:tcPr>
            <w:tcW w:w="1694" w:type="dxa"/>
            <w:vMerge w:val="restart"/>
          </w:tcPr>
          <w:p>
            <w:pPr>
              <w:pStyle w:val="TableParagraph"/>
              <w:spacing w:before="2"/>
              <w:ind w:left="156" w:right="142"/>
              <w:rPr>
                <w:rFonts w:ascii="Times New Roman" w:eastAsia="Times New Roman"/>
                <w:sz w:val="18"/>
              </w:rPr>
            </w:pPr>
            <w:r>
              <w:rPr>
                <w:sz w:val="18"/>
              </w:rPr>
              <w:t>浙环建</w:t>
            </w:r>
            <w:r>
              <w:rPr>
                <w:rFonts w:ascii="Times New Roman" w:eastAsia="Times New Roman"/>
                <w:sz w:val="18"/>
              </w:rPr>
              <w:t>[2008]113</w:t>
            </w:r>
          </w:p>
          <w:p>
            <w:pPr>
              <w:pStyle w:val="TableParagraph"/>
              <w:spacing w:before="2"/>
              <w:ind w:left="153" w:right="142"/>
              <w:rPr>
                <w:sz w:val="18"/>
              </w:rPr>
            </w:pPr>
            <w:r>
              <w:rPr>
                <w:sz w:val="18"/>
              </w:rPr>
              <w:t>号，虞环建验</w:t>
            </w:r>
          </w:p>
          <w:p>
            <w:pPr>
              <w:pStyle w:val="TableParagraph"/>
              <w:spacing w:line="213" w:lineRule="exact" w:before="2"/>
              <w:ind w:left="157" w:right="142"/>
              <w:rPr>
                <w:sz w:val="18"/>
              </w:rPr>
            </w:pPr>
            <w:r>
              <w:rPr>
                <w:sz w:val="18"/>
              </w:rPr>
              <w:t>（</w:t>
            </w:r>
            <w:r>
              <w:rPr>
                <w:rFonts w:ascii="Times New Roman" w:eastAsia="Times New Roman"/>
                <w:sz w:val="18"/>
              </w:rPr>
              <w:t>2009</w:t>
            </w:r>
            <w:r>
              <w:rPr>
                <w:sz w:val="18"/>
              </w:rPr>
              <w:t>）</w:t>
            </w:r>
            <w:r>
              <w:rPr>
                <w:rFonts w:ascii="Times New Roman" w:eastAsia="Times New Roman"/>
                <w:sz w:val="18"/>
              </w:rPr>
              <w:t>29 </w:t>
            </w:r>
            <w:r>
              <w:rPr>
                <w:sz w:val="18"/>
              </w:rPr>
              <w:t>号</w:t>
            </w:r>
          </w:p>
        </w:tc>
        <w:tc>
          <w:tcPr>
            <w:tcW w:w="1018" w:type="dxa"/>
            <w:vMerge w:val="restart"/>
          </w:tcPr>
          <w:p>
            <w:pPr>
              <w:pStyle w:val="TableParagraph"/>
              <w:spacing w:before="4"/>
              <w:jc w:val="left"/>
              <w:rPr>
                <w:b/>
                <w:sz w:val="18"/>
              </w:rPr>
            </w:pPr>
          </w:p>
          <w:p>
            <w:pPr>
              <w:pStyle w:val="TableParagraph"/>
              <w:ind w:left="238"/>
              <w:jc w:val="left"/>
              <w:rPr>
                <w:sz w:val="18"/>
              </w:rPr>
            </w:pPr>
            <w:r>
              <w:rPr>
                <w:sz w:val="18"/>
              </w:rPr>
              <w:t>已淘汰</w:t>
            </w:r>
          </w:p>
        </w:tc>
        <w:tc>
          <w:tcPr>
            <w:tcW w:w="1142" w:type="dxa"/>
          </w:tcPr>
          <w:p>
            <w:pPr>
              <w:pStyle w:val="TableParagraph"/>
              <w:spacing w:before="40"/>
              <w:ind w:left="9"/>
              <w:rPr>
                <w:rFonts w:ascii="Times New Roman"/>
                <w:sz w:val="18"/>
              </w:rPr>
            </w:pPr>
            <w:r>
              <w:rPr>
                <w:rFonts w:ascii="Times New Roman"/>
                <w:sz w:val="18"/>
              </w:rPr>
              <w:t>/</w:t>
            </w:r>
          </w:p>
        </w:tc>
      </w:tr>
      <w:tr>
        <w:trPr>
          <w:trHeight w:val="405" w:hRule="atLeast"/>
        </w:trPr>
        <w:tc>
          <w:tcPr>
            <w:tcW w:w="2551" w:type="dxa"/>
            <w:vMerge/>
            <w:tcBorders>
              <w:top w:val="nil"/>
            </w:tcBorders>
          </w:tcPr>
          <w:p>
            <w:pPr>
              <w:rPr>
                <w:sz w:val="2"/>
                <w:szCs w:val="2"/>
              </w:rPr>
            </w:pPr>
          </w:p>
        </w:tc>
        <w:tc>
          <w:tcPr>
            <w:tcW w:w="1865" w:type="dxa"/>
            <w:gridSpan w:val="2"/>
          </w:tcPr>
          <w:p>
            <w:pPr>
              <w:pStyle w:val="TableParagraph"/>
              <w:spacing w:before="86"/>
              <w:ind w:left="478"/>
              <w:jc w:val="left"/>
              <w:rPr>
                <w:sz w:val="18"/>
              </w:rPr>
            </w:pPr>
            <w:r>
              <w:rPr>
                <w:rFonts w:ascii="Times New Roman" w:eastAsia="Times New Roman"/>
                <w:sz w:val="18"/>
              </w:rPr>
              <w:t>N-</w:t>
            </w:r>
            <w:r>
              <w:rPr>
                <w:sz w:val="18"/>
              </w:rPr>
              <w:t>戊基苯胺</w:t>
            </w:r>
          </w:p>
        </w:tc>
        <w:tc>
          <w:tcPr>
            <w:tcW w:w="1018" w:type="dxa"/>
          </w:tcPr>
          <w:p>
            <w:pPr>
              <w:pStyle w:val="TableParagraph"/>
              <w:spacing w:before="100"/>
              <w:ind w:left="147" w:right="137"/>
              <w:rPr>
                <w:rFonts w:ascii="Times New Roman"/>
                <w:sz w:val="18"/>
              </w:rPr>
            </w:pPr>
            <w:r>
              <w:rPr>
                <w:rFonts w:ascii="Times New Roman"/>
                <w:sz w:val="18"/>
              </w:rPr>
              <w:t>650</w:t>
            </w:r>
          </w:p>
        </w:tc>
        <w:tc>
          <w:tcPr>
            <w:tcW w:w="1694" w:type="dxa"/>
            <w:vMerge/>
            <w:tcBorders>
              <w:top w:val="nil"/>
            </w:tcBorders>
          </w:tcPr>
          <w:p>
            <w:pPr>
              <w:rPr>
                <w:sz w:val="2"/>
                <w:szCs w:val="2"/>
              </w:rPr>
            </w:pPr>
          </w:p>
        </w:tc>
        <w:tc>
          <w:tcPr>
            <w:tcW w:w="1018" w:type="dxa"/>
            <w:vMerge/>
            <w:tcBorders>
              <w:top w:val="nil"/>
            </w:tcBorders>
          </w:tcPr>
          <w:p>
            <w:pPr>
              <w:rPr>
                <w:sz w:val="2"/>
                <w:szCs w:val="2"/>
              </w:rPr>
            </w:pPr>
          </w:p>
        </w:tc>
        <w:tc>
          <w:tcPr>
            <w:tcW w:w="1142" w:type="dxa"/>
          </w:tcPr>
          <w:p>
            <w:pPr>
              <w:pStyle w:val="TableParagraph"/>
              <w:spacing w:before="100"/>
              <w:ind w:left="9"/>
              <w:rPr>
                <w:rFonts w:ascii="Times New Roman"/>
                <w:sz w:val="18"/>
              </w:rPr>
            </w:pPr>
            <w:r>
              <w:rPr>
                <w:rFonts w:ascii="Times New Roman"/>
                <w:sz w:val="18"/>
              </w:rPr>
              <w:t>/</w:t>
            </w:r>
          </w:p>
        </w:tc>
      </w:tr>
      <w:tr>
        <w:trPr>
          <w:trHeight w:val="285" w:hRule="atLeast"/>
        </w:trPr>
        <w:tc>
          <w:tcPr>
            <w:tcW w:w="2551" w:type="dxa"/>
            <w:vMerge w:val="restart"/>
          </w:tcPr>
          <w:p>
            <w:pPr>
              <w:pStyle w:val="TableParagraph"/>
              <w:spacing w:line="242" w:lineRule="auto" w:before="117"/>
              <w:ind w:left="97" w:right="85"/>
              <w:rPr>
                <w:sz w:val="18"/>
              </w:rPr>
            </w:pPr>
            <w:r>
              <w:rPr>
                <w:rFonts w:ascii="Times New Roman" w:eastAsia="Times New Roman"/>
                <w:sz w:val="18"/>
              </w:rPr>
              <w:t>1500 </w:t>
            </w:r>
            <w:r>
              <w:rPr>
                <w:sz w:val="18"/>
              </w:rPr>
              <w:t>吨</w:t>
            </w:r>
            <w:r>
              <w:rPr>
                <w:rFonts w:ascii="Times New Roman" w:eastAsia="Times New Roman"/>
                <w:sz w:val="18"/>
              </w:rPr>
              <w:t>/</w:t>
            </w:r>
            <w:r>
              <w:rPr>
                <w:sz w:val="18"/>
              </w:rPr>
              <w:t>年对异丙基苯胺、</w:t>
            </w:r>
            <w:r>
              <w:rPr>
                <w:rFonts w:ascii="Times New Roman" w:eastAsia="Times New Roman"/>
                <w:sz w:val="18"/>
              </w:rPr>
              <w:t>500 </w:t>
            </w:r>
            <w:r>
              <w:rPr>
                <w:sz w:val="18"/>
              </w:rPr>
              <w:t>吨</w:t>
            </w:r>
            <w:r>
              <w:rPr>
                <w:rFonts w:ascii="Times New Roman" w:eastAsia="Times New Roman"/>
                <w:sz w:val="18"/>
              </w:rPr>
              <w:t>/</w:t>
            </w:r>
            <w:r>
              <w:rPr>
                <w:sz w:val="18"/>
              </w:rPr>
              <w:t>年邻异丙基苯胺、</w:t>
            </w:r>
            <w:r>
              <w:rPr>
                <w:rFonts w:ascii="Times New Roman" w:eastAsia="Times New Roman"/>
                <w:sz w:val="18"/>
              </w:rPr>
              <w:t>500 </w:t>
            </w:r>
            <w:r>
              <w:rPr>
                <w:sz w:val="18"/>
              </w:rPr>
              <w:t>吨</w:t>
            </w:r>
            <w:r>
              <w:rPr>
                <w:rFonts w:ascii="Times New Roman" w:eastAsia="Times New Roman"/>
                <w:sz w:val="18"/>
              </w:rPr>
              <w:t>/ </w:t>
            </w:r>
            <w:r>
              <w:rPr>
                <w:sz w:val="18"/>
              </w:rPr>
              <w:t>年 </w:t>
            </w:r>
            <w:r>
              <w:rPr>
                <w:rFonts w:ascii="Times New Roman" w:eastAsia="Times New Roman"/>
                <w:sz w:val="18"/>
              </w:rPr>
              <w:t>2,6-</w:t>
            </w:r>
            <w:r>
              <w:rPr>
                <w:sz w:val="18"/>
              </w:rPr>
              <w:t>二甲基苯胺、</w:t>
            </w:r>
            <w:r>
              <w:rPr>
                <w:rFonts w:ascii="Times New Roman" w:eastAsia="Times New Roman"/>
                <w:sz w:val="18"/>
              </w:rPr>
              <w:t>1500 </w:t>
            </w:r>
            <w:r>
              <w:rPr>
                <w:sz w:val="18"/>
              </w:rPr>
              <w:t>吨</w:t>
            </w:r>
            <w:r>
              <w:rPr>
                <w:rFonts w:ascii="Times New Roman" w:eastAsia="Times New Roman"/>
                <w:sz w:val="18"/>
              </w:rPr>
              <w:t>/ </w:t>
            </w:r>
            <w:r>
              <w:rPr>
                <w:sz w:val="18"/>
              </w:rPr>
              <w:t>年 </w:t>
            </w:r>
            <w:r>
              <w:rPr>
                <w:rFonts w:ascii="Times New Roman" w:eastAsia="Times New Roman"/>
                <w:sz w:val="18"/>
              </w:rPr>
              <w:t>2,4-</w:t>
            </w:r>
            <w:r>
              <w:rPr>
                <w:sz w:val="18"/>
              </w:rPr>
              <w:t>二甲基苯胺技改项目</w:t>
            </w:r>
          </w:p>
        </w:tc>
        <w:tc>
          <w:tcPr>
            <w:tcW w:w="1865" w:type="dxa"/>
            <w:gridSpan w:val="2"/>
          </w:tcPr>
          <w:p>
            <w:pPr>
              <w:pStyle w:val="TableParagraph"/>
              <w:spacing w:before="26"/>
              <w:ind w:left="394"/>
              <w:jc w:val="left"/>
              <w:rPr>
                <w:sz w:val="18"/>
              </w:rPr>
            </w:pPr>
            <w:r>
              <w:rPr>
                <w:sz w:val="18"/>
              </w:rPr>
              <w:t>对异丙基苯胺</w:t>
            </w:r>
          </w:p>
        </w:tc>
        <w:tc>
          <w:tcPr>
            <w:tcW w:w="1018" w:type="dxa"/>
          </w:tcPr>
          <w:p>
            <w:pPr>
              <w:pStyle w:val="TableParagraph"/>
              <w:spacing w:before="40"/>
              <w:ind w:left="144" w:right="138"/>
              <w:rPr>
                <w:rFonts w:ascii="Times New Roman"/>
                <w:sz w:val="18"/>
              </w:rPr>
            </w:pPr>
            <w:r>
              <w:rPr>
                <w:rFonts w:ascii="Times New Roman"/>
                <w:sz w:val="18"/>
              </w:rPr>
              <w:t>1500</w:t>
            </w:r>
          </w:p>
        </w:tc>
        <w:tc>
          <w:tcPr>
            <w:tcW w:w="1694" w:type="dxa"/>
            <w:vMerge w:val="restart"/>
          </w:tcPr>
          <w:p>
            <w:pPr>
              <w:pStyle w:val="TableParagraph"/>
              <w:spacing w:before="4"/>
              <w:jc w:val="left"/>
              <w:rPr>
                <w:b/>
                <w:sz w:val="18"/>
              </w:rPr>
            </w:pPr>
          </w:p>
          <w:p>
            <w:pPr>
              <w:pStyle w:val="TableParagraph"/>
              <w:ind w:left="155" w:right="142"/>
              <w:rPr>
                <w:rFonts w:ascii="Times New Roman" w:eastAsia="Times New Roman"/>
                <w:sz w:val="18"/>
              </w:rPr>
            </w:pPr>
            <w:r>
              <w:rPr>
                <w:sz w:val="18"/>
              </w:rPr>
              <w:t>虞环审</w:t>
            </w:r>
            <w:r>
              <w:rPr>
                <w:rFonts w:ascii="Times New Roman" w:eastAsia="Times New Roman"/>
                <w:sz w:val="18"/>
              </w:rPr>
              <w:t>[2009]169</w:t>
            </w:r>
          </w:p>
          <w:p>
            <w:pPr>
              <w:pStyle w:val="TableParagraph"/>
              <w:spacing w:before="3"/>
              <w:ind w:left="153" w:right="142"/>
              <w:rPr>
                <w:sz w:val="18"/>
              </w:rPr>
            </w:pPr>
            <w:r>
              <w:rPr>
                <w:sz w:val="18"/>
              </w:rPr>
              <w:t>号，虞环建验</w:t>
            </w:r>
          </w:p>
          <w:p>
            <w:pPr>
              <w:pStyle w:val="TableParagraph"/>
              <w:spacing w:before="2"/>
              <w:ind w:left="157" w:right="142"/>
              <w:rPr>
                <w:sz w:val="18"/>
              </w:rPr>
            </w:pPr>
            <w:r>
              <w:rPr>
                <w:sz w:val="18"/>
              </w:rPr>
              <w:t>（</w:t>
            </w:r>
            <w:r>
              <w:rPr>
                <w:rFonts w:ascii="Times New Roman" w:eastAsia="Times New Roman"/>
                <w:sz w:val="18"/>
              </w:rPr>
              <w:t>2010</w:t>
            </w:r>
            <w:r>
              <w:rPr>
                <w:sz w:val="18"/>
              </w:rPr>
              <w:t>）</w:t>
            </w:r>
            <w:r>
              <w:rPr>
                <w:rFonts w:ascii="Times New Roman" w:eastAsia="Times New Roman"/>
                <w:sz w:val="18"/>
              </w:rPr>
              <w:t>49 </w:t>
            </w:r>
            <w:r>
              <w:rPr>
                <w:sz w:val="18"/>
              </w:rPr>
              <w:t>号</w:t>
            </w:r>
          </w:p>
        </w:tc>
        <w:tc>
          <w:tcPr>
            <w:tcW w:w="1018" w:type="dxa"/>
            <w:vMerge w:val="restart"/>
          </w:tcPr>
          <w:p>
            <w:pPr>
              <w:pStyle w:val="TableParagraph"/>
              <w:spacing w:line="242" w:lineRule="auto" w:before="117"/>
              <w:ind w:left="147" w:right="138"/>
              <w:rPr>
                <w:sz w:val="18"/>
              </w:rPr>
            </w:pPr>
            <w:r>
              <w:rPr>
                <w:sz w:val="18"/>
              </w:rPr>
              <w:t>由于市场原因，目前暂未生产</w:t>
            </w:r>
          </w:p>
        </w:tc>
        <w:tc>
          <w:tcPr>
            <w:tcW w:w="1142" w:type="dxa"/>
          </w:tcPr>
          <w:p>
            <w:pPr>
              <w:pStyle w:val="TableParagraph"/>
              <w:spacing w:before="40"/>
              <w:ind w:left="9"/>
              <w:rPr>
                <w:rFonts w:ascii="Times New Roman"/>
                <w:sz w:val="18"/>
              </w:rPr>
            </w:pPr>
            <w:r>
              <w:rPr>
                <w:rFonts w:ascii="Times New Roman"/>
                <w:sz w:val="18"/>
              </w:rPr>
              <w:t>/</w:t>
            </w:r>
          </w:p>
        </w:tc>
      </w:tr>
      <w:tr>
        <w:trPr>
          <w:trHeight w:val="282" w:hRule="atLeast"/>
        </w:trPr>
        <w:tc>
          <w:tcPr>
            <w:tcW w:w="2551" w:type="dxa"/>
            <w:vMerge/>
            <w:tcBorders>
              <w:top w:val="nil"/>
            </w:tcBorders>
          </w:tcPr>
          <w:p>
            <w:pPr>
              <w:rPr>
                <w:sz w:val="2"/>
                <w:szCs w:val="2"/>
              </w:rPr>
            </w:pPr>
          </w:p>
        </w:tc>
        <w:tc>
          <w:tcPr>
            <w:tcW w:w="1865" w:type="dxa"/>
            <w:gridSpan w:val="2"/>
          </w:tcPr>
          <w:p>
            <w:pPr>
              <w:pStyle w:val="TableParagraph"/>
              <w:spacing w:before="26"/>
              <w:ind w:left="394"/>
              <w:jc w:val="left"/>
              <w:rPr>
                <w:sz w:val="18"/>
              </w:rPr>
            </w:pPr>
            <w:r>
              <w:rPr>
                <w:sz w:val="18"/>
              </w:rPr>
              <w:t>邻异丙基苯胺</w:t>
            </w:r>
          </w:p>
        </w:tc>
        <w:tc>
          <w:tcPr>
            <w:tcW w:w="1018" w:type="dxa"/>
          </w:tcPr>
          <w:p>
            <w:pPr>
              <w:pStyle w:val="TableParagraph"/>
              <w:spacing w:before="38"/>
              <w:ind w:left="147" w:right="137"/>
              <w:rPr>
                <w:rFonts w:ascii="Times New Roman"/>
                <w:sz w:val="18"/>
              </w:rPr>
            </w:pPr>
            <w:r>
              <w:rPr>
                <w:rFonts w:ascii="Times New Roman"/>
                <w:sz w:val="18"/>
              </w:rPr>
              <w:t>500</w:t>
            </w:r>
          </w:p>
        </w:tc>
        <w:tc>
          <w:tcPr>
            <w:tcW w:w="1694" w:type="dxa"/>
            <w:vMerge/>
            <w:tcBorders>
              <w:top w:val="nil"/>
            </w:tcBorders>
          </w:tcPr>
          <w:p>
            <w:pPr>
              <w:rPr>
                <w:sz w:val="2"/>
                <w:szCs w:val="2"/>
              </w:rPr>
            </w:pPr>
          </w:p>
        </w:tc>
        <w:tc>
          <w:tcPr>
            <w:tcW w:w="1018" w:type="dxa"/>
            <w:vMerge/>
            <w:tcBorders>
              <w:top w:val="nil"/>
            </w:tcBorders>
          </w:tcPr>
          <w:p>
            <w:pPr>
              <w:rPr>
                <w:sz w:val="2"/>
                <w:szCs w:val="2"/>
              </w:rPr>
            </w:pPr>
          </w:p>
        </w:tc>
        <w:tc>
          <w:tcPr>
            <w:tcW w:w="1142" w:type="dxa"/>
          </w:tcPr>
          <w:p>
            <w:pPr>
              <w:pStyle w:val="TableParagraph"/>
              <w:spacing w:before="38"/>
              <w:ind w:left="9"/>
              <w:rPr>
                <w:rFonts w:ascii="Times New Roman"/>
                <w:sz w:val="18"/>
              </w:rPr>
            </w:pPr>
            <w:r>
              <w:rPr>
                <w:rFonts w:ascii="Times New Roman"/>
                <w:sz w:val="18"/>
              </w:rPr>
              <w:t>/</w:t>
            </w:r>
          </w:p>
        </w:tc>
      </w:tr>
      <w:tr>
        <w:trPr>
          <w:trHeight w:val="285" w:hRule="atLeast"/>
        </w:trPr>
        <w:tc>
          <w:tcPr>
            <w:tcW w:w="2551" w:type="dxa"/>
            <w:vMerge/>
            <w:tcBorders>
              <w:top w:val="nil"/>
            </w:tcBorders>
          </w:tcPr>
          <w:p>
            <w:pPr>
              <w:rPr>
                <w:sz w:val="2"/>
                <w:szCs w:val="2"/>
              </w:rPr>
            </w:pPr>
          </w:p>
        </w:tc>
        <w:tc>
          <w:tcPr>
            <w:tcW w:w="1865" w:type="dxa"/>
            <w:gridSpan w:val="2"/>
          </w:tcPr>
          <w:p>
            <w:pPr>
              <w:pStyle w:val="TableParagraph"/>
              <w:spacing w:before="27"/>
              <w:ind w:left="341"/>
              <w:jc w:val="left"/>
              <w:rPr>
                <w:sz w:val="18"/>
              </w:rPr>
            </w:pPr>
            <w:r>
              <w:rPr>
                <w:rFonts w:ascii="Times New Roman" w:eastAsia="Times New Roman"/>
                <w:sz w:val="18"/>
              </w:rPr>
              <w:t>2,6-</w:t>
            </w:r>
            <w:r>
              <w:rPr>
                <w:sz w:val="18"/>
              </w:rPr>
              <w:t>二甲基苯胺</w:t>
            </w:r>
          </w:p>
        </w:tc>
        <w:tc>
          <w:tcPr>
            <w:tcW w:w="1018" w:type="dxa"/>
          </w:tcPr>
          <w:p>
            <w:pPr>
              <w:pStyle w:val="TableParagraph"/>
              <w:spacing w:before="41"/>
              <w:ind w:left="147" w:right="137"/>
              <w:rPr>
                <w:rFonts w:ascii="Times New Roman"/>
                <w:sz w:val="18"/>
              </w:rPr>
            </w:pPr>
            <w:r>
              <w:rPr>
                <w:rFonts w:ascii="Times New Roman"/>
                <w:sz w:val="18"/>
              </w:rPr>
              <w:t>500</w:t>
            </w:r>
          </w:p>
        </w:tc>
        <w:tc>
          <w:tcPr>
            <w:tcW w:w="1694" w:type="dxa"/>
            <w:vMerge/>
            <w:tcBorders>
              <w:top w:val="nil"/>
            </w:tcBorders>
          </w:tcPr>
          <w:p>
            <w:pPr>
              <w:rPr>
                <w:sz w:val="2"/>
                <w:szCs w:val="2"/>
              </w:rPr>
            </w:pPr>
          </w:p>
        </w:tc>
        <w:tc>
          <w:tcPr>
            <w:tcW w:w="1018" w:type="dxa"/>
            <w:vMerge/>
            <w:tcBorders>
              <w:top w:val="nil"/>
            </w:tcBorders>
          </w:tcPr>
          <w:p>
            <w:pPr>
              <w:rPr>
                <w:sz w:val="2"/>
                <w:szCs w:val="2"/>
              </w:rPr>
            </w:pPr>
          </w:p>
        </w:tc>
        <w:tc>
          <w:tcPr>
            <w:tcW w:w="1142" w:type="dxa"/>
          </w:tcPr>
          <w:p>
            <w:pPr>
              <w:pStyle w:val="TableParagraph"/>
              <w:spacing w:before="41"/>
              <w:ind w:left="9"/>
              <w:rPr>
                <w:rFonts w:ascii="Times New Roman"/>
                <w:sz w:val="18"/>
              </w:rPr>
            </w:pPr>
            <w:r>
              <w:rPr>
                <w:rFonts w:ascii="Times New Roman"/>
                <w:sz w:val="18"/>
              </w:rPr>
              <w:t>/</w:t>
            </w:r>
          </w:p>
        </w:tc>
      </w:tr>
      <w:tr>
        <w:trPr>
          <w:trHeight w:val="282" w:hRule="atLeast"/>
        </w:trPr>
        <w:tc>
          <w:tcPr>
            <w:tcW w:w="2551" w:type="dxa"/>
            <w:vMerge/>
            <w:tcBorders>
              <w:top w:val="nil"/>
            </w:tcBorders>
          </w:tcPr>
          <w:p>
            <w:pPr>
              <w:rPr>
                <w:sz w:val="2"/>
                <w:szCs w:val="2"/>
              </w:rPr>
            </w:pPr>
          </w:p>
        </w:tc>
        <w:tc>
          <w:tcPr>
            <w:tcW w:w="1865" w:type="dxa"/>
            <w:gridSpan w:val="2"/>
          </w:tcPr>
          <w:p>
            <w:pPr>
              <w:pStyle w:val="TableParagraph"/>
              <w:spacing w:before="26"/>
              <w:ind w:left="341"/>
              <w:jc w:val="left"/>
              <w:rPr>
                <w:sz w:val="18"/>
              </w:rPr>
            </w:pPr>
            <w:r>
              <w:rPr>
                <w:rFonts w:ascii="Times New Roman" w:eastAsia="Times New Roman"/>
                <w:sz w:val="18"/>
              </w:rPr>
              <w:t>2,4-</w:t>
            </w:r>
            <w:r>
              <w:rPr>
                <w:sz w:val="18"/>
              </w:rPr>
              <w:t>二甲基苯胺</w:t>
            </w:r>
          </w:p>
        </w:tc>
        <w:tc>
          <w:tcPr>
            <w:tcW w:w="1018" w:type="dxa"/>
          </w:tcPr>
          <w:p>
            <w:pPr>
              <w:pStyle w:val="TableParagraph"/>
              <w:spacing w:before="38"/>
              <w:ind w:left="144" w:right="138"/>
              <w:rPr>
                <w:rFonts w:ascii="Times New Roman"/>
                <w:sz w:val="18"/>
              </w:rPr>
            </w:pPr>
            <w:r>
              <w:rPr>
                <w:rFonts w:ascii="Times New Roman"/>
                <w:sz w:val="18"/>
              </w:rPr>
              <w:t>1500</w:t>
            </w:r>
          </w:p>
        </w:tc>
        <w:tc>
          <w:tcPr>
            <w:tcW w:w="1694" w:type="dxa"/>
            <w:vMerge/>
            <w:tcBorders>
              <w:top w:val="nil"/>
            </w:tcBorders>
          </w:tcPr>
          <w:p>
            <w:pPr>
              <w:rPr>
                <w:sz w:val="2"/>
                <w:szCs w:val="2"/>
              </w:rPr>
            </w:pPr>
          </w:p>
        </w:tc>
        <w:tc>
          <w:tcPr>
            <w:tcW w:w="1018" w:type="dxa"/>
            <w:vMerge/>
            <w:tcBorders>
              <w:top w:val="nil"/>
            </w:tcBorders>
          </w:tcPr>
          <w:p>
            <w:pPr>
              <w:rPr>
                <w:sz w:val="2"/>
                <w:szCs w:val="2"/>
              </w:rPr>
            </w:pPr>
          </w:p>
        </w:tc>
        <w:tc>
          <w:tcPr>
            <w:tcW w:w="1142" w:type="dxa"/>
          </w:tcPr>
          <w:p>
            <w:pPr>
              <w:pStyle w:val="TableParagraph"/>
              <w:spacing w:before="38"/>
              <w:ind w:left="9"/>
              <w:rPr>
                <w:rFonts w:ascii="Times New Roman"/>
                <w:sz w:val="18"/>
              </w:rPr>
            </w:pPr>
            <w:r>
              <w:rPr>
                <w:rFonts w:ascii="Times New Roman"/>
                <w:sz w:val="18"/>
              </w:rPr>
              <w:t>/</w:t>
            </w:r>
          </w:p>
        </w:tc>
      </w:tr>
      <w:tr>
        <w:trPr>
          <w:trHeight w:val="1401" w:hRule="atLeast"/>
        </w:trPr>
        <w:tc>
          <w:tcPr>
            <w:tcW w:w="2551" w:type="dxa"/>
            <w:vMerge w:val="restart"/>
          </w:tcPr>
          <w:p>
            <w:pPr>
              <w:pStyle w:val="TableParagraph"/>
              <w:jc w:val="left"/>
              <w:rPr>
                <w:b/>
                <w:sz w:val="20"/>
              </w:rPr>
            </w:pPr>
          </w:p>
          <w:p>
            <w:pPr>
              <w:pStyle w:val="TableParagraph"/>
              <w:jc w:val="left"/>
              <w:rPr>
                <w:b/>
                <w:sz w:val="20"/>
              </w:rPr>
            </w:pPr>
          </w:p>
          <w:p>
            <w:pPr>
              <w:pStyle w:val="TableParagraph"/>
              <w:spacing w:before="11"/>
              <w:jc w:val="left"/>
              <w:rPr>
                <w:b/>
                <w:sz w:val="19"/>
              </w:rPr>
            </w:pPr>
          </w:p>
          <w:p>
            <w:pPr>
              <w:pStyle w:val="TableParagraph"/>
              <w:spacing w:before="1"/>
              <w:ind w:left="13" w:right="4"/>
              <w:rPr>
                <w:sz w:val="18"/>
              </w:rPr>
            </w:pPr>
            <w:r>
              <w:rPr>
                <w:rFonts w:ascii="Times New Roman" w:eastAsia="Times New Roman"/>
                <w:sz w:val="18"/>
              </w:rPr>
              <w:t>8000 </w:t>
            </w:r>
            <w:r>
              <w:rPr>
                <w:sz w:val="18"/>
              </w:rPr>
              <w:t>吨</w:t>
            </w:r>
            <w:r>
              <w:rPr>
                <w:rFonts w:ascii="Times New Roman" w:eastAsia="Times New Roman"/>
                <w:sz w:val="18"/>
              </w:rPr>
              <w:t>/</w:t>
            </w:r>
            <w:r>
              <w:rPr>
                <w:spacing w:val="-23"/>
                <w:sz w:val="18"/>
              </w:rPr>
              <w:t>年 </w:t>
            </w:r>
            <w:r>
              <w:rPr>
                <w:rFonts w:ascii="Times New Roman" w:eastAsia="Times New Roman"/>
                <w:sz w:val="18"/>
              </w:rPr>
              <w:t>4-</w:t>
            </w:r>
            <w:r>
              <w:rPr>
                <w:sz w:val="18"/>
              </w:rPr>
              <w:t>硝基邻二甲苯、</w:t>
            </w:r>
          </w:p>
          <w:p>
            <w:pPr>
              <w:pStyle w:val="TableParagraph"/>
              <w:spacing w:before="2"/>
              <w:ind w:left="13" w:right="4"/>
              <w:rPr>
                <w:sz w:val="18"/>
              </w:rPr>
            </w:pPr>
            <w:r>
              <w:rPr>
                <w:rFonts w:ascii="Times New Roman" w:eastAsia="Times New Roman"/>
                <w:sz w:val="18"/>
              </w:rPr>
              <w:t>6000 </w:t>
            </w:r>
            <w:r>
              <w:rPr>
                <w:sz w:val="18"/>
              </w:rPr>
              <w:t>吨</w:t>
            </w:r>
            <w:r>
              <w:rPr>
                <w:rFonts w:ascii="Times New Roman" w:eastAsia="Times New Roman"/>
                <w:sz w:val="18"/>
              </w:rPr>
              <w:t>/</w:t>
            </w:r>
            <w:r>
              <w:rPr>
                <w:spacing w:val="-24"/>
                <w:sz w:val="18"/>
              </w:rPr>
              <w:t>年 </w:t>
            </w:r>
            <w:r>
              <w:rPr>
                <w:rFonts w:ascii="Times New Roman" w:eastAsia="Times New Roman"/>
                <w:sz w:val="18"/>
              </w:rPr>
              <w:t>N-</w:t>
            </w:r>
            <w:r>
              <w:rPr>
                <w:sz w:val="18"/>
              </w:rPr>
              <w:t>（</w:t>
            </w:r>
            <w:r>
              <w:rPr>
                <w:rFonts w:ascii="Times New Roman" w:eastAsia="Times New Roman"/>
                <w:sz w:val="18"/>
              </w:rPr>
              <w:t>1-</w:t>
            </w:r>
            <w:r>
              <w:rPr>
                <w:sz w:val="18"/>
              </w:rPr>
              <w:t>乙基丙基）</w:t>
            </w:r>
          </w:p>
          <w:p>
            <w:pPr>
              <w:pStyle w:val="TableParagraph"/>
              <w:spacing w:before="2"/>
              <w:ind w:left="16" w:right="4"/>
              <w:rPr>
                <w:sz w:val="18"/>
              </w:rPr>
            </w:pPr>
            <w:r>
              <w:rPr>
                <w:rFonts w:ascii="Times New Roman" w:eastAsia="Times New Roman"/>
                <w:sz w:val="18"/>
              </w:rPr>
              <w:t>-3,4-</w:t>
            </w:r>
            <w:r>
              <w:rPr>
                <w:spacing w:val="-1"/>
                <w:sz w:val="18"/>
              </w:rPr>
              <w:t>二甲基苯胺、</w:t>
            </w:r>
            <w:r>
              <w:rPr>
                <w:rFonts w:ascii="Times New Roman" w:eastAsia="Times New Roman"/>
                <w:sz w:val="18"/>
              </w:rPr>
              <w:t>4000</w:t>
            </w:r>
            <w:r>
              <w:rPr>
                <w:rFonts w:ascii="Times New Roman" w:eastAsia="Times New Roman"/>
                <w:spacing w:val="3"/>
                <w:sz w:val="18"/>
              </w:rPr>
              <w:t> </w:t>
            </w:r>
            <w:r>
              <w:rPr>
                <w:spacing w:val="-3"/>
                <w:sz w:val="18"/>
              </w:rPr>
              <w:t>吨</w:t>
            </w:r>
            <w:r>
              <w:rPr>
                <w:rFonts w:ascii="Times New Roman" w:eastAsia="Times New Roman"/>
                <w:sz w:val="18"/>
              </w:rPr>
              <w:t>/</w:t>
            </w:r>
            <w:r>
              <w:rPr>
                <w:sz w:val="18"/>
              </w:rPr>
              <w:t>年</w:t>
            </w:r>
          </w:p>
          <w:p>
            <w:pPr>
              <w:pStyle w:val="TableParagraph"/>
              <w:spacing w:before="4"/>
              <w:ind w:left="13" w:right="4"/>
              <w:rPr>
                <w:sz w:val="18"/>
              </w:rPr>
            </w:pPr>
            <w:r>
              <w:rPr>
                <w:rFonts w:ascii="Times New Roman" w:eastAsia="Times New Roman"/>
                <w:sz w:val="18"/>
              </w:rPr>
              <w:t>2,3-</w:t>
            </w:r>
            <w:r>
              <w:rPr>
                <w:sz w:val="18"/>
              </w:rPr>
              <w:t>二甲基苯胺技改项目</w:t>
            </w:r>
          </w:p>
        </w:tc>
        <w:tc>
          <w:tcPr>
            <w:tcW w:w="1865" w:type="dxa"/>
            <w:gridSpan w:val="2"/>
          </w:tcPr>
          <w:p>
            <w:pPr>
              <w:pStyle w:val="TableParagraph"/>
              <w:jc w:val="left"/>
              <w:rPr>
                <w:b/>
                <w:sz w:val="20"/>
              </w:rPr>
            </w:pPr>
          </w:p>
          <w:p>
            <w:pPr>
              <w:pStyle w:val="TableParagraph"/>
              <w:spacing w:before="8"/>
              <w:jc w:val="left"/>
              <w:rPr>
                <w:b/>
                <w:sz w:val="25"/>
              </w:rPr>
            </w:pPr>
          </w:p>
          <w:p>
            <w:pPr>
              <w:pStyle w:val="TableParagraph"/>
              <w:spacing w:before="1"/>
              <w:ind w:left="317"/>
              <w:jc w:val="left"/>
              <w:rPr>
                <w:sz w:val="18"/>
              </w:rPr>
            </w:pPr>
            <w:r>
              <w:rPr>
                <w:rFonts w:ascii="Times New Roman" w:eastAsia="Times New Roman"/>
                <w:sz w:val="18"/>
              </w:rPr>
              <w:t>4-</w:t>
            </w:r>
            <w:r>
              <w:rPr>
                <w:sz w:val="18"/>
              </w:rPr>
              <w:t>硝基邻二甲苯</w:t>
            </w:r>
          </w:p>
        </w:tc>
        <w:tc>
          <w:tcPr>
            <w:tcW w:w="1018" w:type="dxa"/>
          </w:tcPr>
          <w:p>
            <w:pPr>
              <w:pStyle w:val="TableParagraph"/>
              <w:jc w:val="left"/>
              <w:rPr>
                <w:b/>
                <w:sz w:val="20"/>
              </w:rPr>
            </w:pPr>
          </w:p>
          <w:p>
            <w:pPr>
              <w:pStyle w:val="TableParagraph"/>
              <w:spacing w:before="7"/>
              <w:jc w:val="left"/>
              <w:rPr>
                <w:b/>
                <w:sz w:val="26"/>
              </w:rPr>
            </w:pPr>
          </w:p>
          <w:p>
            <w:pPr>
              <w:pStyle w:val="TableParagraph"/>
              <w:spacing w:before="1"/>
              <w:ind w:left="144" w:right="138"/>
              <w:rPr>
                <w:rFonts w:ascii="Times New Roman"/>
                <w:sz w:val="18"/>
              </w:rPr>
            </w:pPr>
            <w:r>
              <w:rPr>
                <w:rFonts w:ascii="Times New Roman"/>
                <w:sz w:val="18"/>
              </w:rPr>
              <w:t>8000</w:t>
            </w:r>
          </w:p>
        </w:tc>
        <w:tc>
          <w:tcPr>
            <w:tcW w:w="1694" w:type="dxa"/>
            <w:vMerge w:val="restart"/>
          </w:tcPr>
          <w:p>
            <w:pPr>
              <w:pStyle w:val="TableParagraph"/>
              <w:jc w:val="left"/>
              <w:rPr>
                <w:b/>
                <w:sz w:val="20"/>
              </w:rPr>
            </w:pPr>
          </w:p>
          <w:p>
            <w:pPr>
              <w:pStyle w:val="TableParagraph"/>
              <w:jc w:val="left"/>
              <w:rPr>
                <w:b/>
                <w:sz w:val="20"/>
              </w:rPr>
            </w:pPr>
          </w:p>
          <w:p>
            <w:pPr>
              <w:pStyle w:val="TableParagraph"/>
              <w:spacing w:before="11"/>
              <w:jc w:val="left"/>
              <w:rPr>
                <w:b/>
                <w:sz w:val="28"/>
              </w:rPr>
            </w:pPr>
          </w:p>
          <w:p>
            <w:pPr>
              <w:pStyle w:val="TableParagraph"/>
              <w:spacing w:line="242" w:lineRule="auto"/>
              <w:ind w:left="158" w:right="142"/>
              <w:rPr>
                <w:sz w:val="18"/>
              </w:rPr>
            </w:pPr>
            <w:r>
              <w:rPr>
                <w:sz w:val="18"/>
              </w:rPr>
              <w:t>绍市环审</w:t>
            </w:r>
            <w:r>
              <w:rPr>
                <w:rFonts w:ascii="Times New Roman" w:eastAsia="Times New Roman"/>
                <w:sz w:val="18"/>
              </w:rPr>
              <w:t>[2014]43 </w:t>
            </w:r>
            <w:r>
              <w:rPr>
                <w:sz w:val="18"/>
              </w:rPr>
              <w:t>号，绍市环建验</w:t>
            </w:r>
            <w:r>
              <w:rPr>
                <w:rFonts w:ascii="Times New Roman" w:eastAsia="Times New Roman"/>
                <w:sz w:val="18"/>
              </w:rPr>
              <w:t>(2015)14 </w:t>
            </w:r>
            <w:r>
              <w:rPr>
                <w:sz w:val="18"/>
              </w:rPr>
              <w:t>号</w:t>
            </w:r>
          </w:p>
        </w:tc>
        <w:tc>
          <w:tcPr>
            <w:tcW w:w="1018" w:type="dxa"/>
            <w:vMerge w:val="restart"/>
            <w:tcBorders>
              <w:bottom w:val="single" w:sz="2" w:space="0" w:color="000000"/>
            </w:tcBorders>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3"/>
              <w:jc w:val="left"/>
              <w:rPr>
                <w:b/>
                <w:sz w:val="15"/>
              </w:rPr>
            </w:pPr>
          </w:p>
          <w:p>
            <w:pPr>
              <w:pStyle w:val="TableParagraph"/>
              <w:ind w:left="147"/>
              <w:jc w:val="left"/>
              <w:rPr>
                <w:sz w:val="18"/>
              </w:rPr>
            </w:pPr>
            <w:r>
              <w:rPr>
                <w:sz w:val="18"/>
              </w:rPr>
              <w:t>正常生产</w:t>
            </w:r>
          </w:p>
        </w:tc>
        <w:tc>
          <w:tcPr>
            <w:tcW w:w="1142" w:type="dxa"/>
          </w:tcPr>
          <w:p>
            <w:pPr>
              <w:pStyle w:val="TableParagraph"/>
              <w:spacing w:line="242" w:lineRule="auto" w:before="2"/>
              <w:ind w:left="108" w:right="94" w:firstLine="12"/>
              <w:jc w:val="both"/>
              <w:rPr>
                <w:sz w:val="18"/>
              </w:rPr>
            </w:pPr>
            <w:r>
              <w:rPr>
                <w:sz w:val="18"/>
              </w:rPr>
              <w:t>部分自用于</w:t>
            </w:r>
            <w:r>
              <w:rPr>
                <w:spacing w:val="-15"/>
                <w:sz w:val="18"/>
              </w:rPr>
              <w:t>生产 </w:t>
            </w:r>
            <w:r>
              <w:rPr>
                <w:rFonts w:ascii="Times New Roman" w:eastAsia="Times New Roman"/>
                <w:spacing w:val="-3"/>
                <w:sz w:val="18"/>
              </w:rPr>
              <w:t>N-</w:t>
            </w:r>
            <w:r>
              <w:rPr>
                <w:spacing w:val="-3"/>
                <w:sz w:val="18"/>
              </w:rPr>
              <w:t>（</w:t>
            </w:r>
            <w:r>
              <w:rPr>
                <w:rFonts w:ascii="Times New Roman" w:eastAsia="Times New Roman"/>
                <w:spacing w:val="-3"/>
                <w:sz w:val="18"/>
              </w:rPr>
              <w:t>1- </w:t>
            </w:r>
            <w:r>
              <w:rPr>
                <w:sz w:val="18"/>
              </w:rPr>
              <w:t>乙基丙基）</w:t>
            </w:r>
          </w:p>
          <w:p>
            <w:pPr>
              <w:pStyle w:val="TableParagraph"/>
              <w:spacing w:line="230" w:lineRule="exact"/>
              <w:ind w:left="108" w:right="99"/>
              <w:rPr>
                <w:sz w:val="18"/>
              </w:rPr>
            </w:pPr>
            <w:r>
              <w:rPr>
                <w:rFonts w:ascii="Times New Roman" w:eastAsia="Times New Roman"/>
                <w:sz w:val="18"/>
              </w:rPr>
              <w:t>-3,4-</w:t>
            </w:r>
            <w:r>
              <w:rPr>
                <w:sz w:val="18"/>
              </w:rPr>
              <w:t>二甲基</w:t>
            </w:r>
          </w:p>
          <w:p>
            <w:pPr>
              <w:pStyle w:val="TableParagraph"/>
              <w:spacing w:line="230" w:lineRule="atLeast" w:before="4"/>
              <w:ind w:left="120" w:right="109"/>
              <w:rPr>
                <w:sz w:val="18"/>
              </w:rPr>
            </w:pPr>
            <w:r>
              <w:rPr>
                <w:sz w:val="18"/>
              </w:rPr>
              <w:t>苯胺，部分外售</w:t>
            </w:r>
          </w:p>
        </w:tc>
      </w:tr>
      <w:tr>
        <w:trPr>
          <w:trHeight w:val="467" w:hRule="atLeast"/>
        </w:trPr>
        <w:tc>
          <w:tcPr>
            <w:tcW w:w="2551" w:type="dxa"/>
            <w:vMerge/>
            <w:tcBorders>
              <w:top w:val="nil"/>
            </w:tcBorders>
          </w:tcPr>
          <w:p>
            <w:pPr>
              <w:rPr>
                <w:sz w:val="2"/>
                <w:szCs w:val="2"/>
              </w:rPr>
            </w:pPr>
          </w:p>
        </w:tc>
        <w:tc>
          <w:tcPr>
            <w:tcW w:w="509" w:type="dxa"/>
            <w:vMerge w:val="restart"/>
          </w:tcPr>
          <w:p>
            <w:pPr>
              <w:pStyle w:val="TableParagraph"/>
              <w:spacing w:before="10"/>
              <w:jc w:val="left"/>
              <w:rPr>
                <w:b/>
                <w:sz w:val="13"/>
              </w:rPr>
            </w:pPr>
          </w:p>
          <w:p>
            <w:pPr>
              <w:pStyle w:val="TableParagraph"/>
              <w:spacing w:line="242" w:lineRule="auto" w:before="1"/>
              <w:ind w:left="163" w:right="153"/>
              <w:jc w:val="both"/>
              <w:rPr>
                <w:sz w:val="18"/>
              </w:rPr>
            </w:pPr>
            <w:r>
              <w:rPr>
                <w:sz w:val="18"/>
              </w:rPr>
              <w:t>副产品</w:t>
            </w:r>
          </w:p>
        </w:tc>
        <w:tc>
          <w:tcPr>
            <w:tcW w:w="1356" w:type="dxa"/>
          </w:tcPr>
          <w:p>
            <w:pPr>
              <w:pStyle w:val="TableParagraph"/>
              <w:ind w:left="132" w:right="124"/>
              <w:rPr>
                <w:sz w:val="18"/>
              </w:rPr>
            </w:pPr>
            <w:r>
              <w:rPr>
                <w:rFonts w:ascii="Times New Roman" w:eastAsia="Times New Roman"/>
                <w:sz w:val="18"/>
              </w:rPr>
              <w:t>3-</w:t>
            </w:r>
            <w:r>
              <w:rPr>
                <w:sz w:val="18"/>
              </w:rPr>
              <w:t>硝基邻二甲</w:t>
            </w:r>
          </w:p>
          <w:p>
            <w:pPr>
              <w:pStyle w:val="TableParagraph"/>
              <w:spacing w:line="213" w:lineRule="exact" w:before="4"/>
              <w:ind w:left="10"/>
              <w:rPr>
                <w:sz w:val="18"/>
              </w:rPr>
            </w:pPr>
            <w:r>
              <w:rPr>
                <w:sz w:val="18"/>
              </w:rPr>
              <w:t>苯</w:t>
            </w:r>
          </w:p>
        </w:tc>
        <w:tc>
          <w:tcPr>
            <w:tcW w:w="1018" w:type="dxa"/>
          </w:tcPr>
          <w:p>
            <w:pPr>
              <w:pStyle w:val="TableParagraph"/>
              <w:spacing w:before="131"/>
              <w:ind w:left="144" w:right="138"/>
              <w:rPr>
                <w:rFonts w:ascii="Times New Roman"/>
                <w:sz w:val="18"/>
              </w:rPr>
            </w:pPr>
            <w:r>
              <w:rPr>
                <w:rFonts w:ascii="Times New Roman"/>
                <w:sz w:val="18"/>
              </w:rPr>
              <w:t>9882</w:t>
            </w:r>
          </w:p>
        </w:tc>
        <w:tc>
          <w:tcPr>
            <w:tcW w:w="1694" w:type="dxa"/>
            <w:vMerge/>
            <w:tcBorders>
              <w:top w:val="nil"/>
            </w:tcBorders>
          </w:tcPr>
          <w:p>
            <w:pPr>
              <w:rPr>
                <w:sz w:val="2"/>
                <w:szCs w:val="2"/>
              </w:rPr>
            </w:pPr>
          </w:p>
        </w:tc>
        <w:tc>
          <w:tcPr>
            <w:tcW w:w="1018" w:type="dxa"/>
            <w:vMerge/>
            <w:tcBorders>
              <w:top w:val="nil"/>
              <w:bottom w:val="single" w:sz="2" w:space="0" w:color="000000"/>
            </w:tcBorders>
          </w:tcPr>
          <w:p>
            <w:pPr>
              <w:rPr>
                <w:sz w:val="2"/>
                <w:szCs w:val="2"/>
              </w:rPr>
            </w:pPr>
          </w:p>
        </w:tc>
        <w:tc>
          <w:tcPr>
            <w:tcW w:w="1142" w:type="dxa"/>
          </w:tcPr>
          <w:p>
            <w:pPr>
              <w:pStyle w:val="TableParagraph"/>
              <w:spacing w:before="117"/>
              <w:ind w:left="108" w:right="96"/>
              <w:rPr>
                <w:sz w:val="18"/>
              </w:rPr>
            </w:pPr>
            <w:r>
              <w:rPr>
                <w:sz w:val="18"/>
              </w:rPr>
              <w:t>外售</w:t>
            </w:r>
          </w:p>
        </w:tc>
      </w:tr>
      <w:tr>
        <w:trPr>
          <w:trHeight w:val="282" w:hRule="atLeast"/>
        </w:trPr>
        <w:tc>
          <w:tcPr>
            <w:tcW w:w="2551" w:type="dxa"/>
            <w:vMerge/>
            <w:tcBorders>
              <w:top w:val="nil"/>
            </w:tcBorders>
          </w:tcPr>
          <w:p>
            <w:pPr>
              <w:rPr>
                <w:sz w:val="2"/>
                <w:szCs w:val="2"/>
              </w:rPr>
            </w:pPr>
          </w:p>
        </w:tc>
        <w:tc>
          <w:tcPr>
            <w:tcW w:w="509" w:type="dxa"/>
            <w:vMerge/>
            <w:tcBorders>
              <w:top w:val="nil"/>
            </w:tcBorders>
          </w:tcPr>
          <w:p>
            <w:pPr>
              <w:rPr>
                <w:sz w:val="2"/>
                <w:szCs w:val="2"/>
              </w:rPr>
            </w:pPr>
          </w:p>
        </w:tc>
        <w:tc>
          <w:tcPr>
            <w:tcW w:w="1356" w:type="dxa"/>
          </w:tcPr>
          <w:p>
            <w:pPr>
              <w:pStyle w:val="TableParagraph"/>
              <w:spacing w:before="26"/>
              <w:ind w:left="333"/>
              <w:jc w:val="left"/>
              <w:rPr>
                <w:sz w:val="18"/>
              </w:rPr>
            </w:pPr>
            <w:r>
              <w:rPr>
                <w:rFonts w:ascii="Times New Roman" w:eastAsia="Times New Roman"/>
                <w:sz w:val="18"/>
              </w:rPr>
              <w:t>30%</w:t>
            </w:r>
            <w:r>
              <w:rPr>
                <w:sz w:val="18"/>
              </w:rPr>
              <w:t>硝酸</w:t>
            </w:r>
          </w:p>
        </w:tc>
        <w:tc>
          <w:tcPr>
            <w:tcW w:w="1018" w:type="dxa"/>
          </w:tcPr>
          <w:p>
            <w:pPr>
              <w:pStyle w:val="TableParagraph"/>
              <w:spacing w:before="38"/>
              <w:ind w:left="144" w:right="138"/>
              <w:rPr>
                <w:rFonts w:ascii="Times New Roman"/>
                <w:sz w:val="18"/>
              </w:rPr>
            </w:pPr>
            <w:r>
              <w:rPr>
                <w:rFonts w:ascii="Times New Roman"/>
                <w:sz w:val="18"/>
              </w:rPr>
              <w:t>1596.24</w:t>
            </w:r>
          </w:p>
        </w:tc>
        <w:tc>
          <w:tcPr>
            <w:tcW w:w="1694" w:type="dxa"/>
            <w:vMerge/>
            <w:tcBorders>
              <w:top w:val="nil"/>
            </w:tcBorders>
          </w:tcPr>
          <w:p>
            <w:pPr>
              <w:rPr>
                <w:sz w:val="2"/>
                <w:szCs w:val="2"/>
              </w:rPr>
            </w:pPr>
          </w:p>
        </w:tc>
        <w:tc>
          <w:tcPr>
            <w:tcW w:w="1018" w:type="dxa"/>
            <w:vMerge/>
            <w:tcBorders>
              <w:top w:val="nil"/>
              <w:bottom w:val="single" w:sz="2" w:space="0" w:color="000000"/>
            </w:tcBorders>
          </w:tcPr>
          <w:p>
            <w:pPr>
              <w:rPr>
                <w:sz w:val="2"/>
                <w:szCs w:val="2"/>
              </w:rPr>
            </w:pPr>
          </w:p>
        </w:tc>
        <w:tc>
          <w:tcPr>
            <w:tcW w:w="1142" w:type="dxa"/>
          </w:tcPr>
          <w:p>
            <w:pPr>
              <w:pStyle w:val="TableParagraph"/>
              <w:spacing w:before="26"/>
              <w:ind w:left="108" w:right="96"/>
              <w:rPr>
                <w:sz w:val="18"/>
              </w:rPr>
            </w:pPr>
            <w:r>
              <w:rPr>
                <w:sz w:val="18"/>
              </w:rPr>
              <w:t>全部回用</w:t>
            </w:r>
          </w:p>
        </w:tc>
      </w:tr>
      <w:tr>
        <w:trPr>
          <w:trHeight w:val="285" w:hRule="atLeast"/>
        </w:trPr>
        <w:tc>
          <w:tcPr>
            <w:tcW w:w="2551" w:type="dxa"/>
            <w:vMerge/>
            <w:tcBorders>
              <w:top w:val="nil"/>
            </w:tcBorders>
          </w:tcPr>
          <w:p>
            <w:pPr>
              <w:rPr>
                <w:sz w:val="2"/>
                <w:szCs w:val="2"/>
              </w:rPr>
            </w:pPr>
          </w:p>
        </w:tc>
        <w:tc>
          <w:tcPr>
            <w:tcW w:w="509" w:type="dxa"/>
            <w:vMerge/>
            <w:tcBorders>
              <w:top w:val="nil"/>
            </w:tcBorders>
          </w:tcPr>
          <w:p>
            <w:pPr>
              <w:rPr>
                <w:sz w:val="2"/>
                <w:szCs w:val="2"/>
              </w:rPr>
            </w:pPr>
          </w:p>
        </w:tc>
        <w:tc>
          <w:tcPr>
            <w:tcW w:w="1356" w:type="dxa"/>
          </w:tcPr>
          <w:p>
            <w:pPr>
              <w:pStyle w:val="TableParagraph"/>
              <w:spacing w:before="26"/>
              <w:ind w:left="333"/>
              <w:jc w:val="left"/>
              <w:rPr>
                <w:sz w:val="18"/>
              </w:rPr>
            </w:pPr>
            <w:r>
              <w:rPr>
                <w:rFonts w:ascii="Times New Roman" w:eastAsia="Times New Roman"/>
                <w:sz w:val="18"/>
              </w:rPr>
              <w:t>73%</w:t>
            </w:r>
            <w:r>
              <w:rPr>
                <w:sz w:val="18"/>
              </w:rPr>
              <w:t>硫酸</w:t>
            </w:r>
          </w:p>
        </w:tc>
        <w:tc>
          <w:tcPr>
            <w:tcW w:w="1018" w:type="dxa"/>
          </w:tcPr>
          <w:p>
            <w:pPr>
              <w:pStyle w:val="TableParagraph"/>
              <w:spacing w:before="40"/>
              <w:ind w:left="144" w:right="138"/>
              <w:rPr>
                <w:rFonts w:ascii="Times New Roman"/>
                <w:sz w:val="18"/>
              </w:rPr>
            </w:pPr>
            <w:r>
              <w:rPr>
                <w:rFonts w:ascii="Times New Roman"/>
                <w:sz w:val="18"/>
              </w:rPr>
              <w:t>9000</w:t>
            </w:r>
          </w:p>
        </w:tc>
        <w:tc>
          <w:tcPr>
            <w:tcW w:w="1694" w:type="dxa"/>
            <w:vMerge/>
            <w:tcBorders>
              <w:top w:val="nil"/>
            </w:tcBorders>
          </w:tcPr>
          <w:p>
            <w:pPr>
              <w:rPr>
                <w:sz w:val="2"/>
                <w:szCs w:val="2"/>
              </w:rPr>
            </w:pPr>
          </w:p>
        </w:tc>
        <w:tc>
          <w:tcPr>
            <w:tcW w:w="1018" w:type="dxa"/>
            <w:vMerge/>
            <w:tcBorders>
              <w:top w:val="nil"/>
              <w:bottom w:val="single" w:sz="2" w:space="0" w:color="000000"/>
            </w:tcBorders>
          </w:tcPr>
          <w:p>
            <w:pPr>
              <w:rPr>
                <w:sz w:val="2"/>
                <w:szCs w:val="2"/>
              </w:rPr>
            </w:pPr>
          </w:p>
        </w:tc>
        <w:tc>
          <w:tcPr>
            <w:tcW w:w="1142" w:type="dxa"/>
          </w:tcPr>
          <w:p>
            <w:pPr>
              <w:pStyle w:val="TableParagraph"/>
              <w:spacing w:before="26"/>
              <w:ind w:left="108" w:right="94"/>
              <w:rPr>
                <w:sz w:val="18"/>
              </w:rPr>
            </w:pPr>
            <w:r>
              <w:rPr>
                <w:rFonts w:ascii="Times New Roman" w:eastAsia="Times New Roman"/>
                <w:sz w:val="18"/>
              </w:rPr>
              <w:t>1 </w:t>
            </w:r>
            <w:r>
              <w:rPr>
                <w:sz w:val="18"/>
              </w:rPr>
              <w:t>用于生产</w:t>
            </w:r>
          </w:p>
        </w:tc>
      </w:tr>
    </w:tbl>
    <w:p>
      <w:pPr>
        <w:spacing w:after="0"/>
        <w:rPr>
          <w:sz w:val="18"/>
        </w:rPr>
        <w:sectPr>
          <w:headerReference w:type="default" r:id="rId9"/>
          <w:footerReference w:type="default" r:id="rId10"/>
          <w:pgSz w:w="11910" w:h="16850"/>
          <w:pgMar w:header="730" w:footer="690" w:top="1340" w:bottom="880" w:left="1180" w:right="1180"/>
          <w:pgNumType w:start="1"/>
        </w:sectPr>
      </w:pPr>
    </w:p>
    <w:p>
      <w:pPr>
        <w:pStyle w:val="BodyText"/>
        <w:spacing w:before="1"/>
        <w:rPr>
          <w:b/>
          <w:sz w:val="5"/>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509"/>
        <w:gridCol w:w="422"/>
        <w:gridCol w:w="933"/>
        <w:gridCol w:w="1017"/>
        <w:gridCol w:w="1693"/>
        <w:gridCol w:w="1017"/>
        <w:gridCol w:w="1141"/>
      </w:tblGrid>
      <w:tr>
        <w:trPr>
          <w:trHeight w:val="467" w:hRule="atLeast"/>
        </w:trPr>
        <w:tc>
          <w:tcPr>
            <w:tcW w:w="2551" w:type="dxa"/>
          </w:tcPr>
          <w:p>
            <w:pPr>
              <w:pStyle w:val="TableParagraph"/>
              <w:spacing w:before="118"/>
              <w:ind w:left="13" w:right="4"/>
              <w:rPr>
                <w:b/>
                <w:sz w:val="18"/>
              </w:rPr>
            </w:pPr>
            <w:r>
              <w:rPr>
                <w:b/>
                <w:sz w:val="18"/>
              </w:rPr>
              <w:t>项目名称</w:t>
            </w:r>
          </w:p>
        </w:tc>
        <w:tc>
          <w:tcPr>
            <w:tcW w:w="1864" w:type="dxa"/>
            <w:gridSpan w:val="3"/>
          </w:tcPr>
          <w:p>
            <w:pPr>
              <w:pStyle w:val="TableParagraph"/>
              <w:spacing w:before="118"/>
              <w:ind w:left="571"/>
              <w:jc w:val="left"/>
              <w:rPr>
                <w:b/>
                <w:sz w:val="18"/>
              </w:rPr>
            </w:pPr>
            <w:r>
              <w:rPr>
                <w:b/>
                <w:sz w:val="18"/>
              </w:rPr>
              <w:t>产品名称</w:t>
            </w:r>
          </w:p>
        </w:tc>
        <w:tc>
          <w:tcPr>
            <w:tcW w:w="1017" w:type="dxa"/>
          </w:tcPr>
          <w:p>
            <w:pPr>
              <w:pStyle w:val="TableParagraph"/>
              <w:spacing w:line="230" w:lineRule="exact"/>
              <w:ind w:left="147"/>
              <w:jc w:val="left"/>
              <w:rPr>
                <w:b/>
                <w:sz w:val="18"/>
              </w:rPr>
            </w:pPr>
            <w:r>
              <w:rPr>
                <w:b/>
                <w:sz w:val="18"/>
              </w:rPr>
              <w:t>批复产量</w:t>
            </w:r>
          </w:p>
          <w:p>
            <w:pPr>
              <w:pStyle w:val="TableParagraph"/>
              <w:spacing w:line="215" w:lineRule="exact" w:before="2"/>
              <w:ind w:left="226"/>
              <w:jc w:val="left"/>
              <w:rPr>
                <w:b/>
                <w:sz w:val="18"/>
              </w:rPr>
            </w:pPr>
            <w:r>
              <w:rPr>
                <w:b/>
                <w:sz w:val="18"/>
              </w:rPr>
              <w:t>（</w:t>
            </w:r>
            <w:r>
              <w:rPr>
                <w:rFonts w:ascii="Times New Roman" w:eastAsia="Times New Roman"/>
                <w:b/>
                <w:sz w:val="18"/>
              </w:rPr>
              <w:t>t/a</w:t>
            </w:r>
            <w:r>
              <w:rPr>
                <w:b/>
                <w:sz w:val="18"/>
              </w:rPr>
              <w:t>）</w:t>
            </w:r>
          </w:p>
        </w:tc>
        <w:tc>
          <w:tcPr>
            <w:tcW w:w="1693" w:type="dxa"/>
          </w:tcPr>
          <w:p>
            <w:pPr>
              <w:pStyle w:val="TableParagraph"/>
              <w:spacing w:before="118"/>
              <w:ind w:left="218"/>
              <w:jc w:val="left"/>
              <w:rPr>
                <w:b/>
                <w:sz w:val="18"/>
              </w:rPr>
            </w:pPr>
            <w:r>
              <w:rPr>
                <w:b/>
                <w:sz w:val="18"/>
              </w:rPr>
              <w:t>批复及验收情况</w:t>
            </w:r>
          </w:p>
        </w:tc>
        <w:tc>
          <w:tcPr>
            <w:tcW w:w="1017" w:type="dxa"/>
          </w:tcPr>
          <w:p>
            <w:pPr>
              <w:pStyle w:val="TableParagraph"/>
              <w:spacing w:before="118"/>
              <w:ind w:left="130" w:right="112"/>
              <w:rPr>
                <w:b/>
                <w:sz w:val="18"/>
              </w:rPr>
            </w:pPr>
            <w:r>
              <w:rPr>
                <w:b/>
                <w:sz w:val="18"/>
              </w:rPr>
              <w:t>现状</w:t>
            </w:r>
          </w:p>
        </w:tc>
        <w:tc>
          <w:tcPr>
            <w:tcW w:w="1141" w:type="dxa"/>
          </w:tcPr>
          <w:p>
            <w:pPr>
              <w:pStyle w:val="TableParagraph"/>
              <w:spacing w:before="118"/>
              <w:ind w:left="119" w:right="98"/>
              <w:rPr>
                <w:b/>
                <w:sz w:val="18"/>
              </w:rPr>
            </w:pPr>
            <w:r>
              <w:rPr>
                <w:b/>
                <w:sz w:val="18"/>
              </w:rPr>
              <w:t>备注</w:t>
            </w:r>
          </w:p>
        </w:tc>
      </w:tr>
      <w:tr>
        <w:trPr>
          <w:trHeight w:val="465" w:hRule="atLeast"/>
        </w:trPr>
        <w:tc>
          <w:tcPr>
            <w:tcW w:w="2551" w:type="dxa"/>
            <w:vMerge w:val="restart"/>
          </w:tcPr>
          <w:p>
            <w:pPr>
              <w:pStyle w:val="TableParagraph"/>
              <w:jc w:val="left"/>
              <w:rPr>
                <w:rFonts w:ascii="Times New Roman"/>
                <w:sz w:val="22"/>
              </w:rPr>
            </w:pPr>
          </w:p>
        </w:tc>
        <w:tc>
          <w:tcPr>
            <w:tcW w:w="509" w:type="dxa"/>
          </w:tcPr>
          <w:p>
            <w:pPr>
              <w:pStyle w:val="TableParagraph"/>
              <w:jc w:val="left"/>
              <w:rPr>
                <w:rFonts w:ascii="Times New Roman"/>
                <w:sz w:val="22"/>
              </w:rPr>
            </w:pPr>
          </w:p>
        </w:tc>
        <w:tc>
          <w:tcPr>
            <w:tcW w:w="1355" w:type="dxa"/>
            <w:gridSpan w:val="2"/>
          </w:tcPr>
          <w:p>
            <w:pPr>
              <w:pStyle w:val="TableParagraph"/>
              <w:jc w:val="left"/>
              <w:rPr>
                <w:rFonts w:ascii="Times New Roman"/>
                <w:sz w:val="22"/>
              </w:rPr>
            </w:pPr>
          </w:p>
        </w:tc>
        <w:tc>
          <w:tcPr>
            <w:tcW w:w="1017" w:type="dxa"/>
          </w:tcPr>
          <w:p>
            <w:pPr>
              <w:pStyle w:val="TableParagraph"/>
              <w:jc w:val="left"/>
              <w:rPr>
                <w:rFonts w:ascii="Times New Roman"/>
                <w:sz w:val="22"/>
              </w:rPr>
            </w:pPr>
          </w:p>
        </w:tc>
        <w:tc>
          <w:tcPr>
            <w:tcW w:w="1693" w:type="dxa"/>
            <w:vMerge w:val="restart"/>
          </w:tcPr>
          <w:p>
            <w:pPr>
              <w:pStyle w:val="TableParagraph"/>
              <w:jc w:val="left"/>
              <w:rPr>
                <w:rFonts w:ascii="Times New Roman"/>
                <w:sz w:val="22"/>
              </w:rPr>
            </w:pPr>
          </w:p>
        </w:tc>
        <w:tc>
          <w:tcPr>
            <w:tcW w:w="1017" w:type="dxa"/>
            <w:tcBorders>
              <w:bottom w:val="single" w:sz="2" w:space="0" w:color="000000"/>
            </w:tcBorders>
          </w:tcPr>
          <w:p>
            <w:pPr>
              <w:pStyle w:val="TableParagraph"/>
              <w:jc w:val="left"/>
              <w:rPr>
                <w:rFonts w:ascii="Times New Roman"/>
                <w:sz w:val="22"/>
              </w:rPr>
            </w:pPr>
          </w:p>
        </w:tc>
        <w:tc>
          <w:tcPr>
            <w:tcW w:w="1141" w:type="dxa"/>
          </w:tcPr>
          <w:p>
            <w:pPr>
              <w:pStyle w:val="TableParagraph"/>
              <w:ind w:left="119" w:right="101"/>
              <w:rPr>
                <w:sz w:val="18"/>
              </w:rPr>
            </w:pPr>
            <w:r>
              <w:rPr>
                <w:rFonts w:ascii="Times New Roman" w:eastAsia="Times New Roman"/>
                <w:sz w:val="18"/>
              </w:rPr>
              <w:t>96%</w:t>
            </w:r>
            <w:r>
              <w:rPr>
                <w:sz w:val="18"/>
              </w:rPr>
              <w:t>硫酸或</w:t>
            </w:r>
          </w:p>
          <w:p>
            <w:pPr>
              <w:pStyle w:val="TableParagraph"/>
              <w:spacing w:line="213" w:lineRule="exact" w:before="2"/>
              <w:ind w:left="119" w:right="98"/>
              <w:rPr>
                <w:sz w:val="18"/>
              </w:rPr>
            </w:pPr>
            <w:r>
              <w:rPr>
                <w:sz w:val="18"/>
              </w:rPr>
              <w:t>回用</w:t>
            </w:r>
          </w:p>
        </w:tc>
      </w:tr>
      <w:tr>
        <w:trPr>
          <w:trHeight w:val="933" w:hRule="atLeast"/>
        </w:trPr>
        <w:tc>
          <w:tcPr>
            <w:tcW w:w="2551" w:type="dxa"/>
            <w:vMerge/>
            <w:tcBorders>
              <w:top w:val="nil"/>
            </w:tcBorders>
          </w:tcPr>
          <w:p>
            <w:pPr>
              <w:rPr>
                <w:sz w:val="2"/>
                <w:szCs w:val="2"/>
              </w:rPr>
            </w:pPr>
          </w:p>
        </w:tc>
        <w:tc>
          <w:tcPr>
            <w:tcW w:w="1864" w:type="dxa"/>
            <w:gridSpan w:val="3"/>
          </w:tcPr>
          <w:p>
            <w:pPr>
              <w:pStyle w:val="TableParagraph"/>
              <w:spacing w:before="4"/>
              <w:jc w:val="left"/>
              <w:rPr>
                <w:b/>
                <w:sz w:val="18"/>
              </w:rPr>
            </w:pPr>
          </w:p>
          <w:p>
            <w:pPr>
              <w:pStyle w:val="TableParagraph"/>
              <w:ind w:left="32" w:right="16"/>
              <w:rPr>
                <w:rFonts w:ascii="Times New Roman" w:eastAsia="Times New Roman"/>
                <w:sz w:val="18"/>
              </w:rPr>
            </w:pPr>
            <w:r>
              <w:rPr>
                <w:rFonts w:ascii="Times New Roman" w:eastAsia="Times New Roman"/>
                <w:sz w:val="18"/>
              </w:rPr>
              <w:t>N-</w:t>
            </w:r>
            <w:r>
              <w:rPr>
                <w:sz w:val="18"/>
              </w:rPr>
              <w:t>（</w:t>
            </w:r>
            <w:r>
              <w:rPr>
                <w:rFonts w:ascii="Times New Roman" w:eastAsia="Times New Roman"/>
                <w:sz w:val="18"/>
              </w:rPr>
              <w:t>1-</w:t>
            </w:r>
            <w:r>
              <w:rPr>
                <w:sz w:val="18"/>
              </w:rPr>
              <w:t>乙基丙基）</w:t>
            </w:r>
            <w:r>
              <w:rPr>
                <w:rFonts w:ascii="Times New Roman" w:eastAsia="Times New Roman"/>
                <w:sz w:val="18"/>
              </w:rPr>
              <w:t>-3,4-</w:t>
            </w:r>
          </w:p>
          <w:p>
            <w:pPr>
              <w:pStyle w:val="TableParagraph"/>
              <w:spacing w:before="2"/>
              <w:ind w:left="27" w:right="16"/>
              <w:rPr>
                <w:sz w:val="18"/>
              </w:rPr>
            </w:pPr>
            <w:r>
              <w:rPr>
                <w:sz w:val="18"/>
              </w:rPr>
              <w:t>二甲基苯胺</w:t>
            </w:r>
          </w:p>
        </w:tc>
        <w:tc>
          <w:tcPr>
            <w:tcW w:w="1017" w:type="dxa"/>
          </w:tcPr>
          <w:p>
            <w:pPr>
              <w:pStyle w:val="TableParagraph"/>
              <w:spacing w:before="5"/>
              <w:jc w:val="left"/>
              <w:rPr>
                <w:b/>
                <w:sz w:val="28"/>
              </w:rPr>
            </w:pPr>
          </w:p>
          <w:p>
            <w:pPr>
              <w:pStyle w:val="TableParagraph"/>
              <w:spacing w:before="1"/>
              <w:ind w:left="126" w:right="117"/>
              <w:rPr>
                <w:rFonts w:ascii="Times New Roman"/>
                <w:sz w:val="18"/>
              </w:rPr>
            </w:pPr>
            <w:r>
              <w:rPr>
                <w:rFonts w:ascii="Times New Roman"/>
                <w:sz w:val="18"/>
              </w:rPr>
              <w:t>6000</w:t>
            </w:r>
          </w:p>
        </w:tc>
        <w:tc>
          <w:tcPr>
            <w:tcW w:w="1693" w:type="dxa"/>
            <w:vMerge/>
            <w:tcBorders>
              <w:top w:val="nil"/>
            </w:tcBorders>
          </w:tcPr>
          <w:p>
            <w:pPr>
              <w:rPr>
                <w:sz w:val="2"/>
                <w:szCs w:val="2"/>
              </w:rPr>
            </w:pPr>
          </w:p>
        </w:tc>
        <w:tc>
          <w:tcPr>
            <w:tcW w:w="1017" w:type="dxa"/>
            <w:tcBorders>
              <w:top w:val="single" w:sz="2" w:space="0" w:color="000000"/>
            </w:tcBorders>
          </w:tcPr>
          <w:p>
            <w:pPr>
              <w:pStyle w:val="TableParagraph"/>
              <w:jc w:val="left"/>
              <w:rPr>
                <w:b/>
                <w:sz w:val="18"/>
              </w:rPr>
            </w:pPr>
          </w:p>
          <w:p>
            <w:pPr>
              <w:pStyle w:val="TableParagraph"/>
              <w:spacing w:before="119"/>
              <w:ind w:left="130" w:right="115"/>
              <w:rPr>
                <w:sz w:val="18"/>
              </w:rPr>
            </w:pPr>
            <w:r>
              <w:rPr>
                <w:sz w:val="18"/>
              </w:rPr>
              <w:t>已淘汰</w:t>
            </w:r>
          </w:p>
        </w:tc>
        <w:tc>
          <w:tcPr>
            <w:tcW w:w="1141" w:type="dxa"/>
          </w:tcPr>
          <w:p>
            <w:pPr>
              <w:pStyle w:val="TableParagraph"/>
              <w:spacing w:line="242" w:lineRule="auto"/>
              <w:ind w:left="124" w:right="99" w:hanging="3"/>
              <w:jc w:val="both"/>
              <w:rPr>
                <w:sz w:val="18"/>
              </w:rPr>
            </w:pPr>
            <w:r>
              <w:rPr>
                <w:rFonts w:ascii="Times New Roman" w:hAnsi="Times New Roman" w:eastAsia="Times New Roman"/>
                <w:sz w:val="18"/>
              </w:rPr>
              <w:t>15000 </w:t>
            </w:r>
            <w:r>
              <w:rPr>
                <w:sz w:val="18"/>
              </w:rPr>
              <w:t>吨</w:t>
            </w:r>
            <w:r>
              <w:rPr>
                <w:rFonts w:ascii="Times New Roman" w:hAnsi="Times New Roman" w:eastAsia="Times New Roman"/>
                <w:sz w:val="18"/>
              </w:rPr>
              <w:t>/</w:t>
            </w:r>
            <w:r>
              <w:rPr>
                <w:sz w:val="18"/>
              </w:rPr>
              <w:t>年项目实施后“以新带</w:t>
            </w:r>
          </w:p>
          <w:p>
            <w:pPr>
              <w:pStyle w:val="TableParagraph"/>
              <w:spacing w:line="213" w:lineRule="exact" w:before="2"/>
              <w:ind w:left="216"/>
              <w:jc w:val="left"/>
              <w:rPr>
                <w:sz w:val="18"/>
              </w:rPr>
            </w:pPr>
            <w:r>
              <w:rPr>
                <w:sz w:val="18"/>
              </w:rPr>
              <w:t>老”淘汰</w:t>
            </w:r>
          </w:p>
        </w:tc>
      </w:tr>
      <w:tr>
        <w:trPr>
          <w:trHeight w:val="285" w:hRule="atLeast"/>
        </w:trPr>
        <w:tc>
          <w:tcPr>
            <w:tcW w:w="2551" w:type="dxa"/>
            <w:vMerge/>
            <w:tcBorders>
              <w:top w:val="nil"/>
            </w:tcBorders>
          </w:tcPr>
          <w:p>
            <w:pPr>
              <w:rPr>
                <w:sz w:val="2"/>
                <w:szCs w:val="2"/>
              </w:rPr>
            </w:pPr>
          </w:p>
        </w:tc>
        <w:tc>
          <w:tcPr>
            <w:tcW w:w="1864" w:type="dxa"/>
            <w:gridSpan w:val="3"/>
          </w:tcPr>
          <w:p>
            <w:pPr>
              <w:pStyle w:val="TableParagraph"/>
              <w:spacing w:before="26"/>
              <w:ind w:left="341"/>
              <w:jc w:val="left"/>
              <w:rPr>
                <w:sz w:val="18"/>
              </w:rPr>
            </w:pPr>
            <w:r>
              <w:rPr>
                <w:rFonts w:ascii="Times New Roman" w:eastAsia="Times New Roman"/>
                <w:sz w:val="18"/>
              </w:rPr>
              <w:t>2,3-</w:t>
            </w:r>
            <w:r>
              <w:rPr>
                <w:sz w:val="18"/>
              </w:rPr>
              <w:t>二甲基苯胺</w:t>
            </w:r>
          </w:p>
        </w:tc>
        <w:tc>
          <w:tcPr>
            <w:tcW w:w="1017" w:type="dxa"/>
          </w:tcPr>
          <w:p>
            <w:pPr>
              <w:pStyle w:val="TableParagraph"/>
              <w:spacing w:before="40"/>
              <w:ind w:left="126" w:right="117"/>
              <w:rPr>
                <w:rFonts w:ascii="Times New Roman"/>
                <w:sz w:val="18"/>
              </w:rPr>
            </w:pPr>
            <w:r>
              <w:rPr>
                <w:rFonts w:ascii="Times New Roman"/>
                <w:sz w:val="18"/>
              </w:rPr>
              <w:t>4000</w:t>
            </w:r>
          </w:p>
        </w:tc>
        <w:tc>
          <w:tcPr>
            <w:tcW w:w="1693" w:type="dxa"/>
            <w:vMerge/>
            <w:tcBorders>
              <w:top w:val="nil"/>
            </w:tcBorders>
          </w:tcPr>
          <w:p>
            <w:pPr>
              <w:rPr>
                <w:sz w:val="2"/>
                <w:szCs w:val="2"/>
              </w:rPr>
            </w:pPr>
          </w:p>
        </w:tc>
        <w:tc>
          <w:tcPr>
            <w:tcW w:w="1017" w:type="dxa"/>
          </w:tcPr>
          <w:p>
            <w:pPr>
              <w:pStyle w:val="TableParagraph"/>
              <w:spacing w:before="26"/>
              <w:ind w:left="130" w:right="117"/>
              <w:rPr>
                <w:sz w:val="18"/>
              </w:rPr>
            </w:pPr>
            <w:r>
              <w:rPr>
                <w:sz w:val="18"/>
              </w:rPr>
              <w:t>正常生产</w:t>
            </w:r>
          </w:p>
        </w:tc>
        <w:tc>
          <w:tcPr>
            <w:tcW w:w="1141" w:type="dxa"/>
          </w:tcPr>
          <w:p>
            <w:pPr>
              <w:pStyle w:val="TableParagraph"/>
              <w:spacing w:before="26"/>
              <w:ind w:left="119" w:right="98"/>
              <w:rPr>
                <w:sz w:val="18"/>
              </w:rPr>
            </w:pPr>
            <w:r>
              <w:rPr>
                <w:sz w:val="18"/>
              </w:rPr>
              <w:t>外售</w:t>
            </w:r>
          </w:p>
        </w:tc>
      </w:tr>
      <w:tr>
        <w:trPr>
          <w:trHeight w:val="647" w:hRule="atLeast"/>
        </w:trPr>
        <w:tc>
          <w:tcPr>
            <w:tcW w:w="2551" w:type="dxa"/>
            <w:vMerge w:val="restart"/>
          </w:tcPr>
          <w:p>
            <w:pPr>
              <w:pStyle w:val="TableParagraph"/>
              <w:spacing w:before="8"/>
              <w:jc w:val="left"/>
              <w:rPr>
                <w:b/>
                <w:sz w:val="25"/>
              </w:rPr>
            </w:pPr>
          </w:p>
          <w:p>
            <w:pPr>
              <w:pStyle w:val="TableParagraph"/>
              <w:ind w:left="16" w:right="4"/>
              <w:rPr>
                <w:sz w:val="18"/>
              </w:rPr>
            </w:pPr>
            <w:r>
              <w:rPr>
                <w:rFonts w:ascii="Times New Roman" w:eastAsia="Times New Roman"/>
                <w:sz w:val="18"/>
              </w:rPr>
              <w:t>15000</w:t>
            </w:r>
            <w:r>
              <w:rPr>
                <w:rFonts w:ascii="Times New Roman" w:eastAsia="Times New Roman"/>
                <w:spacing w:val="-2"/>
                <w:sz w:val="18"/>
              </w:rPr>
              <w:t> </w:t>
            </w:r>
            <w:r>
              <w:rPr>
                <w:sz w:val="18"/>
              </w:rPr>
              <w:t>吨</w:t>
            </w:r>
            <w:r>
              <w:rPr>
                <w:rFonts w:ascii="Times New Roman" w:eastAsia="Times New Roman"/>
                <w:sz w:val="18"/>
              </w:rPr>
              <w:t>/</w:t>
            </w:r>
            <w:r>
              <w:rPr>
                <w:spacing w:val="-24"/>
                <w:sz w:val="18"/>
              </w:rPr>
              <w:t>年 </w:t>
            </w:r>
            <w:r>
              <w:rPr>
                <w:rFonts w:ascii="Times New Roman" w:eastAsia="Times New Roman"/>
                <w:sz w:val="18"/>
              </w:rPr>
              <w:t>N-(1-</w:t>
            </w:r>
            <w:r>
              <w:rPr>
                <w:sz w:val="18"/>
              </w:rPr>
              <w:t>乙基丙基）</w:t>
            </w:r>
          </w:p>
          <w:p>
            <w:pPr>
              <w:pStyle w:val="TableParagraph"/>
              <w:spacing w:before="2"/>
              <w:ind w:left="14" w:right="4"/>
              <w:rPr>
                <w:rFonts w:ascii="Times New Roman" w:eastAsia="Times New Roman"/>
                <w:sz w:val="18"/>
              </w:rPr>
            </w:pPr>
            <w:r>
              <w:rPr>
                <w:rFonts w:ascii="Times New Roman" w:eastAsia="Times New Roman"/>
                <w:sz w:val="18"/>
              </w:rPr>
              <w:t>-3</w:t>
            </w:r>
            <w:r>
              <w:rPr>
                <w:sz w:val="18"/>
              </w:rPr>
              <w:t>，</w:t>
            </w:r>
            <w:r>
              <w:rPr>
                <w:rFonts w:ascii="Times New Roman" w:eastAsia="Times New Roman"/>
                <w:sz w:val="18"/>
              </w:rPr>
              <w:t>4-</w:t>
            </w:r>
            <w:r>
              <w:rPr>
                <w:sz w:val="18"/>
              </w:rPr>
              <w:t>二甲基苯胺（</w:t>
            </w:r>
            <w:r>
              <w:rPr>
                <w:spacing w:val="-16"/>
                <w:sz w:val="18"/>
              </w:rPr>
              <w:t>新增 </w:t>
            </w:r>
            <w:r>
              <w:rPr>
                <w:rFonts w:ascii="Times New Roman" w:eastAsia="Times New Roman"/>
                <w:sz w:val="18"/>
              </w:rPr>
              <w:t>9000</w:t>
            </w:r>
          </w:p>
          <w:p>
            <w:pPr>
              <w:pStyle w:val="TableParagraph"/>
              <w:spacing w:before="5"/>
              <w:ind w:left="11" w:right="4"/>
              <w:rPr>
                <w:sz w:val="18"/>
              </w:rPr>
            </w:pPr>
            <w:r>
              <w:rPr>
                <w:sz w:val="18"/>
              </w:rPr>
              <w:t>吨</w:t>
            </w:r>
            <w:r>
              <w:rPr>
                <w:rFonts w:ascii="Times New Roman" w:eastAsia="Times New Roman"/>
                <w:sz w:val="18"/>
              </w:rPr>
              <w:t>/</w:t>
            </w:r>
            <w:r>
              <w:rPr>
                <w:sz w:val="18"/>
              </w:rPr>
              <w:t>年）技改扩产项目</w:t>
            </w:r>
          </w:p>
        </w:tc>
        <w:tc>
          <w:tcPr>
            <w:tcW w:w="1864" w:type="dxa"/>
            <w:gridSpan w:val="3"/>
          </w:tcPr>
          <w:p>
            <w:pPr>
              <w:pStyle w:val="TableParagraph"/>
              <w:spacing w:line="242" w:lineRule="auto" w:before="91"/>
              <w:ind w:left="408" w:right="101" w:hanging="291"/>
              <w:jc w:val="left"/>
              <w:rPr>
                <w:sz w:val="18"/>
              </w:rPr>
            </w:pPr>
            <w:r>
              <w:rPr>
                <w:rFonts w:ascii="Times New Roman" w:eastAsia="Times New Roman"/>
                <w:sz w:val="18"/>
              </w:rPr>
              <w:t>N-(1-</w:t>
            </w:r>
            <w:r>
              <w:rPr>
                <w:sz w:val="18"/>
              </w:rPr>
              <w:t>乙基丙基）</w:t>
            </w:r>
            <w:r>
              <w:rPr>
                <w:rFonts w:ascii="Times New Roman" w:eastAsia="Times New Roman"/>
                <w:sz w:val="18"/>
              </w:rPr>
              <w:t>-3</w:t>
            </w:r>
            <w:r>
              <w:rPr>
                <w:sz w:val="18"/>
              </w:rPr>
              <w:t>， </w:t>
            </w:r>
            <w:r>
              <w:rPr>
                <w:rFonts w:ascii="Times New Roman" w:eastAsia="Times New Roman"/>
                <w:sz w:val="18"/>
              </w:rPr>
              <w:t>4-</w:t>
            </w:r>
            <w:r>
              <w:rPr>
                <w:sz w:val="18"/>
              </w:rPr>
              <w:t>二甲基苯胺</w:t>
            </w:r>
          </w:p>
        </w:tc>
        <w:tc>
          <w:tcPr>
            <w:tcW w:w="1017" w:type="dxa"/>
          </w:tcPr>
          <w:p>
            <w:pPr>
              <w:pStyle w:val="TableParagraph"/>
              <w:spacing w:line="206" w:lineRule="exact"/>
              <w:ind w:left="282"/>
              <w:jc w:val="left"/>
              <w:rPr>
                <w:rFonts w:ascii="Times New Roman"/>
                <w:sz w:val="18"/>
              </w:rPr>
            </w:pPr>
            <w:r>
              <w:rPr>
                <w:rFonts w:ascii="Times New Roman"/>
                <w:sz w:val="18"/>
              </w:rPr>
              <w:t>15000</w:t>
            </w:r>
          </w:p>
          <w:p>
            <w:pPr>
              <w:pStyle w:val="TableParagraph"/>
              <w:spacing w:line="224" w:lineRule="exact"/>
              <w:ind w:left="298" w:right="283"/>
              <w:jc w:val="left"/>
              <w:rPr>
                <w:rFonts w:ascii="Times New Roman" w:eastAsia="Times New Roman"/>
                <w:sz w:val="18"/>
              </w:rPr>
            </w:pPr>
            <w:r>
              <w:rPr>
                <w:rFonts w:ascii="Times New Roman" w:eastAsia="Times New Roman"/>
                <w:sz w:val="18"/>
              </w:rPr>
              <w:t>(</w:t>
            </w:r>
            <w:r>
              <w:rPr>
                <w:spacing w:val="-7"/>
                <w:sz w:val="18"/>
              </w:rPr>
              <w:t>新增</w:t>
            </w:r>
            <w:r>
              <w:rPr>
                <w:rFonts w:ascii="Times New Roman" w:eastAsia="Times New Roman"/>
                <w:sz w:val="18"/>
              </w:rPr>
              <w:t>9000)</w:t>
            </w:r>
          </w:p>
        </w:tc>
        <w:tc>
          <w:tcPr>
            <w:tcW w:w="1693" w:type="dxa"/>
            <w:vMerge w:val="restart"/>
          </w:tcPr>
          <w:p>
            <w:pPr>
              <w:pStyle w:val="TableParagraph"/>
              <w:spacing w:before="8"/>
              <w:jc w:val="left"/>
              <w:rPr>
                <w:b/>
                <w:sz w:val="25"/>
              </w:rPr>
            </w:pPr>
          </w:p>
          <w:p>
            <w:pPr>
              <w:pStyle w:val="TableParagraph"/>
              <w:spacing w:line="242" w:lineRule="auto"/>
              <w:ind w:left="110" w:right="87" w:hanging="4"/>
              <w:rPr>
                <w:sz w:val="18"/>
              </w:rPr>
            </w:pPr>
            <w:r>
              <w:rPr>
                <w:sz w:val="18"/>
              </w:rPr>
              <w:t>虞环管（</w:t>
            </w:r>
            <w:r>
              <w:rPr>
                <w:rFonts w:ascii="Times New Roman" w:eastAsia="Times New Roman"/>
                <w:sz w:val="18"/>
              </w:rPr>
              <w:t>2018</w:t>
            </w:r>
            <w:r>
              <w:rPr>
                <w:sz w:val="18"/>
              </w:rPr>
              <w:t>）</w:t>
            </w:r>
            <w:r>
              <w:rPr>
                <w:rFonts w:ascii="Times New Roman" w:eastAsia="Times New Roman"/>
                <w:sz w:val="18"/>
              </w:rPr>
              <w:t>16 </w:t>
            </w:r>
            <w:r>
              <w:rPr>
                <w:spacing w:val="-45"/>
                <w:sz w:val="18"/>
              </w:rPr>
              <w:t>号，</w:t>
            </w:r>
            <w:r>
              <w:rPr>
                <w:rFonts w:ascii="Times New Roman" w:eastAsia="Times New Roman"/>
                <w:spacing w:val="1"/>
                <w:sz w:val="18"/>
              </w:rPr>
              <w:t>20</w:t>
            </w:r>
            <w:r>
              <w:rPr>
                <w:rFonts w:ascii="Times New Roman" w:eastAsia="Times New Roman"/>
                <w:spacing w:val="-2"/>
                <w:sz w:val="18"/>
              </w:rPr>
              <w:t>2</w:t>
            </w:r>
            <w:r>
              <w:rPr>
                <w:rFonts w:ascii="Times New Roman" w:eastAsia="Times New Roman"/>
                <w:sz w:val="18"/>
              </w:rPr>
              <w:t>0 </w:t>
            </w:r>
            <w:r>
              <w:rPr>
                <w:spacing w:val="-24"/>
                <w:sz w:val="18"/>
              </w:rPr>
              <w:t>年 </w:t>
            </w:r>
            <w:r>
              <w:rPr>
                <w:rFonts w:ascii="Times New Roman" w:eastAsia="Times New Roman"/>
                <w:spacing w:val="-6"/>
                <w:sz w:val="18"/>
              </w:rPr>
              <w:t>1</w:t>
            </w:r>
            <w:r>
              <w:rPr>
                <w:rFonts w:ascii="Times New Roman" w:eastAsia="Times New Roman"/>
                <w:sz w:val="18"/>
              </w:rPr>
              <w:t>1 </w:t>
            </w:r>
            <w:r>
              <w:rPr>
                <w:spacing w:val="-7"/>
                <w:sz w:val="18"/>
              </w:rPr>
              <w:t>月通</w:t>
            </w:r>
            <w:r>
              <w:rPr>
                <w:sz w:val="18"/>
              </w:rPr>
              <w:t>过自主验收</w:t>
            </w:r>
          </w:p>
        </w:tc>
        <w:tc>
          <w:tcPr>
            <w:tcW w:w="1017" w:type="dxa"/>
            <w:vMerge w:val="restart"/>
          </w:tcPr>
          <w:p>
            <w:pPr>
              <w:pStyle w:val="TableParagraph"/>
              <w:jc w:val="left"/>
              <w:rPr>
                <w:b/>
                <w:sz w:val="18"/>
              </w:rPr>
            </w:pPr>
          </w:p>
          <w:p>
            <w:pPr>
              <w:pStyle w:val="TableParagraph"/>
              <w:spacing w:before="10"/>
              <w:jc w:val="left"/>
              <w:rPr>
                <w:b/>
                <w:sz w:val="25"/>
              </w:rPr>
            </w:pPr>
          </w:p>
          <w:p>
            <w:pPr>
              <w:pStyle w:val="TableParagraph"/>
              <w:ind w:left="150"/>
              <w:jc w:val="left"/>
              <w:rPr>
                <w:sz w:val="18"/>
              </w:rPr>
            </w:pPr>
            <w:r>
              <w:rPr>
                <w:sz w:val="18"/>
              </w:rPr>
              <w:t>正常生产</w:t>
            </w:r>
          </w:p>
        </w:tc>
        <w:tc>
          <w:tcPr>
            <w:tcW w:w="1141" w:type="dxa"/>
          </w:tcPr>
          <w:p>
            <w:pPr>
              <w:pStyle w:val="TableParagraph"/>
              <w:spacing w:before="1"/>
              <w:jc w:val="left"/>
              <w:rPr>
                <w:b/>
                <w:sz w:val="16"/>
              </w:rPr>
            </w:pPr>
          </w:p>
          <w:p>
            <w:pPr>
              <w:pStyle w:val="TableParagraph"/>
              <w:ind w:left="119" w:right="98"/>
              <w:rPr>
                <w:sz w:val="18"/>
              </w:rPr>
            </w:pPr>
            <w:r>
              <w:rPr>
                <w:sz w:val="18"/>
              </w:rPr>
              <w:t>外售</w:t>
            </w:r>
          </w:p>
        </w:tc>
      </w:tr>
      <w:tr>
        <w:trPr>
          <w:trHeight w:val="693" w:hRule="atLeast"/>
        </w:trPr>
        <w:tc>
          <w:tcPr>
            <w:tcW w:w="2551" w:type="dxa"/>
            <w:vMerge/>
            <w:tcBorders>
              <w:top w:val="nil"/>
            </w:tcBorders>
          </w:tcPr>
          <w:p>
            <w:pPr>
              <w:rPr>
                <w:sz w:val="2"/>
                <w:szCs w:val="2"/>
              </w:rPr>
            </w:pPr>
          </w:p>
        </w:tc>
        <w:tc>
          <w:tcPr>
            <w:tcW w:w="931" w:type="dxa"/>
            <w:gridSpan w:val="2"/>
          </w:tcPr>
          <w:p>
            <w:pPr>
              <w:pStyle w:val="TableParagraph"/>
              <w:spacing w:before="7"/>
              <w:jc w:val="left"/>
              <w:rPr>
                <w:b/>
                <w:sz w:val="17"/>
              </w:rPr>
            </w:pPr>
          </w:p>
          <w:p>
            <w:pPr>
              <w:pStyle w:val="TableParagraph"/>
              <w:spacing w:before="1"/>
              <w:ind w:left="194"/>
              <w:jc w:val="left"/>
              <w:rPr>
                <w:sz w:val="18"/>
              </w:rPr>
            </w:pPr>
            <w:r>
              <w:rPr>
                <w:sz w:val="18"/>
              </w:rPr>
              <w:t>副产品</w:t>
            </w:r>
          </w:p>
        </w:tc>
        <w:tc>
          <w:tcPr>
            <w:tcW w:w="933" w:type="dxa"/>
          </w:tcPr>
          <w:p>
            <w:pPr>
              <w:pStyle w:val="TableParagraph"/>
              <w:spacing w:before="7"/>
              <w:jc w:val="left"/>
              <w:rPr>
                <w:b/>
                <w:sz w:val="17"/>
              </w:rPr>
            </w:pPr>
          </w:p>
          <w:p>
            <w:pPr>
              <w:pStyle w:val="TableParagraph"/>
              <w:spacing w:before="1"/>
              <w:ind w:left="123"/>
              <w:jc w:val="left"/>
              <w:rPr>
                <w:sz w:val="18"/>
              </w:rPr>
            </w:pPr>
            <w:r>
              <w:rPr>
                <w:rFonts w:ascii="Times New Roman" w:eastAsia="Times New Roman"/>
                <w:sz w:val="18"/>
              </w:rPr>
              <w:t>96%</w:t>
            </w:r>
            <w:r>
              <w:rPr>
                <w:sz w:val="18"/>
              </w:rPr>
              <w:t>硫酸</w:t>
            </w:r>
          </w:p>
        </w:tc>
        <w:tc>
          <w:tcPr>
            <w:tcW w:w="1017" w:type="dxa"/>
          </w:tcPr>
          <w:p>
            <w:pPr>
              <w:pStyle w:val="TableParagraph"/>
              <w:spacing w:before="9"/>
              <w:jc w:val="left"/>
              <w:rPr>
                <w:b/>
                <w:sz w:val="18"/>
              </w:rPr>
            </w:pPr>
          </w:p>
          <w:p>
            <w:pPr>
              <w:pStyle w:val="TableParagraph"/>
              <w:ind w:left="126" w:right="117"/>
              <w:rPr>
                <w:rFonts w:ascii="Times New Roman"/>
                <w:sz w:val="18"/>
              </w:rPr>
            </w:pPr>
            <w:r>
              <w:rPr>
                <w:rFonts w:ascii="Times New Roman"/>
                <w:sz w:val="18"/>
              </w:rPr>
              <w:t>6810</w:t>
            </w:r>
          </w:p>
        </w:tc>
        <w:tc>
          <w:tcPr>
            <w:tcW w:w="1693" w:type="dxa"/>
            <w:vMerge/>
            <w:tcBorders>
              <w:top w:val="nil"/>
            </w:tcBorders>
          </w:tcPr>
          <w:p>
            <w:pPr>
              <w:rPr>
                <w:sz w:val="2"/>
                <w:szCs w:val="2"/>
              </w:rPr>
            </w:pPr>
          </w:p>
        </w:tc>
        <w:tc>
          <w:tcPr>
            <w:tcW w:w="1017" w:type="dxa"/>
            <w:vMerge/>
            <w:tcBorders>
              <w:top w:val="nil"/>
            </w:tcBorders>
          </w:tcPr>
          <w:p>
            <w:pPr>
              <w:rPr>
                <w:sz w:val="2"/>
                <w:szCs w:val="2"/>
              </w:rPr>
            </w:pPr>
          </w:p>
        </w:tc>
        <w:tc>
          <w:tcPr>
            <w:tcW w:w="1141" w:type="dxa"/>
          </w:tcPr>
          <w:p>
            <w:pPr>
              <w:pStyle w:val="TableParagraph"/>
              <w:spacing w:line="242" w:lineRule="auto"/>
              <w:ind w:left="124" w:right="104" w:firstLine="4"/>
              <w:rPr>
                <w:sz w:val="18"/>
              </w:rPr>
            </w:pPr>
            <w:r>
              <w:rPr>
                <w:rFonts w:ascii="Times New Roman" w:eastAsia="Times New Roman"/>
                <w:sz w:val="18"/>
              </w:rPr>
              <w:t>1400 </w:t>
            </w:r>
            <w:r>
              <w:rPr>
                <w:sz w:val="18"/>
              </w:rPr>
              <w:t>吨</w:t>
            </w:r>
            <w:r>
              <w:rPr>
                <w:rFonts w:ascii="Times New Roman" w:eastAsia="Times New Roman"/>
                <w:sz w:val="18"/>
              </w:rPr>
              <w:t>/</w:t>
            </w:r>
            <w:r>
              <w:rPr>
                <w:sz w:val="18"/>
              </w:rPr>
              <w:t>年外售，其余</w:t>
            </w:r>
          </w:p>
          <w:p>
            <w:pPr>
              <w:pStyle w:val="TableParagraph"/>
              <w:spacing w:line="213" w:lineRule="exact"/>
              <w:ind w:left="119" w:right="98"/>
              <w:rPr>
                <w:sz w:val="18"/>
              </w:rPr>
            </w:pPr>
            <w:r>
              <w:rPr>
                <w:sz w:val="18"/>
              </w:rPr>
              <w:t>回用</w:t>
            </w:r>
          </w:p>
        </w:tc>
      </w:tr>
    </w:tbl>
    <w:p>
      <w:pPr>
        <w:pStyle w:val="Heading3"/>
        <w:numPr>
          <w:ilvl w:val="1"/>
          <w:numId w:val="5"/>
        </w:numPr>
        <w:tabs>
          <w:tab w:pos="801" w:val="left" w:leader="none"/>
        </w:tabs>
        <w:spacing w:line="240" w:lineRule="auto" w:before="4" w:after="0"/>
        <w:ind w:left="800" w:right="0" w:hanging="421"/>
        <w:jc w:val="left"/>
      </w:pPr>
      <w:bookmarkStart w:name="_bookmark2" w:id="5"/>
      <w:bookmarkEnd w:id="5"/>
      <w:r>
        <w:rPr>
          <w:b w:val="0"/>
        </w:rPr>
      </w:r>
      <w:bookmarkStart w:name="_bookmark2" w:id="6"/>
      <w:bookmarkEnd w:id="6"/>
      <w:r>
        <w:rPr/>
        <w:t>项目由来</w:t>
      </w:r>
    </w:p>
    <w:p>
      <w:pPr>
        <w:pStyle w:val="BodyText"/>
        <w:spacing w:line="364" w:lineRule="auto" w:before="186"/>
        <w:ind w:left="238" w:right="229" w:firstLine="511"/>
        <w:jc w:val="both"/>
      </w:pPr>
      <w:r>
        <w:rPr>
          <w:spacing w:val="-7"/>
        </w:rPr>
        <w:t>三环唑产品市场较好，根据目前国内外市场情况，国外三环唑生产几乎全部依赖进</w:t>
      </w:r>
      <w:r>
        <w:rPr>
          <w:spacing w:val="-6"/>
        </w:rPr>
        <w:t>口我国的中间体生产，厂家为数很少。三环唑中间体合成难度大、工艺要求条件高、技</w:t>
      </w:r>
      <w:r>
        <w:rPr>
          <w:spacing w:val="-7"/>
        </w:rPr>
        <w:t>术性强，企业依靠成熟可靠技术和大规模工业化生产的基础上进行优化提升，仅保留最</w:t>
      </w:r>
      <w:r>
        <w:rPr>
          <w:spacing w:val="-3"/>
        </w:rPr>
        <w:t>后一步扩环合成工艺及可湿性粉剂的制备，生产技术路线成熟可行，三废污染少，产品</w:t>
      </w:r>
      <w:r>
        <w:rPr>
          <w:spacing w:val="-23"/>
        </w:rPr>
        <w:t>纯度 </w:t>
      </w:r>
      <w:r>
        <w:rPr>
          <w:rFonts w:ascii="Times New Roman" w:eastAsia="Times New Roman"/>
        </w:rPr>
        <w:t>95%</w:t>
      </w:r>
      <w:r>
        <w:rPr/>
        <w:t>以上，具有较好的经济意义和较高的社会效益。</w:t>
      </w:r>
    </w:p>
    <w:p>
      <w:pPr>
        <w:pStyle w:val="BodyText"/>
        <w:spacing w:line="364" w:lineRule="auto"/>
        <w:ind w:left="238" w:right="230" w:firstLine="511"/>
        <w:jc w:val="both"/>
      </w:pPr>
      <w:r>
        <w:rPr>
          <w:spacing w:val="-6"/>
        </w:rPr>
        <w:t>企业将充分利用核心技术优势，使农药产品在公司产品中的占一定的比重，提高公</w:t>
      </w:r>
      <w:r>
        <w:rPr>
          <w:spacing w:val="-5"/>
        </w:rPr>
        <w:t>司整体盈利水平，保障公司在农药专业化道路上的高速发展，保持公司持续的市场竞争</w:t>
      </w:r>
      <w:r>
        <w:rPr/>
        <w:t>力。</w:t>
      </w:r>
    </w:p>
    <w:p>
      <w:pPr>
        <w:spacing w:line="364" w:lineRule="auto" w:before="0"/>
        <w:ind w:left="238" w:right="109" w:firstLine="511"/>
        <w:jc w:val="both"/>
        <w:rPr>
          <w:sz w:val="24"/>
        </w:rPr>
      </w:pPr>
      <w:r>
        <w:rPr>
          <w:spacing w:val="-4"/>
          <w:sz w:val="24"/>
        </w:rPr>
        <w:t>但由于现有厂区</w:t>
      </w:r>
      <w:r>
        <w:rPr>
          <w:sz w:val="24"/>
        </w:rPr>
        <w:t>（西区</w:t>
      </w:r>
      <w:r>
        <w:rPr>
          <w:spacing w:val="-27"/>
          <w:sz w:val="24"/>
        </w:rPr>
        <w:t>）</w:t>
      </w:r>
      <w:r>
        <w:rPr>
          <w:spacing w:val="-4"/>
          <w:sz w:val="24"/>
        </w:rPr>
        <w:t>占地面积受限，绍兴贝斯美化工股份有限公司提出新征用</w:t>
      </w:r>
      <w:r>
        <w:rPr>
          <w:spacing w:val="-35"/>
          <w:sz w:val="24"/>
        </w:rPr>
        <w:t>地 </w:t>
      </w:r>
      <w:r>
        <w:rPr>
          <w:rFonts w:ascii="Times New Roman" w:hAnsi="Times New Roman" w:eastAsia="Times New Roman"/>
          <w:sz w:val="24"/>
        </w:rPr>
        <w:t>135</w:t>
      </w:r>
      <w:r>
        <w:rPr>
          <w:rFonts w:ascii="Times New Roman" w:hAnsi="Times New Roman" w:eastAsia="Times New Roman"/>
          <w:spacing w:val="-4"/>
          <w:sz w:val="24"/>
        </w:rPr>
        <w:t> </w:t>
      </w:r>
      <w:r>
        <w:rPr>
          <w:spacing w:val="-14"/>
          <w:sz w:val="24"/>
        </w:rPr>
        <w:t>亩，</w:t>
      </w:r>
      <w:r>
        <w:rPr>
          <w:b/>
          <w:spacing w:val="-6"/>
          <w:sz w:val="24"/>
        </w:rPr>
        <w:t>该新征用地位于杭州湾上虞经济技术开发区振兴大道，该厂区简称“东区”</w:t>
      </w:r>
      <w:r>
        <w:rPr>
          <w:spacing w:val="-12"/>
          <w:sz w:val="24"/>
        </w:rPr>
        <w:t>。</w:t>
      </w:r>
    </w:p>
    <w:p>
      <w:pPr>
        <w:pStyle w:val="BodyText"/>
        <w:spacing w:line="306" w:lineRule="exact"/>
        <w:ind w:left="238"/>
        <w:jc w:val="both"/>
      </w:pPr>
      <w:r>
        <w:rPr>
          <w:spacing w:val="-3"/>
        </w:rPr>
        <w:t>项目在东区占地面积 </w:t>
      </w:r>
      <w:r>
        <w:rPr>
          <w:rFonts w:ascii="Times New Roman" w:eastAsia="Times New Roman"/>
        </w:rPr>
        <w:t>20</w:t>
      </w:r>
      <w:r>
        <w:rPr>
          <w:rFonts w:ascii="Times New Roman" w:eastAsia="Times New Roman"/>
          <w:spacing w:val="36"/>
        </w:rPr>
        <w:t> </w:t>
      </w:r>
      <w:r>
        <w:rPr/>
        <w:t>亩，新建办公楼、仓库、车间、危废仓库、污控楼、中控室、</w:t>
      </w:r>
    </w:p>
    <w:p>
      <w:pPr>
        <w:pStyle w:val="BodyText"/>
        <w:spacing w:line="364" w:lineRule="auto" w:before="156"/>
        <w:ind w:left="238" w:right="232"/>
        <w:jc w:val="both"/>
      </w:pPr>
      <w:r>
        <w:rPr>
          <w:spacing w:val="-7"/>
        </w:rPr>
        <w:t>消防水池、事故应急池等建构筑物，总建筑面积 </w:t>
      </w:r>
      <w:r>
        <w:rPr>
          <w:rFonts w:ascii="Times New Roman" w:eastAsia="Times New Roman"/>
        </w:rPr>
        <w:t>16580 </w:t>
      </w:r>
      <w:r>
        <w:rPr>
          <w:spacing w:val="-5"/>
        </w:rPr>
        <w:t>平方米，购置反应釜等设备，形</w:t>
      </w:r>
      <w:r>
        <w:rPr>
          <w:spacing w:val="-11"/>
        </w:rPr>
        <w:t>成年产 </w:t>
      </w:r>
      <w:r>
        <w:rPr>
          <w:rFonts w:ascii="Times New Roman" w:eastAsia="Times New Roman"/>
        </w:rPr>
        <w:t>500 </w:t>
      </w:r>
      <w:r>
        <w:rPr/>
        <w:t>吨农药（</w:t>
      </w:r>
      <w:r>
        <w:rPr>
          <w:rFonts w:ascii="Times New Roman" w:eastAsia="Times New Roman"/>
        </w:rPr>
        <w:t>300 </w:t>
      </w:r>
      <w:r>
        <w:rPr/>
        <w:t>吨三环唑、</w:t>
      </w:r>
      <w:r>
        <w:rPr>
          <w:rFonts w:ascii="Times New Roman" w:eastAsia="Times New Roman"/>
        </w:rPr>
        <w:t>200 </w:t>
      </w:r>
      <w:r>
        <w:rPr/>
        <w:t>吨三环唑可湿性粉剂）</w:t>
      </w:r>
      <w:r>
        <w:rPr>
          <w:spacing w:val="-2"/>
        </w:rPr>
        <w:t>的生产能力。项目建成</w:t>
      </w:r>
      <w:r>
        <w:rPr>
          <w:spacing w:val="-6"/>
        </w:rPr>
        <w:t>后，年可新增销售收入 </w:t>
      </w:r>
      <w:r>
        <w:rPr>
          <w:rFonts w:ascii="Times New Roman" w:eastAsia="Times New Roman"/>
        </w:rPr>
        <w:t>8000 </w:t>
      </w:r>
      <w:r>
        <w:rPr>
          <w:spacing w:val="-10"/>
        </w:rPr>
        <w:t>万元，利润 </w:t>
      </w:r>
      <w:r>
        <w:rPr>
          <w:rFonts w:ascii="Times New Roman" w:eastAsia="Times New Roman"/>
        </w:rPr>
        <w:t>1200 </w:t>
      </w:r>
      <w:r>
        <w:rPr>
          <w:spacing w:val="-10"/>
        </w:rPr>
        <w:t>万元，税收 </w:t>
      </w:r>
      <w:r>
        <w:rPr>
          <w:rFonts w:ascii="Times New Roman" w:eastAsia="Times New Roman"/>
        </w:rPr>
        <w:t>600 </w:t>
      </w:r>
      <w:r>
        <w:rPr/>
        <w:t>万元。</w:t>
      </w:r>
    </w:p>
    <w:p>
      <w:pPr>
        <w:pStyle w:val="Heading4"/>
        <w:spacing w:line="364" w:lineRule="auto"/>
        <w:ind w:left="238" w:right="229" w:firstLine="511"/>
        <w:jc w:val="both"/>
      </w:pPr>
      <w:r>
        <w:rPr>
          <w:spacing w:val="-8"/>
          <w:w w:val="99"/>
        </w:rPr>
        <w:t>该项目实施后，企业将分为两个厂区</w:t>
      </w:r>
      <w:r>
        <w:rPr>
          <w:spacing w:val="-27"/>
          <w:w w:val="99"/>
        </w:rPr>
        <w:t>，“西区”实施现有已审批项目</w:t>
      </w:r>
      <w:r>
        <w:rPr>
          <w:w w:val="99"/>
        </w:rPr>
        <w:t>（详见表</w:t>
      </w:r>
      <w:r>
        <w:rPr>
          <w:spacing w:val="-55"/>
        </w:rPr>
        <w:t> </w:t>
      </w:r>
      <w:r>
        <w:rPr>
          <w:rFonts w:ascii="Times New Roman" w:hAnsi="Times New Roman" w:eastAsia="Times New Roman"/>
          <w:spacing w:val="-2"/>
        </w:rPr>
        <w:t>1.1</w:t>
      </w:r>
      <w:r>
        <w:rPr>
          <w:rFonts w:ascii="Times New Roman" w:hAnsi="Times New Roman" w:eastAsia="Times New Roman"/>
          <w:spacing w:val="-3"/>
        </w:rPr>
        <w:t>-</w:t>
      </w:r>
      <w:r>
        <w:rPr>
          <w:rFonts w:ascii="Times New Roman" w:hAnsi="Times New Roman" w:eastAsia="Times New Roman"/>
          <w:spacing w:val="-2"/>
        </w:rPr>
        <w:t>1</w:t>
      </w:r>
      <w:r>
        <w:rPr>
          <w:spacing w:val="-122"/>
          <w:w w:val="99"/>
        </w:rPr>
        <w:t>），</w:t>
      </w:r>
      <w:r>
        <w:rPr>
          <w:spacing w:val="-120"/>
          <w:w w:val="99"/>
        </w:rPr>
        <w:t> </w:t>
      </w:r>
      <w:r>
        <w:rPr/>
        <w:t>“东区”实施本项目及今后拟审批项目。</w:t>
      </w:r>
    </w:p>
    <w:p>
      <w:pPr>
        <w:pStyle w:val="BodyText"/>
        <w:spacing w:line="364" w:lineRule="auto"/>
        <w:ind w:left="238" w:right="233" w:firstLine="480"/>
        <w:jc w:val="both"/>
      </w:pPr>
      <w:r>
        <w:rPr>
          <w:spacing w:val="-15"/>
        </w:rPr>
        <w:t>根据《中华人民共和国环境保护法》、中华人民共和国主席令第 </w:t>
      </w:r>
      <w:r>
        <w:rPr>
          <w:rFonts w:ascii="Times New Roman" w:eastAsia="Times New Roman"/>
        </w:rPr>
        <w:t>77 </w:t>
      </w:r>
      <w:r>
        <w:rPr>
          <w:spacing w:val="-6"/>
        </w:rPr>
        <w:t>号《中华人民共</w:t>
      </w:r>
      <w:r>
        <w:rPr>
          <w:spacing w:val="-5"/>
        </w:rPr>
        <w:t>和国环境影响评价法》的有关规定及环保管理部门的意见，本项目必须进行环境影响评</w:t>
      </w:r>
      <w:r>
        <w:rPr>
          <w:spacing w:val="-8"/>
        </w:rPr>
        <w:t>价，以真实、客观、科学的评价项目实施后对周围环境造成的影响。为此建设单位委托</w:t>
      </w:r>
      <w:r>
        <w:rPr>
          <w:spacing w:val="-4"/>
        </w:rPr>
        <w:t>我单位进行该项目的环评工作，我单位接受委托后，即组织有关人员赴现场进行踏勘及</w:t>
      </w:r>
      <w:r>
        <w:rPr>
          <w:spacing w:val="-9"/>
        </w:rPr>
        <w:t>社会调查、收集有关资料，形成《绍兴贝斯美化工股份有限公司贝斯美年产 </w:t>
      </w:r>
      <w:r>
        <w:rPr>
          <w:rFonts w:ascii="Times New Roman" w:eastAsia="Times New Roman"/>
        </w:rPr>
        <w:t>300 </w:t>
      </w:r>
      <w:r>
        <w:rPr>
          <w:spacing w:val="-5"/>
        </w:rPr>
        <w:t>吨三环</w:t>
      </w:r>
    </w:p>
    <w:p>
      <w:pPr>
        <w:spacing w:after="0" w:line="364" w:lineRule="auto"/>
        <w:jc w:val="both"/>
        <w:sectPr>
          <w:pgSz w:w="11910" w:h="16850"/>
          <w:pgMar w:header="730" w:footer="690" w:top="1340" w:bottom="880" w:left="1180" w:right="1180"/>
        </w:sectPr>
      </w:pPr>
    </w:p>
    <w:p>
      <w:pPr>
        <w:pStyle w:val="BodyText"/>
        <w:spacing w:before="68"/>
        <w:ind w:left="238"/>
      </w:pPr>
      <w:r>
        <w:rPr/>
        <w:t>唑、</w:t>
      </w:r>
      <w:r>
        <w:rPr>
          <w:rFonts w:ascii="Times New Roman" w:eastAsia="Times New Roman"/>
        </w:rPr>
        <w:t>200 </w:t>
      </w:r>
      <w:r>
        <w:rPr>
          <w:spacing w:val="-7"/>
        </w:rPr>
        <w:t>吨三环唑可湿性粉剂项目环境影响报告书》</w:t>
      </w:r>
      <w:r>
        <w:rPr/>
        <w:t>（送审稿</w:t>
      </w:r>
      <w:r>
        <w:rPr>
          <w:spacing w:val="-120"/>
        </w:rPr>
        <w:t>）</w:t>
      </w:r>
      <w:r>
        <w:rPr>
          <w:spacing w:val="-6"/>
        </w:rPr>
        <w:t>。该项目于 </w:t>
      </w:r>
      <w:r>
        <w:rPr>
          <w:rFonts w:ascii="Times New Roman" w:eastAsia="Times New Roman"/>
        </w:rPr>
        <w:t>2022 </w:t>
      </w:r>
      <w:r>
        <w:rPr>
          <w:spacing w:val="-17"/>
        </w:rPr>
        <w:t>年 </w:t>
      </w:r>
      <w:r>
        <w:rPr>
          <w:rFonts w:ascii="Times New Roman" w:eastAsia="Times New Roman"/>
        </w:rPr>
        <w:t>5 </w:t>
      </w:r>
      <w:r>
        <w:rPr/>
        <w:t>月</w:t>
      </w:r>
    </w:p>
    <w:p>
      <w:pPr>
        <w:pStyle w:val="BodyText"/>
        <w:spacing w:line="364" w:lineRule="auto" w:before="159"/>
        <w:ind w:left="238" w:right="232"/>
      </w:pPr>
      <w:r>
        <w:rPr>
          <w:rFonts w:ascii="Times New Roman" w:eastAsia="Times New Roman"/>
        </w:rPr>
        <w:t>31 </w:t>
      </w:r>
      <w:r>
        <w:rPr>
          <w:spacing w:val="-9"/>
        </w:rPr>
        <w:t>日通过专家评审，会后环评单位根据专家意见进行了认真修改，形成本次报批稿，提</w:t>
      </w:r>
      <w:r>
        <w:rPr/>
        <w:t>请生态环境部门审批。</w:t>
      </w:r>
    </w:p>
    <w:p>
      <w:pPr>
        <w:pStyle w:val="Heading3"/>
        <w:numPr>
          <w:ilvl w:val="1"/>
          <w:numId w:val="5"/>
        </w:numPr>
        <w:tabs>
          <w:tab w:pos="659" w:val="left" w:leader="none"/>
        </w:tabs>
        <w:spacing w:line="358" w:lineRule="exact" w:before="0" w:after="0"/>
        <w:ind w:left="658" w:right="0" w:hanging="421"/>
        <w:jc w:val="left"/>
      </w:pPr>
      <w:bookmarkStart w:name="_bookmark3" w:id="7"/>
      <w:bookmarkEnd w:id="7"/>
      <w:r>
        <w:rPr>
          <w:b w:val="0"/>
        </w:rPr>
      </w:r>
      <w:bookmarkStart w:name="_bookmark3" w:id="8"/>
      <w:bookmarkEnd w:id="8"/>
      <w:r>
        <w:rPr/>
        <w:t>分析判定情况</w:t>
      </w:r>
    </w:p>
    <w:p>
      <w:pPr>
        <w:pStyle w:val="Heading4"/>
        <w:numPr>
          <w:ilvl w:val="2"/>
          <w:numId w:val="5"/>
        </w:numPr>
        <w:tabs>
          <w:tab w:pos="779" w:val="left" w:leader="none"/>
        </w:tabs>
        <w:spacing w:line="240" w:lineRule="auto" w:before="185" w:after="0"/>
        <w:ind w:left="778" w:right="0" w:hanging="541"/>
        <w:jc w:val="left"/>
      </w:pPr>
      <w:r>
        <w:rPr/>
        <w:t>产业政策符合性判定</w:t>
      </w:r>
    </w:p>
    <w:p>
      <w:pPr>
        <w:pStyle w:val="BodyText"/>
        <w:spacing w:line="362" w:lineRule="auto" w:before="160"/>
        <w:ind w:left="238" w:right="109" w:firstLine="480"/>
      </w:pPr>
      <w:r>
        <w:rPr>
          <w:rFonts w:ascii="Times New Roman" w:eastAsia="Times New Roman"/>
        </w:rPr>
        <w:t>1</w:t>
      </w:r>
      <w:r>
        <w:rPr/>
        <w:t>、本项目选址位于杭州湾上虞经济技术开发区企业新征用地，从事农药制造。通</w:t>
      </w:r>
      <w:r>
        <w:rPr>
          <w:spacing w:val="-3"/>
        </w:rPr>
        <w:t>过对《产业结构调整指导目录</w:t>
      </w:r>
      <w:r>
        <w:rPr/>
        <w:t>（</w:t>
      </w:r>
      <w:r>
        <w:rPr>
          <w:rFonts w:ascii="Times New Roman" w:eastAsia="Times New Roman"/>
        </w:rPr>
        <w:t>2019 </w:t>
      </w:r>
      <w:r>
        <w:rPr/>
        <w:t>年本</w:t>
      </w:r>
      <w:r>
        <w:rPr>
          <w:spacing w:val="-5"/>
        </w:rPr>
        <w:t>）》、《市场准入负面清单</w:t>
      </w:r>
      <w:r>
        <w:rPr/>
        <w:t>（</w:t>
      </w:r>
      <w:r>
        <w:rPr>
          <w:rFonts w:ascii="Times New Roman" w:eastAsia="Times New Roman"/>
        </w:rPr>
        <w:t>2022 </w:t>
      </w:r>
      <w:r>
        <w:rPr/>
        <w:t>年版</w:t>
      </w:r>
      <w:r>
        <w:rPr>
          <w:spacing w:val="-5"/>
        </w:rPr>
        <w:t>）</w:t>
      </w:r>
      <w:r>
        <w:rPr>
          <w:spacing w:val="-9"/>
        </w:rPr>
        <w:t>》、</w:t>
      </w:r>
    </w:p>
    <w:p>
      <w:pPr>
        <w:pStyle w:val="BodyText"/>
        <w:spacing w:line="364" w:lineRule="auto" w:before="5"/>
        <w:ind w:left="238" w:right="158"/>
      </w:pPr>
      <w:r>
        <w:rPr/>
        <w:t>《关于印发</w:t>
      </w:r>
      <w:r>
        <w:rPr>
          <w:rFonts w:ascii="Times New Roman" w:eastAsia="Times New Roman"/>
        </w:rPr>
        <w:t>&lt;</w:t>
      </w:r>
      <w:r>
        <w:rPr/>
        <w:t>上虞区产业建设项目环境准入指导意见</w:t>
      </w:r>
      <w:r>
        <w:rPr>
          <w:rFonts w:ascii="Times New Roman" w:eastAsia="Times New Roman"/>
        </w:rPr>
        <w:t>&gt;</w:t>
      </w:r>
      <w:r>
        <w:rPr/>
        <w:t>的通知》等国家、地方产业政策文件查阅分析，判定本项目不属于限制发展和禁止发展项目。</w:t>
      </w:r>
    </w:p>
    <w:p>
      <w:pPr>
        <w:pStyle w:val="BodyText"/>
        <w:spacing w:line="364" w:lineRule="auto"/>
        <w:ind w:left="238" w:right="124" w:firstLine="480"/>
      </w:pPr>
      <w:r>
        <w:rPr>
          <w:rFonts w:ascii="Times New Roman" w:hAnsi="Times New Roman" w:eastAsia="Times New Roman"/>
        </w:rPr>
        <w:t>2</w:t>
      </w:r>
      <w:r>
        <w:rPr/>
        <w:t>、根据《长江经济带发展负面清单指南（试行，</w:t>
      </w:r>
      <w:r>
        <w:rPr>
          <w:rFonts w:ascii="Times New Roman" w:hAnsi="Times New Roman" w:eastAsia="Times New Roman"/>
        </w:rPr>
        <w:t>2022 </w:t>
      </w:r>
      <w:r>
        <w:rPr/>
        <w:t>年版）浙江省实施细则》， </w:t>
      </w:r>
      <w:r>
        <w:rPr>
          <w:spacing w:val="-5"/>
        </w:rPr>
        <w:t>对照《环境保护综合目录</w:t>
      </w:r>
      <w:r>
        <w:rPr/>
        <w:t>（</w:t>
      </w:r>
      <w:r>
        <w:rPr>
          <w:rFonts w:ascii="Times New Roman" w:hAnsi="Times New Roman" w:eastAsia="Times New Roman"/>
        </w:rPr>
        <w:t>2021 </w:t>
      </w:r>
      <w:r>
        <w:rPr/>
        <w:t>年版</w:t>
      </w:r>
      <w:r>
        <w:rPr>
          <w:spacing w:val="-15"/>
        </w:rPr>
        <w:t>）</w:t>
      </w:r>
      <w:r>
        <w:rPr>
          <w:spacing w:val="-8"/>
        </w:rPr>
        <w:t>》，本项目所有产品均不属于“高污染、高环境风险型”产品名录，项目建设符合《长江经济带发展负面清单指南（试行，</w:t>
      </w:r>
      <w:r>
        <w:rPr>
          <w:rFonts w:ascii="Times New Roman" w:hAnsi="Times New Roman" w:eastAsia="Times New Roman"/>
          <w:spacing w:val="-8"/>
        </w:rPr>
        <w:t>2022 </w:t>
      </w:r>
      <w:r>
        <w:rPr>
          <w:spacing w:val="-8"/>
        </w:rPr>
        <w:t>年版</w:t>
      </w:r>
      <w:r>
        <w:rPr>
          <w:spacing w:val="-16"/>
        </w:rPr>
        <w:t>） </w:t>
      </w:r>
      <w:r>
        <w:rPr/>
        <w:t>浙江省实施细则》要求。</w:t>
      </w:r>
    </w:p>
    <w:p>
      <w:pPr>
        <w:pStyle w:val="Heading4"/>
        <w:numPr>
          <w:ilvl w:val="2"/>
          <w:numId w:val="5"/>
        </w:numPr>
        <w:tabs>
          <w:tab w:pos="839" w:val="left" w:leader="none"/>
        </w:tabs>
        <w:spacing w:line="305" w:lineRule="exact" w:before="0" w:after="0"/>
        <w:ind w:left="838" w:right="0" w:hanging="601"/>
        <w:jc w:val="left"/>
      </w:pPr>
      <w:r>
        <w:rPr/>
        <w:t>绍兴市</w:t>
      </w:r>
      <w:r>
        <w:rPr>
          <w:rFonts w:ascii="Times New Roman" w:hAnsi="Times New Roman" w:eastAsia="Times New Roman"/>
        </w:rPr>
        <w:t>“</w:t>
      </w:r>
      <w:r>
        <w:rPr/>
        <w:t>三线一单</w:t>
      </w:r>
      <w:r>
        <w:rPr>
          <w:rFonts w:ascii="Times New Roman" w:hAnsi="Times New Roman" w:eastAsia="Times New Roman"/>
        </w:rPr>
        <w:t>”</w:t>
      </w:r>
      <w:r>
        <w:rPr/>
        <w:t>生态环境分区管控符合性判定</w:t>
      </w:r>
    </w:p>
    <w:p>
      <w:pPr>
        <w:spacing w:line="364" w:lineRule="auto" w:before="160"/>
        <w:ind w:left="238" w:right="197" w:firstLine="480"/>
        <w:jc w:val="both"/>
        <w:rPr>
          <w:b/>
          <w:sz w:val="24"/>
        </w:rPr>
      </w:pPr>
      <w:r>
        <w:rPr>
          <w:spacing w:val="-3"/>
          <w:sz w:val="24"/>
        </w:rPr>
        <w:t>根据《绍兴市</w:t>
      </w:r>
      <w:r>
        <w:rPr>
          <w:rFonts w:ascii="Times New Roman" w:hAnsi="Times New Roman" w:eastAsia="Times New Roman"/>
          <w:sz w:val="24"/>
        </w:rPr>
        <w:t>“</w:t>
      </w:r>
      <w:r>
        <w:rPr>
          <w:sz w:val="24"/>
        </w:rPr>
        <w:t>三线一单</w:t>
      </w:r>
      <w:r>
        <w:rPr>
          <w:rFonts w:ascii="Times New Roman" w:hAnsi="Times New Roman" w:eastAsia="Times New Roman"/>
          <w:sz w:val="24"/>
        </w:rPr>
        <w:t>”</w:t>
      </w:r>
      <w:r>
        <w:rPr>
          <w:spacing w:val="-2"/>
          <w:sz w:val="24"/>
        </w:rPr>
        <w:t>生态环境分区管控方案》，项目所在区域属于重点管控单</w:t>
      </w:r>
      <w:r>
        <w:rPr>
          <w:spacing w:val="36"/>
          <w:sz w:val="24"/>
        </w:rPr>
        <w:t>元（产业集聚</w:t>
      </w:r>
      <w:r>
        <w:rPr>
          <w:sz w:val="24"/>
        </w:rPr>
        <w:t>）</w:t>
      </w:r>
      <w:r>
        <w:rPr>
          <w:spacing w:val="-85"/>
          <w:sz w:val="24"/>
        </w:rPr>
        <w:t> </w:t>
      </w:r>
      <w:r>
        <w:rPr>
          <w:rFonts w:ascii="Times New Roman" w:hAnsi="Times New Roman" w:eastAsia="Times New Roman"/>
          <w:spacing w:val="-12"/>
          <w:sz w:val="24"/>
        </w:rPr>
        <w:t>— </w:t>
      </w:r>
      <w:r>
        <w:rPr>
          <w:spacing w:val="36"/>
          <w:sz w:val="24"/>
        </w:rPr>
        <w:t>上虞区杭州湾经济开发区产业集聚重点管控单元（</w:t>
      </w:r>
      <w:r>
        <w:rPr>
          <w:spacing w:val="24"/>
          <w:sz w:val="24"/>
        </w:rPr>
        <w:t>编号： </w:t>
      </w:r>
      <w:r>
        <w:rPr>
          <w:rFonts w:ascii="Times New Roman" w:hAnsi="Times New Roman" w:eastAsia="Times New Roman"/>
          <w:spacing w:val="24"/>
          <w:w w:val="99"/>
          <w:sz w:val="24"/>
        </w:rPr>
        <w:t>Z</w:t>
      </w:r>
      <w:r>
        <w:rPr>
          <w:rFonts w:ascii="Times New Roman" w:hAnsi="Times New Roman" w:eastAsia="Times New Roman"/>
          <w:spacing w:val="-1"/>
          <w:w w:val="99"/>
          <w:sz w:val="24"/>
        </w:rPr>
        <w:t>H</w:t>
      </w:r>
      <w:r>
        <w:rPr>
          <w:rFonts w:ascii="Times New Roman" w:hAnsi="Times New Roman" w:eastAsia="Times New Roman"/>
          <w:sz w:val="24"/>
        </w:rPr>
        <w:t>3306042000</w:t>
      </w:r>
      <w:r>
        <w:rPr>
          <w:rFonts w:ascii="Times New Roman" w:hAnsi="Times New Roman" w:eastAsia="Times New Roman"/>
          <w:spacing w:val="2"/>
          <w:sz w:val="24"/>
        </w:rPr>
        <w:t>2</w:t>
      </w:r>
      <w:r>
        <w:rPr>
          <w:spacing w:val="2"/>
          <w:sz w:val="24"/>
        </w:rPr>
        <w:t>）。</w:t>
      </w:r>
      <w:r>
        <w:rPr>
          <w:b/>
          <w:spacing w:val="2"/>
          <w:w w:val="99"/>
          <w:sz w:val="24"/>
        </w:rPr>
        <w:t>项目位于杭州湾上虞经济技术开发区内（工业聚集区</w:t>
      </w:r>
      <w:r>
        <w:rPr>
          <w:b/>
          <w:spacing w:val="-116"/>
          <w:w w:val="99"/>
          <w:sz w:val="24"/>
        </w:rPr>
        <w:t>）</w:t>
      </w:r>
      <w:r>
        <w:rPr>
          <w:b/>
          <w:spacing w:val="1"/>
          <w:w w:val="99"/>
          <w:sz w:val="24"/>
        </w:rPr>
        <w:t>，属于三类</w:t>
      </w:r>
      <w:r>
        <w:rPr>
          <w:b/>
          <w:spacing w:val="-9"/>
          <w:sz w:val="24"/>
        </w:rPr>
        <w:t>工业用地，本项目从事农药制造。因此，项目符合上虞区杭州湾经济开发区产业集聚重</w:t>
      </w:r>
      <w:r>
        <w:rPr>
          <w:b/>
          <w:spacing w:val="-8"/>
          <w:sz w:val="24"/>
        </w:rPr>
        <w:t>点管控单元的要求。</w:t>
      </w:r>
    </w:p>
    <w:p>
      <w:pPr>
        <w:pStyle w:val="Heading4"/>
        <w:numPr>
          <w:ilvl w:val="2"/>
          <w:numId w:val="5"/>
        </w:numPr>
        <w:tabs>
          <w:tab w:pos="779" w:val="left" w:leader="none"/>
        </w:tabs>
        <w:spacing w:line="304" w:lineRule="exact" w:before="0" w:after="0"/>
        <w:ind w:left="778" w:right="0" w:hanging="541"/>
        <w:jc w:val="both"/>
      </w:pPr>
      <w:r>
        <w:rPr/>
        <w:t>城市总体规划、开发区规划及规划环评符合性判定</w:t>
      </w:r>
    </w:p>
    <w:p>
      <w:pPr>
        <w:pStyle w:val="BodyText"/>
        <w:spacing w:before="161"/>
        <w:ind w:left="718"/>
      </w:pPr>
      <w:r>
        <w:rPr/>
        <w:t>本项目拟建地位于杭州湾上虞经济技术开发区产业提升区与配套区。</w:t>
      </w:r>
    </w:p>
    <w:p>
      <w:pPr>
        <w:spacing w:line="364" w:lineRule="auto" w:before="158"/>
        <w:ind w:left="238" w:right="233" w:firstLine="480"/>
        <w:jc w:val="both"/>
        <w:rPr>
          <w:b/>
          <w:sz w:val="24"/>
        </w:rPr>
      </w:pPr>
      <w:r>
        <w:rPr>
          <w:spacing w:val="-10"/>
          <w:sz w:val="24"/>
        </w:rPr>
        <w:t>根据《上虞市城市总体规划》</w:t>
      </w:r>
      <w:r>
        <w:rPr>
          <w:spacing w:val="5"/>
          <w:sz w:val="24"/>
        </w:rPr>
        <w:t>（</w:t>
      </w:r>
      <w:r>
        <w:rPr>
          <w:rFonts w:ascii="Times New Roman" w:eastAsia="Times New Roman"/>
          <w:sz w:val="24"/>
        </w:rPr>
        <w:t>2006~202</w:t>
      </w:r>
      <w:r>
        <w:rPr>
          <w:rFonts w:ascii="Times New Roman" w:eastAsia="Times New Roman"/>
          <w:spacing w:val="2"/>
          <w:sz w:val="24"/>
        </w:rPr>
        <w:t>0</w:t>
      </w:r>
      <w:r>
        <w:rPr>
          <w:spacing w:val="-118"/>
          <w:sz w:val="24"/>
        </w:rPr>
        <w:t>）</w:t>
      </w:r>
      <w:r>
        <w:rPr>
          <w:spacing w:val="-1"/>
          <w:sz w:val="24"/>
        </w:rPr>
        <w:t>，杭州湾上虞经济技术开发区建设符合</w:t>
      </w:r>
      <w:r>
        <w:rPr>
          <w:spacing w:val="-5"/>
          <w:sz w:val="24"/>
        </w:rPr>
        <w:t>上虞城市发展方向，该开发区主要用于发展以染料、颜料为特色的精细化工、各类医药</w:t>
      </w:r>
      <w:r>
        <w:rPr>
          <w:spacing w:val="-6"/>
          <w:sz w:val="24"/>
        </w:rPr>
        <w:t>中间体、原料药等产业。</w:t>
      </w:r>
      <w:r>
        <w:rPr>
          <w:b/>
          <w:spacing w:val="-4"/>
          <w:sz w:val="24"/>
        </w:rPr>
        <w:t>项目生产农药产品，属于精细化工产业。因此本项目的建设符</w:t>
      </w:r>
      <w:r>
        <w:rPr>
          <w:b/>
          <w:spacing w:val="-11"/>
          <w:sz w:val="24"/>
        </w:rPr>
        <w:t>合绍兴市上虞区城市总体规划，项目在杭州湾上虞经济技术开发区建设符合上虞城市总</w:t>
      </w:r>
      <w:r>
        <w:rPr>
          <w:b/>
          <w:sz w:val="24"/>
        </w:rPr>
        <w:t>体规划的发展方向。</w:t>
      </w:r>
    </w:p>
    <w:p>
      <w:pPr>
        <w:pStyle w:val="BodyText"/>
        <w:spacing w:line="364" w:lineRule="auto"/>
        <w:ind w:left="238" w:right="112" w:firstLine="480"/>
      </w:pPr>
      <w:r>
        <w:rPr>
          <w:spacing w:val="-9"/>
        </w:rPr>
        <w:t>杭州湾上虞经济技术开发区的产业发展定位：以高新技术产业为先导，以机电装备、</w:t>
      </w:r>
      <w:r>
        <w:rPr>
          <w:spacing w:val="-6"/>
        </w:rPr>
        <w:t>纺织服饰、新材料、环保产业等为重点，以精细化工、生物医药为特色，努力打造开发</w:t>
      </w:r>
      <w:r>
        <w:rPr>
          <w:spacing w:val="-8"/>
        </w:rPr>
        <w:t>区成为长三角南翼环杭州湾产业带的重要区块，杭州湾南岸的物流中心，现代化生态型</w:t>
      </w:r>
      <w:r>
        <w:rPr>
          <w:spacing w:val="-11"/>
        </w:rPr>
        <w:t>的工业新城区。规划布局：中心河以北作为精细化工、医药产业的改造发展用地，可适</w:t>
      </w:r>
    </w:p>
    <w:p>
      <w:pPr>
        <w:spacing w:after="0" w:line="364" w:lineRule="auto"/>
        <w:sectPr>
          <w:pgSz w:w="11910" w:h="16850"/>
          <w:pgMar w:header="730" w:footer="690" w:top="1340" w:bottom="880" w:left="1180" w:right="1180"/>
        </w:sectPr>
      </w:pPr>
    </w:p>
    <w:p>
      <w:pPr>
        <w:pStyle w:val="Heading4"/>
        <w:spacing w:line="364" w:lineRule="auto" w:before="68"/>
        <w:ind w:left="238" w:right="113"/>
      </w:pPr>
      <w:r>
        <w:rPr>
          <w:b w:val="0"/>
          <w:spacing w:val="-6"/>
        </w:rPr>
        <w:t>度吸纳高端、环保的化工、生物医药项目。</w:t>
      </w:r>
      <w:r>
        <w:rPr>
          <w:spacing w:val="-2"/>
        </w:rPr>
        <w:t>项目厂区位于中心河以北，用地性质为三类</w:t>
      </w:r>
      <w:r>
        <w:rPr>
          <w:spacing w:val="-15"/>
        </w:rPr>
        <w:t>用地，主要用于发展精细化工、医药产业，项目为农药产品生产，属于精细化工类产品， </w:t>
      </w:r>
      <w:r>
        <w:rPr/>
        <w:t>因此符合开发区产业定位和规划布局。</w:t>
      </w:r>
    </w:p>
    <w:p>
      <w:pPr>
        <w:spacing w:line="364" w:lineRule="auto" w:before="0"/>
        <w:ind w:left="238" w:right="152" w:firstLine="480"/>
        <w:jc w:val="left"/>
        <w:rPr>
          <w:b/>
          <w:sz w:val="24"/>
        </w:rPr>
      </w:pPr>
      <w:r>
        <w:rPr>
          <w:spacing w:val="3"/>
          <w:sz w:val="24"/>
        </w:rPr>
        <w:t>《杭州湾上虞经济技术开发区产业提升区及配套区控制性详细规划环境影响报告</w:t>
      </w:r>
      <w:r>
        <w:rPr>
          <w:spacing w:val="-11"/>
          <w:sz w:val="24"/>
        </w:rPr>
        <w:t>书》于 </w:t>
      </w:r>
      <w:r>
        <w:rPr>
          <w:rFonts w:ascii="Times New Roman" w:eastAsia="Times New Roman"/>
          <w:sz w:val="24"/>
        </w:rPr>
        <w:t>2017 </w:t>
      </w:r>
      <w:r>
        <w:rPr>
          <w:spacing w:val="-26"/>
          <w:sz w:val="24"/>
        </w:rPr>
        <w:t>年 </w:t>
      </w:r>
      <w:r>
        <w:rPr>
          <w:rFonts w:ascii="Times New Roman" w:eastAsia="Times New Roman"/>
          <w:sz w:val="24"/>
        </w:rPr>
        <w:t>5 </w:t>
      </w:r>
      <w:r>
        <w:rPr>
          <w:spacing w:val="-26"/>
          <w:sz w:val="24"/>
        </w:rPr>
        <w:t>月 </w:t>
      </w:r>
      <w:r>
        <w:rPr>
          <w:rFonts w:ascii="Times New Roman" w:eastAsia="Times New Roman"/>
          <w:sz w:val="24"/>
        </w:rPr>
        <w:t>10 </w:t>
      </w:r>
      <w:r>
        <w:rPr>
          <w:spacing w:val="-4"/>
          <w:sz w:val="24"/>
        </w:rPr>
        <w:t>日通过了规划环评专家审查会，于 </w:t>
      </w:r>
      <w:r>
        <w:rPr>
          <w:rFonts w:ascii="Times New Roman" w:eastAsia="Times New Roman"/>
          <w:sz w:val="24"/>
        </w:rPr>
        <w:t>11 </w:t>
      </w:r>
      <w:r>
        <w:rPr>
          <w:spacing w:val="-1"/>
          <w:sz w:val="24"/>
        </w:rPr>
        <w:t>月获得省环保厅出具的环保审查意见（浙环函</w:t>
      </w:r>
      <w:r>
        <w:rPr>
          <w:rFonts w:ascii="Times New Roman" w:eastAsia="Times New Roman"/>
          <w:spacing w:val="-1"/>
          <w:sz w:val="24"/>
        </w:rPr>
        <w:t>[2017]427 </w:t>
      </w:r>
      <w:r>
        <w:rPr>
          <w:sz w:val="24"/>
        </w:rPr>
        <w:t>号）。</w:t>
      </w:r>
      <w:r>
        <w:rPr>
          <w:b/>
          <w:sz w:val="24"/>
        </w:rPr>
        <w:t>对照规划环评结论性清单，项目符合生态空间清</w:t>
      </w:r>
      <w:r>
        <w:rPr>
          <w:b/>
          <w:spacing w:val="-1"/>
          <w:sz w:val="24"/>
        </w:rPr>
        <w:t>单各项管控要求，项目未列入环境准入条件清单中禁止和限制的工艺清单和产品清单， </w:t>
      </w:r>
      <w:r>
        <w:rPr>
          <w:b/>
          <w:sz w:val="24"/>
        </w:rPr>
        <w:t>满足环境标准清单要求。因此，项目建设符合开发区规划环评。</w:t>
      </w:r>
    </w:p>
    <w:p>
      <w:pPr>
        <w:pStyle w:val="Heading4"/>
        <w:numPr>
          <w:ilvl w:val="2"/>
          <w:numId w:val="5"/>
        </w:numPr>
        <w:tabs>
          <w:tab w:pos="720" w:val="left" w:leader="none"/>
        </w:tabs>
        <w:spacing w:line="306" w:lineRule="exact" w:before="0" w:after="0"/>
        <w:ind w:left="719" w:right="0" w:hanging="482"/>
        <w:jc w:val="left"/>
      </w:pPr>
      <w:r>
        <w:rPr>
          <w:rFonts w:ascii="Times New Roman" w:hAnsi="Times New Roman" w:eastAsia="Times New Roman"/>
        </w:rPr>
        <w:t>“</w:t>
      </w:r>
      <w:r>
        <w:rPr/>
        <w:t>三线一单</w:t>
      </w:r>
      <w:r>
        <w:rPr>
          <w:rFonts w:ascii="Times New Roman" w:hAnsi="Times New Roman" w:eastAsia="Times New Roman"/>
          <w:spacing w:val="-3"/>
        </w:rPr>
        <w:t>”</w:t>
      </w:r>
      <w:r>
        <w:rPr/>
        <w:t>符合性判定</w:t>
      </w:r>
    </w:p>
    <w:p>
      <w:pPr>
        <w:pStyle w:val="ListParagraph"/>
        <w:numPr>
          <w:ilvl w:val="3"/>
          <w:numId w:val="5"/>
        </w:numPr>
        <w:tabs>
          <w:tab w:pos="1000" w:val="left" w:leader="none"/>
        </w:tabs>
        <w:spacing w:line="240" w:lineRule="auto" w:before="158" w:after="0"/>
        <w:ind w:left="999" w:right="0" w:hanging="282"/>
        <w:jc w:val="left"/>
        <w:rPr>
          <w:sz w:val="24"/>
        </w:rPr>
      </w:pPr>
      <w:r>
        <w:rPr>
          <w:sz w:val="24"/>
        </w:rPr>
        <w:t>生态保护红线</w:t>
      </w:r>
    </w:p>
    <w:p>
      <w:pPr>
        <w:pStyle w:val="BodyText"/>
        <w:spacing w:line="364" w:lineRule="auto" w:before="158"/>
        <w:ind w:left="238" w:right="232" w:firstLine="480"/>
        <w:jc w:val="both"/>
      </w:pPr>
      <w:r>
        <w:rPr>
          <w:spacing w:val="-3"/>
        </w:rPr>
        <w:t>本项目位于企业杭州湾上虞经济技术开发区新征用地，用地性质为工业用地。项目</w:t>
      </w:r>
      <w:r>
        <w:rPr>
          <w:spacing w:val="-6"/>
        </w:rPr>
        <w:t>不在当地饮用水源、风景区、自然保护区等生态保护区内，不涉及《浙江省人民政府关</w:t>
      </w:r>
      <w:r>
        <w:rPr>
          <w:spacing w:val="-1"/>
        </w:rPr>
        <w:t>于发布浙江省生态保护红线的要求》</w:t>
      </w:r>
      <w:r>
        <w:rPr/>
        <w:t>（</w:t>
      </w:r>
      <w:r>
        <w:rPr>
          <w:spacing w:val="-1"/>
        </w:rPr>
        <w:t>浙环发</w:t>
      </w:r>
      <w:r>
        <w:rPr>
          <w:rFonts w:ascii="Times New Roman" w:hAnsi="Times New Roman" w:eastAsia="Times New Roman"/>
        </w:rPr>
        <w:t>[2018]30 </w:t>
      </w:r>
      <w:r>
        <w:rPr/>
        <w:t>号</w:t>
      </w:r>
      <w:r>
        <w:rPr>
          <w:spacing w:val="-5"/>
        </w:rPr>
        <w:t>）、《绍兴市生态环境局关于</w:t>
      </w:r>
      <w:r>
        <w:rPr/>
        <w:t>印发</w:t>
      </w:r>
      <w:r>
        <w:rPr>
          <w:rFonts w:ascii="Times New Roman" w:hAnsi="Times New Roman" w:eastAsia="Times New Roman"/>
        </w:rPr>
        <w:t>&lt;</w:t>
      </w:r>
      <w:r>
        <w:rPr/>
        <w:t>绍兴市</w:t>
      </w:r>
      <w:r>
        <w:rPr>
          <w:rFonts w:ascii="Times New Roman" w:hAnsi="Times New Roman" w:eastAsia="Times New Roman"/>
        </w:rPr>
        <w:t>“</w:t>
      </w:r>
      <w:r>
        <w:rPr/>
        <w:t>三线一单</w:t>
      </w:r>
      <w:r>
        <w:rPr>
          <w:rFonts w:ascii="Times New Roman" w:hAnsi="Times New Roman" w:eastAsia="Times New Roman"/>
        </w:rPr>
        <w:t>”</w:t>
      </w:r>
      <w:r>
        <w:rPr/>
        <w:t>生态环境分区管控方案</w:t>
      </w:r>
      <w:r>
        <w:rPr>
          <w:rFonts w:ascii="Times New Roman" w:hAnsi="Times New Roman" w:eastAsia="Times New Roman"/>
        </w:rPr>
        <w:t>&gt;</w:t>
      </w:r>
      <w:r>
        <w:rPr>
          <w:spacing w:val="-6"/>
        </w:rPr>
        <w:t>的通知》</w:t>
      </w:r>
      <w:r>
        <w:rPr/>
        <w:t>（绍市环发</w:t>
      </w:r>
      <w:r>
        <w:rPr>
          <w:rFonts w:ascii="Times New Roman" w:hAnsi="Times New Roman" w:eastAsia="Times New Roman"/>
        </w:rPr>
        <w:t>[2020]36 </w:t>
      </w:r>
      <w:r>
        <w:rPr/>
        <w:t>号</w:t>
      </w:r>
      <w:r>
        <w:rPr>
          <w:spacing w:val="-12"/>
        </w:rPr>
        <w:t>）</w:t>
      </w:r>
      <w:r>
        <w:rPr/>
        <w:t>等相关文件划定的生态保护红线，满足生态保护红线要求。</w:t>
      </w:r>
    </w:p>
    <w:p>
      <w:pPr>
        <w:pStyle w:val="ListParagraph"/>
        <w:numPr>
          <w:ilvl w:val="3"/>
          <w:numId w:val="5"/>
        </w:numPr>
        <w:tabs>
          <w:tab w:pos="1000" w:val="left" w:leader="none"/>
        </w:tabs>
        <w:spacing w:line="306" w:lineRule="exact" w:before="0" w:after="0"/>
        <w:ind w:left="999" w:right="0" w:hanging="282"/>
        <w:jc w:val="left"/>
        <w:rPr>
          <w:sz w:val="24"/>
        </w:rPr>
      </w:pPr>
      <w:r>
        <w:rPr>
          <w:sz w:val="24"/>
        </w:rPr>
        <w:t>环境质量底线</w:t>
      </w:r>
    </w:p>
    <w:p>
      <w:pPr>
        <w:pStyle w:val="BodyText"/>
        <w:spacing w:line="364" w:lineRule="auto" w:before="159"/>
        <w:ind w:left="238" w:right="172" w:firstLine="480"/>
      </w:pPr>
      <w:r>
        <w:rPr/>
        <w:t>根据环境质量现状监测数据，评价区域环境空气、地表水、地下水、声环境和土壤现状符合相应功能区或标准的要求。</w:t>
      </w:r>
    </w:p>
    <w:p>
      <w:pPr>
        <w:pStyle w:val="Heading4"/>
        <w:tabs>
          <w:tab w:pos="3817" w:val="left" w:leader="none"/>
        </w:tabs>
        <w:spacing w:before="140" w:after="29"/>
        <w:ind w:left="2595"/>
      </w:pPr>
      <w:r>
        <w:rPr/>
        <w:t>表</w:t>
      </w:r>
      <w:r>
        <w:rPr>
          <w:spacing w:val="-59"/>
        </w:rPr>
        <w:t> </w:t>
      </w:r>
      <w:r>
        <w:rPr>
          <w:rFonts w:ascii="Times New Roman" w:eastAsia="Times New Roman"/>
        </w:rPr>
        <w:t>1.3.4-1</w:t>
        <w:tab/>
      </w:r>
      <w:r>
        <w:rPr/>
        <w:t>环境质量底线目标符合性分析</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953"/>
        <w:gridCol w:w="3226"/>
        <w:gridCol w:w="3560"/>
        <w:gridCol w:w="893"/>
      </w:tblGrid>
      <w:tr>
        <w:trPr>
          <w:trHeight w:val="546" w:hRule="atLeast"/>
        </w:trPr>
        <w:tc>
          <w:tcPr>
            <w:tcW w:w="658" w:type="dxa"/>
          </w:tcPr>
          <w:p>
            <w:pPr>
              <w:pStyle w:val="TableParagraph"/>
              <w:spacing w:before="138"/>
              <w:ind w:left="98" w:right="89"/>
              <w:rPr>
                <w:sz w:val="21"/>
              </w:rPr>
            </w:pPr>
            <w:r>
              <w:rPr>
                <w:sz w:val="21"/>
              </w:rPr>
              <w:t>序号</w:t>
            </w:r>
          </w:p>
        </w:tc>
        <w:tc>
          <w:tcPr>
            <w:tcW w:w="953" w:type="dxa"/>
          </w:tcPr>
          <w:p>
            <w:pPr>
              <w:pStyle w:val="TableParagraph"/>
              <w:spacing w:before="138"/>
              <w:ind w:left="265"/>
              <w:jc w:val="left"/>
              <w:rPr>
                <w:sz w:val="21"/>
              </w:rPr>
            </w:pPr>
            <w:r>
              <w:rPr>
                <w:sz w:val="21"/>
              </w:rPr>
              <w:t>类型</w:t>
            </w:r>
          </w:p>
        </w:tc>
        <w:tc>
          <w:tcPr>
            <w:tcW w:w="3226" w:type="dxa"/>
          </w:tcPr>
          <w:p>
            <w:pPr>
              <w:pStyle w:val="TableParagraph"/>
              <w:spacing w:before="138"/>
              <w:ind w:left="771"/>
              <w:jc w:val="left"/>
              <w:rPr>
                <w:sz w:val="21"/>
              </w:rPr>
            </w:pPr>
            <w:r>
              <w:rPr>
                <w:sz w:val="21"/>
              </w:rPr>
              <w:t>环境质量底线目标</w:t>
            </w:r>
          </w:p>
        </w:tc>
        <w:tc>
          <w:tcPr>
            <w:tcW w:w="3560" w:type="dxa"/>
          </w:tcPr>
          <w:p>
            <w:pPr>
              <w:pStyle w:val="TableParagraph"/>
              <w:spacing w:before="138"/>
              <w:ind w:left="938"/>
              <w:jc w:val="left"/>
              <w:rPr>
                <w:sz w:val="21"/>
              </w:rPr>
            </w:pPr>
            <w:r>
              <w:rPr>
                <w:sz w:val="21"/>
              </w:rPr>
              <w:t>现状环境质量情况</w:t>
            </w:r>
          </w:p>
        </w:tc>
        <w:tc>
          <w:tcPr>
            <w:tcW w:w="893" w:type="dxa"/>
          </w:tcPr>
          <w:p>
            <w:pPr>
              <w:pStyle w:val="TableParagraph"/>
              <w:spacing w:line="270" w:lineRule="atLeast" w:before="2"/>
              <w:ind w:left="232" w:right="120" w:hanging="106"/>
              <w:jc w:val="left"/>
              <w:rPr>
                <w:sz w:val="21"/>
              </w:rPr>
            </w:pPr>
            <w:r>
              <w:rPr>
                <w:sz w:val="21"/>
              </w:rPr>
              <w:t>符合性分析</w:t>
            </w:r>
          </w:p>
        </w:tc>
      </w:tr>
      <w:tr>
        <w:trPr>
          <w:trHeight w:val="2177" w:hRule="atLeast"/>
        </w:trPr>
        <w:tc>
          <w:tcPr>
            <w:tcW w:w="658" w:type="dxa"/>
          </w:tcPr>
          <w:p>
            <w:pPr>
              <w:pStyle w:val="TableParagraph"/>
              <w:jc w:val="left"/>
              <w:rPr>
                <w:b/>
                <w:sz w:val="22"/>
              </w:rPr>
            </w:pPr>
          </w:p>
          <w:p>
            <w:pPr>
              <w:pStyle w:val="TableParagraph"/>
              <w:jc w:val="left"/>
              <w:rPr>
                <w:b/>
                <w:sz w:val="22"/>
              </w:rPr>
            </w:pPr>
          </w:p>
          <w:p>
            <w:pPr>
              <w:pStyle w:val="TableParagraph"/>
              <w:spacing w:before="6"/>
              <w:jc w:val="left"/>
              <w:rPr>
                <w:b/>
                <w:sz w:val="31"/>
              </w:rPr>
            </w:pPr>
          </w:p>
          <w:p>
            <w:pPr>
              <w:pStyle w:val="TableParagraph"/>
              <w:spacing w:before="1"/>
              <w:ind w:left="9"/>
              <w:rPr>
                <w:rFonts w:ascii="Times New Roman"/>
                <w:sz w:val="21"/>
              </w:rPr>
            </w:pPr>
            <w:r>
              <w:rPr>
                <w:rFonts w:ascii="Times New Roman"/>
                <w:w w:val="100"/>
                <w:sz w:val="21"/>
              </w:rPr>
              <w:t>1</w:t>
            </w:r>
          </w:p>
        </w:tc>
        <w:tc>
          <w:tcPr>
            <w:tcW w:w="953" w:type="dxa"/>
          </w:tcPr>
          <w:p>
            <w:pPr>
              <w:pStyle w:val="TableParagraph"/>
              <w:jc w:val="left"/>
              <w:rPr>
                <w:b/>
                <w:sz w:val="20"/>
              </w:rPr>
            </w:pPr>
          </w:p>
          <w:p>
            <w:pPr>
              <w:pStyle w:val="TableParagraph"/>
              <w:spacing w:before="7"/>
              <w:jc w:val="left"/>
              <w:rPr>
                <w:b/>
                <w:sz w:val="22"/>
              </w:rPr>
            </w:pPr>
          </w:p>
          <w:p>
            <w:pPr>
              <w:pStyle w:val="TableParagraph"/>
              <w:spacing w:line="242" w:lineRule="auto"/>
              <w:ind w:left="107" w:right="41"/>
              <w:jc w:val="both"/>
              <w:rPr>
                <w:sz w:val="21"/>
              </w:rPr>
            </w:pPr>
            <w:r>
              <w:rPr>
                <w:sz w:val="21"/>
              </w:rPr>
              <w:t>大气环境质量底线目标</w:t>
            </w:r>
          </w:p>
        </w:tc>
        <w:tc>
          <w:tcPr>
            <w:tcW w:w="3226" w:type="dxa"/>
          </w:tcPr>
          <w:p>
            <w:pPr>
              <w:pStyle w:val="TableParagraph"/>
              <w:jc w:val="left"/>
              <w:rPr>
                <w:b/>
                <w:sz w:val="22"/>
              </w:rPr>
            </w:pPr>
          </w:p>
          <w:p>
            <w:pPr>
              <w:pStyle w:val="TableParagraph"/>
              <w:spacing w:before="6"/>
              <w:jc w:val="left"/>
              <w:rPr>
                <w:b/>
                <w:sz w:val="20"/>
              </w:rPr>
            </w:pPr>
          </w:p>
          <w:p>
            <w:pPr>
              <w:pStyle w:val="TableParagraph"/>
              <w:spacing w:line="242" w:lineRule="auto" w:before="1"/>
              <w:ind w:left="107" w:right="58"/>
              <w:jc w:val="both"/>
              <w:rPr>
                <w:sz w:val="21"/>
              </w:rPr>
            </w:pPr>
            <w:r>
              <w:rPr>
                <w:spacing w:val="-20"/>
                <w:position w:val="2"/>
                <w:sz w:val="21"/>
              </w:rPr>
              <w:t>到 </w:t>
            </w:r>
            <w:r>
              <w:rPr>
                <w:rFonts w:ascii="Times New Roman" w:eastAsia="Times New Roman"/>
                <w:position w:val="2"/>
                <w:sz w:val="21"/>
              </w:rPr>
              <w:t>2020 </w:t>
            </w:r>
            <w:r>
              <w:rPr>
                <w:spacing w:val="-9"/>
                <w:position w:val="2"/>
                <w:sz w:val="21"/>
              </w:rPr>
              <w:t>年，上虞区 </w:t>
            </w:r>
            <w:r>
              <w:rPr>
                <w:rFonts w:ascii="Times New Roman" w:eastAsia="Times New Roman"/>
                <w:position w:val="2"/>
                <w:sz w:val="21"/>
              </w:rPr>
              <w:t>PM</w:t>
            </w:r>
            <w:r>
              <w:rPr>
                <w:rFonts w:ascii="Times New Roman" w:eastAsia="Times New Roman"/>
                <w:sz w:val="14"/>
              </w:rPr>
              <w:t>2.5 </w:t>
            </w:r>
            <w:r>
              <w:rPr>
                <w:spacing w:val="-3"/>
                <w:position w:val="2"/>
                <w:sz w:val="21"/>
              </w:rPr>
              <w:t>年均浓</w:t>
            </w:r>
            <w:r>
              <w:rPr>
                <w:spacing w:val="-25"/>
                <w:sz w:val="21"/>
              </w:rPr>
              <w:t>度 </w:t>
            </w:r>
            <w:r>
              <w:rPr>
                <w:rFonts w:ascii="Times New Roman" w:eastAsia="Times New Roman"/>
                <w:sz w:val="21"/>
              </w:rPr>
              <w:t>34 </w:t>
            </w:r>
            <w:r>
              <w:rPr>
                <w:spacing w:val="-2"/>
                <w:sz w:val="21"/>
              </w:rPr>
              <w:t>微克</w:t>
            </w:r>
            <w:r>
              <w:rPr>
                <w:rFonts w:ascii="Times New Roman" w:eastAsia="Times New Roman"/>
                <w:sz w:val="21"/>
              </w:rPr>
              <w:t>/</w:t>
            </w:r>
            <w:r>
              <w:rPr>
                <w:spacing w:val="-11"/>
                <w:sz w:val="21"/>
              </w:rPr>
              <w:t>立方米；到 </w:t>
            </w:r>
            <w:r>
              <w:rPr>
                <w:rFonts w:ascii="Times New Roman" w:eastAsia="Times New Roman"/>
                <w:sz w:val="21"/>
              </w:rPr>
              <w:t>2025 </w:t>
            </w:r>
            <w:r>
              <w:rPr>
                <w:sz w:val="21"/>
              </w:rPr>
              <w:t>年， </w:t>
            </w:r>
            <w:r>
              <w:rPr>
                <w:spacing w:val="-2"/>
                <w:position w:val="2"/>
                <w:sz w:val="21"/>
              </w:rPr>
              <w:t>上虞区 </w:t>
            </w:r>
            <w:r>
              <w:rPr>
                <w:rFonts w:ascii="Times New Roman" w:eastAsia="Times New Roman"/>
                <w:position w:val="2"/>
                <w:sz w:val="21"/>
              </w:rPr>
              <w:t>PM</w:t>
            </w:r>
            <w:r>
              <w:rPr>
                <w:rFonts w:ascii="Times New Roman" w:eastAsia="Times New Roman"/>
                <w:sz w:val="14"/>
              </w:rPr>
              <w:t>2.5 </w:t>
            </w:r>
            <w:r>
              <w:rPr>
                <w:spacing w:val="-3"/>
                <w:position w:val="2"/>
                <w:sz w:val="21"/>
              </w:rPr>
              <w:t>年均浓度 </w:t>
            </w:r>
            <w:r>
              <w:rPr>
                <w:rFonts w:ascii="Times New Roman" w:eastAsia="Times New Roman"/>
                <w:position w:val="2"/>
                <w:sz w:val="21"/>
              </w:rPr>
              <w:t>34  </w:t>
            </w:r>
            <w:r>
              <w:rPr>
                <w:spacing w:val="-2"/>
                <w:position w:val="2"/>
                <w:sz w:val="21"/>
              </w:rPr>
              <w:t>微克</w:t>
            </w:r>
            <w:r>
              <w:rPr>
                <w:rFonts w:ascii="Times New Roman" w:eastAsia="Times New Roman"/>
                <w:position w:val="2"/>
                <w:sz w:val="21"/>
              </w:rPr>
              <w:t>/ </w:t>
            </w:r>
            <w:r>
              <w:rPr>
                <w:spacing w:val="-10"/>
                <w:sz w:val="21"/>
              </w:rPr>
              <w:t>立方米；到 </w:t>
            </w:r>
            <w:r>
              <w:rPr>
                <w:rFonts w:ascii="Times New Roman" w:eastAsia="Times New Roman"/>
                <w:sz w:val="21"/>
              </w:rPr>
              <w:t>2035 </w:t>
            </w:r>
            <w:r>
              <w:rPr>
                <w:spacing w:val="-5"/>
                <w:sz w:val="21"/>
              </w:rPr>
              <w:t>年，持续改善。</w:t>
            </w:r>
          </w:p>
        </w:tc>
        <w:tc>
          <w:tcPr>
            <w:tcW w:w="3560" w:type="dxa"/>
          </w:tcPr>
          <w:p>
            <w:pPr>
              <w:pStyle w:val="TableParagraph"/>
              <w:spacing w:line="242" w:lineRule="auto" w:before="1"/>
              <w:ind w:left="107" w:right="-15"/>
              <w:jc w:val="left"/>
              <w:rPr>
                <w:sz w:val="21"/>
              </w:rPr>
            </w:pPr>
            <w:r>
              <w:rPr>
                <w:spacing w:val="-25"/>
                <w:sz w:val="21"/>
              </w:rPr>
              <w:t>根据《绍兴市 </w:t>
            </w:r>
            <w:r>
              <w:rPr>
                <w:rFonts w:ascii="Times New Roman" w:eastAsia="Times New Roman"/>
                <w:sz w:val="21"/>
              </w:rPr>
              <w:t>2020</w:t>
            </w:r>
            <w:r>
              <w:rPr>
                <w:rFonts w:ascii="Times New Roman" w:eastAsia="Times New Roman"/>
                <w:spacing w:val="-2"/>
                <w:sz w:val="21"/>
              </w:rPr>
              <w:t> </w:t>
            </w:r>
            <w:r>
              <w:rPr>
                <w:spacing w:val="-15"/>
                <w:sz w:val="21"/>
              </w:rPr>
              <w:t>年环境状况公报》， </w:t>
            </w:r>
            <w:r>
              <w:rPr>
                <w:spacing w:val="-18"/>
                <w:position w:val="2"/>
                <w:sz w:val="21"/>
              </w:rPr>
              <w:t>上虞区 </w:t>
            </w:r>
            <w:r>
              <w:rPr>
                <w:rFonts w:ascii="Times New Roman" w:eastAsia="Times New Roman"/>
                <w:position w:val="2"/>
                <w:sz w:val="21"/>
              </w:rPr>
              <w:t>PM</w:t>
            </w:r>
            <w:r>
              <w:rPr>
                <w:rFonts w:ascii="Times New Roman" w:eastAsia="Times New Roman"/>
                <w:sz w:val="14"/>
              </w:rPr>
              <w:t>2.5</w:t>
            </w:r>
            <w:r>
              <w:rPr>
                <w:rFonts w:ascii="Times New Roman" w:eastAsia="Times New Roman"/>
                <w:spacing w:val="3"/>
                <w:sz w:val="14"/>
              </w:rPr>
              <w:t> </w:t>
            </w:r>
            <w:r>
              <w:rPr>
                <w:spacing w:val="-11"/>
                <w:position w:val="2"/>
                <w:sz w:val="21"/>
              </w:rPr>
              <w:t>年均浓度为 </w:t>
            </w:r>
            <w:r>
              <w:rPr>
                <w:rFonts w:ascii="Times New Roman" w:eastAsia="Times New Roman"/>
                <w:position w:val="2"/>
                <w:sz w:val="21"/>
              </w:rPr>
              <w:t>26</w:t>
            </w:r>
            <w:r>
              <w:rPr>
                <w:rFonts w:ascii="Times New Roman" w:eastAsia="Times New Roman"/>
                <w:spacing w:val="2"/>
                <w:position w:val="2"/>
                <w:sz w:val="21"/>
              </w:rPr>
              <w:t> </w:t>
            </w:r>
            <w:r>
              <w:rPr>
                <w:position w:val="2"/>
                <w:sz w:val="21"/>
              </w:rPr>
              <w:t>微克</w:t>
            </w:r>
            <w:r>
              <w:rPr>
                <w:rFonts w:ascii="Times New Roman" w:eastAsia="Times New Roman"/>
                <w:spacing w:val="-3"/>
                <w:position w:val="2"/>
                <w:sz w:val="21"/>
              </w:rPr>
              <w:t>/</w:t>
            </w:r>
            <w:r>
              <w:rPr>
                <w:position w:val="2"/>
                <w:sz w:val="21"/>
              </w:rPr>
              <w:t>立</w:t>
            </w:r>
            <w:r>
              <w:rPr>
                <w:sz w:val="21"/>
              </w:rPr>
              <w:t>方</w:t>
            </w:r>
            <w:r>
              <w:rPr>
                <w:spacing w:val="-6"/>
                <w:sz w:val="21"/>
              </w:rPr>
              <w:t>米；二氧化硫、二氧化氮、一氧化碳</w:t>
            </w:r>
            <w:r>
              <w:rPr>
                <w:spacing w:val="-4"/>
                <w:sz w:val="21"/>
              </w:rPr>
              <w:t>三项指标总体水平优秀，年均值达到</w:t>
            </w:r>
            <w:r>
              <w:rPr>
                <w:rFonts w:ascii="Times New Roman" w:eastAsia="Times New Roman"/>
                <w:sz w:val="21"/>
              </w:rPr>
              <w:t>GB3095-201</w:t>
            </w:r>
            <w:r>
              <w:rPr>
                <w:spacing w:val="-209"/>
                <w:sz w:val="21"/>
              </w:rPr>
              <w:t>《</w:t>
            </w:r>
            <w:r>
              <w:rPr>
                <w:rFonts w:ascii="Times New Roman" w:eastAsia="Times New Roman"/>
                <w:sz w:val="21"/>
              </w:rPr>
              <w:t>2</w:t>
            </w:r>
            <w:r>
              <w:rPr>
                <w:rFonts w:ascii="Times New Roman" w:eastAsia="Times New Roman"/>
                <w:spacing w:val="7"/>
                <w:sz w:val="21"/>
              </w:rPr>
              <w:t> </w:t>
            </w:r>
            <w:r>
              <w:rPr>
                <w:spacing w:val="-3"/>
                <w:sz w:val="21"/>
              </w:rPr>
              <w:t>环境空气质量标准》一</w:t>
            </w:r>
            <w:r>
              <w:rPr>
                <w:spacing w:val="-6"/>
                <w:sz w:val="21"/>
              </w:rPr>
              <w:t>级浓度限值；臭氧、可吸入颗粒物</w:t>
            </w:r>
          </w:p>
          <w:p>
            <w:pPr>
              <w:pStyle w:val="TableParagraph"/>
              <w:spacing w:line="270" w:lineRule="atLeast" w:before="3"/>
              <w:ind w:left="107" w:right="75"/>
              <w:jc w:val="left"/>
              <w:rPr>
                <w:sz w:val="21"/>
              </w:rPr>
            </w:pPr>
            <w:r>
              <w:rPr>
                <w:sz w:val="21"/>
              </w:rPr>
              <w:t>和细颗粒物三项指标总体水平良好， 年均值达到二级浓度限值。</w:t>
            </w:r>
          </w:p>
        </w:tc>
        <w:tc>
          <w:tcPr>
            <w:tcW w:w="893"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5"/>
              <w:jc w:val="left"/>
              <w:rPr>
                <w:b/>
                <w:sz w:val="14"/>
              </w:rPr>
            </w:pPr>
          </w:p>
          <w:p>
            <w:pPr>
              <w:pStyle w:val="TableParagraph"/>
              <w:ind w:left="79" w:right="75"/>
              <w:rPr>
                <w:sz w:val="21"/>
              </w:rPr>
            </w:pPr>
            <w:r>
              <w:rPr>
                <w:sz w:val="21"/>
              </w:rPr>
              <w:t>符合</w:t>
            </w:r>
          </w:p>
        </w:tc>
      </w:tr>
      <w:tr>
        <w:trPr>
          <w:trHeight w:val="2181" w:hRule="atLeast"/>
        </w:trPr>
        <w:tc>
          <w:tcPr>
            <w:tcW w:w="658" w:type="dxa"/>
          </w:tcPr>
          <w:p>
            <w:pPr>
              <w:pStyle w:val="TableParagraph"/>
              <w:jc w:val="left"/>
              <w:rPr>
                <w:b/>
                <w:sz w:val="22"/>
              </w:rPr>
            </w:pPr>
          </w:p>
          <w:p>
            <w:pPr>
              <w:pStyle w:val="TableParagraph"/>
              <w:jc w:val="left"/>
              <w:rPr>
                <w:b/>
                <w:sz w:val="22"/>
              </w:rPr>
            </w:pPr>
          </w:p>
          <w:p>
            <w:pPr>
              <w:pStyle w:val="TableParagraph"/>
              <w:spacing w:before="9"/>
              <w:jc w:val="left"/>
              <w:rPr>
                <w:b/>
                <w:sz w:val="31"/>
              </w:rPr>
            </w:pPr>
          </w:p>
          <w:p>
            <w:pPr>
              <w:pStyle w:val="TableParagraph"/>
              <w:ind w:left="9"/>
              <w:rPr>
                <w:rFonts w:ascii="Times New Roman"/>
                <w:sz w:val="21"/>
              </w:rPr>
            </w:pPr>
            <w:r>
              <w:rPr>
                <w:rFonts w:ascii="Times New Roman"/>
                <w:w w:val="100"/>
                <w:sz w:val="21"/>
              </w:rPr>
              <w:t>2</w:t>
            </w:r>
          </w:p>
        </w:tc>
        <w:tc>
          <w:tcPr>
            <w:tcW w:w="953" w:type="dxa"/>
          </w:tcPr>
          <w:p>
            <w:pPr>
              <w:pStyle w:val="TableParagraph"/>
              <w:jc w:val="left"/>
              <w:rPr>
                <w:b/>
                <w:sz w:val="20"/>
              </w:rPr>
            </w:pPr>
          </w:p>
          <w:p>
            <w:pPr>
              <w:pStyle w:val="TableParagraph"/>
              <w:jc w:val="left"/>
              <w:rPr>
                <w:b/>
                <w:sz w:val="20"/>
              </w:rPr>
            </w:pPr>
          </w:p>
          <w:p>
            <w:pPr>
              <w:pStyle w:val="TableParagraph"/>
              <w:spacing w:line="242" w:lineRule="auto" w:before="170"/>
              <w:ind w:left="107" w:right="200"/>
              <w:jc w:val="both"/>
              <w:rPr>
                <w:sz w:val="21"/>
              </w:rPr>
            </w:pPr>
            <w:r>
              <w:rPr>
                <w:sz w:val="21"/>
              </w:rPr>
              <w:t>水环境质量底线目标</w:t>
            </w:r>
          </w:p>
        </w:tc>
        <w:tc>
          <w:tcPr>
            <w:tcW w:w="3226" w:type="dxa"/>
          </w:tcPr>
          <w:p>
            <w:pPr>
              <w:pStyle w:val="TableParagraph"/>
              <w:spacing w:line="242" w:lineRule="auto" w:before="3"/>
              <w:ind w:left="107" w:right="91"/>
              <w:jc w:val="left"/>
              <w:rPr>
                <w:sz w:val="21"/>
              </w:rPr>
            </w:pPr>
            <w:r>
              <w:rPr>
                <w:spacing w:val="-24"/>
                <w:sz w:val="21"/>
              </w:rPr>
              <w:t>到 </w:t>
            </w:r>
            <w:r>
              <w:rPr>
                <w:rFonts w:ascii="Times New Roman" w:hAnsi="Times New Roman" w:eastAsia="Times New Roman"/>
                <w:sz w:val="21"/>
              </w:rPr>
              <w:t>2020 </w:t>
            </w:r>
            <w:r>
              <w:rPr>
                <w:spacing w:val="-9"/>
                <w:sz w:val="21"/>
              </w:rPr>
              <w:t>年，全市市控及以上断面</w:t>
            </w:r>
            <w:r>
              <w:rPr>
                <w:spacing w:val="-7"/>
                <w:sz w:val="21"/>
              </w:rPr>
              <w:t>功能区水质达标率达到 </w:t>
            </w:r>
            <w:r>
              <w:rPr>
                <w:rFonts w:ascii="Times New Roman" w:hAnsi="Times New Roman" w:eastAsia="Times New Roman"/>
                <w:spacing w:val="-12"/>
                <w:sz w:val="21"/>
              </w:rPr>
              <w:t>100%</w:t>
            </w:r>
            <w:r>
              <w:rPr>
                <w:spacing w:val="-33"/>
                <w:sz w:val="21"/>
              </w:rPr>
              <w:t>，曹</w:t>
            </w:r>
            <w:r>
              <w:rPr>
                <w:spacing w:val="-3"/>
                <w:sz w:val="21"/>
              </w:rPr>
              <w:t>娥江、浦阳江、鉴湖江和绍虞平原主要河流水质达到</w:t>
            </w:r>
            <w:r>
              <w:rPr>
                <w:rFonts w:ascii="Times New Roman" w:hAnsi="Times New Roman" w:eastAsia="Times New Roman"/>
                <w:spacing w:val="-4"/>
                <w:sz w:val="21"/>
              </w:rPr>
              <w:t>Ⅲ</w:t>
            </w:r>
            <w:r>
              <w:rPr>
                <w:spacing w:val="-2"/>
                <w:sz w:val="21"/>
              </w:rPr>
              <w:t>类及以 </w:t>
            </w:r>
            <w:r>
              <w:rPr>
                <w:spacing w:val="-9"/>
                <w:sz w:val="21"/>
              </w:rPr>
              <w:t>上，乡镇</w:t>
            </w:r>
            <w:r>
              <w:rPr>
                <w:spacing w:val="-3"/>
                <w:sz w:val="21"/>
              </w:rPr>
              <w:t>（</w:t>
            </w:r>
            <w:r>
              <w:rPr>
                <w:sz w:val="21"/>
              </w:rPr>
              <w:t>街道</w:t>
            </w:r>
            <w:r>
              <w:rPr>
                <w:spacing w:val="-108"/>
                <w:sz w:val="21"/>
              </w:rPr>
              <w:t>）</w:t>
            </w:r>
            <w:r>
              <w:rPr>
                <w:spacing w:val="-6"/>
                <w:sz w:val="21"/>
              </w:rPr>
              <w:t>、村庄的重要监</w:t>
            </w:r>
            <w:r>
              <w:rPr>
                <w:spacing w:val="-3"/>
                <w:sz w:val="21"/>
              </w:rPr>
              <w:t>测断面高锰酸盐指数、氨氮、总磷三项指标基本达到</w:t>
            </w:r>
            <w:r>
              <w:rPr>
                <w:rFonts w:ascii="Times New Roman" w:hAnsi="Times New Roman" w:eastAsia="Times New Roman"/>
                <w:spacing w:val="-4"/>
                <w:sz w:val="21"/>
              </w:rPr>
              <w:t>Ⅲ</w:t>
            </w:r>
            <w:r>
              <w:rPr>
                <w:spacing w:val="-2"/>
                <w:sz w:val="21"/>
              </w:rPr>
              <w:t>类水；</w:t>
            </w:r>
          </w:p>
          <w:p>
            <w:pPr>
              <w:pStyle w:val="TableParagraph"/>
              <w:spacing w:line="252" w:lineRule="exact" w:before="3"/>
              <w:ind w:left="107"/>
              <w:jc w:val="left"/>
              <w:rPr>
                <w:sz w:val="21"/>
              </w:rPr>
            </w:pPr>
            <w:r>
              <w:rPr>
                <w:sz w:val="21"/>
              </w:rPr>
              <w:t>到 </w:t>
            </w:r>
            <w:r>
              <w:rPr>
                <w:rFonts w:ascii="Times New Roman" w:eastAsia="Times New Roman"/>
                <w:sz w:val="21"/>
              </w:rPr>
              <w:t>2025 </w:t>
            </w:r>
            <w:r>
              <w:rPr>
                <w:sz w:val="21"/>
              </w:rPr>
              <w:t>年，全市市控及以上断面</w:t>
            </w:r>
          </w:p>
        </w:tc>
        <w:tc>
          <w:tcPr>
            <w:tcW w:w="3560" w:type="dxa"/>
          </w:tcPr>
          <w:p>
            <w:pPr>
              <w:pStyle w:val="TableParagraph"/>
              <w:spacing w:line="242" w:lineRule="auto" w:before="3"/>
              <w:ind w:left="107" w:right="94"/>
              <w:jc w:val="left"/>
              <w:rPr>
                <w:sz w:val="21"/>
              </w:rPr>
            </w:pPr>
            <w:r>
              <w:rPr>
                <w:spacing w:val="-25"/>
                <w:sz w:val="21"/>
              </w:rPr>
              <w:t>根据《</w:t>
            </w:r>
            <w:r>
              <w:rPr>
                <w:rFonts w:ascii="Times New Roman" w:hAnsi="Times New Roman" w:eastAsia="Times New Roman"/>
                <w:sz w:val="21"/>
              </w:rPr>
              <w:t>2020 </w:t>
            </w:r>
            <w:r>
              <w:rPr>
                <w:spacing w:val="-4"/>
                <w:sz w:val="21"/>
              </w:rPr>
              <w:t>年绍兴市上虞区环境质量</w:t>
            </w:r>
            <w:r>
              <w:rPr>
                <w:spacing w:val="-36"/>
                <w:sz w:val="21"/>
              </w:rPr>
              <w:t>公报》，</w:t>
            </w:r>
            <w:r>
              <w:rPr>
                <w:rFonts w:ascii="Times New Roman" w:hAnsi="Times New Roman" w:eastAsia="Times New Roman"/>
                <w:spacing w:val="-36"/>
                <w:sz w:val="21"/>
              </w:rPr>
              <w:t>5 </w:t>
            </w:r>
            <w:r>
              <w:rPr>
                <w:spacing w:val="-4"/>
                <w:sz w:val="21"/>
              </w:rPr>
              <w:t>个出入境断面水质类别均为</w:t>
            </w:r>
            <w:r>
              <w:rPr>
                <w:rFonts w:ascii="Times New Roman" w:hAnsi="Times New Roman" w:eastAsia="Times New Roman"/>
                <w:sz w:val="21"/>
              </w:rPr>
              <w:t>I~Ⅲ</w:t>
            </w:r>
            <w:r>
              <w:rPr>
                <w:spacing w:val="-2"/>
                <w:sz w:val="21"/>
              </w:rPr>
              <w:t>类；</w:t>
            </w:r>
            <w:r>
              <w:rPr>
                <w:rFonts w:ascii="Times New Roman" w:hAnsi="Times New Roman" w:eastAsia="Times New Roman"/>
                <w:sz w:val="21"/>
              </w:rPr>
              <w:t>21 </w:t>
            </w:r>
            <w:r>
              <w:rPr>
                <w:spacing w:val="-3"/>
                <w:sz w:val="21"/>
              </w:rPr>
              <w:t>个考核断面水质类别为</w:t>
            </w:r>
            <w:r>
              <w:rPr>
                <w:rFonts w:ascii="Times New Roman" w:hAnsi="Times New Roman" w:eastAsia="Times New Roman"/>
                <w:spacing w:val="-3"/>
                <w:sz w:val="21"/>
              </w:rPr>
              <w:t>I~Ⅲ</w:t>
            </w:r>
            <w:r>
              <w:rPr>
                <w:spacing w:val="-9"/>
                <w:sz w:val="21"/>
              </w:rPr>
              <w:t>类，断面达标率为 </w:t>
            </w:r>
            <w:r>
              <w:rPr>
                <w:rFonts w:ascii="Times New Roman" w:hAnsi="Times New Roman" w:eastAsia="Times New Roman"/>
                <w:sz w:val="21"/>
              </w:rPr>
              <w:t>100%</w:t>
            </w:r>
            <w:r>
              <w:rPr>
                <w:spacing w:val="-2"/>
                <w:sz w:val="21"/>
              </w:rPr>
              <w:t>。曹娥</w:t>
            </w:r>
            <w:r>
              <w:rPr>
                <w:spacing w:val="-7"/>
                <w:sz w:val="21"/>
              </w:rPr>
              <w:t>江水系、姚江支流水质状况为优，绍</w:t>
            </w:r>
            <w:r>
              <w:rPr>
                <w:spacing w:val="-6"/>
                <w:sz w:val="21"/>
              </w:rPr>
              <w:t>虞平原河网水质状况为良好，饮用水源地水质好，各项指标均能达到Ⅰ类</w:t>
            </w:r>
          </w:p>
          <w:p>
            <w:pPr>
              <w:pStyle w:val="TableParagraph"/>
              <w:spacing w:line="252" w:lineRule="exact" w:before="3"/>
              <w:ind w:left="107"/>
              <w:jc w:val="left"/>
              <w:rPr>
                <w:sz w:val="21"/>
              </w:rPr>
            </w:pPr>
            <w:r>
              <w:rPr>
                <w:sz w:val="21"/>
              </w:rPr>
              <w:t>功能区要求。</w:t>
            </w:r>
          </w:p>
        </w:tc>
        <w:tc>
          <w:tcPr>
            <w:tcW w:w="893"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8"/>
              <w:jc w:val="left"/>
              <w:rPr>
                <w:b/>
                <w:sz w:val="14"/>
              </w:rPr>
            </w:pPr>
          </w:p>
          <w:p>
            <w:pPr>
              <w:pStyle w:val="TableParagraph"/>
              <w:ind w:left="79" w:right="75"/>
              <w:rPr>
                <w:sz w:val="21"/>
              </w:rPr>
            </w:pPr>
            <w:r>
              <w:rPr>
                <w:sz w:val="21"/>
              </w:rPr>
              <w:t>符合</w:t>
            </w:r>
          </w:p>
        </w:tc>
      </w:tr>
    </w:tbl>
    <w:p>
      <w:pPr>
        <w:spacing w:after="0"/>
        <w:rPr>
          <w:sz w:val="21"/>
        </w:rPr>
        <w:sectPr>
          <w:pgSz w:w="11910" w:h="16850"/>
          <w:pgMar w:header="730" w:footer="690" w:top="1340" w:bottom="880" w:left="1180" w:right="1180"/>
        </w:sectPr>
      </w:pPr>
    </w:p>
    <w:p>
      <w:pPr>
        <w:pStyle w:val="BodyText"/>
        <w:spacing w:before="1"/>
        <w:rPr>
          <w:b/>
          <w:sz w:val="5"/>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953"/>
        <w:gridCol w:w="3226"/>
        <w:gridCol w:w="3560"/>
        <w:gridCol w:w="893"/>
      </w:tblGrid>
      <w:tr>
        <w:trPr>
          <w:trHeight w:val="544" w:hRule="atLeast"/>
        </w:trPr>
        <w:tc>
          <w:tcPr>
            <w:tcW w:w="658" w:type="dxa"/>
          </w:tcPr>
          <w:p>
            <w:pPr>
              <w:pStyle w:val="TableParagraph"/>
              <w:spacing w:before="138"/>
              <w:ind w:left="98" w:right="89"/>
              <w:rPr>
                <w:sz w:val="21"/>
              </w:rPr>
            </w:pPr>
            <w:r>
              <w:rPr>
                <w:sz w:val="21"/>
              </w:rPr>
              <w:t>序号</w:t>
            </w:r>
          </w:p>
        </w:tc>
        <w:tc>
          <w:tcPr>
            <w:tcW w:w="953" w:type="dxa"/>
          </w:tcPr>
          <w:p>
            <w:pPr>
              <w:pStyle w:val="TableParagraph"/>
              <w:spacing w:before="138"/>
              <w:ind w:left="265"/>
              <w:jc w:val="left"/>
              <w:rPr>
                <w:sz w:val="21"/>
              </w:rPr>
            </w:pPr>
            <w:r>
              <w:rPr>
                <w:sz w:val="21"/>
              </w:rPr>
              <w:t>类型</w:t>
            </w:r>
          </w:p>
        </w:tc>
        <w:tc>
          <w:tcPr>
            <w:tcW w:w="3226" w:type="dxa"/>
          </w:tcPr>
          <w:p>
            <w:pPr>
              <w:pStyle w:val="TableParagraph"/>
              <w:spacing w:before="138"/>
              <w:ind w:left="771"/>
              <w:jc w:val="left"/>
              <w:rPr>
                <w:sz w:val="21"/>
              </w:rPr>
            </w:pPr>
            <w:r>
              <w:rPr>
                <w:sz w:val="21"/>
              </w:rPr>
              <w:t>环境质量底线目标</w:t>
            </w:r>
          </w:p>
        </w:tc>
        <w:tc>
          <w:tcPr>
            <w:tcW w:w="3560" w:type="dxa"/>
          </w:tcPr>
          <w:p>
            <w:pPr>
              <w:pStyle w:val="TableParagraph"/>
              <w:spacing w:before="138"/>
              <w:ind w:left="938"/>
              <w:jc w:val="left"/>
              <w:rPr>
                <w:sz w:val="21"/>
              </w:rPr>
            </w:pPr>
            <w:r>
              <w:rPr>
                <w:sz w:val="21"/>
              </w:rPr>
              <w:t>现状环境质量情况</w:t>
            </w:r>
          </w:p>
        </w:tc>
        <w:tc>
          <w:tcPr>
            <w:tcW w:w="893" w:type="dxa"/>
          </w:tcPr>
          <w:p>
            <w:pPr>
              <w:pStyle w:val="TableParagraph"/>
              <w:spacing w:before="1"/>
              <w:ind w:left="126"/>
              <w:jc w:val="left"/>
              <w:rPr>
                <w:sz w:val="21"/>
              </w:rPr>
            </w:pPr>
            <w:r>
              <w:rPr>
                <w:sz w:val="21"/>
              </w:rPr>
              <w:t>符合性</w:t>
            </w:r>
          </w:p>
          <w:p>
            <w:pPr>
              <w:pStyle w:val="TableParagraph"/>
              <w:spacing w:line="252" w:lineRule="exact" w:before="2"/>
              <w:ind w:left="232"/>
              <w:jc w:val="left"/>
              <w:rPr>
                <w:sz w:val="21"/>
              </w:rPr>
            </w:pPr>
            <w:r>
              <w:rPr>
                <w:sz w:val="21"/>
              </w:rPr>
              <w:t>分析</w:t>
            </w:r>
          </w:p>
        </w:tc>
      </w:tr>
      <w:tr>
        <w:trPr>
          <w:trHeight w:val="2723" w:hRule="atLeast"/>
        </w:trPr>
        <w:tc>
          <w:tcPr>
            <w:tcW w:w="658" w:type="dxa"/>
          </w:tcPr>
          <w:p>
            <w:pPr>
              <w:pStyle w:val="TableParagraph"/>
              <w:jc w:val="left"/>
              <w:rPr>
                <w:rFonts w:ascii="Times New Roman"/>
                <w:sz w:val="22"/>
              </w:rPr>
            </w:pPr>
          </w:p>
        </w:tc>
        <w:tc>
          <w:tcPr>
            <w:tcW w:w="953" w:type="dxa"/>
          </w:tcPr>
          <w:p>
            <w:pPr>
              <w:pStyle w:val="TableParagraph"/>
              <w:jc w:val="left"/>
              <w:rPr>
                <w:rFonts w:ascii="Times New Roman"/>
                <w:sz w:val="22"/>
              </w:rPr>
            </w:pPr>
          </w:p>
        </w:tc>
        <w:tc>
          <w:tcPr>
            <w:tcW w:w="3226" w:type="dxa"/>
          </w:tcPr>
          <w:p>
            <w:pPr>
              <w:pStyle w:val="TableParagraph"/>
              <w:spacing w:line="242" w:lineRule="auto" w:before="1"/>
              <w:ind w:left="107" w:right="91"/>
              <w:jc w:val="left"/>
              <w:rPr>
                <w:sz w:val="21"/>
              </w:rPr>
            </w:pPr>
            <w:r>
              <w:rPr>
                <w:spacing w:val="-3"/>
                <w:sz w:val="21"/>
              </w:rPr>
              <w:t>功能区水质稳定达标，乡镇</w:t>
            </w:r>
            <w:r>
              <w:rPr>
                <w:sz w:val="21"/>
              </w:rPr>
              <w:t>（街道</w:t>
            </w:r>
            <w:r>
              <w:rPr>
                <w:spacing w:val="-106"/>
                <w:sz w:val="21"/>
              </w:rPr>
              <w:t>）</w:t>
            </w:r>
            <w:r>
              <w:rPr>
                <w:spacing w:val="-9"/>
                <w:sz w:val="21"/>
              </w:rPr>
              <w:t>、村庄的重要监测断面高锰酸</w:t>
            </w:r>
            <w:r>
              <w:rPr>
                <w:spacing w:val="-11"/>
                <w:sz w:val="21"/>
              </w:rPr>
              <w:t>盐指数、氨氮、总磷相比 </w:t>
            </w:r>
            <w:r>
              <w:rPr>
                <w:rFonts w:ascii="Times New Roman" w:hAnsi="Times New Roman" w:eastAsia="Times New Roman"/>
                <w:sz w:val="21"/>
              </w:rPr>
              <w:t>2020 </w:t>
            </w:r>
            <w:r>
              <w:rPr>
                <w:spacing w:val="-13"/>
                <w:sz w:val="21"/>
              </w:rPr>
              <w:t>年</w:t>
            </w:r>
            <w:r>
              <w:rPr>
                <w:sz w:val="21"/>
              </w:rPr>
              <w:t>达到</w:t>
            </w:r>
            <w:r>
              <w:rPr>
                <w:rFonts w:ascii="Times New Roman" w:hAnsi="Times New Roman" w:eastAsia="Times New Roman"/>
                <w:spacing w:val="-4"/>
                <w:sz w:val="21"/>
              </w:rPr>
              <w:t>Ⅲ</w:t>
            </w:r>
            <w:r>
              <w:rPr>
                <w:spacing w:val="-3"/>
                <w:sz w:val="21"/>
              </w:rPr>
              <w:t>类水比例有所提升；</w:t>
            </w:r>
          </w:p>
          <w:p>
            <w:pPr>
              <w:pStyle w:val="TableParagraph"/>
              <w:spacing w:line="242" w:lineRule="auto" w:before="2"/>
              <w:ind w:left="107" w:right="92"/>
              <w:jc w:val="left"/>
              <w:rPr>
                <w:sz w:val="21"/>
              </w:rPr>
            </w:pPr>
            <w:r>
              <w:rPr>
                <w:spacing w:val="-24"/>
                <w:sz w:val="21"/>
              </w:rPr>
              <w:t>到 </w:t>
            </w:r>
            <w:r>
              <w:rPr>
                <w:rFonts w:ascii="Times New Roman" w:eastAsia="Times New Roman"/>
                <w:sz w:val="21"/>
              </w:rPr>
              <w:t>2035 </w:t>
            </w:r>
            <w:r>
              <w:rPr>
                <w:spacing w:val="-9"/>
                <w:sz w:val="21"/>
              </w:rPr>
              <w:t>年，实现山水林田湖良性</w:t>
            </w:r>
            <w:r>
              <w:rPr>
                <w:spacing w:val="-3"/>
                <w:sz w:val="21"/>
              </w:rPr>
              <w:t>循环体，全市水环境质量全面改善，水生态系统功能基本恢复。</w:t>
            </w:r>
          </w:p>
        </w:tc>
        <w:tc>
          <w:tcPr>
            <w:tcW w:w="3560" w:type="dxa"/>
          </w:tcPr>
          <w:p>
            <w:pPr>
              <w:pStyle w:val="TableParagraph"/>
              <w:spacing w:before="1"/>
              <w:ind w:left="107"/>
              <w:jc w:val="left"/>
              <w:rPr>
                <w:sz w:val="21"/>
              </w:rPr>
            </w:pPr>
            <w:r>
              <w:rPr>
                <w:sz w:val="21"/>
              </w:rPr>
              <w:t>根据绍兴市上虞区环境监测年鉴</w:t>
            </w:r>
          </w:p>
          <w:p>
            <w:pPr>
              <w:pStyle w:val="TableParagraph"/>
              <w:spacing w:line="242" w:lineRule="auto" w:before="4"/>
              <w:ind w:left="107" w:right="-15"/>
              <w:jc w:val="left"/>
              <w:rPr>
                <w:sz w:val="21"/>
              </w:rPr>
            </w:pPr>
            <w:r>
              <w:rPr>
                <w:w w:val="100"/>
                <w:sz w:val="21"/>
              </w:rPr>
              <w:t>（</w:t>
            </w:r>
            <w:r>
              <w:rPr>
                <w:rFonts w:ascii="Times New Roman" w:eastAsia="Times New Roman"/>
                <w:w w:val="100"/>
                <w:sz w:val="21"/>
              </w:rPr>
              <w:t>20</w:t>
            </w:r>
            <w:r>
              <w:rPr>
                <w:rFonts w:ascii="Times New Roman" w:eastAsia="Times New Roman"/>
                <w:spacing w:val="-3"/>
                <w:w w:val="100"/>
                <w:sz w:val="21"/>
              </w:rPr>
              <w:t>2</w:t>
            </w:r>
            <w:r>
              <w:rPr>
                <w:rFonts w:ascii="Times New Roman" w:eastAsia="Times New Roman"/>
                <w:w w:val="100"/>
                <w:sz w:val="21"/>
              </w:rPr>
              <w:t>0</w:t>
            </w:r>
            <w:r>
              <w:rPr>
                <w:rFonts w:ascii="Times New Roman" w:eastAsia="Times New Roman"/>
                <w:sz w:val="21"/>
              </w:rPr>
              <w:t> </w:t>
            </w:r>
            <w:r>
              <w:rPr>
                <w:spacing w:val="-2"/>
                <w:w w:val="100"/>
                <w:sz w:val="21"/>
              </w:rPr>
              <w:t>年度</w:t>
            </w:r>
            <w:r>
              <w:rPr>
                <w:spacing w:val="-106"/>
                <w:w w:val="100"/>
                <w:sz w:val="21"/>
              </w:rPr>
              <w:t>）</w:t>
            </w:r>
            <w:r>
              <w:rPr>
                <w:spacing w:val="-3"/>
                <w:w w:val="100"/>
                <w:sz w:val="21"/>
              </w:rPr>
              <w:t>，本项目附近地表水东</w:t>
            </w:r>
            <w:r>
              <w:rPr>
                <w:spacing w:val="-12"/>
                <w:sz w:val="21"/>
              </w:rPr>
              <w:t>进河一号桥 </w:t>
            </w:r>
            <w:r>
              <w:rPr>
                <w:rFonts w:ascii="Times New Roman" w:eastAsia="Times New Roman"/>
                <w:sz w:val="21"/>
              </w:rPr>
              <w:t>W1</w:t>
            </w:r>
            <w:r>
              <w:rPr>
                <w:rFonts w:ascii="Times New Roman" w:eastAsia="Times New Roman"/>
                <w:spacing w:val="-4"/>
                <w:sz w:val="21"/>
              </w:rPr>
              <w:t> </w:t>
            </w:r>
            <w:r>
              <w:rPr>
                <w:spacing w:val="-3"/>
                <w:sz w:val="21"/>
              </w:rPr>
              <w:t>监测断面各污染因子</w:t>
            </w:r>
            <w:r>
              <w:rPr>
                <w:rFonts w:ascii="Times New Roman" w:eastAsia="Times New Roman"/>
                <w:spacing w:val="-3"/>
                <w:sz w:val="21"/>
              </w:rPr>
              <w:t>pH</w:t>
            </w:r>
            <w:r>
              <w:rPr>
                <w:spacing w:val="-23"/>
                <w:sz w:val="21"/>
              </w:rPr>
              <w:t>、溶解氧、</w:t>
            </w:r>
            <w:r>
              <w:rPr>
                <w:rFonts w:ascii="Times New Roman" w:eastAsia="Times New Roman"/>
                <w:sz w:val="21"/>
              </w:rPr>
              <w:t>CODcr</w:t>
            </w:r>
            <w:r>
              <w:rPr>
                <w:spacing w:val="-9"/>
                <w:sz w:val="21"/>
              </w:rPr>
              <w:t>、高锰酸盐指数、</w:t>
            </w:r>
            <w:r>
              <w:rPr>
                <w:rFonts w:ascii="Times New Roman" w:eastAsia="Times New Roman"/>
                <w:spacing w:val="-9"/>
                <w:position w:val="2"/>
                <w:sz w:val="21"/>
              </w:rPr>
              <w:t>BOD</w:t>
            </w:r>
            <w:r>
              <w:rPr>
                <w:rFonts w:ascii="Times New Roman" w:eastAsia="Times New Roman"/>
                <w:spacing w:val="-9"/>
                <w:sz w:val="14"/>
              </w:rPr>
              <w:t>5</w:t>
            </w:r>
            <w:r>
              <w:rPr>
                <w:spacing w:val="-4"/>
                <w:position w:val="2"/>
                <w:sz w:val="21"/>
              </w:rPr>
              <w:t>、氨氮、石油类、总磷、挥发</w:t>
            </w:r>
            <w:r>
              <w:rPr>
                <w:spacing w:val="-4"/>
                <w:sz w:val="21"/>
              </w:rPr>
              <w:t> </w:t>
            </w:r>
            <w:r>
              <w:rPr>
                <w:spacing w:val="-3"/>
                <w:sz w:val="21"/>
              </w:rPr>
              <w:t>酚、氟化物、汞、铅、铜、锌、硒、</w:t>
            </w:r>
            <w:r>
              <w:rPr>
                <w:spacing w:val="-5"/>
                <w:sz w:val="21"/>
              </w:rPr>
              <w:t>砷、锡、六价铬、氰化物、阴离子表</w:t>
            </w:r>
            <w:r>
              <w:rPr>
                <w:spacing w:val="-4"/>
                <w:sz w:val="21"/>
              </w:rPr>
              <w:t>面活性剂、硫化物均能满足</w:t>
            </w:r>
          </w:p>
          <w:p>
            <w:pPr>
              <w:pStyle w:val="TableParagraph"/>
              <w:spacing w:line="270" w:lineRule="atLeast" w:before="3"/>
              <w:ind w:left="107" w:right="-15"/>
              <w:jc w:val="left"/>
              <w:rPr>
                <w:sz w:val="21"/>
              </w:rPr>
            </w:pPr>
            <w:r>
              <w:rPr>
                <w:rFonts w:ascii="Times New Roman" w:hAnsi="Times New Roman" w:eastAsia="Times New Roman"/>
                <w:spacing w:val="-7"/>
                <w:sz w:val="21"/>
              </w:rPr>
              <w:t>GB3838-2002</w:t>
            </w:r>
            <w:r>
              <w:rPr>
                <w:spacing w:val="-3"/>
                <w:sz w:val="21"/>
              </w:rPr>
              <w:t>《地表水环境质量标准》中</w:t>
            </w:r>
            <w:r>
              <w:rPr>
                <w:rFonts w:ascii="Times New Roman" w:hAnsi="Times New Roman" w:eastAsia="Times New Roman"/>
                <w:spacing w:val="-3"/>
                <w:sz w:val="21"/>
              </w:rPr>
              <w:t>Ⅲ</w:t>
            </w:r>
            <w:r>
              <w:rPr>
                <w:spacing w:val="-3"/>
                <w:sz w:val="21"/>
              </w:rPr>
              <w:t>类标准的要求。</w:t>
            </w:r>
          </w:p>
        </w:tc>
        <w:tc>
          <w:tcPr>
            <w:tcW w:w="893" w:type="dxa"/>
          </w:tcPr>
          <w:p>
            <w:pPr>
              <w:pStyle w:val="TableParagraph"/>
              <w:jc w:val="left"/>
              <w:rPr>
                <w:rFonts w:ascii="Times New Roman"/>
                <w:sz w:val="22"/>
              </w:rPr>
            </w:pPr>
          </w:p>
        </w:tc>
      </w:tr>
      <w:tr>
        <w:trPr>
          <w:trHeight w:val="3540" w:hRule="atLeast"/>
        </w:trPr>
        <w:tc>
          <w:tcPr>
            <w:tcW w:w="658" w:type="dxa"/>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9"/>
              <w:jc w:val="left"/>
              <w:rPr>
                <w:b/>
                <w:sz w:val="18"/>
              </w:rPr>
            </w:pPr>
          </w:p>
          <w:p>
            <w:pPr>
              <w:pStyle w:val="TableParagraph"/>
              <w:spacing w:before="1"/>
              <w:ind w:left="9"/>
              <w:rPr>
                <w:rFonts w:ascii="Times New Roman"/>
                <w:sz w:val="21"/>
              </w:rPr>
            </w:pPr>
            <w:r>
              <w:rPr>
                <w:rFonts w:ascii="Times New Roman"/>
                <w:w w:val="100"/>
                <w:sz w:val="21"/>
              </w:rPr>
              <w:t>3</w:t>
            </w:r>
          </w:p>
        </w:tc>
        <w:tc>
          <w:tcPr>
            <w:tcW w:w="953"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0"/>
              <w:jc w:val="left"/>
              <w:rPr>
                <w:b/>
                <w:sz w:val="15"/>
              </w:rPr>
            </w:pPr>
          </w:p>
          <w:p>
            <w:pPr>
              <w:pStyle w:val="TableParagraph"/>
              <w:spacing w:line="242" w:lineRule="auto" w:before="1"/>
              <w:ind w:left="160" w:right="147"/>
              <w:jc w:val="both"/>
              <w:rPr>
                <w:sz w:val="21"/>
              </w:rPr>
            </w:pPr>
            <w:r>
              <w:rPr>
                <w:sz w:val="21"/>
              </w:rPr>
              <w:t>土壤环境风险防控底线目标</w:t>
            </w:r>
          </w:p>
        </w:tc>
        <w:tc>
          <w:tcPr>
            <w:tcW w:w="3226" w:type="dxa"/>
          </w:tcPr>
          <w:p>
            <w:pPr>
              <w:pStyle w:val="TableParagraph"/>
              <w:spacing w:line="242" w:lineRule="auto" w:before="1"/>
              <w:ind w:left="107" w:right="92"/>
              <w:jc w:val="left"/>
              <w:rPr>
                <w:sz w:val="21"/>
              </w:rPr>
            </w:pPr>
            <w:r>
              <w:rPr>
                <w:spacing w:val="-24"/>
                <w:sz w:val="21"/>
              </w:rPr>
              <w:t>到 </w:t>
            </w:r>
            <w:r>
              <w:rPr>
                <w:rFonts w:ascii="Times New Roman" w:eastAsia="Times New Roman"/>
                <w:sz w:val="21"/>
              </w:rPr>
              <w:t>2020 </w:t>
            </w:r>
            <w:r>
              <w:rPr>
                <w:spacing w:val="-9"/>
                <w:sz w:val="21"/>
              </w:rPr>
              <w:t>年，全市土壤污染加重趋</w:t>
            </w:r>
            <w:r>
              <w:rPr>
                <w:spacing w:val="-3"/>
                <w:sz w:val="21"/>
              </w:rPr>
              <w:t>势得到初步遏制，农用地和建设用地土壤环境安全得到基本保</w:t>
            </w:r>
          </w:p>
          <w:p>
            <w:pPr>
              <w:pStyle w:val="TableParagraph"/>
              <w:spacing w:line="242" w:lineRule="auto" w:before="1"/>
              <w:ind w:left="107" w:right="-15"/>
              <w:jc w:val="left"/>
              <w:rPr>
                <w:sz w:val="21"/>
              </w:rPr>
            </w:pPr>
            <w:r>
              <w:rPr>
                <w:spacing w:val="-7"/>
                <w:sz w:val="21"/>
              </w:rPr>
              <w:t>障，土壤环境风险得到基本管控， </w:t>
            </w:r>
            <w:r>
              <w:rPr>
                <w:spacing w:val="-5"/>
                <w:sz w:val="21"/>
              </w:rPr>
              <w:t>受污染耕地安全利用率达到</w:t>
            </w:r>
            <w:r>
              <w:rPr>
                <w:rFonts w:ascii="Times New Roman" w:eastAsia="Times New Roman"/>
                <w:w w:val="100"/>
                <w:sz w:val="21"/>
              </w:rPr>
              <w:t>92</w:t>
            </w:r>
            <w:r>
              <w:rPr>
                <w:rFonts w:ascii="Times New Roman" w:eastAsia="Times New Roman"/>
                <w:spacing w:val="-1"/>
                <w:w w:val="100"/>
                <w:sz w:val="21"/>
              </w:rPr>
              <w:t>%</w:t>
            </w:r>
            <w:r>
              <w:rPr>
                <w:spacing w:val="-106"/>
                <w:w w:val="100"/>
                <w:sz w:val="21"/>
              </w:rPr>
              <w:t>，</w:t>
            </w:r>
            <w:r>
              <w:rPr>
                <w:spacing w:val="-3"/>
                <w:w w:val="100"/>
                <w:sz w:val="21"/>
              </w:rPr>
              <w:t>污染地块安全利用率不低于</w:t>
            </w:r>
          </w:p>
          <w:p>
            <w:pPr>
              <w:pStyle w:val="TableParagraph"/>
              <w:spacing w:before="3"/>
              <w:ind w:left="107"/>
              <w:jc w:val="left"/>
              <w:rPr>
                <w:sz w:val="21"/>
              </w:rPr>
            </w:pPr>
            <w:r>
              <w:rPr>
                <w:rFonts w:ascii="Times New Roman" w:eastAsia="Times New Roman"/>
                <w:sz w:val="21"/>
              </w:rPr>
              <w:t>92%</w:t>
            </w:r>
            <w:r>
              <w:rPr>
                <w:sz w:val="21"/>
              </w:rPr>
              <w:t>。</w:t>
            </w:r>
          </w:p>
          <w:p>
            <w:pPr>
              <w:pStyle w:val="TableParagraph"/>
              <w:spacing w:line="242" w:lineRule="auto" w:before="2"/>
              <w:ind w:left="107" w:right="92"/>
              <w:jc w:val="left"/>
              <w:rPr>
                <w:sz w:val="21"/>
              </w:rPr>
            </w:pPr>
            <w:r>
              <w:rPr>
                <w:spacing w:val="-24"/>
                <w:sz w:val="21"/>
              </w:rPr>
              <w:t>到 </w:t>
            </w:r>
            <w:r>
              <w:rPr>
                <w:rFonts w:ascii="Times New Roman" w:eastAsia="Times New Roman"/>
                <w:sz w:val="21"/>
              </w:rPr>
              <w:t>2030 </w:t>
            </w:r>
            <w:r>
              <w:rPr>
                <w:spacing w:val="-9"/>
                <w:sz w:val="21"/>
              </w:rPr>
              <w:t>年，土壤环境质量稳中向</w:t>
            </w:r>
            <w:r>
              <w:rPr>
                <w:spacing w:val="-3"/>
                <w:sz w:val="21"/>
              </w:rPr>
              <w:t>好，建设用地和农用地土壤环境安全得到有效保障，土壤环境风险得到全面管控，受污染耕地安全利用率、污染地块安全利用率</w:t>
            </w:r>
          </w:p>
          <w:p>
            <w:pPr>
              <w:pStyle w:val="TableParagraph"/>
              <w:spacing w:line="250" w:lineRule="exact" w:before="5"/>
              <w:ind w:left="107"/>
              <w:jc w:val="left"/>
              <w:rPr>
                <w:sz w:val="21"/>
              </w:rPr>
            </w:pPr>
            <w:r>
              <w:rPr>
                <w:sz w:val="21"/>
              </w:rPr>
              <w:t>均达到 </w:t>
            </w:r>
            <w:r>
              <w:rPr>
                <w:rFonts w:ascii="Times New Roman" w:eastAsia="Times New Roman"/>
                <w:sz w:val="21"/>
              </w:rPr>
              <w:t>95%</w:t>
            </w:r>
            <w:r>
              <w:rPr>
                <w:sz w:val="21"/>
              </w:rPr>
              <w:t>以上。</w:t>
            </w:r>
          </w:p>
        </w:tc>
        <w:tc>
          <w:tcPr>
            <w:tcW w:w="3560" w:type="dxa"/>
          </w:tcPr>
          <w:p>
            <w:pPr>
              <w:pStyle w:val="TableParagraph"/>
              <w:jc w:val="left"/>
              <w:rPr>
                <w:b/>
                <w:sz w:val="22"/>
              </w:rPr>
            </w:pPr>
          </w:p>
          <w:p>
            <w:pPr>
              <w:pStyle w:val="TableParagraph"/>
              <w:spacing w:before="4"/>
              <w:jc w:val="left"/>
              <w:rPr>
                <w:b/>
                <w:sz w:val="31"/>
              </w:rPr>
            </w:pPr>
          </w:p>
          <w:p>
            <w:pPr>
              <w:pStyle w:val="TableParagraph"/>
              <w:spacing w:line="242" w:lineRule="auto"/>
              <w:ind w:left="107" w:right="94"/>
              <w:jc w:val="both"/>
              <w:rPr>
                <w:sz w:val="21"/>
              </w:rPr>
            </w:pPr>
            <w:r>
              <w:rPr>
                <w:spacing w:val="-15"/>
                <w:sz w:val="21"/>
              </w:rPr>
              <w:t>企业于 </w:t>
            </w:r>
            <w:r>
              <w:rPr>
                <w:rFonts w:ascii="Times New Roman" w:eastAsia="Times New Roman"/>
                <w:sz w:val="21"/>
              </w:rPr>
              <w:t>2022 </w:t>
            </w:r>
            <w:r>
              <w:rPr>
                <w:spacing w:val="-28"/>
                <w:sz w:val="21"/>
              </w:rPr>
              <w:t>年 </w:t>
            </w:r>
            <w:r>
              <w:rPr>
                <w:rFonts w:ascii="Times New Roman" w:eastAsia="Times New Roman"/>
                <w:sz w:val="21"/>
              </w:rPr>
              <w:t>2 </w:t>
            </w:r>
            <w:r>
              <w:rPr>
                <w:spacing w:val="-27"/>
                <w:sz w:val="21"/>
              </w:rPr>
              <w:t>月 </w:t>
            </w:r>
            <w:r>
              <w:rPr>
                <w:rFonts w:ascii="Times New Roman" w:eastAsia="Times New Roman"/>
                <w:sz w:val="21"/>
              </w:rPr>
              <w:t>22 </w:t>
            </w:r>
            <w:r>
              <w:rPr>
                <w:spacing w:val="-5"/>
                <w:sz w:val="21"/>
              </w:rPr>
              <w:t>日委托第三方</w:t>
            </w:r>
            <w:r>
              <w:rPr>
                <w:spacing w:val="10"/>
                <w:sz w:val="21"/>
              </w:rPr>
              <w:t>检测公司对项目所在地上壤环境现</w:t>
            </w:r>
            <w:r>
              <w:rPr>
                <w:spacing w:val="-8"/>
                <w:sz w:val="21"/>
              </w:rPr>
              <w:t>状进行了实地监测，共检测 </w:t>
            </w:r>
            <w:r>
              <w:rPr>
                <w:rFonts w:ascii="Times New Roman" w:eastAsia="Times New Roman"/>
                <w:sz w:val="21"/>
              </w:rPr>
              <w:t>6 </w:t>
            </w:r>
            <w:r>
              <w:rPr>
                <w:spacing w:val="-6"/>
                <w:sz w:val="21"/>
              </w:rPr>
              <w:t>个监测</w:t>
            </w:r>
          </w:p>
          <w:p>
            <w:pPr>
              <w:pStyle w:val="TableParagraph"/>
              <w:spacing w:line="242" w:lineRule="auto" w:before="1"/>
              <w:ind w:left="107" w:right="94"/>
              <w:jc w:val="both"/>
              <w:rPr>
                <w:sz w:val="21"/>
              </w:rPr>
            </w:pPr>
            <w:r>
              <w:rPr>
                <w:spacing w:val="-1"/>
                <w:sz w:val="21"/>
              </w:rPr>
              <w:t>点 </w:t>
            </w:r>
            <w:r>
              <w:rPr>
                <w:rFonts w:ascii="Times New Roman" w:eastAsia="Times New Roman"/>
                <w:sz w:val="21"/>
              </w:rPr>
              <w:t>45 </w:t>
            </w:r>
            <w:r>
              <w:rPr>
                <w:spacing w:val="-4"/>
                <w:sz w:val="21"/>
              </w:rPr>
              <w:t>个因子。根据土壤现状监测结</w:t>
            </w:r>
            <w:r>
              <w:rPr>
                <w:spacing w:val="-6"/>
                <w:sz w:val="21"/>
              </w:rPr>
              <w:t>果，并对照《土壤环境质量建设用地</w:t>
            </w:r>
            <w:r>
              <w:rPr>
                <w:spacing w:val="-3"/>
                <w:sz w:val="21"/>
              </w:rPr>
              <w:t>土壤污染风险管控标准》</w:t>
            </w:r>
          </w:p>
          <w:p>
            <w:pPr>
              <w:pStyle w:val="TableParagraph"/>
              <w:spacing w:line="242" w:lineRule="auto" w:before="3"/>
              <w:ind w:left="107" w:right="99"/>
              <w:jc w:val="left"/>
              <w:rPr>
                <w:sz w:val="21"/>
              </w:rPr>
            </w:pPr>
            <w:r>
              <w:rPr>
                <w:rFonts w:ascii="Times New Roman" w:eastAsia="Times New Roman"/>
                <w:sz w:val="21"/>
              </w:rPr>
              <w:t>(GB36600-2018)</w:t>
            </w:r>
            <w:r>
              <w:rPr>
                <w:sz w:val="21"/>
              </w:rPr>
              <w:t>，拟建项目土壤监测点各项指标均符合相应标准要求。</w:t>
            </w:r>
          </w:p>
        </w:tc>
        <w:tc>
          <w:tcPr>
            <w:tcW w:w="893"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8"/>
              <w:jc w:val="left"/>
              <w:rPr>
                <w:b/>
                <w:sz w:val="27"/>
              </w:rPr>
            </w:pPr>
          </w:p>
          <w:p>
            <w:pPr>
              <w:pStyle w:val="TableParagraph"/>
              <w:spacing w:before="1"/>
              <w:ind w:left="232"/>
              <w:jc w:val="left"/>
              <w:rPr>
                <w:sz w:val="21"/>
              </w:rPr>
            </w:pPr>
            <w:r>
              <w:rPr>
                <w:sz w:val="21"/>
              </w:rPr>
              <w:t>符合</w:t>
            </w:r>
          </w:p>
        </w:tc>
      </w:tr>
    </w:tbl>
    <w:p>
      <w:pPr>
        <w:pStyle w:val="BodyText"/>
        <w:spacing w:line="364" w:lineRule="auto" w:before="3"/>
        <w:ind w:left="238" w:right="184" w:firstLine="480"/>
        <w:jc w:val="both"/>
      </w:pPr>
      <w:r>
        <w:rPr>
          <w:spacing w:val="-1"/>
        </w:rPr>
        <w:t>根据分析，本次项目实施后废水经收集后进入厂区污水处理设施处理达标后纳管， </w:t>
      </w:r>
      <w:r>
        <w:rPr>
          <w:spacing w:val="-3"/>
        </w:rPr>
        <w:t>不排入地表水和地下水环境，不会对水环境质量底线造成影响；所排放的各类废气经过</w:t>
      </w:r>
      <w:r>
        <w:rPr>
          <w:spacing w:val="-7"/>
        </w:rPr>
        <w:t>收集处理后达标排放，根据预测，废气外排对周围环境空气造成的影响较小，不会突破</w:t>
      </w:r>
      <w:r>
        <w:rPr>
          <w:spacing w:val="-10"/>
        </w:rPr>
        <w:t>环境空气质量底线；所排放的污染物对土壤环境的影响较小。项目实施后周围声环境可满足功能区要求。</w:t>
      </w:r>
    </w:p>
    <w:p>
      <w:pPr>
        <w:pStyle w:val="Heading4"/>
        <w:spacing w:line="306" w:lineRule="exact"/>
        <w:ind w:left="721"/>
      </w:pPr>
      <w:r>
        <w:rPr/>
        <w:t>本项目排放的污染物不会对区域环境质量底线造成冲击。</w:t>
      </w:r>
    </w:p>
    <w:p>
      <w:pPr>
        <w:pStyle w:val="ListParagraph"/>
        <w:numPr>
          <w:ilvl w:val="3"/>
          <w:numId w:val="5"/>
        </w:numPr>
        <w:tabs>
          <w:tab w:pos="1000" w:val="left" w:leader="none"/>
        </w:tabs>
        <w:spacing w:line="240" w:lineRule="auto" w:before="160" w:after="0"/>
        <w:ind w:left="999" w:right="0" w:hanging="282"/>
        <w:jc w:val="left"/>
        <w:rPr>
          <w:sz w:val="24"/>
        </w:rPr>
      </w:pPr>
      <w:r>
        <w:rPr>
          <w:sz w:val="24"/>
        </w:rPr>
        <w:t>资源利用上线</w:t>
      </w:r>
    </w:p>
    <w:p>
      <w:pPr>
        <w:pStyle w:val="BodyText"/>
        <w:spacing w:line="364" w:lineRule="auto" w:before="159"/>
        <w:ind w:left="238" w:right="113" w:firstLine="480"/>
      </w:pPr>
      <w:r>
        <w:rPr>
          <w:spacing w:val="-10"/>
        </w:rPr>
        <w:t>本项目用水来自工业区供水管网，其他能源主要为电、蒸汽，均通过相应管网接入。</w:t>
      </w:r>
      <w:r>
        <w:rPr>
          <w:spacing w:val="-4"/>
        </w:rPr>
        <w:t>本项目建成运行后通过内部管理、设备选择、原辅材料的选用和管理、污染治理等多方</w:t>
      </w:r>
      <w:r>
        <w:rPr>
          <w:spacing w:val="-5"/>
        </w:rPr>
        <w:t>面采取合理可行的防治措施，以</w:t>
      </w:r>
      <w:r>
        <w:rPr>
          <w:rFonts w:ascii="Times New Roman" w:hAnsi="Times New Roman" w:eastAsia="Times New Roman"/>
        </w:rPr>
        <w:t>“</w:t>
      </w:r>
      <w:r>
        <w:rPr>
          <w:spacing w:val="-3"/>
        </w:rPr>
        <w:t>节能、降耗、减污</w:t>
      </w:r>
      <w:r>
        <w:rPr>
          <w:rFonts w:ascii="Times New Roman" w:hAnsi="Times New Roman" w:eastAsia="Times New Roman"/>
        </w:rPr>
        <w:t>”</w:t>
      </w:r>
      <w:r>
        <w:rPr>
          <w:spacing w:val="-3"/>
        </w:rPr>
        <w:t>为目标，有效地控制污染。项目实施后在原辅材料单耗、能耗、水、气等资源利用等方面不会突破区域的资源利用上线。</w:t>
      </w:r>
    </w:p>
    <w:p>
      <w:pPr>
        <w:pStyle w:val="ListParagraph"/>
        <w:numPr>
          <w:ilvl w:val="3"/>
          <w:numId w:val="5"/>
        </w:numPr>
        <w:tabs>
          <w:tab w:pos="1000" w:val="left" w:leader="none"/>
        </w:tabs>
        <w:spacing w:line="306" w:lineRule="exact" w:before="0" w:after="0"/>
        <w:ind w:left="999" w:right="0" w:hanging="282"/>
        <w:jc w:val="left"/>
        <w:rPr>
          <w:sz w:val="24"/>
        </w:rPr>
      </w:pPr>
      <w:r>
        <w:rPr>
          <w:sz w:val="24"/>
        </w:rPr>
        <w:t>环境准入负面清单</w:t>
      </w:r>
    </w:p>
    <w:p>
      <w:pPr>
        <w:pStyle w:val="BodyText"/>
        <w:spacing w:line="364" w:lineRule="auto" w:before="160"/>
        <w:ind w:left="238" w:right="124" w:firstLine="480"/>
      </w:pPr>
      <w:r>
        <w:rPr/>
        <w:t>根据《绍兴市</w:t>
      </w:r>
      <w:r>
        <w:rPr>
          <w:rFonts w:ascii="Times New Roman" w:hAnsi="Times New Roman" w:eastAsia="Times New Roman"/>
          <w:spacing w:val="3"/>
        </w:rPr>
        <w:t>“</w:t>
      </w:r>
      <w:r>
        <w:rPr>
          <w:spacing w:val="1"/>
        </w:rPr>
        <w:t>三线一单</w:t>
      </w:r>
      <w:r>
        <w:rPr>
          <w:rFonts w:ascii="Times New Roman" w:hAnsi="Times New Roman" w:eastAsia="Times New Roman"/>
        </w:rPr>
        <w:t>”</w:t>
      </w:r>
      <w:r>
        <w:rPr>
          <w:spacing w:val="-11"/>
        </w:rPr>
        <w:t>生态环境分区管控方案》，本项目所在地属于杭州湾上虞经济技术开发区产业集聚类重点管控单元。根据《</w:t>
      </w:r>
      <w:r>
        <w:rPr>
          <w:rFonts w:ascii="Times New Roman" w:hAnsi="Times New Roman" w:eastAsia="Times New Roman"/>
          <w:spacing w:val="-11"/>
        </w:rPr>
        <w:t>2020 </w:t>
      </w:r>
      <w:r>
        <w:rPr>
          <w:spacing w:val="-12"/>
        </w:rPr>
        <w:t>年绍兴市上虞区环境质量公报》</w:t>
      </w:r>
      <w:r>
        <w:rPr>
          <w:spacing w:val="-3"/>
        </w:rPr>
        <w:t>及环境质量现状监测数据，上虞区属于环境空气质量达标区；上虞区主要地表水系及项</w:t>
      </w:r>
    </w:p>
    <w:p>
      <w:pPr>
        <w:spacing w:after="0" w:line="364" w:lineRule="auto"/>
        <w:sectPr>
          <w:pgSz w:w="11910" w:h="16850"/>
          <w:pgMar w:header="730" w:footer="690" w:top="1340" w:bottom="880" w:left="1180" w:right="1180"/>
        </w:sectPr>
      </w:pPr>
    </w:p>
    <w:p>
      <w:pPr>
        <w:pStyle w:val="BodyText"/>
        <w:spacing w:line="364" w:lineRule="auto" w:before="68"/>
        <w:ind w:left="238" w:right="232"/>
        <w:jc w:val="both"/>
      </w:pPr>
      <w:r>
        <w:rPr>
          <w:spacing w:val="-2"/>
        </w:rPr>
        <w:t>目附近地表水均能满足功能区要求。本项目新增的 </w:t>
      </w:r>
      <w:r>
        <w:rPr>
          <w:rFonts w:ascii="Times New Roman" w:eastAsia="Times New Roman"/>
        </w:rPr>
        <w:t>CODcr</w:t>
      </w:r>
      <w:r>
        <w:rPr/>
        <w:t>、氨氮、</w:t>
      </w:r>
      <w:r>
        <w:rPr>
          <w:rFonts w:ascii="Times New Roman" w:eastAsia="Times New Roman"/>
        </w:rPr>
        <w:t>VOCs</w:t>
      </w:r>
      <w:r>
        <w:rPr>
          <w:spacing w:val="-3"/>
        </w:rPr>
        <w:t>、工业烟粉尘总量控制指标按比例通过排污权交易或区域平衡解决，不增加区域污染物排放量，符合</w:t>
      </w:r>
      <w:r>
        <w:rPr/>
        <w:t>绍兴市生态环境准入清单的总体准入清单要求。</w:t>
      </w:r>
    </w:p>
    <w:p>
      <w:pPr>
        <w:pStyle w:val="BodyText"/>
        <w:spacing w:line="364" w:lineRule="auto"/>
        <w:ind w:left="238" w:right="232" w:firstLine="480"/>
        <w:jc w:val="both"/>
      </w:pPr>
      <w:r>
        <w:rPr>
          <w:spacing w:val="-9"/>
        </w:rPr>
        <w:t>根据《杭州湾上虞经济技术开发区产业提升区及配套区控制性详细规划环境影响报</w:t>
      </w:r>
      <w:r>
        <w:rPr>
          <w:spacing w:val="-8"/>
        </w:rPr>
        <w:t>告书》，对照规划环评结论性清单，项目符合生态空间清单各项管控要求，未列入环境</w:t>
      </w:r>
      <w:r>
        <w:rPr/>
        <w:t>准入条件清单中禁止和限制的工艺清单和产品清单。</w:t>
      </w:r>
    </w:p>
    <w:p>
      <w:pPr>
        <w:pStyle w:val="BodyText"/>
        <w:spacing w:line="307" w:lineRule="exact"/>
        <w:ind w:left="718"/>
      </w:pPr>
      <w:r>
        <w:rPr/>
        <w:t>据此，可判定项目未列入相关的负面清单。</w:t>
      </w:r>
    </w:p>
    <w:p>
      <w:pPr>
        <w:pStyle w:val="Heading4"/>
        <w:numPr>
          <w:ilvl w:val="2"/>
          <w:numId w:val="5"/>
        </w:numPr>
        <w:tabs>
          <w:tab w:pos="779" w:val="left" w:leader="none"/>
        </w:tabs>
        <w:spacing w:line="240" w:lineRule="auto" w:before="158" w:after="0"/>
        <w:ind w:left="778" w:right="0" w:hanging="541"/>
        <w:jc w:val="left"/>
      </w:pPr>
      <w:r>
        <w:rPr/>
        <w:t>大气环境防护距离判定</w:t>
      </w:r>
    </w:p>
    <w:p>
      <w:pPr>
        <w:pStyle w:val="BodyText"/>
        <w:spacing w:before="159"/>
        <w:ind w:left="718"/>
      </w:pPr>
      <w:r>
        <w:rPr/>
        <w:t>根据分析，本项目无需设置大气环境防护距离。</w:t>
      </w:r>
    </w:p>
    <w:p>
      <w:pPr>
        <w:pStyle w:val="Heading4"/>
        <w:numPr>
          <w:ilvl w:val="2"/>
          <w:numId w:val="5"/>
        </w:numPr>
        <w:tabs>
          <w:tab w:pos="779" w:val="left" w:leader="none"/>
        </w:tabs>
        <w:spacing w:line="240" w:lineRule="auto" w:before="160" w:after="0"/>
        <w:ind w:left="778" w:right="0" w:hanging="541"/>
        <w:jc w:val="left"/>
      </w:pPr>
      <w:r>
        <w:rPr/>
        <w:t>评价类型及审批部门判定</w:t>
      </w:r>
    </w:p>
    <w:p>
      <w:pPr>
        <w:pStyle w:val="BodyText"/>
        <w:spacing w:line="364" w:lineRule="auto" w:before="158"/>
        <w:ind w:left="238" w:right="232" w:firstLine="480"/>
      </w:pPr>
      <w:r>
        <w:rPr/>
        <w:t>根据《建设项目环境影响评价分类管理名录（</w:t>
      </w:r>
      <w:r>
        <w:rPr>
          <w:rFonts w:ascii="Times New Roman" w:eastAsia="Times New Roman"/>
        </w:rPr>
        <w:t>2021 </w:t>
      </w:r>
      <w:r>
        <w:rPr/>
        <w:t>年版</w:t>
      </w:r>
      <w:r>
        <w:rPr>
          <w:spacing w:val="-120"/>
        </w:rPr>
        <w:t>）</w:t>
      </w:r>
      <w:r>
        <w:rPr>
          <w:spacing w:val="-2"/>
        </w:rPr>
        <w:t>》的有关规定判定本项目</w:t>
      </w:r>
      <w:r>
        <w:rPr/>
        <w:t>评价类型。</w:t>
      </w:r>
    </w:p>
    <w:p>
      <w:pPr>
        <w:pStyle w:val="BodyText"/>
        <w:tabs>
          <w:tab w:pos="2984" w:val="left" w:leader="none"/>
        </w:tabs>
        <w:spacing w:before="141" w:after="28"/>
        <w:ind w:left="1765"/>
      </w:pPr>
      <w:r>
        <w:rPr/>
        <w:t>表</w:t>
      </w:r>
      <w:r>
        <w:rPr>
          <w:spacing w:val="-61"/>
        </w:rPr>
        <w:t> </w:t>
      </w:r>
      <w:r>
        <w:rPr>
          <w:rFonts w:ascii="Times New Roman" w:eastAsia="Times New Roman"/>
        </w:rPr>
        <w:t>1.3.6-1</w:t>
        <w:tab/>
      </w:r>
      <w:r>
        <w:rPr/>
        <w:t>《建设项目环境影响评价分类管理名录》节选</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4112"/>
        <w:gridCol w:w="1702"/>
        <w:gridCol w:w="1702"/>
        <w:gridCol w:w="900"/>
      </w:tblGrid>
      <w:tr>
        <w:trPr>
          <w:trHeight w:val="340" w:hRule="atLeast"/>
        </w:trPr>
        <w:tc>
          <w:tcPr>
            <w:tcW w:w="4928" w:type="dxa"/>
            <w:gridSpan w:val="2"/>
          </w:tcPr>
          <w:p>
            <w:pPr>
              <w:pStyle w:val="TableParagraph"/>
              <w:spacing w:before="34"/>
              <w:ind w:left="2234" w:right="2223"/>
              <w:rPr>
                <w:sz w:val="21"/>
              </w:rPr>
            </w:pPr>
            <w:r>
              <w:rPr>
                <w:sz w:val="21"/>
              </w:rPr>
              <w:t>类别</w:t>
            </w:r>
          </w:p>
        </w:tc>
        <w:tc>
          <w:tcPr>
            <w:tcW w:w="1702" w:type="dxa"/>
          </w:tcPr>
          <w:p>
            <w:pPr>
              <w:pStyle w:val="TableParagraph"/>
              <w:spacing w:before="34"/>
              <w:ind w:left="535"/>
              <w:jc w:val="left"/>
              <w:rPr>
                <w:sz w:val="21"/>
              </w:rPr>
            </w:pPr>
            <w:r>
              <w:rPr>
                <w:sz w:val="21"/>
              </w:rPr>
              <w:t>报告书</w:t>
            </w:r>
          </w:p>
        </w:tc>
        <w:tc>
          <w:tcPr>
            <w:tcW w:w="1702" w:type="dxa"/>
          </w:tcPr>
          <w:p>
            <w:pPr>
              <w:pStyle w:val="TableParagraph"/>
              <w:spacing w:before="34"/>
              <w:ind w:left="534"/>
              <w:jc w:val="left"/>
              <w:rPr>
                <w:sz w:val="21"/>
              </w:rPr>
            </w:pPr>
            <w:r>
              <w:rPr>
                <w:sz w:val="21"/>
              </w:rPr>
              <w:t>报告表</w:t>
            </w:r>
          </w:p>
        </w:tc>
        <w:tc>
          <w:tcPr>
            <w:tcW w:w="900" w:type="dxa"/>
          </w:tcPr>
          <w:p>
            <w:pPr>
              <w:pStyle w:val="TableParagraph"/>
              <w:spacing w:before="34"/>
              <w:ind w:left="115" w:right="104"/>
              <w:rPr>
                <w:sz w:val="21"/>
              </w:rPr>
            </w:pPr>
            <w:r>
              <w:rPr>
                <w:sz w:val="21"/>
              </w:rPr>
              <w:t>登记表</w:t>
            </w:r>
          </w:p>
        </w:tc>
      </w:tr>
      <w:tr>
        <w:trPr>
          <w:trHeight w:val="340" w:hRule="atLeast"/>
        </w:trPr>
        <w:tc>
          <w:tcPr>
            <w:tcW w:w="9232" w:type="dxa"/>
            <w:gridSpan w:val="5"/>
          </w:tcPr>
          <w:p>
            <w:pPr>
              <w:pStyle w:val="TableParagraph"/>
              <w:spacing w:before="34"/>
              <w:ind w:left="107"/>
              <w:jc w:val="left"/>
              <w:rPr>
                <w:rFonts w:ascii="Times New Roman" w:eastAsia="Times New Roman"/>
                <w:sz w:val="21"/>
              </w:rPr>
            </w:pPr>
            <w:r>
              <w:rPr>
                <w:sz w:val="21"/>
              </w:rPr>
              <w:t>二十三、化学原料和化学制品制造业 </w:t>
            </w:r>
            <w:r>
              <w:rPr>
                <w:rFonts w:ascii="Times New Roman" w:eastAsia="Times New Roman"/>
                <w:sz w:val="21"/>
              </w:rPr>
              <w:t>26</w:t>
            </w:r>
          </w:p>
        </w:tc>
      </w:tr>
      <w:tr>
        <w:trPr>
          <w:trHeight w:val="1363" w:hRule="atLeast"/>
        </w:trPr>
        <w:tc>
          <w:tcPr>
            <w:tcW w:w="816" w:type="dxa"/>
          </w:tcPr>
          <w:p>
            <w:pPr>
              <w:pStyle w:val="TableParagraph"/>
              <w:jc w:val="left"/>
              <w:rPr>
                <w:sz w:val="22"/>
              </w:rPr>
            </w:pPr>
          </w:p>
          <w:p>
            <w:pPr>
              <w:pStyle w:val="TableParagraph"/>
              <w:spacing w:before="9"/>
              <w:jc w:val="left"/>
              <w:rPr>
                <w:sz w:val="21"/>
              </w:rPr>
            </w:pPr>
          </w:p>
          <w:p>
            <w:pPr>
              <w:pStyle w:val="TableParagraph"/>
              <w:ind w:left="282" w:right="273"/>
              <w:rPr>
                <w:rFonts w:ascii="Times New Roman"/>
                <w:sz w:val="21"/>
              </w:rPr>
            </w:pPr>
            <w:r>
              <w:rPr>
                <w:rFonts w:ascii="Times New Roman"/>
                <w:sz w:val="21"/>
              </w:rPr>
              <w:t>44</w:t>
            </w:r>
          </w:p>
        </w:tc>
        <w:tc>
          <w:tcPr>
            <w:tcW w:w="4112" w:type="dxa"/>
          </w:tcPr>
          <w:p>
            <w:pPr>
              <w:pStyle w:val="TableParagraph"/>
              <w:spacing w:line="242" w:lineRule="auto" w:before="137"/>
              <w:ind w:left="138" w:right="96" w:hanging="29"/>
              <w:jc w:val="both"/>
              <w:rPr>
                <w:rFonts w:ascii="Times New Roman" w:eastAsia="Times New Roman"/>
                <w:sz w:val="21"/>
              </w:rPr>
            </w:pPr>
            <w:r>
              <w:rPr>
                <w:spacing w:val="-8"/>
                <w:sz w:val="21"/>
              </w:rPr>
              <w:t>基础化学原料制造 </w:t>
            </w:r>
            <w:r>
              <w:rPr>
                <w:rFonts w:ascii="Times New Roman" w:eastAsia="Times New Roman"/>
                <w:sz w:val="21"/>
              </w:rPr>
              <w:t>261</w:t>
            </w:r>
            <w:r>
              <w:rPr>
                <w:sz w:val="21"/>
              </w:rPr>
              <w:t>；</w:t>
            </w:r>
            <w:r>
              <w:rPr>
                <w:b/>
                <w:spacing w:val="-10"/>
                <w:sz w:val="21"/>
              </w:rPr>
              <w:t>农药制造 </w:t>
            </w:r>
            <w:r>
              <w:rPr>
                <w:rFonts w:ascii="Times New Roman" w:eastAsia="Times New Roman"/>
                <w:b/>
                <w:sz w:val="21"/>
              </w:rPr>
              <w:t>263</w:t>
            </w:r>
            <w:r>
              <w:rPr>
                <w:spacing w:val="-6"/>
                <w:sz w:val="21"/>
              </w:rPr>
              <w:t>；涂</w:t>
            </w:r>
            <w:r>
              <w:rPr>
                <w:spacing w:val="-3"/>
                <w:sz w:val="21"/>
              </w:rPr>
              <w:t>料、染料、颜料、油墨及其类似产品制造</w:t>
            </w:r>
            <w:r>
              <w:rPr>
                <w:rFonts w:ascii="Times New Roman" w:eastAsia="Times New Roman"/>
                <w:spacing w:val="-3"/>
                <w:sz w:val="21"/>
              </w:rPr>
              <w:t>264</w:t>
            </w:r>
            <w:r>
              <w:rPr>
                <w:spacing w:val="-9"/>
                <w:sz w:val="21"/>
              </w:rPr>
              <w:t>；合成材料制造 </w:t>
            </w:r>
            <w:r>
              <w:rPr>
                <w:rFonts w:ascii="Times New Roman" w:eastAsia="Times New Roman"/>
                <w:sz w:val="21"/>
              </w:rPr>
              <w:t>265</w:t>
            </w:r>
            <w:r>
              <w:rPr>
                <w:spacing w:val="-2"/>
                <w:sz w:val="21"/>
              </w:rPr>
              <w:t>；专用化学产品制</w:t>
            </w:r>
            <w:r>
              <w:rPr>
                <w:spacing w:val="-26"/>
                <w:sz w:val="21"/>
              </w:rPr>
              <w:t>造 </w:t>
            </w:r>
            <w:r>
              <w:rPr>
                <w:rFonts w:ascii="Times New Roman" w:eastAsia="Times New Roman"/>
                <w:sz w:val="21"/>
              </w:rPr>
              <w:t>266</w:t>
            </w:r>
            <w:r>
              <w:rPr>
                <w:spacing w:val="-7"/>
                <w:sz w:val="21"/>
              </w:rPr>
              <w:t>；炸药、火工及焰火产品制造 </w:t>
            </w:r>
            <w:r>
              <w:rPr>
                <w:rFonts w:ascii="Times New Roman" w:eastAsia="Times New Roman"/>
                <w:sz w:val="21"/>
              </w:rPr>
              <w:t>267</w:t>
            </w:r>
          </w:p>
        </w:tc>
        <w:tc>
          <w:tcPr>
            <w:tcW w:w="1702" w:type="dxa"/>
          </w:tcPr>
          <w:p>
            <w:pPr>
              <w:pStyle w:val="TableParagraph"/>
              <w:spacing w:line="242" w:lineRule="auto" w:before="1"/>
              <w:ind w:left="114" w:right="101"/>
              <w:jc w:val="both"/>
              <w:rPr>
                <w:sz w:val="21"/>
              </w:rPr>
            </w:pPr>
            <w:r>
              <w:rPr>
                <w:sz w:val="21"/>
              </w:rPr>
              <w:t>全部（含研发中试；不含单纯物理分离、物理提纯、混合、分装</w:t>
            </w:r>
          </w:p>
          <w:p>
            <w:pPr>
              <w:pStyle w:val="TableParagraph"/>
              <w:spacing w:line="252" w:lineRule="exact" w:before="3"/>
              <w:ind w:left="11"/>
              <w:rPr>
                <w:sz w:val="21"/>
              </w:rPr>
            </w:pPr>
            <w:r>
              <w:rPr>
                <w:sz w:val="21"/>
              </w:rPr>
              <w:t>的）</w:t>
            </w:r>
          </w:p>
        </w:tc>
        <w:tc>
          <w:tcPr>
            <w:tcW w:w="1702" w:type="dxa"/>
          </w:tcPr>
          <w:p>
            <w:pPr>
              <w:pStyle w:val="TableParagraph"/>
              <w:spacing w:line="242" w:lineRule="auto" w:before="1"/>
              <w:ind w:left="107" w:right="-15" w:firstLine="7"/>
              <w:jc w:val="left"/>
              <w:rPr>
                <w:sz w:val="21"/>
              </w:rPr>
            </w:pPr>
            <w:r>
              <w:rPr>
                <w:spacing w:val="-2"/>
                <w:sz w:val="21"/>
              </w:rPr>
              <w:t>单纯物理分离、</w:t>
            </w:r>
            <w:r>
              <w:rPr>
                <w:spacing w:val="-16"/>
                <w:sz w:val="21"/>
              </w:rPr>
              <w:t>物理提纯、混合、</w:t>
            </w:r>
            <w:r>
              <w:rPr>
                <w:spacing w:val="-1"/>
                <w:sz w:val="21"/>
              </w:rPr>
              <w:t>分装的</w:t>
            </w:r>
            <w:r>
              <w:rPr>
                <w:sz w:val="21"/>
              </w:rPr>
              <w:t>（</w:t>
            </w:r>
            <w:r>
              <w:rPr>
                <w:spacing w:val="-2"/>
                <w:sz w:val="21"/>
              </w:rPr>
              <w:t>不产生</w:t>
            </w:r>
            <w:r>
              <w:rPr>
                <w:spacing w:val="-3"/>
                <w:sz w:val="21"/>
              </w:rPr>
              <w:t>废水或挥发性有</w:t>
            </w:r>
          </w:p>
          <w:p>
            <w:pPr>
              <w:pStyle w:val="TableParagraph"/>
              <w:spacing w:line="252" w:lineRule="exact" w:before="3"/>
              <w:ind w:left="220"/>
              <w:jc w:val="left"/>
              <w:rPr>
                <w:sz w:val="21"/>
              </w:rPr>
            </w:pPr>
            <w:r>
              <w:rPr>
                <w:sz w:val="21"/>
              </w:rPr>
              <w:t>机物的除外）</w:t>
            </w:r>
          </w:p>
        </w:tc>
        <w:tc>
          <w:tcPr>
            <w:tcW w:w="900" w:type="dxa"/>
          </w:tcPr>
          <w:p>
            <w:pPr>
              <w:pStyle w:val="TableParagraph"/>
              <w:jc w:val="left"/>
              <w:rPr>
                <w:sz w:val="22"/>
              </w:rPr>
            </w:pPr>
          </w:p>
          <w:p>
            <w:pPr>
              <w:pStyle w:val="TableParagraph"/>
              <w:spacing w:before="9"/>
              <w:jc w:val="left"/>
              <w:rPr>
                <w:sz w:val="21"/>
              </w:rPr>
            </w:pPr>
          </w:p>
          <w:p>
            <w:pPr>
              <w:pStyle w:val="TableParagraph"/>
              <w:ind w:left="8"/>
              <w:rPr>
                <w:rFonts w:ascii="Times New Roman"/>
                <w:sz w:val="21"/>
              </w:rPr>
            </w:pPr>
            <w:r>
              <w:rPr>
                <w:rFonts w:ascii="Times New Roman"/>
                <w:w w:val="100"/>
                <w:sz w:val="21"/>
              </w:rPr>
              <w:t>/</w:t>
            </w:r>
          </w:p>
        </w:tc>
      </w:tr>
    </w:tbl>
    <w:p>
      <w:pPr>
        <w:pStyle w:val="BodyText"/>
        <w:spacing w:line="364" w:lineRule="auto" w:before="2"/>
        <w:ind w:left="238" w:right="232" w:firstLine="480"/>
        <w:jc w:val="both"/>
      </w:pPr>
      <w:r>
        <w:rPr>
          <w:spacing w:val="-3"/>
        </w:rPr>
        <w:t>本项目为农药制造，对照《国民经济行业分类》</w:t>
      </w:r>
      <w:r>
        <w:rPr>
          <w:rFonts w:ascii="Times New Roman" w:hAnsi="Times New Roman" w:eastAsia="Times New Roman"/>
        </w:rPr>
        <w:t>(GB/T4754-2017)</w:t>
      </w:r>
      <w:r>
        <w:rPr/>
        <w:t>，项目属于</w:t>
      </w:r>
      <w:r>
        <w:rPr>
          <w:rFonts w:ascii="Times New Roman" w:hAnsi="Times New Roman" w:eastAsia="Times New Roman"/>
          <w:spacing w:val="-4"/>
        </w:rPr>
        <w:t>“C263 </w:t>
      </w:r>
      <w:r>
        <w:rPr/>
        <w:t>农药制造</w:t>
      </w:r>
      <w:r>
        <w:rPr>
          <w:rFonts w:ascii="Times New Roman" w:hAnsi="Times New Roman" w:eastAsia="Times New Roman"/>
        </w:rPr>
        <w:t>”</w:t>
      </w:r>
      <w:r>
        <w:rPr>
          <w:spacing w:val="-6"/>
        </w:rPr>
        <w:t>；对照《建设项目环境影响评价分类管理名录》，项目属于</w:t>
      </w:r>
      <w:r>
        <w:rPr>
          <w:rFonts w:ascii="Times New Roman" w:hAnsi="Times New Roman" w:eastAsia="Times New Roman"/>
        </w:rPr>
        <w:t>“</w:t>
      </w:r>
      <w:r>
        <w:rPr/>
        <w:t>二十三、化学原</w:t>
      </w:r>
      <w:r>
        <w:rPr>
          <w:spacing w:val="-1"/>
        </w:rPr>
        <w:t>料和化学制品制造业 </w:t>
      </w:r>
      <w:r>
        <w:rPr>
          <w:rFonts w:ascii="Times New Roman" w:hAnsi="Times New Roman" w:eastAsia="Times New Roman"/>
        </w:rPr>
        <w:t>26”</w:t>
      </w:r>
      <w:r>
        <w:rPr/>
        <w:t>中</w:t>
      </w:r>
      <w:r>
        <w:rPr>
          <w:rFonts w:ascii="Times New Roman" w:hAnsi="Times New Roman" w:eastAsia="Times New Roman"/>
        </w:rPr>
        <w:t>“</w:t>
      </w:r>
      <w:r>
        <w:rPr>
          <w:spacing w:val="-1"/>
        </w:rPr>
        <w:t>农药制造 </w:t>
      </w:r>
      <w:r>
        <w:rPr>
          <w:rFonts w:ascii="Times New Roman" w:hAnsi="Times New Roman" w:eastAsia="Times New Roman"/>
        </w:rPr>
        <w:t>263”</w:t>
      </w:r>
      <w:r>
        <w:rPr>
          <w:spacing w:val="-1"/>
        </w:rPr>
        <w:t>类别，属不含单纯物理分离、物理提纯、混</w:t>
      </w:r>
      <w:r>
        <w:rPr/>
        <w:t>合、分装的项目，因此需编制环境影响报告书。</w:t>
      </w:r>
    </w:p>
    <w:p>
      <w:pPr>
        <w:spacing w:line="364" w:lineRule="auto" w:before="0"/>
        <w:ind w:left="238" w:right="232" w:firstLine="482"/>
        <w:jc w:val="left"/>
        <w:rPr>
          <w:b/>
          <w:sz w:val="24"/>
        </w:rPr>
      </w:pPr>
      <w:r>
        <w:rPr>
          <w:b/>
          <w:spacing w:val="-15"/>
          <w:sz w:val="24"/>
        </w:rPr>
        <w:t>项目为农药制造，位于杭州湾上虞经济技术开发区，已依法进行规划环评。</w:t>
      </w:r>
      <w:r>
        <w:rPr>
          <w:spacing w:val="-25"/>
          <w:sz w:val="24"/>
        </w:rPr>
        <w:t>根据《生</w:t>
      </w:r>
      <w:r>
        <w:rPr>
          <w:sz w:val="24"/>
        </w:rPr>
        <w:t>态环境部审批环境影响评价文件的建设项目目录（</w:t>
      </w:r>
      <w:r>
        <w:rPr>
          <w:rFonts w:ascii="Times New Roman" w:eastAsia="Times New Roman"/>
          <w:sz w:val="24"/>
        </w:rPr>
        <w:t>2019</w:t>
      </w:r>
      <w:r>
        <w:rPr>
          <w:rFonts w:ascii="Times New Roman" w:eastAsia="Times New Roman"/>
          <w:spacing w:val="2"/>
          <w:sz w:val="24"/>
        </w:rPr>
        <w:t> </w:t>
      </w:r>
      <w:r>
        <w:rPr>
          <w:sz w:val="24"/>
        </w:rPr>
        <w:t>年本</w:t>
      </w:r>
      <w:r>
        <w:rPr>
          <w:spacing w:val="-120"/>
          <w:sz w:val="24"/>
        </w:rPr>
        <w:t>）》</w:t>
      </w:r>
      <w:r>
        <w:rPr>
          <w:sz w:val="24"/>
        </w:rPr>
        <w:t>（</w:t>
      </w:r>
      <w:r>
        <w:rPr>
          <w:spacing w:val="-20"/>
          <w:sz w:val="24"/>
        </w:rPr>
        <w:t>公告 </w:t>
      </w:r>
      <w:r>
        <w:rPr>
          <w:rFonts w:ascii="Times New Roman" w:eastAsia="Times New Roman"/>
          <w:sz w:val="24"/>
        </w:rPr>
        <w:t>2019</w:t>
      </w:r>
      <w:r>
        <w:rPr>
          <w:rFonts w:ascii="Times New Roman" w:eastAsia="Times New Roman"/>
          <w:spacing w:val="3"/>
          <w:sz w:val="24"/>
        </w:rPr>
        <w:t> </w:t>
      </w:r>
      <w:r>
        <w:rPr>
          <w:spacing w:val="-20"/>
          <w:sz w:val="24"/>
        </w:rPr>
        <w:t>年第 </w:t>
      </w:r>
      <w:r>
        <w:rPr>
          <w:rFonts w:ascii="Times New Roman" w:eastAsia="Times New Roman"/>
          <w:sz w:val="24"/>
        </w:rPr>
        <w:t>8</w:t>
      </w:r>
      <w:r>
        <w:rPr>
          <w:rFonts w:ascii="Times New Roman" w:eastAsia="Times New Roman"/>
          <w:spacing w:val="2"/>
          <w:sz w:val="24"/>
        </w:rPr>
        <w:t> </w:t>
      </w:r>
      <w:r>
        <w:rPr>
          <w:sz w:val="24"/>
        </w:rPr>
        <w:t>号</w:t>
      </w:r>
      <w:r>
        <w:rPr>
          <w:spacing w:val="-15"/>
          <w:sz w:val="24"/>
        </w:rPr>
        <w:t>） </w:t>
      </w:r>
      <w:r>
        <w:rPr>
          <w:sz w:val="24"/>
        </w:rPr>
        <w:t>和《浙江省生态环境厅关于发布</w:t>
      </w:r>
      <w:r>
        <w:rPr>
          <w:rFonts w:ascii="Times New Roman" w:eastAsia="Times New Roman"/>
          <w:sz w:val="24"/>
        </w:rPr>
        <w:t>&lt;</w:t>
      </w:r>
      <w:r>
        <w:rPr>
          <w:sz w:val="24"/>
        </w:rPr>
        <w:t>省生态环境主管部门负责审批环境影响评价文件的建</w:t>
      </w:r>
      <w:r>
        <w:rPr>
          <w:spacing w:val="-1"/>
          <w:sz w:val="24"/>
        </w:rPr>
        <w:t>设项目清单</w:t>
      </w:r>
      <w:r>
        <w:rPr>
          <w:sz w:val="24"/>
        </w:rPr>
        <w:t>（</w:t>
      </w:r>
      <w:r>
        <w:rPr>
          <w:rFonts w:ascii="Times New Roman" w:eastAsia="Times New Roman"/>
          <w:sz w:val="24"/>
        </w:rPr>
        <w:t>2019</w:t>
      </w:r>
      <w:r>
        <w:rPr>
          <w:rFonts w:ascii="Times New Roman" w:eastAsia="Times New Roman"/>
          <w:spacing w:val="-2"/>
          <w:sz w:val="24"/>
        </w:rPr>
        <w:t> </w:t>
      </w:r>
      <w:r>
        <w:rPr>
          <w:sz w:val="24"/>
        </w:rPr>
        <w:t>年本</w:t>
      </w:r>
      <w:r>
        <w:rPr>
          <w:spacing w:val="-5"/>
          <w:sz w:val="24"/>
        </w:rPr>
        <w:t>）</w:t>
      </w:r>
      <w:r>
        <w:rPr>
          <w:spacing w:val="-2"/>
          <w:sz w:val="24"/>
        </w:rPr>
        <w:t>的通知》</w:t>
      </w:r>
      <w:r>
        <w:rPr>
          <w:rFonts w:ascii="Times New Roman" w:eastAsia="Times New Roman"/>
          <w:sz w:val="24"/>
        </w:rPr>
        <w:t>(</w:t>
      </w:r>
      <w:r>
        <w:rPr>
          <w:sz w:val="24"/>
        </w:rPr>
        <w:t>浙环发</w:t>
      </w:r>
      <w:r>
        <w:rPr>
          <w:rFonts w:ascii="Times New Roman" w:eastAsia="Times New Roman"/>
          <w:sz w:val="24"/>
        </w:rPr>
        <w:t>[2019]22</w:t>
      </w:r>
      <w:r>
        <w:rPr>
          <w:rFonts w:ascii="Times New Roman" w:eastAsia="Times New Roman"/>
          <w:spacing w:val="-3"/>
          <w:sz w:val="24"/>
        </w:rPr>
        <w:t> </w:t>
      </w:r>
      <w:r>
        <w:rPr>
          <w:sz w:val="24"/>
        </w:rPr>
        <w:t>号</w:t>
      </w:r>
      <w:r>
        <w:rPr>
          <w:rFonts w:ascii="Times New Roman" w:eastAsia="Times New Roman"/>
          <w:sz w:val="24"/>
        </w:rPr>
        <w:t>)</w:t>
      </w:r>
      <w:r>
        <w:rPr>
          <w:spacing w:val="-1"/>
          <w:sz w:val="24"/>
        </w:rPr>
        <w:t>等文件规定，</w:t>
      </w:r>
      <w:r>
        <w:rPr>
          <w:b/>
          <w:sz w:val="24"/>
        </w:rPr>
        <w:t>项目列入由设区市环境保护行政主管部门负责审批目录</w:t>
      </w:r>
      <w:r>
        <w:rPr>
          <w:spacing w:val="-10"/>
          <w:sz w:val="24"/>
        </w:rPr>
        <w:t>。根据《绍兴市生态环境局关于授权各分局办理部</w:t>
      </w:r>
      <w:r>
        <w:rPr>
          <w:spacing w:val="-2"/>
          <w:sz w:val="24"/>
        </w:rPr>
        <w:t>分行政许可事项的通知》</w:t>
      </w:r>
      <w:r>
        <w:rPr>
          <w:sz w:val="24"/>
        </w:rPr>
        <w:t>（绍市环发</w:t>
      </w:r>
      <w:r>
        <w:rPr>
          <w:rFonts w:ascii="Times New Roman" w:eastAsia="Times New Roman"/>
          <w:sz w:val="24"/>
        </w:rPr>
        <w:t>[2020]10 </w:t>
      </w:r>
      <w:r>
        <w:rPr>
          <w:sz w:val="24"/>
        </w:rPr>
        <w:t>号</w:t>
      </w:r>
      <w:r>
        <w:rPr>
          <w:spacing w:val="-8"/>
          <w:sz w:val="24"/>
        </w:rPr>
        <w:t>）</w:t>
      </w:r>
      <w:r>
        <w:rPr>
          <w:spacing w:val="-3"/>
          <w:sz w:val="24"/>
        </w:rPr>
        <w:t>等文件精神，本次项目属于市局直接</w:t>
      </w:r>
      <w:r>
        <w:rPr>
          <w:sz w:val="24"/>
        </w:rPr>
        <w:t>审批的建设项目环境影响评价文件清单，</w:t>
      </w:r>
      <w:r>
        <w:rPr>
          <w:b/>
          <w:sz w:val="24"/>
        </w:rPr>
        <w:t>因此本项目审批部门为绍兴市生态环境局</w:t>
      </w:r>
      <w:r>
        <w:rPr>
          <w:sz w:val="24"/>
        </w:rPr>
        <w:t>。</w:t>
      </w:r>
      <w:r>
        <w:rPr>
          <w:rFonts w:ascii="Times New Roman" w:eastAsia="Times New Roman"/>
          <w:b/>
          <w:sz w:val="24"/>
        </w:rPr>
        <w:t>1.3.7</w:t>
      </w:r>
      <w:r>
        <w:rPr>
          <w:b/>
          <w:sz w:val="24"/>
        </w:rPr>
        <w:t>《长江经济带发展负面清单（试行，</w:t>
      </w:r>
      <w:r>
        <w:rPr>
          <w:rFonts w:ascii="Times New Roman" w:eastAsia="Times New Roman"/>
          <w:b/>
          <w:sz w:val="24"/>
        </w:rPr>
        <w:t>2022</w:t>
      </w:r>
      <w:r>
        <w:rPr>
          <w:rFonts w:ascii="Times New Roman" w:eastAsia="Times New Roman"/>
          <w:b/>
          <w:spacing w:val="-1"/>
          <w:sz w:val="24"/>
        </w:rPr>
        <w:t> </w:t>
      </w:r>
      <w:r>
        <w:rPr>
          <w:b/>
          <w:sz w:val="24"/>
        </w:rPr>
        <w:t>年版）浙江省实施细则》符合性分析</w:t>
      </w:r>
    </w:p>
    <w:p>
      <w:pPr>
        <w:spacing w:after="0" w:line="364" w:lineRule="auto"/>
        <w:jc w:val="left"/>
        <w:rPr>
          <w:sz w:val="24"/>
        </w:rPr>
        <w:sectPr>
          <w:pgSz w:w="11910" w:h="16850"/>
          <w:pgMar w:header="730" w:footer="690" w:top="1340" w:bottom="880" w:left="1180" w:right="1180"/>
        </w:sectPr>
      </w:pPr>
    </w:p>
    <w:p>
      <w:pPr>
        <w:pStyle w:val="BodyText"/>
        <w:spacing w:line="364" w:lineRule="auto" w:before="68"/>
        <w:ind w:left="238" w:right="184" w:firstLine="480"/>
        <w:jc w:val="both"/>
      </w:pPr>
      <w:r>
        <w:rPr/>
        <w:t>根据《长江经济带发展负面清单指南（试行，</w:t>
      </w:r>
      <w:r>
        <w:rPr>
          <w:rFonts w:ascii="Times New Roman" w:hAnsi="Times New Roman" w:eastAsia="Times New Roman"/>
        </w:rPr>
        <w:t>2022 </w:t>
      </w:r>
      <w:r>
        <w:rPr/>
        <w:t>年版）</w:t>
      </w:r>
      <w:r>
        <w:rPr>
          <w:spacing w:val="-12"/>
        </w:rPr>
        <w:t>浙江省实施细则》，项目</w:t>
      </w:r>
      <w:r>
        <w:rPr>
          <w:spacing w:val="-15"/>
        </w:rPr>
        <w:t>所在地位于杭州湾上虞经济技术开发区，属于《浙江省长江经济带合规园区清单》国务院批准设立的开发区，属于已有化工园区内，不属于码头港口建设项目，项目所在地不</w:t>
      </w:r>
      <w:r>
        <w:rPr>
          <w:spacing w:val="-13"/>
        </w:rPr>
        <w:t>位于自然保护区核心区、缓冲区、风景名胜核心景区、森林公园、地址公园、海洋特别</w:t>
      </w:r>
      <w:r>
        <w:rPr>
          <w:spacing w:val="-20"/>
        </w:rPr>
        <w:t>保护区、饮用水水源保护区和准保护区、湿地公园等各保护区范围内。报告也对照了《环</w:t>
      </w:r>
      <w:r>
        <w:rPr>
          <w:spacing w:val="-21"/>
        </w:rPr>
        <w:t>境保护综合目录</w:t>
      </w:r>
      <w:r>
        <w:rPr/>
        <w:t>（</w:t>
      </w:r>
      <w:r>
        <w:rPr>
          <w:rFonts w:ascii="Times New Roman" w:hAnsi="Times New Roman" w:eastAsia="Times New Roman"/>
        </w:rPr>
        <w:t>2021 </w:t>
      </w:r>
      <w:r>
        <w:rPr/>
        <w:t>年版</w:t>
      </w:r>
      <w:r>
        <w:rPr>
          <w:spacing w:val="-120"/>
        </w:rPr>
        <w:t>）</w:t>
      </w:r>
      <w:r>
        <w:rPr>
          <w:spacing w:val="-16"/>
        </w:rPr>
        <w:t>》，本项目所有产品均不属于“高污染型、高环境风险”产</w:t>
      </w:r>
      <w:r>
        <w:rPr>
          <w:spacing w:val="-11"/>
        </w:rPr>
        <w:t>品名录，本项目不属于产能过剩行业和淘汰落后产能，本项目通过节能分析，单位工业</w:t>
      </w:r>
      <w:r>
        <w:rPr>
          <w:spacing w:val="-12"/>
        </w:rPr>
        <w:t>增加值能耗低于浙江省万元工业增加值综合能耗控制目标，且设置较为完善的“三废” </w:t>
      </w:r>
      <w:r>
        <w:rPr>
          <w:spacing w:val="-5"/>
        </w:rPr>
        <w:t>污染物治理措施，符合高耗能、高排放相关文件的要求，所以项目建设符合《长江经济带发展负面清单指南（试行，</w:t>
      </w:r>
      <w:r>
        <w:rPr>
          <w:rFonts w:ascii="Times New Roman" w:hAnsi="Times New Roman" w:eastAsia="Times New Roman"/>
          <w:spacing w:val="-5"/>
        </w:rPr>
        <w:t>2022 </w:t>
      </w:r>
      <w:r>
        <w:rPr>
          <w:spacing w:val="-5"/>
        </w:rPr>
        <w:t>年版）浙江省实施细则》要求。</w:t>
      </w:r>
    </w:p>
    <w:p>
      <w:pPr>
        <w:spacing w:line="364" w:lineRule="auto" w:before="0"/>
        <w:ind w:left="718" w:right="177" w:hanging="480"/>
        <w:jc w:val="left"/>
        <w:rPr>
          <w:sz w:val="24"/>
        </w:rPr>
      </w:pPr>
      <w:r>
        <w:rPr>
          <w:rFonts w:ascii="Times New Roman" w:eastAsia="Times New Roman"/>
          <w:b/>
          <w:sz w:val="24"/>
        </w:rPr>
        <w:t>1.3.8</w:t>
      </w:r>
      <w:r>
        <w:rPr>
          <w:b/>
          <w:sz w:val="24"/>
        </w:rPr>
        <w:t>《关于加强高耗能、高排放建设项目生态环境源头防控的指导意见》符合性分析</w:t>
      </w:r>
      <w:r>
        <w:rPr>
          <w:sz w:val="24"/>
        </w:rPr>
        <w:t>根据《关于加强高耗能、高排放建设项目生态环境源头防控的指导意见》，项目从</w:t>
      </w:r>
    </w:p>
    <w:p>
      <w:pPr>
        <w:pStyle w:val="BodyText"/>
        <w:spacing w:line="364" w:lineRule="auto"/>
        <w:ind w:left="238" w:right="232"/>
        <w:jc w:val="both"/>
      </w:pPr>
      <w:r>
        <w:rPr>
          <w:spacing w:val="-7"/>
        </w:rPr>
        <w:t>事农药生产，属于两高项目，项目建设符合生态环境保护法律法规和相关法定规划，满</w:t>
      </w:r>
      <w:r>
        <w:rPr>
          <w:spacing w:val="-5"/>
        </w:rPr>
        <w:t>足重点污染物排放总量控制、碳排放达峰目标、生态环境准入清单、相关规划环评和环</w:t>
      </w:r>
      <w:r>
        <w:rPr>
          <w:spacing w:val="4"/>
        </w:rPr>
        <w:t>评文件审批原则要求。项目新增总量控制指标按照比例通过排污权交易或区域调剂解</w:t>
      </w:r>
      <w:r>
        <w:rPr>
          <w:spacing w:val="-1"/>
        </w:rPr>
        <w:t>决。项目能评已通过备案</w:t>
      </w:r>
      <w:r>
        <w:rPr/>
        <w:t>（</w:t>
      </w:r>
      <w:r>
        <w:rPr>
          <w:b/>
          <w:spacing w:val="1"/>
          <w:w w:val="99"/>
          <w:u w:val="single"/>
        </w:rPr>
        <w:t>附加</w:t>
      </w:r>
      <w:r>
        <w:rPr>
          <w:b/>
          <w:spacing w:val="1"/>
          <w:u w:val="single"/>
        </w:rPr>
        <w:t> </w:t>
      </w:r>
      <w:r>
        <w:rPr>
          <w:rFonts w:ascii="Times New Roman" w:eastAsia="Times New Roman"/>
          <w:b/>
          <w:u w:val="single"/>
        </w:rPr>
        <w:t>8</w:t>
      </w:r>
      <w:r>
        <w:rPr>
          <w:spacing w:val="-120"/>
        </w:rPr>
        <w:t>）</w:t>
      </w:r>
      <w:r>
        <w:rPr>
          <w:spacing w:val="-5"/>
        </w:rPr>
        <w:t>，达产总用能控制在 </w:t>
      </w:r>
      <w:r>
        <w:rPr>
          <w:rFonts w:ascii="Times New Roman" w:eastAsia="Times New Roman"/>
        </w:rPr>
        <w:t>898.85 </w:t>
      </w:r>
      <w:r>
        <w:rPr>
          <w:spacing w:val="-2"/>
        </w:rPr>
        <w:t>吨标准煤</w:t>
      </w:r>
      <w:r>
        <w:rPr/>
        <w:t>（等价值）</w:t>
      </w:r>
      <w:r>
        <w:rPr>
          <w:spacing w:val="-13"/>
        </w:rPr>
        <w:t>以</w:t>
      </w:r>
      <w:r>
        <w:rPr>
          <w:spacing w:val="-10"/>
        </w:rPr>
        <w:t>内，单位工业增加值能耗控制在 </w:t>
      </w:r>
      <w:r>
        <w:rPr>
          <w:rFonts w:ascii="Times New Roman" w:eastAsia="Times New Roman"/>
        </w:rPr>
        <w:t>0.396 </w:t>
      </w:r>
      <w:r>
        <w:rPr/>
        <w:t>吨标煤</w:t>
      </w:r>
      <w:r>
        <w:rPr>
          <w:rFonts w:ascii="Times New Roman" w:eastAsia="Times New Roman"/>
        </w:rPr>
        <w:t>/</w:t>
      </w:r>
      <w:r>
        <w:rPr>
          <w:spacing w:val="-6"/>
        </w:rPr>
        <w:t>万元以内，低于浙江省万元工业增加值综</w:t>
      </w:r>
      <w:r>
        <w:rPr>
          <w:spacing w:val="1"/>
        </w:rPr>
        <w:t>合能耗控制目标 </w:t>
      </w:r>
      <w:r>
        <w:rPr>
          <w:rFonts w:ascii="Times New Roman" w:eastAsia="Times New Roman"/>
        </w:rPr>
        <w:t>0.52tce/</w:t>
      </w:r>
      <w:r>
        <w:rPr/>
        <w:t>万元，总能耗较小，所以项目建设符合《关于加强高耗能、高排放建设项目生态环境源头防控的指导意见》要求。</w:t>
      </w:r>
    </w:p>
    <w:p>
      <w:pPr>
        <w:pStyle w:val="Heading3"/>
        <w:numPr>
          <w:ilvl w:val="1"/>
          <w:numId w:val="5"/>
        </w:numPr>
        <w:tabs>
          <w:tab w:pos="659" w:val="left" w:leader="none"/>
        </w:tabs>
        <w:spacing w:line="357" w:lineRule="exact" w:before="0" w:after="0"/>
        <w:ind w:left="658" w:right="0" w:hanging="421"/>
        <w:jc w:val="left"/>
      </w:pPr>
      <w:bookmarkStart w:name="_bookmark4" w:id="9"/>
      <w:bookmarkEnd w:id="9"/>
      <w:r>
        <w:rPr>
          <w:b w:val="0"/>
        </w:rPr>
      </w:r>
      <w:bookmarkStart w:name="_bookmark4" w:id="10"/>
      <w:bookmarkEnd w:id="10"/>
      <w:r>
        <w:rPr/>
        <w:t>评价工作程序</w:t>
      </w:r>
    </w:p>
    <w:p>
      <w:pPr>
        <w:pStyle w:val="BodyText"/>
        <w:spacing w:line="362" w:lineRule="auto" w:before="179"/>
        <w:ind w:left="238" w:right="173" w:firstLine="480"/>
      </w:pPr>
      <w:r>
        <w:rPr/>
        <w:t>环境影响评价工作一般分为三个阶段，即前期准备、调研和工作方案阶段，分析论证和预测评价阶段，环境影响评价文件编制阶段，具体流程见下图。</w:t>
      </w:r>
    </w:p>
    <w:p>
      <w:pPr>
        <w:spacing w:after="0" w:line="362" w:lineRule="auto"/>
        <w:sectPr>
          <w:pgSz w:w="11910" w:h="16850"/>
          <w:pgMar w:header="730" w:footer="690" w:top="1340" w:bottom="880" w:left="1180" w:right="1180"/>
        </w:sectPr>
      </w:pPr>
    </w:p>
    <w:p>
      <w:pPr>
        <w:pStyle w:val="BodyText"/>
        <w:spacing w:before="7"/>
        <w:rPr>
          <w:sz w:val="15"/>
        </w:rPr>
      </w:pPr>
    </w:p>
    <w:p>
      <w:pPr>
        <w:pStyle w:val="BodyText"/>
        <w:ind w:left="1017"/>
        <w:rPr>
          <w:sz w:val="20"/>
        </w:rPr>
      </w:pPr>
      <w:r>
        <w:rPr>
          <w:sz w:val="20"/>
        </w:rPr>
        <w:drawing>
          <wp:inline distT="0" distB="0" distL="0" distR="0">
            <wp:extent cx="4787184" cy="4582572"/>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11" cstate="print"/>
                    <a:stretch>
                      <a:fillRect/>
                    </a:stretch>
                  </pic:blipFill>
                  <pic:spPr>
                    <a:xfrm>
                      <a:off x="0" y="0"/>
                      <a:ext cx="4787184" cy="4582572"/>
                    </a:xfrm>
                    <a:prstGeom prst="rect">
                      <a:avLst/>
                    </a:prstGeom>
                  </pic:spPr>
                </pic:pic>
              </a:graphicData>
            </a:graphic>
          </wp:inline>
        </w:drawing>
      </w:r>
      <w:r>
        <w:rPr>
          <w:sz w:val="20"/>
        </w:rPr>
      </w:r>
    </w:p>
    <w:p>
      <w:pPr>
        <w:pStyle w:val="BodyText"/>
        <w:spacing w:before="4"/>
        <w:rPr>
          <w:sz w:val="12"/>
        </w:rPr>
      </w:pPr>
    </w:p>
    <w:p>
      <w:pPr>
        <w:pStyle w:val="BodyText"/>
        <w:tabs>
          <w:tab w:pos="4153" w:val="left" w:leader="none"/>
        </w:tabs>
        <w:spacing w:before="74"/>
        <w:ind w:left="3114"/>
      </w:pPr>
      <w:r>
        <w:rPr/>
        <w:t>图</w:t>
      </w:r>
      <w:r>
        <w:rPr>
          <w:spacing w:val="-61"/>
        </w:rPr>
        <w:t> </w:t>
      </w:r>
      <w:r>
        <w:rPr>
          <w:rFonts w:ascii="Times New Roman" w:eastAsia="Times New Roman"/>
        </w:rPr>
        <w:t>1.4-1</w:t>
        <w:tab/>
      </w:r>
      <w:r>
        <w:rPr/>
        <w:t>环境影响评价的工作过程</w:t>
      </w:r>
    </w:p>
    <w:p>
      <w:pPr>
        <w:pStyle w:val="Heading3"/>
        <w:numPr>
          <w:ilvl w:val="1"/>
          <w:numId w:val="5"/>
        </w:numPr>
        <w:tabs>
          <w:tab w:pos="659" w:val="left" w:leader="none"/>
        </w:tabs>
        <w:spacing w:line="240" w:lineRule="auto" w:before="161" w:after="0"/>
        <w:ind w:left="658" w:right="0" w:hanging="421"/>
        <w:jc w:val="left"/>
      </w:pPr>
      <w:bookmarkStart w:name="_bookmark5" w:id="11"/>
      <w:bookmarkEnd w:id="11"/>
      <w:r>
        <w:rPr>
          <w:b w:val="0"/>
        </w:rPr>
      </w:r>
      <w:bookmarkStart w:name="_bookmark5" w:id="12"/>
      <w:bookmarkEnd w:id="12"/>
      <w:r>
        <w:rPr/>
        <w:t>项目关注的主要环境问题</w:t>
      </w:r>
    </w:p>
    <w:p>
      <w:pPr>
        <w:pStyle w:val="BodyText"/>
        <w:spacing w:line="362" w:lineRule="auto" w:before="186"/>
        <w:ind w:left="238" w:right="226" w:firstLine="480"/>
      </w:pPr>
      <w:r>
        <w:rPr>
          <w:rFonts w:ascii="Times New Roman" w:eastAsia="Times New Roman"/>
        </w:rPr>
        <w:t>1</w:t>
      </w:r>
      <w:r>
        <w:rPr/>
        <w:t>、项目产生的废气如何进行有效收集、处理，确保在达标排放的前提下尽量少的排放，重点关注外排废气对周围环境的影响。</w:t>
      </w:r>
    </w:p>
    <w:p>
      <w:pPr>
        <w:pStyle w:val="BodyText"/>
        <w:spacing w:line="364" w:lineRule="auto" w:before="5"/>
        <w:ind w:left="238" w:right="229" w:firstLine="480"/>
      </w:pPr>
      <w:r>
        <w:rPr>
          <w:rFonts w:ascii="Times New Roman" w:eastAsia="Times New Roman"/>
        </w:rPr>
        <w:t>2</w:t>
      </w:r>
      <w:r>
        <w:rPr/>
        <w:t>、项目产生的废水经有效预处理后收集进入厂区污水处理设施处理后纳管，分析项目实施后达标排放的可行性和对上虞污水处理厂以及最终纳污水体的水环境影响。</w:t>
      </w:r>
    </w:p>
    <w:p>
      <w:pPr>
        <w:pStyle w:val="BodyText"/>
        <w:spacing w:line="364" w:lineRule="auto"/>
        <w:ind w:left="238" w:right="227" w:firstLine="480"/>
      </w:pPr>
      <w:r>
        <w:rPr>
          <w:rFonts w:ascii="Times New Roman" w:eastAsia="Times New Roman"/>
        </w:rPr>
        <w:t>3</w:t>
      </w:r>
      <w:r>
        <w:rPr/>
        <w:t>、项目产生的固废主要为危险废物。重点关注危险废物的暂存和处置，确保不对周围环境造成影响。</w:t>
      </w:r>
    </w:p>
    <w:p>
      <w:pPr>
        <w:pStyle w:val="BodyText"/>
        <w:spacing w:line="307" w:lineRule="exact"/>
        <w:ind w:left="718"/>
      </w:pPr>
      <w:r>
        <w:rPr>
          <w:rFonts w:ascii="Times New Roman" w:eastAsia="Times New Roman"/>
        </w:rPr>
        <w:t>4</w:t>
      </w:r>
      <w:r>
        <w:rPr/>
        <w:t>、项目所在区域地面做好有效的防腐、防渗工作，关注项目对地下水的影响。</w:t>
      </w:r>
    </w:p>
    <w:p>
      <w:pPr>
        <w:pStyle w:val="BodyText"/>
        <w:spacing w:before="159"/>
        <w:ind w:left="718"/>
      </w:pPr>
      <w:r>
        <w:rPr>
          <w:rFonts w:ascii="Times New Roman" w:eastAsia="Times New Roman"/>
        </w:rPr>
        <w:t>5</w:t>
      </w:r>
      <w:r>
        <w:rPr/>
        <w:t>、项目储存、生产过程中的物料泄漏引发的环境风险。</w:t>
      </w:r>
    </w:p>
    <w:p>
      <w:pPr>
        <w:pStyle w:val="Heading3"/>
        <w:numPr>
          <w:ilvl w:val="1"/>
          <w:numId w:val="5"/>
        </w:numPr>
        <w:tabs>
          <w:tab w:pos="659" w:val="left" w:leader="none"/>
        </w:tabs>
        <w:spacing w:line="240" w:lineRule="auto" w:before="159" w:after="0"/>
        <w:ind w:left="658" w:right="0" w:hanging="421"/>
        <w:jc w:val="left"/>
      </w:pPr>
      <w:bookmarkStart w:name="_bookmark6" w:id="13"/>
      <w:bookmarkEnd w:id="13"/>
      <w:r>
        <w:rPr>
          <w:b w:val="0"/>
        </w:rPr>
      </w:r>
      <w:bookmarkStart w:name="_bookmark6" w:id="14"/>
      <w:bookmarkEnd w:id="14"/>
      <w:r>
        <w:rPr/>
        <w:t>环评报告结论</w:t>
      </w:r>
    </w:p>
    <w:p>
      <w:pPr>
        <w:pStyle w:val="BodyText"/>
        <w:spacing w:line="364" w:lineRule="auto" w:before="185"/>
        <w:ind w:left="238" w:right="172" w:firstLine="480"/>
      </w:pPr>
      <w:r>
        <w:rPr/>
        <w:t>绍兴贝斯美化工股份有限公司贝斯美年产 </w:t>
      </w:r>
      <w:r>
        <w:rPr>
          <w:rFonts w:ascii="Times New Roman" w:hAnsi="Times New Roman" w:eastAsia="Times New Roman"/>
        </w:rPr>
        <w:t>300 </w:t>
      </w:r>
      <w:r>
        <w:rPr/>
        <w:t>吨三环唑、</w:t>
      </w:r>
      <w:r>
        <w:rPr>
          <w:rFonts w:ascii="Times New Roman" w:hAnsi="Times New Roman" w:eastAsia="Times New Roman"/>
        </w:rPr>
        <w:t>200 </w:t>
      </w:r>
      <w:r>
        <w:rPr/>
        <w:t>吨三环唑可湿性粉剂项目拟建于杭州湾上虞经济技术开发区振兴大道，项目的建设符合绍兴市</w:t>
      </w:r>
      <w:r>
        <w:rPr>
          <w:rFonts w:ascii="Times New Roman" w:hAnsi="Times New Roman" w:eastAsia="Times New Roman"/>
        </w:rPr>
        <w:t>“</w:t>
      </w:r>
      <w:r>
        <w:rPr/>
        <w:t>三线一单</w:t>
      </w:r>
      <w:r>
        <w:rPr>
          <w:rFonts w:ascii="Times New Roman" w:hAnsi="Times New Roman" w:eastAsia="Times New Roman"/>
        </w:rPr>
        <w:t>”</w:t>
      </w:r>
      <w:r>
        <w:rPr/>
        <w:t>生</w:t>
      </w:r>
    </w:p>
    <w:p>
      <w:pPr>
        <w:spacing w:after="0" w:line="364" w:lineRule="auto"/>
        <w:sectPr>
          <w:pgSz w:w="11910" w:h="16850"/>
          <w:pgMar w:header="730" w:footer="690" w:top="1340" w:bottom="880" w:left="1180" w:right="1180"/>
        </w:sectPr>
      </w:pPr>
    </w:p>
    <w:p>
      <w:pPr>
        <w:pStyle w:val="BodyText"/>
        <w:spacing w:line="364" w:lineRule="auto" w:before="68"/>
        <w:ind w:left="238" w:right="109"/>
        <w:jc w:val="both"/>
      </w:pPr>
      <w:r>
        <w:rPr>
          <w:spacing w:val="-5"/>
        </w:rPr>
        <w:t>态环境分区方案、规划环评的要求；排放的污染物达到国家、地方规定的污染物排放标</w:t>
      </w:r>
      <w:r>
        <w:rPr>
          <w:spacing w:val="-7"/>
        </w:rPr>
        <w:t>准，项目实施后造成的环境影响符合项目所在地环境功能区划确定的环境质量要求。本</w:t>
      </w:r>
      <w:r>
        <w:rPr>
          <w:spacing w:val="-10"/>
        </w:rPr>
        <w:t>项目具有较高的清洁生产水平，可达到国内先进水平；本项目的产品、生产工艺和设备</w:t>
      </w:r>
      <w:r>
        <w:rPr>
          <w:spacing w:val="-12"/>
        </w:rPr>
        <w:t>符合国家和地方产业政策要求。本次公众参与过程符合相关文件要求，本次环评采纳建</w:t>
      </w:r>
      <w:r>
        <w:rPr>
          <w:spacing w:val="-14"/>
        </w:rPr>
        <w:t>设单位针对公众参与调查的结论，建设单位按照有关规定进行公示和公众调查等，未收</w:t>
      </w:r>
      <w:r>
        <w:rPr>
          <w:spacing w:val="-17"/>
        </w:rPr>
        <w:t>到相关意见；本项目实施后经济效益较好，有利于当地的经济发展，增加当地就业机会。</w:t>
      </w:r>
    </w:p>
    <w:p>
      <w:pPr>
        <w:pStyle w:val="Heading4"/>
        <w:spacing w:line="304" w:lineRule="exact"/>
        <w:ind w:left="721"/>
      </w:pPr>
      <w:r>
        <w:rPr/>
        <w:t>本报告认为，从环保角度分析本项目在所在厂址建设是可行的。</w:t>
      </w:r>
    </w:p>
    <w:p>
      <w:pPr>
        <w:spacing w:after="0" w:line="304" w:lineRule="exact"/>
        <w:sectPr>
          <w:pgSz w:w="11910" w:h="16850"/>
          <w:pgMar w:header="730" w:footer="690" w:top="1340" w:bottom="880" w:left="1180" w:right="1180"/>
        </w:sectPr>
      </w:pPr>
    </w:p>
    <w:p>
      <w:pPr>
        <w:pStyle w:val="Heading2"/>
        <w:numPr>
          <w:ilvl w:val="0"/>
          <w:numId w:val="6"/>
        </w:numPr>
        <w:tabs>
          <w:tab w:pos="465" w:val="left" w:leader="none"/>
        </w:tabs>
        <w:spacing w:line="240" w:lineRule="auto" w:before="70" w:after="0"/>
        <w:ind w:left="464" w:right="0" w:hanging="227"/>
        <w:jc w:val="left"/>
      </w:pPr>
      <w:bookmarkStart w:name="_bookmark7" w:id="15"/>
      <w:bookmarkEnd w:id="15"/>
      <w:r>
        <w:rPr>
          <w:b w:val="0"/>
        </w:rPr>
      </w:r>
      <w:bookmarkStart w:name="_bookmark7" w:id="16"/>
      <w:bookmarkEnd w:id="16"/>
      <w:r>
        <w:rPr/>
        <w:t>总则</w:t>
      </w:r>
    </w:p>
    <w:p>
      <w:pPr>
        <w:pStyle w:val="Heading3"/>
        <w:numPr>
          <w:ilvl w:val="1"/>
          <w:numId w:val="6"/>
        </w:numPr>
        <w:tabs>
          <w:tab w:pos="801" w:val="left" w:leader="none"/>
        </w:tabs>
        <w:spacing w:line="240" w:lineRule="auto" w:before="200" w:after="0"/>
        <w:ind w:left="800" w:right="0" w:hanging="421"/>
        <w:jc w:val="left"/>
      </w:pPr>
      <w:bookmarkStart w:name="_bookmark8" w:id="17"/>
      <w:bookmarkEnd w:id="17"/>
      <w:r>
        <w:rPr>
          <w:b w:val="0"/>
        </w:rPr>
      </w:r>
      <w:bookmarkStart w:name="_bookmark8" w:id="18"/>
      <w:bookmarkEnd w:id="18"/>
      <w:r>
        <w:rPr/>
        <w:t>编制依据</w:t>
      </w:r>
    </w:p>
    <w:p>
      <w:pPr>
        <w:pStyle w:val="ListParagraph"/>
        <w:numPr>
          <w:ilvl w:val="2"/>
          <w:numId w:val="6"/>
        </w:numPr>
        <w:tabs>
          <w:tab w:pos="1019" w:val="left" w:leader="none"/>
        </w:tabs>
        <w:spacing w:line="240" w:lineRule="auto" w:before="186" w:after="0"/>
        <w:ind w:left="1018" w:right="0" w:hanging="541"/>
        <w:jc w:val="left"/>
        <w:rPr>
          <w:b/>
          <w:sz w:val="24"/>
        </w:rPr>
      </w:pPr>
      <w:r>
        <w:rPr>
          <w:b/>
          <w:sz w:val="24"/>
        </w:rPr>
        <w:t>国家法律法规</w:t>
      </w:r>
    </w:p>
    <w:p>
      <w:pPr>
        <w:pStyle w:val="BodyText"/>
        <w:spacing w:before="158"/>
        <w:ind w:left="718"/>
      </w:pPr>
      <w:r>
        <w:rPr>
          <w:rFonts w:ascii="Times New Roman" w:eastAsia="Times New Roman"/>
        </w:rPr>
        <w:t>1</w:t>
      </w:r>
      <w:r>
        <w:rPr/>
        <w:t>、《中华人民共和国环境保护法》，</w:t>
      </w:r>
      <w:r>
        <w:rPr>
          <w:rFonts w:ascii="Times New Roman" w:eastAsia="Times New Roman"/>
        </w:rPr>
        <w:t>2015.1.1</w:t>
      </w:r>
      <w:r>
        <w:rPr/>
        <w:t>。</w:t>
      </w:r>
    </w:p>
    <w:p>
      <w:pPr>
        <w:pStyle w:val="BodyText"/>
        <w:spacing w:before="160"/>
        <w:ind w:left="718"/>
      </w:pPr>
      <w:r>
        <w:rPr>
          <w:rFonts w:ascii="Times New Roman" w:eastAsia="Times New Roman"/>
        </w:rPr>
        <w:t>2</w:t>
      </w:r>
      <w:r>
        <w:rPr>
          <w:spacing w:val="-12"/>
        </w:rPr>
        <w:t>、《中华人民共和国环境影响评价法</w:t>
      </w:r>
      <w:r>
        <w:rPr/>
        <w:t>（</w:t>
      </w:r>
      <w:r>
        <w:rPr>
          <w:rFonts w:ascii="Times New Roman" w:eastAsia="Times New Roman"/>
        </w:rPr>
        <w:t>2018 </w:t>
      </w:r>
      <w:r>
        <w:rPr/>
        <w:t>年修正</w:t>
      </w:r>
      <w:r>
        <w:rPr>
          <w:spacing w:val="-120"/>
        </w:rPr>
        <w:t>）</w:t>
      </w:r>
      <w:r>
        <w:rPr>
          <w:spacing w:val="-60"/>
        </w:rPr>
        <w:t>》，</w:t>
      </w:r>
      <w:r>
        <w:rPr>
          <w:rFonts w:ascii="Times New Roman" w:eastAsia="Times New Roman"/>
        </w:rPr>
        <w:t>2018.12.29</w:t>
      </w:r>
      <w:r>
        <w:rPr/>
        <w:t>。</w:t>
      </w:r>
    </w:p>
    <w:p>
      <w:pPr>
        <w:pStyle w:val="BodyText"/>
        <w:spacing w:before="161"/>
        <w:ind w:left="718"/>
      </w:pPr>
      <w:r>
        <w:rPr>
          <w:rFonts w:ascii="Times New Roman" w:eastAsia="Times New Roman"/>
        </w:rPr>
        <w:t>3</w:t>
      </w:r>
      <w:r>
        <w:rPr>
          <w:spacing w:val="-12"/>
        </w:rPr>
        <w:t>、《中华人民共和国大气污染防治法</w:t>
      </w:r>
      <w:r>
        <w:rPr/>
        <w:t>（</w:t>
      </w:r>
      <w:r>
        <w:rPr>
          <w:rFonts w:ascii="Times New Roman" w:eastAsia="Times New Roman"/>
        </w:rPr>
        <w:t>2018 </w:t>
      </w:r>
      <w:r>
        <w:rPr/>
        <w:t>年修定</w:t>
      </w:r>
      <w:r>
        <w:rPr>
          <w:spacing w:val="-120"/>
        </w:rPr>
        <w:t>）</w:t>
      </w:r>
      <w:r>
        <w:rPr>
          <w:spacing w:val="-60"/>
        </w:rPr>
        <w:t>》，</w:t>
      </w:r>
      <w:r>
        <w:rPr>
          <w:rFonts w:ascii="Times New Roman" w:eastAsia="Times New Roman"/>
        </w:rPr>
        <w:t>2015.8</w:t>
      </w:r>
      <w:r>
        <w:rPr/>
        <w:t>。</w:t>
      </w:r>
    </w:p>
    <w:p>
      <w:pPr>
        <w:pStyle w:val="BodyText"/>
        <w:spacing w:before="158"/>
        <w:ind w:left="718"/>
      </w:pPr>
      <w:r>
        <w:rPr>
          <w:rFonts w:ascii="Times New Roman" w:eastAsia="Times New Roman"/>
        </w:rPr>
        <w:t>4</w:t>
      </w:r>
      <w:r>
        <w:rPr>
          <w:spacing w:val="-12"/>
        </w:rPr>
        <w:t>、《中华人民共和国海洋环境保护法</w:t>
      </w:r>
      <w:r>
        <w:rPr/>
        <w:t>（</w:t>
      </w:r>
      <w:r>
        <w:rPr>
          <w:rFonts w:ascii="Times New Roman" w:eastAsia="Times New Roman"/>
        </w:rPr>
        <w:t>2016 </w:t>
      </w:r>
      <w:r>
        <w:rPr/>
        <w:t>年修正</w:t>
      </w:r>
      <w:r>
        <w:rPr>
          <w:spacing w:val="-120"/>
        </w:rPr>
        <w:t>）</w:t>
      </w:r>
      <w:r>
        <w:rPr>
          <w:spacing w:val="-60"/>
        </w:rPr>
        <w:t>》，</w:t>
      </w:r>
      <w:r>
        <w:rPr>
          <w:rFonts w:ascii="Times New Roman" w:eastAsia="Times New Roman"/>
        </w:rPr>
        <w:t>2016.11</w:t>
      </w:r>
      <w:r>
        <w:rPr/>
        <w:t>。</w:t>
      </w:r>
    </w:p>
    <w:p>
      <w:pPr>
        <w:pStyle w:val="BodyText"/>
        <w:spacing w:before="160"/>
        <w:ind w:left="718"/>
      </w:pPr>
      <w:r>
        <w:rPr>
          <w:rFonts w:ascii="Times New Roman" w:eastAsia="Times New Roman"/>
          <w:spacing w:val="-1"/>
        </w:rPr>
        <w:t>5</w:t>
      </w:r>
      <w:r>
        <w:rPr>
          <w:spacing w:val="-19"/>
        </w:rPr>
        <w:t>、《中华人民共和国水污染防治法》</w:t>
      </w:r>
      <w:r>
        <w:rPr/>
        <w:t>（</w:t>
      </w:r>
      <w:r>
        <w:rPr>
          <w:rFonts w:ascii="Times New Roman" w:eastAsia="Times New Roman"/>
        </w:rPr>
        <w:t>2017 </w:t>
      </w:r>
      <w:r>
        <w:rPr/>
        <w:t>年修正</w:t>
      </w:r>
      <w:r>
        <w:rPr>
          <w:spacing w:val="-120"/>
        </w:rPr>
        <w:t>）</w:t>
      </w:r>
      <w:r>
        <w:rPr/>
        <w:t>，</w:t>
      </w:r>
      <w:r>
        <w:rPr>
          <w:rFonts w:ascii="Times New Roman" w:eastAsia="Times New Roman"/>
        </w:rPr>
        <w:t>2018.1.1</w:t>
      </w:r>
      <w:r>
        <w:rPr/>
        <w:t>。</w:t>
      </w:r>
    </w:p>
    <w:p>
      <w:pPr>
        <w:pStyle w:val="BodyText"/>
        <w:spacing w:before="159"/>
        <w:ind w:left="718"/>
      </w:pPr>
      <w:r>
        <w:rPr>
          <w:rFonts w:ascii="Times New Roman" w:eastAsia="Times New Roman"/>
        </w:rPr>
        <w:t>6</w:t>
      </w:r>
      <w:r>
        <w:rPr>
          <w:spacing w:val="-12"/>
        </w:rPr>
        <w:t>、《中华人民共和国环境噪声污染防治法</w:t>
      </w:r>
      <w:r>
        <w:rPr/>
        <w:t>（</w:t>
      </w:r>
      <w:r>
        <w:rPr>
          <w:rFonts w:ascii="Times New Roman" w:eastAsia="Times New Roman"/>
        </w:rPr>
        <w:t>2018 </w:t>
      </w:r>
      <w:r>
        <w:rPr/>
        <w:t>年修正</w:t>
      </w:r>
      <w:r>
        <w:rPr>
          <w:spacing w:val="-120"/>
        </w:rPr>
        <w:t>）</w:t>
      </w:r>
      <w:r>
        <w:rPr>
          <w:spacing w:val="-60"/>
        </w:rPr>
        <w:t>》，</w:t>
      </w:r>
      <w:r>
        <w:rPr>
          <w:rFonts w:ascii="Times New Roman" w:eastAsia="Times New Roman"/>
        </w:rPr>
        <w:t>2018.12.29</w:t>
      </w:r>
      <w:r>
        <w:rPr/>
        <w:t>。</w:t>
      </w:r>
    </w:p>
    <w:p>
      <w:pPr>
        <w:pStyle w:val="BodyText"/>
        <w:spacing w:before="161"/>
        <w:ind w:left="718"/>
      </w:pPr>
      <w:r>
        <w:rPr>
          <w:rFonts w:ascii="Times New Roman" w:eastAsia="Times New Roman"/>
        </w:rPr>
        <w:t>7</w:t>
      </w:r>
      <w:r>
        <w:rPr>
          <w:spacing w:val="-12"/>
        </w:rPr>
        <w:t>、《中华人民共和国固体废物污染环境防治法</w:t>
      </w:r>
      <w:r>
        <w:rPr/>
        <w:t>（</w:t>
      </w:r>
      <w:r>
        <w:rPr>
          <w:rFonts w:ascii="Times New Roman" w:eastAsia="Times New Roman"/>
        </w:rPr>
        <w:t>2020 </w:t>
      </w:r>
      <w:r>
        <w:rPr/>
        <w:t>年修正</w:t>
      </w:r>
      <w:r>
        <w:rPr>
          <w:spacing w:val="-120"/>
        </w:rPr>
        <w:t>）</w:t>
      </w:r>
      <w:r>
        <w:rPr>
          <w:spacing w:val="-60"/>
        </w:rPr>
        <w:t>》，</w:t>
      </w:r>
      <w:r>
        <w:rPr>
          <w:rFonts w:ascii="Times New Roman" w:eastAsia="Times New Roman"/>
        </w:rPr>
        <w:t>2020.9.1</w:t>
      </w:r>
      <w:r>
        <w:rPr/>
        <w:t>。</w:t>
      </w:r>
    </w:p>
    <w:p>
      <w:pPr>
        <w:pStyle w:val="BodyText"/>
        <w:spacing w:before="158"/>
        <w:ind w:left="718"/>
      </w:pPr>
      <w:r>
        <w:rPr>
          <w:rFonts w:ascii="Times New Roman" w:eastAsia="Times New Roman"/>
        </w:rPr>
        <w:t>8</w:t>
      </w:r>
      <w:r>
        <w:rPr/>
        <w:t>、《中华人民共和国土壤污染防治法》，</w:t>
      </w:r>
      <w:r>
        <w:rPr>
          <w:rFonts w:ascii="Times New Roman" w:eastAsia="Times New Roman"/>
        </w:rPr>
        <w:t>2019.1.1</w:t>
      </w:r>
      <w:r>
        <w:rPr/>
        <w:t>。</w:t>
      </w:r>
    </w:p>
    <w:p>
      <w:pPr>
        <w:pStyle w:val="BodyText"/>
        <w:spacing w:before="160"/>
        <w:ind w:left="718"/>
      </w:pPr>
      <w:r>
        <w:rPr>
          <w:rFonts w:ascii="Times New Roman" w:eastAsia="Times New Roman"/>
        </w:rPr>
        <w:t>9</w:t>
      </w:r>
      <w:r>
        <w:rPr>
          <w:spacing w:val="-12"/>
        </w:rPr>
        <w:t>、《中华人民共和国清洁生产促进法</w:t>
      </w:r>
      <w:r>
        <w:rPr/>
        <w:t>（</w:t>
      </w:r>
      <w:r>
        <w:rPr>
          <w:rFonts w:ascii="Times New Roman" w:eastAsia="Times New Roman"/>
        </w:rPr>
        <w:t>2012 </w:t>
      </w:r>
      <w:r>
        <w:rPr/>
        <w:t>年修正</w:t>
      </w:r>
      <w:r>
        <w:rPr>
          <w:spacing w:val="-120"/>
        </w:rPr>
        <w:t>）</w:t>
      </w:r>
      <w:r>
        <w:rPr>
          <w:spacing w:val="-60"/>
        </w:rPr>
        <w:t>》，</w:t>
      </w:r>
      <w:r>
        <w:rPr>
          <w:rFonts w:ascii="Times New Roman" w:eastAsia="Times New Roman"/>
        </w:rPr>
        <w:t>2012.7.1</w:t>
      </w:r>
      <w:r>
        <w:rPr/>
        <w:t>。</w:t>
      </w:r>
    </w:p>
    <w:p>
      <w:pPr>
        <w:pStyle w:val="Heading4"/>
        <w:numPr>
          <w:ilvl w:val="2"/>
          <w:numId w:val="6"/>
        </w:numPr>
        <w:tabs>
          <w:tab w:pos="1019" w:val="left" w:leader="none"/>
        </w:tabs>
        <w:spacing w:line="240" w:lineRule="auto" w:before="158" w:after="0"/>
        <w:ind w:left="1018" w:right="0" w:hanging="541"/>
        <w:jc w:val="left"/>
      </w:pPr>
      <w:r>
        <w:rPr/>
        <w:t>国家有关法规和文件</w:t>
      </w:r>
    </w:p>
    <w:p>
      <w:pPr>
        <w:pStyle w:val="BodyText"/>
        <w:spacing w:before="161"/>
        <w:ind w:left="718"/>
      </w:pPr>
      <w:r>
        <w:rPr>
          <w:rFonts w:ascii="Times New Roman" w:eastAsia="Times New Roman"/>
        </w:rPr>
        <w:t>1</w:t>
      </w:r>
      <w:r>
        <w:rPr/>
        <w:t>、国务院令第 </w:t>
      </w:r>
      <w:r>
        <w:rPr>
          <w:rFonts w:ascii="Times New Roman" w:eastAsia="Times New Roman"/>
        </w:rPr>
        <w:t>682 </w:t>
      </w:r>
      <w:r>
        <w:rPr/>
        <w:t>号《建设项目环境保护管理条例》；</w:t>
      </w:r>
    </w:p>
    <w:p>
      <w:pPr>
        <w:pStyle w:val="BodyText"/>
        <w:spacing w:before="158"/>
        <w:ind w:left="718"/>
      </w:pPr>
      <w:r>
        <w:rPr>
          <w:rFonts w:ascii="Times New Roman" w:eastAsia="Times New Roman"/>
        </w:rPr>
        <w:t>2</w:t>
      </w:r>
      <w:r>
        <w:rPr/>
        <w:t>、国务院国发</w:t>
      </w:r>
      <w:r>
        <w:rPr>
          <w:rFonts w:ascii="Times New Roman" w:eastAsia="Times New Roman"/>
        </w:rPr>
        <w:t>[2011]35 </w:t>
      </w:r>
      <w:r>
        <w:rPr/>
        <w:t>号《关于加强环境保护重点工作的意见》，</w:t>
      </w:r>
      <w:r>
        <w:rPr>
          <w:rFonts w:ascii="Times New Roman" w:eastAsia="Times New Roman"/>
        </w:rPr>
        <w:t>2011.10.17</w:t>
      </w:r>
      <w:r>
        <w:rPr/>
        <w:t>；</w:t>
      </w:r>
    </w:p>
    <w:p>
      <w:pPr>
        <w:pStyle w:val="BodyText"/>
        <w:spacing w:before="160"/>
        <w:ind w:left="718"/>
      </w:pPr>
      <w:r>
        <w:rPr>
          <w:rFonts w:ascii="Times New Roman" w:eastAsia="Times New Roman"/>
        </w:rPr>
        <w:t>3</w:t>
      </w:r>
      <w:r>
        <w:rPr/>
        <w:t>、国务院国发</w:t>
      </w:r>
      <w:r>
        <w:rPr>
          <w:rFonts w:ascii="Times New Roman" w:eastAsia="Times New Roman"/>
        </w:rPr>
        <w:t>[2013]37 </w:t>
      </w:r>
      <w:r>
        <w:rPr/>
        <w:t>号《关于印发大气污染防治行动计划的通知》，</w:t>
      </w:r>
      <w:r>
        <w:rPr>
          <w:rFonts w:ascii="Times New Roman" w:eastAsia="Times New Roman"/>
        </w:rPr>
        <w:t>2013.9.10</w:t>
      </w:r>
      <w:r>
        <w:rPr/>
        <w:t>；</w:t>
      </w:r>
    </w:p>
    <w:p>
      <w:pPr>
        <w:pStyle w:val="BodyText"/>
        <w:spacing w:before="159"/>
        <w:ind w:left="718"/>
      </w:pPr>
      <w:r>
        <w:rPr>
          <w:rFonts w:ascii="Times New Roman" w:eastAsia="Times New Roman"/>
        </w:rPr>
        <w:t>4</w:t>
      </w:r>
      <w:r>
        <w:rPr/>
        <w:t>、国务院国发</w:t>
      </w:r>
      <w:r>
        <w:rPr>
          <w:rFonts w:ascii="Times New Roman" w:eastAsia="Times New Roman"/>
        </w:rPr>
        <w:t>[2015]17 </w:t>
      </w:r>
      <w:r>
        <w:rPr/>
        <w:t>号《关于印发水污染防治行动计划的通知》，</w:t>
      </w:r>
      <w:r>
        <w:rPr>
          <w:rFonts w:ascii="Times New Roman" w:eastAsia="Times New Roman"/>
        </w:rPr>
        <w:t>2015.4.2</w:t>
      </w:r>
      <w:r>
        <w:rPr/>
        <w:t>；</w:t>
      </w:r>
    </w:p>
    <w:p>
      <w:pPr>
        <w:pStyle w:val="BodyText"/>
        <w:spacing w:line="362" w:lineRule="auto" w:before="160"/>
        <w:ind w:left="238" w:right="237" w:firstLine="480"/>
      </w:pPr>
      <w:r>
        <w:rPr>
          <w:rFonts w:ascii="Times New Roman" w:eastAsia="Times New Roman"/>
        </w:rPr>
        <w:t>5</w:t>
      </w:r>
      <w:r>
        <w:rPr/>
        <w:t>、国务院国办发</w:t>
      </w:r>
      <w:r>
        <w:rPr>
          <w:rFonts w:ascii="Times New Roman" w:eastAsia="Times New Roman"/>
        </w:rPr>
        <w:t>[2010]33 </w:t>
      </w:r>
      <w:r>
        <w:rPr/>
        <w:t>号《关于推进大气污染联防联控工作改善区域空气质量指导意见的通知》，</w:t>
      </w:r>
      <w:r>
        <w:rPr>
          <w:rFonts w:ascii="Times New Roman" w:eastAsia="Times New Roman"/>
        </w:rPr>
        <w:t>2010.5.11</w:t>
      </w:r>
      <w:r>
        <w:rPr/>
        <w:t>；</w:t>
      </w:r>
    </w:p>
    <w:p>
      <w:pPr>
        <w:pStyle w:val="BodyText"/>
        <w:spacing w:before="5"/>
        <w:ind w:left="718"/>
      </w:pPr>
      <w:r>
        <w:rPr>
          <w:rFonts w:ascii="Times New Roman" w:eastAsia="Times New Roman"/>
        </w:rPr>
        <w:t>6</w:t>
      </w:r>
      <w:r>
        <w:rPr>
          <w:spacing w:val="-5"/>
        </w:rPr>
        <w:t>、国家安全生产监督管理总局等 </w:t>
      </w:r>
      <w:r>
        <w:rPr>
          <w:rFonts w:ascii="Times New Roman" w:eastAsia="Times New Roman"/>
        </w:rPr>
        <w:t>10 </w:t>
      </w:r>
      <w:r>
        <w:rPr>
          <w:spacing w:val="-20"/>
        </w:rPr>
        <w:t>部门 </w:t>
      </w:r>
      <w:r>
        <w:rPr>
          <w:rFonts w:ascii="Times New Roman" w:eastAsia="Times New Roman"/>
        </w:rPr>
        <w:t>2015 </w:t>
      </w:r>
      <w:r>
        <w:rPr>
          <w:spacing w:val="-20"/>
        </w:rPr>
        <w:t>年第 </w:t>
      </w:r>
      <w:r>
        <w:rPr>
          <w:rFonts w:ascii="Times New Roman" w:eastAsia="Times New Roman"/>
        </w:rPr>
        <w:t>5 </w:t>
      </w:r>
      <w:r>
        <w:rPr>
          <w:spacing w:val="-10"/>
        </w:rPr>
        <w:t>号公告《危险化学品目录》，</w:t>
      </w:r>
    </w:p>
    <w:p>
      <w:pPr>
        <w:pStyle w:val="BodyText"/>
        <w:spacing w:before="161"/>
        <w:ind w:left="238"/>
      </w:pPr>
      <w:r>
        <w:rPr>
          <w:rFonts w:ascii="Times New Roman" w:eastAsia="Times New Roman"/>
        </w:rPr>
        <w:t>2015.5.1</w:t>
      </w:r>
      <w:r>
        <w:rPr/>
        <w:t>；</w:t>
      </w:r>
    </w:p>
    <w:p>
      <w:pPr>
        <w:pStyle w:val="BodyText"/>
        <w:spacing w:line="364" w:lineRule="auto" w:before="158"/>
        <w:ind w:left="238" w:right="232" w:firstLine="480"/>
      </w:pPr>
      <w:r>
        <w:rPr>
          <w:rFonts w:ascii="Times New Roman" w:eastAsia="Times New Roman"/>
        </w:rPr>
        <w:t>7</w:t>
      </w:r>
      <w:r>
        <w:rPr>
          <w:spacing w:val="-9"/>
        </w:rPr>
        <w:t>、国家安全生产监督管理总局令第 </w:t>
      </w:r>
      <w:r>
        <w:rPr>
          <w:rFonts w:ascii="Times New Roman" w:eastAsia="Times New Roman"/>
        </w:rPr>
        <w:t>40 </w:t>
      </w:r>
      <w:r>
        <w:rPr>
          <w:spacing w:val="-6"/>
        </w:rPr>
        <w:t>号《危险化学品重大危险源监督管理暂行规</w:t>
      </w:r>
      <w:r>
        <w:rPr>
          <w:spacing w:val="-40"/>
        </w:rPr>
        <w:t>定》，</w:t>
      </w:r>
      <w:r>
        <w:rPr>
          <w:rFonts w:ascii="Times New Roman" w:eastAsia="Times New Roman"/>
        </w:rPr>
        <w:t>2011.12.1</w:t>
      </w:r>
      <w:r>
        <w:rPr/>
        <w:t>；</w:t>
      </w:r>
    </w:p>
    <w:p>
      <w:pPr>
        <w:pStyle w:val="BodyText"/>
        <w:spacing w:line="306" w:lineRule="exact"/>
        <w:ind w:left="718"/>
      </w:pPr>
      <w:r>
        <w:rPr>
          <w:rFonts w:ascii="Times New Roman" w:eastAsia="Times New Roman"/>
        </w:rPr>
        <w:t>8</w:t>
      </w:r>
      <w:r>
        <w:rPr>
          <w:spacing w:val="-12"/>
        </w:rPr>
        <w:t>、《建设项目环境影响评价分类管理名录</w:t>
      </w:r>
      <w:r>
        <w:rPr/>
        <w:t>（</w:t>
      </w:r>
      <w:r>
        <w:rPr>
          <w:rFonts w:ascii="Times New Roman" w:eastAsia="Times New Roman"/>
        </w:rPr>
        <w:t>2021 </w:t>
      </w:r>
      <w:r>
        <w:rPr/>
        <w:t>年版</w:t>
      </w:r>
      <w:r>
        <w:rPr>
          <w:spacing w:val="-120"/>
        </w:rPr>
        <w:t>）</w:t>
      </w:r>
      <w:r>
        <w:rPr>
          <w:spacing w:val="-60"/>
        </w:rPr>
        <w:t>》，</w:t>
      </w:r>
      <w:r>
        <w:rPr>
          <w:rFonts w:ascii="Times New Roman" w:eastAsia="Times New Roman"/>
        </w:rPr>
        <w:t>2021 </w:t>
      </w:r>
      <w:r>
        <w:rPr>
          <w:spacing w:val="-30"/>
        </w:rPr>
        <w:t>年 </w:t>
      </w:r>
      <w:r>
        <w:rPr>
          <w:rFonts w:ascii="Times New Roman" w:eastAsia="Times New Roman"/>
        </w:rPr>
        <w:t>1 </w:t>
      </w:r>
      <w:r>
        <w:rPr>
          <w:spacing w:val="-30"/>
        </w:rPr>
        <w:t>月 </w:t>
      </w:r>
      <w:r>
        <w:rPr>
          <w:rFonts w:ascii="Times New Roman" w:eastAsia="Times New Roman"/>
        </w:rPr>
        <w:t>1 </w:t>
      </w:r>
      <w:r>
        <w:rPr/>
        <w:t>日实施；</w:t>
      </w:r>
    </w:p>
    <w:p>
      <w:pPr>
        <w:pStyle w:val="BodyText"/>
        <w:spacing w:before="160"/>
        <w:ind w:left="718"/>
      </w:pPr>
      <w:r>
        <w:rPr>
          <w:rFonts w:ascii="Times New Roman" w:eastAsia="Times New Roman"/>
        </w:rPr>
        <w:t>9</w:t>
      </w:r>
      <w:r>
        <w:rPr>
          <w:spacing w:val="-14"/>
        </w:rPr>
        <w:t>、《国家危险废物名录</w:t>
      </w:r>
      <w:r>
        <w:rPr/>
        <w:t>（</w:t>
      </w:r>
      <w:r>
        <w:rPr>
          <w:rFonts w:ascii="Times New Roman" w:eastAsia="Times New Roman"/>
        </w:rPr>
        <w:t>2021 </w:t>
      </w:r>
      <w:r>
        <w:rPr/>
        <w:t>年版</w:t>
      </w:r>
      <w:r>
        <w:rPr>
          <w:spacing w:val="-120"/>
        </w:rPr>
        <w:t>）</w:t>
      </w:r>
      <w:r>
        <w:rPr>
          <w:spacing w:val="-60"/>
        </w:rPr>
        <w:t>》，</w:t>
      </w:r>
      <w:r>
        <w:rPr>
          <w:rFonts w:ascii="Times New Roman" w:eastAsia="Times New Roman"/>
        </w:rPr>
        <w:t>2021 </w:t>
      </w:r>
      <w:r>
        <w:rPr>
          <w:spacing w:val="-30"/>
        </w:rPr>
        <w:t>年 </w:t>
      </w:r>
      <w:r>
        <w:rPr>
          <w:rFonts w:ascii="Times New Roman" w:eastAsia="Times New Roman"/>
        </w:rPr>
        <w:t>1 </w:t>
      </w:r>
      <w:r>
        <w:rPr>
          <w:spacing w:val="-30"/>
        </w:rPr>
        <w:t>月 </w:t>
      </w:r>
      <w:r>
        <w:rPr>
          <w:rFonts w:ascii="Times New Roman" w:eastAsia="Times New Roman"/>
        </w:rPr>
        <w:t>1 </w:t>
      </w:r>
      <w:r>
        <w:rPr/>
        <w:t>日实施；</w:t>
      </w:r>
    </w:p>
    <w:p>
      <w:pPr>
        <w:pStyle w:val="BodyText"/>
        <w:spacing w:line="364" w:lineRule="auto" w:before="159"/>
        <w:ind w:left="238" w:right="171" w:firstLine="480"/>
      </w:pPr>
      <w:r>
        <w:rPr>
          <w:rFonts w:ascii="Times New Roman" w:eastAsia="Times New Roman"/>
        </w:rPr>
        <w:t>10</w:t>
      </w:r>
      <w:r>
        <w:rPr/>
        <w:t>、中华人民共和国环境保护部公告 </w:t>
      </w:r>
      <w:r>
        <w:rPr>
          <w:rFonts w:ascii="Times New Roman" w:eastAsia="Times New Roman"/>
        </w:rPr>
        <w:t>2013 </w:t>
      </w:r>
      <w:r>
        <w:rPr/>
        <w:t>年第 </w:t>
      </w:r>
      <w:r>
        <w:rPr>
          <w:rFonts w:ascii="Times New Roman" w:eastAsia="Times New Roman"/>
        </w:rPr>
        <w:t>31 </w:t>
      </w:r>
      <w:r>
        <w:rPr/>
        <w:t>号《挥发性有机物（</w:t>
      </w:r>
      <w:r>
        <w:rPr>
          <w:rFonts w:ascii="Times New Roman" w:eastAsia="Times New Roman"/>
        </w:rPr>
        <w:t>VOCs</w:t>
      </w:r>
      <w:r>
        <w:rPr/>
        <w:t>）污染防治技术政策》，</w:t>
      </w:r>
      <w:r>
        <w:rPr>
          <w:rFonts w:ascii="Times New Roman" w:eastAsia="Times New Roman"/>
        </w:rPr>
        <w:t>2013.5.24</w:t>
      </w:r>
      <w:r>
        <w:rPr/>
        <w:t>；</w:t>
      </w:r>
    </w:p>
    <w:p>
      <w:pPr>
        <w:pStyle w:val="BodyText"/>
        <w:spacing w:line="306" w:lineRule="exact"/>
        <w:ind w:left="718"/>
      </w:pPr>
      <w:r>
        <w:rPr>
          <w:rFonts w:ascii="Times New Roman" w:eastAsia="Times New Roman"/>
          <w:spacing w:val="-6"/>
        </w:rPr>
        <w:t>11</w:t>
      </w:r>
      <w:r>
        <w:rPr>
          <w:spacing w:val="-7"/>
        </w:rPr>
        <w:t>、生态环境部令第 </w:t>
      </w:r>
      <w:r>
        <w:rPr>
          <w:rFonts w:ascii="Times New Roman" w:eastAsia="Times New Roman"/>
        </w:rPr>
        <w:t>3 </w:t>
      </w:r>
      <w:r>
        <w:rPr/>
        <w:t>号《工矿用地土壤环境管理办法（试行</w:t>
      </w:r>
      <w:r>
        <w:rPr>
          <w:spacing w:val="-120"/>
        </w:rPr>
        <w:t>）</w:t>
      </w:r>
      <w:r>
        <w:rPr>
          <w:spacing w:val="-60"/>
        </w:rPr>
        <w:t>》，</w:t>
      </w:r>
      <w:r>
        <w:rPr>
          <w:rFonts w:ascii="Times New Roman" w:eastAsia="Times New Roman"/>
        </w:rPr>
        <w:t>2018.8.1 </w:t>
      </w:r>
      <w:r>
        <w:rPr/>
        <w:t>施行；</w:t>
      </w:r>
    </w:p>
    <w:p>
      <w:pPr>
        <w:pStyle w:val="BodyText"/>
        <w:spacing w:before="161"/>
        <w:ind w:left="718"/>
      </w:pPr>
      <w:r>
        <w:rPr>
          <w:rFonts w:ascii="Times New Roman" w:hAnsi="Times New Roman" w:eastAsia="Times New Roman"/>
        </w:rPr>
        <w:t>1</w:t>
      </w:r>
      <w:r>
        <w:rPr>
          <w:rFonts w:ascii="Times New Roman" w:hAnsi="Times New Roman" w:eastAsia="Times New Roman"/>
          <w:spacing w:val="-1"/>
        </w:rPr>
        <w:t>2</w:t>
      </w:r>
      <w:r>
        <w:rPr>
          <w:spacing w:val="-14"/>
        </w:rPr>
        <w:t>、《固体废物鉴别标准</w:t>
      </w:r>
      <w:r>
        <w:rPr>
          <w:rFonts w:ascii="Times New Roman" w:hAnsi="Times New Roman" w:eastAsia="Times New Roman"/>
        </w:rPr>
        <w:t>—</w:t>
      </w:r>
      <w:r>
        <w:rPr>
          <w:spacing w:val="-40"/>
        </w:rPr>
        <w:t>通则》</w:t>
      </w:r>
      <w:r>
        <w:rPr/>
        <w:t>（</w:t>
      </w:r>
      <w:r>
        <w:rPr>
          <w:rFonts w:ascii="Times New Roman" w:hAnsi="Times New Roman" w:eastAsia="Times New Roman"/>
        </w:rPr>
        <w:t>GB34330</w:t>
      </w:r>
      <w:r>
        <w:rPr>
          <w:rFonts w:ascii="Times New Roman" w:hAnsi="Times New Roman" w:eastAsia="Times New Roman"/>
          <w:spacing w:val="-1"/>
        </w:rPr>
        <w:t>-</w:t>
      </w:r>
      <w:r>
        <w:rPr>
          <w:rFonts w:ascii="Times New Roman" w:hAnsi="Times New Roman" w:eastAsia="Times New Roman"/>
        </w:rPr>
        <w:t>2017</w:t>
      </w:r>
      <w:r>
        <w:rPr>
          <w:spacing w:val="-120"/>
        </w:rPr>
        <w:t>）</w:t>
      </w:r>
      <w:r>
        <w:rPr/>
        <w:t>，</w:t>
      </w:r>
      <w:r>
        <w:rPr>
          <w:rFonts w:ascii="Times New Roman" w:hAnsi="Times New Roman" w:eastAsia="Times New Roman"/>
        </w:rPr>
        <w:t>2017.10.1 </w:t>
      </w:r>
      <w:r>
        <w:rPr/>
        <w:t>实施；</w:t>
      </w:r>
    </w:p>
    <w:p>
      <w:pPr>
        <w:spacing w:after="0"/>
        <w:sectPr>
          <w:headerReference w:type="default" r:id="rId12"/>
          <w:footerReference w:type="default" r:id="rId13"/>
          <w:pgSz w:w="11910" w:h="16840"/>
          <w:pgMar w:header="874" w:footer="944" w:top="1340" w:bottom="1140" w:left="1180" w:right="1180"/>
          <w:pgNumType w:start="10"/>
        </w:sectPr>
      </w:pPr>
    </w:p>
    <w:p>
      <w:pPr>
        <w:pStyle w:val="BodyText"/>
        <w:spacing w:line="364" w:lineRule="auto" w:before="70"/>
        <w:ind w:left="238" w:right="232" w:firstLine="480"/>
      </w:pPr>
      <w:r>
        <w:rPr>
          <w:rFonts w:ascii="Times New Roman" w:eastAsia="Times New Roman"/>
        </w:rPr>
        <w:t>13</w:t>
      </w:r>
      <w:r>
        <w:rPr/>
        <w:t>、中华人民共和国环境保护部 环评</w:t>
      </w:r>
      <w:r>
        <w:rPr>
          <w:rFonts w:ascii="Times New Roman" w:eastAsia="Times New Roman"/>
        </w:rPr>
        <w:t>[2018]11 </w:t>
      </w:r>
      <w:r>
        <w:rPr/>
        <w:t>号《关于强化建设项目环境影响评价事中事后监管的实施意见》，</w:t>
      </w:r>
      <w:r>
        <w:rPr>
          <w:rFonts w:ascii="Times New Roman" w:eastAsia="Times New Roman"/>
        </w:rPr>
        <w:t>2018.1.25</w:t>
      </w:r>
      <w:r>
        <w:rPr/>
        <w:t>；</w:t>
      </w:r>
    </w:p>
    <w:p>
      <w:pPr>
        <w:pStyle w:val="BodyText"/>
        <w:spacing w:line="307" w:lineRule="exact"/>
        <w:ind w:left="718"/>
      </w:pPr>
      <w:r>
        <w:rPr>
          <w:rFonts w:ascii="Times New Roman" w:eastAsia="Times New Roman"/>
        </w:rPr>
        <w:t>14</w:t>
      </w:r>
      <w:r>
        <w:rPr/>
        <w:t>、《国务院关于印发打赢蓝天保卫战三年行动计划的通知》，国发</w:t>
      </w:r>
      <w:r>
        <w:rPr>
          <w:rFonts w:ascii="Times New Roman" w:eastAsia="Times New Roman"/>
        </w:rPr>
        <w:t>[2018]22 </w:t>
      </w:r>
      <w:r>
        <w:rPr/>
        <w:t>号，</w:t>
      </w:r>
    </w:p>
    <w:p>
      <w:pPr>
        <w:pStyle w:val="BodyText"/>
        <w:spacing w:before="159"/>
        <w:ind w:left="238"/>
      </w:pPr>
      <w:r>
        <w:rPr>
          <w:rFonts w:ascii="Times New Roman" w:eastAsia="Times New Roman"/>
        </w:rPr>
        <w:t>2018.6.27</w:t>
      </w:r>
      <w:r>
        <w:rPr/>
        <w:t>。</w:t>
      </w:r>
    </w:p>
    <w:p>
      <w:pPr>
        <w:pStyle w:val="BodyText"/>
        <w:spacing w:line="362" w:lineRule="auto" w:before="160"/>
        <w:ind w:left="238" w:right="182" w:firstLine="480"/>
      </w:pPr>
      <w:r>
        <w:rPr>
          <w:rFonts w:ascii="Times New Roman" w:eastAsia="Times New Roman"/>
        </w:rPr>
        <w:t>15</w:t>
      </w:r>
      <w:r>
        <w:rPr/>
        <w:t>、中华人民共和国环境保护部环发</w:t>
      </w:r>
      <w:r>
        <w:rPr>
          <w:rFonts w:ascii="Times New Roman" w:eastAsia="Times New Roman"/>
        </w:rPr>
        <w:t>[2012]77 </w:t>
      </w:r>
      <w:r>
        <w:rPr/>
        <w:t>号《关于进一步加强环境影响评价管理防范环境风险的通知》，</w:t>
      </w:r>
      <w:r>
        <w:rPr>
          <w:rFonts w:ascii="Times New Roman" w:eastAsia="Times New Roman"/>
        </w:rPr>
        <w:t>2012.7.3</w:t>
      </w:r>
      <w:r>
        <w:rPr/>
        <w:t>；</w:t>
      </w:r>
    </w:p>
    <w:p>
      <w:pPr>
        <w:pStyle w:val="BodyText"/>
        <w:spacing w:line="364" w:lineRule="auto" w:before="5"/>
        <w:ind w:left="238" w:right="182" w:firstLine="480"/>
      </w:pPr>
      <w:r>
        <w:rPr>
          <w:rFonts w:ascii="Times New Roman" w:eastAsia="Times New Roman"/>
        </w:rPr>
        <w:t>16</w:t>
      </w:r>
      <w:r>
        <w:rPr/>
        <w:t>、中华人民共和国环境保护部环发</w:t>
      </w:r>
      <w:r>
        <w:rPr>
          <w:rFonts w:ascii="Times New Roman" w:eastAsia="Times New Roman"/>
        </w:rPr>
        <w:t>[2012]98 </w:t>
      </w:r>
      <w:r>
        <w:rPr/>
        <w:t>号《关于切实加强风险防范严格环境影响评价管理的通知》，</w:t>
      </w:r>
      <w:r>
        <w:rPr>
          <w:rFonts w:ascii="Times New Roman" w:eastAsia="Times New Roman"/>
        </w:rPr>
        <w:t>2012.8.7</w:t>
      </w:r>
      <w:r>
        <w:rPr/>
        <w:t>；</w:t>
      </w:r>
    </w:p>
    <w:p>
      <w:pPr>
        <w:pStyle w:val="BodyText"/>
        <w:spacing w:line="364" w:lineRule="auto"/>
        <w:ind w:left="238" w:right="234" w:firstLine="480"/>
      </w:pPr>
      <w:r>
        <w:rPr>
          <w:rFonts w:ascii="Times New Roman" w:eastAsia="Times New Roman"/>
        </w:rPr>
        <w:t>17</w:t>
      </w:r>
      <w:r>
        <w:rPr/>
        <w:t>、中华人民共和国环境保护部环环评</w:t>
      </w:r>
      <w:r>
        <w:rPr>
          <w:rFonts w:ascii="Times New Roman" w:eastAsia="Times New Roman"/>
        </w:rPr>
        <w:t>[2016]150 </w:t>
      </w:r>
      <w:r>
        <w:rPr/>
        <w:t>号《关于以改善环境质量为核心加强环境影响评价管理的通知》，</w:t>
      </w:r>
      <w:r>
        <w:rPr>
          <w:rFonts w:ascii="Times New Roman" w:eastAsia="Times New Roman"/>
        </w:rPr>
        <w:t>2016.30.81</w:t>
      </w:r>
      <w:r>
        <w:rPr/>
        <w:t>；</w:t>
      </w:r>
    </w:p>
    <w:p>
      <w:pPr>
        <w:pStyle w:val="BodyText"/>
        <w:spacing w:line="364" w:lineRule="auto"/>
        <w:ind w:left="238" w:right="174" w:firstLine="480"/>
      </w:pPr>
      <w:r>
        <w:rPr>
          <w:rFonts w:ascii="Times New Roman" w:eastAsia="Times New Roman"/>
        </w:rPr>
        <w:t>18</w:t>
      </w:r>
      <w:r>
        <w:rPr/>
        <w:t>、中华人民共和国环境保护部环水体</w:t>
      </w:r>
      <w:r>
        <w:rPr>
          <w:rFonts w:ascii="Times New Roman" w:eastAsia="Times New Roman"/>
        </w:rPr>
        <w:t>[2016]186 </w:t>
      </w:r>
      <w:r>
        <w:rPr/>
        <w:t>号《关于印发</w:t>
      </w:r>
      <w:r>
        <w:rPr>
          <w:rFonts w:ascii="Times New Roman" w:eastAsia="Times New Roman"/>
        </w:rPr>
        <w:t>&lt;</w:t>
      </w:r>
      <w:r>
        <w:rPr/>
        <w:t>排污许可证管理暂行规定</w:t>
      </w:r>
      <w:r>
        <w:rPr>
          <w:rFonts w:ascii="Times New Roman" w:eastAsia="Times New Roman"/>
        </w:rPr>
        <w:t>&gt;</w:t>
      </w:r>
      <w:r>
        <w:rPr/>
        <w:t>的通知》，</w:t>
      </w:r>
      <w:r>
        <w:rPr>
          <w:rFonts w:ascii="Times New Roman" w:eastAsia="Times New Roman"/>
        </w:rPr>
        <w:t>2016.12.23</w:t>
      </w:r>
      <w:r>
        <w:rPr/>
        <w:t>；</w:t>
      </w:r>
    </w:p>
    <w:p>
      <w:pPr>
        <w:pStyle w:val="BodyText"/>
        <w:spacing w:line="306" w:lineRule="exact"/>
        <w:ind w:left="718"/>
      </w:pPr>
      <w:r>
        <w:rPr>
          <w:rFonts w:ascii="Times New Roman" w:eastAsia="Times New Roman"/>
        </w:rPr>
        <w:t>19</w:t>
      </w:r>
      <w:r>
        <w:rPr/>
        <w:t>、《长江经济带发展负面清单指南</w:t>
      </w:r>
      <w:r>
        <w:rPr>
          <w:rFonts w:ascii="Times New Roman" w:eastAsia="Times New Roman"/>
        </w:rPr>
        <w:t>(</w:t>
      </w:r>
      <w:r>
        <w:rPr/>
        <w:t>试行，</w:t>
      </w:r>
      <w:r>
        <w:rPr>
          <w:rFonts w:ascii="Times New Roman" w:eastAsia="Times New Roman"/>
        </w:rPr>
        <w:t>2022 </w:t>
      </w:r>
      <w:r>
        <w:rPr/>
        <w:t>年版</w:t>
      </w:r>
      <w:r>
        <w:rPr>
          <w:rFonts w:ascii="Times New Roman" w:eastAsia="Times New Roman"/>
        </w:rPr>
        <w:t>)</w:t>
      </w:r>
      <w:r>
        <w:rPr/>
        <w:t>》</w:t>
      </w:r>
      <w:r>
        <w:rPr>
          <w:rFonts w:ascii="Times New Roman" w:eastAsia="Times New Roman"/>
        </w:rPr>
        <w:t>(</w:t>
      </w:r>
      <w:r>
        <w:rPr/>
        <w:t>长江办</w:t>
      </w:r>
      <w:r>
        <w:rPr>
          <w:rFonts w:ascii="Times New Roman" w:eastAsia="Times New Roman"/>
        </w:rPr>
        <w:t>[2022]7 </w:t>
      </w:r>
      <w:r>
        <w:rPr/>
        <w:t>号</w:t>
      </w:r>
      <w:r>
        <w:rPr>
          <w:rFonts w:ascii="Times New Roman" w:eastAsia="Times New Roman"/>
        </w:rPr>
        <w:t>)</w:t>
      </w:r>
      <w:r>
        <w:rPr/>
        <w:t>；</w:t>
      </w:r>
    </w:p>
    <w:p>
      <w:pPr>
        <w:pStyle w:val="BodyText"/>
        <w:spacing w:before="159"/>
        <w:ind w:left="718"/>
        <w:rPr>
          <w:rFonts w:ascii="Times New Roman" w:eastAsia="Times New Roman"/>
        </w:rPr>
      </w:pPr>
      <w:r>
        <w:rPr>
          <w:rFonts w:ascii="Times New Roman" w:eastAsia="Times New Roman"/>
        </w:rPr>
        <w:t>20</w:t>
      </w:r>
      <w:r>
        <w:rPr/>
        <w:t>、《建设项目主要污染物排放总量指标审核及管理暂行办法》</w:t>
      </w:r>
      <w:r>
        <w:rPr>
          <w:rFonts w:ascii="Times New Roman" w:eastAsia="Times New Roman"/>
        </w:rPr>
        <w:t>(</w:t>
      </w:r>
      <w:r>
        <w:rPr/>
        <w:t>环发〔</w:t>
      </w:r>
      <w:r>
        <w:rPr>
          <w:rFonts w:ascii="Times New Roman" w:eastAsia="Times New Roman"/>
        </w:rPr>
        <w:t>2014</w:t>
      </w:r>
      <w:r>
        <w:rPr/>
        <w:t>〕</w:t>
      </w:r>
      <w:r>
        <w:rPr>
          <w:rFonts w:ascii="Times New Roman" w:eastAsia="Times New Roman"/>
        </w:rPr>
        <w:t>197</w:t>
      </w:r>
    </w:p>
    <w:p>
      <w:pPr>
        <w:pStyle w:val="BodyText"/>
        <w:spacing w:before="158"/>
        <w:ind w:left="238"/>
      </w:pPr>
      <w:r>
        <w:rPr/>
        <w:t>号</w:t>
      </w:r>
      <w:r>
        <w:rPr>
          <w:rFonts w:ascii="Times New Roman" w:eastAsia="Times New Roman"/>
        </w:rPr>
        <w:t>)</w:t>
      </w:r>
      <w:r>
        <w:rPr/>
        <w:t>；</w:t>
      </w:r>
    </w:p>
    <w:p>
      <w:pPr>
        <w:pStyle w:val="BodyText"/>
        <w:spacing w:before="160"/>
        <w:ind w:left="718"/>
        <w:rPr>
          <w:rFonts w:ascii="Times New Roman" w:eastAsia="Times New Roman"/>
        </w:rPr>
      </w:pPr>
      <w:r>
        <w:rPr>
          <w:rFonts w:ascii="Times New Roman" w:eastAsia="Times New Roman"/>
        </w:rPr>
        <w:t>21</w:t>
      </w:r>
      <w:r>
        <w:rPr/>
        <w:t>、关于印发《重点行业挥发性有机物综合治理方案》的通知，环大气〔</w:t>
      </w:r>
      <w:r>
        <w:rPr>
          <w:rFonts w:ascii="Times New Roman" w:eastAsia="Times New Roman"/>
        </w:rPr>
        <w:t>2019</w:t>
      </w:r>
      <w:r>
        <w:rPr/>
        <w:t>〕</w:t>
      </w:r>
      <w:r>
        <w:rPr>
          <w:rFonts w:ascii="Times New Roman" w:eastAsia="Times New Roman"/>
        </w:rPr>
        <w:t>53</w:t>
      </w:r>
    </w:p>
    <w:p>
      <w:pPr>
        <w:pStyle w:val="BodyText"/>
        <w:spacing w:before="158"/>
        <w:ind w:left="238"/>
      </w:pPr>
      <w:r>
        <w:rPr/>
        <w:t>号。</w:t>
      </w:r>
    </w:p>
    <w:p>
      <w:pPr>
        <w:pStyle w:val="BodyText"/>
        <w:spacing w:before="161"/>
        <w:ind w:left="718"/>
      </w:pPr>
      <w:r>
        <w:rPr>
          <w:rFonts w:ascii="Times New Roman" w:eastAsia="Times New Roman"/>
        </w:rPr>
        <w:t>22</w:t>
      </w:r>
      <w:r>
        <w:rPr/>
        <w:t>、《地下水管理条例》，国务院令 </w:t>
      </w:r>
      <w:r>
        <w:rPr>
          <w:rFonts w:ascii="Times New Roman" w:eastAsia="Times New Roman"/>
        </w:rPr>
        <w:t>748 </w:t>
      </w:r>
      <w:r>
        <w:rPr/>
        <w:t>号，</w:t>
      </w:r>
      <w:r>
        <w:rPr>
          <w:rFonts w:ascii="Times New Roman" w:eastAsia="Times New Roman"/>
        </w:rPr>
        <w:t>2021.10.21 </w:t>
      </w:r>
      <w:r>
        <w:rPr/>
        <w:t>公布，</w:t>
      </w:r>
      <w:r>
        <w:rPr>
          <w:rFonts w:ascii="Times New Roman" w:eastAsia="Times New Roman"/>
        </w:rPr>
        <w:t>2021.12.1 </w:t>
      </w:r>
      <w:r>
        <w:rPr/>
        <w:t>施行。</w:t>
      </w:r>
    </w:p>
    <w:p>
      <w:pPr>
        <w:pStyle w:val="Heading4"/>
        <w:numPr>
          <w:ilvl w:val="2"/>
          <w:numId w:val="6"/>
        </w:numPr>
        <w:tabs>
          <w:tab w:pos="1019" w:val="left" w:leader="none"/>
        </w:tabs>
        <w:spacing w:line="240" w:lineRule="auto" w:before="158" w:after="0"/>
        <w:ind w:left="1018" w:right="0" w:hanging="541"/>
        <w:jc w:val="left"/>
      </w:pPr>
      <w:r>
        <w:rPr/>
        <w:t>地方法规</w:t>
      </w:r>
    </w:p>
    <w:p>
      <w:pPr>
        <w:pStyle w:val="BodyText"/>
        <w:spacing w:before="161"/>
        <w:ind w:left="718"/>
      </w:pPr>
      <w:r>
        <w:rPr>
          <w:rFonts w:ascii="Times New Roman" w:eastAsia="Times New Roman"/>
        </w:rPr>
        <w:t>1</w:t>
      </w:r>
      <w:r>
        <w:rPr>
          <w:spacing w:val="-6"/>
        </w:rPr>
        <w:t>、浙江省第十三届人大常委会第二十五次会议《浙江省水污染防治条例</w:t>
      </w:r>
      <w:r>
        <w:rPr/>
        <w:t>（修改</w:t>
      </w:r>
      <w:r>
        <w:rPr>
          <w:spacing w:val="-120"/>
        </w:rPr>
        <w:t>）</w:t>
      </w:r>
      <w:r>
        <w:rPr>
          <w:spacing w:val="-60"/>
        </w:rPr>
        <w:t>》，</w:t>
      </w:r>
    </w:p>
    <w:p>
      <w:pPr>
        <w:pStyle w:val="BodyText"/>
        <w:spacing w:before="158"/>
        <w:ind w:left="238"/>
      </w:pPr>
      <w:r>
        <w:rPr>
          <w:rFonts w:ascii="Times New Roman" w:eastAsia="Times New Roman"/>
        </w:rPr>
        <w:t>2020.11.27</w:t>
      </w:r>
      <w:r>
        <w:rPr/>
        <w:t>。</w:t>
      </w:r>
    </w:p>
    <w:p>
      <w:pPr>
        <w:pStyle w:val="BodyText"/>
        <w:spacing w:line="364" w:lineRule="auto" w:before="160"/>
        <w:ind w:left="238" w:right="233" w:firstLine="480"/>
      </w:pPr>
      <w:r>
        <w:rPr>
          <w:rFonts w:ascii="Times New Roman" w:eastAsia="Times New Roman"/>
        </w:rPr>
        <w:t>2</w:t>
      </w:r>
      <w:r>
        <w:rPr/>
        <w:t>、浙江省第十二届人大常委会第四十四次会议《浙江省固体废物污染环境防治条例（修改</w:t>
      </w:r>
      <w:r>
        <w:rPr>
          <w:spacing w:val="-120"/>
        </w:rPr>
        <w:t>）</w:t>
      </w:r>
      <w:r>
        <w:rPr>
          <w:spacing w:val="-60"/>
        </w:rPr>
        <w:t>》，</w:t>
      </w:r>
      <w:r>
        <w:rPr>
          <w:rFonts w:ascii="Times New Roman" w:eastAsia="Times New Roman"/>
        </w:rPr>
        <w:t>2017.9.30</w:t>
      </w:r>
      <w:r>
        <w:rPr/>
        <w:t>。</w:t>
      </w:r>
    </w:p>
    <w:p>
      <w:pPr>
        <w:pStyle w:val="BodyText"/>
        <w:spacing w:line="306" w:lineRule="exact"/>
        <w:ind w:left="718"/>
      </w:pPr>
      <w:r>
        <w:rPr>
          <w:rFonts w:ascii="Times New Roman" w:eastAsia="Times New Roman"/>
        </w:rPr>
        <w:t>3</w:t>
      </w:r>
      <w:r>
        <w:rPr/>
        <w:t>、浙江省第十三届人大常委会第二十五次会议《浙江省大气污染防治条例》，</w:t>
      </w:r>
    </w:p>
    <w:p>
      <w:pPr>
        <w:pStyle w:val="BodyText"/>
        <w:spacing w:before="161"/>
        <w:ind w:left="238"/>
      </w:pPr>
      <w:r>
        <w:rPr>
          <w:rFonts w:ascii="Times New Roman" w:eastAsia="Times New Roman"/>
        </w:rPr>
        <w:t>2020.11.27</w:t>
      </w:r>
      <w:r>
        <w:rPr/>
        <w:t>。</w:t>
      </w:r>
    </w:p>
    <w:p>
      <w:pPr>
        <w:pStyle w:val="BodyText"/>
        <w:spacing w:before="159"/>
        <w:ind w:left="718"/>
      </w:pPr>
      <w:r>
        <w:rPr>
          <w:rFonts w:ascii="Times New Roman" w:eastAsia="Times New Roman"/>
        </w:rPr>
        <w:t>4</w:t>
      </w:r>
      <w:r>
        <w:rPr/>
        <w:t>、浙江省人民政府令第</w:t>
      </w:r>
      <w:r>
        <w:rPr>
          <w:rFonts w:ascii="Times New Roman" w:eastAsia="Times New Roman"/>
        </w:rPr>
        <w:t>184</w:t>
      </w:r>
      <w:r>
        <w:rPr/>
        <w:t>号《浙江省危险化学品安全管理实施办法》，</w:t>
      </w:r>
      <w:r>
        <w:rPr>
          <w:rFonts w:ascii="Times New Roman" w:eastAsia="Times New Roman"/>
        </w:rPr>
        <w:t>2005.2.1</w:t>
      </w:r>
      <w:r>
        <w:rPr/>
        <w:t>。</w:t>
      </w:r>
    </w:p>
    <w:p>
      <w:pPr>
        <w:pStyle w:val="BodyText"/>
        <w:spacing w:line="362" w:lineRule="auto" w:before="160"/>
        <w:ind w:left="238" w:right="234" w:firstLine="480"/>
      </w:pPr>
      <w:r>
        <w:rPr>
          <w:rFonts w:ascii="Times New Roman" w:eastAsia="Times New Roman"/>
        </w:rPr>
        <w:t>5</w:t>
      </w:r>
      <w:r>
        <w:rPr/>
        <w:t>、浙江省第十三届人民代表大会常务委员会公告第</w:t>
      </w:r>
      <w:r>
        <w:rPr>
          <w:rFonts w:ascii="Times New Roman" w:eastAsia="Times New Roman"/>
        </w:rPr>
        <w:t>71</w:t>
      </w:r>
      <w:r>
        <w:rPr/>
        <w:t>号《浙江省生态环境保护条例》，</w:t>
      </w:r>
      <w:r>
        <w:rPr>
          <w:rFonts w:ascii="Times New Roman" w:eastAsia="Times New Roman"/>
        </w:rPr>
        <w:t>2022.8.1</w:t>
      </w:r>
      <w:r>
        <w:rPr/>
        <w:t>。</w:t>
      </w:r>
    </w:p>
    <w:p>
      <w:pPr>
        <w:pStyle w:val="BodyText"/>
        <w:spacing w:before="5"/>
        <w:ind w:left="718"/>
      </w:pPr>
      <w:r>
        <w:rPr>
          <w:rFonts w:ascii="Times New Roman" w:eastAsia="Times New Roman"/>
          <w:spacing w:val="11"/>
        </w:rPr>
        <w:t>6</w:t>
      </w:r>
      <w:r>
        <w:rPr>
          <w:spacing w:val="11"/>
        </w:rPr>
        <w:t>、浙江省人民政府令第</w:t>
      </w:r>
      <w:r>
        <w:rPr>
          <w:rFonts w:ascii="Times New Roman" w:eastAsia="Times New Roman"/>
          <w:spacing w:val="4"/>
        </w:rPr>
        <w:t>388</w:t>
      </w:r>
      <w:r>
        <w:rPr>
          <w:spacing w:val="11"/>
        </w:rPr>
        <w:t>号《浙江省建设项目环境保护管理办法（修正</w:t>
      </w:r>
      <w:r>
        <w:rPr>
          <w:spacing w:val="-106"/>
        </w:rPr>
        <w:t>）</w:t>
      </w:r>
      <w:r>
        <w:rPr>
          <w:spacing w:val="-54"/>
        </w:rPr>
        <w:t>》，</w:t>
      </w:r>
    </w:p>
    <w:p>
      <w:pPr>
        <w:pStyle w:val="BodyText"/>
        <w:spacing w:before="158"/>
        <w:ind w:left="238"/>
      </w:pPr>
      <w:r>
        <w:rPr>
          <w:rFonts w:ascii="Times New Roman" w:eastAsia="Times New Roman"/>
        </w:rPr>
        <w:t>2021.2.10</w:t>
      </w:r>
      <w:r>
        <w:rPr/>
        <w:t>。</w:t>
      </w:r>
    </w:p>
    <w:p>
      <w:pPr>
        <w:spacing w:after="0"/>
        <w:sectPr>
          <w:pgSz w:w="11910" w:h="16840"/>
          <w:pgMar w:header="874" w:footer="944" w:top="1340" w:bottom="1140" w:left="1180" w:right="1180"/>
        </w:sectPr>
      </w:pPr>
    </w:p>
    <w:p>
      <w:pPr>
        <w:pStyle w:val="BodyText"/>
        <w:spacing w:before="70"/>
        <w:ind w:left="718"/>
      </w:pPr>
      <w:r>
        <w:rPr>
          <w:rFonts w:ascii="Times New Roman" w:eastAsia="Times New Roman"/>
        </w:rPr>
        <w:t>7</w:t>
      </w:r>
      <w:r>
        <w:rPr/>
        <w:t>、浙江省人民政府浙政发</w:t>
      </w:r>
      <w:r>
        <w:rPr>
          <w:rFonts w:ascii="Times New Roman" w:eastAsia="Times New Roman"/>
        </w:rPr>
        <w:t>[2008]42 </w:t>
      </w:r>
      <w:r>
        <w:rPr/>
        <w:t>号《浙江省主要污染物总量减排管理办法》，</w:t>
      </w:r>
    </w:p>
    <w:p>
      <w:pPr>
        <w:pStyle w:val="BodyText"/>
        <w:spacing w:before="159"/>
        <w:ind w:left="238"/>
      </w:pPr>
      <w:r>
        <w:rPr>
          <w:rFonts w:ascii="Times New Roman" w:eastAsia="Times New Roman"/>
        </w:rPr>
        <w:t>2008.6.26</w:t>
      </w:r>
      <w:r>
        <w:rPr/>
        <w:t>。</w:t>
      </w:r>
    </w:p>
    <w:p>
      <w:pPr>
        <w:pStyle w:val="BodyText"/>
        <w:spacing w:line="362" w:lineRule="auto" w:before="160"/>
        <w:ind w:left="238" w:right="228" w:firstLine="480"/>
      </w:pPr>
      <w:r>
        <w:rPr>
          <w:rFonts w:ascii="Times New Roman" w:eastAsia="Times New Roman"/>
        </w:rPr>
        <w:t>8</w:t>
      </w:r>
      <w:r>
        <w:rPr/>
        <w:t>、浙江省人民政府浙政发</w:t>
      </w:r>
      <w:r>
        <w:rPr>
          <w:rFonts w:ascii="Times New Roman" w:eastAsia="Times New Roman"/>
        </w:rPr>
        <w:t>[2016]12</w:t>
      </w:r>
      <w:r>
        <w:rPr/>
        <w:t>号《关于印发浙江省水污染防治行动计划的通知》，</w:t>
      </w:r>
      <w:r>
        <w:rPr>
          <w:rFonts w:ascii="Times New Roman" w:eastAsia="Times New Roman"/>
        </w:rPr>
        <w:t>2016.3.30</w:t>
      </w:r>
      <w:r>
        <w:rPr/>
        <w:t>。</w:t>
      </w:r>
    </w:p>
    <w:p>
      <w:pPr>
        <w:pStyle w:val="BodyText"/>
        <w:spacing w:line="362" w:lineRule="auto" w:before="5"/>
        <w:ind w:left="238" w:right="235" w:firstLine="480"/>
      </w:pPr>
      <w:r>
        <w:rPr>
          <w:rFonts w:ascii="Times New Roman" w:eastAsia="Times New Roman"/>
        </w:rPr>
        <w:t>9</w:t>
      </w:r>
      <w:r>
        <w:rPr>
          <w:spacing w:val="-7"/>
        </w:rPr>
        <w:t>、浙江省人民政府浙政发</w:t>
      </w:r>
      <w:r>
        <w:rPr>
          <w:rFonts w:ascii="Times New Roman" w:eastAsia="Times New Roman"/>
        </w:rPr>
        <w:t>[2016]47</w:t>
      </w:r>
      <w:r>
        <w:rPr>
          <w:spacing w:val="-8"/>
        </w:rPr>
        <w:t>号《关于印发浙江省土壤污染防治工作方案的通</w:t>
      </w:r>
      <w:r>
        <w:rPr>
          <w:spacing w:val="-40"/>
        </w:rPr>
        <w:t>知》，</w:t>
      </w:r>
      <w:r>
        <w:rPr>
          <w:rFonts w:ascii="Times New Roman" w:eastAsia="Times New Roman"/>
        </w:rPr>
        <w:t>2016.12.29</w:t>
      </w:r>
      <w:r>
        <w:rPr/>
        <w:t>。</w:t>
      </w:r>
    </w:p>
    <w:p>
      <w:pPr>
        <w:pStyle w:val="BodyText"/>
        <w:spacing w:before="5"/>
        <w:ind w:left="718"/>
      </w:pPr>
      <w:r>
        <w:rPr>
          <w:rFonts w:ascii="Times New Roman" w:eastAsia="Times New Roman"/>
        </w:rPr>
        <w:t>10</w:t>
      </w:r>
      <w:r>
        <w:rPr/>
        <w:t>、浙江省人民政府浙政函</w:t>
      </w:r>
      <w:r>
        <w:rPr>
          <w:rFonts w:ascii="Times New Roman" w:eastAsia="Times New Roman"/>
        </w:rPr>
        <w:t>[2015]71</w:t>
      </w:r>
      <w:r>
        <w:rPr/>
        <w:t>号《浙江省水功能区水环境功能区划分方案</w:t>
      </w:r>
    </w:p>
    <w:p>
      <w:pPr>
        <w:pStyle w:val="BodyText"/>
        <w:spacing w:before="161"/>
        <w:ind w:left="118"/>
      </w:pPr>
      <w:r>
        <w:rPr/>
        <w:t>（</w:t>
      </w:r>
      <w:r>
        <w:rPr>
          <w:rFonts w:ascii="Times New Roman" w:eastAsia="Times New Roman"/>
        </w:rPr>
        <w:t>201</w:t>
      </w:r>
      <w:r>
        <w:rPr>
          <w:rFonts w:ascii="Times New Roman" w:eastAsia="Times New Roman"/>
          <w:spacing w:val="-1"/>
        </w:rPr>
        <w:t>5</w:t>
      </w:r>
      <w:r>
        <w:rPr>
          <w:spacing w:val="-120"/>
        </w:rPr>
        <w:t>）</w:t>
      </w:r>
      <w:r>
        <w:rPr>
          <w:spacing w:val="-60"/>
        </w:rPr>
        <w:t>》，</w:t>
      </w:r>
      <w:r>
        <w:rPr>
          <w:rFonts w:ascii="Times New Roman" w:eastAsia="Times New Roman"/>
        </w:rPr>
        <w:t>2015.6.30</w:t>
      </w:r>
      <w:r>
        <w:rPr/>
        <w:t>。</w:t>
      </w:r>
    </w:p>
    <w:p>
      <w:pPr>
        <w:pStyle w:val="BodyText"/>
        <w:spacing w:line="364" w:lineRule="auto" w:before="158"/>
        <w:ind w:left="238" w:right="235" w:firstLine="480"/>
      </w:pPr>
      <w:r>
        <w:rPr>
          <w:rFonts w:ascii="Times New Roman" w:hAnsi="Times New Roman" w:eastAsia="Times New Roman"/>
          <w:spacing w:val="-6"/>
        </w:rPr>
        <w:t>11</w:t>
      </w:r>
      <w:r>
        <w:rPr>
          <w:spacing w:val="-3"/>
        </w:rPr>
        <w:t>、浙江省人民政府关于浙江省</w:t>
      </w:r>
      <w:r>
        <w:rPr>
          <w:rFonts w:ascii="Times New Roman" w:hAnsi="Times New Roman" w:eastAsia="Times New Roman"/>
        </w:rPr>
        <w:t>“</w:t>
      </w:r>
      <w:r>
        <w:rPr/>
        <w:t>三线一单</w:t>
      </w:r>
      <w:r>
        <w:rPr>
          <w:rFonts w:ascii="Times New Roman" w:hAnsi="Times New Roman" w:eastAsia="Times New Roman"/>
        </w:rPr>
        <w:t>”</w:t>
      </w:r>
      <w:r>
        <w:rPr>
          <w:spacing w:val="-1"/>
        </w:rPr>
        <w:t>生态环境分区管控方案的批复</w:t>
      </w:r>
      <w:r>
        <w:rPr/>
        <w:t>（</w:t>
      </w:r>
      <w:r>
        <w:rPr>
          <w:spacing w:val="-5"/>
        </w:rPr>
        <w:t>浙政函</w:t>
      </w:r>
      <w:r>
        <w:rPr>
          <w:rFonts w:ascii="Times New Roman" w:hAnsi="Times New Roman" w:eastAsia="Times New Roman"/>
        </w:rPr>
        <w:t>[2020]41</w:t>
      </w:r>
      <w:r>
        <w:rPr/>
        <w:t>号</w:t>
      </w:r>
      <w:r>
        <w:rPr>
          <w:spacing w:val="-120"/>
        </w:rPr>
        <w:t>）</w:t>
      </w:r>
      <w:r>
        <w:rPr/>
        <w:t>。</w:t>
      </w:r>
    </w:p>
    <w:p>
      <w:pPr>
        <w:pStyle w:val="BodyText"/>
        <w:spacing w:line="364" w:lineRule="auto"/>
        <w:ind w:left="238" w:right="239" w:firstLine="480"/>
      </w:pPr>
      <w:r>
        <w:rPr>
          <w:rFonts w:ascii="Times New Roman" w:eastAsia="Times New Roman"/>
        </w:rPr>
        <w:t>12</w:t>
      </w:r>
      <w:r>
        <w:rPr/>
        <w:t>、浙江省人民政府浙政办发</w:t>
      </w:r>
      <w:r>
        <w:rPr>
          <w:rFonts w:ascii="Times New Roman" w:eastAsia="Times New Roman"/>
        </w:rPr>
        <w:t>[2010]132 </w:t>
      </w:r>
      <w:r>
        <w:rPr/>
        <w:t>号《关于印发浙江省排污权有偿使用和交易试点工作暂行办法的通知》，</w:t>
      </w:r>
      <w:r>
        <w:rPr>
          <w:rFonts w:ascii="Times New Roman" w:eastAsia="Times New Roman"/>
        </w:rPr>
        <w:t>2010.10.9</w:t>
      </w:r>
      <w:r>
        <w:rPr/>
        <w:t>。</w:t>
      </w:r>
    </w:p>
    <w:p>
      <w:pPr>
        <w:pStyle w:val="BodyText"/>
        <w:spacing w:line="364" w:lineRule="auto"/>
        <w:ind w:left="238" w:right="112" w:firstLine="480"/>
      </w:pPr>
      <w:r>
        <w:rPr>
          <w:rFonts w:ascii="Times New Roman" w:eastAsia="Times New Roman"/>
        </w:rPr>
        <w:t>13</w:t>
      </w:r>
      <w:r>
        <w:rPr>
          <w:spacing w:val="-8"/>
        </w:rPr>
        <w:t>、浙江省生态环境厅浙环发</w:t>
      </w:r>
      <w:r>
        <w:rPr>
          <w:rFonts w:ascii="Times New Roman" w:eastAsia="Times New Roman"/>
        </w:rPr>
        <w:t>[2019]22</w:t>
      </w:r>
      <w:r>
        <w:rPr>
          <w:spacing w:val="-8"/>
        </w:rPr>
        <w:t>号《浙江省生态环境厅关于发布</w:t>
      </w:r>
      <w:r>
        <w:rPr>
          <w:rFonts w:ascii="Times New Roman" w:eastAsia="Times New Roman"/>
        </w:rPr>
        <w:t>&lt;</w:t>
      </w:r>
      <w:r>
        <w:rPr/>
        <w:t>省生态环境</w:t>
      </w:r>
      <w:r>
        <w:rPr>
          <w:spacing w:val="-5"/>
        </w:rPr>
        <w:t>主管部门负责审批环境影响评价文件的建设项目清单</w:t>
      </w:r>
      <w:r>
        <w:rPr/>
        <w:t>（</w:t>
      </w:r>
      <w:r>
        <w:rPr>
          <w:rFonts w:ascii="Times New Roman" w:eastAsia="Times New Roman"/>
        </w:rPr>
        <w:t>2019</w:t>
      </w:r>
      <w:r>
        <w:rPr/>
        <w:t>年本</w:t>
      </w:r>
      <w:r>
        <w:rPr>
          <w:spacing w:val="-101"/>
        </w:rPr>
        <w:t>）</w:t>
      </w:r>
      <w:r>
        <w:rPr>
          <w:rFonts w:ascii="Times New Roman" w:eastAsia="Times New Roman"/>
          <w:spacing w:val="-1"/>
        </w:rPr>
        <w:t>&gt;</w:t>
      </w:r>
      <w:r>
        <w:rPr>
          <w:spacing w:val="-45"/>
        </w:rPr>
        <w:t>的通知》，</w:t>
      </w:r>
      <w:r>
        <w:rPr>
          <w:rFonts w:ascii="Times New Roman" w:eastAsia="Times New Roman"/>
        </w:rPr>
        <w:t>2019.12.20</w:t>
      </w:r>
      <w:r>
        <w:rPr>
          <w:spacing w:val="-15"/>
        </w:rPr>
        <w:t>。</w:t>
      </w:r>
    </w:p>
    <w:p>
      <w:pPr>
        <w:pStyle w:val="BodyText"/>
        <w:spacing w:line="364" w:lineRule="auto"/>
        <w:ind w:left="238" w:right="189" w:firstLine="480"/>
      </w:pPr>
      <w:r>
        <w:rPr>
          <w:rFonts w:ascii="Times New Roman" w:hAnsi="Times New Roman" w:eastAsia="Times New Roman"/>
        </w:rPr>
        <w:t>14</w:t>
      </w:r>
      <w:r>
        <w:rPr/>
        <w:t>、浙江省发改委、浙江省生态环境厅《关于印发浙江省生态环境保护</w:t>
      </w:r>
      <w:r>
        <w:rPr>
          <w:rFonts w:ascii="Times New Roman" w:hAnsi="Times New Roman" w:eastAsia="Times New Roman"/>
        </w:rPr>
        <w:t>“</w:t>
      </w:r>
      <w:r>
        <w:rPr/>
        <w:t>十四五</w:t>
      </w:r>
      <w:r>
        <w:rPr>
          <w:rFonts w:ascii="Times New Roman" w:hAnsi="Times New Roman" w:eastAsia="Times New Roman"/>
        </w:rPr>
        <w:t>”</w:t>
      </w:r>
      <w:r>
        <w:rPr/>
        <w:t>规划的通知》，</w:t>
      </w:r>
      <w:r>
        <w:rPr>
          <w:rFonts w:ascii="Times New Roman" w:hAnsi="Times New Roman" w:eastAsia="Times New Roman"/>
        </w:rPr>
        <w:t>2021.5.31</w:t>
      </w:r>
      <w:r>
        <w:rPr/>
        <w:t>。</w:t>
      </w:r>
    </w:p>
    <w:p>
      <w:pPr>
        <w:pStyle w:val="BodyText"/>
        <w:spacing w:line="364" w:lineRule="auto"/>
        <w:ind w:left="238" w:right="239" w:firstLine="480"/>
      </w:pPr>
      <w:r>
        <w:rPr>
          <w:rFonts w:ascii="Times New Roman" w:eastAsia="Times New Roman"/>
        </w:rPr>
        <w:t>15</w:t>
      </w:r>
      <w:r>
        <w:rPr/>
        <w:t>、浙江省环境保护厅浙环发</w:t>
      </w:r>
      <w:r>
        <w:rPr>
          <w:rFonts w:ascii="Times New Roman" w:eastAsia="Times New Roman"/>
        </w:rPr>
        <w:t>[2012]10</w:t>
      </w:r>
      <w:r>
        <w:rPr/>
        <w:t>号《关于印发浙江省建设项目主要污染物总量准入审核办法（试行）的通知》，</w:t>
      </w:r>
      <w:r>
        <w:rPr>
          <w:rFonts w:ascii="Times New Roman" w:eastAsia="Times New Roman"/>
        </w:rPr>
        <w:t>2012.4.1</w:t>
      </w:r>
      <w:r>
        <w:rPr/>
        <w:t>。</w:t>
      </w:r>
    </w:p>
    <w:p>
      <w:pPr>
        <w:pStyle w:val="BodyText"/>
        <w:spacing w:line="364" w:lineRule="auto"/>
        <w:ind w:left="238" w:right="238" w:firstLine="480"/>
      </w:pPr>
      <w:r>
        <w:rPr>
          <w:rFonts w:ascii="Times New Roman" w:eastAsia="Times New Roman"/>
        </w:rPr>
        <w:t>16</w:t>
      </w:r>
      <w:r>
        <w:rPr/>
        <w:t>、浙江省环境保护厅浙环发</w:t>
      </w:r>
      <w:r>
        <w:rPr>
          <w:rFonts w:ascii="Times New Roman" w:eastAsia="Times New Roman"/>
        </w:rPr>
        <w:t>[2014]28</w:t>
      </w:r>
      <w:r>
        <w:rPr/>
        <w:t>号《关于印发建设项目环境影响评价公众参与和政府信息公开工作的实施细则（试行）的通知》，</w:t>
      </w:r>
      <w:r>
        <w:rPr>
          <w:rFonts w:ascii="Times New Roman" w:eastAsia="Times New Roman"/>
        </w:rPr>
        <w:t>2014.7.1</w:t>
      </w:r>
      <w:r>
        <w:rPr/>
        <w:t>。</w:t>
      </w:r>
    </w:p>
    <w:p>
      <w:pPr>
        <w:pStyle w:val="BodyText"/>
        <w:spacing w:line="364" w:lineRule="auto"/>
        <w:ind w:left="238" w:right="234" w:firstLine="480"/>
        <w:rPr>
          <w:rFonts w:ascii="Times New Roman" w:eastAsia="Times New Roman"/>
        </w:rPr>
      </w:pPr>
      <w:r>
        <w:rPr>
          <w:rFonts w:ascii="Times New Roman" w:eastAsia="Times New Roman"/>
        </w:rPr>
        <w:t>17</w:t>
      </w:r>
      <w:r>
        <w:rPr>
          <w:spacing w:val="-12"/>
        </w:rPr>
        <w:t>、《浙江省环境保护厅关于印发建设项目环境影响评价信息公开相关法律法规解</w:t>
      </w:r>
      <w:r>
        <w:rPr>
          <w:spacing w:val="-30"/>
        </w:rPr>
        <w:t>读的函》</w:t>
      </w:r>
      <w:r>
        <w:rPr/>
        <w:t>（</w:t>
      </w:r>
      <w:r>
        <w:rPr>
          <w:spacing w:val="-1"/>
        </w:rPr>
        <w:t>浙环发</w:t>
      </w:r>
      <w:r>
        <w:rPr>
          <w:rFonts w:ascii="Times New Roman" w:eastAsia="Times New Roman"/>
        </w:rPr>
        <w:t>[201</w:t>
      </w:r>
      <w:r>
        <w:rPr>
          <w:rFonts w:ascii="Times New Roman" w:eastAsia="Times New Roman"/>
          <w:spacing w:val="-1"/>
        </w:rPr>
        <w:t>8</w:t>
      </w:r>
      <w:r>
        <w:rPr>
          <w:rFonts w:ascii="Times New Roman" w:eastAsia="Times New Roman"/>
          <w:spacing w:val="1"/>
        </w:rPr>
        <w:t>]</w:t>
      </w:r>
      <w:r>
        <w:rPr>
          <w:rFonts w:ascii="Times New Roman" w:eastAsia="Times New Roman"/>
        </w:rPr>
        <w:t>10</w:t>
      </w:r>
      <w:r>
        <w:rPr/>
        <w:t>号</w:t>
      </w:r>
      <w:r>
        <w:rPr>
          <w:spacing w:val="-120"/>
        </w:rPr>
        <w:t>）</w:t>
      </w:r>
      <w:r>
        <w:rPr/>
        <w:t>，</w:t>
      </w:r>
      <w:r>
        <w:rPr>
          <w:rFonts w:ascii="Times New Roman" w:eastAsia="Times New Roman"/>
        </w:rPr>
        <w:t>2018.3.22</w:t>
      </w:r>
    </w:p>
    <w:p>
      <w:pPr>
        <w:pStyle w:val="BodyText"/>
        <w:spacing w:line="362" w:lineRule="auto"/>
        <w:ind w:left="238" w:right="170" w:firstLine="480"/>
      </w:pPr>
      <w:r>
        <w:rPr>
          <w:rFonts w:ascii="Times New Roman" w:eastAsia="Times New Roman"/>
        </w:rPr>
        <w:t>18</w:t>
      </w:r>
      <w:r>
        <w:rPr/>
        <w:t>、《长江经济带发展负面清单指南</w:t>
      </w:r>
      <w:r>
        <w:rPr>
          <w:rFonts w:ascii="Times New Roman" w:eastAsia="Times New Roman"/>
        </w:rPr>
        <w:t>(</w:t>
      </w:r>
      <w:r>
        <w:rPr/>
        <w:t>试行，</w:t>
      </w:r>
      <w:r>
        <w:rPr>
          <w:rFonts w:ascii="Times New Roman" w:eastAsia="Times New Roman"/>
        </w:rPr>
        <w:t>2022</w:t>
      </w:r>
      <w:r>
        <w:rPr/>
        <w:t>年版</w:t>
      </w:r>
      <w:r>
        <w:rPr>
          <w:rFonts w:ascii="Times New Roman" w:eastAsia="Times New Roman"/>
        </w:rPr>
        <w:t>)</w:t>
      </w:r>
      <w:r>
        <w:rPr/>
        <w:t>浙江省实施细则》</w:t>
      </w:r>
      <w:r>
        <w:rPr>
          <w:rFonts w:ascii="Times New Roman" w:eastAsia="Times New Roman"/>
        </w:rPr>
        <w:t>(</w:t>
      </w:r>
      <w:r>
        <w:rPr/>
        <w:t>浙长江办</w:t>
      </w:r>
      <w:r>
        <w:rPr>
          <w:rFonts w:ascii="Times New Roman" w:eastAsia="Times New Roman"/>
        </w:rPr>
        <w:t>[2022]6</w:t>
      </w:r>
      <w:r>
        <w:rPr/>
        <w:t>号</w:t>
      </w:r>
      <w:r>
        <w:rPr>
          <w:rFonts w:ascii="Times New Roman" w:eastAsia="Times New Roman"/>
        </w:rPr>
        <w:t>)</w:t>
      </w:r>
      <w:r>
        <w:rPr/>
        <w:t>，</w:t>
      </w:r>
      <w:r>
        <w:rPr>
          <w:rFonts w:ascii="Times New Roman" w:eastAsia="Times New Roman"/>
        </w:rPr>
        <w:t>2022.3.31</w:t>
      </w:r>
      <w:r>
        <w:rPr/>
        <w:t>。</w:t>
      </w:r>
    </w:p>
    <w:p>
      <w:pPr>
        <w:pStyle w:val="BodyText"/>
        <w:spacing w:line="364" w:lineRule="auto"/>
        <w:ind w:left="238" w:right="235" w:firstLine="480"/>
      </w:pPr>
      <w:r>
        <w:rPr>
          <w:rFonts w:ascii="Times New Roman" w:hAnsi="Times New Roman" w:eastAsia="Times New Roman"/>
        </w:rPr>
        <w:t>19</w:t>
      </w:r>
      <w:r>
        <w:rPr>
          <w:spacing w:val="-10"/>
        </w:rPr>
        <w:t>、浙发改规划</w:t>
      </w:r>
      <w:r>
        <w:rPr>
          <w:rFonts w:ascii="Times New Roman" w:hAnsi="Times New Roman" w:eastAsia="Times New Roman"/>
        </w:rPr>
        <w:t>[2021]215</w:t>
      </w:r>
      <w:r>
        <w:rPr>
          <w:spacing w:val="-8"/>
        </w:rPr>
        <w:t>号《省发展改革委 省生态环境厅关于印发</w:t>
      </w:r>
      <w:r>
        <w:rPr>
          <w:rFonts w:ascii="Times New Roman" w:hAnsi="Times New Roman" w:eastAsia="Times New Roman"/>
        </w:rPr>
        <w:t>&lt;</w:t>
      </w:r>
      <w:r>
        <w:rPr>
          <w:spacing w:val="-3"/>
        </w:rPr>
        <w:t>浙江省环境空</w:t>
      </w:r>
      <w:r>
        <w:rPr/>
        <w:t>气改善“十四五”规划</w:t>
      </w:r>
      <w:r>
        <w:rPr>
          <w:rFonts w:ascii="Times New Roman" w:hAnsi="Times New Roman" w:eastAsia="Times New Roman"/>
        </w:rPr>
        <w:t>&gt;</w:t>
      </w:r>
      <w:r>
        <w:rPr>
          <w:spacing w:val="-24"/>
        </w:rPr>
        <w:t>的通知》，</w:t>
      </w:r>
      <w:r>
        <w:rPr>
          <w:rFonts w:ascii="Times New Roman" w:hAnsi="Times New Roman" w:eastAsia="Times New Roman"/>
        </w:rPr>
        <w:t>2021.5.31</w:t>
      </w:r>
      <w:r>
        <w:rPr/>
        <w:t>。</w:t>
      </w:r>
    </w:p>
    <w:p>
      <w:pPr>
        <w:pStyle w:val="BodyText"/>
        <w:spacing w:line="364" w:lineRule="auto"/>
        <w:ind w:left="238" w:right="233" w:firstLine="480"/>
        <w:jc w:val="both"/>
      </w:pPr>
      <w:r>
        <w:rPr>
          <w:rFonts w:ascii="Times New Roman" w:hAnsi="Times New Roman" w:eastAsia="Times New Roman"/>
        </w:rPr>
        <w:t>20</w:t>
      </w:r>
      <w:r>
        <w:rPr>
          <w:spacing w:val="-7"/>
        </w:rPr>
        <w:t>、浙江省生态环境厅、浙江省发展和改革委员会、浙江省经济和信息化厅、浙江</w:t>
      </w:r>
      <w:r>
        <w:rPr>
          <w:spacing w:val="-5"/>
        </w:rPr>
        <w:t>省住房和城乡建设厅、浙江省交通运输厅、浙江省市场监督管理局、国家税务总局浙江</w:t>
      </w:r>
      <w:r>
        <w:rPr/>
        <w:t>省税务局关于印发《浙江省“十四五”挥发性有机物综合治理方案》，</w:t>
      </w:r>
      <w:r>
        <w:rPr>
          <w:rFonts w:ascii="Times New Roman" w:hAnsi="Times New Roman" w:eastAsia="Times New Roman"/>
        </w:rPr>
        <w:t>2021.8.17</w:t>
      </w:r>
      <w:r>
        <w:rPr/>
        <w:t>。</w:t>
      </w:r>
    </w:p>
    <w:p>
      <w:pPr>
        <w:pStyle w:val="BodyText"/>
        <w:spacing w:line="304" w:lineRule="exact"/>
        <w:ind w:left="718"/>
      </w:pPr>
      <w:r>
        <w:rPr>
          <w:rFonts w:ascii="Times New Roman" w:eastAsia="Times New Roman"/>
        </w:rPr>
        <w:t>21</w:t>
      </w:r>
      <w:r>
        <w:rPr/>
        <w:t>、浙江省经济和信息化厅、浙江省生态环境厅、浙江省应急管理厅《关于实施化</w:t>
      </w:r>
    </w:p>
    <w:p>
      <w:pPr>
        <w:spacing w:after="0" w:line="304" w:lineRule="exact"/>
        <w:sectPr>
          <w:pgSz w:w="11910" w:h="16840"/>
          <w:pgMar w:header="874" w:footer="944" w:top="1340" w:bottom="1140" w:left="1180" w:right="1180"/>
        </w:sectPr>
      </w:pPr>
    </w:p>
    <w:p>
      <w:pPr>
        <w:pStyle w:val="BodyText"/>
        <w:spacing w:before="70"/>
        <w:ind w:left="238"/>
      </w:pPr>
      <w:r>
        <w:rPr/>
        <w:t>工园区改造提升推动园区规范发展的通知》（浙经信材料</w:t>
      </w:r>
      <w:r>
        <w:rPr>
          <w:rFonts w:ascii="Times New Roman" w:eastAsia="Times New Roman"/>
        </w:rPr>
        <w:t>[2021]77</w:t>
      </w:r>
      <w:r>
        <w:rPr/>
        <w:t>号），</w:t>
      </w:r>
      <w:r>
        <w:rPr>
          <w:rFonts w:ascii="Times New Roman" w:eastAsia="Times New Roman"/>
        </w:rPr>
        <w:t>2021.5.24</w:t>
      </w:r>
      <w:r>
        <w:rPr/>
        <w:t>。</w:t>
      </w:r>
    </w:p>
    <w:p>
      <w:pPr>
        <w:pStyle w:val="BodyText"/>
        <w:spacing w:line="364" w:lineRule="auto" w:before="159"/>
        <w:ind w:left="238" w:right="234" w:firstLine="523"/>
      </w:pPr>
      <w:r>
        <w:rPr>
          <w:rFonts w:ascii="Times New Roman" w:eastAsia="Times New Roman"/>
        </w:rPr>
        <w:t>22</w:t>
      </w:r>
      <w:r>
        <w:rPr>
          <w:spacing w:val="-15"/>
        </w:rPr>
        <w:t>、《绍兴市生态环境局关于授权各分局办理部分行政许可事项的通知》</w:t>
      </w:r>
      <w:r>
        <w:rPr>
          <w:rFonts w:ascii="Times New Roman" w:eastAsia="Times New Roman"/>
        </w:rPr>
        <w:t>(</w:t>
      </w:r>
      <w:r>
        <w:rPr>
          <w:spacing w:val="-4"/>
        </w:rPr>
        <w:t>绍市环发</w:t>
      </w:r>
      <w:r>
        <w:rPr>
          <w:rFonts w:ascii="Times New Roman" w:eastAsia="Times New Roman"/>
        </w:rPr>
        <w:t>[2020]10 </w:t>
      </w:r>
      <w:r>
        <w:rPr/>
        <w:t>号</w:t>
      </w:r>
      <w:r>
        <w:rPr>
          <w:rFonts w:ascii="Times New Roman" w:eastAsia="Times New Roman"/>
        </w:rPr>
        <w:t>)</w:t>
      </w:r>
      <w:r>
        <w:rPr/>
        <w:t>，</w:t>
      </w:r>
      <w:r>
        <w:rPr>
          <w:rFonts w:ascii="Times New Roman" w:eastAsia="Times New Roman"/>
        </w:rPr>
        <w:t>2020.03.04</w:t>
      </w:r>
      <w:r>
        <w:rPr/>
        <w:t>。</w:t>
      </w:r>
    </w:p>
    <w:p>
      <w:pPr>
        <w:pStyle w:val="BodyText"/>
        <w:spacing w:line="364" w:lineRule="auto"/>
        <w:ind w:left="238" w:right="230" w:firstLine="480"/>
      </w:pPr>
      <w:r>
        <w:rPr>
          <w:rFonts w:ascii="Times New Roman" w:hAnsi="Times New Roman" w:eastAsia="Times New Roman"/>
        </w:rPr>
        <w:t>23</w:t>
      </w:r>
      <w:r>
        <w:rPr/>
        <w:t>、关于印发《杭州湾上虞经济技术开发区</w:t>
      </w:r>
      <w:r>
        <w:rPr>
          <w:rFonts w:ascii="Times New Roman" w:hAnsi="Times New Roman" w:eastAsia="Times New Roman"/>
        </w:rPr>
        <w:t>“</w:t>
      </w:r>
      <w:r>
        <w:rPr/>
        <w:t>区域环评</w:t>
      </w:r>
      <w:r>
        <w:rPr>
          <w:rFonts w:ascii="Times New Roman" w:hAnsi="Times New Roman" w:eastAsia="Times New Roman"/>
        </w:rPr>
        <w:t>+</w:t>
      </w:r>
      <w:r>
        <w:rPr/>
        <w:t>环境标准</w:t>
      </w:r>
      <w:r>
        <w:rPr>
          <w:rFonts w:ascii="Times New Roman" w:hAnsi="Times New Roman" w:eastAsia="Times New Roman"/>
        </w:rPr>
        <w:t>”</w:t>
      </w:r>
      <w:r>
        <w:rPr/>
        <w:t>改革实施方案》的通知，虞政办发</w:t>
      </w:r>
      <w:r>
        <w:rPr>
          <w:rFonts w:ascii="Times New Roman" w:hAnsi="Times New Roman" w:eastAsia="Times New Roman"/>
        </w:rPr>
        <w:t>[2017]265 </w:t>
      </w:r>
      <w:r>
        <w:rPr/>
        <w:t>号，</w:t>
      </w:r>
      <w:r>
        <w:rPr>
          <w:rFonts w:ascii="Times New Roman" w:hAnsi="Times New Roman" w:eastAsia="Times New Roman"/>
        </w:rPr>
        <w:t>2017.12.28</w:t>
      </w:r>
      <w:r>
        <w:rPr/>
        <w:t>；</w:t>
      </w:r>
    </w:p>
    <w:p>
      <w:pPr>
        <w:pStyle w:val="BodyText"/>
        <w:spacing w:line="306" w:lineRule="exact"/>
        <w:ind w:left="718"/>
        <w:rPr>
          <w:rFonts w:ascii="Times New Roman" w:eastAsia="Times New Roman"/>
        </w:rPr>
      </w:pPr>
      <w:r>
        <w:rPr>
          <w:rFonts w:ascii="Times New Roman" w:eastAsia="Times New Roman"/>
        </w:rPr>
        <w:t>24</w:t>
      </w:r>
      <w:r>
        <w:rPr/>
        <w:t>、《绍兴市人民政府办公室关于印发绍兴市打赢蓝天保卫战行动计划（</w:t>
      </w:r>
      <w:r>
        <w:rPr>
          <w:rFonts w:ascii="Times New Roman" w:eastAsia="Times New Roman"/>
        </w:rPr>
        <w:t>2018-2020</w:t>
      </w:r>
    </w:p>
    <w:p>
      <w:pPr>
        <w:pStyle w:val="BodyText"/>
        <w:spacing w:before="159"/>
        <w:ind w:left="238"/>
      </w:pPr>
      <w:r>
        <w:rPr/>
        <w:t>年）的通知》，绍政办发</w:t>
      </w:r>
      <w:r>
        <w:rPr>
          <w:rFonts w:ascii="Times New Roman" w:eastAsia="Times New Roman"/>
        </w:rPr>
        <w:t>[2018]36 </w:t>
      </w:r>
      <w:r>
        <w:rPr/>
        <w:t>号，</w:t>
      </w:r>
      <w:r>
        <w:rPr>
          <w:rFonts w:ascii="Times New Roman" w:eastAsia="Times New Roman"/>
        </w:rPr>
        <w:t>2018.6.27</w:t>
      </w:r>
      <w:r>
        <w:rPr/>
        <w:t>。</w:t>
      </w:r>
    </w:p>
    <w:p>
      <w:pPr>
        <w:pStyle w:val="BodyText"/>
        <w:spacing w:before="161"/>
        <w:ind w:left="718"/>
      </w:pPr>
      <w:r>
        <w:rPr>
          <w:rFonts w:ascii="Times New Roman" w:eastAsia="Times New Roman"/>
        </w:rPr>
        <w:t>25</w:t>
      </w:r>
      <w:r>
        <w:rPr/>
        <w:t>、《绍兴市大气污染防治条例》，绍兴市人民代表大会常务委员会，</w:t>
      </w:r>
      <w:r>
        <w:rPr>
          <w:rFonts w:ascii="Times New Roman" w:eastAsia="Times New Roman"/>
        </w:rPr>
        <w:t>2016.10.19</w:t>
      </w:r>
      <w:r>
        <w:rPr/>
        <w:t>。</w:t>
      </w:r>
    </w:p>
    <w:p>
      <w:pPr>
        <w:pStyle w:val="BodyText"/>
        <w:spacing w:before="158"/>
        <w:ind w:left="718"/>
      </w:pPr>
      <w:r>
        <w:rPr>
          <w:rFonts w:ascii="Times New Roman" w:eastAsia="Times New Roman"/>
        </w:rPr>
        <w:t>26</w:t>
      </w:r>
      <w:r>
        <w:rPr/>
        <w:t>、《绍兴市水资源保护条例》，</w:t>
      </w:r>
      <w:r>
        <w:rPr>
          <w:rFonts w:ascii="Times New Roman" w:eastAsia="Times New Roman"/>
        </w:rPr>
        <w:t>2016.11.1</w:t>
      </w:r>
      <w:r>
        <w:rPr/>
        <w:t>。</w:t>
      </w:r>
    </w:p>
    <w:p>
      <w:pPr>
        <w:pStyle w:val="BodyText"/>
        <w:spacing w:before="161"/>
        <w:ind w:left="718"/>
        <w:rPr>
          <w:rFonts w:ascii="Times New Roman" w:eastAsia="Times New Roman"/>
        </w:rPr>
      </w:pPr>
      <w:r>
        <w:rPr>
          <w:rFonts w:ascii="Times New Roman" w:eastAsia="Times New Roman"/>
        </w:rPr>
        <w:t>27</w:t>
      </w:r>
      <w:r>
        <w:rPr/>
        <w:t>、《关于印发</w:t>
      </w:r>
      <w:r>
        <w:rPr>
          <w:rFonts w:ascii="Times New Roman" w:eastAsia="Times New Roman"/>
        </w:rPr>
        <w:t>&lt;</w:t>
      </w:r>
      <w:r>
        <w:rPr/>
        <w:t>上虞区产业建设项目环境准入指导意见</w:t>
      </w:r>
      <w:r>
        <w:rPr>
          <w:rFonts w:ascii="Times New Roman" w:eastAsia="Times New Roman"/>
        </w:rPr>
        <w:t>&gt;</w:t>
      </w:r>
      <w:r>
        <w:rPr/>
        <w:t>的通知》，区委办</w:t>
      </w:r>
      <w:r>
        <w:rPr>
          <w:rFonts w:ascii="Times New Roman" w:eastAsia="Times New Roman"/>
        </w:rPr>
        <w:t>[2016]33</w:t>
      </w:r>
    </w:p>
    <w:p>
      <w:pPr>
        <w:pStyle w:val="BodyText"/>
        <w:spacing w:before="158"/>
        <w:ind w:left="238"/>
      </w:pPr>
      <w:r>
        <w:rPr/>
        <w:t>号，</w:t>
      </w:r>
      <w:r>
        <w:rPr>
          <w:rFonts w:ascii="Times New Roman" w:eastAsia="Times New Roman"/>
        </w:rPr>
        <w:t>2016.4.13</w:t>
      </w:r>
      <w:r>
        <w:rPr/>
        <w:t>。</w:t>
      </w:r>
    </w:p>
    <w:p>
      <w:pPr>
        <w:pStyle w:val="BodyText"/>
        <w:spacing w:line="362" w:lineRule="auto" w:before="161"/>
        <w:ind w:left="238" w:right="232" w:firstLine="480"/>
      </w:pPr>
      <w:r>
        <w:rPr>
          <w:rFonts w:ascii="Times New Roman" w:eastAsia="Times New Roman"/>
        </w:rPr>
        <w:t>28</w:t>
      </w:r>
      <w:r>
        <w:rPr>
          <w:spacing w:val="-18"/>
        </w:rPr>
        <w:t>、《关于进一步明确建设项目污染物排放总量指标审核有关事项的通知》，上虞区</w:t>
      </w:r>
      <w:r>
        <w:rPr/>
        <w:t>环保局，虞环</w:t>
      </w:r>
      <w:r>
        <w:rPr>
          <w:rFonts w:ascii="Times New Roman" w:eastAsia="Times New Roman"/>
        </w:rPr>
        <w:t>[2016]12 </w:t>
      </w:r>
      <w:r>
        <w:rPr/>
        <w:t>号，</w:t>
      </w:r>
      <w:r>
        <w:rPr>
          <w:rFonts w:ascii="Times New Roman" w:eastAsia="Times New Roman"/>
        </w:rPr>
        <w:t>2016.3.1</w:t>
      </w:r>
      <w:r>
        <w:rPr/>
        <w:t>。</w:t>
      </w:r>
    </w:p>
    <w:p>
      <w:pPr>
        <w:pStyle w:val="BodyText"/>
        <w:spacing w:line="362" w:lineRule="auto" w:before="4"/>
        <w:ind w:left="238" w:right="232" w:firstLine="480"/>
      </w:pPr>
      <w:r>
        <w:rPr>
          <w:rFonts w:ascii="Times New Roman" w:eastAsia="Times New Roman"/>
        </w:rPr>
        <w:t>29</w:t>
      </w:r>
      <w:r>
        <w:rPr>
          <w:spacing w:val="-8"/>
        </w:rPr>
        <w:t>、《上虞市排污权有偿使用和交易及排污许可证发放工作实施细则》，上虞市环</w:t>
      </w:r>
      <w:r>
        <w:rPr/>
        <w:t>保局，虞环</w:t>
      </w:r>
      <w:r>
        <w:rPr>
          <w:rFonts w:ascii="Times New Roman" w:eastAsia="Times New Roman"/>
        </w:rPr>
        <w:t>[2010]65 </w:t>
      </w:r>
      <w:r>
        <w:rPr/>
        <w:t>号，</w:t>
      </w:r>
      <w:r>
        <w:rPr>
          <w:rFonts w:ascii="Times New Roman" w:eastAsia="Times New Roman"/>
        </w:rPr>
        <w:t>2010 </w:t>
      </w:r>
      <w:r>
        <w:rPr>
          <w:spacing w:val="-30"/>
        </w:rPr>
        <w:t>年 </w:t>
      </w:r>
      <w:r>
        <w:rPr>
          <w:rFonts w:ascii="Times New Roman" w:eastAsia="Times New Roman"/>
        </w:rPr>
        <w:t>11 </w:t>
      </w:r>
      <w:r>
        <w:rPr>
          <w:spacing w:val="-30"/>
        </w:rPr>
        <w:t>月 </w:t>
      </w:r>
      <w:r>
        <w:rPr>
          <w:rFonts w:ascii="Times New Roman" w:eastAsia="Times New Roman"/>
        </w:rPr>
        <w:t>9 </w:t>
      </w:r>
      <w:r>
        <w:rPr/>
        <w:t>日印发。</w:t>
      </w:r>
    </w:p>
    <w:p>
      <w:pPr>
        <w:pStyle w:val="BodyText"/>
        <w:spacing w:line="362" w:lineRule="auto" w:before="5"/>
        <w:ind w:left="238" w:right="237" w:firstLine="420"/>
      </w:pPr>
      <w:r>
        <w:rPr>
          <w:rFonts w:ascii="Times New Roman" w:eastAsia="Times New Roman"/>
        </w:rPr>
        <w:t>30</w:t>
      </w:r>
      <w:r>
        <w:rPr/>
        <w:t>、《关于印发上虞区排污有偿使用和交易管理暂行办法的通知》，上虞市人民政府办公室虞政办发</w:t>
      </w:r>
      <w:r>
        <w:rPr>
          <w:rFonts w:ascii="Times New Roman" w:eastAsia="Times New Roman"/>
        </w:rPr>
        <w:t>[2014]253 </w:t>
      </w:r>
      <w:r>
        <w:rPr/>
        <w:t>号，</w:t>
      </w:r>
      <w:r>
        <w:rPr>
          <w:rFonts w:ascii="Times New Roman" w:eastAsia="Times New Roman"/>
        </w:rPr>
        <w:t>2014 </w:t>
      </w:r>
      <w:r>
        <w:rPr/>
        <w:t>年 </w:t>
      </w:r>
      <w:r>
        <w:rPr>
          <w:rFonts w:ascii="Times New Roman" w:eastAsia="Times New Roman"/>
        </w:rPr>
        <w:t>9 </w:t>
      </w:r>
      <w:r>
        <w:rPr/>
        <w:t>月 </w:t>
      </w:r>
      <w:r>
        <w:rPr>
          <w:rFonts w:ascii="Times New Roman" w:eastAsia="Times New Roman"/>
        </w:rPr>
        <w:t>30 </w:t>
      </w:r>
      <w:r>
        <w:rPr/>
        <w:t>日印发。</w:t>
      </w:r>
    </w:p>
    <w:p>
      <w:pPr>
        <w:pStyle w:val="BodyText"/>
        <w:spacing w:line="362" w:lineRule="auto" w:before="6"/>
        <w:ind w:left="238" w:right="248" w:firstLine="480"/>
      </w:pPr>
      <w:r>
        <w:rPr>
          <w:rFonts w:ascii="Times New Roman" w:eastAsia="Times New Roman"/>
        </w:rPr>
        <w:t>31</w:t>
      </w:r>
      <w:r>
        <w:rPr/>
        <w:t>、《绍兴市上虞区人民政府办公室关于完善排污权二级市场交易制度的补充意见》，虞政办函〔</w:t>
      </w:r>
      <w:r>
        <w:rPr>
          <w:rFonts w:ascii="Times New Roman" w:eastAsia="Times New Roman"/>
        </w:rPr>
        <w:t>2019</w:t>
      </w:r>
      <w:r>
        <w:rPr/>
        <w:t>〕</w:t>
      </w:r>
      <w:r>
        <w:rPr>
          <w:rFonts w:ascii="Times New Roman" w:eastAsia="Times New Roman"/>
        </w:rPr>
        <w:t>11 </w:t>
      </w:r>
      <w:r>
        <w:rPr/>
        <w:t>号。</w:t>
      </w:r>
    </w:p>
    <w:p>
      <w:pPr>
        <w:pStyle w:val="BodyText"/>
        <w:spacing w:line="362" w:lineRule="auto" w:before="5"/>
        <w:ind w:left="238" w:right="234" w:firstLine="480"/>
      </w:pPr>
      <w:r>
        <w:rPr>
          <w:rFonts w:ascii="Times New Roman" w:eastAsia="Times New Roman"/>
        </w:rPr>
        <w:t>32</w:t>
      </w:r>
      <w:r>
        <w:rPr/>
        <w:t>、《关于印发《上虞区化工产业改造提升 </w:t>
      </w:r>
      <w:r>
        <w:rPr>
          <w:rFonts w:ascii="Times New Roman" w:eastAsia="Times New Roman"/>
        </w:rPr>
        <w:t>2.0 </w:t>
      </w:r>
      <w:r>
        <w:rPr/>
        <w:t>版实施方案（</w:t>
      </w:r>
      <w:r>
        <w:rPr>
          <w:rFonts w:ascii="Times New Roman" w:eastAsia="Times New Roman"/>
        </w:rPr>
        <w:t>2019-2022 </w:t>
      </w:r>
      <w:r>
        <w:rPr/>
        <w:t>年）》等的通知》，区委</w:t>
      </w:r>
      <w:r>
        <w:rPr>
          <w:rFonts w:ascii="Times New Roman" w:eastAsia="Times New Roman"/>
        </w:rPr>
        <w:t>[2019]47 </w:t>
      </w:r>
      <w:r>
        <w:rPr/>
        <w:t>号。</w:t>
      </w:r>
    </w:p>
    <w:p>
      <w:pPr>
        <w:pStyle w:val="Heading4"/>
        <w:numPr>
          <w:ilvl w:val="2"/>
          <w:numId w:val="6"/>
        </w:numPr>
        <w:tabs>
          <w:tab w:pos="1019" w:val="left" w:leader="none"/>
        </w:tabs>
        <w:spacing w:line="240" w:lineRule="auto" w:before="5" w:after="0"/>
        <w:ind w:left="1018" w:right="0" w:hanging="541"/>
        <w:jc w:val="left"/>
      </w:pPr>
      <w:r>
        <w:rPr/>
        <w:t>有关技术规范</w:t>
      </w:r>
    </w:p>
    <w:p>
      <w:pPr>
        <w:pStyle w:val="BodyText"/>
        <w:tabs>
          <w:tab w:pos="9067" w:val="left" w:leader="none"/>
        </w:tabs>
        <w:spacing w:line="362" w:lineRule="auto" w:before="160"/>
        <w:ind w:left="238" w:right="236" w:firstLine="480"/>
      </w:pPr>
      <w:r>
        <w:rPr>
          <w:rFonts w:ascii="Times New Roman" w:eastAsia="Times New Roman"/>
        </w:rPr>
        <w:t>1</w:t>
      </w:r>
      <w:r>
        <w:rPr/>
        <w:t>、中华人民共和国环境保护部</w:t>
      </w:r>
      <w:r>
        <w:rPr>
          <w:spacing w:val="5"/>
        </w:rPr>
        <w:t> </w:t>
      </w:r>
      <w:r>
        <w:rPr>
          <w:rFonts w:ascii="Times New Roman" w:eastAsia="Times New Roman"/>
        </w:rPr>
        <w:t>HJ2.1-2016</w:t>
      </w:r>
      <w:r>
        <w:rPr/>
        <w:t>《建设项目环境影</w:t>
      </w:r>
      <w:r>
        <w:rPr>
          <w:spacing w:val="3"/>
        </w:rPr>
        <w:t>响</w:t>
      </w:r>
      <w:r>
        <w:rPr/>
        <w:t>评价技术导则</w:t>
        <w:tab/>
      </w:r>
      <w:r>
        <w:rPr>
          <w:spacing w:val="-17"/>
        </w:rPr>
        <w:t>总</w:t>
      </w:r>
      <w:r>
        <w:rPr/>
        <w:t>纲</w:t>
      </w:r>
      <w:r>
        <w:rPr>
          <w:spacing w:val="-120"/>
        </w:rPr>
        <w:t>》</w:t>
      </w:r>
      <w:r>
        <w:rPr/>
        <w:t>，</w:t>
      </w:r>
      <w:r>
        <w:rPr>
          <w:rFonts w:ascii="Times New Roman" w:eastAsia="Times New Roman"/>
        </w:rPr>
        <w:t>2017.1.1</w:t>
      </w:r>
      <w:r>
        <w:rPr/>
        <w:t>。</w:t>
      </w:r>
    </w:p>
    <w:p>
      <w:pPr>
        <w:pStyle w:val="BodyText"/>
        <w:tabs>
          <w:tab w:pos="8027" w:val="left" w:leader="none"/>
        </w:tabs>
        <w:spacing w:before="5"/>
        <w:ind w:left="718"/>
      </w:pPr>
      <w:r>
        <w:rPr>
          <w:rFonts w:ascii="Times New Roman" w:eastAsia="Times New Roman"/>
        </w:rPr>
        <w:t>2</w:t>
      </w:r>
      <w:r>
        <w:rPr/>
        <w:t>、中华人民共和国环境保护部</w:t>
      </w:r>
      <w:r>
        <w:rPr>
          <w:spacing w:val="-61"/>
        </w:rPr>
        <w:t> </w:t>
      </w:r>
      <w:r>
        <w:rPr>
          <w:rFonts w:ascii="Times New Roman" w:eastAsia="Times New Roman"/>
        </w:rPr>
        <w:t>HJ2.2-2018</w:t>
      </w:r>
      <w:r>
        <w:rPr/>
        <w:t>《环境影响评价技术导则</w:t>
        <w:tab/>
        <w:t>大气环境</w:t>
      </w:r>
      <w:r>
        <w:rPr>
          <w:spacing w:val="-120"/>
        </w:rPr>
        <w:t>》</w:t>
      </w:r>
      <w:r>
        <w:rPr/>
        <w:t>，</w:t>
      </w:r>
    </w:p>
    <w:p>
      <w:pPr>
        <w:pStyle w:val="BodyText"/>
        <w:spacing w:before="159"/>
        <w:ind w:left="238"/>
      </w:pPr>
      <w:r>
        <w:rPr>
          <w:rFonts w:ascii="Times New Roman" w:eastAsia="Times New Roman"/>
        </w:rPr>
        <w:t>2018.12.1</w:t>
      </w:r>
      <w:r>
        <w:rPr/>
        <w:t>。</w:t>
      </w:r>
    </w:p>
    <w:p>
      <w:pPr>
        <w:pStyle w:val="BodyText"/>
        <w:tabs>
          <w:tab w:pos="6347" w:val="left" w:leader="none"/>
        </w:tabs>
        <w:spacing w:before="160"/>
        <w:ind w:left="718"/>
      </w:pPr>
      <w:r>
        <w:rPr>
          <w:rFonts w:ascii="Times New Roman" w:eastAsia="Times New Roman"/>
        </w:rPr>
        <w:t>3</w:t>
      </w:r>
      <w:r>
        <w:rPr/>
        <w:t>、生态环境部</w:t>
      </w:r>
      <w:r>
        <w:rPr>
          <w:spacing w:val="-61"/>
        </w:rPr>
        <w:t> </w:t>
      </w:r>
      <w:r>
        <w:rPr>
          <w:rFonts w:ascii="Times New Roman" w:eastAsia="Times New Roman"/>
        </w:rPr>
        <w:t>HJ2.3-2018</w:t>
      </w:r>
      <w:r>
        <w:rPr/>
        <w:t>《环境影响评价技术导则</w:t>
        <w:tab/>
        <w:t>地表水环境</w:t>
      </w:r>
      <w:r>
        <w:rPr>
          <w:spacing w:val="-120"/>
        </w:rPr>
        <w:t>》</w:t>
      </w:r>
      <w:r>
        <w:rPr/>
        <w:t>，</w:t>
      </w:r>
      <w:r>
        <w:rPr>
          <w:rFonts w:ascii="Times New Roman" w:eastAsia="Times New Roman"/>
        </w:rPr>
        <w:t>2018.3.1</w:t>
      </w:r>
      <w:r>
        <w:rPr/>
        <w:t>。</w:t>
      </w:r>
    </w:p>
    <w:p>
      <w:pPr>
        <w:pStyle w:val="BodyText"/>
        <w:tabs>
          <w:tab w:pos="8215" w:val="left" w:leader="none"/>
        </w:tabs>
        <w:spacing w:before="158"/>
        <w:ind w:left="718"/>
      </w:pPr>
      <w:r>
        <w:rPr>
          <w:rFonts w:ascii="Times New Roman" w:eastAsia="Times New Roman"/>
          <w:spacing w:val="4"/>
        </w:rPr>
        <w:t>4</w:t>
      </w:r>
      <w:r>
        <w:rPr>
          <w:spacing w:val="4"/>
        </w:rPr>
        <w:t>、中华人民共和国</w:t>
      </w:r>
      <w:r>
        <w:rPr/>
        <w:t>环</w:t>
      </w:r>
      <w:r>
        <w:rPr>
          <w:spacing w:val="4"/>
        </w:rPr>
        <w:t>境保护</w:t>
      </w:r>
      <w:r>
        <w:rPr/>
        <w:t>部</w:t>
      </w:r>
      <w:r>
        <w:rPr>
          <w:spacing w:val="7"/>
        </w:rPr>
        <w:t> </w:t>
      </w:r>
      <w:r>
        <w:rPr>
          <w:rFonts w:ascii="Times New Roman" w:eastAsia="Times New Roman"/>
        </w:rPr>
        <w:t>HJ2.4-2009</w:t>
      </w:r>
      <w:r>
        <w:rPr>
          <w:spacing w:val="4"/>
        </w:rPr>
        <w:t>《环境影响评价技术</w:t>
      </w:r>
      <w:r>
        <w:rPr/>
        <w:t>导则</w:t>
        <w:tab/>
      </w:r>
      <w:r>
        <w:rPr>
          <w:spacing w:val="4"/>
        </w:rPr>
        <w:t>声环境</w:t>
      </w:r>
      <w:r>
        <w:rPr>
          <w:spacing w:val="-116"/>
        </w:rPr>
        <w:t>》</w:t>
      </w:r>
      <w:r>
        <w:rPr/>
        <w:t>，</w:t>
      </w:r>
    </w:p>
    <w:p>
      <w:pPr>
        <w:pStyle w:val="BodyText"/>
        <w:spacing w:before="161"/>
        <w:ind w:left="238"/>
      </w:pPr>
      <w:r>
        <w:rPr>
          <w:rFonts w:ascii="Times New Roman" w:eastAsia="Times New Roman"/>
        </w:rPr>
        <w:t>2010.4.1</w:t>
      </w:r>
      <w:r>
        <w:rPr/>
        <w:t>。</w:t>
      </w:r>
    </w:p>
    <w:p>
      <w:pPr>
        <w:pStyle w:val="BodyText"/>
        <w:tabs>
          <w:tab w:pos="7869" w:val="left" w:leader="none"/>
        </w:tabs>
        <w:spacing w:before="158"/>
        <w:ind w:left="718"/>
      </w:pPr>
      <w:r>
        <w:rPr>
          <w:rFonts w:ascii="Times New Roman" w:eastAsia="Times New Roman"/>
        </w:rPr>
        <w:t>5</w:t>
      </w:r>
      <w:r>
        <w:rPr>
          <w:spacing w:val="-80"/>
        </w:rPr>
        <w:t>、</w:t>
      </w:r>
      <w:r>
        <w:rPr/>
        <w:t>中华人民共和国环境保护部</w:t>
      </w:r>
      <w:r>
        <w:rPr>
          <w:rFonts w:ascii="Times New Roman" w:eastAsia="Times New Roman"/>
          <w:spacing w:val="-9"/>
        </w:rPr>
        <w:t>HJ610-2016</w:t>
      </w:r>
      <w:r>
        <w:rPr/>
        <w:t>《环境影响评价技术导则</w:t>
        <w:tab/>
        <w:t>地下水环境</w:t>
      </w:r>
      <w:r>
        <w:rPr>
          <w:spacing w:val="-120"/>
        </w:rPr>
        <w:t>》</w:t>
      </w:r>
      <w:r>
        <w:rPr/>
        <w:t>，</w:t>
      </w:r>
    </w:p>
    <w:p>
      <w:pPr>
        <w:spacing w:after="0"/>
        <w:sectPr>
          <w:pgSz w:w="11910" w:h="16840"/>
          <w:pgMar w:header="874" w:footer="944" w:top="1340" w:bottom="1140" w:left="1180" w:right="1180"/>
        </w:sectPr>
      </w:pPr>
    </w:p>
    <w:p>
      <w:pPr>
        <w:pStyle w:val="BodyText"/>
        <w:spacing w:before="70"/>
        <w:ind w:left="238"/>
      </w:pPr>
      <w:r>
        <w:rPr>
          <w:rFonts w:ascii="Times New Roman" w:eastAsia="Times New Roman"/>
        </w:rPr>
        <w:t>2016.1.7</w:t>
      </w:r>
      <w:r>
        <w:rPr/>
        <w:t>。</w:t>
      </w:r>
    </w:p>
    <w:p>
      <w:pPr>
        <w:pStyle w:val="BodyText"/>
        <w:tabs>
          <w:tab w:pos="7989" w:val="left" w:leader="none"/>
        </w:tabs>
        <w:spacing w:before="159"/>
        <w:ind w:left="718"/>
      </w:pPr>
      <w:r>
        <w:rPr>
          <w:rFonts w:ascii="Times New Roman" w:eastAsia="Times New Roman"/>
        </w:rPr>
        <w:t>6</w:t>
      </w:r>
      <w:r>
        <w:rPr/>
        <w:t>、中华人民共和国环境保护部</w:t>
      </w:r>
      <w:r>
        <w:rPr>
          <w:spacing w:val="-33"/>
        </w:rPr>
        <w:t> </w:t>
      </w:r>
      <w:r>
        <w:rPr>
          <w:rFonts w:ascii="Times New Roman" w:eastAsia="Times New Roman"/>
        </w:rPr>
        <w:t>HJ19-2011</w:t>
      </w:r>
      <w:r>
        <w:rPr/>
        <w:t>《环境影响评价技术导则</w:t>
        <w:tab/>
        <w:t>生态影响</w:t>
      </w:r>
      <w:r>
        <w:rPr>
          <w:spacing w:val="-120"/>
        </w:rPr>
        <w:t>》</w:t>
      </w:r>
      <w:r>
        <w:rPr/>
        <w:t>，</w:t>
      </w:r>
    </w:p>
    <w:p>
      <w:pPr>
        <w:pStyle w:val="BodyText"/>
        <w:spacing w:before="160"/>
        <w:ind w:left="238"/>
      </w:pPr>
      <w:r>
        <w:rPr>
          <w:rFonts w:ascii="Times New Roman" w:eastAsia="Times New Roman"/>
        </w:rPr>
        <w:t>2011.9.1</w:t>
      </w:r>
      <w:r>
        <w:rPr/>
        <w:t>。</w:t>
      </w:r>
    </w:p>
    <w:p>
      <w:pPr>
        <w:pStyle w:val="BodyText"/>
        <w:tabs>
          <w:tab w:pos="6299" w:val="left" w:leader="none"/>
        </w:tabs>
        <w:spacing w:before="159"/>
        <w:ind w:left="718"/>
      </w:pPr>
      <w:r>
        <w:rPr>
          <w:rFonts w:ascii="Times New Roman" w:eastAsia="Times New Roman"/>
        </w:rPr>
        <w:t>7</w:t>
      </w:r>
      <w:r>
        <w:rPr>
          <w:spacing w:val="-56"/>
        </w:rPr>
        <w:t>、</w:t>
      </w:r>
      <w:r>
        <w:rPr/>
        <w:t>生态环境部</w:t>
      </w:r>
      <w:r>
        <w:rPr>
          <w:spacing w:val="-59"/>
        </w:rPr>
        <w:t> </w:t>
      </w:r>
      <w:r>
        <w:rPr>
          <w:rFonts w:ascii="Times New Roman" w:eastAsia="Times New Roman"/>
          <w:spacing w:val="-6"/>
        </w:rPr>
        <w:t>HJ964-2018</w:t>
      </w:r>
      <w:r>
        <w:rPr/>
        <w:t>《环境影响评价技术导则</w:t>
        <w:tab/>
        <w:t>土壤环</w:t>
      </w:r>
      <w:r>
        <w:rPr>
          <w:spacing w:val="-56"/>
        </w:rPr>
        <w:t>境</w:t>
      </w:r>
      <w:r>
        <w:rPr/>
        <w:t>（试行</w:t>
      </w:r>
      <w:r>
        <w:rPr>
          <w:spacing w:val="-120"/>
        </w:rPr>
        <w:t>）》</w:t>
      </w:r>
      <w:r>
        <w:rPr>
          <w:spacing w:val="-7"/>
        </w:rPr>
        <w:t>，</w:t>
      </w:r>
      <w:r>
        <w:rPr>
          <w:rFonts w:ascii="Times New Roman" w:eastAsia="Times New Roman"/>
          <w:spacing w:val="-7"/>
        </w:rPr>
        <w:t>2019.7.1</w:t>
      </w:r>
      <w:r>
        <w:rPr/>
        <w:t>。</w:t>
      </w:r>
    </w:p>
    <w:p>
      <w:pPr>
        <w:pStyle w:val="BodyText"/>
        <w:spacing w:before="160"/>
        <w:ind w:left="718"/>
      </w:pPr>
      <w:r>
        <w:rPr>
          <w:rFonts w:ascii="Times New Roman" w:eastAsia="Times New Roman"/>
        </w:rPr>
        <w:t>8</w:t>
      </w:r>
      <w:r>
        <w:rPr/>
        <w:t>、生态环境部 </w:t>
      </w:r>
      <w:r>
        <w:rPr>
          <w:rFonts w:ascii="Times New Roman" w:eastAsia="Times New Roman"/>
        </w:rPr>
        <w:t>HJ169-2018</w:t>
      </w:r>
      <w:r>
        <w:rPr/>
        <w:t>《建设项目环境风险评价技术导则》，</w:t>
      </w:r>
      <w:r>
        <w:rPr>
          <w:rFonts w:ascii="Times New Roman" w:eastAsia="Times New Roman"/>
        </w:rPr>
        <w:t>2018.3.1</w:t>
      </w:r>
      <w:r>
        <w:rPr/>
        <w:t>。</w:t>
      </w:r>
    </w:p>
    <w:p>
      <w:pPr>
        <w:pStyle w:val="BodyText"/>
        <w:spacing w:before="158"/>
        <w:ind w:left="718"/>
      </w:pPr>
      <w:r>
        <w:rPr>
          <w:rFonts w:ascii="Times New Roman" w:eastAsia="Times New Roman"/>
        </w:rPr>
        <w:t>9</w:t>
      </w:r>
      <w:r>
        <w:rPr/>
        <w:t>、中华人民共和国环境保护部 </w:t>
      </w:r>
      <w:r>
        <w:rPr>
          <w:rFonts w:ascii="Times New Roman" w:eastAsia="Times New Roman"/>
        </w:rPr>
        <w:t>HJ2000-2010</w:t>
      </w:r>
      <w:r>
        <w:rPr/>
        <w:t>《大气污染治理工程技术导则》，</w:t>
      </w:r>
    </w:p>
    <w:p>
      <w:pPr>
        <w:pStyle w:val="BodyText"/>
        <w:spacing w:before="161"/>
        <w:ind w:left="238"/>
      </w:pPr>
      <w:r>
        <w:rPr>
          <w:rFonts w:ascii="Times New Roman" w:eastAsia="Times New Roman"/>
        </w:rPr>
        <w:t>2011.3.1</w:t>
      </w:r>
      <w:r>
        <w:rPr/>
        <w:t>。</w:t>
      </w:r>
    </w:p>
    <w:p>
      <w:pPr>
        <w:pStyle w:val="BodyText"/>
        <w:spacing w:before="160"/>
        <w:ind w:left="718"/>
      </w:pPr>
      <w:r>
        <w:rPr>
          <w:rFonts w:ascii="Times New Roman" w:eastAsia="Times New Roman"/>
        </w:rPr>
        <w:t>10</w:t>
      </w:r>
      <w:r>
        <w:rPr>
          <w:spacing w:val="4"/>
        </w:rPr>
        <w:t>、原浙江省环境保护局《浙江省建设项目环境影响评价技术要点</w:t>
      </w:r>
      <w:r>
        <w:rPr>
          <w:spacing w:val="6"/>
        </w:rPr>
        <w:t>（</w:t>
      </w:r>
      <w:r>
        <w:rPr>
          <w:spacing w:val="4"/>
        </w:rPr>
        <w:t>修订版</w:t>
      </w:r>
      <w:r>
        <w:rPr>
          <w:spacing w:val="-116"/>
        </w:rPr>
        <w:t>）</w:t>
      </w:r>
      <w:r>
        <w:rPr>
          <w:spacing w:val="-56"/>
        </w:rPr>
        <w:t>》，</w:t>
      </w:r>
    </w:p>
    <w:p>
      <w:pPr>
        <w:pStyle w:val="BodyText"/>
        <w:spacing w:before="158"/>
        <w:ind w:left="238"/>
      </w:pPr>
      <w:r>
        <w:rPr>
          <w:rFonts w:ascii="Times New Roman" w:eastAsia="Times New Roman"/>
        </w:rPr>
        <w:t>2005.4</w:t>
      </w:r>
      <w:r>
        <w:rPr/>
        <w:t>。</w:t>
      </w:r>
    </w:p>
    <w:p>
      <w:pPr>
        <w:pStyle w:val="BodyText"/>
        <w:spacing w:before="161"/>
        <w:ind w:left="718"/>
      </w:pPr>
      <w:r>
        <w:rPr>
          <w:rFonts w:ascii="Times New Roman" w:eastAsia="Times New Roman"/>
          <w:spacing w:val="-6"/>
        </w:rPr>
        <w:t>11</w:t>
      </w:r>
      <w:r>
        <w:rPr>
          <w:spacing w:val="-19"/>
        </w:rPr>
        <w:t>、中华人民共和国环境保护部《建设项目危险废物环境影响评价指南》，</w:t>
      </w:r>
      <w:r>
        <w:rPr>
          <w:rFonts w:ascii="Times New Roman" w:eastAsia="Times New Roman"/>
          <w:spacing w:val="-10"/>
        </w:rPr>
        <w:t>2017.10.1</w:t>
      </w:r>
      <w:r>
        <w:rPr/>
        <w:t>。</w:t>
      </w:r>
    </w:p>
    <w:p>
      <w:pPr>
        <w:pStyle w:val="BodyText"/>
        <w:spacing w:before="158"/>
        <w:ind w:left="718"/>
      </w:pPr>
      <w:r>
        <w:rPr>
          <w:rFonts w:ascii="Times New Roman" w:eastAsia="Times New Roman"/>
        </w:rPr>
        <w:t>1</w:t>
      </w:r>
      <w:r>
        <w:rPr>
          <w:rFonts w:ascii="Times New Roman" w:eastAsia="Times New Roman"/>
          <w:spacing w:val="9"/>
        </w:rPr>
        <w:t>2</w:t>
      </w:r>
      <w:r>
        <w:rPr>
          <w:spacing w:val="6"/>
        </w:rPr>
        <w:t>、中华人民共和国环境保护部</w:t>
      </w:r>
      <w:r>
        <w:rPr>
          <w:spacing w:val="10"/>
        </w:rPr>
        <w:t>（</w:t>
      </w:r>
      <w:r>
        <w:rPr>
          <w:rFonts w:ascii="Times New Roman" w:eastAsia="Times New Roman"/>
        </w:rPr>
        <w:t>GB3433</w:t>
      </w:r>
      <w:r>
        <w:rPr>
          <w:rFonts w:ascii="Times New Roman" w:eastAsia="Times New Roman"/>
          <w:spacing w:val="-3"/>
        </w:rPr>
        <w:t>0</w:t>
      </w:r>
      <w:r>
        <w:rPr>
          <w:rFonts w:ascii="Times New Roman" w:eastAsia="Times New Roman"/>
          <w:spacing w:val="-1"/>
        </w:rPr>
        <w:t>-</w:t>
      </w:r>
      <w:r>
        <w:rPr>
          <w:rFonts w:ascii="Times New Roman" w:eastAsia="Times New Roman"/>
        </w:rPr>
        <w:t>201</w:t>
      </w:r>
      <w:r>
        <w:rPr>
          <w:rFonts w:ascii="Times New Roman" w:eastAsia="Times New Roman"/>
          <w:spacing w:val="9"/>
        </w:rPr>
        <w:t>7</w:t>
      </w:r>
      <w:r>
        <w:rPr>
          <w:spacing w:val="-111"/>
        </w:rPr>
        <w:t>）</w:t>
      </w:r>
      <w:r>
        <w:rPr>
          <w:spacing w:val="-3"/>
        </w:rPr>
        <w:t>《固体废物鉴别标准 通则》，</w:t>
      </w:r>
    </w:p>
    <w:p>
      <w:pPr>
        <w:pStyle w:val="BodyText"/>
        <w:spacing w:before="161"/>
        <w:ind w:left="238"/>
      </w:pPr>
      <w:r>
        <w:rPr>
          <w:rFonts w:ascii="Times New Roman" w:eastAsia="Times New Roman"/>
        </w:rPr>
        <w:t>2017.10.1</w:t>
      </w:r>
      <w:r>
        <w:rPr/>
        <w:t>。</w:t>
      </w:r>
    </w:p>
    <w:p>
      <w:pPr>
        <w:pStyle w:val="BodyText"/>
        <w:tabs>
          <w:tab w:pos="4919" w:val="left" w:leader="none"/>
        </w:tabs>
        <w:spacing w:before="158"/>
        <w:ind w:left="718"/>
      </w:pPr>
      <w:r>
        <w:rPr>
          <w:rFonts w:ascii="Times New Roman" w:eastAsia="Times New Roman"/>
        </w:rPr>
        <w:t>13</w:t>
      </w:r>
      <w:r>
        <w:rPr>
          <w:spacing w:val="-120"/>
        </w:rPr>
        <w:t>、</w:t>
      </w:r>
      <w:r>
        <w:rPr/>
        <w:t>《排污许可证申请与核发技术规范</w:t>
        <w:tab/>
        <w:t>农药制造工业》</w:t>
      </w:r>
      <w:r>
        <w:rPr>
          <w:rFonts w:ascii="Times New Roman" w:eastAsia="Times New Roman"/>
        </w:rPr>
        <w:t>(HJ862-2017)</w:t>
      </w:r>
      <w:r>
        <w:rPr/>
        <w:t>。</w:t>
      </w:r>
    </w:p>
    <w:p>
      <w:pPr>
        <w:pStyle w:val="BodyText"/>
        <w:tabs>
          <w:tab w:pos="4439" w:val="left" w:leader="none"/>
        </w:tabs>
        <w:spacing w:before="161"/>
        <w:ind w:left="718"/>
      </w:pPr>
      <w:r>
        <w:rPr>
          <w:rFonts w:ascii="Times New Roman" w:eastAsia="Times New Roman"/>
        </w:rPr>
        <w:t>14</w:t>
      </w:r>
      <w:r>
        <w:rPr>
          <w:spacing w:val="-120"/>
        </w:rPr>
        <w:t>、</w:t>
      </w:r>
      <w:r>
        <w:rPr/>
        <w:t>《排污单位自行监测技术指南</w:t>
        <w:tab/>
        <w:t>农药制造工业》</w:t>
      </w:r>
      <w:r>
        <w:rPr>
          <w:rFonts w:ascii="Times New Roman" w:eastAsia="Times New Roman"/>
        </w:rPr>
        <w:t>(HJ987-2018)</w:t>
      </w:r>
      <w:r>
        <w:rPr/>
        <w:t>。</w:t>
      </w:r>
    </w:p>
    <w:p>
      <w:pPr>
        <w:pStyle w:val="BodyText"/>
        <w:spacing w:before="158"/>
        <w:ind w:left="718"/>
      </w:pPr>
      <w:r>
        <w:rPr>
          <w:rFonts w:ascii="Times New Roman" w:eastAsia="Times New Roman"/>
          <w:spacing w:val="-1"/>
        </w:rPr>
        <w:t>1</w:t>
      </w:r>
      <w:r>
        <w:rPr>
          <w:rFonts w:ascii="Times New Roman" w:eastAsia="Times New Roman"/>
        </w:rPr>
        <w:t>5</w:t>
      </w:r>
      <w:r>
        <w:rPr>
          <w:spacing w:val="-18"/>
        </w:rPr>
        <w:t>、《环境影响评价技术导则 农药建设项目》</w:t>
      </w:r>
      <w:r>
        <w:rPr/>
        <w:t>（</w:t>
      </w:r>
      <w:r>
        <w:rPr>
          <w:rFonts w:ascii="Times New Roman" w:eastAsia="Times New Roman"/>
          <w:spacing w:val="-1"/>
          <w:w w:val="99"/>
        </w:rPr>
        <w:t>H</w:t>
      </w:r>
      <w:r>
        <w:rPr>
          <w:rFonts w:ascii="Times New Roman" w:eastAsia="Times New Roman"/>
          <w:w w:val="99"/>
        </w:rPr>
        <w:t>J582</w:t>
      </w:r>
      <w:r>
        <w:rPr>
          <w:rFonts w:ascii="Times New Roman" w:eastAsia="Times New Roman"/>
          <w:spacing w:val="-1"/>
          <w:w w:val="99"/>
        </w:rPr>
        <w:t>-</w:t>
      </w:r>
      <w:r>
        <w:rPr>
          <w:rFonts w:ascii="Times New Roman" w:eastAsia="Times New Roman"/>
          <w:w w:val="99"/>
        </w:rPr>
        <w:t>2010</w:t>
      </w:r>
      <w:r>
        <w:rPr>
          <w:spacing w:val="-120"/>
          <w:w w:val="99"/>
        </w:rPr>
        <w:t>）。</w:t>
      </w:r>
    </w:p>
    <w:p>
      <w:pPr>
        <w:pStyle w:val="Heading4"/>
        <w:numPr>
          <w:ilvl w:val="2"/>
          <w:numId w:val="7"/>
        </w:numPr>
        <w:tabs>
          <w:tab w:pos="1019" w:val="left" w:leader="none"/>
        </w:tabs>
        <w:spacing w:line="240" w:lineRule="auto" w:before="160" w:after="0"/>
        <w:ind w:left="1018" w:right="0" w:hanging="541"/>
        <w:jc w:val="left"/>
      </w:pPr>
      <w:r>
        <w:rPr/>
        <w:t>相关产业政策</w:t>
      </w:r>
    </w:p>
    <w:p>
      <w:pPr>
        <w:pStyle w:val="BodyText"/>
        <w:spacing w:line="364" w:lineRule="auto" w:before="158"/>
        <w:ind w:left="238" w:right="234" w:firstLine="480"/>
      </w:pPr>
      <w:r>
        <w:rPr>
          <w:rFonts w:ascii="Times New Roman" w:eastAsia="Times New Roman"/>
        </w:rPr>
        <w:t>1</w:t>
      </w:r>
      <w:r>
        <w:rPr>
          <w:spacing w:val="-19"/>
        </w:rPr>
        <w:t>、《产业结构调整指导目录</w:t>
      </w:r>
      <w:r>
        <w:rPr/>
        <w:t>（</w:t>
      </w:r>
      <w:r>
        <w:rPr>
          <w:rFonts w:ascii="Times New Roman" w:eastAsia="Times New Roman"/>
        </w:rPr>
        <w:t>2019 </w:t>
      </w:r>
      <w:r>
        <w:rPr/>
        <w:t>年本</w:t>
      </w:r>
      <w:r>
        <w:rPr>
          <w:spacing w:val="-120"/>
        </w:rPr>
        <w:t>）</w:t>
      </w:r>
      <w:r>
        <w:rPr>
          <w:spacing w:val="-15"/>
        </w:rPr>
        <w:t>》，中华人民共和国国家发展和改革委员会</w:t>
      </w:r>
      <w:r>
        <w:rPr>
          <w:spacing w:val="-20"/>
        </w:rPr>
        <w:t>令第 </w:t>
      </w:r>
      <w:r>
        <w:rPr>
          <w:rFonts w:ascii="Times New Roman" w:eastAsia="Times New Roman"/>
        </w:rPr>
        <w:t>29 </w:t>
      </w:r>
      <w:r>
        <w:rPr/>
        <w:t>号，</w:t>
      </w:r>
      <w:r>
        <w:rPr>
          <w:rFonts w:ascii="Times New Roman" w:eastAsia="Times New Roman"/>
        </w:rPr>
        <w:t>2021.12.1</w:t>
      </w:r>
      <w:r>
        <w:rPr/>
        <w:t>。</w:t>
      </w:r>
    </w:p>
    <w:p>
      <w:pPr>
        <w:pStyle w:val="BodyText"/>
        <w:spacing w:line="364" w:lineRule="auto"/>
        <w:ind w:left="238" w:right="234" w:firstLine="480"/>
      </w:pPr>
      <w:r>
        <w:rPr>
          <w:rFonts w:ascii="Times New Roman" w:eastAsia="Times New Roman"/>
        </w:rPr>
        <w:t>2</w:t>
      </w:r>
      <w:r>
        <w:rPr>
          <w:spacing w:val="-12"/>
        </w:rPr>
        <w:t>、《国家发展改革委关于修改产业结构调整指导目录</w:t>
      </w:r>
      <w:r>
        <w:rPr/>
        <w:t>（</w:t>
      </w:r>
      <w:r>
        <w:rPr>
          <w:rFonts w:ascii="Times New Roman" w:eastAsia="Times New Roman"/>
        </w:rPr>
        <w:t>2019 </w:t>
      </w:r>
      <w:r>
        <w:rPr/>
        <w:t>年本）</w:t>
      </w:r>
      <w:r>
        <w:rPr>
          <w:spacing w:val="-20"/>
        </w:rPr>
        <w:t>的决定》，国家</w:t>
      </w:r>
      <w:r>
        <w:rPr>
          <w:spacing w:val="-6"/>
        </w:rPr>
        <w:t>发展和改革委员会令第 </w:t>
      </w:r>
      <w:r>
        <w:rPr>
          <w:rFonts w:ascii="Times New Roman" w:eastAsia="Times New Roman"/>
        </w:rPr>
        <w:t>49 </w:t>
      </w:r>
      <w:r>
        <w:rPr/>
        <w:t>号，</w:t>
      </w:r>
      <w:r>
        <w:rPr>
          <w:rFonts w:ascii="Times New Roman" w:eastAsia="Times New Roman"/>
        </w:rPr>
        <w:t>2021.12.30</w:t>
      </w:r>
      <w:r>
        <w:rPr/>
        <w:t>。</w:t>
      </w:r>
    </w:p>
    <w:p>
      <w:pPr>
        <w:pStyle w:val="BodyText"/>
        <w:spacing w:line="306" w:lineRule="exact"/>
        <w:ind w:left="718"/>
      </w:pPr>
      <w:r>
        <w:rPr>
          <w:rFonts w:ascii="Times New Roman" w:eastAsia="Times New Roman"/>
        </w:rPr>
        <w:t>3</w:t>
      </w:r>
      <w:r>
        <w:rPr>
          <w:spacing w:val="-14"/>
        </w:rPr>
        <w:t>、《市场准入负面清单</w:t>
      </w:r>
      <w:r>
        <w:rPr/>
        <w:t>（</w:t>
      </w:r>
      <w:r>
        <w:rPr>
          <w:rFonts w:ascii="Times New Roman" w:eastAsia="Times New Roman"/>
        </w:rPr>
        <w:t>2022 </w:t>
      </w:r>
      <w:r>
        <w:rPr/>
        <w:t>年版</w:t>
      </w:r>
      <w:r>
        <w:rPr>
          <w:spacing w:val="-120"/>
        </w:rPr>
        <w:t>）</w:t>
      </w:r>
      <w:r>
        <w:rPr>
          <w:spacing w:val="-18"/>
        </w:rPr>
        <w:t>》，发改体改规</w:t>
      </w:r>
      <w:r>
        <w:rPr>
          <w:rFonts w:ascii="Times New Roman" w:eastAsia="Times New Roman"/>
        </w:rPr>
        <w:t>[2022]397 </w:t>
      </w:r>
      <w:r>
        <w:rPr/>
        <w:t>号，</w:t>
      </w:r>
      <w:r>
        <w:rPr>
          <w:rFonts w:ascii="Times New Roman" w:eastAsia="Times New Roman"/>
        </w:rPr>
        <w:t>2022.3.12</w:t>
      </w:r>
      <w:r>
        <w:rPr/>
        <w:t>。</w:t>
      </w:r>
    </w:p>
    <w:p>
      <w:pPr>
        <w:pStyle w:val="BodyText"/>
        <w:spacing w:before="160"/>
        <w:ind w:left="718"/>
      </w:pPr>
      <w:r>
        <w:rPr>
          <w:rFonts w:ascii="Times New Roman" w:eastAsia="Times New Roman"/>
        </w:rPr>
        <w:t>4</w:t>
      </w:r>
      <w:r>
        <w:rPr>
          <w:spacing w:val="-16"/>
        </w:rPr>
        <w:t>、《浙江省农药产业环境准入指导意见</w:t>
      </w:r>
      <w:r>
        <w:rPr/>
        <w:t>（修订</w:t>
      </w:r>
      <w:r>
        <w:rPr>
          <w:spacing w:val="-120"/>
        </w:rPr>
        <w:t>）</w:t>
      </w:r>
      <w:r>
        <w:rPr>
          <w:spacing w:val="-41"/>
        </w:rPr>
        <w:t>》，浙环发</w:t>
      </w:r>
      <w:r>
        <w:rPr>
          <w:spacing w:val="-5"/>
        </w:rPr>
        <w:t>（</w:t>
      </w:r>
      <w:r>
        <w:rPr>
          <w:rFonts w:ascii="Times New Roman" w:eastAsia="Times New Roman"/>
          <w:spacing w:val="-5"/>
        </w:rPr>
        <w:t>2016</w:t>
      </w:r>
      <w:r>
        <w:rPr>
          <w:spacing w:val="-5"/>
        </w:rPr>
        <w:t>）</w:t>
      </w:r>
      <w:r>
        <w:rPr>
          <w:rFonts w:ascii="Times New Roman" w:eastAsia="Times New Roman"/>
          <w:spacing w:val="-5"/>
        </w:rPr>
        <w:t>12</w:t>
      </w:r>
      <w:r>
        <w:rPr>
          <w:rFonts w:ascii="Times New Roman" w:eastAsia="Times New Roman"/>
          <w:spacing w:val="2"/>
        </w:rPr>
        <w:t> </w:t>
      </w:r>
      <w:r>
        <w:rPr>
          <w:spacing w:val="-2"/>
        </w:rPr>
        <w:t>号，</w:t>
      </w:r>
      <w:r>
        <w:rPr>
          <w:rFonts w:ascii="Times New Roman" w:eastAsia="Times New Roman"/>
          <w:spacing w:val="-4"/>
        </w:rPr>
        <w:t>2016.4.13</w:t>
      </w:r>
      <w:r>
        <w:rPr/>
        <w:t>。</w:t>
      </w:r>
    </w:p>
    <w:p>
      <w:pPr>
        <w:pStyle w:val="BodyText"/>
        <w:spacing w:before="160"/>
        <w:ind w:left="718"/>
      </w:pPr>
      <w:r>
        <w:rPr>
          <w:rFonts w:ascii="Times New Roman" w:eastAsia="Times New Roman"/>
        </w:rPr>
        <w:t>5</w:t>
      </w:r>
      <w:r>
        <w:rPr>
          <w:spacing w:val="-17"/>
        </w:rPr>
        <w:t>、《长江经济带发展负面清单指南</w:t>
      </w:r>
      <w:r>
        <w:rPr>
          <w:rFonts w:ascii="Times New Roman" w:eastAsia="Times New Roman"/>
        </w:rPr>
        <w:t>(</w:t>
      </w:r>
      <w:r>
        <w:rPr>
          <w:spacing w:val="-7"/>
        </w:rPr>
        <w:t>试行，</w:t>
      </w:r>
      <w:r>
        <w:rPr>
          <w:rFonts w:ascii="Times New Roman" w:eastAsia="Times New Roman"/>
          <w:spacing w:val="-19"/>
        </w:rPr>
        <w:t>2022</w:t>
      </w:r>
      <w:r>
        <w:rPr>
          <w:rFonts w:ascii="Times New Roman" w:eastAsia="Times New Roman"/>
          <w:spacing w:val="4"/>
        </w:rPr>
        <w:t> </w:t>
      </w:r>
      <w:r>
        <w:rPr/>
        <w:t>年版</w:t>
      </w:r>
      <w:r>
        <w:rPr>
          <w:rFonts w:ascii="Times New Roman" w:eastAsia="Times New Roman"/>
        </w:rPr>
        <w:t>)</w:t>
      </w:r>
      <w:r>
        <w:rPr>
          <w:spacing w:val="-44"/>
        </w:rPr>
        <w:t>》，长江办</w:t>
      </w:r>
      <w:r>
        <w:rPr>
          <w:rFonts w:ascii="Times New Roman" w:eastAsia="Times New Roman"/>
        </w:rPr>
        <w:t>[2022]7</w:t>
      </w:r>
      <w:r>
        <w:rPr>
          <w:rFonts w:ascii="Times New Roman" w:eastAsia="Times New Roman"/>
          <w:spacing w:val="5"/>
        </w:rPr>
        <w:t> </w:t>
      </w:r>
      <w:r>
        <w:rPr>
          <w:spacing w:val="-5"/>
        </w:rPr>
        <w:t>号，</w:t>
      </w:r>
      <w:r>
        <w:rPr>
          <w:rFonts w:ascii="Times New Roman" w:eastAsia="Times New Roman"/>
          <w:spacing w:val="-10"/>
        </w:rPr>
        <w:t>2022.1.19</w:t>
      </w:r>
      <w:r>
        <w:rPr/>
        <w:t>。</w:t>
      </w:r>
    </w:p>
    <w:p>
      <w:pPr>
        <w:pStyle w:val="BodyText"/>
        <w:spacing w:before="159"/>
        <w:ind w:left="718"/>
      </w:pPr>
      <w:r>
        <w:rPr>
          <w:rFonts w:ascii="Times New Roman" w:eastAsia="Times New Roman"/>
        </w:rPr>
        <w:t>6</w:t>
      </w:r>
      <w:r>
        <w:rPr/>
        <w:t>、《长江经济带发展负面清单指南</w:t>
      </w:r>
      <w:r>
        <w:rPr>
          <w:rFonts w:ascii="Times New Roman" w:eastAsia="Times New Roman"/>
        </w:rPr>
        <w:t>(</w:t>
      </w:r>
      <w:r>
        <w:rPr/>
        <w:t>试行，</w:t>
      </w:r>
      <w:r>
        <w:rPr>
          <w:rFonts w:ascii="Times New Roman" w:eastAsia="Times New Roman"/>
        </w:rPr>
        <w:t>2022 </w:t>
      </w:r>
      <w:r>
        <w:rPr/>
        <w:t>年版</w:t>
      </w:r>
      <w:r>
        <w:rPr>
          <w:rFonts w:ascii="Times New Roman" w:eastAsia="Times New Roman"/>
        </w:rPr>
        <w:t>)</w:t>
      </w:r>
      <w:r>
        <w:rPr/>
        <w:t>浙江省实施细则》，浙长江办</w:t>
      </w:r>
    </w:p>
    <w:p>
      <w:pPr>
        <w:pStyle w:val="BodyText"/>
        <w:spacing w:before="160"/>
        <w:ind w:left="238"/>
      </w:pPr>
      <w:r>
        <w:rPr>
          <w:rFonts w:ascii="Times New Roman" w:eastAsia="Times New Roman"/>
        </w:rPr>
        <w:t>[2022]6 </w:t>
      </w:r>
      <w:r>
        <w:rPr/>
        <w:t>号，</w:t>
      </w:r>
      <w:r>
        <w:rPr>
          <w:rFonts w:ascii="Times New Roman" w:eastAsia="Times New Roman"/>
        </w:rPr>
        <w:t>2022.3.31</w:t>
      </w:r>
      <w:r>
        <w:rPr/>
        <w:t>。</w:t>
      </w:r>
    </w:p>
    <w:p>
      <w:pPr>
        <w:pStyle w:val="Heading4"/>
        <w:numPr>
          <w:ilvl w:val="2"/>
          <w:numId w:val="7"/>
        </w:numPr>
        <w:tabs>
          <w:tab w:pos="1019" w:val="left" w:leader="none"/>
        </w:tabs>
        <w:spacing w:line="240" w:lineRule="auto" w:before="159" w:after="0"/>
        <w:ind w:left="1018" w:right="0" w:hanging="541"/>
        <w:jc w:val="left"/>
      </w:pPr>
      <w:r>
        <w:rPr/>
        <w:t>相关规划</w:t>
      </w:r>
    </w:p>
    <w:p>
      <w:pPr>
        <w:pStyle w:val="BodyText"/>
        <w:spacing w:before="160"/>
        <w:ind w:left="718"/>
      </w:pPr>
      <w:r>
        <w:rPr>
          <w:rFonts w:ascii="Times New Roman" w:eastAsia="Times New Roman"/>
          <w:spacing w:val="-1"/>
        </w:rPr>
        <w:t>1</w:t>
      </w:r>
      <w:r>
        <w:rPr>
          <w:spacing w:val="-16"/>
        </w:rPr>
        <w:t>、《杭州湾上虞经济技术开发区产业提升区及配套区块控规》</w:t>
      </w:r>
      <w:r>
        <w:rPr/>
        <w:t>（报批稿</w:t>
      </w:r>
      <w:r>
        <w:rPr>
          <w:spacing w:val="-120"/>
        </w:rPr>
        <w:t>）</w:t>
      </w:r>
      <w:r>
        <w:rPr/>
        <w:t>，</w:t>
      </w:r>
      <w:r>
        <w:rPr>
          <w:rFonts w:ascii="Times New Roman" w:eastAsia="Times New Roman"/>
        </w:rPr>
        <w:t>2016.8</w:t>
      </w:r>
      <w:r>
        <w:rPr/>
        <w:t>；</w:t>
      </w:r>
    </w:p>
    <w:p>
      <w:pPr>
        <w:pStyle w:val="BodyText"/>
        <w:spacing w:before="158"/>
        <w:ind w:left="718"/>
      </w:pPr>
      <w:r>
        <w:rPr>
          <w:rFonts w:ascii="Times New Roman" w:eastAsia="Times New Roman"/>
        </w:rPr>
        <w:t>2</w:t>
      </w:r>
      <w:r>
        <w:rPr>
          <w:spacing w:val="-13"/>
        </w:rPr>
        <w:t>、《上虞市市域总体规划</w:t>
      </w:r>
      <w:r>
        <w:rPr>
          <w:rFonts w:ascii="Times New Roman" w:eastAsia="Times New Roman"/>
        </w:rPr>
        <w:t>(2006-2020)</w:t>
      </w:r>
      <w:r>
        <w:rPr>
          <w:spacing w:val="-60"/>
        </w:rPr>
        <w:t>》，</w:t>
      </w:r>
      <w:r>
        <w:rPr>
          <w:rFonts w:ascii="Times New Roman" w:eastAsia="Times New Roman"/>
        </w:rPr>
        <w:t>2009.7</w:t>
      </w:r>
      <w:r>
        <w:rPr/>
        <w:t>；</w:t>
      </w:r>
    </w:p>
    <w:p>
      <w:pPr>
        <w:pStyle w:val="BodyText"/>
        <w:spacing w:line="362" w:lineRule="auto" w:before="161"/>
        <w:ind w:left="238" w:right="237" w:firstLine="480"/>
      </w:pPr>
      <w:r>
        <w:rPr>
          <w:rFonts w:ascii="Times New Roman" w:eastAsia="Times New Roman"/>
        </w:rPr>
        <w:t>3</w:t>
      </w:r>
      <w:r>
        <w:rPr>
          <w:spacing w:val="-15"/>
        </w:rPr>
        <w:t>、《杭州湾上虞经济技术开发区产业提升区及配套区控制性详细规划环境影响报告</w:t>
      </w:r>
      <w:r>
        <w:rPr/>
        <w:t>书》及审查意见（浙环函</w:t>
      </w:r>
      <w:r>
        <w:rPr>
          <w:rFonts w:ascii="Times New Roman" w:eastAsia="Times New Roman"/>
        </w:rPr>
        <w:t>[2017]427 </w:t>
      </w:r>
      <w:r>
        <w:rPr/>
        <w:t>号）；</w:t>
      </w:r>
    </w:p>
    <w:p>
      <w:pPr>
        <w:spacing w:after="0" w:line="362" w:lineRule="auto"/>
        <w:sectPr>
          <w:pgSz w:w="11910" w:h="16840"/>
          <w:pgMar w:header="874" w:footer="944" w:top="1340" w:bottom="1140" w:left="1180" w:right="1180"/>
        </w:sectPr>
      </w:pPr>
    </w:p>
    <w:p>
      <w:pPr>
        <w:pStyle w:val="BodyText"/>
        <w:spacing w:before="70"/>
        <w:ind w:left="718"/>
      </w:pPr>
      <w:r>
        <w:rPr>
          <w:rFonts w:ascii="Times New Roman" w:hAnsi="Times New Roman" w:eastAsia="Times New Roman"/>
        </w:rPr>
        <w:t>4</w:t>
      </w:r>
      <w:r>
        <w:rPr/>
        <w:t>、《绍兴市</w:t>
      </w:r>
      <w:r>
        <w:rPr>
          <w:rFonts w:ascii="Times New Roman" w:hAnsi="Times New Roman" w:eastAsia="Times New Roman"/>
        </w:rPr>
        <w:t>“</w:t>
      </w:r>
      <w:r>
        <w:rPr/>
        <w:t>三线一单</w:t>
      </w:r>
      <w:r>
        <w:rPr>
          <w:rFonts w:ascii="Times New Roman" w:hAnsi="Times New Roman" w:eastAsia="Times New Roman"/>
        </w:rPr>
        <w:t>”</w:t>
      </w:r>
      <w:r>
        <w:rPr/>
        <w:t>生态环境分区管控方案》及批复。</w:t>
      </w:r>
    </w:p>
    <w:p>
      <w:pPr>
        <w:pStyle w:val="Heading4"/>
        <w:numPr>
          <w:ilvl w:val="2"/>
          <w:numId w:val="7"/>
        </w:numPr>
        <w:tabs>
          <w:tab w:pos="1019" w:val="left" w:leader="none"/>
        </w:tabs>
        <w:spacing w:line="240" w:lineRule="auto" w:before="159" w:after="0"/>
        <w:ind w:left="1018" w:right="0" w:hanging="541"/>
        <w:jc w:val="left"/>
      </w:pPr>
      <w:r>
        <w:rPr/>
        <w:t>项目技术文件及资料</w:t>
      </w:r>
    </w:p>
    <w:p>
      <w:pPr>
        <w:spacing w:before="160"/>
        <w:ind w:left="718" w:right="0" w:firstLine="0"/>
        <w:jc w:val="left"/>
        <w:rPr>
          <w:sz w:val="24"/>
        </w:rPr>
      </w:pPr>
      <w:r>
        <w:rPr>
          <w:rFonts w:ascii="Times New Roman" w:eastAsia="Times New Roman"/>
          <w:sz w:val="24"/>
        </w:rPr>
        <w:t>1</w:t>
      </w:r>
      <w:r>
        <w:rPr>
          <w:sz w:val="24"/>
        </w:rPr>
        <w:t>、备案（赋码）信息表，</w:t>
      </w:r>
      <w:r>
        <w:rPr>
          <w:b/>
          <w:spacing w:val="-20"/>
          <w:sz w:val="24"/>
          <w:u w:val="single"/>
        </w:rPr>
        <w:t>附件 </w:t>
      </w:r>
      <w:r>
        <w:rPr>
          <w:rFonts w:ascii="Times New Roman" w:eastAsia="Times New Roman"/>
          <w:b/>
          <w:sz w:val="24"/>
          <w:u w:val="single"/>
        </w:rPr>
        <w:t>2</w:t>
      </w:r>
      <w:r>
        <w:rPr>
          <w:sz w:val="24"/>
        </w:rPr>
        <w:t>；</w:t>
      </w:r>
    </w:p>
    <w:p>
      <w:pPr>
        <w:spacing w:before="159"/>
        <w:ind w:left="718" w:right="0" w:firstLine="0"/>
        <w:jc w:val="left"/>
        <w:rPr>
          <w:sz w:val="24"/>
        </w:rPr>
      </w:pPr>
      <w:r>
        <w:rPr>
          <w:rFonts w:ascii="Times New Roman" w:eastAsia="Times New Roman"/>
          <w:sz w:val="24"/>
        </w:rPr>
        <w:t>2</w:t>
      </w:r>
      <w:r>
        <w:rPr>
          <w:sz w:val="24"/>
        </w:rPr>
        <w:t>、历年环评、批复意见，</w:t>
      </w:r>
      <w:r>
        <w:rPr>
          <w:b/>
          <w:spacing w:val="-20"/>
          <w:sz w:val="24"/>
          <w:u w:val="single"/>
        </w:rPr>
        <w:t>附件 </w:t>
      </w:r>
      <w:r>
        <w:rPr>
          <w:rFonts w:ascii="Times New Roman" w:eastAsia="Times New Roman"/>
          <w:b/>
          <w:sz w:val="24"/>
          <w:u w:val="single"/>
        </w:rPr>
        <w:t>4</w:t>
      </w:r>
      <w:r>
        <w:rPr>
          <w:sz w:val="24"/>
        </w:rPr>
        <w:t>；</w:t>
      </w:r>
    </w:p>
    <w:p>
      <w:pPr>
        <w:pStyle w:val="BodyText"/>
        <w:spacing w:line="362" w:lineRule="auto" w:before="160"/>
        <w:ind w:left="238" w:right="232" w:firstLine="480"/>
      </w:pPr>
      <w:r>
        <w:rPr>
          <w:rFonts w:ascii="Times New Roman" w:eastAsia="Times New Roman"/>
        </w:rPr>
        <w:t>3</w:t>
      </w:r>
      <w:r>
        <w:rPr/>
        <w:t>、绍兴贝斯美化工股份有限公司提供的相关资料（可行性研究报告、废水及废气处理设施设计方案等</w:t>
      </w:r>
      <w:r>
        <w:rPr>
          <w:spacing w:val="-120"/>
        </w:rPr>
        <w:t>）</w:t>
      </w:r>
      <w:r>
        <w:rPr/>
        <w:t>；</w:t>
      </w:r>
    </w:p>
    <w:p>
      <w:pPr>
        <w:pStyle w:val="BodyText"/>
        <w:spacing w:before="5"/>
        <w:ind w:left="718"/>
      </w:pPr>
      <w:r>
        <w:rPr>
          <w:rFonts w:ascii="Times New Roman" w:eastAsia="Times New Roman"/>
        </w:rPr>
        <w:t>4</w:t>
      </w:r>
      <w:r>
        <w:rPr/>
        <w:t>、绍兴贝斯美化工股份有限公司与环评单位签订的技术咨询合同。</w:t>
      </w:r>
    </w:p>
    <w:p>
      <w:pPr>
        <w:pStyle w:val="Heading3"/>
        <w:numPr>
          <w:ilvl w:val="1"/>
          <w:numId w:val="6"/>
        </w:numPr>
        <w:tabs>
          <w:tab w:pos="801" w:val="left" w:leader="none"/>
        </w:tabs>
        <w:spacing w:line="240" w:lineRule="auto" w:before="161" w:after="0"/>
        <w:ind w:left="800" w:right="0" w:hanging="421"/>
        <w:jc w:val="left"/>
      </w:pPr>
      <w:bookmarkStart w:name="_bookmark9" w:id="19"/>
      <w:bookmarkEnd w:id="19"/>
      <w:r>
        <w:rPr>
          <w:b w:val="0"/>
        </w:rPr>
      </w:r>
      <w:bookmarkStart w:name="_bookmark9" w:id="20"/>
      <w:bookmarkEnd w:id="20"/>
      <w:r>
        <w:rPr/>
        <w:t>评价因子</w:t>
      </w:r>
    </w:p>
    <w:p>
      <w:pPr>
        <w:pStyle w:val="Heading4"/>
        <w:numPr>
          <w:ilvl w:val="2"/>
          <w:numId w:val="6"/>
        </w:numPr>
        <w:tabs>
          <w:tab w:pos="1019" w:val="left" w:leader="none"/>
        </w:tabs>
        <w:spacing w:line="240" w:lineRule="auto" w:before="186" w:after="0"/>
        <w:ind w:left="1018" w:right="0" w:hanging="541"/>
        <w:jc w:val="left"/>
      </w:pPr>
      <w:r>
        <w:rPr/>
        <w:t>评价因子筛选</w:t>
      </w:r>
    </w:p>
    <w:p>
      <w:pPr>
        <w:pStyle w:val="BodyText"/>
        <w:spacing w:before="5"/>
        <w:rPr>
          <w:b/>
          <w:sz w:val="23"/>
        </w:rPr>
      </w:pPr>
    </w:p>
    <w:p>
      <w:pPr>
        <w:tabs>
          <w:tab w:pos="1223" w:val="left" w:leader="none"/>
        </w:tabs>
        <w:spacing w:before="0" w:after="29"/>
        <w:ind w:left="1" w:right="0" w:firstLine="0"/>
        <w:jc w:val="center"/>
        <w:rPr>
          <w:b/>
          <w:sz w:val="24"/>
        </w:rPr>
      </w:pPr>
      <w:r>
        <w:rPr>
          <w:b/>
          <w:sz w:val="24"/>
        </w:rPr>
        <w:t>表</w:t>
      </w:r>
      <w:r>
        <w:rPr>
          <w:b/>
          <w:spacing w:val="-60"/>
          <w:sz w:val="24"/>
        </w:rPr>
        <w:t> </w:t>
      </w:r>
      <w:r>
        <w:rPr>
          <w:rFonts w:ascii="Times New Roman" w:eastAsia="Times New Roman"/>
          <w:b/>
          <w:sz w:val="24"/>
        </w:rPr>
        <w:t>2.2.1-1</w:t>
        <w:tab/>
      </w:r>
      <w:r>
        <w:rPr>
          <w:b/>
          <w:sz w:val="24"/>
        </w:rPr>
        <w:t>污染因子识别</w:t>
      </w:r>
    </w:p>
    <w:tbl>
      <w:tblPr>
        <w:tblW w:w="0" w:type="auto"/>
        <w:jc w:val="left"/>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2"/>
        <w:gridCol w:w="1682"/>
        <w:gridCol w:w="1047"/>
        <w:gridCol w:w="794"/>
        <w:gridCol w:w="794"/>
        <w:gridCol w:w="794"/>
        <w:gridCol w:w="794"/>
        <w:gridCol w:w="794"/>
        <w:gridCol w:w="792"/>
        <w:gridCol w:w="794"/>
      </w:tblGrid>
      <w:tr>
        <w:trPr>
          <w:trHeight w:val="544" w:hRule="atLeast"/>
        </w:trPr>
        <w:tc>
          <w:tcPr>
            <w:tcW w:w="792" w:type="dxa"/>
          </w:tcPr>
          <w:p>
            <w:pPr>
              <w:pStyle w:val="TableParagraph"/>
              <w:spacing w:before="138"/>
              <w:ind w:left="184"/>
              <w:jc w:val="left"/>
              <w:rPr>
                <w:b/>
                <w:sz w:val="21"/>
              </w:rPr>
            </w:pPr>
            <w:r>
              <w:rPr>
                <w:b/>
                <w:sz w:val="21"/>
              </w:rPr>
              <w:t>类别</w:t>
            </w:r>
          </w:p>
        </w:tc>
        <w:tc>
          <w:tcPr>
            <w:tcW w:w="1682" w:type="dxa"/>
          </w:tcPr>
          <w:p>
            <w:pPr>
              <w:pStyle w:val="TableParagraph"/>
              <w:spacing w:before="138"/>
              <w:ind w:left="400" w:right="388"/>
              <w:rPr>
                <w:b/>
                <w:sz w:val="21"/>
              </w:rPr>
            </w:pPr>
            <w:r>
              <w:rPr>
                <w:b/>
                <w:sz w:val="21"/>
              </w:rPr>
              <w:t>污染因子</w:t>
            </w:r>
          </w:p>
        </w:tc>
        <w:tc>
          <w:tcPr>
            <w:tcW w:w="1047" w:type="dxa"/>
          </w:tcPr>
          <w:p>
            <w:pPr>
              <w:pStyle w:val="TableParagraph"/>
              <w:spacing w:before="1"/>
              <w:ind w:left="312"/>
              <w:jc w:val="left"/>
              <w:rPr>
                <w:b/>
                <w:sz w:val="21"/>
              </w:rPr>
            </w:pPr>
            <w:r>
              <w:rPr>
                <w:b/>
                <w:sz w:val="21"/>
              </w:rPr>
              <w:t>原料</w:t>
            </w:r>
          </w:p>
          <w:p>
            <w:pPr>
              <w:pStyle w:val="TableParagraph"/>
              <w:spacing w:line="250" w:lineRule="exact" w:before="4"/>
              <w:ind w:left="312"/>
              <w:jc w:val="left"/>
              <w:rPr>
                <w:b/>
                <w:sz w:val="21"/>
              </w:rPr>
            </w:pPr>
            <w:r>
              <w:rPr>
                <w:b/>
                <w:sz w:val="21"/>
              </w:rPr>
              <w:t>运输</w:t>
            </w:r>
          </w:p>
        </w:tc>
        <w:tc>
          <w:tcPr>
            <w:tcW w:w="794" w:type="dxa"/>
          </w:tcPr>
          <w:p>
            <w:pPr>
              <w:pStyle w:val="TableParagraph"/>
              <w:spacing w:before="1"/>
              <w:ind w:left="184"/>
              <w:jc w:val="left"/>
              <w:rPr>
                <w:b/>
                <w:sz w:val="21"/>
              </w:rPr>
            </w:pPr>
            <w:r>
              <w:rPr>
                <w:b/>
                <w:sz w:val="21"/>
              </w:rPr>
              <w:t>原料</w:t>
            </w:r>
          </w:p>
          <w:p>
            <w:pPr>
              <w:pStyle w:val="TableParagraph"/>
              <w:spacing w:line="250" w:lineRule="exact" w:before="4"/>
              <w:ind w:left="184"/>
              <w:jc w:val="left"/>
              <w:rPr>
                <w:b/>
                <w:sz w:val="21"/>
              </w:rPr>
            </w:pPr>
            <w:r>
              <w:rPr>
                <w:b/>
                <w:sz w:val="21"/>
              </w:rPr>
              <w:t>贮存</w:t>
            </w:r>
          </w:p>
        </w:tc>
        <w:tc>
          <w:tcPr>
            <w:tcW w:w="794" w:type="dxa"/>
          </w:tcPr>
          <w:p>
            <w:pPr>
              <w:pStyle w:val="TableParagraph"/>
              <w:spacing w:before="1"/>
              <w:ind w:left="185"/>
              <w:jc w:val="left"/>
              <w:rPr>
                <w:b/>
                <w:sz w:val="21"/>
              </w:rPr>
            </w:pPr>
            <w:r>
              <w:rPr>
                <w:b/>
                <w:sz w:val="21"/>
              </w:rPr>
              <w:t>生产</w:t>
            </w:r>
          </w:p>
          <w:p>
            <w:pPr>
              <w:pStyle w:val="TableParagraph"/>
              <w:spacing w:line="250" w:lineRule="exact" w:before="4"/>
              <w:ind w:left="185"/>
              <w:jc w:val="left"/>
              <w:rPr>
                <w:b/>
                <w:sz w:val="21"/>
              </w:rPr>
            </w:pPr>
            <w:r>
              <w:rPr>
                <w:b/>
                <w:sz w:val="21"/>
              </w:rPr>
              <w:t>过程</w:t>
            </w:r>
          </w:p>
        </w:tc>
        <w:tc>
          <w:tcPr>
            <w:tcW w:w="794" w:type="dxa"/>
          </w:tcPr>
          <w:p>
            <w:pPr>
              <w:pStyle w:val="TableParagraph"/>
              <w:spacing w:before="1"/>
              <w:ind w:left="186"/>
              <w:jc w:val="left"/>
              <w:rPr>
                <w:b/>
                <w:sz w:val="21"/>
              </w:rPr>
            </w:pPr>
            <w:r>
              <w:rPr>
                <w:b/>
                <w:sz w:val="21"/>
              </w:rPr>
              <w:t>职工</w:t>
            </w:r>
          </w:p>
          <w:p>
            <w:pPr>
              <w:pStyle w:val="TableParagraph"/>
              <w:spacing w:line="250" w:lineRule="exact" w:before="4"/>
              <w:ind w:left="186"/>
              <w:jc w:val="left"/>
              <w:rPr>
                <w:b/>
                <w:sz w:val="21"/>
              </w:rPr>
            </w:pPr>
            <w:r>
              <w:rPr>
                <w:b/>
                <w:sz w:val="21"/>
              </w:rPr>
              <w:t>生活</w:t>
            </w:r>
          </w:p>
        </w:tc>
        <w:tc>
          <w:tcPr>
            <w:tcW w:w="794" w:type="dxa"/>
          </w:tcPr>
          <w:p>
            <w:pPr>
              <w:pStyle w:val="TableParagraph"/>
              <w:spacing w:before="1"/>
              <w:ind w:left="186"/>
              <w:jc w:val="left"/>
              <w:rPr>
                <w:b/>
                <w:sz w:val="21"/>
              </w:rPr>
            </w:pPr>
            <w:r>
              <w:rPr>
                <w:b/>
                <w:sz w:val="21"/>
              </w:rPr>
              <w:t>产品</w:t>
            </w:r>
          </w:p>
          <w:p>
            <w:pPr>
              <w:pStyle w:val="TableParagraph"/>
              <w:spacing w:line="250" w:lineRule="exact" w:before="4"/>
              <w:ind w:left="186"/>
              <w:jc w:val="left"/>
              <w:rPr>
                <w:b/>
                <w:sz w:val="21"/>
              </w:rPr>
            </w:pPr>
            <w:r>
              <w:rPr>
                <w:b/>
                <w:sz w:val="21"/>
              </w:rPr>
              <w:t>贮存</w:t>
            </w:r>
          </w:p>
        </w:tc>
        <w:tc>
          <w:tcPr>
            <w:tcW w:w="794" w:type="dxa"/>
          </w:tcPr>
          <w:p>
            <w:pPr>
              <w:pStyle w:val="TableParagraph"/>
              <w:spacing w:before="1"/>
              <w:ind w:left="186"/>
              <w:jc w:val="left"/>
              <w:rPr>
                <w:b/>
                <w:sz w:val="21"/>
              </w:rPr>
            </w:pPr>
            <w:r>
              <w:rPr>
                <w:b/>
                <w:sz w:val="21"/>
              </w:rPr>
              <w:t>产品</w:t>
            </w:r>
          </w:p>
          <w:p>
            <w:pPr>
              <w:pStyle w:val="TableParagraph"/>
              <w:spacing w:line="250" w:lineRule="exact" w:before="4"/>
              <w:ind w:left="186"/>
              <w:jc w:val="left"/>
              <w:rPr>
                <w:b/>
                <w:sz w:val="21"/>
              </w:rPr>
            </w:pPr>
            <w:r>
              <w:rPr>
                <w:b/>
                <w:sz w:val="21"/>
              </w:rPr>
              <w:t>运输</w:t>
            </w:r>
          </w:p>
        </w:tc>
        <w:tc>
          <w:tcPr>
            <w:tcW w:w="792" w:type="dxa"/>
          </w:tcPr>
          <w:p>
            <w:pPr>
              <w:pStyle w:val="TableParagraph"/>
              <w:spacing w:before="1"/>
              <w:ind w:left="187"/>
              <w:jc w:val="left"/>
              <w:rPr>
                <w:b/>
                <w:sz w:val="21"/>
              </w:rPr>
            </w:pPr>
            <w:r>
              <w:rPr>
                <w:b/>
                <w:sz w:val="21"/>
              </w:rPr>
              <w:t>废气</w:t>
            </w:r>
          </w:p>
          <w:p>
            <w:pPr>
              <w:pStyle w:val="TableParagraph"/>
              <w:spacing w:line="250" w:lineRule="exact" w:before="4"/>
              <w:ind w:left="187"/>
              <w:jc w:val="left"/>
              <w:rPr>
                <w:b/>
                <w:sz w:val="21"/>
              </w:rPr>
            </w:pPr>
            <w:r>
              <w:rPr>
                <w:b/>
                <w:sz w:val="21"/>
              </w:rPr>
              <w:t>治理</w:t>
            </w:r>
          </w:p>
        </w:tc>
        <w:tc>
          <w:tcPr>
            <w:tcW w:w="794" w:type="dxa"/>
          </w:tcPr>
          <w:p>
            <w:pPr>
              <w:pStyle w:val="TableParagraph"/>
              <w:spacing w:before="1"/>
              <w:ind w:left="187"/>
              <w:jc w:val="left"/>
              <w:rPr>
                <w:b/>
                <w:sz w:val="21"/>
              </w:rPr>
            </w:pPr>
            <w:r>
              <w:rPr>
                <w:b/>
                <w:sz w:val="21"/>
              </w:rPr>
              <w:t>废水</w:t>
            </w:r>
          </w:p>
          <w:p>
            <w:pPr>
              <w:pStyle w:val="TableParagraph"/>
              <w:spacing w:line="250" w:lineRule="exact" w:before="4"/>
              <w:ind w:left="187"/>
              <w:jc w:val="left"/>
              <w:rPr>
                <w:b/>
                <w:sz w:val="21"/>
              </w:rPr>
            </w:pPr>
            <w:r>
              <w:rPr>
                <w:b/>
                <w:sz w:val="21"/>
              </w:rPr>
              <w:t>处理</w:t>
            </w:r>
          </w:p>
        </w:tc>
      </w:tr>
      <w:tr>
        <w:trPr>
          <w:trHeight w:val="285" w:hRule="atLeast"/>
        </w:trPr>
        <w:tc>
          <w:tcPr>
            <w:tcW w:w="792" w:type="dxa"/>
            <w:vMerge w:val="restart"/>
          </w:tcPr>
          <w:p>
            <w:pPr>
              <w:pStyle w:val="TableParagraph"/>
              <w:jc w:val="left"/>
              <w:rPr>
                <w:b/>
                <w:sz w:val="20"/>
              </w:rPr>
            </w:pPr>
          </w:p>
          <w:p>
            <w:pPr>
              <w:pStyle w:val="TableParagraph"/>
              <w:spacing w:before="11"/>
              <w:jc w:val="left"/>
              <w:rPr>
                <w:b/>
                <w:sz w:val="14"/>
              </w:rPr>
            </w:pPr>
          </w:p>
          <w:p>
            <w:pPr>
              <w:pStyle w:val="TableParagraph"/>
              <w:ind w:left="184"/>
              <w:jc w:val="left"/>
              <w:rPr>
                <w:sz w:val="21"/>
              </w:rPr>
            </w:pPr>
            <w:r>
              <w:rPr>
                <w:sz w:val="21"/>
              </w:rPr>
              <w:t>废水</w:t>
            </w:r>
          </w:p>
        </w:tc>
        <w:tc>
          <w:tcPr>
            <w:tcW w:w="1682" w:type="dxa"/>
          </w:tcPr>
          <w:p>
            <w:pPr>
              <w:pStyle w:val="TableParagraph"/>
              <w:spacing w:before="22"/>
              <w:ind w:left="400" w:right="388"/>
              <w:rPr>
                <w:rFonts w:ascii="Times New Roman"/>
                <w:sz w:val="21"/>
              </w:rPr>
            </w:pPr>
            <w:r>
              <w:rPr>
                <w:rFonts w:ascii="Times New Roman"/>
                <w:sz w:val="21"/>
              </w:rPr>
              <w:t>CODcr</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22"/>
              <w:ind w:left="11"/>
              <w:rPr>
                <w:rFonts w:ascii="Times New Roman" w:hAnsi="Times New Roman"/>
                <w:sz w:val="21"/>
              </w:rPr>
            </w:pPr>
            <w:r>
              <w:rPr>
                <w:rFonts w:ascii="Times New Roman" w:hAnsi="Times New Roman"/>
                <w:w w:val="100"/>
                <w:sz w:val="21"/>
              </w:rPr>
              <w:t>●</w:t>
            </w:r>
          </w:p>
        </w:tc>
        <w:tc>
          <w:tcPr>
            <w:tcW w:w="794" w:type="dxa"/>
          </w:tcPr>
          <w:p>
            <w:pPr>
              <w:pStyle w:val="TableParagraph"/>
              <w:spacing w:before="22"/>
              <w:ind w:left="13"/>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spacing w:before="22"/>
              <w:ind w:right="316"/>
              <w:jc w:val="right"/>
              <w:rPr>
                <w:rFonts w:ascii="Times New Roman" w:hAnsi="Times New Roman"/>
                <w:sz w:val="21"/>
              </w:rPr>
            </w:pPr>
            <w:r>
              <w:rPr>
                <w:rFonts w:ascii="Times New Roman" w:hAnsi="Times New Roman"/>
                <w:w w:val="100"/>
                <w:sz w:val="21"/>
              </w:rPr>
              <w:t>●</w:t>
            </w:r>
          </w:p>
        </w:tc>
        <w:tc>
          <w:tcPr>
            <w:tcW w:w="794" w:type="dxa"/>
          </w:tcPr>
          <w:p>
            <w:pPr>
              <w:pStyle w:val="TableParagraph"/>
              <w:spacing w:before="22"/>
              <w:ind w:left="17"/>
              <w:rPr>
                <w:rFonts w:ascii="Times New Roman" w:hAnsi="Times New Roman"/>
                <w:sz w:val="21"/>
              </w:rPr>
            </w:pPr>
            <w:r>
              <w:rPr>
                <w:rFonts w:ascii="Times New Roman" w:hAnsi="Times New Roman"/>
                <w:w w:val="100"/>
                <w:sz w:val="21"/>
              </w:rPr>
              <w:t>●</w:t>
            </w:r>
          </w:p>
        </w:tc>
      </w:tr>
      <w:tr>
        <w:trPr>
          <w:trHeight w:val="282" w:hRule="atLeast"/>
        </w:trPr>
        <w:tc>
          <w:tcPr>
            <w:tcW w:w="792" w:type="dxa"/>
            <w:vMerge/>
            <w:tcBorders>
              <w:top w:val="nil"/>
            </w:tcBorders>
          </w:tcPr>
          <w:p>
            <w:pPr>
              <w:rPr>
                <w:sz w:val="2"/>
                <w:szCs w:val="2"/>
              </w:rPr>
            </w:pPr>
          </w:p>
        </w:tc>
        <w:tc>
          <w:tcPr>
            <w:tcW w:w="1682" w:type="dxa"/>
          </w:tcPr>
          <w:p>
            <w:pPr>
              <w:pStyle w:val="TableParagraph"/>
              <w:spacing w:line="244" w:lineRule="exact" w:before="19"/>
              <w:ind w:left="396" w:right="388"/>
              <w:rPr>
                <w:rFonts w:ascii="Times New Roman"/>
                <w:sz w:val="21"/>
              </w:rPr>
            </w:pPr>
            <w:r>
              <w:rPr>
                <w:rFonts w:ascii="Times New Roman"/>
                <w:position w:val="2"/>
                <w:sz w:val="21"/>
              </w:rPr>
              <w:t>NH</w:t>
            </w:r>
            <w:r>
              <w:rPr>
                <w:rFonts w:ascii="Times New Roman"/>
                <w:sz w:val="14"/>
              </w:rPr>
              <w:t>3</w:t>
            </w:r>
            <w:r>
              <w:rPr>
                <w:rFonts w:ascii="Times New Roman"/>
                <w:position w:val="2"/>
                <w:sz w:val="21"/>
              </w:rPr>
              <w:t>-N</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19"/>
              <w:ind w:left="11"/>
              <w:rPr>
                <w:rFonts w:ascii="Times New Roman" w:hAnsi="Times New Roman"/>
                <w:sz w:val="21"/>
              </w:rPr>
            </w:pPr>
            <w:r>
              <w:rPr>
                <w:rFonts w:ascii="Times New Roman" w:hAnsi="Times New Roman"/>
                <w:w w:val="100"/>
                <w:sz w:val="21"/>
              </w:rPr>
              <w:t>●</w:t>
            </w:r>
          </w:p>
        </w:tc>
        <w:tc>
          <w:tcPr>
            <w:tcW w:w="794" w:type="dxa"/>
          </w:tcPr>
          <w:p>
            <w:pPr>
              <w:pStyle w:val="TableParagraph"/>
              <w:spacing w:before="19"/>
              <w:ind w:left="13"/>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spacing w:before="19"/>
              <w:ind w:right="316"/>
              <w:jc w:val="right"/>
              <w:rPr>
                <w:rFonts w:ascii="Times New Roman" w:hAnsi="Times New Roman"/>
                <w:sz w:val="21"/>
              </w:rPr>
            </w:pPr>
            <w:r>
              <w:rPr>
                <w:rFonts w:ascii="Times New Roman" w:hAnsi="Times New Roman"/>
                <w:w w:val="100"/>
                <w:sz w:val="21"/>
              </w:rPr>
              <w:t>●</w:t>
            </w:r>
          </w:p>
        </w:tc>
        <w:tc>
          <w:tcPr>
            <w:tcW w:w="794" w:type="dxa"/>
          </w:tcPr>
          <w:p>
            <w:pPr>
              <w:pStyle w:val="TableParagraph"/>
              <w:spacing w:before="19"/>
              <w:ind w:left="17"/>
              <w:rPr>
                <w:rFonts w:ascii="Times New Roman" w:hAnsi="Times New Roman"/>
                <w:sz w:val="21"/>
              </w:rPr>
            </w:pPr>
            <w:r>
              <w:rPr>
                <w:rFonts w:ascii="Times New Roman" w:hAnsi="Times New Roman"/>
                <w:w w:val="100"/>
                <w:sz w:val="21"/>
              </w:rPr>
              <w:t>●</w:t>
            </w:r>
          </w:p>
        </w:tc>
      </w:tr>
      <w:tr>
        <w:trPr>
          <w:trHeight w:val="285" w:hRule="atLeast"/>
        </w:trPr>
        <w:tc>
          <w:tcPr>
            <w:tcW w:w="792" w:type="dxa"/>
            <w:vMerge/>
            <w:tcBorders>
              <w:top w:val="nil"/>
            </w:tcBorders>
          </w:tcPr>
          <w:p>
            <w:pPr>
              <w:rPr>
                <w:sz w:val="2"/>
                <w:szCs w:val="2"/>
              </w:rPr>
            </w:pPr>
          </w:p>
        </w:tc>
        <w:tc>
          <w:tcPr>
            <w:tcW w:w="1682" w:type="dxa"/>
          </w:tcPr>
          <w:p>
            <w:pPr>
              <w:pStyle w:val="TableParagraph"/>
              <w:spacing w:line="257" w:lineRule="exact" w:before="8"/>
              <w:ind w:left="400" w:right="388"/>
              <w:rPr>
                <w:sz w:val="21"/>
              </w:rPr>
            </w:pPr>
            <w:r>
              <w:rPr>
                <w:sz w:val="21"/>
              </w:rPr>
              <w:t>总氮</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22"/>
              <w:ind w:left="11"/>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spacing w:before="22"/>
              <w:ind w:right="316"/>
              <w:jc w:val="right"/>
              <w:rPr>
                <w:rFonts w:ascii="Times New Roman" w:hAnsi="Times New Roman"/>
                <w:sz w:val="21"/>
              </w:rPr>
            </w:pPr>
            <w:r>
              <w:rPr>
                <w:rFonts w:ascii="Times New Roman" w:hAnsi="Times New Roman"/>
                <w:w w:val="100"/>
                <w:sz w:val="21"/>
              </w:rPr>
              <w:t>●</w:t>
            </w:r>
          </w:p>
        </w:tc>
        <w:tc>
          <w:tcPr>
            <w:tcW w:w="794" w:type="dxa"/>
          </w:tcPr>
          <w:p>
            <w:pPr>
              <w:pStyle w:val="TableParagraph"/>
              <w:spacing w:before="22"/>
              <w:ind w:left="17"/>
              <w:rPr>
                <w:rFonts w:ascii="Times New Roman" w:hAnsi="Times New Roman"/>
                <w:sz w:val="21"/>
              </w:rPr>
            </w:pPr>
            <w:r>
              <w:rPr>
                <w:rFonts w:ascii="Times New Roman" w:hAnsi="Times New Roman"/>
                <w:w w:val="100"/>
                <w:sz w:val="21"/>
              </w:rPr>
              <w:t>●</w:t>
            </w:r>
          </w:p>
        </w:tc>
      </w:tr>
      <w:tr>
        <w:trPr>
          <w:trHeight w:val="282" w:hRule="atLeast"/>
        </w:trPr>
        <w:tc>
          <w:tcPr>
            <w:tcW w:w="792" w:type="dxa"/>
            <w:vMerge/>
            <w:tcBorders>
              <w:top w:val="nil"/>
            </w:tcBorders>
          </w:tcPr>
          <w:p>
            <w:pPr>
              <w:rPr>
                <w:sz w:val="2"/>
                <w:szCs w:val="2"/>
              </w:rPr>
            </w:pPr>
          </w:p>
        </w:tc>
        <w:tc>
          <w:tcPr>
            <w:tcW w:w="1682" w:type="dxa"/>
          </w:tcPr>
          <w:p>
            <w:pPr>
              <w:pStyle w:val="TableParagraph"/>
              <w:spacing w:line="257" w:lineRule="exact" w:before="6"/>
              <w:ind w:left="400" w:right="388"/>
              <w:rPr>
                <w:sz w:val="21"/>
              </w:rPr>
            </w:pPr>
            <w:r>
              <w:rPr>
                <w:sz w:val="21"/>
              </w:rPr>
              <w:t>三环唑</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19"/>
              <w:ind w:left="11"/>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spacing w:before="19"/>
              <w:ind w:right="316"/>
              <w:jc w:val="right"/>
              <w:rPr>
                <w:rFonts w:ascii="Times New Roman" w:hAnsi="Times New Roman"/>
                <w:sz w:val="21"/>
              </w:rPr>
            </w:pPr>
            <w:r>
              <w:rPr>
                <w:rFonts w:ascii="Times New Roman" w:hAnsi="Times New Roman"/>
                <w:w w:val="100"/>
                <w:sz w:val="21"/>
              </w:rPr>
              <w:t>●</w:t>
            </w:r>
          </w:p>
        </w:tc>
        <w:tc>
          <w:tcPr>
            <w:tcW w:w="794" w:type="dxa"/>
          </w:tcPr>
          <w:p>
            <w:pPr>
              <w:pStyle w:val="TableParagraph"/>
              <w:spacing w:before="19"/>
              <w:ind w:left="17"/>
              <w:rPr>
                <w:rFonts w:ascii="Times New Roman" w:hAnsi="Times New Roman"/>
                <w:sz w:val="21"/>
              </w:rPr>
            </w:pPr>
            <w:r>
              <w:rPr>
                <w:rFonts w:ascii="Times New Roman" w:hAnsi="Times New Roman"/>
                <w:w w:val="100"/>
                <w:sz w:val="21"/>
              </w:rPr>
              <w:t>●</w:t>
            </w:r>
          </w:p>
        </w:tc>
      </w:tr>
      <w:tr>
        <w:trPr>
          <w:trHeight w:val="285" w:hRule="atLeast"/>
        </w:trPr>
        <w:tc>
          <w:tcPr>
            <w:tcW w:w="792" w:type="dxa"/>
            <w:vMerge w:val="restart"/>
          </w:tcPr>
          <w:p>
            <w:pPr>
              <w:pStyle w:val="TableParagraph"/>
              <w:spacing w:before="6"/>
              <w:jc w:val="left"/>
              <w:rPr>
                <w:b/>
                <w:sz w:val="23"/>
              </w:rPr>
            </w:pPr>
          </w:p>
          <w:p>
            <w:pPr>
              <w:pStyle w:val="TableParagraph"/>
              <w:ind w:left="184"/>
              <w:jc w:val="left"/>
              <w:rPr>
                <w:sz w:val="21"/>
              </w:rPr>
            </w:pPr>
            <w:r>
              <w:rPr>
                <w:sz w:val="21"/>
              </w:rPr>
              <w:t>废气</w:t>
            </w:r>
          </w:p>
        </w:tc>
        <w:tc>
          <w:tcPr>
            <w:tcW w:w="1682" w:type="dxa"/>
          </w:tcPr>
          <w:p>
            <w:pPr>
              <w:pStyle w:val="TableParagraph"/>
              <w:spacing w:line="257" w:lineRule="exact" w:before="8"/>
              <w:ind w:left="400" w:right="388"/>
              <w:rPr>
                <w:sz w:val="21"/>
              </w:rPr>
            </w:pPr>
            <w:r>
              <w:rPr>
                <w:sz w:val="21"/>
              </w:rPr>
              <w:t>甲酸</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22"/>
              <w:ind w:left="249" w:right="240"/>
              <w:rPr>
                <w:rFonts w:ascii="Times New Roman" w:hAnsi="Times New Roman"/>
                <w:sz w:val="21"/>
              </w:rPr>
            </w:pPr>
            <w:r>
              <w:rPr>
                <w:rFonts w:ascii="Times New Roman" w:hAnsi="Times New Roman"/>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jc w:val="left"/>
              <w:rPr>
                <w:rFonts w:ascii="Times New Roman"/>
                <w:sz w:val="20"/>
              </w:rPr>
            </w:pPr>
          </w:p>
        </w:tc>
        <w:tc>
          <w:tcPr>
            <w:tcW w:w="794" w:type="dxa"/>
          </w:tcPr>
          <w:p>
            <w:pPr>
              <w:pStyle w:val="TableParagraph"/>
              <w:jc w:val="left"/>
              <w:rPr>
                <w:rFonts w:ascii="Times New Roman"/>
                <w:sz w:val="20"/>
              </w:rPr>
            </w:pPr>
          </w:p>
        </w:tc>
      </w:tr>
      <w:tr>
        <w:trPr>
          <w:trHeight w:val="282" w:hRule="atLeast"/>
        </w:trPr>
        <w:tc>
          <w:tcPr>
            <w:tcW w:w="792" w:type="dxa"/>
            <w:vMerge/>
            <w:tcBorders>
              <w:top w:val="nil"/>
            </w:tcBorders>
          </w:tcPr>
          <w:p>
            <w:pPr>
              <w:rPr>
                <w:sz w:val="2"/>
                <w:szCs w:val="2"/>
              </w:rPr>
            </w:pPr>
          </w:p>
        </w:tc>
        <w:tc>
          <w:tcPr>
            <w:tcW w:w="1682" w:type="dxa"/>
          </w:tcPr>
          <w:p>
            <w:pPr>
              <w:pStyle w:val="TableParagraph"/>
              <w:spacing w:line="257" w:lineRule="exact" w:before="6"/>
              <w:ind w:left="400" w:right="388"/>
              <w:rPr>
                <w:sz w:val="21"/>
              </w:rPr>
            </w:pPr>
            <w:r>
              <w:rPr>
                <w:sz w:val="21"/>
              </w:rPr>
              <w:t>粉尘</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19"/>
              <w:ind w:left="249" w:right="240"/>
              <w:rPr>
                <w:rFonts w:ascii="Times New Roman" w:hAnsi="Times New Roman"/>
                <w:sz w:val="21"/>
              </w:rPr>
            </w:pPr>
            <w:r>
              <w:rPr>
                <w:rFonts w:ascii="Times New Roman" w:hAnsi="Times New Roman"/>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jc w:val="left"/>
              <w:rPr>
                <w:rFonts w:ascii="Times New Roman"/>
                <w:sz w:val="20"/>
              </w:rPr>
            </w:pPr>
          </w:p>
        </w:tc>
        <w:tc>
          <w:tcPr>
            <w:tcW w:w="794" w:type="dxa"/>
          </w:tcPr>
          <w:p>
            <w:pPr>
              <w:pStyle w:val="TableParagraph"/>
              <w:jc w:val="left"/>
              <w:rPr>
                <w:rFonts w:ascii="Times New Roman"/>
                <w:sz w:val="20"/>
              </w:rPr>
            </w:pPr>
          </w:p>
        </w:tc>
      </w:tr>
      <w:tr>
        <w:trPr>
          <w:trHeight w:val="285" w:hRule="atLeast"/>
        </w:trPr>
        <w:tc>
          <w:tcPr>
            <w:tcW w:w="792" w:type="dxa"/>
            <w:vMerge/>
            <w:tcBorders>
              <w:top w:val="nil"/>
            </w:tcBorders>
          </w:tcPr>
          <w:p>
            <w:pPr>
              <w:rPr>
                <w:sz w:val="2"/>
                <w:szCs w:val="2"/>
              </w:rPr>
            </w:pPr>
          </w:p>
        </w:tc>
        <w:tc>
          <w:tcPr>
            <w:tcW w:w="1682" w:type="dxa"/>
          </w:tcPr>
          <w:p>
            <w:pPr>
              <w:pStyle w:val="TableParagraph"/>
              <w:spacing w:line="257" w:lineRule="exact" w:before="8"/>
              <w:ind w:left="397" w:right="388"/>
              <w:rPr>
                <w:sz w:val="21"/>
              </w:rPr>
            </w:pPr>
            <w:r>
              <w:rPr>
                <w:sz w:val="21"/>
              </w:rPr>
              <w:t>臭气浓度</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jc w:val="left"/>
              <w:rPr>
                <w:rFonts w:ascii="Times New Roman"/>
                <w:sz w:val="20"/>
              </w:rPr>
            </w:pPr>
          </w:p>
        </w:tc>
        <w:tc>
          <w:tcPr>
            <w:tcW w:w="794" w:type="dxa"/>
          </w:tcPr>
          <w:p>
            <w:pPr>
              <w:pStyle w:val="TableParagraph"/>
              <w:spacing w:before="22"/>
              <w:ind w:left="17"/>
              <w:rPr>
                <w:rFonts w:ascii="Times New Roman" w:hAnsi="Times New Roman"/>
                <w:sz w:val="21"/>
              </w:rPr>
            </w:pPr>
            <w:r>
              <w:rPr>
                <w:rFonts w:ascii="Times New Roman" w:hAnsi="Times New Roman"/>
                <w:w w:val="100"/>
                <w:sz w:val="21"/>
              </w:rPr>
              <w:t>●</w:t>
            </w:r>
          </w:p>
        </w:tc>
      </w:tr>
      <w:tr>
        <w:trPr>
          <w:trHeight w:val="282" w:hRule="atLeast"/>
        </w:trPr>
        <w:tc>
          <w:tcPr>
            <w:tcW w:w="792" w:type="dxa"/>
          </w:tcPr>
          <w:p>
            <w:pPr>
              <w:pStyle w:val="TableParagraph"/>
              <w:spacing w:line="257" w:lineRule="exact" w:before="6"/>
              <w:ind w:left="184"/>
              <w:jc w:val="left"/>
              <w:rPr>
                <w:sz w:val="21"/>
              </w:rPr>
            </w:pPr>
            <w:r>
              <w:rPr>
                <w:sz w:val="21"/>
              </w:rPr>
              <w:t>噪声</w:t>
            </w:r>
          </w:p>
        </w:tc>
        <w:tc>
          <w:tcPr>
            <w:tcW w:w="1682" w:type="dxa"/>
          </w:tcPr>
          <w:p>
            <w:pPr>
              <w:pStyle w:val="TableParagraph"/>
              <w:spacing w:line="257" w:lineRule="exact" w:before="6"/>
              <w:ind w:left="400" w:right="388"/>
              <w:rPr>
                <w:sz w:val="21"/>
              </w:rPr>
            </w:pPr>
            <w:r>
              <w:rPr>
                <w:sz w:val="21"/>
              </w:rPr>
              <w:t>噪声</w:t>
            </w:r>
          </w:p>
        </w:tc>
        <w:tc>
          <w:tcPr>
            <w:tcW w:w="1047" w:type="dxa"/>
          </w:tcPr>
          <w:p>
            <w:pPr>
              <w:pStyle w:val="TableParagraph"/>
              <w:spacing w:before="19"/>
              <w:ind w:left="8"/>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spacing w:before="19"/>
              <w:ind w:left="11"/>
              <w:rPr>
                <w:rFonts w:ascii="Times New Roman" w:hAnsi="Times New Roman"/>
                <w:sz w:val="21"/>
              </w:rPr>
            </w:pPr>
            <w:r>
              <w:rPr>
                <w:rFonts w:ascii="Times New Roman" w:hAnsi="Times New Roman"/>
                <w:w w:val="100"/>
                <w:sz w:val="21"/>
              </w:rPr>
              <w:t>●</w:t>
            </w:r>
          </w:p>
        </w:tc>
        <w:tc>
          <w:tcPr>
            <w:tcW w:w="794" w:type="dxa"/>
          </w:tcPr>
          <w:p>
            <w:pPr>
              <w:pStyle w:val="TableParagraph"/>
              <w:spacing w:before="19"/>
              <w:ind w:left="13"/>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spacing w:before="19"/>
              <w:ind w:left="15"/>
              <w:rPr>
                <w:rFonts w:ascii="Times New Roman" w:hAnsi="Times New Roman"/>
                <w:sz w:val="21"/>
              </w:rPr>
            </w:pPr>
            <w:r>
              <w:rPr>
                <w:rFonts w:ascii="Times New Roman" w:hAnsi="Times New Roman"/>
                <w:w w:val="100"/>
                <w:sz w:val="21"/>
              </w:rPr>
              <w:t>●</w:t>
            </w:r>
          </w:p>
        </w:tc>
        <w:tc>
          <w:tcPr>
            <w:tcW w:w="792" w:type="dxa"/>
          </w:tcPr>
          <w:p>
            <w:pPr>
              <w:pStyle w:val="TableParagraph"/>
              <w:spacing w:before="19"/>
              <w:ind w:right="316"/>
              <w:jc w:val="right"/>
              <w:rPr>
                <w:rFonts w:ascii="Times New Roman" w:hAnsi="Times New Roman"/>
                <w:sz w:val="21"/>
              </w:rPr>
            </w:pPr>
            <w:r>
              <w:rPr>
                <w:rFonts w:ascii="Times New Roman" w:hAnsi="Times New Roman"/>
                <w:w w:val="100"/>
                <w:sz w:val="21"/>
              </w:rPr>
              <w:t>●</w:t>
            </w:r>
          </w:p>
        </w:tc>
        <w:tc>
          <w:tcPr>
            <w:tcW w:w="794" w:type="dxa"/>
          </w:tcPr>
          <w:p>
            <w:pPr>
              <w:pStyle w:val="TableParagraph"/>
              <w:spacing w:before="19"/>
              <w:ind w:left="17"/>
              <w:rPr>
                <w:rFonts w:ascii="Times New Roman" w:hAnsi="Times New Roman"/>
                <w:sz w:val="21"/>
              </w:rPr>
            </w:pPr>
            <w:r>
              <w:rPr>
                <w:rFonts w:ascii="Times New Roman" w:hAnsi="Times New Roman"/>
                <w:w w:val="100"/>
                <w:sz w:val="21"/>
              </w:rPr>
              <w:t>●</w:t>
            </w:r>
          </w:p>
        </w:tc>
      </w:tr>
      <w:tr>
        <w:trPr>
          <w:trHeight w:val="285" w:hRule="atLeast"/>
        </w:trPr>
        <w:tc>
          <w:tcPr>
            <w:tcW w:w="792" w:type="dxa"/>
            <w:vMerge w:val="restart"/>
          </w:tcPr>
          <w:p>
            <w:pPr>
              <w:pStyle w:val="TableParagraph"/>
              <w:spacing w:before="6"/>
              <w:jc w:val="left"/>
              <w:rPr>
                <w:b/>
                <w:sz w:val="23"/>
              </w:rPr>
            </w:pPr>
          </w:p>
          <w:p>
            <w:pPr>
              <w:pStyle w:val="TableParagraph"/>
              <w:ind w:left="184"/>
              <w:jc w:val="left"/>
              <w:rPr>
                <w:sz w:val="21"/>
              </w:rPr>
            </w:pPr>
            <w:r>
              <w:rPr>
                <w:sz w:val="21"/>
              </w:rPr>
              <w:t>固废</w:t>
            </w:r>
          </w:p>
        </w:tc>
        <w:tc>
          <w:tcPr>
            <w:tcW w:w="1682" w:type="dxa"/>
          </w:tcPr>
          <w:p>
            <w:pPr>
              <w:pStyle w:val="TableParagraph"/>
              <w:spacing w:line="257" w:lineRule="exact" w:before="8"/>
              <w:ind w:left="397" w:right="388"/>
              <w:rPr>
                <w:sz w:val="21"/>
              </w:rPr>
            </w:pPr>
            <w:r>
              <w:rPr>
                <w:sz w:val="21"/>
              </w:rPr>
              <w:t>废包装袋</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22"/>
              <w:ind w:left="11"/>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jc w:val="left"/>
              <w:rPr>
                <w:rFonts w:ascii="Times New Roman"/>
                <w:sz w:val="20"/>
              </w:rPr>
            </w:pPr>
          </w:p>
        </w:tc>
        <w:tc>
          <w:tcPr>
            <w:tcW w:w="794" w:type="dxa"/>
          </w:tcPr>
          <w:p>
            <w:pPr>
              <w:pStyle w:val="TableParagraph"/>
              <w:jc w:val="left"/>
              <w:rPr>
                <w:rFonts w:ascii="Times New Roman"/>
                <w:sz w:val="20"/>
              </w:rPr>
            </w:pPr>
          </w:p>
        </w:tc>
      </w:tr>
      <w:tr>
        <w:trPr>
          <w:trHeight w:val="282" w:hRule="atLeast"/>
        </w:trPr>
        <w:tc>
          <w:tcPr>
            <w:tcW w:w="792" w:type="dxa"/>
            <w:vMerge/>
            <w:tcBorders>
              <w:top w:val="nil"/>
            </w:tcBorders>
          </w:tcPr>
          <w:p>
            <w:pPr>
              <w:rPr>
                <w:sz w:val="2"/>
                <w:szCs w:val="2"/>
              </w:rPr>
            </w:pPr>
          </w:p>
        </w:tc>
        <w:tc>
          <w:tcPr>
            <w:tcW w:w="1682" w:type="dxa"/>
          </w:tcPr>
          <w:p>
            <w:pPr>
              <w:pStyle w:val="TableParagraph"/>
              <w:spacing w:line="257" w:lineRule="exact" w:before="6"/>
              <w:ind w:left="400" w:right="388"/>
              <w:rPr>
                <w:sz w:val="21"/>
              </w:rPr>
            </w:pPr>
            <w:r>
              <w:rPr>
                <w:sz w:val="21"/>
              </w:rPr>
              <w:t>污泥</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jc w:val="left"/>
              <w:rPr>
                <w:rFonts w:ascii="Times New Roman"/>
                <w:sz w:val="20"/>
              </w:rPr>
            </w:pPr>
          </w:p>
        </w:tc>
        <w:tc>
          <w:tcPr>
            <w:tcW w:w="794" w:type="dxa"/>
          </w:tcPr>
          <w:p>
            <w:pPr>
              <w:pStyle w:val="TableParagraph"/>
              <w:spacing w:before="19"/>
              <w:ind w:left="17"/>
              <w:rPr>
                <w:rFonts w:ascii="Times New Roman" w:hAnsi="Times New Roman"/>
                <w:sz w:val="21"/>
              </w:rPr>
            </w:pPr>
            <w:r>
              <w:rPr>
                <w:rFonts w:ascii="Times New Roman" w:hAnsi="Times New Roman"/>
                <w:w w:val="100"/>
                <w:sz w:val="21"/>
              </w:rPr>
              <w:t>●</w:t>
            </w:r>
          </w:p>
        </w:tc>
      </w:tr>
      <w:tr>
        <w:trPr>
          <w:trHeight w:val="285" w:hRule="atLeast"/>
        </w:trPr>
        <w:tc>
          <w:tcPr>
            <w:tcW w:w="792" w:type="dxa"/>
            <w:vMerge/>
            <w:tcBorders>
              <w:top w:val="nil"/>
            </w:tcBorders>
          </w:tcPr>
          <w:p>
            <w:pPr>
              <w:rPr>
                <w:sz w:val="2"/>
                <w:szCs w:val="2"/>
              </w:rPr>
            </w:pPr>
          </w:p>
        </w:tc>
        <w:tc>
          <w:tcPr>
            <w:tcW w:w="1682" w:type="dxa"/>
          </w:tcPr>
          <w:p>
            <w:pPr>
              <w:pStyle w:val="TableParagraph"/>
              <w:spacing w:line="257" w:lineRule="exact" w:before="8"/>
              <w:ind w:left="397" w:right="388"/>
              <w:rPr>
                <w:sz w:val="21"/>
              </w:rPr>
            </w:pPr>
            <w:r>
              <w:rPr>
                <w:sz w:val="21"/>
              </w:rPr>
              <w:t>生活垃圾</w:t>
            </w:r>
          </w:p>
        </w:tc>
        <w:tc>
          <w:tcPr>
            <w:tcW w:w="1047"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4" w:type="dxa"/>
          </w:tcPr>
          <w:p>
            <w:pPr>
              <w:pStyle w:val="TableParagraph"/>
              <w:spacing w:before="22"/>
              <w:ind w:left="13"/>
              <w:rPr>
                <w:rFonts w:ascii="Times New Roman" w:hAnsi="Times New Roman"/>
                <w:sz w:val="21"/>
              </w:rPr>
            </w:pPr>
            <w:r>
              <w:rPr>
                <w:rFonts w:ascii="Times New Roman" w:hAnsi="Times New Roman"/>
                <w:w w:val="100"/>
                <w:sz w:val="21"/>
              </w:rPr>
              <w:t>●</w:t>
            </w:r>
          </w:p>
        </w:tc>
        <w:tc>
          <w:tcPr>
            <w:tcW w:w="794" w:type="dxa"/>
          </w:tcPr>
          <w:p>
            <w:pPr>
              <w:pStyle w:val="TableParagraph"/>
              <w:jc w:val="left"/>
              <w:rPr>
                <w:rFonts w:ascii="Times New Roman"/>
                <w:sz w:val="20"/>
              </w:rPr>
            </w:pPr>
          </w:p>
        </w:tc>
        <w:tc>
          <w:tcPr>
            <w:tcW w:w="794" w:type="dxa"/>
          </w:tcPr>
          <w:p>
            <w:pPr>
              <w:pStyle w:val="TableParagraph"/>
              <w:jc w:val="left"/>
              <w:rPr>
                <w:rFonts w:ascii="Times New Roman"/>
                <w:sz w:val="20"/>
              </w:rPr>
            </w:pPr>
          </w:p>
        </w:tc>
        <w:tc>
          <w:tcPr>
            <w:tcW w:w="792" w:type="dxa"/>
          </w:tcPr>
          <w:p>
            <w:pPr>
              <w:pStyle w:val="TableParagraph"/>
              <w:jc w:val="left"/>
              <w:rPr>
                <w:rFonts w:ascii="Times New Roman"/>
                <w:sz w:val="20"/>
              </w:rPr>
            </w:pPr>
          </w:p>
        </w:tc>
        <w:tc>
          <w:tcPr>
            <w:tcW w:w="794" w:type="dxa"/>
          </w:tcPr>
          <w:p>
            <w:pPr>
              <w:pStyle w:val="TableParagraph"/>
              <w:jc w:val="left"/>
              <w:rPr>
                <w:rFonts w:ascii="Times New Roman"/>
                <w:sz w:val="20"/>
              </w:rPr>
            </w:pPr>
          </w:p>
        </w:tc>
      </w:tr>
      <w:tr>
        <w:trPr>
          <w:trHeight w:val="282" w:hRule="atLeast"/>
        </w:trPr>
        <w:tc>
          <w:tcPr>
            <w:tcW w:w="9077" w:type="dxa"/>
            <w:gridSpan w:val="10"/>
          </w:tcPr>
          <w:p>
            <w:pPr>
              <w:pStyle w:val="TableParagraph"/>
              <w:spacing w:line="257" w:lineRule="exact" w:before="6"/>
              <w:ind w:left="4"/>
              <w:jc w:val="left"/>
              <w:rPr>
                <w:sz w:val="21"/>
              </w:rPr>
            </w:pPr>
            <w:r>
              <w:rPr>
                <w:sz w:val="21"/>
              </w:rPr>
              <w:t>注：</w:t>
            </w:r>
            <w:r>
              <w:rPr>
                <w:rFonts w:ascii="Times New Roman" w:hAnsi="Times New Roman" w:eastAsia="Times New Roman"/>
                <w:sz w:val="21"/>
              </w:rPr>
              <w:t>●</w:t>
            </w:r>
            <w:r>
              <w:rPr>
                <w:sz w:val="21"/>
              </w:rPr>
              <w:t>表示正常情况下的污染因子；</w:t>
            </w:r>
            <w:r>
              <w:rPr>
                <w:rFonts w:ascii="Times New Roman" w:hAnsi="Times New Roman" w:eastAsia="Times New Roman"/>
                <w:sz w:val="21"/>
              </w:rPr>
              <w:t>○</w:t>
            </w:r>
            <w:r>
              <w:rPr>
                <w:sz w:val="21"/>
              </w:rPr>
              <w:t>表示事故风险时可能出现的污染因子。</w:t>
            </w:r>
          </w:p>
        </w:tc>
      </w:tr>
    </w:tbl>
    <w:p>
      <w:pPr>
        <w:pStyle w:val="ListParagraph"/>
        <w:numPr>
          <w:ilvl w:val="2"/>
          <w:numId w:val="6"/>
        </w:numPr>
        <w:tabs>
          <w:tab w:pos="1019" w:val="left" w:leader="none"/>
        </w:tabs>
        <w:spacing w:line="240" w:lineRule="auto" w:before="81" w:after="0"/>
        <w:ind w:left="1018" w:right="0" w:hanging="541"/>
        <w:jc w:val="left"/>
        <w:rPr>
          <w:b/>
          <w:sz w:val="24"/>
        </w:rPr>
      </w:pPr>
      <w:r>
        <w:rPr>
          <w:b/>
          <w:sz w:val="24"/>
        </w:rPr>
        <w:t>评价因子确定</w:t>
      </w:r>
    </w:p>
    <w:p>
      <w:pPr>
        <w:tabs>
          <w:tab w:pos="4662" w:val="left" w:leader="none"/>
        </w:tabs>
        <w:spacing w:line="475" w:lineRule="auto" w:before="82"/>
        <w:ind w:left="3441" w:right="905" w:hanging="2723"/>
        <w:jc w:val="left"/>
        <w:rPr>
          <w:b/>
          <w:sz w:val="24"/>
        </w:rPr>
      </w:pPr>
      <w:r>
        <w:rPr/>
        <w:pict>
          <v:shape style="position:absolute;margin-left:70.463997pt;margin-top:51.379967pt;width:454.8pt;height:180.05pt;mso-position-horizontal-relative:page;mso-position-vertical-relative:paragraph;z-index:25166028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68"/>
                    <w:gridCol w:w="1375"/>
                    <w:gridCol w:w="1419"/>
                  </w:tblGrid>
                  <w:tr>
                    <w:trPr>
                      <w:trHeight w:val="270" w:hRule="atLeast"/>
                    </w:trPr>
                    <w:tc>
                      <w:tcPr>
                        <w:tcW w:w="818" w:type="dxa"/>
                      </w:tcPr>
                      <w:p>
                        <w:pPr>
                          <w:pStyle w:val="TableParagraph"/>
                          <w:spacing w:line="250" w:lineRule="exact" w:before="1"/>
                          <w:ind w:left="70" w:right="63"/>
                          <w:rPr>
                            <w:b/>
                            <w:sz w:val="21"/>
                          </w:rPr>
                        </w:pPr>
                        <w:r>
                          <w:rPr>
                            <w:b/>
                            <w:sz w:val="21"/>
                          </w:rPr>
                          <w:t>类别</w:t>
                        </w:r>
                      </w:p>
                    </w:tc>
                    <w:tc>
                      <w:tcPr>
                        <w:tcW w:w="5468" w:type="dxa"/>
                      </w:tcPr>
                      <w:p>
                        <w:pPr>
                          <w:pStyle w:val="TableParagraph"/>
                          <w:spacing w:line="250" w:lineRule="exact" w:before="1"/>
                          <w:ind w:left="199" w:right="189"/>
                          <w:rPr>
                            <w:b/>
                            <w:sz w:val="21"/>
                          </w:rPr>
                        </w:pPr>
                        <w:r>
                          <w:rPr>
                            <w:b/>
                            <w:sz w:val="21"/>
                          </w:rPr>
                          <w:t>现状评价因子</w:t>
                        </w:r>
                      </w:p>
                    </w:tc>
                    <w:tc>
                      <w:tcPr>
                        <w:tcW w:w="1375" w:type="dxa"/>
                      </w:tcPr>
                      <w:p>
                        <w:pPr>
                          <w:pStyle w:val="TableParagraph"/>
                          <w:spacing w:line="250" w:lineRule="exact" w:before="1"/>
                          <w:ind w:left="36" w:right="23"/>
                          <w:rPr>
                            <w:b/>
                            <w:sz w:val="21"/>
                          </w:rPr>
                        </w:pPr>
                        <w:r>
                          <w:rPr>
                            <w:b/>
                            <w:sz w:val="21"/>
                          </w:rPr>
                          <w:t>影响评价因子</w:t>
                        </w:r>
                      </w:p>
                    </w:tc>
                    <w:tc>
                      <w:tcPr>
                        <w:tcW w:w="1419" w:type="dxa"/>
                      </w:tcPr>
                      <w:p>
                        <w:pPr>
                          <w:pStyle w:val="TableParagraph"/>
                          <w:spacing w:line="250" w:lineRule="exact" w:before="1"/>
                          <w:ind w:left="8"/>
                          <w:rPr>
                            <w:b/>
                            <w:sz w:val="21"/>
                          </w:rPr>
                        </w:pPr>
                        <w:r>
                          <w:rPr>
                            <w:b/>
                            <w:sz w:val="21"/>
                          </w:rPr>
                          <w:t>总量控制因子</w:t>
                        </w:r>
                      </w:p>
                    </w:tc>
                  </w:tr>
                  <w:tr>
                    <w:trPr>
                      <w:trHeight w:val="817" w:hRule="atLeast"/>
                    </w:trPr>
                    <w:tc>
                      <w:tcPr>
                        <w:tcW w:w="818" w:type="dxa"/>
                      </w:tcPr>
                      <w:p>
                        <w:pPr>
                          <w:pStyle w:val="TableParagraph"/>
                          <w:spacing w:before="5"/>
                          <w:jc w:val="left"/>
                          <w:rPr>
                            <w:b/>
                            <w:sz w:val="21"/>
                          </w:rPr>
                        </w:pPr>
                      </w:p>
                      <w:p>
                        <w:pPr>
                          <w:pStyle w:val="TableParagraph"/>
                          <w:ind w:left="75" w:right="63"/>
                          <w:rPr>
                            <w:sz w:val="21"/>
                          </w:rPr>
                        </w:pPr>
                        <w:r>
                          <w:rPr>
                            <w:sz w:val="21"/>
                          </w:rPr>
                          <w:t>地表水</w:t>
                        </w:r>
                      </w:p>
                    </w:tc>
                    <w:tc>
                      <w:tcPr>
                        <w:tcW w:w="5468" w:type="dxa"/>
                      </w:tcPr>
                      <w:p>
                        <w:pPr>
                          <w:pStyle w:val="TableParagraph"/>
                          <w:spacing w:line="242" w:lineRule="auto" w:before="2"/>
                          <w:ind w:left="4" w:right="-15"/>
                          <w:rPr>
                            <w:sz w:val="21"/>
                          </w:rPr>
                        </w:pPr>
                        <w:r>
                          <w:rPr>
                            <w:rFonts w:ascii="Times New Roman" w:eastAsia="Times New Roman"/>
                            <w:spacing w:val="-1"/>
                            <w:position w:val="2"/>
                            <w:sz w:val="21"/>
                          </w:rPr>
                          <w:t>pH</w:t>
                        </w:r>
                        <w:r>
                          <w:rPr>
                            <w:spacing w:val="-1"/>
                            <w:position w:val="2"/>
                            <w:sz w:val="21"/>
                          </w:rPr>
                          <w:t>、</w:t>
                        </w:r>
                        <w:r>
                          <w:rPr>
                            <w:rFonts w:ascii="Times New Roman" w:eastAsia="Times New Roman"/>
                            <w:spacing w:val="-1"/>
                            <w:position w:val="2"/>
                            <w:sz w:val="21"/>
                          </w:rPr>
                          <w:t>DO</w:t>
                        </w:r>
                        <w:r>
                          <w:rPr>
                            <w:spacing w:val="-3"/>
                            <w:position w:val="2"/>
                            <w:sz w:val="21"/>
                          </w:rPr>
                          <w:t>、高锰酸盐指数、</w:t>
                        </w:r>
                        <w:r>
                          <w:rPr>
                            <w:rFonts w:ascii="Times New Roman" w:eastAsia="Times New Roman"/>
                            <w:spacing w:val="-1"/>
                            <w:position w:val="2"/>
                            <w:sz w:val="21"/>
                          </w:rPr>
                          <w:t>BOD</w:t>
                        </w:r>
                        <w:r>
                          <w:rPr>
                            <w:rFonts w:ascii="Times New Roman" w:eastAsia="Times New Roman"/>
                            <w:spacing w:val="-1"/>
                            <w:sz w:val="14"/>
                          </w:rPr>
                          <w:t>5</w:t>
                        </w:r>
                        <w:r>
                          <w:rPr>
                            <w:position w:val="2"/>
                            <w:sz w:val="21"/>
                          </w:rPr>
                          <w:t>、</w:t>
                        </w:r>
                        <w:r>
                          <w:rPr>
                            <w:rFonts w:ascii="Times New Roman" w:eastAsia="Times New Roman"/>
                            <w:position w:val="2"/>
                            <w:sz w:val="21"/>
                          </w:rPr>
                          <w:t>CODcr</w:t>
                        </w:r>
                        <w:r>
                          <w:rPr>
                            <w:spacing w:val="-3"/>
                            <w:position w:val="2"/>
                            <w:sz w:val="21"/>
                          </w:rPr>
                          <w:t>、氨氮、石油类、</w:t>
                        </w:r>
                        <w:r>
                          <w:rPr>
                            <w:spacing w:val="-3"/>
                            <w:sz w:val="21"/>
                          </w:rPr>
                          <w:t>总磷、挥发酚、汞、铅、铜、锌、氟化物、砷、镉、硒、六</w:t>
                        </w:r>
                      </w:p>
                      <w:p>
                        <w:pPr>
                          <w:pStyle w:val="TableParagraph"/>
                          <w:spacing w:line="250" w:lineRule="exact" w:before="2"/>
                          <w:ind w:left="196" w:right="189"/>
                          <w:rPr>
                            <w:sz w:val="21"/>
                          </w:rPr>
                        </w:pPr>
                        <w:r>
                          <w:rPr>
                            <w:sz w:val="21"/>
                          </w:rPr>
                          <w:t>价铬、氰化物、</w:t>
                        </w:r>
                        <w:r>
                          <w:rPr>
                            <w:rFonts w:ascii="Times New Roman" w:eastAsia="Times New Roman"/>
                            <w:sz w:val="21"/>
                          </w:rPr>
                          <w:t>LAS</w:t>
                        </w:r>
                        <w:r>
                          <w:rPr>
                            <w:sz w:val="21"/>
                          </w:rPr>
                          <w:t>、硫化物</w:t>
                        </w:r>
                      </w:p>
                    </w:tc>
                    <w:tc>
                      <w:tcPr>
                        <w:tcW w:w="1375" w:type="dxa"/>
                      </w:tcPr>
                      <w:p>
                        <w:pPr>
                          <w:pStyle w:val="TableParagraph"/>
                          <w:spacing w:before="6"/>
                          <w:jc w:val="left"/>
                          <w:rPr>
                            <w:b/>
                            <w:sz w:val="22"/>
                          </w:rPr>
                        </w:pPr>
                      </w:p>
                      <w:p>
                        <w:pPr>
                          <w:pStyle w:val="TableParagraph"/>
                          <w:ind w:left="9"/>
                          <w:rPr>
                            <w:rFonts w:ascii="Times New Roman"/>
                            <w:sz w:val="21"/>
                          </w:rPr>
                        </w:pPr>
                        <w:r>
                          <w:rPr>
                            <w:rFonts w:ascii="Times New Roman"/>
                            <w:w w:val="100"/>
                            <w:sz w:val="21"/>
                          </w:rPr>
                          <w:t>/</w:t>
                        </w:r>
                      </w:p>
                    </w:tc>
                    <w:tc>
                      <w:tcPr>
                        <w:tcW w:w="1419" w:type="dxa"/>
                      </w:tcPr>
                      <w:p>
                        <w:pPr>
                          <w:pStyle w:val="TableParagraph"/>
                          <w:spacing w:before="4"/>
                          <w:jc w:val="left"/>
                          <w:rPr>
                            <w:b/>
                            <w:sz w:val="21"/>
                          </w:rPr>
                        </w:pPr>
                      </w:p>
                      <w:p>
                        <w:pPr>
                          <w:pStyle w:val="TableParagraph"/>
                          <w:ind w:left="11"/>
                          <w:rPr>
                            <w:sz w:val="21"/>
                          </w:rPr>
                        </w:pPr>
                        <w:r>
                          <w:rPr>
                            <w:rFonts w:ascii="Times New Roman" w:eastAsia="Times New Roman"/>
                            <w:position w:val="2"/>
                            <w:sz w:val="21"/>
                          </w:rPr>
                          <w:t>COD</w:t>
                        </w:r>
                        <w:r>
                          <w:rPr>
                            <w:rFonts w:ascii="Times New Roman" w:eastAsia="Times New Roman"/>
                            <w:sz w:val="14"/>
                          </w:rPr>
                          <w:t>Cr</w:t>
                        </w:r>
                        <w:r>
                          <w:rPr>
                            <w:position w:val="2"/>
                            <w:sz w:val="21"/>
                          </w:rPr>
                          <w:t>、氨氮</w:t>
                        </w:r>
                      </w:p>
                    </w:tc>
                  </w:tr>
                  <w:tr>
                    <w:trPr>
                      <w:trHeight w:val="545" w:hRule="atLeast"/>
                    </w:trPr>
                    <w:tc>
                      <w:tcPr>
                        <w:tcW w:w="818" w:type="dxa"/>
                      </w:tcPr>
                      <w:p>
                        <w:pPr>
                          <w:pStyle w:val="TableParagraph"/>
                          <w:spacing w:before="138"/>
                          <w:ind w:left="7"/>
                          <w:rPr>
                            <w:sz w:val="21"/>
                          </w:rPr>
                        </w:pPr>
                        <w:r>
                          <w:rPr>
                            <w:w w:val="100"/>
                            <w:sz w:val="21"/>
                          </w:rPr>
                          <w:t>气</w:t>
                        </w:r>
                      </w:p>
                    </w:tc>
                    <w:tc>
                      <w:tcPr>
                        <w:tcW w:w="5468" w:type="dxa"/>
                      </w:tcPr>
                      <w:p>
                        <w:pPr>
                          <w:pStyle w:val="TableParagraph"/>
                          <w:spacing w:before="137"/>
                          <w:ind w:left="199" w:right="189"/>
                          <w:rPr>
                            <w:rFonts w:ascii="Times New Roman" w:eastAsia="Times New Roman"/>
                            <w:sz w:val="21"/>
                          </w:rPr>
                        </w:pPr>
                        <w:r>
                          <w:rPr>
                            <w:rFonts w:ascii="Times New Roman" w:eastAsia="Times New Roman"/>
                            <w:position w:val="2"/>
                            <w:sz w:val="21"/>
                          </w:rPr>
                          <w:t>PM</w:t>
                        </w:r>
                        <w:r>
                          <w:rPr>
                            <w:rFonts w:ascii="Times New Roman" w:eastAsia="Times New Roman"/>
                            <w:sz w:val="14"/>
                          </w:rPr>
                          <w:t>2.5</w:t>
                        </w:r>
                        <w:r>
                          <w:rPr>
                            <w:position w:val="2"/>
                            <w:sz w:val="21"/>
                          </w:rPr>
                          <w:t>、</w:t>
                        </w:r>
                        <w:r>
                          <w:rPr>
                            <w:rFonts w:ascii="Times New Roman" w:eastAsia="Times New Roman"/>
                            <w:position w:val="2"/>
                            <w:sz w:val="21"/>
                          </w:rPr>
                          <w:t>PM</w:t>
                        </w:r>
                        <w:r>
                          <w:rPr>
                            <w:rFonts w:ascii="Times New Roman" w:eastAsia="Times New Roman"/>
                            <w:sz w:val="14"/>
                          </w:rPr>
                          <w:t>10</w:t>
                        </w:r>
                        <w:r>
                          <w:rPr>
                            <w:position w:val="2"/>
                            <w:sz w:val="21"/>
                          </w:rPr>
                          <w:t>、</w:t>
                        </w:r>
                        <w:r>
                          <w:rPr>
                            <w:rFonts w:ascii="Times New Roman" w:eastAsia="Times New Roman"/>
                            <w:position w:val="2"/>
                            <w:sz w:val="21"/>
                          </w:rPr>
                          <w:t>NO</w:t>
                        </w:r>
                        <w:r>
                          <w:rPr>
                            <w:rFonts w:ascii="Times New Roman" w:eastAsia="Times New Roman"/>
                            <w:sz w:val="14"/>
                          </w:rPr>
                          <w:t>2</w:t>
                        </w:r>
                        <w:r>
                          <w:rPr>
                            <w:position w:val="2"/>
                            <w:sz w:val="21"/>
                          </w:rPr>
                          <w:t>、</w:t>
                        </w:r>
                        <w:r>
                          <w:rPr>
                            <w:rFonts w:ascii="Times New Roman" w:eastAsia="Times New Roman"/>
                            <w:position w:val="2"/>
                            <w:sz w:val="21"/>
                          </w:rPr>
                          <w:t>SO</w:t>
                        </w:r>
                        <w:r>
                          <w:rPr>
                            <w:rFonts w:ascii="Times New Roman" w:eastAsia="Times New Roman"/>
                            <w:sz w:val="14"/>
                          </w:rPr>
                          <w:t>2</w:t>
                        </w:r>
                        <w:r>
                          <w:rPr>
                            <w:position w:val="2"/>
                            <w:sz w:val="21"/>
                          </w:rPr>
                          <w:t>、</w:t>
                        </w:r>
                        <w:r>
                          <w:rPr>
                            <w:rFonts w:ascii="Times New Roman" w:eastAsia="Times New Roman"/>
                            <w:position w:val="2"/>
                            <w:sz w:val="21"/>
                          </w:rPr>
                          <w:t>CO</w:t>
                        </w:r>
                        <w:r>
                          <w:rPr>
                            <w:position w:val="2"/>
                            <w:sz w:val="21"/>
                          </w:rPr>
                          <w:t>、</w:t>
                        </w:r>
                        <w:r>
                          <w:rPr>
                            <w:rFonts w:ascii="Times New Roman" w:eastAsia="Times New Roman"/>
                            <w:position w:val="2"/>
                            <w:sz w:val="21"/>
                          </w:rPr>
                          <w:t>O</w:t>
                        </w:r>
                        <w:r>
                          <w:rPr>
                            <w:rFonts w:ascii="Times New Roman" w:eastAsia="Times New Roman"/>
                            <w:sz w:val="14"/>
                          </w:rPr>
                          <w:t>3</w:t>
                        </w:r>
                        <w:r>
                          <w:rPr>
                            <w:position w:val="2"/>
                            <w:sz w:val="21"/>
                          </w:rPr>
                          <w:t>、非甲烷总烃、</w:t>
                        </w:r>
                        <w:r>
                          <w:rPr>
                            <w:rFonts w:ascii="Times New Roman" w:eastAsia="Times New Roman"/>
                            <w:position w:val="2"/>
                            <w:sz w:val="21"/>
                          </w:rPr>
                          <w:t>TSP</w:t>
                        </w:r>
                      </w:p>
                    </w:tc>
                    <w:tc>
                      <w:tcPr>
                        <w:tcW w:w="1375" w:type="dxa"/>
                      </w:tcPr>
                      <w:p>
                        <w:pPr>
                          <w:pStyle w:val="TableParagraph"/>
                          <w:spacing w:line="256" w:lineRule="exact" w:before="25"/>
                          <w:ind w:left="57" w:right="-15" w:hanging="53"/>
                          <w:jc w:val="left"/>
                          <w:rPr>
                            <w:sz w:val="21"/>
                          </w:rPr>
                        </w:pPr>
                        <w:r>
                          <w:rPr>
                            <w:rFonts w:ascii="Times New Roman" w:eastAsia="Times New Roman"/>
                            <w:position w:val="2"/>
                            <w:sz w:val="21"/>
                          </w:rPr>
                          <w:t>PM</w:t>
                        </w:r>
                        <w:r>
                          <w:rPr>
                            <w:rFonts w:ascii="Times New Roman" w:eastAsia="Times New Roman"/>
                            <w:sz w:val="14"/>
                          </w:rPr>
                          <w:t>10</w:t>
                        </w:r>
                        <w:r>
                          <w:rPr>
                            <w:spacing w:val="-36"/>
                            <w:position w:val="2"/>
                            <w:sz w:val="21"/>
                          </w:rPr>
                          <w:t>、</w:t>
                        </w:r>
                        <w:r>
                          <w:rPr>
                            <w:rFonts w:ascii="Times New Roman" w:eastAsia="Times New Roman"/>
                            <w:position w:val="2"/>
                            <w:sz w:val="21"/>
                          </w:rPr>
                          <w:t>TSP</w:t>
                        </w:r>
                        <w:r>
                          <w:rPr>
                            <w:spacing w:val="-18"/>
                            <w:position w:val="2"/>
                            <w:sz w:val="21"/>
                          </w:rPr>
                          <w:t>、甲</w:t>
                        </w:r>
                        <w:r>
                          <w:rPr>
                            <w:spacing w:val="-8"/>
                            <w:sz w:val="21"/>
                          </w:rPr>
                          <w:t>酸、臭气浓度</w:t>
                        </w:r>
                      </w:p>
                    </w:tc>
                    <w:tc>
                      <w:tcPr>
                        <w:tcW w:w="1419" w:type="dxa"/>
                      </w:tcPr>
                      <w:p>
                        <w:pPr>
                          <w:pStyle w:val="TableParagraph"/>
                          <w:spacing w:before="1"/>
                          <w:ind w:left="8"/>
                          <w:rPr>
                            <w:sz w:val="21"/>
                          </w:rPr>
                        </w:pPr>
                        <w:r>
                          <w:rPr>
                            <w:rFonts w:ascii="Times New Roman" w:eastAsia="Times New Roman"/>
                            <w:sz w:val="21"/>
                          </w:rPr>
                          <w:t>VOCs</w:t>
                        </w:r>
                        <w:r>
                          <w:rPr>
                            <w:sz w:val="21"/>
                          </w:rPr>
                          <w:t>、工业烟</w:t>
                        </w:r>
                      </w:p>
                      <w:p>
                        <w:pPr>
                          <w:pStyle w:val="TableParagraph"/>
                          <w:spacing w:line="250" w:lineRule="exact" w:before="5"/>
                          <w:ind w:left="9"/>
                          <w:rPr>
                            <w:sz w:val="21"/>
                          </w:rPr>
                        </w:pPr>
                        <w:r>
                          <w:rPr>
                            <w:sz w:val="21"/>
                          </w:rPr>
                          <w:t>粉尘</w:t>
                        </w:r>
                      </w:p>
                    </w:tc>
                  </w:tr>
                  <w:tr>
                    <w:trPr>
                      <w:trHeight w:val="273" w:hRule="atLeast"/>
                    </w:trPr>
                    <w:tc>
                      <w:tcPr>
                        <w:tcW w:w="818" w:type="dxa"/>
                      </w:tcPr>
                      <w:p>
                        <w:pPr>
                          <w:pStyle w:val="TableParagraph"/>
                          <w:spacing w:line="252" w:lineRule="exact" w:before="1"/>
                          <w:ind w:left="7"/>
                          <w:rPr>
                            <w:sz w:val="21"/>
                          </w:rPr>
                        </w:pPr>
                        <w:r>
                          <w:rPr>
                            <w:w w:val="100"/>
                            <w:sz w:val="21"/>
                          </w:rPr>
                          <w:t>声</w:t>
                        </w:r>
                      </w:p>
                    </w:tc>
                    <w:tc>
                      <w:tcPr>
                        <w:tcW w:w="5468" w:type="dxa"/>
                      </w:tcPr>
                      <w:p>
                        <w:pPr>
                          <w:pStyle w:val="TableParagraph"/>
                          <w:spacing w:line="252" w:lineRule="exact" w:before="1"/>
                          <w:ind w:left="199" w:right="189"/>
                          <w:rPr>
                            <w:sz w:val="21"/>
                          </w:rPr>
                        </w:pPr>
                        <w:r>
                          <w:rPr>
                            <w:sz w:val="21"/>
                          </w:rPr>
                          <w:t>等效</w:t>
                        </w:r>
                        <w:r>
                          <w:rPr>
                            <w:rFonts w:ascii="Times New Roman" w:eastAsia="Times New Roman"/>
                            <w:sz w:val="21"/>
                          </w:rPr>
                          <w:t>A </w:t>
                        </w:r>
                        <w:r>
                          <w:rPr>
                            <w:sz w:val="21"/>
                          </w:rPr>
                          <w:t>声级</w:t>
                        </w:r>
                      </w:p>
                    </w:tc>
                    <w:tc>
                      <w:tcPr>
                        <w:tcW w:w="1375" w:type="dxa"/>
                      </w:tcPr>
                      <w:p>
                        <w:pPr>
                          <w:pStyle w:val="TableParagraph"/>
                          <w:spacing w:line="252" w:lineRule="exact" w:before="1"/>
                          <w:ind w:left="36" w:right="23"/>
                          <w:rPr>
                            <w:sz w:val="21"/>
                          </w:rPr>
                        </w:pPr>
                        <w:r>
                          <w:rPr>
                            <w:sz w:val="21"/>
                          </w:rPr>
                          <w:t>等效</w:t>
                        </w:r>
                        <w:r>
                          <w:rPr>
                            <w:rFonts w:ascii="Times New Roman" w:eastAsia="Times New Roman"/>
                            <w:sz w:val="21"/>
                          </w:rPr>
                          <w:t>A </w:t>
                        </w:r>
                        <w:r>
                          <w:rPr>
                            <w:sz w:val="21"/>
                          </w:rPr>
                          <w:t>声级</w:t>
                        </w:r>
                      </w:p>
                    </w:tc>
                    <w:tc>
                      <w:tcPr>
                        <w:tcW w:w="1419" w:type="dxa"/>
                      </w:tcPr>
                      <w:p>
                        <w:pPr>
                          <w:pStyle w:val="TableParagraph"/>
                          <w:spacing w:line="238" w:lineRule="exact" w:before="15"/>
                          <w:ind w:left="10"/>
                          <w:rPr>
                            <w:rFonts w:ascii="Times New Roman"/>
                            <w:sz w:val="21"/>
                          </w:rPr>
                        </w:pPr>
                        <w:r>
                          <w:rPr>
                            <w:rFonts w:ascii="Times New Roman"/>
                            <w:w w:val="100"/>
                            <w:sz w:val="21"/>
                          </w:rPr>
                          <w:t>/</w:t>
                        </w:r>
                      </w:p>
                    </w:tc>
                  </w:tr>
                  <w:tr>
                    <w:trPr>
                      <w:trHeight w:val="1633" w:hRule="atLeast"/>
                    </w:trPr>
                    <w:tc>
                      <w:tcPr>
                        <w:tcW w:w="818" w:type="dxa"/>
                      </w:tcPr>
                      <w:p>
                        <w:pPr>
                          <w:pStyle w:val="TableParagraph"/>
                          <w:jc w:val="left"/>
                          <w:rPr>
                            <w:b/>
                            <w:sz w:val="20"/>
                          </w:rPr>
                        </w:pPr>
                      </w:p>
                      <w:p>
                        <w:pPr>
                          <w:pStyle w:val="TableParagraph"/>
                          <w:jc w:val="left"/>
                          <w:rPr>
                            <w:b/>
                            <w:sz w:val="20"/>
                          </w:rPr>
                        </w:pPr>
                      </w:p>
                      <w:p>
                        <w:pPr>
                          <w:pStyle w:val="TableParagraph"/>
                          <w:spacing w:before="170"/>
                          <w:ind w:left="75" w:right="63"/>
                          <w:rPr>
                            <w:sz w:val="21"/>
                          </w:rPr>
                        </w:pPr>
                        <w:r>
                          <w:rPr>
                            <w:sz w:val="21"/>
                          </w:rPr>
                          <w:t>地下水</w:t>
                        </w:r>
                      </w:p>
                    </w:tc>
                    <w:tc>
                      <w:tcPr>
                        <w:tcW w:w="5468" w:type="dxa"/>
                      </w:tcPr>
                      <w:p>
                        <w:pPr>
                          <w:pStyle w:val="TableParagraph"/>
                          <w:spacing w:line="242" w:lineRule="auto" w:before="1"/>
                          <w:ind w:left="4" w:right="-15"/>
                          <w:jc w:val="both"/>
                          <w:rPr>
                            <w:sz w:val="21"/>
                          </w:rPr>
                        </w:pPr>
                        <w:r>
                          <w:rPr>
                            <w:spacing w:val="-7"/>
                            <w:sz w:val="21"/>
                          </w:rPr>
                          <w:t>水位、色、嗅和味、浑浊度、肉眼可见物、</w:t>
                        </w:r>
                        <w:r>
                          <w:rPr>
                            <w:rFonts w:ascii="Times New Roman" w:eastAsia="Times New Roman"/>
                            <w:sz w:val="21"/>
                          </w:rPr>
                          <w:t>pH</w:t>
                        </w:r>
                        <w:r>
                          <w:rPr>
                            <w:spacing w:val="-8"/>
                            <w:sz w:val="21"/>
                          </w:rPr>
                          <w:t>、氨氮</w:t>
                        </w:r>
                        <w:r>
                          <w:rPr>
                            <w:sz w:val="21"/>
                          </w:rPr>
                          <w:t>（</w:t>
                        </w:r>
                        <w:r>
                          <w:rPr>
                            <w:spacing w:val="50"/>
                            <w:sz w:val="21"/>
                          </w:rPr>
                          <w:t>以</w:t>
                        </w:r>
                        <w:r>
                          <w:rPr>
                            <w:rFonts w:ascii="Times New Roman" w:eastAsia="Times New Roman"/>
                            <w:sz w:val="21"/>
                          </w:rPr>
                          <w:t>N </w:t>
                        </w:r>
                        <w:r>
                          <w:rPr>
                            <w:sz w:val="21"/>
                          </w:rPr>
                          <w:t>计</w:t>
                        </w:r>
                        <w:r>
                          <w:rPr>
                            <w:spacing w:val="-108"/>
                            <w:sz w:val="21"/>
                          </w:rPr>
                          <w:t>）</w:t>
                        </w:r>
                        <w:r>
                          <w:rPr>
                            <w:spacing w:val="-3"/>
                            <w:sz w:val="21"/>
                          </w:rPr>
                          <w:t>、挥发性酚类</w:t>
                        </w:r>
                        <w:r>
                          <w:rPr>
                            <w:sz w:val="21"/>
                          </w:rPr>
                          <w:t>（</w:t>
                        </w:r>
                        <w:r>
                          <w:rPr>
                            <w:spacing w:val="-3"/>
                            <w:sz w:val="21"/>
                          </w:rPr>
                          <w:t>以苯酚计</w:t>
                        </w:r>
                        <w:r>
                          <w:rPr>
                            <w:spacing w:val="-108"/>
                            <w:sz w:val="21"/>
                          </w:rPr>
                          <w:t>）</w:t>
                        </w:r>
                        <w:r>
                          <w:rPr>
                            <w:spacing w:val="-3"/>
                            <w:sz w:val="21"/>
                          </w:rPr>
                          <w:t>、总硬度、铁、锰、溶解性总</w:t>
                        </w:r>
                        <w:r>
                          <w:rPr>
                            <w:spacing w:val="-6"/>
                            <w:position w:val="2"/>
                            <w:sz w:val="21"/>
                          </w:rPr>
                          <w:t>固体、耗氧量</w:t>
                        </w:r>
                        <w:r>
                          <w:rPr>
                            <w:position w:val="2"/>
                            <w:sz w:val="21"/>
                          </w:rPr>
                          <w:t>（</w:t>
                        </w:r>
                        <w:r>
                          <w:rPr>
                            <w:rFonts w:ascii="Times New Roman" w:eastAsia="Times New Roman"/>
                            <w:position w:val="2"/>
                            <w:sz w:val="21"/>
                          </w:rPr>
                          <w:t>COD</w:t>
                        </w:r>
                        <w:r>
                          <w:rPr>
                            <w:rFonts w:ascii="Times New Roman" w:eastAsia="Times New Roman"/>
                            <w:sz w:val="14"/>
                          </w:rPr>
                          <w:t>Mn </w:t>
                        </w:r>
                        <w:r>
                          <w:rPr>
                            <w:spacing w:val="12"/>
                            <w:position w:val="2"/>
                            <w:sz w:val="21"/>
                          </w:rPr>
                          <w:t>法，以</w:t>
                        </w:r>
                        <w:r>
                          <w:rPr>
                            <w:rFonts w:ascii="Times New Roman" w:eastAsia="Times New Roman"/>
                            <w:position w:val="2"/>
                            <w:sz w:val="21"/>
                          </w:rPr>
                          <w:t>O</w:t>
                        </w:r>
                        <w:r>
                          <w:rPr>
                            <w:rFonts w:ascii="Times New Roman" w:eastAsia="Times New Roman"/>
                            <w:sz w:val="14"/>
                          </w:rPr>
                          <w:t>2 </w:t>
                        </w:r>
                        <w:r>
                          <w:rPr>
                            <w:position w:val="2"/>
                            <w:sz w:val="21"/>
                          </w:rPr>
                          <w:t>计</w:t>
                        </w:r>
                        <w:r>
                          <w:rPr>
                            <w:spacing w:val="-106"/>
                            <w:position w:val="2"/>
                            <w:sz w:val="21"/>
                          </w:rPr>
                          <w:t>）</w:t>
                        </w:r>
                        <w:r>
                          <w:rPr>
                            <w:spacing w:val="-6"/>
                            <w:position w:val="2"/>
                            <w:sz w:val="21"/>
                          </w:rPr>
                          <w:t>、硫酸盐、氯化物、阴</w:t>
                        </w:r>
                        <w:r>
                          <w:rPr>
                            <w:spacing w:val="-4"/>
                            <w:sz w:val="21"/>
                          </w:rPr>
                          <w:t>离子表面活性剂、硝酸盐、亚硝酸盐、砷、汞、铬</w:t>
                        </w:r>
                        <w:r>
                          <w:rPr>
                            <w:sz w:val="21"/>
                          </w:rPr>
                          <w:t>（</w:t>
                        </w:r>
                        <w:r>
                          <w:rPr>
                            <w:spacing w:val="-2"/>
                            <w:sz w:val="21"/>
                          </w:rPr>
                          <w:t>六价</w:t>
                        </w:r>
                        <w:r>
                          <w:rPr>
                            <w:sz w:val="21"/>
                          </w:rPr>
                          <w:t>） </w:t>
                        </w:r>
                        <w:r>
                          <w:rPr>
                            <w:spacing w:val="-3"/>
                            <w:sz w:val="21"/>
                          </w:rPr>
                          <w:t>镉、铅、锌、铝、硫化物、氰化物、氟化物、总大肠菌群、</w:t>
                        </w:r>
                      </w:p>
                      <w:p>
                        <w:pPr>
                          <w:pStyle w:val="TableParagraph"/>
                          <w:spacing w:line="252" w:lineRule="exact" w:before="2"/>
                          <w:ind w:left="197" w:right="189"/>
                          <w:rPr>
                            <w:sz w:val="21"/>
                          </w:rPr>
                        </w:pPr>
                        <w:r>
                          <w:rPr>
                            <w:sz w:val="21"/>
                          </w:rPr>
                          <w:t>菌落总数</w:t>
                        </w:r>
                      </w:p>
                    </w:tc>
                    <w:tc>
                      <w:tcPr>
                        <w:tcW w:w="1375" w:type="dxa"/>
                      </w:tcPr>
                      <w:p>
                        <w:pPr>
                          <w:pStyle w:val="TableParagraph"/>
                          <w:jc w:val="left"/>
                          <w:rPr>
                            <w:b/>
                            <w:sz w:val="20"/>
                          </w:rPr>
                        </w:pPr>
                      </w:p>
                      <w:p>
                        <w:pPr>
                          <w:pStyle w:val="TableParagraph"/>
                          <w:jc w:val="left"/>
                          <w:rPr>
                            <w:b/>
                            <w:sz w:val="20"/>
                          </w:rPr>
                        </w:pPr>
                      </w:p>
                      <w:p>
                        <w:pPr>
                          <w:pStyle w:val="TableParagraph"/>
                          <w:spacing w:before="170"/>
                          <w:ind w:left="36" w:right="23"/>
                          <w:rPr>
                            <w:sz w:val="21"/>
                          </w:rPr>
                        </w:pPr>
                        <w:r>
                          <w:rPr>
                            <w:sz w:val="21"/>
                          </w:rPr>
                          <w:t>耗氧量</w:t>
                        </w:r>
                      </w:p>
                    </w:tc>
                    <w:tc>
                      <w:tcPr>
                        <w:tcW w:w="1419" w:type="dxa"/>
                      </w:tcPr>
                      <w:p>
                        <w:pPr>
                          <w:pStyle w:val="TableParagraph"/>
                          <w:jc w:val="left"/>
                          <w:rPr>
                            <w:b/>
                            <w:sz w:val="22"/>
                          </w:rPr>
                        </w:pPr>
                      </w:p>
                      <w:p>
                        <w:pPr>
                          <w:pStyle w:val="TableParagraph"/>
                          <w:spacing w:before="4"/>
                          <w:jc w:val="left"/>
                          <w:rPr>
                            <w:b/>
                            <w:sz w:val="32"/>
                          </w:rPr>
                        </w:pPr>
                      </w:p>
                      <w:p>
                        <w:pPr>
                          <w:pStyle w:val="TableParagraph"/>
                          <w:ind w:left="10"/>
                          <w:rPr>
                            <w:rFonts w:ascii="Times New Roman"/>
                            <w:sz w:val="21"/>
                          </w:rPr>
                        </w:pPr>
                        <w:r>
                          <w:rPr>
                            <w:rFonts w:ascii="Times New Roman"/>
                            <w:w w:val="100"/>
                            <w:sz w:val="21"/>
                          </w:rPr>
                          <w:t>/</w:t>
                        </w:r>
                      </w:p>
                    </w:tc>
                  </w:tr>
                </w:tbl>
                <w:p>
                  <w:pPr>
                    <w:pStyle w:val="BodyText"/>
                  </w:pPr>
                </w:p>
              </w:txbxContent>
            </v:textbox>
            <w10:wrap type="none"/>
          </v:shape>
        </w:pict>
      </w:r>
      <w:r>
        <w:rPr>
          <w:sz w:val="24"/>
        </w:rPr>
        <w:t>根据本项目工程分析结合环境特征，确定本项目环境影响评价因子见下表</w:t>
      </w:r>
      <w:r>
        <w:rPr>
          <w:spacing w:val="-17"/>
          <w:sz w:val="24"/>
        </w:rPr>
        <w:t>。</w:t>
      </w:r>
      <w:r>
        <w:rPr>
          <w:b/>
          <w:sz w:val="24"/>
        </w:rPr>
        <w:t>表</w:t>
      </w:r>
      <w:r>
        <w:rPr>
          <w:b/>
          <w:spacing w:val="-60"/>
          <w:sz w:val="24"/>
        </w:rPr>
        <w:t> </w:t>
      </w:r>
      <w:r>
        <w:rPr>
          <w:rFonts w:ascii="Times New Roman" w:eastAsia="Times New Roman"/>
          <w:b/>
          <w:sz w:val="24"/>
        </w:rPr>
        <w:t>2.2.2-1</w:t>
        <w:tab/>
      </w:r>
      <w:r>
        <w:rPr>
          <w:b/>
          <w:sz w:val="24"/>
        </w:rPr>
        <w:t>评价因子确定</w:t>
      </w:r>
    </w:p>
    <w:p>
      <w:pPr>
        <w:spacing w:after="0" w:line="475" w:lineRule="auto"/>
        <w:jc w:val="left"/>
        <w:rPr>
          <w:sz w:val="24"/>
        </w:rPr>
        <w:sectPr>
          <w:pgSz w:w="11910" w:h="16840"/>
          <w:pgMar w:header="874" w:footer="944" w:top="1340" w:bottom="1140" w:left="1180" w:right="1180"/>
        </w:sectPr>
      </w:pPr>
    </w:p>
    <w:p>
      <w:pPr>
        <w:pStyle w:val="BodyText"/>
        <w:spacing w:before="4"/>
        <w:rPr>
          <w:b/>
          <w:sz w:val="5"/>
        </w:rPr>
      </w:pPr>
    </w:p>
    <w:tbl>
      <w:tblPr>
        <w:tblW w:w="0" w:type="auto"/>
        <w:jc w:val="left"/>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68"/>
        <w:gridCol w:w="1375"/>
        <w:gridCol w:w="1419"/>
      </w:tblGrid>
      <w:tr>
        <w:trPr>
          <w:trHeight w:val="270" w:hRule="atLeast"/>
        </w:trPr>
        <w:tc>
          <w:tcPr>
            <w:tcW w:w="818" w:type="dxa"/>
          </w:tcPr>
          <w:p>
            <w:pPr>
              <w:pStyle w:val="TableParagraph"/>
              <w:spacing w:line="250" w:lineRule="exact" w:before="1"/>
              <w:ind w:left="196"/>
              <w:jc w:val="left"/>
              <w:rPr>
                <w:b/>
                <w:sz w:val="21"/>
              </w:rPr>
            </w:pPr>
            <w:r>
              <w:rPr>
                <w:b/>
                <w:sz w:val="21"/>
              </w:rPr>
              <w:t>类别</w:t>
            </w:r>
          </w:p>
        </w:tc>
        <w:tc>
          <w:tcPr>
            <w:tcW w:w="5468" w:type="dxa"/>
          </w:tcPr>
          <w:p>
            <w:pPr>
              <w:pStyle w:val="TableParagraph"/>
              <w:spacing w:line="250" w:lineRule="exact" w:before="1"/>
              <w:ind w:left="199" w:right="189"/>
              <w:rPr>
                <w:b/>
                <w:sz w:val="21"/>
              </w:rPr>
            </w:pPr>
            <w:r>
              <w:rPr>
                <w:b/>
                <w:sz w:val="21"/>
              </w:rPr>
              <w:t>现状评价因子</w:t>
            </w:r>
          </w:p>
        </w:tc>
        <w:tc>
          <w:tcPr>
            <w:tcW w:w="1375" w:type="dxa"/>
          </w:tcPr>
          <w:p>
            <w:pPr>
              <w:pStyle w:val="TableParagraph"/>
              <w:spacing w:line="250" w:lineRule="exact" w:before="1"/>
              <w:ind w:left="36" w:right="23"/>
              <w:rPr>
                <w:b/>
                <w:sz w:val="21"/>
              </w:rPr>
            </w:pPr>
            <w:r>
              <w:rPr>
                <w:b/>
                <w:sz w:val="21"/>
              </w:rPr>
              <w:t>影响评价因子</w:t>
            </w:r>
          </w:p>
        </w:tc>
        <w:tc>
          <w:tcPr>
            <w:tcW w:w="1419" w:type="dxa"/>
          </w:tcPr>
          <w:p>
            <w:pPr>
              <w:pStyle w:val="TableParagraph"/>
              <w:spacing w:line="250" w:lineRule="exact" w:before="1"/>
              <w:ind w:left="8"/>
              <w:rPr>
                <w:b/>
                <w:sz w:val="21"/>
              </w:rPr>
            </w:pPr>
            <w:r>
              <w:rPr>
                <w:b/>
                <w:sz w:val="21"/>
              </w:rPr>
              <w:t>总量控制因子</w:t>
            </w:r>
          </w:p>
        </w:tc>
      </w:tr>
      <w:tr>
        <w:trPr>
          <w:trHeight w:val="3542" w:hRule="atLeast"/>
        </w:trPr>
        <w:tc>
          <w:tcPr>
            <w:tcW w:w="818"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1"/>
              <w:jc w:val="left"/>
              <w:rPr>
                <w:b/>
                <w:sz w:val="27"/>
              </w:rPr>
            </w:pPr>
          </w:p>
          <w:p>
            <w:pPr>
              <w:pStyle w:val="TableParagraph"/>
              <w:ind w:left="199"/>
              <w:jc w:val="left"/>
              <w:rPr>
                <w:sz w:val="21"/>
              </w:rPr>
            </w:pPr>
            <w:r>
              <w:rPr>
                <w:sz w:val="21"/>
              </w:rPr>
              <w:t>土壤</w:t>
            </w:r>
          </w:p>
        </w:tc>
        <w:tc>
          <w:tcPr>
            <w:tcW w:w="5468" w:type="dxa"/>
          </w:tcPr>
          <w:p>
            <w:pPr>
              <w:pStyle w:val="TableParagraph"/>
              <w:spacing w:line="242" w:lineRule="auto" w:before="3"/>
              <w:ind w:left="4" w:right="-15"/>
              <w:jc w:val="left"/>
              <w:rPr>
                <w:sz w:val="21"/>
              </w:rPr>
            </w:pPr>
            <w:r>
              <w:rPr>
                <w:spacing w:val="-3"/>
                <w:sz w:val="21"/>
              </w:rPr>
              <w:t>重金属和无机物：砷、镉、铬（</w:t>
            </w:r>
            <w:r>
              <w:rPr>
                <w:spacing w:val="-2"/>
                <w:sz w:val="21"/>
              </w:rPr>
              <w:t>六价</w:t>
            </w:r>
            <w:r>
              <w:rPr>
                <w:sz w:val="21"/>
              </w:rPr>
              <w:t>）</w:t>
            </w:r>
            <w:r>
              <w:rPr>
                <w:spacing w:val="-3"/>
                <w:sz w:val="21"/>
              </w:rPr>
              <w:t>、铜、铅、汞、镍、锑；</w:t>
            </w:r>
          </w:p>
          <w:p>
            <w:pPr>
              <w:pStyle w:val="TableParagraph"/>
              <w:spacing w:line="242" w:lineRule="auto" w:before="2"/>
              <w:ind w:left="4" w:right="-15"/>
              <w:jc w:val="left"/>
              <w:rPr>
                <w:sz w:val="21"/>
              </w:rPr>
            </w:pPr>
            <w:r>
              <w:rPr>
                <w:spacing w:val="-3"/>
                <w:sz w:val="21"/>
              </w:rPr>
              <w:t>挥发性有机物：四氯化碳、氯仿、氯甲烷、</w:t>
            </w:r>
            <w:r>
              <w:rPr>
                <w:rFonts w:ascii="Times New Roman" w:eastAsia="Times New Roman"/>
                <w:sz w:val="21"/>
              </w:rPr>
              <w:t>1,1-</w:t>
            </w:r>
            <w:r>
              <w:rPr>
                <w:spacing w:val="-2"/>
                <w:sz w:val="21"/>
              </w:rPr>
              <w:t>二氯乙烷、</w:t>
            </w:r>
            <w:r>
              <w:rPr>
                <w:rFonts w:ascii="Times New Roman" w:eastAsia="Times New Roman"/>
                <w:spacing w:val="-1"/>
                <w:sz w:val="21"/>
              </w:rPr>
              <w:t>1,2-</w:t>
            </w:r>
            <w:r>
              <w:rPr>
                <w:spacing w:val="-3"/>
                <w:sz w:val="21"/>
              </w:rPr>
              <w:t>二氯乙烷、</w:t>
            </w:r>
            <w:r>
              <w:rPr>
                <w:rFonts w:ascii="Times New Roman" w:eastAsia="Times New Roman"/>
                <w:sz w:val="21"/>
              </w:rPr>
              <w:t>1,1-</w:t>
            </w:r>
            <w:r>
              <w:rPr>
                <w:spacing w:val="-3"/>
                <w:sz w:val="21"/>
              </w:rPr>
              <w:t>二氯乙烯、顺</w:t>
            </w:r>
            <w:r>
              <w:rPr>
                <w:rFonts w:ascii="Times New Roman" w:eastAsia="Times New Roman"/>
                <w:sz w:val="21"/>
              </w:rPr>
              <w:t>-1,2-</w:t>
            </w:r>
            <w:r>
              <w:rPr>
                <w:spacing w:val="-3"/>
                <w:sz w:val="21"/>
              </w:rPr>
              <w:t>二氯乙烯、反</w:t>
            </w:r>
            <w:r>
              <w:rPr>
                <w:rFonts w:ascii="Times New Roman" w:eastAsia="Times New Roman"/>
                <w:sz w:val="21"/>
              </w:rPr>
              <w:t>-1,2-</w:t>
            </w:r>
            <w:r>
              <w:rPr>
                <w:sz w:val="21"/>
              </w:rPr>
              <w:t>二氯</w:t>
            </w:r>
            <w:r>
              <w:rPr>
                <w:spacing w:val="-3"/>
                <w:sz w:val="21"/>
              </w:rPr>
              <w:t>乙烯、二氯甲烷、</w:t>
            </w:r>
            <w:r>
              <w:rPr>
                <w:rFonts w:ascii="Times New Roman" w:eastAsia="Times New Roman"/>
                <w:sz w:val="21"/>
              </w:rPr>
              <w:t>1,2-</w:t>
            </w:r>
            <w:r>
              <w:rPr>
                <w:spacing w:val="-3"/>
                <w:sz w:val="21"/>
              </w:rPr>
              <w:t>二氯丙烷、</w:t>
            </w:r>
            <w:r>
              <w:rPr>
                <w:rFonts w:ascii="Times New Roman" w:eastAsia="Times New Roman"/>
                <w:sz w:val="21"/>
              </w:rPr>
              <w:t>1,1,1,2-</w:t>
            </w:r>
            <w:r>
              <w:rPr>
                <w:spacing w:val="-3"/>
                <w:sz w:val="21"/>
              </w:rPr>
              <w:t>四氯乙烷，</w:t>
            </w:r>
            <w:r>
              <w:rPr>
                <w:rFonts w:ascii="Times New Roman" w:eastAsia="Times New Roman"/>
                <w:sz w:val="21"/>
              </w:rPr>
              <w:t>1,1,2,2- </w:t>
            </w:r>
            <w:r>
              <w:rPr>
                <w:spacing w:val="-3"/>
                <w:sz w:val="21"/>
              </w:rPr>
              <w:t>四氯乙烷、四氯乙烯、</w:t>
            </w:r>
            <w:r>
              <w:rPr>
                <w:rFonts w:ascii="Times New Roman" w:eastAsia="Times New Roman"/>
                <w:sz w:val="21"/>
              </w:rPr>
              <w:t>1,1,1-</w:t>
            </w:r>
            <w:r>
              <w:rPr>
                <w:spacing w:val="-3"/>
                <w:sz w:val="21"/>
              </w:rPr>
              <w:t>三氯乙烷、</w:t>
            </w:r>
            <w:r>
              <w:rPr>
                <w:rFonts w:ascii="Times New Roman" w:eastAsia="Times New Roman"/>
                <w:sz w:val="21"/>
              </w:rPr>
              <w:t>1,1,2-</w:t>
            </w:r>
            <w:r>
              <w:rPr>
                <w:spacing w:val="-3"/>
                <w:sz w:val="21"/>
              </w:rPr>
              <w:t>三氯乙烷、三氯乙烯、</w:t>
            </w:r>
            <w:r>
              <w:rPr>
                <w:rFonts w:ascii="Times New Roman" w:eastAsia="Times New Roman"/>
                <w:sz w:val="21"/>
              </w:rPr>
              <w:t>1,2,3-</w:t>
            </w:r>
            <w:r>
              <w:rPr>
                <w:spacing w:val="-3"/>
                <w:sz w:val="21"/>
              </w:rPr>
              <w:t>三氯丙烷、氯乙烯、苯、氯苯、</w:t>
            </w:r>
            <w:r>
              <w:rPr>
                <w:rFonts w:ascii="Times New Roman" w:eastAsia="Times New Roman"/>
                <w:sz w:val="21"/>
              </w:rPr>
              <w:t>1,2-</w:t>
            </w:r>
            <w:r>
              <w:rPr>
                <w:spacing w:val="-2"/>
                <w:sz w:val="21"/>
              </w:rPr>
              <w:t>二氯苯、</w:t>
            </w:r>
            <w:r>
              <w:rPr>
                <w:rFonts w:ascii="Times New Roman" w:eastAsia="Times New Roman"/>
                <w:spacing w:val="-2"/>
                <w:sz w:val="21"/>
              </w:rPr>
              <w:t>1,4-</w:t>
            </w:r>
            <w:r>
              <w:rPr>
                <w:spacing w:val="-7"/>
                <w:sz w:val="21"/>
              </w:rPr>
              <w:t>二氯苯、乙苯、苯乙烯、甲苯、间二甲苯</w:t>
            </w:r>
            <w:r>
              <w:rPr>
                <w:rFonts w:ascii="Times New Roman" w:eastAsia="Times New Roman"/>
                <w:sz w:val="21"/>
              </w:rPr>
              <w:t>+</w:t>
            </w:r>
            <w:r>
              <w:rPr>
                <w:spacing w:val="-4"/>
                <w:sz w:val="21"/>
              </w:rPr>
              <w:t>对二甲苯、邻</w:t>
            </w:r>
            <w:r>
              <w:rPr>
                <w:spacing w:val="-3"/>
                <w:sz w:val="21"/>
              </w:rPr>
              <w:t>二甲苯；</w:t>
            </w:r>
          </w:p>
          <w:p>
            <w:pPr>
              <w:pStyle w:val="TableParagraph"/>
              <w:spacing w:line="242" w:lineRule="auto" w:before="3"/>
              <w:ind w:left="4" w:right="-15"/>
              <w:jc w:val="both"/>
              <w:rPr>
                <w:sz w:val="21"/>
              </w:rPr>
            </w:pPr>
            <w:r>
              <w:rPr>
                <w:spacing w:val="-3"/>
                <w:sz w:val="21"/>
              </w:rPr>
              <w:t>半挥发性有机物：硝基苯、苯胺、</w:t>
            </w:r>
            <w:r>
              <w:rPr>
                <w:rFonts w:ascii="Times New Roman" w:eastAsia="Times New Roman"/>
                <w:sz w:val="21"/>
              </w:rPr>
              <w:t>2-</w:t>
            </w:r>
            <w:r>
              <w:rPr>
                <w:spacing w:val="-1"/>
                <w:sz w:val="21"/>
              </w:rPr>
              <w:t>氯酚、苯并</w:t>
            </w:r>
            <w:r>
              <w:rPr>
                <w:rFonts w:ascii="Times New Roman" w:eastAsia="Times New Roman"/>
                <w:sz w:val="21"/>
              </w:rPr>
              <w:t>[a]</w:t>
            </w:r>
            <w:r>
              <w:rPr>
                <w:spacing w:val="-1"/>
                <w:sz w:val="21"/>
              </w:rPr>
              <w:t>蒽、苯并</w:t>
            </w:r>
            <w:r>
              <w:rPr>
                <w:rFonts w:ascii="Times New Roman" w:eastAsia="Times New Roman"/>
                <w:spacing w:val="-1"/>
                <w:sz w:val="21"/>
              </w:rPr>
              <w:t>[a]</w:t>
            </w:r>
            <w:r>
              <w:rPr>
                <w:spacing w:val="-5"/>
                <w:sz w:val="21"/>
              </w:rPr>
              <w:t>芘、苯并</w:t>
            </w:r>
            <w:r>
              <w:rPr>
                <w:rFonts w:ascii="Times New Roman" w:eastAsia="Times New Roman"/>
                <w:sz w:val="21"/>
              </w:rPr>
              <w:t>[b]</w:t>
            </w:r>
            <w:r>
              <w:rPr>
                <w:spacing w:val="-5"/>
                <w:sz w:val="21"/>
              </w:rPr>
              <w:t>荧蒽、苯并</w:t>
            </w:r>
            <w:r>
              <w:rPr>
                <w:rFonts w:ascii="Times New Roman" w:eastAsia="Times New Roman"/>
                <w:sz w:val="21"/>
              </w:rPr>
              <w:t>[k]</w:t>
            </w:r>
            <w:r>
              <w:rPr>
                <w:spacing w:val="-6"/>
                <w:sz w:val="21"/>
              </w:rPr>
              <w:t>荧蒽、䓛、二苯并</w:t>
            </w:r>
            <w:r>
              <w:rPr>
                <w:rFonts w:ascii="Times New Roman" w:eastAsia="Times New Roman"/>
                <w:sz w:val="21"/>
              </w:rPr>
              <w:t>[a,h]</w:t>
            </w:r>
            <w:r>
              <w:rPr>
                <w:spacing w:val="-5"/>
                <w:sz w:val="21"/>
              </w:rPr>
              <w:t>蒽、茚并</w:t>
            </w:r>
            <w:r>
              <w:rPr>
                <w:rFonts w:ascii="Times New Roman" w:eastAsia="Times New Roman"/>
                <w:spacing w:val="-5"/>
                <w:sz w:val="21"/>
              </w:rPr>
              <w:t>[1,2,3-cd]</w:t>
            </w:r>
            <w:r>
              <w:rPr>
                <w:spacing w:val="-2"/>
                <w:sz w:val="21"/>
              </w:rPr>
              <w:t>芘、萘</w:t>
            </w:r>
          </w:p>
          <w:p>
            <w:pPr>
              <w:pStyle w:val="TableParagraph"/>
              <w:spacing w:line="253" w:lineRule="exact"/>
              <w:ind w:left="4"/>
              <w:jc w:val="both"/>
              <w:rPr>
                <w:rFonts w:ascii="Times New Roman" w:eastAsia="Times New Roman"/>
                <w:sz w:val="14"/>
              </w:rPr>
            </w:pPr>
            <w:r>
              <w:rPr>
                <w:position w:val="2"/>
                <w:sz w:val="21"/>
              </w:rPr>
              <w:t>石油烃类：石油烃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p>
        </w:tc>
        <w:tc>
          <w:tcPr>
            <w:tcW w:w="1375"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1"/>
              <w:jc w:val="left"/>
              <w:rPr>
                <w:b/>
                <w:sz w:val="27"/>
              </w:rPr>
            </w:pPr>
          </w:p>
          <w:p>
            <w:pPr>
              <w:pStyle w:val="TableParagraph"/>
              <w:ind w:left="36" w:right="23"/>
              <w:rPr>
                <w:sz w:val="21"/>
              </w:rPr>
            </w:pPr>
            <w:r>
              <w:rPr>
                <w:sz w:val="21"/>
              </w:rPr>
              <w:t>甲酸</w:t>
            </w:r>
          </w:p>
        </w:tc>
        <w:tc>
          <w:tcPr>
            <w:tcW w:w="1419" w:type="dxa"/>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12"/>
              <w:jc w:val="left"/>
              <w:rPr>
                <w:b/>
                <w:sz w:val="18"/>
              </w:rPr>
            </w:pPr>
          </w:p>
          <w:p>
            <w:pPr>
              <w:pStyle w:val="TableParagraph"/>
              <w:ind w:left="10"/>
              <w:rPr>
                <w:rFonts w:ascii="Times New Roman"/>
                <w:sz w:val="21"/>
              </w:rPr>
            </w:pPr>
            <w:r>
              <w:rPr>
                <w:rFonts w:ascii="Times New Roman"/>
                <w:w w:val="100"/>
                <w:sz w:val="21"/>
              </w:rPr>
              <w:t>/</w:t>
            </w:r>
          </w:p>
        </w:tc>
      </w:tr>
    </w:tbl>
    <w:p>
      <w:pPr>
        <w:pStyle w:val="BodyText"/>
        <w:rPr>
          <w:b/>
          <w:sz w:val="7"/>
        </w:rPr>
      </w:pPr>
    </w:p>
    <w:p>
      <w:pPr>
        <w:pStyle w:val="Heading3"/>
        <w:numPr>
          <w:ilvl w:val="1"/>
          <w:numId w:val="6"/>
        </w:numPr>
        <w:tabs>
          <w:tab w:pos="801" w:val="left" w:leader="none"/>
        </w:tabs>
        <w:spacing w:line="240" w:lineRule="auto" w:before="70" w:after="0"/>
        <w:ind w:left="800" w:right="0" w:hanging="421"/>
        <w:jc w:val="left"/>
      </w:pPr>
      <w:bookmarkStart w:name="_bookmark10" w:id="21"/>
      <w:bookmarkEnd w:id="21"/>
      <w:r>
        <w:rPr>
          <w:b w:val="0"/>
        </w:rPr>
      </w:r>
      <w:bookmarkStart w:name="_bookmark10" w:id="22"/>
      <w:bookmarkEnd w:id="22"/>
      <w:r>
        <w:rPr/>
        <w:t>环境功能区划及评价标准</w:t>
      </w:r>
    </w:p>
    <w:p>
      <w:pPr>
        <w:pStyle w:val="Heading4"/>
        <w:numPr>
          <w:ilvl w:val="2"/>
          <w:numId w:val="6"/>
        </w:numPr>
        <w:tabs>
          <w:tab w:pos="1019" w:val="left" w:leader="none"/>
        </w:tabs>
        <w:spacing w:line="240" w:lineRule="auto" w:before="185" w:after="0"/>
        <w:ind w:left="1018" w:right="0" w:hanging="541"/>
        <w:jc w:val="left"/>
      </w:pPr>
      <w:r>
        <w:rPr/>
        <w:t>环境功能区划</w:t>
      </w:r>
    </w:p>
    <w:p>
      <w:pPr>
        <w:spacing w:before="158"/>
        <w:ind w:left="721" w:right="0" w:firstLine="0"/>
        <w:jc w:val="left"/>
        <w:rPr>
          <w:b/>
          <w:sz w:val="24"/>
        </w:rPr>
      </w:pPr>
      <w:r>
        <w:rPr>
          <w:rFonts w:ascii="Times New Roman" w:eastAsia="Times New Roman"/>
          <w:b/>
          <w:sz w:val="24"/>
        </w:rPr>
        <w:t>1</w:t>
      </w:r>
      <w:r>
        <w:rPr>
          <w:b/>
          <w:sz w:val="24"/>
        </w:rPr>
        <w:t>、地表水环境</w:t>
      </w:r>
    </w:p>
    <w:p>
      <w:pPr>
        <w:pStyle w:val="BodyText"/>
        <w:spacing w:line="364" w:lineRule="auto" w:before="161"/>
        <w:ind w:left="238" w:right="234" w:firstLine="480"/>
      </w:pPr>
      <w:r>
        <w:rPr>
          <w:spacing w:val="-4"/>
        </w:rPr>
        <w:t>根据《浙江省水功能区水环境功能区划分方案</w:t>
      </w:r>
      <w:r>
        <w:rPr>
          <w:spacing w:val="-137"/>
        </w:rPr>
        <w:t>》</w:t>
      </w:r>
      <w:r>
        <w:rPr/>
        <w:t>（</w:t>
      </w:r>
      <w:r>
        <w:rPr>
          <w:rFonts w:ascii="Times New Roman" w:hAnsi="Times New Roman" w:eastAsia="Times New Roman"/>
        </w:rPr>
        <w:t>2015</w:t>
      </w:r>
      <w:r>
        <w:rPr>
          <w:spacing w:val="-120"/>
        </w:rPr>
        <w:t>）</w:t>
      </w:r>
      <w:r>
        <w:rPr>
          <w:spacing w:val="-5"/>
        </w:rPr>
        <w:t>，该区域地表水为Ⅲ类水质</w:t>
      </w:r>
      <w:r>
        <w:rPr/>
        <w:t>工业、农业用水区，详见</w:t>
      </w:r>
      <w:r>
        <w:rPr>
          <w:b/>
          <w:spacing w:val="-20"/>
          <w:u w:val="single"/>
        </w:rPr>
        <w:t>附图 </w:t>
      </w:r>
      <w:r>
        <w:rPr>
          <w:rFonts w:ascii="Times New Roman" w:hAnsi="Times New Roman" w:eastAsia="Times New Roman"/>
          <w:b/>
          <w:u w:val="single"/>
        </w:rPr>
        <w:t>6</w:t>
      </w:r>
      <w:r>
        <w:rPr/>
        <w:t>。</w:t>
      </w:r>
    </w:p>
    <w:p>
      <w:pPr>
        <w:pStyle w:val="Heading4"/>
        <w:spacing w:line="306" w:lineRule="exact"/>
        <w:ind w:left="721"/>
      </w:pPr>
      <w:r>
        <w:rPr>
          <w:rFonts w:ascii="Times New Roman" w:eastAsia="Times New Roman"/>
        </w:rPr>
        <w:t>2</w:t>
      </w:r>
      <w:r>
        <w:rPr/>
        <w:t>、大气环境</w:t>
      </w:r>
    </w:p>
    <w:p>
      <w:pPr>
        <w:pStyle w:val="BodyText"/>
        <w:spacing w:before="160"/>
        <w:ind w:left="718"/>
      </w:pPr>
      <w:r>
        <w:rPr/>
        <w:t>根据《浙江省环境空气质量功能区划分》，本评价区环境空气质量为二类功能区。</w:t>
      </w:r>
    </w:p>
    <w:p>
      <w:pPr>
        <w:pStyle w:val="Heading4"/>
        <w:spacing w:before="159"/>
        <w:ind w:left="721"/>
      </w:pPr>
      <w:r>
        <w:rPr>
          <w:rFonts w:ascii="Times New Roman" w:eastAsia="Times New Roman"/>
        </w:rPr>
        <w:t>3</w:t>
      </w:r>
      <w:r>
        <w:rPr/>
        <w:t>、声环境</w:t>
      </w:r>
    </w:p>
    <w:p>
      <w:pPr>
        <w:pStyle w:val="BodyText"/>
        <w:spacing w:before="160"/>
        <w:ind w:left="718"/>
      </w:pPr>
      <w:r>
        <w:rPr/>
        <w:t>项目位于杭州湾上虞经济技术开发区，属 </w:t>
      </w:r>
      <w:r>
        <w:rPr>
          <w:rFonts w:ascii="Times New Roman" w:eastAsia="Times New Roman"/>
        </w:rPr>
        <w:t>3 </w:t>
      </w:r>
      <w:r>
        <w:rPr/>
        <w:t>类声环境功能区。</w:t>
      </w:r>
    </w:p>
    <w:p>
      <w:pPr>
        <w:pStyle w:val="Heading4"/>
        <w:numPr>
          <w:ilvl w:val="2"/>
          <w:numId w:val="6"/>
        </w:numPr>
        <w:tabs>
          <w:tab w:pos="1019" w:val="left" w:leader="none"/>
        </w:tabs>
        <w:spacing w:line="240" w:lineRule="auto" w:before="159" w:after="0"/>
        <w:ind w:left="1018" w:right="0" w:hanging="541"/>
        <w:jc w:val="left"/>
      </w:pPr>
      <w:r>
        <w:rPr/>
        <w:t>评价标准</w:t>
      </w:r>
    </w:p>
    <w:p>
      <w:pPr>
        <w:spacing w:before="160"/>
        <w:ind w:left="591" w:right="0" w:firstLine="0"/>
        <w:jc w:val="left"/>
        <w:rPr>
          <w:b/>
          <w:sz w:val="24"/>
        </w:rPr>
      </w:pPr>
      <w:r>
        <w:rPr>
          <w:rFonts w:ascii="Times New Roman" w:eastAsia="Times New Roman"/>
          <w:b/>
          <w:sz w:val="24"/>
        </w:rPr>
        <w:t>1</w:t>
      </w:r>
      <w:r>
        <w:rPr>
          <w:b/>
          <w:sz w:val="24"/>
        </w:rPr>
        <w:t>、环境质量标准</w:t>
      </w:r>
    </w:p>
    <w:p>
      <w:pPr>
        <w:pStyle w:val="ListParagraph"/>
        <w:numPr>
          <w:ilvl w:val="0"/>
          <w:numId w:val="8"/>
        </w:numPr>
        <w:tabs>
          <w:tab w:pos="992" w:val="left" w:leader="none"/>
        </w:tabs>
        <w:spacing w:line="240" w:lineRule="auto" w:before="158" w:after="0"/>
        <w:ind w:left="991" w:right="0" w:hanging="281"/>
        <w:jc w:val="left"/>
        <w:rPr>
          <w:b/>
          <w:sz w:val="24"/>
        </w:rPr>
      </w:pPr>
      <w:r>
        <w:rPr>
          <w:b/>
          <w:sz w:val="24"/>
        </w:rPr>
        <w:t>地表水环境质量标准</w:t>
      </w:r>
    </w:p>
    <w:p>
      <w:pPr>
        <w:pStyle w:val="BodyText"/>
        <w:spacing w:before="161"/>
        <w:ind w:left="718"/>
      </w:pPr>
      <w:r>
        <w:rPr/>
        <w:t>开发区内河执行《地表水环境质量标准》（</w:t>
      </w:r>
      <w:r>
        <w:rPr>
          <w:rFonts w:ascii="Times New Roman" w:hAnsi="Times New Roman" w:eastAsia="Times New Roman"/>
        </w:rPr>
        <w:t>GB3838-2002</w:t>
      </w:r>
      <w:r>
        <w:rPr/>
        <w:t>）中</w:t>
      </w:r>
      <w:r>
        <w:rPr>
          <w:rFonts w:ascii="Times New Roman" w:hAnsi="Times New Roman" w:eastAsia="Times New Roman"/>
        </w:rPr>
        <w:t>Ⅲ</w:t>
      </w:r>
      <w:r>
        <w:rPr/>
        <w:t>类标准。</w:t>
      </w:r>
    </w:p>
    <w:p>
      <w:pPr>
        <w:pStyle w:val="BodyText"/>
        <w:spacing w:before="4"/>
        <w:rPr>
          <w:sz w:val="23"/>
        </w:rPr>
      </w:pPr>
    </w:p>
    <w:p>
      <w:pPr>
        <w:pStyle w:val="Heading4"/>
        <w:tabs>
          <w:tab w:pos="2237" w:val="left" w:leader="none"/>
        </w:tabs>
        <w:spacing w:before="1" w:after="28"/>
        <w:ind w:left="1016"/>
        <w:rPr>
          <w:rFonts w:ascii="Times New Roman" w:eastAsia="Times New Roman"/>
        </w:rPr>
      </w:pPr>
      <w:r>
        <w:rPr/>
        <w:t>表</w:t>
      </w:r>
      <w:r>
        <w:rPr>
          <w:spacing w:val="-60"/>
        </w:rPr>
        <w:t> </w:t>
      </w:r>
      <w:r>
        <w:rPr>
          <w:rFonts w:ascii="Times New Roman" w:eastAsia="Times New Roman"/>
        </w:rPr>
        <w:t>2.3.2-1</w:t>
        <w:tab/>
      </w:r>
      <w:r>
        <w:rPr/>
        <w:t>地表水环境质量</w:t>
      </w:r>
      <w:r>
        <w:rPr>
          <w:spacing w:val="3"/>
        </w:rPr>
        <w:t>标</w:t>
      </w:r>
      <w:r>
        <w:rPr/>
        <w:t>准（</w:t>
      </w:r>
      <w:r>
        <w:rPr>
          <w:rFonts w:ascii="Times New Roman" w:eastAsia="Times New Roman"/>
        </w:rPr>
        <w:t>GB3838-2002</w:t>
      </w:r>
      <w:r>
        <w:rPr/>
        <w:t>） 单位：除</w:t>
      </w:r>
      <w:r>
        <w:rPr>
          <w:spacing w:val="-60"/>
        </w:rPr>
        <w:t> </w:t>
      </w:r>
      <w:r>
        <w:rPr>
          <w:rFonts w:ascii="Times New Roman" w:eastAsia="Times New Roman"/>
        </w:rPr>
        <w:t>pH</w:t>
      </w:r>
      <w:r>
        <w:rPr>
          <w:rFonts w:ascii="Times New Roman" w:eastAsia="Times New Roman"/>
          <w:spacing w:val="-3"/>
        </w:rPr>
        <w:t> </w:t>
      </w:r>
      <w:r>
        <w:rPr/>
        <w:t>外为</w:t>
      </w:r>
      <w:r>
        <w:rPr>
          <w:spacing w:val="-58"/>
        </w:rPr>
        <w:t> </w:t>
      </w:r>
      <w:r>
        <w:rPr>
          <w:rFonts w:ascii="Times New Roman" w:eastAsia="Times New Roman"/>
        </w:rPr>
        <w:t>mg/L</w:t>
      </w:r>
    </w:p>
    <w:tbl>
      <w:tblPr>
        <w:tblW w:w="0" w:type="auto"/>
        <w:jc w:val="left"/>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5"/>
        <w:gridCol w:w="708"/>
        <w:gridCol w:w="853"/>
        <w:gridCol w:w="1131"/>
        <w:gridCol w:w="1561"/>
        <w:gridCol w:w="853"/>
        <w:gridCol w:w="995"/>
        <w:gridCol w:w="1420"/>
      </w:tblGrid>
      <w:tr>
        <w:trPr>
          <w:trHeight w:val="273" w:hRule="atLeast"/>
        </w:trPr>
        <w:tc>
          <w:tcPr>
            <w:tcW w:w="1565" w:type="dxa"/>
          </w:tcPr>
          <w:p>
            <w:pPr>
              <w:pStyle w:val="TableParagraph"/>
              <w:spacing w:line="252" w:lineRule="exact" w:before="1"/>
              <w:ind w:left="27" w:right="18"/>
              <w:rPr>
                <w:b/>
                <w:sz w:val="21"/>
              </w:rPr>
            </w:pPr>
            <w:r>
              <w:rPr>
                <w:b/>
                <w:sz w:val="21"/>
              </w:rPr>
              <w:t>参数</w:t>
            </w:r>
          </w:p>
        </w:tc>
        <w:tc>
          <w:tcPr>
            <w:tcW w:w="708" w:type="dxa"/>
          </w:tcPr>
          <w:p>
            <w:pPr>
              <w:pStyle w:val="TableParagraph"/>
              <w:spacing w:line="236" w:lineRule="exact" w:before="17"/>
              <w:ind w:left="213"/>
              <w:jc w:val="left"/>
              <w:rPr>
                <w:rFonts w:ascii="Times New Roman"/>
                <w:b/>
                <w:sz w:val="21"/>
              </w:rPr>
            </w:pPr>
            <w:r>
              <w:rPr>
                <w:rFonts w:ascii="Times New Roman"/>
                <w:b/>
                <w:sz w:val="21"/>
              </w:rPr>
              <w:t>pH</w:t>
            </w:r>
          </w:p>
        </w:tc>
        <w:tc>
          <w:tcPr>
            <w:tcW w:w="853" w:type="dxa"/>
          </w:tcPr>
          <w:p>
            <w:pPr>
              <w:pStyle w:val="TableParagraph"/>
              <w:spacing w:line="252" w:lineRule="exact" w:before="1"/>
              <w:ind w:left="35" w:right="30"/>
              <w:rPr>
                <w:b/>
                <w:sz w:val="21"/>
              </w:rPr>
            </w:pPr>
            <w:r>
              <w:rPr>
                <w:b/>
                <w:sz w:val="21"/>
              </w:rPr>
              <w:t>溶解氧</w:t>
            </w:r>
          </w:p>
        </w:tc>
        <w:tc>
          <w:tcPr>
            <w:tcW w:w="1131" w:type="dxa"/>
          </w:tcPr>
          <w:p>
            <w:pPr>
              <w:pStyle w:val="TableParagraph"/>
              <w:spacing w:line="252" w:lineRule="exact" w:before="1"/>
              <w:ind w:left="18" w:right="8"/>
              <w:rPr>
                <w:b/>
                <w:sz w:val="21"/>
              </w:rPr>
            </w:pPr>
            <w:r>
              <w:rPr>
                <w:b/>
                <w:sz w:val="21"/>
              </w:rPr>
              <w:t>化学需氧量</w:t>
            </w:r>
          </w:p>
        </w:tc>
        <w:tc>
          <w:tcPr>
            <w:tcW w:w="1561" w:type="dxa"/>
          </w:tcPr>
          <w:p>
            <w:pPr>
              <w:pStyle w:val="TableParagraph"/>
              <w:spacing w:line="252" w:lineRule="exact" w:before="1"/>
              <w:ind w:left="20" w:right="14"/>
              <w:rPr>
                <w:b/>
                <w:sz w:val="21"/>
              </w:rPr>
            </w:pPr>
            <w:r>
              <w:rPr>
                <w:b/>
                <w:sz w:val="21"/>
              </w:rPr>
              <w:t>高锰酸盐指数</w:t>
            </w:r>
          </w:p>
        </w:tc>
        <w:tc>
          <w:tcPr>
            <w:tcW w:w="853" w:type="dxa"/>
          </w:tcPr>
          <w:p>
            <w:pPr>
              <w:pStyle w:val="TableParagraph"/>
              <w:spacing w:line="252" w:lineRule="exact" w:before="1"/>
              <w:ind w:left="33" w:right="31"/>
              <w:rPr>
                <w:b/>
                <w:sz w:val="21"/>
              </w:rPr>
            </w:pPr>
            <w:r>
              <w:rPr>
                <w:b/>
                <w:sz w:val="21"/>
              </w:rPr>
              <w:t>氨氮</w:t>
            </w:r>
          </w:p>
        </w:tc>
        <w:tc>
          <w:tcPr>
            <w:tcW w:w="995" w:type="dxa"/>
          </w:tcPr>
          <w:p>
            <w:pPr>
              <w:pStyle w:val="TableParagraph"/>
              <w:spacing w:line="252" w:lineRule="exact" w:before="1"/>
              <w:ind w:left="156" w:right="156"/>
              <w:rPr>
                <w:b/>
                <w:sz w:val="21"/>
              </w:rPr>
            </w:pPr>
            <w:r>
              <w:rPr>
                <w:b/>
                <w:sz w:val="21"/>
              </w:rPr>
              <w:t>石油类</w:t>
            </w:r>
          </w:p>
        </w:tc>
        <w:tc>
          <w:tcPr>
            <w:tcW w:w="1420" w:type="dxa"/>
          </w:tcPr>
          <w:p>
            <w:pPr>
              <w:pStyle w:val="TableParagraph"/>
              <w:spacing w:line="252" w:lineRule="exact" w:before="1"/>
              <w:ind w:left="51" w:right="52"/>
              <w:rPr>
                <w:b/>
                <w:sz w:val="21"/>
              </w:rPr>
            </w:pPr>
            <w:r>
              <w:rPr>
                <w:b/>
                <w:sz w:val="21"/>
              </w:rPr>
              <w:t>硫化物</w:t>
            </w:r>
          </w:p>
        </w:tc>
      </w:tr>
      <w:tr>
        <w:trPr>
          <w:trHeight w:val="273" w:hRule="atLeast"/>
        </w:trPr>
        <w:tc>
          <w:tcPr>
            <w:tcW w:w="1565" w:type="dxa"/>
          </w:tcPr>
          <w:p>
            <w:pPr>
              <w:pStyle w:val="TableParagraph"/>
              <w:spacing w:line="252" w:lineRule="exact" w:before="1"/>
              <w:ind w:left="27" w:right="18"/>
              <w:rPr>
                <w:b/>
                <w:sz w:val="21"/>
              </w:rPr>
            </w:pPr>
            <w:r>
              <w:rPr>
                <w:rFonts w:ascii="Times New Roman" w:hAnsi="Times New Roman" w:eastAsia="Times New Roman"/>
                <w:b/>
                <w:sz w:val="21"/>
              </w:rPr>
              <w:t>Ⅲ</w:t>
            </w:r>
            <w:r>
              <w:rPr>
                <w:b/>
                <w:sz w:val="21"/>
              </w:rPr>
              <w:t>类标准限值</w:t>
            </w:r>
          </w:p>
        </w:tc>
        <w:tc>
          <w:tcPr>
            <w:tcW w:w="708" w:type="dxa"/>
          </w:tcPr>
          <w:p>
            <w:pPr>
              <w:pStyle w:val="TableParagraph"/>
              <w:spacing w:line="238" w:lineRule="exact" w:before="15"/>
              <w:ind w:left="191"/>
              <w:jc w:val="left"/>
              <w:rPr>
                <w:rFonts w:ascii="Times New Roman"/>
                <w:sz w:val="21"/>
              </w:rPr>
            </w:pPr>
            <w:r>
              <w:rPr>
                <w:rFonts w:ascii="Times New Roman"/>
                <w:sz w:val="21"/>
              </w:rPr>
              <w:t>6~9</w:t>
            </w:r>
          </w:p>
        </w:tc>
        <w:tc>
          <w:tcPr>
            <w:tcW w:w="853" w:type="dxa"/>
          </w:tcPr>
          <w:p>
            <w:pPr>
              <w:pStyle w:val="TableParagraph"/>
              <w:spacing w:line="238" w:lineRule="exact" w:before="15"/>
              <w:ind w:left="35" w:right="29"/>
              <w:rPr>
                <w:rFonts w:ascii="Times New Roman" w:hAnsi="Times New Roman"/>
                <w:sz w:val="21"/>
              </w:rPr>
            </w:pPr>
            <w:r>
              <w:rPr>
                <w:rFonts w:ascii="Times New Roman" w:hAnsi="Times New Roman"/>
                <w:sz w:val="21"/>
              </w:rPr>
              <w:t>≥5</w:t>
            </w:r>
          </w:p>
        </w:tc>
        <w:tc>
          <w:tcPr>
            <w:tcW w:w="1131" w:type="dxa"/>
          </w:tcPr>
          <w:p>
            <w:pPr>
              <w:pStyle w:val="TableParagraph"/>
              <w:spacing w:line="238" w:lineRule="exact" w:before="15"/>
              <w:ind w:left="13" w:right="8"/>
              <w:rPr>
                <w:rFonts w:ascii="Times New Roman"/>
                <w:sz w:val="21"/>
              </w:rPr>
            </w:pPr>
            <w:r>
              <w:rPr>
                <w:rFonts w:ascii="Times New Roman"/>
                <w:sz w:val="21"/>
              </w:rPr>
              <w:t>20</w:t>
            </w:r>
          </w:p>
        </w:tc>
        <w:tc>
          <w:tcPr>
            <w:tcW w:w="1561" w:type="dxa"/>
          </w:tcPr>
          <w:p>
            <w:pPr>
              <w:pStyle w:val="TableParagraph"/>
              <w:spacing w:line="238" w:lineRule="exact" w:before="15"/>
              <w:ind w:left="6"/>
              <w:rPr>
                <w:rFonts w:ascii="Times New Roman"/>
                <w:sz w:val="21"/>
              </w:rPr>
            </w:pPr>
            <w:r>
              <w:rPr>
                <w:rFonts w:ascii="Times New Roman"/>
                <w:w w:val="100"/>
                <w:sz w:val="21"/>
              </w:rPr>
              <w:t>6</w:t>
            </w:r>
          </w:p>
        </w:tc>
        <w:tc>
          <w:tcPr>
            <w:tcW w:w="853" w:type="dxa"/>
          </w:tcPr>
          <w:p>
            <w:pPr>
              <w:pStyle w:val="TableParagraph"/>
              <w:spacing w:line="238" w:lineRule="exact" w:before="15"/>
              <w:ind w:left="35" w:right="28"/>
              <w:rPr>
                <w:rFonts w:ascii="Times New Roman"/>
                <w:sz w:val="21"/>
              </w:rPr>
            </w:pPr>
            <w:r>
              <w:rPr>
                <w:rFonts w:ascii="Times New Roman"/>
                <w:sz w:val="21"/>
              </w:rPr>
              <w:t>1.0</w:t>
            </w:r>
          </w:p>
        </w:tc>
        <w:tc>
          <w:tcPr>
            <w:tcW w:w="995" w:type="dxa"/>
          </w:tcPr>
          <w:p>
            <w:pPr>
              <w:pStyle w:val="TableParagraph"/>
              <w:spacing w:line="238" w:lineRule="exact" w:before="15"/>
              <w:ind w:left="156" w:right="154"/>
              <w:rPr>
                <w:rFonts w:ascii="Times New Roman"/>
                <w:sz w:val="21"/>
              </w:rPr>
            </w:pPr>
            <w:r>
              <w:rPr>
                <w:rFonts w:ascii="Times New Roman"/>
                <w:sz w:val="21"/>
              </w:rPr>
              <w:t>0.05</w:t>
            </w:r>
          </w:p>
        </w:tc>
        <w:tc>
          <w:tcPr>
            <w:tcW w:w="1420" w:type="dxa"/>
          </w:tcPr>
          <w:p>
            <w:pPr>
              <w:pStyle w:val="TableParagraph"/>
              <w:spacing w:line="238" w:lineRule="exact" w:before="15"/>
              <w:ind w:left="51" w:right="52"/>
              <w:rPr>
                <w:rFonts w:ascii="Times New Roman"/>
                <w:sz w:val="21"/>
              </w:rPr>
            </w:pPr>
            <w:r>
              <w:rPr>
                <w:rFonts w:ascii="Times New Roman"/>
                <w:sz w:val="21"/>
              </w:rPr>
              <w:t>0.2</w:t>
            </w:r>
          </w:p>
        </w:tc>
      </w:tr>
      <w:tr>
        <w:trPr>
          <w:trHeight w:val="545" w:hRule="atLeast"/>
        </w:trPr>
        <w:tc>
          <w:tcPr>
            <w:tcW w:w="1565" w:type="dxa"/>
          </w:tcPr>
          <w:p>
            <w:pPr>
              <w:pStyle w:val="TableParagraph"/>
              <w:spacing w:before="137"/>
              <w:ind w:left="27" w:right="18"/>
              <w:rPr>
                <w:b/>
                <w:sz w:val="21"/>
              </w:rPr>
            </w:pPr>
            <w:r>
              <w:rPr>
                <w:b/>
                <w:sz w:val="21"/>
              </w:rPr>
              <w:t>参数</w:t>
            </w:r>
          </w:p>
        </w:tc>
        <w:tc>
          <w:tcPr>
            <w:tcW w:w="708" w:type="dxa"/>
          </w:tcPr>
          <w:p>
            <w:pPr>
              <w:pStyle w:val="TableParagraph"/>
              <w:spacing w:before="137"/>
              <w:ind w:left="6"/>
              <w:rPr>
                <w:b/>
                <w:sz w:val="21"/>
              </w:rPr>
            </w:pPr>
            <w:r>
              <w:rPr>
                <w:b/>
                <w:w w:val="100"/>
                <w:sz w:val="21"/>
              </w:rPr>
              <w:t>镉</w:t>
            </w:r>
          </w:p>
        </w:tc>
        <w:tc>
          <w:tcPr>
            <w:tcW w:w="853" w:type="dxa"/>
          </w:tcPr>
          <w:p>
            <w:pPr>
              <w:pStyle w:val="TableParagraph"/>
              <w:spacing w:before="137"/>
              <w:ind w:left="35" w:right="30"/>
              <w:rPr>
                <w:b/>
                <w:sz w:val="21"/>
              </w:rPr>
            </w:pPr>
            <w:r>
              <w:rPr>
                <w:b/>
                <w:sz w:val="21"/>
              </w:rPr>
              <w:t>挥发酚</w:t>
            </w:r>
          </w:p>
        </w:tc>
        <w:tc>
          <w:tcPr>
            <w:tcW w:w="1131" w:type="dxa"/>
          </w:tcPr>
          <w:p>
            <w:pPr>
              <w:pStyle w:val="TableParagraph"/>
              <w:spacing w:before="137"/>
              <w:ind w:left="13" w:right="8"/>
              <w:rPr>
                <w:b/>
                <w:sz w:val="21"/>
              </w:rPr>
            </w:pPr>
            <w:r>
              <w:rPr>
                <w:b/>
                <w:sz w:val="21"/>
              </w:rPr>
              <w:t>氟化物</w:t>
            </w:r>
          </w:p>
        </w:tc>
        <w:tc>
          <w:tcPr>
            <w:tcW w:w="1561" w:type="dxa"/>
          </w:tcPr>
          <w:p>
            <w:pPr>
              <w:pStyle w:val="TableParagraph"/>
              <w:spacing w:before="137"/>
              <w:ind w:left="6"/>
              <w:rPr>
                <w:b/>
                <w:sz w:val="21"/>
              </w:rPr>
            </w:pPr>
            <w:r>
              <w:rPr>
                <w:b/>
                <w:w w:val="100"/>
                <w:sz w:val="21"/>
              </w:rPr>
              <w:t>汞</w:t>
            </w:r>
          </w:p>
        </w:tc>
        <w:tc>
          <w:tcPr>
            <w:tcW w:w="853" w:type="dxa"/>
          </w:tcPr>
          <w:p>
            <w:pPr>
              <w:pStyle w:val="TableParagraph"/>
              <w:spacing w:before="137"/>
              <w:ind w:left="2"/>
              <w:rPr>
                <w:b/>
                <w:sz w:val="21"/>
              </w:rPr>
            </w:pPr>
            <w:r>
              <w:rPr>
                <w:b/>
                <w:w w:val="100"/>
                <w:sz w:val="21"/>
              </w:rPr>
              <w:t>铅</w:t>
            </w:r>
          </w:p>
        </w:tc>
        <w:tc>
          <w:tcPr>
            <w:tcW w:w="995" w:type="dxa"/>
          </w:tcPr>
          <w:p>
            <w:pPr>
              <w:pStyle w:val="TableParagraph"/>
              <w:spacing w:before="137"/>
              <w:rPr>
                <w:b/>
                <w:sz w:val="21"/>
              </w:rPr>
            </w:pPr>
            <w:r>
              <w:rPr>
                <w:b/>
                <w:w w:val="100"/>
                <w:sz w:val="21"/>
              </w:rPr>
              <w:t>铜</w:t>
            </w:r>
          </w:p>
        </w:tc>
        <w:tc>
          <w:tcPr>
            <w:tcW w:w="1420" w:type="dxa"/>
          </w:tcPr>
          <w:p>
            <w:pPr>
              <w:pStyle w:val="TableParagraph"/>
              <w:spacing w:before="1"/>
              <w:ind w:left="52" w:right="52"/>
              <w:rPr>
                <w:b/>
                <w:sz w:val="21"/>
              </w:rPr>
            </w:pPr>
            <w:r>
              <w:rPr>
                <w:b/>
                <w:sz w:val="21"/>
              </w:rPr>
              <w:t>阴离子表面活</w:t>
            </w:r>
          </w:p>
          <w:p>
            <w:pPr>
              <w:pStyle w:val="TableParagraph"/>
              <w:spacing w:line="252" w:lineRule="exact" w:before="2"/>
              <w:ind w:left="51" w:right="52"/>
              <w:rPr>
                <w:b/>
                <w:sz w:val="21"/>
              </w:rPr>
            </w:pPr>
            <w:r>
              <w:rPr>
                <w:b/>
                <w:sz w:val="21"/>
              </w:rPr>
              <w:t>性剂</w:t>
            </w:r>
          </w:p>
        </w:tc>
      </w:tr>
      <w:tr>
        <w:trPr>
          <w:trHeight w:val="270" w:hRule="atLeast"/>
        </w:trPr>
        <w:tc>
          <w:tcPr>
            <w:tcW w:w="1565" w:type="dxa"/>
          </w:tcPr>
          <w:p>
            <w:pPr>
              <w:pStyle w:val="TableParagraph"/>
              <w:spacing w:line="250" w:lineRule="exact" w:before="1"/>
              <w:ind w:left="27" w:right="18"/>
              <w:rPr>
                <w:b/>
                <w:sz w:val="21"/>
              </w:rPr>
            </w:pPr>
            <w:r>
              <w:rPr>
                <w:rFonts w:ascii="Times New Roman" w:hAnsi="Times New Roman" w:eastAsia="Times New Roman"/>
                <w:b/>
                <w:sz w:val="21"/>
              </w:rPr>
              <w:t>Ⅲ</w:t>
            </w:r>
            <w:r>
              <w:rPr>
                <w:b/>
                <w:sz w:val="21"/>
              </w:rPr>
              <w:t>类标准限值</w:t>
            </w:r>
          </w:p>
        </w:tc>
        <w:tc>
          <w:tcPr>
            <w:tcW w:w="708" w:type="dxa"/>
          </w:tcPr>
          <w:p>
            <w:pPr>
              <w:pStyle w:val="TableParagraph"/>
              <w:spacing w:line="236" w:lineRule="exact" w:before="15"/>
              <w:ind w:left="117"/>
              <w:jc w:val="left"/>
              <w:rPr>
                <w:rFonts w:ascii="Times New Roman"/>
                <w:sz w:val="21"/>
              </w:rPr>
            </w:pPr>
            <w:r>
              <w:rPr>
                <w:rFonts w:ascii="Times New Roman"/>
                <w:sz w:val="21"/>
              </w:rPr>
              <w:t>0.005</w:t>
            </w:r>
          </w:p>
        </w:tc>
        <w:tc>
          <w:tcPr>
            <w:tcW w:w="853" w:type="dxa"/>
          </w:tcPr>
          <w:p>
            <w:pPr>
              <w:pStyle w:val="TableParagraph"/>
              <w:spacing w:line="236" w:lineRule="exact" w:before="15"/>
              <w:ind w:left="35" w:right="25"/>
              <w:rPr>
                <w:rFonts w:ascii="Times New Roman"/>
                <w:sz w:val="21"/>
              </w:rPr>
            </w:pPr>
            <w:r>
              <w:rPr>
                <w:rFonts w:ascii="Times New Roman"/>
                <w:sz w:val="21"/>
              </w:rPr>
              <w:t>0.005</w:t>
            </w:r>
          </w:p>
        </w:tc>
        <w:tc>
          <w:tcPr>
            <w:tcW w:w="1131" w:type="dxa"/>
          </w:tcPr>
          <w:p>
            <w:pPr>
              <w:pStyle w:val="TableParagraph"/>
              <w:spacing w:line="236" w:lineRule="exact" w:before="15"/>
              <w:ind w:left="18" w:right="8"/>
              <w:rPr>
                <w:rFonts w:ascii="Times New Roman"/>
                <w:sz w:val="21"/>
              </w:rPr>
            </w:pPr>
            <w:r>
              <w:rPr>
                <w:rFonts w:ascii="Times New Roman"/>
                <w:sz w:val="21"/>
              </w:rPr>
              <w:t>1.0</w:t>
            </w:r>
          </w:p>
        </w:tc>
        <w:tc>
          <w:tcPr>
            <w:tcW w:w="1561" w:type="dxa"/>
          </w:tcPr>
          <w:p>
            <w:pPr>
              <w:pStyle w:val="TableParagraph"/>
              <w:spacing w:line="236" w:lineRule="exact" w:before="15"/>
              <w:ind w:left="20" w:right="14"/>
              <w:rPr>
                <w:rFonts w:ascii="Times New Roman"/>
                <w:sz w:val="21"/>
              </w:rPr>
            </w:pPr>
            <w:r>
              <w:rPr>
                <w:rFonts w:ascii="Times New Roman"/>
                <w:sz w:val="21"/>
              </w:rPr>
              <w:t>0.0001</w:t>
            </w:r>
          </w:p>
        </w:tc>
        <w:tc>
          <w:tcPr>
            <w:tcW w:w="853" w:type="dxa"/>
          </w:tcPr>
          <w:p>
            <w:pPr>
              <w:pStyle w:val="TableParagraph"/>
              <w:spacing w:line="236" w:lineRule="exact" w:before="15"/>
              <w:ind w:left="35" w:right="28"/>
              <w:rPr>
                <w:rFonts w:ascii="Times New Roman"/>
                <w:sz w:val="21"/>
              </w:rPr>
            </w:pPr>
            <w:r>
              <w:rPr>
                <w:rFonts w:ascii="Times New Roman"/>
                <w:sz w:val="21"/>
              </w:rPr>
              <w:t>0.05</w:t>
            </w:r>
          </w:p>
        </w:tc>
        <w:tc>
          <w:tcPr>
            <w:tcW w:w="995" w:type="dxa"/>
          </w:tcPr>
          <w:p>
            <w:pPr>
              <w:pStyle w:val="TableParagraph"/>
              <w:spacing w:line="236" w:lineRule="exact" w:before="15"/>
              <w:ind w:left="156" w:right="154"/>
              <w:rPr>
                <w:rFonts w:ascii="Times New Roman"/>
                <w:sz w:val="21"/>
              </w:rPr>
            </w:pPr>
            <w:r>
              <w:rPr>
                <w:rFonts w:ascii="Times New Roman"/>
                <w:sz w:val="21"/>
              </w:rPr>
              <w:t>1.0</w:t>
            </w:r>
          </w:p>
        </w:tc>
        <w:tc>
          <w:tcPr>
            <w:tcW w:w="1420" w:type="dxa"/>
          </w:tcPr>
          <w:p>
            <w:pPr>
              <w:pStyle w:val="TableParagraph"/>
              <w:spacing w:line="236" w:lineRule="exact" w:before="15"/>
              <w:ind w:left="51" w:right="52"/>
              <w:rPr>
                <w:rFonts w:ascii="Times New Roman"/>
                <w:sz w:val="21"/>
              </w:rPr>
            </w:pPr>
            <w:r>
              <w:rPr>
                <w:rFonts w:ascii="Times New Roman"/>
                <w:sz w:val="21"/>
              </w:rPr>
              <w:t>0.2</w:t>
            </w:r>
          </w:p>
        </w:tc>
      </w:tr>
      <w:tr>
        <w:trPr>
          <w:trHeight w:val="273" w:hRule="atLeast"/>
        </w:trPr>
        <w:tc>
          <w:tcPr>
            <w:tcW w:w="1565" w:type="dxa"/>
          </w:tcPr>
          <w:p>
            <w:pPr>
              <w:pStyle w:val="TableParagraph"/>
              <w:spacing w:line="250" w:lineRule="exact" w:before="3"/>
              <w:ind w:left="27" w:right="18"/>
              <w:rPr>
                <w:b/>
                <w:sz w:val="21"/>
              </w:rPr>
            </w:pPr>
            <w:r>
              <w:rPr>
                <w:b/>
                <w:sz w:val="21"/>
              </w:rPr>
              <w:t>参数</w:t>
            </w:r>
          </w:p>
        </w:tc>
        <w:tc>
          <w:tcPr>
            <w:tcW w:w="708" w:type="dxa"/>
          </w:tcPr>
          <w:p>
            <w:pPr>
              <w:pStyle w:val="TableParagraph"/>
              <w:spacing w:line="250" w:lineRule="exact" w:before="3"/>
              <w:ind w:left="6"/>
              <w:rPr>
                <w:b/>
                <w:sz w:val="21"/>
              </w:rPr>
            </w:pPr>
            <w:r>
              <w:rPr>
                <w:b/>
                <w:w w:val="100"/>
                <w:sz w:val="21"/>
              </w:rPr>
              <w:t>砷</w:t>
            </w:r>
          </w:p>
        </w:tc>
        <w:tc>
          <w:tcPr>
            <w:tcW w:w="853" w:type="dxa"/>
          </w:tcPr>
          <w:p>
            <w:pPr>
              <w:pStyle w:val="TableParagraph"/>
              <w:spacing w:line="250" w:lineRule="exact" w:before="3"/>
              <w:ind w:left="35" w:right="30"/>
              <w:rPr>
                <w:b/>
                <w:sz w:val="21"/>
              </w:rPr>
            </w:pPr>
            <w:r>
              <w:rPr>
                <w:b/>
                <w:sz w:val="21"/>
              </w:rPr>
              <w:t>总磷</w:t>
            </w:r>
          </w:p>
        </w:tc>
        <w:tc>
          <w:tcPr>
            <w:tcW w:w="1131" w:type="dxa"/>
          </w:tcPr>
          <w:p>
            <w:pPr>
              <w:pStyle w:val="TableParagraph"/>
              <w:spacing w:line="250" w:lineRule="exact" w:before="3"/>
              <w:ind w:left="13" w:right="8"/>
              <w:rPr>
                <w:b/>
                <w:sz w:val="21"/>
              </w:rPr>
            </w:pPr>
            <w:r>
              <w:rPr>
                <w:b/>
                <w:sz w:val="21"/>
              </w:rPr>
              <w:t>六价铬</w:t>
            </w:r>
          </w:p>
        </w:tc>
        <w:tc>
          <w:tcPr>
            <w:tcW w:w="1561" w:type="dxa"/>
          </w:tcPr>
          <w:p>
            <w:pPr>
              <w:pStyle w:val="TableParagraph"/>
              <w:spacing w:line="250" w:lineRule="exact" w:before="3"/>
              <w:ind w:left="20" w:right="14"/>
              <w:rPr>
                <w:b/>
                <w:sz w:val="21"/>
              </w:rPr>
            </w:pPr>
            <w:r>
              <w:rPr>
                <w:b/>
                <w:sz w:val="21"/>
              </w:rPr>
              <w:t>五日生化需氧量</w:t>
            </w:r>
          </w:p>
        </w:tc>
        <w:tc>
          <w:tcPr>
            <w:tcW w:w="853" w:type="dxa"/>
          </w:tcPr>
          <w:p>
            <w:pPr>
              <w:pStyle w:val="TableParagraph"/>
              <w:spacing w:line="250" w:lineRule="exact" w:before="3"/>
              <w:ind w:left="2"/>
              <w:rPr>
                <w:b/>
                <w:sz w:val="21"/>
              </w:rPr>
            </w:pPr>
            <w:r>
              <w:rPr>
                <w:b/>
                <w:w w:val="100"/>
                <w:sz w:val="21"/>
              </w:rPr>
              <w:t>锌</w:t>
            </w:r>
          </w:p>
        </w:tc>
        <w:tc>
          <w:tcPr>
            <w:tcW w:w="995" w:type="dxa"/>
          </w:tcPr>
          <w:p>
            <w:pPr>
              <w:pStyle w:val="TableParagraph"/>
              <w:spacing w:line="250" w:lineRule="exact" w:before="3"/>
              <w:ind w:left="156" w:right="156"/>
              <w:rPr>
                <w:b/>
                <w:sz w:val="21"/>
              </w:rPr>
            </w:pPr>
            <w:r>
              <w:rPr>
                <w:b/>
                <w:sz w:val="21"/>
              </w:rPr>
              <w:t>氰化物</w:t>
            </w:r>
          </w:p>
        </w:tc>
        <w:tc>
          <w:tcPr>
            <w:tcW w:w="1420" w:type="dxa"/>
          </w:tcPr>
          <w:p>
            <w:pPr>
              <w:pStyle w:val="TableParagraph"/>
              <w:spacing w:line="250" w:lineRule="exact" w:before="3"/>
              <w:ind w:right="1"/>
              <w:rPr>
                <w:b/>
                <w:sz w:val="21"/>
              </w:rPr>
            </w:pPr>
            <w:r>
              <w:rPr>
                <w:b/>
                <w:w w:val="100"/>
                <w:sz w:val="21"/>
              </w:rPr>
              <w:t>硒</w:t>
            </w:r>
          </w:p>
        </w:tc>
      </w:tr>
      <w:tr>
        <w:trPr>
          <w:trHeight w:val="273" w:hRule="atLeast"/>
        </w:trPr>
        <w:tc>
          <w:tcPr>
            <w:tcW w:w="1565" w:type="dxa"/>
          </w:tcPr>
          <w:p>
            <w:pPr>
              <w:pStyle w:val="TableParagraph"/>
              <w:spacing w:line="252" w:lineRule="exact" w:before="1"/>
              <w:ind w:left="27" w:right="18"/>
              <w:rPr>
                <w:b/>
                <w:sz w:val="21"/>
              </w:rPr>
            </w:pPr>
            <w:r>
              <w:rPr>
                <w:rFonts w:ascii="Times New Roman" w:hAnsi="Times New Roman" w:eastAsia="Times New Roman"/>
                <w:b/>
                <w:sz w:val="21"/>
              </w:rPr>
              <w:t>Ⅲ</w:t>
            </w:r>
            <w:r>
              <w:rPr>
                <w:b/>
                <w:sz w:val="21"/>
              </w:rPr>
              <w:t>类标准限值</w:t>
            </w:r>
          </w:p>
        </w:tc>
        <w:tc>
          <w:tcPr>
            <w:tcW w:w="708" w:type="dxa"/>
          </w:tcPr>
          <w:p>
            <w:pPr>
              <w:pStyle w:val="TableParagraph"/>
              <w:spacing w:line="238" w:lineRule="exact" w:before="15"/>
              <w:ind w:left="169"/>
              <w:jc w:val="left"/>
              <w:rPr>
                <w:rFonts w:ascii="Times New Roman"/>
                <w:sz w:val="21"/>
              </w:rPr>
            </w:pPr>
            <w:r>
              <w:rPr>
                <w:rFonts w:ascii="Times New Roman"/>
                <w:sz w:val="21"/>
              </w:rPr>
              <w:t>0.05</w:t>
            </w:r>
          </w:p>
        </w:tc>
        <w:tc>
          <w:tcPr>
            <w:tcW w:w="853" w:type="dxa"/>
          </w:tcPr>
          <w:p>
            <w:pPr>
              <w:pStyle w:val="TableParagraph"/>
              <w:spacing w:line="238" w:lineRule="exact" w:before="15"/>
              <w:ind w:left="35" w:right="24"/>
              <w:rPr>
                <w:rFonts w:ascii="Times New Roman"/>
                <w:sz w:val="21"/>
              </w:rPr>
            </w:pPr>
            <w:r>
              <w:rPr>
                <w:rFonts w:ascii="Times New Roman"/>
                <w:sz w:val="21"/>
              </w:rPr>
              <w:t>0.2</w:t>
            </w:r>
          </w:p>
        </w:tc>
        <w:tc>
          <w:tcPr>
            <w:tcW w:w="1131" w:type="dxa"/>
          </w:tcPr>
          <w:p>
            <w:pPr>
              <w:pStyle w:val="TableParagraph"/>
              <w:spacing w:line="238" w:lineRule="exact" w:before="15"/>
              <w:ind w:left="18" w:right="8"/>
              <w:rPr>
                <w:rFonts w:ascii="Times New Roman"/>
                <w:sz w:val="21"/>
              </w:rPr>
            </w:pPr>
            <w:r>
              <w:rPr>
                <w:rFonts w:ascii="Times New Roman"/>
                <w:sz w:val="21"/>
              </w:rPr>
              <w:t>0.05</w:t>
            </w:r>
          </w:p>
        </w:tc>
        <w:tc>
          <w:tcPr>
            <w:tcW w:w="1561" w:type="dxa"/>
          </w:tcPr>
          <w:p>
            <w:pPr>
              <w:pStyle w:val="TableParagraph"/>
              <w:spacing w:line="238" w:lineRule="exact" w:before="15"/>
              <w:ind w:left="6"/>
              <w:rPr>
                <w:rFonts w:ascii="Times New Roman"/>
                <w:sz w:val="21"/>
              </w:rPr>
            </w:pPr>
            <w:r>
              <w:rPr>
                <w:rFonts w:ascii="Times New Roman"/>
                <w:w w:val="100"/>
                <w:sz w:val="21"/>
              </w:rPr>
              <w:t>4</w:t>
            </w:r>
          </w:p>
        </w:tc>
        <w:tc>
          <w:tcPr>
            <w:tcW w:w="853" w:type="dxa"/>
          </w:tcPr>
          <w:p>
            <w:pPr>
              <w:pStyle w:val="TableParagraph"/>
              <w:spacing w:line="238" w:lineRule="exact" w:before="15"/>
              <w:ind w:left="35" w:right="28"/>
              <w:rPr>
                <w:rFonts w:ascii="Times New Roman"/>
                <w:sz w:val="21"/>
              </w:rPr>
            </w:pPr>
            <w:r>
              <w:rPr>
                <w:rFonts w:ascii="Times New Roman"/>
                <w:sz w:val="21"/>
              </w:rPr>
              <w:t>1.0</w:t>
            </w:r>
          </w:p>
        </w:tc>
        <w:tc>
          <w:tcPr>
            <w:tcW w:w="995" w:type="dxa"/>
          </w:tcPr>
          <w:p>
            <w:pPr>
              <w:pStyle w:val="TableParagraph"/>
              <w:spacing w:line="238" w:lineRule="exact" w:before="15"/>
              <w:ind w:left="156" w:right="154"/>
              <w:rPr>
                <w:rFonts w:ascii="Times New Roman"/>
                <w:sz w:val="21"/>
              </w:rPr>
            </w:pPr>
            <w:r>
              <w:rPr>
                <w:rFonts w:ascii="Times New Roman"/>
                <w:sz w:val="21"/>
              </w:rPr>
              <w:t>0.2</w:t>
            </w:r>
          </w:p>
        </w:tc>
        <w:tc>
          <w:tcPr>
            <w:tcW w:w="1420" w:type="dxa"/>
          </w:tcPr>
          <w:p>
            <w:pPr>
              <w:pStyle w:val="TableParagraph"/>
              <w:spacing w:line="238" w:lineRule="exact" w:before="15"/>
              <w:ind w:left="51" w:right="52"/>
              <w:rPr>
                <w:rFonts w:ascii="Times New Roman"/>
                <w:sz w:val="21"/>
              </w:rPr>
            </w:pPr>
            <w:r>
              <w:rPr>
                <w:rFonts w:ascii="Times New Roman"/>
                <w:sz w:val="21"/>
              </w:rPr>
              <w:t>0.01</w:t>
            </w:r>
          </w:p>
        </w:tc>
      </w:tr>
    </w:tbl>
    <w:p>
      <w:pPr>
        <w:pStyle w:val="ListParagraph"/>
        <w:numPr>
          <w:ilvl w:val="0"/>
          <w:numId w:val="8"/>
        </w:numPr>
        <w:tabs>
          <w:tab w:pos="1003" w:val="left" w:leader="none"/>
        </w:tabs>
        <w:spacing w:line="240" w:lineRule="auto" w:before="2" w:after="0"/>
        <w:ind w:left="1002" w:right="0" w:hanging="282"/>
        <w:jc w:val="left"/>
        <w:rPr>
          <w:b/>
          <w:sz w:val="24"/>
        </w:rPr>
      </w:pPr>
      <w:r>
        <w:rPr>
          <w:b/>
          <w:sz w:val="24"/>
        </w:rPr>
        <w:t>环境空气</w:t>
      </w:r>
    </w:p>
    <w:p>
      <w:pPr>
        <w:pStyle w:val="BodyText"/>
        <w:spacing w:line="364" w:lineRule="auto" w:before="158"/>
        <w:ind w:left="238" w:right="234" w:firstLine="480"/>
      </w:pPr>
      <w:r>
        <w:rPr>
          <w:spacing w:val="-3"/>
        </w:rPr>
        <w:t>环境空气基本污染物执行《环境空气质量标准</w:t>
      </w:r>
      <w:r>
        <w:rPr>
          <w:spacing w:val="-147"/>
        </w:rPr>
        <w:t>》</w:t>
      </w:r>
      <w:r>
        <w:rPr>
          <w:spacing w:val="-3"/>
        </w:rPr>
        <w:t>（</w:t>
      </w:r>
      <w:r>
        <w:rPr>
          <w:rFonts w:ascii="Times New Roman" w:eastAsia="Times New Roman"/>
          <w:spacing w:val="-3"/>
        </w:rPr>
        <w:t>GB3095-2012</w:t>
      </w:r>
      <w:r>
        <w:rPr>
          <w:spacing w:val="-3"/>
        </w:rPr>
        <w:t>）</w:t>
      </w:r>
      <w:r>
        <w:rPr>
          <w:spacing w:val="-6"/>
        </w:rPr>
        <w:t>二级标准，甲酸暂无环境质量标准，根据多介质环境目标值（</w:t>
      </w:r>
      <w:r>
        <w:rPr>
          <w:rFonts w:ascii="Times New Roman" w:eastAsia="Times New Roman"/>
          <w:spacing w:val="-6"/>
        </w:rPr>
        <w:t>MEG</w:t>
      </w:r>
      <w:r>
        <w:rPr>
          <w:spacing w:val="-6"/>
        </w:rPr>
        <w:t>）</w:t>
      </w:r>
      <w:r>
        <w:rPr>
          <w:spacing w:val="-3"/>
        </w:rPr>
        <w:t>提出环境管理推荐控制限值。具体见</w:t>
      </w:r>
    </w:p>
    <w:p>
      <w:pPr>
        <w:spacing w:after="0" w:line="364" w:lineRule="auto"/>
        <w:sectPr>
          <w:pgSz w:w="11910" w:h="16840"/>
          <w:pgMar w:header="874" w:footer="944" w:top="1340" w:bottom="1140" w:left="1180" w:right="1180"/>
        </w:sectPr>
      </w:pPr>
    </w:p>
    <w:p>
      <w:pPr>
        <w:pStyle w:val="BodyText"/>
        <w:spacing w:before="70"/>
        <w:ind w:left="238"/>
      </w:pPr>
      <w:r>
        <w:rPr/>
        <w:t>下表。</w:t>
      </w:r>
    </w:p>
    <w:p>
      <w:pPr>
        <w:pStyle w:val="BodyText"/>
        <w:spacing w:before="9"/>
        <w:rPr>
          <w:sz w:val="17"/>
        </w:rPr>
      </w:pPr>
    </w:p>
    <w:p>
      <w:pPr>
        <w:pStyle w:val="Heading4"/>
        <w:tabs>
          <w:tab w:pos="1580" w:val="left" w:leader="none"/>
        </w:tabs>
        <w:spacing w:before="74" w:after="28"/>
        <w:ind w:left="358"/>
        <w:jc w:val="center"/>
      </w:pPr>
      <w:r>
        <w:rPr/>
        <w:t>表</w:t>
      </w:r>
      <w:r>
        <w:rPr>
          <w:spacing w:val="-60"/>
        </w:rPr>
        <w:t> </w:t>
      </w:r>
      <w:r>
        <w:rPr>
          <w:rFonts w:ascii="Times New Roman" w:eastAsia="Times New Roman"/>
        </w:rPr>
        <w:t>2.3.2-2</w:t>
        <w:tab/>
      </w:r>
      <w:r>
        <w:rPr/>
        <w:t>环境空气质量标准</w:t>
      </w:r>
    </w:p>
    <w:tbl>
      <w:tblPr>
        <w:tblW w:w="0" w:type="auto"/>
        <w:jc w:val="left"/>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4"/>
        <w:gridCol w:w="686"/>
        <w:gridCol w:w="840"/>
        <w:gridCol w:w="883"/>
        <w:gridCol w:w="991"/>
        <w:gridCol w:w="1277"/>
        <w:gridCol w:w="3286"/>
      </w:tblGrid>
      <w:tr>
        <w:trPr>
          <w:trHeight w:val="285" w:hRule="atLeast"/>
        </w:trPr>
        <w:tc>
          <w:tcPr>
            <w:tcW w:w="1164" w:type="dxa"/>
            <w:vMerge w:val="restart"/>
          </w:tcPr>
          <w:p>
            <w:pPr>
              <w:pStyle w:val="TableParagraph"/>
              <w:spacing w:before="4"/>
              <w:jc w:val="left"/>
              <w:rPr>
                <w:b/>
                <w:sz w:val="22"/>
              </w:rPr>
            </w:pPr>
          </w:p>
          <w:p>
            <w:pPr>
              <w:pStyle w:val="TableParagraph"/>
              <w:ind w:left="263"/>
              <w:jc w:val="left"/>
              <w:rPr>
                <w:b/>
                <w:sz w:val="21"/>
              </w:rPr>
            </w:pPr>
            <w:r>
              <w:rPr>
                <w:b/>
                <w:sz w:val="21"/>
              </w:rPr>
              <w:t>污染物</w:t>
            </w:r>
          </w:p>
        </w:tc>
        <w:tc>
          <w:tcPr>
            <w:tcW w:w="686" w:type="dxa"/>
            <w:vMerge w:val="restart"/>
          </w:tcPr>
          <w:p>
            <w:pPr>
              <w:pStyle w:val="TableParagraph"/>
              <w:spacing w:before="4"/>
              <w:jc w:val="left"/>
              <w:rPr>
                <w:b/>
                <w:sz w:val="22"/>
              </w:rPr>
            </w:pPr>
          </w:p>
          <w:p>
            <w:pPr>
              <w:pStyle w:val="TableParagraph"/>
              <w:ind w:left="129"/>
              <w:jc w:val="left"/>
              <w:rPr>
                <w:b/>
                <w:sz w:val="21"/>
              </w:rPr>
            </w:pPr>
            <w:r>
              <w:rPr>
                <w:b/>
                <w:sz w:val="21"/>
              </w:rPr>
              <w:t>单位</w:t>
            </w:r>
          </w:p>
        </w:tc>
        <w:tc>
          <w:tcPr>
            <w:tcW w:w="3991" w:type="dxa"/>
            <w:gridSpan w:val="4"/>
          </w:tcPr>
          <w:p>
            <w:pPr>
              <w:pStyle w:val="TableParagraph"/>
              <w:spacing w:line="257" w:lineRule="exact" w:before="8"/>
              <w:ind w:left="1553" w:right="1544"/>
              <w:rPr>
                <w:b/>
                <w:sz w:val="21"/>
              </w:rPr>
            </w:pPr>
            <w:r>
              <w:rPr>
                <w:b/>
                <w:sz w:val="21"/>
              </w:rPr>
              <w:t>标准限值</w:t>
            </w:r>
          </w:p>
        </w:tc>
        <w:tc>
          <w:tcPr>
            <w:tcW w:w="3286" w:type="dxa"/>
            <w:vMerge w:val="restart"/>
          </w:tcPr>
          <w:p>
            <w:pPr>
              <w:pStyle w:val="TableParagraph"/>
              <w:spacing w:before="4"/>
              <w:jc w:val="left"/>
              <w:rPr>
                <w:b/>
                <w:sz w:val="22"/>
              </w:rPr>
            </w:pPr>
          </w:p>
          <w:p>
            <w:pPr>
              <w:pStyle w:val="TableParagraph"/>
              <w:ind w:left="256" w:right="247"/>
              <w:rPr>
                <w:b/>
                <w:sz w:val="21"/>
              </w:rPr>
            </w:pPr>
            <w:r>
              <w:rPr>
                <w:b/>
                <w:sz w:val="21"/>
              </w:rPr>
              <w:t>引用标准</w:t>
            </w:r>
          </w:p>
        </w:tc>
      </w:tr>
      <w:tr>
        <w:trPr>
          <w:trHeight w:val="544" w:hRule="atLeast"/>
        </w:trPr>
        <w:tc>
          <w:tcPr>
            <w:tcW w:w="1164" w:type="dxa"/>
            <w:vMerge/>
            <w:tcBorders>
              <w:top w:val="nil"/>
            </w:tcBorders>
          </w:tcPr>
          <w:p>
            <w:pPr>
              <w:rPr>
                <w:sz w:val="2"/>
                <w:szCs w:val="2"/>
              </w:rPr>
            </w:pPr>
          </w:p>
        </w:tc>
        <w:tc>
          <w:tcPr>
            <w:tcW w:w="686" w:type="dxa"/>
            <w:vMerge/>
            <w:tcBorders>
              <w:top w:val="nil"/>
            </w:tcBorders>
          </w:tcPr>
          <w:p>
            <w:pPr>
              <w:rPr>
                <w:sz w:val="2"/>
                <w:szCs w:val="2"/>
              </w:rPr>
            </w:pPr>
          </w:p>
        </w:tc>
        <w:tc>
          <w:tcPr>
            <w:tcW w:w="840" w:type="dxa"/>
          </w:tcPr>
          <w:p>
            <w:pPr>
              <w:pStyle w:val="TableParagraph"/>
              <w:spacing w:before="138"/>
              <w:ind w:left="81" w:right="76"/>
              <w:rPr>
                <w:b/>
                <w:sz w:val="21"/>
              </w:rPr>
            </w:pPr>
            <w:r>
              <w:rPr>
                <w:b/>
                <w:sz w:val="21"/>
              </w:rPr>
              <w:t>年均值</w:t>
            </w:r>
          </w:p>
        </w:tc>
        <w:tc>
          <w:tcPr>
            <w:tcW w:w="883" w:type="dxa"/>
          </w:tcPr>
          <w:p>
            <w:pPr>
              <w:pStyle w:val="TableParagraph"/>
              <w:spacing w:before="1"/>
              <w:ind w:left="78" w:right="69"/>
              <w:rPr>
                <w:b/>
                <w:sz w:val="21"/>
              </w:rPr>
            </w:pPr>
            <w:r>
              <w:rPr>
                <w:rFonts w:ascii="Times New Roman" w:eastAsia="Times New Roman"/>
                <w:b/>
                <w:sz w:val="21"/>
              </w:rPr>
              <w:t>24 </w:t>
            </w:r>
            <w:r>
              <w:rPr>
                <w:b/>
                <w:sz w:val="21"/>
              </w:rPr>
              <w:t>小时</w:t>
            </w:r>
          </w:p>
          <w:p>
            <w:pPr>
              <w:pStyle w:val="TableParagraph"/>
              <w:spacing w:line="250" w:lineRule="exact" w:before="4"/>
              <w:ind w:left="75" w:right="69"/>
              <w:rPr>
                <w:b/>
                <w:sz w:val="21"/>
              </w:rPr>
            </w:pPr>
            <w:r>
              <w:rPr>
                <w:b/>
                <w:sz w:val="21"/>
              </w:rPr>
              <w:t>平均</w:t>
            </w:r>
          </w:p>
        </w:tc>
        <w:tc>
          <w:tcPr>
            <w:tcW w:w="991" w:type="dxa"/>
          </w:tcPr>
          <w:p>
            <w:pPr>
              <w:pStyle w:val="TableParagraph"/>
              <w:spacing w:before="1"/>
              <w:ind w:left="11"/>
              <w:rPr>
                <w:rFonts w:ascii="Times New Roman" w:eastAsia="Times New Roman"/>
                <w:b/>
                <w:sz w:val="21"/>
              </w:rPr>
            </w:pPr>
            <w:r>
              <w:rPr>
                <w:b/>
                <w:sz w:val="21"/>
              </w:rPr>
              <w:t>日最大 </w:t>
            </w:r>
            <w:r>
              <w:rPr>
                <w:rFonts w:ascii="Times New Roman" w:eastAsia="Times New Roman"/>
                <w:b/>
                <w:sz w:val="21"/>
              </w:rPr>
              <w:t>8h</w:t>
            </w:r>
          </w:p>
          <w:p>
            <w:pPr>
              <w:pStyle w:val="TableParagraph"/>
              <w:spacing w:line="250" w:lineRule="exact" w:before="4"/>
              <w:ind w:left="9"/>
              <w:rPr>
                <w:b/>
                <w:sz w:val="21"/>
              </w:rPr>
            </w:pPr>
            <w:r>
              <w:rPr>
                <w:b/>
                <w:sz w:val="21"/>
              </w:rPr>
              <w:t>平均</w:t>
            </w:r>
          </w:p>
        </w:tc>
        <w:tc>
          <w:tcPr>
            <w:tcW w:w="1277" w:type="dxa"/>
          </w:tcPr>
          <w:p>
            <w:pPr>
              <w:pStyle w:val="TableParagraph"/>
              <w:spacing w:before="1"/>
              <w:ind w:left="11" w:right="4"/>
              <w:rPr>
                <w:b/>
                <w:sz w:val="21"/>
              </w:rPr>
            </w:pPr>
            <w:r>
              <w:rPr>
                <w:rFonts w:ascii="Times New Roman" w:eastAsia="Times New Roman"/>
                <w:b/>
                <w:sz w:val="21"/>
              </w:rPr>
              <w:t>1 </w:t>
            </w:r>
            <w:r>
              <w:rPr>
                <w:b/>
                <w:sz w:val="21"/>
              </w:rPr>
              <w:t>小时平均或</w:t>
            </w:r>
          </w:p>
          <w:p>
            <w:pPr>
              <w:pStyle w:val="TableParagraph"/>
              <w:spacing w:line="250" w:lineRule="exact" w:before="4"/>
              <w:ind w:left="11" w:right="4"/>
              <w:rPr>
                <w:b/>
                <w:sz w:val="21"/>
              </w:rPr>
            </w:pPr>
            <w:r>
              <w:rPr>
                <w:b/>
                <w:sz w:val="21"/>
              </w:rPr>
              <w:t>一次值</w:t>
            </w:r>
          </w:p>
        </w:tc>
        <w:tc>
          <w:tcPr>
            <w:tcW w:w="3286" w:type="dxa"/>
            <w:vMerge/>
            <w:tcBorders>
              <w:top w:val="nil"/>
            </w:tcBorders>
          </w:tcPr>
          <w:p>
            <w:pPr>
              <w:rPr>
                <w:sz w:val="2"/>
                <w:szCs w:val="2"/>
              </w:rPr>
            </w:pPr>
          </w:p>
        </w:tc>
      </w:tr>
      <w:tr>
        <w:trPr>
          <w:trHeight w:val="282" w:hRule="atLeast"/>
        </w:trPr>
        <w:tc>
          <w:tcPr>
            <w:tcW w:w="1164" w:type="dxa"/>
          </w:tcPr>
          <w:p>
            <w:pPr>
              <w:pStyle w:val="TableParagraph"/>
              <w:spacing w:line="241" w:lineRule="exact" w:before="21"/>
              <w:ind w:left="31" w:right="20"/>
              <w:rPr>
                <w:rFonts w:ascii="Times New Roman"/>
                <w:sz w:val="14"/>
              </w:rPr>
            </w:pPr>
            <w:r>
              <w:rPr>
                <w:rFonts w:ascii="Times New Roman"/>
                <w:position w:val="2"/>
                <w:sz w:val="21"/>
              </w:rPr>
              <w:t>SO</w:t>
            </w:r>
            <w:r>
              <w:rPr>
                <w:rFonts w:ascii="Times New Roman"/>
                <w:sz w:val="14"/>
              </w:rPr>
              <w:t>2</w:t>
            </w:r>
          </w:p>
        </w:tc>
        <w:tc>
          <w:tcPr>
            <w:tcW w:w="686" w:type="dxa"/>
          </w:tcPr>
          <w:p>
            <w:pPr>
              <w:pStyle w:val="TableParagraph"/>
              <w:spacing w:line="245" w:lineRule="exact"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line="241" w:lineRule="exact" w:before="22"/>
              <w:ind w:left="81" w:right="76"/>
              <w:rPr>
                <w:rFonts w:ascii="Times New Roman"/>
                <w:sz w:val="21"/>
              </w:rPr>
            </w:pPr>
            <w:r>
              <w:rPr>
                <w:rFonts w:ascii="Times New Roman"/>
                <w:sz w:val="21"/>
              </w:rPr>
              <w:t>60</w:t>
            </w:r>
          </w:p>
        </w:tc>
        <w:tc>
          <w:tcPr>
            <w:tcW w:w="883" w:type="dxa"/>
          </w:tcPr>
          <w:p>
            <w:pPr>
              <w:pStyle w:val="TableParagraph"/>
              <w:spacing w:line="241" w:lineRule="exact" w:before="22"/>
              <w:ind w:left="78" w:right="67"/>
              <w:rPr>
                <w:rFonts w:ascii="Times New Roman"/>
                <w:sz w:val="21"/>
              </w:rPr>
            </w:pPr>
            <w:r>
              <w:rPr>
                <w:rFonts w:ascii="Times New Roman"/>
                <w:sz w:val="21"/>
              </w:rPr>
              <w:t>150</w:t>
            </w:r>
          </w:p>
        </w:tc>
        <w:tc>
          <w:tcPr>
            <w:tcW w:w="991" w:type="dxa"/>
          </w:tcPr>
          <w:p>
            <w:pPr>
              <w:pStyle w:val="TableParagraph"/>
              <w:spacing w:line="241" w:lineRule="exact" w:before="22"/>
              <w:ind w:left="10"/>
              <w:rPr>
                <w:rFonts w:ascii="Times New Roman"/>
                <w:sz w:val="21"/>
              </w:rPr>
            </w:pPr>
            <w:r>
              <w:rPr>
                <w:rFonts w:ascii="Times New Roman"/>
                <w:w w:val="100"/>
                <w:sz w:val="21"/>
              </w:rPr>
              <w:t>/</w:t>
            </w:r>
          </w:p>
        </w:tc>
        <w:tc>
          <w:tcPr>
            <w:tcW w:w="1277" w:type="dxa"/>
          </w:tcPr>
          <w:p>
            <w:pPr>
              <w:pStyle w:val="TableParagraph"/>
              <w:spacing w:line="241" w:lineRule="exact" w:before="22"/>
              <w:ind w:left="11" w:right="4"/>
              <w:rPr>
                <w:rFonts w:ascii="Times New Roman"/>
                <w:sz w:val="21"/>
              </w:rPr>
            </w:pPr>
            <w:r>
              <w:rPr>
                <w:rFonts w:ascii="Times New Roman"/>
                <w:sz w:val="21"/>
              </w:rPr>
              <w:t>500</w:t>
            </w:r>
          </w:p>
        </w:tc>
        <w:tc>
          <w:tcPr>
            <w:tcW w:w="3286" w:type="dxa"/>
            <w:vMerge w:val="restart"/>
          </w:tcPr>
          <w:p>
            <w:pPr>
              <w:pStyle w:val="TableParagraph"/>
              <w:jc w:val="left"/>
              <w:rPr>
                <w:b/>
                <w:sz w:val="22"/>
              </w:rPr>
            </w:pPr>
          </w:p>
          <w:p>
            <w:pPr>
              <w:pStyle w:val="TableParagraph"/>
              <w:jc w:val="left"/>
              <w:rPr>
                <w:b/>
                <w:sz w:val="22"/>
              </w:rPr>
            </w:pPr>
          </w:p>
          <w:p>
            <w:pPr>
              <w:pStyle w:val="TableParagraph"/>
              <w:spacing w:before="6"/>
              <w:jc w:val="left"/>
              <w:rPr>
                <w:b/>
                <w:sz w:val="26"/>
              </w:rPr>
            </w:pPr>
          </w:p>
          <w:p>
            <w:pPr>
              <w:pStyle w:val="TableParagraph"/>
              <w:ind w:left="1040"/>
              <w:jc w:val="left"/>
              <w:rPr>
                <w:rFonts w:ascii="Times New Roman"/>
                <w:sz w:val="21"/>
              </w:rPr>
            </w:pPr>
            <w:r>
              <w:rPr>
                <w:rFonts w:ascii="Times New Roman"/>
                <w:sz w:val="21"/>
              </w:rPr>
              <w:t>GB3095-2012</w:t>
            </w:r>
          </w:p>
        </w:tc>
      </w:tr>
      <w:tr>
        <w:trPr>
          <w:trHeight w:val="285" w:hRule="atLeast"/>
        </w:trPr>
        <w:tc>
          <w:tcPr>
            <w:tcW w:w="1164" w:type="dxa"/>
          </w:tcPr>
          <w:p>
            <w:pPr>
              <w:pStyle w:val="TableParagraph"/>
              <w:spacing w:line="244" w:lineRule="exact" w:before="21"/>
              <w:ind w:left="31" w:right="24"/>
              <w:rPr>
                <w:rFonts w:ascii="Times New Roman"/>
                <w:sz w:val="14"/>
              </w:rPr>
            </w:pPr>
            <w:r>
              <w:rPr>
                <w:rFonts w:ascii="Times New Roman"/>
                <w:position w:val="2"/>
                <w:sz w:val="21"/>
              </w:rPr>
              <w:t>NO</w:t>
            </w:r>
            <w:r>
              <w:rPr>
                <w:rFonts w:ascii="Times New Roman"/>
                <w:sz w:val="14"/>
              </w:rPr>
              <w:t>2</w:t>
            </w:r>
          </w:p>
        </w:tc>
        <w:tc>
          <w:tcPr>
            <w:tcW w:w="686" w:type="dxa"/>
          </w:tcPr>
          <w:p>
            <w:pPr>
              <w:pStyle w:val="TableParagraph"/>
              <w:spacing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before="22"/>
              <w:ind w:left="81" w:right="76"/>
              <w:rPr>
                <w:rFonts w:ascii="Times New Roman"/>
                <w:sz w:val="21"/>
              </w:rPr>
            </w:pPr>
            <w:r>
              <w:rPr>
                <w:rFonts w:ascii="Times New Roman"/>
                <w:sz w:val="21"/>
              </w:rPr>
              <w:t>40</w:t>
            </w:r>
          </w:p>
        </w:tc>
        <w:tc>
          <w:tcPr>
            <w:tcW w:w="883" w:type="dxa"/>
          </w:tcPr>
          <w:p>
            <w:pPr>
              <w:pStyle w:val="TableParagraph"/>
              <w:spacing w:before="22"/>
              <w:ind w:left="75" w:right="69"/>
              <w:rPr>
                <w:rFonts w:ascii="Times New Roman"/>
                <w:sz w:val="21"/>
              </w:rPr>
            </w:pPr>
            <w:r>
              <w:rPr>
                <w:rFonts w:ascii="Times New Roman"/>
                <w:sz w:val="21"/>
              </w:rPr>
              <w:t>80</w:t>
            </w:r>
          </w:p>
        </w:tc>
        <w:tc>
          <w:tcPr>
            <w:tcW w:w="991" w:type="dxa"/>
          </w:tcPr>
          <w:p>
            <w:pPr>
              <w:pStyle w:val="TableParagraph"/>
              <w:spacing w:before="22"/>
              <w:ind w:left="10"/>
              <w:rPr>
                <w:rFonts w:ascii="Times New Roman"/>
                <w:sz w:val="21"/>
              </w:rPr>
            </w:pPr>
            <w:r>
              <w:rPr>
                <w:rFonts w:ascii="Times New Roman"/>
                <w:w w:val="100"/>
                <w:sz w:val="21"/>
              </w:rPr>
              <w:t>/</w:t>
            </w:r>
          </w:p>
        </w:tc>
        <w:tc>
          <w:tcPr>
            <w:tcW w:w="1277" w:type="dxa"/>
          </w:tcPr>
          <w:p>
            <w:pPr>
              <w:pStyle w:val="TableParagraph"/>
              <w:spacing w:before="22"/>
              <w:ind w:left="11" w:right="4"/>
              <w:rPr>
                <w:rFonts w:ascii="Times New Roman"/>
                <w:sz w:val="21"/>
              </w:rPr>
            </w:pPr>
            <w:r>
              <w:rPr>
                <w:rFonts w:ascii="Times New Roman"/>
                <w:sz w:val="21"/>
              </w:rPr>
              <w:t>200</w:t>
            </w:r>
          </w:p>
        </w:tc>
        <w:tc>
          <w:tcPr>
            <w:tcW w:w="3286" w:type="dxa"/>
            <w:vMerge/>
            <w:tcBorders>
              <w:top w:val="nil"/>
            </w:tcBorders>
          </w:tcPr>
          <w:p>
            <w:pPr>
              <w:rPr>
                <w:sz w:val="2"/>
                <w:szCs w:val="2"/>
              </w:rPr>
            </w:pPr>
          </w:p>
        </w:tc>
      </w:tr>
      <w:tr>
        <w:trPr>
          <w:trHeight w:val="282" w:hRule="atLeast"/>
        </w:trPr>
        <w:tc>
          <w:tcPr>
            <w:tcW w:w="1164" w:type="dxa"/>
          </w:tcPr>
          <w:p>
            <w:pPr>
              <w:pStyle w:val="TableParagraph"/>
              <w:spacing w:line="241" w:lineRule="exact" w:before="22"/>
              <w:ind w:left="31" w:right="22"/>
              <w:rPr>
                <w:rFonts w:ascii="Times New Roman"/>
                <w:sz w:val="21"/>
              </w:rPr>
            </w:pPr>
            <w:r>
              <w:rPr>
                <w:rFonts w:ascii="Times New Roman"/>
                <w:sz w:val="21"/>
              </w:rPr>
              <w:t>CO</w:t>
            </w:r>
          </w:p>
        </w:tc>
        <w:tc>
          <w:tcPr>
            <w:tcW w:w="686" w:type="dxa"/>
          </w:tcPr>
          <w:p>
            <w:pPr>
              <w:pStyle w:val="TableParagraph"/>
              <w:spacing w:line="245" w:lineRule="exact"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line="241" w:lineRule="exact" w:before="22"/>
              <w:ind w:left="6"/>
              <w:rPr>
                <w:rFonts w:ascii="Times New Roman"/>
                <w:sz w:val="21"/>
              </w:rPr>
            </w:pPr>
            <w:r>
              <w:rPr>
                <w:rFonts w:ascii="Times New Roman"/>
                <w:w w:val="100"/>
                <w:sz w:val="21"/>
              </w:rPr>
              <w:t>/</w:t>
            </w:r>
          </w:p>
        </w:tc>
        <w:tc>
          <w:tcPr>
            <w:tcW w:w="883" w:type="dxa"/>
          </w:tcPr>
          <w:p>
            <w:pPr>
              <w:pStyle w:val="TableParagraph"/>
              <w:spacing w:line="241" w:lineRule="exact" w:before="22"/>
              <w:ind w:left="78" w:right="67"/>
              <w:rPr>
                <w:rFonts w:ascii="Times New Roman"/>
                <w:sz w:val="21"/>
              </w:rPr>
            </w:pPr>
            <w:r>
              <w:rPr>
                <w:rFonts w:ascii="Times New Roman"/>
                <w:sz w:val="21"/>
              </w:rPr>
              <w:t>4000</w:t>
            </w:r>
          </w:p>
        </w:tc>
        <w:tc>
          <w:tcPr>
            <w:tcW w:w="991" w:type="dxa"/>
          </w:tcPr>
          <w:p>
            <w:pPr>
              <w:pStyle w:val="TableParagraph"/>
              <w:spacing w:line="241" w:lineRule="exact" w:before="22"/>
              <w:ind w:left="10"/>
              <w:rPr>
                <w:rFonts w:ascii="Times New Roman"/>
                <w:sz w:val="21"/>
              </w:rPr>
            </w:pPr>
            <w:r>
              <w:rPr>
                <w:rFonts w:ascii="Times New Roman"/>
                <w:w w:val="100"/>
                <w:sz w:val="21"/>
              </w:rPr>
              <w:t>/</w:t>
            </w:r>
          </w:p>
        </w:tc>
        <w:tc>
          <w:tcPr>
            <w:tcW w:w="1277" w:type="dxa"/>
          </w:tcPr>
          <w:p>
            <w:pPr>
              <w:pStyle w:val="TableParagraph"/>
              <w:spacing w:line="241" w:lineRule="exact" w:before="22"/>
              <w:ind w:left="11" w:right="4"/>
              <w:rPr>
                <w:rFonts w:ascii="Times New Roman"/>
                <w:sz w:val="21"/>
              </w:rPr>
            </w:pPr>
            <w:r>
              <w:rPr>
                <w:rFonts w:ascii="Times New Roman"/>
                <w:sz w:val="21"/>
              </w:rPr>
              <w:t>10000</w:t>
            </w:r>
          </w:p>
        </w:tc>
        <w:tc>
          <w:tcPr>
            <w:tcW w:w="3286" w:type="dxa"/>
            <w:vMerge/>
            <w:tcBorders>
              <w:top w:val="nil"/>
            </w:tcBorders>
          </w:tcPr>
          <w:p>
            <w:pPr>
              <w:rPr>
                <w:sz w:val="2"/>
                <w:szCs w:val="2"/>
              </w:rPr>
            </w:pPr>
          </w:p>
        </w:tc>
      </w:tr>
      <w:tr>
        <w:trPr>
          <w:trHeight w:val="285" w:hRule="atLeast"/>
        </w:trPr>
        <w:tc>
          <w:tcPr>
            <w:tcW w:w="1164" w:type="dxa"/>
          </w:tcPr>
          <w:p>
            <w:pPr>
              <w:pStyle w:val="TableParagraph"/>
              <w:spacing w:line="244" w:lineRule="exact" w:before="21"/>
              <w:ind w:left="31" w:right="22"/>
              <w:rPr>
                <w:rFonts w:ascii="Times New Roman"/>
                <w:sz w:val="14"/>
              </w:rPr>
            </w:pPr>
            <w:r>
              <w:rPr>
                <w:rFonts w:ascii="Times New Roman"/>
                <w:position w:val="2"/>
                <w:sz w:val="21"/>
              </w:rPr>
              <w:t>PM</w:t>
            </w:r>
            <w:r>
              <w:rPr>
                <w:rFonts w:ascii="Times New Roman"/>
                <w:sz w:val="14"/>
              </w:rPr>
              <w:t>10</w:t>
            </w:r>
          </w:p>
        </w:tc>
        <w:tc>
          <w:tcPr>
            <w:tcW w:w="686" w:type="dxa"/>
          </w:tcPr>
          <w:p>
            <w:pPr>
              <w:pStyle w:val="TableParagraph"/>
              <w:spacing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before="22"/>
              <w:ind w:left="81" w:right="76"/>
              <w:rPr>
                <w:rFonts w:ascii="Times New Roman"/>
                <w:sz w:val="21"/>
              </w:rPr>
            </w:pPr>
            <w:r>
              <w:rPr>
                <w:rFonts w:ascii="Times New Roman"/>
                <w:sz w:val="21"/>
              </w:rPr>
              <w:t>70</w:t>
            </w:r>
          </w:p>
        </w:tc>
        <w:tc>
          <w:tcPr>
            <w:tcW w:w="883" w:type="dxa"/>
          </w:tcPr>
          <w:p>
            <w:pPr>
              <w:pStyle w:val="TableParagraph"/>
              <w:spacing w:before="22"/>
              <w:ind w:left="78" w:right="67"/>
              <w:rPr>
                <w:rFonts w:ascii="Times New Roman"/>
                <w:sz w:val="21"/>
              </w:rPr>
            </w:pPr>
            <w:r>
              <w:rPr>
                <w:rFonts w:ascii="Times New Roman"/>
                <w:sz w:val="21"/>
              </w:rPr>
              <w:t>150</w:t>
            </w:r>
          </w:p>
        </w:tc>
        <w:tc>
          <w:tcPr>
            <w:tcW w:w="991" w:type="dxa"/>
          </w:tcPr>
          <w:p>
            <w:pPr>
              <w:pStyle w:val="TableParagraph"/>
              <w:spacing w:before="22"/>
              <w:ind w:left="10"/>
              <w:rPr>
                <w:rFonts w:ascii="Times New Roman"/>
                <w:sz w:val="21"/>
              </w:rPr>
            </w:pPr>
            <w:r>
              <w:rPr>
                <w:rFonts w:ascii="Times New Roman"/>
                <w:w w:val="100"/>
                <w:sz w:val="21"/>
              </w:rPr>
              <w:t>/</w:t>
            </w:r>
          </w:p>
        </w:tc>
        <w:tc>
          <w:tcPr>
            <w:tcW w:w="1277" w:type="dxa"/>
          </w:tcPr>
          <w:p>
            <w:pPr>
              <w:pStyle w:val="TableParagraph"/>
              <w:spacing w:before="22"/>
              <w:ind w:left="8"/>
              <w:rPr>
                <w:rFonts w:ascii="Times New Roman"/>
                <w:sz w:val="21"/>
              </w:rPr>
            </w:pPr>
            <w:r>
              <w:rPr>
                <w:rFonts w:ascii="Times New Roman"/>
                <w:w w:val="100"/>
                <w:sz w:val="21"/>
              </w:rPr>
              <w:t>/</w:t>
            </w:r>
          </w:p>
        </w:tc>
        <w:tc>
          <w:tcPr>
            <w:tcW w:w="3286" w:type="dxa"/>
            <w:vMerge/>
            <w:tcBorders>
              <w:top w:val="nil"/>
            </w:tcBorders>
          </w:tcPr>
          <w:p>
            <w:pPr>
              <w:rPr>
                <w:sz w:val="2"/>
                <w:szCs w:val="2"/>
              </w:rPr>
            </w:pPr>
          </w:p>
        </w:tc>
      </w:tr>
      <w:tr>
        <w:trPr>
          <w:trHeight w:val="282" w:hRule="atLeast"/>
        </w:trPr>
        <w:tc>
          <w:tcPr>
            <w:tcW w:w="1164" w:type="dxa"/>
          </w:tcPr>
          <w:p>
            <w:pPr>
              <w:pStyle w:val="TableParagraph"/>
              <w:spacing w:line="241" w:lineRule="exact" w:before="21"/>
              <w:ind w:left="31" w:right="20"/>
              <w:rPr>
                <w:rFonts w:ascii="Times New Roman"/>
                <w:sz w:val="14"/>
              </w:rPr>
            </w:pPr>
            <w:r>
              <w:rPr>
                <w:rFonts w:ascii="Times New Roman"/>
                <w:position w:val="2"/>
                <w:sz w:val="21"/>
              </w:rPr>
              <w:t>PM</w:t>
            </w:r>
            <w:r>
              <w:rPr>
                <w:rFonts w:ascii="Times New Roman"/>
                <w:sz w:val="14"/>
              </w:rPr>
              <w:t>2.5</w:t>
            </w:r>
          </w:p>
        </w:tc>
        <w:tc>
          <w:tcPr>
            <w:tcW w:w="686" w:type="dxa"/>
          </w:tcPr>
          <w:p>
            <w:pPr>
              <w:pStyle w:val="TableParagraph"/>
              <w:spacing w:line="245" w:lineRule="exact"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line="241" w:lineRule="exact" w:before="22"/>
              <w:ind w:left="81" w:right="76"/>
              <w:rPr>
                <w:rFonts w:ascii="Times New Roman"/>
                <w:sz w:val="21"/>
              </w:rPr>
            </w:pPr>
            <w:r>
              <w:rPr>
                <w:rFonts w:ascii="Times New Roman"/>
                <w:sz w:val="21"/>
              </w:rPr>
              <w:t>35</w:t>
            </w:r>
          </w:p>
        </w:tc>
        <w:tc>
          <w:tcPr>
            <w:tcW w:w="883" w:type="dxa"/>
          </w:tcPr>
          <w:p>
            <w:pPr>
              <w:pStyle w:val="TableParagraph"/>
              <w:spacing w:line="241" w:lineRule="exact" w:before="22"/>
              <w:ind w:left="75" w:right="69"/>
              <w:rPr>
                <w:rFonts w:ascii="Times New Roman"/>
                <w:sz w:val="21"/>
              </w:rPr>
            </w:pPr>
            <w:r>
              <w:rPr>
                <w:rFonts w:ascii="Times New Roman"/>
                <w:sz w:val="21"/>
              </w:rPr>
              <w:t>75</w:t>
            </w:r>
          </w:p>
        </w:tc>
        <w:tc>
          <w:tcPr>
            <w:tcW w:w="991" w:type="dxa"/>
          </w:tcPr>
          <w:p>
            <w:pPr>
              <w:pStyle w:val="TableParagraph"/>
              <w:spacing w:line="241" w:lineRule="exact" w:before="22"/>
              <w:ind w:left="10"/>
              <w:rPr>
                <w:rFonts w:ascii="Times New Roman"/>
                <w:sz w:val="21"/>
              </w:rPr>
            </w:pPr>
            <w:r>
              <w:rPr>
                <w:rFonts w:ascii="Times New Roman"/>
                <w:w w:val="100"/>
                <w:sz w:val="21"/>
              </w:rPr>
              <w:t>/</w:t>
            </w:r>
          </w:p>
        </w:tc>
        <w:tc>
          <w:tcPr>
            <w:tcW w:w="1277" w:type="dxa"/>
          </w:tcPr>
          <w:p>
            <w:pPr>
              <w:pStyle w:val="TableParagraph"/>
              <w:spacing w:line="241" w:lineRule="exact" w:before="22"/>
              <w:ind w:left="8"/>
              <w:rPr>
                <w:rFonts w:ascii="Times New Roman"/>
                <w:sz w:val="21"/>
              </w:rPr>
            </w:pPr>
            <w:r>
              <w:rPr>
                <w:rFonts w:ascii="Times New Roman"/>
                <w:w w:val="100"/>
                <w:sz w:val="21"/>
              </w:rPr>
              <w:t>/</w:t>
            </w:r>
          </w:p>
        </w:tc>
        <w:tc>
          <w:tcPr>
            <w:tcW w:w="3286" w:type="dxa"/>
            <w:vMerge/>
            <w:tcBorders>
              <w:top w:val="nil"/>
            </w:tcBorders>
          </w:tcPr>
          <w:p>
            <w:pPr>
              <w:rPr>
                <w:sz w:val="2"/>
                <w:szCs w:val="2"/>
              </w:rPr>
            </w:pPr>
          </w:p>
        </w:tc>
      </w:tr>
      <w:tr>
        <w:trPr>
          <w:trHeight w:val="285" w:hRule="atLeast"/>
        </w:trPr>
        <w:tc>
          <w:tcPr>
            <w:tcW w:w="1164" w:type="dxa"/>
          </w:tcPr>
          <w:p>
            <w:pPr>
              <w:pStyle w:val="TableParagraph"/>
              <w:spacing w:line="244" w:lineRule="exact" w:before="21"/>
              <w:ind w:left="31" w:right="22"/>
              <w:rPr>
                <w:rFonts w:ascii="Times New Roman"/>
                <w:sz w:val="14"/>
              </w:rPr>
            </w:pPr>
            <w:r>
              <w:rPr>
                <w:rFonts w:ascii="Times New Roman"/>
                <w:position w:val="2"/>
                <w:sz w:val="21"/>
              </w:rPr>
              <w:t>O</w:t>
            </w:r>
            <w:r>
              <w:rPr>
                <w:rFonts w:ascii="Times New Roman"/>
                <w:sz w:val="14"/>
              </w:rPr>
              <w:t>3</w:t>
            </w:r>
          </w:p>
        </w:tc>
        <w:tc>
          <w:tcPr>
            <w:tcW w:w="686" w:type="dxa"/>
          </w:tcPr>
          <w:p>
            <w:pPr>
              <w:pStyle w:val="TableParagraph"/>
              <w:spacing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before="22"/>
              <w:ind w:left="6"/>
              <w:rPr>
                <w:rFonts w:ascii="Times New Roman"/>
                <w:sz w:val="21"/>
              </w:rPr>
            </w:pPr>
            <w:r>
              <w:rPr>
                <w:rFonts w:ascii="Times New Roman"/>
                <w:w w:val="100"/>
                <w:sz w:val="21"/>
              </w:rPr>
              <w:t>/</w:t>
            </w:r>
          </w:p>
        </w:tc>
        <w:tc>
          <w:tcPr>
            <w:tcW w:w="883" w:type="dxa"/>
          </w:tcPr>
          <w:p>
            <w:pPr>
              <w:pStyle w:val="TableParagraph"/>
              <w:spacing w:before="22"/>
              <w:ind w:left="7"/>
              <w:rPr>
                <w:rFonts w:ascii="Times New Roman"/>
                <w:sz w:val="21"/>
              </w:rPr>
            </w:pPr>
            <w:r>
              <w:rPr>
                <w:rFonts w:ascii="Times New Roman"/>
                <w:w w:val="100"/>
                <w:sz w:val="21"/>
              </w:rPr>
              <w:t>/</w:t>
            </w:r>
          </w:p>
        </w:tc>
        <w:tc>
          <w:tcPr>
            <w:tcW w:w="991" w:type="dxa"/>
          </w:tcPr>
          <w:p>
            <w:pPr>
              <w:pStyle w:val="TableParagraph"/>
              <w:spacing w:before="22"/>
              <w:ind w:left="9"/>
              <w:rPr>
                <w:rFonts w:ascii="Times New Roman"/>
                <w:sz w:val="21"/>
              </w:rPr>
            </w:pPr>
            <w:r>
              <w:rPr>
                <w:rFonts w:ascii="Times New Roman"/>
                <w:sz w:val="21"/>
              </w:rPr>
              <w:t>160</w:t>
            </w:r>
          </w:p>
        </w:tc>
        <w:tc>
          <w:tcPr>
            <w:tcW w:w="1277" w:type="dxa"/>
          </w:tcPr>
          <w:p>
            <w:pPr>
              <w:pStyle w:val="TableParagraph"/>
              <w:spacing w:before="22"/>
              <w:ind w:left="11" w:right="4"/>
              <w:rPr>
                <w:rFonts w:ascii="Times New Roman"/>
                <w:sz w:val="21"/>
              </w:rPr>
            </w:pPr>
            <w:r>
              <w:rPr>
                <w:rFonts w:ascii="Times New Roman"/>
                <w:sz w:val="21"/>
              </w:rPr>
              <w:t>200</w:t>
            </w:r>
          </w:p>
        </w:tc>
        <w:tc>
          <w:tcPr>
            <w:tcW w:w="3286" w:type="dxa"/>
            <w:vMerge/>
            <w:tcBorders>
              <w:top w:val="nil"/>
            </w:tcBorders>
          </w:tcPr>
          <w:p>
            <w:pPr>
              <w:rPr>
                <w:sz w:val="2"/>
                <w:szCs w:val="2"/>
              </w:rPr>
            </w:pPr>
          </w:p>
        </w:tc>
      </w:tr>
      <w:tr>
        <w:trPr>
          <w:trHeight w:val="282" w:hRule="atLeast"/>
        </w:trPr>
        <w:tc>
          <w:tcPr>
            <w:tcW w:w="1164" w:type="dxa"/>
          </w:tcPr>
          <w:p>
            <w:pPr>
              <w:pStyle w:val="TableParagraph"/>
              <w:spacing w:line="241" w:lineRule="exact" w:before="22"/>
              <w:ind w:left="31" w:right="19"/>
              <w:rPr>
                <w:rFonts w:ascii="Times New Roman"/>
                <w:sz w:val="21"/>
              </w:rPr>
            </w:pPr>
            <w:r>
              <w:rPr>
                <w:rFonts w:ascii="Times New Roman"/>
                <w:sz w:val="21"/>
              </w:rPr>
              <w:t>TSP</w:t>
            </w:r>
          </w:p>
        </w:tc>
        <w:tc>
          <w:tcPr>
            <w:tcW w:w="686" w:type="dxa"/>
          </w:tcPr>
          <w:p>
            <w:pPr>
              <w:pStyle w:val="TableParagraph"/>
              <w:spacing w:line="245" w:lineRule="exact"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line="241" w:lineRule="exact" w:before="22"/>
              <w:ind w:left="81" w:right="71"/>
              <w:rPr>
                <w:rFonts w:ascii="Times New Roman"/>
                <w:sz w:val="21"/>
              </w:rPr>
            </w:pPr>
            <w:r>
              <w:rPr>
                <w:rFonts w:ascii="Times New Roman"/>
                <w:sz w:val="21"/>
              </w:rPr>
              <w:t>200</w:t>
            </w:r>
          </w:p>
        </w:tc>
        <w:tc>
          <w:tcPr>
            <w:tcW w:w="883" w:type="dxa"/>
          </w:tcPr>
          <w:p>
            <w:pPr>
              <w:pStyle w:val="TableParagraph"/>
              <w:spacing w:line="241" w:lineRule="exact" w:before="22"/>
              <w:ind w:left="78" w:right="67"/>
              <w:rPr>
                <w:rFonts w:ascii="Times New Roman"/>
                <w:sz w:val="21"/>
              </w:rPr>
            </w:pPr>
            <w:r>
              <w:rPr>
                <w:rFonts w:ascii="Times New Roman"/>
                <w:sz w:val="21"/>
              </w:rPr>
              <w:t>300</w:t>
            </w:r>
          </w:p>
        </w:tc>
        <w:tc>
          <w:tcPr>
            <w:tcW w:w="991" w:type="dxa"/>
          </w:tcPr>
          <w:p>
            <w:pPr>
              <w:pStyle w:val="TableParagraph"/>
              <w:spacing w:line="241" w:lineRule="exact" w:before="22"/>
              <w:ind w:left="10"/>
              <w:rPr>
                <w:rFonts w:ascii="Times New Roman"/>
                <w:sz w:val="21"/>
              </w:rPr>
            </w:pPr>
            <w:r>
              <w:rPr>
                <w:rFonts w:ascii="Times New Roman"/>
                <w:w w:val="100"/>
                <w:sz w:val="21"/>
              </w:rPr>
              <w:t>/</w:t>
            </w:r>
          </w:p>
        </w:tc>
        <w:tc>
          <w:tcPr>
            <w:tcW w:w="1277" w:type="dxa"/>
          </w:tcPr>
          <w:p>
            <w:pPr>
              <w:pStyle w:val="TableParagraph"/>
              <w:spacing w:line="241" w:lineRule="exact" w:before="22"/>
              <w:ind w:left="8"/>
              <w:rPr>
                <w:rFonts w:ascii="Times New Roman"/>
                <w:sz w:val="21"/>
              </w:rPr>
            </w:pPr>
            <w:r>
              <w:rPr>
                <w:rFonts w:ascii="Times New Roman"/>
                <w:w w:val="100"/>
                <w:sz w:val="21"/>
              </w:rPr>
              <w:t>/</w:t>
            </w:r>
          </w:p>
        </w:tc>
        <w:tc>
          <w:tcPr>
            <w:tcW w:w="3286" w:type="dxa"/>
            <w:vMerge/>
            <w:tcBorders>
              <w:top w:val="nil"/>
            </w:tcBorders>
          </w:tcPr>
          <w:p>
            <w:pPr>
              <w:rPr>
                <w:sz w:val="2"/>
                <w:szCs w:val="2"/>
              </w:rPr>
            </w:pPr>
          </w:p>
        </w:tc>
      </w:tr>
      <w:tr>
        <w:trPr>
          <w:trHeight w:val="285" w:hRule="atLeast"/>
        </w:trPr>
        <w:tc>
          <w:tcPr>
            <w:tcW w:w="1164" w:type="dxa"/>
          </w:tcPr>
          <w:p>
            <w:pPr>
              <w:pStyle w:val="TableParagraph"/>
              <w:spacing w:line="258" w:lineRule="exact" w:before="8"/>
              <w:ind w:left="31" w:right="22"/>
              <w:rPr>
                <w:sz w:val="21"/>
              </w:rPr>
            </w:pPr>
            <w:r>
              <w:rPr>
                <w:sz w:val="21"/>
              </w:rPr>
              <w:t>非甲烷总烃</w:t>
            </w:r>
          </w:p>
        </w:tc>
        <w:tc>
          <w:tcPr>
            <w:tcW w:w="686" w:type="dxa"/>
          </w:tcPr>
          <w:p>
            <w:pPr>
              <w:pStyle w:val="TableParagraph"/>
              <w:spacing w:before="17"/>
              <w:ind w:left="62"/>
              <w:jc w:val="left"/>
              <w:rPr>
                <w:rFonts w:ascii="Times New Roman"/>
                <w:sz w:val="14"/>
              </w:rPr>
            </w:pPr>
            <w:r>
              <w:rPr>
                <w:rFonts w:ascii="Times New Roman"/>
                <w:sz w:val="21"/>
              </w:rPr>
              <w:t>mg/m</w:t>
            </w:r>
            <w:r>
              <w:rPr>
                <w:rFonts w:ascii="Times New Roman"/>
                <w:position w:val="7"/>
                <w:sz w:val="14"/>
              </w:rPr>
              <w:t>3</w:t>
            </w:r>
          </w:p>
        </w:tc>
        <w:tc>
          <w:tcPr>
            <w:tcW w:w="840" w:type="dxa"/>
          </w:tcPr>
          <w:p>
            <w:pPr>
              <w:pStyle w:val="TableParagraph"/>
              <w:spacing w:before="22"/>
              <w:ind w:left="6"/>
              <w:rPr>
                <w:rFonts w:ascii="Times New Roman"/>
                <w:sz w:val="21"/>
              </w:rPr>
            </w:pPr>
            <w:r>
              <w:rPr>
                <w:rFonts w:ascii="Times New Roman"/>
                <w:w w:val="100"/>
                <w:sz w:val="21"/>
              </w:rPr>
              <w:t>/</w:t>
            </w:r>
          </w:p>
        </w:tc>
        <w:tc>
          <w:tcPr>
            <w:tcW w:w="883" w:type="dxa"/>
          </w:tcPr>
          <w:p>
            <w:pPr>
              <w:pStyle w:val="TableParagraph"/>
              <w:spacing w:before="22"/>
              <w:ind w:left="7"/>
              <w:rPr>
                <w:rFonts w:ascii="Times New Roman"/>
                <w:sz w:val="21"/>
              </w:rPr>
            </w:pPr>
            <w:r>
              <w:rPr>
                <w:rFonts w:ascii="Times New Roman"/>
                <w:w w:val="100"/>
                <w:sz w:val="21"/>
              </w:rPr>
              <w:t>/</w:t>
            </w:r>
          </w:p>
        </w:tc>
        <w:tc>
          <w:tcPr>
            <w:tcW w:w="991" w:type="dxa"/>
          </w:tcPr>
          <w:p>
            <w:pPr>
              <w:pStyle w:val="TableParagraph"/>
              <w:spacing w:before="22"/>
              <w:ind w:left="10"/>
              <w:rPr>
                <w:rFonts w:ascii="Times New Roman"/>
                <w:sz w:val="21"/>
              </w:rPr>
            </w:pPr>
            <w:r>
              <w:rPr>
                <w:rFonts w:ascii="Times New Roman"/>
                <w:w w:val="100"/>
                <w:sz w:val="21"/>
              </w:rPr>
              <w:t>/</w:t>
            </w:r>
          </w:p>
        </w:tc>
        <w:tc>
          <w:tcPr>
            <w:tcW w:w="1277" w:type="dxa"/>
          </w:tcPr>
          <w:p>
            <w:pPr>
              <w:pStyle w:val="TableParagraph"/>
              <w:spacing w:before="22"/>
              <w:ind w:left="7"/>
              <w:rPr>
                <w:rFonts w:ascii="Times New Roman"/>
                <w:sz w:val="21"/>
              </w:rPr>
            </w:pPr>
            <w:r>
              <w:rPr>
                <w:rFonts w:ascii="Times New Roman"/>
                <w:w w:val="100"/>
                <w:sz w:val="21"/>
              </w:rPr>
              <w:t>2</w:t>
            </w:r>
          </w:p>
        </w:tc>
        <w:tc>
          <w:tcPr>
            <w:tcW w:w="3286" w:type="dxa"/>
          </w:tcPr>
          <w:p>
            <w:pPr>
              <w:pStyle w:val="TableParagraph"/>
              <w:spacing w:line="258" w:lineRule="exact" w:before="8"/>
              <w:ind w:left="259" w:right="247"/>
              <w:rPr>
                <w:sz w:val="21"/>
              </w:rPr>
            </w:pPr>
            <w:r>
              <w:rPr>
                <w:sz w:val="21"/>
              </w:rPr>
              <w:t>大气污染物综合排放标准详解</w:t>
            </w:r>
          </w:p>
        </w:tc>
      </w:tr>
      <w:tr>
        <w:trPr>
          <w:trHeight w:val="285" w:hRule="atLeast"/>
        </w:trPr>
        <w:tc>
          <w:tcPr>
            <w:tcW w:w="1164" w:type="dxa"/>
          </w:tcPr>
          <w:p>
            <w:pPr>
              <w:pStyle w:val="TableParagraph"/>
              <w:spacing w:line="257" w:lineRule="exact" w:before="8"/>
              <w:ind w:left="31" w:right="19"/>
              <w:rPr>
                <w:sz w:val="21"/>
              </w:rPr>
            </w:pPr>
            <w:r>
              <w:rPr>
                <w:sz w:val="21"/>
              </w:rPr>
              <w:t>甲酸</w:t>
            </w:r>
          </w:p>
        </w:tc>
        <w:tc>
          <w:tcPr>
            <w:tcW w:w="686" w:type="dxa"/>
          </w:tcPr>
          <w:p>
            <w:pPr>
              <w:pStyle w:val="TableParagraph"/>
              <w:spacing w:before="17"/>
              <w:ind w:left="86"/>
              <w:jc w:val="left"/>
              <w:rPr>
                <w:rFonts w:ascii="Times New Roman" w:hAnsi="Times New Roman"/>
                <w:sz w:val="14"/>
              </w:rPr>
            </w:pPr>
            <w:r>
              <w:rPr>
                <w:rFonts w:ascii="Times New Roman" w:hAnsi="Times New Roman"/>
                <w:sz w:val="21"/>
              </w:rPr>
              <w:t>μg/m</w:t>
            </w:r>
            <w:r>
              <w:rPr>
                <w:rFonts w:ascii="Times New Roman" w:hAnsi="Times New Roman"/>
                <w:position w:val="7"/>
                <w:sz w:val="14"/>
              </w:rPr>
              <w:t>3</w:t>
            </w:r>
          </w:p>
        </w:tc>
        <w:tc>
          <w:tcPr>
            <w:tcW w:w="840" w:type="dxa"/>
          </w:tcPr>
          <w:p>
            <w:pPr>
              <w:pStyle w:val="TableParagraph"/>
              <w:spacing w:before="22"/>
              <w:ind w:left="6"/>
              <w:rPr>
                <w:rFonts w:ascii="Times New Roman"/>
                <w:sz w:val="21"/>
              </w:rPr>
            </w:pPr>
            <w:r>
              <w:rPr>
                <w:rFonts w:ascii="Times New Roman"/>
                <w:w w:val="100"/>
                <w:sz w:val="21"/>
              </w:rPr>
              <w:t>/</w:t>
            </w:r>
          </w:p>
        </w:tc>
        <w:tc>
          <w:tcPr>
            <w:tcW w:w="883" w:type="dxa"/>
          </w:tcPr>
          <w:p>
            <w:pPr>
              <w:pStyle w:val="TableParagraph"/>
              <w:spacing w:before="22"/>
              <w:ind w:left="75" w:right="69"/>
              <w:rPr>
                <w:rFonts w:ascii="Times New Roman"/>
                <w:sz w:val="21"/>
              </w:rPr>
            </w:pPr>
            <w:r>
              <w:rPr>
                <w:rFonts w:ascii="Times New Roman"/>
                <w:sz w:val="21"/>
              </w:rPr>
              <w:t>21</w:t>
            </w:r>
          </w:p>
        </w:tc>
        <w:tc>
          <w:tcPr>
            <w:tcW w:w="991" w:type="dxa"/>
          </w:tcPr>
          <w:p>
            <w:pPr>
              <w:pStyle w:val="TableParagraph"/>
              <w:spacing w:before="22"/>
              <w:ind w:left="10"/>
              <w:rPr>
                <w:rFonts w:ascii="Times New Roman"/>
                <w:sz w:val="21"/>
              </w:rPr>
            </w:pPr>
            <w:r>
              <w:rPr>
                <w:rFonts w:ascii="Times New Roman"/>
                <w:w w:val="100"/>
                <w:sz w:val="21"/>
              </w:rPr>
              <w:t>/</w:t>
            </w:r>
          </w:p>
        </w:tc>
        <w:tc>
          <w:tcPr>
            <w:tcW w:w="1277" w:type="dxa"/>
          </w:tcPr>
          <w:p>
            <w:pPr>
              <w:pStyle w:val="TableParagraph"/>
              <w:spacing w:before="22"/>
              <w:ind w:left="11" w:right="4"/>
              <w:rPr>
                <w:rFonts w:ascii="Times New Roman"/>
                <w:sz w:val="21"/>
              </w:rPr>
            </w:pPr>
            <w:r>
              <w:rPr>
                <w:rFonts w:ascii="Times New Roman"/>
                <w:sz w:val="21"/>
              </w:rPr>
              <w:t>63</w:t>
            </w:r>
          </w:p>
        </w:tc>
        <w:tc>
          <w:tcPr>
            <w:tcW w:w="3286" w:type="dxa"/>
          </w:tcPr>
          <w:p>
            <w:pPr>
              <w:pStyle w:val="TableParagraph"/>
              <w:spacing w:line="257" w:lineRule="exact" w:before="8"/>
              <w:ind w:left="256" w:right="247"/>
              <w:rPr>
                <w:sz w:val="21"/>
              </w:rPr>
            </w:pPr>
            <w:r>
              <w:rPr>
                <w:rFonts w:ascii="Times New Roman" w:eastAsia="Times New Roman"/>
                <w:sz w:val="21"/>
              </w:rPr>
              <w:t>AMEG </w:t>
            </w:r>
            <w:r>
              <w:rPr>
                <w:sz w:val="21"/>
              </w:rPr>
              <w:t>查表</w:t>
            </w:r>
          </w:p>
        </w:tc>
      </w:tr>
    </w:tbl>
    <w:p>
      <w:pPr>
        <w:pStyle w:val="ListParagraph"/>
        <w:numPr>
          <w:ilvl w:val="0"/>
          <w:numId w:val="8"/>
        </w:numPr>
        <w:tabs>
          <w:tab w:pos="1003" w:val="left" w:leader="none"/>
        </w:tabs>
        <w:spacing w:line="240" w:lineRule="auto" w:before="158" w:after="0"/>
        <w:ind w:left="1002" w:right="0" w:hanging="282"/>
        <w:jc w:val="left"/>
        <w:rPr>
          <w:b/>
          <w:sz w:val="24"/>
        </w:rPr>
      </w:pPr>
      <w:r>
        <w:rPr>
          <w:b/>
          <w:sz w:val="24"/>
        </w:rPr>
        <w:t>声环境质量标准</w:t>
      </w:r>
    </w:p>
    <w:p>
      <w:pPr>
        <w:pStyle w:val="BodyText"/>
        <w:spacing w:line="364" w:lineRule="auto" w:before="158"/>
        <w:ind w:left="238" w:right="235" w:firstLine="480"/>
      </w:pPr>
      <w:r>
        <w:rPr>
          <w:spacing w:val="-5"/>
        </w:rPr>
        <w:t>项目位于杭州湾上虞经济技术开发区，属 </w:t>
      </w:r>
      <w:r>
        <w:rPr>
          <w:rFonts w:ascii="Times New Roman" w:eastAsia="Times New Roman"/>
        </w:rPr>
        <w:t>3 </w:t>
      </w:r>
      <w:r>
        <w:rPr>
          <w:spacing w:val="-6"/>
        </w:rPr>
        <w:t>类声环境功能区，执行《声环境质量标</w:t>
      </w:r>
      <w:r>
        <w:rPr>
          <w:spacing w:val="-60"/>
        </w:rPr>
        <w:t>准》</w:t>
      </w:r>
      <w:r>
        <w:rPr/>
        <w:t>（</w:t>
      </w:r>
      <w:r>
        <w:rPr>
          <w:rFonts w:ascii="Times New Roman" w:eastAsia="Times New Roman"/>
        </w:rPr>
        <w:t>GB3096-2008</w:t>
      </w:r>
      <w:r>
        <w:rPr/>
        <w:t>）</w:t>
      </w:r>
      <w:r>
        <w:rPr>
          <w:rFonts w:ascii="Times New Roman" w:eastAsia="Times New Roman"/>
        </w:rPr>
        <w:t>3 </w:t>
      </w:r>
      <w:r>
        <w:rPr/>
        <w:t>类区标准。</w:t>
      </w:r>
    </w:p>
    <w:p>
      <w:pPr>
        <w:pStyle w:val="Heading4"/>
        <w:tabs>
          <w:tab w:pos="5621" w:val="left" w:leader="none"/>
        </w:tabs>
        <w:spacing w:before="141" w:after="28"/>
        <w:ind w:left="359"/>
        <w:jc w:val="center"/>
      </w:pPr>
      <w:r>
        <w:rPr/>
        <w:t>表</w:t>
      </w:r>
      <w:r>
        <w:rPr>
          <w:spacing w:val="-61"/>
        </w:rPr>
        <w:t> </w:t>
      </w:r>
      <w:r>
        <w:rPr>
          <w:rFonts w:ascii="Times New Roman" w:eastAsia="Times New Roman"/>
        </w:rPr>
        <w:t>2.3.2-3</w:t>
      </w:r>
      <w:r>
        <w:rPr>
          <w:rFonts w:ascii="Times New Roman" w:eastAsia="Times New Roman"/>
          <w:spacing w:val="58"/>
        </w:rPr>
        <w:t> </w:t>
      </w:r>
      <w:r>
        <w:rPr/>
        <w:t>《声环境质量标准</w:t>
      </w:r>
      <w:r>
        <w:rPr>
          <w:spacing w:val="-118"/>
        </w:rPr>
        <w:t>》</w:t>
      </w:r>
      <w:r>
        <w:rPr/>
        <w:t>（</w:t>
      </w:r>
      <w:r>
        <w:rPr>
          <w:rFonts w:ascii="Times New Roman" w:eastAsia="Times New Roman"/>
        </w:rPr>
        <w:t>GB3096-2008</w:t>
      </w:r>
      <w:r>
        <w:rPr/>
        <w:t>）</w:t>
        <w:tab/>
        <w:t>单位：</w:t>
      </w:r>
      <w:r>
        <w:rPr>
          <w:rFonts w:ascii="Times New Roman" w:eastAsia="Times New Roman"/>
        </w:rPr>
        <w:t>dB</w:t>
      </w:r>
      <w:r>
        <w:rPr/>
        <w:t>（</w:t>
      </w:r>
      <w:r>
        <w:rPr>
          <w:rFonts w:ascii="Times New Roman" w:eastAsia="Times New Roman"/>
        </w:rPr>
        <w:t>A</w:t>
      </w:r>
      <w:r>
        <w:rPr/>
        <w:t>）</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3"/>
        <w:gridCol w:w="3169"/>
        <w:gridCol w:w="3167"/>
      </w:tblGrid>
      <w:tr>
        <w:trPr>
          <w:trHeight w:val="273" w:hRule="atLeast"/>
        </w:trPr>
        <w:tc>
          <w:tcPr>
            <w:tcW w:w="2953" w:type="dxa"/>
          </w:tcPr>
          <w:p>
            <w:pPr>
              <w:pStyle w:val="TableParagraph"/>
              <w:spacing w:line="252" w:lineRule="exact" w:before="1"/>
              <w:ind w:left="294" w:right="286"/>
              <w:rPr>
                <w:b/>
                <w:sz w:val="21"/>
              </w:rPr>
            </w:pPr>
            <w:r>
              <w:rPr>
                <w:b/>
                <w:sz w:val="21"/>
              </w:rPr>
              <w:t>声环境功能区类别</w:t>
            </w:r>
          </w:p>
        </w:tc>
        <w:tc>
          <w:tcPr>
            <w:tcW w:w="3169" w:type="dxa"/>
          </w:tcPr>
          <w:p>
            <w:pPr>
              <w:pStyle w:val="TableParagraph"/>
              <w:spacing w:line="252" w:lineRule="exact" w:before="1"/>
              <w:ind w:left="930" w:right="923"/>
              <w:rPr>
                <w:b/>
                <w:sz w:val="21"/>
              </w:rPr>
            </w:pPr>
            <w:r>
              <w:rPr>
                <w:b/>
                <w:sz w:val="21"/>
              </w:rPr>
              <w:t>昼间噪声限值</w:t>
            </w:r>
          </w:p>
        </w:tc>
        <w:tc>
          <w:tcPr>
            <w:tcW w:w="3167" w:type="dxa"/>
          </w:tcPr>
          <w:p>
            <w:pPr>
              <w:pStyle w:val="TableParagraph"/>
              <w:spacing w:line="252" w:lineRule="exact" w:before="1"/>
              <w:ind w:left="927" w:right="924"/>
              <w:rPr>
                <w:b/>
                <w:sz w:val="21"/>
              </w:rPr>
            </w:pPr>
            <w:r>
              <w:rPr>
                <w:b/>
                <w:sz w:val="21"/>
              </w:rPr>
              <w:t>夜间噪声限值</w:t>
            </w:r>
          </w:p>
        </w:tc>
      </w:tr>
      <w:tr>
        <w:trPr>
          <w:trHeight w:val="273" w:hRule="atLeast"/>
        </w:trPr>
        <w:tc>
          <w:tcPr>
            <w:tcW w:w="2953" w:type="dxa"/>
          </w:tcPr>
          <w:p>
            <w:pPr>
              <w:pStyle w:val="TableParagraph"/>
              <w:spacing w:line="252" w:lineRule="exact" w:before="1"/>
              <w:ind w:left="294" w:right="286"/>
              <w:rPr>
                <w:sz w:val="21"/>
              </w:rPr>
            </w:pPr>
            <w:r>
              <w:rPr>
                <w:rFonts w:ascii="Times New Roman" w:eastAsia="Times New Roman"/>
                <w:sz w:val="21"/>
              </w:rPr>
              <w:t>3 </w:t>
            </w:r>
            <w:r>
              <w:rPr>
                <w:sz w:val="21"/>
              </w:rPr>
              <w:t>类</w:t>
            </w:r>
          </w:p>
        </w:tc>
        <w:tc>
          <w:tcPr>
            <w:tcW w:w="3169" w:type="dxa"/>
          </w:tcPr>
          <w:p>
            <w:pPr>
              <w:pStyle w:val="TableParagraph"/>
              <w:spacing w:line="238" w:lineRule="exact" w:before="15"/>
              <w:ind w:left="930" w:right="923"/>
              <w:rPr>
                <w:rFonts w:ascii="Times New Roman" w:hAnsi="Times New Roman"/>
                <w:sz w:val="21"/>
              </w:rPr>
            </w:pPr>
            <w:r>
              <w:rPr>
                <w:rFonts w:ascii="Times New Roman" w:hAnsi="Times New Roman"/>
                <w:sz w:val="21"/>
              </w:rPr>
              <w:t>≤65</w:t>
            </w:r>
          </w:p>
        </w:tc>
        <w:tc>
          <w:tcPr>
            <w:tcW w:w="3167" w:type="dxa"/>
          </w:tcPr>
          <w:p>
            <w:pPr>
              <w:pStyle w:val="TableParagraph"/>
              <w:spacing w:line="238" w:lineRule="exact" w:before="15"/>
              <w:ind w:left="927" w:right="924"/>
              <w:rPr>
                <w:rFonts w:ascii="Times New Roman" w:hAnsi="Times New Roman"/>
                <w:sz w:val="21"/>
              </w:rPr>
            </w:pPr>
            <w:r>
              <w:rPr>
                <w:rFonts w:ascii="Times New Roman" w:hAnsi="Times New Roman"/>
                <w:sz w:val="21"/>
              </w:rPr>
              <w:t>≤55</w:t>
            </w:r>
          </w:p>
        </w:tc>
      </w:tr>
    </w:tbl>
    <w:p>
      <w:pPr>
        <w:pStyle w:val="ListParagraph"/>
        <w:numPr>
          <w:ilvl w:val="0"/>
          <w:numId w:val="8"/>
        </w:numPr>
        <w:tabs>
          <w:tab w:pos="1003" w:val="left" w:leader="none"/>
        </w:tabs>
        <w:spacing w:line="240" w:lineRule="auto" w:before="2" w:after="0"/>
        <w:ind w:left="1002" w:right="0" w:hanging="282"/>
        <w:jc w:val="left"/>
        <w:rPr>
          <w:b/>
          <w:sz w:val="24"/>
        </w:rPr>
      </w:pPr>
      <w:r>
        <w:rPr>
          <w:b/>
          <w:sz w:val="24"/>
        </w:rPr>
        <w:t>土壤环境质量标准</w:t>
      </w:r>
    </w:p>
    <w:p>
      <w:pPr>
        <w:pStyle w:val="BodyText"/>
        <w:spacing w:before="158"/>
        <w:ind w:left="718"/>
      </w:pPr>
      <w:r>
        <w:rPr/>
        <w:t>本项目所在地土壤质量环境执行《土壤环境质量建设用地土壤污染风险管控标准》</w:t>
      </w:r>
    </w:p>
    <w:p>
      <w:pPr>
        <w:pStyle w:val="BodyText"/>
        <w:spacing w:before="161"/>
        <w:ind w:left="238"/>
      </w:pPr>
      <w:r>
        <w:rPr>
          <w:rFonts w:ascii="Times New Roman" w:eastAsia="Times New Roman"/>
        </w:rPr>
        <w:t>(</w:t>
      </w:r>
      <w:r>
        <w:rPr/>
        <w:t>试行 </w:t>
      </w:r>
      <w:r>
        <w:rPr>
          <w:rFonts w:ascii="Times New Roman" w:eastAsia="Times New Roman"/>
        </w:rPr>
        <w:t>GB36600-2018)</w:t>
      </w:r>
      <w:r>
        <w:rPr/>
        <w:t>中第二类用地筛选值。</w:t>
      </w:r>
    </w:p>
    <w:p>
      <w:pPr>
        <w:pStyle w:val="BodyText"/>
        <w:spacing w:before="5"/>
        <w:rPr>
          <w:sz w:val="23"/>
        </w:rPr>
      </w:pPr>
    </w:p>
    <w:p>
      <w:pPr>
        <w:pStyle w:val="Heading4"/>
        <w:tabs>
          <w:tab w:pos="1583" w:val="left" w:leader="none"/>
          <w:tab w:pos="7128" w:val="left" w:leader="none"/>
        </w:tabs>
        <w:spacing w:after="29"/>
        <w:ind w:left="361"/>
        <w:jc w:val="center"/>
        <w:rPr>
          <w:rFonts w:ascii="Times New Roman" w:eastAsia="Times New Roman"/>
        </w:rPr>
      </w:pPr>
      <w:r>
        <w:rPr/>
        <w:t>表</w:t>
      </w:r>
      <w:r>
        <w:rPr>
          <w:spacing w:val="-60"/>
        </w:rPr>
        <w:t> </w:t>
      </w:r>
      <w:r>
        <w:rPr>
          <w:rFonts w:ascii="Times New Roman" w:eastAsia="Times New Roman"/>
        </w:rPr>
        <w:t>2.3.2-4</w:t>
        <w:tab/>
      </w:r>
      <w:r>
        <w:rPr/>
        <w:t>土壤环境质量标准建设用地土壤污染风险管控标准</w:t>
        <w:tab/>
        <w:t>单位：</w:t>
      </w:r>
      <w:r>
        <w:rPr>
          <w:rFonts w:ascii="Times New Roman" w:eastAsia="Times New Roman"/>
        </w:rPr>
        <w:t>mg/kg</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2244"/>
        <w:gridCol w:w="1423"/>
        <w:gridCol w:w="953"/>
        <w:gridCol w:w="934"/>
        <w:gridCol w:w="967"/>
        <w:gridCol w:w="956"/>
        <w:gridCol w:w="1191"/>
      </w:tblGrid>
      <w:tr>
        <w:trPr>
          <w:trHeight w:val="273" w:hRule="atLeast"/>
        </w:trPr>
        <w:tc>
          <w:tcPr>
            <w:tcW w:w="619" w:type="dxa"/>
            <w:vMerge w:val="restart"/>
          </w:tcPr>
          <w:p>
            <w:pPr>
              <w:pStyle w:val="TableParagraph"/>
              <w:spacing w:line="244" w:lineRule="auto" w:before="142"/>
              <w:ind w:left="203" w:right="193"/>
              <w:jc w:val="left"/>
              <w:rPr>
                <w:b/>
                <w:sz w:val="21"/>
              </w:rPr>
            </w:pPr>
            <w:r>
              <w:rPr>
                <w:b/>
                <w:sz w:val="21"/>
              </w:rPr>
              <w:t>序号</w:t>
            </w:r>
          </w:p>
        </w:tc>
        <w:tc>
          <w:tcPr>
            <w:tcW w:w="2244" w:type="dxa"/>
            <w:vMerge w:val="restart"/>
          </w:tcPr>
          <w:p>
            <w:pPr>
              <w:pStyle w:val="TableParagraph"/>
              <w:spacing w:before="3"/>
              <w:jc w:val="left"/>
              <w:rPr>
                <w:rFonts w:ascii="Times New Roman"/>
                <w:b/>
                <w:sz w:val="24"/>
              </w:rPr>
            </w:pPr>
          </w:p>
          <w:p>
            <w:pPr>
              <w:pStyle w:val="TableParagraph"/>
              <w:ind w:left="595"/>
              <w:jc w:val="left"/>
              <w:rPr>
                <w:b/>
                <w:sz w:val="21"/>
              </w:rPr>
            </w:pPr>
            <w:r>
              <w:rPr>
                <w:b/>
                <w:sz w:val="21"/>
              </w:rPr>
              <w:t>污染物项目</w:t>
            </w:r>
          </w:p>
        </w:tc>
        <w:tc>
          <w:tcPr>
            <w:tcW w:w="1423" w:type="dxa"/>
            <w:vMerge w:val="restart"/>
          </w:tcPr>
          <w:p>
            <w:pPr>
              <w:pStyle w:val="TableParagraph"/>
              <w:spacing w:before="3"/>
              <w:jc w:val="left"/>
              <w:rPr>
                <w:rFonts w:ascii="Times New Roman"/>
                <w:b/>
                <w:sz w:val="24"/>
              </w:rPr>
            </w:pPr>
          </w:p>
          <w:p>
            <w:pPr>
              <w:pStyle w:val="TableParagraph"/>
              <w:ind w:left="290"/>
              <w:jc w:val="left"/>
              <w:rPr>
                <w:b/>
                <w:sz w:val="21"/>
              </w:rPr>
            </w:pPr>
            <w:r>
              <w:rPr>
                <w:rFonts w:ascii="Times New Roman" w:eastAsia="Times New Roman"/>
                <w:b/>
                <w:sz w:val="21"/>
              </w:rPr>
              <w:t>CAS</w:t>
            </w:r>
            <w:r>
              <w:rPr>
                <w:b/>
                <w:sz w:val="21"/>
              </w:rPr>
              <w:t>编号</w:t>
            </w:r>
          </w:p>
        </w:tc>
        <w:tc>
          <w:tcPr>
            <w:tcW w:w="1887" w:type="dxa"/>
            <w:gridSpan w:val="2"/>
          </w:tcPr>
          <w:p>
            <w:pPr>
              <w:pStyle w:val="TableParagraph"/>
              <w:spacing w:line="252" w:lineRule="exact" w:before="1"/>
              <w:ind w:left="574"/>
              <w:jc w:val="left"/>
              <w:rPr>
                <w:rFonts w:ascii="Times New Roman" w:eastAsia="Times New Roman"/>
                <w:b/>
                <w:sz w:val="21"/>
              </w:rPr>
            </w:pPr>
            <w:r>
              <w:rPr>
                <w:b/>
                <w:sz w:val="21"/>
              </w:rPr>
              <w:t>筛选值</w:t>
            </w:r>
            <w:r>
              <w:rPr>
                <w:rFonts w:ascii="Times New Roman" w:eastAsia="Times New Roman"/>
                <w:b/>
                <w:sz w:val="21"/>
              </w:rPr>
              <w:t>*</w:t>
            </w:r>
          </w:p>
        </w:tc>
        <w:tc>
          <w:tcPr>
            <w:tcW w:w="1923" w:type="dxa"/>
            <w:gridSpan w:val="2"/>
          </w:tcPr>
          <w:p>
            <w:pPr>
              <w:pStyle w:val="TableParagraph"/>
              <w:spacing w:line="252" w:lineRule="exact" w:before="1"/>
              <w:ind w:left="538"/>
              <w:jc w:val="left"/>
              <w:rPr>
                <w:rFonts w:ascii="Times New Roman" w:eastAsia="Times New Roman"/>
                <w:b/>
                <w:sz w:val="21"/>
              </w:rPr>
            </w:pPr>
            <w:r>
              <w:rPr>
                <w:b/>
                <w:sz w:val="21"/>
              </w:rPr>
              <w:t>管制值</w:t>
            </w:r>
            <w:r>
              <w:rPr>
                <w:rFonts w:ascii="Times New Roman" w:eastAsia="Times New Roman"/>
                <w:b/>
                <w:sz w:val="21"/>
              </w:rPr>
              <w:t>**</w:t>
            </w:r>
          </w:p>
        </w:tc>
        <w:tc>
          <w:tcPr>
            <w:tcW w:w="1191" w:type="dxa"/>
            <w:vMerge w:val="restart"/>
          </w:tcPr>
          <w:p>
            <w:pPr>
              <w:pStyle w:val="TableParagraph"/>
              <w:spacing w:before="3"/>
              <w:jc w:val="left"/>
              <w:rPr>
                <w:rFonts w:ascii="Times New Roman"/>
                <w:b/>
                <w:sz w:val="24"/>
              </w:rPr>
            </w:pPr>
          </w:p>
          <w:p>
            <w:pPr>
              <w:pStyle w:val="TableParagraph"/>
              <w:ind w:left="384"/>
              <w:jc w:val="left"/>
              <w:rPr>
                <w:b/>
                <w:sz w:val="21"/>
              </w:rPr>
            </w:pPr>
            <w:r>
              <w:rPr>
                <w:b/>
                <w:sz w:val="21"/>
              </w:rPr>
              <w:t>备注</w:t>
            </w:r>
          </w:p>
        </w:tc>
      </w:tr>
      <w:tr>
        <w:trPr>
          <w:trHeight w:val="544" w:hRule="atLeast"/>
        </w:trPr>
        <w:tc>
          <w:tcPr>
            <w:tcW w:w="619" w:type="dxa"/>
            <w:vMerge/>
            <w:tcBorders>
              <w:top w:val="nil"/>
            </w:tcBorders>
          </w:tcPr>
          <w:p>
            <w:pPr>
              <w:rPr>
                <w:sz w:val="2"/>
                <w:szCs w:val="2"/>
              </w:rPr>
            </w:pPr>
          </w:p>
        </w:tc>
        <w:tc>
          <w:tcPr>
            <w:tcW w:w="2244" w:type="dxa"/>
            <w:vMerge/>
            <w:tcBorders>
              <w:top w:val="nil"/>
            </w:tcBorders>
          </w:tcPr>
          <w:p>
            <w:pPr>
              <w:rPr>
                <w:sz w:val="2"/>
                <w:szCs w:val="2"/>
              </w:rPr>
            </w:pPr>
          </w:p>
        </w:tc>
        <w:tc>
          <w:tcPr>
            <w:tcW w:w="1423" w:type="dxa"/>
            <w:vMerge/>
            <w:tcBorders>
              <w:top w:val="nil"/>
            </w:tcBorders>
          </w:tcPr>
          <w:p>
            <w:pPr>
              <w:rPr>
                <w:sz w:val="2"/>
                <w:szCs w:val="2"/>
              </w:rPr>
            </w:pPr>
          </w:p>
        </w:tc>
        <w:tc>
          <w:tcPr>
            <w:tcW w:w="953" w:type="dxa"/>
          </w:tcPr>
          <w:p>
            <w:pPr>
              <w:pStyle w:val="TableParagraph"/>
              <w:spacing w:before="1"/>
              <w:ind w:left="159"/>
              <w:jc w:val="left"/>
              <w:rPr>
                <w:b/>
                <w:sz w:val="21"/>
              </w:rPr>
            </w:pPr>
            <w:r>
              <w:rPr>
                <w:b/>
                <w:sz w:val="21"/>
              </w:rPr>
              <w:t>第一类</w:t>
            </w:r>
          </w:p>
          <w:p>
            <w:pPr>
              <w:pStyle w:val="TableParagraph"/>
              <w:spacing w:line="250" w:lineRule="exact" w:before="4"/>
              <w:ind w:left="264"/>
              <w:jc w:val="left"/>
              <w:rPr>
                <w:b/>
                <w:sz w:val="21"/>
              </w:rPr>
            </w:pPr>
            <w:r>
              <w:rPr>
                <w:b/>
                <w:sz w:val="21"/>
              </w:rPr>
              <w:t>用地</w:t>
            </w:r>
          </w:p>
        </w:tc>
        <w:tc>
          <w:tcPr>
            <w:tcW w:w="934" w:type="dxa"/>
          </w:tcPr>
          <w:p>
            <w:pPr>
              <w:pStyle w:val="TableParagraph"/>
              <w:spacing w:before="1"/>
              <w:ind w:left="147"/>
              <w:jc w:val="left"/>
              <w:rPr>
                <w:b/>
                <w:sz w:val="21"/>
              </w:rPr>
            </w:pPr>
            <w:r>
              <w:rPr>
                <w:b/>
                <w:sz w:val="21"/>
              </w:rPr>
              <w:t>第二类</w:t>
            </w:r>
          </w:p>
          <w:p>
            <w:pPr>
              <w:pStyle w:val="TableParagraph"/>
              <w:spacing w:line="250" w:lineRule="exact" w:before="4"/>
              <w:ind w:left="252"/>
              <w:jc w:val="left"/>
              <w:rPr>
                <w:b/>
                <w:sz w:val="21"/>
              </w:rPr>
            </w:pPr>
            <w:r>
              <w:rPr>
                <w:b/>
                <w:sz w:val="21"/>
              </w:rPr>
              <w:t>用地</w:t>
            </w:r>
          </w:p>
        </w:tc>
        <w:tc>
          <w:tcPr>
            <w:tcW w:w="967" w:type="dxa"/>
          </w:tcPr>
          <w:p>
            <w:pPr>
              <w:pStyle w:val="TableParagraph"/>
              <w:spacing w:before="1"/>
              <w:ind w:left="141" w:right="133"/>
              <w:rPr>
                <w:b/>
                <w:sz w:val="21"/>
              </w:rPr>
            </w:pPr>
            <w:r>
              <w:rPr>
                <w:b/>
                <w:sz w:val="21"/>
              </w:rPr>
              <w:t>第一类</w:t>
            </w:r>
          </w:p>
          <w:p>
            <w:pPr>
              <w:pStyle w:val="TableParagraph"/>
              <w:spacing w:line="250" w:lineRule="exact" w:before="4"/>
              <w:ind w:left="141" w:right="133"/>
              <w:rPr>
                <w:b/>
                <w:sz w:val="21"/>
              </w:rPr>
            </w:pPr>
            <w:r>
              <w:rPr>
                <w:b/>
                <w:sz w:val="21"/>
              </w:rPr>
              <w:t>用地</w:t>
            </w:r>
          </w:p>
        </w:tc>
        <w:tc>
          <w:tcPr>
            <w:tcW w:w="956" w:type="dxa"/>
          </w:tcPr>
          <w:p>
            <w:pPr>
              <w:pStyle w:val="TableParagraph"/>
              <w:spacing w:before="1"/>
              <w:ind w:left="141" w:right="131"/>
              <w:rPr>
                <w:b/>
                <w:sz w:val="21"/>
              </w:rPr>
            </w:pPr>
            <w:r>
              <w:rPr>
                <w:b/>
                <w:sz w:val="21"/>
              </w:rPr>
              <w:t>第二类</w:t>
            </w:r>
          </w:p>
          <w:p>
            <w:pPr>
              <w:pStyle w:val="TableParagraph"/>
              <w:spacing w:line="250" w:lineRule="exact" w:before="4"/>
              <w:ind w:left="141" w:right="131"/>
              <w:rPr>
                <w:b/>
                <w:sz w:val="21"/>
              </w:rPr>
            </w:pPr>
            <w:r>
              <w:rPr>
                <w:b/>
                <w:sz w:val="21"/>
              </w:rPr>
              <w:t>用地</w:t>
            </w:r>
          </w:p>
        </w:tc>
        <w:tc>
          <w:tcPr>
            <w:tcW w:w="1191" w:type="dxa"/>
            <w:vMerge/>
            <w:tcBorders>
              <w:top w:val="nil"/>
            </w:tcBorders>
          </w:tcPr>
          <w:p>
            <w:pPr>
              <w:rPr>
                <w:sz w:val="2"/>
                <w:szCs w:val="2"/>
              </w:rPr>
            </w:pPr>
          </w:p>
        </w:tc>
      </w:tr>
      <w:tr>
        <w:trPr>
          <w:trHeight w:val="273" w:hRule="atLeast"/>
        </w:trPr>
        <w:tc>
          <w:tcPr>
            <w:tcW w:w="9287" w:type="dxa"/>
            <w:gridSpan w:val="8"/>
          </w:tcPr>
          <w:p>
            <w:pPr>
              <w:pStyle w:val="TableParagraph"/>
              <w:spacing w:line="252" w:lineRule="exact" w:before="1"/>
              <w:ind w:left="107"/>
              <w:jc w:val="left"/>
              <w:rPr>
                <w:sz w:val="21"/>
              </w:rPr>
            </w:pPr>
            <w:r>
              <w:rPr>
                <w:sz w:val="21"/>
              </w:rPr>
              <w:t>重金属和无机物</w:t>
            </w:r>
          </w:p>
        </w:tc>
      </w:tr>
      <w:tr>
        <w:trPr>
          <w:trHeight w:val="270" w:hRule="atLeast"/>
        </w:trPr>
        <w:tc>
          <w:tcPr>
            <w:tcW w:w="619" w:type="dxa"/>
          </w:tcPr>
          <w:p>
            <w:pPr>
              <w:pStyle w:val="TableParagraph"/>
              <w:spacing w:line="236" w:lineRule="exact" w:before="15"/>
              <w:ind w:left="9"/>
              <w:rPr>
                <w:rFonts w:ascii="Times New Roman"/>
                <w:sz w:val="21"/>
              </w:rPr>
            </w:pPr>
            <w:r>
              <w:rPr>
                <w:rFonts w:ascii="Times New Roman"/>
                <w:w w:val="100"/>
                <w:sz w:val="21"/>
              </w:rPr>
              <w:t>1</w:t>
            </w:r>
          </w:p>
        </w:tc>
        <w:tc>
          <w:tcPr>
            <w:tcW w:w="2244" w:type="dxa"/>
          </w:tcPr>
          <w:p>
            <w:pPr>
              <w:pStyle w:val="TableParagraph"/>
              <w:spacing w:line="250" w:lineRule="exact" w:before="1"/>
              <w:ind w:left="7"/>
              <w:rPr>
                <w:sz w:val="21"/>
              </w:rPr>
            </w:pPr>
            <w:r>
              <w:rPr>
                <w:w w:val="100"/>
                <w:sz w:val="21"/>
              </w:rPr>
              <w:t>砷</w:t>
            </w:r>
          </w:p>
        </w:tc>
        <w:tc>
          <w:tcPr>
            <w:tcW w:w="1423" w:type="dxa"/>
          </w:tcPr>
          <w:p>
            <w:pPr>
              <w:pStyle w:val="TableParagraph"/>
              <w:spacing w:line="236" w:lineRule="exact" w:before="15"/>
              <w:ind w:left="202" w:right="189"/>
              <w:rPr>
                <w:rFonts w:ascii="Times New Roman"/>
                <w:sz w:val="21"/>
              </w:rPr>
            </w:pPr>
            <w:r>
              <w:rPr>
                <w:rFonts w:ascii="Times New Roman"/>
                <w:sz w:val="21"/>
              </w:rPr>
              <w:t>7440-38-2</w:t>
            </w:r>
          </w:p>
        </w:tc>
        <w:tc>
          <w:tcPr>
            <w:tcW w:w="953" w:type="dxa"/>
          </w:tcPr>
          <w:p>
            <w:pPr>
              <w:pStyle w:val="TableParagraph"/>
              <w:spacing w:line="251" w:lineRule="exact"/>
              <w:ind w:left="315"/>
              <w:jc w:val="left"/>
              <w:rPr>
                <w:sz w:val="11"/>
              </w:rPr>
            </w:pPr>
            <w:r>
              <w:rPr>
                <w:rFonts w:ascii="Times New Roman" w:hAnsi="Times New Roman"/>
                <w:sz w:val="21"/>
              </w:rPr>
              <w:t>20</w:t>
            </w:r>
            <w:r>
              <w:rPr>
                <w:position w:val="11"/>
                <w:sz w:val="11"/>
              </w:rPr>
              <w:t>①</w:t>
            </w:r>
          </w:p>
        </w:tc>
        <w:tc>
          <w:tcPr>
            <w:tcW w:w="934" w:type="dxa"/>
          </w:tcPr>
          <w:p>
            <w:pPr>
              <w:pStyle w:val="TableParagraph"/>
              <w:spacing w:line="251" w:lineRule="exact"/>
              <w:ind w:left="184" w:right="175"/>
              <w:rPr>
                <w:sz w:val="11"/>
              </w:rPr>
            </w:pPr>
            <w:r>
              <w:rPr>
                <w:rFonts w:ascii="Times New Roman" w:hAnsi="Times New Roman"/>
                <w:sz w:val="21"/>
              </w:rPr>
              <w:t>60</w:t>
            </w:r>
            <w:r>
              <w:rPr>
                <w:position w:val="11"/>
                <w:sz w:val="11"/>
              </w:rPr>
              <w:t>①</w:t>
            </w:r>
          </w:p>
        </w:tc>
        <w:tc>
          <w:tcPr>
            <w:tcW w:w="967" w:type="dxa"/>
          </w:tcPr>
          <w:p>
            <w:pPr>
              <w:pStyle w:val="TableParagraph"/>
              <w:spacing w:line="236" w:lineRule="exact" w:before="15"/>
              <w:ind w:right="313"/>
              <w:jc w:val="right"/>
              <w:rPr>
                <w:rFonts w:ascii="Times New Roman"/>
                <w:sz w:val="21"/>
              </w:rPr>
            </w:pPr>
            <w:r>
              <w:rPr>
                <w:rFonts w:ascii="Times New Roman"/>
                <w:sz w:val="21"/>
              </w:rPr>
              <w:t>120</w:t>
            </w:r>
          </w:p>
        </w:tc>
        <w:tc>
          <w:tcPr>
            <w:tcW w:w="956" w:type="dxa"/>
          </w:tcPr>
          <w:p>
            <w:pPr>
              <w:pStyle w:val="TableParagraph"/>
              <w:spacing w:line="236" w:lineRule="exact" w:before="15"/>
              <w:ind w:right="307"/>
              <w:jc w:val="right"/>
              <w:rPr>
                <w:rFonts w:ascii="Times New Roman"/>
                <w:sz w:val="21"/>
              </w:rPr>
            </w:pPr>
            <w:r>
              <w:rPr>
                <w:rFonts w:ascii="Times New Roman"/>
                <w:sz w:val="21"/>
              </w:rPr>
              <w:t>140</w:t>
            </w:r>
          </w:p>
        </w:tc>
        <w:tc>
          <w:tcPr>
            <w:tcW w:w="1191" w:type="dxa"/>
          </w:tcPr>
          <w:p>
            <w:pPr>
              <w:pStyle w:val="TableParagraph"/>
              <w:spacing w:line="250" w:lineRule="exact" w:before="1"/>
              <w:ind w:left="154" w:right="144"/>
              <w:rPr>
                <w:sz w:val="21"/>
              </w:rPr>
            </w:pPr>
            <w:r>
              <w:rPr>
                <w:sz w:val="21"/>
              </w:rPr>
              <w:t>基本项目</w:t>
            </w:r>
          </w:p>
        </w:tc>
      </w:tr>
      <w:tr>
        <w:trPr>
          <w:trHeight w:val="273" w:hRule="atLeast"/>
        </w:trPr>
        <w:tc>
          <w:tcPr>
            <w:tcW w:w="619" w:type="dxa"/>
          </w:tcPr>
          <w:p>
            <w:pPr>
              <w:pStyle w:val="TableParagraph"/>
              <w:spacing w:line="236" w:lineRule="exact" w:before="17"/>
              <w:ind w:left="9"/>
              <w:rPr>
                <w:rFonts w:ascii="Times New Roman"/>
                <w:sz w:val="21"/>
              </w:rPr>
            </w:pPr>
            <w:r>
              <w:rPr>
                <w:rFonts w:ascii="Times New Roman"/>
                <w:w w:val="100"/>
                <w:sz w:val="21"/>
              </w:rPr>
              <w:t>2</w:t>
            </w:r>
          </w:p>
        </w:tc>
        <w:tc>
          <w:tcPr>
            <w:tcW w:w="2244" w:type="dxa"/>
          </w:tcPr>
          <w:p>
            <w:pPr>
              <w:pStyle w:val="TableParagraph"/>
              <w:spacing w:line="250" w:lineRule="exact" w:before="3"/>
              <w:ind w:left="7"/>
              <w:rPr>
                <w:sz w:val="21"/>
              </w:rPr>
            </w:pPr>
            <w:r>
              <w:rPr>
                <w:w w:val="100"/>
                <w:sz w:val="21"/>
              </w:rPr>
              <w:t>镉</w:t>
            </w:r>
          </w:p>
        </w:tc>
        <w:tc>
          <w:tcPr>
            <w:tcW w:w="1423" w:type="dxa"/>
          </w:tcPr>
          <w:p>
            <w:pPr>
              <w:pStyle w:val="TableParagraph"/>
              <w:spacing w:line="236" w:lineRule="exact" w:before="17"/>
              <w:ind w:left="202" w:right="189"/>
              <w:rPr>
                <w:rFonts w:ascii="Times New Roman"/>
                <w:sz w:val="21"/>
              </w:rPr>
            </w:pPr>
            <w:r>
              <w:rPr>
                <w:rFonts w:ascii="Times New Roman"/>
                <w:sz w:val="21"/>
              </w:rPr>
              <w:t>7440-43-9</w:t>
            </w:r>
          </w:p>
        </w:tc>
        <w:tc>
          <w:tcPr>
            <w:tcW w:w="953" w:type="dxa"/>
          </w:tcPr>
          <w:p>
            <w:pPr>
              <w:pStyle w:val="TableParagraph"/>
              <w:spacing w:line="236" w:lineRule="exact" w:before="17"/>
              <w:ind w:left="324" w:right="316"/>
              <w:rPr>
                <w:rFonts w:ascii="Times New Roman"/>
                <w:sz w:val="21"/>
              </w:rPr>
            </w:pPr>
            <w:r>
              <w:rPr>
                <w:rFonts w:ascii="Times New Roman"/>
                <w:sz w:val="21"/>
              </w:rPr>
              <w:t>20</w:t>
            </w:r>
          </w:p>
        </w:tc>
        <w:tc>
          <w:tcPr>
            <w:tcW w:w="934" w:type="dxa"/>
          </w:tcPr>
          <w:p>
            <w:pPr>
              <w:pStyle w:val="TableParagraph"/>
              <w:spacing w:line="236" w:lineRule="exact" w:before="17"/>
              <w:ind w:left="179" w:right="175"/>
              <w:rPr>
                <w:rFonts w:ascii="Times New Roman"/>
                <w:sz w:val="21"/>
              </w:rPr>
            </w:pPr>
            <w:r>
              <w:rPr>
                <w:rFonts w:ascii="Times New Roman"/>
                <w:sz w:val="21"/>
              </w:rPr>
              <w:t>65</w:t>
            </w:r>
          </w:p>
        </w:tc>
        <w:tc>
          <w:tcPr>
            <w:tcW w:w="967" w:type="dxa"/>
          </w:tcPr>
          <w:p>
            <w:pPr>
              <w:pStyle w:val="TableParagraph"/>
              <w:spacing w:line="236" w:lineRule="exact" w:before="17"/>
              <w:ind w:left="141" w:right="133"/>
              <w:rPr>
                <w:rFonts w:ascii="Times New Roman"/>
                <w:sz w:val="21"/>
              </w:rPr>
            </w:pPr>
            <w:r>
              <w:rPr>
                <w:rFonts w:ascii="Times New Roman"/>
                <w:sz w:val="21"/>
              </w:rPr>
              <w:t>47</w:t>
            </w:r>
          </w:p>
        </w:tc>
        <w:tc>
          <w:tcPr>
            <w:tcW w:w="956" w:type="dxa"/>
          </w:tcPr>
          <w:p>
            <w:pPr>
              <w:pStyle w:val="TableParagraph"/>
              <w:spacing w:line="236" w:lineRule="exact" w:before="17"/>
              <w:ind w:right="307"/>
              <w:jc w:val="right"/>
              <w:rPr>
                <w:rFonts w:ascii="Times New Roman"/>
                <w:sz w:val="21"/>
              </w:rPr>
            </w:pPr>
            <w:r>
              <w:rPr>
                <w:rFonts w:ascii="Times New Roman"/>
                <w:sz w:val="21"/>
              </w:rPr>
              <w:t>172</w:t>
            </w:r>
          </w:p>
        </w:tc>
        <w:tc>
          <w:tcPr>
            <w:tcW w:w="1191" w:type="dxa"/>
          </w:tcPr>
          <w:p>
            <w:pPr>
              <w:pStyle w:val="TableParagraph"/>
              <w:spacing w:line="250" w:lineRule="exact" w:before="3"/>
              <w:ind w:left="155" w:right="143"/>
              <w:rPr>
                <w:sz w:val="21"/>
              </w:rPr>
            </w:pPr>
            <w:r>
              <w:rPr>
                <w:sz w:val="21"/>
              </w:rPr>
              <w:t>基本项目</w:t>
            </w:r>
          </w:p>
        </w:tc>
      </w:tr>
      <w:tr>
        <w:trPr>
          <w:trHeight w:val="273" w:hRule="atLeast"/>
        </w:trPr>
        <w:tc>
          <w:tcPr>
            <w:tcW w:w="619" w:type="dxa"/>
          </w:tcPr>
          <w:p>
            <w:pPr>
              <w:pStyle w:val="TableParagraph"/>
              <w:spacing w:line="238" w:lineRule="exact" w:before="15"/>
              <w:ind w:left="9"/>
              <w:rPr>
                <w:rFonts w:ascii="Times New Roman"/>
                <w:sz w:val="21"/>
              </w:rPr>
            </w:pPr>
            <w:r>
              <w:rPr>
                <w:rFonts w:ascii="Times New Roman"/>
                <w:w w:val="100"/>
                <w:sz w:val="21"/>
              </w:rPr>
              <w:t>3</w:t>
            </w:r>
          </w:p>
        </w:tc>
        <w:tc>
          <w:tcPr>
            <w:tcW w:w="2244" w:type="dxa"/>
          </w:tcPr>
          <w:p>
            <w:pPr>
              <w:pStyle w:val="TableParagraph"/>
              <w:spacing w:line="252" w:lineRule="exact" w:before="1"/>
              <w:ind w:left="88" w:right="76"/>
              <w:rPr>
                <w:rFonts w:ascii="Times New Roman" w:eastAsia="Times New Roman"/>
                <w:sz w:val="21"/>
              </w:rPr>
            </w:pPr>
            <w:r>
              <w:rPr>
                <w:sz w:val="21"/>
              </w:rPr>
              <w:t>铬</w:t>
            </w:r>
            <w:r>
              <w:rPr>
                <w:rFonts w:ascii="Times New Roman" w:eastAsia="Times New Roman"/>
                <w:sz w:val="21"/>
              </w:rPr>
              <w:t>(</w:t>
            </w:r>
            <w:r>
              <w:rPr>
                <w:sz w:val="21"/>
              </w:rPr>
              <w:t>六价</w:t>
            </w:r>
            <w:r>
              <w:rPr>
                <w:rFonts w:ascii="Times New Roman" w:eastAsia="Times New Roman"/>
                <w:sz w:val="21"/>
              </w:rPr>
              <w:t>)</w:t>
            </w:r>
          </w:p>
        </w:tc>
        <w:tc>
          <w:tcPr>
            <w:tcW w:w="1423" w:type="dxa"/>
          </w:tcPr>
          <w:p>
            <w:pPr>
              <w:pStyle w:val="TableParagraph"/>
              <w:spacing w:line="238" w:lineRule="exact" w:before="15"/>
              <w:ind w:left="202" w:right="191"/>
              <w:rPr>
                <w:rFonts w:ascii="Times New Roman"/>
                <w:sz w:val="21"/>
              </w:rPr>
            </w:pPr>
            <w:r>
              <w:rPr>
                <w:rFonts w:ascii="Times New Roman"/>
                <w:sz w:val="21"/>
              </w:rPr>
              <w:t>18540-29-9</w:t>
            </w:r>
          </w:p>
        </w:tc>
        <w:tc>
          <w:tcPr>
            <w:tcW w:w="953" w:type="dxa"/>
          </w:tcPr>
          <w:p>
            <w:pPr>
              <w:pStyle w:val="TableParagraph"/>
              <w:spacing w:line="238" w:lineRule="exact" w:before="15"/>
              <w:ind w:left="324" w:right="316"/>
              <w:rPr>
                <w:rFonts w:ascii="Times New Roman"/>
                <w:sz w:val="21"/>
              </w:rPr>
            </w:pPr>
            <w:r>
              <w:rPr>
                <w:rFonts w:ascii="Times New Roman"/>
                <w:sz w:val="21"/>
              </w:rPr>
              <w:t>3.0</w:t>
            </w:r>
          </w:p>
        </w:tc>
        <w:tc>
          <w:tcPr>
            <w:tcW w:w="934" w:type="dxa"/>
          </w:tcPr>
          <w:p>
            <w:pPr>
              <w:pStyle w:val="TableParagraph"/>
              <w:spacing w:line="238" w:lineRule="exact" w:before="15"/>
              <w:ind w:left="184" w:right="175"/>
              <w:rPr>
                <w:rFonts w:ascii="Times New Roman"/>
                <w:sz w:val="21"/>
              </w:rPr>
            </w:pPr>
            <w:r>
              <w:rPr>
                <w:rFonts w:ascii="Times New Roman"/>
                <w:sz w:val="21"/>
              </w:rPr>
              <w:t>5.7</w:t>
            </w:r>
          </w:p>
        </w:tc>
        <w:tc>
          <w:tcPr>
            <w:tcW w:w="967" w:type="dxa"/>
          </w:tcPr>
          <w:p>
            <w:pPr>
              <w:pStyle w:val="TableParagraph"/>
              <w:spacing w:line="238" w:lineRule="exact" w:before="15"/>
              <w:ind w:left="141" w:right="133"/>
              <w:rPr>
                <w:rFonts w:ascii="Times New Roman"/>
                <w:sz w:val="21"/>
              </w:rPr>
            </w:pPr>
            <w:r>
              <w:rPr>
                <w:rFonts w:ascii="Times New Roman"/>
                <w:sz w:val="21"/>
              </w:rPr>
              <w:t>30</w:t>
            </w:r>
          </w:p>
        </w:tc>
        <w:tc>
          <w:tcPr>
            <w:tcW w:w="956" w:type="dxa"/>
          </w:tcPr>
          <w:p>
            <w:pPr>
              <w:pStyle w:val="TableParagraph"/>
              <w:spacing w:line="238" w:lineRule="exact" w:before="15"/>
              <w:ind w:left="141" w:right="131"/>
              <w:rPr>
                <w:rFonts w:ascii="Times New Roman"/>
                <w:sz w:val="21"/>
              </w:rPr>
            </w:pPr>
            <w:r>
              <w:rPr>
                <w:rFonts w:ascii="Times New Roman"/>
                <w:sz w:val="21"/>
              </w:rPr>
              <w:t>78</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left="9"/>
              <w:rPr>
                <w:rFonts w:ascii="Times New Roman"/>
                <w:sz w:val="21"/>
              </w:rPr>
            </w:pPr>
            <w:r>
              <w:rPr>
                <w:rFonts w:ascii="Times New Roman"/>
                <w:w w:val="100"/>
                <w:sz w:val="21"/>
              </w:rPr>
              <w:t>4</w:t>
            </w:r>
          </w:p>
        </w:tc>
        <w:tc>
          <w:tcPr>
            <w:tcW w:w="2244" w:type="dxa"/>
          </w:tcPr>
          <w:p>
            <w:pPr>
              <w:pStyle w:val="TableParagraph"/>
              <w:spacing w:line="250" w:lineRule="exact" w:before="1"/>
              <w:ind w:left="7"/>
              <w:rPr>
                <w:sz w:val="21"/>
              </w:rPr>
            </w:pPr>
            <w:r>
              <w:rPr>
                <w:w w:val="100"/>
                <w:sz w:val="21"/>
              </w:rPr>
              <w:t>铜</w:t>
            </w:r>
          </w:p>
        </w:tc>
        <w:tc>
          <w:tcPr>
            <w:tcW w:w="1423" w:type="dxa"/>
          </w:tcPr>
          <w:p>
            <w:pPr>
              <w:pStyle w:val="TableParagraph"/>
              <w:spacing w:line="236" w:lineRule="exact" w:before="15"/>
              <w:ind w:left="202" w:right="189"/>
              <w:rPr>
                <w:rFonts w:ascii="Times New Roman"/>
                <w:sz w:val="21"/>
              </w:rPr>
            </w:pPr>
            <w:r>
              <w:rPr>
                <w:rFonts w:ascii="Times New Roman"/>
                <w:sz w:val="21"/>
              </w:rPr>
              <w:t>7440-50-8</w:t>
            </w:r>
          </w:p>
        </w:tc>
        <w:tc>
          <w:tcPr>
            <w:tcW w:w="953" w:type="dxa"/>
          </w:tcPr>
          <w:p>
            <w:pPr>
              <w:pStyle w:val="TableParagraph"/>
              <w:spacing w:line="236" w:lineRule="exact" w:before="15"/>
              <w:ind w:right="253"/>
              <w:jc w:val="right"/>
              <w:rPr>
                <w:rFonts w:ascii="Times New Roman"/>
                <w:sz w:val="21"/>
              </w:rPr>
            </w:pPr>
            <w:r>
              <w:rPr>
                <w:rFonts w:ascii="Times New Roman"/>
                <w:sz w:val="21"/>
              </w:rPr>
              <w:t>2000</w:t>
            </w:r>
          </w:p>
        </w:tc>
        <w:tc>
          <w:tcPr>
            <w:tcW w:w="934" w:type="dxa"/>
          </w:tcPr>
          <w:p>
            <w:pPr>
              <w:pStyle w:val="TableParagraph"/>
              <w:spacing w:line="236" w:lineRule="exact" w:before="15"/>
              <w:ind w:left="184" w:right="175"/>
              <w:rPr>
                <w:rFonts w:ascii="Times New Roman"/>
                <w:sz w:val="21"/>
              </w:rPr>
            </w:pPr>
            <w:r>
              <w:rPr>
                <w:rFonts w:ascii="Times New Roman"/>
                <w:sz w:val="21"/>
              </w:rPr>
              <w:t>18000</w:t>
            </w:r>
          </w:p>
        </w:tc>
        <w:tc>
          <w:tcPr>
            <w:tcW w:w="967" w:type="dxa"/>
          </w:tcPr>
          <w:p>
            <w:pPr>
              <w:pStyle w:val="TableParagraph"/>
              <w:spacing w:line="236" w:lineRule="exact" w:before="15"/>
              <w:ind w:right="260"/>
              <w:jc w:val="right"/>
              <w:rPr>
                <w:rFonts w:ascii="Times New Roman"/>
                <w:sz w:val="21"/>
              </w:rPr>
            </w:pPr>
            <w:r>
              <w:rPr>
                <w:rFonts w:ascii="Times New Roman"/>
                <w:sz w:val="21"/>
              </w:rPr>
              <w:t>8000</w:t>
            </w:r>
          </w:p>
        </w:tc>
        <w:tc>
          <w:tcPr>
            <w:tcW w:w="956" w:type="dxa"/>
          </w:tcPr>
          <w:p>
            <w:pPr>
              <w:pStyle w:val="TableParagraph"/>
              <w:spacing w:line="236" w:lineRule="exact" w:before="15"/>
              <w:ind w:right="201"/>
              <w:jc w:val="right"/>
              <w:rPr>
                <w:rFonts w:ascii="Times New Roman"/>
                <w:sz w:val="21"/>
              </w:rPr>
            </w:pPr>
            <w:r>
              <w:rPr>
                <w:rFonts w:ascii="Times New Roman"/>
                <w:sz w:val="21"/>
              </w:rPr>
              <w:t>36000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left="9"/>
              <w:rPr>
                <w:rFonts w:ascii="Times New Roman"/>
                <w:sz w:val="21"/>
              </w:rPr>
            </w:pPr>
            <w:r>
              <w:rPr>
                <w:rFonts w:ascii="Times New Roman"/>
                <w:w w:val="100"/>
                <w:sz w:val="21"/>
              </w:rPr>
              <w:t>5</w:t>
            </w:r>
          </w:p>
        </w:tc>
        <w:tc>
          <w:tcPr>
            <w:tcW w:w="2244" w:type="dxa"/>
          </w:tcPr>
          <w:p>
            <w:pPr>
              <w:pStyle w:val="TableParagraph"/>
              <w:spacing w:line="252" w:lineRule="exact" w:before="1"/>
              <w:ind w:left="7"/>
              <w:rPr>
                <w:sz w:val="21"/>
              </w:rPr>
            </w:pPr>
            <w:r>
              <w:rPr>
                <w:w w:val="100"/>
                <w:sz w:val="21"/>
              </w:rPr>
              <w:t>铅</w:t>
            </w:r>
          </w:p>
        </w:tc>
        <w:tc>
          <w:tcPr>
            <w:tcW w:w="1423" w:type="dxa"/>
          </w:tcPr>
          <w:p>
            <w:pPr>
              <w:pStyle w:val="TableParagraph"/>
              <w:spacing w:line="238" w:lineRule="exact" w:before="15"/>
              <w:ind w:left="202" w:right="189"/>
              <w:rPr>
                <w:rFonts w:ascii="Times New Roman"/>
                <w:sz w:val="21"/>
              </w:rPr>
            </w:pPr>
            <w:r>
              <w:rPr>
                <w:rFonts w:ascii="Times New Roman"/>
                <w:sz w:val="21"/>
              </w:rPr>
              <w:t>7439-92-1</w:t>
            </w:r>
          </w:p>
        </w:tc>
        <w:tc>
          <w:tcPr>
            <w:tcW w:w="953" w:type="dxa"/>
          </w:tcPr>
          <w:p>
            <w:pPr>
              <w:pStyle w:val="TableParagraph"/>
              <w:spacing w:line="238" w:lineRule="exact" w:before="15"/>
              <w:ind w:left="317"/>
              <w:jc w:val="left"/>
              <w:rPr>
                <w:rFonts w:ascii="Times New Roman"/>
                <w:sz w:val="21"/>
              </w:rPr>
            </w:pPr>
            <w:r>
              <w:rPr>
                <w:rFonts w:ascii="Times New Roman"/>
                <w:sz w:val="21"/>
              </w:rPr>
              <w:t>400</w:t>
            </w:r>
          </w:p>
        </w:tc>
        <w:tc>
          <w:tcPr>
            <w:tcW w:w="934" w:type="dxa"/>
          </w:tcPr>
          <w:p>
            <w:pPr>
              <w:pStyle w:val="TableParagraph"/>
              <w:spacing w:line="238" w:lineRule="exact" w:before="15"/>
              <w:ind w:left="184" w:right="175"/>
              <w:rPr>
                <w:rFonts w:ascii="Times New Roman"/>
                <w:sz w:val="21"/>
              </w:rPr>
            </w:pPr>
            <w:r>
              <w:rPr>
                <w:rFonts w:ascii="Times New Roman"/>
                <w:sz w:val="21"/>
              </w:rPr>
              <w:t>800</w:t>
            </w:r>
          </w:p>
        </w:tc>
        <w:tc>
          <w:tcPr>
            <w:tcW w:w="967" w:type="dxa"/>
          </w:tcPr>
          <w:p>
            <w:pPr>
              <w:pStyle w:val="TableParagraph"/>
              <w:spacing w:line="238" w:lineRule="exact" w:before="15"/>
              <w:ind w:right="313"/>
              <w:jc w:val="right"/>
              <w:rPr>
                <w:rFonts w:ascii="Times New Roman"/>
                <w:sz w:val="21"/>
              </w:rPr>
            </w:pPr>
            <w:r>
              <w:rPr>
                <w:rFonts w:ascii="Times New Roman"/>
                <w:sz w:val="21"/>
              </w:rPr>
              <w:t>800</w:t>
            </w:r>
          </w:p>
        </w:tc>
        <w:tc>
          <w:tcPr>
            <w:tcW w:w="956" w:type="dxa"/>
          </w:tcPr>
          <w:p>
            <w:pPr>
              <w:pStyle w:val="TableParagraph"/>
              <w:spacing w:line="238" w:lineRule="exact" w:before="15"/>
              <w:ind w:right="254"/>
              <w:jc w:val="right"/>
              <w:rPr>
                <w:rFonts w:ascii="Times New Roman"/>
                <w:sz w:val="21"/>
              </w:rPr>
            </w:pPr>
            <w:r>
              <w:rPr>
                <w:rFonts w:ascii="Times New Roman"/>
                <w:sz w:val="21"/>
              </w:rPr>
              <w:t>2500</w:t>
            </w:r>
          </w:p>
        </w:tc>
        <w:tc>
          <w:tcPr>
            <w:tcW w:w="1191" w:type="dxa"/>
          </w:tcPr>
          <w:p>
            <w:pPr>
              <w:pStyle w:val="TableParagraph"/>
              <w:spacing w:line="252"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left="9"/>
              <w:rPr>
                <w:rFonts w:ascii="Times New Roman"/>
                <w:sz w:val="21"/>
              </w:rPr>
            </w:pPr>
            <w:r>
              <w:rPr>
                <w:rFonts w:ascii="Times New Roman"/>
                <w:w w:val="100"/>
                <w:sz w:val="21"/>
              </w:rPr>
              <w:t>6</w:t>
            </w:r>
          </w:p>
        </w:tc>
        <w:tc>
          <w:tcPr>
            <w:tcW w:w="2244" w:type="dxa"/>
          </w:tcPr>
          <w:p>
            <w:pPr>
              <w:pStyle w:val="TableParagraph"/>
              <w:spacing w:line="252" w:lineRule="exact" w:before="1"/>
              <w:ind w:left="7"/>
              <w:rPr>
                <w:sz w:val="21"/>
              </w:rPr>
            </w:pPr>
            <w:r>
              <w:rPr>
                <w:w w:val="100"/>
                <w:sz w:val="21"/>
              </w:rPr>
              <w:t>汞</w:t>
            </w:r>
          </w:p>
        </w:tc>
        <w:tc>
          <w:tcPr>
            <w:tcW w:w="1423" w:type="dxa"/>
          </w:tcPr>
          <w:p>
            <w:pPr>
              <w:pStyle w:val="TableParagraph"/>
              <w:spacing w:line="238" w:lineRule="exact" w:before="15"/>
              <w:ind w:left="202" w:right="189"/>
              <w:rPr>
                <w:rFonts w:ascii="Times New Roman"/>
                <w:sz w:val="21"/>
              </w:rPr>
            </w:pPr>
            <w:r>
              <w:rPr>
                <w:rFonts w:ascii="Times New Roman"/>
                <w:sz w:val="21"/>
              </w:rPr>
              <w:t>7439-97-6</w:t>
            </w:r>
          </w:p>
        </w:tc>
        <w:tc>
          <w:tcPr>
            <w:tcW w:w="953" w:type="dxa"/>
          </w:tcPr>
          <w:p>
            <w:pPr>
              <w:pStyle w:val="TableParagraph"/>
              <w:spacing w:line="238" w:lineRule="exact" w:before="15"/>
              <w:ind w:left="8"/>
              <w:rPr>
                <w:rFonts w:ascii="Times New Roman"/>
                <w:sz w:val="21"/>
              </w:rPr>
            </w:pPr>
            <w:r>
              <w:rPr>
                <w:rFonts w:ascii="Times New Roman"/>
                <w:w w:val="100"/>
                <w:sz w:val="21"/>
              </w:rPr>
              <w:t>8</w:t>
            </w:r>
          </w:p>
        </w:tc>
        <w:tc>
          <w:tcPr>
            <w:tcW w:w="934" w:type="dxa"/>
          </w:tcPr>
          <w:p>
            <w:pPr>
              <w:pStyle w:val="TableParagraph"/>
              <w:spacing w:line="238" w:lineRule="exact" w:before="15"/>
              <w:ind w:left="179" w:right="175"/>
              <w:rPr>
                <w:rFonts w:ascii="Times New Roman"/>
                <w:sz w:val="21"/>
              </w:rPr>
            </w:pPr>
            <w:r>
              <w:rPr>
                <w:rFonts w:ascii="Times New Roman"/>
                <w:sz w:val="21"/>
              </w:rPr>
              <w:t>38</w:t>
            </w:r>
          </w:p>
        </w:tc>
        <w:tc>
          <w:tcPr>
            <w:tcW w:w="967" w:type="dxa"/>
          </w:tcPr>
          <w:p>
            <w:pPr>
              <w:pStyle w:val="TableParagraph"/>
              <w:spacing w:line="238" w:lineRule="exact" w:before="15"/>
              <w:ind w:left="141" w:right="133"/>
              <w:rPr>
                <w:rFonts w:ascii="Times New Roman"/>
                <w:sz w:val="21"/>
              </w:rPr>
            </w:pPr>
            <w:r>
              <w:rPr>
                <w:rFonts w:ascii="Times New Roman"/>
                <w:sz w:val="21"/>
              </w:rPr>
              <w:t>33</w:t>
            </w:r>
          </w:p>
        </w:tc>
        <w:tc>
          <w:tcPr>
            <w:tcW w:w="956" w:type="dxa"/>
          </w:tcPr>
          <w:p>
            <w:pPr>
              <w:pStyle w:val="TableParagraph"/>
              <w:spacing w:line="238" w:lineRule="exact" w:before="15"/>
              <w:ind w:left="141" w:right="131"/>
              <w:rPr>
                <w:rFonts w:ascii="Times New Roman"/>
                <w:sz w:val="21"/>
              </w:rPr>
            </w:pPr>
            <w:r>
              <w:rPr>
                <w:rFonts w:ascii="Times New Roman"/>
                <w:sz w:val="21"/>
              </w:rPr>
              <w:t>82</w:t>
            </w:r>
          </w:p>
        </w:tc>
        <w:tc>
          <w:tcPr>
            <w:tcW w:w="1191" w:type="dxa"/>
          </w:tcPr>
          <w:p>
            <w:pPr>
              <w:pStyle w:val="TableParagraph"/>
              <w:spacing w:line="252" w:lineRule="exact" w:before="1"/>
              <w:ind w:left="154" w:right="144"/>
              <w:rPr>
                <w:sz w:val="21"/>
              </w:rPr>
            </w:pPr>
            <w:r>
              <w:rPr>
                <w:sz w:val="21"/>
              </w:rPr>
              <w:t>基本项目</w:t>
            </w:r>
          </w:p>
        </w:tc>
      </w:tr>
      <w:tr>
        <w:trPr>
          <w:trHeight w:val="270" w:hRule="atLeast"/>
        </w:trPr>
        <w:tc>
          <w:tcPr>
            <w:tcW w:w="619" w:type="dxa"/>
          </w:tcPr>
          <w:p>
            <w:pPr>
              <w:pStyle w:val="TableParagraph"/>
              <w:spacing w:line="236" w:lineRule="exact" w:before="15"/>
              <w:ind w:left="9"/>
              <w:rPr>
                <w:rFonts w:ascii="Times New Roman"/>
                <w:sz w:val="21"/>
              </w:rPr>
            </w:pPr>
            <w:r>
              <w:rPr>
                <w:rFonts w:ascii="Times New Roman"/>
                <w:w w:val="100"/>
                <w:sz w:val="21"/>
              </w:rPr>
              <w:t>7</w:t>
            </w:r>
          </w:p>
        </w:tc>
        <w:tc>
          <w:tcPr>
            <w:tcW w:w="2244" w:type="dxa"/>
          </w:tcPr>
          <w:p>
            <w:pPr>
              <w:pStyle w:val="TableParagraph"/>
              <w:spacing w:line="250" w:lineRule="exact" w:before="1"/>
              <w:ind w:left="7"/>
              <w:rPr>
                <w:sz w:val="21"/>
              </w:rPr>
            </w:pPr>
            <w:r>
              <w:rPr>
                <w:w w:val="100"/>
                <w:sz w:val="21"/>
              </w:rPr>
              <w:t>镍</w:t>
            </w:r>
          </w:p>
        </w:tc>
        <w:tc>
          <w:tcPr>
            <w:tcW w:w="1423" w:type="dxa"/>
          </w:tcPr>
          <w:p>
            <w:pPr>
              <w:pStyle w:val="TableParagraph"/>
              <w:spacing w:line="236" w:lineRule="exact" w:before="15"/>
              <w:ind w:left="202" w:right="189"/>
              <w:rPr>
                <w:rFonts w:ascii="Times New Roman"/>
                <w:sz w:val="21"/>
              </w:rPr>
            </w:pPr>
            <w:r>
              <w:rPr>
                <w:rFonts w:ascii="Times New Roman"/>
                <w:sz w:val="21"/>
              </w:rPr>
              <w:t>7440-02-0</w:t>
            </w:r>
          </w:p>
        </w:tc>
        <w:tc>
          <w:tcPr>
            <w:tcW w:w="953" w:type="dxa"/>
          </w:tcPr>
          <w:p>
            <w:pPr>
              <w:pStyle w:val="TableParagraph"/>
              <w:spacing w:line="236" w:lineRule="exact" w:before="15"/>
              <w:ind w:left="317"/>
              <w:jc w:val="left"/>
              <w:rPr>
                <w:rFonts w:ascii="Times New Roman"/>
                <w:sz w:val="21"/>
              </w:rPr>
            </w:pPr>
            <w:r>
              <w:rPr>
                <w:rFonts w:ascii="Times New Roman"/>
                <w:sz w:val="21"/>
              </w:rPr>
              <w:t>150</w:t>
            </w:r>
          </w:p>
        </w:tc>
        <w:tc>
          <w:tcPr>
            <w:tcW w:w="934" w:type="dxa"/>
          </w:tcPr>
          <w:p>
            <w:pPr>
              <w:pStyle w:val="TableParagraph"/>
              <w:spacing w:line="236" w:lineRule="exact" w:before="15"/>
              <w:ind w:left="184" w:right="175"/>
              <w:rPr>
                <w:rFonts w:ascii="Times New Roman"/>
                <w:sz w:val="21"/>
              </w:rPr>
            </w:pPr>
            <w:r>
              <w:rPr>
                <w:rFonts w:ascii="Times New Roman"/>
                <w:sz w:val="21"/>
              </w:rPr>
              <w:t>900</w:t>
            </w:r>
          </w:p>
        </w:tc>
        <w:tc>
          <w:tcPr>
            <w:tcW w:w="967" w:type="dxa"/>
          </w:tcPr>
          <w:p>
            <w:pPr>
              <w:pStyle w:val="TableParagraph"/>
              <w:spacing w:line="236" w:lineRule="exact" w:before="15"/>
              <w:ind w:right="313"/>
              <w:jc w:val="right"/>
              <w:rPr>
                <w:rFonts w:ascii="Times New Roman"/>
                <w:sz w:val="21"/>
              </w:rPr>
            </w:pPr>
            <w:r>
              <w:rPr>
                <w:rFonts w:ascii="Times New Roman"/>
                <w:sz w:val="21"/>
              </w:rPr>
              <w:t>600</w:t>
            </w:r>
          </w:p>
        </w:tc>
        <w:tc>
          <w:tcPr>
            <w:tcW w:w="956" w:type="dxa"/>
          </w:tcPr>
          <w:p>
            <w:pPr>
              <w:pStyle w:val="TableParagraph"/>
              <w:spacing w:line="236" w:lineRule="exact" w:before="15"/>
              <w:ind w:right="254"/>
              <w:jc w:val="right"/>
              <w:rPr>
                <w:rFonts w:ascii="Times New Roman"/>
                <w:sz w:val="21"/>
              </w:rPr>
            </w:pPr>
            <w:r>
              <w:rPr>
                <w:rFonts w:ascii="Times New Roman"/>
                <w:sz w:val="21"/>
              </w:rPr>
              <w:t>2000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9287" w:type="dxa"/>
            <w:gridSpan w:val="8"/>
          </w:tcPr>
          <w:p>
            <w:pPr>
              <w:pStyle w:val="TableParagraph"/>
              <w:spacing w:line="252" w:lineRule="exact" w:before="1"/>
              <w:ind w:left="107"/>
              <w:jc w:val="left"/>
              <w:rPr>
                <w:sz w:val="21"/>
              </w:rPr>
            </w:pPr>
            <w:r>
              <w:rPr>
                <w:sz w:val="21"/>
              </w:rPr>
              <w:t>挥发性有机物</w:t>
            </w:r>
          </w:p>
        </w:tc>
      </w:tr>
      <w:tr>
        <w:trPr>
          <w:trHeight w:val="270" w:hRule="atLeast"/>
        </w:trPr>
        <w:tc>
          <w:tcPr>
            <w:tcW w:w="619" w:type="dxa"/>
          </w:tcPr>
          <w:p>
            <w:pPr>
              <w:pStyle w:val="TableParagraph"/>
              <w:spacing w:line="236" w:lineRule="exact" w:before="15"/>
              <w:ind w:left="9"/>
              <w:rPr>
                <w:rFonts w:ascii="Times New Roman"/>
                <w:sz w:val="21"/>
              </w:rPr>
            </w:pPr>
            <w:r>
              <w:rPr>
                <w:rFonts w:ascii="Times New Roman"/>
                <w:w w:val="100"/>
                <w:sz w:val="21"/>
              </w:rPr>
              <w:t>8</w:t>
            </w:r>
          </w:p>
        </w:tc>
        <w:tc>
          <w:tcPr>
            <w:tcW w:w="2244" w:type="dxa"/>
          </w:tcPr>
          <w:p>
            <w:pPr>
              <w:pStyle w:val="TableParagraph"/>
              <w:spacing w:line="250" w:lineRule="exact" w:before="1"/>
              <w:ind w:left="88" w:right="79"/>
              <w:rPr>
                <w:sz w:val="21"/>
              </w:rPr>
            </w:pPr>
            <w:r>
              <w:rPr>
                <w:sz w:val="21"/>
              </w:rPr>
              <w:t>四氯化碳</w:t>
            </w:r>
          </w:p>
        </w:tc>
        <w:tc>
          <w:tcPr>
            <w:tcW w:w="1423" w:type="dxa"/>
          </w:tcPr>
          <w:p>
            <w:pPr>
              <w:pStyle w:val="TableParagraph"/>
              <w:spacing w:line="236" w:lineRule="exact" w:before="15"/>
              <w:ind w:left="202" w:right="189"/>
              <w:rPr>
                <w:rFonts w:ascii="Times New Roman"/>
                <w:sz w:val="21"/>
              </w:rPr>
            </w:pPr>
            <w:r>
              <w:rPr>
                <w:rFonts w:ascii="Times New Roman"/>
                <w:sz w:val="21"/>
              </w:rPr>
              <w:t>56-23-5</w:t>
            </w:r>
          </w:p>
        </w:tc>
        <w:tc>
          <w:tcPr>
            <w:tcW w:w="953" w:type="dxa"/>
          </w:tcPr>
          <w:p>
            <w:pPr>
              <w:pStyle w:val="TableParagraph"/>
              <w:spacing w:line="236" w:lineRule="exact" w:before="15"/>
              <w:ind w:left="324" w:right="316"/>
              <w:rPr>
                <w:rFonts w:ascii="Times New Roman"/>
                <w:sz w:val="21"/>
              </w:rPr>
            </w:pPr>
            <w:r>
              <w:rPr>
                <w:rFonts w:ascii="Times New Roman"/>
                <w:sz w:val="21"/>
              </w:rPr>
              <w:t>0.9</w:t>
            </w:r>
          </w:p>
        </w:tc>
        <w:tc>
          <w:tcPr>
            <w:tcW w:w="934" w:type="dxa"/>
          </w:tcPr>
          <w:p>
            <w:pPr>
              <w:pStyle w:val="TableParagraph"/>
              <w:spacing w:line="236" w:lineRule="exact" w:before="15"/>
              <w:ind w:left="184" w:right="175"/>
              <w:rPr>
                <w:rFonts w:ascii="Times New Roman"/>
                <w:sz w:val="21"/>
              </w:rPr>
            </w:pPr>
            <w:r>
              <w:rPr>
                <w:rFonts w:ascii="Times New Roman"/>
                <w:sz w:val="21"/>
              </w:rPr>
              <w:t>2.8</w:t>
            </w:r>
          </w:p>
        </w:tc>
        <w:tc>
          <w:tcPr>
            <w:tcW w:w="967" w:type="dxa"/>
          </w:tcPr>
          <w:p>
            <w:pPr>
              <w:pStyle w:val="TableParagraph"/>
              <w:spacing w:line="236" w:lineRule="exact" w:before="15"/>
              <w:ind w:left="8"/>
              <w:rPr>
                <w:rFonts w:ascii="Times New Roman"/>
                <w:sz w:val="21"/>
              </w:rPr>
            </w:pPr>
            <w:r>
              <w:rPr>
                <w:rFonts w:ascii="Times New Roman"/>
                <w:w w:val="100"/>
                <w:sz w:val="21"/>
              </w:rPr>
              <w:t>9</w:t>
            </w:r>
          </w:p>
        </w:tc>
        <w:tc>
          <w:tcPr>
            <w:tcW w:w="956" w:type="dxa"/>
          </w:tcPr>
          <w:p>
            <w:pPr>
              <w:pStyle w:val="TableParagraph"/>
              <w:spacing w:line="236" w:lineRule="exact" w:before="15"/>
              <w:ind w:left="141" w:right="131"/>
              <w:rPr>
                <w:rFonts w:ascii="Times New Roman"/>
                <w:sz w:val="21"/>
              </w:rPr>
            </w:pPr>
            <w:r>
              <w:rPr>
                <w:rFonts w:ascii="Times New Roman"/>
                <w:sz w:val="21"/>
              </w:rPr>
              <w:t>36</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left="9"/>
              <w:rPr>
                <w:rFonts w:ascii="Times New Roman"/>
                <w:sz w:val="21"/>
              </w:rPr>
            </w:pPr>
            <w:r>
              <w:rPr>
                <w:rFonts w:ascii="Times New Roman"/>
                <w:w w:val="100"/>
                <w:sz w:val="21"/>
              </w:rPr>
              <w:t>9</w:t>
            </w:r>
          </w:p>
        </w:tc>
        <w:tc>
          <w:tcPr>
            <w:tcW w:w="2244" w:type="dxa"/>
          </w:tcPr>
          <w:p>
            <w:pPr>
              <w:pStyle w:val="TableParagraph"/>
              <w:spacing w:line="250" w:lineRule="exact" w:before="3"/>
              <w:ind w:left="88" w:right="76"/>
              <w:rPr>
                <w:sz w:val="21"/>
              </w:rPr>
            </w:pPr>
            <w:r>
              <w:rPr>
                <w:sz w:val="21"/>
              </w:rPr>
              <w:t>氯仿</w:t>
            </w:r>
          </w:p>
        </w:tc>
        <w:tc>
          <w:tcPr>
            <w:tcW w:w="1423" w:type="dxa"/>
          </w:tcPr>
          <w:p>
            <w:pPr>
              <w:pStyle w:val="TableParagraph"/>
              <w:spacing w:line="236" w:lineRule="exact" w:before="17"/>
              <w:ind w:left="202" w:right="189"/>
              <w:rPr>
                <w:rFonts w:ascii="Times New Roman"/>
                <w:sz w:val="21"/>
              </w:rPr>
            </w:pPr>
            <w:r>
              <w:rPr>
                <w:rFonts w:ascii="Times New Roman"/>
                <w:sz w:val="21"/>
              </w:rPr>
              <w:t>67-66-3</w:t>
            </w:r>
          </w:p>
        </w:tc>
        <w:tc>
          <w:tcPr>
            <w:tcW w:w="953" w:type="dxa"/>
          </w:tcPr>
          <w:p>
            <w:pPr>
              <w:pStyle w:val="TableParagraph"/>
              <w:spacing w:line="236" w:lineRule="exact" w:before="17"/>
              <w:ind w:left="324" w:right="316"/>
              <w:rPr>
                <w:rFonts w:ascii="Times New Roman"/>
                <w:sz w:val="21"/>
              </w:rPr>
            </w:pPr>
            <w:r>
              <w:rPr>
                <w:rFonts w:ascii="Times New Roman"/>
                <w:sz w:val="21"/>
              </w:rPr>
              <w:t>0.3</w:t>
            </w:r>
          </w:p>
        </w:tc>
        <w:tc>
          <w:tcPr>
            <w:tcW w:w="934" w:type="dxa"/>
          </w:tcPr>
          <w:p>
            <w:pPr>
              <w:pStyle w:val="TableParagraph"/>
              <w:spacing w:line="236" w:lineRule="exact" w:before="17"/>
              <w:ind w:left="184" w:right="175"/>
              <w:rPr>
                <w:rFonts w:ascii="Times New Roman"/>
                <w:sz w:val="21"/>
              </w:rPr>
            </w:pPr>
            <w:r>
              <w:rPr>
                <w:rFonts w:ascii="Times New Roman"/>
                <w:sz w:val="21"/>
              </w:rPr>
              <w:t>0.9</w:t>
            </w:r>
          </w:p>
        </w:tc>
        <w:tc>
          <w:tcPr>
            <w:tcW w:w="967" w:type="dxa"/>
          </w:tcPr>
          <w:p>
            <w:pPr>
              <w:pStyle w:val="TableParagraph"/>
              <w:spacing w:line="236" w:lineRule="exact" w:before="17"/>
              <w:ind w:left="8"/>
              <w:rPr>
                <w:rFonts w:ascii="Times New Roman"/>
                <w:sz w:val="21"/>
              </w:rPr>
            </w:pPr>
            <w:r>
              <w:rPr>
                <w:rFonts w:ascii="Times New Roman"/>
                <w:w w:val="100"/>
                <w:sz w:val="21"/>
              </w:rPr>
              <w:t>5</w:t>
            </w:r>
          </w:p>
        </w:tc>
        <w:tc>
          <w:tcPr>
            <w:tcW w:w="956" w:type="dxa"/>
          </w:tcPr>
          <w:p>
            <w:pPr>
              <w:pStyle w:val="TableParagraph"/>
              <w:spacing w:line="236" w:lineRule="exact" w:before="17"/>
              <w:ind w:left="141" w:right="131"/>
              <w:rPr>
                <w:rFonts w:ascii="Times New Roman"/>
                <w:sz w:val="21"/>
              </w:rPr>
            </w:pPr>
            <w:r>
              <w:rPr>
                <w:rFonts w:ascii="Times New Roman"/>
                <w:sz w:val="21"/>
              </w:rPr>
              <w:t>10</w:t>
            </w:r>
          </w:p>
        </w:tc>
        <w:tc>
          <w:tcPr>
            <w:tcW w:w="1191" w:type="dxa"/>
          </w:tcPr>
          <w:p>
            <w:pPr>
              <w:pStyle w:val="TableParagraph"/>
              <w:spacing w:line="250" w:lineRule="exact" w:before="3"/>
              <w:ind w:left="155" w:right="143"/>
              <w:rPr>
                <w:sz w:val="21"/>
              </w:rPr>
            </w:pPr>
            <w:r>
              <w:rPr>
                <w:sz w:val="21"/>
              </w:rPr>
              <w:t>基本项目</w:t>
            </w:r>
          </w:p>
        </w:tc>
      </w:tr>
      <w:tr>
        <w:trPr>
          <w:trHeight w:val="273" w:hRule="atLeast"/>
        </w:trPr>
        <w:tc>
          <w:tcPr>
            <w:tcW w:w="619" w:type="dxa"/>
          </w:tcPr>
          <w:p>
            <w:pPr>
              <w:pStyle w:val="TableParagraph"/>
              <w:spacing w:line="238" w:lineRule="exact" w:before="15"/>
              <w:ind w:left="20" w:right="11"/>
              <w:rPr>
                <w:rFonts w:ascii="Times New Roman"/>
                <w:sz w:val="21"/>
              </w:rPr>
            </w:pPr>
            <w:r>
              <w:rPr>
                <w:rFonts w:ascii="Times New Roman"/>
                <w:sz w:val="21"/>
              </w:rPr>
              <w:t>10</w:t>
            </w:r>
          </w:p>
        </w:tc>
        <w:tc>
          <w:tcPr>
            <w:tcW w:w="2244" w:type="dxa"/>
          </w:tcPr>
          <w:p>
            <w:pPr>
              <w:pStyle w:val="TableParagraph"/>
              <w:spacing w:line="252" w:lineRule="exact" w:before="1"/>
              <w:ind w:left="88" w:right="76"/>
              <w:rPr>
                <w:sz w:val="21"/>
              </w:rPr>
            </w:pPr>
            <w:r>
              <w:rPr>
                <w:sz w:val="21"/>
              </w:rPr>
              <w:t>氯甲烷</w:t>
            </w:r>
          </w:p>
        </w:tc>
        <w:tc>
          <w:tcPr>
            <w:tcW w:w="1423" w:type="dxa"/>
          </w:tcPr>
          <w:p>
            <w:pPr>
              <w:pStyle w:val="TableParagraph"/>
              <w:spacing w:line="238" w:lineRule="exact" w:before="15"/>
              <w:ind w:left="202" w:right="189"/>
              <w:rPr>
                <w:rFonts w:ascii="Times New Roman"/>
                <w:sz w:val="21"/>
              </w:rPr>
            </w:pPr>
            <w:r>
              <w:rPr>
                <w:rFonts w:ascii="Times New Roman"/>
                <w:sz w:val="21"/>
              </w:rPr>
              <w:t>74-87-3</w:t>
            </w:r>
          </w:p>
        </w:tc>
        <w:tc>
          <w:tcPr>
            <w:tcW w:w="953" w:type="dxa"/>
          </w:tcPr>
          <w:p>
            <w:pPr>
              <w:pStyle w:val="TableParagraph"/>
              <w:spacing w:line="238" w:lineRule="exact" w:before="15"/>
              <w:ind w:left="324" w:right="316"/>
              <w:rPr>
                <w:rFonts w:ascii="Times New Roman"/>
                <w:sz w:val="21"/>
              </w:rPr>
            </w:pPr>
            <w:r>
              <w:rPr>
                <w:rFonts w:ascii="Times New Roman"/>
                <w:sz w:val="21"/>
              </w:rPr>
              <w:t>12</w:t>
            </w:r>
          </w:p>
        </w:tc>
        <w:tc>
          <w:tcPr>
            <w:tcW w:w="934" w:type="dxa"/>
          </w:tcPr>
          <w:p>
            <w:pPr>
              <w:pStyle w:val="TableParagraph"/>
              <w:spacing w:line="238" w:lineRule="exact" w:before="15"/>
              <w:ind w:left="179" w:right="175"/>
              <w:rPr>
                <w:rFonts w:ascii="Times New Roman"/>
                <w:sz w:val="21"/>
              </w:rPr>
            </w:pPr>
            <w:r>
              <w:rPr>
                <w:rFonts w:ascii="Times New Roman"/>
                <w:sz w:val="21"/>
              </w:rPr>
              <w:t>37</w:t>
            </w:r>
          </w:p>
        </w:tc>
        <w:tc>
          <w:tcPr>
            <w:tcW w:w="967" w:type="dxa"/>
          </w:tcPr>
          <w:p>
            <w:pPr>
              <w:pStyle w:val="TableParagraph"/>
              <w:spacing w:line="238" w:lineRule="exact" w:before="15"/>
              <w:ind w:left="141" w:right="133"/>
              <w:rPr>
                <w:rFonts w:ascii="Times New Roman"/>
                <w:sz w:val="21"/>
              </w:rPr>
            </w:pPr>
            <w:r>
              <w:rPr>
                <w:rFonts w:ascii="Times New Roman"/>
                <w:sz w:val="21"/>
              </w:rPr>
              <w:t>21</w:t>
            </w:r>
          </w:p>
        </w:tc>
        <w:tc>
          <w:tcPr>
            <w:tcW w:w="956" w:type="dxa"/>
          </w:tcPr>
          <w:p>
            <w:pPr>
              <w:pStyle w:val="TableParagraph"/>
              <w:spacing w:line="238" w:lineRule="exact" w:before="15"/>
              <w:ind w:right="307"/>
              <w:jc w:val="right"/>
              <w:rPr>
                <w:rFonts w:ascii="Times New Roman"/>
                <w:sz w:val="21"/>
              </w:rPr>
            </w:pPr>
            <w:r>
              <w:rPr>
                <w:rFonts w:ascii="Times New Roman"/>
                <w:sz w:val="21"/>
              </w:rPr>
              <w:t>120</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left="20" w:right="11"/>
              <w:rPr>
                <w:rFonts w:ascii="Times New Roman"/>
                <w:sz w:val="21"/>
              </w:rPr>
            </w:pPr>
            <w:r>
              <w:rPr>
                <w:rFonts w:ascii="Times New Roman"/>
                <w:sz w:val="21"/>
              </w:rPr>
              <w:t>11</w:t>
            </w:r>
          </w:p>
        </w:tc>
        <w:tc>
          <w:tcPr>
            <w:tcW w:w="2244" w:type="dxa"/>
          </w:tcPr>
          <w:p>
            <w:pPr>
              <w:pStyle w:val="TableParagraph"/>
              <w:spacing w:line="250" w:lineRule="exact" w:before="1"/>
              <w:ind w:left="88" w:right="76"/>
              <w:rPr>
                <w:sz w:val="21"/>
              </w:rPr>
            </w:pPr>
            <w:r>
              <w:rPr>
                <w:rFonts w:ascii="Times New Roman" w:eastAsia="Times New Roman"/>
                <w:sz w:val="21"/>
              </w:rPr>
              <w:t>1,1-</w:t>
            </w:r>
            <w:r>
              <w:rPr>
                <w:sz w:val="21"/>
              </w:rPr>
              <w:t>二氯乙烷</w:t>
            </w:r>
          </w:p>
        </w:tc>
        <w:tc>
          <w:tcPr>
            <w:tcW w:w="1423" w:type="dxa"/>
          </w:tcPr>
          <w:p>
            <w:pPr>
              <w:pStyle w:val="TableParagraph"/>
              <w:spacing w:line="236" w:lineRule="exact" w:before="15"/>
              <w:ind w:left="202" w:right="189"/>
              <w:rPr>
                <w:rFonts w:ascii="Times New Roman"/>
                <w:sz w:val="21"/>
              </w:rPr>
            </w:pPr>
            <w:r>
              <w:rPr>
                <w:rFonts w:ascii="Times New Roman"/>
                <w:sz w:val="21"/>
              </w:rPr>
              <w:t>75-34-3</w:t>
            </w:r>
          </w:p>
        </w:tc>
        <w:tc>
          <w:tcPr>
            <w:tcW w:w="953" w:type="dxa"/>
          </w:tcPr>
          <w:p>
            <w:pPr>
              <w:pStyle w:val="TableParagraph"/>
              <w:spacing w:line="236" w:lineRule="exact" w:before="15"/>
              <w:ind w:left="8"/>
              <w:rPr>
                <w:rFonts w:ascii="Times New Roman"/>
                <w:sz w:val="21"/>
              </w:rPr>
            </w:pPr>
            <w:r>
              <w:rPr>
                <w:rFonts w:ascii="Times New Roman"/>
                <w:w w:val="100"/>
                <w:sz w:val="21"/>
              </w:rPr>
              <w:t>3</w:t>
            </w:r>
          </w:p>
        </w:tc>
        <w:tc>
          <w:tcPr>
            <w:tcW w:w="934" w:type="dxa"/>
          </w:tcPr>
          <w:p>
            <w:pPr>
              <w:pStyle w:val="TableParagraph"/>
              <w:spacing w:line="236" w:lineRule="exact" w:before="15"/>
              <w:ind w:left="4"/>
              <w:rPr>
                <w:rFonts w:ascii="Times New Roman"/>
                <w:sz w:val="21"/>
              </w:rPr>
            </w:pPr>
            <w:r>
              <w:rPr>
                <w:rFonts w:ascii="Times New Roman"/>
                <w:w w:val="100"/>
                <w:sz w:val="21"/>
              </w:rPr>
              <w:t>9</w:t>
            </w:r>
          </w:p>
        </w:tc>
        <w:tc>
          <w:tcPr>
            <w:tcW w:w="967" w:type="dxa"/>
          </w:tcPr>
          <w:p>
            <w:pPr>
              <w:pStyle w:val="TableParagraph"/>
              <w:spacing w:line="236" w:lineRule="exact" w:before="15"/>
              <w:ind w:left="141" w:right="133"/>
              <w:rPr>
                <w:rFonts w:ascii="Times New Roman"/>
                <w:sz w:val="21"/>
              </w:rPr>
            </w:pPr>
            <w:r>
              <w:rPr>
                <w:rFonts w:ascii="Times New Roman"/>
                <w:sz w:val="21"/>
              </w:rPr>
              <w:t>20</w:t>
            </w:r>
          </w:p>
        </w:tc>
        <w:tc>
          <w:tcPr>
            <w:tcW w:w="956" w:type="dxa"/>
          </w:tcPr>
          <w:p>
            <w:pPr>
              <w:pStyle w:val="TableParagraph"/>
              <w:spacing w:line="236" w:lineRule="exact" w:before="15"/>
              <w:ind w:right="307"/>
              <w:jc w:val="right"/>
              <w:rPr>
                <w:rFonts w:ascii="Times New Roman"/>
                <w:sz w:val="21"/>
              </w:rPr>
            </w:pPr>
            <w:r>
              <w:rPr>
                <w:rFonts w:ascii="Times New Roman"/>
                <w:sz w:val="21"/>
              </w:rPr>
              <w:t>100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left="20" w:right="11"/>
              <w:rPr>
                <w:rFonts w:ascii="Times New Roman"/>
                <w:sz w:val="21"/>
              </w:rPr>
            </w:pPr>
            <w:r>
              <w:rPr>
                <w:rFonts w:ascii="Times New Roman"/>
                <w:sz w:val="21"/>
              </w:rPr>
              <w:t>12</w:t>
            </w:r>
          </w:p>
        </w:tc>
        <w:tc>
          <w:tcPr>
            <w:tcW w:w="2244" w:type="dxa"/>
          </w:tcPr>
          <w:p>
            <w:pPr>
              <w:pStyle w:val="TableParagraph"/>
              <w:spacing w:line="250" w:lineRule="exact" w:before="3"/>
              <w:ind w:left="88" w:right="76"/>
              <w:rPr>
                <w:sz w:val="21"/>
              </w:rPr>
            </w:pPr>
            <w:r>
              <w:rPr>
                <w:rFonts w:ascii="Times New Roman" w:eastAsia="Times New Roman"/>
                <w:sz w:val="21"/>
              </w:rPr>
              <w:t>1,2-</w:t>
            </w:r>
            <w:r>
              <w:rPr>
                <w:sz w:val="21"/>
              </w:rPr>
              <w:t>二氯乙烷</w:t>
            </w:r>
          </w:p>
        </w:tc>
        <w:tc>
          <w:tcPr>
            <w:tcW w:w="1423" w:type="dxa"/>
          </w:tcPr>
          <w:p>
            <w:pPr>
              <w:pStyle w:val="TableParagraph"/>
              <w:spacing w:line="236" w:lineRule="exact" w:before="17"/>
              <w:ind w:left="202" w:right="189"/>
              <w:rPr>
                <w:rFonts w:ascii="Times New Roman"/>
                <w:sz w:val="21"/>
              </w:rPr>
            </w:pPr>
            <w:r>
              <w:rPr>
                <w:rFonts w:ascii="Times New Roman"/>
                <w:sz w:val="21"/>
              </w:rPr>
              <w:t>107-06-2</w:t>
            </w:r>
          </w:p>
        </w:tc>
        <w:tc>
          <w:tcPr>
            <w:tcW w:w="953" w:type="dxa"/>
          </w:tcPr>
          <w:p>
            <w:pPr>
              <w:pStyle w:val="TableParagraph"/>
              <w:spacing w:line="236" w:lineRule="exact" w:before="17"/>
              <w:ind w:right="280"/>
              <w:jc w:val="right"/>
              <w:rPr>
                <w:rFonts w:ascii="Times New Roman"/>
                <w:sz w:val="21"/>
              </w:rPr>
            </w:pPr>
            <w:r>
              <w:rPr>
                <w:rFonts w:ascii="Times New Roman"/>
                <w:sz w:val="21"/>
              </w:rPr>
              <w:t>0.52</w:t>
            </w:r>
          </w:p>
        </w:tc>
        <w:tc>
          <w:tcPr>
            <w:tcW w:w="934" w:type="dxa"/>
          </w:tcPr>
          <w:p>
            <w:pPr>
              <w:pStyle w:val="TableParagraph"/>
              <w:spacing w:line="236" w:lineRule="exact" w:before="17"/>
              <w:ind w:left="4"/>
              <w:rPr>
                <w:rFonts w:ascii="Times New Roman"/>
                <w:sz w:val="21"/>
              </w:rPr>
            </w:pPr>
            <w:r>
              <w:rPr>
                <w:rFonts w:ascii="Times New Roman"/>
                <w:w w:val="100"/>
                <w:sz w:val="21"/>
              </w:rPr>
              <w:t>5</w:t>
            </w:r>
          </w:p>
        </w:tc>
        <w:tc>
          <w:tcPr>
            <w:tcW w:w="967" w:type="dxa"/>
          </w:tcPr>
          <w:p>
            <w:pPr>
              <w:pStyle w:val="TableParagraph"/>
              <w:spacing w:line="236" w:lineRule="exact" w:before="17"/>
              <w:ind w:left="8"/>
              <w:rPr>
                <w:rFonts w:ascii="Times New Roman"/>
                <w:sz w:val="21"/>
              </w:rPr>
            </w:pPr>
            <w:r>
              <w:rPr>
                <w:rFonts w:ascii="Times New Roman"/>
                <w:w w:val="100"/>
                <w:sz w:val="21"/>
              </w:rPr>
              <w:t>6</w:t>
            </w:r>
          </w:p>
        </w:tc>
        <w:tc>
          <w:tcPr>
            <w:tcW w:w="956" w:type="dxa"/>
          </w:tcPr>
          <w:p>
            <w:pPr>
              <w:pStyle w:val="TableParagraph"/>
              <w:spacing w:line="236" w:lineRule="exact" w:before="17"/>
              <w:ind w:left="141" w:right="131"/>
              <w:rPr>
                <w:rFonts w:ascii="Times New Roman"/>
                <w:sz w:val="21"/>
              </w:rPr>
            </w:pPr>
            <w:r>
              <w:rPr>
                <w:rFonts w:ascii="Times New Roman"/>
                <w:sz w:val="21"/>
              </w:rPr>
              <w:t>21</w:t>
            </w:r>
          </w:p>
        </w:tc>
        <w:tc>
          <w:tcPr>
            <w:tcW w:w="1191" w:type="dxa"/>
          </w:tcPr>
          <w:p>
            <w:pPr>
              <w:pStyle w:val="TableParagraph"/>
              <w:spacing w:line="250" w:lineRule="exact" w:before="3"/>
              <w:ind w:left="155" w:right="143"/>
              <w:rPr>
                <w:sz w:val="21"/>
              </w:rPr>
            </w:pPr>
            <w:r>
              <w:rPr>
                <w:sz w:val="21"/>
              </w:rPr>
              <w:t>基本项目</w:t>
            </w:r>
          </w:p>
        </w:tc>
      </w:tr>
    </w:tbl>
    <w:p>
      <w:pPr>
        <w:spacing w:after="0" w:line="250" w:lineRule="exact"/>
        <w:rPr>
          <w:sz w:val="21"/>
        </w:rPr>
        <w:sectPr>
          <w:pgSz w:w="11910" w:h="16840"/>
          <w:pgMar w:header="874" w:footer="944" w:top="1340" w:bottom="1140" w:left="1180" w:right="1180"/>
        </w:sectPr>
      </w:pPr>
    </w:p>
    <w:p>
      <w:pPr>
        <w:pStyle w:val="BodyText"/>
        <w:spacing w:before="10"/>
        <w:rPr>
          <w:rFonts w:ascii="Times New Roman"/>
          <w:b/>
          <w:sz w:val="5"/>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2244"/>
        <w:gridCol w:w="1423"/>
        <w:gridCol w:w="953"/>
        <w:gridCol w:w="934"/>
        <w:gridCol w:w="967"/>
        <w:gridCol w:w="956"/>
        <w:gridCol w:w="1191"/>
      </w:tblGrid>
      <w:tr>
        <w:trPr>
          <w:trHeight w:val="270" w:hRule="atLeast"/>
        </w:trPr>
        <w:tc>
          <w:tcPr>
            <w:tcW w:w="619" w:type="dxa"/>
            <w:vMerge w:val="restart"/>
          </w:tcPr>
          <w:p>
            <w:pPr>
              <w:pStyle w:val="TableParagraph"/>
              <w:spacing w:line="242" w:lineRule="auto" w:before="143"/>
              <w:ind w:left="203" w:right="193"/>
              <w:jc w:val="left"/>
              <w:rPr>
                <w:b/>
                <w:sz w:val="21"/>
              </w:rPr>
            </w:pPr>
            <w:r>
              <w:rPr>
                <w:b/>
                <w:sz w:val="21"/>
              </w:rPr>
              <w:t>序号</w:t>
            </w:r>
          </w:p>
        </w:tc>
        <w:tc>
          <w:tcPr>
            <w:tcW w:w="2244" w:type="dxa"/>
            <w:vMerge w:val="restart"/>
          </w:tcPr>
          <w:p>
            <w:pPr>
              <w:pStyle w:val="TableParagraph"/>
              <w:spacing w:before="3"/>
              <w:jc w:val="left"/>
              <w:rPr>
                <w:rFonts w:ascii="Times New Roman"/>
                <w:b/>
                <w:sz w:val="24"/>
              </w:rPr>
            </w:pPr>
          </w:p>
          <w:p>
            <w:pPr>
              <w:pStyle w:val="TableParagraph"/>
              <w:spacing w:before="1"/>
              <w:ind w:left="595"/>
              <w:jc w:val="left"/>
              <w:rPr>
                <w:b/>
                <w:sz w:val="21"/>
              </w:rPr>
            </w:pPr>
            <w:r>
              <w:rPr>
                <w:b/>
                <w:sz w:val="21"/>
              </w:rPr>
              <w:t>污染物项目</w:t>
            </w:r>
          </w:p>
        </w:tc>
        <w:tc>
          <w:tcPr>
            <w:tcW w:w="1423" w:type="dxa"/>
            <w:vMerge w:val="restart"/>
          </w:tcPr>
          <w:p>
            <w:pPr>
              <w:pStyle w:val="TableParagraph"/>
              <w:spacing w:before="3"/>
              <w:jc w:val="left"/>
              <w:rPr>
                <w:rFonts w:ascii="Times New Roman"/>
                <w:b/>
                <w:sz w:val="24"/>
              </w:rPr>
            </w:pPr>
          </w:p>
          <w:p>
            <w:pPr>
              <w:pStyle w:val="TableParagraph"/>
              <w:spacing w:before="1"/>
              <w:ind w:left="290"/>
              <w:jc w:val="left"/>
              <w:rPr>
                <w:b/>
                <w:sz w:val="21"/>
              </w:rPr>
            </w:pPr>
            <w:r>
              <w:rPr>
                <w:rFonts w:ascii="Times New Roman" w:eastAsia="Times New Roman"/>
                <w:b/>
                <w:sz w:val="21"/>
              </w:rPr>
              <w:t>CAS</w:t>
            </w:r>
            <w:r>
              <w:rPr>
                <w:b/>
                <w:sz w:val="21"/>
              </w:rPr>
              <w:t>编号</w:t>
            </w:r>
          </w:p>
        </w:tc>
        <w:tc>
          <w:tcPr>
            <w:tcW w:w="1887" w:type="dxa"/>
            <w:gridSpan w:val="2"/>
          </w:tcPr>
          <w:p>
            <w:pPr>
              <w:pStyle w:val="TableParagraph"/>
              <w:spacing w:line="250" w:lineRule="exact" w:before="1"/>
              <w:ind w:left="574"/>
              <w:jc w:val="left"/>
              <w:rPr>
                <w:rFonts w:ascii="Times New Roman" w:eastAsia="Times New Roman"/>
                <w:b/>
                <w:sz w:val="21"/>
              </w:rPr>
            </w:pPr>
            <w:r>
              <w:rPr>
                <w:b/>
                <w:sz w:val="21"/>
              </w:rPr>
              <w:t>筛选值</w:t>
            </w:r>
            <w:r>
              <w:rPr>
                <w:rFonts w:ascii="Times New Roman" w:eastAsia="Times New Roman"/>
                <w:b/>
                <w:sz w:val="21"/>
              </w:rPr>
              <w:t>*</w:t>
            </w:r>
          </w:p>
        </w:tc>
        <w:tc>
          <w:tcPr>
            <w:tcW w:w="1923" w:type="dxa"/>
            <w:gridSpan w:val="2"/>
          </w:tcPr>
          <w:p>
            <w:pPr>
              <w:pStyle w:val="TableParagraph"/>
              <w:spacing w:line="250" w:lineRule="exact" w:before="1"/>
              <w:ind w:left="538"/>
              <w:jc w:val="left"/>
              <w:rPr>
                <w:rFonts w:ascii="Times New Roman" w:eastAsia="Times New Roman"/>
                <w:b/>
                <w:sz w:val="21"/>
              </w:rPr>
            </w:pPr>
            <w:r>
              <w:rPr>
                <w:b/>
                <w:sz w:val="21"/>
              </w:rPr>
              <w:t>管制值</w:t>
            </w:r>
            <w:r>
              <w:rPr>
                <w:rFonts w:ascii="Times New Roman" w:eastAsia="Times New Roman"/>
                <w:b/>
                <w:sz w:val="21"/>
              </w:rPr>
              <w:t>**</w:t>
            </w:r>
          </w:p>
        </w:tc>
        <w:tc>
          <w:tcPr>
            <w:tcW w:w="1191" w:type="dxa"/>
            <w:vMerge w:val="restart"/>
          </w:tcPr>
          <w:p>
            <w:pPr>
              <w:pStyle w:val="TableParagraph"/>
              <w:spacing w:before="3"/>
              <w:jc w:val="left"/>
              <w:rPr>
                <w:rFonts w:ascii="Times New Roman"/>
                <w:b/>
                <w:sz w:val="24"/>
              </w:rPr>
            </w:pPr>
          </w:p>
          <w:p>
            <w:pPr>
              <w:pStyle w:val="TableParagraph"/>
              <w:spacing w:before="1"/>
              <w:ind w:left="384"/>
              <w:jc w:val="left"/>
              <w:rPr>
                <w:b/>
                <w:sz w:val="21"/>
              </w:rPr>
            </w:pPr>
            <w:r>
              <w:rPr>
                <w:b/>
                <w:sz w:val="21"/>
              </w:rPr>
              <w:t>备注</w:t>
            </w:r>
          </w:p>
        </w:tc>
      </w:tr>
      <w:tr>
        <w:trPr>
          <w:trHeight w:val="547" w:hRule="atLeast"/>
        </w:trPr>
        <w:tc>
          <w:tcPr>
            <w:tcW w:w="619" w:type="dxa"/>
            <w:vMerge/>
            <w:tcBorders>
              <w:top w:val="nil"/>
            </w:tcBorders>
          </w:tcPr>
          <w:p>
            <w:pPr>
              <w:rPr>
                <w:sz w:val="2"/>
                <w:szCs w:val="2"/>
              </w:rPr>
            </w:pPr>
          </w:p>
        </w:tc>
        <w:tc>
          <w:tcPr>
            <w:tcW w:w="2244" w:type="dxa"/>
            <w:vMerge/>
            <w:tcBorders>
              <w:top w:val="nil"/>
            </w:tcBorders>
          </w:tcPr>
          <w:p>
            <w:pPr>
              <w:rPr>
                <w:sz w:val="2"/>
                <w:szCs w:val="2"/>
              </w:rPr>
            </w:pPr>
          </w:p>
        </w:tc>
        <w:tc>
          <w:tcPr>
            <w:tcW w:w="1423" w:type="dxa"/>
            <w:vMerge/>
            <w:tcBorders>
              <w:top w:val="nil"/>
            </w:tcBorders>
          </w:tcPr>
          <w:p>
            <w:pPr>
              <w:rPr>
                <w:sz w:val="2"/>
                <w:szCs w:val="2"/>
              </w:rPr>
            </w:pPr>
          </w:p>
        </w:tc>
        <w:tc>
          <w:tcPr>
            <w:tcW w:w="953" w:type="dxa"/>
          </w:tcPr>
          <w:p>
            <w:pPr>
              <w:pStyle w:val="TableParagraph"/>
              <w:spacing w:line="270" w:lineRule="atLeast" w:before="3"/>
              <w:ind w:left="264" w:right="148" w:hanging="106"/>
              <w:jc w:val="left"/>
              <w:rPr>
                <w:b/>
                <w:sz w:val="21"/>
              </w:rPr>
            </w:pPr>
            <w:r>
              <w:rPr>
                <w:b/>
                <w:sz w:val="21"/>
              </w:rPr>
              <w:t>第一类用地</w:t>
            </w:r>
          </w:p>
        </w:tc>
        <w:tc>
          <w:tcPr>
            <w:tcW w:w="934" w:type="dxa"/>
          </w:tcPr>
          <w:p>
            <w:pPr>
              <w:pStyle w:val="TableParagraph"/>
              <w:spacing w:line="270" w:lineRule="atLeast" w:before="3"/>
              <w:ind w:left="252" w:right="141" w:hanging="106"/>
              <w:jc w:val="left"/>
              <w:rPr>
                <w:b/>
                <w:sz w:val="21"/>
              </w:rPr>
            </w:pPr>
            <w:r>
              <w:rPr>
                <w:b/>
                <w:sz w:val="21"/>
              </w:rPr>
              <w:t>第二类用地</w:t>
            </w:r>
          </w:p>
        </w:tc>
        <w:tc>
          <w:tcPr>
            <w:tcW w:w="967" w:type="dxa"/>
          </w:tcPr>
          <w:p>
            <w:pPr>
              <w:pStyle w:val="TableParagraph"/>
              <w:spacing w:line="270" w:lineRule="atLeast" w:before="3"/>
              <w:ind w:left="271" w:right="155" w:hanging="106"/>
              <w:jc w:val="left"/>
              <w:rPr>
                <w:b/>
                <w:sz w:val="21"/>
              </w:rPr>
            </w:pPr>
            <w:r>
              <w:rPr>
                <w:b/>
                <w:sz w:val="21"/>
              </w:rPr>
              <w:t>第一类用地</w:t>
            </w:r>
          </w:p>
        </w:tc>
        <w:tc>
          <w:tcPr>
            <w:tcW w:w="956" w:type="dxa"/>
          </w:tcPr>
          <w:p>
            <w:pPr>
              <w:pStyle w:val="TableParagraph"/>
              <w:spacing w:line="270" w:lineRule="atLeast" w:before="3"/>
              <w:ind w:left="267" w:right="148" w:hanging="106"/>
              <w:jc w:val="left"/>
              <w:rPr>
                <w:b/>
                <w:sz w:val="21"/>
              </w:rPr>
            </w:pPr>
            <w:r>
              <w:rPr>
                <w:b/>
                <w:sz w:val="21"/>
              </w:rPr>
              <w:t>第二类用地</w:t>
            </w:r>
          </w:p>
        </w:tc>
        <w:tc>
          <w:tcPr>
            <w:tcW w:w="1191" w:type="dxa"/>
            <w:vMerge/>
            <w:tcBorders>
              <w:top w:val="nil"/>
            </w:tcBorders>
          </w:tcPr>
          <w:p>
            <w:pPr>
              <w:rPr>
                <w:sz w:val="2"/>
                <w:szCs w:val="2"/>
              </w:rPr>
            </w:pP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13</w:t>
            </w:r>
          </w:p>
        </w:tc>
        <w:tc>
          <w:tcPr>
            <w:tcW w:w="2244" w:type="dxa"/>
          </w:tcPr>
          <w:p>
            <w:pPr>
              <w:pStyle w:val="TableParagraph"/>
              <w:spacing w:line="250" w:lineRule="exact" w:before="1"/>
              <w:ind w:left="88" w:right="76"/>
              <w:rPr>
                <w:sz w:val="21"/>
              </w:rPr>
            </w:pPr>
            <w:r>
              <w:rPr>
                <w:rFonts w:ascii="Times New Roman" w:eastAsia="Times New Roman"/>
                <w:sz w:val="21"/>
              </w:rPr>
              <w:t>1,1-</w:t>
            </w:r>
            <w:r>
              <w:rPr>
                <w:sz w:val="21"/>
              </w:rPr>
              <w:t>二氯乙烯</w:t>
            </w:r>
          </w:p>
        </w:tc>
        <w:tc>
          <w:tcPr>
            <w:tcW w:w="1423" w:type="dxa"/>
          </w:tcPr>
          <w:p>
            <w:pPr>
              <w:pStyle w:val="TableParagraph"/>
              <w:spacing w:line="236" w:lineRule="exact" w:before="15"/>
              <w:ind w:left="202" w:right="189"/>
              <w:rPr>
                <w:rFonts w:ascii="Times New Roman"/>
                <w:sz w:val="21"/>
              </w:rPr>
            </w:pPr>
            <w:r>
              <w:rPr>
                <w:rFonts w:ascii="Times New Roman"/>
                <w:sz w:val="21"/>
              </w:rPr>
              <w:t>75-35-4</w:t>
            </w:r>
          </w:p>
        </w:tc>
        <w:tc>
          <w:tcPr>
            <w:tcW w:w="953" w:type="dxa"/>
          </w:tcPr>
          <w:p>
            <w:pPr>
              <w:pStyle w:val="TableParagraph"/>
              <w:spacing w:line="236" w:lineRule="exact" w:before="15"/>
              <w:ind w:left="324" w:right="316"/>
              <w:rPr>
                <w:rFonts w:ascii="Times New Roman"/>
                <w:sz w:val="21"/>
              </w:rPr>
            </w:pPr>
            <w:r>
              <w:rPr>
                <w:rFonts w:ascii="Times New Roman"/>
                <w:sz w:val="21"/>
              </w:rPr>
              <w:t>12</w:t>
            </w:r>
          </w:p>
        </w:tc>
        <w:tc>
          <w:tcPr>
            <w:tcW w:w="934" w:type="dxa"/>
          </w:tcPr>
          <w:p>
            <w:pPr>
              <w:pStyle w:val="TableParagraph"/>
              <w:spacing w:line="236" w:lineRule="exact" w:before="15"/>
              <w:ind w:left="179" w:right="175"/>
              <w:rPr>
                <w:rFonts w:ascii="Times New Roman"/>
                <w:sz w:val="21"/>
              </w:rPr>
            </w:pPr>
            <w:r>
              <w:rPr>
                <w:rFonts w:ascii="Times New Roman"/>
                <w:sz w:val="21"/>
              </w:rPr>
              <w:t>66</w:t>
            </w:r>
          </w:p>
        </w:tc>
        <w:tc>
          <w:tcPr>
            <w:tcW w:w="967" w:type="dxa"/>
          </w:tcPr>
          <w:p>
            <w:pPr>
              <w:pStyle w:val="TableParagraph"/>
              <w:spacing w:line="236" w:lineRule="exact" w:before="15"/>
              <w:ind w:left="141" w:right="133"/>
              <w:rPr>
                <w:rFonts w:ascii="Times New Roman"/>
                <w:sz w:val="21"/>
              </w:rPr>
            </w:pPr>
            <w:r>
              <w:rPr>
                <w:rFonts w:ascii="Times New Roman"/>
                <w:sz w:val="21"/>
              </w:rPr>
              <w:t>40</w:t>
            </w:r>
          </w:p>
        </w:tc>
        <w:tc>
          <w:tcPr>
            <w:tcW w:w="956" w:type="dxa"/>
          </w:tcPr>
          <w:p>
            <w:pPr>
              <w:pStyle w:val="TableParagraph"/>
              <w:spacing w:line="236" w:lineRule="exact" w:before="15"/>
              <w:ind w:right="307"/>
              <w:jc w:val="right"/>
              <w:rPr>
                <w:rFonts w:ascii="Times New Roman"/>
                <w:sz w:val="21"/>
              </w:rPr>
            </w:pPr>
            <w:r>
              <w:rPr>
                <w:rFonts w:ascii="Times New Roman"/>
                <w:sz w:val="21"/>
              </w:rPr>
              <w:t>200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14</w:t>
            </w:r>
          </w:p>
        </w:tc>
        <w:tc>
          <w:tcPr>
            <w:tcW w:w="2244" w:type="dxa"/>
          </w:tcPr>
          <w:p>
            <w:pPr>
              <w:pStyle w:val="TableParagraph"/>
              <w:spacing w:line="252" w:lineRule="exact" w:before="1"/>
              <w:ind w:left="88" w:right="76"/>
              <w:rPr>
                <w:sz w:val="21"/>
              </w:rPr>
            </w:pPr>
            <w:r>
              <w:rPr>
                <w:sz w:val="21"/>
              </w:rPr>
              <w:t>顺</w:t>
            </w:r>
            <w:r>
              <w:rPr>
                <w:rFonts w:ascii="Times New Roman" w:eastAsia="Times New Roman"/>
                <w:sz w:val="21"/>
              </w:rPr>
              <w:t>-1,2-</w:t>
            </w:r>
            <w:r>
              <w:rPr>
                <w:sz w:val="21"/>
              </w:rPr>
              <w:t>二氯乙烯</w:t>
            </w:r>
          </w:p>
        </w:tc>
        <w:tc>
          <w:tcPr>
            <w:tcW w:w="1423" w:type="dxa"/>
          </w:tcPr>
          <w:p>
            <w:pPr>
              <w:pStyle w:val="TableParagraph"/>
              <w:spacing w:line="238" w:lineRule="exact" w:before="15"/>
              <w:ind w:left="202" w:right="189"/>
              <w:rPr>
                <w:rFonts w:ascii="Times New Roman"/>
                <w:sz w:val="21"/>
              </w:rPr>
            </w:pPr>
            <w:r>
              <w:rPr>
                <w:rFonts w:ascii="Times New Roman"/>
                <w:sz w:val="21"/>
              </w:rPr>
              <w:t>156-59-2</w:t>
            </w:r>
          </w:p>
        </w:tc>
        <w:tc>
          <w:tcPr>
            <w:tcW w:w="953" w:type="dxa"/>
          </w:tcPr>
          <w:p>
            <w:pPr>
              <w:pStyle w:val="TableParagraph"/>
              <w:spacing w:line="238" w:lineRule="exact" w:before="15"/>
              <w:ind w:left="324" w:right="316"/>
              <w:rPr>
                <w:rFonts w:ascii="Times New Roman"/>
                <w:sz w:val="21"/>
              </w:rPr>
            </w:pPr>
            <w:r>
              <w:rPr>
                <w:rFonts w:ascii="Times New Roman"/>
                <w:sz w:val="21"/>
              </w:rPr>
              <w:t>66</w:t>
            </w:r>
          </w:p>
        </w:tc>
        <w:tc>
          <w:tcPr>
            <w:tcW w:w="934" w:type="dxa"/>
          </w:tcPr>
          <w:p>
            <w:pPr>
              <w:pStyle w:val="TableParagraph"/>
              <w:spacing w:line="238" w:lineRule="exact" w:before="15"/>
              <w:ind w:right="297"/>
              <w:jc w:val="right"/>
              <w:rPr>
                <w:rFonts w:ascii="Times New Roman"/>
                <w:sz w:val="21"/>
              </w:rPr>
            </w:pPr>
            <w:r>
              <w:rPr>
                <w:rFonts w:ascii="Times New Roman"/>
                <w:sz w:val="21"/>
              </w:rPr>
              <w:t>596</w:t>
            </w:r>
          </w:p>
        </w:tc>
        <w:tc>
          <w:tcPr>
            <w:tcW w:w="967" w:type="dxa"/>
          </w:tcPr>
          <w:p>
            <w:pPr>
              <w:pStyle w:val="TableParagraph"/>
              <w:spacing w:line="238" w:lineRule="exact" w:before="15"/>
              <w:ind w:right="313"/>
              <w:jc w:val="right"/>
              <w:rPr>
                <w:rFonts w:ascii="Times New Roman"/>
                <w:sz w:val="21"/>
              </w:rPr>
            </w:pPr>
            <w:r>
              <w:rPr>
                <w:rFonts w:ascii="Times New Roman"/>
                <w:sz w:val="21"/>
              </w:rPr>
              <w:t>200</w:t>
            </w:r>
          </w:p>
        </w:tc>
        <w:tc>
          <w:tcPr>
            <w:tcW w:w="956" w:type="dxa"/>
          </w:tcPr>
          <w:p>
            <w:pPr>
              <w:pStyle w:val="TableParagraph"/>
              <w:spacing w:line="238" w:lineRule="exact" w:before="15"/>
              <w:ind w:right="254"/>
              <w:jc w:val="right"/>
              <w:rPr>
                <w:rFonts w:ascii="Times New Roman"/>
                <w:sz w:val="21"/>
              </w:rPr>
            </w:pPr>
            <w:r>
              <w:rPr>
                <w:rFonts w:ascii="Times New Roman"/>
                <w:sz w:val="21"/>
              </w:rPr>
              <w:t>2000</w:t>
            </w:r>
          </w:p>
        </w:tc>
        <w:tc>
          <w:tcPr>
            <w:tcW w:w="1191" w:type="dxa"/>
          </w:tcPr>
          <w:p>
            <w:pPr>
              <w:pStyle w:val="TableParagraph"/>
              <w:spacing w:line="252"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15</w:t>
            </w:r>
          </w:p>
        </w:tc>
        <w:tc>
          <w:tcPr>
            <w:tcW w:w="2244" w:type="dxa"/>
          </w:tcPr>
          <w:p>
            <w:pPr>
              <w:pStyle w:val="TableParagraph"/>
              <w:spacing w:line="252" w:lineRule="exact" w:before="1"/>
              <w:ind w:left="88" w:right="76"/>
              <w:rPr>
                <w:sz w:val="21"/>
              </w:rPr>
            </w:pPr>
            <w:r>
              <w:rPr>
                <w:sz w:val="21"/>
              </w:rPr>
              <w:t>反</w:t>
            </w:r>
            <w:r>
              <w:rPr>
                <w:rFonts w:ascii="Times New Roman" w:eastAsia="Times New Roman"/>
                <w:sz w:val="21"/>
              </w:rPr>
              <w:t>-1,2-</w:t>
            </w:r>
            <w:r>
              <w:rPr>
                <w:sz w:val="21"/>
              </w:rPr>
              <w:t>二氯乙烯</w:t>
            </w:r>
          </w:p>
        </w:tc>
        <w:tc>
          <w:tcPr>
            <w:tcW w:w="1423" w:type="dxa"/>
          </w:tcPr>
          <w:p>
            <w:pPr>
              <w:pStyle w:val="TableParagraph"/>
              <w:spacing w:line="238" w:lineRule="exact" w:before="15"/>
              <w:ind w:left="202" w:right="189"/>
              <w:rPr>
                <w:rFonts w:ascii="Times New Roman"/>
                <w:sz w:val="21"/>
              </w:rPr>
            </w:pPr>
            <w:r>
              <w:rPr>
                <w:rFonts w:ascii="Times New Roman"/>
                <w:sz w:val="21"/>
              </w:rPr>
              <w:t>156-60-5</w:t>
            </w:r>
          </w:p>
        </w:tc>
        <w:tc>
          <w:tcPr>
            <w:tcW w:w="953" w:type="dxa"/>
          </w:tcPr>
          <w:p>
            <w:pPr>
              <w:pStyle w:val="TableParagraph"/>
              <w:spacing w:line="238" w:lineRule="exact" w:before="15"/>
              <w:ind w:left="324" w:right="316"/>
              <w:rPr>
                <w:rFonts w:ascii="Times New Roman"/>
                <w:sz w:val="21"/>
              </w:rPr>
            </w:pPr>
            <w:r>
              <w:rPr>
                <w:rFonts w:ascii="Times New Roman"/>
                <w:sz w:val="21"/>
              </w:rPr>
              <w:t>10</w:t>
            </w:r>
          </w:p>
        </w:tc>
        <w:tc>
          <w:tcPr>
            <w:tcW w:w="934" w:type="dxa"/>
          </w:tcPr>
          <w:p>
            <w:pPr>
              <w:pStyle w:val="TableParagraph"/>
              <w:spacing w:line="238" w:lineRule="exact" w:before="15"/>
              <w:ind w:left="179" w:right="175"/>
              <w:rPr>
                <w:rFonts w:ascii="Times New Roman"/>
                <w:sz w:val="21"/>
              </w:rPr>
            </w:pPr>
            <w:r>
              <w:rPr>
                <w:rFonts w:ascii="Times New Roman"/>
                <w:sz w:val="21"/>
              </w:rPr>
              <w:t>54</w:t>
            </w:r>
          </w:p>
        </w:tc>
        <w:tc>
          <w:tcPr>
            <w:tcW w:w="967" w:type="dxa"/>
          </w:tcPr>
          <w:p>
            <w:pPr>
              <w:pStyle w:val="TableParagraph"/>
              <w:spacing w:line="238" w:lineRule="exact" w:before="15"/>
              <w:ind w:left="141" w:right="133"/>
              <w:rPr>
                <w:rFonts w:ascii="Times New Roman"/>
                <w:sz w:val="21"/>
              </w:rPr>
            </w:pPr>
            <w:r>
              <w:rPr>
                <w:rFonts w:ascii="Times New Roman"/>
                <w:sz w:val="21"/>
              </w:rPr>
              <w:t>31</w:t>
            </w:r>
          </w:p>
        </w:tc>
        <w:tc>
          <w:tcPr>
            <w:tcW w:w="956" w:type="dxa"/>
          </w:tcPr>
          <w:p>
            <w:pPr>
              <w:pStyle w:val="TableParagraph"/>
              <w:spacing w:line="238" w:lineRule="exact" w:before="15"/>
              <w:ind w:right="307"/>
              <w:jc w:val="right"/>
              <w:rPr>
                <w:rFonts w:ascii="Times New Roman"/>
                <w:sz w:val="21"/>
              </w:rPr>
            </w:pPr>
            <w:r>
              <w:rPr>
                <w:rFonts w:ascii="Times New Roman"/>
                <w:sz w:val="21"/>
              </w:rPr>
              <w:t>163</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16</w:t>
            </w:r>
          </w:p>
        </w:tc>
        <w:tc>
          <w:tcPr>
            <w:tcW w:w="2244" w:type="dxa"/>
          </w:tcPr>
          <w:p>
            <w:pPr>
              <w:pStyle w:val="TableParagraph"/>
              <w:spacing w:line="250" w:lineRule="exact" w:before="1"/>
              <w:ind w:left="88" w:right="81"/>
              <w:rPr>
                <w:sz w:val="21"/>
              </w:rPr>
            </w:pPr>
            <w:r>
              <w:rPr>
                <w:sz w:val="21"/>
              </w:rPr>
              <w:t>二氯甲烷</w:t>
            </w:r>
          </w:p>
        </w:tc>
        <w:tc>
          <w:tcPr>
            <w:tcW w:w="1423" w:type="dxa"/>
          </w:tcPr>
          <w:p>
            <w:pPr>
              <w:pStyle w:val="TableParagraph"/>
              <w:spacing w:line="236" w:lineRule="exact" w:before="15"/>
              <w:ind w:left="202" w:right="189"/>
              <w:rPr>
                <w:rFonts w:ascii="Times New Roman"/>
                <w:sz w:val="21"/>
              </w:rPr>
            </w:pPr>
            <w:r>
              <w:rPr>
                <w:rFonts w:ascii="Times New Roman"/>
                <w:sz w:val="21"/>
              </w:rPr>
              <w:t>75-09-2</w:t>
            </w:r>
          </w:p>
        </w:tc>
        <w:tc>
          <w:tcPr>
            <w:tcW w:w="953" w:type="dxa"/>
          </w:tcPr>
          <w:p>
            <w:pPr>
              <w:pStyle w:val="TableParagraph"/>
              <w:spacing w:line="236" w:lineRule="exact" w:before="15"/>
              <w:ind w:left="324" w:right="316"/>
              <w:rPr>
                <w:rFonts w:ascii="Times New Roman"/>
                <w:sz w:val="21"/>
              </w:rPr>
            </w:pPr>
            <w:r>
              <w:rPr>
                <w:rFonts w:ascii="Times New Roman"/>
                <w:sz w:val="21"/>
              </w:rPr>
              <w:t>94</w:t>
            </w:r>
          </w:p>
        </w:tc>
        <w:tc>
          <w:tcPr>
            <w:tcW w:w="934" w:type="dxa"/>
          </w:tcPr>
          <w:p>
            <w:pPr>
              <w:pStyle w:val="TableParagraph"/>
              <w:spacing w:line="236" w:lineRule="exact" w:before="15"/>
              <w:ind w:right="297"/>
              <w:jc w:val="right"/>
              <w:rPr>
                <w:rFonts w:ascii="Times New Roman"/>
                <w:sz w:val="21"/>
              </w:rPr>
            </w:pPr>
            <w:r>
              <w:rPr>
                <w:rFonts w:ascii="Times New Roman"/>
                <w:sz w:val="21"/>
              </w:rPr>
              <w:t>616</w:t>
            </w:r>
          </w:p>
        </w:tc>
        <w:tc>
          <w:tcPr>
            <w:tcW w:w="967" w:type="dxa"/>
          </w:tcPr>
          <w:p>
            <w:pPr>
              <w:pStyle w:val="TableParagraph"/>
              <w:spacing w:line="236" w:lineRule="exact" w:before="15"/>
              <w:ind w:right="313"/>
              <w:jc w:val="right"/>
              <w:rPr>
                <w:rFonts w:ascii="Times New Roman"/>
                <w:sz w:val="21"/>
              </w:rPr>
            </w:pPr>
            <w:r>
              <w:rPr>
                <w:rFonts w:ascii="Times New Roman"/>
                <w:sz w:val="21"/>
              </w:rPr>
              <w:t>300</w:t>
            </w:r>
          </w:p>
        </w:tc>
        <w:tc>
          <w:tcPr>
            <w:tcW w:w="956" w:type="dxa"/>
          </w:tcPr>
          <w:p>
            <w:pPr>
              <w:pStyle w:val="TableParagraph"/>
              <w:spacing w:line="236" w:lineRule="exact" w:before="15"/>
              <w:ind w:right="254"/>
              <w:jc w:val="right"/>
              <w:rPr>
                <w:rFonts w:ascii="Times New Roman"/>
                <w:sz w:val="21"/>
              </w:rPr>
            </w:pPr>
            <w:r>
              <w:rPr>
                <w:rFonts w:ascii="Times New Roman"/>
                <w:sz w:val="21"/>
              </w:rPr>
              <w:t>2000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17</w:t>
            </w:r>
          </w:p>
        </w:tc>
        <w:tc>
          <w:tcPr>
            <w:tcW w:w="2244" w:type="dxa"/>
          </w:tcPr>
          <w:p>
            <w:pPr>
              <w:pStyle w:val="TableParagraph"/>
              <w:spacing w:line="252" w:lineRule="exact" w:before="1"/>
              <w:ind w:left="88" w:right="76"/>
              <w:rPr>
                <w:sz w:val="21"/>
              </w:rPr>
            </w:pPr>
            <w:r>
              <w:rPr>
                <w:rFonts w:ascii="Times New Roman" w:eastAsia="Times New Roman"/>
                <w:sz w:val="21"/>
              </w:rPr>
              <w:t>1,2-</w:t>
            </w:r>
            <w:r>
              <w:rPr>
                <w:sz w:val="21"/>
              </w:rPr>
              <w:t>二氯丙烷</w:t>
            </w:r>
          </w:p>
        </w:tc>
        <w:tc>
          <w:tcPr>
            <w:tcW w:w="1423" w:type="dxa"/>
          </w:tcPr>
          <w:p>
            <w:pPr>
              <w:pStyle w:val="TableParagraph"/>
              <w:spacing w:line="238" w:lineRule="exact" w:before="15"/>
              <w:ind w:left="202" w:right="189"/>
              <w:rPr>
                <w:rFonts w:ascii="Times New Roman"/>
                <w:sz w:val="21"/>
              </w:rPr>
            </w:pPr>
            <w:r>
              <w:rPr>
                <w:rFonts w:ascii="Times New Roman"/>
                <w:sz w:val="21"/>
              </w:rPr>
              <w:t>78-87-5</w:t>
            </w:r>
          </w:p>
        </w:tc>
        <w:tc>
          <w:tcPr>
            <w:tcW w:w="953" w:type="dxa"/>
          </w:tcPr>
          <w:p>
            <w:pPr>
              <w:pStyle w:val="TableParagraph"/>
              <w:spacing w:line="238" w:lineRule="exact" w:before="15"/>
              <w:ind w:left="8"/>
              <w:rPr>
                <w:rFonts w:ascii="Times New Roman"/>
                <w:sz w:val="21"/>
              </w:rPr>
            </w:pPr>
            <w:r>
              <w:rPr>
                <w:rFonts w:ascii="Times New Roman"/>
                <w:w w:val="100"/>
                <w:sz w:val="21"/>
              </w:rPr>
              <w:t>1</w:t>
            </w:r>
          </w:p>
        </w:tc>
        <w:tc>
          <w:tcPr>
            <w:tcW w:w="934" w:type="dxa"/>
          </w:tcPr>
          <w:p>
            <w:pPr>
              <w:pStyle w:val="TableParagraph"/>
              <w:spacing w:line="238" w:lineRule="exact" w:before="15"/>
              <w:ind w:left="4"/>
              <w:rPr>
                <w:rFonts w:ascii="Times New Roman"/>
                <w:sz w:val="21"/>
              </w:rPr>
            </w:pPr>
            <w:r>
              <w:rPr>
                <w:rFonts w:ascii="Times New Roman"/>
                <w:w w:val="100"/>
                <w:sz w:val="21"/>
              </w:rPr>
              <w:t>5</w:t>
            </w:r>
          </w:p>
        </w:tc>
        <w:tc>
          <w:tcPr>
            <w:tcW w:w="967" w:type="dxa"/>
          </w:tcPr>
          <w:p>
            <w:pPr>
              <w:pStyle w:val="TableParagraph"/>
              <w:spacing w:line="238" w:lineRule="exact" w:before="15"/>
              <w:ind w:left="8"/>
              <w:rPr>
                <w:rFonts w:ascii="Times New Roman"/>
                <w:sz w:val="21"/>
              </w:rPr>
            </w:pPr>
            <w:r>
              <w:rPr>
                <w:rFonts w:ascii="Times New Roman"/>
                <w:w w:val="100"/>
                <w:sz w:val="21"/>
              </w:rPr>
              <w:t>5</w:t>
            </w:r>
          </w:p>
        </w:tc>
        <w:tc>
          <w:tcPr>
            <w:tcW w:w="956" w:type="dxa"/>
          </w:tcPr>
          <w:p>
            <w:pPr>
              <w:pStyle w:val="TableParagraph"/>
              <w:spacing w:line="238" w:lineRule="exact" w:before="15"/>
              <w:ind w:left="141" w:right="131"/>
              <w:rPr>
                <w:rFonts w:ascii="Times New Roman"/>
                <w:sz w:val="21"/>
              </w:rPr>
            </w:pPr>
            <w:r>
              <w:rPr>
                <w:rFonts w:ascii="Times New Roman"/>
                <w:sz w:val="21"/>
              </w:rPr>
              <w:t>47</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18</w:t>
            </w:r>
          </w:p>
        </w:tc>
        <w:tc>
          <w:tcPr>
            <w:tcW w:w="2244" w:type="dxa"/>
          </w:tcPr>
          <w:p>
            <w:pPr>
              <w:pStyle w:val="TableParagraph"/>
              <w:spacing w:line="250" w:lineRule="exact" w:before="1"/>
              <w:ind w:left="88" w:right="79"/>
              <w:rPr>
                <w:sz w:val="21"/>
              </w:rPr>
            </w:pPr>
            <w:r>
              <w:rPr>
                <w:rFonts w:ascii="Times New Roman" w:eastAsia="Times New Roman"/>
                <w:sz w:val="21"/>
              </w:rPr>
              <w:t>1,1,1,2-</w:t>
            </w:r>
            <w:r>
              <w:rPr>
                <w:sz w:val="21"/>
              </w:rPr>
              <w:t>四氯乙烷</w:t>
            </w:r>
          </w:p>
        </w:tc>
        <w:tc>
          <w:tcPr>
            <w:tcW w:w="1423" w:type="dxa"/>
          </w:tcPr>
          <w:p>
            <w:pPr>
              <w:pStyle w:val="TableParagraph"/>
              <w:spacing w:line="236" w:lineRule="exact" w:before="15"/>
              <w:ind w:left="202" w:right="189"/>
              <w:rPr>
                <w:rFonts w:ascii="Times New Roman"/>
                <w:sz w:val="21"/>
              </w:rPr>
            </w:pPr>
            <w:r>
              <w:rPr>
                <w:rFonts w:ascii="Times New Roman"/>
                <w:sz w:val="21"/>
              </w:rPr>
              <w:t>630-20-6</w:t>
            </w:r>
          </w:p>
        </w:tc>
        <w:tc>
          <w:tcPr>
            <w:tcW w:w="953" w:type="dxa"/>
          </w:tcPr>
          <w:p>
            <w:pPr>
              <w:pStyle w:val="TableParagraph"/>
              <w:spacing w:line="236" w:lineRule="exact" w:before="15"/>
              <w:ind w:left="324" w:right="316"/>
              <w:rPr>
                <w:rFonts w:ascii="Times New Roman"/>
                <w:sz w:val="21"/>
              </w:rPr>
            </w:pPr>
            <w:r>
              <w:rPr>
                <w:rFonts w:ascii="Times New Roman"/>
                <w:sz w:val="21"/>
              </w:rPr>
              <w:t>2.6</w:t>
            </w:r>
          </w:p>
        </w:tc>
        <w:tc>
          <w:tcPr>
            <w:tcW w:w="934" w:type="dxa"/>
          </w:tcPr>
          <w:p>
            <w:pPr>
              <w:pStyle w:val="TableParagraph"/>
              <w:spacing w:line="236" w:lineRule="exact" w:before="15"/>
              <w:ind w:left="179" w:right="175"/>
              <w:rPr>
                <w:rFonts w:ascii="Times New Roman"/>
                <w:sz w:val="21"/>
              </w:rPr>
            </w:pPr>
            <w:r>
              <w:rPr>
                <w:rFonts w:ascii="Times New Roman"/>
                <w:sz w:val="21"/>
              </w:rPr>
              <w:t>10</w:t>
            </w:r>
          </w:p>
        </w:tc>
        <w:tc>
          <w:tcPr>
            <w:tcW w:w="967" w:type="dxa"/>
          </w:tcPr>
          <w:p>
            <w:pPr>
              <w:pStyle w:val="TableParagraph"/>
              <w:spacing w:line="236" w:lineRule="exact" w:before="15"/>
              <w:ind w:left="141" w:right="133"/>
              <w:rPr>
                <w:rFonts w:ascii="Times New Roman"/>
                <w:sz w:val="21"/>
              </w:rPr>
            </w:pPr>
            <w:r>
              <w:rPr>
                <w:rFonts w:ascii="Times New Roman"/>
                <w:sz w:val="21"/>
              </w:rPr>
              <w:t>26</w:t>
            </w:r>
          </w:p>
        </w:tc>
        <w:tc>
          <w:tcPr>
            <w:tcW w:w="956" w:type="dxa"/>
          </w:tcPr>
          <w:p>
            <w:pPr>
              <w:pStyle w:val="TableParagraph"/>
              <w:spacing w:line="236" w:lineRule="exact" w:before="15"/>
              <w:ind w:right="307"/>
              <w:jc w:val="right"/>
              <w:rPr>
                <w:rFonts w:ascii="Times New Roman"/>
                <w:sz w:val="21"/>
              </w:rPr>
            </w:pPr>
            <w:r>
              <w:rPr>
                <w:rFonts w:ascii="Times New Roman"/>
                <w:sz w:val="21"/>
              </w:rPr>
              <w:t>100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right="193"/>
              <w:jc w:val="right"/>
              <w:rPr>
                <w:rFonts w:ascii="Times New Roman"/>
                <w:sz w:val="21"/>
              </w:rPr>
            </w:pPr>
            <w:r>
              <w:rPr>
                <w:rFonts w:ascii="Times New Roman"/>
                <w:sz w:val="21"/>
              </w:rPr>
              <w:t>19</w:t>
            </w:r>
          </w:p>
        </w:tc>
        <w:tc>
          <w:tcPr>
            <w:tcW w:w="2244" w:type="dxa"/>
          </w:tcPr>
          <w:p>
            <w:pPr>
              <w:pStyle w:val="TableParagraph"/>
              <w:spacing w:line="250" w:lineRule="exact" w:before="3"/>
              <w:ind w:left="88" w:right="79"/>
              <w:rPr>
                <w:sz w:val="21"/>
              </w:rPr>
            </w:pPr>
            <w:r>
              <w:rPr>
                <w:rFonts w:ascii="Times New Roman" w:eastAsia="Times New Roman"/>
                <w:sz w:val="21"/>
              </w:rPr>
              <w:t>1,1,2,2-</w:t>
            </w:r>
            <w:r>
              <w:rPr>
                <w:sz w:val="21"/>
              </w:rPr>
              <w:t>四氯乙烷</w:t>
            </w:r>
          </w:p>
        </w:tc>
        <w:tc>
          <w:tcPr>
            <w:tcW w:w="1423" w:type="dxa"/>
          </w:tcPr>
          <w:p>
            <w:pPr>
              <w:pStyle w:val="TableParagraph"/>
              <w:spacing w:line="236" w:lineRule="exact" w:before="17"/>
              <w:ind w:left="202" w:right="189"/>
              <w:rPr>
                <w:rFonts w:ascii="Times New Roman"/>
                <w:sz w:val="21"/>
              </w:rPr>
            </w:pPr>
            <w:r>
              <w:rPr>
                <w:rFonts w:ascii="Times New Roman"/>
                <w:sz w:val="21"/>
              </w:rPr>
              <w:t>79-34-5</w:t>
            </w:r>
          </w:p>
        </w:tc>
        <w:tc>
          <w:tcPr>
            <w:tcW w:w="953" w:type="dxa"/>
          </w:tcPr>
          <w:p>
            <w:pPr>
              <w:pStyle w:val="TableParagraph"/>
              <w:spacing w:line="236" w:lineRule="exact" w:before="17"/>
              <w:ind w:left="324" w:right="316"/>
              <w:rPr>
                <w:rFonts w:ascii="Times New Roman"/>
                <w:sz w:val="21"/>
              </w:rPr>
            </w:pPr>
            <w:r>
              <w:rPr>
                <w:rFonts w:ascii="Times New Roman"/>
                <w:sz w:val="21"/>
              </w:rPr>
              <w:t>1.6</w:t>
            </w:r>
          </w:p>
        </w:tc>
        <w:tc>
          <w:tcPr>
            <w:tcW w:w="934" w:type="dxa"/>
          </w:tcPr>
          <w:p>
            <w:pPr>
              <w:pStyle w:val="TableParagraph"/>
              <w:spacing w:line="236" w:lineRule="exact" w:before="17"/>
              <w:ind w:left="184" w:right="175"/>
              <w:rPr>
                <w:rFonts w:ascii="Times New Roman"/>
                <w:sz w:val="21"/>
              </w:rPr>
            </w:pPr>
            <w:r>
              <w:rPr>
                <w:rFonts w:ascii="Times New Roman"/>
                <w:sz w:val="21"/>
              </w:rPr>
              <w:t>6.8</w:t>
            </w:r>
          </w:p>
        </w:tc>
        <w:tc>
          <w:tcPr>
            <w:tcW w:w="967" w:type="dxa"/>
          </w:tcPr>
          <w:p>
            <w:pPr>
              <w:pStyle w:val="TableParagraph"/>
              <w:spacing w:line="236" w:lineRule="exact" w:before="17"/>
              <w:ind w:left="141" w:right="133"/>
              <w:rPr>
                <w:rFonts w:ascii="Times New Roman"/>
                <w:sz w:val="21"/>
              </w:rPr>
            </w:pPr>
            <w:r>
              <w:rPr>
                <w:rFonts w:ascii="Times New Roman"/>
                <w:sz w:val="21"/>
              </w:rPr>
              <w:t>14</w:t>
            </w:r>
          </w:p>
        </w:tc>
        <w:tc>
          <w:tcPr>
            <w:tcW w:w="956" w:type="dxa"/>
          </w:tcPr>
          <w:p>
            <w:pPr>
              <w:pStyle w:val="TableParagraph"/>
              <w:spacing w:line="236" w:lineRule="exact" w:before="17"/>
              <w:ind w:left="141" w:right="131"/>
              <w:rPr>
                <w:rFonts w:ascii="Times New Roman"/>
                <w:sz w:val="21"/>
              </w:rPr>
            </w:pPr>
            <w:r>
              <w:rPr>
                <w:rFonts w:ascii="Times New Roman"/>
                <w:sz w:val="21"/>
              </w:rPr>
              <w:t>50</w:t>
            </w:r>
          </w:p>
        </w:tc>
        <w:tc>
          <w:tcPr>
            <w:tcW w:w="1191" w:type="dxa"/>
          </w:tcPr>
          <w:p>
            <w:pPr>
              <w:pStyle w:val="TableParagraph"/>
              <w:spacing w:line="250" w:lineRule="exact" w:before="3"/>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20</w:t>
            </w:r>
          </w:p>
        </w:tc>
        <w:tc>
          <w:tcPr>
            <w:tcW w:w="2244" w:type="dxa"/>
          </w:tcPr>
          <w:p>
            <w:pPr>
              <w:pStyle w:val="TableParagraph"/>
              <w:spacing w:line="252" w:lineRule="exact" w:before="1"/>
              <w:ind w:left="88" w:right="79"/>
              <w:rPr>
                <w:sz w:val="21"/>
              </w:rPr>
            </w:pPr>
            <w:r>
              <w:rPr>
                <w:sz w:val="21"/>
              </w:rPr>
              <w:t>四氯乙烯</w:t>
            </w:r>
          </w:p>
        </w:tc>
        <w:tc>
          <w:tcPr>
            <w:tcW w:w="1423" w:type="dxa"/>
          </w:tcPr>
          <w:p>
            <w:pPr>
              <w:pStyle w:val="TableParagraph"/>
              <w:spacing w:line="238" w:lineRule="exact" w:before="15"/>
              <w:ind w:left="202" w:right="189"/>
              <w:rPr>
                <w:rFonts w:ascii="Times New Roman"/>
                <w:sz w:val="21"/>
              </w:rPr>
            </w:pPr>
            <w:r>
              <w:rPr>
                <w:rFonts w:ascii="Times New Roman"/>
                <w:sz w:val="21"/>
              </w:rPr>
              <w:t>127-18-4</w:t>
            </w:r>
          </w:p>
        </w:tc>
        <w:tc>
          <w:tcPr>
            <w:tcW w:w="953" w:type="dxa"/>
          </w:tcPr>
          <w:p>
            <w:pPr>
              <w:pStyle w:val="TableParagraph"/>
              <w:spacing w:line="238" w:lineRule="exact" w:before="15"/>
              <w:ind w:left="324" w:right="316"/>
              <w:rPr>
                <w:rFonts w:ascii="Times New Roman"/>
                <w:sz w:val="21"/>
              </w:rPr>
            </w:pPr>
            <w:r>
              <w:rPr>
                <w:rFonts w:ascii="Times New Roman"/>
                <w:sz w:val="21"/>
              </w:rPr>
              <w:t>11</w:t>
            </w:r>
          </w:p>
        </w:tc>
        <w:tc>
          <w:tcPr>
            <w:tcW w:w="934" w:type="dxa"/>
          </w:tcPr>
          <w:p>
            <w:pPr>
              <w:pStyle w:val="TableParagraph"/>
              <w:spacing w:line="238" w:lineRule="exact" w:before="15"/>
              <w:ind w:left="179" w:right="175"/>
              <w:rPr>
                <w:rFonts w:ascii="Times New Roman"/>
                <w:sz w:val="21"/>
              </w:rPr>
            </w:pPr>
            <w:r>
              <w:rPr>
                <w:rFonts w:ascii="Times New Roman"/>
                <w:sz w:val="21"/>
              </w:rPr>
              <w:t>53</w:t>
            </w:r>
          </w:p>
        </w:tc>
        <w:tc>
          <w:tcPr>
            <w:tcW w:w="967" w:type="dxa"/>
          </w:tcPr>
          <w:p>
            <w:pPr>
              <w:pStyle w:val="TableParagraph"/>
              <w:spacing w:line="238" w:lineRule="exact" w:before="15"/>
              <w:ind w:left="141" w:right="133"/>
              <w:rPr>
                <w:rFonts w:ascii="Times New Roman"/>
                <w:sz w:val="21"/>
              </w:rPr>
            </w:pPr>
            <w:r>
              <w:rPr>
                <w:rFonts w:ascii="Times New Roman"/>
                <w:sz w:val="21"/>
              </w:rPr>
              <w:t>34</w:t>
            </w:r>
          </w:p>
        </w:tc>
        <w:tc>
          <w:tcPr>
            <w:tcW w:w="956" w:type="dxa"/>
          </w:tcPr>
          <w:p>
            <w:pPr>
              <w:pStyle w:val="TableParagraph"/>
              <w:spacing w:line="238" w:lineRule="exact" w:before="15"/>
              <w:ind w:right="307"/>
              <w:jc w:val="right"/>
              <w:rPr>
                <w:rFonts w:ascii="Times New Roman"/>
                <w:sz w:val="21"/>
              </w:rPr>
            </w:pPr>
            <w:r>
              <w:rPr>
                <w:rFonts w:ascii="Times New Roman"/>
                <w:sz w:val="21"/>
              </w:rPr>
              <w:t>183</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21</w:t>
            </w:r>
          </w:p>
        </w:tc>
        <w:tc>
          <w:tcPr>
            <w:tcW w:w="2244" w:type="dxa"/>
          </w:tcPr>
          <w:p>
            <w:pPr>
              <w:pStyle w:val="TableParagraph"/>
              <w:spacing w:line="250" w:lineRule="exact" w:before="1"/>
              <w:ind w:left="88" w:right="79"/>
              <w:rPr>
                <w:sz w:val="21"/>
              </w:rPr>
            </w:pPr>
            <w:r>
              <w:rPr>
                <w:rFonts w:ascii="Times New Roman" w:eastAsia="Times New Roman"/>
                <w:sz w:val="21"/>
              </w:rPr>
              <w:t>1,1,1-</w:t>
            </w:r>
            <w:r>
              <w:rPr>
                <w:sz w:val="21"/>
              </w:rPr>
              <w:t>三氯乙烷</w:t>
            </w:r>
          </w:p>
        </w:tc>
        <w:tc>
          <w:tcPr>
            <w:tcW w:w="1423" w:type="dxa"/>
          </w:tcPr>
          <w:p>
            <w:pPr>
              <w:pStyle w:val="TableParagraph"/>
              <w:spacing w:line="236" w:lineRule="exact" w:before="15"/>
              <w:ind w:left="202" w:right="189"/>
              <w:rPr>
                <w:rFonts w:ascii="Times New Roman"/>
                <w:sz w:val="21"/>
              </w:rPr>
            </w:pPr>
            <w:r>
              <w:rPr>
                <w:rFonts w:ascii="Times New Roman"/>
                <w:sz w:val="21"/>
              </w:rPr>
              <w:t>71-55-6</w:t>
            </w:r>
          </w:p>
        </w:tc>
        <w:tc>
          <w:tcPr>
            <w:tcW w:w="953" w:type="dxa"/>
          </w:tcPr>
          <w:p>
            <w:pPr>
              <w:pStyle w:val="TableParagraph"/>
              <w:spacing w:line="236" w:lineRule="exact" w:before="15"/>
              <w:ind w:left="317"/>
              <w:jc w:val="left"/>
              <w:rPr>
                <w:rFonts w:ascii="Times New Roman"/>
                <w:sz w:val="21"/>
              </w:rPr>
            </w:pPr>
            <w:r>
              <w:rPr>
                <w:rFonts w:ascii="Times New Roman"/>
                <w:sz w:val="21"/>
              </w:rPr>
              <w:t>701</w:t>
            </w:r>
          </w:p>
        </w:tc>
        <w:tc>
          <w:tcPr>
            <w:tcW w:w="934" w:type="dxa"/>
          </w:tcPr>
          <w:p>
            <w:pPr>
              <w:pStyle w:val="TableParagraph"/>
              <w:spacing w:line="236" w:lineRule="exact" w:before="15"/>
              <w:ind w:right="297"/>
              <w:jc w:val="right"/>
              <w:rPr>
                <w:rFonts w:ascii="Times New Roman"/>
                <w:sz w:val="21"/>
              </w:rPr>
            </w:pPr>
            <w:r>
              <w:rPr>
                <w:rFonts w:ascii="Times New Roman"/>
                <w:sz w:val="21"/>
              </w:rPr>
              <w:t>840</w:t>
            </w:r>
          </w:p>
        </w:tc>
        <w:tc>
          <w:tcPr>
            <w:tcW w:w="967" w:type="dxa"/>
          </w:tcPr>
          <w:p>
            <w:pPr>
              <w:pStyle w:val="TableParagraph"/>
              <w:spacing w:line="236" w:lineRule="exact" w:before="15"/>
              <w:ind w:right="313"/>
              <w:jc w:val="right"/>
              <w:rPr>
                <w:rFonts w:ascii="Times New Roman"/>
                <w:sz w:val="21"/>
              </w:rPr>
            </w:pPr>
            <w:r>
              <w:rPr>
                <w:rFonts w:ascii="Times New Roman"/>
                <w:sz w:val="21"/>
              </w:rPr>
              <w:t>840</w:t>
            </w:r>
          </w:p>
        </w:tc>
        <w:tc>
          <w:tcPr>
            <w:tcW w:w="956" w:type="dxa"/>
          </w:tcPr>
          <w:p>
            <w:pPr>
              <w:pStyle w:val="TableParagraph"/>
              <w:spacing w:line="236" w:lineRule="exact" w:before="15"/>
              <w:ind w:right="307"/>
              <w:jc w:val="right"/>
              <w:rPr>
                <w:rFonts w:ascii="Times New Roman"/>
                <w:sz w:val="21"/>
              </w:rPr>
            </w:pPr>
            <w:r>
              <w:rPr>
                <w:rFonts w:ascii="Times New Roman"/>
                <w:sz w:val="21"/>
              </w:rPr>
              <w:t>840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right="193"/>
              <w:jc w:val="right"/>
              <w:rPr>
                <w:rFonts w:ascii="Times New Roman"/>
                <w:sz w:val="21"/>
              </w:rPr>
            </w:pPr>
            <w:r>
              <w:rPr>
                <w:rFonts w:ascii="Times New Roman"/>
                <w:sz w:val="21"/>
              </w:rPr>
              <w:t>22</w:t>
            </w:r>
          </w:p>
        </w:tc>
        <w:tc>
          <w:tcPr>
            <w:tcW w:w="2244" w:type="dxa"/>
          </w:tcPr>
          <w:p>
            <w:pPr>
              <w:pStyle w:val="TableParagraph"/>
              <w:spacing w:line="250" w:lineRule="exact" w:before="3"/>
              <w:ind w:left="88" w:right="79"/>
              <w:rPr>
                <w:sz w:val="21"/>
              </w:rPr>
            </w:pPr>
            <w:r>
              <w:rPr>
                <w:rFonts w:ascii="Times New Roman" w:eastAsia="Times New Roman"/>
                <w:sz w:val="21"/>
              </w:rPr>
              <w:t>1,1,2-</w:t>
            </w:r>
            <w:r>
              <w:rPr>
                <w:sz w:val="21"/>
              </w:rPr>
              <w:t>三氯乙烷</w:t>
            </w:r>
          </w:p>
        </w:tc>
        <w:tc>
          <w:tcPr>
            <w:tcW w:w="1423" w:type="dxa"/>
          </w:tcPr>
          <w:p>
            <w:pPr>
              <w:pStyle w:val="TableParagraph"/>
              <w:spacing w:line="236" w:lineRule="exact" w:before="17"/>
              <w:ind w:left="202" w:right="189"/>
              <w:rPr>
                <w:rFonts w:ascii="Times New Roman"/>
                <w:sz w:val="21"/>
              </w:rPr>
            </w:pPr>
            <w:r>
              <w:rPr>
                <w:rFonts w:ascii="Times New Roman"/>
                <w:sz w:val="21"/>
              </w:rPr>
              <w:t>79-00-5</w:t>
            </w:r>
          </w:p>
        </w:tc>
        <w:tc>
          <w:tcPr>
            <w:tcW w:w="953" w:type="dxa"/>
          </w:tcPr>
          <w:p>
            <w:pPr>
              <w:pStyle w:val="TableParagraph"/>
              <w:spacing w:line="236" w:lineRule="exact" w:before="17"/>
              <w:ind w:left="324" w:right="316"/>
              <w:rPr>
                <w:rFonts w:ascii="Times New Roman"/>
                <w:sz w:val="21"/>
              </w:rPr>
            </w:pPr>
            <w:r>
              <w:rPr>
                <w:rFonts w:ascii="Times New Roman"/>
                <w:sz w:val="21"/>
              </w:rPr>
              <w:t>0.6</w:t>
            </w:r>
          </w:p>
        </w:tc>
        <w:tc>
          <w:tcPr>
            <w:tcW w:w="934" w:type="dxa"/>
          </w:tcPr>
          <w:p>
            <w:pPr>
              <w:pStyle w:val="TableParagraph"/>
              <w:spacing w:line="236" w:lineRule="exact" w:before="17"/>
              <w:ind w:left="184" w:right="175"/>
              <w:rPr>
                <w:rFonts w:ascii="Times New Roman"/>
                <w:sz w:val="21"/>
              </w:rPr>
            </w:pPr>
            <w:r>
              <w:rPr>
                <w:rFonts w:ascii="Times New Roman"/>
                <w:sz w:val="21"/>
              </w:rPr>
              <w:t>2.8</w:t>
            </w:r>
          </w:p>
        </w:tc>
        <w:tc>
          <w:tcPr>
            <w:tcW w:w="967" w:type="dxa"/>
          </w:tcPr>
          <w:p>
            <w:pPr>
              <w:pStyle w:val="TableParagraph"/>
              <w:spacing w:line="236" w:lineRule="exact" w:before="17"/>
              <w:ind w:left="8"/>
              <w:rPr>
                <w:rFonts w:ascii="Times New Roman"/>
                <w:sz w:val="21"/>
              </w:rPr>
            </w:pPr>
            <w:r>
              <w:rPr>
                <w:rFonts w:ascii="Times New Roman"/>
                <w:w w:val="100"/>
                <w:sz w:val="21"/>
              </w:rPr>
              <w:t>5</w:t>
            </w:r>
          </w:p>
        </w:tc>
        <w:tc>
          <w:tcPr>
            <w:tcW w:w="956" w:type="dxa"/>
          </w:tcPr>
          <w:p>
            <w:pPr>
              <w:pStyle w:val="TableParagraph"/>
              <w:spacing w:line="236" w:lineRule="exact" w:before="17"/>
              <w:ind w:left="141" w:right="131"/>
              <w:rPr>
                <w:rFonts w:ascii="Times New Roman"/>
                <w:sz w:val="21"/>
              </w:rPr>
            </w:pPr>
            <w:r>
              <w:rPr>
                <w:rFonts w:ascii="Times New Roman"/>
                <w:sz w:val="21"/>
              </w:rPr>
              <w:t>15</w:t>
            </w:r>
          </w:p>
        </w:tc>
        <w:tc>
          <w:tcPr>
            <w:tcW w:w="1191" w:type="dxa"/>
          </w:tcPr>
          <w:p>
            <w:pPr>
              <w:pStyle w:val="TableParagraph"/>
              <w:spacing w:line="250" w:lineRule="exact" w:before="3"/>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23</w:t>
            </w:r>
          </w:p>
        </w:tc>
        <w:tc>
          <w:tcPr>
            <w:tcW w:w="2244" w:type="dxa"/>
          </w:tcPr>
          <w:p>
            <w:pPr>
              <w:pStyle w:val="TableParagraph"/>
              <w:spacing w:line="252" w:lineRule="exact" w:before="1"/>
              <w:ind w:left="88" w:right="79"/>
              <w:rPr>
                <w:sz w:val="21"/>
              </w:rPr>
            </w:pPr>
            <w:r>
              <w:rPr>
                <w:sz w:val="21"/>
              </w:rPr>
              <w:t>三氯乙烯</w:t>
            </w:r>
          </w:p>
        </w:tc>
        <w:tc>
          <w:tcPr>
            <w:tcW w:w="1423" w:type="dxa"/>
          </w:tcPr>
          <w:p>
            <w:pPr>
              <w:pStyle w:val="TableParagraph"/>
              <w:spacing w:line="238" w:lineRule="exact" w:before="15"/>
              <w:ind w:left="202" w:right="189"/>
              <w:rPr>
                <w:rFonts w:ascii="Times New Roman"/>
                <w:sz w:val="21"/>
              </w:rPr>
            </w:pPr>
            <w:r>
              <w:rPr>
                <w:rFonts w:ascii="Times New Roman"/>
                <w:sz w:val="21"/>
              </w:rPr>
              <w:t>79-01-6</w:t>
            </w:r>
          </w:p>
        </w:tc>
        <w:tc>
          <w:tcPr>
            <w:tcW w:w="953" w:type="dxa"/>
          </w:tcPr>
          <w:p>
            <w:pPr>
              <w:pStyle w:val="TableParagraph"/>
              <w:spacing w:line="238" w:lineRule="exact" w:before="15"/>
              <w:ind w:left="324" w:right="316"/>
              <w:rPr>
                <w:rFonts w:ascii="Times New Roman"/>
                <w:sz w:val="21"/>
              </w:rPr>
            </w:pPr>
            <w:r>
              <w:rPr>
                <w:rFonts w:ascii="Times New Roman"/>
                <w:sz w:val="21"/>
              </w:rPr>
              <w:t>0.7</w:t>
            </w:r>
          </w:p>
        </w:tc>
        <w:tc>
          <w:tcPr>
            <w:tcW w:w="934" w:type="dxa"/>
          </w:tcPr>
          <w:p>
            <w:pPr>
              <w:pStyle w:val="TableParagraph"/>
              <w:spacing w:line="238" w:lineRule="exact" w:before="15"/>
              <w:ind w:left="184" w:right="175"/>
              <w:rPr>
                <w:rFonts w:ascii="Times New Roman"/>
                <w:sz w:val="21"/>
              </w:rPr>
            </w:pPr>
            <w:r>
              <w:rPr>
                <w:rFonts w:ascii="Times New Roman"/>
                <w:sz w:val="21"/>
              </w:rPr>
              <w:t>2.8</w:t>
            </w:r>
          </w:p>
        </w:tc>
        <w:tc>
          <w:tcPr>
            <w:tcW w:w="967" w:type="dxa"/>
          </w:tcPr>
          <w:p>
            <w:pPr>
              <w:pStyle w:val="TableParagraph"/>
              <w:spacing w:line="238" w:lineRule="exact" w:before="15"/>
              <w:ind w:left="8"/>
              <w:rPr>
                <w:rFonts w:ascii="Times New Roman"/>
                <w:sz w:val="21"/>
              </w:rPr>
            </w:pPr>
            <w:r>
              <w:rPr>
                <w:rFonts w:ascii="Times New Roman"/>
                <w:w w:val="100"/>
                <w:sz w:val="21"/>
              </w:rPr>
              <w:t>7</w:t>
            </w:r>
          </w:p>
        </w:tc>
        <w:tc>
          <w:tcPr>
            <w:tcW w:w="956" w:type="dxa"/>
          </w:tcPr>
          <w:p>
            <w:pPr>
              <w:pStyle w:val="TableParagraph"/>
              <w:spacing w:line="238" w:lineRule="exact" w:before="15"/>
              <w:ind w:left="141" w:right="131"/>
              <w:rPr>
                <w:rFonts w:ascii="Times New Roman"/>
                <w:sz w:val="21"/>
              </w:rPr>
            </w:pPr>
            <w:r>
              <w:rPr>
                <w:rFonts w:ascii="Times New Roman"/>
                <w:sz w:val="21"/>
              </w:rPr>
              <w:t>20</w:t>
            </w:r>
          </w:p>
        </w:tc>
        <w:tc>
          <w:tcPr>
            <w:tcW w:w="1191" w:type="dxa"/>
          </w:tcPr>
          <w:p>
            <w:pPr>
              <w:pStyle w:val="TableParagraph"/>
              <w:spacing w:line="252" w:lineRule="exact" w:before="1"/>
              <w:ind w:left="155" w:right="143"/>
              <w:rPr>
                <w:sz w:val="21"/>
              </w:rPr>
            </w:pPr>
            <w:r>
              <w:rPr>
                <w:sz w:val="21"/>
              </w:rPr>
              <w:t>基本项目</w:t>
            </w:r>
          </w:p>
        </w:tc>
      </w:tr>
      <w:tr>
        <w:trPr>
          <w:trHeight w:val="271" w:hRule="atLeast"/>
        </w:trPr>
        <w:tc>
          <w:tcPr>
            <w:tcW w:w="619" w:type="dxa"/>
          </w:tcPr>
          <w:p>
            <w:pPr>
              <w:pStyle w:val="TableParagraph"/>
              <w:spacing w:line="236" w:lineRule="exact" w:before="15"/>
              <w:ind w:right="193"/>
              <w:jc w:val="right"/>
              <w:rPr>
                <w:rFonts w:ascii="Times New Roman"/>
                <w:sz w:val="21"/>
              </w:rPr>
            </w:pPr>
            <w:r>
              <w:rPr>
                <w:rFonts w:ascii="Times New Roman"/>
                <w:sz w:val="21"/>
              </w:rPr>
              <w:t>24</w:t>
            </w:r>
          </w:p>
        </w:tc>
        <w:tc>
          <w:tcPr>
            <w:tcW w:w="2244" w:type="dxa"/>
          </w:tcPr>
          <w:p>
            <w:pPr>
              <w:pStyle w:val="TableParagraph"/>
              <w:spacing w:line="250" w:lineRule="exact" w:before="1"/>
              <w:ind w:left="88" w:right="79"/>
              <w:rPr>
                <w:sz w:val="21"/>
              </w:rPr>
            </w:pPr>
            <w:r>
              <w:rPr>
                <w:rFonts w:ascii="Times New Roman" w:eastAsia="Times New Roman"/>
                <w:sz w:val="21"/>
              </w:rPr>
              <w:t>1,2,3-</w:t>
            </w:r>
            <w:r>
              <w:rPr>
                <w:sz w:val="21"/>
              </w:rPr>
              <w:t>三氯丙烷</w:t>
            </w:r>
          </w:p>
        </w:tc>
        <w:tc>
          <w:tcPr>
            <w:tcW w:w="1423" w:type="dxa"/>
          </w:tcPr>
          <w:p>
            <w:pPr>
              <w:pStyle w:val="TableParagraph"/>
              <w:spacing w:line="236" w:lineRule="exact" w:before="15"/>
              <w:ind w:left="202" w:right="189"/>
              <w:rPr>
                <w:rFonts w:ascii="Times New Roman"/>
                <w:sz w:val="21"/>
              </w:rPr>
            </w:pPr>
            <w:r>
              <w:rPr>
                <w:rFonts w:ascii="Times New Roman"/>
                <w:sz w:val="21"/>
              </w:rPr>
              <w:t>96-18-4</w:t>
            </w:r>
          </w:p>
        </w:tc>
        <w:tc>
          <w:tcPr>
            <w:tcW w:w="953" w:type="dxa"/>
          </w:tcPr>
          <w:p>
            <w:pPr>
              <w:pStyle w:val="TableParagraph"/>
              <w:spacing w:line="236" w:lineRule="exact" w:before="15"/>
              <w:ind w:right="280"/>
              <w:jc w:val="right"/>
              <w:rPr>
                <w:rFonts w:ascii="Times New Roman"/>
                <w:sz w:val="21"/>
              </w:rPr>
            </w:pPr>
            <w:r>
              <w:rPr>
                <w:rFonts w:ascii="Times New Roman"/>
                <w:sz w:val="21"/>
              </w:rPr>
              <w:t>0.05</w:t>
            </w:r>
          </w:p>
        </w:tc>
        <w:tc>
          <w:tcPr>
            <w:tcW w:w="934" w:type="dxa"/>
          </w:tcPr>
          <w:p>
            <w:pPr>
              <w:pStyle w:val="TableParagraph"/>
              <w:spacing w:line="236" w:lineRule="exact" w:before="15"/>
              <w:ind w:left="184" w:right="175"/>
              <w:rPr>
                <w:rFonts w:ascii="Times New Roman"/>
                <w:sz w:val="21"/>
              </w:rPr>
            </w:pPr>
            <w:r>
              <w:rPr>
                <w:rFonts w:ascii="Times New Roman"/>
                <w:sz w:val="21"/>
              </w:rPr>
              <w:t>0.5</w:t>
            </w:r>
          </w:p>
        </w:tc>
        <w:tc>
          <w:tcPr>
            <w:tcW w:w="967" w:type="dxa"/>
          </w:tcPr>
          <w:p>
            <w:pPr>
              <w:pStyle w:val="TableParagraph"/>
              <w:spacing w:line="236" w:lineRule="exact" w:before="15"/>
              <w:ind w:left="141" w:right="133"/>
              <w:rPr>
                <w:rFonts w:ascii="Times New Roman"/>
                <w:sz w:val="21"/>
              </w:rPr>
            </w:pPr>
            <w:r>
              <w:rPr>
                <w:rFonts w:ascii="Times New Roman"/>
                <w:sz w:val="21"/>
              </w:rPr>
              <w:t>0.5</w:t>
            </w:r>
          </w:p>
        </w:tc>
        <w:tc>
          <w:tcPr>
            <w:tcW w:w="956" w:type="dxa"/>
          </w:tcPr>
          <w:p>
            <w:pPr>
              <w:pStyle w:val="TableParagraph"/>
              <w:spacing w:line="236" w:lineRule="exact" w:before="15"/>
              <w:ind w:left="10"/>
              <w:rPr>
                <w:rFonts w:ascii="Times New Roman"/>
                <w:sz w:val="21"/>
              </w:rPr>
            </w:pPr>
            <w:r>
              <w:rPr>
                <w:rFonts w:ascii="Times New Roman"/>
                <w:w w:val="100"/>
                <w:sz w:val="21"/>
              </w:rPr>
              <w:t>5</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right="193"/>
              <w:jc w:val="right"/>
              <w:rPr>
                <w:rFonts w:ascii="Times New Roman"/>
                <w:sz w:val="21"/>
              </w:rPr>
            </w:pPr>
            <w:r>
              <w:rPr>
                <w:rFonts w:ascii="Times New Roman"/>
                <w:sz w:val="21"/>
              </w:rPr>
              <w:t>25</w:t>
            </w:r>
          </w:p>
        </w:tc>
        <w:tc>
          <w:tcPr>
            <w:tcW w:w="2244" w:type="dxa"/>
          </w:tcPr>
          <w:p>
            <w:pPr>
              <w:pStyle w:val="TableParagraph"/>
              <w:spacing w:line="252" w:lineRule="exact" w:before="1"/>
              <w:ind w:left="88" w:right="76"/>
              <w:rPr>
                <w:sz w:val="21"/>
              </w:rPr>
            </w:pPr>
            <w:r>
              <w:rPr>
                <w:sz w:val="21"/>
              </w:rPr>
              <w:t>氯乙烯</w:t>
            </w:r>
          </w:p>
        </w:tc>
        <w:tc>
          <w:tcPr>
            <w:tcW w:w="1423" w:type="dxa"/>
          </w:tcPr>
          <w:p>
            <w:pPr>
              <w:pStyle w:val="TableParagraph"/>
              <w:spacing w:line="236" w:lineRule="exact" w:before="17"/>
              <w:ind w:left="202" w:right="189"/>
              <w:rPr>
                <w:rFonts w:ascii="Times New Roman"/>
                <w:sz w:val="21"/>
              </w:rPr>
            </w:pPr>
            <w:r>
              <w:rPr>
                <w:rFonts w:ascii="Times New Roman"/>
                <w:sz w:val="21"/>
              </w:rPr>
              <w:t>75-01-4</w:t>
            </w:r>
          </w:p>
        </w:tc>
        <w:tc>
          <w:tcPr>
            <w:tcW w:w="953" w:type="dxa"/>
          </w:tcPr>
          <w:p>
            <w:pPr>
              <w:pStyle w:val="TableParagraph"/>
              <w:spacing w:line="236" w:lineRule="exact" w:before="17"/>
              <w:ind w:right="280"/>
              <w:jc w:val="right"/>
              <w:rPr>
                <w:rFonts w:ascii="Times New Roman"/>
                <w:sz w:val="21"/>
              </w:rPr>
            </w:pPr>
            <w:r>
              <w:rPr>
                <w:rFonts w:ascii="Times New Roman"/>
                <w:sz w:val="21"/>
              </w:rPr>
              <w:t>0.12</w:t>
            </w:r>
          </w:p>
        </w:tc>
        <w:tc>
          <w:tcPr>
            <w:tcW w:w="934" w:type="dxa"/>
          </w:tcPr>
          <w:p>
            <w:pPr>
              <w:pStyle w:val="TableParagraph"/>
              <w:spacing w:line="236" w:lineRule="exact" w:before="17"/>
              <w:ind w:right="270"/>
              <w:jc w:val="right"/>
              <w:rPr>
                <w:rFonts w:ascii="Times New Roman"/>
                <w:sz w:val="21"/>
              </w:rPr>
            </w:pPr>
            <w:r>
              <w:rPr>
                <w:rFonts w:ascii="Times New Roman"/>
                <w:sz w:val="21"/>
              </w:rPr>
              <w:t>0.43</w:t>
            </w:r>
          </w:p>
        </w:tc>
        <w:tc>
          <w:tcPr>
            <w:tcW w:w="967" w:type="dxa"/>
          </w:tcPr>
          <w:p>
            <w:pPr>
              <w:pStyle w:val="TableParagraph"/>
              <w:spacing w:line="236" w:lineRule="exact" w:before="17"/>
              <w:ind w:left="141" w:right="133"/>
              <w:rPr>
                <w:rFonts w:ascii="Times New Roman"/>
                <w:sz w:val="21"/>
              </w:rPr>
            </w:pPr>
            <w:r>
              <w:rPr>
                <w:rFonts w:ascii="Times New Roman"/>
                <w:sz w:val="21"/>
              </w:rPr>
              <w:t>1.2</w:t>
            </w:r>
          </w:p>
        </w:tc>
        <w:tc>
          <w:tcPr>
            <w:tcW w:w="956" w:type="dxa"/>
          </w:tcPr>
          <w:p>
            <w:pPr>
              <w:pStyle w:val="TableParagraph"/>
              <w:spacing w:line="236" w:lineRule="exact" w:before="17"/>
              <w:ind w:left="141" w:right="131"/>
              <w:rPr>
                <w:rFonts w:ascii="Times New Roman"/>
                <w:sz w:val="21"/>
              </w:rPr>
            </w:pPr>
            <w:r>
              <w:rPr>
                <w:rFonts w:ascii="Times New Roman"/>
                <w:sz w:val="21"/>
              </w:rPr>
              <w:t>4.3</w:t>
            </w:r>
          </w:p>
        </w:tc>
        <w:tc>
          <w:tcPr>
            <w:tcW w:w="1191" w:type="dxa"/>
          </w:tcPr>
          <w:p>
            <w:pPr>
              <w:pStyle w:val="TableParagraph"/>
              <w:spacing w:line="252"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26</w:t>
            </w:r>
          </w:p>
        </w:tc>
        <w:tc>
          <w:tcPr>
            <w:tcW w:w="2244" w:type="dxa"/>
          </w:tcPr>
          <w:p>
            <w:pPr>
              <w:pStyle w:val="TableParagraph"/>
              <w:spacing w:line="252" w:lineRule="exact" w:before="1"/>
              <w:ind w:left="7"/>
              <w:rPr>
                <w:sz w:val="21"/>
              </w:rPr>
            </w:pPr>
            <w:r>
              <w:rPr>
                <w:w w:val="100"/>
                <w:sz w:val="21"/>
              </w:rPr>
              <w:t>苯</w:t>
            </w:r>
          </w:p>
        </w:tc>
        <w:tc>
          <w:tcPr>
            <w:tcW w:w="1423" w:type="dxa"/>
          </w:tcPr>
          <w:p>
            <w:pPr>
              <w:pStyle w:val="TableParagraph"/>
              <w:spacing w:line="238" w:lineRule="exact" w:before="15"/>
              <w:ind w:left="202" w:right="189"/>
              <w:rPr>
                <w:rFonts w:ascii="Times New Roman"/>
                <w:sz w:val="21"/>
              </w:rPr>
            </w:pPr>
            <w:r>
              <w:rPr>
                <w:rFonts w:ascii="Times New Roman"/>
                <w:sz w:val="21"/>
              </w:rPr>
              <w:t>71-43-2</w:t>
            </w:r>
          </w:p>
        </w:tc>
        <w:tc>
          <w:tcPr>
            <w:tcW w:w="953" w:type="dxa"/>
          </w:tcPr>
          <w:p>
            <w:pPr>
              <w:pStyle w:val="TableParagraph"/>
              <w:spacing w:line="238" w:lineRule="exact" w:before="15"/>
              <w:ind w:left="8"/>
              <w:rPr>
                <w:rFonts w:ascii="Times New Roman"/>
                <w:sz w:val="21"/>
              </w:rPr>
            </w:pPr>
            <w:r>
              <w:rPr>
                <w:rFonts w:ascii="Times New Roman"/>
                <w:w w:val="100"/>
                <w:sz w:val="21"/>
              </w:rPr>
              <w:t>1</w:t>
            </w:r>
          </w:p>
        </w:tc>
        <w:tc>
          <w:tcPr>
            <w:tcW w:w="934" w:type="dxa"/>
          </w:tcPr>
          <w:p>
            <w:pPr>
              <w:pStyle w:val="TableParagraph"/>
              <w:spacing w:line="238" w:lineRule="exact" w:before="15"/>
              <w:ind w:left="4"/>
              <w:rPr>
                <w:rFonts w:ascii="Times New Roman"/>
                <w:sz w:val="21"/>
              </w:rPr>
            </w:pPr>
            <w:r>
              <w:rPr>
                <w:rFonts w:ascii="Times New Roman"/>
                <w:w w:val="100"/>
                <w:sz w:val="21"/>
              </w:rPr>
              <w:t>4</w:t>
            </w:r>
          </w:p>
        </w:tc>
        <w:tc>
          <w:tcPr>
            <w:tcW w:w="967" w:type="dxa"/>
          </w:tcPr>
          <w:p>
            <w:pPr>
              <w:pStyle w:val="TableParagraph"/>
              <w:spacing w:line="238" w:lineRule="exact" w:before="15"/>
              <w:ind w:left="141" w:right="133"/>
              <w:rPr>
                <w:rFonts w:ascii="Times New Roman"/>
                <w:sz w:val="21"/>
              </w:rPr>
            </w:pPr>
            <w:r>
              <w:rPr>
                <w:rFonts w:ascii="Times New Roman"/>
                <w:sz w:val="21"/>
              </w:rPr>
              <w:t>10</w:t>
            </w:r>
          </w:p>
        </w:tc>
        <w:tc>
          <w:tcPr>
            <w:tcW w:w="956" w:type="dxa"/>
          </w:tcPr>
          <w:p>
            <w:pPr>
              <w:pStyle w:val="TableParagraph"/>
              <w:spacing w:line="238" w:lineRule="exact" w:before="15"/>
              <w:ind w:left="141" w:right="131"/>
              <w:rPr>
                <w:rFonts w:ascii="Times New Roman"/>
                <w:sz w:val="21"/>
              </w:rPr>
            </w:pPr>
            <w:r>
              <w:rPr>
                <w:rFonts w:ascii="Times New Roman"/>
                <w:sz w:val="21"/>
              </w:rPr>
              <w:t>40</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27</w:t>
            </w:r>
          </w:p>
        </w:tc>
        <w:tc>
          <w:tcPr>
            <w:tcW w:w="2244" w:type="dxa"/>
          </w:tcPr>
          <w:p>
            <w:pPr>
              <w:pStyle w:val="TableParagraph"/>
              <w:spacing w:line="250" w:lineRule="exact" w:before="1"/>
              <w:ind w:left="88" w:right="76"/>
              <w:rPr>
                <w:sz w:val="21"/>
              </w:rPr>
            </w:pPr>
            <w:r>
              <w:rPr>
                <w:sz w:val="21"/>
              </w:rPr>
              <w:t>氯苯</w:t>
            </w:r>
          </w:p>
        </w:tc>
        <w:tc>
          <w:tcPr>
            <w:tcW w:w="1423" w:type="dxa"/>
          </w:tcPr>
          <w:p>
            <w:pPr>
              <w:pStyle w:val="TableParagraph"/>
              <w:spacing w:line="236" w:lineRule="exact" w:before="15"/>
              <w:ind w:left="202" w:right="189"/>
              <w:rPr>
                <w:rFonts w:ascii="Times New Roman"/>
                <w:sz w:val="21"/>
              </w:rPr>
            </w:pPr>
            <w:r>
              <w:rPr>
                <w:rFonts w:ascii="Times New Roman"/>
                <w:sz w:val="21"/>
              </w:rPr>
              <w:t>108-90-7</w:t>
            </w:r>
          </w:p>
        </w:tc>
        <w:tc>
          <w:tcPr>
            <w:tcW w:w="953" w:type="dxa"/>
          </w:tcPr>
          <w:p>
            <w:pPr>
              <w:pStyle w:val="TableParagraph"/>
              <w:spacing w:line="236" w:lineRule="exact" w:before="15"/>
              <w:ind w:left="324" w:right="316"/>
              <w:rPr>
                <w:rFonts w:ascii="Times New Roman"/>
                <w:sz w:val="21"/>
              </w:rPr>
            </w:pPr>
            <w:r>
              <w:rPr>
                <w:rFonts w:ascii="Times New Roman"/>
                <w:sz w:val="21"/>
              </w:rPr>
              <w:t>68</w:t>
            </w:r>
          </w:p>
        </w:tc>
        <w:tc>
          <w:tcPr>
            <w:tcW w:w="934" w:type="dxa"/>
          </w:tcPr>
          <w:p>
            <w:pPr>
              <w:pStyle w:val="TableParagraph"/>
              <w:spacing w:line="236" w:lineRule="exact" w:before="15"/>
              <w:ind w:right="297"/>
              <w:jc w:val="right"/>
              <w:rPr>
                <w:rFonts w:ascii="Times New Roman"/>
                <w:sz w:val="21"/>
              </w:rPr>
            </w:pPr>
            <w:r>
              <w:rPr>
                <w:rFonts w:ascii="Times New Roman"/>
                <w:sz w:val="21"/>
              </w:rPr>
              <w:t>270</w:t>
            </w:r>
          </w:p>
        </w:tc>
        <w:tc>
          <w:tcPr>
            <w:tcW w:w="967" w:type="dxa"/>
          </w:tcPr>
          <w:p>
            <w:pPr>
              <w:pStyle w:val="TableParagraph"/>
              <w:spacing w:line="236" w:lineRule="exact" w:before="15"/>
              <w:ind w:right="313"/>
              <w:jc w:val="right"/>
              <w:rPr>
                <w:rFonts w:ascii="Times New Roman"/>
                <w:sz w:val="21"/>
              </w:rPr>
            </w:pPr>
            <w:r>
              <w:rPr>
                <w:rFonts w:ascii="Times New Roman"/>
                <w:sz w:val="21"/>
              </w:rPr>
              <w:t>200</w:t>
            </w:r>
          </w:p>
        </w:tc>
        <w:tc>
          <w:tcPr>
            <w:tcW w:w="956" w:type="dxa"/>
          </w:tcPr>
          <w:p>
            <w:pPr>
              <w:pStyle w:val="TableParagraph"/>
              <w:spacing w:line="236" w:lineRule="exact" w:before="15"/>
              <w:ind w:right="254"/>
              <w:jc w:val="right"/>
              <w:rPr>
                <w:rFonts w:ascii="Times New Roman"/>
                <w:sz w:val="21"/>
              </w:rPr>
            </w:pPr>
            <w:r>
              <w:rPr>
                <w:rFonts w:ascii="Times New Roman"/>
                <w:sz w:val="21"/>
              </w:rPr>
              <w:t>1000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28</w:t>
            </w:r>
          </w:p>
        </w:tc>
        <w:tc>
          <w:tcPr>
            <w:tcW w:w="2244" w:type="dxa"/>
          </w:tcPr>
          <w:p>
            <w:pPr>
              <w:pStyle w:val="TableParagraph"/>
              <w:spacing w:line="252" w:lineRule="exact" w:before="1"/>
              <w:ind w:left="88" w:right="76"/>
              <w:rPr>
                <w:sz w:val="21"/>
              </w:rPr>
            </w:pPr>
            <w:r>
              <w:rPr>
                <w:rFonts w:ascii="Times New Roman" w:eastAsia="Times New Roman"/>
                <w:sz w:val="21"/>
              </w:rPr>
              <w:t>1,2-</w:t>
            </w:r>
            <w:r>
              <w:rPr>
                <w:sz w:val="21"/>
              </w:rPr>
              <w:t>二氯苯</w:t>
            </w:r>
          </w:p>
        </w:tc>
        <w:tc>
          <w:tcPr>
            <w:tcW w:w="1423" w:type="dxa"/>
          </w:tcPr>
          <w:p>
            <w:pPr>
              <w:pStyle w:val="TableParagraph"/>
              <w:spacing w:line="238" w:lineRule="exact" w:before="15"/>
              <w:ind w:left="202" w:right="189"/>
              <w:rPr>
                <w:rFonts w:ascii="Times New Roman"/>
                <w:sz w:val="21"/>
              </w:rPr>
            </w:pPr>
            <w:r>
              <w:rPr>
                <w:rFonts w:ascii="Times New Roman"/>
                <w:sz w:val="21"/>
              </w:rPr>
              <w:t>95-50-1</w:t>
            </w:r>
          </w:p>
        </w:tc>
        <w:tc>
          <w:tcPr>
            <w:tcW w:w="953" w:type="dxa"/>
          </w:tcPr>
          <w:p>
            <w:pPr>
              <w:pStyle w:val="TableParagraph"/>
              <w:spacing w:line="238" w:lineRule="exact" w:before="15"/>
              <w:ind w:left="317"/>
              <w:jc w:val="left"/>
              <w:rPr>
                <w:rFonts w:ascii="Times New Roman"/>
                <w:sz w:val="21"/>
              </w:rPr>
            </w:pPr>
            <w:r>
              <w:rPr>
                <w:rFonts w:ascii="Times New Roman"/>
                <w:sz w:val="21"/>
              </w:rPr>
              <w:t>560</w:t>
            </w:r>
          </w:p>
        </w:tc>
        <w:tc>
          <w:tcPr>
            <w:tcW w:w="934" w:type="dxa"/>
          </w:tcPr>
          <w:p>
            <w:pPr>
              <w:pStyle w:val="TableParagraph"/>
              <w:spacing w:line="238" w:lineRule="exact" w:before="15"/>
              <w:ind w:right="297"/>
              <w:jc w:val="right"/>
              <w:rPr>
                <w:rFonts w:ascii="Times New Roman"/>
                <w:sz w:val="21"/>
              </w:rPr>
            </w:pPr>
            <w:r>
              <w:rPr>
                <w:rFonts w:ascii="Times New Roman"/>
                <w:sz w:val="21"/>
              </w:rPr>
              <w:t>560</w:t>
            </w:r>
          </w:p>
        </w:tc>
        <w:tc>
          <w:tcPr>
            <w:tcW w:w="967" w:type="dxa"/>
          </w:tcPr>
          <w:p>
            <w:pPr>
              <w:pStyle w:val="TableParagraph"/>
              <w:spacing w:line="238" w:lineRule="exact" w:before="15"/>
              <w:ind w:right="313"/>
              <w:jc w:val="right"/>
              <w:rPr>
                <w:rFonts w:ascii="Times New Roman"/>
                <w:sz w:val="21"/>
              </w:rPr>
            </w:pPr>
            <w:r>
              <w:rPr>
                <w:rFonts w:ascii="Times New Roman"/>
                <w:sz w:val="21"/>
              </w:rPr>
              <w:t>560</w:t>
            </w:r>
          </w:p>
        </w:tc>
        <w:tc>
          <w:tcPr>
            <w:tcW w:w="956" w:type="dxa"/>
          </w:tcPr>
          <w:p>
            <w:pPr>
              <w:pStyle w:val="TableParagraph"/>
              <w:spacing w:line="238" w:lineRule="exact" w:before="15"/>
              <w:ind w:right="307"/>
              <w:jc w:val="right"/>
              <w:rPr>
                <w:rFonts w:ascii="Times New Roman"/>
                <w:sz w:val="21"/>
              </w:rPr>
            </w:pPr>
            <w:r>
              <w:rPr>
                <w:rFonts w:ascii="Times New Roman"/>
                <w:sz w:val="21"/>
              </w:rPr>
              <w:t>560</w:t>
            </w:r>
          </w:p>
        </w:tc>
        <w:tc>
          <w:tcPr>
            <w:tcW w:w="1191" w:type="dxa"/>
          </w:tcPr>
          <w:p>
            <w:pPr>
              <w:pStyle w:val="TableParagraph"/>
              <w:spacing w:line="252"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29</w:t>
            </w:r>
          </w:p>
        </w:tc>
        <w:tc>
          <w:tcPr>
            <w:tcW w:w="2244" w:type="dxa"/>
          </w:tcPr>
          <w:p>
            <w:pPr>
              <w:pStyle w:val="TableParagraph"/>
              <w:spacing w:line="252" w:lineRule="exact" w:before="1"/>
              <w:ind w:left="88" w:right="76"/>
              <w:rPr>
                <w:sz w:val="21"/>
              </w:rPr>
            </w:pPr>
            <w:r>
              <w:rPr>
                <w:rFonts w:ascii="Times New Roman" w:eastAsia="Times New Roman"/>
                <w:sz w:val="21"/>
              </w:rPr>
              <w:t>1,4-</w:t>
            </w:r>
            <w:r>
              <w:rPr>
                <w:sz w:val="21"/>
              </w:rPr>
              <w:t>二氯苯</w:t>
            </w:r>
          </w:p>
        </w:tc>
        <w:tc>
          <w:tcPr>
            <w:tcW w:w="1423" w:type="dxa"/>
          </w:tcPr>
          <w:p>
            <w:pPr>
              <w:pStyle w:val="TableParagraph"/>
              <w:spacing w:line="238" w:lineRule="exact" w:before="15"/>
              <w:ind w:left="202" w:right="189"/>
              <w:rPr>
                <w:rFonts w:ascii="Times New Roman"/>
                <w:sz w:val="21"/>
              </w:rPr>
            </w:pPr>
            <w:r>
              <w:rPr>
                <w:rFonts w:ascii="Times New Roman"/>
                <w:sz w:val="21"/>
              </w:rPr>
              <w:t>106-46-7</w:t>
            </w:r>
          </w:p>
        </w:tc>
        <w:tc>
          <w:tcPr>
            <w:tcW w:w="953" w:type="dxa"/>
          </w:tcPr>
          <w:p>
            <w:pPr>
              <w:pStyle w:val="TableParagraph"/>
              <w:spacing w:line="238" w:lineRule="exact" w:before="15"/>
              <w:ind w:left="324" w:right="316"/>
              <w:rPr>
                <w:rFonts w:ascii="Times New Roman"/>
                <w:sz w:val="21"/>
              </w:rPr>
            </w:pPr>
            <w:r>
              <w:rPr>
                <w:rFonts w:ascii="Times New Roman"/>
                <w:sz w:val="21"/>
              </w:rPr>
              <w:t>5.6</w:t>
            </w:r>
          </w:p>
        </w:tc>
        <w:tc>
          <w:tcPr>
            <w:tcW w:w="934" w:type="dxa"/>
          </w:tcPr>
          <w:p>
            <w:pPr>
              <w:pStyle w:val="TableParagraph"/>
              <w:spacing w:line="238" w:lineRule="exact" w:before="15"/>
              <w:ind w:left="179" w:right="175"/>
              <w:rPr>
                <w:rFonts w:ascii="Times New Roman"/>
                <w:sz w:val="21"/>
              </w:rPr>
            </w:pPr>
            <w:r>
              <w:rPr>
                <w:rFonts w:ascii="Times New Roman"/>
                <w:sz w:val="21"/>
              </w:rPr>
              <w:t>20</w:t>
            </w:r>
          </w:p>
        </w:tc>
        <w:tc>
          <w:tcPr>
            <w:tcW w:w="967" w:type="dxa"/>
          </w:tcPr>
          <w:p>
            <w:pPr>
              <w:pStyle w:val="TableParagraph"/>
              <w:spacing w:line="238" w:lineRule="exact" w:before="15"/>
              <w:ind w:left="141" w:right="133"/>
              <w:rPr>
                <w:rFonts w:ascii="Times New Roman"/>
                <w:sz w:val="21"/>
              </w:rPr>
            </w:pPr>
            <w:r>
              <w:rPr>
                <w:rFonts w:ascii="Times New Roman"/>
                <w:sz w:val="21"/>
              </w:rPr>
              <w:t>56</w:t>
            </w:r>
          </w:p>
        </w:tc>
        <w:tc>
          <w:tcPr>
            <w:tcW w:w="956" w:type="dxa"/>
          </w:tcPr>
          <w:p>
            <w:pPr>
              <w:pStyle w:val="TableParagraph"/>
              <w:spacing w:line="238" w:lineRule="exact" w:before="15"/>
              <w:ind w:right="307"/>
              <w:jc w:val="right"/>
              <w:rPr>
                <w:rFonts w:ascii="Times New Roman"/>
                <w:sz w:val="21"/>
              </w:rPr>
            </w:pPr>
            <w:r>
              <w:rPr>
                <w:rFonts w:ascii="Times New Roman"/>
                <w:sz w:val="21"/>
              </w:rPr>
              <w:t>200</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30</w:t>
            </w:r>
          </w:p>
        </w:tc>
        <w:tc>
          <w:tcPr>
            <w:tcW w:w="2244" w:type="dxa"/>
          </w:tcPr>
          <w:p>
            <w:pPr>
              <w:pStyle w:val="TableParagraph"/>
              <w:spacing w:line="250" w:lineRule="exact" w:before="1"/>
              <w:ind w:left="88" w:right="76"/>
              <w:rPr>
                <w:sz w:val="21"/>
              </w:rPr>
            </w:pPr>
            <w:r>
              <w:rPr>
                <w:sz w:val="21"/>
              </w:rPr>
              <w:t>乙苯</w:t>
            </w:r>
          </w:p>
        </w:tc>
        <w:tc>
          <w:tcPr>
            <w:tcW w:w="1423" w:type="dxa"/>
          </w:tcPr>
          <w:p>
            <w:pPr>
              <w:pStyle w:val="TableParagraph"/>
              <w:spacing w:line="236" w:lineRule="exact" w:before="15"/>
              <w:ind w:left="202" w:right="189"/>
              <w:rPr>
                <w:rFonts w:ascii="Times New Roman"/>
                <w:sz w:val="21"/>
              </w:rPr>
            </w:pPr>
            <w:r>
              <w:rPr>
                <w:rFonts w:ascii="Times New Roman"/>
                <w:sz w:val="21"/>
              </w:rPr>
              <w:t>100-41-4</w:t>
            </w:r>
          </w:p>
        </w:tc>
        <w:tc>
          <w:tcPr>
            <w:tcW w:w="953" w:type="dxa"/>
          </w:tcPr>
          <w:p>
            <w:pPr>
              <w:pStyle w:val="TableParagraph"/>
              <w:spacing w:line="236" w:lineRule="exact" w:before="15"/>
              <w:ind w:left="324" w:right="316"/>
              <w:rPr>
                <w:rFonts w:ascii="Times New Roman"/>
                <w:sz w:val="21"/>
              </w:rPr>
            </w:pPr>
            <w:r>
              <w:rPr>
                <w:rFonts w:ascii="Times New Roman"/>
                <w:sz w:val="21"/>
              </w:rPr>
              <w:t>7.2</w:t>
            </w:r>
          </w:p>
        </w:tc>
        <w:tc>
          <w:tcPr>
            <w:tcW w:w="934" w:type="dxa"/>
          </w:tcPr>
          <w:p>
            <w:pPr>
              <w:pStyle w:val="TableParagraph"/>
              <w:spacing w:line="236" w:lineRule="exact" w:before="15"/>
              <w:ind w:left="179" w:right="175"/>
              <w:rPr>
                <w:rFonts w:ascii="Times New Roman"/>
                <w:sz w:val="21"/>
              </w:rPr>
            </w:pPr>
            <w:r>
              <w:rPr>
                <w:rFonts w:ascii="Times New Roman"/>
                <w:sz w:val="21"/>
              </w:rPr>
              <w:t>28</w:t>
            </w:r>
          </w:p>
        </w:tc>
        <w:tc>
          <w:tcPr>
            <w:tcW w:w="967" w:type="dxa"/>
          </w:tcPr>
          <w:p>
            <w:pPr>
              <w:pStyle w:val="TableParagraph"/>
              <w:spacing w:line="236" w:lineRule="exact" w:before="15"/>
              <w:ind w:left="141" w:right="133"/>
              <w:rPr>
                <w:rFonts w:ascii="Times New Roman"/>
                <w:sz w:val="21"/>
              </w:rPr>
            </w:pPr>
            <w:r>
              <w:rPr>
                <w:rFonts w:ascii="Times New Roman"/>
                <w:sz w:val="21"/>
              </w:rPr>
              <w:t>72</w:t>
            </w:r>
          </w:p>
        </w:tc>
        <w:tc>
          <w:tcPr>
            <w:tcW w:w="956" w:type="dxa"/>
          </w:tcPr>
          <w:p>
            <w:pPr>
              <w:pStyle w:val="TableParagraph"/>
              <w:spacing w:line="236" w:lineRule="exact" w:before="15"/>
              <w:ind w:right="307"/>
              <w:jc w:val="right"/>
              <w:rPr>
                <w:rFonts w:ascii="Times New Roman"/>
                <w:sz w:val="21"/>
              </w:rPr>
            </w:pPr>
            <w:r>
              <w:rPr>
                <w:rFonts w:ascii="Times New Roman"/>
                <w:sz w:val="21"/>
              </w:rPr>
              <w:t>280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31</w:t>
            </w:r>
          </w:p>
        </w:tc>
        <w:tc>
          <w:tcPr>
            <w:tcW w:w="2244" w:type="dxa"/>
          </w:tcPr>
          <w:p>
            <w:pPr>
              <w:pStyle w:val="TableParagraph"/>
              <w:spacing w:line="252" w:lineRule="exact" w:before="1"/>
              <w:ind w:left="88" w:right="76"/>
              <w:rPr>
                <w:sz w:val="21"/>
              </w:rPr>
            </w:pPr>
            <w:r>
              <w:rPr>
                <w:sz w:val="21"/>
              </w:rPr>
              <w:t>苯乙烯</w:t>
            </w:r>
          </w:p>
        </w:tc>
        <w:tc>
          <w:tcPr>
            <w:tcW w:w="1423" w:type="dxa"/>
          </w:tcPr>
          <w:p>
            <w:pPr>
              <w:pStyle w:val="TableParagraph"/>
              <w:spacing w:line="238" w:lineRule="exact" w:before="15"/>
              <w:ind w:left="202" w:right="189"/>
              <w:rPr>
                <w:rFonts w:ascii="Times New Roman"/>
                <w:sz w:val="21"/>
              </w:rPr>
            </w:pPr>
            <w:r>
              <w:rPr>
                <w:rFonts w:ascii="Times New Roman"/>
                <w:sz w:val="21"/>
              </w:rPr>
              <w:t>100-42-5</w:t>
            </w:r>
          </w:p>
        </w:tc>
        <w:tc>
          <w:tcPr>
            <w:tcW w:w="953" w:type="dxa"/>
          </w:tcPr>
          <w:p>
            <w:pPr>
              <w:pStyle w:val="TableParagraph"/>
              <w:spacing w:line="238" w:lineRule="exact" w:before="15"/>
              <w:ind w:right="253"/>
              <w:jc w:val="right"/>
              <w:rPr>
                <w:rFonts w:ascii="Times New Roman"/>
                <w:sz w:val="21"/>
              </w:rPr>
            </w:pPr>
            <w:r>
              <w:rPr>
                <w:rFonts w:ascii="Times New Roman"/>
                <w:sz w:val="21"/>
              </w:rPr>
              <w:t>1290</w:t>
            </w:r>
          </w:p>
        </w:tc>
        <w:tc>
          <w:tcPr>
            <w:tcW w:w="934" w:type="dxa"/>
          </w:tcPr>
          <w:p>
            <w:pPr>
              <w:pStyle w:val="TableParagraph"/>
              <w:spacing w:line="238" w:lineRule="exact" w:before="15"/>
              <w:ind w:right="244"/>
              <w:jc w:val="right"/>
              <w:rPr>
                <w:rFonts w:ascii="Times New Roman"/>
                <w:sz w:val="21"/>
              </w:rPr>
            </w:pPr>
            <w:r>
              <w:rPr>
                <w:rFonts w:ascii="Times New Roman"/>
                <w:sz w:val="21"/>
              </w:rPr>
              <w:t>1290</w:t>
            </w:r>
          </w:p>
        </w:tc>
        <w:tc>
          <w:tcPr>
            <w:tcW w:w="967" w:type="dxa"/>
          </w:tcPr>
          <w:p>
            <w:pPr>
              <w:pStyle w:val="TableParagraph"/>
              <w:spacing w:line="238" w:lineRule="exact" w:before="15"/>
              <w:ind w:right="260"/>
              <w:jc w:val="right"/>
              <w:rPr>
                <w:rFonts w:ascii="Times New Roman"/>
                <w:sz w:val="21"/>
              </w:rPr>
            </w:pPr>
            <w:r>
              <w:rPr>
                <w:rFonts w:ascii="Times New Roman"/>
                <w:sz w:val="21"/>
              </w:rPr>
              <w:t>1290</w:t>
            </w:r>
          </w:p>
        </w:tc>
        <w:tc>
          <w:tcPr>
            <w:tcW w:w="956" w:type="dxa"/>
          </w:tcPr>
          <w:p>
            <w:pPr>
              <w:pStyle w:val="TableParagraph"/>
              <w:spacing w:line="238" w:lineRule="exact" w:before="15"/>
              <w:ind w:right="254"/>
              <w:jc w:val="right"/>
              <w:rPr>
                <w:rFonts w:ascii="Times New Roman"/>
                <w:sz w:val="21"/>
              </w:rPr>
            </w:pPr>
            <w:r>
              <w:rPr>
                <w:rFonts w:ascii="Times New Roman"/>
                <w:sz w:val="21"/>
              </w:rPr>
              <w:t>1290</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32</w:t>
            </w:r>
          </w:p>
        </w:tc>
        <w:tc>
          <w:tcPr>
            <w:tcW w:w="2244" w:type="dxa"/>
          </w:tcPr>
          <w:p>
            <w:pPr>
              <w:pStyle w:val="TableParagraph"/>
              <w:spacing w:line="250" w:lineRule="exact" w:before="1"/>
              <w:ind w:left="88" w:right="76"/>
              <w:rPr>
                <w:sz w:val="21"/>
              </w:rPr>
            </w:pPr>
            <w:r>
              <w:rPr>
                <w:sz w:val="21"/>
              </w:rPr>
              <w:t>甲苯</w:t>
            </w:r>
          </w:p>
        </w:tc>
        <w:tc>
          <w:tcPr>
            <w:tcW w:w="1423" w:type="dxa"/>
          </w:tcPr>
          <w:p>
            <w:pPr>
              <w:pStyle w:val="TableParagraph"/>
              <w:spacing w:line="236" w:lineRule="exact" w:before="15"/>
              <w:ind w:left="202" w:right="189"/>
              <w:rPr>
                <w:rFonts w:ascii="Times New Roman"/>
                <w:sz w:val="21"/>
              </w:rPr>
            </w:pPr>
            <w:r>
              <w:rPr>
                <w:rFonts w:ascii="Times New Roman"/>
                <w:sz w:val="21"/>
              </w:rPr>
              <w:t>108-88-3</w:t>
            </w:r>
          </w:p>
        </w:tc>
        <w:tc>
          <w:tcPr>
            <w:tcW w:w="953" w:type="dxa"/>
          </w:tcPr>
          <w:p>
            <w:pPr>
              <w:pStyle w:val="TableParagraph"/>
              <w:spacing w:line="236" w:lineRule="exact" w:before="15"/>
              <w:ind w:right="253"/>
              <w:jc w:val="right"/>
              <w:rPr>
                <w:rFonts w:ascii="Times New Roman"/>
                <w:sz w:val="21"/>
              </w:rPr>
            </w:pPr>
            <w:r>
              <w:rPr>
                <w:rFonts w:ascii="Times New Roman"/>
                <w:sz w:val="21"/>
              </w:rPr>
              <w:t>1200</w:t>
            </w:r>
          </w:p>
        </w:tc>
        <w:tc>
          <w:tcPr>
            <w:tcW w:w="934" w:type="dxa"/>
          </w:tcPr>
          <w:p>
            <w:pPr>
              <w:pStyle w:val="TableParagraph"/>
              <w:spacing w:line="236" w:lineRule="exact" w:before="15"/>
              <w:ind w:right="244"/>
              <w:jc w:val="right"/>
              <w:rPr>
                <w:rFonts w:ascii="Times New Roman"/>
                <w:sz w:val="21"/>
              </w:rPr>
            </w:pPr>
            <w:r>
              <w:rPr>
                <w:rFonts w:ascii="Times New Roman"/>
                <w:sz w:val="21"/>
              </w:rPr>
              <w:t>1200</w:t>
            </w:r>
          </w:p>
        </w:tc>
        <w:tc>
          <w:tcPr>
            <w:tcW w:w="967" w:type="dxa"/>
          </w:tcPr>
          <w:p>
            <w:pPr>
              <w:pStyle w:val="TableParagraph"/>
              <w:spacing w:line="236" w:lineRule="exact" w:before="15"/>
              <w:ind w:right="260"/>
              <w:jc w:val="right"/>
              <w:rPr>
                <w:rFonts w:ascii="Times New Roman"/>
                <w:sz w:val="21"/>
              </w:rPr>
            </w:pPr>
            <w:r>
              <w:rPr>
                <w:rFonts w:ascii="Times New Roman"/>
                <w:sz w:val="21"/>
              </w:rPr>
              <w:t>1200</w:t>
            </w:r>
          </w:p>
        </w:tc>
        <w:tc>
          <w:tcPr>
            <w:tcW w:w="956" w:type="dxa"/>
          </w:tcPr>
          <w:p>
            <w:pPr>
              <w:pStyle w:val="TableParagraph"/>
              <w:spacing w:line="236" w:lineRule="exact" w:before="15"/>
              <w:ind w:right="254"/>
              <w:jc w:val="right"/>
              <w:rPr>
                <w:rFonts w:ascii="Times New Roman"/>
                <w:sz w:val="21"/>
              </w:rPr>
            </w:pPr>
            <w:r>
              <w:rPr>
                <w:rFonts w:ascii="Times New Roman"/>
                <w:sz w:val="21"/>
              </w:rPr>
              <w:t>1200</w:t>
            </w:r>
          </w:p>
        </w:tc>
        <w:tc>
          <w:tcPr>
            <w:tcW w:w="1191" w:type="dxa"/>
          </w:tcPr>
          <w:p>
            <w:pPr>
              <w:pStyle w:val="TableParagraph"/>
              <w:spacing w:line="250" w:lineRule="exact" w:before="1"/>
              <w:ind w:left="155" w:right="143"/>
              <w:rPr>
                <w:sz w:val="21"/>
              </w:rPr>
            </w:pPr>
            <w:r>
              <w:rPr>
                <w:sz w:val="21"/>
              </w:rPr>
              <w:t>基本项目</w:t>
            </w:r>
          </w:p>
        </w:tc>
      </w:tr>
      <w:tr>
        <w:trPr>
          <w:trHeight w:val="484" w:hRule="atLeast"/>
        </w:trPr>
        <w:tc>
          <w:tcPr>
            <w:tcW w:w="619" w:type="dxa"/>
          </w:tcPr>
          <w:p>
            <w:pPr>
              <w:pStyle w:val="TableParagraph"/>
              <w:spacing w:before="123"/>
              <w:ind w:right="193"/>
              <w:jc w:val="right"/>
              <w:rPr>
                <w:rFonts w:ascii="Times New Roman"/>
                <w:sz w:val="21"/>
              </w:rPr>
            </w:pPr>
            <w:r>
              <w:rPr>
                <w:rFonts w:ascii="Times New Roman"/>
                <w:sz w:val="21"/>
              </w:rPr>
              <w:t>33</w:t>
            </w:r>
          </w:p>
        </w:tc>
        <w:tc>
          <w:tcPr>
            <w:tcW w:w="2244" w:type="dxa"/>
          </w:tcPr>
          <w:p>
            <w:pPr>
              <w:pStyle w:val="TableParagraph"/>
              <w:spacing w:before="109"/>
              <w:ind w:left="88" w:right="76"/>
              <w:rPr>
                <w:sz w:val="21"/>
              </w:rPr>
            </w:pPr>
            <w:r>
              <w:rPr>
                <w:sz w:val="21"/>
              </w:rPr>
              <w:t>间二甲苯</w:t>
            </w:r>
            <w:r>
              <w:rPr>
                <w:rFonts w:ascii="Times New Roman" w:eastAsia="Times New Roman"/>
                <w:sz w:val="21"/>
              </w:rPr>
              <w:t>+</w:t>
            </w:r>
            <w:r>
              <w:rPr>
                <w:sz w:val="21"/>
              </w:rPr>
              <w:t>对二甲苯</w:t>
            </w:r>
          </w:p>
        </w:tc>
        <w:tc>
          <w:tcPr>
            <w:tcW w:w="1423" w:type="dxa"/>
          </w:tcPr>
          <w:p>
            <w:pPr>
              <w:pStyle w:val="TableParagraph"/>
              <w:ind w:left="300"/>
              <w:jc w:val="left"/>
              <w:rPr>
                <w:rFonts w:ascii="Times New Roman"/>
                <w:sz w:val="21"/>
              </w:rPr>
            </w:pPr>
            <w:r>
              <w:rPr>
                <w:rFonts w:ascii="Times New Roman"/>
                <w:sz w:val="21"/>
              </w:rPr>
              <w:t>108-38-3,</w:t>
            </w:r>
          </w:p>
          <w:p>
            <w:pPr>
              <w:pStyle w:val="TableParagraph"/>
              <w:spacing w:line="221" w:lineRule="exact" w:before="1"/>
              <w:ind w:left="326"/>
              <w:jc w:val="left"/>
              <w:rPr>
                <w:rFonts w:ascii="Times New Roman"/>
                <w:sz w:val="21"/>
              </w:rPr>
            </w:pPr>
            <w:r>
              <w:rPr>
                <w:rFonts w:ascii="Times New Roman"/>
                <w:sz w:val="21"/>
              </w:rPr>
              <w:t>106-42-3</w:t>
            </w:r>
          </w:p>
        </w:tc>
        <w:tc>
          <w:tcPr>
            <w:tcW w:w="953" w:type="dxa"/>
          </w:tcPr>
          <w:p>
            <w:pPr>
              <w:pStyle w:val="TableParagraph"/>
              <w:spacing w:before="123"/>
              <w:ind w:left="317"/>
              <w:jc w:val="left"/>
              <w:rPr>
                <w:rFonts w:ascii="Times New Roman"/>
                <w:sz w:val="21"/>
              </w:rPr>
            </w:pPr>
            <w:r>
              <w:rPr>
                <w:rFonts w:ascii="Times New Roman"/>
                <w:sz w:val="21"/>
              </w:rPr>
              <w:t>163</w:t>
            </w:r>
          </w:p>
        </w:tc>
        <w:tc>
          <w:tcPr>
            <w:tcW w:w="934" w:type="dxa"/>
          </w:tcPr>
          <w:p>
            <w:pPr>
              <w:pStyle w:val="TableParagraph"/>
              <w:spacing w:before="123"/>
              <w:ind w:right="297"/>
              <w:jc w:val="right"/>
              <w:rPr>
                <w:rFonts w:ascii="Times New Roman"/>
                <w:sz w:val="21"/>
              </w:rPr>
            </w:pPr>
            <w:r>
              <w:rPr>
                <w:rFonts w:ascii="Times New Roman"/>
                <w:sz w:val="21"/>
              </w:rPr>
              <w:t>570</w:t>
            </w:r>
          </w:p>
        </w:tc>
        <w:tc>
          <w:tcPr>
            <w:tcW w:w="967" w:type="dxa"/>
          </w:tcPr>
          <w:p>
            <w:pPr>
              <w:pStyle w:val="TableParagraph"/>
              <w:spacing w:before="123"/>
              <w:ind w:right="313"/>
              <w:jc w:val="right"/>
              <w:rPr>
                <w:rFonts w:ascii="Times New Roman"/>
                <w:sz w:val="21"/>
              </w:rPr>
            </w:pPr>
            <w:r>
              <w:rPr>
                <w:rFonts w:ascii="Times New Roman"/>
                <w:sz w:val="21"/>
              </w:rPr>
              <w:t>500</w:t>
            </w:r>
          </w:p>
        </w:tc>
        <w:tc>
          <w:tcPr>
            <w:tcW w:w="956" w:type="dxa"/>
          </w:tcPr>
          <w:p>
            <w:pPr>
              <w:pStyle w:val="TableParagraph"/>
              <w:spacing w:before="123"/>
              <w:ind w:right="307"/>
              <w:jc w:val="right"/>
              <w:rPr>
                <w:rFonts w:ascii="Times New Roman"/>
                <w:sz w:val="21"/>
              </w:rPr>
            </w:pPr>
            <w:r>
              <w:rPr>
                <w:rFonts w:ascii="Times New Roman"/>
                <w:sz w:val="21"/>
              </w:rPr>
              <w:t>570</w:t>
            </w:r>
          </w:p>
        </w:tc>
        <w:tc>
          <w:tcPr>
            <w:tcW w:w="1191" w:type="dxa"/>
          </w:tcPr>
          <w:p>
            <w:pPr>
              <w:pStyle w:val="TableParagraph"/>
              <w:spacing w:before="109"/>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34</w:t>
            </w:r>
          </w:p>
        </w:tc>
        <w:tc>
          <w:tcPr>
            <w:tcW w:w="2244" w:type="dxa"/>
          </w:tcPr>
          <w:p>
            <w:pPr>
              <w:pStyle w:val="TableParagraph"/>
              <w:spacing w:line="252" w:lineRule="exact" w:before="1"/>
              <w:ind w:left="88" w:right="79"/>
              <w:rPr>
                <w:sz w:val="21"/>
              </w:rPr>
            </w:pPr>
            <w:r>
              <w:rPr>
                <w:sz w:val="21"/>
              </w:rPr>
              <w:t>邻二甲苯</w:t>
            </w:r>
          </w:p>
        </w:tc>
        <w:tc>
          <w:tcPr>
            <w:tcW w:w="1423" w:type="dxa"/>
          </w:tcPr>
          <w:p>
            <w:pPr>
              <w:pStyle w:val="TableParagraph"/>
              <w:spacing w:line="238" w:lineRule="exact" w:before="15"/>
              <w:ind w:left="202" w:right="189"/>
              <w:rPr>
                <w:rFonts w:ascii="Times New Roman"/>
                <w:sz w:val="21"/>
              </w:rPr>
            </w:pPr>
            <w:r>
              <w:rPr>
                <w:rFonts w:ascii="Times New Roman"/>
                <w:sz w:val="21"/>
              </w:rPr>
              <w:t>95-47-6</w:t>
            </w:r>
          </w:p>
        </w:tc>
        <w:tc>
          <w:tcPr>
            <w:tcW w:w="953" w:type="dxa"/>
          </w:tcPr>
          <w:p>
            <w:pPr>
              <w:pStyle w:val="TableParagraph"/>
              <w:spacing w:line="238" w:lineRule="exact" w:before="15"/>
              <w:ind w:left="317"/>
              <w:jc w:val="left"/>
              <w:rPr>
                <w:rFonts w:ascii="Times New Roman"/>
                <w:sz w:val="21"/>
              </w:rPr>
            </w:pPr>
            <w:r>
              <w:rPr>
                <w:rFonts w:ascii="Times New Roman"/>
                <w:sz w:val="21"/>
              </w:rPr>
              <w:t>222</w:t>
            </w:r>
          </w:p>
        </w:tc>
        <w:tc>
          <w:tcPr>
            <w:tcW w:w="934" w:type="dxa"/>
          </w:tcPr>
          <w:p>
            <w:pPr>
              <w:pStyle w:val="TableParagraph"/>
              <w:spacing w:line="238" w:lineRule="exact" w:before="15"/>
              <w:ind w:right="297"/>
              <w:jc w:val="right"/>
              <w:rPr>
                <w:rFonts w:ascii="Times New Roman"/>
                <w:sz w:val="21"/>
              </w:rPr>
            </w:pPr>
            <w:r>
              <w:rPr>
                <w:rFonts w:ascii="Times New Roman"/>
                <w:sz w:val="21"/>
              </w:rPr>
              <w:t>640</w:t>
            </w:r>
          </w:p>
        </w:tc>
        <w:tc>
          <w:tcPr>
            <w:tcW w:w="967" w:type="dxa"/>
          </w:tcPr>
          <w:p>
            <w:pPr>
              <w:pStyle w:val="TableParagraph"/>
              <w:spacing w:line="238" w:lineRule="exact" w:before="15"/>
              <w:ind w:right="313"/>
              <w:jc w:val="right"/>
              <w:rPr>
                <w:rFonts w:ascii="Times New Roman"/>
                <w:sz w:val="21"/>
              </w:rPr>
            </w:pPr>
            <w:r>
              <w:rPr>
                <w:rFonts w:ascii="Times New Roman"/>
                <w:sz w:val="21"/>
              </w:rPr>
              <w:t>640</w:t>
            </w:r>
          </w:p>
        </w:tc>
        <w:tc>
          <w:tcPr>
            <w:tcW w:w="956" w:type="dxa"/>
          </w:tcPr>
          <w:p>
            <w:pPr>
              <w:pStyle w:val="TableParagraph"/>
              <w:spacing w:line="238" w:lineRule="exact" w:before="15"/>
              <w:ind w:right="307"/>
              <w:jc w:val="right"/>
              <w:rPr>
                <w:rFonts w:ascii="Times New Roman"/>
                <w:sz w:val="21"/>
              </w:rPr>
            </w:pPr>
            <w:r>
              <w:rPr>
                <w:rFonts w:ascii="Times New Roman"/>
                <w:sz w:val="21"/>
              </w:rPr>
              <w:t>640</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9287" w:type="dxa"/>
            <w:gridSpan w:val="8"/>
          </w:tcPr>
          <w:p>
            <w:pPr>
              <w:pStyle w:val="TableParagraph"/>
              <w:spacing w:line="250" w:lineRule="exact" w:before="1"/>
              <w:ind w:left="107"/>
              <w:jc w:val="left"/>
              <w:rPr>
                <w:sz w:val="21"/>
              </w:rPr>
            </w:pPr>
            <w:r>
              <w:rPr>
                <w:sz w:val="21"/>
              </w:rPr>
              <w:t>半挥发性有机物</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35</w:t>
            </w:r>
          </w:p>
        </w:tc>
        <w:tc>
          <w:tcPr>
            <w:tcW w:w="2244" w:type="dxa"/>
          </w:tcPr>
          <w:p>
            <w:pPr>
              <w:pStyle w:val="TableParagraph"/>
              <w:spacing w:line="252" w:lineRule="exact" w:before="1"/>
              <w:ind w:left="88" w:right="76"/>
              <w:rPr>
                <w:sz w:val="21"/>
              </w:rPr>
            </w:pPr>
            <w:r>
              <w:rPr>
                <w:sz w:val="21"/>
              </w:rPr>
              <w:t>硝基苯</w:t>
            </w:r>
          </w:p>
        </w:tc>
        <w:tc>
          <w:tcPr>
            <w:tcW w:w="1423" w:type="dxa"/>
          </w:tcPr>
          <w:p>
            <w:pPr>
              <w:pStyle w:val="TableParagraph"/>
              <w:spacing w:line="238" w:lineRule="exact" w:before="15"/>
              <w:ind w:left="202" w:right="189"/>
              <w:rPr>
                <w:rFonts w:ascii="Times New Roman"/>
                <w:sz w:val="21"/>
              </w:rPr>
            </w:pPr>
            <w:r>
              <w:rPr>
                <w:rFonts w:ascii="Times New Roman"/>
                <w:sz w:val="21"/>
              </w:rPr>
              <w:t>98-95-3</w:t>
            </w:r>
          </w:p>
        </w:tc>
        <w:tc>
          <w:tcPr>
            <w:tcW w:w="953" w:type="dxa"/>
          </w:tcPr>
          <w:p>
            <w:pPr>
              <w:pStyle w:val="TableParagraph"/>
              <w:spacing w:line="238" w:lineRule="exact" w:before="15"/>
              <w:ind w:left="324" w:right="316"/>
              <w:rPr>
                <w:rFonts w:ascii="Times New Roman"/>
                <w:sz w:val="21"/>
              </w:rPr>
            </w:pPr>
            <w:r>
              <w:rPr>
                <w:rFonts w:ascii="Times New Roman"/>
                <w:sz w:val="21"/>
              </w:rPr>
              <w:t>34</w:t>
            </w:r>
          </w:p>
        </w:tc>
        <w:tc>
          <w:tcPr>
            <w:tcW w:w="934" w:type="dxa"/>
          </w:tcPr>
          <w:p>
            <w:pPr>
              <w:pStyle w:val="TableParagraph"/>
              <w:spacing w:line="238" w:lineRule="exact" w:before="15"/>
              <w:ind w:left="179" w:right="175"/>
              <w:rPr>
                <w:rFonts w:ascii="Times New Roman"/>
                <w:sz w:val="21"/>
              </w:rPr>
            </w:pPr>
            <w:r>
              <w:rPr>
                <w:rFonts w:ascii="Times New Roman"/>
                <w:sz w:val="21"/>
              </w:rPr>
              <w:t>76</w:t>
            </w:r>
          </w:p>
        </w:tc>
        <w:tc>
          <w:tcPr>
            <w:tcW w:w="967" w:type="dxa"/>
          </w:tcPr>
          <w:p>
            <w:pPr>
              <w:pStyle w:val="TableParagraph"/>
              <w:spacing w:line="238" w:lineRule="exact" w:before="15"/>
              <w:ind w:right="313"/>
              <w:jc w:val="right"/>
              <w:rPr>
                <w:rFonts w:ascii="Times New Roman"/>
                <w:sz w:val="21"/>
              </w:rPr>
            </w:pPr>
            <w:r>
              <w:rPr>
                <w:rFonts w:ascii="Times New Roman"/>
                <w:sz w:val="21"/>
              </w:rPr>
              <w:t>190</w:t>
            </w:r>
          </w:p>
        </w:tc>
        <w:tc>
          <w:tcPr>
            <w:tcW w:w="956" w:type="dxa"/>
          </w:tcPr>
          <w:p>
            <w:pPr>
              <w:pStyle w:val="TableParagraph"/>
              <w:spacing w:line="238" w:lineRule="exact" w:before="15"/>
              <w:ind w:right="307"/>
              <w:jc w:val="right"/>
              <w:rPr>
                <w:rFonts w:ascii="Times New Roman"/>
                <w:sz w:val="21"/>
              </w:rPr>
            </w:pPr>
            <w:r>
              <w:rPr>
                <w:rFonts w:ascii="Times New Roman"/>
                <w:sz w:val="21"/>
              </w:rPr>
              <w:t>760</w:t>
            </w:r>
          </w:p>
        </w:tc>
        <w:tc>
          <w:tcPr>
            <w:tcW w:w="1191" w:type="dxa"/>
          </w:tcPr>
          <w:p>
            <w:pPr>
              <w:pStyle w:val="TableParagraph"/>
              <w:spacing w:line="252" w:lineRule="exact" w:before="1"/>
              <w:ind w:left="155" w:right="143"/>
              <w:rPr>
                <w:sz w:val="21"/>
              </w:rPr>
            </w:pPr>
            <w:r>
              <w:rPr>
                <w:sz w:val="21"/>
              </w:rPr>
              <w:t>基本项目</w:t>
            </w:r>
          </w:p>
        </w:tc>
      </w:tr>
      <w:tr>
        <w:trPr>
          <w:trHeight w:val="271" w:hRule="atLeast"/>
        </w:trPr>
        <w:tc>
          <w:tcPr>
            <w:tcW w:w="619" w:type="dxa"/>
          </w:tcPr>
          <w:p>
            <w:pPr>
              <w:pStyle w:val="TableParagraph"/>
              <w:spacing w:line="236" w:lineRule="exact" w:before="15"/>
              <w:ind w:right="193"/>
              <w:jc w:val="right"/>
              <w:rPr>
                <w:rFonts w:ascii="Times New Roman"/>
                <w:sz w:val="21"/>
              </w:rPr>
            </w:pPr>
            <w:r>
              <w:rPr>
                <w:rFonts w:ascii="Times New Roman"/>
                <w:sz w:val="21"/>
              </w:rPr>
              <w:t>36</w:t>
            </w:r>
          </w:p>
        </w:tc>
        <w:tc>
          <w:tcPr>
            <w:tcW w:w="2244" w:type="dxa"/>
          </w:tcPr>
          <w:p>
            <w:pPr>
              <w:pStyle w:val="TableParagraph"/>
              <w:spacing w:line="250" w:lineRule="exact" w:before="1"/>
              <w:ind w:left="88" w:right="76"/>
              <w:rPr>
                <w:sz w:val="21"/>
              </w:rPr>
            </w:pPr>
            <w:r>
              <w:rPr>
                <w:sz w:val="21"/>
              </w:rPr>
              <w:t>苯胺</w:t>
            </w:r>
          </w:p>
        </w:tc>
        <w:tc>
          <w:tcPr>
            <w:tcW w:w="1423" w:type="dxa"/>
          </w:tcPr>
          <w:p>
            <w:pPr>
              <w:pStyle w:val="TableParagraph"/>
              <w:spacing w:line="236" w:lineRule="exact" w:before="15"/>
              <w:ind w:left="202" w:right="189"/>
              <w:rPr>
                <w:rFonts w:ascii="Times New Roman"/>
                <w:sz w:val="21"/>
              </w:rPr>
            </w:pPr>
            <w:r>
              <w:rPr>
                <w:rFonts w:ascii="Times New Roman"/>
                <w:sz w:val="21"/>
              </w:rPr>
              <w:t>62-53-3</w:t>
            </w:r>
          </w:p>
        </w:tc>
        <w:tc>
          <w:tcPr>
            <w:tcW w:w="953" w:type="dxa"/>
          </w:tcPr>
          <w:p>
            <w:pPr>
              <w:pStyle w:val="TableParagraph"/>
              <w:spacing w:line="236" w:lineRule="exact" w:before="15"/>
              <w:ind w:left="324" w:right="316"/>
              <w:rPr>
                <w:rFonts w:ascii="Times New Roman"/>
                <w:sz w:val="21"/>
              </w:rPr>
            </w:pPr>
            <w:r>
              <w:rPr>
                <w:rFonts w:ascii="Times New Roman"/>
                <w:sz w:val="21"/>
              </w:rPr>
              <w:t>92</w:t>
            </w:r>
          </w:p>
        </w:tc>
        <w:tc>
          <w:tcPr>
            <w:tcW w:w="934" w:type="dxa"/>
          </w:tcPr>
          <w:p>
            <w:pPr>
              <w:pStyle w:val="TableParagraph"/>
              <w:spacing w:line="236" w:lineRule="exact" w:before="15"/>
              <w:ind w:right="297"/>
              <w:jc w:val="right"/>
              <w:rPr>
                <w:rFonts w:ascii="Times New Roman"/>
                <w:sz w:val="21"/>
              </w:rPr>
            </w:pPr>
            <w:r>
              <w:rPr>
                <w:rFonts w:ascii="Times New Roman"/>
                <w:sz w:val="21"/>
              </w:rPr>
              <w:t>260</w:t>
            </w:r>
          </w:p>
        </w:tc>
        <w:tc>
          <w:tcPr>
            <w:tcW w:w="967" w:type="dxa"/>
          </w:tcPr>
          <w:p>
            <w:pPr>
              <w:pStyle w:val="TableParagraph"/>
              <w:spacing w:line="236" w:lineRule="exact" w:before="15"/>
              <w:ind w:right="313"/>
              <w:jc w:val="right"/>
              <w:rPr>
                <w:rFonts w:ascii="Times New Roman"/>
                <w:sz w:val="21"/>
              </w:rPr>
            </w:pPr>
            <w:r>
              <w:rPr>
                <w:rFonts w:ascii="Times New Roman"/>
                <w:sz w:val="21"/>
              </w:rPr>
              <w:t>211</w:t>
            </w:r>
          </w:p>
        </w:tc>
        <w:tc>
          <w:tcPr>
            <w:tcW w:w="956" w:type="dxa"/>
          </w:tcPr>
          <w:p>
            <w:pPr>
              <w:pStyle w:val="TableParagraph"/>
              <w:spacing w:line="236" w:lineRule="exact" w:before="15"/>
              <w:ind w:right="307"/>
              <w:jc w:val="right"/>
              <w:rPr>
                <w:rFonts w:ascii="Times New Roman"/>
                <w:sz w:val="21"/>
              </w:rPr>
            </w:pPr>
            <w:r>
              <w:rPr>
                <w:rFonts w:ascii="Times New Roman"/>
                <w:sz w:val="21"/>
              </w:rPr>
              <w:t>663</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right="193"/>
              <w:jc w:val="right"/>
              <w:rPr>
                <w:rFonts w:ascii="Times New Roman"/>
                <w:sz w:val="21"/>
              </w:rPr>
            </w:pPr>
            <w:r>
              <w:rPr>
                <w:rFonts w:ascii="Times New Roman"/>
                <w:sz w:val="21"/>
              </w:rPr>
              <w:t>37</w:t>
            </w:r>
          </w:p>
        </w:tc>
        <w:tc>
          <w:tcPr>
            <w:tcW w:w="2244" w:type="dxa"/>
          </w:tcPr>
          <w:p>
            <w:pPr>
              <w:pStyle w:val="TableParagraph"/>
              <w:spacing w:line="250" w:lineRule="exact" w:before="3"/>
              <w:ind w:left="88" w:right="79"/>
              <w:rPr>
                <w:sz w:val="21"/>
              </w:rPr>
            </w:pPr>
            <w:r>
              <w:rPr>
                <w:rFonts w:ascii="Times New Roman" w:eastAsia="Times New Roman"/>
                <w:sz w:val="21"/>
              </w:rPr>
              <w:t>2-</w:t>
            </w:r>
            <w:r>
              <w:rPr>
                <w:sz w:val="21"/>
              </w:rPr>
              <w:t>氯酚</w:t>
            </w:r>
          </w:p>
        </w:tc>
        <w:tc>
          <w:tcPr>
            <w:tcW w:w="1423" w:type="dxa"/>
          </w:tcPr>
          <w:p>
            <w:pPr>
              <w:pStyle w:val="TableParagraph"/>
              <w:spacing w:line="236" w:lineRule="exact" w:before="17"/>
              <w:ind w:left="202" w:right="189"/>
              <w:rPr>
                <w:rFonts w:ascii="Times New Roman"/>
                <w:sz w:val="21"/>
              </w:rPr>
            </w:pPr>
            <w:r>
              <w:rPr>
                <w:rFonts w:ascii="Times New Roman"/>
                <w:sz w:val="21"/>
              </w:rPr>
              <w:t>95-57-8</w:t>
            </w:r>
          </w:p>
        </w:tc>
        <w:tc>
          <w:tcPr>
            <w:tcW w:w="953" w:type="dxa"/>
          </w:tcPr>
          <w:p>
            <w:pPr>
              <w:pStyle w:val="TableParagraph"/>
              <w:spacing w:line="236" w:lineRule="exact" w:before="17"/>
              <w:ind w:left="317"/>
              <w:jc w:val="left"/>
              <w:rPr>
                <w:rFonts w:ascii="Times New Roman"/>
                <w:sz w:val="21"/>
              </w:rPr>
            </w:pPr>
            <w:r>
              <w:rPr>
                <w:rFonts w:ascii="Times New Roman"/>
                <w:sz w:val="21"/>
              </w:rPr>
              <w:t>250</w:t>
            </w:r>
          </w:p>
        </w:tc>
        <w:tc>
          <w:tcPr>
            <w:tcW w:w="934" w:type="dxa"/>
          </w:tcPr>
          <w:p>
            <w:pPr>
              <w:pStyle w:val="TableParagraph"/>
              <w:spacing w:line="236" w:lineRule="exact" w:before="17"/>
              <w:ind w:right="244"/>
              <w:jc w:val="right"/>
              <w:rPr>
                <w:rFonts w:ascii="Times New Roman"/>
                <w:sz w:val="21"/>
              </w:rPr>
            </w:pPr>
            <w:r>
              <w:rPr>
                <w:rFonts w:ascii="Times New Roman"/>
                <w:sz w:val="21"/>
              </w:rPr>
              <w:t>2256</w:t>
            </w:r>
          </w:p>
        </w:tc>
        <w:tc>
          <w:tcPr>
            <w:tcW w:w="967" w:type="dxa"/>
          </w:tcPr>
          <w:p>
            <w:pPr>
              <w:pStyle w:val="TableParagraph"/>
              <w:spacing w:line="236" w:lineRule="exact" w:before="17"/>
              <w:ind w:right="313"/>
              <w:jc w:val="right"/>
              <w:rPr>
                <w:rFonts w:ascii="Times New Roman"/>
                <w:sz w:val="21"/>
              </w:rPr>
            </w:pPr>
            <w:r>
              <w:rPr>
                <w:rFonts w:ascii="Times New Roman"/>
                <w:sz w:val="21"/>
              </w:rPr>
              <w:t>500</w:t>
            </w:r>
          </w:p>
        </w:tc>
        <w:tc>
          <w:tcPr>
            <w:tcW w:w="956" w:type="dxa"/>
          </w:tcPr>
          <w:p>
            <w:pPr>
              <w:pStyle w:val="TableParagraph"/>
              <w:spacing w:line="236" w:lineRule="exact" w:before="17"/>
              <w:ind w:right="254"/>
              <w:jc w:val="right"/>
              <w:rPr>
                <w:rFonts w:ascii="Times New Roman"/>
                <w:sz w:val="21"/>
              </w:rPr>
            </w:pPr>
            <w:r>
              <w:rPr>
                <w:rFonts w:ascii="Times New Roman"/>
                <w:sz w:val="21"/>
              </w:rPr>
              <w:t>4500</w:t>
            </w:r>
          </w:p>
        </w:tc>
        <w:tc>
          <w:tcPr>
            <w:tcW w:w="1191" w:type="dxa"/>
          </w:tcPr>
          <w:p>
            <w:pPr>
              <w:pStyle w:val="TableParagraph"/>
              <w:spacing w:line="250" w:lineRule="exact" w:before="3"/>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38</w:t>
            </w:r>
          </w:p>
        </w:tc>
        <w:tc>
          <w:tcPr>
            <w:tcW w:w="2244" w:type="dxa"/>
          </w:tcPr>
          <w:p>
            <w:pPr>
              <w:pStyle w:val="TableParagraph"/>
              <w:spacing w:line="252" w:lineRule="exact" w:before="1"/>
              <w:ind w:left="88" w:right="79"/>
              <w:rPr>
                <w:sz w:val="21"/>
              </w:rPr>
            </w:pPr>
            <w:r>
              <w:rPr>
                <w:sz w:val="21"/>
              </w:rPr>
              <w:t>苯并</w:t>
            </w:r>
            <w:r>
              <w:rPr>
                <w:rFonts w:ascii="Times New Roman" w:eastAsia="Times New Roman"/>
                <w:sz w:val="21"/>
              </w:rPr>
              <w:t>[a]</w:t>
            </w:r>
            <w:r>
              <w:rPr>
                <w:sz w:val="21"/>
              </w:rPr>
              <w:t>蒽</w:t>
            </w:r>
          </w:p>
        </w:tc>
        <w:tc>
          <w:tcPr>
            <w:tcW w:w="1423" w:type="dxa"/>
          </w:tcPr>
          <w:p>
            <w:pPr>
              <w:pStyle w:val="TableParagraph"/>
              <w:spacing w:line="238" w:lineRule="exact" w:before="15"/>
              <w:ind w:left="202" w:right="189"/>
              <w:rPr>
                <w:rFonts w:ascii="Times New Roman"/>
                <w:sz w:val="21"/>
              </w:rPr>
            </w:pPr>
            <w:r>
              <w:rPr>
                <w:rFonts w:ascii="Times New Roman"/>
                <w:sz w:val="21"/>
              </w:rPr>
              <w:t>56-55-3</w:t>
            </w:r>
          </w:p>
        </w:tc>
        <w:tc>
          <w:tcPr>
            <w:tcW w:w="953" w:type="dxa"/>
          </w:tcPr>
          <w:p>
            <w:pPr>
              <w:pStyle w:val="TableParagraph"/>
              <w:spacing w:line="238" w:lineRule="exact" w:before="15"/>
              <w:ind w:left="324" w:right="316"/>
              <w:rPr>
                <w:rFonts w:ascii="Times New Roman"/>
                <w:sz w:val="21"/>
              </w:rPr>
            </w:pPr>
            <w:r>
              <w:rPr>
                <w:rFonts w:ascii="Times New Roman"/>
                <w:sz w:val="21"/>
              </w:rPr>
              <w:t>5.5</w:t>
            </w:r>
          </w:p>
        </w:tc>
        <w:tc>
          <w:tcPr>
            <w:tcW w:w="934" w:type="dxa"/>
          </w:tcPr>
          <w:p>
            <w:pPr>
              <w:pStyle w:val="TableParagraph"/>
              <w:spacing w:line="238" w:lineRule="exact" w:before="15"/>
              <w:ind w:left="179" w:right="175"/>
              <w:rPr>
                <w:rFonts w:ascii="Times New Roman"/>
                <w:sz w:val="21"/>
              </w:rPr>
            </w:pPr>
            <w:r>
              <w:rPr>
                <w:rFonts w:ascii="Times New Roman"/>
                <w:sz w:val="21"/>
              </w:rPr>
              <w:t>15</w:t>
            </w:r>
          </w:p>
        </w:tc>
        <w:tc>
          <w:tcPr>
            <w:tcW w:w="967" w:type="dxa"/>
          </w:tcPr>
          <w:p>
            <w:pPr>
              <w:pStyle w:val="TableParagraph"/>
              <w:spacing w:line="238" w:lineRule="exact" w:before="15"/>
              <w:ind w:left="141" w:right="133"/>
              <w:rPr>
                <w:rFonts w:ascii="Times New Roman"/>
                <w:sz w:val="21"/>
              </w:rPr>
            </w:pPr>
            <w:r>
              <w:rPr>
                <w:rFonts w:ascii="Times New Roman"/>
                <w:sz w:val="21"/>
              </w:rPr>
              <w:t>55</w:t>
            </w:r>
          </w:p>
        </w:tc>
        <w:tc>
          <w:tcPr>
            <w:tcW w:w="956" w:type="dxa"/>
          </w:tcPr>
          <w:p>
            <w:pPr>
              <w:pStyle w:val="TableParagraph"/>
              <w:spacing w:line="238" w:lineRule="exact" w:before="15"/>
              <w:ind w:right="307"/>
              <w:jc w:val="right"/>
              <w:rPr>
                <w:rFonts w:ascii="Times New Roman"/>
                <w:sz w:val="21"/>
              </w:rPr>
            </w:pPr>
            <w:r>
              <w:rPr>
                <w:rFonts w:ascii="Times New Roman"/>
                <w:sz w:val="21"/>
              </w:rPr>
              <w:t>151</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39</w:t>
            </w:r>
          </w:p>
        </w:tc>
        <w:tc>
          <w:tcPr>
            <w:tcW w:w="2244" w:type="dxa"/>
          </w:tcPr>
          <w:p>
            <w:pPr>
              <w:pStyle w:val="TableParagraph"/>
              <w:spacing w:line="250" w:lineRule="exact" w:before="1"/>
              <w:ind w:left="88" w:right="79"/>
              <w:rPr>
                <w:sz w:val="21"/>
              </w:rPr>
            </w:pPr>
            <w:r>
              <w:rPr>
                <w:sz w:val="21"/>
              </w:rPr>
              <w:t>苯并</w:t>
            </w:r>
            <w:r>
              <w:rPr>
                <w:rFonts w:ascii="Times New Roman" w:eastAsia="Times New Roman"/>
                <w:sz w:val="21"/>
              </w:rPr>
              <w:t>[a]</w:t>
            </w:r>
            <w:r>
              <w:rPr>
                <w:sz w:val="21"/>
              </w:rPr>
              <w:t>芘</w:t>
            </w:r>
          </w:p>
        </w:tc>
        <w:tc>
          <w:tcPr>
            <w:tcW w:w="1423" w:type="dxa"/>
          </w:tcPr>
          <w:p>
            <w:pPr>
              <w:pStyle w:val="TableParagraph"/>
              <w:spacing w:line="236" w:lineRule="exact" w:before="15"/>
              <w:ind w:left="202" w:right="189"/>
              <w:rPr>
                <w:rFonts w:ascii="Times New Roman"/>
                <w:sz w:val="21"/>
              </w:rPr>
            </w:pPr>
            <w:r>
              <w:rPr>
                <w:rFonts w:ascii="Times New Roman"/>
                <w:sz w:val="21"/>
              </w:rPr>
              <w:t>50-32-8</w:t>
            </w:r>
          </w:p>
        </w:tc>
        <w:tc>
          <w:tcPr>
            <w:tcW w:w="953" w:type="dxa"/>
          </w:tcPr>
          <w:p>
            <w:pPr>
              <w:pStyle w:val="TableParagraph"/>
              <w:spacing w:line="236" w:lineRule="exact" w:before="15"/>
              <w:ind w:right="280"/>
              <w:jc w:val="right"/>
              <w:rPr>
                <w:rFonts w:ascii="Times New Roman"/>
                <w:sz w:val="21"/>
              </w:rPr>
            </w:pPr>
            <w:r>
              <w:rPr>
                <w:rFonts w:ascii="Times New Roman"/>
                <w:sz w:val="21"/>
              </w:rPr>
              <w:t>0.55</w:t>
            </w:r>
          </w:p>
        </w:tc>
        <w:tc>
          <w:tcPr>
            <w:tcW w:w="934" w:type="dxa"/>
          </w:tcPr>
          <w:p>
            <w:pPr>
              <w:pStyle w:val="TableParagraph"/>
              <w:spacing w:line="236" w:lineRule="exact" w:before="15"/>
              <w:ind w:left="184" w:right="175"/>
              <w:rPr>
                <w:rFonts w:ascii="Times New Roman"/>
                <w:sz w:val="21"/>
              </w:rPr>
            </w:pPr>
            <w:r>
              <w:rPr>
                <w:rFonts w:ascii="Times New Roman"/>
                <w:sz w:val="21"/>
              </w:rPr>
              <w:t>1.5</w:t>
            </w:r>
          </w:p>
        </w:tc>
        <w:tc>
          <w:tcPr>
            <w:tcW w:w="967" w:type="dxa"/>
          </w:tcPr>
          <w:p>
            <w:pPr>
              <w:pStyle w:val="TableParagraph"/>
              <w:spacing w:line="236" w:lineRule="exact" w:before="15"/>
              <w:ind w:left="141" w:right="133"/>
              <w:rPr>
                <w:rFonts w:ascii="Times New Roman"/>
                <w:sz w:val="21"/>
              </w:rPr>
            </w:pPr>
            <w:r>
              <w:rPr>
                <w:rFonts w:ascii="Times New Roman"/>
                <w:sz w:val="21"/>
              </w:rPr>
              <w:t>5.5</w:t>
            </w:r>
          </w:p>
        </w:tc>
        <w:tc>
          <w:tcPr>
            <w:tcW w:w="956" w:type="dxa"/>
          </w:tcPr>
          <w:p>
            <w:pPr>
              <w:pStyle w:val="TableParagraph"/>
              <w:spacing w:line="236" w:lineRule="exact" w:before="15"/>
              <w:ind w:left="141" w:right="131"/>
              <w:rPr>
                <w:rFonts w:ascii="Times New Roman"/>
                <w:sz w:val="21"/>
              </w:rPr>
            </w:pPr>
            <w:r>
              <w:rPr>
                <w:rFonts w:ascii="Times New Roman"/>
                <w:sz w:val="21"/>
              </w:rPr>
              <w:t>15</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right="193"/>
              <w:jc w:val="right"/>
              <w:rPr>
                <w:rFonts w:ascii="Times New Roman"/>
                <w:sz w:val="21"/>
              </w:rPr>
            </w:pPr>
            <w:r>
              <w:rPr>
                <w:rFonts w:ascii="Times New Roman"/>
                <w:sz w:val="21"/>
              </w:rPr>
              <w:t>40</w:t>
            </w:r>
          </w:p>
        </w:tc>
        <w:tc>
          <w:tcPr>
            <w:tcW w:w="2244" w:type="dxa"/>
          </w:tcPr>
          <w:p>
            <w:pPr>
              <w:pStyle w:val="TableParagraph"/>
              <w:spacing w:line="250" w:lineRule="exact" w:before="3"/>
              <w:ind w:left="88" w:right="81"/>
              <w:rPr>
                <w:sz w:val="21"/>
              </w:rPr>
            </w:pPr>
            <w:r>
              <w:rPr>
                <w:sz w:val="21"/>
              </w:rPr>
              <w:t>苯并</w:t>
            </w:r>
            <w:r>
              <w:rPr>
                <w:rFonts w:ascii="Times New Roman" w:eastAsia="Times New Roman"/>
                <w:sz w:val="21"/>
              </w:rPr>
              <w:t>[b]</w:t>
            </w:r>
            <w:r>
              <w:rPr>
                <w:sz w:val="21"/>
              </w:rPr>
              <w:t>荧蒽</w:t>
            </w:r>
          </w:p>
        </w:tc>
        <w:tc>
          <w:tcPr>
            <w:tcW w:w="1423" w:type="dxa"/>
          </w:tcPr>
          <w:p>
            <w:pPr>
              <w:pStyle w:val="TableParagraph"/>
              <w:spacing w:line="236" w:lineRule="exact" w:before="17"/>
              <w:ind w:left="202" w:right="189"/>
              <w:rPr>
                <w:rFonts w:ascii="Times New Roman"/>
                <w:sz w:val="21"/>
              </w:rPr>
            </w:pPr>
            <w:r>
              <w:rPr>
                <w:rFonts w:ascii="Times New Roman"/>
                <w:sz w:val="21"/>
              </w:rPr>
              <w:t>205-99-2</w:t>
            </w:r>
          </w:p>
        </w:tc>
        <w:tc>
          <w:tcPr>
            <w:tcW w:w="953" w:type="dxa"/>
          </w:tcPr>
          <w:p>
            <w:pPr>
              <w:pStyle w:val="TableParagraph"/>
              <w:spacing w:line="236" w:lineRule="exact" w:before="17"/>
              <w:ind w:left="324" w:right="316"/>
              <w:rPr>
                <w:rFonts w:ascii="Times New Roman"/>
                <w:sz w:val="21"/>
              </w:rPr>
            </w:pPr>
            <w:r>
              <w:rPr>
                <w:rFonts w:ascii="Times New Roman"/>
                <w:sz w:val="21"/>
              </w:rPr>
              <w:t>5.5</w:t>
            </w:r>
          </w:p>
        </w:tc>
        <w:tc>
          <w:tcPr>
            <w:tcW w:w="934" w:type="dxa"/>
          </w:tcPr>
          <w:p>
            <w:pPr>
              <w:pStyle w:val="TableParagraph"/>
              <w:spacing w:line="236" w:lineRule="exact" w:before="17"/>
              <w:ind w:left="179" w:right="175"/>
              <w:rPr>
                <w:rFonts w:ascii="Times New Roman"/>
                <w:sz w:val="21"/>
              </w:rPr>
            </w:pPr>
            <w:r>
              <w:rPr>
                <w:rFonts w:ascii="Times New Roman"/>
                <w:sz w:val="21"/>
              </w:rPr>
              <w:t>15</w:t>
            </w:r>
          </w:p>
        </w:tc>
        <w:tc>
          <w:tcPr>
            <w:tcW w:w="967" w:type="dxa"/>
          </w:tcPr>
          <w:p>
            <w:pPr>
              <w:pStyle w:val="TableParagraph"/>
              <w:spacing w:line="236" w:lineRule="exact" w:before="17"/>
              <w:ind w:left="141" w:right="133"/>
              <w:rPr>
                <w:rFonts w:ascii="Times New Roman"/>
                <w:sz w:val="21"/>
              </w:rPr>
            </w:pPr>
            <w:r>
              <w:rPr>
                <w:rFonts w:ascii="Times New Roman"/>
                <w:sz w:val="21"/>
              </w:rPr>
              <w:t>55</w:t>
            </w:r>
          </w:p>
        </w:tc>
        <w:tc>
          <w:tcPr>
            <w:tcW w:w="956" w:type="dxa"/>
          </w:tcPr>
          <w:p>
            <w:pPr>
              <w:pStyle w:val="TableParagraph"/>
              <w:spacing w:line="236" w:lineRule="exact" w:before="17"/>
              <w:ind w:right="307"/>
              <w:jc w:val="right"/>
              <w:rPr>
                <w:rFonts w:ascii="Times New Roman"/>
                <w:sz w:val="21"/>
              </w:rPr>
            </w:pPr>
            <w:r>
              <w:rPr>
                <w:rFonts w:ascii="Times New Roman"/>
                <w:sz w:val="21"/>
              </w:rPr>
              <w:t>151</w:t>
            </w:r>
          </w:p>
        </w:tc>
        <w:tc>
          <w:tcPr>
            <w:tcW w:w="1191" w:type="dxa"/>
          </w:tcPr>
          <w:p>
            <w:pPr>
              <w:pStyle w:val="TableParagraph"/>
              <w:spacing w:line="250" w:lineRule="exact" w:before="3"/>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41</w:t>
            </w:r>
          </w:p>
        </w:tc>
        <w:tc>
          <w:tcPr>
            <w:tcW w:w="2244" w:type="dxa"/>
          </w:tcPr>
          <w:p>
            <w:pPr>
              <w:pStyle w:val="TableParagraph"/>
              <w:spacing w:line="252" w:lineRule="exact" w:before="1"/>
              <w:ind w:left="88" w:right="79"/>
              <w:rPr>
                <w:sz w:val="21"/>
              </w:rPr>
            </w:pPr>
            <w:r>
              <w:rPr>
                <w:sz w:val="21"/>
              </w:rPr>
              <w:t>苯并</w:t>
            </w:r>
            <w:r>
              <w:rPr>
                <w:rFonts w:ascii="Times New Roman" w:eastAsia="Times New Roman"/>
                <w:sz w:val="21"/>
              </w:rPr>
              <w:t>[k]</w:t>
            </w:r>
            <w:r>
              <w:rPr>
                <w:sz w:val="21"/>
              </w:rPr>
              <w:t>荧蒽</w:t>
            </w:r>
          </w:p>
        </w:tc>
        <w:tc>
          <w:tcPr>
            <w:tcW w:w="1423" w:type="dxa"/>
          </w:tcPr>
          <w:p>
            <w:pPr>
              <w:pStyle w:val="TableParagraph"/>
              <w:spacing w:line="238" w:lineRule="exact" w:before="15"/>
              <w:ind w:left="202" w:right="189"/>
              <w:rPr>
                <w:rFonts w:ascii="Times New Roman"/>
                <w:sz w:val="21"/>
              </w:rPr>
            </w:pPr>
            <w:r>
              <w:rPr>
                <w:rFonts w:ascii="Times New Roman"/>
                <w:sz w:val="21"/>
              </w:rPr>
              <w:t>207-08-9</w:t>
            </w:r>
          </w:p>
        </w:tc>
        <w:tc>
          <w:tcPr>
            <w:tcW w:w="953" w:type="dxa"/>
          </w:tcPr>
          <w:p>
            <w:pPr>
              <w:pStyle w:val="TableParagraph"/>
              <w:spacing w:line="238" w:lineRule="exact" w:before="15"/>
              <w:ind w:left="324" w:right="316"/>
              <w:rPr>
                <w:rFonts w:ascii="Times New Roman"/>
                <w:sz w:val="21"/>
              </w:rPr>
            </w:pPr>
            <w:r>
              <w:rPr>
                <w:rFonts w:ascii="Times New Roman"/>
                <w:sz w:val="21"/>
              </w:rPr>
              <w:t>55</w:t>
            </w:r>
          </w:p>
        </w:tc>
        <w:tc>
          <w:tcPr>
            <w:tcW w:w="934" w:type="dxa"/>
          </w:tcPr>
          <w:p>
            <w:pPr>
              <w:pStyle w:val="TableParagraph"/>
              <w:spacing w:line="238" w:lineRule="exact" w:before="15"/>
              <w:ind w:right="297"/>
              <w:jc w:val="right"/>
              <w:rPr>
                <w:rFonts w:ascii="Times New Roman"/>
                <w:sz w:val="21"/>
              </w:rPr>
            </w:pPr>
            <w:r>
              <w:rPr>
                <w:rFonts w:ascii="Times New Roman"/>
                <w:sz w:val="21"/>
              </w:rPr>
              <w:t>151</w:t>
            </w:r>
          </w:p>
        </w:tc>
        <w:tc>
          <w:tcPr>
            <w:tcW w:w="967" w:type="dxa"/>
          </w:tcPr>
          <w:p>
            <w:pPr>
              <w:pStyle w:val="TableParagraph"/>
              <w:spacing w:line="238" w:lineRule="exact" w:before="15"/>
              <w:ind w:right="313"/>
              <w:jc w:val="right"/>
              <w:rPr>
                <w:rFonts w:ascii="Times New Roman"/>
                <w:sz w:val="21"/>
              </w:rPr>
            </w:pPr>
            <w:r>
              <w:rPr>
                <w:rFonts w:ascii="Times New Roman"/>
                <w:sz w:val="21"/>
              </w:rPr>
              <w:t>550</w:t>
            </w:r>
          </w:p>
        </w:tc>
        <w:tc>
          <w:tcPr>
            <w:tcW w:w="956" w:type="dxa"/>
          </w:tcPr>
          <w:p>
            <w:pPr>
              <w:pStyle w:val="TableParagraph"/>
              <w:spacing w:line="238" w:lineRule="exact" w:before="15"/>
              <w:ind w:right="254"/>
              <w:jc w:val="right"/>
              <w:rPr>
                <w:rFonts w:ascii="Times New Roman"/>
                <w:sz w:val="21"/>
              </w:rPr>
            </w:pPr>
            <w:r>
              <w:rPr>
                <w:rFonts w:ascii="Times New Roman"/>
                <w:sz w:val="21"/>
              </w:rPr>
              <w:t>1500</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42</w:t>
            </w:r>
          </w:p>
        </w:tc>
        <w:tc>
          <w:tcPr>
            <w:tcW w:w="2244" w:type="dxa"/>
          </w:tcPr>
          <w:p>
            <w:pPr>
              <w:pStyle w:val="TableParagraph"/>
              <w:spacing w:line="250" w:lineRule="exact" w:before="1"/>
              <w:ind w:left="7"/>
              <w:rPr>
                <w:sz w:val="21"/>
              </w:rPr>
            </w:pPr>
            <w:r>
              <w:rPr>
                <w:w w:val="100"/>
                <w:sz w:val="21"/>
              </w:rPr>
              <w:t>䓛</w:t>
            </w:r>
          </w:p>
        </w:tc>
        <w:tc>
          <w:tcPr>
            <w:tcW w:w="1423" w:type="dxa"/>
          </w:tcPr>
          <w:p>
            <w:pPr>
              <w:pStyle w:val="TableParagraph"/>
              <w:spacing w:line="236" w:lineRule="exact" w:before="15"/>
              <w:ind w:left="202" w:right="189"/>
              <w:rPr>
                <w:rFonts w:ascii="Times New Roman"/>
                <w:sz w:val="21"/>
              </w:rPr>
            </w:pPr>
            <w:r>
              <w:rPr>
                <w:rFonts w:ascii="Times New Roman"/>
                <w:sz w:val="21"/>
              </w:rPr>
              <w:t>218-01-9</w:t>
            </w:r>
          </w:p>
        </w:tc>
        <w:tc>
          <w:tcPr>
            <w:tcW w:w="953" w:type="dxa"/>
          </w:tcPr>
          <w:p>
            <w:pPr>
              <w:pStyle w:val="TableParagraph"/>
              <w:spacing w:line="236" w:lineRule="exact" w:before="15"/>
              <w:ind w:left="317"/>
              <w:jc w:val="left"/>
              <w:rPr>
                <w:rFonts w:ascii="Times New Roman"/>
                <w:sz w:val="21"/>
              </w:rPr>
            </w:pPr>
            <w:r>
              <w:rPr>
                <w:rFonts w:ascii="Times New Roman"/>
                <w:sz w:val="21"/>
              </w:rPr>
              <w:t>490</w:t>
            </w:r>
          </w:p>
        </w:tc>
        <w:tc>
          <w:tcPr>
            <w:tcW w:w="934" w:type="dxa"/>
          </w:tcPr>
          <w:p>
            <w:pPr>
              <w:pStyle w:val="TableParagraph"/>
              <w:spacing w:line="236" w:lineRule="exact" w:before="15"/>
              <w:ind w:right="244"/>
              <w:jc w:val="right"/>
              <w:rPr>
                <w:rFonts w:ascii="Times New Roman"/>
                <w:sz w:val="21"/>
              </w:rPr>
            </w:pPr>
            <w:r>
              <w:rPr>
                <w:rFonts w:ascii="Times New Roman"/>
                <w:sz w:val="21"/>
              </w:rPr>
              <w:t>1293</w:t>
            </w:r>
          </w:p>
        </w:tc>
        <w:tc>
          <w:tcPr>
            <w:tcW w:w="967" w:type="dxa"/>
          </w:tcPr>
          <w:p>
            <w:pPr>
              <w:pStyle w:val="TableParagraph"/>
              <w:spacing w:line="236" w:lineRule="exact" w:before="15"/>
              <w:ind w:right="260"/>
              <w:jc w:val="right"/>
              <w:rPr>
                <w:rFonts w:ascii="Times New Roman"/>
                <w:sz w:val="21"/>
              </w:rPr>
            </w:pPr>
            <w:r>
              <w:rPr>
                <w:rFonts w:ascii="Times New Roman"/>
                <w:sz w:val="21"/>
              </w:rPr>
              <w:t>4900</w:t>
            </w:r>
          </w:p>
        </w:tc>
        <w:tc>
          <w:tcPr>
            <w:tcW w:w="956" w:type="dxa"/>
          </w:tcPr>
          <w:p>
            <w:pPr>
              <w:pStyle w:val="TableParagraph"/>
              <w:spacing w:line="236" w:lineRule="exact" w:before="15"/>
              <w:ind w:right="201"/>
              <w:jc w:val="right"/>
              <w:rPr>
                <w:rFonts w:ascii="Times New Roman"/>
                <w:sz w:val="21"/>
              </w:rPr>
            </w:pPr>
            <w:r>
              <w:rPr>
                <w:rFonts w:ascii="Times New Roman"/>
                <w:sz w:val="21"/>
              </w:rPr>
              <w:t>12900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619" w:type="dxa"/>
          </w:tcPr>
          <w:p>
            <w:pPr>
              <w:pStyle w:val="TableParagraph"/>
              <w:spacing w:line="236" w:lineRule="exact" w:before="17"/>
              <w:ind w:right="193"/>
              <w:jc w:val="right"/>
              <w:rPr>
                <w:rFonts w:ascii="Times New Roman"/>
                <w:sz w:val="21"/>
              </w:rPr>
            </w:pPr>
            <w:r>
              <w:rPr>
                <w:rFonts w:ascii="Times New Roman"/>
                <w:sz w:val="21"/>
              </w:rPr>
              <w:t>43</w:t>
            </w:r>
          </w:p>
        </w:tc>
        <w:tc>
          <w:tcPr>
            <w:tcW w:w="2244" w:type="dxa"/>
          </w:tcPr>
          <w:p>
            <w:pPr>
              <w:pStyle w:val="TableParagraph"/>
              <w:spacing w:line="252" w:lineRule="exact" w:before="1"/>
              <w:ind w:left="88" w:right="76"/>
              <w:rPr>
                <w:sz w:val="21"/>
              </w:rPr>
            </w:pPr>
            <w:r>
              <w:rPr>
                <w:sz w:val="21"/>
              </w:rPr>
              <w:t>二苯并</w:t>
            </w:r>
            <w:r>
              <w:rPr>
                <w:rFonts w:ascii="Times New Roman" w:eastAsia="Times New Roman"/>
                <w:sz w:val="21"/>
              </w:rPr>
              <w:t>[a,h]</w:t>
            </w:r>
            <w:r>
              <w:rPr>
                <w:sz w:val="21"/>
              </w:rPr>
              <w:t>蒽</w:t>
            </w:r>
          </w:p>
        </w:tc>
        <w:tc>
          <w:tcPr>
            <w:tcW w:w="1423" w:type="dxa"/>
          </w:tcPr>
          <w:p>
            <w:pPr>
              <w:pStyle w:val="TableParagraph"/>
              <w:spacing w:line="236" w:lineRule="exact" w:before="17"/>
              <w:ind w:left="202" w:right="189"/>
              <w:rPr>
                <w:rFonts w:ascii="Times New Roman"/>
                <w:sz w:val="21"/>
              </w:rPr>
            </w:pPr>
            <w:r>
              <w:rPr>
                <w:rFonts w:ascii="Times New Roman"/>
                <w:sz w:val="21"/>
              </w:rPr>
              <w:t>53-70-3</w:t>
            </w:r>
          </w:p>
        </w:tc>
        <w:tc>
          <w:tcPr>
            <w:tcW w:w="953" w:type="dxa"/>
          </w:tcPr>
          <w:p>
            <w:pPr>
              <w:pStyle w:val="TableParagraph"/>
              <w:spacing w:line="236" w:lineRule="exact" w:before="17"/>
              <w:ind w:right="280"/>
              <w:jc w:val="right"/>
              <w:rPr>
                <w:rFonts w:ascii="Times New Roman"/>
                <w:sz w:val="21"/>
              </w:rPr>
            </w:pPr>
            <w:r>
              <w:rPr>
                <w:rFonts w:ascii="Times New Roman"/>
                <w:sz w:val="21"/>
              </w:rPr>
              <w:t>0.55</w:t>
            </w:r>
          </w:p>
        </w:tc>
        <w:tc>
          <w:tcPr>
            <w:tcW w:w="934" w:type="dxa"/>
          </w:tcPr>
          <w:p>
            <w:pPr>
              <w:pStyle w:val="TableParagraph"/>
              <w:spacing w:line="236" w:lineRule="exact" w:before="17"/>
              <w:ind w:left="184" w:right="175"/>
              <w:rPr>
                <w:rFonts w:ascii="Times New Roman"/>
                <w:sz w:val="21"/>
              </w:rPr>
            </w:pPr>
            <w:r>
              <w:rPr>
                <w:rFonts w:ascii="Times New Roman"/>
                <w:sz w:val="21"/>
              </w:rPr>
              <w:t>1.5</w:t>
            </w:r>
          </w:p>
        </w:tc>
        <w:tc>
          <w:tcPr>
            <w:tcW w:w="967" w:type="dxa"/>
          </w:tcPr>
          <w:p>
            <w:pPr>
              <w:pStyle w:val="TableParagraph"/>
              <w:spacing w:line="236" w:lineRule="exact" w:before="17"/>
              <w:ind w:left="141" w:right="133"/>
              <w:rPr>
                <w:rFonts w:ascii="Times New Roman"/>
                <w:sz w:val="21"/>
              </w:rPr>
            </w:pPr>
            <w:r>
              <w:rPr>
                <w:rFonts w:ascii="Times New Roman"/>
                <w:sz w:val="21"/>
              </w:rPr>
              <w:t>5.5</w:t>
            </w:r>
          </w:p>
        </w:tc>
        <w:tc>
          <w:tcPr>
            <w:tcW w:w="956" w:type="dxa"/>
          </w:tcPr>
          <w:p>
            <w:pPr>
              <w:pStyle w:val="TableParagraph"/>
              <w:spacing w:line="236" w:lineRule="exact" w:before="17"/>
              <w:ind w:left="141" w:right="131"/>
              <w:rPr>
                <w:rFonts w:ascii="Times New Roman"/>
                <w:sz w:val="21"/>
              </w:rPr>
            </w:pPr>
            <w:r>
              <w:rPr>
                <w:rFonts w:ascii="Times New Roman"/>
                <w:sz w:val="21"/>
              </w:rPr>
              <w:t>15</w:t>
            </w:r>
          </w:p>
        </w:tc>
        <w:tc>
          <w:tcPr>
            <w:tcW w:w="1191" w:type="dxa"/>
          </w:tcPr>
          <w:p>
            <w:pPr>
              <w:pStyle w:val="TableParagraph"/>
              <w:spacing w:line="252" w:lineRule="exact" w:before="1"/>
              <w:ind w:left="155" w:right="143"/>
              <w:rPr>
                <w:sz w:val="21"/>
              </w:rPr>
            </w:pPr>
            <w:r>
              <w:rPr>
                <w:sz w:val="21"/>
              </w:rPr>
              <w:t>基本项目</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44</w:t>
            </w:r>
          </w:p>
        </w:tc>
        <w:tc>
          <w:tcPr>
            <w:tcW w:w="2244" w:type="dxa"/>
          </w:tcPr>
          <w:p>
            <w:pPr>
              <w:pStyle w:val="TableParagraph"/>
              <w:spacing w:line="252" w:lineRule="exact" w:before="1"/>
              <w:ind w:left="88" w:right="79"/>
              <w:rPr>
                <w:sz w:val="21"/>
              </w:rPr>
            </w:pPr>
            <w:r>
              <w:rPr>
                <w:sz w:val="21"/>
              </w:rPr>
              <w:t>茚并</w:t>
            </w:r>
            <w:r>
              <w:rPr>
                <w:rFonts w:ascii="Times New Roman" w:eastAsia="Times New Roman"/>
                <w:sz w:val="21"/>
              </w:rPr>
              <w:t>[1,2,3-cd]</w:t>
            </w:r>
            <w:r>
              <w:rPr>
                <w:sz w:val="21"/>
              </w:rPr>
              <w:t>芘</w:t>
            </w:r>
          </w:p>
        </w:tc>
        <w:tc>
          <w:tcPr>
            <w:tcW w:w="1423" w:type="dxa"/>
          </w:tcPr>
          <w:p>
            <w:pPr>
              <w:pStyle w:val="TableParagraph"/>
              <w:spacing w:line="238" w:lineRule="exact" w:before="15"/>
              <w:ind w:left="202" w:right="189"/>
              <w:rPr>
                <w:rFonts w:ascii="Times New Roman"/>
                <w:sz w:val="21"/>
              </w:rPr>
            </w:pPr>
            <w:r>
              <w:rPr>
                <w:rFonts w:ascii="Times New Roman"/>
                <w:sz w:val="21"/>
              </w:rPr>
              <w:t>193-39-5</w:t>
            </w:r>
          </w:p>
        </w:tc>
        <w:tc>
          <w:tcPr>
            <w:tcW w:w="953" w:type="dxa"/>
          </w:tcPr>
          <w:p>
            <w:pPr>
              <w:pStyle w:val="TableParagraph"/>
              <w:spacing w:line="238" w:lineRule="exact" w:before="15"/>
              <w:ind w:left="324" w:right="316"/>
              <w:rPr>
                <w:rFonts w:ascii="Times New Roman"/>
                <w:sz w:val="21"/>
              </w:rPr>
            </w:pPr>
            <w:r>
              <w:rPr>
                <w:rFonts w:ascii="Times New Roman"/>
                <w:sz w:val="21"/>
              </w:rPr>
              <w:t>5.5</w:t>
            </w:r>
          </w:p>
        </w:tc>
        <w:tc>
          <w:tcPr>
            <w:tcW w:w="934" w:type="dxa"/>
          </w:tcPr>
          <w:p>
            <w:pPr>
              <w:pStyle w:val="TableParagraph"/>
              <w:spacing w:line="238" w:lineRule="exact" w:before="15"/>
              <w:ind w:left="179" w:right="175"/>
              <w:rPr>
                <w:rFonts w:ascii="Times New Roman"/>
                <w:sz w:val="21"/>
              </w:rPr>
            </w:pPr>
            <w:r>
              <w:rPr>
                <w:rFonts w:ascii="Times New Roman"/>
                <w:sz w:val="21"/>
              </w:rPr>
              <w:t>15</w:t>
            </w:r>
          </w:p>
        </w:tc>
        <w:tc>
          <w:tcPr>
            <w:tcW w:w="967" w:type="dxa"/>
          </w:tcPr>
          <w:p>
            <w:pPr>
              <w:pStyle w:val="TableParagraph"/>
              <w:spacing w:line="238" w:lineRule="exact" w:before="15"/>
              <w:ind w:left="141" w:right="133"/>
              <w:rPr>
                <w:rFonts w:ascii="Times New Roman"/>
                <w:sz w:val="21"/>
              </w:rPr>
            </w:pPr>
            <w:r>
              <w:rPr>
                <w:rFonts w:ascii="Times New Roman"/>
                <w:sz w:val="21"/>
              </w:rPr>
              <w:t>55</w:t>
            </w:r>
          </w:p>
        </w:tc>
        <w:tc>
          <w:tcPr>
            <w:tcW w:w="956" w:type="dxa"/>
          </w:tcPr>
          <w:p>
            <w:pPr>
              <w:pStyle w:val="TableParagraph"/>
              <w:spacing w:line="238" w:lineRule="exact" w:before="15"/>
              <w:ind w:right="307"/>
              <w:jc w:val="right"/>
              <w:rPr>
                <w:rFonts w:ascii="Times New Roman"/>
                <w:sz w:val="21"/>
              </w:rPr>
            </w:pPr>
            <w:r>
              <w:rPr>
                <w:rFonts w:ascii="Times New Roman"/>
                <w:sz w:val="21"/>
              </w:rPr>
              <w:t>151</w:t>
            </w:r>
          </w:p>
        </w:tc>
        <w:tc>
          <w:tcPr>
            <w:tcW w:w="1191" w:type="dxa"/>
          </w:tcPr>
          <w:p>
            <w:pPr>
              <w:pStyle w:val="TableParagraph"/>
              <w:spacing w:line="252" w:lineRule="exact" w:before="1"/>
              <w:ind w:left="155" w:right="143"/>
              <w:rPr>
                <w:sz w:val="21"/>
              </w:rPr>
            </w:pPr>
            <w:r>
              <w:rPr>
                <w:sz w:val="21"/>
              </w:rPr>
              <w:t>基本项目</w:t>
            </w:r>
          </w:p>
        </w:tc>
      </w:tr>
      <w:tr>
        <w:trPr>
          <w:trHeight w:val="270" w:hRule="atLeast"/>
        </w:trPr>
        <w:tc>
          <w:tcPr>
            <w:tcW w:w="619" w:type="dxa"/>
          </w:tcPr>
          <w:p>
            <w:pPr>
              <w:pStyle w:val="TableParagraph"/>
              <w:spacing w:line="236" w:lineRule="exact" w:before="15"/>
              <w:ind w:right="193"/>
              <w:jc w:val="right"/>
              <w:rPr>
                <w:rFonts w:ascii="Times New Roman"/>
                <w:sz w:val="21"/>
              </w:rPr>
            </w:pPr>
            <w:r>
              <w:rPr>
                <w:rFonts w:ascii="Times New Roman"/>
                <w:sz w:val="21"/>
              </w:rPr>
              <w:t>45</w:t>
            </w:r>
          </w:p>
        </w:tc>
        <w:tc>
          <w:tcPr>
            <w:tcW w:w="2244" w:type="dxa"/>
          </w:tcPr>
          <w:p>
            <w:pPr>
              <w:pStyle w:val="TableParagraph"/>
              <w:spacing w:line="250" w:lineRule="exact" w:before="1"/>
              <w:ind w:left="7"/>
              <w:rPr>
                <w:sz w:val="21"/>
              </w:rPr>
            </w:pPr>
            <w:r>
              <w:rPr>
                <w:w w:val="100"/>
                <w:sz w:val="21"/>
              </w:rPr>
              <w:t>萘</w:t>
            </w:r>
          </w:p>
        </w:tc>
        <w:tc>
          <w:tcPr>
            <w:tcW w:w="1423" w:type="dxa"/>
          </w:tcPr>
          <w:p>
            <w:pPr>
              <w:pStyle w:val="TableParagraph"/>
              <w:spacing w:line="236" w:lineRule="exact" w:before="15"/>
              <w:ind w:left="202" w:right="189"/>
              <w:rPr>
                <w:rFonts w:ascii="Times New Roman"/>
                <w:sz w:val="21"/>
              </w:rPr>
            </w:pPr>
            <w:r>
              <w:rPr>
                <w:rFonts w:ascii="Times New Roman"/>
                <w:sz w:val="21"/>
              </w:rPr>
              <w:t>91-20-3</w:t>
            </w:r>
          </w:p>
        </w:tc>
        <w:tc>
          <w:tcPr>
            <w:tcW w:w="953" w:type="dxa"/>
          </w:tcPr>
          <w:p>
            <w:pPr>
              <w:pStyle w:val="TableParagraph"/>
              <w:spacing w:line="236" w:lineRule="exact" w:before="15"/>
              <w:ind w:left="324" w:right="316"/>
              <w:rPr>
                <w:rFonts w:ascii="Times New Roman"/>
                <w:sz w:val="21"/>
              </w:rPr>
            </w:pPr>
            <w:r>
              <w:rPr>
                <w:rFonts w:ascii="Times New Roman"/>
                <w:sz w:val="21"/>
              </w:rPr>
              <w:t>25</w:t>
            </w:r>
          </w:p>
        </w:tc>
        <w:tc>
          <w:tcPr>
            <w:tcW w:w="934" w:type="dxa"/>
          </w:tcPr>
          <w:p>
            <w:pPr>
              <w:pStyle w:val="TableParagraph"/>
              <w:spacing w:line="236" w:lineRule="exact" w:before="15"/>
              <w:ind w:left="179" w:right="175"/>
              <w:rPr>
                <w:rFonts w:ascii="Times New Roman"/>
                <w:sz w:val="21"/>
              </w:rPr>
            </w:pPr>
            <w:r>
              <w:rPr>
                <w:rFonts w:ascii="Times New Roman"/>
                <w:sz w:val="21"/>
              </w:rPr>
              <w:t>70</w:t>
            </w:r>
          </w:p>
        </w:tc>
        <w:tc>
          <w:tcPr>
            <w:tcW w:w="967" w:type="dxa"/>
          </w:tcPr>
          <w:p>
            <w:pPr>
              <w:pStyle w:val="TableParagraph"/>
              <w:spacing w:line="236" w:lineRule="exact" w:before="15"/>
              <w:ind w:right="313"/>
              <w:jc w:val="right"/>
              <w:rPr>
                <w:rFonts w:ascii="Times New Roman"/>
                <w:sz w:val="21"/>
              </w:rPr>
            </w:pPr>
            <w:r>
              <w:rPr>
                <w:rFonts w:ascii="Times New Roman"/>
                <w:sz w:val="21"/>
              </w:rPr>
              <w:t>255</w:t>
            </w:r>
          </w:p>
        </w:tc>
        <w:tc>
          <w:tcPr>
            <w:tcW w:w="956" w:type="dxa"/>
          </w:tcPr>
          <w:p>
            <w:pPr>
              <w:pStyle w:val="TableParagraph"/>
              <w:spacing w:line="236" w:lineRule="exact" w:before="15"/>
              <w:ind w:right="307"/>
              <w:jc w:val="right"/>
              <w:rPr>
                <w:rFonts w:ascii="Times New Roman"/>
                <w:sz w:val="21"/>
              </w:rPr>
            </w:pPr>
            <w:r>
              <w:rPr>
                <w:rFonts w:ascii="Times New Roman"/>
                <w:sz w:val="21"/>
              </w:rPr>
              <w:t>700</w:t>
            </w:r>
          </w:p>
        </w:tc>
        <w:tc>
          <w:tcPr>
            <w:tcW w:w="1191" w:type="dxa"/>
          </w:tcPr>
          <w:p>
            <w:pPr>
              <w:pStyle w:val="TableParagraph"/>
              <w:spacing w:line="250" w:lineRule="exact" w:before="1"/>
              <w:ind w:left="155" w:right="143"/>
              <w:rPr>
                <w:sz w:val="21"/>
              </w:rPr>
            </w:pPr>
            <w:r>
              <w:rPr>
                <w:sz w:val="21"/>
              </w:rPr>
              <w:t>基本项目</w:t>
            </w:r>
          </w:p>
        </w:tc>
      </w:tr>
      <w:tr>
        <w:trPr>
          <w:trHeight w:val="273" w:hRule="atLeast"/>
        </w:trPr>
        <w:tc>
          <w:tcPr>
            <w:tcW w:w="9287" w:type="dxa"/>
            <w:gridSpan w:val="8"/>
          </w:tcPr>
          <w:p>
            <w:pPr>
              <w:pStyle w:val="TableParagraph"/>
              <w:spacing w:line="252" w:lineRule="exact" w:before="1"/>
              <w:ind w:left="107"/>
              <w:jc w:val="left"/>
              <w:rPr>
                <w:sz w:val="21"/>
              </w:rPr>
            </w:pPr>
            <w:r>
              <w:rPr>
                <w:sz w:val="21"/>
              </w:rPr>
              <w:t>石油烃类</w:t>
            </w:r>
          </w:p>
        </w:tc>
      </w:tr>
      <w:tr>
        <w:trPr>
          <w:trHeight w:val="273" w:hRule="atLeast"/>
        </w:trPr>
        <w:tc>
          <w:tcPr>
            <w:tcW w:w="619" w:type="dxa"/>
          </w:tcPr>
          <w:p>
            <w:pPr>
              <w:pStyle w:val="TableParagraph"/>
              <w:spacing w:line="238" w:lineRule="exact" w:before="15"/>
              <w:ind w:right="193"/>
              <w:jc w:val="right"/>
              <w:rPr>
                <w:rFonts w:ascii="Times New Roman"/>
                <w:sz w:val="21"/>
              </w:rPr>
            </w:pPr>
            <w:r>
              <w:rPr>
                <w:rFonts w:ascii="Times New Roman"/>
                <w:sz w:val="21"/>
              </w:rPr>
              <w:t>46</w:t>
            </w:r>
          </w:p>
        </w:tc>
        <w:tc>
          <w:tcPr>
            <w:tcW w:w="2244" w:type="dxa"/>
          </w:tcPr>
          <w:p>
            <w:pPr>
              <w:pStyle w:val="TableParagraph"/>
              <w:spacing w:line="253" w:lineRule="exact"/>
              <w:ind w:left="88" w:right="79"/>
              <w:rPr>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p>
        </w:tc>
        <w:tc>
          <w:tcPr>
            <w:tcW w:w="1423" w:type="dxa"/>
          </w:tcPr>
          <w:p>
            <w:pPr>
              <w:pStyle w:val="TableParagraph"/>
              <w:spacing w:line="238" w:lineRule="exact" w:before="15"/>
              <w:ind w:left="8"/>
              <w:rPr>
                <w:rFonts w:ascii="Times New Roman" w:hAnsi="Times New Roman"/>
                <w:sz w:val="21"/>
              </w:rPr>
            </w:pPr>
            <w:r>
              <w:rPr>
                <w:rFonts w:ascii="Times New Roman" w:hAnsi="Times New Roman"/>
                <w:w w:val="100"/>
                <w:sz w:val="21"/>
              </w:rPr>
              <w:t>—</w:t>
            </w:r>
          </w:p>
        </w:tc>
        <w:tc>
          <w:tcPr>
            <w:tcW w:w="953" w:type="dxa"/>
          </w:tcPr>
          <w:p>
            <w:pPr>
              <w:pStyle w:val="TableParagraph"/>
              <w:spacing w:line="238" w:lineRule="exact" w:before="15"/>
              <w:ind w:left="317"/>
              <w:jc w:val="left"/>
              <w:rPr>
                <w:rFonts w:ascii="Times New Roman"/>
                <w:sz w:val="21"/>
              </w:rPr>
            </w:pPr>
            <w:r>
              <w:rPr>
                <w:rFonts w:ascii="Times New Roman"/>
                <w:sz w:val="21"/>
              </w:rPr>
              <w:t>826</w:t>
            </w:r>
          </w:p>
        </w:tc>
        <w:tc>
          <w:tcPr>
            <w:tcW w:w="934" w:type="dxa"/>
          </w:tcPr>
          <w:p>
            <w:pPr>
              <w:pStyle w:val="TableParagraph"/>
              <w:spacing w:line="238" w:lineRule="exact" w:before="15"/>
              <w:ind w:right="244"/>
              <w:jc w:val="right"/>
              <w:rPr>
                <w:rFonts w:ascii="Times New Roman"/>
                <w:sz w:val="21"/>
              </w:rPr>
            </w:pPr>
            <w:r>
              <w:rPr>
                <w:rFonts w:ascii="Times New Roman"/>
                <w:sz w:val="21"/>
              </w:rPr>
              <w:t>4500</w:t>
            </w:r>
          </w:p>
        </w:tc>
        <w:tc>
          <w:tcPr>
            <w:tcW w:w="967" w:type="dxa"/>
          </w:tcPr>
          <w:p>
            <w:pPr>
              <w:pStyle w:val="TableParagraph"/>
              <w:spacing w:line="238" w:lineRule="exact" w:before="15"/>
              <w:ind w:right="260"/>
              <w:jc w:val="right"/>
              <w:rPr>
                <w:rFonts w:ascii="Times New Roman"/>
                <w:sz w:val="21"/>
              </w:rPr>
            </w:pPr>
            <w:r>
              <w:rPr>
                <w:rFonts w:ascii="Times New Roman"/>
                <w:sz w:val="21"/>
              </w:rPr>
              <w:t>5000</w:t>
            </w:r>
          </w:p>
        </w:tc>
        <w:tc>
          <w:tcPr>
            <w:tcW w:w="956" w:type="dxa"/>
          </w:tcPr>
          <w:p>
            <w:pPr>
              <w:pStyle w:val="TableParagraph"/>
              <w:spacing w:line="238" w:lineRule="exact" w:before="15"/>
              <w:ind w:right="254"/>
              <w:jc w:val="right"/>
              <w:rPr>
                <w:rFonts w:ascii="Times New Roman"/>
                <w:sz w:val="21"/>
              </w:rPr>
            </w:pPr>
            <w:r>
              <w:rPr>
                <w:rFonts w:ascii="Times New Roman"/>
                <w:sz w:val="21"/>
              </w:rPr>
              <w:t>9000</w:t>
            </w:r>
          </w:p>
        </w:tc>
        <w:tc>
          <w:tcPr>
            <w:tcW w:w="1191" w:type="dxa"/>
          </w:tcPr>
          <w:p>
            <w:pPr>
              <w:pStyle w:val="TableParagraph"/>
              <w:spacing w:line="252" w:lineRule="exact" w:before="1"/>
              <w:ind w:left="155" w:right="143"/>
              <w:rPr>
                <w:sz w:val="21"/>
              </w:rPr>
            </w:pPr>
            <w:r>
              <w:rPr>
                <w:sz w:val="21"/>
              </w:rPr>
              <w:t>其他项目</w:t>
            </w:r>
          </w:p>
        </w:tc>
      </w:tr>
      <w:tr>
        <w:trPr>
          <w:trHeight w:val="270" w:hRule="atLeast"/>
        </w:trPr>
        <w:tc>
          <w:tcPr>
            <w:tcW w:w="9287" w:type="dxa"/>
            <w:gridSpan w:val="8"/>
          </w:tcPr>
          <w:p>
            <w:pPr>
              <w:pStyle w:val="TableParagraph"/>
              <w:spacing w:line="250" w:lineRule="exact" w:before="1"/>
              <w:ind w:left="3444" w:right="3435"/>
              <w:rPr>
                <w:rFonts w:ascii="Times New Roman" w:eastAsia="Times New Roman"/>
                <w:sz w:val="21"/>
              </w:rPr>
            </w:pPr>
            <w:r>
              <w:rPr>
                <w:sz w:val="21"/>
              </w:rPr>
              <w:t>执行标准：</w:t>
            </w:r>
            <w:r>
              <w:rPr>
                <w:rFonts w:ascii="Times New Roman" w:eastAsia="Times New Roman"/>
                <w:sz w:val="21"/>
              </w:rPr>
              <w:t>GB36600-2018</w:t>
            </w:r>
          </w:p>
        </w:tc>
      </w:tr>
    </w:tbl>
    <w:p>
      <w:pPr>
        <w:spacing w:line="249" w:lineRule="auto" w:before="13"/>
        <w:ind w:left="238" w:right="235" w:firstLine="0"/>
        <w:jc w:val="left"/>
        <w:rPr>
          <w:sz w:val="18"/>
        </w:rPr>
      </w:pPr>
      <w:r>
        <w:rPr>
          <w:spacing w:val="-2"/>
          <w:sz w:val="18"/>
        </w:rPr>
        <w:t>注：</w:t>
      </w:r>
      <w:r>
        <w:rPr>
          <w:rFonts w:ascii="Times New Roman" w:eastAsia="Times New Roman"/>
          <w:spacing w:val="-4"/>
          <w:sz w:val="18"/>
        </w:rPr>
        <w:t>*</w:t>
      </w:r>
      <w:r>
        <w:rPr>
          <w:spacing w:val="-5"/>
          <w:sz w:val="18"/>
        </w:rPr>
        <w:t>筛选值：指在特定土地利用方式下，建设用地土壤中污染物含量等于或者低于该值的，对人体健康的风险可以</w:t>
      </w:r>
      <w:r>
        <w:rPr>
          <w:sz w:val="18"/>
        </w:rPr>
        <w:t>忽略；超过该值的，对人体健康可能存在风险，应当开展进一步的详细调查和风险评估，确定具体污染范围和风险水平。</w:t>
      </w:r>
    </w:p>
    <w:p>
      <w:pPr>
        <w:spacing w:line="249" w:lineRule="auto" w:before="1"/>
        <w:ind w:left="238" w:right="147" w:firstLine="0"/>
        <w:jc w:val="left"/>
        <w:rPr>
          <w:sz w:val="18"/>
        </w:rPr>
      </w:pPr>
      <w:r>
        <w:rPr>
          <w:rFonts w:ascii="Times New Roman" w:hAnsi="Times New Roman" w:eastAsia="Times New Roman"/>
          <w:sz w:val="18"/>
        </w:rPr>
        <w:t>**</w:t>
      </w:r>
      <w:r>
        <w:rPr>
          <w:spacing w:val="-5"/>
          <w:sz w:val="18"/>
        </w:rPr>
        <w:t>管制值：指在特定土地利用方式下，建设用地土壤中污染物含量超过该值的，对人体健康通常存在不可接受风险， </w:t>
      </w:r>
      <w:r>
        <w:rPr>
          <w:sz w:val="18"/>
        </w:rPr>
        <w:t>应当采取风险管控或修复措施。：①具体地块土壤中污染物检测含量超过筛选值，但等于或低于土壤环境背景值水</w:t>
      </w:r>
      <w:r>
        <w:rPr>
          <w:spacing w:val="-2"/>
          <w:sz w:val="18"/>
        </w:rPr>
        <w:t>平的，不纳入污染地块管理。土壤环境背景值可参见附录 </w:t>
      </w:r>
      <w:r>
        <w:rPr>
          <w:rFonts w:ascii="Times New Roman" w:hAnsi="Times New Roman" w:eastAsia="Times New Roman"/>
          <w:sz w:val="18"/>
        </w:rPr>
        <w:t>A</w:t>
      </w:r>
      <w:r>
        <w:rPr>
          <w:sz w:val="18"/>
        </w:rPr>
        <w:t>。</w:t>
      </w:r>
    </w:p>
    <w:p>
      <w:pPr>
        <w:pStyle w:val="Heading4"/>
        <w:numPr>
          <w:ilvl w:val="0"/>
          <w:numId w:val="8"/>
        </w:numPr>
        <w:tabs>
          <w:tab w:pos="1003" w:val="left" w:leader="none"/>
        </w:tabs>
        <w:spacing w:line="240" w:lineRule="auto" w:before="146" w:after="0"/>
        <w:ind w:left="1002" w:right="0" w:hanging="282"/>
        <w:jc w:val="left"/>
      </w:pPr>
      <w:r>
        <w:rPr/>
        <w:t>地下水环境质量标准</w:t>
      </w:r>
    </w:p>
    <w:p>
      <w:pPr>
        <w:pStyle w:val="BodyText"/>
        <w:spacing w:before="161"/>
        <w:ind w:left="718"/>
      </w:pPr>
      <w:r>
        <w:rPr/>
        <w:t>根据规划环评，区域地下水参照《地下水环境质量标准》（</w:t>
      </w:r>
      <w:r>
        <w:rPr>
          <w:rFonts w:ascii="Times New Roman" w:hAnsi="Times New Roman" w:eastAsia="Times New Roman"/>
        </w:rPr>
        <w:t>GB/T14848-2017</w:t>
      </w:r>
      <w:r>
        <w:rPr/>
        <w:t>）</w:t>
      </w:r>
      <w:r>
        <w:rPr>
          <w:rFonts w:ascii="Times New Roman" w:hAnsi="Times New Roman" w:eastAsia="Times New Roman"/>
        </w:rPr>
        <w:t>Ⅲ</w:t>
      </w:r>
      <w:r>
        <w:rPr/>
        <w:t>类</w:t>
      </w:r>
    </w:p>
    <w:p>
      <w:pPr>
        <w:spacing w:after="0"/>
        <w:sectPr>
          <w:pgSz w:w="11910" w:h="16840"/>
          <w:pgMar w:header="874" w:footer="944" w:top="1340" w:bottom="1140" w:left="1180" w:right="1180"/>
        </w:sectPr>
      </w:pPr>
    </w:p>
    <w:p>
      <w:pPr>
        <w:pStyle w:val="BodyText"/>
        <w:spacing w:before="70"/>
        <w:ind w:left="238"/>
      </w:pPr>
      <w:r>
        <w:rPr/>
        <w:t>标准进行评价。</w:t>
      </w:r>
    </w:p>
    <w:p>
      <w:pPr>
        <w:pStyle w:val="BodyText"/>
        <w:spacing w:before="6"/>
        <w:rPr>
          <w:sz w:val="23"/>
        </w:rPr>
      </w:pPr>
    </w:p>
    <w:p>
      <w:pPr>
        <w:pStyle w:val="Heading4"/>
        <w:tabs>
          <w:tab w:pos="1582" w:val="left" w:leader="none"/>
          <w:tab w:pos="6208" w:val="left" w:leader="none"/>
        </w:tabs>
        <w:spacing w:after="29"/>
        <w:ind w:left="360"/>
        <w:jc w:val="center"/>
        <w:rPr>
          <w:rFonts w:ascii="Times New Roman" w:eastAsia="Times New Roman"/>
        </w:rPr>
      </w:pPr>
      <w:r>
        <w:rPr/>
        <w:t>表</w:t>
      </w:r>
      <w:r>
        <w:rPr>
          <w:spacing w:val="-60"/>
        </w:rPr>
        <w:t> </w:t>
      </w:r>
      <w:r>
        <w:rPr>
          <w:rFonts w:ascii="Times New Roman" w:eastAsia="Times New Roman"/>
        </w:rPr>
        <w:t>2.3.2-5</w:t>
        <w:tab/>
      </w:r>
      <w:r>
        <w:rPr/>
        <w:t>地下水环境质量标准（</w:t>
      </w:r>
      <w:r>
        <w:rPr>
          <w:rFonts w:ascii="Times New Roman" w:eastAsia="Times New Roman"/>
        </w:rPr>
        <w:t>GB/T14848-2017</w:t>
      </w:r>
      <w:r>
        <w:rPr/>
        <w:t>）</w:t>
        <w:tab/>
        <w:t>单位：除注明外</w:t>
      </w:r>
      <w:r>
        <w:rPr>
          <w:spacing w:val="-60"/>
        </w:rPr>
        <w:t> </w:t>
      </w:r>
      <w:r>
        <w:rPr>
          <w:rFonts w:ascii="Times New Roman" w:eastAsia="Times New Roman"/>
        </w:rPr>
        <w:t>mg/L</w:t>
      </w:r>
    </w:p>
    <w:tbl>
      <w:tblPr>
        <w:tblW w:w="0" w:type="auto"/>
        <w:jc w:val="left"/>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4"/>
        <w:gridCol w:w="1774"/>
        <w:gridCol w:w="2957"/>
        <w:gridCol w:w="1935"/>
      </w:tblGrid>
      <w:tr>
        <w:trPr>
          <w:trHeight w:val="280" w:hRule="atLeast"/>
        </w:trPr>
        <w:tc>
          <w:tcPr>
            <w:tcW w:w="2414" w:type="dxa"/>
          </w:tcPr>
          <w:p>
            <w:pPr>
              <w:pStyle w:val="TableParagraph"/>
              <w:spacing w:line="245" w:lineRule="exact" w:before="15"/>
              <w:ind w:left="13" w:right="4"/>
              <w:rPr>
                <w:b/>
                <w:sz w:val="21"/>
              </w:rPr>
            </w:pPr>
            <w:r>
              <w:rPr>
                <w:b/>
                <w:sz w:val="21"/>
              </w:rPr>
              <w:t>项目</w:t>
            </w:r>
          </w:p>
        </w:tc>
        <w:tc>
          <w:tcPr>
            <w:tcW w:w="1774" w:type="dxa"/>
          </w:tcPr>
          <w:p>
            <w:pPr>
              <w:pStyle w:val="TableParagraph"/>
              <w:spacing w:line="245" w:lineRule="exact" w:before="15"/>
              <w:ind w:left="327" w:right="314"/>
              <w:rPr>
                <w:b/>
                <w:sz w:val="21"/>
              </w:rPr>
            </w:pPr>
            <w:r>
              <w:rPr>
                <w:rFonts w:ascii="Times New Roman" w:hAnsi="Times New Roman" w:eastAsia="Times New Roman"/>
                <w:b/>
                <w:sz w:val="21"/>
              </w:rPr>
              <w:t>Ⅲ</w:t>
            </w:r>
            <w:r>
              <w:rPr>
                <w:b/>
                <w:sz w:val="21"/>
              </w:rPr>
              <w:t>类标准值</w:t>
            </w:r>
          </w:p>
        </w:tc>
        <w:tc>
          <w:tcPr>
            <w:tcW w:w="2957" w:type="dxa"/>
          </w:tcPr>
          <w:p>
            <w:pPr>
              <w:pStyle w:val="TableParagraph"/>
              <w:spacing w:line="245" w:lineRule="exact" w:before="15"/>
              <w:ind w:left="440" w:right="434"/>
              <w:rPr>
                <w:b/>
                <w:sz w:val="21"/>
              </w:rPr>
            </w:pPr>
            <w:r>
              <w:rPr>
                <w:b/>
                <w:sz w:val="21"/>
              </w:rPr>
              <w:t>项目</w:t>
            </w:r>
          </w:p>
        </w:tc>
        <w:tc>
          <w:tcPr>
            <w:tcW w:w="1935" w:type="dxa"/>
          </w:tcPr>
          <w:p>
            <w:pPr>
              <w:pStyle w:val="TableParagraph"/>
              <w:spacing w:line="245" w:lineRule="exact" w:before="15"/>
              <w:ind w:left="406" w:right="396"/>
              <w:rPr>
                <w:b/>
                <w:sz w:val="21"/>
              </w:rPr>
            </w:pPr>
            <w:r>
              <w:rPr>
                <w:rFonts w:ascii="Times New Roman" w:hAnsi="Times New Roman" w:eastAsia="Times New Roman"/>
                <w:b/>
                <w:sz w:val="21"/>
              </w:rPr>
              <w:t>Ⅲ</w:t>
            </w:r>
            <w:r>
              <w:rPr>
                <w:b/>
                <w:sz w:val="21"/>
              </w:rPr>
              <w:t>类标准值</w:t>
            </w:r>
          </w:p>
        </w:tc>
      </w:tr>
      <w:tr>
        <w:trPr>
          <w:trHeight w:val="280" w:hRule="atLeast"/>
        </w:trPr>
        <w:tc>
          <w:tcPr>
            <w:tcW w:w="2414" w:type="dxa"/>
          </w:tcPr>
          <w:p>
            <w:pPr>
              <w:pStyle w:val="TableParagraph"/>
              <w:spacing w:line="245" w:lineRule="exact" w:before="15"/>
              <w:ind w:left="16" w:right="4"/>
              <w:rPr>
                <w:rFonts w:ascii="Times New Roman" w:eastAsia="Times New Roman"/>
                <w:sz w:val="21"/>
              </w:rPr>
            </w:pPr>
            <w:r>
              <w:rPr>
                <w:rFonts w:ascii="Times New Roman" w:eastAsia="Times New Roman"/>
                <w:sz w:val="21"/>
              </w:rPr>
              <w:t>pH(</w:t>
            </w:r>
            <w:r>
              <w:rPr>
                <w:sz w:val="21"/>
              </w:rPr>
              <w:t>无量纲</w:t>
            </w:r>
            <w:r>
              <w:rPr>
                <w:rFonts w:ascii="Times New Roman" w:eastAsia="Times New Roman"/>
                <w:sz w:val="21"/>
              </w:rPr>
              <w:t>)</w:t>
            </w:r>
          </w:p>
        </w:tc>
        <w:tc>
          <w:tcPr>
            <w:tcW w:w="1774" w:type="dxa"/>
          </w:tcPr>
          <w:p>
            <w:pPr>
              <w:pStyle w:val="TableParagraph"/>
              <w:spacing w:line="231" w:lineRule="exact" w:before="29"/>
              <w:ind w:left="325" w:right="314"/>
              <w:rPr>
                <w:rFonts w:ascii="Times New Roman"/>
                <w:sz w:val="21"/>
              </w:rPr>
            </w:pPr>
            <w:r>
              <w:rPr>
                <w:rFonts w:ascii="Times New Roman"/>
                <w:sz w:val="21"/>
              </w:rPr>
              <w:t>6.5~8.5</w:t>
            </w:r>
          </w:p>
        </w:tc>
        <w:tc>
          <w:tcPr>
            <w:tcW w:w="2957" w:type="dxa"/>
          </w:tcPr>
          <w:p>
            <w:pPr>
              <w:pStyle w:val="TableParagraph"/>
              <w:spacing w:line="245" w:lineRule="exact" w:before="15"/>
              <w:ind w:left="442" w:right="434"/>
              <w:rPr>
                <w:sz w:val="21"/>
              </w:rPr>
            </w:pPr>
            <w:r>
              <w:rPr>
                <w:sz w:val="21"/>
              </w:rPr>
              <w:t>色（铂钴色度单位）</w:t>
            </w:r>
          </w:p>
        </w:tc>
        <w:tc>
          <w:tcPr>
            <w:tcW w:w="1935" w:type="dxa"/>
          </w:tcPr>
          <w:p>
            <w:pPr>
              <w:pStyle w:val="TableParagraph"/>
              <w:spacing w:line="231" w:lineRule="exact" w:before="29"/>
              <w:ind w:left="402" w:right="396"/>
              <w:rPr>
                <w:rFonts w:ascii="Times New Roman" w:hAnsi="Times New Roman"/>
                <w:sz w:val="21"/>
              </w:rPr>
            </w:pPr>
            <w:r>
              <w:rPr>
                <w:rFonts w:ascii="Times New Roman" w:hAnsi="Times New Roman"/>
                <w:sz w:val="21"/>
              </w:rPr>
              <w:t>≤15</w:t>
            </w:r>
          </w:p>
        </w:tc>
      </w:tr>
      <w:tr>
        <w:trPr>
          <w:trHeight w:val="280" w:hRule="atLeast"/>
        </w:trPr>
        <w:tc>
          <w:tcPr>
            <w:tcW w:w="2414" w:type="dxa"/>
          </w:tcPr>
          <w:p>
            <w:pPr>
              <w:pStyle w:val="TableParagraph"/>
              <w:spacing w:line="245" w:lineRule="exact" w:before="15"/>
              <w:ind w:left="13" w:right="4"/>
              <w:rPr>
                <w:sz w:val="21"/>
              </w:rPr>
            </w:pPr>
            <w:r>
              <w:rPr>
                <w:sz w:val="21"/>
              </w:rPr>
              <w:t>嗅和味</w:t>
            </w:r>
          </w:p>
        </w:tc>
        <w:tc>
          <w:tcPr>
            <w:tcW w:w="1774" w:type="dxa"/>
          </w:tcPr>
          <w:p>
            <w:pPr>
              <w:pStyle w:val="TableParagraph"/>
              <w:spacing w:line="245" w:lineRule="exact" w:before="15"/>
              <w:ind w:left="8"/>
              <w:rPr>
                <w:sz w:val="21"/>
              </w:rPr>
            </w:pPr>
            <w:r>
              <w:rPr>
                <w:w w:val="100"/>
                <w:sz w:val="21"/>
              </w:rPr>
              <w:t>无</w:t>
            </w:r>
          </w:p>
        </w:tc>
        <w:tc>
          <w:tcPr>
            <w:tcW w:w="2957" w:type="dxa"/>
          </w:tcPr>
          <w:p>
            <w:pPr>
              <w:pStyle w:val="TableParagraph"/>
              <w:spacing w:line="245" w:lineRule="exact" w:before="15"/>
              <w:ind w:left="443" w:right="434"/>
              <w:rPr>
                <w:rFonts w:ascii="Times New Roman" w:eastAsia="Times New Roman"/>
                <w:sz w:val="21"/>
              </w:rPr>
            </w:pPr>
            <w:r>
              <w:rPr>
                <w:sz w:val="21"/>
              </w:rPr>
              <w:t>浑浊度</w:t>
            </w:r>
            <w:r>
              <w:rPr>
                <w:rFonts w:ascii="Times New Roman" w:eastAsia="Times New Roman"/>
                <w:sz w:val="21"/>
              </w:rPr>
              <w:t>/NTU</w:t>
            </w:r>
          </w:p>
        </w:tc>
        <w:tc>
          <w:tcPr>
            <w:tcW w:w="1935" w:type="dxa"/>
          </w:tcPr>
          <w:p>
            <w:pPr>
              <w:pStyle w:val="TableParagraph"/>
              <w:spacing w:line="231" w:lineRule="exact" w:before="29"/>
              <w:ind w:left="402" w:right="396"/>
              <w:rPr>
                <w:rFonts w:ascii="Times New Roman" w:hAnsi="Times New Roman"/>
                <w:sz w:val="21"/>
              </w:rPr>
            </w:pPr>
            <w:r>
              <w:rPr>
                <w:rFonts w:ascii="Times New Roman" w:hAnsi="Times New Roman"/>
                <w:sz w:val="21"/>
              </w:rPr>
              <w:t>≤3</w:t>
            </w:r>
          </w:p>
        </w:tc>
      </w:tr>
      <w:tr>
        <w:trPr>
          <w:trHeight w:val="280" w:hRule="atLeast"/>
        </w:trPr>
        <w:tc>
          <w:tcPr>
            <w:tcW w:w="2414" w:type="dxa"/>
          </w:tcPr>
          <w:p>
            <w:pPr>
              <w:pStyle w:val="TableParagraph"/>
              <w:spacing w:line="245" w:lineRule="exact" w:before="15"/>
              <w:ind w:left="16" w:right="4"/>
              <w:rPr>
                <w:sz w:val="21"/>
              </w:rPr>
            </w:pPr>
            <w:r>
              <w:rPr>
                <w:sz w:val="21"/>
              </w:rPr>
              <w:t>肉眼可见物</w:t>
            </w:r>
          </w:p>
        </w:tc>
        <w:tc>
          <w:tcPr>
            <w:tcW w:w="1774" w:type="dxa"/>
          </w:tcPr>
          <w:p>
            <w:pPr>
              <w:pStyle w:val="TableParagraph"/>
              <w:spacing w:line="245" w:lineRule="exact" w:before="15"/>
              <w:ind w:left="8"/>
              <w:rPr>
                <w:sz w:val="21"/>
              </w:rPr>
            </w:pPr>
            <w:r>
              <w:rPr>
                <w:w w:val="100"/>
                <w:sz w:val="21"/>
              </w:rPr>
              <w:t>无</w:t>
            </w:r>
          </w:p>
        </w:tc>
        <w:tc>
          <w:tcPr>
            <w:tcW w:w="2957" w:type="dxa"/>
          </w:tcPr>
          <w:p>
            <w:pPr>
              <w:pStyle w:val="TableParagraph"/>
              <w:spacing w:line="245" w:lineRule="exact" w:before="15"/>
              <w:ind w:left="443" w:right="434"/>
              <w:rPr>
                <w:rFonts w:ascii="Times New Roman" w:eastAsia="Times New Roman"/>
                <w:sz w:val="21"/>
              </w:rPr>
            </w:pPr>
            <w:r>
              <w:rPr>
                <w:sz w:val="21"/>
              </w:rPr>
              <w:t>亚硝酸盐</w:t>
            </w:r>
            <w:r>
              <w:rPr>
                <w:rFonts w:ascii="Times New Roman" w:eastAsia="Times New Roman"/>
                <w:sz w:val="21"/>
              </w:rPr>
              <w:t>(</w:t>
            </w:r>
            <w:r>
              <w:rPr>
                <w:sz w:val="21"/>
              </w:rPr>
              <w:t>以</w:t>
            </w:r>
            <w:r>
              <w:rPr>
                <w:rFonts w:ascii="Times New Roman" w:eastAsia="Times New Roman"/>
                <w:sz w:val="21"/>
              </w:rPr>
              <w:t>N </w:t>
            </w:r>
            <w:r>
              <w:rPr>
                <w:sz w:val="21"/>
              </w:rPr>
              <w:t>计</w:t>
            </w:r>
            <w:r>
              <w:rPr>
                <w:rFonts w:ascii="Times New Roman" w:eastAsia="Times New Roman"/>
                <w:sz w:val="21"/>
              </w:rPr>
              <w:t>)</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≤1.00</w:t>
            </w:r>
          </w:p>
        </w:tc>
      </w:tr>
      <w:tr>
        <w:trPr>
          <w:trHeight w:val="280" w:hRule="atLeast"/>
        </w:trPr>
        <w:tc>
          <w:tcPr>
            <w:tcW w:w="2414" w:type="dxa"/>
          </w:tcPr>
          <w:p>
            <w:pPr>
              <w:pStyle w:val="TableParagraph"/>
              <w:spacing w:line="246" w:lineRule="exact" w:before="14"/>
              <w:ind w:left="17" w:right="4"/>
              <w:rPr>
                <w:rFonts w:ascii="Times New Roman" w:eastAsia="Times New Roman"/>
                <w:sz w:val="21"/>
              </w:rPr>
            </w:pPr>
            <w:r>
              <w:rPr>
                <w:position w:val="2"/>
                <w:sz w:val="21"/>
              </w:rPr>
              <w:t>耗氧量</w:t>
            </w:r>
            <w:r>
              <w:rPr>
                <w:rFonts w:ascii="Times New Roman" w:eastAsia="Times New Roman"/>
                <w:position w:val="2"/>
                <w:sz w:val="21"/>
              </w:rPr>
              <w:t>(COD</w:t>
            </w:r>
            <w:r>
              <w:rPr>
                <w:rFonts w:ascii="Times New Roman" w:eastAsia="Times New Roman"/>
                <w:sz w:val="14"/>
              </w:rPr>
              <w:t>Mn</w:t>
            </w:r>
            <w:r>
              <w:rPr>
                <w:spacing w:val="-19"/>
                <w:position w:val="2"/>
                <w:sz w:val="21"/>
              </w:rPr>
              <w:t>，以 </w:t>
            </w:r>
            <w:r>
              <w:rPr>
                <w:rFonts w:ascii="Times New Roman" w:eastAsia="Times New Roman"/>
                <w:position w:val="2"/>
                <w:sz w:val="21"/>
              </w:rPr>
              <w:t>O</w:t>
            </w:r>
            <w:r>
              <w:rPr>
                <w:rFonts w:ascii="Times New Roman" w:eastAsia="Times New Roman"/>
                <w:sz w:val="14"/>
              </w:rPr>
              <w:t>2 </w:t>
            </w:r>
            <w:r>
              <w:rPr>
                <w:position w:val="2"/>
                <w:sz w:val="21"/>
              </w:rPr>
              <w:t>计</w:t>
            </w:r>
            <w:r>
              <w:rPr>
                <w:rFonts w:ascii="Times New Roman" w:eastAsia="Times New Roman"/>
                <w:position w:val="2"/>
                <w:sz w:val="21"/>
              </w:rPr>
              <w:t>)</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≤3.0</w:t>
            </w:r>
          </w:p>
        </w:tc>
        <w:tc>
          <w:tcPr>
            <w:tcW w:w="2957" w:type="dxa"/>
          </w:tcPr>
          <w:p>
            <w:pPr>
              <w:pStyle w:val="TableParagraph"/>
              <w:spacing w:line="245" w:lineRule="exact" w:before="15"/>
              <w:ind w:left="443" w:right="432"/>
              <w:rPr>
                <w:rFonts w:ascii="Times New Roman" w:eastAsia="Times New Roman"/>
                <w:sz w:val="21"/>
              </w:rPr>
            </w:pPr>
            <w:r>
              <w:rPr>
                <w:sz w:val="21"/>
              </w:rPr>
              <w:t>硝酸盐</w:t>
            </w:r>
            <w:r>
              <w:rPr>
                <w:rFonts w:ascii="Times New Roman" w:eastAsia="Times New Roman"/>
                <w:spacing w:val="-4"/>
                <w:sz w:val="21"/>
              </w:rPr>
              <w:t>(</w:t>
            </w:r>
            <w:r>
              <w:rPr>
                <w:spacing w:val="50"/>
                <w:sz w:val="21"/>
              </w:rPr>
              <w:t>以</w:t>
            </w:r>
            <w:r>
              <w:rPr>
                <w:rFonts w:ascii="Times New Roman" w:eastAsia="Times New Roman"/>
                <w:sz w:val="21"/>
              </w:rPr>
              <w:t>N </w:t>
            </w:r>
            <w:r>
              <w:rPr>
                <w:sz w:val="21"/>
              </w:rPr>
              <w:t>计</w:t>
            </w:r>
            <w:r>
              <w:rPr>
                <w:rFonts w:ascii="Times New Roman" w:eastAsia="Times New Roman"/>
                <w:sz w:val="21"/>
              </w:rPr>
              <w:t>)</w:t>
            </w:r>
          </w:p>
        </w:tc>
        <w:tc>
          <w:tcPr>
            <w:tcW w:w="1935" w:type="dxa"/>
          </w:tcPr>
          <w:p>
            <w:pPr>
              <w:pStyle w:val="TableParagraph"/>
              <w:spacing w:line="231" w:lineRule="exact" w:before="29"/>
              <w:ind w:left="402" w:right="396"/>
              <w:rPr>
                <w:rFonts w:ascii="Times New Roman" w:hAnsi="Times New Roman"/>
                <w:sz w:val="21"/>
              </w:rPr>
            </w:pPr>
            <w:r>
              <w:rPr>
                <w:rFonts w:ascii="Times New Roman" w:hAnsi="Times New Roman"/>
                <w:sz w:val="21"/>
              </w:rPr>
              <w:t>≤20</w:t>
            </w:r>
          </w:p>
        </w:tc>
      </w:tr>
      <w:tr>
        <w:trPr>
          <w:trHeight w:val="277" w:hRule="atLeast"/>
        </w:trPr>
        <w:tc>
          <w:tcPr>
            <w:tcW w:w="2414" w:type="dxa"/>
          </w:tcPr>
          <w:p>
            <w:pPr>
              <w:pStyle w:val="TableParagraph"/>
              <w:spacing w:line="245" w:lineRule="exact" w:before="13"/>
              <w:ind w:left="13" w:right="4"/>
              <w:rPr>
                <w:sz w:val="21"/>
              </w:rPr>
            </w:pPr>
            <w:r>
              <w:rPr>
                <w:sz w:val="21"/>
              </w:rPr>
              <w:t>硫酸盐</w:t>
            </w:r>
          </w:p>
        </w:tc>
        <w:tc>
          <w:tcPr>
            <w:tcW w:w="1774" w:type="dxa"/>
          </w:tcPr>
          <w:p>
            <w:pPr>
              <w:pStyle w:val="TableParagraph"/>
              <w:spacing w:line="231" w:lineRule="exact" w:before="27"/>
              <w:ind w:left="327" w:right="314"/>
              <w:rPr>
                <w:rFonts w:ascii="Times New Roman" w:hAnsi="Times New Roman"/>
                <w:sz w:val="21"/>
              </w:rPr>
            </w:pPr>
            <w:r>
              <w:rPr>
                <w:rFonts w:ascii="Times New Roman" w:hAnsi="Times New Roman"/>
                <w:sz w:val="21"/>
              </w:rPr>
              <w:t>≤250</w:t>
            </w:r>
          </w:p>
        </w:tc>
        <w:tc>
          <w:tcPr>
            <w:tcW w:w="2957" w:type="dxa"/>
          </w:tcPr>
          <w:p>
            <w:pPr>
              <w:pStyle w:val="TableParagraph"/>
              <w:spacing w:line="245" w:lineRule="exact" w:before="13"/>
              <w:ind w:left="443" w:right="434"/>
              <w:rPr>
                <w:rFonts w:ascii="Times New Roman" w:eastAsia="Times New Roman"/>
                <w:sz w:val="21"/>
              </w:rPr>
            </w:pPr>
            <w:r>
              <w:rPr>
                <w:sz w:val="21"/>
              </w:rPr>
              <w:t>挥发性酚类</w:t>
            </w:r>
            <w:r>
              <w:rPr>
                <w:rFonts w:ascii="Times New Roman" w:eastAsia="Times New Roman"/>
                <w:sz w:val="21"/>
              </w:rPr>
              <w:t>(</w:t>
            </w:r>
            <w:r>
              <w:rPr>
                <w:sz w:val="21"/>
              </w:rPr>
              <w:t>以苯酚计</w:t>
            </w:r>
            <w:r>
              <w:rPr>
                <w:rFonts w:ascii="Times New Roman" w:eastAsia="Times New Roman"/>
                <w:sz w:val="21"/>
              </w:rPr>
              <w:t>)</w:t>
            </w:r>
          </w:p>
        </w:tc>
        <w:tc>
          <w:tcPr>
            <w:tcW w:w="1935" w:type="dxa"/>
          </w:tcPr>
          <w:p>
            <w:pPr>
              <w:pStyle w:val="TableParagraph"/>
              <w:spacing w:line="231" w:lineRule="exact" w:before="27"/>
              <w:ind w:left="406" w:right="396"/>
              <w:rPr>
                <w:rFonts w:ascii="Times New Roman" w:hAnsi="Times New Roman"/>
                <w:sz w:val="21"/>
              </w:rPr>
            </w:pPr>
            <w:r>
              <w:rPr>
                <w:rFonts w:ascii="Times New Roman" w:hAnsi="Times New Roman"/>
                <w:sz w:val="21"/>
              </w:rPr>
              <w:t>≤0.002</w:t>
            </w:r>
          </w:p>
        </w:tc>
      </w:tr>
      <w:tr>
        <w:trPr>
          <w:trHeight w:val="280" w:hRule="atLeast"/>
        </w:trPr>
        <w:tc>
          <w:tcPr>
            <w:tcW w:w="2414" w:type="dxa"/>
          </w:tcPr>
          <w:p>
            <w:pPr>
              <w:pStyle w:val="TableParagraph"/>
              <w:spacing w:line="245" w:lineRule="exact" w:before="15"/>
              <w:ind w:left="16" w:right="4"/>
              <w:rPr>
                <w:sz w:val="21"/>
              </w:rPr>
            </w:pPr>
            <w:r>
              <w:rPr>
                <w:sz w:val="21"/>
              </w:rPr>
              <w:t>阴离子表面活性剂</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≤0.3</w:t>
            </w:r>
          </w:p>
        </w:tc>
        <w:tc>
          <w:tcPr>
            <w:tcW w:w="2957" w:type="dxa"/>
          </w:tcPr>
          <w:p>
            <w:pPr>
              <w:pStyle w:val="TableParagraph"/>
              <w:spacing w:line="245" w:lineRule="exact" w:before="15"/>
              <w:ind w:left="443" w:right="432"/>
              <w:rPr>
                <w:sz w:val="21"/>
              </w:rPr>
            </w:pPr>
            <w:r>
              <w:rPr>
                <w:sz w:val="21"/>
              </w:rPr>
              <w:t>氨氮</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≤0.50</w:t>
            </w:r>
          </w:p>
        </w:tc>
      </w:tr>
      <w:tr>
        <w:trPr>
          <w:trHeight w:val="280" w:hRule="atLeast"/>
        </w:trPr>
        <w:tc>
          <w:tcPr>
            <w:tcW w:w="2414" w:type="dxa"/>
          </w:tcPr>
          <w:p>
            <w:pPr>
              <w:pStyle w:val="TableParagraph"/>
              <w:spacing w:line="246" w:lineRule="exact" w:before="14"/>
              <w:ind w:left="17" w:right="4"/>
              <w:rPr>
                <w:rFonts w:ascii="Times New Roman" w:eastAsia="Times New Roman"/>
                <w:sz w:val="21"/>
              </w:rPr>
            </w:pPr>
            <w:r>
              <w:rPr>
                <w:position w:val="2"/>
                <w:sz w:val="21"/>
              </w:rPr>
              <w:t>总硬度</w:t>
            </w:r>
            <w:r>
              <w:rPr>
                <w:rFonts w:ascii="Times New Roman" w:eastAsia="Times New Roman"/>
                <w:spacing w:val="-4"/>
                <w:position w:val="2"/>
                <w:sz w:val="21"/>
              </w:rPr>
              <w:t>(</w:t>
            </w:r>
            <w:r>
              <w:rPr>
                <w:spacing w:val="50"/>
                <w:position w:val="2"/>
                <w:sz w:val="21"/>
              </w:rPr>
              <w:t>以</w:t>
            </w:r>
            <w:r>
              <w:rPr>
                <w:rFonts w:ascii="Times New Roman" w:eastAsia="Times New Roman"/>
                <w:position w:val="2"/>
                <w:sz w:val="21"/>
              </w:rPr>
              <w:t>CaCO</w:t>
            </w:r>
            <w:r>
              <w:rPr>
                <w:rFonts w:ascii="Times New Roman" w:eastAsia="Times New Roman"/>
                <w:sz w:val="14"/>
              </w:rPr>
              <w:t>3 </w:t>
            </w:r>
            <w:r>
              <w:rPr>
                <w:position w:val="2"/>
                <w:sz w:val="21"/>
              </w:rPr>
              <w:t>计</w:t>
            </w:r>
            <w:r>
              <w:rPr>
                <w:rFonts w:ascii="Times New Roman" w:eastAsia="Times New Roman"/>
                <w:position w:val="2"/>
                <w:sz w:val="21"/>
              </w:rPr>
              <w:t>)</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≤450</w:t>
            </w:r>
          </w:p>
        </w:tc>
        <w:tc>
          <w:tcPr>
            <w:tcW w:w="2957" w:type="dxa"/>
          </w:tcPr>
          <w:p>
            <w:pPr>
              <w:pStyle w:val="TableParagraph"/>
              <w:spacing w:line="245" w:lineRule="exact" w:before="15"/>
              <w:ind w:left="6"/>
              <w:rPr>
                <w:sz w:val="21"/>
              </w:rPr>
            </w:pPr>
            <w:r>
              <w:rPr>
                <w:w w:val="100"/>
                <w:sz w:val="21"/>
              </w:rPr>
              <w:t>铁</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≤0.3</w:t>
            </w:r>
          </w:p>
        </w:tc>
      </w:tr>
      <w:tr>
        <w:trPr>
          <w:trHeight w:val="280" w:hRule="atLeast"/>
        </w:trPr>
        <w:tc>
          <w:tcPr>
            <w:tcW w:w="2414" w:type="dxa"/>
          </w:tcPr>
          <w:p>
            <w:pPr>
              <w:pStyle w:val="TableParagraph"/>
              <w:spacing w:line="245" w:lineRule="exact" w:before="15"/>
              <w:ind w:left="9"/>
              <w:rPr>
                <w:sz w:val="21"/>
              </w:rPr>
            </w:pPr>
            <w:r>
              <w:rPr>
                <w:w w:val="100"/>
                <w:sz w:val="21"/>
              </w:rPr>
              <w:t>锰</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≤0.10</w:t>
            </w:r>
          </w:p>
        </w:tc>
        <w:tc>
          <w:tcPr>
            <w:tcW w:w="2957" w:type="dxa"/>
          </w:tcPr>
          <w:p>
            <w:pPr>
              <w:pStyle w:val="TableParagraph"/>
              <w:spacing w:line="245" w:lineRule="exact" w:before="15"/>
              <w:ind w:left="6"/>
              <w:rPr>
                <w:sz w:val="21"/>
              </w:rPr>
            </w:pPr>
            <w:r>
              <w:rPr>
                <w:w w:val="100"/>
                <w:sz w:val="21"/>
              </w:rPr>
              <w:t>铅</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≤0.01</w:t>
            </w:r>
          </w:p>
        </w:tc>
      </w:tr>
      <w:tr>
        <w:trPr>
          <w:trHeight w:val="280" w:hRule="atLeast"/>
        </w:trPr>
        <w:tc>
          <w:tcPr>
            <w:tcW w:w="2414" w:type="dxa"/>
          </w:tcPr>
          <w:p>
            <w:pPr>
              <w:pStyle w:val="TableParagraph"/>
              <w:spacing w:line="245" w:lineRule="exact" w:before="15"/>
              <w:ind w:left="9"/>
              <w:rPr>
                <w:sz w:val="21"/>
              </w:rPr>
            </w:pPr>
            <w:r>
              <w:rPr>
                <w:w w:val="100"/>
                <w:sz w:val="21"/>
              </w:rPr>
              <w:t>砷</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≤0.01</w:t>
            </w:r>
          </w:p>
        </w:tc>
        <w:tc>
          <w:tcPr>
            <w:tcW w:w="2957" w:type="dxa"/>
          </w:tcPr>
          <w:p>
            <w:pPr>
              <w:pStyle w:val="TableParagraph"/>
              <w:spacing w:line="245" w:lineRule="exact" w:before="15"/>
              <w:ind w:left="6"/>
              <w:rPr>
                <w:sz w:val="21"/>
              </w:rPr>
            </w:pPr>
            <w:r>
              <w:rPr>
                <w:w w:val="100"/>
                <w:sz w:val="21"/>
              </w:rPr>
              <w:t>汞</w:t>
            </w:r>
          </w:p>
        </w:tc>
        <w:tc>
          <w:tcPr>
            <w:tcW w:w="1935" w:type="dxa"/>
          </w:tcPr>
          <w:p>
            <w:pPr>
              <w:pStyle w:val="TableParagraph"/>
              <w:spacing w:line="231" w:lineRule="exact" w:before="29"/>
              <w:ind w:left="406" w:right="396"/>
              <w:rPr>
                <w:rFonts w:ascii="Times New Roman" w:hAnsi="Times New Roman"/>
                <w:sz w:val="21"/>
              </w:rPr>
            </w:pPr>
            <w:r>
              <w:rPr>
                <w:rFonts w:ascii="Times New Roman" w:hAnsi="Times New Roman"/>
                <w:sz w:val="21"/>
              </w:rPr>
              <w:t>≤0.001</w:t>
            </w:r>
          </w:p>
        </w:tc>
      </w:tr>
      <w:tr>
        <w:trPr>
          <w:trHeight w:val="280" w:hRule="atLeast"/>
        </w:trPr>
        <w:tc>
          <w:tcPr>
            <w:tcW w:w="2414" w:type="dxa"/>
          </w:tcPr>
          <w:p>
            <w:pPr>
              <w:pStyle w:val="TableParagraph"/>
              <w:spacing w:line="246" w:lineRule="exact" w:before="15"/>
              <w:ind w:left="14" w:right="4"/>
              <w:rPr>
                <w:rFonts w:ascii="Times New Roman" w:eastAsia="Times New Roman"/>
                <w:sz w:val="21"/>
              </w:rPr>
            </w:pPr>
            <w:r>
              <w:rPr>
                <w:sz w:val="21"/>
              </w:rPr>
              <w:t>铬</w:t>
            </w:r>
            <w:r>
              <w:rPr>
                <w:rFonts w:ascii="Times New Roman" w:eastAsia="Times New Roman"/>
                <w:sz w:val="21"/>
              </w:rPr>
              <w:t>(</w:t>
            </w:r>
            <w:r>
              <w:rPr>
                <w:sz w:val="21"/>
              </w:rPr>
              <w:t>六价</w:t>
            </w:r>
            <w:r>
              <w:rPr>
                <w:rFonts w:ascii="Times New Roman" w:eastAsia="Times New Roman"/>
                <w:sz w:val="21"/>
              </w:rPr>
              <w:t>)</w:t>
            </w:r>
          </w:p>
        </w:tc>
        <w:tc>
          <w:tcPr>
            <w:tcW w:w="1774" w:type="dxa"/>
          </w:tcPr>
          <w:p>
            <w:pPr>
              <w:pStyle w:val="TableParagraph"/>
              <w:spacing w:line="232" w:lineRule="exact" w:before="29"/>
              <w:ind w:left="327" w:right="314"/>
              <w:rPr>
                <w:rFonts w:ascii="Times New Roman" w:hAnsi="Times New Roman"/>
                <w:sz w:val="21"/>
              </w:rPr>
            </w:pPr>
            <w:r>
              <w:rPr>
                <w:rFonts w:ascii="Times New Roman" w:hAnsi="Times New Roman"/>
                <w:sz w:val="21"/>
              </w:rPr>
              <w:t>≤0.05</w:t>
            </w:r>
          </w:p>
        </w:tc>
        <w:tc>
          <w:tcPr>
            <w:tcW w:w="2957" w:type="dxa"/>
          </w:tcPr>
          <w:p>
            <w:pPr>
              <w:pStyle w:val="TableParagraph"/>
              <w:spacing w:line="246" w:lineRule="exact" w:before="15"/>
              <w:ind w:left="6"/>
              <w:rPr>
                <w:sz w:val="21"/>
              </w:rPr>
            </w:pPr>
            <w:r>
              <w:rPr>
                <w:w w:val="100"/>
                <w:sz w:val="21"/>
              </w:rPr>
              <w:t>锌</w:t>
            </w:r>
          </w:p>
        </w:tc>
        <w:tc>
          <w:tcPr>
            <w:tcW w:w="1935" w:type="dxa"/>
          </w:tcPr>
          <w:p>
            <w:pPr>
              <w:pStyle w:val="TableParagraph"/>
              <w:spacing w:line="232" w:lineRule="exact" w:before="29"/>
              <w:ind w:left="406" w:right="395"/>
              <w:rPr>
                <w:rFonts w:ascii="Times New Roman" w:hAnsi="Times New Roman"/>
                <w:sz w:val="21"/>
              </w:rPr>
            </w:pPr>
            <w:r>
              <w:rPr>
                <w:rFonts w:ascii="Times New Roman" w:hAnsi="Times New Roman"/>
                <w:sz w:val="21"/>
              </w:rPr>
              <w:t>≤1.00</w:t>
            </w:r>
          </w:p>
        </w:tc>
      </w:tr>
      <w:tr>
        <w:trPr>
          <w:trHeight w:val="278" w:hRule="atLeast"/>
        </w:trPr>
        <w:tc>
          <w:tcPr>
            <w:tcW w:w="2414" w:type="dxa"/>
          </w:tcPr>
          <w:p>
            <w:pPr>
              <w:pStyle w:val="TableParagraph"/>
              <w:spacing w:line="245" w:lineRule="exact" w:before="13"/>
              <w:ind w:left="9"/>
              <w:rPr>
                <w:sz w:val="21"/>
              </w:rPr>
            </w:pPr>
            <w:r>
              <w:rPr>
                <w:w w:val="100"/>
                <w:sz w:val="21"/>
              </w:rPr>
              <w:t>镉</w:t>
            </w:r>
          </w:p>
        </w:tc>
        <w:tc>
          <w:tcPr>
            <w:tcW w:w="1774" w:type="dxa"/>
          </w:tcPr>
          <w:p>
            <w:pPr>
              <w:pStyle w:val="TableParagraph"/>
              <w:spacing w:line="231" w:lineRule="exact" w:before="27"/>
              <w:ind w:left="327" w:right="314"/>
              <w:rPr>
                <w:rFonts w:ascii="Times New Roman" w:hAnsi="Times New Roman"/>
                <w:sz w:val="21"/>
              </w:rPr>
            </w:pPr>
            <w:r>
              <w:rPr>
                <w:rFonts w:ascii="Times New Roman" w:hAnsi="Times New Roman"/>
                <w:sz w:val="21"/>
              </w:rPr>
              <w:t>≤0.005</w:t>
            </w:r>
          </w:p>
        </w:tc>
        <w:tc>
          <w:tcPr>
            <w:tcW w:w="2957" w:type="dxa"/>
          </w:tcPr>
          <w:p>
            <w:pPr>
              <w:pStyle w:val="TableParagraph"/>
              <w:spacing w:line="245" w:lineRule="exact" w:before="13"/>
              <w:ind w:left="6"/>
              <w:rPr>
                <w:sz w:val="21"/>
              </w:rPr>
            </w:pPr>
            <w:r>
              <w:rPr>
                <w:w w:val="100"/>
                <w:sz w:val="21"/>
              </w:rPr>
              <w:t>铝</w:t>
            </w:r>
          </w:p>
        </w:tc>
        <w:tc>
          <w:tcPr>
            <w:tcW w:w="1935" w:type="dxa"/>
          </w:tcPr>
          <w:p>
            <w:pPr>
              <w:pStyle w:val="TableParagraph"/>
              <w:spacing w:line="231" w:lineRule="exact" w:before="27"/>
              <w:ind w:left="406" w:right="395"/>
              <w:rPr>
                <w:rFonts w:ascii="Times New Roman" w:hAnsi="Times New Roman"/>
                <w:sz w:val="21"/>
              </w:rPr>
            </w:pPr>
            <w:r>
              <w:rPr>
                <w:rFonts w:ascii="Times New Roman" w:hAnsi="Times New Roman"/>
                <w:sz w:val="21"/>
              </w:rPr>
              <w:t>≤0.20</w:t>
            </w:r>
          </w:p>
        </w:tc>
      </w:tr>
      <w:tr>
        <w:trPr>
          <w:trHeight w:val="280" w:hRule="atLeast"/>
        </w:trPr>
        <w:tc>
          <w:tcPr>
            <w:tcW w:w="2414" w:type="dxa"/>
          </w:tcPr>
          <w:p>
            <w:pPr>
              <w:pStyle w:val="TableParagraph"/>
              <w:spacing w:line="245" w:lineRule="exact" w:before="15"/>
              <w:ind w:left="13" w:right="4"/>
              <w:rPr>
                <w:sz w:val="21"/>
              </w:rPr>
            </w:pPr>
            <w:r>
              <w:rPr>
                <w:sz w:val="21"/>
              </w:rPr>
              <w:t>氯化物</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≤250</w:t>
            </w:r>
          </w:p>
        </w:tc>
        <w:tc>
          <w:tcPr>
            <w:tcW w:w="2957" w:type="dxa"/>
          </w:tcPr>
          <w:p>
            <w:pPr>
              <w:pStyle w:val="TableParagraph"/>
              <w:spacing w:line="245" w:lineRule="exact" w:before="15"/>
              <w:ind w:left="443" w:right="432"/>
              <w:rPr>
                <w:sz w:val="21"/>
              </w:rPr>
            </w:pPr>
            <w:r>
              <w:rPr>
                <w:sz w:val="21"/>
              </w:rPr>
              <w:t>硫化物</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≤0.02</w:t>
            </w:r>
          </w:p>
        </w:tc>
      </w:tr>
      <w:tr>
        <w:trPr>
          <w:trHeight w:val="280" w:hRule="atLeast"/>
        </w:trPr>
        <w:tc>
          <w:tcPr>
            <w:tcW w:w="2414" w:type="dxa"/>
          </w:tcPr>
          <w:p>
            <w:pPr>
              <w:pStyle w:val="TableParagraph"/>
              <w:spacing w:line="245" w:lineRule="exact" w:before="15"/>
              <w:ind w:left="14" w:right="4"/>
              <w:rPr>
                <w:sz w:val="21"/>
              </w:rPr>
            </w:pPr>
            <w:r>
              <w:rPr>
                <w:sz w:val="21"/>
              </w:rPr>
              <w:t>溶解性总固体</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≤1000</w:t>
            </w:r>
          </w:p>
        </w:tc>
        <w:tc>
          <w:tcPr>
            <w:tcW w:w="2957" w:type="dxa"/>
          </w:tcPr>
          <w:p>
            <w:pPr>
              <w:pStyle w:val="TableParagraph"/>
              <w:spacing w:line="245" w:lineRule="exact" w:before="15"/>
              <w:ind w:left="443" w:right="432"/>
              <w:rPr>
                <w:sz w:val="21"/>
              </w:rPr>
            </w:pPr>
            <w:r>
              <w:rPr>
                <w:sz w:val="21"/>
              </w:rPr>
              <w:t>氟化物</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≤1.0</w:t>
            </w:r>
          </w:p>
        </w:tc>
      </w:tr>
      <w:tr>
        <w:trPr>
          <w:trHeight w:val="280" w:hRule="atLeast"/>
        </w:trPr>
        <w:tc>
          <w:tcPr>
            <w:tcW w:w="2414" w:type="dxa"/>
          </w:tcPr>
          <w:p>
            <w:pPr>
              <w:pStyle w:val="TableParagraph"/>
              <w:spacing w:line="245" w:lineRule="exact" w:before="15"/>
              <w:ind w:left="13" w:right="4"/>
              <w:rPr>
                <w:sz w:val="21"/>
              </w:rPr>
            </w:pPr>
            <w:r>
              <w:rPr>
                <w:sz w:val="21"/>
              </w:rPr>
              <w:t>氰化物</w:t>
            </w:r>
          </w:p>
        </w:tc>
        <w:tc>
          <w:tcPr>
            <w:tcW w:w="1774" w:type="dxa"/>
          </w:tcPr>
          <w:p>
            <w:pPr>
              <w:pStyle w:val="TableParagraph"/>
              <w:spacing w:line="231" w:lineRule="exact" w:before="29"/>
              <w:ind w:left="327" w:right="314"/>
              <w:rPr>
                <w:rFonts w:ascii="Times New Roman" w:hAnsi="Times New Roman"/>
                <w:sz w:val="21"/>
              </w:rPr>
            </w:pPr>
            <w:r>
              <w:rPr>
                <w:rFonts w:ascii="Times New Roman" w:hAnsi="Times New Roman"/>
                <w:sz w:val="21"/>
              </w:rPr>
              <w:t>≤0.05</w:t>
            </w:r>
          </w:p>
        </w:tc>
        <w:tc>
          <w:tcPr>
            <w:tcW w:w="2957" w:type="dxa"/>
          </w:tcPr>
          <w:p>
            <w:pPr>
              <w:pStyle w:val="TableParagraph"/>
              <w:spacing w:line="245" w:lineRule="exact" w:before="15"/>
              <w:ind w:left="442" w:right="434"/>
              <w:rPr>
                <w:rFonts w:ascii="Times New Roman" w:eastAsia="Times New Roman"/>
                <w:sz w:val="21"/>
              </w:rPr>
            </w:pPr>
            <w:r>
              <w:rPr>
                <w:sz w:val="21"/>
              </w:rPr>
              <w:t>菌落总数</w:t>
            </w:r>
            <w:r>
              <w:rPr>
                <w:rFonts w:ascii="Times New Roman" w:eastAsia="Times New Roman"/>
                <w:sz w:val="21"/>
              </w:rPr>
              <w:t>CFU/ml</w:t>
            </w:r>
          </w:p>
        </w:tc>
        <w:tc>
          <w:tcPr>
            <w:tcW w:w="1935" w:type="dxa"/>
          </w:tcPr>
          <w:p>
            <w:pPr>
              <w:pStyle w:val="TableParagraph"/>
              <w:spacing w:line="231" w:lineRule="exact" w:before="29"/>
              <w:ind w:left="406" w:right="395"/>
              <w:rPr>
                <w:rFonts w:ascii="Times New Roman" w:hAnsi="Times New Roman"/>
                <w:sz w:val="21"/>
              </w:rPr>
            </w:pPr>
            <w:r>
              <w:rPr>
                <w:rFonts w:ascii="Times New Roman" w:hAnsi="Times New Roman"/>
                <w:sz w:val="21"/>
              </w:rPr>
              <w:t>≤100</w:t>
            </w:r>
          </w:p>
        </w:tc>
      </w:tr>
      <w:tr>
        <w:trPr>
          <w:trHeight w:val="561" w:hRule="atLeast"/>
        </w:trPr>
        <w:tc>
          <w:tcPr>
            <w:tcW w:w="2414" w:type="dxa"/>
          </w:tcPr>
          <w:p>
            <w:pPr>
              <w:pStyle w:val="TableParagraph"/>
              <w:spacing w:line="280" w:lineRule="atLeast" w:before="4"/>
              <w:ind w:left="467" w:right="39" w:hanging="418"/>
              <w:jc w:val="left"/>
              <w:rPr>
                <w:sz w:val="21"/>
              </w:rPr>
            </w:pPr>
            <w:r>
              <w:rPr>
                <w:sz w:val="21"/>
              </w:rPr>
              <w:t>总大肠菌群（</w:t>
            </w:r>
            <w:r>
              <w:rPr>
                <w:rFonts w:ascii="Times New Roman" w:eastAsia="Times New Roman"/>
                <w:sz w:val="21"/>
              </w:rPr>
              <w:t>MPN/100ml </w:t>
            </w:r>
            <w:r>
              <w:rPr>
                <w:sz w:val="21"/>
              </w:rPr>
              <w:t>或 </w:t>
            </w:r>
            <w:r>
              <w:rPr>
                <w:rFonts w:ascii="Times New Roman" w:eastAsia="Times New Roman"/>
                <w:sz w:val="21"/>
              </w:rPr>
              <w:t>CFU/100ml</w:t>
            </w:r>
            <w:r>
              <w:rPr>
                <w:sz w:val="21"/>
              </w:rPr>
              <w:t>）</w:t>
            </w:r>
          </w:p>
        </w:tc>
        <w:tc>
          <w:tcPr>
            <w:tcW w:w="1774" w:type="dxa"/>
          </w:tcPr>
          <w:p>
            <w:pPr>
              <w:pStyle w:val="TableParagraph"/>
              <w:spacing w:before="168"/>
              <w:ind w:left="327" w:right="314"/>
              <w:rPr>
                <w:rFonts w:ascii="Times New Roman" w:hAnsi="Times New Roman"/>
                <w:sz w:val="21"/>
              </w:rPr>
            </w:pPr>
            <w:r>
              <w:rPr>
                <w:rFonts w:ascii="Times New Roman" w:hAnsi="Times New Roman"/>
                <w:sz w:val="21"/>
              </w:rPr>
              <w:t>≤3.0</w:t>
            </w:r>
          </w:p>
        </w:tc>
        <w:tc>
          <w:tcPr>
            <w:tcW w:w="2957" w:type="dxa"/>
          </w:tcPr>
          <w:p>
            <w:pPr>
              <w:pStyle w:val="TableParagraph"/>
              <w:spacing w:before="168"/>
              <w:ind w:left="7"/>
              <w:rPr>
                <w:rFonts w:ascii="Times New Roman"/>
                <w:sz w:val="21"/>
              </w:rPr>
            </w:pPr>
            <w:r>
              <w:rPr>
                <w:rFonts w:ascii="Times New Roman"/>
                <w:w w:val="100"/>
                <w:sz w:val="21"/>
              </w:rPr>
              <w:t>/</w:t>
            </w:r>
          </w:p>
        </w:tc>
        <w:tc>
          <w:tcPr>
            <w:tcW w:w="1935" w:type="dxa"/>
          </w:tcPr>
          <w:p>
            <w:pPr>
              <w:pStyle w:val="TableParagraph"/>
              <w:spacing w:before="168"/>
              <w:ind w:left="7"/>
              <w:rPr>
                <w:rFonts w:ascii="Times New Roman"/>
                <w:sz w:val="21"/>
              </w:rPr>
            </w:pPr>
            <w:r>
              <w:rPr>
                <w:rFonts w:ascii="Times New Roman"/>
                <w:w w:val="100"/>
                <w:sz w:val="21"/>
              </w:rPr>
              <w:t>/</w:t>
            </w:r>
          </w:p>
        </w:tc>
      </w:tr>
    </w:tbl>
    <w:p>
      <w:pPr>
        <w:spacing w:line="362" w:lineRule="auto" w:before="2"/>
        <w:ind w:left="721" w:right="6616" w:firstLine="0"/>
        <w:jc w:val="left"/>
        <w:rPr>
          <w:b/>
          <w:sz w:val="24"/>
        </w:rPr>
      </w:pPr>
      <w:r>
        <w:rPr>
          <w:rFonts w:ascii="Times New Roman" w:eastAsia="Times New Roman"/>
          <w:b/>
          <w:sz w:val="24"/>
        </w:rPr>
        <w:t>2</w:t>
      </w:r>
      <w:r>
        <w:rPr>
          <w:b/>
          <w:sz w:val="24"/>
        </w:rPr>
        <w:t>、污染物排放标准</w:t>
      </w:r>
      <w:r>
        <w:rPr>
          <w:rFonts w:ascii="Times New Roman" w:eastAsia="Times New Roman"/>
          <w:b/>
          <w:sz w:val="24"/>
        </w:rPr>
        <w:t>(1)</w:t>
      </w:r>
      <w:r>
        <w:rPr>
          <w:b/>
          <w:sz w:val="24"/>
        </w:rPr>
        <w:t>水污染物排放标准</w:t>
      </w:r>
    </w:p>
    <w:p>
      <w:pPr>
        <w:pStyle w:val="BodyText"/>
        <w:spacing w:line="364" w:lineRule="auto" w:before="5"/>
        <w:ind w:left="238" w:right="132" w:firstLine="480"/>
      </w:pPr>
      <w:r>
        <w:rPr/>
        <w:t>纳管标准：本项目位于杭州湾上虞经济技术开发区振兴大道</w:t>
      </w:r>
      <w:r>
        <w:rPr>
          <w:spacing w:val="2"/>
        </w:rPr>
        <w:t>（</w:t>
      </w:r>
      <w:r>
        <w:rPr>
          <w:spacing w:val="1"/>
        </w:rPr>
        <w:t>东区</w:t>
      </w:r>
      <w:r>
        <w:rPr>
          <w:spacing w:val="-120"/>
        </w:rPr>
        <w:t>）</w:t>
      </w:r>
      <w:r>
        <w:rPr>
          <w:spacing w:val="2"/>
        </w:rPr>
        <w:t>，现有已批项</w:t>
      </w:r>
      <w:r>
        <w:rPr/>
        <w:t>目位于杭州湾上虞经济技术开发区经十一路（</w:t>
      </w:r>
      <w:r>
        <w:rPr>
          <w:spacing w:val="2"/>
        </w:rPr>
        <w:t>西区</w:t>
      </w:r>
      <w:r>
        <w:rPr>
          <w:spacing w:val="-118"/>
        </w:rPr>
        <w:t>）</w:t>
      </w:r>
      <w:r>
        <w:rPr/>
        <w:t>，废水纳管均执行《污水综合排放</w:t>
      </w:r>
      <w:r>
        <w:rPr>
          <w:spacing w:val="-40"/>
        </w:rPr>
        <w:t>标准》</w:t>
      </w:r>
      <w:r>
        <w:rPr/>
        <w:t>（</w:t>
      </w:r>
      <w:r>
        <w:rPr>
          <w:rFonts w:ascii="Times New Roman" w:hAnsi="Times New Roman" w:eastAsia="Times New Roman"/>
        </w:rPr>
        <w:t>GB8978-1996</w:t>
      </w:r>
      <w:r>
        <w:rPr/>
        <w:t>）</w:t>
      </w:r>
      <w:r>
        <w:rPr>
          <w:spacing w:val="-1"/>
        </w:rPr>
        <w:t>中三级标准，其中氨氮执行浙江省地方标准《工业企业废水氮、</w:t>
      </w:r>
      <w:r>
        <w:rPr/>
        <w:t>磷污染物间接排放限值》</w:t>
      </w:r>
      <w:r>
        <w:rPr>
          <w:rFonts w:ascii="Times New Roman" w:hAnsi="Times New Roman" w:eastAsia="Times New Roman"/>
        </w:rPr>
        <w:t>(DB33/887-2013)</w:t>
      </w:r>
      <w:r>
        <w:rPr>
          <w:spacing w:val="-1"/>
        </w:rPr>
        <w:t>中“其他企业”的规定 </w:t>
      </w:r>
      <w:r>
        <w:rPr>
          <w:rFonts w:ascii="Times New Roman" w:hAnsi="Times New Roman" w:eastAsia="Times New Roman"/>
        </w:rPr>
        <w:t>35mg/L</w:t>
      </w:r>
      <w:r>
        <w:rPr/>
        <w:t>，总氮纳管参照《污水排入城镇下水道水质标准》</w:t>
      </w:r>
      <w:r>
        <w:rPr>
          <w:rFonts w:ascii="Times New Roman" w:hAnsi="Times New Roman" w:eastAsia="Times New Roman"/>
        </w:rPr>
        <w:t>(GB/T31962-2015)</w:t>
      </w:r>
      <w:r>
        <w:rPr>
          <w:spacing w:val="-31"/>
        </w:rPr>
        <w:t>中 </w:t>
      </w:r>
      <w:r>
        <w:rPr>
          <w:rFonts w:ascii="Times New Roman" w:hAnsi="Times New Roman" w:eastAsia="Times New Roman"/>
        </w:rPr>
        <w:t>B </w:t>
      </w:r>
      <w:r>
        <w:rPr>
          <w:spacing w:val="-8"/>
        </w:rPr>
        <w:t>级标准，详见表 </w:t>
      </w:r>
      <w:r>
        <w:rPr>
          <w:rFonts w:ascii="Times New Roman" w:hAnsi="Times New Roman" w:eastAsia="Times New Roman"/>
        </w:rPr>
        <w:t>2.3.2-6</w:t>
      </w:r>
      <w:r>
        <w:rPr/>
        <w:t>。</w:t>
      </w:r>
    </w:p>
    <w:p>
      <w:pPr>
        <w:pStyle w:val="BodyText"/>
        <w:spacing w:line="364" w:lineRule="auto"/>
        <w:ind w:left="238" w:right="232" w:firstLine="480"/>
        <w:jc w:val="both"/>
      </w:pPr>
      <w:r>
        <w:rPr>
          <w:spacing w:val="4"/>
        </w:rPr>
        <w:t>排环境标准：为完成</w:t>
      </w:r>
      <w:r>
        <w:rPr>
          <w:rFonts w:ascii="Times New Roman" w:hAnsi="Times New Roman" w:eastAsia="Times New Roman"/>
          <w:spacing w:val="6"/>
        </w:rPr>
        <w:t>“</w:t>
      </w:r>
      <w:r>
        <w:rPr>
          <w:spacing w:val="5"/>
        </w:rPr>
        <w:t>十三五</w:t>
      </w:r>
      <w:r>
        <w:rPr>
          <w:rFonts w:ascii="Times New Roman" w:hAnsi="Times New Roman" w:eastAsia="Times New Roman"/>
          <w:spacing w:val="3"/>
        </w:rPr>
        <w:t>”</w:t>
      </w:r>
      <w:r>
        <w:rPr>
          <w:spacing w:val="4"/>
        </w:rPr>
        <w:t>规划确定的减排目标，并切实落实环办函</w:t>
      </w:r>
      <w:r>
        <w:rPr>
          <w:rFonts w:ascii="Times New Roman" w:hAnsi="Times New Roman" w:eastAsia="Times New Roman"/>
        </w:rPr>
        <w:t>[2013]296 </w:t>
      </w:r>
      <w:r>
        <w:rPr>
          <w:spacing w:val="-6"/>
        </w:rPr>
        <w:t>号文件要求，上虞污水处理厂已完成提标改造工程，在厂外将生活污水和工业废水进行</w:t>
      </w:r>
      <w:r>
        <w:rPr>
          <w:spacing w:val="-7"/>
        </w:rPr>
        <w:t>分管收集，在污水处理厂内进行分质处理。上虞污水处理厂工业废水出水排放浓度按照</w:t>
      </w:r>
      <w:r>
        <w:rPr>
          <w:spacing w:val="-3"/>
        </w:rPr>
        <w:t>其申领的排污许可证中的许可排放浓度限值执行</w:t>
      </w:r>
      <w:r>
        <w:rPr/>
        <w:t>（</w:t>
      </w:r>
      <w:r>
        <w:rPr>
          <w:spacing w:val="-1"/>
        </w:rPr>
        <w:t>绍兴市上虞区水处理发展有限责任公</w:t>
      </w:r>
      <w:r>
        <w:rPr>
          <w:spacing w:val="-12"/>
        </w:rPr>
        <w:t>司 </w:t>
      </w:r>
      <w:r>
        <w:rPr>
          <w:rFonts w:ascii="Times New Roman" w:hAnsi="Times New Roman" w:eastAsia="Times New Roman"/>
        </w:rPr>
        <w:t>91330604742925491Y001R</w:t>
      </w:r>
      <w:r>
        <w:rPr/>
        <w:t>），</w:t>
      </w:r>
      <w:r>
        <w:rPr>
          <w:spacing w:val="-1"/>
        </w:rPr>
        <w:t>排污许可证上不涉及的污染因子根据上虞经济开发区</w:t>
      </w:r>
      <w:r>
        <w:rPr>
          <w:spacing w:val="3"/>
        </w:rPr>
        <w:t>总体规划环境影响跟踪评价报告可知上虞污水处理站提标改造后工业废水尾水排放执行《污水综合排放标准》</w:t>
      </w:r>
      <w:r>
        <w:rPr>
          <w:rFonts w:ascii="Times New Roman" w:hAnsi="Times New Roman" w:eastAsia="Times New Roman"/>
          <w:spacing w:val="3"/>
        </w:rPr>
        <w:t>(GB8978-1996)</w:t>
      </w:r>
      <w:r>
        <w:rPr>
          <w:spacing w:val="-4"/>
        </w:rPr>
        <w:t>中一级标准，详见表 </w:t>
      </w:r>
      <w:r>
        <w:rPr>
          <w:rFonts w:ascii="Times New Roman" w:hAnsi="Times New Roman" w:eastAsia="Times New Roman"/>
        </w:rPr>
        <w:t>2.3.2-7</w:t>
      </w:r>
      <w:r>
        <w:rPr/>
        <w:t>。</w:t>
      </w:r>
    </w:p>
    <w:p>
      <w:pPr>
        <w:pStyle w:val="Heading4"/>
        <w:tabs>
          <w:tab w:pos="1584" w:val="left" w:leader="none"/>
          <w:tab w:pos="3272" w:val="left" w:leader="none"/>
        </w:tabs>
        <w:spacing w:before="135" w:after="29"/>
        <w:ind w:left="363"/>
        <w:jc w:val="center"/>
        <w:rPr>
          <w:rFonts w:ascii="Times New Roman" w:eastAsia="Times New Roman"/>
        </w:rPr>
      </w:pPr>
      <w:r>
        <w:rPr/>
        <w:t>表</w:t>
      </w:r>
      <w:r>
        <w:rPr>
          <w:spacing w:val="-60"/>
        </w:rPr>
        <w:t> </w:t>
      </w:r>
      <w:r>
        <w:rPr>
          <w:rFonts w:ascii="Times New Roman" w:eastAsia="Times New Roman"/>
        </w:rPr>
        <w:t>2.3.2-6</w:t>
        <w:tab/>
      </w:r>
      <w:r>
        <w:rPr/>
        <w:t>废水纳管标准</w:t>
        <w:tab/>
        <w:t>单位：</w:t>
      </w:r>
      <w:r>
        <w:rPr>
          <w:rFonts w:ascii="Times New Roman" w:eastAsia="Times New Roman"/>
        </w:rPr>
        <w:t>mg/L</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4"/>
        <w:gridCol w:w="2777"/>
        <w:gridCol w:w="1560"/>
        <w:gridCol w:w="4215"/>
      </w:tblGrid>
      <w:tr>
        <w:trPr>
          <w:trHeight w:val="280" w:hRule="atLeast"/>
        </w:trPr>
        <w:tc>
          <w:tcPr>
            <w:tcW w:w="734" w:type="dxa"/>
          </w:tcPr>
          <w:p>
            <w:pPr>
              <w:pStyle w:val="TableParagraph"/>
              <w:spacing w:line="245" w:lineRule="exact" w:before="15"/>
              <w:ind w:left="136" w:right="126"/>
              <w:rPr>
                <w:b/>
                <w:sz w:val="21"/>
              </w:rPr>
            </w:pPr>
            <w:r>
              <w:rPr>
                <w:b/>
                <w:sz w:val="21"/>
              </w:rPr>
              <w:t>序号</w:t>
            </w:r>
          </w:p>
        </w:tc>
        <w:tc>
          <w:tcPr>
            <w:tcW w:w="2777" w:type="dxa"/>
          </w:tcPr>
          <w:p>
            <w:pPr>
              <w:pStyle w:val="TableParagraph"/>
              <w:spacing w:line="245" w:lineRule="exact" w:before="15"/>
              <w:ind w:left="839" w:right="832"/>
              <w:rPr>
                <w:b/>
                <w:sz w:val="21"/>
              </w:rPr>
            </w:pPr>
            <w:r>
              <w:rPr>
                <w:b/>
                <w:sz w:val="21"/>
              </w:rPr>
              <w:t>污染物项目</w:t>
            </w:r>
          </w:p>
        </w:tc>
        <w:tc>
          <w:tcPr>
            <w:tcW w:w="1560" w:type="dxa"/>
          </w:tcPr>
          <w:p>
            <w:pPr>
              <w:pStyle w:val="TableParagraph"/>
              <w:spacing w:line="245" w:lineRule="exact" w:before="15"/>
              <w:ind w:left="15" w:right="9"/>
              <w:rPr>
                <w:b/>
                <w:sz w:val="21"/>
              </w:rPr>
            </w:pPr>
            <w:r>
              <w:rPr>
                <w:b/>
                <w:sz w:val="21"/>
              </w:rPr>
              <w:t>纳管标准</w:t>
            </w:r>
          </w:p>
        </w:tc>
        <w:tc>
          <w:tcPr>
            <w:tcW w:w="4215" w:type="dxa"/>
          </w:tcPr>
          <w:p>
            <w:pPr>
              <w:pStyle w:val="TableParagraph"/>
              <w:spacing w:line="245" w:lineRule="exact" w:before="15"/>
              <w:ind w:left="48" w:right="42"/>
              <w:rPr>
                <w:b/>
                <w:sz w:val="21"/>
              </w:rPr>
            </w:pPr>
            <w:r>
              <w:rPr>
                <w:b/>
                <w:sz w:val="21"/>
              </w:rPr>
              <w:t>备注</w:t>
            </w:r>
          </w:p>
        </w:tc>
      </w:tr>
      <w:tr>
        <w:trPr>
          <w:trHeight w:val="280" w:hRule="atLeast"/>
        </w:trPr>
        <w:tc>
          <w:tcPr>
            <w:tcW w:w="734" w:type="dxa"/>
          </w:tcPr>
          <w:p>
            <w:pPr>
              <w:pStyle w:val="TableParagraph"/>
              <w:spacing w:line="231" w:lineRule="exact" w:before="29"/>
              <w:ind w:left="10"/>
              <w:rPr>
                <w:rFonts w:ascii="Times New Roman"/>
                <w:sz w:val="21"/>
              </w:rPr>
            </w:pPr>
            <w:r>
              <w:rPr>
                <w:rFonts w:ascii="Times New Roman"/>
                <w:w w:val="100"/>
                <w:sz w:val="21"/>
              </w:rPr>
              <w:t>1</w:t>
            </w:r>
          </w:p>
        </w:tc>
        <w:tc>
          <w:tcPr>
            <w:tcW w:w="2777" w:type="dxa"/>
          </w:tcPr>
          <w:p>
            <w:pPr>
              <w:pStyle w:val="TableParagraph"/>
              <w:spacing w:line="245" w:lineRule="exact" w:before="15"/>
              <w:ind w:left="839" w:right="829"/>
              <w:rPr>
                <w:sz w:val="21"/>
              </w:rPr>
            </w:pPr>
            <w:r>
              <w:rPr>
                <w:rFonts w:ascii="Times New Roman" w:eastAsia="Times New Roman"/>
                <w:sz w:val="21"/>
              </w:rPr>
              <w:t>pH </w:t>
            </w:r>
            <w:r>
              <w:rPr>
                <w:sz w:val="21"/>
              </w:rPr>
              <w:t>值</w:t>
            </w:r>
          </w:p>
        </w:tc>
        <w:tc>
          <w:tcPr>
            <w:tcW w:w="1560" w:type="dxa"/>
          </w:tcPr>
          <w:p>
            <w:pPr>
              <w:pStyle w:val="TableParagraph"/>
              <w:spacing w:line="231" w:lineRule="exact" w:before="29"/>
              <w:ind w:left="12" w:right="9"/>
              <w:rPr>
                <w:rFonts w:ascii="Times New Roman"/>
                <w:sz w:val="21"/>
              </w:rPr>
            </w:pPr>
            <w:r>
              <w:rPr>
                <w:rFonts w:ascii="Times New Roman"/>
                <w:sz w:val="21"/>
              </w:rPr>
              <w:t>6-9</w:t>
            </w:r>
          </w:p>
        </w:tc>
        <w:tc>
          <w:tcPr>
            <w:tcW w:w="4215" w:type="dxa"/>
            <w:vMerge w:val="restart"/>
          </w:tcPr>
          <w:p>
            <w:pPr>
              <w:pStyle w:val="TableParagraph"/>
              <w:spacing w:before="159"/>
              <w:ind w:left="106"/>
              <w:jc w:val="left"/>
              <w:rPr>
                <w:sz w:val="21"/>
              </w:rPr>
            </w:pPr>
            <w:r>
              <w:rPr>
                <w:sz w:val="21"/>
              </w:rPr>
              <w:t>《污水综合排放标准》</w:t>
            </w:r>
            <w:r>
              <w:rPr>
                <w:rFonts w:ascii="Times New Roman" w:eastAsia="Times New Roman"/>
                <w:sz w:val="21"/>
              </w:rPr>
              <w:t>(GB8978-96)</w:t>
            </w:r>
            <w:r>
              <w:rPr>
                <w:sz w:val="21"/>
              </w:rPr>
              <w:t>三级标准</w:t>
            </w:r>
          </w:p>
        </w:tc>
      </w:tr>
      <w:tr>
        <w:trPr>
          <w:trHeight w:val="280" w:hRule="atLeast"/>
        </w:trPr>
        <w:tc>
          <w:tcPr>
            <w:tcW w:w="734" w:type="dxa"/>
          </w:tcPr>
          <w:p>
            <w:pPr>
              <w:pStyle w:val="TableParagraph"/>
              <w:spacing w:line="233" w:lineRule="exact" w:before="27"/>
              <w:ind w:left="10"/>
              <w:rPr>
                <w:rFonts w:ascii="Times New Roman"/>
                <w:sz w:val="21"/>
              </w:rPr>
            </w:pPr>
            <w:r>
              <w:rPr>
                <w:rFonts w:ascii="Times New Roman"/>
                <w:w w:val="100"/>
                <w:sz w:val="21"/>
              </w:rPr>
              <w:t>2</w:t>
            </w:r>
          </w:p>
        </w:tc>
        <w:tc>
          <w:tcPr>
            <w:tcW w:w="2777" w:type="dxa"/>
          </w:tcPr>
          <w:p>
            <w:pPr>
              <w:pStyle w:val="TableParagraph"/>
              <w:spacing w:line="234" w:lineRule="exact" w:before="26"/>
              <w:ind w:left="839" w:right="830"/>
              <w:rPr>
                <w:rFonts w:ascii="Times New Roman"/>
                <w:sz w:val="14"/>
              </w:rPr>
            </w:pPr>
            <w:r>
              <w:rPr>
                <w:rFonts w:ascii="Times New Roman"/>
                <w:position w:val="2"/>
                <w:sz w:val="21"/>
              </w:rPr>
              <w:t>COD</w:t>
            </w:r>
            <w:r>
              <w:rPr>
                <w:rFonts w:ascii="Times New Roman"/>
                <w:sz w:val="14"/>
              </w:rPr>
              <w:t>Cr</w:t>
            </w:r>
          </w:p>
        </w:tc>
        <w:tc>
          <w:tcPr>
            <w:tcW w:w="1560" w:type="dxa"/>
          </w:tcPr>
          <w:p>
            <w:pPr>
              <w:pStyle w:val="TableParagraph"/>
              <w:spacing w:line="233" w:lineRule="exact" w:before="27"/>
              <w:ind w:left="15" w:right="9"/>
              <w:rPr>
                <w:rFonts w:ascii="Times New Roman"/>
                <w:sz w:val="21"/>
              </w:rPr>
            </w:pPr>
            <w:r>
              <w:rPr>
                <w:rFonts w:ascii="Times New Roman"/>
                <w:sz w:val="21"/>
              </w:rPr>
              <w:t>500</w:t>
            </w:r>
          </w:p>
        </w:tc>
        <w:tc>
          <w:tcPr>
            <w:tcW w:w="4215" w:type="dxa"/>
            <w:vMerge/>
            <w:tcBorders>
              <w:top w:val="nil"/>
            </w:tcBorders>
          </w:tcPr>
          <w:p>
            <w:pPr>
              <w:rPr>
                <w:sz w:val="2"/>
                <w:szCs w:val="2"/>
              </w:rPr>
            </w:pPr>
          </w:p>
        </w:tc>
      </w:tr>
    </w:tbl>
    <w:p>
      <w:pPr>
        <w:spacing w:after="0"/>
        <w:rPr>
          <w:sz w:val="2"/>
          <w:szCs w:val="2"/>
        </w:rPr>
        <w:sectPr>
          <w:pgSz w:w="11910" w:h="16840"/>
          <w:pgMar w:header="874" w:footer="944" w:top="1340" w:bottom="1140" w:left="1180" w:right="1180"/>
        </w:sectPr>
      </w:pPr>
    </w:p>
    <w:p>
      <w:pPr>
        <w:pStyle w:val="BodyText"/>
        <w:spacing w:before="10"/>
        <w:rPr>
          <w:rFonts w:ascii="Times New Roman"/>
          <w:b/>
          <w:sz w:val="5"/>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4"/>
        <w:gridCol w:w="2777"/>
        <w:gridCol w:w="1560"/>
        <w:gridCol w:w="4215"/>
      </w:tblGrid>
      <w:tr>
        <w:trPr>
          <w:trHeight w:val="280" w:hRule="atLeast"/>
        </w:trPr>
        <w:tc>
          <w:tcPr>
            <w:tcW w:w="734" w:type="dxa"/>
          </w:tcPr>
          <w:p>
            <w:pPr>
              <w:pStyle w:val="TableParagraph"/>
              <w:spacing w:line="245" w:lineRule="exact" w:before="15"/>
              <w:ind w:left="136" w:right="126"/>
              <w:rPr>
                <w:b/>
                <w:sz w:val="21"/>
              </w:rPr>
            </w:pPr>
            <w:r>
              <w:rPr>
                <w:b/>
                <w:sz w:val="21"/>
              </w:rPr>
              <w:t>序号</w:t>
            </w:r>
          </w:p>
        </w:tc>
        <w:tc>
          <w:tcPr>
            <w:tcW w:w="2777" w:type="dxa"/>
          </w:tcPr>
          <w:p>
            <w:pPr>
              <w:pStyle w:val="TableParagraph"/>
              <w:spacing w:line="245" w:lineRule="exact" w:before="15"/>
              <w:ind w:left="839" w:right="832"/>
              <w:rPr>
                <w:b/>
                <w:sz w:val="21"/>
              </w:rPr>
            </w:pPr>
            <w:r>
              <w:rPr>
                <w:b/>
                <w:sz w:val="21"/>
              </w:rPr>
              <w:t>污染物项目</w:t>
            </w:r>
          </w:p>
        </w:tc>
        <w:tc>
          <w:tcPr>
            <w:tcW w:w="1560" w:type="dxa"/>
          </w:tcPr>
          <w:p>
            <w:pPr>
              <w:pStyle w:val="TableParagraph"/>
              <w:spacing w:line="245" w:lineRule="exact" w:before="15"/>
              <w:ind w:left="15" w:right="9"/>
              <w:rPr>
                <w:b/>
                <w:sz w:val="21"/>
              </w:rPr>
            </w:pPr>
            <w:r>
              <w:rPr>
                <w:b/>
                <w:sz w:val="21"/>
              </w:rPr>
              <w:t>纳管标准</w:t>
            </w:r>
          </w:p>
        </w:tc>
        <w:tc>
          <w:tcPr>
            <w:tcW w:w="4215" w:type="dxa"/>
          </w:tcPr>
          <w:p>
            <w:pPr>
              <w:pStyle w:val="TableParagraph"/>
              <w:spacing w:line="245" w:lineRule="exact" w:before="15"/>
              <w:ind w:left="48" w:right="42"/>
              <w:rPr>
                <w:b/>
                <w:sz w:val="21"/>
              </w:rPr>
            </w:pPr>
            <w:r>
              <w:rPr>
                <w:b/>
                <w:sz w:val="21"/>
              </w:rPr>
              <w:t>备注</w:t>
            </w:r>
          </w:p>
        </w:tc>
      </w:tr>
      <w:tr>
        <w:trPr>
          <w:trHeight w:val="278" w:hRule="atLeast"/>
        </w:trPr>
        <w:tc>
          <w:tcPr>
            <w:tcW w:w="734" w:type="dxa"/>
          </w:tcPr>
          <w:p>
            <w:pPr>
              <w:pStyle w:val="TableParagraph"/>
              <w:spacing w:line="231" w:lineRule="exact" w:before="27"/>
              <w:ind w:left="10"/>
              <w:rPr>
                <w:rFonts w:ascii="Times New Roman"/>
                <w:sz w:val="21"/>
              </w:rPr>
            </w:pPr>
            <w:r>
              <w:rPr>
                <w:rFonts w:ascii="Times New Roman"/>
                <w:w w:val="100"/>
                <w:sz w:val="21"/>
              </w:rPr>
              <w:t>3</w:t>
            </w:r>
          </w:p>
        </w:tc>
        <w:tc>
          <w:tcPr>
            <w:tcW w:w="2777" w:type="dxa"/>
          </w:tcPr>
          <w:p>
            <w:pPr>
              <w:pStyle w:val="TableParagraph"/>
              <w:spacing w:line="231" w:lineRule="exact" w:before="27"/>
              <w:ind w:left="839" w:right="832"/>
              <w:rPr>
                <w:rFonts w:ascii="Times New Roman"/>
                <w:sz w:val="21"/>
              </w:rPr>
            </w:pPr>
            <w:r>
              <w:rPr>
                <w:rFonts w:ascii="Times New Roman"/>
                <w:sz w:val="21"/>
              </w:rPr>
              <w:t>SS</w:t>
            </w:r>
          </w:p>
        </w:tc>
        <w:tc>
          <w:tcPr>
            <w:tcW w:w="1560" w:type="dxa"/>
          </w:tcPr>
          <w:p>
            <w:pPr>
              <w:pStyle w:val="TableParagraph"/>
              <w:spacing w:line="231" w:lineRule="exact" w:before="27"/>
              <w:ind w:left="15" w:right="9"/>
              <w:rPr>
                <w:rFonts w:ascii="Times New Roman"/>
                <w:sz w:val="21"/>
              </w:rPr>
            </w:pPr>
            <w:r>
              <w:rPr>
                <w:rFonts w:ascii="Times New Roman"/>
                <w:sz w:val="21"/>
              </w:rPr>
              <w:t>400</w:t>
            </w:r>
          </w:p>
        </w:tc>
        <w:tc>
          <w:tcPr>
            <w:tcW w:w="4215" w:type="dxa"/>
            <w:vMerge w:val="restart"/>
          </w:tcPr>
          <w:p>
            <w:pPr>
              <w:pStyle w:val="TableParagraph"/>
              <w:jc w:val="left"/>
              <w:rPr>
                <w:rFonts w:ascii="Times New Roman"/>
                <w:sz w:val="20"/>
              </w:rPr>
            </w:pPr>
          </w:p>
        </w:tc>
      </w:tr>
      <w:tr>
        <w:trPr>
          <w:trHeight w:val="280" w:hRule="atLeast"/>
        </w:trPr>
        <w:tc>
          <w:tcPr>
            <w:tcW w:w="734" w:type="dxa"/>
          </w:tcPr>
          <w:p>
            <w:pPr>
              <w:pStyle w:val="TableParagraph"/>
              <w:spacing w:line="231" w:lineRule="exact" w:before="29"/>
              <w:ind w:left="10"/>
              <w:rPr>
                <w:rFonts w:ascii="Times New Roman"/>
                <w:sz w:val="21"/>
              </w:rPr>
            </w:pPr>
            <w:r>
              <w:rPr>
                <w:rFonts w:ascii="Times New Roman"/>
                <w:w w:val="100"/>
                <w:sz w:val="21"/>
              </w:rPr>
              <w:t>4</w:t>
            </w:r>
          </w:p>
        </w:tc>
        <w:tc>
          <w:tcPr>
            <w:tcW w:w="2777" w:type="dxa"/>
          </w:tcPr>
          <w:p>
            <w:pPr>
              <w:pStyle w:val="TableParagraph"/>
              <w:spacing w:line="232" w:lineRule="exact" w:before="28"/>
              <w:ind w:left="839" w:right="829"/>
              <w:rPr>
                <w:rFonts w:ascii="Times New Roman"/>
                <w:sz w:val="14"/>
              </w:rPr>
            </w:pPr>
            <w:r>
              <w:rPr>
                <w:rFonts w:ascii="Times New Roman"/>
                <w:position w:val="2"/>
                <w:sz w:val="21"/>
              </w:rPr>
              <w:t>BOD</w:t>
            </w:r>
            <w:r>
              <w:rPr>
                <w:rFonts w:ascii="Times New Roman"/>
                <w:sz w:val="14"/>
              </w:rPr>
              <w:t>5</w:t>
            </w:r>
          </w:p>
        </w:tc>
        <w:tc>
          <w:tcPr>
            <w:tcW w:w="1560" w:type="dxa"/>
          </w:tcPr>
          <w:p>
            <w:pPr>
              <w:pStyle w:val="TableParagraph"/>
              <w:spacing w:line="231" w:lineRule="exact" w:before="29"/>
              <w:ind w:left="15" w:right="9"/>
              <w:rPr>
                <w:rFonts w:ascii="Times New Roman"/>
                <w:sz w:val="21"/>
              </w:rPr>
            </w:pPr>
            <w:r>
              <w:rPr>
                <w:rFonts w:ascii="Times New Roman"/>
                <w:sz w:val="21"/>
              </w:rPr>
              <w:t>300</w:t>
            </w:r>
          </w:p>
        </w:tc>
        <w:tc>
          <w:tcPr>
            <w:tcW w:w="4215" w:type="dxa"/>
            <w:vMerge/>
            <w:tcBorders>
              <w:top w:val="nil"/>
            </w:tcBorders>
          </w:tcPr>
          <w:p>
            <w:pPr>
              <w:rPr>
                <w:sz w:val="2"/>
                <w:szCs w:val="2"/>
              </w:rPr>
            </w:pPr>
          </w:p>
        </w:tc>
      </w:tr>
      <w:tr>
        <w:trPr>
          <w:trHeight w:val="280" w:hRule="atLeast"/>
        </w:trPr>
        <w:tc>
          <w:tcPr>
            <w:tcW w:w="734" w:type="dxa"/>
          </w:tcPr>
          <w:p>
            <w:pPr>
              <w:pStyle w:val="TableParagraph"/>
              <w:spacing w:line="231" w:lineRule="exact" w:before="29"/>
              <w:ind w:left="10"/>
              <w:rPr>
                <w:rFonts w:ascii="Times New Roman"/>
                <w:sz w:val="21"/>
              </w:rPr>
            </w:pPr>
            <w:r>
              <w:rPr>
                <w:rFonts w:ascii="Times New Roman"/>
                <w:w w:val="100"/>
                <w:sz w:val="21"/>
              </w:rPr>
              <w:t>5</w:t>
            </w:r>
          </w:p>
        </w:tc>
        <w:tc>
          <w:tcPr>
            <w:tcW w:w="2777" w:type="dxa"/>
          </w:tcPr>
          <w:p>
            <w:pPr>
              <w:pStyle w:val="TableParagraph"/>
              <w:spacing w:line="255" w:lineRule="exact" w:before="5"/>
              <w:ind w:left="839" w:right="829"/>
              <w:rPr>
                <w:sz w:val="11"/>
              </w:rPr>
            </w:pPr>
            <w:r>
              <w:rPr>
                <w:sz w:val="21"/>
              </w:rPr>
              <w:t>石油类</w:t>
            </w:r>
            <w:r>
              <w:rPr>
                <w:position w:val="11"/>
                <w:sz w:val="11"/>
              </w:rPr>
              <w:t>①</w:t>
            </w:r>
          </w:p>
        </w:tc>
        <w:tc>
          <w:tcPr>
            <w:tcW w:w="1560" w:type="dxa"/>
          </w:tcPr>
          <w:p>
            <w:pPr>
              <w:pStyle w:val="TableParagraph"/>
              <w:spacing w:line="231" w:lineRule="exact" w:before="29"/>
              <w:ind w:left="15" w:right="9"/>
              <w:rPr>
                <w:rFonts w:ascii="Times New Roman"/>
                <w:sz w:val="21"/>
              </w:rPr>
            </w:pPr>
            <w:r>
              <w:rPr>
                <w:rFonts w:ascii="Times New Roman"/>
                <w:sz w:val="21"/>
              </w:rPr>
              <w:t>20</w:t>
            </w:r>
          </w:p>
        </w:tc>
        <w:tc>
          <w:tcPr>
            <w:tcW w:w="4215" w:type="dxa"/>
            <w:vMerge/>
            <w:tcBorders>
              <w:top w:val="nil"/>
            </w:tcBorders>
          </w:tcPr>
          <w:p>
            <w:pPr>
              <w:rPr>
                <w:sz w:val="2"/>
                <w:szCs w:val="2"/>
              </w:rPr>
            </w:pPr>
          </w:p>
        </w:tc>
      </w:tr>
      <w:tr>
        <w:trPr>
          <w:trHeight w:val="280" w:hRule="atLeast"/>
        </w:trPr>
        <w:tc>
          <w:tcPr>
            <w:tcW w:w="734" w:type="dxa"/>
          </w:tcPr>
          <w:p>
            <w:pPr>
              <w:pStyle w:val="TableParagraph"/>
              <w:spacing w:line="231" w:lineRule="exact" w:before="29"/>
              <w:ind w:left="10"/>
              <w:rPr>
                <w:rFonts w:ascii="Times New Roman"/>
                <w:sz w:val="21"/>
              </w:rPr>
            </w:pPr>
            <w:r>
              <w:rPr>
                <w:rFonts w:ascii="Times New Roman"/>
                <w:w w:val="100"/>
                <w:sz w:val="21"/>
              </w:rPr>
              <w:t>6</w:t>
            </w:r>
          </w:p>
        </w:tc>
        <w:tc>
          <w:tcPr>
            <w:tcW w:w="2777" w:type="dxa"/>
          </w:tcPr>
          <w:p>
            <w:pPr>
              <w:pStyle w:val="TableParagraph"/>
              <w:spacing w:line="255" w:lineRule="exact" w:before="5"/>
              <w:ind w:left="839" w:right="829"/>
              <w:rPr>
                <w:sz w:val="11"/>
              </w:rPr>
            </w:pPr>
            <w:r>
              <w:rPr>
                <w:sz w:val="21"/>
              </w:rPr>
              <w:t>硫化物</w:t>
            </w:r>
            <w:r>
              <w:rPr>
                <w:position w:val="11"/>
                <w:sz w:val="11"/>
              </w:rPr>
              <w:t>①</w:t>
            </w:r>
          </w:p>
        </w:tc>
        <w:tc>
          <w:tcPr>
            <w:tcW w:w="1560" w:type="dxa"/>
          </w:tcPr>
          <w:p>
            <w:pPr>
              <w:pStyle w:val="TableParagraph"/>
              <w:spacing w:line="231" w:lineRule="exact" w:before="29"/>
              <w:ind w:left="15" w:right="9"/>
              <w:rPr>
                <w:rFonts w:ascii="Times New Roman"/>
                <w:sz w:val="21"/>
              </w:rPr>
            </w:pPr>
            <w:r>
              <w:rPr>
                <w:rFonts w:ascii="Times New Roman"/>
                <w:sz w:val="21"/>
              </w:rPr>
              <w:t>1.0</w:t>
            </w:r>
          </w:p>
        </w:tc>
        <w:tc>
          <w:tcPr>
            <w:tcW w:w="4215" w:type="dxa"/>
            <w:vMerge/>
            <w:tcBorders>
              <w:top w:val="nil"/>
            </w:tcBorders>
          </w:tcPr>
          <w:p>
            <w:pPr>
              <w:rPr>
                <w:sz w:val="2"/>
                <w:szCs w:val="2"/>
              </w:rPr>
            </w:pPr>
          </w:p>
        </w:tc>
      </w:tr>
      <w:tr>
        <w:trPr>
          <w:trHeight w:val="280" w:hRule="atLeast"/>
        </w:trPr>
        <w:tc>
          <w:tcPr>
            <w:tcW w:w="734" w:type="dxa"/>
          </w:tcPr>
          <w:p>
            <w:pPr>
              <w:pStyle w:val="TableParagraph"/>
              <w:spacing w:line="231" w:lineRule="exact" w:before="29"/>
              <w:ind w:left="10"/>
              <w:rPr>
                <w:rFonts w:ascii="Times New Roman"/>
                <w:sz w:val="21"/>
              </w:rPr>
            </w:pPr>
            <w:r>
              <w:rPr>
                <w:rFonts w:ascii="Times New Roman"/>
                <w:w w:val="100"/>
                <w:sz w:val="21"/>
              </w:rPr>
              <w:t>7</w:t>
            </w:r>
          </w:p>
        </w:tc>
        <w:tc>
          <w:tcPr>
            <w:tcW w:w="2777" w:type="dxa"/>
          </w:tcPr>
          <w:p>
            <w:pPr>
              <w:pStyle w:val="TableParagraph"/>
              <w:spacing w:line="255" w:lineRule="exact" w:before="5"/>
              <w:ind w:left="839" w:right="829"/>
              <w:rPr>
                <w:sz w:val="11"/>
              </w:rPr>
            </w:pPr>
            <w:r>
              <w:rPr>
                <w:sz w:val="21"/>
              </w:rPr>
              <w:t>硝基苯类</w:t>
            </w:r>
            <w:r>
              <w:rPr>
                <w:position w:val="11"/>
                <w:sz w:val="11"/>
              </w:rPr>
              <w:t>①</w:t>
            </w:r>
          </w:p>
        </w:tc>
        <w:tc>
          <w:tcPr>
            <w:tcW w:w="1560" w:type="dxa"/>
          </w:tcPr>
          <w:p>
            <w:pPr>
              <w:pStyle w:val="TableParagraph"/>
              <w:spacing w:line="231" w:lineRule="exact" w:before="29"/>
              <w:ind w:left="15" w:right="9"/>
              <w:rPr>
                <w:rFonts w:ascii="Times New Roman"/>
                <w:sz w:val="21"/>
              </w:rPr>
            </w:pPr>
            <w:r>
              <w:rPr>
                <w:rFonts w:ascii="Times New Roman"/>
                <w:sz w:val="21"/>
              </w:rPr>
              <w:t>5.0</w:t>
            </w:r>
          </w:p>
        </w:tc>
        <w:tc>
          <w:tcPr>
            <w:tcW w:w="4215" w:type="dxa"/>
            <w:vMerge/>
            <w:tcBorders>
              <w:top w:val="nil"/>
            </w:tcBorders>
          </w:tcPr>
          <w:p>
            <w:pPr>
              <w:rPr>
                <w:sz w:val="2"/>
                <w:szCs w:val="2"/>
              </w:rPr>
            </w:pPr>
          </w:p>
        </w:tc>
      </w:tr>
      <w:tr>
        <w:trPr>
          <w:trHeight w:val="280" w:hRule="atLeast"/>
        </w:trPr>
        <w:tc>
          <w:tcPr>
            <w:tcW w:w="734" w:type="dxa"/>
          </w:tcPr>
          <w:p>
            <w:pPr>
              <w:pStyle w:val="TableParagraph"/>
              <w:spacing w:line="231" w:lineRule="exact" w:before="29"/>
              <w:ind w:left="10"/>
              <w:rPr>
                <w:rFonts w:ascii="Times New Roman"/>
                <w:sz w:val="21"/>
              </w:rPr>
            </w:pPr>
            <w:r>
              <w:rPr>
                <w:rFonts w:ascii="Times New Roman"/>
                <w:w w:val="100"/>
                <w:sz w:val="21"/>
              </w:rPr>
              <w:t>8</w:t>
            </w:r>
          </w:p>
        </w:tc>
        <w:tc>
          <w:tcPr>
            <w:tcW w:w="2777" w:type="dxa"/>
          </w:tcPr>
          <w:p>
            <w:pPr>
              <w:pStyle w:val="TableParagraph"/>
              <w:spacing w:line="255" w:lineRule="exact" w:before="5"/>
              <w:ind w:left="839" w:right="829"/>
              <w:rPr>
                <w:sz w:val="11"/>
              </w:rPr>
            </w:pPr>
            <w:r>
              <w:rPr>
                <w:sz w:val="21"/>
              </w:rPr>
              <w:t>苯胺类</w:t>
            </w:r>
            <w:r>
              <w:rPr>
                <w:position w:val="11"/>
                <w:sz w:val="11"/>
              </w:rPr>
              <w:t>①</w:t>
            </w:r>
          </w:p>
        </w:tc>
        <w:tc>
          <w:tcPr>
            <w:tcW w:w="1560" w:type="dxa"/>
          </w:tcPr>
          <w:p>
            <w:pPr>
              <w:pStyle w:val="TableParagraph"/>
              <w:spacing w:line="231" w:lineRule="exact" w:before="29"/>
              <w:ind w:left="15" w:right="9"/>
              <w:rPr>
                <w:rFonts w:ascii="Times New Roman"/>
                <w:sz w:val="21"/>
              </w:rPr>
            </w:pPr>
            <w:r>
              <w:rPr>
                <w:rFonts w:ascii="Times New Roman"/>
                <w:sz w:val="21"/>
              </w:rPr>
              <w:t>5.0</w:t>
            </w:r>
          </w:p>
        </w:tc>
        <w:tc>
          <w:tcPr>
            <w:tcW w:w="4215" w:type="dxa"/>
            <w:vMerge/>
            <w:tcBorders>
              <w:top w:val="nil"/>
            </w:tcBorders>
          </w:tcPr>
          <w:p>
            <w:pPr>
              <w:rPr>
                <w:sz w:val="2"/>
                <w:szCs w:val="2"/>
              </w:rPr>
            </w:pPr>
          </w:p>
        </w:tc>
      </w:tr>
      <w:tr>
        <w:trPr>
          <w:trHeight w:val="277" w:hRule="atLeast"/>
        </w:trPr>
        <w:tc>
          <w:tcPr>
            <w:tcW w:w="734" w:type="dxa"/>
          </w:tcPr>
          <w:p>
            <w:pPr>
              <w:pStyle w:val="TableParagraph"/>
              <w:spacing w:line="231" w:lineRule="exact" w:before="27"/>
              <w:ind w:left="10"/>
              <w:rPr>
                <w:rFonts w:ascii="Times New Roman"/>
                <w:sz w:val="21"/>
              </w:rPr>
            </w:pPr>
            <w:r>
              <w:rPr>
                <w:rFonts w:ascii="Times New Roman"/>
                <w:w w:val="100"/>
                <w:sz w:val="21"/>
              </w:rPr>
              <w:t>9</w:t>
            </w:r>
          </w:p>
        </w:tc>
        <w:tc>
          <w:tcPr>
            <w:tcW w:w="2777" w:type="dxa"/>
          </w:tcPr>
          <w:p>
            <w:pPr>
              <w:pStyle w:val="TableParagraph"/>
              <w:spacing w:line="255" w:lineRule="exact" w:before="3"/>
              <w:ind w:left="839" w:right="829"/>
              <w:rPr>
                <w:sz w:val="11"/>
              </w:rPr>
            </w:pPr>
            <w:r>
              <w:rPr>
                <w:sz w:val="21"/>
              </w:rPr>
              <w:t>邻二甲苯</w:t>
            </w:r>
            <w:r>
              <w:rPr>
                <w:position w:val="11"/>
                <w:sz w:val="11"/>
              </w:rPr>
              <w:t>①</w:t>
            </w:r>
          </w:p>
        </w:tc>
        <w:tc>
          <w:tcPr>
            <w:tcW w:w="1560" w:type="dxa"/>
          </w:tcPr>
          <w:p>
            <w:pPr>
              <w:pStyle w:val="TableParagraph"/>
              <w:spacing w:line="231" w:lineRule="exact" w:before="27"/>
              <w:ind w:left="15" w:right="9"/>
              <w:rPr>
                <w:rFonts w:ascii="Times New Roman"/>
                <w:sz w:val="21"/>
              </w:rPr>
            </w:pPr>
            <w:r>
              <w:rPr>
                <w:rFonts w:ascii="Times New Roman"/>
                <w:sz w:val="21"/>
              </w:rPr>
              <w:t>1.0</w:t>
            </w:r>
          </w:p>
        </w:tc>
        <w:tc>
          <w:tcPr>
            <w:tcW w:w="4215" w:type="dxa"/>
            <w:vMerge/>
            <w:tcBorders>
              <w:top w:val="nil"/>
            </w:tcBorders>
          </w:tcPr>
          <w:p>
            <w:pPr>
              <w:rPr>
                <w:sz w:val="2"/>
                <w:szCs w:val="2"/>
              </w:rPr>
            </w:pPr>
          </w:p>
        </w:tc>
      </w:tr>
      <w:tr>
        <w:trPr>
          <w:trHeight w:val="280" w:hRule="atLeast"/>
        </w:trPr>
        <w:tc>
          <w:tcPr>
            <w:tcW w:w="734" w:type="dxa"/>
          </w:tcPr>
          <w:p>
            <w:pPr>
              <w:pStyle w:val="TableParagraph"/>
              <w:spacing w:line="231" w:lineRule="exact" w:before="29"/>
              <w:ind w:left="136" w:right="126"/>
              <w:rPr>
                <w:rFonts w:ascii="Times New Roman"/>
                <w:sz w:val="21"/>
              </w:rPr>
            </w:pPr>
            <w:r>
              <w:rPr>
                <w:rFonts w:ascii="Times New Roman"/>
                <w:sz w:val="21"/>
              </w:rPr>
              <w:t>10</w:t>
            </w:r>
          </w:p>
        </w:tc>
        <w:tc>
          <w:tcPr>
            <w:tcW w:w="2777" w:type="dxa"/>
          </w:tcPr>
          <w:p>
            <w:pPr>
              <w:pStyle w:val="TableParagraph"/>
              <w:spacing w:line="255" w:lineRule="exact" w:before="5"/>
              <w:ind w:left="839" w:right="829"/>
              <w:rPr>
                <w:sz w:val="11"/>
              </w:rPr>
            </w:pPr>
            <w:r>
              <w:rPr>
                <w:sz w:val="21"/>
              </w:rPr>
              <w:t>挥发酚</w:t>
            </w:r>
            <w:r>
              <w:rPr>
                <w:position w:val="11"/>
                <w:sz w:val="11"/>
              </w:rPr>
              <w:t>①</w:t>
            </w:r>
          </w:p>
        </w:tc>
        <w:tc>
          <w:tcPr>
            <w:tcW w:w="1560" w:type="dxa"/>
          </w:tcPr>
          <w:p>
            <w:pPr>
              <w:pStyle w:val="TableParagraph"/>
              <w:spacing w:line="231" w:lineRule="exact" w:before="29"/>
              <w:ind w:left="15" w:right="9"/>
              <w:rPr>
                <w:rFonts w:ascii="Times New Roman"/>
                <w:sz w:val="21"/>
              </w:rPr>
            </w:pPr>
            <w:r>
              <w:rPr>
                <w:rFonts w:ascii="Times New Roman"/>
                <w:sz w:val="21"/>
              </w:rPr>
              <w:t>2.0</w:t>
            </w:r>
          </w:p>
        </w:tc>
        <w:tc>
          <w:tcPr>
            <w:tcW w:w="4215" w:type="dxa"/>
            <w:vMerge/>
            <w:tcBorders>
              <w:top w:val="nil"/>
            </w:tcBorders>
          </w:tcPr>
          <w:p>
            <w:pPr>
              <w:rPr>
                <w:sz w:val="2"/>
                <w:szCs w:val="2"/>
              </w:rPr>
            </w:pPr>
          </w:p>
        </w:tc>
      </w:tr>
      <w:tr>
        <w:trPr>
          <w:trHeight w:val="561" w:hRule="atLeast"/>
        </w:trPr>
        <w:tc>
          <w:tcPr>
            <w:tcW w:w="734" w:type="dxa"/>
          </w:tcPr>
          <w:p>
            <w:pPr>
              <w:pStyle w:val="TableParagraph"/>
              <w:spacing w:before="168"/>
              <w:ind w:left="136" w:right="124"/>
              <w:rPr>
                <w:rFonts w:ascii="Times New Roman"/>
                <w:sz w:val="21"/>
              </w:rPr>
            </w:pPr>
            <w:r>
              <w:rPr>
                <w:rFonts w:ascii="Times New Roman"/>
                <w:sz w:val="21"/>
              </w:rPr>
              <w:t>11</w:t>
            </w:r>
          </w:p>
        </w:tc>
        <w:tc>
          <w:tcPr>
            <w:tcW w:w="2777" w:type="dxa"/>
          </w:tcPr>
          <w:p>
            <w:pPr>
              <w:pStyle w:val="TableParagraph"/>
              <w:spacing w:before="154"/>
              <w:ind w:left="839" w:right="832"/>
              <w:rPr>
                <w:sz w:val="21"/>
              </w:rPr>
            </w:pPr>
            <w:r>
              <w:rPr>
                <w:sz w:val="21"/>
              </w:rPr>
              <w:t>总氮</w:t>
            </w:r>
          </w:p>
        </w:tc>
        <w:tc>
          <w:tcPr>
            <w:tcW w:w="1560" w:type="dxa"/>
          </w:tcPr>
          <w:p>
            <w:pPr>
              <w:pStyle w:val="TableParagraph"/>
              <w:spacing w:before="168"/>
              <w:ind w:left="15" w:right="9"/>
              <w:rPr>
                <w:rFonts w:ascii="Times New Roman"/>
                <w:sz w:val="21"/>
              </w:rPr>
            </w:pPr>
            <w:r>
              <w:rPr>
                <w:rFonts w:ascii="Times New Roman"/>
                <w:sz w:val="21"/>
              </w:rPr>
              <w:t>70</w:t>
            </w:r>
          </w:p>
        </w:tc>
        <w:tc>
          <w:tcPr>
            <w:tcW w:w="4215" w:type="dxa"/>
          </w:tcPr>
          <w:p>
            <w:pPr>
              <w:pStyle w:val="TableParagraph"/>
              <w:spacing w:before="15"/>
              <w:ind w:left="53" w:right="42"/>
              <w:rPr>
                <w:sz w:val="21"/>
              </w:rPr>
            </w:pPr>
            <w:r>
              <w:rPr>
                <w:sz w:val="21"/>
              </w:rPr>
              <w:t>《污水排入城镇下水道水质标准》</w:t>
            </w:r>
          </w:p>
          <w:p>
            <w:pPr>
              <w:pStyle w:val="TableParagraph"/>
              <w:spacing w:line="245" w:lineRule="exact" w:before="12"/>
              <w:ind w:left="53" w:right="42"/>
              <w:rPr>
                <w:sz w:val="21"/>
              </w:rPr>
            </w:pPr>
            <w:r>
              <w:rPr>
                <w:rFonts w:ascii="Times New Roman" w:eastAsia="Times New Roman"/>
                <w:sz w:val="21"/>
              </w:rPr>
              <w:t>(GB/T31962-2015)</w:t>
            </w:r>
            <w:r>
              <w:rPr>
                <w:sz w:val="21"/>
              </w:rPr>
              <w:t>中</w:t>
            </w:r>
            <w:r>
              <w:rPr>
                <w:rFonts w:ascii="Times New Roman" w:eastAsia="Times New Roman"/>
                <w:sz w:val="21"/>
              </w:rPr>
              <w:t>B </w:t>
            </w:r>
            <w:r>
              <w:rPr>
                <w:sz w:val="21"/>
              </w:rPr>
              <w:t>级标准</w:t>
            </w:r>
          </w:p>
        </w:tc>
      </w:tr>
      <w:tr>
        <w:trPr>
          <w:trHeight w:val="280" w:hRule="atLeast"/>
        </w:trPr>
        <w:tc>
          <w:tcPr>
            <w:tcW w:w="734" w:type="dxa"/>
          </w:tcPr>
          <w:p>
            <w:pPr>
              <w:pStyle w:val="TableParagraph"/>
              <w:spacing w:line="231" w:lineRule="exact" w:before="29"/>
              <w:ind w:left="136" w:right="126"/>
              <w:rPr>
                <w:rFonts w:ascii="Times New Roman"/>
                <w:sz w:val="21"/>
              </w:rPr>
            </w:pPr>
            <w:r>
              <w:rPr>
                <w:rFonts w:ascii="Times New Roman"/>
                <w:sz w:val="21"/>
              </w:rPr>
              <w:t>12</w:t>
            </w:r>
          </w:p>
        </w:tc>
        <w:tc>
          <w:tcPr>
            <w:tcW w:w="2777" w:type="dxa"/>
          </w:tcPr>
          <w:p>
            <w:pPr>
              <w:pStyle w:val="TableParagraph"/>
              <w:spacing w:line="245" w:lineRule="exact" w:before="15"/>
              <w:ind w:left="839" w:right="832"/>
              <w:rPr>
                <w:sz w:val="21"/>
              </w:rPr>
            </w:pPr>
            <w:r>
              <w:rPr>
                <w:sz w:val="21"/>
              </w:rPr>
              <w:t>氨氮</w:t>
            </w:r>
          </w:p>
        </w:tc>
        <w:tc>
          <w:tcPr>
            <w:tcW w:w="1560" w:type="dxa"/>
          </w:tcPr>
          <w:p>
            <w:pPr>
              <w:pStyle w:val="TableParagraph"/>
              <w:spacing w:line="231" w:lineRule="exact" w:before="29"/>
              <w:ind w:left="15" w:right="9"/>
              <w:rPr>
                <w:rFonts w:ascii="Times New Roman"/>
                <w:sz w:val="21"/>
              </w:rPr>
            </w:pPr>
            <w:r>
              <w:rPr>
                <w:rFonts w:ascii="Times New Roman"/>
                <w:sz w:val="21"/>
              </w:rPr>
              <w:t>35</w:t>
            </w:r>
          </w:p>
        </w:tc>
        <w:tc>
          <w:tcPr>
            <w:tcW w:w="4215" w:type="dxa"/>
          </w:tcPr>
          <w:p>
            <w:pPr>
              <w:pStyle w:val="TableParagraph"/>
              <w:spacing w:line="245" w:lineRule="exact" w:before="15"/>
              <w:ind w:left="163" w:right="42"/>
              <w:rPr>
                <w:sz w:val="21"/>
              </w:rPr>
            </w:pPr>
            <w:r>
              <w:rPr>
                <w:spacing w:val="-12"/>
                <w:sz w:val="21"/>
              </w:rPr>
              <w:t>《工业企业废水氮、磷污染物间接排放限值》</w:t>
            </w:r>
          </w:p>
        </w:tc>
      </w:tr>
    </w:tbl>
    <w:p>
      <w:pPr>
        <w:spacing w:before="2"/>
        <w:ind w:left="238" w:right="0" w:firstLine="0"/>
        <w:jc w:val="left"/>
        <w:rPr>
          <w:b/>
          <w:sz w:val="21"/>
        </w:rPr>
      </w:pPr>
      <w:r>
        <w:rPr>
          <w:b/>
          <w:sz w:val="21"/>
        </w:rPr>
        <w:t>注：①为西区现有已批项目废水特征污染因子。</w:t>
      </w:r>
    </w:p>
    <w:p>
      <w:pPr>
        <w:pStyle w:val="Heading4"/>
        <w:tabs>
          <w:tab w:pos="1786" w:val="left" w:leader="none"/>
          <w:tab w:pos="5522" w:val="left" w:leader="none"/>
        </w:tabs>
        <w:spacing w:before="145" w:after="29"/>
        <w:ind w:left="565"/>
        <w:rPr>
          <w:rFonts w:ascii="Times New Roman" w:eastAsia="Times New Roman"/>
        </w:rPr>
      </w:pPr>
      <w:r>
        <w:rPr/>
        <w:t>表</w:t>
      </w:r>
      <w:r>
        <w:rPr>
          <w:spacing w:val="-60"/>
        </w:rPr>
        <w:t> </w:t>
      </w:r>
      <w:r>
        <w:rPr>
          <w:rFonts w:ascii="Times New Roman" w:eastAsia="Times New Roman"/>
        </w:rPr>
        <w:t>2.3.2-7</w:t>
        <w:tab/>
      </w:r>
      <w:r>
        <w:rPr/>
        <w:t>上虞污水处理厂废水排环境标准</w:t>
        <w:tab/>
        <w:t>单位：除</w:t>
      </w:r>
      <w:r>
        <w:rPr>
          <w:spacing w:val="-59"/>
        </w:rPr>
        <w:t> </w:t>
      </w:r>
      <w:r>
        <w:rPr>
          <w:rFonts w:ascii="Times New Roman" w:eastAsia="Times New Roman"/>
        </w:rPr>
        <w:t>pH</w:t>
      </w:r>
      <w:r>
        <w:rPr>
          <w:rFonts w:ascii="Times New Roman" w:eastAsia="Times New Roman"/>
          <w:spacing w:val="-1"/>
        </w:rPr>
        <w:t> </w:t>
      </w:r>
      <w:r>
        <w:rPr/>
        <w:t>外，其余均为</w:t>
      </w:r>
      <w:r>
        <w:rPr>
          <w:spacing w:val="-58"/>
        </w:rPr>
        <w:t> </w:t>
      </w:r>
      <w:r>
        <w:rPr>
          <w:rFonts w:ascii="Times New Roman" w:eastAsia="Times New Roman"/>
        </w:rPr>
        <w:t>mg/L</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3563"/>
        <w:gridCol w:w="4312"/>
      </w:tblGrid>
      <w:tr>
        <w:trPr>
          <w:trHeight w:val="280" w:hRule="atLeast"/>
        </w:trPr>
        <w:tc>
          <w:tcPr>
            <w:tcW w:w="1414" w:type="dxa"/>
          </w:tcPr>
          <w:p>
            <w:pPr>
              <w:pStyle w:val="TableParagraph"/>
              <w:spacing w:line="245" w:lineRule="exact" w:before="15"/>
              <w:ind w:left="264" w:right="258"/>
              <w:rPr>
                <w:b/>
                <w:sz w:val="21"/>
              </w:rPr>
            </w:pPr>
            <w:r>
              <w:rPr>
                <w:b/>
                <w:sz w:val="21"/>
              </w:rPr>
              <w:t>序号</w:t>
            </w:r>
          </w:p>
        </w:tc>
        <w:tc>
          <w:tcPr>
            <w:tcW w:w="3563" w:type="dxa"/>
          </w:tcPr>
          <w:p>
            <w:pPr>
              <w:pStyle w:val="TableParagraph"/>
              <w:spacing w:line="245" w:lineRule="exact" w:before="15"/>
              <w:ind w:left="1001" w:right="998"/>
              <w:rPr>
                <w:b/>
                <w:sz w:val="21"/>
              </w:rPr>
            </w:pPr>
            <w:r>
              <w:rPr>
                <w:b/>
                <w:sz w:val="21"/>
              </w:rPr>
              <w:t>污染物</w:t>
            </w:r>
          </w:p>
        </w:tc>
        <w:tc>
          <w:tcPr>
            <w:tcW w:w="4312" w:type="dxa"/>
          </w:tcPr>
          <w:p>
            <w:pPr>
              <w:pStyle w:val="TableParagraph"/>
              <w:spacing w:line="245" w:lineRule="exact" w:before="15"/>
              <w:ind w:left="1606" w:right="1600"/>
              <w:rPr>
                <w:b/>
                <w:sz w:val="21"/>
              </w:rPr>
            </w:pPr>
            <w:r>
              <w:rPr>
                <w:b/>
                <w:sz w:val="21"/>
              </w:rPr>
              <w:t>排环境标准</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1</w:t>
            </w:r>
          </w:p>
        </w:tc>
        <w:tc>
          <w:tcPr>
            <w:tcW w:w="3563" w:type="dxa"/>
          </w:tcPr>
          <w:p>
            <w:pPr>
              <w:pStyle w:val="TableParagraph"/>
              <w:spacing w:line="231" w:lineRule="exact" w:before="29"/>
              <w:ind w:left="1003" w:right="996"/>
              <w:rPr>
                <w:rFonts w:ascii="Times New Roman"/>
                <w:sz w:val="21"/>
              </w:rPr>
            </w:pPr>
            <w:r>
              <w:rPr>
                <w:rFonts w:ascii="Times New Roman"/>
                <w:sz w:val="21"/>
              </w:rPr>
              <w:t>pH</w:t>
            </w:r>
          </w:p>
        </w:tc>
        <w:tc>
          <w:tcPr>
            <w:tcW w:w="4312" w:type="dxa"/>
          </w:tcPr>
          <w:p>
            <w:pPr>
              <w:pStyle w:val="TableParagraph"/>
              <w:spacing w:line="231" w:lineRule="exact" w:before="29"/>
              <w:ind w:left="1603" w:right="1600"/>
              <w:rPr>
                <w:rFonts w:ascii="Times New Roman"/>
                <w:sz w:val="21"/>
              </w:rPr>
            </w:pPr>
            <w:r>
              <w:rPr>
                <w:rFonts w:ascii="Times New Roman"/>
                <w:sz w:val="21"/>
              </w:rPr>
              <w:t>6-9</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2</w:t>
            </w:r>
          </w:p>
        </w:tc>
        <w:tc>
          <w:tcPr>
            <w:tcW w:w="3563" w:type="dxa"/>
          </w:tcPr>
          <w:p>
            <w:pPr>
              <w:pStyle w:val="TableParagraph"/>
              <w:spacing w:line="232" w:lineRule="exact" w:before="28"/>
              <w:ind w:left="1003" w:right="994"/>
              <w:rPr>
                <w:rFonts w:ascii="Times New Roman"/>
                <w:sz w:val="14"/>
              </w:rPr>
            </w:pPr>
            <w:r>
              <w:rPr>
                <w:rFonts w:ascii="Times New Roman"/>
                <w:position w:val="2"/>
                <w:sz w:val="21"/>
              </w:rPr>
              <w:t>COD</w:t>
            </w:r>
            <w:r>
              <w:rPr>
                <w:rFonts w:ascii="Times New Roman"/>
                <w:sz w:val="14"/>
              </w:rPr>
              <w:t>Cr</w:t>
            </w:r>
          </w:p>
        </w:tc>
        <w:tc>
          <w:tcPr>
            <w:tcW w:w="4312" w:type="dxa"/>
          </w:tcPr>
          <w:p>
            <w:pPr>
              <w:pStyle w:val="TableParagraph"/>
              <w:spacing w:line="231" w:lineRule="exact" w:before="29"/>
              <w:ind w:left="1601" w:right="1600"/>
              <w:rPr>
                <w:rFonts w:ascii="Times New Roman"/>
                <w:sz w:val="21"/>
              </w:rPr>
            </w:pPr>
            <w:r>
              <w:rPr>
                <w:rFonts w:ascii="Times New Roman"/>
                <w:sz w:val="21"/>
              </w:rPr>
              <w:t>80</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3</w:t>
            </w:r>
          </w:p>
        </w:tc>
        <w:tc>
          <w:tcPr>
            <w:tcW w:w="3563" w:type="dxa"/>
          </w:tcPr>
          <w:p>
            <w:pPr>
              <w:pStyle w:val="TableParagraph"/>
              <w:spacing w:line="231" w:lineRule="exact" w:before="29"/>
              <w:ind w:left="1003" w:right="995"/>
              <w:rPr>
                <w:rFonts w:ascii="Times New Roman"/>
                <w:sz w:val="21"/>
              </w:rPr>
            </w:pPr>
            <w:r>
              <w:rPr>
                <w:rFonts w:ascii="Times New Roman"/>
                <w:sz w:val="21"/>
              </w:rPr>
              <w:t>SS</w:t>
            </w:r>
          </w:p>
        </w:tc>
        <w:tc>
          <w:tcPr>
            <w:tcW w:w="4312" w:type="dxa"/>
          </w:tcPr>
          <w:p>
            <w:pPr>
              <w:pStyle w:val="TableParagraph"/>
              <w:spacing w:line="231" w:lineRule="exact" w:before="29"/>
              <w:ind w:left="1606" w:right="1600"/>
              <w:rPr>
                <w:rFonts w:ascii="Times New Roman"/>
                <w:sz w:val="21"/>
              </w:rPr>
            </w:pPr>
            <w:r>
              <w:rPr>
                <w:rFonts w:ascii="Times New Roman"/>
                <w:sz w:val="21"/>
              </w:rPr>
              <w:t>59.50</w:t>
            </w:r>
          </w:p>
        </w:tc>
      </w:tr>
      <w:tr>
        <w:trPr>
          <w:trHeight w:val="277" w:hRule="atLeast"/>
        </w:trPr>
        <w:tc>
          <w:tcPr>
            <w:tcW w:w="1414" w:type="dxa"/>
          </w:tcPr>
          <w:p>
            <w:pPr>
              <w:pStyle w:val="TableParagraph"/>
              <w:spacing w:line="231" w:lineRule="exact" w:before="27"/>
              <w:ind w:left="6"/>
              <w:rPr>
                <w:rFonts w:ascii="Times New Roman"/>
                <w:sz w:val="21"/>
              </w:rPr>
            </w:pPr>
            <w:r>
              <w:rPr>
                <w:rFonts w:ascii="Times New Roman"/>
                <w:w w:val="100"/>
                <w:sz w:val="21"/>
              </w:rPr>
              <w:t>4</w:t>
            </w:r>
          </w:p>
        </w:tc>
        <w:tc>
          <w:tcPr>
            <w:tcW w:w="3563" w:type="dxa"/>
          </w:tcPr>
          <w:p>
            <w:pPr>
              <w:pStyle w:val="TableParagraph"/>
              <w:spacing w:line="232" w:lineRule="exact" w:before="26"/>
              <w:ind w:left="1002" w:right="998"/>
              <w:rPr>
                <w:rFonts w:ascii="Times New Roman"/>
                <w:sz w:val="21"/>
              </w:rPr>
            </w:pPr>
            <w:r>
              <w:rPr>
                <w:rFonts w:ascii="Times New Roman"/>
                <w:position w:val="2"/>
                <w:sz w:val="21"/>
              </w:rPr>
              <w:t>NH</w:t>
            </w:r>
            <w:r>
              <w:rPr>
                <w:rFonts w:ascii="Times New Roman"/>
                <w:sz w:val="14"/>
              </w:rPr>
              <w:t>3</w:t>
            </w:r>
            <w:r>
              <w:rPr>
                <w:rFonts w:ascii="Times New Roman"/>
                <w:position w:val="2"/>
                <w:sz w:val="21"/>
              </w:rPr>
              <w:t>-N</w:t>
            </w:r>
          </w:p>
        </w:tc>
        <w:tc>
          <w:tcPr>
            <w:tcW w:w="4312" w:type="dxa"/>
          </w:tcPr>
          <w:p>
            <w:pPr>
              <w:pStyle w:val="TableParagraph"/>
              <w:spacing w:line="231" w:lineRule="exact" w:before="27"/>
              <w:ind w:left="1606" w:right="1600"/>
              <w:rPr>
                <w:rFonts w:ascii="Times New Roman"/>
                <w:sz w:val="21"/>
              </w:rPr>
            </w:pPr>
            <w:r>
              <w:rPr>
                <w:rFonts w:ascii="Times New Roman"/>
                <w:sz w:val="21"/>
              </w:rPr>
              <w:t>13.36</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5</w:t>
            </w:r>
          </w:p>
        </w:tc>
        <w:tc>
          <w:tcPr>
            <w:tcW w:w="3563" w:type="dxa"/>
          </w:tcPr>
          <w:p>
            <w:pPr>
              <w:pStyle w:val="TableParagraph"/>
              <w:spacing w:line="245" w:lineRule="exact" w:before="15"/>
              <w:ind w:left="1003" w:right="998"/>
              <w:rPr>
                <w:sz w:val="21"/>
              </w:rPr>
            </w:pPr>
            <w:r>
              <w:rPr>
                <w:sz w:val="21"/>
              </w:rPr>
              <w:t>总氮</w:t>
            </w:r>
            <w:r>
              <w:rPr>
                <w:spacing w:val="-3"/>
                <w:sz w:val="21"/>
              </w:rPr>
              <w:t>（</w:t>
            </w:r>
            <w:r>
              <w:rPr>
                <w:spacing w:val="50"/>
                <w:sz w:val="21"/>
              </w:rPr>
              <w:t>以</w:t>
            </w:r>
            <w:r>
              <w:rPr>
                <w:rFonts w:ascii="Times New Roman" w:eastAsia="Times New Roman"/>
                <w:sz w:val="21"/>
              </w:rPr>
              <w:t>N </w:t>
            </w:r>
            <w:r>
              <w:rPr>
                <w:sz w:val="21"/>
              </w:rPr>
              <w:t>计）</w:t>
            </w:r>
          </w:p>
        </w:tc>
        <w:tc>
          <w:tcPr>
            <w:tcW w:w="4312" w:type="dxa"/>
          </w:tcPr>
          <w:p>
            <w:pPr>
              <w:pStyle w:val="TableParagraph"/>
              <w:spacing w:line="231" w:lineRule="exact" w:before="29"/>
              <w:ind w:left="1606" w:right="1600"/>
              <w:rPr>
                <w:rFonts w:ascii="Times New Roman"/>
                <w:sz w:val="21"/>
              </w:rPr>
            </w:pPr>
            <w:r>
              <w:rPr>
                <w:rFonts w:ascii="Times New Roman"/>
                <w:sz w:val="21"/>
              </w:rPr>
              <w:t>25.3</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6</w:t>
            </w:r>
          </w:p>
        </w:tc>
        <w:tc>
          <w:tcPr>
            <w:tcW w:w="3563" w:type="dxa"/>
          </w:tcPr>
          <w:p>
            <w:pPr>
              <w:pStyle w:val="TableParagraph"/>
              <w:spacing w:line="232" w:lineRule="exact" w:before="28"/>
              <w:ind w:left="1003" w:right="997"/>
              <w:rPr>
                <w:rFonts w:ascii="Times New Roman"/>
                <w:sz w:val="14"/>
              </w:rPr>
            </w:pPr>
            <w:r>
              <w:rPr>
                <w:rFonts w:ascii="Times New Roman"/>
                <w:position w:val="2"/>
                <w:sz w:val="21"/>
              </w:rPr>
              <w:t>BOD</w:t>
            </w:r>
            <w:r>
              <w:rPr>
                <w:rFonts w:ascii="Times New Roman"/>
                <w:sz w:val="14"/>
              </w:rPr>
              <w:t>5</w:t>
            </w:r>
          </w:p>
        </w:tc>
        <w:tc>
          <w:tcPr>
            <w:tcW w:w="4312" w:type="dxa"/>
          </w:tcPr>
          <w:p>
            <w:pPr>
              <w:pStyle w:val="TableParagraph"/>
              <w:spacing w:line="231" w:lineRule="exact" w:before="29"/>
              <w:ind w:left="1606" w:right="1600"/>
              <w:rPr>
                <w:rFonts w:ascii="Times New Roman"/>
                <w:sz w:val="21"/>
              </w:rPr>
            </w:pPr>
            <w:r>
              <w:rPr>
                <w:rFonts w:ascii="Times New Roman"/>
                <w:sz w:val="21"/>
              </w:rPr>
              <w:t>20.04</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7</w:t>
            </w:r>
          </w:p>
        </w:tc>
        <w:tc>
          <w:tcPr>
            <w:tcW w:w="3563" w:type="dxa"/>
          </w:tcPr>
          <w:p>
            <w:pPr>
              <w:pStyle w:val="TableParagraph"/>
              <w:spacing w:line="245" w:lineRule="exact" w:before="15"/>
              <w:ind w:left="1003" w:right="995"/>
              <w:rPr>
                <w:sz w:val="21"/>
              </w:rPr>
            </w:pPr>
            <w:r>
              <w:rPr>
                <w:sz w:val="21"/>
              </w:rPr>
              <w:t>石油类</w:t>
            </w:r>
          </w:p>
        </w:tc>
        <w:tc>
          <w:tcPr>
            <w:tcW w:w="4312" w:type="dxa"/>
          </w:tcPr>
          <w:p>
            <w:pPr>
              <w:pStyle w:val="TableParagraph"/>
              <w:spacing w:line="231" w:lineRule="exact" w:before="29"/>
              <w:ind w:left="1606" w:right="1600"/>
              <w:rPr>
                <w:rFonts w:ascii="Times New Roman"/>
                <w:sz w:val="21"/>
              </w:rPr>
            </w:pPr>
            <w:r>
              <w:rPr>
                <w:rFonts w:ascii="Times New Roman"/>
                <w:sz w:val="21"/>
              </w:rPr>
              <w:t>2.94</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8</w:t>
            </w:r>
          </w:p>
        </w:tc>
        <w:tc>
          <w:tcPr>
            <w:tcW w:w="3563" w:type="dxa"/>
          </w:tcPr>
          <w:p>
            <w:pPr>
              <w:pStyle w:val="TableParagraph"/>
              <w:spacing w:line="245" w:lineRule="exact" w:before="15"/>
              <w:ind w:left="1003" w:right="995"/>
              <w:rPr>
                <w:sz w:val="21"/>
              </w:rPr>
            </w:pPr>
            <w:r>
              <w:rPr>
                <w:sz w:val="21"/>
              </w:rPr>
              <w:t>硫化物</w:t>
            </w:r>
          </w:p>
        </w:tc>
        <w:tc>
          <w:tcPr>
            <w:tcW w:w="4312" w:type="dxa"/>
          </w:tcPr>
          <w:p>
            <w:pPr>
              <w:pStyle w:val="TableParagraph"/>
              <w:spacing w:line="231" w:lineRule="exact" w:before="29"/>
              <w:ind w:left="1606" w:right="1600"/>
              <w:rPr>
                <w:rFonts w:ascii="Times New Roman"/>
                <w:sz w:val="21"/>
              </w:rPr>
            </w:pPr>
            <w:r>
              <w:rPr>
                <w:rFonts w:ascii="Times New Roman"/>
                <w:sz w:val="21"/>
              </w:rPr>
              <w:t>0.81</w:t>
            </w:r>
          </w:p>
        </w:tc>
      </w:tr>
      <w:tr>
        <w:trPr>
          <w:trHeight w:val="280" w:hRule="atLeast"/>
        </w:trPr>
        <w:tc>
          <w:tcPr>
            <w:tcW w:w="1414" w:type="dxa"/>
          </w:tcPr>
          <w:p>
            <w:pPr>
              <w:pStyle w:val="TableParagraph"/>
              <w:spacing w:line="231" w:lineRule="exact" w:before="29"/>
              <w:ind w:left="6"/>
              <w:rPr>
                <w:rFonts w:ascii="Times New Roman"/>
                <w:sz w:val="21"/>
              </w:rPr>
            </w:pPr>
            <w:r>
              <w:rPr>
                <w:rFonts w:ascii="Times New Roman"/>
                <w:w w:val="100"/>
                <w:sz w:val="21"/>
              </w:rPr>
              <w:t>9</w:t>
            </w:r>
          </w:p>
        </w:tc>
        <w:tc>
          <w:tcPr>
            <w:tcW w:w="3563" w:type="dxa"/>
          </w:tcPr>
          <w:p>
            <w:pPr>
              <w:pStyle w:val="TableParagraph"/>
              <w:spacing w:line="245" w:lineRule="exact" w:before="15"/>
              <w:ind w:left="1003" w:right="995"/>
              <w:rPr>
                <w:sz w:val="21"/>
              </w:rPr>
            </w:pPr>
            <w:r>
              <w:rPr>
                <w:sz w:val="21"/>
              </w:rPr>
              <w:t>挥发酚</w:t>
            </w:r>
          </w:p>
        </w:tc>
        <w:tc>
          <w:tcPr>
            <w:tcW w:w="4312" w:type="dxa"/>
          </w:tcPr>
          <w:p>
            <w:pPr>
              <w:pStyle w:val="TableParagraph"/>
              <w:spacing w:line="231" w:lineRule="exact" w:before="29"/>
              <w:ind w:left="1606" w:right="1600"/>
              <w:rPr>
                <w:rFonts w:ascii="Times New Roman"/>
                <w:sz w:val="21"/>
              </w:rPr>
            </w:pPr>
            <w:r>
              <w:rPr>
                <w:rFonts w:ascii="Times New Roman"/>
                <w:sz w:val="21"/>
              </w:rPr>
              <w:t>0.33</w:t>
            </w:r>
          </w:p>
        </w:tc>
      </w:tr>
      <w:tr>
        <w:trPr>
          <w:trHeight w:val="277" w:hRule="atLeast"/>
        </w:trPr>
        <w:tc>
          <w:tcPr>
            <w:tcW w:w="1414" w:type="dxa"/>
          </w:tcPr>
          <w:p>
            <w:pPr>
              <w:pStyle w:val="TableParagraph"/>
              <w:spacing w:line="231" w:lineRule="exact" w:before="27"/>
              <w:ind w:left="264" w:right="258"/>
              <w:rPr>
                <w:rFonts w:ascii="Times New Roman"/>
                <w:sz w:val="21"/>
              </w:rPr>
            </w:pPr>
            <w:r>
              <w:rPr>
                <w:rFonts w:ascii="Times New Roman"/>
                <w:sz w:val="21"/>
              </w:rPr>
              <w:t>10</w:t>
            </w:r>
          </w:p>
        </w:tc>
        <w:tc>
          <w:tcPr>
            <w:tcW w:w="3563" w:type="dxa"/>
          </w:tcPr>
          <w:p>
            <w:pPr>
              <w:pStyle w:val="TableParagraph"/>
              <w:spacing w:line="245" w:lineRule="exact" w:before="13"/>
              <w:ind w:left="1003" w:right="995"/>
              <w:rPr>
                <w:sz w:val="21"/>
              </w:rPr>
            </w:pPr>
            <w:r>
              <w:rPr>
                <w:sz w:val="21"/>
              </w:rPr>
              <w:t>苯胺类</w:t>
            </w:r>
          </w:p>
        </w:tc>
        <w:tc>
          <w:tcPr>
            <w:tcW w:w="4312" w:type="dxa"/>
          </w:tcPr>
          <w:p>
            <w:pPr>
              <w:pStyle w:val="TableParagraph"/>
              <w:spacing w:line="231" w:lineRule="exact" w:before="27"/>
              <w:ind w:left="1606" w:right="1600"/>
              <w:rPr>
                <w:rFonts w:ascii="Times New Roman"/>
                <w:sz w:val="21"/>
              </w:rPr>
            </w:pPr>
            <w:r>
              <w:rPr>
                <w:rFonts w:ascii="Times New Roman"/>
                <w:sz w:val="21"/>
              </w:rPr>
              <w:t>0.70</w:t>
            </w:r>
          </w:p>
        </w:tc>
      </w:tr>
      <w:tr>
        <w:trPr>
          <w:trHeight w:val="280" w:hRule="atLeast"/>
        </w:trPr>
        <w:tc>
          <w:tcPr>
            <w:tcW w:w="1414" w:type="dxa"/>
          </w:tcPr>
          <w:p>
            <w:pPr>
              <w:pStyle w:val="TableParagraph"/>
              <w:spacing w:line="231" w:lineRule="exact" w:before="29"/>
              <w:ind w:left="266" w:right="257"/>
              <w:rPr>
                <w:rFonts w:ascii="Times New Roman"/>
                <w:sz w:val="21"/>
              </w:rPr>
            </w:pPr>
            <w:r>
              <w:rPr>
                <w:rFonts w:ascii="Times New Roman"/>
                <w:sz w:val="21"/>
              </w:rPr>
              <w:t>11</w:t>
            </w:r>
          </w:p>
        </w:tc>
        <w:tc>
          <w:tcPr>
            <w:tcW w:w="3563" w:type="dxa"/>
          </w:tcPr>
          <w:p>
            <w:pPr>
              <w:pStyle w:val="TableParagraph"/>
              <w:spacing w:line="245" w:lineRule="exact" w:before="15"/>
              <w:ind w:left="1003" w:right="997"/>
              <w:rPr>
                <w:sz w:val="21"/>
              </w:rPr>
            </w:pPr>
            <w:r>
              <w:rPr>
                <w:sz w:val="21"/>
              </w:rPr>
              <w:t>邻二甲苯</w:t>
            </w:r>
          </w:p>
        </w:tc>
        <w:tc>
          <w:tcPr>
            <w:tcW w:w="4312" w:type="dxa"/>
          </w:tcPr>
          <w:p>
            <w:pPr>
              <w:pStyle w:val="TableParagraph"/>
              <w:spacing w:line="231" w:lineRule="exact" w:before="29"/>
              <w:ind w:left="1606" w:right="1600"/>
              <w:rPr>
                <w:rFonts w:ascii="Times New Roman"/>
                <w:sz w:val="21"/>
              </w:rPr>
            </w:pPr>
            <w:r>
              <w:rPr>
                <w:rFonts w:ascii="Times New Roman"/>
                <w:sz w:val="21"/>
              </w:rPr>
              <w:t>0.4</w:t>
            </w:r>
          </w:p>
        </w:tc>
      </w:tr>
      <w:tr>
        <w:trPr>
          <w:trHeight w:val="280" w:hRule="atLeast"/>
        </w:trPr>
        <w:tc>
          <w:tcPr>
            <w:tcW w:w="1414" w:type="dxa"/>
          </w:tcPr>
          <w:p>
            <w:pPr>
              <w:pStyle w:val="TableParagraph"/>
              <w:spacing w:line="231" w:lineRule="exact" w:before="29"/>
              <w:ind w:left="264" w:right="258"/>
              <w:rPr>
                <w:rFonts w:ascii="Times New Roman"/>
                <w:sz w:val="21"/>
              </w:rPr>
            </w:pPr>
            <w:r>
              <w:rPr>
                <w:rFonts w:ascii="Times New Roman"/>
                <w:sz w:val="21"/>
              </w:rPr>
              <w:t>12</w:t>
            </w:r>
          </w:p>
        </w:tc>
        <w:tc>
          <w:tcPr>
            <w:tcW w:w="3563" w:type="dxa"/>
          </w:tcPr>
          <w:p>
            <w:pPr>
              <w:pStyle w:val="TableParagraph"/>
              <w:spacing w:line="245" w:lineRule="exact" w:before="16"/>
              <w:ind w:left="1003" w:right="997"/>
              <w:rPr>
                <w:sz w:val="21"/>
              </w:rPr>
            </w:pPr>
            <w:r>
              <w:rPr>
                <w:sz w:val="21"/>
              </w:rPr>
              <w:t>硝基苯类</w:t>
            </w:r>
          </w:p>
        </w:tc>
        <w:tc>
          <w:tcPr>
            <w:tcW w:w="4312" w:type="dxa"/>
          </w:tcPr>
          <w:p>
            <w:pPr>
              <w:pStyle w:val="TableParagraph"/>
              <w:spacing w:line="231" w:lineRule="exact" w:before="29"/>
              <w:ind w:left="1606" w:right="1600"/>
              <w:rPr>
                <w:rFonts w:ascii="Times New Roman"/>
                <w:sz w:val="21"/>
              </w:rPr>
            </w:pPr>
            <w:r>
              <w:rPr>
                <w:rFonts w:ascii="Times New Roman"/>
                <w:sz w:val="21"/>
              </w:rPr>
              <w:t>2.0</w:t>
            </w:r>
          </w:p>
        </w:tc>
      </w:tr>
    </w:tbl>
    <w:p>
      <w:pPr>
        <w:pStyle w:val="ListParagraph"/>
        <w:numPr>
          <w:ilvl w:val="0"/>
          <w:numId w:val="9"/>
        </w:numPr>
        <w:tabs>
          <w:tab w:pos="993" w:val="left" w:leader="none"/>
        </w:tabs>
        <w:spacing w:line="240" w:lineRule="auto" w:before="2" w:after="0"/>
        <w:ind w:left="992" w:right="0" w:hanging="282"/>
        <w:jc w:val="left"/>
        <w:rPr>
          <w:b/>
          <w:sz w:val="24"/>
        </w:rPr>
      </w:pPr>
      <w:r>
        <w:rPr>
          <w:b/>
          <w:sz w:val="24"/>
        </w:rPr>
        <w:t>大气污染物排放标准</w:t>
      </w:r>
    </w:p>
    <w:p>
      <w:pPr>
        <w:pStyle w:val="BodyText"/>
        <w:spacing w:before="161"/>
        <w:ind w:left="718"/>
      </w:pPr>
      <w:r>
        <w:rPr/>
        <w:t>①工艺废气 </w:t>
      </w:r>
    </w:p>
    <w:p>
      <w:pPr>
        <w:pStyle w:val="BodyText"/>
        <w:spacing w:line="364" w:lineRule="auto" w:before="158"/>
        <w:ind w:left="238" w:right="234" w:firstLine="480"/>
      </w:pPr>
      <w:r>
        <w:rPr>
          <w:spacing w:val="-4"/>
        </w:rPr>
        <w:t>本项目属于农药原药制造工业，大气污染物排放执行《农药制造工业大气污染物排</w:t>
      </w:r>
      <w:r>
        <w:rPr>
          <w:spacing w:val="-14"/>
        </w:rPr>
        <w:t>放标准》</w:t>
      </w:r>
      <w:r>
        <w:rPr>
          <w:spacing w:val="-1"/>
        </w:rPr>
        <w:t>（</w:t>
      </w:r>
      <w:r>
        <w:rPr>
          <w:rFonts w:ascii="Times New Roman" w:eastAsia="Times New Roman"/>
          <w:spacing w:val="-1"/>
        </w:rPr>
        <w:t>GB39727-2020</w:t>
      </w:r>
      <w:r>
        <w:rPr>
          <w:spacing w:val="-1"/>
        </w:rPr>
        <w:t>）</w:t>
      </w:r>
      <w:r>
        <w:rPr>
          <w:spacing w:val="-5"/>
        </w:rPr>
        <w:t>中的相应标准；对于该标准未涉及的甲酸因子排放浓度参照</w:t>
      </w:r>
    </w:p>
    <w:p>
      <w:pPr>
        <w:pStyle w:val="BodyText"/>
        <w:spacing w:line="364" w:lineRule="auto"/>
        <w:ind w:left="238" w:right="234"/>
      </w:pPr>
      <w:r>
        <w:rPr>
          <w:spacing w:val="-2"/>
        </w:rPr>
        <w:t>《工业场所有害因素职业接触限值 第 </w:t>
      </w:r>
      <w:r>
        <w:rPr>
          <w:rFonts w:ascii="Times New Roman" w:eastAsia="Times New Roman"/>
        </w:rPr>
        <w:t>1 </w:t>
      </w:r>
      <w:r>
        <w:rPr>
          <w:spacing w:val="-12"/>
        </w:rPr>
        <w:t>部分：化学有害因素》</w:t>
      </w:r>
      <w:r>
        <w:rPr/>
        <w:t>（</w:t>
      </w:r>
      <w:r>
        <w:rPr>
          <w:rFonts w:ascii="Times New Roman" w:eastAsia="Times New Roman"/>
        </w:rPr>
        <w:t>GBZ2.1-2019</w:t>
      </w:r>
      <w:r>
        <w:rPr/>
        <w:t>）</w:t>
      </w:r>
      <w:r>
        <w:rPr>
          <w:spacing w:val="-5"/>
        </w:rPr>
        <w:t>标准中</w:t>
      </w:r>
      <w:r>
        <w:rPr/>
        <w:t>时间加权平均容许浓度进行控制。具体见下表。</w:t>
      </w:r>
    </w:p>
    <w:p>
      <w:pPr>
        <w:pStyle w:val="Heading4"/>
        <w:tabs>
          <w:tab w:pos="3726" w:val="left" w:leader="none"/>
        </w:tabs>
        <w:spacing w:before="139" w:after="29"/>
        <w:ind w:left="2504"/>
        <w:rPr>
          <w:rFonts w:ascii="Times New Roman" w:eastAsia="Times New Roman"/>
          <w:sz w:val="16"/>
        </w:rPr>
      </w:pPr>
      <w:r>
        <w:rPr/>
        <w:t>表</w:t>
      </w:r>
      <w:r>
        <w:rPr>
          <w:spacing w:val="-59"/>
        </w:rPr>
        <w:t> </w:t>
      </w:r>
      <w:r>
        <w:rPr>
          <w:rFonts w:ascii="Times New Roman" w:eastAsia="Times New Roman"/>
        </w:rPr>
        <w:t>2.3.2-8</w:t>
        <w:tab/>
      </w:r>
      <w:r>
        <w:rPr/>
        <w:t>大气污染物排放限值</w:t>
      </w:r>
      <w:r>
        <w:rPr>
          <w:spacing w:val="-1"/>
        </w:rPr>
        <w:t> </w:t>
      </w:r>
      <w:r>
        <w:rPr/>
        <w:t>单位：</w:t>
      </w:r>
      <w:r>
        <w:rPr>
          <w:rFonts w:ascii="Times New Roman" w:eastAsia="Times New Roman"/>
        </w:rPr>
        <w:t>mg/m</w:t>
      </w:r>
      <w:r>
        <w:rPr>
          <w:rFonts w:ascii="Times New Roman" w:eastAsia="Times New Roman"/>
          <w:position w:val="8"/>
          <w:sz w:val="16"/>
        </w:rPr>
        <w:t>3</w:t>
      </w:r>
    </w:p>
    <w:tbl>
      <w:tblPr>
        <w:tblW w:w="0" w:type="auto"/>
        <w:jc w:val="left"/>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9"/>
        <w:gridCol w:w="1222"/>
        <w:gridCol w:w="2919"/>
        <w:gridCol w:w="2108"/>
        <w:gridCol w:w="2130"/>
      </w:tblGrid>
      <w:tr>
        <w:trPr>
          <w:trHeight w:val="547" w:hRule="atLeast"/>
        </w:trPr>
        <w:tc>
          <w:tcPr>
            <w:tcW w:w="809" w:type="dxa"/>
          </w:tcPr>
          <w:p>
            <w:pPr>
              <w:pStyle w:val="TableParagraph"/>
              <w:spacing w:before="138"/>
              <w:ind w:left="172" w:right="165"/>
              <w:rPr>
                <w:b/>
                <w:sz w:val="21"/>
              </w:rPr>
            </w:pPr>
            <w:r>
              <w:rPr>
                <w:b/>
                <w:sz w:val="21"/>
              </w:rPr>
              <w:t>序号</w:t>
            </w:r>
          </w:p>
        </w:tc>
        <w:tc>
          <w:tcPr>
            <w:tcW w:w="1222" w:type="dxa"/>
          </w:tcPr>
          <w:p>
            <w:pPr>
              <w:pStyle w:val="TableParagraph"/>
              <w:spacing w:before="138"/>
              <w:ind w:left="61" w:right="55"/>
              <w:rPr>
                <w:b/>
                <w:sz w:val="21"/>
              </w:rPr>
            </w:pPr>
            <w:r>
              <w:rPr>
                <w:b/>
                <w:sz w:val="21"/>
              </w:rPr>
              <w:t>污染物项目</w:t>
            </w:r>
          </w:p>
        </w:tc>
        <w:tc>
          <w:tcPr>
            <w:tcW w:w="2919" w:type="dxa"/>
          </w:tcPr>
          <w:p>
            <w:pPr>
              <w:pStyle w:val="TableParagraph"/>
              <w:spacing w:line="270" w:lineRule="atLeast" w:before="2"/>
              <w:ind w:left="299" w:right="-15" w:hanging="296"/>
              <w:jc w:val="left"/>
              <w:rPr>
                <w:b/>
                <w:sz w:val="21"/>
              </w:rPr>
            </w:pPr>
            <w:r>
              <w:rPr>
                <w:b/>
                <w:spacing w:val="-7"/>
                <w:sz w:val="21"/>
              </w:rPr>
              <w:t>化学原药制造、农药中间体制造和农药研发机构工艺废气</w:t>
            </w:r>
          </w:p>
        </w:tc>
        <w:tc>
          <w:tcPr>
            <w:tcW w:w="2108" w:type="dxa"/>
          </w:tcPr>
          <w:p>
            <w:pPr>
              <w:pStyle w:val="TableParagraph"/>
              <w:spacing w:before="138"/>
              <w:ind w:left="189" w:right="182"/>
              <w:rPr>
                <w:b/>
                <w:sz w:val="21"/>
              </w:rPr>
            </w:pPr>
            <w:r>
              <w:rPr>
                <w:b/>
                <w:sz w:val="21"/>
              </w:rPr>
              <w:t>废水处理设施废气</w:t>
            </w:r>
          </w:p>
        </w:tc>
        <w:tc>
          <w:tcPr>
            <w:tcW w:w="2130" w:type="dxa"/>
          </w:tcPr>
          <w:p>
            <w:pPr>
              <w:pStyle w:val="TableParagraph"/>
              <w:spacing w:before="138"/>
              <w:ind w:left="104"/>
              <w:jc w:val="left"/>
              <w:rPr>
                <w:b/>
                <w:sz w:val="21"/>
              </w:rPr>
            </w:pPr>
            <w:r>
              <w:rPr>
                <w:b/>
                <w:sz w:val="21"/>
              </w:rPr>
              <w:t>污染物排放监控位置</w:t>
            </w:r>
          </w:p>
        </w:tc>
      </w:tr>
      <w:tr>
        <w:trPr>
          <w:trHeight w:val="282" w:hRule="atLeast"/>
        </w:trPr>
        <w:tc>
          <w:tcPr>
            <w:tcW w:w="809" w:type="dxa"/>
          </w:tcPr>
          <w:p>
            <w:pPr>
              <w:pStyle w:val="TableParagraph"/>
              <w:spacing w:before="19"/>
              <w:ind w:left="7"/>
              <w:rPr>
                <w:rFonts w:ascii="Times New Roman"/>
                <w:sz w:val="21"/>
              </w:rPr>
            </w:pPr>
            <w:r>
              <w:rPr>
                <w:rFonts w:ascii="Times New Roman"/>
                <w:w w:val="100"/>
                <w:sz w:val="21"/>
              </w:rPr>
              <w:t>1</w:t>
            </w:r>
          </w:p>
        </w:tc>
        <w:tc>
          <w:tcPr>
            <w:tcW w:w="1222" w:type="dxa"/>
          </w:tcPr>
          <w:p>
            <w:pPr>
              <w:pStyle w:val="TableParagraph"/>
              <w:spacing w:line="257" w:lineRule="exact" w:before="6"/>
              <w:ind w:left="61" w:right="55"/>
              <w:rPr>
                <w:sz w:val="21"/>
              </w:rPr>
            </w:pPr>
            <w:r>
              <w:rPr>
                <w:sz w:val="21"/>
              </w:rPr>
              <w:t>颗粒物</w:t>
            </w:r>
          </w:p>
        </w:tc>
        <w:tc>
          <w:tcPr>
            <w:tcW w:w="2919" w:type="dxa"/>
          </w:tcPr>
          <w:p>
            <w:pPr>
              <w:pStyle w:val="TableParagraph"/>
              <w:spacing w:before="15"/>
              <w:ind w:right="1285"/>
              <w:jc w:val="right"/>
              <w:rPr>
                <w:rFonts w:ascii="Times New Roman"/>
                <w:sz w:val="14"/>
              </w:rPr>
            </w:pPr>
            <w:r>
              <w:rPr>
                <w:rFonts w:ascii="Times New Roman"/>
                <w:sz w:val="21"/>
              </w:rPr>
              <w:t>20 </w:t>
            </w:r>
            <w:r>
              <w:rPr>
                <w:rFonts w:ascii="Times New Roman"/>
                <w:position w:val="7"/>
                <w:sz w:val="14"/>
              </w:rPr>
              <w:t>a</w:t>
            </w:r>
          </w:p>
        </w:tc>
        <w:tc>
          <w:tcPr>
            <w:tcW w:w="2108" w:type="dxa"/>
          </w:tcPr>
          <w:p>
            <w:pPr>
              <w:pStyle w:val="TableParagraph"/>
              <w:jc w:val="left"/>
              <w:rPr>
                <w:rFonts w:ascii="Times New Roman"/>
                <w:sz w:val="20"/>
              </w:rPr>
            </w:pPr>
          </w:p>
        </w:tc>
        <w:tc>
          <w:tcPr>
            <w:tcW w:w="2130" w:type="dxa"/>
            <w:vMerge w:val="restart"/>
          </w:tcPr>
          <w:p>
            <w:pPr>
              <w:pStyle w:val="TableParagraph"/>
              <w:jc w:val="left"/>
              <w:rPr>
                <w:rFonts w:ascii="Times New Roman"/>
                <w:b/>
                <w:sz w:val="20"/>
              </w:rPr>
            </w:pPr>
          </w:p>
          <w:p>
            <w:pPr>
              <w:pStyle w:val="TableParagraph"/>
              <w:jc w:val="left"/>
              <w:rPr>
                <w:rFonts w:ascii="Times New Roman"/>
                <w:b/>
                <w:sz w:val="20"/>
              </w:rPr>
            </w:pPr>
          </w:p>
          <w:p>
            <w:pPr>
              <w:pStyle w:val="TableParagraph"/>
              <w:spacing w:before="134"/>
              <w:ind w:left="10"/>
              <w:jc w:val="left"/>
              <w:rPr>
                <w:sz w:val="21"/>
              </w:rPr>
            </w:pPr>
            <w:r>
              <w:rPr>
                <w:sz w:val="21"/>
              </w:rPr>
              <w:t>车间或生产设施排气筒</w:t>
            </w:r>
          </w:p>
        </w:tc>
      </w:tr>
      <w:tr>
        <w:trPr>
          <w:trHeight w:val="285" w:hRule="atLeast"/>
        </w:trPr>
        <w:tc>
          <w:tcPr>
            <w:tcW w:w="809" w:type="dxa"/>
          </w:tcPr>
          <w:p>
            <w:pPr>
              <w:pStyle w:val="TableParagraph"/>
              <w:spacing w:before="22"/>
              <w:ind w:left="7"/>
              <w:rPr>
                <w:rFonts w:ascii="Times New Roman"/>
                <w:sz w:val="21"/>
              </w:rPr>
            </w:pPr>
            <w:r>
              <w:rPr>
                <w:rFonts w:ascii="Times New Roman"/>
                <w:w w:val="100"/>
                <w:sz w:val="21"/>
              </w:rPr>
              <w:t>2</w:t>
            </w:r>
          </w:p>
        </w:tc>
        <w:tc>
          <w:tcPr>
            <w:tcW w:w="1222" w:type="dxa"/>
          </w:tcPr>
          <w:p>
            <w:pPr>
              <w:pStyle w:val="TableParagraph"/>
              <w:spacing w:before="22"/>
              <w:ind w:left="60" w:right="55"/>
              <w:rPr>
                <w:rFonts w:ascii="Times New Roman"/>
                <w:sz w:val="21"/>
              </w:rPr>
            </w:pPr>
            <w:r>
              <w:rPr>
                <w:rFonts w:ascii="Times New Roman"/>
                <w:sz w:val="21"/>
              </w:rPr>
              <w:t>NMHC</w:t>
            </w:r>
          </w:p>
        </w:tc>
        <w:tc>
          <w:tcPr>
            <w:tcW w:w="2919" w:type="dxa"/>
          </w:tcPr>
          <w:p>
            <w:pPr>
              <w:pStyle w:val="TableParagraph"/>
              <w:spacing w:before="22"/>
              <w:ind w:right="1289"/>
              <w:jc w:val="right"/>
              <w:rPr>
                <w:rFonts w:ascii="Times New Roman"/>
                <w:sz w:val="21"/>
              </w:rPr>
            </w:pPr>
            <w:r>
              <w:rPr>
                <w:rFonts w:ascii="Times New Roman"/>
                <w:sz w:val="21"/>
              </w:rPr>
              <w:t>100</w:t>
            </w:r>
          </w:p>
        </w:tc>
        <w:tc>
          <w:tcPr>
            <w:tcW w:w="2108" w:type="dxa"/>
          </w:tcPr>
          <w:p>
            <w:pPr>
              <w:pStyle w:val="TableParagraph"/>
              <w:spacing w:before="22"/>
              <w:ind w:left="189" w:right="181"/>
              <w:rPr>
                <w:rFonts w:ascii="Times New Roman"/>
                <w:sz w:val="21"/>
              </w:rPr>
            </w:pPr>
            <w:r>
              <w:rPr>
                <w:rFonts w:ascii="Times New Roman"/>
                <w:sz w:val="21"/>
              </w:rPr>
              <w:t>100</w:t>
            </w:r>
          </w:p>
        </w:tc>
        <w:tc>
          <w:tcPr>
            <w:tcW w:w="2130" w:type="dxa"/>
            <w:vMerge/>
            <w:tcBorders>
              <w:top w:val="nil"/>
            </w:tcBorders>
          </w:tcPr>
          <w:p>
            <w:pPr>
              <w:rPr>
                <w:sz w:val="2"/>
                <w:szCs w:val="2"/>
              </w:rPr>
            </w:pPr>
          </w:p>
        </w:tc>
      </w:tr>
      <w:tr>
        <w:trPr>
          <w:trHeight w:val="282" w:hRule="atLeast"/>
        </w:trPr>
        <w:tc>
          <w:tcPr>
            <w:tcW w:w="809" w:type="dxa"/>
          </w:tcPr>
          <w:p>
            <w:pPr>
              <w:pStyle w:val="TableParagraph"/>
              <w:spacing w:before="19"/>
              <w:ind w:left="7"/>
              <w:rPr>
                <w:rFonts w:ascii="Times New Roman"/>
                <w:sz w:val="21"/>
              </w:rPr>
            </w:pPr>
            <w:r>
              <w:rPr>
                <w:rFonts w:ascii="Times New Roman"/>
                <w:w w:val="100"/>
                <w:sz w:val="21"/>
              </w:rPr>
              <w:t>3</w:t>
            </w:r>
          </w:p>
        </w:tc>
        <w:tc>
          <w:tcPr>
            <w:tcW w:w="1222" w:type="dxa"/>
          </w:tcPr>
          <w:p>
            <w:pPr>
              <w:pStyle w:val="TableParagraph"/>
              <w:spacing w:before="15"/>
              <w:ind w:left="58" w:right="55"/>
              <w:rPr>
                <w:rFonts w:ascii="Times New Roman"/>
                <w:sz w:val="14"/>
              </w:rPr>
            </w:pPr>
            <w:r>
              <w:rPr>
                <w:rFonts w:ascii="Times New Roman"/>
                <w:sz w:val="21"/>
              </w:rPr>
              <w:t>TVOC </w:t>
            </w:r>
            <w:r>
              <w:rPr>
                <w:rFonts w:ascii="Times New Roman"/>
                <w:position w:val="7"/>
                <w:sz w:val="14"/>
              </w:rPr>
              <w:t>b</w:t>
            </w:r>
          </w:p>
        </w:tc>
        <w:tc>
          <w:tcPr>
            <w:tcW w:w="2919" w:type="dxa"/>
          </w:tcPr>
          <w:p>
            <w:pPr>
              <w:pStyle w:val="TableParagraph"/>
              <w:spacing w:before="19"/>
              <w:ind w:right="1289"/>
              <w:jc w:val="right"/>
              <w:rPr>
                <w:rFonts w:ascii="Times New Roman"/>
                <w:sz w:val="21"/>
              </w:rPr>
            </w:pPr>
            <w:r>
              <w:rPr>
                <w:rFonts w:ascii="Times New Roman"/>
                <w:sz w:val="21"/>
              </w:rPr>
              <w:t>150</w:t>
            </w:r>
          </w:p>
        </w:tc>
        <w:tc>
          <w:tcPr>
            <w:tcW w:w="2108" w:type="dxa"/>
          </w:tcPr>
          <w:p>
            <w:pPr>
              <w:pStyle w:val="TableParagraph"/>
              <w:jc w:val="left"/>
              <w:rPr>
                <w:rFonts w:ascii="Times New Roman"/>
                <w:sz w:val="20"/>
              </w:rPr>
            </w:pPr>
          </w:p>
        </w:tc>
        <w:tc>
          <w:tcPr>
            <w:tcW w:w="2130" w:type="dxa"/>
            <w:vMerge/>
            <w:tcBorders>
              <w:top w:val="nil"/>
            </w:tcBorders>
          </w:tcPr>
          <w:p>
            <w:pPr>
              <w:rPr>
                <w:sz w:val="2"/>
                <w:szCs w:val="2"/>
              </w:rPr>
            </w:pPr>
          </w:p>
        </w:tc>
      </w:tr>
      <w:tr>
        <w:trPr>
          <w:trHeight w:val="285" w:hRule="atLeast"/>
        </w:trPr>
        <w:tc>
          <w:tcPr>
            <w:tcW w:w="809" w:type="dxa"/>
          </w:tcPr>
          <w:p>
            <w:pPr>
              <w:pStyle w:val="TableParagraph"/>
              <w:spacing w:before="22"/>
              <w:ind w:left="7"/>
              <w:rPr>
                <w:rFonts w:ascii="Times New Roman"/>
                <w:sz w:val="21"/>
              </w:rPr>
            </w:pPr>
            <w:r>
              <w:rPr>
                <w:rFonts w:ascii="Times New Roman"/>
                <w:w w:val="100"/>
                <w:sz w:val="21"/>
              </w:rPr>
              <w:t>4</w:t>
            </w:r>
          </w:p>
        </w:tc>
        <w:tc>
          <w:tcPr>
            <w:tcW w:w="1222" w:type="dxa"/>
          </w:tcPr>
          <w:p>
            <w:pPr>
              <w:pStyle w:val="TableParagraph"/>
              <w:spacing w:line="257" w:lineRule="exact" w:before="8"/>
              <w:ind w:left="1"/>
              <w:rPr>
                <w:sz w:val="21"/>
              </w:rPr>
            </w:pPr>
            <w:r>
              <w:rPr>
                <w:w w:val="100"/>
                <w:sz w:val="21"/>
              </w:rPr>
              <w:t>氨</w:t>
            </w:r>
          </w:p>
        </w:tc>
        <w:tc>
          <w:tcPr>
            <w:tcW w:w="2919" w:type="dxa"/>
          </w:tcPr>
          <w:p>
            <w:pPr>
              <w:pStyle w:val="TableParagraph"/>
              <w:jc w:val="left"/>
              <w:rPr>
                <w:rFonts w:ascii="Times New Roman"/>
                <w:sz w:val="20"/>
              </w:rPr>
            </w:pPr>
          </w:p>
        </w:tc>
        <w:tc>
          <w:tcPr>
            <w:tcW w:w="2108" w:type="dxa"/>
          </w:tcPr>
          <w:p>
            <w:pPr>
              <w:pStyle w:val="TableParagraph"/>
              <w:spacing w:before="22"/>
              <w:ind w:left="189" w:right="181"/>
              <w:rPr>
                <w:rFonts w:ascii="Times New Roman"/>
                <w:sz w:val="21"/>
              </w:rPr>
            </w:pPr>
            <w:r>
              <w:rPr>
                <w:rFonts w:ascii="Times New Roman"/>
                <w:sz w:val="21"/>
              </w:rPr>
              <w:t>30</w:t>
            </w:r>
          </w:p>
        </w:tc>
        <w:tc>
          <w:tcPr>
            <w:tcW w:w="2130" w:type="dxa"/>
            <w:vMerge/>
            <w:tcBorders>
              <w:top w:val="nil"/>
            </w:tcBorders>
          </w:tcPr>
          <w:p>
            <w:pPr>
              <w:rPr>
                <w:sz w:val="2"/>
                <w:szCs w:val="2"/>
              </w:rPr>
            </w:pPr>
          </w:p>
        </w:tc>
      </w:tr>
      <w:tr>
        <w:trPr>
          <w:trHeight w:val="282" w:hRule="atLeast"/>
        </w:trPr>
        <w:tc>
          <w:tcPr>
            <w:tcW w:w="809" w:type="dxa"/>
          </w:tcPr>
          <w:p>
            <w:pPr>
              <w:pStyle w:val="TableParagraph"/>
              <w:spacing w:before="19"/>
              <w:ind w:left="7"/>
              <w:rPr>
                <w:rFonts w:ascii="Times New Roman"/>
                <w:sz w:val="21"/>
              </w:rPr>
            </w:pPr>
            <w:r>
              <w:rPr>
                <w:rFonts w:ascii="Times New Roman"/>
                <w:w w:val="100"/>
                <w:sz w:val="21"/>
              </w:rPr>
              <w:t>5</w:t>
            </w:r>
          </w:p>
        </w:tc>
        <w:tc>
          <w:tcPr>
            <w:tcW w:w="1222" w:type="dxa"/>
          </w:tcPr>
          <w:p>
            <w:pPr>
              <w:pStyle w:val="TableParagraph"/>
              <w:spacing w:line="257" w:lineRule="exact" w:before="6"/>
              <w:ind w:left="61" w:right="55"/>
              <w:rPr>
                <w:sz w:val="21"/>
              </w:rPr>
            </w:pPr>
            <w:r>
              <w:rPr>
                <w:sz w:val="21"/>
              </w:rPr>
              <w:t>硫化氢</w:t>
            </w:r>
          </w:p>
        </w:tc>
        <w:tc>
          <w:tcPr>
            <w:tcW w:w="2919" w:type="dxa"/>
          </w:tcPr>
          <w:p>
            <w:pPr>
              <w:pStyle w:val="TableParagraph"/>
              <w:jc w:val="left"/>
              <w:rPr>
                <w:rFonts w:ascii="Times New Roman"/>
                <w:sz w:val="20"/>
              </w:rPr>
            </w:pPr>
          </w:p>
        </w:tc>
        <w:tc>
          <w:tcPr>
            <w:tcW w:w="2108" w:type="dxa"/>
          </w:tcPr>
          <w:p>
            <w:pPr>
              <w:pStyle w:val="TableParagraph"/>
              <w:spacing w:before="19"/>
              <w:ind w:left="8"/>
              <w:rPr>
                <w:rFonts w:ascii="Times New Roman"/>
                <w:sz w:val="21"/>
              </w:rPr>
            </w:pPr>
            <w:r>
              <w:rPr>
                <w:rFonts w:ascii="Times New Roman"/>
                <w:w w:val="100"/>
                <w:sz w:val="21"/>
              </w:rPr>
              <w:t>5</w:t>
            </w:r>
          </w:p>
        </w:tc>
        <w:tc>
          <w:tcPr>
            <w:tcW w:w="2130" w:type="dxa"/>
            <w:vMerge/>
            <w:tcBorders>
              <w:top w:val="nil"/>
            </w:tcBorders>
          </w:tcPr>
          <w:p>
            <w:pPr>
              <w:rPr>
                <w:sz w:val="2"/>
                <w:szCs w:val="2"/>
              </w:rPr>
            </w:pPr>
          </w:p>
        </w:tc>
      </w:tr>
      <w:tr>
        <w:trPr>
          <w:trHeight w:val="544" w:hRule="atLeast"/>
        </w:trPr>
        <w:tc>
          <w:tcPr>
            <w:tcW w:w="9188" w:type="dxa"/>
            <w:gridSpan w:val="5"/>
          </w:tcPr>
          <w:p>
            <w:pPr>
              <w:pStyle w:val="TableParagraph"/>
              <w:spacing w:before="1"/>
              <w:ind w:left="107"/>
              <w:jc w:val="left"/>
              <w:rPr>
                <w:sz w:val="21"/>
              </w:rPr>
            </w:pPr>
            <w:r>
              <w:rPr>
                <w:rFonts w:ascii="Times New Roman" w:eastAsia="Times New Roman"/>
                <w:sz w:val="21"/>
              </w:rPr>
              <w:t>a </w:t>
            </w:r>
            <w:r>
              <w:rPr>
                <w:sz w:val="21"/>
              </w:rPr>
              <w:t>本项目为原药尘</w:t>
            </w:r>
          </w:p>
          <w:p>
            <w:pPr>
              <w:pStyle w:val="TableParagraph"/>
              <w:spacing w:line="250" w:lineRule="exact" w:before="4"/>
              <w:ind w:left="107" w:right="-15"/>
              <w:jc w:val="left"/>
              <w:rPr>
                <w:sz w:val="21"/>
              </w:rPr>
            </w:pPr>
            <w:r>
              <w:rPr>
                <w:rFonts w:ascii="Times New Roman" w:eastAsia="Times New Roman"/>
                <w:sz w:val="21"/>
              </w:rPr>
              <w:t>b</w:t>
            </w:r>
            <w:r>
              <w:rPr>
                <w:rFonts w:ascii="Times New Roman" w:eastAsia="Times New Roman"/>
                <w:spacing w:val="23"/>
                <w:sz w:val="21"/>
              </w:rPr>
              <w:t> </w:t>
            </w:r>
            <w:r>
              <w:rPr>
                <w:spacing w:val="-16"/>
                <w:sz w:val="21"/>
              </w:rPr>
              <w:t>根据企业使用的原料、生产工艺过程、生产的产品、副产品，结合附录 </w:t>
            </w:r>
            <w:r>
              <w:rPr>
                <w:rFonts w:ascii="Times New Roman" w:eastAsia="Times New Roman"/>
                <w:sz w:val="21"/>
              </w:rPr>
              <w:t>B</w:t>
            </w:r>
            <w:r>
              <w:rPr>
                <w:rFonts w:ascii="Times New Roman" w:eastAsia="Times New Roman"/>
                <w:spacing w:val="9"/>
                <w:sz w:val="21"/>
              </w:rPr>
              <w:t> </w:t>
            </w:r>
            <w:r>
              <w:rPr>
                <w:spacing w:val="-3"/>
                <w:sz w:val="21"/>
              </w:rPr>
              <w:t>和有关环境管理要求等，</w:t>
            </w:r>
          </w:p>
        </w:tc>
      </w:tr>
    </w:tbl>
    <w:p>
      <w:pPr>
        <w:spacing w:after="0" w:line="250" w:lineRule="exact"/>
        <w:jc w:val="left"/>
        <w:rPr>
          <w:sz w:val="21"/>
        </w:rPr>
        <w:sectPr>
          <w:pgSz w:w="11910" w:h="16840"/>
          <w:pgMar w:header="874" w:footer="944" w:top="1340" w:bottom="1140" w:left="1180" w:right="1180"/>
        </w:sectPr>
      </w:pPr>
    </w:p>
    <w:p>
      <w:pPr>
        <w:pStyle w:val="BodyText"/>
        <w:spacing w:before="10"/>
        <w:rPr>
          <w:rFonts w:ascii="Times New Roman"/>
          <w:b/>
          <w:sz w:val="5"/>
        </w:rPr>
      </w:pPr>
    </w:p>
    <w:tbl>
      <w:tblPr>
        <w:tblW w:w="0" w:type="auto"/>
        <w:jc w:val="left"/>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9"/>
        <w:gridCol w:w="1222"/>
        <w:gridCol w:w="2919"/>
        <w:gridCol w:w="2108"/>
        <w:gridCol w:w="2120"/>
      </w:tblGrid>
      <w:tr>
        <w:trPr>
          <w:trHeight w:val="544" w:hRule="atLeast"/>
        </w:trPr>
        <w:tc>
          <w:tcPr>
            <w:tcW w:w="809" w:type="dxa"/>
          </w:tcPr>
          <w:p>
            <w:pPr>
              <w:pStyle w:val="TableParagraph"/>
              <w:spacing w:before="138"/>
              <w:ind w:left="191"/>
              <w:jc w:val="left"/>
              <w:rPr>
                <w:b/>
                <w:sz w:val="21"/>
              </w:rPr>
            </w:pPr>
            <w:r>
              <w:rPr>
                <w:b/>
                <w:sz w:val="21"/>
              </w:rPr>
              <w:t>序号</w:t>
            </w:r>
          </w:p>
        </w:tc>
        <w:tc>
          <w:tcPr>
            <w:tcW w:w="1222" w:type="dxa"/>
          </w:tcPr>
          <w:p>
            <w:pPr>
              <w:pStyle w:val="TableParagraph"/>
              <w:spacing w:before="138"/>
              <w:ind w:left="81"/>
              <w:jc w:val="left"/>
              <w:rPr>
                <w:b/>
                <w:sz w:val="21"/>
              </w:rPr>
            </w:pPr>
            <w:r>
              <w:rPr>
                <w:b/>
                <w:sz w:val="21"/>
              </w:rPr>
              <w:t>污染物项目</w:t>
            </w:r>
          </w:p>
        </w:tc>
        <w:tc>
          <w:tcPr>
            <w:tcW w:w="2919" w:type="dxa"/>
          </w:tcPr>
          <w:p>
            <w:pPr>
              <w:pStyle w:val="TableParagraph"/>
              <w:spacing w:before="1"/>
              <w:ind w:left="3" w:right="-15"/>
              <w:rPr>
                <w:b/>
                <w:sz w:val="21"/>
              </w:rPr>
            </w:pPr>
            <w:r>
              <w:rPr>
                <w:b/>
                <w:spacing w:val="-7"/>
                <w:sz w:val="21"/>
              </w:rPr>
              <w:t>化学原药制造、农药中间体制造</w:t>
            </w:r>
          </w:p>
          <w:p>
            <w:pPr>
              <w:pStyle w:val="TableParagraph"/>
              <w:spacing w:line="252" w:lineRule="exact" w:before="2"/>
              <w:ind w:left="16" w:right="6"/>
              <w:rPr>
                <w:b/>
                <w:sz w:val="21"/>
              </w:rPr>
            </w:pPr>
            <w:r>
              <w:rPr>
                <w:b/>
                <w:sz w:val="21"/>
              </w:rPr>
              <w:t>和农药研发机构工艺废气</w:t>
            </w:r>
          </w:p>
        </w:tc>
        <w:tc>
          <w:tcPr>
            <w:tcW w:w="2108" w:type="dxa"/>
          </w:tcPr>
          <w:p>
            <w:pPr>
              <w:pStyle w:val="TableParagraph"/>
              <w:spacing w:before="138"/>
              <w:ind w:left="207"/>
              <w:jc w:val="left"/>
              <w:rPr>
                <w:b/>
                <w:sz w:val="21"/>
              </w:rPr>
            </w:pPr>
            <w:r>
              <w:rPr>
                <w:b/>
                <w:sz w:val="21"/>
              </w:rPr>
              <w:t>废水处理设施废气</w:t>
            </w:r>
          </w:p>
        </w:tc>
        <w:tc>
          <w:tcPr>
            <w:tcW w:w="2120" w:type="dxa"/>
          </w:tcPr>
          <w:p>
            <w:pPr>
              <w:pStyle w:val="TableParagraph"/>
              <w:spacing w:before="138"/>
              <w:ind w:left="104"/>
              <w:jc w:val="left"/>
              <w:rPr>
                <w:b/>
                <w:sz w:val="21"/>
              </w:rPr>
            </w:pPr>
            <w:r>
              <w:rPr>
                <w:b/>
                <w:sz w:val="21"/>
              </w:rPr>
              <w:t>污染物排放监控位置</w:t>
            </w:r>
          </w:p>
        </w:tc>
      </w:tr>
      <w:tr>
        <w:trPr>
          <w:trHeight w:val="544" w:hRule="atLeast"/>
        </w:trPr>
        <w:tc>
          <w:tcPr>
            <w:tcW w:w="9178" w:type="dxa"/>
            <w:gridSpan w:val="5"/>
          </w:tcPr>
          <w:p>
            <w:pPr>
              <w:pStyle w:val="TableParagraph"/>
              <w:spacing w:before="1"/>
              <w:ind w:left="107"/>
              <w:jc w:val="left"/>
              <w:rPr>
                <w:sz w:val="21"/>
              </w:rPr>
            </w:pPr>
            <w:r>
              <w:rPr>
                <w:sz w:val="21"/>
              </w:rPr>
              <w:t>筛选确定计入</w:t>
            </w:r>
            <w:r>
              <w:rPr>
                <w:rFonts w:ascii="Times New Roman" w:eastAsia="Times New Roman"/>
                <w:sz w:val="21"/>
              </w:rPr>
              <w:t>TVOC </w:t>
            </w:r>
            <w:r>
              <w:rPr>
                <w:sz w:val="21"/>
              </w:rPr>
              <w:t>的物质。待国家污染物监测技术规定发布后实施。</w:t>
            </w:r>
          </w:p>
          <w:p>
            <w:pPr>
              <w:pStyle w:val="TableParagraph"/>
              <w:spacing w:line="250" w:lineRule="exact" w:before="4"/>
              <w:ind w:left="107"/>
              <w:jc w:val="left"/>
              <w:rPr>
                <w:b/>
                <w:sz w:val="21"/>
              </w:rPr>
            </w:pPr>
            <w:r>
              <w:rPr>
                <w:b/>
                <w:sz w:val="21"/>
              </w:rPr>
              <w:t>经筛选，确定本项目计入</w:t>
            </w:r>
            <w:r>
              <w:rPr>
                <w:rFonts w:ascii="Times New Roman" w:eastAsia="Times New Roman"/>
                <w:b/>
                <w:sz w:val="21"/>
              </w:rPr>
              <w:t>TVOC </w:t>
            </w:r>
            <w:r>
              <w:rPr>
                <w:b/>
                <w:sz w:val="21"/>
              </w:rPr>
              <w:t>的物质为甲酸。</w:t>
            </w:r>
          </w:p>
        </w:tc>
      </w:tr>
    </w:tbl>
    <w:p>
      <w:pPr>
        <w:pStyle w:val="BodyText"/>
        <w:spacing w:before="1"/>
        <w:rPr>
          <w:rFonts w:ascii="Times New Roman"/>
          <w:b/>
          <w:sz w:val="6"/>
        </w:rPr>
      </w:pPr>
    </w:p>
    <w:p>
      <w:pPr>
        <w:spacing w:before="75" w:after="28"/>
        <w:ind w:left="238" w:right="0" w:firstLine="0"/>
        <w:jc w:val="left"/>
        <w:rPr>
          <w:b/>
          <w:sz w:val="24"/>
        </w:rPr>
      </w:pPr>
      <w:r>
        <w:rPr>
          <w:b/>
          <w:spacing w:val="-34"/>
          <w:sz w:val="24"/>
        </w:rPr>
        <w:t>表 </w:t>
      </w:r>
      <w:r>
        <w:rPr>
          <w:rFonts w:ascii="Times New Roman" w:eastAsia="Times New Roman"/>
          <w:b/>
          <w:sz w:val="24"/>
        </w:rPr>
        <w:t>2.3.2-9</w:t>
      </w:r>
      <w:r>
        <w:rPr>
          <w:rFonts w:ascii="Times New Roman" w:eastAsia="Times New Roman"/>
          <w:b/>
          <w:spacing w:val="56"/>
          <w:sz w:val="24"/>
        </w:rPr>
        <w:t> </w:t>
      </w:r>
      <w:r>
        <w:rPr>
          <w:b/>
          <w:spacing w:val="-5"/>
          <w:sz w:val="24"/>
        </w:rPr>
        <w:t>《工业场所有害因素职业接触限值 第 </w:t>
      </w:r>
      <w:r>
        <w:rPr>
          <w:rFonts w:ascii="Times New Roman" w:eastAsia="Times New Roman"/>
          <w:b/>
          <w:sz w:val="24"/>
        </w:rPr>
        <w:t>1 </w:t>
      </w:r>
      <w:r>
        <w:rPr>
          <w:b/>
          <w:spacing w:val="-15"/>
          <w:sz w:val="24"/>
        </w:rPr>
        <w:t>部分：化学有害因素</w:t>
      </w:r>
      <w:r>
        <w:rPr>
          <w:b/>
          <w:spacing w:val="-240"/>
          <w:sz w:val="24"/>
        </w:rPr>
        <w:t>》</w:t>
      </w:r>
      <w:r>
        <w:rPr>
          <w:b/>
          <w:sz w:val="24"/>
        </w:rPr>
        <w:t>（</w:t>
      </w:r>
      <w:r>
        <w:rPr>
          <w:rFonts w:ascii="Times New Roman" w:eastAsia="Times New Roman"/>
          <w:b/>
          <w:sz w:val="24"/>
        </w:rPr>
        <w:t>GBZ2.1-2019</w:t>
      </w:r>
      <w:r>
        <w:rPr>
          <w:b/>
          <w:sz w:val="24"/>
        </w:rPr>
        <w:t>）</w:t>
      </w:r>
    </w:p>
    <w:tbl>
      <w:tblPr>
        <w:tblW w:w="0" w:type="auto"/>
        <w:jc w:val="left"/>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6"/>
        <w:gridCol w:w="4239"/>
        <w:gridCol w:w="3065"/>
      </w:tblGrid>
      <w:tr>
        <w:trPr>
          <w:trHeight w:val="285" w:hRule="atLeast"/>
        </w:trPr>
        <w:tc>
          <w:tcPr>
            <w:tcW w:w="1776" w:type="dxa"/>
          </w:tcPr>
          <w:p>
            <w:pPr>
              <w:pStyle w:val="TableParagraph"/>
              <w:spacing w:line="257" w:lineRule="exact" w:before="8"/>
              <w:ind w:left="548" w:right="544"/>
              <w:rPr>
                <w:b/>
                <w:sz w:val="21"/>
              </w:rPr>
            </w:pPr>
            <w:r>
              <w:rPr>
                <w:b/>
                <w:sz w:val="21"/>
              </w:rPr>
              <w:t>污染物</w:t>
            </w:r>
          </w:p>
        </w:tc>
        <w:tc>
          <w:tcPr>
            <w:tcW w:w="4239" w:type="dxa"/>
          </w:tcPr>
          <w:p>
            <w:pPr>
              <w:pStyle w:val="TableParagraph"/>
              <w:spacing w:line="257" w:lineRule="exact" w:before="8"/>
              <w:ind w:left="1121" w:right="1114"/>
              <w:rPr>
                <w:rFonts w:ascii="Times New Roman" w:eastAsia="Times New Roman"/>
                <w:b/>
                <w:sz w:val="14"/>
              </w:rPr>
            </w:pPr>
            <w:r>
              <w:rPr>
                <w:b/>
                <w:sz w:val="21"/>
              </w:rPr>
              <w:t>允许排放浓度 </w:t>
            </w:r>
            <w:r>
              <w:rPr>
                <w:rFonts w:ascii="Times New Roman" w:eastAsia="Times New Roman"/>
                <w:b/>
                <w:sz w:val="21"/>
              </w:rPr>
              <w:t>mg/m</w:t>
            </w:r>
            <w:r>
              <w:rPr>
                <w:rFonts w:ascii="Times New Roman" w:eastAsia="Times New Roman"/>
                <w:b/>
                <w:position w:val="7"/>
                <w:sz w:val="14"/>
              </w:rPr>
              <w:t>3</w:t>
            </w:r>
          </w:p>
        </w:tc>
        <w:tc>
          <w:tcPr>
            <w:tcW w:w="3065" w:type="dxa"/>
          </w:tcPr>
          <w:p>
            <w:pPr>
              <w:pStyle w:val="TableParagraph"/>
              <w:spacing w:line="257" w:lineRule="exact" w:before="8"/>
              <w:ind w:left="844" w:right="837"/>
              <w:rPr>
                <w:b/>
                <w:sz w:val="21"/>
              </w:rPr>
            </w:pPr>
            <w:r>
              <w:rPr>
                <w:b/>
                <w:sz w:val="21"/>
              </w:rPr>
              <w:t>备注</w:t>
            </w:r>
          </w:p>
        </w:tc>
      </w:tr>
      <w:tr>
        <w:trPr>
          <w:trHeight w:val="282" w:hRule="atLeast"/>
        </w:trPr>
        <w:tc>
          <w:tcPr>
            <w:tcW w:w="1776" w:type="dxa"/>
          </w:tcPr>
          <w:p>
            <w:pPr>
              <w:pStyle w:val="TableParagraph"/>
              <w:spacing w:line="257" w:lineRule="exact" w:before="5"/>
              <w:ind w:left="548" w:right="539"/>
              <w:rPr>
                <w:sz w:val="21"/>
              </w:rPr>
            </w:pPr>
            <w:r>
              <w:rPr>
                <w:sz w:val="21"/>
              </w:rPr>
              <w:t>甲酸</w:t>
            </w:r>
          </w:p>
        </w:tc>
        <w:tc>
          <w:tcPr>
            <w:tcW w:w="4239" w:type="dxa"/>
          </w:tcPr>
          <w:p>
            <w:pPr>
              <w:pStyle w:val="TableParagraph"/>
              <w:spacing w:before="19"/>
              <w:ind w:left="1119" w:right="1114"/>
              <w:rPr>
                <w:rFonts w:ascii="Times New Roman"/>
                <w:sz w:val="21"/>
              </w:rPr>
            </w:pPr>
            <w:r>
              <w:rPr>
                <w:rFonts w:ascii="Times New Roman"/>
                <w:sz w:val="21"/>
              </w:rPr>
              <w:t>10</w:t>
            </w:r>
          </w:p>
        </w:tc>
        <w:tc>
          <w:tcPr>
            <w:tcW w:w="3065" w:type="dxa"/>
          </w:tcPr>
          <w:p>
            <w:pPr>
              <w:pStyle w:val="TableParagraph"/>
              <w:spacing w:line="257" w:lineRule="exact" w:before="5"/>
              <w:ind w:left="848" w:right="837"/>
              <w:rPr>
                <w:rFonts w:ascii="Times New Roman" w:eastAsia="Times New Roman"/>
                <w:sz w:val="21"/>
              </w:rPr>
            </w:pPr>
            <w:r>
              <w:rPr>
                <w:sz w:val="21"/>
              </w:rPr>
              <w:t>参照 </w:t>
            </w:r>
            <w:r>
              <w:rPr>
                <w:rFonts w:ascii="Times New Roman" w:eastAsia="Times New Roman"/>
                <w:sz w:val="21"/>
              </w:rPr>
              <w:t>PC-TWA</w:t>
            </w:r>
          </w:p>
        </w:tc>
      </w:tr>
    </w:tbl>
    <w:p>
      <w:pPr>
        <w:pStyle w:val="BodyText"/>
        <w:spacing w:line="364" w:lineRule="auto" w:before="2"/>
        <w:ind w:left="238" w:right="235" w:firstLine="480"/>
        <w:jc w:val="both"/>
      </w:pPr>
      <w:r>
        <w:rPr>
          <w:spacing w:val="-6"/>
        </w:rPr>
        <w:t>车间或生产设施排气中 </w:t>
      </w:r>
      <w:r>
        <w:rPr>
          <w:rFonts w:ascii="Times New Roman" w:hAnsi="Times New Roman" w:eastAsia="Times New Roman"/>
        </w:rPr>
        <w:t>NMHC </w:t>
      </w:r>
      <w:r>
        <w:rPr/>
        <w:t>初始排放速率</w:t>
      </w:r>
      <w:r>
        <w:rPr>
          <w:rFonts w:ascii="Times New Roman" w:hAnsi="Times New Roman" w:eastAsia="Times New Roman"/>
        </w:rPr>
        <w:t>≥3 kg/h </w:t>
      </w:r>
      <w:r>
        <w:rPr/>
        <w:t>的，</w:t>
      </w:r>
      <w:r>
        <w:rPr>
          <w:rFonts w:ascii="Times New Roman" w:hAnsi="Times New Roman" w:eastAsia="Times New Roman"/>
        </w:rPr>
        <w:t>VOCs </w:t>
      </w:r>
      <w:r>
        <w:rPr>
          <w:spacing w:val="-2"/>
        </w:rPr>
        <w:t>处理设施的处理效</w:t>
      </w:r>
      <w:r>
        <w:rPr>
          <w:spacing w:val="-11"/>
        </w:rPr>
        <w:t>率不应低于 </w:t>
      </w:r>
      <w:r>
        <w:rPr>
          <w:rFonts w:ascii="Times New Roman" w:hAnsi="Times New Roman" w:eastAsia="Times New Roman"/>
        </w:rPr>
        <w:t>80%</w:t>
      </w:r>
      <w:r>
        <w:rPr>
          <w:spacing w:val="-4"/>
        </w:rPr>
        <w:t>。对于重点地区，车间或生产设施排气中 </w:t>
      </w:r>
      <w:r>
        <w:rPr>
          <w:rFonts w:ascii="Times New Roman" w:hAnsi="Times New Roman" w:eastAsia="Times New Roman"/>
        </w:rPr>
        <w:t>NMHC </w:t>
      </w:r>
      <w:r>
        <w:rPr/>
        <w:t>初始排放速率</w:t>
      </w:r>
      <w:r>
        <w:rPr>
          <w:rFonts w:ascii="Times New Roman" w:hAnsi="Times New Roman" w:eastAsia="Times New Roman"/>
        </w:rPr>
        <w:t>≥2 </w:t>
      </w:r>
      <w:r>
        <w:rPr>
          <w:rFonts w:ascii="Times New Roman" w:hAnsi="Times New Roman" w:eastAsia="Times New Roman"/>
          <w:spacing w:val="-4"/>
        </w:rPr>
        <w:t>kg/h </w:t>
      </w:r>
      <w:r>
        <w:rPr/>
        <w:t>的，</w:t>
      </w:r>
      <w:r>
        <w:rPr>
          <w:rFonts w:ascii="Times New Roman" w:hAnsi="Times New Roman" w:eastAsia="Times New Roman"/>
        </w:rPr>
        <w:t>VOCs </w:t>
      </w:r>
      <w:r>
        <w:rPr>
          <w:spacing w:val="-5"/>
        </w:rPr>
        <w:t>处理设施的处理效率不应低于 </w:t>
      </w:r>
      <w:r>
        <w:rPr>
          <w:rFonts w:ascii="Times New Roman" w:hAnsi="Times New Roman" w:eastAsia="Times New Roman"/>
        </w:rPr>
        <w:t>80%</w:t>
      </w:r>
      <w:r>
        <w:rPr/>
        <w:t>。</w:t>
      </w:r>
    </w:p>
    <w:p>
      <w:pPr>
        <w:pStyle w:val="Heading4"/>
        <w:spacing w:line="307" w:lineRule="exact"/>
        <w:ind w:left="721"/>
        <w:jc w:val="both"/>
      </w:pPr>
      <w:r>
        <w:rPr>
          <w:spacing w:val="-10"/>
          <w:w w:val="99"/>
        </w:rPr>
        <w:t>本项目位于重点地区，且生产设施排气中</w:t>
      </w:r>
      <w:r>
        <w:rPr>
          <w:spacing w:val="-57"/>
        </w:rPr>
        <w:t> </w:t>
      </w:r>
      <w:r>
        <w:rPr>
          <w:rFonts w:ascii="Times New Roman" w:eastAsia="Times New Roman"/>
          <w:spacing w:val="-1"/>
          <w:w w:val="99"/>
        </w:rPr>
        <w:t>N</w:t>
      </w:r>
      <w:r>
        <w:rPr>
          <w:rFonts w:ascii="Times New Roman" w:eastAsia="Times New Roman"/>
          <w:spacing w:val="-1"/>
        </w:rPr>
        <w:t>M</w:t>
      </w:r>
      <w:r>
        <w:rPr>
          <w:rFonts w:ascii="Times New Roman" w:eastAsia="Times New Roman"/>
          <w:w w:val="99"/>
        </w:rPr>
        <w:t>HC</w:t>
      </w:r>
      <w:r>
        <w:rPr>
          <w:rFonts w:ascii="Times New Roman" w:eastAsia="Times New Roman"/>
        </w:rPr>
        <w:t> </w:t>
      </w:r>
      <w:r>
        <w:rPr>
          <w:w w:val="99"/>
        </w:rPr>
        <w:t>初始排放速率＞</w:t>
      </w:r>
      <w:r>
        <w:rPr>
          <w:rFonts w:ascii="Times New Roman" w:eastAsia="Times New Roman"/>
          <w:w w:val="99"/>
        </w:rPr>
        <w:t>2</w:t>
      </w:r>
      <w:r>
        <w:rPr>
          <w:rFonts w:ascii="Times New Roman" w:eastAsia="Times New Roman"/>
          <w:spacing w:val="-2"/>
          <w:w w:val="99"/>
        </w:rPr>
        <w:t>k</w:t>
      </w:r>
      <w:r>
        <w:rPr>
          <w:rFonts w:ascii="Times New Roman" w:eastAsia="Times New Roman"/>
        </w:rPr>
        <w:t>g/</w:t>
      </w:r>
      <w:r>
        <w:rPr>
          <w:rFonts w:ascii="Times New Roman" w:eastAsia="Times New Roman"/>
          <w:spacing w:val="1"/>
          <w:w w:val="99"/>
        </w:rPr>
        <w:t>h</w:t>
      </w:r>
      <w:r>
        <w:rPr>
          <w:spacing w:val="-19"/>
          <w:w w:val="99"/>
        </w:rPr>
        <w:t>，根据计算，</w:t>
      </w:r>
    </w:p>
    <w:p>
      <w:pPr>
        <w:spacing w:before="161"/>
        <w:ind w:left="238" w:right="0" w:firstLine="0"/>
        <w:jc w:val="left"/>
        <w:rPr>
          <w:b/>
          <w:sz w:val="24"/>
        </w:rPr>
      </w:pPr>
      <w:r>
        <w:rPr>
          <w:rFonts w:ascii="Times New Roman" w:hAnsi="Times New Roman" w:eastAsia="Times New Roman"/>
          <w:b/>
          <w:sz w:val="24"/>
        </w:rPr>
        <w:t>VOCs(</w:t>
      </w:r>
      <w:r>
        <w:rPr>
          <w:b/>
          <w:sz w:val="24"/>
        </w:rPr>
        <w:t>甲酸</w:t>
      </w:r>
      <w:r>
        <w:rPr>
          <w:rFonts w:ascii="Times New Roman" w:hAnsi="Times New Roman" w:eastAsia="Times New Roman"/>
          <w:b/>
          <w:sz w:val="24"/>
        </w:rPr>
        <w:t>)</w:t>
      </w:r>
      <w:r>
        <w:rPr>
          <w:b/>
          <w:sz w:val="24"/>
        </w:rPr>
        <w:t>处理设施的处理效率≥</w:t>
      </w:r>
      <w:r>
        <w:rPr>
          <w:rFonts w:ascii="Times New Roman" w:hAnsi="Times New Roman" w:eastAsia="Times New Roman"/>
          <w:b/>
          <w:sz w:val="24"/>
        </w:rPr>
        <w:t>95%</w:t>
      </w:r>
      <w:r>
        <w:rPr>
          <w:b/>
          <w:sz w:val="24"/>
        </w:rPr>
        <w:t>，满足上述要求。</w:t>
      </w:r>
    </w:p>
    <w:p>
      <w:pPr>
        <w:pStyle w:val="BodyText"/>
        <w:spacing w:before="158"/>
        <w:ind w:left="718"/>
      </w:pPr>
      <w:r>
        <w:rPr/>
        <w:t>②厂界无组织废气 </w:t>
      </w:r>
    </w:p>
    <w:p>
      <w:pPr>
        <w:pStyle w:val="BodyText"/>
        <w:spacing w:line="362" w:lineRule="auto" w:before="161"/>
        <w:ind w:left="238" w:right="232" w:firstLine="480"/>
      </w:pPr>
      <w:r>
        <w:rPr>
          <w:spacing w:val="-10"/>
        </w:rPr>
        <w:t>对于《农药制造工业大气污染物排放标准》</w:t>
      </w:r>
      <w:r>
        <w:rPr/>
        <w:t>（</w:t>
      </w:r>
      <w:r>
        <w:rPr>
          <w:rFonts w:ascii="Times New Roman" w:eastAsia="Times New Roman"/>
        </w:rPr>
        <w:t>GB39727-2020</w:t>
      </w:r>
      <w:r>
        <w:rPr/>
        <w:t>）</w:t>
      </w:r>
      <w:r>
        <w:rPr>
          <w:spacing w:val="-2"/>
        </w:rPr>
        <w:t>中未涉及因子的厂界</w:t>
      </w:r>
      <w:r>
        <w:rPr/>
        <w:t>大气污染物浓度限值参照下表标准。 </w:t>
      </w:r>
    </w:p>
    <w:p>
      <w:pPr>
        <w:pStyle w:val="Heading4"/>
        <w:tabs>
          <w:tab w:pos="3997" w:val="left" w:leader="none"/>
        </w:tabs>
        <w:spacing w:before="146" w:after="29"/>
        <w:ind w:left="2655"/>
      </w:pPr>
      <w:r>
        <w:rPr/>
        <w:t>表</w:t>
      </w:r>
      <w:r>
        <w:rPr>
          <w:spacing w:val="-59"/>
        </w:rPr>
        <w:t> </w:t>
      </w:r>
      <w:r>
        <w:rPr>
          <w:rFonts w:ascii="Times New Roman" w:eastAsia="Times New Roman"/>
        </w:rPr>
        <w:t>2.3.2-10</w:t>
        <w:tab/>
      </w:r>
      <w:r>
        <w:rPr/>
        <w:t>大气污染物无组织排放标准</w:t>
      </w:r>
    </w:p>
    <w:tbl>
      <w:tblPr>
        <w:tblW w:w="0" w:type="auto"/>
        <w:jc w:val="left"/>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
        <w:gridCol w:w="2269"/>
        <w:gridCol w:w="3042"/>
        <w:gridCol w:w="3148"/>
      </w:tblGrid>
      <w:tr>
        <w:trPr>
          <w:trHeight w:val="513" w:hRule="atLeast"/>
        </w:trPr>
        <w:tc>
          <w:tcPr>
            <w:tcW w:w="672" w:type="dxa"/>
          </w:tcPr>
          <w:p>
            <w:pPr>
              <w:pStyle w:val="TableParagraph"/>
              <w:spacing w:before="121"/>
              <w:ind w:left="104" w:right="95"/>
              <w:rPr>
                <w:b/>
                <w:sz w:val="21"/>
              </w:rPr>
            </w:pPr>
            <w:r>
              <w:rPr>
                <w:b/>
                <w:sz w:val="21"/>
              </w:rPr>
              <w:t>序号</w:t>
            </w:r>
          </w:p>
        </w:tc>
        <w:tc>
          <w:tcPr>
            <w:tcW w:w="2269" w:type="dxa"/>
          </w:tcPr>
          <w:p>
            <w:pPr>
              <w:pStyle w:val="TableParagraph"/>
              <w:spacing w:before="121"/>
              <w:ind w:left="585" w:right="579"/>
              <w:rPr>
                <w:b/>
                <w:sz w:val="21"/>
              </w:rPr>
            </w:pPr>
            <w:r>
              <w:rPr>
                <w:b/>
                <w:sz w:val="21"/>
              </w:rPr>
              <w:t>污染物名称</w:t>
            </w:r>
          </w:p>
        </w:tc>
        <w:tc>
          <w:tcPr>
            <w:tcW w:w="3042" w:type="dxa"/>
          </w:tcPr>
          <w:p>
            <w:pPr>
              <w:pStyle w:val="TableParagraph"/>
              <w:spacing w:line="268" w:lineRule="exact" w:before="1"/>
              <w:ind w:left="233" w:right="228"/>
              <w:rPr>
                <w:b/>
                <w:sz w:val="21"/>
              </w:rPr>
            </w:pPr>
            <w:r>
              <w:rPr>
                <w:b/>
                <w:sz w:val="21"/>
              </w:rPr>
              <w:t>无组织排放监控点浓度限值</w:t>
            </w:r>
          </w:p>
          <w:p>
            <w:pPr>
              <w:pStyle w:val="TableParagraph"/>
              <w:spacing w:line="225" w:lineRule="exact"/>
              <w:ind w:left="233" w:right="223"/>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3148" w:type="dxa"/>
          </w:tcPr>
          <w:p>
            <w:pPr>
              <w:pStyle w:val="TableParagraph"/>
              <w:spacing w:before="121"/>
              <w:ind w:left="184" w:right="181"/>
              <w:rPr>
                <w:b/>
                <w:sz w:val="21"/>
              </w:rPr>
            </w:pPr>
            <w:r>
              <w:rPr>
                <w:b/>
                <w:sz w:val="21"/>
              </w:rPr>
              <w:t>标准</w:t>
            </w:r>
          </w:p>
        </w:tc>
      </w:tr>
      <w:tr>
        <w:trPr>
          <w:trHeight w:val="273" w:hRule="atLeast"/>
        </w:trPr>
        <w:tc>
          <w:tcPr>
            <w:tcW w:w="672" w:type="dxa"/>
          </w:tcPr>
          <w:p>
            <w:pPr>
              <w:pStyle w:val="TableParagraph"/>
              <w:spacing w:line="238" w:lineRule="exact" w:before="15"/>
              <w:ind w:left="9"/>
              <w:rPr>
                <w:rFonts w:ascii="Times New Roman"/>
                <w:sz w:val="21"/>
              </w:rPr>
            </w:pPr>
            <w:r>
              <w:rPr>
                <w:rFonts w:ascii="Times New Roman"/>
                <w:w w:val="100"/>
                <w:sz w:val="21"/>
              </w:rPr>
              <w:t>1</w:t>
            </w:r>
          </w:p>
        </w:tc>
        <w:tc>
          <w:tcPr>
            <w:tcW w:w="2269" w:type="dxa"/>
          </w:tcPr>
          <w:p>
            <w:pPr>
              <w:pStyle w:val="TableParagraph"/>
              <w:spacing w:line="252" w:lineRule="exact" w:before="1"/>
              <w:ind w:left="582" w:right="579"/>
              <w:rPr>
                <w:sz w:val="21"/>
              </w:rPr>
            </w:pPr>
            <w:r>
              <w:rPr>
                <w:sz w:val="21"/>
              </w:rPr>
              <w:t>非甲烷总烃</w:t>
            </w:r>
          </w:p>
        </w:tc>
        <w:tc>
          <w:tcPr>
            <w:tcW w:w="3042" w:type="dxa"/>
          </w:tcPr>
          <w:p>
            <w:pPr>
              <w:pStyle w:val="TableParagraph"/>
              <w:spacing w:line="238" w:lineRule="exact" w:before="15"/>
              <w:ind w:right="1377"/>
              <w:jc w:val="right"/>
              <w:rPr>
                <w:rFonts w:ascii="Times New Roman"/>
                <w:sz w:val="21"/>
              </w:rPr>
            </w:pPr>
            <w:r>
              <w:rPr>
                <w:rFonts w:ascii="Times New Roman"/>
                <w:sz w:val="21"/>
              </w:rPr>
              <w:t>4.0</w:t>
            </w:r>
          </w:p>
        </w:tc>
        <w:tc>
          <w:tcPr>
            <w:tcW w:w="3148" w:type="dxa"/>
            <w:vMerge w:val="restart"/>
          </w:tcPr>
          <w:p>
            <w:pPr>
              <w:pStyle w:val="TableParagraph"/>
              <w:spacing w:before="6"/>
              <w:ind w:left="186" w:right="181"/>
              <w:rPr>
                <w:sz w:val="21"/>
              </w:rPr>
            </w:pPr>
            <w:r>
              <w:rPr>
                <w:sz w:val="21"/>
              </w:rPr>
              <w:t>《大气污染物综合排放标准》</w:t>
            </w:r>
          </w:p>
          <w:p>
            <w:pPr>
              <w:pStyle w:val="TableParagraph"/>
              <w:spacing w:line="255" w:lineRule="exact" w:before="4"/>
              <w:ind w:left="186" w:right="181"/>
              <w:rPr>
                <w:sz w:val="21"/>
              </w:rPr>
            </w:pPr>
            <w:r>
              <w:rPr>
                <w:rFonts w:ascii="Times New Roman" w:eastAsia="Times New Roman"/>
                <w:sz w:val="21"/>
              </w:rPr>
              <w:t>GB16297-1996 </w:t>
            </w:r>
            <w:r>
              <w:rPr>
                <w:sz w:val="21"/>
              </w:rPr>
              <w:t>二级标准</w:t>
            </w:r>
          </w:p>
        </w:tc>
      </w:tr>
      <w:tr>
        <w:trPr>
          <w:trHeight w:val="270" w:hRule="atLeast"/>
        </w:trPr>
        <w:tc>
          <w:tcPr>
            <w:tcW w:w="672" w:type="dxa"/>
          </w:tcPr>
          <w:p>
            <w:pPr>
              <w:pStyle w:val="TableParagraph"/>
              <w:spacing w:line="236" w:lineRule="exact" w:before="15"/>
              <w:ind w:left="9"/>
              <w:rPr>
                <w:rFonts w:ascii="Times New Roman"/>
                <w:sz w:val="21"/>
              </w:rPr>
            </w:pPr>
            <w:r>
              <w:rPr>
                <w:rFonts w:ascii="Times New Roman"/>
                <w:w w:val="100"/>
                <w:sz w:val="21"/>
              </w:rPr>
              <w:t>2</w:t>
            </w:r>
          </w:p>
        </w:tc>
        <w:tc>
          <w:tcPr>
            <w:tcW w:w="2269" w:type="dxa"/>
          </w:tcPr>
          <w:p>
            <w:pPr>
              <w:pStyle w:val="TableParagraph"/>
              <w:spacing w:line="250" w:lineRule="exact" w:before="1"/>
              <w:ind w:left="585" w:right="579"/>
              <w:rPr>
                <w:sz w:val="21"/>
              </w:rPr>
            </w:pPr>
            <w:r>
              <w:rPr>
                <w:sz w:val="21"/>
              </w:rPr>
              <w:t>颗粒物</w:t>
            </w:r>
          </w:p>
        </w:tc>
        <w:tc>
          <w:tcPr>
            <w:tcW w:w="3042" w:type="dxa"/>
          </w:tcPr>
          <w:p>
            <w:pPr>
              <w:pStyle w:val="TableParagraph"/>
              <w:spacing w:line="236" w:lineRule="exact" w:before="15"/>
              <w:ind w:right="1377"/>
              <w:jc w:val="right"/>
              <w:rPr>
                <w:rFonts w:ascii="Times New Roman"/>
                <w:sz w:val="21"/>
              </w:rPr>
            </w:pPr>
            <w:r>
              <w:rPr>
                <w:rFonts w:ascii="Times New Roman"/>
                <w:sz w:val="21"/>
              </w:rPr>
              <w:t>1.0</w:t>
            </w:r>
          </w:p>
        </w:tc>
        <w:tc>
          <w:tcPr>
            <w:tcW w:w="3148" w:type="dxa"/>
            <w:vMerge/>
            <w:tcBorders>
              <w:top w:val="nil"/>
            </w:tcBorders>
          </w:tcPr>
          <w:p>
            <w:pPr>
              <w:rPr>
                <w:sz w:val="2"/>
                <w:szCs w:val="2"/>
              </w:rPr>
            </w:pPr>
          </w:p>
        </w:tc>
      </w:tr>
    </w:tbl>
    <w:p>
      <w:pPr>
        <w:pStyle w:val="BodyText"/>
        <w:spacing w:before="2"/>
        <w:ind w:left="718"/>
      </w:pPr>
      <w:r>
        <w:rPr/>
        <w:t>③厂区内无组织大气污染物</w:t>
      </w:r>
    </w:p>
    <w:p>
      <w:pPr>
        <w:pStyle w:val="BodyText"/>
        <w:spacing w:line="362" w:lineRule="auto" w:before="161"/>
        <w:ind w:left="238" w:right="236" w:firstLine="480"/>
      </w:pPr>
      <w:r>
        <w:rPr>
          <w:spacing w:val="-11"/>
        </w:rPr>
        <w:t>企业厂区内 </w:t>
      </w:r>
      <w:r>
        <w:rPr>
          <w:rFonts w:ascii="Times New Roman" w:eastAsia="Times New Roman"/>
        </w:rPr>
        <w:t>VOCs </w:t>
      </w:r>
      <w:r>
        <w:rPr>
          <w:spacing w:val="-5"/>
        </w:rPr>
        <w:t>无组织排放监控点浓度应符合《农药制造工业大气污染物排放标</w:t>
      </w:r>
      <w:r>
        <w:rPr/>
        <w:t>准》（</w:t>
      </w:r>
      <w:r>
        <w:rPr>
          <w:rFonts w:ascii="Times New Roman" w:eastAsia="Times New Roman"/>
        </w:rPr>
        <w:t>GB39727-2020</w:t>
      </w:r>
      <w:r>
        <w:rPr/>
        <w:t>）规定的限值要求，具体见下表。</w:t>
      </w:r>
    </w:p>
    <w:p>
      <w:pPr>
        <w:pStyle w:val="Heading4"/>
        <w:tabs>
          <w:tab w:pos="1808" w:val="left" w:leader="none"/>
          <w:tab w:pos="5202" w:val="left" w:leader="none"/>
        </w:tabs>
        <w:spacing w:before="147" w:after="28"/>
        <w:ind w:left="360"/>
        <w:jc w:val="center"/>
        <w:rPr>
          <w:rFonts w:ascii="Times New Roman" w:eastAsia="Times New Roman"/>
          <w:sz w:val="16"/>
        </w:rPr>
      </w:pPr>
      <w:r>
        <w:rPr/>
        <w:t>表</w:t>
      </w:r>
      <w:r>
        <w:rPr>
          <w:spacing w:val="-64"/>
        </w:rPr>
        <w:t> </w:t>
      </w:r>
      <w:r>
        <w:rPr>
          <w:rFonts w:ascii="Times New Roman" w:eastAsia="Times New Roman"/>
        </w:rPr>
        <w:t>2.3.2-11</w:t>
        <w:tab/>
      </w:r>
      <w:r>
        <w:rPr/>
        <w:t>厂区内</w:t>
      </w:r>
      <w:r>
        <w:rPr>
          <w:spacing w:val="-61"/>
        </w:rPr>
        <w:t> </w:t>
      </w:r>
      <w:r>
        <w:rPr>
          <w:rFonts w:ascii="Times New Roman" w:eastAsia="Times New Roman"/>
        </w:rPr>
        <w:t>VOCs</w:t>
      </w:r>
      <w:r>
        <w:rPr>
          <w:rFonts w:ascii="Times New Roman" w:eastAsia="Times New Roman"/>
          <w:spacing w:val="-1"/>
        </w:rPr>
        <w:t> </w:t>
      </w:r>
      <w:r>
        <w:rPr/>
        <w:t>无组织排放限值</w:t>
        <w:tab/>
        <w:t>单位：</w:t>
      </w:r>
      <w:r>
        <w:rPr>
          <w:rFonts w:ascii="Times New Roman" w:eastAsia="Times New Roman"/>
        </w:rPr>
        <w:t>mg/m</w:t>
      </w:r>
      <w:r>
        <w:rPr>
          <w:rFonts w:ascii="Times New Roman" w:eastAsia="Times New Roman"/>
          <w:position w:val="8"/>
          <w:sz w:val="16"/>
        </w:rPr>
        <w:t>3</w:t>
      </w:r>
    </w:p>
    <w:tbl>
      <w:tblPr>
        <w:tblW w:w="0" w:type="auto"/>
        <w:jc w:val="left"/>
        <w:tblInd w:w="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94"/>
        <w:gridCol w:w="2014"/>
        <w:gridCol w:w="3559"/>
        <w:gridCol w:w="2318"/>
      </w:tblGrid>
      <w:tr>
        <w:trPr>
          <w:trHeight w:val="285" w:hRule="atLeast"/>
        </w:trPr>
        <w:tc>
          <w:tcPr>
            <w:tcW w:w="1394" w:type="dxa"/>
          </w:tcPr>
          <w:p>
            <w:pPr>
              <w:pStyle w:val="TableParagraph"/>
              <w:spacing w:line="262" w:lineRule="exact" w:before="3"/>
              <w:ind w:left="143"/>
              <w:jc w:val="left"/>
              <w:rPr>
                <w:b/>
                <w:sz w:val="22"/>
              </w:rPr>
            </w:pPr>
            <w:r>
              <w:rPr>
                <w:b/>
                <w:sz w:val="22"/>
              </w:rPr>
              <w:t>污染物项目</w:t>
            </w:r>
          </w:p>
        </w:tc>
        <w:tc>
          <w:tcPr>
            <w:tcW w:w="2014" w:type="dxa"/>
          </w:tcPr>
          <w:p>
            <w:pPr>
              <w:pStyle w:val="TableParagraph"/>
              <w:spacing w:line="262" w:lineRule="exact" w:before="3"/>
              <w:ind w:left="543" w:right="541"/>
              <w:rPr>
                <w:b/>
                <w:sz w:val="22"/>
              </w:rPr>
            </w:pPr>
            <w:r>
              <w:rPr>
                <w:b/>
                <w:sz w:val="22"/>
              </w:rPr>
              <w:t>排放限值</w:t>
            </w:r>
          </w:p>
        </w:tc>
        <w:tc>
          <w:tcPr>
            <w:tcW w:w="3559" w:type="dxa"/>
          </w:tcPr>
          <w:p>
            <w:pPr>
              <w:pStyle w:val="TableParagraph"/>
              <w:spacing w:line="262" w:lineRule="exact" w:before="3"/>
              <w:ind w:left="1316" w:right="1313"/>
              <w:rPr>
                <w:b/>
                <w:sz w:val="22"/>
              </w:rPr>
            </w:pPr>
            <w:r>
              <w:rPr>
                <w:b/>
                <w:sz w:val="22"/>
              </w:rPr>
              <w:t>限值含义</w:t>
            </w:r>
          </w:p>
        </w:tc>
        <w:tc>
          <w:tcPr>
            <w:tcW w:w="2318" w:type="dxa"/>
          </w:tcPr>
          <w:p>
            <w:pPr>
              <w:pStyle w:val="TableParagraph"/>
              <w:spacing w:line="262" w:lineRule="exact" w:before="3"/>
              <w:ind w:left="164"/>
              <w:jc w:val="left"/>
              <w:rPr>
                <w:b/>
                <w:sz w:val="22"/>
              </w:rPr>
            </w:pPr>
            <w:r>
              <w:rPr>
                <w:b/>
                <w:sz w:val="22"/>
              </w:rPr>
              <w:t>无组织排放监控位置</w:t>
            </w:r>
          </w:p>
        </w:tc>
      </w:tr>
      <w:tr>
        <w:trPr>
          <w:trHeight w:val="285" w:hRule="atLeast"/>
        </w:trPr>
        <w:tc>
          <w:tcPr>
            <w:tcW w:w="1394" w:type="dxa"/>
            <w:vMerge w:val="restart"/>
          </w:tcPr>
          <w:p>
            <w:pPr>
              <w:pStyle w:val="TableParagraph"/>
              <w:spacing w:before="159"/>
              <w:ind w:left="364"/>
              <w:jc w:val="left"/>
              <w:rPr>
                <w:rFonts w:ascii="Times New Roman"/>
                <w:sz w:val="22"/>
              </w:rPr>
            </w:pPr>
            <w:r>
              <w:rPr>
                <w:rFonts w:ascii="Times New Roman"/>
                <w:sz w:val="22"/>
              </w:rPr>
              <w:t>NMHC</w:t>
            </w:r>
          </w:p>
        </w:tc>
        <w:tc>
          <w:tcPr>
            <w:tcW w:w="2014" w:type="dxa"/>
          </w:tcPr>
          <w:p>
            <w:pPr>
              <w:pStyle w:val="TableParagraph"/>
              <w:spacing w:line="250" w:lineRule="exact" w:before="15"/>
              <w:ind w:left="543" w:right="541"/>
              <w:rPr>
                <w:rFonts w:ascii="Times New Roman"/>
                <w:sz w:val="22"/>
              </w:rPr>
            </w:pPr>
            <w:r>
              <w:rPr>
                <w:rFonts w:ascii="Times New Roman"/>
                <w:sz w:val="22"/>
              </w:rPr>
              <w:t>10</w:t>
            </w:r>
          </w:p>
        </w:tc>
        <w:tc>
          <w:tcPr>
            <w:tcW w:w="3559" w:type="dxa"/>
          </w:tcPr>
          <w:p>
            <w:pPr>
              <w:pStyle w:val="TableParagraph"/>
              <w:spacing w:line="262" w:lineRule="exact" w:before="3"/>
              <w:ind w:left="622"/>
              <w:jc w:val="left"/>
              <w:rPr>
                <w:sz w:val="22"/>
              </w:rPr>
            </w:pPr>
            <w:r>
              <w:rPr>
                <w:sz w:val="22"/>
              </w:rPr>
              <w:t>监控点处 </w:t>
            </w:r>
            <w:r>
              <w:rPr>
                <w:rFonts w:ascii="Times New Roman" w:eastAsia="Times New Roman"/>
                <w:sz w:val="22"/>
              </w:rPr>
              <w:t>1h </w:t>
            </w:r>
            <w:r>
              <w:rPr>
                <w:sz w:val="22"/>
              </w:rPr>
              <w:t>平均浓度值</w:t>
            </w:r>
          </w:p>
        </w:tc>
        <w:tc>
          <w:tcPr>
            <w:tcW w:w="2318" w:type="dxa"/>
            <w:vMerge w:val="restart"/>
          </w:tcPr>
          <w:p>
            <w:pPr>
              <w:pStyle w:val="TableParagraph"/>
              <w:spacing w:before="147"/>
              <w:ind w:left="166"/>
              <w:jc w:val="left"/>
              <w:rPr>
                <w:sz w:val="22"/>
              </w:rPr>
            </w:pPr>
            <w:r>
              <w:rPr>
                <w:sz w:val="22"/>
              </w:rPr>
              <w:t>在厂房外设置监控点</w:t>
            </w:r>
          </w:p>
        </w:tc>
      </w:tr>
      <w:tr>
        <w:trPr>
          <w:trHeight w:val="285" w:hRule="atLeast"/>
        </w:trPr>
        <w:tc>
          <w:tcPr>
            <w:tcW w:w="1394" w:type="dxa"/>
            <w:vMerge/>
            <w:tcBorders>
              <w:top w:val="nil"/>
            </w:tcBorders>
          </w:tcPr>
          <w:p>
            <w:pPr>
              <w:rPr>
                <w:sz w:val="2"/>
                <w:szCs w:val="2"/>
              </w:rPr>
            </w:pPr>
          </w:p>
        </w:tc>
        <w:tc>
          <w:tcPr>
            <w:tcW w:w="2014" w:type="dxa"/>
          </w:tcPr>
          <w:p>
            <w:pPr>
              <w:pStyle w:val="TableParagraph"/>
              <w:spacing w:line="250" w:lineRule="exact" w:before="15"/>
              <w:ind w:left="543" w:right="541"/>
              <w:rPr>
                <w:rFonts w:ascii="Times New Roman"/>
                <w:sz w:val="22"/>
              </w:rPr>
            </w:pPr>
            <w:r>
              <w:rPr>
                <w:rFonts w:ascii="Times New Roman"/>
                <w:sz w:val="22"/>
              </w:rPr>
              <w:t>30</w:t>
            </w:r>
          </w:p>
        </w:tc>
        <w:tc>
          <w:tcPr>
            <w:tcW w:w="3559" w:type="dxa"/>
          </w:tcPr>
          <w:p>
            <w:pPr>
              <w:pStyle w:val="TableParagraph"/>
              <w:spacing w:line="262" w:lineRule="exact" w:before="3"/>
              <w:ind w:left="677"/>
              <w:jc w:val="left"/>
              <w:rPr>
                <w:sz w:val="22"/>
              </w:rPr>
            </w:pPr>
            <w:r>
              <w:rPr>
                <w:sz w:val="22"/>
              </w:rPr>
              <w:t>监控处任意一次浓度值</w:t>
            </w:r>
          </w:p>
        </w:tc>
        <w:tc>
          <w:tcPr>
            <w:tcW w:w="2318" w:type="dxa"/>
            <w:vMerge/>
            <w:tcBorders>
              <w:top w:val="nil"/>
            </w:tcBorders>
          </w:tcPr>
          <w:p>
            <w:pPr>
              <w:rPr>
                <w:sz w:val="2"/>
                <w:szCs w:val="2"/>
              </w:rPr>
            </w:pPr>
          </w:p>
        </w:tc>
      </w:tr>
    </w:tbl>
    <w:p>
      <w:pPr>
        <w:pStyle w:val="BodyText"/>
        <w:spacing w:before="2"/>
        <w:ind w:left="718"/>
      </w:pPr>
      <w:r>
        <w:rPr/>
        <w:t>④恶臭气体</w:t>
      </w:r>
    </w:p>
    <w:p>
      <w:pPr>
        <w:pStyle w:val="BodyText"/>
        <w:spacing w:line="364" w:lineRule="auto" w:before="158"/>
        <w:ind w:left="238" w:right="237" w:firstLine="480"/>
      </w:pPr>
      <w:r>
        <w:rPr>
          <w:rFonts w:ascii="Times New Roman" w:eastAsia="Times New Roman"/>
        </w:rPr>
        <w:t>1994 </w:t>
      </w:r>
      <w:r>
        <w:rPr>
          <w:spacing w:val="-30"/>
        </w:rPr>
        <w:t>年 </w:t>
      </w:r>
      <w:r>
        <w:rPr>
          <w:rFonts w:ascii="Times New Roman" w:eastAsia="Times New Roman"/>
        </w:rPr>
        <w:t>6 </w:t>
      </w:r>
      <w:r>
        <w:rPr>
          <w:spacing w:val="-30"/>
        </w:rPr>
        <w:t>月 </w:t>
      </w:r>
      <w:r>
        <w:rPr>
          <w:rFonts w:ascii="Times New Roman" w:eastAsia="Times New Roman"/>
        </w:rPr>
        <w:t>1 </w:t>
      </w:r>
      <w:r>
        <w:rPr>
          <w:spacing w:val="-12"/>
        </w:rPr>
        <w:t>日起立项的新、扩、改建设项目及其建成后投产的企业恶臭污染物执</w:t>
      </w:r>
      <w:r>
        <w:rPr/>
        <w:t>行《恶臭污染物排放标准》</w:t>
      </w:r>
      <w:r>
        <w:rPr>
          <w:rFonts w:ascii="Times New Roman" w:eastAsia="Times New Roman"/>
        </w:rPr>
        <w:t>(GB14554-93)</w:t>
      </w:r>
      <w:r>
        <w:rPr/>
        <w:t>中相应的二级标准值，详见下表。</w:t>
      </w:r>
    </w:p>
    <w:p>
      <w:pPr>
        <w:pStyle w:val="Heading4"/>
        <w:tabs>
          <w:tab w:pos="1704" w:val="left" w:leader="none"/>
        </w:tabs>
        <w:spacing w:before="144" w:after="28"/>
        <w:ind w:left="362"/>
        <w:jc w:val="center"/>
        <w:rPr>
          <w:rFonts w:ascii="Times New Roman" w:eastAsia="Times New Roman"/>
        </w:rPr>
      </w:pPr>
      <w:r>
        <w:rPr/>
        <w:t>表</w:t>
      </w:r>
      <w:r>
        <w:rPr>
          <w:spacing w:val="-60"/>
        </w:rPr>
        <w:t> </w:t>
      </w:r>
      <w:r>
        <w:rPr>
          <w:rFonts w:ascii="Times New Roman" w:eastAsia="Times New Roman"/>
        </w:rPr>
        <w:t>2.3.2-12</w:t>
        <w:tab/>
      </w:r>
      <w:r>
        <w:rPr/>
        <w:t>恶臭污染物厂界标准</w:t>
      </w:r>
      <w:r>
        <w:rPr>
          <w:spacing w:val="3"/>
        </w:rPr>
        <w:t>值</w:t>
      </w:r>
      <w:r>
        <w:rPr>
          <w:rFonts w:ascii="Times New Roman" w:eastAsia="Times New Roman"/>
        </w:rPr>
        <w:t>(GB14554-93)</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5"/>
        <w:gridCol w:w="2508"/>
        <w:gridCol w:w="2378"/>
        <w:gridCol w:w="2844"/>
      </w:tblGrid>
      <w:tr>
        <w:trPr>
          <w:trHeight w:val="282" w:hRule="atLeast"/>
        </w:trPr>
        <w:tc>
          <w:tcPr>
            <w:tcW w:w="1555" w:type="dxa"/>
            <w:vMerge w:val="restart"/>
          </w:tcPr>
          <w:p>
            <w:pPr>
              <w:pStyle w:val="TableParagraph"/>
              <w:spacing w:before="152"/>
              <w:ind w:left="145" w:right="136"/>
              <w:rPr>
                <w:b/>
                <w:sz w:val="21"/>
              </w:rPr>
            </w:pPr>
            <w:r>
              <w:rPr>
                <w:b/>
                <w:sz w:val="21"/>
              </w:rPr>
              <w:t>序号</w:t>
            </w:r>
          </w:p>
        </w:tc>
        <w:tc>
          <w:tcPr>
            <w:tcW w:w="2508" w:type="dxa"/>
            <w:vMerge w:val="restart"/>
          </w:tcPr>
          <w:p>
            <w:pPr>
              <w:pStyle w:val="TableParagraph"/>
              <w:spacing w:before="152"/>
              <w:ind w:left="832"/>
              <w:jc w:val="left"/>
              <w:rPr>
                <w:b/>
                <w:sz w:val="21"/>
              </w:rPr>
            </w:pPr>
            <w:r>
              <w:rPr>
                <w:b/>
                <w:sz w:val="21"/>
              </w:rPr>
              <w:t>控制项目</w:t>
            </w:r>
          </w:p>
        </w:tc>
        <w:tc>
          <w:tcPr>
            <w:tcW w:w="2378" w:type="dxa"/>
            <w:vMerge w:val="restart"/>
          </w:tcPr>
          <w:p>
            <w:pPr>
              <w:pStyle w:val="TableParagraph"/>
              <w:spacing w:before="152"/>
              <w:ind w:left="853" w:right="844"/>
              <w:rPr>
                <w:b/>
                <w:sz w:val="21"/>
              </w:rPr>
            </w:pPr>
            <w:r>
              <w:rPr>
                <w:b/>
                <w:sz w:val="21"/>
              </w:rPr>
              <w:t>单位</w:t>
            </w:r>
          </w:p>
        </w:tc>
        <w:tc>
          <w:tcPr>
            <w:tcW w:w="2844" w:type="dxa"/>
          </w:tcPr>
          <w:p>
            <w:pPr>
              <w:pStyle w:val="TableParagraph"/>
              <w:spacing w:line="257" w:lineRule="exact" w:before="6"/>
              <w:ind w:left="977" w:right="967"/>
              <w:rPr>
                <w:b/>
                <w:sz w:val="21"/>
              </w:rPr>
            </w:pPr>
            <w:r>
              <w:rPr>
                <w:b/>
                <w:sz w:val="21"/>
              </w:rPr>
              <w:t>二级</w:t>
            </w:r>
          </w:p>
        </w:tc>
      </w:tr>
      <w:tr>
        <w:trPr>
          <w:trHeight w:val="285" w:hRule="atLeast"/>
        </w:trPr>
        <w:tc>
          <w:tcPr>
            <w:tcW w:w="1555" w:type="dxa"/>
            <w:vMerge/>
            <w:tcBorders>
              <w:top w:val="nil"/>
            </w:tcBorders>
          </w:tcPr>
          <w:p>
            <w:pPr>
              <w:rPr>
                <w:sz w:val="2"/>
                <w:szCs w:val="2"/>
              </w:rPr>
            </w:pPr>
          </w:p>
        </w:tc>
        <w:tc>
          <w:tcPr>
            <w:tcW w:w="2508" w:type="dxa"/>
            <w:vMerge/>
            <w:tcBorders>
              <w:top w:val="nil"/>
            </w:tcBorders>
          </w:tcPr>
          <w:p>
            <w:pPr>
              <w:rPr>
                <w:sz w:val="2"/>
                <w:szCs w:val="2"/>
              </w:rPr>
            </w:pPr>
          </w:p>
        </w:tc>
        <w:tc>
          <w:tcPr>
            <w:tcW w:w="2378" w:type="dxa"/>
            <w:vMerge/>
            <w:tcBorders>
              <w:top w:val="nil"/>
            </w:tcBorders>
          </w:tcPr>
          <w:p>
            <w:pPr>
              <w:rPr>
                <w:sz w:val="2"/>
                <w:szCs w:val="2"/>
              </w:rPr>
            </w:pPr>
          </w:p>
        </w:tc>
        <w:tc>
          <w:tcPr>
            <w:tcW w:w="2844" w:type="dxa"/>
          </w:tcPr>
          <w:p>
            <w:pPr>
              <w:pStyle w:val="TableParagraph"/>
              <w:spacing w:line="257" w:lineRule="exact" w:before="8"/>
              <w:ind w:left="982" w:right="967"/>
              <w:rPr>
                <w:b/>
                <w:sz w:val="21"/>
              </w:rPr>
            </w:pPr>
            <w:r>
              <w:rPr>
                <w:b/>
                <w:sz w:val="21"/>
              </w:rPr>
              <w:t>新扩改建</w:t>
            </w:r>
          </w:p>
        </w:tc>
      </w:tr>
      <w:tr>
        <w:trPr>
          <w:trHeight w:val="282" w:hRule="atLeast"/>
        </w:trPr>
        <w:tc>
          <w:tcPr>
            <w:tcW w:w="1555" w:type="dxa"/>
          </w:tcPr>
          <w:p>
            <w:pPr>
              <w:pStyle w:val="TableParagraph"/>
              <w:spacing w:before="19"/>
              <w:ind w:left="9"/>
              <w:rPr>
                <w:rFonts w:ascii="Times New Roman"/>
                <w:sz w:val="21"/>
              </w:rPr>
            </w:pPr>
            <w:r>
              <w:rPr>
                <w:rFonts w:ascii="Times New Roman"/>
                <w:w w:val="100"/>
                <w:sz w:val="21"/>
              </w:rPr>
              <w:t>1</w:t>
            </w:r>
          </w:p>
        </w:tc>
        <w:tc>
          <w:tcPr>
            <w:tcW w:w="2508" w:type="dxa"/>
          </w:tcPr>
          <w:p>
            <w:pPr>
              <w:pStyle w:val="TableParagraph"/>
              <w:spacing w:line="257" w:lineRule="exact" w:before="5"/>
              <w:ind w:left="8"/>
              <w:rPr>
                <w:sz w:val="21"/>
              </w:rPr>
            </w:pPr>
            <w:r>
              <w:rPr>
                <w:w w:val="100"/>
                <w:sz w:val="21"/>
              </w:rPr>
              <w:t>氨</w:t>
            </w:r>
          </w:p>
        </w:tc>
        <w:tc>
          <w:tcPr>
            <w:tcW w:w="2378" w:type="dxa"/>
          </w:tcPr>
          <w:p>
            <w:pPr>
              <w:pStyle w:val="TableParagraph"/>
              <w:spacing w:before="15"/>
              <w:ind w:left="851" w:right="844"/>
              <w:rPr>
                <w:rFonts w:ascii="Times New Roman"/>
                <w:sz w:val="14"/>
              </w:rPr>
            </w:pPr>
            <w:r>
              <w:rPr>
                <w:rFonts w:ascii="Times New Roman"/>
                <w:sz w:val="21"/>
              </w:rPr>
              <w:t>mg/m</w:t>
            </w:r>
            <w:r>
              <w:rPr>
                <w:rFonts w:ascii="Times New Roman"/>
                <w:position w:val="7"/>
                <w:sz w:val="14"/>
              </w:rPr>
              <w:t>3</w:t>
            </w:r>
          </w:p>
        </w:tc>
        <w:tc>
          <w:tcPr>
            <w:tcW w:w="2844" w:type="dxa"/>
          </w:tcPr>
          <w:p>
            <w:pPr>
              <w:pStyle w:val="TableParagraph"/>
              <w:spacing w:before="19"/>
              <w:ind w:left="982" w:right="967"/>
              <w:rPr>
                <w:rFonts w:ascii="Times New Roman"/>
                <w:sz w:val="21"/>
              </w:rPr>
            </w:pPr>
            <w:r>
              <w:rPr>
                <w:rFonts w:ascii="Times New Roman"/>
                <w:sz w:val="21"/>
              </w:rPr>
              <w:t>1.5</w:t>
            </w:r>
          </w:p>
        </w:tc>
      </w:tr>
      <w:tr>
        <w:trPr>
          <w:trHeight w:val="285" w:hRule="atLeast"/>
        </w:trPr>
        <w:tc>
          <w:tcPr>
            <w:tcW w:w="1555" w:type="dxa"/>
          </w:tcPr>
          <w:p>
            <w:pPr>
              <w:pStyle w:val="TableParagraph"/>
              <w:spacing w:before="22"/>
              <w:ind w:left="9"/>
              <w:rPr>
                <w:rFonts w:ascii="Times New Roman"/>
                <w:sz w:val="21"/>
              </w:rPr>
            </w:pPr>
            <w:r>
              <w:rPr>
                <w:rFonts w:ascii="Times New Roman"/>
                <w:w w:val="100"/>
                <w:sz w:val="21"/>
              </w:rPr>
              <w:t>2</w:t>
            </w:r>
          </w:p>
        </w:tc>
        <w:tc>
          <w:tcPr>
            <w:tcW w:w="2508" w:type="dxa"/>
          </w:tcPr>
          <w:p>
            <w:pPr>
              <w:pStyle w:val="TableParagraph"/>
              <w:spacing w:line="257" w:lineRule="exact" w:before="8"/>
              <w:ind w:left="813" w:right="801"/>
              <w:rPr>
                <w:sz w:val="21"/>
              </w:rPr>
            </w:pPr>
            <w:r>
              <w:rPr>
                <w:sz w:val="21"/>
              </w:rPr>
              <w:t>硫化氢</w:t>
            </w:r>
          </w:p>
        </w:tc>
        <w:tc>
          <w:tcPr>
            <w:tcW w:w="2378" w:type="dxa"/>
          </w:tcPr>
          <w:p>
            <w:pPr>
              <w:pStyle w:val="TableParagraph"/>
              <w:spacing w:before="17"/>
              <w:ind w:left="851" w:right="844"/>
              <w:rPr>
                <w:rFonts w:ascii="Times New Roman"/>
                <w:sz w:val="14"/>
              </w:rPr>
            </w:pPr>
            <w:r>
              <w:rPr>
                <w:rFonts w:ascii="Times New Roman"/>
                <w:sz w:val="21"/>
              </w:rPr>
              <w:t>mg/m</w:t>
            </w:r>
            <w:r>
              <w:rPr>
                <w:rFonts w:ascii="Times New Roman"/>
                <w:position w:val="7"/>
                <w:sz w:val="14"/>
              </w:rPr>
              <w:t>3</w:t>
            </w:r>
          </w:p>
        </w:tc>
        <w:tc>
          <w:tcPr>
            <w:tcW w:w="2844" w:type="dxa"/>
          </w:tcPr>
          <w:p>
            <w:pPr>
              <w:pStyle w:val="TableParagraph"/>
              <w:spacing w:before="22"/>
              <w:ind w:left="982" w:right="967"/>
              <w:rPr>
                <w:rFonts w:ascii="Times New Roman"/>
                <w:sz w:val="21"/>
              </w:rPr>
            </w:pPr>
            <w:r>
              <w:rPr>
                <w:rFonts w:ascii="Times New Roman"/>
                <w:sz w:val="21"/>
              </w:rPr>
              <w:t>0.06</w:t>
            </w:r>
          </w:p>
        </w:tc>
      </w:tr>
      <w:tr>
        <w:trPr>
          <w:trHeight w:val="282" w:hRule="atLeast"/>
        </w:trPr>
        <w:tc>
          <w:tcPr>
            <w:tcW w:w="1555" w:type="dxa"/>
          </w:tcPr>
          <w:p>
            <w:pPr>
              <w:pStyle w:val="TableParagraph"/>
              <w:spacing w:before="19"/>
              <w:ind w:left="9"/>
              <w:rPr>
                <w:rFonts w:ascii="Times New Roman"/>
                <w:sz w:val="21"/>
              </w:rPr>
            </w:pPr>
            <w:r>
              <w:rPr>
                <w:rFonts w:ascii="Times New Roman"/>
                <w:w w:val="100"/>
                <w:sz w:val="21"/>
              </w:rPr>
              <w:t>3</w:t>
            </w:r>
          </w:p>
        </w:tc>
        <w:tc>
          <w:tcPr>
            <w:tcW w:w="2508" w:type="dxa"/>
          </w:tcPr>
          <w:p>
            <w:pPr>
              <w:pStyle w:val="TableParagraph"/>
              <w:spacing w:line="257" w:lineRule="exact" w:before="5"/>
              <w:ind w:left="813" w:right="804"/>
              <w:rPr>
                <w:sz w:val="21"/>
              </w:rPr>
            </w:pPr>
            <w:r>
              <w:rPr>
                <w:sz w:val="21"/>
              </w:rPr>
              <w:t>臭气浓度</w:t>
            </w:r>
          </w:p>
        </w:tc>
        <w:tc>
          <w:tcPr>
            <w:tcW w:w="2378" w:type="dxa"/>
          </w:tcPr>
          <w:p>
            <w:pPr>
              <w:pStyle w:val="TableParagraph"/>
              <w:spacing w:line="257" w:lineRule="exact" w:before="5"/>
              <w:ind w:left="853" w:right="844"/>
              <w:rPr>
                <w:sz w:val="21"/>
              </w:rPr>
            </w:pPr>
            <w:r>
              <w:rPr>
                <w:sz w:val="21"/>
              </w:rPr>
              <w:t>无量纲</w:t>
            </w:r>
          </w:p>
        </w:tc>
        <w:tc>
          <w:tcPr>
            <w:tcW w:w="2844" w:type="dxa"/>
          </w:tcPr>
          <w:p>
            <w:pPr>
              <w:pStyle w:val="TableParagraph"/>
              <w:spacing w:before="19"/>
              <w:ind w:left="977" w:right="967"/>
              <w:rPr>
                <w:rFonts w:ascii="Times New Roman"/>
                <w:sz w:val="21"/>
              </w:rPr>
            </w:pPr>
            <w:r>
              <w:rPr>
                <w:rFonts w:ascii="Times New Roman"/>
                <w:sz w:val="21"/>
              </w:rPr>
              <w:t>20</w:t>
            </w:r>
          </w:p>
        </w:tc>
      </w:tr>
    </w:tbl>
    <w:p>
      <w:pPr>
        <w:spacing w:after="0"/>
        <w:rPr>
          <w:rFonts w:ascii="Times New Roman"/>
          <w:sz w:val="21"/>
        </w:rPr>
        <w:sectPr>
          <w:pgSz w:w="11910" w:h="16840"/>
          <w:pgMar w:header="874" w:footer="944" w:top="1340" w:bottom="1140" w:left="1180" w:right="1180"/>
        </w:sectPr>
      </w:pPr>
    </w:p>
    <w:p>
      <w:pPr>
        <w:pStyle w:val="BodyText"/>
        <w:rPr>
          <w:rFonts w:ascii="Times New Roman"/>
          <w:b/>
          <w:sz w:val="12"/>
        </w:rPr>
      </w:pPr>
    </w:p>
    <w:p>
      <w:pPr>
        <w:tabs>
          <w:tab w:pos="1699" w:val="left" w:leader="none"/>
        </w:tabs>
        <w:spacing w:before="74" w:after="29"/>
        <w:ind w:left="357" w:right="0" w:firstLine="0"/>
        <w:jc w:val="center"/>
        <w:rPr>
          <w:rFonts w:ascii="Times New Roman" w:eastAsia="Times New Roman"/>
          <w:b/>
          <w:sz w:val="24"/>
        </w:rPr>
      </w:pPr>
      <w:r>
        <w:rPr>
          <w:b/>
          <w:sz w:val="24"/>
        </w:rPr>
        <w:t>表</w:t>
      </w:r>
      <w:r>
        <w:rPr>
          <w:b/>
          <w:spacing w:val="-60"/>
          <w:sz w:val="24"/>
        </w:rPr>
        <w:t> </w:t>
      </w:r>
      <w:r>
        <w:rPr>
          <w:rFonts w:ascii="Times New Roman" w:eastAsia="Times New Roman"/>
          <w:b/>
          <w:sz w:val="24"/>
        </w:rPr>
        <w:t>2.3.2-13</w:t>
        <w:tab/>
      </w:r>
      <w:r>
        <w:rPr>
          <w:b/>
          <w:sz w:val="24"/>
        </w:rPr>
        <w:t>恶臭污染物排放标准</w:t>
      </w:r>
      <w:r>
        <w:rPr>
          <w:b/>
          <w:spacing w:val="3"/>
          <w:sz w:val="24"/>
        </w:rPr>
        <w:t>值</w:t>
      </w:r>
      <w:r>
        <w:rPr>
          <w:rFonts w:ascii="Times New Roman" w:eastAsia="Times New Roman"/>
          <w:b/>
          <w:sz w:val="24"/>
        </w:rPr>
        <w:t>(GB14554-93)</w:t>
      </w:r>
    </w:p>
    <w:tbl>
      <w:tblPr>
        <w:tblW w:w="0" w:type="auto"/>
        <w:jc w:val="left"/>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1"/>
        <w:gridCol w:w="3410"/>
        <w:gridCol w:w="2945"/>
      </w:tblGrid>
      <w:tr>
        <w:trPr>
          <w:trHeight w:val="282" w:hRule="atLeast"/>
        </w:trPr>
        <w:tc>
          <w:tcPr>
            <w:tcW w:w="2861" w:type="dxa"/>
          </w:tcPr>
          <w:p>
            <w:pPr>
              <w:pStyle w:val="TableParagraph"/>
              <w:spacing w:line="257" w:lineRule="exact" w:before="5"/>
              <w:ind w:left="989" w:right="980"/>
              <w:rPr>
                <w:b/>
                <w:sz w:val="21"/>
              </w:rPr>
            </w:pPr>
            <w:r>
              <w:rPr>
                <w:b/>
                <w:sz w:val="21"/>
              </w:rPr>
              <w:t>污染物</w:t>
            </w:r>
          </w:p>
        </w:tc>
        <w:tc>
          <w:tcPr>
            <w:tcW w:w="3410" w:type="dxa"/>
          </w:tcPr>
          <w:p>
            <w:pPr>
              <w:pStyle w:val="TableParagraph"/>
              <w:spacing w:line="257" w:lineRule="exact" w:before="5"/>
              <w:ind w:left="1001" w:right="990"/>
              <w:rPr>
                <w:rFonts w:ascii="Times New Roman" w:eastAsia="Times New Roman"/>
                <w:b/>
                <w:sz w:val="21"/>
              </w:rPr>
            </w:pPr>
            <w:r>
              <w:rPr>
                <w:b/>
                <w:sz w:val="21"/>
              </w:rPr>
              <w:t>排气筒高度</w:t>
            </w:r>
            <w:r>
              <w:rPr>
                <w:rFonts w:ascii="Times New Roman" w:eastAsia="Times New Roman"/>
                <w:b/>
                <w:sz w:val="21"/>
              </w:rPr>
              <w:t>(m)</w:t>
            </w:r>
          </w:p>
        </w:tc>
        <w:tc>
          <w:tcPr>
            <w:tcW w:w="2945" w:type="dxa"/>
          </w:tcPr>
          <w:p>
            <w:pPr>
              <w:pStyle w:val="TableParagraph"/>
              <w:spacing w:line="257" w:lineRule="exact" w:before="5"/>
              <w:ind w:left="856" w:right="847"/>
              <w:rPr>
                <w:b/>
                <w:sz w:val="21"/>
              </w:rPr>
            </w:pPr>
            <w:r>
              <w:rPr>
                <w:b/>
                <w:sz w:val="21"/>
              </w:rPr>
              <w:t>排放量</w:t>
            </w:r>
          </w:p>
        </w:tc>
      </w:tr>
      <w:tr>
        <w:trPr>
          <w:trHeight w:val="285" w:hRule="atLeast"/>
        </w:trPr>
        <w:tc>
          <w:tcPr>
            <w:tcW w:w="2861" w:type="dxa"/>
          </w:tcPr>
          <w:p>
            <w:pPr>
              <w:pStyle w:val="TableParagraph"/>
              <w:spacing w:line="257" w:lineRule="exact" w:before="8"/>
              <w:ind w:left="991" w:right="980"/>
              <w:rPr>
                <w:sz w:val="21"/>
              </w:rPr>
            </w:pPr>
            <w:r>
              <w:rPr>
                <w:sz w:val="21"/>
              </w:rPr>
              <w:t>臭气浓度</w:t>
            </w:r>
          </w:p>
        </w:tc>
        <w:tc>
          <w:tcPr>
            <w:tcW w:w="3410" w:type="dxa"/>
          </w:tcPr>
          <w:p>
            <w:pPr>
              <w:pStyle w:val="TableParagraph"/>
              <w:spacing w:before="22"/>
              <w:ind w:left="998" w:right="990"/>
              <w:rPr>
                <w:rFonts w:ascii="Times New Roman"/>
                <w:sz w:val="21"/>
              </w:rPr>
            </w:pPr>
            <w:r>
              <w:rPr>
                <w:rFonts w:ascii="Times New Roman"/>
                <w:sz w:val="21"/>
              </w:rPr>
              <w:t>15</w:t>
            </w:r>
          </w:p>
        </w:tc>
        <w:tc>
          <w:tcPr>
            <w:tcW w:w="2945" w:type="dxa"/>
          </w:tcPr>
          <w:p>
            <w:pPr>
              <w:pStyle w:val="TableParagraph"/>
              <w:spacing w:line="257" w:lineRule="exact" w:before="8"/>
              <w:ind w:left="856" w:right="848"/>
              <w:rPr>
                <w:rFonts w:ascii="Times New Roman" w:eastAsia="Times New Roman"/>
                <w:sz w:val="21"/>
              </w:rPr>
            </w:pPr>
            <w:r>
              <w:rPr>
                <w:rFonts w:ascii="Times New Roman" w:eastAsia="Times New Roman"/>
                <w:sz w:val="21"/>
              </w:rPr>
              <w:t>2000(</w:t>
            </w:r>
            <w:r>
              <w:rPr>
                <w:sz w:val="21"/>
              </w:rPr>
              <w:t>无量纲</w:t>
            </w:r>
            <w:r>
              <w:rPr>
                <w:rFonts w:ascii="Times New Roman" w:eastAsia="Times New Roman"/>
                <w:sz w:val="21"/>
              </w:rPr>
              <w:t>)</w:t>
            </w:r>
          </w:p>
        </w:tc>
      </w:tr>
    </w:tbl>
    <w:p>
      <w:pPr>
        <w:spacing w:before="2"/>
        <w:ind w:left="711" w:right="0" w:firstLine="0"/>
        <w:jc w:val="left"/>
        <w:rPr>
          <w:b/>
          <w:sz w:val="24"/>
        </w:rPr>
      </w:pPr>
      <w:r>
        <w:rPr>
          <w:b/>
          <w:sz w:val="24"/>
        </w:rPr>
        <w:t>⑤现有企业大气污染物排放标准</w:t>
      </w:r>
    </w:p>
    <w:p>
      <w:pPr>
        <w:pStyle w:val="BodyText"/>
        <w:spacing w:line="362" w:lineRule="auto" w:before="161"/>
        <w:ind w:left="238" w:right="180" w:firstLine="480"/>
      </w:pPr>
      <w:r>
        <w:rPr/>
        <w:t>现有企业氮氧化物、硫酸雾、邻二甲苯、硝基苯类和苯胺类执行《大气污染物综合排放标准》（</w:t>
      </w:r>
      <w:r>
        <w:rPr>
          <w:rFonts w:ascii="Times New Roman" w:eastAsia="Times New Roman"/>
        </w:rPr>
        <w:t>GB16297-1996</w:t>
      </w:r>
      <w:r>
        <w:rPr/>
        <w:t>）中二级标准。</w:t>
      </w:r>
    </w:p>
    <w:p>
      <w:pPr>
        <w:pStyle w:val="Heading4"/>
        <w:tabs>
          <w:tab w:pos="4057" w:val="left" w:leader="none"/>
        </w:tabs>
        <w:spacing w:before="146" w:after="29"/>
        <w:ind w:left="2715"/>
      </w:pPr>
      <w:r>
        <w:rPr/>
        <w:t>表</w:t>
      </w:r>
      <w:r>
        <w:rPr>
          <w:spacing w:val="-59"/>
        </w:rPr>
        <w:t> </w:t>
      </w:r>
      <w:r>
        <w:rPr>
          <w:rFonts w:ascii="Times New Roman" w:eastAsia="Times New Roman"/>
        </w:rPr>
        <w:t>2.3.2-14</w:t>
        <w:tab/>
      </w:r>
      <w:r>
        <w:rPr/>
        <w:t>现有企业废气污染物排放</w:t>
      </w:r>
      <w:r>
        <w:rPr>
          <w:spacing w:val="3"/>
        </w:rPr>
        <w:t>标</w:t>
      </w:r>
      <w:r>
        <w:rPr/>
        <w:t>准</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9"/>
        <w:gridCol w:w="1842"/>
        <w:gridCol w:w="2024"/>
        <w:gridCol w:w="2230"/>
        <w:gridCol w:w="1664"/>
      </w:tblGrid>
      <w:tr>
        <w:trPr>
          <w:trHeight w:val="544" w:hRule="atLeast"/>
        </w:trPr>
        <w:tc>
          <w:tcPr>
            <w:tcW w:w="1529" w:type="dxa"/>
          </w:tcPr>
          <w:p>
            <w:pPr>
              <w:pStyle w:val="TableParagraph"/>
              <w:spacing w:before="135"/>
              <w:ind w:left="217" w:right="210"/>
              <w:rPr>
                <w:b/>
                <w:sz w:val="21"/>
              </w:rPr>
            </w:pPr>
            <w:r>
              <w:rPr>
                <w:b/>
                <w:sz w:val="21"/>
              </w:rPr>
              <w:t>污染物</w:t>
            </w:r>
          </w:p>
        </w:tc>
        <w:tc>
          <w:tcPr>
            <w:tcW w:w="1842" w:type="dxa"/>
          </w:tcPr>
          <w:p>
            <w:pPr>
              <w:pStyle w:val="TableParagraph"/>
              <w:spacing w:before="1"/>
              <w:ind w:left="163" w:right="153"/>
              <w:rPr>
                <w:b/>
                <w:sz w:val="21"/>
              </w:rPr>
            </w:pPr>
            <w:r>
              <w:rPr>
                <w:b/>
                <w:sz w:val="21"/>
              </w:rPr>
              <w:t>最高允许排放浓</w:t>
            </w:r>
          </w:p>
          <w:p>
            <w:pPr>
              <w:pStyle w:val="TableParagraph"/>
              <w:spacing w:line="252" w:lineRule="exact" w:before="2"/>
              <w:ind w:left="161" w:right="153"/>
              <w:rPr>
                <w:b/>
                <w:sz w:val="21"/>
              </w:rPr>
            </w:pPr>
            <w:r>
              <w:rPr>
                <w:b/>
                <w:sz w:val="21"/>
              </w:rPr>
              <w:t>度（</w:t>
            </w:r>
            <w:r>
              <w:rPr>
                <w:rFonts w:ascii="Times New Roman" w:eastAsia="Times New Roman"/>
                <w:b/>
                <w:sz w:val="21"/>
              </w:rPr>
              <w:t>mg/m</w:t>
            </w:r>
            <w:r>
              <w:rPr>
                <w:rFonts w:ascii="Times New Roman" w:eastAsia="Times New Roman"/>
                <w:b/>
                <w:position w:val="7"/>
                <w:sz w:val="14"/>
              </w:rPr>
              <w:t>3</w:t>
            </w:r>
            <w:r>
              <w:rPr>
                <w:b/>
                <w:sz w:val="21"/>
              </w:rPr>
              <w:t>）</w:t>
            </w:r>
          </w:p>
        </w:tc>
        <w:tc>
          <w:tcPr>
            <w:tcW w:w="2024" w:type="dxa"/>
          </w:tcPr>
          <w:p>
            <w:pPr>
              <w:pStyle w:val="TableParagraph"/>
              <w:spacing w:before="1"/>
              <w:ind w:left="148" w:right="139"/>
              <w:rPr>
                <w:b/>
                <w:sz w:val="21"/>
              </w:rPr>
            </w:pPr>
            <w:r>
              <w:rPr>
                <w:b/>
                <w:sz w:val="21"/>
              </w:rPr>
              <w:t>最高允许排放速率</w:t>
            </w:r>
          </w:p>
          <w:p>
            <w:pPr>
              <w:pStyle w:val="TableParagraph"/>
              <w:spacing w:line="252" w:lineRule="exact" w:before="2"/>
              <w:ind w:left="146" w:right="139"/>
              <w:rPr>
                <w:b/>
                <w:sz w:val="21"/>
              </w:rPr>
            </w:pPr>
            <w:r>
              <w:rPr>
                <w:b/>
                <w:sz w:val="21"/>
              </w:rPr>
              <w:t>（</w:t>
            </w:r>
            <w:r>
              <w:rPr>
                <w:rFonts w:ascii="Times New Roman" w:eastAsia="Times New Roman"/>
                <w:b/>
                <w:sz w:val="21"/>
              </w:rPr>
              <w:t>kg/h</w:t>
            </w:r>
            <w:r>
              <w:rPr>
                <w:b/>
                <w:sz w:val="21"/>
              </w:rPr>
              <w:t>）</w:t>
            </w:r>
          </w:p>
        </w:tc>
        <w:tc>
          <w:tcPr>
            <w:tcW w:w="2230" w:type="dxa"/>
          </w:tcPr>
          <w:p>
            <w:pPr>
              <w:pStyle w:val="TableParagraph"/>
              <w:spacing w:before="1"/>
              <w:ind w:left="104"/>
              <w:jc w:val="left"/>
              <w:rPr>
                <w:b/>
                <w:sz w:val="21"/>
              </w:rPr>
            </w:pPr>
            <w:r>
              <w:rPr>
                <w:b/>
                <w:sz w:val="21"/>
              </w:rPr>
              <w:t>无组织监控浓度（周界</w:t>
            </w:r>
          </w:p>
          <w:p>
            <w:pPr>
              <w:pStyle w:val="TableParagraph"/>
              <w:spacing w:line="252" w:lineRule="exact" w:before="2"/>
              <w:ind w:left="104" w:right="-15"/>
              <w:jc w:val="left"/>
              <w:rPr>
                <w:b/>
                <w:sz w:val="21"/>
              </w:rPr>
            </w:pPr>
            <w:r>
              <w:rPr>
                <w:b/>
                <w:w w:val="100"/>
                <w:sz w:val="21"/>
              </w:rPr>
              <w:t>浓度最高点</w:t>
            </w:r>
            <w:r>
              <w:rPr>
                <w:b/>
                <w:spacing w:val="-152"/>
                <w:w w:val="100"/>
                <w:sz w:val="21"/>
              </w:rPr>
              <w:t>）</w:t>
            </w:r>
            <w:r>
              <w:rPr>
                <w:b/>
                <w:w w:val="100"/>
                <w:sz w:val="21"/>
              </w:rPr>
              <w:t>（</w:t>
            </w:r>
            <w:r>
              <w:rPr>
                <w:rFonts w:ascii="Times New Roman" w:eastAsia="Times New Roman"/>
                <w:b/>
                <w:spacing w:val="-1"/>
                <w:w w:val="100"/>
                <w:sz w:val="21"/>
              </w:rPr>
              <w:t>m</w:t>
            </w:r>
            <w:r>
              <w:rPr>
                <w:rFonts w:ascii="Times New Roman" w:eastAsia="Times New Roman"/>
                <w:b/>
                <w:w w:val="100"/>
                <w:sz w:val="21"/>
              </w:rPr>
              <w:t>g</w:t>
            </w:r>
            <w:r>
              <w:rPr>
                <w:rFonts w:ascii="Times New Roman" w:eastAsia="Times New Roman"/>
                <w:b/>
                <w:spacing w:val="-4"/>
                <w:w w:val="100"/>
                <w:sz w:val="21"/>
              </w:rPr>
              <w:t>/</w:t>
            </w:r>
            <w:r>
              <w:rPr>
                <w:rFonts w:ascii="Times New Roman" w:eastAsia="Times New Roman"/>
                <w:b/>
                <w:spacing w:val="1"/>
                <w:w w:val="100"/>
                <w:sz w:val="21"/>
              </w:rPr>
              <w:t>m</w:t>
            </w:r>
            <w:r>
              <w:rPr>
                <w:rFonts w:ascii="Times New Roman" w:eastAsia="Times New Roman"/>
                <w:b/>
                <w:spacing w:val="-3"/>
                <w:w w:val="99"/>
                <w:position w:val="7"/>
                <w:sz w:val="14"/>
              </w:rPr>
              <w:t>3</w:t>
            </w:r>
            <w:r>
              <w:rPr>
                <w:b/>
                <w:w w:val="100"/>
                <w:sz w:val="21"/>
              </w:rPr>
              <w:t>）</w:t>
            </w:r>
          </w:p>
        </w:tc>
        <w:tc>
          <w:tcPr>
            <w:tcW w:w="1664" w:type="dxa"/>
          </w:tcPr>
          <w:p>
            <w:pPr>
              <w:pStyle w:val="TableParagraph"/>
              <w:spacing w:before="135"/>
              <w:ind w:left="409"/>
              <w:jc w:val="left"/>
              <w:rPr>
                <w:b/>
                <w:sz w:val="21"/>
              </w:rPr>
            </w:pPr>
            <w:r>
              <w:rPr>
                <w:b/>
                <w:sz w:val="21"/>
              </w:rPr>
              <w:t>执行标准</w:t>
            </w:r>
          </w:p>
        </w:tc>
      </w:tr>
      <w:tr>
        <w:trPr>
          <w:trHeight w:val="282" w:hRule="atLeast"/>
        </w:trPr>
        <w:tc>
          <w:tcPr>
            <w:tcW w:w="1529" w:type="dxa"/>
          </w:tcPr>
          <w:p>
            <w:pPr>
              <w:pStyle w:val="TableParagraph"/>
              <w:spacing w:line="257" w:lineRule="exact" w:before="5"/>
              <w:ind w:left="219" w:right="208"/>
              <w:rPr>
                <w:sz w:val="21"/>
              </w:rPr>
            </w:pPr>
            <w:r>
              <w:rPr>
                <w:sz w:val="21"/>
              </w:rPr>
              <w:t>硫酸雾</w:t>
            </w:r>
          </w:p>
        </w:tc>
        <w:tc>
          <w:tcPr>
            <w:tcW w:w="1842" w:type="dxa"/>
          </w:tcPr>
          <w:p>
            <w:pPr>
              <w:pStyle w:val="TableParagraph"/>
              <w:spacing w:before="19"/>
              <w:ind w:left="813"/>
              <w:jc w:val="left"/>
              <w:rPr>
                <w:rFonts w:ascii="Times New Roman"/>
                <w:sz w:val="21"/>
              </w:rPr>
            </w:pPr>
            <w:r>
              <w:rPr>
                <w:rFonts w:ascii="Times New Roman"/>
                <w:sz w:val="21"/>
              </w:rPr>
              <w:t>45</w:t>
            </w:r>
          </w:p>
        </w:tc>
        <w:tc>
          <w:tcPr>
            <w:tcW w:w="2024" w:type="dxa"/>
          </w:tcPr>
          <w:p>
            <w:pPr>
              <w:pStyle w:val="TableParagraph"/>
              <w:spacing w:before="19"/>
              <w:ind w:right="868"/>
              <w:jc w:val="right"/>
              <w:rPr>
                <w:rFonts w:ascii="Times New Roman"/>
                <w:sz w:val="21"/>
              </w:rPr>
            </w:pPr>
            <w:r>
              <w:rPr>
                <w:rFonts w:ascii="Times New Roman"/>
                <w:sz w:val="21"/>
              </w:rPr>
              <w:t>1.5</w:t>
            </w:r>
          </w:p>
        </w:tc>
        <w:tc>
          <w:tcPr>
            <w:tcW w:w="2230" w:type="dxa"/>
          </w:tcPr>
          <w:p>
            <w:pPr>
              <w:pStyle w:val="TableParagraph"/>
              <w:spacing w:before="19"/>
              <w:ind w:left="855" w:right="851"/>
              <w:rPr>
                <w:rFonts w:ascii="Times New Roman"/>
                <w:sz w:val="21"/>
              </w:rPr>
            </w:pPr>
            <w:r>
              <w:rPr>
                <w:rFonts w:ascii="Times New Roman"/>
                <w:sz w:val="21"/>
              </w:rPr>
              <w:t>1.2</w:t>
            </w:r>
          </w:p>
        </w:tc>
        <w:tc>
          <w:tcPr>
            <w:tcW w:w="1664" w:type="dxa"/>
            <w:vMerge w:val="restart"/>
          </w:tcPr>
          <w:p>
            <w:pPr>
              <w:pStyle w:val="TableParagraph"/>
              <w:jc w:val="left"/>
              <w:rPr>
                <w:b/>
                <w:sz w:val="22"/>
              </w:rPr>
            </w:pPr>
          </w:p>
          <w:p>
            <w:pPr>
              <w:pStyle w:val="TableParagraph"/>
              <w:jc w:val="left"/>
              <w:rPr>
                <w:b/>
                <w:sz w:val="22"/>
              </w:rPr>
            </w:pPr>
          </w:p>
          <w:p>
            <w:pPr>
              <w:pStyle w:val="TableParagraph"/>
              <w:spacing w:before="193"/>
              <w:ind w:left="175"/>
              <w:jc w:val="left"/>
              <w:rPr>
                <w:rFonts w:ascii="Times New Roman"/>
                <w:sz w:val="21"/>
              </w:rPr>
            </w:pPr>
            <w:r>
              <w:rPr>
                <w:rFonts w:ascii="Times New Roman"/>
                <w:sz w:val="21"/>
              </w:rPr>
              <w:t>GB16297-1996</w:t>
            </w:r>
          </w:p>
        </w:tc>
      </w:tr>
      <w:tr>
        <w:trPr>
          <w:trHeight w:val="285" w:hRule="atLeast"/>
        </w:trPr>
        <w:tc>
          <w:tcPr>
            <w:tcW w:w="1529" w:type="dxa"/>
          </w:tcPr>
          <w:p>
            <w:pPr>
              <w:pStyle w:val="TableParagraph"/>
              <w:spacing w:line="257" w:lineRule="exact" w:before="8"/>
              <w:ind w:left="219" w:right="210"/>
              <w:rPr>
                <w:sz w:val="21"/>
              </w:rPr>
            </w:pPr>
            <w:r>
              <w:rPr>
                <w:sz w:val="21"/>
              </w:rPr>
              <w:t>氮氧化物</w:t>
            </w:r>
          </w:p>
        </w:tc>
        <w:tc>
          <w:tcPr>
            <w:tcW w:w="1842" w:type="dxa"/>
          </w:tcPr>
          <w:p>
            <w:pPr>
              <w:pStyle w:val="TableParagraph"/>
              <w:spacing w:before="22"/>
              <w:ind w:left="762"/>
              <w:jc w:val="left"/>
              <w:rPr>
                <w:rFonts w:ascii="Times New Roman"/>
                <w:sz w:val="21"/>
              </w:rPr>
            </w:pPr>
            <w:r>
              <w:rPr>
                <w:rFonts w:ascii="Times New Roman"/>
                <w:sz w:val="21"/>
              </w:rPr>
              <w:t>240</w:t>
            </w:r>
          </w:p>
        </w:tc>
        <w:tc>
          <w:tcPr>
            <w:tcW w:w="2024" w:type="dxa"/>
          </w:tcPr>
          <w:p>
            <w:pPr>
              <w:pStyle w:val="TableParagraph"/>
              <w:spacing w:before="22"/>
              <w:ind w:right="815"/>
              <w:jc w:val="right"/>
              <w:rPr>
                <w:rFonts w:ascii="Times New Roman"/>
                <w:sz w:val="21"/>
              </w:rPr>
            </w:pPr>
            <w:r>
              <w:rPr>
                <w:rFonts w:ascii="Times New Roman"/>
                <w:sz w:val="21"/>
              </w:rPr>
              <w:t>0.77</w:t>
            </w:r>
          </w:p>
        </w:tc>
        <w:tc>
          <w:tcPr>
            <w:tcW w:w="2230" w:type="dxa"/>
          </w:tcPr>
          <w:p>
            <w:pPr>
              <w:pStyle w:val="TableParagraph"/>
              <w:spacing w:before="22"/>
              <w:ind w:left="855" w:right="851"/>
              <w:rPr>
                <w:rFonts w:ascii="Times New Roman"/>
                <w:sz w:val="21"/>
              </w:rPr>
            </w:pPr>
            <w:r>
              <w:rPr>
                <w:rFonts w:ascii="Times New Roman"/>
                <w:sz w:val="21"/>
              </w:rPr>
              <w:t>0.12</w:t>
            </w:r>
          </w:p>
        </w:tc>
        <w:tc>
          <w:tcPr>
            <w:tcW w:w="1664" w:type="dxa"/>
            <w:vMerge/>
            <w:tcBorders>
              <w:top w:val="nil"/>
            </w:tcBorders>
          </w:tcPr>
          <w:p>
            <w:pPr>
              <w:rPr>
                <w:sz w:val="2"/>
                <w:szCs w:val="2"/>
              </w:rPr>
            </w:pPr>
          </w:p>
        </w:tc>
      </w:tr>
      <w:tr>
        <w:trPr>
          <w:trHeight w:val="283" w:hRule="atLeast"/>
        </w:trPr>
        <w:tc>
          <w:tcPr>
            <w:tcW w:w="1529" w:type="dxa"/>
          </w:tcPr>
          <w:p>
            <w:pPr>
              <w:pStyle w:val="TableParagraph"/>
              <w:spacing w:line="257" w:lineRule="exact" w:before="6"/>
              <w:ind w:left="219" w:right="208"/>
              <w:rPr>
                <w:sz w:val="21"/>
              </w:rPr>
            </w:pPr>
            <w:r>
              <w:rPr>
                <w:sz w:val="21"/>
              </w:rPr>
              <w:t>苯胺类</w:t>
            </w:r>
          </w:p>
        </w:tc>
        <w:tc>
          <w:tcPr>
            <w:tcW w:w="1842" w:type="dxa"/>
          </w:tcPr>
          <w:p>
            <w:pPr>
              <w:pStyle w:val="TableParagraph"/>
              <w:spacing w:before="20"/>
              <w:ind w:left="813"/>
              <w:jc w:val="left"/>
              <w:rPr>
                <w:rFonts w:ascii="Times New Roman"/>
                <w:sz w:val="21"/>
              </w:rPr>
            </w:pPr>
            <w:r>
              <w:rPr>
                <w:rFonts w:ascii="Times New Roman"/>
                <w:sz w:val="21"/>
              </w:rPr>
              <w:t>20</w:t>
            </w:r>
          </w:p>
        </w:tc>
        <w:tc>
          <w:tcPr>
            <w:tcW w:w="2024" w:type="dxa"/>
          </w:tcPr>
          <w:p>
            <w:pPr>
              <w:pStyle w:val="TableParagraph"/>
              <w:spacing w:before="20"/>
              <w:ind w:right="815"/>
              <w:jc w:val="right"/>
              <w:rPr>
                <w:rFonts w:ascii="Times New Roman"/>
                <w:sz w:val="21"/>
              </w:rPr>
            </w:pPr>
            <w:r>
              <w:rPr>
                <w:rFonts w:ascii="Times New Roman"/>
                <w:sz w:val="21"/>
              </w:rPr>
              <w:t>0.52</w:t>
            </w:r>
          </w:p>
        </w:tc>
        <w:tc>
          <w:tcPr>
            <w:tcW w:w="2230" w:type="dxa"/>
          </w:tcPr>
          <w:p>
            <w:pPr>
              <w:pStyle w:val="TableParagraph"/>
              <w:spacing w:before="20"/>
              <w:ind w:left="855" w:right="851"/>
              <w:rPr>
                <w:rFonts w:ascii="Times New Roman"/>
                <w:sz w:val="21"/>
              </w:rPr>
            </w:pPr>
            <w:r>
              <w:rPr>
                <w:rFonts w:ascii="Times New Roman"/>
                <w:sz w:val="21"/>
              </w:rPr>
              <w:t>0.4</w:t>
            </w:r>
          </w:p>
        </w:tc>
        <w:tc>
          <w:tcPr>
            <w:tcW w:w="1664" w:type="dxa"/>
            <w:vMerge/>
            <w:tcBorders>
              <w:top w:val="nil"/>
            </w:tcBorders>
          </w:tcPr>
          <w:p>
            <w:pPr>
              <w:rPr>
                <w:sz w:val="2"/>
                <w:szCs w:val="2"/>
              </w:rPr>
            </w:pPr>
          </w:p>
        </w:tc>
      </w:tr>
      <w:tr>
        <w:trPr>
          <w:trHeight w:val="285" w:hRule="atLeast"/>
        </w:trPr>
        <w:tc>
          <w:tcPr>
            <w:tcW w:w="1529" w:type="dxa"/>
          </w:tcPr>
          <w:p>
            <w:pPr>
              <w:pStyle w:val="TableParagraph"/>
              <w:spacing w:line="257" w:lineRule="exact" w:before="8"/>
              <w:ind w:left="219" w:right="210"/>
              <w:rPr>
                <w:sz w:val="21"/>
              </w:rPr>
            </w:pPr>
            <w:r>
              <w:rPr>
                <w:sz w:val="21"/>
              </w:rPr>
              <w:t>邻二甲苯</w:t>
            </w:r>
          </w:p>
        </w:tc>
        <w:tc>
          <w:tcPr>
            <w:tcW w:w="1842" w:type="dxa"/>
          </w:tcPr>
          <w:p>
            <w:pPr>
              <w:pStyle w:val="TableParagraph"/>
              <w:spacing w:before="22"/>
              <w:ind w:left="813"/>
              <w:jc w:val="left"/>
              <w:rPr>
                <w:rFonts w:ascii="Times New Roman"/>
                <w:sz w:val="21"/>
              </w:rPr>
            </w:pPr>
            <w:r>
              <w:rPr>
                <w:rFonts w:ascii="Times New Roman"/>
                <w:sz w:val="21"/>
              </w:rPr>
              <w:t>70</w:t>
            </w:r>
          </w:p>
        </w:tc>
        <w:tc>
          <w:tcPr>
            <w:tcW w:w="2024" w:type="dxa"/>
          </w:tcPr>
          <w:p>
            <w:pPr>
              <w:pStyle w:val="TableParagraph"/>
              <w:spacing w:before="22"/>
              <w:ind w:right="868"/>
              <w:jc w:val="right"/>
              <w:rPr>
                <w:rFonts w:ascii="Times New Roman"/>
                <w:sz w:val="21"/>
              </w:rPr>
            </w:pPr>
            <w:r>
              <w:rPr>
                <w:rFonts w:ascii="Times New Roman"/>
                <w:sz w:val="21"/>
              </w:rPr>
              <w:t>1.0</w:t>
            </w:r>
          </w:p>
        </w:tc>
        <w:tc>
          <w:tcPr>
            <w:tcW w:w="2230" w:type="dxa"/>
          </w:tcPr>
          <w:p>
            <w:pPr>
              <w:pStyle w:val="TableParagraph"/>
              <w:spacing w:before="22"/>
              <w:ind w:left="855" w:right="851"/>
              <w:rPr>
                <w:rFonts w:ascii="Times New Roman"/>
                <w:sz w:val="21"/>
              </w:rPr>
            </w:pPr>
            <w:r>
              <w:rPr>
                <w:rFonts w:ascii="Times New Roman"/>
                <w:sz w:val="21"/>
              </w:rPr>
              <w:t>1.2</w:t>
            </w:r>
          </w:p>
        </w:tc>
        <w:tc>
          <w:tcPr>
            <w:tcW w:w="1664" w:type="dxa"/>
            <w:vMerge/>
            <w:tcBorders>
              <w:top w:val="nil"/>
            </w:tcBorders>
          </w:tcPr>
          <w:p>
            <w:pPr>
              <w:rPr>
                <w:sz w:val="2"/>
                <w:szCs w:val="2"/>
              </w:rPr>
            </w:pPr>
          </w:p>
        </w:tc>
      </w:tr>
      <w:tr>
        <w:trPr>
          <w:trHeight w:val="282" w:hRule="atLeast"/>
        </w:trPr>
        <w:tc>
          <w:tcPr>
            <w:tcW w:w="1529" w:type="dxa"/>
          </w:tcPr>
          <w:p>
            <w:pPr>
              <w:pStyle w:val="TableParagraph"/>
              <w:spacing w:line="257" w:lineRule="exact" w:before="6"/>
              <w:ind w:left="219" w:right="208"/>
              <w:rPr>
                <w:sz w:val="21"/>
              </w:rPr>
            </w:pPr>
            <w:r>
              <w:rPr>
                <w:sz w:val="21"/>
              </w:rPr>
              <w:t>硝基苯</w:t>
            </w:r>
          </w:p>
        </w:tc>
        <w:tc>
          <w:tcPr>
            <w:tcW w:w="1842" w:type="dxa"/>
          </w:tcPr>
          <w:p>
            <w:pPr>
              <w:pStyle w:val="TableParagraph"/>
              <w:spacing w:before="19"/>
              <w:ind w:left="813"/>
              <w:jc w:val="left"/>
              <w:rPr>
                <w:rFonts w:ascii="Times New Roman"/>
                <w:sz w:val="21"/>
              </w:rPr>
            </w:pPr>
            <w:r>
              <w:rPr>
                <w:rFonts w:ascii="Times New Roman"/>
                <w:sz w:val="21"/>
              </w:rPr>
              <w:t>16</w:t>
            </w:r>
          </w:p>
        </w:tc>
        <w:tc>
          <w:tcPr>
            <w:tcW w:w="2024" w:type="dxa"/>
          </w:tcPr>
          <w:p>
            <w:pPr>
              <w:pStyle w:val="TableParagraph"/>
              <w:spacing w:before="19"/>
              <w:ind w:right="815"/>
              <w:jc w:val="right"/>
              <w:rPr>
                <w:rFonts w:ascii="Times New Roman"/>
                <w:sz w:val="21"/>
              </w:rPr>
            </w:pPr>
            <w:r>
              <w:rPr>
                <w:rFonts w:ascii="Times New Roman"/>
                <w:sz w:val="21"/>
              </w:rPr>
              <w:t>0.05</w:t>
            </w:r>
          </w:p>
        </w:tc>
        <w:tc>
          <w:tcPr>
            <w:tcW w:w="2230" w:type="dxa"/>
          </w:tcPr>
          <w:p>
            <w:pPr>
              <w:pStyle w:val="TableParagraph"/>
              <w:spacing w:before="19"/>
              <w:ind w:left="855" w:right="851"/>
              <w:rPr>
                <w:rFonts w:ascii="Times New Roman"/>
                <w:sz w:val="21"/>
              </w:rPr>
            </w:pPr>
            <w:r>
              <w:rPr>
                <w:rFonts w:ascii="Times New Roman"/>
                <w:sz w:val="21"/>
              </w:rPr>
              <w:t>0.040</w:t>
            </w:r>
          </w:p>
        </w:tc>
        <w:tc>
          <w:tcPr>
            <w:tcW w:w="1664" w:type="dxa"/>
            <w:vMerge/>
            <w:tcBorders>
              <w:top w:val="nil"/>
            </w:tcBorders>
          </w:tcPr>
          <w:p>
            <w:pPr>
              <w:rPr>
                <w:sz w:val="2"/>
                <w:szCs w:val="2"/>
              </w:rPr>
            </w:pPr>
          </w:p>
        </w:tc>
      </w:tr>
      <w:tr>
        <w:trPr>
          <w:trHeight w:val="285" w:hRule="atLeast"/>
        </w:trPr>
        <w:tc>
          <w:tcPr>
            <w:tcW w:w="1529" w:type="dxa"/>
          </w:tcPr>
          <w:p>
            <w:pPr>
              <w:pStyle w:val="TableParagraph"/>
              <w:spacing w:line="257" w:lineRule="exact" w:before="8"/>
              <w:ind w:left="219" w:right="210"/>
              <w:rPr>
                <w:sz w:val="21"/>
              </w:rPr>
            </w:pPr>
            <w:r>
              <w:rPr>
                <w:sz w:val="21"/>
              </w:rPr>
              <w:t>非甲烷总烃</w:t>
            </w:r>
          </w:p>
        </w:tc>
        <w:tc>
          <w:tcPr>
            <w:tcW w:w="1842" w:type="dxa"/>
          </w:tcPr>
          <w:p>
            <w:pPr>
              <w:pStyle w:val="TableParagraph"/>
              <w:spacing w:before="22"/>
              <w:ind w:left="762"/>
              <w:jc w:val="left"/>
              <w:rPr>
                <w:rFonts w:ascii="Times New Roman"/>
                <w:sz w:val="21"/>
              </w:rPr>
            </w:pPr>
            <w:r>
              <w:rPr>
                <w:rFonts w:ascii="Times New Roman"/>
                <w:sz w:val="21"/>
              </w:rPr>
              <w:t>120</w:t>
            </w:r>
          </w:p>
        </w:tc>
        <w:tc>
          <w:tcPr>
            <w:tcW w:w="2024" w:type="dxa"/>
          </w:tcPr>
          <w:p>
            <w:pPr>
              <w:pStyle w:val="TableParagraph"/>
              <w:spacing w:before="22"/>
              <w:ind w:left="143" w:right="139"/>
              <w:rPr>
                <w:rFonts w:ascii="Times New Roman"/>
                <w:sz w:val="21"/>
              </w:rPr>
            </w:pPr>
            <w:r>
              <w:rPr>
                <w:rFonts w:ascii="Times New Roman"/>
                <w:sz w:val="21"/>
              </w:rPr>
              <w:t>10</w:t>
            </w:r>
          </w:p>
        </w:tc>
        <w:tc>
          <w:tcPr>
            <w:tcW w:w="2230" w:type="dxa"/>
          </w:tcPr>
          <w:p>
            <w:pPr>
              <w:pStyle w:val="TableParagraph"/>
              <w:spacing w:before="22"/>
              <w:ind w:left="855" w:right="851"/>
              <w:rPr>
                <w:rFonts w:ascii="Times New Roman"/>
                <w:sz w:val="21"/>
              </w:rPr>
            </w:pPr>
            <w:r>
              <w:rPr>
                <w:rFonts w:ascii="Times New Roman"/>
                <w:sz w:val="21"/>
              </w:rPr>
              <w:t>4.0</w:t>
            </w:r>
          </w:p>
        </w:tc>
        <w:tc>
          <w:tcPr>
            <w:tcW w:w="1664" w:type="dxa"/>
            <w:vMerge/>
            <w:tcBorders>
              <w:top w:val="nil"/>
            </w:tcBorders>
          </w:tcPr>
          <w:p>
            <w:pPr>
              <w:rPr>
                <w:sz w:val="2"/>
                <w:szCs w:val="2"/>
              </w:rPr>
            </w:pPr>
          </w:p>
        </w:tc>
      </w:tr>
    </w:tbl>
    <w:p>
      <w:pPr>
        <w:pStyle w:val="BodyText"/>
        <w:spacing w:line="364" w:lineRule="auto" w:before="2"/>
        <w:ind w:left="238" w:right="112" w:firstLine="480"/>
        <w:jc w:val="both"/>
      </w:pPr>
      <w:r>
        <w:rPr/>
        <w:t>根据《关于开展绍兴市燃气锅炉低氮改造工作的通知》（绍市环发</w:t>
      </w:r>
      <w:r>
        <w:rPr>
          <w:rFonts w:ascii="Times New Roman" w:hAnsi="Times New Roman" w:eastAsia="Times New Roman"/>
        </w:rPr>
        <w:t>[2019]37 </w:t>
      </w:r>
      <w:r>
        <w:rPr/>
        <w:t>号）： “</w:t>
      </w:r>
      <w:r>
        <w:rPr>
          <w:rFonts w:ascii="Times New Roman" w:hAnsi="Times New Roman" w:eastAsia="Times New Roman"/>
        </w:rPr>
        <w:t>NOx </w:t>
      </w:r>
      <w:r>
        <w:rPr>
          <w:spacing w:val="-8"/>
        </w:rPr>
        <w:t>排放浓度稳定在 </w:t>
      </w:r>
      <w:r>
        <w:rPr>
          <w:rFonts w:ascii="Times New Roman" w:hAnsi="Times New Roman" w:eastAsia="Times New Roman"/>
        </w:rPr>
        <w:t>50mg/m</w:t>
      </w:r>
      <w:r>
        <w:rPr>
          <w:rFonts w:ascii="Times New Roman" w:hAnsi="Times New Roman" w:eastAsia="Times New Roman"/>
          <w:position w:val="9"/>
          <w:sz w:val="16"/>
        </w:rPr>
        <w:t>3 </w:t>
      </w:r>
      <w:r>
        <w:rPr>
          <w:spacing w:val="-11"/>
        </w:rPr>
        <w:t>以下，其他污染物满足 </w:t>
      </w:r>
      <w:r>
        <w:rPr>
          <w:rFonts w:ascii="Times New Roman" w:hAnsi="Times New Roman" w:eastAsia="Times New Roman"/>
        </w:rPr>
        <w:t>GB13223-2011</w:t>
      </w:r>
      <w:r>
        <w:rPr>
          <w:spacing w:val="-22"/>
        </w:rPr>
        <w:t>、</w:t>
      </w:r>
      <w:r>
        <w:rPr>
          <w:rFonts w:ascii="Times New Roman" w:hAnsi="Times New Roman" w:eastAsia="Times New Roman"/>
        </w:rPr>
        <w:t>GB13271-2014 </w:t>
      </w:r>
      <w:r>
        <w:rPr>
          <w:spacing w:val="-10"/>
          <w:position w:val="2"/>
        </w:rPr>
        <w:t>要求。”现有企业天然气燃烧废气中颗粒物、</w:t>
      </w:r>
      <w:r>
        <w:rPr>
          <w:rFonts w:ascii="Times New Roman" w:hAnsi="Times New Roman" w:eastAsia="Times New Roman"/>
          <w:position w:val="2"/>
        </w:rPr>
        <w:t>SO</w:t>
      </w:r>
      <w:r>
        <w:rPr>
          <w:rFonts w:ascii="Times New Roman" w:hAnsi="Times New Roman" w:eastAsia="Times New Roman"/>
          <w:sz w:val="16"/>
        </w:rPr>
        <w:t>2 </w:t>
      </w:r>
      <w:r>
        <w:rPr>
          <w:spacing w:val="-7"/>
          <w:position w:val="2"/>
        </w:rPr>
        <w:t>排放执行《锅炉大气污染物排放标准》</w:t>
      </w:r>
    </w:p>
    <w:p>
      <w:pPr>
        <w:spacing w:line="475" w:lineRule="auto" w:before="0"/>
        <w:ind w:left="1237" w:right="1234" w:hanging="999"/>
        <w:jc w:val="both"/>
        <w:rPr>
          <w:rFonts w:ascii="Times New Roman" w:eastAsia="Times New Roman"/>
          <w:b/>
          <w:sz w:val="16"/>
        </w:rPr>
      </w:pPr>
      <w:r>
        <w:rPr/>
        <w:pict>
          <v:shape style="position:absolute;margin-left:65.304001pt;margin-top:47.280029pt;width:465.1pt;height:88.7pt;mso-position-horizontal-relative:page;mso-position-vertical-relative:paragraph;z-index:25166131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1685"/>
                    <w:gridCol w:w="2331"/>
                    <w:gridCol w:w="2329"/>
                  </w:tblGrid>
                  <w:tr>
                    <w:trPr>
                      <w:trHeight w:val="285" w:hRule="atLeast"/>
                    </w:trPr>
                    <w:tc>
                      <w:tcPr>
                        <w:tcW w:w="2943" w:type="dxa"/>
                        <w:vMerge w:val="restart"/>
                      </w:tcPr>
                      <w:p>
                        <w:pPr>
                          <w:pStyle w:val="TableParagraph"/>
                          <w:spacing w:before="155"/>
                          <w:ind w:left="942"/>
                          <w:jc w:val="left"/>
                          <w:rPr>
                            <w:b/>
                            <w:sz w:val="21"/>
                          </w:rPr>
                        </w:pPr>
                        <w:r>
                          <w:rPr>
                            <w:b/>
                            <w:sz w:val="21"/>
                          </w:rPr>
                          <w:t>污染物项目</w:t>
                        </w:r>
                      </w:p>
                    </w:tc>
                    <w:tc>
                      <w:tcPr>
                        <w:tcW w:w="1685" w:type="dxa"/>
                      </w:tcPr>
                      <w:p>
                        <w:pPr>
                          <w:pStyle w:val="TableParagraph"/>
                          <w:spacing w:line="257" w:lineRule="exact" w:before="8"/>
                          <w:ind w:left="395" w:right="391"/>
                          <w:rPr>
                            <w:b/>
                            <w:sz w:val="21"/>
                          </w:rPr>
                        </w:pPr>
                        <w:r>
                          <w:rPr>
                            <w:b/>
                            <w:sz w:val="21"/>
                          </w:rPr>
                          <w:t>限值</w:t>
                        </w:r>
                      </w:p>
                    </w:tc>
                    <w:tc>
                      <w:tcPr>
                        <w:tcW w:w="2331" w:type="dxa"/>
                        <w:vMerge w:val="restart"/>
                      </w:tcPr>
                      <w:p>
                        <w:pPr>
                          <w:pStyle w:val="TableParagraph"/>
                          <w:spacing w:before="155"/>
                          <w:ind w:left="213"/>
                          <w:jc w:val="left"/>
                          <w:rPr>
                            <w:b/>
                            <w:sz w:val="21"/>
                          </w:rPr>
                        </w:pPr>
                        <w:r>
                          <w:rPr>
                            <w:b/>
                            <w:sz w:val="21"/>
                          </w:rPr>
                          <w:t>污染物排放监控位置</w:t>
                        </w:r>
                      </w:p>
                    </w:tc>
                    <w:tc>
                      <w:tcPr>
                        <w:tcW w:w="2329" w:type="dxa"/>
                        <w:vMerge w:val="restart"/>
                      </w:tcPr>
                      <w:p>
                        <w:pPr>
                          <w:pStyle w:val="TableParagraph"/>
                          <w:spacing w:before="155"/>
                          <w:ind w:left="740"/>
                          <w:jc w:val="left"/>
                          <w:rPr>
                            <w:b/>
                            <w:sz w:val="21"/>
                          </w:rPr>
                        </w:pPr>
                        <w:r>
                          <w:rPr>
                            <w:b/>
                            <w:sz w:val="21"/>
                          </w:rPr>
                          <w:t>执行标准</w:t>
                        </w:r>
                      </w:p>
                    </w:tc>
                  </w:tr>
                  <w:tr>
                    <w:trPr>
                      <w:trHeight w:val="282" w:hRule="atLeast"/>
                    </w:trPr>
                    <w:tc>
                      <w:tcPr>
                        <w:tcW w:w="2943" w:type="dxa"/>
                        <w:vMerge/>
                        <w:tcBorders>
                          <w:top w:val="nil"/>
                        </w:tcBorders>
                      </w:tcPr>
                      <w:p>
                        <w:pPr>
                          <w:rPr>
                            <w:sz w:val="2"/>
                            <w:szCs w:val="2"/>
                          </w:rPr>
                        </w:pPr>
                      </w:p>
                    </w:tc>
                    <w:tc>
                      <w:tcPr>
                        <w:tcW w:w="1685" w:type="dxa"/>
                      </w:tcPr>
                      <w:p>
                        <w:pPr>
                          <w:pStyle w:val="TableParagraph"/>
                          <w:spacing w:line="257" w:lineRule="exact" w:before="5"/>
                          <w:ind w:left="400" w:right="391"/>
                          <w:rPr>
                            <w:b/>
                            <w:sz w:val="21"/>
                          </w:rPr>
                        </w:pPr>
                        <w:r>
                          <w:rPr>
                            <w:b/>
                            <w:sz w:val="21"/>
                          </w:rPr>
                          <w:t>燃气锅炉</w:t>
                        </w:r>
                      </w:p>
                    </w:tc>
                    <w:tc>
                      <w:tcPr>
                        <w:tcW w:w="2331" w:type="dxa"/>
                        <w:vMerge/>
                        <w:tcBorders>
                          <w:top w:val="nil"/>
                        </w:tcBorders>
                      </w:tcPr>
                      <w:p>
                        <w:pPr>
                          <w:rPr>
                            <w:sz w:val="2"/>
                            <w:szCs w:val="2"/>
                          </w:rPr>
                        </w:pPr>
                      </w:p>
                    </w:tc>
                    <w:tc>
                      <w:tcPr>
                        <w:tcW w:w="2329" w:type="dxa"/>
                        <w:vMerge/>
                        <w:tcBorders>
                          <w:top w:val="nil"/>
                        </w:tcBorders>
                      </w:tcPr>
                      <w:p>
                        <w:pPr>
                          <w:rPr>
                            <w:sz w:val="2"/>
                            <w:szCs w:val="2"/>
                          </w:rPr>
                        </w:pPr>
                      </w:p>
                    </w:tc>
                  </w:tr>
                  <w:tr>
                    <w:trPr>
                      <w:trHeight w:val="282" w:hRule="atLeast"/>
                    </w:trPr>
                    <w:tc>
                      <w:tcPr>
                        <w:tcW w:w="2943" w:type="dxa"/>
                      </w:tcPr>
                      <w:p>
                        <w:pPr>
                          <w:pStyle w:val="TableParagraph"/>
                          <w:spacing w:line="255" w:lineRule="exact" w:before="8"/>
                          <w:ind w:left="81" w:right="73"/>
                          <w:rPr>
                            <w:sz w:val="21"/>
                          </w:rPr>
                        </w:pPr>
                        <w:r>
                          <w:rPr>
                            <w:sz w:val="21"/>
                          </w:rPr>
                          <w:t>颗粒物</w:t>
                        </w:r>
                      </w:p>
                    </w:tc>
                    <w:tc>
                      <w:tcPr>
                        <w:tcW w:w="1685" w:type="dxa"/>
                      </w:tcPr>
                      <w:p>
                        <w:pPr>
                          <w:pStyle w:val="TableParagraph"/>
                          <w:spacing w:line="241" w:lineRule="exact" w:before="22"/>
                          <w:ind w:left="395" w:right="391"/>
                          <w:rPr>
                            <w:rFonts w:ascii="Times New Roman"/>
                            <w:sz w:val="21"/>
                          </w:rPr>
                        </w:pPr>
                        <w:r>
                          <w:rPr>
                            <w:rFonts w:ascii="Times New Roman"/>
                            <w:sz w:val="21"/>
                          </w:rPr>
                          <w:t>20</w:t>
                        </w:r>
                      </w:p>
                    </w:tc>
                    <w:tc>
                      <w:tcPr>
                        <w:tcW w:w="2331" w:type="dxa"/>
                        <w:vMerge w:val="restart"/>
                      </w:tcPr>
                      <w:p>
                        <w:pPr>
                          <w:pStyle w:val="TableParagraph"/>
                          <w:spacing w:before="154"/>
                          <w:ind w:left="635"/>
                          <w:jc w:val="left"/>
                          <w:rPr>
                            <w:sz w:val="21"/>
                          </w:rPr>
                        </w:pPr>
                        <w:r>
                          <w:rPr>
                            <w:sz w:val="21"/>
                          </w:rPr>
                          <w:t>烟囱或烟道</w:t>
                        </w:r>
                      </w:p>
                    </w:tc>
                    <w:tc>
                      <w:tcPr>
                        <w:tcW w:w="2329" w:type="dxa"/>
                        <w:vMerge w:val="restart"/>
                      </w:tcPr>
                      <w:p>
                        <w:pPr>
                          <w:pStyle w:val="TableParagraph"/>
                          <w:spacing w:before="7"/>
                          <w:jc w:val="left"/>
                          <w:rPr>
                            <w:sz w:val="24"/>
                          </w:rPr>
                        </w:pPr>
                      </w:p>
                      <w:p>
                        <w:pPr>
                          <w:pStyle w:val="TableParagraph"/>
                          <w:ind w:left="510"/>
                          <w:jc w:val="left"/>
                          <w:rPr>
                            <w:rFonts w:ascii="Times New Roman"/>
                            <w:sz w:val="21"/>
                          </w:rPr>
                        </w:pPr>
                        <w:r>
                          <w:rPr>
                            <w:rFonts w:ascii="Times New Roman"/>
                            <w:sz w:val="21"/>
                          </w:rPr>
                          <w:t>GB13271-2014</w:t>
                        </w:r>
                      </w:p>
                    </w:tc>
                  </w:tr>
                  <w:tr>
                    <w:trPr>
                      <w:trHeight w:val="285" w:hRule="atLeast"/>
                    </w:trPr>
                    <w:tc>
                      <w:tcPr>
                        <w:tcW w:w="2943" w:type="dxa"/>
                      </w:tcPr>
                      <w:p>
                        <w:pPr>
                          <w:pStyle w:val="TableParagraph"/>
                          <w:spacing w:line="257" w:lineRule="exact" w:before="8"/>
                          <w:ind w:left="84" w:right="73"/>
                          <w:rPr>
                            <w:sz w:val="21"/>
                          </w:rPr>
                        </w:pPr>
                        <w:r>
                          <w:rPr>
                            <w:sz w:val="21"/>
                          </w:rPr>
                          <w:t>二氧化硫</w:t>
                        </w:r>
                      </w:p>
                    </w:tc>
                    <w:tc>
                      <w:tcPr>
                        <w:tcW w:w="1685" w:type="dxa"/>
                      </w:tcPr>
                      <w:p>
                        <w:pPr>
                          <w:pStyle w:val="TableParagraph"/>
                          <w:spacing w:before="22"/>
                          <w:ind w:left="395" w:right="391"/>
                          <w:rPr>
                            <w:rFonts w:ascii="Times New Roman"/>
                            <w:sz w:val="21"/>
                          </w:rPr>
                        </w:pPr>
                        <w:r>
                          <w:rPr>
                            <w:rFonts w:ascii="Times New Roman"/>
                            <w:sz w:val="21"/>
                          </w:rPr>
                          <w:t>50</w:t>
                        </w:r>
                      </w:p>
                    </w:tc>
                    <w:tc>
                      <w:tcPr>
                        <w:tcW w:w="2331" w:type="dxa"/>
                        <w:vMerge/>
                        <w:tcBorders>
                          <w:top w:val="nil"/>
                        </w:tcBorders>
                      </w:tcPr>
                      <w:p>
                        <w:pPr>
                          <w:rPr>
                            <w:sz w:val="2"/>
                            <w:szCs w:val="2"/>
                          </w:rPr>
                        </w:pPr>
                      </w:p>
                    </w:tc>
                    <w:tc>
                      <w:tcPr>
                        <w:tcW w:w="2329" w:type="dxa"/>
                        <w:vMerge/>
                        <w:tcBorders>
                          <w:top w:val="nil"/>
                        </w:tcBorders>
                      </w:tcPr>
                      <w:p>
                        <w:pPr>
                          <w:rPr>
                            <w:sz w:val="2"/>
                            <w:szCs w:val="2"/>
                          </w:rPr>
                        </w:pPr>
                      </w:p>
                    </w:tc>
                  </w:tr>
                  <w:tr>
                    <w:trPr>
                      <w:trHeight w:val="282" w:hRule="atLeast"/>
                    </w:trPr>
                    <w:tc>
                      <w:tcPr>
                        <w:tcW w:w="2943" w:type="dxa"/>
                      </w:tcPr>
                      <w:p>
                        <w:pPr>
                          <w:pStyle w:val="TableParagraph"/>
                          <w:spacing w:line="255" w:lineRule="exact" w:before="8"/>
                          <w:ind w:left="89" w:right="73"/>
                          <w:rPr>
                            <w:sz w:val="21"/>
                          </w:rPr>
                        </w:pPr>
                        <w:r>
                          <w:rPr>
                            <w:sz w:val="21"/>
                          </w:rPr>
                          <w:t>烟气黑度（林格曼黑度，级）</w:t>
                        </w:r>
                      </w:p>
                    </w:tc>
                    <w:tc>
                      <w:tcPr>
                        <w:tcW w:w="1685" w:type="dxa"/>
                      </w:tcPr>
                      <w:p>
                        <w:pPr>
                          <w:pStyle w:val="TableParagraph"/>
                          <w:spacing w:line="255" w:lineRule="exact" w:before="8"/>
                          <w:ind w:left="400" w:right="391"/>
                          <w:rPr>
                            <w:rFonts w:ascii="Times New Roman" w:hAnsi="Times New Roman"/>
                            <w:sz w:val="21"/>
                          </w:rPr>
                        </w:pPr>
                        <w:r>
                          <w:rPr>
                            <w:sz w:val="21"/>
                          </w:rPr>
                          <w:t>≤</w:t>
                        </w:r>
                        <w:r>
                          <w:rPr>
                            <w:rFonts w:ascii="Times New Roman" w:hAnsi="Times New Roman"/>
                            <w:sz w:val="21"/>
                          </w:rPr>
                          <w:t>1</w:t>
                        </w:r>
                      </w:p>
                    </w:tc>
                    <w:tc>
                      <w:tcPr>
                        <w:tcW w:w="2331" w:type="dxa"/>
                      </w:tcPr>
                      <w:p>
                        <w:pPr>
                          <w:pStyle w:val="TableParagraph"/>
                          <w:spacing w:line="255" w:lineRule="exact" w:before="8"/>
                          <w:ind w:left="616" w:right="613"/>
                          <w:rPr>
                            <w:sz w:val="21"/>
                          </w:rPr>
                        </w:pPr>
                        <w:r>
                          <w:rPr>
                            <w:sz w:val="21"/>
                          </w:rPr>
                          <w:t>烟囱排放口</w:t>
                        </w:r>
                      </w:p>
                    </w:tc>
                    <w:tc>
                      <w:tcPr>
                        <w:tcW w:w="2329" w:type="dxa"/>
                        <w:vMerge/>
                        <w:tcBorders>
                          <w:top w:val="nil"/>
                        </w:tcBorders>
                      </w:tcPr>
                      <w:p>
                        <w:pPr>
                          <w:rPr>
                            <w:sz w:val="2"/>
                            <w:szCs w:val="2"/>
                          </w:rPr>
                        </w:pPr>
                      </w:p>
                    </w:tc>
                  </w:tr>
                  <w:tr>
                    <w:trPr>
                      <w:trHeight w:val="285" w:hRule="atLeast"/>
                    </w:trPr>
                    <w:tc>
                      <w:tcPr>
                        <w:tcW w:w="2943" w:type="dxa"/>
                      </w:tcPr>
                      <w:p>
                        <w:pPr>
                          <w:pStyle w:val="TableParagraph"/>
                          <w:spacing w:line="257" w:lineRule="exact" w:before="8"/>
                          <w:ind w:left="84" w:right="73"/>
                          <w:rPr>
                            <w:sz w:val="21"/>
                          </w:rPr>
                        </w:pPr>
                        <w:r>
                          <w:rPr>
                            <w:sz w:val="21"/>
                          </w:rPr>
                          <w:t>氮氧化物</w:t>
                        </w:r>
                      </w:p>
                    </w:tc>
                    <w:tc>
                      <w:tcPr>
                        <w:tcW w:w="1685" w:type="dxa"/>
                      </w:tcPr>
                      <w:p>
                        <w:pPr>
                          <w:pStyle w:val="TableParagraph"/>
                          <w:spacing w:before="22"/>
                          <w:ind w:left="395" w:right="391"/>
                          <w:rPr>
                            <w:rFonts w:ascii="Times New Roman"/>
                            <w:sz w:val="21"/>
                          </w:rPr>
                        </w:pPr>
                        <w:r>
                          <w:rPr>
                            <w:rFonts w:ascii="Times New Roman"/>
                            <w:sz w:val="21"/>
                          </w:rPr>
                          <w:t>50</w:t>
                        </w:r>
                      </w:p>
                    </w:tc>
                    <w:tc>
                      <w:tcPr>
                        <w:tcW w:w="2331" w:type="dxa"/>
                      </w:tcPr>
                      <w:p>
                        <w:pPr>
                          <w:pStyle w:val="TableParagraph"/>
                          <w:spacing w:line="257" w:lineRule="exact" w:before="8"/>
                          <w:ind w:left="617" w:right="613"/>
                          <w:rPr>
                            <w:sz w:val="21"/>
                          </w:rPr>
                        </w:pPr>
                        <w:r>
                          <w:rPr>
                            <w:sz w:val="21"/>
                          </w:rPr>
                          <w:t>烟囱或烟道</w:t>
                        </w:r>
                      </w:p>
                    </w:tc>
                    <w:tc>
                      <w:tcPr>
                        <w:tcW w:w="2329" w:type="dxa"/>
                      </w:tcPr>
                      <w:p>
                        <w:pPr>
                          <w:pStyle w:val="TableParagraph"/>
                          <w:spacing w:line="262" w:lineRule="exact" w:before="3"/>
                          <w:ind w:left="227"/>
                          <w:jc w:val="left"/>
                          <w:rPr>
                            <w:sz w:val="21"/>
                          </w:rPr>
                        </w:pPr>
                        <w:r>
                          <w:rPr>
                            <w:sz w:val="21"/>
                          </w:rPr>
                          <w:t>绍市环发</w:t>
                        </w:r>
                        <w:r>
                          <w:rPr>
                            <w:rFonts w:ascii="Times New Roman" w:eastAsia="Times New Roman"/>
                            <w:sz w:val="21"/>
                          </w:rPr>
                          <w:t>[2019]37 </w:t>
                        </w:r>
                        <w:r>
                          <w:rPr>
                            <w:sz w:val="21"/>
                          </w:rPr>
                          <w:t>号</w:t>
                        </w:r>
                      </w:p>
                    </w:tc>
                  </w:tr>
                </w:tbl>
                <w:p>
                  <w:pPr>
                    <w:pStyle w:val="BodyText"/>
                  </w:pPr>
                </w:p>
              </w:txbxContent>
            </v:textbox>
            <w10:wrap type="none"/>
          </v:shape>
        </w:pict>
      </w:r>
      <w:r>
        <w:rPr>
          <w:sz w:val="24"/>
        </w:rPr>
        <w:t>（</w:t>
      </w:r>
      <w:r>
        <w:rPr>
          <w:rFonts w:ascii="Times New Roman" w:eastAsia="Times New Roman"/>
          <w:sz w:val="24"/>
        </w:rPr>
        <w:t>GB13271-2014</w:t>
      </w:r>
      <w:r>
        <w:rPr>
          <w:sz w:val="24"/>
        </w:rPr>
        <w:t>）</w:t>
      </w:r>
      <w:r>
        <w:rPr>
          <w:spacing w:val="-3"/>
          <w:sz w:val="24"/>
        </w:rPr>
        <w:t>中表 </w:t>
      </w:r>
      <w:r>
        <w:rPr>
          <w:rFonts w:ascii="Times New Roman" w:eastAsia="Times New Roman"/>
          <w:sz w:val="24"/>
        </w:rPr>
        <w:t>3</w:t>
      </w:r>
      <w:r>
        <w:rPr>
          <w:rFonts w:ascii="Times New Roman" w:eastAsia="Times New Roman"/>
          <w:spacing w:val="52"/>
          <w:sz w:val="24"/>
        </w:rPr>
        <w:t> </w:t>
      </w:r>
      <w:r>
        <w:rPr>
          <w:sz w:val="24"/>
        </w:rPr>
        <w:t>规定的大气污染物特别排放限值，具体见下表。</w:t>
      </w:r>
      <w:r>
        <w:rPr>
          <w:b/>
          <w:spacing w:val="-30"/>
          <w:sz w:val="24"/>
        </w:rPr>
        <w:t>表 </w:t>
      </w:r>
      <w:r>
        <w:rPr>
          <w:rFonts w:ascii="Times New Roman" w:eastAsia="Times New Roman"/>
          <w:b/>
          <w:sz w:val="24"/>
        </w:rPr>
        <w:t>2.3.2-15 </w:t>
      </w:r>
      <w:r>
        <w:rPr>
          <w:b/>
          <w:spacing w:val="-1"/>
          <w:sz w:val="24"/>
        </w:rPr>
        <w:t>燃天然气导热油锅炉废气排放限值要求 单位：</w:t>
      </w:r>
      <w:r>
        <w:rPr>
          <w:rFonts w:ascii="Times New Roman" w:eastAsia="Times New Roman"/>
          <w:b/>
          <w:spacing w:val="-3"/>
          <w:sz w:val="24"/>
        </w:rPr>
        <w:t>mg/m</w:t>
      </w:r>
      <w:r>
        <w:rPr>
          <w:rFonts w:ascii="Times New Roman" w:eastAsia="Times New Roman"/>
          <w:b/>
          <w:spacing w:val="-3"/>
          <w:position w:val="8"/>
          <w:sz w:val="16"/>
        </w:rPr>
        <w:t>3</w:t>
      </w: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6"/>
        <w:rPr>
          <w:rFonts w:ascii="Times New Roman"/>
          <w:b/>
          <w:sz w:val="26"/>
        </w:rPr>
      </w:pPr>
    </w:p>
    <w:p>
      <w:pPr>
        <w:pStyle w:val="Heading4"/>
        <w:numPr>
          <w:ilvl w:val="0"/>
          <w:numId w:val="9"/>
        </w:numPr>
        <w:tabs>
          <w:tab w:pos="993" w:val="left" w:leader="none"/>
        </w:tabs>
        <w:spacing w:line="240" w:lineRule="auto" w:before="1" w:after="0"/>
        <w:ind w:left="992" w:right="0" w:hanging="282"/>
        <w:jc w:val="left"/>
      </w:pPr>
      <w:r>
        <w:rPr/>
        <w:t>厂界噪声标准</w:t>
      </w:r>
    </w:p>
    <w:p>
      <w:pPr>
        <w:pStyle w:val="BodyText"/>
        <w:spacing w:before="160"/>
        <w:ind w:left="718"/>
      </w:pPr>
      <w:r>
        <w:rPr/>
        <w:t>①厂界噪声</w:t>
      </w:r>
    </w:p>
    <w:p>
      <w:pPr>
        <w:pStyle w:val="BodyText"/>
        <w:spacing w:line="364" w:lineRule="auto" w:before="158"/>
        <w:ind w:left="238" w:right="244" w:firstLine="480"/>
      </w:pPr>
      <w:r>
        <w:rPr/>
        <w:t>厂界噪声执行《工业企业厂界环境噪声排放标准》（</w:t>
      </w:r>
      <w:r>
        <w:rPr>
          <w:rFonts w:ascii="Times New Roman" w:eastAsia="Times New Roman"/>
        </w:rPr>
        <w:t>GB 12348-2008</w:t>
      </w:r>
      <w:r>
        <w:rPr/>
        <w:t>）中的 </w:t>
      </w:r>
      <w:r>
        <w:rPr>
          <w:rFonts w:ascii="Times New Roman" w:eastAsia="Times New Roman"/>
        </w:rPr>
        <w:t>3 </w:t>
      </w:r>
      <w:r>
        <w:rPr/>
        <w:t>类厂界环境噪声排放限值，具体见下表。</w:t>
      </w:r>
    </w:p>
    <w:p>
      <w:pPr>
        <w:pStyle w:val="Heading4"/>
        <w:tabs>
          <w:tab w:pos="7559" w:val="left" w:leader="none"/>
        </w:tabs>
        <w:spacing w:before="141" w:after="29"/>
        <w:ind w:left="313"/>
      </w:pPr>
      <w:r>
        <w:rPr/>
        <w:t>表</w:t>
      </w:r>
      <w:r>
        <w:rPr>
          <w:spacing w:val="-61"/>
        </w:rPr>
        <w:t> </w:t>
      </w:r>
      <w:r>
        <w:rPr>
          <w:rFonts w:ascii="Times New Roman" w:eastAsia="Times New Roman"/>
        </w:rPr>
        <w:t>2.3.2-16</w:t>
      </w:r>
      <w:r>
        <w:rPr>
          <w:rFonts w:ascii="Times New Roman" w:eastAsia="Times New Roman"/>
          <w:spacing w:val="58"/>
        </w:rPr>
        <w:t> </w:t>
      </w:r>
      <w:r>
        <w:rPr/>
        <w:t>《工业企业厂界环境噪声排放标准</w:t>
      </w:r>
      <w:r>
        <w:rPr>
          <w:spacing w:val="-118"/>
        </w:rPr>
        <w:t>》</w:t>
      </w:r>
      <w:r>
        <w:rPr/>
        <w:t>（</w:t>
      </w:r>
      <w:r>
        <w:rPr>
          <w:rFonts w:ascii="Times New Roman" w:eastAsia="Times New Roman"/>
        </w:rPr>
        <w:t>GB</w:t>
      </w:r>
      <w:r>
        <w:rPr>
          <w:rFonts w:ascii="Times New Roman" w:eastAsia="Times New Roman"/>
          <w:spacing w:val="-1"/>
        </w:rPr>
        <w:t> </w:t>
      </w:r>
      <w:r>
        <w:rPr>
          <w:rFonts w:ascii="Times New Roman" w:eastAsia="Times New Roman"/>
        </w:rPr>
        <w:t>12348-2008</w:t>
      </w:r>
      <w:r>
        <w:rPr/>
        <w:t>）</w:t>
        <w:tab/>
        <w:t>单位：</w:t>
      </w:r>
      <w:r>
        <w:rPr>
          <w:rFonts w:ascii="Times New Roman" w:eastAsia="Times New Roman"/>
        </w:rPr>
        <w:t>dB</w:t>
      </w:r>
      <w:r>
        <w:rPr/>
        <w:t>（</w:t>
      </w:r>
      <w:r>
        <w:rPr>
          <w:rFonts w:ascii="Times New Roman" w:eastAsia="Times New Roman"/>
        </w:rPr>
        <w:t>A</w:t>
      </w:r>
      <w:r>
        <w:rPr/>
        <w:t>）</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3"/>
        <w:gridCol w:w="3169"/>
        <w:gridCol w:w="3167"/>
      </w:tblGrid>
      <w:tr>
        <w:trPr>
          <w:trHeight w:val="285" w:hRule="atLeast"/>
        </w:trPr>
        <w:tc>
          <w:tcPr>
            <w:tcW w:w="2953" w:type="dxa"/>
          </w:tcPr>
          <w:p>
            <w:pPr>
              <w:pStyle w:val="TableParagraph"/>
              <w:spacing w:line="257" w:lineRule="exact" w:before="8"/>
              <w:ind w:left="297" w:right="286"/>
              <w:rPr>
                <w:b/>
                <w:sz w:val="21"/>
              </w:rPr>
            </w:pPr>
            <w:r>
              <w:rPr>
                <w:b/>
                <w:sz w:val="21"/>
              </w:rPr>
              <w:t>厂界外声环境功能区类别</w:t>
            </w:r>
          </w:p>
        </w:tc>
        <w:tc>
          <w:tcPr>
            <w:tcW w:w="3169" w:type="dxa"/>
          </w:tcPr>
          <w:p>
            <w:pPr>
              <w:pStyle w:val="TableParagraph"/>
              <w:spacing w:line="257" w:lineRule="exact" w:before="8"/>
              <w:ind w:right="1362"/>
              <w:jc w:val="right"/>
              <w:rPr>
                <w:b/>
                <w:sz w:val="21"/>
              </w:rPr>
            </w:pPr>
            <w:r>
              <w:rPr>
                <w:b/>
                <w:sz w:val="21"/>
              </w:rPr>
              <w:t>昼间</w:t>
            </w:r>
          </w:p>
        </w:tc>
        <w:tc>
          <w:tcPr>
            <w:tcW w:w="3167" w:type="dxa"/>
          </w:tcPr>
          <w:p>
            <w:pPr>
              <w:pStyle w:val="TableParagraph"/>
              <w:spacing w:line="257" w:lineRule="exact" w:before="8"/>
              <w:ind w:left="927" w:right="924"/>
              <w:rPr>
                <w:b/>
                <w:sz w:val="21"/>
              </w:rPr>
            </w:pPr>
            <w:r>
              <w:rPr>
                <w:b/>
                <w:sz w:val="21"/>
              </w:rPr>
              <w:t>夜间</w:t>
            </w:r>
          </w:p>
        </w:tc>
      </w:tr>
      <w:tr>
        <w:trPr>
          <w:trHeight w:val="282" w:hRule="atLeast"/>
        </w:trPr>
        <w:tc>
          <w:tcPr>
            <w:tcW w:w="2953" w:type="dxa"/>
          </w:tcPr>
          <w:p>
            <w:pPr>
              <w:pStyle w:val="TableParagraph"/>
              <w:spacing w:before="19"/>
              <w:ind w:left="8"/>
              <w:rPr>
                <w:rFonts w:ascii="Times New Roman"/>
                <w:sz w:val="21"/>
              </w:rPr>
            </w:pPr>
            <w:r>
              <w:rPr>
                <w:rFonts w:ascii="Times New Roman"/>
                <w:w w:val="100"/>
                <w:sz w:val="21"/>
              </w:rPr>
              <w:t>3</w:t>
            </w:r>
          </w:p>
        </w:tc>
        <w:tc>
          <w:tcPr>
            <w:tcW w:w="3169" w:type="dxa"/>
          </w:tcPr>
          <w:p>
            <w:pPr>
              <w:pStyle w:val="TableParagraph"/>
              <w:spacing w:before="19"/>
              <w:ind w:right="1410"/>
              <w:jc w:val="right"/>
              <w:rPr>
                <w:rFonts w:ascii="Times New Roman" w:hAnsi="Times New Roman"/>
                <w:sz w:val="21"/>
              </w:rPr>
            </w:pPr>
            <w:r>
              <w:rPr>
                <w:rFonts w:ascii="Times New Roman" w:hAnsi="Times New Roman"/>
                <w:sz w:val="21"/>
              </w:rPr>
              <w:t>≤65</w:t>
            </w:r>
          </w:p>
        </w:tc>
        <w:tc>
          <w:tcPr>
            <w:tcW w:w="3167" w:type="dxa"/>
          </w:tcPr>
          <w:p>
            <w:pPr>
              <w:pStyle w:val="TableParagraph"/>
              <w:spacing w:before="19"/>
              <w:ind w:left="927" w:right="924"/>
              <w:rPr>
                <w:rFonts w:ascii="Times New Roman" w:hAnsi="Times New Roman"/>
                <w:sz w:val="21"/>
              </w:rPr>
            </w:pPr>
            <w:r>
              <w:rPr>
                <w:rFonts w:ascii="Times New Roman" w:hAnsi="Times New Roman"/>
                <w:sz w:val="21"/>
              </w:rPr>
              <w:t>≤55</w:t>
            </w:r>
          </w:p>
        </w:tc>
      </w:tr>
    </w:tbl>
    <w:p>
      <w:pPr>
        <w:pStyle w:val="BodyText"/>
        <w:spacing w:before="2"/>
        <w:ind w:left="718"/>
      </w:pPr>
      <w:r>
        <w:rPr/>
        <w:t>②建筑施工场界噪声</w:t>
      </w:r>
    </w:p>
    <w:p>
      <w:pPr>
        <w:pStyle w:val="BodyText"/>
        <w:spacing w:before="161"/>
        <w:ind w:left="718"/>
      </w:pPr>
      <w:r>
        <w:rPr/>
        <w:t>建设项目施工期噪声源控制标准采用《 建筑施工场界噪声排放标准》</w:t>
      </w:r>
    </w:p>
    <w:p>
      <w:pPr>
        <w:pStyle w:val="BodyText"/>
        <w:spacing w:before="160"/>
        <w:ind w:left="238"/>
      </w:pPr>
      <w:r>
        <w:rPr/>
        <w:t>（</w:t>
      </w:r>
      <w:r>
        <w:rPr>
          <w:rFonts w:ascii="Times New Roman" w:eastAsia="Times New Roman"/>
        </w:rPr>
        <w:t>GB12523</w:t>
      </w:r>
      <w:r>
        <w:rPr>
          <w:rFonts w:ascii="Times New Roman" w:eastAsia="Times New Roman"/>
          <w:spacing w:val="-1"/>
        </w:rPr>
        <w:t>-</w:t>
      </w:r>
      <w:r>
        <w:rPr>
          <w:rFonts w:ascii="Times New Roman" w:eastAsia="Times New Roman"/>
        </w:rPr>
        <w:t>20</w:t>
      </w:r>
      <w:r>
        <w:rPr>
          <w:rFonts w:ascii="Times New Roman" w:eastAsia="Times New Roman"/>
          <w:spacing w:val="-10"/>
        </w:rPr>
        <w:t>1</w:t>
      </w:r>
      <w:r>
        <w:rPr>
          <w:rFonts w:ascii="Times New Roman" w:eastAsia="Times New Roman"/>
        </w:rPr>
        <w:t>1</w:t>
      </w:r>
      <w:r>
        <w:rPr>
          <w:spacing w:val="-120"/>
        </w:rPr>
        <w:t>）</w:t>
      </w:r>
      <w:r>
        <w:rPr/>
        <w:t>，具体见下表。</w:t>
      </w:r>
    </w:p>
    <w:p>
      <w:pPr>
        <w:spacing w:after="0"/>
        <w:sectPr>
          <w:pgSz w:w="11910" w:h="16840"/>
          <w:pgMar w:header="874" w:footer="944" w:top="1340" w:bottom="1140" w:left="1180" w:right="1180"/>
        </w:sectPr>
      </w:pPr>
    </w:p>
    <w:p>
      <w:pPr>
        <w:pStyle w:val="BodyText"/>
        <w:spacing w:before="10"/>
        <w:rPr>
          <w:sz w:val="10"/>
        </w:rPr>
      </w:pPr>
    </w:p>
    <w:p>
      <w:pPr>
        <w:pStyle w:val="Heading4"/>
        <w:tabs>
          <w:tab w:pos="2374" w:val="left" w:leader="none"/>
          <w:tab w:pos="7161" w:val="left" w:leader="none"/>
        </w:tabs>
        <w:spacing w:before="74" w:after="29"/>
        <w:ind w:left="1033"/>
        <w:rPr>
          <w:rFonts w:ascii="Times New Roman" w:eastAsia="Times New Roman"/>
        </w:rPr>
      </w:pPr>
      <w:r>
        <w:rPr/>
        <w:t>表</w:t>
      </w:r>
      <w:r>
        <w:rPr>
          <w:spacing w:val="-60"/>
        </w:rPr>
        <w:t> </w:t>
      </w:r>
      <w:r>
        <w:rPr>
          <w:rFonts w:ascii="Times New Roman" w:eastAsia="Times New Roman"/>
        </w:rPr>
        <w:t>2.3.2-17</w:t>
        <w:tab/>
      </w:r>
      <w:r>
        <w:rPr/>
        <w:t>建筑施工场界噪声排放限值</w:t>
      </w:r>
      <w:r>
        <w:rPr>
          <w:rFonts w:ascii="Times New Roman" w:eastAsia="Times New Roman"/>
        </w:rPr>
        <w:t>(GB12523-2011)</w:t>
        <w:tab/>
      </w:r>
      <w:r>
        <w:rPr/>
        <w:t>单位：</w:t>
      </w:r>
      <w:r>
        <w:rPr>
          <w:rFonts w:ascii="Times New Roman" w:eastAsia="Times New Roman"/>
        </w:rPr>
        <w:t>dB(A)</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45"/>
        <w:gridCol w:w="4643"/>
      </w:tblGrid>
      <w:tr>
        <w:trPr>
          <w:trHeight w:val="282" w:hRule="atLeast"/>
        </w:trPr>
        <w:tc>
          <w:tcPr>
            <w:tcW w:w="4645" w:type="dxa"/>
          </w:tcPr>
          <w:p>
            <w:pPr>
              <w:pStyle w:val="TableParagraph"/>
              <w:spacing w:line="257" w:lineRule="exact" w:before="5"/>
              <w:ind w:left="2089" w:right="2083"/>
              <w:rPr>
                <w:b/>
                <w:sz w:val="21"/>
              </w:rPr>
            </w:pPr>
            <w:r>
              <w:rPr>
                <w:b/>
                <w:sz w:val="21"/>
              </w:rPr>
              <w:t>昼间</w:t>
            </w:r>
          </w:p>
        </w:tc>
        <w:tc>
          <w:tcPr>
            <w:tcW w:w="4643" w:type="dxa"/>
          </w:tcPr>
          <w:p>
            <w:pPr>
              <w:pStyle w:val="TableParagraph"/>
              <w:spacing w:line="257" w:lineRule="exact" w:before="5"/>
              <w:ind w:left="2087" w:right="2084"/>
              <w:rPr>
                <w:b/>
                <w:sz w:val="21"/>
              </w:rPr>
            </w:pPr>
            <w:r>
              <w:rPr>
                <w:b/>
                <w:sz w:val="21"/>
              </w:rPr>
              <w:t>夜间</w:t>
            </w:r>
          </w:p>
        </w:tc>
      </w:tr>
      <w:tr>
        <w:trPr>
          <w:trHeight w:val="285" w:hRule="atLeast"/>
        </w:trPr>
        <w:tc>
          <w:tcPr>
            <w:tcW w:w="4645" w:type="dxa"/>
          </w:tcPr>
          <w:p>
            <w:pPr>
              <w:pStyle w:val="TableParagraph"/>
              <w:spacing w:before="22"/>
              <w:ind w:left="2089" w:right="2083"/>
              <w:rPr>
                <w:rFonts w:ascii="Times New Roman"/>
                <w:sz w:val="21"/>
              </w:rPr>
            </w:pPr>
            <w:r>
              <w:rPr>
                <w:rFonts w:ascii="Times New Roman"/>
                <w:sz w:val="21"/>
              </w:rPr>
              <w:t>70</w:t>
            </w:r>
          </w:p>
        </w:tc>
        <w:tc>
          <w:tcPr>
            <w:tcW w:w="4643" w:type="dxa"/>
          </w:tcPr>
          <w:p>
            <w:pPr>
              <w:pStyle w:val="TableParagraph"/>
              <w:spacing w:before="22"/>
              <w:ind w:left="2087" w:right="2084"/>
              <w:rPr>
                <w:rFonts w:ascii="Times New Roman"/>
                <w:sz w:val="21"/>
              </w:rPr>
            </w:pPr>
            <w:r>
              <w:rPr>
                <w:rFonts w:ascii="Times New Roman"/>
                <w:sz w:val="21"/>
              </w:rPr>
              <w:t>55</w:t>
            </w:r>
          </w:p>
        </w:tc>
      </w:tr>
    </w:tbl>
    <w:p>
      <w:pPr>
        <w:pStyle w:val="ListParagraph"/>
        <w:numPr>
          <w:ilvl w:val="0"/>
          <w:numId w:val="9"/>
        </w:numPr>
        <w:tabs>
          <w:tab w:pos="1003" w:val="left" w:leader="none"/>
        </w:tabs>
        <w:spacing w:line="240" w:lineRule="auto" w:before="2" w:after="0"/>
        <w:ind w:left="1002" w:right="0" w:hanging="282"/>
        <w:jc w:val="left"/>
        <w:rPr>
          <w:b/>
          <w:sz w:val="24"/>
        </w:rPr>
      </w:pPr>
      <w:r>
        <w:rPr>
          <w:b/>
          <w:sz w:val="24"/>
        </w:rPr>
        <w:t>固废标准</w:t>
      </w:r>
    </w:p>
    <w:p>
      <w:pPr>
        <w:pStyle w:val="BodyText"/>
        <w:spacing w:line="362" w:lineRule="auto" w:before="161"/>
        <w:ind w:left="238" w:right="234" w:firstLine="480"/>
      </w:pPr>
      <w:r>
        <w:rPr>
          <w:spacing w:val="-9"/>
        </w:rPr>
        <w:t>危险废物储存执行 </w:t>
      </w:r>
      <w:r>
        <w:rPr>
          <w:rFonts w:ascii="Times New Roman" w:hAnsi="Times New Roman" w:eastAsia="Times New Roman"/>
        </w:rPr>
        <w:t>GB18597-2001</w:t>
      </w:r>
      <w:r>
        <w:rPr>
          <w:spacing w:val="-11"/>
        </w:rPr>
        <w:t>《危险废物贮存污染控制标准》，同时还需执行环</w:t>
      </w:r>
      <w:r>
        <w:rPr>
          <w:spacing w:val="-1"/>
        </w:rPr>
        <w:t>境保护部公告 </w:t>
      </w:r>
      <w:r>
        <w:rPr>
          <w:rFonts w:ascii="Times New Roman" w:hAnsi="Times New Roman" w:eastAsia="Times New Roman"/>
        </w:rPr>
        <w:t>“2013 </w:t>
      </w:r>
      <w:r>
        <w:rPr>
          <w:spacing w:val="-16"/>
        </w:rPr>
        <w:t>年 第 </w:t>
      </w:r>
      <w:r>
        <w:rPr>
          <w:rFonts w:ascii="Times New Roman" w:hAnsi="Times New Roman" w:eastAsia="Times New Roman"/>
        </w:rPr>
        <w:t>36 </w:t>
      </w:r>
      <w:r>
        <w:rPr/>
        <w:t>号</w:t>
      </w:r>
      <w:r>
        <w:rPr>
          <w:rFonts w:ascii="Times New Roman" w:hAnsi="Times New Roman" w:eastAsia="Times New Roman"/>
        </w:rPr>
        <w:t>”“</w:t>
      </w:r>
      <w:r>
        <w:rPr>
          <w:spacing w:val="-9"/>
        </w:rPr>
        <w:t>关于发布《一般工业固体废物贮存、处置场污染控制</w:t>
      </w:r>
    </w:p>
    <w:p>
      <w:pPr>
        <w:pStyle w:val="BodyText"/>
        <w:spacing w:before="5"/>
        <w:ind w:left="238"/>
      </w:pPr>
      <w:r>
        <w:rPr/>
        <w:t>标准》（</w:t>
      </w:r>
      <w:r>
        <w:rPr>
          <w:rFonts w:ascii="Times New Roman" w:hAnsi="Times New Roman" w:eastAsia="Times New Roman"/>
        </w:rPr>
        <w:t>GB18599-2001</w:t>
      </w:r>
      <w:r>
        <w:rPr/>
        <w:t>）等 </w:t>
      </w:r>
      <w:r>
        <w:rPr>
          <w:rFonts w:ascii="Times New Roman" w:hAnsi="Times New Roman" w:eastAsia="Times New Roman"/>
        </w:rPr>
        <w:t>3 </w:t>
      </w:r>
      <w:r>
        <w:rPr/>
        <w:t>项国家污染物控制标准修改单的公告</w:t>
      </w:r>
      <w:r>
        <w:rPr>
          <w:rFonts w:ascii="Times New Roman" w:hAnsi="Times New Roman" w:eastAsia="Times New Roman"/>
        </w:rPr>
        <w:t>”</w:t>
      </w:r>
      <w:r>
        <w:rPr/>
        <w:t>要求。</w:t>
      </w:r>
    </w:p>
    <w:p>
      <w:pPr>
        <w:pStyle w:val="BodyText"/>
        <w:spacing w:line="364" w:lineRule="auto" w:before="158"/>
        <w:ind w:left="238" w:right="112" w:firstLine="480"/>
      </w:pPr>
      <w:r>
        <w:rPr>
          <w:spacing w:val="-9"/>
        </w:rPr>
        <w:t>根据《一般工业固体废物贮存和填埋污染物控制标准</w:t>
      </w:r>
      <w:r>
        <w:rPr>
          <w:spacing w:val="-195"/>
        </w:rPr>
        <w:t>》</w:t>
      </w:r>
      <w:r>
        <w:rPr/>
        <w:t>（</w:t>
      </w:r>
      <w:r>
        <w:rPr>
          <w:rFonts w:ascii="Times New Roman" w:hAnsi="Times New Roman" w:eastAsia="Times New Roman"/>
        </w:rPr>
        <w:t>GB18599</w:t>
      </w:r>
      <w:r>
        <w:rPr>
          <w:rFonts w:ascii="Times New Roman" w:hAnsi="Times New Roman" w:eastAsia="Times New Roman"/>
          <w:spacing w:val="-1"/>
        </w:rPr>
        <w:t>-</w:t>
      </w:r>
      <w:r>
        <w:rPr>
          <w:rFonts w:ascii="Times New Roman" w:hAnsi="Times New Roman" w:eastAsia="Times New Roman"/>
        </w:rPr>
        <w:t>2020</w:t>
      </w:r>
      <w:r>
        <w:rPr>
          <w:spacing w:val="-120"/>
        </w:rPr>
        <w:t>）</w:t>
      </w:r>
      <w:r>
        <w:rPr>
          <w:spacing w:val="-16"/>
        </w:rPr>
        <w:t>：采用库房、</w:t>
      </w:r>
      <w:r>
        <w:rPr>
          <w:spacing w:val="-9"/>
        </w:rPr>
        <w:t>包装工具</w:t>
      </w:r>
      <w:r>
        <w:rPr/>
        <w:t>（</w:t>
      </w:r>
      <w:r>
        <w:rPr>
          <w:spacing w:val="-11"/>
        </w:rPr>
        <w:t>罐、桶、包装袋等</w:t>
      </w:r>
      <w:r>
        <w:rPr>
          <w:spacing w:val="-34"/>
        </w:rPr>
        <w:t>）</w:t>
      </w:r>
      <w:r>
        <w:rPr>
          <w:spacing w:val="-3"/>
        </w:rPr>
        <w:t>贮存一般工业固体废物过程的污染控制，不适用本标准， </w:t>
      </w:r>
      <w:r>
        <w:rPr>
          <w:spacing w:val="-5"/>
        </w:rPr>
        <w:t>其贮存过程应满足相应防渗漏、防雨淋、防扬尘等环境保护要求。”项目一般工业固废</w:t>
      </w:r>
      <w:r>
        <w:rPr>
          <w:spacing w:val="-14"/>
        </w:rPr>
        <w:t>均储存于库房内，因此贮存过程还需满足相应防渗漏、防雨淋、防扬尘等环境保护要求。</w:t>
      </w:r>
    </w:p>
    <w:p>
      <w:pPr>
        <w:pStyle w:val="Heading3"/>
        <w:numPr>
          <w:ilvl w:val="1"/>
          <w:numId w:val="6"/>
        </w:numPr>
        <w:tabs>
          <w:tab w:pos="801" w:val="left" w:leader="none"/>
        </w:tabs>
        <w:spacing w:line="358" w:lineRule="exact" w:before="0" w:after="0"/>
        <w:ind w:left="800" w:right="0" w:hanging="421"/>
        <w:jc w:val="left"/>
      </w:pPr>
      <w:bookmarkStart w:name="_bookmark11" w:id="23"/>
      <w:bookmarkEnd w:id="23"/>
      <w:r>
        <w:rPr>
          <w:b w:val="0"/>
        </w:rPr>
      </w:r>
      <w:bookmarkStart w:name="_bookmark11" w:id="24"/>
      <w:bookmarkEnd w:id="24"/>
      <w:r>
        <w:rPr/>
        <w:t>评价等级</w:t>
      </w:r>
    </w:p>
    <w:p>
      <w:pPr>
        <w:pStyle w:val="Heading4"/>
        <w:spacing w:before="185"/>
        <w:ind w:left="711"/>
      </w:pPr>
      <w:r>
        <w:rPr>
          <w:rFonts w:ascii="Times New Roman" w:eastAsia="Times New Roman"/>
        </w:rPr>
        <w:t>1</w:t>
      </w:r>
      <w:r>
        <w:rPr/>
        <w:t>、地表水环境</w:t>
      </w:r>
    </w:p>
    <w:p>
      <w:pPr>
        <w:pStyle w:val="BodyText"/>
        <w:spacing w:line="364" w:lineRule="auto" w:before="160"/>
        <w:ind w:left="238" w:right="235" w:firstLine="480"/>
        <w:jc w:val="both"/>
      </w:pPr>
      <w:r>
        <w:rPr>
          <w:spacing w:val="-3"/>
        </w:rPr>
        <w:t>项目废水经厂区污水处理设施处理达污水纳管标准后排入上虞污水处理厂，不排入</w:t>
      </w:r>
      <w:r>
        <w:rPr>
          <w:spacing w:val="-5"/>
        </w:rPr>
        <w:t>附近河道。依据《环境影响评价技术导则地表水环境》</w:t>
      </w:r>
      <w:r>
        <w:rPr>
          <w:spacing w:val="4"/>
        </w:rPr>
        <w:t>（</w:t>
      </w:r>
      <w:r>
        <w:rPr>
          <w:rFonts w:ascii="Times New Roman" w:eastAsia="Times New Roman"/>
          <w:w w:val="99"/>
        </w:rPr>
        <w:t>HJ2.</w:t>
      </w:r>
      <w:r>
        <w:rPr>
          <w:rFonts w:ascii="Times New Roman" w:eastAsia="Times New Roman"/>
          <w:spacing w:val="-1"/>
          <w:w w:val="99"/>
        </w:rPr>
        <w:t>3</w:t>
      </w:r>
      <w:r>
        <w:rPr>
          <w:rFonts w:ascii="Times New Roman" w:eastAsia="Times New Roman"/>
          <w:spacing w:val="-1"/>
          <w:w w:val="99"/>
        </w:rPr>
        <w:t>-</w:t>
      </w:r>
      <w:r>
        <w:rPr>
          <w:rFonts w:ascii="Times New Roman" w:eastAsia="Times New Roman"/>
          <w:w w:val="99"/>
        </w:rPr>
        <w:t>201</w:t>
      </w:r>
      <w:r>
        <w:rPr>
          <w:rFonts w:ascii="Times New Roman" w:eastAsia="Times New Roman"/>
          <w:spacing w:val="2"/>
          <w:w w:val="99"/>
        </w:rPr>
        <w:t>8</w:t>
      </w:r>
      <w:r>
        <w:rPr>
          <w:spacing w:val="-118"/>
          <w:w w:val="99"/>
        </w:rPr>
        <w:t>）</w:t>
      </w:r>
      <w:r>
        <w:rPr>
          <w:spacing w:val="-2"/>
          <w:w w:val="99"/>
        </w:rPr>
        <w:t>，项目地表水环境</w:t>
      </w:r>
      <w:r>
        <w:rPr>
          <w:spacing w:val="-8"/>
        </w:rPr>
        <w:t>评价等级为三级 </w:t>
      </w:r>
      <w:r>
        <w:rPr>
          <w:rFonts w:ascii="Times New Roman" w:eastAsia="Times New Roman"/>
        </w:rPr>
        <w:t>B</w:t>
      </w:r>
      <w:r>
        <w:rPr/>
        <w:t>。</w:t>
      </w:r>
    </w:p>
    <w:p>
      <w:pPr>
        <w:pStyle w:val="BodyText"/>
        <w:spacing w:line="364" w:lineRule="auto"/>
        <w:ind w:left="238" w:right="232" w:firstLine="480"/>
        <w:jc w:val="both"/>
      </w:pPr>
      <w:r>
        <w:rPr>
          <w:spacing w:val="-7"/>
        </w:rPr>
        <w:t>根据《环境影响评价技术导则 地表水环境》</w:t>
      </w:r>
      <w:r>
        <w:rPr/>
        <w:t>（</w:t>
      </w:r>
      <w:r>
        <w:rPr>
          <w:rFonts w:ascii="Times New Roman" w:eastAsia="Times New Roman"/>
        </w:rPr>
        <w:t>HJ/T</w:t>
      </w:r>
      <w:r>
        <w:rPr>
          <w:rFonts w:ascii="Times New Roman" w:eastAsia="Times New Roman"/>
          <w:spacing w:val="54"/>
        </w:rPr>
        <w:t> </w:t>
      </w:r>
      <w:r>
        <w:rPr>
          <w:rFonts w:ascii="Times New Roman" w:eastAsia="Times New Roman"/>
        </w:rPr>
        <w:t>2.3-2018</w:t>
      </w:r>
      <w:r>
        <w:rPr/>
        <w:t>）</w:t>
      </w:r>
      <w:r>
        <w:rPr>
          <w:spacing w:val="-23"/>
        </w:rPr>
        <w:t>中 </w:t>
      </w:r>
      <w:r>
        <w:rPr>
          <w:rFonts w:ascii="Times New Roman" w:eastAsia="Times New Roman"/>
        </w:rPr>
        <w:t>6.6 </w:t>
      </w:r>
      <w:r>
        <w:rPr>
          <w:spacing w:val="-23"/>
        </w:rPr>
        <w:t>及 </w:t>
      </w:r>
      <w:r>
        <w:rPr>
          <w:rFonts w:ascii="Times New Roman" w:eastAsia="Times New Roman"/>
        </w:rPr>
        <w:t>8.1 </w:t>
      </w:r>
      <w:r>
        <w:rPr>
          <w:spacing w:val="-5"/>
        </w:rPr>
        <w:t>条款规</w:t>
      </w:r>
      <w:r>
        <w:rPr>
          <w:spacing w:val="-20"/>
        </w:rPr>
        <w:t>定，三级 </w:t>
      </w:r>
      <w:r>
        <w:rPr>
          <w:rFonts w:ascii="Times New Roman" w:eastAsia="Times New Roman"/>
        </w:rPr>
        <w:t>B </w:t>
      </w:r>
      <w:r>
        <w:rPr>
          <w:spacing w:val="-4"/>
        </w:rPr>
        <w:t>可不开展区域污染源调查，主要调查依托污水处理设施的日处理能力、处理</w:t>
      </w:r>
      <w:r>
        <w:rPr>
          <w:spacing w:val="-9"/>
        </w:rPr>
        <w:t>工艺、设计进水水质、处理后的废水稳定达标排放情况，同时应调查依托污水处理设施</w:t>
      </w:r>
      <w:r>
        <w:rPr>
          <w:spacing w:val="-3"/>
        </w:rPr>
        <w:t>执行的排放标准是否涵盖建设项目排放的有毒有害的特征污染物。主要评价水污染控制</w:t>
      </w:r>
      <w:r>
        <w:rPr/>
        <w:t>和水环境影响减缓措施有效性评价；依托污水处理设施的环境可行性评价。</w:t>
      </w:r>
    </w:p>
    <w:p>
      <w:pPr>
        <w:pStyle w:val="Heading4"/>
        <w:spacing w:line="306" w:lineRule="exact"/>
        <w:ind w:left="721"/>
      </w:pPr>
      <w:r>
        <w:rPr>
          <w:rFonts w:ascii="Times New Roman" w:eastAsia="Times New Roman"/>
        </w:rPr>
        <w:t>2</w:t>
      </w:r>
      <w:r>
        <w:rPr/>
        <w:t>、地下水环境</w:t>
      </w:r>
    </w:p>
    <w:p>
      <w:pPr>
        <w:pStyle w:val="BodyText"/>
        <w:spacing w:line="364" w:lineRule="auto" w:before="158"/>
        <w:ind w:left="238" w:right="114" w:firstLine="480"/>
      </w:pPr>
      <w:r>
        <w:rPr>
          <w:spacing w:val="-4"/>
        </w:rPr>
        <w:t>根据《环境影响评价技术导则 地下水环境</w:t>
      </w:r>
      <w:r>
        <w:rPr>
          <w:spacing w:val="-132"/>
        </w:rPr>
        <w:t>》</w:t>
      </w:r>
      <w:r>
        <w:rPr/>
        <w:t>（</w:t>
      </w:r>
      <w:r>
        <w:rPr>
          <w:rFonts w:ascii="Times New Roman" w:hAnsi="Times New Roman" w:eastAsia="Times New Roman"/>
        </w:rPr>
        <w:t>HJ6l0-2016</w:t>
      </w:r>
      <w:r>
        <w:rPr/>
        <w:t>）</w:t>
      </w:r>
      <w:r>
        <w:rPr>
          <w:spacing w:val="-21"/>
        </w:rPr>
        <w:t>附录 </w:t>
      </w:r>
      <w:r>
        <w:rPr>
          <w:rFonts w:ascii="Times New Roman" w:hAnsi="Times New Roman" w:eastAsia="Times New Roman"/>
        </w:rPr>
        <w:t>A</w:t>
      </w:r>
      <w:r>
        <w:rPr>
          <w:rFonts w:ascii="Times New Roman" w:hAnsi="Times New Roman" w:eastAsia="Times New Roman"/>
          <w:spacing w:val="-3"/>
        </w:rPr>
        <w:t> </w:t>
      </w:r>
      <w:r>
        <w:rPr/>
        <w:t>地下水环境影响评价行业分类表，项目属于“</w:t>
      </w:r>
      <w:r>
        <w:rPr>
          <w:rFonts w:ascii="Times New Roman" w:hAnsi="Times New Roman" w:eastAsia="Times New Roman"/>
        </w:rPr>
        <w:t>L</w:t>
      </w:r>
      <w:r>
        <w:rPr>
          <w:rFonts w:ascii="Times New Roman" w:hAnsi="Times New Roman" w:eastAsia="Times New Roman"/>
          <w:spacing w:val="21"/>
        </w:rPr>
        <w:t> </w:t>
      </w:r>
      <w:r>
        <w:rPr/>
        <w:t>石化、化工 </w:t>
      </w:r>
      <w:r>
        <w:rPr>
          <w:rFonts w:ascii="Times New Roman" w:hAnsi="Times New Roman" w:eastAsia="Times New Roman"/>
        </w:rPr>
        <w:t>85</w:t>
      </w:r>
      <w:r>
        <w:rPr>
          <w:rFonts w:ascii="Times New Roman" w:hAnsi="Times New Roman" w:eastAsia="Times New Roman"/>
          <w:spacing w:val="21"/>
        </w:rPr>
        <w:t> </w:t>
      </w:r>
      <w:r>
        <w:rPr/>
        <w:t>农药制造”报告书项目，地下水环境影</w:t>
      </w:r>
      <w:r>
        <w:rPr>
          <w:spacing w:val="-9"/>
        </w:rPr>
        <w:t>响评价类别为 </w:t>
      </w:r>
      <w:r>
        <w:rPr>
          <w:rFonts w:ascii="Times New Roman" w:hAnsi="Times New Roman" w:eastAsia="Times New Roman"/>
        </w:rPr>
        <w:t>I</w:t>
      </w:r>
      <w:r>
        <w:rPr>
          <w:rFonts w:ascii="Times New Roman" w:hAnsi="Times New Roman" w:eastAsia="Times New Roman"/>
          <w:spacing w:val="-4"/>
        </w:rPr>
        <w:t> </w:t>
      </w:r>
      <w:r>
        <w:rPr>
          <w:spacing w:val="-3"/>
        </w:rPr>
        <w:t>类。根据现场勘查及建设单位提供的资料，本项目周边居民均饮用自来</w:t>
      </w:r>
      <w:r>
        <w:rPr>
          <w:spacing w:val="-13"/>
        </w:rPr>
        <w:t>水，不存在“集中式饮用水水源地及保护区和热水、温泉、矿泉水”等地下水“敏感性” </w:t>
      </w:r>
      <w:r>
        <w:rPr/>
        <w:t>区域，也不存在“集中式饮用水水源准保护区以外的径流补给区、分散式饮用水源地、特水地下水资料保护区以外的分布区”等地下水“较敏感性”区域。</w:t>
      </w:r>
    </w:p>
    <w:p>
      <w:pPr>
        <w:pStyle w:val="Heading4"/>
        <w:tabs>
          <w:tab w:pos="4117" w:val="left" w:leader="none"/>
        </w:tabs>
        <w:spacing w:before="139" w:after="28"/>
        <w:ind w:left="2896"/>
      </w:pPr>
      <w:r>
        <w:rPr/>
        <w:t>表</w:t>
      </w:r>
      <w:r>
        <w:rPr>
          <w:spacing w:val="-60"/>
        </w:rPr>
        <w:t> </w:t>
      </w:r>
      <w:r>
        <w:rPr>
          <w:rFonts w:ascii="Times New Roman" w:eastAsia="Times New Roman"/>
        </w:rPr>
        <w:t>2.4.2-1</w:t>
        <w:tab/>
      </w:r>
      <w:r>
        <w:rPr/>
        <w:t>地下水评价工作等级分析表</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
        <w:gridCol w:w="1205"/>
        <w:gridCol w:w="6095"/>
        <w:gridCol w:w="966"/>
        <w:gridCol w:w="701"/>
      </w:tblGrid>
      <w:tr>
        <w:trPr>
          <w:trHeight w:val="282" w:hRule="atLeast"/>
        </w:trPr>
        <w:tc>
          <w:tcPr>
            <w:tcW w:w="1527" w:type="dxa"/>
            <w:gridSpan w:val="2"/>
          </w:tcPr>
          <w:p>
            <w:pPr>
              <w:pStyle w:val="TableParagraph"/>
              <w:spacing w:line="257" w:lineRule="exact" w:before="5"/>
              <w:ind w:left="129"/>
              <w:jc w:val="left"/>
              <w:rPr>
                <w:b/>
                <w:sz w:val="21"/>
              </w:rPr>
            </w:pPr>
            <w:r>
              <w:rPr>
                <w:b/>
                <w:sz w:val="21"/>
              </w:rPr>
              <w:t>等级划分依据</w:t>
            </w:r>
          </w:p>
        </w:tc>
        <w:tc>
          <w:tcPr>
            <w:tcW w:w="6095" w:type="dxa"/>
          </w:tcPr>
          <w:p>
            <w:pPr>
              <w:pStyle w:val="TableParagraph"/>
              <w:spacing w:line="257" w:lineRule="exact" w:before="5"/>
              <w:ind w:left="128" w:right="118"/>
              <w:rPr>
                <w:b/>
                <w:sz w:val="21"/>
              </w:rPr>
            </w:pPr>
            <w:r>
              <w:rPr>
                <w:b/>
                <w:sz w:val="21"/>
              </w:rPr>
              <w:t>情况描述</w:t>
            </w:r>
          </w:p>
        </w:tc>
        <w:tc>
          <w:tcPr>
            <w:tcW w:w="966" w:type="dxa"/>
          </w:tcPr>
          <w:p>
            <w:pPr>
              <w:pStyle w:val="TableParagraph"/>
              <w:spacing w:line="257" w:lineRule="exact" w:before="5"/>
              <w:ind w:left="267"/>
              <w:jc w:val="left"/>
              <w:rPr>
                <w:b/>
                <w:sz w:val="21"/>
              </w:rPr>
            </w:pPr>
            <w:r>
              <w:rPr>
                <w:b/>
                <w:sz w:val="21"/>
              </w:rPr>
              <w:t>类别</w:t>
            </w:r>
          </w:p>
        </w:tc>
        <w:tc>
          <w:tcPr>
            <w:tcW w:w="701" w:type="dxa"/>
          </w:tcPr>
          <w:p>
            <w:pPr>
              <w:pStyle w:val="TableParagraph"/>
              <w:spacing w:line="257" w:lineRule="exact" w:before="5"/>
              <w:ind w:left="113" w:right="112"/>
              <w:rPr>
                <w:b/>
                <w:sz w:val="21"/>
              </w:rPr>
            </w:pPr>
            <w:r>
              <w:rPr>
                <w:b/>
                <w:sz w:val="21"/>
              </w:rPr>
              <w:t>等级</w:t>
            </w:r>
          </w:p>
        </w:tc>
      </w:tr>
      <w:tr>
        <w:trPr>
          <w:trHeight w:val="285" w:hRule="atLeast"/>
        </w:trPr>
        <w:tc>
          <w:tcPr>
            <w:tcW w:w="322" w:type="dxa"/>
          </w:tcPr>
          <w:p>
            <w:pPr>
              <w:pStyle w:val="TableParagraph"/>
              <w:spacing w:before="22"/>
              <w:ind w:left="107"/>
              <w:jc w:val="left"/>
              <w:rPr>
                <w:rFonts w:ascii="Times New Roman"/>
                <w:sz w:val="21"/>
              </w:rPr>
            </w:pPr>
            <w:r>
              <w:rPr>
                <w:rFonts w:ascii="Times New Roman"/>
                <w:w w:val="100"/>
                <w:sz w:val="21"/>
              </w:rPr>
              <w:t>1</w:t>
            </w:r>
          </w:p>
        </w:tc>
        <w:tc>
          <w:tcPr>
            <w:tcW w:w="1205" w:type="dxa"/>
          </w:tcPr>
          <w:p>
            <w:pPr>
              <w:pStyle w:val="TableParagraph"/>
              <w:spacing w:line="257" w:lineRule="exact" w:before="8"/>
              <w:ind w:left="181"/>
              <w:jc w:val="left"/>
              <w:rPr>
                <w:sz w:val="21"/>
              </w:rPr>
            </w:pPr>
            <w:r>
              <w:rPr>
                <w:sz w:val="21"/>
              </w:rPr>
              <w:t>项目类型</w:t>
            </w:r>
          </w:p>
        </w:tc>
        <w:tc>
          <w:tcPr>
            <w:tcW w:w="6095" w:type="dxa"/>
          </w:tcPr>
          <w:p>
            <w:pPr>
              <w:pStyle w:val="TableParagraph"/>
              <w:spacing w:line="257" w:lineRule="exact" w:before="8"/>
              <w:ind w:left="128" w:right="118"/>
              <w:rPr>
                <w:sz w:val="21"/>
              </w:rPr>
            </w:pPr>
            <w:r>
              <w:rPr>
                <w:sz w:val="21"/>
              </w:rPr>
              <w:t>根据《环境影响评价技术导则地下水环境》</w:t>
            </w:r>
            <w:r>
              <w:rPr>
                <w:rFonts w:ascii="Times New Roman" w:eastAsia="Times New Roman"/>
                <w:sz w:val="21"/>
              </w:rPr>
              <w:t>(HJ610-2016)</w:t>
            </w:r>
            <w:r>
              <w:rPr>
                <w:sz w:val="21"/>
              </w:rPr>
              <w:t>判定，</w:t>
            </w:r>
          </w:p>
        </w:tc>
        <w:tc>
          <w:tcPr>
            <w:tcW w:w="966" w:type="dxa"/>
          </w:tcPr>
          <w:p>
            <w:pPr>
              <w:pStyle w:val="TableParagraph"/>
              <w:spacing w:line="257" w:lineRule="exact" w:before="8"/>
              <w:ind w:left="313"/>
              <w:jc w:val="left"/>
              <w:rPr>
                <w:sz w:val="21"/>
              </w:rPr>
            </w:pPr>
            <w:r>
              <w:rPr>
                <w:rFonts w:ascii="Times New Roman" w:eastAsia="Times New Roman"/>
                <w:sz w:val="21"/>
              </w:rPr>
              <w:t>I </w:t>
            </w:r>
            <w:r>
              <w:rPr>
                <w:sz w:val="21"/>
              </w:rPr>
              <w:t>类</w:t>
            </w:r>
          </w:p>
        </w:tc>
        <w:tc>
          <w:tcPr>
            <w:tcW w:w="701" w:type="dxa"/>
          </w:tcPr>
          <w:p>
            <w:pPr>
              <w:pStyle w:val="TableParagraph"/>
              <w:spacing w:line="257" w:lineRule="exact" w:before="8"/>
              <w:ind w:left="115" w:right="109"/>
              <w:rPr>
                <w:sz w:val="21"/>
              </w:rPr>
            </w:pPr>
            <w:r>
              <w:rPr>
                <w:sz w:val="21"/>
              </w:rPr>
              <w:t>二级</w:t>
            </w:r>
          </w:p>
        </w:tc>
      </w:tr>
    </w:tbl>
    <w:p>
      <w:pPr>
        <w:spacing w:after="0" w:line="257" w:lineRule="exact"/>
        <w:rPr>
          <w:sz w:val="21"/>
        </w:rPr>
        <w:sectPr>
          <w:pgSz w:w="11910" w:h="16840"/>
          <w:pgMar w:header="874" w:footer="944" w:top="1340" w:bottom="1140" w:left="1180" w:right="1180"/>
        </w:sectPr>
      </w:pPr>
    </w:p>
    <w:p>
      <w:pPr>
        <w:pStyle w:val="BodyText"/>
        <w:spacing w:before="4"/>
        <w:rPr>
          <w:b/>
          <w:sz w:val="5"/>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
        <w:gridCol w:w="1205"/>
        <w:gridCol w:w="6095"/>
        <w:gridCol w:w="966"/>
        <w:gridCol w:w="701"/>
      </w:tblGrid>
      <w:tr>
        <w:trPr>
          <w:trHeight w:val="282" w:hRule="atLeast"/>
        </w:trPr>
        <w:tc>
          <w:tcPr>
            <w:tcW w:w="1527" w:type="dxa"/>
            <w:gridSpan w:val="2"/>
          </w:tcPr>
          <w:p>
            <w:pPr>
              <w:pStyle w:val="TableParagraph"/>
              <w:spacing w:line="257" w:lineRule="exact" w:before="6"/>
              <w:ind w:left="129"/>
              <w:jc w:val="left"/>
              <w:rPr>
                <w:b/>
                <w:sz w:val="21"/>
              </w:rPr>
            </w:pPr>
            <w:r>
              <w:rPr>
                <w:b/>
                <w:sz w:val="21"/>
              </w:rPr>
              <w:t>等级划分依据</w:t>
            </w:r>
          </w:p>
        </w:tc>
        <w:tc>
          <w:tcPr>
            <w:tcW w:w="6095" w:type="dxa"/>
          </w:tcPr>
          <w:p>
            <w:pPr>
              <w:pStyle w:val="TableParagraph"/>
              <w:spacing w:line="257" w:lineRule="exact" w:before="6"/>
              <w:ind w:left="128" w:right="118"/>
              <w:rPr>
                <w:b/>
                <w:sz w:val="21"/>
              </w:rPr>
            </w:pPr>
            <w:r>
              <w:rPr>
                <w:b/>
                <w:sz w:val="21"/>
              </w:rPr>
              <w:t>情况描述</w:t>
            </w:r>
          </w:p>
        </w:tc>
        <w:tc>
          <w:tcPr>
            <w:tcW w:w="966" w:type="dxa"/>
          </w:tcPr>
          <w:p>
            <w:pPr>
              <w:pStyle w:val="TableParagraph"/>
              <w:spacing w:line="257" w:lineRule="exact" w:before="6"/>
              <w:ind w:left="141" w:right="140"/>
              <w:rPr>
                <w:b/>
                <w:sz w:val="21"/>
              </w:rPr>
            </w:pPr>
            <w:r>
              <w:rPr>
                <w:b/>
                <w:sz w:val="21"/>
              </w:rPr>
              <w:t>类别</w:t>
            </w:r>
          </w:p>
        </w:tc>
        <w:tc>
          <w:tcPr>
            <w:tcW w:w="701" w:type="dxa"/>
          </w:tcPr>
          <w:p>
            <w:pPr>
              <w:pStyle w:val="TableParagraph"/>
              <w:spacing w:line="257" w:lineRule="exact" w:before="6"/>
              <w:ind w:left="134"/>
              <w:jc w:val="left"/>
              <w:rPr>
                <w:b/>
                <w:sz w:val="21"/>
              </w:rPr>
            </w:pPr>
            <w:r>
              <w:rPr>
                <w:b/>
                <w:sz w:val="21"/>
              </w:rPr>
              <w:t>等级</w:t>
            </w:r>
          </w:p>
        </w:tc>
      </w:tr>
      <w:tr>
        <w:trPr>
          <w:trHeight w:val="285" w:hRule="atLeast"/>
        </w:trPr>
        <w:tc>
          <w:tcPr>
            <w:tcW w:w="322" w:type="dxa"/>
          </w:tcPr>
          <w:p>
            <w:pPr>
              <w:pStyle w:val="TableParagraph"/>
              <w:jc w:val="left"/>
              <w:rPr>
                <w:rFonts w:ascii="Times New Roman"/>
                <w:sz w:val="20"/>
              </w:rPr>
            </w:pPr>
          </w:p>
        </w:tc>
        <w:tc>
          <w:tcPr>
            <w:tcW w:w="1205" w:type="dxa"/>
          </w:tcPr>
          <w:p>
            <w:pPr>
              <w:pStyle w:val="TableParagraph"/>
              <w:jc w:val="left"/>
              <w:rPr>
                <w:rFonts w:ascii="Times New Roman"/>
                <w:sz w:val="20"/>
              </w:rPr>
            </w:pPr>
          </w:p>
        </w:tc>
        <w:tc>
          <w:tcPr>
            <w:tcW w:w="6095" w:type="dxa"/>
          </w:tcPr>
          <w:p>
            <w:pPr>
              <w:pStyle w:val="TableParagraph"/>
              <w:spacing w:line="264" w:lineRule="exact" w:before="1"/>
              <w:ind w:left="128" w:right="118"/>
              <w:rPr>
                <w:sz w:val="21"/>
              </w:rPr>
            </w:pPr>
            <w:r>
              <w:rPr>
                <w:sz w:val="21"/>
              </w:rPr>
              <w:t>项目属于 </w:t>
            </w:r>
            <w:r>
              <w:rPr>
                <w:rFonts w:ascii="Times New Roman" w:eastAsia="Times New Roman"/>
                <w:sz w:val="21"/>
              </w:rPr>
              <w:t>I </w:t>
            </w:r>
            <w:r>
              <w:rPr>
                <w:sz w:val="21"/>
              </w:rPr>
              <w:t>类项目。</w:t>
            </w:r>
          </w:p>
        </w:tc>
        <w:tc>
          <w:tcPr>
            <w:tcW w:w="966" w:type="dxa"/>
          </w:tcPr>
          <w:p>
            <w:pPr>
              <w:pStyle w:val="TableParagraph"/>
              <w:jc w:val="left"/>
              <w:rPr>
                <w:rFonts w:ascii="Times New Roman"/>
                <w:sz w:val="20"/>
              </w:rPr>
            </w:pPr>
          </w:p>
        </w:tc>
        <w:tc>
          <w:tcPr>
            <w:tcW w:w="701" w:type="dxa"/>
            <w:vMerge w:val="restart"/>
          </w:tcPr>
          <w:p>
            <w:pPr>
              <w:pStyle w:val="TableParagraph"/>
              <w:jc w:val="left"/>
              <w:rPr>
                <w:rFonts w:ascii="Times New Roman"/>
                <w:sz w:val="20"/>
              </w:rPr>
            </w:pPr>
          </w:p>
        </w:tc>
      </w:tr>
      <w:tr>
        <w:trPr>
          <w:trHeight w:val="544" w:hRule="atLeast"/>
        </w:trPr>
        <w:tc>
          <w:tcPr>
            <w:tcW w:w="322" w:type="dxa"/>
          </w:tcPr>
          <w:p>
            <w:pPr>
              <w:pStyle w:val="TableParagraph"/>
              <w:spacing w:before="151"/>
              <w:ind w:left="107"/>
              <w:jc w:val="left"/>
              <w:rPr>
                <w:rFonts w:ascii="Times New Roman"/>
                <w:sz w:val="21"/>
              </w:rPr>
            </w:pPr>
            <w:r>
              <w:rPr>
                <w:rFonts w:ascii="Times New Roman"/>
                <w:w w:val="100"/>
                <w:sz w:val="21"/>
              </w:rPr>
              <w:t>2</w:t>
            </w:r>
          </w:p>
        </w:tc>
        <w:tc>
          <w:tcPr>
            <w:tcW w:w="1205" w:type="dxa"/>
          </w:tcPr>
          <w:p>
            <w:pPr>
              <w:pStyle w:val="TableParagraph"/>
              <w:spacing w:before="1"/>
              <w:ind w:left="181"/>
              <w:jc w:val="left"/>
              <w:rPr>
                <w:sz w:val="21"/>
              </w:rPr>
            </w:pPr>
            <w:r>
              <w:rPr>
                <w:sz w:val="21"/>
              </w:rPr>
              <w:t>地下水敏</w:t>
            </w:r>
          </w:p>
          <w:p>
            <w:pPr>
              <w:pStyle w:val="TableParagraph"/>
              <w:spacing w:line="252" w:lineRule="exact" w:before="2"/>
              <w:ind w:left="285"/>
              <w:jc w:val="left"/>
              <w:rPr>
                <w:sz w:val="21"/>
              </w:rPr>
            </w:pPr>
            <w:r>
              <w:rPr>
                <w:sz w:val="21"/>
              </w:rPr>
              <w:t>感程度</w:t>
            </w:r>
          </w:p>
        </w:tc>
        <w:tc>
          <w:tcPr>
            <w:tcW w:w="6095" w:type="dxa"/>
          </w:tcPr>
          <w:p>
            <w:pPr>
              <w:pStyle w:val="TableParagraph"/>
              <w:spacing w:before="1"/>
              <w:ind w:left="125" w:right="118"/>
              <w:rPr>
                <w:sz w:val="21"/>
              </w:rPr>
            </w:pPr>
            <w:r>
              <w:rPr>
                <w:sz w:val="21"/>
              </w:rPr>
              <w:t>厂区周边无集中式饮用水源地，不属于水源地保护区和准保护</w:t>
            </w:r>
          </w:p>
          <w:p>
            <w:pPr>
              <w:pStyle w:val="TableParagraph"/>
              <w:spacing w:line="252" w:lineRule="exact" w:before="2"/>
              <w:ind w:left="128" w:right="118"/>
              <w:rPr>
                <w:sz w:val="21"/>
              </w:rPr>
            </w:pPr>
            <w:r>
              <w:rPr>
                <w:sz w:val="21"/>
              </w:rPr>
              <w:t>区。周边居民全部饮用自来水或地表水</w:t>
            </w:r>
            <w:r>
              <w:rPr>
                <w:rFonts w:ascii="Times New Roman" w:eastAsia="Times New Roman"/>
                <w:sz w:val="21"/>
              </w:rPr>
              <w:t>(</w:t>
            </w:r>
            <w:r>
              <w:rPr>
                <w:sz w:val="21"/>
              </w:rPr>
              <w:t>水库</w:t>
            </w:r>
            <w:r>
              <w:rPr>
                <w:rFonts w:ascii="Times New Roman" w:eastAsia="Times New Roman"/>
                <w:sz w:val="21"/>
              </w:rPr>
              <w:t>)</w:t>
            </w:r>
            <w:r>
              <w:rPr>
                <w:sz w:val="21"/>
              </w:rPr>
              <w:t>。</w:t>
            </w:r>
          </w:p>
        </w:tc>
        <w:tc>
          <w:tcPr>
            <w:tcW w:w="966" w:type="dxa"/>
          </w:tcPr>
          <w:p>
            <w:pPr>
              <w:pStyle w:val="TableParagraph"/>
              <w:spacing w:before="137"/>
              <w:ind w:left="146" w:right="140"/>
              <w:rPr>
                <w:sz w:val="21"/>
              </w:rPr>
            </w:pPr>
            <w:r>
              <w:rPr>
                <w:sz w:val="21"/>
              </w:rPr>
              <w:t>不敏感</w:t>
            </w:r>
          </w:p>
        </w:tc>
        <w:tc>
          <w:tcPr>
            <w:tcW w:w="701" w:type="dxa"/>
            <w:vMerge/>
            <w:tcBorders>
              <w:top w:val="nil"/>
            </w:tcBorders>
          </w:tcPr>
          <w:p>
            <w:pPr>
              <w:rPr>
                <w:sz w:val="2"/>
                <w:szCs w:val="2"/>
              </w:rPr>
            </w:pPr>
          </w:p>
        </w:tc>
      </w:tr>
    </w:tbl>
    <w:p>
      <w:pPr>
        <w:pStyle w:val="BodyText"/>
        <w:spacing w:line="364" w:lineRule="auto" w:before="2"/>
        <w:ind w:left="238" w:right="233" w:firstLine="480"/>
        <w:jc w:val="both"/>
      </w:pPr>
      <w:r>
        <w:rPr>
          <w:spacing w:val="-11"/>
        </w:rPr>
        <w:t>根据《环境影响评价技术导则 地下水环境》</w:t>
      </w:r>
      <w:r>
        <w:rPr/>
        <w:t>（</w:t>
      </w:r>
      <w:r>
        <w:rPr>
          <w:rFonts w:ascii="Times New Roman" w:eastAsia="Times New Roman"/>
        </w:rPr>
        <w:t>HJ610-2016</w:t>
      </w:r>
      <w:r>
        <w:rPr/>
        <w:t>）</w:t>
      </w:r>
      <w:r>
        <w:rPr>
          <w:spacing w:val="-31"/>
        </w:rPr>
        <w:t>表 </w:t>
      </w:r>
      <w:r>
        <w:rPr>
          <w:rFonts w:ascii="Times New Roman" w:eastAsia="Times New Roman"/>
        </w:rPr>
        <w:t>2 </w:t>
      </w:r>
      <w:r>
        <w:rPr>
          <w:spacing w:val="-5"/>
        </w:rPr>
        <w:t>判定，项目地下水</w:t>
      </w:r>
      <w:r>
        <w:rPr>
          <w:spacing w:val="-4"/>
        </w:rPr>
        <w:t>环境影响评价等级为二级，采用数值法或解析法进行影响预测，预测污染物运移趋势和</w:t>
      </w:r>
      <w:r>
        <w:rPr/>
        <w:t>对地下水环境保护目标的影响。</w:t>
      </w:r>
    </w:p>
    <w:p>
      <w:pPr>
        <w:pStyle w:val="Heading4"/>
        <w:spacing w:line="362" w:lineRule="auto"/>
        <w:ind w:left="711" w:right="7508"/>
      </w:pPr>
      <w:r>
        <w:rPr>
          <w:rFonts w:ascii="Times New Roman" w:eastAsia="Times New Roman"/>
        </w:rPr>
        <w:t>3</w:t>
      </w:r>
      <w:r>
        <w:rPr/>
        <w:t>、大气环境</w:t>
      </w:r>
      <w:r>
        <w:rPr>
          <w:rFonts w:ascii="Times New Roman" w:eastAsia="Times New Roman"/>
        </w:rPr>
        <w:t>(1)</w:t>
      </w:r>
      <w:r>
        <w:rPr/>
        <w:t>估算模式</w:t>
      </w:r>
    </w:p>
    <w:p>
      <w:pPr>
        <w:pStyle w:val="BodyText"/>
        <w:spacing w:line="364" w:lineRule="auto" w:before="5"/>
        <w:ind w:left="238" w:right="235" w:firstLine="480"/>
        <w:jc w:val="both"/>
      </w:pPr>
      <w:r>
        <w:rPr>
          <w:spacing w:val="36"/>
        </w:rPr>
        <w:t>根据环境影响评价技术导则</w:t>
      </w:r>
      <w:r>
        <w:rPr>
          <w:rFonts w:ascii="Times New Roman" w:hAnsi="Times New Roman" w:eastAsia="Times New Roman"/>
          <w:spacing w:val="-13"/>
        </w:rPr>
        <w:t>— </w:t>
      </w:r>
      <w:r>
        <w:rPr>
          <w:spacing w:val="35"/>
        </w:rPr>
        <w:t>大气环境</w:t>
      </w:r>
      <w:r>
        <w:rPr/>
        <w:t>（</w:t>
      </w:r>
      <w:r>
        <w:rPr>
          <w:spacing w:val="-83"/>
        </w:rPr>
        <w:t> </w:t>
      </w:r>
      <w:r>
        <w:rPr>
          <w:rFonts w:ascii="Times New Roman" w:hAnsi="Times New Roman" w:eastAsia="Times New Roman"/>
        </w:rPr>
        <w:t>HJ2.2-2018 </w:t>
      </w:r>
      <w:r>
        <w:rPr/>
        <w:t>）</w:t>
      </w:r>
      <w:r>
        <w:rPr>
          <w:spacing w:val="2"/>
        </w:rPr>
        <w:t> ， 采用导则推荐的</w:t>
      </w:r>
      <w:r>
        <w:rPr>
          <w:rFonts w:ascii="Times New Roman" w:hAnsi="Times New Roman" w:eastAsia="Times New Roman"/>
          <w:spacing w:val="2"/>
        </w:rPr>
        <w:t>AERSCREEN </w:t>
      </w:r>
      <w:r>
        <w:rPr>
          <w:spacing w:val="-2"/>
        </w:rPr>
        <w:t>估算模式，具体采用宁波六五软件工作室 </w:t>
      </w:r>
      <w:r>
        <w:rPr>
          <w:rFonts w:ascii="Times New Roman" w:hAnsi="Times New Roman" w:eastAsia="Times New Roman"/>
        </w:rPr>
        <w:t>EIAProA2018 </w:t>
      </w:r>
      <w:r>
        <w:rPr/>
        <w:t>软件（</w:t>
      </w:r>
      <w:r>
        <w:rPr>
          <w:spacing w:val="-3"/>
        </w:rPr>
        <w:t>计算内核</w:t>
      </w:r>
      <w:r>
        <w:rPr>
          <w:spacing w:val="-21"/>
        </w:rPr>
        <w:t>采用 </w:t>
      </w:r>
      <w:r>
        <w:rPr>
          <w:rFonts w:ascii="Times New Roman" w:hAnsi="Times New Roman" w:eastAsia="Times New Roman"/>
        </w:rPr>
        <w:t>AERSCREEN </w:t>
      </w:r>
      <w:r>
        <w:rPr>
          <w:spacing w:val="-2"/>
        </w:rPr>
        <w:t>模式</w:t>
      </w:r>
      <w:r>
        <w:rPr/>
        <w:t>）进行估算。</w:t>
      </w:r>
    </w:p>
    <w:p>
      <w:pPr>
        <w:pStyle w:val="Heading4"/>
        <w:spacing w:line="305" w:lineRule="exact"/>
        <w:ind w:left="721"/>
      </w:pPr>
      <w:r>
        <w:rPr>
          <w:rFonts w:ascii="Times New Roman" w:eastAsia="Times New Roman"/>
        </w:rPr>
        <w:t>(2)</w:t>
      </w:r>
      <w:r>
        <w:rPr/>
        <w:t>估算模型参数、估算因子及源强确定</w:t>
      </w:r>
    </w:p>
    <w:p>
      <w:pPr>
        <w:pStyle w:val="BodyText"/>
        <w:spacing w:before="7"/>
        <w:rPr>
          <w:b/>
          <w:sz w:val="23"/>
        </w:rPr>
      </w:pPr>
    </w:p>
    <w:p>
      <w:pPr>
        <w:tabs>
          <w:tab w:pos="1582" w:val="left" w:leader="none"/>
        </w:tabs>
        <w:spacing w:before="0" w:after="29"/>
        <w:ind w:left="359" w:right="0" w:firstLine="0"/>
        <w:jc w:val="center"/>
        <w:rPr>
          <w:b/>
          <w:sz w:val="24"/>
        </w:rPr>
      </w:pPr>
      <w:r>
        <w:rPr>
          <w:b/>
          <w:sz w:val="24"/>
        </w:rPr>
        <w:t>表</w:t>
      </w:r>
      <w:r>
        <w:rPr>
          <w:b/>
          <w:spacing w:val="-59"/>
          <w:sz w:val="24"/>
        </w:rPr>
        <w:t> </w:t>
      </w:r>
      <w:r>
        <w:rPr>
          <w:rFonts w:ascii="Times New Roman" w:eastAsia="Times New Roman"/>
          <w:b/>
          <w:sz w:val="24"/>
        </w:rPr>
        <w:t>2.4.2-2</w:t>
        <w:tab/>
      </w:r>
      <w:r>
        <w:rPr>
          <w:b/>
          <w:sz w:val="24"/>
        </w:rPr>
        <w:t>大气环境影响评价估算模型参数</w:t>
      </w:r>
    </w:p>
    <w:tbl>
      <w:tblPr>
        <w:tblW w:w="0" w:type="auto"/>
        <w:jc w:val="left"/>
        <w:tblInd w:w="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3349"/>
        <w:gridCol w:w="3140"/>
        <w:gridCol w:w="2799"/>
      </w:tblGrid>
      <w:tr>
        <w:trPr>
          <w:trHeight w:val="283" w:hRule="atLeast"/>
        </w:trPr>
        <w:tc>
          <w:tcPr>
            <w:tcW w:w="6489" w:type="dxa"/>
            <w:gridSpan w:val="2"/>
          </w:tcPr>
          <w:p>
            <w:pPr>
              <w:pStyle w:val="TableParagraph"/>
              <w:spacing w:line="257" w:lineRule="exact" w:before="6"/>
              <w:ind w:left="2453" w:right="2452"/>
              <w:rPr>
                <w:b/>
                <w:sz w:val="21"/>
              </w:rPr>
            </w:pPr>
            <w:r>
              <w:rPr>
                <w:b/>
                <w:sz w:val="21"/>
              </w:rPr>
              <w:t>选项</w:t>
            </w:r>
          </w:p>
        </w:tc>
        <w:tc>
          <w:tcPr>
            <w:tcW w:w="2799" w:type="dxa"/>
          </w:tcPr>
          <w:p>
            <w:pPr>
              <w:pStyle w:val="TableParagraph"/>
              <w:spacing w:line="257" w:lineRule="exact" w:before="6"/>
              <w:ind w:left="2"/>
              <w:rPr>
                <w:b/>
                <w:sz w:val="21"/>
              </w:rPr>
            </w:pPr>
            <w:r>
              <w:rPr>
                <w:b/>
                <w:sz w:val="21"/>
              </w:rPr>
              <w:t>参数</w:t>
            </w:r>
          </w:p>
        </w:tc>
      </w:tr>
      <w:tr>
        <w:trPr>
          <w:trHeight w:val="285" w:hRule="atLeast"/>
        </w:trPr>
        <w:tc>
          <w:tcPr>
            <w:tcW w:w="3349" w:type="dxa"/>
            <w:vMerge w:val="restart"/>
          </w:tcPr>
          <w:p>
            <w:pPr>
              <w:pStyle w:val="TableParagraph"/>
              <w:spacing w:before="152"/>
              <w:ind w:left="1015"/>
              <w:jc w:val="left"/>
              <w:rPr>
                <w:sz w:val="21"/>
              </w:rPr>
            </w:pPr>
            <w:r>
              <w:rPr>
                <w:sz w:val="21"/>
              </w:rPr>
              <w:t>城市</w:t>
            </w:r>
            <w:r>
              <w:rPr>
                <w:rFonts w:ascii="Times New Roman" w:eastAsia="Times New Roman"/>
                <w:sz w:val="21"/>
              </w:rPr>
              <w:t>/</w:t>
            </w:r>
            <w:r>
              <w:rPr>
                <w:sz w:val="21"/>
              </w:rPr>
              <w:t>农村选项</w:t>
            </w:r>
          </w:p>
        </w:tc>
        <w:tc>
          <w:tcPr>
            <w:tcW w:w="3140" w:type="dxa"/>
          </w:tcPr>
          <w:p>
            <w:pPr>
              <w:pStyle w:val="TableParagraph"/>
              <w:spacing w:line="257" w:lineRule="exact" w:before="8"/>
              <w:ind w:left="497" w:right="497"/>
              <w:rPr>
                <w:sz w:val="21"/>
              </w:rPr>
            </w:pPr>
            <w:r>
              <w:rPr>
                <w:sz w:val="21"/>
              </w:rPr>
              <w:t>城市</w:t>
            </w:r>
            <w:r>
              <w:rPr>
                <w:rFonts w:ascii="Times New Roman" w:eastAsia="Times New Roman"/>
                <w:sz w:val="21"/>
              </w:rPr>
              <w:t>/</w:t>
            </w:r>
            <w:r>
              <w:rPr>
                <w:sz w:val="21"/>
              </w:rPr>
              <w:t>农村</w:t>
            </w:r>
          </w:p>
        </w:tc>
        <w:tc>
          <w:tcPr>
            <w:tcW w:w="2799" w:type="dxa"/>
          </w:tcPr>
          <w:p>
            <w:pPr>
              <w:pStyle w:val="TableParagraph"/>
              <w:spacing w:line="257" w:lineRule="exact" w:before="8"/>
              <w:ind w:left="2"/>
              <w:rPr>
                <w:sz w:val="21"/>
              </w:rPr>
            </w:pPr>
            <w:r>
              <w:rPr>
                <w:sz w:val="21"/>
              </w:rPr>
              <w:t>城市</w:t>
            </w:r>
          </w:p>
        </w:tc>
      </w:tr>
      <w:tr>
        <w:trPr>
          <w:trHeight w:val="282" w:hRule="atLeast"/>
        </w:trPr>
        <w:tc>
          <w:tcPr>
            <w:tcW w:w="3349" w:type="dxa"/>
            <w:vMerge/>
            <w:tcBorders>
              <w:top w:val="nil"/>
            </w:tcBorders>
          </w:tcPr>
          <w:p>
            <w:pPr>
              <w:rPr>
                <w:sz w:val="2"/>
                <w:szCs w:val="2"/>
              </w:rPr>
            </w:pPr>
          </w:p>
        </w:tc>
        <w:tc>
          <w:tcPr>
            <w:tcW w:w="3140" w:type="dxa"/>
          </w:tcPr>
          <w:p>
            <w:pPr>
              <w:pStyle w:val="TableParagraph"/>
              <w:spacing w:line="257" w:lineRule="exact" w:before="6"/>
              <w:ind w:left="497" w:right="498"/>
              <w:rPr>
                <w:sz w:val="21"/>
              </w:rPr>
            </w:pPr>
            <w:r>
              <w:rPr>
                <w:sz w:val="21"/>
              </w:rPr>
              <w:t>人口数（城市选项时）</w:t>
            </w:r>
          </w:p>
        </w:tc>
        <w:tc>
          <w:tcPr>
            <w:tcW w:w="2799" w:type="dxa"/>
          </w:tcPr>
          <w:p>
            <w:pPr>
              <w:pStyle w:val="TableParagraph"/>
              <w:spacing w:line="257" w:lineRule="exact" w:before="6"/>
              <w:ind w:left="1031"/>
              <w:jc w:val="left"/>
              <w:rPr>
                <w:sz w:val="21"/>
              </w:rPr>
            </w:pPr>
            <w:r>
              <w:rPr>
                <w:rFonts w:ascii="Times New Roman" w:eastAsia="Times New Roman"/>
                <w:sz w:val="21"/>
              </w:rPr>
              <w:t>77.94 </w:t>
            </w:r>
            <w:r>
              <w:rPr>
                <w:sz w:val="21"/>
              </w:rPr>
              <w:t>万</w:t>
            </w:r>
          </w:p>
        </w:tc>
      </w:tr>
      <w:tr>
        <w:trPr>
          <w:trHeight w:val="285" w:hRule="atLeast"/>
        </w:trPr>
        <w:tc>
          <w:tcPr>
            <w:tcW w:w="6489" w:type="dxa"/>
            <w:gridSpan w:val="2"/>
          </w:tcPr>
          <w:p>
            <w:pPr>
              <w:pStyle w:val="TableParagraph"/>
              <w:spacing w:line="257" w:lineRule="exact" w:before="8"/>
              <w:ind w:left="2457" w:right="2452"/>
              <w:rPr>
                <w:rFonts w:ascii="Times New Roman" w:hAnsi="Times New Roman" w:eastAsia="Times New Roman"/>
                <w:sz w:val="21"/>
              </w:rPr>
            </w:pPr>
            <w:r>
              <w:rPr>
                <w:sz w:val="21"/>
              </w:rPr>
              <w:t>最高环境温度</w:t>
            </w:r>
            <w:r>
              <w:rPr>
                <w:rFonts w:ascii="Times New Roman" w:hAnsi="Times New Roman" w:eastAsia="Times New Roman"/>
                <w:sz w:val="21"/>
              </w:rPr>
              <w:t>/℃</w:t>
            </w:r>
          </w:p>
        </w:tc>
        <w:tc>
          <w:tcPr>
            <w:tcW w:w="2799" w:type="dxa"/>
          </w:tcPr>
          <w:p>
            <w:pPr>
              <w:pStyle w:val="TableParagraph"/>
              <w:spacing w:before="22"/>
              <w:ind w:left="2"/>
              <w:rPr>
                <w:rFonts w:ascii="Times New Roman"/>
                <w:sz w:val="21"/>
              </w:rPr>
            </w:pPr>
            <w:r>
              <w:rPr>
                <w:rFonts w:ascii="Times New Roman"/>
                <w:sz w:val="21"/>
              </w:rPr>
              <w:t>40.2</w:t>
            </w:r>
          </w:p>
        </w:tc>
      </w:tr>
      <w:tr>
        <w:trPr>
          <w:trHeight w:val="282" w:hRule="atLeast"/>
        </w:trPr>
        <w:tc>
          <w:tcPr>
            <w:tcW w:w="6489" w:type="dxa"/>
            <w:gridSpan w:val="2"/>
          </w:tcPr>
          <w:p>
            <w:pPr>
              <w:pStyle w:val="TableParagraph"/>
              <w:spacing w:line="257" w:lineRule="exact" w:before="6"/>
              <w:ind w:left="2457" w:right="2452"/>
              <w:rPr>
                <w:rFonts w:ascii="Times New Roman" w:hAnsi="Times New Roman" w:eastAsia="Times New Roman"/>
                <w:sz w:val="21"/>
              </w:rPr>
            </w:pPr>
            <w:r>
              <w:rPr>
                <w:sz w:val="21"/>
              </w:rPr>
              <w:t>最低环境温度</w:t>
            </w:r>
            <w:r>
              <w:rPr>
                <w:rFonts w:ascii="Times New Roman" w:hAnsi="Times New Roman" w:eastAsia="Times New Roman"/>
                <w:sz w:val="21"/>
              </w:rPr>
              <w:t>/℃</w:t>
            </w:r>
          </w:p>
        </w:tc>
        <w:tc>
          <w:tcPr>
            <w:tcW w:w="2799" w:type="dxa"/>
          </w:tcPr>
          <w:p>
            <w:pPr>
              <w:pStyle w:val="TableParagraph"/>
              <w:spacing w:before="20"/>
              <w:rPr>
                <w:rFonts w:ascii="Times New Roman"/>
                <w:sz w:val="21"/>
              </w:rPr>
            </w:pPr>
            <w:r>
              <w:rPr>
                <w:rFonts w:ascii="Times New Roman"/>
                <w:sz w:val="21"/>
              </w:rPr>
              <w:t>-5.9</w:t>
            </w:r>
          </w:p>
        </w:tc>
      </w:tr>
      <w:tr>
        <w:trPr>
          <w:trHeight w:val="282" w:hRule="atLeast"/>
        </w:trPr>
        <w:tc>
          <w:tcPr>
            <w:tcW w:w="6489" w:type="dxa"/>
            <w:gridSpan w:val="2"/>
          </w:tcPr>
          <w:p>
            <w:pPr>
              <w:pStyle w:val="TableParagraph"/>
              <w:spacing w:line="257" w:lineRule="exact" w:before="6"/>
              <w:ind w:left="2457" w:right="2452"/>
              <w:rPr>
                <w:sz w:val="21"/>
              </w:rPr>
            </w:pPr>
            <w:r>
              <w:rPr>
                <w:sz w:val="21"/>
              </w:rPr>
              <w:t>土地利用类型</w:t>
            </w:r>
          </w:p>
        </w:tc>
        <w:tc>
          <w:tcPr>
            <w:tcW w:w="2799" w:type="dxa"/>
          </w:tcPr>
          <w:p>
            <w:pPr>
              <w:pStyle w:val="TableParagraph"/>
              <w:spacing w:line="257" w:lineRule="exact" w:before="6"/>
              <w:ind w:left="4"/>
              <w:rPr>
                <w:sz w:val="21"/>
              </w:rPr>
            </w:pPr>
            <w:r>
              <w:rPr>
                <w:sz w:val="21"/>
              </w:rPr>
              <w:t>工业用地</w:t>
            </w:r>
          </w:p>
        </w:tc>
      </w:tr>
      <w:tr>
        <w:trPr>
          <w:trHeight w:val="285" w:hRule="atLeast"/>
        </w:trPr>
        <w:tc>
          <w:tcPr>
            <w:tcW w:w="6489" w:type="dxa"/>
            <w:gridSpan w:val="2"/>
          </w:tcPr>
          <w:p>
            <w:pPr>
              <w:pStyle w:val="TableParagraph"/>
              <w:spacing w:line="257" w:lineRule="exact" w:before="8"/>
              <w:ind w:left="2457" w:right="2452"/>
              <w:rPr>
                <w:sz w:val="21"/>
              </w:rPr>
            </w:pPr>
            <w:r>
              <w:rPr>
                <w:sz w:val="21"/>
              </w:rPr>
              <w:t>区域湿度条件</w:t>
            </w:r>
          </w:p>
        </w:tc>
        <w:tc>
          <w:tcPr>
            <w:tcW w:w="2799" w:type="dxa"/>
          </w:tcPr>
          <w:p>
            <w:pPr>
              <w:pStyle w:val="TableParagraph"/>
              <w:spacing w:line="257" w:lineRule="exact" w:before="8"/>
              <w:ind w:left="2"/>
              <w:rPr>
                <w:sz w:val="21"/>
              </w:rPr>
            </w:pPr>
            <w:r>
              <w:rPr>
                <w:w w:val="100"/>
                <w:sz w:val="21"/>
              </w:rPr>
              <w:t>湿</w:t>
            </w:r>
          </w:p>
        </w:tc>
      </w:tr>
      <w:tr>
        <w:trPr>
          <w:trHeight w:val="283" w:hRule="atLeast"/>
        </w:trPr>
        <w:tc>
          <w:tcPr>
            <w:tcW w:w="3349" w:type="dxa"/>
            <w:vMerge w:val="restart"/>
          </w:tcPr>
          <w:p>
            <w:pPr>
              <w:pStyle w:val="TableParagraph"/>
              <w:spacing w:before="152"/>
              <w:ind w:left="1043"/>
              <w:jc w:val="left"/>
              <w:rPr>
                <w:sz w:val="21"/>
              </w:rPr>
            </w:pPr>
            <w:r>
              <w:rPr>
                <w:sz w:val="21"/>
              </w:rPr>
              <w:t>是否考虑地形</w:t>
            </w:r>
          </w:p>
        </w:tc>
        <w:tc>
          <w:tcPr>
            <w:tcW w:w="3140" w:type="dxa"/>
          </w:tcPr>
          <w:p>
            <w:pPr>
              <w:pStyle w:val="TableParagraph"/>
              <w:spacing w:line="257" w:lineRule="exact" w:before="6"/>
              <w:ind w:left="497" w:right="497"/>
              <w:rPr>
                <w:sz w:val="21"/>
              </w:rPr>
            </w:pPr>
            <w:r>
              <w:rPr>
                <w:sz w:val="21"/>
              </w:rPr>
              <w:t>考虑地形</w:t>
            </w:r>
          </w:p>
        </w:tc>
        <w:tc>
          <w:tcPr>
            <w:tcW w:w="2799" w:type="dxa"/>
          </w:tcPr>
          <w:p>
            <w:pPr>
              <w:pStyle w:val="TableParagraph"/>
              <w:tabs>
                <w:tab w:pos="646" w:val="left" w:leader="none"/>
              </w:tabs>
              <w:spacing w:line="257" w:lineRule="exact" w:before="6"/>
              <w:ind w:left="3"/>
              <w:rPr>
                <w:sz w:val="21"/>
              </w:rPr>
            </w:pPr>
            <w:r>
              <w:rPr>
                <w:rFonts w:ascii="Times New Roman" w:hAnsi="Times New Roman" w:eastAsia="Times New Roman"/>
                <w:sz w:val="21"/>
              </w:rPr>
              <w:t>√</w:t>
            </w:r>
            <w:r>
              <w:rPr>
                <w:sz w:val="21"/>
              </w:rPr>
              <w:t>是</w:t>
              <w:tab/>
            </w:r>
            <w:r>
              <w:rPr>
                <w:rFonts w:ascii="Times New Roman" w:hAnsi="Times New Roman" w:eastAsia="Times New Roman"/>
                <w:spacing w:val="-3"/>
                <w:sz w:val="21"/>
              </w:rPr>
              <w:t>□</w:t>
            </w:r>
            <w:r>
              <w:rPr>
                <w:sz w:val="21"/>
              </w:rPr>
              <w:t>否</w:t>
            </w:r>
          </w:p>
        </w:tc>
      </w:tr>
      <w:tr>
        <w:trPr>
          <w:trHeight w:val="285" w:hRule="atLeast"/>
        </w:trPr>
        <w:tc>
          <w:tcPr>
            <w:tcW w:w="3349" w:type="dxa"/>
            <w:vMerge/>
            <w:tcBorders>
              <w:top w:val="nil"/>
            </w:tcBorders>
          </w:tcPr>
          <w:p>
            <w:pPr>
              <w:rPr>
                <w:sz w:val="2"/>
                <w:szCs w:val="2"/>
              </w:rPr>
            </w:pPr>
          </w:p>
        </w:tc>
        <w:tc>
          <w:tcPr>
            <w:tcW w:w="3140" w:type="dxa"/>
          </w:tcPr>
          <w:p>
            <w:pPr>
              <w:pStyle w:val="TableParagraph"/>
              <w:spacing w:line="257" w:lineRule="exact" w:before="8"/>
              <w:ind w:left="497" w:right="498"/>
              <w:rPr>
                <w:rFonts w:ascii="Times New Roman" w:eastAsia="Times New Roman"/>
                <w:sz w:val="21"/>
              </w:rPr>
            </w:pPr>
            <w:r>
              <w:rPr>
                <w:sz w:val="21"/>
              </w:rPr>
              <w:t>地形数据分辨率</w:t>
            </w:r>
            <w:r>
              <w:rPr>
                <w:rFonts w:ascii="Times New Roman" w:eastAsia="Times New Roman"/>
                <w:sz w:val="21"/>
              </w:rPr>
              <w:t>/m</w:t>
            </w:r>
          </w:p>
        </w:tc>
        <w:tc>
          <w:tcPr>
            <w:tcW w:w="2799" w:type="dxa"/>
          </w:tcPr>
          <w:p>
            <w:pPr>
              <w:pStyle w:val="TableParagraph"/>
              <w:spacing w:before="22"/>
              <w:ind w:left="2"/>
              <w:rPr>
                <w:rFonts w:ascii="Times New Roman"/>
                <w:sz w:val="21"/>
              </w:rPr>
            </w:pPr>
            <w:r>
              <w:rPr>
                <w:rFonts w:ascii="Times New Roman"/>
                <w:sz w:val="21"/>
              </w:rPr>
              <w:t>90</w:t>
            </w:r>
          </w:p>
        </w:tc>
      </w:tr>
      <w:tr>
        <w:trPr>
          <w:trHeight w:val="283" w:hRule="atLeast"/>
        </w:trPr>
        <w:tc>
          <w:tcPr>
            <w:tcW w:w="3349" w:type="dxa"/>
            <w:vMerge w:val="restart"/>
          </w:tcPr>
          <w:p>
            <w:pPr>
              <w:pStyle w:val="TableParagraph"/>
              <w:spacing w:before="1"/>
              <w:jc w:val="left"/>
              <w:rPr>
                <w:b/>
                <w:sz w:val="23"/>
              </w:rPr>
            </w:pPr>
          </w:p>
          <w:p>
            <w:pPr>
              <w:pStyle w:val="TableParagraph"/>
              <w:ind w:left="727"/>
              <w:jc w:val="left"/>
              <w:rPr>
                <w:sz w:val="21"/>
              </w:rPr>
            </w:pPr>
            <w:r>
              <w:rPr>
                <w:sz w:val="21"/>
              </w:rPr>
              <w:t>是否考虑海岸线熏烟</w:t>
            </w:r>
          </w:p>
        </w:tc>
        <w:tc>
          <w:tcPr>
            <w:tcW w:w="3140" w:type="dxa"/>
          </w:tcPr>
          <w:p>
            <w:pPr>
              <w:pStyle w:val="TableParagraph"/>
              <w:spacing w:line="257" w:lineRule="exact" w:before="6"/>
              <w:ind w:left="497" w:right="498"/>
              <w:rPr>
                <w:sz w:val="21"/>
              </w:rPr>
            </w:pPr>
            <w:r>
              <w:rPr>
                <w:sz w:val="21"/>
              </w:rPr>
              <w:t>考虑海岸线熏烟</w:t>
            </w:r>
          </w:p>
        </w:tc>
        <w:tc>
          <w:tcPr>
            <w:tcW w:w="2799" w:type="dxa"/>
          </w:tcPr>
          <w:p>
            <w:pPr>
              <w:pStyle w:val="TableParagraph"/>
              <w:tabs>
                <w:tab w:pos="658" w:val="left" w:leader="none"/>
              </w:tabs>
              <w:spacing w:line="257" w:lineRule="exact" w:before="6"/>
              <w:ind w:left="3"/>
              <w:rPr>
                <w:sz w:val="21"/>
              </w:rPr>
            </w:pPr>
            <w:r>
              <w:rPr>
                <w:rFonts w:ascii="Times New Roman" w:hAnsi="Times New Roman" w:eastAsia="Times New Roman"/>
                <w:sz w:val="21"/>
              </w:rPr>
              <w:t>□</w:t>
            </w:r>
            <w:r>
              <w:rPr>
                <w:sz w:val="21"/>
              </w:rPr>
              <w:t>是</w:t>
              <w:tab/>
            </w:r>
            <w:r>
              <w:rPr>
                <w:rFonts w:ascii="Times New Roman" w:hAnsi="Times New Roman" w:eastAsia="Times New Roman"/>
                <w:spacing w:val="-4"/>
                <w:sz w:val="21"/>
              </w:rPr>
              <w:t>√</w:t>
            </w:r>
            <w:r>
              <w:rPr>
                <w:sz w:val="21"/>
              </w:rPr>
              <w:t>否</w:t>
            </w:r>
          </w:p>
        </w:tc>
      </w:tr>
      <w:tr>
        <w:trPr>
          <w:trHeight w:val="282" w:hRule="atLeast"/>
        </w:trPr>
        <w:tc>
          <w:tcPr>
            <w:tcW w:w="3349" w:type="dxa"/>
            <w:vMerge/>
            <w:tcBorders>
              <w:top w:val="nil"/>
            </w:tcBorders>
          </w:tcPr>
          <w:p>
            <w:pPr>
              <w:rPr>
                <w:sz w:val="2"/>
                <w:szCs w:val="2"/>
              </w:rPr>
            </w:pPr>
          </w:p>
        </w:tc>
        <w:tc>
          <w:tcPr>
            <w:tcW w:w="3140" w:type="dxa"/>
          </w:tcPr>
          <w:p>
            <w:pPr>
              <w:pStyle w:val="TableParagraph"/>
              <w:spacing w:line="255" w:lineRule="exact" w:before="8"/>
              <w:ind w:left="497" w:right="496"/>
              <w:rPr>
                <w:rFonts w:ascii="Times New Roman" w:eastAsia="Times New Roman"/>
                <w:sz w:val="21"/>
              </w:rPr>
            </w:pPr>
            <w:r>
              <w:rPr>
                <w:sz w:val="21"/>
              </w:rPr>
              <w:t>岸线距离</w:t>
            </w:r>
            <w:r>
              <w:rPr>
                <w:rFonts w:ascii="Times New Roman" w:eastAsia="Times New Roman"/>
                <w:sz w:val="21"/>
              </w:rPr>
              <w:t>/km</w:t>
            </w:r>
          </w:p>
        </w:tc>
        <w:tc>
          <w:tcPr>
            <w:tcW w:w="2799" w:type="dxa"/>
          </w:tcPr>
          <w:p>
            <w:pPr>
              <w:pStyle w:val="TableParagraph"/>
              <w:spacing w:line="241" w:lineRule="exact" w:before="22"/>
              <w:ind w:left="3"/>
              <w:rPr>
                <w:rFonts w:ascii="Times New Roman"/>
                <w:sz w:val="21"/>
              </w:rPr>
            </w:pPr>
            <w:r>
              <w:rPr>
                <w:rFonts w:ascii="Times New Roman"/>
                <w:w w:val="100"/>
                <w:sz w:val="21"/>
              </w:rPr>
              <w:t>/</w:t>
            </w:r>
          </w:p>
        </w:tc>
      </w:tr>
      <w:tr>
        <w:trPr>
          <w:trHeight w:val="285" w:hRule="atLeast"/>
        </w:trPr>
        <w:tc>
          <w:tcPr>
            <w:tcW w:w="3349" w:type="dxa"/>
            <w:vMerge/>
            <w:tcBorders>
              <w:top w:val="nil"/>
            </w:tcBorders>
          </w:tcPr>
          <w:p>
            <w:pPr>
              <w:rPr>
                <w:sz w:val="2"/>
                <w:szCs w:val="2"/>
              </w:rPr>
            </w:pPr>
          </w:p>
        </w:tc>
        <w:tc>
          <w:tcPr>
            <w:tcW w:w="3140" w:type="dxa"/>
          </w:tcPr>
          <w:p>
            <w:pPr>
              <w:pStyle w:val="TableParagraph"/>
              <w:spacing w:line="257" w:lineRule="exact" w:before="8"/>
              <w:ind w:left="497" w:right="495"/>
              <w:rPr>
                <w:rFonts w:ascii="Times New Roman" w:hAnsi="Times New Roman" w:eastAsia="Times New Roman"/>
                <w:sz w:val="21"/>
              </w:rPr>
            </w:pPr>
            <w:r>
              <w:rPr>
                <w:sz w:val="21"/>
              </w:rPr>
              <w:t>岸线方向</w:t>
            </w:r>
            <w:r>
              <w:rPr>
                <w:rFonts w:ascii="Times New Roman" w:hAnsi="Times New Roman" w:eastAsia="Times New Roman"/>
                <w:sz w:val="21"/>
              </w:rPr>
              <w:t>/°</w:t>
            </w:r>
          </w:p>
        </w:tc>
        <w:tc>
          <w:tcPr>
            <w:tcW w:w="2799" w:type="dxa"/>
          </w:tcPr>
          <w:p>
            <w:pPr>
              <w:pStyle w:val="TableParagraph"/>
              <w:spacing w:before="22"/>
              <w:ind w:left="3"/>
              <w:rPr>
                <w:rFonts w:ascii="Times New Roman"/>
                <w:sz w:val="21"/>
              </w:rPr>
            </w:pPr>
            <w:r>
              <w:rPr>
                <w:rFonts w:ascii="Times New Roman"/>
                <w:w w:val="100"/>
                <w:sz w:val="21"/>
              </w:rPr>
              <w:t>/</w:t>
            </w:r>
          </w:p>
        </w:tc>
      </w:tr>
    </w:tbl>
    <w:p>
      <w:pPr>
        <w:pStyle w:val="BodyText"/>
        <w:spacing w:before="2"/>
        <w:ind w:left="718"/>
      </w:pPr>
      <w:r>
        <w:rPr/>
        <w:t>根据项目废气排放特征，污染源参数见下表。</w:t>
      </w:r>
    </w:p>
    <w:p>
      <w:pPr>
        <w:pStyle w:val="BodyText"/>
        <w:spacing w:before="7"/>
        <w:rPr>
          <w:sz w:val="23"/>
        </w:rPr>
      </w:pPr>
    </w:p>
    <w:p>
      <w:pPr>
        <w:pStyle w:val="Heading4"/>
        <w:tabs>
          <w:tab w:pos="1223" w:val="left" w:leader="none"/>
        </w:tabs>
        <w:spacing w:before="1" w:after="28"/>
        <w:ind w:left="1"/>
        <w:jc w:val="center"/>
      </w:pPr>
      <w:r>
        <w:rPr/>
        <w:t>表</w:t>
      </w:r>
      <w:r>
        <w:rPr>
          <w:spacing w:val="-60"/>
        </w:rPr>
        <w:t> </w:t>
      </w:r>
      <w:r>
        <w:rPr>
          <w:rFonts w:ascii="Times New Roman" w:eastAsia="Times New Roman"/>
        </w:rPr>
        <w:t>2.4.2-3</w:t>
        <w:tab/>
      </w:r>
      <w:r>
        <w:rPr/>
        <w:t>点源参数表</w:t>
      </w: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1"/>
        <w:gridCol w:w="852"/>
        <w:gridCol w:w="852"/>
        <w:gridCol w:w="898"/>
        <w:gridCol w:w="811"/>
        <w:gridCol w:w="698"/>
        <w:gridCol w:w="712"/>
        <w:gridCol w:w="708"/>
        <w:gridCol w:w="710"/>
        <w:gridCol w:w="708"/>
        <w:gridCol w:w="425"/>
        <w:gridCol w:w="850"/>
        <w:gridCol w:w="674"/>
      </w:tblGrid>
      <w:tr>
        <w:trPr>
          <w:trHeight w:val="479" w:hRule="atLeast"/>
        </w:trPr>
        <w:tc>
          <w:tcPr>
            <w:tcW w:w="391" w:type="dxa"/>
            <w:tcBorders>
              <w:bottom w:val="nil"/>
            </w:tcBorders>
          </w:tcPr>
          <w:p>
            <w:pPr>
              <w:pStyle w:val="TableParagraph"/>
              <w:jc w:val="left"/>
              <w:rPr>
                <w:b/>
                <w:sz w:val="20"/>
              </w:rPr>
            </w:pPr>
          </w:p>
          <w:p>
            <w:pPr>
              <w:pStyle w:val="TableParagraph"/>
              <w:spacing w:line="203" w:lineRule="exact"/>
              <w:ind w:left="14"/>
              <w:rPr>
                <w:b/>
                <w:sz w:val="18"/>
              </w:rPr>
            </w:pPr>
            <w:r>
              <w:rPr>
                <w:b/>
                <w:w w:val="99"/>
                <w:sz w:val="18"/>
              </w:rPr>
              <w:t>编</w:t>
            </w:r>
          </w:p>
        </w:tc>
        <w:tc>
          <w:tcPr>
            <w:tcW w:w="852" w:type="dxa"/>
            <w:vMerge w:val="restart"/>
          </w:tcPr>
          <w:p>
            <w:pPr>
              <w:pStyle w:val="TableParagraph"/>
              <w:jc w:val="left"/>
              <w:rPr>
                <w:b/>
                <w:sz w:val="18"/>
              </w:rPr>
            </w:pPr>
          </w:p>
          <w:p>
            <w:pPr>
              <w:pStyle w:val="TableParagraph"/>
              <w:spacing w:before="146"/>
              <w:ind w:left="242"/>
              <w:jc w:val="left"/>
              <w:rPr>
                <w:b/>
                <w:sz w:val="18"/>
              </w:rPr>
            </w:pPr>
            <w:r>
              <w:rPr>
                <w:b/>
                <w:sz w:val="18"/>
              </w:rPr>
              <w:t>名称</w:t>
            </w:r>
          </w:p>
        </w:tc>
        <w:tc>
          <w:tcPr>
            <w:tcW w:w="1750" w:type="dxa"/>
            <w:gridSpan w:val="2"/>
          </w:tcPr>
          <w:p>
            <w:pPr>
              <w:pStyle w:val="TableParagraph"/>
              <w:spacing w:line="240" w:lineRule="atLeast" w:before="2"/>
              <w:ind w:left="784" w:right="142" w:hanging="634"/>
              <w:jc w:val="left"/>
              <w:rPr>
                <w:b/>
                <w:sz w:val="18"/>
              </w:rPr>
            </w:pPr>
            <w:r>
              <w:rPr>
                <w:b/>
                <w:sz w:val="18"/>
              </w:rPr>
              <w:t>排气筒底部中心坐标</w:t>
            </w:r>
          </w:p>
        </w:tc>
        <w:tc>
          <w:tcPr>
            <w:tcW w:w="811" w:type="dxa"/>
            <w:tcBorders>
              <w:bottom w:val="nil"/>
            </w:tcBorders>
          </w:tcPr>
          <w:p>
            <w:pPr>
              <w:pStyle w:val="TableParagraph"/>
              <w:spacing w:line="240" w:lineRule="atLeast" w:before="7"/>
              <w:ind w:left="132" w:right="124"/>
              <w:jc w:val="left"/>
              <w:rPr>
                <w:b/>
                <w:sz w:val="18"/>
              </w:rPr>
            </w:pPr>
            <w:r>
              <w:rPr>
                <w:b/>
                <w:sz w:val="18"/>
              </w:rPr>
              <w:t>排气筒底部海</w:t>
            </w:r>
          </w:p>
        </w:tc>
        <w:tc>
          <w:tcPr>
            <w:tcW w:w="698" w:type="dxa"/>
            <w:vMerge w:val="restart"/>
          </w:tcPr>
          <w:p>
            <w:pPr>
              <w:pStyle w:val="TableParagraph"/>
              <w:spacing w:line="249" w:lineRule="auto" w:before="136"/>
              <w:ind w:left="158" w:right="144" w:firstLine="9"/>
              <w:jc w:val="both"/>
              <w:rPr>
                <w:rFonts w:ascii="Times New Roman" w:eastAsia="Times New Roman"/>
                <w:b/>
                <w:sz w:val="18"/>
              </w:rPr>
            </w:pPr>
            <w:r>
              <w:rPr>
                <w:b/>
                <w:sz w:val="18"/>
              </w:rPr>
              <w:t>排气筒高度</w:t>
            </w:r>
            <w:r>
              <w:rPr>
                <w:rFonts w:ascii="Times New Roman" w:eastAsia="Times New Roman"/>
                <w:b/>
                <w:sz w:val="18"/>
              </w:rPr>
              <w:t>/m</w:t>
            </w:r>
          </w:p>
        </w:tc>
        <w:tc>
          <w:tcPr>
            <w:tcW w:w="712" w:type="dxa"/>
            <w:tcBorders>
              <w:bottom w:val="nil"/>
            </w:tcBorders>
          </w:tcPr>
          <w:p>
            <w:pPr>
              <w:pStyle w:val="TableParagraph"/>
              <w:spacing w:line="240" w:lineRule="atLeast" w:before="7"/>
              <w:ind w:left="175" w:right="159"/>
              <w:jc w:val="left"/>
              <w:rPr>
                <w:b/>
                <w:sz w:val="18"/>
              </w:rPr>
            </w:pPr>
            <w:r>
              <w:rPr>
                <w:b/>
                <w:sz w:val="18"/>
              </w:rPr>
              <w:t>排气筒出</w:t>
            </w:r>
          </w:p>
        </w:tc>
        <w:tc>
          <w:tcPr>
            <w:tcW w:w="708" w:type="dxa"/>
            <w:tcBorders>
              <w:bottom w:val="nil"/>
            </w:tcBorders>
          </w:tcPr>
          <w:p>
            <w:pPr>
              <w:pStyle w:val="TableParagraph"/>
              <w:spacing w:line="240" w:lineRule="atLeast" w:before="7"/>
              <w:ind w:left="174" w:right="156"/>
              <w:jc w:val="left"/>
              <w:rPr>
                <w:b/>
                <w:sz w:val="18"/>
              </w:rPr>
            </w:pPr>
            <w:r>
              <w:rPr>
                <w:b/>
                <w:sz w:val="18"/>
              </w:rPr>
              <w:t>烟气流速</w:t>
            </w:r>
          </w:p>
        </w:tc>
        <w:tc>
          <w:tcPr>
            <w:tcW w:w="710" w:type="dxa"/>
            <w:vMerge w:val="restart"/>
          </w:tcPr>
          <w:p>
            <w:pPr>
              <w:pStyle w:val="TableParagraph"/>
              <w:spacing w:line="249" w:lineRule="auto" w:before="136"/>
              <w:ind w:left="174" w:right="158"/>
              <w:rPr>
                <w:b/>
                <w:sz w:val="18"/>
              </w:rPr>
            </w:pPr>
            <w:r>
              <w:rPr>
                <w:b/>
                <w:spacing w:val="-7"/>
                <w:sz w:val="18"/>
              </w:rPr>
              <w:t>烟气温度</w:t>
            </w:r>
          </w:p>
          <w:p>
            <w:pPr>
              <w:pStyle w:val="TableParagraph"/>
              <w:spacing w:before="13"/>
              <w:ind w:left="171" w:right="158"/>
              <w:rPr>
                <w:rFonts w:ascii="Times New Roman"/>
                <w:b/>
                <w:sz w:val="18"/>
              </w:rPr>
            </w:pPr>
            <w:r>
              <w:rPr>
                <w:rFonts w:ascii="Times New Roman"/>
                <w:b/>
                <w:sz w:val="18"/>
              </w:rPr>
              <w:t>/K</w:t>
            </w:r>
          </w:p>
        </w:tc>
        <w:tc>
          <w:tcPr>
            <w:tcW w:w="708" w:type="dxa"/>
            <w:tcBorders>
              <w:bottom w:val="nil"/>
            </w:tcBorders>
          </w:tcPr>
          <w:p>
            <w:pPr>
              <w:pStyle w:val="TableParagraph"/>
              <w:spacing w:line="240" w:lineRule="atLeast" w:before="7"/>
              <w:ind w:left="175" w:right="156"/>
              <w:jc w:val="left"/>
              <w:rPr>
                <w:b/>
                <w:sz w:val="18"/>
              </w:rPr>
            </w:pPr>
            <w:r>
              <w:rPr>
                <w:b/>
                <w:sz w:val="18"/>
              </w:rPr>
              <w:t>年排放小</w:t>
            </w:r>
          </w:p>
        </w:tc>
        <w:tc>
          <w:tcPr>
            <w:tcW w:w="425" w:type="dxa"/>
            <w:tcBorders>
              <w:bottom w:val="nil"/>
            </w:tcBorders>
          </w:tcPr>
          <w:p>
            <w:pPr>
              <w:pStyle w:val="TableParagraph"/>
              <w:spacing w:line="240" w:lineRule="atLeast" w:before="7"/>
              <w:ind w:left="124" w:right="108"/>
              <w:jc w:val="left"/>
              <w:rPr>
                <w:b/>
                <w:sz w:val="18"/>
              </w:rPr>
            </w:pPr>
            <w:r>
              <w:rPr>
                <w:b/>
                <w:sz w:val="18"/>
              </w:rPr>
              <w:t>排放</w:t>
            </w:r>
          </w:p>
        </w:tc>
        <w:tc>
          <w:tcPr>
            <w:tcW w:w="1524" w:type="dxa"/>
            <w:gridSpan w:val="2"/>
          </w:tcPr>
          <w:p>
            <w:pPr>
              <w:pStyle w:val="TableParagraph"/>
              <w:spacing w:before="11"/>
              <w:ind w:left="109" w:right="100"/>
              <w:rPr>
                <w:b/>
                <w:sz w:val="18"/>
              </w:rPr>
            </w:pPr>
            <w:r>
              <w:rPr>
                <w:b/>
                <w:sz w:val="18"/>
              </w:rPr>
              <w:t>污染物排放速率</w:t>
            </w:r>
          </w:p>
          <w:p>
            <w:pPr>
              <w:pStyle w:val="TableParagraph"/>
              <w:spacing w:line="208" w:lineRule="exact" w:before="10"/>
              <w:ind w:left="109" w:right="99"/>
              <w:rPr>
                <w:b/>
                <w:sz w:val="18"/>
              </w:rPr>
            </w:pPr>
            <w:r>
              <w:rPr>
                <w:rFonts w:ascii="Times New Roman" w:eastAsia="Times New Roman"/>
                <w:b/>
                <w:sz w:val="18"/>
              </w:rPr>
              <w:t>/</w:t>
            </w:r>
            <w:r>
              <w:rPr>
                <w:b/>
                <w:sz w:val="18"/>
              </w:rPr>
              <w:t>（</w:t>
            </w:r>
            <w:r>
              <w:rPr>
                <w:rFonts w:ascii="Times New Roman" w:eastAsia="Times New Roman"/>
                <w:b/>
                <w:sz w:val="18"/>
              </w:rPr>
              <w:t>kg/h</w:t>
            </w:r>
            <w:r>
              <w:rPr>
                <w:b/>
                <w:sz w:val="18"/>
              </w:rPr>
              <w:t>）</w:t>
            </w:r>
          </w:p>
        </w:tc>
      </w:tr>
      <w:tr>
        <w:trPr>
          <w:trHeight w:val="472" w:hRule="atLeast"/>
        </w:trPr>
        <w:tc>
          <w:tcPr>
            <w:tcW w:w="391" w:type="dxa"/>
            <w:tcBorders>
              <w:top w:val="nil"/>
            </w:tcBorders>
          </w:tcPr>
          <w:p>
            <w:pPr>
              <w:pStyle w:val="TableParagraph"/>
              <w:spacing w:line="230" w:lineRule="exact"/>
              <w:ind w:left="14"/>
              <w:rPr>
                <w:b/>
                <w:sz w:val="18"/>
              </w:rPr>
            </w:pPr>
            <w:r>
              <w:rPr>
                <w:b/>
                <w:w w:val="99"/>
                <w:sz w:val="18"/>
              </w:rPr>
              <w:t>号</w:t>
            </w:r>
          </w:p>
        </w:tc>
        <w:tc>
          <w:tcPr>
            <w:tcW w:w="852" w:type="dxa"/>
            <w:vMerge/>
            <w:tcBorders>
              <w:top w:val="nil"/>
            </w:tcBorders>
          </w:tcPr>
          <w:p>
            <w:pPr>
              <w:rPr>
                <w:sz w:val="2"/>
                <w:szCs w:val="2"/>
              </w:rPr>
            </w:pPr>
          </w:p>
        </w:tc>
        <w:tc>
          <w:tcPr>
            <w:tcW w:w="852" w:type="dxa"/>
          </w:tcPr>
          <w:p>
            <w:pPr>
              <w:pStyle w:val="TableParagraph"/>
              <w:spacing w:before="136"/>
              <w:ind w:left="7"/>
              <w:rPr>
                <w:rFonts w:ascii="Times New Roman"/>
                <w:b/>
                <w:sz w:val="18"/>
              </w:rPr>
            </w:pPr>
            <w:r>
              <w:rPr>
                <w:rFonts w:ascii="Times New Roman"/>
                <w:b/>
                <w:w w:val="99"/>
                <w:sz w:val="18"/>
              </w:rPr>
              <w:t>X</w:t>
            </w:r>
          </w:p>
        </w:tc>
        <w:tc>
          <w:tcPr>
            <w:tcW w:w="898" w:type="dxa"/>
          </w:tcPr>
          <w:p>
            <w:pPr>
              <w:pStyle w:val="TableParagraph"/>
              <w:spacing w:before="136"/>
              <w:ind w:left="5"/>
              <w:rPr>
                <w:rFonts w:ascii="Times New Roman"/>
                <w:b/>
                <w:sz w:val="18"/>
              </w:rPr>
            </w:pPr>
            <w:r>
              <w:rPr>
                <w:rFonts w:ascii="Times New Roman"/>
                <w:b/>
                <w:w w:val="99"/>
                <w:sz w:val="18"/>
              </w:rPr>
              <w:t>Y</w:t>
            </w:r>
          </w:p>
        </w:tc>
        <w:tc>
          <w:tcPr>
            <w:tcW w:w="811" w:type="dxa"/>
            <w:tcBorders>
              <w:top w:val="nil"/>
            </w:tcBorders>
          </w:tcPr>
          <w:p>
            <w:pPr>
              <w:pStyle w:val="TableParagraph"/>
              <w:spacing w:line="230" w:lineRule="exact"/>
              <w:ind w:left="111" w:right="106"/>
              <w:rPr>
                <w:b/>
                <w:sz w:val="18"/>
              </w:rPr>
            </w:pPr>
            <w:r>
              <w:rPr>
                <w:b/>
                <w:sz w:val="18"/>
              </w:rPr>
              <w:t>拔高度</w:t>
            </w:r>
          </w:p>
          <w:p>
            <w:pPr>
              <w:pStyle w:val="TableParagraph"/>
              <w:spacing w:line="201" w:lineRule="exact" w:before="21"/>
              <w:ind w:left="111" w:right="102"/>
              <w:rPr>
                <w:rFonts w:ascii="Times New Roman"/>
                <w:b/>
                <w:sz w:val="18"/>
              </w:rPr>
            </w:pPr>
            <w:r>
              <w:rPr>
                <w:rFonts w:ascii="Times New Roman"/>
                <w:b/>
                <w:sz w:val="18"/>
              </w:rPr>
              <w:t>/m</w:t>
            </w:r>
          </w:p>
        </w:tc>
        <w:tc>
          <w:tcPr>
            <w:tcW w:w="698" w:type="dxa"/>
            <w:vMerge/>
            <w:tcBorders>
              <w:top w:val="nil"/>
            </w:tcBorders>
          </w:tcPr>
          <w:p>
            <w:pPr>
              <w:rPr>
                <w:sz w:val="2"/>
                <w:szCs w:val="2"/>
              </w:rPr>
            </w:pPr>
          </w:p>
        </w:tc>
        <w:tc>
          <w:tcPr>
            <w:tcW w:w="712" w:type="dxa"/>
            <w:tcBorders>
              <w:top w:val="nil"/>
            </w:tcBorders>
          </w:tcPr>
          <w:p>
            <w:pPr>
              <w:pStyle w:val="TableParagraph"/>
              <w:spacing w:line="230" w:lineRule="exact"/>
              <w:ind w:left="175"/>
              <w:jc w:val="left"/>
              <w:rPr>
                <w:b/>
                <w:sz w:val="18"/>
              </w:rPr>
            </w:pPr>
            <w:r>
              <w:rPr>
                <w:b/>
                <w:sz w:val="18"/>
              </w:rPr>
              <w:t>口内</w:t>
            </w:r>
          </w:p>
          <w:p>
            <w:pPr>
              <w:pStyle w:val="TableParagraph"/>
              <w:spacing w:line="213" w:lineRule="exact" w:before="9"/>
              <w:ind w:left="166"/>
              <w:jc w:val="left"/>
              <w:rPr>
                <w:rFonts w:ascii="Times New Roman" w:eastAsia="Times New Roman"/>
                <w:b/>
                <w:sz w:val="18"/>
              </w:rPr>
            </w:pPr>
            <w:r>
              <w:rPr>
                <w:b/>
                <w:sz w:val="18"/>
              </w:rPr>
              <w:t>径</w:t>
            </w:r>
            <w:r>
              <w:rPr>
                <w:rFonts w:ascii="Times New Roman" w:eastAsia="Times New Roman"/>
                <w:b/>
                <w:sz w:val="18"/>
              </w:rPr>
              <w:t>/m</w:t>
            </w:r>
          </w:p>
        </w:tc>
        <w:tc>
          <w:tcPr>
            <w:tcW w:w="708" w:type="dxa"/>
            <w:tcBorders>
              <w:top w:val="nil"/>
            </w:tcBorders>
          </w:tcPr>
          <w:p>
            <w:pPr>
              <w:pStyle w:val="TableParagraph"/>
              <w:spacing w:before="7"/>
              <w:ind w:left="22" w:right="9"/>
              <w:rPr>
                <w:rFonts w:ascii="Times New Roman"/>
                <w:b/>
                <w:sz w:val="18"/>
              </w:rPr>
            </w:pPr>
            <w:r>
              <w:rPr>
                <w:rFonts w:ascii="Times New Roman"/>
                <w:b/>
                <w:sz w:val="18"/>
              </w:rPr>
              <w:t>/(m</w:t>
            </w:r>
            <w:r>
              <w:rPr>
                <w:rFonts w:ascii="Times New Roman"/>
                <w:b/>
                <w:position w:val="6"/>
                <w:sz w:val="12"/>
              </w:rPr>
              <w:t>3</w:t>
            </w:r>
            <w:r>
              <w:rPr>
                <w:rFonts w:ascii="Times New Roman"/>
                <w:b/>
                <w:sz w:val="18"/>
              </w:rPr>
              <w:t>/h</w:t>
            </w:r>
          </w:p>
          <w:p>
            <w:pPr>
              <w:pStyle w:val="TableParagraph"/>
              <w:spacing w:line="201" w:lineRule="exact" w:before="33"/>
              <w:ind w:left="13"/>
              <w:rPr>
                <w:rFonts w:ascii="Times New Roman"/>
                <w:b/>
                <w:sz w:val="18"/>
              </w:rPr>
            </w:pPr>
            <w:r>
              <w:rPr>
                <w:rFonts w:ascii="Times New Roman"/>
                <w:b/>
                <w:w w:val="99"/>
                <w:sz w:val="18"/>
              </w:rPr>
              <w:t>)</w:t>
            </w:r>
          </w:p>
        </w:tc>
        <w:tc>
          <w:tcPr>
            <w:tcW w:w="710" w:type="dxa"/>
            <w:vMerge/>
            <w:tcBorders>
              <w:top w:val="nil"/>
            </w:tcBorders>
          </w:tcPr>
          <w:p>
            <w:pPr>
              <w:rPr>
                <w:sz w:val="2"/>
                <w:szCs w:val="2"/>
              </w:rPr>
            </w:pPr>
          </w:p>
        </w:tc>
        <w:tc>
          <w:tcPr>
            <w:tcW w:w="708" w:type="dxa"/>
            <w:tcBorders>
              <w:top w:val="nil"/>
            </w:tcBorders>
          </w:tcPr>
          <w:p>
            <w:pPr>
              <w:pStyle w:val="TableParagraph"/>
              <w:spacing w:line="230" w:lineRule="exact"/>
              <w:ind w:left="26" w:right="9"/>
              <w:rPr>
                <w:b/>
                <w:sz w:val="18"/>
              </w:rPr>
            </w:pPr>
            <w:r>
              <w:rPr>
                <w:b/>
                <w:sz w:val="18"/>
              </w:rPr>
              <w:t>时数</w:t>
            </w:r>
          </w:p>
          <w:p>
            <w:pPr>
              <w:pStyle w:val="TableParagraph"/>
              <w:spacing w:line="201" w:lineRule="exact" w:before="21"/>
              <w:ind w:left="23" w:right="9"/>
              <w:rPr>
                <w:rFonts w:ascii="Times New Roman"/>
                <w:b/>
                <w:sz w:val="18"/>
              </w:rPr>
            </w:pPr>
            <w:r>
              <w:rPr>
                <w:rFonts w:ascii="Times New Roman"/>
                <w:b/>
                <w:sz w:val="18"/>
              </w:rPr>
              <w:t>/h</w:t>
            </w:r>
          </w:p>
        </w:tc>
        <w:tc>
          <w:tcPr>
            <w:tcW w:w="425" w:type="dxa"/>
            <w:tcBorders>
              <w:top w:val="nil"/>
            </w:tcBorders>
          </w:tcPr>
          <w:p>
            <w:pPr>
              <w:pStyle w:val="TableParagraph"/>
              <w:spacing w:line="230" w:lineRule="exact"/>
              <w:ind w:left="124"/>
              <w:jc w:val="left"/>
              <w:rPr>
                <w:b/>
                <w:sz w:val="18"/>
              </w:rPr>
            </w:pPr>
            <w:r>
              <w:rPr>
                <w:b/>
                <w:w w:val="99"/>
                <w:sz w:val="18"/>
              </w:rPr>
              <w:t>工</w:t>
            </w:r>
          </w:p>
          <w:p>
            <w:pPr>
              <w:pStyle w:val="TableParagraph"/>
              <w:spacing w:line="213" w:lineRule="exact" w:before="9"/>
              <w:ind w:left="124"/>
              <w:jc w:val="left"/>
              <w:rPr>
                <w:b/>
                <w:sz w:val="18"/>
              </w:rPr>
            </w:pPr>
            <w:r>
              <w:rPr>
                <w:b/>
                <w:w w:val="99"/>
                <w:sz w:val="18"/>
              </w:rPr>
              <w:t>况</w:t>
            </w:r>
          </w:p>
        </w:tc>
        <w:tc>
          <w:tcPr>
            <w:tcW w:w="850" w:type="dxa"/>
          </w:tcPr>
          <w:p>
            <w:pPr>
              <w:pStyle w:val="TableParagraph"/>
              <w:spacing w:before="124"/>
              <w:ind w:left="87" w:right="72"/>
              <w:rPr>
                <w:b/>
                <w:sz w:val="18"/>
              </w:rPr>
            </w:pPr>
            <w:r>
              <w:rPr>
                <w:b/>
                <w:sz w:val="18"/>
              </w:rPr>
              <w:t>甲酸</w:t>
            </w:r>
          </w:p>
        </w:tc>
        <w:tc>
          <w:tcPr>
            <w:tcW w:w="674" w:type="dxa"/>
          </w:tcPr>
          <w:p>
            <w:pPr>
              <w:pStyle w:val="TableParagraph"/>
              <w:spacing w:before="4"/>
              <w:ind w:left="117" w:right="100"/>
              <w:rPr>
                <w:b/>
                <w:sz w:val="18"/>
              </w:rPr>
            </w:pPr>
            <w:r>
              <w:rPr>
                <w:b/>
                <w:sz w:val="18"/>
              </w:rPr>
              <w:t>颗粒</w:t>
            </w:r>
          </w:p>
          <w:p>
            <w:pPr>
              <w:pStyle w:val="TableParagraph"/>
              <w:spacing w:line="208" w:lineRule="exact" w:before="9"/>
              <w:ind w:left="15"/>
              <w:rPr>
                <w:b/>
                <w:sz w:val="18"/>
              </w:rPr>
            </w:pPr>
            <w:r>
              <w:rPr>
                <w:b/>
                <w:w w:val="99"/>
                <w:sz w:val="18"/>
              </w:rPr>
              <w:t>物</w:t>
            </w:r>
          </w:p>
        </w:tc>
      </w:tr>
      <w:tr>
        <w:trPr>
          <w:trHeight w:val="480" w:hRule="atLeast"/>
        </w:trPr>
        <w:tc>
          <w:tcPr>
            <w:tcW w:w="391" w:type="dxa"/>
          </w:tcPr>
          <w:p>
            <w:pPr>
              <w:pStyle w:val="TableParagraph"/>
              <w:spacing w:before="143"/>
              <w:ind w:left="6"/>
              <w:rPr>
                <w:rFonts w:ascii="Times New Roman"/>
                <w:sz w:val="18"/>
              </w:rPr>
            </w:pPr>
            <w:r>
              <w:rPr>
                <w:rFonts w:ascii="Times New Roman"/>
                <w:sz w:val="18"/>
              </w:rPr>
              <w:t>1</w:t>
            </w:r>
          </w:p>
        </w:tc>
        <w:tc>
          <w:tcPr>
            <w:tcW w:w="852" w:type="dxa"/>
          </w:tcPr>
          <w:p>
            <w:pPr>
              <w:pStyle w:val="TableParagraph"/>
              <w:spacing w:before="23"/>
              <w:ind w:left="158"/>
              <w:jc w:val="left"/>
              <w:rPr>
                <w:rFonts w:ascii="Times New Roman"/>
                <w:sz w:val="18"/>
              </w:rPr>
            </w:pPr>
            <w:r>
              <w:rPr>
                <w:rFonts w:ascii="Times New Roman"/>
                <w:sz w:val="18"/>
              </w:rPr>
              <w:t>DA004</w:t>
            </w:r>
          </w:p>
          <w:p>
            <w:pPr>
              <w:pStyle w:val="TableParagraph"/>
              <w:spacing w:line="208" w:lineRule="exact" w:before="22"/>
              <w:ind w:left="153"/>
              <w:jc w:val="left"/>
              <w:rPr>
                <w:sz w:val="18"/>
              </w:rPr>
            </w:pPr>
            <w:r>
              <w:rPr>
                <w:sz w:val="18"/>
              </w:rPr>
              <w:t>排气筒</w:t>
            </w:r>
          </w:p>
        </w:tc>
        <w:tc>
          <w:tcPr>
            <w:tcW w:w="852" w:type="dxa"/>
          </w:tcPr>
          <w:p>
            <w:pPr>
              <w:pStyle w:val="TableParagraph"/>
              <w:spacing w:before="143"/>
              <w:ind w:left="38" w:right="28"/>
              <w:rPr>
                <w:rFonts w:ascii="Times New Roman"/>
                <w:sz w:val="18"/>
              </w:rPr>
            </w:pPr>
            <w:r>
              <w:rPr>
                <w:rFonts w:ascii="Times New Roman"/>
                <w:sz w:val="18"/>
              </w:rPr>
              <w:t>297609</w:t>
            </w:r>
          </w:p>
        </w:tc>
        <w:tc>
          <w:tcPr>
            <w:tcW w:w="898" w:type="dxa"/>
          </w:tcPr>
          <w:p>
            <w:pPr>
              <w:pStyle w:val="TableParagraph"/>
              <w:spacing w:before="143"/>
              <w:ind w:left="114" w:right="104"/>
              <w:rPr>
                <w:rFonts w:ascii="Times New Roman"/>
                <w:sz w:val="18"/>
              </w:rPr>
            </w:pPr>
            <w:r>
              <w:rPr>
                <w:rFonts w:ascii="Times New Roman"/>
                <w:sz w:val="18"/>
              </w:rPr>
              <w:t>3339714</w:t>
            </w:r>
          </w:p>
        </w:tc>
        <w:tc>
          <w:tcPr>
            <w:tcW w:w="811" w:type="dxa"/>
          </w:tcPr>
          <w:p>
            <w:pPr>
              <w:pStyle w:val="TableParagraph"/>
              <w:spacing w:before="143"/>
              <w:ind w:left="357"/>
              <w:jc w:val="left"/>
              <w:rPr>
                <w:rFonts w:ascii="Times New Roman"/>
                <w:sz w:val="18"/>
              </w:rPr>
            </w:pPr>
            <w:r>
              <w:rPr>
                <w:rFonts w:ascii="Times New Roman"/>
                <w:sz w:val="18"/>
              </w:rPr>
              <w:t>4</w:t>
            </w:r>
          </w:p>
        </w:tc>
        <w:tc>
          <w:tcPr>
            <w:tcW w:w="698" w:type="dxa"/>
          </w:tcPr>
          <w:p>
            <w:pPr>
              <w:pStyle w:val="TableParagraph"/>
              <w:spacing w:before="143"/>
              <w:ind w:left="259"/>
              <w:jc w:val="left"/>
              <w:rPr>
                <w:rFonts w:ascii="Times New Roman"/>
                <w:sz w:val="18"/>
              </w:rPr>
            </w:pPr>
            <w:r>
              <w:rPr>
                <w:rFonts w:ascii="Times New Roman"/>
                <w:sz w:val="18"/>
              </w:rPr>
              <w:t>25</w:t>
            </w:r>
          </w:p>
        </w:tc>
        <w:tc>
          <w:tcPr>
            <w:tcW w:w="712" w:type="dxa"/>
          </w:tcPr>
          <w:p>
            <w:pPr>
              <w:pStyle w:val="TableParagraph"/>
              <w:spacing w:before="143"/>
              <w:ind w:left="125" w:right="115"/>
              <w:rPr>
                <w:rFonts w:ascii="Times New Roman"/>
                <w:sz w:val="18"/>
              </w:rPr>
            </w:pPr>
            <w:r>
              <w:rPr>
                <w:rFonts w:ascii="Times New Roman"/>
                <w:sz w:val="18"/>
              </w:rPr>
              <w:t>0.5</w:t>
            </w:r>
          </w:p>
        </w:tc>
        <w:tc>
          <w:tcPr>
            <w:tcW w:w="708" w:type="dxa"/>
          </w:tcPr>
          <w:p>
            <w:pPr>
              <w:pStyle w:val="TableParagraph"/>
              <w:spacing w:before="143"/>
              <w:ind w:left="21" w:right="9"/>
              <w:rPr>
                <w:rFonts w:ascii="Times New Roman"/>
                <w:sz w:val="18"/>
              </w:rPr>
            </w:pPr>
            <w:r>
              <w:rPr>
                <w:rFonts w:ascii="Times New Roman"/>
                <w:sz w:val="18"/>
              </w:rPr>
              <w:t>4500</w:t>
            </w:r>
          </w:p>
        </w:tc>
        <w:tc>
          <w:tcPr>
            <w:tcW w:w="710" w:type="dxa"/>
          </w:tcPr>
          <w:p>
            <w:pPr>
              <w:pStyle w:val="TableParagraph"/>
              <w:spacing w:before="143"/>
              <w:ind w:right="204"/>
              <w:jc w:val="right"/>
              <w:rPr>
                <w:rFonts w:ascii="Times New Roman"/>
                <w:sz w:val="18"/>
              </w:rPr>
            </w:pPr>
            <w:r>
              <w:rPr>
                <w:rFonts w:ascii="Times New Roman"/>
                <w:sz w:val="18"/>
              </w:rPr>
              <w:t>298</w:t>
            </w:r>
          </w:p>
        </w:tc>
        <w:tc>
          <w:tcPr>
            <w:tcW w:w="708" w:type="dxa"/>
          </w:tcPr>
          <w:p>
            <w:pPr>
              <w:pStyle w:val="TableParagraph"/>
              <w:spacing w:before="143"/>
              <w:ind w:left="22" w:right="9"/>
              <w:rPr>
                <w:rFonts w:ascii="Times New Roman"/>
                <w:sz w:val="18"/>
              </w:rPr>
            </w:pPr>
            <w:r>
              <w:rPr>
                <w:rFonts w:ascii="Times New Roman"/>
                <w:sz w:val="18"/>
              </w:rPr>
              <w:t>7200</w:t>
            </w:r>
          </w:p>
        </w:tc>
        <w:tc>
          <w:tcPr>
            <w:tcW w:w="425" w:type="dxa"/>
          </w:tcPr>
          <w:p>
            <w:pPr>
              <w:pStyle w:val="TableParagraph"/>
              <w:spacing w:line="240" w:lineRule="atLeast" w:before="2"/>
              <w:ind w:left="124" w:right="108"/>
              <w:jc w:val="left"/>
              <w:rPr>
                <w:sz w:val="18"/>
              </w:rPr>
            </w:pPr>
            <w:r>
              <w:rPr>
                <w:sz w:val="18"/>
              </w:rPr>
              <w:t>正常</w:t>
            </w:r>
          </w:p>
        </w:tc>
        <w:tc>
          <w:tcPr>
            <w:tcW w:w="850" w:type="dxa"/>
          </w:tcPr>
          <w:p>
            <w:pPr>
              <w:pStyle w:val="TableParagraph"/>
              <w:spacing w:before="143"/>
              <w:ind w:left="87" w:right="74"/>
              <w:rPr>
                <w:rFonts w:ascii="Times New Roman"/>
                <w:sz w:val="18"/>
              </w:rPr>
            </w:pPr>
            <w:r>
              <w:rPr>
                <w:rFonts w:ascii="Times New Roman"/>
                <w:sz w:val="18"/>
              </w:rPr>
              <w:t>0.042</w:t>
            </w:r>
          </w:p>
        </w:tc>
        <w:tc>
          <w:tcPr>
            <w:tcW w:w="674" w:type="dxa"/>
          </w:tcPr>
          <w:p>
            <w:pPr>
              <w:pStyle w:val="TableParagraph"/>
              <w:spacing w:before="143"/>
              <w:ind w:left="117" w:right="102"/>
              <w:rPr>
                <w:rFonts w:ascii="Times New Roman"/>
                <w:sz w:val="18"/>
              </w:rPr>
            </w:pPr>
            <w:r>
              <w:rPr>
                <w:rFonts w:ascii="Times New Roman"/>
                <w:sz w:val="18"/>
              </w:rPr>
              <w:t>0.076</w:t>
            </w:r>
          </w:p>
        </w:tc>
      </w:tr>
      <w:tr>
        <w:trPr>
          <w:trHeight w:val="477" w:hRule="atLeast"/>
        </w:trPr>
        <w:tc>
          <w:tcPr>
            <w:tcW w:w="391" w:type="dxa"/>
          </w:tcPr>
          <w:p>
            <w:pPr>
              <w:pStyle w:val="TableParagraph"/>
              <w:spacing w:before="142"/>
              <w:ind w:left="6"/>
              <w:rPr>
                <w:rFonts w:ascii="Times New Roman"/>
                <w:sz w:val="18"/>
              </w:rPr>
            </w:pPr>
            <w:r>
              <w:rPr>
                <w:rFonts w:ascii="Times New Roman"/>
                <w:sz w:val="18"/>
              </w:rPr>
              <w:t>2</w:t>
            </w:r>
          </w:p>
        </w:tc>
        <w:tc>
          <w:tcPr>
            <w:tcW w:w="852" w:type="dxa"/>
          </w:tcPr>
          <w:p>
            <w:pPr>
              <w:pStyle w:val="TableParagraph"/>
              <w:spacing w:before="22"/>
              <w:ind w:left="158"/>
              <w:jc w:val="left"/>
              <w:rPr>
                <w:rFonts w:ascii="Times New Roman"/>
                <w:sz w:val="18"/>
              </w:rPr>
            </w:pPr>
            <w:r>
              <w:rPr>
                <w:rFonts w:ascii="Times New Roman"/>
                <w:sz w:val="18"/>
              </w:rPr>
              <w:t>DA005</w:t>
            </w:r>
          </w:p>
          <w:p>
            <w:pPr>
              <w:pStyle w:val="TableParagraph"/>
              <w:spacing w:line="208" w:lineRule="exact" w:before="21"/>
              <w:ind w:left="153"/>
              <w:jc w:val="left"/>
              <w:rPr>
                <w:sz w:val="18"/>
              </w:rPr>
            </w:pPr>
            <w:r>
              <w:rPr>
                <w:sz w:val="18"/>
              </w:rPr>
              <w:t>排气筒</w:t>
            </w:r>
          </w:p>
        </w:tc>
        <w:tc>
          <w:tcPr>
            <w:tcW w:w="852" w:type="dxa"/>
          </w:tcPr>
          <w:p>
            <w:pPr>
              <w:pStyle w:val="TableParagraph"/>
              <w:spacing w:before="142"/>
              <w:ind w:left="38" w:right="29"/>
              <w:rPr>
                <w:rFonts w:ascii="Times New Roman"/>
                <w:sz w:val="18"/>
              </w:rPr>
            </w:pPr>
            <w:r>
              <w:rPr>
                <w:rFonts w:ascii="Times New Roman"/>
                <w:sz w:val="18"/>
              </w:rPr>
              <w:t>297723</w:t>
            </w:r>
          </w:p>
        </w:tc>
        <w:tc>
          <w:tcPr>
            <w:tcW w:w="898" w:type="dxa"/>
          </w:tcPr>
          <w:p>
            <w:pPr>
              <w:pStyle w:val="TableParagraph"/>
              <w:spacing w:before="142"/>
              <w:ind w:left="114" w:right="104"/>
              <w:rPr>
                <w:rFonts w:ascii="Times New Roman"/>
                <w:sz w:val="18"/>
              </w:rPr>
            </w:pPr>
            <w:r>
              <w:rPr>
                <w:rFonts w:ascii="Times New Roman"/>
                <w:sz w:val="18"/>
              </w:rPr>
              <w:t>3339415</w:t>
            </w:r>
          </w:p>
        </w:tc>
        <w:tc>
          <w:tcPr>
            <w:tcW w:w="811" w:type="dxa"/>
          </w:tcPr>
          <w:p>
            <w:pPr>
              <w:pStyle w:val="TableParagraph"/>
              <w:spacing w:before="142"/>
              <w:ind w:left="357"/>
              <w:jc w:val="left"/>
              <w:rPr>
                <w:rFonts w:ascii="Times New Roman"/>
                <w:sz w:val="18"/>
              </w:rPr>
            </w:pPr>
            <w:r>
              <w:rPr>
                <w:rFonts w:ascii="Times New Roman"/>
                <w:sz w:val="18"/>
              </w:rPr>
              <w:t>4</w:t>
            </w:r>
          </w:p>
        </w:tc>
        <w:tc>
          <w:tcPr>
            <w:tcW w:w="698" w:type="dxa"/>
          </w:tcPr>
          <w:p>
            <w:pPr>
              <w:pStyle w:val="TableParagraph"/>
              <w:spacing w:before="142"/>
              <w:ind w:left="259"/>
              <w:jc w:val="left"/>
              <w:rPr>
                <w:rFonts w:ascii="Times New Roman"/>
                <w:sz w:val="18"/>
              </w:rPr>
            </w:pPr>
            <w:r>
              <w:rPr>
                <w:rFonts w:ascii="Times New Roman"/>
                <w:sz w:val="18"/>
              </w:rPr>
              <w:t>25</w:t>
            </w:r>
          </w:p>
        </w:tc>
        <w:tc>
          <w:tcPr>
            <w:tcW w:w="712" w:type="dxa"/>
          </w:tcPr>
          <w:p>
            <w:pPr>
              <w:pStyle w:val="TableParagraph"/>
              <w:spacing w:before="142"/>
              <w:ind w:left="125" w:right="115"/>
              <w:rPr>
                <w:rFonts w:ascii="Times New Roman"/>
                <w:sz w:val="18"/>
              </w:rPr>
            </w:pPr>
            <w:r>
              <w:rPr>
                <w:rFonts w:ascii="Times New Roman"/>
                <w:sz w:val="18"/>
              </w:rPr>
              <w:t>0.6</w:t>
            </w:r>
          </w:p>
        </w:tc>
        <w:tc>
          <w:tcPr>
            <w:tcW w:w="708" w:type="dxa"/>
          </w:tcPr>
          <w:p>
            <w:pPr>
              <w:pStyle w:val="TableParagraph"/>
              <w:spacing w:before="142"/>
              <w:ind w:left="21" w:right="9"/>
              <w:rPr>
                <w:rFonts w:ascii="Times New Roman"/>
                <w:sz w:val="18"/>
              </w:rPr>
            </w:pPr>
            <w:r>
              <w:rPr>
                <w:rFonts w:ascii="Times New Roman"/>
                <w:sz w:val="18"/>
              </w:rPr>
              <w:t>7000</w:t>
            </w:r>
          </w:p>
        </w:tc>
        <w:tc>
          <w:tcPr>
            <w:tcW w:w="710" w:type="dxa"/>
          </w:tcPr>
          <w:p>
            <w:pPr>
              <w:pStyle w:val="TableParagraph"/>
              <w:spacing w:before="142"/>
              <w:ind w:right="204"/>
              <w:jc w:val="right"/>
              <w:rPr>
                <w:rFonts w:ascii="Times New Roman"/>
                <w:sz w:val="18"/>
              </w:rPr>
            </w:pPr>
            <w:r>
              <w:rPr>
                <w:rFonts w:ascii="Times New Roman"/>
                <w:sz w:val="18"/>
              </w:rPr>
              <w:t>298</w:t>
            </w:r>
          </w:p>
        </w:tc>
        <w:tc>
          <w:tcPr>
            <w:tcW w:w="708" w:type="dxa"/>
          </w:tcPr>
          <w:p>
            <w:pPr>
              <w:pStyle w:val="TableParagraph"/>
              <w:spacing w:before="142"/>
              <w:ind w:left="22" w:right="9"/>
              <w:rPr>
                <w:rFonts w:ascii="Times New Roman"/>
                <w:sz w:val="18"/>
              </w:rPr>
            </w:pPr>
            <w:r>
              <w:rPr>
                <w:rFonts w:ascii="Times New Roman"/>
                <w:sz w:val="18"/>
              </w:rPr>
              <w:t>7200</w:t>
            </w:r>
          </w:p>
        </w:tc>
        <w:tc>
          <w:tcPr>
            <w:tcW w:w="425" w:type="dxa"/>
          </w:tcPr>
          <w:p>
            <w:pPr>
              <w:pStyle w:val="TableParagraph"/>
              <w:spacing w:line="240" w:lineRule="atLeast"/>
              <w:ind w:left="124" w:right="108"/>
              <w:jc w:val="left"/>
              <w:rPr>
                <w:sz w:val="18"/>
              </w:rPr>
            </w:pPr>
            <w:r>
              <w:rPr>
                <w:sz w:val="18"/>
              </w:rPr>
              <w:t>正常</w:t>
            </w:r>
          </w:p>
        </w:tc>
        <w:tc>
          <w:tcPr>
            <w:tcW w:w="850" w:type="dxa"/>
          </w:tcPr>
          <w:p>
            <w:pPr>
              <w:pStyle w:val="TableParagraph"/>
              <w:spacing w:before="142"/>
              <w:ind w:left="87" w:right="78"/>
              <w:rPr>
                <w:rFonts w:ascii="Times New Roman"/>
                <w:sz w:val="18"/>
              </w:rPr>
            </w:pPr>
            <w:r>
              <w:rPr>
                <w:rFonts w:ascii="Times New Roman"/>
                <w:sz w:val="18"/>
              </w:rPr>
              <w:t>0.0007</w:t>
            </w:r>
          </w:p>
        </w:tc>
        <w:tc>
          <w:tcPr>
            <w:tcW w:w="674" w:type="dxa"/>
          </w:tcPr>
          <w:p>
            <w:pPr>
              <w:pStyle w:val="TableParagraph"/>
              <w:spacing w:before="142"/>
              <w:ind w:left="14"/>
              <w:rPr>
                <w:rFonts w:ascii="Times New Roman"/>
                <w:sz w:val="18"/>
              </w:rPr>
            </w:pPr>
            <w:r>
              <w:rPr>
                <w:rFonts w:ascii="Times New Roman"/>
                <w:sz w:val="18"/>
              </w:rPr>
              <w:t>/</w:t>
            </w:r>
          </w:p>
        </w:tc>
      </w:tr>
    </w:tbl>
    <w:p>
      <w:pPr>
        <w:spacing w:after="0"/>
        <w:rPr>
          <w:rFonts w:ascii="Times New Roman"/>
          <w:sz w:val="18"/>
        </w:rPr>
        <w:sectPr>
          <w:pgSz w:w="11910" w:h="16840"/>
          <w:pgMar w:header="874" w:footer="944" w:top="1340" w:bottom="1140" w:left="1180" w:right="1180"/>
        </w:sectPr>
      </w:pPr>
    </w:p>
    <w:p>
      <w:pPr>
        <w:pStyle w:val="BodyText"/>
        <w:spacing w:before="10"/>
        <w:rPr>
          <w:b/>
          <w:sz w:val="10"/>
        </w:rPr>
      </w:pPr>
    </w:p>
    <w:p>
      <w:pPr>
        <w:tabs>
          <w:tab w:pos="1223" w:val="left" w:leader="none"/>
        </w:tabs>
        <w:spacing w:before="74" w:after="29"/>
        <w:ind w:left="1" w:right="0" w:firstLine="0"/>
        <w:jc w:val="center"/>
        <w:rPr>
          <w:b/>
          <w:sz w:val="24"/>
        </w:rPr>
      </w:pPr>
      <w:r>
        <w:rPr>
          <w:b/>
          <w:sz w:val="24"/>
        </w:rPr>
        <w:t>表</w:t>
      </w:r>
      <w:r>
        <w:rPr>
          <w:b/>
          <w:spacing w:val="-60"/>
          <w:sz w:val="24"/>
        </w:rPr>
        <w:t> </w:t>
      </w:r>
      <w:r>
        <w:rPr>
          <w:rFonts w:ascii="Times New Roman" w:eastAsia="Times New Roman"/>
          <w:b/>
          <w:sz w:val="24"/>
        </w:rPr>
        <w:t>2.4.2-4</w:t>
        <w:tab/>
      </w:r>
      <w:r>
        <w:rPr>
          <w:b/>
          <w:sz w:val="24"/>
        </w:rPr>
        <w:t>面源参数表</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984"/>
        <w:gridCol w:w="994"/>
        <w:gridCol w:w="992"/>
        <w:gridCol w:w="708"/>
        <w:gridCol w:w="758"/>
        <w:gridCol w:w="552"/>
        <w:gridCol w:w="600"/>
        <w:gridCol w:w="646"/>
        <w:gridCol w:w="701"/>
        <w:gridCol w:w="632"/>
        <w:gridCol w:w="642"/>
        <w:gridCol w:w="682"/>
      </w:tblGrid>
      <w:tr>
        <w:trPr>
          <w:trHeight w:val="479" w:hRule="atLeast"/>
        </w:trPr>
        <w:tc>
          <w:tcPr>
            <w:tcW w:w="398" w:type="dxa"/>
            <w:vMerge w:val="restart"/>
          </w:tcPr>
          <w:p>
            <w:pPr>
              <w:pStyle w:val="TableParagraph"/>
              <w:jc w:val="left"/>
              <w:rPr>
                <w:b/>
                <w:sz w:val="18"/>
              </w:rPr>
            </w:pPr>
          </w:p>
          <w:p>
            <w:pPr>
              <w:pStyle w:val="TableParagraph"/>
              <w:spacing w:line="249" w:lineRule="auto" w:before="141"/>
              <w:ind w:left="107" w:right="98"/>
              <w:jc w:val="left"/>
              <w:rPr>
                <w:b/>
                <w:sz w:val="18"/>
              </w:rPr>
            </w:pPr>
            <w:r>
              <w:rPr>
                <w:b/>
                <w:sz w:val="18"/>
              </w:rPr>
              <w:t>编号</w:t>
            </w:r>
          </w:p>
        </w:tc>
        <w:tc>
          <w:tcPr>
            <w:tcW w:w="984" w:type="dxa"/>
            <w:vMerge w:val="restart"/>
          </w:tcPr>
          <w:p>
            <w:pPr>
              <w:pStyle w:val="TableParagraph"/>
              <w:jc w:val="left"/>
              <w:rPr>
                <w:b/>
                <w:sz w:val="18"/>
              </w:rPr>
            </w:pPr>
          </w:p>
          <w:p>
            <w:pPr>
              <w:pStyle w:val="TableParagraph"/>
              <w:spacing w:before="4"/>
              <w:jc w:val="left"/>
              <w:rPr>
                <w:b/>
                <w:sz w:val="20"/>
              </w:rPr>
            </w:pPr>
          </w:p>
          <w:p>
            <w:pPr>
              <w:pStyle w:val="TableParagraph"/>
              <w:spacing w:before="1"/>
              <w:ind w:left="309"/>
              <w:jc w:val="left"/>
              <w:rPr>
                <w:b/>
                <w:sz w:val="18"/>
              </w:rPr>
            </w:pPr>
            <w:r>
              <w:rPr>
                <w:b/>
                <w:sz w:val="18"/>
              </w:rPr>
              <w:t>名称</w:t>
            </w:r>
          </w:p>
        </w:tc>
        <w:tc>
          <w:tcPr>
            <w:tcW w:w="1986" w:type="dxa"/>
            <w:gridSpan w:val="2"/>
          </w:tcPr>
          <w:p>
            <w:pPr>
              <w:pStyle w:val="TableParagraph"/>
              <w:spacing w:before="131"/>
              <w:ind w:left="360"/>
              <w:jc w:val="left"/>
              <w:rPr>
                <w:b/>
                <w:sz w:val="18"/>
              </w:rPr>
            </w:pPr>
            <w:r>
              <w:rPr>
                <w:b/>
                <w:sz w:val="18"/>
              </w:rPr>
              <w:t>面源中心点坐标</w:t>
            </w:r>
          </w:p>
        </w:tc>
        <w:tc>
          <w:tcPr>
            <w:tcW w:w="708" w:type="dxa"/>
            <w:vMerge w:val="restart"/>
          </w:tcPr>
          <w:p>
            <w:pPr>
              <w:pStyle w:val="TableParagraph"/>
              <w:spacing w:line="249" w:lineRule="auto" w:before="131"/>
              <w:ind w:left="172" w:right="158"/>
              <w:jc w:val="both"/>
              <w:rPr>
                <w:b/>
                <w:sz w:val="18"/>
              </w:rPr>
            </w:pPr>
            <w:r>
              <w:rPr>
                <w:b/>
                <w:spacing w:val="-7"/>
                <w:sz w:val="18"/>
              </w:rPr>
              <w:t>面源海拔高度</w:t>
            </w:r>
          </w:p>
          <w:p>
            <w:pPr>
              <w:pStyle w:val="TableParagraph"/>
              <w:spacing w:before="13"/>
              <w:ind w:left="19" w:right="9"/>
              <w:rPr>
                <w:rFonts w:ascii="Times New Roman"/>
                <w:b/>
                <w:sz w:val="18"/>
              </w:rPr>
            </w:pPr>
            <w:r>
              <w:rPr>
                <w:rFonts w:ascii="Times New Roman"/>
                <w:b/>
                <w:sz w:val="18"/>
              </w:rPr>
              <w:t>/m</w:t>
            </w:r>
          </w:p>
        </w:tc>
        <w:tc>
          <w:tcPr>
            <w:tcW w:w="758" w:type="dxa"/>
            <w:vMerge w:val="restart"/>
          </w:tcPr>
          <w:p>
            <w:pPr>
              <w:pStyle w:val="TableParagraph"/>
              <w:spacing w:before="8"/>
              <w:jc w:val="left"/>
              <w:rPr>
                <w:b/>
                <w:sz w:val="19"/>
              </w:rPr>
            </w:pPr>
          </w:p>
          <w:p>
            <w:pPr>
              <w:pStyle w:val="TableParagraph"/>
              <w:spacing w:line="249" w:lineRule="auto"/>
              <w:ind w:left="196" w:right="184"/>
              <w:rPr>
                <w:b/>
                <w:sz w:val="18"/>
              </w:rPr>
            </w:pPr>
            <w:r>
              <w:rPr>
                <w:b/>
                <w:spacing w:val="-7"/>
                <w:sz w:val="18"/>
              </w:rPr>
              <w:t>面源长度</w:t>
            </w:r>
          </w:p>
          <w:p>
            <w:pPr>
              <w:pStyle w:val="TableParagraph"/>
              <w:spacing w:before="12"/>
              <w:ind w:left="192" w:right="184"/>
              <w:rPr>
                <w:rFonts w:ascii="Times New Roman"/>
                <w:b/>
                <w:sz w:val="18"/>
              </w:rPr>
            </w:pPr>
            <w:r>
              <w:rPr>
                <w:rFonts w:ascii="Times New Roman"/>
                <w:b/>
                <w:sz w:val="18"/>
              </w:rPr>
              <w:t>/m</w:t>
            </w:r>
          </w:p>
        </w:tc>
        <w:tc>
          <w:tcPr>
            <w:tcW w:w="552" w:type="dxa"/>
            <w:vMerge w:val="restart"/>
          </w:tcPr>
          <w:p>
            <w:pPr>
              <w:pStyle w:val="TableParagraph"/>
              <w:spacing w:line="249" w:lineRule="auto" w:before="11"/>
              <w:ind w:left="184" w:right="175"/>
              <w:jc w:val="both"/>
              <w:rPr>
                <w:b/>
                <w:sz w:val="18"/>
              </w:rPr>
            </w:pPr>
            <w:r>
              <w:rPr>
                <w:b/>
                <w:sz w:val="18"/>
              </w:rPr>
              <w:t>面源宽度</w:t>
            </w:r>
          </w:p>
          <w:p>
            <w:pPr>
              <w:pStyle w:val="TableParagraph"/>
              <w:spacing w:line="196" w:lineRule="exact" w:before="13"/>
              <w:ind w:left="175"/>
              <w:jc w:val="left"/>
              <w:rPr>
                <w:rFonts w:ascii="Times New Roman"/>
                <w:b/>
                <w:sz w:val="18"/>
              </w:rPr>
            </w:pPr>
            <w:r>
              <w:rPr>
                <w:rFonts w:ascii="Times New Roman"/>
                <w:b/>
                <w:sz w:val="18"/>
              </w:rPr>
              <w:t>/m</w:t>
            </w:r>
          </w:p>
        </w:tc>
        <w:tc>
          <w:tcPr>
            <w:tcW w:w="600" w:type="dxa"/>
            <w:vMerge w:val="restart"/>
          </w:tcPr>
          <w:p>
            <w:pPr>
              <w:pStyle w:val="TableParagraph"/>
              <w:spacing w:line="249" w:lineRule="auto" w:before="131"/>
              <w:ind w:left="117" w:right="105"/>
              <w:jc w:val="both"/>
              <w:rPr>
                <w:b/>
                <w:sz w:val="18"/>
              </w:rPr>
            </w:pPr>
            <w:r>
              <w:rPr>
                <w:b/>
                <w:sz w:val="18"/>
              </w:rPr>
              <w:t>与正北向夹角</w:t>
            </w:r>
          </w:p>
          <w:p>
            <w:pPr>
              <w:pStyle w:val="TableParagraph"/>
              <w:spacing w:before="13"/>
              <w:ind w:left="64" w:right="53"/>
              <w:rPr>
                <w:rFonts w:ascii="Times New Roman" w:hAnsi="Times New Roman"/>
                <w:b/>
                <w:sz w:val="18"/>
              </w:rPr>
            </w:pPr>
            <w:r>
              <w:rPr>
                <w:rFonts w:ascii="Times New Roman" w:hAnsi="Times New Roman"/>
                <w:b/>
                <w:sz w:val="18"/>
              </w:rPr>
              <w:t>/°</w:t>
            </w:r>
          </w:p>
        </w:tc>
        <w:tc>
          <w:tcPr>
            <w:tcW w:w="646" w:type="dxa"/>
            <w:vMerge w:val="restart"/>
          </w:tcPr>
          <w:p>
            <w:pPr>
              <w:pStyle w:val="TableParagraph"/>
              <w:spacing w:line="249" w:lineRule="auto" w:before="11"/>
              <w:ind w:left="141" w:right="127"/>
              <w:jc w:val="both"/>
              <w:rPr>
                <w:b/>
                <w:sz w:val="18"/>
              </w:rPr>
            </w:pPr>
            <w:r>
              <w:rPr>
                <w:b/>
                <w:spacing w:val="-7"/>
                <w:sz w:val="18"/>
              </w:rPr>
              <w:t>面源有效排放高度</w:t>
            </w:r>
          </w:p>
          <w:p>
            <w:pPr>
              <w:pStyle w:val="TableParagraph"/>
              <w:spacing w:line="196" w:lineRule="exact" w:before="13"/>
              <w:ind w:left="223"/>
              <w:jc w:val="left"/>
              <w:rPr>
                <w:rFonts w:ascii="Times New Roman"/>
                <w:b/>
                <w:sz w:val="18"/>
              </w:rPr>
            </w:pPr>
            <w:r>
              <w:rPr>
                <w:rFonts w:ascii="Times New Roman"/>
                <w:b/>
                <w:sz w:val="18"/>
              </w:rPr>
              <w:t>/m</w:t>
            </w:r>
          </w:p>
        </w:tc>
        <w:tc>
          <w:tcPr>
            <w:tcW w:w="701" w:type="dxa"/>
            <w:vMerge w:val="restart"/>
          </w:tcPr>
          <w:p>
            <w:pPr>
              <w:pStyle w:val="TableParagraph"/>
              <w:spacing w:line="249" w:lineRule="auto" w:before="131"/>
              <w:ind w:left="167" w:right="156"/>
              <w:jc w:val="both"/>
              <w:rPr>
                <w:b/>
                <w:sz w:val="18"/>
              </w:rPr>
            </w:pPr>
            <w:r>
              <w:rPr>
                <w:b/>
                <w:sz w:val="18"/>
              </w:rPr>
              <w:t>年排放小时数</w:t>
            </w:r>
          </w:p>
          <w:p>
            <w:pPr>
              <w:pStyle w:val="TableParagraph"/>
              <w:spacing w:before="13"/>
              <w:ind w:left="115" w:right="109"/>
              <w:rPr>
                <w:rFonts w:ascii="Times New Roman"/>
                <w:b/>
                <w:sz w:val="18"/>
              </w:rPr>
            </w:pPr>
            <w:r>
              <w:rPr>
                <w:rFonts w:ascii="Times New Roman"/>
                <w:b/>
                <w:sz w:val="18"/>
              </w:rPr>
              <w:t>/h</w:t>
            </w:r>
          </w:p>
        </w:tc>
        <w:tc>
          <w:tcPr>
            <w:tcW w:w="632" w:type="dxa"/>
            <w:vMerge w:val="restart"/>
            <w:tcBorders>
              <w:right w:val="single" w:sz="6" w:space="0" w:color="000000"/>
            </w:tcBorders>
          </w:tcPr>
          <w:p>
            <w:pPr>
              <w:pStyle w:val="TableParagraph"/>
              <w:jc w:val="left"/>
              <w:rPr>
                <w:b/>
                <w:sz w:val="18"/>
              </w:rPr>
            </w:pPr>
          </w:p>
          <w:p>
            <w:pPr>
              <w:pStyle w:val="TableParagraph"/>
              <w:spacing w:line="249" w:lineRule="auto" w:before="141"/>
              <w:ind w:left="131" w:right="120"/>
              <w:jc w:val="left"/>
              <w:rPr>
                <w:b/>
                <w:sz w:val="18"/>
              </w:rPr>
            </w:pPr>
            <w:r>
              <w:rPr>
                <w:b/>
                <w:sz w:val="18"/>
              </w:rPr>
              <w:t>排放工况</w:t>
            </w:r>
          </w:p>
        </w:tc>
        <w:tc>
          <w:tcPr>
            <w:tcW w:w="1324" w:type="dxa"/>
            <w:gridSpan w:val="2"/>
            <w:tcBorders>
              <w:left w:val="single" w:sz="6" w:space="0" w:color="000000"/>
            </w:tcBorders>
          </w:tcPr>
          <w:p>
            <w:pPr>
              <w:pStyle w:val="TableParagraph"/>
              <w:spacing w:line="240" w:lineRule="atLeast" w:before="2"/>
              <w:ind w:left="189" w:right="110" w:hanging="75"/>
              <w:jc w:val="left"/>
              <w:rPr>
                <w:b/>
                <w:sz w:val="18"/>
              </w:rPr>
            </w:pPr>
            <w:r>
              <w:rPr>
                <w:b/>
                <w:sz w:val="18"/>
              </w:rPr>
              <w:t>污染物排放速率</w:t>
            </w:r>
            <w:r>
              <w:rPr>
                <w:rFonts w:ascii="Times New Roman" w:eastAsia="Times New Roman"/>
                <w:b/>
                <w:sz w:val="18"/>
              </w:rPr>
              <w:t>/</w:t>
            </w:r>
            <w:r>
              <w:rPr>
                <w:b/>
                <w:sz w:val="18"/>
              </w:rPr>
              <w:t>（</w:t>
            </w:r>
            <w:r>
              <w:rPr>
                <w:rFonts w:ascii="Times New Roman" w:eastAsia="Times New Roman"/>
                <w:b/>
                <w:sz w:val="18"/>
              </w:rPr>
              <w:t>kg/h</w:t>
            </w:r>
            <w:r>
              <w:rPr>
                <w:b/>
                <w:sz w:val="18"/>
              </w:rPr>
              <w:t>）</w:t>
            </w:r>
          </w:p>
        </w:tc>
      </w:tr>
      <w:tr>
        <w:trPr>
          <w:trHeight w:val="707" w:hRule="atLeast"/>
        </w:trPr>
        <w:tc>
          <w:tcPr>
            <w:tcW w:w="398" w:type="dxa"/>
            <w:vMerge/>
            <w:tcBorders>
              <w:top w:val="nil"/>
            </w:tcBorders>
          </w:tcPr>
          <w:p>
            <w:pPr>
              <w:rPr>
                <w:sz w:val="2"/>
                <w:szCs w:val="2"/>
              </w:rPr>
            </w:pPr>
          </w:p>
        </w:tc>
        <w:tc>
          <w:tcPr>
            <w:tcW w:w="984" w:type="dxa"/>
            <w:vMerge/>
            <w:tcBorders>
              <w:top w:val="nil"/>
            </w:tcBorders>
          </w:tcPr>
          <w:p>
            <w:pPr>
              <w:rPr>
                <w:sz w:val="2"/>
                <w:szCs w:val="2"/>
              </w:rPr>
            </w:pPr>
          </w:p>
        </w:tc>
        <w:tc>
          <w:tcPr>
            <w:tcW w:w="994" w:type="dxa"/>
          </w:tcPr>
          <w:p>
            <w:pPr>
              <w:pStyle w:val="TableParagraph"/>
              <w:jc w:val="left"/>
              <w:rPr>
                <w:b/>
                <w:sz w:val="20"/>
              </w:rPr>
            </w:pPr>
          </w:p>
          <w:p>
            <w:pPr>
              <w:pStyle w:val="TableParagraph"/>
              <w:ind w:left="10"/>
              <w:rPr>
                <w:rFonts w:ascii="Times New Roman"/>
                <w:b/>
                <w:sz w:val="18"/>
              </w:rPr>
            </w:pPr>
            <w:r>
              <w:rPr>
                <w:rFonts w:ascii="Times New Roman"/>
                <w:b/>
                <w:w w:val="99"/>
                <w:sz w:val="18"/>
              </w:rPr>
              <w:t>X</w:t>
            </w:r>
          </w:p>
        </w:tc>
        <w:tc>
          <w:tcPr>
            <w:tcW w:w="992" w:type="dxa"/>
          </w:tcPr>
          <w:p>
            <w:pPr>
              <w:pStyle w:val="TableParagraph"/>
              <w:jc w:val="left"/>
              <w:rPr>
                <w:b/>
                <w:sz w:val="20"/>
              </w:rPr>
            </w:pPr>
          </w:p>
          <w:p>
            <w:pPr>
              <w:pStyle w:val="TableParagraph"/>
              <w:ind w:left="7"/>
              <w:rPr>
                <w:rFonts w:ascii="Times New Roman"/>
                <w:b/>
                <w:sz w:val="18"/>
              </w:rPr>
            </w:pPr>
            <w:r>
              <w:rPr>
                <w:rFonts w:ascii="Times New Roman"/>
                <w:b/>
                <w:w w:val="99"/>
                <w:sz w:val="18"/>
              </w:rPr>
              <w:t>Y</w:t>
            </w:r>
          </w:p>
        </w:tc>
        <w:tc>
          <w:tcPr>
            <w:tcW w:w="708" w:type="dxa"/>
            <w:vMerge/>
            <w:tcBorders>
              <w:top w:val="nil"/>
            </w:tcBorders>
          </w:tcPr>
          <w:p>
            <w:pPr>
              <w:rPr>
                <w:sz w:val="2"/>
                <w:szCs w:val="2"/>
              </w:rPr>
            </w:pPr>
          </w:p>
        </w:tc>
        <w:tc>
          <w:tcPr>
            <w:tcW w:w="758" w:type="dxa"/>
            <w:vMerge/>
            <w:tcBorders>
              <w:top w:val="nil"/>
            </w:tcBorders>
          </w:tcPr>
          <w:p>
            <w:pPr>
              <w:rPr>
                <w:sz w:val="2"/>
                <w:szCs w:val="2"/>
              </w:rPr>
            </w:pPr>
          </w:p>
        </w:tc>
        <w:tc>
          <w:tcPr>
            <w:tcW w:w="552" w:type="dxa"/>
            <w:vMerge/>
            <w:tcBorders>
              <w:top w:val="nil"/>
            </w:tcBorders>
          </w:tcPr>
          <w:p>
            <w:pPr>
              <w:rPr>
                <w:sz w:val="2"/>
                <w:szCs w:val="2"/>
              </w:rPr>
            </w:pPr>
          </w:p>
        </w:tc>
        <w:tc>
          <w:tcPr>
            <w:tcW w:w="600" w:type="dxa"/>
            <w:vMerge/>
            <w:tcBorders>
              <w:top w:val="nil"/>
            </w:tcBorders>
          </w:tcPr>
          <w:p>
            <w:pPr>
              <w:rPr>
                <w:sz w:val="2"/>
                <w:szCs w:val="2"/>
              </w:rPr>
            </w:pPr>
          </w:p>
        </w:tc>
        <w:tc>
          <w:tcPr>
            <w:tcW w:w="646" w:type="dxa"/>
            <w:vMerge/>
            <w:tcBorders>
              <w:top w:val="nil"/>
            </w:tcBorders>
          </w:tcPr>
          <w:p>
            <w:pPr>
              <w:rPr>
                <w:sz w:val="2"/>
                <w:szCs w:val="2"/>
              </w:rPr>
            </w:pPr>
          </w:p>
        </w:tc>
        <w:tc>
          <w:tcPr>
            <w:tcW w:w="701" w:type="dxa"/>
            <w:vMerge/>
            <w:tcBorders>
              <w:top w:val="nil"/>
            </w:tcBorders>
          </w:tcPr>
          <w:p>
            <w:pPr>
              <w:rPr>
                <w:sz w:val="2"/>
                <w:szCs w:val="2"/>
              </w:rPr>
            </w:pPr>
          </w:p>
        </w:tc>
        <w:tc>
          <w:tcPr>
            <w:tcW w:w="632" w:type="dxa"/>
            <w:vMerge/>
            <w:tcBorders>
              <w:top w:val="nil"/>
              <w:right w:val="single" w:sz="6" w:space="0" w:color="000000"/>
            </w:tcBorders>
          </w:tcPr>
          <w:p>
            <w:pPr>
              <w:rPr>
                <w:sz w:val="2"/>
                <w:szCs w:val="2"/>
              </w:rPr>
            </w:pPr>
          </w:p>
        </w:tc>
        <w:tc>
          <w:tcPr>
            <w:tcW w:w="642" w:type="dxa"/>
            <w:tcBorders>
              <w:left w:val="single" w:sz="6" w:space="0" w:color="000000"/>
            </w:tcBorders>
          </w:tcPr>
          <w:p>
            <w:pPr>
              <w:pStyle w:val="TableParagraph"/>
              <w:spacing w:before="1"/>
              <w:jc w:val="left"/>
              <w:rPr>
                <w:b/>
                <w:sz w:val="19"/>
              </w:rPr>
            </w:pPr>
          </w:p>
          <w:p>
            <w:pPr>
              <w:pStyle w:val="TableParagraph"/>
              <w:ind w:left="133"/>
              <w:jc w:val="left"/>
              <w:rPr>
                <w:b/>
                <w:sz w:val="18"/>
              </w:rPr>
            </w:pPr>
            <w:r>
              <w:rPr>
                <w:b/>
                <w:sz w:val="18"/>
              </w:rPr>
              <w:t>甲酸</w:t>
            </w:r>
          </w:p>
        </w:tc>
        <w:tc>
          <w:tcPr>
            <w:tcW w:w="682" w:type="dxa"/>
          </w:tcPr>
          <w:p>
            <w:pPr>
              <w:pStyle w:val="TableParagraph"/>
              <w:spacing w:line="249" w:lineRule="auto" w:before="124"/>
              <w:ind w:left="247" w:right="148" w:hanging="92"/>
              <w:jc w:val="left"/>
              <w:rPr>
                <w:b/>
                <w:sz w:val="18"/>
              </w:rPr>
            </w:pPr>
            <w:r>
              <w:rPr>
                <w:b/>
                <w:sz w:val="18"/>
              </w:rPr>
              <w:t>颗粒物</w:t>
            </w:r>
          </w:p>
        </w:tc>
      </w:tr>
      <w:tr>
        <w:trPr>
          <w:trHeight w:val="285" w:hRule="atLeast"/>
        </w:trPr>
        <w:tc>
          <w:tcPr>
            <w:tcW w:w="398" w:type="dxa"/>
          </w:tcPr>
          <w:p>
            <w:pPr>
              <w:pStyle w:val="TableParagraph"/>
              <w:spacing w:before="45"/>
              <w:ind w:left="8"/>
              <w:rPr>
                <w:rFonts w:ascii="Times New Roman"/>
                <w:sz w:val="18"/>
              </w:rPr>
            </w:pPr>
            <w:r>
              <w:rPr>
                <w:rFonts w:ascii="Times New Roman"/>
                <w:sz w:val="18"/>
              </w:rPr>
              <w:t>1</w:t>
            </w:r>
          </w:p>
        </w:tc>
        <w:tc>
          <w:tcPr>
            <w:tcW w:w="984" w:type="dxa"/>
          </w:tcPr>
          <w:p>
            <w:pPr>
              <w:pStyle w:val="TableParagraph"/>
              <w:spacing w:before="33"/>
              <w:ind w:left="220"/>
              <w:jc w:val="left"/>
              <w:rPr>
                <w:sz w:val="18"/>
              </w:rPr>
            </w:pPr>
            <w:r>
              <w:rPr>
                <w:sz w:val="18"/>
              </w:rPr>
              <w:t>车间一</w:t>
            </w:r>
          </w:p>
        </w:tc>
        <w:tc>
          <w:tcPr>
            <w:tcW w:w="994" w:type="dxa"/>
          </w:tcPr>
          <w:p>
            <w:pPr>
              <w:pStyle w:val="TableParagraph"/>
              <w:spacing w:before="45"/>
              <w:ind w:left="72" w:right="64"/>
              <w:rPr>
                <w:rFonts w:ascii="Times New Roman"/>
                <w:sz w:val="18"/>
              </w:rPr>
            </w:pPr>
            <w:r>
              <w:rPr>
                <w:rFonts w:ascii="Times New Roman"/>
                <w:sz w:val="18"/>
              </w:rPr>
              <w:t>297576</w:t>
            </w:r>
          </w:p>
        </w:tc>
        <w:tc>
          <w:tcPr>
            <w:tcW w:w="992" w:type="dxa"/>
          </w:tcPr>
          <w:p>
            <w:pPr>
              <w:pStyle w:val="TableParagraph"/>
              <w:spacing w:before="45"/>
              <w:ind w:left="85" w:right="76"/>
              <w:rPr>
                <w:rFonts w:ascii="Times New Roman"/>
                <w:sz w:val="18"/>
              </w:rPr>
            </w:pPr>
            <w:r>
              <w:rPr>
                <w:rFonts w:ascii="Times New Roman"/>
                <w:sz w:val="18"/>
              </w:rPr>
              <w:t>3339727</w:t>
            </w:r>
          </w:p>
        </w:tc>
        <w:tc>
          <w:tcPr>
            <w:tcW w:w="708" w:type="dxa"/>
          </w:tcPr>
          <w:p>
            <w:pPr>
              <w:pStyle w:val="TableParagraph"/>
              <w:spacing w:before="45"/>
              <w:ind w:left="5"/>
              <w:rPr>
                <w:rFonts w:ascii="Times New Roman"/>
                <w:sz w:val="18"/>
              </w:rPr>
            </w:pPr>
            <w:r>
              <w:rPr>
                <w:rFonts w:ascii="Times New Roman"/>
                <w:sz w:val="18"/>
              </w:rPr>
              <w:t>4</w:t>
            </w:r>
          </w:p>
        </w:tc>
        <w:tc>
          <w:tcPr>
            <w:tcW w:w="758" w:type="dxa"/>
          </w:tcPr>
          <w:p>
            <w:pPr>
              <w:pStyle w:val="TableParagraph"/>
              <w:spacing w:before="45"/>
              <w:ind w:left="193" w:right="184"/>
              <w:rPr>
                <w:rFonts w:ascii="Times New Roman"/>
                <w:sz w:val="18"/>
              </w:rPr>
            </w:pPr>
            <w:r>
              <w:rPr>
                <w:rFonts w:ascii="Times New Roman"/>
                <w:sz w:val="18"/>
              </w:rPr>
              <w:t>29</w:t>
            </w:r>
          </w:p>
        </w:tc>
        <w:tc>
          <w:tcPr>
            <w:tcW w:w="552" w:type="dxa"/>
          </w:tcPr>
          <w:p>
            <w:pPr>
              <w:pStyle w:val="TableParagraph"/>
              <w:spacing w:before="45"/>
              <w:ind w:left="184"/>
              <w:jc w:val="left"/>
              <w:rPr>
                <w:rFonts w:ascii="Times New Roman"/>
                <w:sz w:val="18"/>
              </w:rPr>
            </w:pPr>
            <w:r>
              <w:rPr>
                <w:rFonts w:ascii="Times New Roman"/>
                <w:sz w:val="18"/>
              </w:rPr>
              <w:t>11</w:t>
            </w:r>
          </w:p>
        </w:tc>
        <w:tc>
          <w:tcPr>
            <w:tcW w:w="600" w:type="dxa"/>
          </w:tcPr>
          <w:p>
            <w:pPr>
              <w:pStyle w:val="TableParagraph"/>
              <w:spacing w:before="45"/>
              <w:ind w:left="64" w:right="53"/>
              <w:rPr>
                <w:rFonts w:ascii="Times New Roman"/>
                <w:sz w:val="18"/>
              </w:rPr>
            </w:pPr>
            <w:r>
              <w:rPr>
                <w:rFonts w:ascii="Times New Roman"/>
                <w:sz w:val="18"/>
              </w:rPr>
              <w:t>-5</w:t>
            </w:r>
          </w:p>
        </w:tc>
        <w:tc>
          <w:tcPr>
            <w:tcW w:w="646" w:type="dxa"/>
          </w:tcPr>
          <w:p>
            <w:pPr>
              <w:pStyle w:val="TableParagraph"/>
              <w:spacing w:before="45"/>
              <w:ind w:left="214" w:right="202"/>
              <w:rPr>
                <w:rFonts w:ascii="Times New Roman"/>
                <w:sz w:val="18"/>
              </w:rPr>
            </w:pPr>
            <w:r>
              <w:rPr>
                <w:rFonts w:ascii="Times New Roman"/>
                <w:sz w:val="18"/>
              </w:rPr>
              <w:t>14</w:t>
            </w:r>
          </w:p>
        </w:tc>
        <w:tc>
          <w:tcPr>
            <w:tcW w:w="701" w:type="dxa"/>
          </w:tcPr>
          <w:p>
            <w:pPr>
              <w:pStyle w:val="TableParagraph"/>
              <w:spacing w:before="45"/>
              <w:ind w:left="170"/>
              <w:jc w:val="left"/>
              <w:rPr>
                <w:rFonts w:ascii="Times New Roman"/>
                <w:sz w:val="18"/>
              </w:rPr>
            </w:pPr>
            <w:r>
              <w:rPr>
                <w:rFonts w:ascii="Times New Roman"/>
                <w:sz w:val="18"/>
              </w:rPr>
              <w:t>7200</w:t>
            </w:r>
          </w:p>
        </w:tc>
        <w:tc>
          <w:tcPr>
            <w:tcW w:w="632" w:type="dxa"/>
            <w:tcBorders>
              <w:right w:val="single" w:sz="6" w:space="0" w:color="000000"/>
            </w:tcBorders>
          </w:tcPr>
          <w:p>
            <w:pPr>
              <w:pStyle w:val="TableParagraph"/>
              <w:spacing w:before="33"/>
              <w:ind w:left="134"/>
              <w:jc w:val="left"/>
              <w:rPr>
                <w:sz w:val="18"/>
              </w:rPr>
            </w:pPr>
            <w:r>
              <w:rPr>
                <w:sz w:val="18"/>
              </w:rPr>
              <w:t>正常</w:t>
            </w:r>
          </w:p>
        </w:tc>
        <w:tc>
          <w:tcPr>
            <w:tcW w:w="642" w:type="dxa"/>
            <w:tcBorders>
              <w:left w:val="single" w:sz="6" w:space="0" w:color="000000"/>
            </w:tcBorders>
          </w:tcPr>
          <w:p>
            <w:pPr>
              <w:pStyle w:val="TableParagraph"/>
              <w:spacing w:before="45"/>
              <w:ind w:left="112"/>
              <w:jc w:val="left"/>
              <w:rPr>
                <w:rFonts w:ascii="Times New Roman"/>
                <w:sz w:val="18"/>
              </w:rPr>
            </w:pPr>
            <w:r>
              <w:rPr>
                <w:rFonts w:ascii="Times New Roman"/>
                <w:sz w:val="18"/>
              </w:rPr>
              <w:t>0.013</w:t>
            </w:r>
          </w:p>
        </w:tc>
        <w:tc>
          <w:tcPr>
            <w:tcW w:w="682" w:type="dxa"/>
          </w:tcPr>
          <w:p>
            <w:pPr>
              <w:pStyle w:val="TableParagraph"/>
              <w:spacing w:before="45"/>
              <w:ind w:left="135"/>
              <w:jc w:val="left"/>
              <w:rPr>
                <w:rFonts w:ascii="Times New Roman"/>
                <w:sz w:val="18"/>
              </w:rPr>
            </w:pPr>
            <w:r>
              <w:rPr>
                <w:rFonts w:ascii="Times New Roman"/>
                <w:sz w:val="18"/>
              </w:rPr>
              <w:t>0.085</w:t>
            </w:r>
          </w:p>
        </w:tc>
      </w:tr>
    </w:tbl>
    <w:p>
      <w:pPr>
        <w:tabs>
          <w:tab w:pos="1583" w:val="left" w:leader="none"/>
        </w:tabs>
        <w:spacing w:before="144" w:after="28"/>
        <w:ind w:left="361" w:right="0" w:firstLine="0"/>
        <w:jc w:val="center"/>
        <w:rPr>
          <w:b/>
          <w:sz w:val="24"/>
        </w:rPr>
      </w:pPr>
      <w:r>
        <w:rPr>
          <w:b/>
          <w:sz w:val="24"/>
        </w:rPr>
        <w:t>表</w:t>
      </w:r>
      <w:r>
        <w:rPr>
          <w:b/>
          <w:spacing w:val="-60"/>
          <w:sz w:val="24"/>
        </w:rPr>
        <w:t> </w:t>
      </w:r>
      <w:r>
        <w:rPr>
          <w:rFonts w:ascii="Times New Roman" w:eastAsia="Times New Roman"/>
          <w:b/>
          <w:sz w:val="24"/>
        </w:rPr>
        <w:t>2.4.2-5</w:t>
        <w:tab/>
      </w:r>
      <w:r>
        <w:rPr>
          <w:b/>
          <w:sz w:val="24"/>
        </w:rPr>
        <w:t>主要污染源估算模式计算结果表（</w:t>
      </w:r>
      <w:r>
        <w:rPr>
          <w:rFonts w:ascii="Times New Roman" w:eastAsia="Times New Roman"/>
          <w:b/>
          <w:sz w:val="24"/>
        </w:rPr>
        <w:t>1</w:t>
      </w:r>
      <w:r>
        <w:rPr>
          <w:b/>
          <w:sz w:val="24"/>
        </w:rPr>
        <w:t>）</w:t>
      </w:r>
    </w:p>
    <w:tbl>
      <w:tblPr>
        <w:tblW w:w="0" w:type="auto"/>
        <w:jc w:val="left"/>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893"/>
        <w:gridCol w:w="644"/>
        <w:gridCol w:w="903"/>
        <w:gridCol w:w="584"/>
        <w:gridCol w:w="882"/>
        <w:gridCol w:w="704"/>
        <w:gridCol w:w="872"/>
        <w:gridCol w:w="706"/>
        <w:gridCol w:w="971"/>
        <w:gridCol w:w="622"/>
      </w:tblGrid>
      <w:tr>
        <w:trPr>
          <w:trHeight w:val="282" w:hRule="atLeast"/>
        </w:trPr>
        <w:tc>
          <w:tcPr>
            <w:tcW w:w="1306" w:type="dxa"/>
            <w:vMerge w:val="restart"/>
          </w:tcPr>
          <w:p>
            <w:pPr>
              <w:pStyle w:val="TableParagraph"/>
              <w:jc w:val="left"/>
              <w:rPr>
                <w:b/>
                <w:sz w:val="20"/>
              </w:rPr>
            </w:pPr>
          </w:p>
          <w:p>
            <w:pPr>
              <w:pStyle w:val="TableParagraph"/>
              <w:jc w:val="left"/>
              <w:rPr>
                <w:b/>
                <w:sz w:val="20"/>
              </w:rPr>
            </w:pPr>
          </w:p>
          <w:p>
            <w:pPr>
              <w:pStyle w:val="TableParagraph"/>
              <w:spacing w:before="1"/>
              <w:ind w:left="107"/>
              <w:jc w:val="left"/>
              <w:rPr>
                <w:rFonts w:ascii="Times New Roman" w:eastAsia="Times New Roman"/>
                <w:sz w:val="18"/>
              </w:rPr>
            </w:pPr>
            <w:r>
              <w:rPr>
                <w:sz w:val="18"/>
              </w:rPr>
              <w:t>下风向距离</w:t>
            </w:r>
            <w:r>
              <w:rPr>
                <w:rFonts w:ascii="Times New Roman" w:eastAsia="Times New Roman"/>
                <w:sz w:val="18"/>
              </w:rPr>
              <w:t>/m</w:t>
            </w:r>
          </w:p>
        </w:tc>
        <w:tc>
          <w:tcPr>
            <w:tcW w:w="3024" w:type="dxa"/>
            <w:gridSpan w:val="4"/>
          </w:tcPr>
          <w:p>
            <w:pPr>
              <w:pStyle w:val="TableParagraph"/>
              <w:spacing w:before="23"/>
              <w:ind w:left="952"/>
              <w:jc w:val="left"/>
              <w:rPr>
                <w:sz w:val="18"/>
              </w:rPr>
            </w:pPr>
            <w:r>
              <w:rPr>
                <w:rFonts w:ascii="Times New Roman" w:eastAsia="Times New Roman"/>
                <w:sz w:val="18"/>
              </w:rPr>
              <w:t>DA004 </w:t>
            </w:r>
            <w:r>
              <w:rPr>
                <w:sz w:val="18"/>
              </w:rPr>
              <w:t>排气筒</w:t>
            </w:r>
          </w:p>
        </w:tc>
        <w:tc>
          <w:tcPr>
            <w:tcW w:w="1586" w:type="dxa"/>
            <w:gridSpan w:val="2"/>
          </w:tcPr>
          <w:p>
            <w:pPr>
              <w:pStyle w:val="TableParagraph"/>
              <w:spacing w:before="23"/>
              <w:ind w:left="230"/>
              <w:jc w:val="left"/>
              <w:rPr>
                <w:sz w:val="18"/>
              </w:rPr>
            </w:pPr>
            <w:r>
              <w:rPr>
                <w:rFonts w:ascii="Times New Roman" w:eastAsia="Times New Roman"/>
                <w:sz w:val="18"/>
              </w:rPr>
              <w:t>DA005 </w:t>
            </w:r>
            <w:r>
              <w:rPr>
                <w:sz w:val="18"/>
              </w:rPr>
              <w:t>排气筒</w:t>
            </w:r>
          </w:p>
        </w:tc>
        <w:tc>
          <w:tcPr>
            <w:tcW w:w="3171" w:type="dxa"/>
            <w:gridSpan w:val="4"/>
          </w:tcPr>
          <w:p>
            <w:pPr>
              <w:pStyle w:val="TableParagraph"/>
              <w:spacing w:before="23"/>
              <w:ind w:left="1290" w:right="1291"/>
              <w:rPr>
                <w:sz w:val="18"/>
              </w:rPr>
            </w:pPr>
            <w:r>
              <w:rPr>
                <w:sz w:val="18"/>
              </w:rPr>
              <w:t>车间一</w:t>
            </w:r>
          </w:p>
        </w:tc>
      </w:tr>
      <w:tr>
        <w:trPr>
          <w:trHeight w:val="285" w:hRule="atLeast"/>
        </w:trPr>
        <w:tc>
          <w:tcPr>
            <w:tcW w:w="1306" w:type="dxa"/>
            <w:vMerge/>
            <w:tcBorders>
              <w:top w:val="nil"/>
            </w:tcBorders>
          </w:tcPr>
          <w:p>
            <w:pPr>
              <w:rPr>
                <w:sz w:val="2"/>
                <w:szCs w:val="2"/>
              </w:rPr>
            </w:pPr>
          </w:p>
        </w:tc>
        <w:tc>
          <w:tcPr>
            <w:tcW w:w="1537" w:type="dxa"/>
            <w:gridSpan w:val="2"/>
          </w:tcPr>
          <w:p>
            <w:pPr>
              <w:pStyle w:val="TableParagraph"/>
              <w:spacing w:before="26"/>
              <w:ind w:left="567" w:right="560"/>
              <w:rPr>
                <w:sz w:val="18"/>
              </w:rPr>
            </w:pPr>
            <w:r>
              <w:rPr>
                <w:sz w:val="18"/>
              </w:rPr>
              <w:t>甲酸</w:t>
            </w:r>
          </w:p>
        </w:tc>
        <w:tc>
          <w:tcPr>
            <w:tcW w:w="1487" w:type="dxa"/>
            <w:gridSpan w:val="2"/>
          </w:tcPr>
          <w:p>
            <w:pPr>
              <w:pStyle w:val="TableParagraph"/>
              <w:spacing w:before="38"/>
              <w:ind w:left="501" w:right="494"/>
              <w:rPr>
                <w:rFonts w:ascii="Times New Roman"/>
                <w:sz w:val="18"/>
              </w:rPr>
            </w:pPr>
            <w:r>
              <w:rPr>
                <w:rFonts w:ascii="Times New Roman"/>
                <w:sz w:val="18"/>
              </w:rPr>
              <w:t>PM10</w:t>
            </w:r>
          </w:p>
        </w:tc>
        <w:tc>
          <w:tcPr>
            <w:tcW w:w="1586" w:type="dxa"/>
            <w:gridSpan w:val="2"/>
          </w:tcPr>
          <w:p>
            <w:pPr>
              <w:pStyle w:val="TableParagraph"/>
              <w:spacing w:before="26"/>
              <w:ind w:left="589" w:right="586"/>
              <w:rPr>
                <w:sz w:val="18"/>
              </w:rPr>
            </w:pPr>
            <w:r>
              <w:rPr>
                <w:sz w:val="18"/>
              </w:rPr>
              <w:t>甲酸</w:t>
            </w:r>
          </w:p>
        </w:tc>
        <w:tc>
          <w:tcPr>
            <w:tcW w:w="1578" w:type="dxa"/>
            <w:gridSpan w:val="2"/>
          </w:tcPr>
          <w:p>
            <w:pPr>
              <w:pStyle w:val="TableParagraph"/>
              <w:spacing w:before="26"/>
              <w:ind w:left="583" w:right="584"/>
              <w:rPr>
                <w:sz w:val="18"/>
              </w:rPr>
            </w:pPr>
            <w:r>
              <w:rPr>
                <w:sz w:val="18"/>
              </w:rPr>
              <w:t>甲酸</w:t>
            </w:r>
          </w:p>
        </w:tc>
        <w:tc>
          <w:tcPr>
            <w:tcW w:w="1593" w:type="dxa"/>
            <w:gridSpan w:val="2"/>
          </w:tcPr>
          <w:p>
            <w:pPr>
              <w:pStyle w:val="TableParagraph"/>
              <w:spacing w:before="38"/>
              <w:ind w:left="616" w:right="616"/>
              <w:rPr>
                <w:rFonts w:ascii="Times New Roman"/>
                <w:sz w:val="18"/>
              </w:rPr>
            </w:pPr>
            <w:r>
              <w:rPr>
                <w:rFonts w:ascii="Times New Roman"/>
                <w:sz w:val="18"/>
              </w:rPr>
              <w:t>TSP</w:t>
            </w:r>
          </w:p>
        </w:tc>
      </w:tr>
      <w:tr>
        <w:trPr>
          <w:trHeight w:val="674" w:hRule="atLeast"/>
        </w:trPr>
        <w:tc>
          <w:tcPr>
            <w:tcW w:w="1306" w:type="dxa"/>
            <w:vMerge/>
            <w:tcBorders>
              <w:top w:val="nil"/>
            </w:tcBorders>
          </w:tcPr>
          <w:p>
            <w:pPr>
              <w:rPr>
                <w:sz w:val="2"/>
                <w:szCs w:val="2"/>
              </w:rPr>
            </w:pPr>
          </w:p>
        </w:tc>
        <w:tc>
          <w:tcPr>
            <w:tcW w:w="893" w:type="dxa"/>
          </w:tcPr>
          <w:p>
            <w:pPr>
              <w:pStyle w:val="TableParagraph"/>
              <w:spacing w:line="242" w:lineRule="auto"/>
              <w:ind w:left="85" w:right="75"/>
              <w:rPr>
                <w:sz w:val="18"/>
              </w:rPr>
            </w:pPr>
            <w:r>
              <w:rPr>
                <w:sz w:val="18"/>
              </w:rPr>
              <w:t>预测质量浓度</w:t>
            </w:r>
          </w:p>
          <w:p>
            <w:pPr>
              <w:pStyle w:val="TableParagraph"/>
              <w:spacing w:line="188" w:lineRule="exact"/>
              <w:ind w:left="80" w:right="75"/>
              <w:rPr>
                <w:rFonts w:ascii="Times New Roman" w:hAnsi="Times New Roman"/>
                <w:sz w:val="18"/>
              </w:rPr>
            </w:pPr>
            <w:r>
              <w:rPr>
                <w:rFonts w:ascii="Times New Roman" w:hAnsi="Times New Roman"/>
                <w:sz w:val="18"/>
              </w:rPr>
              <w:t>/(μg/m</w:t>
            </w:r>
            <w:r>
              <w:rPr>
                <w:rFonts w:ascii="Times New Roman" w:hAnsi="Times New Roman"/>
                <w:position w:val="6"/>
                <w:sz w:val="12"/>
              </w:rPr>
              <w:t>3</w:t>
            </w:r>
            <w:r>
              <w:rPr>
                <w:rFonts w:ascii="Times New Roman" w:hAnsi="Times New Roman"/>
                <w:sz w:val="18"/>
              </w:rPr>
              <w:t>)</w:t>
            </w:r>
          </w:p>
        </w:tc>
        <w:tc>
          <w:tcPr>
            <w:tcW w:w="644" w:type="dxa"/>
          </w:tcPr>
          <w:p>
            <w:pPr>
              <w:pStyle w:val="TableParagraph"/>
              <w:spacing w:before="115"/>
              <w:ind w:left="29" w:right="24"/>
              <w:rPr>
                <w:sz w:val="18"/>
              </w:rPr>
            </w:pPr>
            <w:r>
              <w:rPr>
                <w:sz w:val="18"/>
              </w:rPr>
              <w:t>占标率</w:t>
            </w:r>
          </w:p>
          <w:p>
            <w:pPr>
              <w:pStyle w:val="TableParagraph"/>
              <w:spacing w:before="4"/>
              <w:ind w:left="29" w:right="23"/>
              <w:rPr>
                <w:rFonts w:ascii="Times New Roman"/>
                <w:sz w:val="18"/>
              </w:rPr>
            </w:pPr>
            <w:r>
              <w:rPr>
                <w:rFonts w:ascii="Times New Roman"/>
                <w:sz w:val="18"/>
              </w:rPr>
              <w:t>/%</w:t>
            </w:r>
          </w:p>
        </w:tc>
        <w:tc>
          <w:tcPr>
            <w:tcW w:w="903" w:type="dxa"/>
          </w:tcPr>
          <w:p>
            <w:pPr>
              <w:pStyle w:val="TableParagraph"/>
              <w:spacing w:line="242" w:lineRule="auto"/>
              <w:ind w:left="90" w:right="80"/>
              <w:rPr>
                <w:sz w:val="18"/>
              </w:rPr>
            </w:pPr>
            <w:r>
              <w:rPr>
                <w:sz w:val="18"/>
              </w:rPr>
              <w:t>预测质量浓度</w:t>
            </w:r>
          </w:p>
          <w:p>
            <w:pPr>
              <w:pStyle w:val="TableParagraph"/>
              <w:spacing w:line="188" w:lineRule="exact"/>
              <w:ind w:left="84" w:right="80"/>
              <w:rPr>
                <w:rFonts w:ascii="Times New Roman" w:hAnsi="Times New Roman"/>
                <w:sz w:val="18"/>
              </w:rPr>
            </w:pPr>
            <w:r>
              <w:rPr>
                <w:rFonts w:ascii="Times New Roman" w:hAnsi="Times New Roman"/>
                <w:sz w:val="18"/>
              </w:rPr>
              <w:t>/(μg/m</w:t>
            </w:r>
            <w:r>
              <w:rPr>
                <w:rFonts w:ascii="Times New Roman" w:hAnsi="Times New Roman"/>
                <w:position w:val="6"/>
                <w:sz w:val="12"/>
              </w:rPr>
              <w:t>3</w:t>
            </w:r>
            <w:r>
              <w:rPr>
                <w:rFonts w:ascii="Times New Roman" w:hAnsi="Times New Roman"/>
                <w:sz w:val="18"/>
              </w:rPr>
              <w:t>)</w:t>
            </w:r>
          </w:p>
        </w:tc>
        <w:tc>
          <w:tcPr>
            <w:tcW w:w="584" w:type="dxa"/>
          </w:tcPr>
          <w:p>
            <w:pPr>
              <w:pStyle w:val="TableParagraph"/>
              <w:spacing w:before="115"/>
              <w:ind w:left="5"/>
              <w:rPr>
                <w:sz w:val="18"/>
              </w:rPr>
            </w:pPr>
            <w:r>
              <w:rPr>
                <w:sz w:val="18"/>
              </w:rPr>
              <w:t>占标率</w:t>
            </w:r>
          </w:p>
          <w:p>
            <w:pPr>
              <w:pStyle w:val="TableParagraph"/>
              <w:spacing w:before="4"/>
              <w:ind w:left="7"/>
              <w:rPr>
                <w:rFonts w:ascii="Times New Roman"/>
                <w:sz w:val="18"/>
              </w:rPr>
            </w:pPr>
            <w:r>
              <w:rPr>
                <w:rFonts w:ascii="Times New Roman"/>
                <w:sz w:val="18"/>
              </w:rPr>
              <w:t>/%</w:t>
            </w:r>
          </w:p>
        </w:tc>
        <w:tc>
          <w:tcPr>
            <w:tcW w:w="882" w:type="dxa"/>
          </w:tcPr>
          <w:p>
            <w:pPr>
              <w:pStyle w:val="TableParagraph"/>
              <w:spacing w:line="242" w:lineRule="auto"/>
              <w:ind w:left="76" w:right="73"/>
              <w:rPr>
                <w:sz w:val="18"/>
              </w:rPr>
            </w:pPr>
            <w:r>
              <w:rPr>
                <w:sz w:val="18"/>
              </w:rPr>
              <w:t>预测质量浓度</w:t>
            </w:r>
          </w:p>
          <w:p>
            <w:pPr>
              <w:pStyle w:val="TableParagraph"/>
              <w:spacing w:line="188" w:lineRule="exact"/>
              <w:ind w:left="76" w:right="73"/>
              <w:rPr>
                <w:rFonts w:ascii="Times New Roman" w:hAnsi="Times New Roman"/>
                <w:sz w:val="18"/>
              </w:rPr>
            </w:pPr>
            <w:r>
              <w:rPr>
                <w:rFonts w:ascii="Times New Roman" w:hAnsi="Times New Roman"/>
                <w:sz w:val="18"/>
              </w:rPr>
              <w:t>/(μg/m</w:t>
            </w:r>
            <w:r>
              <w:rPr>
                <w:rFonts w:ascii="Times New Roman" w:hAnsi="Times New Roman"/>
                <w:position w:val="6"/>
                <w:sz w:val="12"/>
              </w:rPr>
              <w:t>3</w:t>
            </w:r>
            <w:r>
              <w:rPr>
                <w:rFonts w:ascii="Times New Roman" w:hAnsi="Times New Roman"/>
                <w:sz w:val="18"/>
              </w:rPr>
              <w:t>)</w:t>
            </w:r>
          </w:p>
        </w:tc>
        <w:tc>
          <w:tcPr>
            <w:tcW w:w="704" w:type="dxa"/>
          </w:tcPr>
          <w:p>
            <w:pPr>
              <w:pStyle w:val="TableParagraph"/>
              <w:spacing w:before="115"/>
              <w:ind w:left="58" w:right="56"/>
              <w:rPr>
                <w:sz w:val="18"/>
              </w:rPr>
            </w:pPr>
            <w:r>
              <w:rPr>
                <w:sz w:val="18"/>
              </w:rPr>
              <w:t>占标率</w:t>
            </w:r>
          </w:p>
          <w:p>
            <w:pPr>
              <w:pStyle w:val="TableParagraph"/>
              <w:spacing w:before="4"/>
              <w:ind w:left="58" w:right="54"/>
              <w:rPr>
                <w:rFonts w:ascii="Times New Roman"/>
                <w:sz w:val="18"/>
              </w:rPr>
            </w:pPr>
            <w:r>
              <w:rPr>
                <w:rFonts w:ascii="Times New Roman"/>
                <w:sz w:val="18"/>
              </w:rPr>
              <w:t>/%</w:t>
            </w:r>
          </w:p>
        </w:tc>
        <w:tc>
          <w:tcPr>
            <w:tcW w:w="872" w:type="dxa"/>
          </w:tcPr>
          <w:p>
            <w:pPr>
              <w:pStyle w:val="TableParagraph"/>
              <w:spacing w:line="242" w:lineRule="auto"/>
              <w:ind w:left="70" w:right="69"/>
              <w:rPr>
                <w:sz w:val="18"/>
              </w:rPr>
            </w:pPr>
            <w:r>
              <w:rPr>
                <w:sz w:val="18"/>
              </w:rPr>
              <w:t>预测质量浓度</w:t>
            </w:r>
          </w:p>
          <w:p>
            <w:pPr>
              <w:pStyle w:val="TableParagraph"/>
              <w:spacing w:line="188" w:lineRule="exact"/>
              <w:ind w:left="69" w:right="69"/>
              <w:rPr>
                <w:rFonts w:ascii="Times New Roman" w:hAnsi="Times New Roman"/>
                <w:sz w:val="18"/>
              </w:rPr>
            </w:pPr>
            <w:r>
              <w:rPr>
                <w:rFonts w:ascii="Times New Roman" w:hAnsi="Times New Roman"/>
                <w:sz w:val="18"/>
              </w:rPr>
              <w:t>/(μg/m</w:t>
            </w:r>
            <w:r>
              <w:rPr>
                <w:rFonts w:ascii="Times New Roman" w:hAnsi="Times New Roman"/>
                <w:position w:val="6"/>
                <w:sz w:val="12"/>
              </w:rPr>
              <w:t>3</w:t>
            </w:r>
            <w:r>
              <w:rPr>
                <w:rFonts w:ascii="Times New Roman" w:hAnsi="Times New Roman"/>
                <w:sz w:val="18"/>
              </w:rPr>
              <w:t>)</w:t>
            </w:r>
          </w:p>
        </w:tc>
        <w:tc>
          <w:tcPr>
            <w:tcW w:w="706" w:type="dxa"/>
          </w:tcPr>
          <w:p>
            <w:pPr>
              <w:pStyle w:val="TableParagraph"/>
              <w:spacing w:before="115"/>
              <w:ind w:left="6" w:right="6"/>
              <w:rPr>
                <w:sz w:val="18"/>
              </w:rPr>
            </w:pPr>
            <w:r>
              <w:rPr>
                <w:sz w:val="18"/>
              </w:rPr>
              <w:t>占标率</w:t>
            </w:r>
          </w:p>
          <w:p>
            <w:pPr>
              <w:pStyle w:val="TableParagraph"/>
              <w:spacing w:before="4"/>
              <w:ind w:left="5" w:right="6"/>
              <w:rPr>
                <w:rFonts w:ascii="Times New Roman"/>
                <w:sz w:val="18"/>
              </w:rPr>
            </w:pPr>
            <w:r>
              <w:rPr>
                <w:rFonts w:ascii="Times New Roman"/>
                <w:sz w:val="18"/>
              </w:rPr>
              <w:t>/%</w:t>
            </w:r>
          </w:p>
        </w:tc>
        <w:tc>
          <w:tcPr>
            <w:tcW w:w="971" w:type="dxa"/>
          </w:tcPr>
          <w:p>
            <w:pPr>
              <w:pStyle w:val="TableParagraph"/>
              <w:spacing w:line="242" w:lineRule="auto" w:before="103"/>
              <w:ind w:left="83" w:right="30" w:hanging="56"/>
              <w:jc w:val="left"/>
              <w:rPr>
                <w:rFonts w:ascii="Times New Roman" w:hAnsi="Times New Roman" w:eastAsia="Times New Roman"/>
                <w:sz w:val="18"/>
              </w:rPr>
            </w:pPr>
            <w:r>
              <w:rPr>
                <w:sz w:val="18"/>
              </w:rPr>
              <w:t>预测质量浓度</w:t>
            </w:r>
            <w:r>
              <w:rPr>
                <w:rFonts w:ascii="Times New Roman" w:hAnsi="Times New Roman" w:eastAsia="Times New Roman"/>
                <w:sz w:val="18"/>
              </w:rPr>
              <w:t>/(μg/m</w:t>
            </w:r>
            <w:r>
              <w:rPr>
                <w:rFonts w:ascii="Times New Roman" w:hAnsi="Times New Roman" w:eastAsia="Times New Roman"/>
                <w:position w:val="6"/>
                <w:sz w:val="12"/>
              </w:rPr>
              <w:t>3</w:t>
            </w:r>
            <w:r>
              <w:rPr>
                <w:rFonts w:ascii="Times New Roman" w:hAnsi="Times New Roman" w:eastAsia="Times New Roman"/>
                <w:sz w:val="18"/>
              </w:rPr>
              <w:t>)</w:t>
            </w:r>
          </w:p>
        </w:tc>
        <w:tc>
          <w:tcPr>
            <w:tcW w:w="622" w:type="dxa"/>
          </w:tcPr>
          <w:p>
            <w:pPr>
              <w:pStyle w:val="TableParagraph"/>
              <w:spacing w:before="115"/>
              <w:ind w:left="16" w:right="16"/>
              <w:rPr>
                <w:sz w:val="18"/>
              </w:rPr>
            </w:pPr>
            <w:r>
              <w:rPr>
                <w:sz w:val="18"/>
              </w:rPr>
              <w:t>占标率</w:t>
            </w:r>
          </w:p>
          <w:p>
            <w:pPr>
              <w:pStyle w:val="TableParagraph"/>
              <w:spacing w:before="4"/>
              <w:ind w:left="15" w:right="16"/>
              <w:rPr>
                <w:rFonts w:ascii="Times New Roman"/>
                <w:sz w:val="18"/>
              </w:rPr>
            </w:pPr>
            <w:r>
              <w:rPr>
                <w:rFonts w:ascii="Times New Roman"/>
                <w:sz w:val="18"/>
              </w:rPr>
              <w:t>/%</w:t>
            </w:r>
          </w:p>
        </w:tc>
      </w:tr>
      <w:tr>
        <w:trPr>
          <w:trHeight w:val="465" w:hRule="atLeast"/>
        </w:trPr>
        <w:tc>
          <w:tcPr>
            <w:tcW w:w="1306" w:type="dxa"/>
          </w:tcPr>
          <w:p>
            <w:pPr>
              <w:pStyle w:val="TableParagraph"/>
              <w:spacing w:line="230" w:lineRule="exact"/>
              <w:ind w:left="21"/>
              <w:jc w:val="left"/>
              <w:rPr>
                <w:sz w:val="18"/>
              </w:rPr>
            </w:pPr>
            <w:r>
              <w:rPr>
                <w:sz w:val="18"/>
              </w:rPr>
              <w:t>下风向最大质量</w:t>
            </w:r>
          </w:p>
          <w:p>
            <w:pPr>
              <w:pStyle w:val="TableParagraph"/>
              <w:spacing w:line="213" w:lineRule="exact" w:before="2"/>
              <w:ind w:left="11"/>
              <w:jc w:val="left"/>
              <w:rPr>
                <w:rFonts w:ascii="Times New Roman" w:eastAsia="Times New Roman"/>
                <w:sz w:val="18"/>
              </w:rPr>
            </w:pPr>
            <w:r>
              <w:rPr>
                <w:spacing w:val="-1"/>
                <w:sz w:val="18"/>
              </w:rPr>
              <w:t>浓度及占标率</w:t>
            </w:r>
            <w:r>
              <w:rPr>
                <w:rFonts w:ascii="Times New Roman" w:eastAsia="Times New Roman"/>
                <w:spacing w:val="-7"/>
                <w:sz w:val="18"/>
              </w:rPr>
              <w:t>/%</w:t>
            </w:r>
          </w:p>
        </w:tc>
        <w:tc>
          <w:tcPr>
            <w:tcW w:w="893" w:type="dxa"/>
          </w:tcPr>
          <w:p>
            <w:pPr>
              <w:pStyle w:val="TableParagraph"/>
              <w:spacing w:before="129"/>
              <w:ind w:left="287"/>
              <w:jc w:val="left"/>
              <w:rPr>
                <w:rFonts w:ascii="Times New Roman"/>
                <w:sz w:val="18"/>
              </w:rPr>
            </w:pPr>
            <w:r>
              <w:rPr>
                <w:rFonts w:ascii="Times New Roman"/>
                <w:sz w:val="18"/>
              </w:rPr>
              <w:t>1.79</w:t>
            </w:r>
          </w:p>
        </w:tc>
        <w:tc>
          <w:tcPr>
            <w:tcW w:w="644" w:type="dxa"/>
          </w:tcPr>
          <w:p>
            <w:pPr>
              <w:pStyle w:val="TableParagraph"/>
              <w:spacing w:before="129"/>
              <w:ind w:left="162"/>
              <w:jc w:val="left"/>
              <w:rPr>
                <w:rFonts w:ascii="Times New Roman"/>
                <w:sz w:val="18"/>
              </w:rPr>
            </w:pPr>
            <w:r>
              <w:rPr>
                <w:rFonts w:ascii="Times New Roman"/>
                <w:sz w:val="18"/>
              </w:rPr>
              <w:t>2.84</w:t>
            </w:r>
          </w:p>
        </w:tc>
        <w:tc>
          <w:tcPr>
            <w:tcW w:w="903" w:type="dxa"/>
          </w:tcPr>
          <w:p>
            <w:pPr>
              <w:pStyle w:val="TableParagraph"/>
              <w:spacing w:before="129"/>
              <w:ind w:left="291"/>
              <w:jc w:val="left"/>
              <w:rPr>
                <w:rFonts w:ascii="Times New Roman"/>
                <w:sz w:val="18"/>
              </w:rPr>
            </w:pPr>
            <w:r>
              <w:rPr>
                <w:rFonts w:ascii="Times New Roman"/>
                <w:sz w:val="18"/>
              </w:rPr>
              <w:t>3.13</w:t>
            </w:r>
          </w:p>
        </w:tc>
        <w:tc>
          <w:tcPr>
            <w:tcW w:w="584" w:type="dxa"/>
          </w:tcPr>
          <w:p>
            <w:pPr>
              <w:pStyle w:val="TableParagraph"/>
              <w:spacing w:before="129"/>
              <w:ind w:left="132"/>
              <w:jc w:val="left"/>
              <w:rPr>
                <w:rFonts w:ascii="Times New Roman"/>
                <w:sz w:val="18"/>
              </w:rPr>
            </w:pPr>
            <w:r>
              <w:rPr>
                <w:rFonts w:ascii="Times New Roman"/>
                <w:sz w:val="18"/>
              </w:rPr>
              <w:t>0.70</w:t>
            </w:r>
          </w:p>
        </w:tc>
        <w:tc>
          <w:tcPr>
            <w:tcW w:w="882" w:type="dxa"/>
          </w:tcPr>
          <w:p>
            <w:pPr>
              <w:pStyle w:val="TableParagraph"/>
              <w:spacing w:before="129"/>
              <w:ind w:left="235"/>
              <w:jc w:val="left"/>
              <w:rPr>
                <w:rFonts w:ascii="Times New Roman"/>
                <w:sz w:val="18"/>
              </w:rPr>
            </w:pPr>
            <w:r>
              <w:rPr>
                <w:rFonts w:ascii="Times New Roman"/>
                <w:sz w:val="18"/>
              </w:rPr>
              <w:t>0.025</w:t>
            </w:r>
          </w:p>
        </w:tc>
        <w:tc>
          <w:tcPr>
            <w:tcW w:w="704" w:type="dxa"/>
          </w:tcPr>
          <w:p>
            <w:pPr>
              <w:pStyle w:val="TableParagraph"/>
              <w:spacing w:before="129"/>
              <w:ind w:left="191"/>
              <w:jc w:val="left"/>
              <w:rPr>
                <w:rFonts w:ascii="Times New Roman"/>
                <w:sz w:val="18"/>
              </w:rPr>
            </w:pPr>
            <w:r>
              <w:rPr>
                <w:rFonts w:ascii="Times New Roman"/>
                <w:sz w:val="18"/>
              </w:rPr>
              <w:t>0.04</w:t>
            </w:r>
          </w:p>
        </w:tc>
        <w:tc>
          <w:tcPr>
            <w:tcW w:w="872" w:type="dxa"/>
          </w:tcPr>
          <w:p>
            <w:pPr>
              <w:pStyle w:val="TableParagraph"/>
              <w:spacing w:before="129"/>
              <w:ind w:left="274"/>
              <w:jc w:val="left"/>
              <w:rPr>
                <w:rFonts w:ascii="Times New Roman"/>
                <w:sz w:val="18"/>
              </w:rPr>
            </w:pPr>
            <w:r>
              <w:rPr>
                <w:rFonts w:ascii="Times New Roman"/>
                <w:sz w:val="18"/>
              </w:rPr>
              <w:t>8.09</w:t>
            </w:r>
          </w:p>
        </w:tc>
        <w:tc>
          <w:tcPr>
            <w:tcW w:w="706" w:type="dxa"/>
          </w:tcPr>
          <w:p>
            <w:pPr>
              <w:pStyle w:val="TableParagraph"/>
              <w:spacing w:before="129"/>
              <w:ind w:left="143"/>
              <w:jc w:val="left"/>
              <w:rPr>
                <w:rFonts w:ascii="Times New Roman"/>
                <w:sz w:val="18"/>
              </w:rPr>
            </w:pPr>
            <w:r>
              <w:rPr>
                <w:rFonts w:ascii="Times New Roman"/>
                <w:sz w:val="18"/>
              </w:rPr>
              <w:t>12.84</w:t>
            </w:r>
          </w:p>
        </w:tc>
        <w:tc>
          <w:tcPr>
            <w:tcW w:w="971" w:type="dxa"/>
          </w:tcPr>
          <w:p>
            <w:pPr>
              <w:pStyle w:val="TableParagraph"/>
              <w:spacing w:before="129"/>
              <w:ind w:left="302" w:right="303"/>
              <w:rPr>
                <w:rFonts w:ascii="Times New Roman"/>
                <w:sz w:val="18"/>
              </w:rPr>
            </w:pPr>
            <w:r>
              <w:rPr>
                <w:rFonts w:ascii="Times New Roman"/>
                <w:sz w:val="18"/>
              </w:rPr>
              <w:t>53.8</w:t>
            </w:r>
          </w:p>
        </w:tc>
        <w:tc>
          <w:tcPr>
            <w:tcW w:w="622" w:type="dxa"/>
          </w:tcPr>
          <w:p>
            <w:pPr>
              <w:pStyle w:val="TableParagraph"/>
              <w:spacing w:before="129"/>
              <w:ind w:left="147"/>
              <w:jc w:val="left"/>
              <w:rPr>
                <w:rFonts w:ascii="Times New Roman"/>
                <w:sz w:val="18"/>
              </w:rPr>
            </w:pPr>
            <w:r>
              <w:rPr>
                <w:rFonts w:ascii="Times New Roman"/>
                <w:sz w:val="18"/>
              </w:rPr>
              <w:t>5.98</w:t>
            </w:r>
          </w:p>
        </w:tc>
      </w:tr>
      <w:tr>
        <w:trPr>
          <w:trHeight w:val="285" w:hRule="atLeast"/>
        </w:trPr>
        <w:tc>
          <w:tcPr>
            <w:tcW w:w="1306" w:type="dxa"/>
          </w:tcPr>
          <w:p>
            <w:pPr>
              <w:pStyle w:val="TableParagraph"/>
              <w:spacing w:before="25"/>
              <w:ind w:left="21"/>
              <w:jc w:val="left"/>
              <w:rPr>
                <w:rFonts w:ascii="Times New Roman" w:eastAsia="Times New Roman"/>
                <w:sz w:val="18"/>
              </w:rPr>
            </w:pPr>
            <w:r>
              <w:rPr>
                <w:rFonts w:ascii="Times New Roman" w:eastAsia="Times New Roman"/>
                <w:position w:val="1"/>
                <w:sz w:val="18"/>
              </w:rPr>
              <w:t>D</w:t>
            </w:r>
            <w:r>
              <w:rPr>
                <w:rFonts w:ascii="Times New Roman" w:eastAsia="Times New Roman"/>
                <w:sz w:val="12"/>
              </w:rPr>
              <w:t>10%</w:t>
            </w:r>
            <w:r>
              <w:rPr>
                <w:position w:val="1"/>
                <w:sz w:val="18"/>
              </w:rPr>
              <w:t>最远距离</w:t>
            </w:r>
            <w:r>
              <w:rPr>
                <w:rFonts w:ascii="Times New Roman" w:eastAsia="Times New Roman"/>
                <w:position w:val="1"/>
                <w:sz w:val="18"/>
              </w:rPr>
              <w:t>/m</w:t>
            </w:r>
          </w:p>
        </w:tc>
        <w:tc>
          <w:tcPr>
            <w:tcW w:w="1537" w:type="dxa"/>
            <w:gridSpan w:val="2"/>
          </w:tcPr>
          <w:p>
            <w:pPr>
              <w:pStyle w:val="TableParagraph"/>
              <w:spacing w:before="40"/>
              <w:ind w:left="6"/>
              <w:rPr>
                <w:rFonts w:ascii="Times New Roman"/>
                <w:sz w:val="18"/>
              </w:rPr>
            </w:pPr>
            <w:r>
              <w:rPr>
                <w:rFonts w:ascii="Times New Roman"/>
                <w:sz w:val="18"/>
              </w:rPr>
              <w:t>0</w:t>
            </w:r>
          </w:p>
        </w:tc>
        <w:tc>
          <w:tcPr>
            <w:tcW w:w="1487" w:type="dxa"/>
            <w:gridSpan w:val="2"/>
          </w:tcPr>
          <w:p>
            <w:pPr>
              <w:pStyle w:val="TableParagraph"/>
              <w:spacing w:before="40"/>
              <w:ind w:left="2"/>
              <w:rPr>
                <w:rFonts w:ascii="Times New Roman"/>
                <w:sz w:val="18"/>
              </w:rPr>
            </w:pPr>
            <w:r>
              <w:rPr>
                <w:rFonts w:ascii="Times New Roman"/>
                <w:sz w:val="18"/>
              </w:rPr>
              <w:t>0</w:t>
            </w:r>
          </w:p>
        </w:tc>
        <w:tc>
          <w:tcPr>
            <w:tcW w:w="1586" w:type="dxa"/>
            <w:gridSpan w:val="2"/>
          </w:tcPr>
          <w:p>
            <w:pPr>
              <w:pStyle w:val="TableParagraph"/>
              <w:spacing w:before="40"/>
              <w:ind w:left="1"/>
              <w:rPr>
                <w:rFonts w:ascii="Times New Roman"/>
                <w:sz w:val="18"/>
              </w:rPr>
            </w:pPr>
            <w:r>
              <w:rPr>
                <w:rFonts w:ascii="Times New Roman"/>
                <w:sz w:val="18"/>
              </w:rPr>
              <w:t>0</w:t>
            </w:r>
          </w:p>
        </w:tc>
        <w:tc>
          <w:tcPr>
            <w:tcW w:w="1578" w:type="dxa"/>
            <w:gridSpan w:val="2"/>
          </w:tcPr>
          <w:p>
            <w:pPr>
              <w:pStyle w:val="TableParagraph"/>
              <w:spacing w:before="40"/>
              <w:ind w:left="583" w:right="580"/>
              <w:rPr>
                <w:rFonts w:ascii="Times New Roman"/>
                <w:sz w:val="18"/>
              </w:rPr>
            </w:pPr>
            <w:r>
              <w:rPr>
                <w:rFonts w:ascii="Times New Roman"/>
                <w:sz w:val="18"/>
              </w:rPr>
              <w:t>25</w:t>
            </w:r>
          </w:p>
        </w:tc>
        <w:tc>
          <w:tcPr>
            <w:tcW w:w="1593" w:type="dxa"/>
            <w:gridSpan w:val="2"/>
          </w:tcPr>
          <w:p>
            <w:pPr>
              <w:pStyle w:val="TableParagraph"/>
              <w:spacing w:before="40"/>
              <w:ind w:left="616" w:right="615"/>
              <w:rPr>
                <w:rFonts w:ascii="Times New Roman"/>
                <w:sz w:val="18"/>
              </w:rPr>
            </w:pPr>
            <w:r>
              <w:rPr>
                <w:rFonts w:ascii="Times New Roman"/>
                <w:sz w:val="18"/>
              </w:rPr>
              <w:t>25</w:t>
            </w:r>
          </w:p>
        </w:tc>
      </w:tr>
    </w:tbl>
    <w:p>
      <w:pPr>
        <w:pStyle w:val="BodyText"/>
        <w:spacing w:line="364" w:lineRule="auto" w:before="2"/>
        <w:ind w:left="238" w:right="251" w:firstLine="480"/>
        <w:jc w:val="both"/>
      </w:pPr>
      <w:r>
        <w:rPr>
          <w:spacing w:val="-5"/>
        </w:rPr>
        <w:t>经计算结果可知，最大占标率 </w:t>
      </w:r>
      <w:r>
        <w:rPr>
          <w:rFonts w:ascii="Times New Roman" w:eastAsia="Times New Roman"/>
        </w:rPr>
        <w:t>Pmax:12.84%</w:t>
      </w:r>
      <w:r>
        <w:rPr/>
        <w:t>（车间一的甲酸）＞</w:t>
      </w:r>
      <w:r>
        <w:rPr>
          <w:rFonts w:ascii="Times New Roman" w:eastAsia="Times New Roman"/>
        </w:rPr>
        <w:t>10%</w:t>
      </w:r>
      <w:r>
        <w:rPr>
          <w:spacing w:val="-3"/>
        </w:rPr>
        <w:t>，评价等级为</w:t>
      </w:r>
      <w:r>
        <w:rPr/>
        <w:t>一级。</w:t>
      </w:r>
    </w:p>
    <w:p>
      <w:pPr>
        <w:pStyle w:val="BodyText"/>
        <w:spacing w:line="364" w:lineRule="auto"/>
        <w:ind w:left="238" w:right="234" w:firstLine="420"/>
        <w:jc w:val="both"/>
      </w:pPr>
      <w:r>
        <w:rPr/>
        <w:t>根据导则要求，一级评价项目根据建设项目排放污染物的最远影响距离（</w:t>
      </w:r>
      <w:r>
        <w:rPr>
          <w:rFonts w:ascii="Times New Roman" w:eastAsia="Times New Roman"/>
        </w:rPr>
        <w:t>D10%</w:t>
      </w:r>
      <w:r>
        <w:rPr/>
        <w:t>） </w:t>
      </w:r>
      <w:r>
        <w:rPr>
          <w:position w:val="2"/>
        </w:rPr>
        <w:t>确定大气环境影响评价范围。本项目 </w:t>
      </w:r>
      <w:r>
        <w:rPr>
          <w:rFonts w:ascii="Times New Roman" w:eastAsia="Times New Roman"/>
          <w:position w:val="2"/>
        </w:rPr>
        <w:t>D</w:t>
      </w:r>
      <w:r>
        <w:rPr>
          <w:rFonts w:ascii="Times New Roman" w:eastAsia="Times New Roman"/>
          <w:sz w:val="16"/>
        </w:rPr>
        <w:t>10%</w:t>
      </w:r>
      <w:r>
        <w:rPr>
          <w:position w:val="2"/>
        </w:rPr>
        <w:t>小于 </w:t>
      </w:r>
      <w:r>
        <w:rPr>
          <w:rFonts w:ascii="Times New Roman" w:eastAsia="Times New Roman"/>
          <w:position w:val="2"/>
        </w:rPr>
        <w:t>2.5km</w:t>
      </w:r>
      <w:r>
        <w:rPr>
          <w:position w:val="2"/>
        </w:rPr>
        <w:t>，评价范围边长取 </w:t>
      </w:r>
      <w:r>
        <w:rPr>
          <w:rFonts w:ascii="Times New Roman" w:eastAsia="Times New Roman"/>
          <w:position w:val="2"/>
        </w:rPr>
        <w:t>5km</w:t>
      </w:r>
      <w:r>
        <w:rPr>
          <w:position w:val="2"/>
        </w:rPr>
        <w:t>。</w:t>
      </w:r>
    </w:p>
    <w:p>
      <w:pPr>
        <w:pStyle w:val="BodyText"/>
        <w:spacing w:line="364" w:lineRule="auto"/>
        <w:ind w:left="238" w:right="232" w:firstLine="420"/>
        <w:jc w:val="both"/>
      </w:pPr>
      <w:r>
        <w:rPr/>
        <w:t>根据本项目废气排放特征，选择占标率最大的甲酸、</w:t>
      </w:r>
      <w:r>
        <w:rPr>
          <w:rFonts w:ascii="Times New Roman" w:eastAsia="Times New Roman"/>
        </w:rPr>
        <w:t>TSP </w:t>
      </w:r>
      <w:r>
        <w:rPr>
          <w:spacing w:val="-2"/>
        </w:rPr>
        <w:t>作为本项目环境空气预测</w:t>
      </w:r>
      <w:r>
        <w:rPr>
          <w:spacing w:val="-9"/>
          <w:position w:val="2"/>
        </w:rPr>
        <w:t>因子，由于 </w:t>
      </w:r>
      <w:r>
        <w:rPr>
          <w:rFonts w:ascii="Times New Roman" w:eastAsia="Times New Roman"/>
          <w:position w:val="2"/>
        </w:rPr>
        <w:t>PM</w:t>
      </w:r>
      <w:r>
        <w:rPr>
          <w:rFonts w:ascii="Times New Roman" w:eastAsia="Times New Roman"/>
          <w:sz w:val="16"/>
        </w:rPr>
        <w:t>10 </w:t>
      </w:r>
      <w:r>
        <w:rPr>
          <w:spacing w:val="-26"/>
          <w:position w:val="2"/>
        </w:rPr>
        <w:t>和 </w:t>
      </w:r>
      <w:r>
        <w:rPr>
          <w:rFonts w:ascii="Times New Roman" w:eastAsia="Times New Roman"/>
          <w:position w:val="2"/>
        </w:rPr>
        <w:t>TSP </w:t>
      </w:r>
      <w:r>
        <w:rPr>
          <w:position w:val="2"/>
        </w:rPr>
        <w:t>存在一定的联系，故本项目选取甲酸、</w:t>
      </w:r>
      <w:r>
        <w:rPr>
          <w:rFonts w:ascii="Times New Roman" w:eastAsia="Times New Roman"/>
          <w:position w:val="2"/>
        </w:rPr>
        <w:t>TSP</w:t>
      </w:r>
      <w:r>
        <w:rPr>
          <w:position w:val="2"/>
        </w:rPr>
        <w:t>、</w:t>
      </w:r>
      <w:r>
        <w:rPr>
          <w:rFonts w:ascii="Times New Roman" w:eastAsia="Times New Roman"/>
          <w:spacing w:val="-3"/>
          <w:position w:val="2"/>
        </w:rPr>
        <w:t>PM</w:t>
      </w:r>
      <w:r>
        <w:rPr>
          <w:rFonts w:ascii="Times New Roman" w:eastAsia="Times New Roman"/>
          <w:spacing w:val="-3"/>
          <w:sz w:val="16"/>
        </w:rPr>
        <w:t>10 </w:t>
      </w:r>
      <w:r>
        <w:rPr>
          <w:spacing w:val="-3"/>
          <w:position w:val="2"/>
        </w:rPr>
        <w:t>作为本项目</w:t>
      </w:r>
      <w:r>
        <w:rPr/>
        <w:t>环境空气预测因子。</w:t>
      </w:r>
    </w:p>
    <w:p>
      <w:pPr>
        <w:pStyle w:val="Heading4"/>
        <w:ind w:left="721"/>
      </w:pPr>
      <w:r>
        <w:rPr>
          <w:rFonts w:ascii="Times New Roman" w:eastAsia="Times New Roman"/>
        </w:rPr>
        <w:t>4</w:t>
      </w:r>
      <w:r>
        <w:rPr/>
        <w:t>、声环境</w:t>
      </w:r>
    </w:p>
    <w:p>
      <w:pPr>
        <w:pStyle w:val="BodyText"/>
        <w:spacing w:line="364" w:lineRule="auto" w:before="156"/>
        <w:ind w:left="238" w:right="229" w:firstLine="480"/>
        <w:jc w:val="both"/>
      </w:pPr>
      <w:r>
        <w:rPr>
          <w:spacing w:val="4"/>
        </w:rPr>
        <w:t>根据《环境影响评价技术导则 声环境》</w:t>
      </w:r>
      <w:r>
        <w:rPr>
          <w:rFonts w:ascii="Times New Roman" w:eastAsia="Times New Roman"/>
        </w:rPr>
        <w:t>(HJ2.4-2009)</w:t>
      </w:r>
      <w:r>
        <w:rPr>
          <w:spacing w:val="-1"/>
        </w:rPr>
        <w:t>，项目拟建地位于 </w:t>
      </w:r>
      <w:r>
        <w:rPr>
          <w:rFonts w:ascii="Times New Roman" w:eastAsia="Times New Roman"/>
        </w:rPr>
        <w:t>3</w:t>
      </w:r>
      <w:r>
        <w:rPr>
          <w:rFonts w:ascii="Times New Roman" w:eastAsia="Times New Roman"/>
          <w:spacing w:val="52"/>
        </w:rPr>
        <w:t> </w:t>
      </w:r>
      <w:r>
        <w:rPr>
          <w:spacing w:val="-4"/>
        </w:rPr>
        <w:t>类环境</w:t>
      </w:r>
      <w:r>
        <w:rPr>
          <w:spacing w:val="-1"/>
        </w:rPr>
        <w:t>功能区，同时建设项目建设前后评价范围内敏感目标噪声级增高量在 </w:t>
      </w:r>
      <w:r>
        <w:rPr>
          <w:rFonts w:ascii="Times New Roman" w:eastAsia="Times New Roman"/>
        </w:rPr>
        <w:t>3dB(A)</w:t>
      </w:r>
      <w:r>
        <w:rPr/>
        <w:t>以下</w:t>
      </w:r>
      <w:r>
        <w:rPr>
          <w:rFonts w:ascii="Times New Roman" w:eastAsia="Times New Roman"/>
        </w:rPr>
        <w:t>(</w:t>
      </w:r>
      <w:r>
        <w:rPr/>
        <w:t>不含</w:t>
      </w:r>
      <w:r>
        <w:rPr>
          <w:rFonts w:ascii="Times New Roman" w:eastAsia="Times New Roman"/>
        </w:rPr>
        <w:t>3dB(A))</w:t>
      </w:r>
      <w:r>
        <w:rPr/>
        <w:t>，且受影响人口数量变化不大，因此确定噪声评价等级为三级。</w:t>
      </w:r>
    </w:p>
    <w:p>
      <w:pPr>
        <w:pStyle w:val="Heading4"/>
        <w:spacing w:line="307" w:lineRule="exact"/>
        <w:ind w:left="721"/>
      </w:pPr>
      <w:r>
        <w:rPr>
          <w:rFonts w:ascii="Times New Roman" w:eastAsia="Times New Roman"/>
        </w:rPr>
        <w:t>5</w:t>
      </w:r>
      <w:r>
        <w:rPr/>
        <w:t>、环境风险评价</w:t>
      </w:r>
    </w:p>
    <w:p>
      <w:pPr>
        <w:spacing w:line="364" w:lineRule="auto" w:before="158"/>
        <w:ind w:left="238" w:right="112" w:firstLine="480"/>
        <w:jc w:val="left"/>
        <w:rPr>
          <w:b/>
          <w:sz w:val="24"/>
        </w:rPr>
      </w:pPr>
      <w:r>
        <w:rPr>
          <w:spacing w:val="-5"/>
          <w:sz w:val="24"/>
        </w:rPr>
        <w:t>本项目涉及危险物质，根据《建设项目环境风险评价技术导则</w:t>
      </w:r>
      <w:r>
        <w:rPr>
          <w:spacing w:val="-144"/>
          <w:sz w:val="24"/>
        </w:rPr>
        <w:t>》</w:t>
      </w:r>
      <w:r>
        <w:rPr>
          <w:sz w:val="24"/>
        </w:rPr>
        <w:t>（</w:t>
      </w:r>
      <w:r>
        <w:rPr>
          <w:rFonts w:ascii="Times New Roman" w:hAnsi="Times New Roman" w:eastAsia="Times New Roman"/>
          <w:w w:val="99"/>
          <w:sz w:val="24"/>
        </w:rPr>
        <w:t>HJ</w:t>
      </w:r>
      <w:r>
        <w:rPr>
          <w:rFonts w:ascii="Times New Roman" w:hAnsi="Times New Roman" w:eastAsia="Times New Roman"/>
          <w:sz w:val="24"/>
        </w:rPr>
        <w:t> 169</w:t>
      </w:r>
      <w:r>
        <w:rPr>
          <w:rFonts w:ascii="Times New Roman" w:hAnsi="Times New Roman" w:eastAsia="Times New Roman"/>
          <w:spacing w:val="-1"/>
          <w:sz w:val="24"/>
        </w:rPr>
        <w:t>-</w:t>
      </w:r>
      <w:r>
        <w:rPr>
          <w:rFonts w:ascii="Times New Roman" w:hAnsi="Times New Roman" w:eastAsia="Times New Roman"/>
          <w:sz w:val="24"/>
        </w:rPr>
        <w:t>2018</w:t>
      </w:r>
      <w:r>
        <w:rPr>
          <w:spacing w:val="-120"/>
          <w:sz w:val="24"/>
        </w:rPr>
        <w:t>）</w:t>
      </w:r>
      <w:r>
        <w:rPr>
          <w:spacing w:val="-24"/>
          <w:sz w:val="24"/>
        </w:rPr>
        <w:t>，</w:t>
      </w:r>
      <w:r>
        <w:rPr>
          <w:b/>
          <w:w w:val="99"/>
          <w:sz w:val="24"/>
        </w:rPr>
        <w:t>判</w:t>
      </w:r>
      <w:r>
        <w:rPr>
          <w:b/>
          <w:sz w:val="24"/>
        </w:rPr>
        <w:t>定得本项目大气环境风险潜势为</w:t>
      </w:r>
      <w:r>
        <w:rPr>
          <w:rFonts w:ascii="Times New Roman" w:hAnsi="Times New Roman" w:eastAsia="Times New Roman"/>
          <w:b/>
          <w:spacing w:val="-25"/>
          <w:sz w:val="24"/>
        </w:rPr>
        <w:t>III</w:t>
      </w:r>
      <w:r>
        <w:rPr>
          <w:b/>
          <w:spacing w:val="-5"/>
          <w:sz w:val="24"/>
        </w:rPr>
        <w:t>，地表水环境风险潜势为</w:t>
      </w:r>
      <w:r>
        <w:rPr>
          <w:rFonts w:ascii="Times New Roman" w:hAnsi="Times New Roman" w:eastAsia="Times New Roman"/>
          <w:b/>
          <w:sz w:val="24"/>
        </w:rPr>
        <w:t>Ⅰ</w:t>
      </w:r>
      <w:r>
        <w:rPr>
          <w:b/>
          <w:spacing w:val="-11"/>
          <w:sz w:val="24"/>
        </w:rPr>
        <w:t>、地下水环境风险潜势为</w:t>
      </w:r>
      <w:r>
        <w:rPr>
          <w:rFonts w:ascii="Times New Roman" w:hAnsi="Times New Roman" w:eastAsia="Times New Roman"/>
          <w:b/>
          <w:sz w:val="24"/>
        </w:rPr>
        <w:t>Ⅰ</w:t>
      </w:r>
      <w:r>
        <w:rPr>
          <w:b/>
          <w:sz w:val="24"/>
        </w:rPr>
        <w:t>； 综合风险潜势为</w:t>
      </w:r>
      <w:r>
        <w:rPr>
          <w:rFonts w:ascii="Times New Roman" w:hAnsi="Times New Roman" w:eastAsia="Times New Roman"/>
          <w:b/>
          <w:sz w:val="24"/>
        </w:rPr>
        <w:t>III</w:t>
      </w:r>
      <w:r>
        <w:rPr>
          <w:b/>
          <w:sz w:val="24"/>
        </w:rPr>
        <w:t>。对照评价等级划分表，</w:t>
      </w:r>
      <w:r>
        <w:rPr>
          <w:spacing w:val="-2"/>
          <w:sz w:val="24"/>
        </w:rPr>
        <w:t>本项目大气环境风险评价工作等级为二级， 大气环境评价范围为建设项目边界为</w:t>
      </w:r>
      <w:r>
        <w:rPr>
          <w:rFonts w:ascii="Times New Roman" w:hAnsi="Times New Roman" w:eastAsia="Times New Roman"/>
          <w:spacing w:val="-2"/>
          <w:sz w:val="24"/>
        </w:rPr>
        <w:t>5km</w:t>
      </w:r>
      <w:r>
        <w:rPr>
          <w:spacing w:val="-2"/>
          <w:sz w:val="24"/>
        </w:rPr>
        <w:t>的区域，需选取最不利气象条件，选择适用的</w:t>
      </w:r>
      <w:r>
        <w:rPr>
          <w:spacing w:val="-7"/>
          <w:sz w:val="24"/>
        </w:rPr>
        <w:t>数值方法进行分析预测，给出风险事故情形下危险物质释放可能造成的大气环境影响范</w:t>
      </w:r>
      <w:r>
        <w:rPr>
          <w:spacing w:val="-9"/>
          <w:sz w:val="24"/>
        </w:rPr>
        <w:t>围与程度；地表水环境风险及地下水环境风险评价工作等级为简单分析，在描述危险物质、环境影响途径、环境危害后果、风险防范措施等方面给出定性的说明。</w:t>
      </w:r>
      <w:r>
        <w:rPr>
          <w:b/>
          <w:sz w:val="24"/>
        </w:rPr>
        <w:t>综合评价等级为二级。</w:t>
      </w:r>
    </w:p>
    <w:p>
      <w:pPr>
        <w:spacing w:after="0" w:line="364" w:lineRule="auto"/>
        <w:jc w:val="left"/>
        <w:rPr>
          <w:sz w:val="24"/>
        </w:rPr>
        <w:sectPr>
          <w:pgSz w:w="11910" w:h="16840"/>
          <w:pgMar w:header="874" w:footer="944" w:top="1340" w:bottom="1140" w:left="1180" w:right="1180"/>
        </w:sectPr>
      </w:pPr>
    </w:p>
    <w:p>
      <w:pPr>
        <w:pStyle w:val="Heading4"/>
        <w:spacing w:before="70"/>
        <w:ind w:left="721"/>
      </w:pPr>
      <w:r>
        <w:rPr>
          <w:rFonts w:ascii="Times New Roman" w:eastAsia="Times New Roman"/>
        </w:rPr>
        <w:t>6</w:t>
      </w:r>
      <w:r>
        <w:rPr/>
        <w:t>、土壤环境</w:t>
      </w:r>
    </w:p>
    <w:p>
      <w:pPr>
        <w:pStyle w:val="BodyText"/>
        <w:spacing w:line="364" w:lineRule="auto" w:before="159"/>
        <w:ind w:left="238" w:right="231" w:firstLine="480"/>
      </w:pPr>
      <w:r>
        <w:rPr/>
        <w:t>根据《环境影响评价技术导则 土壤环境（试行</w:t>
      </w:r>
      <w:r>
        <w:rPr>
          <w:spacing w:val="-118"/>
        </w:rPr>
        <w:t>）</w:t>
      </w:r>
      <w:r>
        <w:rPr>
          <w:spacing w:val="3"/>
        </w:rPr>
        <w:t>》</w:t>
      </w:r>
      <w:r>
        <w:rPr>
          <w:rFonts w:ascii="Times New Roman" w:eastAsia="Times New Roman"/>
        </w:rPr>
        <w:t>(HJ964-2018)</w:t>
      </w:r>
      <w:r>
        <w:rPr/>
        <w:t>，本建设项目为污染影响型，土壤环境评价工作等级划分如下：</w:t>
      </w:r>
    </w:p>
    <w:p>
      <w:pPr>
        <w:pStyle w:val="Heading4"/>
        <w:tabs>
          <w:tab w:pos="3155" w:val="left" w:leader="none"/>
        </w:tabs>
        <w:spacing w:before="140" w:after="29"/>
        <w:ind w:left="1933"/>
      </w:pPr>
      <w:r>
        <w:rPr/>
        <w:t>表</w:t>
      </w:r>
      <w:r>
        <w:rPr>
          <w:spacing w:val="-60"/>
        </w:rPr>
        <w:t> </w:t>
      </w:r>
      <w:r>
        <w:rPr>
          <w:rFonts w:ascii="Times New Roman" w:eastAsia="Times New Roman"/>
        </w:rPr>
        <w:t>2.4.2-6</w:t>
        <w:tab/>
      </w:r>
      <w:r>
        <w:rPr/>
        <w:t>污染影响型土壤环境影响评价工作等级分析表</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
        <w:gridCol w:w="1205"/>
        <w:gridCol w:w="5528"/>
        <w:gridCol w:w="1560"/>
        <w:gridCol w:w="671"/>
      </w:tblGrid>
      <w:tr>
        <w:trPr>
          <w:trHeight w:val="273" w:hRule="atLeast"/>
        </w:trPr>
        <w:tc>
          <w:tcPr>
            <w:tcW w:w="1527" w:type="dxa"/>
            <w:gridSpan w:val="2"/>
          </w:tcPr>
          <w:p>
            <w:pPr>
              <w:pStyle w:val="TableParagraph"/>
              <w:spacing w:line="250" w:lineRule="exact" w:before="3"/>
              <w:ind w:left="129"/>
              <w:jc w:val="left"/>
              <w:rPr>
                <w:b/>
                <w:sz w:val="21"/>
              </w:rPr>
            </w:pPr>
            <w:r>
              <w:rPr>
                <w:b/>
                <w:sz w:val="21"/>
              </w:rPr>
              <w:t>等级划分依据</w:t>
            </w:r>
          </w:p>
        </w:tc>
        <w:tc>
          <w:tcPr>
            <w:tcW w:w="5528" w:type="dxa"/>
          </w:tcPr>
          <w:p>
            <w:pPr>
              <w:pStyle w:val="TableParagraph"/>
              <w:spacing w:line="250" w:lineRule="exact" w:before="3"/>
              <w:ind w:left="462" w:right="451"/>
              <w:rPr>
                <w:b/>
                <w:sz w:val="21"/>
              </w:rPr>
            </w:pPr>
            <w:r>
              <w:rPr>
                <w:b/>
                <w:sz w:val="21"/>
              </w:rPr>
              <w:t>情况描述</w:t>
            </w:r>
          </w:p>
        </w:tc>
        <w:tc>
          <w:tcPr>
            <w:tcW w:w="1560" w:type="dxa"/>
          </w:tcPr>
          <w:p>
            <w:pPr>
              <w:pStyle w:val="TableParagraph"/>
              <w:spacing w:line="250" w:lineRule="exact" w:before="3"/>
              <w:ind w:left="17" w:right="9"/>
              <w:rPr>
                <w:b/>
                <w:sz w:val="21"/>
              </w:rPr>
            </w:pPr>
            <w:r>
              <w:rPr>
                <w:b/>
                <w:sz w:val="21"/>
              </w:rPr>
              <w:t>类别</w:t>
            </w:r>
          </w:p>
        </w:tc>
        <w:tc>
          <w:tcPr>
            <w:tcW w:w="671" w:type="dxa"/>
          </w:tcPr>
          <w:p>
            <w:pPr>
              <w:pStyle w:val="TableParagraph"/>
              <w:spacing w:line="250" w:lineRule="exact" w:before="3"/>
              <w:ind w:left="124"/>
              <w:jc w:val="left"/>
              <w:rPr>
                <w:b/>
                <w:sz w:val="21"/>
              </w:rPr>
            </w:pPr>
            <w:r>
              <w:rPr>
                <w:b/>
                <w:sz w:val="21"/>
              </w:rPr>
              <w:t>等级</w:t>
            </w:r>
          </w:p>
        </w:tc>
      </w:tr>
      <w:tr>
        <w:trPr>
          <w:trHeight w:val="273" w:hRule="atLeast"/>
        </w:trPr>
        <w:tc>
          <w:tcPr>
            <w:tcW w:w="322" w:type="dxa"/>
          </w:tcPr>
          <w:p>
            <w:pPr>
              <w:pStyle w:val="TableParagraph"/>
              <w:spacing w:line="238" w:lineRule="exact" w:before="15"/>
              <w:ind w:right="96"/>
              <w:jc w:val="right"/>
              <w:rPr>
                <w:rFonts w:ascii="Times New Roman"/>
                <w:sz w:val="21"/>
              </w:rPr>
            </w:pPr>
            <w:r>
              <w:rPr>
                <w:rFonts w:ascii="Times New Roman"/>
                <w:w w:val="100"/>
                <w:sz w:val="21"/>
              </w:rPr>
              <w:t>1</w:t>
            </w:r>
          </w:p>
        </w:tc>
        <w:tc>
          <w:tcPr>
            <w:tcW w:w="1205" w:type="dxa"/>
          </w:tcPr>
          <w:p>
            <w:pPr>
              <w:pStyle w:val="TableParagraph"/>
              <w:spacing w:line="252" w:lineRule="exact" w:before="1"/>
              <w:ind w:right="168"/>
              <w:jc w:val="right"/>
              <w:rPr>
                <w:sz w:val="21"/>
              </w:rPr>
            </w:pPr>
            <w:r>
              <w:rPr>
                <w:sz w:val="21"/>
              </w:rPr>
              <w:t>占地规模</w:t>
            </w:r>
          </w:p>
        </w:tc>
        <w:tc>
          <w:tcPr>
            <w:tcW w:w="5528" w:type="dxa"/>
          </w:tcPr>
          <w:p>
            <w:pPr>
              <w:pStyle w:val="TableParagraph"/>
              <w:spacing w:line="252" w:lineRule="exact" w:before="1"/>
              <w:ind w:left="462" w:right="454"/>
              <w:rPr>
                <w:rFonts w:ascii="Times New Roman" w:eastAsia="Times New Roman"/>
                <w:sz w:val="14"/>
              </w:rPr>
            </w:pPr>
            <w:r>
              <w:rPr>
                <w:sz w:val="21"/>
              </w:rPr>
              <w:t>项目占地 </w:t>
            </w:r>
            <w:r>
              <w:rPr>
                <w:rFonts w:ascii="Times New Roman" w:eastAsia="Times New Roman"/>
                <w:sz w:val="21"/>
              </w:rPr>
              <w:t>1.33hm</w:t>
            </w:r>
            <w:r>
              <w:rPr>
                <w:rFonts w:ascii="Times New Roman" w:eastAsia="Times New Roman"/>
                <w:position w:val="7"/>
                <w:sz w:val="14"/>
              </w:rPr>
              <w:t>2</w:t>
            </w:r>
          </w:p>
        </w:tc>
        <w:tc>
          <w:tcPr>
            <w:tcW w:w="1560" w:type="dxa"/>
          </w:tcPr>
          <w:p>
            <w:pPr>
              <w:pStyle w:val="TableParagraph"/>
              <w:spacing w:line="252" w:lineRule="exact" w:before="1"/>
              <w:ind w:left="17" w:right="9"/>
              <w:rPr>
                <w:sz w:val="21"/>
              </w:rPr>
            </w:pPr>
            <w:r>
              <w:rPr>
                <w:sz w:val="21"/>
              </w:rPr>
              <w:t>小型</w:t>
            </w:r>
          </w:p>
        </w:tc>
        <w:tc>
          <w:tcPr>
            <w:tcW w:w="671" w:type="dxa"/>
            <w:vMerge w:val="restart"/>
          </w:tcPr>
          <w:p>
            <w:pPr>
              <w:pStyle w:val="TableParagraph"/>
              <w:jc w:val="left"/>
              <w:rPr>
                <w:b/>
                <w:sz w:val="20"/>
              </w:rPr>
            </w:pPr>
          </w:p>
          <w:p>
            <w:pPr>
              <w:pStyle w:val="TableParagraph"/>
              <w:jc w:val="left"/>
              <w:rPr>
                <w:b/>
                <w:sz w:val="20"/>
              </w:rPr>
            </w:pPr>
          </w:p>
          <w:p>
            <w:pPr>
              <w:pStyle w:val="TableParagraph"/>
              <w:spacing w:before="179"/>
              <w:ind w:left="124"/>
              <w:jc w:val="left"/>
              <w:rPr>
                <w:sz w:val="21"/>
              </w:rPr>
            </w:pPr>
            <w:r>
              <w:rPr>
                <w:sz w:val="21"/>
              </w:rPr>
              <w:t>二级</w:t>
            </w:r>
          </w:p>
        </w:tc>
      </w:tr>
      <w:tr>
        <w:trPr>
          <w:trHeight w:val="815" w:hRule="atLeast"/>
        </w:trPr>
        <w:tc>
          <w:tcPr>
            <w:tcW w:w="322" w:type="dxa"/>
          </w:tcPr>
          <w:p>
            <w:pPr>
              <w:pStyle w:val="TableParagraph"/>
              <w:spacing w:before="4"/>
              <w:jc w:val="left"/>
              <w:rPr>
                <w:b/>
                <w:sz w:val="22"/>
              </w:rPr>
            </w:pPr>
          </w:p>
          <w:p>
            <w:pPr>
              <w:pStyle w:val="TableParagraph"/>
              <w:ind w:right="96"/>
              <w:jc w:val="right"/>
              <w:rPr>
                <w:rFonts w:ascii="Times New Roman"/>
                <w:sz w:val="21"/>
              </w:rPr>
            </w:pPr>
            <w:r>
              <w:rPr>
                <w:rFonts w:ascii="Times New Roman"/>
                <w:w w:val="100"/>
                <w:sz w:val="21"/>
              </w:rPr>
              <w:t>2</w:t>
            </w:r>
          </w:p>
        </w:tc>
        <w:tc>
          <w:tcPr>
            <w:tcW w:w="1205" w:type="dxa"/>
          </w:tcPr>
          <w:p>
            <w:pPr>
              <w:pStyle w:val="TableParagraph"/>
              <w:spacing w:before="3"/>
              <w:jc w:val="left"/>
              <w:rPr>
                <w:b/>
                <w:sz w:val="21"/>
              </w:rPr>
            </w:pPr>
          </w:p>
          <w:p>
            <w:pPr>
              <w:pStyle w:val="TableParagraph"/>
              <w:ind w:right="168"/>
              <w:jc w:val="right"/>
              <w:rPr>
                <w:sz w:val="21"/>
              </w:rPr>
            </w:pPr>
            <w:r>
              <w:rPr>
                <w:sz w:val="21"/>
              </w:rPr>
              <w:t>敏感程度</w:t>
            </w:r>
          </w:p>
        </w:tc>
        <w:tc>
          <w:tcPr>
            <w:tcW w:w="5528" w:type="dxa"/>
          </w:tcPr>
          <w:p>
            <w:pPr>
              <w:pStyle w:val="TableParagraph"/>
              <w:spacing w:line="242" w:lineRule="auto" w:before="1"/>
              <w:ind w:left="135" w:right="123" w:hanging="1"/>
              <w:rPr>
                <w:sz w:val="21"/>
              </w:rPr>
            </w:pPr>
            <w:r>
              <w:rPr>
                <w:sz w:val="21"/>
              </w:rPr>
              <w:t>建设项目位于工业集中区，周边不存在耕地、园地、牧草地、饮用水源地或居民区、学校、医院、疗养院等或其他</w:t>
            </w:r>
          </w:p>
          <w:p>
            <w:pPr>
              <w:pStyle w:val="TableParagraph"/>
              <w:spacing w:line="250" w:lineRule="exact" w:before="1"/>
              <w:ind w:left="462" w:right="454"/>
              <w:rPr>
                <w:sz w:val="21"/>
              </w:rPr>
            </w:pPr>
            <w:r>
              <w:rPr>
                <w:sz w:val="21"/>
              </w:rPr>
              <w:t>土壤环境敏感目标</w:t>
            </w:r>
          </w:p>
        </w:tc>
        <w:tc>
          <w:tcPr>
            <w:tcW w:w="1560" w:type="dxa"/>
          </w:tcPr>
          <w:p>
            <w:pPr>
              <w:pStyle w:val="TableParagraph"/>
              <w:spacing w:line="242" w:lineRule="auto" w:before="137"/>
              <w:ind w:left="148" w:right="134" w:hanging="3"/>
              <w:jc w:val="left"/>
              <w:rPr>
                <w:sz w:val="21"/>
              </w:rPr>
            </w:pPr>
            <w:r>
              <w:rPr>
                <w:rFonts w:ascii="Times New Roman" w:eastAsia="Times New Roman"/>
                <w:sz w:val="21"/>
              </w:rPr>
              <w:t>1km </w:t>
            </w:r>
            <w:r>
              <w:rPr>
                <w:sz w:val="21"/>
              </w:rPr>
              <w:t>范围内不存在敏感目标</w:t>
            </w:r>
          </w:p>
        </w:tc>
        <w:tc>
          <w:tcPr>
            <w:tcW w:w="671" w:type="dxa"/>
            <w:vMerge/>
            <w:tcBorders>
              <w:top w:val="nil"/>
            </w:tcBorders>
          </w:tcPr>
          <w:p>
            <w:pPr>
              <w:rPr>
                <w:sz w:val="2"/>
                <w:szCs w:val="2"/>
              </w:rPr>
            </w:pPr>
          </w:p>
        </w:tc>
      </w:tr>
      <w:tr>
        <w:trPr>
          <w:trHeight w:val="546" w:hRule="atLeast"/>
        </w:trPr>
        <w:tc>
          <w:tcPr>
            <w:tcW w:w="322" w:type="dxa"/>
          </w:tcPr>
          <w:p>
            <w:pPr>
              <w:pStyle w:val="TableParagraph"/>
              <w:spacing w:before="151"/>
              <w:ind w:right="96"/>
              <w:jc w:val="right"/>
              <w:rPr>
                <w:rFonts w:ascii="Times New Roman"/>
                <w:sz w:val="21"/>
              </w:rPr>
            </w:pPr>
            <w:r>
              <w:rPr>
                <w:rFonts w:ascii="Times New Roman"/>
                <w:w w:val="100"/>
                <w:sz w:val="21"/>
              </w:rPr>
              <w:t>3</w:t>
            </w:r>
          </w:p>
        </w:tc>
        <w:tc>
          <w:tcPr>
            <w:tcW w:w="1205" w:type="dxa"/>
          </w:tcPr>
          <w:p>
            <w:pPr>
              <w:pStyle w:val="TableParagraph"/>
              <w:spacing w:before="138"/>
              <w:ind w:right="168"/>
              <w:jc w:val="right"/>
              <w:rPr>
                <w:sz w:val="21"/>
              </w:rPr>
            </w:pPr>
            <w:r>
              <w:rPr>
                <w:sz w:val="21"/>
              </w:rPr>
              <w:t>项目类别</w:t>
            </w:r>
          </w:p>
        </w:tc>
        <w:tc>
          <w:tcPr>
            <w:tcW w:w="5528" w:type="dxa"/>
          </w:tcPr>
          <w:p>
            <w:pPr>
              <w:pStyle w:val="TableParagraph"/>
              <w:spacing w:before="1"/>
              <w:ind w:left="462" w:right="454"/>
              <w:rPr>
                <w:sz w:val="21"/>
              </w:rPr>
            </w:pPr>
            <w:r>
              <w:rPr>
                <w:spacing w:val="-3"/>
                <w:sz w:val="21"/>
              </w:rPr>
              <w:t>根据《环境影响评价技术导则 土壤环境</w:t>
            </w:r>
            <w:r>
              <w:rPr>
                <w:sz w:val="21"/>
              </w:rPr>
              <w:t>（</w:t>
            </w:r>
            <w:r>
              <w:rPr>
                <w:spacing w:val="-2"/>
                <w:sz w:val="21"/>
              </w:rPr>
              <w:t>试行</w:t>
            </w:r>
            <w:r>
              <w:rPr>
                <w:spacing w:val="-106"/>
                <w:sz w:val="21"/>
              </w:rPr>
              <w:t>）</w:t>
            </w:r>
            <w:r>
              <w:rPr>
                <w:sz w:val="21"/>
              </w:rPr>
              <w:t>》</w:t>
            </w:r>
          </w:p>
          <w:p>
            <w:pPr>
              <w:pStyle w:val="TableParagraph"/>
              <w:spacing w:line="252" w:lineRule="exact" w:before="4"/>
              <w:ind w:left="462" w:right="454"/>
              <w:rPr>
                <w:sz w:val="21"/>
              </w:rPr>
            </w:pPr>
            <w:r>
              <w:rPr>
                <w:rFonts w:ascii="Times New Roman" w:eastAsia="Times New Roman"/>
                <w:sz w:val="21"/>
              </w:rPr>
              <w:t>(HJ964-2018)</w:t>
            </w:r>
            <w:r>
              <w:rPr>
                <w:sz w:val="21"/>
              </w:rPr>
              <w:t>附录</w:t>
            </w:r>
            <w:r>
              <w:rPr>
                <w:rFonts w:ascii="Times New Roman" w:eastAsia="Times New Roman"/>
                <w:sz w:val="21"/>
              </w:rPr>
              <w:t>A </w:t>
            </w:r>
            <w:r>
              <w:rPr>
                <w:sz w:val="21"/>
              </w:rPr>
              <w:t>判定，项目属于 </w:t>
            </w:r>
            <w:r>
              <w:rPr>
                <w:rFonts w:ascii="Times New Roman" w:eastAsia="Times New Roman"/>
                <w:sz w:val="21"/>
              </w:rPr>
              <w:t>I </w:t>
            </w:r>
            <w:r>
              <w:rPr>
                <w:sz w:val="21"/>
              </w:rPr>
              <w:t>类项目。</w:t>
            </w:r>
          </w:p>
        </w:tc>
        <w:tc>
          <w:tcPr>
            <w:tcW w:w="1560" w:type="dxa"/>
          </w:tcPr>
          <w:p>
            <w:pPr>
              <w:pStyle w:val="TableParagraph"/>
              <w:spacing w:before="151"/>
              <w:ind w:left="6"/>
              <w:rPr>
                <w:rFonts w:ascii="Times New Roman"/>
                <w:sz w:val="21"/>
              </w:rPr>
            </w:pPr>
            <w:r>
              <w:rPr>
                <w:rFonts w:ascii="Times New Roman"/>
                <w:w w:val="100"/>
                <w:sz w:val="21"/>
              </w:rPr>
              <w:t>I</w:t>
            </w:r>
          </w:p>
        </w:tc>
        <w:tc>
          <w:tcPr>
            <w:tcW w:w="671" w:type="dxa"/>
            <w:vMerge/>
            <w:tcBorders>
              <w:top w:val="nil"/>
            </w:tcBorders>
          </w:tcPr>
          <w:p>
            <w:pPr>
              <w:rPr>
                <w:sz w:val="2"/>
                <w:szCs w:val="2"/>
              </w:rPr>
            </w:pPr>
          </w:p>
        </w:tc>
      </w:tr>
    </w:tbl>
    <w:p>
      <w:pPr>
        <w:pStyle w:val="BodyText"/>
        <w:spacing w:line="364" w:lineRule="auto" w:before="2"/>
        <w:ind w:left="238" w:right="235" w:firstLine="480"/>
        <w:jc w:val="both"/>
      </w:pPr>
      <w:r>
        <w:rPr>
          <w:spacing w:val="-1"/>
        </w:rPr>
        <w:t>根据《环境影响评价技术导则 土壤环境</w:t>
      </w:r>
      <w:r>
        <w:rPr/>
        <w:t>（试行</w:t>
      </w:r>
      <w:r>
        <w:rPr>
          <w:spacing w:val="-120"/>
        </w:rPr>
        <w:t>）</w:t>
      </w:r>
      <w:r>
        <w:rPr/>
        <w:t>》</w:t>
      </w:r>
      <w:r>
        <w:rPr>
          <w:rFonts w:ascii="Times New Roman" w:eastAsia="Times New Roman"/>
        </w:rPr>
        <w:t>(HJ964-2018)</w:t>
      </w:r>
      <w:r>
        <w:rPr>
          <w:spacing w:val="-19"/>
        </w:rPr>
        <w:t>表 </w:t>
      </w:r>
      <w:r>
        <w:rPr>
          <w:rFonts w:ascii="Times New Roman" w:eastAsia="Times New Roman"/>
        </w:rPr>
        <w:t>4 </w:t>
      </w:r>
      <w:r>
        <w:rPr>
          <w:spacing w:val="-3"/>
        </w:rPr>
        <w:t>判定，项目土壤环境影响评价等级为二级，预测方法参见 </w:t>
      </w:r>
      <w:r>
        <w:rPr>
          <w:rFonts w:ascii="Times New Roman" w:eastAsia="Times New Roman"/>
        </w:rPr>
        <w:t>HJ946-2018 </w:t>
      </w:r>
      <w:r>
        <w:rPr>
          <w:spacing w:val="-16"/>
        </w:rPr>
        <w:t>附录 </w:t>
      </w:r>
      <w:r>
        <w:rPr>
          <w:rFonts w:ascii="Times New Roman" w:eastAsia="Times New Roman"/>
        </w:rPr>
        <w:t>E </w:t>
      </w:r>
      <w:r>
        <w:rPr>
          <w:spacing w:val="-2"/>
        </w:rPr>
        <w:t>或进行类比分析，说明</w:t>
      </w:r>
      <w:r>
        <w:rPr/>
        <w:t>建设项目对土壤环境产生的影响及趋势。</w:t>
      </w:r>
    </w:p>
    <w:p>
      <w:pPr>
        <w:pStyle w:val="Heading4"/>
        <w:spacing w:line="305" w:lineRule="exact"/>
        <w:ind w:left="721"/>
      </w:pPr>
      <w:r>
        <w:rPr>
          <w:rFonts w:ascii="Times New Roman" w:eastAsia="Times New Roman"/>
        </w:rPr>
        <w:t>7</w:t>
      </w:r>
      <w:r>
        <w:rPr/>
        <w:t>、生态环境</w:t>
      </w:r>
    </w:p>
    <w:p>
      <w:pPr>
        <w:pStyle w:val="BodyText"/>
        <w:spacing w:line="364" w:lineRule="auto" w:before="161"/>
        <w:ind w:left="238" w:right="232" w:firstLine="480"/>
        <w:jc w:val="both"/>
      </w:pPr>
      <w:r>
        <w:rPr>
          <w:spacing w:val="-6"/>
        </w:rPr>
        <w:t>根据《环境影响评价技术导则生态影响》</w:t>
      </w:r>
      <w:r>
        <w:rPr>
          <w:rFonts w:ascii="Times New Roman" w:eastAsia="Times New Roman"/>
          <w:spacing w:val="-3"/>
        </w:rPr>
        <w:t>(HJ19-2011)</w:t>
      </w:r>
      <w:r>
        <w:rPr>
          <w:spacing w:val="-3"/>
        </w:rPr>
        <w:t>，本项目所在区域为规划集中</w:t>
      </w:r>
      <w:r>
        <w:rPr>
          <w:spacing w:val="-7"/>
        </w:rPr>
        <w:t>工业区，属于除特殊生态敏感区和重要生态敏感区以外的其他区域，本项目在企业新征</w:t>
      </w:r>
      <w:r>
        <w:rPr>
          <w:spacing w:val="-3"/>
        </w:rPr>
        <w:t>地块进行建设，新增占地面积为</w:t>
      </w:r>
      <w:r>
        <w:rPr>
          <w:rFonts w:ascii="Times New Roman" w:eastAsia="Times New Roman"/>
        </w:rPr>
        <w:t>0.013km</w:t>
      </w:r>
      <w:r>
        <w:rPr>
          <w:rFonts w:ascii="Times New Roman" w:eastAsia="Times New Roman"/>
          <w:position w:val="9"/>
          <w:sz w:val="16"/>
        </w:rPr>
        <w:t>2</w:t>
      </w:r>
      <w:r>
        <w:rPr/>
        <w:t>＜</w:t>
      </w:r>
      <w:r>
        <w:rPr>
          <w:rFonts w:ascii="Times New Roman" w:eastAsia="Times New Roman"/>
        </w:rPr>
        <w:t>2km</w:t>
      </w:r>
      <w:r>
        <w:rPr>
          <w:rFonts w:ascii="Times New Roman" w:eastAsia="Times New Roman"/>
          <w:position w:val="9"/>
          <w:sz w:val="16"/>
        </w:rPr>
        <w:t>2</w:t>
      </w:r>
      <w:r>
        <w:rPr>
          <w:spacing w:val="-6"/>
        </w:rPr>
        <w:t>。根据导则规定，确定项目生态影响评价工作等级为三级。</w:t>
      </w:r>
    </w:p>
    <w:p>
      <w:pPr>
        <w:pStyle w:val="Heading3"/>
        <w:numPr>
          <w:ilvl w:val="1"/>
          <w:numId w:val="6"/>
        </w:numPr>
        <w:tabs>
          <w:tab w:pos="801" w:val="left" w:leader="none"/>
        </w:tabs>
        <w:spacing w:line="357" w:lineRule="exact" w:before="0" w:after="0"/>
        <w:ind w:left="800" w:right="0" w:hanging="421"/>
        <w:jc w:val="left"/>
      </w:pPr>
      <w:bookmarkStart w:name="_bookmark12" w:id="25"/>
      <w:bookmarkEnd w:id="25"/>
      <w:r>
        <w:rPr>
          <w:b w:val="0"/>
        </w:rPr>
      </w:r>
      <w:bookmarkStart w:name="_bookmark12" w:id="26"/>
      <w:bookmarkEnd w:id="26"/>
      <w:r>
        <w:rPr/>
        <w:t>评价范围及环境敏感区</w:t>
      </w:r>
    </w:p>
    <w:p>
      <w:pPr>
        <w:pStyle w:val="Heading4"/>
        <w:numPr>
          <w:ilvl w:val="2"/>
          <w:numId w:val="6"/>
        </w:numPr>
        <w:tabs>
          <w:tab w:pos="1019" w:val="left" w:leader="none"/>
        </w:tabs>
        <w:spacing w:line="240" w:lineRule="auto" w:before="185" w:after="0"/>
        <w:ind w:left="1018" w:right="0" w:hanging="541"/>
        <w:jc w:val="left"/>
      </w:pPr>
      <w:r>
        <w:rPr/>
        <w:t>评价范围</w:t>
      </w:r>
    </w:p>
    <w:p>
      <w:pPr>
        <w:pStyle w:val="BodyText"/>
        <w:spacing w:before="5"/>
        <w:rPr>
          <w:b/>
          <w:sz w:val="23"/>
        </w:rPr>
      </w:pPr>
    </w:p>
    <w:p>
      <w:pPr>
        <w:tabs>
          <w:tab w:pos="1222" w:val="left" w:leader="none"/>
        </w:tabs>
        <w:spacing w:before="0" w:after="29"/>
        <w:ind w:left="1" w:right="0" w:firstLine="0"/>
        <w:jc w:val="center"/>
        <w:rPr>
          <w:b/>
          <w:sz w:val="24"/>
        </w:rPr>
      </w:pPr>
      <w:r>
        <w:rPr>
          <w:b/>
          <w:sz w:val="24"/>
        </w:rPr>
        <w:t>表</w:t>
      </w:r>
      <w:r>
        <w:rPr>
          <w:b/>
          <w:spacing w:val="-60"/>
          <w:sz w:val="24"/>
        </w:rPr>
        <w:t> </w:t>
      </w:r>
      <w:r>
        <w:rPr>
          <w:rFonts w:ascii="Times New Roman" w:eastAsia="Times New Roman"/>
          <w:b/>
          <w:sz w:val="24"/>
        </w:rPr>
        <w:t>2.5.1-1</w:t>
        <w:tab/>
      </w:r>
      <w:r>
        <w:rPr>
          <w:b/>
          <w:sz w:val="24"/>
        </w:rPr>
        <w:t>项目各专项影响评价范围</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3118"/>
        <w:gridCol w:w="1419"/>
        <w:gridCol w:w="3082"/>
      </w:tblGrid>
      <w:tr>
        <w:trPr>
          <w:trHeight w:val="285" w:hRule="atLeast"/>
        </w:trPr>
        <w:tc>
          <w:tcPr>
            <w:tcW w:w="1668" w:type="dxa"/>
          </w:tcPr>
          <w:p>
            <w:pPr>
              <w:pStyle w:val="TableParagraph"/>
              <w:spacing w:line="257" w:lineRule="exact" w:before="8"/>
              <w:ind w:left="175" w:right="168"/>
              <w:rPr>
                <w:b/>
                <w:sz w:val="21"/>
              </w:rPr>
            </w:pPr>
            <w:r>
              <w:rPr>
                <w:b/>
                <w:sz w:val="21"/>
              </w:rPr>
              <w:t>内容</w:t>
            </w:r>
          </w:p>
        </w:tc>
        <w:tc>
          <w:tcPr>
            <w:tcW w:w="3118" w:type="dxa"/>
          </w:tcPr>
          <w:p>
            <w:pPr>
              <w:pStyle w:val="TableParagraph"/>
              <w:spacing w:line="257" w:lineRule="exact" w:before="8"/>
              <w:ind w:left="69" w:right="57"/>
              <w:rPr>
                <w:b/>
                <w:sz w:val="21"/>
              </w:rPr>
            </w:pPr>
            <w:r>
              <w:rPr>
                <w:b/>
                <w:sz w:val="21"/>
              </w:rPr>
              <w:t>评价范围</w:t>
            </w:r>
          </w:p>
        </w:tc>
        <w:tc>
          <w:tcPr>
            <w:tcW w:w="1419" w:type="dxa"/>
          </w:tcPr>
          <w:p>
            <w:pPr>
              <w:pStyle w:val="TableParagraph"/>
              <w:spacing w:line="257" w:lineRule="exact" w:before="8"/>
              <w:ind w:left="11"/>
              <w:rPr>
                <w:b/>
                <w:sz w:val="21"/>
              </w:rPr>
            </w:pPr>
            <w:r>
              <w:rPr>
                <w:b/>
                <w:sz w:val="21"/>
              </w:rPr>
              <w:t>评价等级</w:t>
            </w:r>
          </w:p>
        </w:tc>
        <w:tc>
          <w:tcPr>
            <w:tcW w:w="3082" w:type="dxa"/>
          </w:tcPr>
          <w:p>
            <w:pPr>
              <w:pStyle w:val="TableParagraph"/>
              <w:spacing w:line="257" w:lineRule="exact" w:before="8"/>
              <w:ind w:left="259" w:right="250"/>
              <w:rPr>
                <w:b/>
                <w:sz w:val="21"/>
              </w:rPr>
            </w:pPr>
            <w:r>
              <w:rPr>
                <w:b/>
                <w:sz w:val="21"/>
              </w:rPr>
              <w:t>备注</w:t>
            </w:r>
          </w:p>
        </w:tc>
      </w:tr>
      <w:tr>
        <w:trPr>
          <w:trHeight w:val="544" w:hRule="atLeast"/>
        </w:trPr>
        <w:tc>
          <w:tcPr>
            <w:tcW w:w="1668" w:type="dxa"/>
          </w:tcPr>
          <w:p>
            <w:pPr>
              <w:pStyle w:val="TableParagraph"/>
              <w:spacing w:before="137"/>
              <w:ind w:left="176" w:right="167"/>
              <w:rPr>
                <w:sz w:val="21"/>
              </w:rPr>
            </w:pPr>
            <w:r>
              <w:rPr>
                <w:sz w:val="21"/>
              </w:rPr>
              <w:t>地表水环境</w:t>
            </w:r>
          </w:p>
        </w:tc>
        <w:tc>
          <w:tcPr>
            <w:tcW w:w="3118" w:type="dxa"/>
          </w:tcPr>
          <w:p>
            <w:pPr>
              <w:pStyle w:val="TableParagraph"/>
              <w:spacing w:before="137"/>
              <w:ind w:left="66" w:right="57"/>
              <w:rPr>
                <w:sz w:val="21"/>
              </w:rPr>
            </w:pPr>
            <w:r>
              <w:rPr>
                <w:sz w:val="21"/>
              </w:rPr>
              <w:t>项目周边内河水系</w:t>
            </w:r>
          </w:p>
        </w:tc>
        <w:tc>
          <w:tcPr>
            <w:tcW w:w="1419" w:type="dxa"/>
          </w:tcPr>
          <w:p>
            <w:pPr>
              <w:pStyle w:val="TableParagraph"/>
              <w:spacing w:before="137"/>
              <w:ind w:left="7"/>
              <w:rPr>
                <w:sz w:val="21"/>
              </w:rPr>
            </w:pPr>
            <w:r>
              <w:rPr>
                <w:sz w:val="21"/>
              </w:rPr>
              <w:t>三级</w:t>
            </w:r>
            <w:r>
              <w:rPr>
                <w:rFonts w:ascii="Times New Roman" w:eastAsia="Times New Roman"/>
                <w:sz w:val="21"/>
              </w:rPr>
              <w:t>B </w:t>
            </w:r>
            <w:r>
              <w:rPr>
                <w:sz w:val="21"/>
              </w:rPr>
              <w:t>评价</w:t>
            </w:r>
          </w:p>
        </w:tc>
        <w:tc>
          <w:tcPr>
            <w:tcW w:w="3082" w:type="dxa"/>
          </w:tcPr>
          <w:p>
            <w:pPr>
              <w:pStyle w:val="TableParagraph"/>
              <w:spacing w:before="1"/>
              <w:ind w:left="174"/>
              <w:jc w:val="left"/>
              <w:rPr>
                <w:sz w:val="21"/>
              </w:rPr>
            </w:pPr>
            <w:r>
              <w:rPr>
                <w:spacing w:val="-3"/>
                <w:sz w:val="21"/>
              </w:rPr>
              <w:t>着重分析项目废水纳管的可行</w:t>
            </w:r>
          </w:p>
          <w:p>
            <w:pPr>
              <w:pStyle w:val="TableParagraph"/>
              <w:spacing w:line="252" w:lineRule="exact" w:before="2"/>
              <w:ind w:left="174"/>
              <w:jc w:val="left"/>
              <w:rPr>
                <w:sz w:val="21"/>
              </w:rPr>
            </w:pPr>
            <w:r>
              <w:rPr>
                <w:spacing w:val="-3"/>
                <w:sz w:val="21"/>
              </w:rPr>
              <w:t>性、对上虞污水处理厂的影响</w:t>
            </w:r>
          </w:p>
        </w:tc>
      </w:tr>
      <w:tr>
        <w:trPr>
          <w:trHeight w:val="818" w:hRule="atLeast"/>
        </w:trPr>
        <w:tc>
          <w:tcPr>
            <w:tcW w:w="1668" w:type="dxa"/>
          </w:tcPr>
          <w:p>
            <w:pPr>
              <w:pStyle w:val="TableParagraph"/>
              <w:spacing w:before="5"/>
              <w:jc w:val="left"/>
              <w:rPr>
                <w:b/>
                <w:sz w:val="21"/>
              </w:rPr>
            </w:pPr>
          </w:p>
          <w:p>
            <w:pPr>
              <w:pStyle w:val="TableParagraph"/>
              <w:ind w:left="176" w:right="167"/>
              <w:rPr>
                <w:sz w:val="21"/>
              </w:rPr>
            </w:pPr>
            <w:r>
              <w:rPr>
                <w:sz w:val="21"/>
              </w:rPr>
              <w:t>地下水环境</w:t>
            </w:r>
          </w:p>
        </w:tc>
        <w:tc>
          <w:tcPr>
            <w:tcW w:w="3118" w:type="dxa"/>
          </w:tcPr>
          <w:p>
            <w:pPr>
              <w:pStyle w:val="TableParagraph"/>
              <w:spacing w:before="5"/>
              <w:jc w:val="left"/>
              <w:rPr>
                <w:b/>
                <w:sz w:val="21"/>
              </w:rPr>
            </w:pPr>
          </w:p>
          <w:p>
            <w:pPr>
              <w:pStyle w:val="TableParagraph"/>
              <w:ind w:left="66" w:right="57"/>
              <w:rPr>
                <w:sz w:val="21"/>
              </w:rPr>
            </w:pPr>
            <w:r>
              <w:rPr>
                <w:sz w:val="21"/>
              </w:rPr>
              <w:t>面积 </w:t>
            </w:r>
            <w:r>
              <w:rPr>
                <w:rFonts w:ascii="Times New Roman" w:eastAsia="Times New Roman"/>
                <w:sz w:val="21"/>
              </w:rPr>
              <w:t>10km</w:t>
            </w:r>
            <w:r>
              <w:rPr>
                <w:rFonts w:ascii="Times New Roman" w:eastAsia="Times New Roman"/>
                <w:position w:val="7"/>
                <w:sz w:val="14"/>
              </w:rPr>
              <w:t>2 </w:t>
            </w:r>
            <w:r>
              <w:rPr>
                <w:sz w:val="21"/>
              </w:rPr>
              <w:t>的区域</w:t>
            </w:r>
          </w:p>
        </w:tc>
        <w:tc>
          <w:tcPr>
            <w:tcW w:w="1419" w:type="dxa"/>
          </w:tcPr>
          <w:p>
            <w:pPr>
              <w:pStyle w:val="TableParagraph"/>
              <w:spacing w:before="5"/>
              <w:jc w:val="left"/>
              <w:rPr>
                <w:b/>
                <w:sz w:val="21"/>
              </w:rPr>
            </w:pPr>
          </w:p>
          <w:p>
            <w:pPr>
              <w:pStyle w:val="TableParagraph"/>
              <w:ind w:left="9"/>
              <w:rPr>
                <w:sz w:val="21"/>
              </w:rPr>
            </w:pPr>
            <w:r>
              <w:rPr>
                <w:sz w:val="21"/>
              </w:rPr>
              <w:t>二级评价</w:t>
            </w:r>
          </w:p>
        </w:tc>
        <w:tc>
          <w:tcPr>
            <w:tcW w:w="3082" w:type="dxa"/>
          </w:tcPr>
          <w:p>
            <w:pPr>
              <w:pStyle w:val="TableParagraph"/>
              <w:spacing w:before="1"/>
              <w:ind w:left="174" w:hanging="68"/>
              <w:jc w:val="left"/>
              <w:rPr>
                <w:sz w:val="21"/>
              </w:rPr>
            </w:pPr>
            <w:r>
              <w:rPr>
                <w:sz w:val="21"/>
              </w:rPr>
              <w:t>重点关注项目生产车间地面、固</w:t>
            </w:r>
          </w:p>
          <w:p>
            <w:pPr>
              <w:pStyle w:val="TableParagraph"/>
              <w:spacing w:line="270" w:lineRule="atLeast" w:before="3"/>
              <w:ind w:left="909" w:right="160" w:hanging="735"/>
              <w:jc w:val="left"/>
              <w:rPr>
                <w:sz w:val="21"/>
              </w:rPr>
            </w:pPr>
            <w:r>
              <w:rPr>
                <w:sz w:val="21"/>
              </w:rPr>
              <w:t>废暂存库和废水收集治理设施地面防渗措施</w:t>
            </w:r>
          </w:p>
        </w:tc>
      </w:tr>
      <w:tr>
        <w:trPr>
          <w:trHeight w:val="544" w:hRule="atLeast"/>
        </w:trPr>
        <w:tc>
          <w:tcPr>
            <w:tcW w:w="1668" w:type="dxa"/>
          </w:tcPr>
          <w:p>
            <w:pPr>
              <w:pStyle w:val="TableParagraph"/>
              <w:spacing w:before="135"/>
              <w:ind w:left="176" w:right="167"/>
              <w:rPr>
                <w:sz w:val="21"/>
              </w:rPr>
            </w:pPr>
            <w:r>
              <w:rPr>
                <w:sz w:val="21"/>
              </w:rPr>
              <w:t>土壤环境</w:t>
            </w:r>
          </w:p>
        </w:tc>
        <w:tc>
          <w:tcPr>
            <w:tcW w:w="3118" w:type="dxa"/>
          </w:tcPr>
          <w:p>
            <w:pPr>
              <w:pStyle w:val="TableParagraph"/>
              <w:spacing w:before="1"/>
              <w:ind w:left="66" w:right="57"/>
              <w:rPr>
                <w:sz w:val="21"/>
              </w:rPr>
            </w:pPr>
            <w:r>
              <w:rPr>
                <w:sz w:val="21"/>
              </w:rPr>
              <w:t>占地范围内：全部</w:t>
            </w:r>
          </w:p>
          <w:p>
            <w:pPr>
              <w:pStyle w:val="TableParagraph"/>
              <w:spacing w:line="252" w:lineRule="exact" w:before="2"/>
              <w:ind w:left="66" w:right="57"/>
              <w:rPr>
                <w:sz w:val="21"/>
              </w:rPr>
            </w:pPr>
            <w:r>
              <w:rPr>
                <w:sz w:val="21"/>
              </w:rPr>
              <w:t>占地范围外：</w:t>
            </w:r>
            <w:r>
              <w:rPr>
                <w:rFonts w:ascii="Times New Roman" w:eastAsia="Times New Roman"/>
                <w:sz w:val="21"/>
              </w:rPr>
              <w:t>0.2km </w:t>
            </w:r>
            <w:r>
              <w:rPr>
                <w:sz w:val="21"/>
              </w:rPr>
              <w:t>范围内</w:t>
            </w:r>
          </w:p>
        </w:tc>
        <w:tc>
          <w:tcPr>
            <w:tcW w:w="1419" w:type="dxa"/>
          </w:tcPr>
          <w:p>
            <w:pPr>
              <w:pStyle w:val="TableParagraph"/>
              <w:spacing w:before="135"/>
              <w:ind w:left="9"/>
              <w:rPr>
                <w:sz w:val="21"/>
              </w:rPr>
            </w:pPr>
            <w:r>
              <w:rPr>
                <w:sz w:val="21"/>
              </w:rPr>
              <w:t>二级评价</w:t>
            </w:r>
          </w:p>
        </w:tc>
        <w:tc>
          <w:tcPr>
            <w:tcW w:w="3082" w:type="dxa"/>
          </w:tcPr>
          <w:p>
            <w:pPr>
              <w:pStyle w:val="TableParagraph"/>
              <w:jc w:val="left"/>
              <w:rPr>
                <w:rFonts w:ascii="Times New Roman"/>
                <w:sz w:val="22"/>
              </w:rPr>
            </w:pPr>
          </w:p>
        </w:tc>
      </w:tr>
      <w:tr>
        <w:trPr>
          <w:trHeight w:val="545" w:hRule="atLeast"/>
        </w:trPr>
        <w:tc>
          <w:tcPr>
            <w:tcW w:w="1668" w:type="dxa"/>
          </w:tcPr>
          <w:p>
            <w:pPr>
              <w:pStyle w:val="TableParagraph"/>
              <w:spacing w:before="138"/>
              <w:ind w:left="176" w:right="167"/>
              <w:rPr>
                <w:sz w:val="21"/>
              </w:rPr>
            </w:pPr>
            <w:r>
              <w:rPr>
                <w:sz w:val="21"/>
              </w:rPr>
              <w:t>大气环境</w:t>
            </w:r>
          </w:p>
        </w:tc>
        <w:tc>
          <w:tcPr>
            <w:tcW w:w="3118" w:type="dxa"/>
          </w:tcPr>
          <w:p>
            <w:pPr>
              <w:pStyle w:val="TableParagraph"/>
              <w:spacing w:before="1"/>
              <w:ind w:left="71" w:right="57"/>
              <w:rPr>
                <w:sz w:val="21"/>
              </w:rPr>
            </w:pPr>
            <w:r>
              <w:rPr>
                <w:sz w:val="21"/>
              </w:rPr>
              <w:t>以项目厂址为中心区域，边长为</w:t>
            </w:r>
          </w:p>
          <w:p>
            <w:pPr>
              <w:pStyle w:val="TableParagraph"/>
              <w:spacing w:line="252" w:lineRule="exact" w:before="2"/>
              <w:ind w:left="69" w:right="57"/>
              <w:rPr>
                <w:sz w:val="21"/>
              </w:rPr>
            </w:pPr>
            <w:r>
              <w:rPr>
                <w:rFonts w:ascii="Times New Roman" w:eastAsia="Times New Roman"/>
                <w:sz w:val="21"/>
              </w:rPr>
              <w:t>5km </w:t>
            </w:r>
            <w:r>
              <w:rPr>
                <w:sz w:val="21"/>
              </w:rPr>
              <w:t>的矩形区域</w:t>
            </w:r>
          </w:p>
        </w:tc>
        <w:tc>
          <w:tcPr>
            <w:tcW w:w="1419" w:type="dxa"/>
          </w:tcPr>
          <w:p>
            <w:pPr>
              <w:pStyle w:val="TableParagraph"/>
              <w:spacing w:before="138"/>
              <w:ind w:left="9"/>
              <w:rPr>
                <w:sz w:val="21"/>
              </w:rPr>
            </w:pPr>
            <w:r>
              <w:rPr>
                <w:sz w:val="21"/>
              </w:rPr>
              <w:t>一级评价</w:t>
            </w:r>
          </w:p>
        </w:tc>
        <w:tc>
          <w:tcPr>
            <w:tcW w:w="3082" w:type="dxa"/>
          </w:tcPr>
          <w:p>
            <w:pPr>
              <w:pStyle w:val="TableParagraph"/>
              <w:jc w:val="left"/>
              <w:rPr>
                <w:rFonts w:ascii="Times New Roman"/>
                <w:sz w:val="22"/>
              </w:rPr>
            </w:pPr>
          </w:p>
        </w:tc>
      </w:tr>
      <w:tr>
        <w:trPr>
          <w:trHeight w:val="282" w:hRule="atLeast"/>
        </w:trPr>
        <w:tc>
          <w:tcPr>
            <w:tcW w:w="1668" w:type="dxa"/>
          </w:tcPr>
          <w:p>
            <w:pPr>
              <w:pStyle w:val="TableParagraph"/>
              <w:spacing w:line="257" w:lineRule="exact" w:before="6"/>
              <w:ind w:left="176" w:right="164"/>
              <w:rPr>
                <w:sz w:val="21"/>
              </w:rPr>
            </w:pPr>
            <w:r>
              <w:rPr>
                <w:sz w:val="21"/>
              </w:rPr>
              <w:t>声环境</w:t>
            </w:r>
          </w:p>
        </w:tc>
        <w:tc>
          <w:tcPr>
            <w:tcW w:w="3118" w:type="dxa"/>
          </w:tcPr>
          <w:p>
            <w:pPr>
              <w:pStyle w:val="TableParagraph"/>
              <w:spacing w:line="257" w:lineRule="exact" w:before="6"/>
              <w:ind w:left="66" w:right="57"/>
              <w:rPr>
                <w:sz w:val="21"/>
              </w:rPr>
            </w:pPr>
            <w:r>
              <w:rPr>
                <w:sz w:val="21"/>
              </w:rPr>
              <w:t>厂界向外 </w:t>
            </w:r>
            <w:r>
              <w:rPr>
                <w:rFonts w:ascii="Times New Roman" w:eastAsia="Times New Roman"/>
                <w:sz w:val="21"/>
              </w:rPr>
              <w:t>200m </w:t>
            </w:r>
            <w:r>
              <w:rPr>
                <w:sz w:val="21"/>
              </w:rPr>
              <w:t>范围内</w:t>
            </w:r>
          </w:p>
        </w:tc>
        <w:tc>
          <w:tcPr>
            <w:tcW w:w="1419" w:type="dxa"/>
          </w:tcPr>
          <w:p>
            <w:pPr>
              <w:pStyle w:val="TableParagraph"/>
              <w:spacing w:line="257" w:lineRule="exact" w:before="6"/>
              <w:ind w:left="9"/>
              <w:rPr>
                <w:sz w:val="21"/>
              </w:rPr>
            </w:pPr>
            <w:r>
              <w:rPr>
                <w:sz w:val="21"/>
              </w:rPr>
              <w:t>三级评价</w:t>
            </w:r>
          </w:p>
        </w:tc>
        <w:tc>
          <w:tcPr>
            <w:tcW w:w="3082" w:type="dxa"/>
          </w:tcPr>
          <w:p>
            <w:pPr>
              <w:pStyle w:val="TableParagraph"/>
              <w:jc w:val="left"/>
              <w:rPr>
                <w:rFonts w:ascii="Times New Roman"/>
                <w:sz w:val="20"/>
              </w:rPr>
            </w:pPr>
          </w:p>
        </w:tc>
      </w:tr>
      <w:tr>
        <w:trPr>
          <w:trHeight w:val="818" w:hRule="atLeast"/>
        </w:trPr>
        <w:tc>
          <w:tcPr>
            <w:tcW w:w="1668" w:type="dxa"/>
          </w:tcPr>
          <w:p>
            <w:pPr>
              <w:pStyle w:val="TableParagraph"/>
              <w:spacing w:before="5"/>
              <w:jc w:val="left"/>
              <w:rPr>
                <w:b/>
                <w:sz w:val="21"/>
              </w:rPr>
            </w:pPr>
          </w:p>
          <w:p>
            <w:pPr>
              <w:pStyle w:val="TableParagraph"/>
              <w:ind w:left="176" w:right="167"/>
              <w:rPr>
                <w:sz w:val="21"/>
              </w:rPr>
            </w:pPr>
            <w:r>
              <w:rPr>
                <w:sz w:val="21"/>
              </w:rPr>
              <w:t>生态环境</w:t>
            </w:r>
          </w:p>
        </w:tc>
        <w:tc>
          <w:tcPr>
            <w:tcW w:w="3118" w:type="dxa"/>
          </w:tcPr>
          <w:p>
            <w:pPr>
              <w:pStyle w:val="TableParagraph"/>
              <w:spacing w:before="1"/>
              <w:ind w:left="107" w:firstLine="84"/>
              <w:jc w:val="left"/>
              <w:rPr>
                <w:sz w:val="21"/>
              </w:rPr>
            </w:pPr>
            <w:r>
              <w:rPr>
                <w:sz w:val="21"/>
              </w:rPr>
              <w:t>建设项目的直接影响区域与间</w:t>
            </w:r>
          </w:p>
          <w:p>
            <w:pPr>
              <w:pStyle w:val="TableParagraph"/>
              <w:spacing w:line="270" w:lineRule="atLeast" w:before="3"/>
              <w:ind w:left="1032" w:right="36" w:hanging="925"/>
              <w:jc w:val="left"/>
              <w:rPr>
                <w:sz w:val="21"/>
              </w:rPr>
            </w:pPr>
            <w:r>
              <w:rPr>
                <w:sz w:val="21"/>
              </w:rPr>
              <w:t>接影响区域（主要为新征地块涉及的区域）</w:t>
            </w:r>
          </w:p>
        </w:tc>
        <w:tc>
          <w:tcPr>
            <w:tcW w:w="1419" w:type="dxa"/>
          </w:tcPr>
          <w:p>
            <w:pPr>
              <w:pStyle w:val="TableParagraph"/>
              <w:spacing w:before="5"/>
              <w:jc w:val="left"/>
              <w:rPr>
                <w:b/>
                <w:sz w:val="21"/>
              </w:rPr>
            </w:pPr>
          </w:p>
          <w:p>
            <w:pPr>
              <w:pStyle w:val="TableParagraph"/>
              <w:ind w:left="9"/>
              <w:rPr>
                <w:sz w:val="21"/>
              </w:rPr>
            </w:pPr>
            <w:r>
              <w:rPr>
                <w:sz w:val="21"/>
              </w:rPr>
              <w:t>三级评价</w:t>
            </w:r>
          </w:p>
        </w:tc>
        <w:tc>
          <w:tcPr>
            <w:tcW w:w="3082" w:type="dxa"/>
          </w:tcPr>
          <w:p>
            <w:pPr>
              <w:pStyle w:val="TableParagraph"/>
              <w:jc w:val="left"/>
              <w:rPr>
                <w:rFonts w:ascii="Times New Roman"/>
                <w:sz w:val="22"/>
              </w:rPr>
            </w:pPr>
          </w:p>
        </w:tc>
      </w:tr>
      <w:tr>
        <w:trPr>
          <w:trHeight w:val="817" w:hRule="atLeast"/>
        </w:trPr>
        <w:tc>
          <w:tcPr>
            <w:tcW w:w="1668" w:type="dxa"/>
          </w:tcPr>
          <w:p>
            <w:pPr>
              <w:pStyle w:val="TableParagraph"/>
              <w:spacing w:before="5"/>
              <w:jc w:val="left"/>
              <w:rPr>
                <w:b/>
                <w:sz w:val="21"/>
              </w:rPr>
            </w:pPr>
          </w:p>
          <w:p>
            <w:pPr>
              <w:pStyle w:val="TableParagraph"/>
              <w:ind w:left="176" w:right="167"/>
              <w:rPr>
                <w:sz w:val="21"/>
              </w:rPr>
            </w:pPr>
            <w:r>
              <w:rPr>
                <w:sz w:val="21"/>
              </w:rPr>
              <w:t>环境风险</w:t>
            </w:r>
          </w:p>
        </w:tc>
        <w:tc>
          <w:tcPr>
            <w:tcW w:w="3118" w:type="dxa"/>
          </w:tcPr>
          <w:p>
            <w:pPr>
              <w:pStyle w:val="TableParagraph"/>
              <w:spacing w:before="1"/>
              <w:ind w:left="162" w:firstLine="28"/>
              <w:jc w:val="left"/>
              <w:rPr>
                <w:sz w:val="21"/>
              </w:rPr>
            </w:pPr>
            <w:r>
              <w:rPr>
                <w:sz w:val="21"/>
              </w:rPr>
              <w:t>大气环境风险评价范围为建设</w:t>
            </w:r>
          </w:p>
          <w:p>
            <w:pPr>
              <w:pStyle w:val="TableParagraph"/>
              <w:spacing w:line="270" w:lineRule="atLeast" w:before="3"/>
              <w:ind w:left="107" w:right="36" w:firstLine="55"/>
              <w:jc w:val="left"/>
              <w:rPr>
                <w:sz w:val="21"/>
              </w:rPr>
            </w:pPr>
            <w:r>
              <w:rPr>
                <w:sz w:val="21"/>
              </w:rPr>
              <w:t>项目边界为 </w:t>
            </w:r>
            <w:r>
              <w:rPr>
                <w:rFonts w:ascii="Times New Roman" w:eastAsia="Times New Roman"/>
                <w:sz w:val="21"/>
              </w:rPr>
              <w:t>5km </w:t>
            </w:r>
            <w:r>
              <w:rPr>
                <w:sz w:val="21"/>
              </w:rPr>
              <w:t>的区域；地表水、地下水环境风险评价仅做简</w:t>
            </w:r>
          </w:p>
        </w:tc>
        <w:tc>
          <w:tcPr>
            <w:tcW w:w="1419" w:type="dxa"/>
          </w:tcPr>
          <w:p>
            <w:pPr>
              <w:pStyle w:val="TableParagraph"/>
              <w:spacing w:before="5"/>
              <w:jc w:val="left"/>
              <w:rPr>
                <w:b/>
                <w:sz w:val="21"/>
              </w:rPr>
            </w:pPr>
          </w:p>
          <w:p>
            <w:pPr>
              <w:pStyle w:val="TableParagraph"/>
              <w:ind w:left="9"/>
              <w:rPr>
                <w:sz w:val="21"/>
              </w:rPr>
            </w:pPr>
            <w:r>
              <w:rPr>
                <w:sz w:val="21"/>
              </w:rPr>
              <w:t>二级评价</w:t>
            </w:r>
          </w:p>
        </w:tc>
        <w:tc>
          <w:tcPr>
            <w:tcW w:w="3082" w:type="dxa"/>
          </w:tcPr>
          <w:p>
            <w:pPr>
              <w:pStyle w:val="TableParagraph"/>
              <w:spacing w:before="5"/>
              <w:jc w:val="left"/>
              <w:rPr>
                <w:b/>
                <w:sz w:val="21"/>
              </w:rPr>
            </w:pPr>
          </w:p>
          <w:p>
            <w:pPr>
              <w:pStyle w:val="TableParagraph"/>
              <w:ind w:left="259" w:right="252"/>
              <w:rPr>
                <w:sz w:val="21"/>
              </w:rPr>
            </w:pPr>
            <w:r>
              <w:rPr>
                <w:sz w:val="21"/>
              </w:rPr>
              <w:t>着重考虑厂界外最近敏感点</w:t>
            </w:r>
          </w:p>
        </w:tc>
      </w:tr>
    </w:tbl>
    <w:p>
      <w:pPr>
        <w:spacing w:after="0"/>
        <w:rPr>
          <w:sz w:val="21"/>
        </w:rPr>
        <w:sectPr>
          <w:pgSz w:w="11910" w:h="16840"/>
          <w:pgMar w:header="874" w:footer="944" w:top="1340" w:bottom="1140" w:left="1180" w:right="1180"/>
        </w:sectPr>
      </w:pPr>
    </w:p>
    <w:p>
      <w:pPr>
        <w:pStyle w:val="BodyText"/>
        <w:spacing w:before="4"/>
        <w:rPr>
          <w:b/>
          <w:sz w:val="5"/>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3118"/>
        <w:gridCol w:w="1419"/>
        <w:gridCol w:w="3082"/>
      </w:tblGrid>
      <w:tr>
        <w:trPr>
          <w:trHeight w:val="282" w:hRule="atLeast"/>
        </w:trPr>
        <w:tc>
          <w:tcPr>
            <w:tcW w:w="1668" w:type="dxa"/>
          </w:tcPr>
          <w:p>
            <w:pPr>
              <w:pStyle w:val="TableParagraph"/>
              <w:spacing w:line="257" w:lineRule="exact" w:before="6"/>
              <w:ind w:left="175" w:right="168"/>
              <w:rPr>
                <w:b/>
                <w:sz w:val="21"/>
              </w:rPr>
            </w:pPr>
            <w:r>
              <w:rPr>
                <w:b/>
                <w:sz w:val="21"/>
              </w:rPr>
              <w:t>内容</w:t>
            </w:r>
          </w:p>
        </w:tc>
        <w:tc>
          <w:tcPr>
            <w:tcW w:w="3118" w:type="dxa"/>
          </w:tcPr>
          <w:p>
            <w:pPr>
              <w:pStyle w:val="TableParagraph"/>
              <w:spacing w:line="257" w:lineRule="exact" w:before="6"/>
              <w:ind w:left="69" w:right="57"/>
              <w:rPr>
                <w:b/>
                <w:sz w:val="21"/>
              </w:rPr>
            </w:pPr>
            <w:r>
              <w:rPr>
                <w:b/>
                <w:sz w:val="21"/>
              </w:rPr>
              <w:t>评价范围</w:t>
            </w:r>
          </w:p>
        </w:tc>
        <w:tc>
          <w:tcPr>
            <w:tcW w:w="1419" w:type="dxa"/>
          </w:tcPr>
          <w:p>
            <w:pPr>
              <w:pStyle w:val="TableParagraph"/>
              <w:spacing w:line="257" w:lineRule="exact" w:before="6"/>
              <w:ind w:left="287"/>
              <w:jc w:val="left"/>
              <w:rPr>
                <w:b/>
                <w:sz w:val="21"/>
              </w:rPr>
            </w:pPr>
            <w:r>
              <w:rPr>
                <w:b/>
                <w:sz w:val="21"/>
              </w:rPr>
              <w:t>评价等级</w:t>
            </w:r>
          </w:p>
        </w:tc>
        <w:tc>
          <w:tcPr>
            <w:tcW w:w="3082" w:type="dxa"/>
          </w:tcPr>
          <w:p>
            <w:pPr>
              <w:pStyle w:val="TableParagraph"/>
              <w:spacing w:line="257" w:lineRule="exact" w:before="6"/>
              <w:ind w:left="259" w:right="250"/>
              <w:rPr>
                <w:b/>
                <w:sz w:val="21"/>
              </w:rPr>
            </w:pPr>
            <w:r>
              <w:rPr>
                <w:b/>
                <w:sz w:val="21"/>
              </w:rPr>
              <w:t>备注</w:t>
            </w:r>
          </w:p>
        </w:tc>
      </w:tr>
      <w:tr>
        <w:trPr>
          <w:trHeight w:val="285" w:hRule="atLeast"/>
        </w:trPr>
        <w:tc>
          <w:tcPr>
            <w:tcW w:w="1668" w:type="dxa"/>
          </w:tcPr>
          <w:p>
            <w:pPr>
              <w:pStyle w:val="TableParagraph"/>
              <w:jc w:val="left"/>
              <w:rPr>
                <w:rFonts w:ascii="Times New Roman"/>
                <w:sz w:val="20"/>
              </w:rPr>
            </w:pPr>
          </w:p>
        </w:tc>
        <w:tc>
          <w:tcPr>
            <w:tcW w:w="3118" w:type="dxa"/>
          </w:tcPr>
          <w:p>
            <w:pPr>
              <w:pStyle w:val="TableParagraph"/>
              <w:spacing w:line="264" w:lineRule="exact" w:before="1"/>
              <w:ind w:left="69" w:right="57"/>
              <w:rPr>
                <w:sz w:val="21"/>
              </w:rPr>
            </w:pPr>
            <w:r>
              <w:rPr>
                <w:sz w:val="21"/>
              </w:rPr>
              <w:t>单分析</w:t>
            </w:r>
          </w:p>
        </w:tc>
        <w:tc>
          <w:tcPr>
            <w:tcW w:w="1419" w:type="dxa"/>
          </w:tcPr>
          <w:p>
            <w:pPr>
              <w:pStyle w:val="TableParagraph"/>
              <w:jc w:val="left"/>
              <w:rPr>
                <w:rFonts w:ascii="Times New Roman"/>
                <w:sz w:val="20"/>
              </w:rPr>
            </w:pPr>
          </w:p>
        </w:tc>
        <w:tc>
          <w:tcPr>
            <w:tcW w:w="3082" w:type="dxa"/>
          </w:tcPr>
          <w:p>
            <w:pPr>
              <w:pStyle w:val="TableParagraph"/>
              <w:jc w:val="left"/>
              <w:rPr>
                <w:rFonts w:ascii="Times New Roman"/>
                <w:sz w:val="20"/>
              </w:rPr>
            </w:pPr>
          </w:p>
        </w:tc>
      </w:tr>
    </w:tbl>
    <w:p>
      <w:pPr>
        <w:pStyle w:val="ListParagraph"/>
        <w:numPr>
          <w:ilvl w:val="2"/>
          <w:numId w:val="6"/>
        </w:numPr>
        <w:tabs>
          <w:tab w:pos="1019" w:val="left" w:leader="none"/>
        </w:tabs>
        <w:spacing w:line="240" w:lineRule="auto" w:before="2" w:after="0"/>
        <w:ind w:left="1018" w:right="0" w:hanging="541"/>
        <w:jc w:val="left"/>
        <w:rPr>
          <w:b/>
          <w:sz w:val="24"/>
        </w:rPr>
      </w:pPr>
      <w:r>
        <w:rPr>
          <w:b/>
          <w:sz w:val="24"/>
        </w:rPr>
        <w:t>环境保护目标及敏感点保护目标</w:t>
      </w:r>
    </w:p>
    <w:p>
      <w:pPr>
        <w:spacing w:before="161"/>
        <w:ind w:left="711" w:right="0" w:firstLine="0"/>
        <w:jc w:val="left"/>
        <w:rPr>
          <w:b/>
          <w:sz w:val="24"/>
        </w:rPr>
      </w:pPr>
      <w:r>
        <w:rPr>
          <w:rFonts w:ascii="Times New Roman" w:eastAsia="Times New Roman"/>
          <w:b/>
          <w:sz w:val="24"/>
        </w:rPr>
        <w:t>1</w:t>
      </w:r>
      <w:r>
        <w:rPr>
          <w:b/>
          <w:sz w:val="24"/>
        </w:rPr>
        <w:t>、环境保护目标</w:t>
      </w:r>
    </w:p>
    <w:p>
      <w:pPr>
        <w:pStyle w:val="ListParagraph"/>
        <w:numPr>
          <w:ilvl w:val="3"/>
          <w:numId w:val="6"/>
        </w:numPr>
        <w:tabs>
          <w:tab w:pos="1000" w:val="left" w:leader="none"/>
        </w:tabs>
        <w:spacing w:line="364" w:lineRule="auto" w:before="158" w:after="0"/>
        <w:ind w:left="718" w:right="114" w:firstLine="0"/>
        <w:jc w:val="left"/>
        <w:rPr>
          <w:sz w:val="24"/>
        </w:rPr>
      </w:pPr>
      <w:r>
        <w:rPr>
          <w:sz w:val="24"/>
        </w:rPr>
        <w:t>环境空气：评价区域大气环境质量不出现降级，环境空气满足功能区划要求。</w:t>
      </w:r>
      <w:r>
        <w:rPr>
          <w:rFonts w:ascii="Times New Roman" w:eastAsia="Times New Roman"/>
          <w:sz w:val="24"/>
        </w:rPr>
        <w:t>(2)</w:t>
      </w:r>
      <w:r>
        <w:rPr>
          <w:spacing w:val="-16"/>
          <w:sz w:val="24"/>
        </w:rPr>
        <w:t>水环境：本项目附近水体主要为开发区内河河网，评价范围内无饮用水源取水口，</w:t>
      </w:r>
    </w:p>
    <w:p>
      <w:pPr>
        <w:pStyle w:val="BodyText"/>
        <w:spacing w:line="306" w:lineRule="exact"/>
        <w:ind w:left="238"/>
      </w:pPr>
      <w:r>
        <w:rPr/>
        <w:t>项目实施后要求能够保持该区域现有水体功能区类别。</w:t>
      </w:r>
    </w:p>
    <w:p>
      <w:pPr>
        <w:pStyle w:val="ListParagraph"/>
        <w:numPr>
          <w:ilvl w:val="0"/>
          <w:numId w:val="10"/>
        </w:numPr>
        <w:tabs>
          <w:tab w:pos="1000" w:val="left" w:leader="none"/>
        </w:tabs>
        <w:spacing w:line="240" w:lineRule="auto" w:before="160" w:after="0"/>
        <w:ind w:left="999" w:right="0" w:hanging="282"/>
        <w:jc w:val="left"/>
        <w:rPr>
          <w:sz w:val="24"/>
        </w:rPr>
      </w:pPr>
      <w:r>
        <w:rPr>
          <w:sz w:val="24"/>
        </w:rPr>
        <w:t>环境噪声：厂界噪声及最近敏感点处噪声均不超标。</w:t>
      </w:r>
    </w:p>
    <w:p>
      <w:pPr>
        <w:pStyle w:val="ListParagraph"/>
        <w:numPr>
          <w:ilvl w:val="0"/>
          <w:numId w:val="10"/>
        </w:numPr>
        <w:tabs>
          <w:tab w:pos="1000" w:val="left" w:leader="none"/>
        </w:tabs>
        <w:spacing w:line="240" w:lineRule="auto" w:before="159" w:after="0"/>
        <w:ind w:left="999" w:right="0" w:hanging="282"/>
        <w:jc w:val="left"/>
        <w:rPr>
          <w:sz w:val="24"/>
        </w:rPr>
      </w:pPr>
      <w:r>
        <w:rPr>
          <w:sz w:val="24"/>
        </w:rPr>
        <w:t>固体废物：固体废物落实处置措施，不成为危害环境的新污染源。</w:t>
      </w:r>
    </w:p>
    <w:p>
      <w:pPr>
        <w:pStyle w:val="Heading4"/>
        <w:spacing w:before="160"/>
        <w:ind w:left="711"/>
      </w:pPr>
      <w:r>
        <w:rPr>
          <w:rFonts w:ascii="Times New Roman" w:eastAsia="Times New Roman"/>
        </w:rPr>
        <w:t>2</w:t>
      </w:r>
      <w:r>
        <w:rPr/>
        <w:t>、敏感点</w:t>
      </w:r>
    </w:p>
    <w:p>
      <w:pPr>
        <w:pStyle w:val="BodyText"/>
        <w:spacing w:line="364" w:lineRule="auto" w:before="159"/>
        <w:ind w:left="238" w:right="180" w:firstLine="480"/>
      </w:pPr>
      <w:r>
        <w:rPr/>
        <w:t>根据现场踏勘，项目拟建地所在区域无文物古迹、古树名木等保护对象，环境敏感点及保护级别见下表，评价范围、敏感点和项目厂区位置及距离详见</w:t>
      </w:r>
      <w:r>
        <w:rPr>
          <w:b/>
          <w:u w:val="single"/>
        </w:rPr>
        <w:t>附图 </w:t>
      </w:r>
      <w:r>
        <w:rPr>
          <w:rFonts w:ascii="Times New Roman" w:eastAsia="Times New Roman"/>
          <w:b/>
          <w:u w:val="single"/>
        </w:rPr>
        <w:t>4</w:t>
      </w:r>
      <w:r>
        <w:rPr/>
        <w:t>。</w:t>
      </w:r>
    </w:p>
    <w:p>
      <w:pPr>
        <w:pStyle w:val="Heading4"/>
        <w:tabs>
          <w:tab w:pos="1581" w:val="left" w:leader="none"/>
        </w:tabs>
        <w:spacing w:before="140" w:after="29"/>
        <w:ind w:left="359"/>
        <w:jc w:val="center"/>
      </w:pPr>
      <w:r>
        <w:rPr/>
        <w:t>表</w:t>
      </w:r>
      <w:r>
        <w:rPr>
          <w:spacing w:val="-60"/>
        </w:rPr>
        <w:t> </w:t>
      </w:r>
      <w:r>
        <w:rPr>
          <w:rFonts w:ascii="Times New Roman" w:eastAsia="Times New Roman"/>
        </w:rPr>
        <w:t>2.5.2-1</w:t>
        <w:tab/>
      </w:r>
      <w:r>
        <w:rPr/>
        <w:t>项目环境保护敏感点一</w:t>
      </w:r>
      <w:r>
        <w:rPr>
          <w:spacing w:val="3"/>
        </w:rPr>
        <w:t>览</w:t>
      </w:r>
      <w:r>
        <w:rPr/>
        <w:t>表</w:t>
      </w: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4"/>
        <w:gridCol w:w="694"/>
        <w:gridCol w:w="728"/>
        <w:gridCol w:w="853"/>
        <w:gridCol w:w="442"/>
        <w:gridCol w:w="519"/>
        <w:gridCol w:w="1131"/>
        <w:gridCol w:w="716"/>
        <w:gridCol w:w="1208"/>
        <w:gridCol w:w="2241"/>
      </w:tblGrid>
      <w:tr>
        <w:trPr>
          <w:trHeight w:val="285" w:hRule="atLeast"/>
        </w:trPr>
        <w:tc>
          <w:tcPr>
            <w:tcW w:w="694" w:type="dxa"/>
            <w:vMerge w:val="restart"/>
          </w:tcPr>
          <w:p>
            <w:pPr>
              <w:pStyle w:val="TableParagraph"/>
              <w:spacing w:line="270" w:lineRule="atLeast" w:before="17"/>
              <w:ind w:left="134" w:right="125"/>
              <w:jc w:val="left"/>
              <w:rPr>
                <w:b/>
                <w:sz w:val="21"/>
              </w:rPr>
            </w:pPr>
            <w:r>
              <w:rPr>
                <w:b/>
                <w:sz w:val="21"/>
              </w:rPr>
              <w:t>环境要素</w:t>
            </w:r>
          </w:p>
        </w:tc>
        <w:tc>
          <w:tcPr>
            <w:tcW w:w="694" w:type="dxa"/>
            <w:vMerge w:val="restart"/>
          </w:tcPr>
          <w:p>
            <w:pPr>
              <w:pStyle w:val="TableParagraph"/>
              <w:spacing w:before="154"/>
              <w:ind w:left="133"/>
              <w:jc w:val="left"/>
              <w:rPr>
                <w:b/>
                <w:sz w:val="21"/>
              </w:rPr>
            </w:pPr>
            <w:r>
              <w:rPr>
                <w:b/>
                <w:sz w:val="21"/>
              </w:rPr>
              <w:t>名称</w:t>
            </w:r>
          </w:p>
        </w:tc>
        <w:tc>
          <w:tcPr>
            <w:tcW w:w="1581" w:type="dxa"/>
            <w:gridSpan w:val="2"/>
          </w:tcPr>
          <w:p>
            <w:pPr>
              <w:pStyle w:val="TableParagraph"/>
              <w:spacing w:line="257" w:lineRule="exact" w:before="8"/>
              <w:ind w:left="459"/>
              <w:jc w:val="left"/>
              <w:rPr>
                <w:rFonts w:ascii="Times New Roman" w:eastAsia="Times New Roman"/>
                <w:b/>
                <w:sz w:val="21"/>
              </w:rPr>
            </w:pPr>
            <w:r>
              <w:rPr>
                <w:b/>
                <w:sz w:val="21"/>
              </w:rPr>
              <w:t>坐标</w:t>
            </w:r>
            <w:r>
              <w:rPr>
                <w:rFonts w:ascii="Times New Roman" w:eastAsia="Times New Roman"/>
                <w:b/>
                <w:sz w:val="21"/>
              </w:rPr>
              <w:t>/m</w:t>
            </w:r>
          </w:p>
        </w:tc>
        <w:tc>
          <w:tcPr>
            <w:tcW w:w="442" w:type="dxa"/>
            <w:vMerge w:val="restart"/>
          </w:tcPr>
          <w:p>
            <w:pPr>
              <w:pStyle w:val="TableParagraph"/>
              <w:spacing w:before="154"/>
              <w:ind w:left="4"/>
              <w:jc w:val="left"/>
              <w:rPr>
                <w:b/>
                <w:sz w:val="21"/>
              </w:rPr>
            </w:pPr>
            <w:r>
              <w:rPr>
                <w:b/>
                <w:sz w:val="21"/>
              </w:rPr>
              <w:t>方位</w:t>
            </w:r>
          </w:p>
        </w:tc>
        <w:tc>
          <w:tcPr>
            <w:tcW w:w="519" w:type="dxa"/>
            <w:vMerge w:val="restart"/>
          </w:tcPr>
          <w:p>
            <w:pPr>
              <w:pStyle w:val="TableParagraph"/>
              <w:spacing w:before="34"/>
              <w:ind w:left="45"/>
              <w:jc w:val="left"/>
              <w:rPr>
                <w:b/>
                <w:sz w:val="21"/>
              </w:rPr>
            </w:pPr>
            <w:r>
              <w:rPr>
                <w:b/>
                <w:sz w:val="21"/>
              </w:rPr>
              <w:t>距离</w:t>
            </w:r>
          </w:p>
          <w:p>
            <w:pPr>
              <w:pStyle w:val="TableParagraph"/>
              <w:spacing w:before="2"/>
              <w:ind w:left="98"/>
              <w:jc w:val="left"/>
              <w:rPr>
                <w:rFonts w:ascii="Times New Roman"/>
                <w:b/>
                <w:sz w:val="21"/>
              </w:rPr>
            </w:pPr>
            <w:r>
              <w:rPr>
                <w:rFonts w:ascii="Times New Roman"/>
                <w:b/>
                <w:sz w:val="21"/>
              </w:rPr>
              <w:t>(m)</w:t>
            </w:r>
          </w:p>
        </w:tc>
        <w:tc>
          <w:tcPr>
            <w:tcW w:w="1131" w:type="dxa"/>
            <w:vMerge w:val="restart"/>
          </w:tcPr>
          <w:p>
            <w:pPr>
              <w:pStyle w:val="TableParagraph"/>
              <w:spacing w:before="154"/>
              <w:ind w:left="349"/>
              <w:jc w:val="left"/>
              <w:rPr>
                <w:b/>
                <w:sz w:val="21"/>
              </w:rPr>
            </w:pPr>
            <w:r>
              <w:rPr>
                <w:b/>
                <w:sz w:val="21"/>
              </w:rPr>
              <w:t>规模</w:t>
            </w:r>
          </w:p>
        </w:tc>
        <w:tc>
          <w:tcPr>
            <w:tcW w:w="716" w:type="dxa"/>
            <w:vMerge w:val="restart"/>
          </w:tcPr>
          <w:p>
            <w:pPr>
              <w:pStyle w:val="TableParagraph"/>
              <w:spacing w:line="270" w:lineRule="atLeast" w:before="17"/>
              <w:ind w:left="142" w:right="33" w:hanging="106"/>
              <w:jc w:val="left"/>
              <w:rPr>
                <w:b/>
                <w:sz w:val="21"/>
              </w:rPr>
            </w:pPr>
            <w:r>
              <w:rPr>
                <w:b/>
                <w:sz w:val="21"/>
              </w:rPr>
              <w:t>敏感性描述</w:t>
            </w:r>
          </w:p>
        </w:tc>
        <w:tc>
          <w:tcPr>
            <w:tcW w:w="1208" w:type="dxa"/>
            <w:vMerge w:val="restart"/>
          </w:tcPr>
          <w:p>
            <w:pPr>
              <w:pStyle w:val="TableParagraph"/>
              <w:spacing w:before="154"/>
              <w:ind w:left="178"/>
              <w:jc w:val="left"/>
              <w:rPr>
                <w:b/>
                <w:sz w:val="21"/>
              </w:rPr>
            </w:pPr>
            <w:r>
              <w:rPr>
                <w:b/>
                <w:sz w:val="21"/>
              </w:rPr>
              <w:t>保护级别</w:t>
            </w:r>
          </w:p>
        </w:tc>
        <w:tc>
          <w:tcPr>
            <w:tcW w:w="2241" w:type="dxa"/>
            <w:vMerge w:val="restart"/>
          </w:tcPr>
          <w:p>
            <w:pPr>
              <w:pStyle w:val="TableParagraph"/>
              <w:spacing w:before="154"/>
              <w:ind w:left="43" w:right="45"/>
              <w:rPr>
                <w:b/>
                <w:sz w:val="21"/>
              </w:rPr>
            </w:pPr>
            <w:r>
              <w:rPr>
                <w:b/>
                <w:sz w:val="21"/>
              </w:rPr>
              <w:t>备注</w:t>
            </w:r>
          </w:p>
        </w:tc>
      </w:tr>
      <w:tr>
        <w:trPr>
          <w:trHeight w:val="282" w:hRule="atLeast"/>
        </w:trPr>
        <w:tc>
          <w:tcPr>
            <w:tcW w:w="694" w:type="dxa"/>
            <w:vMerge/>
            <w:tcBorders>
              <w:top w:val="nil"/>
            </w:tcBorders>
          </w:tcPr>
          <w:p>
            <w:pPr>
              <w:rPr>
                <w:sz w:val="2"/>
                <w:szCs w:val="2"/>
              </w:rPr>
            </w:pPr>
          </w:p>
        </w:tc>
        <w:tc>
          <w:tcPr>
            <w:tcW w:w="694" w:type="dxa"/>
            <w:vMerge/>
            <w:tcBorders>
              <w:top w:val="nil"/>
            </w:tcBorders>
          </w:tcPr>
          <w:p>
            <w:pPr>
              <w:rPr>
                <w:sz w:val="2"/>
                <w:szCs w:val="2"/>
              </w:rPr>
            </w:pPr>
          </w:p>
        </w:tc>
        <w:tc>
          <w:tcPr>
            <w:tcW w:w="728" w:type="dxa"/>
          </w:tcPr>
          <w:p>
            <w:pPr>
              <w:pStyle w:val="TableParagraph"/>
              <w:spacing w:before="19"/>
              <w:ind w:left="8"/>
              <w:rPr>
                <w:rFonts w:ascii="Times New Roman"/>
                <w:b/>
                <w:sz w:val="21"/>
              </w:rPr>
            </w:pPr>
            <w:r>
              <w:rPr>
                <w:rFonts w:ascii="Times New Roman"/>
                <w:b/>
                <w:w w:val="100"/>
                <w:sz w:val="21"/>
              </w:rPr>
              <w:t>X</w:t>
            </w:r>
          </w:p>
        </w:tc>
        <w:tc>
          <w:tcPr>
            <w:tcW w:w="853" w:type="dxa"/>
          </w:tcPr>
          <w:p>
            <w:pPr>
              <w:pStyle w:val="TableParagraph"/>
              <w:spacing w:before="19"/>
              <w:ind w:left="1"/>
              <w:rPr>
                <w:rFonts w:ascii="Times New Roman"/>
                <w:b/>
                <w:sz w:val="21"/>
              </w:rPr>
            </w:pPr>
            <w:r>
              <w:rPr>
                <w:rFonts w:ascii="Times New Roman"/>
                <w:b/>
                <w:w w:val="100"/>
                <w:sz w:val="21"/>
              </w:rPr>
              <w:t>Y</w:t>
            </w:r>
          </w:p>
        </w:tc>
        <w:tc>
          <w:tcPr>
            <w:tcW w:w="442" w:type="dxa"/>
            <w:vMerge/>
            <w:tcBorders>
              <w:top w:val="nil"/>
            </w:tcBorders>
          </w:tcPr>
          <w:p>
            <w:pPr>
              <w:rPr>
                <w:sz w:val="2"/>
                <w:szCs w:val="2"/>
              </w:rPr>
            </w:pPr>
          </w:p>
        </w:tc>
        <w:tc>
          <w:tcPr>
            <w:tcW w:w="519" w:type="dxa"/>
            <w:vMerge/>
            <w:tcBorders>
              <w:top w:val="nil"/>
            </w:tcBorders>
          </w:tcPr>
          <w:p>
            <w:pPr>
              <w:rPr>
                <w:sz w:val="2"/>
                <w:szCs w:val="2"/>
              </w:rPr>
            </w:pPr>
          </w:p>
        </w:tc>
        <w:tc>
          <w:tcPr>
            <w:tcW w:w="1131" w:type="dxa"/>
            <w:vMerge/>
            <w:tcBorders>
              <w:top w:val="nil"/>
            </w:tcBorders>
          </w:tcPr>
          <w:p>
            <w:pPr>
              <w:rPr>
                <w:sz w:val="2"/>
                <w:szCs w:val="2"/>
              </w:rPr>
            </w:pPr>
          </w:p>
        </w:tc>
        <w:tc>
          <w:tcPr>
            <w:tcW w:w="716" w:type="dxa"/>
            <w:vMerge/>
            <w:tcBorders>
              <w:top w:val="nil"/>
            </w:tcBorders>
          </w:tcPr>
          <w:p>
            <w:pPr>
              <w:rPr>
                <w:sz w:val="2"/>
                <w:szCs w:val="2"/>
              </w:rPr>
            </w:pPr>
          </w:p>
        </w:tc>
        <w:tc>
          <w:tcPr>
            <w:tcW w:w="1208" w:type="dxa"/>
            <w:vMerge/>
            <w:tcBorders>
              <w:top w:val="nil"/>
            </w:tcBorders>
          </w:tcPr>
          <w:p>
            <w:pPr>
              <w:rPr>
                <w:sz w:val="2"/>
                <w:szCs w:val="2"/>
              </w:rPr>
            </w:pPr>
          </w:p>
        </w:tc>
        <w:tc>
          <w:tcPr>
            <w:tcW w:w="2241" w:type="dxa"/>
            <w:vMerge/>
            <w:tcBorders>
              <w:top w:val="nil"/>
            </w:tcBorders>
          </w:tcPr>
          <w:p>
            <w:pPr>
              <w:rPr>
                <w:sz w:val="2"/>
                <w:szCs w:val="2"/>
              </w:rPr>
            </w:pPr>
          </w:p>
        </w:tc>
      </w:tr>
      <w:tr>
        <w:trPr>
          <w:trHeight w:val="544" w:hRule="atLeast"/>
        </w:trPr>
        <w:tc>
          <w:tcPr>
            <w:tcW w:w="694" w:type="dxa"/>
            <w:vMerge w:val="restart"/>
          </w:tcPr>
          <w:p>
            <w:pPr>
              <w:pStyle w:val="TableParagraph"/>
              <w:jc w:val="left"/>
              <w:rPr>
                <w:b/>
                <w:sz w:val="20"/>
              </w:rPr>
            </w:pPr>
          </w:p>
          <w:p>
            <w:pPr>
              <w:pStyle w:val="TableParagraph"/>
              <w:spacing w:before="11"/>
              <w:jc w:val="left"/>
              <w:rPr>
                <w:b/>
                <w:sz w:val="26"/>
              </w:rPr>
            </w:pPr>
          </w:p>
          <w:p>
            <w:pPr>
              <w:pStyle w:val="TableParagraph"/>
              <w:spacing w:line="242" w:lineRule="auto"/>
              <w:ind w:left="31" w:right="17"/>
              <w:jc w:val="both"/>
              <w:rPr>
                <w:sz w:val="21"/>
              </w:rPr>
            </w:pPr>
            <w:r>
              <w:rPr>
                <w:sz w:val="21"/>
              </w:rPr>
              <w:t>环境空气及声环境</w:t>
            </w:r>
          </w:p>
        </w:tc>
        <w:tc>
          <w:tcPr>
            <w:tcW w:w="694" w:type="dxa"/>
          </w:tcPr>
          <w:p>
            <w:pPr>
              <w:pStyle w:val="TableParagraph"/>
              <w:spacing w:before="1"/>
              <w:ind w:left="30"/>
              <w:jc w:val="left"/>
              <w:rPr>
                <w:sz w:val="21"/>
              </w:rPr>
            </w:pPr>
            <w:r>
              <w:rPr>
                <w:sz w:val="21"/>
              </w:rPr>
              <w:t>开发区</w:t>
            </w:r>
          </w:p>
          <w:p>
            <w:pPr>
              <w:pStyle w:val="TableParagraph"/>
              <w:spacing w:line="250" w:lineRule="exact" w:before="4"/>
              <w:ind w:left="30"/>
              <w:jc w:val="left"/>
              <w:rPr>
                <w:sz w:val="21"/>
              </w:rPr>
            </w:pPr>
            <w:r>
              <w:rPr>
                <w:sz w:val="21"/>
              </w:rPr>
              <w:t>生活区</w:t>
            </w:r>
          </w:p>
        </w:tc>
        <w:tc>
          <w:tcPr>
            <w:tcW w:w="728" w:type="dxa"/>
          </w:tcPr>
          <w:p>
            <w:pPr>
              <w:pStyle w:val="TableParagraph"/>
              <w:spacing w:before="151"/>
              <w:ind w:left="28" w:right="19"/>
              <w:rPr>
                <w:rFonts w:ascii="Times New Roman"/>
                <w:sz w:val="21"/>
              </w:rPr>
            </w:pPr>
            <w:r>
              <w:rPr>
                <w:rFonts w:ascii="Times New Roman"/>
                <w:sz w:val="21"/>
              </w:rPr>
              <w:t>296196</w:t>
            </w:r>
          </w:p>
        </w:tc>
        <w:tc>
          <w:tcPr>
            <w:tcW w:w="853" w:type="dxa"/>
          </w:tcPr>
          <w:p>
            <w:pPr>
              <w:pStyle w:val="TableParagraph"/>
              <w:spacing w:before="151"/>
              <w:ind w:left="35" w:right="30"/>
              <w:rPr>
                <w:rFonts w:ascii="Times New Roman"/>
                <w:sz w:val="21"/>
              </w:rPr>
            </w:pPr>
            <w:r>
              <w:rPr>
                <w:rFonts w:ascii="Times New Roman"/>
                <w:sz w:val="21"/>
              </w:rPr>
              <w:t>3337303</w:t>
            </w:r>
          </w:p>
        </w:tc>
        <w:tc>
          <w:tcPr>
            <w:tcW w:w="442" w:type="dxa"/>
          </w:tcPr>
          <w:p>
            <w:pPr>
              <w:pStyle w:val="TableParagraph"/>
              <w:spacing w:before="151"/>
              <w:ind w:left="15" w:right="15"/>
              <w:rPr>
                <w:rFonts w:ascii="Times New Roman"/>
                <w:sz w:val="21"/>
              </w:rPr>
            </w:pPr>
            <w:r>
              <w:rPr>
                <w:rFonts w:ascii="Times New Roman"/>
                <w:sz w:val="21"/>
              </w:rPr>
              <w:t>SW</w:t>
            </w:r>
          </w:p>
        </w:tc>
        <w:tc>
          <w:tcPr>
            <w:tcW w:w="519" w:type="dxa"/>
          </w:tcPr>
          <w:p>
            <w:pPr>
              <w:pStyle w:val="TableParagraph"/>
              <w:spacing w:before="151"/>
              <w:ind w:left="26" w:right="22"/>
              <w:rPr>
                <w:rFonts w:ascii="Times New Roman"/>
                <w:sz w:val="21"/>
              </w:rPr>
            </w:pPr>
            <w:r>
              <w:rPr>
                <w:rFonts w:ascii="Times New Roman"/>
                <w:sz w:val="21"/>
              </w:rPr>
              <w:t>2350</w:t>
            </w:r>
          </w:p>
        </w:tc>
        <w:tc>
          <w:tcPr>
            <w:tcW w:w="1131" w:type="dxa"/>
          </w:tcPr>
          <w:p>
            <w:pPr>
              <w:pStyle w:val="TableParagraph"/>
              <w:spacing w:before="137"/>
              <w:ind w:left="1" w:right="-15"/>
              <w:rPr>
                <w:sz w:val="21"/>
              </w:rPr>
            </w:pPr>
            <w:r>
              <w:rPr>
                <w:spacing w:val="36"/>
                <w:sz w:val="21"/>
              </w:rPr>
              <w:t>约</w:t>
            </w:r>
            <w:r>
              <w:rPr>
                <w:rFonts w:ascii="Times New Roman" w:eastAsia="Times New Roman"/>
                <w:sz w:val="21"/>
              </w:rPr>
              <w:t>2200</w:t>
            </w:r>
            <w:r>
              <w:rPr>
                <w:rFonts w:ascii="Times New Roman" w:eastAsia="Times New Roman"/>
                <w:spacing w:val="-17"/>
                <w:sz w:val="21"/>
              </w:rPr>
              <w:t> </w:t>
            </w:r>
            <w:r>
              <w:rPr>
                <w:sz w:val="21"/>
              </w:rPr>
              <w:t>多人</w:t>
            </w:r>
          </w:p>
        </w:tc>
        <w:tc>
          <w:tcPr>
            <w:tcW w:w="716" w:type="dxa"/>
          </w:tcPr>
          <w:p>
            <w:pPr>
              <w:pStyle w:val="TableParagraph"/>
              <w:spacing w:before="137"/>
              <w:ind w:left="18" w:right="17"/>
              <w:rPr>
                <w:sz w:val="21"/>
              </w:rPr>
            </w:pPr>
            <w:r>
              <w:rPr>
                <w:sz w:val="21"/>
              </w:rPr>
              <w:t>敏感</w:t>
            </w:r>
          </w:p>
        </w:tc>
        <w:tc>
          <w:tcPr>
            <w:tcW w:w="1208" w:type="dxa"/>
            <w:vMerge w:val="restart"/>
          </w:tcPr>
          <w:p>
            <w:pPr>
              <w:pStyle w:val="TableParagraph"/>
              <w:spacing w:line="242" w:lineRule="auto" w:before="56"/>
              <w:ind w:right="-15" w:hanging="3"/>
              <w:rPr>
                <w:sz w:val="21"/>
              </w:rPr>
            </w:pPr>
            <w:r>
              <w:rPr>
                <w:spacing w:val="-1"/>
                <w:sz w:val="21"/>
              </w:rPr>
              <w:t>环境空气二</w:t>
            </w:r>
            <w:r>
              <w:rPr>
                <w:spacing w:val="-12"/>
                <w:sz w:val="21"/>
              </w:rPr>
              <w:t>级，声环境 </w:t>
            </w:r>
            <w:r>
              <w:rPr>
                <w:rFonts w:ascii="Times New Roman" w:eastAsia="Times New Roman"/>
                <w:sz w:val="21"/>
              </w:rPr>
              <w:t>2 </w:t>
            </w:r>
            <w:r>
              <w:rPr>
                <w:spacing w:val="-13"/>
                <w:sz w:val="21"/>
              </w:rPr>
              <w:t>类；保持现有</w:t>
            </w:r>
            <w:r>
              <w:rPr>
                <w:spacing w:val="-17"/>
                <w:sz w:val="21"/>
              </w:rPr>
              <w:t>级别，确保不</w:t>
            </w:r>
            <w:r>
              <w:rPr>
                <w:spacing w:val="-8"/>
                <w:sz w:val="21"/>
              </w:rPr>
              <w:t>影响居民日</w:t>
            </w:r>
            <w:r>
              <w:rPr>
                <w:spacing w:val="-5"/>
                <w:sz w:val="21"/>
              </w:rPr>
              <w:t>常生活及日常办公</w:t>
            </w:r>
          </w:p>
        </w:tc>
        <w:tc>
          <w:tcPr>
            <w:tcW w:w="2241" w:type="dxa"/>
          </w:tcPr>
          <w:p>
            <w:pPr>
              <w:pStyle w:val="TableParagraph"/>
              <w:spacing w:before="1"/>
              <w:ind w:left="45" w:right="45"/>
              <w:rPr>
                <w:sz w:val="21"/>
              </w:rPr>
            </w:pPr>
            <w:r>
              <w:rPr>
                <w:sz w:val="21"/>
              </w:rPr>
              <w:t>白云宾馆及开发区职工</w:t>
            </w:r>
          </w:p>
          <w:p>
            <w:pPr>
              <w:pStyle w:val="TableParagraph"/>
              <w:spacing w:line="250" w:lineRule="exact" w:before="4"/>
              <w:ind w:left="45" w:right="45"/>
              <w:rPr>
                <w:sz w:val="21"/>
              </w:rPr>
            </w:pPr>
            <w:r>
              <w:rPr>
                <w:sz w:val="21"/>
              </w:rPr>
              <w:t>生活区</w:t>
            </w:r>
          </w:p>
        </w:tc>
      </w:tr>
      <w:tr>
        <w:trPr>
          <w:trHeight w:val="285" w:hRule="atLeast"/>
        </w:trPr>
        <w:tc>
          <w:tcPr>
            <w:tcW w:w="694" w:type="dxa"/>
            <w:vMerge/>
            <w:tcBorders>
              <w:top w:val="nil"/>
            </w:tcBorders>
          </w:tcPr>
          <w:p>
            <w:pPr>
              <w:rPr>
                <w:sz w:val="2"/>
                <w:szCs w:val="2"/>
              </w:rPr>
            </w:pPr>
          </w:p>
        </w:tc>
        <w:tc>
          <w:tcPr>
            <w:tcW w:w="694" w:type="dxa"/>
          </w:tcPr>
          <w:p>
            <w:pPr>
              <w:pStyle w:val="TableParagraph"/>
              <w:spacing w:line="257" w:lineRule="exact" w:before="8"/>
              <w:ind w:right="17"/>
              <w:jc w:val="right"/>
              <w:rPr>
                <w:sz w:val="21"/>
              </w:rPr>
            </w:pPr>
            <w:r>
              <w:rPr>
                <w:sz w:val="21"/>
              </w:rPr>
              <w:t>镇海村</w:t>
            </w:r>
          </w:p>
        </w:tc>
        <w:tc>
          <w:tcPr>
            <w:tcW w:w="728" w:type="dxa"/>
          </w:tcPr>
          <w:p>
            <w:pPr>
              <w:pStyle w:val="TableParagraph"/>
              <w:spacing w:before="22"/>
              <w:ind w:left="28" w:right="19"/>
              <w:rPr>
                <w:rFonts w:ascii="Times New Roman"/>
                <w:sz w:val="21"/>
              </w:rPr>
            </w:pPr>
            <w:r>
              <w:rPr>
                <w:rFonts w:ascii="Times New Roman"/>
                <w:sz w:val="21"/>
              </w:rPr>
              <w:t>299148</w:t>
            </w:r>
          </w:p>
        </w:tc>
        <w:tc>
          <w:tcPr>
            <w:tcW w:w="853" w:type="dxa"/>
          </w:tcPr>
          <w:p>
            <w:pPr>
              <w:pStyle w:val="TableParagraph"/>
              <w:spacing w:before="22"/>
              <w:ind w:left="34" w:right="31"/>
              <w:rPr>
                <w:rFonts w:ascii="Times New Roman"/>
                <w:sz w:val="21"/>
              </w:rPr>
            </w:pPr>
            <w:r>
              <w:rPr>
                <w:rFonts w:ascii="Times New Roman"/>
                <w:sz w:val="21"/>
              </w:rPr>
              <w:t>3337816</w:t>
            </w:r>
          </w:p>
        </w:tc>
        <w:tc>
          <w:tcPr>
            <w:tcW w:w="442" w:type="dxa"/>
          </w:tcPr>
          <w:p>
            <w:pPr>
              <w:pStyle w:val="TableParagraph"/>
              <w:spacing w:before="22"/>
              <w:ind w:left="15" w:right="13"/>
              <w:rPr>
                <w:rFonts w:ascii="Times New Roman"/>
                <w:sz w:val="21"/>
              </w:rPr>
            </w:pPr>
            <w:r>
              <w:rPr>
                <w:rFonts w:ascii="Times New Roman"/>
                <w:sz w:val="21"/>
              </w:rPr>
              <w:t>SE</w:t>
            </w:r>
          </w:p>
        </w:tc>
        <w:tc>
          <w:tcPr>
            <w:tcW w:w="519" w:type="dxa"/>
          </w:tcPr>
          <w:p>
            <w:pPr>
              <w:pStyle w:val="TableParagraph"/>
              <w:spacing w:before="22"/>
              <w:ind w:left="26" w:right="22"/>
              <w:rPr>
                <w:rFonts w:ascii="Times New Roman"/>
                <w:sz w:val="21"/>
              </w:rPr>
            </w:pPr>
            <w:r>
              <w:rPr>
                <w:rFonts w:ascii="Times New Roman"/>
                <w:sz w:val="21"/>
              </w:rPr>
              <w:t>1950</w:t>
            </w:r>
          </w:p>
        </w:tc>
        <w:tc>
          <w:tcPr>
            <w:tcW w:w="1131" w:type="dxa"/>
          </w:tcPr>
          <w:p>
            <w:pPr>
              <w:pStyle w:val="TableParagraph"/>
              <w:spacing w:line="257" w:lineRule="exact" w:before="8"/>
              <w:ind w:left="1" w:right="-15"/>
              <w:rPr>
                <w:sz w:val="21"/>
              </w:rPr>
            </w:pPr>
            <w:r>
              <w:rPr>
                <w:spacing w:val="36"/>
                <w:sz w:val="21"/>
              </w:rPr>
              <w:t>约</w:t>
            </w:r>
            <w:r>
              <w:rPr>
                <w:rFonts w:ascii="Times New Roman" w:eastAsia="Times New Roman"/>
                <w:sz w:val="21"/>
              </w:rPr>
              <w:t>1850</w:t>
            </w:r>
            <w:r>
              <w:rPr>
                <w:rFonts w:ascii="Times New Roman" w:eastAsia="Times New Roman"/>
                <w:spacing w:val="-17"/>
                <w:sz w:val="21"/>
              </w:rPr>
              <w:t> </w:t>
            </w:r>
            <w:r>
              <w:rPr>
                <w:sz w:val="21"/>
              </w:rPr>
              <w:t>多人</w:t>
            </w:r>
          </w:p>
        </w:tc>
        <w:tc>
          <w:tcPr>
            <w:tcW w:w="716" w:type="dxa"/>
          </w:tcPr>
          <w:p>
            <w:pPr>
              <w:pStyle w:val="TableParagraph"/>
              <w:spacing w:line="257" w:lineRule="exact" w:before="8"/>
              <w:ind w:left="18" w:right="17"/>
              <w:rPr>
                <w:sz w:val="21"/>
              </w:rPr>
            </w:pPr>
            <w:r>
              <w:rPr>
                <w:sz w:val="21"/>
              </w:rPr>
              <w:t>敏感</w:t>
            </w:r>
          </w:p>
        </w:tc>
        <w:tc>
          <w:tcPr>
            <w:tcW w:w="1208" w:type="dxa"/>
            <w:vMerge/>
            <w:tcBorders>
              <w:top w:val="nil"/>
            </w:tcBorders>
          </w:tcPr>
          <w:p>
            <w:pPr>
              <w:rPr>
                <w:sz w:val="2"/>
                <w:szCs w:val="2"/>
              </w:rPr>
            </w:pPr>
          </w:p>
        </w:tc>
        <w:tc>
          <w:tcPr>
            <w:tcW w:w="2241" w:type="dxa"/>
          </w:tcPr>
          <w:p>
            <w:pPr>
              <w:pStyle w:val="TableParagraph"/>
              <w:spacing w:before="22"/>
              <w:rPr>
                <w:rFonts w:ascii="Times New Roman"/>
                <w:sz w:val="21"/>
              </w:rPr>
            </w:pPr>
            <w:r>
              <w:rPr>
                <w:rFonts w:ascii="Times New Roman"/>
                <w:w w:val="100"/>
                <w:sz w:val="21"/>
              </w:rPr>
              <w:t>/</w:t>
            </w:r>
          </w:p>
        </w:tc>
      </w:tr>
      <w:tr>
        <w:trPr>
          <w:trHeight w:val="282" w:hRule="atLeast"/>
        </w:trPr>
        <w:tc>
          <w:tcPr>
            <w:tcW w:w="694" w:type="dxa"/>
            <w:vMerge/>
            <w:tcBorders>
              <w:top w:val="nil"/>
            </w:tcBorders>
          </w:tcPr>
          <w:p>
            <w:pPr>
              <w:rPr>
                <w:sz w:val="2"/>
                <w:szCs w:val="2"/>
              </w:rPr>
            </w:pPr>
          </w:p>
        </w:tc>
        <w:tc>
          <w:tcPr>
            <w:tcW w:w="694" w:type="dxa"/>
          </w:tcPr>
          <w:p>
            <w:pPr>
              <w:pStyle w:val="TableParagraph"/>
              <w:spacing w:line="255" w:lineRule="exact" w:before="8"/>
              <w:ind w:right="17"/>
              <w:jc w:val="right"/>
              <w:rPr>
                <w:sz w:val="21"/>
              </w:rPr>
            </w:pPr>
            <w:r>
              <w:rPr>
                <w:sz w:val="21"/>
              </w:rPr>
              <w:t>丰棉村</w:t>
            </w:r>
          </w:p>
        </w:tc>
        <w:tc>
          <w:tcPr>
            <w:tcW w:w="728" w:type="dxa"/>
          </w:tcPr>
          <w:p>
            <w:pPr>
              <w:pStyle w:val="TableParagraph"/>
              <w:spacing w:line="241" w:lineRule="exact" w:before="22"/>
              <w:ind w:left="28" w:right="19"/>
              <w:rPr>
                <w:rFonts w:ascii="Times New Roman"/>
                <w:sz w:val="21"/>
              </w:rPr>
            </w:pPr>
            <w:r>
              <w:rPr>
                <w:rFonts w:ascii="Times New Roman"/>
                <w:sz w:val="21"/>
              </w:rPr>
              <w:t>298531</w:t>
            </w:r>
          </w:p>
        </w:tc>
        <w:tc>
          <w:tcPr>
            <w:tcW w:w="853" w:type="dxa"/>
          </w:tcPr>
          <w:p>
            <w:pPr>
              <w:pStyle w:val="TableParagraph"/>
              <w:spacing w:line="241" w:lineRule="exact" w:before="22"/>
              <w:ind w:left="35" w:right="30"/>
              <w:rPr>
                <w:rFonts w:ascii="Times New Roman"/>
                <w:sz w:val="21"/>
              </w:rPr>
            </w:pPr>
            <w:r>
              <w:rPr>
                <w:rFonts w:ascii="Times New Roman"/>
                <w:sz w:val="21"/>
              </w:rPr>
              <w:t>3337308</w:t>
            </w:r>
          </w:p>
        </w:tc>
        <w:tc>
          <w:tcPr>
            <w:tcW w:w="442" w:type="dxa"/>
          </w:tcPr>
          <w:p>
            <w:pPr>
              <w:pStyle w:val="TableParagraph"/>
              <w:spacing w:line="241" w:lineRule="exact" w:before="22"/>
              <w:ind w:left="15" w:right="15"/>
              <w:rPr>
                <w:rFonts w:ascii="Times New Roman"/>
                <w:sz w:val="21"/>
              </w:rPr>
            </w:pPr>
            <w:r>
              <w:rPr>
                <w:rFonts w:ascii="Times New Roman"/>
                <w:sz w:val="21"/>
              </w:rPr>
              <w:t>SSE</w:t>
            </w:r>
          </w:p>
        </w:tc>
        <w:tc>
          <w:tcPr>
            <w:tcW w:w="519" w:type="dxa"/>
          </w:tcPr>
          <w:p>
            <w:pPr>
              <w:pStyle w:val="TableParagraph"/>
              <w:spacing w:line="241" w:lineRule="exact" w:before="22"/>
              <w:ind w:left="26" w:right="22"/>
              <w:rPr>
                <w:rFonts w:ascii="Times New Roman"/>
                <w:sz w:val="21"/>
              </w:rPr>
            </w:pPr>
            <w:r>
              <w:rPr>
                <w:rFonts w:ascii="Times New Roman"/>
                <w:sz w:val="21"/>
              </w:rPr>
              <w:t>2100</w:t>
            </w:r>
          </w:p>
        </w:tc>
        <w:tc>
          <w:tcPr>
            <w:tcW w:w="1131" w:type="dxa"/>
          </w:tcPr>
          <w:p>
            <w:pPr>
              <w:pStyle w:val="TableParagraph"/>
              <w:spacing w:line="255" w:lineRule="exact" w:before="8"/>
              <w:ind w:left="1" w:right="-15"/>
              <w:rPr>
                <w:sz w:val="21"/>
              </w:rPr>
            </w:pPr>
            <w:r>
              <w:rPr>
                <w:spacing w:val="36"/>
                <w:sz w:val="21"/>
              </w:rPr>
              <w:t>约</w:t>
            </w:r>
            <w:r>
              <w:rPr>
                <w:rFonts w:ascii="Times New Roman" w:eastAsia="Times New Roman"/>
                <w:sz w:val="21"/>
              </w:rPr>
              <w:t>3070</w:t>
            </w:r>
            <w:r>
              <w:rPr>
                <w:rFonts w:ascii="Times New Roman" w:eastAsia="Times New Roman"/>
                <w:spacing w:val="-17"/>
                <w:sz w:val="21"/>
              </w:rPr>
              <w:t> </w:t>
            </w:r>
            <w:r>
              <w:rPr>
                <w:sz w:val="21"/>
              </w:rPr>
              <w:t>多人</w:t>
            </w:r>
          </w:p>
        </w:tc>
        <w:tc>
          <w:tcPr>
            <w:tcW w:w="716" w:type="dxa"/>
          </w:tcPr>
          <w:p>
            <w:pPr>
              <w:pStyle w:val="TableParagraph"/>
              <w:spacing w:line="255" w:lineRule="exact" w:before="8"/>
              <w:ind w:left="18" w:right="17"/>
              <w:rPr>
                <w:sz w:val="21"/>
              </w:rPr>
            </w:pPr>
            <w:r>
              <w:rPr>
                <w:sz w:val="21"/>
              </w:rPr>
              <w:t>敏感</w:t>
            </w:r>
          </w:p>
        </w:tc>
        <w:tc>
          <w:tcPr>
            <w:tcW w:w="1208" w:type="dxa"/>
            <w:vMerge/>
            <w:tcBorders>
              <w:top w:val="nil"/>
            </w:tcBorders>
          </w:tcPr>
          <w:p>
            <w:pPr>
              <w:rPr>
                <w:sz w:val="2"/>
                <w:szCs w:val="2"/>
              </w:rPr>
            </w:pPr>
          </w:p>
        </w:tc>
        <w:tc>
          <w:tcPr>
            <w:tcW w:w="2241" w:type="dxa"/>
          </w:tcPr>
          <w:p>
            <w:pPr>
              <w:pStyle w:val="TableParagraph"/>
              <w:spacing w:line="255" w:lineRule="exact" w:before="8"/>
              <w:ind w:left="45" w:right="45"/>
              <w:rPr>
                <w:sz w:val="21"/>
              </w:rPr>
            </w:pPr>
            <w:r>
              <w:rPr>
                <w:sz w:val="21"/>
              </w:rPr>
              <w:t>由棉粮村及永丰村合并</w:t>
            </w:r>
          </w:p>
        </w:tc>
      </w:tr>
      <w:tr>
        <w:trPr>
          <w:trHeight w:val="285" w:hRule="atLeast"/>
        </w:trPr>
        <w:tc>
          <w:tcPr>
            <w:tcW w:w="694" w:type="dxa"/>
            <w:vMerge/>
            <w:tcBorders>
              <w:top w:val="nil"/>
            </w:tcBorders>
          </w:tcPr>
          <w:p>
            <w:pPr>
              <w:rPr>
                <w:sz w:val="2"/>
                <w:szCs w:val="2"/>
              </w:rPr>
            </w:pPr>
          </w:p>
        </w:tc>
        <w:tc>
          <w:tcPr>
            <w:tcW w:w="694" w:type="dxa"/>
          </w:tcPr>
          <w:p>
            <w:pPr>
              <w:pStyle w:val="TableParagraph"/>
              <w:spacing w:line="257" w:lineRule="exact" w:before="8"/>
              <w:ind w:right="17"/>
              <w:jc w:val="right"/>
              <w:rPr>
                <w:sz w:val="21"/>
              </w:rPr>
            </w:pPr>
            <w:r>
              <w:rPr>
                <w:sz w:val="21"/>
              </w:rPr>
              <w:t>联合村</w:t>
            </w:r>
          </w:p>
        </w:tc>
        <w:tc>
          <w:tcPr>
            <w:tcW w:w="728" w:type="dxa"/>
          </w:tcPr>
          <w:p>
            <w:pPr>
              <w:pStyle w:val="TableParagraph"/>
              <w:spacing w:before="22"/>
              <w:ind w:left="28" w:right="19"/>
              <w:rPr>
                <w:rFonts w:ascii="Times New Roman"/>
                <w:sz w:val="21"/>
              </w:rPr>
            </w:pPr>
            <w:r>
              <w:rPr>
                <w:rFonts w:ascii="Times New Roman"/>
                <w:sz w:val="21"/>
              </w:rPr>
              <w:t>297226</w:t>
            </w:r>
          </w:p>
        </w:tc>
        <w:tc>
          <w:tcPr>
            <w:tcW w:w="853" w:type="dxa"/>
          </w:tcPr>
          <w:p>
            <w:pPr>
              <w:pStyle w:val="TableParagraph"/>
              <w:spacing w:before="22"/>
              <w:ind w:left="35" w:right="30"/>
              <w:rPr>
                <w:rFonts w:ascii="Times New Roman"/>
                <w:sz w:val="21"/>
              </w:rPr>
            </w:pPr>
            <w:r>
              <w:rPr>
                <w:rFonts w:ascii="Times New Roman"/>
                <w:sz w:val="21"/>
              </w:rPr>
              <w:t>3337276</w:t>
            </w:r>
          </w:p>
        </w:tc>
        <w:tc>
          <w:tcPr>
            <w:tcW w:w="442" w:type="dxa"/>
          </w:tcPr>
          <w:p>
            <w:pPr>
              <w:pStyle w:val="TableParagraph"/>
              <w:spacing w:before="22"/>
              <w:ind w:right="-15"/>
              <w:rPr>
                <w:rFonts w:ascii="Times New Roman"/>
                <w:sz w:val="21"/>
              </w:rPr>
            </w:pPr>
            <w:r>
              <w:rPr>
                <w:rFonts w:ascii="Times New Roman"/>
                <w:sz w:val="21"/>
              </w:rPr>
              <w:t>SSW</w:t>
            </w:r>
          </w:p>
        </w:tc>
        <w:tc>
          <w:tcPr>
            <w:tcW w:w="519" w:type="dxa"/>
          </w:tcPr>
          <w:p>
            <w:pPr>
              <w:pStyle w:val="TableParagraph"/>
              <w:spacing w:before="22"/>
              <w:ind w:left="26" w:right="22"/>
              <w:rPr>
                <w:rFonts w:ascii="Times New Roman"/>
                <w:sz w:val="21"/>
              </w:rPr>
            </w:pPr>
            <w:r>
              <w:rPr>
                <w:rFonts w:ascii="Times New Roman"/>
                <w:sz w:val="21"/>
              </w:rPr>
              <w:t>2050</w:t>
            </w:r>
          </w:p>
        </w:tc>
        <w:tc>
          <w:tcPr>
            <w:tcW w:w="1131" w:type="dxa"/>
          </w:tcPr>
          <w:p>
            <w:pPr>
              <w:pStyle w:val="TableParagraph"/>
              <w:spacing w:line="257" w:lineRule="exact" w:before="8"/>
              <w:ind w:left="1" w:right="-15"/>
              <w:rPr>
                <w:sz w:val="21"/>
              </w:rPr>
            </w:pPr>
            <w:r>
              <w:rPr>
                <w:spacing w:val="36"/>
                <w:sz w:val="21"/>
              </w:rPr>
              <w:t>约</w:t>
            </w:r>
            <w:r>
              <w:rPr>
                <w:rFonts w:ascii="Times New Roman" w:eastAsia="Times New Roman"/>
                <w:sz w:val="21"/>
              </w:rPr>
              <w:t>2500</w:t>
            </w:r>
            <w:r>
              <w:rPr>
                <w:rFonts w:ascii="Times New Roman" w:eastAsia="Times New Roman"/>
                <w:spacing w:val="-17"/>
                <w:sz w:val="21"/>
              </w:rPr>
              <w:t> </w:t>
            </w:r>
            <w:r>
              <w:rPr>
                <w:sz w:val="21"/>
              </w:rPr>
              <w:t>多人</w:t>
            </w:r>
          </w:p>
        </w:tc>
        <w:tc>
          <w:tcPr>
            <w:tcW w:w="716" w:type="dxa"/>
          </w:tcPr>
          <w:p>
            <w:pPr>
              <w:pStyle w:val="TableParagraph"/>
              <w:spacing w:line="257" w:lineRule="exact" w:before="8"/>
              <w:ind w:left="18" w:right="17"/>
              <w:rPr>
                <w:sz w:val="21"/>
              </w:rPr>
            </w:pPr>
            <w:r>
              <w:rPr>
                <w:sz w:val="21"/>
              </w:rPr>
              <w:t>敏感</w:t>
            </w:r>
          </w:p>
        </w:tc>
        <w:tc>
          <w:tcPr>
            <w:tcW w:w="1208" w:type="dxa"/>
            <w:vMerge/>
            <w:tcBorders>
              <w:top w:val="nil"/>
            </w:tcBorders>
          </w:tcPr>
          <w:p>
            <w:pPr>
              <w:rPr>
                <w:sz w:val="2"/>
                <w:szCs w:val="2"/>
              </w:rPr>
            </w:pPr>
          </w:p>
        </w:tc>
        <w:tc>
          <w:tcPr>
            <w:tcW w:w="2241" w:type="dxa"/>
          </w:tcPr>
          <w:p>
            <w:pPr>
              <w:pStyle w:val="TableParagraph"/>
              <w:spacing w:line="257" w:lineRule="exact" w:before="8"/>
              <w:ind w:left="45" w:right="44"/>
              <w:rPr>
                <w:sz w:val="21"/>
              </w:rPr>
            </w:pPr>
            <w:r>
              <w:rPr>
                <w:sz w:val="21"/>
              </w:rPr>
              <w:t>由联围村及四合村合并</w:t>
            </w:r>
          </w:p>
        </w:tc>
      </w:tr>
      <w:tr>
        <w:trPr>
          <w:trHeight w:val="283" w:hRule="atLeast"/>
        </w:trPr>
        <w:tc>
          <w:tcPr>
            <w:tcW w:w="694" w:type="dxa"/>
            <w:vMerge/>
            <w:tcBorders>
              <w:top w:val="nil"/>
            </w:tcBorders>
          </w:tcPr>
          <w:p>
            <w:pPr>
              <w:rPr>
                <w:sz w:val="2"/>
                <w:szCs w:val="2"/>
              </w:rPr>
            </w:pPr>
          </w:p>
        </w:tc>
        <w:tc>
          <w:tcPr>
            <w:tcW w:w="694" w:type="dxa"/>
          </w:tcPr>
          <w:p>
            <w:pPr>
              <w:pStyle w:val="TableParagraph"/>
              <w:spacing w:line="255" w:lineRule="exact" w:before="8"/>
              <w:ind w:right="17"/>
              <w:jc w:val="right"/>
              <w:rPr>
                <w:sz w:val="21"/>
              </w:rPr>
            </w:pPr>
            <w:r>
              <w:rPr>
                <w:sz w:val="21"/>
              </w:rPr>
              <w:t>珠海村</w:t>
            </w:r>
          </w:p>
        </w:tc>
        <w:tc>
          <w:tcPr>
            <w:tcW w:w="728" w:type="dxa"/>
          </w:tcPr>
          <w:p>
            <w:pPr>
              <w:pStyle w:val="TableParagraph"/>
              <w:spacing w:line="241" w:lineRule="exact" w:before="22"/>
              <w:ind w:left="28" w:right="19"/>
              <w:rPr>
                <w:rFonts w:ascii="Times New Roman"/>
                <w:sz w:val="21"/>
              </w:rPr>
            </w:pPr>
            <w:r>
              <w:rPr>
                <w:rFonts w:ascii="Times New Roman"/>
                <w:sz w:val="21"/>
              </w:rPr>
              <w:t>297722</w:t>
            </w:r>
          </w:p>
        </w:tc>
        <w:tc>
          <w:tcPr>
            <w:tcW w:w="853" w:type="dxa"/>
          </w:tcPr>
          <w:p>
            <w:pPr>
              <w:pStyle w:val="TableParagraph"/>
              <w:spacing w:line="241" w:lineRule="exact" w:before="22"/>
              <w:ind w:left="35" w:right="30"/>
              <w:rPr>
                <w:rFonts w:ascii="Times New Roman"/>
                <w:sz w:val="21"/>
              </w:rPr>
            </w:pPr>
            <w:r>
              <w:rPr>
                <w:rFonts w:ascii="Times New Roman"/>
                <w:sz w:val="21"/>
              </w:rPr>
              <w:t>3337404</w:t>
            </w:r>
          </w:p>
        </w:tc>
        <w:tc>
          <w:tcPr>
            <w:tcW w:w="442" w:type="dxa"/>
          </w:tcPr>
          <w:p>
            <w:pPr>
              <w:pStyle w:val="TableParagraph"/>
              <w:spacing w:line="241" w:lineRule="exact" w:before="22"/>
              <w:rPr>
                <w:rFonts w:ascii="Times New Roman"/>
                <w:sz w:val="21"/>
              </w:rPr>
            </w:pPr>
            <w:r>
              <w:rPr>
                <w:rFonts w:ascii="Times New Roman"/>
                <w:w w:val="100"/>
                <w:sz w:val="21"/>
              </w:rPr>
              <w:t>S</w:t>
            </w:r>
          </w:p>
        </w:tc>
        <w:tc>
          <w:tcPr>
            <w:tcW w:w="519" w:type="dxa"/>
          </w:tcPr>
          <w:p>
            <w:pPr>
              <w:pStyle w:val="TableParagraph"/>
              <w:spacing w:line="241" w:lineRule="exact" w:before="22"/>
              <w:ind w:left="26" w:right="22"/>
              <w:rPr>
                <w:rFonts w:ascii="Times New Roman"/>
                <w:sz w:val="21"/>
              </w:rPr>
            </w:pPr>
            <w:r>
              <w:rPr>
                <w:rFonts w:ascii="Times New Roman"/>
                <w:sz w:val="21"/>
              </w:rPr>
              <w:t>1900</w:t>
            </w:r>
          </w:p>
        </w:tc>
        <w:tc>
          <w:tcPr>
            <w:tcW w:w="1131" w:type="dxa"/>
          </w:tcPr>
          <w:p>
            <w:pPr>
              <w:pStyle w:val="TableParagraph"/>
              <w:spacing w:line="255" w:lineRule="exact" w:before="8"/>
              <w:ind w:left="1" w:right="-15"/>
              <w:rPr>
                <w:sz w:val="21"/>
              </w:rPr>
            </w:pPr>
            <w:r>
              <w:rPr>
                <w:spacing w:val="36"/>
                <w:sz w:val="21"/>
              </w:rPr>
              <w:t>约</w:t>
            </w:r>
            <w:r>
              <w:rPr>
                <w:rFonts w:ascii="Times New Roman" w:eastAsia="Times New Roman"/>
                <w:sz w:val="21"/>
              </w:rPr>
              <w:t>2400</w:t>
            </w:r>
            <w:r>
              <w:rPr>
                <w:rFonts w:ascii="Times New Roman" w:eastAsia="Times New Roman"/>
                <w:spacing w:val="-17"/>
                <w:sz w:val="21"/>
              </w:rPr>
              <w:t> </w:t>
            </w:r>
            <w:r>
              <w:rPr>
                <w:sz w:val="21"/>
              </w:rPr>
              <w:t>多人</w:t>
            </w:r>
          </w:p>
        </w:tc>
        <w:tc>
          <w:tcPr>
            <w:tcW w:w="716" w:type="dxa"/>
          </w:tcPr>
          <w:p>
            <w:pPr>
              <w:pStyle w:val="TableParagraph"/>
              <w:spacing w:line="255" w:lineRule="exact" w:before="8"/>
              <w:ind w:left="18" w:right="17"/>
              <w:rPr>
                <w:sz w:val="21"/>
              </w:rPr>
            </w:pPr>
            <w:r>
              <w:rPr>
                <w:sz w:val="21"/>
              </w:rPr>
              <w:t>敏感</w:t>
            </w:r>
          </w:p>
        </w:tc>
        <w:tc>
          <w:tcPr>
            <w:tcW w:w="1208" w:type="dxa"/>
            <w:vMerge/>
            <w:tcBorders>
              <w:top w:val="nil"/>
            </w:tcBorders>
          </w:tcPr>
          <w:p>
            <w:pPr>
              <w:rPr>
                <w:sz w:val="2"/>
                <w:szCs w:val="2"/>
              </w:rPr>
            </w:pPr>
          </w:p>
        </w:tc>
        <w:tc>
          <w:tcPr>
            <w:tcW w:w="2241" w:type="dxa"/>
          </w:tcPr>
          <w:p>
            <w:pPr>
              <w:pStyle w:val="TableParagraph"/>
              <w:spacing w:line="255" w:lineRule="exact" w:before="8"/>
              <w:ind w:left="45" w:right="45"/>
              <w:rPr>
                <w:sz w:val="21"/>
              </w:rPr>
            </w:pPr>
            <w:r>
              <w:rPr>
                <w:sz w:val="21"/>
              </w:rPr>
              <w:t>由进士村及海南村合并</w:t>
            </w:r>
          </w:p>
        </w:tc>
      </w:tr>
      <w:tr>
        <w:trPr>
          <w:trHeight w:val="285" w:hRule="atLeast"/>
        </w:trPr>
        <w:tc>
          <w:tcPr>
            <w:tcW w:w="694" w:type="dxa"/>
            <w:vMerge/>
            <w:tcBorders>
              <w:top w:val="nil"/>
            </w:tcBorders>
          </w:tcPr>
          <w:p>
            <w:pPr>
              <w:rPr>
                <w:sz w:val="2"/>
                <w:szCs w:val="2"/>
              </w:rPr>
            </w:pPr>
          </w:p>
        </w:tc>
        <w:tc>
          <w:tcPr>
            <w:tcW w:w="694" w:type="dxa"/>
          </w:tcPr>
          <w:p>
            <w:pPr>
              <w:pStyle w:val="TableParagraph"/>
              <w:spacing w:line="257" w:lineRule="exact" w:before="8"/>
              <w:ind w:right="17"/>
              <w:jc w:val="right"/>
              <w:rPr>
                <w:sz w:val="21"/>
              </w:rPr>
            </w:pPr>
            <w:r>
              <w:rPr>
                <w:sz w:val="21"/>
              </w:rPr>
              <w:t>镇东村</w:t>
            </w:r>
          </w:p>
        </w:tc>
        <w:tc>
          <w:tcPr>
            <w:tcW w:w="728" w:type="dxa"/>
          </w:tcPr>
          <w:p>
            <w:pPr>
              <w:pStyle w:val="TableParagraph"/>
              <w:spacing w:before="22"/>
              <w:ind w:left="28" w:right="19"/>
              <w:rPr>
                <w:rFonts w:ascii="Times New Roman"/>
                <w:sz w:val="21"/>
              </w:rPr>
            </w:pPr>
            <w:r>
              <w:rPr>
                <w:rFonts w:ascii="Times New Roman"/>
                <w:sz w:val="21"/>
              </w:rPr>
              <w:t>300106</w:t>
            </w:r>
          </w:p>
        </w:tc>
        <w:tc>
          <w:tcPr>
            <w:tcW w:w="853" w:type="dxa"/>
          </w:tcPr>
          <w:p>
            <w:pPr>
              <w:pStyle w:val="TableParagraph"/>
              <w:spacing w:before="22"/>
              <w:ind w:left="35" w:right="30"/>
              <w:rPr>
                <w:rFonts w:ascii="Times New Roman"/>
                <w:sz w:val="21"/>
              </w:rPr>
            </w:pPr>
            <w:r>
              <w:rPr>
                <w:rFonts w:ascii="Times New Roman"/>
                <w:sz w:val="21"/>
              </w:rPr>
              <w:t>3337475</w:t>
            </w:r>
          </w:p>
        </w:tc>
        <w:tc>
          <w:tcPr>
            <w:tcW w:w="442" w:type="dxa"/>
          </w:tcPr>
          <w:p>
            <w:pPr>
              <w:pStyle w:val="TableParagraph"/>
              <w:spacing w:before="22"/>
              <w:ind w:left="15" w:right="13"/>
              <w:rPr>
                <w:rFonts w:ascii="Times New Roman"/>
                <w:sz w:val="21"/>
              </w:rPr>
            </w:pPr>
            <w:r>
              <w:rPr>
                <w:rFonts w:ascii="Times New Roman"/>
                <w:sz w:val="21"/>
              </w:rPr>
              <w:t>SE</w:t>
            </w:r>
          </w:p>
        </w:tc>
        <w:tc>
          <w:tcPr>
            <w:tcW w:w="519" w:type="dxa"/>
          </w:tcPr>
          <w:p>
            <w:pPr>
              <w:pStyle w:val="TableParagraph"/>
              <w:spacing w:before="22"/>
              <w:ind w:left="26" w:right="22"/>
              <w:rPr>
                <w:rFonts w:ascii="Times New Roman"/>
                <w:sz w:val="21"/>
              </w:rPr>
            </w:pPr>
            <w:r>
              <w:rPr>
                <w:rFonts w:ascii="Times New Roman"/>
                <w:sz w:val="21"/>
              </w:rPr>
              <w:t>2450</w:t>
            </w:r>
          </w:p>
        </w:tc>
        <w:tc>
          <w:tcPr>
            <w:tcW w:w="1131" w:type="dxa"/>
          </w:tcPr>
          <w:p>
            <w:pPr>
              <w:pStyle w:val="TableParagraph"/>
              <w:spacing w:line="257" w:lineRule="exact" w:before="8"/>
              <w:ind w:left="1" w:right="-15"/>
              <w:rPr>
                <w:sz w:val="21"/>
              </w:rPr>
            </w:pPr>
            <w:r>
              <w:rPr>
                <w:spacing w:val="36"/>
                <w:sz w:val="21"/>
              </w:rPr>
              <w:t>约</w:t>
            </w:r>
            <w:r>
              <w:rPr>
                <w:rFonts w:ascii="Times New Roman" w:eastAsia="Times New Roman"/>
                <w:sz w:val="21"/>
              </w:rPr>
              <w:t>2500</w:t>
            </w:r>
            <w:r>
              <w:rPr>
                <w:rFonts w:ascii="Times New Roman" w:eastAsia="Times New Roman"/>
                <w:spacing w:val="-17"/>
                <w:sz w:val="21"/>
              </w:rPr>
              <w:t> </w:t>
            </w:r>
            <w:r>
              <w:rPr>
                <w:sz w:val="21"/>
              </w:rPr>
              <w:t>多人</w:t>
            </w:r>
          </w:p>
        </w:tc>
        <w:tc>
          <w:tcPr>
            <w:tcW w:w="716" w:type="dxa"/>
          </w:tcPr>
          <w:p>
            <w:pPr>
              <w:pStyle w:val="TableParagraph"/>
              <w:spacing w:line="257" w:lineRule="exact" w:before="8"/>
              <w:ind w:left="18" w:right="17"/>
              <w:rPr>
                <w:sz w:val="21"/>
              </w:rPr>
            </w:pPr>
            <w:r>
              <w:rPr>
                <w:sz w:val="21"/>
              </w:rPr>
              <w:t>较敏感</w:t>
            </w:r>
          </w:p>
        </w:tc>
        <w:tc>
          <w:tcPr>
            <w:tcW w:w="1208" w:type="dxa"/>
            <w:vMerge/>
            <w:tcBorders>
              <w:top w:val="nil"/>
            </w:tcBorders>
          </w:tcPr>
          <w:p>
            <w:pPr>
              <w:rPr>
                <w:sz w:val="2"/>
                <w:szCs w:val="2"/>
              </w:rPr>
            </w:pPr>
          </w:p>
        </w:tc>
        <w:tc>
          <w:tcPr>
            <w:tcW w:w="2241" w:type="dxa"/>
          </w:tcPr>
          <w:p>
            <w:pPr>
              <w:pStyle w:val="TableParagraph"/>
              <w:spacing w:line="257" w:lineRule="exact" w:before="8"/>
              <w:ind w:left="45" w:right="45"/>
              <w:rPr>
                <w:sz w:val="21"/>
              </w:rPr>
            </w:pPr>
            <w:r>
              <w:rPr>
                <w:sz w:val="21"/>
              </w:rPr>
              <w:t>由镇江村及棉场村合并</w:t>
            </w:r>
          </w:p>
        </w:tc>
      </w:tr>
      <w:tr>
        <w:trPr>
          <w:trHeight w:val="282" w:hRule="atLeast"/>
        </w:trPr>
        <w:tc>
          <w:tcPr>
            <w:tcW w:w="694" w:type="dxa"/>
            <w:vMerge w:val="restart"/>
          </w:tcPr>
          <w:p>
            <w:pPr>
              <w:pStyle w:val="TableParagraph"/>
              <w:spacing w:before="154"/>
              <w:ind w:left="31"/>
              <w:jc w:val="left"/>
              <w:rPr>
                <w:sz w:val="21"/>
              </w:rPr>
            </w:pPr>
            <w:r>
              <w:rPr>
                <w:sz w:val="21"/>
              </w:rPr>
              <w:t>地表水</w:t>
            </w:r>
          </w:p>
        </w:tc>
        <w:tc>
          <w:tcPr>
            <w:tcW w:w="2275" w:type="dxa"/>
            <w:gridSpan w:val="3"/>
          </w:tcPr>
          <w:p>
            <w:pPr>
              <w:pStyle w:val="TableParagraph"/>
              <w:spacing w:line="255" w:lineRule="exact" w:before="8"/>
              <w:ind w:left="505"/>
              <w:jc w:val="left"/>
              <w:rPr>
                <w:sz w:val="21"/>
              </w:rPr>
            </w:pPr>
            <w:r>
              <w:rPr>
                <w:sz w:val="21"/>
              </w:rPr>
              <w:t>开发区北塘河</w:t>
            </w:r>
          </w:p>
        </w:tc>
        <w:tc>
          <w:tcPr>
            <w:tcW w:w="442" w:type="dxa"/>
          </w:tcPr>
          <w:p>
            <w:pPr>
              <w:pStyle w:val="TableParagraph"/>
              <w:spacing w:line="241" w:lineRule="exact" w:before="22"/>
              <w:rPr>
                <w:rFonts w:ascii="Times New Roman"/>
                <w:sz w:val="21"/>
              </w:rPr>
            </w:pPr>
            <w:r>
              <w:rPr>
                <w:rFonts w:ascii="Times New Roman"/>
                <w:w w:val="100"/>
                <w:sz w:val="21"/>
              </w:rPr>
              <w:t>S</w:t>
            </w:r>
          </w:p>
        </w:tc>
        <w:tc>
          <w:tcPr>
            <w:tcW w:w="519" w:type="dxa"/>
          </w:tcPr>
          <w:p>
            <w:pPr>
              <w:pStyle w:val="TableParagraph"/>
              <w:spacing w:line="241" w:lineRule="exact" w:before="22"/>
              <w:ind w:left="26" w:right="22"/>
              <w:rPr>
                <w:rFonts w:ascii="Times New Roman"/>
                <w:sz w:val="21"/>
              </w:rPr>
            </w:pPr>
            <w:r>
              <w:rPr>
                <w:rFonts w:ascii="Times New Roman"/>
                <w:sz w:val="21"/>
              </w:rPr>
              <w:t>460</w:t>
            </w:r>
          </w:p>
        </w:tc>
        <w:tc>
          <w:tcPr>
            <w:tcW w:w="1131" w:type="dxa"/>
          </w:tcPr>
          <w:p>
            <w:pPr>
              <w:pStyle w:val="TableParagraph"/>
              <w:spacing w:line="241" w:lineRule="exact" w:before="22"/>
              <w:rPr>
                <w:rFonts w:ascii="Times New Roman" w:hAnsi="Times New Roman"/>
                <w:sz w:val="21"/>
              </w:rPr>
            </w:pPr>
            <w:r>
              <w:rPr>
                <w:rFonts w:ascii="Times New Roman" w:hAnsi="Times New Roman"/>
                <w:w w:val="100"/>
                <w:sz w:val="21"/>
              </w:rPr>
              <w:t>—</w:t>
            </w:r>
          </w:p>
        </w:tc>
        <w:tc>
          <w:tcPr>
            <w:tcW w:w="716" w:type="dxa"/>
          </w:tcPr>
          <w:p>
            <w:pPr>
              <w:pStyle w:val="TableParagraph"/>
              <w:spacing w:line="255" w:lineRule="exact" w:before="8"/>
              <w:ind w:left="18" w:right="17"/>
              <w:rPr>
                <w:sz w:val="21"/>
              </w:rPr>
            </w:pPr>
            <w:r>
              <w:rPr>
                <w:sz w:val="21"/>
              </w:rPr>
              <w:t>一般</w:t>
            </w:r>
          </w:p>
        </w:tc>
        <w:tc>
          <w:tcPr>
            <w:tcW w:w="1208" w:type="dxa"/>
            <w:vMerge w:val="restart"/>
          </w:tcPr>
          <w:p>
            <w:pPr>
              <w:pStyle w:val="TableParagraph"/>
              <w:spacing w:line="270" w:lineRule="atLeast" w:before="17"/>
              <w:ind w:left="389" w:right="69" w:hanging="317"/>
              <w:jc w:val="left"/>
              <w:rPr>
                <w:sz w:val="21"/>
              </w:rPr>
            </w:pPr>
            <w:r>
              <w:rPr>
                <w:sz w:val="21"/>
              </w:rPr>
              <w:t>地表水维持现状</w:t>
            </w:r>
          </w:p>
        </w:tc>
        <w:tc>
          <w:tcPr>
            <w:tcW w:w="2241" w:type="dxa"/>
          </w:tcPr>
          <w:p>
            <w:pPr>
              <w:pStyle w:val="TableParagraph"/>
              <w:spacing w:line="241" w:lineRule="exact" w:before="22"/>
              <w:ind w:right="1"/>
              <w:rPr>
                <w:rFonts w:ascii="Times New Roman" w:hAnsi="Times New Roman"/>
                <w:sz w:val="21"/>
              </w:rPr>
            </w:pPr>
            <w:r>
              <w:rPr>
                <w:rFonts w:ascii="Times New Roman" w:hAnsi="Times New Roman"/>
                <w:w w:val="100"/>
                <w:sz w:val="21"/>
              </w:rPr>
              <w:t>—</w:t>
            </w:r>
          </w:p>
        </w:tc>
      </w:tr>
      <w:tr>
        <w:trPr>
          <w:trHeight w:val="285" w:hRule="atLeast"/>
        </w:trPr>
        <w:tc>
          <w:tcPr>
            <w:tcW w:w="694" w:type="dxa"/>
            <w:vMerge/>
            <w:tcBorders>
              <w:top w:val="nil"/>
            </w:tcBorders>
          </w:tcPr>
          <w:p>
            <w:pPr>
              <w:rPr>
                <w:sz w:val="2"/>
                <w:szCs w:val="2"/>
              </w:rPr>
            </w:pPr>
          </w:p>
        </w:tc>
        <w:tc>
          <w:tcPr>
            <w:tcW w:w="2275" w:type="dxa"/>
            <w:gridSpan w:val="3"/>
          </w:tcPr>
          <w:p>
            <w:pPr>
              <w:pStyle w:val="TableParagraph"/>
              <w:spacing w:line="257" w:lineRule="exact" w:before="8"/>
              <w:ind w:left="505"/>
              <w:jc w:val="left"/>
              <w:rPr>
                <w:sz w:val="21"/>
              </w:rPr>
            </w:pPr>
            <w:r>
              <w:rPr>
                <w:sz w:val="21"/>
              </w:rPr>
              <w:t>开发区纵四河</w:t>
            </w:r>
          </w:p>
        </w:tc>
        <w:tc>
          <w:tcPr>
            <w:tcW w:w="442" w:type="dxa"/>
          </w:tcPr>
          <w:p>
            <w:pPr>
              <w:pStyle w:val="TableParagraph"/>
              <w:spacing w:before="22"/>
              <w:rPr>
                <w:rFonts w:ascii="Times New Roman"/>
                <w:sz w:val="21"/>
              </w:rPr>
            </w:pPr>
            <w:r>
              <w:rPr>
                <w:rFonts w:ascii="Times New Roman"/>
                <w:w w:val="100"/>
                <w:sz w:val="21"/>
              </w:rPr>
              <w:t>W</w:t>
            </w:r>
          </w:p>
        </w:tc>
        <w:tc>
          <w:tcPr>
            <w:tcW w:w="519" w:type="dxa"/>
          </w:tcPr>
          <w:p>
            <w:pPr>
              <w:pStyle w:val="TableParagraph"/>
              <w:spacing w:before="22"/>
              <w:ind w:left="26" w:right="22"/>
              <w:rPr>
                <w:rFonts w:ascii="Times New Roman"/>
                <w:sz w:val="21"/>
              </w:rPr>
            </w:pPr>
            <w:r>
              <w:rPr>
                <w:rFonts w:ascii="Times New Roman"/>
                <w:sz w:val="21"/>
              </w:rPr>
              <w:t>650</w:t>
            </w:r>
          </w:p>
        </w:tc>
        <w:tc>
          <w:tcPr>
            <w:tcW w:w="1131" w:type="dxa"/>
          </w:tcPr>
          <w:p>
            <w:pPr>
              <w:pStyle w:val="TableParagraph"/>
              <w:spacing w:before="22"/>
              <w:rPr>
                <w:rFonts w:ascii="Times New Roman" w:hAnsi="Times New Roman"/>
                <w:sz w:val="21"/>
              </w:rPr>
            </w:pPr>
            <w:r>
              <w:rPr>
                <w:rFonts w:ascii="Times New Roman" w:hAnsi="Times New Roman"/>
                <w:w w:val="100"/>
                <w:sz w:val="21"/>
              </w:rPr>
              <w:t>—</w:t>
            </w:r>
          </w:p>
        </w:tc>
        <w:tc>
          <w:tcPr>
            <w:tcW w:w="716" w:type="dxa"/>
          </w:tcPr>
          <w:p>
            <w:pPr>
              <w:pStyle w:val="TableParagraph"/>
              <w:spacing w:line="257" w:lineRule="exact" w:before="8"/>
              <w:ind w:left="18" w:right="17"/>
              <w:rPr>
                <w:sz w:val="21"/>
              </w:rPr>
            </w:pPr>
            <w:r>
              <w:rPr>
                <w:sz w:val="21"/>
              </w:rPr>
              <w:t>一般</w:t>
            </w:r>
          </w:p>
        </w:tc>
        <w:tc>
          <w:tcPr>
            <w:tcW w:w="1208" w:type="dxa"/>
            <w:vMerge/>
            <w:tcBorders>
              <w:top w:val="nil"/>
            </w:tcBorders>
          </w:tcPr>
          <w:p>
            <w:pPr>
              <w:rPr>
                <w:sz w:val="2"/>
                <w:szCs w:val="2"/>
              </w:rPr>
            </w:pPr>
          </w:p>
        </w:tc>
        <w:tc>
          <w:tcPr>
            <w:tcW w:w="2241" w:type="dxa"/>
          </w:tcPr>
          <w:p>
            <w:pPr>
              <w:pStyle w:val="TableParagraph"/>
              <w:spacing w:before="22"/>
              <w:ind w:right="1"/>
              <w:rPr>
                <w:rFonts w:ascii="Times New Roman" w:hAnsi="Times New Roman"/>
                <w:sz w:val="21"/>
              </w:rPr>
            </w:pPr>
            <w:r>
              <w:rPr>
                <w:rFonts w:ascii="Times New Roman" w:hAnsi="Times New Roman"/>
                <w:w w:val="100"/>
                <w:sz w:val="21"/>
              </w:rPr>
              <w:t>—</w:t>
            </w:r>
          </w:p>
        </w:tc>
      </w:tr>
      <w:tr>
        <w:trPr>
          <w:trHeight w:val="282" w:hRule="atLeast"/>
        </w:trPr>
        <w:tc>
          <w:tcPr>
            <w:tcW w:w="694" w:type="dxa"/>
          </w:tcPr>
          <w:p>
            <w:pPr>
              <w:pStyle w:val="TableParagraph"/>
              <w:spacing w:line="255" w:lineRule="exact" w:before="8"/>
              <w:ind w:left="31"/>
              <w:jc w:val="left"/>
              <w:rPr>
                <w:sz w:val="21"/>
              </w:rPr>
            </w:pPr>
            <w:r>
              <w:rPr>
                <w:sz w:val="21"/>
              </w:rPr>
              <w:t>声环境</w:t>
            </w:r>
          </w:p>
        </w:tc>
        <w:tc>
          <w:tcPr>
            <w:tcW w:w="4367" w:type="dxa"/>
            <w:gridSpan w:val="6"/>
          </w:tcPr>
          <w:p>
            <w:pPr>
              <w:pStyle w:val="TableParagraph"/>
              <w:spacing w:line="255" w:lineRule="exact" w:before="8"/>
              <w:ind w:left="1048"/>
              <w:jc w:val="left"/>
              <w:rPr>
                <w:sz w:val="21"/>
              </w:rPr>
            </w:pPr>
            <w:r>
              <w:rPr>
                <w:sz w:val="21"/>
              </w:rPr>
              <w:t>厂界及厂界外 </w:t>
            </w:r>
            <w:r>
              <w:rPr>
                <w:rFonts w:ascii="Times New Roman" w:eastAsia="Times New Roman"/>
                <w:sz w:val="21"/>
              </w:rPr>
              <w:t>200m </w:t>
            </w:r>
            <w:r>
              <w:rPr>
                <w:sz w:val="21"/>
              </w:rPr>
              <w:t>范围</w:t>
            </w:r>
          </w:p>
        </w:tc>
        <w:tc>
          <w:tcPr>
            <w:tcW w:w="716" w:type="dxa"/>
          </w:tcPr>
          <w:p>
            <w:pPr>
              <w:pStyle w:val="TableParagraph"/>
              <w:spacing w:line="255" w:lineRule="exact" w:before="8"/>
              <w:ind w:left="18" w:right="17"/>
              <w:rPr>
                <w:sz w:val="21"/>
              </w:rPr>
            </w:pPr>
            <w:r>
              <w:rPr>
                <w:sz w:val="21"/>
              </w:rPr>
              <w:t>一般</w:t>
            </w:r>
          </w:p>
        </w:tc>
        <w:tc>
          <w:tcPr>
            <w:tcW w:w="1208" w:type="dxa"/>
          </w:tcPr>
          <w:p>
            <w:pPr>
              <w:pStyle w:val="TableParagraph"/>
              <w:spacing w:line="255" w:lineRule="exact" w:before="8"/>
              <w:ind w:left="72"/>
              <w:jc w:val="left"/>
              <w:rPr>
                <w:sz w:val="21"/>
              </w:rPr>
            </w:pPr>
            <w:r>
              <w:rPr>
                <w:sz w:val="21"/>
              </w:rPr>
              <w:t>声环境 </w:t>
            </w:r>
            <w:r>
              <w:rPr>
                <w:rFonts w:ascii="Times New Roman" w:eastAsia="Times New Roman"/>
                <w:sz w:val="21"/>
              </w:rPr>
              <w:t>3 </w:t>
            </w:r>
            <w:r>
              <w:rPr>
                <w:sz w:val="21"/>
              </w:rPr>
              <w:t>类</w:t>
            </w:r>
          </w:p>
        </w:tc>
        <w:tc>
          <w:tcPr>
            <w:tcW w:w="2241" w:type="dxa"/>
          </w:tcPr>
          <w:p>
            <w:pPr>
              <w:pStyle w:val="TableParagraph"/>
              <w:spacing w:line="241" w:lineRule="exact" w:before="22"/>
              <w:ind w:right="1"/>
              <w:rPr>
                <w:rFonts w:ascii="Times New Roman" w:hAnsi="Times New Roman"/>
                <w:sz w:val="21"/>
              </w:rPr>
            </w:pPr>
            <w:r>
              <w:rPr>
                <w:rFonts w:ascii="Times New Roman" w:hAnsi="Times New Roman"/>
                <w:w w:val="100"/>
                <w:sz w:val="21"/>
              </w:rPr>
              <w:t>—</w:t>
            </w:r>
          </w:p>
        </w:tc>
      </w:tr>
      <w:tr>
        <w:trPr>
          <w:trHeight w:val="285" w:hRule="atLeast"/>
        </w:trPr>
        <w:tc>
          <w:tcPr>
            <w:tcW w:w="9226" w:type="dxa"/>
            <w:gridSpan w:val="10"/>
          </w:tcPr>
          <w:p>
            <w:pPr>
              <w:pStyle w:val="TableParagraph"/>
              <w:spacing w:line="257" w:lineRule="exact" w:before="8"/>
              <w:ind w:left="4"/>
              <w:jc w:val="left"/>
              <w:rPr>
                <w:b/>
                <w:sz w:val="21"/>
              </w:rPr>
            </w:pPr>
            <w:r>
              <w:rPr>
                <w:b/>
                <w:sz w:val="21"/>
              </w:rPr>
              <w:t>注：表中的</w:t>
            </w:r>
            <w:r>
              <w:rPr>
                <w:rFonts w:ascii="Times New Roman" w:hAnsi="Times New Roman" w:eastAsia="Times New Roman"/>
                <w:b/>
                <w:sz w:val="21"/>
              </w:rPr>
              <w:t>“</w:t>
            </w:r>
            <w:r>
              <w:rPr>
                <w:b/>
                <w:sz w:val="21"/>
              </w:rPr>
              <w:t>方位</w:t>
            </w:r>
            <w:r>
              <w:rPr>
                <w:rFonts w:ascii="Times New Roman" w:hAnsi="Times New Roman" w:eastAsia="Times New Roman"/>
                <w:b/>
                <w:sz w:val="21"/>
              </w:rPr>
              <w:t>”</w:t>
            </w:r>
            <w:r>
              <w:rPr>
                <w:b/>
                <w:sz w:val="21"/>
              </w:rPr>
              <w:t>以拟建厂址为基准点，</w:t>
            </w:r>
            <w:r>
              <w:rPr>
                <w:rFonts w:ascii="Times New Roman" w:hAnsi="Times New Roman" w:eastAsia="Times New Roman"/>
                <w:b/>
                <w:sz w:val="21"/>
              </w:rPr>
              <w:t>“</w:t>
            </w:r>
            <w:r>
              <w:rPr>
                <w:b/>
                <w:sz w:val="21"/>
              </w:rPr>
              <w:t>距离</w:t>
            </w:r>
            <w:r>
              <w:rPr>
                <w:rFonts w:ascii="Times New Roman" w:hAnsi="Times New Roman" w:eastAsia="Times New Roman"/>
                <w:b/>
                <w:sz w:val="21"/>
              </w:rPr>
              <w:t>”</w:t>
            </w:r>
            <w:r>
              <w:rPr>
                <w:b/>
                <w:sz w:val="21"/>
              </w:rPr>
              <w:t>是指保护目标与厂界的最近距离。</w:t>
            </w:r>
          </w:p>
        </w:tc>
      </w:tr>
    </w:tbl>
    <w:p>
      <w:pPr>
        <w:spacing w:after="0" w:line="257" w:lineRule="exact"/>
        <w:jc w:val="left"/>
        <w:rPr>
          <w:sz w:val="21"/>
        </w:rPr>
        <w:sectPr>
          <w:pgSz w:w="11910" w:h="16840"/>
          <w:pgMar w:header="874" w:footer="944" w:top="1340" w:bottom="1140" w:left="1180" w:right="1180"/>
        </w:sectPr>
      </w:pPr>
    </w:p>
    <w:p>
      <w:pPr>
        <w:pStyle w:val="BodyText"/>
        <w:spacing w:before="6"/>
        <w:rPr>
          <w:b/>
          <w:sz w:val="26"/>
        </w:rPr>
      </w:pPr>
    </w:p>
    <w:p>
      <w:pPr>
        <w:pStyle w:val="BodyText"/>
        <w:ind w:left="398"/>
        <w:rPr>
          <w:sz w:val="20"/>
        </w:rPr>
      </w:pPr>
      <w:r>
        <w:rPr>
          <w:sz w:val="20"/>
        </w:rPr>
        <w:pict>
          <v:group style="width:442.8pt;height:409.6pt;mso-position-horizontal-relative:char;mso-position-vertical-relative:line" coordorigin="0,0" coordsize="8856,8192">
            <v:shape style="position:absolute;left:0;top:0;width:8856;height:8192" type="#_x0000_t75" stroked="false">
              <v:imagedata r:id="rId14" o:title=""/>
            </v:shape>
            <v:shape style="position:absolute;left:7633;top:439;width:762;height:1207" type="#_x0000_t75" stroked="false">
              <v:imagedata r:id="rId15" o:title=""/>
            </v:shape>
            <v:line style="position:absolute" from="3061,3492" to="4167,3930" stroked="true" strokeweight=".644265pt" strokecolor="#ff0000">
              <v:stroke dashstyle="solid"/>
            </v:line>
            <v:shape style="position:absolute;left:4132;top:3871;width:184;height:119" coordorigin="4133,3871" coordsize="184,119" path="m4175,3871l4133,3979,4316,3989,4175,3871xe" filled="true" fillcolor="#ff0000" stroked="false">
              <v:path arrowok="t"/>
              <v:fill type="solid"/>
            </v:shape>
            <v:shape style="position:absolute;left:2762;top:4395;width:3880;height:2765" type="#_x0000_t75" stroked="false">
              <v:imagedata r:id="rId16" o:title=""/>
            </v:shape>
            <v:line style="position:absolute" from="4348,3713" to="4335,439" stroked="true" strokeweight=".214968pt" strokecolor="#ff66ff">
              <v:stroke dashstyle="solid"/>
            </v:line>
            <v:shape style="position:absolute;left:3934;top:3671;width:3906;height:3159" type="#_x0000_t75" stroked="false">
              <v:imagedata r:id="rId17" o:title=""/>
            </v:shape>
            <v:shape style="position:absolute;left:4454;top:1923;width:1098;height:781" type="#_x0000_t202" filled="false" stroked="false">
              <v:textbox inset="0,0,0,0">
                <w:txbxContent>
                  <w:p>
                    <w:pPr>
                      <w:spacing w:line="244" w:lineRule="exact" w:before="0"/>
                      <w:ind w:left="2" w:right="21" w:firstLine="0"/>
                      <w:jc w:val="center"/>
                      <w:rPr>
                        <w:b/>
                        <w:sz w:val="21"/>
                      </w:rPr>
                    </w:pPr>
                    <w:r>
                      <w:rPr>
                        <w:b/>
                        <w:color w:val="FF66FF"/>
                        <w:spacing w:val="-4"/>
                        <w:sz w:val="21"/>
                      </w:rPr>
                      <w:t>大气环境影</w:t>
                    </w:r>
                  </w:p>
                  <w:p>
                    <w:pPr>
                      <w:spacing w:before="15"/>
                      <w:ind w:left="2" w:right="21" w:firstLine="0"/>
                      <w:jc w:val="center"/>
                      <w:rPr>
                        <w:b/>
                        <w:sz w:val="21"/>
                      </w:rPr>
                    </w:pPr>
                    <w:r>
                      <w:rPr>
                        <w:b/>
                        <w:color w:val="FF66FF"/>
                        <w:spacing w:val="-4"/>
                        <w:sz w:val="21"/>
                      </w:rPr>
                      <w:t>响评价范围</w:t>
                    </w:r>
                  </w:p>
                  <w:p>
                    <w:pPr>
                      <w:spacing w:before="9"/>
                      <w:ind w:left="2" w:right="9" w:firstLine="0"/>
                      <w:jc w:val="center"/>
                      <w:rPr>
                        <w:rFonts w:ascii="Times New Roman"/>
                        <w:b/>
                        <w:sz w:val="21"/>
                      </w:rPr>
                    </w:pPr>
                    <w:r>
                      <w:rPr>
                        <w:rFonts w:ascii="Times New Roman"/>
                        <w:b/>
                        <w:color w:val="FF66FF"/>
                        <w:w w:val="105"/>
                        <w:sz w:val="21"/>
                      </w:rPr>
                      <w:t>R=2.5km</w:t>
                    </w:r>
                  </w:p>
                </w:txbxContent>
              </v:textbox>
              <w10:wrap type="none"/>
            </v:shape>
            <v:shape style="position:absolute;left:1875;top:3369;width:1098;height:216" type="#_x0000_t202" filled="false" stroked="false">
              <v:textbox inset="0,0,0,0">
                <w:txbxContent>
                  <w:p>
                    <w:pPr>
                      <w:spacing w:line="215" w:lineRule="exact" w:before="0"/>
                      <w:ind w:left="0" w:right="0" w:firstLine="0"/>
                      <w:jc w:val="left"/>
                      <w:rPr>
                        <w:b/>
                        <w:sz w:val="21"/>
                      </w:rPr>
                    </w:pPr>
                    <w:r>
                      <w:rPr>
                        <w:b/>
                        <w:color w:val="FF0000"/>
                        <w:sz w:val="21"/>
                      </w:rPr>
                      <w:t>项目拟建地</w:t>
                    </w:r>
                  </w:p>
                </w:txbxContent>
              </v:textbox>
              <w10:wrap type="none"/>
            </v:shape>
            <v:shape style="position:absolute;left:6596;top:6468;width:667;height:216" type="#_x0000_t202" filled="false" stroked="false">
              <v:textbox inset="0,0,0,0">
                <w:txbxContent>
                  <w:p>
                    <w:pPr>
                      <w:spacing w:line="215" w:lineRule="exact" w:before="0"/>
                      <w:ind w:left="0" w:right="0" w:firstLine="0"/>
                      <w:jc w:val="left"/>
                      <w:rPr>
                        <w:b/>
                        <w:sz w:val="21"/>
                      </w:rPr>
                    </w:pPr>
                    <w:r>
                      <w:rPr>
                        <w:b/>
                        <w:color w:val="FF0000"/>
                        <w:sz w:val="21"/>
                      </w:rPr>
                      <w:t>镇海村</w:t>
                    </w:r>
                  </w:p>
                </w:txbxContent>
              </v:textbox>
              <w10:wrap type="none"/>
            </v:shape>
            <v:shape style="position:absolute;left:7555;top:6923;width:665;height:216" type="#_x0000_t202" filled="false" stroked="false">
              <v:textbox inset="0,0,0,0">
                <w:txbxContent>
                  <w:p>
                    <w:pPr>
                      <w:spacing w:line="215" w:lineRule="exact" w:before="0"/>
                      <w:ind w:left="0" w:right="0" w:firstLine="0"/>
                      <w:jc w:val="left"/>
                      <w:rPr>
                        <w:b/>
                        <w:sz w:val="21"/>
                      </w:rPr>
                    </w:pPr>
                    <w:r>
                      <w:rPr>
                        <w:b/>
                        <w:color w:val="FF0000"/>
                        <w:sz w:val="21"/>
                      </w:rPr>
                      <w:t>镇东村</w:t>
                    </w:r>
                  </w:p>
                </w:txbxContent>
              </v:textbox>
              <w10:wrap type="none"/>
            </v:shape>
            <v:shape style="position:absolute;left:4343;top:7124;width:665;height:216" type="#_x0000_t202" filled="false" stroked="false">
              <v:textbox inset="0,0,0,0">
                <w:txbxContent>
                  <w:p>
                    <w:pPr>
                      <w:spacing w:line="215" w:lineRule="exact" w:before="0"/>
                      <w:ind w:left="0" w:right="0" w:firstLine="0"/>
                      <w:jc w:val="left"/>
                      <w:rPr>
                        <w:b/>
                        <w:sz w:val="21"/>
                      </w:rPr>
                    </w:pPr>
                    <w:r>
                      <w:rPr>
                        <w:b/>
                        <w:color w:val="FF0000"/>
                        <w:sz w:val="21"/>
                      </w:rPr>
                      <w:t>珠海村</w:t>
                    </w:r>
                  </w:p>
                </w:txbxContent>
              </v:textbox>
              <w10:wrap type="none"/>
            </v:shape>
            <v:shape style="position:absolute;left:5640;top:7124;width:667;height:216" type="#_x0000_t202" filled="false" stroked="false">
              <v:textbox inset="0,0,0,0">
                <w:txbxContent>
                  <w:p>
                    <w:pPr>
                      <w:spacing w:line="215" w:lineRule="exact" w:before="0"/>
                      <w:ind w:left="0" w:right="0" w:firstLine="0"/>
                      <w:jc w:val="left"/>
                      <w:rPr>
                        <w:b/>
                        <w:sz w:val="21"/>
                      </w:rPr>
                    </w:pPr>
                    <w:r>
                      <w:rPr>
                        <w:b/>
                        <w:color w:val="FF0000"/>
                        <w:sz w:val="21"/>
                      </w:rPr>
                      <w:t>丰棉村</w:t>
                    </w:r>
                  </w:p>
                </w:txbxContent>
              </v:textbox>
              <w10:wrap type="none"/>
            </v:shape>
            <v:shape style="position:absolute;left:1857;top:7305;width:1310;height:215" type="#_x0000_t202" filled="false" stroked="false">
              <v:textbox inset="0,0,0,0">
                <w:txbxContent>
                  <w:p>
                    <w:pPr>
                      <w:spacing w:line="215" w:lineRule="exact" w:before="0"/>
                      <w:ind w:left="0" w:right="0" w:firstLine="0"/>
                      <w:jc w:val="left"/>
                      <w:rPr>
                        <w:b/>
                        <w:sz w:val="21"/>
                      </w:rPr>
                    </w:pPr>
                    <w:r>
                      <w:rPr>
                        <w:b/>
                        <w:color w:val="FF0000"/>
                        <w:sz w:val="21"/>
                      </w:rPr>
                      <w:t>开发区生活区</w:t>
                    </w:r>
                  </w:p>
                </w:txbxContent>
              </v:textbox>
              <w10:wrap type="none"/>
            </v:shape>
            <v:shape style="position:absolute;left:3548;top:7379;width:667;height:216" type="#_x0000_t202" filled="false" stroked="false">
              <v:textbox inset="0,0,0,0">
                <w:txbxContent>
                  <w:p>
                    <w:pPr>
                      <w:spacing w:line="215" w:lineRule="exact" w:before="0"/>
                      <w:ind w:left="0" w:right="0" w:firstLine="0"/>
                      <w:jc w:val="left"/>
                      <w:rPr>
                        <w:b/>
                        <w:sz w:val="21"/>
                      </w:rPr>
                    </w:pPr>
                    <w:r>
                      <w:rPr>
                        <w:b/>
                        <w:color w:val="FF0000"/>
                        <w:sz w:val="21"/>
                      </w:rPr>
                      <w:t>联合村</w:t>
                    </w:r>
                  </w:p>
                </w:txbxContent>
              </v:textbox>
              <w10:wrap type="none"/>
            </v:shape>
          </v:group>
        </w:pict>
      </w:r>
      <w:r>
        <w:rPr>
          <w:sz w:val="20"/>
        </w:rPr>
      </w:r>
    </w:p>
    <w:p>
      <w:pPr>
        <w:pStyle w:val="BodyText"/>
        <w:spacing w:before="3"/>
        <w:rPr>
          <w:b/>
          <w:sz w:val="19"/>
        </w:rPr>
      </w:pPr>
    </w:p>
    <w:p>
      <w:pPr>
        <w:spacing w:after="0"/>
        <w:rPr>
          <w:sz w:val="19"/>
        </w:rPr>
        <w:sectPr>
          <w:pgSz w:w="11910" w:h="16840"/>
          <w:pgMar w:header="874" w:footer="944" w:top="1340" w:bottom="1140" w:left="1180" w:right="1180"/>
        </w:sectPr>
      </w:pPr>
    </w:p>
    <w:p>
      <w:pPr>
        <w:pStyle w:val="BodyText"/>
        <w:spacing w:before="2"/>
        <w:rPr>
          <w:b/>
          <w:sz w:val="36"/>
        </w:rPr>
      </w:pPr>
    </w:p>
    <w:p>
      <w:pPr>
        <w:pStyle w:val="Heading3"/>
        <w:numPr>
          <w:ilvl w:val="1"/>
          <w:numId w:val="6"/>
        </w:numPr>
        <w:tabs>
          <w:tab w:pos="801" w:val="left" w:leader="none"/>
        </w:tabs>
        <w:spacing w:line="240" w:lineRule="auto" w:before="0" w:after="0"/>
        <w:ind w:left="800" w:right="0" w:hanging="421"/>
        <w:jc w:val="left"/>
      </w:pPr>
      <w:bookmarkStart w:name="_bookmark13" w:id="27"/>
      <w:bookmarkEnd w:id="27"/>
      <w:r>
        <w:rPr>
          <w:b w:val="0"/>
        </w:rPr>
      </w:r>
      <w:bookmarkStart w:name="_bookmark13" w:id="28"/>
      <w:bookmarkEnd w:id="28"/>
      <w:r>
        <w:rPr/>
        <w:t>相关规划</w:t>
      </w:r>
    </w:p>
    <w:p>
      <w:pPr>
        <w:tabs>
          <w:tab w:pos="1601" w:val="left" w:leader="none"/>
        </w:tabs>
        <w:spacing w:before="74"/>
        <w:ind w:left="380" w:right="0" w:firstLine="0"/>
        <w:jc w:val="left"/>
        <w:rPr>
          <w:b/>
          <w:sz w:val="24"/>
        </w:rPr>
      </w:pPr>
      <w:r>
        <w:rPr/>
        <w:br w:type="column"/>
      </w:r>
      <w:r>
        <w:rPr>
          <w:b/>
          <w:sz w:val="24"/>
        </w:rPr>
        <w:t>图</w:t>
      </w:r>
      <w:r>
        <w:rPr>
          <w:b/>
          <w:spacing w:val="-60"/>
          <w:sz w:val="24"/>
        </w:rPr>
        <w:t> </w:t>
      </w:r>
      <w:r>
        <w:rPr>
          <w:rFonts w:ascii="Times New Roman" w:eastAsia="Times New Roman"/>
          <w:b/>
          <w:sz w:val="24"/>
        </w:rPr>
        <w:t>2.5.2-1</w:t>
        <w:tab/>
      </w:r>
      <w:r>
        <w:rPr>
          <w:b/>
          <w:sz w:val="24"/>
        </w:rPr>
        <w:t>项目周边敏感点示意图</w:t>
      </w:r>
    </w:p>
    <w:p>
      <w:pPr>
        <w:spacing w:after="0"/>
        <w:jc w:val="left"/>
        <w:rPr>
          <w:sz w:val="24"/>
        </w:rPr>
        <w:sectPr>
          <w:type w:val="continuous"/>
          <w:pgSz w:w="11910" w:h="16840"/>
          <w:pgMar w:top="1420" w:bottom="280" w:left="1180" w:right="1180"/>
          <w:cols w:num="2" w:equalWidth="0">
            <w:col w:w="1966" w:space="612"/>
            <w:col w:w="6972"/>
          </w:cols>
        </w:sectPr>
      </w:pPr>
    </w:p>
    <w:p>
      <w:pPr>
        <w:pStyle w:val="BodyText"/>
        <w:spacing w:before="9"/>
        <w:rPr>
          <w:b/>
          <w:sz w:val="8"/>
        </w:rPr>
      </w:pPr>
    </w:p>
    <w:p>
      <w:pPr>
        <w:pStyle w:val="ListParagraph"/>
        <w:numPr>
          <w:ilvl w:val="2"/>
          <w:numId w:val="6"/>
        </w:numPr>
        <w:tabs>
          <w:tab w:pos="1019" w:val="left" w:leader="none"/>
        </w:tabs>
        <w:spacing w:line="240" w:lineRule="auto" w:before="74" w:after="0"/>
        <w:ind w:left="1018" w:right="0" w:hanging="541"/>
        <w:jc w:val="left"/>
        <w:rPr>
          <w:b/>
          <w:sz w:val="24"/>
        </w:rPr>
      </w:pPr>
      <w:r>
        <w:rPr>
          <w:b/>
          <w:sz w:val="24"/>
        </w:rPr>
        <w:t>绍兴市上虞区城市总体规划概况</w:t>
      </w:r>
    </w:p>
    <w:p>
      <w:pPr>
        <w:pStyle w:val="BodyText"/>
        <w:spacing w:line="364" w:lineRule="auto" w:before="158"/>
        <w:ind w:left="238" w:right="173" w:firstLine="482"/>
      </w:pPr>
      <w:r>
        <w:rPr/>
        <w:t>本项目位于杭州湾上虞经济技术开发区产业提升区及配套区，对照《上虞市市域总体规划（</w:t>
      </w:r>
      <w:r>
        <w:rPr>
          <w:rFonts w:ascii="Times New Roman" w:eastAsia="Times New Roman"/>
        </w:rPr>
        <w:t>2006-2020</w:t>
      </w:r>
      <w:r>
        <w:rPr/>
        <w:t>）》（</w:t>
      </w:r>
      <w:r>
        <w:rPr>
          <w:rFonts w:ascii="Times New Roman" w:eastAsia="Times New Roman"/>
        </w:rPr>
        <w:t>2014 </w:t>
      </w:r>
      <w:r>
        <w:rPr/>
        <w:t>年调整完善版）相关要求，符合性分析如下：</w:t>
      </w:r>
    </w:p>
    <w:p>
      <w:pPr>
        <w:pStyle w:val="Heading4"/>
        <w:tabs>
          <w:tab w:pos="3637" w:val="left" w:leader="none"/>
        </w:tabs>
        <w:spacing w:before="140" w:after="29"/>
        <w:ind w:left="2415"/>
      </w:pPr>
      <w:r>
        <w:rPr/>
        <w:t>表</w:t>
      </w:r>
      <w:r>
        <w:rPr>
          <w:spacing w:val="-60"/>
        </w:rPr>
        <w:t> </w:t>
      </w:r>
      <w:r>
        <w:rPr>
          <w:rFonts w:ascii="Times New Roman" w:eastAsia="Times New Roman"/>
        </w:rPr>
        <w:t>2.6.1-1</w:t>
        <w:tab/>
      </w:r>
      <w:r>
        <w:rPr/>
        <w:t>上虞区域总体规划概况及符合性分析</w:t>
      </w:r>
    </w:p>
    <w:tbl>
      <w:tblPr>
        <w:tblW w:w="0" w:type="auto"/>
        <w:jc w:val="left"/>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3"/>
        <w:gridCol w:w="4371"/>
        <w:gridCol w:w="3536"/>
        <w:gridCol w:w="621"/>
      </w:tblGrid>
      <w:tr>
        <w:trPr>
          <w:trHeight w:val="285" w:hRule="atLeast"/>
        </w:trPr>
        <w:tc>
          <w:tcPr>
            <w:tcW w:w="643" w:type="dxa"/>
          </w:tcPr>
          <w:p>
            <w:pPr>
              <w:pStyle w:val="TableParagraph"/>
              <w:spacing w:line="257" w:lineRule="exact" w:before="8"/>
              <w:ind w:left="107"/>
              <w:jc w:val="left"/>
              <w:rPr>
                <w:b/>
                <w:sz w:val="21"/>
              </w:rPr>
            </w:pPr>
            <w:r>
              <w:rPr>
                <w:b/>
                <w:sz w:val="21"/>
              </w:rPr>
              <w:t>项目</w:t>
            </w:r>
          </w:p>
        </w:tc>
        <w:tc>
          <w:tcPr>
            <w:tcW w:w="4371" w:type="dxa"/>
          </w:tcPr>
          <w:p>
            <w:pPr>
              <w:pStyle w:val="TableParagraph"/>
              <w:spacing w:line="257" w:lineRule="exact" w:before="8"/>
              <w:ind w:left="1233"/>
              <w:jc w:val="left"/>
              <w:rPr>
                <w:b/>
                <w:sz w:val="21"/>
              </w:rPr>
            </w:pPr>
            <w:r>
              <w:rPr>
                <w:b/>
                <w:sz w:val="21"/>
              </w:rPr>
              <w:t>上虞市市域总体规划</w:t>
            </w:r>
          </w:p>
        </w:tc>
        <w:tc>
          <w:tcPr>
            <w:tcW w:w="3536" w:type="dxa"/>
          </w:tcPr>
          <w:p>
            <w:pPr>
              <w:pStyle w:val="TableParagraph"/>
              <w:spacing w:line="257" w:lineRule="exact" w:before="8"/>
              <w:ind w:left="84" w:right="72"/>
              <w:rPr>
                <w:b/>
                <w:sz w:val="21"/>
              </w:rPr>
            </w:pPr>
            <w:r>
              <w:rPr>
                <w:b/>
                <w:sz w:val="21"/>
              </w:rPr>
              <w:t>符合性分析</w:t>
            </w:r>
          </w:p>
        </w:tc>
        <w:tc>
          <w:tcPr>
            <w:tcW w:w="621" w:type="dxa"/>
          </w:tcPr>
          <w:p>
            <w:pPr>
              <w:pStyle w:val="TableParagraph"/>
              <w:spacing w:line="257" w:lineRule="exact" w:before="8"/>
              <w:ind w:right="88"/>
              <w:jc w:val="right"/>
              <w:rPr>
                <w:b/>
                <w:sz w:val="21"/>
              </w:rPr>
            </w:pPr>
            <w:r>
              <w:rPr>
                <w:b/>
                <w:sz w:val="21"/>
              </w:rPr>
              <w:t>结论</w:t>
            </w:r>
          </w:p>
        </w:tc>
      </w:tr>
      <w:tr>
        <w:trPr>
          <w:trHeight w:val="815" w:hRule="atLeast"/>
        </w:trPr>
        <w:tc>
          <w:tcPr>
            <w:tcW w:w="643" w:type="dxa"/>
          </w:tcPr>
          <w:p>
            <w:pPr>
              <w:pStyle w:val="TableParagraph"/>
              <w:spacing w:line="242" w:lineRule="auto" w:before="137"/>
              <w:ind w:left="110" w:right="98"/>
              <w:jc w:val="left"/>
              <w:rPr>
                <w:sz w:val="21"/>
              </w:rPr>
            </w:pPr>
            <w:r>
              <w:rPr>
                <w:sz w:val="21"/>
              </w:rPr>
              <w:t>功能定位</w:t>
            </w:r>
          </w:p>
        </w:tc>
        <w:tc>
          <w:tcPr>
            <w:tcW w:w="4371" w:type="dxa"/>
          </w:tcPr>
          <w:p>
            <w:pPr>
              <w:pStyle w:val="TableParagraph"/>
              <w:spacing w:line="242" w:lineRule="auto" w:before="137"/>
              <w:ind w:left="1238" w:right="71" w:hanging="1157"/>
              <w:jc w:val="left"/>
              <w:rPr>
                <w:sz w:val="21"/>
              </w:rPr>
            </w:pPr>
            <w:r>
              <w:rPr>
                <w:sz w:val="21"/>
              </w:rPr>
              <w:t>杭州湾上虞经济技术开发区为杭州湾南翼重要的先进制造业基地。</w:t>
            </w:r>
          </w:p>
        </w:tc>
        <w:tc>
          <w:tcPr>
            <w:tcW w:w="3536" w:type="dxa"/>
          </w:tcPr>
          <w:p>
            <w:pPr>
              <w:pStyle w:val="TableParagraph"/>
              <w:spacing w:line="242" w:lineRule="auto" w:before="1"/>
              <w:ind w:left="86" w:right="72" w:hanging="1"/>
              <w:rPr>
                <w:sz w:val="21"/>
              </w:rPr>
            </w:pPr>
            <w:r>
              <w:rPr>
                <w:sz w:val="21"/>
              </w:rPr>
              <w:t>本项目位于杭州湾上虞经济技术开发区产业提升区及配套区，符合功能定</w:t>
            </w:r>
          </w:p>
          <w:p>
            <w:pPr>
              <w:pStyle w:val="TableParagraph"/>
              <w:spacing w:line="250" w:lineRule="exact" w:before="1"/>
              <w:ind w:left="84" w:right="72"/>
              <w:rPr>
                <w:sz w:val="21"/>
              </w:rPr>
            </w:pPr>
            <w:r>
              <w:rPr>
                <w:sz w:val="21"/>
              </w:rPr>
              <w:t>位。</w:t>
            </w:r>
          </w:p>
        </w:tc>
        <w:tc>
          <w:tcPr>
            <w:tcW w:w="621" w:type="dxa"/>
          </w:tcPr>
          <w:p>
            <w:pPr>
              <w:pStyle w:val="TableParagraph"/>
              <w:spacing w:before="3"/>
              <w:jc w:val="left"/>
              <w:rPr>
                <w:b/>
                <w:sz w:val="21"/>
              </w:rPr>
            </w:pPr>
          </w:p>
          <w:p>
            <w:pPr>
              <w:pStyle w:val="TableParagraph"/>
              <w:ind w:right="85"/>
              <w:jc w:val="right"/>
              <w:rPr>
                <w:sz w:val="21"/>
              </w:rPr>
            </w:pPr>
            <w:r>
              <w:rPr>
                <w:sz w:val="21"/>
              </w:rPr>
              <w:t>符合</w:t>
            </w:r>
          </w:p>
        </w:tc>
      </w:tr>
      <w:tr>
        <w:trPr>
          <w:trHeight w:val="1091" w:hRule="atLeast"/>
        </w:trPr>
        <w:tc>
          <w:tcPr>
            <w:tcW w:w="643" w:type="dxa"/>
          </w:tcPr>
          <w:p>
            <w:pPr>
              <w:pStyle w:val="TableParagraph"/>
              <w:spacing w:before="5"/>
              <w:jc w:val="left"/>
              <w:rPr>
                <w:b/>
                <w:sz w:val="21"/>
              </w:rPr>
            </w:pPr>
          </w:p>
          <w:p>
            <w:pPr>
              <w:pStyle w:val="TableParagraph"/>
              <w:spacing w:line="244" w:lineRule="auto"/>
              <w:ind w:left="110" w:right="98"/>
              <w:jc w:val="left"/>
              <w:rPr>
                <w:sz w:val="21"/>
              </w:rPr>
            </w:pPr>
            <w:r>
              <w:rPr>
                <w:sz w:val="21"/>
              </w:rPr>
              <w:t>产业发展</w:t>
            </w:r>
          </w:p>
        </w:tc>
        <w:tc>
          <w:tcPr>
            <w:tcW w:w="4371" w:type="dxa"/>
          </w:tcPr>
          <w:p>
            <w:pPr>
              <w:pStyle w:val="TableParagraph"/>
              <w:spacing w:line="242" w:lineRule="auto" w:before="138"/>
              <w:ind w:left="93" w:right="83"/>
              <w:rPr>
                <w:sz w:val="21"/>
              </w:rPr>
            </w:pPr>
            <w:r>
              <w:rPr>
                <w:sz w:val="21"/>
              </w:rPr>
              <w:t>按照</w:t>
            </w:r>
            <w:r>
              <w:rPr>
                <w:rFonts w:ascii="Times New Roman" w:hAnsi="Times New Roman" w:eastAsia="Times New Roman"/>
                <w:sz w:val="21"/>
              </w:rPr>
              <w:t>“</w:t>
            </w:r>
            <w:r>
              <w:rPr>
                <w:sz w:val="21"/>
              </w:rPr>
              <w:t>北工、中城、南闲</w:t>
            </w:r>
            <w:r>
              <w:rPr>
                <w:rFonts w:ascii="Times New Roman" w:hAnsi="Times New Roman" w:eastAsia="Times New Roman"/>
                <w:sz w:val="21"/>
              </w:rPr>
              <w:t>”</w:t>
            </w:r>
            <w:r>
              <w:rPr>
                <w:sz w:val="21"/>
              </w:rPr>
              <w:t>的市域大格局，明确北部重点发展工业，突出</w:t>
            </w:r>
            <w:r>
              <w:rPr>
                <w:rFonts w:ascii="Times New Roman" w:hAnsi="Times New Roman" w:eastAsia="Times New Roman"/>
                <w:sz w:val="21"/>
              </w:rPr>
              <w:t>“</w:t>
            </w:r>
            <w:r>
              <w:rPr>
                <w:sz w:val="21"/>
              </w:rPr>
              <w:t>机电、化工、纺织</w:t>
            </w:r>
            <w:r>
              <w:rPr>
                <w:rFonts w:ascii="Times New Roman" w:hAnsi="Times New Roman" w:eastAsia="Times New Roman"/>
                <w:sz w:val="21"/>
              </w:rPr>
              <w:t>” </w:t>
            </w:r>
            <w:r>
              <w:rPr>
                <w:sz w:val="21"/>
              </w:rPr>
              <w:t>三大主导产业，积极培育临港产业。</w:t>
            </w:r>
          </w:p>
        </w:tc>
        <w:tc>
          <w:tcPr>
            <w:tcW w:w="3536" w:type="dxa"/>
          </w:tcPr>
          <w:p>
            <w:pPr>
              <w:pStyle w:val="TableParagraph"/>
              <w:spacing w:line="242" w:lineRule="auto" w:before="3"/>
              <w:ind w:left="50" w:right="72" w:firstLine="36"/>
              <w:jc w:val="both"/>
              <w:rPr>
                <w:sz w:val="21"/>
              </w:rPr>
            </w:pPr>
            <w:r>
              <w:rPr>
                <w:spacing w:val="-4"/>
                <w:sz w:val="21"/>
              </w:rPr>
              <w:t>本项目位于杭州湾上虞经济技术开发</w:t>
            </w:r>
            <w:r>
              <w:rPr>
                <w:spacing w:val="-3"/>
                <w:sz w:val="21"/>
              </w:rPr>
              <w:t>区产业提升区及配套区，</w:t>
            </w:r>
            <w:r>
              <w:rPr>
                <w:b/>
                <w:sz w:val="21"/>
              </w:rPr>
              <w:t>本项目生产农药产品</w:t>
            </w:r>
            <w:r>
              <w:rPr>
                <w:spacing w:val="-16"/>
                <w:sz w:val="21"/>
              </w:rPr>
              <w:t>，属于化工产业，符合</w:t>
            </w:r>
            <w:r>
              <w:rPr>
                <w:rFonts w:ascii="Times New Roman" w:hAnsi="Times New Roman" w:eastAsia="Times New Roman"/>
                <w:sz w:val="21"/>
              </w:rPr>
              <w:t>“</w:t>
            </w:r>
            <w:r>
              <w:rPr>
                <w:sz w:val="21"/>
              </w:rPr>
              <w:t>机电</w:t>
            </w:r>
          </w:p>
          <w:p>
            <w:pPr>
              <w:pStyle w:val="TableParagraph"/>
              <w:spacing w:line="252" w:lineRule="exact" w:before="1"/>
              <w:ind w:left="146"/>
              <w:jc w:val="left"/>
              <w:rPr>
                <w:sz w:val="21"/>
              </w:rPr>
            </w:pPr>
            <w:r>
              <w:rPr>
                <w:spacing w:val="-3"/>
                <w:sz w:val="21"/>
              </w:rPr>
              <w:t>化工、纺织</w:t>
            </w:r>
            <w:r>
              <w:rPr>
                <w:rFonts w:ascii="Times New Roman" w:hAnsi="Times New Roman" w:eastAsia="Times New Roman"/>
                <w:sz w:val="21"/>
              </w:rPr>
              <w:t>”</w:t>
            </w:r>
            <w:r>
              <w:rPr>
                <w:spacing w:val="-3"/>
                <w:sz w:val="21"/>
              </w:rPr>
              <w:t>三大主导产业的发展。</w:t>
            </w:r>
          </w:p>
        </w:tc>
        <w:tc>
          <w:tcPr>
            <w:tcW w:w="621" w:type="dxa"/>
          </w:tcPr>
          <w:p>
            <w:pPr>
              <w:pStyle w:val="TableParagraph"/>
              <w:spacing w:before="1"/>
              <w:jc w:val="left"/>
              <w:rPr>
                <w:b/>
                <w:sz w:val="32"/>
              </w:rPr>
            </w:pPr>
          </w:p>
          <w:p>
            <w:pPr>
              <w:pStyle w:val="TableParagraph"/>
              <w:ind w:left="-152" w:right="85"/>
              <w:jc w:val="right"/>
              <w:rPr>
                <w:sz w:val="21"/>
              </w:rPr>
            </w:pPr>
            <w:r>
              <w:rPr>
                <w:spacing w:val="-31"/>
                <w:position w:val="-13"/>
                <w:sz w:val="21"/>
              </w:rPr>
              <w:t>、 </w:t>
            </w:r>
            <w:r>
              <w:rPr>
                <w:spacing w:val="-8"/>
                <w:sz w:val="21"/>
              </w:rPr>
              <w:t>符合</w:t>
            </w:r>
          </w:p>
        </w:tc>
      </w:tr>
    </w:tbl>
    <w:p>
      <w:pPr>
        <w:spacing w:after="0"/>
        <w:jc w:val="right"/>
        <w:rPr>
          <w:sz w:val="21"/>
        </w:rPr>
        <w:sectPr>
          <w:type w:val="continuous"/>
          <w:pgSz w:w="11910" w:h="16840"/>
          <w:pgMar w:top="1420" w:bottom="280" w:left="1180" w:right="1180"/>
        </w:sectPr>
      </w:pPr>
    </w:p>
    <w:p>
      <w:pPr>
        <w:pStyle w:val="BodyText"/>
        <w:spacing w:before="4"/>
        <w:rPr>
          <w:b/>
          <w:sz w:val="5"/>
        </w:rPr>
      </w:pPr>
    </w:p>
    <w:tbl>
      <w:tblPr>
        <w:tblW w:w="0" w:type="auto"/>
        <w:jc w:val="left"/>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3"/>
        <w:gridCol w:w="4371"/>
        <w:gridCol w:w="3536"/>
        <w:gridCol w:w="621"/>
      </w:tblGrid>
      <w:tr>
        <w:trPr>
          <w:trHeight w:val="282" w:hRule="atLeast"/>
        </w:trPr>
        <w:tc>
          <w:tcPr>
            <w:tcW w:w="643" w:type="dxa"/>
          </w:tcPr>
          <w:p>
            <w:pPr>
              <w:pStyle w:val="TableParagraph"/>
              <w:spacing w:line="257" w:lineRule="exact" w:before="6"/>
              <w:ind w:left="107"/>
              <w:jc w:val="left"/>
              <w:rPr>
                <w:b/>
                <w:sz w:val="21"/>
              </w:rPr>
            </w:pPr>
            <w:r>
              <w:rPr>
                <w:b/>
                <w:sz w:val="21"/>
              </w:rPr>
              <w:t>项目</w:t>
            </w:r>
          </w:p>
        </w:tc>
        <w:tc>
          <w:tcPr>
            <w:tcW w:w="4371" w:type="dxa"/>
          </w:tcPr>
          <w:p>
            <w:pPr>
              <w:pStyle w:val="TableParagraph"/>
              <w:spacing w:line="257" w:lineRule="exact" w:before="6"/>
              <w:ind w:left="1233"/>
              <w:jc w:val="left"/>
              <w:rPr>
                <w:b/>
                <w:sz w:val="21"/>
              </w:rPr>
            </w:pPr>
            <w:r>
              <w:rPr>
                <w:b/>
                <w:sz w:val="21"/>
              </w:rPr>
              <w:t>上虞市市域总体规划</w:t>
            </w:r>
          </w:p>
        </w:tc>
        <w:tc>
          <w:tcPr>
            <w:tcW w:w="3536" w:type="dxa"/>
          </w:tcPr>
          <w:p>
            <w:pPr>
              <w:pStyle w:val="TableParagraph"/>
              <w:spacing w:line="257" w:lineRule="exact" w:before="6"/>
              <w:ind w:left="84" w:right="72"/>
              <w:rPr>
                <w:b/>
                <w:sz w:val="21"/>
              </w:rPr>
            </w:pPr>
            <w:r>
              <w:rPr>
                <w:b/>
                <w:sz w:val="21"/>
              </w:rPr>
              <w:t>符合性分析</w:t>
            </w:r>
          </w:p>
        </w:tc>
        <w:tc>
          <w:tcPr>
            <w:tcW w:w="621" w:type="dxa"/>
          </w:tcPr>
          <w:p>
            <w:pPr>
              <w:pStyle w:val="TableParagraph"/>
              <w:spacing w:line="257" w:lineRule="exact" w:before="6"/>
              <w:ind w:left="98"/>
              <w:jc w:val="left"/>
              <w:rPr>
                <w:b/>
                <w:sz w:val="21"/>
              </w:rPr>
            </w:pPr>
            <w:r>
              <w:rPr>
                <w:b/>
                <w:sz w:val="21"/>
              </w:rPr>
              <w:t>结论</w:t>
            </w:r>
          </w:p>
        </w:tc>
      </w:tr>
      <w:tr>
        <w:trPr>
          <w:trHeight w:val="2452" w:hRule="atLeast"/>
        </w:trPr>
        <w:tc>
          <w:tcPr>
            <w:tcW w:w="643"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8"/>
              <w:jc w:val="left"/>
              <w:rPr>
                <w:b/>
                <w:sz w:val="14"/>
              </w:rPr>
            </w:pPr>
          </w:p>
          <w:p>
            <w:pPr>
              <w:pStyle w:val="TableParagraph"/>
              <w:spacing w:line="242" w:lineRule="auto"/>
              <w:ind w:left="110" w:right="98"/>
              <w:jc w:val="left"/>
              <w:rPr>
                <w:sz w:val="21"/>
              </w:rPr>
            </w:pPr>
            <w:r>
              <w:rPr>
                <w:sz w:val="21"/>
              </w:rPr>
              <w:t>空间布局</w:t>
            </w:r>
          </w:p>
        </w:tc>
        <w:tc>
          <w:tcPr>
            <w:tcW w:w="4371" w:type="dxa"/>
          </w:tcPr>
          <w:p>
            <w:pPr>
              <w:pStyle w:val="TableParagraph"/>
              <w:spacing w:line="242" w:lineRule="auto" w:before="1"/>
              <w:ind w:left="50" w:right="71" w:firstLine="31"/>
              <w:rPr>
                <w:sz w:val="21"/>
              </w:rPr>
            </w:pPr>
            <w:r>
              <w:rPr>
                <w:spacing w:val="-4"/>
                <w:sz w:val="21"/>
              </w:rPr>
              <w:t>围绕机电、化工、纺织等三大主导工业，构建</w:t>
            </w:r>
            <w:r>
              <w:rPr>
                <w:spacing w:val="-13"/>
                <w:w w:val="100"/>
                <w:sz w:val="21"/>
              </w:rPr>
              <w:t>上虞大工业体系框架，提升</w:t>
            </w:r>
            <w:r>
              <w:rPr>
                <w:rFonts w:ascii="Times New Roman" w:hAnsi="Times New Roman" w:eastAsia="Times New Roman"/>
                <w:spacing w:val="-1"/>
                <w:w w:val="100"/>
                <w:sz w:val="21"/>
              </w:rPr>
              <w:t>“</w:t>
            </w:r>
            <w:r>
              <w:rPr>
                <w:w w:val="100"/>
                <w:sz w:val="21"/>
              </w:rPr>
              <w:t>一环</w:t>
            </w:r>
            <w:r>
              <w:rPr>
                <w:rFonts w:ascii="Times New Roman" w:hAnsi="Times New Roman" w:eastAsia="Times New Roman"/>
                <w:spacing w:val="-1"/>
                <w:w w:val="100"/>
                <w:sz w:val="21"/>
              </w:rPr>
              <w:t>”</w:t>
            </w:r>
            <w:r>
              <w:rPr>
                <w:spacing w:val="-36"/>
                <w:w w:val="100"/>
                <w:sz w:val="21"/>
              </w:rPr>
              <w:t>，完善</w:t>
            </w:r>
            <w:r>
              <w:rPr>
                <w:rFonts w:ascii="Times New Roman" w:hAnsi="Times New Roman" w:eastAsia="Times New Roman"/>
                <w:spacing w:val="-1"/>
                <w:w w:val="100"/>
                <w:sz w:val="21"/>
              </w:rPr>
              <w:t>“</w:t>
            </w:r>
            <w:r>
              <w:rPr>
                <w:spacing w:val="-2"/>
                <w:w w:val="100"/>
                <w:sz w:val="21"/>
              </w:rPr>
              <w:t>一群</w:t>
            </w:r>
            <w:r>
              <w:rPr>
                <w:rFonts w:ascii="Times New Roman" w:hAnsi="Times New Roman" w:eastAsia="Times New Roman"/>
                <w:w w:val="100"/>
                <w:sz w:val="21"/>
              </w:rPr>
              <w:t>”</w:t>
            </w:r>
            <w:r>
              <w:rPr>
                <w:sz w:val="21"/>
              </w:rPr>
              <w:t>壮大</w:t>
            </w:r>
            <w:r>
              <w:rPr>
                <w:rFonts w:ascii="Times New Roman" w:hAnsi="Times New Roman" w:eastAsia="Times New Roman"/>
                <w:spacing w:val="-3"/>
                <w:sz w:val="21"/>
              </w:rPr>
              <w:t>“</w:t>
            </w:r>
            <w:r>
              <w:rPr>
                <w:spacing w:val="-2"/>
                <w:sz w:val="21"/>
              </w:rPr>
              <w:t>一基地</w:t>
            </w:r>
            <w:r>
              <w:rPr>
                <w:rFonts w:ascii="Times New Roman" w:hAnsi="Times New Roman" w:eastAsia="Times New Roman"/>
                <w:sz w:val="21"/>
              </w:rPr>
              <w:t>”</w:t>
            </w:r>
            <w:r>
              <w:rPr>
                <w:spacing w:val="-5"/>
                <w:sz w:val="21"/>
              </w:rPr>
              <w:t>的空间发展格局，优化工业布局</w:t>
            </w:r>
            <w:r>
              <w:rPr>
                <w:spacing w:val="-4"/>
                <w:sz w:val="21"/>
              </w:rPr>
              <w:t>促进产业集群发展，引导企业向虞北新区、上</w:t>
            </w:r>
            <w:r>
              <w:rPr>
                <w:spacing w:val="-3"/>
                <w:sz w:val="21"/>
              </w:rPr>
              <w:t>虞经济开发区和重点工业功能区集中，由块状化的集聚式发展向园区化的集群式发展。</w:t>
            </w:r>
          </w:p>
          <w:p>
            <w:pPr>
              <w:pStyle w:val="TableParagraph"/>
              <w:spacing w:before="4"/>
              <w:ind w:left="75" w:right="68"/>
              <w:rPr>
                <w:sz w:val="21"/>
              </w:rPr>
            </w:pPr>
            <w:r>
              <w:rPr>
                <w:rFonts w:ascii="Times New Roman" w:hAnsi="Times New Roman" w:eastAsia="Times New Roman"/>
                <w:sz w:val="21"/>
              </w:rPr>
              <w:t>“</w:t>
            </w:r>
            <w:r>
              <w:rPr>
                <w:sz w:val="21"/>
              </w:rPr>
              <w:t>一环</w:t>
            </w:r>
            <w:r>
              <w:rPr>
                <w:rFonts w:ascii="Times New Roman" w:hAnsi="Times New Roman" w:eastAsia="Times New Roman"/>
                <w:sz w:val="21"/>
              </w:rPr>
              <w:t>”</w:t>
            </w:r>
            <w:r>
              <w:rPr>
                <w:sz w:val="21"/>
              </w:rPr>
              <w:t>，形成以上虞经济技术开发区为核心，</w:t>
            </w:r>
          </w:p>
          <w:p>
            <w:pPr>
              <w:pStyle w:val="TableParagraph"/>
              <w:spacing w:line="270" w:lineRule="atLeast" w:before="4"/>
              <w:ind w:left="81" w:right="72"/>
              <w:rPr>
                <w:sz w:val="21"/>
              </w:rPr>
            </w:pPr>
            <w:r>
              <w:rPr>
                <w:sz w:val="21"/>
              </w:rPr>
              <w:t>以百官、曹娥、东关等工业功能区为有机组成部分的机电、纺织、高新技术产业环。</w:t>
            </w:r>
          </w:p>
        </w:tc>
        <w:tc>
          <w:tcPr>
            <w:tcW w:w="3536" w:type="dxa"/>
          </w:tcPr>
          <w:p>
            <w:pPr>
              <w:pStyle w:val="TableParagraph"/>
              <w:spacing w:before="5"/>
              <w:jc w:val="left"/>
              <w:rPr>
                <w:b/>
                <w:sz w:val="21"/>
              </w:rPr>
            </w:pPr>
          </w:p>
          <w:p>
            <w:pPr>
              <w:pStyle w:val="TableParagraph"/>
              <w:spacing w:before="1"/>
              <w:ind w:left="-157" w:right="3468"/>
              <w:rPr>
                <w:sz w:val="21"/>
              </w:rPr>
            </w:pPr>
            <w:r>
              <w:rPr>
                <w:w w:val="100"/>
                <w:sz w:val="21"/>
              </w:rPr>
              <w:t>，</w:t>
            </w:r>
          </w:p>
          <w:p>
            <w:pPr>
              <w:pStyle w:val="TableParagraph"/>
              <w:spacing w:before="2"/>
              <w:ind w:left="-154" w:right="3466"/>
              <w:rPr>
                <w:sz w:val="21"/>
              </w:rPr>
            </w:pPr>
            <w:r>
              <w:rPr>
                <w:w w:val="100"/>
                <w:sz w:val="21"/>
              </w:rPr>
              <w:t>，</w:t>
            </w:r>
          </w:p>
          <w:p>
            <w:pPr>
              <w:pStyle w:val="TableParagraph"/>
              <w:spacing w:line="242" w:lineRule="auto" w:before="4"/>
              <w:ind w:left="86" w:right="72"/>
              <w:rPr>
                <w:sz w:val="21"/>
              </w:rPr>
            </w:pPr>
            <w:r>
              <w:rPr>
                <w:sz w:val="21"/>
              </w:rPr>
              <w:t>杭州湾上虞经济技术开发区即为市域规划中重要产业集聚地，</w:t>
            </w:r>
            <w:r>
              <w:rPr>
                <w:rFonts w:ascii="Times New Roman" w:hAnsi="Times New Roman" w:eastAsia="Times New Roman"/>
                <w:sz w:val="21"/>
              </w:rPr>
              <w:t>“</w:t>
            </w:r>
            <w:r>
              <w:rPr>
                <w:sz w:val="21"/>
              </w:rPr>
              <w:t>一环</w:t>
            </w:r>
            <w:r>
              <w:rPr>
                <w:rFonts w:ascii="Times New Roman" w:hAnsi="Times New Roman" w:eastAsia="Times New Roman"/>
                <w:sz w:val="21"/>
              </w:rPr>
              <w:t>”</w:t>
            </w:r>
            <w:r>
              <w:rPr>
                <w:sz w:val="21"/>
              </w:rPr>
              <w:t>的核心。</w:t>
            </w:r>
          </w:p>
        </w:tc>
        <w:tc>
          <w:tcPr>
            <w:tcW w:w="621"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
              <w:jc w:val="left"/>
              <w:rPr>
                <w:b/>
                <w:sz w:val="25"/>
              </w:rPr>
            </w:pPr>
          </w:p>
          <w:p>
            <w:pPr>
              <w:pStyle w:val="TableParagraph"/>
              <w:spacing w:before="1"/>
              <w:ind w:left="100"/>
              <w:jc w:val="left"/>
              <w:rPr>
                <w:sz w:val="21"/>
              </w:rPr>
            </w:pPr>
            <w:r>
              <w:rPr>
                <w:sz w:val="21"/>
              </w:rPr>
              <w:t>符合</w:t>
            </w:r>
          </w:p>
        </w:tc>
      </w:tr>
    </w:tbl>
    <w:p>
      <w:pPr>
        <w:spacing w:before="82"/>
        <w:ind w:left="838" w:right="0" w:firstLine="0"/>
        <w:jc w:val="both"/>
        <w:rPr>
          <w:sz w:val="24"/>
        </w:rPr>
      </w:pPr>
      <w:r>
        <w:rPr>
          <w:b/>
          <w:sz w:val="24"/>
        </w:rPr>
        <w:t>绍兴市上虞区城市总体规划符合性分析： </w:t>
      </w:r>
      <w:r>
        <w:rPr>
          <w:sz w:val="24"/>
        </w:rPr>
        <w:t>根据《上虞市城市总体规划》</w:t>
      </w:r>
    </w:p>
    <w:p>
      <w:pPr>
        <w:spacing w:line="364" w:lineRule="auto" w:before="160"/>
        <w:ind w:left="238" w:right="229" w:firstLine="0"/>
        <w:jc w:val="both"/>
        <w:rPr>
          <w:b/>
          <w:sz w:val="24"/>
        </w:rPr>
      </w:pPr>
      <w:r>
        <w:rPr>
          <w:sz w:val="24"/>
        </w:rPr>
        <w:t>（</w:t>
      </w:r>
      <w:r>
        <w:rPr>
          <w:rFonts w:ascii="Times New Roman" w:hAnsi="Times New Roman" w:eastAsia="Times New Roman"/>
          <w:sz w:val="24"/>
        </w:rPr>
        <w:t>2006~202</w:t>
      </w:r>
      <w:r>
        <w:rPr>
          <w:rFonts w:ascii="Times New Roman" w:hAnsi="Times New Roman" w:eastAsia="Times New Roman"/>
          <w:spacing w:val="-1"/>
          <w:sz w:val="24"/>
        </w:rPr>
        <w:t>0</w:t>
      </w:r>
      <w:r>
        <w:rPr>
          <w:spacing w:val="-120"/>
          <w:sz w:val="24"/>
        </w:rPr>
        <w:t>）</w:t>
      </w:r>
      <w:r>
        <w:rPr>
          <w:spacing w:val="-8"/>
          <w:sz w:val="24"/>
        </w:rPr>
        <w:t>，杭州湾上虞经济技术开发区建设符合上虞城市发展方向，</w:t>
      </w:r>
      <w:r>
        <w:rPr>
          <w:b/>
          <w:spacing w:val="-2"/>
          <w:w w:val="99"/>
          <w:sz w:val="24"/>
        </w:rPr>
        <w:t>项目生产农药</w:t>
      </w:r>
      <w:r>
        <w:rPr>
          <w:b/>
          <w:spacing w:val="-9"/>
          <w:w w:val="95"/>
          <w:sz w:val="24"/>
        </w:rPr>
        <w:t>产品，属于精细化工产业，符合“机电、化工、纺织”三大主导产业的发展。因此本项  </w:t>
      </w:r>
      <w:r>
        <w:rPr>
          <w:b/>
          <w:spacing w:val="-13"/>
          <w:sz w:val="24"/>
        </w:rPr>
        <w:t>目的建设符合绍兴市上虞区城市总体规划，项目在杭州湾上虞经济技术开发区建设符合上虞城市总体规划的发展方向。</w:t>
      </w:r>
    </w:p>
    <w:p>
      <w:pPr>
        <w:pStyle w:val="Heading4"/>
        <w:numPr>
          <w:ilvl w:val="2"/>
          <w:numId w:val="6"/>
        </w:numPr>
        <w:tabs>
          <w:tab w:pos="1019" w:val="left" w:leader="none"/>
        </w:tabs>
        <w:spacing w:line="240" w:lineRule="auto" w:before="3" w:after="0"/>
        <w:ind w:left="1018" w:right="0" w:hanging="541"/>
        <w:jc w:val="both"/>
      </w:pPr>
      <w:r>
        <w:rPr/>
        <w:t>绍兴市</w:t>
      </w:r>
      <w:r>
        <w:rPr>
          <w:rFonts w:ascii="Times New Roman" w:hAnsi="Times New Roman" w:eastAsia="Times New Roman"/>
        </w:rPr>
        <w:t>“</w:t>
      </w:r>
      <w:r>
        <w:rPr/>
        <w:t>三线一单</w:t>
      </w:r>
      <w:r>
        <w:rPr>
          <w:rFonts w:ascii="Times New Roman" w:hAnsi="Times New Roman" w:eastAsia="Times New Roman"/>
        </w:rPr>
        <w:t>”</w:t>
      </w:r>
      <w:r>
        <w:rPr/>
        <w:t>生态环境分区方案符合性分析</w:t>
      </w:r>
    </w:p>
    <w:p>
      <w:pPr>
        <w:pStyle w:val="BodyText"/>
        <w:spacing w:line="364" w:lineRule="auto" w:before="161"/>
        <w:ind w:left="238" w:right="232" w:firstLine="480"/>
        <w:jc w:val="both"/>
      </w:pPr>
      <w:r>
        <w:rPr/>
        <w:t>《绍兴市</w:t>
      </w:r>
      <w:r>
        <w:rPr>
          <w:rFonts w:ascii="Times New Roman" w:hAnsi="Times New Roman" w:eastAsia="Times New Roman"/>
        </w:rPr>
        <w:t>“</w:t>
      </w:r>
      <w:r>
        <w:rPr/>
        <w:t>三线一单</w:t>
      </w:r>
      <w:r>
        <w:rPr>
          <w:rFonts w:ascii="Times New Roman" w:hAnsi="Times New Roman" w:eastAsia="Times New Roman"/>
        </w:rPr>
        <w:t>”</w:t>
      </w:r>
      <w:r>
        <w:rPr>
          <w:spacing w:val="-4"/>
        </w:rPr>
        <w:t>生态环境分区管控方案》已由绍兴市政府批准，并由绍兴市生</w:t>
      </w:r>
      <w:r>
        <w:rPr>
          <w:spacing w:val="-11"/>
        </w:rPr>
        <w:t>态环境发布</w:t>
      </w:r>
      <w:r>
        <w:rPr/>
        <w:t>（绍市环发</w:t>
      </w:r>
      <w:r>
        <w:rPr>
          <w:rFonts w:ascii="Times New Roman" w:hAnsi="Times New Roman" w:eastAsia="Times New Roman"/>
        </w:rPr>
        <w:t>[2020]36 </w:t>
      </w:r>
      <w:r>
        <w:rPr/>
        <w:t>号</w:t>
      </w:r>
      <w:r>
        <w:rPr>
          <w:spacing w:val="-53"/>
        </w:rPr>
        <w:t>），</w:t>
      </w:r>
      <w:r>
        <w:rPr>
          <w:spacing w:val="-10"/>
        </w:rPr>
        <w:t>根据该管控方案，绍兴市共划定环境管控单元 </w:t>
      </w:r>
      <w:r>
        <w:rPr>
          <w:rFonts w:ascii="Times New Roman" w:hAnsi="Times New Roman" w:eastAsia="Times New Roman"/>
          <w:spacing w:val="-5"/>
        </w:rPr>
        <w:t>203 </w:t>
      </w:r>
      <w:r>
        <w:rPr>
          <w:spacing w:val="-3"/>
        </w:rPr>
        <w:t>个。其中优先保护单元 </w:t>
      </w:r>
      <w:r>
        <w:rPr>
          <w:rFonts w:ascii="Times New Roman" w:hAnsi="Times New Roman" w:eastAsia="Times New Roman"/>
        </w:rPr>
        <w:t>110 </w:t>
      </w:r>
      <w:r>
        <w:rPr>
          <w:spacing w:val="-3"/>
        </w:rPr>
        <w:t>个，占全市总面积的 </w:t>
      </w:r>
      <w:r>
        <w:rPr>
          <w:rFonts w:ascii="Times New Roman" w:hAnsi="Times New Roman" w:eastAsia="Times New Roman"/>
        </w:rPr>
        <w:t>41.31%</w:t>
      </w:r>
      <w:r>
        <w:rPr>
          <w:spacing w:val="-2"/>
        </w:rPr>
        <w:t>，主要为自然保护区、风景名</w:t>
      </w:r>
      <w:r>
        <w:rPr>
          <w:spacing w:val="-8"/>
        </w:rPr>
        <w:t>胜区、森林公园、湿地公园及重要湿地、饮用水源保护区、生态公益林等重要保护地以</w:t>
      </w:r>
      <w:r>
        <w:rPr>
          <w:spacing w:val="-3"/>
        </w:rPr>
        <w:t>及生态功能较重要的地区。重点管控单元 </w:t>
      </w:r>
      <w:r>
        <w:rPr>
          <w:rFonts w:ascii="Times New Roman" w:hAnsi="Times New Roman" w:eastAsia="Times New Roman"/>
        </w:rPr>
        <w:t>87 </w:t>
      </w:r>
      <w:r>
        <w:rPr>
          <w:spacing w:val="-4"/>
        </w:rPr>
        <w:t>个，占全市总面积的 </w:t>
      </w:r>
      <w:r>
        <w:rPr>
          <w:rFonts w:ascii="Times New Roman" w:hAnsi="Times New Roman" w:eastAsia="Times New Roman"/>
        </w:rPr>
        <w:t>17.06%</w:t>
      </w:r>
      <w:r>
        <w:rPr>
          <w:spacing w:val="-10"/>
        </w:rPr>
        <w:t>，包括 </w:t>
      </w:r>
      <w:r>
        <w:rPr>
          <w:rFonts w:ascii="Times New Roman" w:hAnsi="Times New Roman" w:eastAsia="Times New Roman"/>
        </w:rPr>
        <w:t>46 </w:t>
      </w:r>
      <w:r>
        <w:rPr/>
        <w:t>个</w:t>
      </w:r>
      <w:r>
        <w:rPr>
          <w:spacing w:val="-5"/>
        </w:rPr>
        <w:t>产业集聚重点管控单元，主要为工业发展集中区域；</w:t>
      </w:r>
      <w:r>
        <w:rPr>
          <w:rFonts w:ascii="Times New Roman" w:hAnsi="Times New Roman" w:eastAsia="Times New Roman"/>
          <w:spacing w:val="-12"/>
        </w:rPr>
        <w:t>41 </w:t>
      </w:r>
      <w:r>
        <w:rPr>
          <w:spacing w:val="-4"/>
        </w:rPr>
        <w:t>个城镇生活重点管控单元，主要</w:t>
      </w:r>
      <w:r>
        <w:rPr>
          <w:spacing w:val="-2"/>
        </w:rPr>
        <w:t>为城镇建设集中区域。一般管控单元 </w:t>
      </w:r>
      <w:r>
        <w:rPr>
          <w:rFonts w:ascii="Times New Roman" w:hAnsi="Times New Roman" w:eastAsia="Times New Roman"/>
        </w:rPr>
        <w:t>6 </w:t>
      </w:r>
      <w:r>
        <w:rPr>
          <w:spacing w:val="-3"/>
        </w:rPr>
        <w:t>个，占全市总面积的 </w:t>
      </w:r>
      <w:r>
        <w:rPr>
          <w:rFonts w:ascii="Times New Roman" w:hAnsi="Times New Roman" w:eastAsia="Times New Roman"/>
        </w:rPr>
        <w:t>41.63%</w:t>
      </w:r>
      <w:r>
        <w:rPr>
          <w:spacing w:val="-2"/>
        </w:rPr>
        <w:t>。基于区域发展格</w:t>
      </w:r>
      <w:r>
        <w:rPr>
          <w:spacing w:val="-7"/>
        </w:rPr>
        <w:t>局特征、生态环境功能定位、环境质量目标和环境风险管控要求，建立了市级总体、不</w:t>
      </w:r>
      <w:r>
        <w:rPr/>
        <w:t>同单元类别、不同环境管控单元的多层级生态环境准入清单体系。</w:t>
      </w:r>
    </w:p>
    <w:p>
      <w:pPr>
        <w:pStyle w:val="BodyText"/>
        <w:spacing w:line="364" w:lineRule="auto" w:before="5"/>
        <w:ind w:left="238" w:right="196" w:firstLine="480"/>
        <w:jc w:val="both"/>
      </w:pPr>
      <w:r>
        <w:rPr>
          <w:spacing w:val="-3"/>
        </w:rPr>
        <w:t>根据《绍兴市</w:t>
      </w:r>
      <w:r>
        <w:rPr>
          <w:rFonts w:ascii="Times New Roman" w:hAnsi="Times New Roman" w:eastAsia="Times New Roman"/>
        </w:rPr>
        <w:t>“</w:t>
      </w:r>
      <w:r>
        <w:rPr/>
        <w:t>三线一单</w:t>
      </w:r>
      <w:r>
        <w:rPr>
          <w:rFonts w:ascii="Times New Roman" w:hAnsi="Times New Roman" w:eastAsia="Times New Roman"/>
        </w:rPr>
        <w:t>”</w:t>
      </w:r>
      <w:r>
        <w:rPr>
          <w:spacing w:val="-2"/>
        </w:rPr>
        <w:t>生态环境分区管控方案》，项目所在区域属于重点管控单</w:t>
      </w:r>
      <w:r>
        <w:rPr>
          <w:spacing w:val="36"/>
        </w:rPr>
        <w:t>元（</w:t>
      </w:r>
      <w:r>
        <w:rPr>
          <w:spacing w:val="35"/>
        </w:rPr>
        <w:t>产业集聚</w:t>
      </w:r>
      <w:r>
        <w:rPr/>
        <w:t>）</w:t>
      </w:r>
      <w:r>
        <w:rPr>
          <w:spacing w:val="-84"/>
        </w:rPr>
        <w:t> </w:t>
      </w:r>
      <w:r>
        <w:rPr>
          <w:rFonts w:ascii="Times New Roman" w:hAnsi="Times New Roman" w:eastAsia="Times New Roman"/>
          <w:spacing w:val="-12"/>
        </w:rPr>
        <w:t>— </w:t>
      </w:r>
      <w:r>
        <w:rPr>
          <w:spacing w:val="36"/>
        </w:rPr>
        <w:t>上虞区杭州湾经济开发区产业集聚重点管控单元</w:t>
      </w:r>
      <w:r>
        <w:rPr/>
        <w:t>（</w:t>
      </w:r>
      <w:r>
        <w:rPr>
          <w:spacing w:val="-3"/>
        </w:rPr>
        <w:t> 编号： </w:t>
      </w:r>
      <w:r>
        <w:rPr>
          <w:rFonts w:ascii="Times New Roman" w:hAnsi="Times New Roman" w:eastAsia="Times New Roman"/>
          <w:spacing w:val="-3"/>
        </w:rPr>
        <w:t>ZH33060420002</w:t>
      </w:r>
      <w:r>
        <w:rPr>
          <w:spacing w:val="-3"/>
        </w:rPr>
        <w:t>），符合性分析如下。</w:t>
      </w:r>
    </w:p>
    <w:p>
      <w:pPr>
        <w:pStyle w:val="Heading4"/>
        <w:spacing w:before="65" w:after="29"/>
        <w:ind w:left="1630"/>
        <w:jc w:val="both"/>
      </w:pPr>
      <w:r>
        <w:rPr/>
        <w:t>表 </w:t>
      </w:r>
      <w:r>
        <w:rPr>
          <w:rFonts w:ascii="Times New Roman" w:hAnsi="Times New Roman" w:eastAsia="Times New Roman"/>
        </w:rPr>
        <w:t>2.6.2-1 </w:t>
      </w:r>
      <w:r>
        <w:rPr/>
        <w:t>绍兴市</w:t>
      </w:r>
      <w:r>
        <w:rPr>
          <w:rFonts w:ascii="Times New Roman" w:hAnsi="Times New Roman" w:eastAsia="Times New Roman"/>
        </w:rPr>
        <w:t>“</w:t>
      </w:r>
      <w:r>
        <w:rPr/>
        <w:t>三线一单</w:t>
      </w:r>
      <w:r>
        <w:rPr>
          <w:rFonts w:ascii="Times New Roman" w:hAnsi="Times New Roman" w:eastAsia="Times New Roman"/>
        </w:rPr>
        <w:t>”</w:t>
      </w:r>
      <w:r>
        <w:rPr/>
        <w:t>生态环境分区方案符合性分析</w:t>
      </w:r>
    </w:p>
    <w:tbl>
      <w:tblPr>
        <w:tblW w:w="0" w:type="auto"/>
        <w:jc w:val="left"/>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4482"/>
        <w:gridCol w:w="4058"/>
      </w:tblGrid>
      <w:tr>
        <w:trPr>
          <w:trHeight w:val="311" w:hRule="atLeast"/>
        </w:trPr>
        <w:tc>
          <w:tcPr>
            <w:tcW w:w="557" w:type="dxa"/>
          </w:tcPr>
          <w:p>
            <w:pPr>
              <w:pStyle w:val="TableParagraph"/>
              <w:spacing w:before="22"/>
              <w:ind w:left="47" w:right="38"/>
              <w:rPr>
                <w:b/>
                <w:sz w:val="21"/>
              </w:rPr>
            </w:pPr>
            <w:r>
              <w:rPr>
                <w:b/>
                <w:sz w:val="21"/>
              </w:rPr>
              <w:t>序号</w:t>
            </w:r>
          </w:p>
        </w:tc>
        <w:tc>
          <w:tcPr>
            <w:tcW w:w="4482" w:type="dxa"/>
          </w:tcPr>
          <w:p>
            <w:pPr>
              <w:pStyle w:val="TableParagraph"/>
              <w:spacing w:before="22"/>
              <w:ind w:left="26"/>
              <w:jc w:val="left"/>
              <w:rPr>
                <w:b/>
                <w:sz w:val="21"/>
              </w:rPr>
            </w:pPr>
            <w:r>
              <w:rPr>
                <w:b/>
                <w:sz w:val="21"/>
              </w:rPr>
              <w:t>上虞区杭州湾经济开发区产业集聚重点管控单元</w:t>
            </w:r>
          </w:p>
        </w:tc>
        <w:tc>
          <w:tcPr>
            <w:tcW w:w="4058" w:type="dxa"/>
          </w:tcPr>
          <w:p>
            <w:pPr>
              <w:pStyle w:val="TableParagraph"/>
              <w:spacing w:before="22"/>
              <w:ind w:left="1374" w:right="1368"/>
              <w:rPr>
                <w:b/>
                <w:sz w:val="21"/>
              </w:rPr>
            </w:pPr>
            <w:r>
              <w:rPr>
                <w:b/>
                <w:sz w:val="21"/>
              </w:rPr>
              <w:t>本项目符合性</w:t>
            </w:r>
          </w:p>
        </w:tc>
      </w:tr>
      <w:tr>
        <w:trPr>
          <w:trHeight w:val="1907" w:hRule="atLeast"/>
        </w:trPr>
        <w:tc>
          <w:tcPr>
            <w:tcW w:w="557" w:type="dxa"/>
          </w:tcPr>
          <w:p>
            <w:pPr>
              <w:pStyle w:val="TableParagraph"/>
              <w:jc w:val="left"/>
              <w:rPr>
                <w:b/>
                <w:sz w:val="22"/>
              </w:rPr>
            </w:pPr>
          </w:p>
          <w:p>
            <w:pPr>
              <w:pStyle w:val="TableParagraph"/>
              <w:jc w:val="left"/>
              <w:rPr>
                <w:b/>
                <w:sz w:val="22"/>
              </w:rPr>
            </w:pPr>
          </w:p>
          <w:p>
            <w:pPr>
              <w:pStyle w:val="TableParagraph"/>
              <w:jc w:val="left"/>
              <w:rPr>
                <w:b/>
                <w:sz w:val="21"/>
              </w:rPr>
            </w:pPr>
          </w:p>
          <w:p>
            <w:pPr>
              <w:pStyle w:val="TableParagraph"/>
              <w:ind w:left="9"/>
              <w:rPr>
                <w:rFonts w:ascii="Times New Roman"/>
                <w:sz w:val="21"/>
              </w:rPr>
            </w:pPr>
            <w:r>
              <w:rPr>
                <w:rFonts w:ascii="Times New Roman"/>
                <w:w w:val="100"/>
                <w:sz w:val="21"/>
              </w:rPr>
              <w:t>1</w:t>
            </w:r>
          </w:p>
        </w:tc>
        <w:tc>
          <w:tcPr>
            <w:tcW w:w="4482" w:type="dxa"/>
          </w:tcPr>
          <w:p>
            <w:pPr>
              <w:pStyle w:val="TableParagraph"/>
              <w:spacing w:before="1"/>
              <w:ind w:left="9"/>
              <w:jc w:val="left"/>
              <w:rPr>
                <w:b/>
                <w:sz w:val="21"/>
              </w:rPr>
            </w:pPr>
            <w:r>
              <w:rPr>
                <w:b/>
                <w:sz w:val="21"/>
              </w:rPr>
              <w:t>空间布局约束：</w:t>
            </w:r>
          </w:p>
          <w:p>
            <w:pPr>
              <w:pStyle w:val="TableParagraph"/>
              <w:spacing w:line="242" w:lineRule="auto" w:before="4"/>
              <w:ind w:left="9"/>
              <w:jc w:val="left"/>
              <w:rPr>
                <w:sz w:val="21"/>
              </w:rPr>
            </w:pPr>
            <w:r>
              <w:rPr>
                <w:rFonts w:ascii="Times New Roman" w:eastAsia="Times New Roman"/>
                <w:sz w:val="21"/>
              </w:rPr>
              <w:t>1</w:t>
            </w:r>
            <w:r>
              <w:rPr>
                <w:spacing w:val="-10"/>
                <w:sz w:val="21"/>
              </w:rPr>
              <w:t>、优化产业布局和结构，实施分区差别化的产业</w:t>
            </w:r>
            <w:r>
              <w:rPr>
                <w:spacing w:val="-1"/>
                <w:sz w:val="21"/>
              </w:rPr>
              <w:t>准入条件。</w:t>
            </w:r>
          </w:p>
          <w:p>
            <w:pPr>
              <w:pStyle w:val="TableParagraph"/>
              <w:spacing w:line="242" w:lineRule="auto" w:before="2"/>
              <w:ind w:left="9" w:right="-15"/>
              <w:jc w:val="both"/>
              <w:rPr>
                <w:sz w:val="21"/>
              </w:rPr>
            </w:pPr>
            <w:r>
              <w:rPr>
                <w:rFonts w:ascii="Times New Roman" w:eastAsia="Times New Roman"/>
                <w:sz w:val="21"/>
              </w:rPr>
              <w:t>2</w:t>
            </w:r>
            <w:r>
              <w:rPr>
                <w:spacing w:val="-9"/>
                <w:sz w:val="21"/>
              </w:rPr>
              <w:t>、合理规划布局三类工业项目，控制三类工业项</w:t>
            </w:r>
            <w:r>
              <w:rPr>
                <w:spacing w:val="-5"/>
                <w:sz w:val="21"/>
              </w:rPr>
              <w:t>目布局范围和总体规模，鼓励对现有三类工业项</w:t>
            </w:r>
            <w:r>
              <w:rPr>
                <w:spacing w:val="-4"/>
                <w:sz w:val="21"/>
              </w:rPr>
              <w:t>目进行淘汰和提升改造。</w:t>
            </w:r>
          </w:p>
          <w:p>
            <w:pPr>
              <w:pStyle w:val="TableParagraph"/>
              <w:spacing w:line="252" w:lineRule="exact"/>
              <w:ind w:left="9" w:right="-15"/>
              <w:jc w:val="left"/>
              <w:rPr>
                <w:sz w:val="21"/>
              </w:rPr>
            </w:pPr>
            <w:r>
              <w:rPr>
                <w:rFonts w:ascii="Times New Roman" w:eastAsia="Times New Roman"/>
                <w:sz w:val="21"/>
              </w:rPr>
              <w:t>3</w:t>
            </w:r>
            <w:r>
              <w:rPr>
                <w:spacing w:val="-9"/>
                <w:sz w:val="21"/>
              </w:rPr>
              <w:t>、合理规划居住区与工业功能区，在居住区和工</w:t>
            </w:r>
          </w:p>
        </w:tc>
        <w:tc>
          <w:tcPr>
            <w:tcW w:w="4058" w:type="dxa"/>
          </w:tcPr>
          <w:p>
            <w:pPr>
              <w:pStyle w:val="TableParagraph"/>
              <w:spacing w:before="137"/>
              <w:ind w:left="10"/>
              <w:jc w:val="left"/>
              <w:rPr>
                <w:b/>
                <w:sz w:val="21"/>
              </w:rPr>
            </w:pPr>
            <w:r>
              <w:rPr>
                <w:b/>
                <w:sz w:val="21"/>
              </w:rPr>
              <w:t>符合。</w:t>
            </w:r>
          </w:p>
          <w:p>
            <w:pPr>
              <w:pStyle w:val="TableParagraph"/>
              <w:spacing w:line="242" w:lineRule="auto" w:before="3"/>
              <w:ind w:left="10" w:right="40"/>
              <w:jc w:val="both"/>
              <w:rPr>
                <w:sz w:val="21"/>
              </w:rPr>
            </w:pPr>
            <w:r>
              <w:rPr>
                <w:sz w:val="21"/>
              </w:rPr>
              <w:t>本项目为农药产品制造，符合区域发展定位及产业政策；本项目为三类工业项目，现有项目已按照园区标准化进行建设；项目所在地远离规划居住区，园区已设置了防护绿地隔离带，项目并不属于畜禽养殖行业。</w:t>
            </w:r>
          </w:p>
        </w:tc>
      </w:tr>
    </w:tbl>
    <w:p>
      <w:pPr>
        <w:spacing w:after="0" w:line="242" w:lineRule="auto"/>
        <w:jc w:val="both"/>
        <w:rPr>
          <w:sz w:val="21"/>
        </w:rPr>
        <w:sectPr>
          <w:pgSz w:w="11910" w:h="16840"/>
          <w:pgMar w:header="874" w:footer="944" w:top="1340" w:bottom="1140" w:left="1180" w:right="11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9"/>
        </w:rPr>
      </w:pPr>
    </w:p>
    <w:p>
      <w:pPr>
        <w:spacing w:before="71"/>
        <w:ind w:left="0" w:right="124" w:firstLine="0"/>
        <w:jc w:val="right"/>
        <w:rPr>
          <w:sz w:val="21"/>
        </w:rPr>
      </w:pPr>
      <w:r>
        <w:rPr/>
        <w:pict>
          <v:shape style="position:absolute;margin-left:70.103996pt;margin-top:-149.770004pt;width:455.5pt;height:399.95pt;mso-position-horizontal-relative:page;mso-position-vertical-relative:paragraph;z-index:25167155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4482"/>
                    <w:gridCol w:w="4058"/>
                  </w:tblGrid>
                  <w:tr>
                    <w:trPr>
                      <w:trHeight w:val="311" w:hRule="atLeast"/>
                    </w:trPr>
                    <w:tc>
                      <w:tcPr>
                        <w:tcW w:w="557" w:type="dxa"/>
                      </w:tcPr>
                      <w:p>
                        <w:pPr>
                          <w:pStyle w:val="TableParagraph"/>
                          <w:spacing w:before="22"/>
                          <w:ind w:left="47" w:right="38"/>
                          <w:rPr>
                            <w:b/>
                            <w:sz w:val="21"/>
                          </w:rPr>
                        </w:pPr>
                        <w:r>
                          <w:rPr>
                            <w:b/>
                            <w:sz w:val="21"/>
                          </w:rPr>
                          <w:t>序号</w:t>
                        </w:r>
                      </w:p>
                    </w:tc>
                    <w:tc>
                      <w:tcPr>
                        <w:tcW w:w="4482" w:type="dxa"/>
                      </w:tcPr>
                      <w:p>
                        <w:pPr>
                          <w:pStyle w:val="TableParagraph"/>
                          <w:spacing w:before="22"/>
                          <w:ind w:left="26"/>
                          <w:jc w:val="left"/>
                          <w:rPr>
                            <w:b/>
                            <w:sz w:val="21"/>
                          </w:rPr>
                        </w:pPr>
                        <w:r>
                          <w:rPr>
                            <w:b/>
                            <w:sz w:val="21"/>
                          </w:rPr>
                          <w:t>上虞区杭州湾经济开发区产业集聚重点管控单元</w:t>
                        </w:r>
                      </w:p>
                    </w:tc>
                    <w:tc>
                      <w:tcPr>
                        <w:tcW w:w="4058" w:type="dxa"/>
                      </w:tcPr>
                      <w:p>
                        <w:pPr>
                          <w:pStyle w:val="TableParagraph"/>
                          <w:spacing w:before="22"/>
                          <w:ind w:left="1374" w:right="1368"/>
                          <w:rPr>
                            <w:b/>
                            <w:sz w:val="21"/>
                          </w:rPr>
                        </w:pPr>
                        <w:r>
                          <w:rPr>
                            <w:b/>
                            <w:sz w:val="21"/>
                          </w:rPr>
                          <w:t>本项目符合性</w:t>
                        </w:r>
                      </w:p>
                    </w:tc>
                  </w:tr>
                  <w:tr>
                    <w:trPr>
                      <w:trHeight w:val="818" w:hRule="atLeast"/>
                    </w:trPr>
                    <w:tc>
                      <w:tcPr>
                        <w:tcW w:w="557" w:type="dxa"/>
                      </w:tcPr>
                      <w:p>
                        <w:pPr>
                          <w:pStyle w:val="TableParagraph"/>
                          <w:jc w:val="left"/>
                          <w:rPr>
                            <w:rFonts w:ascii="Times New Roman"/>
                            <w:sz w:val="20"/>
                          </w:rPr>
                        </w:pPr>
                      </w:p>
                    </w:tc>
                    <w:tc>
                      <w:tcPr>
                        <w:tcW w:w="4482" w:type="dxa"/>
                      </w:tcPr>
                      <w:p>
                        <w:pPr>
                          <w:pStyle w:val="TableParagraph"/>
                          <w:spacing w:line="244" w:lineRule="auto" w:before="1"/>
                          <w:ind w:left="9" w:right="46"/>
                          <w:jc w:val="left"/>
                          <w:rPr>
                            <w:sz w:val="21"/>
                          </w:rPr>
                        </w:pPr>
                        <w:r>
                          <w:rPr>
                            <w:sz w:val="21"/>
                          </w:rPr>
                          <w:t>业区、工业企业之间设置防护绿地、生态绿地等隔离带。</w:t>
                        </w:r>
                      </w:p>
                      <w:p>
                        <w:pPr>
                          <w:pStyle w:val="TableParagraph"/>
                          <w:spacing w:line="248" w:lineRule="exact"/>
                          <w:ind w:left="9"/>
                          <w:jc w:val="left"/>
                          <w:rPr>
                            <w:sz w:val="21"/>
                          </w:rPr>
                        </w:pPr>
                        <w:r>
                          <w:rPr>
                            <w:rFonts w:ascii="Times New Roman" w:eastAsia="Times New Roman"/>
                            <w:sz w:val="21"/>
                          </w:rPr>
                          <w:t>4</w:t>
                        </w:r>
                        <w:r>
                          <w:rPr>
                            <w:sz w:val="21"/>
                          </w:rPr>
                          <w:t>、严格执行畜禽养殖禁养区规定。</w:t>
                        </w:r>
                      </w:p>
                    </w:tc>
                    <w:tc>
                      <w:tcPr>
                        <w:tcW w:w="4058" w:type="dxa"/>
                      </w:tcPr>
                      <w:p>
                        <w:pPr>
                          <w:pStyle w:val="TableParagraph"/>
                          <w:jc w:val="left"/>
                          <w:rPr>
                            <w:rFonts w:ascii="Times New Roman"/>
                            <w:sz w:val="20"/>
                          </w:rPr>
                        </w:pPr>
                      </w:p>
                    </w:tc>
                  </w:tr>
                  <w:tr>
                    <w:trPr>
                      <w:trHeight w:val="3540" w:hRule="atLeast"/>
                    </w:trPr>
                    <w:tc>
                      <w:tcPr>
                        <w:tcW w:w="557" w:type="dxa"/>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9"/>
                          <w:jc w:val="left"/>
                          <w:rPr>
                            <w:sz w:val="18"/>
                          </w:rPr>
                        </w:pPr>
                      </w:p>
                      <w:p>
                        <w:pPr>
                          <w:pStyle w:val="TableParagraph"/>
                          <w:ind w:left="9"/>
                          <w:rPr>
                            <w:rFonts w:ascii="Times New Roman"/>
                            <w:sz w:val="21"/>
                          </w:rPr>
                        </w:pPr>
                        <w:r>
                          <w:rPr>
                            <w:rFonts w:ascii="Times New Roman"/>
                            <w:w w:val="100"/>
                            <w:sz w:val="21"/>
                          </w:rPr>
                          <w:t>2</w:t>
                        </w:r>
                      </w:p>
                    </w:tc>
                    <w:tc>
                      <w:tcPr>
                        <w:tcW w:w="4482" w:type="dxa"/>
                      </w:tcPr>
                      <w:p>
                        <w:pPr>
                          <w:pStyle w:val="TableParagraph"/>
                          <w:jc w:val="left"/>
                          <w:rPr>
                            <w:sz w:val="20"/>
                          </w:rPr>
                        </w:pPr>
                      </w:p>
                      <w:p>
                        <w:pPr>
                          <w:pStyle w:val="TableParagraph"/>
                          <w:spacing w:before="7"/>
                          <w:jc w:val="left"/>
                          <w:rPr>
                            <w:sz w:val="22"/>
                          </w:rPr>
                        </w:pPr>
                      </w:p>
                      <w:p>
                        <w:pPr>
                          <w:pStyle w:val="TableParagraph"/>
                          <w:ind w:left="9"/>
                          <w:jc w:val="left"/>
                          <w:rPr>
                            <w:b/>
                            <w:sz w:val="21"/>
                          </w:rPr>
                        </w:pPr>
                        <w:r>
                          <w:rPr>
                            <w:b/>
                            <w:sz w:val="21"/>
                          </w:rPr>
                          <w:t>污染物排放管控：</w:t>
                        </w:r>
                      </w:p>
                      <w:p>
                        <w:pPr>
                          <w:pStyle w:val="TableParagraph"/>
                          <w:spacing w:line="244" w:lineRule="auto" w:before="3"/>
                          <w:ind w:left="9" w:right="-15"/>
                          <w:jc w:val="left"/>
                          <w:rPr>
                            <w:sz w:val="21"/>
                          </w:rPr>
                        </w:pPr>
                        <w:r>
                          <w:rPr>
                            <w:rFonts w:ascii="Times New Roman" w:eastAsia="Times New Roman"/>
                            <w:sz w:val="21"/>
                          </w:rPr>
                          <w:t>1</w:t>
                        </w:r>
                        <w:r>
                          <w:rPr>
                            <w:spacing w:val="-9"/>
                            <w:sz w:val="21"/>
                          </w:rPr>
                          <w:t>、严格实施污染物总量控制制度，根据区域环境</w:t>
                        </w:r>
                        <w:r>
                          <w:rPr>
                            <w:spacing w:val="-5"/>
                            <w:sz w:val="21"/>
                          </w:rPr>
                          <w:t>质量改善目标，削减污染物排放总量。</w:t>
                        </w:r>
                      </w:p>
                      <w:p>
                        <w:pPr>
                          <w:pStyle w:val="TableParagraph"/>
                          <w:spacing w:line="244" w:lineRule="auto"/>
                          <w:ind w:left="9"/>
                          <w:jc w:val="left"/>
                          <w:rPr>
                            <w:sz w:val="21"/>
                          </w:rPr>
                        </w:pPr>
                        <w:r>
                          <w:rPr>
                            <w:rFonts w:ascii="Times New Roman" w:eastAsia="Times New Roman"/>
                            <w:sz w:val="21"/>
                          </w:rPr>
                          <w:t>2</w:t>
                        </w:r>
                        <w:r>
                          <w:rPr>
                            <w:spacing w:val="-10"/>
                            <w:sz w:val="21"/>
                          </w:rPr>
                          <w:t>、新建二类、三类工业项目污染物排放水平要达</w:t>
                        </w:r>
                        <w:r>
                          <w:rPr>
                            <w:spacing w:val="-3"/>
                            <w:sz w:val="21"/>
                          </w:rPr>
                          <w:t>到同行业国内先进水平。</w:t>
                        </w:r>
                      </w:p>
                      <w:p>
                        <w:pPr>
                          <w:pStyle w:val="TableParagraph"/>
                          <w:spacing w:line="242" w:lineRule="auto"/>
                          <w:ind w:left="9" w:right="-15"/>
                          <w:jc w:val="left"/>
                          <w:rPr>
                            <w:sz w:val="21"/>
                          </w:rPr>
                        </w:pPr>
                        <w:r>
                          <w:rPr>
                            <w:rFonts w:ascii="Times New Roman" w:hAnsi="Times New Roman" w:eastAsia="Times New Roman"/>
                            <w:sz w:val="21"/>
                          </w:rPr>
                          <w:t>3</w:t>
                        </w:r>
                        <w:r>
                          <w:rPr>
                            <w:spacing w:val="-8"/>
                            <w:sz w:val="21"/>
                          </w:rPr>
                          <w:t>、加快落实污水处理厂建设及提升改造项目，推</w:t>
                        </w:r>
                        <w:r>
                          <w:rPr>
                            <w:spacing w:val="-6"/>
                            <w:sz w:val="21"/>
                          </w:rPr>
                          <w:t>进工业园区</w:t>
                        </w:r>
                        <w:r>
                          <w:rPr>
                            <w:sz w:val="21"/>
                          </w:rPr>
                          <w:t>（</w:t>
                        </w:r>
                        <w:r>
                          <w:rPr>
                            <w:spacing w:val="-3"/>
                            <w:sz w:val="21"/>
                          </w:rPr>
                          <w:t>工业企业）</w:t>
                        </w:r>
                        <w:r>
                          <w:rPr>
                            <w:rFonts w:ascii="Times New Roman" w:hAnsi="Times New Roman" w:eastAsia="Times New Roman"/>
                            <w:spacing w:val="-3"/>
                            <w:sz w:val="21"/>
                          </w:rPr>
                          <w:t>“</w:t>
                        </w:r>
                        <w:r>
                          <w:rPr>
                            <w:spacing w:val="-2"/>
                            <w:sz w:val="21"/>
                          </w:rPr>
                          <w:t>污水零直排区</w:t>
                        </w:r>
                        <w:r>
                          <w:rPr>
                            <w:rFonts w:ascii="Times New Roman" w:hAnsi="Times New Roman" w:eastAsia="Times New Roman"/>
                            <w:spacing w:val="-3"/>
                            <w:sz w:val="21"/>
                          </w:rPr>
                          <w:t>”</w:t>
                        </w:r>
                        <w:r>
                          <w:rPr>
                            <w:spacing w:val="-2"/>
                            <w:sz w:val="21"/>
                          </w:rPr>
                          <w:t>建设， </w:t>
                        </w:r>
                        <w:r>
                          <w:rPr>
                            <w:spacing w:val="-3"/>
                            <w:sz w:val="21"/>
                          </w:rPr>
                          <w:t>所有企业实现雨污分流。</w:t>
                        </w:r>
                      </w:p>
                      <w:p>
                        <w:pPr>
                          <w:pStyle w:val="TableParagraph"/>
                          <w:ind w:left="9"/>
                          <w:jc w:val="left"/>
                          <w:rPr>
                            <w:sz w:val="21"/>
                          </w:rPr>
                        </w:pPr>
                        <w:r>
                          <w:rPr>
                            <w:rFonts w:ascii="Times New Roman" w:eastAsia="Times New Roman"/>
                            <w:sz w:val="21"/>
                          </w:rPr>
                          <w:t>4</w:t>
                        </w:r>
                        <w:r>
                          <w:rPr>
                            <w:sz w:val="21"/>
                          </w:rPr>
                          <w:t>、加强土壤和地下水污染防治与修复。</w:t>
                        </w:r>
                      </w:p>
                    </w:tc>
                    <w:tc>
                      <w:tcPr>
                        <w:tcW w:w="4058" w:type="dxa"/>
                      </w:tcPr>
                      <w:p>
                        <w:pPr>
                          <w:pStyle w:val="TableParagraph"/>
                          <w:spacing w:before="1"/>
                          <w:ind w:left="10"/>
                          <w:jc w:val="left"/>
                          <w:rPr>
                            <w:b/>
                            <w:sz w:val="21"/>
                          </w:rPr>
                        </w:pPr>
                        <w:r>
                          <w:rPr>
                            <w:b/>
                            <w:sz w:val="21"/>
                          </w:rPr>
                          <w:t>符合。</w:t>
                        </w:r>
                      </w:p>
                      <w:p>
                        <w:pPr>
                          <w:pStyle w:val="TableParagraph"/>
                          <w:spacing w:line="242" w:lineRule="auto" w:before="2"/>
                          <w:ind w:left="10" w:right="40"/>
                          <w:jc w:val="both"/>
                          <w:rPr>
                            <w:sz w:val="21"/>
                          </w:rPr>
                        </w:pPr>
                        <w:r>
                          <w:rPr>
                            <w:sz w:val="21"/>
                          </w:rPr>
                          <w:t>本项目严格实施各项污染防治措施，新增废水、废气总量指标按照比例进行区域调剂或排污权交易解决。从预测的结果看本次项目造成的环境影响符合建设项目所在地环境功能区划确定的环境质量要求，不影响盖北镇居民的正常生活。</w:t>
                        </w:r>
                      </w:p>
                      <w:p>
                        <w:pPr>
                          <w:pStyle w:val="TableParagraph"/>
                          <w:spacing w:line="242" w:lineRule="auto" w:before="4"/>
                          <w:ind w:left="10" w:right="40"/>
                          <w:jc w:val="both"/>
                          <w:rPr>
                            <w:sz w:val="21"/>
                          </w:rPr>
                        </w:pPr>
                        <w:r>
                          <w:rPr>
                            <w:sz w:val="21"/>
                          </w:rPr>
                          <w:t>同时，污染物排放水平达到同行业先进水平项目废水经分类收集分质预处理后进厂区污水处理设施处理，达到纳管标准后再送入上虞污水处理厂集中处理，不外排，企业实现</w:t>
                        </w:r>
                      </w:p>
                      <w:p>
                        <w:pPr>
                          <w:pStyle w:val="TableParagraph"/>
                          <w:spacing w:line="270" w:lineRule="atLeast" w:before="2"/>
                          <w:ind w:left="10" w:right="40"/>
                          <w:jc w:val="left"/>
                          <w:rPr>
                            <w:sz w:val="21"/>
                          </w:rPr>
                        </w:pPr>
                        <w:r>
                          <w:rPr>
                            <w:sz w:val="21"/>
                          </w:rPr>
                          <w:t>雨污分流；项目实施后，按照要求加强土壤和地下水污染物防治和修复。</w:t>
                        </w:r>
                      </w:p>
                    </w:tc>
                  </w:tr>
                  <w:tr>
                    <w:trPr>
                      <w:trHeight w:val="1905" w:hRule="atLeast"/>
                    </w:trPr>
                    <w:tc>
                      <w:tcPr>
                        <w:tcW w:w="557" w:type="dxa"/>
                      </w:tcPr>
                      <w:p>
                        <w:pPr>
                          <w:pStyle w:val="TableParagraph"/>
                          <w:jc w:val="left"/>
                          <w:rPr>
                            <w:sz w:val="22"/>
                          </w:rPr>
                        </w:pPr>
                      </w:p>
                      <w:p>
                        <w:pPr>
                          <w:pStyle w:val="TableParagraph"/>
                          <w:jc w:val="left"/>
                          <w:rPr>
                            <w:sz w:val="22"/>
                          </w:rPr>
                        </w:pPr>
                      </w:p>
                      <w:p>
                        <w:pPr>
                          <w:pStyle w:val="TableParagraph"/>
                          <w:jc w:val="left"/>
                          <w:rPr>
                            <w:sz w:val="21"/>
                          </w:rPr>
                        </w:pPr>
                      </w:p>
                      <w:p>
                        <w:pPr>
                          <w:pStyle w:val="TableParagraph"/>
                          <w:ind w:left="9"/>
                          <w:rPr>
                            <w:rFonts w:ascii="Times New Roman"/>
                            <w:sz w:val="21"/>
                          </w:rPr>
                        </w:pPr>
                        <w:r>
                          <w:rPr>
                            <w:rFonts w:ascii="Times New Roman"/>
                            <w:w w:val="100"/>
                            <w:sz w:val="21"/>
                          </w:rPr>
                          <w:t>3</w:t>
                        </w:r>
                      </w:p>
                    </w:tc>
                    <w:tc>
                      <w:tcPr>
                        <w:tcW w:w="4482" w:type="dxa"/>
                      </w:tcPr>
                      <w:p>
                        <w:pPr>
                          <w:pStyle w:val="TableParagraph"/>
                          <w:spacing w:before="1"/>
                          <w:ind w:left="9"/>
                          <w:jc w:val="left"/>
                          <w:rPr>
                            <w:b/>
                            <w:sz w:val="21"/>
                          </w:rPr>
                        </w:pPr>
                        <w:r>
                          <w:rPr>
                            <w:b/>
                            <w:sz w:val="21"/>
                          </w:rPr>
                          <w:t>环境风险防控：</w:t>
                        </w:r>
                      </w:p>
                      <w:p>
                        <w:pPr>
                          <w:pStyle w:val="TableParagraph"/>
                          <w:spacing w:line="242" w:lineRule="auto" w:before="4"/>
                          <w:ind w:left="9" w:right="-15"/>
                          <w:jc w:val="left"/>
                          <w:rPr>
                            <w:sz w:val="21"/>
                          </w:rPr>
                        </w:pPr>
                        <w:r>
                          <w:rPr>
                            <w:rFonts w:ascii="Times New Roman" w:eastAsia="Times New Roman"/>
                            <w:sz w:val="21"/>
                          </w:rPr>
                          <w:t>1</w:t>
                        </w:r>
                        <w:r>
                          <w:rPr>
                            <w:spacing w:val="-9"/>
                            <w:sz w:val="21"/>
                          </w:rPr>
                          <w:t>、定期评估沿江河湖库工业企业、工业集聚区环</w:t>
                        </w:r>
                        <w:r>
                          <w:rPr>
                            <w:spacing w:val="-5"/>
                            <w:sz w:val="21"/>
                          </w:rPr>
                          <w:t>境和健康风险。</w:t>
                        </w:r>
                      </w:p>
                      <w:p>
                        <w:pPr>
                          <w:pStyle w:val="TableParagraph"/>
                          <w:spacing w:line="242" w:lineRule="auto" w:before="2"/>
                          <w:ind w:left="9"/>
                          <w:jc w:val="both"/>
                          <w:rPr>
                            <w:sz w:val="21"/>
                          </w:rPr>
                        </w:pPr>
                        <w:r>
                          <w:rPr>
                            <w:rFonts w:ascii="Times New Roman" w:eastAsia="Times New Roman"/>
                            <w:sz w:val="21"/>
                          </w:rPr>
                          <w:t>2</w:t>
                        </w:r>
                        <w:r>
                          <w:rPr>
                            <w:spacing w:val="-9"/>
                            <w:sz w:val="21"/>
                          </w:rPr>
                          <w:t>、加强工业集聚区企业环境风险防范设施设备检</w:t>
                        </w:r>
                        <w:r>
                          <w:rPr>
                            <w:spacing w:val="-5"/>
                            <w:sz w:val="21"/>
                          </w:rPr>
                          <w:t>核和正常运行监管，加强重点环境风险管控企业</w:t>
                        </w:r>
                        <w:r>
                          <w:rPr>
                            <w:spacing w:val="-3"/>
                            <w:sz w:val="21"/>
                          </w:rPr>
                          <w:t>应急预案制定，建立常态化的企业隐患排查监管</w:t>
                        </w:r>
                      </w:p>
                      <w:p>
                        <w:pPr>
                          <w:pStyle w:val="TableParagraph"/>
                          <w:spacing w:line="250" w:lineRule="exact"/>
                          <w:ind w:left="9"/>
                          <w:jc w:val="left"/>
                          <w:rPr>
                            <w:sz w:val="21"/>
                          </w:rPr>
                        </w:pPr>
                        <w:r>
                          <w:rPr>
                            <w:sz w:val="21"/>
                          </w:rPr>
                          <w:t>机制；加强风险防控体系建设。</w:t>
                        </w:r>
                      </w:p>
                    </w:tc>
                    <w:tc>
                      <w:tcPr>
                        <w:tcW w:w="4058" w:type="dxa"/>
                      </w:tcPr>
                      <w:p>
                        <w:pPr>
                          <w:pStyle w:val="TableParagraph"/>
                          <w:jc w:val="left"/>
                          <w:rPr>
                            <w:sz w:val="20"/>
                          </w:rPr>
                        </w:pPr>
                      </w:p>
                      <w:p>
                        <w:pPr>
                          <w:pStyle w:val="TableParagraph"/>
                          <w:spacing w:before="152"/>
                          <w:ind w:left="10"/>
                          <w:jc w:val="left"/>
                          <w:rPr>
                            <w:b/>
                            <w:sz w:val="21"/>
                          </w:rPr>
                        </w:pPr>
                        <w:r>
                          <w:rPr>
                            <w:b/>
                            <w:sz w:val="21"/>
                          </w:rPr>
                          <w:t>符合。</w:t>
                        </w:r>
                      </w:p>
                      <w:p>
                        <w:pPr>
                          <w:pStyle w:val="TableParagraph"/>
                          <w:spacing w:line="242" w:lineRule="auto" w:before="5"/>
                          <w:ind w:left="10" w:right="40"/>
                          <w:jc w:val="both"/>
                          <w:rPr>
                            <w:sz w:val="21"/>
                          </w:rPr>
                        </w:pPr>
                        <w:r>
                          <w:rPr>
                            <w:sz w:val="21"/>
                          </w:rPr>
                          <w:t>企业已制定突发环境事件应急预案，并完成备案；企业已制定隐患排查整治监管机制， 加强风险防控体系建设。</w:t>
                        </w:r>
                      </w:p>
                    </w:tc>
                  </w:tr>
                  <w:tr>
                    <w:trPr>
                      <w:trHeight w:val="1363" w:hRule="atLeast"/>
                    </w:trPr>
                    <w:tc>
                      <w:tcPr>
                        <w:tcW w:w="557" w:type="dxa"/>
                      </w:tcPr>
                      <w:p>
                        <w:pPr>
                          <w:pStyle w:val="TableParagraph"/>
                          <w:jc w:val="left"/>
                          <w:rPr>
                            <w:sz w:val="22"/>
                          </w:rPr>
                        </w:pPr>
                      </w:p>
                      <w:p>
                        <w:pPr>
                          <w:pStyle w:val="TableParagraph"/>
                          <w:spacing w:before="11"/>
                          <w:jc w:val="left"/>
                          <w:rPr>
                            <w:sz w:val="21"/>
                          </w:rPr>
                        </w:pPr>
                      </w:p>
                      <w:p>
                        <w:pPr>
                          <w:pStyle w:val="TableParagraph"/>
                          <w:ind w:left="9"/>
                          <w:rPr>
                            <w:rFonts w:ascii="Times New Roman"/>
                            <w:sz w:val="21"/>
                          </w:rPr>
                        </w:pPr>
                        <w:r>
                          <w:rPr>
                            <w:rFonts w:ascii="Times New Roman"/>
                            <w:w w:val="100"/>
                            <w:sz w:val="21"/>
                          </w:rPr>
                          <w:t>4</w:t>
                        </w:r>
                      </w:p>
                    </w:tc>
                    <w:tc>
                      <w:tcPr>
                        <w:tcW w:w="4482" w:type="dxa"/>
                      </w:tcPr>
                      <w:p>
                        <w:pPr>
                          <w:pStyle w:val="TableParagraph"/>
                          <w:spacing w:before="3"/>
                          <w:ind w:left="9"/>
                          <w:jc w:val="left"/>
                          <w:rPr>
                            <w:b/>
                            <w:sz w:val="21"/>
                          </w:rPr>
                        </w:pPr>
                        <w:r>
                          <w:rPr>
                            <w:b/>
                            <w:sz w:val="21"/>
                          </w:rPr>
                          <w:t>资源开发效率要求：</w:t>
                        </w:r>
                      </w:p>
                      <w:p>
                        <w:pPr>
                          <w:pStyle w:val="TableParagraph"/>
                          <w:spacing w:line="242" w:lineRule="auto" w:before="2"/>
                          <w:ind w:left="9" w:right="-15"/>
                          <w:jc w:val="left"/>
                          <w:rPr>
                            <w:sz w:val="21"/>
                          </w:rPr>
                        </w:pPr>
                        <w:r>
                          <w:rPr>
                            <w:rFonts w:ascii="Times New Roman" w:eastAsia="Times New Roman"/>
                            <w:sz w:val="21"/>
                          </w:rPr>
                          <w:t>1</w:t>
                        </w:r>
                        <w:r>
                          <w:rPr>
                            <w:spacing w:val="-9"/>
                            <w:sz w:val="21"/>
                          </w:rPr>
                          <w:t>、推进工业集聚区生态化改造，强化企业清洁生</w:t>
                        </w:r>
                        <w:r>
                          <w:rPr>
                            <w:spacing w:val="-11"/>
                            <w:sz w:val="21"/>
                          </w:rPr>
                          <w:t>产改造，推进节水型企业、节水型工业园区建设</w:t>
                        </w:r>
                        <w:r>
                          <w:rPr>
                            <w:spacing w:val="-6"/>
                            <w:sz w:val="21"/>
                          </w:rPr>
                          <w:t>落实煤炭消费减量替代要求，提高资源能源利用</w:t>
                        </w:r>
                      </w:p>
                      <w:p>
                        <w:pPr>
                          <w:pStyle w:val="TableParagraph"/>
                          <w:spacing w:line="250" w:lineRule="exact" w:before="4"/>
                          <w:ind w:left="9"/>
                          <w:jc w:val="left"/>
                          <w:rPr>
                            <w:sz w:val="21"/>
                          </w:rPr>
                        </w:pPr>
                        <w:r>
                          <w:rPr>
                            <w:sz w:val="21"/>
                          </w:rPr>
                          <w:t>效率。</w:t>
                        </w:r>
                      </w:p>
                    </w:tc>
                    <w:tc>
                      <w:tcPr>
                        <w:tcW w:w="4058" w:type="dxa"/>
                      </w:tcPr>
                      <w:p>
                        <w:pPr>
                          <w:pStyle w:val="TableParagraph"/>
                          <w:spacing w:before="137"/>
                          <w:ind w:left="10"/>
                          <w:jc w:val="left"/>
                          <w:rPr>
                            <w:b/>
                            <w:sz w:val="21"/>
                          </w:rPr>
                        </w:pPr>
                        <w:r>
                          <w:rPr>
                            <w:b/>
                            <w:sz w:val="21"/>
                          </w:rPr>
                          <w:t>符合。</w:t>
                        </w:r>
                      </w:p>
                      <w:p>
                        <w:pPr>
                          <w:pStyle w:val="TableParagraph"/>
                          <w:spacing w:line="203" w:lineRule="exact" w:before="5"/>
                          <w:ind w:left="10"/>
                          <w:jc w:val="left"/>
                          <w:rPr>
                            <w:sz w:val="21"/>
                          </w:rPr>
                        </w:pPr>
                        <w:r>
                          <w:rPr>
                            <w:spacing w:val="-3"/>
                            <w:sz w:val="21"/>
                          </w:rPr>
                          <w:t>项目单位产品水耗、能耗、单位用地产出等</w:t>
                        </w:r>
                      </w:p>
                      <w:p>
                        <w:pPr>
                          <w:pStyle w:val="TableParagraph"/>
                          <w:spacing w:line="136" w:lineRule="exact"/>
                          <w:ind w:left="-116"/>
                          <w:jc w:val="left"/>
                          <w:rPr>
                            <w:sz w:val="21"/>
                          </w:rPr>
                        </w:pPr>
                        <w:r>
                          <w:rPr>
                            <w:w w:val="100"/>
                            <w:sz w:val="21"/>
                          </w:rPr>
                          <w:t>，</w:t>
                        </w:r>
                      </w:p>
                      <w:p>
                        <w:pPr>
                          <w:pStyle w:val="TableParagraph"/>
                          <w:spacing w:line="202" w:lineRule="exact"/>
                          <w:ind w:left="10"/>
                          <w:jc w:val="left"/>
                          <w:rPr>
                            <w:sz w:val="21"/>
                          </w:rPr>
                        </w:pPr>
                        <w:r>
                          <w:rPr>
                            <w:spacing w:val="-3"/>
                            <w:sz w:val="21"/>
                          </w:rPr>
                          <w:t>指标满足资源利用上线要求；企业不涉及煤</w:t>
                        </w:r>
                      </w:p>
                      <w:p>
                        <w:pPr>
                          <w:pStyle w:val="TableParagraph"/>
                          <w:spacing w:before="5"/>
                          <w:ind w:left="10"/>
                          <w:jc w:val="left"/>
                          <w:rPr>
                            <w:sz w:val="21"/>
                          </w:rPr>
                        </w:pPr>
                        <w:r>
                          <w:rPr>
                            <w:sz w:val="21"/>
                          </w:rPr>
                          <w:t>炭使用。</w:t>
                        </w:r>
                      </w:p>
                    </w:tc>
                  </w:tr>
                </w:tbl>
                <w:p>
                  <w:pPr>
                    <w:pStyle w:val="BodyText"/>
                  </w:pPr>
                </w:p>
              </w:txbxContent>
            </v:textbox>
            <w10:wrap type="none"/>
          </v:shape>
        </w:pict>
      </w:r>
      <w:r>
        <w:rPr>
          <w:w w:val="100"/>
          <w:sz w:val="2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pStyle w:val="Heading4"/>
        <w:spacing w:line="364" w:lineRule="auto" w:before="1"/>
        <w:ind w:left="238" w:right="234" w:firstLine="482"/>
      </w:pPr>
      <w:r>
        <w:rPr>
          <w:w w:val="99"/>
        </w:rPr>
        <w:t>从上表可以看出，项目位于杭州湾上虞经济技术开发区内</w:t>
      </w:r>
      <w:r>
        <w:rPr>
          <w:spacing w:val="2"/>
          <w:w w:val="99"/>
        </w:rPr>
        <w:t>（</w:t>
      </w:r>
      <w:r>
        <w:rPr>
          <w:w w:val="99"/>
        </w:rPr>
        <w:t>工业聚集区</w:t>
      </w:r>
      <w:r>
        <w:rPr>
          <w:spacing w:val="-118"/>
          <w:w w:val="99"/>
        </w:rPr>
        <w:t>）</w:t>
      </w:r>
      <w:r>
        <w:rPr>
          <w:w w:val="99"/>
        </w:rPr>
        <w:t>，属于三</w:t>
      </w:r>
      <w:r>
        <w:rPr/>
        <w:t>类工业用地，符合上虞区杭州湾经济开发区产业集聚重点管控单元的要求。</w:t>
      </w:r>
    </w:p>
    <w:p>
      <w:pPr>
        <w:pStyle w:val="ListParagraph"/>
        <w:numPr>
          <w:ilvl w:val="2"/>
          <w:numId w:val="6"/>
        </w:numPr>
        <w:tabs>
          <w:tab w:pos="779" w:val="left" w:leader="none"/>
        </w:tabs>
        <w:spacing w:line="306" w:lineRule="exact" w:before="0" w:after="0"/>
        <w:ind w:left="778" w:right="0" w:hanging="541"/>
        <w:jc w:val="left"/>
        <w:rPr>
          <w:b/>
          <w:sz w:val="24"/>
        </w:rPr>
      </w:pPr>
      <w:r>
        <w:rPr>
          <w:b/>
          <w:sz w:val="24"/>
        </w:rPr>
        <w:t>杭州湾上虞经济技术开发区产业提升区及配套区控制性详细规划</w:t>
      </w:r>
    </w:p>
    <w:p>
      <w:pPr>
        <w:spacing w:before="160"/>
        <w:ind w:left="721" w:right="0" w:firstLine="0"/>
        <w:jc w:val="left"/>
        <w:rPr>
          <w:b/>
          <w:sz w:val="24"/>
        </w:rPr>
      </w:pPr>
      <w:r>
        <w:rPr>
          <w:rFonts w:ascii="Times New Roman" w:eastAsia="Times New Roman"/>
          <w:b/>
          <w:sz w:val="24"/>
        </w:rPr>
        <w:t>1</w:t>
      </w:r>
      <w:r>
        <w:rPr>
          <w:b/>
          <w:sz w:val="24"/>
        </w:rPr>
        <w:t>、规划基本概况</w:t>
      </w:r>
    </w:p>
    <w:p>
      <w:pPr>
        <w:pStyle w:val="BodyText"/>
        <w:spacing w:before="158"/>
        <w:ind w:left="718"/>
      </w:pPr>
      <w:r>
        <w:rPr/>
        <w:t>⑴规划范围</w:t>
      </w:r>
    </w:p>
    <w:p>
      <w:pPr>
        <w:pStyle w:val="BodyText"/>
        <w:spacing w:line="362" w:lineRule="auto" w:before="161"/>
        <w:ind w:left="238" w:right="185" w:firstLine="480"/>
      </w:pPr>
      <w:r>
        <w:rPr/>
        <w:t>北至横六河，南至横一路和北塘东路，西至纵四河，东至闰土集团厂区。规划范围总用地面积 </w:t>
      </w:r>
      <w:r>
        <w:rPr>
          <w:rFonts w:ascii="Times New Roman" w:eastAsia="Times New Roman"/>
        </w:rPr>
        <w:t>273.40 </w:t>
      </w:r>
      <w:r>
        <w:rPr/>
        <w:t>公顷。</w:t>
      </w:r>
    </w:p>
    <w:p>
      <w:pPr>
        <w:pStyle w:val="BodyText"/>
        <w:spacing w:before="5"/>
        <w:ind w:left="718"/>
      </w:pPr>
      <w:r>
        <w:rPr/>
        <w:t>⑵规划定位及职能</w:t>
      </w:r>
    </w:p>
    <w:p>
      <w:pPr>
        <w:pStyle w:val="BodyText"/>
        <w:spacing w:line="364" w:lineRule="auto" w:before="158"/>
        <w:ind w:left="238" w:right="232" w:firstLine="480"/>
        <w:jc w:val="both"/>
      </w:pPr>
      <w:r>
        <w:rPr/>
        <w:t>定位：以上虞区化工、印染等行业整治提升行动为契机，以</w:t>
      </w:r>
      <w:r>
        <w:rPr>
          <w:rFonts w:ascii="Times New Roman" w:hAnsi="Times New Roman" w:eastAsia="Times New Roman"/>
        </w:rPr>
        <w:t>“</w:t>
      </w:r>
      <w:r>
        <w:rPr/>
        <w:t>创新、协调、绿色、开放、共享</w:t>
      </w:r>
      <w:r>
        <w:rPr>
          <w:rFonts w:ascii="Times New Roman" w:hAnsi="Times New Roman" w:eastAsia="Times New Roman"/>
        </w:rPr>
        <w:t>”</w:t>
      </w:r>
      <w:r>
        <w:rPr>
          <w:spacing w:val="4"/>
        </w:rPr>
        <w:t>的</w:t>
      </w:r>
      <w:r>
        <w:rPr>
          <w:rFonts w:ascii="Times New Roman" w:hAnsi="Times New Roman" w:eastAsia="Times New Roman"/>
        </w:rPr>
        <w:t>“</w:t>
      </w:r>
      <w:r>
        <w:rPr>
          <w:spacing w:val="2"/>
        </w:rPr>
        <w:t>五大</w:t>
      </w:r>
      <w:r>
        <w:rPr>
          <w:rFonts w:ascii="Times New Roman" w:hAnsi="Times New Roman" w:eastAsia="Times New Roman"/>
          <w:spacing w:val="3"/>
        </w:rPr>
        <w:t>”</w:t>
      </w:r>
      <w:r>
        <w:rPr/>
        <w:t>发展理念为引领，按照开发区化工、印染等行业入园准入要求， </w:t>
      </w:r>
      <w:r>
        <w:rPr>
          <w:spacing w:val="-5"/>
        </w:rPr>
        <w:t>吸纳承接整治提升的化工、印染等产业，拓展形成以新型精细化工、印染为主导的绿色</w:t>
      </w:r>
      <w:r>
        <w:rPr/>
        <w:t>化工、印染产业集聚区。</w:t>
      </w:r>
    </w:p>
    <w:p>
      <w:pPr>
        <w:pStyle w:val="BodyText"/>
        <w:ind w:left="718"/>
      </w:pPr>
      <w:r>
        <w:rPr/>
        <w:t>职能：通过行业整治提升，严格企业搬迁入园标准，承接吸纳上虞区境内需整治提</w:t>
      </w:r>
    </w:p>
    <w:p>
      <w:pPr>
        <w:spacing w:after="0"/>
        <w:sectPr>
          <w:pgSz w:w="11910" w:h="16840"/>
          <w:pgMar w:header="874" w:footer="944" w:top="1340" w:bottom="1140" w:left="1180" w:right="1180"/>
        </w:sectPr>
      </w:pPr>
    </w:p>
    <w:p>
      <w:pPr>
        <w:pStyle w:val="BodyText"/>
        <w:spacing w:before="70"/>
        <w:ind w:left="238"/>
      </w:pPr>
      <w:r>
        <w:rPr/>
        <w:t>升的化工、印染等行业的企业。</w:t>
      </w:r>
    </w:p>
    <w:p>
      <w:pPr>
        <w:pStyle w:val="BodyText"/>
        <w:spacing w:before="159"/>
        <w:ind w:left="718"/>
      </w:pPr>
      <w:r>
        <w:rPr/>
        <w:t>⑶规划目标</w:t>
      </w:r>
    </w:p>
    <w:p>
      <w:pPr>
        <w:pStyle w:val="BodyText"/>
        <w:spacing w:line="364" w:lineRule="auto" w:before="160"/>
        <w:ind w:left="238" w:right="185" w:firstLine="480"/>
        <w:jc w:val="both"/>
      </w:pPr>
      <w:r>
        <w:rPr/>
        <w:t>以产业集聚升级为主线，以企业提质增效为目标，通过关停淘汰、搬迁集聚、改造提升、兼并重组、培大育强等多措并举，吸纳上虞区境内的化工、印染等产业的企业， 打造安全发展、绿色发展、跃升发展的产业集群。</w:t>
      </w:r>
    </w:p>
    <w:p>
      <w:pPr>
        <w:pStyle w:val="BodyText"/>
        <w:spacing w:line="305" w:lineRule="exact"/>
        <w:ind w:left="718"/>
      </w:pPr>
      <w:r>
        <w:rPr/>
        <w:t>⑷产业发展规划</w:t>
      </w:r>
    </w:p>
    <w:p>
      <w:pPr>
        <w:pStyle w:val="BodyText"/>
        <w:spacing w:line="364" w:lineRule="auto" w:before="161"/>
        <w:ind w:left="238" w:right="234" w:firstLine="480"/>
        <w:jc w:val="both"/>
      </w:pPr>
      <w:r>
        <w:rPr>
          <w:spacing w:val="-4"/>
        </w:rPr>
        <w:t>产业提升区主旨在于承接吸纳上虞区境内化工、印染等行业的企业，实现重污染行</w:t>
      </w:r>
      <w:r>
        <w:rPr>
          <w:spacing w:val="-5"/>
        </w:rPr>
        <w:t>业入园集聚发展，因此主导产业为化工和印染两类，另外配套发展固废处理和热电等基</w:t>
      </w:r>
      <w:r>
        <w:rPr/>
        <w:t>础设施项目。</w:t>
      </w:r>
    </w:p>
    <w:p>
      <w:pPr>
        <w:pStyle w:val="Heading4"/>
        <w:ind w:left="721"/>
      </w:pPr>
      <w:r>
        <w:rPr>
          <w:rFonts w:ascii="Times New Roman" w:eastAsia="Times New Roman"/>
        </w:rPr>
        <w:t>2.</w:t>
      </w:r>
      <w:r>
        <w:rPr/>
        <w:t>符合性分析</w:t>
      </w:r>
    </w:p>
    <w:p>
      <w:pPr>
        <w:spacing w:line="364" w:lineRule="auto" w:before="158"/>
        <w:ind w:left="238" w:right="234" w:firstLine="482"/>
        <w:jc w:val="both"/>
        <w:rPr>
          <w:b/>
          <w:sz w:val="24"/>
        </w:rPr>
      </w:pPr>
      <w:r>
        <w:rPr/>
        <w:pict>
          <v:group style="position:absolute;margin-left:70.900002pt;margin-top:79.609993pt;width:453.75pt;height:324pt;mso-position-horizontal-relative:page;mso-position-vertical-relative:paragraph;z-index:-251642880;mso-wrap-distance-left:0;mso-wrap-distance-right:0" coordorigin="1418,1592" coordsize="9075,6480">
            <v:shape style="position:absolute;left:1418;top:1592;width:9075;height:6480" type="#_x0000_t75" stroked="false">
              <v:imagedata r:id="rId18" o:title=""/>
            </v:shape>
            <v:shape style="position:absolute;left:4129;top:4187;width:1093;height:1763" coordorigin="4130,4187" coordsize="1093,1763" path="m4570,4187l4130,4369,4782,5950,5222,5769,4570,4187xe" filled="true" fillcolor="#823a0a" stroked="false">
              <v:path arrowok="t"/>
              <v:fill opacity="32896f" type="solid"/>
            </v:shape>
            <v:shape style="position:absolute;left:4109;top:4147;width:1093;height:1763" type="#_x0000_t75" stroked="false">
              <v:imagedata r:id="rId19" o:title=""/>
            </v:shape>
            <v:shape style="position:absolute;left:4109;top:4147;width:1093;height:1763" coordorigin="4110,4147" coordsize="1093,1763" path="m4110,4329l4762,5910,5202,5729,4550,4147,4110,4329xe" filled="false" stroked="true" strokeweight=".25pt" strokecolor="#f1f1f1">
              <v:path arrowok="t"/>
              <v:stroke dashstyle="solid"/>
            </v:shape>
            <v:shape style="position:absolute;left:3484;top:5156;width:1057;height:879" coordorigin="3484,5156" coordsize="1057,879" path="m3484,5605l3484,5677,3484,5784,3484,6035,4101,6035,4365,6035,4541,6035,4541,5784,4541,5677,4541,5605,4365,5605,4436,5156,4101,5605,3484,5605xe" filled="false" stroked="true" strokeweight=".75pt" strokecolor="#000000">
              <v:path arrowok="t"/>
              <v:stroke dashstyle="solid"/>
            </v:shape>
            <v:shape style="position:absolute;left:3636;top:5766;width:775;height:152" type="#_x0000_t202" filled="false" stroked="false">
              <v:textbox inset="0,0,0,0">
                <w:txbxContent>
                  <w:p>
                    <w:pPr>
                      <w:spacing w:line="151" w:lineRule="exact" w:before="0"/>
                      <w:ind w:left="0" w:right="0" w:firstLine="0"/>
                      <w:jc w:val="left"/>
                      <w:rPr>
                        <w:sz w:val="15"/>
                      </w:rPr>
                    </w:pPr>
                    <w:r>
                      <w:rPr>
                        <w:color w:val="0000CC"/>
                        <w:sz w:val="15"/>
                      </w:rPr>
                      <w:t>项目所在地</w:t>
                    </w:r>
                  </w:p>
                </w:txbxContent>
              </v:textbox>
              <w10:wrap type="none"/>
            </v:shape>
            <w10:wrap type="topAndBottom"/>
          </v:group>
        </w:pict>
      </w:r>
      <w:r>
        <w:rPr>
          <w:b/>
          <w:spacing w:val="-5"/>
          <w:sz w:val="24"/>
        </w:rPr>
        <w:t>根据园区产业提升区及配套区控制性详细规划，项目建设用地规划属于三类工业用</w:t>
      </w:r>
      <w:r>
        <w:rPr>
          <w:b/>
          <w:spacing w:val="-9"/>
          <w:sz w:val="24"/>
        </w:rPr>
        <w:t>地，项目属于化工类，是园区中的主导产业，项目性质不属于规划禁止类产业项目，因此符合所在区块控制性详规规划产业发展规划和控制性详规要求。</w:t>
      </w:r>
    </w:p>
    <w:p>
      <w:pPr>
        <w:pStyle w:val="BodyText"/>
        <w:tabs>
          <w:tab w:pos="2021" w:val="left" w:leader="none"/>
        </w:tabs>
        <w:spacing w:before="11"/>
        <w:ind w:left="562"/>
      </w:pPr>
      <w:r>
        <w:rPr/>
        <w:t>图</w:t>
      </w:r>
      <w:r>
        <w:rPr>
          <w:spacing w:val="-62"/>
        </w:rPr>
        <w:t> </w:t>
      </w:r>
      <w:r>
        <w:rPr>
          <w:rFonts w:ascii="Times New Roman" w:eastAsia="Times New Roman"/>
        </w:rPr>
        <w:t>2.6.3-1</w:t>
        <w:tab/>
      </w:r>
      <w:r>
        <w:rPr/>
        <w:t>杭州湾上虞经济技术开发区产业提升区及配套区控制性详细规划图</w:t>
      </w:r>
    </w:p>
    <w:p>
      <w:pPr>
        <w:pStyle w:val="Heading4"/>
        <w:numPr>
          <w:ilvl w:val="2"/>
          <w:numId w:val="6"/>
        </w:numPr>
        <w:tabs>
          <w:tab w:pos="779" w:val="left" w:leader="none"/>
        </w:tabs>
        <w:spacing w:line="240" w:lineRule="auto" w:before="158" w:after="0"/>
        <w:ind w:left="778" w:right="0" w:hanging="541"/>
        <w:jc w:val="left"/>
      </w:pPr>
      <w:r>
        <w:rPr/>
        <w:t>规划环评符合性分析</w:t>
      </w:r>
    </w:p>
    <w:p>
      <w:pPr>
        <w:spacing w:before="161"/>
        <w:ind w:left="721" w:right="0" w:firstLine="0"/>
        <w:jc w:val="left"/>
        <w:rPr>
          <w:b/>
          <w:sz w:val="24"/>
        </w:rPr>
      </w:pPr>
      <w:r>
        <w:rPr>
          <w:rFonts w:ascii="Times New Roman" w:eastAsia="Times New Roman"/>
          <w:b/>
          <w:sz w:val="24"/>
        </w:rPr>
        <w:t>1</w:t>
      </w:r>
      <w:r>
        <w:rPr>
          <w:b/>
          <w:sz w:val="24"/>
        </w:rPr>
        <w:t>、规划环评基本情况</w:t>
      </w:r>
    </w:p>
    <w:p>
      <w:pPr>
        <w:spacing w:after="0"/>
        <w:jc w:val="left"/>
        <w:rPr>
          <w:sz w:val="24"/>
        </w:rPr>
        <w:sectPr>
          <w:pgSz w:w="11910" w:h="16840"/>
          <w:pgMar w:header="874" w:footer="944" w:top="1340" w:bottom="1140" w:left="1180" w:right="1180"/>
        </w:sectPr>
      </w:pPr>
    </w:p>
    <w:p>
      <w:pPr>
        <w:pStyle w:val="BodyText"/>
        <w:spacing w:line="364" w:lineRule="auto" w:before="70"/>
        <w:ind w:left="238" w:right="234" w:firstLine="480"/>
        <w:jc w:val="both"/>
      </w:pPr>
      <w:r>
        <w:rPr>
          <w:spacing w:val="4"/>
        </w:rPr>
        <w:t>《杭州湾上虞经济技术开发区产业提升区及配套区控制性详细规划环境影响报告</w:t>
      </w:r>
      <w:r>
        <w:rPr>
          <w:spacing w:val="-13"/>
        </w:rPr>
        <w:t>书》于 </w:t>
      </w:r>
      <w:r>
        <w:rPr>
          <w:rFonts w:ascii="Times New Roman" w:eastAsia="Times New Roman"/>
        </w:rPr>
        <w:t>2017 </w:t>
      </w:r>
      <w:r>
        <w:rPr>
          <w:spacing w:val="-26"/>
        </w:rPr>
        <w:t>年 </w:t>
      </w:r>
      <w:r>
        <w:rPr>
          <w:rFonts w:ascii="Times New Roman" w:eastAsia="Times New Roman"/>
        </w:rPr>
        <w:t>5 </w:t>
      </w:r>
      <w:r>
        <w:rPr>
          <w:spacing w:val="-26"/>
        </w:rPr>
        <w:t>月 </w:t>
      </w:r>
      <w:r>
        <w:rPr>
          <w:rFonts w:ascii="Times New Roman" w:eastAsia="Times New Roman"/>
        </w:rPr>
        <w:t>10 </w:t>
      </w:r>
      <w:r>
        <w:rPr>
          <w:spacing w:val="-4"/>
        </w:rPr>
        <w:t>日通过了规划环评专家审查会，于 </w:t>
      </w:r>
      <w:r>
        <w:rPr>
          <w:rFonts w:ascii="Times New Roman" w:eastAsia="Times New Roman"/>
        </w:rPr>
        <w:t>11 </w:t>
      </w:r>
      <w:r>
        <w:rPr>
          <w:spacing w:val="-2"/>
        </w:rPr>
        <w:t>月获得省环保厅出具的环</w:t>
      </w:r>
      <w:r>
        <w:rPr/>
        <w:t>保审查意见（浙环函</w:t>
      </w:r>
      <w:r>
        <w:rPr>
          <w:rFonts w:ascii="Times New Roman" w:eastAsia="Times New Roman"/>
        </w:rPr>
        <w:t>[2017]427 </w:t>
      </w:r>
      <w:r>
        <w:rPr/>
        <w:t>号）。规划环评结论如下：</w:t>
      </w:r>
    </w:p>
    <w:p>
      <w:pPr>
        <w:pStyle w:val="BodyText"/>
        <w:spacing w:line="364" w:lineRule="auto"/>
        <w:ind w:left="238" w:right="118" w:firstLine="480"/>
      </w:pPr>
      <w:r>
        <w:rPr>
          <w:spacing w:val="-2"/>
        </w:rPr>
        <w:t>该产业提升及配套区规划的实施具有重要的现实意义和紧迫性，通过政策引导和行</w:t>
      </w:r>
      <w:r>
        <w:rPr>
          <w:spacing w:val="-15"/>
        </w:rPr>
        <w:t>政倒逼，推动分散布局的化工、印染企业向园区集聚、入园企业提升产品工艺装备水平、</w:t>
      </w:r>
      <w:r>
        <w:rPr>
          <w:rFonts w:ascii="Times New Roman" w:hAnsi="Times New Roman" w:eastAsia="Times New Roman"/>
        </w:rPr>
        <w:t>“</w:t>
      </w:r>
      <w:r>
        <w:rPr/>
        <w:t>低小散</w:t>
      </w:r>
      <w:r>
        <w:rPr>
          <w:rFonts w:ascii="Times New Roman" w:hAnsi="Times New Roman" w:eastAsia="Times New Roman"/>
        </w:rPr>
        <w:t>”</w:t>
      </w:r>
      <w:r>
        <w:rPr>
          <w:spacing w:val="-4"/>
        </w:rPr>
        <w:t>企业实施腾退、优势企业实施兼并重组，可全面提升上虞区化工、印染行业综合竞争力。</w:t>
      </w:r>
    </w:p>
    <w:p>
      <w:pPr>
        <w:pStyle w:val="BodyText"/>
        <w:spacing w:line="364" w:lineRule="auto"/>
        <w:ind w:left="238" w:right="116" w:firstLine="480"/>
      </w:pPr>
      <w:r>
        <w:rPr>
          <w:spacing w:val="-15"/>
        </w:rPr>
        <w:t>本次规划面积小，产业简单，规划产业结构总体合理。规划选址符合相关上位规划， </w:t>
      </w:r>
      <w:r>
        <w:rPr>
          <w:spacing w:val="-5"/>
        </w:rPr>
        <w:t>位于重点准入区，是上虞区唯一适宜的园区。规划产业发展方向明晰，在规划目标、功</w:t>
      </w:r>
      <w:r>
        <w:rPr>
          <w:spacing w:val="-7"/>
        </w:rPr>
        <w:t>能布局、产业发展导向以及基础设施等方面符合浙江省主体功能区划、上虞区土地利用</w:t>
      </w:r>
      <w:r>
        <w:rPr>
          <w:spacing w:val="-9"/>
        </w:rPr>
        <w:t>总体规划、环境功能区划、原市域总体规划等上位规划。在规划层面上土地资源、水资</w:t>
      </w:r>
      <w:r>
        <w:rPr>
          <w:spacing w:val="-12"/>
        </w:rPr>
        <w:t>源和热力资源能够得到保障；大气环境容量存在短板，通过区域削减、总量控制可以满足污染物排放要求。在实施总量控制和区域削减的基础上，规划环评认为规划规模较为合理。</w:t>
      </w:r>
    </w:p>
    <w:p>
      <w:pPr>
        <w:pStyle w:val="BodyText"/>
        <w:spacing w:line="364" w:lineRule="auto"/>
        <w:ind w:left="238" w:right="185" w:firstLine="480"/>
        <w:jc w:val="both"/>
      </w:pPr>
      <w:r>
        <w:rPr/>
        <w:t>规划环评认为《控规》在严格产业准入、明确规划规模、实施总量控制的前提下， 严格落实资源保护和环境影响减缓对策和措施后，从资源环境保护而言是可行的，也有利于促进区域经济、社会的协调、可持续发展。</w:t>
      </w:r>
    </w:p>
    <w:p>
      <w:pPr>
        <w:pStyle w:val="BodyText"/>
        <w:spacing w:line="362" w:lineRule="auto"/>
        <w:ind w:left="718" w:right="3305"/>
      </w:pPr>
      <w:r>
        <w:rPr/>
        <w:t>与本次项目环评相关的规划环评主要内容摘录如下： 环境准入条件清单</w:t>
      </w:r>
    </w:p>
    <w:p>
      <w:pPr>
        <w:pStyle w:val="BodyText"/>
        <w:spacing w:line="362" w:lineRule="auto"/>
        <w:ind w:left="238" w:right="234" w:firstLine="480"/>
      </w:pPr>
      <w:r>
        <w:rPr>
          <w:spacing w:val="-5"/>
        </w:rPr>
        <w:t>结合产业提升区及配套区实际，规划区化工行业的生态空间清单见表 </w:t>
      </w:r>
      <w:r>
        <w:rPr>
          <w:rFonts w:ascii="Times New Roman" w:eastAsia="Times New Roman"/>
          <w:spacing w:val="-5"/>
        </w:rPr>
        <w:t>2.6.4-1</w:t>
      </w:r>
      <w:r>
        <w:rPr>
          <w:spacing w:val="-8"/>
        </w:rPr>
        <w:t>，环境</w:t>
      </w:r>
      <w:r>
        <w:rPr>
          <w:spacing w:val="-7"/>
        </w:rPr>
        <w:t>准入条件清单见表 </w:t>
      </w:r>
      <w:r>
        <w:rPr>
          <w:rFonts w:ascii="Times New Roman" w:eastAsia="Times New Roman"/>
        </w:rPr>
        <w:t>2.6.4-2</w:t>
      </w:r>
      <w:r>
        <w:rPr/>
        <w:t>。</w:t>
      </w:r>
    </w:p>
    <w:p>
      <w:pPr>
        <w:spacing w:after="0" w:line="362" w:lineRule="auto"/>
        <w:sectPr>
          <w:pgSz w:w="11910" w:h="16840"/>
          <w:pgMar w:header="874" w:footer="944" w:top="1340" w:bottom="1140" w:left="1180" w:right="1180"/>
        </w:sectPr>
      </w:pPr>
    </w:p>
    <w:p>
      <w:pPr>
        <w:pStyle w:val="BodyText"/>
      </w:pPr>
    </w:p>
    <w:p>
      <w:pPr>
        <w:pStyle w:val="Heading4"/>
        <w:spacing w:before="74"/>
        <w:ind w:left="339"/>
        <w:jc w:val="center"/>
      </w:pPr>
      <w:r>
        <w:rPr/>
        <w:pict>
          <v:shape style="position:absolute;margin-left:70.440002pt;margin-top:20.499992pt;width:701.4pt;height:304.150pt;mso-position-horizontal-relative:page;mso-position-vertical-relative:paragraph;z-index:25167462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
                    <w:gridCol w:w="1061"/>
                    <w:gridCol w:w="1563"/>
                    <w:gridCol w:w="3630"/>
                    <w:gridCol w:w="5298"/>
                    <w:gridCol w:w="1039"/>
                    <w:gridCol w:w="1037"/>
                  </w:tblGrid>
                  <w:tr>
                    <w:trPr>
                      <w:trHeight w:val="784" w:hRule="atLeast"/>
                    </w:trPr>
                    <w:tc>
                      <w:tcPr>
                        <w:tcW w:w="387" w:type="dxa"/>
                      </w:tcPr>
                      <w:p>
                        <w:pPr>
                          <w:pStyle w:val="TableParagraph"/>
                          <w:spacing w:line="247" w:lineRule="auto" w:before="128"/>
                          <w:ind w:left="86" w:right="77"/>
                          <w:jc w:val="left"/>
                          <w:rPr>
                            <w:sz w:val="21"/>
                          </w:rPr>
                        </w:pPr>
                        <w:r>
                          <w:rPr>
                            <w:sz w:val="21"/>
                          </w:rPr>
                          <w:t>序号</w:t>
                        </w:r>
                      </w:p>
                    </w:tc>
                    <w:tc>
                      <w:tcPr>
                        <w:tcW w:w="1061" w:type="dxa"/>
                      </w:tcPr>
                      <w:p>
                        <w:pPr>
                          <w:pStyle w:val="TableParagraph"/>
                          <w:spacing w:line="247" w:lineRule="auto" w:before="128"/>
                          <w:ind w:left="110" w:right="-15" w:hanging="106"/>
                          <w:jc w:val="left"/>
                          <w:rPr>
                            <w:sz w:val="21"/>
                          </w:rPr>
                        </w:pPr>
                        <w:r>
                          <w:rPr>
                            <w:spacing w:val="-3"/>
                            <w:sz w:val="21"/>
                          </w:rPr>
                          <w:t>工业区内的</w:t>
                        </w:r>
                        <w:r>
                          <w:rPr>
                            <w:spacing w:val="-1"/>
                            <w:sz w:val="21"/>
                          </w:rPr>
                          <w:t>规划区块</w:t>
                        </w:r>
                      </w:p>
                    </w:tc>
                    <w:tc>
                      <w:tcPr>
                        <w:tcW w:w="1563" w:type="dxa"/>
                      </w:tcPr>
                      <w:p>
                        <w:pPr>
                          <w:pStyle w:val="TableParagraph"/>
                          <w:spacing w:line="247" w:lineRule="auto" w:before="128"/>
                          <w:ind w:left="462" w:right="140" w:hanging="315"/>
                          <w:jc w:val="left"/>
                          <w:rPr>
                            <w:sz w:val="21"/>
                          </w:rPr>
                        </w:pPr>
                        <w:r>
                          <w:rPr>
                            <w:sz w:val="21"/>
                          </w:rPr>
                          <w:t>生态空间名称及编号</w:t>
                        </w:r>
                      </w:p>
                    </w:tc>
                    <w:tc>
                      <w:tcPr>
                        <w:tcW w:w="3630" w:type="dxa"/>
                      </w:tcPr>
                      <w:p>
                        <w:pPr>
                          <w:pStyle w:val="TableParagraph"/>
                          <w:spacing w:line="247" w:lineRule="auto" w:before="128"/>
                          <w:ind w:left="1497" w:right="1172" w:hanging="315"/>
                          <w:jc w:val="left"/>
                          <w:rPr>
                            <w:sz w:val="21"/>
                          </w:rPr>
                        </w:pPr>
                        <w:r>
                          <w:rPr>
                            <w:sz w:val="21"/>
                          </w:rPr>
                          <w:t>生态空间范围示意图</w:t>
                        </w:r>
                      </w:p>
                    </w:tc>
                    <w:tc>
                      <w:tcPr>
                        <w:tcW w:w="5298" w:type="dxa"/>
                      </w:tcPr>
                      <w:p>
                        <w:pPr>
                          <w:pStyle w:val="TableParagraph"/>
                          <w:spacing w:before="11"/>
                          <w:jc w:val="left"/>
                          <w:rPr>
                            <w:b/>
                            <w:sz w:val="20"/>
                          </w:rPr>
                        </w:pPr>
                      </w:p>
                      <w:p>
                        <w:pPr>
                          <w:pStyle w:val="TableParagraph"/>
                          <w:ind w:left="2207" w:right="2201"/>
                          <w:rPr>
                            <w:sz w:val="21"/>
                          </w:rPr>
                        </w:pPr>
                        <w:r>
                          <w:rPr>
                            <w:sz w:val="21"/>
                          </w:rPr>
                          <w:t>管控要求</w:t>
                        </w:r>
                      </w:p>
                    </w:tc>
                    <w:tc>
                      <w:tcPr>
                        <w:tcW w:w="1039" w:type="dxa"/>
                      </w:tcPr>
                      <w:p>
                        <w:pPr>
                          <w:pStyle w:val="TableParagraph"/>
                          <w:spacing w:line="247" w:lineRule="auto" w:before="128"/>
                          <w:ind w:left="307" w:right="88" w:hanging="212"/>
                          <w:jc w:val="left"/>
                          <w:rPr>
                            <w:sz w:val="21"/>
                          </w:rPr>
                        </w:pPr>
                        <w:r>
                          <w:rPr>
                            <w:sz w:val="21"/>
                          </w:rPr>
                          <w:t>现状用地类型</w:t>
                        </w:r>
                      </w:p>
                    </w:tc>
                    <w:tc>
                      <w:tcPr>
                        <w:tcW w:w="1037" w:type="dxa"/>
                      </w:tcPr>
                      <w:p>
                        <w:pPr>
                          <w:pStyle w:val="TableParagraph"/>
                          <w:spacing w:line="247" w:lineRule="auto" w:before="128"/>
                          <w:ind w:left="410" w:right="85" w:hanging="315"/>
                          <w:jc w:val="left"/>
                          <w:rPr>
                            <w:sz w:val="21"/>
                          </w:rPr>
                        </w:pPr>
                        <w:r>
                          <w:rPr>
                            <w:sz w:val="21"/>
                          </w:rPr>
                          <w:t>符合性分析</w:t>
                        </w:r>
                      </w:p>
                    </w:tc>
                  </w:tr>
                  <w:tr>
                    <w:trPr>
                      <w:trHeight w:val="5268" w:hRule="atLeast"/>
                    </w:trPr>
                    <w:tc>
                      <w:tcPr>
                        <w:tcW w:w="387" w:type="dxa"/>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12"/>
                          <w:jc w:val="left"/>
                          <w:rPr>
                            <w:b/>
                            <w:sz w:val="20"/>
                          </w:rPr>
                        </w:pPr>
                      </w:p>
                      <w:p>
                        <w:pPr>
                          <w:pStyle w:val="TableParagraph"/>
                          <w:ind w:left="6"/>
                          <w:rPr>
                            <w:rFonts w:ascii="Times New Roman"/>
                            <w:sz w:val="21"/>
                          </w:rPr>
                        </w:pPr>
                        <w:r>
                          <w:rPr>
                            <w:rFonts w:ascii="Times New Roman"/>
                            <w:w w:val="100"/>
                            <w:sz w:val="21"/>
                          </w:rPr>
                          <w:t>1</w:t>
                        </w:r>
                      </w:p>
                    </w:tc>
                    <w:tc>
                      <w:tcPr>
                        <w:tcW w:w="1061"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line="249" w:lineRule="auto" w:before="178"/>
                          <w:ind w:left="4" w:right="-15"/>
                          <w:jc w:val="both"/>
                          <w:rPr>
                            <w:sz w:val="21"/>
                          </w:rPr>
                        </w:pPr>
                        <w:r>
                          <w:rPr>
                            <w:sz w:val="21"/>
                          </w:rPr>
                          <w:t>整个产业提升区及配套区</w:t>
                        </w:r>
                      </w:p>
                    </w:tc>
                    <w:tc>
                      <w:tcPr>
                        <w:tcW w:w="1563"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
                          <w:jc w:val="left"/>
                          <w:rPr>
                            <w:b/>
                            <w:sz w:val="23"/>
                          </w:rPr>
                        </w:pPr>
                      </w:p>
                      <w:p>
                        <w:pPr>
                          <w:pStyle w:val="TableParagraph"/>
                          <w:spacing w:line="249" w:lineRule="auto"/>
                          <w:ind w:left="4" w:right="-15"/>
                          <w:jc w:val="both"/>
                          <w:rPr>
                            <w:sz w:val="21"/>
                          </w:rPr>
                        </w:pPr>
                        <w:r>
                          <w:rPr>
                            <w:spacing w:val="9"/>
                            <w:sz w:val="21"/>
                          </w:rPr>
                          <w:t>杭州湾上虞经济技术开发区环境</w:t>
                        </w:r>
                        <w:r>
                          <w:rPr>
                            <w:spacing w:val="15"/>
                            <w:sz w:val="21"/>
                          </w:rPr>
                          <w:t>重 点 准 入 区</w:t>
                        </w:r>
                      </w:p>
                      <w:p>
                        <w:pPr>
                          <w:pStyle w:val="TableParagraph"/>
                          <w:ind w:left="4" w:right="-15"/>
                          <w:jc w:val="left"/>
                          <w:rPr>
                            <w:sz w:val="21"/>
                          </w:rPr>
                        </w:pPr>
                        <w:r>
                          <w:rPr>
                            <w:sz w:val="21"/>
                          </w:rPr>
                          <w:t>（</w:t>
                        </w:r>
                        <w:r>
                          <w:rPr>
                            <w:rFonts w:ascii="Times New Roman" w:hAnsi="Times New Roman" w:eastAsia="Times New Roman"/>
                            <w:sz w:val="21"/>
                          </w:rPr>
                          <w:t>0682--Ⅵ-0-2</w:t>
                        </w:r>
                        <w:r>
                          <w:rPr>
                            <w:sz w:val="21"/>
                          </w:rPr>
                          <w:t>）</w:t>
                        </w:r>
                      </w:p>
                    </w:tc>
                    <w:tc>
                      <w:tcPr>
                        <w:tcW w:w="3630"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2" w:after="1"/>
                          <w:jc w:val="left"/>
                          <w:rPr>
                            <w:b/>
                            <w:sz w:val="17"/>
                          </w:rPr>
                        </w:pPr>
                      </w:p>
                      <w:p>
                        <w:pPr>
                          <w:pStyle w:val="TableParagraph"/>
                          <w:ind w:left="3" w:right="-72"/>
                          <w:jc w:val="left"/>
                          <w:rPr>
                            <w:sz w:val="20"/>
                          </w:rPr>
                        </w:pPr>
                        <w:r>
                          <w:rPr>
                            <w:sz w:val="20"/>
                          </w:rPr>
                          <w:drawing>
                            <wp:inline distT="0" distB="0" distL="0" distR="0">
                              <wp:extent cx="2315656" cy="1450086"/>
                              <wp:effectExtent l="0" t="0" r="0" b="0"/>
                              <wp:docPr id="5" name="image9.jpeg"/>
                              <wp:cNvGraphicFramePr>
                                <a:graphicFrameLocks noChangeAspect="1"/>
                              </wp:cNvGraphicFramePr>
                              <a:graphic>
                                <a:graphicData uri="http://schemas.openxmlformats.org/drawingml/2006/picture">
                                  <pic:pic>
                                    <pic:nvPicPr>
                                      <pic:cNvPr id="6" name="image9.jpeg"/>
                                      <pic:cNvPicPr/>
                                    </pic:nvPicPr>
                                    <pic:blipFill>
                                      <a:blip r:embed="rId22" cstate="print"/>
                                      <a:stretch>
                                        <a:fillRect/>
                                      </a:stretch>
                                    </pic:blipFill>
                                    <pic:spPr>
                                      <a:xfrm>
                                        <a:off x="0" y="0"/>
                                        <a:ext cx="2315656" cy="1450086"/>
                                      </a:xfrm>
                                      <a:prstGeom prst="rect">
                                        <a:avLst/>
                                      </a:prstGeom>
                                    </pic:spPr>
                                  </pic:pic>
                                </a:graphicData>
                              </a:graphic>
                            </wp:inline>
                          </w:drawing>
                        </w:r>
                        <w:r>
                          <w:rPr>
                            <w:sz w:val="20"/>
                          </w:rPr>
                        </w:r>
                      </w:p>
                    </w:tc>
                    <w:tc>
                      <w:tcPr>
                        <w:tcW w:w="5298" w:type="dxa"/>
                      </w:tcPr>
                      <w:p>
                        <w:pPr>
                          <w:pStyle w:val="TableParagraph"/>
                          <w:spacing w:line="249" w:lineRule="auto" w:before="128"/>
                          <w:ind w:left="2" w:right="-15"/>
                          <w:jc w:val="both"/>
                          <w:rPr>
                            <w:sz w:val="21"/>
                          </w:rPr>
                        </w:pPr>
                        <w:r>
                          <w:rPr>
                            <w:rFonts w:ascii="Times New Roman" w:eastAsia="Times New Roman"/>
                            <w:sz w:val="21"/>
                          </w:rPr>
                          <w:t>1</w:t>
                        </w:r>
                        <w:r>
                          <w:rPr>
                            <w:spacing w:val="-9"/>
                            <w:sz w:val="21"/>
                          </w:rPr>
                          <w:t>、调整和优化产业结构，逐步提高区域产业准入条件。严格按照区域环境承载能力，控制区域排污总量和三类工业</w:t>
                        </w:r>
                        <w:r>
                          <w:rPr>
                            <w:spacing w:val="-5"/>
                            <w:sz w:val="21"/>
                          </w:rPr>
                          <w:t>项目数量。</w:t>
                        </w:r>
                      </w:p>
                      <w:p>
                        <w:pPr>
                          <w:pStyle w:val="TableParagraph"/>
                          <w:spacing w:line="252" w:lineRule="auto"/>
                          <w:ind w:left="2" w:right="-15"/>
                          <w:jc w:val="left"/>
                          <w:rPr>
                            <w:sz w:val="21"/>
                          </w:rPr>
                        </w:pPr>
                        <w:r>
                          <w:rPr>
                            <w:rFonts w:ascii="Times New Roman" w:eastAsia="Times New Roman"/>
                            <w:sz w:val="21"/>
                          </w:rPr>
                          <w:t>2</w:t>
                        </w:r>
                        <w:r>
                          <w:rPr>
                            <w:spacing w:val="-8"/>
                            <w:sz w:val="21"/>
                          </w:rPr>
                          <w:t>、禁止新建、扩建不符合园区发展</w:t>
                        </w:r>
                        <w:r>
                          <w:rPr>
                            <w:sz w:val="21"/>
                          </w:rPr>
                          <w:t>（</w:t>
                        </w:r>
                        <w:r>
                          <w:rPr>
                            <w:spacing w:val="-2"/>
                            <w:sz w:val="21"/>
                          </w:rPr>
                          <w:t>总体</w:t>
                        </w:r>
                        <w:r>
                          <w:rPr>
                            <w:spacing w:val="-20"/>
                            <w:sz w:val="21"/>
                          </w:rPr>
                          <w:t>）</w:t>
                        </w:r>
                        <w:r>
                          <w:rPr>
                            <w:spacing w:val="-3"/>
                            <w:sz w:val="21"/>
                          </w:rPr>
                          <w:t>规划及当地主导（</w:t>
                        </w:r>
                        <w:r>
                          <w:rPr>
                            <w:spacing w:val="-2"/>
                            <w:sz w:val="21"/>
                          </w:rPr>
                          <w:t>特色</w:t>
                        </w:r>
                        <w:r>
                          <w:rPr>
                            <w:spacing w:val="-3"/>
                            <w:sz w:val="21"/>
                          </w:rPr>
                          <w:t>）产业的其他三类工业建设项目。</w:t>
                        </w:r>
                      </w:p>
                      <w:p>
                        <w:pPr>
                          <w:pStyle w:val="TableParagraph"/>
                          <w:spacing w:line="247" w:lineRule="auto"/>
                          <w:ind w:left="2" w:right="-15"/>
                          <w:jc w:val="left"/>
                          <w:rPr>
                            <w:sz w:val="21"/>
                          </w:rPr>
                        </w:pPr>
                        <w:r>
                          <w:rPr>
                            <w:rFonts w:ascii="Times New Roman" w:eastAsia="Times New Roman"/>
                            <w:sz w:val="21"/>
                          </w:rPr>
                          <w:t>3</w:t>
                        </w:r>
                        <w:r>
                          <w:rPr>
                            <w:spacing w:val="-10"/>
                            <w:sz w:val="21"/>
                          </w:rPr>
                          <w:t>、新建二类、三类工业项目污染物排放水平需达到同行业</w:t>
                        </w:r>
                        <w:r>
                          <w:rPr>
                            <w:spacing w:val="-5"/>
                            <w:sz w:val="21"/>
                          </w:rPr>
                          <w:t>国内先进水平。</w:t>
                        </w:r>
                      </w:p>
                      <w:p>
                        <w:pPr>
                          <w:pStyle w:val="TableParagraph"/>
                          <w:spacing w:line="249" w:lineRule="auto" w:before="3"/>
                          <w:ind w:left="2" w:right="-15"/>
                          <w:jc w:val="both"/>
                          <w:rPr>
                            <w:sz w:val="21"/>
                          </w:rPr>
                        </w:pPr>
                        <w:r>
                          <w:rPr>
                            <w:rFonts w:ascii="Times New Roman" w:eastAsia="Times New Roman"/>
                            <w:sz w:val="21"/>
                          </w:rPr>
                          <w:t>4</w:t>
                        </w:r>
                        <w:r>
                          <w:rPr>
                            <w:spacing w:val="-9"/>
                            <w:sz w:val="21"/>
                          </w:rPr>
                          <w:t>、合理规划居住区与工业功能区，限定三类工业空间布局范围，在居住区和工业区、工业企业之间设置防护绿地、</w:t>
                        </w:r>
                        <w:r>
                          <w:rPr>
                            <w:spacing w:val="-5"/>
                            <w:sz w:val="21"/>
                          </w:rPr>
                          <w:t>生态绿地等隔离带，确保人居环境安全。</w:t>
                        </w:r>
                      </w:p>
                      <w:p>
                        <w:pPr>
                          <w:pStyle w:val="TableParagraph"/>
                          <w:ind w:left="2"/>
                          <w:jc w:val="left"/>
                          <w:rPr>
                            <w:sz w:val="21"/>
                          </w:rPr>
                        </w:pPr>
                        <w:r>
                          <w:rPr>
                            <w:rFonts w:ascii="Times New Roman" w:eastAsia="Times New Roman"/>
                            <w:sz w:val="21"/>
                          </w:rPr>
                          <w:t>5</w:t>
                        </w:r>
                        <w:r>
                          <w:rPr>
                            <w:sz w:val="21"/>
                          </w:rPr>
                          <w:t>、禁止畜禽养殖。</w:t>
                        </w:r>
                      </w:p>
                      <w:p>
                        <w:pPr>
                          <w:pStyle w:val="TableParagraph"/>
                          <w:spacing w:before="12"/>
                          <w:ind w:left="2"/>
                          <w:jc w:val="left"/>
                          <w:rPr>
                            <w:sz w:val="21"/>
                          </w:rPr>
                        </w:pPr>
                        <w:r>
                          <w:rPr>
                            <w:rFonts w:ascii="Times New Roman" w:eastAsia="Times New Roman"/>
                            <w:sz w:val="21"/>
                          </w:rPr>
                          <w:t>6</w:t>
                        </w:r>
                        <w:r>
                          <w:rPr>
                            <w:sz w:val="21"/>
                          </w:rPr>
                          <w:t>、加强土壤和地下水污染防治。</w:t>
                        </w:r>
                      </w:p>
                      <w:p>
                        <w:pPr>
                          <w:pStyle w:val="TableParagraph"/>
                          <w:spacing w:line="249" w:lineRule="auto" w:before="9"/>
                          <w:ind w:left="2" w:right="-15"/>
                          <w:jc w:val="both"/>
                          <w:rPr>
                            <w:sz w:val="21"/>
                          </w:rPr>
                        </w:pPr>
                        <w:r>
                          <w:rPr>
                            <w:rFonts w:ascii="Times New Roman" w:eastAsia="Times New Roman"/>
                            <w:sz w:val="21"/>
                          </w:rPr>
                          <w:t>7</w:t>
                        </w:r>
                        <w:r>
                          <w:rPr>
                            <w:spacing w:val="-9"/>
                            <w:sz w:val="21"/>
                          </w:rPr>
                          <w:t>、最大限度保留区内原有自然生态系统，保护好河湖湿地生境，禁止未经法定许可占用水域；除防洪、航运为主要功能的河湖堤岸外，禁止非生态型河湖堤岸改造；建设项</w:t>
                        </w:r>
                        <w:r>
                          <w:rPr>
                            <w:spacing w:val="-5"/>
                            <w:sz w:val="21"/>
                          </w:rPr>
                          <w:t>目不得影响河道自然形态和河湖水生态</w:t>
                        </w:r>
                        <w:r>
                          <w:rPr>
                            <w:spacing w:val="-3"/>
                            <w:sz w:val="21"/>
                          </w:rPr>
                          <w:t>（</w:t>
                        </w:r>
                        <w:r>
                          <w:rPr>
                            <w:spacing w:val="-2"/>
                            <w:sz w:val="21"/>
                          </w:rPr>
                          <w:t>环境</w:t>
                        </w:r>
                        <w:r>
                          <w:rPr>
                            <w:sz w:val="21"/>
                          </w:rPr>
                          <w:t>）</w:t>
                        </w:r>
                        <w:r>
                          <w:rPr>
                            <w:spacing w:val="-2"/>
                            <w:sz w:val="21"/>
                          </w:rPr>
                          <w:t>功能。</w:t>
                        </w:r>
                      </w:p>
                      <w:p>
                        <w:pPr>
                          <w:pStyle w:val="TableParagraph"/>
                          <w:spacing w:line="249" w:lineRule="auto" w:before="2"/>
                          <w:ind w:left="2" w:right="-15"/>
                          <w:jc w:val="left"/>
                          <w:rPr>
                            <w:sz w:val="21"/>
                          </w:rPr>
                        </w:pPr>
                        <w:r>
                          <w:rPr>
                            <w:rFonts w:ascii="Times New Roman" w:eastAsia="Times New Roman"/>
                            <w:sz w:val="21"/>
                          </w:rPr>
                          <w:t>8</w:t>
                        </w:r>
                        <w:r>
                          <w:rPr>
                            <w:spacing w:val="-9"/>
                            <w:sz w:val="21"/>
                          </w:rPr>
                          <w:t>、允许各类项目准入，但凡属国家、省、市、县落后产能</w:t>
                        </w:r>
                        <w:r>
                          <w:rPr>
                            <w:spacing w:val="-5"/>
                            <w:sz w:val="21"/>
                          </w:rPr>
                          <w:t>的限制类、淘汰类项目，一律不得准入。</w:t>
                        </w:r>
                        <w:r>
                          <w:rPr>
                            <w:sz w:val="21"/>
                          </w:rPr>
                          <w:t> </w:t>
                        </w:r>
                      </w:p>
                    </w:tc>
                    <w:tc>
                      <w:tcPr>
                        <w:tcW w:w="1039"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1"/>
                          <w:jc w:val="left"/>
                          <w:rPr>
                            <w:b/>
                            <w:sz w:val="15"/>
                          </w:rPr>
                        </w:pPr>
                      </w:p>
                      <w:p>
                        <w:pPr>
                          <w:pStyle w:val="TableParagraph"/>
                          <w:ind w:left="307"/>
                          <w:jc w:val="left"/>
                          <w:rPr>
                            <w:sz w:val="21"/>
                          </w:rPr>
                        </w:pPr>
                        <w:r>
                          <w:rPr>
                            <w:sz w:val="21"/>
                          </w:rPr>
                          <w:t>滩涂 </w:t>
                        </w:r>
                      </w:p>
                    </w:tc>
                    <w:tc>
                      <w:tcPr>
                        <w:tcW w:w="1037" w:type="dxa"/>
                      </w:tcPr>
                      <w:p>
                        <w:pPr>
                          <w:pStyle w:val="TableParagraph"/>
                          <w:jc w:val="left"/>
                          <w:rPr>
                            <w:b/>
                            <w:sz w:val="18"/>
                          </w:rPr>
                        </w:pPr>
                      </w:p>
                      <w:p>
                        <w:pPr>
                          <w:pStyle w:val="TableParagraph"/>
                          <w:spacing w:before="1"/>
                          <w:jc w:val="left"/>
                          <w:rPr>
                            <w:b/>
                            <w:sz w:val="18"/>
                          </w:rPr>
                        </w:pPr>
                      </w:p>
                      <w:p>
                        <w:pPr>
                          <w:pStyle w:val="TableParagraph"/>
                          <w:spacing w:line="242" w:lineRule="auto"/>
                          <w:ind w:left="2" w:right="-15"/>
                          <w:jc w:val="left"/>
                          <w:rPr>
                            <w:b/>
                            <w:sz w:val="18"/>
                          </w:rPr>
                        </w:pPr>
                        <w:r>
                          <w:rPr>
                            <w:rFonts w:ascii="Times New Roman" w:eastAsia="Times New Roman"/>
                            <w:b/>
                            <w:spacing w:val="6"/>
                            <w:sz w:val="18"/>
                          </w:rPr>
                          <w:t>1</w:t>
                        </w:r>
                        <w:r>
                          <w:rPr>
                            <w:b/>
                            <w:spacing w:val="5"/>
                            <w:sz w:val="18"/>
                          </w:rPr>
                          <w:t>、本次项目</w:t>
                        </w:r>
                        <w:r>
                          <w:rPr>
                            <w:b/>
                            <w:spacing w:val="24"/>
                            <w:sz w:val="18"/>
                          </w:rPr>
                          <w:t>属于农药产</w:t>
                        </w:r>
                        <w:r>
                          <w:rPr>
                            <w:b/>
                            <w:spacing w:val="1"/>
                            <w:sz w:val="18"/>
                          </w:rPr>
                          <w:t>品制造，为园区主导产业</w:t>
                        </w:r>
                        <w:r>
                          <w:rPr>
                            <w:b/>
                            <w:spacing w:val="24"/>
                            <w:sz w:val="18"/>
                          </w:rPr>
                          <w:t>不属于园区禁止的三类</w:t>
                        </w:r>
                        <w:r>
                          <w:rPr>
                            <w:b/>
                            <w:spacing w:val="5"/>
                            <w:sz w:val="18"/>
                          </w:rPr>
                          <w:t>工业项目，满</w:t>
                        </w:r>
                        <w:r>
                          <w:rPr>
                            <w:b/>
                            <w:spacing w:val="24"/>
                            <w:sz w:val="18"/>
                          </w:rPr>
                          <w:t>足生态空间清单要求；</w:t>
                        </w:r>
                      </w:p>
                      <w:p>
                        <w:pPr>
                          <w:pStyle w:val="TableParagraph"/>
                          <w:spacing w:line="290" w:lineRule="auto" w:before="50"/>
                          <w:ind w:left="2" w:right="-15"/>
                          <w:jc w:val="both"/>
                          <w:rPr>
                            <w:sz w:val="21"/>
                          </w:rPr>
                        </w:pPr>
                        <w:r>
                          <w:rPr>
                            <w:rFonts w:ascii="Times New Roman" w:eastAsia="Times New Roman"/>
                            <w:b/>
                            <w:sz w:val="18"/>
                          </w:rPr>
                          <w:t>2</w:t>
                        </w:r>
                        <w:r>
                          <w:rPr>
                            <w:b/>
                            <w:sz w:val="18"/>
                          </w:rPr>
                          <w:t>、项目所在地远离规划居住区，园区已设置了防护绿地隔离带，项目并不属于畜禽养殖行业。</w:t>
                        </w:r>
                        <w:r>
                          <w:rPr>
                            <w:w w:val="100"/>
                            <w:sz w:val="21"/>
                          </w:rPr>
                          <w:t> </w:t>
                        </w:r>
                      </w:p>
                    </w:tc>
                  </w:tr>
                </w:tbl>
                <w:p>
                  <w:pPr>
                    <w:pStyle w:val="BodyText"/>
                  </w:pPr>
                </w:p>
              </w:txbxContent>
            </v:textbox>
            <w10:wrap type="none"/>
          </v:shape>
        </w:pict>
      </w:r>
      <w:r>
        <w:rPr/>
        <w:t>表 </w:t>
      </w:r>
      <w:r>
        <w:rPr>
          <w:rFonts w:ascii="Times New Roman" w:eastAsia="Times New Roman"/>
        </w:rPr>
        <w:t>2.6.4-1    </w:t>
      </w:r>
      <w:r>
        <w:rPr/>
        <w:t>生态空间清单</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11"/>
        <w:rPr>
          <w:b/>
          <w:sz w:val="25"/>
        </w:rPr>
      </w:pPr>
    </w:p>
    <w:p>
      <w:pPr>
        <w:spacing w:before="1"/>
        <w:ind w:left="0" w:right="177" w:firstLine="0"/>
        <w:jc w:val="right"/>
        <w:rPr>
          <w:b/>
          <w:sz w:val="18"/>
        </w:rPr>
      </w:pPr>
      <w:r>
        <w:rPr>
          <w:b/>
          <w:w w:val="99"/>
          <w:sz w:val="18"/>
        </w:rPr>
        <w:t>，</w:t>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4"/>
        <w:rPr>
          <w:b/>
          <w:sz w:val="26"/>
        </w:rPr>
      </w:pPr>
    </w:p>
    <w:p>
      <w:pPr>
        <w:pStyle w:val="Heading4"/>
        <w:tabs>
          <w:tab w:pos="1680" w:val="left" w:leader="none"/>
        </w:tabs>
        <w:spacing w:after="29"/>
        <w:ind w:left="338"/>
        <w:jc w:val="center"/>
      </w:pPr>
      <w:r>
        <w:rPr/>
        <w:t>表</w:t>
      </w:r>
      <w:r>
        <w:rPr>
          <w:spacing w:val="-60"/>
        </w:rPr>
        <w:t> </w:t>
      </w:r>
      <w:r>
        <w:rPr>
          <w:rFonts w:ascii="Times New Roman" w:eastAsia="Times New Roman"/>
        </w:rPr>
        <w:t>2.6.4-2</w:t>
        <w:tab/>
      </w:r>
      <w:r>
        <w:rPr/>
        <w:t>环境准入条件清单</w:t>
      </w: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3"/>
        <w:gridCol w:w="614"/>
        <w:gridCol w:w="921"/>
        <w:gridCol w:w="4500"/>
        <w:gridCol w:w="4397"/>
        <w:gridCol w:w="3192"/>
      </w:tblGrid>
      <w:tr>
        <w:trPr>
          <w:trHeight w:val="544" w:hRule="atLeast"/>
        </w:trPr>
        <w:tc>
          <w:tcPr>
            <w:tcW w:w="1207" w:type="dxa"/>
            <w:gridSpan w:val="2"/>
          </w:tcPr>
          <w:p>
            <w:pPr>
              <w:pStyle w:val="TableParagraph"/>
              <w:spacing w:before="138"/>
              <w:ind w:left="393"/>
              <w:jc w:val="left"/>
              <w:rPr>
                <w:sz w:val="21"/>
              </w:rPr>
            </w:pPr>
            <w:r>
              <w:rPr>
                <w:sz w:val="21"/>
              </w:rPr>
              <w:t>分类</w:t>
            </w:r>
          </w:p>
        </w:tc>
        <w:tc>
          <w:tcPr>
            <w:tcW w:w="921" w:type="dxa"/>
          </w:tcPr>
          <w:p>
            <w:pPr>
              <w:pStyle w:val="TableParagraph"/>
              <w:spacing w:before="1"/>
              <w:ind w:left="126" w:right="115"/>
              <w:rPr>
                <w:sz w:val="21"/>
              </w:rPr>
            </w:pPr>
            <w:r>
              <w:rPr>
                <w:sz w:val="21"/>
              </w:rPr>
              <w:t>行业清</w:t>
            </w:r>
          </w:p>
          <w:p>
            <w:pPr>
              <w:pStyle w:val="TableParagraph"/>
              <w:spacing w:line="250" w:lineRule="exact" w:before="4"/>
              <w:ind w:left="11"/>
              <w:rPr>
                <w:sz w:val="21"/>
              </w:rPr>
            </w:pPr>
            <w:r>
              <w:rPr>
                <w:w w:val="100"/>
                <w:sz w:val="21"/>
              </w:rPr>
              <w:t>单</w:t>
            </w:r>
          </w:p>
        </w:tc>
        <w:tc>
          <w:tcPr>
            <w:tcW w:w="4500" w:type="dxa"/>
          </w:tcPr>
          <w:p>
            <w:pPr>
              <w:pStyle w:val="TableParagraph"/>
              <w:spacing w:before="138"/>
              <w:ind w:left="1808" w:right="1801"/>
              <w:rPr>
                <w:sz w:val="21"/>
              </w:rPr>
            </w:pPr>
            <w:r>
              <w:rPr>
                <w:sz w:val="21"/>
              </w:rPr>
              <w:t>工艺清单</w:t>
            </w:r>
          </w:p>
        </w:tc>
        <w:tc>
          <w:tcPr>
            <w:tcW w:w="4397" w:type="dxa"/>
          </w:tcPr>
          <w:p>
            <w:pPr>
              <w:pStyle w:val="TableParagraph"/>
              <w:spacing w:before="138"/>
              <w:ind w:left="1761" w:right="1745"/>
              <w:rPr>
                <w:sz w:val="21"/>
              </w:rPr>
            </w:pPr>
            <w:r>
              <w:rPr>
                <w:sz w:val="21"/>
              </w:rPr>
              <w:t>产品清单</w:t>
            </w:r>
          </w:p>
        </w:tc>
        <w:tc>
          <w:tcPr>
            <w:tcW w:w="3192" w:type="dxa"/>
          </w:tcPr>
          <w:p>
            <w:pPr>
              <w:pStyle w:val="TableParagraph"/>
              <w:spacing w:before="138"/>
              <w:ind w:left="1072"/>
              <w:jc w:val="left"/>
              <w:rPr>
                <w:sz w:val="21"/>
              </w:rPr>
            </w:pPr>
            <w:r>
              <w:rPr>
                <w:sz w:val="21"/>
              </w:rPr>
              <w:t>符合性分析</w:t>
            </w:r>
          </w:p>
        </w:tc>
      </w:tr>
      <w:tr>
        <w:trPr>
          <w:trHeight w:val="1363" w:hRule="atLeast"/>
        </w:trPr>
        <w:tc>
          <w:tcPr>
            <w:tcW w:w="593" w:type="dxa"/>
          </w:tcPr>
          <w:p>
            <w:pPr>
              <w:pStyle w:val="TableParagraph"/>
              <w:spacing w:line="242" w:lineRule="auto" w:before="1"/>
              <w:ind w:left="107" w:right="263"/>
              <w:jc w:val="both"/>
              <w:rPr>
                <w:sz w:val="21"/>
              </w:rPr>
            </w:pPr>
            <w:r>
              <w:rPr>
                <w:sz w:val="21"/>
              </w:rPr>
              <w:t>禁止准</w:t>
            </w:r>
          </w:p>
          <w:p>
            <w:pPr>
              <w:pStyle w:val="TableParagraph"/>
              <w:spacing w:line="270" w:lineRule="atLeast" w:before="2"/>
              <w:ind w:left="107" w:right="263"/>
              <w:jc w:val="left"/>
              <w:rPr>
                <w:sz w:val="21"/>
              </w:rPr>
            </w:pPr>
            <w:r>
              <w:rPr>
                <w:sz w:val="21"/>
              </w:rPr>
              <w:t>入类</w:t>
            </w:r>
          </w:p>
        </w:tc>
        <w:tc>
          <w:tcPr>
            <w:tcW w:w="614" w:type="dxa"/>
          </w:tcPr>
          <w:p>
            <w:pPr>
              <w:pStyle w:val="TableParagraph"/>
              <w:spacing w:line="242" w:lineRule="auto" w:before="138"/>
              <w:ind w:left="105" w:right="285"/>
              <w:jc w:val="both"/>
              <w:rPr>
                <w:sz w:val="21"/>
              </w:rPr>
            </w:pPr>
            <w:r>
              <w:rPr>
                <w:sz w:val="21"/>
              </w:rPr>
              <w:t>化工行业</w:t>
            </w:r>
          </w:p>
        </w:tc>
        <w:tc>
          <w:tcPr>
            <w:tcW w:w="921" w:type="dxa"/>
          </w:tcPr>
          <w:p>
            <w:pPr>
              <w:pStyle w:val="TableParagraph"/>
              <w:spacing w:line="242" w:lineRule="auto" w:before="1"/>
              <w:ind w:left="108" w:right="168"/>
              <w:jc w:val="left"/>
              <w:rPr>
                <w:sz w:val="21"/>
              </w:rPr>
            </w:pPr>
            <w:r>
              <w:rPr>
                <w:sz w:val="21"/>
              </w:rPr>
              <w:t>除 化 工、印染外的</w:t>
            </w:r>
          </w:p>
          <w:p>
            <w:pPr>
              <w:pStyle w:val="TableParagraph"/>
              <w:spacing w:line="270" w:lineRule="atLeast" w:before="2"/>
              <w:ind w:left="108" w:right="168"/>
              <w:jc w:val="left"/>
              <w:rPr>
                <w:sz w:val="21"/>
              </w:rPr>
            </w:pPr>
            <w:r>
              <w:rPr>
                <w:sz w:val="21"/>
              </w:rPr>
              <w:t>其他行业</w:t>
            </w:r>
          </w:p>
        </w:tc>
        <w:tc>
          <w:tcPr>
            <w:tcW w:w="4500" w:type="dxa"/>
          </w:tcPr>
          <w:p>
            <w:pPr>
              <w:pStyle w:val="TableParagraph"/>
              <w:spacing w:before="1"/>
              <w:ind w:left="106"/>
              <w:jc w:val="left"/>
              <w:rPr>
                <w:sz w:val="21"/>
              </w:rPr>
            </w:pPr>
            <w:r>
              <w:rPr>
                <w:rFonts w:ascii="Times New Roman" w:eastAsia="Times New Roman"/>
                <w:sz w:val="21"/>
              </w:rPr>
              <w:t>1</w:t>
            </w:r>
            <w:r>
              <w:rPr>
                <w:sz w:val="21"/>
              </w:rPr>
              <w:t>、十五小和新五小项目</w:t>
            </w:r>
          </w:p>
          <w:p>
            <w:pPr>
              <w:pStyle w:val="TableParagraph"/>
              <w:spacing w:line="242" w:lineRule="auto" w:before="5"/>
              <w:ind w:left="106" w:right="91"/>
              <w:jc w:val="left"/>
              <w:rPr>
                <w:sz w:val="21"/>
              </w:rPr>
            </w:pPr>
            <w:r>
              <w:rPr>
                <w:rFonts w:ascii="Times New Roman" w:eastAsia="Times New Roman"/>
                <w:spacing w:val="-5"/>
                <w:sz w:val="21"/>
              </w:rPr>
              <w:t>2</w:t>
            </w:r>
            <w:r>
              <w:rPr>
                <w:spacing w:val="-5"/>
                <w:sz w:val="21"/>
              </w:rPr>
              <w:t>、原料、产品涉及《杭州湾上虞经济技术开发</w:t>
            </w:r>
            <w:r>
              <w:rPr>
                <w:spacing w:val="-4"/>
                <w:sz w:val="21"/>
              </w:rPr>
              <w:t>区化工企业建设标准化实施细则》表</w:t>
            </w:r>
            <w:r>
              <w:rPr>
                <w:rFonts w:ascii="Times New Roman" w:eastAsia="Times New Roman"/>
                <w:sz w:val="21"/>
              </w:rPr>
              <w:t>1</w:t>
            </w:r>
            <w:r>
              <w:rPr>
                <w:sz w:val="21"/>
              </w:rPr>
              <w:t>中</w:t>
            </w:r>
            <w:r>
              <w:rPr>
                <w:rFonts w:ascii="Times New Roman" w:eastAsia="Times New Roman"/>
                <w:spacing w:val="-4"/>
                <w:sz w:val="21"/>
              </w:rPr>
              <w:t>I</w:t>
            </w:r>
            <w:r>
              <w:rPr>
                <w:sz w:val="21"/>
              </w:rPr>
              <w:t>类物</w:t>
            </w:r>
            <w:r>
              <w:rPr>
                <w:spacing w:val="-3"/>
                <w:sz w:val="21"/>
              </w:rPr>
              <w:t>质，以及嗅阈值低于</w:t>
            </w:r>
            <w:r>
              <w:rPr>
                <w:rFonts w:ascii="Times New Roman" w:eastAsia="Times New Roman"/>
                <w:sz w:val="21"/>
              </w:rPr>
              <w:t>0.001ppm</w:t>
            </w:r>
            <w:r>
              <w:rPr>
                <w:sz w:val="21"/>
              </w:rPr>
              <w:t>（</w:t>
            </w:r>
            <w:r>
              <w:rPr>
                <w:spacing w:val="-3"/>
                <w:sz w:val="21"/>
              </w:rPr>
              <w:t>相当于甲硫醚</w:t>
            </w:r>
          </w:p>
          <w:p>
            <w:pPr>
              <w:pStyle w:val="TableParagraph"/>
              <w:spacing w:line="252" w:lineRule="exact"/>
              <w:ind w:left="106"/>
              <w:jc w:val="left"/>
              <w:rPr>
                <w:sz w:val="21"/>
              </w:rPr>
            </w:pPr>
            <w:r>
              <w:rPr>
                <w:sz w:val="21"/>
              </w:rPr>
              <w:t>的嗅阈值，勉强能闻到异味，即恶臭强度为</w:t>
            </w:r>
            <w:r>
              <w:rPr>
                <w:rFonts w:ascii="Times New Roman" w:eastAsia="Times New Roman"/>
                <w:sz w:val="21"/>
              </w:rPr>
              <w:t>1</w:t>
            </w:r>
            <w:r>
              <w:rPr>
                <w:sz w:val="21"/>
              </w:rPr>
              <w:t>时</w:t>
            </w:r>
          </w:p>
        </w:tc>
        <w:tc>
          <w:tcPr>
            <w:tcW w:w="4397" w:type="dxa"/>
          </w:tcPr>
          <w:p>
            <w:pPr>
              <w:pStyle w:val="TableParagraph"/>
              <w:spacing w:line="244" w:lineRule="auto" w:before="1"/>
              <w:ind w:left="109" w:right="177"/>
              <w:jc w:val="left"/>
              <w:rPr>
                <w:sz w:val="21"/>
              </w:rPr>
            </w:pPr>
            <w:r>
              <w:rPr>
                <w:rFonts w:ascii="Times New Roman" w:eastAsia="Times New Roman"/>
                <w:sz w:val="21"/>
              </w:rPr>
              <w:t>1</w:t>
            </w:r>
            <w:r>
              <w:rPr>
                <w:sz w:val="21"/>
              </w:rPr>
              <w:t>、生产、使用《监控化学品名录》中第一、二类监控化学品及第三类监控化学品中光</w:t>
            </w:r>
          </w:p>
          <w:p>
            <w:pPr>
              <w:pStyle w:val="TableParagraph"/>
              <w:spacing w:line="244" w:lineRule="auto"/>
              <w:ind w:left="109" w:right="44"/>
              <w:jc w:val="left"/>
              <w:rPr>
                <w:sz w:val="21"/>
              </w:rPr>
            </w:pPr>
            <w:r>
              <w:rPr>
                <w:sz w:val="21"/>
              </w:rPr>
              <w:t>气、氰化氢、氯化氰、三氯硝基甲烷等特定化学品的建设项目</w:t>
            </w:r>
          </w:p>
          <w:p>
            <w:pPr>
              <w:pStyle w:val="TableParagraph"/>
              <w:spacing w:line="248" w:lineRule="exact"/>
              <w:ind w:left="109"/>
              <w:jc w:val="left"/>
              <w:rPr>
                <w:sz w:val="21"/>
              </w:rPr>
            </w:pPr>
            <w:r>
              <w:rPr>
                <w:rFonts w:ascii="Times New Roman" w:eastAsia="Times New Roman"/>
                <w:sz w:val="21"/>
              </w:rPr>
              <w:t>2</w:t>
            </w:r>
            <w:r>
              <w:rPr>
                <w:sz w:val="21"/>
              </w:rPr>
              <w:t>、生产、使用《危险化学品名录（</w:t>
            </w:r>
            <w:r>
              <w:rPr>
                <w:rFonts w:ascii="Times New Roman" w:eastAsia="Times New Roman"/>
                <w:sz w:val="21"/>
              </w:rPr>
              <w:t>2015</w:t>
            </w:r>
            <w:r>
              <w:rPr>
                <w:sz w:val="21"/>
              </w:rPr>
              <w:t>版）</w:t>
            </w:r>
          </w:p>
        </w:tc>
        <w:tc>
          <w:tcPr>
            <w:tcW w:w="3192" w:type="dxa"/>
          </w:tcPr>
          <w:p>
            <w:pPr>
              <w:pStyle w:val="TableParagraph"/>
              <w:spacing w:line="242" w:lineRule="auto" w:before="1"/>
              <w:ind w:left="109" w:right="88"/>
              <w:jc w:val="both"/>
              <w:rPr>
                <w:rFonts w:ascii="Times New Roman" w:eastAsia="Times New Roman"/>
                <w:sz w:val="21"/>
              </w:rPr>
            </w:pPr>
            <w:r>
              <w:rPr>
                <w:rFonts w:ascii="Times New Roman" w:eastAsia="Times New Roman"/>
                <w:b/>
                <w:spacing w:val="-3"/>
                <w:sz w:val="21"/>
              </w:rPr>
              <w:t>1</w:t>
            </w:r>
            <w:r>
              <w:rPr>
                <w:b/>
                <w:spacing w:val="-10"/>
                <w:sz w:val="21"/>
              </w:rPr>
              <w:t>、本项目产品及原料不涉及</w:t>
            </w:r>
            <w:r>
              <w:rPr>
                <w:spacing w:val="-8"/>
                <w:sz w:val="21"/>
              </w:rPr>
              <w:t>《杭</w:t>
            </w:r>
            <w:r>
              <w:rPr>
                <w:spacing w:val="-1"/>
                <w:sz w:val="21"/>
              </w:rPr>
              <w:t>州湾上虞经济技术开发区化工企</w:t>
            </w:r>
            <w:r>
              <w:rPr>
                <w:spacing w:val="-5"/>
                <w:sz w:val="21"/>
              </w:rPr>
              <w:t>业建设标准化实施细则》表 </w:t>
            </w:r>
            <w:r>
              <w:rPr>
                <w:rFonts w:ascii="Times New Roman" w:eastAsia="Times New Roman"/>
                <w:sz w:val="21"/>
              </w:rPr>
              <w:t>1</w:t>
            </w:r>
            <w:r>
              <w:rPr>
                <w:rFonts w:ascii="Times New Roman" w:eastAsia="Times New Roman"/>
                <w:spacing w:val="26"/>
                <w:sz w:val="21"/>
              </w:rPr>
              <w:t> </w:t>
            </w:r>
            <w:r>
              <w:rPr>
                <w:spacing w:val="-12"/>
                <w:sz w:val="21"/>
              </w:rPr>
              <w:t>中</w:t>
            </w:r>
            <w:r>
              <w:rPr>
                <w:sz w:val="21"/>
              </w:rPr>
              <w:t> </w:t>
            </w:r>
            <w:r>
              <w:rPr>
                <w:rFonts w:ascii="Times New Roman" w:eastAsia="Times New Roman"/>
                <w:sz w:val="21"/>
              </w:rPr>
              <w:t>I</w:t>
            </w:r>
            <w:r>
              <w:rPr>
                <w:rFonts w:ascii="Times New Roman" w:eastAsia="Times New Roman"/>
                <w:spacing w:val="43"/>
                <w:sz w:val="21"/>
              </w:rPr>
              <w:t> </w:t>
            </w:r>
            <w:r>
              <w:rPr>
                <w:spacing w:val="-4"/>
                <w:sz w:val="21"/>
              </w:rPr>
              <w:t>类物质及嗅阈值低于 </w:t>
            </w:r>
            <w:r>
              <w:rPr>
                <w:rFonts w:ascii="Times New Roman" w:eastAsia="Times New Roman"/>
                <w:spacing w:val="-3"/>
                <w:sz w:val="21"/>
              </w:rPr>
              <w:t>0.001ppm</w:t>
            </w:r>
          </w:p>
          <w:p>
            <w:pPr>
              <w:pStyle w:val="TableParagraph"/>
              <w:spacing w:line="252" w:lineRule="exact" w:before="3"/>
              <w:ind w:left="109"/>
              <w:jc w:val="left"/>
              <w:rPr>
                <w:sz w:val="21"/>
              </w:rPr>
            </w:pPr>
            <w:r>
              <w:rPr>
                <w:sz w:val="21"/>
              </w:rPr>
              <w:t>的阈嗅值；项目工艺要求和装备</w:t>
            </w:r>
          </w:p>
        </w:tc>
      </w:tr>
    </w:tbl>
    <w:p>
      <w:pPr>
        <w:spacing w:after="0" w:line="252" w:lineRule="exact"/>
        <w:jc w:val="left"/>
        <w:rPr>
          <w:sz w:val="21"/>
        </w:rPr>
        <w:sectPr>
          <w:headerReference w:type="default" r:id="rId20"/>
          <w:footerReference w:type="default" r:id="rId21"/>
          <w:pgSz w:w="16840" w:h="11910" w:orient="landscape"/>
          <w:pgMar w:header="874" w:footer="944" w:top="1180" w:bottom="1140" w:left="1200" w:right="1180"/>
          <w:pgNumType w:start="33"/>
        </w:sectPr>
      </w:pPr>
    </w:p>
    <w:p>
      <w:pPr>
        <w:pStyle w:val="BodyText"/>
        <w:spacing w:before="8"/>
        <w:rPr>
          <w:rFonts w:ascii="Times New Roman"/>
          <w:sz w:val="20"/>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3"/>
        <w:gridCol w:w="614"/>
        <w:gridCol w:w="921"/>
        <w:gridCol w:w="4500"/>
        <w:gridCol w:w="4397"/>
        <w:gridCol w:w="3192"/>
      </w:tblGrid>
      <w:tr>
        <w:trPr>
          <w:trHeight w:val="544" w:hRule="atLeast"/>
        </w:trPr>
        <w:tc>
          <w:tcPr>
            <w:tcW w:w="1207" w:type="dxa"/>
            <w:gridSpan w:val="2"/>
          </w:tcPr>
          <w:p>
            <w:pPr>
              <w:pStyle w:val="TableParagraph"/>
              <w:spacing w:before="137"/>
              <w:ind w:left="393"/>
              <w:jc w:val="left"/>
              <w:rPr>
                <w:sz w:val="21"/>
              </w:rPr>
            </w:pPr>
            <w:r>
              <w:rPr>
                <w:sz w:val="21"/>
              </w:rPr>
              <w:t>分类</w:t>
            </w:r>
          </w:p>
        </w:tc>
        <w:tc>
          <w:tcPr>
            <w:tcW w:w="921" w:type="dxa"/>
          </w:tcPr>
          <w:p>
            <w:pPr>
              <w:pStyle w:val="TableParagraph"/>
              <w:spacing w:before="1"/>
              <w:ind w:left="126" w:right="115"/>
              <w:rPr>
                <w:sz w:val="21"/>
              </w:rPr>
            </w:pPr>
            <w:r>
              <w:rPr>
                <w:sz w:val="21"/>
              </w:rPr>
              <w:t>行业清</w:t>
            </w:r>
          </w:p>
          <w:p>
            <w:pPr>
              <w:pStyle w:val="TableParagraph"/>
              <w:spacing w:line="252" w:lineRule="exact" w:before="2"/>
              <w:ind w:left="11"/>
              <w:rPr>
                <w:sz w:val="21"/>
              </w:rPr>
            </w:pPr>
            <w:r>
              <w:rPr>
                <w:w w:val="100"/>
                <w:sz w:val="21"/>
              </w:rPr>
              <w:t>单</w:t>
            </w:r>
          </w:p>
        </w:tc>
        <w:tc>
          <w:tcPr>
            <w:tcW w:w="4500" w:type="dxa"/>
          </w:tcPr>
          <w:p>
            <w:pPr>
              <w:pStyle w:val="TableParagraph"/>
              <w:spacing w:before="137"/>
              <w:ind w:left="1808" w:right="1801"/>
              <w:rPr>
                <w:sz w:val="21"/>
              </w:rPr>
            </w:pPr>
            <w:r>
              <w:rPr>
                <w:sz w:val="21"/>
              </w:rPr>
              <w:t>工艺清单</w:t>
            </w:r>
          </w:p>
        </w:tc>
        <w:tc>
          <w:tcPr>
            <w:tcW w:w="4397" w:type="dxa"/>
          </w:tcPr>
          <w:p>
            <w:pPr>
              <w:pStyle w:val="TableParagraph"/>
              <w:spacing w:before="137"/>
              <w:ind w:left="1761" w:right="1745"/>
              <w:rPr>
                <w:sz w:val="21"/>
              </w:rPr>
            </w:pPr>
            <w:r>
              <w:rPr>
                <w:sz w:val="21"/>
              </w:rPr>
              <w:t>产品清单</w:t>
            </w:r>
          </w:p>
        </w:tc>
        <w:tc>
          <w:tcPr>
            <w:tcW w:w="3192" w:type="dxa"/>
          </w:tcPr>
          <w:p>
            <w:pPr>
              <w:pStyle w:val="TableParagraph"/>
              <w:spacing w:before="137"/>
              <w:ind w:left="1072"/>
              <w:jc w:val="left"/>
              <w:rPr>
                <w:sz w:val="21"/>
              </w:rPr>
            </w:pPr>
            <w:r>
              <w:rPr>
                <w:sz w:val="21"/>
              </w:rPr>
              <w:t>符合性分析</w:t>
            </w:r>
          </w:p>
        </w:tc>
      </w:tr>
      <w:tr>
        <w:trPr>
          <w:trHeight w:val="2179" w:hRule="atLeast"/>
        </w:trPr>
        <w:tc>
          <w:tcPr>
            <w:tcW w:w="593" w:type="dxa"/>
          </w:tcPr>
          <w:p>
            <w:pPr>
              <w:pStyle w:val="TableParagraph"/>
              <w:spacing w:line="244" w:lineRule="auto" w:before="1"/>
              <w:ind w:left="107" w:right="263"/>
              <w:jc w:val="left"/>
              <w:rPr>
                <w:sz w:val="21"/>
              </w:rPr>
            </w:pPr>
            <w:r>
              <w:rPr>
                <w:sz w:val="21"/>
              </w:rPr>
              <w:t>产业</w:t>
            </w:r>
          </w:p>
        </w:tc>
        <w:tc>
          <w:tcPr>
            <w:tcW w:w="614" w:type="dxa"/>
          </w:tcPr>
          <w:p>
            <w:pPr>
              <w:pStyle w:val="TableParagraph"/>
              <w:jc w:val="left"/>
              <w:rPr>
                <w:rFonts w:ascii="Times New Roman"/>
                <w:sz w:val="20"/>
              </w:rPr>
            </w:pPr>
          </w:p>
        </w:tc>
        <w:tc>
          <w:tcPr>
            <w:tcW w:w="921" w:type="dxa"/>
          </w:tcPr>
          <w:p>
            <w:pPr>
              <w:pStyle w:val="TableParagraph"/>
              <w:jc w:val="left"/>
              <w:rPr>
                <w:rFonts w:ascii="Times New Roman"/>
                <w:sz w:val="20"/>
              </w:rPr>
            </w:pPr>
          </w:p>
        </w:tc>
        <w:tc>
          <w:tcPr>
            <w:tcW w:w="4500" w:type="dxa"/>
          </w:tcPr>
          <w:p>
            <w:pPr>
              <w:pStyle w:val="TableParagraph"/>
              <w:spacing w:before="1"/>
              <w:ind w:left="106"/>
              <w:jc w:val="left"/>
              <w:rPr>
                <w:sz w:val="21"/>
              </w:rPr>
            </w:pPr>
            <w:r>
              <w:rPr>
                <w:sz w:val="21"/>
              </w:rPr>
              <w:t>浓度）的建设项目</w:t>
            </w:r>
          </w:p>
          <w:p>
            <w:pPr>
              <w:pStyle w:val="TableParagraph"/>
              <w:spacing w:line="242" w:lineRule="auto" w:before="4"/>
              <w:ind w:left="106" w:right="46"/>
              <w:jc w:val="left"/>
              <w:rPr>
                <w:sz w:val="21"/>
              </w:rPr>
            </w:pPr>
            <w:r>
              <w:rPr>
                <w:rFonts w:ascii="Times New Roman" w:eastAsia="Times New Roman"/>
                <w:sz w:val="21"/>
              </w:rPr>
              <w:t>3</w:t>
            </w:r>
            <w:r>
              <w:rPr>
                <w:sz w:val="21"/>
              </w:rPr>
              <w:t>、工艺要求和装备达不到《上虞区化工企业搬迁入园准入规定》的新建项目</w:t>
            </w:r>
          </w:p>
          <w:p>
            <w:pPr>
              <w:pStyle w:val="TableParagraph"/>
              <w:spacing w:line="242" w:lineRule="auto" w:before="2"/>
              <w:ind w:left="106" w:right="-15"/>
              <w:jc w:val="left"/>
              <w:rPr>
                <w:sz w:val="21"/>
              </w:rPr>
            </w:pPr>
            <w:r>
              <w:rPr>
                <w:rFonts w:ascii="Times New Roman" w:eastAsia="Times New Roman"/>
                <w:spacing w:val="-5"/>
                <w:sz w:val="21"/>
              </w:rPr>
              <w:t>4</w:t>
            </w:r>
            <w:r>
              <w:rPr>
                <w:spacing w:val="-4"/>
                <w:sz w:val="21"/>
              </w:rPr>
              <w:t>、新增区域氯气排放量的项目</w:t>
            </w:r>
            <w:r>
              <w:rPr>
                <w:sz w:val="21"/>
              </w:rPr>
              <w:t>（</w:t>
            </w:r>
            <w:r>
              <w:rPr>
                <w:spacing w:val="-3"/>
                <w:sz w:val="21"/>
              </w:rPr>
              <w:t>新增加氯气排</w:t>
            </w:r>
            <w:r>
              <w:rPr>
                <w:spacing w:val="-6"/>
                <w:sz w:val="21"/>
              </w:rPr>
              <w:t>放的项目，其替代削减源必须来自于开发区内</w:t>
            </w:r>
            <w:r>
              <w:rPr>
                <w:sz w:val="21"/>
              </w:rPr>
              <w:t>）</w:t>
            </w:r>
          </w:p>
        </w:tc>
        <w:tc>
          <w:tcPr>
            <w:tcW w:w="4397" w:type="dxa"/>
          </w:tcPr>
          <w:p>
            <w:pPr>
              <w:pStyle w:val="TableParagraph"/>
              <w:spacing w:before="1"/>
              <w:ind w:left="109"/>
              <w:jc w:val="left"/>
              <w:rPr>
                <w:sz w:val="21"/>
              </w:rPr>
            </w:pPr>
            <w:r>
              <w:rPr>
                <w:sz w:val="21"/>
              </w:rPr>
              <w:t>中爆炸物第</w:t>
            </w:r>
            <w:r>
              <w:rPr>
                <w:rFonts w:ascii="Times New Roman" w:eastAsia="Times New Roman"/>
                <w:sz w:val="21"/>
              </w:rPr>
              <w:t>1.1</w:t>
            </w:r>
            <w:r>
              <w:rPr>
                <w:sz w:val="21"/>
              </w:rPr>
              <w:t>项的建设项目</w:t>
            </w:r>
          </w:p>
          <w:p>
            <w:pPr>
              <w:pStyle w:val="TableParagraph"/>
              <w:spacing w:line="242" w:lineRule="auto" w:before="4"/>
              <w:ind w:left="109" w:right="178"/>
              <w:jc w:val="left"/>
              <w:rPr>
                <w:sz w:val="21"/>
              </w:rPr>
            </w:pPr>
            <w:r>
              <w:rPr>
                <w:rFonts w:ascii="Times New Roman" w:eastAsia="Times New Roman"/>
                <w:sz w:val="21"/>
              </w:rPr>
              <w:t>3</w:t>
            </w:r>
            <w:r>
              <w:rPr>
                <w:sz w:val="21"/>
              </w:rPr>
              <w:t>、新建生产《危险化学品目录（</w:t>
            </w:r>
            <w:r>
              <w:rPr>
                <w:rFonts w:ascii="Times New Roman" w:eastAsia="Times New Roman"/>
                <w:sz w:val="21"/>
              </w:rPr>
              <w:t>2015</w:t>
            </w:r>
            <w:r>
              <w:rPr>
                <w:sz w:val="21"/>
              </w:rPr>
              <w:t>版）》中剧毒化学品的建设项目</w:t>
            </w:r>
          </w:p>
          <w:p>
            <w:pPr>
              <w:pStyle w:val="TableParagraph"/>
              <w:spacing w:line="242" w:lineRule="auto" w:before="2"/>
              <w:ind w:left="109" w:right="-15"/>
              <w:jc w:val="left"/>
              <w:rPr>
                <w:rFonts w:ascii="Times New Roman" w:eastAsia="Times New Roman"/>
                <w:sz w:val="21"/>
              </w:rPr>
            </w:pPr>
            <w:r>
              <w:rPr>
                <w:rFonts w:ascii="Times New Roman" w:eastAsia="Times New Roman"/>
                <w:spacing w:val="-29"/>
                <w:sz w:val="21"/>
              </w:rPr>
              <w:t>4</w:t>
            </w:r>
            <w:r>
              <w:rPr>
                <w:spacing w:val="-15"/>
                <w:sz w:val="21"/>
              </w:rPr>
              <w:t>、新建列入《环境保护综合名录</w:t>
            </w:r>
            <w:r>
              <w:rPr>
                <w:sz w:val="21"/>
              </w:rPr>
              <w:t>（</w:t>
            </w:r>
            <w:r>
              <w:rPr>
                <w:rFonts w:ascii="Times New Roman" w:eastAsia="Times New Roman"/>
                <w:sz w:val="21"/>
              </w:rPr>
              <w:t>2015</w:t>
            </w:r>
            <w:r>
              <w:rPr>
                <w:spacing w:val="-2"/>
                <w:sz w:val="21"/>
              </w:rPr>
              <w:t>年版</w:t>
            </w:r>
            <w:r>
              <w:rPr>
                <w:spacing w:val="-60"/>
                <w:sz w:val="21"/>
              </w:rPr>
              <w:t>）</w:t>
            </w:r>
            <w:r>
              <w:rPr>
                <w:sz w:val="21"/>
              </w:rPr>
              <w:t>》</w:t>
            </w:r>
            <w:r>
              <w:rPr>
                <w:spacing w:val="-3"/>
                <w:sz w:val="21"/>
              </w:rPr>
              <w:t>高污染、高环境风险产品名录的项目</w:t>
            </w:r>
            <w:r>
              <w:rPr>
                <w:rFonts w:ascii="Times New Roman" w:eastAsia="Times New Roman"/>
                <w:spacing w:val="-4"/>
                <w:sz w:val="21"/>
              </w:rPr>
              <w:t>(</w:t>
            </w:r>
            <w:r>
              <w:rPr>
                <w:spacing w:val="-2"/>
                <w:sz w:val="21"/>
              </w:rPr>
              <w:t>详见附 录</w:t>
            </w:r>
            <w:r>
              <w:rPr>
                <w:rFonts w:ascii="Times New Roman" w:eastAsia="Times New Roman"/>
                <w:spacing w:val="-2"/>
                <w:sz w:val="21"/>
              </w:rPr>
              <w:t>)</w:t>
            </w:r>
          </w:p>
          <w:p>
            <w:pPr>
              <w:pStyle w:val="TableParagraph"/>
              <w:ind w:left="109"/>
              <w:jc w:val="left"/>
              <w:rPr>
                <w:sz w:val="21"/>
              </w:rPr>
            </w:pPr>
            <w:r>
              <w:rPr>
                <w:rFonts w:ascii="Times New Roman" w:eastAsia="Times New Roman"/>
                <w:sz w:val="21"/>
              </w:rPr>
              <w:t>5</w:t>
            </w:r>
            <w:r>
              <w:rPr>
                <w:sz w:val="21"/>
              </w:rPr>
              <w:t>、钛白粉生产项目</w:t>
            </w:r>
          </w:p>
        </w:tc>
        <w:tc>
          <w:tcPr>
            <w:tcW w:w="3192" w:type="dxa"/>
          </w:tcPr>
          <w:p>
            <w:pPr>
              <w:pStyle w:val="TableParagraph"/>
              <w:spacing w:line="242" w:lineRule="auto" w:before="1"/>
              <w:ind w:left="109" w:right="88"/>
              <w:jc w:val="both"/>
              <w:rPr>
                <w:b/>
                <w:sz w:val="21"/>
              </w:rPr>
            </w:pPr>
            <w:r>
              <w:rPr>
                <w:sz w:val="21"/>
              </w:rPr>
              <w:t>将按照标准化要求进行建设；项目不涉及新增氯气排放。</w:t>
            </w:r>
            <w:r>
              <w:rPr>
                <w:b/>
                <w:sz w:val="21"/>
              </w:rPr>
              <w:t>项目不属于禁止类工艺清单。</w:t>
            </w:r>
          </w:p>
          <w:p>
            <w:pPr>
              <w:pStyle w:val="TableParagraph"/>
              <w:spacing w:line="242" w:lineRule="auto" w:before="3"/>
              <w:ind w:left="109" w:right="91"/>
              <w:jc w:val="both"/>
              <w:rPr>
                <w:b/>
                <w:sz w:val="21"/>
              </w:rPr>
            </w:pPr>
            <w:r>
              <w:rPr>
                <w:rFonts w:ascii="Times New Roman" w:eastAsia="Times New Roman"/>
                <w:b/>
                <w:sz w:val="21"/>
              </w:rPr>
              <w:t>2</w:t>
            </w:r>
            <w:r>
              <w:rPr>
                <w:b/>
                <w:spacing w:val="-11"/>
                <w:sz w:val="21"/>
              </w:rPr>
              <w:t>、项目产品为三环唑农药，其产</w:t>
            </w:r>
            <w:r>
              <w:rPr>
                <w:b/>
                <w:spacing w:val="-1"/>
                <w:sz w:val="21"/>
              </w:rPr>
              <w:t>品及原料均不属于禁止类产品清单，产品未列入《环境保护综合</w:t>
            </w:r>
            <w:r>
              <w:rPr>
                <w:b/>
                <w:sz w:val="21"/>
              </w:rPr>
              <w:t>名录》（</w:t>
            </w:r>
            <w:r>
              <w:rPr>
                <w:rFonts w:ascii="Times New Roman" w:eastAsia="Times New Roman"/>
                <w:b/>
                <w:sz w:val="21"/>
              </w:rPr>
              <w:t>2021</w:t>
            </w:r>
            <w:r>
              <w:rPr>
                <w:b/>
                <w:sz w:val="21"/>
              </w:rPr>
              <w:t>年版）</w:t>
            </w:r>
            <w:r>
              <w:rPr>
                <w:b/>
                <w:spacing w:val="-3"/>
                <w:sz w:val="21"/>
              </w:rPr>
              <w:t>高污染、高</w:t>
            </w:r>
          </w:p>
          <w:p>
            <w:pPr>
              <w:pStyle w:val="TableParagraph"/>
              <w:spacing w:line="252" w:lineRule="exact" w:before="1"/>
              <w:ind w:left="109"/>
              <w:jc w:val="left"/>
              <w:rPr>
                <w:b/>
                <w:sz w:val="21"/>
              </w:rPr>
            </w:pPr>
            <w:r>
              <w:rPr>
                <w:b/>
                <w:sz w:val="21"/>
              </w:rPr>
              <w:t>环境风险产品名录。</w:t>
            </w:r>
          </w:p>
        </w:tc>
      </w:tr>
      <w:tr>
        <w:trPr>
          <w:trHeight w:val="2500" w:hRule="atLeast"/>
        </w:trPr>
        <w:tc>
          <w:tcPr>
            <w:tcW w:w="593" w:type="dxa"/>
          </w:tcPr>
          <w:p>
            <w:pPr>
              <w:pStyle w:val="TableParagraph"/>
              <w:jc w:val="left"/>
              <w:rPr>
                <w:rFonts w:ascii="Times New Roman"/>
                <w:sz w:val="20"/>
              </w:rPr>
            </w:pPr>
          </w:p>
          <w:p>
            <w:pPr>
              <w:pStyle w:val="TableParagraph"/>
              <w:spacing w:before="9"/>
              <w:jc w:val="left"/>
              <w:rPr>
                <w:rFonts w:ascii="Times New Roman"/>
                <w:sz w:val="17"/>
              </w:rPr>
            </w:pPr>
          </w:p>
          <w:p>
            <w:pPr>
              <w:pStyle w:val="TableParagraph"/>
              <w:spacing w:line="242" w:lineRule="auto" w:before="1"/>
              <w:ind w:left="107" w:right="263"/>
              <w:jc w:val="both"/>
              <w:rPr>
                <w:sz w:val="21"/>
              </w:rPr>
            </w:pPr>
            <w:r>
              <w:rPr>
                <w:sz w:val="21"/>
              </w:rPr>
              <w:t>限制准入产业</w:t>
            </w:r>
          </w:p>
        </w:tc>
        <w:tc>
          <w:tcPr>
            <w:tcW w:w="614" w:type="dxa"/>
          </w:tcPr>
          <w:p>
            <w:pPr>
              <w:pStyle w:val="TableParagraph"/>
              <w:jc w:val="left"/>
              <w:rPr>
                <w:rFonts w:ascii="Times New Roman"/>
                <w:sz w:val="20"/>
              </w:rPr>
            </w:pPr>
          </w:p>
          <w:p>
            <w:pPr>
              <w:pStyle w:val="TableParagraph"/>
              <w:jc w:val="left"/>
              <w:rPr>
                <w:rFonts w:ascii="Times New Roman"/>
                <w:sz w:val="20"/>
              </w:rPr>
            </w:pPr>
          </w:p>
          <w:p>
            <w:pPr>
              <w:pStyle w:val="TableParagraph"/>
              <w:spacing w:before="5"/>
              <w:jc w:val="left"/>
              <w:rPr>
                <w:rFonts w:ascii="Times New Roman"/>
                <w:sz w:val="21"/>
              </w:rPr>
            </w:pPr>
          </w:p>
          <w:p>
            <w:pPr>
              <w:pStyle w:val="TableParagraph"/>
              <w:spacing w:line="242" w:lineRule="auto"/>
              <w:ind w:left="105" w:right="285"/>
              <w:jc w:val="both"/>
              <w:rPr>
                <w:sz w:val="21"/>
              </w:rPr>
            </w:pPr>
            <w:r>
              <w:rPr>
                <w:sz w:val="21"/>
              </w:rPr>
              <w:t>化工行业</w:t>
            </w:r>
          </w:p>
        </w:tc>
        <w:tc>
          <w:tcPr>
            <w:tcW w:w="921" w:type="dxa"/>
          </w:tcPr>
          <w:p>
            <w:pPr>
              <w:pStyle w:val="TableParagraph"/>
              <w:jc w:val="left"/>
              <w:rPr>
                <w:rFonts w:ascii="Times New Roman"/>
                <w:sz w:val="22"/>
              </w:rPr>
            </w:pPr>
          </w:p>
          <w:p>
            <w:pPr>
              <w:pStyle w:val="TableParagraph"/>
              <w:jc w:val="left"/>
              <w:rPr>
                <w:rFonts w:ascii="Times New Roman"/>
                <w:sz w:val="22"/>
              </w:rPr>
            </w:pPr>
          </w:p>
          <w:p>
            <w:pPr>
              <w:pStyle w:val="TableParagraph"/>
              <w:jc w:val="left"/>
              <w:rPr>
                <w:rFonts w:ascii="Times New Roman"/>
                <w:sz w:val="22"/>
              </w:rPr>
            </w:pPr>
          </w:p>
          <w:p>
            <w:pPr>
              <w:pStyle w:val="TableParagraph"/>
              <w:spacing w:before="1"/>
              <w:jc w:val="left"/>
              <w:rPr>
                <w:rFonts w:ascii="Times New Roman"/>
                <w:sz w:val="32"/>
              </w:rPr>
            </w:pPr>
          </w:p>
          <w:p>
            <w:pPr>
              <w:pStyle w:val="TableParagraph"/>
              <w:ind w:left="126" w:right="115"/>
              <w:rPr>
                <w:rFonts w:ascii="Times New Roman"/>
                <w:sz w:val="21"/>
              </w:rPr>
            </w:pPr>
            <w:r>
              <w:rPr>
                <w:rFonts w:ascii="Times New Roman"/>
                <w:sz w:val="21"/>
              </w:rPr>
              <w:t>--</w:t>
            </w:r>
          </w:p>
        </w:tc>
        <w:tc>
          <w:tcPr>
            <w:tcW w:w="4500" w:type="dxa"/>
          </w:tcPr>
          <w:p>
            <w:pPr>
              <w:pStyle w:val="TableParagraph"/>
              <w:spacing w:before="11"/>
              <w:jc w:val="left"/>
              <w:rPr>
                <w:rFonts w:ascii="Times New Roman"/>
                <w:sz w:val="25"/>
              </w:rPr>
            </w:pPr>
          </w:p>
          <w:p>
            <w:pPr>
              <w:pStyle w:val="TableParagraph"/>
              <w:spacing w:line="242" w:lineRule="auto"/>
              <w:ind w:left="106" w:right="91"/>
              <w:jc w:val="both"/>
              <w:rPr>
                <w:sz w:val="21"/>
              </w:rPr>
            </w:pPr>
            <w:r>
              <w:rPr>
                <w:rFonts w:ascii="Times New Roman" w:hAnsi="Times New Roman" w:eastAsia="Times New Roman"/>
                <w:spacing w:val="-5"/>
                <w:sz w:val="21"/>
              </w:rPr>
              <w:t>1</w:t>
            </w:r>
            <w:r>
              <w:rPr>
                <w:spacing w:val="-5"/>
                <w:sz w:val="21"/>
              </w:rPr>
              <w:t>、涉及开发区制定的《杭州湾上虞经济技术开</w:t>
            </w:r>
            <w:r>
              <w:rPr>
                <w:spacing w:val="-7"/>
                <w:sz w:val="21"/>
              </w:rPr>
              <w:t>发区化工企业建设标准化实施细则》中</w:t>
            </w:r>
            <w:r>
              <w:rPr>
                <w:rFonts w:ascii="Times New Roman" w:hAnsi="Times New Roman" w:eastAsia="Times New Roman"/>
                <w:sz w:val="21"/>
              </w:rPr>
              <w:t>Ⅱ</w:t>
            </w:r>
            <w:r>
              <w:rPr>
                <w:spacing w:val="-2"/>
                <w:sz w:val="21"/>
              </w:rPr>
              <w:t>类物质</w:t>
            </w:r>
            <w:r>
              <w:rPr>
                <w:spacing w:val="-3"/>
                <w:sz w:val="21"/>
              </w:rPr>
              <w:t>名录中敏感物料的建设项目</w:t>
            </w:r>
          </w:p>
          <w:p>
            <w:pPr>
              <w:pStyle w:val="TableParagraph"/>
              <w:spacing w:line="242" w:lineRule="auto" w:before="1"/>
              <w:ind w:left="106" w:right="79"/>
              <w:jc w:val="both"/>
              <w:rPr>
                <w:sz w:val="21"/>
              </w:rPr>
            </w:pPr>
            <w:r>
              <w:rPr>
                <w:rFonts w:ascii="Times New Roman" w:eastAsia="Times New Roman"/>
                <w:spacing w:val="-10"/>
                <w:sz w:val="21"/>
              </w:rPr>
              <w:t>2</w:t>
            </w:r>
            <w:r>
              <w:rPr>
                <w:spacing w:val="-22"/>
                <w:sz w:val="21"/>
              </w:rPr>
              <w:t>、原料、产品嗅阈值低于</w:t>
            </w:r>
            <w:r>
              <w:rPr>
                <w:rFonts w:ascii="Times New Roman" w:eastAsia="Times New Roman"/>
                <w:spacing w:val="-14"/>
                <w:sz w:val="21"/>
              </w:rPr>
              <w:t>0.1ppm</w:t>
            </w:r>
            <w:r>
              <w:rPr>
                <w:spacing w:val="-14"/>
                <w:sz w:val="21"/>
              </w:rPr>
              <w:t>（</w:t>
            </w:r>
            <w:r>
              <w:rPr>
                <w:spacing w:val="-19"/>
                <w:sz w:val="21"/>
              </w:rPr>
              <w:t>相当于氨气的嗅</w:t>
            </w:r>
            <w:r>
              <w:rPr>
                <w:spacing w:val="-22"/>
                <w:sz w:val="21"/>
              </w:rPr>
              <w:t>阈值，勉强能闻到异味，即恶臭强度为</w:t>
            </w:r>
            <w:r>
              <w:rPr>
                <w:rFonts w:ascii="Times New Roman" w:eastAsia="Times New Roman"/>
                <w:spacing w:val="-10"/>
                <w:sz w:val="21"/>
              </w:rPr>
              <w:t>1</w:t>
            </w:r>
            <w:r>
              <w:rPr>
                <w:spacing w:val="-22"/>
                <w:sz w:val="21"/>
              </w:rPr>
              <w:t>时浓度）的</w:t>
            </w:r>
            <w:r>
              <w:rPr>
                <w:spacing w:val="-17"/>
                <w:sz w:val="21"/>
              </w:rPr>
              <w:t>化工项目</w:t>
            </w:r>
          </w:p>
          <w:p>
            <w:pPr>
              <w:pStyle w:val="TableParagraph"/>
              <w:spacing w:before="3"/>
              <w:ind w:left="106"/>
              <w:jc w:val="left"/>
              <w:rPr>
                <w:sz w:val="21"/>
              </w:rPr>
            </w:pPr>
            <w:r>
              <w:rPr>
                <w:rFonts w:ascii="Times New Roman" w:eastAsia="Times New Roman"/>
                <w:sz w:val="21"/>
              </w:rPr>
              <w:t>3</w:t>
            </w:r>
            <w:r>
              <w:rPr>
                <w:sz w:val="21"/>
              </w:rPr>
              <w:t>、排放氯气的建设项目</w:t>
            </w:r>
          </w:p>
        </w:tc>
        <w:tc>
          <w:tcPr>
            <w:tcW w:w="4397" w:type="dxa"/>
          </w:tcPr>
          <w:p>
            <w:pPr>
              <w:pStyle w:val="TableParagraph"/>
              <w:jc w:val="left"/>
              <w:rPr>
                <w:rFonts w:ascii="Times New Roman"/>
                <w:sz w:val="20"/>
              </w:rPr>
            </w:pPr>
          </w:p>
          <w:p>
            <w:pPr>
              <w:pStyle w:val="TableParagraph"/>
              <w:jc w:val="left"/>
              <w:rPr>
                <w:rFonts w:ascii="Times New Roman"/>
                <w:sz w:val="20"/>
              </w:rPr>
            </w:pPr>
          </w:p>
          <w:p>
            <w:pPr>
              <w:pStyle w:val="TableParagraph"/>
              <w:spacing w:before="5"/>
              <w:jc w:val="left"/>
              <w:rPr>
                <w:rFonts w:ascii="Times New Roman"/>
                <w:sz w:val="21"/>
              </w:rPr>
            </w:pPr>
          </w:p>
          <w:p>
            <w:pPr>
              <w:pStyle w:val="TableParagraph"/>
              <w:spacing w:line="244" w:lineRule="auto"/>
              <w:ind w:left="109" w:right="177"/>
              <w:jc w:val="left"/>
              <w:rPr>
                <w:sz w:val="21"/>
              </w:rPr>
            </w:pPr>
            <w:r>
              <w:rPr>
                <w:rFonts w:ascii="Times New Roman" w:eastAsia="Times New Roman"/>
                <w:sz w:val="21"/>
              </w:rPr>
              <w:t>1</w:t>
            </w:r>
            <w:r>
              <w:rPr>
                <w:sz w:val="21"/>
              </w:rPr>
              <w:t>、禁止类项目改扩建（清洁生产和安全环保改造提升，循环经济改造除外）</w:t>
            </w:r>
          </w:p>
          <w:p>
            <w:pPr>
              <w:pStyle w:val="TableParagraph"/>
              <w:spacing w:line="244" w:lineRule="auto"/>
              <w:ind w:left="109" w:right="177"/>
              <w:jc w:val="left"/>
              <w:rPr>
                <w:sz w:val="21"/>
              </w:rPr>
            </w:pPr>
            <w:r>
              <w:rPr>
                <w:rFonts w:ascii="Times New Roman" w:eastAsia="Times New Roman"/>
                <w:sz w:val="21"/>
              </w:rPr>
              <w:t>2</w:t>
            </w:r>
            <w:r>
              <w:rPr>
                <w:sz w:val="21"/>
              </w:rPr>
              <w:t>、新建使用或合成含蒽醌类化合物的染料及染料中间体项目</w:t>
            </w:r>
          </w:p>
        </w:tc>
        <w:tc>
          <w:tcPr>
            <w:tcW w:w="3192" w:type="dxa"/>
          </w:tcPr>
          <w:p>
            <w:pPr>
              <w:pStyle w:val="TableParagraph"/>
              <w:spacing w:line="290" w:lineRule="auto" w:before="30"/>
              <w:ind w:left="109" w:right="88"/>
              <w:jc w:val="both"/>
              <w:rPr>
                <w:sz w:val="21"/>
              </w:rPr>
            </w:pPr>
            <w:r>
              <w:rPr>
                <w:rFonts w:ascii="Times New Roman" w:hAnsi="Times New Roman" w:eastAsia="Times New Roman"/>
                <w:sz w:val="21"/>
              </w:rPr>
              <w:t>1</w:t>
            </w:r>
            <w:r>
              <w:rPr>
                <w:spacing w:val="-39"/>
                <w:sz w:val="21"/>
              </w:rPr>
              <w:t>、</w:t>
            </w:r>
            <w:r>
              <w:rPr>
                <w:b/>
                <w:spacing w:val="-7"/>
                <w:sz w:val="21"/>
              </w:rPr>
              <w:t>本项目不涉及</w:t>
            </w:r>
            <w:r>
              <w:rPr>
                <w:spacing w:val="-5"/>
                <w:sz w:val="21"/>
              </w:rPr>
              <w:t>《杭州湾上虞经</w:t>
            </w:r>
            <w:r>
              <w:rPr>
                <w:spacing w:val="-1"/>
                <w:sz w:val="21"/>
              </w:rPr>
              <w:t>济技术开发区化工企业建设标准</w:t>
            </w:r>
            <w:r>
              <w:rPr>
                <w:spacing w:val="-2"/>
                <w:sz w:val="21"/>
              </w:rPr>
              <w:t>化实施细则》中Ⅱ类物质名录中</w:t>
            </w:r>
            <w:r>
              <w:rPr>
                <w:spacing w:val="-17"/>
                <w:sz w:val="21"/>
              </w:rPr>
              <w:t>敏感物料；项目原料、产品不属于</w:t>
            </w:r>
            <w:r>
              <w:rPr>
                <w:spacing w:val="-12"/>
                <w:sz w:val="21"/>
              </w:rPr>
              <w:t>嗅阈值低于</w:t>
            </w:r>
            <w:r>
              <w:rPr>
                <w:rFonts w:ascii="Times New Roman" w:hAnsi="Times New Roman" w:eastAsia="Times New Roman"/>
                <w:spacing w:val="-10"/>
                <w:sz w:val="21"/>
              </w:rPr>
              <w:t>0.1ppm </w:t>
            </w:r>
            <w:r>
              <w:rPr>
                <w:spacing w:val="-19"/>
                <w:sz w:val="21"/>
              </w:rPr>
              <w:t>的化工项目；项</w:t>
            </w:r>
            <w:r>
              <w:rPr>
                <w:spacing w:val="-8"/>
                <w:sz w:val="21"/>
              </w:rPr>
              <w:t>目不涉及新增氯气排放。</w:t>
            </w:r>
          </w:p>
          <w:p>
            <w:pPr>
              <w:pStyle w:val="TableParagraph"/>
              <w:spacing w:line="243" w:lineRule="exact"/>
              <w:ind w:left="109"/>
              <w:jc w:val="left"/>
              <w:rPr>
                <w:b/>
                <w:sz w:val="21"/>
              </w:rPr>
            </w:pPr>
            <w:r>
              <w:rPr>
                <w:rFonts w:ascii="Times New Roman" w:eastAsia="Times New Roman"/>
                <w:sz w:val="21"/>
              </w:rPr>
              <w:t>2</w:t>
            </w:r>
            <w:r>
              <w:rPr>
                <w:sz w:val="21"/>
              </w:rPr>
              <w:t>、</w:t>
            </w:r>
            <w:r>
              <w:rPr>
                <w:b/>
                <w:sz w:val="21"/>
              </w:rPr>
              <w:t>项目产品为三环唑农药，不属</w:t>
            </w:r>
          </w:p>
          <w:p>
            <w:pPr>
              <w:pStyle w:val="TableParagraph"/>
              <w:spacing w:line="250" w:lineRule="exact" w:before="4"/>
              <w:ind w:left="109"/>
              <w:jc w:val="left"/>
              <w:rPr>
                <w:sz w:val="21"/>
              </w:rPr>
            </w:pPr>
            <w:r>
              <w:rPr>
                <w:b/>
                <w:sz w:val="21"/>
              </w:rPr>
              <w:t>于禁止类及限制类产品清单</w:t>
            </w:r>
            <w:r>
              <w:rPr>
                <w:sz w:val="21"/>
              </w:rPr>
              <w:t>。</w:t>
            </w:r>
          </w:p>
        </w:tc>
      </w:tr>
    </w:tbl>
    <w:p>
      <w:pPr>
        <w:spacing w:after="0" w:line="250" w:lineRule="exact"/>
        <w:jc w:val="left"/>
        <w:rPr>
          <w:sz w:val="21"/>
        </w:rPr>
        <w:sectPr>
          <w:pgSz w:w="16840" w:h="11910" w:orient="landscape"/>
          <w:pgMar w:header="874" w:footer="944" w:top="1180" w:bottom="1140" w:left="1200" w:right="1180"/>
        </w:sectPr>
      </w:pPr>
    </w:p>
    <w:p>
      <w:pPr>
        <w:spacing w:before="66"/>
        <w:ind w:left="701" w:right="0" w:firstLine="0"/>
        <w:jc w:val="left"/>
        <w:rPr>
          <w:b/>
          <w:sz w:val="24"/>
        </w:rPr>
      </w:pPr>
      <w:r>
        <w:rPr>
          <w:rFonts w:ascii="Times New Roman" w:eastAsia="Times New Roman"/>
          <w:b/>
          <w:sz w:val="24"/>
        </w:rPr>
        <w:t>2.</w:t>
      </w:r>
      <w:r>
        <w:rPr>
          <w:b/>
          <w:sz w:val="24"/>
        </w:rPr>
        <w:t>符合性分析</w:t>
      </w:r>
    </w:p>
    <w:p>
      <w:pPr>
        <w:pStyle w:val="BodyText"/>
        <w:spacing w:line="364" w:lineRule="auto" w:before="158"/>
        <w:ind w:left="218" w:right="232" w:firstLine="480"/>
        <w:jc w:val="both"/>
      </w:pPr>
      <w:r>
        <w:rPr>
          <w:spacing w:val="-6"/>
        </w:rPr>
        <w:t>本项目为农药产品制造，属于化工产业，拟建地位于杭州湾上虞经济技术开发区振</w:t>
      </w:r>
      <w:r>
        <w:rPr>
          <w:spacing w:val="-7"/>
        </w:rPr>
        <w:t>兴大道，为杭州湾上虞经济技术开发区产业提升区与配套区。项目为园区主导产业，不</w:t>
      </w:r>
      <w:r>
        <w:rPr>
          <w:spacing w:val="-4"/>
        </w:rPr>
        <w:t>属于园区禁止的三类工业项目，项目污染物排放水平可达到同行业国内先进水平，故符</w:t>
      </w:r>
      <w:r>
        <w:rPr>
          <w:spacing w:val="-5"/>
        </w:rPr>
        <w:t>合生态空间清单中的要求。项目将采用先进的设计理念和生产装备，按照密闭化、管道</w:t>
      </w:r>
      <w:r>
        <w:rPr>
          <w:spacing w:val="-2"/>
        </w:rPr>
        <w:t>化要求进行设计、安装和生产，并配套完善的</w:t>
      </w:r>
      <w:r>
        <w:rPr>
          <w:rFonts w:ascii="Times New Roman" w:hAnsi="Times New Roman" w:eastAsia="Times New Roman"/>
        </w:rPr>
        <w:t>“</w:t>
      </w:r>
      <w:r>
        <w:rPr/>
        <w:t>三废</w:t>
      </w:r>
      <w:r>
        <w:rPr>
          <w:rFonts w:ascii="Times New Roman" w:hAnsi="Times New Roman" w:eastAsia="Times New Roman"/>
        </w:rPr>
        <w:t>”</w:t>
      </w:r>
      <w:r>
        <w:rPr>
          <w:spacing w:val="-3"/>
        </w:rPr>
        <w:t>治理设施。项目不涉及《杭州湾上</w:t>
      </w:r>
      <w:r>
        <w:rPr>
          <w:spacing w:val="-1"/>
        </w:rPr>
        <w:t>虞经济技术开发区化工企业建设标准化实施细则》中 </w:t>
      </w:r>
      <w:r>
        <w:rPr>
          <w:rFonts w:ascii="Times New Roman" w:hAnsi="Times New Roman" w:eastAsia="Times New Roman"/>
        </w:rPr>
        <w:t>I </w:t>
      </w:r>
      <w:r>
        <w:rPr/>
        <w:t>类、</w:t>
      </w:r>
      <w:r>
        <w:rPr>
          <w:rFonts w:ascii="Times New Roman" w:hAnsi="Times New Roman" w:eastAsia="Times New Roman"/>
        </w:rPr>
        <w:t>Ⅱ</w:t>
      </w:r>
      <w:r>
        <w:rPr>
          <w:spacing w:val="-1"/>
        </w:rPr>
        <w:t>类物质名录中敏感物料， </w:t>
      </w:r>
      <w:r>
        <w:rPr>
          <w:spacing w:val="-4"/>
        </w:rPr>
        <w:t>项目原料及产品不属于嗅阈值低于 </w:t>
      </w:r>
      <w:r>
        <w:rPr>
          <w:rFonts w:ascii="Times New Roman" w:hAnsi="Times New Roman" w:eastAsia="Times New Roman"/>
        </w:rPr>
        <w:t>0.001ppm </w:t>
      </w:r>
      <w:r>
        <w:rPr>
          <w:spacing w:val="-31"/>
        </w:rPr>
        <w:t>或 </w:t>
      </w:r>
      <w:r>
        <w:rPr>
          <w:rFonts w:ascii="Times New Roman" w:hAnsi="Times New Roman" w:eastAsia="Times New Roman"/>
        </w:rPr>
        <w:t>0.1ppm</w:t>
      </w:r>
      <w:r>
        <w:rPr>
          <w:spacing w:val="-1"/>
        </w:rPr>
        <w:t>，且生产设备及车间布局符合国</w:t>
      </w:r>
      <w:r>
        <w:rPr>
          <w:spacing w:val="-4"/>
        </w:rPr>
        <w:t>家安监总局重点监管的危险化学品安全措施和应急处置原则。经过园区审查，符合入园</w:t>
      </w:r>
      <w:r>
        <w:rPr/>
        <w:t>条件，故项目符合环境准入条件清单。</w:t>
      </w:r>
    </w:p>
    <w:p>
      <w:pPr>
        <w:pStyle w:val="BodyText"/>
        <w:spacing w:line="364" w:lineRule="auto"/>
        <w:ind w:left="218" w:right="235" w:firstLine="480"/>
      </w:pPr>
      <w:r>
        <w:rPr>
          <w:spacing w:val="-9"/>
        </w:rPr>
        <w:t>综上，本项目符合杭州湾上虞经济技术开发区产业提升区及配套区总体规划及规划</w:t>
      </w:r>
      <w:r>
        <w:rPr/>
        <w:t>环评要求。</w:t>
      </w:r>
    </w:p>
    <w:p>
      <w:pPr>
        <w:pStyle w:val="Heading4"/>
        <w:numPr>
          <w:ilvl w:val="2"/>
          <w:numId w:val="6"/>
        </w:numPr>
        <w:tabs>
          <w:tab w:pos="759" w:val="left" w:leader="none"/>
        </w:tabs>
        <w:spacing w:line="306" w:lineRule="exact" w:before="0" w:after="0"/>
        <w:ind w:left="758" w:right="0" w:hanging="541"/>
        <w:jc w:val="left"/>
      </w:pPr>
      <w:r>
        <w:rPr/>
        <w:t>杭州湾上虞经济技术开发区配套设施</w:t>
      </w:r>
    </w:p>
    <w:p>
      <w:pPr>
        <w:pStyle w:val="BodyText"/>
        <w:spacing w:before="6"/>
        <w:rPr>
          <w:b/>
          <w:sz w:val="18"/>
        </w:rPr>
      </w:pPr>
    </w:p>
    <w:p>
      <w:pPr>
        <w:pStyle w:val="BodyText"/>
        <w:spacing w:line="364" w:lineRule="auto"/>
        <w:ind w:left="218" w:right="173" w:firstLine="480"/>
      </w:pPr>
      <w:r>
        <w:rPr/>
        <w:t>杭州湾上虞经济技术开发区地处杭州湾南岸，位于上海、杭州、宁波三大城市圈中心位置，紧邻杭州湾嘉绍跨江大桥。目前开发区的配套设施情况如下：</w:t>
      </w:r>
    </w:p>
    <w:p>
      <w:pPr>
        <w:pStyle w:val="BodyText"/>
        <w:spacing w:line="230" w:lineRule="exact"/>
        <w:ind w:left="698"/>
      </w:pPr>
      <w:r>
        <w:rPr>
          <w:rFonts w:ascii="Times New Roman" w:eastAsia="Times New Roman"/>
        </w:rPr>
        <w:t>1</w:t>
      </w:r>
      <w:r>
        <w:rPr/>
        <w:t>、给水</w:t>
      </w:r>
    </w:p>
    <w:p>
      <w:pPr>
        <w:pStyle w:val="BodyText"/>
        <w:spacing w:line="364" w:lineRule="auto" w:before="158"/>
        <w:ind w:left="218" w:right="168" w:firstLine="480"/>
      </w:pPr>
      <w:r>
        <w:rPr/>
        <w:t>杭州湾上虞经济技术开发区工业用水取自曹娥江，开发区规划兴建规模 </w:t>
      </w:r>
      <w:r>
        <w:rPr>
          <w:rFonts w:ascii="Times New Roman" w:eastAsia="Times New Roman"/>
        </w:rPr>
        <w:t>30 </w:t>
      </w:r>
      <w:r>
        <w:rPr/>
        <w:t>万吨</w:t>
      </w:r>
      <w:r>
        <w:rPr>
          <w:rFonts w:ascii="Times New Roman" w:eastAsia="Times New Roman"/>
        </w:rPr>
        <w:t>/</w:t>
      </w:r>
      <w:r>
        <w:rPr/>
        <w:t>日的工业水厂。规划区内各厂可根据本厂用水需要自设加压设施。</w:t>
      </w:r>
    </w:p>
    <w:p>
      <w:pPr>
        <w:pStyle w:val="BodyText"/>
        <w:spacing w:line="307" w:lineRule="exact"/>
        <w:ind w:left="698"/>
      </w:pPr>
      <w:r>
        <w:rPr>
          <w:rFonts w:ascii="Times New Roman" w:eastAsia="Times New Roman"/>
        </w:rPr>
        <w:t>2</w:t>
      </w:r>
      <w:r>
        <w:rPr/>
        <w:t>、排水</w:t>
      </w:r>
    </w:p>
    <w:p>
      <w:pPr>
        <w:pStyle w:val="BodyText"/>
        <w:spacing w:before="161"/>
        <w:ind w:left="698"/>
        <w:rPr>
          <w:rFonts w:ascii="Times New Roman" w:eastAsia="Times New Roman"/>
        </w:rPr>
      </w:pPr>
      <w:r>
        <w:rPr/>
        <w:t>上虞污水处理厂始建于 </w:t>
      </w:r>
      <w:r>
        <w:rPr>
          <w:rFonts w:ascii="Times New Roman" w:eastAsia="Times New Roman"/>
        </w:rPr>
        <w:t>2000 </w:t>
      </w:r>
      <w:r>
        <w:rPr/>
        <w:t>年 </w:t>
      </w:r>
      <w:r>
        <w:rPr>
          <w:rFonts w:ascii="Times New Roman" w:eastAsia="Times New Roman"/>
        </w:rPr>
        <w:t>7 </w:t>
      </w:r>
      <w:r>
        <w:rPr/>
        <w:t>月，一期规模 </w:t>
      </w:r>
      <w:r>
        <w:rPr>
          <w:rFonts w:ascii="Times New Roman" w:eastAsia="Times New Roman"/>
        </w:rPr>
        <w:t>7.5 </w:t>
      </w:r>
      <w:r>
        <w:rPr/>
        <w:t>万吨</w:t>
      </w:r>
      <w:r>
        <w:rPr>
          <w:rFonts w:ascii="Times New Roman" w:eastAsia="Times New Roman"/>
        </w:rPr>
        <w:t>/</w:t>
      </w:r>
      <w:r>
        <w:rPr/>
        <w:t>日处理线，建成于 </w:t>
      </w:r>
      <w:r>
        <w:rPr>
          <w:rFonts w:ascii="Times New Roman" w:eastAsia="Times New Roman"/>
        </w:rPr>
        <w:t>2002</w:t>
      </w:r>
    </w:p>
    <w:p>
      <w:pPr>
        <w:pStyle w:val="BodyText"/>
        <w:spacing w:before="158"/>
        <w:ind w:left="218"/>
        <w:jc w:val="both"/>
      </w:pPr>
      <w:r>
        <w:rPr/>
        <w:t>年 </w:t>
      </w:r>
      <w:r>
        <w:rPr>
          <w:rFonts w:ascii="Times New Roman" w:eastAsia="Times New Roman"/>
        </w:rPr>
        <w:t>7 </w:t>
      </w:r>
      <w:r>
        <w:rPr/>
        <w:t>月，</w:t>
      </w:r>
      <w:r>
        <w:rPr>
          <w:rFonts w:ascii="Times New Roman" w:eastAsia="Times New Roman"/>
        </w:rPr>
        <w:t>2005 </w:t>
      </w:r>
      <w:r>
        <w:rPr/>
        <w:t>年 </w:t>
      </w:r>
      <w:r>
        <w:rPr>
          <w:rFonts w:ascii="Times New Roman" w:eastAsia="Times New Roman"/>
        </w:rPr>
        <w:t>6 </w:t>
      </w:r>
      <w:r>
        <w:rPr/>
        <w:t>月通过环保三同时验收，现已停运；二期工程始建于 </w:t>
      </w:r>
      <w:r>
        <w:rPr>
          <w:rFonts w:ascii="Times New Roman" w:eastAsia="Times New Roman"/>
        </w:rPr>
        <w:t>2007 </w:t>
      </w:r>
      <w:r>
        <w:rPr/>
        <w:t>年 </w:t>
      </w:r>
      <w:r>
        <w:rPr>
          <w:rFonts w:ascii="Times New Roman" w:eastAsia="Times New Roman"/>
        </w:rPr>
        <w:t>6 </w:t>
      </w:r>
      <w:r>
        <w:rPr/>
        <w:t>月，</w:t>
      </w:r>
    </w:p>
    <w:p>
      <w:pPr>
        <w:pStyle w:val="BodyText"/>
        <w:spacing w:line="364" w:lineRule="auto" w:before="160"/>
        <w:ind w:left="218" w:right="232"/>
        <w:jc w:val="both"/>
      </w:pPr>
      <w:r>
        <w:rPr>
          <w:spacing w:val="-3"/>
        </w:rPr>
        <w:t>设计处理规模为日处理废水 </w:t>
      </w:r>
      <w:r>
        <w:rPr>
          <w:rFonts w:ascii="Times New Roman" w:hAnsi="Times New Roman" w:eastAsia="Times New Roman"/>
        </w:rPr>
        <w:t>22.5 </w:t>
      </w:r>
      <w:r>
        <w:rPr/>
        <w:t>万吨，</w:t>
      </w:r>
      <w:r>
        <w:rPr>
          <w:rFonts w:ascii="Times New Roman" w:hAnsi="Times New Roman" w:eastAsia="Times New Roman"/>
        </w:rPr>
        <w:t>2012 </w:t>
      </w:r>
      <w:r>
        <w:rPr>
          <w:spacing w:val="-18"/>
        </w:rPr>
        <w:t>年 </w:t>
      </w:r>
      <w:r>
        <w:rPr>
          <w:rFonts w:ascii="Times New Roman" w:hAnsi="Times New Roman" w:eastAsia="Times New Roman"/>
        </w:rPr>
        <w:t>5 </w:t>
      </w:r>
      <w:r>
        <w:rPr/>
        <w:t>月建成投运，</w:t>
      </w:r>
      <w:r>
        <w:rPr>
          <w:rFonts w:ascii="Times New Roman" w:hAnsi="Times New Roman" w:eastAsia="Times New Roman"/>
        </w:rPr>
        <w:t>2014  </w:t>
      </w:r>
      <w:r>
        <w:rPr>
          <w:spacing w:val="-18"/>
        </w:rPr>
        <w:t>年 </w:t>
      </w:r>
      <w:r>
        <w:rPr>
          <w:rFonts w:ascii="Times New Roman" w:hAnsi="Times New Roman" w:eastAsia="Times New Roman"/>
        </w:rPr>
        <w:t>12  </w:t>
      </w:r>
      <w:r>
        <w:rPr>
          <w:spacing w:val="-4"/>
        </w:rPr>
        <w:t>月通过三</w:t>
      </w:r>
      <w:r>
        <w:rPr>
          <w:spacing w:val="-7"/>
        </w:rPr>
        <w:t>同时验收。污水收集范围覆盖到杭州湾上虞经济技术开发区、经济开发区及虞中、虞北</w:t>
      </w:r>
      <w:r>
        <w:rPr>
          <w:rFonts w:ascii="Times New Roman" w:hAnsi="Times New Roman" w:eastAsia="Times New Roman"/>
        </w:rPr>
        <w:t>7</w:t>
      </w:r>
      <w:r>
        <w:rPr>
          <w:rFonts w:ascii="Times New Roman" w:hAnsi="Times New Roman" w:eastAsia="Times New Roman"/>
          <w:spacing w:val="59"/>
        </w:rPr>
        <w:t> </w:t>
      </w:r>
      <w:r>
        <w:rPr>
          <w:spacing w:val="-13"/>
        </w:rPr>
        <w:t>个乡镇约 </w:t>
      </w:r>
      <w:r>
        <w:rPr>
          <w:rFonts w:ascii="Times New Roman" w:hAnsi="Times New Roman" w:eastAsia="Times New Roman"/>
        </w:rPr>
        <w:t>300  </w:t>
      </w:r>
      <w:r>
        <w:rPr>
          <w:spacing w:val="-4"/>
        </w:rPr>
        <w:t>平方公里。目前上虞污水处理厂实际总规模为 </w:t>
      </w:r>
      <w:r>
        <w:rPr>
          <w:rFonts w:ascii="Times New Roman" w:hAnsi="Times New Roman" w:eastAsia="Times New Roman"/>
        </w:rPr>
        <w:t>22.5 </w:t>
      </w:r>
      <w:r>
        <w:rPr>
          <w:spacing w:val="-30"/>
        </w:rPr>
        <w:t>万 </w:t>
      </w:r>
      <w:r>
        <w:rPr>
          <w:rFonts w:ascii="Times New Roman" w:hAnsi="Times New Roman" w:eastAsia="Times New Roman"/>
        </w:rPr>
        <w:t>t/d</w:t>
      </w:r>
      <w:r>
        <w:rPr>
          <w:spacing w:val="-2"/>
        </w:rPr>
        <w:t>，出水水质均</w:t>
      </w:r>
      <w:r>
        <w:rPr>
          <w:spacing w:val="-5"/>
          <w:position w:val="2"/>
        </w:rPr>
        <w:t>按《污水综合排放标准》</w:t>
      </w:r>
      <w:r>
        <w:rPr>
          <w:position w:val="2"/>
        </w:rPr>
        <w:t>（</w:t>
      </w:r>
      <w:r>
        <w:rPr>
          <w:rFonts w:ascii="Times New Roman" w:hAnsi="Times New Roman" w:eastAsia="Times New Roman"/>
          <w:position w:val="2"/>
        </w:rPr>
        <w:t>GB8978-1996</w:t>
      </w:r>
      <w:r>
        <w:rPr>
          <w:position w:val="2"/>
        </w:rPr>
        <w:t>）</w:t>
      </w:r>
      <w:r>
        <w:rPr>
          <w:spacing w:val="-6"/>
          <w:position w:val="2"/>
        </w:rPr>
        <w:t>二级排放标准执行，其中 </w:t>
      </w:r>
      <w:r>
        <w:rPr>
          <w:rFonts w:ascii="Times New Roman" w:hAnsi="Times New Roman" w:eastAsia="Times New Roman"/>
          <w:position w:val="2"/>
        </w:rPr>
        <w:t>COD</w:t>
      </w:r>
      <w:r>
        <w:rPr>
          <w:rFonts w:ascii="Times New Roman" w:hAnsi="Times New Roman" w:eastAsia="Times New Roman"/>
          <w:sz w:val="16"/>
        </w:rPr>
        <w:t>Cr </w:t>
      </w:r>
      <w:r>
        <w:rPr>
          <w:spacing w:val="-1"/>
          <w:position w:val="2"/>
        </w:rPr>
        <w:t>和氨氮出水</w:t>
      </w:r>
      <w:r>
        <w:rPr>
          <w:spacing w:val="-1"/>
        </w:rPr>
        <w:t>指标执行</w:t>
      </w:r>
      <w:r>
        <w:rPr>
          <w:rFonts w:ascii="Times New Roman" w:hAnsi="Times New Roman" w:eastAsia="Times New Roman"/>
          <w:spacing w:val="-1"/>
        </w:rPr>
        <w:t>“</w:t>
      </w:r>
      <w:r>
        <w:rPr>
          <w:spacing w:val="-1"/>
        </w:rPr>
        <w:t>虞政办发（</w:t>
      </w:r>
      <w:r>
        <w:rPr>
          <w:rFonts w:ascii="Times New Roman" w:hAnsi="Times New Roman" w:eastAsia="Times New Roman"/>
          <w:spacing w:val="-1"/>
        </w:rPr>
        <w:t>2013</w:t>
      </w:r>
      <w:r>
        <w:rPr>
          <w:spacing w:val="-1"/>
        </w:rPr>
        <w:t>）</w:t>
      </w:r>
      <w:r>
        <w:rPr>
          <w:rFonts w:ascii="Times New Roman" w:hAnsi="Times New Roman" w:eastAsia="Times New Roman"/>
          <w:spacing w:val="-1"/>
        </w:rPr>
        <w:t>195</w:t>
      </w:r>
      <w:r>
        <w:rPr>
          <w:rFonts w:ascii="Times New Roman" w:hAnsi="Times New Roman" w:eastAsia="Times New Roman"/>
          <w:spacing w:val="59"/>
        </w:rPr>
        <w:t> </w:t>
      </w:r>
      <w:r>
        <w:rPr/>
        <w:t>号</w:t>
      </w:r>
      <w:r>
        <w:rPr>
          <w:rFonts w:ascii="Times New Roman" w:hAnsi="Times New Roman" w:eastAsia="Times New Roman"/>
        </w:rPr>
        <w:t>”</w:t>
      </w:r>
      <w:r>
        <w:rPr/>
        <w:t>文件要求。二期工程污水处理工艺见下图。</w:t>
      </w:r>
    </w:p>
    <w:p>
      <w:pPr>
        <w:pStyle w:val="BodyText"/>
        <w:ind w:left="1430"/>
        <w:rPr>
          <w:sz w:val="20"/>
        </w:rPr>
      </w:pPr>
      <w:r>
        <w:rPr>
          <w:sz w:val="20"/>
        </w:rPr>
        <w:drawing>
          <wp:inline distT="0" distB="0" distL="0" distR="0">
            <wp:extent cx="4264288" cy="865822"/>
            <wp:effectExtent l="0" t="0" r="0" b="0"/>
            <wp:docPr id="7" name="image10.png"/>
            <wp:cNvGraphicFramePr>
              <a:graphicFrameLocks noChangeAspect="1"/>
            </wp:cNvGraphicFramePr>
            <a:graphic>
              <a:graphicData uri="http://schemas.openxmlformats.org/drawingml/2006/picture">
                <pic:pic>
                  <pic:nvPicPr>
                    <pic:cNvPr id="8" name="image10.png"/>
                    <pic:cNvPicPr/>
                  </pic:nvPicPr>
                  <pic:blipFill>
                    <a:blip r:embed="rId25" cstate="print"/>
                    <a:stretch>
                      <a:fillRect/>
                    </a:stretch>
                  </pic:blipFill>
                  <pic:spPr>
                    <a:xfrm>
                      <a:off x="0" y="0"/>
                      <a:ext cx="4264288" cy="865822"/>
                    </a:xfrm>
                    <a:prstGeom prst="rect">
                      <a:avLst/>
                    </a:prstGeom>
                  </pic:spPr>
                </pic:pic>
              </a:graphicData>
            </a:graphic>
          </wp:inline>
        </w:drawing>
      </w:r>
      <w:r>
        <w:rPr>
          <w:sz w:val="20"/>
        </w:rPr>
      </w:r>
    </w:p>
    <w:p>
      <w:pPr>
        <w:pStyle w:val="Heading4"/>
        <w:tabs>
          <w:tab w:pos="1222" w:val="left" w:leader="none"/>
        </w:tabs>
        <w:spacing w:before="120"/>
        <w:ind w:left="0" w:right="16"/>
        <w:jc w:val="center"/>
      </w:pPr>
      <w:r>
        <w:rPr/>
        <w:t>图</w:t>
      </w:r>
      <w:r>
        <w:rPr>
          <w:spacing w:val="-60"/>
        </w:rPr>
        <w:t> </w:t>
      </w:r>
      <w:r>
        <w:rPr>
          <w:rFonts w:ascii="Times New Roman" w:eastAsia="Times New Roman"/>
        </w:rPr>
        <w:t>2.6.5-1</w:t>
        <w:tab/>
      </w:r>
      <w:r>
        <w:rPr/>
        <w:t>上虞污水处理厂二期工程污水处理</w:t>
      </w:r>
      <w:r>
        <w:rPr>
          <w:spacing w:val="4"/>
        </w:rPr>
        <w:t>工</w:t>
      </w:r>
      <w:r>
        <w:rPr/>
        <w:t>艺流程图</w:t>
      </w:r>
    </w:p>
    <w:p>
      <w:pPr>
        <w:spacing w:after="0"/>
        <w:jc w:val="center"/>
        <w:sectPr>
          <w:headerReference w:type="default" r:id="rId23"/>
          <w:footerReference w:type="default" r:id="rId24"/>
          <w:pgSz w:w="11910" w:h="16840"/>
          <w:pgMar w:header="874" w:footer="944" w:top="1340" w:bottom="1140" w:left="1200" w:right="1180"/>
          <w:pgNumType w:start="35"/>
        </w:sectPr>
      </w:pPr>
    </w:p>
    <w:p>
      <w:pPr>
        <w:pStyle w:val="BodyText"/>
        <w:spacing w:line="364" w:lineRule="auto" w:before="66"/>
        <w:ind w:left="218" w:right="128" w:firstLine="470"/>
      </w:pPr>
      <w:r>
        <w:rPr/>
        <w:t>为完成</w:t>
      </w:r>
      <w:r>
        <w:rPr>
          <w:rFonts w:ascii="Times New Roman" w:hAnsi="Times New Roman" w:eastAsia="Times New Roman"/>
        </w:rPr>
        <w:t>“</w:t>
      </w:r>
      <w:r>
        <w:rPr/>
        <w:t>十三五</w:t>
      </w:r>
      <w:r>
        <w:rPr>
          <w:rFonts w:ascii="Times New Roman" w:hAnsi="Times New Roman" w:eastAsia="Times New Roman"/>
        </w:rPr>
        <w:t>”</w:t>
      </w:r>
      <w:r>
        <w:rPr/>
        <w:t>规划确定的减排目标，并切实落实环办函</w:t>
      </w:r>
      <w:r>
        <w:rPr>
          <w:rFonts w:ascii="Times New Roman" w:hAnsi="Times New Roman" w:eastAsia="Times New Roman"/>
        </w:rPr>
        <w:t>[2013]296 </w:t>
      </w:r>
      <w:r>
        <w:rPr/>
        <w:t>号文件要求， </w:t>
      </w:r>
      <w:r>
        <w:rPr>
          <w:spacing w:val="-3"/>
        </w:rPr>
        <w:t>上虞污水处理厂已启动提标改造工程，在厂外将生活污水和工业废水进行分管收集，在</w:t>
      </w:r>
      <w:r>
        <w:rPr>
          <w:spacing w:val="-7"/>
        </w:rPr>
        <w:t>污水处理厂内进行分质处理，目前提标改造工程已经通过验收。提标改造后，上虞污水</w:t>
      </w:r>
      <w:r>
        <w:rPr>
          <w:spacing w:val="-11"/>
        </w:rPr>
        <w:t>处理厂生活污水尾水排放执行《城镇污水处理厂污染物排放标准》</w:t>
      </w:r>
      <w:r>
        <w:rPr/>
        <w:t>（</w:t>
      </w:r>
      <w:r>
        <w:rPr>
          <w:rFonts w:ascii="Times New Roman" w:hAnsi="Times New Roman" w:eastAsia="Times New Roman"/>
        </w:rPr>
        <w:t>GB18918-2002</w:t>
      </w:r>
      <w:r>
        <w:rPr/>
        <w:t>）</w:t>
      </w:r>
      <w:r>
        <w:rPr>
          <w:spacing w:val="-27"/>
        </w:rPr>
        <w:t>一</w:t>
      </w:r>
      <w:r>
        <w:rPr>
          <w:spacing w:val="-31"/>
        </w:rPr>
        <w:t>级 </w:t>
      </w:r>
      <w:r>
        <w:rPr>
          <w:rFonts w:ascii="Times New Roman" w:hAnsi="Times New Roman" w:eastAsia="Times New Roman"/>
        </w:rPr>
        <w:t>A</w:t>
      </w:r>
      <w:r>
        <w:rPr>
          <w:rFonts w:ascii="Times New Roman" w:hAnsi="Times New Roman" w:eastAsia="Times New Roman"/>
          <w:spacing w:val="59"/>
        </w:rPr>
        <w:t> </w:t>
      </w:r>
      <w:r>
        <w:rPr/>
        <w:t>标准；工业废水尾水排放执行《污水综合排放标准》</w:t>
      </w:r>
      <w:r>
        <w:rPr>
          <w:rFonts w:ascii="Times New Roman" w:hAnsi="Times New Roman" w:eastAsia="Times New Roman"/>
        </w:rPr>
        <w:t>(GB8978-1996)</w:t>
      </w:r>
      <w:r>
        <w:rPr/>
        <w:t>中一级标准， </w:t>
      </w:r>
      <w:r>
        <w:rPr>
          <w:spacing w:val="-21"/>
        </w:rPr>
        <w:t>其中 </w:t>
      </w:r>
      <w:r>
        <w:rPr>
          <w:rFonts w:ascii="Times New Roman" w:hAnsi="Times New Roman" w:eastAsia="Times New Roman"/>
        </w:rPr>
        <w:t>COD≤80mg/L</w:t>
      </w:r>
      <w:r>
        <w:rPr>
          <w:spacing w:val="-7"/>
        </w:rPr>
        <w:t>。改造后项目一期废水处理总规模为 </w:t>
      </w:r>
      <w:r>
        <w:rPr>
          <w:rFonts w:ascii="Times New Roman" w:hAnsi="Times New Roman" w:eastAsia="Times New Roman"/>
        </w:rPr>
        <w:t>20  </w:t>
      </w:r>
      <w:r>
        <w:rPr>
          <w:spacing w:val="-30"/>
        </w:rPr>
        <w:t>万 </w:t>
      </w:r>
      <w:r>
        <w:rPr>
          <w:rFonts w:ascii="Times New Roman" w:hAnsi="Times New Roman" w:eastAsia="Times New Roman"/>
          <w:spacing w:val="-3"/>
        </w:rPr>
        <w:t>t/d</w:t>
      </w:r>
      <w:r>
        <w:rPr>
          <w:spacing w:val="-10"/>
        </w:rPr>
        <w:t>，其中生活污水 </w:t>
      </w:r>
      <w:r>
        <w:rPr>
          <w:rFonts w:ascii="Times New Roman" w:hAnsi="Times New Roman" w:eastAsia="Times New Roman"/>
        </w:rPr>
        <w:t>10  </w:t>
      </w:r>
      <w:r>
        <w:rPr/>
        <w:t>万</w:t>
      </w:r>
      <w:r>
        <w:rPr>
          <w:rFonts w:ascii="Times New Roman" w:hAnsi="Times New Roman" w:eastAsia="Times New Roman"/>
        </w:rPr>
        <w:t>t/d</w:t>
      </w:r>
      <w:r>
        <w:rPr>
          <w:spacing w:val="-11"/>
        </w:rPr>
        <w:t>，工业废水 </w:t>
      </w:r>
      <w:r>
        <w:rPr>
          <w:rFonts w:ascii="Times New Roman" w:hAnsi="Times New Roman" w:eastAsia="Times New Roman"/>
        </w:rPr>
        <w:t>10  </w:t>
      </w:r>
      <w:r>
        <w:rPr>
          <w:spacing w:val="-31"/>
        </w:rPr>
        <w:t>万 </w:t>
      </w:r>
      <w:r>
        <w:rPr>
          <w:rFonts w:ascii="Times New Roman" w:hAnsi="Times New Roman" w:eastAsia="Times New Roman"/>
        </w:rPr>
        <w:t>t/d</w:t>
      </w:r>
      <w:r>
        <w:rPr>
          <w:spacing w:val="-5"/>
        </w:rPr>
        <w:t>；远期工程规划处理规模为 </w:t>
      </w:r>
      <w:r>
        <w:rPr>
          <w:rFonts w:ascii="Times New Roman" w:hAnsi="Times New Roman" w:eastAsia="Times New Roman"/>
        </w:rPr>
        <w:t>30</w:t>
      </w:r>
      <w:r>
        <w:rPr>
          <w:rFonts w:ascii="Times New Roman" w:hAnsi="Times New Roman" w:eastAsia="Times New Roman"/>
          <w:spacing w:val="59"/>
        </w:rPr>
        <w:t> </w:t>
      </w:r>
      <w:r>
        <w:rPr>
          <w:spacing w:val="-30"/>
        </w:rPr>
        <w:t>万 </w:t>
      </w:r>
      <w:r>
        <w:rPr>
          <w:rFonts w:ascii="Times New Roman" w:hAnsi="Times New Roman" w:eastAsia="Times New Roman"/>
        </w:rPr>
        <w:t>t/d</w:t>
      </w:r>
      <w:r>
        <w:rPr>
          <w:spacing w:val="-8"/>
        </w:rPr>
        <w:t>，其中生活污水 </w:t>
      </w:r>
      <w:r>
        <w:rPr>
          <w:rFonts w:ascii="Times New Roman" w:hAnsi="Times New Roman" w:eastAsia="Times New Roman"/>
        </w:rPr>
        <w:t>10</w:t>
      </w:r>
      <w:r>
        <w:rPr>
          <w:rFonts w:ascii="Times New Roman" w:hAnsi="Times New Roman" w:eastAsia="Times New Roman"/>
          <w:spacing w:val="59"/>
        </w:rPr>
        <w:t> </w:t>
      </w:r>
      <w:r>
        <w:rPr>
          <w:spacing w:val="-30"/>
        </w:rPr>
        <w:t>万 </w:t>
      </w:r>
      <w:r>
        <w:rPr>
          <w:rFonts w:ascii="Times New Roman" w:hAnsi="Times New Roman" w:eastAsia="Times New Roman"/>
        </w:rPr>
        <w:t>t/d</w:t>
      </w:r>
      <w:r>
        <w:rPr/>
        <w:t>， </w:t>
      </w:r>
      <w:r>
        <w:rPr>
          <w:spacing w:val="-13"/>
        </w:rPr>
        <w:t>工业废水 </w:t>
      </w:r>
      <w:r>
        <w:rPr>
          <w:rFonts w:ascii="Times New Roman" w:hAnsi="Times New Roman" w:eastAsia="Times New Roman"/>
        </w:rPr>
        <w:t>20  </w:t>
      </w:r>
      <w:r>
        <w:rPr>
          <w:spacing w:val="-30"/>
        </w:rPr>
        <w:t>万 </w:t>
      </w:r>
      <w:r>
        <w:rPr>
          <w:rFonts w:ascii="Times New Roman" w:hAnsi="Times New Roman" w:eastAsia="Times New Roman"/>
        </w:rPr>
        <w:t>t/d</w:t>
      </w:r>
      <w:r>
        <w:rPr>
          <w:spacing w:val="-5"/>
        </w:rPr>
        <w:t>。提标改造污水处理工艺见图 </w:t>
      </w:r>
      <w:r>
        <w:rPr>
          <w:rFonts w:ascii="Times New Roman" w:hAnsi="Times New Roman" w:eastAsia="Times New Roman"/>
        </w:rPr>
        <w:t>2.6.5-2</w:t>
      </w:r>
      <w:r>
        <w:rPr/>
        <w:t>、</w:t>
      </w:r>
      <w:r>
        <w:rPr>
          <w:rFonts w:ascii="Times New Roman" w:hAnsi="Times New Roman" w:eastAsia="Times New Roman"/>
        </w:rPr>
        <w:t>2.6.5-3</w:t>
      </w:r>
      <w:r>
        <w:rPr/>
        <w:t>。</w:t>
      </w:r>
    </w:p>
    <w:p>
      <w:pPr>
        <w:pStyle w:val="BodyText"/>
        <w:spacing w:before="1"/>
        <w:rPr>
          <w:sz w:val="10"/>
        </w:rPr>
      </w:pPr>
      <w:r>
        <w:rPr/>
        <w:drawing>
          <wp:anchor distT="0" distB="0" distL="0" distR="0" allowOverlap="1" layoutInCell="1" locked="0" behindDoc="0" simplePos="0" relativeHeight="17">
            <wp:simplePos x="0" y="0"/>
            <wp:positionH relativeFrom="page">
              <wp:posOffset>1416024</wp:posOffset>
            </wp:positionH>
            <wp:positionV relativeFrom="paragraph">
              <wp:posOffset>106906</wp:posOffset>
            </wp:positionV>
            <wp:extent cx="4700696" cy="1267968"/>
            <wp:effectExtent l="0" t="0" r="0" b="0"/>
            <wp:wrapTopAndBottom/>
            <wp:docPr id="9" name="image11.jpeg"/>
            <wp:cNvGraphicFramePr>
              <a:graphicFrameLocks noChangeAspect="1"/>
            </wp:cNvGraphicFramePr>
            <a:graphic>
              <a:graphicData uri="http://schemas.openxmlformats.org/drawingml/2006/picture">
                <pic:pic>
                  <pic:nvPicPr>
                    <pic:cNvPr id="10" name="image11.jpeg"/>
                    <pic:cNvPicPr/>
                  </pic:nvPicPr>
                  <pic:blipFill>
                    <a:blip r:embed="rId26" cstate="print"/>
                    <a:stretch>
                      <a:fillRect/>
                    </a:stretch>
                  </pic:blipFill>
                  <pic:spPr>
                    <a:xfrm>
                      <a:off x="0" y="0"/>
                      <a:ext cx="4700696" cy="1267968"/>
                    </a:xfrm>
                    <a:prstGeom prst="rect">
                      <a:avLst/>
                    </a:prstGeom>
                  </pic:spPr>
                </pic:pic>
              </a:graphicData>
            </a:graphic>
          </wp:anchor>
        </w:drawing>
      </w:r>
    </w:p>
    <w:p>
      <w:pPr>
        <w:pStyle w:val="Heading4"/>
        <w:spacing w:before="118"/>
        <w:ind w:left="0" w:right="19"/>
        <w:jc w:val="center"/>
      </w:pPr>
      <w:r>
        <w:rPr/>
        <w:t>图 </w:t>
      </w:r>
      <w:r>
        <w:rPr>
          <w:rFonts w:ascii="Times New Roman" w:eastAsia="Times New Roman"/>
        </w:rPr>
        <w:t>2.6.5-2  </w:t>
      </w:r>
      <w:r>
        <w:rPr/>
        <w:t>上虞污水处理厂提标改造工程生活污水处理工艺流程图</w:t>
      </w:r>
    </w:p>
    <w:p>
      <w:pPr>
        <w:pStyle w:val="BodyText"/>
        <w:rPr>
          <w:b/>
          <w:sz w:val="22"/>
        </w:rPr>
      </w:pPr>
      <w:r>
        <w:rPr/>
        <w:drawing>
          <wp:anchor distT="0" distB="0" distL="0" distR="0" allowOverlap="1" layoutInCell="1" locked="0" behindDoc="0" simplePos="0" relativeHeight="18">
            <wp:simplePos x="0" y="0"/>
            <wp:positionH relativeFrom="page">
              <wp:posOffset>1357506</wp:posOffset>
            </wp:positionH>
            <wp:positionV relativeFrom="paragraph">
              <wp:posOffset>203837</wp:posOffset>
            </wp:positionV>
            <wp:extent cx="4783186" cy="1238250"/>
            <wp:effectExtent l="0" t="0" r="0" b="0"/>
            <wp:wrapTopAndBottom/>
            <wp:docPr id="11" name="image12.jpeg"/>
            <wp:cNvGraphicFramePr>
              <a:graphicFrameLocks noChangeAspect="1"/>
            </wp:cNvGraphicFramePr>
            <a:graphic>
              <a:graphicData uri="http://schemas.openxmlformats.org/drawingml/2006/picture">
                <pic:pic>
                  <pic:nvPicPr>
                    <pic:cNvPr id="12" name="image12.jpeg"/>
                    <pic:cNvPicPr/>
                  </pic:nvPicPr>
                  <pic:blipFill>
                    <a:blip r:embed="rId27" cstate="print"/>
                    <a:stretch>
                      <a:fillRect/>
                    </a:stretch>
                  </pic:blipFill>
                  <pic:spPr>
                    <a:xfrm>
                      <a:off x="0" y="0"/>
                      <a:ext cx="4783186" cy="1238250"/>
                    </a:xfrm>
                    <a:prstGeom prst="rect">
                      <a:avLst/>
                    </a:prstGeom>
                  </pic:spPr>
                </pic:pic>
              </a:graphicData>
            </a:graphic>
          </wp:anchor>
        </w:drawing>
      </w:r>
    </w:p>
    <w:p>
      <w:pPr>
        <w:pStyle w:val="BodyText"/>
        <w:spacing w:before="8"/>
        <w:rPr>
          <w:b/>
          <w:sz w:val="18"/>
        </w:rPr>
      </w:pPr>
    </w:p>
    <w:p>
      <w:pPr>
        <w:tabs>
          <w:tab w:pos="2592" w:val="left" w:leader="none"/>
        </w:tabs>
        <w:spacing w:line="427" w:lineRule="auto" w:before="1"/>
        <w:ind w:left="698" w:right="1392" w:firstLine="671"/>
        <w:jc w:val="left"/>
        <w:rPr>
          <w:sz w:val="24"/>
        </w:rPr>
      </w:pPr>
      <w:r>
        <w:rPr>
          <w:b/>
          <w:sz w:val="24"/>
        </w:rPr>
        <w:t>图</w:t>
      </w:r>
      <w:r>
        <w:rPr>
          <w:b/>
          <w:spacing w:val="-60"/>
          <w:sz w:val="24"/>
        </w:rPr>
        <w:t> </w:t>
      </w:r>
      <w:r>
        <w:rPr>
          <w:rFonts w:ascii="Times New Roman" w:eastAsia="Times New Roman"/>
          <w:b/>
          <w:sz w:val="24"/>
        </w:rPr>
        <w:t>2.6.5-3</w:t>
        <w:tab/>
      </w:r>
      <w:r>
        <w:rPr>
          <w:b/>
          <w:sz w:val="24"/>
        </w:rPr>
        <w:t>上虞污水处理提标改造工程工业污水处理工艺流程</w:t>
      </w:r>
      <w:r>
        <w:rPr>
          <w:b/>
          <w:spacing w:val="-16"/>
          <w:sz w:val="24"/>
        </w:rPr>
        <w:t>图</w:t>
      </w:r>
      <w:r>
        <w:rPr>
          <w:sz w:val="24"/>
        </w:rPr>
        <w:t>环境保护设施验收监测结果如下：</w:t>
      </w:r>
    </w:p>
    <w:p>
      <w:pPr>
        <w:pStyle w:val="BodyText"/>
        <w:spacing w:line="228" w:lineRule="exact"/>
        <w:ind w:left="698"/>
      </w:pPr>
      <w:r>
        <w:rPr/>
        <w:t>监测期间污水处理厂生活污水线排放口废水 </w:t>
      </w:r>
      <w:r>
        <w:rPr>
          <w:rFonts w:ascii="Times New Roman" w:eastAsia="Times New Roman"/>
        </w:rPr>
        <w:t>pH </w:t>
      </w:r>
      <w:r>
        <w:rPr/>
        <w:t>值范围、悬浮物、色度、</w:t>
      </w:r>
      <w:r>
        <w:rPr>
          <w:rFonts w:ascii="Times New Roman" w:eastAsia="Times New Roman"/>
        </w:rPr>
        <w:t>CODcr</w:t>
      </w:r>
      <w:r>
        <w:rPr/>
        <w:t>、</w:t>
      </w:r>
    </w:p>
    <w:p>
      <w:pPr>
        <w:pStyle w:val="BodyText"/>
        <w:spacing w:line="364" w:lineRule="auto" w:before="159"/>
        <w:ind w:left="218" w:right="234"/>
        <w:jc w:val="both"/>
      </w:pPr>
      <w:r>
        <w:rPr>
          <w:rFonts w:ascii="Times New Roman" w:eastAsia="Times New Roman"/>
          <w:position w:val="2"/>
        </w:rPr>
        <w:t>BOD</w:t>
      </w:r>
      <w:r>
        <w:rPr>
          <w:rFonts w:ascii="Times New Roman" w:eastAsia="Times New Roman"/>
          <w:sz w:val="16"/>
        </w:rPr>
        <w:t>5</w:t>
      </w:r>
      <w:r>
        <w:rPr>
          <w:position w:val="2"/>
        </w:rPr>
        <w:t>、氨氮、石油类、动植物油、</w:t>
      </w:r>
      <w:r>
        <w:rPr>
          <w:rFonts w:ascii="Times New Roman" w:eastAsia="Times New Roman"/>
          <w:position w:val="2"/>
        </w:rPr>
        <w:t>LAS</w:t>
      </w:r>
      <w:r>
        <w:rPr>
          <w:position w:val="2"/>
        </w:rPr>
        <w:t>、总氮、总磷、</w:t>
      </w:r>
      <w:r>
        <w:rPr>
          <w:rFonts w:ascii="Times New Roman" w:eastAsia="Times New Roman"/>
          <w:position w:val="2"/>
        </w:rPr>
        <w:t>TOC</w:t>
      </w:r>
      <w:r>
        <w:rPr>
          <w:position w:val="2"/>
        </w:rPr>
        <w:t>、粪大肠菌群的最大日均</w:t>
      </w:r>
      <w:r>
        <w:rPr>
          <w:spacing w:val="-3"/>
        </w:rPr>
        <w:t>浓度均符合《城镇污水处理厂污染物排放标准</w:t>
      </w:r>
      <w:r>
        <w:rPr>
          <w:spacing w:val="-132"/>
        </w:rPr>
        <w:t>》</w:t>
      </w:r>
      <w:r>
        <w:rPr/>
        <w:t>（</w:t>
      </w:r>
      <w:r>
        <w:rPr>
          <w:rFonts w:ascii="Times New Roman" w:eastAsia="Times New Roman"/>
        </w:rPr>
        <w:t>GB18918-2002</w:t>
      </w:r>
      <w:r>
        <w:rPr/>
        <w:t>）</w:t>
      </w:r>
      <w:r>
        <w:rPr>
          <w:spacing w:val="-10"/>
        </w:rPr>
        <w:t>中一级标准中 </w:t>
      </w:r>
      <w:r>
        <w:rPr>
          <w:rFonts w:ascii="Times New Roman" w:eastAsia="Times New Roman"/>
        </w:rPr>
        <w:t>A </w:t>
      </w:r>
      <w:r>
        <w:rPr>
          <w:spacing w:val="-7"/>
        </w:rPr>
        <w:t>标准</w:t>
      </w:r>
      <w:r>
        <w:rPr/>
        <w:t>要求。</w:t>
      </w:r>
    </w:p>
    <w:p>
      <w:pPr>
        <w:pStyle w:val="BodyText"/>
        <w:spacing w:line="364" w:lineRule="auto" w:before="4"/>
        <w:ind w:left="218" w:right="236" w:firstLine="480"/>
        <w:jc w:val="both"/>
      </w:pPr>
      <w:r>
        <w:rPr>
          <w:spacing w:val="-3"/>
        </w:rPr>
        <w:t>监测期间污水处理厂工业废水线排放口废水 </w:t>
      </w:r>
      <w:r>
        <w:rPr>
          <w:rFonts w:ascii="Times New Roman" w:eastAsia="Times New Roman"/>
        </w:rPr>
        <w:t>pH </w:t>
      </w:r>
      <w:r>
        <w:rPr/>
        <w:t>值范围、悬浮物、色度、</w:t>
      </w:r>
      <w:r>
        <w:rPr>
          <w:rFonts w:ascii="Times New Roman" w:eastAsia="Times New Roman"/>
        </w:rPr>
        <w:t>CODcr</w:t>
      </w:r>
      <w:r>
        <w:rPr>
          <w:spacing w:val="-13"/>
        </w:rPr>
        <w:t>、</w:t>
      </w:r>
      <w:r>
        <w:rPr>
          <w:rFonts w:ascii="Times New Roman" w:eastAsia="Times New Roman"/>
          <w:position w:val="2"/>
        </w:rPr>
        <w:t>BOD</w:t>
      </w:r>
      <w:r>
        <w:rPr>
          <w:rFonts w:ascii="Times New Roman" w:eastAsia="Times New Roman"/>
          <w:sz w:val="16"/>
        </w:rPr>
        <w:t>5</w:t>
      </w:r>
      <w:r>
        <w:rPr>
          <w:position w:val="2"/>
        </w:rPr>
        <w:t>、氨氮、石油类、动植物油、</w:t>
      </w:r>
      <w:r>
        <w:rPr>
          <w:rFonts w:ascii="Times New Roman" w:eastAsia="Times New Roman"/>
          <w:position w:val="2"/>
        </w:rPr>
        <w:t>LAS</w:t>
      </w:r>
      <w:r>
        <w:rPr>
          <w:position w:val="2"/>
        </w:rPr>
        <w:t>、总磷、六价铬、总砷、总铬、总铅、总镉、</w:t>
      </w:r>
      <w:r>
        <w:rPr/>
        <w:t>总汞、总镍、挥发酚、苯胺类、硝基苯类、氯苯、</w:t>
      </w:r>
      <w:r>
        <w:rPr>
          <w:rFonts w:ascii="Times New Roman" w:eastAsia="Times New Roman"/>
        </w:rPr>
        <w:t>AOX</w:t>
      </w:r>
      <w:r>
        <w:rPr/>
        <w:t>、</w:t>
      </w:r>
      <w:r>
        <w:rPr>
          <w:rFonts w:ascii="Times New Roman" w:eastAsia="Times New Roman"/>
        </w:rPr>
        <w:t>TOC </w:t>
      </w:r>
      <w:r>
        <w:rPr/>
        <w:t>的最大日均浓度均符合</w:t>
      </w:r>
    </w:p>
    <w:p>
      <w:pPr>
        <w:pStyle w:val="BodyText"/>
        <w:spacing w:before="1"/>
        <w:ind w:left="218"/>
      </w:pPr>
      <w:r>
        <w:rPr/>
        <w:t>《污水综合排放标准》（</w:t>
      </w:r>
      <w:r>
        <w:rPr>
          <w:rFonts w:ascii="Times New Roman" w:eastAsia="Times New Roman"/>
        </w:rPr>
        <w:t>GB8979-1996</w:t>
      </w:r>
      <w:r>
        <w:rPr/>
        <w:t>）中一级标准要求，总铁符合环评要求。</w:t>
      </w:r>
    </w:p>
    <w:p>
      <w:pPr>
        <w:pStyle w:val="BodyText"/>
        <w:spacing w:before="161"/>
        <w:ind w:left="698"/>
      </w:pPr>
      <w:r>
        <w:rPr/>
        <w:t>本次环评收集了上虞污水处理厂提标改造后 </w:t>
      </w:r>
      <w:r>
        <w:rPr>
          <w:rFonts w:ascii="Times New Roman" w:eastAsia="Times New Roman"/>
        </w:rPr>
        <w:t>2021 </w:t>
      </w:r>
      <w:r>
        <w:rPr/>
        <w:t>年 </w:t>
      </w:r>
      <w:r>
        <w:rPr>
          <w:rFonts w:ascii="Times New Roman" w:eastAsia="Times New Roman"/>
        </w:rPr>
        <w:t>12 </w:t>
      </w:r>
      <w:r>
        <w:rPr/>
        <w:t>月至 </w:t>
      </w:r>
      <w:r>
        <w:rPr>
          <w:rFonts w:ascii="Times New Roman" w:eastAsia="Times New Roman"/>
        </w:rPr>
        <w:t>2022 </w:t>
      </w:r>
      <w:r>
        <w:rPr/>
        <w:t>年 </w:t>
      </w:r>
      <w:r>
        <w:rPr>
          <w:rFonts w:ascii="Times New Roman" w:eastAsia="Times New Roman"/>
        </w:rPr>
        <w:t>1 </w:t>
      </w:r>
      <w:r>
        <w:rPr/>
        <w:t>月近两个月</w:t>
      </w:r>
    </w:p>
    <w:p>
      <w:pPr>
        <w:spacing w:after="0"/>
        <w:sectPr>
          <w:pgSz w:w="11910" w:h="16840"/>
          <w:pgMar w:header="874" w:footer="944" w:top="1340" w:bottom="1140" w:left="1200" w:right="1180"/>
        </w:sectPr>
      </w:pPr>
    </w:p>
    <w:p>
      <w:pPr>
        <w:pStyle w:val="BodyText"/>
        <w:spacing w:before="145"/>
        <w:ind w:left="218"/>
      </w:pPr>
      <w:r>
        <w:rPr/>
        <w:t>期间的在线监测数据，其曲线图如下。</w:t>
      </w:r>
    </w:p>
    <w:p>
      <w:pPr>
        <w:pStyle w:val="BodyText"/>
        <w:spacing w:before="7"/>
        <w:rPr>
          <w:sz w:val="10"/>
        </w:rPr>
      </w:pPr>
      <w:r>
        <w:rPr/>
        <w:drawing>
          <wp:anchor distT="0" distB="0" distL="0" distR="0" allowOverlap="1" layoutInCell="1" locked="0" behindDoc="0" simplePos="0" relativeHeight="19">
            <wp:simplePos x="0" y="0"/>
            <wp:positionH relativeFrom="page">
              <wp:posOffset>916875</wp:posOffset>
            </wp:positionH>
            <wp:positionV relativeFrom="paragraph">
              <wp:posOffset>110757</wp:posOffset>
            </wp:positionV>
            <wp:extent cx="5698025" cy="1455038"/>
            <wp:effectExtent l="0" t="0" r="0" b="0"/>
            <wp:wrapTopAndBottom/>
            <wp:docPr id="13" name="image13.jpeg"/>
            <wp:cNvGraphicFramePr>
              <a:graphicFrameLocks noChangeAspect="1"/>
            </wp:cNvGraphicFramePr>
            <a:graphic>
              <a:graphicData uri="http://schemas.openxmlformats.org/drawingml/2006/picture">
                <pic:pic>
                  <pic:nvPicPr>
                    <pic:cNvPr id="14" name="image13.jpeg"/>
                    <pic:cNvPicPr/>
                  </pic:nvPicPr>
                  <pic:blipFill>
                    <a:blip r:embed="rId28" cstate="print"/>
                    <a:stretch>
                      <a:fillRect/>
                    </a:stretch>
                  </pic:blipFill>
                  <pic:spPr>
                    <a:xfrm>
                      <a:off x="0" y="0"/>
                      <a:ext cx="5698025" cy="1455038"/>
                    </a:xfrm>
                    <a:prstGeom prst="rect">
                      <a:avLst/>
                    </a:prstGeom>
                  </pic:spPr>
                </pic:pic>
              </a:graphicData>
            </a:graphic>
          </wp:anchor>
        </w:drawing>
      </w:r>
      <w:r>
        <w:rPr/>
        <w:drawing>
          <wp:anchor distT="0" distB="0" distL="0" distR="0" allowOverlap="1" layoutInCell="1" locked="0" behindDoc="0" simplePos="0" relativeHeight="20">
            <wp:simplePos x="0" y="0"/>
            <wp:positionH relativeFrom="page">
              <wp:posOffset>907746</wp:posOffset>
            </wp:positionH>
            <wp:positionV relativeFrom="paragraph">
              <wp:posOffset>1690832</wp:posOffset>
            </wp:positionV>
            <wp:extent cx="5690470" cy="1455039"/>
            <wp:effectExtent l="0" t="0" r="0" b="0"/>
            <wp:wrapTopAndBottom/>
            <wp:docPr id="15" name="image14.jpeg"/>
            <wp:cNvGraphicFramePr>
              <a:graphicFrameLocks noChangeAspect="1"/>
            </wp:cNvGraphicFramePr>
            <a:graphic>
              <a:graphicData uri="http://schemas.openxmlformats.org/drawingml/2006/picture">
                <pic:pic>
                  <pic:nvPicPr>
                    <pic:cNvPr id="16" name="image14.jpeg"/>
                    <pic:cNvPicPr/>
                  </pic:nvPicPr>
                  <pic:blipFill>
                    <a:blip r:embed="rId29" cstate="print"/>
                    <a:stretch>
                      <a:fillRect/>
                    </a:stretch>
                  </pic:blipFill>
                  <pic:spPr>
                    <a:xfrm>
                      <a:off x="0" y="0"/>
                      <a:ext cx="5690470" cy="1455039"/>
                    </a:xfrm>
                    <a:prstGeom prst="rect">
                      <a:avLst/>
                    </a:prstGeom>
                  </pic:spPr>
                </pic:pic>
              </a:graphicData>
            </a:graphic>
          </wp:anchor>
        </w:drawing>
      </w:r>
      <w:r>
        <w:rPr/>
        <w:drawing>
          <wp:anchor distT="0" distB="0" distL="0" distR="0" allowOverlap="1" layoutInCell="1" locked="0" behindDoc="0" simplePos="0" relativeHeight="21">
            <wp:simplePos x="0" y="0"/>
            <wp:positionH relativeFrom="page">
              <wp:posOffset>922515</wp:posOffset>
            </wp:positionH>
            <wp:positionV relativeFrom="paragraph">
              <wp:posOffset>3274281</wp:posOffset>
            </wp:positionV>
            <wp:extent cx="5793981" cy="1493329"/>
            <wp:effectExtent l="0" t="0" r="0" b="0"/>
            <wp:wrapTopAndBottom/>
            <wp:docPr id="17" name="image15.jpeg"/>
            <wp:cNvGraphicFramePr>
              <a:graphicFrameLocks noChangeAspect="1"/>
            </wp:cNvGraphicFramePr>
            <a:graphic>
              <a:graphicData uri="http://schemas.openxmlformats.org/drawingml/2006/picture">
                <pic:pic>
                  <pic:nvPicPr>
                    <pic:cNvPr id="18" name="image15.jpeg"/>
                    <pic:cNvPicPr/>
                  </pic:nvPicPr>
                  <pic:blipFill>
                    <a:blip r:embed="rId30" cstate="print"/>
                    <a:stretch>
                      <a:fillRect/>
                    </a:stretch>
                  </pic:blipFill>
                  <pic:spPr>
                    <a:xfrm>
                      <a:off x="0" y="0"/>
                      <a:ext cx="5793981" cy="1493329"/>
                    </a:xfrm>
                    <a:prstGeom prst="rect">
                      <a:avLst/>
                    </a:prstGeom>
                  </pic:spPr>
                </pic:pic>
              </a:graphicData>
            </a:graphic>
          </wp:anchor>
        </w:drawing>
      </w:r>
    </w:p>
    <w:p>
      <w:pPr>
        <w:pStyle w:val="BodyText"/>
        <w:rPr>
          <w:sz w:val="10"/>
        </w:rPr>
      </w:pPr>
    </w:p>
    <w:p>
      <w:pPr>
        <w:pStyle w:val="BodyText"/>
        <w:spacing w:before="6"/>
        <w:rPr>
          <w:sz w:val="10"/>
        </w:rPr>
      </w:pPr>
    </w:p>
    <w:p>
      <w:pPr>
        <w:pStyle w:val="BodyText"/>
      </w:pPr>
    </w:p>
    <w:p>
      <w:pPr>
        <w:spacing w:before="193"/>
        <w:ind w:left="478" w:right="0" w:firstLine="0"/>
        <w:jc w:val="both"/>
        <w:rPr>
          <w:b/>
          <w:sz w:val="21"/>
        </w:rPr>
      </w:pPr>
      <w:r>
        <w:rPr>
          <w:b/>
          <w:spacing w:val="-26"/>
          <w:sz w:val="21"/>
        </w:rPr>
        <w:t>图 </w:t>
      </w:r>
      <w:r>
        <w:rPr>
          <w:rFonts w:ascii="Times New Roman" w:eastAsia="Times New Roman"/>
          <w:b/>
          <w:sz w:val="21"/>
        </w:rPr>
        <w:t>2.6.5-4</w:t>
      </w:r>
      <w:r>
        <w:rPr>
          <w:rFonts w:ascii="Times New Roman" w:eastAsia="Times New Roman"/>
          <w:b/>
          <w:spacing w:val="52"/>
          <w:sz w:val="21"/>
        </w:rPr>
        <w:t> </w:t>
      </w:r>
      <w:r>
        <w:rPr>
          <w:b/>
          <w:spacing w:val="-5"/>
          <w:sz w:val="21"/>
        </w:rPr>
        <w:t>上虞污水处理厂工业废水处理工程尾水 </w:t>
      </w:r>
      <w:r>
        <w:rPr>
          <w:rFonts w:ascii="Times New Roman" w:eastAsia="Times New Roman"/>
          <w:b/>
          <w:sz w:val="21"/>
        </w:rPr>
        <w:t>2021 </w:t>
      </w:r>
      <w:r>
        <w:rPr>
          <w:b/>
          <w:spacing w:val="-25"/>
          <w:sz w:val="21"/>
        </w:rPr>
        <w:t>年 </w:t>
      </w:r>
      <w:r>
        <w:rPr>
          <w:rFonts w:ascii="Times New Roman" w:eastAsia="Times New Roman"/>
          <w:b/>
          <w:sz w:val="21"/>
        </w:rPr>
        <w:t>12 </w:t>
      </w:r>
      <w:r>
        <w:rPr>
          <w:b/>
          <w:spacing w:val="-25"/>
          <w:sz w:val="21"/>
        </w:rPr>
        <w:t>月 </w:t>
      </w:r>
      <w:r>
        <w:rPr>
          <w:rFonts w:ascii="Times New Roman" w:eastAsia="Times New Roman"/>
          <w:b/>
          <w:sz w:val="21"/>
        </w:rPr>
        <w:t>2022 </w:t>
      </w:r>
      <w:r>
        <w:rPr>
          <w:b/>
          <w:spacing w:val="-26"/>
          <w:sz w:val="21"/>
        </w:rPr>
        <w:t>至 </w:t>
      </w:r>
      <w:r>
        <w:rPr>
          <w:rFonts w:ascii="Times New Roman" w:eastAsia="Times New Roman"/>
          <w:b/>
          <w:sz w:val="21"/>
        </w:rPr>
        <w:t>1 </w:t>
      </w:r>
      <w:r>
        <w:rPr>
          <w:b/>
          <w:spacing w:val="-2"/>
          <w:sz w:val="21"/>
        </w:rPr>
        <w:t>月监测结果曲线图</w:t>
      </w:r>
    </w:p>
    <w:p>
      <w:pPr>
        <w:pStyle w:val="BodyText"/>
        <w:spacing w:line="364" w:lineRule="auto" w:before="140"/>
        <w:ind w:left="218" w:right="236" w:firstLine="480"/>
        <w:jc w:val="both"/>
      </w:pPr>
      <w:r>
        <w:rPr/>
        <w:t>由上图可知，</w:t>
      </w:r>
      <w:r>
        <w:rPr>
          <w:rFonts w:ascii="Times New Roman" w:eastAsia="Times New Roman"/>
        </w:rPr>
        <w:t>2021 </w:t>
      </w:r>
      <w:r>
        <w:rPr>
          <w:spacing w:val="-25"/>
        </w:rPr>
        <w:t>年 </w:t>
      </w:r>
      <w:r>
        <w:rPr>
          <w:rFonts w:ascii="Times New Roman" w:eastAsia="Times New Roman"/>
        </w:rPr>
        <w:t>12 </w:t>
      </w:r>
      <w:r>
        <w:rPr/>
        <w:t>月</w:t>
      </w:r>
      <w:r>
        <w:rPr>
          <w:rFonts w:ascii="Times New Roman" w:eastAsia="Times New Roman"/>
        </w:rPr>
        <w:t>~2022 </w:t>
      </w:r>
      <w:r>
        <w:rPr>
          <w:spacing w:val="-26"/>
        </w:rPr>
        <w:t>年 </w:t>
      </w:r>
      <w:r>
        <w:rPr>
          <w:rFonts w:ascii="Times New Roman" w:eastAsia="Times New Roman"/>
        </w:rPr>
        <w:t>1 </w:t>
      </w:r>
      <w:r>
        <w:rPr>
          <w:spacing w:val="-1"/>
        </w:rPr>
        <w:t>月监测结果曲线图可知，上虞污水处理厂工业废水处理工程尾水各类指标中 </w:t>
      </w:r>
      <w:r>
        <w:rPr>
          <w:rFonts w:ascii="Times New Roman" w:eastAsia="Times New Roman"/>
        </w:rPr>
        <w:t>pH</w:t>
      </w:r>
      <w:r>
        <w:rPr/>
        <w:t>、</w:t>
      </w:r>
      <w:r>
        <w:rPr>
          <w:rFonts w:ascii="Times New Roman" w:eastAsia="Times New Roman"/>
        </w:rPr>
        <w:t>COD</w:t>
      </w:r>
      <w:r>
        <w:rPr>
          <w:spacing w:val="-1"/>
        </w:rPr>
        <w:t>、氨氮浓度均能满足提标改造后工业废水尾</w:t>
      </w:r>
      <w:r>
        <w:rPr/>
        <w:t>水执行的排放标准要求。</w:t>
      </w:r>
    </w:p>
    <w:p>
      <w:pPr>
        <w:pStyle w:val="BodyText"/>
        <w:spacing w:line="307" w:lineRule="exact"/>
        <w:ind w:left="701"/>
      </w:pPr>
      <w:r>
        <w:rPr>
          <w:rFonts w:ascii="Times New Roman" w:eastAsia="Times New Roman"/>
        </w:rPr>
        <w:t>3</w:t>
      </w:r>
      <w:r>
        <w:rPr/>
        <w:t>、供热</w:t>
      </w:r>
    </w:p>
    <w:p>
      <w:pPr>
        <w:pStyle w:val="BodyText"/>
        <w:spacing w:line="364" w:lineRule="auto" w:before="158"/>
        <w:ind w:left="218" w:right="235" w:firstLine="480"/>
        <w:jc w:val="both"/>
      </w:pPr>
      <w:r>
        <w:rPr>
          <w:spacing w:val="-5"/>
        </w:rPr>
        <w:t>开发区主要有两座公共热源，分别为上虞杭协热电有限公司和浙江春晖环保能源有</w:t>
      </w:r>
      <w:r>
        <w:rPr>
          <w:spacing w:val="-9"/>
        </w:rPr>
        <w:t>限公司。此外龙盛下属硫酸厂和嘉成公司硫酸厂均具有利用余热向周边用户部分供热的</w:t>
      </w:r>
      <w:r>
        <w:rPr/>
        <w:t>能力，闰土生态工业园内的企业用热由闰土热电自行供给。</w:t>
      </w:r>
    </w:p>
    <w:p>
      <w:pPr>
        <w:pStyle w:val="ListParagraph"/>
        <w:numPr>
          <w:ilvl w:val="0"/>
          <w:numId w:val="11"/>
        </w:numPr>
        <w:tabs>
          <w:tab w:pos="1300" w:val="left" w:leader="none"/>
        </w:tabs>
        <w:spacing w:line="240" w:lineRule="auto" w:before="0" w:after="0"/>
        <w:ind w:left="1299" w:right="0" w:hanging="602"/>
        <w:jc w:val="left"/>
        <w:rPr>
          <w:sz w:val="24"/>
        </w:rPr>
      </w:pPr>
      <w:r>
        <w:rPr>
          <w:sz w:val="24"/>
        </w:rPr>
        <w:t>杭协热电有限公司</w:t>
      </w:r>
    </w:p>
    <w:p>
      <w:pPr>
        <w:pStyle w:val="BodyText"/>
        <w:spacing w:line="364" w:lineRule="auto" w:before="158"/>
        <w:ind w:left="218" w:right="225" w:firstLine="480"/>
        <w:jc w:val="both"/>
      </w:pPr>
      <w:r>
        <w:rPr/>
        <w:t>杭协热电已建成规模为三炉二机，</w:t>
      </w:r>
      <w:r>
        <w:rPr>
          <w:rFonts w:ascii="Times New Roman" w:eastAsia="Times New Roman"/>
        </w:rPr>
        <w:t>3 </w:t>
      </w:r>
      <w:r>
        <w:rPr>
          <w:spacing w:val="-23"/>
        </w:rPr>
        <w:t>台 </w:t>
      </w:r>
      <w:r>
        <w:rPr>
          <w:rFonts w:ascii="Times New Roman" w:eastAsia="Times New Roman"/>
        </w:rPr>
        <w:t>130t/h </w:t>
      </w:r>
      <w:r>
        <w:rPr>
          <w:spacing w:val="-3"/>
        </w:rPr>
        <w:t>次高温次高压循环流化床锅炉，配 </w:t>
      </w:r>
      <w:r>
        <w:rPr>
          <w:rFonts w:ascii="Times New Roman" w:eastAsia="Times New Roman"/>
        </w:rPr>
        <w:t>2 </w:t>
      </w:r>
      <w:r>
        <w:rPr>
          <w:spacing w:val="-30"/>
        </w:rPr>
        <w:t>台 </w:t>
      </w:r>
      <w:r>
        <w:rPr>
          <w:rFonts w:ascii="Times New Roman" w:eastAsia="Times New Roman"/>
        </w:rPr>
        <w:t>15MW </w:t>
      </w:r>
      <w:r>
        <w:rPr>
          <w:spacing w:val="-3"/>
        </w:rPr>
        <w:t>背压汽轮发电机组；杭协热电的现二期扩建工程已于 </w:t>
      </w:r>
      <w:r>
        <w:rPr>
          <w:rFonts w:ascii="Times New Roman" w:eastAsia="Times New Roman"/>
        </w:rPr>
        <w:t>2016 </w:t>
      </w:r>
      <w:r>
        <w:rPr>
          <w:spacing w:val="-30"/>
        </w:rPr>
        <w:t>年 </w:t>
      </w:r>
      <w:r>
        <w:rPr>
          <w:rFonts w:ascii="Times New Roman" w:eastAsia="Times New Roman"/>
        </w:rPr>
        <w:t>3 </w:t>
      </w:r>
      <w:r>
        <w:rPr>
          <w:spacing w:val="-3"/>
        </w:rPr>
        <w:t>月通过验收， </w:t>
      </w:r>
      <w:r>
        <w:rPr>
          <w:spacing w:val="-16"/>
        </w:rPr>
        <w:t>扩建 </w:t>
      </w:r>
      <w:r>
        <w:rPr>
          <w:rFonts w:ascii="Times New Roman" w:eastAsia="Times New Roman"/>
        </w:rPr>
        <w:t>2 </w:t>
      </w:r>
      <w:r>
        <w:rPr>
          <w:spacing w:val="-24"/>
        </w:rPr>
        <w:t>台 </w:t>
      </w:r>
      <w:r>
        <w:rPr>
          <w:rFonts w:ascii="Times New Roman" w:eastAsia="Times New Roman"/>
        </w:rPr>
        <w:t>130t/h </w:t>
      </w:r>
      <w:r>
        <w:rPr>
          <w:spacing w:val="-4"/>
        </w:rPr>
        <w:t>次高温次高压循环流化床锅炉和 </w:t>
      </w:r>
      <w:r>
        <w:rPr>
          <w:rFonts w:ascii="Times New Roman" w:eastAsia="Times New Roman"/>
        </w:rPr>
        <w:t>2 </w:t>
      </w:r>
      <w:r>
        <w:rPr>
          <w:spacing w:val="-24"/>
        </w:rPr>
        <w:t>台 </w:t>
      </w:r>
      <w:r>
        <w:rPr>
          <w:rFonts w:ascii="Times New Roman" w:eastAsia="Times New Roman"/>
        </w:rPr>
        <w:t>15MW </w:t>
      </w:r>
      <w:r>
        <w:rPr/>
        <w:t>背压汽轮发电机组；杭协</w:t>
      </w:r>
    </w:p>
    <w:p>
      <w:pPr>
        <w:spacing w:after="0" w:line="364" w:lineRule="auto"/>
        <w:jc w:val="both"/>
        <w:sectPr>
          <w:pgSz w:w="11910" w:h="16840"/>
          <w:pgMar w:header="874" w:footer="944" w:top="1340" w:bottom="1140" w:left="1200" w:right="1180"/>
        </w:sectPr>
      </w:pPr>
    </w:p>
    <w:p>
      <w:pPr>
        <w:pStyle w:val="BodyText"/>
        <w:spacing w:line="364" w:lineRule="auto" w:before="66"/>
        <w:ind w:left="218" w:right="113"/>
      </w:pPr>
      <w:r>
        <w:rPr>
          <w:spacing w:val="-5"/>
        </w:rPr>
        <w:t>热电的三期扩建工程已于 </w:t>
      </w:r>
      <w:r>
        <w:rPr>
          <w:rFonts w:ascii="Times New Roman" w:hAnsi="Times New Roman" w:eastAsia="Times New Roman"/>
        </w:rPr>
        <w:t>2020 </w:t>
      </w:r>
      <w:r>
        <w:rPr>
          <w:spacing w:val="-30"/>
        </w:rPr>
        <w:t>年 </w:t>
      </w:r>
      <w:r>
        <w:rPr>
          <w:rFonts w:ascii="Times New Roman" w:hAnsi="Times New Roman" w:eastAsia="Times New Roman"/>
        </w:rPr>
        <w:t>4 </w:t>
      </w:r>
      <w:r>
        <w:rPr>
          <w:spacing w:val="-11"/>
        </w:rPr>
        <w:t>月报批，拟扩建 </w:t>
      </w:r>
      <w:r>
        <w:rPr>
          <w:rFonts w:ascii="Times New Roman" w:hAnsi="Times New Roman" w:eastAsia="Times New Roman"/>
          <w:spacing w:val="-4"/>
        </w:rPr>
        <w:t>2×130t/h </w:t>
      </w:r>
      <w:r>
        <w:rPr/>
        <w:t>高温超高压循环流化床锅</w:t>
      </w:r>
      <w:r>
        <w:rPr>
          <w:spacing w:val="-1"/>
        </w:rPr>
        <w:t>炉配 </w:t>
      </w:r>
      <w:r>
        <w:rPr>
          <w:rFonts w:ascii="Times New Roman" w:hAnsi="Times New Roman" w:eastAsia="Times New Roman"/>
        </w:rPr>
        <w:t>2 </w:t>
      </w:r>
      <w:r>
        <w:rPr/>
        <w:t>台 </w:t>
      </w:r>
      <w:r>
        <w:rPr>
          <w:rFonts w:ascii="Times New Roman" w:hAnsi="Times New Roman" w:eastAsia="Times New Roman"/>
        </w:rPr>
        <w:t>15MW</w:t>
      </w:r>
      <w:r>
        <w:rPr>
          <w:rFonts w:ascii="Times New Roman" w:hAnsi="Times New Roman" w:eastAsia="Times New Roman"/>
          <w:spacing w:val="59"/>
        </w:rPr>
        <w:t> </w:t>
      </w:r>
      <w:r>
        <w:rPr>
          <w:spacing w:val="-4"/>
        </w:rPr>
        <w:t>高温超高压背压式汽轮发电机组，同步建设除尘、脱硫、脱硝装置。</w:t>
      </w:r>
      <w:r>
        <w:rPr/>
        <w:t>扩建完成后企业将形成三台 </w:t>
      </w:r>
      <w:r>
        <w:rPr>
          <w:rFonts w:ascii="Times New Roman" w:hAnsi="Times New Roman" w:eastAsia="Times New Roman"/>
        </w:rPr>
        <w:t>130t/h </w:t>
      </w:r>
      <w:r>
        <w:rPr>
          <w:spacing w:val="-6"/>
        </w:rPr>
        <w:t>次高温次高压循环流化床锅炉、二台 </w:t>
      </w:r>
      <w:r>
        <w:rPr>
          <w:rFonts w:ascii="Times New Roman" w:hAnsi="Times New Roman" w:eastAsia="Times New Roman"/>
        </w:rPr>
        <w:t>130t/h  </w:t>
      </w:r>
      <w:r>
        <w:rPr/>
        <w:t>高温高</w:t>
      </w:r>
      <w:r>
        <w:rPr>
          <w:spacing w:val="1"/>
        </w:rPr>
        <w:t>压循环流化床锅炉、二台 </w:t>
      </w:r>
      <w:r>
        <w:rPr>
          <w:rFonts w:ascii="Times New Roman" w:hAnsi="Times New Roman" w:eastAsia="Times New Roman"/>
        </w:rPr>
        <w:t>130t/h </w:t>
      </w:r>
      <w:r>
        <w:rPr>
          <w:spacing w:val="1"/>
        </w:rPr>
        <w:t>高温超高压循环流化床锅炉和六台 </w:t>
      </w:r>
      <w:r>
        <w:rPr>
          <w:rFonts w:ascii="Times New Roman" w:hAnsi="Times New Roman" w:eastAsia="Times New Roman"/>
        </w:rPr>
        <w:t>15MW</w:t>
      </w:r>
      <w:r>
        <w:rPr>
          <w:rFonts w:ascii="Times New Roman" w:hAnsi="Times New Roman" w:eastAsia="Times New Roman"/>
          <w:spacing w:val="5"/>
        </w:rPr>
        <w:t>  </w:t>
      </w:r>
      <w:r>
        <w:rPr/>
        <w:t>背压汽轮发电机组的规模。</w:t>
      </w:r>
    </w:p>
    <w:p>
      <w:pPr>
        <w:pStyle w:val="ListParagraph"/>
        <w:numPr>
          <w:ilvl w:val="0"/>
          <w:numId w:val="11"/>
        </w:numPr>
        <w:tabs>
          <w:tab w:pos="1300" w:val="left" w:leader="none"/>
        </w:tabs>
        <w:spacing w:line="304" w:lineRule="exact" w:before="0" w:after="0"/>
        <w:ind w:left="1299" w:right="0" w:hanging="602"/>
        <w:jc w:val="left"/>
        <w:rPr>
          <w:sz w:val="24"/>
        </w:rPr>
      </w:pPr>
      <w:r>
        <w:rPr>
          <w:sz w:val="24"/>
        </w:rPr>
        <w:t>春晖环保能源有限公司</w:t>
      </w:r>
    </w:p>
    <w:p>
      <w:pPr>
        <w:pStyle w:val="BodyText"/>
        <w:spacing w:line="364" w:lineRule="auto" w:before="160"/>
        <w:ind w:left="218" w:right="114" w:firstLine="480"/>
      </w:pPr>
      <w:r>
        <w:rPr>
          <w:spacing w:val="-3"/>
        </w:rPr>
        <w:t>浙江春晖环保能源有限公司设计规模日处理 </w:t>
      </w:r>
      <w:r>
        <w:rPr>
          <w:rFonts w:ascii="Times New Roman" w:eastAsia="Times New Roman"/>
        </w:rPr>
        <w:t>500 </w:t>
      </w:r>
      <w:r>
        <w:rPr>
          <w:spacing w:val="-5"/>
        </w:rPr>
        <w:t>吨城市生活垃圾，有 </w:t>
      </w:r>
      <w:r>
        <w:rPr>
          <w:rFonts w:ascii="Times New Roman" w:eastAsia="Times New Roman"/>
        </w:rPr>
        <w:t>75t/h </w:t>
      </w:r>
      <w:r>
        <w:rPr/>
        <w:t>焚烧锅</w:t>
      </w:r>
      <w:r>
        <w:rPr>
          <w:spacing w:val="-1"/>
        </w:rPr>
        <w:t>炉二台，</w:t>
      </w:r>
      <w:r>
        <w:rPr>
          <w:rFonts w:ascii="Times New Roman" w:eastAsia="Times New Roman"/>
          <w:spacing w:val="-4"/>
        </w:rPr>
        <w:t>C12 </w:t>
      </w:r>
      <w:r>
        <w:rPr>
          <w:spacing w:val="-1"/>
        </w:rPr>
        <w:t>汽轮机组一台，</w:t>
      </w:r>
      <w:r>
        <w:rPr>
          <w:rFonts w:ascii="Times New Roman" w:eastAsia="Times New Roman"/>
          <w:spacing w:val="-3"/>
        </w:rPr>
        <w:t>6MW </w:t>
      </w:r>
      <w:r>
        <w:rPr>
          <w:spacing w:val="-4"/>
        </w:rPr>
        <w:t>背压汽轮机一台。目前该公司能够消化市区、崧厦、沥海等区域产出的全部垃圾，供热单位主要为新和成、新赛科和信阳高分子。公司二期</w:t>
      </w:r>
      <w:r>
        <w:rPr>
          <w:spacing w:val="-10"/>
        </w:rPr>
        <w:t>工程为新增处理 </w:t>
      </w:r>
      <w:r>
        <w:rPr>
          <w:rFonts w:ascii="Times New Roman" w:eastAsia="Times New Roman"/>
        </w:rPr>
        <w:t>750 </w:t>
      </w:r>
      <w:r>
        <w:rPr/>
        <w:t>吨</w:t>
      </w:r>
      <w:r>
        <w:rPr>
          <w:rFonts w:ascii="Times New Roman" w:eastAsia="Times New Roman"/>
        </w:rPr>
        <w:t>/</w:t>
      </w:r>
      <w:r>
        <w:rPr/>
        <w:t>日污泥的循环流化床锅炉二台</w:t>
      </w:r>
      <w:r>
        <w:rPr>
          <w:rFonts w:ascii="Times New Roman" w:eastAsia="Times New Roman"/>
        </w:rPr>
        <w:t>(2 </w:t>
      </w:r>
      <w:r>
        <w:rPr>
          <w:spacing w:val="-26"/>
        </w:rPr>
        <w:t>台 </w:t>
      </w:r>
      <w:r>
        <w:rPr>
          <w:rFonts w:ascii="Times New Roman" w:eastAsia="Times New Roman"/>
        </w:rPr>
        <w:t>75t/h</w:t>
      </w:r>
      <w:r>
        <w:rPr/>
        <w:t>，一开一备</w:t>
      </w:r>
      <w:r>
        <w:rPr>
          <w:rFonts w:ascii="Times New Roman" w:eastAsia="Times New Roman"/>
        </w:rPr>
        <w:t>)</w:t>
      </w:r>
      <w:r>
        <w:rPr/>
        <w:t>，</w:t>
      </w:r>
      <w:r>
        <w:rPr>
          <w:rFonts w:ascii="Times New Roman" w:eastAsia="Times New Roman"/>
        </w:rPr>
        <w:t>6MW </w:t>
      </w:r>
      <w:r>
        <w:rPr/>
        <w:t>背</w:t>
      </w:r>
      <w:r>
        <w:rPr>
          <w:spacing w:val="-3"/>
        </w:rPr>
        <w:t>压式发电机一台及相关配套设施，已于 </w:t>
      </w:r>
      <w:r>
        <w:rPr>
          <w:rFonts w:ascii="Times New Roman" w:eastAsia="Times New Roman"/>
        </w:rPr>
        <w:t>2009 </w:t>
      </w:r>
      <w:r>
        <w:rPr>
          <w:spacing w:val="-24"/>
        </w:rPr>
        <w:t>年 </w:t>
      </w:r>
      <w:r>
        <w:rPr>
          <w:rFonts w:ascii="Times New Roman" w:eastAsia="Times New Roman"/>
        </w:rPr>
        <w:t>10 </w:t>
      </w:r>
      <w:r>
        <w:rPr>
          <w:spacing w:val="-5"/>
        </w:rPr>
        <w:t>月投入试运行，并于 </w:t>
      </w:r>
      <w:r>
        <w:rPr>
          <w:rFonts w:ascii="Times New Roman" w:eastAsia="Times New Roman"/>
        </w:rPr>
        <w:t>2013 </w:t>
      </w:r>
      <w:r>
        <w:rPr/>
        <w:t>年通过验</w:t>
      </w:r>
    </w:p>
    <w:p>
      <w:pPr>
        <w:pStyle w:val="BodyText"/>
        <w:spacing w:line="362" w:lineRule="auto"/>
        <w:ind w:left="218" w:right="232"/>
      </w:pPr>
      <w:r>
        <w:rPr>
          <w:spacing w:val="-12"/>
        </w:rPr>
        <w:t>收。春晖公司又于 </w:t>
      </w:r>
      <w:r>
        <w:rPr>
          <w:rFonts w:ascii="Times New Roman" w:eastAsia="Times New Roman"/>
        </w:rPr>
        <w:t>2011 </w:t>
      </w:r>
      <w:r>
        <w:rPr>
          <w:spacing w:val="-6"/>
        </w:rPr>
        <w:t>年建设生物质发电工程项目，已于 </w:t>
      </w:r>
      <w:r>
        <w:rPr>
          <w:rFonts w:ascii="Times New Roman" w:eastAsia="Times New Roman"/>
        </w:rPr>
        <w:t>2014 </w:t>
      </w:r>
      <w:r>
        <w:rPr>
          <w:spacing w:val="-30"/>
        </w:rPr>
        <w:t>年 </w:t>
      </w:r>
      <w:r>
        <w:rPr>
          <w:rFonts w:ascii="Times New Roman" w:eastAsia="Times New Roman"/>
        </w:rPr>
        <w:t>8 </w:t>
      </w:r>
      <w:r>
        <w:rPr>
          <w:spacing w:val="-2"/>
        </w:rPr>
        <w:t>月通过环保竣工验</w:t>
      </w:r>
      <w:r>
        <w:rPr/>
        <w:t>收。</w:t>
      </w:r>
    </w:p>
    <w:p>
      <w:pPr>
        <w:pStyle w:val="BodyText"/>
        <w:spacing w:before="4"/>
        <w:ind w:left="696"/>
      </w:pPr>
      <w:r>
        <w:rPr>
          <w:rFonts w:ascii="Times New Roman" w:eastAsia="Times New Roman"/>
        </w:rPr>
        <w:t>4</w:t>
      </w:r>
      <w:r>
        <w:rPr/>
        <w:t>、固废处置</w:t>
      </w:r>
    </w:p>
    <w:p>
      <w:pPr>
        <w:pStyle w:val="BodyText"/>
        <w:spacing w:line="364" w:lineRule="auto" w:before="158"/>
        <w:ind w:left="218" w:right="173" w:firstLine="480"/>
      </w:pPr>
      <w:r>
        <w:rPr/>
        <w:t>目前杭州湾上虞经济技术开发区工业固废处置设施较为完善，涵盖了焚烧、填埋等处置能力。</w:t>
      </w:r>
    </w:p>
    <w:p>
      <w:pPr>
        <w:pStyle w:val="BodyText"/>
        <w:spacing w:line="306" w:lineRule="exact"/>
        <w:ind w:left="698"/>
      </w:pPr>
      <w:r>
        <w:rPr/>
        <w:t>集中焚烧处置设施主要有浙江春晖固废有限公司</w:t>
      </w:r>
      <w:r>
        <w:rPr>
          <w:rFonts w:ascii="Times New Roman" w:eastAsia="Times New Roman"/>
        </w:rPr>
        <w:t>(</w:t>
      </w:r>
      <w:r>
        <w:rPr/>
        <w:t>原上虞振兴固废</w:t>
      </w:r>
      <w:r>
        <w:rPr>
          <w:rFonts w:ascii="Times New Roman" w:eastAsia="Times New Roman"/>
        </w:rPr>
        <w:t>)</w:t>
      </w:r>
      <w:r>
        <w:rPr/>
        <w:t>和众联环保。</w:t>
      </w:r>
    </w:p>
    <w:p>
      <w:pPr>
        <w:pStyle w:val="ListParagraph"/>
        <w:numPr>
          <w:ilvl w:val="0"/>
          <w:numId w:val="12"/>
        </w:numPr>
        <w:tabs>
          <w:tab w:pos="1300" w:val="left" w:leader="none"/>
        </w:tabs>
        <w:spacing w:line="240" w:lineRule="auto" w:before="161" w:after="0"/>
        <w:ind w:left="1299" w:right="0" w:hanging="602"/>
        <w:jc w:val="left"/>
        <w:rPr>
          <w:sz w:val="24"/>
        </w:rPr>
      </w:pPr>
      <w:r>
        <w:rPr>
          <w:sz w:val="24"/>
        </w:rPr>
        <w:t>浙江春晖固废有限公司。</w:t>
      </w:r>
    </w:p>
    <w:p>
      <w:pPr>
        <w:pStyle w:val="BodyText"/>
        <w:spacing w:line="364" w:lineRule="auto" w:before="158"/>
        <w:ind w:left="218" w:right="224" w:firstLine="480"/>
        <w:jc w:val="both"/>
      </w:pPr>
      <w:r>
        <w:rPr>
          <w:spacing w:val="-8"/>
        </w:rPr>
        <w:t>振兴固废成立于 </w:t>
      </w:r>
      <w:r>
        <w:rPr>
          <w:rFonts w:ascii="Times New Roman" w:eastAsia="Times New Roman"/>
        </w:rPr>
        <w:t>2005 </w:t>
      </w:r>
      <w:r>
        <w:rPr>
          <w:spacing w:val="-30"/>
        </w:rPr>
        <w:t>年 </w:t>
      </w:r>
      <w:r>
        <w:rPr>
          <w:rFonts w:ascii="Times New Roman" w:eastAsia="Times New Roman"/>
          <w:spacing w:val="-5"/>
        </w:rPr>
        <w:t>11 </w:t>
      </w:r>
      <w:r>
        <w:rPr>
          <w:spacing w:val="-7"/>
        </w:rPr>
        <w:t>月，具备集中收集、无害化处置工业危险废物资质，目</w:t>
      </w:r>
      <w:r>
        <w:rPr>
          <w:spacing w:val="-10"/>
        </w:rPr>
        <w:t>前已被收购并更名为浙江春晖固废有限公司。</w:t>
      </w:r>
      <w:r>
        <w:rPr>
          <w:rFonts w:ascii="Times New Roman" w:eastAsia="Times New Roman"/>
        </w:rPr>
        <w:t>2005 </w:t>
      </w:r>
      <w:r>
        <w:rPr>
          <w:spacing w:val="-7"/>
        </w:rPr>
        <w:t>年底建成投运一期 </w:t>
      </w:r>
      <w:r>
        <w:rPr>
          <w:rFonts w:ascii="Times New Roman" w:eastAsia="Times New Roman"/>
        </w:rPr>
        <w:t>3600 </w:t>
      </w:r>
      <w:r>
        <w:rPr/>
        <w:t>吨</w:t>
      </w:r>
      <w:r>
        <w:rPr>
          <w:rFonts w:ascii="Times New Roman" w:eastAsia="Times New Roman"/>
        </w:rPr>
        <w:t>/</w:t>
      </w:r>
      <w:r>
        <w:rPr/>
        <w:t>年的危险</w:t>
      </w:r>
      <w:r>
        <w:rPr>
          <w:spacing w:val="-18"/>
        </w:rPr>
        <w:t>固废焚烧中心，</w:t>
      </w:r>
      <w:r>
        <w:rPr>
          <w:rFonts w:ascii="Times New Roman" w:eastAsia="Times New Roman"/>
        </w:rPr>
        <w:t>2009 </w:t>
      </w:r>
      <w:r>
        <w:rPr>
          <w:spacing w:val="10"/>
        </w:rPr>
        <w:t>年建成</w:t>
      </w:r>
      <w:r>
        <w:rPr>
          <w:rFonts w:ascii="Times New Roman" w:eastAsia="Times New Roman"/>
        </w:rPr>
        <w:t>5400 </w:t>
      </w:r>
      <w:r>
        <w:rPr/>
        <w:t>吨</w:t>
      </w:r>
      <w:r>
        <w:rPr>
          <w:rFonts w:ascii="Times New Roman" w:eastAsia="Times New Roman"/>
        </w:rPr>
        <w:t>/</w:t>
      </w:r>
      <w:r>
        <w:rPr>
          <w:spacing w:val="-7"/>
        </w:rPr>
        <w:t>年的危险固废焚烧处置二期工程。振兴固废设有</w:t>
      </w:r>
      <w:r>
        <w:rPr>
          <w:rFonts w:ascii="Times New Roman" w:eastAsia="Times New Roman"/>
        </w:rPr>
        <w:t>1  </w:t>
      </w:r>
      <w:r>
        <w:rPr/>
        <w:t>座</w:t>
      </w:r>
      <w:r>
        <w:rPr>
          <w:spacing w:val="-5"/>
        </w:rPr>
        <w:t>耐火式卧式固定焚烧炉和 </w:t>
      </w:r>
      <w:r>
        <w:rPr>
          <w:rFonts w:ascii="Times New Roman" w:eastAsia="Times New Roman"/>
        </w:rPr>
        <w:t>1 </w:t>
      </w:r>
      <w:r>
        <w:rPr>
          <w:spacing w:val="-9"/>
        </w:rPr>
        <w:t>座回转窑焚烧炉，日处理量分别为 </w:t>
      </w:r>
      <w:r>
        <w:rPr>
          <w:rFonts w:ascii="Times New Roman" w:eastAsia="Times New Roman"/>
        </w:rPr>
        <w:t>12t/d </w:t>
      </w:r>
      <w:r>
        <w:rPr>
          <w:spacing w:val="-30"/>
        </w:rPr>
        <w:t>和 </w:t>
      </w:r>
      <w:r>
        <w:rPr>
          <w:rFonts w:ascii="Times New Roman" w:eastAsia="Times New Roman"/>
          <w:spacing w:val="-7"/>
        </w:rPr>
        <w:t>18t/d</w:t>
      </w:r>
      <w:r>
        <w:rPr>
          <w:spacing w:val="-3"/>
        </w:rPr>
        <w:t>，总处理能</w:t>
      </w:r>
      <w:r>
        <w:rPr>
          <w:spacing w:val="-16"/>
        </w:rPr>
        <w:t>力达到 </w:t>
      </w:r>
      <w:r>
        <w:rPr>
          <w:rFonts w:ascii="Times New Roman" w:eastAsia="Times New Roman"/>
        </w:rPr>
        <w:t>30t/d(9000t/a)</w:t>
      </w:r>
      <w:r>
        <w:rPr>
          <w:spacing w:val="-8"/>
        </w:rPr>
        <w:t>。经营范围为 </w:t>
      </w:r>
      <w:r>
        <w:rPr>
          <w:rFonts w:ascii="Times New Roman" w:eastAsia="Times New Roman"/>
        </w:rPr>
        <w:t>HW02</w:t>
      </w:r>
      <w:r>
        <w:rPr>
          <w:rFonts w:ascii="Times New Roman" w:eastAsia="Times New Roman"/>
          <w:spacing w:val="58"/>
        </w:rPr>
        <w:t> </w:t>
      </w:r>
      <w:r>
        <w:rPr/>
        <w:t>医药废物、</w:t>
      </w:r>
      <w:r>
        <w:rPr>
          <w:rFonts w:ascii="Times New Roman" w:eastAsia="Times New Roman"/>
        </w:rPr>
        <w:t>HW04</w:t>
      </w:r>
      <w:r>
        <w:rPr>
          <w:rFonts w:ascii="Times New Roman" w:eastAsia="Times New Roman"/>
          <w:spacing w:val="58"/>
        </w:rPr>
        <w:t> </w:t>
      </w:r>
      <w:r>
        <w:rPr/>
        <w:t>农药废物、</w:t>
      </w:r>
      <w:r>
        <w:rPr>
          <w:rFonts w:ascii="Times New Roman" w:eastAsia="Times New Roman"/>
        </w:rPr>
        <w:t>HW06</w:t>
      </w:r>
      <w:r>
        <w:rPr>
          <w:rFonts w:ascii="Times New Roman" w:eastAsia="Times New Roman"/>
          <w:spacing w:val="59"/>
        </w:rPr>
        <w:t> </w:t>
      </w:r>
      <w:r>
        <w:rPr/>
        <w:t>有机溶</w:t>
      </w:r>
      <w:r>
        <w:rPr>
          <w:spacing w:val="4"/>
        </w:rPr>
        <w:t>剂废物、</w:t>
      </w:r>
      <w:r>
        <w:rPr>
          <w:rFonts w:ascii="Times New Roman" w:eastAsia="Times New Roman"/>
        </w:rPr>
        <w:t>HW08 </w:t>
      </w:r>
      <w:r>
        <w:rPr>
          <w:spacing w:val="2"/>
        </w:rPr>
        <w:t>废矿物油、</w:t>
      </w:r>
      <w:r>
        <w:rPr>
          <w:rFonts w:ascii="Times New Roman" w:eastAsia="Times New Roman"/>
        </w:rPr>
        <w:t>HW09 </w:t>
      </w:r>
      <w:r>
        <w:rPr>
          <w:spacing w:val="2"/>
        </w:rPr>
        <w:t>废乳化液、</w:t>
      </w:r>
      <w:r>
        <w:rPr>
          <w:rFonts w:ascii="Times New Roman" w:eastAsia="Times New Roman"/>
          <w:spacing w:val="-3"/>
        </w:rPr>
        <w:t>HW11 </w:t>
      </w:r>
      <w:r>
        <w:rPr>
          <w:spacing w:val="4"/>
        </w:rPr>
        <w:t>精</w:t>
      </w:r>
      <w:r>
        <w:rPr>
          <w:rFonts w:ascii="Times New Roman" w:eastAsia="Times New Roman"/>
          <w:spacing w:val="4"/>
        </w:rPr>
        <w:t>(</w:t>
      </w:r>
      <w:r>
        <w:rPr>
          <w:spacing w:val="4"/>
        </w:rPr>
        <w:t>蒸</w:t>
      </w:r>
      <w:r>
        <w:rPr>
          <w:rFonts w:ascii="Times New Roman" w:eastAsia="Times New Roman"/>
          <w:spacing w:val="4"/>
        </w:rPr>
        <w:t>)</w:t>
      </w:r>
      <w:r>
        <w:rPr>
          <w:spacing w:val="2"/>
        </w:rPr>
        <w:t>馏残渣、</w:t>
      </w:r>
      <w:r>
        <w:rPr>
          <w:rFonts w:ascii="Times New Roman" w:eastAsia="Times New Roman"/>
        </w:rPr>
        <w:t>HW12</w:t>
      </w:r>
      <w:r>
        <w:rPr>
          <w:rFonts w:ascii="Times New Roman" w:eastAsia="Times New Roman"/>
          <w:spacing w:val="2"/>
        </w:rPr>
        <w:t>  </w:t>
      </w:r>
      <w:r>
        <w:rPr>
          <w:spacing w:val="4"/>
        </w:rPr>
        <w:t>染料、涂</w:t>
      </w:r>
      <w:r>
        <w:rPr/>
        <w:t>料废物、</w:t>
      </w:r>
      <w:r>
        <w:rPr>
          <w:rFonts w:ascii="Times New Roman" w:eastAsia="Times New Roman"/>
        </w:rPr>
        <w:t>HW13</w:t>
      </w:r>
      <w:r>
        <w:rPr>
          <w:rFonts w:ascii="Times New Roman" w:eastAsia="Times New Roman"/>
          <w:spacing w:val="59"/>
        </w:rPr>
        <w:t> </w:t>
      </w:r>
      <w:r>
        <w:rPr/>
        <w:t>有机树脂类废物、</w:t>
      </w:r>
      <w:r>
        <w:rPr>
          <w:rFonts w:ascii="Times New Roman" w:eastAsia="Times New Roman"/>
        </w:rPr>
        <w:t>HW42  </w:t>
      </w:r>
      <w:r>
        <w:rPr>
          <w:spacing w:val="-9"/>
        </w:rPr>
        <w:t>废有机溶剂和 </w:t>
      </w:r>
      <w:r>
        <w:rPr>
          <w:rFonts w:ascii="Times New Roman" w:eastAsia="Times New Roman"/>
        </w:rPr>
        <w:t>HW49  </w:t>
      </w:r>
      <w:r>
        <w:rPr/>
        <w:t>其他废物。</w:t>
      </w:r>
    </w:p>
    <w:p>
      <w:pPr>
        <w:pStyle w:val="BodyText"/>
        <w:spacing w:line="364" w:lineRule="auto"/>
        <w:ind w:left="218" w:right="232" w:firstLine="480"/>
        <w:jc w:val="both"/>
      </w:pPr>
      <w:r>
        <w:rPr>
          <w:spacing w:val="10"/>
        </w:rPr>
        <w:t>目前一期工程已拆除，仅保留了二期工程危险废物焚烧处理设施，处理能力为</w:t>
      </w:r>
      <w:r>
        <w:rPr>
          <w:rFonts w:ascii="Times New Roman" w:eastAsia="Times New Roman"/>
          <w:spacing w:val="10"/>
        </w:rPr>
        <w:t>5400t/a</w:t>
      </w:r>
      <w:r>
        <w:rPr>
          <w:spacing w:val="-8"/>
        </w:rPr>
        <w:t>。为了更好地服务当地经济发展，解决上虞乃至整个绍兴地区危险废物处置增长</w:t>
      </w:r>
      <w:r>
        <w:rPr>
          <w:spacing w:val="-3"/>
        </w:rPr>
        <w:t>需求以及地方政府要求农牧废弃物集中无害化处置的问题，浙江春晖固废处理有限公司</w:t>
      </w:r>
      <w:r>
        <w:rPr>
          <w:spacing w:val="-4"/>
        </w:rPr>
        <w:t>目前正在实施新建年焚烧处理危险固废 </w:t>
      </w:r>
      <w:r>
        <w:rPr>
          <w:rFonts w:ascii="Times New Roman" w:eastAsia="Times New Roman"/>
        </w:rPr>
        <w:t>1.5</w:t>
      </w:r>
      <w:r>
        <w:rPr>
          <w:rFonts w:ascii="Times New Roman" w:eastAsia="Times New Roman"/>
          <w:spacing w:val="4"/>
        </w:rPr>
        <w:t> </w:t>
      </w:r>
      <w:r>
        <w:rPr>
          <w:spacing w:val="-1"/>
        </w:rPr>
        <w:t>万吨项目，拟通过在杭州湾上虞经济技术开</w:t>
      </w:r>
    </w:p>
    <w:p>
      <w:pPr>
        <w:pStyle w:val="BodyText"/>
        <w:spacing w:line="305" w:lineRule="exact"/>
        <w:ind w:left="218"/>
        <w:jc w:val="both"/>
        <w:rPr>
          <w:rFonts w:ascii="Times New Roman" w:eastAsia="Times New Roman"/>
        </w:rPr>
      </w:pPr>
      <w:r>
        <w:rPr>
          <w:spacing w:val="-8"/>
        </w:rPr>
        <w:t>发区内新征地 </w:t>
      </w:r>
      <w:r>
        <w:rPr>
          <w:rFonts w:ascii="Times New Roman" w:eastAsia="Times New Roman"/>
        </w:rPr>
        <w:t>80</w:t>
      </w:r>
      <w:r>
        <w:rPr>
          <w:rFonts w:ascii="Times New Roman" w:eastAsia="Times New Roman"/>
          <w:spacing w:val="12"/>
        </w:rPr>
        <w:t> </w:t>
      </w:r>
      <w:r>
        <w:rPr>
          <w:spacing w:val="-7"/>
        </w:rPr>
        <w:t>亩，新建一套 </w:t>
      </w:r>
      <w:r>
        <w:rPr>
          <w:rFonts w:ascii="Times New Roman" w:eastAsia="Times New Roman"/>
        </w:rPr>
        <w:t>70</w:t>
      </w:r>
      <w:r>
        <w:rPr>
          <w:rFonts w:ascii="Times New Roman" w:eastAsia="Times New Roman"/>
          <w:spacing w:val="12"/>
        </w:rPr>
        <w:t> </w:t>
      </w:r>
      <w:r>
        <w:rPr/>
        <w:t>吨</w:t>
      </w:r>
      <w:r>
        <w:rPr>
          <w:rFonts w:ascii="Times New Roman" w:eastAsia="Times New Roman"/>
        </w:rPr>
        <w:t>/</w:t>
      </w:r>
      <w:r>
        <w:rPr>
          <w:spacing w:val="-3"/>
        </w:rPr>
        <w:t>天的危险固废焚烧系统，配套新建储存能力 </w:t>
      </w:r>
      <w:r>
        <w:rPr>
          <w:rFonts w:ascii="Times New Roman" w:eastAsia="Times New Roman"/>
        </w:rPr>
        <w:t>3000</w:t>
      </w:r>
    </w:p>
    <w:p>
      <w:pPr>
        <w:spacing w:after="0" w:line="305" w:lineRule="exact"/>
        <w:jc w:val="both"/>
        <w:rPr>
          <w:rFonts w:ascii="Times New Roman" w:eastAsia="Times New Roman"/>
        </w:rPr>
        <w:sectPr>
          <w:pgSz w:w="11910" w:h="16840"/>
          <w:pgMar w:header="874" w:footer="944" w:top="1340" w:bottom="1140" w:left="1200" w:right="1180"/>
        </w:sectPr>
      </w:pPr>
    </w:p>
    <w:p>
      <w:pPr>
        <w:pStyle w:val="BodyText"/>
        <w:spacing w:line="364" w:lineRule="auto" w:before="66"/>
        <w:ind w:left="218" w:right="124"/>
      </w:pPr>
      <w:r>
        <w:rPr>
          <w:spacing w:val="-4"/>
        </w:rPr>
        <w:t>吨的危废暂存及废气收集处理系统、污水处理系统、试验分析中心、办公、宿舍以及其</w:t>
      </w:r>
      <w:r>
        <w:rPr>
          <w:spacing w:val="-7"/>
        </w:rPr>
        <w:t>它公辅配套设施，实现年焚烧处置危险废物 </w:t>
      </w:r>
      <w:r>
        <w:rPr>
          <w:rFonts w:ascii="Times New Roman" w:eastAsia="Times New Roman"/>
        </w:rPr>
        <w:t>1.5 </w:t>
      </w:r>
      <w:r>
        <w:rPr>
          <w:spacing w:val="-7"/>
        </w:rPr>
        <w:t>万吨和农牧废弃物 </w:t>
      </w:r>
      <w:r>
        <w:rPr>
          <w:rFonts w:ascii="Times New Roman" w:eastAsia="Times New Roman"/>
        </w:rPr>
        <w:t>3000 </w:t>
      </w:r>
      <w:r>
        <w:rPr>
          <w:spacing w:val="-3"/>
        </w:rPr>
        <w:t>吨的处置目标， </w:t>
      </w:r>
      <w:r>
        <w:rPr/>
        <w:t>提升开发区环境治理和保护能力。该项目实施投产后，现有厂区处置设施将同时停运。</w:t>
      </w:r>
      <w:r>
        <w:rPr>
          <w:spacing w:val="-4"/>
        </w:rPr>
        <w:t>目前该项目已经取得环评批复，并于 </w:t>
      </w:r>
      <w:r>
        <w:rPr>
          <w:rFonts w:ascii="Times New Roman" w:eastAsia="Times New Roman"/>
        </w:rPr>
        <w:t>2020 </w:t>
      </w:r>
      <w:r>
        <w:rPr>
          <w:spacing w:val="-30"/>
        </w:rPr>
        <w:t>年 </w:t>
      </w:r>
      <w:r>
        <w:rPr>
          <w:rFonts w:ascii="Times New Roman" w:eastAsia="Times New Roman"/>
        </w:rPr>
        <w:t>8 </w:t>
      </w:r>
      <w:r>
        <w:rPr/>
        <w:t>月通过自主验收。</w:t>
      </w:r>
    </w:p>
    <w:p>
      <w:pPr>
        <w:pStyle w:val="BodyText"/>
        <w:spacing w:line="362" w:lineRule="auto"/>
        <w:ind w:left="218" w:right="234" w:firstLine="480"/>
      </w:pPr>
      <w:r>
        <w:rPr>
          <w:spacing w:val="-16"/>
        </w:rPr>
        <w:t>企业于 </w:t>
      </w:r>
      <w:r>
        <w:rPr>
          <w:rFonts w:ascii="Times New Roman" w:eastAsia="Times New Roman"/>
        </w:rPr>
        <w:t>2022 </w:t>
      </w:r>
      <w:r>
        <w:rPr>
          <w:spacing w:val="-4"/>
        </w:rPr>
        <w:t>年申报实施年焚烧处理危险废物 </w:t>
      </w:r>
      <w:r>
        <w:rPr>
          <w:rFonts w:ascii="Times New Roman" w:eastAsia="Times New Roman"/>
        </w:rPr>
        <w:t>1.5 </w:t>
      </w:r>
      <w:r>
        <w:rPr>
          <w:spacing w:val="-12"/>
        </w:rPr>
        <w:t>万吨技改项目，目前该项目已取得</w:t>
      </w:r>
      <w:r>
        <w:rPr/>
        <w:t>环评批复。</w:t>
      </w:r>
    </w:p>
    <w:p>
      <w:pPr>
        <w:pStyle w:val="ListParagraph"/>
        <w:numPr>
          <w:ilvl w:val="0"/>
          <w:numId w:val="12"/>
        </w:numPr>
        <w:tabs>
          <w:tab w:pos="1300" w:val="left" w:leader="none"/>
        </w:tabs>
        <w:spacing w:line="240" w:lineRule="auto" w:before="3" w:after="0"/>
        <w:ind w:left="1299" w:right="0" w:hanging="602"/>
        <w:jc w:val="left"/>
        <w:rPr>
          <w:sz w:val="24"/>
        </w:rPr>
      </w:pPr>
      <w:r>
        <w:rPr>
          <w:sz w:val="24"/>
        </w:rPr>
        <w:t>上虞众联环保有限公司</w:t>
      </w:r>
    </w:p>
    <w:p>
      <w:pPr>
        <w:pStyle w:val="BodyText"/>
        <w:spacing w:line="362" w:lineRule="auto" w:before="160"/>
        <w:ind w:left="218" w:right="174" w:firstLine="480"/>
      </w:pPr>
      <w:r>
        <w:rPr/>
        <w:t>绍兴市上虞众联环保有限公司目前共审批了六个项目，各项目审批及验收情况见下表：</w:t>
      </w:r>
    </w:p>
    <w:p>
      <w:pPr>
        <w:pStyle w:val="Heading4"/>
        <w:tabs>
          <w:tab w:pos="3315" w:val="left" w:leader="none"/>
        </w:tabs>
        <w:spacing w:before="148" w:after="28"/>
        <w:ind w:left="2093"/>
      </w:pPr>
      <w:r>
        <w:rPr/>
        <w:t>表</w:t>
      </w:r>
      <w:r>
        <w:rPr>
          <w:spacing w:val="-60"/>
        </w:rPr>
        <w:t> </w:t>
      </w:r>
      <w:r>
        <w:rPr>
          <w:rFonts w:ascii="Times New Roman" w:eastAsia="Times New Roman"/>
        </w:rPr>
        <w:t>2.6.5-1</w:t>
        <w:tab/>
      </w:r>
      <w:r>
        <w:rPr/>
        <w:t>众联环保项目审批及验收情况会一览表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1555"/>
        <w:gridCol w:w="708"/>
        <w:gridCol w:w="707"/>
        <w:gridCol w:w="1276"/>
        <w:gridCol w:w="993"/>
        <w:gridCol w:w="2680"/>
        <w:gridCol w:w="963"/>
      </w:tblGrid>
      <w:tr>
        <w:trPr>
          <w:trHeight w:val="282" w:hRule="atLeast"/>
        </w:trPr>
        <w:tc>
          <w:tcPr>
            <w:tcW w:w="398" w:type="dxa"/>
            <w:vMerge w:val="restart"/>
          </w:tcPr>
          <w:p>
            <w:pPr>
              <w:pStyle w:val="TableParagraph"/>
              <w:spacing w:line="244" w:lineRule="auto" w:before="115"/>
              <w:ind w:left="107" w:right="98"/>
              <w:jc w:val="left"/>
              <w:rPr>
                <w:b/>
                <w:sz w:val="18"/>
              </w:rPr>
            </w:pPr>
            <w:r>
              <w:rPr>
                <w:b/>
                <w:sz w:val="18"/>
              </w:rPr>
              <w:t>序号</w:t>
            </w:r>
          </w:p>
        </w:tc>
        <w:tc>
          <w:tcPr>
            <w:tcW w:w="1555" w:type="dxa"/>
            <w:vMerge w:val="restart"/>
          </w:tcPr>
          <w:p>
            <w:pPr>
              <w:pStyle w:val="TableParagraph"/>
              <w:spacing w:before="1"/>
              <w:jc w:val="left"/>
              <w:rPr>
                <w:b/>
                <w:sz w:val="18"/>
              </w:rPr>
            </w:pPr>
          </w:p>
          <w:p>
            <w:pPr>
              <w:pStyle w:val="TableParagraph"/>
              <w:spacing w:before="1"/>
              <w:ind w:left="415"/>
              <w:jc w:val="left"/>
              <w:rPr>
                <w:b/>
                <w:sz w:val="18"/>
              </w:rPr>
            </w:pPr>
            <w:r>
              <w:rPr>
                <w:b/>
                <w:sz w:val="18"/>
              </w:rPr>
              <w:t>项目名称</w:t>
            </w:r>
          </w:p>
        </w:tc>
        <w:tc>
          <w:tcPr>
            <w:tcW w:w="708" w:type="dxa"/>
            <w:vMerge w:val="restart"/>
          </w:tcPr>
          <w:p>
            <w:pPr>
              <w:pStyle w:val="TableParagraph"/>
              <w:spacing w:line="244" w:lineRule="auto" w:before="115"/>
              <w:ind w:left="173" w:right="158"/>
              <w:jc w:val="left"/>
              <w:rPr>
                <w:b/>
                <w:sz w:val="18"/>
              </w:rPr>
            </w:pPr>
            <w:r>
              <w:rPr>
                <w:b/>
                <w:sz w:val="18"/>
              </w:rPr>
              <w:t>处置方式</w:t>
            </w:r>
          </w:p>
        </w:tc>
        <w:tc>
          <w:tcPr>
            <w:tcW w:w="707" w:type="dxa"/>
            <w:vMerge w:val="restart"/>
          </w:tcPr>
          <w:p>
            <w:pPr>
              <w:pStyle w:val="TableParagraph"/>
              <w:spacing w:line="242" w:lineRule="auto"/>
              <w:ind w:left="173" w:right="156"/>
              <w:jc w:val="left"/>
              <w:rPr>
                <w:b/>
                <w:sz w:val="18"/>
              </w:rPr>
            </w:pPr>
            <w:r>
              <w:rPr>
                <w:b/>
                <w:spacing w:val="-7"/>
                <w:sz w:val="18"/>
              </w:rPr>
              <w:t>处置固废</w:t>
            </w:r>
          </w:p>
          <w:p>
            <w:pPr>
              <w:pStyle w:val="TableParagraph"/>
              <w:spacing w:line="215" w:lineRule="exact"/>
              <w:ind w:left="173"/>
              <w:jc w:val="left"/>
              <w:rPr>
                <w:b/>
                <w:sz w:val="18"/>
              </w:rPr>
            </w:pPr>
            <w:r>
              <w:rPr>
                <w:b/>
                <w:sz w:val="18"/>
              </w:rPr>
              <w:t>类别</w:t>
            </w:r>
          </w:p>
        </w:tc>
        <w:tc>
          <w:tcPr>
            <w:tcW w:w="2269" w:type="dxa"/>
            <w:gridSpan w:val="2"/>
          </w:tcPr>
          <w:p>
            <w:pPr>
              <w:pStyle w:val="TableParagraph"/>
              <w:spacing w:before="23"/>
              <w:ind w:left="585" w:right="573"/>
              <w:rPr>
                <w:b/>
                <w:sz w:val="18"/>
              </w:rPr>
            </w:pPr>
            <w:r>
              <w:rPr>
                <w:b/>
                <w:sz w:val="18"/>
              </w:rPr>
              <w:t>环评情况</w:t>
            </w:r>
          </w:p>
        </w:tc>
        <w:tc>
          <w:tcPr>
            <w:tcW w:w="2680" w:type="dxa"/>
            <w:vMerge w:val="restart"/>
          </w:tcPr>
          <w:p>
            <w:pPr>
              <w:pStyle w:val="TableParagraph"/>
              <w:spacing w:before="1"/>
              <w:jc w:val="left"/>
              <w:rPr>
                <w:b/>
                <w:sz w:val="18"/>
              </w:rPr>
            </w:pPr>
          </w:p>
          <w:p>
            <w:pPr>
              <w:pStyle w:val="TableParagraph"/>
              <w:spacing w:before="1"/>
              <w:ind w:left="800"/>
              <w:jc w:val="left"/>
              <w:rPr>
                <w:b/>
                <w:sz w:val="18"/>
              </w:rPr>
            </w:pPr>
            <w:r>
              <w:rPr>
                <w:b/>
                <w:sz w:val="18"/>
              </w:rPr>
              <w:t>环保竣工验收</w:t>
            </w:r>
          </w:p>
        </w:tc>
        <w:tc>
          <w:tcPr>
            <w:tcW w:w="963" w:type="dxa"/>
            <w:vMerge w:val="restart"/>
          </w:tcPr>
          <w:p>
            <w:pPr>
              <w:pStyle w:val="TableParagraph"/>
              <w:spacing w:before="1"/>
              <w:jc w:val="left"/>
              <w:rPr>
                <w:b/>
                <w:sz w:val="18"/>
              </w:rPr>
            </w:pPr>
          </w:p>
          <w:p>
            <w:pPr>
              <w:pStyle w:val="TableParagraph"/>
              <w:spacing w:before="1"/>
              <w:ind w:left="305"/>
              <w:jc w:val="left"/>
              <w:rPr>
                <w:b/>
                <w:sz w:val="18"/>
              </w:rPr>
            </w:pPr>
            <w:r>
              <w:rPr>
                <w:b/>
                <w:sz w:val="18"/>
              </w:rPr>
              <w:t>备注</w:t>
            </w:r>
          </w:p>
        </w:tc>
      </w:tr>
      <w:tr>
        <w:trPr>
          <w:trHeight w:val="407" w:hRule="atLeast"/>
        </w:trPr>
        <w:tc>
          <w:tcPr>
            <w:tcW w:w="398" w:type="dxa"/>
            <w:vMerge/>
            <w:tcBorders>
              <w:top w:val="nil"/>
            </w:tcBorders>
          </w:tcPr>
          <w:p>
            <w:pPr>
              <w:rPr>
                <w:sz w:val="2"/>
                <w:szCs w:val="2"/>
              </w:rPr>
            </w:pPr>
          </w:p>
        </w:tc>
        <w:tc>
          <w:tcPr>
            <w:tcW w:w="1555" w:type="dxa"/>
            <w:vMerge/>
            <w:tcBorders>
              <w:top w:val="nil"/>
            </w:tcBorders>
          </w:tcPr>
          <w:p>
            <w:pPr>
              <w:rPr>
                <w:sz w:val="2"/>
                <w:szCs w:val="2"/>
              </w:rPr>
            </w:pPr>
          </w:p>
        </w:tc>
        <w:tc>
          <w:tcPr>
            <w:tcW w:w="708" w:type="dxa"/>
            <w:vMerge/>
            <w:tcBorders>
              <w:top w:val="nil"/>
            </w:tcBorders>
          </w:tcPr>
          <w:p>
            <w:pPr>
              <w:rPr>
                <w:sz w:val="2"/>
                <w:szCs w:val="2"/>
              </w:rPr>
            </w:pPr>
          </w:p>
        </w:tc>
        <w:tc>
          <w:tcPr>
            <w:tcW w:w="707" w:type="dxa"/>
            <w:vMerge/>
            <w:tcBorders>
              <w:top w:val="nil"/>
            </w:tcBorders>
          </w:tcPr>
          <w:p>
            <w:pPr>
              <w:rPr>
                <w:sz w:val="2"/>
                <w:szCs w:val="2"/>
              </w:rPr>
            </w:pPr>
          </w:p>
        </w:tc>
        <w:tc>
          <w:tcPr>
            <w:tcW w:w="1276" w:type="dxa"/>
          </w:tcPr>
          <w:p>
            <w:pPr>
              <w:pStyle w:val="TableParagraph"/>
              <w:spacing w:before="86"/>
              <w:ind w:left="277"/>
              <w:jc w:val="left"/>
              <w:rPr>
                <w:b/>
                <w:sz w:val="18"/>
              </w:rPr>
            </w:pPr>
            <w:r>
              <w:rPr>
                <w:b/>
                <w:sz w:val="18"/>
              </w:rPr>
              <w:t>审批文号</w:t>
            </w:r>
          </w:p>
        </w:tc>
        <w:tc>
          <w:tcPr>
            <w:tcW w:w="993" w:type="dxa"/>
          </w:tcPr>
          <w:p>
            <w:pPr>
              <w:pStyle w:val="TableParagraph"/>
              <w:spacing w:before="86"/>
              <w:ind w:left="116" w:right="103"/>
              <w:rPr>
                <w:b/>
                <w:sz w:val="18"/>
              </w:rPr>
            </w:pPr>
            <w:r>
              <w:rPr>
                <w:b/>
                <w:sz w:val="18"/>
              </w:rPr>
              <w:t>处置规模</w:t>
            </w:r>
          </w:p>
        </w:tc>
        <w:tc>
          <w:tcPr>
            <w:tcW w:w="2680" w:type="dxa"/>
            <w:vMerge/>
            <w:tcBorders>
              <w:top w:val="nil"/>
            </w:tcBorders>
          </w:tcPr>
          <w:p>
            <w:pPr>
              <w:rPr>
                <w:sz w:val="2"/>
                <w:szCs w:val="2"/>
              </w:rPr>
            </w:pPr>
          </w:p>
        </w:tc>
        <w:tc>
          <w:tcPr>
            <w:tcW w:w="963" w:type="dxa"/>
            <w:vMerge/>
            <w:tcBorders>
              <w:top w:val="nil"/>
            </w:tcBorders>
          </w:tcPr>
          <w:p>
            <w:pPr>
              <w:rPr>
                <w:sz w:val="2"/>
                <w:szCs w:val="2"/>
              </w:rPr>
            </w:pPr>
          </w:p>
        </w:tc>
      </w:tr>
      <w:tr>
        <w:trPr>
          <w:trHeight w:val="282" w:hRule="atLeast"/>
        </w:trPr>
        <w:tc>
          <w:tcPr>
            <w:tcW w:w="398" w:type="dxa"/>
            <w:vMerge w:val="restart"/>
          </w:tcPr>
          <w:p>
            <w:pPr>
              <w:pStyle w:val="TableParagraph"/>
              <w:spacing w:before="3"/>
              <w:jc w:val="left"/>
              <w:rPr>
                <w:b/>
                <w:sz w:val="19"/>
              </w:rPr>
            </w:pPr>
          </w:p>
          <w:p>
            <w:pPr>
              <w:pStyle w:val="TableParagraph"/>
              <w:ind w:left="8"/>
              <w:rPr>
                <w:rFonts w:ascii="Times New Roman"/>
                <w:sz w:val="18"/>
              </w:rPr>
            </w:pPr>
            <w:r>
              <w:rPr>
                <w:rFonts w:ascii="Times New Roman"/>
                <w:sz w:val="18"/>
              </w:rPr>
              <w:t>1</w:t>
            </w:r>
          </w:p>
        </w:tc>
        <w:tc>
          <w:tcPr>
            <w:tcW w:w="1555" w:type="dxa"/>
            <w:vMerge w:val="restart"/>
          </w:tcPr>
          <w:p>
            <w:pPr>
              <w:pStyle w:val="TableParagraph"/>
              <w:spacing w:line="242" w:lineRule="auto"/>
              <w:ind w:left="146" w:right="136"/>
              <w:rPr>
                <w:sz w:val="18"/>
              </w:rPr>
            </w:pPr>
            <w:r>
              <w:rPr>
                <w:sz w:val="18"/>
              </w:rPr>
              <w:t>年贮存处置工业固废 </w:t>
            </w:r>
            <w:r>
              <w:rPr>
                <w:rFonts w:ascii="Times New Roman" w:eastAsia="Times New Roman"/>
                <w:sz w:val="18"/>
              </w:rPr>
              <w:t>5.5 </w:t>
            </w:r>
            <w:r>
              <w:rPr>
                <w:sz w:val="18"/>
              </w:rPr>
              <w:t>万吨项</w:t>
            </w:r>
          </w:p>
          <w:p>
            <w:pPr>
              <w:pStyle w:val="TableParagraph"/>
              <w:spacing w:line="215" w:lineRule="exact"/>
              <w:ind w:left="8"/>
              <w:rPr>
                <w:sz w:val="18"/>
              </w:rPr>
            </w:pPr>
            <w:r>
              <w:rPr>
                <w:sz w:val="18"/>
              </w:rPr>
              <w:t>目</w:t>
            </w:r>
          </w:p>
        </w:tc>
        <w:tc>
          <w:tcPr>
            <w:tcW w:w="708" w:type="dxa"/>
            <w:vMerge w:val="restart"/>
          </w:tcPr>
          <w:p>
            <w:pPr>
              <w:pStyle w:val="TableParagraph"/>
              <w:spacing w:before="1"/>
              <w:jc w:val="left"/>
              <w:rPr>
                <w:b/>
                <w:sz w:val="18"/>
              </w:rPr>
            </w:pPr>
          </w:p>
          <w:p>
            <w:pPr>
              <w:pStyle w:val="TableParagraph"/>
              <w:spacing w:before="1"/>
              <w:ind w:left="173"/>
              <w:jc w:val="left"/>
              <w:rPr>
                <w:sz w:val="18"/>
              </w:rPr>
            </w:pPr>
            <w:r>
              <w:rPr>
                <w:sz w:val="18"/>
              </w:rPr>
              <w:t>填埋</w:t>
            </w:r>
          </w:p>
        </w:tc>
        <w:tc>
          <w:tcPr>
            <w:tcW w:w="707" w:type="dxa"/>
            <w:vMerge w:val="restart"/>
          </w:tcPr>
          <w:p>
            <w:pPr>
              <w:pStyle w:val="TableParagraph"/>
              <w:spacing w:line="242" w:lineRule="auto"/>
              <w:ind w:left="173" w:right="161"/>
              <w:jc w:val="left"/>
              <w:rPr>
                <w:sz w:val="18"/>
              </w:rPr>
            </w:pPr>
            <w:r>
              <w:rPr>
                <w:spacing w:val="-9"/>
                <w:sz w:val="18"/>
              </w:rPr>
              <w:t>一般工业</w:t>
            </w:r>
          </w:p>
          <w:p>
            <w:pPr>
              <w:pStyle w:val="TableParagraph"/>
              <w:spacing w:line="215" w:lineRule="exact"/>
              <w:ind w:left="173"/>
              <w:jc w:val="left"/>
              <w:rPr>
                <w:sz w:val="18"/>
              </w:rPr>
            </w:pPr>
            <w:r>
              <w:rPr>
                <w:sz w:val="18"/>
              </w:rPr>
              <w:t>固废</w:t>
            </w:r>
          </w:p>
        </w:tc>
        <w:tc>
          <w:tcPr>
            <w:tcW w:w="1276" w:type="dxa"/>
            <w:vMerge w:val="restart"/>
          </w:tcPr>
          <w:p>
            <w:pPr>
              <w:pStyle w:val="TableParagraph"/>
              <w:spacing w:before="115"/>
              <w:ind w:left="129" w:right="117"/>
              <w:rPr>
                <w:sz w:val="18"/>
              </w:rPr>
            </w:pPr>
            <w:r>
              <w:rPr>
                <w:sz w:val="18"/>
              </w:rPr>
              <w:t>虞环审</w:t>
            </w:r>
          </w:p>
          <w:p>
            <w:pPr>
              <w:pStyle w:val="TableParagraph"/>
              <w:spacing w:before="4"/>
              <w:ind w:left="131" w:right="117"/>
              <w:rPr>
                <w:sz w:val="18"/>
              </w:rPr>
            </w:pPr>
            <w:r>
              <w:rPr>
                <w:rFonts w:ascii="Times New Roman" w:eastAsia="Times New Roman"/>
                <w:sz w:val="18"/>
              </w:rPr>
              <w:t>[2011]147 </w:t>
            </w:r>
            <w:r>
              <w:rPr>
                <w:sz w:val="18"/>
              </w:rPr>
              <w:t>号</w:t>
            </w:r>
          </w:p>
        </w:tc>
        <w:tc>
          <w:tcPr>
            <w:tcW w:w="993" w:type="dxa"/>
            <w:vMerge w:val="restart"/>
          </w:tcPr>
          <w:p>
            <w:pPr>
              <w:pStyle w:val="TableParagraph"/>
              <w:spacing w:before="3"/>
              <w:jc w:val="left"/>
              <w:rPr>
                <w:b/>
                <w:sz w:val="19"/>
              </w:rPr>
            </w:pPr>
          </w:p>
          <w:p>
            <w:pPr>
              <w:pStyle w:val="TableParagraph"/>
              <w:ind w:left="185"/>
              <w:jc w:val="left"/>
              <w:rPr>
                <w:rFonts w:ascii="Times New Roman"/>
                <w:sz w:val="18"/>
              </w:rPr>
            </w:pPr>
            <w:r>
              <w:rPr>
                <w:rFonts w:ascii="Times New Roman"/>
                <w:sz w:val="18"/>
              </w:rPr>
              <w:t>55000t/a</w:t>
            </w:r>
          </w:p>
        </w:tc>
        <w:tc>
          <w:tcPr>
            <w:tcW w:w="2680" w:type="dxa"/>
          </w:tcPr>
          <w:p>
            <w:pPr>
              <w:pStyle w:val="TableParagraph"/>
              <w:spacing w:before="24"/>
              <w:ind w:left="149" w:right="129"/>
              <w:rPr>
                <w:sz w:val="18"/>
              </w:rPr>
            </w:pPr>
            <w:r>
              <w:rPr>
                <w:sz w:val="18"/>
              </w:rPr>
              <w:t>虞环建验</w:t>
            </w:r>
            <w:r>
              <w:rPr>
                <w:rFonts w:ascii="Times New Roman" w:eastAsia="Times New Roman"/>
                <w:sz w:val="18"/>
              </w:rPr>
              <w:t>[2014]69 </w:t>
            </w:r>
            <w:r>
              <w:rPr>
                <w:sz w:val="18"/>
              </w:rPr>
              <w:t>号（一期）</w:t>
            </w:r>
          </w:p>
        </w:tc>
        <w:tc>
          <w:tcPr>
            <w:tcW w:w="963" w:type="dxa"/>
          </w:tcPr>
          <w:p>
            <w:pPr>
              <w:pStyle w:val="TableParagraph"/>
              <w:spacing w:before="24"/>
              <w:ind w:left="51" w:right="32"/>
              <w:rPr>
                <w:sz w:val="18"/>
              </w:rPr>
            </w:pPr>
            <w:r>
              <w:rPr>
                <w:sz w:val="18"/>
              </w:rPr>
              <w:t>已封场</w:t>
            </w:r>
          </w:p>
        </w:tc>
      </w:tr>
      <w:tr>
        <w:trPr>
          <w:trHeight w:val="407" w:hRule="atLeast"/>
        </w:trPr>
        <w:tc>
          <w:tcPr>
            <w:tcW w:w="398" w:type="dxa"/>
            <w:vMerge/>
            <w:tcBorders>
              <w:top w:val="nil"/>
            </w:tcBorders>
          </w:tcPr>
          <w:p>
            <w:pPr>
              <w:rPr>
                <w:sz w:val="2"/>
                <w:szCs w:val="2"/>
              </w:rPr>
            </w:pPr>
          </w:p>
        </w:tc>
        <w:tc>
          <w:tcPr>
            <w:tcW w:w="1555" w:type="dxa"/>
            <w:vMerge/>
            <w:tcBorders>
              <w:top w:val="nil"/>
            </w:tcBorders>
          </w:tcPr>
          <w:p>
            <w:pPr>
              <w:rPr>
                <w:sz w:val="2"/>
                <w:szCs w:val="2"/>
              </w:rPr>
            </w:pPr>
          </w:p>
        </w:tc>
        <w:tc>
          <w:tcPr>
            <w:tcW w:w="708" w:type="dxa"/>
            <w:vMerge/>
            <w:tcBorders>
              <w:top w:val="nil"/>
            </w:tcBorders>
          </w:tcPr>
          <w:p>
            <w:pPr>
              <w:rPr>
                <w:sz w:val="2"/>
                <w:szCs w:val="2"/>
              </w:rPr>
            </w:pPr>
          </w:p>
        </w:tc>
        <w:tc>
          <w:tcPr>
            <w:tcW w:w="707" w:type="dxa"/>
            <w:vMerge/>
            <w:tcBorders>
              <w:top w:val="nil"/>
            </w:tcBorders>
          </w:tcPr>
          <w:p>
            <w:pPr>
              <w:rPr>
                <w:sz w:val="2"/>
                <w:szCs w:val="2"/>
              </w:rPr>
            </w:pPr>
          </w:p>
        </w:tc>
        <w:tc>
          <w:tcPr>
            <w:tcW w:w="1276" w:type="dxa"/>
            <w:vMerge/>
            <w:tcBorders>
              <w:top w:val="nil"/>
            </w:tcBorders>
          </w:tcPr>
          <w:p>
            <w:pPr>
              <w:rPr>
                <w:sz w:val="2"/>
                <w:szCs w:val="2"/>
              </w:rPr>
            </w:pPr>
          </w:p>
        </w:tc>
        <w:tc>
          <w:tcPr>
            <w:tcW w:w="993" w:type="dxa"/>
            <w:vMerge/>
            <w:tcBorders>
              <w:top w:val="nil"/>
            </w:tcBorders>
          </w:tcPr>
          <w:p>
            <w:pPr>
              <w:rPr>
                <w:sz w:val="2"/>
                <w:szCs w:val="2"/>
              </w:rPr>
            </w:pPr>
          </w:p>
        </w:tc>
        <w:tc>
          <w:tcPr>
            <w:tcW w:w="2680" w:type="dxa"/>
          </w:tcPr>
          <w:p>
            <w:pPr>
              <w:pStyle w:val="TableParagraph"/>
              <w:spacing w:before="86"/>
              <w:ind w:left="149" w:right="129"/>
              <w:rPr>
                <w:sz w:val="18"/>
              </w:rPr>
            </w:pPr>
            <w:r>
              <w:rPr>
                <w:sz w:val="18"/>
              </w:rPr>
              <w:t>虞环建验</w:t>
            </w:r>
            <w:r>
              <w:rPr>
                <w:rFonts w:ascii="Times New Roman" w:eastAsia="Times New Roman"/>
                <w:sz w:val="18"/>
              </w:rPr>
              <w:t>[2017]56 </w:t>
            </w:r>
            <w:r>
              <w:rPr>
                <w:sz w:val="18"/>
              </w:rPr>
              <w:t>号（二期）</w:t>
            </w:r>
          </w:p>
        </w:tc>
        <w:tc>
          <w:tcPr>
            <w:tcW w:w="963" w:type="dxa"/>
          </w:tcPr>
          <w:p>
            <w:pPr>
              <w:pStyle w:val="TableParagraph"/>
              <w:spacing w:before="86"/>
              <w:ind w:left="51" w:right="32"/>
              <w:rPr>
                <w:sz w:val="18"/>
              </w:rPr>
            </w:pPr>
            <w:r>
              <w:rPr>
                <w:sz w:val="18"/>
              </w:rPr>
              <w:t>已封场</w:t>
            </w:r>
          </w:p>
        </w:tc>
      </w:tr>
      <w:tr>
        <w:trPr>
          <w:trHeight w:val="282" w:hRule="atLeast"/>
        </w:trPr>
        <w:tc>
          <w:tcPr>
            <w:tcW w:w="398" w:type="dxa"/>
            <w:vMerge w:val="restart"/>
          </w:tcPr>
          <w:p>
            <w:pPr>
              <w:pStyle w:val="TableParagraph"/>
              <w:jc w:val="left"/>
              <w:rPr>
                <w:b/>
                <w:sz w:val="20"/>
              </w:rPr>
            </w:pPr>
          </w:p>
          <w:p>
            <w:pPr>
              <w:pStyle w:val="TableParagraph"/>
              <w:spacing w:before="137"/>
              <w:ind w:left="8"/>
              <w:rPr>
                <w:rFonts w:ascii="Times New Roman"/>
                <w:sz w:val="18"/>
              </w:rPr>
            </w:pPr>
            <w:r>
              <w:rPr>
                <w:rFonts w:ascii="Times New Roman"/>
                <w:sz w:val="18"/>
              </w:rPr>
              <w:t>2</w:t>
            </w:r>
          </w:p>
        </w:tc>
        <w:tc>
          <w:tcPr>
            <w:tcW w:w="1555" w:type="dxa"/>
            <w:vMerge w:val="restart"/>
          </w:tcPr>
          <w:p>
            <w:pPr>
              <w:pStyle w:val="TableParagraph"/>
              <w:spacing w:line="242" w:lineRule="auto" w:before="146"/>
              <w:ind w:left="170" w:right="155" w:hanging="5"/>
              <w:rPr>
                <w:sz w:val="18"/>
              </w:rPr>
            </w:pPr>
            <w:r>
              <w:rPr>
                <w:sz w:val="18"/>
              </w:rPr>
              <w:t>年贮存处置</w:t>
            </w:r>
            <w:r>
              <w:rPr>
                <w:rFonts w:ascii="Times New Roman" w:eastAsia="Times New Roman"/>
                <w:sz w:val="18"/>
              </w:rPr>
              <w:t>30000 </w:t>
            </w:r>
            <w:r>
              <w:rPr>
                <w:sz w:val="18"/>
              </w:rPr>
              <w:t>吨危险固废项目</w:t>
            </w:r>
          </w:p>
        </w:tc>
        <w:tc>
          <w:tcPr>
            <w:tcW w:w="708" w:type="dxa"/>
            <w:vMerge w:val="restart"/>
          </w:tcPr>
          <w:p>
            <w:pPr>
              <w:pStyle w:val="TableParagraph"/>
              <w:jc w:val="left"/>
              <w:rPr>
                <w:b/>
                <w:sz w:val="18"/>
              </w:rPr>
            </w:pPr>
          </w:p>
          <w:p>
            <w:pPr>
              <w:pStyle w:val="TableParagraph"/>
              <w:spacing w:before="148"/>
              <w:ind w:left="173"/>
              <w:jc w:val="left"/>
              <w:rPr>
                <w:sz w:val="18"/>
              </w:rPr>
            </w:pPr>
            <w:r>
              <w:rPr>
                <w:sz w:val="18"/>
              </w:rPr>
              <w:t>填埋</w:t>
            </w:r>
          </w:p>
        </w:tc>
        <w:tc>
          <w:tcPr>
            <w:tcW w:w="707" w:type="dxa"/>
            <w:vMerge w:val="restart"/>
          </w:tcPr>
          <w:p>
            <w:pPr>
              <w:pStyle w:val="TableParagraph"/>
              <w:spacing w:before="7"/>
              <w:jc w:val="left"/>
              <w:rPr>
                <w:b/>
                <w:sz w:val="20"/>
              </w:rPr>
            </w:pPr>
          </w:p>
          <w:p>
            <w:pPr>
              <w:pStyle w:val="TableParagraph"/>
              <w:spacing w:line="242" w:lineRule="auto"/>
              <w:ind w:left="173" w:right="161"/>
              <w:jc w:val="left"/>
              <w:rPr>
                <w:sz w:val="18"/>
              </w:rPr>
            </w:pPr>
            <w:r>
              <w:rPr>
                <w:sz w:val="18"/>
              </w:rPr>
              <w:t>危险废物</w:t>
            </w:r>
          </w:p>
        </w:tc>
        <w:tc>
          <w:tcPr>
            <w:tcW w:w="1276" w:type="dxa"/>
            <w:vMerge w:val="restart"/>
          </w:tcPr>
          <w:p>
            <w:pPr>
              <w:pStyle w:val="TableParagraph"/>
              <w:spacing w:before="7"/>
              <w:jc w:val="left"/>
              <w:rPr>
                <w:b/>
                <w:sz w:val="20"/>
              </w:rPr>
            </w:pPr>
          </w:p>
          <w:p>
            <w:pPr>
              <w:pStyle w:val="TableParagraph"/>
              <w:ind w:left="129" w:right="117"/>
              <w:rPr>
                <w:sz w:val="18"/>
              </w:rPr>
            </w:pPr>
            <w:r>
              <w:rPr>
                <w:sz w:val="18"/>
              </w:rPr>
              <w:t>浙环建</w:t>
            </w:r>
          </w:p>
          <w:p>
            <w:pPr>
              <w:pStyle w:val="TableParagraph"/>
              <w:spacing w:before="2"/>
              <w:ind w:left="131" w:right="117"/>
              <w:rPr>
                <w:sz w:val="18"/>
              </w:rPr>
            </w:pPr>
            <w:r>
              <w:rPr>
                <w:rFonts w:ascii="Times New Roman" w:eastAsia="Times New Roman"/>
                <w:sz w:val="18"/>
              </w:rPr>
              <w:t>[2013]88 </w:t>
            </w:r>
            <w:r>
              <w:rPr>
                <w:sz w:val="18"/>
              </w:rPr>
              <w:t>号</w:t>
            </w:r>
          </w:p>
        </w:tc>
        <w:tc>
          <w:tcPr>
            <w:tcW w:w="993" w:type="dxa"/>
            <w:vMerge w:val="restart"/>
          </w:tcPr>
          <w:p>
            <w:pPr>
              <w:pStyle w:val="TableParagraph"/>
              <w:jc w:val="left"/>
              <w:rPr>
                <w:b/>
                <w:sz w:val="20"/>
              </w:rPr>
            </w:pPr>
          </w:p>
          <w:p>
            <w:pPr>
              <w:pStyle w:val="TableParagraph"/>
              <w:spacing w:before="137"/>
              <w:ind w:left="185"/>
              <w:jc w:val="left"/>
              <w:rPr>
                <w:rFonts w:ascii="Times New Roman"/>
                <w:sz w:val="18"/>
              </w:rPr>
            </w:pPr>
            <w:r>
              <w:rPr>
                <w:rFonts w:ascii="Times New Roman"/>
                <w:sz w:val="18"/>
              </w:rPr>
              <w:t>30000t/a</w:t>
            </w:r>
          </w:p>
        </w:tc>
        <w:tc>
          <w:tcPr>
            <w:tcW w:w="2680" w:type="dxa"/>
          </w:tcPr>
          <w:p>
            <w:pPr>
              <w:pStyle w:val="TableParagraph"/>
              <w:spacing w:before="24"/>
              <w:ind w:left="149" w:right="129"/>
              <w:rPr>
                <w:sz w:val="18"/>
              </w:rPr>
            </w:pPr>
            <w:r>
              <w:rPr>
                <w:sz w:val="18"/>
              </w:rPr>
              <w:t>浙环竣验</w:t>
            </w:r>
            <w:r>
              <w:rPr>
                <w:rFonts w:ascii="Times New Roman" w:eastAsia="Times New Roman"/>
                <w:sz w:val="18"/>
              </w:rPr>
              <w:t>[2015]60 </w:t>
            </w:r>
            <w:r>
              <w:rPr>
                <w:sz w:val="18"/>
              </w:rPr>
              <w:t>号（一期）</w:t>
            </w:r>
          </w:p>
        </w:tc>
        <w:tc>
          <w:tcPr>
            <w:tcW w:w="963" w:type="dxa"/>
          </w:tcPr>
          <w:p>
            <w:pPr>
              <w:pStyle w:val="TableParagraph"/>
              <w:spacing w:before="24"/>
              <w:ind w:left="51" w:right="32"/>
              <w:rPr>
                <w:sz w:val="18"/>
              </w:rPr>
            </w:pPr>
            <w:r>
              <w:rPr>
                <w:sz w:val="18"/>
              </w:rPr>
              <w:t>已封场</w:t>
            </w:r>
          </w:p>
        </w:tc>
      </w:tr>
      <w:tr>
        <w:trPr>
          <w:trHeight w:val="700" w:hRule="atLeast"/>
        </w:trPr>
        <w:tc>
          <w:tcPr>
            <w:tcW w:w="398" w:type="dxa"/>
            <w:vMerge/>
            <w:tcBorders>
              <w:top w:val="nil"/>
            </w:tcBorders>
          </w:tcPr>
          <w:p>
            <w:pPr>
              <w:rPr>
                <w:sz w:val="2"/>
                <w:szCs w:val="2"/>
              </w:rPr>
            </w:pPr>
          </w:p>
        </w:tc>
        <w:tc>
          <w:tcPr>
            <w:tcW w:w="1555" w:type="dxa"/>
            <w:vMerge/>
            <w:tcBorders>
              <w:top w:val="nil"/>
            </w:tcBorders>
          </w:tcPr>
          <w:p>
            <w:pPr>
              <w:rPr>
                <w:sz w:val="2"/>
                <w:szCs w:val="2"/>
              </w:rPr>
            </w:pPr>
          </w:p>
        </w:tc>
        <w:tc>
          <w:tcPr>
            <w:tcW w:w="708" w:type="dxa"/>
            <w:vMerge/>
            <w:tcBorders>
              <w:top w:val="nil"/>
            </w:tcBorders>
          </w:tcPr>
          <w:p>
            <w:pPr>
              <w:rPr>
                <w:sz w:val="2"/>
                <w:szCs w:val="2"/>
              </w:rPr>
            </w:pPr>
          </w:p>
        </w:tc>
        <w:tc>
          <w:tcPr>
            <w:tcW w:w="707" w:type="dxa"/>
            <w:vMerge/>
            <w:tcBorders>
              <w:top w:val="nil"/>
            </w:tcBorders>
          </w:tcPr>
          <w:p>
            <w:pPr>
              <w:rPr>
                <w:sz w:val="2"/>
                <w:szCs w:val="2"/>
              </w:rPr>
            </w:pPr>
          </w:p>
        </w:tc>
        <w:tc>
          <w:tcPr>
            <w:tcW w:w="1276" w:type="dxa"/>
            <w:vMerge/>
            <w:tcBorders>
              <w:top w:val="nil"/>
            </w:tcBorders>
          </w:tcPr>
          <w:p>
            <w:pPr>
              <w:rPr>
                <w:sz w:val="2"/>
                <w:szCs w:val="2"/>
              </w:rPr>
            </w:pPr>
          </w:p>
        </w:tc>
        <w:tc>
          <w:tcPr>
            <w:tcW w:w="993" w:type="dxa"/>
            <w:vMerge/>
            <w:tcBorders>
              <w:top w:val="nil"/>
            </w:tcBorders>
          </w:tcPr>
          <w:p>
            <w:pPr>
              <w:rPr>
                <w:sz w:val="2"/>
                <w:szCs w:val="2"/>
              </w:rPr>
            </w:pPr>
          </w:p>
        </w:tc>
        <w:tc>
          <w:tcPr>
            <w:tcW w:w="2680" w:type="dxa"/>
          </w:tcPr>
          <w:p>
            <w:pPr>
              <w:pStyle w:val="TableParagraph"/>
              <w:spacing w:line="242" w:lineRule="auto"/>
              <w:ind w:left="128" w:right="110" w:firstLine="2"/>
              <w:rPr>
                <w:sz w:val="18"/>
              </w:rPr>
            </w:pPr>
            <w:r>
              <w:rPr>
                <w:rFonts w:ascii="Times New Roman" w:eastAsia="Times New Roman"/>
                <w:sz w:val="18"/>
              </w:rPr>
              <w:t>2019.3.15 </w:t>
            </w:r>
            <w:r>
              <w:rPr>
                <w:sz w:val="18"/>
              </w:rPr>
              <w:t>自主验收（废水、废气、噪声</w:t>
            </w:r>
            <w:r>
              <w:rPr>
                <w:spacing w:val="-92"/>
                <w:sz w:val="18"/>
              </w:rPr>
              <w:t>）</w:t>
            </w:r>
            <w:r>
              <w:rPr>
                <w:spacing w:val="-2"/>
                <w:sz w:val="18"/>
              </w:rPr>
              <w:t>；固废验收虞环建验</w:t>
            </w:r>
          </w:p>
          <w:p>
            <w:pPr>
              <w:pStyle w:val="TableParagraph"/>
              <w:spacing w:line="213" w:lineRule="exact" w:before="2"/>
              <w:ind w:left="147" w:right="129"/>
              <w:rPr>
                <w:sz w:val="18"/>
              </w:rPr>
            </w:pPr>
            <w:r>
              <w:rPr>
                <w:sz w:val="18"/>
              </w:rPr>
              <w:t>园（</w:t>
            </w:r>
            <w:r>
              <w:rPr>
                <w:rFonts w:ascii="Times New Roman" w:eastAsia="Times New Roman"/>
                <w:sz w:val="18"/>
              </w:rPr>
              <w:t>2019</w:t>
            </w:r>
            <w:r>
              <w:rPr>
                <w:sz w:val="18"/>
              </w:rPr>
              <w:t>）</w:t>
            </w:r>
            <w:r>
              <w:rPr>
                <w:rFonts w:ascii="Times New Roman" w:eastAsia="Times New Roman"/>
                <w:sz w:val="18"/>
              </w:rPr>
              <w:t>7 </w:t>
            </w:r>
            <w:r>
              <w:rPr>
                <w:sz w:val="18"/>
              </w:rPr>
              <w:t>号（二期）</w:t>
            </w:r>
          </w:p>
        </w:tc>
        <w:tc>
          <w:tcPr>
            <w:tcW w:w="963" w:type="dxa"/>
          </w:tcPr>
          <w:p>
            <w:pPr>
              <w:pStyle w:val="TableParagraph"/>
              <w:spacing w:before="1"/>
              <w:jc w:val="left"/>
              <w:rPr>
                <w:b/>
                <w:sz w:val="18"/>
              </w:rPr>
            </w:pPr>
          </w:p>
          <w:p>
            <w:pPr>
              <w:pStyle w:val="TableParagraph"/>
              <w:spacing w:before="1"/>
              <w:ind w:left="51" w:right="34"/>
              <w:rPr>
                <w:sz w:val="18"/>
              </w:rPr>
            </w:pPr>
            <w:r>
              <w:rPr>
                <w:sz w:val="18"/>
              </w:rPr>
              <w:t>正常运行</w:t>
            </w:r>
          </w:p>
        </w:tc>
      </w:tr>
      <w:tr>
        <w:trPr>
          <w:trHeight w:val="467" w:hRule="atLeast"/>
        </w:trPr>
        <w:tc>
          <w:tcPr>
            <w:tcW w:w="398" w:type="dxa"/>
          </w:tcPr>
          <w:p>
            <w:pPr>
              <w:pStyle w:val="TableParagraph"/>
              <w:spacing w:before="129"/>
              <w:ind w:left="8"/>
              <w:rPr>
                <w:rFonts w:ascii="Times New Roman"/>
                <w:sz w:val="18"/>
              </w:rPr>
            </w:pPr>
            <w:r>
              <w:rPr>
                <w:rFonts w:ascii="Times New Roman"/>
                <w:sz w:val="18"/>
              </w:rPr>
              <w:t>3</w:t>
            </w:r>
          </w:p>
        </w:tc>
        <w:tc>
          <w:tcPr>
            <w:tcW w:w="1555" w:type="dxa"/>
          </w:tcPr>
          <w:p>
            <w:pPr>
              <w:pStyle w:val="TableParagraph"/>
              <w:ind w:left="124"/>
              <w:jc w:val="left"/>
              <w:rPr>
                <w:rFonts w:ascii="Times New Roman" w:eastAsia="Times New Roman"/>
                <w:sz w:val="18"/>
              </w:rPr>
            </w:pPr>
            <w:r>
              <w:rPr>
                <w:spacing w:val="-8"/>
                <w:sz w:val="18"/>
              </w:rPr>
              <w:t>年焚烧处置 </w:t>
            </w:r>
            <w:r>
              <w:rPr>
                <w:rFonts w:ascii="Times New Roman" w:eastAsia="Times New Roman"/>
                <w:sz w:val="18"/>
              </w:rPr>
              <w:t>9000</w:t>
            </w:r>
          </w:p>
          <w:p>
            <w:pPr>
              <w:pStyle w:val="TableParagraph"/>
              <w:spacing w:line="215" w:lineRule="exact" w:before="2"/>
              <w:ind w:left="146"/>
              <w:jc w:val="left"/>
              <w:rPr>
                <w:sz w:val="18"/>
              </w:rPr>
            </w:pPr>
            <w:r>
              <w:rPr>
                <w:sz w:val="18"/>
              </w:rPr>
              <w:t>吨危险废物项目</w:t>
            </w:r>
          </w:p>
        </w:tc>
        <w:tc>
          <w:tcPr>
            <w:tcW w:w="708" w:type="dxa"/>
          </w:tcPr>
          <w:p>
            <w:pPr>
              <w:pStyle w:val="TableParagraph"/>
              <w:spacing w:before="117"/>
              <w:ind w:left="173"/>
              <w:jc w:val="left"/>
              <w:rPr>
                <w:sz w:val="18"/>
              </w:rPr>
            </w:pPr>
            <w:r>
              <w:rPr>
                <w:sz w:val="18"/>
              </w:rPr>
              <w:t>焚烧</w:t>
            </w:r>
          </w:p>
        </w:tc>
        <w:tc>
          <w:tcPr>
            <w:tcW w:w="707" w:type="dxa"/>
          </w:tcPr>
          <w:p>
            <w:pPr>
              <w:pStyle w:val="TableParagraph"/>
              <w:ind w:left="173"/>
              <w:jc w:val="left"/>
              <w:rPr>
                <w:sz w:val="18"/>
              </w:rPr>
            </w:pPr>
            <w:r>
              <w:rPr>
                <w:sz w:val="18"/>
              </w:rPr>
              <w:t>危险</w:t>
            </w:r>
          </w:p>
          <w:p>
            <w:pPr>
              <w:pStyle w:val="TableParagraph"/>
              <w:spacing w:line="215" w:lineRule="exact" w:before="2"/>
              <w:ind w:left="173"/>
              <w:jc w:val="left"/>
              <w:rPr>
                <w:sz w:val="18"/>
              </w:rPr>
            </w:pPr>
            <w:r>
              <w:rPr>
                <w:sz w:val="18"/>
              </w:rPr>
              <w:t>废物</w:t>
            </w:r>
          </w:p>
        </w:tc>
        <w:tc>
          <w:tcPr>
            <w:tcW w:w="1276" w:type="dxa"/>
          </w:tcPr>
          <w:p>
            <w:pPr>
              <w:pStyle w:val="TableParagraph"/>
              <w:ind w:left="129" w:right="117"/>
              <w:rPr>
                <w:sz w:val="18"/>
              </w:rPr>
            </w:pPr>
            <w:r>
              <w:rPr>
                <w:sz w:val="18"/>
              </w:rPr>
              <w:t>虞环审</w:t>
            </w:r>
          </w:p>
          <w:p>
            <w:pPr>
              <w:pStyle w:val="TableParagraph"/>
              <w:spacing w:line="215" w:lineRule="exact" w:before="2"/>
              <w:ind w:left="131" w:right="117"/>
              <w:rPr>
                <w:sz w:val="18"/>
              </w:rPr>
            </w:pPr>
            <w:r>
              <w:rPr>
                <w:rFonts w:ascii="Times New Roman" w:eastAsia="Times New Roman"/>
                <w:sz w:val="18"/>
              </w:rPr>
              <w:t>[2015]95 </w:t>
            </w:r>
            <w:r>
              <w:rPr>
                <w:sz w:val="18"/>
              </w:rPr>
              <w:t>号</w:t>
            </w:r>
          </w:p>
        </w:tc>
        <w:tc>
          <w:tcPr>
            <w:tcW w:w="993" w:type="dxa"/>
          </w:tcPr>
          <w:p>
            <w:pPr>
              <w:pStyle w:val="TableParagraph"/>
              <w:spacing w:before="129"/>
              <w:ind w:left="116" w:right="100"/>
              <w:rPr>
                <w:rFonts w:ascii="Times New Roman"/>
                <w:sz w:val="18"/>
              </w:rPr>
            </w:pPr>
            <w:r>
              <w:rPr>
                <w:rFonts w:ascii="Times New Roman"/>
                <w:sz w:val="18"/>
              </w:rPr>
              <w:t>9000t/a</w:t>
            </w:r>
          </w:p>
        </w:tc>
        <w:tc>
          <w:tcPr>
            <w:tcW w:w="2680" w:type="dxa"/>
          </w:tcPr>
          <w:p>
            <w:pPr>
              <w:pStyle w:val="TableParagraph"/>
              <w:spacing w:before="117"/>
              <w:ind w:left="149" w:right="129"/>
              <w:rPr>
                <w:sz w:val="18"/>
              </w:rPr>
            </w:pPr>
            <w:r>
              <w:rPr>
                <w:sz w:val="18"/>
              </w:rPr>
              <w:t>虞环建验</w:t>
            </w:r>
            <w:r>
              <w:rPr>
                <w:rFonts w:ascii="Times New Roman" w:eastAsia="Times New Roman"/>
                <w:sz w:val="18"/>
              </w:rPr>
              <w:t>[2017]32 </w:t>
            </w:r>
            <w:r>
              <w:rPr>
                <w:sz w:val="18"/>
              </w:rPr>
              <w:t>号</w:t>
            </w:r>
          </w:p>
        </w:tc>
        <w:tc>
          <w:tcPr>
            <w:tcW w:w="963" w:type="dxa"/>
          </w:tcPr>
          <w:p>
            <w:pPr>
              <w:pStyle w:val="TableParagraph"/>
              <w:spacing w:before="117"/>
              <w:ind w:left="51" w:right="34"/>
              <w:rPr>
                <w:sz w:val="18"/>
              </w:rPr>
            </w:pPr>
            <w:r>
              <w:rPr>
                <w:sz w:val="18"/>
              </w:rPr>
              <w:t>正常运行</w:t>
            </w:r>
          </w:p>
        </w:tc>
      </w:tr>
      <w:tr>
        <w:trPr>
          <w:trHeight w:val="700" w:hRule="atLeast"/>
        </w:trPr>
        <w:tc>
          <w:tcPr>
            <w:tcW w:w="398" w:type="dxa"/>
          </w:tcPr>
          <w:p>
            <w:pPr>
              <w:pStyle w:val="TableParagraph"/>
              <w:spacing w:before="3"/>
              <w:jc w:val="left"/>
              <w:rPr>
                <w:b/>
                <w:sz w:val="19"/>
              </w:rPr>
            </w:pPr>
          </w:p>
          <w:p>
            <w:pPr>
              <w:pStyle w:val="TableParagraph"/>
              <w:spacing w:before="1"/>
              <w:ind w:left="8"/>
              <w:rPr>
                <w:rFonts w:ascii="Times New Roman"/>
                <w:sz w:val="18"/>
              </w:rPr>
            </w:pPr>
            <w:r>
              <w:rPr>
                <w:rFonts w:ascii="Times New Roman"/>
                <w:sz w:val="18"/>
              </w:rPr>
              <w:t>4</w:t>
            </w:r>
          </w:p>
        </w:tc>
        <w:tc>
          <w:tcPr>
            <w:tcW w:w="1555" w:type="dxa"/>
          </w:tcPr>
          <w:p>
            <w:pPr>
              <w:pStyle w:val="TableParagraph"/>
              <w:spacing w:line="242" w:lineRule="auto" w:before="117"/>
              <w:ind w:left="146" w:right="74"/>
              <w:jc w:val="left"/>
              <w:rPr>
                <w:sz w:val="18"/>
              </w:rPr>
            </w:pPr>
            <w:r>
              <w:rPr>
                <w:sz w:val="18"/>
              </w:rPr>
              <w:t>年安全处置 </w:t>
            </w:r>
            <w:r>
              <w:rPr>
                <w:rFonts w:ascii="Times New Roman" w:eastAsia="Times New Roman"/>
                <w:sz w:val="18"/>
              </w:rPr>
              <w:t>6 </w:t>
            </w:r>
            <w:r>
              <w:rPr>
                <w:sz w:val="18"/>
              </w:rPr>
              <w:t>万吨危险废物项目</w:t>
            </w:r>
          </w:p>
        </w:tc>
        <w:tc>
          <w:tcPr>
            <w:tcW w:w="708" w:type="dxa"/>
          </w:tcPr>
          <w:p>
            <w:pPr>
              <w:pStyle w:val="TableParagraph"/>
              <w:spacing w:before="2"/>
              <w:jc w:val="left"/>
              <w:rPr>
                <w:b/>
                <w:sz w:val="18"/>
              </w:rPr>
            </w:pPr>
          </w:p>
          <w:p>
            <w:pPr>
              <w:pStyle w:val="TableParagraph"/>
              <w:ind w:left="173"/>
              <w:jc w:val="left"/>
              <w:rPr>
                <w:sz w:val="18"/>
              </w:rPr>
            </w:pPr>
            <w:r>
              <w:rPr>
                <w:sz w:val="18"/>
              </w:rPr>
              <w:t>填埋</w:t>
            </w:r>
          </w:p>
        </w:tc>
        <w:tc>
          <w:tcPr>
            <w:tcW w:w="707" w:type="dxa"/>
          </w:tcPr>
          <w:p>
            <w:pPr>
              <w:pStyle w:val="TableParagraph"/>
              <w:spacing w:line="242" w:lineRule="auto" w:before="117"/>
              <w:ind w:left="173" w:right="161"/>
              <w:jc w:val="left"/>
              <w:rPr>
                <w:sz w:val="18"/>
              </w:rPr>
            </w:pPr>
            <w:r>
              <w:rPr>
                <w:sz w:val="18"/>
              </w:rPr>
              <w:t>危险废物</w:t>
            </w:r>
          </w:p>
        </w:tc>
        <w:tc>
          <w:tcPr>
            <w:tcW w:w="1276" w:type="dxa"/>
          </w:tcPr>
          <w:p>
            <w:pPr>
              <w:pStyle w:val="TableParagraph"/>
              <w:spacing w:before="117"/>
              <w:ind w:left="129" w:right="117"/>
              <w:rPr>
                <w:sz w:val="18"/>
              </w:rPr>
            </w:pPr>
            <w:r>
              <w:rPr>
                <w:sz w:val="18"/>
              </w:rPr>
              <w:t>虞环审</w:t>
            </w:r>
          </w:p>
          <w:p>
            <w:pPr>
              <w:pStyle w:val="TableParagraph"/>
              <w:spacing w:before="3"/>
              <w:ind w:left="131" w:right="117"/>
              <w:rPr>
                <w:sz w:val="18"/>
              </w:rPr>
            </w:pPr>
            <w:r>
              <w:rPr>
                <w:rFonts w:ascii="Times New Roman" w:eastAsia="Times New Roman"/>
                <w:sz w:val="18"/>
              </w:rPr>
              <w:t>[2016]95 </w:t>
            </w:r>
            <w:r>
              <w:rPr>
                <w:sz w:val="18"/>
              </w:rPr>
              <w:t>号</w:t>
            </w:r>
          </w:p>
        </w:tc>
        <w:tc>
          <w:tcPr>
            <w:tcW w:w="993" w:type="dxa"/>
          </w:tcPr>
          <w:p>
            <w:pPr>
              <w:pStyle w:val="TableParagraph"/>
              <w:spacing w:before="3"/>
              <w:jc w:val="left"/>
              <w:rPr>
                <w:b/>
                <w:sz w:val="19"/>
              </w:rPr>
            </w:pPr>
          </w:p>
          <w:p>
            <w:pPr>
              <w:pStyle w:val="TableParagraph"/>
              <w:spacing w:before="1"/>
              <w:ind w:left="116" w:right="98"/>
              <w:rPr>
                <w:rFonts w:ascii="Times New Roman"/>
                <w:sz w:val="18"/>
              </w:rPr>
            </w:pPr>
            <w:r>
              <w:rPr>
                <w:rFonts w:ascii="Times New Roman"/>
                <w:sz w:val="18"/>
              </w:rPr>
              <w:t>60000t/a</w:t>
            </w:r>
          </w:p>
        </w:tc>
        <w:tc>
          <w:tcPr>
            <w:tcW w:w="2680" w:type="dxa"/>
          </w:tcPr>
          <w:p>
            <w:pPr>
              <w:pStyle w:val="TableParagraph"/>
              <w:spacing w:before="2"/>
              <w:jc w:val="left"/>
              <w:rPr>
                <w:b/>
                <w:sz w:val="18"/>
              </w:rPr>
            </w:pPr>
          </w:p>
          <w:p>
            <w:pPr>
              <w:pStyle w:val="TableParagraph"/>
              <w:ind w:left="149" w:right="129"/>
              <w:rPr>
                <w:sz w:val="18"/>
              </w:rPr>
            </w:pPr>
            <w:r>
              <w:rPr>
                <w:sz w:val="18"/>
              </w:rPr>
              <w:t>虞环建验</w:t>
            </w:r>
            <w:r>
              <w:rPr>
                <w:rFonts w:ascii="Times New Roman" w:eastAsia="Times New Roman"/>
                <w:sz w:val="18"/>
              </w:rPr>
              <w:t>[2017]55 </w:t>
            </w:r>
            <w:r>
              <w:rPr>
                <w:sz w:val="18"/>
              </w:rPr>
              <w:t>号（一期）</w:t>
            </w:r>
          </w:p>
        </w:tc>
        <w:tc>
          <w:tcPr>
            <w:tcW w:w="963" w:type="dxa"/>
          </w:tcPr>
          <w:p>
            <w:pPr>
              <w:pStyle w:val="TableParagraph"/>
              <w:ind w:left="216"/>
              <w:jc w:val="left"/>
              <w:rPr>
                <w:sz w:val="18"/>
              </w:rPr>
            </w:pPr>
            <w:r>
              <w:rPr>
                <w:sz w:val="18"/>
              </w:rPr>
              <w:t>正常运</w:t>
            </w:r>
          </w:p>
          <w:p>
            <w:pPr>
              <w:pStyle w:val="TableParagraph"/>
              <w:spacing w:line="230" w:lineRule="atLeast" w:before="2"/>
              <w:ind w:left="125" w:hanging="15"/>
              <w:jc w:val="left"/>
              <w:rPr>
                <w:sz w:val="18"/>
              </w:rPr>
            </w:pPr>
            <w:r>
              <w:rPr>
                <w:spacing w:val="-16"/>
                <w:sz w:val="18"/>
              </w:rPr>
              <w:t>行；二期、</w:t>
            </w:r>
            <w:r>
              <w:rPr>
                <w:sz w:val="18"/>
              </w:rPr>
              <w:t>三期在建</w:t>
            </w:r>
          </w:p>
        </w:tc>
      </w:tr>
      <w:tr>
        <w:trPr>
          <w:trHeight w:val="700" w:hRule="atLeast"/>
        </w:trPr>
        <w:tc>
          <w:tcPr>
            <w:tcW w:w="398" w:type="dxa"/>
          </w:tcPr>
          <w:p>
            <w:pPr>
              <w:pStyle w:val="TableParagraph"/>
              <w:spacing w:before="3"/>
              <w:jc w:val="left"/>
              <w:rPr>
                <w:b/>
                <w:sz w:val="19"/>
              </w:rPr>
            </w:pPr>
          </w:p>
          <w:p>
            <w:pPr>
              <w:pStyle w:val="TableParagraph"/>
              <w:ind w:left="8"/>
              <w:rPr>
                <w:rFonts w:ascii="Times New Roman"/>
                <w:sz w:val="18"/>
              </w:rPr>
            </w:pPr>
            <w:r>
              <w:rPr>
                <w:rFonts w:ascii="Times New Roman"/>
                <w:sz w:val="18"/>
              </w:rPr>
              <w:t>5</w:t>
            </w:r>
          </w:p>
        </w:tc>
        <w:tc>
          <w:tcPr>
            <w:tcW w:w="1555" w:type="dxa"/>
          </w:tcPr>
          <w:p>
            <w:pPr>
              <w:pStyle w:val="TableParagraph"/>
              <w:spacing w:line="230" w:lineRule="exact"/>
              <w:ind w:left="144" w:right="136"/>
              <w:rPr>
                <w:sz w:val="18"/>
              </w:rPr>
            </w:pPr>
            <w:r>
              <w:rPr>
                <w:sz w:val="18"/>
              </w:rPr>
              <w:t>年焚烧处置</w:t>
            </w:r>
          </w:p>
          <w:p>
            <w:pPr>
              <w:pStyle w:val="TableParagraph"/>
              <w:spacing w:line="230" w:lineRule="atLeast" w:before="2"/>
              <w:ind w:left="170" w:right="155"/>
              <w:rPr>
                <w:sz w:val="18"/>
              </w:rPr>
            </w:pPr>
            <w:r>
              <w:rPr>
                <w:rFonts w:ascii="Times New Roman" w:eastAsia="Times New Roman"/>
                <w:sz w:val="18"/>
              </w:rPr>
              <w:t>21000 </w:t>
            </w:r>
            <w:r>
              <w:rPr>
                <w:sz w:val="18"/>
              </w:rPr>
              <w:t>吨危险废物项目</w:t>
            </w:r>
          </w:p>
        </w:tc>
        <w:tc>
          <w:tcPr>
            <w:tcW w:w="708" w:type="dxa"/>
          </w:tcPr>
          <w:p>
            <w:pPr>
              <w:pStyle w:val="TableParagraph"/>
              <w:spacing w:before="1"/>
              <w:jc w:val="left"/>
              <w:rPr>
                <w:b/>
                <w:sz w:val="18"/>
              </w:rPr>
            </w:pPr>
          </w:p>
          <w:p>
            <w:pPr>
              <w:pStyle w:val="TableParagraph"/>
              <w:spacing w:before="1"/>
              <w:ind w:left="173"/>
              <w:jc w:val="left"/>
              <w:rPr>
                <w:sz w:val="18"/>
              </w:rPr>
            </w:pPr>
            <w:r>
              <w:rPr>
                <w:sz w:val="18"/>
              </w:rPr>
              <w:t>焚烧</w:t>
            </w:r>
          </w:p>
        </w:tc>
        <w:tc>
          <w:tcPr>
            <w:tcW w:w="707" w:type="dxa"/>
          </w:tcPr>
          <w:p>
            <w:pPr>
              <w:pStyle w:val="TableParagraph"/>
              <w:spacing w:line="244" w:lineRule="auto" w:before="115"/>
              <w:ind w:left="173" w:right="161"/>
              <w:jc w:val="left"/>
              <w:rPr>
                <w:sz w:val="18"/>
              </w:rPr>
            </w:pPr>
            <w:r>
              <w:rPr>
                <w:sz w:val="18"/>
              </w:rPr>
              <w:t>危险废物</w:t>
            </w:r>
          </w:p>
        </w:tc>
        <w:tc>
          <w:tcPr>
            <w:tcW w:w="1276" w:type="dxa"/>
          </w:tcPr>
          <w:p>
            <w:pPr>
              <w:pStyle w:val="TableParagraph"/>
              <w:spacing w:before="115"/>
              <w:ind w:left="129" w:right="117"/>
              <w:rPr>
                <w:sz w:val="18"/>
              </w:rPr>
            </w:pPr>
            <w:r>
              <w:rPr>
                <w:sz w:val="18"/>
              </w:rPr>
              <w:t>虞环审</w:t>
            </w:r>
          </w:p>
          <w:p>
            <w:pPr>
              <w:pStyle w:val="TableParagraph"/>
              <w:spacing w:before="4"/>
              <w:ind w:left="132" w:right="115"/>
              <w:rPr>
                <w:sz w:val="18"/>
              </w:rPr>
            </w:pPr>
            <w:r>
              <w:rPr>
                <w:rFonts w:ascii="Times New Roman" w:eastAsia="Times New Roman"/>
                <w:sz w:val="18"/>
              </w:rPr>
              <w:t>[2017]281 </w:t>
            </w:r>
            <w:r>
              <w:rPr>
                <w:sz w:val="18"/>
              </w:rPr>
              <w:t>号</w:t>
            </w:r>
          </w:p>
        </w:tc>
        <w:tc>
          <w:tcPr>
            <w:tcW w:w="993" w:type="dxa"/>
          </w:tcPr>
          <w:p>
            <w:pPr>
              <w:pStyle w:val="TableParagraph"/>
              <w:spacing w:before="3"/>
              <w:jc w:val="left"/>
              <w:rPr>
                <w:b/>
                <w:sz w:val="19"/>
              </w:rPr>
            </w:pPr>
          </w:p>
          <w:p>
            <w:pPr>
              <w:pStyle w:val="TableParagraph"/>
              <w:ind w:left="116" w:right="98"/>
              <w:rPr>
                <w:rFonts w:ascii="Times New Roman"/>
                <w:sz w:val="18"/>
              </w:rPr>
            </w:pPr>
            <w:r>
              <w:rPr>
                <w:rFonts w:ascii="Times New Roman"/>
                <w:sz w:val="18"/>
              </w:rPr>
              <w:t>21000t/a</w:t>
            </w:r>
          </w:p>
        </w:tc>
        <w:tc>
          <w:tcPr>
            <w:tcW w:w="2680" w:type="dxa"/>
          </w:tcPr>
          <w:p>
            <w:pPr>
              <w:pStyle w:val="TableParagraph"/>
              <w:spacing w:line="242" w:lineRule="auto"/>
              <w:ind w:left="894" w:right="129" w:hanging="744"/>
              <w:jc w:val="left"/>
              <w:rPr>
                <w:sz w:val="18"/>
              </w:rPr>
            </w:pPr>
            <w:r>
              <w:rPr>
                <w:rFonts w:ascii="Times New Roman" w:eastAsia="Times New Roman"/>
                <w:sz w:val="18"/>
              </w:rPr>
              <w:t>2019.3.15 </w:t>
            </w:r>
            <w:r>
              <w:rPr>
                <w:sz w:val="18"/>
              </w:rPr>
              <w:t>自主验收（废水、废气、噪声）</w:t>
            </w:r>
          </w:p>
          <w:p>
            <w:pPr>
              <w:pStyle w:val="TableParagraph"/>
              <w:spacing w:line="215" w:lineRule="exact"/>
              <w:ind w:left="135"/>
              <w:jc w:val="left"/>
              <w:rPr>
                <w:sz w:val="18"/>
              </w:rPr>
            </w:pPr>
            <w:r>
              <w:rPr>
                <w:sz w:val="18"/>
              </w:rPr>
              <w:t>固废验收虞环建验园</w:t>
            </w:r>
            <w:r>
              <w:rPr>
                <w:rFonts w:ascii="Times New Roman" w:eastAsia="Times New Roman"/>
                <w:sz w:val="18"/>
              </w:rPr>
              <w:t>[2019]8 </w:t>
            </w:r>
            <w:r>
              <w:rPr>
                <w:sz w:val="18"/>
              </w:rPr>
              <w:t>号</w:t>
            </w:r>
          </w:p>
        </w:tc>
        <w:tc>
          <w:tcPr>
            <w:tcW w:w="963" w:type="dxa"/>
          </w:tcPr>
          <w:p>
            <w:pPr>
              <w:pStyle w:val="TableParagraph"/>
              <w:spacing w:before="1"/>
              <w:jc w:val="left"/>
              <w:rPr>
                <w:b/>
                <w:sz w:val="18"/>
              </w:rPr>
            </w:pPr>
          </w:p>
          <w:p>
            <w:pPr>
              <w:pStyle w:val="TableParagraph"/>
              <w:spacing w:before="1"/>
              <w:ind w:left="51" w:right="34"/>
              <w:rPr>
                <w:sz w:val="18"/>
              </w:rPr>
            </w:pPr>
            <w:r>
              <w:rPr>
                <w:sz w:val="18"/>
              </w:rPr>
              <w:t>正常运行</w:t>
            </w:r>
          </w:p>
        </w:tc>
      </w:tr>
      <w:tr>
        <w:trPr>
          <w:trHeight w:val="465" w:hRule="atLeast"/>
        </w:trPr>
        <w:tc>
          <w:tcPr>
            <w:tcW w:w="398" w:type="dxa"/>
            <w:vMerge w:val="restart"/>
          </w:tcPr>
          <w:p>
            <w:pPr>
              <w:pStyle w:val="TableParagraph"/>
              <w:jc w:val="left"/>
              <w:rPr>
                <w:b/>
                <w:sz w:val="20"/>
              </w:rPr>
            </w:pPr>
          </w:p>
          <w:p>
            <w:pPr>
              <w:pStyle w:val="TableParagraph"/>
              <w:spacing w:before="10"/>
              <w:jc w:val="left"/>
              <w:rPr>
                <w:b/>
                <w:sz w:val="17"/>
              </w:rPr>
            </w:pPr>
          </w:p>
          <w:p>
            <w:pPr>
              <w:pStyle w:val="TableParagraph"/>
              <w:ind w:left="8"/>
              <w:rPr>
                <w:rFonts w:ascii="Times New Roman"/>
                <w:sz w:val="18"/>
              </w:rPr>
            </w:pPr>
            <w:r>
              <w:rPr>
                <w:rFonts w:ascii="Times New Roman"/>
                <w:sz w:val="18"/>
              </w:rPr>
              <w:t>6</w:t>
            </w:r>
          </w:p>
        </w:tc>
        <w:tc>
          <w:tcPr>
            <w:tcW w:w="1555" w:type="dxa"/>
            <w:vMerge w:val="restart"/>
          </w:tcPr>
          <w:p>
            <w:pPr>
              <w:pStyle w:val="TableParagraph"/>
              <w:jc w:val="left"/>
              <w:rPr>
                <w:b/>
                <w:sz w:val="18"/>
              </w:rPr>
            </w:pPr>
          </w:p>
          <w:p>
            <w:pPr>
              <w:pStyle w:val="TableParagraph"/>
              <w:spacing w:line="242" w:lineRule="auto" w:before="124"/>
              <w:ind w:left="506" w:right="136" w:hanging="360"/>
              <w:jc w:val="left"/>
              <w:rPr>
                <w:sz w:val="18"/>
              </w:rPr>
            </w:pPr>
            <w:r>
              <w:rPr>
                <w:sz w:val="18"/>
              </w:rPr>
              <w:t>工业废物综合处置项目</w:t>
            </w:r>
          </w:p>
        </w:tc>
        <w:tc>
          <w:tcPr>
            <w:tcW w:w="708" w:type="dxa"/>
            <w:vMerge w:val="restart"/>
          </w:tcPr>
          <w:p>
            <w:pPr>
              <w:pStyle w:val="TableParagraph"/>
              <w:jc w:val="left"/>
              <w:rPr>
                <w:b/>
                <w:sz w:val="18"/>
              </w:rPr>
            </w:pPr>
          </w:p>
          <w:p>
            <w:pPr>
              <w:pStyle w:val="TableParagraph"/>
              <w:spacing w:before="8"/>
              <w:jc w:val="left"/>
              <w:rPr>
                <w:b/>
                <w:sz w:val="18"/>
              </w:rPr>
            </w:pPr>
          </w:p>
          <w:p>
            <w:pPr>
              <w:pStyle w:val="TableParagraph"/>
              <w:spacing w:before="1"/>
              <w:ind w:left="173"/>
              <w:jc w:val="left"/>
              <w:rPr>
                <w:sz w:val="18"/>
              </w:rPr>
            </w:pPr>
            <w:r>
              <w:rPr>
                <w:sz w:val="18"/>
              </w:rPr>
              <w:t>填埋</w:t>
            </w:r>
          </w:p>
        </w:tc>
        <w:tc>
          <w:tcPr>
            <w:tcW w:w="707" w:type="dxa"/>
          </w:tcPr>
          <w:p>
            <w:pPr>
              <w:pStyle w:val="TableParagraph"/>
              <w:spacing w:line="230" w:lineRule="exact"/>
              <w:ind w:left="173"/>
              <w:jc w:val="left"/>
              <w:rPr>
                <w:sz w:val="18"/>
              </w:rPr>
            </w:pPr>
            <w:r>
              <w:rPr>
                <w:sz w:val="18"/>
              </w:rPr>
              <w:t>危险</w:t>
            </w:r>
          </w:p>
          <w:p>
            <w:pPr>
              <w:pStyle w:val="TableParagraph"/>
              <w:spacing w:line="213" w:lineRule="exact" w:before="2"/>
              <w:ind w:left="173"/>
              <w:jc w:val="left"/>
              <w:rPr>
                <w:sz w:val="18"/>
              </w:rPr>
            </w:pPr>
            <w:r>
              <w:rPr>
                <w:sz w:val="18"/>
              </w:rPr>
              <w:t>废物</w:t>
            </w:r>
          </w:p>
        </w:tc>
        <w:tc>
          <w:tcPr>
            <w:tcW w:w="1276" w:type="dxa"/>
            <w:vMerge w:val="restart"/>
          </w:tcPr>
          <w:p>
            <w:pPr>
              <w:pStyle w:val="TableParagraph"/>
              <w:jc w:val="left"/>
              <w:rPr>
                <w:b/>
                <w:sz w:val="18"/>
              </w:rPr>
            </w:pPr>
          </w:p>
          <w:p>
            <w:pPr>
              <w:pStyle w:val="TableParagraph"/>
              <w:spacing w:before="124"/>
              <w:ind w:left="129" w:right="117"/>
              <w:rPr>
                <w:sz w:val="18"/>
              </w:rPr>
            </w:pPr>
            <w:r>
              <w:rPr>
                <w:sz w:val="18"/>
              </w:rPr>
              <w:t>虞环审</w:t>
            </w:r>
          </w:p>
          <w:p>
            <w:pPr>
              <w:pStyle w:val="TableParagraph"/>
              <w:spacing w:before="2"/>
              <w:ind w:left="132" w:right="115"/>
              <w:rPr>
                <w:sz w:val="18"/>
              </w:rPr>
            </w:pPr>
            <w:r>
              <w:rPr>
                <w:rFonts w:ascii="Times New Roman" w:eastAsia="Times New Roman"/>
                <w:sz w:val="18"/>
              </w:rPr>
              <w:t>(2018)216 </w:t>
            </w:r>
            <w:r>
              <w:rPr>
                <w:sz w:val="18"/>
              </w:rPr>
              <w:t>号</w:t>
            </w:r>
          </w:p>
        </w:tc>
        <w:tc>
          <w:tcPr>
            <w:tcW w:w="993" w:type="dxa"/>
          </w:tcPr>
          <w:p>
            <w:pPr>
              <w:pStyle w:val="TableParagraph"/>
              <w:spacing w:before="129"/>
              <w:ind w:left="116" w:right="98"/>
              <w:rPr>
                <w:rFonts w:ascii="Times New Roman"/>
                <w:sz w:val="18"/>
              </w:rPr>
            </w:pPr>
            <w:r>
              <w:rPr>
                <w:rFonts w:ascii="Times New Roman"/>
                <w:sz w:val="18"/>
              </w:rPr>
              <w:t>60000t/a</w:t>
            </w:r>
          </w:p>
        </w:tc>
        <w:tc>
          <w:tcPr>
            <w:tcW w:w="2680" w:type="dxa"/>
            <w:vMerge w:val="restart"/>
          </w:tcPr>
          <w:p>
            <w:pPr>
              <w:pStyle w:val="TableParagraph"/>
              <w:spacing w:line="242" w:lineRule="auto" w:before="122"/>
              <w:ind w:left="150" w:right="129"/>
              <w:rPr>
                <w:sz w:val="18"/>
              </w:rPr>
            </w:pPr>
            <w:r>
              <w:rPr>
                <w:rFonts w:ascii="Times New Roman" w:eastAsia="Times New Roman"/>
                <w:sz w:val="18"/>
              </w:rPr>
              <w:t>2020.8.12 </w:t>
            </w:r>
            <w:r>
              <w:rPr>
                <w:sz w:val="18"/>
              </w:rPr>
              <w:t>自主验收（废水、废气、噪声）</w:t>
            </w:r>
          </w:p>
          <w:p>
            <w:pPr>
              <w:pStyle w:val="TableParagraph"/>
              <w:spacing w:line="242" w:lineRule="auto"/>
              <w:ind w:left="77" w:right="58"/>
              <w:rPr>
                <w:sz w:val="18"/>
              </w:rPr>
            </w:pPr>
            <w:r>
              <w:rPr>
                <w:sz w:val="18"/>
              </w:rPr>
              <w:t>固废验收虞环建验园（</w:t>
            </w:r>
            <w:r>
              <w:rPr>
                <w:rFonts w:ascii="Times New Roman" w:eastAsia="Times New Roman"/>
                <w:sz w:val="18"/>
              </w:rPr>
              <w:t>2020</w:t>
            </w:r>
            <w:r>
              <w:rPr>
                <w:sz w:val="18"/>
              </w:rPr>
              <w:t>）</w:t>
            </w:r>
            <w:r>
              <w:rPr>
                <w:rFonts w:ascii="Times New Roman" w:eastAsia="Times New Roman"/>
                <w:sz w:val="18"/>
              </w:rPr>
              <w:t>30 </w:t>
            </w:r>
            <w:r>
              <w:rPr>
                <w:sz w:val="18"/>
              </w:rPr>
              <w:t>号</w:t>
            </w:r>
          </w:p>
        </w:tc>
        <w:tc>
          <w:tcPr>
            <w:tcW w:w="963" w:type="dxa"/>
            <w:vMerge w:val="restart"/>
          </w:tcPr>
          <w:p>
            <w:pPr>
              <w:pStyle w:val="TableParagraph"/>
              <w:jc w:val="left"/>
              <w:rPr>
                <w:b/>
                <w:sz w:val="18"/>
              </w:rPr>
            </w:pPr>
          </w:p>
          <w:p>
            <w:pPr>
              <w:pStyle w:val="TableParagraph"/>
              <w:spacing w:before="8"/>
              <w:jc w:val="left"/>
              <w:rPr>
                <w:b/>
                <w:sz w:val="18"/>
              </w:rPr>
            </w:pPr>
          </w:p>
          <w:p>
            <w:pPr>
              <w:pStyle w:val="TableParagraph"/>
              <w:spacing w:before="1"/>
              <w:ind w:left="125"/>
              <w:jc w:val="left"/>
              <w:rPr>
                <w:sz w:val="18"/>
              </w:rPr>
            </w:pPr>
            <w:r>
              <w:rPr>
                <w:sz w:val="18"/>
              </w:rPr>
              <w:t>正常运行</w:t>
            </w:r>
          </w:p>
        </w:tc>
      </w:tr>
      <w:tr>
        <w:trPr>
          <w:trHeight w:val="700" w:hRule="atLeast"/>
        </w:trPr>
        <w:tc>
          <w:tcPr>
            <w:tcW w:w="398" w:type="dxa"/>
            <w:vMerge/>
            <w:tcBorders>
              <w:top w:val="nil"/>
            </w:tcBorders>
          </w:tcPr>
          <w:p>
            <w:pPr>
              <w:rPr>
                <w:sz w:val="2"/>
                <w:szCs w:val="2"/>
              </w:rPr>
            </w:pPr>
          </w:p>
        </w:tc>
        <w:tc>
          <w:tcPr>
            <w:tcW w:w="1555" w:type="dxa"/>
            <w:vMerge/>
            <w:tcBorders>
              <w:top w:val="nil"/>
            </w:tcBorders>
          </w:tcPr>
          <w:p>
            <w:pPr>
              <w:rPr>
                <w:sz w:val="2"/>
                <w:szCs w:val="2"/>
              </w:rPr>
            </w:pPr>
          </w:p>
        </w:tc>
        <w:tc>
          <w:tcPr>
            <w:tcW w:w="708" w:type="dxa"/>
            <w:vMerge/>
            <w:tcBorders>
              <w:top w:val="nil"/>
            </w:tcBorders>
          </w:tcPr>
          <w:p>
            <w:pPr>
              <w:rPr>
                <w:sz w:val="2"/>
                <w:szCs w:val="2"/>
              </w:rPr>
            </w:pPr>
          </w:p>
        </w:tc>
        <w:tc>
          <w:tcPr>
            <w:tcW w:w="707" w:type="dxa"/>
          </w:tcPr>
          <w:p>
            <w:pPr>
              <w:pStyle w:val="TableParagraph"/>
              <w:spacing w:line="230" w:lineRule="exact"/>
              <w:ind w:left="173"/>
              <w:jc w:val="left"/>
              <w:rPr>
                <w:sz w:val="18"/>
              </w:rPr>
            </w:pPr>
            <w:r>
              <w:rPr>
                <w:sz w:val="18"/>
              </w:rPr>
              <w:t>一般</w:t>
            </w:r>
          </w:p>
          <w:p>
            <w:pPr>
              <w:pStyle w:val="TableParagraph"/>
              <w:spacing w:line="230" w:lineRule="atLeast" w:before="4"/>
              <w:ind w:left="173" w:right="161"/>
              <w:jc w:val="left"/>
              <w:rPr>
                <w:sz w:val="18"/>
              </w:rPr>
            </w:pPr>
            <w:r>
              <w:rPr>
                <w:spacing w:val="-9"/>
                <w:sz w:val="18"/>
              </w:rPr>
              <w:t>工业固废</w:t>
            </w:r>
          </w:p>
        </w:tc>
        <w:tc>
          <w:tcPr>
            <w:tcW w:w="1276" w:type="dxa"/>
            <w:vMerge/>
            <w:tcBorders>
              <w:top w:val="nil"/>
            </w:tcBorders>
          </w:tcPr>
          <w:p>
            <w:pPr>
              <w:rPr>
                <w:sz w:val="2"/>
                <w:szCs w:val="2"/>
              </w:rPr>
            </w:pPr>
          </w:p>
        </w:tc>
        <w:tc>
          <w:tcPr>
            <w:tcW w:w="993" w:type="dxa"/>
          </w:tcPr>
          <w:p>
            <w:pPr>
              <w:pStyle w:val="TableParagraph"/>
              <w:spacing w:before="3"/>
              <w:jc w:val="left"/>
              <w:rPr>
                <w:b/>
                <w:sz w:val="19"/>
              </w:rPr>
            </w:pPr>
          </w:p>
          <w:p>
            <w:pPr>
              <w:pStyle w:val="TableParagraph"/>
              <w:ind w:left="116" w:right="98"/>
              <w:rPr>
                <w:rFonts w:ascii="Times New Roman"/>
                <w:sz w:val="18"/>
              </w:rPr>
            </w:pPr>
            <w:r>
              <w:rPr>
                <w:rFonts w:ascii="Times New Roman"/>
                <w:sz w:val="18"/>
              </w:rPr>
              <w:t>60000t/a</w:t>
            </w:r>
          </w:p>
        </w:tc>
        <w:tc>
          <w:tcPr>
            <w:tcW w:w="2680" w:type="dxa"/>
            <w:vMerge/>
            <w:tcBorders>
              <w:top w:val="nil"/>
            </w:tcBorders>
          </w:tcPr>
          <w:p>
            <w:pPr>
              <w:rPr>
                <w:sz w:val="2"/>
                <w:szCs w:val="2"/>
              </w:rPr>
            </w:pPr>
          </w:p>
        </w:tc>
        <w:tc>
          <w:tcPr>
            <w:tcW w:w="963" w:type="dxa"/>
            <w:vMerge/>
            <w:tcBorders>
              <w:top w:val="nil"/>
            </w:tcBorders>
          </w:tcPr>
          <w:p>
            <w:pPr>
              <w:rPr>
                <w:sz w:val="2"/>
                <w:szCs w:val="2"/>
              </w:rPr>
            </w:pPr>
          </w:p>
        </w:tc>
      </w:tr>
      <w:tr>
        <w:trPr>
          <w:trHeight w:val="467" w:hRule="atLeast"/>
        </w:trPr>
        <w:tc>
          <w:tcPr>
            <w:tcW w:w="398" w:type="dxa"/>
          </w:tcPr>
          <w:p>
            <w:pPr>
              <w:pStyle w:val="TableParagraph"/>
              <w:spacing w:before="131"/>
              <w:ind w:left="8"/>
              <w:rPr>
                <w:rFonts w:ascii="Times New Roman"/>
                <w:sz w:val="18"/>
              </w:rPr>
            </w:pPr>
            <w:r>
              <w:rPr>
                <w:rFonts w:ascii="Times New Roman"/>
                <w:sz w:val="18"/>
              </w:rPr>
              <w:t>7</w:t>
            </w:r>
          </w:p>
        </w:tc>
        <w:tc>
          <w:tcPr>
            <w:tcW w:w="1555" w:type="dxa"/>
          </w:tcPr>
          <w:p>
            <w:pPr>
              <w:pStyle w:val="TableParagraph"/>
              <w:spacing w:line="230" w:lineRule="exact"/>
              <w:ind w:left="126" w:right="118"/>
              <w:rPr>
                <w:sz w:val="18"/>
              </w:rPr>
            </w:pPr>
            <w:r>
              <w:rPr>
                <w:sz w:val="18"/>
              </w:rPr>
              <w:t>危险废物暂存库</w:t>
            </w:r>
          </w:p>
          <w:p>
            <w:pPr>
              <w:pStyle w:val="TableParagraph"/>
              <w:spacing w:line="213" w:lineRule="exact" w:before="4"/>
              <w:ind w:left="146" w:right="136"/>
              <w:rPr>
                <w:sz w:val="18"/>
              </w:rPr>
            </w:pPr>
            <w:r>
              <w:rPr>
                <w:sz w:val="18"/>
              </w:rPr>
              <w:t>项目</w:t>
            </w:r>
          </w:p>
        </w:tc>
        <w:tc>
          <w:tcPr>
            <w:tcW w:w="708" w:type="dxa"/>
          </w:tcPr>
          <w:p>
            <w:pPr>
              <w:pStyle w:val="TableParagraph"/>
              <w:spacing w:before="117"/>
              <w:ind w:left="173"/>
              <w:jc w:val="left"/>
              <w:rPr>
                <w:sz w:val="18"/>
              </w:rPr>
            </w:pPr>
            <w:r>
              <w:rPr>
                <w:sz w:val="18"/>
              </w:rPr>
              <w:t>存贮</w:t>
            </w:r>
          </w:p>
        </w:tc>
        <w:tc>
          <w:tcPr>
            <w:tcW w:w="707" w:type="dxa"/>
          </w:tcPr>
          <w:p>
            <w:pPr>
              <w:pStyle w:val="TableParagraph"/>
              <w:spacing w:line="230" w:lineRule="exact"/>
              <w:ind w:left="173"/>
              <w:jc w:val="left"/>
              <w:rPr>
                <w:sz w:val="18"/>
              </w:rPr>
            </w:pPr>
            <w:r>
              <w:rPr>
                <w:sz w:val="18"/>
              </w:rPr>
              <w:t>危险</w:t>
            </w:r>
          </w:p>
          <w:p>
            <w:pPr>
              <w:pStyle w:val="TableParagraph"/>
              <w:spacing w:line="213" w:lineRule="exact" w:before="4"/>
              <w:ind w:left="173"/>
              <w:jc w:val="left"/>
              <w:rPr>
                <w:sz w:val="18"/>
              </w:rPr>
            </w:pPr>
            <w:r>
              <w:rPr>
                <w:sz w:val="18"/>
              </w:rPr>
              <w:t>废物</w:t>
            </w:r>
          </w:p>
        </w:tc>
        <w:tc>
          <w:tcPr>
            <w:tcW w:w="1276" w:type="dxa"/>
          </w:tcPr>
          <w:p>
            <w:pPr>
              <w:pStyle w:val="TableParagraph"/>
              <w:spacing w:line="230" w:lineRule="exact"/>
              <w:ind w:left="129" w:right="117"/>
              <w:rPr>
                <w:sz w:val="18"/>
              </w:rPr>
            </w:pPr>
            <w:r>
              <w:rPr>
                <w:sz w:val="18"/>
              </w:rPr>
              <w:t>虞环审</w:t>
            </w:r>
          </w:p>
          <w:p>
            <w:pPr>
              <w:pStyle w:val="TableParagraph"/>
              <w:spacing w:line="213" w:lineRule="exact" w:before="4"/>
              <w:ind w:left="132" w:right="115"/>
              <w:rPr>
                <w:sz w:val="18"/>
              </w:rPr>
            </w:pPr>
            <w:r>
              <w:rPr>
                <w:rFonts w:ascii="Times New Roman" w:eastAsia="Times New Roman"/>
                <w:sz w:val="18"/>
              </w:rPr>
              <w:t>(2020)137 </w:t>
            </w:r>
            <w:r>
              <w:rPr>
                <w:sz w:val="18"/>
              </w:rPr>
              <w:t>号</w:t>
            </w:r>
          </w:p>
        </w:tc>
        <w:tc>
          <w:tcPr>
            <w:tcW w:w="993" w:type="dxa"/>
          </w:tcPr>
          <w:p>
            <w:pPr>
              <w:pStyle w:val="TableParagraph"/>
              <w:spacing w:before="117"/>
              <w:ind w:left="115"/>
              <w:jc w:val="left"/>
              <w:rPr>
                <w:rFonts w:ascii="Times New Roman" w:eastAsia="Times New Roman"/>
                <w:sz w:val="18"/>
              </w:rPr>
            </w:pPr>
            <w:r>
              <w:rPr>
                <w:rFonts w:ascii="Times New Roman" w:eastAsia="Times New Roman"/>
                <w:sz w:val="18"/>
              </w:rPr>
              <w:t>1.56 </w:t>
            </w:r>
            <w:r>
              <w:rPr>
                <w:sz w:val="18"/>
              </w:rPr>
              <w:t>万 </w:t>
            </w:r>
            <w:r>
              <w:rPr>
                <w:rFonts w:ascii="Times New Roman" w:eastAsia="Times New Roman"/>
                <w:sz w:val="18"/>
              </w:rPr>
              <w:t>t/a</w:t>
            </w:r>
          </w:p>
        </w:tc>
        <w:tc>
          <w:tcPr>
            <w:tcW w:w="2680" w:type="dxa"/>
          </w:tcPr>
          <w:p>
            <w:pPr>
              <w:pStyle w:val="TableParagraph"/>
              <w:spacing w:before="131"/>
              <w:ind w:left="17"/>
              <w:rPr>
                <w:rFonts w:ascii="Times New Roman"/>
                <w:sz w:val="18"/>
              </w:rPr>
            </w:pPr>
            <w:r>
              <w:rPr>
                <w:rFonts w:ascii="Times New Roman"/>
                <w:sz w:val="18"/>
              </w:rPr>
              <w:t>/</w:t>
            </w:r>
          </w:p>
        </w:tc>
        <w:tc>
          <w:tcPr>
            <w:tcW w:w="963" w:type="dxa"/>
          </w:tcPr>
          <w:p>
            <w:pPr>
              <w:pStyle w:val="TableParagraph"/>
              <w:spacing w:before="117"/>
              <w:ind w:left="51" w:right="34"/>
              <w:rPr>
                <w:sz w:val="18"/>
              </w:rPr>
            </w:pPr>
            <w:r>
              <w:rPr>
                <w:sz w:val="18"/>
              </w:rPr>
              <w:t>调试阶段</w:t>
            </w:r>
          </w:p>
        </w:tc>
      </w:tr>
      <w:tr>
        <w:trPr>
          <w:trHeight w:val="700" w:hRule="atLeast"/>
        </w:trPr>
        <w:tc>
          <w:tcPr>
            <w:tcW w:w="398" w:type="dxa"/>
            <w:vMerge w:val="restart"/>
          </w:tcPr>
          <w:p>
            <w:pPr>
              <w:pStyle w:val="TableParagraph"/>
              <w:jc w:val="left"/>
              <w:rPr>
                <w:b/>
                <w:sz w:val="20"/>
              </w:rPr>
            </w:pPr>
          </w:p>
          <w:p>
            <w:pPr>
              <w:pStyle w:val="TableParagraph"/>
              <w:spacing w:before="10"/>
              <w:jc w:val="left"/>
              <w:rPr>
                <w:b/>
                <w:sz w:val="17"/>
              </w:rPr>
            </w:pPr>
          </w:p>
          <w:p>
            <w:pPr>
              <w:pStyle w:val="TableParagraph"/>
              <w:ind w:left="8"/>
              <w:rPr>
                <w:rFonts w:ascii="Times New Roman"/>
                <w:sz w:val="18"/>
              </w:rPr>
            </w:pPr>
            <w:r>
              <w:rPr>
                <w:rFonts w:ascii="Times New Roman"/>
                <w:sz w:val="18"/>
              </w:rPr>
              <w:t>8</w:t>
            </w:r>
          </w:p>
        </w:tc>
        <w:tc>
          <w:tcPr>
            <w:tcW w:w="1555" w:type="dxa"/>
            <w:vMerge w:val="restart"/>
          </w:tcPr>
          <w:p>
            <w:pPr>
              <w:pStyle w:val="TableParagraph"/>
              <w:spacing w:line="242" w:lineRule="auto" w:before="122"/>
              <w:ind w:left="108" w:right="4" w:firstLine="16"/>
              <w:jc w:val="left"/>
              <w:rPr>
                <w:sz w:val="18"/>
              </w:rPr>
            </w:pPr>
            <w:r>
              <w:rPr>
                <w:rFonts w:ascii="Times New Roman" w:eastAsia="Times New Roman"/>
                <w:sz w:val="18"/>
              </w:rPr>
              <w:t>5 </w:t>
            </w:r>
            <w:r>
              <w:rPr>
                <w:spacing w:val="-23"/>
                <w:sz w:val="18"/>
              </w:rPr>
              <w:t>万 </w:t>
            </w:r>
            <w:r>
              <w:rPr>
                <w:rFonts w:ascii="Times New Roman" w:eastAsia="Times New Roman"/>
                <w:sz w:val="18"/>
              </w:rPr>
              <w:t>t/a </w:t>
            </w:r>
            <w:r>
              <w:rPr>
                <w:sz w:val="18"/>
              </w:rPr>
              <w:t>工业废盐</w:t>
            </w:r>
            <w:r>
              <w:rPr>
                <w:spacing w:val="-24"/>
                <w:sz w:val="18"/>
              </w:rPr>
              <w:t>和 </w:t>
            </w:r>
            <w:r>
              <w:rPr>
                <w:rFonts w:ascii="Times New Roman" w:eastAsia="Times New Roman"/>
                <w:sz w:val="18"/>
              </w:rPr>
              <w:t>6 </w:t>
            </w:r>
            <w:r>
              <w:rPr>
                <w:spacing w:val="43"/>
                <w:sz w:val="18"/>
              </w:rPr>
              <w:t>万</w:t>
            </w:r>
            <w:r>
              <w:rPr>
                <w:rFonts w:ascii="Times New Roman" w:eastAsia="Times New Roman"/>
                <w:sz w:val="18"/>
              </w:rPr>
              <w:t>t/a </w:t>
            </w:r>
            <w:r>
              <w:rPr>
                <w:sz w:val="18"/>
              </w:rPr>
              <w:t>废硫酸处置及资源化利</w:t>
            </w:r>
            <w:r>
              <w:rPr>
                <w:spacing w:val="-4"/>
                <w:sz w:val="18"/>
              </w:rPr>
              <w:t>用项目</w:t>
            </w:r>
            <w:r>
              <w:rPr>
                <w:sz w:val="18"/>
              </w:rPr>
              <w:t>（一阶段</w:t>
            </w:r>
            <w:r>
              <w:rPr>
                <w:spacing w:val="-17"/>
                <w:sz w:val="18"/>
              </w:rPr>
              <w:t>）</w:t>
            </w:r>
          </w:p>
        </w:tc>
        <w:tc>
          <w:tcPr>
            <w:tcW w:w="708" w:type="dxa"/>
          </w:tcPr>
          <w:p>
            <w:pPr>
              <w:pStyle w:val="TableParagraph"/>
              <w:spacing w:line="242" w:lineRule="auto"/>
              <w:ind w:left="173" w:right="162"/>
              <w:rPr>
                <w:sz w:val="18"/>
              </w:rPr>
            </w:pPr>
            <w:r>
              <w:rPr>
                <w:sz w:val="18"/>
              </w:rPr>
              <w:t>资源化利</w:t>
            </w:r>
          </w:p>
          <w:p>
            <w:pPr>
              <w:pStyle w:val="TableParagraph"/>
              <w:spacing w:line="213" w:lineRule="exact" w:before="2"/>
              <w:ind w:left="10"/>
              <w:rPr>
                <w:sz w:val="18"/>
              </w:rPr>
            </w:pPr>
            <w:r>
              <w:rPr>
                <w:sz w:val="18"/>
              </w:rPr>
              <w:t>用</w:t>
            </w:r>
          </w:p>
        </w:tc>
        <w:tc>
          <w:tcPr>
            <w:tcW w:w="707" w:type="dxa"/>
          </w:tcPr>
          <w:p>
            <w:pPr>
              <w:pStyle w:val="TableParagraph"/>
              <w:spacing w:line="242" w:lineRule="auto" w:before="117"/>
              <w:ind w:left="173" w:right="161"/>
              <w:jc w:val="left"/>
              <w:rPr>
                <w:sz w:val="18"/>
              </w:rPr>
            </w:pPr>
            <w:r>
              <w:rPr>
                <w:sz w:val="18"/>
              </w:rPr>
              <w:t>危险废物</w:t>
            </w:r>
          </w:p>
        </w:tc>
        <w:tc>
          <w:tcPr>
            <w:tcW w:w="1276" w:type="dxa"/>
            <w:vMerge w:val="restart"/>
          </w:tcPr>
          <w:p>
            <w:pPr>
              <w:pStyle w:val="TableParagraph"/>
              <w:jc w:val="left"/>
              <w:rPr>
                <w:b/>
                <w:sz w:val="18"/>
              </w:rPr>
            </w:pPr>
          </w:p>
          <w:p>
            <w:pPr>
              <w:pStyle w:val="TableParagraph"/>
              <w:spacing w:before="124"/>
              <w:ind w:left="129" w:right="117"/>
              <w:rPr>
                <w:sz w:val="18"/>
              </w:rPr>
            </w:pPr>
            <w:r>
              <w:rPr>
                <w:sz w:val="18"/>
              </w:rPr>
              <w:t>虞环审</w:t>
            </w:r>
          </w:p>
          <w:p>
            <w:pPr>
              <w:pStyle w:val="TableParagraph"/>
              <w:spacing w:before="2"/>
              <w:ind w:left="131" w:right="117"/>
              <w:rPr>
                <w:sz w:val="18"/>
              </w:rPr>
            </w:pPr>
            <w:r>
              <w:rPr>
                <w:rFonts w:ascii="Times New Roman" w:eastAsia="Times New Roman"/>
                <w:sz w:val="18"/>
              </w:rPr>
              <w:t>(2021)15 </w:t>
            </w:r>
            <w:r>
              <w:rPr>
                <w:sz w:val="18"/>
              </w:rPr>
              <w:t>号</w:t>
            </w:r>
          </w:p>
        </w:tc>
        <w:tc>
          <w:tcPr>
            <w:tcW w:w="993" w:type="dxa"/>
          </w:tcPr>
          <w:p>
            <w:pPr>
              <w:pStyle w:val="TableParagraph"/>
              <w:spacing w:before="1"/>
              <w:jc w:val="left"/>
              <w:rPr>
                <w:b/>
                <w:sz w:val="18"/>
              </w:rPr>
            </w:pPr>
          </w:p>
          <w:p>
            <w:pPr>
              <w:pStyle w:val="TableParagraph"/>
              <w:spacing w:before="1"/>
              <w:ind w:left="116" w:right="99"/>
              <w:rPr>
                <w:rFonts w:ascii="Times New Roman" w:eastAsia="Times New Roman"/>
                <w:sz w:val="18"/>
              </w:rPr>
            </w:pPr>
            <w:r>
              <w:rPr>
                <w:rFonts w:ascii="Times New Roman" w:eastAsia="Times New Roman"/>
                <w:sz w:val="18"/>
              </w:rPr>
              <w:t>6 </w:t>
            </w:r>
            <w:r>
              <w:rPr>
                <w:sz w:val="18"/>
              </w:rPr>
              <w:t>万 </w:t>
            </w:r>
            <w:r>
              <w:rPr>
                <w:rFonts w:ascii="Times New Roman" w:eastAsia="Times New Roman"/>
                <w:sz w:val="18"/>
              </w:rPr>
              <w:t>t/a</w:t>
            </w:r>
          </w:p>
        </w:tc>
        <w:tc>
          <w:tcPr>
            <w:tcW w:w="2680" w:type="dxa"/>
          </w:tcPr>
          <w:p>
            <w:pPr>
              <w:pStyle w:val="TableParagraph"/>
              <w:spacing w:before="3"/>
              <w:jc w:val="left"/>
              <w:rPr>
                <w:b/>
                <w:sz w:val="19"/>
              </w:rPr>
            </w:pPr>
          </w:p>
          <w:p>
            <w:pPr>
              <w:pStyle w:val="TableParagraph"/>
              <w:ind w:left="17"/>
              <w:rPr>
                <w:rFonts w:ascii="Times New Roman"/>
                <w:sz w:val="18"/>
              </w:rPr>
            </w:pPr>
            <w:r>
              <w:rPr>
                <w:rFonts w:ascii="Times New Roman"/>
                <w:sz w:val="18"/>
              </w:rPr>
              <w:t>/</w:t>
            </w:r>
          </w:p>
        </w:tc>
        <w:tc>
          <w:tcPr>
            <w:tcW w:w="963" w:type="dxa"/>
          </w:tcPr>
          <w:p>
            <w:pPr>
              <w:pStyle w:val="TableParagraph"/>
              <w:spacing w:before="1"/>
              <w:jc w:val="left"/>
              <w:rPr>
                <w:b/>
                <w:sz w:val="18"/>
              </w:rPr>
            </w:pPr>
          </w:p>
          <w:p>
            <w:pPr>
              <w:pStyle w:val="TableParagraph"/>
              <w:spacing w:before="1"/>
              <w:ind w:left="51" w:right="34"/>
              <w:rPr>
                <w:sz w:val="18"/>
              </w:rPr>
            </w:pPr>
            <w:r>
              <w:rPr>
                <w:sz w:val="18"/>
              </w:rPr>
              <w:t>在建</w:t>
            </w:r>
          </w:p>
        </w:tc>
      </w:tr>
      <w:tr>
        <w:trPr>
          <w:trHeight w:val="468" w:hRule="atLeast"/>
        </w:trPr>
        <w:tc>
          <w:tcPr>
            <w:tcW w:w="398" w:type="dxa"/>
            <w:vMerge/>
            <w:tcBorders>
              <w:top w:val="nil"/>
            </w:tcBorders>
          </w:tcPr>
          <w:p>
            <w:pPr>
              <w:rPr>
                <w:sz w:val="2"/>
                <w:szCs w:val="2"/>
              </w:rPr>
            </w:pPr>
          </w:p>
        </w:tc>
        <w:tc>
          <w:tcPr>
            <w:tcW w:w="1555" w:type="dxa"/>
            <w:vMerge/>
            <w:tcBorders>
              <w:top w:val="nil"/>
            </w:tcBorders>
          </w:tcPr>
          <w:p>
            <w:pPr>
              <w:rPr>
                <w:sz w:val="2"/>
                <w:szCs w:val="2"/>
              </w:rPr>
            </w:pPr>
          </w:p>
        </w:tc>
        <w:tc>
          <w:tcPr>
            <w:tcW w:w="708" w:type="dxa"/>
          </w:tcPr>
          <w:p>
            <w:pPr>
              <w:pStyle w:val="TableParagraph"/>
              <w:spacing w:before="118"/>
              <w:ind w:left="173"/>
              <w:jc w:val="left"/>
              <w:rPr>
                <w:sz w:val="18"/>
              </w:rPr>
            </w:pPr>
            <w:r>
              <w:rPr>
                <w:sz w:val="18"/>
              </w:rPr>
              <w:t>填埋</w:t>
            </w:r>
          </w:p>
        </w:tc>
        <w:tc>
          <w:tcPr>
            <w:tcW w:w="707" w:type="dxa"/>
          </w:tcPr>
          <w:p>
            <w:pPr>
              <w:pStyle w:val="TableParagraph"/>
              <w:ind w:left="173"/>
              <w:jc w:val="left"/>
              <w:rPr>
                <w:sz w:val="18"/>
              </w:rPr>
            </w:pPr>
            <w:r>
              <w:rPr>
                <w:sz w:val="18"/>
              </w:rPr>
              <w:t>危险</w:t>
            </w:r>
          </w:p>
          <w:p>
            <w:pPr>
              <w:pStyle w:val="TableParagraph"/>
              <w:spacing w:line="215" w:lineRule="exact" w:before="2"/>
              <w:ind w:left="173"/>
              <w:jc w:val="left"/>
              <w:rPr>
                <w:sz w:val="18"/>
              </w:rPr>
            </w:pPr>
            <w:r>
              <w:rPr>
                <w:sz w:val="18"/>
              </w:rPr>
              <w:t>废物</w:t>
            </w:r>
          </w:p>
        </w:tc>
        <w:tc>
          <w:tcPr>
            <w:tcW w:w="1276" w:type="dxa"/>
            <w:vMerge/>
            <w:tcBorders>
              <w:top w:val="nil"/>
            </w:tcBorders>
          </w:tcPr>
          <w:p>
            <w:pPr>
              <w:rPr>
                <w:sz w:val="2"/>
                <w:szCs w:val="2"/>
              </w:rPr>
            </w:pPr>
          </w:p>
        </w:tc>
        <w:tc>
          <w:tcPr>
            <w:tcW w:w="993" w:type="dxa"/>
          </w:tcPr>
          <w:p>
            <w:pPr>
              <w:pStyle w:val="TableParagraph"/>
              <w:spacing w:before="118"/>
              <w:ind w:left="116" w:right="99"/>
              <w:rPr>
                <w:rFonts w:ascii="Times New Roman" w:eastAsia="Times New Roman"/>
                <w:sz w:val="18"/>
              </w:rPr>
            </w:pPr>
            <w:r>
              <w:rPr>
                <w:rFonts w:ascii="Times New Roman" w:eastAsia="Times New Roman"/>
                <w:sz w:val="18"/>
              </w:rPr>
              <w:t>5 </w:t>
            </w:r>
            <w:r>
              <w:rPr>
                <w:sz w:val="18"/>
              </w:rPr>
              <w:t>万 </w:t>
            </w:r>
            <w:r>
              <w:rPr>
                <w:rFonts w:ascii="Times New Roman" w:eastAsia="Times New Roman"/>
                <w:sz w:val="18"/>
              </w:rPr>
              <w:t>t/a</w:t>
            </w:r>
          </w:p>
        </w:tc>
        <w:tc>
          <w:tcPr>
            <w:tcW w:w="2680" w:type="dxa"/>
          </w:tcPr>
          <w:p>
            <w:pPr>
              <w:pStyle w:val="TableParagraph"/>
              <w:spacing w:before="130"/>
              <w:ind w:left="17"/>
              <w:rPr>
                <w:rFonts w:ascii="Times New Roman"/>
                <w:sz w:val="18"/>
              </w:rPr>
            </w:pPr>
            <w:r>
              <w:rPr>
                <w:rFonts w:ascii="Times New Roman"/>
                <w:sz w:val="18"/>
              </w:rPr>
              <w:t>/</w:t>
            </w:r>
          </w:p>
        </w:tc>
        <w:tc>
          <w:tcPr>
            <w:tcW w:w="963" w:type="dxa"/>
          </w:tcPr>
          <w:p>
            <w:pPr>
              <w:pStyle w:val="TableParagraph"/>
              <w:ind w:left="51" w:right="34"/>
              <w:rPr>
                <w:sz w:val="18"/>
              </w:rPr>
            </w:pPr>
            <w:r>
              <w:rPr>
                <w:sz w:val="18"/>
              </w:rPr>
              <w:t>已基本建</w:t>
            </w:r>
          </w:p>
          <w:p>
            <w:pPr>
              <w:pStyle w:val="TableParagraph"/>
              <w:spacing w:line="215" w:lineRule="exact" w:before="2"/>
              <w:ind w:left="19"/>
              <w:rPr>
                <w:sz w:val="18"/>
              </w:rPr>
            </w:pPr>
            <w:r>
              <w:rPr>
                <w:sz w:val="18"/>
              </w:rPr>
              <w:t>成</w:t>
            </w:r>
          </w:p>
        </w:tc>
      </w:tr>
    </w:tbl>
    <w:p>
      <w:pPr>
        <w:pStyle w:val="BodyText"/>
        <w:spacing w:before="2"/>
        <w:ind w:left="698"/>
      </w:pPr>
      <w:r>
        <w:rPr/>
        <w:t>绍兴市上虞众联环保有限公司年贮存处置工业固废 </w:t>
      </w:r>
      <w:r>
        <w:rPr>
          <w:rFonts w:ascii="Times New Roman" w:eastAsia="Times New Roman"/>
        </w:rPr>
        <w:t>5.5 </w:t>
      </w:r>
      <w:r>
        <w:rPr/>
        <w:t>万吨项目设计工业固废年填</w:t>
      </w:r>
    </w:p>
    <w:p>
      <w:pPr>
        <w:pStyle w:val="BodyText"/>
        <w:spacing w:before="158"/>
        <w:ind w:right="311"/>
        <w:jc w:val="right"/>
      </w:pPr>
      <w:r>
        <w:rPr>
          <w:spacing w:val="-16"/>
        </w:rPr>
        <w:t>埋量为 </w:t>
      </w:r>
      <w:r>
        <w:rPr>
          <w:rFonts w:ascii="Times New Roman" w:eastAsia="Times New Roman"/>
        </w:rPr>
        <w:t>5.1 </w:t>
      </w:r>
      <w:r>
        <w:rPr>
          <w:spacing w:val="-30"/>
        </w:rPr>
        <w:t>万 </w:t>
      </w:r>
      <w:r>
        <w:rPr>
          <w:rFonts w:ascii="Times New Roman" w:eastAsia="Times New Roman"/>
        </w:rPr>
        <w:t>m</w:t>
      </w:r>
      <w:r>
        <w:rPr>
          <w:rFonts w:ascii="Times New Roman" w:eastAsia="Times New Roman"/>
          <w:position w:val="9"/>
          <w:sz w:val="16"/>
        </w:rPr>
        <w:t>3</w:t>
      </w:r>
      <w:r>
        <w:rPr>
          <w:spacing w:val="-6"/>
        </w:rPr>
        <w:t>，工业固废填埋总库容为 </w:t>
      </w:r>
      <w:r>
        <w:rPr>
          <w:rFonts w:ascii="Times New Roman" w:eastAsia="Times New Roman"/>
        </w:rPr>
        <w:t>51 </w:t>
      </w:r>
      <w:r>
        <w:rPr>
          <w:spacing w:val="-30"/>
        </w:rPr>
        <w:t>万 </w:t>
      </w:r>
      <w:r>
        <w:rPr>
          <w:rFonts w:ascii="Times New Roman" w:eastAsia="Times New Roman"/>
        </w:rPr>
        <w:t>m</w:t>
      </w:r>
      <w:r>
        <w:rPr>
          <w:rFonts w:ascii="Times New Roman" w:eastAsia="Times New Roman"/>
          <w:position w:val="9"/>
          <w:sz w:val="16"/>
        </w:rPr>
        <w:t>3</w:t>
      </w:r>
      <w:r>
        <w:rPr>
          <w:spacing w:val="-6"/>
        </w:rPr>
        <w:t>，设计工业固废填埋年限为 </w:t>
      </w:r>
      <w:r>
        <w:rPr>
          <w:rFonts w:ascii="Times New Roman" w:eastAsia="Times New Roman"/>
        </w:rPr>
        <w:t>10 </w:t>
      </w:r>
      <w:r>
        <w:rPr/>
        <w:t>年。</w:t>
      </w:r>
    </w:p>
    <w:p>
      <w:pPr>
        <w:pStyle w:val="BodyText"/>
        <w:spacing w:before="161"/>
        <w:ind w:right="234"/>
        <w:jc w:val="right"/>
        <w:rPr>
          <w:rFonts w:ascii="Times New Roman" w:eastAsia="Times New Roman"/>
        </w:rPr>
      </w:pPr>
      <w:r>
        <w:rPr/>
        <w:t>年贮存处置 </w:t>
      </w:r>
      <w:r>
        <w:rPr>
          <w:rFonts w:ascii="Times New Roman" w:eastAsia="Times New Roman"/>
        </w:rPr>
        <w:t>3 </w:t>
      </w:r>
      <w:r>
        <w:rPr/>
        <w:t>万吨危险固废项目设计危险废物安全填埋场总面积 </w:t>
      </w:r>
      <w:r>
        <w:rPr>
          <w:rFonts w:ascii="Times New Roman" w:eastAsia="Times New Roman"/>
        </w:rPr>
        <w:t>59 </w:t>
      </w:r>
      <w:r>
        <w:rPr/>
        <w:t>亩，处置规模 </w:t>
      </w:r>
      <w:r>
        <w:rPr>
          <w:rFonts w:ascii="Times New Roman" w:eastAsia="Times New Roman"/>
        </w:rPr>
        <w:t>3</w:t>
      </w:r>
    </w:p>
    <w:p>
      <w:pPr>
        <w:pStyle w:val="BodyText"/>
        <w:spacing w:before="158"/>
        <w:ind w:left="218"/>
      </w:pPr>
      <w:r>
        <w:rPr/>
        <w:t>万 </w:t>
      </w:r>
      <w:r>
        <w:rPr>
          <w:rFonts w:ascii="Times New Roman" w:eastAsia="Times New Roman"/>
        </w:rPr>
        <w:t>t/a</w:t>
      </w:r>
      <w:r>
        <w:rPr/>
        <w:t>。</w:t>
      </w:r>
    </w:p>
    <w:p>
      <w:pPr>
        <w:spacing w:after="0"/>
        <w:sectPr>
          <w:pgSz w:w="11910" w:h="16840"/>
          <w:pgMar w:header="874" w:footer="944" w:top="1340" w:bottom="1140" w:left="1200" w:right="1180"/>
        </w:sectPr>
      </w:pPr>
    </w:p>
    <w:p>
      <w:pPr>
        <w:pStyle w:val="BodyText"/>
        <w:spacing w:line="364" w:lineRule="auto" w:before="66"/>
        <w:ind w:left="218" w:right="115" w:firstLine="480"/>
      </w:pPr>
      <w:r>
        <w:rPr>
          <w:spacing w:val="-11"/>
        </w:rPr>
        <w:t>年焚烧处置 </w:t>
      </w:r>
      <w:r>
        <w:rPr>
          <w:rFonts w:ascii="Times New Roman" w:eastAsia="Times New Roman"/>
        </w:rPr>
        <w:t>9000 </w:t>
      </w:r>
      <w:r>
        <w:rPr>
          <w:spacing w:val="-4"/>
        </w:rPr>
        <w:t>吨危险废物项目建设一套处理能力 </w:t>
      </w:r>
      <w:r>
        <w:rPr>
          <w:rFonts w:ascii="Times New Roman" w:eastAsia="Times New Roman"/>
        </w:rPr>
        <w:t>50t/d </w:t>
      </w:r>
      <w:r>
        <w:rPr>
          <w:spacing w:val="-7"/>
        </w:rPr>
        <w:t>的危险废物焚烧设施，处</w:t>
      </w:r>
      <w:r>
        <w:rPr>
          <w:spacing w:val="-17"/>
        </w:rPr>
        <w:t>置危险废物 </w:t>
      </w:r>
      <w:r>
        <w:rPr>
          <w:rFonts w:ascii="Times New Roman" w:eastAsia="Times New Roman"/>
        </w:rPr>
        <w:t>9000t/a</w:t>
      </w:r>
      <w:r>
        <w:rPr>
          <w:spacing w:val="-12"/>
        </w:rPr>
        <w:t>。该项目经营范围有 </w:t>
      </w:r>
      <w:r>
        <w:rPr>
          <w:rFonts w:ascii="Times New Roman" w:eastAsia="Times New Roman"/>
        </w:rPr>
        <w:t>HW02 </w:t>
      </w:r>
      <w:r>
        <w:rPr>
          <w:spacing w:val="-8"/>
        </w:rPr>
        <w:t>医药废物、</w:t>
      </w:r>
      <w:r>
        <w:rPr>
          <w:rFonts w:ascii="Times New Roman" w:eastAsia="Times New Roman"/>
        </w:rPr>
        <w:t>HW04 </w:t>
      </w:r>
      <w:r>
        <w:rPr>
          <w:spacing w:val="-8"/>
        </w:rPr>
        <w:t>农药废物、</w:t>
      </w:r>
      <w:r>
        <w:rPr>
          <w:rFonts w:ascii="Times New Roman" w:eastAsia="Times New Roman"/>
        </w:rPr>
        <w:t>HW05 </w:t>
      </w:r>
      <w:r>
        <w:rPr/>
        <w:t>木材防腐剂废物、</w:t>
      </w:r>
      <w:r>
        <w:rPr>
          <w:rFonts w:ascii="Times New Roman" w:eastAsia="Times New Roman"/>
        </w:rPr>
        <w:t>HW12 </w:t>
      </w:r>
      <w:r>
        <w:rPr/>
        <w:t>染料、涂料废物、</w:t>
      </w:r>
      <w:r>
        <w:rPr>
          <w:rFonts w:ascii="Times New Roman" w:eastAsia="Times New Roman"/>
        </w:rPr>
        <w:t>HW13 </w:t>
      </w:r>
      <w:r>
        <w:rPr/>
        <w:t>有机树脂类废物、</w:t>
      </w:r>
      <w:r>
        <w:rPr>
          <w:rFonts w:ascii="Times New Roman" w:eastAsia="Times New Roman"/>
        </w:rPr>
        <w:t>HW16 </w:t>
      </w:r>
      <w:r>
        <w:rPr/>
        <w:t>感光材料废物、</w:t>
      </w:r>
      <w:r>
        <w:rPr>
          <w:rFonts w:ascii="Times New Roman" w:eastAsia="Times New Roman"/>
        </w:rPr>
        <w:t>HW17 </w:t>
      </w:r>
      <w:r>
        <w:rPr/>
        <w:t>表面处理废物、</w:t>
      </w:r>
      <w:r>
        <w:rPr>
          <w:rFonts w:ascii="Times New Roman" w:eastAsia="Times New Roman"/>
        </w:rPr>
        <w:t>HW18 </w:t>
      </w:r>
      <w:r>
        <w:rPr/>
        <w:t>焚烧处置残渣、</w:t>
      </w:r>
      <w:r>
        <w:rPr>
          <w:rFonts w:ascii="Times New Roman" w:eastAsia="Times New Roman"/>
        </w:rPr>
        <w:t>HW19 </w:t>
      </w:r>
      <w:r>
        <w:rPr/>
        <w:t>含金属羰基化合物、</w:t>
      </w:r>
      <w:r>
        <w:rPr>
          <w:rFonts w:ascii="Times New Roman" w:eastAsia="Times New Roman"/>
        </w:rPr>
        <w:t>HW20 </w:t>
      </w:r>
      <w:r>
        <w:rPr/>
        <w:t>含铍废物、</w:t>
      </w:r>
      <w:r>
        <w:rPr>
          <w:rFonts w:ascii="Times New Roman" w:eastAsia="Times New Roman"/>
        </w:rPr>
        <w:t>HW21 </w:t>
      </w:r>
      <w:r>
        <w:rPr/>
        <w:t>含铬废物、</w:t>
      </w:r>
      <w:r>
        <w:rPr>
          <w:rFonts w:ascii="Times New Roman" w:eastAsia="Times New Roman"/>
        </w:rPr>
        <w:t>HW22 </w:t>
      </w:r>
      <w:r>
        <w:rPr/>
        <w:t>含铜废物、</w:t>
      </w:r>
      <w:r>
        <w:rPr>
          <w:rFonts w:ascii="Times New Roman" w:eastAsia="Times New Roman"/>
        </w:rPr>
        <w:t>HW23 </w:t>
      </w:r>
      <w:r>
        <w:rPr/>
        <w:t>含锌废物、</w:t>
      </w:r>
      <w:r>
        <w:rPr>
          <w:rFonts w:ascii="Times New Roman" w:eastAsia="Times New Roman"/>
        </w:rPr>
        <w:t>HW24 </w:t>
      </w:r>
      <w:r>
        <w:rPr/>
        <w:t>含砷废物、</w:t>
      </w:r>
      <w:r>
        <w:rPr>
          <w:rFonts w:ascii="Times New Roman" w:eastAsia="Times New Roman"/>
        </w:rPr>
        <w:t>HW25 </w:t>
      </w:r>
      <w:r>
        <w:rPr/>
        <w:t>含</w:t>
      </w:r>
      <w:r>
        <w:rPr>
          <w:spacing w:val="-7"/>
        </w:rPr>
        <w:t>硒废物、</w:t>
      </w:r>
      <w:r>
        <w:rPr>
          <w:rFonts w:ascii="Times New Roman" w:eastAsia="Times New Roman"/>
        </w:rPr>
        <w:t>HW26 </w:t>
      </w:r>
      <w:r>
        <w:rPr>
          <w:spacing w:val="-6"/>
        </w:rPr>
        <w:t>含镉废物、</w:t>
      </w:r>
      <w:r>
        <w:rPr>
          <w:rFonts w:ascii="Times New Roman" w:eastAsia="Times New Roman"/>
        </w:rPr>
        <w:t>HW27 </w:t>
      </w:r>
      <w:r>
        <w:rPr>
          <w:spacing w:val="-5"/>
        </w:rPr>
        <w:t>含锑废物、</w:t>
      </w:r>
      <w:r>
        <w:rPr>
          <w:rFonts w:ascii="Times New Roman" w:eastAsia="Times New Roman"/>
        </w:rPr>
        <w:t>HW28 </w:t>
      </w:r>
      <w:r>
        <w:rPr>
          <w:spacing w:val="-6"/>
        </w:rPr>
        <w:t>含碲废物、</w:t>
      </w:r>
      <w:r>
        <w:rPr>
          <w:rFonts w:ascii="Times New Roman" w:eastAsia="Times New Roman"/>
        </w:rPr>
        <w:t>HW30 </w:t>
      </w:r>
      <w:r>
        <w:rPr>
          <w:spacing w:val="-6"/>
        </w:rPr>
        <w:t>含砣废物、</w:t>
      </w:r>
      <w:r>
        <w:rPr>
          <w:rFonts w:ascii="Times New Roman" w:eastAsia="Times New Roman"/>
        </w:rPr>
        <w:t>HW31 </w:t>
      </w:r>
      <w:r>
        <w:rPr/>
        <w:t>含铅废物、</w:t>
      </w:r>
      <w:r>
        <w:rPr>
          <w:rFonts w:ascii="Times New Roman" w:eastAsia="Times New Roman"/>
        </w:rPr>
        <w:t>HW32 </w:t>
      </w:r>
      <w:r>
        <w:rPr/>
        <w:t>无机氟化物废物、</w:t>
      </w:r>
      <w:r>
        <w:rPr>
          <w:rFonts w:ascii="Times New Roman" w:eastAsia="Times New Roman"/>
        </w:rPr>
        <w:t>HW33 </w:t>
      </w:r>
      <w:r>
        <w:rPr/>
        <w:t>无机氰化物废物、</w:t>
      </w:r>
      <w:r>
        <w:rPr>
          <w:rFonts w:ascii="Times New Roman" w:eastAsia="Times New Roman"/>
        </w:rPr>
        <w:t>HW36 </w:t>
      </w:r>
      <w:r>
        <w:rPr/>
        <w:t>石棉废物、</w:t>
      </w:r>
      <w:r>
        <w:rPr>
          <w:rFonts w:ascii="Times New Roman" w:eastAsia="Times New Roman"/>
        </w:rPr>
        <w:t>HW37 </w:t>
      </w:r>
      <w:r>
        <w:rPr/>
        <w:t>有机磷化合物废物、</w:t>
      </w:r>
      <w:r>
        <w:rPr>
          <w:rFonts w:ascii="Times New Roman" w:eastAsia="Times New Roman"/>
        </w:rPr>
        <w:t>HW38 </w:t>
      </w:r>
      <w:r>
        <w:rPr/>
        <w:t>有机氰化物废物、</w:t>
      </w:r>
      <w:r>
        <w:rPr>
          <w:rFonts w:ascii="Times New Roman" w:eastAsia="Times New Roman"/>
        </w:rPr>
        <w:t>HW40 </w:t>
      </w:r>
      <w:r>
        <w:rPr/>
        <w:t>含醚废物、</w:t>
      </w:r>
      <w:r>
        <w:rPr>
          <w:rFonts w:ascii="Times New Roman" w:eastAsia="Times New Roman"/>
        </w:rPr>
        <w:t>HW06 </w:t>
      </w:r>
      <w:r>
        <w:rPr/>
        <w:t>废有机溶剂与含</w:t>
      </w:r>
      <w:r>
        <w:rPr>
          <w:spacing w:val="-6"/>
        </w:rPr>
        <w:t>有机溶剂废物、</w:t>
      </w:r>
      <w:r>
        <w:rPr>
          <w:rFonts w:ascii="Times New Roman" w:eastAsia="Times New Roman"/>
        </w:rPr>
        <w:t>HW45 </w:t>
      </w:r>
      <w:r>
        <w:rPr>
          <w:spacing w:val="-4"/>
        </w:rPr>
        <w:t>含有机卤化物废物、</w:t>
      </w:r>
      <w:r>
        <w:rPr>
          <w:rFonts w:ascii="Times New Roman" w:eastAsia="Times New Roman"/>
        </w:rPr>
        <w:t>HW46 </w:t>
      </w:r>
      <w:r>
        <w:rPr>
          <w:spacing w:val="-8"/>
        </w:rPr>
        <w:t>含镍废物、</w:t>
      </w:r>
      <w:r>
        <w:rPr>
          <w:rFonts w:ascii="Times New Roman" w:eastAsia="Times New Roman"/>
        </w:rPr>
        <w:t>HW48 </w:t>
      </w:r>
      <w:r>
        <w:rPr>
          <w:spacing w:val="-2"/>
        </w:rPr>
        <w:t>有色金属冶炼废物、</w:t>
      </w:r>
      <w:r>
        <w:rPr>
          <w:rFonts w:ascii="Times New Roman" w:eastAsia="Times New Roman"/>
        </w:rPr>
        <w:t>HW49 </w:t>
      </w:r>
      <w:r>
        <w:rPr/>
        <w:t>其他废物、</w:t>
      </w:r>
      <w:r>
        <w:rPr>
          <w:rFonts w:ascii="Times New Roman" w:eastAsia="Times New Roman"/>
        </w:rPr>
        <w:t>HW </w:t>
      </w:r>
      <w:r>
        <w:rPr/>
        <w:t>废催化剂。</w:t>
      </w:r>
    </w:p>
    <w:p>
      <w:pPr>
        <w:pStyle w:val="BodyText"/>
        <w:spacing w:line="364" w:lineRule="auto"/>
        <w:ind w:left="218" w:right="172" w:firstLine="480"/>
      </w:pPr>
      <w:r>
        <w:rPr/>
        <w:t>年安全处置 </w:t>
      </w:r>
      <w:r>
        <w:rPr>
          <w:rFonts w:ascii="Times New Roman" w:eastAsia="Times New Roman"/>
        </w:rPr>
        <w:t>6 </w:t>
      </w:r>
      <w:r>
        <w:rPr/>
        <w:t>万吨危险废物项目设计建成一座库容为 </w:t>
      </w:r>
      <w:r>
        <w:rPr>
          <w:rFonts w:ascii="Times New Roman" w:eastAsia="Times New Roman"/>
        </w:rPr>
        <w:t>60 </w:t>
      </w:r>
      <w:r>
        <w:rPr/>
        <w:t>万立方米的危险废物安全处置填埋场，处置危险废物 </w:t>
      </w:r>
      <w:r>
        <w:rPr>
          <w:rFonts w:ascii="Times New Roman" w:eastAsia="Times New Roman"/>
        </w:rPr>
        <w:t>60000t/a</w:t>
      </w:r>
      <w:r>
        <w:rPr/>
        <w:t>，使用年限 </w:t>
      </w:r>
      <w:r>
        <w:rPr>
          <w:rFonts w:ascii="Times New Roman" w:eastAsia="Times New Roman"/>
        </w:rPr>
        <w:t>10 </w:t>
      </w:r>
      <w:r>
        <w:rPr/>
        <w:t>年。</w:t>
      </w:r>
    </w:p>
    <w:p>
      <w:pPr>
        <w:pStyle w:val="BodyText"/>
        <w:spacing w:line="306" w:lineRule="exact"/>
        <w:ind w:left="698"/>
      </w:pPr>
      <w:r>
        <w:rPr>
          <w:rFonts w:ascii="Times New Roman" w:hAnsi="Times New Roman" w:eastAsia="Times New Roman"/>
        </w:rPr>
        <w:t>2017</w:t>
      </w:r>
      <w:r>
        <w:rPr>
          <w:rFonts w:ascii="Times New Roman" w:hAnsi="Times New Roman" w:eastAsia="Times New Roman"/>
          <w:spacing w:val="25"/>
        </w:rPr>
        <w:t> </w:t>
      </w:r>
      <w:r>
        <w:rPr>
          <w:spacing w:val="-4"/>
        </w:rPr>
        <w:t>年众联环保又在现有 </w:t>
      </w:r>
      <w:r>
        <w:rPr>
          <w:rFonts w:ascii="Times New Roman" w:hAnsi="Times New Roman" w:eastAsia="Times New Roman"/>
        </w:rPr>
        <w:t>9000</w:t>
      </w:r>
      <w:r>
        <w:rPr>
          <w:rFonts w:ascii="Times New Roman" w:hAnsi="Times New Roman" w:eastAsia="Times New Roman"/>
          <w:spacing w:val="26"/>
        </w:rPr>
        <w:t> </w:t>
      </w:r>
      <w:r>
        <w:rPr/>
        <w:t>吨</w:t>
      </w:r>
      <w:r>
        <w:rPr>
          <w:rFonts w:ascii="Times New Roman" w:hAnsi="Times New Roman" w:eastAsia="Times New Roman"/>
        </w:rPr>
        <w:t>/</w:t>
      </w:r>
      <w:r>
        <w:rPr>
          <w:spacing w:val="-1"/>
        </w:rPr>
        <w:t>年危险废物焚烧项目预留用地内实施</w:t>
      </w:r>
      <w:r>
        <w:rPr>
          <w:rFonts w:ascii="Times New Roman" w:hAnsi="Times New Roman" w:eastAsia="Times New Roman"/>
        </w:rPr>
        <w:t>“</w:t>
      </w:r>
      <w:r>
        <w:rPr/>
        <w:t>年焚烧处</w:t>
      </w:r>
    </w:p>
    <w:p>
      <w:pPr>
        <w:pStyle w:val="BodyText"/>
        <w:spacing w:before="155"/>
        <w:ind w:left="218"/>
        <w:jc w:val="both"/>
      </w:pPr>
      <w:r>
        <w:rPr>
          <w:spacing w:val="-10"/>
        </w:rPr>
        <w:t>置 </w:t>
      </w:r>
      <w:r>
        <w:rPr>
          <w:rFonts w:ascii="Times New Roman" w:hAnsi="Times New Roman" w:eastAsia="Times New Roman"/>
        </w:rPr>
        <w:t>21000</w:t>
      </w:r>
      <w:r>
        <w:rPr>
          <w:rFonts w:ascii="Times New Roman" w:hAnsi="Times New Roman" w:eastAsia="Times New Roman"/>
          <w:spacing w:val="41"/>
        </w:rPr>
        <w:t> </w:t>
      </w:r>
      <w:r>
        <w:rPr/>
        <w:t>吨危险废物项目</w:t>
      </w:r>
      <w:r>
        <w:rPr>
          <w:rFonts w:ascii="Times New Roman" w:hAnsi="Times New Roman" w:eastAsia="Times New Roman"/>
        </w:rPr>
        <w:t>”</w:t>
      </w:r>
      <w:r>
        <w:rPr/>
        <w:t>。该项目的实施，将众联公司年焚烧处置危险废物规模由原</w:t>
      </w:r>
    </w:p>
    <w:p>
      <w:pPr>
        <w:pStyle w:val="BodyText"/>
        <w:spacing w:line="364" w:lineRule="auto" w:before="159"/>
        <w:ind w:left="218" w:right="230"/>
        <w:jc w:val="both"/>
      </w:pPr>
      <w:r>
        <w:rPr>
          <w:rFonts w:ascii="Times New Roman" w:eastAsia="Times New Roman"/>
        </w:rPr>
        <w:t>9000</w:t>
      </w:r>
      <w:r>
        <w:rPr>
          <w:rFonts w:ascii="Times New Roman" w:eastAsia="Times New Roman"/>
          <w:spacing w:val="-1"/>
        </w:rPr>
        <w:t> </w:t>
      </w:r>
      <w:r>
        <w:rPr/>
        <w:t>吨</w:t>
      </w:r>
      <w:r>
        <w:rPr>
          <w:rFonts w:ascii="Times New Roman" w:eastAsia="Times New Roman"/>
        </w:rPr>
        <w:t>/</w:t>
      </w:r>
      <w:r>
        <w:rPr>
          <w:spacing w:val="-10"/>
        </w:rPr>
        <w:t>年，提升至 </w:t>
      </w:r>
      <w:r>
        <w:rPr>
          <w:rFonts w:ascii="Times New Roman" w:eastAsia="Times New Roman"/>
        </w:rPr>
        <w:t>30000 </w:t>
      </w:r>
      <w:r>
        <w:rPr/>
        <w:t>吨</w:t>
      </w:r>
      <w:r>
        <w:rPr>
          <w:rFonts w:ascii="Times New Roman" w:eastAsia="Times New Roman"/>
        </w:rPr>
        <w:t>/</w:t>
      </w:r>
      <w:r>
        <w:rPr>
          <w:spacing w:val="-1"/>
        </w:rPr>
        <w:t>年，以保障杭州湾地区的危险废物处置，同时满足《浙江</w:t>
      </w:r>
      <w:r>
        <w:rPr/>
        <w:t>省危险废物集中处置设施建设规划（</w:t>
      </w:r>
      <w:r>
        <w:rPr>
          <w:rFonts w:ascii="Times New Roman" w:eastAsia="Times New Roman"/>
        </w:rPr>
        <w:t>2015~2020</w:t>
      </w:r>
      <w:r>
        <w:rPr>
          <w:rFonts w:ascii="Times New Roman" w:eastAsia="Times New Roman"/>
          <w:spacing w:val="47"/>
        </w:rPr>
        <w:t> </w:t>
      </w:r>
      <w:r>
        <w:rPr/>
        <w:t>年</w:t>
      </w:r>
      <w:r>
        <w:rPr>
          <w:spacing w:val="-118"/>
        </w:rPr>
        <w:t>）</w:t>
      </w:r>
      <w:r>
        <w:rPr/>
        <w:t>》中众联公司累计总焚烧处置规模</w:t>
      </w:r>
      <w:r>
        <w:rPr>
          <w:rFonts w:ascii="Times New Roman" w:eastAsia="Times New Roman"/>
        </w:rPr>
        <w:t>30000</w:t>
      </w:r>
      <w:r>
        <w:rPr>
          <w:rFonts w:ascii="Times New Roman" w:eastAsia="Times New Roman"/>
          <w:spacing w:val="-1"/>
        </w:rPr>
        <w:t> </w:t>
      </w:r>
      <w:r>
        <w:rPr>
          <w:spacing w:val="-14"/>
        </w:rPr>
        <w:t>吨的要求。该项目于 </w:t>
      </w:r>
      <w:r>
        <w:rPr>
          <w:rFonts w:ascii="Times New Roman" w:eastAsia="Times New Roman"/>
        </w:rPr>
        <w:t>2017 </w:t>
      </w:r>
      <w:r>
        <w:rPr>
          <w:spacing w:val="-30"/>
        </w:rPr>
        <w:t>年 </w:t>
      </w:r>
      <w:r>
        <w:rPr>
          <w:rFonts w:ascii="Times New Roman" w:eastAsia="Times New Roman"/>
        </w:rPr>
        <w:t>10 </w:t>
      </w:r>
      <w:r>
        <w:rPr>
          <w:spacing w:val="-30"/>
        </w:rPr>
        <w:t>月 </w:t>
      </w:r>
      <w:r>
        <w:rPr>
          <w:rFonts w:ascii="Times New Roman" w:eastAsia="Times New Roman"/>
        </w:rPr>
        <w:t>31 </w:t>
      </w:r>
      <w:r>
        <w:rPr>
          <w:spacing w:val="-4"/>
        </w:rPr>
        <w:t>日获得原绍兴市上虞区环保局环评批复</w:t>
      </w:r>
      <w:r>
        <w:rPr/>
        <w:t>（虞</w:t>
      </w:r>
    </w:p>
    <w:p>
      <w:pPr>
        <w:pStyle w:val="BodyText"/>
        <w:spacing w:line="362" w:lineRule="auto"/>
        <w:ind w:left="218" w:right="234"/>
        <w:jc w:val="both"/>
      </w:pPr>
      <w:r>
        <w:rPr/>
        <w:t>环审</w:t>
      </w:r>
      <w:r>
        <w:rPr>
          <w:rFonts w:ascii="Times New Roman" w:eastAsia="Times New Roman"/>
        </w:rPr>
        <w:t>[201</w:t>
      </w:r>
      <w:r>
        <w:rPr>
          <w:rFonts w:ascii="Times New Roman" w:eastAsia="Times New Roman"/>
          <w:spacing w:val="-1"/>
        </w:rPr>
        <w:t>7</w:t>
      </w:r>
      <w:r>
        <w:rPr>
          <w:rFonts w:ascii="Times New Roman" w:eastAsia="Times New Roman"/>
        </w:rPr>
        <w:t>]281 </w:t>
      </w:r>
      <w:r>
        <w:rPr/>
        <w:t>号</w:t>
      </w:r>
      <w:r>
        <w:rPr>
          <w:spacing w:val="-120"/>
        </w:rPr>
        <w:t>）</w:t>
      </w:r>
      <w:r>
        <w:rPr>
          <w:spacing w:val="-11"/>
        </w:rPr>
        <w:t>，并于 </w:t>
      </w:r>
      <w:r>
        <w:rPr>
          <w:rFonts w:ascii="Times New Roman" w:eastAsia="Times New Roman"/>
        </w:rPr>
        <w:t>2019 </w:t>
      </w:r>
      <w:r>
        <w:rPr>
          <w:spacing w:val="-22"/>
        </w:rPr>
        <w:t>年 </w:t>
      </w:r>
      <w:r>
        <w:rPr>
          <w:rFonts w:ascii="Times New Roman" w:eastAsia="Times New Roman"/>
        </w:rPr>
        <w:t>3 </w:t>
      </w:r>
      <w:r>
        <w:rPr>
          <w:spacing w:val="-1"/>
        </w:rPr>
        <w:t>月完成了环保竣工验收</w:t>
      </w:r>
      <w:r>
        <w:rPr/>
        <w:t>（</w:t>
      </w:r>
      <w:r>
        <w:rPr>
          <w:spacing w:val="-2"/>
        </w:rPr>
        <w:t>固废验收文号为虞环建验</w:t>
      </w:r>
      <w:r>
        <w:rPr/>
        <w:t>园</w:t>
      </w:r>
      <w:r>
        <w:rPr>
          <w:rFonts w:ascii="Times New Roman" w:eastAsia="Times New Roman"/>
        </w:rPr>
        <w:t>[2019]8 </w:t>
      </w:r>
      <w:r>
        <w:rPr/>
        <w:t>号</w:t>
      </w:r>
      <w:r>
        <w:rPr>
          <w:spacing w:val="-120"/>
        </w:rPr>
        <w:t>）。</w:t>
      </w:r>
    </w:p>
    <w:p>
      <w:pPr>
        <w:pStyle w:val="BodyText"/>
        <w:spacing w:before="4"/>
        <w:ind w:left="698"/>
        <w:jc w:val="both"/>
      </w:pPr>
      <w:r>
        <w:rPr>
          <w:rFonts w:ascii="Times New Roman" w:hAnsi="Times New Roman" w:eastAsia="Times New Roman"/>
        </w:rPr>
        <w:t>2018</w:t>
      </w:r>
      <w:r>
        <w:rPr>
          <w:rFonts w:ascii="Times New Roman" w:hAnsi="Times New Roman" w:eastAsia="Times New Roman"/>
          <w:spacing w:val="59"/>
        </w:rPr>
        <w:t> </w:t>
      </w:r>
      <w:r>
        <w:rPr>
          <w:spacing w:val="-3"/>
        </w:rPr>
        <w:t>年，众联环保拟在原有项目基础上建设</w:t>
      </w:r>
      <w:r>
        <w:rPr>
          <w:rFonts w:ascii="Times New Roman" w:hAnsi="Times New Roman" w:eastAsia="Times New Roman"/>
        </w:rPr>
        <w:t>“</w:t>
      </w:r>
      <w:r>
        <w:rPr/>
        <w:t>工业废物综合处置项目</w:t>
      </w:r>
      <w:r>
        <w:rPr>
          <w:rFonts w:ascii="Times New Roman" w:hAnsi="Times New Roman" w:eastAsia="Times New Roman"/>
          <w:spacing w:val="-7"/>
        </w:rPr>
        <w:t>”</w:t>
      </w:r>
      <w:r>
        <w:rPr>
          <w:spacing w:val="-3"/>
        </w:rPr>
        <w:t>， 该项目的</w:t>
      </w:r>
    </w:p>
    <w:p>
      <w:pPr>
        <w:pStyle w:val="BodyText"/>
        <w:spacing w:before="158"/>
        <w:ind w:left="218"/>
        <w:jc w:val="both"/>
      </w:pPr>
      <w:r>
        <w:rPr>
          <w:spacing w:val="-3"/>
        </w:rPr>
        <w:t>设计规模为处置一般工业固体废物 </w:t>
      </w:r>
      <w:r>
        <w:rPr>
          <w:rFonts w:ascii="Times New Roman" w:eastAsia="Times New Roman"/>
        </w:rPr>
        <w:t>6.0</w:t>
      </w:r>
      <w:r>
        <w:rPr>
          <w:rFonts w:ascii="Times New Roman" w:eastAsia="Times New Roman"/>
          <w:spacing w:val="16"/>
        </w:rPr>
        <w:t> </w:t>
      </w:r>
      <w:r>
        <w:rPr/>
        <w:t>万吨</w:t>
      </w:r>
      <w:r>
        <w:rPr>
          <w:rFonts w:ascii="Times New Roman" w:eastAsia="Times New Roman"/>
        </w:rPr>
        <w:t>/</w:t>
      </w:r>
      <w:r>
        <w:rPr>
          <w:spacing w:val="-6"/>
        </w:rPr>
        <w:t>年，处置设计年限不小于 </w:t>
      </w:r>
      <w:r>
        <w:rPr>
          <w:rFonts w:ascii="Times New Roman" w:eastAsia="Times New Roman"/>
        </w:rPr>
        <w:t>10</w:t>
      </w:r>
      <w:r>
        <w:rPr>
          <w:rFonts w:ascii="Times New Roman" w:eastAsia="Times New Roman"/>
          <w:spacing w:val="16"/>
        </w:rPr>
        <w:t> </w:t>
      </w:r>
      <w:r>
        <w:rPr/>
        <w:t>年；处置危险</w:t>
      </w:r>
    </w:p>
    <w:p>
      <w:pPr>
        <w:pStyle w:val="BodyText"/>
        <w:spacing w:before="161"/>
        <w:ind w:left="218"/>
        <w:jc w:val="both"/>
      </w:pPr>
      <w:r>
        <w:rPr>
          <w:spacing w:val="-21"/>
        </w:rPr>
        <w:t>废物 </w:t>
      </w:r>
      <w:r>
        <w:rPr>
          <w:rFonts w:ascii="Times New Roman" w:hAnsi="Times New Roman" w:eastAsia="Times New Roman"/>
        </w:rPr>
        <w:t>6 </w:t>
      </w:r>
      <w:r>
        <w:rPr/>
        <w:t>万吨</w:t>
      </w:r>
      <w:r>
        <w:rPr>
          <w:rFonts w:ascii="Times New Roman" w:hAnsi="Times New Roman" w:eastAsia="Times New Roman"/>
        </w:rPr>
        <w:t>/</w:t>
      </w:r>
      <w:r>
        <w:rPr>
          <w:spacing w:val="-13"/>
        </w:rPr>
        <w:t>年，确保原审批的</w:t>
      </w:r>
      <w:r>
        <w:rPr>
          <w:rFonts w:ascii="Times New Roman" w:hAnsi="Times New Roman" w:eastAsia="Times New Roman"/>
        </w:rPr>
        <w:t>“</w:t>
      </w:r>
      <w:r>
        <w:rPr>
          <w:spacing w:val="-10"/>
        </w:rPr>
        <w:t>年安全处置 </w:t>
      </w:r>
      <w:r>
        <w:rPr>
          <w:rFonts w:ascii="Times New Roman" w:hAnsi="Times New Roman" w:eastAsia="Times New Roman"/>
        </w:rPr>
        <w:t>6 </w:t>
      </w:r>
      <w:r>
        <w:rPr/>
        <w:t>万吨危险废物项目</w:t>
      </w:r>
      <w:r>
        <w:rPr>
          <w:rFonts w:ascii="Times New Roman" w:hAnsi="Times New Roman" w:eastAsia="Times New Roman"/>
        </w:rPr>
        <w:t>”</w:t>
      </w:r>
      <w:r>
        <w:rPr>
          <w:spacing w:val="-8"/>
        </w:rPr>
        <w:t>使用年限可达到 </w:t>
      </w:r>
      <w:r>
        <w:rPr>
          <w:rFonts w:ascii="Times New Roman" w:hAnsi="Times New Roman" w:eastAsia="Times New Roman"/>
        </w:rPr>
        <w:t>10 </w:t>
      </w:r>
      <w:r>
        <w:rPr/>
        <w:t>年。</w:t>
      </w:r>
    </w:p>
    <w:p>
      <w:pPr>
        <w:pStyle w:val="BodyText"/>
        <w:spacing w:before="160"/>
        <w:ind w:left="218"/>
        <w:jc w:val="both"/>
        <w:rPr>
          <w:rFonts w:ascii="Times New Roman" w:eastAsia="Times New Roman"/>
        </w:rPr>
      </w:pPr>
      <w:r>
        <w:rPr/>
        <w:t>该项目于 </w:t>
      </w:r>
      <w:r>
        <w:rPr>
          <w:rFonts w:ascii="Times New Roman" w:eastAsia="Times New Roman"/>
        </w:rPr>
        <w:t>2018 </w:t>
      </w:r>
      <w:r>
        <w:rPr/>
        <w:t>年 </w:t>
      </w:r>
      <w:r>
        <w:rPr>
          <w:rFonts w:ascii="Times New Roman" w:eastAsia="Times New Roman"/>
        </w:rPr>
        <w:t>9 </w:t>
      </w:r>
      <w:r>
        <w:rPr/>
        <w:t>月 </w:t>
      </w:r>
      <w:r>
        <w:rPr>
          <w:rFonts w:ascii="Times New Roman" w:eastAsia="Times New Roman"/>
        </w:rPr>
        <w:t>4 </w:t>
      </w:r>
      <w:r>
        <w:rPr/>
        <w:t>日获得原绍兴市上虞区环保局环评批复（虞环审（</w:t>
      </w:r>
      <w:r>
        <w:rPr>
          <w:rFonts w:ascii="Times New Roman" w:eastAsia="Times New Roman"/>
        </w:rPr>
        <w:t>2018</w:t>
      </w:r>
      <w:r>
        <w:rPr/>
        <w:t>）</w:t>
      </w:r>
      <w:r>
        <w:rPr>
          <w:rFonts w:ascii="Times New Roman" w:eastAsia="Times New Roman"/>
        </w:rPr>
        <w:t>216</w:t>
      </w:r>
    </w:p>
    <w:p>
      <w:pPr>
        <w:pStyle w:val="BodyText"/>
        <w:spacing w:line="364" w:lineRule="auto" w:before="159"/>
        <w:ind w:left="218" w:right="235"/>
        <w:jc w:val="both"/>
      </w:pPr>
      <w:r>
        <w:rPr/>
        <w:t>号</w:t>
      </w:r>
      <w:r>
        <w:rPr>
          <w:spacing w:val="-120"/>
        </w:rPr>
        <w:t>）</w:t>
      </w:r>
      <w:r>
        <w:rPr>
          <w:spacing w:val="-11"/>
        </w:rPr>
        <w:t>，其中一期、二期项目于 </w:t>
      </w:r>
      <w:r>
        <w:rPr>
          <w:rFonts w:ascii="Times New Roman" w:eastAsia="Times New Roman"/>
        </w:rPr>
        <w:t>2020 </w:t>
      </w:r>
      <w:r>
        <w:rPr>
          <w:spacing w:val="-30"/>
        </w:rPr>
        <w:t>年 </w:t>
      </w:r>
      <w:r>
        <w:rPr>
          <w:rFonts w:ascii="Times New Roman" w:eastAsia="Times New Roman"/>
        </w:rPr>
        <w:t>8 </w:t>
      </w:r>
      <w:r>
        <w:rPr>
          <w:spacing w:val="-2"/>
        </w:rPr>
        <w:t>月完成了环保竣工验收</w:t>
      </w:r>
      <w:r>
        <w:rPr/>
        <w:t>（</w:t>
      </w:r>
      <w:r>
        <w:rPr>
          <w:spacing w:val="-2"/>
        </w:rPr>
        <w:t>固废验收文号为虞环建</w:t>
      </w:r>
      <w:r>
        <w:rPr/>
        <w:t>验园（</w:t>
      </w:r>
      <w:r>
        <w:rPr>
          <w:rFonts w:ascii="Times New Roman" w:eastAsia="Times New Roman"/>
        </w:rPr>
        <w:t>2020</w:t>
      </w:r>
      <w:r>
        <w:rPr/>
        <w:t>）</w:t>
      </w:r>
      <w:r>
        <w:rPr>
          <w:rFonts w:ascii="Times New Roman" w:eastAsia="Times New Roman"/>
        </w:rPr>
        <w:t>30 </w:t>
      </w:r>
      <w:r>
        <w:rPr/>
        <w:t>号</w:t>
      </w:r>
      <w:r>
        <w:rPr>
          <w:spacing w:val="-120"/>
        </w:rPr>
        <w:t>）</w:t>
      </w:r>
      <w:r>
        <w:rPr/>
        <w:t>。</w:t>
      </w:r>
    </w:p>
    <w:p>
      <w:pPr>
        <w:pStyle w:val="BodyText"/>
        <w:spacing w:line="364" w:lineRule="auto"/>
        <w:ind w:left="218" w:right="234" w:firstLine="480"/>
        <w:jc w:val="both"/>
      </w:pPr>
      <w:r>
        <w:rPr>
          <w:rFonts w:ascii="Times New Roman" w:hAnsi="Times New Roman" w:eastAsia="Times New Roman"/>
        </w:rPr>
        <w:t>2020 </w:t>
      </w:r>
      <w:r>
        <w:rPr>
          <w:spacing w:val="-13"/>
        </w:rPr>
        <w:t>年，绍兴市上虞众联环保有限公司租用浙江新尊节能建材有限公司一号厂房一</w:t>
      </w:r>
      <w:r>
        <w:rPr/>
        <w:t>楼现有厂房实施</w:t>
      </w:r>
      <w:r>
        <w:rPr>
          <w:rFonts w:ascii="Times New Roman" w:hAnsi="Times New Roman" w:eastAsia="Times New Roman"/>
        </w:rPr>
        <w:t>“</w:t>
      </w:r>
      <w:r>
        <w:rPr/>
        <w:t>绍兴市上虞众联环保有限公司危险废物暂存库项目</w:t>
      </w:r>
      <w:r>
        <w:rPr>
          <w:rFonts w:ascii="Times New Roman" w:hAnsi="Times New Roman" w:eastAsia="Times New Roman"/>
          <w:spacing w:val="-13"/>
        </w:rPr>
        <w:t>”</w:t>
      </w:r>
      <w:r>
        <w:rPr>
          <w:spacing w:val="-6"/>
        </w:rPr>
        <w:t>，建设一座危险废</w:t>
      </w:r>
      <w:r>
        <w:rPr>
          <w:spacing w:val="-3"/>
        </w:rPr>
        <w:t>物暂存库，项目建成后形成最大存储危险废物 </w:t>
      </w:r>
      <w:r>
        <w:rPr>
          <w:rFonts w:ascii="Times New Roman" w:hAnsi="Times New Roman" w:eastAsia="Times New Roman"/>
        </w:rPr>
        <w:t>1.56 </w:t>
      </w:r>
      <w:r>
        <w:rPr>
          <w:spacing w:val="-5"/>
        </w:rPr>
        <w:t>万吨的仓储能力。该项目于 </w:t>
      </w:r>
      <w:r>
        <w:rPr>
          <w:rFonts w:ascii="Times New Roman" w:hAnsi="Times New Roman" w:eastAsia="Times New Roman"/>
        </w:rPr>
        <w:t>2020 </w:t>
      </w:r>
      <w:r>
        <w:rPr>
          <w:spacing w:val="-15"/>
        </w:rPr>
        <w:t>年</w:t>
      </w:r>
    </w:p>
    <w:p>
      <w:pPr>
        <w:pStyle w:val="BodyText"/>
        <w:spacing w:line="362" w:lineRule="auto"/>
        <w:ind w:left="218" w:right="235"/>
        <w:jc w:val="both"/>
      </w:pPr>
      <w:r>
        <w:rPr>
          <w:rFonts w:ascii="Times New Roman" w:eastAsia="Times New Roman"/>
        </w:rPr>
        <w:t>8 </w:t>
      </w:r>
      <w:r>
        <w:rPr>
          <w:spacing w:val="-1"/>
        </w:rPr>
        <w:t>月获得绍兴市生态环境局上虞分局环评批复</w:t>
      </w:r>
      <w:r>
        <w:rPr/>
        <w:t>（</w:t>
      </w:r>
      <w:r>
        <w:rPr>
          <w:spacing w:val="-4"/>
        </w:rPr>
        <w:t>虞环审</w:t>
      </w:r>
      <w:r>
        <w:rPr/>
        <w:t>（</w:t>
      </w:r>
      <w:r>
        <w:rPr>
          <w:rFonts w:ascii="Times New Roman" w:eastAsia="Times New Roman"/>
        </w:rPr>
        <w:t>2020</w:t>
      </w:r>
      <w:r>
        <w:rPr>
          <w:spacing w:val="-12"/>
        </w:rPr>
        <w:t>）</w:t>
      </w:r>
      <w:r>
        <w:rPr>
          <w:rFonts w:ascii="Times New Roman" w:eastAsia="Times New Roman"/>
        </w:rPr>
        <w:t>137 </w:t>
      </w:r>
      <w:r>
        <w:rPr/>
        <w:t>号</w:t>
      </w:r>
      <w:r>
        <w:rPr>
          <w:spacing w:val="-120"/>
        </w:rPr>
        <w:t>）</w:t>
      </w:r>
      <w:r>
        <w:rPr>
          <w:spacing w:val="-5"/>
        </w:rPr>
        <w:t>，目前处于建设</w:t>
      </w:r>
      <w:r>
        <w:rPr/>
        <w:t>调试阶段。</w:t>
      </w:r>
    </w:p>
    <w:p>
      <w:pPr>
        <w:spacing w:after="0" w:line="362" w:lineRule="auto"/>
        <w:jc w:val="both"/>
        <w:sectPr>
          <w:pgSz w:w="11910" w:h="16840"/>
          <w:pgMar w:header="874" w:footer="944" w:top="1340" w:bottom="1140" w:left="1200" w:right="1180"/>
        </w:sectPr>
      </w:pPr>
    </w:p>
    <w:p>
      <w:pPr>
        <w:pStyle w:val="BodyText"/>
        <w:spacing w:line="364" w:lineRule="auto" w:before="66"/>
        <w:ind w:left="218" w:right="230" w:firstLine="480"/>
        <w:jc w:val="both"/>
      </w:pPr>
      <w:r>
        <w:rPr>
          <w:rFonts w:ascii="Times New Roman" w:hAnsi="Times New Roman" w:eastAsia="Times New Roman"/>
        </w:rPr>
        <w:t>2020</w:t>
      </w:r>
      <w:r>
        <w:rPr>
          <w:rFonts w:ascii="Times New Roman" w:hAnsi="Times New Roman" w:eastAsia="Times New Roman"/>
          <w:spacing w:val="9"/>
        </w:rPr>
        <w:t> </w:t>
      </w:r>
      <w:r>
        <w:rPr/>
        <w:t>年，众联环保拟在现有厂区内实施“</w:t>
      </w:r>
      <w:r>
        <w:rPr>
          <w:rFonts w:ascii="Times New Roman" w:hAnsi="Times New Roman" w:eastAsia="Times New Roman"/>
        </w:rPr>
        <w:t>5</w:t>
      </w:r>
      <w:r>
        <w:rPr>
          <w:rFonts w:ascii="Times New Roman" w:hAnsi="Times New Roman" w:eastAsia="Times New Roman"/>
          <w:spacing w:val="9"/>
        </w:rPr>
        <w:t> </w:t>
      </w:r>
      <w:r>
        <w:rPr>
          <w:spacing w:val="-25"/>
        </w:rPr>
        <w:t>万 </w:t>
      </w:r>
      <w:r>
        <w:rPr>
          <w:rFonts w:ascii="Times New Roman" w:hAnsi="Times New Roman" w:eastAsia="Times New Roman"/>
        </w:rPr>
        <w:t>ta</w:t>
      </w:r>
      <w:r>
        <w:rPr>
          <w:rFonts w:ascii="Times New Roman" w:hAnsi="Times New Roman" w:eastAsia="Times New Roman"/>
          <w:spacing w:val="8"/>
        </w:rPr>
        <w:t> </w:t>
      </w:r>
      <w:r>
        <w:rPr>
          <w:spacing w:val="-8"/>
        </w:rPr>
        <w:t>工业废盐和 </w:t>
      </w:r>
      <w:r>
        <w:rPr>
          <w:rFonts w:ascii="Times New Roman" w:hAnsi="Times New Roman" w:eastAsia="Times New Roman"/>
        </w:rPr>
        <w:t>6</w:t>
      </w:r>
      <w:r>
        <w:rPr>
          <w:rFonts w:ascii="Times New Roman" w:hAnsi="Times New Roman" w:eastAsia="Times New Roman"/>
          <w:spacing w:val="9"/>
        </w:rPr>
        <w:t> </w:t>
      </w:r>
      <w:r>
        <w:rPr>
          <w:spacing w:val="-26"/>
        </w:rPr>
        <w:t>万 </w:t>
      </w:r>
      <w:r>
        <w:rPr>
          <w:rFonts w:ascii="Times New Roman" w:hAnsi="Times New Roman" w:eastAsia="Times New Roman"/>
        </w:rPr>
        <w:t>ta</w:t>
      </w:r>
      <w:r>
        <w:rPr>
          <w:rFonts w:ascii="Times New Roman" w:hAnsi="Times New Roman" w:eastAsia="Times New Roman"/>
          <w:spacing w:val="8"/>
        </w:rPr>
        <w:t> </w:t>
      </w:r>
      <w:r>
        <w:rPr/>
        <w:t>废硫酸处置及</w:t>
      </w:r>
      <w:r>
        <w:rPr>
          <w:spacing w:val="-10"/>
        </w:rPr>
        <w:t>资源化利用项目”，项目拟一次规划、分步实施。一阶段，企业拟新建两套工业废盐无害化处理及利用装置</w:t>
      </w:r>
      <w:r>
        <w:rPr/>
        <w:t>（分两期实施</w:t>
      </w:r>
      <w:r>
        <w:rPr>
          <w:rFonts w:ascii="Times New Roman" w:hAnsi="Times New Roman" w:eastAsia="Times New Roman"/>
        </w:rPr>
        <w:t>)</w:t>
      </w:r>
      <w:r>
        <w:rPr>
          <w:spacing w:val="-5"/>
        </w:rPr>
        <w:t>，对氯化钠、硫酸钠比例较高的 </w:t>
      </w:r>
      <w:r>
        <w:rPr>
          <w:rFonts w:ascii="Times New Roman" w:hAnsi="Times New Roman" w:eastAsia="Times New Roman"/>
        </w:rPr>
        <w:t>3</w:t>
      </w:r>
      <w:r>
        <w:rPr>
          <w:rFonts w:ascii="Times New Roman" w:hAnsi="Times New Roman" w:eastAsia="Times New Roman"/>
          <w:spacing w:val="-1"/>
        </w:rPr>
        <w:t> </w:t>
      </w:r>
      <w:r>
        <w:rPr>
          <w:spacing w:val="-31"/>
        </w:rPr>
        <w:t>万 </w:t>
      </w:r>
      <w:r>
        <w:rPr>
          <w:rFonts w:ascii="Times New Roman" w:hAnsi="Times New Roman" w:eastAsia="Times New Roman"/>
        </w:rPr>
        <w:t>t/a</w:t>
      </w:r>
      <w:r>
        <w:rPr>
          <w:rFonts w:ascii="Times New Roman" w:hAnsi="Times New Roman" w:eastAsia="Times New Roman"/>
          <w:spacing w:val="-2"/>
        </w:rPr>
        <w:t> </w:t>
      </w:r>
      <w:r>
        <w:rPr>
          <w:spacing w:val="-3"/>
        </w:rPr>
        <w:t>废盐进行资</w:t>
      </w:r>
      <w:r>
        <w:rPr>
          <w:spacing w:val="-5"/>
        </w:rPr>
        <w:t>源化利用，同时利用 </w:t>
      </w:r>
      <w:r>
        <w:rPr>
          <w:rFonts w:ascii="Times New Roman" w:hAnsi="Times New Roman" w:eastAsia="Times New Roman"/>
        </w:rPr>
        <w:t>3.8</w:t>
      </w:r>
      <w:r>
        <w:rPr>
          <w:rFonts w:ascii="Times New Roman" w:hAnsi="Times New Roman" w:eastAsia="Times New Roman"/>
          <w:spacing w:val="17"/>
        </w:rPr>
        <w:t> </w:t>
      </w:r>
      <w:r>
        <w:rPr>
          <w:spacing w:val="-22"/>
        </w:rPr>
        <w:t>万 </w:t>
      </w:r>
      <w:r>
        <w:rPr>
          <w:rFonts w:ascii="Times New Roman" w:hAnsi="Times New Roman" w:eastAsia="Times New Roman"/>
        </w:rPr>
        <w:t>ta</w:t>
      </w:r>
      <w:r>
        <w:rPr>
          <w:rFonts w:ascii="Times New Roman" w:hAnsi="Times New Roman" w:eastAsia="Times New Roman"/>
          <w:spacing w:val="14"/>
        </w:rPr>
        <w:t> </w:t>
      </w:r>
      <w:r>
        <w:rPr/>
        <w:t>废硫酸（</w:t>
      </w:r>
      <w:r>
        <w:rPr>
          <w:spacing w:val="-8"/>
        </w:rPr>
        <w:t>平均浓度约 </w:t>
      </w:r>
      <w:r>
        <w:rPr>
          <w:rFonts w:ascii="Times New Roman" w:hAnsi="Times New Roman" w:eastAsia="Times New Roman"/>
        </w:rPr>
        <w:t>60%)</w:t>
      </w:r>
      <w:r>
        <w:rPr/>
        <w:t>﹔</w:t>
      </w:r>
      <w:r>
        <w:rPr>
          <w:spacing w:val="-5"/>
        </w:rPr>
        <w:t>新建总处置能力为 </w:t>
      </w:r>
      <w:r>
        <w:rPr>
          <w:rFonts w:ascii="Times New Roman" w:hAnsi="Times New Roman" w:eastAsia="Times New Roman"/>
        </w:rPr>
        <w:t>30</w:t>
      </w:r>
      <w:r>
        <w:rPr>
          <w:rFonts w:ascii="Times New Roman" w:hAnsi="Times New Roman" w:eastAsia="Times New Roman"/>
          <w:spacing w:val="15"/>
        </w:rPr>
        <w:t> </w:t>
      </w:r>
      <w:r>
        <w:rPr>
          <w:spacing w:val="-22"/>
        </w:rPr>
        <w:t>万 </w:t>
      </w:r>
      <w:r>
        <w:rPr>
          <w:rFonts w:ascii="Times New Roman" w:hAnsi="Times New Roman" w:eastAsia="Times New Roman"/>
        </w:rPr>
        <w:t>m</w:t>
      </w:r>
      <w:r>
        <w:rPr>
          <w:rFonts w:ascii="Times New Roman" w:hAnsi="Times New Roman" w:eastAsia="Times New Roman"/>
          <w:position w:val="9"/>
          <w:sz w:val="16"/>
        </w:rPr>
        <w:t>3 </w:t>
      </w:r>
      <w:r>
        <w:rPr>
          <w:spacing w:val="-9"/>
        </w:rPr>
        <w:t>的刚性填埋场 </w:t>
      </w:r>
      <w:r>
        <w:rPr>
          <w:rFonts w:ascii="Times New Roman" w:hAnsi="Times New Roman" w:eastAsia="Times New Roman"/>
        </w:rPr>
        <w:t>1</w:t>
      </w:r>
      <w:r>
        <w:rPr>
          <w:rFonts w:ascii="Times New Roman" w:hAnsi="Times New Roman" w:eastAsia="Times New Roman"/>
          <w:spacing w:val="2"/>
        </w:rPr>
        <w:t> </w:t>
      </w:r>
      <w:r>
        <w:rPr/>
        <w:t>座</w:t>
      </w:r>
      <w:r>
        <w:rPr>
          <w:rFonts w:ascii="Times New Roman" w:hAnsi="Times New Roman" w:eastAsia="Times New Roman"/>
        </w:rPr>
        <w:t>,</w:t>
      </w:r>
      <w:r>
        <w:rPr>
          <w:spacing w:val="-3"/>
        </w:rPr>
        <w:t>用于处置暂无资源化利用价值的工业废盐。目前该项目己于 </w:t>
      </w:r>
      <w:r>
        <w:rPr>
          <w:rFonts w:ascii="Times New Roman" w:hAnsi="Times New Roman" w:eastAsia="Times New Roman"/>
        </w:rPr>
        <w:t>2021</w:t>
      </w:r>
      <w:r>
        <w:rPr>
          <w:rFonts w:ascii="Times New Roman" w:hAnsi="Times New Roman" w:eastAsia="Times New Roman"/>
          <w:spacing w:val="3"/>
        </w:rPr>
        <w:t> </w:t>
      </w:r>
      <w:r>
        <w:rPr>
          <w:spacing w:val="-12"/>
        </w:rPr>
        <w:t>年</w:t>
      </w:r>
    </w:p>
    <w:p>
      <w:pPr>
        <w:pStyle w:val="BodyText"/>
        <w:spacing w:line="364" w:lineRule="auto"/>
        <w:ind w:left="218" w:right="232"/>
        <w:jc w:val="both"/>
      </w:pPr>
      <w:r>
        <w:rPr>
          <w:rFonts w:ascii="Times New Roman" w:eastAsia="Times New Roman"/>
        </w:rPr>
        <w:t>1 </w:t>
      </w:r>
      <w:r>
        <w:rPr>
          <w:spacing w:val="-30"/>
        </w:rPr>
        <w:t>月 </w:t>
      </w:r>
      <w:r>
        <w:rPr>
          <w:rFonts w:ascii="Times New Roman" w:eastAsia="Times New Roman"/>
        </w:rPr>
        <w:t>28 </w:t>
      </w:r>
      <w:r>
        <w:rPr>
          <w:spacing w:val="-3"/>
        </w:rPr>
        <w:t>日获绍兴市生态环境局环评批复</w:t>
      </w:r>
      <w:r>
        <w:rPr/>
        <w:t>（</w:t>
      </w:r>
      <w:r>
        <w:rPr>
          <w:spacing w:val="-10"/>
        </w:rPr>
        <w:t>虞环审</w:t>
      </w:r>
      <w:r>
        <w:rPr/>
        <w:t>（</w:t>
      </w:r>
      <w:r>
        <w:rPr>
          <w:rFonts w:ascii="Times New Roman" w:eastAsia="Times New Roman"/>
        </w:rPr>
        <w:t>2021)15 </w:t>
      </w:r>
      <w:r>
        <w:rPr/>
        <w:t>号</w:t>
      </w:r>
      <w:r>
        <w:rPr>
          <w:rFonts w:ascii="Times New Roman" w:eastAsia="Times New Roman"/>
        </w:rPr>
        <w:t>)</w:t>
      </w:r>
      <w:r>
        <w:rPr>
          <w:spacing w:val="-7"/>
        </w:rPr>
        <w:t>。目前刚性填埋场已基本</w:t>
      </w:r>
      <w:r>
        <w:rPr/>
        <w:t>建成，废盐废硫酸处置及资源化项目正在建设中。</w:t>
      </w:r>
    </w:p>
    <w:p>
      <w:pPr>
        <w:spacing w:after="0" w:line="364" w:lineRule="auto"/>
        <w:jc w:val="both"/>
        <w:sectPr>
          <w:pgSz w:w="11910" w:h="16840"/>
          <w:pgMar w:header="874" w:footer="944" w:top="1340" w:bottom="1140" w:left="1200" w:right="1180"/>
        </w:sectPr>
      </w:pPr>
    </w:p>
    <w:p>
      <w:pPr>
        <w:pStyle w:val="Heading2"/>
        <w:numPr>
          <w:ilvl w:val="0"/>
          <w:numId w:val="13"/>
        </w:numPr>
        <w:tabs>
          <w:tab w:pos="445" w:val="left" w:leader="none"/>
        </w:tabs>
        <w:spacing w:line="240" w:lineRule="auto" w:before="64" w:after="0"/>
        <w:ind w:left="444" w:right="0" w:hanging="227"/>
        <w:jc w:val="left"/>
      </w:pPr>
      <w:bookmarkStart w:name="_bookmark14" w:id="29"/>
      <w:bookmarkEnd w:id="29"/>
      <w:r>
        <w:rPr>
          <w:b w:val="0"/>
        </w:rPr>
      </w:r>
      <w:bookmarkStart w:name="_bookmark14" w:id="30"/>
      <w:bookmarkEnd w:id="30"/>
      <w:r>
        <w:rPr/>
        <w:t>现有企业工程分析</w:t>
      </w:r>
    </w:p>
    <w:p>
      <w:pPr>
        <w:pStyle w:val="Heading3"/>
        <w:numPr>
          <w:ilvl w:val="1"/>
          <w:numId w:val="13"/>
        </w:numPr>
        <w:tabs>
          <w:tab w:pos="781" w:val="left" w:leader="none"/>
        </w:tabs>
        <w:spacing w:line="240" w:lineRule="auto" w:before="200" w:after="0"/>
        <w:ind w:left="780" w:right="0" w:hanging="421"/>
        <w:jc w:val="left"/>
      </w:pPr>
      <w:bookmarkStart w:name="_bookmark15" w:id="31"/>
      <w:bookmarkEnd w:id="31"/>
      <w:r>
        <w:rPr>
          <w:b w:val="0"/>
        </w:rPr>
      </w:r>
      <w:bookmarkStart w:name="_bookmark15" w:id="32"/>
      <w:bookmarkEnd w:id="32"/>
      <w:r>
        <w:rPr/>
        <w:t>评价思路</w:t>
      </w:r>
    </w:p>
    <w:p>
      <w:pPr>
        <w:pStyle w:val="BodyText"/>
        <w:spacing w:line="362" w:lineRule="auto" w:before="185"/>
        <w:ind w:left="218" w:right="172" w:firstLine="480"/>
      </w:pPr>
      <w:r>
        <w:rPr/>
        <w:t>绍兴贝斯美化工股份有限公司现有厂区（西区）位于杭州湾上虞经济技术开发区经十一路，现有已审批项目均位于该厂区，具体审批、验收及现状情况详见表 </w:t>
      </w:r>
      <w:r>
        <w:rPr>
          <w:rFonts w:ascii="Times New Roman" w:eastAsia="Times New Roman"/>
        </w:rPr>
        <w:t>3.2-1</w:t>
      </w:r>
      <w:r>
        <w:rPr/>
        <w:t>。</w:t>
      </w:r>
    </w:p>
    <w:p>
      <w:pPr>
        <w:pStyle w:val="BodyText"/>
        <w:spacing w:line="364" w:lineRule="auto" w:before="5"/>
        <w:ind w:left="218" w:right="115" w:firstLine="480"/>
      </w:pPr>
      <w:r>
        <w:rPr>
          <w:spacing w:val="-1"/>
        </w:rPr>
        <w:t>本环评针对已批验收正常生产项目主要采用现有环评报告及批复、</w:t>
      </w:r>
      <w:r>
        <w:rPr>
          <w:rFonts w:ascii="Times New Roman" w:hAnsi="Times New Roman" w:eastAsia="Times New Roman"/>
        </w:rPr>
        <w:t>“</w:t>
      </w:r>
      <w:r>
        <w:rPr/>
        <w:t>三同时</w:t>
      </w:r>
      <w:r>
        <w:rPr>
          <w:rFonts w:ascii="Times New Roman" w:hAnsi="Times New Roman" w:eastAsia="Times New Roman"/>
        </w:rPr>
        <w:t>”</w:t>
      </w:r>
      <w:r>
        <w:rPr/>
        <w:t>验收监</w:t>
      </w:r>
      <w:r>
        <w:rPr>
          <w:spacing w:val="-6"/>
        </w:rPr>
        <w:t>测资料、整治提升后情况及现场调查情况对现有企业作简要说明；停产项目根据《绍兴</w:t>
      </w:r>
      <w:r>
        <w:rPr>
          <w:spacing w:val="-8"/>
        </w:rPr>
        <w:t>贝斯美化工股份有限公司 </w:t>
      </w:r>
      <w:r>
        <w:rPr>
          <w:rFonts w:ascii="Times New Roman" w:hAnsi="Times New Roman" w:eastAsia="Times New Roman"/>
        </w:rPr>
        <w:t>8000</w:t>
      </w:r>
      <w:r>
        <w:rPr>
          <w:rFonts w:ascii="Times New Roman" w:hAnsi="Times New Roman" w:eastAsia="Times New Roman"/>
          <w:spacing w:val="32"/>
        </w:rPr>
        <w:t> </w:t>
      </w:r>
      <w:r>
        <w:rPr/>
        <w:t>吨</w:t>
      </w:r>
      <w:r>
        <w:rPr>
          <w:rFonts w:ascii="Times New Roman" w:hAnsi="Times New Roman" w:eastAsia="Times New Roman"/>
        </w:rPr>
        <w:t>/</w:t>
      </w:r>
      <w:r>
        <w:rPr>
          <w:spacing w:val="-14"/>
        </w:rPr>
        <w:t>年 </w:t>
      </w:r>
      <w:r>
        <w:rPr>
          <w:rFonts w:ascii="Times New Roman" w:hAnsi="Times New Roman" w:eastAsia="Times New Roman"/>
        </w:rPr>
        <w:t>4-</w:t>
      </w:r>
      <w:r>
        <w:rPr>
          <w:spacing w:val="-2"/>
        </w:rPr>
        <w:t>硝基邻二甲苯、</w:t>
      </w:r>
      <w:r>
        <w:rPr>
          <w:rFonts w:ascii="Times New Roman" w:hAnsi="Times New Roman" w:eastAsia="Times New Roman"/>
        </w:rPr>
        <w:t>6000</w:t>
      </w:r>
      <w:r>
        <w:rPr>
          <w:rFonts w:ascii="Times New Roman" w:hAnsi="Times New Roman" w:eastAsia="Times New Roman"/>
          <w:spacing w:val="32"/>
        </w:rPr>
        <w:t> </w:t>
      </w:r>
      <w:r>
        <w:rPr/>
        <w:t>吨</w:t>
      </w:r>
      <w:r>
        <w:rPr>
          <w:rFonts w:ascii="Times New Roman" w:hAnsi="Times New Roman" w:eastAsia="Times New Roman"/>
        </w:rPr>
        <w:t>/</w:t>
      </w:r>
      <w:r>
        <w:rPr>
          <w:spacing w:val="-15"/>
        </w:rPr>
        <w:t>年 </w:t>
      </w:r>
      <w:r>
        <w:rPr>
          <w:rFonts w:ascii="Times New Roman" w:hAnsi="Times New Roman" w:eastAsia="Times New Roman"/>
        </w:rPr>
        <w:t>N-(1-</w:t>
      </w:r>
      <w:r>
        <w:rPr/>
        <w:t>乙基丙基</w:t>
      </w:r>
      <w:r>
        <w:rPr>
          <w:rFonts w:ascii="Times New Roman" w:hAnsi="Times New Roman" w:eastAsia="Times New Roman"/>
        </w:rPr>
        <w:t>)-3,4- </w:t>
      </w:r>
      <w:r>
        <w:rPr>
          <w:spacing w:val="-8"/>
        </w:rPr>
        <w:t>二甲基苯胺、</w:t>
      </w:r>
      <w:r>
        <w:rPr>
          <w:rFonts w:ascii="Times New Roman" w:hAnsi="Times New Roman" w:eastAsia="Times New Roman"/>
        </w:rPr>
        <w:t>4000</w:t>
      </w:r>
      <w:r>
        <w:rPr>
          <w:rFonts w:ascii="Times New Roman" w:hAnsi="Times New Roman" w:eastAsia="Times New Roman"/>
          <w:spacing w:val="-1"/>
        </w:rPr>
        <w:t> </w:t>
      </w:r>
      <w:r>
        <w:rPr/>
        <w:t>吨</w:t>
      </w:r>
      <w:r>
        <w:rPr>
          <w:rFonts w:ascii="Times New Roman" w:hAnsi="Times New Roman" w:eastAsia="Times New Roman"/>
        </w:rPr>
        <w:t>/</w:t>
      </w:r>
      <w:r>
        <w:rPr>
          <w:spacing w:val="-30"/>
        </w:rPr>
        <w:t>年 </w:t>
      </w:r>
      <w:r>
        <w:rPr>
          <w:rFonts w:ascii="Times New Roman" w:hAnsi="Times New Roman" w:eastAsia="Times New Roman"/>
        </w:rPr>
        <w:t>2,3-</w:t>
      </w:r>
      <w:r>
        <w:rPr>
          <w:spacing w:val="-3"/>
        </w:rPr>
        <w:t>二甲基苯胺技改项目环境影响报告书</w:t>
      </w:r>
      <w:r>
        <w:rPr/>
        <w:t>（报批稿</w:t>
      </w:r>
      <w:r>
        <w:rPr>
          <w:spacing w:val="-120"/>
        </w:rPr>
        <w:t>）</w:t>
      </w:r>
      <w:r>
        <w:rPr>
          <w:spacing w:val="-11"/>
        </w:rPr>
        <w:t>》进行分析； </w:t>
      </w:r>
      <w:r>
        <w:rPr/>
        <w:t>部分项目已淘汰，本环评将不再进行分析。</w:t>
      </w:r>
    </w:p>
    <w:p>
      <w:pPr>
        <w:pStyle w:val="Heading3"/>
        <w:numPr>
          <w:ilvl w:val="1"/>
          <w:numId w:val="13"/>
        </w:numPr>
        <w:tabs>
          <w:tab w:pos="781" w:val="left" w:leader="none"/>
        </w:tabs>
        <w:spacing w:line="358" w:lineRule="exact" w:before="0" w:after="0"/>
        <w:ind w:left="780" w:right="0" w:hanging="421"/>
        <w:jc w:val="left"/>
      </w:pPr>
      <w:bookmarkStart w:name="_bookmark16" w:id="33"/>
      <w:bookmarkEnd w:id="33"/>
      <w:r>
        <w:rPr>
          <w:b w:val="0"/>
        </w:rPr>
      </w:r>
      <w:bookmarkStart w:name="_bookmark16" w:id="34"/>
      <w:bookmarkEnd w:id="34"/>
      <w:r>
        <w:rPr/>
        <w:t>现有企业基本概况</w:t>
      </w:r>
    </w:p>
    <w:p>
      <w:pPr>
        <w:pStyle w:val="Heading4"/>
        <w:spacing w:before="185"/>
        <w:ind w:left="691"/>
      </w:pPr>
      <w:r>
        <w:rPr>
          <w:rFonts w:ascii="Times New Roman" w:eastAsia="Times New Roman"/>
        </w:rPr>
        <w:t>1</w:t>
      </w:r>
      <w:r>
        <w:rPr/>
        <w:t>、产品方案</w:t>
      </w:r>
    </w:p>
    <w:p>
      <w:pPr>
        <w:pStyle w:val="BodyText"/>
        <w:spacing w:line="364" w:lineRule="auto" w:before="158"/>
        <w:ind w:left="218" w:right="229" w:firstLine="470"/>
      </w:pPr>
      <w:r>
        <w:rPr>
          <w:spacing w:val="2"/>
        </w:rPr>
        <w:t>现有项目均位于企业现有厂区（西区</w:t>
      </w:r>
      <w:r>
        <w:rPr>
          <w:spacing w:val="-118"/>
        </w:rPr>
        <w:t>）</w:t>
      </w:r>
      <w:r>
        <w:rPr>
          <w:spacing w:val="1"/>
        </w:rPr>
        <w:t>，具体审批、验收情况及现状情况如下表所示。</w:t>
      </w:r>
    </w:p>
    <w:p>
      <w:pPr>
        <w:pStyle w:val="Heading4"/>
        <w:tabs>
          <w:tab w:pos="3708" w:val="left" w:leader="none"/>
        </w:tabs>
        <w:spacing w:before="141" w:after="28"/>
        <w:ind w:left="2666"/>
      </w:pPr>
      <w:r>
        <w:rPr/>
        <w:t>表</w:t>
      </w:r>
      <w:r>
        <w:rPr>
          <w:spacing w:val="-59"/>
        </w:rPr>
        <w:t> </w:t>
      </w:r>
      <w:r>
        <w:rPr>
          <w:rFonts w:ascii="Times New Roman" w:eastAsia="Times New Roman"/>
        </w:rPr>
        <w:t>3.2-1</w:t>
        <w:tab/>
      </w:r>
      <w:r>
        <w:rPr/>
        <w:t>企业已批产品方案及验收情况</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
        <w:gridCol w:w="2132"/>
        <w:gridCol w:w="425"/>
        <w:gridCol w:w="1135"/>
        <w:gridCol w:w="847"/>
        <w:gridCol w:w="852"/>
        <w:gridCol w:w="1416"/>
        <w:gridCol w:w="853"/>
        <w:gridCol w:w="958"/>
      </w:tblGrid>
      <w:tr>
        <w:trPr>
          <w:trHeight w:val="467" w:hRule="atLeast"/>
        </w:trPr>
        <w:tc>
          <w:tcPr>
            <w:tcW w:w="672" w:type="dxa"/>
          </w:tcPr>
          <w:p>
            <w:pPr>
              <w:pStyle w:val="TableParagraph"/>
              <w:ind w:left="153"/>
              <w:jc w:val="left"/>
              <w:rPr>
                <w:b/>
                <w:sz w:val="18"/>
              </w:rPr>
            </w:pPr>
            <w:r>
              <w:rPr>
                <w:b/>
                <w:sz w:val="18"/>
              </w:rPr>
              <w:t>所在</w:t>
            </w:r>
          </w:p>
          <w:p>
            <w:pPr>
              <w:pStyle w:val="TableParagraph"/>
              <w:spacing w:line="213" w:lineRule="exact" w:before="4"/>
              <w:ind w:left="153"/>
              <w:jc w:val="left"/>
              <w:rPr>
                <w:b/>
                <w:sz w:val="18"/>
              </w:rPr>
            </w:pPr>
            <w:r>
              <w:rPr>
                <w:b/>
                <w:sz w:val="18"/>
              </w:rPr>
              <w:t>车间</w:t>
            </w:r>
          </w:p>
        </w:tc>
        <w:tc>
          <w:tcPr>
            <w:tcW w:w="2132" w:type="dxa"/>
          </w:tcPr>
          <w:p>
            <w:pPr>
              <w:pStyle w:val="TableParagraph"/>
              <w:spacing w:before="117"/>
              <w:ind w:left="702"/>
              <w:jc w:val="left"/>
              <w:rPr>
                <w:b/>
                <w:sz w:val="18"/>
              </w:rPr>
            </w:pPr>
            <w:r>
              <w:rPr>
                <w:b/>
                <w:sz w:val="18"/>
              </w:rPr>
              <w:t>项目名称</w:t>
            </w:r>
          </w:p>
        </w:tc>
        <w:tc>
          <w:tcPr>
            <w:tcW w:w="1560" w:type="dxa"/>
            <w:gridSpan w:val="2"/>
          </w:tcPr>
          <w:p>
            <w:pPr>
              <w:pStyle w:val="TableParagraph"/>
              <w:spacing w:before="117"/>
              <w:ind w:left="414"/>
              <w:jc w:val="left"/>
              <w:rPr>
                <w:b/>
                <w:sz w:val="18"/>
              </w:rPr>
            </w:pPr>
            <w:r>
              <w:rPr>
                <w:b/>
                <w:sz w:val="18"/>
              </w:rPr>
              <w:t>产品名称</w:t>
            </w:r>
          </w:p>
        </w:tc>
        <w:tc>
          <w:tcPr>
            <w:tcW w:w="847" w:type="dxa"/>
          </w:tcPr>
          <w:p>
            <w:pPr>
              <w:pStyle w:val="TableParagraph"/>
              <w:ind w:left="150"/>
              <w:jc w:val="left"/>
              <w:rPr>
                <w:b/>
                <w:sz w:val="18"/>
              </w:rPr>
            </w:pPr>
            <w:r>
              <w:rPr>
                <w:b/>
                <w:sz w:val="18"/>
              </w:rPr>
              <w:t>批复产</w:t>
            </w:r>
          </w:p>
          <w:p>
            <w:pPr>
              <w:pStyle w:val="TableParagraph"/>
              <w:spacing w:line="213" w:lineRule="exact" w:before="4"/>
              <w:ind w:left="105"/>
              <w:jc w:val="left"/>
              <w:rPr>
                <w:b/>
                <w:sz w:val="18"/>
              </w:rPr>
            </w:pPr>
            <w:r>
              <w:rPr>
                <w:b/>
                <w:spacing w:val="-17"/>
                <w:sz w:val="18"/>
              </w:rPr>
              <w:t>量</w:t>
            </w:r>
            <w:r>
              <w:rPr>
                <w:b/>
                <w:spacing w:val="-3"/>
                <w:sz w:val="18"/>
              </w:rPr>
              <w:t>（</w:t>
            </w:r>
            <w:r>
              <w:rPr>
                <w:rFonts w:ascii="Times New Roman" w:eastAsia="Times New Roman"/>
                <w:b/>
                <w:spacing w:val="-3"/>
                <w:sz w:val="18"/>
              </w:rPr>
              <w:t>t/a</w:t>
            </w:r>
            <w:r>
              <w:rPr>
                <w:b/>
                <w:spacing w:val="-3"/>
                <w:sz w:val="18"/>
              </w:rPr>
              <w:t>）</w:t>
            </w:r>
          </w:p>
        </w:tc>
        <w:tc>
          <w:tcPr>
            <w:tcW w:w="852" w:type="dxa"/>
          </w:tcPr>
          <w:p>
            <w:pPr>
              <w:pStyle w:val="TableParagraph"/>
              <w:ind w:left="36" w:right="29"/>
              <w:rPr>
                <w:b/>
                <w:sz w:val="18"/>
              </w:rPr>
            </w:pPr>
            <w:r>
              <w:rPr>
                <w:rFonts w:ascii="Times New Roman" w:eastAsia="Times New Roman"/>
                <w:b/>
                <w:sz w:val="18"/>
              </w:rPr>
              <w:t>2021 </w:t>
            </w:r>
            <w:r>
              <w:rPr>
                <w:b/>
                <w:sz w:val="18"/>
              </w:rPr>
              <w:t>年</w:t>
            </w:r>
          </w:p>
          <w:p>
            <w:pPr>
              <w:pStyle w:val="TableParagraph"/>
              <w:spacing w:line="213" w:lineRule="exact" w:before="4"/>
              <w:ind w:left="38" w:right="26"/>
              <w:rPr>
                <w:b/>
                <w:sz w:val="18"/>
              </w:rPr>
            </w:pPr>
            <w:r>
              <w:rPr>
                <w:b/>
                <w:sz w:val="18"/>
              </w:rPr>
              <w:t>产量</w:t>
            </w:r>
          </w:p>
        </w:tc>
        <w:tc>
          <w:tcPr>
            <w:tcW w:w="1416" w:type="dxa"/>
          </w:tcPr>
          <w:p>
            <w:pPr>
              <w:pStyle w:val="TableParagraph"/>
              <w:ind w:left="26" w:right="17"/>
              <w:rPr>
                <w:b/>
                <w:sz w:val="18"/>
              </w:rPr>
            </w:pPr>
            <w:r>
              <w:rPr>
                <w:b/>
                <w:sz w:val="18"/>
              </w:rPr>
              <w:t>批复及验收情</w:t>
            </w:r>
          </w:p>
          <w:p>
            <w:pPr>
              <w:pStyle w:val="TableParagraph"/>
              <w:spacing w:line="213" w:lineRule="exact" w:before="4"/>
              <w:ind w:left="7"/>
              <w:rPr>
                <w:b/>
                <w:sz w:val="18"/>
              </w:rPr>
            </w:pPr>
            <w:r>
              <w:rPr>
                <w:b/>
                <w:w w:val="99"/>
                <w:sz w:val="18"/>
              </w:rPr>
              <w:t>况</w:t>
            </w:r>
          </w:p>
        </w:tc>
        <w:tc>
          <w:tcPr>
            <w:tcW w:w="853" w:type="dxa"/>
          </w:tcPr>
          <w:p>
            <w:pPr>
              <w:pStyle w:val="TableParagraph"/>
              <w:spacing w:before="117"/>
              <w:ind w:left="244"/>
              <w:jc w:val="left"/>
              <w:rPr>
                <w:b/>
                <w:sz w:val="18"/>
              </w:rPr>
            </w:pPr>
            <w:r>
              <w:rPr>
                <w:b/>
                <w:sz w:val="18"/>
              </w:rPr>
              <w:t>现状</w:t>
            </w:r>
          </w:p>
        </w:tc>
        <w:tc>
          <w:tcPr>
            <w:tcW w:w="958" w:type="dxa"/>
          </w:tcPr>
          <w:p>
            <w:pPr>
              <w:pStyle w:val="TableParagraph"/>
              <w:spacing w:before="117"/>
              <w:ind w:left="117" w:right="106"/>
              <w:rPr>
                <w:b/>
                <w:sz w:val="18"/>
              </w:rPr>
            </w:pPr>
            <w:r>
              <w:rPr>
                <w:b/>
                <w:sz w:val="18"/>
              </w:rPr>
              <w:t>备注</w:t>
            </w:r>
          </w:p>
        </w:tc>
      </w:tr>
      <w:tr>
        <w:trPr>
          <w:trHeight w:val="283" w:hRule="atLeast"/>
        </w:trPr>
        <w:tc>
          <w:tcPr>
            <w:tcW w:w="672" w:type="dxa"/>
            <w:vMerge w:val="restart"/>
          </w:tcPr>
          <w:p>
            <w:pPr>
              <w:pStyle w:val="TableParagraph"/>
              <w:spacing w:before="3"/>
              <w:jc w:val="left"/>
              <w:rPr>
                <w:b/>
                <w:sz w:val="28"/>
              </w:rPr>
            </w:pPr>
          </w:p>
          <w:p>
            <w:pPr>
              <w:pStyle w:val="TableParagraph"/>
              <w:spacing w:before="1"/>
              <w:ind w:left="6"/>
              <w:rPr>
                <w:rFonts w:ascii="Times New Roman"/>
                <w:sz w:val="18"/>
              </w:rPr>
            </w:pPr>
            <w:r>
              <w:rPr>
                <w:rFonts w:ascii="Times New Roman"/>
                <w:sz w:val="18"/>
              </w:rPr>
              <w:t>/</w:t>
            </w:r>
          </w:p>
        </w:tc>
        <w:tc>
          <w:tcPr>
            <w:tcW w:w="2132" w:type="dxa"/>
            <w:vMerge w:val="restart"/>
          </w:tcPr>
          <w:p>
            <w:pPr>
              <w:pStyle w:val="TableParagraph"/>
              <w:spacing w:line="242" w:lineRule="auto" w:before="118"/>
              <w:ind w:left="110" w:right="101"/>
              <w:rPr>
                <w:sz w:val="18"/>
              </w:rPr>
            </w:pPr>
            <w:r>
              <w:rPr>
                <w:spacing w:val="-15"/>
                <w:sz w:val="18"/>
              </w:rPr>
              <w:t>年产 </w:t>
            </w:r>
            <w:r>
              <w:rPr>
                <w:rFonts w:ascii="Times New Roman" w:eastAsia="Times New Roman"/>
                <w:sz w:val="18"/>
              </w:rPr>
              <w:t>1000 </w:t>
            </w:r>
            <w:r>
              <w:rPr>
                <w:spacing w:val="-23"/>
                <w:sz w:val="18"/>
              </w:rPr>
              <w:t>吨 </w:t>
            </w:r>
            <w:r>
              <w:rPr>
                <w:rFonts w:ascii="Times New Roman" w:eastAsia="Times New Roman"/>
                <w:sz w:val="18"/>
              </w:rPr>
              <w:t>4-</w:t>
            </w:r>
            <w:r>
              <w:rPr>
                <w:spacing w:val="-4"/>
                <w:sz w:val="18"/>
              </w:rPr>
              <w:t>硝基邻二</w:t>
            </w:r>
            <w:r>
              <w:rPr>
                <w:sz w:val="18"/>
              </w:rPr>
              <w:t>甲苯、</w:t>
            </w:r>
            <w:r>
              <w:rPr>
                <w:rFonts w:ascii="Times New Roman" w:eastAsia="Times New Roman"/>
                <w:sz w:val="18"/>
              </w:rPr>
              <w:t>940 </w:t>
            </w:r>
            <w:r>
              <w:rPr>
                <w:spacing w:val="-23"/>
                <w:sz w:val="18"/>
              </w:rPr>
              <w:t>吨 </w:t>
            </w:r>
            <w:r>
              <w:rPr>
                <w:rFonts w:ascii="Times New Roman" w:eastAsia="Times New Roman"/>
                <w:sz w:val="18"/>
              </w:rPr>
              <w:t>2,3-</w:t>
            </w:r>
            <w:r>
              <w:rPr>
                <w:spacing w:val="-5"/>
                <w:sz w:val="18"/>
              </w:rPr>
              <w:t>二甲基</w:t>
            </w:r>
            <w:r>
              <w:rPr>
                <w:sz w:val="18"/>
              </w:rPr>
              <w:t>苯胺技改项目</w:t>
            </w:r>
          </w:p>
        </w:tc>
        <w:tc>
          <w:tcPr>
            <w:tcW w:w="1560" w:type="dxa"/>
            <w:gridSpan w:val="2"/>
          </w:tcPr>
          <w:p>
            <w:pPr>
              <w:pStyle w:val="TableParagraph"/>
              <w:spacing w:before="26"/>
              <w:ind w:left="160"/>
              <w:jc w:val="left"/>
              <w:rPr>
                <w:sz w:val="18"/>
              </w:rPr>
            </w:pPr>
            <w:r>
              <w:rPr>
                <w:rFonts w:ascii="Times New Roman" w:eastAsia="Times New Roman"/>
                <w:sz w:val="18"/>
              </w:rPr>
              <w:t>4-</w:t>
            </w:r>
            <w:r>
              <w:rPr>
                <w:sz w:val="18"/>
              </w:rPr>
              <w:t>硝基邻二甲苯</w:t>
            </w:r>
          </w:p>
        </w:tc>
        <w:tc>
          <w:tcPr>
            <w:tcW w:w="847" w:type="dxa"/>
          </w:tcPr>
          <w:p>
            <w:pPr>
              <w:pStyle w:val="TableParagraph"/>
              <w:spacing w:before="38"/>
              <w:ind w:left="84" w:right="77"/>
              <w:rPr>
                <w:rFonts w:ascii="Times New Roman"/>
                <w:sz w:val="18"/>
              </w:rPr>
            </w:pPr>
            <w:r>
              <w:rPr>
                <w:rFonts w:ascii="Times New Roman"/>
                <w:sz w:val="18"/>
              </w:rPr>
              <w:t>1000</w:t>
            </w:r>
          </w:p>
        </w:tc>
        <w:tc>
          <w:tcPr>
            <w:tcW w:w="852" w:type="dxa"/>
          </w:tcPr>
          <w:p>
            <w:pPr>
              <w:pStyle w:val="TableParagraph"/>
              <w:spacing w:before="38"/>
              <w:ind w:left="9"/>
              <w:rPr>
                <w:rFonts w:ascii="Times New Roman"/>
                <w:sz w:val="18"/>
              </w:rPr>
            </w:pPr>
            <w:r>
              <w:rPr>
                <w:rFonts w:ascii="Times New Roman"/>
                <w:sz w:val="18"/>
              </w:rPr>
              <w:t>/</w:t>
            </w:r>
          </w:p>
        </w:tc>
        <w:tc>
          <w:tcPr>
            <w:tcW w:w="1416" w:type="dxa"/>
            <w:vMerge w:val="restart"/>
          </w:tcPr>
          <w:p>
            <w:pPr>
              <w:pStyle w:val="TableParagraph"/>
              <w:ind w:left="24" w:right="17"/>
              <w:rPr>
                <w:sz w:val="18"/>
              </w:rPr>
            </w:pPr>
            <w:r>
              <w:rPr>
                <w:sz w:val="18"/>
              </w:rPr>
              <w:t>虞环审</w:t>
            </w:r>
          </w:p>
          <w:p>
            <w:pPr>
              <w:pStyle w:val="TableParagraph"/>
              <w:spacing w:before="2"/>
              <w:ind w:left="27" w:right="17"/>
              <w:rPr>
                <w:sz w:val="18"/>
              </w:rPr>
            </w:pPr>
            <w:r>
              <w:rPr>
                <w:rFonts w:ascii="Times New Roman" w:eastAsia="Times New Roman"/>
                <w:sz w:val="18"/>
              </w:rPr>
              <w:t>[2004]179 </w:t>
            </w:r>
            <w:r>
              <w:rPr>
                <w:sz w:val="18"/>
              </w:rPr>
              <w:t>号，</w:t>
            </w:r>
          </w:p>
          <w:p>
            <w:pPr>
              <w:pStyle w:val="TableParagraph"/>
              <w:spacing w:before="5"/>
              <w:ind w:left="27" w:right="17"/>
              <w:rPr>
                <w:sz w:val="18"/>
              </w:rPr>
            </w:pPr>
            <w:r>
              <w:rPr>
                <w:sz w:val="18"/>
              </w:rPr>
              <w:t>虞环建验</w:t>
            </w:r>
          </w:p>
          <w:p>
            <w:pPr>
              <w:pStyle w:val="TableParagraph"/>
              <w:spacing w:line="213" w:lineRule="exact" w:before="2"/>
              <w:ind w:left="29" w:right="17"/>
              <w:rPr>
                <w:sz w:val="18"/>
              </w:rPr>
            </w:pPr>
            <w:r>
              <w:rPr>
                <w:sz w:val="18"/>
              </w:rPr>
              <w:t>（</w:t>
            </w:r>
            <w:r>
              <w:rPr>
                <w:rFonts w:ascii="Times New Roman" w:eastAsia="Times New Roman"/>
                <w:sz w:val="18"/>
              </w:rPr>
              <w:t>2006</w:t>
            </w:r>
            <w:r>
              <w:rPr>
                <w:sz w:val="18"/>
              </w:rPr>
              <w:t>）</w:t>
            </w:r>
            <w:r>
              <w:rPr>
                <w:rFonts w:ascii="Times New Roman" w:eastAsia="Times New Roman"/>
                <w:sz w:val="18"/>
              </w:rPr>
              <w:t>038 </w:t>
            </w:r>
            <w:r>
              <w:rPr>
                <w:sz w:val="18"/>
              </w:rPr>
              <w:t>号</w:t>
            </w:r>
          </w:p>
        </w:tc>
        <w:tc>
          <w:tcPr>
            <w:tcW w:w="853" w:type="dxa"/>
            <w:vMerge w:val="restart"/>
          </w:tcPr>
          <w:p>
            <w:pPr>
              <w:pStyle w:val="TableParagraph"/>
              <w:jc w:val="left"/>
              <w:rPr>
                <w:b/>
                <w:sz w:val="18"/>
              </w:rPr>
            </w:pPr>
          </w:p>
          <w:p>
            <w:pPr>
              <w:pStyle w:val="TableParagraph"/>
              <w:spacing w:before="120"/>
              <w:ind w:left="156"/>
              <w:jc w:val="left"/>
              <w:rPr>
                <w:sz w:val="18"/>
              </w:rPr>
            </w:pPr>
            <w:r>
              <w:rPr>
                <w:sz w:val="18"/>
              </w:rPr>
              <w:t>已淘汰</w:t>
            </w:r>
          </w:p>
        </w:tc>
        <w:tc>
          <w:tcPr>
            <w:tcW w:w="958" w:type="dxa"/>
            <w:vMerge w:val="restart"/>
          </w:tcPr>
          <w:p>
            <w:pPr>
              <w:pStyle w:val="TableParagraph"/>
              <w:spacing w:before="3"/>
              <w:jc w:val="left"/>
              <w:rPr>
                <w:b/>
                <w:sz w:val="28"/>
              </w:rPr>
            </w:pPr>
          </w:p>
          <w:p>
            <w:pPr>
              <w:pStyle w:val="TableParagraph"/>
              <w:spacing w:before="1"/>
              <w:ind w:left="8"/>
              <w:rPr>
                <w:rFonts w:ascii="Times New Roman"/>
                <w:sz w:val="18"/>
              </w:rPr>
            </w:pPr>
            <w:r>
              <w:rPr>
                <w:rFonts w:ascii="Times New Roman"/>
                <w:sz w:val="18"/>
              </w:rPr>
              <w:t>/</w:t>
            </w:r>
          </w:p>
        </w:tc>
      </w:tr>
      <w:tr>
        <w:trPr>
          <w:trHeight w:val="640"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11"/>
              <w:jc w:val="left"/>
              <w:rPr>
                <w:b/>
                <w:sz w:val="15"/>
              </w:rPr>
            </w:pPr>
          </w:p>
          <w:p>
            <w:pPr>
              <w:pStyle w:val="TableParagraph"/>
              <w:ind w:left="184"/>
              <w:jc w:val="left"/>
              <w:rPr>
                <w:sz w:val="18"/>
              </w:rPr>
            </w:pPr>
            <w:r>
              <w:rPr>
                <w:rFonts w:ascii="Times New Roman" w:eastAsia="Times New Roman"/>
                <w:sz w:val="18"/>
              </w:rPr>
              <w:t>2,3-</w:t>
            </w:r>
            <w:r>
              <w:rPr>
                <w:sz w:val="18"/>
              </w:rPr>
              <w:t>二甲基苯胺</w:t>
            </w:r>
          </w:p>
        </w:tc>
        <w:tc>
          <w:tcPr>
            <w:tcW w:w="847" w:type="dxa"/>
          </w:tcPr>
          <w:p>
            <w:pPr>
              <w:pStyle w:val="TableParagraph"/>
              <w:jc w:val="left"/>
              <w:rPr>
                <w:b/>
                <w:sz w:val="17"/>
              </w:rPr>
            </w:pPr>
          </w:p>
          <w:p>
            <w:pPr>
              <w:pStyle w:val="TableParagraph"/>
              <w:ind w:left="83" w:right="77"/>
              <w:rPr>
                <w:rFonts w:ascii="Times New Roman"/>
                <w:sz w:val="18"/>
              </w:rPr>
            </w:pPr>
            <w:r>
              <w:rPr>
                <w:rFonts w:ascii="Times New Roman"/>
                <w:sz w:val="18"/>
              </w:rPr>
              <w:t>940</w:t>
            </w:r>
          </w:p>
        </w:tc>
        <w:tc>
          <w:tcPr>
            <w:tcW w:w="852" w:type="dxa"/>
          </w:tcPr>
          <w:p>
            <w:pPr>
              <w:pStyle w:val="TableParagraph"/>
              <w:jc w:val="left"/>
              <w:rPr>
                <w:b/>
                <w:sz w:val="17"/>
              </w:rPr>
            </w:pPr>
          </w:p>
          <w:p>
            <w:pPr>
              <w:pStyle w:val="TableParagraph"/>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vMerge/>
            <w:tcBorders>
              <w:top w:val="nil"/>
            </w:tcBorders>
          </w:tcPr>
          <w:p>
            <w:pPr>
              <w:rPr>
                <w:sz w:val="2"/>
                <w:szCs w:val="2"/>
              </w:rPr>
            </w:pPr>
          </w:p>
        </w:tc>
      </w:tr>
      <w:tr>
        <w:trPr>
          <w:trHeight w:val="285" w:hRule="atLeast"/>
        </w:trPr>
        <w:tc>
          <w:tcPr>
            <w:tcW w:w="672" w:type="dxa"/>
            <w:vMerge w:val="restart"/>
          </w:tcPr>
          <w:p>
            <w:pPr>
              <w:pStyle w:val="TableParagraph"/>
              <w:spacing w:before="5"/>
              <w:jc w:val="left"/>
              <w:rPr>
                <w:b/>
                <w:sz w:val="28"/>
              </w:rPr>
            </w:pPr>
          </w:p>
          <w:p>
            <w:pPr>
              <w:pStyle w:val="TableParagraph"/>
              <w:spacing w:before="1"/>
              <w:ind w:left="6"/>
              <w:rPr>
                <w:rFonts w:ascii="Times New Roman"/>
                <w:sz w:val="18"/>
              </w:rPr>
            </w:pPr>
            <w:r>
              <w:rPr>
                <w:rFonts w:ascii="Times New Roman"/>
                <w:sz w:val="18"/>
              </w:rPr>
              <w:t>/</w:t>
            </w:r>
          </w:p>
        </w:tc>
        <w:tc>
          <w:tcPr>
            <w:tcW w:w="2132" w:type="dxa"/>
            <w:vMerge w:val="restart"/>
          </w:tcPr>
          <w:p>
            <w:pPr>
              <w:pStyle w:val="TableParagraph"/>
              <w:spacing w:before="117"/>
              <w:ind w:left="114"/>
              <w:jc w:val="left"/>
              <w:rPr>
                <w:sz w:val="18"/>
              </w:rPr>
            </w:pPr>
            <w:r>
              <w:rPr>
                <w:rFonts w:ascii="Times New Roman" w:eastAsia="Times New Roman"/>
                <w:sz w:val="18"/>
              </w:rPr>
              <w:t>1000 </w:t>
            </w:r>
            <w:r>
              <w:rPr>
                <w:sz w:val="18"/>
              </w:rPr>
              <w:t>吨</w:t>
            </w:r>
            <w:r>
              <w:rPr>
                <w:rFonts w:ascii="Times New Roman" w:eastAsia="Times New Roman"/>
                <w:sz w:val="18"/>
              </w:rPr>
              <w:t>/</w:t>
            </w:r>
            <w:r>
              <w:rPr>
                <w:sz w:val="18"/>
              </w:rPr>
              <w:t>年二甲基硝基苯</w:t>
            </w:r>
          </w:p>
          <w:p>
            <w:pPr>
              <w:pStyle w:val="TableParagraph"/>
              <w:spacing w:line="242" w:lineRule="auto" w:before="2"/>
              <w:ind w:left="522" w:right="94" w:hanging="416"/>
              <w:jc w:val="left"/>
              <w:rPr>
                <w:sz w:val="18"/>
              </w:rPr>
            </w:pPr>
            <w:r>
              <w:rPr>
                <w:sz w:val="18"/>
              </w:rPr>
              <w:t>及</w:t>
            </w:r>
            <w:r>
              <w:rPr>
                <w:rFonts w:ascii="Times New Roman" w:eastAsia="Times New Roman"/>
                <w:sz w:val="18"/>
              </w:rPr>
              <w:t>1060 </w:t>
            </w:r>
            <w:r>
              <w:rPr>
                <w:sz w:val="18"/>
              </w:rPr>
              <w:t>吨</w:t>
            </w:r>
            <w:r>
              <w:rPr>
                <w:rFonts w:ascii="Times New Roman" w:eastAsia="Times New Roman"/>
                <w:sz w:val="18"/>
              </w:rPr>
              <w:t>/</w:t>
            </w:r>
            <w:r>
              <w:rPr>
                <w:sz w:val="18"/>
              </w:rPr>
              <w:t>年二甲基苯胺产品扩产项目</w:t>
            </w:r>
          </w:p>
        </w:tc>
        <w:tc>
          <w:tcPr>
            <w:tcW w:w="1560" w:type="dxa"/>
            <w:gridSpan w:val="2"/>
          </w:tcPr>
          <w:p>
            <w:pPr>
              <w:pStyle w:val="TableParagraph"/>
              <w:spacing w:before="26"/>
              <w:ind w:left="237"/>
              <w:jc w:val="left"/>
              <w:rPr>
                <w:sz w:val="18"/>
              </w:rPr>
            </w:pPr>
            <w:r>
              <w:rPr>
                <w:sz w:val="18"/>
              </w:rPr>
              <w:t>二甲基硝基苯</w:t>
            </w:r>
          </w:p>
        </w:tc>
        <w:tc>
          <w:tcPr>
            <w:tcW w:w="847" w:type="dxa"/>
          </w:tcPr>
          <w:p>
            <w:pPr>
              <w:pStyle w:val="TableParagraph"/>
              <w:spacing w:before="38"/>
              <w:ind w:left="84" w:right="77"/>
              <w:rPr>
                <w:rFonts w:ascii="Times New Roman"/>
                <w:sz w:val="18"/>
              </w:rPr>
            </w:pPr>
            <w:r>
              <w:rPr>
                <w:rFonts w:ascii="Times New Roman"/>
                <w:sz w:val="18"/>
              </w:rPr>
              <w:t>1000</w:t>
            </w:r>
          </w:p>
        </w:tc>
        <w:tc>
          <w:tcPr>
            <w:tcW w:w="852" w:type="dxa"/>
          </w:tcPr>
          <w:p>
            <w:pPr>
              <w:pStyle w:val="TableParagraph"/>
              <w:spacing w:before="38"/>
              <w:ind w:left="9"/>
              <w:rPr>
                <w:rFonts w:ascii="Times New Roman"/>
                <w:sz w:val="18"/>
              </w:rPr>
            </w:pPr>
            <w:r>
              <w:rPr>
                <w:rFonts w:ascii="Times New Roman"/>
                <w:sz w:val="18"/>
              </w:rPr>
              <w:t>/</w:t>
            </w:r>
          </w:p>
        </w:tc>
        <w:tc>
          <w:tcPr>
            <w:tcW w:w="1416" w:type="dxa"/>
            <w:vMerge w:val="restart"/>
          </w:tcPr>
          <w:p>
            <w:pPr>
              <w:pStyle w:val="TableParagraph"/>
              <w:ind w:left="24" w:right="17"/>
              <w:rPr>
                <w:sz w:val="18"/>
              </w:rPr>
            </w:pPr>
            <w:r>
              <w:rPr>
                <w:sz w:val="18"/>
              </w:rPr>
              <w:t>虞环审</w:t>
            </w:r>
          </w:p>
          <w:p>
            <w:pPr>
              <w:pStyle w:val="TableParagraph"/>
              <w:spacing w:before="4"/>
              <w:ind w:left="27" w:right="17"/>
              <w:rPr>
                <w:sz w:val="18"/>
              </w:rPr>
            </w:pPr>
            <w:r>
              <w:rPr>
                <w:rFonts w:ascii="Times New Roman" w:eastAsia="Times New Roman"/>
                <w:sz w:val="18"/>
              </w:rPr>
              <w:t>[2005]185 </w:t>
            </w:r>
            <w:r>
              <w:rPr>
                <w:sz w:val="18"/>
              </w:rPr>
              <w:t>号，</w:t>
            </w:r>
          </w:p>
          <w:p>
            <w:pPr>
              <w:pStyle w:val="TableParagraph"/>
              <w:spacing w:before="2"/>
              <w:ind w:left="27" w:right="17"/>
              <w:rPr>
                <w:sz w:val="18"/>
              </w:rPr>
            </w:pPr>
            <w:r>
              <w:rPr>
                <w:sz w:val="18"/>
              </w:rPr>
              <w:t>虞环建验</w:t>
            </w:r>
          </w:p>
          <w:p>
            <w:pPr>
              <w:pStyle w:val="TableParagraph"/>
              <w:spacing w:line="213" w:lineRule="exact" w:before="2"/>
              <w:ind w:left="29" w:right="17"/>
              <w:rPr>
                <w:sz w:val="18"/>
              </w:rPr>
            </w:pPr>
            <w:r>
              <w:rPr>
                <w:sz w:val="18"/>
              </w:rPr>
              <w:t>（</w:t>
            </w:r>
            <w:r>
              <w:rPr>
                <w:rFonts w:ascii="Times New Roman" w:eastAsia="Times New Roman"/>
                <w:sz w:val="18"/>
              </w:rPr>
              <w:t>2006</w:t>
            </w:r>
            <w:r>
              <w:rPr>
                <w:sz w:val="18"/>
              </w:rPr>
              <w:t>）</w:t>
            </w:r>
            <w:r>
              <w:rPr>
                <w:rFonts w:ascii="Times New Roman" w:eastAsia="Times New Roman"/>
                <w:sz w:val="18"/>
              </w:rPr>
              <w:t>038 </w:t>
            </w:r>
            <w:r>
              <w:rPr>
                <w:sz w:val="18"/>
              </w:rPr>
              <w:t>号</w:t>
            </w:r>
          </w:p>
        </w:tc>
        <w:tc>
          <w:tcPr>
            <w:tcW w:w="853" w:type="dxa"/>
            <w:vMerge w:val="restart"/>
          </w:tcPr>
          <w:p>
            <w:pPr>
              <w:pStyle w:val="TableParagraph"/>
              <w:jc w:val="left"/>
              <w:rPr>
                <w:b/>
                <w:sz w:val="18"/>
              </w:rPr>
            </w:pPr>
          </w:p>
          <w:p>
            <w:pPr>
              <w:pStyle w:val="TableParagraph"/>
              <w:spacing w:before="119"/>
              <w:ind w:left="156"/>
              <w:jc w:val="left"/>
              <w:rPr>
                <w:sz w:val="18"/>
              </w:rPr>
            </w:pPr>
            <w:r>
              <w:rPr>
                <w:sz w:val="18"/>
              </w:rPr>
              <w:t>已淘汰</w:t>
            </w:r>
          </w:p>
        </w:tc>
        <w:tc>
          <w:tcPr>
            <w:tcW w:w="958" w:type="dxa"/>
            <w:vMerge w:val="restart"/>
          </w:tcPr>
          <w:p>
            <w:pPr>
              <w:pStyle w:val="TableParagraph"/>
              <w:spacing w:before="5"/>
              <w:jc w:val="left"/>
              <w:rPr>
                <w:b/>
                <w:sz w:val="28"/>
              </w:rPr>
            </w:pPr>
          </w:p>
          <w:p>
            <w:pPr>
              <w:pStyle w:val="TableParagraph"/>
              <w:spacing w:before="1"/>
              <w:ind w:left="8"/>
              <w:rPr>
                <w:rFonts w:ascii="Times New Roman"/>
                <w:sz w:val="18"/>
              </w:rPr>
            </w:pPr>
            <w:r>
              <w:rPr>
                <w:rFonts w:ascii="Times New Roman"/>
                <w:sz w:val="18"/>
              </w:rPr>
              <w:t>/</w:t>
            </w:r>
          </w:p>
        </w:tc>
      </w:tr>
      <w:tr>
        <w:trPr>
          <w:trHeight w:val="638"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9"/>
              <w:jc w:val="left"/>
              <w:rPr>
                <w:b/>
                <w:sz w:val="15"/>
              </w:rPr>
            </w:pPr>
          </w:p>
          <w:p>
            <w:pPr>
              <w:pStyle w:val="TableParagraph"/>
              <w:ind w:left="325"/>
              <w:jc w:val="left"/>
              <w:rPr>
                <w:sz w:val="18"/>
              </w:rPr>
            </w:pPr>
            <w:r>
              <w:rPr>
                <w:sz w:val="18"/>
              </w:rPr>
              <w:t>二甲基苯胺</w:t>
            </w:r>
          </w:p>
        </w:tc>
        <w:tc>
          <w:tcPr>
            <w:tcW w:w="847" w:type="dxa"/>
          </w:tcPr>
          <w:p>
            <w:pPr>
              <w:pStyle w:val="TableParagraph"/>
              <w:spacing w:before="10"/>
              <w:jc w:val="left"/>
              <w:rPr>
                <w:b/>
                <w:sz w:val="16"/>
              </w:rPr>
            </w:pPr>
          </w:p>
          <w:p>
            <w:pPr>
              <w:pStyle w:val="TableParagraph"/>
              <w:ind w:left="84" w:right="77"/>
              <w:rPr>
                <w:rFonts w:ascii="Times New Roman"/>
                <w:sz w:val="18"/>
              </w:rPr>
            </w:pPr>
            <w:r>
              <w:rPr>
                <w:rFonts w:ascii="Times New Roman"/>
                <w:sz w:val="18"/>
              </w:rPr>
              <w:t>1060</w:t>
            </w:r>
          </w:p>
        </w:tc>
        <w:tc>
          <w:tcPr>
            <w:tcW w:w="852" w:type="dxa"/>
          </w:tcPr>
          <w:p>
            <w:pPr>
              <w:pStyle w:val="TableParagraph"/>
              <w:spacing w:before="10"/>
              <w:jc w:val="left"/>
              <w:rPr>
                <w:b/>
                <w:sz w:val="16"/>
              </w:rPr>
            </w:pPr>
          </w:p>
          <w:p>
            <w:pPr>
              <w:pStyle w:val="TableParagraph"/>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vMerge/>
            <w:tcBorders>
              <w:top w:val="nil"/>
            </w:tcBorders>
          </w:tcPr>
          <w:p>
            <w:pPr>
              <w:rPr>
                <w:sz w:val="2"/>
                <w:szCs w:val="2"/>
              </w:rPr>
            </w:pPr>
          </w:p>
        </w:tc>
      </w:tr>
      <w:tr>
        <w:trPr>
          <w:trHeight w:val="285" w:hRule="atLeast"/>
        </w:trPr>
        <w:tc>
          <w:tcPr>
            <w:tcW w:w="672" w:type="dxa"/>
            <w:vMerge w:val="restart"/>
          </w:tcPr>
          <w:p>
            <w:pPr>
              <w:pStyle w:val="TableParagraph"/>
              <w:spacing w:before="5"/>
              <w:jc w:val="left"/>
              <w:rPr>
                <w:b/>
                <w:sz w:val="28"/>
              </w:rPr>
            </w:pPr>
          </w:p>
          <w:p>
            <w:pPr>
              <w:pStyle w:val="TableParagraph"/>
              <w:spacing w:before="1"/>
              <w:ind w:left="6"/>
              <w:rPr>
                <w:rFonts w:ascii="Times New Roman"/>
                <w:sz w:val="18"/>
              </w:rPr>
            </w:pPr>
            <w:r>
              <w:rPr>
                <w:rFonts w:ascii="Times New Roman"/>
                <w:sz w:val="18"/>
              </w:rPr>
              <w:t>/</w:t>
            </w:r>
          </w:p>
        </w:tc>
        <w:tc>
          <w:tcPr>
            <w:tcW w:w="2132" w:type="dxa"/>
            <w:vMerge w:val="restart"/>
          </w:tcPr>
          <w:p>
            <w:pPr>
              <w:pStyle w:val="TableParagraph"/>
              <w:spacing w:line="242" w:lineRule="auto" w:before="117"/>
              <w:ind w:left="134" w:right="123" w:hanging="3"/>
              <w:rPr>
                <w:sz w:val="18"/>
              </w:rPr>
            </w:pPr>
            <w:r>
              <w:rPr>
                <w:rFonts w:ascii="Times New Roman" w:eastAsia="Times New Roman"/>
                <w:sz w:val="18"/>
              </w:rPr>
              <w:t>600 </w:t>
            </w:r>
            <w:r>
              <w:rPr>
                <w:sz w:val="18"/>
              </w:rPr>
              <w:t>吨</w:t>
            </w:r>
            <w:r>
              <w:rPr>
                <w:rFonts w:ascii="Times New Roman" w:eastAsia="Times New Roman"/>
                <w:sz w:val="18"/>
              </w:rPr>
              <w:t>/</w:t>
            </w:r>
            <w:r>
              <w:rPr>
                <w:spacing w:val="-24"/>
                <w:sz w:val="18"/>
              </w:rPr>
              <w:t>年 </w:t>
            </w:r>
            <w:r>
              <w:rPr>
                <w:rFonts w:ascii="Times New Roman" w:eastAsia="Times New Roman"/>
                <w:sz w:val="18"/>
              </w:rPr>
              <w:t>3,4-</w:t>
            </w:r>
            <w:r>
              <w:rPr>
                <w:sz w:val="18"/>
              </w:rPr>
              <w:t>二甲基苯胺、</w:t>
            </w:r>
            <w:r>
              <w:rPr>
                <w:rFonts w:ascii="Times New Roman" w:eastAsia="Times New Roman"/>
                <w:sz w:val="18"/>
              </w:rPr>
              <w:t>650 </w:t>
            </w:r>
            <w:r>
              <w:rPr>
                <w:sz w:val="18"/>
              </w:rPr>
              <w:t>吨</w:t>
            </w:r>
            <w:r>
              <w:rPr>
                <w:rFonts w:ascii="Times New Roman" w:eastAsia="Times New Roman"/>
                <w:sz w:val="18"/>
              </w:rPr>
              <w:t>/</w:t>
            </w:r>
            <w:r>
              <w:rPr>
                <w:spacing w:val="-23"/>
                <w:sz w:val="18"/>
              </w:rPr>
              <w:t>年 </w:t>
            </w:r>
            <w:r>
              <w:rPr>
                <w:rFonts w:ascii="Times New Roman" w:eastAsia="Times New Roman"/>
                <w:sz w:val="18"/>
              </w:rPr>
              <w:t>N-</w:t>
            </w:r>
            <w:r>
              <w:rPr>
                <w:spacing w:val="-5"/>
                <w:sz w:val="18"/>
              </w:rPr>
              <w:t>戊基苯</w:t>
            </w:r>
            <w:r>
              <w:rPr>
                <w:sz w:val="18"/>
              </w:rPr>
              <w:t>胺技改项目</w:t>
            </w:r>
          </w:p>
        </w:tc>
        <w:tc>
          <w:tcPr>
            <w:tcW w:w="1560" w:type="dxa"/>
            <w:gridSpan w:val="2"/>
          </w:tcPr>
          <w:p>
            <w:pPr>
              <w:pStyle w:val="TableParagraph"/>
              <w:spacing w:before="26"/>
              <w:ind w:left="184"/>
              <w:jc w:val="left"/>
              <w:rPr>
                <w:sz w:val="18"/>
              </w:rPr>
            </w:pPr>
            <w:r>
              <w:rPr>
                <w:rFonts w:ascii="Times New Roman" w:eastAsia="Times New Roman"/>
                <w:sz w:val="18"/>
              </w:rPr>
              <w:t>3,4-</w:t>
            </w:r>
            <w:r>
              <w:rPr>
                <w:sz w:val="18"/>
              </w:rPr>
              <w:t>二甲基苯胺</w:t>
            </w:r>
          </w:p>
        </w:tc>
        <w:tc>
          <w:tcPr>
            <w:tcW w:w="847" w:type="dxa"/>
          </w:tcPr>
          <w:p>
            <w:pPr>
              <w:pStyle w:val="TableParagraph"/>
              <w:spacing w:before="40"/>
              <w:ind w:left="83" w:right="77"/>
              <w:rPr>
                <w:rFonts w:ascii="Times New Roman"/>
                <w:sz w:val="18"/>
              </w:rPr>
            </w:pPr>
            <w:r>
              <w:rPr>
                <w:rFonts w:ascii="Times New Roman"/>
                <w:sz w:val="18"/>
              </w:rPr>
              <w:t>600</w:t>
            </w:r>
          </w:p>
        </w:tc>
        <w:tc>
          <w:tcPr>
            <w:tcW w:w="852" w:type="dxa"/>
          </w:tcPr>
          <w:p>
            <w:pPr>
              <w:pStyle w:val="TableParagraph"/>
              <w:spacing w:before="40"/>
              <w:ind w:left="9"/>
              <w:rPr>
                <w:rFonts w:ascii="Times New Roman"/>
                <w:sz w:val="18"/>
              </w:rPr>
            </w:pPr>
            <w:r>
              <w:rPr>
                <w:rFonts w:ascii="Times New Roman"/>
                <w:sz w:val="18"/>
              </w:rPr>
              <w:t>/</w:t>
            </w:r>
          </w:p>
        </w:tc>
        <w:tc>
          <w:tcPr>
            <w:tcW w:w="1416" w:type="dxa"/>
            <w:vMerge w:val="restart"/>
          </w:tcPr>
          <w:p>
            <w:pPr>
              <w:pStyle w:val="TableParagraph"/>
              <w:spacing w:before="2"/>
              <w:ind w:left="24" w:right="17"/>
              <w:rPr>
                <w:sz w:val="18"/>
              </w:rPr>
            </w:pPr>
            <w:r>
              <w:rPr>
                <w:sz w:val="18"/>
              </w:rPr>
              <w:t>浙环建</w:t>
            </w:r>
          </w:p>
          <w:p>
            <w:pPr>
              <w:pStyle w:val="TableParagraph"/>
              <w:spacing w:before="2"/>
              <w:ind w:left="29" w:right="17"/>
              <w:rPr>
                <w:sz w:val="18"/>
              </w:rPr>
            </w:pPr>
            <w:r>
              <w:rPr>
                <w:rFonts w:ascii="Times New Roman" w:eastAsia="Times New Roman"/>
                <w:sz w:val="18"/>
              </w:rPr>
              <w:t>[2008]113 </w:t>
            </w:r>
            <w:r>
              <w:rPr>
                <w:sz w:val="18"/>
              </w:rPr>
              <w:t>号，</w:t>
            </w:r>
          </w:p>
          <w:p>
            <w:pPr>
              <w:pStyle w:val="TableParagraph"/>
              <w:spacing w:before="2"/>
              <w:ind w:left="27" w:right="17"/>
              <w:rPr>
                <w:sz w:val="18"/>
              </w:rPr>
            </w:pPr>
            <w:r>
              <w:rPr>
                <w:sz w:val="18"/>
              </w:rPr>
              <w:t>虞环建验</w:t>
            </w:r>
          </w:p>
          <w:p>
            <w:pPr>
              <w:pStyle w:val="TableParagraph"/>
              <w:spacing w:line="215" w:lineRule="exact" w:before="2"/>
              <w:ind w:left="27" w:right="17"/>
              <w:rPr>
                <w:sz w:val="18"/>
              </w:rPr>
            </w:pPr>
            <w:r>
              <w:rPr>
                <w:sz w:val="18"/>
              </w:rPr>
              <w:t>（</w:t>
            </w:r>
            <w:r>
              <w:rPr>
                <w:rFonts w:ascii="Times New Roman" w:eastAsia="Times New Roman"/>
                <w:sz w:val="18"/>
              </w:rPr>
              <w:t>2009</w:t>
            </w:r>
            <w:r>
              <w:rPr>
                <w:sz w:val="18"/>
              </w:rPr>
              <w:t>）</w:t>
            </w:r>
            <w:r>
              <w:rPr>
                <w:rFonts w:ascii="Times New Roman" w:eastAsia="Times New Roman"/>
                <w:sz w:val="18"/>
              </w:rPr>
              <w:t>29 </w:t>
            </w:r>
            <w:r>
              <w:rPr>
                <w:sz w:val="18"/>
              </w:rPr>
              <w:t>号</w:t>
            </w:r>
          </w:p>
        </w:tc>
        <w:tc>
          <w:tcPr>
            <w:tcW w:w="853" w:type="dxa"/>
            <w:vMerge w:val="restart"/>
          </w:tcPr>
          <w:p>
            <w:pPr>
              <w:pStyle w:val="TableParagraph"/>
              <w:jc w:val="left"/>
              <w:rPr>
                <w:b/>
                <w:sz w:val="18"/>
              </w:rPr>
            </w:pPr>
          </w:p>
          <w:p>
            <w:pPr>
              <w:pStyle w:val="TableParagraph"/>
              <w:spacing w:before="119"/>
              <w:ind w:left="156"/>
              <w:jc w:val="left"/>
              <w:rPr>
                <w:sz w:val="18"/>
              </w:rPr>
            </w:pPr>
            <w:r>
              <w:rPr>
                <w:sz w:val="18"/>
              </w:rPr>
              <w:t>已淘汰</w:t>
            </w:r>
          </w:p>
        </w:tc>
        <w:tc>
          <w:tcPr>
            <w:tcW w:w="958" w:type="dxa"/>
          </w:tcPr>
          <w:p>
            <w:pPr>
              <w:pStyle w:val="TableParagraph"/>
              <w:spacing w:before="40"/>
              <w:ind w:left="8"/>
              <w:rPr>
                <w:rFonts w:ascii="Times New Roman"/>
                <w:sz w:val="18"/>
              </w:rPr>
            </w:pPr>
            <w:r>
              <w:rPr>
                <w:rFonts w:ascii="Times New Roman"/>
                <w:sz w:val="18"/>
              </w:rPr>
              <w:t>/</w:t>
            </w:r>
          </w:p>
        </w:tc>
      </w:tr>
      <w:tr>
        <w:trPr>
          <w:trHeight w:val="640"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11"/>
              <w:jc w:val="left"/>
              <w:rPr>
                <w:b/>
                <w:sz w:val="15"/>
              </w:rPr>
            </w:pPr>
          </w:p>
          <w:p>
            <w:pPr>
              <w:pStyle w:val="TableParagraph"/>
              <w:ind w:left="321"/>
              <w:jc w:val="left"/>
              <w:rPr>
                <w:sz w:val="18"/>
              </w:rPr>
            </w:pPr>
            <w:r>
              <w:rPr>
                <w:rFonts w:ascii="Times New Roman" w:eastAsia="Times New Roman"/>
                <w:sz w:val="18"/>
              </w:rPr>
              <w:t>N-</w:t>
            </w:r>
            <w:r>
              <w:rPr>
                <w:sz w:val="18"/>
              </w:rPr>
              <w:t>戊基苯胺</w:t>
            </w:r>
          </w:p>
        </w:tc>
        <w:tc>
          <w:tcPr>
            <w:tcW w:w="847" w:type="dxa"/>
          </w:tcPr>
          <w:p>
            <w:pPr>
              <w:pStyle w:val="TableParagraph"/>
              <w:spacing w:before="10"/>
              <w:jc w:val="left"/>
              <w:rPr>
                <w:b/>
                <w:sz w:val="16"/>
              </w:rPr>
            </w:pPr>
          </w:p>
          <w:p>
            <w:pPr>
              <w:pStyle w:val="TableParagraph"/>
              <w:ind w:left="83" w:right="77"/>
              <w:rPr>
                <w:rFonts w:ascii="Times New Roman"/>
                <w:sz w:val="18"/>
              </w:rPr>
            </w:pPr>
            <w:r>
              <w:rPr>
                <w:rFonts w:ascii="Times New Roman"/>
                <w:sz w:val="18"/>
              </w:rPr>
              <w:t>650</w:t>
            </w:r>
          </w:p>
        </w:tc>
        <w:tc>
          <w:tcPr>
            <w:tcW w:w="852" w:type="dxa"/>
          </w:tcPr>
          <w:p>
            <w:pPr>
              <w:pStyle w:val="TableParagraph"/>
              <w:spacing w:before="10"/>
              <w:jc w:val="left"/>
              <w:rPr>
                <w:b/>
                <w:sz w:val="16"/>
              </w:rPr>
            </w:pPr>
          </w:p>
          <w:p>
            <w:pPr>
              <w:pStyle w:val="TableParagraph"/>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before="10"/>
              <w:jc w:val="left"/>
              <w:rPr>
                <w:b/>
                <w:sz w:val="16"/>
              </w:rPr>
            </w:pPr>
          </w:p>
          <w:p>
            <w:pPr>
              <w:pStyle w:val="TableParagraph"/>
              <w:ind w:left="8"/>
              <w:rPr>
                <w:rFonts w:ascii="Times New Roman"/>
                <w:sz w:val="18"/>
              </w:rPr>
            </w:pPr>
            <w:r>
              <w:rPr>
                <w:rFonts w:ascii="Times New Roman"/>
                <w:sz w:val="18"/>
              </w:rPr>
              <w:t>/</w:t>
            </w:r>
          </w:p>
        </w:tc>
      </w:tr>
      <w:tr>
        <w:trPr>
          <w:trHeight w:val="282" w:hRule="atLeast"/>
        </w:trPr>
        <w:tc>
          <w:tcPr>
            <w:tcW w:w="672" w:type="dxa"/>
            <w:vMerge w:val="restart"/>
          </w:tcPr>
          <w:p>
            <w:pPr>
              <w:pStyle w:val="TableParagraph"/>
              <w:jc w:val="left"/>
              <w:rPr>
                <w:b/>
                <w:sz w:val="18"/>
              </w:rPr>
            </w:pPr>
          </w:p>
          <w:p>
            <w:pPr>
              <w:pStyle w:val="TableParagraph"/>
              <w:spacing w:line="242" w:lineRule="auto" w:before="119"/>
              <w:ind w:left="155" w:right="144"/>
              <w:jc w:val="left"/>
              <w:rPr>
                <w:sz w:val="18"/>
              </w:rPr>
            </w:pPr>
            <w:r>
              <w:rPr>
                <w:sz w:val="18"/>
              </w:rPr>
              <w:t>还原车间</w:t>
            </w:r>
          </w:p>
        </w:tc>
        <w:tc>
          <w:tcPr>
            <w:tcW w:w="2132" w:type="dxa"/>
            <w:vMerge w:val="restart"/>
          </w:tcPr>
          <w:p>
            <w:pPr>
              <w:pStyle w:val="TableParagraph"/>
              <w:spacing w:line="242" w:lineRule="auto"/>
              <w:ind w:left="107" w:right="94" w:hanging="3"/>
              <w:rPr>
                <w:sz w:val="18"/>
              </w:rPr>
            </w:pPr>
            <w:r>
              <w:rPr>
                <w:rFonts w:ascii="Times New Roman" w:eastAsia="Times New Roman"/>
                <w:sz w:val="18"/>
              </w:rPr>
              <w:t>1500</w:t>
            </w:r>
            <w:r>
              <w:rPr>
                <w:rFonts w:ascii="Times New Roman" w:eastAsia="Times New Roman"/>
                <w:spacing w:val="2"/>
                <w:sz w:val="18"/>
              </w:rPr>
              <w:t> </w:t>
            </w:r>
            <w:r>
              <w:rPr>
                <w:sz w:val="18"/>
              </w:rPr>
              <w:t>吨</w:t>
            </w:r>
            <w:r>
              <w:rPr>
                <w:rFonts w:ascii="Times New Roman" w:eastAsia="Times New Roman"/>
                <w:sz w:val="18"/>
              </w:rPr>
              <w:t>/</w:t>
            </w:r>
            <w:r>
              <w:rPr>
                <w:sz w:val="18"/>
              </w:rPr>
              <w:t>年对异丙基苯 </w:t>
            </w:r>
            <w:r>
              <w:rPr>
                <w:spacing w:val="-36"/>
                <w:sz w:val="18"/>
              </w:rPr>
              <w:t>胺、</w:t>
            </w:r>
            <w:r>
              <w:rPr>
                <w:rFonts w:ascii="Times New Roman" w:eastAsia="Times New Roman"/>
                <w:sz w:val="18"/>
              </w:rPr>
              <w:t>500</w:t>
            </w:r>
            <w:r>
              <w:rPr>
                <w:rFonts w:ascii="Times New Roman" w:eastAsia="Times New Roman"/>
                <w:spacing w:val="2"/>
                <w:sz w:val="18"/>
              </w:rPr>
              <w:t> </w:t>
            </w:r>
            <w:r>
              <w:rPr>
                <w:sz w:val="18"/>
              </w:rPr>
              <w:t>吨</w:t>
            </w:r>
            <w:r>
              <w:rPr>
                <w:rFonts w:ascii="Times New Roman" w:eastAsia="Times New Roman"/>
                <w:sz w:val="18"/>
              </w:rPr>
              <w:t>/</w:t>
            </w:r>
            <w:r>
              <w:rPr>
                <w:spacing w:val="-3"/>
                <w:sz w:val="18"/>
              </w:rPr>
              <w:t>年邻异丙基苯</w:t>
            </w:r>
            <w:r>
              <w:rPr>
                <w:spacing w:val="-21"/>
                <w:sz w:val="18"/>
              </w:rPr>
              <w:t>胺、</w:t>
            </w:r>
            <w:r>
              <w:rPr>
                <w:rFonts w:ascii="Times New Roman" w:eastAsia="Times New Roman"/>
                <w:sz w:val="18"/>
              </w:rPr>
              <w:t>500</w:t>
            </w:r>
            <w:r>
              <w:rPr>
                <w:rFonts w:ascii="Times New Roman" w:eastAsia="Times New Roman"/>
                <w:spacing w:val="1"/>
                <w:sz w:val="18"/>
              </w:rPr>
              <w:t> </w:t>
            </w:r>
            <w:r>
              <w:rPr>
                <w:sz w:val="18"/>
              </w:rPr>
              <w:t>吨</w:t>
            </w:r>
            <w:r>
              <w:rPr>
                <w:rFonts w:ascii="Times New Roman" w:eastAsia="Times New Roman"/>
                <w:sz w:val="18"/>
              </w:rPr>
              <w:t>/</w:t>
            </w:r>
            <w:r>
              <w:rPr>
                <w:spacing w:val="-24"/>
                <w:sz w:val="18"/>
              </w:rPr>
              <w:t>年 </w:t>
            </w:r>
            <w:r>
              <w:rPr>
                <w:rFonts w:ascii="Times New Roman" w:eastAsia="Times New Roman"/>
                <w:sz w:val="18"/>
              </w:rPr>
              <w:t>2,6-</w:t>
            </w:r>
            <w:r>
              <w:rPr>
                <w:spacing w:val="-5"/>
                <w:sz w:val="18"/>
              </w:rPr>
              <w:t>二甲基</w:t>
            </w:r>
            <w:r>
              <w:rPr>
                <w:sz w:val="18"/>
              </w:rPr>
              <w:t>苯胺、</w:t>
            </w:r>
            <w:r>
              <w:rPr>
                <w:rFonts w:ascii="Times New Roman" w:eastAsia="Times New Roman"/>
                <w:sz w:val="18"/>
              </w:rPr>
              <w:t>1500</w:t>
            </w:r>
            <w:r>
              <w:rPr>
                <w:rFonts w:ascii="Times New Roman" w:eastAsia="Times New Roman"/>
                <w:spacing w:val="1"/>
                <w:sz w:val="18"/>
              </w:rPr>
              <w:t> </w:t>
            </w:r>
            <w:r>
              <w:rPr>
                <w:sz w:val="18"/>
              </w:rPr>
              <w:t>吨</w:t>
            </w:r>
            <w:r>
              <w:rPr>
                <w:rFonts w:ascii="Times New Roman" w:eastAsia="Times New Roman"/>
                <w:sz w:val="18"/>
              </w:rPr>
              <w:t>/</w:t>
            </w:r>
            <w:r>
              <w:rPr>
                <w:spacing w:val="-23"/>
                <w:sz w:val="18"/>
              </w:rPr>
              <w:t>年 </w:t>
            </w:r>
            <w:r>
              <w:rPr>
                <w:rFonts w:ascii="Times New Roman" w:eastAsia="Times New Roman"/>
                <w:sz w:val="18"/>
              </w:rPr>
              <w:t>2,4-</w:t>
            </w:r>
            <w:r>
              <w:rPr>
                <w:sz w:val="18"/>
              </w:rPr>
              <w:t>二</w:t>
            </w:r>
          </w:p>
          <w:p>
            <w:pPr>
              <w:pStyle w:val="TableParagraph"/>
              <w:spacing w:line="213" w:lineRule="exact" w:before="2"/>
              <w:ind w:left="104" w:right="101"/>
              <w:rPr>
                <w:sz w:val="18"/>
              </w:rPr>
            </w:pPr>
            <w:r>
              <w:rPr>
                <w:sz w:val="18"/>
              </w:rPr>
              <w:t>甲基苯胺技改项目</w:t>
            </w:r>
          </w:p>
        </w:tc>
        <w:tc>
          <w:tcPr>
            <w:tcW w:w="1560" w:type="dxa"/>
            <w:gridSpan w:val="2"/>
          </w:tcPr>
          <w:p>
            <w:pPr>
              <w:pStyle w:val="TableParagraph"/>
              <w:spacing w:before="23"/>
              <w:ind w:left="237"/>
              <w:jc w:val="left"/>
              <w:rPr>
                <w:sz w:val="18"/>
              </w:rPr>
            </w:pPr>
            <w:r>
              <w:rPr>
                <w:sz w:val="18"/>
              </w:rPr>
              <w:t>对异丙基苯胺</w:t>
            </w:r>
          </w:p>
        </w:tc>
        <w:tc>
          <w:tcPr>
            <w:tcW w:w="847" w:type="dxa"/>
          </w:tcPr>
          <w:p>
            <w:pPr>
              <w:pStyle w:val="TableParagraph"/>
              <w:spacing w:before="38"/>
              <w:ind w:left="84" w:right="77"/>
              <w:rPr>
                <w:rFonts w:ascii="Times New Roman"/>
                <w:sz w:val="18"/>
              </w:rPr>
            </w:pPr>
            <w:r>
              <w:rPr>
                <w:rFonts w:ascii="Times New Roman"/>
                <w:sz w:val="18"/>
              </w:rPr>
              <w:t>1500</w:t>
            </w:r>
          </w:p>
        </w:tc>
        <w:tc>
          <w:tcPr>
            <w:tcW w:w="852" w:type="dxa"/>
          </w:tcPr>
          <w:p>
            <w:pPr>
              <w:pStyle w:val="TableParagraph"/>
              <w:spacing w:before="38"/>
              <w:ind w:left="9"/>
              <w:rPr>
                <w:rFonts w:ascii="Times New Roman"/>
                <w:sz w:val="18"/>
              </w:rPr>
            </w:pPr>
            <w:r>
              <w:rPr>
                <w:rFonts w:ascii="Times New Roman"/>
                <w:sz w:val="18"/>
              </w:rPr>
              <w:t>/</w:t>
            </w:r>
          </w:p>
        </w:tc>
        <w:tc>
          <w:tcPr>
            <w:tcW w:w="1416" w:type="dxa"/>
            <w:vMerge w:val="restart"/>
          </w:tcPr>
          <w:p>
            <w:pPr>
              <w:pStyle w:val="TableParagraph"/>
              <w:spacing w:before="115"/>
              <w:ind w:left="24" w:right="17"/>
              <w:rPr>
                <w:sz w:val="18"/>
              </w:rPr>
            </w:pPr>
            <w:r>
              <w:rPr>
                <w:sz w:val="18"/>
              </w:rPr>
              <w:t>虞环审</w:t>
            </w:r>
          </w:p>
          <w:p>
            <w:pPr>
              <w:pStyle w:val="TableParagraph"/>
              <w:spacing w:before="4"/>
              <w:ind w:left="27" w:right="17"/>
              <w:rPr>
                <w:sz w:val="18"/>
              </w:rPr>
            </w:pPr>
            <w:r>
              <w:rPr>
                <w:rFonts w:ascii="Times New Roman" w:eastAsia="Times New Roman"/>
                <w:sz w:val="18"/>
              </w:rPr>
              <w:t>[2009]169 </w:t>
            </w:r>
            <w:r>
              <w:rPr>
                <w:sz w:val="18"/>
              </w:rPr>
              <w:t>号，</w:t>
            </w:r>
          </w:p>
          <w:p>
            <w:pPr>
              <w:pStyle w:val="TableParagraph"/>
              <w:spacing w:before="2"/>
              <w:ind w:left="27" w:right="17"/>
              <w:rPr>
                <w:sz w:val="18"/>
              </w:rPr>
            </w:pPr>
            <w:r>
              <w:rPr>
                <w:sz w:val="18"/>
              </w:rPr>
              <w:t>虞环建验</w:t>
            </w:r>
          </w:p>
          <w:p>
            <w:pPr>
              <w:pStyle w:val="TableParagraph"/>
              <w:spacing w:before="3"/>
              <w:ind w:left="27" w:right="17"/>
              <w:rPr>
                <w:sz w:val="18"/>
              </w:rPr>
            </w:pPr>
            <w:r>
              <w:rPr>
                <w:sz w:val="18"/>
              </w:rPr>
              <w:t>（</w:t>
            </w:r>
            <w:r>
              <w:rPr>
                <w:rFonts w:ascii="Times New Roman" w:eastAsia="Times New Roman"/>
                <w:sz w:val="18"/>
              </w:rPr>
              <w:t>2010</w:t>
            </w:r>
            <w:r>
              <w:rPr>
                <w:sz w:val="18"/>
              </w:rPr>
              <w:t>）</w:t>
            </w:r>
            <w:r>
              <w:rPr>
                <w:rFonts w:ascii="Times New Roman" w:eastAsia="Times New Roman"/>
                <w:sz w:val="18"/>
              </w:rPr>
              <w:t>49 </w:t>
            </w:r>
            <w:r>
              <w:rPr>
                <w:sz w:val="18"/>
              </w:rPr>
              <w:t>号</w:t>
            </w:r>
          </w:p>
        </w:tc>
        <w:tc>
          <w:tcPr>
            <w:tcW w:w="853" w:type="dxa"/>
            <w:vMerge w:val="restart"/>
          </w:tcPr>
          <w:p>
            <w:pPr>
              <w:pStyle w:val="TableParagraph"/>
              <w:spacing w:line="242" w:lineRule="auto" w:before="115"/>
              <w:ind w:left="108" w:right="12" w:firstLine="48"/>
              <w:jc w:val="left"/>
              <w:rPr>
                <w:sz w:val="18"/>
              </w:rPr>
            </w:pPr>
            <w:r>
              <w:rPr>
                <w:sz w:val="18"/>
              </w:rPr>
              <w:t>由于市场原因， 目 前 暂 未生产</w:t>
            </w:r>
          </w:p>
        </w:tc>
        <w:tc>
          <w:tcPr>
            <w:tcW w:w="958" w:type="dxa"/>
          </w:tcPr>
          <w:p>
            <w:pPr>
              <w:pStyle w:val="TableParagraph"/>
              <w:spacing w:before="38"/>
              <w:ind w:left="8"/>
              <w:rPr>
                <w:rFonts w:ascii="Times New Roman"/>
                <w:sz w:val="18"/>
              </w:rPr>
            </w:pPr>
            <w:r>
              <w:rPr>
                <w:rFonts w:ascii="Times New Roman"/>
                <w:sz w:val="18"/>
              </w:rPr>
              <w:t>/</w:t>
            </w:r>
          </w:p>
        </w:tc>
      </w:tr>
      <w:tr>
        <w:trPr>
          <w:trHeight w:val="285"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26"/>
              <w:ind w:left="237"/>
              <w:jc w:val="left"/>
              <w:rPr>
                <w:sz w:val="18"/>
              </w:rPr>
            </w:pPr>
            <w:r>
              <w:rPr>
                <w:sz w:val="18"/>
              </w:rPr>
              <w:t>邻异丙基苯胺</w:t>
            </w:r>
          </w:p>
        </w:tc>
        <w:tc>
          <w:tcPr>
            <w:tcW w:w="847" w:type="dxa"/>
          </w:tcPr>
          <w:p>
            <w:pPr>
              <w:pStyle w:val="TableParagraph"/>
              <w:spacing w:before="38"/>
              <w:ind w:left="83" w:right="77"/>
              <w:rPr>
                <w:rFonts w:ascii="Times New Roman"/>
                <w:sz w:val="18"/>
              </w:rPr>
            </w:pPr>
            <w:r>
              <w:rPr>
                <w:rFonts w:ascii="Times New Roman"/>
                <w:sz w:val="18"/>
              </w:rPr>
              <w:t>500</w:t>
            </w:r>
          </w:p>
        </w:tc>
        <w:tc>
          <w:tcPr>
            <w:tcW w:w="852" w:type="dxa"/>
          </w:tcPr>
          <w:p>
            <w:pPr>
              <w:pStyle w:val="TableParagraph"/>
              <w:spacing w:before="38"/>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before="38"/>
              <w:ind w:left="8"/>
              <w:rPr>
                <w:rFonts w:ascii="Times New Roman"/>
                <w:sz w:val="18"/>
              </w:rPr>
            </w:pPr>
            <w:r>
              <w:rPr>
                <w:rFonts w:ascii="Times New Roman"/>
                <w:sz w:val="18"/>
              </w:rPr>
              <w:t>/</w:t>
            </w:r>
          </w:p>
        </w:tc>
      </w:tr>
      <w:tr>
        <w:trPr>
          <w:trHeight w:val="283"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24"/>
              <w:ind w:left="184"/>
              <w:jc w:val="left"/>
              <w:rPr>
                <w:sz w:val="18"/>
              </w:rPr>
            </w:pPr>
            <w:r>
              <w:rPr>
                <w:rFonts w:ascii="Times New Roman" w:eastAsia="Times New Roman"/>
                <w:sz w:val="18"/>
              </w:rPr>
              <w:t>2,6-</w:t>
            </w:r>
            <w:r>
              <w:rPr>
                <w:sz w:val="18"/>
              </w:rPr>
              <w:t>二甲基苯胺</w:t>
            </w:r>
          </w:p>
        </w:tc>
        <w:tc>
          <w:tcPr>
            <w:tcW w:w="847" w:type="dxa"/>
          </w:tcPr>
          <w:p>
            <w:pPr>
              <w:pStyle w:val="TableParagraph"/>
              <w:spacing w:before="38"/>
              <w:ind w:left="83" w:right="77"/>
              <w:rPr>
                <w:rFonts w:ascii="Times New Roman"/>
                <w:sz w:val="18"/>
              </w:rPr>
            </w:pPr>
            <w:r>
              <w:rPr>
                <w:rFonts w:ascii="Times New Roman"/>
                <w:sz w:val="18"/>
              </w:rPr>
              <w:t>500</w:t>
            </w:r>
          </w:p>
        </w:tc>
        <w:tc>
          <w:tcPr>
            <w:tcW w:w="852" w:type="dxa"/>
          </w:tcPr>
          <w:p>
            <w:pPr>
              <w:pStyle w:val="TableParagraph"/>
              <w:spacing w:before="38"/>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before="38"/>
              <w:ind w:left="8"/>
              <w:rPr>
                <w:rFonts w:ascii="Times New Roman"/>
                <w:sz w:val="18"/>
              </w:rPr>
            </w:pPr>
            <w:r>
              <w:rPr>
                <w:rFonts w:ascii="Times New Roman"/>
                <w:sz w:val="18"/>
              </w:rPr>
              <w:t>/</w:t>
            </w:r>
          </w:p>
        </w:tc>
      </w:tr>
      <w:tr>
        <w:trPr>
          <w:trHeight w:val="285"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26"/>
              <w:ind w:left="184"/>
              <w:jc w:val="left"/>
              <w:rPr>
                <w:sz w:val="18"/>
              </w:rPr>
            </w:pPr>
            <w:r>
              <w:rPr>
                <w:rFonts w:ascii="Times New Roman" w:eastAsia="Times New Roman"/>
                <w:sz w:val="18"/>
              </w:rPr>
              <w:t>2,4-</w:t>
            </w:r>
            <w:r>
              <w:rPr>
                <w:sz w:val="18"/>
              </w:rPr>
              <w:t>二甲基苯胺</w:t>
            </w:r>
          </w:p>
        </w:tc>
        <w:tc>
          <w:tcPr>
            <w:tcW w:w="847" w:type="dxa"/>
          </w:tcPr>
          <w:p>
            <w:pPr>
              <w:pStyle w:val="TableParagraph"/>
              <w:spacing w:before="40"/>
              <w:ind w:left="83" w:right="77"/>
              <w:rPr>
                <w:rFonts w:ascii="Times New Roman"/>
                <w:sz w:val="18"/>
              </w:rPr>
            </w:pPr>
            <w:r>
              <w:rPr>
                <w:rFonts w:ascii="Times New Roman"/>
                <w:sz w:val="18"/>
              </w:rPr>
              <w:t>1500</w:t>
            </w:r>
          </w:p>
        </w:tc>
        <w:tc>
          <w:tcPr>
            <w:tcW w:w="852" w:type="dxa"/>
          </w:tcPr>
          <w:p>
            <w:pPr>
              <w:pStyle w:val="TableParagraph"/>
              <w:spacing w:before="40"/>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before="40"/>
              <w:ind w:left="8"/>
              <w:rPr>
                <w:rFonts w:ascii="Times New Roman"/>
                <w:sz w:val="18"/>
              </w:rPr>
            </w:pPr>
            <w:r>
              <w:rPr>
                <w:rFonts w:ascii="Times New Roman"/>
                <w:sz w:val="18"/>
              </w:rPr>
              <w:t>/</w:t>
            </w:r>
          </w:p>
        </w:tc>
      </w:tr>
      <w:tr>
        <w:trPr>
          <w:trHeight w:val="1634" w:hRule="atLeast"/>
        </w:trPr>
        <w:tc>
          <w:tcPr>
            <w:tcW w:w="672"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7"/>
              <w:jc w:val="left"/>
              <w:rPr>
                <w:b/>
                <w:sz w:val="19"/>
              </w:rPr>
            </w:pPr>
          </w:p>
          <w:p>
            <w:pPr>
              <w:pStyle w:val="TableParagraph"/>
              <w:spacing w:line="242" w:lineRule="auto"/>
              <w:ind w:left="155" w:right="144"/>
              <w:jc w:val="both"/>
              <w:rPr>
                <w:sz w:val="18"/>
              </w:rPr>
            </w:pPr>
            <w:r>
              <w:rPr>
                <w:sz w:val="18"/>
              </w:rPr>
              <w:t>硝化车间二</w:t>
            </w:r>
          </w:p>
        </w:tc>
        <w:tc>
          <w:tcPr>
            <w:tcW w:w="2132" w:type="dxa"/>
            <w:vMerge w:val="restart"/>
          </w:tcPr>
          <w:p>
            <w:pPr>
              <w:pStyle w:val="TableParagraph"/>
              <w:jc w:val="left"/>
              <w:rPr>
                <w:b/>
                <w:sz w:val="18"/>
              </w:rPr>
            </w:pPr>
          </w:p>
          <w:p>
            <w:pPr>
              <w:pStyle w:val="TableParagraph"/>
              <w:jc w:val="left"/>
              <w:rPr>
                <w:b/>
                <w:sz w:val="18"/>
              </w:rPr>
            </w:pPr>
          </w:p>
          <w:p>
            <w:pPr>
              <w:pStyle w:val="TableParagraph"/>
              <w:spacing w:before="5"/>
              <w:jc w:val="left"/>
              <w:rPr>
                <w:b/>
                <w:sz w:val="19"/>
              </w:rPr>
            </w:pPr>
          </w:p>
          <w:p>
            <w:pPr>
              <w:pStyle w:val="TableParagraph"/>
              <w:spacing w:line="242" w:lineRule="auto"/>
              <w:ind w:left="107" w:right="94" w:hanging="5"/>
              <w:rPr>
                <w:sz w:val="18"/>
              </w:rPr>
            </w:pPr>
            <w:r>
              <w:rPr>
                <w:rFonts w:ascii="Times New Roman" w:eastAsia="Times New Roman"/>
                <w:sz w:val="18"/>
              </w:rPr>
              <w:t>8000 </w:t>
            </w:r>
            <w:r>
              <w:rPr>
                <w:sz w:val="18"/>
              </w:rPr>
              <w:t>吨</w:t>
            </w:r>
            <w:r>
              <w:rPr>
                <w:rFonts w:ascii="Times New Roman" w:eastAsia="Times New Roman"/>
                <w:sz w:val="18"/>
              </w:rPr>
              <w:t>/</w:t>
            </w:r>
            <w:r>
              <w:rPr>
                <w:spacing w:val="-23"/>
                <w:sz w:val="18"/>
              </w:rPr>
              <w:t>年 </w:t>
            </w:r>
            <w:r>
              <w:rPr>
                <w:rFonts w:ascii="Times New Roman" w:eastAsia="Times New Roman"/>
                <w:sz w:val="18"/>
              </w:rPr>
              <w:t>4-</w:t>
            </w:r>
            <w:r>
              <w:rPr>
                <w:sz w:val="18"/>
              </w:rPr>
              <w:t>硝基邻二甲</w:t>
            </w:r>
            <w:r>
              <w:rPr>
                <w:spacing w:val="-2"/>
                <w:sz w:val="18"/>
              </w:rPr>
              <w:t>苯、</w:t>
            </w:r>
            <w:r>
              <w:rPr>
                <w:rFonts w:ascii="Times New Roman" w:eastAsia="Times New Roman"/>
                <w:sz w:val="18"/>
              </w:rPr>
              <w:t>6000 </w:t>
            </w:r>
            <w:r>
              <w:rPr>
                <w:spacing w:val="-3"/>
                <w:sz w:val="18"/>
              </w:rPr>
              <w:t>吨</w:t>
            </w:r>
            <w:r>
              <w:rPr>
                <w:rFonts w:ascii="Times New Roman" w:eastAsia="Times New Roman"/>
                <w:sz w:val="18"/>
              </w:rPr>
              <w:t>/</w:t>
            </w:r>
            <w:r>
              <w:rPr>
                <w:spacing w:val="-23"/>
                <w:sz w:val="18"/>
              </w:rPr>
              <w:t>年 </w:t>
            </w:r>
            <w:r>
              <w:rPr>
                <w:rFonts w:ascii="Times New Roman" w:eastAsia="Times New Roman"/>
                <w:sz w:val="18"/>
              </w:rPr>
              <w:t>N-</w:t>
            </w:r>
            <w:r>
              <w:rPr>
                <w:sz w:val="18"/>
              </w:rPr>
              <w:t>（</w:t>
            </w:r>
            <w:r>
              <w:rPr>
                <w:rFonts w:ascii="Times New Roman" w:eastAsia="Times New Roman"/>
                <w:sz w:val="18"/>
              </w:rPr>
              <w:t>1-</w:t>
            </w:r>
            <w:r>
              <w:rPr>
                <w:spacing w:val="-12"/>
                <w:sz w:val="18"/>
              </w:rPr>
              <w:t>乙</w:t>
            </w:r>
            <w:r>
              <w:rPr>
                <w:sz w:val="18"/>
              </w:rPr>
              <w:t>基丙基）</w:t>
            </w:r>
            <w:r>
              <w:rPr>
                <w:rFonts w:ascii="Times New Roman" w:eastAsia="Times New Roman"/>
                <w:sz w:val="18"/>
              </w:rPr>
              <w:t>-3,4-</w:t>
            </w:r>
            <w:r>
              <w:rPr>
                <w:sz w:val="18"/>
              </w:rPr>
              <w:t>二甲基苯胺、</w:t>
            </w:r>
            <w:r>
              <w:rPr>
                <w:rFonts w:ascii="Times New Roman" w:eastAsia="Times New Roman"/>
                <w:sz w:val="18"/>
              </w:rPr>
              <w:t>4000 </w:t>
            </w:r>
            <w:r>
              <w:rPr>
                <w:sz w:val="18"/>
              </w:rPr>
              <w:t>吨</w:t>
            </w:r>
            <w:r>
              <w:rPr>
                <w:rFonts w:ascii="Times New Roman" w:eastAsia="Times New Roman"/>
                <w:sz w:val="18"/>
              </w:rPr>
              <w:t>/</w:t>
            </w:r>
            <w:r>
              <w:rPr>
                <w:spacing w:val="-23"/>
                <w:sz w:val="18"/>
              </w:rPr>
              <w:t>年 </w:t>
            </w:r>
            <w:r>
              <w:rPr>
                <w:rFonts w:ascii="Times New Roman" w:eastAsia="Times New Roman"/>
                <w:sz w:val="18"/>
              </w:rPr>
              <w:t>2,3-</w:t>
            </w:r>
            <w:r>
              <w:rPr>
                <w:sz w:val="18"/>
              </w:rPr>
              <w:t>二甲基苯胺技改项目</w:t>
            </w:r>
          </w:p>
        </w:tc>
        <w:tc>
          <w:tcPr>
            <w:tcW w:w="1560" w:type="dxa"/>
            <w:gridSpan w:val="2"/>
          </w:tcPr>
          <w:p>
            <w:pPr>
              <w:pStyle w:val="TableParagraph"/>
              <w:jc w:val="left"/>
              <w:rPr>
                <w:b/>
                <w:sz w:val="20"/>
              </w:rPr>
            </w:pPr>
          </w:p>
          <w:p>
            <w:pPr>
              <w:pStyle w:val="TableParagraph"/>
              <w:jc w:val="left"/>
              <w:rPr>
                <w:b/>
                <w:sz w:val="20"/>
              </w:rPr>
            </w:pPr>
          </w:p>
          <w:p>
            <w:pPr>
              <w:pStyle w:val="TableParagraph"/>
              <w:spacing w:before="8"/>
              <w:jc w:val="left"/>
              <w:rPr>
                <w:b/>
                <w:sz w:val="14"/>
              </w:rPr>
            </w:pPr>
          </w:p>
          <w:p>
            <w:pPr>
              <w:pStyle w:val="TableParagraph"/>
              <w:ind w:left="160"/>
              <w:jc w:val="left"/>
              <w:rPr>
                <w:sz w:val="18"/>
              </w:rPr>
            </w:pPr>
            <w:r>
              <w:rPr>
                <w:rFonts w:ascii="Times New Roman" w:eastAsia="Times New Roman"/>
                <w:sz w:val="18"/>
              </w:rPr>
              <w:t>4-</w:t>
            </w:r>
            <w:r>
              <w:rPr>
                <w:sz w:val="18"/>
              </w:rPr>
              <w:t>硝基邻二甲苯</w:t>
            </w:r>
          </w:p>
        </w:tc>
        <w:tc>
          <w:tcPr>
            <w:tcW w:w="847" w:type="dxa"/>
          </w:tcPr>
          <w:p>
            <w:pPr>
              <w:pStyle w:val="TableParagraph"/>
              <w:jc w:val="left"/>
              <w:rPr>
                <w:b/>
                <w:sz w:val="20"/>
              </w:rPr>
            </w:pPr>
          </w:p>
          <w:p>
            <w:pPr>
              <w:pStyle w:val="TableParagraph"/>
              <w:jc w:val="left"/>
              <w:rPr>
                <w:b/>
                <w:sz w:val="20"/>
              </w:rPr>
            </w:pPr>
          </w:p>
          <w:p>
            <w:pPr>
              <w:pStyle w:val="TableParagraph"/>
              <w:spacing w:before="10"/>
              <w:jc w:val="left"/>
              <w:rPr>
                <w:b/>
                <w:sz w:val="15"/>
              </w:rPr>
            </w:pPr>
          </w:p>
          <w:p>
            <w:pPr>
              <w:pStyle w:val="TableParagraph"/>
              <w:ind w:left="84" w:right="77"/>
              <w:rPr>
                <w:rFonts w:ascii="Times New Roman"/>
                <w:sz w:val="18"/>
              </w:rPr>
            </w:pPr>
            <w:r>
              <w:rPr>
                <w:rFonts w:ascii="Times New Roman"/>
                <w:sz w:val="18"/>
              </w:rPr>
              <w:t>8000</w:t>
            </w:r>
          </w:p>
        </w:tc>
        <w:tc>
          <w:tcPr>
            <w:tcW w:w="852" w:type="dxa"/>
          </w:tcPr>
          <w:p>
            <w:pPr>
              <w:pStyle w:val="TableParagraph"/>
              <w:jc w:val="left"/>
              <w:rPr>
                <w:b/>
                <w:sz w:val="20"/>
              </w:rPr>
            </w:pPr>
          </w:p>
          <w:p>
            <w:pPr>
              <w:pStyle w:val="TableParagraph"/>
              <w:jc w:val="left"/>
              <w:rPr>
                <w:b/>
                <w:sz w:val="20"/>
              </w:rPr>
            </w:pPr>
          </w:p>
          <w:p>
            <w:pPr>
              <w:pStyle w:val="TableParagraph"/>
              <w:spacing w:before="10"/>
              <w:jc w:val="left"/>
              <w:rPr>
                <w:b/>
                <w:sz w:val="15"/>
              </w:rPr>
            </w:pPr>
          </w:p>
          <w:p>
            <w:pPr>
              <w:pStyle w:val="TableParagraph"/>
              <w:ind w:right="166"/>
              <w:jc w:val="right"/>
              <w:rPr>
                <w:rFonts w:ascii="Times New Roman"/>
                <w:sz w:val="18"/>
              </w:rPr>
            </w:pPr>
            <w:r>
              <w:rPr>
                <w:rFonts w:ascii="Times New Roman"/>
                <w:sz w:val="18"/>
              </w:rPr>
              <w:t>8401.6</w:t>
            </w:r>
          </w:p>
        </w:tc>
        <w:tc>
          <w:tcPr>
            <w:tcW w:w="1416"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136"/>
              <w:ind w:left="27" w:right="17"/>
              <w:rPr>
                <w:sz w:val="18"/>
              </w:rPr>
            </w:pPr>
            <w:r>
              <w:rPr>
                <w:sz w:val="18"/>
              </w:rPr>
              <w:t>绍市环审</w:t>
            </w:r>
          </w:p>
          <w:p>
            <w:pPr>
              <w:pStyle w:val="TableParagraph"/>
              <w:spacing w:before="2"/>
              <w:ind w:left="29" w:right="17"/>
              <w:rPr>
                <w:sz w:val="18"/>
              </w:rPr>
            </w:pPr>
            <w:r>
              <w:rPr>
                <w:rFonts w:ascii="Times New Roman" w:eastAsia="Times New Roman"/>
                <w:sz w:val="18"/>
              </w:rPr>
              <w:t>[2014]43 </w:t>
            </w:r>
            <w:r>
              <w:rPr>
                <w:sz w:val="18"/>
              </w:rPr>
              <w:t>号，绍</w:t>
            </w:r>
          </w:p>
          <w:p>
            <w:pPr>
              <w:pStyle w:val="TableParagraph"/>
              <w:spacing w:before="2"/>
              <w:ind w:left="27" w:right="17"/>
              <w:rPr>
                <w:sz w:val="18"/>
              </w:rPr>
            </w:pPr>
            <w:r>
              <w:rPr>
                <w:sz w:val="18"/>
              </w:rPr>
              <w:t>市环建验</w:t>
            </w:r>
          </w:p>
          <w:p>
            <w:pPr>
              <w:pStyle w:val="TableParagraph"/>
              <w:spacing w:before="5"/>
              <w:ind w:left="27" w:right="17"/>
              <w:rPr>
                <w:sz w:val="18"/>
              </w:rPr>
            </w:pPr>
            <w:r>
              <w:rPr>
                <w:rFonts w:ascii="Times New Roman" w:eastAsia="Times New Roman"/>
                <w:sz w:val="18"/>
              </w:rPr>
              <w:t>(2015)14</w:t>
            </w:r>
            <w:r>
              <w:rPr>
                <w:rFonts w:ascii="Times New Roman" w:eastAsia="Times New Roman"/>
                <w:spacing w:val="1"/>
                <w:sz w:val="18"/>
              </w:rPr>
              <w:t> </w:t>
            </w:r>
            <w:r>
              <w:rPr>
                <w:sz w:val="18"/>
              </w:rPr>
              <w:t>号</w:t>
            </w:r>
          </w:p>
        </w:tc>
        <w:tc>
          <w:tcPr>
            <w:tcW w:w="853"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line="242" w:lineRule="auto" w:before="138"/>
              <w:ind w:left="336" w:right="144" w:hanging="180"/>
              <w:jc w:val="left"/>
              <w:rPr>
                <w:sz w:val="18"/>
              </w:rPr>
            </w:pPr>
            <w:r>
              <w:rPr>
                <w:sz w:val="18"/>
              </w:rPr>
              <w:t>正常生产</w:t>
            </w:r>
          </w:p>
        </w:tc>
        <w:tc>
          <w:tcPr>
            <w:tcW w:w="958" w:type="dxa"/>
          </w:tcPr>
          <w:p>
            <w:pPr>
              <w:pStyle w:val="TableParagraph"/>
              <w:spacing w:line="242" w:lineRule="auto"/>
              <w:ind w:left="117" w:right="108"/>
              <w:rPr>
                <w:sz w:val="18"/>
              </w:rPr>
            </w:pPr>
            <w:r>
              <w:rPr>
                <w:spacing w:val="-5"/>
                <w:sz w:val="18"/>
              </w:rPr>
              <w:t>部分自用</w:t>
            </w:r>
            <w:r>
              <w:rPr>
                <w:sz w:val="18"/>
              </w:rPr>
              <w:t>于生产</w:t>
            </w:r>
            <w:r>
              <w:rPr>
                <w:rFonts w:ascii="Times New Roman" w:eastAsia="Times New Roman"/>
                <w:sz w:val="18"/>
              </w:rPr>
              <w:t>N-</w:t>
            </w:r>
            <w:r>
              <w:rPr>
                <w:sz w:val="18"/>
              </w:rPr>
              <w:t>（</w:t>
            </w:r>
            <w:r>
              <w:rPr>
                <w:rFonts w:ascii="Times New Roman" w:eastAsia="Times New Roman"/>
                <w:sz w:val="18"/>
              </w:rPr>
              <w:t>1-</w:t>
            </w:r>
            <w:r>
              <w:rPr>
                <w:sz w:val="18"/>
              </w:rPr>
              <w:t>乙基丙基</w:t>
            </w:r>
            <w:r>
              <w:rPr>
                <w:spacing w:val="-17"/>
                <w:sz w:val="18"/>
              </w:rPr>
              <w:t>）</w:t>
            </w:r>
          </w:p>
          <w:p>
            <w:pPr>
              <w:pStyle w:val="TableParagraph"/>
              <w:spacing w:before="1"/>
              <w:ind w:left="106" w:right="97"/>
              <w:rPr>
                <w:sz w:val="18"/>
              </w:rPr>
            </w:pPr>
            <w:r>
              <w:rPr>
                <w:rFonts w:ascii="Times New Roman" w:eastAsia="Times New Roman"/>
                <w:sz w:val="18"/>
              </w:rPr>
              <w:t>-3,4-</w:t>
            </w:r>
            <w:r>
              <w:rPr>
                <w:sz w:val="18"/>
              </w:rPr>
              <w:t>二甲</w:t>
            </w:r>
          </w:p>
          <w:p>
            <w:pPr>
              <w:pStyle w:val="TableParagraph"/>
              <w:spacing w:line="230" w:lineRule="atLeast" w:before="5"/>
              <w:ind w:left="117" w:right="108"/>
              <w:rPr>
                <w:sz w:val="18"/>
              </w:rPr>
            </w:pPr>
            <w:r>
              <w:rPr>
                <w:spacing w:val="-5"/>
                <w:sz w:val="18"/>
              </w:rPr>
              <w:t>基苯胺， 部分外售</w:t>
            </w:r>
          </w:p>
        </w:tc>
      </w:tr>
      <w:tr>
        <w:trPr>
          <w:trHeight w:val="467"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425" w:type="dxa"/>
            <w:vMerge w:val="restart"/>
          </w:tcPr>
          <w:p>
            <w:pPr>
              <w:pStyle w:val="TableParagraph"/>
              <w:spacing w:line="242" w:lineRule="auto" w:before="122"/>
              <w:ind w:left="119" w:right="113"/>
              <w:jc w:val="both"/>
              <w:rPr>
                <w:sz w:val="18"/>
              </w:rPr>
            </w:pPr>
            <w:r>
              <w:rPr>
                <w:sz w:val="18"/>
              </w:rPr>
              <w:t>副产品</w:t>
            </w:r>
          </w:p>
        </w:tc>
        <w:tc>
          <w:tcPr>
            <w:tcW w:w="1135" w:type="dxa"/>
          </w:tcPr>
          <w:p>
            <w:pPr>
              <w:pStyle w:val="TableParagraph"/>
              <w:spacing w:line="230" w:lineRule="exact"/>
              <w:ind w:left="12" w:right="8"/>
              <w:rPr>
                <w:sz w:val="18"/>
              </w:rPr>
            </w:pPr>
            <w:r>
              <w:rPr>
                <w:rFonts w:ascii="Times New Roman" w:eastAsia="Times New Roman"/>
                <w:sz w:val="18"/>
              </w:rPr>
              <w:t>3-</w:t>
            </w:r>
            <w:r>
              <w:rPr>
                <w:sz w:val="18"/>
              </w:rPr>
              <w:t>硝基邻二</w:t>
            </w:r>
          </w:p>
          <w:p>
            <w:pPr>
              <w:pStyle w:val="TableParagraph"/>
              <w:spacing w:line="213" w:lineRule="exact" w:before="4"/>
              <w:ind w:left="9" w:right="8"/>
              <w:rPr>
                <w:sz w:val="18"/>
              </w:rPr>
            </w:pPr>
            <w:r>
              <w:rPr>
                <w:sz w:val="18"/>
              </w:rPr>
              <w:t>甲苯</w:t>
            </w:r>
          </w:p>
        </w:tc>
        <w:tc>
          <w:tcPr>
            <w:tcW w:w="847" w:type="dxa"/>
          </w:tcPr>
          <w:p>
            <w:pPr>
              <w:pStyle w:val="TableParagraph"/>
              <w:spacing w:before="129"/>
              <w:ind w:left="84" w:right="77"/>
              <w:rPr>
                <w:rFonts w:ascii="Times New Roman"/>
                <w:sz w:val="18"/>
              </w:rPr>
            </w:pPr>
            <w:r>
              <w:rPr>
                <w:rFonts w:ascii="Times New Roman"/>
                <w:sz w:val="18"/>
              </w:rPr>
              <w:t>9882</w:t>
            </w:r>
          </w:p>
        </w:tc>
        <w:tc>
          <w:tcPr>
            <w:tcW w:w="852" w:type="dxa"/>
          </w:tcPr>
          <w:p>
            <w:pPr>
              <w:pStyle w:val="TableParagraph"/>
              <w:spacing w:before="129"/>
              <w:ind w:right="234"/>
              <w:jc w:val="right"/>
              <w:rPr>
                <w:rFonts w:ascii="Times New Roman"/>
                <w:sz w:val="18"/>
              </w:rPr>
            </w:pPr>
            <w:r>
              <w:rPr>
                <w:rFonts w:ascii="Times New Roman"/>
                <w:sz w:val="18"/>
              </w:rPr>
              <w:t>9960</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before="117"/>
              <w:ind w:left="114" w:right="108"/>
              <w:rPr>
                <w:sz w:val="18"/>
              </w:rPr>
            </w:pPr>
            <w:r>
              <w:rPr>
                <w:sz w:val="18"/>
              </w:rPr>
              <w:t>外售</w:t>
            </w:r>
          </w:p>
        </w:tc>
      </w:tr>
      <w:tr>
        <w:trPr>
          <w:trHeight w:val="467"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425" w:type="dxa"/>
            <w:vMerge/>
            <w:tcBorders>
              <w:top w:val="nil"/>
            </w:tcBorders>
          </w:tcPr>
          <w:p>
            <w:pPr>
              <w:rPr>
                <w:sz w:val="2"/>
                <w:szCs w:val="2"/>
              </w:rPr>
            </w:pPr>
          </w:p>
        </w:tc>
        <w:tc>
          <w:tcPr>
            <w:tcW w:w="1135" w:type="dxa"/>
          </w:tcPr>
          <w:p>
            <w:pPr>
              <w:pStyle w:val="TableParagraph"/>
              <w:spacing w:before="117"/>
              <w:ind w:left="220"/>
              <w:jc w:val="left"/>
              <w:rPr>
                <w:sz w:val="18"/>
              </w:rPr>
            </w:pPr>
            <w:r>
              <w:rPr>
                <w:rFonts w:ascii="Times New Roman" w:eastAsia="Times New Roman"/>
                <w:sz w:val="18"/>
              </w:rPr>
              <w:t>30%</w:t>
            </w:r>
            <w:r>
              <w:rPr>
                <w:sz w:val="18"/>
              </w:rPr>
              <w:t>硝酸</w:t>
            </w:r>
          </w:p>
        </w:tc>
        <w:tc>
          <w:tcPr>
            <w:tcW w:w="847" w:type="dxa"/>
          </w:tcPr>
          <w:p>
            <w:pPr>
              <w:pStyle w:val="TableParagraph"/>
              <w:spacing w:before="129"/>
              <w:ind w:left="84" w:right="77"/>
              <w:rPr>
                <w:rFonts w:ascii="Times New Roman"/>
                <w:sz w:val="18"/>
              </w:rPr>
            </w:pPr>
            <w:r>
              <w:rPr>
                <w:rFonts w:ascii="Times New Roman"/>
                <w:sz w:val="18"/>
              </w:rPr>
              <w:t>1596.24</w:t>
            </w:r>
          </w:p>
        </w:tc>
        <w:tc>
          <w:tcPr>
            <w:tcW w:w="852" w:type="dxa"/>
          </w:tcPr>
          <w:p>
            <w:pPr>
              <w:pStyle w:val="TableParagraph"/>
              <w:spacing w:before="129"/>
              <w:ind w:right="233"/>
              <w:jc w:val="right"/>
              <w:rPr>
                <w:rFonts w:ascii="Times New Roman"/>
                <w:sz w:val="18"/>
              </w:rPr>
            </w:pPr>
            <w:r>
              <w:rPr>
                <w:rFonts w:ascii="Times New Roman"/>
                <w:sz w:val="18"/>
              </w:rPr>
              <w:t>1465</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line="230" w:lineRule="exact"/>
              <w:ind w:left="117"/>
              <w:jc w:val="left"/>
              <w:rPr>
                <w:sz w:val="18"/>
              </w:rPr>
            </w:pPr>
            <w:r>
              <w:rPr>
                <w:sz w:val="18"/>
              </w:rPr>
              <w:t>全部回用</w:t>
            </w:r>
          </w:p>
          <w:p>
            <w:pPr>
              <w:pStyle w:val="TableParagraph"/>
              <w:spacing w:line="215" w:lineRule="exact" w:before="2"/>
              <w:ind w:left="117"/>
              <w:jc w:val="left"/>
              <w:rPr>
                <w:sz w:val="18"/>
              </w:rPr>
            </w:pPr>
            <w:r>
              <w:rPr>
                <w:sz w:val="18"/>
              </w:rPr>
              <w:t>于生产，</w:t>
            </w:r>
          </w:p>
        </w:tc>
      </w:tr>
    </w:tbl>
    <w:p>
      <w:pPr>
        <w:spacing w:after="0" w:line="215" w:lineRule="exact"/>
        <w:jc w:val="left"/>
        <w:rPr>
          <w:sz w:val="18"/>
        </w:rPr>
        <w:sectPr>
          <w:headerReference w:type="default" r:id="rId31"/>
          <w:footerReference w:type="default" r:id="rId32"/>
          <w:pgSz w:w="11910" w:h="16850"/>
          <w:pgMar w:header="730" w:footer="690" w:top="1340" w:bottom="880" w:left="1200" w:right="1180"/>
          <w:pgNumType w:start="42"/>
        </w:sectPr>
      </w:pPr>
    </w:p>
    <w:p>
      <w:pPr>
        <w:pStyle w:val="BodyText"/>
        <w:spacing w:before="10"/>
        <w:rPr>
          <w:b/>
          <w:sz w:val="4"/>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2"/>
        <w:gridCol w:w="2132"/>
        <w:gridCol w:w="425"/>
        <w:gridCol w:w="1135"/>
        <w:gridCol w:w="847"/>
        <w:gridCol w:w="852"/>
        <w:gridCol w:w="1416"/>
        <w:gridCol w:w="853"/>
        <w:gridCol w:w="958"/>
      </w:tblGrid>
      <w:tr>
        <w:trPr>
          <w:trHeight w:val="467" w:hRule="atLeast"/>
        </w:trPr>
        <w:tc>
          <w:tcPr>
            <w:tcW w:w="672" w:type="dxa"/>
          </w:tcPr>
          <w:p>
            <w:pPr>
              <w:pStyle w:val="TableParagraph"/>
              <w:spacing w:line="230" w:lineRule="exact"/>
              <w:ind w:left="153"/>
              <w:jc w:val="left"/>
              <w:rPr>
                <w:b/>
                <w:sz w:val="18"/>
              </w:rPr>
            </w:pPr>
            <w:r>
              <w:rPr>
                <w:b/>
                <w:sz w:val="18"/>
              </w:rPr>
              <w:t>所在</w:t>
            </w:r>
          </w:p>
          <w:p>
            <w:pPr>
              <w:pStyle w:val="TableParagraph"/>
              <w:spacing w:line="215" w:lineRule="exact" w:before="2"/>
              <w:ind w:left="153"/>
              <w:jc w:val="left"/>
              <w:rPr>
                <w:b/>
                <w:sz w:val="18"/>
              </w:rPr>
            </w:pPr>
            <w:r>
              <w:rPr>
                <w:b/>
                <w:sz w:val="18"/>
              </w:rPr>
              <w:t>车间</w:t>
            </w:r>
          </w:p>
        </w:tc>
        <w:tc>
          <w:tcPr>
            <w:tcW w:w="2132" w:type="dxa"/>
          </w:tcPr>
          <w:p>
            <w:pPr>
              <w:pStyle w:val="TableParagraph"/>
              <w:spacing w:before="118"/>
              <w:ind w:left="702"/>
              <w:jc w:val="left"/>
              <w:rPr>
                <w:b/>
                <w:sz w:val="18"/>
              </w:rPr>
            </w:pPr>
            <w:r>
              <w:rPr>
                <w:b/>
                <w:sz w:val="18"/>
              </w:rPr>
              <w:t>项目名称</w:t>
            </w:r>
          </w:p>
        </w:tc>
        <w:tc>
          <w:tcPr>
            <w:tcW w:w="1560" w:type="dxa"/>
            <w:gridSpan w:val="2"/>
          </w:tcPr>
          <w:p>
            <w:pPr>
              <w:pStyle w:val="TableParagraph"/>
              <w:spacing w:before="118"/>
              <w:ind w:left="414"/>
              <w:jc w:val="left"/>
              <w:rPr>
                <w:b/>
                <w:sz w:val="18"/>
              </w:rPr>
            </w:pPr>
            <w:r>
              <w:rPr>
                <w:b/>
                <w:sz w:val="18"/>
              </w:rPr>
              <w:t>产品名称</w:t>
            </w:r>
          </w:p>
        </w:tc>
        <w:tc>
          <w:tcPr>
            <w:tcW w:w="847" w:type="dxa"/>
          </w:tcPr>
          <w:p>
            <w:pPr>
              <w:pStyle w:val="TableParagraph"/>
              <w:spacing w:line="230" w:lineRule="exact"/>
              <w:ind w:left="150"/>
              <w:jc w:val="left"/>
              <w:rPr>
                <w:b/>
                <w:sz w:val="18"/>
              </w:rPr>
            </w:pPr>
            <w:r>
              <w:rPr>
                <w:b/>
                <w:sz w:val="18"/>
              </w:rPr>
              <w:t>批复产</w:t>
            </w:r>
          </w:p>
          <w:p>
            <w:pPr>
              <w:pStyle w:val="TableParagraph"/>
              <w:spacing w:line="215" w:lineRule="exact" w:before="2"/>
              <w:ind w:left="105"/>
              <w:jc w:val="left"/>
              <w:rPr>
                <w:b/>
                <w:sz w:val="18"/>
              </w:rPr>
            </w:pPr>
            <w:r>
              <w:rPr>
                <w:b/>
                <w:spacing w:val="-17"/>
                <w:sz w:val="18"/>
              </w:rPr>
              <w:t>量</w:t>
            </w:r>
            <w:r>
              <w:rPr>
                <w:b/>
                <w:spacing w:val="-3"/>
                <w:sz w:val="18"/>
              </w:rPr>
              <w:t>（</w:t>
            </w:r>
            <w:r>
              <w:rPr>
                <w:rFonts w:ascii="Times New Roman" w:eastAsia="Times New Roman"/>
                <w:b/>
                <w:spacing w:val="-3"/>
                <w:sz w:val="18"/>
              </w:rPr>
              <w:t>t/a</w:t>
            </w:r>
            <w:r>
              <w:rPr>
                <w:b/>
                <w:spacing w:val="-3"/>
                <w:sz w:val="18"/>
              </w:rPr>
              <w:t>）</w:t>
            </w:r>
          </w:p>
        </w:tc>
        <w:tc>
          <w:tcPr>
            <w:tcW w:w="852" w:type="dxa"/>
          </w:tcPr>
          <w:p>
            <w:pPr>
              <w:pStyle w:val="TableParagraph"/>
              <w:spacing w:line="230" w:lineRule="exact"/>
              <w:ind w:left="36" w:right="29"/>
              <w:rPr>
                <w:b/>
                <w:sz w:val="18"/>
              </w:rPr>
            </w:pPr>
            <w:r>
              <w:rPr>
                <w:rFonts w:ascii="Times New Roman" w:eastAsia="Times New Roman"/>
                <w:b/>
                <w:sz w:val="18"/>
              </w:rPr>
              <w:t>2021 </w:t>
            </w:r>
            <w:r>
              <w:rPr>
                <w:b/>
                <w:sz w:val="18"/>
              </w:rPr>
              <w:t>年</w:t>
            </w:r>
          </w:p>
          <w:p>
            <w:pPr>
              <w:pStyle w:val="TableParagraph"/>
              <w:spacing w:line="215" w:lineRule="exact" w:before="2"/>
              <w:ind w:left="38" w:right="26"/>
              <w:rPr>
                <w:b/>
                <w:sz w:val="18"/>
              </w:rPr>
            </w:pPr>
            <w:r>
              <w:rPr>
                <w:b/>
                <w:sz w:val="18"/>
              </w:rPr>
              <w:t>产量</w:t>
            </w:r>
          </w:p>
        </w:tc>
        <w:tc>
          <w:tcPr>
            <w:tcW w:w="1416" w:type="dxa"/>
          </w:tcPr>
          <w:p>
            <w:pPr>
              <w:pStyle w:val="TableParagraph"/>
              <w:spacing w:line="230" w:lineRule="exact"/>
              <w:ind w:left="26" w:right="17"/>
              <w:rPr>
                <w:b/>
                <w:sz w:val="18"/>
              </w:rPr>
            </w:pPr>
            <w:r>
              <w:rPr>
                <w:b/>
                <w:sz w:val="18"/>
              </w:rPr>
              <w:t>批复及验收情</w:t>
            </w:r>
          </w:p>
          <w:p>
            <w:pPr>
              <w:pStyle w:val="TableParagraph"/>
              <w:spacing w:line="215" w:lineRule="exact" w:before="2"/>
              <w:ind w:left="7"/>
              <w:rPr>
                <w:b/>
                <w:sz w:val="18"/>
              </w:rPr>
            </w:pPr>
            <w:r>
              <w:rPr>
                <w:b/>
                <w:w w:val="99"/>
                <w:sz w:val="18"/>
              </w:rPr>
              <w:t>况</w:t>
            </w:r>
          </w:p>
        </w:tc>
        <w:tc>
          <w:tcPr>
            <w:tcW w:w="853" w:type="dxa"/>
          </w:tcPr>
          <w:p>
            <w:pPr>
              <w:pStyle w:val="TableParagraph"/>
              <w:spacing w:before="118"/>
              <w:ind w:left="35" w:right="24"/>
              <w:rPr>
                <w:b/>
                <w:sz w:val="18"/>
              </w:rPr>
            </w:pPr>
            <w:r>
              <w:rPr>
                <w:b/>
                <w:sz w:val="18"/>
              </w:rPr>
              <w:t>现状</w:t>
            </w:r>
          </w:p>
        </w:tc>
        <w:tc>
          <w:tcPr>
            <w:tcW w:w="958" w:type="dxa"/>
          </w:tcPr>
          <w:p>
            <w:pPr>
              <w:pStyle w:val="TableParagraph"/>
              <w:spacing w:before="118"/>
              <w:ind w:left="117" w:right="106"/>
              <w:rPr>
                <w:b/>
                <w:sz w:val="18"/>
              </w:rPr>
            </w:pPr>
            <w:r>
              <w:rPr>
                <w:b/>
                <w:sz w:val="18"/>
              </w:rPr>
              <w:t>备注</w:t>
            </w:r>
          </w:p>
        </w:tc>
      </w:tr>
      <w:tr>
        <w:trPr>
          <w:trHeight w:val="282" w:hRule="atLeast"/>
        </w:trPr>
        <w:tc>
          <w:tcPr>
            <w:tcW w:w="672" w:type="dxa"/>
          </w:tcPr>
          <w:p>
            <w:pPr>
              <w:pStyle w:val="TableParagraph"/>
              <w:jc w:val="left"/>
              <w:rPr>
                <w:rFonts w:ascii="Times New Roman"/>
                <w:sz w:val="20"/>
              </w:rPr>
            </w:pPr>
          </w:p>
        </w:tc>
        <w:tc>
          <w:tcPr>
            <w:tcW w:w="2132" w:type="dxa"/>
            <w:vMerge w:val="restart"/>
          </w:tcPr>
          <w:p>
            <w:pPr>
              <w:pStyle w:val="TableParagraph"/>
              <w:jc w:val="left"/>
              <w:rPr>
                <w:rFonts w:ascii="Times New Roman"/>
                <w:sz w:val="20"/>
              </w:rPr>
            </w:pPr>
          </w:p>
        </w:tc>
        <w:tc>
          <w:tcPr>
            <w:tcW w:w="425" w:type="dxa"/>
            <w:vMerge w:val="restart"/>
          </w:tcPr>
          <w:p>
            <w:pPr>
              <w:pStyle w:val="TableParagraph"/>
              <w:jc w:val="left"/>
              <w:rPr>
                <w:rFonts w:ascii="Times New Roman"/>
                <w:sz w:val="20"/>
              </w:rPr>
            </w:pPr>
          </w:p>
        </w:tc>
        <w:tc>
          <w:tcPr>
            <w:tcW w:w="1135" w:type="dxa"/>
          </w:tcPr>
          <w:p>
            <w:pPr>
              <w:pStyle w:val="TableParagraph"/>
              <w:jc w:val="left"/>
              <w:rPr>
                <w:rFonts w:ascii="Times New Roman"/>
                <w:sz w:val="20"/>
              </w:rPr>
            </w:pPr>
          </w:p>
        </w:tc>
        <w:tc>
          <w:tcPr>
            <w:tcW w:w="847" w:type="dxa"/>
          </w:tcPr>
          <w:p>
            <w:pPr>
              <w:pStyle w:val="TableParagraph"/>
              <w:jc w:val="left"/>
              <w:rPr>
                <w:rFonts w:ascii="Times New Roman"/>
                <w:sz w:val="20"/>
              </w:rPr>
            </w:pPr>
          </w:p>
        </w:tc>
        <w:tc>
          <w:tcPr>
            <w:tcW w:w="852" w:type="dxa"/>
          </w:tcPr>
          <w:p>
            <w:pPr>
              <w:pStyle w:val="TableParagraph"/>
              <w:jc w:val="left"/>
              <w:rPr>
                <w:rFonts w:ascii="Times New Roman"/>
                <w:sz w:val="20"/>
              </w:rPr>
            </w:pPr>
          </w:p>
        </w:tc>
        <w:tc>
          <w:tcPr>
            <w:tcW w:w="1416" w:type="dxa"/>
            <w:vMerge w:val="restart"/>
          </w:tcPr>
          <w:p>
            <w:pPr>
              <w:pStyle w:val="TableParagraph"/>
              <w:jc w:val="left"/>
              <w:rPr>
                <w:rFonts w:ascii="Times New Roman"/>
                <w:sz w:val="20"/>
              </w:rPr>
            </w:pPr>
          </w:p>
        </w:tc>
        <w:tc>
          <w:tcPr>
            <w:tcW w:w="853" w:type="dxa"/>
            <w:vMerge w:val="restart"/>
            <w:tcBorders>
              <w:bottom w:val="single" w:sz="2" w:space="0" w:color="000000"/>
            </w:tcBorders>
          </w:tcPr>
          <w:p>
            <w:pPr>
              <w:pStyle w:val="TableParagraph"/>
              <w:jc w:val="left"/>
              <w:rPr>
                <w:rFonts w:ascii="Times New Roman"/>
                <w:sz w:val="20"/>
              </w:rPr>
            </w:pPr>
          </w:p>
        </w:tc>
        <w:tc>
          <w:tcPr>
            <w:tcW w:w="958" w:type="dxa"/>
          </w:tcPr>
          <w:p>
            <w:pPr>
              <w:pStyle w:val="TableParagraph"/>
              <w:ind w:left="117" w:right="108"/>
              <w:rPr>
                <w:sz w:val="18"/>
              </w:rPr>
            </w:pPr>
            <w:r>
              <w:rPr>
                <w:sz w:val="18"/>
              </w:rPr>
              <w:t>不外售</w:t>
            </w:r>
          </w:p>
        </w:tc>
      </w:tr>
      <w:tr>
        <w:trPr>
          <w:trHeight w:val="700" w:hRule="atLeast"/>
        </w:trPr>
        <w:tc>
          <w:tcPr>
            <w:tcW w:w="672" w:type="dxa"/>
          </w:tcPr>
          <w:p>
            <w:pPr>
              <w:pStyle w:val="TableParagraph"/>
              <w:spacing w:line="242" w:lineRule="auto"/>
              <w:ind w:left="155" w:right="144"/>
              <w:jc w:val="left"/>
              <w:rPr>
                <w:sz w:val="18"/>
              </w:rPr>
            </w:pPr>
            <w:r>
              <w:rPr>
                <w:spacing w:val="-9"/>
                <w:sz w:val="18"/>
              </w:rPr>
              <w:t>硫酸浓缩</w:t>
            </w:r>
          </w:p>
          <w:p>
            <w:pPr>
              <w:pStyle w:val="TableParagraph"/>
              <w:spacing w:line="213" w:lineRule="exact" w:before="2"/>
              <w:ind w:left="110"/>
              <w:jc w:val="left"/>
              <w:rPr>
                <w:sz w:val="9"/>
              </w:rPr>
            </w:pPr>
            <w:r>
              <w:rPr>
                <w:sz w:val="18"/>
              </w:rPr>
              <w:t>车间</w:t>
            </w:r>
            <w:r>
              <w:rPr>
                <w:position w:val="9"/>
                <w:sz w:val="9"/>
              </w:rPr>
              <w:t>①</w:t>
            </w:r>
          </w:p>
        </w:tc>
        <w:tc>
          <w:tcPr>
            <w:tcW w:w="2132" w:type="dxa"/>
            <w:vMerge/>
            <w:tcBorders>
              <w:top w:val="nil"/>
            </w:tcBorders>
          </w:tcPr>
          <w:p>
            <w:pPr>
              <w:rPr>
                <w:sz w:val="2"/>
                <w:szCs w:val="2"/>
              </w:rPr>
            </w:pPr>
          </w:p>
        </w:tc>
        <w:tc>
          <w:tcPr>
            <w:tcW w:w="425" w:type="dxa"/>
            <w:vMerge/>
            <w:tcBorders>
              <w:top w:val="nil"/>
            </w:tcBorders>
          </w:tcPr>
          <w:p>
            <w:pPr>
              <w:rPr>
                <w:sz w:val="2"/>
                <w:szCs w:val="2"/>
              </w:rPr>
            </w:pPr>
          </w:p>
        </w:tc>
        <w:tc>
          <w:tcPr>
            <w:tcW w:w="1135" w:type="dxa"/>
          </w:tcPr>
          <w:p>
            <w:pPr>
              <w:pStyle w:val="TableParagraph"/>
              <w:spacing w:before="1"/>
              <w:jc w:val="left"/>
              <w:rPr>
                <w:b/>
                <w:sz w:val="18"/>
              </w:rPr>
            </w:pPr>
          </w:p>
          <w:p>
            <w:pPr>
              <w:pStyle w:val="TableParagraph"/>
              <w:spacing w:before="1"/>
              <w:ind w:left="220"/>
              <w:jc w:val="left"/>
              <w:rPr>
                <w:sz w:val="18"/>
              </w:rPr>
            </w:pPr>
            <w:r>
              <w:rPr>
                <w:rFonts w:ascii="Times New Roman" w:eastAsia="Times New Roman"/>
                <w:sz w:val="18"/>
              </w:rPr>
              <w:t>73%</w:t>
            </w:r>
            <w:r>
              <w:rPr>
                <w:sz w:val="18"/>
              </w:rPr>
              <w:t>硫酸</w:t>
            </w:r>
          </w:p>
        </w:tc>
        <w:tc>
          <w:tcPr>
            <w:tcW w:w="847" w:type="dxa"/>
          </w:tcPr>
          <w:p>
            <w:pPr>
              <w:pStyle w:val="TableParagraph"/>
              <w:spacing w:before="3"/>
              <w:jc w:val="left"/>
              <w:rPr>
                <w:b/>
                <w:sz w:val="19"/>
              </w:rPr>
            </w:pPr>
          </w:p>
          <w:p>
            <w:pPr>
              <w:pStyle w:val="TableParagraph"/>
              <w:ind w:left="241"/>
              <w:jc w:val="left"/>
              <w:rPr>
                <w:rFonts w:ascii="Times New Roman"/>
                <w:sz w:val="18"/>
              </w:rPr>
            </w:pPr>
            <w:r>
              <w:rPr>
                <w:rFonts w:ascii="Times New Roman"/>
                <w:sz w:val="18"/>
              </w:rPr>
              <w:t>9000</w:t>
            </w:r>
          </w:p>
        </w:tc>
        <w:tc>
          <w:tcPr>
            <w:tcW w:w="852" w:type="dxa"/>
          </w:tcPr>
          <w:p>
            <w:pPr>
              <w:pStyle w:val="TableParagraph"/>
              <w:spacing w:before="3"/>
              <w:jc w:val="left"/>
              <w:rPr>
                <w:b/>
                <w:sz w:val="19"/>
              </w:rPr>
            </w:pPr>
          </w:p>
          <w:p>
            <w:pPr>
              <w:pStyle w:val="TableParagraph"/>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vMerge/>
            <w:tcBorders>
              <w:top w:val="nil"/>
              <w:bottom w:val="single" w:sz="2" w:space="0" w:color="000000"/>
            </w:tcBorders>
          </w:tcPr>
          <w:p>
            <w:pPr>
              <w:rPr>
                <w:sz w:val="2"/>
                <w:szCs w:val="2"/>
              </w:rPr>
            </w:pPr>
          </w:p>
        </w:tc>
        <w:tc>
          <w:tcPr>
            <w:tcW w:w="958" w:type="dxa"/>
          </w:tcPr>
          <w:p>
            <w:pPr>
              <w:pStyle w:val="TableParagraph"/>
              <w:ind w:left="117"/>
              <w:jc w:val="left"/>
              <w:rPr>
                <w:sz w:val="18"/>
              </w:rPr>
            </w:pPr>
            <w:r>
              <w:rPr>
                <w:sz w:val="18"/>
              </w:rPr>
              <w:t>用于生产</w:t>
            </w:r>
          </w:p>
          <w:p>
            <w:pPr>
              <w:pStyle w:val="TableParagraph"/>
              <w:spacing w:before="2"/>
              <w:ind w:left="134"/>
              <w:jc w:val="left"/>
              <w:rPr>
                <w:sz w:val="18"/>
              </w:rPr>
            </w:pPr>
            <w:r>
              <w:rPr>
                <w:rFonts w:ascii="Times New Roman" w:eastAsia="Times New Roman"/>
                <w:sz w:val="18"/>
              </w:rPr>
              <w:t>96%</w:t>
            </w:r>
            <w:r>
              <w:rPr>
                <w:sz w:val="18"/>
              </w:rPr>
              <w:t>硫酸</w:t>
            </w:r>
          </w:p>
          <w:p>
            <w:pPr>
              <w:pStyle w:val="TableParagraph"/>
              <w:spacing w:line="213" w:lineRule="exact" w:before="4"/>
              <w:ind w:left="208"/>
              <w:jc w:val="left"/>
              <w:rPr>
                <w:sz w:val="18"/>
              </w:rPr>
            </w:pPr>
            <w:r>
              <w:rPr>
                <w:sz w:val="18"/>
              </w:rPr>
              <w:t>或回用</w:t>
            </w:r>
          </w:p>
        </w:tc>
      </w:tr>
      <w:tr>
        <w:trPr>
          <w:trHeight w:val="1165" w:hRule="atLeast"/>
        </w:trPr>
        <w:tc>
          <w:tcPr>
            <w:tcW w:w="672" w:type="dxa"/>
            <w:vMerge w:val="restart"/>
          </w:tcPr>
          <w:p>
            <w:pPr>
              <w:pStyle w:val="TableParagraph"/>
              <w:jc w:val="left"/>
              <w:rPr>
                <w:b/>
                <w:sz w:val="18"/>
              </w:rPr>
            </w:pPr>
          </w:p>
          <w:p>
            <w:pPr>
              <w:pStyle w:val="TableParagraph"/>
              <w:jc w:val="left"/>
              <w:rPr>
                <w:b/>
                <w:sz w:val="18"/>
              </w:rPr>
            </w:pPr>
          </w:p>
          <w:p>
            <w:pPr>
              <w:pStyle w:val="TableParagraph"/>
              <w:spacing w:line="244" w:lineRule="auto" w:before="126"/>
              <w:ind w:left="155" w:right="144"/>
              <w:jc w:val="left"/>
              <w:rPr>
                <w:sz w:val="18"/>
              </w:rPr>
            </w:pPr>
            <w:r>
              <w:rPr>
                <w:sz w:val="18"/>
              </w:rPr>
              <w:t>还原车间</w:t>
            </w:r>
          </w:p>
        </w:tc>
        <w:tc>
          <w:tcPr>
            <w:tcW w:w="2132" w:type="dxa"/>
            <w:vMerge/>
            <w:tcBorders>
              <w:top w:val="nil"/>
            </w:tcBorders>
          </w:tcPr>
          <w:p>
            <w:pPr>
              <w:rPr>
                <w:sz w:val="2"/>
                <w:szCs w:val="2"/>
              </w:rPr>
            </w:pPr>
          </w:p>
        </w:tc>
        <w:tc>
          <w:tcPr>
            <w:tcW w:w="1560" w:type="dxa"/>
            <w:gridSpan w:val="2"/>
          </w:tcPr>
          <w:p>
            <w:pPr>
              <w:pStyle w:val="TableParagraph"/>
              <w:spacing w:before="4"/>
              <w:jc w:val="left"/>
              <w:rPr>
                <w:b/>
                <w:sz w:val="27"/>
              </w:rPr>
            </w:pPr>
          </w:p>
          <w:p>
            <w:pPr>
              <w:pStyle w:val="TableParagraph"/>
              <w:ind w:left="105"/>
              <w:jc w:val="left"/>
              <w:rPr>
                <w:sz w:val="18"/>
              </w:rPr>
            </w:pPr>
            <w:r>
              <w:rPr>
                <w:rFonts w:ascii="Times New Roman" w:eastAsia="Times New Roman"/>
                <w:sz w:val="18"/>
              </w:rPr>
              <w:t>N-</w:t>
            </w:r>
            <w:r>
              <w:rPr>
                <w:sz w:val="18"/>
              </w:rPr>
              <w:t>（</w:t>
            </w:r>
            <w:r>
              <w:rPr>
                <w:rFonts w:ascii="Times New Roman" w:eastAsia="Times New Roman"/>
                <w:sz w:val="18"/>
              </w:rPr>
              <w:t>1-</w:t>
            </w:r>
            <w:r>
              <w:rPr>
                <w:sz w:val="18"/>
              </w:rPr>
              <w:t>乙基丙基）</w:t>
            </w:r>
          </w:p>
          <w:p>
            <w:pPr>
              <w:pStyle w:val="TableParagraph"/>
              <w:spacing w:before="2"/>
              <w:ind w:left="153"/>
              <w:jc w:val="left"/>
              <w:rPr>
                <w:sz w:val="18"/>
              </w:rPr>
            </w:pPr>
            <w:r>
              <w:rPr>
                <w:rFonts w:ascii="Times New Roman" w:eastAsia="Times New Roman"/>
                <w:sz w:val="18"/>
              </w:rPr>
              <w:t>-3,4-</w:t>
            </w:r>
            <w:r>
              <w:rPr>
                <w:sz w:val="18"/>
              </w:rPr>
              <w:t>二甲基苯胺</w:t>
            </w:r>
          </w:p>
        </w:tc>
        <w:tc>
          <w:tcPr>
            <w:tcW w:w="847" w:type="dxa"/>
          </w:tcPr>
          <w:p>
            <w:pPr>
              <w:pStyle w:val="TableParagraph"/>
              <w:jc w:val="left"/>
              <w:rPr>
                <w:b/>
                <w:sz w:val="20"/>
              </w:rPr>
            </w:pPr>
          </w:p>
          <w:p>
            <w:pPr>
              <w:pStyle w:val="TableParagraph"/>
              <w:spacing w:before="5"/>
              <w:jc w:val="left"/>
              <w:rPr>
                <w:b/>
                <w:sz w:val="17"/>
              </w:rPr>
            </w:pPr>
          </w:p>
          <w:p>
            <w:pPr>
              <w:pStyle w:val="TableParagraph"/>
              <w:ind w:left="241"/>
              <w:jc w:val="left"/>
              <w:rPr>
                <w:rFonts w:ascii="Times New Roman"/>
                <w:sz w:val="18"/>
              </w:rPr>
            </w:pPr>
            <w:r>
              <w:rPr>
                <w:rFonts w:ascii="Times New Roman"/>
                <w:sz w:val="18"/>
              </w:rPr>
              <w:t>6000</w:t>
            </w:r>
          </w:p>
        </w:tc>
        <w:tc>
          <w:tcPr>
            <w:tcW w:w="852" w:type="dxa"/>
          </w:tcPr>
          <w:p>
            <w:pPr>
              <w:pStyle w:val="TableParagraph"/>
              <w:jc w:val="left"/>
              <w:rPr>
                <w:b/>
                <w:sz w:val="20"/>
              </w:rPr>
            </w:pPr>
          </w:p>
          <w:p>
            <w:pPr>
              <w:pStyle w:val="TableParagraph"/>
              <w:spacing w:before="5"/>
              <w:jc w:val="left"/>
              <w:rPr>
                <w:b/>
                <w:sz w:val="17"/>
              </w:rPr>
            </w:pPr>
          </w:p>
          <w:p>
            <w:pPr>
              <w:pStyle w:val="TableParagraph"/>
              <w:ind w:left="9"/>
              <w:rPr>
                <w:rFonts w:ascii="Times New Roman"/>
                <w:sz w:val="18"/>
              </w:rPr>
            </w:pPr>
            <w:r>
              <w:rPr>
                <w:rFonts w:ascii="Times New Roman"/>
                <w:sz w:val="18"/>
              </w:rPr>
              <w:t>/</w:t>
            </w:r>
          </w:p>
        </w:tc>
        <w:tc>
          <w:tcPr>
            <w:tcW w:w="1416" w:type="dxa"/>
            <w:vMerge/>
            <w:tcBorders>
              <w:top w:val="nil"/>
            </w:tcBorders>
          </w:tcPr>
          <w:p>
            <w:pPr>
              <w:rPr>
                <w:sz w:val="2"/>
                <w:szCs w:val="2"/>
              </w:rPr>
            </w:pPr>
          </w:p>
        </w:tc>
        <w:tc>
          <w:tcPr>
            <w:tcW w:w="853" w:type="dxa"/>
            <w:tcBorders>
              <w:top w:val="single" w:sz="2" w:space="0" w:color="000000"/>
            </w:tcBorders>
          </w:tcPr>
          <w:p>
            <w:pPr>
              <w:pStyle w:val="TableParagraph"/>
              <w:jc w:val="left"/>
              <w:rPr>
                <w:b/>
                <w:sz w:val="18"/>
              </w:rPr>
            </w:pPr>
          </w:p>
          <w:p>
            <w:pPr>
              <w:pStyle w:val="TableParagraph"/>
              <w:spacing w:before="6"/>
              <w:jc w:val="left"/>
              <w:rPr>
                <w:b/>
                <w:sz w:val="18"/>
              </w:rPr>
            </w:pPr>
          </w:p>
          <w:p>
            <w:pPr>
              <w:pStyle w:val="TableParagraph"/>
              <w:ind w:left="35" w:right="26"/>
              <w:rPr>
                <w:sz w:val="18"/>
              </w:rPr>
            </w:pPr>
            <w:r>
              <w:rPr>
                <w:sz w:val="18"/>
              </w:rPr>
              <w:t>已淘汰</w:t>
            </w:r>
          </w:p>
        </w:tc>
        <w:tc>
          <w:tcPr>
            <w:tcW w:w="958" w:type="dxa"/>
          </w:tcPr>
          <w:p>
            <w:pPr>
              <w:pStyle w:val="TableParagraph"/>
              <w:spacing w:line="230" w:lineRule="exact"/>
              <w:ind w:left="114"/>
              <w:jc w:val="both"/>
              <w:rPr>
                <w:rFonts w:ascii="Times New Roman" w:eastAsia="Times New Roman"/>
                <w:sz w:val="18"/>
              </w:rPr>
            </w:pPr>
            <w:r>
              <w:rPr>
                <w:rFonts w:ascii="Times New Roman" w:eastAsia="Times New Roman"/>
                <w:sz w:val="18"/>
              </w:rPr>
              <w:t>15000 </w:t>
            </w:r>
            <w:r>
              <w:rPr>
                <w:sz w:val="18"/>
              </w:rPr>
              <w:t>吨</w:t>
            </w:r>
            <w:r>
              <w:rPr>
                <w:rFonts w:ascii="Times New Roman" w:eastAsia="Times New Roman"/>
                <w:sz w:val="18"/>
              </w:rPr>
              <w:t>/</w:t>
            </w:r>
          </w:p>
          <w:p>
            <w:pPr>
              <w:pStyle w:val="TableParagraph"/>
              <w:spacing w:line="242" w:lineRule="auto" w:before="2"/>
              <w:ind w:left="117" w:right="108"/>
              <w:jc w:val="both"/>
              <w:rPr>
                <w:sz w:val="18"/>
              </w:rPr>
            </w:pPr>
            <w:r>
              <w:rPr>
                <w:spacing w:val="-5"/>
                <w:sz w:val="18"/>
              </w:rPr>
              <w:t>年项目实施后“以新带老”</w:t>
            </w:r>
          </w:p>
          <w:p>
            <w:pPr>
              <w:pStyle w:val="TableParagraph"/>
              <w:spacing w:line="213" w:lineRule="exact" w:before="2"/>
              <w:ind w:left="297"/>
              <w:jc w:val="left"/>
              <w:rPr>
                <w:sz w:val="18"/>
              </w:rPr>
            </w:pPr>
            <w:r>
              <w:rPr>
                <w:sz w:val="18"/>
              </w:rPr>
              <w:t>淘汰</w:t>
            </w:r>
          </w:p>
        </w:tc>
      </w:tr>
      <w:tr>
        <w:trPr>
          <w:trHeight w:val="467"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117"/>
              <w:ind w:left="184"/>
              <w:jc w:val="left"/>
              <w:rPr>
                <w:sz w:val="18"/>
              </w:rPr>
            </w:pPr>
            <w:r>
              <w:rPr>
                <w:rFonts w:ascii="Times New Roman" w:eastAsia="Times New Roman"/>
                <w:sz w:val="18"/>
              </w:rPr>
              <w:t>2,3-</w:t>
            </w:r>
            <w:r>
              <w:rPr>
                <w:sz w:val="18"/>
              </w:rPr>
              <w:t>二甲基苯胺</w:t>
            </w:r>
          </w:p>
        </w:tc>
        <w:tc>
          <w:tcPr>
            <w:tcW w:w="847" w:type="dxa"/>
          </w:tcPr>
          <w:p>
            <w:pPr>
              <w:pStyle w:val="TableParagraph"/>
              <w:spacing w:before="131"/>
              <w:ind w:left="241"/>
              <w:jc w:val="left"/>
              <w:rPr>
                <w:rFonts w:ascii="Times New Roman"/>
                <w:sz w:val="18"/>
              </w:rPr>
            </w:pPr>
            <w:r>
              <w:rPr>
                <w:rFonts w:ascii="Times New Roman"/>
                <w:sz w:val="18"/>
              </w:rPr>
              <w:t>4000</w:t>
            </w:r>
          </w:p>
        </w:tc>
        <w:tc>
          <w:tcPr>
            <w:tcW w:w="852" w:type="dxa"/>
          </w:tcPr>
          <w:p>
            <w:pPr>
              <w:pStyle w:val="TableParagraph"/>
              <w:spacing w:before="131"/>
              <w:ind w:left="38" w:right="27"/>
              <w:rPr>
                <w:rFonts w:ascii="Times New Roman"/>
                <w:sz w:val="18"/>
              </w:rPr>
            </w:pPr>
            <w:r>
              <w:rPr>
                <w:rFonts w:ascii="Times New Roman"/>
                <w:sz w:val="18"/>
              </w:rPr>
              <w:t>338.4</w:t>
            </w:r>
          </w:p>
        </w:tc>
        <w:tc>
          <w:tcPr>
            <w:tcW w:w="1416" w:type="dxa"/>
            <w:vMerge/>
            <w:tcBorders>
              <w:top w:val="nil"/>
            </w:tcBorders>
          </w:tcPr>
          <w:p>
            <w:pPr>
              <w:rPr>
                <w:sz w:val="2"/>
                <w:szCs w:val="2"/>
              </w:rPr>
            </w:pPr>
          </w:p>
        </w:tc>
        <w:tc>
          <w:tcPr>
            <w:tcW w:w="853" w:type="dxa"/>
          </w:tcPr>
          <w:p>
            <w:pPr>
              <w:pStyle w:val="TableParagraph"/>
              <w:spacing w:line="230" w:lineRule="atLeast" w:before="2"/>
              <w:ind w:left="336" w:right="144" w:hanging="180"/>
              <w:jc w:val="left"/>
              <w:rPr>
                <w:sz w:val="18"/>
              </w:rPr>
            </w:pPr>
            <w:r>
              <w:rPr>
                <w:sz w:val="18"/>
              </w:rPr>
              <w:t>正常生产</w:t>
            </w:r>
          </w:p>
        </w:tc>
        <w:tc>
          <w:tcPr>
            <w:tcW w:w="958" w:type="dxa"/>
          </w:tcPr>
          <w:p>
            <w:pPr>
              <w:pStyle w:val="TableParagraph"/>
              <w:spacing w:before="117"/>
              <w:ind w:left="114" w:right="108"/>
              <w:rPr>
                <w:sz w:val="18"/>
              </w:rPr>
            </w:pPr>
            <w:r>
              <w:rPr>
                <w:sz w:val="18"/>
              </w:rPr>
              <w:t>外售</w:t>
            </w:r>
          </w:p>
        </w:tc>
      </w:tr>
      <w:tr>
        <w:trPr>
          <w:trHeight w:val="647" w:hRule="atLeast"/>
        </w:trPr>
        <w:tc>
          <w:tcPr>
            <w:tcW w:w="672" w:type="dxa"/>
            <w:vMerge w:val="restart"/>
          </w:tcPr>
          <w:p>
            <w:pPr>
              <w:pStyle w:val="TableParagraph"/>
              <w:jc w:val="left"/>
              <w:rPr>
                <w:b/>
                <w:sz w:val="18"/>
              </w:rPr>
            </w:pPr>
          </w:p>
          <w:p>
            <w:pPr>
              <w:pStyle w:val="TableParagraph"/>
              <w:spacing w:before="10"/>
              <w:jc w:val="left"/>
              <w:rPr>
                <w:b/>
                <w:sz w:val="16"/>
              </w:rPr>
            </w:pPr>
          </w:p>
          <w:p>
            <w:pPr>
              <w:pStyle w:val="TableParagraph"/>
              <w:spacing w:line="242" w:lineRule="auto"/>
              <w:ind w:left="155" w:right="144"/>
              <w:jc w:val="left"/>
              <w:rPr>
                <w:sz w:val="18"/>
              </w:rPr>
            </w:pPr>
            <w:r>
              <w:rPr>
                <w:sz w:val="18"/>
              </w:rPr>
              <w:t>还原车间</w:t>
            </w:r>
          </w:p>
        </w:tc>
        <w:tc>
          <w:tcPr>
            <w:tcW w:w="2132" w:type="dxa"/>
            <w:vMerge w:val="restart"/>
          </w:tcPr>
          <w:p>
            <w:pPr>
              <w:pStyle w:val="TableParagraph"/>
              <w:spacing w:before="8"/>
              <w:jc w:val="left"/>
              <w:rPr>
                <w:b/>
                <w:sz w:val="16"/>
              </w:rPr>
            </w:pPr>
          </w:p>
          <w:p>
            <w:pPr>
              <w:pStyle w:val="TableParagraph"/>
              <w:spacing w:line="242" w:lineRule="auto"/>
              <w:ind w:left="107" w:right="97"/>
              <w:rPr>
                <w:sz w:val="18"/>
              </w:rPr>
            </w:pPr>
            <w:r>
              <w:rPr>
                <w:rFonts w:ascii="Times New Roman" w:eastAsia="Times New Roman"/>
                <w:sz w:val="18"/>
              </w:rPr>
              <w:t>15000 </w:t>
            </w:r>
            <w:r>
              <w:rPr>
                <w:sz w:val="18"/>
              </w:rPr>
              <w:t>吨</w:t>
            </w:r>
            <w:r>
              <w:rPr>
                <w:rFonts w:ascii="Times New Roman" w:eastAsia="Times New Roman"/>
                <w:sz w:val="18"/>
              </w:rPr>
              <w:t>/</w:t>
            </w:r>
            <w:r>
              <w:rPr>
                <w:spacing w:val="-24"/>
                <w:sz w:val="18"/>
              </w:rPr>
              <w:t>年 </w:t>
            </w:r>
            <w:r>
              <w:rPr>
                <w:rFonts w:ascii="Times New Roman" w:eastAsia="Times New Roman"/>
                <w:sz w:val="18"/>
              </w:rPr>
              <w:t>N-(1-</w:t>
            </w:r>
            <w:r>
              <w:rPr>
                <w:sz w:val="18"/>
              </w:rPr>
              <w:t>乙基丙基</w:t>
            </w:r>
            <w:r>
              <w:rPr>
                <w:spacing w:val="-21"/>
                <w:sz w:val="18"/>
              </w:rPr>
              <w:t>）</w:t>
            </w:r>
            <w:r>
              <w:rPr>
                <w:rFonts w:ascii="Times New Roman" w:eastAsia="Times New Roman"/>
                <w:spacing w:val="-21"/>
                <w:sz w:val="18"/>
              </w:rPr>
              <w:t>-3</w:t>
            </w:r>
            <w:r>
              <w:rPr>
                <w:spacing w:val="-21"/>
                <w:sz w:val="18"/>
              </w:rPr>
              <w:t>，</w:t>
            </w:r>
            <w:r>
              <w:rPr>
                <w:rFonts w:ascii="Times New Roman" w:eastAsia="Times New Roman"/>
                <w:spacing w:val="-21"/>
                <w:sz w:val="18"/>
              </w:rPr>
              <w:t>4-</w:t>
            </w:r>
            <w:r>
              <w:rPr>
                <w:spacing w:val="-13"/>
                <w:sz w:val="18"/>
              </w:rPr>
              <w:t>二甲基苯胺</w:t>
            </w:r>
            <w:r>
              <w:rPr>
                <w:sz w:val="18"/>
              </w:rPr>
              <w:t>（</w:t>
            </w:r>
            <w:r>
              <w:rPr>
                <w:spacing w:val="-15"/>
                <w:sz w:val="18"/>
              </w:rPr>
              <w:t>新</w:t>
            </w:r>
            <w:r>
              <w:rPr>
                <w:spacing w:val="-23"/>
                <w:sz w:val="18"/>
              </w:rPr>
              <w:t>增 </w:t>
            </w:r>
            <w:r>
              <w:rPr>
                <w:rFonts w:ascii="Times New Roman" w:eastAsia="Times New Roman"/>
                <w:sz w:val="18"/>
              </w:rPr>
              <w:t>9000 </w:t>
            </w:r>
            <w:r>
              <w:rPr>
                <w:spacing w:val="-3"/>
                <w:sz w:val="18"/>
              </w:rPr>
              <w:t>吨</w:t>
            </w:r>
            <w:r>
              <w:rPr>
                <w:rFonts w:ascii="Times New Roman" w:eastAsia="Times New Roman"/>
                <w:sz w:val="18"/>
              </w:rPr>
              <w:t>/</w:t>
            </w:r>
            <w:r>
              <w:rPr>
                <w:sz w:val="18"/>
              </w:rPr>
              <w:t>年</w:t>
            </w:r>
            <w:r>
              <w:rPr>
                <w:spacing w:val="-27"/>
                <w:sz w:val="18"/>
              </w:rPr>
              <w:t>）</w:t>
            </w:r>
            <w:r>
              <w:rPr>
                <w:spacing w:val="-4"/>
                <w:sz w:val="18"/>
              </w:rPr>
              <w:t>技改扩产</w:t>
            </w:r>
            <w:r>
              <w:rPr>
                <w:sz w:val="18"/>
              </w:rPr>
              <w:t>项目</w:t>
            </w:r>
          </w:p>
        </w:tc>
        <w:tc>
          <w:tcPr>
            <w:tcW w:w="1560" w:type="dxa"/>
            <w:gridSpan w:val="2"/>
          </w:tcPr>
          <w:p>
            <w:pPr>
              <w:pStyle w:val="TableParagraph"/>
              <w:spacing w:before="91"/>
              <w:ind w:left="126"/>
              <w:jc w:val="left"/>
              <w:rPr>
                <w:sz w:val="18"/>
              </w:rPr>
            </w:pPr>
            <w:r>
              <w:rPr>
                <w:rFonts w:ascii="Times New Roman" w:eastAsia="Times New Roman"/>
                <w:w w:val="95"/>
                <w:sz w:val="18"/>
              </w:rPr>
              <w:t>N-(1-</w:t>
            </w:r>
            <w:r>
              <w:rPr>
                <w:w w:val="95"/>
                <w:sz w:val="18"/>
              </w:rPr>
              <w:t>乙基丙基）</w:t>
            </w:r>
          </w:p>
          <w:p>
            <w:pPr>
              <w:pStyle w:val="TableParagraph"/>
              <w:spacing w:before="2"/>
              <w:ind w:left="105"/>
              <w:jc w:val="left"/>
              <w:rPr>
                <w:sz w:val="18"/>
              </w:rPr>
            </w:pPr>
            <w:r>
              <w:rPr>
                <w:rFonts w:ascii="Times New Roman" w:eastAsia="Times New Roman"/>
                <w:spacing w:val="-7"/>
                <w:sz w:val="18"/>
              </w:rPr>
              <w:t>-3</w:t>
            </w:r>
            <w:r>
              <w:rPr>
                <w:spacing w:val="-7"/>
                <w:sz w:val="18"/>
              </w:rPr>
              <w:t>，</w:t>
            </w:r>
            <w:r>
              <w:rPr>
                <w:rFonts w:ascii="Times New Roman" w:eastAsia="Times New Roman"/>
                <w:spacing w:val="-7"/>
                <w:sz w:val="18"/>
              </w:rPr>
              <w:t>4-</w:t>
            </w:r>
            <w:r>
              <w:rPr>
                <w:sz w:val="18"/>
              </w:rPr>
              <w:t>二甲基苯胺</w:t>
            </w:r>
          </w:p>
        </w:tc>
        <w:tc>
          <w:tcPr>
            <w:tcW w:w="847" w:type="dxa"/>
          </w:tcPr>
          <w:p>
            <w:pPr>
              <w:pStyle w:val="TableParagraph"/>
              <w:spacing w:line="207" w:lineRule="exact"/>
              <w:ind w:left="196"/>
              <w:jc w:val="left"/>
              <w:rPr>
                <w:rFonts w:ascii="Times New Roman"/>
                <w:sz w:val="18"/>
              </w:rPr>
            </w:pPr>
            <w:r>
              <w:rPr>
                <w:rFonts w:ascii="Times New Roman"/>
                <w:sz w:val="18"/>
              </w:rPr>
              <w:t>15000</w:t>
            </w:r>
          </w:p>
          <w:p>
            <w:pPr>
              <w:pStyle w:val="TableParagraph"/>
              <w:spacing w:line="210" w:lineRule="atLeast" w:before="2"/>
              <w:ind w:left="210" w:right="201"/>
              <w:jc w:val="left"/>
              <w:rPr>
                <w:rFonts w:ascii="Times New Roman" w:eastAsia="Times New Roman"/>
                <w:sz w:val="18"/>
              </w:rPr>
            </w:pPr>
            <w:r>
              <w:rPr>
                <w:rFonts w:ascii="Times New Roman" w:eastAsia="Times New Roman"/>
                <w:sz w:val="18"/>
              </w:rPr>
              <w:t>(</w:t>
            </w:r>
            <w:r>
              <w:rPr>
                <w:spacing w:val="-7"/>
                <w:sz w:val="18"/>
              </w:rPr>
              <w:t>新增</w:t>
            </w:r>
            <w:r>
              <w:rPr>
                <w:rFonts w:ascii="Times New Roman" w:eastAsia="Times New Roman"/>
                <w:sz w:val="18"/>
              </w:rPr>
              <w:t>9000)</w:t>
            </w:r>
          </w:p>
        </w:tc>
        <w:tc>
          <w:tcPr>
            <w:tcW w:w="852" w:type="dxa"/>
          </w:tcPr>
          <w:p>
            <w:pPr>
              <w:pStyle w:val="TableParagraph"/>
              <w:spacing w:before="2"/>
              <w:jc w:val="left"/>
              <w:rPr>
                <w:b/>
                <w:sz w:val="17"/>
              </w:rPr>
            </w:pPr>
          </w:p>
          <w:p>
            <w:pPr>
              <w:pStyle w:val="TableParagraph"/>
              <w:ind w:left="37" w:right="29"/>
              <w:rPr>
                <w:rFonts w:ascii="Times New Roman"/>
                <w:sz w:val="18"/>
              </w:rPr>
            </w:pPr>
            <w:r>
              <w:rPr>
                <w:rFonts w:ascii="Times New Roman"/>
                <w:sz w:val="18"/>
              </w:rPr>
              <w:t>6964.53</w:t>
            </w:r>
          </w:p>
        </w:tc>
        <w:tc>
          <w:tcPr>
            <w:tcW w:w="1416" w:type="dxa"/>
            <w:vMerge w:val="restart"/>
          </w:tcPr>
          <w:p>
            <w:pPr>
              <w:pStyle w:val="TableParagraph"/>
              <w:spacing w:before="8"/>
              <w:jc w:val="left"/>
              <w:rPr>
                <w:b/>
                <w:sz w:val="16"/>
              </w:rPr>
            </w:pPr>
          </w:p>
          <w:p>
            <w:pPr>
              <w:pStyle w:val="TableParagraph"/>
              <w:ind w:left="89" w:right="17"/>
              <w:rPr>
                <w:sz w:val="18"/>
              </w:rPr>
            </w:pPr>
            <w:r>
              <w:rPr>
                <w:sz w:val="18"/>
              </w:rPr>
              <w:t>虞环管（</w:t>
            </w:r>
            <w:r>
              <w:rPr>
                <w:rFonts w:ascii="Times New Roman" w:eastAsia="Times New Roman"/>
                <w:sz w:val="18"/>
              </w:rPr>
              <w:t>2018</w:t>
            </w:r>
            <w:r>
              <w:rPr>
                <w:sz w:val="18"/>
              </w:rPr>
              <w:t>）</w:t>
            </w:r>
          </w:p>
          <w:p>
            <w:pPr>
              <w:pStyle w:val="TableParagraph"/>
              <w:spacing w:before="2"/>
              <w:ind w:left="29" w:right="17"/>
              <w:rPr>
                <w:sz w:val="18"/>
              </w:rPr>
            </w:pPr>
            <w:r>
              <w:rPr>
                <w:rFonts w:ascii="Times New Roman" w:eastAsia="Times New Roman"/>
                <w:sz w:val="18"/>
              </w:rPr>
              <w:t>16 </w:t>
            </w:r>
            <w:r>
              <w:rPr>
                <w:sz w:val="18"/>
              </w:rPr>
              <w:t>号，</w:t>
            </w:r>
            <w:r>
              <w:rPr>
                <w:rFonts w:ascii="Times New Roman" w:eastAsia="Times New Roman"/>
                <w:sz w:val="18"/>
              </w:rPr>
              <w:t>2020 </w:t>
            </w:r>
            <w:r>
              <w:rPr>
                <w:sz w:val="18"/>
              </w:rPr>
              <w:t>年</w:t>
            </w:r>
          </w:p>
          <w:p>
            <w:pPr>
              <w:pStyle w:val="TableParagraph"/>
              <w:spacing w:line="242" w:lineRule="auto" w:before="3"/>
              <w:ind w:left="127" w:right="113"/>
              <w:rPr>
                <w:sz w:val="18"/>
              </w:rPr>
            </w:pPr>
            <w:r>
              <w:rPr>
                <w:rFonts w:ascii="Times New Roman" w:eastAsia="Times New Roman"/>
                <w:sz w:val="18"/>
              </w:rPr>
              <w:t>11 </w:t>
            </w:r>
            <w:r>
              <w:rPr>
                <w:sz w:val="18"/>
              </w:rPr>
              <w:t>月通过自主验收</w:t>
            </w:r>
          </w:p>
        </w:tc>
        <w:tc>
          <w:tcPr>
            <w:tcW w:w="853" w:type="dxa"/>
            <w:vMerge w:val="restart"/>
          </w:tcPr>
          <w:p>
            <w:pPr>
              <w:pStyle w:val="TableParagraph"/>
              <w:jc w:val="left"/>
              <w:rPr>
                <w:b/>
                <w:sz w:val="18"/>
              </w:rPr>
            </w:pPr>
          </w:p>
          <w:p>
            <w:pPr>
              <w:pStyle w:val="TableParagraph"/>
              <w:spacing w:before="10"/>
              <w:jc w:val="left"/>
              <w:rPr>
                <w:b/>
                <w:sz w:val="16"/>
              </w:rPr>
            </w:pPr>
          </w:p>
          <w:p>
            <w:pPr>
              <w:pStyle w:val="TableParagraph"/>
              <w:spacing w:line="242" w:lineRule="auto"/>
              <w:ind w:left="336" w:right="144" w:hanging="180"/>
              <w:jc w:val="left"/>
              <w:rPr>
                <w:sz w:val="18"/>
              </w:rPr>
            </w:pPr>
            <w:r>
              <w:rPr>
                <w:sz w:val="18"/>
              </w:rPr>
              <w:t>正常生产</w:t>
            </w:r>
          </w:p>
        </w:tc>
        <w:tc>
          <w:tcPr>
            <w:tcW w:w="958" w:type="dxa"/>
          </w:tcPr>
          <w:p>
            <w:pPr>
              <w:pStyle w:val="TableParagraph"/>
              <w:spacing w:before="3"/>
              <w:jc w:val="left"/>
              <w:rPr>
                <w:b/>
                <w:sz w:val="16"/>
              </w:rPr>
            </w:pPr>
          </w:p>
          <w:p>
            <w:pPr>
              <w:pStyle w:val="TableParagraph"/>
              <w:ind w:left="114" w:right="108"/>
              <w:rPr>
                <w:sz w:val="18"/>
              </w:rPr>
            </w:pPr>
            <w:r>
              <w:rPr>
                <w:sz w:val="18"/>
              </w:rPr>
              <w:t>外售</w:t>
            </w:r>
          </w:p>
        </w:tc>
      </w:tr>
      <w:tr>
        <w:trPr>
          <w:trHeight w:val="699" w:hRule="atLeast"/>
        </w:trPr>
        <w:tc>
          <w:tcPr>
            <w:tcW w:w="672" w:type="dxa"/>
            <w:vMerge/>
            <w:tcBorders>
              <w:top w:val="nil"/>
            </w:tcBorders>
          </w:tcPr>
          <w:p>
            <w:pPr>
              <w:rPr>
                <w:sz w:val="2"/>
                <w:szCs w:val="2"/>
              </w:rPr>
            </w:pPr>
          </w:p>
        </w:tc>
        <w:tc>
          <w:tcPr>
            <w:tcW w:w="2132" w:type="dxa"/>
            <w:vMerge/>
            <w:tcBorders>
              <w:top w:val="nil"/>
            </w:tcBorders>
          </w:tcPr>
          <w:p>
            <w:pPr>
              <w:rPr>
                <w:sz w:val="2"/>
                <w:szCs w:val="2"/>
              </w:rPr>
            </w:pPr>
          </w:p>
        </w:tc>
        <w:tc>
          <w:tcPr>
            <w:tcW w:w="1560" w:type="dxa"/>
            <w:gridSpan w:val="2"/>
          </w:tcPr>
          <w:p>
            <w:pPr>
              <w:pStyle w:val="TableParagraph"/>
              <w:spacing w:before="3"/>
              <w:jc w:val="left"/>
              <w:rPr>
                <w:b/>
                <w:sz w:val="18"/>
              </w:rPr>
            </w:pPr>
          </w:p>
          <w:p>
            <w:pPr>
              <w:pStyle w:val="TableParagraph"/>
              <w:ind w:left="385"/>
              <w:jc w:val="left"/>
              <w:rPr>
                <w:sz w:val="9"/>
              </w:rPr>
            </w:pPr>
            <w:r>
              <w:rPr>
                <w:rFonts w:ascii="Times New Roman" w:hAnsi="Times New Roman" w:eastAsia="Times New Roman"/>
                <w:sz w:val="18"/>
              </w:rPr>
              <w:t>96%</w:t>
            </w:r>
            <w:r>
              <w:rPr>
                <w:sz w:val="18"/>
              </w:rPr>
              <w:t>硫酸</w:t>
            </w:r>
            <w:r>
              <w:rPr>
                <w:position w:val="9"/>
                <w:sz w:val="9"/>
              </w:rPr>
              <w:t>①</w:t>
            </w:r>
          </w:p>
        </w:tc>
        <w:tc>
          <w:tcPr>
            <w:tcW w:w="847" w:type="dxa"/>
          </w:tcPr>
          <w:p>
            <w:pPr>
              <w:pStyle w:val="TableParagraph"/>
              <w:spacing w:before="2"/>
              <w:jc w:val="left"/>
              <w:rPr>
                <w:b/>
                <w:sz w:val="19"/>
              </w:rPr>
            </w:pPr>
          </w:p>
          <w:p>
            <w:pPr>
              <w:pStyle w:val="TableParagraph"/>
              <w:ind w:left="241"/>
              <w:jc w:val="left"/>
              <w:rPr>
                <w:rFonts w:ascii="Times New Roman"/>
                <w:sz w:val="18"/>
              </w:rPr>
            </w:pPr>
            <w:r>
              <w:rPr>
                <w:rFonts w:ascii="Times New Roman"/>
                <w:sz w:val="18"/>
              </w:rPr>
              <w:t>6810</w:t>
            </w:r>
          </w:p>
        </w:tc>
        <w:tc>
          <w:tcPr>
            <w:tcW w:w="852" w:type="dxa"/>
          </w:tcPr>
          <w:p>
            <w:pPr>
              <w:pStyle w:val="TableParagraph"/>
              <w:spacing w:before="2"/>
              <w:jc w:val="left"/>
              <w:rPr>
                <w:b/>
                <w:sz w:val="19"/>
              </w:rPr>
            </w:pPr>
          </w:p>
          <w:p>
            <w:pPr>
              <w:pStyle w:val="TableParagraph"/>
              <w:ind w:left="37" w:right="29"/>
              <w:rPr>
                <w:rFonts w:ascii="Times New Roman"/>
                <w:sz w:val="18"/>
              </w:rPr>
            </w:pPr>
            <w:r>
              <w:rPr>
                <w:rFonts w:ascii="Times New Roman"/>
                <w:sz w:val="18"/>
              </w:rPr>
              <w:t>6538</w:t>
            </w:r>
          </w:p>
        </w:tc>
        <w:tc>
          <w:tcPr>
            <w:tcW w:w="1416" w:type="dxa"/>
            <w:vMerge/>
            <w:tcBorders>
              <w:top w:val="nil"/>
            </w:tcBorders>
          </w:tcPr>
          <w:p>
            <w:pPr>
              <w:rPr>
                <w:sz w:val="2"/>
                <w:szCs w:val="2"/>
              </w:rPr>
            </w:pPr>
          </w:p>
        </w:tc>
        <w:tc>
          <w:tcPr>
            <w:tcW w:w="853" w:type="dxa"/>
            <w:vMerge/>
            <w:tcBorders>
              <w:top w:val="nil"/>
            </w:tcBorders>
          </w:tcPr>
          <w:p>
            <w:pPr>
              <w:rPr>
                <w:sz w:val="2"/>
                <w:szCs w:val="2"/>
              </w:rPr>
            </w:pPr>
          </w:p>
        </w:tc>
        <w:tc>
          <w:tcPr>
            <w:tcW w:w="958" w:type="dxa"/>
          </w:tcPr>
          <w:p>
            <w:pPr>
              <w:pStyle w:val="TableParagraph"/>
              <w:spacing w:line="229" w:lineRule="exact"/>
              <w:ind w:left="117" w:firstLine="43"/>
              <w:jc w:val="left"/>
              <w:rPr>
                <w:rFonts w:ascii="Times New Roman" w:eastAsia="Times New Roman"/>
                <w:sz w:val="18"/>
              </w:rPr>
            </w:pPr>
            <w:r>
              <w:rPr>
                <w:rFonts w:ascii="Times New Roman" w:eastAsia="Times New Roman"/>
                <w:sz w:val="18"/>
              </w:rPr>
              <w:t>1400</w:t>
            </w:r>
            <w:r>
              <w:rPr>
                <w:rFonts w:ascii="Times New Roman" w:eastAsia="Times New Roman"/>
                <w:spacing w:val="2"/>
                <w:sz w:val="18"/>
              </w:rPr>
              <w:t> </w:t>
            </w:r>
            <w:r>
              <w:rPr>
                <w:sz w:val="18"/>
              </w:rPr>
              <w:t>吨</w:t>
            </w:r>
            <w:r>
              <w:rPr>
                <w:rFonts w:ascii="Times New Roman" w:eastAsia="Times New Roman"/>
                <w:sz w:val="18"/>
              </w:rPr>
              <w:t>/</w:t>
            </w:r>
          </w:p>
          <w:p>
            <w:pPr>
              <w:pStyle w:val="TableParagraph"/>
              <w:spacing w:line="230" w:lineRule="atLeast" w:before="4"/>
              <w:ind w:left="117" w:right="108"/>
              <w:jc w:val="left"/>
              <w:rPr>
                <w:sz w:val="18"/>
              </w:rPr>
            </w:pPr>
            <w:r>
              <w:rPr>
                <w:spacing w:val="-5"/>
                <w:sz w:val="18"/>
              </w:rPr>
              <w:t>年外售， 其余回用</w:t>
            </w:r>
          </w:p>
        </w:tc>
      </w:tr>
    </w:tbl>
    <w:p>
      <w:pPr>
        <w:spacing w:before="122"/>
        <w:ind w:left="691" w:right="0" w:firstLine="0"/>
        <w:jc w:val="left"/>
        <w:rPr>
          <w:b/>
          <w:sz w:val="24"/>
        </w:rPr>
      </w:pPr>
      <w:r>
        <w:rPr>
          <w:rFonts w:ascii="Times New Roman" w:eastAsia="Times New Roman"/>
          <w:b/>
          <w:sz w:val="24"/>
        </w:rPr>
        <w:t>2</w:t>
      </w:r>
      <w:r>
        <w:rPr>
          <w:b/>
          <w:sz w:val="24"/>
        </w:rPr>
        <w:t>、副产品</w:t>
      </w:r>
    </w:p>
    <w:p>
      <w:pPr>
        <w:pStyle w:val="BodyText"/>
        <w:spacing w:line="362" w:lineRule="auto" w:before="161"/>
        <w:ind w:left="218" w:right="176" w:firstLine="470"/>
      </w:pPr>
      <w:r>
        <w:rPr/>
        <w:t>已建项目副产品已按照要求进行质量控制，明确其产品质量规格、用途及去向，具体如下：</w:t>
      </w:r>
    </w:p>
    <w:p>
      <w:pPr>
        <w:pStyle w:val="Heading4"/>
        <w:tabs>
          <w:tab w:pos="3951" w:val="left" w:leader="none"/>
        </w:tabs>
        <w:spacing w:before="146" w:after="29"/>
        <w:ind w:left="2909"/>
      </w:pPr>
      <w:r>
        <w:rPr/>
        <w:t>表</w:t>
      </w:r>
      <w:r>
        <w:rPr>
          <w:spacing w:val="-60"/>
        </w:rPr>
        <w:t> </w:t>
      </w:r>
      <w:r>
        <w:rPr>
          <w:rFonts w:ascii="Times New Roman" w:eastAsia="Times New Roman"/>
        </w:rPr>
        <w:t>3.2-2</w:t>
        <w:tab/>
      </w:r>
      <w:r>
        <w:rPr/>
        <w:t>已建项目副产品实际情况</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3"/>
        <w:gridCol w:w="1138"/>
        <w:gridCol w:w="850"/>
        <w:gridCol w:w="709"/>
        <w:gridCol w:w="843"/>
        <w:gridCol w:w="968"/>
        <w:gridCol w:w="1388"/>
        <w:gridCol w:w="1083"/>
        <w:gridCol w:w="1019"/>
        <w:gridCol w:w="764"/>
      </w:tblGrid>
      <w:tr>
        <w:trPr>
          <w:trHeight w:val="700" w:hRule="atLeast"/>
        </w:trPr>
        <w:tc>
          <w:tcPr>
            <w:tcW w:w="533" w:type="dxa"/>
          </w:tcPr>
          <w:p>
            <w:pPr>
              <w:pStyle w:val="TableParagraph"/>
              <w:spacing w:line="242" w:lineRule="auto" w:before="117"/>
              <w:ind w:left="175" w:right="167"/>
              <w:jc w:val="left"/>
              <w:rPr>
                <w:b/>
                <w:sz w:val="18"/>
              </w:rPr>
            </w:pPr>
            <w:r>
              <w:rPr>
                <w:b/>
                <w:w w:val="95"/>
                <w:sz w:val="18"/>
              </w:rPr>
              <w:t>序号</w:t>
            </w:r>
          </w:p>
        </w:tc>
        <w:tc>
          <w:tcPr>
            <w:tcW w:w="1138" w:type="dxa"/>
          </w:tcPr>
          <w:p>
            <w:pPr>
              <w:pStyle w:val="TableParagraph"/>
              <w:spacing w:before="1"/>
              <w:jc w:val="left"/>
              <w:rPr>
                <w:b/>
                <w:sz w:val="18"/>
              </w:rPr>
            </w:pPr>
          </w:p>
          <w:p>
            <w:pPr>
              <w:pStyle w:val="TableParagraph"/>
              <w:spacing w:before="1"/>
              <w:ind w:left="9" w:right="3"/>
              <w:rPr>
                <w:b/>
                <w:sz w:val="18"/>
              </w:rPr>
            </w:pPr>
            <w:r>
              <w:rPr>
                <w:b/>
                <w:sz w:val="18"/>
              </w:rPr>
              <w:t>副产名称</w:t>
            </w:r>
          </w:p>
        </w:tc>
        <w:tc>
          <w:tcPr>
            <w:tcW w:w="850" w:type="dxa"/>
          </w:tcPr>
          <w:p>
            <w:pPr>
              <w:pStyle w:val="TableParagraph"/>
              <w:spacing w:line="242" w:lineRule="auto" w:before="117"/>
              <w:ind w:left="332" w:right="143" w:hanging="180"/>
              <w:jc w:val="left"/>
              <w:rPr>
                <w:b/>
                <w:sz w:val="18"/>
              </w:rPr>
            </w:pPr>
            <w:r>
              <w:rPr>
                <w:b/>
                <w:sz w:val="18"/>
              </w:rPr>
              <w:t>建设规模</w:t>
            </w:r>
          </w:p>
        </w:tc>
        <w:tc>
          <w:tcPr>
            <w:tcW w:w="709" w:type="dxa"/>
          </w:tcPr>
          <w:p>
            <w:pPr>
              <w:pStyle w:val="TableParagraph"/>
              <w:spacing w:line="207" w:lineRule="exact" w:before="14"/>
              <w:ind w:left="151" w:right="145"/>
              <w:rPr>
                <w:rFonts w:ascii="Times New Roman"/>
                <w:b/>
                <w:sz w:val="18"/>
              </w:rPr>
            </w:pPr>
            <w:r>
              <w:rPr>
                <w:rFonts w:ascii="Times New Roman"/>
                <w:b/>
                <w:sz w:val="18"/>
              </w:rPr>
              <w:t>2021</w:t>
            </w:r>
          </w:p>
          <w:p>
            <w:pPr>
              <w:pStyle w:val="TableParagraph"/>
              <w:spacing w:line="230" w:lineRule="exact"/>
              <w:ind w:left="151" w:right="146"/>
              <w:rPr>
                <w:b/>
                <w:sz w:val="18"/>
              </w:rPr>
            </w:pPr>
            <w:r>
              <w:rPr>
                <w:b/>
                <w:sz w:val="18"/>
              </w:rPr>
              <w:t>年产</w:t>
            </w:r>
          </w:p>
          <w:p>
            <w:pPr>
              <w:pStyle w:val="TableParagraph"/>
              <w:spacing w:line="227" w:lineRule="exact" w:before="2"/>
              <w:ind w:left="2"/>
              <w:rPr>
                <w:b/>
                <w:sz w:val="18"/>
              </w:rPr>
            </w:pPr>
            <w:r>
              <w:rPr>
                <w:b/>
                <w:w w:val="99"/>
                <w:sz w:val="18"/>
              </w:rPr>
              <w:t>量</w:t>
            </w:r>
          </w:p>
        </w:tc>
        <w:tc>
          <w:tcPr>
            <w:tcW w:w="843" w:type="dxa"/>
          </w:tcPr>
          <w:p>
            <w:pPr>
              <w:pStyle w:val="TableParagraph"/>
              <w:spacing w:line="242" w:lineRule="auto"/>
              <w:ind w:left="147" w:right="141"/>
              <w:jc w:val="left"/>
              <w:rPr>
                <w:b/>
                <w:sz w:val="18"/>
              </w:rPr>
            </w:pPr>
            <w:r>
              <w:rPr>
                <w:b/>
                <w:spacing w:val="-6"/>
                <w:sz w:val="18"/>
              </w:rPr>
              <w:t>是否列</w:t>
            </w:r>
            <w:r>
              <w:rPr>
                <w:b/>
                <w:spacing w:val="-6"/>
                <w:w w:val="95"/>
                <w:sz w:val="18"/>
              </w:rPr>
              <w:t>入营业</w:t>
            </w:r>
          </w:p>
          <w:p>
            <w:pPr>
              <w:pStyle w:val="TableParagraph"/>
              <w:spacing w:line="213" w:lineRule="exact" w:before="2"/>
              <w:ind w:left="235"/>
              <w:jc w:val="left"/>
              <w:rPr>
                <w:b/>
                <w:sz w:val="18"/>
              </w:rPr>
            </w:pPr>
            <w:r>
              <w:rPr>
                <w:b/>
                <w:sz w:val="18"/>
              </w:rPr>
              <w:t>执照</w:t>
            </w:r>
          </w:p>
        </w:tc>
        <w:tc>
          <w:tcPr>
            <w:tcW w:w="968" w:type="dxa"/>
          </w:tcPr>
          <w:p>
            <w:pPr>
              <w:pStyle w:val="TableParagraph"/>
              <w:spacing w:line="242" w:lineRule="auto"/>
              <w:ind w:left="120" w:right="113"/>
              <w:jc w:val="left"/>
              <w:rPr>
                <w:b/>
                <w:sz w:val="18"/>
              </w:rPr>
            </w:pPr>
            <w:r>
              <w:rPr>
                <w:b/>
                <w:spacing w:val="-5"/>
                <w:sz w:val="18"/>
              </w:rPr>
              <w:t>是否列入</w:t>
            </w:r>
            <w:r>
              <w:rPr>
                <w:b/>
                <w:spacing w:val="-5"/>
                <w:w w:val="95"/>
                <w:sz w:val="18"/>
              </w:rPr>
              <w:t>安全生产</w:t>
            </w:r>
          </w:p>
          <w:p>
            <w:pPr>
              <w:pStyle w:val="TableParagraph"/>
              <w:spacing w:line="213" w:lineRule="exact" w:before="2"/>
              <w:ind w:left="208"/>
              <w:jc w:val="left"/>
              <w:rPr>
                <w:b/>
                <w:sz w:val="18"/>
              </w:rPr>
            </w:pPr>
            <w:r>
              <w:rPr>
                <w:b/>
                <w:w w:val="95"/>
                <w:sz w:val="18"/>
              </w:rPr>
              <w:t>许可证</w:t>
            </w:r>
          </w:p>
        </w:tc>
        <w:tc>
          <w:tcPr>
            <w:tcW w:w="1388" w:type="dxa"/>
          </w:tcPr>
          <w:p>
            <w:pPr>
              <w:pStyle w:val="TableParagraph"/>
              <w:spacing w:before="1"/>
              <w:jc w:val="left"/>
              <w:rPr>
                <w:b/>
                <w:sz w:val="18"/>
              </w:rPr>
            </w:pPr>
          </w:p>
          <w:p>
            <w:pPr>
              <w:pStyle w:val="TableParagraph"/>
              <w:spacing w:before="1"/>
              <w:ind w:left="89" w:right="88"/>
              <w:rPr>
                <w:b/>
                <w:sz w:val="18"/>
              </w:rPr>
            </w:pPr>
            <w:r>
              <w:rPr>
                <w:b/>
                <w:sz w:val="18"/>
              </w:rPr>
              <w:t>执行标准</w:t>
            </w:r>
          </w:p>
        </w:tc>
        <w:tc>
          <w:tcPr>
            <w:tcW w:w="1083" w:type="dxa"/>
          </w:tcPr>
          <w:p>
            <w:pPr>
              <w:pStyle w:val="TableParagraph"/>
              <w:spacing w:before="1"/>
              <w:jc w:val="left"/>
              <w:rPr>
                <w:b/>
                <w:sz w:val="18"/>
              </w:rPr>
            </w:pPr>
          </w:p>
          <w:p>
            <w:pPr>
              <w:pStyle w:val="TableParagraph"/>
              <w:spacing w:before="1"/>
              <w:ind w:left="145" w:right="143"/>
              <w:rPr>
                <w:b/>
                <w:sz w:val="18"/>
              </w:rPr>
            </w:pPr>
            <w:r>
              <w:rPr>
                <w:b/>
                <w:sz w:val="18"/>
              </w:rPr>
              <w:t>质量规格</w:t>
            </w:r>
          </w:p>
        </w:tc>
        <w:tc>
          <w:tcPr>
            <w:tcW w:w="1019" w:type="dxa"/>
          </w:tcPr>
          <w:p>
            <w:pPr>
              <w:pStyle w:val="TableParagraph"/>
              <w:spacing w:line="242" w:lineRule="auto"/>
              <w:ind w:left="142" w:right="142"/>
              <w:rPr>
                <w:b/>
                <w:sz w:val="18"/>
              </w:rPr>
            </w:pPr>
            <w:r>
              <w:rPr>
                <w:b/>
                <w:sz w:val="18"/>
              </w:rPr>
              <w:t>可能存在有毒有害</w:t>
            </w:r>
          </w:p>
          <w:p>
            <w:pPr>
              <w:pStyle w:val="TableParagraph"/>
              <w:spacing w:line="213" w:lineRule="exact" w:before="2"/>
              <w:ind w:left="142" w:right="142"/>
              <w:rPr>
                <w:b/>
                <w:sz w:val="18"/>
              </w:rPr>
            </w:pPr>
            <w:r>
              <w:rPr>
                <w:b/>
                <w:sz w:val="18"/>
              </w:rPr>
              <w:t>物质</w:t>
            </w:r>
          </w:p>
        </w:tc>
        <w:tc>
          <w:tcPr>
            <w:tcW w:w="764" w:type="dxa"/>
          </w:tcPr>
          <w:p>
            <w:pPr>
              <w:pStyle w:val="TableParagraph"/>
              <w:spacing w:before="1"/>
              <w:jc w:val="left"/>
              <w:rPr>
                <w:b/>
                <w:sz w:val="18"/>
              </w:rPr>
            </w:pPr>
          </w:p>
          <w:p>
            <w:pPr>
              <w:pStyle w:val="TableParagraph"/>
              <w:spacing w:before="1"/>
              <w:ind w:left="191"/>
              <w:jc w:val="left"/>
              <w:rPr>
                <w:b/>
                <w:sz w:val="18"/>
              </w:rPr>
            </w:pPr>
            <w:r>
              <w:rPr>
                <w:b/>
                <w:sz w:val="18"/>
              </w:rPr>
              <w:t>去向</w:t>
            </w:r>
          </w:p>
        </w:tc>
      </w:tr>
      <w:tr>
        <w:trPr>
          <w:trHeight w:val="674" w:hRule="atLeast"/>
        </w:trPr>
        <w:tc>
          <w:tcPr>
            <w:tcW w:w="533" w:type="dxa"/>
          </w:tcPr>
          <w:p>
            <w:pPr>
              <w:pStyle w:val="TableParagraph"/>
              <w:spacing w:before="2"/>
              <w:jc w:val="left"/>
              <w:rPr>
                <w:b/>
                <w:sz w:val="18"/>
              </w:rPr>
            </w:pPr>
          </w:p>
          <w:p>
            <w:pPr>
              <w:pStyle w:val="TableParagraph"/>
              <w:ind w:left="8"/>
              <w:rPr>
                <w:rFonts w:ascii="Times New Roman"/>
                <w:sz w:val="18"/>
              </w:rPr>
            </w:pPr>
            <w:r>
              <w:rPr>
                <w:rFonts w:ascii="Times New Roman"/>
                <w:sz w:val="18"/>
              </w:rPr>
              <w:t>1</w:t>
            </w:r>
          </w:p>
        </w:tc>
        <w:tc>
          <w:tcPr>
            <w:tcW w:w="1138" w:type="dxa"/>
          </w:tcPr>
          <w:p>
            <w:pPr>
              <w:pStyle w:val="TableParagraph"/>
              <w:spacing w:line="242" w:lineRule="auto" w:before="103"/>
              <w:ind w:left="388" w:right="123" w:hanging="257"/>
              <w:jc w:val="left"/>
              <w:rPr>
                <w:sz w:val="18"/>
              </w:rPr>
            </w:pPr>
            <w:r>
              <w:rPr>
                <w:rFonts w:ascii="Times New Roman" w:eastAsia="Times New Roman"/>
                <w:sz w:val="18"/>
              </w:rPr>
              <w:t>3-</w:t>
            </w:r>
            <w:r>
              <w:rPr>
                <w:sz w:val="18"/>
              </w:rPr>
              <w:t>硝基邻二甲苯</w:t>
            </w:r>
          </w:p>
        </w:tc>
        <w:tc>
          <w:tcPr>
            <w:tcW w:w="850" w:type="dxa"/>
          </w:tcPr>
          <w:p>
            <w:pPr>
              <w:pStyle w:val="TableParagraph"/>
              <w:spacing w:before="2"/>
              <w:jc w:val="left"/>
              <w:rPr>
                <w:b/>
                <w:sz w:val="18"/>
              </w:rPr>
            </w:pPr>
          </w:p>
          <w:p>
            <w:pPr>
              <w:pStyle w:val="TableParagraph"/>
              <w:ind w:left="87" w:right="79"/>
              <w:rPr>
                <w:rFonts w:ascii="Times New Roman"/>
                <w:sz w:val="18"/>
              </w:rPr>
            </w:pPr>
            <w:r>
              <w:rPr>
                <w:rFonts w:ascii="Times New Roman"/>
                <w:sz w:val="18"/>
              </w:rPr>
              <w:t>9882</w:t>
            </w:r>
          </w:p>
        </w:tc>
        <w:tc>
          <w:tcPr>
            <w:tcW w:w="709" w:type="dxa"/>
          </w:tcPr>
          <w:p>
            <w:pPr>
              <w:pStyle w:val="TableParagraph"/>
              <w:spacing w:before="2"/>
              <w:jc w:val="left"/>
              <w:rPr>
                <w:b/>
                <w:sz w:val="18"/>
              </w:rPr>
            </w:pPr>
          </w:p>
          <w:p>
            <w:pPr>
              <w:pStyle w:val="TableParagraph"/>
              <w:ind w:left="151" w:right="145"/>
              <w:rPr>
                <w:rFonts w:ascii="Times New Roman"/>
                <w:sz w:val="18"/>
              </w:rPr>
            </w:pPr>
            <w:r>
              <w:rPr>
                <w:rFonts w:ascii="Times New Roman"/>
                <w:sz w:val="18"/>
              </w:rPr>
              <w:t>9960</w:t>
            </w:r>
          </w:p>
        </w:tc>
        <w:tc>
          <w:tcPr>
            <w:tcW w:w="843" w:type="dxa"/>
          </w:tcPr>
          <w:p>
            <w:pPr>
              <w:pStyle w:val="TableParagraph"/>
              <w:spacing w:before="3"/>
              <w:jc w:val="left"/>
              <w:rPr>
                <w:b/>
                <w:sz w:val="17"/>
              </w:rPr>
            </w:pPr>
          </w:p>
          <w:p>
            <w:pPr>
              <w:pStyle w:val="TableParagraph"/>
              <w:ind w:left="1"/>
              <w:rPr>
                <w:sz w:val="18"/>
              </w:rPr>
            </w:pPr>
            <w:r>
              <w:rPr>
                <w:sz w:val="18"/>
              </w:rPr>
              <w:t>是</w:t>
            </w:r>
          </w:p>
        </w:tc>
        <w:tc>
          <w:tcPr>
            <w:tcW w:w="968" w:type="dxa"/>
          </w:tcPr>
          <w:p>
            <w:pPr>
              <w:pStyle w:val="TableParagraph"/>
              <w:spacing w:before="3"/>
              <w:jc w:val="left"/>
              <w:rPr>
                <w:b/>
                <w:sz w:val="17"/>
              </w:rPr>
            </w:pPr>
          </w:p>
          <w:p>
            <w:pPr>
              <w:pStyle w:val="TableParagraph"/>
              <w:ind w:left="4"/>
              <w:rPr>
                <w:sz w:val="18"/>
              </w:rPr>
            </w:pPr>
            <w:r>
              <w:rPr>
                <w:sz w:val="18"/>
              </w:rPr>
              <w:t>是</w:t>
            </w:r>
          </w:p>
        </w:tc>
        <w:tc>
          <w:tcPr>
            <w:tcW w:w="1388" w:type="dxa"/>
          </w:tcPr>
          <w:p>
            <w:pPr>
              <w:pStyle w:val="TableParagraph"/>
              <w:spacing w:line="207" w:lineRule="exact"/>
              <w:ind w:left="89" w:right="85"/>
              <w:rPr>
                <w:rFonts w:ascii="Times New Roman"/>
                <w:sz w:val="18"/>
              </w:rPr>
            </w:pPr>
            <w:r>
              <w:rPr>
                <w:rFonts w:ascii="Times New Roman"/>
                <w:sz w:val="18"/>
              </w:rPr>
              <w:t>Q/BSM2-2019</w:t>
            </w:r>
          </w:p>
          <w:p>
            <w:pPr>
              <w:pStyle w:val="TableParagraph"/>
              <w:spacing w:line="230" w:lineRule="exact"/>
              <w:ind w:left="89" w:right="86"/>
              <w:rPr>
                <w:sz w:val="18"/>
              </w:rPr>
            </w:pPr>
            <w:r>
              <w:rPr>
                <w:sz w:val="18"/>
              </w:rPr>
              <w:t>《</w:t>
            </w:r>
            <w:r>
              <w:rPr>
                <w:rFonts w:ascii="Times New Roman" w:eastAsia="Times New Roman"/>
                <w:sz w:val="18"/>
              </w:rPr>
              <w:t>3-</w:t>
            </w:r>
            <w:r>
              <w:rPr>
                <w:sz w:val="18"/>
              </w:rPr>
              <w:t>硝基邻二</w:t>
            </w:r>
          </w:p>
          <w:p>
            <w:pPr>
              <w:pStyle w:val="TableParagraph"/>
              <w:spacing w:line="215" w:lineRule="exact" w:before="2"/>
              <w:ind w:left="89" w:right="88"/>
              <w:rPr>
                <w:sz w:val="18"/>
              </w:rPr>
            </w:pPr>
            <w:r>
              <w:rPr>
                <w:sz w:val="18"/>
              </w:rPr>
              <w:t>甲苯》</w:t>
            </w:r>
          </w:p>
        </w:tc>
        <w:tc>
          <w:tcPr>
            <w:tcW w:w="1083" w:type="dxa"/>
          </w:tcPr>
          <w:p>
            <w:pPr>
              <w:pStyle w:val="TableParagraph"/>
              <w:spacing w:line="242" w:lineRule="auto"/>
              <w:ind w:left="176" w:right="174" w:firstLine="4"/>
              <w:rPr>
                <w:sz w:val="18"/>
              </w:rPr>
            </w:pPr>
            <w:r>
              <w:rPr>
                <w:rFonts w:ascii="Times New Roman" w:hAnsi="Times New Roman" w:eastAsia="Times New Roman"/>
                <w:sz w:val="18"/>
              </w:rPr>
              <w:t>3-</w:t>
            </w:r>
            <w:r>
              <w:rPr>
                <w:sz w:val="18"/>
              </w:rPr>
              <w:t>硝基邻二甲苯≥</w:t>
            </w:r>
          </w:p>
          <w:p>
            <w:pPr>
              <w:pStyle w:val="TableParagraph"/>
              <w:spacing w:line="188" w:lineRule="exact"/>
              <w:ind w:left="146" w:right="143"/>
              <w:rPr>
                <w:rFonts w:ascii="Times New Roman"/>
                <w:sz w:val="18"/>
              </w:rPr>
            </w:pPr>
            <w:r>
              <w:rPr>
                <w:rFonts w:ascii="Times New Roman"/>
                <w:sz w:val="18"/>
              </w:rPr>
              <w:t>98%</w:t>
            </w:r>
          </w:p>
        </w:tc>
        <w:tc>
          <w:tcPr>
            <w:tcW w:w="1019" w:type="dxa"/>
          </w:tcPr>
          <w:p>
            <w:pPr>
              <w:pStyle w:val="TableParagraph"/>
              <w:spacing w:line="242" w:lineRule="auto"/>
              <w:ind w:left="142" w:right="144" w:firstLine="4"/>
              <w:rPr>
                <w:sz w:val="18"/>
              </w:rPr>
            </w:pPr>
            <w:r>
              <w:rPr>
                <w:rFonts w:ascii="Times New Roman" w:hAnsi="Times New Roman" w:eastAsia="Times New Roman"/>
                <w:sz w:val="18"/>
              </w:rPr>
              <w:t>4-</w:t>
            </w:r>
            <w:r>
              <w:rPr>
                <w:sz w:val="18"/>
              </w:rPr>
              <w:t>硝基邻二甲苯≤</w:t>
            </w:r>
          </w:p>
          <w:p>
            <w:pPr>
              <w:pStyle w:val="TableParagraph"/>
              <w:spacing w:line="188" w:lineRule="exact"/>
              <w:ind w:left="142" w:right="142"/>
              <w:rPr>
                <w:rFonts w:ascii="Times New Roman"/>
                <w:sz w:val="18"/>
              </w:rPr>
            </w:pPr>
            <w:r>
              <w:rPr>
                <w:rFonts w:ascii="Times New Roman"/>
                <w:sz w:val="18"/>
              </w:rPr>
              <w:t>1.0%</w:t>
            </w:r>
          </w:p>
        </w:tc>
        <w:tc>
          <w:tcPr>
            <w:tcW w:w="764" w:type="dxa"/>
          </w:tcPr>
          <w:p>
            <w:pPr>
              <w:pStyle w:val="TableParagraph"/>
              <w:spacing w:before="3"/>
              <w:jc w:val="left"/>
              <w:rPr>
                <w:b/>
                <w:sz w:val="17"/>
              </w:rPr>
            </w:pPr>
          </w:p>
          <w:p>
            <w:pPr>
              <w:pStyle w:val="TableParagraph"/>
              <w:ind w:left="194"/>
              <w:jc w:val="left"/>
              <w:rPr>
                <w:sz w:val="18"/>
              </w:rPr>
            </w:pPr>
            <w:r>
              <w:rPr>
                <w:sz w:val="18"/>
              </w:rPr>
              <w:t>外售</w:t>
            </w:r>
          </w:p>
        </w:tc>
      </w:tr>
      <w:tr>
        <w:trPr>
          <w:trHeight w:val="674" w:hRule="atLeast"/>
        </w:trPr>
        <w:tc>
          <w:tcPr>
            <w:tcW w:w="533" w:type="dxa"/>
          </w:tcPr>
          <w:p>
            <w:pPr>
              <w:pStyle w:val="TableParagraph"/>
              <w:spacing w:before="1"/>
              <w:jc w:val="left"/>
              <w:rPr>
                <w:b/>
                <w:sz w:val="18"/>
              </w:rPr>
            </w:pPr>
          </w:p>
          <w:p>
            <w:pPr>
              <w:pStyle w:val="TableParagraph"/>
              <w:spacing w:before="1"/>
              <w:ind w:left="8"/>
              <w:rPr>
                <w:rFonts w:ascii="Times New Roman"/>
                <w:sz w:val="18"/>
              </w:rPr>
            </w:pPr>
            <w:r>
              <w:rPr>
                <w:rFonts w:ascii="Times New Roman"/>
                <w:sz w:val="18"/>
              </w:rPr>
              <w:t>2</w:t>
            </w:r>
          </w:p>
        </w:tc>
        <w:tc>
          <w:tcPr>
            <w:tcW w:w="1138" w:type="dxa"/>
          </w:tcPr>
          <w:p>
            <w:pPr>
              <w:pStyle w:val="TableParagraph"/>
              <w:spacing w:before="2"/>
              <w:jc w:val="left"/>
              <w:rPr>
                <w:b/>
                <w:sz w:val="17"/>
              </w:rPr>
            </w:pPr>
          </w:p>
          <w:p>
            <w:pPr>
              <w:pStyle w:val="TableParagraph"/>
              <w:ind w:left="9" w:right="3"/>
              <w:rPr>
                <w:sz w:val="18"/>
              </w:rPr>
            </w:pPr>
            <w:r>
              <w:rPr>
                <w:rFonts w:ascii="Times New Roman" w:eastAsia="Times New Roman"/>
                <w:sz w:val="18"/>
              </w:rPr>
              <w:t>96%</w:t>
            </w:r>
            <w:r>
              <w:rPr>
                <w:sz w:val="18"/>
              </w:rPr>
              <w:t>浓硫酸</w:t>
            </w:r>
          </w:p>
        </w:tc>
        <w:tc>
          <w:tcPr>
            <w:tcW w:w="850" w:type="dxa"/>
          </w:tcPr>
          <w:p>
            <w:pPr>
              <w:pStyle w:val="TableParagraph"/>
              <w:spacing w:before="1"/>
              <w:jc w:val="left"/>
              <w:rPr>
                <w:b/>
                <w:sz w:val="18"/>
              </w:rPr>
            </w:pPr>
          </w:p>
          <w:p>
            <w:pPr>
              <w:pStyle w:val="TableParagraph"/>
              <w:spacing w:before="1"/>
              <w:ind w:left="87" w:right="79"/>
              <w:rPr>
                <w:rFonts w:ascii="Times New Roman"/>
                <w:sz w:val="18"/>
              </w:rPr>
            </w:pPr>
            <w:r>
              <w:rPr>
                <w:rFonts w:ascii="Times New Roman"/>
                <w:sz w:val="18"/>
              </w:rPr>
              <w:t>6810</w:t>
            </w:r>
          </w:p>
        </w:tc>
        <w:tc>
          <w:tcPr>
            <w:tcW w:w="709" w:type="dxa"/>
          </w:tcPr>
          <w:p>
            <w:pPr>
              <w:pStyle w:val="TableParagraph"/>
              <w:spacing w:before="1"/>
              <w:jc w:val="left"/>
              <w:rPr>
                <w:b/>
                <w:sz w:val="18"/>
              </w:rPr>
            </w:pPr>
          </w:p>
          <w:p>
            <w:pPr>
              <w:pStyle w:val="TableParagraph"/>
              <w:spacing w:before="1"/>
              <w:ind w:left="151" w:right="145"/>
              <w:rPr>
                <w:rFonts w:ascii="Times New Roman"/>
                <w:sz w:val="18"/>
              </w:rPr>
            </w:pPr>
            <w:r>
              <w:rPr>
                <w:rFonts w:ascii="Times New Roman"/>
                <w:sz w:val="18"/>
              </w:rPr>
              <w:t>6538</w:t>
            </w:r>
          </w:p>
        </w:tc>
        <w:tc>
          <w:tcPr>
            <w:tcW w:w="843" w:type="dxa"/>
          </w:tcPr>
          <w:p>
            <w:pPr>
              <w:pStyle w:val="TableParagraph"/>
              <w:spacing w:before="2"/>
              <w:jc w:val="left"/>
              <w:rPr>
                <w:b/>
                <w:sz w:val="17"/>
              </w:rPr>
            </w:pPr>
          </w:p>
          <w:p>
            <w:pPr>
              <w:pStyle w:val="TableParagraph"/>
              <w:ind w:left="1"/>
              <w:rPr>
                <w:sz w:val="18"/>
              </w:rPr>
            </w:pPr>
            <w:r>
              <w:rPr>
                <w:sz w:val="18"/>
              </w:rPr>
              <w:t>是</w:t>
            </w:r>
          </w:p>
        </w:tc>
        <w:tc>
          <w:tcPr>
            <w:tcW w:w="968" w:type="dxa"/>
          </w:tcPr>
          <w:p>
            <w:pPr>
              <w:pStyle w:val="TableParagraph"/>
              <w:spacing w:before="2"/>
              <w:jc w:val="left"/>
              <w:rPr>
                <w:b/>
                <w:sz w:val="17"/>
              </w:rPr>
            </w:pPr>
          </w:p>
          <w:p>
            <w:pPr>
              <w:pStyle w:val="TableParagraph"/>
              <w:ind w:left="4"/>
              <w:rPr>
                <w:sz w:val="18"/>
              </w:rPr>
            </w:pPr>
            <w:r>
              <w:rPr>
                <w:sz w:val="18"/>
              </w:rPr>
              <w:t>是</w:t>
            </w:r>
          </w:p>
        </w:tc>
        <w:tc>
          <w:tcPr>
            <w:tcW w:w="1388" w:type="dxa"/>
          </w:tcPr>
          <w:p>
            <w:pPr>
              <w:pStyle w:val="TableParagraph"/>
              <w:spacing w:line="206" w:lineRule="exact"/>
              <w:ind w:left="89" w:right="88"/>
              <w:rPr>
                <w:rFonts w:ascii="Times New Roman"/>
                <w:sz w:val="18"/>
              </w:rPr>
            </w:pPr>
            <w:r>
              <w:rPr>
                <w:rFonts w:ascii="Times New Roman"/>
                <w:sz w:val="18"/>
              </w:rPr>
              <w:t>Q/BSM13-2020</w:t>
            </w:r>
          </w:p>
          <w:p>
            <w:pPr>
              <w:pStyle w:val="TableParagraph"/>
              <w:spacing w:line="230" w:lineRule="exact"/>
              <w:ind w:left="89" w:right="86"/>
              <w:rPr>
                <w:sz w:val="18"/>
              </w:rPr>
            </w:pPr>
            <w:r>
              <w:rPr>
                <w:sz w:val="18"/>
              </w:rPr>
              <w:t>《</w:t>
            </w:r>
            <w:r>
              <w:rPr>
                <w:rFonts w:ascii="Times New Roman" w:eastAsia="Times New Roman"/>
                <w:sz w:val="18"/>
              </w:rPr>
              <w:t>96%</w:t>
            </w:r>
            <w:r>
              <w:rPr>
                <w:sz w:val="18"/>
              </w:rPr>
              <w:t>副产硫</w:t>
            </w:r>
          </w:p>
          <w:p>
            <w:pPr>
              <w:pStyle w:val="TableParagraph"/>
              <w:spacing w:line="215" w:lineRule="exact" w:before="2"/>
              <w:ind w:left="89" w:right="86"/>
              <w:rPr>
                <w:sz w:val="18"/>
              </w:rPr>
            </w:pPr>
            <w:r>
              <w:rPr>
                <w:sz w:val="18"/>
              </w:rPr>
              <w:t>酸》</w:t>
            </w:r>
          </w:p>
        </w:tc>
        <w:tc>
          <w:tcPr>
            <w:tcW w:w="1083" w:type="dxa"/>
          </w:tcPr>
          <w:p>
            <w:pPr>
              <w:pStyle w:val="TableParagraph"/>
              <w:spacing w:before="117"/>
              <w:ind w:left="143" w:right="143"/>
              <w:rPr>
                <w:sz w:val="18"/>
              </w:rPr>
            </w:pPr>
            <w:r>
              <w:rPr>
                <w:sz w:val="18"/>
              </w:rPr>
              <w:t>硫酸</w:t>
            </w:r>
          </w:p>
          <w:p>
            <w:pPr>
              <w:pStyle w:val="TableParagraph"/>
              <w:spacing w:before="2"/>
              <w:ind w:left="146" w:right="143"/>
              <w:rPr>
                <w:rFonts w:ascii="Times New Roman"/>
                <w:sz w:val="18"/>
              </w:rPr>
            </w:pPr>
            <w:r>
              <w:rPr>
                <w:rFonts w:ascii="Times New Roman"/>
                <w:sz w:val="18"/>
              </w:rPr>
              <w:t>95~96.5%</w:t>
            </w:r>
          </w:p>
        </w:tc>
        <w:tc>
          <w:tcPr>
            <w:tcW w:w="1019" w:type="dxa"/>
          </w:tcPr>
          <w:p>
            <w:pPr>
              <w:pStyle w:val="TableParagraph"/>
              <w:spacing w:before="117"/>
              <w:ind w:left="142"/>
              <w:jc w:val="left"/>
              <w:rPr>
                <w:sz w:val="18"/>
              </w:rPr>
            </w:pPr>
            <w:r>
              <w:rPr>
                <w:sz w:val="18"/>
              </w:rPr>
              <w:t>硝基苯≤</w:t>
            </w:r>
          </w:p>
          <w:p>
            <w:pPr>
              <w:pStyle w:val="TableParagraph"/>
              <w:spacing w:before="2"/>
              <w:ind w:left="161"/>
              <w:jc w:val="left"/>
              <w:rPr>
                <w:rFonts w:ascii="Times New Roman"/>
                <w:sz w:val="18"/>
              </w:rPr>
            </w:pPr>
            <w:r>
              <w:rPr>
                <w:rFonts w:ascii="Times New Roman"/>
                <w:sz w:val="18"/>
              </w:rPr>
              <w:t>2.6mg/kg</w:t>
            </w:r>
          </w:p>
        </w:tc>
        <w:tc>
          <w:tcPr>
            <w:tcW w:w="764" w:type="dxa"/>
          </w:tcPr>
          <w:p>
            <w:pPr>
              <w:pStyle w:val="TableParagraph"/>
              <w:spacing w:before="2"/>
              <w:jc w:val="left"/>
              <w:rPr>
                <w:b/>
                <w:sz w:val="17"/>
              </w:rPr>
            </w:pPr>
          </w:p>
          <w:p>
            <w:pPr>
              <w:pStyle w:val="TableParagraph"/>
              <w:ind w:left="194"/>
              <w:jc w:val="left"/>
              <w:rPr>
                <w:sz w:val="18"/>
              </w:rPr>
            </w:pPr>
            <w:r>
              <w:rPr>
                <w:sz w:val="18"/>
              </w:rPr>
              <w:t>外售</w:t>
            </w:r>
          </w:p>
        </w:tc>
      </w:tr>
      <w:tr>
        <w:trPr>
          <w:trHeight w:val="933" w:hRule="atLeast"/>
        </w:trPr>
        <w:tc>
          <w:tcPr>
            <w:tcW w:w="533" w:type="dxa"/>
          </w:tcPr>
          <w:p>
            <w:pPr>
              <w:pStyle w:val="TableParagraph"/>
              <w:spacing w:before="3"/>
              <w:jc w:val="left"/>
              <w:rPr>
                <w:b/>
                <w:sz w:val="28"/>
              </w:rPr>
            </w:pPr>
          </w:p>
          <w:p>
            <w:pPr>
              <w:pStyle w:val="TableParagraph"/>
              <w:ind w:left="8"/>
              <w:rPr>
                <w:rFonts w:ascii="Times New Roman"/>
                <w:sz w:val="18"/>
              </w:rPr>
            </w:pPr>
            <w:r>
              <w:rPr>
                <w:rFonts w:ascii="Times New Roman"/>
                <w:sz w:val="18"/>
              </w:rPr>
              <w:t>3</w:t>
            </w:r>
          </w:p>
        </w:tc>
        <w:tc>
          <w:tcPr>
            <w:tcW w:w="1138" w:type="dxa"/>
          </w:tcPr>
          <w:p>
            <w:pPr>
              <w:pStyle w:val="TableParagraph"/>
              <w:spacing w:before="4"/>
              <w:jc w:val="left"/>
              <w:rPr>
                <w:b/>
                <w:sz w:val="27"/>
              </w:rPr>
            </w:pPr>
          </w:p>
          <w:p>
            <w:pPr>
              <w:pStyle w:val="TableParagraph"/>
              <w:ind w:left="11" w:right="3"/>
              <w:rPr>
                <w:sz w:val="18"/>
              </w:rPr>
            </w:pPr>
            <w:r>
              <w:rPr>
                <w:rFonts w:ascii="Times New Roman" w:eastAsia="Times New Roman"/>
                <w:sz w:val="18"/>
              </w:rPr>
              <w:t>30%</w:t>
            </w:r>
            <w:r>
              <w:rPr>
                <w:sz w:val="18"/>
              </w:rPr>
              <w:t>硝酸</w:t>
            </w:r>
          </w:p>
        </w:tc>
        <w:tc>
          <w:tcPr>
            <w:tcW w:w="850" w:type="dxa"/>
          </w:tcPr>
          <w:p>
            <w:pPr>
              <w:pStyle w:val="TableParagraph"/>
              <w:spacing w:before="3"/>
              <w:jc w:val="left"/>
              <w:rPr>
                <w:b/>
                <w:sz w:val="28"/>
              </w:rPr>
            </w:pPr>
          </w:p>
          <w:p>
            <w:pPr>
              <w:pStyle w:val="TableParagraph"/>
              <w:ind w:left="87" w:right="79"/>
              <w:rPr>
                <w:rFonts w:ascii="Times New Roman"/>
                <w:sz w:val="18"/>
              </w:rPr>
            </w:pPr>
            <w:r>
              <w:rPr>
                <w:rFonts w:ascii="Times New Roman"/>
                <w:sz w:val="18"/>
              </w:rPr>
              <w:t>1596.24</w:t>
            </w:r>
          </w:p>
        </w:tc>
        <w:tc>
          <w:tcPr>
            <w:tcW w:w="709" w:type="dxa"/>
          </w:tcPr>
          <w:p>
            <w:pPr>
              <w:pStyle w:val="TableParagraph"/>
              <w:spacing w:before="3"/>
              <w:jc w:val="left"/>
              <w:rPr>
                <w:b/>
                <w:sz w:val="28"/>
              </w:rPr>
            </w:pPr>
          </w:p>
          <w:p>
            <w:pPr>
              <w:pStyle w:val="TableParagraph"/>
              <w:ind w:left="151" w:right="145"/>
              <w:rPr>
                <w:rFonts w:ascii="Times New Roman"/>
                <w:sz w:val="18"/>
              </w:rPr>
            </w:pPr>
            <w:r>
              <w:rPr>
                <w:rFonts w:ascii="Times New Roman"/>
                <w:sz w:val="18"/>
              </w:rPr>
              <w:t>1465</w:t>
            </w:r>
          </w:p>
        </w:tc>
        <w:tc>
          <w:tcPr>
            <w:tcW w:w="843" w:type="dxa"/>
          </w:tcPr>
          <w:p>
            <w:pPr>
              <w:pStyle w:val="TableParagraph"/>
              <w:jc w:val="left"/>
              <w:rPr>
                <w:b/>
                <w:sz w:val="18"/>
              </w:rPr>
            </w:pPr>
          </w:p>
          <w:p>
            <w:pPr>
              <w:pStyle w:val="TableParagraph"/>
              <w:spacing w:before="119"/>
              <w:ind w:left="1"/>
              <w:rPr>
                <w:sz w:val="18"/>
              </w:rPr>
            </w:pPr>
            <w:r>
              <w:rPr>
                <w:sz w:val="18"/>
              </w:rPr>
              <w:t>是</w:t>
            </w:r>
          </w:p>
        </w:tc>
        <w:tc>
          <w:tcPr>
            <w:tcW w:w="968" w:type="dxa"/>
          </w:tcPr>
          <w:p>
            <w:pPr>
              <w:pStyle w:val="TableParagraph"/>
              <w:jc w:val="left"/>
              <w:rPr>
                <w:b/>
                <w:sz w:val="18"/>
              </w:rPr>
            </w:pPr>
          </w:p>
          <w:p>
            <w:pPr>
              <w:pStyle w:val="TableParagraph"/>
              <w:spacing w:before="119"/>
              <w:ind w:left="4"/>
              <w:rPr>
                <w:sz w:val="18"/>
              </w:rPr>
            </w:pPr>
            <w:r>
              <w:rPr>
                <w:sz w:val="18"/>
              </w:rPr>
              <w:t>是</w:t>
            </w:r>
          </w:p>
        </w:tc>
        <w:tc>
          <w:tcPr>
            <w:tcW w:w="1388" w:type="dxa"/>
          </w:tcPr>
          <w:p>
            <w:pPr>
              <w:pStyle w:val="TableParagraph"/>
              <w:spacing w:before="3"/>
              <w:jc w:val="left"/>
              <w:rPr>
                <w:b/>
                <w:sz w:val="28"/>
              </w:rPr>
            </w:pPr>
          </w:p>
          <w:p>
            <w:pPr>
              <w:pStyle w:val="TableParagraph"/>
              <w:ind w:left="1"/>
              <w:rPr>
                <w:rFonts w:ascii="Times New Roman"/>
                <w:sz w:val="18"/>
              </w:rPr>
            </w:pPr>
            <w:r>
              <w:rPr>
                <w:rFonts w:ascii="Times New Roman"/>
                <w:sz w:val="18"/>
              </w:rPr>
              <w:t>/</w:t>
            </w:r>
          </w:p>
        </w:tc>
        <w:tc>
          <w:tcPr>
            <w:tcW w:w="1083" w:type="dxa"/>
          </w:tcPr>
          <w:p>
            <w:pPr>
              <w:pStyle w:val="TableParagraph"/>
              <w:spacing w:before="3"/>
              <w:jc w:val="left"/>
              <w:rPr>
                <w:b/>
                <w:sz w:val="28"/>
              </w:rPr>
            </w:pPr>
          </w:p>
          <w:p>
            <w:pPr>
              <w:pStyle w:val="TableParagraph"/>
              <w:ind w:left="2"/>
              <w:rPr>
                <w:rFonts w:ascii="Times New Roman"/>
                <w:sz w:val="18"/>
              </w:rPr>
            </w:pPr>
            <w:r>
              <w:rPr>
                <w:rFonts w:ascii="Times New Roman"/>
                <w:sz w:val="18"/>
              </w:rPr>
              <w:t>/</w:t>
            </w:r>
          </w:p>
        </w:tc>
        <w:tc>
          <w:tcPr>
            <w:tcW w:w="1019" w:type="dxa"/>
          </w:tcPr>
          <w:p>
            <w:pPr>
              <w:pStyle w:val="TableParagraph"/>
              <w:jc w:val="left"/>
              <w:rPr>
                <w:b/>
                <w:sz w:val="18"/>
              </w:rPr>
            </w:pPr>
          </w:p>
          <w:p>
            <w:pPr>
              <w:pStyle w:val="TableParagraph"/>
              <w:spacing w:before="119"/>
              <w:ind w:left="142"/>
              <w:jc w:val="left"/>
              <w:rPr>
                <w:sz w:val="18"/>
              </w:rPr>
            </w:pPr>
            <w:r>
              <w:rPr>
                <w:sz w:val="18"/>
              </w:rPr>
              <w:t>邻二甲苯</w:t>
            </w:r>
          </w:p>
        </w:tc>
        <w:tc>
          <w:tcPr>
            <w:tcW w:w="764" w:type="dxa"/>
          </w:tcPr>
          <w:p>
            <w:pPr>
              <w:pStyle w:val="TableParagraph"/>
              <w:spacing w:line="242" w:lineRule="auto"/>
              <w:ind w:left="103" w:right="108"/>
              <w:jc w:val="both"/>
              <w:rPr>
                <w:sz w:val="18"/>
              </w:rPr>
            </w:pPr>
            <w:r>
              <w:rPr>
                <w:spacing w:val="-6"/>
                <w:sz w:val="18"/>
              </w:rPr>
              <w:t>全部回用于生产，不</w:t>
            </w:r>
          </w:p>
          <w:p>
            <w:pPr>
              <w:pStyle w:val="TableParagraph"/>
              <w:spacing w:line="213" w:lineRule="exact" w:before="2"/>
              <w:ind w:left="194"/>
              <w:jc w:val="left"/>
              <w:rPr>
                <w:sz w:val="18"/>
              </w:rPr>
            </w:pPr>
            <w:r>
              <w:rPr>
                <w:sz w:val="18"/>
              </w:rPr>
              <w:t>外售</w:t>
            </w:r>
          </w:p>
        </w:tc>
      </w:tr>
    </w:tbl>
    <w:p>
      <w:pPr>
        <w:pStyle w:val="BodyText"/>
        <w:spacing w:line="364" w:lineRule="auto" w:before="2"/>
        <w:ind w:left="218" w:right="232" w:firstLine="480"/>
        <w:jc w:val="both"/>
      </w:pPr>
      <w:r>
        <w:rPr/>
        <w:t>（</w:t>
      </w:r>
      <w:r>
        <w:rPr>
          <w:rFonts w:ascii="Times New Roman" w:eastAsia="Times New Roman"/>
        </w:rPr>
        <w:t>1</w:t>
      </w:r>
      <w:r>
        <w:rPr/>
        <w:t>）</w:t>
      </w:r>
      <w:r>
        <w:rPr>
          <w:spacing w:val="5"/>
        </w:rPr>
        <w:t>目前 </w:t>
      </w:r>
      <w:r>
        <w:rPr>
          <w:rFonts w:ascii="Times New Roman" w:eastAsia="Times New Roman"/>
        </w:rPr>
        <w:t>3-</w:t>
      </w:r>
      <w:r>
        <w:rPr/>
        <w:t>硝基邻二甲苯、</w:t>
      </w:r>
      <w:r>
        <w:rPr>
          <w:rFonts w:ascii="Times New Roman" w:eastAsia="Times New Roman"/>
        </w:rPr>
        <w:t>96%</w:t>
      </w:r>
      <w:r>
        <w:rPr/>
        <w:t>浓硫酸均制定了企业标准并列入营业执照，且取</w:t>
      </w:r>
      <w:r>
        <w:rPr>
          <w:spacing w:val="-9"/>
        </w:rPr>
        <w:t>得安全许可证。其中 </w:t>
      </w:r>
      <w:r>
        <w:rPr>
          <w:rFonts w:ascii="Times New Roman" w:eastAsia="Times New Roman"/>
        </w:rPr>
        <w:t>3-</w:t>
      </w:r>
      <w:r>
        <w:rPr>
          <w:spacing w:val="-1"/>
        </w:rPr>
        <w:t>硝基邻二甲苯通过硝化液分离而来，</w:t>
      </w:r>
      <w:r>
        <w:rPr>
          <w:rFonts w:ascii="Times New Roman" w:eastAsia="Times New Roman"/>
          <w:spacing w:val="-4"/>
        </w:rPr>
        <w:t>96%</w:t>
      </w:r>
      <w:r>
        <w:rPr>
          <w:spacing w:val="-2"/>
        </w:rPr>
        <w:t>浓硫酸通过稀硝酸蒸发</w:t>
      </w:r>
      <w:r>
        <w:rPr>
          <w:spacing w:val="-7"/>
        </w:rPr>
        <w:t>浓缩而来。所得到的副产品均采用了消除危险特性和有毒有害物质的步骤，各产品均有</w:t>
      </w:r>
      <w:r>
        <w:rPr/>
        <w:t>稳定的销售去向、价值较高。</w:t>
      </w:r>
    </w:p>
    <w:p>
      <w:pPr>
        <w:pStyle w:val="BodyText"/>
        <w:spacing w:line="364" w:lineRule="auto"/>
        <w:ind w:left="218" w:right="232" w:firstLine="480"/>
        <w:jc w:val="both"/>
      </w:pPr>
      <w:r>
        <w:rPr/>
        <w:t>副产品 </w:t>
      </w:r>
      <w:r>
        <w:rPr>
          <w:rFonts w:ascii="Times New Roman" w:eastAsia="Times New Roman"/>
        </w:rPr>
        <w:t>3-</w:t>
      </w:r>
      <w:r>
        <w:rPr/>
        <w:t>硝基邻二甲苯，作为农药或医药中间体，出售给</w:t>
      </w:r>
      <w:r>
        <w:rPr>
          <w:rFonts w:ascii="Times New Roman" w:eastAsia="Times New Roman"/>
        </w:rPr>
        <w:t>*****</w:t>
      </w:r>
      <w:r>
        <w:rPr/>
        <w:t>有限公司等工业企业。副产品 </w:t>
      </w:r>
      <w:r>
        <w:rPr>
          <w:rFonts w:ascii="Times New Roman" w:eastAsia="Times New Roman"/>
        </w:rPr>
        <w:t>96%</w:t>
      </w:r>
      <w:r>
        <w:rPr/>
        <w:t>浓硫酸，作为印染，化工污水处理中和药剂，出售给</w:t>
      </w:r>
      <w:r>
        <w:rPr>
          <w:rFonts w:ascii="Times New Roman" w:eastAsia="Times New Roman"/>
        </w:rPr>
        <w:t>*****</w:t>
      </w:r>
      <w:r>
        <w:rPr/>
        <w:t>有限公司等工业企业。</w:t>
      </w:r>
    </w:p>
    <w:p>
      <w:pPr>
        <w:pStyle w:val="BodyText"/>
        <w:spacing w:line="307" w:lineRule="exact"/>
        <w:ind w:left="698"/>
        <w:jc w:val="both"/>
        <w:rPr>
          <w:rFonts w:ascii="Times New Roman" w:eastAsia="Times New Roman"/>
        </w:rPr>
      </w:pPr>
      <w:r>
        <w:rPr>
          <w:spacing w:val="-2"/>
        </w:rPr>
        <w:t>根据企业提供的外销合同、质量检验报告等材料</w:t>
      </w:r>
      <w:r>
        <w:rPr/>
        <w:t>（详见</w:t>
      </w:r>
      <w:r>
        <w:rPr>
          <w:b/>
          <w:spacing w:val="1"/>
          <w:w w:val="99"/>
          <w:u w:val="single"/>
        </w:rPr>
        <w:t>附件</w:t>
      </w:r>
      <w:r>
        <w:rPr>
          <w:b/>
          <w:spacing w:val="-59"/>
          <w:u w:val="single"/>
        </w:rPr>
        <w:t> </w:t>
      </w:r>
      <w:r>
        <w:rPr>
          <w:rFonts w:ascii="Times New Roman" w:eastAsia="Times New Roman"/>
          <w:b/>
          <w:u w:val="single"/>
        </w:rPr>
        <w:t>10</w:t>
      </w:r>
      <w:r>
        <w:rPr>
          <w:spacing w:val="-120"/>
        </w:rPr>
        <w:t>）</w:t>
      </w:r>
      <w:r>
        <w:rPr>
          <w:spacing w:val="-10"/>
        </w:rPr>
        <w:t>，贝斯美出售的 </w:t>
      </w:r>
      <w:r>
        <w:rPr>
          <w:rFonts w:ascii="Times New Roman" w:eastAsia="Times New Roman"/>
        </w:rPr>
        <w:t>3-</w:t>
      </w:r>
    </w:p>
    <w:p>
      <w:pPr>
        <w:pStyle w:val="BodyText"/>
        <w:spacing w:before="156"/>
        <w:ind w:left="218"/>
      </w:pPr>
      <w:r>
        <w:rPr>
          <w:spacing w:val="-1"/>
        </w:rPr>
        <w:t>硝基邻二甲苯、</w:t>
      </w:r>
      <w:r>
        <w:rPr>
          <w:rFonts w:ascii="Times New Roman" w:eastAsia="Times New Roman"/>
        </w:rPr>
        <w:t>96%</w:t>
      </w:r>
      <w:r>
        <w:rPr>
          <w:spacing w:val="-1"/>
        </w:rPr>
        <w:t>浓硫酸副产品，其主成分及有毒有害物质含量均满足合同中约定的</w:t>
      </w:r>
    </w:p>
    <w:p>
      <w:pPr>
        <w:spacing w:after="0"/>
        <w:sectPr>
          <w:pgSz w:w="11910" w:h="16850"/>
          <w:pgMar w:header="730" w:footer="690" w:top="1340" w:bottom="880" w:left="1200" w:right="1180"/>
        </w:sectPr>
      </w:pPr>
    </w:p>
    <w:p>
      <w:pPr>
        <w:pStyle w:val="BodyText"/>
        <w:spacing w:before="64"/>
        <w:ind w:left="218"/>
      </w:pPr>
      <w:r>
        <w:rPr/>
        <w:t>规格要求。</w:t>
      </w:r>
    </w:p>
    <w:p>
      <w:pPr>
        <w:pStyle w:val="BodyText"/>
        <w:spacing w:before="158"/>
        <w:ind w:left="578"/>
      </w:pPr>
      <w:r>
        <w:rPr/>
        <w:t>（</w:t>
      </w:r>
      <w:r>
        <w:rPr>
          <w:rFonts w:ascii="Times New Roman" w:eastAsia="Times New Roman"/>
        </w:rPr>
        <w:t>2</w:t>
      </w:r>
      <w:r>
        <w:rPr/>
        <w:t>）副产品 </w:t>
      </w:r>
      <w:r>
        <w:rPr>
          <w:rFonts w:ascii="Times New Roman" w:eastAsia="Times New Roman"/>
        </w:rPr>
        <w:t>30%</w:t>
      </w:r>
      <w:r>
        <w:rPr/>
        <w:t>硝酸全部回用于贝斯美 </w:t>
      </w:r>
      <w:r>
        <w:rPr>
          <w:rFonts w:ascii="Times New Roman" w:eastAsia="Times New Roman"/>
        </w:rPr>
        <w:t>4-</w:t>
      </w:r>
      <w:r>
        <w:rPr/>
        <w:t>硝基邻二甲苯生产过程中的硝化反应。</w:t>
      </w:r>
    </w:p>
    <w:p>
      <w:pPr>
        <w:pStyle w:val="Heading3"/>
        <w:numPr>
          <w:ilvl w:val="1"/>
          <w:numId w:val="13"/>
        </w:numPr>
        <w:tabs>
          <w:tab w:pos="781" w:val="left" w:leader="none"/>
        </w:tabs>
        <w:spacing w:line="240" w:lineRule="auto" w:before="161" w:after="0"/>
        <w:ind w:left="780" w:right="0" w:hanging="421"/>
        <w:jc w:val="both"/>
      </w:pPr>
      <w:bookmarkStart w:name="_bookmark17" w:id="35"/>
      <w:bookmarkEnd w:id="35"/>
      <w:r>
        <w:rPr>
          <w:b w:val="0"/>
        </w:rPr>
      </w:r>
      <w:bookmarkStart w:name="_bookmark17" w:id="36"/>
      <w:bookmarkEnd w:id="36"/>
      <w:r>
        <w:rPr/>
        <w:t>现有已批建成装置生产情况</w:t>
      </w:r>
    </w:p>
    <w:p>
      <w:pPr>
        <w:pStyle w:val="Heading4"/>
        <w:numPr>
          <w:ilvl w:val="2"/>
          <w:numId w:val="13"/>
        </w:numPr>
        <w:tabs>
          <w:tab w:pos="1112" w:val="left" w:leader="none"/>
        </w:tabs>
        <w:spacing w:line="240" w:lineRule="auto" w:before="186" w:after="0"/>
        <w:ind w:left="1111" w:right="0" w:hanging="541"/>
        <w:jc w:val="left"/>
      </w:pPr>
      <w:r>
        <w:rPr/>
        <w:t>已批建成公用工程概况</w:t>
      </w:r>
    </w:p>
    <w:p>
      <w:pPr>
        <w:pStyle w:val="BodyText"/>
        <w:spacing w:line="364" w:lineRule="auto" w:before="158"/>
        <w:ind w:left="218" w:right="232" w:firstLine="480"/>
      </w:pPr>
      <w:r>
        <w:rPr>
          <w:spacing w:val="-6"/>
        </w:rPr>
        <w:t>目前已批建成公用工程均位于西区，具体概况见表 </w:t>
      </w:r>
      <w:r>
        <w:rPr>
          <w:rFonts w:ascii="Times New Roman" w:eastAsia="Times New Roman"/>
          <w:spacing w:val="-5"/>
        </w:rPr>
        <w:t>3.3.1-1</w:t>
      </w:r>
      <w:r>
        <w:rPr>
          <w:spacing w:val="-4"/>
        </w:rPr>
        <w:t>，现有已批建成储罐均位</w:t>
      </w:r>
      <w:r>
        <w:rPr>
          <w:spacing w:val="-6"/>
        </w:rPr>
        <w:t>于西区，具体情况见表 </w:t>
      </w:r>
      <w:r>
        <w:rPr>
          <w:rFonts w:ascii="Times New Roman" w:eastAsia="Times New Roman"/>
        </w:rPr>
        <w:t>3.3.1-2</w:t>
      </w:r>
      <w:r>
        <w:rPr/>
        <w:t>。</w:t>
      </w:r>
    </w:p>
    <w:p>
      <w:pPr>
        <w:pStyle w:val="Heading4"/>
        <w:tabs>
          <w:tab w:pos="4160" w:val="left" w:leader="none"/>
        </w:tabs>
        <w:spacing w:before="140" w:after="29"/>
        <w:ind w:left="2938"/>
      </w:pPr>
      <w:r>
        <w:rPr/>
        <w:t>表</w:t>
      </w:r>
      <w:r>
        <w:rPr>
          <w:spacing w:val="-60"/>
        </w:rPr>
        <w:t> </w:t>
      </w:r>
      <w:r>
        <w:rPr>
          <w:rFonts w:ascii="Times New Roman" w:eastAsia="Times New Roman"/>
        </w:rPr>
        <w:t>3.3.1-1</w:t>
        <w:tab/>
      </w:r>
      <w:r>
        <w:rPr/>
        <w:t>现有企业公用工程概况</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588"/>
        <w:gridCol w:w="8030"/>
      </w:tblGrid>
      <w:tr>
        <w:trPr>
          <w:trHeight w:val="285" w:hRule="atLeast"/>
        </w:trPr>
        <w:tc>
          <w:tcPr>
            <w:tcW w:w="466" w:type="dxa"/>
          </w:tcPr>
          <w:p>
            <w:pPr>
              <w:pStyle w:val="TableParagraph"/>
              <w:spacing w:line="257" w:lineRule="exact" w:before="8"/>
              <w:ind w:left="9"/>
              <w:rPr>
                <w:b/>
                <w:sz w:val="21"/>
              </w:rPr>
            </w:pPr>
            <w:r>
              <w:rPr>
                <w:b/>
                <w:sz w:val="21"/>
              </w:rPr>
              <w:t>序号</w:t>
            </w:r>
          </w:p>
        </w:tc>
        <w:tc>
          <w:tcPr>
            <w:tcW w:w="588" w:type="dxa"/>
          </w:tcPr>
          <w:p>
            <w:pPr>
              <w:pStyle w:val="TableParagraph"/>
              <w:spacing w:line="257" w:lineRule="exact" w:before="8"/>
              <w:ind w:right="72"/>
              <w:jc w:val="right"/>
              <w:rPr>
                <w:b/>
                <w:sz w:val="21"/>
              </w:rPr>
            </w:pPr>
            <w:r>
              <w:rPr>
                <w:b/>
                <w:sz w:val="21"/>
              </w:rPr>
              <w:t>项目</w:t>
            </w:r>
          </w:p>
        </w:tc>
        <w:tc>
          <w:tcPr>
            <w:tcW w:w="8030" w:type="dxa"/>
          </w:tcPr>
          <w:p>
            <w:pPr>
              <w:pStyle w:val="TableParagraph"/>
              <w:tabs>
                <w:tab w:pos="427" w:val="left" w:leader="none"/>
              </w:tabs>
              <w:spacing w:line="257" w:lineRule="exact" w:before="8"/>
              <w:ind w:left="5"/>
              <w:rPr>
                <w:b/>
                <w:sz w:val="21"/>
              </w:rPr>
            </w:pPr>
            <w:r>
              <w:rPr>
                <w:b/>
                <w:sz w:val="21"/>
              </w:rPr>
              <w:t>内</w:t>
              <w:tab/>
              <w:t>容</w:t>
            </w:r>
          </w:p>
        </w:tc>
      </w:tr>
      <w:tr>
        <w:trPr>
          <w:trHeight w:val="818" w:hRule="atLeast"/>
        </w:trPr>
        <w:tc>
          <w:tcPr>
            <w:tcW w:w="466" w:type="dxa"/>
            <w:vMerge w:val="restart"/>
          </w:tcPr>
          <w:p>
            <w:pPr>
              <w:pStyle w:val="TableParagraph"/>
              <w:jc w:val="left"/>
              <w:rPr>
                <w:b/>
                <w:sz w:val="22"/>
              </w:rPr>
            </w:pPr>
          </w:p>
          <w:p>
            <w:pPr>
              <w:pStyle w:val="TableParagraph"/>
              <w:spacing w:before="1"/>
              <w:jc w:val="left"/>
              <w:rPr>
                <w:b/>
                <w:sz w:val="22"/>
              </w:rPr>
            </w:pPr>
          </w:p>
          <w:p>
            <w:pPr>
              <w:pStyle w:val="TableParagraph"/>
              <w:ind w:left="9"/>
              <w:rPr>
                <w:rFonts w:ascii="Times New Roman"/>
                <w:sz w:val="21"/>
              </w:rPr>
            </w:pPr>
            <w:r>
              <w:rPr>
                <w:rFonts w:ascii="Times New Roman"/>
                <w:w w:val="100"/>
                <w:sz w:val="21"/>
              </w:rPr>
              <w:t>1</w:t>
            </w:r>
          </w:p>
        </w:tc>
        <w:tc>
          <w:tcPr>
            <w:tcW w:w="588" w:type="dxa"/>
          </w:tcPr>
          <w:p>
            <w:pPr>
              <w:pStyle w:val="TableParagraph"/>
              <w:spacing w:before="6"/>
              <w:jc w:val="left"/>
              <w:rPr>
                <w:b/>
                <w:sz w:val="21"/>
              </w:rPr>
            </w:pPr>
          </w:p>
          <w:p>
            <w:pPr>
              <w:pStyle w:val="TableParagraph"/>
              <w:ind w:right="72"/>
              <w:jc w:val="right"/>
              <w:rPr>
                <w:sz w:val="21"/>
              </w:rPr>
            </w:pPr>
            <w:r>
              <w:rPr>
                <w:sz w:val="21"/>
              </w:rPr>
              <w:t>供水</w:t>
            </w:r>
          </w:p>
        </w:tc>
        <w:tc>
          <w:tcPr>
            <w:tcW w:w="8030" w:type="dxa"/>
          </w:tcPr>
          <w:p>
            <w:pPr>
              <w:pStyle w:val="TableParagraph"/>
              <w:spacing w:before="1"/>
              <w:ind w:left="4"/>
              <w:jc w:val="left"/>
              <w:rPr>
                <w:sz w:val="21"/>
              </w:rPr>
            </w:pPr>
            <w:r>
              <w:rPr>
                <w:sz w:val="21"/>
              </w:rPr>
              <w:t>生产、消防用水由开发区管网统一供给；生活用水由绍兴市上虞区市政自来水管网供给</w:t>
            </w:r>
          </w:p>
          <w:p>
            <w:pPr>
              <w:pStyle w:val="TableParagraph"/>
              <w:spacing w:line="270" w:lineRule="atLeast" w:before="4"/>
              <w:ind w:left="4" w:right="25"/>
              <w:jc w:val="left"/>
              <w:rPr>
                <w:rFonts w:ascii="Times New Roman" w:eastAsia="Times New Roman"/>
                <w:sz w:val="21"/>
              </w:rPr>
            </w:pPr>
            <w:r>
              <w:rPr>
                <w:sz w:val="21"/>
              </w:rPr>
              <w:t>冷冻盐水由液氨制冷系统供给，提供冰水；循环冷却水由企业现有的冷却塔循环提供， 设计循环冷却水量 </w:t>
            </w:r>
            <w:r>
              <w:rPr>
                <w:rFonts w:ascii="Times New Roman" w:eastAsia="Times New Roman"/>
                <w:sz w:val="21"/>
              </w:rPr>
              <w:t>2500m</w:t>
            </w:r>
            <w:r>
              <w:rPr>
                <w:rFonts w:ascii="Times New Roman" w:eastAsia="Times New Roman"/>
                <w:position w:val="7"/>
                <w:sz w:val="14"/>
              </w:rPr>
              <w:t>3</w:t>
            </w:r>
            <w:r>
              <w:rPr>
                <w:rFonts w:ascii="Times New Roman" w:eastAsia="Times New Roman"/>
                <w:sz w:val="21"/>
              </w:rPr>
              <w:t>/h.</w:t>
            </w:r>
          </w:p>
        </w:tc>
      </w:tr>
      <w:tr>
        <w:trPr>
          <w:trHeight w:val="544" w:hRule="atLeast"/>
        </w:trPr>
        <w:tc>
          <w:tcPr>
            <w:tcW w:w="466" w:type="dxa"/>
            <w:vMerge/>
            <w:tcBorders>
              <w:top w:val="nil"/>
            </w:tcBorders>
          </w:tcPr>
          <w:p>
            <w:pPr>
              <w:rPr>
                <w:sz w:val="2"/>
                <w:szCs w:val="2"/>
              </w:rPr>
            </w:pPr>
          </w:p>
        </w:tc>
        <w:tc>
          <w:tcPr>
            <w:tcW w:w="588" w:type="dxa"/>
          </w:tcPr>
          <w:p>
            <w:pPr>
              <w:pStyle w:val="TableParagraph"/>
              <w:spacing w:before="135"/>
              <w:ind w:right="72"/>
              <w:jc w:val="right"/>
              <w:rPr>
                <w:sz w:val="21"/>
              </w:rPr>
            </w:pPr>
            <w:r>
              <w:rPr>
                <w:sz w:val="21"/>
              </w:rPr>
              <w:t>排水</w:t>
            </w:r>
          </w:p>
        </w:tc>
        <w:tc>
          <w:tcPr>
            <w:tcW w:w="8030" w:type="dxa"/>
          </w:tcPr>
          <w:p>
            <w:pPr>
              <w:pStyle w:val="TableParagraph"/>
              <w:spacing w:before="1"/>
              <w:ind w:left="4"/>
              <w:jc w:val="left"/>
              <w:rPr>
                <w:sz w:val="21"/>
              </w:rPr>
            </w:pPr>
            <w:r>
              <w:rPr>
                <w:sz w:val="21"/>
              </w:rPr>
              <w:t>采用</w:t>
            </w:r>
            <w:r>
              <w:rPr>
                <w:rFonts w:ascii="Times New Roman" w:hAnsi="Times New Roman" w:eastAsia="Times New Roman"/>
                <w:sz w:val="21"/>
              </w:rPr>
              <w:t>“</w:t>
            </w:r>
            <w:r>
              <w:rPr>
                <w:sz w:val="21"/>
              </w:rPr>
              <w:t>雨污分流</w:t>
            </w:r>
            <w:r>
              <w:rPr>
                <w:rFonts w:ascii="Times New Roman" w:hAnsi="Times New Roman" w:eastAsia="Times New Roman"/>
                <w:sz w:val="21"/>
              </w:rPr>
              <w:t>”</w:t>
            </w:r>
            <w:r>
              <w:rPr>
                <w:sz w:val="21"/>
              </w:rPr>
              <w:t>制，废水和初期雨水经收集后进入西区配套污水处理站处理，经处理达</w:t>
            </w:r>
          </w:p>
          <w:p>
            <w:pPr>
              <w:pStyle w:val="TableParagraph"/>
              <w:spacing w:line="252" w:lineRule="exact" w:before="2"/>
              <w:ind w:left="4"/>
              <w:jc w:val="left"/>
              <w:rPr>
                <w:sz w:val="21"/>
              </w:rPr>
            </w:pPr>
            <w:r>
              <w:rPr>
                <w:sz w:val="21"/>
              </w:rPr>
              <w:t>标后纳入开发区区污水管网，最终排入上虞污水厂处理达标排入杭州湾。</w:t>
            </w:r>
          </w:p>
        </w:tc>
      </w:tr>
      <w:tr>
        <w:trPr>
          <w:trHeight w:val="282" w:hRule="atLeast"/>
        </w:trPr>
        <w:tc>
          <w:tcPr>
            <w:tcW w:w="466" w:type="dxa"/>
          </w:tcPr>
          <w:p>
            <w:pPr>
              <w:pStyle w:val="TableParagraph"/>
              <w:spacing w:before="19"/>
              <w:ind w:left="9"/>
              <w:rPr>
                <w:rFonts w:ascii="Times New Roman"/>
                <w:sz w:val="21"/>
              </w:rPr>
            </w:pPr>
            <w:r>
              <w:rPr>
                <w:rFonts w:ascii="Times New Roman"/>
                <w:w w:val="100"/>
                <w:sz w:val="21"/>
              </w:rPr>
              <w:t>2</w:t>
            </w:r>
          </w:p>
        </w:tc>
        <w:tc>
          <w:tcPr>
            <w:tcW w:w="588" w:type="dxa"/>
          </w:tcPr>
          <w:p>
            <w:pPr>
              <w:pStyle w:val="TableParagraph"/>
              <w:spacing w:line="257" w:lineRule="exact" w:before="6"/>
              <w:ind w:right="72"/>
              <w:jc w:val="right"/>
              <w:rPr>
                <w:sz w:val="21"/>
              </w:rPr>
            </w:pPr>
            <w:r>
              <w:rPr>
                <w:sz w:val="21"/>
              </w:rPr>
              <w:t>供热</w:t>
            </w:r>
          </w:p>
        </w:tc>
        <w:tc>
          <w:tcPr>
            <w:tcW w:w="8030" w:type="dxa"/>
          </w:tcPr>
          <w:p>
            <w:pPr>
              <w:pStyle w:val="TableParagraph"/>
              <w:spacing w:line="257" w:lineRule="exact" w:before="6"/>
              <w:ind w:left="4"/>
              <w:jc w:val="left"/>
              <w:rPr>
                <w:sz w:val="21"/>
              </w:rPr>
            </w:pPr>
            <w:r>
              <w:rPr>
                <w:sz w:val="21"/>
              </w:rPr>
              <w:t>蒸汽由杭协热电集中提供，现有项目蒸汽用量 </w:t>
            </w:r>
            <w:r>
              <w:rPr>
                <w:rFonts w:ascii="Times New Roman" w:eastAsia="Times New Roman"/>
                <w:sz w:val="21"/>
              </w:rPr>
              <w:t>4 </w:t>
            </w:r>
            <w:r>
              <w:rPr>
                <w:sz w:val="21"/>
              </w:rPr>
              <w:t>万吨</w:t>
            </w:r>
            <w:r>
              <w:rPr>
                <w:rFonts w:ascii="Times New Roman" w:eastAsia="Times New Roman"/>
                <w:sz w:val="21"/>
              </w:rPr>
              <w:t>/</w:t>
            </w:r>
            <w:r>
              <w:rPr>
                <w:sz w:val="21"/>
              </w:rPr>
              <w:t>年。</w:t>
            </w:r>
          </w:p>
        </w:tc>
      </w:tr>
      <w:tr>
        <w:trPr>
          <w:trHeight w:val="544" w:hRule="atLeast"/>
        </w:trPr>
        <w:tc>
          <w:tcPr>
            <w:tcW w:w="466" w:type="dxa"/>
          </w:tcPr>
          <w:p>
            <w:pPr>
              <w:pStyle w:val="TableParagraph"/>
              <w:spacing w:before="151"/>
              <w:ind w:left="9"/>
              <w:rPr>
                <w:rFonts w:ascii="Times New Roman"/>
                <w:sz w:val="21"/>
              </w:rPr>
            </w:pPr>
            <w:r>
              <w:rPr>
                <w:rFonts w:ascii="Times New Roman"/>
                <w:w w:val="100"/>
                <w:sz w:val="21"/>
              </w:rPr>
              <w:t>3</w:t>
            </w:r>
          </w:p>
        </w:tc>
        <w:tc>
          <w:tcPr>
            <w:tcW w:w="588" w:type="dxa"/>
          </w:tcPr>
          <w:p>
            <w:pPr>
              <w:pStyle w:val="TableParagraph"/>
              <w:spacing w:before="137"/>
              <w:ind w:right="72"/>
              <w:jc w:val="right"/>
              <w:rPr>
                <w:sz w:val="21"/>
              </w:rPr>
            </w:pPr>
            <w:r>
              <w:rPr>
                <w:sz w:val="21"/>
              </w:rPr>
              <w:t>供电</w:t>
            </w:r>
          </w:p>
        </w:tc>
        <w:tc>
          <w:tcPr>
            <w:tcW w:w="8030" w:type="dxa"/>
          </w:tcPr>
          <w:p>
            <w:pPr>
              <w:pStyle w:val="TableParagraph"/>
              <w:spacing w:before="1"/>
              <w:ind w:left="4"/>
              <w:jc w:val="left"/>
              <w:rPr>
                <w:sz w:val="21"/>
              </w:rPr>
            </w:pPr>
            <w:r>
              <w:rPr>
                <w:spacing w:val="-5"/>
                <w:sz w:val="21"/>
              </w:rPr>
              <w:t>由杭州湾上虞经济技术开发区电力网供应，公司现有 </w:t>
            </w:r>
            <w:r>
              <w:rPr>
                <w:rFonts w:ascii="Times New Roman" w:eastAsia="Times New Roman"/>
                <w:sz w:val="21"/>
              </w:rPr>
              <w:t>2 </w:t>
            </w:r>
            <w:r>
              <w:rPr>
                <w:spacing w:val="-24"/>
                <w:sz w:val="21"/>
              </w:rPr>
              <w:t>台 </w:t>
            </w:r>
            <w:r>
              <w:rPr>
                <w:rFonts w:ascii="Times New Roman" w:eastAsia="Times New Roman"/>
                <w:spacing w:val="-5"/>
                <w:sz w:val="21"/>
              </w:rPr>
              <w:t>1250KVA </w:t>
            </w:r>
            <w:r>
              <w:rPr>
                <w:spacing w:val="-24"/>
                <w:sz w:val="21"/>
              </w:rPr>
              <w:t>和 </w:t>
            </w:r>
            <w:r>
              <w:rPr>
                <w:rFonts w:ascii="Times New Roman" w:eastAsia="Times New Roman"/>
                <w:sz w:val="21"/>
              </w:rPr>
              <w:t>1 </w:t>
            </w:r>
            <w:r>
              <w:rPr>
                <w:spacing w:val="-23"/>
                <w:sz w:val="21"/>
              </w:rPr>
              <w:t>台 </w:t>
            </w:r>
            <w:r>
              <w:rPr>
                <w:rFonts w:ascii="Times New Roman" w:eastAsia="Times New Roman"/>
                <w:spacing w:val="-6"/>
                <w:sz w:val="21"/>
              </w:rPr>
              <w:t>1000KVA </w:t>
            </w:r>
            <w:r>
              <w:rPr>
                <w:sz w:val="21"/>
              </w:rPr>
              <w:t>变</w:t>
            </w:r>
          </w:p>
          <w:p>
            <w:pPr>
              <w:pStyle w:val="TableParagraph"/>
              <w:spacing w:line="250" w:lineRule="exact" w:before="4"/>
              <w:ind w:left="4"/>
              <w:jc w:val="left"/>
              <w:rPr>
                <w:sz w:val="21"/>
              </w:rPr>
            </w:pPr>
            <w:r>
              <w:rPr>
                <w:sz w:val="21"/>
              </w:rPr>
              <w:t>压器。</w:t>
            </w:r>
          </w:p>
        </w:tc>
      </w:tr>
      <w:tr>
        <w:trPr>
          <w:trHeight w:val="285" w:hRule="atLeast"/>
        </w:trPr>
        <w:tc>
          <w:tcPr>
            <w:tcW w:w="466" w:type="dxa"/>
          </w:tcPr>
          <w:p>
            <w:pPr>
              <w:pStyle w:val="TableParagraph"/>
              <w:spacing w:before="22"/>
              <w:ind w:left="9"/>
              <w:rPr>
                <w:rFonts w:ascii="Times New Roman"/>
                <w:sz w:val="21"/>
              </w:rPr>
            </w:pPr>
            <w:r>
              <w:rPr>
                <w:rFonts w:ascii="Times New Roman"/>
                <w:w w:val="100"/>
                <w:sz w:val="21"/>
              </w:rPr>
              <w:t>4</w:t>
            </w:r>
          </w:p>
        </w:tc>
        <w:tc>
          <w:tcPr>
            <w:tcW w:w="588" w:type="dxa"/>
          </w:tcPr>
          <w:p>
            <w:pPr>
              <w:pStyle w:val="TableParagraph"/>
              <w:spacing w:line="257" w:lineRule="exact" w:before="8"/>
              <w:ind w:right="72"/>
              <w:jc w:val="right"/>
              <w:rPr>
                <w:sz w:val="21"/>
              </w:rPr>
            </w:pPr>
            <w:r>
              <w:rPr>
                <w:sz w:val="21"/>
              </w:rPr>
              <w:t>供冷</w:t>
            </w:r>
          </w:p>
        </w:tc>
        <w:tc>
          <w:tcPr>
            <w:tcW w:w="8030" w:type="dxa"/>
          </w:tcPr>
          <w:p>
            <w:pPr>
              <w:pStyle w:val="TableParagraph"/>
              <w:spacing w:line="257" w:lineRule="exact" w:before="8"/>
              <w:ind w:left="4"/>
              <w:jc w:val="left"/>
              <w:rPr>
                <w:sz w:val="21"/>
              </w:rPr>
            </w:pPr>
            <w:r>
              <w:rPr>
                <w:sz w:val="21"/>
              </w:rPr>
              <w:t>厂内现有</w:t>
            </w:r>
            <w:r>
              <w:rPr>
                <w:rFonts w:ascii="Times New Roman" w:eastAsia="Times New Roman"/>
                <w:sz w:val="21"/>
              </w:rPr>
              <w:t>LG20BLYZ</w:t>
            </w:r>
            <w:r>
              <w:rPr>
                <w:sz w:val="21"/>
              </w:rPr>
              <w:t>、</w:t>
            </w:r>
            <w:r>
              <w:rPr>
                <w:rFonts w:ascii="Times New Roman" w:eastAsia="Times New Roman"/>
                <w:sz w:val="21"/>
              </w:rPr>
              <w:t>LG25BLYZ </w:t>
            </w:r>
            <w:r>
              <w:rPr>
                <w:sz w:val="21"/>
              </w:rPr>
              <w:t>氨冷冻机组共 </w:t>
            </w:r>
            <w:r>
              <w:rPr>
                <w:rFonts w:ascii="Times New Roman" w:eastAsia="Times New Roman"/>
                <w:sz w:val="21"/>
              </w:rPr>
              <w:t>2 </w:t>
            </w:r>
            <w:r>
              <w:rPr>
                <w:sz w:val="21"/>
              </w:rPr>
              <w:t>台。</w:t>
            </w:r>
          </w:p>
        </w:tc>
      </w:tr>
      <w:tr>
        <w:trPr>
          <w:trHeight w:val="544" w:hRule="atLeast"/>
        </w:trPr>
        <w:tc>
          <w:tcPr>
            <w:tcW w:w="466" w:type="dxa"/>
          </w:tcPr>
          <w:p>
            <w:pPr>
              <w:pStyle w:val="TableParagraph"/>
              <w:spacing w:before="151"/>
              <w:ind w:left="9"/>
              <w:rPr>
                <w:rFonts w:ascii="Times New Roman"/>
                <w:sz w:val="21"/>
              </w:rPr>
            </w:pPr>
            <w:r>
              <w:rPr>
                <w:rFonts w:ascii="Times New Roman"/>
                <w:w w:val="100"/>
                <w:sz w:val="21"/>
              </w:rPr>
              <w:t>5</w:t>
            </w:r>
          </w:p>
        </w:tc>
        <w:tc>
          <w:tcPr>
            <w:tcW w:w="588" w:type="dxa"/>
          </w:tcPr>
          <w:p>
            <w:pPr>
              <w:pStyle w:val="TableParagraph"/>
              <w:spacing w:before="1"/>
              <w:ind w:left="80"/>
              <w:jc w:val="left"/>
              <w:rPr>
                <w:sz w:val="21"/>
              </w:rPr>
            </w:pPr>
            <w:r>
              <w:rPr>
                <w:sz w:val="21"/>
              </w:rPr>
              <w:t>生产</w:t>
            </w:r>
          </w:p>
          <w:p>
            <w:pPr>
              <w:pStyle w:val="TableParagraph"/>
              <w:spacing w:line="252" w:lineRule="exact" w:before="2"/>
              <w:ind w:left="80"/>
              <w:jc w:val="left"/>
              <w:rPr>
                <w:sz w:val="21"/>
              </w:rPr>
            </w:pPr>
            <w:r>
              <w:rPr>
                <w:sz w:val="21"/>
              </w:rPr>
              <w:t>制度</w:t>
            </w:r>
          </w:p>
        </w:tc>
        <w:tc>
          <w:tcPr>
            <w:tcW w:w="8030" w:type="dxa"/>
          </w:tcPr>
          <w:p>
            <w:pPr>
              <w:pStyle w:val="TableParagraph"/>
              <w:spacing w:before="1"/>
              <w:ind w:left="4" w:right="-15"/>
              <w:jc w:val="left"/>
              <w:rPr>
                <w:sz w:val="21"/>
              </w:rPr>
            </w:pPr>
            <w:r>
              <w:rPr>
                <w:spacing w:val="-10"/>
                <w:sz w:val="21"/>
              </w:rPr>
              <w:t>全年工作 </w:t>
            </w:r>
            <w:r>
              <w:rPr>
                <w:rFonts w:ascii="Times New Roman" w:eastAsia="Times New Roman"/>
                <w:sz w:val="21"/>
              </w:rPr>
              <w:t>300</w:t>
            </w:r>
            <w:r>
              <w:rPr>
                <w:rFonts w:ascii="Times New Roman" w:eastAsia="Times New Roman"/>
                <w:spacing w:val="9"/>
                <w:sz w:val="21"/>
              </w:rPr>
              <w:t> </w:t>
            </w:r>
            <w:r>
              <w:rPr>
                <w:spacing w:val="-12"/>
                <w:sz w:val="21"/>
              </w:rPr>
              <w:t>天，每天生产 </w:t>
            </w:r>
            <w:r>
              <w:rPr>
                <w:rFonts w:ascii="Times New Roman" w:eastAsia="Times New Roman"/>
                <w:sz w:val="21"/>
              </w:rPr>
              <w:t>24</w:t>
            </w:r>
            <w:r>
              <w:rPr>
                <w:rFonts w:ascii="Times New Roman" w:eastAsia="Times New Roman"/>
                <w:spacing w:val="5"/>
                <w:sz w:val="21"/>
              </w:rPr>
              <w:t> </w:t>
            </w:r>
            <w:r>
              <w:rPr>
                <w:spacing w:val="-7"/>
                <w:sz w:val="21"/>
              </w:rPr>
              <w:t>小时，车间职工实行四班三运转制，辅助生产和管理部门</w:t>
            </w:r>
          </w:p>
          <w:p>
            <w:pPr>
              <w:pStyle w:val="TableParagraph"/>
              <w:spacing w:line="252" w:lineRule="exact" w:before="2"/>
              <w:ind w:left="4"/>
              <w:jc w:val="left"/>
              <w:rPr>
                <w:sz w:val="21"/>
              </w:rPr>
            </w:pPr>
            <w:r>
              <w:rPr>
                <w:sz w:val="21"/>
              </w:rPr>
              <w:t>按常日班考虑。</w:t>
            </w:r>
          </w:p>
        </w:tc>
      </w:tr>
    </w:tbl>
    <w:p>
      <w:pPr>
        <w:tabs>
          <w:tab w:pos="4040" w:val="left" w:leader="none"/>
        </w:tabs>
        <w:spacing w:before="144" w:after="28"/>
        <w:ind w:left="2818" w:right="0" w:firstLine="0"/>
        <w:jc w:val="left"/>
        <w:rPr>
          <w:b/>
          <w:sz w:val="24"/>
        </w:rPr>
      </w:pPr>
      <w:r>
        <w:rPr>
          <w:b/>
          <w:sz w:val="24"/>
        </w:rPr>
        <w:t>表</w:t>
      </w:r>
      <w:r>
        <w:rPr>
          <w:b/>
          <w:spacing w:val="-60"/>
          <w:sz w:val="24"/>
        </w:rPr>
        <w:t> </w:t>
      </w:r>
      <w:r>
        <w:rPr>
          <w:rFonts w:ascii="Times New Roman" w:eastAsia="Times New Roman"/>
          <w:b/>
          <w:sz w:val="24"/>
        </w:rPr>
        <w:t>3.3.1-2</w:t>
        <w:tab/>
      </w:r>
      <w:r>
        <w:rPr>
          <w:b/>
          <w:sz w:val="24"/>
        </w:rPr>
        <w:t>现有企业已建成储罐情况</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6"/>
        <w:gridCol w:w="1985"/>
        <w:gridCol w:w="994"/>
        <w:gridCol w:w="1029"/>
        <w:gridCol w:w="809"/>
        <w:gridCol w:w="1205"/>
        <w:gridCol w:w="2650"/>
      </w:tblGrid>
      <w:tr>
        <w:trPr>
          <w:trHeight w:val="544" w:hRule="atLeast"/>
        </w:trPr>
        <w:tc>
          <w:tcPr>
            <w:tcW w:w="456" w:type="dxa"/>
          </w:tcPr>
          <w:p>
            <w:pPr>
              <w:pStyle w:val="TableParagraph"/>
              <w:spacing w:before="1"/>
              <w:ind w:left="122"/>
              <w:jc w:val="left"/>
              <w:rPr>
                <w:b/>
                <w:sz w:val="21"/>
              </w:rPr>
            </w:pPr>
            <w:r>
              <w:rPr>
                <w:b/>
                <w:w w:val="100"/>
                <w:sz w:val="21"/>
              </w:rPr>
              <w:t>序</w:t>
            </w:r>
          </w:p>
          <w:p>
            <w:pPr>
              <w:pStyle w:val="TableParagraph"/>
              <w:spacing w:line="250" w:lineRule="exact" w:before="5"/>
              <w:ind w:left="122"/>
              <w:jc w:val="left"/>
              <w:rPr>
                <w:b/>
                <w:sz w:val="21"/>
              </w:rPr>
            </w:pPr>
            <w:r>
              <w:rPr>
                <w:b/>
                <w:w w:val="100"/>
                <w:sz w:val="21"/>
              </w:rPr>
              <w:t>号</w:t>
            </w:r>
          </w:p>
        </w:tc>
        <w:tc>
          <w:tcPr>
            <w:tcW w:w="1985" w:type="dxa"/>
          </w:tcPr>
          <w:p>
            <w:pPr>
              <w:pStyle w:val="TableParagraph"/>
              <w:spacing w:before="138"/>
              <w:ind w:left="42" w:right="36"/>
              <w:rPr>
                <w:b/>
                <w:sz w:val="21"/>
              </w:rPr>
            </w:pPr>
            <w:r>
              <w:rPr>
                <w:b/>
                <w:sz w:val="21"/>
              </w:rPr>
              <w:t>储罐名称</w:t>
            </w:r>
          </w:p>
        </w:tc>
        <w:tc>
          <w:tcPr>
            <w:tcW w:w="994" w:type="dxa"/>
          </w:tcPr>
          <w:p>
            <w:pPr>
              <w:pStyle w:val="TableParagraph"/>
              <w:spacing w:before="138"/>
              <w:ind w:left="72" w:right="65"/>
              <w:rPr>
                <w:rFonts w:ascii="Times New Roman" w:eastAsia="Times New Roman"/>
                <w:b/>
                <w:sz w:val="21"/>
              </w:rPr>
            </w:pPr>
            <w:r>
              <w:rPr>
                <w:b/>
                <w:sz w:val="21"/>
              </w:rPr>
              <w:t>容积</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w:t>
            </w:r>
          </w:p>
        </w:tc>
        <w:tc>
          <w:tcPr>
            <w:tcW w:w="1029" w:type="dxa"/>
          </w:tcPr>
          <w:p>
            <w:pPr>
              <w:pStyle w:val="TableParagraph"/>
              <w:spacing w:before="138"/>
              <w:ind w:left="28"/>
              <w:jc w:val="left"/>
              <w:rPr>
                <w:b/>
                <w:sz w:val="21"/>
              </w:rPr>
            </w:pPr>
            <w:r>
              <w:rPr>
                <w:b/>
                <w:sz w:val="21"/>
              </w:rPr>
              <w:t>数量（个</w:t>
            </w:r>
          </w:p>
        </w:tc>
        <w:tc>
          <w:tcPr>
            <w:tcW w:w="809" w:type="dxa"/>
          </w:tcPr>
          <w:p>
            <w:pPr>
              <w:pStyle w:val="TableParagraph"/>
              <w:spacing w:before="138"/>
              <w:ind w:left="-156"/>
              <w:jc w:val="left"/>
              <w:rPr>
                <w:b/>
                <w:sz w:val="21"/>
              </w:rPr>
            </w:pPr>
            <w:r>
              <w:rPr>
                <w:b/>
                <w:sz w:val="21"/>
              </w:rPr>
              <w:t>） 位置</w:t>
            </w:r>
          </w:p>
        </w:tc>
        <w:tc>
          <w:tcPr>
            <w:tcW w:w="1205" w:type="dxa"/>
          </w:tcPr>
          <w:p>
            <w:pPr>
              <w:pStyle w:val="TableParagraph"/>
              <w:spacing w:before="138"/>
              <w:ind w:right="167"/>
              <w:jc w:val="right"/>
              <w:rPr>
                <w:b/>
                <w:sz w:val="21"/>
              </w:rPr>
            </w:pPr>
            <w:r>
              <w:rPr>
                <w:b/>
                <w:sz w:val="21"/>
              </w:rPr>
              <w:t>储罐形式</w:t>
            </w:r>
          </w:p>
        </w:tc>
        <w:tc>
          <w:tcPr>
            <w:tcW w:w="2650" w:type="dxa"/>
          </w:tcPr>
          <w:p>
            <w:pPr>
              <w:pStyle w:val="TableParagraph"/>
              <w:spacing w:before="138"/>
              <w:ind w:left="98" w:right="83"/>
              <w:rPr>
                <w:b/>
                <w:sz w:val="21"/>
              </w:rPr>
            </w:pPr>
            <w:r>
              <w:rPr>
                <w:b/>
                <w:sz w:val="21"/>
              </w:rPr>
              <w:t>呼吸口废气处理措施</w:t>
            </w:r>
          </w:p>
        </w:tc>
      </w:tr>
      <w:tr>
        <w:trPr>
          <w:trHeight w:val="285" w:hRule="atLeast"/>
        </w:trPr>
        <w:tc>
          <w:tcPr>
            <w:tcW w:w="456" w:type="dxa"/>
          </w:tcPr>
          <w:p>
            <w:pPr>
              <w:pStyle w:val="TableParagraph"/>
              <w:spacing w:before="22"/>
              <w:ind w:left="9"/>
              <w:rPr>
                <w:rFonts w:ascii="Times New Roman"/>
                <w:sz w:val="21"/>
              </w:rPr>
            </w:pPr>
            <w:r>
              <w:rPr>
                <w:rFonts w:ascii="Times New Roman"/>
                <w:w w:val="100"/>
                <w:sz w:val="21"/>
              </w:rPr>
              <w:t>1</w:t>
            </w:r>
          </w:p>
        </w:tc>
        <w:tc>
          <w:tcPr>
            <w:tcW w:w="1985" w:type="dxa"/>
          </w:tcPr>
          <w:p>
            <w:pPr>
              <w:pStyle w:val="TableParagraph"/>
              <w:spacing w:line="257" w:lineRule="exact" w:before="8"/>
              <w:ind w:left="40" w:right="36"/>
              <w:rPr>
                <w:sz w:val="21"/>
              </w:rPr>
            </w:pPr>
            <w:r>
              <w:rPr>
                <w:sz w:val="21"/>
              </w:rPr>
              <w:t>双氧水储罐</w:t>
            </w:r>
          </w:p>
        </w:tc>
        <w:tc>
          <w:tcPr>
            <w:tcW w:w="994" w:type="dxa"/>
          </w:tcPr>
          <w:p>
            <w:pPr>
              <w:pStyle w:val="TableParagraph"/>
              <w:spacing w:before="22"/>
              <w:ind w:left="70" w:right="65"/>
              <w:rPr>
                <w:rFonts w:ascii="Times New Roman"/>
                <w:sz w:val="21"/>
              </w:rPr>
            </w:pPr>
            <w:r>
              <w:rPr>
                <w:rFonts w:ascii="Times New Roman"/>
                <w:sz w:val="21"/>
              </w:rPr>
              <w:t>60</w:t>
            </w:r>
          </w:p>
        </w:tc>
        <w:tc>
          <w:tcPr>
            <w:tcW w:w="1029" w:type="dxa"/>
          </w:tcPr>
          <w:p>
            <w:pPr>
              <w:pStyle w:val="TableParagraph"/>
              <w:spacing w:before="22"/>
              <w:ind w:left="7"/>
              <w:rPr>
                <w:rFonts w:ascii="Times New Roman"/>
                <w:sz w:val="21"/>
              </w:rPr>
            </w:pPr>
            <w:r>
              <w:rPr>
                <w:rFonts w:ascii="Times New Roman"/>
                <w:w w:val="100"/>
                <w:sz w:val="21"/>
              </w:rPr>
              <w:t>1</w:t>
            </w:r>
          </w:p>
        </w:tc>
        <w:tc>
          <w:tcPr>
            <w:tcW w:w="809"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8"/>
              <w:jc w:val="left"/>
              <w:rPr>
                <w:b/>
                <w:sz w:val="27"/>
              </w:rPr>
            </w:pPr>
          </w:p>
          <w:p>
            <w:pPr>
              <w:pStyle w:val="TableParagraph"/>
              <w:ind w:left="86"/>
              <w:jc w:val="left"/>
              <w:rPr>
                <w:sz w:val="21"/>
              </w:rPr>
            </w:pPr>
            <w:r>
              <w:rPr>
                <w:sz w:val="21"/>
              </w:rPr>
              <w:t>储罐区</w:t>
            </w:r>
          </w:p>
        </w:tc>
        <w:tc>
          <w:tcPr>
            <w:tcW w:w="1205" w:type="dxa"/>
          </w:tcPr>
          <w:p>
            <w:pPr>
              <w:pStyle w:val="TableParagraph"/>
              <w:spacing w:line="257" w:lineRule="exact" w:before="8"/>
              <w:ind w:right="170"/>
              <w:jc w:val="right"/>
              <w:rPr>
                <w:sz w:val="21"/>
              </w:rPr>
            </w:pPr>
            <w:r>
              <w:rPr>
                <w:sz w:val="21"/>
              </w:rPr>
              <w:t>立式储罐</w:t>
            </w:r>
          </w:p>
        </w:tc>
        <w:tc>
          <w:tcPr>
            <w:tcW w:w="2650" w:type="dxa"/>
          </w:tcPr>
          <w:p>
            <w:pPr>
              <w:pStyle w:val="TableParagraph"/>
              <w:spacing w:line="257" w:lineRule="exact" w:before="8"/>
              <w:ind w:left="98" w:right="83"/>
              <w:rPr>
                <w:sz w:val="21"/>
              </w:rPr>
            </w:pPr>
            <w:r>
              <w:rPr>
                <w:sz w:val="21"/>
              </w:rPr>
              <w:t>放空</w:t>
            </w:r>
          </w:p>
        </w:tc>
      </w:tr>
      <w:tr>
        <w:trPr>
          <w:trHeight w:val="282" w:hRule="atLeast"/>
        </w:trPr>
        <w:tc>
          <w:tcPr>
            <w:tcW w:w="456" w:type="dxa"/>
          </w:tcPr>
          <w:p>
            <w:pPr>
              <w:pStyle w:val="TableParagraph"/>
              <w:spacing w:before="19"/>
              <w:ind w:left="9"/>
              <w:rPr>
                <w:rFonts w:ascii="Times New Roman"/>
                <w:sz w:val="21"/>
              </w:rPr>
            </w:pPr>
            <w:r>
              <w:rPr>
                <w:rFonts w:ascii="Times New Roman"/>
                <w:w w:val="100"/>
                <w:sz w:val="21"/>
              </w:rPr>
              <w:t>2</w:t>
            </w:r>
          </w:p>
        </w:tc>
        <w:tc>
          <w:tcPr>
            <w:tcW w:w="1985" w:type="dxa"/>
          </w:tcPr>
          <w:p>
            <w:pPr>
              <w:pStyle w:val="TableParagraph"/>
              <w:spacing w:line="257" w:lineRule="exact" w:before="6"/>
              <w:ind w:left="38" w:right="36"/>
              <w:rPr>
                <w:sz w:val="21"/>
              </w:rPr>
            </w:pPr>
            <w:r>
              <w:rPr>
                <w:sz w:val="21"/>
              </w:rPr>
              <w:t>液碱储罐</w:t>
            </w:r>
          </w:p>
        </w:tc>
        <w:tc>
          <w:tcPr>
            <w:tcW w:w="994" w:type="dxa"/>
          </w:tcPr>
          <w:p>
            <w:pPr>
              <w:pStyle w:val="TableParagraph"/>
              <w:spacing w:before="19"/>
              <w:ind w:left="70" w:right="65"/>
              <w:rPr>
                <w:rFonts w:ascii="Times New Roman"/>
                <w:sz w:val="21"/>
              </w:rPr>
            </w:pPr>
            <w:r>
              <w:rPr>
                <w:rFonts w:ascii="Times New Roman"/>
                <w:sz w:val="21"/>
              </w:rPr>
              <w:t>45</w:t>
            </w:r>
          </w:p>
        </w:tc>
        <w:tc>
          <w:tcPr>
            <w:tcW w:w="1029" w:type="dxa"/>
          </w:tcPr>
          <w:p>
            <w:pPr>
              <w:pStyle w:val="TableParagraph"/>
              <w:spacing w:before="19"/>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6"/>
              <w:ind w:right="170"/>
              <w:jc w:val="right"/>
              <w:rPr>
                <w:sz w:val="21"/>
              </w:rPr>
            </w:pPr>
            <w:r>
              <w:rPr>
                <w:sz w:val="21"/>
              </w:rPr>
              <w:t>立式储罐</w:t>
            </w:r>
          </w:p>
        </w:tc>
        <w:tc>
          <w:tcPr>
            <w:tcW w:w="2650" w:type="dxa"/>
          </w:tcPr>
          <w:p>
            <w:pPr>
              <w:pStyle w:val="TableParagraph"/>
              <w:spacing w:line="257" w:lineRule="exact" w:before="6"/>
              <w:ind w:left="98" w:right="83"/>
              <w:rPr>
                <w:sz w:val="21"/>
              </w:rPr>
            </w:pPr>
            <w:r>
              <w:rPr>
                <w:sz w:val="21"/>
              </w:rPr>
              <w:t>放空</w:t>
            </w:r>
          </w:p>
        </w:tc>
      </w:tr>
      <w:tr>
        <w:trPr>
          <w:trHeight w:val="285" w:hRule="atLeast"/>
        </w:trPr>
        <w:tc>
          <w:tcPr>
            <w:tcW w:w="456" w:type="dxa"/>
          </w:tcPr>
          <w:p>
            <w:pPr>
              <w:pStyle w:val="TableParagraph"/>
              <w:spacing w:before="22"/>
              <w:ind w:left="9"/>
              <w:rPr>
                <w:rFonts w:ascii="Times New Roman"/>
                <w:sz w:val="21"/>
              </w:rPr>
            </w:pPr>
            <w:r>
              <w:rPr>
                <w:rFonts w:ascii="Times New Roman"/>
                <w:w w:val="100"/>
                <w:sz w:val="21"/>
              </w:rPr>
              <w:t>3</w:t>
            </w:r>
          </w:p>
        </w:tc>
        <w:tc>
          <w:tcPr>
            <w:tcW w:w="1985" w:type="dxa"/>
          </w:tcPr>
          <w:p>
            <w:pPr>
              <w:pStyle w:val="TableParagraph"/>
              <w:spacing w:line="257" w:lineRule="exact" w:before="8"/>
              <w:ind w:left="38" w:right="36"/>
              <w:rPr>
                <w:sz w:val="21"/>
              </w:rPr>
            </w:pPr>
            <w:r>
              <w:rPr>
                <w:sz w:val="21"/>
              </w:rPr>
              <w:t>硫酸储罐</w:t>
            </w:r>
          </w:p>
        </w:tc>
        <w:tc>
          <w:tcPr>
            <w:tcW w:w="994" w:type="dxa"/>
          </w:tcPr>
          <w:p>
            <w:pPr>
              <w:pStyle w:val="TableParagraph"/>
              <w:spacing w:before="22"/>
              <w:ind w:left="70" w:right="65"/>
              <w:rPr>
                <w:rFonts w:ascii="Times New Roman"/>
                <w:sz w:val="21"/>
              </w:rPr>
            </w:pPr>
            <w:r>
              <w:rPr>
                <w:rFonts w:ascii="Times New Roman"/>
                <w:sz w:val="21"/>
              </w:rPr>
              <w:t>50</w:t>
            </w:r>
          </w:p>
        </w:tc>
        <w:tc>
          <w:tcPr>
            <w:tcW w:w="1029" w:type="dxa"/>
          </w:tcPr>
          <w:p>
            <w:pPr>
              <w:pStyle w:val="TableParagraph"/>
              <w:spacing w:before="22"/>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8"/>
              <w:ind w:right="172"/>
              <w:jc w:val="right"/>
              <w:rPr>
                <w:sz w:val="21"/>
              </w:rPr>
            </w:pPr>
            <w:r>
              <w:rPr>
                <w:sz w:val="21"/>
              </w:rPr>
              <w:t>立式储罐</w:t>
            </w:r>
          </w:p>
        </w:tc>
        <w:tc>
          <w:tcPr>
            <w:tcW w:w="2650" w:type="dxa"/>
            <w:vMerge w:val="restart"/>
          </w:tcPr>
          <w:p>
            <w:pPr>
              <w:pStyle w:val="TableParagraph"/>
              <w:spacing w:line="242" w:lineRule="auto" w:before="166"/>
              <w:ind w:left="1219" w:right="49" w:hanging="1155"/>
              <w:jc w:val="left"/>
              <w:rPr>
                <w:sz w:val="21"/>
              </w:rPr>
            </w:pPr>
            <w:r>
              <w:rPr>
                <w:sz w:val="21"/>
              </w:rPr>
              <w:t>四级碱吸收处理后有组织排放</w:t>
            </w:r>
          </w:p>
        </w:tc>
      </w:tr>
      <w:tr>
        <w:trPr>
          <w:trHeight w:val="282" w:hRule="atLeast"/>
        </w:trPr>
        <w:tc>
          <w:tcPr>
            <w:tcW w:w="456" w:type="dxa"/>
          </w:tcPr>
          <w:p>
            <w:pPr>
              <w:pStyle w:val="TableParagraph"/>
              <w:spacing w:before="19"/>
              <w:ind w:left="9"/>
              <w:rPr>
                <w:rFonts w:ascii="Times New Roman"/>
                <w:sz w:val="21"/>
              </w:rPr>
            </w:pPr>
            <w:r>
              <w:rPr>
                <w:rFonts w:ascii="Times New Roman"/>
                <w:w w:val="100"/>
                <w:sz w:val="21"/>
              </w:rPr>
              <w:t>4</w:t>
            </w:r>
          </w:p>
        </w:tc>
        <w:tc>
          <w:tcPr>
            <w:tcW w:w="1985" w:type="dxa"/>
          </w:tcPr>
          <w:p>
            <w:pPr>
              <w:pStyle w:val="TableParagraph"/>
              <w:spacing w:line="257" w:lineRule="exact" w:before="6"/>
              <w:ind w:left="40" w:right="36"/>
              <w:rPr>
                <w:sz w:val="21"/>
              </w:rPr>
            </w:pPr>
            <w:r>
              <w:rPr>
                <w:sz w:val="21"/>
              </w:rPr>
              <w:t>废硫酸储罐</w:t>
            </w:r>
          </w:p>
        </w:tc>
        <w:tc>
          <w:tcPr>
            <w:tcW w:w="994" w:type="dxa"/>
          </w:tcPr>
          <w:p>
            <w:pPr>
              <w:pStyle w:val="TableParagraph"/>
              <w:spacing w:before="19"/>
              <w:ind w:left="72" w:right="63"/>
              <w:rPr>
                <w:rFonts w:ascii="Times New Roman"/>
                <w:sz w:val="21"/>
              </w:rPr>
            </w:pPr>
            <w:r>
              <w:rPr>
                <w:rFonts w:ascii="Times New Roman"/>
                <w:sz w:val="21"/>
              </w:rPr>
              <w:t>147</w:t>
            </w:r>
          </w:p>
        </w:tc>
        <w:tc>
          <w:tcPr>
            <w:tcW w:w="1029" w:type="dxa"/>
          </w:tcPr>
          <w:p>
            <w:pPr>
              <w:pStyle w:val="TableParagraph"/>
              <w:spacing w:before="19"/>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6"/>
              <w:ind w:right="170"/>
              <w:jc w:val="right"/>
              <w:rPr>
                <w:sz w:val="21"/>
              </w:rPr>
            </w:pPr>
            <w:r>
              <w:rPr>
                <w:sz w:val="21"/>
              </w:rPr>
              <w:t>立式储罐</w:t>
            </w:r>
          </w:p>
        </w:tc>
        <w:tc>
          <w:tcPr>
            <w:tcW w:w="2650" w:type="dxa"/>
            <w:vMerge/>
            <w:tcBorders>
              <w:top w:val="nil"/>
            </w:tcBorders>
          </w:tcPr>
          <w:p>
            <w:pPr>
              <w:rPr>
                <w:sz w:val="2"/>
                <w:szCs w:val="2"/>
              </w:rPr>
            </w:pPr>
          </w:p>
        </w:tc>
      </w:tr>
      <w:tr>
        <w:trPr>
          <w:trHeight w:val="285" w:hRule="atLeast"/>
        </w:trPr>
        <w:tc>
          <w:tcPr>
            <w:tcW w:w="456" w:type="dxa"/>
          </w:tcPr>
          <w:p>
            <w:pPr>
              <w:pStyle w:val="TableParagraph"/>
              <w:spacing w:before="22"/>
              <w:ind w:left="9"/>
              <w:rPr>
                <w:rFonts w:ascii="Times New Roman"/>
                <w:sz w:val="21"/>
              </w:rPr>
            </w:pPr>
            <w:r>
              <w:rPr>
                <w:rFonts w:ascii="Times New Roman"/>
                <w:w w:val="100"/>
                <w:sz w:val="21"/>
              </w:rPr>
              <w:t>5</w:t>
            </w:r>
          </w:p>
        </w:tc>
        <w:tc>
          <w:tcPr>
            <w:tcW w:w="1985" w:type="dxa"/>
          </w:tcPr>
          <w:p>
            <w:pPr>
              <w:pStyle w:val="TableParagraph"/>
              <w:spacing w:line="257" w:lineRule="exact" w:before="8"/>
              <w:ind w:left="40" w:right="36"/>
              <w:rPr>
                <w:sz w:val="21"/>
              </w:rPr>
            </w:pPr>
            <w:r>
              <w:rPr>
                <w:sz w:val="21"/>
              </w:rPr>
              <w:t>废硫酸储罐</w:t>
            </w:r>
          </w:p>
        </w:tc>
        <w:tc>
          <w:tcPr>
            <w:tcW w:w="994" w:type="dxa"/>
          </w:tcPr>
          <w:p>
            <w:pPr>
              <w:pStyle w:val="TableParagraph"/>
              <w:spacing w:before="22"/>
              <w:ind w:left="70" w:right="65"/>
              <w:rPr>
                <w:rFonts w:ascii="Times New Roman"/>
                <w:sz w:val="21"/>
              </w:rPr>
            </w:pPr>
            <w:r>
              <w:rPr>
                <w:rFonts w:ascii="Times New Roman"/>
                <w:sz w:val="21"/>
              </w:rPr>
              <w:t>45</w:t>
            </w:r>
          </w:p>
        </w:tc>
        <w:tc>
          <w:tcPr>
            <w:tcW w:w="1029" w:type="dxa"/>
          </w:tcPr>
          <w:p>
            <w:pPr>
              <w:pStyle w:val="TableParagraph"/>
              <w:spacing w:before="22"/>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8"/>
              <w:ind w:right="170"/>
              <w:jc w:val="right"/>
              <w:rPr>
                <w:sz w:val="21"/>
              </w:rPr>
            </w:pPr>
            <w:r>
              <w:rPr>
                <w:sz w:val="21"/>
              </w:rPr>
              <w:t>立式储罐</w:t>
            </w:r>
          </w:p>
        </w:tc>
        <w:tc>
          <w:tcPr>
            <w:tcW w:w="2650" w:type="dxa"/>
            <w:vMerge/>
            <w:tcBorders>
              <w:top w:val="nil"/>
            </w:tcBorders>
          </w:tcPr>
          <w:p>
            <w:pPr>
              <w:rPr>
                <w:sz w:val="2"/>
                <w:szCs w:val="2"/>
              </w:rPr>
            </w:pPr>
          </w:p>
        </w:tc>
      </w:tr>
      <w:tr>
        <w:trPr>
          <w:trHeight w:val="282" w:hRule="atLeast"/>
        </w:trPr>
        <w:tc>
          <w:tcPr>
            <w:tcW w:w="456" w:type="dxa"/>
          </w:tcPr>
          <w:p>
            <w:pPr>
              <w:pStyle w:val="TableParagraph"/>
              <w:spacing w:before="19"/>
              <w:ind w:left="9"/>
              <w:rPr>
                <w:rFonts w:ascii="Times New Roman"/>
                <w:sz w:val="21"/>
              </w:rPr>
            </w:pPr>
            <w:r>
              <w:rPr>
                <w:rFonts w:ascii="Times New Roman"/>
                <w:w w:val="100"/>
                <w:sz w:val="21"/>
              </w:rPr>
              <w:t>6</w:t>
            </w:r>
          </w:p>
        </w:tc>
        <w:tc>
          <w:tcPr>
            <w:tcW w:w="1985" w:type="dxa"/>
          </w:tcPr>
          <w:p>
            <w:pPr>
              <w:pStyle w:val="TableParagraph"/>
              <w:spacing w:line="257" w:lineRule="exact" w:before="6"/>
              <w:ind w:left="38" w:right="36"/>
              <w:rPr>
                <w:sz w:val="21"/>
              </w:rPr>
            </w:pPr>
            <w:r>
              <w:rPr>
                <w:sz w:val="21"/>
              </w:rPr>
              <w:t>硝酸储罐</w:t>
            </w:r>
          </w:p>
        </w:tc>
        <w:tc>
          <w:tcPr>
            <w:tcW w:w="994" w:type="dxa"/>
          </w:tcPr>
          <w:p>
            <w:pPr>
              <w:pStyle w:val="TableParagraph"/>
              <w:spacing w:before="19"/>
              <w:ind w:left="70" w:right="65"/>
              <w:rPr>
                <w:rFonts w:ascii="Times New Roman"/>
                <w:sz w:val="21"/>
              </w:rPr>
            </w:pPr>
            <w:r>
              <w:rPr>
                <w:rFonts w:ascii="Times New Roman"/>
                <w:sz w:val="21"/>
              </w:rPr>
              <w:t>66</w:t>
            </w:r>
          </w:p>
        </w:tc>
        <w:tc>
          <w:tcPr>
            <w:tcW w:w="1029" w:type="dxa"/>
          </w:tcPr>
          <w:p>
            <w:pPr>
              <w:pStyle w:val="TableParagraph"/>
              <w:spacing w:before="19"/>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6"/>
              <w:ind w:right="170"/>
              <w:jc w:val="right"/>
              <w:rPr>
                <w:sz w:val="21"/>
              </w:rPr>
            </w:pPr>
            <w:r>
              <w:rPr>
                <w:sz w:val="21"/>
              </w:rPr>
              <w:t>卧式储罐</w:t>
            </w:r>
          </w:p>
        </w:tc>
        <w:tc>
          <w:tcPr>
            <w:tcW w:w="2650" w:type="dxa"/>
            <w:vMerge w:val="restart"/>
          </w:tcPr>
          <w:p>
            <w:pPr>
              <w:pStyle w:val="TableParagraph"/>
              <w:spacing w:line="242" w:lineRule="auto" w:before="1"/>
              <w:ind w:left="98" w:right="83"/>
              <w:rPr>
                <w:sz w:val="21"/>
              </w:rPr>
            </w:pPr>
            <w:r>
              <w:rPr>
                <w:sz w:val="21"/>
              </w:rPr>
              <w:t>四级稀硝酸吸收</w:t>
            </w:r>
            <w:r>
              <w:rPr>
                <w:rFonts w:ascii="Times New Roman" w:eastAsia="Times New Roman"/>
                <w:sz w:val="21"/>
              </w:rPr>
              <w:t>+ SNCR </w:t>
            </w:r>
            <w:r>
              <w:rPr>
                <w:sz w:val="21"/>
              </w:rPr>
              <w:t>脱硝</w:t>
            </w:r>
            <w:r>
              <w:rPr>
                <w:rFonts w:ascii="Times New Roman" w:eastAsia="Times New Roman"/>
                <w:sz w:val="21"/>
              </w:rPr>
              <w:t>+</w:t>
            </w:r>
            <w:r>
              <w:rPr>
                <w:sz w:val="21"/>
              </w:rPr>
              <w:t>四级碱吸收处理后有组</w:t>
            </w:r>
          </w:p>
          <w:p>
            <w:pPr>
              <w:pStyle w:val="TableParagraph"/>
              <w:spacing w:line="250" w:lineRule="exact" w:before="1"/>
              <w:ind w:left="98" w:right="83"/>
              <w:rPr>
                <w:sz w:val="21"/>
              </w:rPr>
            </w:pPr>
            <w:r>
              <w:rPr>
                <w:sz w:val="21"/>
              </w:rPr>
              <w:t>织排放</w:t>
            </w:r>
          </w:p>
        </w:tc>
      </w:tr>
      <w:tr>
        <w:trPr>
          <w:trHeight w:val="522" w:hRule="atLeast"/>
        </w:trPr>
        <w:tc>
          <w:tcPr>
            <w:tcW w:w="456" w:type="dxa"/>
          </w:tcPr>
          <w:p>
            <w:pPr>
              <w:pStyle w:val="TableParagraph"/>
              <w:spacing w:before="142"/>
              <w:ind w:left="9"/>
              <w:rPr>
                <w:rFonts w:ascii="Times New Roman"/>
                <w:sz w:val="21"/>
              </w:rPr>
            </w:pPr>
            <w:r>
              <w:rPr>
                <w:rFonts w:ascii="Times New Roman"/>
                <w:w w:val="100"/>
                <w:sz w:val="21"/>
              </w:rPr>
              <w:t>7</w:t>
            </w:r>
          </w:p>
        </w:tc>
        <w:tc>
          <w:tcPr>
            <w:tcW w:w="1985" w:type="dxa"/>
          </w:tcPr>
          <w:p>
            <w:pPr>
              <w:pStyle w:val="TableParagraph"/>
              <w:spacing w:before="128"/>
              <w:ind w:left="38" w:right="36"/>
              <w:rPr>
                <w:sz w:val="21"/>
              </w:rPr>
            </w:pPr>
            <w:r>
              <w:rPr>
                <w:sz w:val="21"/>
              </w:rPr>
              <w:t>硝酸储罐</w:t>
            </w:r>
          </w:p>
        </w:tc>
        <w:tc>
          <w:tcPr>
            <w:tcW w:w="994" w:type="dxa"/>
          </w:tcPr>
          <w:p>
            <w:pPr>
              <w:pStyle w:val="TableParagraph"/>
              <w:spacing w:before="142"/>
              <w:ind w:left="70" w:right="65"/>
              <w:rPr>
                <w:rFonts w:ascii="Times New Roman"/>
                <w:sz w:val="21"/>
              </w:rPr>
            </w:pPr>
            <w:r>
              <w:rPr>
                <w:rFonts w:ascii="Times New Roman"/>
                <w:sz w:val="21"/>
              </w:rPr>
              <w:t>57</w:t>
            </w:r>
          </w:p>
        </w:tc>
        <w:tc>
          <w:tcPr>
            <w:tcW w:w="1029" w:type="dxa"/>
          </w:tcPr>
          <w:p>
            <w:pPr>
              <w:pStyle w:val="TableParagraph"/>
              <w:spacing w:before="142"/>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before="128"/>
              <w:ind w:right="170"/>
              <w:jc w:val="right"/>
              <w:rPr>
                <w:sz w:val="21"/>
              </w:rPr>
            </w:pPr>
            <w:r>
              <w:rPr>
                <w:sz w:val="21"/>
              </w:rPr>
              <w:t>卧式储罐</w:t>
            </w:r>
          </w:p>
        </w:tc>
        <w:tc>
          <w:tcPr>
            <w:tcW w:w="2650" w:type="dxa"/>
            <w:vMerge/>
            <w:tcBorders>
              <w:top w:val="nil"/>
            </w:tcBorders>
          </w:tcPr>
          <w:p>
            <w:pPr>
              <w:rPr>
                <w:sz w:val="2"/>
                <w:szCs w:val="2"/>
              </w:rPr>
            </w:pPr>
          </w:p>
        </w:tc>
      </w:tr>
      <w:tr>
        <w:trPr>
          <w:trHeight w:val="285" w:hRule="atLeast"/>
        </w:trPr>
        <w:tc>
          <w:tcPr>
            <w:tcW w:w="456" w:type="dxa"/>
          </w:tcPr>
          <w:p>
            <w:pPr>
              <w:pStyle w:val="TableParagraph"/>
              <w:spacing w:before="22"/>
              <w:ind w:left="9"/>
              <w:rPr>
                <w:rFonts w:ascii="Times New Roman"/>
                <w:sz w:val="21"/>
              </w:rPr>
            </w:pPr>
            <w:r>
              <w:rPr>
                <w:rFonts w:ascii="Times New Roman"/>
                <w:w w:val="100"/>
                <w:sz w:val="21"/>
              </w:rPr>
              <w:t>8</w:t>
            </w:r>
          </w:p>
        </w:tc>
        <w:tc>
          <w:tcPr>
            <w:tcW w:w="1985" w:type="dxa"/>
          </w:tcPr>
          <w:p>
            <w:pPr>
              <w:pStyle w:val="TableParagraph"/>
              <w:spacing w:line="257" w:lineRule="exact" w:before="8"/>
              <w:ind w:left="40" w:right="36"/>
              <w:rPr>
                <w:sz w:val="21"/>
              </w:rPr>
            </w:pPr>
            <w:r>
              <w:rPr>
                <w:sz w:val="21"/>
              </w:rPr>
              <w:t>邻二甲苯储罐</w:t>
            </w:r>
          </w:p>
        </w:tc>
        <w:tc>
          <w:tcPr>
            <w:tcW w:w="994" w:type="dxa"/>
          </w:tcPr>
          <w:p>
            <w:pPr>
              <w:pStyle w:val="TableParagraph"/>
              <w:spacing w:before="22"/>
              <w:ind w:left="72" w:right="63"/>
              <w:rPr>
                <w:rFonts w:ascii="Times New Roman"/>
                <w:sz w:val="21"/>
              </w:rPr>
            </w:pPr>
            <w:r>
              <w:rPr>
                <w:rFonts w:ascii="Times New Roman"/>
                <w:sz w:val="21"/>
              </w:rPr>
              <w:t>400</w:t>
            </w:r>
          </w:p>
        </w:tc>
        <w:tc>
          <w:tcPr>
            <w:tcW w:w="1029" w:type="dxa"/>
          </w:tcPr>
          <w:p>
            <w:pPr>
              <w:pStyle w:val="TableParagraph"/>
              <w:spacing w:before="22"/>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8"/>
              <w:ind w:right="170"/>
              <w:jc w:val="right"/>
              <w:rPr>
                <w:sz w:val="21"/>
              </w:rPr>
            </w:pPr>
            <w:r>
              <w:rPr>
                <w:sz w:val="21"/>
              </w:rPr>
              <w:t>立式储罐</w:t>
            </w:r>
          </w:p>
        </w:tc>
        <w:tc>
          <w:tcPr>
            <w:tcW w:w="2650" w:type="dxa"/>
            <w:vMerge w:val="restart"/>
          </w:tcPr>
          <w:p>
            <w:pPr>
              <w:pStyle w:val="TableParagraph"/>
              <w:jc w:val="left"/>
              <w:rPr>
                <w:b/>
                <w:sz w:val="20"/>
              </w:rPr>
            </w:pPr>
          </w:p>
          <w:p>
            <w:pPr>
              <w:pStyle w:val="TableParagraph"/>
              <w:spacing w:before="3"/>
              <w:jc w:val="left"/>
              <w:rPr>
                <w:b/>
                <w:sz w:val="27"/>
              </w:rPr>
            </w:pPr>
          </w:p>
          <w:p>
            <w:pPr>
              <w:pStyle w:val="TableParagraph"/>
              <w:spacing w:line="244" w:lineRule="auto"/>
              <w:ind w:left="170" w:right="16" w:hanging="142"/>
              <w:jc w:val="left"/>
              <w:rPr>
                <w:sz w:val="21"/>
              </w:rPr>
            </w:pPr>
            <w:r>
              <w:rPr>
                <w:rFonts w:ascii="Times New Roman" w:eastAsia="Times New Roman"/>
                <w:spacing w:val="-7"/>
                <w:sz w:val="21"/>
              </w:rPr>
              <w:t>RTO </w:t>
            </w:r>
            <w:r>
              <w:rPr>
                <w:spacing w:val="-2"/>
                <w:sz w:val="21"/>
              </w:rPr>
              <w:t>焚烧</w:t>
            </w:r>
            <w:r>
              <w:rPr>
                <w:rFonts w:ascii="Times New Roman" w:eastAsia="Times New Roman"/>
                <w:spacing w:val="1"/>
                <w:sz w:val="21"/>
              </w:rPr>
              <w:t>+ </w:t>
            </w:r>
            <w:r>
              <w:rPr>
                <w:rFonts w:ascii="Times New Roman" w:eastAsia="Times New Roman"/>
                <w:sz w:val="21"/>
              </w:rPr>
              <w:t>SNCR </w:t>
            </w:r>
            <w:r>
              <w:rPr>
                <w:spacing w:val="-2"/>
                <w:sz w:val="21"/>
              </w:rPr>
              <w:t>脱硝</w:t>
            </w:r>
            <w:r>
              <w:rPr>
                <w:rFonts w:ascii="Times New Roman" w:eastAsia="Times New Roman"/>
                <w:sz w:val="21"/>
              </w:rPr>
              <w:t>+</w:t>
            </w:r>
            <w:r>
              <w:rPr>
                <w:spacing w:val="-3"/>
                <w:sz w:val="21"/>
              </w:rPr>
              <w:t>四级碱吸收处理后有组织排放</w:t>
            </w:r>
          </w:p>
        </w:tc>
      </w:tr>
      <w:tr>
        <w:trPr>
          <w:trHeight w:val="282" w:hRule="atLeast"/>
        </w:trPr>
        <w:tc>
          <w:tcPr>
            <w:tcW w:w="456" w:type="dxa"/>
          </w:tcPr>
          <w:p>
            <w:pPr>
              <w:pStyle w:val="TableParagraph"/>
              <w:spacing w:before="19"/>
              <w:ind w:left="9"/>
              <w:rPr>
                <w:rFonts w:ascii="Times New Roman"/>
                <w:sz w:val="21"/>
              </w:rPr>
            </w:pPr>
            <w:r>
              <w:rPr>
                <w:rFonts w:ascii="Times New Roman"/>
                <w:w w:val="100"/>
                <w:sz w:val="21"/>
              </w:rPr>
              <w:t>9</w:t>
            </w:r>
          </w:p>
        </w:tc>
        <w:tc>
          <w:tcPr>
            <w:tcW w:w="1985" w:type="dxa"/>
          </w:tcPr>
          <w:p>
            <w:pPr>
              <w:pStyle w:val="TableParagraph"/>
              <w:spacing w:line="257" w:lineRule="exact" w:before="5"/>
              <w:ind w:left="42" w:right="36"/>
              <w:rPr>
                <w:sz w:val="21"/>
              </w:rPr>
            </w:pPr>
            <w:r>
              <w:rPr>
                <w:rFonts w:ascii="Times New Roman" w:eastAsia="Times New Roman"/>
                <w:sz w:val="21"/>
              </w:rPr>
              <w:t>3-</w:t>
            </w:r>
            <w:r>
              <w:rPr>
                <w:sz w:val="21"/>
              </w:rPr>
              <w:t>戊酮贮槽</w:t>
            </w:r>
          </w:p>
        </w:tc>
        <w:tc>
          <w:tcPr>
            <w:tcW w:w="994" w:type="dxa"/>
          </w:tcPr>
          <w:p>
            <w:pPr>
              <w:pStyle w:val="TableParagraph"/>
              <w:spacing w:before="19"/>
              <w:ind w:left="70" w:right="65"/>
              <w:rPr>
                <w:rFonts w:ascii="Times New Roman"/>
                <w:sz w:val="21"/>
              </w:rPr>
            </w:pPr>
            <w:r>
              <w:rPr>
                <w:rFonts w:ascii="Times New Roman"/>
                <w:sz w:val="21"/>
              </w:rPr>
              <w:t>80</w:t>
            </w:r>
          </w:p>
        </w:tc>
        <w:tc>
          <w:tcPr>
            <w:tcW w:w="1029" w:type="dxa"/>
          </w:tcPr>
          <w:p>
            <w:pPr>
              <w:pStyle w:val="TableParagraph"/>
              <w:spacing w:before="19"/>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5"/>
              <w:ind w:right="170"/>
              <w:jc w:val="right"/>
              <w:rPr>
                <w:sz w:val="21"/>
              </w:rPr>
            </w:pPr>
            <w:r>
              <w:rPr>
                <w:sz w:val="21"/>
              </w:rPr>
              <w:t>立式储罐</w:t>
            </w:r>
          </w:p>
        </w:tc>
        <w:tc>
          <w:tcPr>
            <w:tcW w:w="2650" w:type="dxa"/>
            <w:vMerge/>
            <w:tcBorders>
              <w:top w:val="nil"/>
            </w:tcBorders>
          </w:tcPr>
          <w:p>
            <w:pPr>
              <w:rPr>
                <w:sz w:val="2"/>
                <w:szCs w:val="2"/>
              </w:rPr>
            </w:pPr>
          </w:p>
        </w:tc>
      </w:tr>
      <w:tr>
        <w:trPr>
          <w:trHeight w:val="285" w:hRule="atLeast"/>
        </w:trPr>
        <w:tc>
          <w:tcPr>
            <w:tcW w:w="456" w:type="dxa"/>
          </w:tcPr>
          <w:p>
            <w:pPr>
              <w:pStyle w:val="TableParagraph"/>
              <w:spacing w:before="22"/>
              <w:ind w:left="100" w:right="91"/>
              <w:rPr>
                <w:rFonts w:ascii="Times New Roman"/>
                <w:sz w:val="21"/>
              </w:rPr>
            </w:pPr>
            <w:r>
              <w:rPr>
                <w:rFonts w:ascii="Times New Roman"/>
                <w:sz w:val="21"/>
              </w:rPr>
              <w:t>10</w:t>
            </w:r>
          </w:p>
        </w:tc>
        <w:tc>
          <w:tcPr>
            <w:tcW w:w="1985" w:type="dxa"/>
          </w:tcPr>
          <w:p>
            <w:pPr>
              <w:pStyle w:val="TableParagraph"/>
              <w:spacing w:line="258" w:lineRule="exact" w:before="8"/>
              <w:ind w:left="43" w:right="36"/>
              <w:rPr>
                <w:sz w:val="21"/>
              </w:rPr>
            </w:pPr>
            <w:r>
              <w:rPr>
                <w:rFonts w:ascii="Times New Roman" w:eastAsia="Times New Roman"/>
                <w:sz w:val="21"/>
              </w:rPr>
              <w:t>4-</w:t>
            </w:r>
            <w:r>
              <w:rPr>
                <w:sz w:val="21"/>
              </w:rPr>
              <w:t>硝基邻二甲苯储罐</w:t>
            </w:r>
          </w:p>
        </w:tc>
        <w:tc>
          <w:tcPr>
            <w:tcW w:w="994" w:type="dxa"/>
          </w:tcPr>
          <w:p>
            <w:pPr>
              <w:pStyle w:val="TableParagraph"/>
              <w:spacing w:before="22"/>
              <w:ind w:left="72" w:right="63"/>
              <w:rPr>
                <w:rFonts w:ascii="Times New Roman"/>
                <w:sz w:val="21"/>
              </w:rPr>
            </w:pPr>
            <w:r>
              <w:rPr>
                <w:rFonts w:ascii="Times New Roman"/>
                <w:sz w:val="21"/>
              </w:rPr>
              <w:t>176</w:t>
            </w:r>
          </w:p>
        </w:tc>
        <w:tc>
          <w:tcPr>
            <w:tcW w:w="1029" w:type="dxa"/>
          </w:tcPr>
          <w:p>
            <w:pPr>
              <w:pStyle w:val="TableParagraph"/>
              <w:spacing w:before="22"/>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8" w:lineRule="exact" w:before="8"/>
              <w:ind w:right="170"/>
              <w:jc w:val="right"/>
              <w:rPr>
                <w:sz w:val="21"/>
              </w:rPr>
            </w:pPr>
            <w:r>
              <w:rPr>
                <w:sz w:val="21"/>
              </w:rPr>
              <w:t>立式储罐</w:t>
            </w:r>
          </w:p>
        </w:tc>
        <w:tc>
          <w:tcPr>
            <w:tcW w:w="2650" w:type="dxa"/>
            <w:vMerge/>
            <w:tcBorders>
              <w:top w:val="nil"/>
            </w:tcBorders>
          </w:tcPr>
          <w:p>
            <w:pPr>
              <w:rPr>
                <w:sz w:val="2"/>
                <w:szCs w:val="2"/>
              </w:rPr>
            </w:pPr>
          </w:p>
        </w:tc>
      </w:tr>
      <w:tr>
        <w:trPr>
          <w:trHeight w:val="282" w:hRule="atLeast"/>
        </w:trPr>
        <w:tc>
          <w:tcPr>
            <w:tcW w:w="456" w:type="dxa"/>
          </w:tcPr>
          <w:p>
            <w:pPr>
              <w:pStyle w:val="TableParagraph"/>
              <w:spacing w:before="19"/>
              <w:ind w:left="97" w:right="93"/>
              <w:rPr>
                <w:rFonts w:ascii="Times New Roman"/>
                <w:sz w:val="21"/>
              </w:rPr>
            </w:pPr>
            <w:r>
              <w:rPr>
                <w:rFonts w:ascii="Times New Roman"/>
                <w:sz w:val="21"/>
              </w:rPr>
              <w:t>11</w:t>
            </w:r>
          </w:p>
        </w:tc>
        <w:tc>
          <w:tcPr>
            <w:tcW w:w="1985" w:type="dxa"/>
          </w:tcPr>
          <w:p>
            <w:pPr>
              <w:pStyle w:val="TableParagraph"/>
              <w:spacing w:line="257" w:lineRule="exact" w:before="6"/>
              <w:ind w:left="43" w:right="36"/>
              <w:rPr>
                <w:sz w:val="21"/>
              </w:rPr>
            </w:pPr>
            <w:r>
              <w:rPr>
                <w:rFonts w:ascii="Times New Roman" w:eastAsia="Times New Roman"/>
                <w:sz w:val="21"/>
              </w:rPr>
              <w:t>3-</w:t>
            </w:r>
            <w:r>
              <w:rPr>
                <w:sz w:val="21"/>
              </w:rPr>
              <w:t>硝基邻二甲苯储罐</w:t>
            </w:r>
          </w:p>
        </w:tc>
        <w:tc>
          <w:tcPr>
            <w:tcW w:w="994" w:type="dxa"/>
          </w:tcPr>
          <w:p>
            <w:pPr>
              <w:pStyle w:val="TableParagraph"/>
              <w:spacing w:before="19"/>
              <w:ind w:left="72" w:right="63"/>
              <w:rPr>
                <w:rFonts w:ascii="Times New Roman"/>
                <w:sz w:val="21"/>
              </w:rPr>
            </w:pPr>
            <w:r>
              <w:rPr>
                <w:rFonts w:ascii="Times New Roman"/>
                <w:sz w:val="21"/>
              </w:rPr>
              <w:t>176</w:t>
            </w:r>
          </w:p>
        </w:tc>
        <w:tc>
          <w:tcPr>
            <w:tcW w:w="1029" w:type="dxa"/>
          </w:tcPr>
          <w:p>
            <w:pPr>
              <w:pStyle w:val="TableParagraph"/>
              <w:spacing w:before="19"/>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6"/>
              <w:ind w:right="170"/>
              <w:jc w:val="right"/>
              <w:rPr>
                <w:sz w:val="21"/>
              </w:rPr>
            </w:pPr>
            <w:r>
              <w:rPr>
                <w:sz w:val="21"/>
              </w:rPr>
              <w:t>立式储罐</w:t>
            </w:r>
          </w:p>
        </w:tc>
        <w:tc>
          <w:tcPr>
            <w:tcW w:w="2650" w:type="dxa"/>
            <w:vMerge/>
            <w:tcBorders>
              <w:top w:val="nil"/>
            </w:tcBorders>
          </w:tcPr>
          <w:p>
            <w:pPr>
              <w:rPr>
                <w:sz w:val="2"/>
                <w:szCs w:val="2"/>
              </w:rPr>
            </w:pPr>
          </w:p>
        </w:tc>
      </w:tr>
      <w:tr>
        <w:trPr>
          <w:trHeight w:val="285" w:hRule="atLeast"/>
        </w:trPr>
        <w:tc>
          <w:tcPr>
            <w:tcW w:w="456" w:type="dxa"/>
          </w:tcPr>
          <w:p>
            <w:pPr>
              <w:pStyle w:val="TableParagraph"/>
              <w:spacing w:before="22"/>
              <w:ind w:left="100" w:right="91"/>
              <w:rPr>
                <w:rFonts w:ascii="Times New Roman"/>
                <w:sz w:val="21"/>
              </w:rPr>
            </w:pPr>
            <w:r>
              <w:rPr>
                <w:rFonts w:ascii="Times New Roman"/>
                <w:sz w:val="21"/>
              </w:rPr>
              <w:t>12</w:t>
            </w:r>
          </w:p>
        </w:tc>
        <w:tc>
          <w:tcPr>
            <w:tcW w:w="1985" w:type="dxa"/>
          </w:tcPr>
          <w:p>
            <w:pPr>
              <w:pStyle w:val="TableParagraph"/>
              <w:spacing w:line="257" w:lineRule="exact" w:before="8"/>
              <w:ind w:left="42" w:right="36"/>
              <w:rPr>
                <w:sz w:val="21"/>
              </w:rPr>
            </w:pPr>
            <w:r>
              <w:rPr>
                <w:rFonts w:ascii="Times New Roman" w:eastAsia="Times New Roman"/>
                <w:sz w:val="21"/>
              </w:rPr>
              <w:t>2,3-</w:t>
            </w:r>
            <w:r>
              <w:rPr>
                <w:sz w:val="21"/>
              </w:rPr>
              <w:t>二甲基苯胺储罐</w:t>
            </w:r>
          </w:p>
        </w:tc>
        <w:tc>
          <w:tcPr>
            <w:tcW w:w="994" w:type="dxa"/>
          </w:tcPr>
          <w:p>
            <w:pPr>
              <w:pStyle w:val="TableParagraph"/>
              <w:spacing w:before="22"/>
              <w:ind w:left="72" w:right="63"/>
              <w:rPr>
                <w:rFonts w:ascii="Times New Roman"/>
                <w:sz w:val="21"/>
              </w:rPr>
            </w:pPr>
            <w:r>
              <w:rPr>
                <w:rFonts w:ascii="Times New Roman"/>
                <w:sz w:val="21"/>
              </w:rPr>
              <w:t>176</w:t>
            </w:r>
          </w:p>
        </w:tc>
        <w:tc>
          <w:tcPr>
            <w:tcW w:w="1029" w:type="dxa"/>
          </w:tcPr>
          <w:p>
            <w:pPr>
              <w:pStyle w:val="TableParagraph"/>
              <w:spacing w:before="22"/>
              <w:ind w:left="7"/>
              <w:rPr>
                <w:rFonts w:ascii="Times New Roman"/>
                <w:sz w:val="21"/>
              </w:rPr>
            </w:pPr>
            <w:r>
              <w:rPr>
                <w:rFonts w:ascii="Times New Roman"/>
                <w:w w:val="100"/>
                <w:sz w:val="21"/>
              </w:rPr>
              <w:t>1</w:t>
            </w:r>
          </w:p>
        </w:tc>
        <w:tc>
          <w:tcPr>
            <w:tcW w:w="809" w:type="dxa"/>
            <w:vMerge/>
            <w:tcBorders>
              <w:top w:val="nil"/>
            </w:tcBorders>
          </w:tcPr>
          <w:p>
            <w:pPr>
              <w:rPr>
                <w:sz w:val="2"/>
                <w:szCs w:val="2"/>
              </w:rPr>
            </w:pPr>
          </w:p>
        </w:tc>
        <w:tc>
          <w:tcPr>
            <w:tcW w:w="1205" w:type="dxa"/>
          </w:tcPr>
          <w:p>
            <w:pPr>
              <w:pStyle w:val="TableParagraph"/>
              <w:spacing w:line="257" w:lineRule="exact" w:before="8"/>
              <w:ind w:right="170"/>
              <w:jc w:val="right"/>
              <w:rPr>
                <w:sz w:val="21"/>
              </w:rPr>
            </w:pPr>
            <w:r>
              <w:rPr>
                <w:sz w:val="21"/>
              </w:rPr>
              <w:t>立式储罐</w:t>
            </w:r>
          </w:p>
        </w:tc>
        <w:tc>
          <w:tcPr>
            <w:tcW w:w="2650" w:type="dxa"/>
            <w:vMerge/>
            <w:tcBorders>
              <w:top w:val="nil"/>
            </w:tcBorders>
          </w:tcPr>
          <w:p>
            <w:pPr>
              <w:rPr>
                <w:sz w:val="2"/>
                <w:szCs w:val="2"/>
              </w:rPr>
            </w:pPr>
          </w:p>
        </w:tc>
      </w:tr>
      <w:tr>
        <w:trPr>
          <w:trHeight w:val="282" w:hRule="atLeast"/>
        </w:trPr>
        <w:tc>
          <w:tcPr>
            <w:tcW w:w="456" w:type="dxa"/>
          </w:tcPr>
          <w:p>
            <w:pPr>
              <w:pStyle w:val="TableParagraph"/>
              <w:spacing w:before="19"/>
              <w:ind w:left="100" w:right="91"/>
              <w:rPr>
                <w:rFonts w:ascii="Times New Roman"/>
                <w:sz w:val="21"/>
              </w:rPr>
            </w:pPr>
            <w:r>
              <w:rPr>
                <w:rFonts w:ascii="Times New Roman"/>
                <w:sz w:val="21"/>
              </w:rPr>
              <w:t>13</w:t>
            </w:r>
          </w:p>
        </w:tc>
        <w:tc>
          <w:tcPr>
            <w:tcW w:w="1985" w:type="dxa"/>
          </w:tcPr>
          <w:p>
            <w:pPr>
              <w:pStyle w:val="TableParagraph"/>
              <w:spacing w:line="257" w:lineRule="exact" w:before="5"/>
              <w:ind w:left="42" w:right="36"/>
              <w:rPr>
                <w:sz w:val="21"/>
              </w:rPr>
            </w:pPr>
            <w:r>
              <w:rPr>
                <w:rFonts w:ascii="Times New Roman" w:eastAsia="Times New Roman"/>
                <w:sz w:val="21"/>
              </w:rPr>
              <w:t>N-</w:t>
            </w:r>
            <w:r>
              <w:rPr>
                <w:sz w:val="21"/>
              </w:rPr>
              <w:t>戊基苯胺储罐</w:t>
            </w:r>
          </w:p>
        </w:tc>
        <w:tc>
          <w:tcPr>
            <w:tcW w:w="994" w:type="dxa"/>
          </w:tcPr>
          <w:p>
            <w:pPr>
              <w:pStyle w:val="TableParagraph"/>
              <w:spacing w:before="19"/>
              <w:ind w:left="72" w:right="63"/>
              <w:rPr>
                <w:rFonts w:ascii="Times New Roman"/>
                <w:sz w:val="21"/>
              </w:rPr>
            </w:pPr>
            <w:r>
              <w:rPr>
                <w:rFonts w:ascii="Times New Roman"/>
                <w:sz w:val="21"/>
              </w:rPr>
              <w:t>176</w:t>
            </w:r>
          </w:p>
        </w:tc>
        <w:tc>
          <w:tcPr>
            <w:tcW w:w="1029" w:type="dxa"/>
          </w:tcPr>
          <w:p>
            <w:pPr>
              <w:pStyle w:val="TableParagraph"/>
              <w:spacing w:before="19"/>
              <w:ind w:left="7"/>
              <w:rPr>
                <w:rFonts w:ascii="Times New Roman"/>
                <w:sz w:val="21"/>
              </w:rPr>
            </w:pPr>
            <w:r>
              <w:rPr>
                <w:rFonts w:ascii="Times New Roman"/>
                <w:w w:val="100"/>
                <w:sz w:val="21"/>
              </w:rPr>
              <w:t>2</w:t>
            </w:r>
          </w:p>
        </w:tc>
        <w:tc>
          <w:tcPr>
            <w:tcW w:w="809" w:type="dxa"/>
            <w:vMerge/>
            <w:tcBorders>
              <w:top w:val="nil"/>
            </w:tcBorders>
          </w:tcPr>
          <w:p>
            <w:pPr>
              <w:rPr>
                <w:sz w:val="2"/>
                <w:szCs w:val="2"/>
              </w:rPr>
            </w:pPr>
          </w:p>
        </w:tc>
        <w:tc>
          <w:tcPr>
            <w:tcW w:w="1205" w:type="dxa"/>
          </w:tcPr>
          <w:p>
            <w:pPr>
              <w:pStyle w:val="TableParagraph"/>
              <w:spacing w:line="257" w:lineRule="exact" w:before="5"/>
              <w:ind w:right="170"/>
              <w:jc w:val="right"/>
              <w:rPr>
                <w:sz w:val="21"/>
              </w:rPr>
            </w:pPr>
            <w:r>
              <w:rPr>
                <w:sz w:val="21"/>
              </w:rPr>
              <w:t>立式储罐</w:t>
            </w:r>
          </w:p>
        </w:tc>
        <w:tc>
          <w:tcPr>
            <w:tcW w:w="2650" w:type="dxa"/>
            <w:vMerge/>
            <w:tcBorders>
              <w:top w:val="nil"/>
            </w:tcBorders>
          </w:tcPr>
          <w:p>
            <w:pPr>
              <w:rPr>
                <w:sz w:val="2"/>
                <w:szCs w:val="2"/>
              </w:rPr>
            </w:pPr>
          </w:p>
        </w:tc>
      </w:tr>
    </w:tbl>
    <w:p>
      <w:pPr>
        <w:pStyle w:val="ListParagraph"/>
        <w:numPr>
          <w:ilvl w:val="2"/>
          <w:numId w:val="13"/>
        </w:numPr>
        <w:tabs>
          <w:tab w:pos="1059" w:val="left" w:leader="none"/>
        </w:tabs>
        <w:spacing w:line="240" w:lineRule="auto" w:before="122" w:after="0"/>
        <w:ind w:left="1058" w:right="0" w:hanging="601"/>
        <w:jc w:val="both"/>
        <w:rPr>
          <w:b/>
          <w:sz w:val="24"/>
        </w:rPr>
      </w:pPr>
      <w:r>
        <w:rPr>
          <w:b/>
          <w:spacing w:val="-20"/>
          <w:sz w:val="24"/>
        </w:rPr>
        <w:t>年产 </w:t>
      </w:r>
      <w:r>
        <w:rPr>
          <w:rFonts w:ascii="Times New Roman" w:eastAsia="Times New Roman"/>
          <w:b/>
          <w:sz w:val="24"/>
        </w:rPr>
        <w:t>8000 </w:t>
      </w:r>
      <w:r>
        <w:rPr>
          <w:b/>
          <w:sz w:val="24"/>
        </w:rPr>
        <w:t>吨</w:t>
      </w:r>
      <w:r>
        <w:rPr>
          <w:rFonts w:ascii="Times New Roman" w:eastAsia="Times New Roman"/>
          <w:b/>
          <w:sz w:val="24"/>
        </w:rPr>
        <w:t>/</w:t>
      </w:r>
      <w:r>
        <w:rPr>
          <w:b/>
          <w:spacing w:val="-29"/>
          <w:sz w:val="24"/>
        </w:rPr>
        <w:t>年 </w:t>
      </w:r>
      <w:r>
        <w:rPr>
          <w:rFonts w:ascii="Times New Roman" w:eastAsia="Times New Roman"/>
          <w:b/>
          <w:sz w:val="24"/>
        </w:rPr>
        <w:t>4-</w:t>
      </w:r>
      <w:r>
        <w:rPr>
          <w:b/>
          <w:sz w:val="24"/>
        </w:rPr>
        <w:t>硝基邻二甲苯生产装置生产、排污情况</w:t>
      </w:r>
    </w:p>
    <w:p>
      <w:pPr>
        <w:pStyle w:val="BodyText"/>
        <w:spacing w:line="364" w:lineRule="auto" w:before="161"/>
        <w:ind w:left="218" w:right="232" w:firstLine="480"/>
        <w:jc w:val="both"/>
      </w:pPr>
      <w:r>
        <w:rPr/>
        <w:t>“</w:t>
      </w:r>
      <w:r>
        <w:rPr>
          <w:rFonts w:ascii="Times New Roman" w:hAnsi="Times New Roman" w:eastAsia="Times New Roman"/>
        </w:rPr>
        <w:t>8000 </w:t>
      </w:r>
      <w:r>
        <w:rPr/>
        <w:t>吨</w:t>
      </w:r>
      <w:r>
        <w:rPr>
          <w:rFonts w:ascii="Times New Roman" w:hAnsi="Times New Roman" w:eastAsia="Times New Roman"/>
        </w:rPr>
        <w:t>/</w:t>
      </w:r>
      <w:r>
        <w:rPr>
          <w:spacing w:val="-29"/>
        </w:rPr>
        <w:t>年 </w:t>
      </w:r>
      <w:r>
        <w:rPr>
          <w:rFonts w:ascii="Times New Roman" w:hAnsi="Times New Roman" w:eastAsia="Times New Roman"/>
        </w:rPr>
        <w:t>4-</w:t>
      </w:r>
      <w:r>
        <w:rPr>
          <w:spacing w:val="-4"/>
        </w:rPr>
        <w:t>硝基邻二甲苯、</w:t>
      </w:r>
      <w:r>
        <w:rPr>
          <w:rFonts w:ascii="Times New Roman" w:hAnsi="Times New Roman" w:eastAsia="Times New Roman"/>
        </w:rPr>
        <w:t>6000 </w:t>
      </w:r>
      <w:r>
        <w:rPr/>
        <w:t>吨</w:t>
      </w:r>
      <w:r>
        <w:rPr>
          <w:rFonts w:ascii="Times New Roman" w:hAnsi="Times New Roman" w:eastAsia="Times New Roman"/>
        </w:rPr>
        <w:t>/</w:t>
      </w:r>
      <w:r>
        <w:rPr>
          <w:spacing w:val="-29"/>
        </w:rPr>
        <w:t>年 </w:t>
      </w:r>
      <w:r>
        <w:rPr>
          <w:rFonts w:ascii="Times New Roman" w:hAnsi="Times New Roman" w:eastAsia="Times New Roman"/>
          <w:spacing w:val="-6"/>
        </w:rPr>
        <w:t>N-</w:t>
      </w:r>
      <w:r>
        <w:rPr>
          <w:spacing w:val="-6"/>
        </w:rPr>
        <w:t>（</w:t>
      </w:r>
      <w:r>
        <w:rPr>
          <w:rFonts w:ascii="Times New Roman" w:hAnsi="Times New Roman" w:eastAsia="Times New Roman"/>
          <w:spacing w:val="-6"/>
        </w:rPr>
        <w:t>1-</w:t>
      </w:r>
      <w:r>
        <w:rPr/>
        <w:t>乙基丙基</w:t>
      </w:r>
      <w:r>
        <w:rPr>
          <w:spacing w:val="-5"/>
        </w:rPr>
        <w:t>）</w:t>
      </w:r>
      <w:r>
        <w:rPr>
          <w:rFonts w:ascii="Times New Roman" w:hAnsi="Times New Roman" w:eastAsia="Times New Roman"/>
          <w:spacing w:val="-5"/>
        </w:rPr>
        <w:t>-3,4-</w:t>
      </w:r>
      <w:r>
        <w:rPr>
          <w:spacing w:val="-4"/>
        </w:rPr>
        <w:t>二甲基苯胺、</w:t>
      </w:r>
      <w:r>
        <w:rPr>
          <w:rFonts w:ascii="Times New Roman" w:hAnsi="Times New Roman" w:eastAsia="Times New Roman"/>
        </w:rPr>
        <w:t>4000 </w:t>
      </w:r>
      <w:r>
        <w:rPr/>
        <w:t>吨</w:t>
      </w:r>
      <w:r>
        <w:rPr>
          <w:rFonts w:ascii="Times New Roman" w:hAnsi="Times New Roman" w:eastAsia="Times New Roman"/>
        </w:rPr>
        <w:t>/</w:t>
      </w:r>
      <w:r>
        <w:rPr>
          <w:spacing w:val="-31"/>
        </w:rPr>
        <w:t>年 </w:t>
      </w:r>
      <w:r>
        <w:rPr>
          <w:rFonts w:ascii="Times New Roman" w:hAnsi="Times New Roman" w:eastAsia="Times New Roman"/>
        </w:rPr>
        <w:t>2,3-</w:t>
      </w:r>
      <w:r>
        <w:rPr>
          <w:spacing w:val="-8"/>
        </w:rPr>
        <w:t>二甲基苯胺技改项目”于 </w:t>
      </w:r>
      <w:r>
        <w:rPr>
          <w:rFonts w:ascii="Times New Roman" w:hAnsi="Times New Roman" w:eastAsia="Times New Roman"/>
        </w:rPr>
        <w:t>2014 </w:t>
      </w:r>
      <w:r>
        <w:rPr>
          <w:spacing w:val="-30"/>
        </w:rPr>
        <w:t>年 </w:t>
      </w:r>
      <w:r>
        <w:rPr>
          <w:rFonts w:ascii="Times New Roman" w:hAnsi="Times New Roman" w:eastAsia="Times New Roman"/>
        </w:rPr>
        <w:t>4 </w:t>
      </w:r>
      <w:r>
        <w:rPr>
          <w:spacing w:val="-12"/>
        </w:rPr>
        <w:t>月通过审批，于 </w:t>
      </w:r>
      <w:r>
        <w:rPr>
          <w:rFonts w:ascii="Times New Roman" w:hAnsi="Times New Roman" w:eastAsia="Times New Roman"/>
        </w:rPr>
        <w:t>2015 </w:t>
      </w:r>
      <w:r>
        <w:rPr>
          <w:spacing w:val="-30"/>
        </w:rPr>
        <w:t>年 </w:t>
      </w:r>
      <w:r>
        <w:rPr>
          <w:rFonts w:ascii="Times New Roman" w:hAnsi="Times New Roman" w:eastAsia="Times New Roman"/>
        </w:rPr>
        <w:t>2 </w:t>
      </w:r>
      <w:r>
        <w:rPr>
          <w:spacing w:val="-6"/>
        </w:rPr>
        <w:t>月通过验收。其</w:t>
      </w:r>
      <w:r>
        <w:rPr>
          <w:spacing w:val="-13"/>
        </w:rPr>
        <w:t>中的年产 </w:t>
      </w:r>
      <w:r>
        <w:rPr>
          <w:rFonts w:ascii="Times New Roman" w:hAnsi="Times New Roman" w:eastAsia="Times New Roman"/>
        </w:rPr>
        <w:t>8000 </w:t>
      </w:r>
      <w:r>
        <w:rPr/>
        <w:t>吨</w:t>
      </w:r>
      <w:r>
        <w:rPr>
          <w:rFonts w:ascii="Times New Roman" w:hAnsi="Times New Roman" w:eastAsia="Times New Roman"/>
        </w:rPr>
        <w:t>/</w:t>
      </w:r>
      <w:r>
        <w:rPr>
          <w:spacing w:val="-30"/>
        </w:rPr>
        <w:t>年 </w:t>
      </w:r>
      <w:r>
        <w:rPr>
          <w:rFonts w:ascii="Times New Roman" w:hAnsi="Times New Roman" w:eastAsia="Times New Roman"/>
        </w:rPr>
        <w:t>4-</w:t>
      </w:r>
      <w:r>
        <w:rPr/>
        <w:t>硝基邻二甲苯生产装置，目前正常生产。</w:t>
      </w:r>
    </w:p>
    <w:p>
      <w:pPr>
        <w:spacing w:after="0" w:line="364" w:lineRule="auto"/>
        <w:jc w:val="both"/>
        <w:sectPr>
          <w:pgSz w:w="11910" w:h="16850"/>
          <w:pgMar w:header="730" w:footer="690" w:top="1340" w:bottom="880" w:left="1200" w:right="1180"/>
        </w:sectPr>
      </w:pPr>
    </w:p>
    <w:p>
      <w:pPr>
        <w:pStyle w:val="BodyText"/>
        <w:spacing w:line="364" w:lineRule="auto" w:before="64"/>
        <w:ind w:left="218" w:right="234" w:firstLine="480"/>
      </w:pPr>
      <w:r>
        <w:rPr>
          <w:spacing w:val="-31"/>
        </w:rPr>
        <w:t>另外，“</w:t>
      </w:r>
      <w:r>
        <w:rPr>
          <w:rFonts w:ascii="Times New Roman" w:hAnsi="Times New Roman" w:eastAsia="Times New Roman"/>
        </w:rPr>
        <w:t>15000 </w:t>
      </w:r>
      <w:r>
        <w:rPr/>
        <w:t>吨</w:t>
      </w:r>
      <w:r>
        <w:rPr>
          <w:rFonts w:ascii="Times New Roman" w:hAnsi="Times New Roman" w:eastAsia="Times New Roman"/>
        </w:rPr>
        <w:t>/</w:t>
      </w:r>
      <w:r>
        <w:rPr>
          <w:spacing w:val="-30"/>
        </w:rPr>
        <w:t>年 </w:t>
      </w:r>
      <w:r>
        <w:rPr>
          <w:rFonts w:ascii="Times New Roman" w:hAnsi="Times New Roman" w:eastAsia="Times New Roman"/>
          <w:spacing w:val="-1"/>
          <w:w w:val="99"/>
        </w:rPr>
        <w:t>N</w:t>
      </w:r>
      <w:r>
        <w:rPr>
          <w:rFonts w:ascii="Times New Roman" w:hAnsi="Times New Roman" w:eastAsia="Times New Roman"/>
          <w:w w:val="99"/>
        </w:rPr>
        <w:t>-(1</w:t>
      </w:r>
      <w:r>
        <w:rPr>
          <w:rFonts w:ascii="Times New Roman" w:hAnsi="Times New Roman" w:eastAsia="Times New Roman"/>
          <w:spacing w:val="-1"/>
          <w:w w:val="99"/>
        </w:rPr>
        <w:t>-</w:t>
      </w:r>
      <w:r>
        <w:rPr>
          <w:w w:val="99"/>
        </w:rPr>
        <w:t>乙基丙基）</w:t>
      </w:r>
      <w:r>
        <w:rPr>
          <w:rFonts w:ascii="Times New Roman" w:hAnsi="Times New Roman" w:eastAsia="Times New Roman"/>
          <w:spacing w:val="-1"/>
          <w:w w:val="99"/>
        </w:rPr>
        <w:t>-</w:t>
      </w:r>
      <w:r>
        <w:rPr>
          <w:rFonts w:ascii="Times New Roman" w:hAnsi="Times New Roman" w:eastAsia="Times New Roman"/>
          <w:w w:val="99"/>
        </w:rPr>
        <w:t>3</w:t>
      </w:r>
      <w:r>
        <w:rPr>
          <w:w w:val="99"/>
        </w:rPr>
        <w:t>，</w:t>
      </w:r>
      <w:r>
        <w:rPr>
          <w:rFonts w:ascii="Times New Roman" w:hAnsi="Times New Roman" w:eastAsia="Times New Roman"/>
          <w:w w:val="99"/>
        </w:rPr>
        <w:t>4</w:t>
      </w:r>
      <w:r>
        <w:rPr>
          <w:rFonts w:ascii="Times New Roman" w:hAnsi="Times New Roman" w:eastAsia="Times New Roman"/>
          <w:spacing w:val="-1"/>
          <w:w w:val="99"/>
        </w:rPr>
        <w:t>-</w:t>
      </w:r>
      <w:r>
        <w:rPr>
          <w:w w:val="99"/>
        </w:rPr>
        <w:t>二甲基苯胺（</w:t>
      </w:r>
      <w:r>
        <w:rPr>
          <w:spacing w:val="-20"/>
          <w:w w:val="99"/>
        </w:rPr>
        <w:t>新增 </w:t>
      </w:r>
      <w:r>
        <w:rPr>
          <w:rFonts w:ascii="Times New Roman" w:hAnsi="Times New Roman" w:eastAsia="Times New Roman"/>
          <w:w w:val="99"/>
        </w:rPr>
        <w:t>9000 </w:t>
      </w:r>
      <w:r>
        <w:rPr>
          <w:w w:val="99"/>
        </w:rPr>
        <w:t>吨</w:t>
      </w:r>
      <w:r>
        <w:rPr>
          <w:rFonts w:ascii="Times New Roman" w:hAnsi="Times New Roman" w:eastAsia="Times New Roman"/>
          <w:w w:val="99"/>
        </w:rPr>
        <w:t>/</w:t>
      </w:r>
      <w:r>
        <w:rPr>
          <w:w w:val="99"/>
        </w:rPr>
        <w:t>年）技改扩</w:t>
      </w:r>
      <w:r>
        <w:rPr>
          <w:spacing w:val="-9"/>
        </w:rPr>
        <w:t>产项目”实施后，对该生产线的副产品硫酸实施了技改：原丙类仓库 </w:t>
      </w:r>
      <w:r>
        <w:rPr>
          <w:rFonts w:ascii="Times New Roman" w:hAnsi="Times New Roman" w:eastAsia="Times New Roman"/>
        </w:rPr>
        <w:t>2 </w:t>
      </w:r>
      <w:r>
        <w:rPr>
          <w:spacing w:val="-3"/>
        </w:rPr>
        <w:t>改建硫酸浓缩车</w:t>
      </w:r>
      <w:r>
        <w:rPr>
          <w:spacing w:val="-13"/>
        </w:rPr>
        <w:t>间，新增 </w:t>
      </w:r>
      <w:r>
        <w:rPr>
          <w:rFonts w:ascii="Times New Roman" w:hAnsi="Times New Roman" w:eastAsia="Times New Roman"/>
        </w:rPr>
        <w:t>2 </w:t>
      </w:r>
      <w:r>
        <w:rPr>
          <w:spacing w:val="-30"/>
        </w:rPr>
        <w:t>套 </w:t>
      </w:r>
      <w:r>
        <w:rPr>
          <w:rFonts w:ascii="Times New Roman" w:hAnsi="Times New Roman" w:eastAsia="Times New Roman"/>
        </w:rPr>
        <w:t>DN2000</w:t>
      </w:r>
      <w:r>
        <w:rPr/>
        <w:t>（</w:t>
      </w:r>
      <w:r>
        <w:rPr>
          <w:rFonts w:ascii="Times New Roman" w:hAnsi="Times New Roman" w:eastAsia="Times New Roman"/>
        </w:rPr>
        <w:t>4m</w:t>
      </w:r>
      <w:r>
        <w:rPr>
          <w:rFonts w:ascii="Times New Roman" w:hAnsi="Times New Roman" w:eastAsia="Times New Roman"/>
          <w:position w:val="9"/>
          <w:sz w:val="16"/>
        </w:rPr>
        <w:t>3</w:t>
      </w:r>
      <w:r>
        <w:rPr/>
        <w:t>）</w:t>
      </w:r>
      <w:r>
        <w:rPr>
          <w:spacing w:val="-7"/>
        </w:rPr>
        <w:t>锅式硫酸浓缩装置，以 </w:t>
      </w:r>
      <w:r>
        <w:rPr>
          <w:rFonts w:ascii="Times New Roman" w:hAnsi="Times New Roman" w:eastAsia="Times New Roman"/>
        </w:rPr>
        <w:t>4-</w:t>
      </w:r>
      <w:r>
        <w:rPr/>
        <w:t>硝基邻二甲苯生产线硝化分层</w:t>
      </w:r>
      <w:r>
        <w:rPr>
          <w:spacing w:val="-6"/>
        </w:rPr>
        <w:t>混合酸蒸馏过程产生的 </w:t>
      </w:r>
      <w:r>
        <w:rPr>
          <w:rFonts w:ascii="Times New Roman" w:hAnsi="Times New Roman" w:eastAsia="Times New Roman"/>
        </w:rPr>
        <w:t>73%</w:t>
      </w:r>
      <w:r>
        <w:rPr>
          <w:spacing w:val="-13"/>
        </w:rPr>
        <w:t>稀硫酸为原料，通过稀硫酸锅式浓缩工艺生产 </w:t>
      </w:r>
      <w:r>
        <w:rPr>
          <w:rFonts w:ascii="Times New Roman" w:hAnsi="Times New Roman" w:eastAsia="Times New Roman"/>
        </w:rPr>
        <w:t>96%</w:t>
      </w:r>
      <w:r>
        <w:rPr>
          <w:spacing w:val="-4"/>
        </w:rPr>
        <w:t>浓度的硫</w:t>
      </w:r>
      <w:r>
        <w:rPr/>
        <w:t>酸。</w:t>
      </w:r>
    </w:p>
    <w:p>
      <w:pPr>
        <w:pStyle w:val="Heading4"/>
        <w:numPr>
          <w:ilvl w:val="3"/>
          <w:numId w:val="13"/>
        </w:numPr>
        <w:tabs>
          <w:tab w:pos="1410" w:val="left" w:leader="none"/>
        </w:tabs>
        <w:spacing w:line="304" w:lineRule="exact" w:before="0" w:after="0"/>
        <w:ind w:left="1409" w:right="0" w:hanging="721"/>
        <w:jc w:val="left"/>
      </w:pPr>
      <w:r>
        <w:rPr/>
        <w:t>生产设备情况</w:t>
      </w:r>
    </w:p>
    <w:p>
      <w:pPr>
        <w:pStyle w:val="BodyText"/>
        <w:spacing w:before="160"/>
        <w:ind w:left="698"/>
      </w:pPr>
      <w:r>
        <w:rPr/>
        <w:t>硝化车间 </w:t>
      </w:r>
      <w:r>
        <w:rPr>
          <w:rFonts w:ascii="Times New Roman" w:eastAsia="Times New Roman"/>
        </w:rPr>
        <w:t>2 </w:t>
      </w:r>
      <w:r>
        <w:rPr/>
        <w:t>的实际生产设备见下表。</w:t>
      </w:r>
    </w:p>
    <w:p>
      <w:pPr>
        <w:pStyle w:val="BodyText"/>
        <w:spacing w:before="7"/>
        <w:rPr>
          <w:sz w:val="23"/>
        </w:rPr>
      </w:pPr>
    </w:p>
    <w:p>
      <w:pPr>
        <w:pStyle w:val="Heading4"/>
        <w:tabs>
          <w:tab w:pos="1222" w:val="left" w:leader="none"/>
        </w:tabs>
        <w:spacing w:after="29"/>
        <w:ind w:left="0" w:right="14"/>
        <w:jc w:val="center"/>
      </w:pPr>
      <w:r>
        <w:rPr/>
        <w:t>表</w:t>
      </w:r>
      <w:r>
        <w:rPr>
          <w:spacing w:val="-59"/>
        </w:rPr>
        <w:t> </w:t>
      </w:r>
      <w:r>
        <w:rPr>
          <w:rFonts w:ascii="Times New Roman" w:eastAsia="Times New Roman"/>
        </w:rPr>
        <w:t>3.3.2-1</w:t>
        <w:tab/>
      </w:r>
      <w:r>
        <w:rPr/>
        <w:t>硝化车间</w:t>
      </w:r>
      <w:r>
        <w:rPr>
          <w:spacing w:val="-59"/>
        </w:rPr>
        <w:t> </w:t>
      </w:r>
      <w:r>
        <w:rPr>
          <w:rFonts w:ascii="Times New Roman" w:eastAsia="Times New Roman"/>
        </w:rPr>
        <w:t>2</w:t>
      </w:r>
      <w:r>
        <w:rPr>
          <w:rFonts w:ascii="Times New Roman" w:eastAsia="Times New Roman"/>
          <w:spacing w:val="-3"/>
        </w:rPr>
        <w:t> </w:t>
      </w:r>
      <w:r>
        <w:rPr/>
        <w:t>主要生产设备表</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
        <w:gridCol w:w="3284"/>
        <w:gridCol w:w="2770"/>
        <w:gridCol w:w="1025"/>
        <w:gridCol w:w="1029"/>
      </w:tblGrid>
      <w:tr>
        <w:trPr>
          <w:trHeight w:val="283" w:hRule="atLeast"/>
        </w:trPr>
        <w:tc>
          <w:tcPr>
            <w:tcW w:w="1020" w:type="dxa"/>
          </w:tcPr>
          <w:p>
            <w:pPr>
              <w:pStyle w:val="TableParagraph"/>
              <w:spacing w:line="257" w:lineRule="exact" w:before="6"/>
              <w:ind w:left="54" w:right="47"/>
              <w:rPr>
                <w:b/>
                <w:sz w:val="21"/>
              </w:rPr>
            </w:pPr>
            <w:r>
              <w:rPr>
                <w:b/>
                <w:sz w:val="21"/>
              </w:rPr>
              <w:t>序号</w:t>
            </w:r>
          </w:p>
        </w:tc>
        <w:tc>
          <w:tcPr>
            <w:tcW w:w="3284" w:type="dxa"/>
          </w:tcPr>
          <w:p>
            <w:pPr>
              <w:pStyle w:val="TableParagraph"/>
              <w:spacing w:line="257" w:lineRule="exact" w:before="6"/>
              <w:ind w:left="1199" w:right="1191"/>
              <w:rPr>
                <w:b/>
                <w:sz w:val="21"/>
              </w:rPr>
            </w:pPr>
            <w:r>
              <w:rPr>
                <w:b/>
                <w:sz w:val="21"/>
              </w:rPr>
              <w:t>设备名称</w:t>
            </w:r>
          </w:p>
        </w:tc>
        <w:tc>
          <w:tcPr>
            <w:tcW w:w="2770" w:type="dxa"/>
          </w:tcPr>
          <w:p>
            <w:pPr>
              <w:pStyle w:val="TableParagraph"/>
              <w:spacing w:line="257" w:lineRule="exact" w:before="6"/>
              <w:ind w:left="942" w:right="933"/>
              <w:rPr>
                <w:b/>
                <w:sz w:val="21"/>
              </w:rPr>
            </w:pPr>
            <w:r>
              <w:rPr>
                <w:b/>
                <w:sz w:val="21"/>
              </w:rPr>
              <w:t>规格型号</w:t>
            </w:r>
          </w:p>
        </w:tc>
        <w:tc>
          <w:tcPr>
            <w:tcW w:w="1025" w:type="dxa"/>
          </w:tcPr>
          <w:p>
            <w:pPr>
              <w:pStyle w:val="TableParagraph"/>
              <w:spacing w:line="257" w:lineRule="exact" w:before="6"/>
              <w:ind w:left="299"/>
              <w:jc w:val="left"/>
              <w:rPr>
                <w:b/>
                <w:sz w:val="21"/>
              </w:rPr>
            </w:pPr>
            <w:r>
              <w:rPr>
                <w:b/>
                <w:sz w:val="21"/>
              </w:rPr>
              <w:t>单位</w:t>
            </w:r>
          </w:p>
        </w:tc>
        <w:tc>
          <w:tcPr>
            <w:tcW w:w="1029" w:type="dxa"/>
          </w:tcPr>
          <w:p>
            <w:pPr>
              <w:pStyle w:val="TableParagraph"/>
              <w:spacing w:line="257" w:lineRule="exact" w:before="6"/>
              <w:ind w:left="304"/>
              <w:jc w:val="left"/>
              <w:rPr>
                <w:b/>
                <w:sz w:val="21"/>
              </w:rPr>
            </w:pPr>
            <w:r>
              <w:rPr>
                <w:b/>
                <w:sz w:val="21"/>
              </w:rPr>
              <w:t>数量</w:t>
            </w:r>
          </w:p>
        </w:tc>
      </w:tr>
      <w:tr>
        <w:trPr>
          <w:trHeight w:val="285" w:hRule="atLeast"/>
        </w:trPr>
        <w:tc>
          <w:tcPr>
            <w:tcW w:w="1020" w:type="dxa"/>
          </w:tcPr>
          <w:p>
            <w:pPr>
              <w:pStyle w:val="TableParagraph"/>
              <w:spacing w:before="22"/>
              <w:ind w:left="7"/>
              <w:rPr>
                <w:rFonts w:ascii="Times New Roman"/>
                <w:sz w:val="21"/>
              </w:rPr>
            </w:pPr>
            <w:r>
              <w:rPr>
                <w:rFonts w:ascii="Times New Roman"/>
                <w:w w:val="100"/>
                <w:sz w:val="21"/>
              </w:rPr>
              <w:t>1</w:t>
            </w:r>
          </w:p>
        </w:tc>
        <w:tc>
          <w:tcPr>
            <w:tcW w:w="3284" w:type="dxa"/>
          </w:tcPr>
          <w:p>
            <w:pPr>
              <w:pStyle w:val="TableParagraph"/>
              <w:spacing w:line="257" w:lineRule="exact" w:before="8"/>
              <w:ind w:left="1199" w:right="1191"/>
              <w:rPr>
                <w:b/>
                <w:sz w:val="21"/>
              </w:rPr>
            </w:pPr>
            <w:r>
              <w:rPr>
                <w:b/>
                <w:color w:val="FF0000"/>
                <w:sz w:val="21"/>
              </w:rPr>
              <w:t>涉密删除</w:t>
            </w: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7"/>
              <w:rPr>
                <w:rFonts w:ascii="Times New Roman"/>
                <w:sz w:val="21"/>
              </w:rPr>
            </w:pPr>
            <w:r>
              <w:rPr>
                <w:rFonts w:ascii="Times New Roman"/>
                <w:w w:val="100"/>
                <w:sz w:val="21"/>
              </w:rPr>
              <w:t>2</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7"/>
              <w:rPr>
                <w:rFonts w:ascii="Times New Roman"/>
                <w:sz w:val="21"/>
              </w:rPr>
            </w:pPr>
            <w:r>
              <w:rPr>
                <w:rFonts w:ascii="Times New Roman"/>
                <w:w w:val="100"/>
                <w:sz w:val="21"/>
              </w:rPr>
              <w:t>3</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7"/>
              <w:rPr>
                <w:rFonts w:ascii="Times New Roman"/>
                <w:sz w:val="21"/>
              </w:rPr>
            </w:pPr>
            <w:r>
              <w:rPr>
                <w:rFonts w:ascii="Times New Roman"/>
                <w:w w:val="100"/>
                <w:sz w:val="21"/>
              </w:rPr>
              <w:t>4</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7"/>
              <w:rPr>
                <w:rFonts w:ascii="Times New Roman"/>
                <w:sz w:val="21"/>
              </w:rPr>
            </w:pPr>
            <w:r>
              <w:rPr>
                <w:rFonts w:ascii="Times New Roman"/>
                <w:w w:val="100"/>
                <w:sz w:val="21"/>
              </w:rPr>
              <w:t>5</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7"/>
              <w:rPr>
                <w:rFonts w:ascii="Times New Roman"/>
                <w:sz w:val="21"/>
              </w:rPr>
            </w:pPr>
            <w:r>
              <w:rPr>
                <w:rFonts w:ascii="Times New Roman"/>
                <w:w w:val="100"/>
                <w:sz w:val="21"/>
              </w:rPr>
              <w:t>6</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7"/>
              <w:rPr>
                <w:rFonts w:ascii="Times New Roman"/>
                <w:sz w:val="21"/>
              </w:rPr>
            </w:pPr>
            <w:r>
              <w:rPr>
                <w:rFonts w:ascii="Times New Roman"/>
                <w:w w:val="100"/>
                <w:sz w:val="21"/>
              </w:rPr>
              <w:t>7</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7"/>
              <w:rPr>
                <w:rFonts w:ascii="Times New Roman"/>
                <w:sz w:val="21"/>
              </w:rPr>
            </w:pPr>
            <w:r>
              <w:rPr>
                <w:rFonts w:ascii="Times New Roman"/>
                <w:w w:val="100"/>
                <w:sz w:val="21"/>
              </w:rPr>
              <w:t>8</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7"/>
              <w:rPr>
                <w:rFonts w:ascii="Times New Roman"/>
                <w:sz w:val="21"/>
              </w:rPr>
            </w:pPr>
            <w:r>
              <w:rPr>
                <w:rFonts w:ascii="Times New Roman"/>
                <w:w w:val="100"/>
                <w:sz w:val="21"/>
              </w:rPr>
              <w:t>9</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10</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49" w:right="47"/>
              <w:rPr>
                <w:rFonts w:ascii="Times New Roman"/>
                <w:sz w:val="21"/>
              </w:rPr>
            </w:pPr>
            <w:r>
              <w:rPr>
                <w:rFonts w:ascii="Times New Roman"/>
                <w:sz w:val="21"/>
              </w:rPr>
              <w:t>11</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3" w:hRule="atLeast"/>
        </w:trPr>
        <w:tc>
          <w:tcPr>
            <w:tcW w:w="1020" w:type="dxa"/>
          </w:tcPr>
          <w:p>
            <w:pPr>
              <w:pStyle w:val="TableParagraph"/>
              <w:spacing w:before="20"/>
              <w:ind w:left="54" w:right="47"/>
              <w:rPr>
                <w:rFonts w:ascii="Times New Roman"/>
                <w:sz w:val="21"/>
              </w:rPr>
            </w:pPr>
            <w:r>
              <w:rPr>
                <w:rFonts w:ascii="Times New Roman"/>
                <w:sz w:val="21"/>
              </w:rPr>
              <w:t>12</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13</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14</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15</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16</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17</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18</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19</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20</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21</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22</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23</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3" w:hRule="atLeast"/>
        </w:trPr>
        <w:tc>
          <w:tcPr>
            <w:tcW w:w="1020" w:type="dxa"/>
          </w:tcPr>
          <w:p>
            <w:pPr>
              <w:pStyle w:val="TableParagraph"/>
              <w:spacing w:before="20"/>
              <w:ind w:left="54" w:right="47"/>
              <w:rPr>
                <w:rFonts w:ascii="Times New Roman"/>
                <w:sz w:val="21"/>
              </w:rPr>
            </w:pPr>
            <w:r>
              <w:rPr>
                <w:rFonts w:ascii="Times New Roman"/>
                <w:sz w:val="21"/>
              </w:rPr>
              <w:t>24</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25</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26</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27</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28</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29</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30</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31</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32</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33</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bl>
    <w:p>
      <w:pPr>
        <w:spacing w:after="0"/>
        <w:jc w:val="left"/>
        <w:rPr>
          <w:rFonts w:ascii="Times New Roman"/>
          <w:sz w:val="20"/>
        </w:rPr>
        <w:sectPr>
          <w:pgSz w:w="11910" w:h="16850"/>
          <w:pgMar w:header="730" w:footer="690" w:top="1340" w:bottom="880" w:left="1200" w:right="1180"/>
        </w:sectPr>
      </w:pPr>
    </w:p>
    <w:p>
      <w:pPr>
        <w:pStyle w:val="BodyText"/>
        <w:spacing w:before="10"/>
        <w:rPr>
          <w:b/>
          <w:sz w:val="4"/>
        </w:rPr>
      </w:pP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
        <w:gridCol w:w="3284"/>
        <w:gridCol w:w="2770"/>
        <w:gridCol w:w="1025"/>
        <w:gridCol w:w="1029"/>
      </w:tblGrid>
      <w:tr>
        <w:trPr>
          <w:trHeight w:val="283" w:hRule="atLeast"/>
        </w:trPr>
        <w:tc>
          <w:tcPr>
            <w:tcW w:w="1020" w:type="dxa"/>
          </w:tcPr>
          <w:p>
            <w:pPr>
              <w:pStyle w:val="TableParagraph"/>
              <w:spacing w:line="257" w:lineRule="exact" w:before="5"/>
              <w:ind w:left="54" w:right="47"/>
              <w:rPr>
                <w:b/>
                <w:sz w:val="21"/>
              </w:rPr>
            </w:pPr>
            <w:r>
              <w:rPr>
                <w:b/>
                <w:sz w:val="21"/>
              </w:rPr>
              <w:t>序号</w:t>
            </w:r>
          </w:p>
        </w:tc>
        <w:tc>
          <w:tcPr>
            <w:tcW w:w="3284" w:type="dxa"/>
          </w:tcPr>
          <w:p>
            <w:pPr>
              <w:pStyle w:val="TableParagraph"/>
              <w:spacing w:line="257" w:lineRule="exact" w:before="5"/>
              <w:ind w:left="1199" w:right="1191"/>
              <w:rPr>
                <w:b/>
                <w:sz w:val="21"/>
              </w:rPr>
            </w:pPr>
            <w:r>
              <w:rPr>
                <w:b/>
                <w:sz w:val="21"/>
              </w:rPr>
              <w:t>设备名称</w:t>
            </w:r>
          </w:p>
        </w:tc>
        <w:tc>
          <w:tcPr>
            <w:tcW w:w="2770" w:type="dxa"/>
          </w:tcPr>
          <w:p>
            <w:pPr>
              <w:pStyle w:val="TableParagraph"/>
              <w:spacing w:line="257" w:lineRule="exact" w:before="5"/>
              <w:ind w:left="942" w:right="933"/>
              <w:rPr>
                <w:b/>
                <w:sz w:val="21"/>
              </w:rPr>
            </w:pPr>
            <w:r>
              <w:rPr>
                <w:b/>
                <w:sz w:val="21"/>
              </w:rPr>
              <w:t>规格型号</w:t>
            </w:r>
          </w:p>
        </w:tc>
        <w:tc>
          <w:tcPr>
            <w:tcW w:w="1025" w:type="dxa"/>
          </w:tcPr>
          <w:p>
            <w:pPr>
              <w:pStyle w:val="TableParagraph"/>
              <w:spacing w:line="257" w:lineRule="exact" w:before="5"/>
              <w:ind w:left="299"/>
              <w:jc w:val="left"/>
              <w:rPr>
                <w:b/>
                <w:sz w:val="21"/>
              </w:rPr>
            </w:pPr>
            <w:r>
              <w:rPr>
                <w:b/>
                <w:sz w:val="21"/>
              </w:rPr>
              <w:t>单位</w:t>
            </w:r>
          </w:p>
        </w:tc>
        <w:tc>
          <w:tcPr>
            <w:tcW w:w="1029" w:type="dxa"/>
          </w:tcPr>
          <w:p>
            <w:pPr>
              <w:pStyle w:val="TableParagraph"/>
              <w:spacing w:line="257" w:lineRule="exact" w:before="5"/>
              <w:ind w:left="304"/>
              <w:jc w:val="left"/>
              <w:rPr>
                <w:b/>
                <w:sz w:val="21"/>
              </w:rPr>
            </w:pPr>
            <w:r>
              <w:rPr>
                <w:b/>
                <w:sz w:val="21"/>
              </w:rPr>
              <w:t>数量</w:t>
            </w: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34</w:t>
            </w:r>
          </w:p>
        </w:tc>
        <w:tc>
          <w:tcPr>
            <w:tcW w:w="3284" w:type="dxa"/>
          </w:tcPr>
          <w:p>
            <w:pPr>
              <w:pStyle w:val="TableParagraph"/>
              <w:spacing w:line="257" w:lineRule="exact" w:before="8"/>
              <w:ind w:left="1199" w:right="1191"/>
              <w:rPr>
                <w:b/>
                <w:sz w:val="21"/>
              </w:rPr>
            </w:pPr>
            <w:r>
              <w:rPr>
                <w:b/>
                <w:color w:val="FF0000"/>
                <w:sz w:val="21"/>
              </w:rPr>
              <w:t>涉密删除</w:t>
            </w: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35</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36</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37</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38</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39</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40</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41</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42</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43</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44</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3" w:hRule="atLeast"/>
        </w:trPr>
        <w:tc>
          <w:tcPr>
            <w:tcW w:w="1020" w:type="dxa"/>
          </w:tcPr>
          <w:p>
            <w:pPr>
              <w:pStyle w:val="TableParagraph"/>
              <w:spacing w:before="19"/>
              <w:ind w:left="54" w:right="47"/>
              <w:rPr>
                <w:rFonts w:ascii="Times New Roman"/>
                <w:sz w:val="21"/>
              </w:rPr>
            </w:pPr>
            <w:r>
              <w:rPr>
                <w:rFonts w:ascii="Times New Roman"/>
                <w:sz w:val="21"/>
              </w:rPr>
              <w:t>45</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46</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47</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48</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49</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50</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2" w:hRule="atLeast"/>
        </w:trPr>
        <w:tc>
          <w:tcPr>
            <w:tcW w:w="1020" w:type="dxa"/>
          </w:tcPr>
          <w:p>
            <w:pPr>
              <w:pStyle w:val="TableParagraph"/>
              <w:spacing w:before="19"/>
              <w:ind w:left="54" w:right="47"/>
              <w:rPr>
                <w:rFonts w:ascii="Times New Roman"/>
                <w:sz w:val="21"/>
              </w:rPr>
            </w:pPr>
            <w:r>
              <w:rPr>
                <w:rFonts w:ascii="Times New Roman"/>
                <w:sz w:val="21"/>
              </w:rPr>
              <w:t>51</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r>
        <w:trPr>
          <w:trHeight w:val="285" w:hRule="atLeast"/>
        </w:trPr>
        <w:tc>
          <w:tcPr>
            <w:tcW w:w="1020" w:type="dxa"/>
          </w:tcPr>
          <w:p>
            <w:pPr>
              <w:pStyle w:val="TableParagraph"/>
              <w:spacing w:before="22"/>
              <w:ind w:left="54" w:right="47"/>
              <w:rPr>
                <w:rFonts w:ascii="Times New Roman"/>
                <w:sz w:val="21"/>
              </w:rPr>
            </w:pPr>
            <w:r>
              <w:rPr>
                <w:rFonts w:ascii="Times New Roman"/>
                <w:sz w:val="21"/>
              </w:rPr>
              <w:t>52</w:t>
            </w:r>
          </w:p>
        </w:tc>
        <w:tc>
          <w:tcPr>
            <w:tcW w:w="3284" w:type="dxa"/>
          </w:tcPr>
          <w:p>
            <w:pPr>
              <w:pStyle w:val="TableParagraph"/>
              <w:jc w:val="left"/>
              <w:rPr>
                <w:rFonts w:ascii="Times New Roman"/>
                <w:sz w:val="20"/>
              </w:rPr>
            </w:pPr>
          </w:p>
        </w:tc>
        <w:tc>
          <w:tcPr>
            <w:tcW w:w="2770" w:type="dxa"/>
          </w:tcPr>
          <w:p>
            <w:pPr>
              <w:pStyle w:val="TableParagraph"/>
              <w:jc w:val="left"/>
              <w:rPr>
                <w:rFonts w:ascii="Times New Roman"/>
                <w:sz w:val="20"/>
              </w:rPr>
            </w:pPr>
          </w:p>
        </w:tc>
        <w:tc>
          <w:tcPr>
            <w:tcW w:w="1025" w:type="dxa"/>
          </w:tcPr>
          <w:p>
            <w:pPr>
              <w:pStyle w:val="TableParagraph"/>
              <w:jc w:val="left"/>
              <w:rPr>
                <w:rFonts w:ascii="Times New Roman"/>
                <w:sz w:val="20"/>
              </w:rPr>
            </w:pPr>
          </w:p>
        </w:tc>
        <w:tc>
          <w:tcPr>
            <w:tcW w:w="1029" w:type="dxa"/>
          </w:tcPr>
          <w:p>
            <w:pPr>
              <w:pStyle w:val="TableParagraph"/>
              <w:jc w:val="left"/>
              <w:rPr>
                <w:rFonts w:ascii="Times New Roman"/>
                <w:sz w:val="20"/>
              </w:rPr>
            </w:pPr>
          </w:p>
        </w:tc>
      </w:tr>
    </w:tbl>
    <w:p>
      <w:pPr>
        <w:pStyle w:val="BodyText"/>
        <w:spacing w:line="364" w:lineRule="auto" w:before="2"/>
        <w:ind w:left="218" w:right="112" w:firstLine="528"/>
      </w:pPr>
      <w:r>
        <w:rPr/>
        <w:t>“</w:t>
      </w:r>
      <w:r>
        <w:rPr>
          <w:rFonts w:ascii="Times New Roman" w:hAnsi="Times New Roman" w:eastAsia="Times New Roman"/>
        </w:rPr>
        <w:t>15000 </w:t>
      </w:r>
      <w:r>
        <w:rPr/>
        <w:t>吨</w:t>
      </w:r>
      <w:r>
        <w:rPr>
          <w:rFonts w:ascii="Times New Roman" w:hAnsi="Times New Roman" w:eastAsia="Times New Roman"/>
        </w:rPr>
        <w:t>/</w:t>
      </w:r>
      <w:r>
        <w:rPr>
          <w:spacing w:val="-30"/>
        </w:rPr>
        <w:t>年 </w:t>
      </w:r>
      <w:r>
        <w:rPr>
          <w:rFonts w:ascii="Times New Roman" w:hAnsi="Times New Roman" w:eastAsia="Times New Roman"/>
        </w:rPr>
        <w:t>N-(1-</w:t>
      </w:r>
      <w:r>
        <w:rPr/>
        <w:t>乙基丙基</w:t>
      </w:r>
      <w:r>
        <w:rPr>
          <w:spacing w:val="-18"/>
        </w:rPr>
        <w:t>）</w:t>
      </w:r>
      <w:r>
        <w:rPr>
          <w:rFonts w:ascii="Times New Roman" w:hAnsi="Times New Roman" w:eastAsia="Times New Roman"/>
          <w:spacing w:val="-18"/>
        </w:rPr>
        <w:t>-3</w:t>
      </w:r>
      <w:r>
        <w:rPr>
          <w:spacing w:val="-18"/>
        </w:rPr>
        <w:t>，</w:t>
      </w:r>
      <w:r>
        <w:rPr>
          <w:rFonts w:ascii="Times New Roman" w:hAnsi="Times New Roman" w:eastAsia="Times New Roman"/>
          <w:spacing w:val="-18"/>
        </w:rPr>
        <w:t>4-</w:t>
      </w:r>
      <w:r>
        <w:rPr>
          <w:spacing w:val="-11"/>
        </w:rPr>
        <w:t>二甲基苯胺</w:t>
      </w:r>
      <w:r>
        <w:rPr/>
        <w:t>（</w:t>
      </w:r>
      <w:r>
        <w:rPr>
          <w:spacing w:val="-20"/>
        </w:rPr>
        <w:t>新增 </w:t>
      </w:r>
      <w:r>
        <w:rPr>
          <w:rFonts w:ascii="Times New Roman" w:hAnsi="Times New Roman" w:eastAsia="Times New Roman"/>
        </w:rPr>
        <w:t>9000 </w:t>
      </w:r>
      <w:r>
        <w:rPr/>
        <w:t>吨</w:t>
      </w:r>
      <w:r>
        <w:rPr>
          <w:rFonts w:ascii="Times New Roman" w:hAnsi="Times New Roman" w:eastAsia="Times New Roman"/>
        </w:rPr>
        <w:t>/</w:t>
      </w:r>
      <w:r>
        <w:rPr/>
        <w:t>年</w:t>
      </w:r>
      <w:r>
        <w:rPr>
          <w:spacing w:val="-51"/>
        </w:rPr>
        <w:t>）</w:t>
      </w:r>
      <w:r>
        <w:rPr/>
        <w:t>技改扩产项目” 实施后新增硫酸浓缩设备，具体如下。</w:t>
      </w:r>
    </w:p>
    <w:p>
      <w:pPr>
        <w:pStyle w:val="Heading4"/>
        <w:tabs>
          <w:tab w:pos="3557" w:val="left" w:leader="none"/>
        </w:tabs>
        <w:spacing w:before="141" w:after="29"/>
        <w:ind w:left="2335"/>
      </w:pPr>
      <w:r>
        <w:rPr/>
        <w:t>表</w:t>
      </w:r>
      <w:r>
        <w:rPr>
          <w:spacing w:val="-60"/>
        </w:rPr>
        <w:t> </w:t>
      </w:r>
      <w:r>
        <w:rPr>
          <w:rFonts w:ascii="Times New Roman" w:eastAsia="Times New Roman"/>
        </w:rPr>
        <w:t>3.3.2-2</w:t>
        <w:tab/>
      </w:r>
      <w:r>
        <w:rPr/>
        <w:t>副产硫酸提浓装置主要设备一览表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1"/>
        <w:gridCol w:w="2264"/>
        <w:gridCol w:w="816"/>
        <w:gridCol w:w="5399"/>
      </w:tblGrid>
      <w:tr>
        <w:trPr>
          <w:trHeight w:val="285" w:hRule="atLeast"/>
        </w:trPr>
        <w:tc>
          <w:tcPr>
            <w:tcW w:w="811" w:type="dxa"/>
          </w:tcPr>
          <w:p>
            <w:pPr>
              <w:pStyle w:val="TableParagraph"/>
              <w:spacing w:line="257" w:lineRule="exact" w:before="8"/>
              <w:ind w:left="194"/>
              <w:jc w:val="left"/>
              <w:rPr>
                <w:b/>
                <w:sz w:val="21"/>
              </w:rPr>
            </w:pPr>
            <w:r>
              <w:rPr>
                <w:b/>
                <w:sz w:val="21"/>
              </w:rPr>
              <w:t>位号</w:t>
            </w:r>
          </w:p>
        </w:tc>
        <w:tc>
          <w:tcPr>
            <w:tcW w:w="2264" w:type="dxa"/>
          </w:tcPr>
          <w:p>
            <w:pPr>
              <w:pStyle w:val="TableParagraph"/>
              <w:spacing w:line="257" w:lineRule="exact" w:before="8"/>
              <w:ind w:left="685" w:right="679"/>
              <w:rPr>
                <w:b/>
                <w:sz w:val="21"/>
              </w:rPr>
            </w:pPr>
            <w:r>
              <w:rPr>
                <w:b/>
                <w:sz w:val="21"/>
              </w:rPr>
              <w:t>名称</w:t>
            </w:r>
          </w:p>
        </w:tc>
        <w:tc>
          <w:tcPr>
            <w:tcW w:w="816" w:type="dxa"/>
          </w:tcPr>
          <w:p>
            <w:pPr>
              <w:pStyle w:val="TableParagraph"/>
              <w:spacing w:line="257" w:lineRule="exact" w:before="8"/>
              <w:ind w:left="196"/>
              <w:jc w:val="left"/>
              <w:rPr>
                <w:b/>
                <w:sz w:val="21"/>
              </w:rPr>
            </w:pPr>
            <w:r>
              <w:rPr>
                <w:b/>
                <w:sz w:val="21"/>
              </w:rPr>
              <w:t>数量</w:t>
            </w:r>
          </w:p>
        </w:tc>
        <w:tc>
          <w:tcPr>
            <w:tcW w:w="5399" w:type="dxa"/>
          </w:tcPr>
          <w:p>
            <w:pPr>
              <w:pStyle w:val="TableParagraph"/>
              <w:spacing w:line="257" w:lineRule="exact" w:before="8"/>
              <w:ind w:left="2466" w:right="2460"/>
              <w:rPr>
                <w:b/>
                <w:sz w:val="21"/>
              </w:rPr>
            </w:pPr>
            <w:r>
              <w:rPr>
                <w:b/>
                <w:sz w:val="21"/>
              </w:rPr>
              <w:t>说明</w:t>
            </w: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spacing w:line="257" w:lineRule="exact" w:before="5"/>
              <w:ind w:left="690" w:right="679"/>
              <w:rPr>
                <w:b/>
                <w:sz w:val="21"/>
              </w:rPr>
            </w:pPr>
            <w:r>
              <w:rPr>
                <w:b/>
                <w:color w:val="FF0000"/>
                <w:sz w:val="21"/>
              </w:rPr>
              <w:t>涉密删除</w:t>
            </w: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2"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r>
        <w:trPr>
          <w:trHeight w:val="285" w:hRule="atLeast"/>
        </w:trPr>
        <w:tc>
          <w:tcPr>
            <w:tcW w:w="811"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816" w:type="dxa"/>
          </w:tcPr>
          <w:p>
            <w:pPr>
              <w:pStyle w:val="TableParagraph"/>
              <w:jc w:val="left"/>
              <w:rPr>
                <w:rFonts w:ascii="Times New Roman"/>
                <w:sz w:val="20"/>
              </w:rPr>
            </w:pPr>
          </w:p>
        </w:tc>
        <w:tc>
          <w:tcPr>
            <w:tcW w:w="5399"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原辅材料消耗情况</w:t>
      </w:r>
    </w:p>
    <w:p>
      <w:pPr>
        <w:pStyle w:val="BodyText"/>
        <w:spacing w:before="158"/>
        <w:ind w:left="698"/>
      </w:pPr>
      <w:r>
        <w:rPr/>
        <w:t>根据调查，该生产线实际消耗原辅材料种类和原环评一致，单耗方面由于 </w:t>
      </w:r>
      <w:r>
        <w:rPr>
          <w:rFonts w:ascii="Times New Roman" w:eastAsia="Times New Roman"/>
        </w:rPr>
        <w:t>4-</w:t>
      </w:r>
      <w:r>
        <w:rPr/>
        <w:t>硝基</w:t>
      </w:r>
    </w:p>
    <w:p>
      <w:pPr>
        <w:spacing w:after="0"/>
        <w:sectPr>
          <w:pgSz w:w="11910" w:h="16850"/>
          <w:pgMar w:header="730" w:footer="690" w:top="1340" w:bottom="880" w:left="1200" w:right="1180"/>
        </w:sectPr>
      </w:pPr>
    </w:p>
    <w:p>
      <w:pPr>
        <w:pStyle w:val="BodyText"/>
        <w:spacing w:before="64"/>
        <w:ind w:left="218"/>
      </w:pPr>
      <w:r>
        <w:rPr/>
        <w:t>邻二甲苯生产线逐渐稳定，得率提高，邻二甲苯单耗相比原环评略有减少。</w:t>
      </w:r>
    </w:p>
    <w:p>
      <w:pPr>
        <w:pStyle w:val="BodyText"/>
        <w:spacing w:before="5"/>
        <w:rPr>
          <w:sz w:val="23"/>
        </w:rPr>
      </w:pPr>
    </w:p>
    <w:p>
      <w:pPr>
        <w:pStyle w:val="Heading4"/>
        <w:tabs>
          <w:tab w:pos="1221" w:val="left" w:leader="none"/>
        </w:tabs>
        <w:spacing w:after="29"/>
        <w:ind w:left="0" w:right="15"/>
        <w:jc w:val="center"/>
      </w:pPr>
      <w:r>
        <w:rPr/>
        <w:t>表</w:t>
      </w:r>
      <w:r>
        <w:rPr>
          <w:spacing w:val="-60"/>
        </w:rPr>
        <w:t> </w:t>
      </w:r>
      <w:r>
        <w:rPr>
          <w:rFonts w:ascii="Times New Roman" w:eastAsia="Times New Roman"/>
        </w:rPr>
        <w:t>3.3.2-3</w:t>
        <w:tab/>
      </w:r>
      <w:r>
        <w:rPr/>
        <w:t>实际主要原辅材</w:t>
      </w:r>
      <w:r>
        <w:rPr>
          <w:spacing w:val="3"/>
        </w:rPr>
        <w:t>料</w:t>
      </w:r>
      <w:r>
        <w:rPr/>
        <w:t>消耗表</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72"/>
        <w:gridCol w:w="1123"/>
        <w:gridCol w:w="845"/>
        <w:gridCol w:w="1125"/>
        <w:gridCol w:w="1269"/>
        <w:gridCol w:w="1154"/>
        <w:gridCol w:w="870"/>
        <w:gridCol w:w="2227"/>
      </w:tblGrid>
      <w:tr>
        <w:trPr>
          <w:trHeight w:val="285" w:hRule="atLeast"/>
        </w:trPr>
        <w:tc>
          <w:tcPr>
            <w:tcW w:w="672" w:type="dxa"/>
            <w:vMerge w:val="restart"/>
          </w:tcPr>
          <w:p>
            <w:pPr>
              <w:pStyle w:val="TableParagraph"/>
              <w:jc w:val="left"/>
              <w:rPr>
                <w:b/>
                <w:sz w:val="22"/>
              </w:rPr>
            </w:pPr>
          </w:p>
          <w:p>
            <w:pPr>
              <w:pStyle w:val="TableParagraph"/>
              <w:ind w:left="124"/>
              <w:jc w:val="left"/>
              <w:rPr>
                <w:b/>
                <w:sz w:val="21"/>
              </w:rPr>
            </w:pPr>
            <w:r>
              <w:rPr>
                <w:b/>
                <w:sz w:val="21"/>
              </w:rPr>
              <w:t>序号</w:t>
            </w:r>
          </w:p>
        </w:tc>
        <w:tc>
          <w:tcPr>
            <w:tcW w:w="1123" w:type="dxa"/>
            <w:vMerge w:val="restart"/>
          </w:tcPr>
          <w:p>
            <w:pPr>
              <w:pStyle w:val="TableParagraph"/>
              <w:jc w:val="left"/>
              <w:rPr>
                <w:b/>
                <w:sz w:val="22"/>
              </w:rPr>
            </w:pPr>
          </w:p>
          <w:p>
            <w:pPr>
              <w:pStyle w:val="TableParagraph"/>
              <w:ind w:left="139"/>
              <w:jc w:val="left"/>
              <w:rPr>
                <w:b/>
                <w:sz w:val="21"/>
              </w:rPr>
            </w:pPr>
            <w:r>
              <w:rPr>
                <w:b/>
                <w:sz w:val="21"/>
              </w:rPr>
              <w:t>原料名称</w:t>
            </w:r>
          </w:p>
        </w:tc>
        <w:tc>
          <w:tcPr>
            <w:tcW w:w="845" w:type="dxa"/>
            <w:vMerge w:val="restart"/>
          </w:tcPr>
          <w:p>
            <w:pPr>
              <w:pStyle w:val="TableParagraph"/>
              <w:jc w:val="left"/>
              <w:rPr>
                <w:b/>
                <w:sz w:val="22"/>
              </w:rPr>
            </w:pPr>
          </w:p>
          <w:p>
            <w:pPr>
              <w:pStyle w:val="TableParagraph"/>
              <w:ind w:left="211"/>
              <w:jc w:val="left"/>
              <w:rPr>
                <w:b/>
                <w:sz w:val="21"/>
              </w:rPr>
            </w:pPr>
            <w:r>
              <w:rPr>
                <w:b/>
                <w:sz w:val="21"/>
              </w:rPr>
              <w:t>规格</w:t>
            </w:r>
          </w:p>
        </w:tc>
        <w:tc>
          <w:tcPr>
            <w:tcW w:w="2394" w:type="dxa"/>
            <w:gridSpan w:val="2"/>
          </w:tcPr>
          <w:p>
            <w:pPr>
              <w:pStyle w:val="TableParagraph"/>
              <w:spacing w:line="257" w:lineRule="exact" w:before="8"/>
              <w:ind w:left="964" w:right="962"/>
              <w:rPr>
                <w:b/>
                <w:sz w:val="21"/>
              </w:rPr>
            </w:pPr>
            <w:r>
              <w:rPr>
                <w:b/>
                <w:sz w:val="21"/>
              </w:rPr>
              <w:t>环评</w:t>
            </w:r>
          </w:p>
        </w:tc>
        <w:tc>
          <w:tcPr>
            <w:tcW w:w="2024" w:type="dxa"/>
            <w:gridSpan w:val="2"/>
          </w:tcPr>
          <w:p>
            <w:pPr>
              <w:pStyle w:val="TableParagraph"/>
              <w:spacing w:line="257" w:lineRule="exact" w:before="8"/>
              <w:ind w:left="671"/>
              <w:jc w:val="left"/>
              <w:rPr>
                <w:b/>
                <w:sz w:val="21"/>
              </w:rPr>
            </w:pPr>
            <w:r>
              <w:rPr>
                <w:rFonts w:ascii="Times New Roman" w:eastAsia="Times New Roman"/>
                <w:b/>
                <w:sz w:val="21"/>
              </w:rPr>
              <w:t>2021 </w:t>
            </w:r>
            <w:r>
              <w:rPr>
                <w:b/>
                <w:sz w:val="21"/>
              </w:rPr>
              <w:t>年</w:t>
            </w:r>
          </w:p>
        </w:tc>
        <w:tc>
          <w:tcPr>
            <w:tcW w:w="2227" w:type="dxa"/>
            <w:vMerge w:val="restart"/>
          </w:tcPr>
          <w:p>
            <w:pPr>
              <w:pStyle w:val="TableParagraph"/>
              <w:jc w:val="left"/>
              <w:rPr>
                <w:b/>
                <w:sz w:val="22"/>
              </w:rPr>
            </w:pPr>
          </w:p>
          <w:p>
            <w:pPr>
              <w:pStyle w:val="TableParagraph"/>
              <w:ind w:left="886" w:right="873"/>
              <w:rPr>
                <w:b/>
                <w:sz w:val="21"/>
              </w:rPr>
            </w:pPr>
            <w:r>
              <w:rPr>
                <w:b/>
                <w:sz w:val="21"/>
              </w:rPr>
              <w:t>备注</w:t>
            </w:r>
          </w:p>
        </w:tc>
      </w:tr>
      <w:tr>
        <w:trPr>
          <w:trHeight w:val="544" w:hRule="atLeast"/>
        </w:trPr>
        <w:tc>
          <w:tcPr>
            <w:tcW w:w="672" w:type="dxa"/>
            <w:vMerge/>
            <w:tcBorders>
              <w:top w:val="nil"/>
            </w:tcBorders>
          </w:tcPr>
          <w:p>
            <w:pPr>
              <w:rPr>
                <w:sz w:val="2"/>
                <w:szCs w:val="2"/>
              </w:rPr>
            </w:pPr>
          </w:p>
        </w:tc>
        <w:tc>
          <w:tcPr>
            <w:tcW w:w="1123" w:type="dxa"/>
            <w:vMerge/>
            <w:tcBorders>
              <w:top w:val="nil"/>
            </w:tcBorders>
          </w:tcPr>
          <w:p>
            <w:pPr>
              <w:rPr>
                <w:sz w:val="2"/>
                <w:szCs w:val="2"/>
              </w:rPr>
            </w:pPr>
          </w:p>
        </w:tc>
        <w:tc>
          <w:tcPr>
            <w:tcW w:w="845" w:type="dxa"/>
            <w:vMerge/>
            <w:tcBorders>
              <w:top w:val="nil"/>
            </w:tcBorders>
          </w:tcPr>
          <w:p>
            <w:pPr>
              <w:rPr>
                <w:sz w:val="2"/>
                <w:szCs w:val="2"/>
              </w:rPr>
            </w:pPr>
          </w:p>
        </w:tc>
        <w:tc>
          <w:tcPr>
            <w:tcW w:w="1125" w:type="dxa"/>
          </w:tcPr>
          <w:p>
            <w:pPr>
              <w:pStyle w:val="TableParagraph"/>
              <w:spacing w:before="138"/>
              <w:ind w:left="180"/>
              <w:jc w:val="left"/>
              <w:rPr>
                <w:rFonts w:ascii="Times New Roman" w:eastAsia="Times New Roman"/>
                <w:b/>
                <w:sz w:val="21"/>
              </w:rPr>
            </w:pPr>
            <w:r>
              <w:rPr>
                <w:b/>
                <w:sz w:val="21"/>
              </w:rPr>
              <w:t>单耗</w:t>
            </w:r>
            <w:r>
              <w:rPr>
                <w:rFonts w:ascii="Times New Roman" w:eastAsia="Times New Roman"/>
                <w:b/>
                <w:sz w:val="21"/>
              </w:rPr>
              <w:t>(t/t)</w:t>
            </w:r>
          </w:p>
        </w:tc>
        <w:tc>
          <w:tcPr>
            <w:tcW w:w="1269" w:type="dxa"/>
          </w:tcPr>
          <w:p>
            <w:pPr>
              <w:pStyle w:val="TableParagraph"/>
              <w:spacing w:before="1"/>
              <w:ind w:left="89" w:right="79"/>
              <w:rPr>
                <w:b/>
                <w:sz w:val="21"/>
              </w:rPr>
            </w:pPr>
            <w:r>
              <w:rPr>
                <w:b/>
                <w:sz w:val="21"/>
              </w:rPr>
              <w:t>达产消耗量</w:t>
            </w:r>
          </w:p>
          <w:p>
            <w:pPr>
              <w:pStyle w:val="TableParagraph"/>
              <w:spacing w:line="252" w:lineRule="exact" w:before="2"/>
              <w:ind w:left="86" w:right="79"/>
              <w:rPr>
                <w:b/>
                <w:sz w:val="21"/>
              </w:rPr>
            </w:pPr>
            <w:r>
              <w:rPr>
                <w:b/>
                <w:sz w:val="21"/>
              </w:rPr>
              <w:t>（</w:t>
            </w:r>
            <w:r>
              <w:rPr>
                <w:rFonts w:ascii="Times New Roman" w:eastAsia="Times New Roman"/>
                <w:b/>
                <w:sz w:val="21"/>
              </w:rPr>
              <w:t>t/a</w:t>
            </w:r>
            <w:r>
              <w:rPr>
                <w:b/>
                <w:sz w:val="21"/>
              </w:rPr>
              <w:t>）</w:t>
            </w:r>
          </w:p>
        </w:tc>
        <w:tc>
          <w:tcPr>
            <w:tcW w:w="1154" w:type="dxa"/>
          </w:tcPr>
          <w:p>
            <w:pPr>
              <w:pStyle w:val="TableParagraph"/>
              <w:spacing w:before="138"/>
              <w:ind w:left="198"/>
              <w:jc w:val="left"/>
              <w:rPr>
                <w:rFonts w:ascii="Times New Roman" w:eastAsia="Times New Roman"/>
                <w:b/>
                <w:sz w:val="21"/>
              </w:rPr>
            </w:pPr>
            <w:r>
              <w:rPr>
                <w:b/>
                <w:sz w:val="21"/>
              </w:rPr>
              <w:t>单耗</w:t>
            </w:r>
            <w:r>
              <w:rPr>
                <w:rFonts w:ascii="Times New Roman" w:eastAsia="Times New Roman"/>
                <w:b/>
                <w:sz w:val="21"/>
              </w:rPr>
              <w:t>(t/t)</w:t>
            </w:r>
          </w:p>
        </w:tc>
        <w:tc>
          <w:tcPr>
            <w:tcW w:w="870" w:type="dxa"/>
          </w:tcPr>
          <w:p>
            <w:pPr>
              <w:pStyle w:val="TableParagraph"/>
              <w:spacing w:before="1"/>
              <w:ind w:left="42" w:right="34"/>
              <w:rPr>
                <w:b/>
                <w:sz w:val="21"/>
              </w:rPr>
            </w:pPr>
            <w:r>
              <w:rPr>
                <w:b/>
                <w:sz w:val="21"/>
              </w:rPr>
              <w:t>用量</w:t>
            </w:r>
          </w:p>
          <w:p>
            <w:pPr>
              <w:pStyle w:val="TableParagraph"/>
              <w:spacing w:line="252" w:lineRule="exact" w:before="2"/>
              <w:ind w:left="42" w:right="31"/>
              <w:rPr>
                <w:b/>
                <w:sz w:val="21"/>
              </w:rPr>
            </w:pPr>
            <w:r>
              <w:rPr>
                <w:b/>
                <w:sz w:val="21"/>
              </w:rPr>
              <w:t>（</w:t>
            </w:r>
            <w:r>
              <w:rPr>
                <w:rFonts w:ascii="Times New Roman" w:eastAsia="Times New Roman"/>
                <w:b/>
                <w:sz w:val="21"/>
              </w:rPr>
              <w:t>t/a</w:t>
            </w:r>
            <w:r>
              <w:rPr>
                <w:b/>
                <w:sz w:val="21"/>
              </w:rPr>
              <w:t>）</w:t>
            </w:r>
          </w:p>
        </w:tc>
        <w:tc>
          <w:tcPr>
            <w:tcW w:w="2227" w:type="dxa"/>
            <w:vMerge/>
            <w:tcBorders>
              <w:top w:val="nil"/>
            </w:tcBorders>
          </w:tcPr>
          <w:p>
            <w:pPr>
              <w:rPr>
                <w:sz w:val="2"/>
                <w:szCs w:val="2"/>
              </w:rPr>
            </w:pPr>
          </w:p>
        </w:tc>
      </w:tr>
      <w:tr>
        <w:trPr>
          <w:trHeight w:val="283" w:hRule="atLeast"/>
        </w:trPr>
        <w:tc>
          <w:tcPr>
            <w:tcW w:w="672" w:type="dxa"/>
          </w:tcPr>
          <w:p>
            <w:pPr>
              <w:pStyle w:val="TableParagraph"/>
              <w:spacing w:before="20"/>
              <w:ind w:left="4"/>
              <w:rPr>
                <w:rFonts w:ascii="Times New Roman"/>
                <w:sz w:val="21"/>
              </w:rPr>
            </w:pPr>
            <w:r>
              <w:rPr>
                <w:rFonts w:ascii="Times New Roman"/>
                <w:w w:val="100"/>
                <w:sz w:val="21"/>
              </w:rPr>
              <w:t>1</w:t>
            </w:r>
          </w:p>
        </w:tc>
        <w:tc>
          <w:tcPr>
            <w:tcW w:w="1123" w:type="dxa"/>
          </w:tcPr>
          <w:p>
            <w:pPr>
              <w:pStyle w:val="TableParagraph"/>
              <w:spacing w:line="257" w:lineRule="exact" w:before="6"/>
              <w:ind w:left="139"/>
              <w:jc w:val="left"/>
              <w:rPr>
                <w:b/>
                <w:sz w:val="21"/>
              </w:rPr>
            </w:pPr>
            <w:r>
              <w:rPr>
                <w:b/>
                <w:color w:val="FF0000"/>
                <w:sz w:val="21"/>
              </w:rPr>
              <w:t>涉密删除</w:t>
            </w:r>
          </w:p>
        </w:tc>
        <w:tc>
          <w:tcPr>
            <w:tcW w:w="845" w:type="dxa"/>
          </w:tcPr>
          <w:p>
            <w:pPr>
              <w:pStyle w:val="TableParagraph"/>
              <w:jc w:val="left"/>
              <w:rPr>
                <w:rFonts w:ascii="Times New Roman"/>
                <w:sz w:val="20"/>
              </w:rPr>
            </w:pPr>
          </w:p>
        </w:tc>
        <w:tc>
          <w:tcPr>
            <w:tcW w:w="1125" w:type="dxa"/>
          </w:tcPr>
          <w:p>
            <w:pPr>
              <w:pStyle w:val="TableParagraph"/>
              <w:jc w:val="left"/>
              <w:rPr>
                <w:rFonts w:ascii="Times New Roman"/>
                <w:sz w:val="20"/>
              </w:rPr>
            </w:pPr>
          </w:p>
        </w:tc>
        <w:tc>
          <w:tcPr>
            <w:tcW w:w="1269" w:type="dxa"/>
          </w:tcPr>
          <w:p>
            <w:pPr>
              <w:pStyle w:val="TableParagraph"/>
              <w:jc w:val="left"/>
              <w:rPr>
                <w:rFonts w:ascii="Times New Roman"/>
                <w:sz w:val="20"/>
              </w:rPr>
            </w:pPr>
          </w:p>
        </w:tc>
        <w:tc>
          <w:tcPr>
            <w:tcW w:w="1154" w:type="dxa"/>
          </w:tcPr>
          <w:p>
            <w:pPr>
              <w:pStyle w:val="TableParagraph"/>
              <w:jc w:val="left"/>
              <w:rPr>
                <w:rFonts w:ascii="Times New Roman"/>
                <w:sz w:val="20"/>
              </w:rPr>
            </w:pPr>
          </w:p>
        </w:tc>
        <w:tc>
          <w:tcPr>
            <w:tcW w:w="870" w:type="dxa"/>
          </w:tcPr>
          <w:p>
            <w:pPr>
              <w:pStyle w:val="TableParagraph"/>
              <w:jc w:val="left"/>
              <w:rPr>
                <w:rFonts w:ascii="Times New Roman"/>
                <w:sz w:val="20"/>
              </w:rPr>
            </w:pPr>
          </w:p>
        </w:tc>
        <w:tc>
          <w:tcPr>
            <w:tcW w:w="2227" w:type="dxa"/>
          </w:tcPr>
          <w:p>
            <w:pPr>
              <w:pStyle w:val="TableParagraph"/>
              <w:jc w:val="left"/>
              <w:rPr>
                <w:rFonts w:ascii="Times New Roman"/>
                <w:sz w:val="20"/>
              </w:rPr>
            </w:pPr>
          </w:p>
        </w:tc>
      </w:tr>
      <w:tr>
        <w:trPr>
          <w:trHeight w:val="285" w:hRule="atLeast"/>
        </w:trPr>
        <w:tc>
          <w:tcPr>
            <w:tcW w:w="672" w:type="dxa"/>
          </w:tcPr>
          <w:p>
            <w:pPr>
              <w:pStyle w:val="TableParagraph"/>
              <w:spacing w:before="22"/>
              <w:ind w:left="4"/>
              <w:rPr>
                <w:rFonts w:ascii="Times New Roman"/>
                <w:sz w:val="21"/>
              </w:rPr>
            </w:pPr>
            <w:r>
              <w:rPr>
                <w:rFonts w:ascii="Times New Roman"/>
                <w:w w:val="100"/>
                <w:sz w:val="21"/>
              </w:rPr>
              <w:t>2</w:t>
            </w:r>
          </w:p>
        </w:tc>
        <w:tc>
          <w:tcPr>
            <w:tcW w:w="1123" w:type="dxa"/>
          </w:tcPr>
          <w:p>
            <w:pPr>
              <w:pStyle w:val="TableParagraph"/>
              <w:jc w:val="left"/>
              <w:rPr>
                <w:rFonts w:ascii="Times New Roman"/>
                <w:sz w:val="20"/>
              </w:rPr>
            </w:pPr>
          </w:p>
        </w:tc>
        <w:tc>
          <w:tcPr>
            <w:tcW w:w="845" w:type="dxa"/>
          </w:tcPr>
          <w:p>
            <w:pPr>
              <w:pStyle w:val="TableParagraph"/>
              <w:jc w:val="left"/>
              <w:rPr>
                <w:rFonts w:ascii="Times New Roman"/>
                <w:sz w:val="20"/>
              </w:rPr>
            </w:pPr>
          </w:p>
        </w:tc>
        <w:tc>
          <w:tcPr>
            <w:tcW w:w="1125" w:type="dxa"/>
          </w:tcPr>
          <w:p>
            <w:pPr>
              <w:pStyle w:val="TableParagraph"/>
              <w:jc w:val="left"/>
              <w:rPr>
                <w:rFonts w:ascii="Times New Roman"/>
                <w:sz w:val="20"/>
              </w:rPr>
            </w:pPr>
          </w:p>
        </w:tc>
        <w:tc>
          <w:tcPr>
            <w:tcW w:w="1269" w:type="dxa"/>
          </w:tcPr>
          <w:p>
            <w:pPr>
              <w:pStyle w:val="TableParagraph"/>
              <w:jc w:val="left"/>
              <w:rPr>
                <w:rFonts w:ascii="Times New Roman"/>
                <w:sz w:val="20"/>
              </w:rPr>
            </w:pPr>
          </w:p>
        </w:tc>
        <w:tc>
          <w:tcPr>
            <w:tcW w:w="1154" w:type="dxa"/>
          </w:tcPr>
          <w:p>
            <w:pPr>
              <w:pStyle w:val="TableParagraph"/>
              <w:jc w:val="left"/>
              <w:rPr>
                <w:rFonts w:ascii="Times New Roman"/>
                <w:sz w:val="20"/>
              </w:rPr>
            </w:pPr>
          </w:p>
        </w:tc>
        <w:tc>
          <w:tcPr>
            <w:tcW w:w="870" w:type="dxa"/>
          </w:tcPr>
          <w:p>
            <w:pPr>
              <w:pStyle w:val="TableParagraph"/>
              <w:jc w:val="left"/>
              <w:rPr>
                <w:rFonts w:ascii="Times New Roman"/>
                <w:sz w:val="20"/>
              </w:rPr>
            </w:pPr>
          </w:p>
        </w:tc>
        <w:tc>
          <w:tcPr>
            <w:tcW w:w="2227" w:type="dxa"/>
          </w:tcPr>
          <w:p>
            <w:pPr>
              <w:pStyle w:val="TableParagraph"/>
              <w:jc w:val="left"/>
              <w:rPr>
                <w:rFonts w:ascii="Times New Roman"/>
                <w:sz w:val="20"/>
              </w:rPr>
            </w:pPr>
          </w:p>
        </w:tc>
      </w:tr>
      <w:tr>
        <w:trPr>
          <w:trHeight w:val="283" w:hRule="atLeast"/>
        </w:trPr>
        <w:tc>
          <w:tcPr>
            <w:tcW w:w="672" w:type="dxa"/>
            <w:vMerge w:val="restart"/>
          </w:tcPr>
          <w:p>
            <w:pPr>
              <w:pStyle w:val="TableParagraph"/>
              <w:spacing w:before="164"/>
              <w:ind w:left="4"/>
              <w:rPr>
                <w:rFonts w:ascii="Times New Roman"/>
                <w:sz w:val="21"/>
              </w:rPr>
            </w:pPr>
            <w:r>
              <w:rPr>
                <w:rFonts w:ascii="Times New Roman"/>
                <w:w w:val="100"/>
                <w:sz w:val="21"/>
              </w:rPr>
              <w:t>3</w:t>
            </w:r>
          </w:p>
        </w:tc>
        <w:tc>
          <w:tcPr>
            <w:tcW w:w="1123" w:type="dxa"/>
            <w:vMerge w:val="restart"/>
          </w:tcPr>
          <w:p>
            <w:pPr>
              <w:pStyle w:val="TableParagraph"/>
              <w:jc w:val="left"/>
              <w:rPr>
                <w:rFonts w:ascii="Times New Roman"/>
                <w:sz w:val="20"/>
              </w:rPr>
            </w:pPr>
          </w:p>
        </w:tc>
        <w:tc>
          <w:tcPr>
            <w:tcW w:w="845" w:type="dxa"/>
          </w:tcPr>
          <w:p>
            <w:pPr>
              <w:pStyle w:val="TableParagraph"/>
              <w:jc w:val="left"/>
              <w:rPr>
                <w:rFonts w:ascii="Times New Roman"/>
                <w:sz w:val="20"/>
              </w:rPr>
            </w:pPr>
          </w:p>
        </w:tc>
        <w:tc>
          <w:tcPr>
            <w:tcW w:w="1125" w:type="dxa"/>
          </w:tcPr>
          <w:p>
            <w:pPr>
              <w:pStyle w:val="TableParagraph"/>
              <w:jc w:val="left"/>
              <w:rPr>
                <w:rFonts w:ascii="Times New Roman"/>
                <w:sz w:val="20"/>
              </w:rPr>
            </w:pPr>
          </w:p>
        </w:tc>
        <w:tc>
          <w:tcPr>
            <w:tcW w:w="1269" w:type="dxa"/>
          </w:tcPr>
          <w:p>
            <w:pPr>
              <w:pStyle w:val="TableParagraph"/>
              <w:jc w:val="left"/>
              <w:rPr>
                <w:rFonts w:ascii="Times New Roman"/>
                <w:sz w:val="20"/>
              </w:rPr>
            </w:pPr>
          </w:p>
        </w:tc>
        <w:tc>
          <w:tcPr>
            <w:tcW w:w="1154" w:type="dxa"/>
            <w:vMerge w:val="restart"/>
          </w:tcPr>
          <w:p>
            <w:pPr>
              <w:pStyle w:val="TableParagraph"/>
              <w:jc w:val="left"/>
              <w:rPr>
                <w:rFonts w:ascii="Times New Roman"/>
                <w:sz w:val="20"/>
              </w:rPr>
            </w:pPr>
          </w:p>
        </w:tc>
        <w:tc>
          <w:tcPr>
            <w:tcW w:w="870" w:type="dxa"/>
          </w:tcPr>
          <w:p>
            <w:pPr>
              <w:pStyle w:val="TableParagraph"/>
              <w:jc w:val="left"/>
              <w:rPr>
                <w:rFonts w:ascii="Times New Roman"/>
                <w:sz w:val="20"/>
              </w:rPr>
            </w:pPr>
          </w:p>
        </w:tc>
        <w:tc>
          <w:tcPr>
            <w:tcW w:w="2227" w:type="dxa"/>
          </w:tcPr>
          <w:p>
            <w:pPr>
              <w:pStyle w:val="TableParagraph"/>
              <w:jc w:val="left"/>
              <w:rPr>
                <w:rFonts w:ascii="Times New Roman"/>
                <w:sz w:val="20"/>
              </w:rPr>
            </w:pPr>
          </w:p>
        </w:tc>
      </w:tr>
      <w:tr>
        <w:trPr>
          <w:trHeight w:val="282" w:hRule="atLeast"/>
        </w:trPr>
        <w:tc>
          <w:tcPr>
            <w:tcW w:w="672" w:type="dxa"/>
            <w:vMerge/>
            <w:tcBorders>
              <w:top w:val="nil"/>
            </w:tcBorders>
          </w:tcPr>
          <w:p>
            <w:pPr>
              <w:rPr>
                <w:sz w:val="2"/>
                <w:szCs w:val="2"/>
              </w:rPr>
            </w:pPr>
          </w:p>
        </w:tc>
        <w:tc>
          <w:tcPr>
            <w:tcW w:w="1123" w:type="dxa"/>
            <w:vMerge/>
            <w:tcBorders>
              <w:top w:val="nil"/>
            </w:tcBorders>
          </w:tcPr>
          <w:p>
            <w:pPr>
              <w:rPr>
                <w:sz w:val="2"/>
                <w:szCs w:val="2"/>
              </w:rPr>
            </w:pPr>
          </w:p>
        </w:tc>
        <w:tc>
          <w:tcPr>
            <w:tcW w:w="845" w:type="dxa"/>
          </w:tcPr>
          <w:p>
            <w:pPr>
              <w:pStyle w:val="TableParagraph"/>
              <w:jc w:val="left"/>
              <w:rPr>
                <w:rFonts w:ascii="Times New Roman"/>
                <w:sz w:val="20"/>
              </w:rPr>
            </w:pPr>
          </w:p>
        </w:tc>
        <w:tc>
          <w:tcPr>
            <w:tcW w:w="1125" w:type="dxa"/>
          </w:tcPr>
          <w:p>
            <w:pPr>
              <w:pStyle w:val="TableParagraph"/>
              <w:jc w:val="left"/>
              <w:rPr>
                <w:rFonts w:ascii="Times New Roman"/>
                <w:sz w:val="20"/>
              </w:rPr>
            </w:pPr>
          </w:p>
        </w:tc>
        <w:tc>
          <w:tcPr>
            <w:tcW w:w="1269" w:type="dxa"/>
          </w:tcPr>
          <w:p>
            <w:pPr>
              <w:pStyle w:val="TableParagraph"/>
              <w:jc w:val="left"/>
              <w:rPr>
                <w:rFonts w:ascii="Times New Roman"/>
                <w:sz w:val="20"/>
              </w:rPr>
            </w:pPr>
          </w:p>
        </w:tc>
        <w:tc>
          <w:tcPr>
            <w:tcW w:w="1154" w:type="dxa"/>
            <w:vMerge/>
            <w:tcBorders>
              <w:top w:val="nil"/>
            </w:tcBorders>
          </w:tcPr>
          <w:p>
            <w:pPr>
              <w:rPr>
                <w:sz w:val="2"/>
                <w:szCs w:val="2"/>
              </w:rPr>
            </w:pPr>
          </w:p>
        </w:tc>
        <w:tc>
          <w:tcPr>
            <w:tcW w:w="870" w:type="dxa"/>
          </w:tcPr>
          <w:p>
            <w:pPr>
              <w:pStyle w:val="TableParagraph"/>
              <w:jc w:val="left"/>
              <w:rPr>
                <w:rFonts w:ascii="Times New Roman"/>
                <w:sz w:val="20"/>
              </w:rPr>
            </w:pPr>
          </w:p>
        </w:tc>
        <w:tc>
          <w:tcPr>
            <w:tcW w:w="2227" w:type="dxa"/>
          </w:tcPr>
          <w:p>
            <w:pPr>
              <w:pStyle w:val="TableParagraph"/>
              <w:jc w:val="left"/>
              <w:rPr>
                <w:rFonts w:ascii="Times New Roman"/>
                <w:sz w:val="20"/>
              </w:rPr>
            </w:pPr>
          </w:p>
        </w:tc>
      </w:tr>
      <w:tr>
        <w:trPr>
          <w:trHeight w:val="285" w:hRule="atLeast"/>
        </w:trPr>
        <w:tc>
          <w:tcPr>
            <w:tcW w:w="672" w:type="dxa"/>
          </w:tcPr>
          <w:p>
            <w:pPr>
              <w:pStyle w:val="TableParagraph"/>
              <w:spacing w:before="22"/>
              <w:ind w:left="4"/>
              <w:rPr>
                <w:rFonts w:ascii="Times New Roman"/>
                <w:sz w:val="21"/>
              </w:rPr>
            </w:pPr>
            <w:r>
              <w:rPr>
                <w:rFonts w:ascii="Times New Roman"/>
                <w:w w:val="100"/>
                <w:sz w:val="21"/>
              </w:rPr>
              <w:t>4</w:t>
            </w:r>
          </w:p>
        </w:tc>
        <w:tc>
          <w:tcPr>
            <w:tcW w:w="1123" w:type="dxa"/>
          </w:tcPr>
          <w:p>
            <w:pPr>
              <w:pStyle w:val="TableParagraph"/>
              <w:jc w:val="left"/>
              <w:rPr>
                <w:rFonts w:ascii="Times New Roman"/>
                <w:sz w:val="20"/>
              </w:rPr>
            </w:pPr>
          </w:p>
        </w:tc>
        <w:tc>
          <w:tcPr>
            <w:tcW w:w="845" w:type="dxa"/>
          </w:tcPr>
          <w:p>
            <w:pPr>
              <w:pStyle w:val="TableParagraph"/>
              <w:jc w:val="left"/>
              <w:rPr>
                <w:rFonts w:ascii="Times New Roman"/>
                <w:sz w:val="20"/>
              </w:rPr>
            </w:pPr>
          </w:p>
        </w:tc>
        <w:tc>
          <w:tcPr>
            <w:tcW w:w="1125" w:type="dxa"/>
          </w:tcPr>
          <w:p>
            <w:pPr>
              <w:pStyle w:val="TableParagraph"/>
              <w:jc w:val="left"/>
              <w:rPr>
                <w:rFonts w:ascii="Times New Roman"/>
                <w:sz w:val="20"/>
              </w:rPr>
            </w:pPr>
          </w:p>
        </w:tc>
        <w:tc>
          <w:tcPr>
            <w:tcW w:w="1269" w:type="dxa"/>
          </w:tcPr>
          <w:p>
            <w:pPr>
              <w:pStyle w:val="TableParagraph"/>
              <w:jc w:val="left"/>
              <w:rPr>
                <w:rFonts w:ascii="Times New Roman"/>
                <w:sz w:val="20"/>
              </w:rPr>
            </w:pPr>
          </w:p>
        </w:tc>
        <w:tc>
          <w:tcPr>
            <w:tcW w:w="1154" w:type="dxa"/>
          </w:tcPr>
          <w:p>
            <w:pPr>
              <w:pStyle w:val="TableParagraph"/>
              <w:jc w:val="left"/>
              <w:rPr>
                <w:rFonts w:ascii="Times New Roman"/>
                <w:sz w:val="20"/>
              </w:rPr>
            </w:pPr>
          </w:p>
        </w:tc>
        <w:tc>
          <w:tcPr>
            <w:tcW w:w="870" w:type="dxa"/>
          </w:tcPr>
          <w:p>
            <w:pPr>
              <w:pStyle w:val="TableParagraph"/>
              <w:jc w:val="left"/>
              <w:rPr>
                <w:rFonts w:ascii="Times New Roman"/>
                <w:sz w:val="20"/>
              </w:rPr>
            </w:pPr>
          </w:p>
        </w:tc>
        <w:tc>
          <w:tcPr>
            <w:tcW w:w="2227" w:type="dxa"/>
          </w:tcPr>
          <w:p>
            <w:pPr>
              <w:pStyle w:val="TableParagraph"/>
              <w:jc w:val="left"/>
              <w:rPr>
                <w:rFonts w:ascii="Times New Roman"/>
                <w:sz w:val="20"/>
              </w:rPr>
            </w:pPr>
          </w:p>
        </w:tc>
      </w:tr>
      <w:tr>
        <w:trPr>
          <w:trHeight w:val="282" w:hRule="atLeast"/>
        </w:trPr>
        <w:tc>
          <w:tcPr>
            <w:tcW w:w="672" w:type="dxa"/>
          </w:tcPr>
          <w:p>
            <w:pPr>
              <w:pStyle w:val="TableParagraph"/>
              <w:spacing w:before="20"/>
              <w:ind w:left="4"/>
              <w:rPr>
                <w:rFonts w:ascii="Times New Roman"/>
                <w:sz w:val="21"/>
              </w:rPr>
            </w:pPr>
            <w:r>
              <w:rPr>
                <w:rFonts w:ascii="Times New Roman"/>
                <w:w w:val="100"/>
                <w:sz w:val="21"/>
              </w:rPr>
              <w:t>5</w:t>
            </w:r>
          </w:p>
        </w:tc>
        <w:tc>
          <w:tcPr>
            <w:tcW w:w="1123" w:type="dxa"/>
          </w:tcPr>
          <w:p>
            <w:pPr>
              <w:pStyle w:val="TableParagraph"/>
              <w:jc w:val="left"/>
              <w:rPr>
                <w:rFonts w:ascii="Times New Roman"/>
                <w:sz w:val="20"/>
              </w:rPr>
            </w:pPr>
          </w:p>
        </w:tc>
        <w:tc>
          <w:tcPr>
            <w:tcW w:w="845" w:type="dxa"/>
          </w:tcPr>
          <w:p>
            <w:pPr>
              <w:pStyle w:val="TableParagraph"/>
              <w:jc w:val="left"/>
              <w:rPr>
                <w:rFonts w:ascii="Times New Roman"/>
                <w:sz w:val="20"/>
              </w:rPr>
            </w:pPr>
          </w:p>
        </w:tc>
        <w:tc>
          <w:tcPr>
            <w:tcW w:w="1125" w:type="dxa"/>
          </w:tcPr>
          <w:p>
            <w:pPr>
              <w:pStyle w:val="TableParagraph"/>
              <w:jc w:val="left"/>
              <w:rPr>
                <w:rFonts w:ascii="Times New Roman"/>
                <w:sz w:val="20"/>
              </w:rPr>
            </w:pPr>
          </w:p>
        </w:tc>
        <w:tc>
          <w:tcPr>
            <w:tcW w:w="1269" w:type="dxa"/>
          </w:tcPr>
          <w:p>
            <w:pPr>
              <w:pStyle w:val="TableParagraph"/>
              <w:jc w:val="left"/>
              <w:rPr>
                <w:rFonts w:ascii="Times New Roman"/>
                <w:sz w:val="20"/>
              </w:rPr>
            </w:pPr>
          </w:p>
        </w:tc>
        <w:tc>
          <w:tcPr>
            <w:tcW w:w="1154" w:type="dxa"/>
          </w:tcPr>
          <w:p>
            <w:pPr>
              <w:pStyle w:val="TableParagraph"/>
              <w:jc w:val="left"/>
              <w:rPr>
                <w:rFonts w:ascii="Times New Roman"/>
                <w:sz w:val="20"/>
              </w:rPr>
            </w:pPr>
          </w:p>
        </w:tc>
        <w:tc>
          <w:tcPr>
            <w:tcW w:w="870" w:type="dxa"/>
          </w:tcPr>
          <w:p>
            <w:pPr>
              <w:pStyle w:val="TableParagraph"/>
              <w:jc w:val="left"/>
              <w:rPr>
                <w:rFonts w:ascii="Times New Roman"/>
                <w:sz w:val="20"/>
              </w:rPr>
            </w:pPr>
          </w:p>
        </w:tc>
        <w:tc>
          <w:tcPr>
            <w:tcW w:w="2227"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生产工艺流程</w:t>
      </w:r>
    </w:p>
    <w:p>
      <w:pPr>
        <w:spacing w:before="161"/>
        <w:ind w:left="701" w:right="0" w:firstLine="0"/>
        <w:jc w:val="left"/>
        <w:rPr>
          <w:b/>
          <w:sz w:val="24"/>
        </w:rPr>
      </w:pPr>
      <w:r>
        <w:rPr>
          <w:rFonts w:ascii="Times New Roman" w:eastAsia="Times New Roman"/>
          <w:b/>
          <w:sz w:val="24"/>
        </w:rPr>
        <w:t>1</w:t>
      </w:r>
      <w:r>
        <w:rPr>
          <w:b/>
          <w:sz w:val="24"/>
        </w:rPr>
        <w:t>、生产工艺流程</w:t>
      </w:r>
    </w:p>
    <w:p>
      <w:pPr>
        <w:spacing w:before="157"/>
        <w:ind w:left="641" w:right="0" w:firstLine="0"/>
        <w:jc w:val="left"/>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7"/>
        </w:rPr>
      </w:pPr>
    </w:p>
    <w:p>
      <w:pPr>
        <w:pStyle w:val="Heading4"/>
        <w:tabs>
          <w:tab w:pos="1222" w:val="left" w:leader="none"/>
        </w:tabs>
        <w:spacing w:before="74"/>
        <w:ind w:left="0" w:right="15"/>
        <w:jc w:val="center"/>
      </w:pPr>
      <w:r>
        <w:rPr/>
        <w:t>图</w:t>
      </w:r>
      <w:r>
        <w:rPr>
          <w:spacing w:val="-60"/>
        </w:rPr>
        <w:t> </w:t>
      </w:r>
      <w:r>
        <w:rPr>
          <w:rFonts w:ascii="Times New Roman" w:eastAsia="Times New Roman"/>
        </w:rPr>
        <w:t>3.3.2-1</w:t>
        <w:tab/>
        <w:t>4-</w:t>
      </w:r>
      <w:r>
        <w:rPr/>
        <w:t>硝基邻二甲苯现状生产工艺流程图</w:t>
      </w:r>
    </w:p>
    <w:p>
      <w:pPr>
        <w:spacing w:before="161"/>
        <w:ind w:left="701" w:right="0" w:firstLine="0"/>
        <w:jc w:val="left"/>
        <w:rPr>
          <w:b/>
          <w:sz w:val="24"/>
        </w:rPr>
      </w:pPr>
      <w:r>
        <w:rPr>
          <w:rFonts w:ascii="Times New Roman" w:eastAsia="Times New Roman"/>
          <w:b/>
          <w:sz w:val="24"/>
        </w:rPr>
        <w:t>2</w:t>
      </w:r>
      <w:r>
        <w:rPr>
          <w:b/>
          <w:sz w:val="24"/>
        </w:rPr>
        <w:t>、反应原理</w:t>
      </w:r>
    </w:p>
    <w:p>
      <w:pPr>
        <w:spacing w:before="161"/>
        <w:ind w:left="701" w:right="0" w:firstLine="0"/>
        <w:jc w:val="left"/>
        <w:rPr>
          <w:b/>
          <w:sz w:val="24"/>
        </w:rPr>
      </w:pPr>
      <w:r>
        <w:rPr>
          <w:b/>
          <w:sz w:val="24"/>
        </w:rPr>
        <w:t>①硝化反应</w:t>
      </w:r>
    </w:p>
    <w:p>
      <w:pPr>
        <w:spacing w:before="157"/>
        <w:ind w:left="641" w:right="0" w:firstLine="0"/>
        <w:jc w:val="left"/>
        <w:rPr>
          <w:b/>
          <w:sz w:val="21"/>
        </w:rPr>
      </w:pPr>
      <w:r>
        <w:rPr>
          <w:b/>
          <w:color w:val="FF0000"/>
          <w:sz w:val="21"/>
        </w:rPr>
        <w:t>涉密删除</w:t>
      </w:r>
    </w:p>
    <w:p>
      <w:pPr>
        <w:spacing w:after="0"/>
        <w:jc w:val="left"/>
        <w:rPr>
          <w:sz w:val="21"/>
        </w:rPr>
        <w:sectPr>
          <w:pgSz w:w="11910" w:h="16850"/>
          <w:pgMar w:header="730" w:footer="690" w:top="1340" w:bottom="880" w:left="1200" w:right="1180"/>
        </w:sectPr>
      </w:pPr>
    </w:p>
    <w:p>
      <w:pPr>
        <w:pStyle w:val="BodyText"/>
        <w:spacing w:before="64"/>
        <w:ind w:left="698"/>
      </w:pPr>
      <w:r>
        <w:rPr/>
        <w:t>主要副反应如下：</w:t>
      </w:r>
    </w:p>
    <w:p>
      <w:pPr>
        <w:spacing w:before="157"/>
        <w:ind w:left="641" w:right="0" w:firstLine="0"/>
        <w:jc w:val="left"/>
        <w:rPr>
          <w:b/>
          <w:sz w:val="21"/>
        </w:rPr>
      </w:pPr>
      <w:r>
        <w:rPr>
          <w:b/>
          <w:color w:val="FF0000"/>
          <w:sz w:val="21"/>
        </w:rPr>
        <w:t>涉密删除</w:t>
      </w:r>
    </w:p>
    <w:p>
      <w:pPr>
        <w:pStyle w:val="BodyText"/>
        <w:rPr>
          <w:b/>
          <w:sz w:val="20"/>
        </w:rPr>
      </w:pPr>
    </w:p>
    <w:p>
      <w:pPr>
        <w:pStyle w:val="BodyText"/>
        <w:spacing w:before="4"/>
        <w:rPr>
          <w:b/>
          <w:sz w:val="23"/>
        </w:rPr>
      </w:pPr>
    </w:p>
    <w:p>
      <w:pPr>
        <w:pStyle w:val="Heading4"/>
      </w:pPr>
      <w:r>
        <w:rPr/>
        <w:t>②酸回收</w:t>
      </w:r>
    </w:p>
    <w:p>
      <w:pPr>
        <w:spacing w:before="160"/>
        <w:ind w:left="698" w:right="0" w:firstLine="0"/>
        <w:jc w:val="left"/>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Heading4"/>
        <w:numPr>
          <w:ilvl w:val="3"/>
          <w:numId w:val="13"/>
        </w:numPr>
        <w:tabs>
          <w:tab w:pos="1410" w:val="left" w:leader="none"/>
        </w:tabs>
        <w:spacing w:line="240" w:lineRule="auto" w:before="161" w:after="0"/>
        <w:ind w:left="1409" w:right="0" w:hanging="721"/>
        <w:jc w:val="left"/>
      </w:pPr>
      <w:r>
        <w:rPr/>
        <w:t>污染物排放情况</w:t>
      </w:r>
    </w:p>
    <w:p>
      <w:pPr>
        <w:pStyle w:val="BodyText"/>
        <w:spacing w:before="159"/>
        <w:ind w:left="698"/>
      </w:pPr>
      <w:r>
        <w:rPr/>
        <w:t>从现场调查来看，该生产线污染物产生及排放情况如下。</w:t>
      </w:r>
    </w:p>
    <w:p>
      <w:pPr>
        <w:pStyle w:val="BodyText"/>
        <w:spacing w:before="160"/>
        <w:ind w:left="698"/>
      </w:pPr>
      <w:r>
        <w:rPr>
          <w:rFonts w:ascii="Times New Roman" w:eastAsia="Times New Roman"/>
        </w:rPr>
        <w:t>1</w:t>
      </w:r>
      <w:r>
        <w:rPr/>
        <w:t>、废水</w:t>
      </w:r>
    </w:p>
    <w:p>
      <w:pPr>
        <w:pStyle w:val="BodyText"/>
        <w:spacing w:before="5"/>
        <w:rPr>
          <w:sz w:val="23"/>
        </w:rPr>
      </w:pPr>
    </w:p>
    <w:p>
      <w:pPr>
        <w:pStyle w:val="Heading4"/>
        <w:tabs>
          <w:tab w:pos="1222" w:val="left" w:leader="none"/>
        </w:tabs>
        <w:spacing w:before="1" w:after="28"/>
        <w:ind w:left="0" w:right="17"/>
        <w:jc w:val="center"/>
      </w:pPr>
      <w:r>
        <w:rPr/>
        <w:t>表</w:t>
      </w:r>
      <w:r>
        <w:rPr>
          <w:spacing w:val="-60"/>
        </w:rPr>
        <w:t> </w:t>
      </w:r>
      <w:r>
        <w:rPr>
          <w:rFonts w:ascii="Times New Roman" w:eastAsia="Times New Roman"/>
        </w:rPr>
        <w:t>3.3.2-4</w:t>
        <w:tab/>
      </w:r>
      <w:r>
        <w:rPr/>
        <w:t>该生产线达产废水产生情况汇总表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5"/>
        <w:gridCol w:w="2350"/>
        <w:gridCol w:w="1822"/>
        <w:gridCol w:w="1824"/>
        <w:gridCol w:w="1909"/>
      </w:tblGrid>
      <w:tr>
        <w:trPr>
          <w:trHeight w:val="285" w:hRule="atLeast"/>
        </w:trPr>
        <w:tc>
          <w:tcPr>
            <w:tcW w:w="3735" w:type="dxa"/>
            <w:gridSpan w:val="2"/>
          </w:tcPr>
          <w:p>
            <w:pPr>
              <w:pStyle w:val="TableParagraph"/>
              <w:spacing w:line="257" w:lineRule="exact" w:before="8"/>
              <w:ind w:left="1424" w:right="1416"/>
              <w:rPr>
                <w:b/>
                <w:sz w:val="21"/>
              </w:rPr>
            </w:pPr>
            <w:r>
              <w:rPr>
                <w:b/>
                <w:sz w:val="21"/>
              </w:rPr>
              <w:t>废水名称</w:t>
            </w:r>
          </w:p>
        </w:tc>
        <w:tc>
          <w:tcPr>
            <w:tcW w:w="1822" w:type="dxa"/>
          </w:tcPr>
          <w:p>
            <w:pPr>
              <w:pStyle w:val="TableParagraph"/>
              <w:spacing w:line="264" w:lineRule="exact" w:before="1"/>
              <w:ind w:left="39" w:right="28"/>
              <w:rPr>
                <w:b/>
                <w:sz w:val="21"/>
              </w:rPr>
            </w:pPr>
            <w:r>
              <w:rPr>
                <w:b/>
                <w:sz w:val="21"/>
              </w:rPr>
              <w:t>污染因子</w:t>
            </w:r>
          </w:p>
        </w:tc>
        <w:tc>
          <w:tcPr>
            <w:tcW w:w="1824" w:type="dxa"/>
          </w:tcPr>
          <w:p>
            <w:pPr>
              <w:pStyle w:val="TableParagraph"/>
              <w:spacing w:line="257" w:lineRule="exact" w:before="8"/>
              <w:ind w:left="107" w:right="-15"/>
              <w:rPr>
                <w:b/>
                <w:sz w:val="21"/>
              </w:rPr>
            </w:pPr>
            <w:r>
              <w:rPr>
                <w:b/>
                <w:spacing w:val="-1"/>
                <w:sz w:val="21"/>
              </w:rPr>
              <w:t>达产产生量</w:t>
            </w:r>
            <w:r>
              <w:rPr>
                <w:b/>
                <w:sz w:val="21"/>
              </w:rPr>
              <w:t>（</w:t>
            </w:r>
            <w:r>
              <w:rPr>
                <w:rFonts w:ascii="Times New Roman" w:eastAsia="Times New Roman"/>
                <w:b/>
                <w:sz w:val="21"/>
              </w:rPr>
              <w:t>t/a</w:t>
            </w:r>
            <w:r>
              <w:rPr>
                <w:b/>
                <w:sz w:val="21"/>
              </w:rPr>
              <w:t>）</w:t>
            </w:r>
          </w:p>
        </w:tc>
        <w:tc>
          <w:tcPr>
            <w:tcW w:w="1909" w:type="dxa"/>
          </w:tcPr>
          <w:p>
            <w:pPr>
              <w:pStyle w:val="TableParagraph"/>
              <w:spacing w:line="264" w:lineRule="exact" w:before="1"/>
              <w:ind w:left="318"/>
              <w:jc w:val="left"/>
              <w:rPr>
                <w:b/>
                <w:sz w:val="21"/>
              </w:rPr>
            </w:pPr>
            <w:r>
              <w:rPr>
                <w:b/>
                <w:sz w:val="21"/>
              </w:rPr>
              <w:t>实际处理措施</w:t>
            </w:r>
          </w:p>
        </w:tc>
      </w:tr>
      <w:tr>
        <w:trPr>
          <w:trHeight w:val="282" w:hRule="atLeast"/>
        </w:trPr>
        <w:tc>
          <w:tcPr>
            <w:tcW w:w="1385" w:type="dxa"/>
            <w:vMerge w:val="restart"/>
          </w:tcPr>
          <w:p>
            <w:pPr>
              <w:pStyle w:val="TableParagraph"/>
              <w:jc w:val="left"/>
              <w:rPr>
                <w:b/>
                <w:sz w:val="20"/>
              </w:rPr>
            </w:pPr>
          </w:p>
          <w:p>
            <w:pPr>
              <w:pStyle w:val="TableParagraph"/>
              <w:jc w:val="left"/>
              <w:rPr>
                <w:b/>
                <w:sz w:val="20"/>
              </w:rPr>
            </w:pPr>
          </w:p>
          <w:p>
            <w:pPr>
              <w:pStyle w:val="TableParagraph"/>
              <w:spacing w:before="9"/>
              <w:jc w:val="left"/>
              <w:rPr>
                <w:b/>
                <w:sz w:val="14"/>
              </w:rPr>
            </w:pPr>
          </w:p>
          <w:p>
            <w:pPr>
              <w:pStyle w:val="TableParagraph"/>
              <w:spacing w:line="244" w:lineRule="auto" w:before="1"/>
              <w:ind w:left="482" w:right="170" w:hanging="298"/>
              <w:jc w:val="left"/>
              <w:rPr>
                <w:sz w:val="21"/>
              </w:rPr>
            </w:pPr>
            <w:r>
              <w:rPr>
                <w:rFonts w:ascii="Times New Roman" w:eastAsia="Times New Roman"/>
                <w:sz w:val="21"/>
              </w:rPr>
              <w:t>4-</w:t>
            </w:r>
            <w:r>
              <w:rPr>
                <w:sz w:val="21"/>
              </w:rPr>
              <w:t>硝基邻二甲苯</w:t>
            </w:r>
          </w:p>
        </w:tc>
        <w:tc>
          <w:tcPr>
            <w:tcW w:w="2350" w:type="dxa"/>
          </w:tcPr>
          <w:p>
            <w:pPr>
              <w:pStyle w:val="TableParagraph"/>
              <w:spacing w:line="257" w:lineRule="exact" w:before="6"/>
              <w:ind w:left="310" w:right="306"/>
              <w:rPr>
                <w:sz w:val="21"/>
              </w:rPr>
            </w:pPr>
            <w:r>
              <w:rPr>
                <w:sz w:val="21"/>
              </w:rPr>
              <w:t>废酸蒸馏废水</w:t>
            </w:r>
          </w:p>
        </w:tc>
        <w:tc>
          <w:tcPr>
            <w:tcW w:w="1822" w:type="dxa"/>
          </w:tcPr>
          <w:p>
            <w:pPr>
              <w:pStyle w:val="TableParagraph"/>
              <w:spacing w:line="262" w:lineRule="exact" w:before="1"/>
              <w:ind w:left="39" w:right="28"/>
              <w:rPr>
                <w:sz w:val="21"/>
              </w:rPr>
            </w:pPr>
            <w:r>
              <w:rPr>
                <w:rFonts w:ascii="Times New Roman" w:eastAsia="Times New Roman"/>
                <w:sz w:val="21"/>
              </w:rPr>
              <w:t>COD</w:t>
            </w:r>
            <w:r>
              <w:rPr>
                <w:sz w:val="21"/>
              </w:rPr>
              <w:t>、氨氮、总氮</w:t>
            </w:r>
          </w:p>
        </w:tc>
        <w:tc>
          <w:tcPr>
            <w:tcW w:w="1824" w:type="dxa"/>
          </w:tcPr>
          <w:p>
            <w:pPr>
              <w:pStyle w:val="TableParagraph"/>
              <w:spacing w:before="19"/>
              <w:ind w:left="107" w:right="98"/>
              <w:rPr>
                <w:rFonts w:ascii="Times New Roman"/>
                <w:sz w:val="21"/>
              </w:rPr>
            </w:pPr>
            <w:r>
              <w:rPr>
                <w:rFonts w:ascii="Times New Roman"/>
                <w:sz w:val="21"/>
              </w:rPr>
              <w:t>18720</w:t>
            </w:r>
          </w:p>
        </w:tc>
        <w:tc>
          <w:tcPr>
            <w:tcW w:w="1909" w:type="dxa"/>
            <w:vMerge w:val="restart"/>
          </w:tcPr>
          <w:p>
            <w:pPr>
              <w:pStyle w:val="TableParagraph"/>
              <w:spacing w:before="7"/>
              <w:jc w:val="left"/>
              <w:rPr>
                <w:b/>
                <w:sz w:val="22"/>
              </w:rPr>
            </w:pPr>
          </w:p>
          <w:p>
            <w:pPr>
              <w:pStyle w:val="TableParagraph"/>
              <w:spacing w:line="242" w:lineRule="auto"/>
              <w:ind w:left="110" w:right="104"/>
              <w:rPr>
                <w:sz w:val="21"/>
              </w:rPr>
            </w:pPr>
            <w:r>
              <w:rPr>
                <w:sz w:val="21"/>
              </w:rPr>
              <w:t>收集后进入厂区污水处理站处理达标纳管</w:t>
            </w:r>
          </w:p>
        </w:tc>
      </w:tr>
      <w:tr>
        <w:trPr>
          <w:trHeight w:val="544" w:hRule="atLeast"/>
        </w:trPr>
        <w:tc>
          <w:tcPr>
            <w:tcW w:w="1385" w:type="dxa"/>
            <w:vMerge/>
            <w:tcBorders>
              <w:top w:val="nil"/>
            </w:tcBorders>
          </w:tcPr>
          <w:p>
            <w:pPr>
              <w:rPr>
                <w:sz w:val="2"/>
                <w:szCs w:val="2"/>
              </w:rPr>
            </w:pPr>
          </w:p>
        </w:tc>
        <w:tc>
          <w:tcPr>
            <w:tcW w:w="2350" w:type="dxa"/>
          </w:tcPr>
          <w:p>
            <w:pPr>
              <w:pStyle w:val="TableParagraph"/>
              <w:spacing w:before="137"/>
              <w:ind w:left="312" w:right="306"/>
              <w:rPr>
                <w:sz w:val="21"/>
              </w:rPr>
            </w:pPr>
            <w:r>
              <w:rPr>
                <w:sz w:val="21"/>
              </w:rPr>
              <w:t>硝化液水洗废水</w:t>
            </w:r>
          </w:p>
        </w:tc>
        <w:tc>
          <w:tcPr>
            <w:tcW w:w="1822" w:type="dxa"/>
          </w:tcPr>
          <w:p>
            <w:pPr>
              <w:pStyle w:val="TableParagraph"/>
              <w:spacing w:before="1"/>
              <w:ind w:left="107" w:right="-15"/>
              <w:jc w:val="left"/>
              <w:rPr>
                <w:sz w:val="21"/>
              </w:rPr>
            </w:pPr>
            <w:r>
              <w:rPr>
                <w:rFonts w:ascii="Times New Roman" w:eastAsia="Times New Roman"/>
                <w:sz w:val="21"/>
              </w:rPr>
              <w:t>COD</w:t>
            </w:r>
            <w:r>
              <w:rPr>
                <w:spacing w:val="-31"/>
                <w:sz w:val="21"/>
              </w:rPr>
              <w:t>、氨氮、总氮、</w:t>
            </w:r>
          </w:p>
          <w:p>
            <w:pPr>
              <w:pStyle w:val="TableParagraph"/>
              <w:spacing w:line="250" w:lineRule="exact" w:before="4"/>
              <w:ind w:left="174"/>
              <w:jc w:val="left"/>
              <w:rPr>
                <w:sz w:val="21"/>
              </w:rPr>
            </w:pPr>
            <w:r>
              <w:rPr>
                <w:sz w:val="21"/>
              </w:rPr>
              <w:t>硝基苯、挥发酚</w:t>
            </w:r>
          </w:p>
        </w:tc>
        <w:tc>
          <w:tcPr>
            <w:tcW w:w="1824" w:type="dxa"/>
          </w:tcPr>
          <w:p>
            <w:pPr>
              <w:pStyle w:val="TableParagraph"/>
              <w:spacing w:before="151"/>
              <w:ind w:left="107" w:right="98"/>
              <w:rPr>
                <w:rFonts w:ascii="Times New Roman"/>
                <w:sz w:val="21"/>
              </w:rPr>
            </w:pPr>
            <w:r>
              <w:rPr>
                <w:rFonts w:ascii="Times New Roman"/>
                <w:sz w:val="21"/>
              </w:rPr>
              <w:t>30240</w:t>
            </w:r>
          </w:p>
        </w:tc>
        <w:tc>
          <w:tcPr>
            <w:tcW w:w="1909" w:type="dxa"/>
            <w:vMerge/>
            <w:tcBorders>
              <w:top w:val="nil"/>
            </w:tcBorders>
          </w:tcPr>
          <w:p>
            <w:pPr>
              <w:rPr>
                <w:sz w:val="2"/>
                <w:szCs w:val="2"/>
              </w:rPr>
            </w:pPr>
          </w:p>
        </w:tc>
      </w:tr>
      <w:tr>
        <w:trPr>
          <w:trHeight w:val="544" w:hRule="atLeast"/>
        </w:trPr>
        <w:tc>
          <w:tcPr>
            <w:tcW w:w="1385" w:type="dxa"/>
            <w:vMerge/>
            <w:tcBorders>
              <w:top w:val="nil"/>
            </w:tcBorders>
          </w:tcPr>
          <w:p>
            <w:pPr>
              <w:rPr>
                <w:sz w:val="2"/>
                <w:szCs w:val="2"/>
              </w:rPr>
            </w:pPr>
          </w:p>
        </w:tc>
        <w:tc>
          <w:tcPr>
            <w:tcW w:w="2350" w:type="dxa"/>
          </w:tcPr>
          <w:p>
            <w:pPr>
              <w:pStyle w:val="TableParagraph"/>
              <w:spacing w:before="137"/>
              <w:ind w:left="312" w:right="306"/>
              <w:rPr>
                <w:sz w:val="21"/>
              </w:rPr>
            </w:pPr>
            <w:r>
              <w:rPr>
                <w:sz w:val="21"/>
              </w:rPr>
              <w:t>干燥冷凝废水</w:t>
            </w:r>
          </w:p>
        </w:tc>
        <w:tc>
          <w:tcPr>
            <w:tcW w:w="1822" w:type="dxa"/>
          </w:tcPr>
          <w:p>
            <w:pPr>
              <w:pStyle w:val="TableParagraph"/>
              <w:spacing w:before="1"/>
              <w:ind w:left="107" w:right="-15"/>
              <w:jc w:val="left"/>
              <w:rPr>
                <w:sz w:val="21"/>
              </w:rPr>
            </w:pPr>
            <w:r>
              <w:rPr>
                <w:rFonts w:ascii="Times New Roman" w:eastAsia="Times New Roman"/>
                <w:sz w:val="21"/>
              </w:rPr>
              <w:t>COD</w:t>
            </w:r>
            <w:r>
              <w:rPr>
                <w:spacing w:val="-31"/>
                <w:sz w:val="21"/>
              </w:rPr>
              <w:t>、氨氮、总氮、</w:t>
            </w:r>
          </w:p>
          <w:p>
            <w:pPr>
              <w:pStyle w:val="TableParagraph"/>
              <w:spacing w:line="250" w:lineRule="exact" w:before="4"/>
              <w:ind w:left="107"/>
              <w:jc w:val="left"/>
              <w:rPr>
                <w:sz w:val="21"/>
              </w:rPr>
            </w:pPr>
            <w:r>
              <w:rPr>
                <w:sz w:val="21"/>
              </w:rPr>
              <w:t>硝基苯、邻二甲苯</w:t>
            </w:r>
          </w:p>
        </w:tc>
        <w:tc>
          <w:tcPr>
            <w:tcW w:w="1824" w:type="dxa"/>
          </w:tcPr>
          <w:p>
            <w:pPr>
              <w:pStyle w:val="TableParagraph"/>
              <w:spacing w:before="151"/>
              <w:ind w:left="107" w:right="98"/>
              <w:rPr>
                <w:rFonts w:ascii="Times New Roman"/>
                <w:sz w:val="21"/>
              </w:rPr>
            </w:pPr>
            <w:r>
              <w:rPr>
                <w:rFonts w:ascii="Times New Roman"/>
                <w:sz w:val="21"/>
              </w:rPr>
              <w:t>528.48</w:t>
            </w:r>
          </w:p>
        </w:tc>
        <w:tc>
          <w:tcPr>
            <w:tcW w:w="1909" w:type="dxa"/>
            <w:vMerge/>
            <w:tcBorders>
              <w:top w:val="nil"/>
            </w:tcBorders>
          </w:tcPr>
          <w:p>
            <w:pPr>
              <w:rPr>
                <w:sz w:val="2"/>
                <w:szCs w:val="2"/>
              </w:rPr>
            </w:pPr>
          </w:p>
        </w:tc>
      </w:tr>
      <w:tr>
        <w:trPr>
          <w:trHeight w:val="546" w:hRule="atLeast"/>
        </w:trPr>
        <w:tc>
          <w:tcPr>
            <w:tcW w:w="1385" w:type="dxa"/>
            <w:vMerge/>
            <w:tcBorders>
              <w:top w:val="nil"/>
            </w:tcBorders>
          </w:tcPr>
          <w:p>
            <w:pPr>
              <w:rPr>
                <w:sz w:val="2"/>
                <w:szCs w:val="2"/>
              </w:rPr>
            </w:pPr>
          </w:p>
        </w:tc>
        <w:tc>
          <w:tcPr>
            <w:tcW w:w="2350" w:type="dxa"/>
          </w:tcPr>
          <w:p>
            <w:pPr>
              <w:pStyle w:val="TableParagraph"/>
              <w:spacing w:before="137"/>
              <w:ind w:left="314" w:right="306"/>
              <w:rPr>
                <w:sz w:val="21"/>
              </w:rPr>
            </w:pPr>
            <w:r>
              <w:rPr>
                <w:sz w:val="21"/>
              </w:rPr>
              <w:t>硝酸吸收装置废水</w:t>
            </w:r>
          </w:p>
        </w:tc>
        <w:tc>
          <w:tcPr>
            <w:tcW w:w="1822" w:type="dxa"/>
          </w:tcPr>
          <w:p>
            <w:pPr>
              <w:pStyle w:val="TableParagraph"/>
              <w:spacing w:before="151"/>
              <w:ind w:left="7"/>
              <w:rPr>
                <w:rFonts w:ascii="Times New Roman"/>
                <w:sz w:val="21"/>
              </w:rPr>
            </w:pPr>
            <w:r>
              <w:rPr>
                <w:rFonts w:ascii="Times New Roman"/>
                <w:w w:val="100"/>
                <w:sz w:val="21"/>
              </w:rPr>
              <w:t>/</w:t>
            </w:r>
          </w:p>
        </w:tc>
        <w:tc>
          <w:tcPr>
            <w:tcW w:w="1824" w:type="dxa"/>
          </w:tcPr>
          <w:p>
            <w:pPr>
              <w:pStyle w:val="TableParagraph"/>
              <w:spacing w:before="151"/>
              <w:ind w:left="107" w:right="98"/>
              <w:rPr>
                <w:rFonts w:ascii="Times New Roman"/>
                <w:sz w:val="21"/>
              </w:rPr>
            </w:pPr>
            <w:r>
              <w:rPr>
                <w:rFonts w:ascii="Times New Roman"/>
                <w:sz w:val="21"/>
              </w:rPr>
              <w:t>160</w:t>
            </w:r>
          </w:p>
        </w:tc>
        <w:tc>
          <w:tcPr>
            <w:tcW w:w="1909" w:type="dxa"/>
          </w:tcPr>
          <w:p>
            <w:pPr>
              <w:pStyle w:val="TableParagraph"/>
              <w:spacing w:before="3"/>
              <w:ind w:left="136"/>
              <w:jc w:val="left"/>
              <w:rPr>
                <w:rFonts w:ascii="Times New Roman" w:eastAsia="Times New Roman"/>
                <w:sz w:val="21"/>
              </w:rPr>
            </w:pPr>
            <w:r>
              <w:rPr>
                <w:spacing w:val="-10"/>
                <w:sz w:val="21"/>
              </w:rPr>
              <w:t>吸收产生约 </w:t>
            </w:r>
            <w:r>
              <w:rPr>
                <w:rFonts w:ascii="Times New Roman" w:eastAsia="Times New Roman"/>
                <w:sz w:val="21"/>
              </w:rPr>
              <w:t>160t/a</w:t>
            </w:r>
          </w:p>
          <w:p>
            <w:pPr>
              <w:pStyle w:val="TableParagraph"/>
              <w:spacing w:line="252" w:lineRule="exact" w:before="2"/>
              <w:ind w:left="110"/>
              <w:jc w:val="left"/>
              <w:rPr>
                <w:sz w:val="21"/>
              </w:rPr>
            </w:pPr>
            <w:r>
              <w:rPr>
                <w:spacing w:val="-3"/>
                <w:sz w:val="21"/>
              </w:rPr>
              <w:t>稀硝酸回用于生产</w:t>
            </w:r>
          </w:p>
        </w:tc>
      </w:tr>
    </w:tbl>
    <w:p>
      <w:pPr>
        <w:spacing w:after="0" w:line="252" w:lineRule="exact"/>
        <w:jc w:val="left"/>
        <w:rPr>
          <w:sz w:val="21"/>
        </w:rPr>
        <w:sectPr>
          <w:pgSz w:w="11910" w:h="16850"/>
          <w:pgMar w:header="730" w:footer="690" w:top="1340" w:bottom="880" w:left="1200" w:right="1180"/>
        </w:sectPr>
      </w:pPr>
    </w:p>
    <w:p>
      <w:pPr>
        <w:pStyle w:val="BodyText"/>
        <w:spacing w:before="10"/>
        <w:rPr>
          <w:b/>
          <w:sz w:val="4"/>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5"/>
        <w:gridCol w:w="2350"/>
        <w:gridCol w:w="1822"/>
        <w:gridCol w:w="1824"/>
        <w:gridCol w:w="1909"/>
      </w:tblGrid>
      <w:tr>
        <w:trPr>
          <w:trHeight w:val="283" w:hRule="atLeast"/>
        </w:trPr>
        <w:tc>
          <w:tcPr>
            <w:tcW w:w="3735" w:type="dxa"/>
            <w:gridSpan w:val="2"/>
          </w:tcPr>
          <w:p>
            <w:pPr>
              <w:pStyle w:val="TableParagraph"/>
              <w:spacing w:line="257" w:lineRule="exact" w:before="5"/>
              <w:ind w:left="1424" w:right="1416"/>
              <w:rPr>
                <w:b/>
                <w:sz w:val="21"/>
              </w:rPr>
            </w:pPr>
            <w:r>
              <w:rPr>
                <w:b/>
                <w:sz w:val="21"/>
              </w:rPr>
              <w:t>废水名称</w:t>
            </w:r>
          </w:p>
        </w:tc>
        <w:tc>
          <w:tcPr>
            <w:tcW w:w="1822" w:type="dxa"/>
          </w:tcPr>
          <w:p>
            <w:pPr>
              <w:pStyle w:val="TableParagraph"/>
              <w:spacing w:line="262" w:lineRule="exact" w:before="1"/>
              <w:ind w:left="39" w:right="28"/>
              <w:rPr>
                <w:b/>
                <w:sz w:val="21"/>
              </w:rPr>
            </w:pPr>
            <w:r>
              <w:rPr>
                <w:b/>
                <w:sz w:val="21"/>
              </w:rPr>
              <w:t>污染因子</w:t>
            </w:r>
          </w:p>
        </w:tc>
        <w:tc>
          <w:tcPr>
            <w:tcW w:w="1824" w:type="dxa"/>
          </w:tcPr>
          <w:p>
            <w:pPr>
              <w:pStyle w:val="TableParagraph"/>
              <w:spacing w:line="257" w:lineRule="exact" w:before="5"/>
              <w:ind w:left="107" w:right="-15"/>
              <w:rPr>
                <w:b/>
                <w:sz w:val="21"/>
              </w:rPr>
            </w:pPr>
            <w:r>
              <w:rPr>
                <w:b/>
                <w:spacing w:val="-1"/>
                <w:sz w:val="21"/>
              </w:rPr>
              <w:t>达产产生量</w:t>
            </w:r>
            <w:r>
              <w:rPr>
                <w:b/>
                <w:sz w:val="21"/>
              </w:rPr>
              <w:t>（</w:t>
            </w:r>
            <w:r>
              <w:rPr>
                <w:rFonts w:ascii="Times New Roman" w:eastAsia="Times New Roman"/>
                <w:b/>
                <w:sz w:val="21"/>
              </w:rPr>
              <w:t>t/a</w:t>
            </w:r>
            <w:r>
              <w:rPr>
                <w:b/>
                <w:sz w:val="21"/>
              </w:rPr>
              <w:t>）</w:t>
            </w:r>
          </w:p>
        </w:tc>
        <w:tc>
          <w:tcPr>
            <w:tcW w:w="1909" w:type="dxa"/>
          </w:tcPr>
          <w:p>
            <w:pPr>
              <w:pStyle w:val="TableParagraph"/>
              <w:spacing w:line="262" w:lineRule="exact" w:before="1"/>
              <w:ind w:left="110" w:right="104"/>
              <w:rPr>
                <w:b/>
                <w:sz w:val="21"/>
              </w:rPr>
            </w:pPr>
            <w:r>
              <w:rPr>
                <w:b/>
                <w:sz w:val="21"/>
              </w:rPr>
              <w:t>实际处理措施</w:t>
            </w:r>
          </w:p>
        </w:tc>
      </w:tr>
      <w:tr>
        <w:trPr>
          <w:trHeight w:val="285" w:hRule="atLeast"/>
        </w:trPr>
        <w:tc>
          <w:tcPr>
            <w:tcW w:w="1385" w:type="dxa"/>
          </w:tcPr>
          <w:p>
            <w:pPr>
              <w:pStyle w:val="TableParagraph"/>
              <w:spacing w:line="257" w:lineRule="exact" w:before="8"/>
              <w:ind w:left="270"/>
              <w:jc w:val="left"/>
              <w:rPr>
                <w:sz w:val="21"/>
              </w:rPr>
            </w:pPr>
            <w:r>
              <w:rPr>
                <w:sz w:val="21"/>
              </w:rPr>
              <w:t>副产硫酸</w:t>
            </w:r>
          </w:p>
        </w:tc>
        <w:tc>
          <w:tcPr>
            <w:tcW w:w="2350" w:type="dxa"/>
          </w:tcPr>
          <w:p>
            <w:pPr>
              <w:pStyle w:val="TableParagraph"/>
              <w:spacing w:line="257" w:lineRule="exact" w:before="8"/>
              <w:ind w:left="333"/>
              <w:jc w:val="left"/>
              <w:rPr>
                <w:sz w:val="21"/>
              </w:rPr>
            </w:pPr>
            <w:r>
              <w:rPr>
                <w:sz w:val="21"/>
              </w:rPr>
              <w:t>酸性水蒸气冷凝液</w:t>
            </w:r>
          </w:p>
        </w:tc>
        <w:tc>
          <w:tcPr>
            <w:tcW w:w="1822" w:type="dxa"/>
          </w:tcPr>
          <w:p>
            <w:pPr>
              <w:pStyle w:val="TableParagraph"/>
              <w:ind w:left="7"/>
              <w:rPr>
                <w:rFonts w:ascii="Times New Roman"/>
                <w:sz w:val="21"/>
              </w:rPr>
            </w:pPr>
            <w:r>
              <w:rPr>
                <w:rFonts w:ascii="Times New Roman"/>
                <w:w w:val="100"/>
                <w:sz w:val="21"/>
              </w:rPr>
              <w:t>/</w:t>
            </w:r>
          </w:p>
        </w:tc>
        <w:tc>
          <w:tcPr>
            <w:tcW w:w="1824" w:type="dxa"/>
          </w:tcPr>
          <w:p>
            <w:pPr>
              <w:pStyle w:val="TableParagraph"/>
              <w:spacing w:before="22"/>
              <w:ind w:left="107" w:right="98"/>
              <w:rPr>
                <w:rFonts w:ascii="Times New Roman"/>
                <w:sz w:val="21"/>
              </w:rPr>
            </w:pPr>
            <w:r>
              <w:rPr>
                <w:rFonts w:ascii="Times New Roman"/>
                <w:sz w:val="21"/>
              </w:rPr>
              <w:t>2048.5</w:t>
            </w:r>
          </w:p>
        </w:tc>
        <w:tc>
          <w:tcPr>
            <w:tcW w:w="1909" w:type="dxa"/>
          </w:tcPr>
          <w:p>
            <w:pPr>
              <w:pStyle w:val="TableParagraph"/>
              <w:spacing w:line="264" w:lineRule="exact" w:before="1"/>
              <w:ind w:left="107" w:right="104"/>
              <w:rPr>
                <w:sz w:val="21"/>
              </w:rPr>
            </w:pPr>
            <w:r>
              <w:rPr>
                <w:sz w:val="21"/>
              </w:rPr>
              <w:t>回用于生产</w:t>
            </w:r>
          </w:p>
        </w:tc>
      </w:tr>
      <w:tr>
        <w:trPr>
          <w:trHeight w:val="282" w:hRule="atLeast"/>
        </w:trPr>
        <w:tc>
          <w:tcPr>
            <w:tcW w:w="3735" w:type="dxa"/>
            <w:gridSpan w:val="2"/>
          </w:tcPr>
          <w:p>
            <w:pPr>
              <w:pStyle w:val="TableParagraph"/>
              <w:spacing w:line="257" w:lineRule="exact" w:before="6"/>
              <w:ind w:left="1233"/>
              <w:jc w:val="left"/>
              <w:rPr>
                <w:b/>
                <w:sz w:val="21"/>
              </w:rPr>
            </w:pPr>
            <w:r>
              <w:rPr>
                <w:b/>
                <w:sz w:val="21"/>
              </w:rPr>
              <w:t>外排废水小计</w:t>
            </w:r>
          </w:p>
        </w:tc>
        <w:tc>
          <w:tcPr>
            <w:tcW w:w="1822" w:type="dxa"/>
          </w:tcPr>
          <w:p>
            <w:pPr>
              <w:pStyle w:val="TableParagraph"/>
              <w:ind w:left="7"/>
              <w:rPr>
                <w:rFonts w:ascii="Times New Roman"/>
                <w:b/>
                <w:sz w:val="21"/>
              </w:rPr>
            </w:pPr>
            <w:r>
              <w:rPr>
                <w:rFonts w:ascii="Times New Roman"/>
                <w:b/>
                <w:w w:val="100"/>
                <w:sz w:val="21"/>
              </w:rPr>
              <w:t>/</w:t>
            </w:r>
          </w:p>
        </w:tc>
        <w:tc>
          <w:tcPr>
            <w:tcW w:w="1824" w:type="dxa"/>
          </w:tcPr>
          <w:p>
            <w:pPr>
              <w:pStyle w:val="TableParagraph"/>
              <w:spacing w:before="19"/>
              <w:ind w:left="107" w:right="100"/>
              <w:rPr>
                <w:rFonts w:ascii="Times New Roman"/>
                <w:b/>
                <w:sz w:val="21"/>
              </w:rPr>
            </w:pPr>
            <w:r>
              <w:rPr>
                <w:rFonts w:ascii="Times New Roman"/>
                <w:b/>
                <w:sz w:val="21"/>
              </w:rPr>
              <w:t>49488.48</w:t>
            </w:r>
          </w:p>
        </w:tc>
        <w:tc>
          <w:tcPr>
            <w:tcW w:w="1909" w:type="dxa"/>
          </w:tcPr>
          <w:p>
            <w:pPr>
              <w:pStyle w:val="TableParagraph"/>
              <w:jc w:val="left"/>
              <w:rPr>
                <w:rFonts w:ascii="Times New Roman"/>
                <w:sz w:val="20"/>
              </w:rPr>
            </w:pPr>
          </w:p>
        </w:tc>
      </w:tr>
    </w:tbl>
    <w:p>
      <w:pPr>
        <w:pStyle w:val="BodyText"/>
        <w:spacing w:before="2"/>
        <w:ind w:left="698"/>
      </w:pPr>
      <w:r>
        <w:rPr>
          <w:rFonts w:ascii="Times New Roman" w:eastAsia="Times New Roman"/>
        </w:rPr>
        <w:t>2</w:t>
      </w:r>
      <w:r>
        <w:rPr/>
        <w:t>、废气</w:t>
      </w:r>
    </w:p>
    <w:p>
      <w:pPr>
        <w:pStyle w:val="BodyText"/>
        <w:spacing w:line="364" w:lineRule="auto" w:before="161"/>
        <w:ind w:left="218" w:right="172" w:firstLine="480"/>
      </w:pPr>
      <w:r>
        <w:rPr/>
        <w:t>该项目生产废气主要为有机废气、硝酸、硫酸雾、氮氧化物等，具体排放及治理措施情况如下表。</w:t>
      </w:r>
    </w:p>
    <w:p>
      <w:pPr>
        <w:pStyle w:val="Heading4"/>
        <w:tabs>
          <w:tab w:pos="2460" w:val="left" w:leader="none"/>
          <w:tab w:pos="7280" w:val="left" w:leader="none"/>
        </w:tabs>
        <w:spacing w:before="140" w:after="29"/>
        <w:ind w:left="1238"/>
        <w:rPr>
          <w:rFonts w:ascii="Times New Roman" w:eastAsia="Times New Roman"/>
        </w:rPr>
      </w:pPr>
      <w:r>
        <w:rPr/>
        <w:t>表</w:t>
      </w:r>
      <w:r>
        <w:rPr>
          <w:spacing w:val="-60"/>
        </w:rPr>
        <w:t> </w:t>
      </w:r>
      <w:r>
        <w:rPr>
          <w:rFonts w:ascii="Times New Roman" w:eastAsia="Times New Roman"/>
        </w:rPr>
        <w:t>3.3.2-5</w:t>
        <w:tab/>
      </w:r>
      <w:r>
        <w:rPr/>
        <w:t>该生产线污染物排放及治理措施情况汇总表</w:t>
        <w:tab/>
        <w:t>单位：</w:t>
      </w:r>
      <w:r>
        <w:rPr>
          <w:rFonts w:ascii="Times New Roman" w:eastAsia="Times New Roman"/>
        </w:rPr>
        <w:t>t/a</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411"/>
        <w:gridCol w:w="1417"/>
        <w:gridCol w:w="1278"/>
        <w:gridCol w:w="3085"/>
      </w:tblGrid>
      <w:tr>
        <w:trPr>
          <w:trHeight w:val="273" w:hRule="atLeast"/>
        </w:trPr>
        <w:tc>
          <w:tcPr>
            <w:tcW w:w="1102" w:type="dxa"/>
          </w:tcPr>
          <w:p>
            <w:pPr>
              <w:pStyle w:val="TableParagraph"/>
              <w:spacing w:line="252" w:lineRule="exact" w:before="1"/>
              <w:ind w:left="232"/>
              <w:jc w:val="left"/>
              <w:rPr>
                <w:b/>
                <w:sz w:val="21"/>
              </w:rPr>
            </w:pPr>
            <w:r>
              <w:rPr>
                <w:b/>
                <w:sz w:val="21"/>
              </w:rPr>
              <w:t>生产线</w:t>
            </w:r>
          </w:p>
        </w:tc>
        <w:tc>
          <w:tcPr>
            <w:tcW w:w="2411" w:type="dxa"/>
          </w:tcPr>
          <w:p>
            <w:pPr>
              <w:pStyle w:val="TableParagraph"/>
              <w:spacing w:line="252" w:lineRule="exact" w:before="1"/>
              <w:ind w:left="7"/>
              <w:rPr>
                <w:b/>
                <w:sz w:val="21"/>
              </w:rPr>
            </w:pPr>
            <w:r>
              <w:rPr>
                <w:b/>
                <w:sz w:val="21"/>
              </w:rPr>
              <w:t>污染源</w:t>
            </w:r>
          </w:p>
        </w:tc>
        <w:tc>
          <w:tcPr>
            <w:tcW w:w="1417" w:type="dxa"/>
          </w:tcPr>
          <w:p>
            <w:pPr>
              <w:pStyle w:val="TableParagraph"/>
              <w:spacing w:line="252" w:lineRule="exact" w:before="1"/>
              <w:ind w:left="159" w:right="153"/>
              <w:rPr>
                <w:b/>
                <w:sz w:val="21"/>
              </w:rPr>
            </w:pPr>
            <w:r>
              <w:rPr>
                <w:b/>
                <w:sz w:val="21"/>
              </w:rPr>
              <w:t>污染物名称</w:t>
            </w:r>
          </w:p>
        </w:tc>
        <w:tc>
          <w:tcPr>
            <w:tcW w:w="1278" w:type="dxa"/>
          </w:tcPr>
          <w:p>
            <w:pPr>
              <w:pStyle w:val="TableParagraph"/>
              <w:spacing w:line="252" w:lineRule="exact" w:before="1"/>
              <w:ind w:left="88" w:right="84"/>
              <w:rPr>
                <w:b/>
                <w:sz w:val="21"/>
              </w:rPr>
            </w:pPr>
            <w:r>
              <w:rPr>
                <w:b/>
                <w:sz w:val="21"/>
              </w:rPr>
              <w:t>达产排放量</w:t>
            </w:r>
          </w:p>
        </w:tc>
        <w:tc>
          <w:tcPr>
            <w:tcW w:w="3085" w:type="dxa"/>
          </w:tcPr>
          <w:p>
            <w:pPr>
              <w:pStyle w:val="TableParagraph"/>
              <w:spacing w:line="252" w:lineRule="exact" w:before="1"/>
              <w:ind w:left="98" w:right="94"/>
              <w:rPr>
                <w:b/>
                <w:sz w:val="21"/>
              </w:rPr>
            </w:pPr>
            <w:r>
              <w:rPr>
                <w:b/>
                <w:sz w:val="21"/>
              </w:rPr>
              <w:t>现状污染治理措施</w:t>
            </w:r>
          </w:p>
        </w:tc>
      </w:tr>
      <w:tr>
        <w:trPr>
          <w:trHeight w:val="270" w:hRule="atLeast"/>
        </w:trPr>
        <w:tc>
          <w:tcPr>
            <w:tcW w:w="1102" w:type="dxa"/>
            <w:vMerge w:val="restart"/>
          </w:tcPr>
          <w:p>
            <w:pPr>
              <w:pStyle w:val="TableParagraph"/>
              <w:jc w:val="left"/>
              <w:rPr>
                <w:rFonts w:ascii="Times New Roman"/>
                <w:b/>
                <w:sz w:val="20"/>
              </w:rPr>
            </w:pPr>
          </w:p>
          <w:p>
            <w:pPr>
              <w:pStyle w:val="TableParagraph"/>
              <w:spacing w:before="2"/>
              <w:jc w:val="left"/>
              <w:rPr>
                <w:rFonts w:ascii="Times New Roman"/>
                <w:b/>
                <w:sz w:val="29"/>
              </w:rPr>
            </w:pPr>
          </w:p>
          <w:p>
            <w:pPr>
              <w:pStyle w:val="TableParagraph"/>
              <w:spacing w:line="244" w:lineRule="auto"/>
              <w:ind w:left="235" w:right="134" w:hanging="87"/>
              <w:jc w:val="left"/>
              <w:rPr>
                <w:sz w:val="21"/>
              </w:rPr>
            </w:pPr>
            <w:r>
              <w:rPr>
                <w:rFonts w:ascii="Times New Roman" w:eastAsia="Times New Roman"/>
                <w:sz w:val="21"/>
              </w:rPr>
              <w:t>4-</w:t>
            </w:r>
            <w:r>
              <w:rPr>
                <w:sz w:val="21"/>
              </w:rPr>
              <w:t>硝基邻二甲苯</w:t>
            </w:r>
          </w:p>
        </w:tc>
        <w:tc>
          <w:tcPr>
            <w:tcW w:w="2411" w:type="dxa"/>
            <w:vMerge w:val="restart"/>
          </w:tcPr>
          <w:p>
            <w:pPr>
              <w:pStyle w:val="TableParagraph"/>
              <w:spacing w:before="1"/>
              <w:jc w:val="left"/>
              <w:rPr>
                <w:rFonts w:ascii="Times New Roman"/>
                <w:b/>
                <w:sz w:val="25"/>
              </w:rPr>
            </w:pPr>
          </w:p>
          <w:p>
            <w:pPr>
              <w:pStyle w:val="TableParagraph"/>
              <w:spacing w:line="242" w:lineRule="auto"/>
              <w:ind w:left="887" w:right="143" w:hanging="735"/>
              <w:jc w:val="left"/>
              <w:rPr>
                <w:sz w:val="21"/>
              </w:rPr>
            </w:pPr>
            <w:r>
              <w:rPr>
                <w:sz w:val="21"/>
              </w:rPr>
              <w:t>硝化反应尾气、混酸回收废气</w:t>
            </w:r>
          </w:p>
        </w:tc>
        <w:tc>
          <w:tcPr>
            <w:tcW w:w="1417" w:type="dxa"/>
          </w:tcPr>
          <w:p>
            <w:pPr>
              <w:pStyle w:val="TableParagraph"/>
              <w:spacing w:line="250" w:lineRule="exact" w:before="1"/>
              <w:ind w:left="159" w:right="151"/>
              <w:rPr>
                <w:sz w:val="21"/>
              </w:rPr>
            </w:pPr>
            <w:r>
              <w:rPr>
                <w:sz w:val="21"/>
              </w:rPr>
              <w:t>邻二甲苯</w:t>
            </w:r>
          </w:p>
        </w:tc>
        <w:tc>
          <w:tcPr>
            <w:tcW w:w="1278" w:type="dxa"/>
          </w:tcPr>
          <w:p>
            <w:pPr>
              <w:pStyle w:val="TableParagraph"/>
              <w:spacing w:line="236" w:lineRule="exact" w:before="15"/>
              <w:ind w:left="88" w:right="84"/>
              <w:rPr>
                <w:rFonts w:ascii="Times New Roman"/>
                <w:sz w:val="21"/>
              </w:rPr>
            </w:pPr>
            <w:r>
              <w:rPr>
                <w:rFonts w:ascii="Times New Roman"/>
                <w:sz w:val="21"/>
              </w:rPr>
              <w:t>3.324</w:t>
            </w:r>
          </w:p>
        </w:tc>
        <w:tc>
          <w:tcPr>
            <w:tcW w:w="3085" w:type="dxa"/>
            <w:vMerge w:val="restart"/>
          </w:tcPr>
          <w:p>
            <w:pPr>
              <w:pStyle w:val="TableParagraph"/>
              <w:spacing w:before="1"/>
              <w:jc w:val="left"/>
              <w:rPr>
                <w:rFonts w:ascii="Times New Roman"/>
                <w:b/>
                <w:sz w:val="25"/>
              </w:rPr>
            </w:pPr>
          </w:p>
          <w:p>
            <w:pPr>
              <w:pStyle w:val="TableParagraph"/>
              <w:ind w:left="98" w:right="95"/>
              <w:rPr>
                <w:sz w:val="21"/>
              </w:rPr>
            </w:pPr>
            <w:r>
              <w:rPr>
                <w:sz w:val="21"/>
              </w:rPr>
              <w:t>冷凝</w:t>
            </w:r>
            <w:r>
              <w:rPr>
                <w:rFonts w:ascii="Times New Roman" w:eastAsia="Times New Roman"/>
                <w:sz w:val="21"/>
              </w:rPr>
              <w:t>+</w:t>
            </w:r>
            <w:r>
              <w:rPr>
                <w:sz w:val="21"/>
              </w:rPr>
              <w:t>七级硝酸吸收</w:t>
            </w:r>
            <w:r>
              <w:rPr>
                <w:rFonts w:ascii="Times New Roman" w:eastAsia="Times New Roman"/>
                <w:sz w:val="21"/>
              </w:rPr>
              <w:t>+RTO </w:t>
            </w:r>
            <w:r>
              <w:rPr>
                <w:sz w:val="21"/>
              </w:rPr>
              <w:t>焚烧</w:t>
            </w:r>
          </w:p>
          <w:p>
            <w:pPr>
              <w:pStyle w:val="TableParagraph"/>
              <w:spacing w:before="3"/>
              <w:ind w:left="98" w:right="96"/>
              <w:rPr>
                <w:sz w:val="21"/>
              </w:rPr>
            </w:pPr>
            <w:r>
              <w:rPr>
                <w:rFonts w:ascii="Times New Roman" w:eastAsia="Times New Roman"/>
                <w:sz w:val="21"/>
              </w:rPr>
              <w:t>+SNCR </w:t>
            </w:r>
            <w:r>
              <w:rPr>
                <w:sz w:val="21"/>
              </w:rPr>
              <w:t>脱硝</w:t>
            </w:r>
            <w:r>
              <w:rPr>
                <w:rFonts w:ascii="Times New Roman" w:eastAsia="Times New Roman"/>
                <w:sz w:val="21"/>
              </w:rPr>
              <w:t>+</w:t>
            </w:r>
            <w:r>
              <w:rPr>
                <w:sz w:val="21"/>
              </w:rPr>
              <w:t>四级碱吸收</w:t>
            </w:r>
          </w:p>
        </w:tc>
      </w:tr>
      <w:tr>
        <w:trPr>
          <w:trHeight w:val="273"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0" w:lineRule="exact" w:before="3"/>
              <w:ind w:left="159" w:right="153"/>
              <w:rPr>
                <w:sz w:val="21"/>
              </w:rPr>
            </w:pPr>
            <w:r>
              <w:rPr>
                <w:sz w:val="21"/>
              </w:rPr>
              <w:t>硫酸雾</w:t>
            </w:r>
          </w:p>
        </w:tc>
        <w:tc>
          <w:tcPr>
            <w:tcW w:w="1278" w:type="dxa"/>
          </w:tcPr>
          <w:p>
            <w:pPr>
              <w:pStyle w:val="TableParagraph"/>
              <w:spacing w:line="236" w:lineRule="exact" w:before="17"/>
              <w:ind w:left="88" w:right="84"/>
              <w:rPr>
                <w:rFonts w:ascii="Times New Roman"/>
                <w:sz w:val="21"/>
              </w:rPr>
            </w:pPr>
            <w:r>
              <w:rPr>
                <w:rFonts w:ascii="Times New Roman"/>
                <w:sz w:val="21"/>
              </w:rPr>
              <w:t>0.136</w:t>
            </w:r>
          </w:p>
        </w:tc>
        <w:tc>
          <w:tcPr>
            <w:tcW w:w="3085" w:type="dxa"/>
            <w:vMerge/>
            <w:tcBorders>
              <w:top w:val="nil"/>
            </w:tcBorders>
          </w:tcPr>
          <w:p>
            <w:pPr>
              <w:rPr>
                <w:sz w:val="2"/>
                <w:szCs w:val="2"/>
              </w:rPr>
            </w:pPr>
          </w:p>
        </w:tc>
      </w:tr>
      <w:tr>
        <w:trPr>
          <w:trHeight w:val="273"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2" w:lineRule="exact" w:before="1"/>
              <w:ind w:left="159" w:right="153"/>
              <w:rPr>
                <w:sz w:val="21"/>
              </w:rPr>
            </w:pPr>
            <w:r>
              <w:rPr>
                <w:sz w:val="21"/>
              </w:rPr>
              <w:t>硝酸</w:t>
            </w:r>
          </w:p>
        </w:tc>
        <w:tc>
          <w:tcPr>
            <w:tcW w:w="1278" w:type="dxa"/>
          </w:tcPr>
          <w:p>
            <w:pPr>
              <w:pStyle w:val="TableParagraph"/>
              <w:spacing w:line="238" w:lineRule="exact" w:before="15"/>
              <w:ind w:left="88" w:right="84"/>
              <w:rPr>
                <w:rFonts w:ascii="Times New Roman"/>
                <w:sz w:val="21"/>
              </w:rPr>
            </w:pPr>
            <w:r>
              <w:rPr>
                <w:rFonts w:ascii="Times New Roman"/>
                <w:sz w:val="21"/>
              </w:rPr>
              <w:t>0.512</w:t>
            </w:r>
          </w:p>
        </w:tc>
        <w:tc>
          <w:tcPr>
            <w:tcW w:w="3085" w:type="dxa"/>
            <w:vMerge/>
            <w:tcBorders>
              <w:top w:val="nil"/>
            </w:tcBorders>
          </w:tcPr>
          <w:p>
            <w:pPr>
              <w:rPr>
                <w:sz w:val="2"/>
                <w:szCs w:val="2"/>
              </w:rPr>
            </w:pPr>
          </w:p>
        </w:tc>
      </w:tr>
      <w:tr>
        <w:trPr>
          <w:trHeight w:val="270"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0" w:lineRule="exact" w:before="1"/>
              <w:ind w:left="159" w:right="151"/>
              <w:rPr>
                <w:sz w:val="21"/>
              </w:rPr>
            </w:pPr>
            <w:r>
              <w:rPr>
                <w:sz w:val="21"/>
              </w:rPr>
              <w:t>氮氧化物</w:t>
            </w:r>
          </w:p>
        </w:tc>
        <w:tc>
          <w:tcPr>
            <w:tcW w:w="1278" w:type="dxa"/>
          </w:tcPr>
          <w:p>
            <w:pPr>
              <w:pStyle w:val="TableParagraph"/>
              <w:spacing w:line="236" w:lineRule="exact" w:before="15"/>
              <w:ind w:left="88" w:right="84"/>
              <w:rPr>
                <w:rFonts w:ascii="Times New Roman"/>
                <w:sz w:val="21"/>
              </w:rPr>
            </w:pPr>
            <w:r>
              <w:rPr>
                <w:rFonts w:ascii="Times New Roman"/>
                <w:sz w:val="21"/>
              </w:rPr>
              <w:t>0.1</w:t>
            </w:r>
          </w:p>
        </w:tc>
        <w:tc>
          <w:tcPr>
            <w:tcW w:w="3085" w:type="dxa"/>
            <w:vMerge/>
            <w:tcBorders>
              <w:top w:val="nil"/>
            </w:tcBorders>
          </w:tcPr>
          <w:p>
            <w:pPr>
              <w:rPr>
                <w:sz w:val="2"/>
                <w:szCs w:val="2"/>
              </w:rPr>
            </w:pPr>
          </w:p>
        </w:tc>
      </w:tr>
      <w:tr>
        <w:trPr>
          <w:trHeight w:val="544" w:hRule="atLeast"/>
        </w:trPr>
        <w:tc>
          <w:tcPr>
            <w:tcW w:w="1102" w:type="dxa"/>
            <w:vMerge/>
            <w:tcBorders>
              <w:top w:val="nil"/>
            </w:tcBorders>
          </w:tcPr>
          <w:p>
            <w:pPr>
              <w:rPr>
                <w:sz w:val="2"/>
                <w:szCs w:val="2"/>
              </w:rPr>
            </w:pPr>
          </w:p>
        </w:tc>
        <w:tc>
          <w:tcPr>
            <w:tcW w:w="2411" w:type="dxa"/>
          </w:tcPr>
          <w:p>
            <w:pPr>
              <w:pStyle w:val="TableParagraph"/>
              <w:spacing w:before="1"/>
              <w:ind w:left="91"/>
              <w:rPr>
                <w:sz w:val="21"/>
              </w:rPr>
            </w:pPr>
            <w:r>
              <w:rPr>
                <w:sz w:val="21"/>
              </w:rPr>
              <w:t>干燥、脱焦、</w:t>
            </w:r>
            <w:r>
              <w:rPr>
                <w:rFonts w:ascii="Times New Roman" w:eastAsia="Times New Roman"/>
                <w:sz w:val="21"/>
              </w:rPr>
              <w:t>3-</w:t>
            </w:r>
            <w:r>
              <w:rPr>
                <w:sz w:val="21"/>
              </w:rPr>
              <w:t>硝分离、</w:t>
            </w:r>
          </w:p>
          <w:p>
            <w:pPr>
              <w:pStyle w:val="TableParagraph"/>
              <w:spacing w:line="250" w:lineRule="exact" w:before="4"/>
              <w:ind w:left="7"/>
              <w:rPr>
                <w:sz w:val="21"/>
              </w:rPr>
            </w:pPr>
            <w:r>
              <w:rPr>
                <w:rFonts w:ascii="Times New Roman" w:eastAsia="Times New Roman"/>
                <w:sz w:val="21"/>
              </w:rPr>
              <w:t>4-</w:t>
            </w:r>
            <w:r>
              <w:rPr>
                <w:sz w:val="21"/>
              </w:rPr>
              <w:t>硝分离工序废气</w:t>
            </w:r>
          </w:p>
        </w:tc>
        <w:tc>
          <w:tcPr>
            <w:tcW w:w="1417" w:type="dxa"/>
          </w:tcPr>
          <w:p>
            <w:pPr>
              <w:pStyle w:val="TableParagraph"/>
              <w:spacing w:before="137"/>
              <w:ind w:left="159" w:right="151"/>
              <w:rPr>
                <w:sz w:val="21"/>
              </w:rPr>
            </w:pPr>
            <w:r>
              <w:rPr>
                <w:sz w:val="21"/>
              </w:rPr>
              <w:t>硝基苯类</w:t>
            </w:r>
          </w:p>
        </w:tc>
        <w:tc>
          <w:tcPr>
            <w:tcW w:w="1278" w:type="dxa"/>
          </w:tcPr>
          <w:p>
            <w:pPr>
              <w:pStyle w:val="TableParagraph"/>
              <w:spacing w:before="151"/>
              <w:ind w:left="88" w:right="84"/>
              <w:rPr>
                <w:rFonts w:ascii="Times New Roman"/>
                <w:sz w:val="21"/>
              </w:rPr>
            </w:pPr>
            <w:r>
              <w:rPr>
                <w:rFonts w:ascii="Times New Roman"/>
                <w:sz w:val="21"/>
              </w:rPr>
              <w:t>0.546</w:t>
            </w:r>
          </w:p>
        </w:tc>
        <w:tc>
          <w:tcPr>
            <w:tcW w:w="3085" w:type="dxa"/>
          </w:tcPr>
          <w:p>
            <w:pPr>
              <w:pStyle w:val="TableParagraph"/>
              <w:spacing w:before="1"/>
              <w:ind w:left="98" w:right="96"/>
              <w:rPr>
                <w:rFonts w:ascii="Times New Roman" w:eastAsia="Times New Roman"/>
                <w:sz w:val="21"/>
              </w:rPr>
            </w:pPr>
            <w:r>
              <w:rPr>
                <w:sz w:val="21"/>
              </w:rPr>
              <w:t>冷凝</w:t>
            </w:r>
            <w:r>
              <w:rPr>
                <w:rFonts w:ascii="Times New Roman" w:eastAsia="Times New Roman"/>
                <w:sz w:val="21"/>
              </w:rPr>
              <w:t>+ RTO </w:t>
            </w:r>
            <w:r>
              <w:rPr>
                <w:sz w:val="21"/>
              </w:rPr>
              <w:t>焚烧</w:t>
            </w:r>
            <w:r>
              <w:rPr>
                <w:rFonts w:ascii="Times New Roman" w:eastAsia="Times New Roman"/>
                <w:sz w:val="21"/>
              </w:rPr>
              <w:t>+SNCR </w:t>
            </w:r>
            <w:r>
              <w:rPr>
                <w:sz w:val="21"/>
              </w:rPr>
              <w:t>脱硝</w:t>
            </w:r>
            <w:r>
              <w:rPr>
                <w:rFonts w:ascii="Times New Roman" w:eastAsia="Times New Roman"/>
                <w:sz w:val="21"/>
              </w:rPr>
              <w:t>+</w:t>
            </w:r>
          </w:p>
          <w:p>
            <w:pPr>
              <w:pStyle w:val="TableParagraph"/>
              <w:spacing w:line="250" w:lineRule="exact" w:before="4"/>
              <w:ind w:left="98" w:right="96"/>
              <w:rPr>
                <w:sz w:val="21"/>
              </w:rPr>
            </w:pPr>
            <w:r>
              <w:rPr>
                <w:sz w:val="21"/>
              </w:rPr>
              <w:t>四级碱吸收</w:t>
            </w:r>
          </w:p>
        </w:tc>
      </w:tr>
      <w:tr>
        <w:trPr>
          <w:trHeight w:val="273" w:hRule="atLeast"/>
        </w:trPr>
        <w:tc>
          <w:tcPr>
            <w:tcW w:w="1102" w:type="dxa"/>
            <w:vMerge w:val="restart"/>
          </w:tcPr>
          <w:p>
            <w:pPr>
              <w:pStyle w:val="TableParagraph"/>
              <w:jc w:val="left"/>
              <w:rPr>
                <w:rFonts w:ascii="Times New Roman"/>
                <w:b/>
                <w:sz w:val="20"/>
              </w:rPr>
            </w:pPr>
          </w:p>
          <w:p>
            <w:pPr>
              <w:pStyle w:val="TableParagraph"/>
              <w:spacing w:before="1"/>
              <w:jc w:val="left"/>
              <w:rPr>
                <w:rFonts w:ascii="Times New Roman"/>
                <w:b/>
                <w:sz w:val="28"/>
              </w:rPr>
            </w:pPr>
          </w:p>
          <w:p>
            <w:pPr>
              <w:pStyle w:val="TableParagraph"/>
              <w:spacing w:line="242" w:lineRule="auto"/>
              <w:ind w:left="443" w:right="118" w:hanging="315"/>
              <w:jc w:val="left"/>
              <w:rPr>
                <w:sz w:val="21"/>
              </w:rPr>
            </w:pPr>
            <w:r>
              <w:rPr>
                <w:sz w:val="21"/>
              </w:rPr>
              <w:t>副产品硫酸</w:t>
            </w:r>
          </w:p>
        </w:tc>
        <w:tc>
          <w:tcPr>
            <w:tcW w:w="2411" w:type="dxa"/>
            <w:vMerge w:val="restart"/>
          </w:tcPr>
          <w:p>
            <w:pPr>
              <w:pStyle w:val="TableParagraph"/>
              <w:jc w:val="left"/>
              <w:rPr>
                <w:rFonts w:ascii="Times New Roman"/>
                <w:b/>
                <w:sz w:val="20"/>
              </w:rPr>
            </w:pPr>
          </w:p>
          <w:p>
            <w:pPr>
              <w:pStyle w:val="TableParagraph"/>
              <w:spacing w:before="7"/>
              <w:jc w:val="left"/>
              <w:rPr>
                <w:rFonts w:ascii="Times New Roman"/>
                <w:b/>
                <w:sz w:val="27"/>
              </w:rPr>
            </w:pPr>
          </w:p>
          <w:p>
            <w:pPr>
              <w:pStyle w:val="TableParagraph"/>
              <w:ind w:left="784"/>
              <w:jc w:val="left"/>
              <w:rPr>
                <w:sz w:val="21"/>
              </w:rPr>
            </w:pPr>
            <w:r>
              <w:rPr>
                <w:sz w:val="21"/>
              </w:rPr>
              <w:t>浓缩废气</w:t>
            </w:r>
          </w:p>
        </w:tc>
        <w:tc>
          <w:tcPr>
            <w:tcW w:w="1417" w:type="dxa"/>
          </w:tcPr>
          <w:p>
            <w:pPr>
              <w:pStyle w:val="TableParagraph"/>
              <w:spacing w:line="250" w:lineRule="exact" w:before="3"/>
              <w:ind w:left="159" w:right="153"/>
              <w:rPr>
                <w:sz w:val="21"/>
              </w:rPr>
            </w:pPr>
            <w:r>
              <w:rPr>
                <w:sz w:val="21"/>
              </w:rPr>
              <w:t>硫酸雾</w:t>
            </w:r>
          </w:p>
        </w:tc>
        <w:tc>
          <w:tcPr>
            <w:tcW w:w="1278" w:type="dxa"/>
          </w:tcPr>
          <w:p>
            <w:pPr>
              <w:pStyle w:val="TableParagraph"/>
              <w:spacing w:line="236" w:lineRule="exact" w:before="17"/>
              <w:ind w:left="88" w:right="84"/>
              <w:rPr>
                <w:rFonts w:ascii="Times New Roman"/>
                <w:sz w:val="21"/>
              </w:rPr>
            </w:pPr>
            <w:r>
              <w:rPr>
                <w:rFonts w:ascii="Times New Roman"/>
                <w:sz w:val="21"/>
              </w:rPr>
              <w:t>0.675</w:t>
            </w:r>
          </w:p>
        </w:tc>
        <w:tc>
          <w:tcPr>
            <w:tcW w:w="3085" w:type="dxa"/>
            <w:vMerge w:val="restart"/>
          </w:tcPr>
          <w:p>
            <w:pPr>
              <w:pStyle w:val="TableParagraph"/>
              <w:spacing w:line="242" w:lineRule="auto" w:before="3"/>
              <w:ind w:left="104" w:right="25" w:hanging="75"/>
              <w:rPr>
                <w:sz w:val="21"/>
              </w:rPr>
            </w:pPr>
            <w:r>
              <w:rPr>
                <w:spacing w:val="-8"/>
                <w:sz w:val="21"/>
              </w:rPr>
              <w:t>配套一级硝酸吸收后接入 </w:t>
            </w:r>
            <w:r>
              <w:rPr>
                <w:rFonts w:ascii="Times New Roman" w:eastAsia="Times New Roman"/>
                <w:sz w:val="21"/>
              </w:rPr>
              <w:t>4-</w:t>
            </w:r>
            <w:r>
              <w:rPr>
                <w:sz w:val="21"/>
              </w:rPr>
              <w:t>硝 </w:t>
            </w:r>
            <w:r>
              <w:rPr>
                <w:spacing w:val="-3"/>
                <w:sz w:val="21"/>
              </w:rPr>
              <w:t>基邻二甲苯生产线提升优化后 </w:t>
            </w:r>
            <w:r>
              <w:rPr>
                <w:spacing w:val="-4"/>
                <w:sz w:val="21"/>
              </w:rPr>
              <w:t>的七级硝酸吸收装置回收硝酸， </w:t>
            </w:r>
            <w:r>
              <w:rPr>
                <w:spacing w:val="8"/>
                <w:sz w:val="21"/>
              </w:rPr>
              <w:t>最后接入</w:t>
            </w:r>
            <w:r>
              <w:rPr>
                <w:rFonts w:ascii="Times New Roman" w:eastAsia="Times New Roman"/>
                <w:spacing w:val="-6"/>
                <w:sz w:val="21"/>
              </w:rPr>
              <w:t>RTO</w:t>
            </w:r>
            <w:r>
              <w:rPr>
                <w:rFonts w:ascii="Times New Roman" w:eastAsia="Times New Roman"/>
                <w:spacing w:val="-13"/>
                <w:sz w:val="21"/>
              </w:rPr>
              <w:t> </w:t>
            </w:r>
            <w:r>
              <w:rPr>
                <w:sz w:val="21"/>
              </w:rPr>
              <w:t>系统</w:t>
            </w:r>
            <w:r>
              <w:rPr>
                <w:rFonts w:ascii="Times New Roman" w:eastAsia="Times New Roman"/>
                <w:sz w:val="21"/>
              </w:rPr>
              <w:t>+SNCR</w:t>
            </w:r>
            <w:r>
              <w:rPr>
                <w:rFonts w:ascii="Times New Roman" w:eastAsia="Times New Roman"/>
                <w:spacing w:val="-13"/>
                <w:sz w:val="21"/>
              </w:rPr>
              <w:t> </w:t>
            </w:r>
            <w:r>
              <w:rPr>
                <w:sz w:val="21"/>
              </w:rPr>
              <w:t>脱硝</w:t>
            </w:r>
          </w:p>
          <w:p>
            <w:pPr>
              <w:pStyle w:val="TableParagraph"/>
              <w:spacing w:line="250" w:lineRule="exact" w:before="3"/>
              <w:ind w:left="98" w:right="93"/>
              <w:rPr>
                <w:sz w:val="21"/>
              </w:rPr>
            </w:pPr>
            <w:r>
              <w:rPr>
                <w:rFonts w:ascii="Times New Roman" w:eastAsia="Times New Roman"/>
                <w:sz w:val="21"/>
              </w:rPr>
              <w:t>+</w:t>
            </w:r>
            <w:r>
              <w:rPr>
                <w:sz w:val="21"/>
              </w:rPr>
              <w:t>四级碱吸收处理排放</w:t>
            </w:r>
          </w:p>
        </w:tc>
      </w:tr>
      <w:tr>
        <w:trPr>
          <w:trHeight w:val="273"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2" w:lineRule="exact" w:before="1"/>
              <w:ind w:left="159" w:right="151"/>
              <w:rPr>
                <w:sz w:val="21"/>
              </w:rPr>
            </w:pPr>
            <w:r>
              <w:rPr>
                <w:sz w:val="21"/>
              </w:rPr>
              <w:t>二氧化碳</w:t>
            </w:r>
          </w:p>
        </w:tc>
        <w:tc>
          <w:tcPr>
            <w:tcW w:w="1278" w:type="dxa"/>
          </w:tcPr>
          <w:p>
            <w:pPr>
              <w:pStyle w:val="TableParagraph"/>
              <w:spacing w:line="238" w:lineRule="exact" w:before="15"/>
              <w:ind w:left="88" w:right="84"/>
              <w:rPr>
                <w:rFonts w:ascii="Times New Roman"/>
                <w:sz w:val="21"/>
              </w:rPr>
            </w:pPr>
            <w:r>
              <w:rPr>
                <w:rFonts w:ascii="Times New Roman"/>
                <w:sz w:val="21"/>
              </w:rPr>
              <w:t>4.5</w:t>
            </w:r>
          </w:p>
        </w:tc>
        <w:tc>
          <w:tcPr>
            <w:tcW w:w="3085" w:type="dxa"/>
            <w:vMerge/>
            <w:tcBorders>
              <w:top w:val="nil"/>
            </w:tcBorders>
          </w:tcPr>
          <w:p>
            <w:pPr>
              <w:rPr>
                <w:sz w:val="2"/>
                <w:szCs w:val="2"/>
              </w:rPr>
            </w:pPr>
          </w:p>
        </w:tc>
      </w:tr>
      <w:tr>
        <w:trPr>
          <w:trHeight w:val="796"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before="9"/>
              <w:jc w:val="left"/>
              <w:rPr>
                <w:rFonts w:ascii="Times New Roman"/>
                <w:b/>
                <w:sz w:val="22"/>
              </w:rPr>
            </w:pPr>
          </w:p>
          <w:p>
            <w:pPr>
              <w:pStyle w:val="TableParagraph"/>
              <w:ind w:left="159" w:right="151"/>
              <w:rPr>
                <w:sz w:val="21"/>
              </w:rPr>
            </w:pPr>
            <w:r>
              <w:rPr>
                <w:sz w:val="21"/>
              </w:rPr>
              <w:t>氮氧化物</w:t>
            </w:r>
          </w:p>
        </w:tc>
        <w:tc>
          <w:tcPr>
            <w:tcW w:w="1278" w:type="dxa"/>
          </w:tcPr>
          <w:p>
            <w:pPr>
              <w:pStyle w:val="TableParagraph"/>
              <w:jc w:val="left"/>
              <w:rPr>
                <w:rFonts w:ascii="Times New Roman"/>
                <w:b/>
                <w:sz w:val="24"/>
              </w:rPr>
            </w:pPr>
          </w:p>
          <w:p>
            <w:pPr>
              <w:pStyle w:val="TableParagraph"/>
              <w:ind w:left="88" w:right="84"/>
              <w:rPr>
                <w:rFonts w:ascii="Times New Roman"/>
                <w:sz w:val="21"/>
              </w:rPr>
            </w:pPr>
            <w:r>
              <w:rPr>
                <w:rFonts w:ascii="Times New Roman"/>
                <w:sz w:val="21"/>
              </w:rPr>
              <w:t>0.397</w:t>
            </w:r>
          </w:p>
        </w:tc>
        <w:tc>
          <w:tcPr>
            <w:tcW w:w="3085" w:type="dxa"/>
            <w:vMerge/>
            <w:tcBorders>
              <w:top w:val="nil"/>
            </w:tcBorders>
          </w:tcPr>
          <w:p>
            <w:pPr>
              <w:rPr>
                <w:sz w:val="2"/>
                <w:szCs w:val="2"/>
              </w:rPr>
            </w:pPr>
          </w:p>
        </w:tc>
      </w:tr>
      <w:tr>
        <w:trPr>
          <w:trHeight w:val="273" w:hRule="atLeast"/>
        </w:trPr>
        <w:tc>
          <w:tcPr>
            <w:tcW w:w="1102" w:type="dxa"/>
            <w:vMerge/>
            <w:tcBorders>
              <w:top w:val="nil"/>
            </w:tcBorders>
          </w:tcPr>
          <w:p>
            <w:pPr>
              <w:rPr>
                <w:sz w:val="2"/>
                <w:szCs w:val="2"/>
              </w:rPr>
            </w:pPr>
          </w:p>
        </w:tc>
        <w:tc>
          <w:tcPr>
            <w:tcW w:w="2411" w:type="dxa"/>
          </w:tcPr>
          <w:p>
            <w:pPr>
              <w:pStyle w:val="TableParagraph"/>
              <w:spacing w:line="252" w:lineRule="exact" w:before="1"/>
              <w:ind w:left="7"/>
              <w:rPr>
                <w:sz w:val="21"/>
              </w:rPr>
            </w:pPr>
            <w:r>
              <w:rPr>
                <w:sz w:val="21"/>
              </w:rPr>
              <w:t>天然气燃烧废气</w:t>
            </w:r>
          </w:p>
        </w:tc>
        <w:tc>
          <w:tcPr>
            <w:tcW w:w="1417" w:type="dxa"/>
          </w:tcPr>
          <w:p>
            <w:pPr>
              <w:pStyle w:val="TableParagraph"/>
              <w:spacing w:line="252" w:lineRule="exact" w:before="1"/>
              <w:ind w:left="159" w:right="151"/>
              <w:rPr>
                <w:sz w:val="21"/>
              </w:rPr>
            </w:pPr>
            <w:r>
              <w:rPr>
                <w:sz w:val="21"/>
              </w:rPr>
              <w:t>氮氧化物</w:t>
            </w:r>
          </w:p>
        </w:tc>
        <w:tc>
          <w:tcPr>
            <w:tcW w:w="1278" w:type="dxa"/>
          </w:tcPr>
          <w:p>
            <w:pPr>
              <w:pStyle w:val="TableParagraph"/>
              <w:spacing w:line="238" w:lineRule="exact" w:before="15"/>
              <w:ind w:left="88" w:right="84"/>
              <w:rPr>
                <w:rFonts w:ascii="Times New Roman"/>
                <w:sz w:val="21"/>
              </w:rPr>
            </w:pPr>
            <w:r>
              <w:rPr>
                <w:rFonts w:ascii="Times New Roman"/>
                <w:sz w:val="21"/>
              </w:rPr>
              <w:t>1.89</w:t>
            </w:r>
          </w:p>
        </w:tc>
        <w:tc>
          <w:tcPr>
            <w:tcW w:w="3085" w:type="dxa"/>
          </w:tcPr>
          <w:p>
            <w:pPr>
              <w:pStyle w:val="TableParagraph"/>
              <w:spacing w:line="252" w:lineRule="exact" w:before="1"/>
              <w:ind w:left="98" w:right="96"/>
              <w:rPr>
                <w:sz w:val="21"/>
              </w:rPr>
            </w:pPr>
            <w:r>
              <w:rPr>
                <w:sz w:val="21"/>
              </w:rPr>
              <w:t>收集后经 </w:t>
            </w:r>
            <w:r>
              <w:rPr>
                <w:rFonts w:ascii="Times New Roman" w:eastAsia="Times New Roman"/>
                <w:sz w:val="21"/>
              </w:rPr>
              <w:t>15m </w:t>
            </w:r>
            <w:r>
              <w:rPr>
                <w:sz w:val="21"/>
              </w:rPr>
              <w:t>以上排气筒排放</w:t>
            </w:r>
          </w:p>
        </w:tc>
      </w:tr>
      <w:tr>
        <w:trPr>
          <w:trHeight w:val="270" w:hRule="atLeast"/>
        </w:trPr>
        <w:tc>
          <w:tcPr>
            <w:tcW w:w="3513" w:type="dxa"/>
            <w:gridSpan w:val="2"/>
          </w:tcPr>
          <w:p>
            <w:pPr>
              <w:pStyle w:val="TableParagraph"/>
              <w:spacing w:line="250" w:lineRule="exact" w:before="1"/>
              <w:ind w:left="1523" w:right="1518"/>
              <w:rPr>
                <w:b/>
                <w:sz w:val="21"/>
              </w:rPr>
            </w:pPr>
            <w:r>
              <w:rPr>
                <w:b/>
                <w:sz w:val="21"/>
              </w:rPr>
              <w:t>小计</w:t>
            </w:r>
          </w:p>
        </w:tc>
        <w:tc>
          <w:tcPr>
            <w:tcW w:w="1417" w:type="dxa"/>
          </w:tcPr>
          <w:p>
            <w:pPr>
              <w:pStyle w:val="TableParagraph"/>
              <w:spacing w:line="236" w:lineRule="exact" w:before="15"/>
              <w:ind w:left="157" w:right="153"/>
              <w:rPr>
                <w:rFonts w:ascii="Times New Roman"/>
                <w:b/>
                <w:sz w:val="21"/>
              </w:rPr>
            </w:pPr>
            <w:r>
              <w:rPr>
                <w:rFonts w:ascii="Times New Roman"/>
                <w:b/>
                <w:sz w:val="21"/>
              </w:rPr>
              <w:t>VOCs</w:t>
            </w:r>
          </w:p>
        </w:tc>
        <w:tc>
          <w:tcPr>
            <w:tcW w:w="1278" w:type="dxa"/>
          </w:tcPr>
          <w:p>
            <w:pPr>
              <w:pStyle w:val="TableParagraph"/>
              <w:spacing w:line="236" w:lineRule="exact" w:before="15"/>
              <w:ind w:left="88" w:right="84"/>
              <w:rPr>
                <w:rFonts w:ascii="Times New Roman"/>
                <w:b/>
                <w:sz w:val="21"/>
              </w:rPr>
            </w:pPr>
            <w:r>
              <w:rPr>
                <w:rFonts w:ascii="Times New Roman"/>
                <w:b/>
                <w:sz w:val="21"/>
              </w:rPr>
              <w:t>3.87</w:t>
            </w:r>
          </w:p>
        </w:tc>
        <w:tc>
          <w:tcPr>
            <w:tcW w:w="3085" w:type="dxa"/>
          </w:tcPr>
          <w:p>
            <w:pPr>
              <w:pStyle w:val="TableParagraph"/>
              <w:jc w:val="left"/>
              <w:rPr>
                <w:rFonts w:ascii="Times New Roman"/>
                <w:sz w:val="20"/>
              </w:rPr>
            </w:pPr>
          </w:p>
        </w:tc>
      </w:tr>
    </w:tbl>
    <w:p>
      <w:pPr>
        <w:pStyle w:val="BodyText"/>
        <w:spacing w:before="2"/>
        <w:ind w:left="698"/>
      </w:pPr>
      <w:r>
        <w:rPr>
          <w:rFonts w:ascii="Times New Roman" w:eastAsia="Times New Roman"/>
        </w:rPr>
        <w:t>3</w:t>
      </w:r>
      <w:r>
        <w:rPr/>
        <w:t>、固废</w:t>
      </w:r>
    </w:p>
    <w:p>
      <w:pPr>
        <w:pStyle w:val="BodyText"/>
        <w:spacing w:before="161"/>
        <w:ind w:left="698"/>
      </w:pPr>
      <w:r>
        <w:rPr/>
        <w:t>该生产线固废产生汇总情况见下表。</w:t>
      </w:r>
    </w:p>
    <w:p>
      <w:pPr>
        <w:pStyle w:val="BodyText"/>
        <w:spacing w:before="5"/>
        <w:rPr>
          <w:sz w:val="23"/>
        </w:rPr>
      </w:pPr>
    </w:p>
    <w:p>
      <w:pPr>
        <w:pStyle w:val="Heading4"/>
        <w:tabs>
          <w:tab w:pos="1222" w:val="left" w:leader="none"/>
          <w:tab w:pos="4114" w:val="left" w:leader="none"/>
        </w:tabs>
        <w:spacing w:after="29"/>
        <w:ind w:left="0" w:right="13"/>
        <w:jc w:val="center"/>
        <w:rPr>
          <w:rFonts w:ascii="Times New Roman" w:eastAsia="Times New Roman"/>
        </w:rPr>
      </w:pPr>
      <w:r>
        <w:rPr/>
        <w:t>表</w:t>
      </w:r>
      <w:r>
        <w:rPr>
          <w:spacing w:val="-60"/>
        </w:rPr>
        <w:t> </w:t>
      </w:r>
      <w:r>
        <w:rPr>
          <w:rFonts w:ascii="Times New Roman" w:eastAsia="Times New Roman"/>
        </w:rPr>
        <w:t>3.3.2-6</w:t>
        <w:tab/>
      </w:r>
      <w:r>
        <w:rPr/>
        <w:t>该生产线固废情况汇总表</w:t>
        <w:tab/>
        <w:t>单位：</w:t>
      </w:r>
      <w:r>
        <w:rPr>
          <w:rFonts w:ascii="Times New Roman" w:eastAsia="Times New Roman"/>
        </w:rPr>
        <w:t>t/a</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073"/>
        <w:gridCol w:w="769"/>
        <w:gridCol w:w="2310"/>
        <w:gridCol w:w="1431"/>
        <w:gridCol w:w="850"/>
        <w:gridCol w:w="1616"/>
      </w:tblGrid>
      <w:tr>
        <w:trPr>
          <w:trHeight w:val="546" w:hRule="atLeast"/>
        </w:trPr>
        <w:tc>
          <w:tcPr>
            <w:tcW w:w="1140" w:type="dxa"/>
          </w:tcPr>
          <w:p>
            <w:pPr>
              <w:pStyle w:val="TableParagraph"/>
              <w:spacing w:before="137"/>
              <w:ind w:left="24" w:right="12"/>
              <w:rPr>
                <w:b/>
                <w:sz w:val="21"/>
              </w:rPr>
            </w:pPr>
            <w:r>
              <w:rPr>
                <w:b/>
                <w:sz w:val="21"/>
              </w:rPr>
              <w:t>固废名称</w:t>
            </w:r>
          </w:p>
        </w:tc>
        <w:tc>
          <w:tcPr>
            <w:tcW w:w="1073" w:type="dxa"/>
          </w:tcPr>
          <w:p>
            <w:pPr>
              <w:pStyle w:val="TableParagraph"/>
              <w:spacing w:before="137"/>
              <w:ind w:left="95" w:right="84"/>
              <w:rPr>
                <w:b/>
                <w:sz w:val="21"/>
              </w:rPr>
            </w:pPr>
            <w:r>
              <w:rPr>
                <w:b/>
                <w:sz w:val="21"/>
              </w:rPr>
              <w:t>产生工序</w:t>
            </w:r>
          </w:p>
        </w:tc>
        <w:tc>
          <w:tcPr>
            <w:tcW w:w="769" w:type="dxa"/>
          </w:tcPr>
          <w:p>
            <w:pPr>
              <w:pStyle w:val="TableParagraph"/>
              <w:spacing w:before="137"/>
              <w:ind w:left="48" w:right="40"/>
              <w:rPr>
                <w:b/>
                <w:sz w:val="21"/>
              </w:rPr>
            </w:pPr>
            <w:r>
              <w:rPr>
                <w:b/>
                <w:sz w:val="21"/>
              </w:rPr>
              <w:t>性状</w:t>
            </w:r>
          </w:p>
        </w:tc>
        <w:tc>
          <w:tcPr>
            <w:tcW w:w="2310" w:type="dxa"/>
          </w:tcPr>
          <w:p>
            <w:pPr>
              <w:pStyle w:val="TableParagraph"/>
              <w:spacing w:before="137"/>
              <w:ind w:left="731"/>
              <w:jc w:val="left"/>
              <w:rPr>
                <w:b/>
                <w:sz w:val="21"/>
              </w:rPr>
            </w:pPr>
            <w:r>
              <w:rPr>
                <w:b/>
                <w:sz w:val="21"/>
              </w:rPr>
              <w:t>主要成分</w:t>
            </w:r>
          </w:p>
        </w:tc>
        <w:tc>
          <w:tcPr>
            <w:tcW w:w="1431" w:type="dxa"/>
          </w:tcPr>
          <w:p>
            <w:pPr>
              <w:pStyle w:val="TableParagraph"/>
              <w:spacing w:before="137"/>
              <w:ind w:left="291"/>
              <w:jc w:val="left"/>
              <w:rPr>
                <w:b/>
                <w:sz w:val="21"/>
              </w:rPr>
            </w:pPr>
            <w:r>
              <w:rPr>
                <w:b/>
                <w:sz w:val="21"/>
              </w:rPr>
              <w:t>危废代码</w:t>
            </w:r>
          </w:p>
        </w:tc>
        <w:tc>
          <w:tcPr>
            <w:tcW w:w="850" w:type="dxa"/>
          </w:tcPr>
          <w:p>
            <w:pPr>
              <w:pStyle w:val="TableParagraph"/>
              <w:spacing w:line="270" w:lineRule="atLeast" w:before="2"/>
              <w:ind w:left="208" w:right="101" w:hanging="106"/>
              <w:jc w:val="left"/>
              <w:rPr>
                <w:b/>
                <w:sz w:val="21"/>
              </w:rPr>
            </w:pPr>
            <w:r>
              <w:rPr>
                <w:b/>
                <w:sz w:val="21"/>
              </w:rPr>
              <w:t>达产产生量</w:t>
            </w:r>
          </w:p>
        </w:tc>
        <w:tc>
          <w:tcPr>
            <w:tcW w:w="1616" w:type="dxa"/>
          </w:tcPr>
          <w:p>
            <w:pPr>
              <w:pStyle w:val="TableParagraph"/>
              <w:spacing w:before="137"/>
              <w:ind w:left="384"/>
              <w:jc w:val="left"/>
              <w:rPr>
                <w:b/>
                <w:sz w:val="21"/>
              </w:rPr>
            </w:pPr>
            <w:r>
              <w:rPr>
                <w:b/>
                <w:sz w:val="21"/>
              </w:rPr>
              <w:t>处置去向</w:t>
            </w:r>
          </w:p>
        </w:tc>
      </w:tr>
      <w:tr>
        <w:trPr>
          <w:trHeight w:val="544" w:hRule="atLeast"/>
        </w:trPr>
        <w:tc>
          <w:tcPr>
            <w:tcW w:w="1140" w:type="dxa"/>
          </w:tcPr>
          <w:p>
            <w:pPr>
              <w:pStyle w:val="TableParagraph"/>
              <w:spacing w:before="137"/>
              <w:ind w:left="24" w:right="10"/>
              <w:rPr>
                <w:sz w:val="21"/>
              </w:rPr>
            </w:pPr>
            <w:r>
              <w:rPr>
                <w:sz w:val="21"/>
              </w:rPr>
              <w:t>脱焦残液</w:t>
            </w:r>
          </w:p>
        </w:tc>
        <w:tc>
          <w:tcPr>
            <w:tcW w:w="1073" w:type="dxa"/>
          </w:tcPr>
          <w:p>
            <w:pPr>
              <w:pStyle w:val="TableParagraph"/>
              <w:spacing w:before="137"/>
              <w:ind w:left="95" w:right="84"/>
              <w:rPr>
                <w:sz w:val="21"/>
              </w:rPr>
            </w:pPr>
            <w:r>
              <w:rPr>
                <w:sz w:val="21"/>
              </w:rPr>
              <w:t>脱焦</w:t>
            </w:r>
          </w:p>
        </w:tc>
        <w:tc>
          <w:tcPr>
            <w:tcW w:w="769" w:type="dxa"/>
          </w:tcPr>
          <w:p>
            <w:pPr>
              <w:pStyle w:val="TableParagraph"/>
              <w:spacing w:before="137"/>
              <w:ind w:left="48" w:right="40"/>
              <w:rPr>
                <w:sz w:val="21"/>
              </w:rPr>
            </w:pPr>
            <w:r>
              <w:rPr>
                <w:sz w:val="21"/>
              </w:rPr>
              <w:t>半固态</w:t>
            </w:r>
          </w:p>
        </w:tc>
        <w:tc>
          <w:tcPr>
            <w:tcW w:w="2310" w:type="dxa"/>
          </w:tcPr>
          <w:p>
            <w:pPr>
              <w:pStyle w:val="TableParagraph"/>
              <w:spacing w:before="1"/>
              <w:ind w:left="54"/>
              <w:jc w:val="left"/>
              <w:rPr>
                <w:sz w:val="21"/>
              </w:rPr>
            </w:pPr>
            <w:r>
              <w:rPr>
                <w:rFonts w:ascii="Times New Roman" w:eastAsia="Times New Roman"/>
                <w:sz w:val="21"/>
              </w:rPr>
              <w:t>3-</w:t>
            </w:r>
            <w:r>
              <w:rPr>
                <w:sz w:val="21"/>
              </w:rPr>
              <w:t>硝基邻二甲苯、</w:t>
            </w:r>
            <w:r>
              <w:rPr>
                <w:rFonts w:ascii="Times New Roman" w:eastAsia="Times New Roman"/>
                <w:sz w:val="21"/>
              </w:rPr>
              <w:t>4-</w:t>
            </w:r>
            <w:r>
              <w:rPr>
                <w:sz w:val="21"/>
              </w:rPr>
              <w:t>硝基</w:t>
            </w:r>
          </w:p>
          <w:p>
            <w:pPr>
              <w:pStyle w:val="TableParagraph"/>
              <w:spacing w:line="252" w:lineRule="exact" w:before="2"/>
              <w:ind w:left="102"/>
              <w:jc w:val="left"/>
              <w:rPr>
                <w:sz w:val="21"/>
              </w:rPr>
            </w:pPr>
            <w:r>
              <w:rPr>
                <w:sz w:val="21"/>
              </w:rPr>
              <w:t>邻二甲苯、有机杂质等</w:t>
            </w:r>
          </w:p>
        </w:tc>
        <w:tc>
          <w:tcPr>
            <w:tcW w:w="1431" w:type="dxa"/>
          </w:tcPr>
          <w:p>
            <w:pPr>
              <w:pStyle w:val="TableParagraph"/>
              <w:spacing w:before="29"/>
              <w:ind w:left="226" w:right="180" w:firstLine="211"/>
              <w:jc w:val="left"/>
              <w:rPr>
                <w:rFonts w:ascii="Times New Roman"/>
                <w:sz w:val="21"/>
              </w:rPr>
            </w:pPr>
            <w:r>
              <w:rPr>
                <w:rFonts w:ascii="Times New Roman"/>
                <w:sz w:val="21"/>
              </w:rPr>
              <w:t>HW11 261-015-11</w:t>
            </w:r>
          </w:p>
        </w:tc>
        <w:tc>
          <w:tcPr>
            <w:tcW w:w="850" w:type="dxa"/>
          </w:tcPr>
          <w:p>
            <w:pPr>
              <w:pStyle w:val="TableParagraph"/>
              <w:spacing w:before="151"/>
              <w:ind w:left="264"/>
              <w:jc w:val="left"/>
              <w:rPr>
                <w:rFonts w:ascii="Times New Roman"/>
                <w:sz w:val="21"/>
              </w:rPr>
            </w:pPr>
            <w:r>
              <w:rPr>
                <w:rFonts w:ascii="Times New Roman"/>
                <w:sz w:val="21"/>
              </w:rPr>
              <w:t>801</w:t>
            </w:r>
          </w:p>
        </w:tc>
        <w:tc>
          <w:tcPr>
            <w:tcW w:w="1616" w:type="dxa"/>
          </w:tcPr>
          <w:p>
            <w:pPr>
              <w:pStyle w:val="TableParagraph"/>
              <w:spacing w:before="1"/>
              <w:ind w:left="51" w:right="45"/>
              <w:rPr>
                <w:sz w:val="21"/>
              </w:rPr>
            </w:pPr>
            <w:r>
              <w:rPr>
                <w:sz w:val="21"/>
              </w:rPr>
              <w:t>委托众联环保或</w:t>
            </w:r>
          </w:p>
          <w:p>
            <w:pPr>
              <w:pStyle w:val="TableParagraph"/>
              <w:spacing w:line="252" w:lineRule="exact" w:before="2"/>
              <w:ind w:left="49" w:right="45"/>
              <w:rPr>
                <w:sz w:val="21"/>
              </w:rPr>
            </w:pPr>
            <w:r>
              <w:rPr>
                <w:sz w:val="21"/>
              </w:rPr>
              <w:t>华鑫环保焚烧</w:t>
            </w:r>
          </w:p>
        </w:tc>
      </w:tr>
    </w:tbl>
    <w:p>
      <w:pPr>
        <w:pStyle w:val="ListParagraph"/>
        <w:numPr>
          <w:ilvl w:val="2"/>
          <w:numId w:val="13"/>
        </w:numPr>
        <w:tabs>
          <w:tab w:pos="1059" w:val="left" w:leader="none"/>
        </w:tabs>
        <w:spacing w:line="240" w:lineRule="auto" w:before="122" w:after="0"/>
        <w:ind w:left="1058" w:right="0" w:hanging="601"/>
        <w:jc w:val="both"/>
        <w:rPr>
          <w:b/>
          <w:sz w:val="24"/>
        </w:rPr>
      </w:pPr>
      <w:r>
        <w:rPr>
          <w:b/>
          <w:spacing w:val="-20"/>
          <w:sz w:val="24"/>
        </w:rPr>
        <w:t>年产 </w:t>
      </w:r>
      <w:r>
        <w:rPr>
          <w:rFonts w:ascii="Times New Roman" w:eastAsia="Times New Roman"/>
          <w:b/>
          <w:sz w:val="24"/>
        </w:rPr>
        <w:t>4000 </w:t>
      </w:r>
      <w:r>
        <w:rPr>
          <w:b/>
          <w:sz w:val="24"/>
        </w:rPr>
        <w:t>吨</w:t>
      </w:r>
      <w:r>
        <w:rPr>
          <w:rFonts w:ascii="Times New Roman" w:eastAsia="Times New Roman"/>
          <w:b/>
          <w:sz w:val="24"/>
        </w:rPr>
        <w:t>/</w:t>
      </w:r>
      <w:r>
        <w:rPr>
          <w:b/>
          <w:spacing w:val="-29"/>
          <w:sz w:val="24"/>
        </w:rPr>
        <w:t>年 </w:t>
      </w:r>
      <w:r>
        <w:rPr>
          <w:rFonts w:ascii="Times New Roman" w:eastAsia="Times New Roman"/>
          <w:b/>
          <w:sz w:val="24"/>
        </w:rPr>
        <w:t>2,3-</w:t>
      </w:r>
      <w:r>
        <w:rPr>
          <w:b/>
          <w:sz w:val="24"/>
        </w:rPr>
        <w:t>二甲基苯胺生产装置生产、排污情况</w:t>
      </w:r>
    </w:p>
    <w:p>
      <w:pPr>
        <w:pStyle w:val="BodyText"/>
        <w:spacing w:line="364" w:lineRule="auto" w:before="158"/>
        <w:ind w:left="218" w:right="232" w:firstLine="480"/>
        <w:jc w:val="both"/>
      </w:pPr>
      <w:r>
        <w:rPr/>
        <w:t>“</w:t>
      </w:r>
      <w:r>
        <w:rPr>
          <w:rFonts w:ascii="Times New Roman" w:hAnsi="Times New Roman" w:eastAsia="Times New Roman"/>
        </w:rPr>
        <w:t>8000 </w:t>
      </w:r>
      <w:r>
        <w:rPr/>
        <w:t>吨</w:t>
      </w:r>
      <w:r>
        <w:rPr>
          <w:rFonts w:ascii="Times New Roman" w:hAnsi="Times New Roman" w:eastAsia="Times New Roman"/>
        </w:rPr>
        <w:t>/</w:t>
      </w:r>
      <w:r>
        <w:rPr>
          <w:spacing w:val="-29"/>
        </w:rPr>
        <w:t>年 </w:t>
      </w:r>
      <w:r>
        <w:rPr>
          <w:rFonts w:ascii="Times New Roman" w:hAnsi="Times New Roman" w:eastAsia="Times New Roman"/>
        </w:rPr>
        <w:t>4-</w:t>
      </w:r>
      <w:r>
        <w:rPr>
          <w:spacing w:val="-4"/>
        </w:rPr>
        <w:t>硝基邻二甲苯、</w:t>
      </w:r>
      <w:r>
        <w:rPr>
          <w:rFonts w:ascii="Times New Roman" w:hAnsi="Times New Roman" w:eastAsia="Times New Roman"/>
        </w:rPr>
        <w:t>6000 </w:t>
      </w:r>
      <w:r>
        <w:rPr/>
        <w:t>吨</w:t>
      </w:r>
      <w:r>
        <w:rPr>
          <w:rFonts w:ascii="Times New Roman" w:hAnsi="Times New Roman" w:eastAsia="Times New Roman"/>
        </w:rPr>
        <w:t>/</w:t>
      </w:r>
      <w:r>
        <w:rPr>
          <w:spacing w:val="-29"/>
        </w:rPr>
        <w:t>年 </w:t>
      </w:r>
      <w:r>
        <w:rPr>
          <w:rFonts w:ascii="Times New Roman" w:hAnsi="Times New Roman" w:eastAsia="Times New Roman"/>
          <w:spacing w:val="-6"/>
        </w:rPr>
        <w:t>N-</w:t>
      </w:r>
      <w:r>
        <w:rPr>
          <w:spacing w:val="-6"/>
        </w:rPr>
        <w:t>（</w:t>
      </w:r>
      <w:r>
        <w:rPr>
          <w:rFonts w:ascii="Times New Roman" w:hAnsi="Times New Roman" w:eastAsia="Times New Roman"/>
          <w:spacing w:val="-6"/>
        </w:rPr>
        <w:t>1-</w:t>
      </w:r>
      <w:r>
        <w:rPr/>
        <w:t>乙基丙基</w:t>
      </w:r>
      <w:r>
        <w:rPr>
          <w:spacing w:val="-5"/>
        </w:rPr>
        <w:t>）</w:t>
      </w:r>
      <w:r>
        <w:rPr>
          <w:rFonts w:ascii="Times New Roman" w:hAnsi="Times New Roman" w:eastAsia="Times New Roman"/>
          <w:spacing w:val="-5"/>
        </w:rPr>
        <w:t>-3,4-</w:t>
      </w:r>
      <w:r>
        <w:rPr>
          <w:spacing w:val="-4"/>
        </w:rPr>
        <w:t>二甲基苯胺、</w:t>
      </w:r>
      <w:r>
        <w:rPr>
          <w:rFonts w:ascii="Times New Roman" w:hAnsi="Times New Roman" w:eastAsia="Times New Roman"/>
        </w:rPr>
        <w:t>4000 </w:t>
      </w:r>
      <w:r>
        <w:rPr/>
        <w:t>吨</w:t>
      </w:r>
      <w:r>
        <w:rPr>
          <w:rFonts w:ascii="Times New Roman" w:hAnsi="Times New Roman" w:eastAsia="Times New Roman"/>
        </w:rPr>
        <w:t>/</w:t>
      </w:r>
      <w:r>
        <w:rPr>
          <w:spacing w:val="-31"/>
        </w:rPr>
        <w:t>年 </w:t>
      </w:r>
      <w:r>
        <w:rPr>
          <w:rFonts w:ascii="Times New Roman" w:hAnsi="Times New Roman" w:eastAsia="Times New Roman"/>
        </w:rPr>
        <w:t>2,3-</w:t>
      </w:r>
      <w:r>
        <w:rPr>
          <w:spacing w:val="-8"/>
        </w:rPr>
        <w:t>二甲基苯胺技改项目”于 </w:t>
      </w:r>
      <w:r>
        <w:rPr>
          <w:rFonts w:ascii="Times New Roman" w:hAnsi="Times New Roman" w:eastAsia="Times New Roman"/>
        </w:rPr>
        <w:t>2014 </w:t>
      </w:r>
      <w:r>
        <w:rPr>
          <w:spacing w:val="-30"/>
        </w:rPr>
        <w:t>年 </w:t>
      </w:r>
      <w:r>
        <w:rPr>
          <w:rFonts w:ascii="Times New Roman" w:hAnsi="Times New Roman" w:eastAsia="Times New Roman"/>
        </w:rPr>
        <w:t>4 </w:t>
      </w:r>
      <w:r>
        <w:rPr>
          <w:spacing w:val="-12"/>
        </w:rPr>
        <w:t>月通过审批，于 </w:t>
      </w:r>
      <w:r>
        <w:rPr>
          <w:rFonts w:ascii="Times New Roman" w:hAnsi="Times New Roman" w:eastAsia="Times New Roman"/>
        </w:rPr>
        <w:t>2015 </w:t>
      </w:r>
      <w:r>
        <w:rPr>
          <w:spacing w:val="-30"/>
        </w:rPr>
        <w:t>年 </w:t>
      </w:r>
      <w:r>
        <w:rPr>
          <w:rFonts w:ascii="Times New Roman" w:hAnsi="Times New Roman" w:eastAsia="Times New Roman"/>
        </w:rPr>
        <w:t>2 </w:t>
      </w:r>
      <w:r>
        <w:rPr>
          <w:spacing w:val="-6"/>
        </w:rPr>
        <w:t>月通过验收。其</w:t>
      </w:r>
      <w:r>
        <w:rPr>
          <w:spacing w:val="-13"/>
        </w:rPr>
        <w:t>中的年产 </w:t>
      </w:r>
      <w:r>
        <w:rPr>
          <w:rFonts w:ascii="Times New Roman" w:hAnsi="Times New Roman" w:eastAsia="Times New Roman"/>
        </w:rPr>
        <w:t>4000 </w:t>
      </w:r>
      <w:r>
        <w:rPr/>
        <w:t>吨</w:t>
      </w:r>
      <w:r>
        <w:rPr>
          <w:rFonts w:ascii="Times New Roman" w:hAnsi="Times New Roman" w:eastAsia="Times New Roman"/>
        </w:rPr>
        <w:t>/</w:t>
      </w:r>
      <w:r>
        <w:rPr>
          <w:spacing w:val="-30"/>
        </w:rPr>
        <w:t>年 </w:t>
      </w:r>
      <w:r>
        <w:rPr>
          <w:rFonts w:ascii="Times New Roman" w:hAnsi="Times New Roman" w:eastAsia="Times New Roman"/>
        </w:rPr>
        <w:t>2,3-</w:t>
      </w:r>
      <w:r>
        <w:rPr/>
        <w:t>二甲基苯胺生产装置，目前正常生产。</w:t>
      </w:r>
    </w:p>
    <w:p>
      <w:pPr>
        <w:pStyle w:val="Heading4"/>
        <w:numPr>
          <w:ilvl w:val="3"/>
          <w:numId w:val="13"/>
        </w:numPr>
        <w:tabs>
          <w:tab w:pos="1410" w:val="left" w:leader="none"/>
        </w:tabs>
        <w:spacing w:line="240" w:lineRule="auto" w:before="0" w:after="0"/>
        <w:ind w:left="1409" w:right="0" w:hanging="721"/>
        <w:jc w:val="left"/>
      </w:pPr>
      <w:r>
        <w:rPr/>
        <w:t>生产设备情况</w:t>
      </w:r>
    </w:p>
    <w:p>
      <w:pPr>
        <w:pStyle w:val="BodyText"/>
        <w:spacing w:before="161"/>
        <w:ind w:left="698"/>
      </w:pPr>
      <w:r>
        <w:rPr/>
        <w:t>还原车间实际生产设备见下表。</w:t>
      </w:r>
    </w:p>
    <w:p>
      <w:pPr>
        <w:pStyle w:val="BodyText"/>
        <w:spacing w:before="5"/>
        <w:rPr>
          <w:sz w:val="23"/>
        </w:rPr>
      </w:pPr>
    </w:p>
    <w:p>
      <w:pPr>
        <w:pStyle w:val="Heading4"/>
        <w:tabs>
          <w:tab w:pos="1221" w:val="left" w:leader="none"/>
        </w:tabs>
        <w:spacing w:after="29"/>
        <w:ind w:left="0" w:right="15"/>
        <w:jc w:val="center"/>
      </w:pPr>
      <w:r>
        <w:rPr/>
        <w:t>表</w:t>
      </w:r>
      <w:r>
        <w:rPr>
          <w:spacing w:val="-60"/>
        </w:rPr>
        <w:t> </w:t>
      </w:r>
      <w:r>
        <w:rPr>
          <w:rFonts w:ascii="Times New Roman" w:eastAsia="Times New Roman"/>
        </w:rPr>
        <w:t>3.3.3-1</w:t>
        <w:tab/>
      </w:r>
      <w:r>
        <w:rPr/>
        <w:t>还原车间主</w:t>
      </w:r>
      <w:r>
        <w:rPr>
          <w:spacing w:val="3"/>
        </w:rPr>
        <w:t>要</w:t>
      </w:r>
      <w:r>
        <w:rPr/>
        <w:t>生产设备表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6"/>
        <w:gridCol w:w="3387"/>
        <w:gridCol w:w="2026"/>
        <w:gridCol w:w="2101"/>
      </w:tblGrid>
      <w:tr>
        <w:trPr>
          <w:trHeight w:val="285" w:hRule="atLeast"/>
        </w:trPr>
        <w:tc>
          <w:tcPr>
            <w:tcW w:w="1776" w:type="dxa"/>
          </w:tcPr>
          <w:p>
            <w:pPr>
              <w:pStyle w:val="TableParagraph"/>
              <w:spacing w:line="257" w:lineRule="exact" w:before="8"/>
              <w:ind w:left="548" w:right="539"/>
              <w:rPr>
                <w:b/>
                <w:sz w:val="21"/>
              </w:rPr>
            </w:pPr>
            <w:r>
              <w:rPr>
                <w:b/>
                <w:sz w:val="21"/>
              </w:rPr>
              <w:t>序号</w:t>
            </w:r>
          </w:p>
        </w:tc>
        <w:tc>
          <w:tcPr>
            <w:tcW w:w="3387" w:type="dxa"/>
          </w:tcPr>
          <w:p>
            <w:pPr>
              <w:pStyle w:val="TableParagraph"/>
              <w:spacing w:line="257" w:lineRule="exact" w:before="8"/>
              <w:ind w:left="1269"/>
              <w:jc w:val="left"/>
              <w:rPr>
                <w:b/>
                <w:sz w:val="21"/>
              </w:rPr>
            </w:pPr>
            <w:r>
              <w:rPr>
                <w:b/>
                <w:sz w:val="21"/>
              </w:rPr>
              <w:t>设备名称</w:t>
            </w:r>
          </w:p>
        </w:tc>
        <w:tc>
          <w:tcPr>
            <w:tcW w:w="2026" w:type="dxa"/>
          </w:tcPr>
          <w:p>
            <w:pPr>
              <w:pStyle w:val="TableParagraph"/>
              <w:spacing w:line="257" w:lineRule="exact" w:before="8"/>
              <w:ind w:left="590"/>
              <w:jc w:val="left"/>
              <w:rPr>
                <w:b/>
                <w:sz w:val="21"/>
              </w:rPr>
            </w:pPr>
            <w:r>
              <w:rPr>
                <w:b/>
                <w:sz w:val="21"/>
              </w:rPr>
              <w:t>规格型号</w:t>
            </w:r>
          </w:p>
        </w:tc>
        <w:tc>
          <w:tcPr>
            <w:tcW w:w="2101" w:type="dxa"/>
          </w:tcPr>
          <w:p>
            <w:pPr>
              <w:pStyle w:val="TableParagraph"/>
              <w:spacing w:line="257" w:lineRule="exact" w:before="8"/>
              <w:ind w:left="388"/>
              <w:jc w:val="left"/>
              <w:rPr>
                <w:b/>
                <w:sz w:val="21"/>
              </w:rPr>
            </w:pPr>
            <w:r>
              <w:rPr>
                <w:b/>
                <w:sz w:val="21"/>
              </w:rPr>
              <w:t>数量（台</w:t>
            </w:r>
            <w:r>
              <w:rPr>
                <w:rFonts w:ascii="Times New Roman" w:eastAsia="Times New Roman"/>
                <w:b/>
                <w:sz w:val="21"/>
              </w:rPr>
              <w:t>/</w:t>
            </w:r>
            <w:r>
              <w:rPr>
                <w:b/>
                <w:sz w:val="21"/>
              </w:rPr>
              <w:t>套）</w:t>
            </w: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spacing w:line="257" w:lineRule="exact" w:before="5"/>
              <w:ind w:left="1269"/>
              <w:jc w:val="left"/>
              <w:rPr>
                <w:b/>
                <w:sz w:val="21"/>
              </w:rPr>
            </w:pPr>
            <w:r>
              <w:rPr>
                <w:b/>
                <w:color w:val="FF0000"/>
                <w:sz w:val="21"/>
              </w:rPr>
              <w:t>涉密删除</w:t>
            </w: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bl>
    <w:p>
      <w:pPr>
        <w:spacing w:after="0"/>
        <w:jc w:val="left"/>
        <w:rPr>
          <w:rFonts w:ascii="Times New Roman"/>
          <w:sz w:val="20"/>
        </w:rPr>
        <w:sectPr>
          <w:pgSz w:w="11910" w:h="16850"/>
          <w:pgMar w:header="730" w:footer="690" w:top="1340" w:bottom="880" w:left="1200" w:right="1180"/>
        </w:sectPr>
      </w:pPr>
    </w:p>
    <w:p>
      <w:pPr>
        <w:pStyle w:val="BodyText"/>
        <w:spacing w:before="10"/>
        <w:rPr>
          <w:b/>
          <w:sz w:val="4"/>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6"/>
        <w:gridCol w:w="3387"/>
        <w:gridCol w:w="2026"/>
        <w:gridCol w:w="2101"/>
      </w:tblGrid>
      <w:tr>
        <w:trPr>
          <w:trHeight w:val="283" w:hRule="atLeast"/>
        </w:trPr>
        <w:tc>
          <w:tcPr>
            <w:tcW w:w="1776" w:type="dxa"/>
          </w:tcPr>
          <w:p>
            <w:pPr>
              <w:pStyle w:val="TableParagraph"/>
              <w:spacing w:line="257" w:lineRule="exact" w:before="5"/>
              <w:ind w:left="548" w:right="539"/>
              <w:rPr>
                <w:b/>
                <w:sz w:val="21"/>
              </w:rPr>
            </w:pPr>
            <w:r>
              <w:rPr>
                <w:b/>
                <w:sz w:val="21"/>
              </w:rPr>
              <w:t>序号</w:t>
            </w:r>
          </w:p>
        </w:tc>
        <w:tc>
          <w:tcPr>
            <w:tcW w:w="3387" w:type="dxa"/>
          </w:tcPr>
          <w:p>
            <w:pPr>
              <w:pStyle w:val="TableParagraph"/>
              <w:spacing w:line="257" w:lineRule="exact" w:before="5"/>
              <w:ind w:left="1250" w:right="1243"/>
              <w:rPr>
                <w:b/>
                <w:sz w:val="21"/>
              </w:rPr>
            </w:pPr>
            <w:r>
              <w:rPr>
                <w:b/>
                <w:sz w:val="21"/>
              </w:rPr>
              <w:t>设备名称</w:t>
            </w:r>
          </w:p>
        </w:tc>
        <w:tc>
          <w:tcPr>
            <w:tcW w:w="2026" w:type="dxa"/>
          </w:tcPr>
          <w:p>
            <w:pPr>
              <w:pStyle w:val="TableParagraph"/>
              <w:spacing w:line="257" w:lineRule="exact" w:before="5"/>
              <w:ind w:left="590"/>
              <w:jc w:val="left"/>
              <w:rPr>
                <w:b/>
                <w:sz w:val="21"/>
              </w:rPr>
            </w:pPr>
            <w:r>
              <w:rPr>
                <w:b/>
                <w:sz w:val="21"/>
              </w:rPr>
              <w:t>规格型号</w:t>
            </w:r>
          </w:p>
        </w:tc>
        <w:tc>
          <w:tcPr>
            <w:tcW w:w="2101" w:type="dxa"/>
          </w:tcPr>
          <w:p>
            <w:pPr>
              <w:pStyle w:val="TableParagraph"/>
              <w:spacing w:line="257" w:lineRule="exact" w:before="5"/>
              <w:ind w:left="388"/>
              <w:jc w:val="left"/>
              <w:rPr>
                <w:b/>
                <w:sz w:val="21"/>
              </w:rPr>
            </w:pPr>
            <w:r>
              <w:rPr>
                <w:b/>
                <w:sz w:val="21"/>
              </w:rPr>
              <w:t>数量（台</w:t>
            </w:r>
            <w:r>
              <w:rPr>
                <w:rFonts w:ascii="Times New Roman" w:eastAsia="Times New Roman"/>
                <w:b/>
                <w:sz w:val="21"/>
              </w:rPr>
              <w:t>/</w:t>
            </w:r>
            <w:r>
              <w:rPr>
                <w:b/>
                <w:sz w:val="21"/>
              </w:rPr>
              <w:t>套）</w:t>
            </w: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3"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原辅材料消耗情况</w:t>
      </w:r>
    </w:p>
    <w:p>
      <w:pPr>
        <w:pStyle w:val="BodyText"/>
        <w:spacing w:before="161"/>
        <w:ind w:left="698"/>
      </w:pPr>
      <w:r>
        <w:rPr/>
        <w:t>根据调查，该生产线实际消耗原辅材料和原环评基本一致。</w:t>
      </w:r>
    </w:p>
    <w:p>
      <w:pPr>
        <w:pStyle w:val="BodyText"/>
        <w:spacing w:before="5"/>
        <w:rPr>
          <w:sz w:val="23"/>
        </w:rPr>
      </w:pPr>
    </w:p>
    <w:p>
      <w:pPr>
        <w:pStyle w:val="Heading4"/>
        <w:tabs>
          <w:tab w:pos="1221" w:val="left" w:leader="none"/>
        </w:tabs>
        <w:spacing w:after="29"/>
        <w:ind w:left="0" w:right="16"/>
        <w:jc w:val="center"/>
      </w:pPr>
      <w:r>
        <w:rPr/>
        <w:t>表</w:t>
      </w:r>
      <w:r>
        <w:rPr>
          <w:spacing w:val="-60"/>
        </w:rPr>
        <w:t> </w:t>
      </w:r>
      <w:r>
        <w:rPr>
          <w:rFonts w:ascii="Times New Roman" w:eastAsia="Times New Roman"/>
        </w:rPr>
        <w:t>3.3.3-2</w:t>
        <w:tab/>
      </w:r>
      <w:r>
        <w:rPr/>
        <w:t>实际主要原辅材料消耗表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1795"/>
        <w:gridCol w:w="850"/>
        <w:gridCol w:w="1152"/>
        <w:gridCol w:w="1839"/>
        <w:gridCol w:w="1123"/>
        <w:gridCol w:w="1949"/>
      </w:tblGrid>
      <w:tr>
        <w:trPr>
          <w:trHeight w:val="285" w:hRule="atLeast"/>
        </w:trPr>
        <w:tc>
          <w:tcPr>
            <w:tcW w:w="581" w:type="dxa"/>
            <w:vMerge w:val="restart"/>
          </w:tcPr>
          <w:p>
            <w:pPr>
              <w:pStyle w:val="TableParagraph"/>
              <w:spacing w:line="270" w:lineRule="atLeast" w:before="17"/>
              <w:ind w:left="184" w:right="173"/>
              <w:jc w:val="left"/>
              <w:rPr>
                <w:b/>
                <w:sz w:val="21"/>
              </w:rPr>
            </w:pPr>
            <w:r>
              <w:rPr>
                <w:b/>
                <w:sz w:val="21"/>
              </w:rPr>
              <w:t>序号</w:t>
            </w:r>
          </w:p>
        </w:tc>
        <w:tc>
          <w:tcPr>
            <w:tcW w:w="1795" w:type="dxa"/>
            <w:vMerge w:val="restart"/>
          </w:tcPr>
          <w:p>
            <w:pPr>
              <w:pStyle w:val="TableParagraph"/>
              <w:spacing w:before="155"/>
              <w:ind w:left="474"/>
              <w:jc w:val="left"/>
              <w:rPr>
                <w:b/>
                <w:sz w:val="21"/>
              </w:rPr>
            </w:pPr>
            <w:r>
              <w:rPr>
                <w:b/>
                <w:sz w:val="21"/>
              </w:rPr>
              <w:t>原料名称</w:t>
            </w:r>
          </w:p>
        </w:tc>
        <w:tc>
          <w:tcPr>
            <w:tcW w:w="850" w:type="dxa"/>
            <w:vMerge w:val="restart"/>
          </w:tcPr>
          <w:p>
            <w:pPr>
              <w:pStyle w:val="TableParagraph"/>
              <w:spacing w:before="155"/>
              <w:ind w:left="210"/>
              <w:jc w:val="left"/>
              <w:rPr>
                <w:b/>
                <w:sz w:val="21"/>
              </w:rPr>
            </w:pPr>
            <w:r>
              <w:rPr>
                <w:b/>
                <w:sz w:val="21"/>
              </w:rPr>
              <w:t>规格</w:t>
            </w:r>
          </w:p>
        </w:tc>
        <w:tc>
          <w:tcPr>
            <w:tcW w:w="2991" w:type="dxa"/>
            <w:gridSpan w:val="2"/>
          </w:tcPr>
          <w:p>
            <w:pPr>
              <w:pStyle w:val="TableParagraph"/>
              <w:spacing w:line="257" w:lineRule="exact" w:before="8"/>
              <w:ind w:left="1048" w:right="1044"/>
              <w:rPr>
                <w:b/>
                <w:sz w:val="21"/>
              </w:rPr>
            </w:pPr>
            <w:r>
              <w:rPr>
                <w:b/>
                <w:sz w:val="21"/>
              </w:rPr>
              <w:t>环评</w:t>
            </w:r>
          </w:p>
        </w:tc>
        <w:tc>
          <w:tcPr>
            <w:tcW w:w="3072" w:type="dxa"/>
            <w:gridSpan w:val="2"/>
          </w:tcPr>
          <w:p>
            <w:pPr>
              <w:pStyle w:val="TableParagraph"/>
              <w:spacing w:line="257" w:lineRule="exact" w:before="8"/>
              <w:ind w:left="1170" w:right="1168"/>
              <w:rPr>
                <w:b/>
                <w:sz w:val="21"/>
              </w:rPr>
            </w:pPr>
            <w:r>
              <w:rPr>
                <w:rFonts w:ascii="Times New Roman" w:eastAsia="Times New Roman"/>
                <w:b/>
                <w:sz w:val="21"/>
              </w:rPr>
              <w:t>2021 </w:t>
            </w:r>
            <w:r>
              <w:rPr>
                <w:b/>
                <w:sz w:val="21"/>
              </w:rPr>
              <w:t>年</w:t>
            </w:r>
          </w:p>
        </w:tc>
      </w:tr>
      <w:tr>
        <w:trPr>
          <w:trHeight w:val="282" w:hRule="atLeast"/>
        </w:trPr>
        <w:tc>
          <w:tcPr>
            <w:tcW w:w="581" w:type="dxa"/>
            <w:vMerge/>
            <w:tcBorders>
              <w:top w:val="nil"/>
            </w:tcBorders>
          </w:tcPr>
          <w:p>
            <w:pPr>
              <w:rPr>
                <w:sz w:val="2"/>
                <w:szCs w:val="2"/>
              </w:rPr>
            </w:pPr>
          </w:p>
        </w:tc>
        <w:tc>
          <w:tcPr>
            <w:tcW w:w="1795" w:type="dxa"/>
            <w:vMerge/>
            <w:tcBorders>
              <w:top w:val="nil"/>
            </w:tcBorders>
          </w:tcPr>
          <w:p>
            <w:pPr>
              <w:rPr>
                <w:sz w:val="2"/>
                <w:szCs w:val="2"/>
              </w:rPr>
            </w:pPr>
          </w:p>
        </w:tc>
        <w:tc>
          <w:tcPr>
            <w:tcW w:w="850" w:type="dxa"/>
            <w:vMerge/>
            <w:tcBorders>
              <w:top w:val="nil"/>
            </w:tcBorders>
          </w:tcPr>
          <w:p>
            <w:pPr>
              <w:rPr>
                <w:sz w:val="2"/>
                <w:szCs w:val="2"/>
              </w:rPr>
            </w:pPr>
          </w:p>
        </w:tc>
        <w:tc>
          <w:tcPr>
            <w:tcW w:w="1152" w:type="dxa"/>
          </w:tcPr>
          <w:p>
            <w:pPr>
              <w:pStyle w:val="TableParagraph"/>
              <w:spacing w:line="257" w:lineRule="exact" w:before="5"/>
              <w:ind w:left="194"/>
              <w:jc w:val="left"/>
              <w:rPr>
                <w:rFonts w:ascii="Times New Roman" w:eastAsia="Times New Roman"/>
                <w:b/>
                <w:sz w:val="21"/>
              </w:rPr>
            </w:pPr>
            <w:r>
              <w:rPr>
                <w:b/>
                <w:sz w:val="21"/>
              </w:rPr>
              <w:t>单耗</w:t>
            </w:r>
            <w:r>
              <w:rPr>
                <w:rFonts w:ascii="Times New Roman" w:eastAsia="Times New Roman"/>
                <w:b/>
                <w:sz w:val="21"/>
              </w:rPr>
              <w:t>(t/t)</w:t>
            </w:r>
          </w:p>
        </w:tc>
        <w:tc>
          <w:tcPr>
            <w:tcW w:w="1839" w:type="dxa"/>
          </w:tcPr>
          <w:p>
            <w:pPr>
              <w:pStyle w:val="TableParagraph"/>
              <w:spacing w:line="257" w:lineRule="exact" w:before="5"/>
              <w:ind w:left="107"/>
              <w:jc w:val="left"/>
              <w:rPr>
                <w:b/>
                <w:sz w:val="21"/>
              </w:rPr>
            </w:pPr>
            <w:r>
              <w:rPr>
                <w:b/>
                <w:sz w:val="21"/>
              </w:rPr>
              <w:t>达产消耗量（</w:t>
            </w:r>
            <w:r>
              <w:rPr>
                <w:rFonts w:ascii="Times New Roman" w:eastAsia="Times New Roman"/>
                <w:b/>
                <w:sz w:val="21"/>
              </w:rPr>
              <w:t>t/a</w:t>
            </w:r>
            <w:r>
              <w:rPr>
                <w:b/>
                <w:sz w:val="21"/>
              </w:rPr>
              <w:t>）</w:t>
            </w:r>
          </w:p>
        </w:tc>
        <w:tc>
          <w:tcPr>
            <w:tcW w:w="1123" w:type="dxa"/>
          </w:tcPr>
          <w:p>
            <w:pPr>
              <w:pStyle w:val="TableParagraph"/>
              <w:spacing w:line="257" w:lineRule="exact" w:before="5"/>
              <w:ind w:left="177"/>
              <w:jc w:val="left"/>
              <w:rPr>
                <w:rFonts w:ascii="Times New Roman" w:eastAsia="Times New Roman"/>
                <w:b/>
                <w:sz w:val="21"/>
              </w:rPr>
            </w:pPr>
            <w:r>
              <w:rPr>
                <w:b/>
                <w:sz w:val="21"/>
              </w:rPr>
              <w:t>单耗</w:t>
            </w:r>
            <w:r>
              <w:rPr>
                <w:rFonts w:ascii="Times New Roman" w:eastAsia="Times New Roman"/>
                <w:b/>
                <w:sz w:val="21"/>
              </w:rPr>
              <w:t>(t/t)</w:t>
            </w:r>
          </w:p>
        </w:tc>
        <w:tc>
          <w:tcPr>
            <w:tcW w:w="1949" w:type="dxa"/>
          </w:tcPr>
          <w:p>
            <w:pPr>
              <w:pStyle w:val="TableParagraph"/>
              <w:spacing w:line="257" w:lineRule="exact" w:before="5"/>
              <w:ind w:left="434"/>
              <w:jc w:val="left"/>
              <w:rPr>
                <w:b/>
                <w:sz w:val="21"/>
              </w:rPr>
            </w:pPr>
            <w:r>
              <w:rPr>
                <w:b/>
                <w:sz w:val="21"/>
              </w:rPr>
              <w:t>用量（</w:t>
            </w:r>
            <w:r>
              <w:rPr>
                <w:rFonts w:ascii="Times New Roman" w:eastAsia="Times New Roman"/>
                <w:b/>
                <w:sz w:val="21"/>
              </w:rPr>
              <w:t>t/a</w:t>
            </w:r>
            <w:r>
              <w:rPr>
                <w:b/>
                <w:sz w:val="21"/>
              </w:rPr>
              <w:t>）</w:t>
            </w:r>
          </w:p>
        </w:tc>
      </w:tr>
      <w:tr>
        <w:trPr>
          <w:trHeight w:val="285" w:hRule="atLeast"/>
        </w:trPr>
        <w:tc>
          <w:tcPr>
            <w:tcW w:w="581" w:type="dxa"/>
          </w:tcPr>
          <w:p>
            <w:pPr>
              <w:pStyle w:val="TableParagraph"/>
              <w:jc w:val="left"/>
              <w:rPr>
                <w:rFonts w:ascii="Times New Roman"/>
                <w:sz w:val="20"/>
              </w:rPr>
            </w:pPr>
          </w:p>
        </w:tc>
        <w:tc>
          <w:tcPr>
            <w:tcW w:w="1795" w:type="dxa"/>
          </w:tcPr>
          <w:p>
            <w:pPr>
              <w:pStyle w:val="TableParagraph"/>
              <w:spacing w:line="257" w:lineRule="exact" w:before="8"/>
              <w:ind w:left="474"/>
              <w:jc w:val="left"/>
              <w:rPr>
                <w:b/>
                <w:sz w:val="21"/>
              </w:rPr>
            </w:pPr>
            <w:r>
              <w:rPr>
                <w:b/>
                <w:color w:val="FF0000"/>
                <w:sz w:val="21"/>
              </w:rPr>
              <w:t>涉密删除</w:t>
            </w:r>
          </w:p>
        </w:tc>
        <w:tc>
          <w:tcPr>
            <w:tcW w:w="850" w:type="dxa"/>
          </w:tcPr>
          <w:p>
            <w:pPr>
              <w:pStyle w:val="TableParagraph"/>
              <w:jc w:val="left"/>
              <w:rPr>
                <w:rFonts w:ascii="Times New Roman"/>
                <w:sz w:val="20"/>
              </w:rPr>
            </w:pPr>
          </w:p>
        </w:tc>
        <w:tc>
          <w:tcPr>
            <w:tcW w:w="1152" w:type="dxa"/>
          </w:tcPr>
          <w:p>
            <w:pPr>
              <w:pStyle w:val="TableParagraph"/>
              <w:jc w:val="left"/>
              <w:rPr>
                <w:rFonts w:ascii="Times New Roman"/>
                <w:sz w:val="20"/>
              </w:rPr>
            </w:pPr>
          </w:p>
        </w:tc>
        <w:tc>
          <w:tcPr>
            <w:tcW w:w="1839" w:type="dxa"/>
          </w:tcPr>
          <w:p>
            <w:pPr>
              <w:pStyle w:val="TableParagraph"/>
              <w:jc w:val="left"/>
              <w:rPr>
                <w:rFonts w:ascii="Times New Roman"/>
                <w:sz w:val="20"/>
              </w:rPr>
            </w:pPr>
          </w:p>
        </w:tc>
        <w:tc>
          <w:tcPr>
            <w:tcW w:w="1123" w:type="dxa"/>
          </w:tcPr>
          <w:p>
            <w:pPr>
              <w:pStyle w:val="TableParagraph"/>
              <w:jc w:val="left"/>
              <w:rPr>
                <w:rFonts w:ascii="Times New Roman"/>
                <w:sz w:val="20"/>
              </w:rPr>
            </w:pPr>
          </w:p>
        </w:tc>
        <w:tc>
          <w:tcPr>
            <w:tcW w:w="1949" w:type="dxa"/>
          </w:tcPr>
          <w:p>
            <w:pPr>
              <w:pStyle w:val="TableParagraph"/>
              <w:jc w:val="left"/>
              <w:rPr>
                <w:rFonts w:ascii="Times New Roman"/>
                <w:sz w:val="20"/>
              </w:rPr>
            </w:pPr>
          </w:p>
        </w:tc>
      </w:tr>
      <w:tr>
        <w:trPr>
          <w:trHeight w:val="282" w:hRule="atLeast"/>
        </w:trPr>
        <w:tc>
          <w:tcPr>
            <w:tcW w:w="581" w:type="dxa"/>
          </w:tcPr>
          <w:p>
            <w:pPr>
              <w:pStyle w:val="TableParagraph"/>
              <w:jc w:val="left"/>
              <w:rPr>
                <w:rFonts w:ascii="Times New Roman"/>
                <w:sz w:val="20"/>
              </w:rPr>
            </w:pPr>
          </w:p>
        </w:tc>
        <w:tc>
          <w:tcPr>
            <w:tcW w:w="1795"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1152" w:type="dxa"/>
          </w:tcPr>
          <w:p>
            <w:pPr>
              <w:pStyle w:val="TableParagraph"/>
              <w:jc w:val="left"/>
              <w:rPr>
                <w:rFonts w:ascii="Times New Roman"/>
                <w:sz w:val="20"/>
              </w:rPr>
            </w:pPr>
          </w:p>
        </w:tc>
        <w:tc>
          <w:tcPr>
            <w:tcW w:w="1839" w:type="dxa"/>
          </w:tcPr>
          <w:p>
            <w:pPr>
              <w:pStyle w:val="TableParagraph"/>
              <w:jc w:val="left"/>
              <w:rPr>
                <w:rFonts w:ascii="Times New Roman"/>
                <w:sz w:val="20"/>
              </w:rPr>
            </w:pPr>
          </w:p>
        </w:tc>
        <w:tc>
          <w:tcPr>
            <w:tcW w:w="1123" w:type="dxa"/>
          </w:tcPr>
          <w:p>
            <w:pPr>
              <w:pStyle w:val="TableParagraph"/>
              <w:jc w:val="left"/>
              <w:rPr>
                <w:rFonts w:ascii="Times New Roman"/>
                <w:sz w:val="20"/>
              </w:rPr>
            </w:pPr>
          </w:p>
        </w:tc>
        <w:tc>
          <w:tcPr>
            <w:tcW w:w="1949" w:type="dxa"/>
          </w:tcPr>
          <w:p>
            <w:pPr>
              <w:pStyle w:val="TableParagraph"/>
              <w:jc w:val="left"/>
              <w:rPr>
                <w:rFonts w:ascii="Times New Roman"/>
                <w:sz w:val="20"/>
              </w:rPr>
            </w:pPr>
          </w:p>
        </w:tc>
      </w:tr>
      <w:tr>
        <w:trPr>
          <w:trHeight w:val="285" w:hRule="atLeast"/>
        </w:trPr>
        <w:tc>
          <w:tcPr>
            <w:tcW w:w="581" w:type="dxa"/>
          </w:tcPr>
          <w:p>
            <w:pPr>
              <w:pStyle w:val="TableParagraph"/>
              <w:jc w:val="left"/>
              <w:rPr>
                <w:rFonts w:ascii="Times New Roman"/>
                <w:sz w:val="20"/>
              </w:rPr>
            </w:pPr>
          </w:p>
        </w:tc>
        <w:tc>
          <w:tcPr>
            <w:tcW w:w="1795"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1152" w:type="dxa"/>
          </w:tcPr>
          <w:p>
            <w:pPr>
              <w:pStyle w:val="TableParagraph"/>
              <w:jc w:val="left"/>
              <w:rPr>
                <w:rFonts w:ascii="Times New Roman"/>
                <w:sz w:val="20"/>
              </w:rPr>
            </w:pPr>
          </w:p>
        </w:tc>
        <w:tc>
          <w:tcPr>
            <w:tcW w:w="1839" w:type="dxa"/>
          </w:tcPr>
          <w:p>
            <w:pPr>
              <w:pStyle w:val="TableParagraph"/>
              <w:jc w:val="left"/>
              <w:rPr>
                <w:rFonts w:ascii="Times New Roman"/>
                <w:sz w:val="20"/>
              </w:rPr>
            </w:pPr>
          </w:p>
        </w:tc>
        <w:tc>
          <w:tcPr>
            <w:tcW w:w="1123" w:type="dxa"/>
          </w:tcPr>
          <w:p>
            <w:pPr>
              <w:pStyle w:val="TableParagraph"/>
              <w:jc w:val="left"/>
              <w:rPr>
                <w:rFonts w:ascii="Times New Roman"/>
                <w:sz w:val="20"/>
              </w:rPr>
            </w:pPr>
          </w:p>
        </w:tc>
        <w:tc>
          <w:tcPr>
            <w:tcW w:w="1949"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生产工艺流程</w:t>
      </w:r>
    </w:p>
    <w:p>
      <w:pPr>
        <w:spacing w:before="158"/>
        <w:ind w:left="689" w:right="0" w:firstLine="0"/>
        <w:jc w:val="left"/>
        <w:rPr>
          <w:b/>
          <w:sz w:val="24"/>
        </w:rPr>
      </w:pPr>
      <w:r>
        <w:rPr>
          <w:rFonts w:ascii="Times New Roman" w:eastAsia="Times New Roman"/>
          <w:b/>
          <w:sz w:val="24"/>
        </w:rPr>
        <w:t>1</w:t>
      </w:r>
      <w:r>
        <w:rPr>
          <w:b/>
          <w:sz w:val="24"/>
        </w:rPr>
        <w:t>、生产工艺流程</w:t>
      </w:r>
    </w:p>
    <w:p>
      <w:pPr>
        <w:spacing w:after="0"/>
        <w:jc w:val="left"/>
        <w:rPr>
          <w:sz w:val="24"/>
        </w:rPr>
        <w:sectPr>
          <w:pgSz w:w="11910" w:h="16850"/>
          <w:pgMar w:header="730" w:footer="690" w:top="1340" w:bottom="880" w:left="1200" w:right="11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17"/>
        </w:rPr>
      </w:pPr>
    </w:p>
    <w:p>
      <w:pPr>
        <w:spacing w:before="0"/>
        <w:ind w:left="0" w:right="13" w:firstLine="0"/>
        <w:jc w:val="center"/>
        <w:rPr>
          <w:b/>
          <w:sz w:val="21"/>
        </w:rPr>
      </w:pPr>
      <w:r>
        <w:rPr>
          <w:b/>
          <w:color w:val="FF0000"/>
          <w:sz w:val="21"/>
        </w:rPr>
        <w:t>涉密删除</w:t>
      </w:r>
    </w:p>
    <w:p>
      <w:pPr>
        <w:pStyle w:val="BodyText"/>
        <w:spacing w:before="9"/>
        <w:rPr>
          <w:b/>
          <w:sz w:val="14"/>
        </w:rPr>
      </w:pPr>
    </w:p>
    <w:p>
      <w:pPr>
        <w:pStyle w:val="Heading4"/>
        <w:tabs>
          <w:tab w:pos="1221" w:val="left" w:leader="none"/>
        </w:tabs>
        <w:spacing w:before="74"/>
        <w:ind w:left="0" w:right="17"/>
        <w:jc w:val="center"/>
      </w:pPr>
      <w:r>
        <w:rPr/>
        <w:t>图</w:t>
      </w:r>
      <w:r>
        <w:rPr>
          <w:spacing w:val="-59"/>
        </w:rPr>
        <w:t> </w:t>
      </w:r>
      <w:r>
        <w:rPr>
          <w:rFonts w:ascii="Times New Roman" w:eastAsia="Times New Roman"/>
        </w:rPr>
        <w:t>3.3.3-1</w:t>
        <w:tab/>
        <w:t>2,3-</w:t>
      </w:r>
      <w:r>
        <w:rPr/>
        <w:t>二甲基苯胺生产工艺流程图</w:t>
      </w:r>
    </w:p>
    <w:p>
      <w:pPr>
        <w:spacing w:before="158"/>
        <w:ind w:left="701" w:right="0" w:firstLine="0"/>
        <w:jc w:val="left"/>
        <w:rPr>
          <w:b/>
          <w:sz w:val="24"/>
        </w:rPr>
      </w:pPr>
      <w:r>
        <w:rPr>
          <w:rFonts w:ascii="Times New Roman" w:eastAsia="Times New Roman"/>
          <w:b/>
          <w:sz w:val="24"/>
        </w:rPr>
        <w:t>2</w:t>
      </w:r>
      <w:r>
        <w:rPr>
          <w:b/>
          <w:sz w:val="24"/>
        </w:rPr>
        <w:t>、反应原理</w:t>
      </w:r>
    </w:p>
    <w:p>
      <w:pPr>
        <w:pStyle w:val="BodyText"/>
        <w:rPr>
          <w:b/>
          <w:sz w:val="20"/>
        </w:rPr>
      </w:pPr>
    </w:p>
    <w:p>
      <w:pPr>
        <w:pStyle w:val="BodyText"/>
        <w:rPr>
          <w:b/>
          <w:sz w:val="20"/>
        </w:rPr>
      </w:pPr>
    </w:p>
    <w:p>
      <w:pPr>
        <w:pStyle w:val="BodyText"/>
        <w:spacing w:before="4"/>
        <w:rPr>
          <w:b/>
          <w:sz w:val="23"/>
        </w:rPr>
      </w:pPr>
    </w:p>
    <w:p>
      <w:pPr>
        <w:spacing w:after="0"/>
        <w:rPr>
          <w:sz w:val="23"/>
        </w:rPr>
        <w:sectPr>
          <w:pgSz w:w="11910" w:h="16850"/>
          <w:pgMar w:header="730" w:footer="690" w:top="1340" w:bottom="880" w:left="1200" w:right="1180"/>
        </w:sectPr>
      </w:pPr>
    </w:p>
    <w:p>
      <w:pPr>
        <w:pStyle w:val="BodyText"/>
        <w:spacing w:before="9"/>
        <w:rPr>
          <w:b/>
          <w:sz w:val="37"/>
        </w:rPr>
      </w:pPr>
    </w:p>
    <w:p>
      <w:pPr>
        <w:pStyle w:val="ListParagraph"/>
        <w:numPr>
          <w:ilvl w:val="3"/>
          <w:numId w:val="13"/>
        </w:numPr>
        <w:tabs>
          <w:tab w:pos="1410" w:val="left" w:leader="none"/>
        </w:tabs>
        <w:spacing w:line="240" w:lineRule="auto" w:before="0" w:after="0"/>
        <w:ind w:left="1409" w:right="0" w:hanging="721"/>
        <w:jc w:val="left"/>
        <w:rPr>
          <w:b/>
          <w:sz w:val="24"/>
        </w:rPr>
      </w:pPr>
      <w:r>
        <w:rPr>
          <w:b/>
          <w:sz w:val="24"/>
        </w:rPr>
        <w:t>污染物排放情况</w:t>
      </w:r>
    </w:p>
    <w:p>
      <w:pPr>
        <w:spacing w:before="71"/>
        <w:ind w:left="689" w:right="0" w:firstLine="0"/>
        <w:jc w:val="left"/>
        <w:rPr>
          <w:b/>
          <w:sz w:val="21"/>
        </w:rPr>
      </w:pPr>
      <w:r>
        <w:rPr/>
        <w:br w:type="column"/>
      </w:r>
      <w:r>
        <w:rPr>
          <w:b/>
          <w:color w:val="FF0000"/>
          <w:sz w:val="21"/>
        </w:rPr>
        <w:t>涉密删除</w:t>
      </w:r>
    </w:p>
    <w:p>
      <w:pPr>
        <w:spacing w:after="0"/>
        <w:jc w:val="left"/>
        <w:rPr>
          <w:sz w:val="21"/>
        </w:rPr>
        <w:sectPr>
          <w:type w:val="continuous"/>
          <w:pgSz w:w="11910" w:h="16850"/>
          <w:pgMar w:top="1420" w:bottom="280" w:left="1200" w:right="1180"/>
          <w:cols w:num="2" w:equalWidth="0">
            <w:col w:w="3136" w:space="508"/>
            <w:col w:w="5886"/>
          </w:cols>
        </w:sectPr>
      </w:pPr>
    </w:p>
    <w:p>
      <w:pPr>
        <w:pStyle w:val="BodyText"/>
        <w:spacing w:before="158"/>
        <w:ind w:left="698"/>
      </w:pPr>
      <w:r>
        <w:rPr/>
        <w:t>从现场调查来看，该生产线污染物产生及排放情况如下。</w:t>
      </w:r>
    </w:p>
    <w:p>
      <w:pPr>
        <w:pStyle w:val="BodyText"/>
        <w:spacing w:before="160"/>
        <w:ind w:left="698"/>
      </w:pPr>
      <w:r>
        <w:rPr>
          <w:rFonts w:ascii="Times New Roman" w:eastAsia="Times New Roman"/>
        </w:rPr>
        <w:t>1</w:t>
      </w:r>
      <w:r>
        <w:rPr/>
        <w:t>、废水</w:t>
      </w:r>
    </w:p>
    <w:p>
      <w:pPr>
        <w:spacing w:after="0"/>
        <w:sectPr>
          <w:type w:val="continuous"/>
          <w:pgSz w:w="11910" w:h="16850"/>
          <w:pgMar w:top="1420" w:bottom="280" w:left="1200" w:right="1180"/>
        </w:sectPr>
      </w:pPr>
    </w:p>
    <w:p>
      <w:pPr>
        <w:pStyle w:val="BodyText"/>
        <w:spacing w:before="3"/>
        <w:rPr>
          <w:sz w:val="10"/>
        </w:rPr>
      </w:pPr>
    </w:p>
    <w:p>
      <w:pPr>
        <w:pStyle w:val="Heading4"/>
        <w:tabs>
          <w:tab w:pos="1222" w:val="left" w:leader="none"/>
        </w:tabs>
        <w:spacing w:before="74" w:after="29"/>
        <w:ind w:left="0" w:right="18"/>
        <w:jc w:val="center"/>
      </w:pPr>
      <w:r>
        <w:rPr/>
        <w:t>表</w:t>
      </w:r>
      <w:r>
        <w:rPr>
          <w:spacing w:val="-60"/>
        </w:rPr>
        <w:t> </w:t>
      </w:r>
      <w:r>
        <w:rPr>
          <w:rFonts w:ascii="Times New Roman" w:eastAsia="Times New Roman"/>
        </w:rPr>
        <w:t>3.3.3-3</w:t>
        <w:tab/>
      </w:r>
      <w:r>
        <w:rPr/>
        <w:t>该生产线达产废水产生情况汇总表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7"/>
        <w:gridCol w:w="1184"/>
        <w:gridCol w:w="2117"/>
        <w:gridCol w:w="1846"/>
        <w:gridCol w:w="2516"/>
      </w:tblGrid>
      <w:tr>
        <w:trPr>
          <w:trHeight w:val="282" w:hRule="atLeast"/>
        </w:trPr>
        <w:tc>
          <w:tcPr>
            <w:tcW w:w="2811" w:type="dxa"/>
            <w:gridSpan w:val="2"/>
          </w:tcPr>
          <w:p>
            <w:pPr>
              <w:pStyle w:val="TableParagraph"/>
              <w:spacing w:line="257" w:lineRule="exact" w:before="5"/>
              <w:ind w:left="964" w:right="953"/>
              <w:rPr>
                <w:b/>
                <w:sz w:val="21"/>
              </w:rPr>
            </w:pPr>
            <w:r>
              <w:rPr>
                <w:b/>
                <w:sz w:val="21"/>
              </w:rPr>
              <w:t>废水名称</w:t>
            </w:r>
          </w:p>
        </w:tc>
        <w:tc>
          <w:tcPr>
            <w:tcW w:w="2117" w:type="dxa"/>
          </w:tcPr>
          <w:p>
            <w:pPr>
              <w:pStyle w:val="TableParagraph"/>
              <w:spacing w:line="257" w:lineRule="exact" w:before="5"/>
              <w:ind w:left="635"/>
              <w:jc w:val="left"/>
              <w:rPr>
                <w:b/>
                <w:sz w:val="21"/>
              </w:rPr>
            </w:pPr>
            <w:r>
              <w:rPr>
                <w:b/>
                <w:sz w:val="21"/>
              </w:rPr>
              <w:t>污染因子</w:t>
            </w:r>
          </w:p>
        </w:tc>
        <w:tc>
          <w:tcPr>
            <w:tcW w:w="1846" w:type="dxa"/>
          </w:tcPr>
          <w:p>
            <w:pPr>
              <w:pStyle w:val="TableParagraph"/>
              <w:spacing w:line="257" w:lineRule="exact" w:before="5"/>
              <w:ind w:left="88"/>
              <w:rPr>
                <w:b/>
                <w:sz w:val="21"/>
              </w:rPr>
            </w:pPr>
            <w:r>
              <w:rPr>
                <w:b/>
                <w:sz w:val="21"/>
              </w:rPr>
              <w:t>达产产生量（</w:t>
            </w:r>
            <w:r>
              <w:rPr>
                <w:rFonts w:ascii="Times New Roman" w:eastAsia="Times New Roman"/>
                <w:b/>
                <w:sz w:val="21"/>
              </w:rPr>
              <w:t>t/a</w:t>
            </w:r>
            <w:r>
              <w:rPr>
                <w:b/>
                <w:sz w:val="21"/>
              </w:rPr>
              <w:t>）</w:t>
            </w:r>
          </w:p>
        </w:tc>
        <w:tc>
          <w:tcPr>
            <w:tcW w:w="2516" w:type="dxa"/>
          </w:tcPr>
          <w:p>
            <w:pPr>
              <w:pStyle w:val="TableParagraph"/>
              <w:spacing w:line="257" w:lineRule="exact" w:before="5"/>
              <w:ind w:left="621"/>
              <w:jc w:val="left"/>
              <w:rPr>
                <w:b/>
                <w:sz w:val="21"/>
              </w:rPr>
            </w:pPr>
            <w:r>
              <w:rPr>
                <w:b/>
                <w:sz w:val="21"/>
              </w:rPr>
              <w:t>实际处理措施</w:t>
            </w:r>
          </w:p>
        </w:tc>
      </w:tr>
      <w:tr>
        <w:trPr>
          <w:trHeight w:val="546" w:hRule="atLeast"/>
        </w:trPr>
        <w:tc>
          <w:tcPr>
            <w:tcW w:w="1627" w:type="dxa"/>
          </w:tcPr>
          <w:p>
            <w:pPr>
              <w:pStyle w:val="TableParagraph"/>
              <w:spacing w:before="137"/>
              <w:ind w:left="122"/>
              <w:jc w:val="left"/>
              <w:rPr>
                <w:sz w:val="21"/>
              </w:rPr>
            </w:pPr>
            <w:r>
              <w:rPr>
                <w:rFonts w:ascii="Times New Roman" w:eastAsia="Times New Roman"/>
                <w:sz w:val="21"/>
              </w:rPr>
              <w:t>2,3-</w:t>
            </w:r>
            <w:r>
              <w:rPr>
                <w:sz w:val="21"/>
              </w:rPr>
              <w:t>二甲基苯胺</w:t>
            </w:r>
          </w:p>
        </w:tc>
        <w:tc>
          <w:tcPr>
            <w:tcW w:w="1184" w:type="dxa"/>
          </w:tcPr>
          <w:p>
            <w:pPr>
              <w:pStyle w:val="TableParagraph"/>
              <w:spacing w:before="137"/>
              <w:ind w:left="170"/>
              <w:jc w:val="left"/>
              <w:rPr>
                <w:sz w:val="21"/>
              </w:rPr>
            </w:pPr>
            <w:r>
              <w:rPr>
                <w:sz w:val="21"/>
              </w:rPr>
              <w:t>分液废水</w:t>
            </w:r>
          </w:p>
        </w:tc>
        <w:tc>
          <w:tcPr>
            <w:tcW w:w="2117" w:type="dxa"/>
          </w:tcPr>
          <w:p>
            <w:pPr>
              <w:pStyle w:val="TableParagraph"/>
              <w:spacing w:before="1"/>
              <w:ind w:left="107"/>
              <w:jc w:val="left"/>
              <w:rPr>
                <w:sz w:val="21"/>
              </w:rPr>
            </w:pPr>
            <w:r>
              <w:rPr>
                <w:rFonts w:ascii="Times New Roman" w:eastAsia="Times New Roman"/>
                <w:spacing w:val="-1"/>
                <w:sz w:val="21"/>
              </w:rPr>
              <w:t>COD</w:t>
            </w:r>
            <w:r>
              <w:rPr>
                <w:spacing w:val="-3"/>
                <w:sz w:val="21"/>
              </w:rPr>
              <w:t>、氨氮、总氮、</w:t>
            </w:r>
          </w:p>
          <w:p>
            <w:pPr>
              <w:pStyle w:val="TableParagraph"/>
              <w:spacing w:line="252" w:lineRule="exact" w:before="4"/>
              <w:ind w:left="112"/>
              <w:jc w:val="left"/>
              <w:rPr>
                <w:sz w:val="21"/>
              </w:rPr>
            </w:pPr>
            <w:r>
              <w:rPr>
                <w:spacing w:val="-3"/>
                <w:sz w:val="21"/>
              </w:rPr>
              <w:t>硝基苯类、邻二甲苯</w:t>
            </w:r>
          </w:p>
        </w:tc>
        <w:tc>
          <w:tcPr>
            <w:tcW w:w="1846" w:type="dxa"/>
          </w:tcPr>
          <w:p>
            <w:pPr>
              <w:pStyle w:val="TableParagraph"/>
              <w:spacing w:before="151"/>
              <w:ind w:left="7"/>
              <w:rPr>
                <w:rFonts w:ascii="Times New Roman"/>
                <w:sz w:val="21"/>
              </w:rPr>
            </w:pPr>
            <w:r>
              <w:rPr>
                <w:rFonts w:ascii="Times New Roman"/>
                <w:sz w:val="21"/>
              </w:rPr>
              <w:t>1196.75</w:t>
            </w:r>
          </w:p>
        </w:tc>
        <w:tc>
          <w:tcPr>
            <w:tcW w:w="2516" w:type="dxa"/>
          </w:tcPr>
          <w:p>
            <w:pPr>
              <w:pStyle w:val="TableParagraph"/>
              <w:spacing w:before="1"/>
              <w:ind w:left="184" w:right="181"/>
              <w:rPr>
                <w:sz w:val="21"/>
              </w:rPr>
            </w:pPr>
            <w:r>
              <w:rPr>
                <w:sz w:val="21"/>
              </w:rPr>
              <w:t>收集后进入厂区污水处</w:t>
            </w:r>
          </w:p>
          <w:p>
            <w:pPr>
              <w:pStyle w:val="TableParagraph"/>
              <w:spacing w:line="252" w:lineRule="exact" w:before="4"/>
              <w:ind w:left="184" w:right="178"/>
              <w:rPr>
                <w:sz w:val="21"/>
              </w:rPr>
            </w:pPr>
            <w:r>
              <w:rPr>
                <w:sz w:val="21"/>
              </w:rPr>
              <w:t>理站处理达标纳管</w:t>
            </w:r>
          </w:p>
        </w:tc>
      </w:tr>
    </w:tbl>
    <w:p>
      <w:pPr>
        <w:pStyle w:val="BodyText"/>
        <w:spacing w:before="2"/>
        <w:ind w:left="698"/>
      </w:pPr>
      <w:r>
        <w:rPr>
          <w:rFonts w:ascii="Times New Roman" w:eastAsia="Times New Roman"/>
        </w:rPr>
        <w:t>2</w:t>
      </w:r>
      <w:r>
        <w:rPr/>
        <w:t>、废气</w:t>
      </w:r>
    </w:p>
    <w:p>
      <w:pPr>
        <w:tabs>
          <w:tab w:pos="2460" w:val="left" w:leader="none"/>
          <w:tab w:pos="7280" w:val="left" w:leader="none"/>
        </w:tabs>
        <w:spacing w:line="475" w:lineRule="auto" w:before="158"/>
        <w:ind w:left="1238" w:right="1144" w:hanging="540"/>
        <w:jc w:val="left"/>
        <w:rPr>
          <w:rFonts w:ascii="Times New Roman" w:eastAsia="Times New Roman"/>
          <w:b/>
          <w:sz w:val="24"/>
        </w:rPr>
      </w:pPr>
      <w:r>
        <w:rPr/>
        <w:pict>
          <v:shape style="position:absolute;margin-left:65.304001pt;margin-top:55.179989pt;width:465.2pt;height:70.6pt;mso-position-horizontal-relative:page;mso-position-vertical-relative:paragraph;z-index:25168076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411"/>
                    <w:gridCol w:w="1417"/>
                    <w:gridCol w:w="1278"/>
                    <w:gridCol w:w="3085"/>
                  </w:tblGrid>
                  <w:tr>
                    <w:trPr>
                      <w:trHeight w:val="270" w:hRule="atLeast"/>
                    </w:trPr>
                    <w:tc>
                      <w:tcPr>
                        <w:tcW w:w="1102" w:type="dxa"/>
                      </w:tcPr>
                      <w:p>
                        <w:pPr>
                          <w:pStyle w:val="TableParagraph"/>
                          <w:spacing w:line="250" w:lineRule="exact" w:before="1"/>
                          <w:ind w:left="232"/>
                          <w:jc w:val="left"/>
                          <w:rPr>
                            <w:b/>
                            <w:sz w:val="21"/>
                          </w:rPr>
                        </w:pPr>
                        <w:r>
                          <w:rPr>
                            <w:b/>
                            <w:sz w:val="21"/>
                          </w:rPr>
                          <w:t>生产线</w:t>
                        </w:r>
                      </w:p>
                    </w:tc>
                    <w:tc>
                      <w:tcPr>
                        <w:tcW w:w="2411" w:type="dxa"/>
                      </w:tcPr>
                      <w:p>
                        <w:pPr>
                          <w:pStyle w:val="TableParagraph"/>
                          <w:spacing w:line="250" w:lineRule="exact" w:before="1"/>
                          <w:ind w:left="7"/>
                          <w:rPr>
                            <w:b/>
                            <w:sz w:val="21"/>
                          </w:rPr>
                        </w:pPr>
                        <w:r>
                          <w:rPr>
                            <w:b/>
                            <w:sz w:val="21"/>
                          </w:rPr>
                          <w:t>污染源</w:t>
                        </w:r>
                      </w:p>
                    </w:tc>
                    <w:tc>
                      <w:tcPr>
                        <w:tcW w:w="1417" w:type="dxa"/>
                      </w:tcPr>
                      <w:p>
                        <w:pPr>
                          <w:pStyle w:val="TableParagraph"/>
                          <w:spacing w:line="250" w:lineRule="exact" w:before="1"/>
                          <w:ind w:left="159" w:right="153"/>
                          <w:rPr>
                            <w:b/>
                            <w:sz w:val="21"/>
                          </w:rPr>
                        </w:pPr>
                        <w:r>
                          <w:rPr>
                            <w:b/>
                            <w:sz w:val="21"/>
                          </w:rPr>
                          <w:t>污染物名称</w:t>
                        </w:r>
                      </w:p>
                    </w:tc>
                    <w:tc>
                      <w:tcPr>
                        <w:tcW w:w="1278" w:type="dxa"/>
                      </w:tcPr>
                      <w:p>
                        <w:pPr>
                          <w:pStyle w:val="TableParagraph"/>
                          <w:spacing w:line="250" w:lineRule="exact" w:before="1"/>
                          <w:ind w:left="88" w:right="84"/>
                          <w:rPr>
                            <w:b/>
                            <w:sz w:val="21"/>
                          </w:rPr>
                        </w:pPr>
                        <w:r>
                          <w:rPr>
                            <w:b/>
                            <w:sz w:val="21"/>
                          </w:rPr>
                          <w:t>达产排放量</w:t>
                        </w:r>
                      </w:p>
                    </w:tc>
                    <w:tc>
                      <w:tcPr>
                        <w:tcW w:w="3085" w:type="dxa"/>
                      </w:tcPr>
                      <w:p>
                        <w:pPr>
                          <w:pStyle w:val="TableParagraph"/>
                          <w:spacing w:line="250" w:lineRule="exact" w:before="1"/>
                          <w:ind w:left="98" w:right="94"/>
                          <w:rPr>
                            <w:b/>
                            <w:sz w:val="21"/>
                          </w:rPr>
                        </w:pPr>
                        <w:r>
                          <w:rPr>
                            <w:b/>
                            <w:sz w:val="21"/>
                          </w:rPr>
                          <w:t>现状污染治理措施</w:t>
                        </w:r>
                      </w:p>
                    </w:tc>
                  </w:tr>
                  <w:tr>
                    <w:trPr>
                      <w:trHeight w:val="544" w:hRule="atLeast"/>
                    </w:trPr>
                    <w:tc>
                      <w:tcPr>
                        <w:tcW w:w="1102" w:type="dxa"/>
                        <w:vMerge w:val="restart"/>
                      </w:tcPr>
                      <w:p>
                        <w:pPr>
                          <w:pStyle w:val="TableParagraph"/>
                          <w:spacing w:line="244" w:lineRule="auto" w:before="142"/>
                          <w:ind w:left="235" w:right="161" w:hanging="63"/>
                          <w:jc w:val="left"/>
                          <w:rPr>
                            <w:sz w:val="21"/>
                          </w:rPr>
                        </w:pPr>
                        <w:r>
                          <w:rPr>
                            <w:rFonts w:ascii="Times New Roman" w:eastAsia="Times New Roman"/>
                            <w:sz w:val="21"/>
                          </w:rPr>
                          <w:t>2,3-</w:t>
                        </w:r>
                        <w:r>
                          <w:rPr>
                            <w:sz w:val="21"/>
                          </w:rPr>
                          <w:t>二甲基苯胺</w:t>
                        </w:r>
                      </w:p>
                    </w:tc>
                    <w:tc>
                      <w:tcPr>
                        <w:tcW w:w="2411" w:type="dxa"/>
                      </w:tcPr>
                      <w:p>
                        <w:pPr>
                          <w:pStyle w:val="TableParagraph"/>
                          <w:spacing w:before="138"/>
                          <w:ind w:left="7"/>
                          <w:rPr>
                            <w:sz w:val="21"/>
                          </w:rPr>
                        </w:pPr>
                        <w:r>
                          <w:rPr>
                            <w:sz w:val="21"/>
                          </w:rPr>
                          <w:t>精馏工序废气</w:t>
                        </w:r>
                      </w:p>
                    </w:tc>
                    <w:tc>
                      <w:tcPr>
                        <w:tcW w:w="1417" w:type="dxa"/>
                      </w:tcPr>
                      <w:p>
                        <w:pPr>
                          <w:pStyle w:val="TableParagraph"/>
                          <w:spacing w:before="138"/>
                          <w:ind w:left="159" w:right="153"/>
                          <w:rPr>
                            <w:sz w:val="21"/>
                          </w:rPr>
                        </w:pPr>
                        <w:r>
                          <w:rPr>
                            <w:sz w:val="21"/>
                          </w:rPr>
                          <w:t>苯胺类</w:t>
                        </w:r>
                      </w:p>
                    </w:tc>
                    <w:tc>
                      <w:tcPr>
                        <w:tcW w:w="1278" w:type="dxa"/>
                      </w:tcPr>
                      <w:p>
                        <w:pPr>
                          <w:pStyle w:val="TableParagraph"/>
                          <w:spacing w:before="151"/>
                          <w:ind w:left="88" w:right="84"/>
                          <w:rPr>
                            <w:rFonts w:ascii="Times New Roman"/>
                            <w:sz w:val="21"/>
                          </w:rPr>
                        </w:pPr>
                        <w:r>
                          <w:rPr>
                            <w:rFonts w:ascii="Times New Roman"/>
                            <w:sz w:val="21"/>
                          </w:rPr>
                          <w:t>1.316</w:t>
                        </w:r>
                      </w:p>
                    </w:tc>
                    <w:tc>
                      <w:tcPr>
                        <w:tcW w:w="3085" w:type="dxa"/>
                      </w:tcPr>
                      <w:p>
                        <w:pPr>
                          <w:pStyle w:val="TableParagraph"/>
                          <w:spacing w:before="1"/>
                          <w:ind w:left="98" w:right="96"/>
                          <w:rPr>
                            <w:rFonts w:ascii="Times New Roman" w:eastAsia="Times New Roman"/>
                            <w:sz w:val="21"/>
                          </w:rPr>
                        </w:pPr>
                        <w:r>
                          <w:rPr>
                            <w:sz w:val="21"/>
                          </w:rPr>
                          <w:t>冷凝</w:t>
                        </w:r>
                        <w:r>
                          <w:rPr>
                            <w:rFonts w:ascii="Times New Roman" w:eastAsia="Times New Roman"/>
                            <w:sz w:val="21"/>
                          </w:rPr>
                          <w:t>+ RTO </w:t>
                        </w:r>
                        <w:r>
                          <w:rPr>
                            <w:sz w:val="21"/>
                          </w:rPr>
                          <w:t>焚烧</w:t>
                        </w:r>
                        <w:r>
                          <w:rPr>
                            <w:rFonts w:ascii="Times New Roman" w:eastAsia="Times New Roman"/>
                            <w:sz w:val="21"/>
                          </w:rPr>
                          <w:t>+SNCR </w:t>
                        </w:r>
                        <w:r>
                          <w:rPr>
                            <w:sz w:val="21"/>
                          </w:rPr>
                          <w:t>脱硝</w:t>
                        </w:r>
                        <w:r>
                          <w:rPr>
                            <w:rFonts w:ascii="Times New Roman" w:eastAsia="Times New Roman"/>
                            <w:sz w:val="21"/>
                          </w:rPr>
                          <w:t>+</w:t>
                        </w:r>
                      </w:p>
                      <w:p>
                        <w:pPr>
                          <w:pStyle w:val="TableParagraph"/>
                          <w:spacing w:line="250" w:lineRule="exact" w:before="4"/>
                          <w:ind w:left="98" w:right="96"/>
                          <w:rPr>
                            <w:sz w:val="21"/>
                          </w:rPr>
                        </w:pPr>
                        <w:r>
                          <w:rPr>
                            <w:sz w:val="21"/>
                          </w:rPr>
                          <w:t>四级碱吸收</w:t>
                        </w:r>
                      </w:p>
                    </w:tc>
                  </w:tr>
                  <w:tr>
                    <w:trPr>
                      <w:trHeight w:val="273" w:hRule="atLeast"/>
                    </w:trPr>
                    <w:tc>
                      <w:tcPr>
                        <w:tcW w:w="1102" w:type="dxa"/>
                        <w:vMerge/>
                        <w:tcBorders>
                          <w:top w:val="nil"/>
                        </w:tcBorders>
                      </w:tcPr>
                      <w:p>
                        <w:pPr>
                          <w:rPr>
                            <w:sz w:val="2"/>
                            <w:szCs w:val="2"/>
                          </w:rPr>
                        </w:pPr>
                      </w:p>
                    </w:tc>
                    <w:tc>
                      <w:tcPr>
                        <w:tcW w:w="2411" w:type="dxa"/>
                      </w:tcPr>
                      <w:p>
                        <w:pPr>
                          <w:pStyle w:val="TableParagraph"/>
                          <w:spacing w:line="250" w:lineRule="exact" w:before="4"/>
                          <w:ind w:left="7"/>
                          <w:rPr>
                            <w:sz w:val="21"/>
                          </w:rPr>
                        </w:pPr>
                        <w:r>
                          <w:rPr>
                            <w:sz w:val="21"/>
                          </w:rPr>
                          <w:t>还原反应尾气</w:t>
                        </w:r>
                      </w:p>
                    </w:tc>
                    <w:tc>
                      <w:tcPr>
                        <w:tcW w:w="1417" w:type="dxa"/>
                      </w:tcPr>
                      <w:p>
                        <w:pPr>
                          <w:pStyle w:val="TableParagraph"/>
                          <w:spacing w:line="250" w:lineRule="exact" w:before="4"/>
                          <w:ind w:left="159" w:right="153"/>
                          <w:rPr>
                            <w:sz w:val="21"/>
                          </w:rPr>
                        </w:pPr>
                        <w:r>
                          <w:rPr>
                            <w:sz w:val="21"/>
                          </w:rPr>
                          <w:t>氢气</w:t>
                        </w:r>
                      </w:p>
                    </w:tc>
                    <w:tc>
                      <w:tcPr>
                        <w:tcW w:w="1278" w:type="dxa"/>
                      </w:tcPr>
                      <w:p>
                        <w:pPr>
                          <w:pStyle w:val="TableParagraph"/>
                          <w:spacing w:line="250" w:lineRule="exact" w:before="4"/>
                          <w:ind w:left="88" w:right="84"/>
                          <w:rPr>
                            <w:sz w:val="21"/>
                          </w:rPr>
                        </w:pPr>
                        <w:r>
                          <w:rPr>
                            <w:sz w:val="21"/>
                          </w:rPr>
                          <w:t>少量</w:t>
                        </w:r>
                      </w:p>
                    </w:tc>
                    <w:tc>
                      <w:tcPr>
                        <w:tcW w:w="3085" w:type="dxa"/>
                      </w:tcPr>
                      <w:p>
                        <w:pPr>
                          <w:pStyle w:val="TableParagraph"/>
                          <w:spacing w:line="250" w:lineRule="exact" w:before="4"/>
                          <w:ind w:left="98" w:right="96"/>
                          <w:rPr>
                            <w:sz w:val="21"/>
                          </w:rPr>
                        </w:pPr>
                        <w:r>
                          <w:rPr>
                            <w:sz w:val="21"/>
                          </w:rPr>
                          <w:t>冷凝</w:t>
                        </w:r>
                        <w:r>
                          <w:rPr>
                            <w:rFonts w:ascii="Times New Roman" w:eastAsia="Times New Roman"/>
                            <w:sz w:val="21"/>
                          </w:rPr>
                          <w:t>+</w:t>
                        </w:r>
                        <w:r>
                          <w:rPr>
                            <w:sz w:val="21"/>
                          </w:rPr>
                          <w:t>水封</w:t>
                        </w:r>
                      </w:p>
                    </w:tc>
                  </w:tr>
                  <w:tr>
                    <w:trPr>
                      <w:trHeight w:val="273" w:hRule="atLeast"/>
                    </w:trPr>
                    <w:tc>
                      <w:tcPr>
                        <w:tcW w:w="3513" w:type="dxa"/>
                        <w:gridSpan w:val="2"/>
                      </w:tcPr>
                      <w:p>
                        <w:pPr>
                          <w:pStyle w:val="TableParagraph"/>
                          <w:spacing w:line="252" w:lineRule="exact" w:before="1"/>
                          <w:ind w:left="1523" w:right="1518"/>
                          <w:rPr>
                            <w:b/>
                            <w:sz w:val="21"/>
                          </w:rPr>
                        </w:pPr>
                        <w:r>
                          <w:rPr>
                            <w:b/>
                            <w:sz w:val="21"/>
                          </w:rPr>
                          <w:t>小计</w:t>
                        </w:r>
                      </w:p>
                    </w:tc>
                    <w:tc>
                      <w:tcPr>
                        <w:tcW w:w="1417" w:type="dxa"/>
                      </w:tcPr>
                      <w:p>
                        <w:pPr>
                          <w:pStyle w:val="TableParagraph"/>
                          <w:spacing w:line="238" w:lineRule="exact" w:before="15"/>
                          <w:ind w:left="157" w:right="153"/>
                          <w:rPr>
                            <w:rFonts w:ascii="Times New Roman"/>
                            <w:b/>
                            <w:sz w:val="21"/>
                          </w:rPr>
                        </w:pPr>
                        <w:r>
                          <w:rPr>
                            <w:rFonts w:ascii="Times New Roman"/>
                            <w:b/>
                            <w:sz w:val="21"/>
                          </w:rPr>
                          <w:t>VOCs</w:t>
                        </w:r>
                      </w:p>
                    </w:tc>
                    <w:tc>
                      <w:tcPr>
                        <w:tcW w:w="1278" w:type="dxa"/>
                      </w:tcPr>
                      <w:p>
                        <w:pPr>
                          <w:pStyle w:val="TableParagraph"/>
                          <w:spacing w:line="238" w:lineRule="exact" w:before="15"/>
                          <w:ind w:left="88" w:right="84"/>
                          <w:rPr>
                            <w:rFonts w:ascii="Times New Roman"/>
                            <w:b/>
                            <w:sz w:val="21"/>
                          </w:rPr>
                        </w:pPr>
                        <w:r>
                          <w:rPr>
                            <w:rFonts w:ascii="Times New Roman"/>
                            <w:b/>
                            <w:sz w:val="21"/>
                          </w:rPr>
                          <w:t>1.316</w:t>
                        </w:r>
                      </w:p>
                    </w:tc>
                    <w:tc>
                      <w:tcPr>
                        <w:tcW w:w="3085" w:type="dxa"/>
                      </w:tcPr>
                      <w:p>
                        <w:pPr>
                          <w:pStyle w:val="TableParagraph"/>
                          <w:jc w:val="left"/>
                          <w:rPr>
                            <w:rFonts w:ascii="Times New Roman"/>
                            <w:sz w:val="20"/>
                          </w:rPr>
                        </w:pPr>
                      </w:p>
                    </w:tc>
                  </w:tr>
                </w:tbl>
                <w:p>
                  <w:pPr>
                    <w:pStyle w:val="BodyText"/>
                  </w:pPr>
                </w:p>
              </w:txbxContent>
            </v:textbox>
            <w10:wrap type="none"/>
          </v:shape>
        </w:pict>
      </w:r>
      <w:r>
        <w:rPr>
          <w:sz w:val="24"/>
        </w:rPr>
        <w:t>该生产线生产废气主要为有机废气等，具体排放及治理措施情况如下表</w:t>
      </w:r>
      <w:r>
        <w:rPr>
          <w:spacing w:val="-15"/>
          <w:sz w:val="24"/>
        </w:rPr>
        <w:t>。</w:t>
      </w:r>
      <w:r>
        <w:rPr>
          <w:b/>
          <w:sz w:val="24"/>
        </w:rPr>
        <w:t>表</w:t>
      </w:r>
      <w:r>
        <w:rPr>
          <w:b/>
          <w:spacing w:val="-60"/>
          <w:sz w:val="24"/>
        </w:rPr>
        <w:t> </w:t>
      </w:r>
      <w:r>
        <w:rPr>
          <w:rFonts w:ascii="Times New Roman" w:eastAsia="Times New Roman"/>
          <w:b/>
          <w:sz w:val="24"/>
        </w:rPr>
        <w:t>3.3.3-4</w:t>
        <w:tab/>
      </w:r>
      <w:r>
        <w:rPr>
          <w:b/>
          <w:sz w:val="24"/>
        </w:rPr>
        <w:t>该生产线污染物排放及治理措施情况汇总表</w:t>
        <w:tab/>
        <w:t>单位：</w:t>
      </w:r>
      <w:r>
        <w:rPr>
          <w:rFonts w:ascii="Times New Roman" w:eastAsia="Times New Roman"/>
          <w:b/>
          <w:sz w:val="24"/>
        </w:rPr>
        <w:t>t/a</w:t>
      </w: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4"/>
        <w:rPr>
          <w:rFonts w:ascii="Times New Roman"/>
          <w:b/>
          <w:sz w:val="21"/>
        </w:rPr>
      </w:pPr>
    </w:p>
    <w:p>
      <w:pPr>
        <w:pStyle w:val="BodyText"/>
        <w:ind w:left="698"/>
      </w:pPr>
      <w:r>
        <w:rPr>
          <w:rFonts w:ascii="Times New Roman" w:eastAsia="Times New Roman"/>
        </w:rPr>
        <w:t>3</w:t>
      </w:r>
      <w:r>
        <w:rPr/>
        <w:t>、固废</w:t>
      </w:r>
    </w:p>
    <w:p>
      <w:pPr>
        <w:pStyle w:val="BodyText"/>
        <w:spacing w:before="158"/>
        <w:ind w:left="698"/>
      </w:pPr>
      <w:r>
        <w:rPr/>
        <w:t>该生产线固废产生汇总情况见下表。</w:t>
      </w:r>
    </w:p>
    <w:p>
      <w:pPr>
        <w:pStyle w:val="BodyText"/>
        <w:spacing w:before="7"/>
        <w:rPr>
          <w:sz w:val="23"/>
        </w:rPr>
      </w:pPr>
    </w:p>
    <w:p>
      <w:pPr>
        <w:pStyle w:val="Heading4"/>
        <w:tabs>
          <w:tab w:pos="1222" w:val="left" w:leader="none"/>
          <w:tab w:pos="4114" w:val="left" w:leader="none"/>
        </w:tabs>
        <w:spacing w:after="29"/>
        <w:ind w:left="0" w:right="13"/>
        <w:jc w:val="center"/>
        <w:rPr>
          <w:rFonts w:ascii="Times New Roman" w:eastAsia="Times New Roman"/>
        </w:rPr>
      </w:pPr>
      <w:r>
        <w:rPr/>
        <w:t>表</w:t>
      </w:r>
      <w:r>
        <w:rPr>
          <w:spacing w:val="-60"/>
        </w:rPr>
        <w:t> </w:t>
      </w:r>
      <w:r>
        <w:rPr>
          <w:rFonts w:ascii="Times New Roman" w:eastAsia="Times New Roman"/>
        </w:rPr>
        <w:t>3.3.3-5</w:t>
        <w:tab/>
      </w:r>
      <w:r>
        <w:rPr/>
        <w:t>该生产线固废情况汇总表</w:t>
        <w:tab/>
        <w:t>单位：</w:t>
      </w:r>
      <w:r>
        <w:rPr>
          <w:rFonts w:ascii="Times New Roman" w:eastAsia="Times New Roman"/>
        </w:rPr>
        <w:t>t/a</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073"/>
        <w:gridCol w:w="1105"/>
        <w:gridCol w:w="1277"/>
        <w:gridCol w:w="1417"/>
        <w:gridCol w:w="1280"/>
        <w:gridCol w:w="1897"/>
      </w:tblGrid>
      <w:tr>
        <w:trPr>
          <w:trHeight w:val="282" w:hRule="atLeast"/>
        </w:trPr>
        <w:tc>
          <w:tcPr>
            <w:tcW w:w="1140" w:type="dxa"/>
          </w:tcPr>
          <w:p>
            <w:pPr>
              <w:pStyle w:val="TableParagraph"/>
              <w:spacing w:line="255" w:lineRule="exact" w:before="8"/>
              <w:ind w:left="24" w:right="12"/>
              <w:rPr>
                <w:b/>
                <w:sz w:val="21"/>
              </w:rPr>
            </w:pPr>
            <w:r>
              <w:rPr>
                <w:b/>
                <w:sz w:val="21"/>
              </w:rPr>
              <w:t>固废名称</w:t>
            </w:r>
          </w:p>
        </w:tc>
        <w:tc>
          <w:tcPr>
            <w:tcW w:w="1073" w:type="dxa"/>
          </w:tcPr>
          <w:p>
            <w:pPr>
              <w:pStyle w:val="TableParagraph"/>
              <w:spacing w:line="255" w:lineRule="exact" w:before="8"/>
              <w:ind w:left="95" w:right="84"/>
              <w:rPr>
                <w:b/>
                <w:sz w:val="21"/>
              </w:rPr>
            </w:pPr>
            <w:r>
              <w:rPr>
                <w:b/>
                <w:sz w:val="21"/>
              </w:rPr>
              <w:t>产生工序</w:t>
            </w:r>
          </w:p>
        </w:tc>
        <w:tc>
          <w:tcPr>
            <w:tcW w:w="1105" w:type="dxa"/>
          </w:tcPr>
          <w:p>
            <w:pPr>
              <w:pStyle w:val="TableParagraph"/>
              <w:spacing w:line="255" w:lineRule="exact" w:before="8"/>
              <w:ind w:left="214" w:right="206"/>
              <w:rPr>
                <w:b/>
                <w:sz w:val="21"/>
              </w:rPr>
            </w:pPr>
            <w:r>
              <w:rPr>
                <w:b/>
                <w:sz w:val="21"/>
              </w:rPr>
              <w:t>性状</w:t>
            </w:r>
          </w:p>
        </w:tc>
        <w:tc>
          <w:tcPr>
            <w:tcW w:w="1277" w:type="dxa"/>
          </w:tcPr>
          <w:p>
            <w:pPr>
              <w:pStyle w:val="TableParagraph"/>
              <w:spacing w:line="255" w:lineRule="exact" w:before="8"/>
              <w:ind w:left="11" w:right="3"/>
              <w:rPr>
                <w:b/>
                <w:sz w:val="21"/>
              </w:rPr>
            </w:pPr>
            <w:r>
              <w:rPr>
                <w:b/>
                <w:sz w:val="21"/>
              </w:rPr>
              <w:t>主要成分</w:t>
            </w:r>
          </w:p>
        </w:tc>
        <w:tc>
          <w:tcPr>
            <w:tcW w:w="1417" w:type="dxa"/>
          </w:tcPr>
          <w:p>
            <w:pPr>
              <w:pStyle w:val="TableParagraph"/>
              <w:spacing w:line="255" w:lineRule="exact" w:before="8"/>
              <w:ind w:left="284"/>
              <w:jc w:val="left"/>
              <w:rPr>
                <w:b/>
                <w:sz w:val="21"/>
              </w:rPr>
            </w:pPr>
            <w:r>
              <w:rPr>
                <w:b/>
                <w:sz w:val="21"/>
              </w:rPr>
              <w:t>危废代码</w:t>
            </w:r>
          </w:p>
        </w:tc>
        <w:tc>
          <w:tcPr>
            <w:tcW w:w="1280" w:type="dxa"/>
          </w:tcPr>
          <w:p>
            <w:pPr>
              <w:pStyle w:val="TableParagraph"/>
              <w:spacing w:line="255" w:lineRule="exact" w:before="8"/>
              <w:ind w:left="8"/>
              <w:rPr>
                <w:b/>
                <w:sz w:val="21"/>
              </w:rPr>
            </w:pPr>
            <w:r>
              <w:rPr>
                <w:b/>
                <w:sz w:val="21"/>
              </w:rPr>
              <w:t>达产产生量</w:t>
            </w:r>
          </w:p>
        </w:tc>
        <w:tc>
          <w:tcPr>
            <w:tcW w:w="1897" w:type="dxa"/>
          </w:tcPr>
          <w:p>
            <w:pPr>
              <w:pStyle w:val="TableParagraph"/>
              <w:spacing w:line="255" w:lineRule="exact" w:before="8"/>
              <w:ind w:left="59" w:right="55"/>
              <w:rPr>
                <w:b/>
                <w:sz w:val="21"/>
              </w:rPr>
            </w:pPr>
            <w:r>
              <w:rPr>
                <w:b/>
                <w:sz w:val="21"/>
              </w:rPr>
              <w:t>处置去向</w:t>
            </w:r>
          </w:p>
        </w:tc>
      </w:tr>
      <w:tr>
        <w:trPr>
          <w:trHeight w:val="484" w:hRule="atLeast"/>
        </w:trPr>
        <w:tc>
          <w:tcPr>
            <w:tcW w:w="1140" w:type="dxa"/>
          </w:tcPr>
          <w:p>
            <w:pPr>
              <w:pStyle w:val="TableParagraph"/>
              <w:spacing w:before="109"/>
              <w:ind w:left="24" w:right="10"/>
              <w:rPr>
                <w:sz w:val="21"/>
              </w:rPr>
            </w:pPr>
            <w:r>
              <w:rPr>
                <w:sz w:val="21"/>
              </w:rPr>
              <w:t>废催化剂</w:t>
            </w:r>
          </w:p>
        </w:tc>
        <w:tc>
          <w:tcPr>
            <w:tcW w:w="1073" w:type="dxa"/>
          </w:tcPr>
          <w:p>
            <w:pPr>
              <w:pStyle w:val="TableParagraph"/>
              <w:spacing w:before="109"/>
              <w:ind w:left="95" w:right="81"/>
              <w:rPr>
                <w:sz w:val="21"/>
              </w:rPr>
            </w:pPr>
            <w:r>
              <w:rPr>
                <w:sz w:val="21"/>
              </w:rPr>
              <w:t>还原过滤</w:t>
            </w:r>
          </w:p>
        </w:tc>
        <w:tc>
          <w:tcPr>
            <w:tcW w:w="1105" w:type="dxa"/>
          </w:tcPr>
          <w:p>
            <w:pPr>
              <w:pStyle w:val="TableParagraph"/>
              <w:spacing w:before="109"/>
              <w:ind w:left="218" w:right="206"/>
              <w:rPr>
                <w:sz w:val="21"/>
              </w:rPr>
            </w:pPr>
            <w:r>
              <w:rPr>
                <w:sz w:val="21"/>
              </w:rPr>
              <w:t>固态</w:t>
            </w:r>
          </w:p>
        </w:tc>
        <w:tc>
          <w:tcPr>
            <w:tcW w:w="1277" w:type="dxa"/>
          </w:tcPr>
          <w:p>
            <w:pPr>
              <w:pStyle w:val="TableParagraph"/>
              <w:spacing w:before="109"/>
              <w:ind w:left="11" w:right="3"/>
              <w:rPr>
                <w:b/>
                <w:sz w:val="21"/>
              </w:rPr>
            </w:pPr>
            <w:r>
              <w:rPr>
                <w:b/>
                <w:color w:val="FF0000"/>
                <w:sz w:val="21"/>
              </w:rPr>
              <w:t>涉密删除</w:t>
            </w:r>
          </w:p>
        </w:tc>
        <w:tc>
          <w:tcPr>
            <w:tcW w:w="1417" w:type="dxa"/>
          </w:tcPr>
          <w:p>
            <w:pPr>
              <w:pStyle w:val="TableParagraph"/>
              <w:spacing w:line="242" w:lineRule="exact" w:before="3"/>
              <w:ind w:left="214" w:right="210" w:firstLine="211"/>
              <w:jc w:val="left"/>
              <w:rPr>
                <w:rFonts w:ascii="Times New Roman"/>
                <w:sz w:val="21"/>
              </w:rPr>
            </w:pPr>
            <w:r>
              <w:rPr>
                <w:rFonts w:ascii="Times New Roman"/>
                <w:sz w:val="21"/>
              </w:rPr>
              <w:t>HW50 261-161-50</w:t>
            </w:r>
          </w:p>
        </w:tc>
        <w:tc>
          <w:tcPr>
            <w:tcW w:w="1280" w:type="dxa"/>
          </w:tcPr>
          <w:p>
            <w:pPr>
              <w:pStyle w:val="TableParagraph"/>
              <w:spacing w:before="123"/>
              <w:ind w:left="8"/>
              <w:rPr>
                <w:rFonts w:ascii="Times New Roman"/>
                <w:sz w:val="21"/>
              </w:rPr>
            </w:pPr>
            <w:r>
              <w:rPr>
                <w:rFonts w:ascii="Times New Roman"/>
                <w:sz w:val="21"/>
              </w:rPr>
              <w:t>0.12</w:t>
            </w:r>
          </w:p>
        </w:tc>
        <w:tc>
          <w:tcPr>
            <w:tcW w:w="1897" w:type="dxa"/>
          </w:tcPr>
          <w:p>
            <w:pPr>
              <w:pStyle w:val="TableParagraph"/>
              <w:spacing w:before="109"/>
              <w:ind w:left="55" w:right="55"/>
              <w:rPr>
                <w:sz w:val="21"/>
              </w:rPr>
            </w:pPr>
            <w:r>
              <w:rPr>
                <w:sz w:val="21"/>
              </w:rPr>
              <w:t>委托华鑫环保填埋</w:t>
            </w:r>
          </w:p>
        </w:tc>
      </w:tr>
      <w:tr>
        <w:trPr>
          <w:trHeight w:val="541" w:hRule="atLeast"/>
        </w:trPr>
        <w:tc>
          <w:tcPr>
            <w:tcW w:w="1140" w:type="dxa"/>
          </w:tcPr>
          <w:p>
            <w:pPr>
              <w:pStyle w:val="TableParagraph"/>
              <w:spacing w:before="135"/>
              <w:ind w:left="24" w:right="12"/>
              <w:rPr>
                <w:sz w:val="21"/>
              </w:rPr>
            </w:pPr>
            <w:r>
              <w:rPr>
                <w:sz w:val="21"/>
              </w:rPr>
              <w:t>高沸物</w:t>
            </w:r>
          </w:p>
        </w:tc>
        <w:tc>
          <w:tcPr>
            <w:tcW w:w="1073" w:type="dxa"/>
          </w:tcPr>
          <w:p>
            <w:pPr>
              <w:pStyle w:val="TableParagraph"/>
              <w:spacing w:before="135"/>
              <w:ind w:left="95" w:right="84"/>
              <w:rPr>
                <w:sz w:val="21"/>
              </w:rPr>
            </w:pPr>
            <w:r>
              <w:rPr>
                <w:sz w:val="21"/>
              </w:rPr>
              <w:t>精馏</w:t>
            </w:r>
          </w:p>
        </w:tc>
        <w:tc>
          <w:tcPr>
            <w:tcW w:w="1105" w:type="dxa"/>
          </w:tcPr>
          <w:p>
            <w:pPr>
              <w:pStyle w:val="TableParagraph"/>
              <w:spacing w:before="135"/>
              <w:ind w:left="218" w:right="206"/>
              <w:rPr>
                <w:sz w:val="21"/>
              </w:rPr>
            </w:pPr>
            <w:r>
              <w:rPr>
                <w:sz w:val="21"/>
              </w:rPr>
              <w:t>半固态</w:t>
            </w:r>
          </w:p>
        </w:tc>
        <w:tc>
          <w:tcPr>
            <w:tcW w:w="1277" w:type="dxa"/>
          </w:tcPr>
          <w:p>
            <w:pPr>
              <w:pStyle w:val="TableParagraph"/>
              <w:spacing w:before="135"/>
              <w:ind w:left="11" w:right="3"/>
              <w:rPr>
                <w:sz w:val="21"/>
              </w:rPr>
            </w:pPr>
            <w:r>
              <w:rPr>
                <w:sz w:val="21"/>
              </w:rPr>
              <w:t>高沸物</w:t>
            </w:r>
          </w:p>
        </w:tc>
        <w:tc>
          <w:tcPr>
            <w:tcW w:w="1417" w:type="dxa"/>
          </w:tcPr>
          <w:p>
            <w:pPr>
              <w:pStyle w:val="TableParagraph"/>
              <w:spacing w:before="29"/>
              <w:ind w:left="219" w:right="172" w:firstLine="208"/>
              <w:jc w:val="left"/>
              <w:rPr>
                <w:rFonts w:ascii="Times New Roman"/>
                <w:sz w:val="21"/>
              </w:rPr>
            </w:pPr>
            <w:r>
              <w:rPr>
                <w:rFonts w:ascii="Times New Roman"/>
                <w:sz w:val="21"/>
              </w:rPr>
              <w:t>HW11 261-015-11</w:t>
            </w:r>
          </w:p>
        </w:tc>
        <w:tc>
          <w:tcPr>
            <w:tcW w:w="1280" w:type="dxa"/>
          </w:tcPr>
          <w:p>
            <w:pPr>
              <w:pStyle w:val="TableParagraph"/>
              <w:spacing w:before="149"/>
              <w:ind w:left="8"/>
              <w:rPr>
                <w:rFonts w:ascii="Times New Roman"/>
                <w:sz w:val="21"/>
              </w:rPr>
            </w:pPr>
            <w:r>
              <w:rPr>
                <w:rFonts w:ascii="Times New Roman"/>
                <w:sz w:val="21"/>
              </w:rPr>
              <w:t>196.10</w:t>
            </w:r>
          </w:p>
        </w:tc>
        <w:tc>
          <w:tcPr>
            <w:tcW w:w="1897" w:type="dxa"/>
          </w:tcPr>
          <w:p>
            <w:pPr>
              <w:pStyle w:val="TableParagraph"/>
              <w:spacing w:line="267" w:lineRule="exact"/>
              <w:ind w:left="57" w:right="55"/>
              <w:rPr>
                <w:sz w:val="21"/>
              </w:rPr>
            </w:pPr>
            <w:r>
              <w:rPr>
                <w:sz w:val="21"/>
              </w:rPr>
              <w:t>委托众联环保或华</w:t>
            </w:r>
          </w:p>
          <w:p>
            <w:pPr>
              <w:pStyle w:val="TableParagraph"/>
              <w:spacing w:line="250" w:lineRule="exact" w:before="4"/>
              <w:ind w:left="57" w:right="55"/>
              <w:rPr>
                <w:sz w:val="21"/>
              </w:rPr>
            </w:pPr>
            <w:r>
              <w:rPr>
                <w:sz w:val="21"/>
              </w:rPr>
              <w:t>鑫环保焚烧</w:t>
            </w:r>
          </w:p>
        </w:tc>
      </w:tr>
    </w:tbl>
    <w:p>
      <w:pPr>
        <w:pStyle w:val="ListParagraph"/>
        <w:numPr>
          <w:ilvl w:val="2"/>
          <w:numId w:val="13"/>
        </w:numPr>
        <w:tabs>
          <w:tab w:pos="1059" w:val="left" w:leader="none"/>
        </w:tabs>
        <w:spacing w:line="364" w:lineRule="auto" w:before="122" w:after="0"/>
        <w:ind w:left="698" w:right="232" w:hanging="240"/>
        <w:jc w:val="both"/>
        <w:rPr>
          <w:rFonts w:ascii="Times New Roman" w:eastAsia="Times New Roman"/>
          <w:sz w:val="24"/>
        </w:rPr>
      </w:pPr>
      <w:r>
        <w:rPr>
          <w:b/>
          <w:spacing w:val="-21"/>
          <w:sz w:val="24"/>
        </w:rPr>
        <w:t>年产 </w:t>
      </w:r>
      <w:r>
        <w:rPr>
          <w:rFonts w:ascii="Times New Roman" w:eastAsia="Times New Roman"/>
          <w:b/>
          <w:sz w:val="24"/>
        </w:rPr>
        <w:t>15000</w:t>
      </w:r>
      <w:r>
        <w:rPr>
          <w:rFonts w:ascii="Times New Roman" w:eastAsia="Times New Roman"/>
          <w:b/>
          <w:spacing w:val="-1"/>
          <w:sz w:val="24"/>
        </w:rPr>
        <w:t> </w:t>
      </w:r>
      <w:r>
        <w:rPr>
          <w:b/>
          <w:sz w:val="24"/>
        </w:rPr>
        <w:t>吨</w:t>
      </w:r>
      <w:r>
        <w:rPr>
          <w:rFonts w:ascii="Times New Roman" w:eastAsia="Times New Roman"/>
          <w:b/>
          <w:sz w:val="24"/>
        </w:rPr>
        <w:t>/</w:t>
      </w:r>
      <w:r>
        <w:rPr>
          <w:b/>
          <w:spacing w:val="-31"/>
          <w:sz w:val="24"/>
        </w:rPr>
        <w:t>年 </w:t>
      </w:r>
      <w:r>
        <w:rPr>
          <w:rFonts w:ascii="Times New Roman" w:eastAsia="Times New Roman"/>
          <w:b/>
          <w:sz w:val="24"/>
        </w:rPr>
        <w:t>N-</w:t>
      </w:r>
      <w:r>
        <w:rPr>
          <w:b/>
          <w:sz w:val="24"/>
        </w:rPr>
        <w:t>（</w:t>
      </w:r>
      <w:r>
        <w:rPr>
          <w:rFonts w:ascii="Times New Roman" w:eastAsia="Times New Roman"/>
          <w:b/>
          <w:sz w:val="24"/>
        </w:rPr>
        <w:t>1-</w:t>
      </w:r>
      <w:r>
        <w:rPr>
          <w:b/>
          <w:sz w:val="24"/>
        </w:rPr>
        <w:t>乙基丙基）</w:t>
      </w:r>
      <w:r>
        <w:rPr>
          <w:rFonts w:ascii="Times New Roman" w:eastAsia="Times New Roman"/>
          <w:b/>
          <w:sz w:val="24"/>
        </w:rPr>
        <w:t>-3,4-</w:t>
      </w:r>
      <w:r>
        <w:rPr>
          <w:b/>
          <w:sz w:val="24"/>
        </w:rPr>
        <w:t>二甲基苯胺生产装置生产、排污情况</w:t>
      </w:r>
      <w:r>
        <w:rPr>
          <w:spacing w:val="1"/>
          <w:sz w:val="24"/>
        </w:rPr>
        <w:t>企业利用已有还原车间，新增加氢还原釜、降膜蒸发装置等设备，在原审批 </w:t>
      </w:r>
      <w:r>
        <w:rPr>
          <w:rFonts w:ascii="Times New Roman" w:eastAsia="Times New Roman"/>
          <w:sz w:val="24"/>
        </w:rPr>
        <w:t>6000</w:t>
      </w:r>
    </w:p>
    <w:p>
      <w:pPr>
        <w:pStyle w:val="BodyText"/>
        <w:spacing w:line="364" w:lineRule="auto"/>
        <w:ind w:left="218" w:right="232"/>
        <w:jc w:val="both"/>
      </w:pPr>
      <w:r>
        <w:rPr/>
        <w:t>吨</w:t>
      </w:r>
      <w:r>
        <w:rPr>
          <w:rFonts w:ascii="Times New Roman" w:eastAsia="Times New Roman"/>
        </w:rPr>
        <w:t>/</w:t>
      </w:r>
      <w:r>
        <w:rPr>
          <w:spacing w:val="-6"/>
        </w:rPr>
        <w:t>年的产能基础上新增 </w:t>
      </w:r>
      <w:r>
        <w:rPr>
          <w:rFonts w:ascii="Times New Roman" w:eastAsia="Times New Roman"/>
        </w:rPr>
        <w:t>9000 </w:t>
      </w:r>
      <w:r>
        <w:rPr/>
        <w:t>吨</w:t>
      </w:r>
      <w:r>
        <w:rPr>
          <w:rFonts w:ascii="Times New Roman" w:eastAsia="Times New Roman"/>
        </w:rPr>
        <w:t>/</w:t>
      </w:r>
      <w:r>
        <w:rPr>
          <w:spacing w:val="-6"/>
        </w:rPr>
        <w:t>年的生产能力，形成 </w:t>
      </w:r>
      <w:r>
        <w:rPr>
          <w:rFonts w:ascii="Times New Roman" w:eastAsia="Times New Roman"/>
        </w:rPr>
        <w:t>15000t/aN-(1-</w:t>
      </w:r>
      <w:r>
        <w:rPr/>
        <w:t>乙基丙基）</w:t>
      </w:r>
      <w:r>
        <w:rPr>
          <w:rFonts w:ascii="Times New Roman" w:eastAsia="Times New Roman"/>
        </w:rPr>
        <w:t>-3</w:t>
      </w:r>
      <w:r>
        <w:rPr/>
        <w:t>，</w:t>
      </w:r>
      <w:r>
        <w:rPr>
          <w:rFonts w:ascii="Times New Roman" w:eastAsia="Times New Roman"/>
        </w:rPr>
        <w:t>4-</w:t>
      </w:r>
      <w:r>
        <w:rPr>
          <w:spacing w:val="-11"/>
        </w:rPr>
        <w:t>二</w:t>
      </w:r>
      <w:r>
        <w:rPr>
          <w:spacing w:val="-4"/>
        </w:rPr>
        <w:t>甲基苯胺生产能力，该项目于 </w:t>
      </w:r>
      <w:r>
        <w:rPr>
          <w:rFonts w:ascii="Times New Roman" w:eastAsia="Times New Roman"/>
        </w:rPr>
        <w:t>2018 </w:t>
      </w:r>
      <w:r>
        <w:rPr>
          <w:spacing w:val="-25"/>
        </w:rPr>
        <w:t>年 </w:t>
      </w:r>
      <w:r>
        <w:rPr>
          <w:rFonts w:ascii="Times New Roman" w:eastAsia="Times New Roman"/>
        </w:rPr>
        <w:t>6 </w:t>
      </w:r>
      <w:r>
        <w:rPr/>
        <w:t>月通过审批。</w:t>
      </w:r>
      <w:r>
        <w:rPr>
          <w:rFonts w:ascii="Times New Roman" w:eastAsia="Times New Roman"/>
        </w:rPr>
        <w:t>2020 </w:t>
      </w:r>
      <w:r>
        <w:rPr>
          <w:spacing w:val="-27"/>
        </w:rPr>
        <w:t>年 </w:t>
      </w:r>
      <w:r>
        <w:rPr>
          <w:rFonts w:ascii="Times New Roman" w:eastAsia="Times New Roman"/>
          <w:spacing w:val="-4"/>
        </w:rPr>
        <w:t>11 </w:t>
      </w:r>
      <w:r>
        <w:rPr>
          <w:spacing w:val="-11"/>
        </w:rPr>
        <w:t>月，年产 </w:t>
      </w:r>
      <w:r>
        <w:rPr>
          <w:rFonts w:ascii="Times New Roman" w:eastAsia="Times New Roman"/>
        </w:rPr>
        <w:t>15000 </w:t>
      </w:r>
      <w:r>
        <w:rPr/>
        <w:t>吨</w:t>
      </w:r>
      <w:r>
        <w:rPr>
          <w:rFonts w:ascii="Times New Roman" w:eastAsia="Times New Roman"/>
        </w:rPr>
        <w:t>/</w:t>
      </w:r>
      <w:r>
        <w:rPr>
          <w:spacing w:val="-12"/>
        </w:rPr>
        <w:t>年</w:t>
      </w:r>
      <w:r>
        <w:rPr>
          <w:rFonts w:ascii="Times New Roman" w:eastAsia="Times New Roman"/>
        </w:rPr>
        <w:t>N-</w:t>
      </w:r>
      <w:r>
        <w:rPr/>
        <w:t>（</w:t>
      </w:r>
      <w:r>
        <w:rPr>
          <w:rFonts w:ascii="Times New Roman" w:eastAsia="Times New Roman"/>
        </w:rPr>
        <w:t>1-</w:t>
      </w:r>
      <w:r>
        <w:rPr/>
        <w:t>乙基丙基）</w:t>
      </w:r>
      <w:r>
        <w:rPr>
          <w:rFonts w:ascii="Times New Roman" w:eastAsia="Times New Roman"/>
        </w:rPr>
        <w:t>-3,4-</w:t>
      </w:r>
      <w:r>
        <w:rPr/>
        <w:t>二甲基苯胺生产装置已通过自主验收，目前正常生产。</w:t>
      </w:r>
    </w:p>
    <w:p>
      <w:pPr>
        <w:pStyle w:val="Heading4"/>
        <w:numPr>
          <w:ilvl w:val="3"/>
          <w:numId w:val="13"/>
        </w:numPr>
        <w:tabs>
          <w:tab w:pos="1410" w:val="left" w:leader="none"/>
        </w:tabs>
        <w:spacing w:line="307" w:lineRule="exact" w:before="0" w:after="0"/>
        <w:ind w:left="1409" w:right="0" w:hanging="721"/>
        <w:jc w:val="left"/>
      </w:pPr>
      <w:r>
        <w:rPr/>
        <w:t>生产设备情况</w:t>
      </w:r>
    </w:p>
    <w:p>
      <w:pPr>
        <w:pStyle w:val="BodyText"/>
        <w:spacing w:before="157"/>
        <w:ind w:left="698"/>
      </w:pPr>
      <w:r>
        <w:rPr/>
        <w:t>还原车间实际生产设备见下表。</w:t>
      </w:r>
    </w:p>
    <w:p>
      <w:pPr>
        <w:pStyle w:val="BodyText"/>
        <w:spacing w:before="8"/>
        <w:rPr>
          <w:sz w:val="23"/>
        </w:rPr>
      </w:pPr>
    </w:p>
    <w:p>
      <w:pPr>
        <w:pStyle w:val="Heading4"/>
        <w:tabs>
          <w:tab w:pos="1221" w:val="left" w:leader="none"/>
        </w:tabs>
        <w:spacing w:after="29"/>
        <w:ind w:left="0" w:right="16"/>
        <w:jc w:val="center"/>
      </w:pPr>
      <w:r>
        <w:rPr/>
        <w:t>表</w:t>
      </w:r>
      <w:r>
        <w:rPr>
          <w:spacing w:val="-60"/>
        </w:rPr>
        <w:t> </w:t>
      </w:r>
      <w:r>
        <w:rPr>
          <w:rFonts w:ascii="Times New Roman" w:eastAsia="Times New Roman"/>
        </w:rPr>
        <w:t>3.3.4-1</w:t>
        <w:tab/>
      </w:r>
      <w:r>
        <w:rPr/>
        <w:t>还原车间主要生产设备表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6"/>
        <w:gridCol w:w="3387"/>
        <w:gridCol w:w="2026"/>
        <w:gridCol w:w="2101"/>
      </w:tblGrid>
      <w:tr>
        <w:trPr>
          <w:trHeight w:val="283" w:hRule="atLeast"/>
        </w:trPr>
        <w:tc>
          <w:tcPr>
            <w:tcW w:w="1776" w:type="dxa"/>
          </w:tcPr>
          <w:p>
            <w:pPr>
              <w:pStyle w:val="TableParagraph"/>
              <w:spacing w:line="257" w:lineRule="exact" w:before="6"/>
              <w:ind w:left="548" w:right="539"/>
              <w:rPr>
                <w:b/>
                <w:sz w:val="21"/>
              </w:rPr>
            </w:pPr>
            <w:r>
              <w:rPr>
                <w:b/>
                <w:sz w:val="21"/>
              </w:rPr>
              <w:t>序号</w:t>
            </w:r>
          </w:p>
        </w:tc>
        <w:tc>
          <w:tcPr>
            <w:tcW w:w="3387" w:type="dxa"/>
          </w:tcPr>
          <w:p>
            <w:pPr>
              <w:pStyle w:val="TableParagraph"/>
              <w:spacing w:line="257" w:lineRule="exact" w:before="6"/>
              <w:ind w:left="1269"/>
              <w:jc w:val="left"/>
              <w:rPr>
                <w:b/>
                <w:sz w:val="21"/>
              </w:rPr>
            </w:pPr>
            <w:r>
              <w:rPr>
                <w:b/>
                <w:sz w:val="21"/>
              </w:rPr>
              <w:t>设备名称</w:t>
            </w:r>
          </w:p>
        </w:tc>
        <w:tc>
          <w:tcPr>
            <w:tcW w:w="2026" w:type="dxa"/>
          </w:tcPr>
          <w:p>
            <w:pPr>
              <w:pStyle w:val="TableParagraph"/>
              <w:spacing w:line="257" w:lineRule="exact" w:before="6"/>
              <w:ind w:left="590"/>
              <w:jc w:val="left"/>
              <w:rPr>
                <w:b/>
                <w:sz w:val="21"/>
              </w:rPr>
            </w:pPr>
            <w:r>
              <w:rPr>
                <w:b/>
                <w:sz w:val="21"/>
              </w:rPr>
              <w:t>规格型号</w:t>
            </w:r>
          </w:p>
        </w:tc>
        <w:tc>
          <w:tcPr>
            <w:tcW w:w="2101" w:type="dxa"/>
          </w:tcPr>
          <w:p>
            <w:pPr>
              <w:pStyle w:val="TableParagraph"/>
              <w:spacing w:line="257" w:lineRule="exact" w:before="6"/>
              <w:ind w:left="388"/>
              <w:jc w:val="left"/>
              <w:rPr>
                <w:b/>
                <w:sz w:val="21"/>
              </w:rPr>
            </w:pPr>
            <w:r>
              <w:rPr>
                <w:b/>
                <w:sz w:val="21"/>
              </w:rPr>
              <w:t>数量（台</w:t>
            </w:r>
            <w:r>
              <w:rPr>
                <w:rFonts w:ascii="Times New Roman" w:eastAsia="Times New Roman"/>
                <w:b/>
                <w:sz w:val="21"/>
              </w:rPr>
              <w:t>/</w:t>
            </w:r>
            <w:r>
              <w:rPr>
                <w:b/>
                <w:sz w:val="21"/>
              </w:rPr>
              <w:t>套）</w:t>
            </w: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spacing w:line="257" w:lineRule="exact" w:before="8"/>
              <w:ind w:left="1269"/>
              <w:jc w:val="left"/>
              <w:rPr>
                <w:b/>
                <w:sz w:val="21"/>
              </w:rPr>
            </w:pPr>
            <w:r>
              <w:rPr>
                <w:b/>
                <w:color w:val="FF0000"/>
                <w:sz w:val="21"/>
              </w:rPr>
              <w:t>涉密删除</w:t>
            </w: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bl>
    <w:p>
      <w:pPr>
        <w:spacing w:after="0"/>
        <w:jc w:val="left"/>
        <w:rPr>
          <w:rFonts w:ascii="Times New Roman"/>
          <w:sz w:val="20"/>
        </w:rPr>
        <w:sectPr>
          <w:pgSz w:w="11910" w:h="16850"/>
          <w:pgMar w:header="730" w:footer="690" w:top="1340" w:bottom="880" w:left="1200" w:right="1180"/>
        </w:sectPr>
      </w:pPr>
    </w:p>
    <w:p>
      <w:pPr>
        <w:pStyle w:val="BodyText"/>
        <w:spacing w:before="10"/>
        <w:rPr>
          <w:b/>
          <w:sz w:val="4"/>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6"/>
        <w:gridCol w:w="3387"/>
        <w:gridCol w:w="2026"/>
        <w:gridCol w:w="2101"/>
      </w:tblGrid>
      <w:tr>
        <w:trPr>
          <w:trHeight w:val="283" w:hRule="atLeast"/>
        </w:trPr>
        <w:tc>
          <w:tcPr>
            <w:tcW w:w="1776" w:type="dxa"/>
          </w:tcPr>
          <w:p>
            <w:pPr>
              <w:pStyle w:val="TableParagraph"/>
              <w:spacing w:line="257" w:lineRule="exact" w:before="5"/>
              <w:ind w:left="548" w:right="539"/>
              <w:rPr>
                <w:b/>
                <w:sz w:val="21"/>
              </w:rPr>
            </w:pPr>
            <w:r>
              <w:rPr>
                <w:b/>
                <w:sz w:val="21"/>
              </w:rPr>
              <w:t>序号</w:t>
            </w:r>
          </w:p>
        </w:tc>
        <w:tc>
          <w:tcPr>
            <w:tcW w:w="3387" w:type="dxa"/>
          </w:tcPr>
          <w:p>
            <w:pPr>
              <w:pStyle w:val="TableParagraph"/>
              <w:spacing w:line="257" w:lineRule="exact" w:before="5"/>
              <w:ind w:left="1250" w:right="1243"/>
              <w:rPr>
                <w:b/>
                <w:sz w:val="21"/>
              </w:rPr>
            </w:pPr>
            <w:r>
              <w:rPr>
                <w:b/>
                <w:sz w:val="21"/>
              </w:rPr>
              <w:t>设备名称</w:t>
            </w:r>
          </w:p>
        </w:tc>
        <w:tc>
          <w:tcPr>
            <w:tcW w:w="2026" w:type="dxa"/>
          </w:tcPr>
          <w:p>
            <w:pPr>
              <w:pStyle w:val="TableParagraph"/>
              <w:spacing w:line="257" w:lineRule="exact" w:before="5"/>
              <w:ind w:left="590"/>
              <w:jc w:val="left"/>
              <w:rPr>
                <w:b/>
                <w:sz w:val="21"/>
              </w:rPr>
            </w:pPr>
            <w:r>
              <w:rPr>
                <w:b/>
                <w:sz w:val="21"/>
              </w:rPr>
              <w:t>规格型号</w:t>
            </w:r>
          </w:p>
        </w:tc>
        <w:tc>
          <w:tcPr>
            <w:tcW w:w="2101" w:type="dxa"/>
          </w:tcPr>
          <w:p>
            <w:pPr>
              <w:pStyle w:val="TableParagraph"/>
              <w:spacing w:line="257" w:lineRule="exact" w:before="5"/>
              <w:ind w:left="388"/>
              <w:jc w:val="left"/>
              <w:rPr>
                <w:b/>
                <w:sz w:val="21"/>
              </w:rPr>
            </w:pPr>
            <w:r>
              <w:rPr>
                <w:b/>
                <w:sz w:val="21"/>
              </w:rPr>
              <w:t>数量（台</w:t>
            </w:r>
            <w:r>
              <w:rPr>
                <w:rFonts w:ascii="Times New Roman" w:eastAsia="Times New Roman"/>
                <w:b/>
                <w:sz w:val="21"/>
              </w:rPr>
              <w:t>/</w:t>
            </w:r>
            <w:r>
              <w:rPr>
                <w:b/>
                <w:sz w:val="21"/>
              </w:rPr>
              <w:t>套）</w:t>
            </w: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3"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2"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r>
        <w:trPr>
          <w:trHeight w:val="285" w:hRule="atLeast"/>
        </w:trPr>
        <w:tc>
          <w:tcPr>
            <w:tcW w:w="1776" w:type="dxa"/>
          </w:tcPr>
          <w:p>
            <w:pPr>
              <w:pStyle w:val="TableParagraph"/>
              <w:jc w:val="left"/>
              <w:rPr>
                <w:rFonts w:ascii="Times New Roman"/>
                <w:sz w:val="20"/>
              </w:rPr>
            </w:pPr>
          </w:p>
        </w:tc>
        <w:tc>
          <w:tcPr>
            <w:tcW w:w="3387" w:type="dxa"/>
          </w:tcPr>
          <w:p>
            <w:pPr>
              <w:pStyle w:val="TableParagraph"/>
              <w:jc w:val="left"/>
              <w:rPr>
                <w:rFonts w:ascii="Times New Roman"/>
                <w:sz w:val="20"/>
              </w:rPr>
            </w:pPr>
          </w:p>
        </w:tc>
        <w:tc>
          <w:tcPr>
            <w:tcW w:w="2026" w:type="dxa"/>
          </w:tcPr>
          <w:p>
            <w:pPr>
              <w:pStyle w:val="TableParagraph"/>
              <w:jc w:val="left"/>
              <w:rPr>
                <w:rFonts w:ascii="Times New Roman"/>
                <w:sz w:val="20"/>
              </w:rPr>
            </w:pPr>
          </w:p>
        </w:tc>
        <w:tc>
          <w:tcPr>
            <w:tcW w:w="2101"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原辅材料消耗情况</w:t>
      </w:r>
    </w:p>
    <w:p>
      <w:pPr>
        <w:pStyle w:val="BodyText"/>
        <w:spacing w:line="364" w:lineRule="auto" w:before="161"/>
        <w:ind w:left="218" w:right="235" w:firstLine="480"/>
      </w:pPr>
      <w:r>
        <w:rPr>
          <w:spacing w:val="-7"/>
        </w:rPr>
        <w:t>根据调查，该生产线由于提高了催化剂重复利用频次，故催化剂实际单耗减少，其</w:t>
      </w:r>
      <w:r>
        <w:rPr/>
        <w:t>余原料单耗与环评基本一致。</w:t>
      </w:r>
    </w:p>
    <w:p>
      <w:pPr>
        <w:pStyle w:val="Heading4"/>
        <w:tabs>
          <w:tab w:pos="4040" w:val="left" w:leader="none"/>
        </w:tabs>
        <w:spacing w:before="141" w:after="28"/>
        <w:ind w:left="2818"/>
      </w:pPr>
      <w:r>
        <w:rPr/>
        <w:t>表</w:t>
      </w:r>
      <w:r>
        <w:rPr>
          <w:spacing w:val="-60"/>
        </w:rPr>
        <w:t> </w:t>
      </w:r>
      <w:r>
        <w:rPr>
          <w:rFonts w:ascii="Times New Roman" w:eastAsia="Times New Roman"/>
        </w:rPr>
        <w:t>3.3.4-2</w:t>
        <w:tab/>
      </w:r>
      <w:r>
        <w:rPr/>
        <w:t>实际主要原辅材料消耗表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1656"/>
        <w:gridCol w:w="718"/>
        <w:gridCol w:w="854"/>
        <w:gridCol w:w="1843"/>
        <w:gridCol w:w="897"/>
        <w:gridCol w:w="1221"/>
        <w:gridCol w:w="1670"/>
      </w:tblGrid>
      <w:tr>
        <w:trPr>
          <w:trHeight w:val="282" w:hRule="atLeast"/>
        </w:trPr>
        <w:tc>
          <w:tcPr>
            <w:tcW w:w="427" w:type="dxa"/>
            <w:vMerge w:val="restart"/>
          </w:tcPr>
          <w:p>
            <w:pPr>
              <w:pStyle w:val="TableParagraph"/>
              <w:spacing w:line="242" w:lineRule="auto" w:before="133"/>
              <w:ind w:left="107" w:right="97"/>
              <w:jc w:val="left"/>
              <w:rPr>
                <w:b/>
                <w:sz w:val="21"/>
              </w:rPr>
            </w:pPr>
            <w:r>
              <w:rPr>
                <w:b/>
                <w:sz w:val="21"/>
              </w:rPr>
              <w:t>序号</w:t>
            </w:r>
          </w:p>
        </w:tc>
        <w:tc>
          <w:tcPr>
            <w:tcW w:w="1656" w:type="dxa"/>
            <w:vMerge w:val="restart"/>
          </w:tcPr>
          <w:p>
            <w:pPr>
              <w:pStyle w:val="TableParagraph"/>
              <w:spacing w:before="11"/>
              <w:jc w:val="left"/>
              <w:rPr>
                <w:b/>
                <w:sz w:val="20"/>
              </w:rPr>
            </w:pPr>
          </w:p>
          <w:p>
            <w:pPr>
              <w:pStyle w:val="TableParagraph"/>
              <w:ind w:left="405"/>
              <w:jc w:val="left"/>
              <w:rPr>
                <w:b/>
                <w:sz w:val="21"/>
              </w:rPr>
            </w:pPr>
            <w:r>
              <w:rPr>
                <w:b/>
                <w:sz w:val="21"/>
              </w:rPr>
              <w:t>原料名称</w:t>
            </w:r>
          </w:p>
        </w:tc>
        <w:tc>
          <w:tcPr>
            <w:tcW w:w="718" w:type="dxa"/>
            <w:vMerge w:val="restart"/>
          </w:tcPr>
          <w:p>
            <w:pPr>
              <w:pStyle w:val="TableParagraph"/>
              <w:spacing w:before="11"/>
              <w:jc w:val="left"/>
              <w:rPr>
                <w:b/>
                <w:sz w:val="20"/>
              </w:rPr>
            </w:pPr>
          </w:p>
          <w:p>
            <w:pPr>
              <w:pStyle w:val="TableParagraph"/>
              <w:ind w:left="146"/>
              <w:jc w:val="left"/>
              <w:rPr>
                <w:b/>
                <w:sz w:val="21"/>
              </w:rPr>
            </w:pPr>
            <w:r>
              <w:rPr>
                <w:b/>
                <w:sz w:val="21"/>
              </w:rPr>
              <w:t>规格</w:t>
            </w:r>
          </w:p>
        </w:tc>
        <w:tc>
          <w:tcPr>
            <w:tcW w:w="2697" w:type="dxa"/>
            <w:gridSpan w:val="2"/>
          </w:tcPr>
          <w:p>
            <w:pPr>
              <w:pStyle w:val="TableParagraph"/>
              <w:spacing w:line="257" w:lineRule="exact" w:before="6"/>
              <w:ind w:left="1117" w:right="1107"/>
              <w:rPr>
                <w:b/>
                <w:sz w:val="21"/>
              </w:rPr>
            </w:pPr>
            <w:r>
              <w:rPr>
                <w:b/>
                <w:sz w:val="21"/>
              </w:rPr>
              <w:t>环评</w:t>
            </w:r>
          </w:p>
        </w:tc>
        <w:tc>
          <w:tcPr>
            <w:tcW w:w="2118" w:type="dxa"/>
            <w:gridSpan w:val="2"/>
          </w:tcPr>
          <w:p>
            <w:pPr>
              <w:pStyle w:val="TableParagraph"/>
              <w:spacing w:line="257" w:lineRule="exact" w:before="6"/>
              <w:ind w:left="698" w:right="685"/>
              <w:rPr>
                <w:b/>
                <w:sz w:val="21"/>
              </w:rPr>
            </w:pPr>
            <w:r>
              <w:rPr>
                <w:rFonts w:ascii="Times New Roman" w:eastAsia="Times New Roman"/>
                <w:b/>
                <w:sz w:val="21"/>
              </w:rPr>
              <w:t>2021 </w:t>
            </w:r>
            <w:r>
              <w:rPr>
                <w:b/>
                <w:sz w:val="21"/>
              </w:rPr>
              <w:t>年</w:t>
            </w:r>
          </w:p>
        </w:tc>
        <w:tc>
          <w:tcPr>
            <w:tcW w:w="1670" w:type="dxa"/>
            <w:vMerge w:val="restart"/>
          </w:tcPr>
          <w:p>
            <w:pPr>
              <w:pStyle w:val="TableParagraph"/>
              <w:spacing w:before="11"/>
              <w:jc w:val="left"/>
              <w:rPr>
                <w:b/>
                <w:sz w:val="20"/>
              </w:rPr>
            </w:pPr>
          </w:p>
          <w:p>
            <w:pPr>
              <w:pStyle w:val="TableParagraph"/>
              <w:ind w:left="607" w:right="591"/>
              <w:rPr>
                <w:b/>
                <w:sz w:val="21"/>
              </w:rPr>
            </w:pPr>
            <w:r>
              <w:rPr>
                <w:b/>
                <w:sz w:val="21"/>
              </w:rPr>
              <w:t>备注</w:t>
            </w:r>
          </w:p>
        </w:tc>
      </w:tr>
      <w:tr>
        <w:trPr>
          <w:trHeight w:val="513" w:hRule="atLeast"/>
        </w:trPr>
        <w:tc>
          <w:tcPr>
            <w:tcW w:w="427" w:type="dxa"/>
            <w:vMerge/>
            <w:tcBorders>
              <w:top w:val="nil"/>
            </w:tcBorders>
          </w:tcPr>
          <w:p>
            <w:pPr>
              <w:rPr>
                <w:sz w:val="2"/>
                <w:szCs w:val="2"/>
              </w:rPr>
            </w:pPr>
          </w:p>
        </w:tc>
        <w:tc>
          <w:tcPr>
            <w:tcW w:w="1656" w:type="dxa"/>
            <w:vMerge/>
            <w:tcBorders>
              <w:top w:val="nil"/>
            </w:tcBorders>
          </w:tcPr>
          <w:p>
            <w:pPr>
              <w:rPr>
                <w:sz w:val="2"/>
                <w:szCs w:val="2"/>
              </w:rPr>
            </w:pPr>
          </w:p>
        </w:tc>
        <w:tc>
          <w:tcPr>
            <w:tcW w:w="718" w:type="dxa"/>
            <w:vMerge/>
            <w:tcBorders>
              <w:top w:val="nil"/>
            </w:tcBorders>
          </w:tcPr>
          <w:p>
            <w:pPr>
              <w:rPr>
                <w:sz w:val="2"/>
                <w:szCs w:val="2"/>
              </w:rPr>
            </w:pPr>
          </w:p>
        </w:tc>
        <w:tc>
          <w:tcPr>
            <w:tcW w:w="854" w:type="dxa"/>
          </w:tcPr>
          <w:p>
            <w:pPr>
              <w:pStyle w:val="TableParagraph"/>
              <w:spacing w:before="1"/>
              <w:ind w:left="213"/>
              <w:jc w:val="left"/>
              <w:rPr>
                <w:b/>
                <w:sz w:val="21"/>
              </w:rPr>
            </w:pPr>
            <w:r>
              <w:rPr>
                <w:b/>
                <w:sz w:val="21"/>
              </w:rPr>
              <w:t>单耗</w:t>
            </w:r>
          </w:p>
          <w:p>
            <w:pPr>
              <w:pStyle w:val="TableParagraph"/>
              <w:spacing w:line="221" w:lineRule="exact" w:before="1"/>
              <w:ind w:left="256"/>
              <w:jc w:val="left"/>
              <w:rPr>
                <w:rFonts w:ascii="Times New Roman"/>
                <w:b/>
                <w:sz w:val="21"/>
              </w:rPr>
            </w:pPr>
            <w:r>
              <w:rPr>
                <w:rFonts w:ascii="Times New Roman"/>
                <w:b/>
                <w:sz w:val="21"/>
              </w:rPr>
              <w:t>(t/t)</w:t>
            </w:r>
          </w:p>
        </w:tc>
        <w:tc>
          <w:tcPr>
            <w:tcW w:w="1843" w:type="dxa"/>
          </w:tcPr>
          <w:p>
            <w:pPr>
              <w:pStyle w:val="TableParagraph"/>
              <w:spacing w:before="123"/>
              <w:ind w:left="106"/>
              <w:jc w:val="left"/>
              <w:rPr>
                <w:b/>
                <w:sz w:val="21"/>
              </w:rPr>
            </w:pPr>
            <w:r>
              <w:rPr>
                <w:b/>
                <w:sz w:val="21"/>
              </w:rPr>
              <w:t>达产消耗量（</w:t>
            </w:r>
            <w:r>
              <w:rPr>
                <w:rFonts w:ascii="Times New Roman" w:eastAsia="Times New Roman"/>
                <w:b/>
                <w:sz w:val="21"/>
              </w:rPr>
              <w:t>t/a</w:t>
            </w:r>
            <w:r>
              <w:rPr>
                <w:b/>
                <w:sz w:val="21"/>
              </w:rPr>
              <w:t>）</w:t>
            </w:r>
          </w:p>
        </w:tc>
        <w:tc>
          <w:tcPr>
            <w:tcW w:w="897" w:type="dxa"/>
          </w:tcPr>
          <w:p>
            <w:pPr>
              <w:pStyle w:val="TableParagraph"/>
              <w:spacing w:before="1"/>
              <w:ind w:left="238"/>
              <w:jc w:val="left"/>
              <w:rPr>
                <w:b/>
                <w:sz w:val="21"/>
              </w:rPr>
            </w:pPr>
            <w:r>
              <w:rPr>
                <w:b/>
                <w:sz w:val="21"/>
              </w:rPr>
              <w:t>单耗</w:t>
            </w:r>
          </w:p>
          <w:p>
            <w:pPr>
              <w:pStyle w:val="TableParagraph"/>
              <w:spacing w:line="221" w:lineRule="exact" w:before="1"/>
              <w:ind w:left="281"/>
              <w:jc w:val="left"/>
              <w:rPr>
                <w:rFonts w:ascii="Times New Roman"/>
                <w:b/>
                <w:sz w:val="21"/>
              </w:rPr>
            </w:pPr>
            <w:r>
              <w:rPr>
                <w:rFonts w:ascii="Times New Roman"/>
                <w:b/>
                <w:sz w:val="21"/>
              </w:rPr>
              <w:t>(t/t)</w:t>
            </w:r>
          </w:p>
        </w:tc>
        <w:tc>
          <w:tcPr>
            <w:tcW w:w="1221" w:type="dxa"/>
          </w:tcPr>
          <w:p>
            <w:pPr>
              <w:pStyle w:val="TableParagraph"/>
              <w:spacing w:before="123"/>
              <w:ind w:left="109"/>
              <w:jc w:val="left"/>
              <w:rPr>
                <w:b/>
                <w:sz w:val="21"/>
              </w:rPr>
            </w:pPr>
            <w:r>
              <w:rPr>
                <w:b/>
                <w:sz w:val="21"/>
              </w:rPr>
              <w:t>用量（</w:t>
            </w:r>
            <w:r>
              <w:rPr>
                <w:rFonts w:ascii="Times New Roman" w:eastAsia="Times New Roman"/>
                <w:b/>
                <w:sz w:val="21"/>
              </w:rPr>
              <w:t>t/a</w:t>
            </w:r>
            <w:r>
              <w:rPr>
                <w:b/>
                <w:sz w:val="21"/>
              </w:rPr>
              <w:t>）</w:t>
            </w:r>
          </w:p>
        </w:tc>
        <w:tc>
          <w:tcPr>
            <w:tcW w:w="1670" w:type="dxa"/>
            <w:vMerge/>
            <w:tcBorders>
              <w:top w:val="nil"/>
            </w:tcBorders>
          </w:tcPr>
          <w:p>
            <w:pPr>
              <w:rPr>
                <w:sz w:val="2"/>
                <w:szCs w:val="2"/>
              </w:rPr>
            </w:pPr>
          </w:p>
        </w:tc>
      </w:tr>
      <w:tr>
        <w:trPr>
          <w:trHeight w:val="285" w:hRule="atLeast"/>
        </w:trPr>
        <w:tc>
          <w:tcPr>
            <w:tcW w:w="427" w:type="dxa"/>
          </w:tcPr>
          <w:p>
            <w:pPr>
              <w:pStyle w:val="TableParagraph"/>
              <w:jc w:val="left"/>
              <w:rPr>
                <w:rFonts w:ascii="Times New Roman"/>
                <w:sz w:val="20"/>
              </w:rPr>
            </w:pPr>
          </w:p>
        </w:tc>
        <w:tc>
          <w:tcPr>
            <w:tcW w:w="1656" w:type="dxa"/>
          </w:tcPr>
          <w:p>
            <w:pPr>
              <w:pStyle w:val="TableParagraph"/>
              <w:spacing w:line="257" w:lineRule="exact" w:before="8"/>
              <w:ind w:left="405"/>
              <w:jc w:val="left"/>
              <w:rPr>
                <w:b/>
                <w:sz w:val="21"/>
              </w:rPr>
            </w:pPr>
            <w:r>
              <w:rPr>
                <w:b/>
                <w:color w:val="FF0000"/>
                <w:sz w:val="21"/>
              </w:rPr>
              <w:t>涉密删除</w:t>
            </w:r>
          </w:p>
        </w:tc>
        <w:tc>
          <w:tcPr>
            <w:tcW w:w="718" w:type="dxa"/>
          </w:tcPr>
          <w:p>
            <w:pPr>
              <w:pStyle w:val="TableParagraph"/>
              <w:jc w:val="left"/>
              <w:rPr>
                <w:rFonts w:ascii="Times New Roman"/>
                <w:sz w:val="20"/>
              </w:rPr>
            </w:pPr>
          </w:p>
        </w:tc>
        <w:tc>
          <w:tcPr>
            <w:tcW w:w="854" w:type="dxa"/>
          </w:tcPr>
          <w:p>
            <w:pPr>
              <w:pStyle w:val="TableParagraph"/>
              <w:jc w:val="left"/>
              <w:rPr>
                <w:rFonts w:ascii="Times New Roman"/>
                <w:sz w:val="20"/>
              </w:rPr>
            </w:pPr>
          </w:p>
        </w:tc>
        <w:tc>
          <w:tcPr>
            <w:tcW w:w="1843" w:type="dxa"/>
          </w:tcPr>
          <w:p>
            <w:pPr>
              <w:pStyle w:val="TableParagraph"/>
              <w:jc w:val="left"/>
              <w:rPr>
                <w:rFonts w:ascii="Times New Roman"/>
                <w:sz w:val="20"/>
              </w:rPr>
            </w:pPr>
          </w:p>
        </w:tc>
        <w:tc>
          <w:tcPr>
            <w:tcW w:w="897" w:type="dxa"/>
          </w:tcPr>
          <w:p>
            <w:pPr>
              <w:pStyle w:val="TableParagraph"/>
              <w:jc w:val="left"/>
              <w:rPr>
                <w:rFonts w:ascii="Times New Roman"/>
                <w:sz w:val="20"/>
              </w:rPr>
            </w:pPr>
          </w:p>
        </w:tc>
        <w:tc>
          <w:tcPr>
            <w:tcW w:w="1221" w:type="dxa"/>
          </w:tcPr>
          <w:p>
            <w:pPr>
              <w:pStyle w:val="TableParagraph"/>
              <w:jc w:val="left"/>
              <w:rPr>
                <w:rFonts w:ascii="Times New Roman"/>
                <w:sz w:val="20"/>
              </w:rPr>
            </w:pPr>
          </w:p>
        </w:tc>
        <w:tc>
          <w:tcPr>
            <w:tcW w:w="1670" w:type="dxa"/>
          </w:tcPr>
          <w:p>
            <w:pPr>
              <w:pStyle w:val="TableParagraph"/>
              <w:jc w:val="left"/>
              <w:rPr>
                <w:rFonts w:ascii="Times New Roman"/>
                <w:sz w:val="20"/>
              </w:rPr>
            </w:pPr>
          </w:p>
        </w:tc>
      </w:tr>
      <w:tr>
        <w:trPr>
          <w:trHeight w:val="282" w:hRule="atLeast"/>
        </w:trPr>
        <w:tc>
          <w:tcPr>
            <w:tcW w:w="427" w:type="dxa"/>
          </w:tcPr>
          <w:p>
            <w:pPr>
              <w:pStyle w:val="TableParagraph"/>
              <w:jc w:val="left"/>
              <w:rPr>
                <w:rFonts w:ascii="Times New Roman"/>
                <w:sz w:val="20"/>
              </w:rPr>
            </w:pPr>
          </w:p>
        </w:tc>
        <w:tc>
          <w:tcPr>
            <w:tcW w:w="1656" w:type="dxa"/>
          </w:tcPr>
          <w:p>
            <w:pPr>
              <w:pStyle w:val="TableParagraph"/>
              <w:jc w:val="left"/>
              <w:rPr>
                <w:rFonts w:ascii="Times New Roman"/>
                <w:sz w:val="20"/>
              </w:rPr>
            </w:pPr>
          </w:p>
        </w:tc>
        <w:tc>
          <w:tcPr>
            <w:tcW w:w="718" w:type="dxa"/>
          </w:tcPr>
          <w:p>
            <w:pPr>
              <w:pStyle w:val="TableParagraph"/>
              <w:jc w:val="left"/>
              <w:rPr>
                <w:rFonts w:ascii="Times New Roman"/>
                <w:sz w:val="20"/>
              </w:rPr>
            </w:pPr>
          </w:p>
        </w:tc>
        <w:tc>
          <w:tcPr>
            <w:tcW w:w="854" w:type="dxa"/>
          </w:tcPr>
          <w:p>
            <w:pPr>
              <w:pStyle w:val="TableParagraph"/>
              <w:jc w:val="left"/>
              <w:rPr>
                <w:rFonts w:ascii="Times New Roman"/>
                <w:sz w:val="20"/>
              </w:rPr>
            </w:pPr>
          </w:p>
        </w:tc>
        <w:tc>
          <w:tcPr>
            <w:tcW w:w="1843" w:type="dxa"/>
          </w:tcPr>
          <w:p>
            <w:pPr>
              <w:pStyle w:val="TableParagraph"/>
              <w:jc w:val="left"/>
              <w:rPr>
                <w:rFonts w:ascii="Times New Roman"/>
                <w:sz w:val="20"/>
              </w:rPr>
            </w:pPr>
          </w:p>
        </w:tc>
        <w:tc>
          <w:tcPr>
            <w:tcW w:w="897" w:type="dxa"/>
          </w:tcPr>
          <w:p>
            <w:pPr>
              <w:pStyle w:val="TableParagraph"/>
              <w:jc w:val="left"/>
              <w:rPr>
                <w:rFonts w:ascii="Times New Roman"/>
                <w:sz w:val="20"/>
              </w:rPr>
            </w:pPr>
          </w:p>
        </w:tc>
        <w:tc>
          <w:tcPr>
            <w:tcW w:w="1221" w:type="dxa"/>
          </w:tcPr>
          <w:p>
            <w:pPr>
              <w:pStyle w:val="TableParagraph"/>
              <w:jc w:val="left"/>
              <w:rPr>
                <w:rFonts w:ascii="Times New Roman"/>
                <w:sz w:val="20"/>
              </w:rPr>
            </w:pPr>
          </w:p>
        </w:tc>
        <w:tc>
          <w:tcPr>
            <w:tcW w:w="1670" w:type="dxa"/>
          </w:tcPr>
          <w:p>
            <w:pPr>
              <w:pStyle w:val="TableParagraph"/>
              <w:jc w:val="left"/>
              <w:rPr>
                <w:rFonts w:ascii="Times New Roman"/>
                <w:sz w:val="20"/>
              </w:rPr>
            </w:pPr>
          </w:p>
        </w:tc>
      </w:tr>
      <w:tr>
        <w:trPr>
          <w:trHeight w:val="285" w:hRule="atLeast"/>
        </w:trPr>
        <w:tc>
          <w:tcPr>
            <w:tcW w:w="427" w:type="dxa"/>
          </w:tcPr>
          <w:p>
            <w:pPr>
              <w:pStyle w:val="TableParagraph"/>
              <w:jc w:val="left"/>
              <w:rPr>
                <w:rFonts w:ascii="Times New Roman"/>
                <w:sz w:val="20"/>
              </w:rPr>
            </w:pPr>
          </w:p>
        </w:tc>
        <w:tc>
          <w:tcPr>
            <w:tcW w:w="1656" w:type="dxa"/>
          </w:tcPr>
          <w:p>
            <w:pPr>
              <w:pStyle w:val="TableParagraph"/>
              <w:jc w:val="left"/>
              <w:rPr>
                <w:rFonts w:ascii="Times New Roman"/>
                <w:sz w:val="20"/>
              </w:rPr>
            </w:pPr>
          </w:p>
        </w:tc>
        <w:tc>
          <w:tcPr>
            <w:tcW w:w="718" w:type="dxa"/>
          </w:tcPr>
          <w:p>
            <w:pPr>
              <w:pStyle w:val="TableParagraph"/>
              <w:jc w:val="left"/>
              <w:rPr>
                <w:rFonts w:ascii="Times New Roman"/>
                <w:sz w:val="20"/>
              </w:rPr>
            </w:pPr>
          </w:p>
        </w:tc>
        <w:tc>
          <w:tcPr>
            <w:tcW w:w="854" w:type="dxa"/>
          </w:tcPr>
          <w:p>
            <w:pPr>
              <w:pStyle w:val="TableParagraph"/>
              <w:jc w:val="left"/>
              <w:rPr>
                <w:rFonts w:ascii="Times New Roman"/>
                <w:sz w:val="20"/>
              </w:rPr>
            </w:pPr>
          </w:p>
        </w:tc>
        <w:tc>
          <w:tcPr>
            <w:tcW w:w="1843" w:type="dxa"/>
          </w:tcPr>
          <w:p>
            <w:pPr>
              <w:pStyle w:val="TableParagraph"/>
              <w:jc w:val="left"/>
              <w:rPr>
                <w:rFonts w:ascii="Times New Roman"/>
                <w:sz w:val="20"/>
              </w:rPr>
            </w:pPr>
          </w:p>
        </w:tc>
        <w:tc>
          <w:tcPr>
            <w:tcW w:w="897" w:type="dxa"/>
          </w:tcPr>
          <w:p>
            <w:pPr>
              <w:pStyle w:val="TableParagraph"/>
              <w:jc w:val="left"/>
              <w:rPr>
                <w:rFonts w:ascii="Times New Roman"/>
                <w:sz w:val="20"/>
              </w:rPr>
            </w:pPr>
          </w:p>
        </w:tc>
        <w:tc>
          <w:tcPr>
            <w:tcW w:w="1221" w:type="dxa"/>
          </w:tcPr>
          <w:p>
            <w:pPr>
              <w:pStyle w:val="TableParagraph"/>
              <w:jc w:val="left"/>
              <w:rPr>
                <w:rFonts w:ascii="Times New Roman"/>
                <w:sz w:val="20"/>
              </w:rPr>
            </w:pPr>
          </w:p>
        </w:tc>
        <w:tc>
          <w:tcPr>
            <w:tcW w:w="1670" w:type="dxa"/>
          </w:tcPr>
          <w:p>
            <w:pPr>
              <w:pStyle w:val="TableParagraph"/>
              <w:jc w:val="left"/>
              <w:rPr>
                <w:rFonts w:ascii="Times New Roman"/>
                <w:sz w:val="20"/>
              </w:rPr>
            </w:pPr>
          </w:p>
        </w:tc>
      </w:tr>
      <w:tr>
        <w:trPr>
          <w:trHeight w:val="282" w:hRule="atLeast"/>
        </w:trPr>
        <w:tc>
          <w:tcPr>
            <w:tcW w:w="427" w:type="dxa"/>
          </w:tcPr>
          <w:p>
            <w:pPr>
              <w:pStyle w:val="TableParagraph"/>
              <w:jc w:val="left"/>
              <w:rPr>
                <w:rFonts w:ascii="Times New Roman"/>
                <w:sz w:val="20"/>
              </w:rPr>
            </w:pPr>
          </w:p>
        </w:tc>
        <w:tc>
          <w:tcPr>
            <w:tcW w:w="1656" w:type="dxa"/>
          </w:tcPr>
          <w:p>
            <w:pPr>
              <w:pStyle w:val="TableParagraph"/>
              <w:jc w:val="left"/>
              <w:rPr>
                <w:rFonts w:ascii="Times New Roman"/>
                <w:sz w:val="20"/>
              </w:rPr>
            </w:pPr>
          </w:p>
        </w:tc>
        <w:tc>
          <w:tcPr>
            <w:tcW w:w="718" w:type="dxa"/>
          </w:tcPr>
          <w:p>
            <w:pPr>
              <w:pStyle w:val="TableParagraph"/>
              <w:jc w:val="left"/>
              <w:rPr>
                <w:rFonts w:ascii="Times New Roman"/>
                <w:sz w:val="20"/>
              </w:rPr>
            </w:pPr>
          </w:p>
        </w:tc>
        <w:tc>
          <w:tcPr>
            <w:tcW w:w="854" w:type="dxa"/>
          </w:tcPr>
          <w:p>
            <w:pPr>
              <w:pStyle w:val="TableParagraph"/>
              <w:jc w:val="left"/>
              <w:rPr>
                <w:rFonts w:ascii="Times New Roman"/>
                <w:sz w:val="20"/>
              </w:rPr>
            </w:pPr>
          </w:p>
        </w:tc>
        <w:tc>
          <w:tcPr>
            <w:tcW w:w="1843" w:type="dxa"/>
          </w:tcPr>
          <w:p>
            <w:pPr>
              <w:pStyle w:val="TableParagraph"/>
              <w:jc w:val="left"/>
              <w:rPr>
                <w:rFonts w:ascii="Times New Roman"/>
                <w:sz w:val="20"/>
              </w:rPr>
            </w:pPr>
          </w:p>
        </w:tc>
        <w:tc>
          <w:tcPr>
            <w:tcW w:w="897" w:type="dxa"/>
          </w:tcPr>
          <w:p>
            <w:pPr>
              <w:pStyle w:val="TableParagraph"/>
              <w:jc w:val="left"/>
              <w:rPr>
                <w:rFonts w:ascii="Times New Roman"/>
                <w:sz w:val="20"/>
              </w:rPr>
            </w:pPr>
          </w:p>
        </w:tc>
        <w:tc>
          <w:tcPr>
            <w:tcW w:w="1221" w:type="dxa"/>
          </w:tcPr>
          <w:p>
            <w:pPr>
              <w:pStyle w:val="TableParagraph"/>
              <w:jc w:val="left"/>
              <w:rPr>
                <w:rFonts w:ascii="Times New Roman"/>
                <w:sz w:val="20"/>
              </w:rPr>
            </w:pPr>
          </w:p>
        </w:tc>
        <w:tc>
          <w:tcPr>
            <w:tcW w:w="1670" w:type="dxa"/>
          </w:tcPr>
          <w:p>
            <w:pPr>
              <w:pStyle w:val="TableParagraph"/>
              <w:jc w:val="left"/>
              <w:rPr>
                <w:rFonts w:ascii="Times New Roman"/>
                <w:sz w:val="20"/>
              </w:rPr>
            </w:pPr>
          </w:p>
        </w:tc>
      </w:tr>
      <w:tr>
        <w:trPr>
          <w:trHeight w:val="285" w:hRule="atLeast"/>
        </w:trPr>
        <w:tc>
          <w:tcPr>
            <w:tcW w:w="427" w:type="dxa"/>
          </w:tcPr>
          <w:p>
            <w:pPr>
              <w:pStyle w:val="TableParagraph"/>
              <w:jc w:val="left"/>
              <w:rPr>
                <w:rFonts w:ascii="Times New Roman"/>
                <w:sz w:val="20"/>
              </w:rPr>
            </w:pPr>
          </w:p>
        </w:tc>
        <w:tc>
          <w:tcPr>
            <w:tcW w:w="1656" w:type="dxa"/>
          </w:tcPr>
          <w:p>
            <w:pPr>
              <w:pStyle w:val="TableParagraph"/>
              <w:jc w:val="left"/>
              <w:rPr>
                <w:rFonts w:ascii="Times New Roman"/>
                <w:sz w:val="20"/>
              </w:rPr>
            </w:pPr>
          </w:p>
        </w:tc>
        <w:tc>
          <w:tcPr>
            <w:tcW w:w="718" w:type="dxa"/>
          </w:tcPr>
          <w:p>
            <w:pPr>
              <w:pStyle w:val="TableParagraph"/>
              <w:jc w:val="left"/>
              <w:rPr>
                <w:rFonts w:ascii="Times New Roman"/>
                <w:sz w:val="20"/>
              </w:rPr>
            </w:pPr>
          </w:p>
        </w:tc>
        <w:tc>
          <w:tcPr>
            <w:tcW w:w="854" w:type="dxa"/>
          </w:tcPr>
          <w:p>
            <w:pPr>
              <w:pStyle w:val="TableParagraph"/>
              <w:jc w:val="left"/>
              <w:rPr>
                <w:rFonts w:ascii="Times New Roman"/>
                <w:sz w:val="20"/>
              </w:rPr>
            </w:pPr>
          </w:p>
        </w:tc>
        <w:tc>
          <w:tcPr>
            <w:tcW w:w="1843" w:type="dxa"/>
          </w:tcPr>
          <w:p>
            <w:pPr>
              <w:pStyle w:val="TableParagraph"/>
              <w:jc w:val="left"/>
              <w:rPr>
                <w:rFonts w:ascii="Times New Roman"/>
                <w:sz w:val="20"/>
              </w:rPr>
            </w:pPr>
          </w:p>
        </w:tc>
        <w:tc>
          <w:tcPr>
            <w:tcW w:w="897" w:type="dxa"/>
          </w:tcPr>
          <w:p>
            <w:pPr>
              <w:pStyle w:val="TableParagraph"/>
              <w:jc w:val="left"/>
              <w:rPr>
                <w:rFonts w:ascii="Times New Roman"/>
                <w:sz w:val="20"/>
              </w:rPr>
            </w:pPr>
          </w:p>
        </w:tc>
        <w:tc>
          <w:tcPr>
            <w:tcW w:w="1221" w:type="dxa"/>
          </w:tcPr>
          <w:p>
            <w:pPr>
              <w:pStyle w:val="TableParagraph"/>
              <w:jc w:val="left"/>
              <w:rPr>
                <w:rFonts w:ascii="Times New Roman"/>
                <w:sz w:val="20"/>
              </w:rPr>
            </w:pPr>
          </w:p>
        </w:tc>
        <w:tc>
          <w:tcPr>
            <w:tcW w:w="1670"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生产工艺流程</w:t>
      </w:r>
    </w:p>
    <w:p>
      <w:pPr>
        <w:spacing w:before="161"/>
        <w:ind w:left="701" w:right="0" w:firstLine="0"/>
        <w:jc w:val="left"/>
        <w:rPr>
          <w:b/>
          <w:sz w:val="24"/>
        </w:rPr>
      </w:pPr>
      <w:r>
        <w:rPr>
          <w:rFonts w:ascii="Times New Roman" w:eastAsia="Times New Roman"/>
          <w:b/>
          <w:sz w:val="24"/>
        </w:rPr>
        <w:t>1</w:t>
      </w:r>
      <w:r>
        <w:rPr>
          <w:b/>
          <w:sz w:val="24"/>
        </w:rPr>
        <w:t>、生产工艺流程</w:t>
      </w:r>
    </w:p>
    <w:p>
      <w:pPr>
        <w:spacing w:after="0"/>
        <w:jc w:val="left"/>
        <w:rPr>
          <w:sz w:val="24"/>
        </w:rPr>
        <w:sectPr>
          <w:pgSz w:w="11910" w:h="16850"/>
          <w:pgMar w:header="730" w:footer="690" w:top="1340" w:bottom="880" w:left="1200" w:right="11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2"/>
        </w:rPr>
      </w:pPr>
    </w:p>
    <w:p>
      <w:pPr>
        <w:spacing w:before="71"/>
        <w:ind w:left="0" w:right="13" w:firstLine="0"/>
        <w:jc w:val="center"/>
        <w:rPr>
          <w:b/>
          <w:sz w:val="21"/>
        </w:rPr>
      </w:pPr>
      <w:r>
        <w:rPr>
          <w:b/>
          <w:color w:val="FF0000"/>
          <w:sz w:val="21"/>
        </w:rPr>
        <w:t>涉密删除</w:t>
      </w:r>
    </w:p>
    <w:p>
      <w:pPr>
        <w:pStyle w:val="BodyText"/>
        <w:spacing w:before="8"/>
        <w:rPr>
          <w:b/>
          <w:sz w:val="15"/>
        </w:rPr>
      </w:pPr>
    </w:p>
    <w:p>
      <w:pPr>
        <w:pStyle w:val="Heading4"/>
        <w:tabs>
          <w:tab w:pos="2820" w:val="left" w:leader="none"/>
        </w:tabs>
        <w:spacing w:line="364" w:lineRule="auto"/>
        <w:ind w:right="1614" w:firstLine="897"/>
      </w:pPr>
      <w:r>
        <w:rPr/>
        <w:t>图</w:t>
      </w:r>
      <w:r>
        <w:rPr>
          <w:spacing w:val="-60"/>
        </w:rPr>
        <w:t> </w:t>
      </w:r>
      <w:r>
        <w:rPr>
          <w:rFonts w:ascii="Times New Roman" w:eastAsia="Times New Roman"/>
        </w:rPr>
        <w:t>3.3.4-1</w:t>
        <w:tab/>
        <w:t>N-(1-</w:t>
      </w:r>
      <w:r>
        <w:rPr/>
        <w:t>乙基丙基）</w:t>
      </w:r>
      <w:r>
        <w:rPr>
          <w:rFonts w:ascii="Times New Roman" w:eastAsia="Times New Roman"/>
        </w:rPr>
        <w:t>-3,4-</w:t>
      </w:r>
      <w:r>
        <w:rPr/>
        <w:t>二甲基苯胺生产工艺流程</w:t>
      </w:r>
      <w:r>
        <w:rPr>
          <w:spacing w:val="-14"/>
        </w:rPr>
        <w:t>图</w:t>
      </w:r>
      <w:r>
        <w:rPr>
          <w:rFonts w:ascii="Times New Roman" w:eastAsia="Times New Roman"/>
        </w:rPr>
        <w:t>2</w:t>
      </w:r>
      <w:r>
        <w:rPr/>
        <w:t>、反应原理</w:t>
      </w:r>
    </w:p>
    <w:p>
      <w:pPr>
        <w:pStyle w:val="BodyText"/>
        <w:rPr>
          <w:b/>
          <w:sz w:val="20"/>
        </w:rPr>
      </w:pPr>
    </w:p>
    <w:p>
      <w:pPr>
        <w:pStyle w:val="BodyText"/>
        <w:rPr>
          <w:b/>
          <w:sz w:val="20"/>
        </w:rPr>
      </w:pPr>
    </w:p>
    <w:p>
      <w:pPr>
        <w:pStyle w:val="BodyText"/>
        <w:spacing w:before="12"/>
        <w:rPr>
          <w:b/>
        </w:rPr>
      </w:pPr>
    </w:p>
    <w:p>
      <w:pPr>
        <w:spacing w:after="0"/>
        <w:sectPr>
          <w:pgSz w:w="11910" w:h="16850"/>
          <w:pgMar w:header="730" w:footer="690" w:top="1340" w:bottom="880" w:left="1200" w:right="1180"/>
        </w:sectPr>
      </w:pPr>
    </w:p>
    <w:p>
      <w:pPr>
        <w:pStyle w:val="BodyText"/>
        <w:spacing w:before="6"/>
        <w:rPr>
          <w:b/>
          <w:sz w:val="37"/>
        </w:rPr>
      </w:pPr>
    </w:p>
    <w:p>
      <w:pPr>
        <w:pStyle w:val="ListParagraph"/>
        <w:numPr>
          <w:ilvl w:val="3"/>
          <w:numId w:val="13"/>
        </w:numPr>
        <w:tabs>
          <w:tab w:pos="1410" w:val="left" w:leader="none"/>
        </w:tabs>
        <w:spacing w:line="240" w:lineRule="auto" w:before="1" w:after="0"/>
        <w:ind w:left="1409" w:right="0" w:hanging="721"/>
        <w:jc w:val="left"/>
        <w:rPr>
          <w:b/>
          <w:sz w:val="24"/>
        </w:rPr>
      </w:pPr>
      <w:r>
        <w:rPr>
          <w:b/>
          <w:sz w:val="24"/>
        </w:rPr>
        <w:t>污染物排放情况</w:t>
      </w:r>
    </w:p>
    <w:p>
      <w:pPr>
        <w:spacing w:before="71"/>
        <w:ind w:left="689" w:right="0" w:firstLine="0"/>
        <w:jc w:val="left"/>
        <w:rPr>
          <w:b/>
          <w:sz w:val="21"/>
        </w:rPr>
      </w:pPr>
      <w:r>
        <w:rPr/>
        <w:br w:type="column"/>
      </w:r>
      <w:r>
        <w:rPr>
          <w:b/>
          <w:color w:val="FF0000"/>
          <w:sz w:val="21"/>
        </w:rPr>
        <w:t>涉密删除</w:t>
      </w:r>
    </w:p>
    <w:p>
      <w:pPr>
        <w:spacing w:after="0"/>
        <w:jc w:val="left"/>
        <w:rPr>
          <w:sz w:val="21"/>
        </w:rPr>
        <w:sectPr>
          <w:type w:val="continuous"/>
          <w:pgSz w:w="11910" w:h="16850"/>
          <w:pgMar w:top="1420" w:bottom="280" w:left="1200" w:right="1180"/>
          <w:cols w:num="2" w:equalWidth="0">
            <w:col w:w="3136" w:space="507"/>
            <w:col w:w="5887"/>
          </w:cols>
        </w:sectPr>
      </w:pPr>
    </w:p>
    <w:p>
      <w:pPr>
        <w:pStyle w:val="BodyText"/>
        <w:spacing w:before="160"/>
        <w:ind w:left="698"/>
      </w:pPr>
      <w:r>
        <w:rPr/>
        <w:t>从现场调查来看，该生产线污染物产生及排放情况如下。</w:t>
      </w:r>
    </w:p>
    <w:p>
      <w:pPr>
        <w:pStyle w:val="BodyText"/>
        <w:spacing w:before="158"/>
        <w:ind w:left="698"/>
      </w:pPr>
      <w:r>
        <w:rPr>
          <w:rFonts w:ascii="Times New Roman" w:eastAsia="Times New Roman"/>
        </w:rPr>
        <w:t>1</w:t>
      </w:r>
      <w:r>
        <w:rPr/>
        <w:t>、废水</w:t>
      </w:r>
    </w:p>
    <w:p>
      <w:pPr>
        <w:spacing w:after="0"/>
        <w:sectPr>
          <w:type w:val="continuous"/>
          <w:pgSz w:w="11910" w:h="16850"/>
          <w:pgMar w:top="1420" w:bottom="280" w:left="1200" w:right="1180"/>
        </w:sectPr>
      </w:pPr>
    </w:p>
    <w:p>
      <w:pPr>
        <w:pStyle w:val="BodyText"/>
        <w:spacing w:before="3"/>
        <w:rPr>
          <w:sz w:val="10"/>
        </w:rPr>
      </w:pPr>
    </w:p>
    <w:p>
      <w:pPr>
        <w:pStyle w:val="Heading4"/>
        <w:tabs>
          <w:tab w:pos="1222" w:val="left" w:leader="none"/>
        </w:tabs>
        <w:spacing w:before="74" w:after="29"/>
        <w:ind w:left="0" w:right="17"/>
        <w:jc w:val="center"/>
      </w:pPr>
      <w:r>
        <w:rPr/>
        <w:t>表</w:t>
      </w:r>
      <w:r>
        <w:rPr>
          <w:spacing w:val="-60"/>
        </w:rPr>
        <w:t> </w:t>
      </w:r>
      <w:r>
        <w:rPr>
          <w:rFonts w:ascii="Times New Roman" w:eastAsia="Times New Roman"/>
        </w:rPr>
        <w:t>3.3.4-3</w:t>
        <w:tab/>
      </w:r>
      <w:r>
        <w:rPr/>
        <w:t>该生产线达产废水产生情况汇总表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75"/>
        <w:gridCol w:w="1287"/>
        <w:gridCol w:w="1843"/>
        <w:gridCol w:w="1431"/>
        <w:gridCol w:w="3354"/>
      </w:tblGrid>
      <w:tr>
        <w:trPr>
          <w:trHeight w:val="544" w:hRule="atLeast"/>
        </w:trPr>
        <w:tc>
          <w:tcPr>
            <w:tcW w:w="2662" w:type="dxa"/>
            <w:gridSpan w:val="2"/>
          </w:tcPr>
          <w:p>
            <w:pPr>
              <w:pStyle w:val="TableParagraph"/>
              <w:spacing w:before="138"/>
              <w:ind w:left="889" w:right="878"/>
              <w:rPr>
                <w:b/>
                <w:sz w:val="21"/>
              </w:rPr>
            </w:pPr>
            <w:r>
              <w:rPr>
                <w:b/>
                <w:sz w:val="21"/>
              </w:rPr>
              <w:t>废水名称</w:t>
            </w:r>
          </w:p>
        </w:tc>
        <w:tc>
          <w:tcPr>
            <w:tcW w:w="1843" w:type="dxa"/>
          </w:tcPr>
          <w:p>
            <w:pPr>
              <w:pStyle w:val="TableParagraph"/>
              <w:spacing w:before="138"/>
              <w:ind w:left="499"/>
              <w:jc w:val="left"/>
              <w:rPr>
                <w:b/>
                <w:sz w:val="21"/>
              </w:rPr>
            </w:pPr>
            <w:r>
              <w:rPr>
                <w:b/>
                <w:sz w:val="21"/>
              </w:rPr>
              <w:t>污染因子</w:t>
            </w:r>
          </w:p>
        </w:tc>
        <w:tc>
          <w:tcPr>
            <w:tcW w:w="1431" w:type="dxa"/>
          </w:tcPr>
          <w:p>
            <w:pPr>
              <w:pStyle w:val="TableParagraph"/>
              <w:spacing w:before="1"/>
              <w:ind w:left="165" w:right="161"/>
              <w:rPr>
                <w:b/>
                <w:sz w:val="21"/>
              </w:rPr>
            </w:pPr>
            <w:r>
              <w:rPr>
                <w:b/>
                <w:sz w:val="21"/>
              </w:rPr>
              <w:t>达产产生量</w:t>
            </w:r>
          </w:p>
          <w:p>
            <w:pPr>
              <w:pStyle w:val="TableParagraph"/>
              <w:spacing w:line="252" w:lineRule="exact" w:before="2"/>
              <w:ind w:left="163" w:right="161"/>
              <w:rPr>
                <w:b/>
                <w:sz w:val="21"/>
              </w:rPr>
            </w:pPr>
            <w:r>
              <w:rPr>
                <w:b/>
                <w:sz w:val="21"/>
              </w:rPr>
              <w:t>（</w:t>
            </w:r>
            <w:r>
              <w:rPr>
                <w:rFonts w:ascii="Times New Roman" w:eastAsia="Times New Roman"/>
                <w:b/>
                <w:sz w:val="21"/>
              </w:rPr>
              <w:t>t/a</w:t>
            </w:r>
            <w:r>
              <w:rPr>
                <w:b/>
                <w:sz w:val="21"/>
              </w:rPr>
              <w:t>）</w:t>
            </w:r>
          </w:p>
        </w:tc>
        <w:tc>
          <w:tcPr>
            <w:tcW w:w="3354" w:type="dxa"/>
          </w:tcPr>
          <w:p>
            <w:pPr>
              <w:pStyle w:val="TableParagraph"/>
              <w:spacing w:before="138"/>
              <w:ind w:left="1041"/>
              <w:jc w:val="left"/>
              <w:rPr>
                <w:b/>
                <w:sz w:val="21"/>
              </w:rPr>
            </w:pPr>
            <w:r>
              <w:rPr>
                <w:b/>
                <w:sz w:val="21"/>
              </w:rPr>
              <w:t>实际处理措施</w:t>
            </w:r>
          </w:p>
        </w:tc>
      </w:tr>
      <w:tr>
        <w:trPr>
          <w:trHeight w:val="544" w:hRule="atLeast"/>
        </w:trPr>
        <w:tc>
          <w:tcPr>
            <w:tcW w:w="1375" w:type="dxa"/>
          </w:tcPr>
          <w:p>
            <w:pPr>
              <w:pStyle w:val="TableParagraph"/>
              <w:spacing w:before="137"/>
              <w:ind w:left="155"/>
              <w:jc w:val="left"/>
              <w:rPr>
                <w:sz w:val="21"/>
              </w:rPr>
            </w:pPr>
            <w:r>
              <w:rPr>
                <w:rFonts w:ascii="Times New Roman" w:eastAsia="Times New Roman"/>
                <w:sz w:val="21"/>
              </w:rPr>
              <w:t>N-</w:t>
            </w:r>
            <w:r>
              <w:rPr>
                <w:sz w:val="21"/>
              </w:rPr>
              <w:t>戊基苯胺</w:t>
            </w:r>
          </w:p>
        </w:tc>
        <w:tc>
          <w:tcPr>
            <w:tcW w:w="1287" w:type="dxa"/>
          </w:tcPr>
          <w:p>
            <w:pPr>
              <w:pStyle w:val="TableParagraph"/>
              <w:spacing w:before="137"/>
              <w:ind w:left="220"/>
              <w:jc w:val="left"/>
              <w:rPr>
                <w:sz w:val="21"/>
              </w:rPr>
            </w:pPr>
            <w:r>
              <w:rPr>
                <w:sz w:val="21"/>
              </w:rPr>
              <w:t>分液废水</w:t>
            </w:r>
          </w:p>
        </w:tc>
        <w:tc>
          <w:tcPr>
            <w:tcW w:w="1843" w:type="dxa"/>
          </w:tcPr>
          <w:p>
            <w:pPr>
              <w:pStyle w:val="TableParagraph"/>
              <w:spacing w:before="1"/>
              <w:ind w:left="107"/>
              <w:jc w:val="left"/>
              <w:rPr>
                <w:sz w:val="21"/>
              </w:rPr>
            </w:pPr>
            <w:r>
              <w:rPr>
                <w:rFonts w:ascii="Times New Roman" w:eastAsia="Times New Roman"/>
                <w:sz w:val="21"/>
              </w:rPr>
              <w:t>COD</w:t>
            </w:r>
            <w:r>
              <w:rPr>
                <w:sz w:val="21"/>
              </w:rPr>
              <w:t>、总氮、硝基</w:t>
            </w:r>
          </w:p>
          <w:p>
            <w:pPr>
              <w:pStyle w:val="TableParagraph"/>
              <w:spacing w:line="250" w:lineRule="exact" w:before="4"/>
              <w:ind w:left="184"/>
              <w:jc w:val="left"/>
              <w:rPr>
                <w:sz w:val="21"/>
              </w:rPr>
            </w:pPr>
            <w:r>
              <w:rPr>
                <w:sz w:val="21"/>
              </w:rPr>
              <w:t>苯类、邻二甲苯</w:t>
            </w:r>
          </w:p>
        </w:tc>
        <w:tc>
          <w:tcPr>
            <w:tcW w:w="1431" w:type="dxa"/>
          </w:tcPr>
          <w:p>
            <w:pPr>
              <w:pStyle w:val="TableParagraph"/>
              <w:spacing w:before="151"/>
              <w:ind w:left="372"/>
              <w:jc w:val="left"/>
              <w:rPr>
                <w:rFonts w:ascii="Times New Roman"/>
                <w:sz w:val="21"/>
              </w:rPr>
            </w:pPr>
            <w:r>
              <w:rPr>
                <w:rFonts w:ascii="Times New Roman"/>
                <w:sz w:val="21"/>
              </w:rPr>
              <w:t>4521.31</w:t>
            </w:r>
          </w:p>
        </w:tc>
        <w:tc>
          <w:tcPr>
            <w:tcW w:w="3354" w:type="dxa"/>
          </w:tcPr>
          <w:p>
            <w:pPr>
              <w:pStyle w:val="TableParagraph"/>
              <w:spacing w:before="1"/>
              <w:ind w:left="184" w:right="180"/>
              <w:rPr>
                <w:sz w:val="21"/>
              </w:rPr>
            </w:pPr>
            <w:r>
              <w:rPr>
                <w:sz w:val="21"/>
              </w:rPr>
              <w:t>收集经蒸馏预处理后进入厂区污</w:t>
            </w:r>
          </w:p>
          <w:p>
            <w:pPr>
              <w:pStyle w:val="TableParagraph"/>
              <w:spacing w:line="250" w:lineRule="exact" w:before="4"/>
              <w:ind w:left="184" w:right="178"/>
              <w:rPr>
                <w:sz w:val="21"/>
              </w:rPr>
            </w:pPr>
            <w:r>
              <w:rPr>
                <w:sz w:val="21"/>
              </w:rPr>
              <w:t>水处理站处理达标纳管</w:t>
            </w:r>
          </w:p>
        </w:tc>
      </w:tr>
    </w:tbl>
    <w:p>
      <w:pPr>
        <w:pStyle w:val="BodyText"/>
        <w:spacing w:before="2"/>
        <w:ind w:left="698"/>
      </w:pPr>
      <w:r>
        <w:rPr>
          <w:rFonts w:ascii="Times New Roman" w:eastAsia="Times New Roman"/>
        </w:rPr>
        <w:t>2</w:t>
      </w:r>
      <w:r>
        <w:rPr/>
        <w:t>、废气</w:t>
      </w:r>
    </w:p>
    <w:p>
      <w:pPr>
        <w:tabs>
          <w:tab w:pos="2460" w:val="left" w:leader="none"/>
          <w:tab w:pos="7280" w:val="left" w:leader="none"/>
        </w:tabs>
        <w:spacing w:line="472" w:lineRule="auto" w:before="161"/>
        <w:ind w:left="1238" w:right="1252" w:hanging="540"/>
        <w:jc w:val="left"/>
        <w:rPr>
          <w:rFonts w:ascii="Times New Roman" w:eastAsia="Times New Roman"/>
          <w:b/>
          <w:sz w:val="24"/>
        </w:rPr>
      </w:pPr>
      <w:r>
        <w:rPr/>
        <w:pict>
          <v:shape style="position:absolute;margin-left:65.304001pt;margin-top:55.209972pt;width:465.2pt;height:113.55pt;mso-position-horizontal-relative:page;mso-position-vertical-relative:paragraph;z-index:25168179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411"/>
                    <w:gridCol w:w="1417"/>
                    <w:gridCol w:w="1278"/>
                    <w:gridCol w:w="3085"/>
                  </w:tblGrid>
                  <w:tr>
                    <w:trPr>
                      <w:trHeight w:val="273" w:hRule="atLeast"/>
                    </w:trPr>
                    <w:tc>
                      <w:tcPr>
                        <w:tcW w:w="1102" w:type="dxa"/>
                      </w:tcPr>
                      <w:p>
                        <w:pPr>
                          <w:pStyle w:val="TableParagraph"/>
                          <w:spacing w:line="252" w:lineRule="exact" w:before="1"/>
                          <w:ind w:left="232"/>
                          <w:jc w:val="left"/>
                          <w:rPr>
                            <w:b/>
                            <w:sz w:val="21"/>
                          </w:rPr>
                        </w:pPr>
                        <w:r>
                          <w:rPr>
                            <w:b/>
                            <w:sz w:val="21"/>
                          </w:rPr>
                          <w:t>生产线</w:t>
                        </w:r>
                      </w:p>
                    </w:tc>
                    <w:tc>
                      <w:tcPr>
                        <w:tcW w:w="2411" w:type="dxa"/>
                      </w:tcPr>
                      <w:p>
                        <w:pPr>
                          <w:pStyle w:val="TableParagraph"/>
                          <w:spacing w:line="252" w:lineRule="exact" w:before="1"/>
                          <w:ind w:left="7"/>
                          <w:rPr>
                            <w:b/>
                            <w:sz w:val="21"/>
                          </w:rPr>
                        </w:pPr>
                        <w:r>
                          <w:rPr>
                            <w:b/>
                            <w:sz w:val="21"/>
                          </w:rPr>
                          <w:t>污染源</w:t>
                        </w:r>
                      </w:p>
                    </w:tc>
                    <w:tc>
                      <w:tcPr>
                        <w:tcW w:w="1417" w:type="dxa"/>
                      </w:tcPr>
                      <w:p>
                        <w:pPr>
                          <w:pStyle w:val="TableParagraph"/>
                          <w:spacing w:line="252" w:lineRule="exact" w:before="1"/>
                          <w:ind w:left="159" w:right="153"/>
                          <w:rPr>
                            <w:b/>
                            <w:sz w:val="21"/>
                          </w:rPr>
                        </w:pPr>
                        <w:r>
                          <w:rPr>
                            <w:b/>
                            <w:sz w:val="21"/>
                          </w:rPr>
                          <w:t>污染物名称</w:t>
                        </w:r>
                      </w:p>
                    </w:tc>
                    <w:tc>
                      <w:tcPr>
                        <w:tcW w:w="1278" w:type="dxa"/>
                      </w:tcPr>
                      <w:p>
                        <w:pPr>
                          <w:pStyle w:val="TableParagraph"/>
                          <w:spacing w:line="252" w:lineRule="exact" w:before="1"/>
                          <w:ind w:left="88" w:right="84"/>
                          <w:rPr>
                            <w:b/>
                            <w:sz w:val="21"/>
                          </w:rPr>
                        </w:pPr>
                        <w:r>
                          <w:rPr>
                            <w:b/>
                            <w:sz w:val="21"/>
                          </w:rPr>
                          <w:t>达产排放量</w:t>
                        </w:r>
                      </w:p>
                    </w:tc>
                    <w:tc>
                      <w:tcPr>
                        <w:tcW w:w="3085" w:type="dxa"/>
                      </w:tcPr>
                      <w:p>
                        <w:pPr>
                          <w:pStyle w:val="TableParagraph"/>
                          <w:spacing w:line="252" w:lineRule="exact" w:before="1"/>
                          <w:ind w:left="98" w:right="94"/>
                          <w:rPr>
                            <w:b/>
                            <w:sz w:val="21"/>
                          </w:rPr>
                        </w:pPr>
                        <w:r>
                          <w:rPr>
                            <w:b/>
                            <w:sz w:val="21"/>
                          </w:rPr>
                          <w:t>现状污染治理措施</w:t>
                        </w:r>
                      </w:p>
                    </w:tc>
                  </w:tr>
                  <w:tr>
                    <w:trPr>
                      <w:trHeight w:val="273" w:hRule="atLeast"/>
                    </w:trPr>
                    <w:tc>
                      <w:tcPr>
                        <w:tcW w:w="1102" w:type="dxa"/>
                        <w:vMerge w:val="restart"/>
                      </w:tcPr>
                      <w:p>
                        <w:pPr>
                          <w:pStyle w:val="TableParagraph"/>
                          <w:jc w:val="left"/>
                          <w:rPr>
                            <w:b/>
                            <w:sz w:val="20"/>
                          </w:rPr>
                        </w:pPr>
                      </w:p>
                      <w:p>
                        <w:pPr>
                          <w:pStyle w:val="TableParagraph"/>
                          <w:spacing w:before="6"/>
                          <w:jc w:val="left"/>
                          <w:rPr>
                            <w:b/>
                            <w:sz w:val="24"/>
                          </w:rPr>
                        </w:pPr>
                      </w:p>
                      <w:p>
                        <w:pPr>
                          <w:pStyle w:val="TableParagraph"/>
                          <w:spacing w:line="244" w:lineRule="auto"/>
                          <w:ind w:left="443" w:right="110" w:hanging="320"/>
                          <w:jc w:val="left"/>
                          <w:rPr>
                            <w:sz w:val="21"/>
                          </w:rPr>
                        </w:pPr>
                        <w:r>
                          <w:rPr>
                            <w:rFonts w:ascii="Times New Roman" w:eastAsia="Times New Roman"/>
                            <w:sz w:val="21"/>
                          </w:rPr>
                          <w:t>N-</w:t>
                        </w:r>
                        <w:r>
                          <w:rPr>
                            <w:sz w:val="21"/>
                          </w:rPr>
                          <w:t>戊基苯胺</w:t>
                        </w:r>
                      </w:p>
                    </w:tc>
                    <w:tc>
                      <w:tcPr>
                        <w:tcW w:w="2411" w:type="dxa"/>
                        <w:vMerge w:val="restart"/>
                      </w:tcPr>
                      <w:p>
                        <w:pPr>
                          <w:pStyle w:val="TableParagraph"/>
                          <w:spacing w:before="142"/>
                          <w:ind w:left="258"/>
                          <w:jc w:val="left"/>
                          <w:rPr>
                            <w:sz w:val="21"/>
                          </w:rPr>
                        </w:pPr>
                        <w:r>
                          <w:rPr>
                            <w:sz w:val="21"/>
                          </w:rPr>
                          <w:t>分液、降膜蒸发废气</w:t>
                        </w:r>
                      </w:p>
                    </w:tc>
                    <w:tc>
                      <w:tcPr>
                        <w:tcW w:w="1417" w:type="dxa"/>
                      </w:tcPr>
                      <w:p>
                        <w:pPr>
                          <w:pStyle w:val="TableParagraph"/>
                          <w:spacing w:line="252" w:lineRule="exact" w:before="1"/>
                          <w:ind w:left="159" w:right="153"/>
                          <w:rPr>
                            <w:sz w:val="21"/>
                          </w:rPr>
                        </w:pPr>
                        <w:r>
                          <w:rPr>
                            <w:sz w:val="21"/>
                          </w:rPr>
                          <w:t>苯胺类</w:t>
                        </w:r>
                      </w:p>
                    </w:tc>
                    <w:tc>
                      <w:tcPr>
                        <w:tcW w:w="1278" w:type="dxa"/>
                      </w:tcPr>
                      <w:p>
                        <w:pPr>
                          <w:pStyle w:val="TableParagraph"/>
                          <w:spacing w:line="238" w:lineRule="exact" w:before="15"/>
                          <w:ind w:left="88" w:right="84"/>
                          <w:rPr>
                            <w:rFonts w:ascii="Times New Roman"/>
                            <w:sz w:val="21"/>
                          </w:rPr>
                        </w:pPr>
                        <w:r>
                          <w:rPr>
                            <w:rFonts w:ascii="Times New Roman"/>
                            <w:sz w:val="21"/>
                          </w:rPr>
                          <w:t>0.055</w:t>
                        </w:r>
                      </w:p>
                    </w:tc>
                    <w:tc>
                      <w:tcPr>
                        <w:tcW w:w="3085" w:type="dxa"/>
                        <w:vMerge w:val="restart"/>
                      </w:tcPr>
                      <w:p>
                        <w:pPr>
                          <w:pStyle w:val="TableParagraph"/>
                          <w:spacing w:line="270" w:lineRule="atLeast" w:before="5"/>
                          <w:ind w:left="1011" w:right="125" w:hanging="838"/>
                          <w:jc w:val="left"/>
                          <w:rPr>
                            <w:sz w:val="21"/>
                          </w:rPr>
                        </w:pPr>
                        <w:r>
                          <w:rPr>
                            <w:sz w:val="21"/>
                          </w:rPr>
                          <w:t>冷凝</w:t>
                        </w:r>
                        <w:r>
                          <w:rPr>
                            <w:rFonts w:ascii="Times New Roman" w:eastAsia="Times New Roman"/>
                            <w:sz w:val="21"/>
                          </w:rPr>
                          <w:t>+ RTO </w:t>
                        </w:r>
                        <w:r>
                          <w:rPr>
                            <w:sz w:val="21"/>
                          </w:rPr>
                          <w:t>焚烧</w:t>
                        </w:r>
                        <w:r>
                          <w:rPr>
                            <w:rFonts w:ascii="Times New Roman" w:eastAsia="Times New Roman"/>
                            <w:sz w:val="21"/>
                          </w:rPr>
                          <w:t>+SNCR </w:t>
                        </w:r>
                        <w:r>
                          <w:rPr>
                            <w:sz w:val="21"/>
                          </w:rPr>
                          <w:t>脱硝</w:t>
                        </w:r>
                        <w:r>
                          <w:rPr>
                            <w:rFonts w:ascii="Times New Roman" w:eastAsia="Times New Roman"/>
                            <w:sz w:val="21"/>
                          </w:rPr>
                          <w:t>+ </w:t>
                        </w:r>
                        <w:r>
                          <w:rPr>
                            <w:sz w:val="21"/>
                          </w:rPr>
                          <w:t>四级碱吸收</w:t>
                        </w:r>
                      </w:p>
                    </w:tc>
                  </w:tr>
                  <w:tr>
                    <w:trPr>
                      <w:trHeight w:val="271"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0" w:lineRule="exact" w:before="1"/>
                          <w:ind w:left="159" w:right="151"/>
                          <w:rPr>
                            <w:sz w:val="21"/>
                          </w:rPr>
                        </w:pPr>
                        <w:r>
                          <w:rPr>
                            <w:rFonts w:ascii="Times New Roman" w:eastAsia="Times New Roman"/>
                            <w:sz w:val="21"/>
                          </w:rPr>
                          <w:t>3-</w:t>
                        </w:r>
                        <w:r>
                          <w:rPr>
                            <w:sz w:val="21"/>
                          </w:rPr>
                          <w:t>戊酮</w:t>
                        </w:r>
                      </w:p>
                    </w:tc>
                    <w:tc>
                      <w:tcPr>
                        <w:tcW w:w="1278" w:type="dxa"/>
                      </w:tcPr>
                      <w:p>
                        <w:pPr>
                          <w:pStyle w:val="TableParagraph"/>
                          <w:spacing w:line="236" w:lineRule="exact" w:before="15"/>
                          <w:ind w:left="88" w:right="84"/>
                          <w:rPr>
                            <w:rFonts w:ascii="Times New Roman"/>
                            <w:sz w:val="21"/>
                          </w:rPr>
                        </w:pPr>
                        <w:r>
                          <w:rPr>
                            <w:rFonts w:ascii="Times New Roman"/>
                            <w:sz w:val="21"/>
                          </w:rPr>
                          <w:t>3.226</w:t>
                        </w:r>
                      </w:p>
                    </w:tc>
                    <w:tc>
                      <w:tcPr>
                        <w:tcW w:w="3085" w:type="dxa"/>
                        <w:vMerge/>
                        <w:tcBorders>
                          <w:top w:val="nil"/>
                        </w:tcBorders>
                      </w:tcPr>
                      <w:p>
                        <w:pPr>
                          <w:rPr>
                            <w:sz w:val="2"/>
                            <w:szCs w:val="2"/>
                          </w:rPr>
                        </w:pPr>
                      </w:p>
                    </w:tc>
                  </w:tr>
                  <w:tr>
                    <w:trPr>
                      <w:trHeight w:val="273" w:hRule="atLeast"/>
                    </w:trPr>
                    <w:tc>
                      <w:tcPr>
                        <w:tcW w:w="1102" w:type="dxa"/>
                        <w:vMerge/>
                        <w:tcBorders>
                          <w:top w:val="nil"/>
                        </w:tcBorders>
                      </w:tcPr>
                      <w:p>
                        <w:pPr>
                          <w:rPr>
                            <w:sz w:val="2"/>
                            <w:szCs w:val="2"/>
                          </w:rPr>
                        </w:pPr>
                      </w:p>
                    </w:tc>
                    <w:tc>
                      <w:tcPr>
                        <w:tcW w:w="2411" w:type="dxa"/>
                        <w:vMerge w:val="restart"/>
                      </w:tcPr>
                      <w:p>
                        <w:pPr>
                          <w:pStyle w:val="TableParagraph"/>
                          <w:spacing w:before="2"/>
                          <w:jc w:val="left"/>
                          <w:rPr>
                            <w:b/>
                            <w:sz w:val="22"/>
                          </w:rPr>
                        </w:pPr>
                      </w:p>
                      <w:p>
                        <w:pPr>
                          <w:pStyle w:val="TableParagraph"/>
                          <w:ind w:left="467"/>
                          <w:jc w:val="left"/>
                          <w:rPr>
                            <w:sz w:val="21"/>
                          </w:rPr>
                        </w:pPr>
                        <w:r>
                          <w:rPr>
                            <w:sz w:val="21"/>
                          </w:rPr>
                          <w:t>还原、过滤尾气</w:t>
                        </w:r>
                      </w:p>
                    </w:tc>
                    <w:tc>
                      <w:tcPr>
                        <w:tcW w:w="1417" w:type="dxa"/>
                      </w:tcPr>
                      <w:p>
                        <w:pPr>
                          <w:pStyle w:val="TableParagraph"/>
                          <w:spacing w:line="252" w:lineRule="exact" w:before="1"/>
                          <w:ind w:left="159" w:right="153"/>
                          <w:rPr>
                            <w:sz w:val="21"/>
                          </w:rPr>
                        </w:pPr>
                        <w:r>
                          <w:rPr>
                            <w:sz w:val="21"/>
                          </w:rPr>
                          <w:t>硝基苯类</w:t>
                        </w:r>
                      </w:p>
                    </w:tc>
                    <w:tc>
                      <w:tcPr>
                        <w:tcW w:w="1278" w:type="dxa"/>
                      </w:tcPr>
                      <w:p>
                        <w:pPr>
                          <w:pStyle w:val="TableParagraph"/>
                          <w:spacing w:line="238" w:lineRule="exact" w:before="15"/>
                          <w:ind w:left="88" w:right="84"/>
                          <w:rPr>
                            <w:rFonts w:ascii="Times New Roman"/>
                            <w:sz w:val="21"/>
                          </w:rPr>
                        </w:pPr>
                        <w:r>
                          <w:rPr>
                            <w:rFonts w:ascii="Times New Roman"/>
                            <w:sz w:val="21"/>
                          </w:rPr>
                          <w:t>0.182</w:t>
                        </w:r>
                      </w:p>
                    </w:tc>
                    <w:tc>
                      <w:tcPr>
                        <w:tcW w:w="3085" w:type="dxa"/>
                        <w:vMerge w:val="restart"/>
                      </w:tcPr>
                      <w:p>
                        <w:pPr>
                          <w:pStyle w:val="TableParagraph"/>
                          <w:spacing w:before="2"/>
                          <w:jc w:val="left"/>
                          <w:rPr>
                            <w:b/>
                            <w:sz w:val="22"/>
                          </w:rPr>
                        </w:pPr>
                      </w:p>
                      <w:p>
                        <w:pPr>
                          <w:pStyle w:val="TableParagraph"/>
                          <w:ind w:left="98" w:right="96"/>
                          <w:rPr>
                            <w:sz w:val="21"/>
                          </w:rPr>
                        </w:pPr>
                        <w:r>
                          <w:rPr>
                            <w:sz w:val="21"/>
                          </w:rPr>
                          <w:t>冷凝</w:t>
                        </w:r>
                        <w:r>
                          <w:rPr>
                            <w:rFonts w:ascii="Times New Roman" w:eastAsia="Times New Roman"/>
                            <w:sz w:val="21"/>
                          </w:rPr>
                          <w:t>+</w:t>
                        </w:r>
                        <w:r>
                          <w:rPr>
                            <w:sz w:val="21"/>
                          </w:rPr>
                          <w:t>水封</w:t>
                        </w:r>
                      </w:p>
                    </w:tc>
                  </w:tr>
                  <w:tr>
                    <w:trPr>
                      <w:trHeight w:val="273"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2" w:lineRule="exact" w:before="1"/>
                          <w:ind w:left="159" w:right="151"/>
                          <w:rPr>
                            <w:sz w:val="21"/>
                          </w:rPr>
                        </w:pPr>
                        <w:r>
                          <w:rPr>
                            <w:rFonts w:ascii="Times New Roman" w:eastAsia="Times New Roman"/>
                            <w:sz w:val="21"/>
                          </w:rPr>
                          <w:t>3-</w:t>
                        </w:r>
                        <w:r>
                          <w:rPr>
                            <w:sz w:val="21"/>
                          </w:rPr>
                          <w:t>戊酮</w:t>
                        </w:r>
                      </w:p>
                    </w:tc>
                    <w:tc>
                      <w:tcPr>
                        <w:tcW w:w="1278" w:type="dxa"/>
                      </w:tcPr>
                      <w:p>
                        <w:pPr>
                          <w:pStyle w:val="TableParagraph"/>
                          <w:spacing w:line="238" w:lineRule="exact" w:before="15"/>
                          <w:ind w:left="88" w:right="84"/>
                          <w:rPr>
                            <w:rFonts w:ascii="Times New Roman"/>
                            <w:sz w:val="21"/>
                          </w:rPr>
                        </w:pPr>
                        <w:r>
                          <w:rPr>
                            <w:rFonts w:ascii="Times New Roman"/>
                            <w:sz w:val="21"/>
                          </w:rPr>
                          <w:t>2.975</w:t>
                        </w:r>
                      </w:p>
                    </w:tc>
                    <w:tc>
                      <w:tcPr>
                        <w:tcW w:w="3085" w:type="dxa"/>
                        <w:vMerge/>
                        <w:tcBorders>
                          <w:top w:val="nil"/>
                        </w:tcBorders>
                      </w:tcPr>
                      <w:p>
                        <w:pPr>
                          <w:rPr>
                            <w:sz w:val="2"/>
                            <w:szCs w:val="2"/>
                          </w:rPr>
                        </w:pPr>
                      </w:p>
                    </w:tc>
                  </w:tr>
                  <w:tr>
                    <w:trPr>
                      <w:trHeight w:val="270" w:hRule="atLeast"/>
                    </w:trPr>
                    <w:tc>
                      <w:tcPr>
                        <w:tcW w:w="1102" w:type="dxa"/>
                        <w:vMerge/>
                        <w:tcBorders>
                          <w:top w:val="nil"/>
                        </w:tcBorders>
                      </w:tcPr>
                      <w:p>
                        <w:pPr>
                          <w:rPr>
                            <w:sz w:val="2"/>
                            <w:szCs w:val="2"/>
                          </w:rPr>
                        </w:pPr>
                      </w:p>
                    </w:tc>
                    <w:tc>
                      <w:tcPr>
                        <w:tcW w:w="2411" w:type="dxa"/>
                        <w:vMerge/>
                        <w:tcBorders>
                          <w:top w:val="nil"/>
                        </w:tcBorders>
                      </w:tcPr>
                      <w:p>
                        <w:pPr>
                          <w:rPr>
                            <w:sz w:val="2"/>
                            <w:szCs w:val="2"/>
                          </w:rPr>
                        </w:pPr>
                      </w:p>
                    </w:tc>
                    <w:tc>
                      <w:tcPr>
                        <w:tcW w:w="1417" w:type="dxa"/>
                      </w:tcPr>
                      <w:p>
                        <w:pPr>
                          <w:pStyle w:val="TableParagraph"/>
                          <w:spacing w:line="250" w:lineRule="exact" w:before="1"/>
                          <w:ind w:left="159" w:right="153"/>
                          <w:rPr>
                            <w:sz w:val="21"/>
                          </w:rPr>
                        </w:pPr>
                        <w:r>
                          <w:rPr>
                            <w:sz w:val="21"/>
                          </w:rPr>
                          <w:t>氢气</w:t>
                        </w:r>
                      </w:p>
                    </w:tc>
                    <w:tc>
                      <w:tcPr>
                        <w:tcW w:w="1278" w:type="dxa"/>
                      </w:tcPr>
                      <w:p>
                        <w:pPr>
                          <w:pStyle w:val="TableParagraph"/>
                          <w:spacing w:line="250" w:lineRule="exact" w:before="1"/>
                          <w:ind w:left="88" w:right="84"/>
                          <w:rPr>
                            <w:sz w:val="21"/>
                          </w:rPr>
                        </w:pPr>
                        <w:r>
                          <w:rPr>
                            <w:sz w:val="21"/>
                          </w:rPr>
                          <w:t>少量</w:t>
                        </w:r>
                      </w:p>
                    </w:tc>
                    <w:tc>
                      <w:tcPr>
                        <w:tcW w:w="3085" w:type="dxa"/>
                        <w:vMerge/>
                        <w:tcBorders>
                          <w:top w:val="nil"/>
                        </w:tcBorders>
                      </w:tcPr>
                      <w:p>
                        <w:pPr>
                          <w:rPr>
                            <w:sz w:val="2"/>
                            <w:szCs w:val="2"/>
                          </w:rPr>
                        </w:pPr>
                      </w:p>
                    </w:tc>
                  </w:tr>
                  <w:tr>
                    <w:trPr>
                      <w:trHeight w:val="273" w:hRule="atLeast"/>
                    </w:trPr>
                    <w:tc>
                      <w:tcPr>
                        <w:tcW w:w="1102" w:type="dxa"/>
                        <w:vMerge/>
                        <w:tcBorders>
                          <w:top w:val="nil"/>
                        </w:tcBorders>
                      </w:tcPr>
                      <w:p>
                        <w:pPr>
                          <w:rPr>
                            <w:sz w:val="2"/>
                            <w:szCs w:val="2"/>
                          </w:rPr>
                        </w:pPr>
                      </w:p>
                    </w:tc>
                    <w:tc>
                      <w:tcPr>
                        <w:tcW w:w="2411" w:type="dxa"/>
                      </w:tcPr>
                      <w:p>
                        <w:pPr>
                          <w:pStyle w:val="TableParagraph"/>
                          <w:spacing w:line="252" w:lineRule="exact" w:before="1"/>
                          <w:ind w:left="7"/>
                          <w:rPr>
                            <w:sz w:val="21"/>
                          </w:rPr>
                        </w:pPr>
                        <w:r>
                          <w:rPr>
                            <w:sz w:val="21"/>
                          </w:rPr>
                          <w:t>中转环节无组织</w:t>
                        </w:r>
                      </w:p>
                    </w:tc>
                    <w:tc>
                      <w:tcPr>
                        <w:tcW w:w="1417" w:type="dxa"/>
                      </w:tcPr>
                      <w:p>
                        <w:pPr>
                          <w:pStyle w:val="TableParagraph"/>
                          <w:spacing w:line="252" w:lineRule="exact" w:before="1"/>
                          <w:ind w:left="159" w:right="151"/>
                          <w:rPr>
                            <w:sz w:val="21"/>
                          </w:rPr>
                        </w:pPr>
                        <w:r>
                          <w:rPr>
                            <w:rFonts w:ascii="Times New Roman" w:eastAsia="Times New Roman"/>
                            <w:sz w:val="21"/>
                          </w:rPr>
                          <w:t>3-</w:t>
                        </w:r>
                        <w:r>
                          <w:rPr>
                            <w:sz w:val="21"/>
                          </w:rPr>
                          <w:t>戊酮</w:t>
                        </w:r>
                      </w:p>
                    </w:tc>
                    <w:tc>
                      <w:tcPr>
                        <w:tcW w:w="1278" w:type="dxa"/>
                      </w:tcPr>
                      <w:p>
                        <w:pPr>
                          <w:pStyle w:val="TableParagraph"/>
                          <w:spacing w:line="238" w:lineRule="exact" w:before="15"/>
                          <w:ind w:left="88" w:right="84"/>
                          <w:rPr>
                            <w:rFonts w:ascii="Times New Roman"/>
                            <w:sz w:val="21"/>
                          </w:rPr>
                        </w:pPr>
                        <w:r>
                          <w:rPr>
                            <w:rFonts w:ascii="Times New Roman"/>
                            <w:sz w:val="21"/>
                          </w:rPr>
                          <w:t>2.83</w:t>
                        </w:r>
                      </w:p>
                    </w:tc>
                    <w:tc>
                      <w:tcPr>
                        <w:tcW w:w="3085" w:type="dxa"/>
                      </w:tcPr>
                      <w:p>
                        <w:pPr>
                          <w:pStyle w:val="TableParagraph"/>
                          <w:spacing w:line="238" w:lineRule="exact" w:before="15"/>
                          <w:ind w:left="1"/>
                          <w:rPr>
                            <w:rFonts w:ascii="Times New Roman"/>
                            <w:sz w:val="21"/>
                          </w:rPr>
                        </w:pPr>
                        <w:r>
                          <w:rPr>
                            <w:rFonts w:ascii="Times New Roman"/>
                            <w:w w:val="100"/>
                            <w:sz w:val="21"/>
                          </w:rPr>
                          <w:t>/</w:t>
                        </w:r>
                      </w:p>
                    </w:tc>
                  </w:tr>
                  <w:tr>
                    <w:trPr>
                      <w:trHeight w:val="273" w:hRule="atLeast"/>
                    </w:trPr>
                    <w:tc>
                      <w:tcPr>
                        <w:tcW w:w="3513" w:type="dxa"/>
                        <w:gridSpan w:val="2"/>
                      </w:tcPr>
                      <w:p>
                        <w:pPr>
                          <w:pStyle w:val="TableParagraph"/>
                          <w:spacing w:line="252" w:lineRule="exact" w:before="1"/>
                          <w:ind w:left="1523" w:right="1518"/>
                          <w:rPr>
                            <w:b/>
                            <w:sz w:val="21"/>
                          </w:rPr>
                        </w:pPr>
                        <w:r>
                          <w:rPr>
                            <w:b/>
                            <w:sz w:val="21"/>
                          </w:rPr>
                          <w:t>小计</w:t>
                        </w:r>
                      </w:p>
                    </w:tc>
                    <w:tc>
                      <w:tcPr>
                        <w:tcW w:w="1417" w:type="dxa"/>
                      </w:tcPr>
                      <w:p>
                        <w:pPr>
                          <w:pStyle w:val="TableParagraph"/>
                          <w:spacing w:line="238" w:lineRule="exact" w:before="15"/>
                          <w:ind w:left="157" w:right="153"/>
                          <w:rPr>
                            <w:rFonts w:ascii="Times New Roman"/>
                            <w:b/>
                            <w:sz w:val="21"/>
                          </w:rPr>
                        </w:pPr>
                        <w:r>
                          <w:rPr>
                            <w:rFonts w:ascii="Times New Roman"/>
                            <w:b/>
                            <w:sz w:val="21"/>
                          </w:rPr>
                          <w:t>VOCs</w:t>
                        </w:r>
                      </w:p>
                    </w:tc>
                    <w:tc>
                      <w:tcPr>
                        <w:tcW w:w="1278" w:type="dxa"/>
                      </w:tcPr>
                      <w:p>
                        <w:pPr>
                          <w:pStyle w:val="TableParagraph"/>
                          <w:spacing w:line="238" w:lineRule="exact" w:before="15"/>
                          <w:ind w:left="88" w:right="84"/>
                          <w:rPr>
                            <w:rFonts w:ascii="Times New Roman"/>
                            <w:b/>
                            <w:sz w:val="21"/>
                          </w:rPr>
                        </w:pPr>
                        <w:r>
                          <w:rPr>
                            <w:rFonts w:ascii="Times New Roman"/>
                            <w:b/>
                            <w:sz w:val="21"/>
                          </w:rPr>
                          <w:t>9.268</w:t>
                        </w:r>
                      </w:p>
                    </w:tc>
                    <w:tc>
                      <w:tcPr>
                        <w:tcW w:w="3085" w:type="dxa"/>
                      </w:tcPr>
                      <w:p>
                        <w:pPr>
                          <w:pStyle w:val="TableParagraph"/>
                          <w:jc w:val="left"/>
                          <w:rPr>
                            <w:rFonts w:ascii="Times New Roman"/>
                            <w:sz w:val="20"/>
                          </w:rPr>
                        </w:pPr>
                      </w:p>
                    </w:tc>
                  </w:tr>
                </w:tbl>
                <w:p>
                  <w:pPr>
                    <w:pStyle w:val="BodyText"/>
                  </w:pPr>
                </w:p>
              </w:txbxContent>
            </v:textbox>
            <w10:wrap type="none"/>
          </v:shape>
        </w:pict>
      </w:r>
      <w:r>
        <w:rPr>
          <w:sz w:val="24"/>
        </w:rPr>
        <w:t>该生产线生产废气主要为有机废等，具体排放及治理措施情况如下表。</w:t>
      </w:r>
      <w:r>
        <w:rPr>
          <w:b/>
          <w:sz w:val="24"/>
        </w:rPr>
        <w:t>表</w:t>
      </w:r>
      <w:r>
        <w:rPr>
          <w:b/>
          <w:spacing w:val="-60"/>
          <w:sz w:val="24"/>
        </w:rPr>
        <w:t> </w:t>
      </w:r>
      <w:r>
        <w:rPr>
          <w:rFonts w:ascii="Times New Roman" w:eastAsia="Times New Roman"/>
          <w:b/>
          <w:sz w:val="24"/>
        </w:rPr>
        <w:t>3.3.4-4</w:t>
        <w:tab/>
      </w:r>
      <w:r>
        <w:rPr>
          <w:b/>
          <w:sz w:val="24"/>
        </w:rPr>
        <w:t>该生产线污染物排放及治理措施情况汇总表</w:t>
        <w:tab/>
        <w:t>单位</w:t>
      </w:r>
      <w:r>
        <w:rPr>
          <w:b/>
          <w:spacing w:val="-5"/>
          <w:sz w:val="24"/>
        </w:rPr>
        <w:t>：</w:t>
      </w:r>
      <w:r>
        <w:rPr>
          <w:rFonts w:ascii="Times New Roman" w:eastAsia="Times New Roman"/>
          <w:b/>
          <w:spacing w:val="-5"/>
          <w:sz w:val="24"/>
        </w:rPr>
        <w:t>t/a</w:t>
      </w: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211"/>
        <w:ind w:left="698"/>
      </w:pPr>
      <w:r>
        <w:rPr>
          <w:rFonts w:ascii="Times New Roman" w:eastAsia="Times New Roman"/>
        </w:rPr>
        <w:t>3</w:t>
      </w:r>
      <w:r>
        <w:rPr/>
        <w:t>、固废</w:t>
      </w:r>
    </w:p>
    <w:p>
      <w:pPr>
        <w:pStyle w:val="BodyText"/>
        <w:spacing w:before="158"/>
        <w:ind w:left="698"/>
      </w:pPr>
      <w:r>
        <w:rPr/>
        <w:t>该生产线固废产生汇总情况见下表。</w:t>
      </w:r>
    </w:p>
    <w:p>
      <w:pPr>
        <w:pStyle w:val="BodyText"/>
        <w:spacing w:before="7"/>
        <w:rPr>
          <w:sz w:val="23"/>
        </w:rPr>
      </w:pPr>
    </w:p>
    <w:p>
      <w:pPr>
        <w:pStyle w:val="Heading4"/>
        <w:tabs>
          <w:tab w:pos="1222" w:val="left" w:leader="none"/>
          <w:tab w:pos="4114" w:val="left" w:leader="none"/>
        </w:tabs>
        <w:spacing w:after="29"/>
        <w:ind w:left="0" w:right="13"/>
        <w:jc w:val="center"/>
        <w:rPr>
          <w:rFonts w:ascii="Times New Roman" w:eastAsia="Times New Roman"/>
        </w:rPr>
      </w:pPr>
      <w:r>
        <w:rPr/>
        <w:t>表</w:t>
      </w:r>
      <w:r>
        <w:rPr>
          <w:spacing w:val="-60"/>
        </w:rPr>
        <w:t> </w:t>
      </w:r>
      <w:r>
        <w:rPr>
          <w:rFonts w:ascii="Times New Roman" w:eastAsia="Times New Roman"/>
        </w:rPr>
        <w:t>3.3.4-5</w:t>
        <w:tab/>
      </w:r>
      <w:r>
        <w:rPr/>
        <w:t>该生产线固废情况汇总表</w:t>
        <w:tab/>
        <w:t>单位：</w:t>
      </w:r>
      <w:r>
        <w:rPr>
          <w:rFonts w:ascii="Times New Roman" w:eastAsia="Times New Roman"/>
        </w:rPr>
        <w:t>t/a</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073"/>
        <w:gridCol w:w="1105"/>
        <w:gridCol w:w="1277"/>
        <w:gridCol w:w="1417"/>
        <w:gridCol w:w="1280"/>
        <w:gridCol w:w="1897"/>
      </w:tblGrid>
      <w:tr>
        <w:trPr>
          <w:trHeight w:val="282" w:hRule="atLeast"/>
        </w:trPr>
        <w:tc>
          <w:tcPr>
            <w:tcW w:w="1140" w:type="dxa"/>
          </w:tcPr>
          <w:p>
            <w:pPr>
              <w:pStyle w:val="TableParagraph"/>
              <w:spacing w:line="257" w:lineRule="exact" w:before="6"/>
              <w:ind w:left="24" w:right="12"/>
              <w:rPr>
                <w:b/>
                <w:sz w:val="21"/>
              </w:rPr>
            </w:pPr>
            <w:r>
              <w:rPr>
                <w:b/>
                <w:sz w:val="21"/>
              </w:rPr>
              <w:t>固废名称</w:t>
            </w:r>
          </w:p>
        </w:tc>
        <w:tc>
          <w:tcPr>
            <w:tcW w:w="1073" w:type="dxa"/>
          </w:tcPr>
          <w:p>
            <w:pPr>
              <w:pStyle w:val="TableParagraph"/>
              <w:spacing w:line="257" w:lineRule="exact" w:before="6"/>
              <w:ind w:left="95" w:right="84"/>
              <w:rPr>
                <w:b/>
                <w:sz w:val="21"/>
              </w:rPr>
            </w:pPr>
            <w:r>
              <w:rPr>
                <w:b/>
                <w:sz w:val="21"/>
              </w:rPr>
              <w:t>产生工序</w:t>
            </w:r>
          </w:p>
        </w:tc>
        <w:tc>
          <w:tcPr>
            <w:tcW w:w="1105" w:type="dxa"/>
          </w:tcPr>
          <w:p>
            <w:pPr>
              <w:pStyle w:val="TableParagraph"/>
              <w:spacing w:line="257" w:lineRule="exact" w:before="6"/>
              <w:ind w:left="214" w:right="206"/>
              <w:rPr>
                <w:b/>
                <w:sz w:val="21"/>
              </w:rPr>
            </w:pPr>
            <w:r>
              <w:rPr>
                <w:b/>
                <w:sz w:val="21"/>
              </w:rPr>
              <w:t>性状</w:t>
            </w:r>
          </w:p>
        </w:tc>
        <w:tc>
          <w:tcPr>
            <w:tcW w:w="1277" w:type="dxa"/>
          </w:tcPr>
          <w:p>
            <w:pPr>
              <w:pStyle w:val="TableParagraph"/>
              <w:spacing w:line="257" w:lineRule="exact" w:before="6"/>
              <w:ind w:right="205"/>
              <w:jc w:val="right"/>
              <w:rPr>
                <w:b/>
                <w:sz w:val="21"/>
              </w:rPr>
            </w:pPr>
            <w:r>
              <w:rPr>
                <w:b/>
                <w:sz w:val="21"/>
              </w:rPr>
              <w:t>主要成分</w:t>
            </w:r>
          </w:p>
        </w:tc>
        <w:tc>
          <w:tcPr>
            <w:tcW w:w="1417" w:type="dxa"/>
          </w:tcPr>
          <w:p>
            <w:pPr>
              <w:pStyle w:val="TableParagraph"/>
              <w:spacing w:line="257" w:lineRule="exact" w:before="6"/>
              <w:ind w:left="284"/>
              <w:jc w:val="left"/>
              <w:rPr>
                <w:b/>
                <w:sz w:val="21"/>
              </w:rPr>
            </w:pPr>
            <w:r>
              <w:rPr>
                <w:b/>
                <w:sz w:val="21"/>
              </w:rPr>
              <w:t>危废代码</w:t>
            </w:r>
          </w:p>
        </w:tc>
        <w:tc>
          <w:tcPr>
            <w:tcW w:w="1280" w:type="dxa"/>
          </w:tcPr>
          <w:p>
            <w:pPr>
              <w:pStyle w:val="TableParagraph"/>
              <w:spacing w:line="257" w:lineRule="exact" w:before="6"/>
              <w:ind w:left="8"/>
              <w:rPr>
                <w:b/>
                <w:sz w:val="21"/>
              </w:rPr>
            </w:pPr>
            <w:r>
              <w:rPr>
                <w:b/>
                <w:sz w:val="21"/>
              </w:rPr>
              <w:t>达产产生量</w:t>
            </w:r>
          </w:p>
        </w:tc>
        <w:tc>
          <w:tcPr>
            <w:tcW w:w="1897" w:type="dxa"/>
          </w:tcPr>
          <w:p>
            <w:pPr>
              <w:pStyle w:val="TableParagraph"/>
              <w:spacing w:line="257" w:lineRule="exact" w:before="6"/>
              <w:ind w:left="59" w:right="55"/>
              <w:rPr>
                <w:b/>
                <w:sz w:val="21"/>
              </w:rPr>
            </w:pPr>
            <w:r>
              <w:rPr>
                <w:b/>
                <w:sz w:val="21"/>
              </w:rPr>
              <w:t>处置去向</w:t>
            </w:r>
          </w:p>
        </w:tc>
      </w:tr>
      <w:tr>
        <w:trPr>
          <w:trHeight w:val="484" w:hRule="atLeast"/>
        </w:trPr>
        <w:tc>
          <w:tcPr>
            <w:tcW w:w="1140" w:type="dxa"/>
          </w:tcPr>
          <w:p>
            <w:pPr>
              <w:pStyle w:val="TableParagraph"/>
              <w:spacing w:before="106"/>
              <w:ind w:left="24" w:right="12"/>
              <w:rPr>
                <w:sz w:val="21"/>
              </w:rPr>
            </w:pPr>
            <w:r>
              <w:rPr>
                <w:sz w:val="21"/>
              </w:rPr>
              <w:t>废催化剂</w:t>
            </w:r>
          </w:p>
        </w:tc>
        <w:tc>
          <w:tcPr>
            <w:tcW w:w="1073" w:type="dxa"/>
          </w:tcPr>
          <w:p>
            <w:pPr>
              <w:pStyle w:val="TableParagraph"/>
              <w:spacing w:before="106"/>
              <w:ind w:left="95" w:right="84"/>
              <w:rPr>
                <w:sz w:val="21"/>
              </w:rPr>
            </w:pPr>
            <w:r>
              <w:rPr>
                <w:sz w:val="21"/>
              </w:rPr>
              <w:t>还原过滤</w:t>
            </w:r>
          </w:p>
        </w:tc>
        <w:tc>
          <w:tcPr>
            <w:tcW w:w="1105" w:type="dxa"/>
          </w:tcPr>
          <w:p>
            <w:pPr>
              <w:pStyle w:val="TableParagraph"/>
              <w:spacing w:before="106"/>
              <w:ind w:left="218" w:right="206"/>
              <w:rPr>
                <w:sz w:val="21"/>
              </w:rPr>
            </w:pPr>
            <w:r>
              <w:rPr>
                <w:sz w:val="21"/>
              </w:rPr>
              <w:t>固态</w:t>
            </w:r>
          </w:p>
        </w:tc>
        <w:tc>
          <w:tcPr>
            <w:tcW w:w="1277" w:type="dxa"/>
          </w:tcPr>
          <w:p>
            <w:pPr>
              <w:pStyle w:val="TableParagraph"/>
              <w:spacing w:before="106"/>
              <w:ind w:right="205"/>
              <w:jc w:val="right"/>
              <w:rPr>
                <w:b/>
                <w:sz w:val="21"/>
              </w:rPr>
            </w:pPr>
            <w:r>
              <w:rPr>
                <w:b/>
                <w:color w:val="FF0000"/>
                <w:sz w:val="21"/>
              </w:rPr>
              <w:t>涉密删除</w:t>
            </w:r>
          </w:p>
        </w:tc>
        <w:tc>
          <w:tcPr>
            <w:tcW w:w="1417" w:type="dxa"/>
          </w:tcPr>
          <w:p>
            <w:pPr>
              <w:pStyle w:val="TableParagraph"/>
              <w:spacing w:line="242" w:lineRule="exact" w:before="3"/>
              <w:ind w:left="214" w:right="210" w:firstLine="211"/>
              <w:jc w:val="left"/>
              <w:rPr>
                <w:rFonts w:ascii="Times New Roman"/>
                <w:sz w:val="21"/>
              </w:rPr>
            </w:pPr>
            <w:r>
              <w:rPr>
                <w:rFonts w:ascii="Times New Roman"/>
                <w:sz w:val="21"/>
              </w:rPr>
              <w:t>HW50 261-161-50</w:t>
            </w:r>
          </w:p>
        </w:tc>
        <w:tc>
          <w:tcPr>
            <w:tcW w:w="1280" w:type="dxa"/>
          </w:tcPr>
          <w:p>
            <w:pPr>
              <w:pStyle w:val="TableParagraph"/>
              <w:spacing w:before="120"/>
              <w:ind w:left="8"/>
              <w:rPr>
                <w:rFonts w:ascii="Times New Roman"/>
                <w:sz w:val="21"/>
              </w:rPr>
            </w:pPr>
            <w:r>
              <w:rPr>
                <w:rFonts w:ascii="Times New Roman"/>
                <w:sz w:val="21"/>
              </w:rPr>
              <w:t>0.85</w:t>
            </w:r>
          </w:p>
        </w:tc>
        <w:tc>
          <w:tcPr>
            <w:tcW w:w="1897" w:type="dxa"/>
          </w:tcPr>
          <w:p>
            <w:pPr>
              <w:pStyle w:val="TableParagraph"/>
              <w:spacing w:before="106"/>
              <w:ind w:left="55" w:right="55"/>
              <w:rPr>
                <w:sz w:val="21"/>
              </w:rPr>
            </w:pPr>
            <w:r>
              <w:rPr>
                <w:sz w:val="21"/>
              </w:rPr>
              <w:t>委托华鑫环保填埋</w:t>
            </w:r>
          </w:p>
        </w:tc>
      </w:tr>
    </w:tbl>
    <w:p>
      <w:pPr>
        <w:pStyle w:val="ListParagraph"/>
        <w:numPr>
          <w:ilvl w:val="2"/>
          <w:numId w:val="13"/>
        </w:numPr>
        <w:tabs>
          <w:tab w:pos="999" w:val="left" w:leader="none"/>
        </w:tabs>
        <w:spacing w:line="240" w:lineRule="auto" w:before="122" w:after="0"/>
        <w:ind w:left="998" w:right="0" w:hanging="541"/>
        <w:jc w:val="both"/>
        <w:rPr>
          <w:b/>
          <w:sz w:val="24"/>
        </w:rPr>
      </w:pPr>
      <w:r>
        <w:rPr>
          <w:b/>
          <w:spacing w:val="-20"/>
          <w:sz w:val="24"/>
        </w:rPr>
        <w:t>年产 </w:t>
      </w:r>
      <w:r>
        <w:rPr>
          <w:rFonts w:ascii="Times New Roman" w:eastAsia="Times New Roman"/>
          <w:b/>
          <w:sz w:val="24"/>
        </w:rPr>
        <w:t>1500 </w:t>
      </w:r>
      <w:r>
        <w:rPr>
          <w:b/>
          <w:spacing w:val="-7"/>
          <w:sz w:val="24"/>
        </w:rPr>
        <w:t>吨对异丙基苯胺和 </w:t>
      </w:r>
      <w:r>
        <w:rPr>
          <w:rFonts w:ascii="Times New Roman" w:eastAsia="Times New Roman"/>
          <w:b/>
          <w:sz w:val="24"/>
        </w:rPr>
        <w:t>500 </w:t>
      </w:r>
      <w:r>
        <w:rPr>
          <w:b/>
          <w:sz w:val="24"/>
        </w:rPr>
        <w:t>吨邻异丙基苯胺装置生产、排污情况</w:t>
      </w:r>
    </w:p>
    <w:p>
      <w:pPr>
        <w:pStyle w:val="BodyText"/>
        <w:spacing w:line="364" w:lineRule="auto" w:before="158"/>
        <w:ind w:left="218" w:right="232" w:firstLine="480"/>
        <w:jc w:val="both"/>
      </w:pPr>
      <w:r>
        <w:rPr/>
        <w:t>“</w:t>
      </w:r>
      <w:r>
        <w:rPr>
          <w:rFonts w:ascii="Times New Roman" w:hAnsi="Times New Roman" w:eastAsia="Times New Roman"/>
        </w:rPr>
        <w:t>1500 </w:t>
      </w:r>
      <w:r>
        <w:rPr/>
        <w:t>吨</w:t>
      </w:r>
      <w:r>
        <w:rPr>
          <w:rFonts w:ascii="Times New Roman" w:hAnsi="Times New Roman" w:eastAsia="Times New Roman"/>
        </w:rPr>
        <w:t>/</w:t>
      </w:r>
      <w:r>
        <w:rPr/>
        <w:t>年对异丙基苯胺、</w:t>
      </w:r>
      <w:r>
        <w:rPr>
          <w:rFonts w:ascii="Times New Roman" w:hAnsi="Times New Roman" w:eastAsia="Times New Roman"/>
        </w:rPr>
        <w:t>500 </w:t>
      </w:r>
      <w:r>
        <w:rPr/>
        <w:t>吨</w:t>
      </w:r>
      <w:r>
        <w:rPr>
          <w:rFonts w:ascii="Times New Roman" w:hAnsi="Times New Roman" w:eastAsia="Times New Roman"/>
        </w:rPr>
        <w:t>/</w:t>
      </w:r>
      <w:r>
        <w:rPr/>
        <w:t>年邻异丙基苯胺、</w:t>
      </w:r>
      <w:r>
        <w:rPr>
          <w:rFonts w:ascii="Times New Roman" w:hAnsi="Times New Roman" w:eastAsia="Times New Roman"/>
        </w:rPr>
        <w:t>500 </w:t>
      </w:r>
      <w:r>
        <w:rPr/>
        <w:t>吨</w:t>
      </w:r>
      <w:r>
        <w:rPr>
          <w:rFonts w:ascii="Times New Roman" w:hAnsi="Times New Roman" w:eastAsia="Times New Roman"/>
        </w:rPr>
        <w:t>/</w:t>
      </w:r>
      <w:r>
        <w:rPr>
          <w:spacing w:val="-20"/>
        </w:rPr>
        <w:t>年 </w:t>
      </w:r>
      <w:r>
        <w:rPr>
          <w:rFonts w:ascii="Times New Roman" w:hAnsi="Times New Roman" w:eastAsia="Times New Roman"/>
        </w:rPr>
        <w:t>2,6-</w:t>
      </w:r>
      <w:r>
        <w:rPr/>
        <w:t>二甲基苯胺、</w:t>
      </w:r>
      <w:r>
        <w:rPr>
          <w:rFonts w:ascii="Times New Roman" w:hAnsi="Times New Roman" w:eastAsia="Times New Roman"/>
        </w:rPr>
        <w:t>1500 </w:t>
      </w:r>
      <w:r>
        <w:rPr/>
        <w:t>吨</w:t>
      </w:r>
      <w:r>
        <w:rPr>
          <w:rFonts w:ascii="Times New Roman" w:hAnsi="Times New Roman" w:eastAsia="Times New Roman"/>
        </w:rPr>
        <w:t>/</w:t>
      </w:r>
      <w:r>
        <w:rPr>
          <w:spacing w:val="-30"/>
        </w:rPr>
        <w:t>年 </w:t>
      </w:r>
      <w:r>
        <w:rPr>
          <w:rFonts w:ascii="Times New Roman" w:hAnsi="Times New Roman" w:eastAsia="Times New Roman"/>
        </w:rPr>
        <w:t>2,4-</w:t>
      </w:r>
      <w:r>
        <w:rPr>
          <w:spacing w:val="-6"/>
        </w:rPr>
        <w:t>二甲基苯胺技改项目”于 </w:t>
      </w:r>
      <w:r>
        <w:rPr>
          <w:rFonts w:ascii="Times New Roman" w:hAnsi="Times New Roman" w:eastAsia="Times New Roman"/>
        </w:rPr>
        <w:t>2009 </w:t>
      </w:r>
      <w:r>
        <w:rPr>
          <w:spacing w:val="-30"/>
        </w:rPr>
        <w:t>年 </w:t>
      </w:r>
      <w:r>
        <w:rPr>
          <w:rFonts w:ascii="Times New Roman" w:hAnsi="Times New Roman" w:eastAsia="Times New Roman"/>
        </w:rPr>
        <w:t>8 </w:t>
      </w:r>
      <w:r>
        <w:rPr>
          <w:spacing w:val="-10"/>
        </w:rPr>
        <w:t>月通过审批，于 </w:t>
      </w:r>
      <w:r>
        <w:rPr>
          <w:rFonts w:ascii="Times New Roman" w:hAnsi="Times New Roman" w:eastAsia="Times New Roman"/>
        </w:rPr>
        <w:t>2010 </w:t>
      </w:r>
      <w:r>
        <w:rPr>
          <w:spacing w:val="-31"/>
        </w:rPr>
        <w:t>年 </w:t>
      </w:r>
      <w:r>
        <w:rPr>
          <w:rFonts w:ascii="Times New Roman" w:hAnsi="Times New Roman" w:eastAsia="Times New Roman"/>
        </w:rPr>
        <w:t>12 </w:t>
      </w:r>
      <w:r>
        <w:rPr>
          <w:spacing w:val="-4"/>
        </w:rPr>
        <w:t>月通过验</w:t>
      </w:r>
      <w:r>
        <w:rPr/>
        <w:t>收。其中对异丙基苯胺、邻异丙基苯胺两个产品由于市场原因，</w:t>
      </w:r>
      <w:r>
        <w:rPr>
          <w:b/>
        </w:rPr>
        <w:t>目前处于停产</w:t>
      </w:r>
      <w:r>
        <w:rPr/>
        <w:t>。</w:t>
      </w:r>
    </w:p>
    <w:p>
      <w:pPr>
        <w:pStyle w:val="Heading4"/>
        <w:numPr>
          <w:ilvl w:val="3"/>
          <w:numId w:val="13"/>
        </w:numPr>
        <w:tabs>
          <w:tab w:pos="1410" w:val="left" w:leader="none"/>
        </w:tabs>
        <w:spacing w:line="307" w:lineRule="exact" w:before="0" w:after="0"/>
        <w:ind w:left="1409" w:right="0" w:hanging="721"/>
        <w:jc w:val="left"/>
      </w:pPr>
      <w:r>
        <w:rPr/>
        <w:t>原辅材料消耗</w:t>
      </w:r>
    </w:p>
    <w:p>
      <w:pPr>
        <w:pStyle w:val="BodyText"/>
        <w:spacing w:before="5"/>
        <w:rPr>
          <w:b/>
          <w:sz w:val="23"/>
        </w:rPr>
      </w:pPr>
    </w:p>
    <w:p>
      <w:pPr>
        <w:tabs>
          <w:tab w:pos="1222" w:val="left" w:leader="none"/>
        </w:tabs>
        <w:spacing w:before="0" w:after="29"/>
        <w:ind w:left="0" w:right="18" w:firstLine="0"/>
        <w:jc w:val="center"/>
        <w:rPr>
          <w:b/>
          <w:sz w:val="24"/>
        </w:rPr>
      </w:pPr>
      <w:r>
        <w:rPr>
          <w:b/>
          <w:sz w:val="24"/>
        </w:rPr>
        <w:t>表</w:t>
      </w:r>
      <w:r>
        <w:rPr>
          <w:b/>
          <w:spacing w:val="-60"/>
          <w:sz w:val="24"/>
        </w:rPr>
        <w:t> </w:t>
      </w:r>
      <w:r>
        <w:rPr>
          <w:rFonts w:ascii="Times New Roman" w:eastAsia="Times New Roman"/>
          <w:b/>
          <w:sz w:val="24"/>
        </w:rPr>
        <w:t>3.3.5-1</w:t>
        <w:tab/>
      </w:r>
      <w:r>
        <w:rPr>
          <w:b/>
          <w:sz w:val="24"/>
        </w:rPr>
        <w:t>对异丙基苯胺、邻异丙基苯胺达产原辅材料消耗</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4268"/>
        <w:gridCol w:w="1742"/>
        <w:gridCol w:w="2151"/>
      </w:tblGrid>
      <w:tr>
        <w:trPr>
          <w:trHeight w:val="285" w:hRule="atLeast"/>
        </w:trPr>
        <w:tc>
          <w:tcPr>
            <w:tcW w:w="967" w:type="dxa"/>
          </w:tcPr>
          <w:p>
            <w:pPr>
              <w:pStyle w:val="TableParagraph"/>
              <w:spacing w:line="257" w:lineRule="exact" w:before="8"/>
              <w:ind w:left="271"/>
              <w:jc w:val="left"/>
              <w:rPr>
                <w:b/>
                <w:sz w:val="21"/>
              </w:rPr>
            </w:pPr>
            <w:r>
              <w:rPr>
                <w:b/>
                <w:sz w:val="21"/>
              </w:rPr>
              <w:t>序号</w:t>
            </w:r>
          </w:p>
        </w:tc>
        <w:tc>
          <w:tcPr>
            <w:tcW w:w="4268" w:type="dxa"/>
          </w:tcPr>
          <w:p>
            <w:pPr>
              <w:pStyle w:val="TableParagraph"/>
              <w:spacing w:line="257" w:lineRule="exact" w:before="8"/>
              <w:ind w:left="1687" w:right="1682"/>
              <w:rPr>
                <w:b/>
                <w:sz w:val="21"/>
              </w:rPr>
            </w:pPr>
            <w:r>
              <w:rPr>
                <w:b/>
                <w:sz w:val="21"/>
              </w:rPr>
              <w:t>名称</w:t>
            </w:r>
          </w:p>
        </w:tc>
        <w:tc>
          <w:tcPr>
            <w:tcW w:w="1742" w:type="dxa"/>
          </w:tcPr>
          <w:p>
            <w:pPr>
              <w:pStyle w:val="TableParagraph"/>
              <w:spacing w:line="257" w:lineRule="exact" w:before="8"/>
              <w:ind w:left="489"/>
              <w:jc w:val="left"/>
              <w:rPr>
                <w:rFonts w:ascii="Times New Roman" w:eastAsia="Times New Roman"/>
                <w:b/>
                <w:sz w:val="21"/>
              </w:rPr>
            </w:pPr>
            <w:r>
              <w:rPr>
                <w:b/>
                <w:sz w:val="21"/>
              </w:rPr>
              <w:t>单耗</w:t>
            </w:r>
            <w:r>
              <w:rPr>
                <w:rFonts w:ascii="Times New Roman" w:eastAsia="Times New Roman"/>
                <w:b/>
                <w:sz w:val="21"/>
              </w:rPr>
              <w:t>(t/t)</w:t>
            </w:r>
          </w:p>
        </w:tc>
        <w:tc>
          <w:tcPr>
            <w:tcW w:w="2151" w:type="dxa"/>
          </w:tcPr>
          <w:p>
            <w:pPr>
              <w:pStyle w:val="TableParagraph"/>
              <w:spacing w:line="257" w:lineRule="exact" w:before="8"/>
              <w:ind w:left="430"/>
              <w:jc w:val="left"/>
              <w:rPr>
                <w:rFonts w:ascii="Times New Roman" w:eastAsia="Times New Roman"/>
                <w:b/>
                <w:sz w:val="21"/>
              </w:rPr>
            </w:pPr>
            <w:r>
              <w:rPr>
                <w:b/>
                <w:sz w:val="21"/>
              </w:rPr>
              <w:t>设计消耗量</w:t>
            </w:r>
            <w:r>
              <w:rPr>
                <w:rFonts w:ascii="Times New Roman" w:eastAsia="Times New Roman"/>
                <w:b/>
                <w:sz w:val="21"/>
              </w:rPr>
              <w:t>t/a</w:t>
            </w:r>
          </w:p>
        </w:tc>
      </w:tr>
      <w:tr>
        <w:trPr>
          <w:trHeight w:val="283" w:hRule="atLeast"/>
        </w:trPr>
        <w:tc>
          <w:tcPr>
            <w:tcW w:w="967" w:type="dxa"/>
          </w:tcPr>
          <w:p>
            <w:pPr>
              <w:pStyle w:val="TableParagraph"/>
              <w:jc w:val="left"/>
              <w:rPr>
                <w:rFonts w:ascii="Times New Roman"/>
                <w:sz w:val="20"/>
              </w:rPr>
            </w:pPr>
          </w:p>
        </w:tc>
        <w:tc>
          <w:tcPr>
            <w:tcW w:w="4268" w:type="dxa"/>
          </w:tcPr>
          <w:p>
            <w:pPr>
              <w:pStyle w:val="TableParagraph"/>
              <w:spacing w:line="257" w:lineRule="exact" w:before="6"/>
              <w:ind w:left="1692" w:right="1682"/>
              <w:rPr>
                <w:b/>
                <w:sz w:val="21"/>
              </w:rPr>
            </w:pPr>
            <w:r>
              <w:rPr>
                <w:b/>
                <w:color w:val="FF0000"/>
                <w:sz w:val="21"/>
              </w:rPr>
              <w:t>涉密删除</w:t>
            </w:r>
          </w:p>
        </w:tc>
        <w:tc>
          <w:tcPr>
            <w:tcW w:w="1742" w:type="dxa"/>
          </w:tcPr>
          <w:p>
            <w:pPr>
              <w:pStyle w:val="TableParagraph"/>
              <w:jc w:val="left"/>
              <w:rPr>
                <w:rFonts w:ascii="Times New Roman"/>
                <w:sz w:val="20"/>
              </w:rPr>
            </w:pPr>
          </w:p>
        </w:tc>
        <w:tc>
          <w:tcPr>
            <w:tcW w:w="2151" w:type="dxa"/>
          </w:tcPr>
          <w:p>
            <w:pPr>
              <w:pStyle w:val="TableParagraph"/>
              <w:jc w:val="left"/>
              <w:rPr>
                <w:rFonts w:ascii="Times New Roman"/>
                <w:sz w:val="20"/>
              </w:rPr>
            </w:pPr>
          </w:p>
        </w:tc>
      </w:tr>
      <w:tr>
        <w:trPr>
          <w:trHeight w:val="285" w:hRule="atLeast"/>
        </w:trPr>
        <w:tc>
          <w:tcPr>
            <w:tcW w:w="967" w:type="dxa"/>
          </w:tcPr>
          <w:p>
            <w:pPr>
              <w:pStyle w:val="TableParagraph"/>
              <w:jc w:val="left"/>
              <w:rPr>
                <w:rFonts w:ascii="Times New Roman"/>
                <w:sz w:val="20"/>
              </w:rPr>
            </w:pPr>
          </w:p>
        </w:tc>
        <w:tc>
          <w:tcPr>
            <w:tcW w:w="4268" w:type="dxa"/>
          </w:tcPr>
          <w:p>
            <w:pPr>
              <w:pStyle w:val="TableParagraph"/>
              <w:jc w:val="left"/>
              <w:rPr>
                <w:rFonts w:ascii="Times New Roman"/>
                <w:sz w:val="20"/>
              </w:rPr>
            </w:pPr>
          </w:p>
        </w:tc>
        <w:tc>
          <w:tcPr>
            <w:tcW w:w="1742" w:type="dxa"/>
          </w:tcPr>
          <w:p>
            <w:pPr>
              <w:pStyle w:val="TableParagraph"/>
              <w:jc w:val="left"/>
              <w:rPr>
                <w:rFonts w:ascii="Times New Roman"/>
                <w:sz w:val="20"/>
              </w:rPr>
            </w:pPr>
          </w:p>
        </w:tc>
        <w:tc>
          <w:tcPr>
            <w:tcW w:w="2151" w:type="dxa"/>
          </w:tcPr>
          <w:p>
            <w:pPr>
              <w:pStyle w:val="TableParagraph"/>
              <w:jc w:val="left"/>
              <w:rPr>
                <w:rFonts w:ascii="Times New Roman"/>
                <w:sz w:val="20"/>
              </w:rPr>
            </w:pPr>
          </w:p>
        </w:tc>
      </w:tr>
      <w:tr>
        <w:trPr>
          <w:trHeight w:val="282" w:hRule="atLeast"/>
        </w:trPr>
        <w:tc>
          <w:tcPr>
            <w:tcW w:w="967" w:type="dxa"/>
          </w:tcPr>
          <w:p>
            <w:pPr>
              <w:pStyle w:val="TableParagraph"/>
              <w:jc w:val="left"/>
              <w:rPr>
                <w:rFonts w:ascii="Times New Roman"/>
                <w:sz w:val="20"/>
              </w:rPr>
            </w:pPr>
          </w:p>
        </w:tc>
        <w:tc>
          <w:tcPr>
            <w:tcW w:w="4268" w:type="dxa"/>
          </w:tcPr>
          <w:p>
            <w:pPr>
              <w:pStyle w:val="TableParagraph"/>
              <w:jc w:val="left"/>
              <w:rPr>
                <w:rFonts w:ascii="Times New Roman"/>
                <w:sz w:val="20"/>
              </w:rPr>
            </w:pPr>
          </w:p>
        </w:tc>
        <w:tc>
          <w:tcPr>
            <w:tcW w:w="1742" w:type="dxa"/>
          </w:tcPr>
          <w:p>
            <w:pPr>
              <w:pStyle w:val="TableParagraph"/>
              <w:jc w:val="left"/>
              <w:rPr>
                <w:rFonts w:ascii="Times New Roman"/>
                <w:sz w:val="20"/>
              </w:rPr>
            </w:pPr>
          </w:p>
        </w:tc>
        <w:tc>
          <w:tcPr>
            <w:tcW w:w="2151" w:type="dxa"/>
          </w:tcPr>
          <w:p>
            <w:pPr>
              <w:pStyle w:val="TableParagraph"/>
              <w:jc w:val="left"/>
              <w:rPr>
                <w:rFonts w:ascii="Times New Roman"/>
                <w:sz w:val="20"/>
              </w:rPr>
            </w:pPr>
          </w:p>
        </w:tc>
      </w:tr>
      <w:tr>
        <w:trPr>
          <w:trHeight w:val="285" w:hRule="atLeast"/>
        </w:trPr>
        <w:tc>
          <w:tcPr>
            <w:tcW w:w="967" w:type="dxa"/>
          </w:tcPr>
          <w:p>
            <w:pPr>
              <w:pStyle w:val="TableParagraph"/>
              <w:jc w:val="left"/>
              <w:rPr>
                <w:rFonts w:ascii="Times New Roman"/>
                <w:sz w:val="20"/>
              </w:rPr>
            </w:pPr>
          </w:p>
        </w:tc>
        <w:tc>
          <w:tcPr>
            <w:tcW w:w="4268" w:type="dxa"/>
          </w:tcPr>
          <w:p>
            <w:pPr>
              <w:pStyle w:val="TableParagraph"/>
              <w:jc w:val="left"/>
              <w:rPr>
                <w:rFonts w:ascii="Times New Roman"/>
                <w:sz w:val="20"/>
              </w:rPr>
            </w:pPr>
          </w:p>
        </w:tc>
        <w:tc>
          <w:tcPr>
            <w:tcW w:w="1742" w:type="dxa"/>
          </w:tcPr>
          <w:p>
            <w:pPr>
              <w:pStyle w:val="TableParagraph"/>
              <w:jc w:val="left"/>
              <w:rPr>
                <w:rFonts w:ascii="Times New Roman"/>
                <w:sz w:val="20"/>
              </w:rPr>
            </w:pPr>
          </w:p>
        </w:tc>
        <w:tc>
          <w:tcPr>
            <w:tcW w:w="2151" w:type="dxa"/>
          </w:tcPr>
          <w:p>
            <w:pPr>
              <w:pStyle w:val="TableParagraph"/>
              <w:jc w:val="left"/>
              <w:rPr>
                <w:rFonts w:ascii="Times New Roman"/>
                <w:sz w:val="20"/>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生产设备清单</w:t>
      </w:r>
    </w:p>
    <w:p>
      <w:pPr>
        <w:pStyle w:val="BodyText"/>
        <w:spacing w:line="362" w:lineRule="auto" w:before="161"/>
        <w:ind w:left="218" w:right="232" w:firstLine="480"/>
        <w:jc w:val="both"/>
      </w:pPr>
      <w:r>
        <w:rPr>
          <w:spacing w:val="-6"/>
        </w:rPr>
        <w:t>对、邻异丙基苯胺、</w:t>
      </w:r>
      <w:r>
        <w:rPr>
          <w:rFonts w:ascii="Times New Roman" w:eastAsia="Times New Roman"/>
        </w:rPr>
        <w:t>2,4-</w:t>
      </w:r>
      <w:r>
        <w:rPr>
          <w:spacing w:val="-3"/>
        </w:rPr>
        <w:t>二甲基苯胺、</w:t>
      </w:r>
      <w:r>
        <w:rPr>
          <w:rFonts w:ascii="Times New Roman" w:eastAsia="Times New Roman"/>
        </w:rPr>
        <w:t>2,6-</w:t>
      </w:r>
      <w:r>
        <w:rPr>
          <w:spacing w:val="-9"/>
        </w:rPr>
        <w:t>二甲基苯胺与 </w:t>
      </w:r>
      <w:r>
        <w:rPr>
          <w:rFonts w:ascii="Times New Roman" w:eastAsia="Times New Roman"/>
        </w:rPr>
        <w:t>2,3-</w:t>
      </w:r>
      <w:r>
        <w:rPr>
          <w:spacing w:val="-2"/>
        </w:rPr>
        <w:t>二甲基苯胺共用装置生</w:t>
      </w:r>
      <w:r>
        <w:rPr>
          <w:spacing w:val="-9"/>
        </w:rPr>
        <w:t>产装置，详见 </w:t>
      </w:r>
      <w:r>
        <w:rPr>
          <w:rFonts w:ascii="Times New Roman" w:eastAsia="Times New Roman"/>
        </w:rPr>
        <w:t>Pg50 </w:t>
      </w:r>
      <w:r>
        <w:rPr>
          <w:spacing w:val="-30"/>
        </w:rPr>
        <w:t>表 </w:t>
      </w:r>
      <w:r>
        <w:rPr>
          <w:rFonts w:ascii="Times New Roman" w:eastAsia="Times New Roman"/>
        </w:rPr>
        <w:t>3.3.3-1</w:t>
      </w:r>
      <w:r>
        <w:rPr/>
        <w:t>。</w:t>
      </w:r>
    </w:p>
    <w:p>
      <w:pPr>
        <w:pStyle w:val="Heading4"/>
        <w:numPr>
          <w:ilvl w:val="3"/>
          <w:numId w:val="13"/>
        </w:numPr>
        <w:tabs>
          <w:tab w:pos="1410" w:val="left" w:leader="none"/>
        </w:tabs>
        <w:spacing w:line="240" w:lineRule="auto" w:before="4" w:after="0"/>
        <w:ind w:left="1409" w:right="0" w:hanging="721"/>
        <w:jc w:val="left"/>
      </w:pPr>
      <w:r>
        <w:rPr/>
        <w:t>生产工艺流程</w:t>
      </w:r>
    </w:p>
    <w:p>
      <w:pPr>
        <w:spacing w:after="0" w:line="240" w:lineRule="auto"/>
        <w:jc w:val="left"/>
        <w:sectPr>
          <w:pgSz w:w="11910" w:h="16850"/>
          <w:pgMar w:header="730" w:footer="690" w:top="1340" w:bottom="880" w:left="1200" w:right="1180"/>
        </w:sectPr>
      </w:pPr>
    </w:p>
    <w:p>
      <w:pPr>
        <w:spacing w:before="64"/>
        <w:ind w:left="701" w:right="0" w:firstLine="0"/>
        <w:jc w:val="left"/>
        <w:rPr>
          <w:b/>
          <w:sz w:val="24"/>
        </w:rPr>
      </w:pPr>
      <w:r>
        <w:rPr>
          <w:b/>
          <w:sz w:val="24"/>
        </w:rPr>
        <w:t>1、生产工艺流程</w:t>
      </w:r>
      <w:r>
        <w:rPr>
          <w:b/>
          <w:w w:val="99"/>
          <w:sz w:val="24"/>
        </w:rPr>
        <w:t> </w:t>
      </w:r>
    </w:p>
    <w:p>
      <w:pPr>
        <w:pStyle w:val="BodyText"/>
        <w:spacing w:before="158"/>
        <w:ind w:left="698"/>
      </w:pPr>
      <w:r>
        <w:rPr/>
        <w:t>对异丙基苯胺或邻异丙基苯胺生产工艺一致，仅为原料不同。</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35"/>
        </w:rPr>
      </w:pPr>
    </w:p>
    <w:p>
      <w:pPr>
        <w:spacing w:before="1"/>
        <w:ind w:left="0" w:right="13" w:firstLine="0"/>
        <w:jc w:val="center"/>
        <w:rPr>
          <w:b/>
          <w:sz w:val="21"/>
        </w:rPr>
      </w:pPr>
      <w:r>
        <w:rPr>
          <w:b/>
          <w:color w:val="FF0000"/>
          <w:sz w:val="21"/>
        </w:rPr>
        <w:t>涉密删除</w:t>
      </w:r>
    </w:p>
    <w:p>
      <w:pPr>
        <w:pStyle w:val="Heading4"/>
        <w:tabs>
          <w:tab w:pos="1564" w:val="left" w:leader="none"/>
        </w:tabs>
        <w:spacing w:before="140"/>
        <w:ind w:left="343"/>
        <w:jc w:val="center"/>
      </w:pPr>
      <w:r>
        <w:rPr/>
        <w:t>图</w:t>
      </w:r>
      <w:r>
        <w:rPr>
          <w:spacing w:val="-60"/>
        </w:rPr>
        <w:t> </w:t>
      </w:r>
      <w:r>
        <w:rPr>
          <w:rFonts w:ascii="Times New Roman" w:eastAsia="Times New Roman"/>
        </w:rPr>
        <w:t>3.3.5-1</w:t>
        <w:tab/>
      </w:r>
      <w:r>
        <w:rPr/>
        <w:t>混硝分离工艺流程产污环节图</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10"/>
        <w:rPr>
          <w:b/>
          <w:sz w:val="31"/>
        </w:rPr>
      </w:pPr>
    </w:p>
    <w:p>
      <w:pPr>
        <w:spacing w:before="0"/>
        <w:ind w:left="0" w:right="13" w:firstLine="0"/>
        <w:jc w:val="center"/>
        <w:rPr>
          <w:b/>
          <w:sz w:val="21"/>
        </w:rPr>
      </w:pPr>
      <w:r>
        <w:rPr>
          <w:b/>
          <w:color w:val="FF0000"/>
          <w:sz w:val="21"/>
        </w:rPr>
        <w:t>涉密删除</w:t>
      </w:r>
    </w:p>
    <w:p>
      <w:pPr>
        <w:pStyle w:val="Heading4"/>
        <w:tabs>
          <w:tab w:pos="1564" w:val="left" w:leader="none"/>
        </w:tabs>
        <w:spacing w:before="143"/>
        <w:ind w:left="342"/>
        <w:jc w:val="center"/>
      </w:pPr>
      <w:r>
        <w:rPr/>
        <w:t>图</w:t>
      </w:r>
      <w:r>
        <w:rPr>
          <w:spacing w:val="-60"/>
        </w:rPr>
        <w:t> </w:t>
      </w:r>
      <w:r>
        <w:rPr>
          <w:rFonts w:ascii="Times New Roman" w:eastAsia="Times New Roman"/>
        </w:rPr>
        <w:t>3.3.5-2</w:t>
        <w:tab/>
      </w:r>
      <w:r>
        <w:rPr/>
        <w:t>对异丙基苯胺或邻异丙基苯胺工艺流程产污环节图</w:t>
      </w:r>
    </w:p>
    <w:p>
      <w:pPr>
        <w:spacing w:after="0"/>
        <w:jc w:val="center"/>
        <w:sectPr>
          <w:pgSz w:w="11910" w:h="16850"/>
          <w:pgMar w:header="730" w:footer="690" w:top="1340" w:bottom="880" w:left="1200" w:right="1180"/>
        </w:sectPr>
      </w:pPr>
    </w:p>
    <w:p>
      <w:pPr>
        <w:spacing w:before="64"/>
        <w:ind w:left="701" w:right="0" w:firstLine="0"/>
        <w:jc w:val="left"/>
        <w:rPr>
          <w:b/>
          <w:sz w:val="24"/>
        </w:rPr>
      </w:pPr>
      <w:r>
        <w:rPr>
          <w:rFonts w:ascii="Times New Roman" w:eastAsia="Times New Roman"/>
          <w:b/>
          <w:sz w:val="24"/>
        </w:rPr>
        <w:t>2</w:t>
      </w:r>
      <w:r>
        <w:rPr>
          <w:b/>
          <w:sz w:val="24"/>
        </w:rPr>
        <w:t>、反应原理</w:t>
      </w:r>
    </w:p>
    <w:p>
      <w:pPr>
        <w:pStyle w:val="ListParagraph"/>
        <w:numPr>
          <w:ilvl w:val="0"/>
          <w:numId w:val="14"/>
        </w:numPr>
        <w:tabs>
          <w:tab w:pos="980" w:val="left" w:leader="none"/>
        </w:tabs>
        <w:spacing w:line="240" w:lineRule="auto" w:before="158" w:after="0"/>
        <w:ind w:left="979" w:right="0" w:hanging="282"/>
        <w:jc w:val="left"/>
        <w:rPr>
          <w:sz w:val="24"/>
        </w:rPr>
      </w:pPr>
      <w:r>
        <w:rPr>
          <w:sz w:val="24"/>
        </w:rPr>
        <w:t>对异丙基苯胺</w:t>
      </w:r>
    </w:p>
    <w:p>
      <w:pPr>
        <w:spacing w:before="159"/>
        <w:ind w:left="218" w:right="0" w:firstLine="0"/>
        <w:jc w:val="left"/>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8"/>
        </w:rPr>
      </w:pPr>
    </w:p>
    <w:p>
      <w:pPr>
        <w:pStyle w:val="ListParagraph"/>
        <w:numPr>
          <w:ilvl w:val="0"/>
          <w:numId w:val="14"/>
        </w:numPr>
        <w:tabs>
          <w:tab w:pos="980" w:val="left" w:leader="none"/>
        </w:tabs>
        <w:spacing w:line="240" w:lineRule="auto" w:before="0" w:after="0"/>
        <w:ind w:left="979" w:right="0" w:hanging="282"/>
        <w:jc w:val="left"/>
        <w:rPr>
          <w:sz w:val="24"/>
        </w:rPr>
      </w:pPr>
      <w:r>
        <w:rPr>
          <w:sz w:val="24"/>
        </w:rPr>
        <w:t>邻异丙基苯胺</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21"/>
        </w:rPr>
      </w:pPr>
    </w:p>
    <w:p>
      <w:pPr>
        <w:spacing w:before="0"/>
        <w:ind w:left="218" w:right="0" w:firstLine="0"/>
        <w:jc w:val="left"/>
        <w:rPr>
          <w:b/>
          <w:sz w:val="21"/>
        </w:rPr>
      </w:pPr>
      <w:r>
        <w:rPr>
          <w:b/>
          <w:color w:val="FF0000"/>
          <w:sz w:val="21"/>
        </w:rPr>
        <w:t>涉密删除</w:t>
      </w:r>
    </w:p>
    <w:p>
      <w:pPr>
        <w:pStyle w:val="Heading4"/>
        <w:numPr>
          <w:ilvl w:val="3"/>
          <w:numId w:val="13"/>
        </w:numPr>
        <w:tabs>
          <w:tab w:pos="1410" w:val="left" w:leader="none"/>
        </w:tabs>
        <w:spacing w:line="240" w:lineRule="auto" w:before="141" w:after="0"/>
        <w:ind w:left="1409" w:right="0" w:hanging="721"/>
        <w:jc w:val="left"/>
      </w:pPr>
      <w:r>
        <w:rPr/>
        <w:t>污染物排放情况</w:t>
      </w:r>
    </w:p>
    <w:p>
      <w:pPr>
        <w:pStyle w:val="BodyText"/>
        <w:spacing w:before="160"/>
        <w:ind w:left="698"/>
      </w:pPr>
      <w:r>
        <w:rPr>
          <w:rFonts w:ascii="Times New Roman" w:eastAsia="Times New Roman"/>
        </w:rPr>
        <w:t>1</w:t>
      </w:r>
      <w:r>
        <w:rPr/>
        <w:t>、废水</w:t>
      </w:r>
    </w:p>
    <w:p>
      <w:pPr>
        <w:tabs>
          <w:tab w:pos="2714" w:val="left" w:leader="none"/>
        </w:tabs>
        <w:spacing w:line="475" w:lineRule="auto" w:before="158"/>
        <w:ind w:left="1493" w:right="424" w:hanging="795"/>
        <w:jc w:val="left"/>
        <w:rPr>
          <w:b/>
          <w:sz w:val="24"/>
        </w:rPr>
      </w:pPr>
      <w:r>
        <w:rPr/>
        <w:pict>
          <v:shape style="position:absolute;margin-left:70.463997pt;margin-top:55.179985pt;width:454.9pt;height:42.9pt;mso-position-horizontal-relative:page;mso-position-vertical-relative:paragraph;z-index:25168281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7"/>
                    <w:gridCol w:w="1933"/>
                    <w:gridCol w:w="1309"/>
                    <w:gridCol w:w="3426"/>
                  </w:tblGrid>
                  <w:tr>
                    <w:trPr>
                      <w:trHeight w:val="282" w:hRule="atLeast"/>
                    </w:trPr>
                    <w:tc>
                      <w:tcPr>
                        <w:tcW w:w="2417" w:type="dxa"/>
                      </w:tcPr>
                      <w:p>
                        <w:pPr>
                          <w:pStyle w:val="TableParagraph"/>
                          <w:spacing w:line="257" w:lineRule="exact" w:before="6"/>
                          <w:ind w:left="786"/>
                          <w:jc w:val="left"/>
                          <w:rPr>
                            <w:b/>
                            <w:sz w:val="21"/>
                          </w:rPr>
                        </w:pPr>
                        <w:r>
                          <w:rPr>
                            <w:b/>
                            <w:sz w:val="21"/>
                          </w:rPr>
                          <w:t>废水名称</w:t>
                        </w:r>
                      </w:p>
                    </w:tc>
                    <w:tc>
                      <w:tcPr>
                        <w:tcW w:w="1933" w:type="dxa"/>
                      </w:tcPr>
                      <w:p>
                        <w:pPr>
                          <w:pStyle w:val="TableParagraph"/>
                          <w:spacing w:line="262" w:lineRule="exact" w:before="1"/>
                          <w:ind w:left="542"/>
                          <w:jc w:val="left"/>
                          <w:rPr>
                            <w:b/>
                            <w:sz w:val="21"/>
                          </w:rPr>
                        </w:pPr>
                        <w:r>
                          <w:rPr>
                            <w:b/>
                            <w:sz w:val="21"/>
                          </w:rPr>
                          <w:t>污染因子</w:t>
                        </w:r>
                      </w:p>
                    </w:tc>
                    <w:tc>
                      <w:tcPr>
                        <w:tcW w:w="1309" w:type="dxa"/>
                      </w:tcPr>
                      <w:p>
                        <w:pPr>
                          <w:pStyle w:val="TableParagraph"/>
                          <w:spacing w:line="257" w:lineRule="exact" w:before="6"/>
                          <w:ind w:left="145" w:right="141"/>
                          <w:rPr>
                            <w:rFonts w:ascii="Times New Roman" w:eastAsia="Times New Roman"/>
                            <w:b/>
                            <w:sz w:val="21"/>
                          </w:rPr>
                        </w:pPr>
                        <w:r>
                          <w:rPr>
                            <w:b/>
                            <w:sz w:val="21"/>
                          </w:rPr>
                          <w:t>废水量 </w:t>
                        </w:r>
                        <w:r>
                          <w:rPr>
                            <w:rFonts w:ascii="Times New Roman" w:eastAsia="Times New Roman"/>
                            <w:b/>
                            <w:sz w:val="21"/>
                          </w:rPr>
                          <w:t>t/a</w:t>
                        </w:r>
                      </w:p>
                    </w:tc>
                    <w:tc>
                      <w:tcPr>
                        <w:tcW w:w="3426" w:type="dxa"/>
                      </w:tcPr>
                      <w:p>
                        <w:pPr>
                          <w:pStyle w:val="TableParagraph"/>
                          <w:spacing w:line="257" w:lineRule="exact" w:before="6"/>
                          <w:ind w:left="9" w:right="6"/>
                          <w:rPr>
                            <w:b/>
                            <w:sz w:val="21"/>
                          </w:rPr>
                        </w:pPr>
                        <w:r>
                          <w:rPr>
                            <w:b/>
                            <w:sz w:val="21"/>
                          </w:rPr>
                          <w:t>去向</w:t>
                        </w:r>
                      </w:p>
                    </w:tc>
                  </w:tr>
                  <w:tr>
                    <w:trPr>
                      <w:trHeight w:val="544" w:hRule="atLeast"/>
                    </w:trPr>
                    <w:tc>
                      <w:tcPr>
                        <w:tcW w:w="2417" w:type="dxa"/>
                      </w:tcPr>
                      <w:p>
                        <w:pPr>
                          <w:pStyle w:val="TableParagraph"/>
                          <w:spacing w:before="1"/>
                          <w:ind w:left="34" w:right="22"/>
                          <w:rPr>
                            <w:sz w:val="21"/>
                          </w:rPr>
                        </w:pPr>
                        <w:r>
                          <w:rPr>
                            <w:sz w:val="21"/>
                          </w:rPr>
                          <w:t>工艺废水、清洗水及真空</w:t>
                        </w:r>
                      </w:p>
                      <w:p>
                        <w:pPr>
                          <w:pStyle w:val="TableParagraph"/>
                          <w:spacing w:line="250" w:lineRule="exact" w:before="5"/>
                          <w:ind w:left="33" w:right="22"/>
                          <w:rPr>
                            <w:sz w:val="21"/>
                          </w:rPr>
                        </w:pPr>
                        <w:r>
                          <w:rPr>
                            <w:sz w:val="21"/>
                          </w:rPr>
                          <w:t>泵废水</w:t>
                        </w:r>
                      </w:p>
                    </w:tc>
                    <w:tc>
                      <w:tcPr>
                        <w:tcW w:w="1933" w:type="dxa"/>
                      </w:tcPr>
                      <w:p>
                        <w:pPr>
                          <w:pStyle w:val="TableParagraph"/>
                          <w:spacing w:before="1"/>
                          <w:ind w:left="6"/>
                          <w:rPr>
                            <w:sz w:val="21"/>
                          </w:rPr>
                        </w:pPr>
                        <w:r>
                          <w:rPr>
                            <w:rFonts w:ascii="Times New Roman" w:eastAsia="Times New Roman"/>
                            <w:sz w:val="21"/>
                          </w:rPr>
                          <w:t>COD</w:t>
                        </w:r>
                        <w:r>
                          <w:rPr>
                            <w:sz w:val="21"/>
                          </w:rPr>
                          <w:t>、氨氮、总氮、</w:t>
                        </w:r>
                      </w:p>
                      <w:p>
                        <w:pPr>
                          <w:pStyle w:val="TableParagraph"/>
                          <w:spacing w:line="250" w:lineRule="exact" w:before="5"/>
                          <w:ind w:left="4"/>
                          <w:rPr>
                            <w:sz w:val="21"/>
                          </w:rPr>
                        </w:pPr>
                        <w:r>
                          <w:rPr>
                            <w:sz w:val="21"/>
                          </w:rPr>
                          <w:t>硝基苯类</w:t>
                        </w:r>
                      </w:p>
                    </w:tc>
                    <w:tc>
                      <w:tcPr>
                        <w:tcW w:w="1309" w:type="dxa"/>
                      </w:tcPr>
                      <w:p>
                        <w:pPr>
                          <w:pStyle w:val="TableParagraph"/>
                          <w:spacing w:before="152"/>
                          <w:ind w:left="145" w:right="141"/>
                          <w:rPr>
                            <w:rFonts w:ascii="Times New Roman"/>
                            <w:sz w:val="21"/>
                          </w:rPr>
                        </w:pPr>
                        <w:r>
                          <w:rPr>
                            <w:rFonts w:ascii="Times New Roman"/>
                            <w:sz w:val="21"/>
                          </w:rPr>
                          <w:t>5535</w:t>
                        </w:r>
                      </w:p>
                    </w:tc>
                    <w:tc>
                      <w:tcPr>
                        <w:tcW w:w="3426" w:type="dxa"/>
                      </w:tcPr>
                      <w:p>
                        <w:pPr>
                          <w:pStyle w:val="TableParagraph"/>
                          <w:spacing w:before="1"/>
                          <w:ind w:left="9" w:right="6"/>
                          <w:rPr>
                            <w:sz w:val="21"/>
                          </w:rPr>
                        </w:pPr>
                        <w:r>
                          <w:rPr>
                            <w:sz w:val="21"/>
                          </w:rPr>
                          <w:t>收集后进入厂区污水处理站处理达标</w:t>
                        </w:r>
                      </w:p>
                      <w:p>
                        <w:pPr>
                          <w:pStyle w:val="TableParagraph"/>
                          <w:spacing w:line="250" w:lineRule="exact" w:before="5"/>
                          <w:ind w:left="9" w:right="6"/>
                          <w:rPr>
                            <w:sz w:val="21"/>
                          </w:rPr>
                        </w:pPr>
                        <w:r>
                          <w:rPr>
                            <w:sz w:val="21"/>
                          </w:rPr>
                          <w:t>纳管</w:t>
                        </w:r>
                      </w:p>
                    </w:tc>
                  </w:tr>
                </w:tbl>
                <w:p>
                  <w:pPr>
                    <w:pStyle w:val="BodyText"/>
                  </w:pPr>
                </w:p>
              </w:txbxContent>
            </v:textbox>
            <w10:wrap type="none"/>
          </v:shape>
        </w:pict>
      </w:r>
      <w:r>
        <w:rPr>
          <w:sz w:val="24"/>
        </w:rPr>
        <w:t>根据原有环评，对异丙基苯胺、邻异丙基苯胺产品废水排放及处置情况见下表</w:t>
      </w:r>
      <w:r>
        <w:rPr>
          <w:spacing w:val="-16"/>
          <w:sz w:val="24"/>
        </w:rPr>
        <w:t>。</w:t>
      </w:r>
      <w:r>
        <w:rPr>
          <w:b/>
          <w:sz w:val="24"/>
        </w:rPr>
        <w:t>表</w:t>
      </w:r>
      <w:r>
        <w:rPr>
          <w:b/>
          <w:spacing w:val="-60"/>
          <w:sz w:val="24"/>
        </w:rPr>
        <w:t> </w:t>
      </w:r>
      <w:r>
        <w:rPr>
          <w:rFonts w:ascii="Times New Roman" w:eastAsia="Times New Roman"/>
          <w:b/>
          <w:sz w:val="24"/>
        </w:rPr>
        <w:t>3.3.5-2</w:t>
        <w:tab/>
      </w:r>
      <w:r>
        <w:rPr>
          <w:b/>
          <w:sz w:val="24"/>
        </w:rPr>
        <w:t>对异丙基苯胺、邻异丙基苯胺废水产生及处置情况</w:t>
      </w:r>
    </w:p>
    <w:p>
      <w:pPr>
        <w:pStyle w:val="BodyText"/>
        <w:rPr>
          <w:b/>
          <w:sz w:val="26"/>
        </w:rPr>
      </w:pPr>
    </w:p>
    <w:p>
      <w:pPr>
        <w:pStyle w:val="BodyText"/>
        <w:spacing w:before="11"/>
        <w:rPr>
          <w:b/>
          <w:sz w:val="19"/>
        </w:rPr>
      </w:pPr>
    </w:p>
    <w:p>
      <w:pPr>
        <w:pStyle w:val="BodyText"/>
        <w:ind w:left="698"/>
      </w:pPr>
      <w:r>
        <w:rPr>
          <w:rFonts w:ascii="Times New Roman" w:eastAsia="Times New Roman"/>
        </w:rPr>
        <w:t>2</w:t>
      </w:r>
      <w:r>
        <w:rPr/>
        <w:t>、废气</w:t>
      </w:r>
    </w:p>
    <w:p>
      <w:pPr>
        <w:tabs>
          <w:tab w:pos="1992" w:val="left" w:leader="none"/>
        </w:tabs>
        <w:spacing w:line="472" w:lineRule="auto" w:before="161"/>
        <w:ind w:left="770" w:right="112" w:hanging="72"/>
        <w:jc w:val="left"/>
        <w:rPr>
          <w:b/>
          <w:sz w:val="24"/>
        </w:rPr>
      </w:pPr>
      <w:r>
        <w:rPr/>
        <w:pict>
          <v:shape style="position:absolute;margin-left:70.463997pt;margin-top:55.210011pt;width:454.9pt;height:59.4pt;mso-position-horizontal-relative:page;mso-position-vertical-relative:paragraph;z-index:2516838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7"/>
                    <w:gridCol w:w="2269"/>
                    <w:gridCol w:w="4398"/>
                  </w:tblGrid>
                  <w:tr>
                    <w:trPr>
                      <w:trHeight w:val="285" w:hRule="atLeast"/>
                    </w:trPr>
                    <w:tc>
                      <w:tcPr>
                        <w:tcW w:w="2417" w:type="dxa"/>
                      </w:tcPr>
                      <w:p>
                        <w:pPr>
                          <w:pStyle w:val="TableParagraph"/>
                          <w:spacing w:line="257" w:lineRule="exact" w:before="8"/>
                          <w:ind w:left="33" w:right="22"/>
                          <w:rPr>
                            <w:b/>
                            <w:sz w:val="21"/>
                          </w:rPr>
                        </w:pPr>
                        <w:r>
                          <w:rPr>
                            <w:b/>
                            <w:sz w:val="21"/>
                          </w:rPr>
                          <w:t>废气名称</w:t>
                        </w:r>
                      </w:p>
                    </w:tc>
                    <w:tc>
                      <w:tcPr>
                        <w:tcW w:w="2269" w:type="dxa"/>
                      </w:tcPr>
                      <w:p>
                        <w:pPr>
                          <w:pStyle w:val="TableParagraph"/>
                          <w:spacing w:line="257" w:lineRule="exact" w:before="8"/>
                          <w:ind w:left="585" w:right="579"/>
                          <w:rPr>
                            <w:rFonts w:ascii="Times New Roman" w:eastAsia="Times New Roman"/>
                            <w:b/>
                            <w:sz w:val="21"/>
                          </w:rPr>
                        </w:pPr>
                        <w:r>
                          <w:rPr>
                            <w:b/>
                            <w:sz w:val="21"/>
                          </w:rPr>
                          <w:t>排放量 </w:t>
                        </w:r>
                        <w:r>
                          <w:rPr>
                            <w:rFonts w:ascii="Times New Roman" w:eastAsia="Times New Roman"/>
                            <w:b/>
                            <w:sz w:val="21"/>
                          </w:rPr>
                          <w:t>t/a</w:t>
                        </w:r>
                      </w:p>
                    </w:tc>
                    <w:tc>
                      <w:tcPr>
                        <w:tcW w:w="4398" w:type="dxa"/>
                      </w:tcPr>
                      <w:p>
                        <w:pPr>
                          <w:pStyle w:val="TableParagraph"/>
                          <w:spacing w:line="257" w:lineRule="exact" w:before="8"/>
                          <w:ind w:left="1456"/>
                          <w:jc w:val="left"/>
                          <w:rPr>
                            <w:b/>
                            <w:sz w:val="21"/>
                          </w:rPr>
                        </w:pPr>
                        <w:r>
                          <w:rPr>
                            <w:b/>
                            <w:sz w:val="21"/>
                          </w:rPr>
                          <w:t>处置措施及去向</w:t>
                        </w:r>
                      </w:p>
                    </w:tc>
                  </w:tr>
                  <w:tr>
                    <w:trPr>
                      <w:trHeight w:val="282" w:hRule="atLeast"/>
                    </w:trPr>
                    <w:tc>
                      <w:tcPr>
                        <w:tcW w:w="2417" w:type="dxa"/>
                      </w:tcPr>
                      <w:p>
                        <w:pPr>
                          <w:pStyle w:val="TableParagraph"/>
                          <w:spacing w:line="255" w:lineRule="exact" w:before="8"/>
                          <w:ind w:left="33" w:right="22"/>
                          <w:rPr>
                            <w:sz w:val="21"/>
                          </w:rPr>
                        </w:pPr>
                        <w:r>
                          <w:rPr>
                            <w:sz w:val="21"/>
                          </w:rPr>
                          <w:t>硝基苯</w:t>
                        </w:r>
                      </w:p>
                    </w:tc>
                    <w:tc>
                      <w:tcPr>
                        <w:tcW w:w="2269" w:type="dxa"/>
                      </w:tcPr>
                      <w:p>
                        <w:pPr>
                          <w:pStyle w:val="TableParagraph"/>
                          <w:spacing w:line="241" w:lineRule="exact" w:before="22"/>
                          <w:ind w:left="585" w:right="579"/>
                          <w:rPr>
                            <w:rFonts w:ascii="Times New Roman"/>
                            <w:sz w:val="21"/>
                          </w:rPr>
                        </w:pPr>
                        <w:r>
                          <w:rPr>
                            <w:rFonts w:ascii="Times New Roman"/>
                            <w:sz w:val="21"/>
                          </w:rPr>
                          <w:t>0.005</w:t>
                        </w:r>
                      </w:p>
                    </w:tc>
                    <w:tc>
                      <w:tcPr>
                        <w:tcW w:w="4398" w:type="dxa"/>
                        <w:vMerge w:val="restart"/>
                      </w:tcPr>
                      <w:p>
                        <w:pPr>
                          <w:pStyle w:val="TableParagraph"/>
                          <w:spacing w:before="6"/>
                          <w:jc w:val="left"/>
                          <w:rPr>
                            <w:sz w:val="23"/>
                          </w:rPr>
                        </w:pPr>
                      </w:p>
                      <w:p>
                        <w:pPr>
                          <w:pStyle w:val="TableParagraph"/>
                          <w:ind w:left="1" w:right="-15"/>
                          <w:jc w:val="left"/>
                          <w:rPr>
                            <w:sz w:val="21"/>
                          </w:rPr>
                        </w:pPr>
                        <w:r>
                          <w:rPr>
                            <w:spacing w:val="-2"/>
                            <w:sz w:val="21"/>
                          </w:rPr>
                          <w:t>拟采用冷凝</w:t>
                        </w:r>
                        <w:r>
                          <w:rPr>
                            <w:rFonts w:ascii="Times New Roman" w:eastAsia="Times New Roman"/>
                            <w:spacing w:val="2"/>
                            <w:sz w:val="21"/>
                          </w:rPr>
                          <w:t>+ </w:t>
                        </w:r>
                        <w:r>
                          <w:rPr>
                            <w:rFonts w:ascii="Times New Roman" w:eastAsia="Times New Roman"/>
                            <w:spacing w:val="-7"/>
                            <w:sz w:val="21"/>
                          </w:rPr>
                          <w:t>RTO</w:t>
                        </w:r>
                        <w:r>
                          <w:rPr>
                            <w:rFonts w:ascii="Times New Roman" w:eastAsia="Times New Roman"/>
                            <w:spacing w:val="-4"/>
                            <w:sz w:val="21"/>
                          </w:rPr>
                          <w:t> </w:t>
                        </w:r>
                        <w:r>
                          <w:rPr>
                            <w:spacing w:val="-3"/>
                            <w:sz w:val="21"/>
                          </w:rPr>
                          <w:t>焚烧</w:t>
                        </w:r>
                        <w:r>
                          <w:rPr>
                            <w:rFonts w:ascii="Times New Roman" w:eastAsia="Times New Roman"/>
                            <w:sz w:val="21"/>
                          </w:rPr>
                          <w:t>+SNCR</w:t>
                        </w:r>
                        <w:r>
                          <w:rPr>
                            <w:rFonts w:ascii="Times New Roman" w:eastAsia="Times New Roman"/>
                            <w:spacing w:val="-4"/>
                            <w:sz w:val="21"/>
                          </w:rPr>
                          <w:t> </w:t>
                        </w:r>
                        <w:r>
                          <w:rPr>
                            <w:spacing w:val="-2"/>
                            <w:sz w:val="21"/>
                          </w:rPr>
                          <w:t>脱硝</w:t>
                        </w:r>
                        <w:r>
                          <w:rPr>
                            <w:rFonts w:ascii="Times New Roman" w:eastAsia="Times New Roman"/>
                            <w:sz w:val="21"/>
                          </w:rPr>
                          <w:t>+</w:t>
                        </w:r>
                        <w:r>
                          <w:rPr>
                            <w:spacing w:val="-3"/>
                            <w:sz w:val="21"/>
                          </w:rPr>
                          <w:t>四级碱吸收</w:t>
                        </w:r>
                      </w:p>
                    </w:tc>
                  </w:tr>
                  <w:tr>
                    <w:trPr>
                      <w:trHeight w:val="285" w:hRule="atLeast"/>
                    </w:trPr>
                    <w:tc>
                      <w:tcPr>
                        <w:tcW w:w="2417" w:type="dxa"/>
                      </w:tcPr>
                      <w:p>
                        <w:pPr>
                          <w:pStyle w:val="TableParagraph"/>
                          <w:spacing w:line="257" w:lineRule="exact" w:before="8"/>
                          <w:ind w:left="33" w:right="22"/>
                          <w:rPr>
                            <w:sz w:val="21"/>
                          </w:rPr>
                        </w:pPr>
                        <w:r>
                          <w:rPr>
                            <w:sz w:val="21"/>
                          </w:rPr>
                          <w:t>苯胺</w:t>
                        </w:r>
                      </w:p>
                    </w:tc>
                    <w:tc>
                      <w:tcPr>
                        <w:tcW w:w="2269" w:type="dxa"/>
                      </w:tcPr>
                      <w:p>
                        <w:pPr>
                          <w:pStyle w:val="TableParagraph"/>
                          <w:spacing w:before="22"/>
                          <w:ind w:left="585" w:right="579"/>
                          <w:rPr>
                            <w:rFonts w:ascii="Times New Roman"/>
                            <w:sz w:val="21"/>
                          </w:rPr>
                        </w:pPr>
                        <w:r>
                          <w:rPr>
                            <w:rFonts w:ascii="Times New Roman"/>
                            <w:sz w:val="21"/>
                          </w:rPr>
                          <w:t>0.01</w:t>
                        </w:r>
                      </w:p>
                    </w:tc>
                    <w:tc>
                      <w:tcPr>
                        <w:tcW w:w="4398" w:type="dxa"/>
                        <w:vMerge/>
                        <w:tcBorders>
                          <w:top w:val="nil"/>
                        </w:tcBorders>
                      </w:tcPr>
                      <w:p>
                        <w:pPr>
                          <w:rPr>
                            <w:sz w:val="2"/>
                            <w:szCs w:val="2"/>
                          </w:rPr>
                        </w:pPr>
                      </w:p>
                    </w:tc>
                  </w:tr>
                  <w:tr>
                    <w:trPr>
                      <w:trHeight w:val="285" w:hRule="atLeast"/>
                    </w:trPr>
                    <w:tc>
                      <w:tcPr>
                        <w:tcW w:w="2417" w:type="dxa"/>
                      </w:tcPr>
                      <w:p>
                        <w:pPr>
                          <w:pStyle w:val="TableParagraph"/>
                          <w:spacing w:line="257" w:lineRule="exact" w:before="8"/>
                          <w:ind w:left="33" w:right="22"/>
                          <w:rPr>
                            <w:sz w:val="21"/>
                          </w:rPr>
                        </w:pPr>
                        <w:r>
                          <w:rPr>
                            <w:sz w:val="21"/>
                          </w:rPr>
                          <w:t>甲醇</w:t>
                        </w:r>
                      </w:p>
                    </w:tc>
                    <w:tc>
                      <w:tcPr>
                        <w:tcW w:w="2269" w:type="dxa"/>
                      </w:tcPr>
                      <w:p>
                        <w:pPr>
                          <w:pStyle w:val="TableParagraph"/>
                          <w:spacing w:before="22"/>
                          <w:ind w:left="585" w:right="579"/>
                          <w:rPr>
                            <w:rFonts w:ascii="Times New Roman"/>
                            <w:sz w:val="21"/>
                          </w:rPr>
                        </w:pPr>
                        <w:r>
                          <w:rPr>
                            <w:rFonts w:ascii="Times New Roman"/>
                            <w:sz w:val="21"/>
                          </w:rPr>
                          <w:t>0.009</w:t>
                        </w:r>
                      </w:p>
                    </w:tc>
                    <w:tc>
                      <w:tcPr>
                        <w:tcW w:w="4398" w:type="dxa"/>
                        <w:vMerge/>
                        <w:tcBorders>
                          <w:top w:val="nil"/>
                        </w:tcBorders>
                      </w:tcPr>
                      <w:p>
                        <w:pPr>
                          <w:rPr>
                            <w:sz w:val="2"/>
                            <w:szCs w:val="2"/>
                          </w:rPr>
                        </w:pPr>
                      </w:p>
                    </w:tc>
                  </w:tr>
                </w:tbl>
                <w:p>
                  <w:pPr>
                    <w:pStyle w:val="BodyText"/>
                  </w:pPr>
                </w:p>
              </w:txbxContent>
            </v:textbox>
            <w10:wrap type="none"/>
          </v:shape>
        </w:pict>
      </w:r>
      <w:r>
        <w:rPr>
          <w:sz w:val="24"/>
        </w:rPr>
        <w:t>根据原有环评</w:t>
      </w:r>
      <w:r>
        <w:rPr>
          <w:spacing w:val="-84"/>
          <w:sz w:val="24"/>
        </w:rPr>
        <w:t>，</w:t>
      </w:r>
      <w:r>
        <w:rPr>
          <w:sz w:val="24"/>
        </w:rPr>
        <w:t>对异丙基苯胺</w:t>
      </w:r>
      <w:r>
        <w:rPr>
          <w:spacing w:val="-84"/>
          <w:sz w:val="24"/>
        </w:rPr>
        <w:t>、</w:t>
      </w:r>
      <w:r>
        <w:rPr>
          <w:sz w:val="24"/>
        </w:rPr>
        <w:t>邻异丙基苯胺生产装置废气排放及处置情况见下表</w:t>
      </w:r>
      <w:r>
        <w:rPr>
          <w:spacing w:val="-16"/>
          <w:sz w:val="24"/>
        </w:rPr>
        <w:t>。</w:t>
      </w:r>
      <w:r>
        <w:rPr>
          <w:b/>
          <w:sz w:val="24"/>
        </w:rPr>
        <w:t>表</w:t>
      </w:r>
      <w:r>
        <w:rPr>
          <w:b/>
          <w:spacing w:val="-60"/>
          <w:sz w:val="24"/>
        </w:rPr>
        <w:t> </w:t>
      </w:r>
      <w:r>
        <w:rPr>
          <w:rFonts w:ascii="Times New Roman" w:eastAsia="Times New Roman"/>
          <w:b/>
          <w:sz w:val="24"/>
        </w:rPr>
        <w:t>3.3.5-3</w:t>
        <w:tab/>
      </w:r>
      <w:r>
        <w:rPr>
          <w:b/>
          <w:sz w:val="24"/>
        </w:rPr>
        <w:t>对异丙基苯胺、邻异丙基苯胺装置废气污染物排</w:t>
      </w:r>
      <w:r>
        <w:rPr>
          <w:b/>
          <w:spacing w:val="3"/>
          <w:sz w:val="24"/>
        </w:rPr>
        <w:t>放</w:t>
      </w:r>
      <w:r>
        <w:rPr>
          <w:b/>
          <w:sz w:val="24"/>
        </w:rPr>
        <w:t>及处置</w:t>
      </w:r>
      <w:r>
        <w:rPr>
          <w:b/>
          <w:spacing w:val="3"/>
          <w:sz w:val="24"/>
        </w:rPr>
        <w:t>情</w:t>
      </w:r>
      <w:r>
        <w:rPr>
          <w:b/>
          <w:sz w:val="24"/>
        </w:rPr>
        <w:t>况表</w:t>
      </w:r>
    </w:p>
    <w:p>
      <w:pPr>
        <w:pStyle w:val="BodyText"/>
        <w:rPr>
          <w:b/>
          <w:sz w:val="26"/>
        </w:rPr>
      </w:pPr>
    </w:p>
    <w:p>
      <w:pPr>
        <w:pStyle w:val="BodyText"/>
        <w:rPr>
          <w:b/>
          <w:sz w:val="26"/>
        </w:rPr>
      </w:pPr>
    </w:p>
    <w:p>
      <w:pPr>
        <w:pStyle w:val="BodyText"/>
        <w:spacing w:before="12"/>
        <w:rPr>
          <w:b/>
          <w:sz w:val="19"/>
        </w:rPr>
      </w:pPr>
    </w:p>
    <w:p>
      <w:pPr>
        <w:pStyle w:val="BodyText"/>
        <w:ind w:left="698"/>
      </w:pPr>
      <w:r>
        <w:rPr>
          <w:rFonts w:ascii="Times New Roman" w:eastAsia="Times New Roman"/>
        </w:rPr>
        <w:t>3</w:t>
      </w:r>
      <w:r>
        <w:rPr/>
        <w:t>、固废</w:t>
      </w:r>
    </w:p>
    <w:p>
      <w:pPr>
        <w:pStyle w:val="BodyText"/>
        <w:spacing w:before="159"/>
        <w:ind w:left="698"/>
      </w:pPr>
      <w:r>
        <w:rPr/>
        <w:t>根据原有环评，该生产线固废产生汇总情况见下表。</w:t>
      </w:r>
    </w:p>
    <w:p>
      <w:pPr>
        <w:pStyle w:val="BodyText"/>
        <w:spacing w:before="7"/>
        <w:rPr>
          <w:sz w:val="23"/>
        </w:rPr>
      </w:pPr>
    </w:p>
    <w:p>
      <w:pPr>
        <w:pStyle w:val="Heading4"/>
        <w:tabs>
          <w:tab w:pos="1222" w:val="left" w:leader="none"/>
          <w:tab w:pos="4596" w:val="left" w:leader="none"/>
        </w:tabs>
        <w:spacing w:after="29"/>
        <w:ind w:left="0" w:right="13"/>
        <w:jc w:val="center"/>
        <w:rPr>
          <w:rFonts w:ascii="Times New Roman" w:eastAsia="Times New Roman"/>
        </w:rPr>
      </w:pPr>
      <w:r>
        <w:rPr/>
        <w:t>表</w:t>
      </w:r>
      <w:r>
        <w:rPr>
          <w:spacing w:val="-60"/>
        </w:rPr>
        <w:t> </w:t>
      </w:r>
      <w:r>
        <w:rPr>
          <w:rFonts w:ascii="Times New Roman" w:eastAsia="Times New Roman"/>
        </w:rPr>
        <w:t>3.3.5-4</w:t>
        <w:tab/>
      </w:r>
      <w:r>
        <w:rPr/>
        <w:t>该生产线达产时工业固废情况</w:t>
        <w:tab/>
        <w:t>单位：</w:t>
      </w:r>
      <w:r>
        <w:rPr>
          <w:rFonts w:ascii="Times New Roman" w:eastAsia="Times New Roman"/>
        </w:rPr>
        <w:t>t/a</w:t>
      </w:r>
    </w:p>
    <w:tbl>
      <w:tblPr>
        <w:tblW w:w="0" w:type="auto"/>
        <w:jc w:val="left"/>
        <w:tblInd w:w="1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80"/>
        <w:gridCol w:w="1666"/>
        <w:gridCol w:w="1445"/>
        <w:gridCol w:w="1503"/>
        <w:gridCol w:w="3181"/>
      </w:tblGrid>
      <w:tr>
        <w:trPr>
          <w:trHeight w:val="282" w:hRule="atLeast"/>
        </w:trPr>
        <w:tc>
          <w:tcPr>
            <w:tcW w:w="1380" w:type="dxa"/>
          </w:tcPr>
          <w:p>
            <w:pPr>
              <w:pStyle w:val="TableParagraph"/>
              <w:spacing w:line="257" w:lineRule="exact" w:before="6"/>
              <w:ind w:left="249" w:right="242"/>
              <w:rPr>
                <w:b/>
                <w:sz w:val="21"/>
              </w:rPr>
            </w:pPr>
            <w:r>
              <w:rPr>
                <w:b/>
                <w:sz w:val="21"/>
              </w:rPr>
              <w:t>固废名称</w:t>
            </w:r>
          </w:p>
        </w:tc>
        <w:tc>
          <w:tcPr>
            <w:tcW w:w="1666" w:type="dxa"/>
            <w:tcBorders>
              <w:right w:val="single" w:sz="4" w:space="0" w:color="000000"/>
            </w:tcBorders>
          </w:tcPr>
          <w:p>
            <w:pPr>
              <w:pStyle w:val="TableParagraph"/>
              <w:spacing w:line="257" w:lineRule="exact" w:before="6"/>
              <w:ind w:left="179" w:right="173"/>
              <w:rPr>
                <w:b/>
                <w:sz w:val="21"/>
              </w:rPr>
            </w:pPr>
            <w:r>
              <w:rPr>
                <w:b/>
                <w:sz w:val="21"/>
              </w:rPr>
              <w:t>达产时产生量</w:t>
            </w:r>
          </w:p>
        </w:tc>
        <w:tc>
          <w:tcPr>
            <w:tcW w:w="1445" w:type="dxa"/>
            <w:tcBorders>
              <w:left w:val="single" w:sz="4" w:space="0" w:color="000000"/>
              <w:right w:val="single" w:sz="4" w:space="0" w:color="000000"/>
            </w:tcBorders>
          </w:tcPr>
          <w:p>
            <w:pPr>
              <w:pStyle w:val="TableParagraph"/>
              <w:spacing w:line="257" w:lineRule="exact" w:before="6"/>
              <w:ind w:left="277" w:right="273"/>
              <w:rPr>
                <w:b/>
                <w:sz w:val="21"/>
              </w:rPr>
            </w:pPr>
            <w:r>
              <w:rPr>
                <w:b/>
                <w:sz w:val="21"/>
              </w:rPr>
              <w:t>主要成分</w:t>
            </w:r>
          </w:p>
        </w:tc>
        <w:tc>
          <w:tcPr>
            <w:tcW w:w="1503" w:type="dxa"/>
            <w:tcBorders>
              <w:left w:val="single" w:sz="4" w:space="0" w:color="000000"/>
            </w:tcBorders>
          </w:tcPr>
          <w:p>
            <w:pPr>
              <w:pStyle w:val="TableParagraph"/>
              <w:spacing w:line="257" w:lineRule="exact" w:before="6"/>
              <w:ind w:left="306" w:right="305"/>
              <w:rPr>
                <w:b/>
                <w:sz w:val="21"/>
              </w:rPr>
            </w:pPr>
            <w:r>
              <w:rPr>
                <w:b/>
                <w:sz w:val="21"/>
              </w:rPr>
              <w:t>废物类型</w:t>
            </w:r>
          </w:p>
        </w:tc>
        <w:tc>
          <w:tcPr>
            <w:tcW w:w="3181" w:type="dxa"/>
          </w:tcPr>
          <w:p>
            <w:pPr>
              <w:pStyle w:val="TableParagraph"/>
              <w:spacing w:line="257" w:lineRule="exact" w:before="6"/>
              <w:ind w:left="621" w:right="621"/>
              <w:rPr>
                <w:b/>
                <w:sz w:val="21"/>
              </w:rPr>
            </w:pPr>
            <w:r>
              <w:rPr>
                <w:b/>
                <w:sz w:val="21"/>
              </w:rPr>
              <w:t>处理措施</w:t>
            </w:r>
          </w:p>
        </w:tc>
      </w:tr>
      <w:tr>
        <w:trPr>
          <w:trHeight w:val="285" w:hRule="atLeast"/>
        </w:trPr>
        <w:tc>
          <w:tcPr>
            <w:tcW w:w="1380" w:type="dxa"/>
            <w:tcBorders>
              <w:bottom w:val="single" w:sz="4" w:space="0" w:color="000000"/>
            </w:tcBorders>
          </w:tcPr>
          <w:p>
            <w:pPr>
              <w:pStyle w:val="TableParagraph"/>
              <w:spacing w:line="257" w:lineRule="exact" w:before="8"/>
              <w:ind w:left="246" w:right="242"/>
              <w:rPr>
                <w:sz w:val="21"/>
              </w:rPr>
            </w:pPr>
            <w:r>
              <w:rPr>
                <w:sz w:val="21"/>
              </w:rPr>
              <w:t>精馏残液</w:t>
            </w:r>
          </w:p>
        </w:tc>
        <w:tc>
          <w:tcPr>
            <w:tcW w:w="1666" w:type="dxa"/>
            <w:tcBorders>
              <w:bottom w:val="single" w:sz="4" w:space="0" w:color="000000"/>
              <w:right w:val="single" w:sz="4" w:space="0" w:color="000000"/>
            </w:tcBorders>
          </w:tcPr>
          <w:p>
            <w:pPr>
              <w:pStyle w:val="TableParagraph"/>
              <w:spacing w:before="22"/>
              <w:ind w:left="179" w:right="173"/>
              <w:rPr>
                <w:rFonts w:ascii="Times New Roman"/>
                <w:sz w:val="21"/>
              </w:rPr>
            </w:pPr>
            <w:r>
              <w:rPr>
                <w:rFonts w:ascii="Times New Roman"/>
                <w:sz w:val="21"/>
              </w:rPr>
              <w:t>16.750</w:t>
            </w:r>
          </w:p>
        </w:tc>
        <w:tc>
          <w:tcPr>
            <w:tcW w:w="1445" w:type="dxa"/>
            <w:tcBorders>
              <w:left w:val="single" w:sz="4" w:space="0" w:color="000000"/>
              <w:bottom w:val="single" w:sz="4" w:space="0" w:color="000000"/>
              <w:right w:val="single" w:sz="4" w:space="0" w:color="000000"/>
            </w:tcBorders>
          </w:tcPr>
          <w:p>
            <w:pPr>
              <w:pStyle w:val="TableParagraph"/>
              <w:spacing w:line="257" w:lineRule="exact" w:before="8"/>
              <w:ind w:left="277" w:right="273"/>
              <w:rPr>
                <w:sz w:val="21"/>
              </w:rPr>
            </w:pPr>
            <w:r>
              <w:rPr>
                <w:sz w:val="21"/>
              </w:rPr>
              <w:t>高沸物</w:t>
            </w:r>
          </w:p>
        </w:tc>
        <w:tc>
          <w:tcPr>
            <w:tcW w:w="1503" w:type="dxa"/>
            <w:tcBorders>
              <w:left w:val="single" w:sz="4" w:space="0" w:color="000000"/>
              <w:bottom w:val="single" w:sz="4" w:space="0" w:color="000000"/>
            </w:tcBorders>
          </w:tcPr>
          <w:p>
            <w:pPr>
              <w:pStyle w:val="TableParagraph"/>
              <w:spacing w:line="257" w:lineRule="exact" w:before="8"/>
              <w:ind w:left="306" w:right="305"/>
              <w:rPr>
                <w:sz w:val="21"/>
              </w:rPr>
            </w:pPr>
            <w:r>
              <w:rPr>
                <w:sz w:val="21"/>
              </w:rPr>
              <w:t>危险废物</w:t>
            </w:r>
          </w:p>
        </w:tc>
        <w:tc>
          <w:tcPr>
            <w:tcW w:w="3181" w:type="dxa"/>
            <w:tcBorders>
              <w:bottom w:val="single" w:sz="4" w:space="0" w:color="000000"/>
            </w:tcBorders>
          </w:tcPr>
          <w:p>
            <w:pPr>
              <w:pStyle w:val="TableParagraph"/>
              <w:spacing w:line="257" w:lineRule="exact" w:before="8"/>
              <w:ind w:left="624" w:right="621"/>
              <w:rPr>
                <w:sz w:val="21"/>
              </w:rPr>
            </w:pPr>
            <w:r>
              <w:rPr>
                <w:sz w:val="21"/>
              </w:rPr>
              <w:t>委托有资质单位处理</w:t>
            </w:r>
          </w:p>
        </w:tc>
      </w:tr>
      <w:tr>
        <w:trPr>
          <w:trHeight w:val="282" w:hRule="atLeast"/>
        </w:trPr>
        <w:tc>
          <w:tcPr>
            <w:tcW w:w="1380" w:type="dxa"/>
            <w:tcBorders>
              <w:top w:val="single" w:sz="4" w:space="0" w:color="000000"/>
            </w:tcBorders>
          </w:tcPr>
          <w:p>
            <w:pPr>
              <w:pStyle w:val="TableParagraph"/>
              <w:spacing w:line="257" w:lineRule="exact" w:before="6"/>
              <w:ind w:left="246" w:right="242"/>
              <w:rPr>
                <w:sz w:val="21"/>
              </w:rPr>
            </w:pPr>
            <w:r>
              <w:rPr>
                <w:sz w:val="21"/>
              </w:rPr>
              <w:t>废催化剂</w:t>
            </w:r>
          </w:p>
        </w:tc>
        <w:tc>
          <w:tcPr>
            <w:tcW w:w="1666" w:type="dxa"/>
            <w:tcBorders>
              <w:top w:val="single" w:sz="4" w:space="0" w:color="000000"/>
              <w:right w:val="single" w:sz="4" w:space="0" w:color="000000"/>
            </w:tcBorders>
          </w:tcPr>
          <w:p>
            <w:pPr>
              <w:pStyle w:val="TableParagraph"/>
              <w:spacing w:before="19"/>
              <w:ind w:left="179" w:right="173"/>
              <w:rPr>
                <w:rFonts w:ascii="Times New Roman"/>
                <w:sz w:val="21"/>
              </w:rPr>
            </w:pPr>
            <w:r>
              <w:rPr>
                <w:rFonts w:ascii="Times New Roman"/>
                <w:sz w:val="21"/>
              </w:rPr>
              <w:t>0.075</w:t>
            </w:r>
          </w:p>
        </w:tc>
        <w:tc>
          <w:tcPr>
            <w:tcW w:w="1445" w:type="dxa"/>
            <w:tcBorders>
              <w:top w:val="single" w:sz="4" w:space="0" w:color="000000"/>
              <w:left w:val="single" w:sz="4" w:space="0" w:color="000000"/>
              <w:right w:val="single" w:sz="4" w:space="0" w:color="000000"/>
            </w:tcBorders>
          </w:tcPr>
          <w:p>
            <w:pPr>
              <w:pStyle w:val="TableParagraph"/>
              <w:spacing w:line="257" w:lineRule="exact" w:before="6"/>
              <w:ind w:left="277" w:right="273"/>
              <w:rPr>
                <w:b/>
                <w:sz w:val="21"/>
              </w:rPr>
            </w:pPr>
            <w:r>
              <w:rPr>
                <w:b/>
                <w:color w:val="FF0000"/>
                <w:sz w:val="21"/>
              </w:rPr>
              <w:t>涉密删除</w:t>
            </w:r>
          </w:p>
        </w:tc>
        <w:tc>
          <w:tcPr>
            <w:tcW w:w="1503" w:type="dxa"/>
            <w:tcBorders>
              <w:top w:val="single" w:sz="4" w:space="0" w:color="000000"/>
              <w:left w:val="single" w:sz="4" w:space="0" w:color="000000"/>
            </w:tcBorders>
          </w:tcPr>
          <w:p>
            <w:pPr>
              <w:pStyle w:val="TableParagraph"/>
              <w:spacing w:line="257" w:lineRule="exact" w:before="6"/>
              <w:ind w:left="306" w:right="305"/>
              <w:rPr>
                <w:sz w:val="21"/>
              </w:rPr>
            </w:pPr>
            <w:r>
              <w:rPr>
                <w:sz w:val="21"/>
              </w:rPr>
              <w:t>危险废物</w:t>
            </w:r>
          </w:p>
        </w:tc>
        <w:tc>
          <w:tcPr>
            <w:tcW w:w="3181" w:type="dxa"/>
            <w:tcBorders>
              <w:top w:val="single" w:sz="4" w:space="0" w:color="000000"/>
            </w:tcBorders>
          </w:tcPr>
          <w:p>
            <w:pPr>
              <w:pStyle w:val="TableParagraph"/>
              <w:spacing w:line="257" w:lineRule="exact" w:before="6"/>
              <w:ind w:left="624" w:right="621"/>
              <w:rPr>
                <w:sz w:val="21"/>
              </w:rPr>
            </w:pPr>
            <w:r>
              <w:rPr>
                <w:sz w:val="21"/>
              </w:rPr>
              <w:t>委托有资质单位处理</w:t>
            </w:r>
          </w:p>
        </w:tc>
      </w:tr>
    </w:tbl>
    <w:p>
      <w:pPr>
        <w:pStyle w:val="ListParagraph"/>
        <w:numPr>
          <w:ilvl w:val="2"/>
          <w:numId w:val="13"/>
        </w:numPr>
        <w:tabs>
          <w:tab w:pos="999" w:val="left" w:leader="none"/>
        </w:tabs>
        <w:spacing w:line="364" w:lineRule="auto" w:before="122" w:after="0"/>
        <w:ind w:left="698" w:right="235" w:hanging="240"/>
        <w:jc w:val="left"/>
        <w:rPr>
          <w:sz w:val="24"/>
        </w:rPr>
      </w:pPr>
      <w:r>
        <w:rPr>
          <w:b/>
          <w:spacing w:val="-20"/>
          <w:sz w:val="24"/>
        </w:rPr>
        <w:t>年产 </w:t>
      </w:r>
      <w:r>
        <w:rPr>
          <w:rFonts w:ascii="Times New Roman" w:hAnsi="Times New Roman" w:eastAsia="Times New Roman"/>
          <w:b/>
          <w:sz w:val="24"/>
        </w:rPr>
        <w:t>500</w:t>
      </w:r>
      <w:r>
        <w:rPr>
          <w:rFonts w:ascii="Times New Roman" w:hAnsi="Times New Roman" w:eastAsia="Times New Roman"/>
          <w:b/>
          <w:spacing w:val="-1"/>
          <w:sz w:val="24"/>
        </w:rPr>
        <w:t> </w:t>
      </w:r>
      <w:r>
        <w:rPr>
          <w:b/>
          <w:spacing w:val="-30"/>
          <w:sz w:val="24"/>
        </w:rPr>
        <w:t>吨 </w:t>
      </w:r>
      <w:r>
        <w:rPr>
          <w:rFonts w:ascii="Times New Roman" w:hAnsi="Times New Roman" w:eastAsia="Times New Roman"/>
          <w:b/>
          <w:sz w:val="24"/>
        </w:rPr>
        <w:t>2,6-</w:t>
      </w:r>
      <w:r>
        <w:rPr>
          <w:b/>
          <w:spacing w:val="-9"/>
          <w:sz w:val="24"/>
        </w:rPr>
        <w:t>二甲基苯胺和 </w:t>
      </w:r>
      <w:r>
        <w:rPr>
          <w:rFonts w:ascii="Times New Roman" w:hAnsi="Times New Roman" w:eastAsia="Times New Roman"/>
          <w:b/>
          <w:sz w:val="24"/>
        </w:rPr>
        <w:t>1500</w:t>
      </w:r>
      <w:r>
        <w:rPr>
          <w:rFonts w:ascii="Times New Roman" w:hAnsi="Times New Roman" w:eastAsia="Times New Roman"/>
          <w:b/>
          <w:spacing w:val="-1"/>
          <w:sz w:val="24"/>
        </w:rPr>
        <w:t> </w:t>
      </w:r>
      <w:r>
        <w:rPr>
          <w:b/>
          <w:spacing w:val="-30"/>
          <w:sz w:val="24"/>
        </w:rPr>
        <w:t>吨 </w:t>
      </w:r>
      <w:r>
        <w:rPr>
          <w:rFonts w:ascii="Times New Roman" w:hAnsi="Times New Roman" w:eastAsia="Times New Roman"/>
          <w:b/>
          <w:sz w:val="24"/>
        </w:rPr>
        <w:t>2,4-</w:t>
      </w:r>
      <w:r>
        <w:rPr>
          <w:b/>
          <w:sz w:val="24"/>
        </w:rPr>
        <w:t>二甲基苯胺装置生产、排污情况</w:t>
      </w:r>
      <w:r>
        <w:rPr>
          <w:sz w:val="24"/>
        </w:rPr>
        <w:t>“</w:t>
      </w:r>
      <w:r>
        <w:rPr>
          <w:rFonts w:ascii="Times New Roman" w:hAnsi="Times New Roman" w:eastAsia="Times New Roman"/>
          <w:sz w:val="24"/>
        </w:rPr>
        <w:t>1500</w:t>
      </w:r>
      <w:r>
        <w:rPr>
          <w:rFonts w:ascii="Times New Roman" w:hAnsi="Times New Roman" w:eastAsia="Times New Roman"/>
          <w:spacing w:val="21"/>
          <w:sz w:val="24"/>
        </w:rPr>
        <w:t> </w:t>
      </w:r>
      <w:r>
        <w:rPr>
          <w:sz w:val="24"/>
        </w:rPr>
        <w:t>吨</w:t>
      </w:r>
      <w:r>
        <w:rPr>
          <w:rFonts w:ascii="Times New Roman" w:hAnsi="Times New Roman" w:eastAsia="Times New Roman"/>
          <w:sz w:val="24"/>
        </w:rPr>
        <w:t>/</w:t>
      </w:r>
      <w:r>
        <w:rPr>
          <w:sz w:val="24"/>
        </w:rPr>
        <w:t>年对异丙基苯胺、</w:t>
      </w:r>
      <w:r>
        <w:rPr>
          <w:rFonts w:ascii="Times New Roman" w:hAnsi="Times New Roman" w:eastAsia="Times New Roman"/>
          <w:sz w:val="24"/>
        </w:rPr>
        <w:t>500</w:t>
      </w:r>
      <w:r>
        <w:rPr>
          <w:rFonts w:ascii="Times New Roman" w:hAnsi="Times New Roman" w:eastAsia="Times New Roman"/>
          <w:spacing w:val="21"/>
          <w:sz w:val="24"/>
        </w:rPr>
        <w:t> </w:t>
      </w:r>
      <w:r>
        <w:rPr>
          <w:sz w:val="24"/>
        </w:rPr>
        <w:t>吨</w:t>
      </w:r>
      <w:r>
        <w:rPr>
          <w:rFonts w:ascii="Times New Roman" w:hAnsi="Times New Roman" w:eastAsia="Times New Roman"/>
          <w:sz w:val="24"/>
        </w:rPr>
        <w:t>/</w:t>
      </w:r>
      <w:r>
        <w:rPr>
          <w:sz w:val="24"/>
        </w:rPr>
        <w:t>年邻异丙基苯胺、</w:t>
      </w:r>
      <w:r>
        <w:rPr>
          <w:rFonts w:ascii="Times New Roman" w:hAnsi="Times New Roman" w:eastAsia="Times New Roman"/>
          <w:sz w:val="24"/>
        </w:rPr>
        <w:t>500</w:t>
      </w:r>
      <w:r>
        <w:rPr>
          <w:rFonts w:ascii="Times New Roman" w:hAnsi="Times New Roman" w:eastAsia="Times New Roman"/>
          <w:spacing w:val="21"/>
          <w:sz w:val="24"/>
        </w:rPr>
        <w:t> </w:t>
      </w:r>
      <w:r>
        <w:rPr>
          <w:sz w:val="24"/>
        </w:rPr>
        <w:t>吨</w:t>
      </w:r>
      <w:r>
        <w:rPr>
          <w:rFonts w:ascii="Times New Roman" w:hAnsi="Times New Roman" w:eastAsia="Times New Roman"/>
          <w:sz w:val="24"/>
        </w:rPr>
        <w:t>/</w:t>
      </w:r>
      <w:r>
        <w:rPr>
          <w:spacing w:val="-20"/>
          <w:sz w:val="24"/>
        </w:rPr>
        <w:t>年 </w:t>
      </w:r>
      <w:r>
        <w:rPr>
          <w:rFonts w:ascii="Times New Roman" w:hAnsi="Times New Roman" w:eastAsia="Times New Roman"/>
          <w:sz w:val="24"/>
        </w:rPr>
        <w:t>2,6-</w:t>
      </w:r>
      <w:r>
        <w:rPr>
          <w:spacing w:val="-2"/>
          <w:sz w:val="24"/>
        </w:rPr>
        <w:t>二甲基苯胺、</w:t>
      </w:r>
    </w:p>
    <w:p>
      <w:pPr>
        <w:pStyle w:val="BodyText"/>
        <w:spacing w:line="306" w:lineRule="exact"/>
        <w:ind w:left="218"/>
      </w:pPr>
      <w:r>
        <w:rPr>
          <w:rFonts w:ascii="Times New Roman" w:hAnsi="Times New Roman" w:eastAsia="Times New Roman"/>
        </w:rPr>
        <w:t>1500</w:t>
      </w:r>
      <w:r>
        <w:rPr>
          <w:rFonts w:ascii="Times New Roman" w:hAnsi="Times New Roman" w:eastAsia="Times New Roman"/>
          <w:spacing w:val="-1"/>
        </w:rPr>
        <w:t> </w:t>
      </w:r>
      <w:r>
        <w:rPr/>
        <w:t>吨</w:t>
      </w:r>
      <w:r>
        <w:rPr>
          <w:rFonts w:ascii="Times New Roman" w:hAnsi="Times New Roman" w:eastAsia="Times New Roman"/>
        </w:rPr>
        <w:t>/</w:t>
      </w:r>
      <w:r>
        <w:rPr>
          <w:spacing w:val="-30"/>
        </w:rPr>
        <w:t>年 </w:t>
      </w:r>
      <w:r>
        <w:rPr>
          <w:rFonts w:ascii="Times New Roman" w:hAnsi="Times New Roman" w:eastAsia="Times New Roman"/>
        </w:rPr>
        <w:t>2,4-</w:t>
      </w:r>
      <w:r>
        <w:rPr>
          <w:spacing w:val="-6"/>
        </w:rPr>
        <w:t>二甲基苯胺技改项目”于 </w:t>
      </w:r>
      <w:r>
        <w:rPr>
          <w:rFonts w:ascii="Times New Roman" w:hAnsi="Times New Roman" w:eastAsia="Times New Roman"/>
        </w:rPr>
        <w:t>2009 </w:t>
      </w:r>
      <w:r>
        <w:rPr>
          <w:spacing w:val="-30"/>
        </w:rPr>
        <w:t>年 </w:t>
      </w:r>
      <w:r>
        <w:rPr>
          <w:rFonts w:ascii="Times New Roman" w:hAnsi="Times New Roman" w:eastAsia="Times New Roman"/>
        </w:rPr>
        <w:t>8</w:t>
      </w:r>
      <w:r>
        <w:rPr>
          <w:rFonts w:ascii="Times New Roman" w:hAnsi="Times New Roman" w:eastAsia="Times New Roman"/>
          <w:spacing w:val="-1"/>
        </w:rPr>
        <w:t> </w:t>
      </w:r>
      <w:r>
        <w:rPr>
          <w:spacing w:val="-10"/>
        </w:rPr>
        <w:t>月通过审批，于 </w:t>
      </w:r>
      <w:r>
        <w:rPr>
          <w:rFonts w:ascii="Times New Roman" w:hAnsi="Times New Roman" w:eastAsia="Times New Roman"/>
        </w:rPr>
        <w:t>2010 </w:t>
      </w:r>
      <w:r>
        <w:rPr>
          <w:spacing w:val="-30"/>
        </w:rPr>
        <w:t>年 </w:t>
      </w:r>
      <w:r>
        <w:rPr>
          <w:rFonts w:ascii="Times New Roman" w:hAnsi="Times New Roman" w:eastAsia="Times New Roman"/>
        </w:rPr>
        <w:t>12 </w:t>
      </w:r>
      <w:r>
        <w:rPr/>
        <w:t>月通过验</w:t>
      </w:r>
    </w:p>
    <w:p>
      <w:pPr>
        <w:spacing w:after="0" w:line="306" w:lineRule="exact"/>
        <w:sectPr>
          <w:pgSz w:w="11910" w:h="16850"/>
          <w:pgMar w:header="730" w:footer="690" w:top="1340" w:bottom="880" w:left="1200" w:right="1180"/>
        </w:sectPr>
      </w:pPr>
    </w:p>
    <w:p>
      <w:pPr>
        <w:pStyle w:val="BodyText"/>
        <w:spacing w:before="64"/>
        <w:ind w:left="218"/>
      </w:pPr>
      <w:r>
        <w:rPr/>
        <w:t>收。其中 </w:t>
      </w:r>
      <w:r>
        <w:rPr>
          <w:rFonts w:ascii="Times New Roman" w:eastAsia="Times New Roman"/>
        </w:rPr>
        <w:t>2,6-</w:t>
      </w:r>
      <w:r>
        <w:rPr/>
        <w:t>二甲基苯胺和 </w:t>
      </w:r>
      <w:r>
        <w:rPr>
          <w:rFonts w:ascii="Times New Roman" w:eastAsia="Times New Roman"/>
        </w:rPr>
        <w:t>2,4-</w:t>
      </w:r>
      <w:r>
        <w:rPr/>
        <w:t>二甲基苯胺两个产品由于市场原因，</w:t>
      </w:r>
      <w:r>
        <w:rPr>
          <w:b/>
        </w:rPr>
        <w:t>目前处于停产</w:t>
      </w:r>
      <w:r>
        <w:rPr/>
        <w:t>。</w:t>
      </w:r>
    </w:p>
    <w:p>
      <w:pPr>
        <w:pStyle w:val="Heading4"/>
        <w:numPr>
          <w:ilvl w:val="3"/>
          <w:numId w:val="13"/>
        </w:numPr>
        <w:tabs>
          <w:tab w:pos="1410" w:val="left" w:leader="none"/>
        </w:tabs>
        <w:spacing w:line="240" w:lineRule="auto" w:before="158" w:after="0"/>
        <w:ind w:left="1409" w:right="0" w:hanging="721"/>
        <w:jc w:val="left"/>
      </w:pPr>
      <w:r>
        <w:rPr/>
        <w:t>原辅材料消耗</w:t>
      </w:r>
    </w:p>
    <w:p>
      <w:pPr>
        <w:pStyle w:val="BodyText"/>
        <w:spacing w:before="7"/>
        <w:rPr>
          <w:b/>
          <w:sz w:val="23"/>
        </w:rPr>
      </w:pPr>
    </w:p>
    <w:p>
      <w:pPr>
        <w:tabs>
          <w:tab w:pos="1221" w:val="left" w:leader="none"/>
        </w:tabs>
        <w:spacing w:before="0" w:after="29"/>
        <w:ind w:left="0" w:right="15" w:firstLine="0"/>
        <w:jc w:val="center"/>
        <w:rPr>
          <w:b/>
          <w:sz w:val="24"/>
        </w:rPr>
      </w:pPr>
      <w:r>
        <w:rPr>
          <w:b/>
          <w:sz w:val="24"/>
        </w:rPr>
        <w:t>表</w:t>
      </w:r>
      <w:r>
        <w:rPr>
          <w:b/>
          <w:spacing w:val="-60"/>
          <w:sz w:val="24"/>
        </w:rPr>
        <w:t> </w:t>
      </w:r>
      <w:r>
        <w:rPr>
          <w:rFonts w:ascii="Times New Roman" w:eastAsia="Times New Roman"/>
          <w:b/>
          <w:sz w:val="24"/>
        </w:rPr>
        <w:t>3.3.6-1</w:t>
        <w:tab/>
        <w:t>2,6-</w:t>
      </w:r>
      <w:r>
        <w:rPr>
          <w:b/>
          <w:sz w:val="24"/>
        </w:rPr>
        <w:t>二甲基苯胺、</w:t>
      </w:r>
      <w:r>
        <w:rPr>
          <w:rFonts w:ascii="Times New Roman" w:eastAsia="Times New Roman"/>
          <w:b/>
          <w:sz w:val="24"/>
        </w:rPr>
        <w:t>2,4-</w:t>
      </w:r>
      <w:r>
        <w:rPr>
          <w:b/>
          <w:sz w:val="24"/>
        </w:rPr>
        <w:t>二甲基苯胺达产原辅材料消耗</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5"/>
        <w:gridCol w:w="4028"/>
        <w:gridCol w:w="1841"/>
        <w:gridCol w:w="2295"/>
      </w:tblGrid>
      <w:tr>
        <w:trPr>
          <w:trHeight w:val="273" w:hRule="atLeast"/>
        </w:trPr>
        <w:tc>
          <w:tcPr>
            <w:tcW w:w="965" w:type="dxa"/>
          </w:tcPr>
          <w:p>
            <w:pPr>
              <w:pStyle w:val="TableParagraph"/>
              <w:spacing w:line="252" w:lineRule="exact" w:before="1"/>
              <w:ind w:left="271"/>
              <w:jc w:val="left"/>
              <w:rPr>
                <w:b/>
                <w:sz w:val="21"/>
              </w:rPr>
            </w:pPr>
            <w:r>
              <w:rPr>
                <w:b/>
                <w:sz w:val="21"/>
              </w:rPr>
              <w:t>序号</w:t>
            </w:r>
          </w:p>
        </w:tc>
        <w:tc>
          <w:tcPr>
            <w:tcW w:w="4028" w:type="dxa"/>
          </w:tcPr>
          <w:p>
            <w:pPr>
              <w:pStyle w:val="TableParagraph"/>
              <w:spacing w:line="252" w:lineRule="exact" w:before="1"/>
              <w:ind w:left="1571" w:right="1562"/>
              <w:rPr>
                <w:b/>
                <w:sz w:val="21"/>
              </w:rPr>
            </w:pPr>
            <w:r>
              <w:rPr>
                <w:b/>
                <w:sz w:val="21"/>
              </w:rPr>
              <w:t>名称</w:t>
            </w:r>
          </w:p>
        </w:tc>
        <w:tc>
          <w:tcPr>
            <w:tcW w:w="1841" w:type="dxa"/>
          </w:tcPr>
          <w:p>
            <w:pPr>
              <w:pStyle w:val="TableParagraph"/>
              <w:spacing w:line="252" w:lineRule="exact" w:before="1"/>
              <w:ind w:left="537"/>
              <w:jc w:val="left"/>
              <w:rPr>
                <w:rFonts w:ascii="Times New Roman" w:eastAsia="Times New Roman"/>
                <w:b/>
                <w:sz w:val="21"/>
              </w:rPr>
            </w:pPr>
            <w:r>
              <w:rPr>
                <w:b/>
                <w:sz w:val="21"/>
              </w:rPr>
              <w:t>单耗</w:t>
            </w:r>
            <w:r>
              <w:rPr>
                <w:rFonts w:ascii="Times New Roman" w:eastAsia="Times New Roman"/>
                <w:b/>
                <w:sz w:val="21"/>
              </w:rPr>
              <w:t>(t/t)</w:t>
            </w:r>
          </w:p>
        </w:tc>
        <w:tc>
          <w:tcPr>
            <w:tcW w:w="2295" w:type="dxa"/>
          </w:tcPr>
          <w:p>
            <w:pPr>
              <w:pStyle w:val="TableParagraph"/>
              <w:spacing w:line="252" w:lineRule="exact" w:before="1"/>
              <w:ind w:left="501"/>
              <w:jc w:val="left"/>
              <w:rPr>
                <w:rFonts w:ascii="Times New Roman" w:eastAsia="Times New Roman"/>
                <w:b/>
                <w:sz w:val="21"/>
              </w:rPr>
            </w:pPr>
            <w:r>
              <w:rPr>
                <w:b/>
                <w:sz w:val="21"/>
              </w:rPr>
              <w:t>设计消耗量</w:t>
            </w:r>
            <w:r>
              <w:rPr>
                <w:rFonts w:ascii="Times New Roman" w:eastAsia="Times New Roman"/>
                <w:b/>
                <w:sz w:val="21"/>
              </w:rPr>
              <w:t>t/a</w:t>
            </w:r>
          </w:p>
        </w:tc>
      </w:tr>
      <w:tr>
        <w:trPr>
          <w:trHeight w:val="270" w:hRule="atLeast"/>
        </w:trPr>
        <w:tc>
          <w:tcPr>
            <w:tcW w:w="965" w:type="dxa"/>
          </w:tcPr>
          <w:p>
            <w:pPr>
              <w:pStyle w:val="TableParagraph"/>
              <w:jc w:val="left"/>
              <w:rPr>
                <w:rFonts w:ascii="Times New Roman"/>
                <w:sz w:val="20"/>
              </w:rPr>
            </w:pPr>
          </w:p>
        </w:tc>
        <w:tc>
          <w:tcPr>
            <w:tcW w:w="4028" w:type="dxa"/>
          </w:tcPr>
          <w:p>
            <w:pPr>
              <w:pStyle w:val="TableParagraph"/>
              <w:spacing w:line="250" w:lineRule="exact" w:before="1"/>
              <w:ind w:left="1571" w:right="1562"/>
              <w:rPr>
                <w:b/>
                <w:sz w:val="21"/>
              </w:rPr>
            </w:pPr>
            <w:r>
              <w:rPr>
                <w:b/>
                <w:color w:val="FF0000"/>
                <w:sz w:val="21"/>
              </w:rPr>
              <w:t>涉密删除</w:t>
            </w:r>
          </w:p>
        </w:tc>
        <w:tc>
          <w:tcPr>
            <w:tcW w:w="1841" w:type="dxa"/>
          </w:tcPr>
          <w:p>
            <w:pPr>
              <w:pStyle w:val="TableParagraph"/>
              <w:jc w:val="left"/>
              <w:rPr>
                <w:rFonts w:ascii="Times New Roman"/>
                <w:sz w:val="20"/>
              </w:rPr>
            </w:pPr>
          </w:p>
        </w:tc>
        <w:tc>
          <w:tcPr>
            <w:tcW w:w="2295" w:type="dxa"/>
          </w:tcPr>
          <w:p>
            <w:pPr>
              <w:pStyle w:val="TableParagraph"/>
              <w:jc w:val="left"/>
              <w:rPr>
                <w:rFonts w:ascii="Times New Roman"/>
                <w:sz w:val="20"/>
              </w:rPr>
            </w:pPr>
          </w:p>
        </w:tc>
      </w:tr>
      <w:tr>
        <w:trPr>
          <w:trHeight w:val="241" w:hRule="atLeast"/>
        </w:trPr>
        <w:tc>
          <w:tcPr>
            <w:tcW w:w="965" w:type="dxa"/>
          </w:tcPr>
          <w:p>
            <w:pPr>
              <w:pStyle w:val="TableParagraph"/>
              <w:jc w:val="left"/>
              <w:rPr>
                <w:rFonts w:ascii="Times New Roman"/>
                <w:sz w:val="16"/>
              </w:rPr>
            </w:pPr>
          </w:p>
        </w:tc>
        <w:tc>
          <w:tcPr>
            <w:tcW w:w="4028" w:type="dxa"/>
          </w:tcPr>
          <w:p>
            <w:pPr>
              <w:pStyle w:val="TableParagraph"/>
              <w:jc w:val="left"/>
              <w:rPr>
                <w:rFonts w:ascii="Times New Roman"/>
                <w:sz w:val="16"/>
              </w:rPr>
            </w:pPr>
          </w:p>
        </w:tc>
        <w:tc>
          <w:tcPr>
            <w:tcW w:w="1841" w:type="dxa"/>
          </w:tcPr>
          <w:p>
            <w:pPr>
              <w:pStyle w:val="TableParagraph"/>
              <w:jc w:val="left"/>
              <w:rPr>
                <w:rFonts w:ascii="Times New Roman"/>
                <w:sz w:val="16"/>
              </w:rPr>
            </w:pPr>
          </w:p>
        </w:tc>
        <w:tc>
          <w:tcPr>
            <w:tcW w:w="2295" w:type="dxa"/>
          </w:tcPr>
          <w:p>
            <w:pPr>
              <w:pStyle w:val="TableParagraph"/>
              <w:jc w:val="left"/>
              <w:rPr>
                <w:rFonts w:ascii="Times New Roman"/>
                <w:sz w:val="16"/>
              </w:rPr>
            </w:pPr>
          </w:p>
        </w:tc>
      </w:tr>
      <w:tr>
        <w:trPr>
          <w:trHeight w:val="242" w:hRule="atLeast"/>
        </w:trPr>
        <w:tc>
          <w:tcPr>
            <w:tcW w:w="965" w:type="dxa"/>
          </w:tcPr>
          <w:p>
            <w:pPr>
              <w:pStyle w:val="TableParagraph"/>
              <w:jc w:val="left"/>
              <w:rPr>
                <w:rFonts w:ascii="Times New Roman"/>
                <w:sz w:val="16"/>
              </w:rPr>
            </w:pPr>
          </w:p>
        </w:tc>
        <w:tc>
          <w:tcPr>
            <w:tcW w:w="4028" w:type="dxa"/>
          </w:tcPr>
          <w:p>
            <w:pPr>
              <w:pStyle w:val="TableParagraph"/>
              <w:jc w:val="left"/>
              <w:rPr>
                <w:rFonts w:ascii="Times New Roman"/>
                <w:sz w:val="16"/>
              </w:rPr>
            </w:pPr>
          </w:p>
        </w:tc>
        <w:tc>
          <w:tcPr>
            <w:tcW w:w="1841" w:type="dxa"/>
          </w:tcPr>
          <w:p>
            <w:pPr>
              <w:pStyle w:val="TableParagraph"/>
              <w:jc w:val="left"/>
              <w:rPr>
                <w:rFonts w:ascii="Times New Roman"/>
                <w:sz w:val="16"/>
              </w:rPr>
            </w:pPr>
          </w:p>
        </w:tc>
        <w:tc>
          <w:tcPr>
            <w:tcW w:w="2295" w:type="dxa"/>
          </w:tcPr>
          <w:p>
            <w:pPr>
              <w:pStyle w:val="TableParagraph"/>
              <w:jc w:val="left"/>
              <w:rPr>
                <w:rFonts w:ascii="Times New Roman"/>
                <w:sz w:val="16"/>
              </w:rPr>
            </w:pPr>
          </w:p>
        </w:tc>
      </w:tr>
      <w:tr>
        <w:trPr>
          <w:trHeight w:val="241" w:hRule="atLeast"/>
        </w:trPr>
        <w:tc>
          <w:tcPr>
            <w:tcW w:w="965" w:type="dxa"/>
          </w:tcPr>
          <w:p>
            <w:pPr>
              <w:pStyle w:val="TableParagraph"/>
              <w:jc w:val="left"/>
              <w:rPr>
                <w:rFonts w:ascii="Times New Roman"/>
                <w:sz w:val="16"/>
              </w:rPr>
            </w:pPr>
          </w:p>
        </w:tc>
        <w:tc>
          <w:tcPr>
            <w:tcW w:w="4028" w:type="dxa"/>
          </w:tcPr>
          <w:p>
            <w:pPr>
              <w:pStyle w:val="TableParagraph"/>
              <w:jc w:val="left"/>
              <w:rPr>
                <w:rFonts w:ascii="Times New Roman"/>
                <w:sz w:val="16"/>
              </w:rPr>
            </w:pPr>
          </w:p>
        </w:tc>
        <w:tc>
          <w:tcPr>
            <w:tcW w:w="1841" w:type="dxa"/>
          </w:tcPr>
          <w:p>
            <w:pPr>
              <w:pStyle w:val="TableParagraph"/>
              <w:jc w:val="left"/>
              <w:rPr>
                <w:rFonts w:ascii="Times New Roman"/>
                <w:sz w:val="16"/>
              </w:rPr>
            </w:pPr>
          </w:p>
        </w:tc>
        <w:tc>
          <w:tcPr>
            <w:tcW w:w="2295" w:type="dxa"/>
          </w:tcPr>
          <w:p>
            <w:pPr>
              <w:pStyle w:val="TableParagraph"/>
              <w:jc w:val="left"/>
              <w:rPr>
                <w:rFonts w:ascii="Times New Roman"/>
                <w:sz w:val="16"/>
              </w:rPr>
            </w:pPr>
          </w:p>
        </w:tc>
      </w:tr>
    </w:tbl>
    <w:p>
      <w:pPr>
        <w:pStyle w:val="ListParagraph"/>
        <w:numPr>
          <w:ilvl w:val="3"/>
          <w:numId w:val="13"/>
        </w:numPr>
        <w:tabs>
          <w:tab w:pos="1410" w:val="left" w:leader="none"/>
        </w:tabs>
        <w:spacing w:line="240" w:lineRule="auto" w:before="2" w:after="0"/>
        <w:ind w:left="1409" w:right="0" w:hanging="721"/>
        <w:jc w:val="left"/>
        <w:rPr>
          <w:b/>
          <w:sz w:val="24"/>
        </w:rPr>
      </w:pPr>
      <w:r>
        <w:rPr>
          <w:b/>
          <w:sz w:val="24"/>
        </w:rPr>
        <w:t>生产设备清单</w:t>
      </w:r>
    </w:p>
    <w:p>
      <w:pPr>
        <w:pStyle w:val="BodyText"/>
        <w:spacing w:line="364" w:lineRule="auto" w:before="158"/>
        <w:ind w:left="218" w:right="232" w:firstLine="480"/>
      </w:pPr>
      <w:r>
        <w:rPr>
          <w:spacing w:val="-6"/>
        </w:rPr>
        <w:t>对、邻异丙基苯胺、</w:t>
      </w:r>
      <w:r>
        <w:rPr>
          <w:rFonts w:ascii="Times New Roman" w:eastAsia="Times New Roman"/>
        </w:rPr>
        <w:t>2,4-</w:t>
      </w:r>
      <w:r>
        <w:rPr>
          <w:spacing w:val="-3"/>
        </w:rPr>
        <w:t>二甲基苯胺、</w:t>
      </w:r>
      <w:r>
        <w:rPr>
          <w:rFonts w:ascii="Times New Roman" w:eastAsia="Times New Roman"/>
        </w:rPr>
        <w:t>2,6-</w:t>
      </w:r>
      <w:r>
        <w:rPr>
          <w:spacing w:val="-9"/>
        </w:rPr>
        <w:t>二甲基苯胺与 </w:t>
      </w:r>
      <w:r>
        <w:rPr>
          <w:rFonts w:ascii="Times New Roman" w:eastAsia="Times New Roman"/>
        </w:rPr>
        <w:t>2,3-</w:t>
      </w:r>
      <w:r>
        <w:rPr>
          <w:spacing w:val="-2"/>
        </w:rPr>
        <w:t>二甲基苯胺共用装置生</w:t>
      </w:r>
      <w:r>
        <w:rPr>
          <w:spacing w:val="-9"/>
        </w:rPr>
        <w:t>产装置，详见 </w:t>
      </w:r>
      <w:r>
        <w:rPr>
          <w:rFonts w:ascii="Times New Roman" w:eastAsia="Times New Roman"/>
        </w:rPr>
        <w:t>Pg50 </w:t>
      </w:r>
      <w:r>
        <w:rPr>
          <w:spacing w:val="-30"/>
        </w:rPr>
        <w:t>表 </w:t>
      </w:r>
      <w:r>
        <w:rPr>
          <w:rFonts w:ascii="Times New Roman" w:eastAsia="Times New Roman"/>
        </w:rPr>
        <w:t>3.3.3-1</w:t>
      </w:r>
      <w:r>
        <w:rPr/>
        <w:t>。</w:t>
      </w:r>
    </w:p>
    <w:p>
      <w:pPr>
        <w:pStyle w:val="Heading4"/>
        <w:numPr>
          <w:ilvl w:val="3"/>
          <w:numId w:val="13"/>
        </w:numPr>
        <w:tabs>
          <w:tab w:pos="1410" w:val="left" w:leader="none"/>
        </w:tabs>
        <w:spacing w:line="307" w:lineRule="exact" w:before="0" w:after="0"/>
        <w:ind w:left="1409" w:right="0" w:hanging="721"/>
        <w:jc w:val="left"/>
      </w:pPr>
      <w:r>
        <w:rPr/>
        <w:t>生产工艺流程</w:t>
      </w:r>
    </w:p>
    <w:p>
      <w:pPr>
        <w:pStyle w:val="BodyText"/>
        <w:spacing w:before="161"/>
        <w:ind w:left="698"/>
      </w:pPr>
      <w:r>
        <w:rPr/>
        <w:t>1、生产工艺流程</w:t>
      </w:r>
    </w:p>
    <w:p>
      <w:pPr>
        <w:pStyle w:val="BodyText"/>
        <w:spacing w:before="158"/>
        <w:ind w:left="698"/>
      </w:pPr>
      <w:r>
        <w:rPr>
          <w:rFonts w:ascii="Times New Roman" w:eastAsia="Times New Roman"/>
        </w:rPr>
        <w:t>2,6-</w:t>
      </w:r>
      <w:r>
        <w:rPr/>
        <w:t>二甲基苯胺、</w:t>
      </w:r>
      <w:r>
        <w:rPr>
          <w:rFonts w:ascii="Times New Roman" w:eastAsia="Times New Roman"/>
        </w:rPr>
        <w:t>2,4-</w:t>
      </w:r>
      <w:r>
        <w:rPr/>
        <w:t>二甲基苯胺生产工艺一致，仅为原料不同。</w:t>
      </w:r>
    </w:p>
    <w:p>
      <w:pPr>
        <w:spacing w:before="159"/>
        <w:ind w:left="0" w:right="13" w:firstLine="0"/>
        <w:jc w:val="center"/>
        <w:rPr>
          <w:b/>
          <w:sz w:val="21"/>
        </w:rPr>
      </w:pPr>
      <w:r>
        <w:rPr>
          <w:b/>
          <w:color w:val="FF0000"/>
          <w:sz w:val="21"/>
        </w:rPr>
        <w:t>涉密删除</w:t>
      </w:r>
    </w:p>
    <w:p>
      <w:pPr>
        <w:pStyle w:val="Heading4"/>
        <w:tabs>
          <w:tab w:pos="1566" w:val="left" w:leader="none"/>
        </w:tabs>
        <w:spacing w:before="140"/>
        <w:ind w:left="344"/>
        <w:jc w:val="center"/>
      </w:pPr>
      <w:r>
        <w:rPr/>
        <w:t>图</w:t>
      </w:r>
      <w:r>
        <w:rPr>
          <w:spacing w:val="-60"/>
        </w:rPr>
        <w:t> </w:t>
      </w:r>
      <w:r>
        <w:rPr>
          <w:rFonts w:ascii="Times New Roman" w:eastAsia="Times New Roman"/>
        </w:rPr>
        <w:t>3.3.6-1</w:t>
        <w:tab/>
      </w:r>
      <w:r>
        <w:rPr/>
        <w:t>混硝分离工艺流程产污环节图</w:t>
      </w:r>
    </w:p>
    <w:p>
      <w:pPr>
        <w:spacing w:after="0"/>
        <w:jc w:val="center"/>
        <w:sectPr>
          <w:pgSz w:w="11910" w:h="16850"/>
          <w:pgMar w:header="730" w:footer="690" w:top="1340" w:bottom="880" w:left="1200" w:right="11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8"/>
        </w:rPr>
      </w:pPr>
    </w:p>
    <w:p>
      <w:pPr>
        <w:spacing w:before="0"/>
        <w:ind w:left="317" w:right="16" w:firstLine="0"/>
        <w:jc w:val="center"/>
        <w:rPr>
          <w:b/>
          <w:sz w:val="21"/>
        </w:rPr>
      </w:pPr>
      <w:r>
        <w:rPr>
          <w:b/>
          <w:color w:val="FF0000"/>
          <w:sz w:val="21"/>
        </w:rPr>
        <w:t>涉密删除</w:t>
      </w:r>
    </w:p>
    <w:p>
      <w:pPr>
        <w:pStyle w:val="Heading4"/>
        <w:tabs>
          <w:tab w:pos="1564" w:val="left" w:leader="none"/>
        </w:tabs>
        <w:spacing w:before="143"/>
        <w:ind w:left="343"/>
        <w:jc w:val="center"/>
      </w:pPr>
      <w:r>
        <w:rPr/>
        <w:t>图</w:t>
      </w:r>
      <w:r>
        <w:rPr>
          <w:spacing w:val="-60"/>
        </w:rPr>
        <w:t> </w:t>
      </w:r>
      <w:r>
        <w:rPr>
          <w:rFonts w:ascii="Times New Roman" w:eastAsia="Times New Roman"/>
        </w:rPr>
        <w:t>3.3.6-2</w:t>
        <w:tab/>
        <w:t>2,6-</w:t>
      </w:r>
      <w:r>
        <w:rPr/>
        <w:t>二甲基苯胺或</w:t>
      </w:r>
      <w:r>
        <w:rPr>
          <w:spacing w:val="-58"/>
        </w:rPr>
        <w:t> </w:t>
      </w:r>
      <w:r>
        <w:rPr>
          <w:rFonts w:ascii="Times New Roman" w:eastAsia="Times New Roman"/>
        </w:rPr>
        <w:t>2,4-</w:t>
      </w:r>
      <w:r>
        <w:rPr/>
        <w:t>二甲基苯胺工艺流程产污环节图</w:t>
      </w:r>
    </w:p>
    <w:p>
      <w:pPr>
        <w:pStyle w:val="ListParagraph"/>
        <w:numPr>
          <w:ilvl w:val="3"/>
          <w:numId w:val="13"/>
        </w:numPr>
        <w:tabs>
          <w:tab w:pos="1410" w:val="left" w:leader="none"/>
        </w:tabs>
        <w:spacing w:line="240" w:lineRule="auto" w:before="158" w:after="0"/>
        <w:ind w:left="1409" w:right="0" w:hanging="721"/>
        <w:jc w:val="left"/>
        <w:rPr>
          <w:b/>
          <w:sz w:val="24"/>
        </w:rPr>
      </w:pPr>
      <w:r>
        <w:rPr>
          <w:b/>
          <w:sz w:val="24"/>
        </w:rPr>
        <w:t>污染物排放情况</w:t>
      </w:r>
    </w:p>
    <w:p>
      <w:pPr>
        <w:pStyle w:val="BodyText"/>
        <w:spacing w:before="160"/>
        <w:ind w:left="698"/>
      </w:pPr>
      <w:r>
        <w:rPr>
          <w:rFonts w:ascii="Times New Roman" w:eastAsia="Times New Roman"/>
        </w:rPr>
        <w:t>1</w:t>
      </w:r>
      <w:r>
        <w:rPr/>
        <w:t>、废水</w:t>
      </w:r>
    </w:p>
    <w:p>
      <w:pPr>
        <w:tabs>
          <w:tab w:pos="2572" w:val="left" w:leader="none"/>
        </w:tabs>
        <w:spacing w:line="475" w:lineRule="auto" w:before="159"/>
        <w:ind w:left="1351" w:right="146" w:hanging="653"/>
        <w:jc w:val="left"/>
        <w:rPr>
          <w:b/>
          <w:sz w:val="24"/>
        </w:rPr>
      </w:pPr>
      <w:r>
        <w:rPr/>
        <w:pict>
          <v:shape style="position:absolute;margin-left:70.463997pt;margin-top:55.229958pt;width:454.9pt;height:42.4pt;mso-position-horizontal-relative:page;mso-position-vertical-relative:paragraph;z-index:2516848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4"/>
                    <w:gridCol w:w="1637"/>
                    <w:gridCol w:w="1081"/>
                    <w:gridCol w:w="3743"/>
                  </w:tblGrid>
                  <w:tr>
                    <w:trPr>
                      <w:trHeight w:val="270" w:hRule="atLeast"/>
                    </w:trPr>
                    <w:tc>
                      <w:tcPr>
                        <w:tcW w:w="2624" w:type="dxa"/>
                      </w:tcPr>
                      <w:p>
                        <w:pPr>
                          <w:pStyle w:val="TableParagraph"/>
                          <w:spacing w:line="250" w:lineRule="exact" w:before="1"/>
                          <w:ind w:left="870" w:right="859"/>
                          <w:rPr>
                            <w:b/>
                            <w:sz w:val="21"/>
                          </w:rPr>
                        </w:pPr>
                        <w:r>
                          <w:rPr>
                            <w:b/>
                            <w:sz w:val="21"/>
                          </w:rPr>
                          <w:t>废水名称</w:t>
                        </w:r>
                      </w:p>
                    </w:tc>
                    <w:tc>
                      <w:tcPr>
                        <w:tcW w:w="1637" w:type="dxa"/>
                      </w:tcPr>
                      <w:p>
                        <w:pPr>
                          <w:pStyle w:val="TableParagraph"/>
                          <w:spacing w:line="250" w:lineRule="exact" w:before="1"/>
                          <w:ind w:left="395"/>
                          <w:jc w:val="left"/>
                          <w:rPr>
                            <w:b/>
                            <w:sz w:val="21"/>
                          </w:rPr>
                        </w:pPr>
                        <w:r>
                          <w:rPr>
                            <w:b/>
                            <w:sz w:val="21"/>
                          </w:rPr>
                          <w:t>污染因子</w:t>
                        </w:r>
                      </w:p>
                    </w:tc>
                    <w:tc>
                      <w:tcPr>
                        <w:tcW w:w="1081" w:type="dxa"/>
                      </w:tcPr>
                      <w:p>
                        <w:pPr>
                          <w:pStyle w:val="TableParagraph"/>
                          <w:spacing w:line="250" w:lineRule="exact" w:before="1"/>
                          <w:ind w:left="33" w:right="26"/>
                          <w:rPr>
                            <w:rFonts w:ascii="Times New Roman" w:eastAsia="Times New Roman"/>
                            <w:b/>
                            <w:sz w:val="21"/>
                          </w:rPr>
                        </w:pPr>
                        <w:r>
                          <w:rPr>
                            <w:b/>
                            <w:sz w:val="21"/>
                          </w:rPr>
                          <w:t>废水量 </w:t>
                        </w:r>
                        <w:r>
                          <w:rPr>
                            <w:rFonts w:ascii="Times New Roman" w:eastAsia="Times New Roman"/>
                            <w:b/>
                            <w:sz w:val="21"/>
                          </w:rPr>
                          <w:t>t/a</w:t>
                        </w:r>
                      </w:p>
                    </w:tc>
                    <w:tc>
                      <w:tcPr>
                        <w:tcW w:w="3743" w:type="dxa"/>
                      </w:tcPr>
                      <w:p>
                        <w:pPr>
                          <w:pStyle w:val="TableParagraph"/>
                          <w:spacing w:line="250" w:lineRule="exact" w:before="1"/>
                          <w:ind w:left="1637" w:right="1634"/>
                          <w:rPr>
                            <w:b/>
                            <w:sz w:val="21"/>
                          </w:rPr>
                        </w:pPr>
                        <w:r>
                          <w:rPr>
                            <w:b/>
                            <w:sz w:val="21"/>
                          </w:rPr>
                          <w:t>去向</w:t>
                        </w:r>
                      </w:p>
                    </w:tc>
                  </w:tr>
                  <w:tr>
                    <w:trPr>
                      <w:trHeight w:val="547" w:hRule="atLeast"/>
                    </w:trPr>
                    <w:tc>
                      <w:tcPr>
                        <w:tcW w:w="2624" w:type="dxa"/>
                      </w:tcPr>
                      <w:p>
                        <w:pPr>
                          <w:pStyle w:val="TableParagraph"/>
                          <w:spacing w:line="270" w:lineRule="atLeast" w:before="2"/>
                          <w:ind w:left="1101" w:right="39" w:hanging="1052"/>
                          <w:jc w:val="left"/>
                          <w:rPr>
                            <w:sz w:val="21"/>
                          </w:rPr>
                        </w:pPr>
                        <w:r>
                          <w:rPr>
                            <w:sz w:val="21"/>
                          </w:rPr>
                          <w:t>工艺废水、清洗水及真空泵废水</w:t>
                        </w:r>
                      </w:p>
                    </w:tc>
                    <w:tc>
                      <w:tcPr>
                        <w:tcW w:w="1637" w:type="dxa"/>
                      </w:tcPr>
                      <w:p>
                        <w:pPr>
                          <w:pStyle w:val="TableParagraph"/>
                          <w:spacing w:line="270" w:lineRule="atLeast" w:before="2"/>
                          <w:ind w:left="395" w:right="98" w:hanging="392"/>
                          <w:jc w:val="left"/>
                          <w:rPr>
                            <w:sz w:val="21"/>
                          </w:rPr>
                        </w:pPr>
                        <w:r>
                          <w:rPr>
                            <w:rFonts w:ascii="Times New Roman" w:eastAsia="Times New Roman"/>
                            <w:sz w:val="21"/>
                          </w:rPr>
                          <w:t>COD</w:t>
                        </w:r>
                        <w:r>
                          <w:rPr>
                            <w:spacing w:val="-35"/>
                            <w:sz w:val="21"/>
                          </w:rPr>
                          <w:t>、氨氮、总氮</w:t>
                        </w:r>
                        <w:r>
                          <w:rPr>
                            <w:spacing w:val="-1"/>
                            <w:sz w:val="21"/>
                          </w:rPr>
                          <w:t>硝基苯类</w:t>
                        </w:r>
                      </w:p>
                    </w:tc>
                    <w:tc>
                      <w:tcPr>
                        <w:tcW w:w="1081" w:type="dxa"/>
                      </w:tcPr>
                      <w:p>
                        <w:pPr>
                          <w:pStyle w:val="TableParagraph"/>
                          <w:spacing w:before="152"/>
                          <w:ind w:left="33" w:right="26"/>
                          <w:rPr>
                            <w:rFonts w:ascii="Times New Roman"/>
                            <w:sz w:val="21"/>
                          </w:rPr>
                        </w:pPr>
                        <w:r>
                          <w:rPr>
                            <w:rFonts w:ascii="Times New Roman"/>
                            <w:sz w:val="21"/>
                          </w:rPr>
                          <w:t>5535</w:t>
                        </w:r>
                      </w:p>
                    </w:tc>
                    <w:tc>
                      <w:tcPr>
                        <w:tcW w:w="3743" w:type="dxa"/>
                      </w:tcPr>
                      <w:p>
                        <w:pPr>
                          <w:pStyle w:val="TableParagraph"/>
                          <w:spacing w:line="270" w:lineRule="atLeast" w:before="2"/>
                          <w:ind w:left="1762" w:right="74" w:hanging="1680"/>
                          <w:jc w:val="left"/>
                          <w:rPr>
                            <w:sz w:val="21"/>
                          </w:rPr>
                        </w:pPr>
                        <w:r>
                          <w:rPr>
                            <w:sz w:val="21"/>
                          </w:rPr>
                          <w:t>收集后进入厂区污水处理站处理达标纳管</w:t>
                        </w:r>
                      </w:p>
                    </w:tc>
                  </w:tr>
                </w:tbl>
                <w:p>
                  <w:pPr>
                    <w:pStyle w:val="BodyText"/>
                  </w:pPr>
                </w:p>
              </w:txbxContent>
            </v:textbox>
            <w10:wrap type="none"/>
          </v:shape>
        </w:pict>
      </w:r>
      <w:r>
        <w:rPr>
          <w:sz w:val="24"/>
        </w:rPr>
        <w:t>根据原有环评，</w:t>
      </w:r>
      <w:r>
        <w:rPr>
          <w:rFonts w:ascii="Times New Roman" w:eastAsia="Times New Roman"/>
          <w:sz w:val="24"/>
        </w:rPr>
        <w:t>2,6-</w:t>
      </w:r>
      <w:r>
        <w:rPr>
          <w:sz w:val="24"/>
        </w:rPr>
        <w:t>二甲基苯胺、</w:t>
      </w:r>
      <w:r>
        <w:rPr>
          <w:rFonts w:ascii="Times New Roman" w:eastAsia="Times New Roman"/>
          <w:sz w:val="24"/>
        </w:rPr>
        <w:t>2,4-</w:t>
      </w:r>
      <w:r>
        <w:rPr>
          <w:sz w:val="24"/>
        </w:rPr>
        <w:t>二甲基苯胺产品废水排放及处置情况见下表</w:t>
      </w:r>
      <w:r>
        <w:rPr>
          <w:spacing w:val="-15"/>
          <w:sz w:val="24"/>
        </w:rPr>
        <w:t>。</w:t>
      </w:r>
      <w:r>
        <w:rPr>
          <w:b/>
          <w:sz w:val="24"/>
        </w:rPr>
        <w:t>表</w:t>
      </w:r>
      <w:r>
        <w:rPr>
          <w:b/>
          <w:spacing w:val="-60"/>
          <w:sz w:val="24"/>
        </w:rPr>
        <w:t> </w:t>
      </w:r>
      <w:r>
        <w:rPr>
          <w:rFonts w:ascii="Times New Roman" w:eastAsia="Times New Roman"/>
          <w:b/>
          <w:sz w:val="24"/>
        </w:rPr>
        <w:t>3.3.6-2</w:t>
        <w:tab/>
        <w:t>2,6-</w:t>
      </w:r>
      <w:r>
        <w:rPr>
          <w:b/>
          <w:sz w:val="24"/>
        </w:rPr>
        <w:t>二甲基苯胺</w:t>
      </w:r>
      <w:r>
        <w:rPr>
          <w:b/>
          <w:spacing w:val="3"/>
          <w:sz w:val="24"/>
        </w:rPr>
        <w:t>、</w:t>
      </w:r>
      <w:r>
        <w:rPr>
          <w:rFonts w:ascii="Times New Roman" w:eastAsia="Times New Roman"/>
          <w:b/>
          <w:sz w:val="24"/>
        </w:rPr>
        <w:t>2,4-</w:t>
      </w:r>
      <w:r>
        <w:rPr>
          <w:b/>
          <w:sz w:val="24"/>
        </w:rPr>
        <w:t>二甲基苯胺废水产生及处置情况</w:t>
      </w:r>
    </w:p>
    <w:p>
      <w:pPr>
        <w:pStyle w:val="BodyText"/>
        <w:rPr>
          <w:b/>
          <w:sz w:val="26"/>
        </w:rPr>
      </w:pPr>
    </w:p>
    <w:p>
      <w:pPr>
        <w:pStyle w:val="BodyText"/>
        <w:spacing w:before="1"/>
        <w:rPr>
          <w:b/>
          <w:sz w:val="19"/>
        </w:rPr>
      </w:pPr>
    </w:p>
    <w:p>
      <w:pPr>
        <w:pStyle w:val="BodyText"/>
        <w:ind w:left="698"/>
      </w:pPr>
      <w:r>
        <w:rPr>
          <w:rFonts w:ascii="Times New Roman" w:eastAsia="Times New Roman"/>
        </w:rPr>
        <w:t>2</w:t>
      </w:r>
      <w:r>
        <w:rPr/>
        <w:t>、废气</w:t>
      </w:r>
    </w:p>
    <w:p>
      <w:pPr>
        <w:pStyle w:val="BodyText"/>
        <w:spacing w:line="364" w:lineRule="auto" w:before="158"/>
        <w:ind w:left="218" w:right="152" w:firstLine="480"/>
      </w:pPr>
      <w:r>
        <w:rPr/>
        <w:t>根据原有环评，</w:t>
      </w:r>
      <w:r>
        <w:rPr>
          <w:rFonts w:ascii="Times New Roman" w:eastAsia="Times New Roman"/>
        </w:rPr>
        <w:t>2,6-</w:t>
      </w:r>
      <w:r>
        <w:rPr/>
        <w:t>二甲基苯胺、</w:t>
      </w:r>
      <w:r>
        <w:rPr>
          <w:rFonts w:ascii="Times New Roman" w:eastAsia="Times New Roman"/>
        </w:rPr>
        <w:t>2,4-</w:t>
      </w:r>
      <w:r>
        <w:rPr/>
        <w:t>二甲基苯胺生产装置废气排放及处置情况见下表。</w:t>
      </w:r>
    </w:p>
    <w:p>
      <w:pPr>
        <w:pStyle w:val="Heading4"/>
        <w:tabs>
          <w:tab w:pos="1730" w:val="left" w:leader="none"/>
        </w:tabs>
        <w:spacing w:before="141" w:after="28"/>
        <w:ind w:left="509"/>
      </w:pPr>
      <w:r>
        <w:rPr/>
        <w:t>表</w:t>
      </w:r>
      <w:r>
        <w:rPr>
          <w:spacing w:val="-60"/>
        </w:rPr>
        <w:t> </w:t>
      </w:r>
      <w:r>
        <w:rPr>
          <w:rFonts w:ascii="Times New Roman" w:eastAsia="Times New Roman"/>
        </w:rPr>
        <w:t>3.3.6-3</w:t>
        <w:tab/>
        <w:t>2,6-</w:t>
      </w:r>
      <w:r>
        <w:rPr/>
        <w:t>二甲基苯胺、</w:t>
      </w:r>
      <w:r>
        <w:rPr>
          <w:rFonts w:ascii="Times New Roman" w:eastAsia="Times New Roman"/>
        </w:rPr>
        <w:t>2,4-</w:t>
      </w:r>
      <w:r>
        <w:rPr/>
        <w:t>二甲基苯胺装置废气污染物的产生及排放情况表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1"/>
        <w:gridCol w:w="2348"/>
        <w:gridCol w:w="4544"/>
      </w:tblGrid>
      <w:tr>
        <w:trPr>
          <w:trHeight w:val="285" w:hRule="atLeast"/>
        </w:trPr>
        <w:tc>
          <w:tcPr>
            <w:tcW w:w="2191" w:type="dxa"/>
          </w:tcPr>
          <w:p>
            <w:pPr>
              <w:pStyle w:val="TableParagraph"/>
              <w:spacing w:line="257" w:lineRule="exact" w:before="8"/>
              <w:ind w:left="654" w:right="642"/>
              <w:rPr>
                <w:b/>
                <w:sz w:val="21"/>
              </w:rPr>
            </w:pPr>
            <w:r>
              <w:rPr>
                <w:b/>
                <w:sz w:val="21"/>
              </w:rPr>
              <w:t>废气名称</w:t>
            </w:r>
          </w:p>
        </w:tc>
        <w:tc>
          <w:tcPr>
            <w:tcW w:w="2348" w:type="dxa"/>
          </w:tcPr>
          <w:p>
            <w:pPr>
              <w:pStyle w:val="TableParagraph"/>
              <w:spacing w:line="257" w:lineRule="exact" w:before="8"/>
              <w:ind w:left="668" w:right="658"/>
              <w:rPr>
                <w:rFonts w:ascii="Times New Roman" w:eastAsia="Times New Roman"/>
                <w:b/>
                <w:sz w:val="21"/>
              </w:rPr>
            </w:pPr>
            <w:r>
              <w:rPr>
                <w:b/>
                <w:sz w:val="21"/>
              </w:rPr>
              <w:t>排放量 </w:t>
            </w:r>
            <w:r>
              <w:rPr>
                <w:rFonts w:ascii="Times New Roman" w:eastAsia="Times New Roman"/>
                <w:b/>
                <w:sz w:val="21"/>
              </w:rPr>
              <w:t>t/a</w:t>
            </w:r>
          </w:p>
        </w:tc>
        <w:tc>
          <w:tcPr>
            <w:tcW w:w="4544" w:type="dxa"/>
          </w:tcPr>
          <w:p>
            <w:pPr>
              <w:pStyle w:val="TableParagraph"/>
              <w:spacing w:line="257" w:lineRule="exact" w:before="8"/>
              <w:ind w:left="1512" w:right="1505"/>
              <w:rPr>
                <w:b/>
                <w:sz w:val="21"/>
              </w:rPr>
            </w:pPr>
            <w:r>
              <w:rPr>
                <w:b/>
                <w:sz w:val="21"/>
              </w:rPr>
              <w:t>处置措施及去向</w:t>
            </w:r>
          </w:p>
        </w:tc>
      </w:tr>
      <w:tr>
        <w:trPr>
          <w:trHeight w:val="282" w:hRule="atLeast"/>
        </w:trPr>
        <w:tc>
          <w:tcPr>
            <w:tcW w:w="2191" w:type="dxa"/>
          </w:tcPr>
          <w:p>
            <w:pPr>
              <w:pStyle w:val="TableParagraph"/>
              <w:spacing w:line="257" w:lineRule="exact" w:before="5"/>
              <w:ind w:left="654" w:right="642"/>
              <w:rPr>
                <w:sz w:val="21"/>
              </w:rPr>
            </w:pPr>
            <w:r>
              <w:rPr>
                <w:sz w:val="21"/>
              </w:rPr>
              <w:t>硝基苯</w:t>
            </w:r>
          </w:p>
        </w:tc>
        <w:tc>
          <w:tcPr>
            <w:tcW w:w="2348" w:type="dxa"/>
          </w:tcPr>
          <w:p>
            <w:pPr>
              <w:pStyle w:val="TableParagraph"/>
              <w:spacing w:before="19"/>
              <w:ind w:left="668" w:right="658"/>
              <w:rPr>
                <w:rFonts w:ascii="Times New Roman"/>
                <w:sz w:val="21"/>
              </w:rPr>
            </w:pPr>
            <w:r>
              <w:rPr>
                <w:rFonts w:ascii="Times New Roman"/>
                <w:sz w:val="21"/>
              </w:rPr>
              <w:t>0.005</w:t>
            </w:r>
          </w:p>
        </w:tc>
        <w:tc>
          <w:tcPr>
            <w:tcW w:w="4544" w:type="dxa"/>
            <w:vMerge w:val="restart"/>
          </w:tcPr>
          <w:p>
            <w:pPr>
              <w:pStyle w:val="TableParagraph"/>
              <w:spacing w:before="154"/>
              <w:ind w:left="66"/>
              <w:jc w:val="left"/>
              <w:rPr>
                <w:sz w:val="21"/>
              </w:rPr>
            </w:pPr>
            <w:r>
              <w:rPr>
                <w:sz w:val="21"/>
              </w:rPr>
              <w:t>拟采用冷凝</w:t>
            </w:r>
            <w:r>
              <w:rPr>
                <w:rFonts w:ascii="Times New Roman" w:eastAsia="Times New Roman"/>
                <w:sz w:val="21"/>
              </w:rPr>
              <w:t>+ 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四级碱吸收</w:t>
            </w:r>
          </w:p>
        </w:tc>
      </w:tr>
      <w:tr>
        <w:trPr>
          <w:trHeight w:val="285" w:hRule="atLeast"/>
        </w:trPr>
        <w:tc>
          <w:tcPr>
            <w:tcW w:w="2191" w:type="dxa"/>
          </w:tcPr>
          <w:p>
            <w:pPr>
              <w:pStyle w:val="TableParagraph"/>
              <w:spacing w:line="257" w:lineRule="exact" w:before="8"/>
              <w:ind w:left="654" w:right="642"/>
              <w:rPr>
                <w:sz w:val="21"/>
              </w:rPr>
            </w:pPr>
            <w:r>
              <w:rPr>
                <w:sz w:val="21"/>
              </w:rPr>
              <w:t>苯胺</w:t>
            </w:r>
          </w:p>
        </w:tc>
        <w:tc>
          <w:tcPr>
            <w:tcW w:w="2348" w:type="dxa"/>
          </w:tcPr>
          <w:p>
            <w:pPr>
              <w:pStyle w:val="TableParagraph"/>
              <w:spacing w:before="22"/>
              <w:ind w:left="668" w:right="658"/>
              <w:rPr>
                <w:rFonts w:ascii="Times New Roman"/>
                <w:sz w:val="21"/>
              </w:rPr>
            </w:pPr>
            <w:r>
              <w:rPr>
                <w:rFonts w:ascii="Times New Roman"/>
                <w:sz w:val="21"/>
              </w:rPr>
              <w:t>0.01</w:t>
            </w:r>
          </w:p>
        </w:tc>
        <w:tc>
          <w:tcPr>
            <w:tcW w:w="4544" w:type="dxa"/>
            <w:vMerge/>
            <w:tcBorders>
              <w:top w:val="nil"/>
            </w:tcBorders>
          </w:tcPr>
          <w:p>
            <w:pPr>
              <w:rPr>
                <w:sz w:val="2"/>
                <w:szCs w:val="2"/>
              </w:rPr>
            </w:pPr>
          </w:p>
        </w:tc>
      </w:tr>
    </w:tbl>
    <w:p>
      <w:pPr>
        <w:spacing w:after="0"/>
        <w:rPr>
          <w:sz w:val="2"/>
          <w:szCs w:val="2"/>
        </w:rPr>
        <w:sectPr>
          <w:pgSz w:w="11910" w:h="16850"/>
          <w:pgMar w:header="730" w:footer="690" w:top="1340" w:bottom="880" w:left="1200" w:right="1180"/>
        </w:sectPr>
      </w:pPr>
    </w:p>
    <w:p>
      <w:pPr>
        <w:pStyle w:val="BodyText"/>
        <w:spacing w:before="10"/>
        <w:rPr>
          <w:b/>
          <w:sz w:val="4"/>
        </w:rPr>
      </w:pP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1"/>
        <w:gridCol w:w="2348"/>
        <w:gridCol w:w="4544"/>
      </w:tblGrid>
      <w:tr>
        <w:trPr>
          <w:trHeight w:val="283" w:hRule="atLeast"/>
        </w:trPr>
        <w:tc>
          <w:tcPr>
            <w:tcW w:w="2191" w:type="dxa"/>
          </w:tcPr>
          <w:p>
            <w:pPr>
              <w:pStyle w:val="TableParagraph"/>
              <w:spacing w:line="257" w:lineRule="exact" w:before="5"/>
              <w:ind w:left="654" w:right="642"/>
              <w:rPr>
                <w:b/>
                <w:sz w:val="21"/>
              </w:rPr>
            </w:pPr>
            <w:r>
              <w:rPr>
                <w:b/>
                <w:sz w:val="21"/>
              </w:rPr>
              <w:t>废气名称</w:t>
            </w:r>
          </w:p>
        </w:tc>
        <w:tc>
          <w:tcPr>
            <w:tcW w:w="2348" w:type="dxa"/>
          </w:tcPr>
          <w:p>
            <w:pPr>
              <w:pStyle w:val="TableParagraph"/>
              <w:spacing w:line="257" w:lineRule="exact" w:before="5"/>
              <w:ind w:left="668" w:right="658"/>
              <w:rPr>
                <w:rFonts w:ascii="Times New Roman" w:eastAsia="Times New Roman"/>
                <w:b/>
                <w:sz w:val="21"/>
              </w:rPr>
            </w:pPr>
            <w:r>
              <w:rPr>
                <w:b/>
                <w:sz w:val="21"/>
              </w:rPr>
              <w:t>排放量 </w:t>
            </w:r>
            <w:r>
              <w:rPr>
                <w:rFonts w:ascii="Times New Roman" w:eastAsia="Times New Roman"/>
                <w:b/>
                <w:sz w:val="21"/>
              </w:rPr>
              <w:t>t/a</w:t>
            </w:r>
          </w:p>
        </w:tc>
        <w:tc>
          <w:tcPr>
            <w:tcW w:w="4544" w:type="dxa"/>
          </w:tcPr>
          <w:p>
            <w:pPr>
              <w:pStyle w:val="TableParagraph"/>
              <w:spacing w:line="257" w:lineRule="exact" w:before="5"/>
              <w:ind w:left="1512" w:right="1505"/>
              <w:rPr>
                <w:b/>
                <w:sz w:val="21"/>
              </w:rPr>
            </w:pPr>
            <w:r>
              <w:rPr>
                <w:b/>
                <w:sz w:val="21"/>
              </w:rPr>
              <w:t>处置措施及去向</w:t>
            </w:r>
          </w:p>
        </w:tc>
      </w:tr>
      <w:tr>
        <w:trPr>
          <w:trHeight w:val="285" w:hRule="atLeast"/>
        </w:trPr>
        <w:tc>
          <w:tcPr>
            <w:tcW w:w="2191" w:type="dxa"/>
          </w:tcPr>
          <w:p>
            <w:pPr>
              <w:pStyle w:val="TableParagraph"/>
              <w:spacing w:line="257" w:lineRule="exact" w:before="8"/>
              <w:ind w:left="654" w:right="642"/>
              <w:rPr>
                <w:sz w:val="21"/>
              </w:rPr>
            </w:pPr>
            <w:r>
              <w:rPr>
                <w:sz w:val="21"/>
              </w:rPr>
              <w:t>甲醇</w:t>
            </w:r>
          </w:p>
        </w:tc>
        <w:tc>
          <w:tcPr>
            <w:tcW w:w="2348" w:type="dxa"/>
          </w:tcPr>
          <w:p>
            <w:pPr>
              <w:pStyle w:val="TableParagraph"/>
              <w:spacing w:before="22"/>
              <w:ind w:left="668" w:right="658"/>
              <w:rPr>
                <w:rFonts w:ascii="Times New Roman"/>
                <w:sz w:val="21"/>
              </w:rPr>
            </w:pPr>
            <w:r>
              <w:rPr>
                <w:rFonts w:ascii="Times New Roman"/>
                <w:sz w:val="21"/>
              </w:rPr>
              <w:t>0.01</w:t>
            </w:r>
          </w:p>
        </w:tc>
        <w:tc>
          <w:tcPr>
            <w:tcW w:w="4544" w:type="dxa"/>
          </w:tcPr>
          <w:p>
            <w:pPr>
              <w:pStyle w:val="TableParagraph"/>
              <w:jc w:val="left"/>
              <w:rPr>
                <w:rFonts w:ascii="Times New Roman"/>
                <w:sz w:val="20"/>
              </w:rPr>
            </w:pPr>
          </w:p>
        </w:tc>
      </w:tr>
    </w:tbl>
    <w:p>
      <w:pPr>
        <w:pStyle w:val="BodyText"/>
        <w:spacing w:before="2"/>
        <w:ind w:left="698"/>
      </w:pPr>
      <w:r>
        <w:rPr>
          <w:rFonts w:ascii="Times New Roman" w:eastAsia="Times New Roman"/>
        </w:rPr>
        <w:t>3</w:t>
      </w:r>
      <w:r>
        <w:rPr/>
        <w:t>、固废</w:t>
      </w:r>
    </w:p>
    <w:p>
      <w:pPr>
        <w:pStyle w:val="BodyText"/>
        <w:spacing w:before="161"/>
        <w:ind w:left="698"/>
      </w:pPr>
      <w:r>
        <w:rPr/>
        <w:t>根据原有环评，该生产线固废产生汇总情况见下表。</w:t>
      </w:r>
    </w:p>
    <w:p>
      <w:pPr>
        <w:pStyle w:val="BodyText"/>
        <w:spacing w:before="5"/>
        <w:rPr>
          <w:sz w:val="23"/>
        </w:rPr>
      </w:pPr>
    </w:p>
    <w:p>
      <w:pPr>
        <w:pStyle w:val="Heading4"/>
        <w:tabs>
          <w:tab w:pos="1222" w:val="left" w:leader="none"/>
          <w:tab w:pos="4596" w:val="left" w:leader="none"/>
        </w:tabs>
        <w:spacing w:after="29"/>
        <w:ind w:left="0" w:right="13"/>
        <w:jc w:val="center"/>
        <w:rPr>
          <w:rFonts w:ascii="Times New Roman" w:eastAsia="Times New Roman"/>
        </w:rPr>
      </w:pPr>
      <w:r>
        <w:rPr/>
        <w:t>表</w:t>
      </w:r>
      <w:r>
        <w:rPr>
          <w:spacing w:val="-60"/>
        </w:rPr>
        <w:t> </w:t>
      </w:r>
      <w:r>
        <w:rPr>
          <w:rFonts w:ascii="Times New Roman" w:eastAsia="Times New Roman"/>
        </w:rPr>
        <w:t>3.3.6-4</w:t>
        <w:tab/>
      </w:r>
      <w:r>
        <w:rPr/>
        <w:t>该生产线达产时工业固废情况</w:t>
        <w:tab/>
        <w:t>单位：</w:t>
      </w:r>
      <w:r>
        <w:rPr>
          <w:rFonts w:ascii="Times New Roman" w:eastAsia="Times New Roman"/>
        </w:rPr>
        <w:t>t/a</w:t>
      </w:r>
    </w:p>
    <w:tbl>
      <w:tblPr>
        <w:tblW w:w="0" w:type="auto"/>
        <w:jc w:val="left"/>
        <w:tblInd w:w="1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380"/>
        <w:gridCol w:w="1666"/>
        <w:gridCol w:w="1445"/>
        <w:gridCol w:w="1503"/>
        <w:gridCol w:w="3181"/>
      </w:tblGrid>
      <w:tr>
        <w:trPr>
          <w:trHeight w:val="283" w:hRule="atLeast"/>
        </w:trPr>
        <w:tc>
          <w:tcPr>
            <w:tcW w:w="1380" w:type="dxa"/>
          </w:tcPr>
          <w:p>
            <w:pPr>
              <w:pStyle w:val="TableParagraph"/>
              <w:spacing w:line="255" w:lineRule="exact" w:before="8"/>
              <w:ind w:left="249" w:right="242"/>
              <w:rPr>
                <w:b/>
                <w:sz w:val="21"/>
              </w:rPr>
            </w:pPr>
            <w:r>
              <w:rPr>
                <w:b/>
                <w:sz w:val="21"/>
              </w:rPr>
              <w:t>固废名称</w:t>
            </w:r>
          </w:p>
        </w:tc>
        <w:tc>
          <w:tcPr>
            <w:tcW w:w="1666" w:type="dxa"/>
            <w:tcBorders>
              <w:right w:val="single" w:sz="4" w:space="0" w:color="000000"/>
            </w:tcBorders>
          </w:tcPr>
          <w:p>
            <w:pPr>
              <w:pStyle w:val="TableParagraph"/>
              <w:spacing w:line="255" w:lineRule="exact" w:before="8"/>
              <w:ind w:left="179" w:right="173"/>
              <w:rPr>
                <w:b/>
                <w:sz w:val="21"/>
              </w:rPr>
            </w:pPr>
            <w:r>
              <w:rPr>
                <w:b/>
                <w:sz w:val="21"/>
              </w:rPr>
              <w:t>达产时产生量</w:t>
            </w:r>
          </w:p>
        </w:tc>
        <w:tc>
          <w:tcPr>
            <w:tcW w:w="1445" w:type="dxa"/>
            <w:tcBorders>
              <w:left w:val="single" w:sz="4" w:space="0" w:color="000000"/>
              <w:right w:val="single" w:sz="4" w:space="0" w:color="000000"/>
            </w:tcBorders>
          </w:tcPr>
          <w:p>
            <w:pPr>
              <w:pStyle w:val="TableParagraph"/>
              <w:spacing w:line="255" w:lineRule="exact" w:before="8"/>
              <w:ind w:left="277" w:right="273"/>
              <w:rPr>
                <w:b/>
                <w:sz w:val="21"/>
              </w:rPr>
            </w:pPr>
            <w:r>
              <w:rPr>
                <w:b/>
                <w:sz w:val="21"/>
              </w:rPr>
              <w:t>主要成分</w:t>
            </w:r>
          </w:p>
        </w:tc>
        <w:tc>
          <w:tcPr>
            <w:tcW w:w="1503" w:type="dxa"/>
            <w:tcBorders>
              <w:left w:val="single" w:sz="4" w:space="0" w:color="000000"/>
            </w:tcBorders>
          </w:tcPr>
          <w:p>
            <w:pPr>
              <w:pStyle w:val="TableParagraph"/>
              <w:spacing w:line="255" w:lineRule="exact" w:before="8"/>
              <w:ind w:left="306" w:right="305"/>
              <w:rPr>
                <w:b/>
                <w:sz w:val="21"/>
              </w:rPr>
            </w:pPr>
            <w:r>
              <w:rPr>
                <w:b/>
                <w:sz w:val="21"/>
              </w:rPr>
              <w:t>废物类型</w:t>
            </w:r>
          </w:p>
        </w:tc>
        <w:tc>
          <w:tcPr>
            <w:tcW w:w="3181" w:type="dxa"/>
          </w:tcPr>
          <w:p>
            <w:pPr>
              <w:pStyle w:val="TableParagraph"/>
              <w:spacing w:line="255" w:lineRule="exact" w:before="8"/>
              <w:ind w:left="621" w:right="621"/>
              <w:rPr>
                <w:b/>
                <w:sz w:val="21"/>
              </w:rPr>
            </w:pPr>
            <w:r>
              <w:rPr>
                <w:b/>
                <w:sz w:val="21"/>
              </w:rPr>
              <w:t>处理措施</w:t>
            </w:r>
          </w:p>
        </w:tc>
      </w:tr>
      <w:tr>
        <w:trPr>
          <w:trHeight w:val="285" w:hRule="atLeast"/>
        </w:trPr>
        <w:tc>
          <w:tcPr>
            <w:tcW w:w="1380" w:type="dxa"/>
            <w:tcBorders>
              <w:bottom w:val="single" w:sz="4" w:space="0" w:color="000000"/>
            </w:tcBorders>
          </w:tcPr>
          <w:p>
            <w:pPr>
              <w:pStyle w:val="TableParagraph"/>
              <w:spacing w:line="257" w:lineRule="exact" w:before="8"/>
              <w:ind w:left="246" w:right="242"/>
              <w:rPr>
                <w:sz w:val="21"/>
              </w:rPr>
            </w:pPr>
            <w:r>
              <w:rPr>
                <w:sz w:val="21"/>
              </w:rPr>
              <w:t>精馏残液</w:t>
            </w:r>
          </w:p>
        </w:tc>
        <w:tc>
          <w:tcPr>
            <w:tcW w:w="1666" w:type="dxa"/>
            <w:tcBorders>
              <w:bottom w:val="single" w:sz="4" w:space="0" w:color="000000"/>
              <w:right w:val="single" w:sz="4" w:space="0" w:color="000000"/>
            </w:tcBorders>
          </w:tcPr>
          <w:p>
            <w:pPr>
              <w:pStyle w:val="TableParagraph"/>
              <w:spacing w:before="22"/>
              <w:ind w:left="179" w:right="173"/>
              <w:rPr>
                <w:rFonts w:ascii="Times New Roman"/>
                <w:sz w:val="21"/>
              </w:rPr>
            </w:pPr>
            <w:r>
              <w:rPr>
                <w:rFonts w:ascii="Times New Roman"/>
                <w:sz w:val="21"/>
              </w:rPr>
              <w:t>16.750</w:t>
            </w:r>
          </w:p>
        </w:tc>
        <w:tc>
          <w:tcPr>
            <w:tcW w:w="1445" w:type="dxa"/>
            <w:tcBorders>
              <w:left w:val="single" w:sz="4" w:space="0" w:color="000000"/>
              <w:bottom w:val="single" w:sz="4" w:space="0" w:color="000000"/>
              <w:right w:val="single" w:sz="4" w:space="0" w:color="000000"/>
            </w:tcBorders>
          </w:tcPr>
          <w:p>
            <w:pPr>
              <w:pStyle w:val="TableParagraph"/>
              <w:spacing w:line="257" w:lineRule="exact" w:before="8"/>
              <w:ind w:left="277" w:right="273"/>
              <w:rPr>
                <w:sz w:val="21"/>
              </w:rPr>
            </w:pPr>
            <w:r>
              <w:rPr>
                <w:sz w:val="21"/>
              </w:rPr>
              <w:t>高沸物</w:t>
            </w:r>
          </w:p>
        </w:tc>
        <w:tc>
          <w:tcPr>
            <w:tcW w:w="1503" w:type="dxa"/>
            <w:tcBorders>
              <w:left w:val="single" w:sz="4" w:space="0" w:color="000000"/>
              <w:bottom w:val="single" w:sz="4" w:space="0" w:color="000000"/>
            </w:tcBorders>
          </w:tcPr>
          <w:p>
            <w:pPr>
              <w:pStyle w:val="TableParagraph"/>
              <w:spacing w:line="257" w:lineRule="exact" w:before="8"/>
              <w:ind w:left="306" w:right="305"/>
              <w:rPr>
                <w:sz w:val="21"/>
              </w:rPr>
            </w:pPr>
            <w:r>
              <w:rPr>
                <w:sz w:val="21"/>
              </w:rPr>
              <w:t>危险废物</w:t>
            </w:r>
          </w:p>
        </w:tc>
        <w:tc>
          <w:tcPr>
            <w:tcW w:w="3181" w:type="dxa"/>
            <w:tcBorders>
              <w:bottom w:val="single" w:sz="4" w:space="0" w:color="000000"/>
            </w:tcBorders>
          </w:tcPr>
          <w:p>
            <w:pPr>
              <w:pStyle w:val="TableParagraph"/>
              <w:spacing w:line="257" w:lineRule="exact" w:before="8"/>
              <w:ind w:left="624" w:right="621"/>
              <w:rPr>
                <w:sz w:val="21"/>
              </w:rPr>
            </w:pPr>
            <w:r>
              <w:rPr>
                <w:sz w:val="21"/>
              </w:rPr>
              <w:t>委托有资质单位处理</w:t>
            </w:r>
          </w:p>
        </w:tc>
      </w:tr>
      <w:tr>
        <w:trPr>
          <w:trHeight w:val="282" w:hRule="atLeast"/>
        </w:trPr>
        <w:tc>
          <w:tcPr>
            <w:tcW w:w="1380" w:type="dxa"/>
            <w:tcBorders>
              <w:top w:val="single" w:sz="4" w:space="0" w:color="000000"/>
            </w:tcBorders>
          </w:tcPr>
          <w:p>
            <w:pPr>
              <w:pStyle w:val="TableParagraph"/>
              <w:spacing w:line="257" w:lineRule="exact" w:before="5"/>
              <w:ind w:left="246" w:right="242"/>
              <w:rPr>
                <w:sz w:val="21"/>
              </w:rPr>
            </w:pPr>
            <w:r>
              <w:rPr>
                <w:sz w:val="21"/>
              </w:rPr>
              <w:t>废催化剂</w:t>
            </w:r>
          </w:p>
        </w:tc>
        <w:tc>
          <w:tcPr>
            <w:tcW w:w="1666" w:type="dxa"/>
            <w:tcBorders>
              <w:top w:val="single" w:sz="4" w:space="0" w:color="000000"/>
              <w:right w:val="single" w:sz="4" w:space="0" w:color="000000"/>
            </w:tcBorders>
          </w:tcPr>
          <w:p>
            <w:pPr>
              <w:pStyle w:val="TableParagraph"/>
              <w:spacing w:line="241" w:lineRule="exact" w:before="22"/>
              <w:ind w:left="179" w:right="173"/>
              <w:rPr>
                <w:rFonts w:ascii="Times New Roman"/>
                <w:sz w:val="21"/>
              </w:rPr>
            </w:pPr>
            <w:r>
              <w:rPr>
                <w:rFonts w:ascii="Times New Roman"/>
                <w:sz w:val="21"/>
              </w:rPr>
              <w:t>0.075</w:t>
            </w:r>
          </w:p>
        </w:tc>
        <w:tc>
          <w:tcPr>
            <w:tcW w:w="1445" w:type="dxa"/>
            <w:tcBorders>
              <w:top w:val="single" w:sz="4" w:space="0" w:color="000000"/>
              <w:left w:val="single" w:sz="4" w:space="0" w:color="000000"/>
              <w:right w:val="single" w:sz="4" w:space="0" w:color="000000"/>
            </w:tcBorders>
          </w:tcPr>
          <w:p>
            <w:pPr>
              <w:pStyle w:val="TableParagraph"/>
              <w:spacing w:line="257" w:lineRule="exact" w:before="5"/>
              <w:ind w:left="277" w:right="273"/>
              <w:rPr>
                <w:b/>
                <w:sz w:val="21"/>
              </w:rPr>
            </w:pPr>
            <w:r>
              <w:rPr>
                <w:b/>
                <w:color w:val="FF0000"/>
                <w:sz w:val="21"/>
              </w:rPr>
              <w:t>涉密删除</w:t>
            </w:r>
          </w:p>
        </w:tc>
        <w:tc>
          <w:tcPr>
            <w:tcW w:w="1503" w:type="dxa"/>
            <w:tcBorders>
              <w:top w:val="single" w:sz="4" w:space="0" w:color="000000"/>
              <w:left w:val="single" w:sz="4" w:space="0" w:color="000000"/>
            </w:tcBorders>
          </w:tcPr>
          <w:p>
            <w:pPr>
              <w:pStyle w:val="TableParagraph"/>
              <w:spacing w:line="257" w:lineRule="exact" w:before="5"/>
              <w:ind w:left="306" w:right="305"/>
              <w:rPr>
                <w:sz w:val="21"/>
              </w:rPr>
            </w:pPr>
            <w:r>
              <w:rPr>
                <w:sz w:val="21"/>
              </w:rPr>
              <w:t>危险废物</w:t>
            </w:r>
          </w:p>
        </w:tc>
        <w:tc>
          <w:tcPr>
            <w:tcW w:w="3181" w:type="dxa"/>
            <w:tcBorders>
              <w:top w:val="single" w:sz="4" w:space="0" w:color="000000"/>
            </w:tcBorders>
          </w:tcPr>
          <w:p>
            <w:pPr>
              <w:pStyle w:val="TableParagraph"/>
              <w:spacing w:line="257" w:lineRule="exact" w:before="5"/>
              <w:ind w:left="624" w:right="621"/>
              <w:rPr>
                <w:sz w:val="21"/>
              </w:rPr>
            </w:pPr>
            <w:r>
              <w:rPr>
                <w:sz w:val="21"/>
              </w:rPr>
              <w:t>委托有资质单位处理</w:t>
            </w:r>
          </w:p>
        </w:tc>
      </w:tr>
    </w:tbl>
    <w:p>
      <w:pPr>
        <w:pStyle w:val="ListParagraph"/>
        <w:numPr>
          <w:ilvl w:val="2"/>
          <w:numId w:val="13"/>
        </w:numPr>
        <w:tabs>
          <w:tab w:pos="999" w:val="left" w:leader="none"/>
        </w:tabs>
        <w:spacing w:line="240" w:lineRule="auto" w:before="122" w:after="0"/>
        <w:ind w:left="998" w:right="0" w:hanging="541"/>
        <w:jc w:val="left"/>
        <w:rPr>
          <w:b/>
          <w:sz w:val="24"/>
        </w:rPr>
      </w:pPr>
      <w:r>
        <w:rPr>
          <w:b/>
          <w:sz w:val="24"/>
        </w:rPr>
        <w:t>公用工程情况</w:t>
      </w:r>
    </w:p>
    <w:p>
      <w:pPr>
        <w:pStyle w:val="BodyText"/>
        <w:spacing w:before="161"/>
        <w:ind w:left="698"/>
      </w:pPr>
      <w:r>
        <w:rPr>
          <w:rFonts w:ascii="Times New Roman" w:eastAsia="Times New Roman"/>
        </w:rPr>
        <w:t>1</w:t>
      </w:r>
      <w:r>
        <w:rPr/>
        <w:t>、废气</w:t>
      </w:r>
    </w:p>
    <w:p>
      <w:pPr>
        <w:pStyle w:val="BodyText"/>
        <w:spacing w:before="7"/>
        <w:rPr>
          <w:sz w:val="23"/>
        </w:rPr>
      </w:pPr>
    </w:p>
    <w:p>
      <w:pPr>
        <w:pStyle w:val="Heading4"/>
        <w:tabs>
          <w:tab w:pos="1222" w:val="left" w:leader="none"/>
        </w:tabs>
        <w:spacing w:before="1" w:after="28"/>
        <w:ind w:left="0" w:right="17"/>
        <w:jc w:val="center"/>
      </w:pPr>
      <w:r>
        <w:rPr/>
        <w:t>表</w:t>
      </w:r>
      <w:r>
        <w:rPr>
          <w:spacing w:val="-60"/>
        </w:rPr>
        <w:t> </w:t>
      </w:r>
      <w:r>
        <w:rPr>
          <w:rFonts w:ascii="Times New Roman" w:eastAsia="Times New Roman"/>
        </w:rPr>
        <w:t>3.3.7-1</w:t>
        <w:tab/>
      </w:r>
      <w:r>
        <w:rPr/>
        <w:t>现有公用工程废气处置情况汇总表</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4"/>
        <w:gridCol w:w="2958"/>
        <w:gridCol w:w="2430"/>
        <w:gridCol w:w="2747"/>
      </w:tblGrid>
      <w:tr>
        <w:trPr>
          <w:trHeight w:val="282" w:hRule="atLeast"/>
        </w:trPr>
        <w:tc>
          <w:tcPr>
            <w:tcW w:w="1054" w:type="dxa"/>
          </w:tcPr>
          <w:p>
            <w:pPr>
              <w:pStyle w:val="TableParagraph"/>
              <w:spacing w:line="257" w:lineRule="exact" w:before="6"/>
              <w:ind w:left="314"/>
              <w:jc w:val="left"/>
              <w:rPr>
                <w:b/>
                <w:sz w:val="21"/>
              </w:rPr>
            </w:pPr>
            <w:r>
              <w:rPr>
                <w:b/>
                <w:sz w:val="21"/>
              </w:rPr>
              <w:t>位置</w:t>
            </w:r>
            <w:r>
              <w:rPr>
                <w:b/>
                <w:w w:val="99"/>
                <w:sz w:val="21"/>
              </w:rPr>
              <w:t> </w:t>
            </w:r>
          </w:p>
        </w:tc>
        <w:tc>
          <w:tcPr>
            <w:tcW w:w="2958" w:type="dxa"/>
          </w:tcPr>
          <w:p>
            <w:pPr>
              <w:pStyle w:val="TableParagraph"/>
              <w:spacing w:line="257" w:lineRule="exact" w:before="6"/>
              <w:ind w:left="131" w:right="18"/>
              <w:rPr>
                <w:b/>
                <w:sz w:val="21"/>
              </w:rPr>
            </w:pPr>
            <w:r>
              <w:rPr>
                <w:b/>
                <w:sz w:val="21"/>
              </w:rPr>
              <w:t>污染源</w:t>
            </w:r>
            <w:r>
              <w:rPr>
                <w:b/>
                <w:w w:val="99"/>
                <w:sz w:val="21"/>
              </w:rPr>
              <w:t> </w:t>
            </w:r>
          </w:p>
        </w:tc>
        <w:tc>
          <w:tcPr>
            <w:tcW w:w="2430" w:type="dxa"/>
          </w:tcPr>
          <w:p>
            <w:pPr>
              <w:pStyle w:val="TableParagraph"/>
              <w:spacing w:line="257" w:lineRule="exact" w:before="6"/>
              <w:ind w:left="115" w:right="6"/>
              <w:rPr>
                <w:b/>
                <w:sz w:val="21"/>
              </w:rPr>
            </w:pPr>
            <w:r>
              <w:rPr>
                <w:b/>
                <w:sz w:val="21"/>
              </w:rPr>
              <w:t>处理工艺</w:t>
            </w:r>
            <w:r>
              <w:rPr>
                <w:b/>
                <w:w w:val="99"/>
                <w:sz w:val="21"/>
              </w:rPr>
              <w:t> </w:t>
            </w:r>
          </w:p>
        </w:tc>
        <w:tc>
          <w:tcPr>
            <w:tcW w:w="2747" w:type="dxa"/>
          </w:tcPr>
          <w:p>
            <w:pPr>
              <w:pStyle w:val="TableParagraph"/>
              <w:spacing w:line="257" w:lineRule="exact" w:before="6"/>
              <w:ind w:left="113"/>
              <w:rPr>
                <w:b/>
                <w:sz w:val="21"/>
              </w:rPr>
            </w:pPr>
            <w:r>
              <w:rPr>
                <w:b/>
                <w:sz w:val="21"/>
              </w:rPr>
              <w:t>处理因子</w:t>
            </w:r>
            <w:r>
              <w:rPr>
                <w:b/>
                <w:w w:val="99"/>
                <w:sz w:val="21"/>
              </w:rPr>
              <w:t> </w:t>
            </w:r>
          </w:p>
        </w:tc>
      </w:tr>
      <w:tr>
        <w:trPr>
          <w:trHeight w:val="544" w:hRule="atLeast"/>
        </w:trPr>
        <w:tc>
          <w:tcPr>
            <w:tcW w:w="1054" w:type="dxa"/>
            <w:vMerge w:val="restart"/>
          </w:tcPr>
          <w:p>
            <w:pPr>
              <w:pStyle w:val="TableParagraph"/>
              <w:jc w:val="left"/>
              <w:rPr>
                <w:b/>
                <w:sz w:val="20"/>
              </w:rPr>
            </w:pPr>
          </w:p>
          <w:p>
            <w:pPr>
              <w:pStyle w:val="TableParagraph"/>
              <w:jc w:val="left"/>
              <w:rPr>
                <w:b/>
                <w:sz w:val="20"/>
              </w:rPr>
            </w:pPr>
          </w:p>
          <w:p>
            <w:pPr>
              <w:pStyle w:val="TableParagraph"/>
              <w:spacing w:before="5"/>
              <w:jc w:val="left"/>
              <w:rPr>
                <w:b/>
                <w:sz w:val="14"/>
              </w:rPr>
            </w:pPr>
          </w:p>
          <w:p>
            <w:pPr>
              <w:pStyle w:val="TableParagraph"/>
              <w:ind w:left="316"/>
              <w:jc w:val="left"/>
              <w:rPr>
                <w:sz w:val="21"/>
              </w:rPr>
            </w:pPr>
            <w:r>
              <w:rPr>
                <w:sz w:val="21"/>
              </w:rPr>
              <w:t>罐区</w:t>
            </w:r>
          </w:p>
        </w:tc>
        <w:tc>
          <w:tcPr>
            <w:tcW w:w="2958" w:type="dxa"/>
          </w:tcPr>
          <w:p>
            <w:pPr>
              <w:pStyle w:val="TableParagraph"/>
              <w:spacing w:before="137"/>
              <w:ind w:left="27" w:right="18"/>
              <w:rPr>
                <w:sz w:val="21"/>
              </w:rPr>
            </w:pPr>
            <w:r>
              <w:rPr>
                <w:sz w:val="21"/>
              </w:rPr>
              <w:t>硝酸储罐</w:t>
            </w:r>
          </w:p>
        </w:tc>
        <w:tc>
          <w:tcPr>
            <w:tcW w:w="2430" w:type="dxa"/>
          </w:tcPr>
          <w:p>
            <w:pPr>
              <w:pStyle w:val="TableParagraph"/>
              <w:spacing w:before="1"/>
              <w:ind w:left="10" w:right="6"/>
              <w:rPr>
                <w:sz w:val="21"/>
              </w:rPr>
            </w:pPr>
            <w:r>
              <w:rPr>
                <w:sz w:val="21"/>
              </w:rPr>
              <w:t>四级硝酸吸收</w:t>
            </w:r>
            <w:r>
              <w:rPr>
                <w:rFonts w:ascii="Times New Roman" w:eastAsia="Times New Roman"/>
                <w:sz w:val="21"/>
              </w:rPr>
              <w:t>+SNCR </w:t>
            </w:r>
            <w:r>
              <w:rPr>
                <w:sz w:val="21"/>
              </w:rPr>
              <w:t>脱</w:t>
            </w:r>
          </w:p>
          <w:p>
            <w:pPr>
              <w:pStyle w:val="TableParagraph"/>
              <w:spacing w:line="250" w:lineRule="exact" w:before="4"/>
              <w:ind w:left="9" w:right="6"/>
              <w:rPr>
                <w:sz w:val="21"/>
              </w:rPr>
            </w:pPr>
            <w:r>
              <w:rPr>
                <w:sz w:val="21"/>
              </w:rPr>
              <w:t>硝</w:t>
            </w:r>
            <w:r>
              <w:rPr>
                <w:rFonts w:ascii="Times New Roman" w:eastAsia="Times New Roman"/>
                <w:sz w:val="21"/>
              </w:rPr>
              <w:t>+</w:t>
            </w:r>
            <w:r>
              <w:rPr>
                <w:sz w:val="21"/>
              </w:rPr>
              <w:t>四级碱吸收</w:t>
            </w:r>
          </w:p>
        </w:tc>
        <w:tc>
          <w:tcPr>
            <w:tcW w:w="2747" w:type="dxa"/>
          </w:tcPr>
          <w:p>
            <w:pPr>
              <w:pStyle w:val="TableParagraph"/>
              <w:spacing w:before="137"/>
              <w:ind w:left="6"/>
              <w:rPr>
                <w:sz w:val="21"/>
              </w:rPr>
            </w:pPr>
            <w:r>
              <w:rPr>
                <w:sz w:val="21"/>
              </w:rPr>
              <w:t>氮氧化物</w:t>
            </w:r>
          </w:p>
        </w:tc>
      </w:tr>
      <w:tr>
        <w:trPr>
          <w:trHeight w:val="285" w:hRule="atLeast"/>
        </w:trPr>
        <w:tc>
          <w:tcPr>
            <w:tcW w:w="1054" w:type="dxa"/>
            <w:vMerge/>
            <w:tcBorders>
              <w:top w:val="nil"/>
            </w:tcBorders>
          </w:tcPr>
          <w:p>
            <w:pPr>
              <w:rPr>
                <w:sz w:val="2"/>
                <w:szCs w:val="2"/>
              </w:rPr>
            </w:pPr>
          </w:p>
        </w:tc>
        <w:tc>
          <w:tcPr>
            <w:tcW w:w="2958" w:type="dxa"/>
          </w:tcPr>
          <w:p>
            <w:pPr>
              <w:pStyle w:val="TableParagraph"/>
              <w:spacing w:line="257" w:lineRule="exact" w:before="8"/>
              <w:ind w:left="27" w:right="18"/>
              <w:rPr>
                <w:sz w:val="21"/>
              </w:rPr>
            </w:pPr>
            <w:r>
              <w:rPr>
                <w:sz w:val="21"/>
              </w:rPr>
              <w:t>硫酸储罐</w:t>
            </w:r>
          </w:p>
        </w:tc>
        <w:tc>
          <w:tcPr>
            <w:tcW w:w="2430" w:type="dxa"/>
          </w:tcPr>
          <w:p>
            <w:pPr>
              <w:pStyle w:val="TableParagraph"/>
              <w:spacing w:line="257" w:lineRule="exact" w:before="8"/>
              <w:ind w:left="9" w:right="6"/>
              <w:rPr>
                <w:sz w:val="21"/>
              </w:rPr>
            </w:pPr>
            <w:r>
              <w:rPr>
                <w:sz w:val="21"/>
              </w:rPr>
              <w:t>四级碱吸收</w:t>
            </w:r>
          </w:p>
        </w:tc>
        <w:tc>
          <w:tcPr>
            <w:tcW w:w="2747" w:type="dxa"/>
          </w:tcPr>
          <w:p>
            <w:pPr>
              <w:pStyle w:val="TableParagraph"/>
              <w:spacing w:line="257" w:lineRule="exact" w:before="8"/>
              <w:ind w:left="9"/>
              <w:rPr>
                <w:sz w:val="21"/>
              </w:rPr>
            </w:pPr>
            <w:r>
              <w:rPr>
                <w:sz w:val="21"/>
              </w:rPr>
              <w:t>硫酸雾</w:t>
            </w:r>
          </w:p>
        </w:tc>
      </w:tr>
      <w:tr>
        <w:trPr>
          <w:trHeight w:val="815" w:hRule="atLeast"/>
        </w:trPr>
        <w:tc>
          <w:tcPr>
            <w:tcW w:w="1054" w:type="dxa"/>
            <w:vMerge/>
            <w:tcBorders>
              <w:top w:val="nil"/>
            </w:tcBorders>
          </w:tcPr>
          <w:p>
            <w:pPr>
              <w:rPr>
                <w:sz w:val="2"/>
                <w:szCs w:val="2"/>
              </w:rPr>
            </w:pPr>
          </w:p>
        </w:tc>
        <w:tc>
          <w:tcPr>
            <w:tcW w:w="2958" w:type="dxa"/>
          </w:tcPr>
          <w:p>
            <w:pPr>
              <w:pStyle w:val="TableParagraph"/>
              <w:spacing w:line="242" w:lineRule="auto" w:before="1"/>
              <w:ind w:left="30" w:right="18"/>
              <w:rPr>
                <w:sz w:val="21"/>
              </w:rPr>
            </w:pPr>
            <w:r>
              <w:rPr>
                <w:sz w:val="21"/>
              </w:rPr>
              <w:t>邻二甲苯、</w:t>
            </w:r>
            <w:r>
              <w:rPr>
                <w:rFonts w:ascii="Times New Roman" w:eastAsia="Times New Roman"/>
                <w:sz w:val="21"/>
              </w:rPr>
              <w:t>3-</w:t>
            </w:r>
            <w:r>
              <w:rPr>
                <w:sz w:val="21"/>
              </w:rPr>
              <w:t>戊酮、</w:t>
            </w:r>
            <w:r>
              <w:rPr>
                <w:rFonts w:ascii="Times New Roman" w:eastAsia="Times New Roman"/>
                <w:sz w:val="21"/>
              </w:rPr>
              <w:t>4-</w:t>
            </w:r>
            <w:r>
              <w:rPr>
                <w:sz w:val="21"/>
              </w:rPr>
              <w:t>硝基邻二甲苯、</w:t>
            </w:r>
            <w:r>
              <w:rPr>
                <w:rFonts w:ascii="Times New Roman" w:eastAsia="Times New Roman"/>
                <w:sz w:val="21"/>
              </w:rPr>
              <w:t>3-</w:t>
            </w:r>
            <w:r>
              <w:rPr>
                <w:sz w:val="21"/>
              </w:rPr>
              <w:t>硝基邻二甲苯、</w:t>
            </w:r>
            <w:r>
              <w:rPr>
                <w:rFonts w:ascii="Times New Roman" w:eastAsia="Times New Roman"/>
                <w:sz w:val="21"/>
              </w:rPr>
              <w:t>2,3-</w:t>
            </w:r>
            <w:r>
              <w:rPr>
                <w:sz w:val="21"/>
              </w:rPr>
              <w:t>二</w:t>
            </w:r>
          </w:p>
          <w:p>
            <w:pPr>
              <w:pStyle w:val="TableParagraph"/>
              <w:spacing w:line="250" w:lineRule="exact" w:before="1"/>
              <w:ind w:left="23" w:right="18"/>
              <w:rPr>
                <w:sz w:val="21"/>
              </w:rPr>
            </w:pPr>
            <w:r>
              <w:rPr>
                <w:sz w:val="21"/>
              </w:rPr>
              <w:t>甲基苯胺、</w:t>
            </w:r>
            <w:r>
              <w:rPr>
                <w:rFonts w:ascii="Times New Roman" w:eastAsia="Times New Roman"/>
                <w:sz w:val="21"/>
              </w:rPr>
              <w:t>N-</w:t>
            </w:r>
            <w:r>
              <w:rPr>
                <w:sz w:val="21"/>
              </w:rPr>
              <w:t>戊基苯胺储罐</w:t>
            </w:r>
          </w:p>
        </w:tc>
        <w:tc>
          <w:tcPr>
            <w:tcW w:w="2430" w:type="dxa"/>
          </w:tcPr>
          <w:p>
            <w:pPr>
              <w:pStyle w:val="TableParagraph"/>
              <w:spacing w:line="242" w:lineRule="auto" w:before="137"/>
              <w:ind w:left="790" w:right="3" w:hanging="737"/>
              <w:jc w:val="left"/>
              <w:rPr>
                <w:sz w:val="21"/>
              </w:rPr>
            </w:pPr>
            <w:r>
              <w:rPr>
                <w:rFonts w:ascii="Times New Roman" w:eastAsia="Times New Roman"/>
                <w:sz w:val="21"/>
              </w:rPr>
              <w:t>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四级碱吸收</w:t>
            </w:r>
          </w:p>
        </w:tc>
        <w:tc>
          <w:tcPr>
            <w:tcW w:w="2747" w:type="dxa"/>
          </w:tcPr>
          <w:p>
            <w:pPr>
              <w:pStyle w:val="TableParagraph"/>
              <w:spacing w:line="242" w:lineRule="auto" w:before="1"/>
              <w:ind w:left="55" w:right="45" w:hanging="4"/>
              <w:rPr>
                <w:rFonts w:ascii="Times New Roman" w:eastAsia="Times New Roman"/>
                <w:sz w:val="21"/>
              </w:rPr>
            </w:pPr>
            <w:r>
              <w:rPr>
                <w:spacing w:val="-5"/>
                <w:sz w:val="21"/>
              </w:rPr>
              <w:t>邻二甲苯、</w:t>
            </w:r>
            <w:r>
              <w:rPr>
                <w:rFonts w:ascii="Times New Roman" w:eastAsia="Times New Roman"/>
                <w:sz w:val="21"/>
              </w:rPr>
              <w:t>3-</w:t>
            </w:r>
            <w:r>
              <w:rPr>
                <w:spacing w:val="-6"/>
                <w:sz w:val="21"/>
              </w:rPr>
              <w:t>戊酮、</w:t>
            </w:r>
            <w:r>
              <w:rPr>
                <w:rFonts w:ascii="Times New Roman" w:eastAsia="Times New Roman"/>
                <w:sz w:val="21"/>
              </w:rPr>
              <w:t>4-</w:t>
            </w:r>
            <w:r>
              <w:rPr>
                <w:spacing w:val="-3"/>
                <w:sz w:val="21"/>
              </w:rPr>
              <w:t>硝基邻</w:t>
            </w:r>
            <w:r>
              <w:rPr>
                <w:spacing w:val="-25"/>
                <w:sz w:val="21"/>
              </w:rPr>
              <w:t>二甲苯、</w:t>
            </w:r>
            <w:r>
              <w:rPr>
                <w:rFonts w:ascii="Times New Roman" w:eastAsia="Times New Roman"/>
                <w:sz w:val="21"/>
              </w:rPr>
              <w:t>3-</w:t>
            </w:r>
            <w:r>
              <w:rPr>
                <w:spacing w:val="-16"/>
                <w:sz w:val="21"/>
              </w:rPr>
              <w:t>硝基邻二甲苯、</w:t>
            </w:r>
            <w:r>
              <w:rPr>
                <w:rFonts w:ascii="Times New Roman" w:eastAsia="Times New Roman"/>
                <w:spacing w:val="-4"/>
                <w:sz w:val="21"/>
              </w:rPr>
              <w:t>2,3-</w:t>
            </w:r>
          </w:p>
          <w:p>
            <w:pPr>
              <w:pStyle w:val="TableParagraph"/>
              <w:spacing w:line="250" w:lineRule="exact" w:before="1"/>
              <w:ind w:left="9"/>
              <w:rPr>
                <w:sz w:val="21"/>
              </w:rPr>
            </w:pPr>
            <w:r>
              <w:rPr>
                <w:sz w:val="21"/>
              </w:rPr>
              <w:t>二甲基苯胺、</w:t>
            </w:r>
            <w:r>
              <w:rPr>
                <w:rFonts w:ascii="Times New Roman" w:eastAsia="Times New Roman"/>
                <w:sz w:val="21"/>
              </w:rPr>
              <w:t>N-</w:t>
            </w:r>
            <w:r>
              <w:rPr>
                <w:sz w:val="21"/>
              </w:rPr>
              <w:t>戊基苯胺</w:t>
            </w:r>
          </w:p>
        </w:tc>
      </w:tr>
      <w:tr>
        <w:trPr>
          <w:trHeight w:val="544" w:hRule="atLeast"/>
        </w:trPr>
        <w:tc>
          <w:tcPr>
            <w:tcW w:w="1054" w:type="dxa"/>
            <w:vMerge w:val="restart"/>
          </w:tcPr>
          <w:p>
            <w:pPr>
              <w:pStyle w:val="TableParagraph"/>
              <w:spacing w:before="2"/>
              <w:jc w:val="left"/>
              <w:rPr>
                <w:b/>
                <w:sz w:val="22"/>
              </w:rPr>
            </w:pPr>
          </w:p>
          <w:p>
            <w:pPr>
              <w:pStyle w:val="TableParagraph"/>
              <w:ind w:left="211"/>
              <w:jc w:val="left"/>
              <w:rPr>
                <w:sz w:val="21"/>
              </w:rPr>
            </w:pPr>
            <w:r>
              <w:rPr>
                <w:sz w:val="21"/>
              </w:rPr>
              <w:t>污水站</w:t>
            </w:r>
          </w:p>
        </w:tc>
        <w:tc>
          <w:tcPr>
            <w:tcW w:w="2958" w:type="dxa"/>
          </w:tcPr>
          <w:p>
            <w:pPr>
              <w:pStyle w:val="TableParagraph"/>
              <w:spacing w:before="137"/>
              <w:ind w:left="25" w:right="18"/>
              <w:rPr>
                <w:sz w:val="21"/>
              </w:rPr>
            </w:pPr>
            <w:r>
              <w:rPr>
                <w:sz w:val="21"/>
              </w:rPr>
              <w:t>物化池</w:t>
            </w:r>
          </w:p>
        </w:tc>
        <w:tc>
          <w:tcPr>
            <w:tcW w:w="2430" w:type="dxa"/>
          </w:tcPr>
          <w:p>
            <w:pPr>
              <w:pStyle w:val="TableParagraph"/>
              <w:spacing w:before="1"/>
              <w:ind w:left="12" w:right="6"/>
              <w:rPr>
                <w:sz w:val="21"/>
              </w:rPr>
            </w:pPr>
            <w:r>
              <w:rPr>
                <w:rFonts w:ascii="Times New Roman" w:eastAsia="Times New Roman"/>
                <w:sz w:val="21"/>
              </w:rPr>
              <w:t>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w:t>
            </w:r>
          </w:p>
          <w:p>
            <w:pPr>
              <w:pStyle w:val="TableParagraph"/>
              <w:spacing w:line="250" w:lineRule="exact" w:before="4"/>
              <w:ind w:left="10" w:right="6"/>
              <w:rPr>
                <w:sz w:val="21"/>
              </w:rPr>
            </w:pPr>
            <w:r>
              <w:rPr>
                <w:sz w:val="21"/>
              </w:rPr>
              <w:t>级碱吸收</w:t>
            </w:r>
          </w:p>
        </w:tc>
        <w:tc>
          <w:tcPr>
            <w:tcW w:w="2747" w:type="dxa"/>
          </w:tcPr>
          <w:p>
            <w:pPr>
              <w:pStyle w:val="TableParagraph"/>
              <w:spacing w:before="137"/>
              <w:ind w:left="5"/>
              <w:rPr>
                <w:sz w:val="21"/>
              </w:rPr>
            </w:pPr>
            <w:r>
              <w:rPr>
                <w:sz w:val="21"/>
              </w:rPr>
              <w:t>邻二甲苯、</w:t>
            </w:r>
            <w:r>
              <w:rPr>
                <w:rFonts w:ascii="Times New Roman" w:eastAsia="Times New Roman"/>
                <w:sz w:val="21"/>
              </w:rPr>
              <w:t>3-</w:t>
            </w:r>
            <w:r>
              <w:rPr>
                <w:sz w:val="21"/>
              </w:rPr>
              <w:t>戊酮、硝基苯等</w:t>
            </w:r>
          </w:p>
        </w:tc>
      </w:tr>
      <w:tr>
        <w:trPr>
          <w:trHeight w:val="285" w:hRule="atLeast"/>
        </w:trPr>
        <w:tc>
          <w:tcPr>
            <w:tcW w:w="1054" w:type="dxa"/>
            <w:vMerge/>
            <w:tcBorders>
              <w:top w:val="nil"/>
            </w:tcBorders>
          </w:tcPr>
          <w:p>
            <w:pPr>
              <w:rPr>
                <w:sz w:val="2"/>
                <w:szCs w:val="2"/>
              </w:rPr>
            </w:pPr>
          </w:p>
        </w:tc>
        <w:tc>
          <w:tcPr>
            <w:tcW w:w="2958" w:type="dxa"/>
          </w:tcPr>
          <w:p>
            <w:pPr>
              <w:pStyle w:val="TableParagraph"/>
              <w:spacing w:line="257" w:lineRule="exact" w:before="8"/>
              <w:ind w:left="27" w:right="18"/>
              <w:rPr>
                <w:sz w:val="21"/>
              </w:rPr>
            </w:pPr>
            <w:r>
              <w:rPr>
                <w:sz w:val="21"/>
              </w:rPr>
              <w:t>生化池废气</w:t>
            </w:r>
          </w:p>
        </w:tc>
        <w:tc>
          <w:tcPr>
            <w:tcW w:w="2430" w:type="dxa"/>
          </w:tcPr>
          <w:p>
            <w:pPr>
              <w:pStyle w:val="TableParagraph"/>
              <w:spacing w:line="257" w:lineRule="exact" w:before="8"/>
              <w:ind w:left="9" w:right="6"/>
              <w:rPr>
                <w:sz w:val="21"/>
              </w:rPr>
            </w:pPr>
            <w:r>
              <w:rPr>
                <w:sz w:val="21"/>
              </w:rPr>
              <w:t>四级碱吸收</w:t>
            </w:r>
          </w:p>
        </w:tc>
        <w:tc>
          <w:tcPr>
            <w:tcW w:w="2747" w:type="dxa"/>
          </w:tcPr>
          <w:p>
            <w:pPr>
              <w:pStyle w:val="TableParagraph"/>
              <w:spacing w:line="257" w:lineRule="exact" w:before="8"/>
              <w:ind w:left="9"/>
              <w:rPr>
                <w:sz w:val="21"/>
              </w:rPr>
            </w:pPr>
            <w:r>
              <w:rPr>
                <w:sz w:val="21"/>
              </w:rPr>
              <w:t>恶臭</w:t>
            </w:r>
          </w:p>
        </w:tc>
      </w:tr>
      <w:tr>
        <w:trPr>
          <w:trHeight w:val="544" w:hRule="atLeast"/>
        </w:trPr>
        <w:tc>
          <w:tcPr>
            <w:tcW w:w="1054" w:type="dxa"/>
          </w:tcPr>
          <w:p>
            <w:pPr>
              <w:pStyle w:val="TableParagraph"/>
              <w:spacing w:before="1"/>
              <w:ind w:left="86" w:right="77"/>
              <w:rPr>
                <w:sz w:val="21"/>
              </w:rPr>
            </w:pPr>
            <w:r>
              <w:rPr>
                <w:sz w:val="21"/>
              </w:rPr>
              <w:t>废气集中</w:t>
            </w:r>
          </w:p>
          <w:p>
            <w:pPr>
              <w:pStyle w:val="TableParagraph"/>
              <w:spacing w:line="250" w:lineRule="exact" w:before="5"/>
              <w:ind w:left="86" w:right="75"/>
              <w:rPr>
                <w:sz w:val="21"/>
              </w:rPr>
            </w:pPr>
            <w:r>
              <w:rPr>
                <w:sz w:val="21"/>
              </w:rPr>
              <w:t>处置</w:t>
            </w:r>
          </w:p>
        </w:tc>
        <w:tc>
          <w:tcPr>
            <w:tcW w:w="2958" w:type="dxa"/>
          </w:tcPr>
          <w:p>
            <w:pPr>
              <w:pStyle w:val="TableParagraph"/>
              <w:spacing w:before="138"/>
              <w:ind w:left="23" w:right="18"/>
              <w:rPr>
                <w:sz w:val="21"/>
              </w:rPr>
            </w:pPr>
            <w:r>
              <w:rPr>
                <w:rFonts w:ascii="Times New Roman" w:eastAsia="Times New Roman"/>
                <w:sz w:val="21"/>
              </w:rPr>
              <w:t>RTO </w:t>
            </w:r>
            <w:r>
              <w:rPr>
                <w:sz w:val="21"/>
              </w:rPr>
              <w:t>装置</w:t>
            </w:r>
          </w:p>
        </w:tc>
        <w:tc>
          <w:tcPr>
            <w:tcW w:w="2430" w:type="dxa"/>
          </w:tcPr>
          <w:p>
            <w:pPr>
              <w:pStyle w:val="TableParagraph"/>
              <w:spacing w:before="138"/>
              <w:ind w:left="10" w:right="6"/>
              <w:rPr>
                <w:sz w:val="21"/>
              </w:rPr>
            </w:pPr>
            <w:r>
              <w:rPr>
                <w:rFonts w:ascii="Times New Roman" w:eastAsia="Times New Roman"/>
                <w:sz w:val="21"/>
              </w:rPr>
              <w:t>SNCR </w:t>
            </w:r>
            <w:r>
              <w:rPr>
                <w:sz w:val="21"/>
              </w:rPr>
              <w:t>脱硝</w:t>
            </w:r>
            <w:r>
              <w:rPr>
                <w:rFonts w:ascii="Times New Roman" w:eastAsia="Times New Roman"/>
                <w:sz w:val="21"/>
              </w:rPr>
              <w:t>+</w:t>
            </w:r>
            <w:r>
              <w:rPr>
                <w:sz w:val="21"/>
              </w:rPr>
              <w:t>四级碱吸收</w:t>
            </w:r>
          </w:p>
        </w:tc>
        <w:tc>
          <w:tcPr>
            <w:tcW w:w="2747" w:type="dxa"/>
          </w:tcPr>
          <w:p>
            <w:pPr>
              <w:pStyle w:val="TableParagraph"/>
              <w:spacing w:before="138"/>
              <w:ind w:left="6"/>
              <w:rPr>
                <w:sz w:val="21"/>
              </w:rPr>
            </w:pPr>
            <w:r>
              <w:rPr>
                <w:sz w:val="21"/>
              </w:rPr>
              <w:t>氮氧化物</w:t>
            </w:r>
          </w:p>
        </w:tc>
      </w:tr>
    </w:tbl>
    <w:p>
      <w:pPr>
        <w:pStyle w:val="BodyText"/>
        <w:spacing w:line="364" w:lineRule="auto" w:before="2"/>
        <w:ind w:left="698" w:right="2947"/>
      </w:pPr>
      <w:r>
        <w:rPr/>
        <w:t>根据原环评审批，</w:t>
      </w:r>
      <w:r>
        <w:rPr>
          <w:rFonts w:ascii="Times New Roman" w:eastAsia="Times New Roman"/>
        </w:rPr>
        <w:t>RTO </w:t>
      </w:r>
      <w:r>
        <w:rPr/>
        <w:t>装置氮氧化物排放量为 </w:t>
      </w:r>
      <w:r>
        <w:rPr>
          <w:rFonts w:ascii="Times New Roman" w:eastAsia="Times New Roman"/>
        </w:rPr>
        <w:t>5.05t/a</w:t>
      </w:r>
      <w:r>
        <w:rPr/>
        <w:t>。</w:t>
      </w:r>
      <w:r>
        <w:rPr>
          <w:rFonts w:ascii="Times New Roman" w:eastAsia="Times New Roman"/>
        </w:rPr>
        <w:t>2</w:t>
      </w:r>
      <w:r>
        <w:rPr/>
        <w:t>、废水</w:t>
      </w:r>
    </w:p>
    <w:p>
      <w:pPr>
        <w:pStyle w:val="Heading4"/>
        <w:tabs>
          <w:tab w:pos="3800" w:val="left" w:leader="none"/>
        </w:tabs>
        <w:spacing w:before="141" w:after="28"/>
        <w:ind w:left="2578"/>
      </w:pPr>
      <w:r>
        <w:rPr/>
        <w:t>表</w:t>
      </w:r>
      <w:r>
        <w:rPr>
          <w:spacing w:val="-59"/>
        </w:rPr>
        <w:t> </w:t>
      </w:r>
      <w:r>
        <w:rPr>
          <w:rFonts w:ascii="Times New Roman" w:eastAsia="Times New Roman"/>
        </w:rPr>
        <w:t>3.3.7-3</w:t>
        <w:tab/>
      </w:r>
      <w:r>
        <w:rPr/>
        <w:t>公用工程废水产生情况汇总表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4823"/>
        <w:gridCol w:w="2658"/>
      </w:tblGrid>
      <w:tr>
        <w:trPr>
          <w:trHeight w:val="285" w:hRule="atLeast"/>
        </w:trPr>
        <w:tc>
          <w:tcPr>
            <w:tcW w:w="6633" w:type="dxa"/>
            <w:gridSpan w:val="2"/>
          </w:tcPr>
          <w:p>
            <w:pPr>
              <w:pStyle w:val="TableParagraph"/>
              <w:spacing w:line="257" w:lineRule="exact" w:before="8"/>
              <w:ind w:left="2450" w:right="2444"/>
              <w:rPr>
                <w:b/>
                <w:sz w:val="21"/>
              </w:rPr>
            </w:pPr>
            <w:r>
              <w:rPr>
                <w:b/>
                <w:sz w:val="21"/>
              </w:rPr>
              <w:t>废水名称</w:t>
            </w:r>
          </w:p>
        </w:tc>
        <w:tc>
          <w:tcPr>
            <w:tcW w:w="2658" w:type="dxa"/>
          </w:tcPr>
          <w:p>
            <w:pPr>
              <w:pStyle w:val="TableParagraph"/>
              <w:spacing w:line="257" w:lineRule="exact" w:before="8"/>
              <w:ind w:left="661" w:right="659"/>
              <w:rPr>
                <w:b/>
                <w:sz w:val="21"/>
              </w:rPr>
            </w:pPr>
            <w:r>
              <w:rPr>
                <w:b/>
                <w:sz w:val="21"/>
              </w:rPr>
              <w:t>产生量（</w:t>
            </w:r>
            <w:r>
              <w:rPr>
                <w:rFonts w:ascii="Times New Roman" w:eastAsia="Times New Roman"/>
                <w:b/>
                <w:sz w:val="21"/>
              </w:rPr>
              <w:t>t/a</w:t>
            </w:r>
            <w:r>
              <w:rPr>
                <w:b/>
                <w:sz w:val="21"/>
              </w:rPr>
              <w:t>）</w:t>
            </w:r>
          </w:p>
        </w:tc>
      </w:tr>
      <w:tr>
        <w:trPr>
          <w:trHeight w:val="282" w:hRule="atLeast"/>
        </w:trPr>
        <w:tc>
          <w:tcPr>
            <w:tcW w:w="1810" w:type="dxa"/>
            <w:vMerge w:val="restart"/>
          </w:tcPr>
          <w:p>
            <w:pPr>
              <w:pStyle w:val="TableParagraph"/>
              <w:jc w:val="left"/>
              <w:rPr>
                <w:b/>
                <w:sz w:val="20"/>
              </w:rPr>
            </w:pPr>
          </w:p>
          <w:p>
            <w:pPr>
              <w:pStyle w:val="TableParagraph"/>
              <w:spacing w:before="4"/>
              <w:jc w:val="left"/>
              <w:rPr>
                <w:b/>
                <w:sz w:val="26"/>
              </w:rPr>
            </w:pPr>
          </w:p>
          <w:p>
            <w:pPr>
              <w:pStyle w:val="TableParagraph"/>
              <w:ind w:left="484"/>
              <w:jc w:val="left"/>
              <w:rPr>
                <w:sz w:val="21"/>
              </w:rPr>
            </w:pPr>
            <w:r>
              <w:rPr>
                <w:sz w:val="21"/>
              </w:rPr>
              <w:t>公用工程</w:t>
            </w:r>
          </w:p>
        </w:tc>
        <w:tc>
          <w:tcPr>
            <w:tcW w:w="4823" w:type="dxa"/>
          </w:tcPr>
          <w:p>
            <w:pPr>
              <w:pStyle w:val="TableParagraph"/>
              <w:spacing w:line="257" w:lineRule="exact" w:before="5"/>
              <w:ind w:left="920" w:right="912"/>
              <w:rPr>
                <w:sz w:val="21"/>
              </w:rPr>
            </w:pPr>
            <w:r>
              <w:rPr>
                <w:sz w:val="21"/>
              </w:rPr>
              <w:t>初期雨水</w:t>
            </w:r>
          </w:p>
        </w:tc>
        <w:tc>
          <w:tcPr>
            <w:tcW w:w="2658" w:type="dxa"/>
          </w:tcPr>
          <w:p>
            <w:pPr>
              <w:pStyle w:val="TableParagraph"/>
              <w:spacing w:before="19"/>
              <w:ind w:left="661" w:right="657"/>
              <w:rPr>
                <w:rFonts w:ascii="Times New Roman"/>
                <w:sz w:val="21"/>
              </w:rPr>
            </w:pPr>
            <w:r>
              <w:rPr>
                <w:rFonts w:ascii="Times New Roman"/>
                <w:sz w:val="21"/>
              </w:rPr>
              <w:t>15600</w:t>
            </w:r>
          </w:p>
        </w:tc>
      </w:tr>
      <w:tr>
        <w:trPr>
          <w:trHeight w:val="285" w:hRule="atLeast"/>
        </w:trPr>
        <w:tc>
          <w:tcPr>
            <w:tcW w:w="1810" w:type="dxa"/>
            <w:vMerge/>
            <w:tcBorders>
              <w:top w:val="nil"/>
            </w:tcBorders>
          </w:tcPr>
          <w:p>
            <w:pPr>
              <w:rPr>
                <w:sz w:val="2"/>
                <w:szCs w:val="2"/>
              </w:rPr>
            </w:pPr>
          </w:p>
        </w:tc>
        <w:tc>
          <w:tcPr>
            <w:tcW w:w="4823" w:type="dxa"/>
          </w:tcPr>
          <w:p>
            <w:pPr>
              <w:pStyle w:val="TableParagraph"/>
              <w:spacing w:line="257" w:lineRule="exact" w:before="8"/>
              <w:ind w:left="920" w:right="912"/>
              <w:rPr>
                <w:sz w:val="21"/>
              </w:rPr>
            </w:pPr>
            <w:r>
              <w:rPr>
                <w:sz w:val="21"/>
              </w:rPr>
              <w:t>废气吸收废水（含真空泵废水）</w:t>
            </w:r>
          </w:p>
        </w:tc>
        <w:tc>
          <w:tcPr>
            <w:tcW w:w="2658" w:type="dxa"/>
          </w:tcPr>
          <w:p>
            <w:pPr>
              <w:pStyle w:val="TableParagraph"/>
              <w:spacing w:before="22"/>
              <w:ind w:left="661" w:right="657"/>
              <w:rPr>
                <w:rFonts w:ascii="Times New Roman"/>
                <w:sz w:val="21"/>
              </w:rPr>
            </w:pPr>
            <w:r>
              <w:rPr>
                <w:rFonts w:ascii="Times New Roman"/>
                <w:sz w:val="21"/>
              </w:rPr>
              <w:t>12000</w:t>
            </w:r>
          </w:p>
        </w:tc>
      </w:tr>
      <w:tr>
        <w:trPr>
          <w:trHeight w:val="282" w:hRule="atLeast"/>
        </w:trPr>
        <w:tc>
          <w:tcPr>
            <w:tcW w:w="1810" w:type="dxa"/>
            <w:vMerge/>
            <w:tcBorders>
              <w:top w:val="nil"/>
            </w:tcBorders>
          </w:tcPr>
          <w:p>
            <w:pPr>
              <w:rPr>
                <w:sz w:val="2"/>
                <w:szCs w:val="2"/>
              </w:rPr>
            </w:pPr>
          </w:p>
        </w:tc>
        <w:tc>
          <w:tcPr>
            <w:tcW w:w="4823" w:type="dxa"/>
          </w:tcPr>
          <w:p>
            <w:pPr>
              <w:pStyle w:val="TableParagraph"/>
              <w:spacing w:line="257" w:lineRule="exact" w:before="5"/>
              <w:ind w:left="920" w:right="910"/>
              <w:rPr>
                <w:sz w:val="21"/>
              </w:rPr>
            </w:pPr>
            <w:r>
              <w:rPr>
                <w:sz w:val="21"/>
              </w:rPr>
              <w:t>设备清洗废水</w:t>
            </w:r>
          </w:p>
        </w:tc>
        <w:tc>
          <w:tcPr>
            <w:tcW w:w="2658" w:type="dxa"/>
          </w:tcPr>
          <w:p>
            <w:pPr>
              <w:pStyle w:val="TableParagraph"/>
              <w:spacing w:before="19"/>
              <w:ind w:left="661" w:right="657"/>
              <w:rPr>
                <w:rFonts w:ascii="Times New Roman"/>
                <w:sz w:val="21"/>
              </w:rPr>
            </w:pPr>
            <w:r>
              <w:rPr>
                <w:rFonts w:ascii="Times New Roman"/>
                <w:sz w:val="21"/>
              </w:rPr>
              <w:t>2400</w:t>
            </w:r>
          </w:p>
        </w:tc>
      </w:tr>
      <w:tr>
        <w:trPr>
          <w:trHeight w:val="285" w:hRule="atLeast"/>
        </w:trPr>
        <w:tc>
          <w:tcPr>
            <w:tcW w:w="1810" w:type="dxa"/>
            <w:vMerge/>
            <w:tcBorders>
              <w:top w:val="nil"/>
            </w:tcBorders>
          </w:tcPr>
          <w:p>
            <w:pPr>
              <w:rPr>
                <w:sz w:val="2"/>
                <w:szCs w:val="2"/>
              </w:rPr>
            </w:pPr>
          </w:p>
        </w:tc>
        <w:tc>
          <w:tcPr>
            <w:tcW w:w="4823" w:type="dxa"/>
          </w:tcPr>
          <w:p>
            <w:pPr>
              <w:pStyle w:val="TableParagraph"/>
              <w:spacing w:line="257" w:lineRule="exact" w:before="8"/>
              <w:ind w:left="920" w:right="910"/>
              <w:rPr>
                <w:sz w:val="21"/>
              </w:rPr>
            </w:pPr>
            <w:r>
              <w:rPr>
                <w:sz w:val="21"/>
              </w:rPr>
              <w:t>冷却系统废水</w:t>
            </w:r>
          </w:p>
        </w:tc>
        <w:tc>
          <w:tcPr>
            <w:tcW w:w="2658" w:type="dxa"/>
          </w:tcPr>
          <w:p>
            <w:pPr>
              <w:pStyle w:val="TableParagraph"/>
              <w:spacing w:before="22"/>
              <w:ind w:left="661" w:right="657"/>
              <w:rPr>
                <w:rFonts w:ascii="Times New Roman"/>
                <w:sz w:val="21"/>
              </w:rPr>
            </w:pPr>
            <w:r>
              <w:rPr>
                <w:rFonts w:ascii="Times New Roman"/>
                <w:sz w:val="21"/>
              </w:rPr>
              <w:t>14400</w:t>
            </w:r>
          </w:p>
        </w:tc>
      </w:tr>
      <w:tr>
        <w:trPr>
          <w:trHeight w:val="283" w:hRule="atLeast"/>
        </w:trPr>
        <w:tc>
          <w:tcPr>
            <w:tcW w:w="1810" w:type="dxa"/>
            <w:vMerge/>
            <w:tcBorders>
              <w:top w:val="nil"/>
            </w:tcBorders>
          </w:tcPr>
          <w:p>
            <w:pPr>
              <w:rPr>
                <w:sz w:val="2"/>
                <w:szCs w:val="2"/>
              </w:rPr>
            </w:pPr>
          </w:p>
        </w:tc>
        <w:tc>
          <w:tcPr>
            <w:tcW w:w="4823" w:type="dxa"/>
          </w:tcPr>
          <w:p>
            <w:pPr>
              <w:pStyle w:val="TableParagraph"/>
              <w:spacing w:line="258" w:lineRule="exact" w:before="6"/>
              <w:ind w:left="918" w:right="912"/>
              <w:rPr>
                <w:sz w:val="21"/>
              </w:rPr>
            </w:pPr>
            <w:r>
              <w:rPr>
                <w:sz w:val="21"/>
              </w:rPr>
              <w:t>生活污水</w:t>
            </w:r>
          </w:p>
        </w:tc>
        <w:tc>
          <w:tcPr>
            <w:tcW w:w="2658" w:type="dxa"/>
          </w:tcPr>
          <w:p>
            <w:pPr>
              <w:pStyle w:val="TableParagraph"/>
              <w:spacing w:before="19"/>
              <w:ind w:left="661" w:right="657"/>
              <w:rPr>
                <w:rFonts w:ascii="Times New Roman"/>
                <w:sz w:val="21"/>
              </w:rPr>
            </w:pPr>
            <w:r>
              <w:rPr>
                <w:rFonts w:ascii="Times New Roman"/>
                <w:sz w:val="21"/>
              </w:rPr>
              <w:t>2277</w:t>
            </w:r>
          </w:p>
        </w:tc>
      </w:tr>
      <w:tr>
        <w:trPr>
          <w:trHeight w:val="285" w:hRule="atLeast"/>
        </w:trPr>
        <w:tc>
          <w:tcPr>
            <w:tcW w:w="6633" w:type="dxa"/>
            <w:gridSpan w:val="2"/>
          </w:tcPr>
          <w:p>
            <w:pPr>
              <w:pStyle w:val="TableParagraph"/>
              <w:spacing w:line="257" w:lineRule="exact" w:before="8"/>
              <w:ind w:left="2450" w:right="2445"/>
              <w:rPr>
                <w:b/>
                <w:sz w:val="21"/>
              </w:rPr>
            </w:pPr>
            <w:r>
              <w:rPr>
                <w:b/>
                <w:sz w:val="21"/>
              </w:rPr>
              <w:t>公用工程废水合计</w:t>
            </w:r>
          </w:p>
        </w:tc>
        <w:tc>
          <w:tcPr>
            <w:tcW w:w="2658" w:type="dxa"/>
          </w:tcPr>
          <w:p>
            <w:pPr>
              <w:pStyle w:val="TableParagraph"/>
              <w:spacing w:before="22"/>
              <w:ind w:left="661" w:right="657"/>
              <w:rPr>
                <w:rFonts w:ascii="Times New Roman"/>
                <w:b/>
                <w:sz w:val="21"/>
              </w:rPr>
            </w:pPr>
            <w:r>
              <w:rPr>
                <w:rFonts w:ascii="Times New Roman"/>
                <w:b/>
                <w:sz w:val="21"/>
              </w:rPr>
              <w:t>46677</w:t>
            </w:r>
          </w:p>
        </w:tc>
      </w:tr>
    </w:tbl>
    <w:p>
      <w:pPr>
        <w:pStyle w:val="BodyText"/>
        <w:spacing w:before="2"/>
        <w:ind w:left="698"/>
      </w:pPr>
      <w:r>
        <w:rPr/>
        <w:t>另外，蒸汽冷凝水全部回用于冷却塔补充用水。</w:t>
      </w:r>
    </w:p>
    <w:p>
      <w:pPr>
        <w:pStyle w:val="BodyText"/>
        <w:spacing w:before="158"/>
        <w:ind w:left="698"/>
      </w:pPr>
      <w:r>
        <w:rPr>
          <w:rFonts w:ascii="Times New Roman" w:eastAsia="Times New Roman"/>
        </w:rPr>
        <w:t>3</w:t>
      </w:r>
      <w:r>
        <w:rPr/>
        <w:t>、固废</w:t>
      </w:r>
    </w:p>
    <w:p>
      <w:pPr>
        <w:pStyle w:val="BodyText"/>
        <w:spacing w:line="362" w:lineRule="auto" w:before="161"/>
        <w:ind w:left="218" w:right="114" w:firstLine="480"/>
      </w:pPr>
      <w:r>
        <w:rPr>
          <w:spacing w:val="-11"/>
        </w:rPr>
        <w:t>公用工程固废包括废包装袋、油及酸洗污泥、芬顿氧化污泥、生化污泥、冷凝液等， </w:t>
      </w:r>
      <w:r>
        <w:rPr/>
        <w:t>其中冷凝液已全部回用于生产，其他公用工程固废产生汇总情况见下表。</w:t>
      </w:r>
    </w:p>
    <w:p>
      <w:pPr>
        <w:spacing w:after="0" w:line="362" w:lineRule="auto"/>
        <w:sectPr>
          <w:pgSz w:w="11910" w:h="16850"/>
          <w:pgMar w:header="730" w:footer="690" w:top="1340" w:bottom="880" w:left="1200" w:right="1180"/>
        </w:sectPr>
      </w:pPr>
    </w:p>
    <w:p>
      <w:pPr>
        <w:pStyle w:val="BodyText"/>
        <w:spacing w:before="3"/>
        <w:rPr>
          <w:sz w:val="10"/>
        </w:rPr>
      </w:pPr>
    </w:p>
    <w:p>
      <w:pPr>
        <w:pStyle w:val="Heading4"/>
        <w:tabs>
          <w:tab w:pos="1222" w:val="left" w:leader="none"/>
          <w:tab w:pos="4114" w:val="left" w:leader="none"/>
        </w:tabs>
        <w:spacing w:before="74" w:after="29"/>
        <w:ind w:left="0" w:right="13"/>
        <w:jc w:val="center"/>
        <w:rPr>
          <w:rFonts w:ascii="Times New Roman" w:eastAsia="Times New Roman"/>
        </w:rPr>
      </w:pPr>
      <w:r>
        <w:rPr/>
        <w:t>表</w:t>
      </w:r>
      <w:r>
        <w:rPr>
          <w:spacing w:val="-60"/>
        </w:rPr>
        <w:t> </w:t>
      </w:r>
      <w:r>
        <w:rPr>
          <w:rFonts w:ascii="Times New Roman" w:eastAsia="Times New Roman"/>
        </w:rPr>
        <w:t>3.3.7-4</w:t>
        <w:tab/>
      </w:r>
      <w:r>
        <w:rPr/>
        <w:t>公用工程固废情况汇总表</w:t>
        <w:tab/>
        <w:t>单位：</w:t>
      </w:r>
      <w:r>
        <w:rPr>
          <w:rFonts w:ascii="Times New Roman" w:eastAsia="Times New Roman"/>
        </w:rPr>
        <w:t>t/a</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186"/>
        <w:gridCol w:w="992"/>
        <w:gridCol w:w="1560"/>
        <w:gridCol w:w="1419"/>
        <w:gridCol w:w="1277"/>
        <w:gridCol w:w="1614"/>
      </w:tblGrid>
      <w:tr>
        <w:trPr>
          <w:trHeight w:val="282" w:hRule="atLeast"/>
        </w:trPr>
        <w:tc>
          <w:tcPr>
            <w:tcW w:w="1140" w:type="dxa"/>
          </w:tcPr>
          <w:p>
            <w:pPr>
              <w:pStyle w:val="TableParagraph"/>
              <w:spacing w:line="257" w:lineRule="exact" w:before="5"/>
              <w:ind w:left="24" w:right="12"/>
              <w:rPr>
                <w:b/>
                <w:sz w:val="21"/>
              </w:rPr>
            </w:pPr>
            <w:r>
              <w:rPr>
                <w:b/>
                <w:sz w:val="21"/>
              </w:rPr>
              <w:t>固废名称</w:t>
            </w:r>
          </w:p>
        </w:tc>
        <w:tc>
          <w:tcPr>
            <w:tcW w:w="1186" w:type="dxa"/>
          </w:tcPr>
          <w:p>
            <w:pPr>
              <w:pStyle w:val="TableParagraph"/>
              <w:spacing w:line="257" w:lineRule="exact" w:before="5"/>
              <w:ind w:left="46" w:right="37"/>
              <w:rPr>
                <w:b/>
                <w:sz w:val="21"/>
              </w:rPr>
            </w:pPr>
            <w:r>
              <w:rPr>
                <w:b/>
                <w:sz w:val="21"/>
              </w:rPr>
              <w:t>产生工序</w:t>
            </w:r>
          </w:p>
        </w:tc>
        <w:tc>
          <w:tcPr>
            <w:tcW w:w="992" w:type="dxa"/>
          </w:tcPr>
          <w:p>
            <w:pPr>
              <w:pStyle w:val="TableParagraph"/>
              <w:spacing w:line="257" w:lineRule="exact" w:before="5"/>
              <w:ind w:right="272"/>
              <w:jc w:val="right"/>
              <w:rPr>
                <w:b/>
                <w:sz w:val="21"/>
              </w:rPr>
            </w:pPr>
            <w:r>
              <w:rPr>
                <w:b/>
                <w:sz w:val="21"/>
              </w:rPr>
              <w:t>性状</w:t>
            </w:r>
          </w:p>
        </w:tc>
        <w:tc>
          <w:tcPr>
            <w:tcW w:w="1560" w:type="dxa"/>
          </w:tcPr>
          <w:p>
            <w:pPr>
              <w:pStyle w:val="TableParagraph"/>
              <w:spacing w:line="257" w:lineRule="exact" w:before="5"/>
              <w:ind w:left="21" w:right="8"/>
              <w:rPr>
                <w:b/>
                <w:sz w:val="21"/>
              </w:rPr>
            </w:pPr>
            <w:r>
              <w:rPr>
                <w:b/>
                <w:sz w:val="21"/>
              </w:rPr>
              <w:t>主要成分</w:t>
            </w:r>
          </w:p>
        </w:tc>
        <w:tc>
          <w:tcPr>
            <w:tcW w:w="1419" w:type="dxa"/>
          </w:tcPr>
          <w:p>
            <w:pPr>
              <w:pStyle w:val="TableParagraph"/>
              <w:spacing w:line="257" w:lineRule="exact" w:before="5"/>
              <w:ind w:left="10"/>
              <w:rPr>
                <w:b/>
                <w:sz w:val="21"/>
              </w:rPr>
            </w:pPr>
            <w:r>
              <w:rPr>
                <w:b/>
                <w:sz w:val="21"/>
              </w:rPr>
              <w:t>危废代码</w:t>
            </w:r>
          </w:p>
        </w:tc>
        <w:tc>
          <w:tcPr>
            <w:tcW w:w="1277" w:type="dxa"/>
          </w:tcPr>
          <w:p>
            <w:pPr>
              <w:pStyle w:val="TableParagraph"/>
              <w:spacing w:line="257" w:lineRule="exact" w:before="5"/>
              <w:ind w:left="16" w:right="4"/>
              <w:rPr>
                <w:b/>
                <w:sz w:val="21"/>
              </w:rPr>
            </w:pPr>
            <w:r>
              <w:rPr>
                <w:b/>
                <w:sz w:val="21"/>
              </w:rPr>
              <w:t>达产产生量</w:t>
            </w:r>
          </w:p>
        </w:tc>
        <w:tc>
          <w:tcPr>
            <w:tcW w:w="1614" w:type="dxa"/>
          </w:tcPr>
          <w:p>
            <w:pPr>
              <w:pStyle w:val="TableParagraph"/>
              <w:spacing w:line="257" w:lineRule="exact" w:before="5"/>
              <w:ind w:left="385"/>
              <w:jc w:val="left"/>
              <w:rPr>
                <w:b/>
                <w:sz w:val="21"/>
              </w:rPr>
            </w:pPr>
            <w:r>
              <w:rPr>
                <w:b/>
                <w:sz w:val="21"/>
              </w:rPr>
              <w:t>处置去向</w:t>
            </w:r>
          </w:p>
        </w:tc>
      </w:tr>
      <w:tr>
        <w:trPr>
          <w:trHeight w:val="544" w:hRule="atLeast"/>
        </w:trPr>
        <w:tc>
          <w:tcPr>
            <w:tcW w:w="1140" w:type="dxa"/>
          </w:tcPr>
          <w:p>
            <w:pPr>
              <w:pStyle w:val="TableParagraph"/>
              <w:spacing w:before="137"/>
              <w:ind w:left="24" w:right="10"/>
              <w:rPr>
                <w:sz w:val="21"/>
              </w:rPr>
            </w:pPr>
            <w:r>
              <w:rPr>
                <w:sz w:val="21"/>
              </w:rPr>
              <w:t>废包装袋</w:t>
            </w:r>
          </w:p>
        </w:tc>
        <w:tc>
          <w:tcPr>
            <w:tcW w:w="1186" w:type="dxa"/>
          </w:tcPr>
          <w:p>
            <w:pPr>
              <w:pStyle w:val="TableParagraph"/>
              <w:spacing w:before="137"/>
              <w:ind w:left="48" w:right="37"/>
              <w:rPr>
                <w:sz w:val="21"/>
              </w:rPr>
            </w:pPr>
            <w:r>
              <w:rPr>
                <w:sz w:val="21"/>
              </w:rPr>
              <w:t>原料包装</w:t>
            </w:r>
          </w:p>
        </w:tc>
        <w:tc>
          <w:tcPr>
            <w:tcW w:w="992" w:type="dxa"/>
          </w:tcPr>
          <w:p>
            <w:pPr>
              <w:pStyle w:val="TableParagraph"/>
              <w:spacing w:before="137"/>
              <w:ind w:right="272"/>
              <w:jc w:val="right"/>
              <w:rPr>
                <w:sz w:val="21"/>
              </w:rPr>
            </w:pPr>
            <w:r>
              <w:rPr>
                <w:sz w:val="21"/>
              </w:rPr>
              <w:t>固态</w:t>
            </w:r>
          </w:p>
        </w:tc>
        <w:tc>
          <w:tcPr>
            <w:tcW w:w="1560" w:type="dxa"/>
          </w:tcPr>
          <w:p>
            <w:pPr>
              <w:pStyle w:val="TableParagraph"/>
              <w:spacing w:before="1"/>
              <w:ind w:left="21" w:right="8"/>
              <w:rPr>
                <w:sz w:val="21"/>
              </w:rPr>
            </w:pPr>
            <w:r>
              <w:rPr>
                <w:sz w:val="21"/>
              </w:rPr>
              <w:t>萘磺酸、编织袋</w:t>
            </w:r>
          </w:p>
          <w:p>
            <w:pPr>
              <w:pStyle w:val="TableParagraph"/>
              <w:spacing w:line="250" w:lineRule="exact" w:before="4"/>
              <w:ind w:left="8"/>
              <w:rPr>
                <w:sz w:val="21"/>
              </w:rPr>
            </w:pPr>
            <w:r>
              <w:rPr>
                <w:w w:val="100"/>
                <w:sz w:val="21"/>
              </w:rPr>
              <w:t>等</w:t>
            </w:r>
          </w:p>
        </w:tc>
        <w:tc>
          <w:tcPr>
            <w:tcW w:w="1419" w:type="dxa"/>
          </w:tcPr>
          <w:p>
            <w:pPr>
              <w:pStyle w:val="TableParagraph"/>
              <w:spacing w:before="31"/>
              <w:ind w:left="217" w:right="209" w:firstLine="211"/>
              <w:jc w:val="left"/>
              <w:rPr>
                <w:rFonts w:ascii="Times New Roman"/>
                <w:sz w:val="21"/>
              </w:rPr>
            </w:pPr>
            <w:r>
              <w:rPr>
                <w:rFonts w:ascii="Times New Roman"/>
                <w:sz w:val="21"/>
              </w:rPr>
              <w:t>HW49 900-041-49</w:t>
            </w:r>
          </w:p>
        </w:tc>
        <w:tc>
          <w:tcPr>
            <w:tcW w:w="1277" w:type="dxa"/>
          </w:tcPr>
          <w:p>
            <w:pPr>
              <w:pStyle w:val="TableParagraph"/>
              <w:spacing w:before="151"/>
              <w:ind w:left="16" w:right="4"/>
              <w:rPr>
                <w:rFonts w:ascii="Times New Roman"/>
                <w:sz w:val="21"/>
              </w:rPr>
            </w:pPr>
            <w:r>
              <w:rPr>
                <w:rFonts w:ascii="Times New Roman"/>
                <w:sz w:val="21"/>
              </w:rPr>
              <w:t>1.5</w:t>
            </w:r>
          </w:p>
        </w:tc>
        <w:tc>
          <w:tcPr>
            <w:tcW w:w="1614" w:type="dxa"/>
          </w:tcPr>
          <w:p>
            <w:pPr>
              <w:pStyle w:val="TableParagraph"/>
              <w:spacing w:before="1"/>
              <w:ind w:left="70"/>
              <w:jc w:val="left"/>
              <w:rPr>
                <w:sz w:val="21"/>
              </w:rPr>
            </w:pPr>
            <w:r>
              <w:rPr>
                <w:sz w:val="21"/>
              </w:rPr>
              <w:t>委托众联环保或</w:t>
            </w:r>
          </w:p>
          <w:p>
            <w:pPr>
              <w:pStyle w:val="TableParagraph"/>
              <w:spacing w:line="250" w:lineRule="exact" w:before="4"/>
              <w:ind w:left="176"/>
              <w:jc w:val="left"/>
              <w:rPr>
                <w:sz w:val="21"/>
              </w:rPr>
            </w:pPr>
            <w:r>
              <w:rPr>
                <w:sz w:val="21"/>
              </w:rPr>
              <w:t>华鑫环保焚烧</w:t>
            </w:r>
          </w:p>
        </w:tc>
      </w:tr>
      <w:tr>
        <w:trPr>
          <w:trHeight w:val="546" w:hRule="atLeast"/>
        </w:trPr>
        <w:tc>
          <w:tcPr>
            <w:tcW w:w="1140" w:type="dxa"/>
          </w:tcPr>
          <w:p>
            <w:pPr>
              <w:pStyle w:val="TableParagraph"/>
              <w:spacing w:line="270" w:lineRule="atLeast" w:before="2"/>
              <w:ind w:left="359" w:right="134" w:hanging="209"/>
              <w:jc w:val="left"/>
              <w:rPr>
                <w:sz w:val="21"/>
              </w:rPr>
            </w:pPr>
            <w:r>
              <w:rPr>
                <w:sz w:val="21"/>
              </w:rPr>
              <w:t>油及酸析污泥</w:t>
            </w:r>
          </w:p>
        </w:tc>
        <w:tc>
          <w:tcPr>
            <w:tcW w:w="1186" w:type="dxa"/>
          </w:tcPr>
          <w:p>
            <w:pPr>
              <w:pStyle w:val="TableParagraph"/>
              <w:spacing w:line="270" w:lineRule="atLeast" w:before="2"/>
              <w:ind w:left="172" w:right="53" w:hanging="106"/>
              <w:jc w:val="left"/>
              <w:rPr>
                <w:sz w:val="21"/>
              </w:rPr>
            </w:pPr>
            <w:r>
              <w:rPr>
                <w:sz w:val="21"/>
              </w:rPr>
              <w:t>废水隔油和酸析工序</w:t>
            </w:r>
          </w:p>
        </w:tc>
        <w:tc>
          <w:tcPr>
            <w:tcW w:w="992" w:type="dxa"/>
          </w:tcPr>
          <w:p>
            <w:pPr>
              <w:pStyle w:val="TableParagraph"/>
              <w:spacing w:before="138"/>
              <w:ind w:right="272"/>
              <w:jc w:val="right"/>
              <w:rPr>
                <w:sz w:val="21"/>
              </w:rPr>
            </w:pPr>
            <w:r>
              <w:rPr>
                <w:sz w:val="21"/>
              </w:rPr>
              <w:t>固态</w:t>
            </w:r>
          </w:p>
        </w:tc>
        <w:tc>
          <w:tcPr>
            <w:tcW w:w="1560" w:type="dxa"/>
          </w:tcPr>
          <w:p>
            <w:pPr>
              <w:pStyle w:val="TableParagraph"/>
              <w:spacing w:before="138"/>
              <w:ind w:left="21" w:right="8"/>
              <w:rPr>
                <w:sz w:val="21"/>
              </w:rPr>
            </w:pPr>
            <w:r>
              <w:rPr>
                <w:sz w:val="21"/>
              </w:rPr>
              <w:t>油及酸析污泥</w:t>
            </w:r>
          </w:p>
        </w:tc>
        <w:tc>
          <w:tcPr>
            <w:tcW w:w="1419" w:type="dxa"/>
          </w:tcPr>
          <w:p>
            <w:pPr>
              <w:pStyle w:val="TableParagraph"/>
              <w:spacing w:before="31"/>
              <w:ind w:left="217" w:right="209" w:firstLine="211"/>
              <w:jc w:val="left"/>
              <w:rPr>
                <w:rFonts w:ascii="Times New Roman"/>
                <w:sz w:val="21"/>
              </w:rPr>
            </w:pPr>
            <w:r>
              <w:rPr>
                <w:rFonts w:ascii="Times New Roman"/>
                <w:sz w:val="21"/>
              </w:rPr>
              <w:t>HW06 900-409-06</w:t>
            </w:r>
          </w:p>
        </w:tc>
        <w:tc>
          <w:tcPr>
            <w:tcW w:w="1277" w:type="dxa"/>
          </w:tcPr>
          <w:p>
            <w:pPr>
              <w:pStyle w:val="TableParagraph"/>
              <w:spacing w:before="151"/>
              <w:ind w:left="16" w:right="4"/>
              <w:rPr>
                <w:rFonts w:ascii="Times New Roman"/>
                <w:sz w:val="21"/>
              </w:rPr>
            </w:pPr>
            <w:r>
              <w:rPr>
                <w:rFonts w:ascii="Times New Roman"/>
                <w:sz w:val="21"/>
              </w:rPr>
              <w:t>865</w:t>
            </w:r>
          </w:p>
        </w:tc>
        <w:tc>
          <w:tcPr>
            <w:tcW w:w="1614" w:type="dxa"/>
          </w:tcPr>
          <w:p>
            <w:pPr>
              <w:pStyle w:val="TableParagraph"/>
              <w:spacing w:line="270" w:lineRule="atLeast" w:before="2"/>
              <w:ind w:left="176" w:right="57" w:hanging="106"/>
              <w:jc w:val="left"/>
              <w:rPr>
                <w:sz w:val="21"/>
              </w:rPr>
            </w:pPr>
            <w:r>
              <w:rPr>
                <w:sz w:val="21"/>
              </w:rPr>
              <w:t>委托众联环保或华鑫环保处置</w:t>
            </w:r>
          </w:p>
        </w:tc>
      </w:tr>
      <w:tr>
        <w:trPr>
          <w:trHeight w:val="544" w:hRule="atLeast"/>
        </w:trPr>
        <w:tc>
          <w:tcPr>
            <w:tcW w:w="1140" w:type="dxa"/>
          </w:tcPr>
          <w:p>
            <w:pPr>
              <w:pStyle w:val="TableParagraph"/>
              <w:spacing w:before="1"/>
              <w:ind w:left="24" w:right="10"/>
              <w:rPr>
                <w:sz w:val="21"/>
              </w:rPr>
            </w:pPr>
            <w:r>
              <w:rPr>
                <w:sz w:val="21"/>
              </w:rPr>
              <w:t>芬顿氧化</w:t>
            </w:r>
          </w:p>
          <w:p>
            <w:pPr>
              <w:pStyle w:val="TableParagraph"/>
              <w:spacing w:line="252" w:lineRule="exact" w:before="2"/>
              <w:ind w:left="24" w:right="12"/>
              <w:rPr>
                <w:sz w:val="21"/>
              </w:rPr>
            </w:pPr>
            <w:r>
              <w:rPr>
                <w:sz w:val="21"/>
              </w:rPr>
              <w:t>污泥</w:t>
            </w:r>
          </w:p>
        </w:tc>
        <w:tc>
          <w:tcPr>
            <w:tcW w:w="1186" w:type="dxa"/>
          </w:tcPr>
          <w:p>
            <w:pPr>
              <w:pStyle w:val="TableParagraph"/>
              <w:spacing w:before="1"/>
              <w:ind w:left="48" w:right="37"/>
              <w:rPr>
                <w:sz w:val="21"/>
              </w:rPr>
            </w:pPr>
            <w:r>
              <w:rPr>
                <w:sz w:val="21"/>
              </w:rPr>
              <w:t>铁碳芬顿氧</w:t>
            </w:r>
          </w:p>
          <w:p>
            <w:pPr>
              <w:pStyle w:val="TableParagraph"/>
              <w:spacing w:line="252" w:lineRule="exact" w:before="2"/>
              <w:ind w:left="46" w:right="37"/>
              <w:rPr>
                <w:sz w:val="21"/>
              </w:rPr>
            </w:pPr>
            <w:r>
              <w:rPr>
                <w:sz w:val="21"/>
              </w:rPr>
              <w:t>化工序</w:t>
            </w:r>
          </w:p>
        </w:tc>
        <w:tc>
          <w:tcPr>
            <w:tcW w:w="992" w:type="dxa"/>
          </w:tcPr>
          <w:p>
            <w:pPr>
              <w:pStyle w:val="TableParagraph"/>
              <w:spacing w:before="135"/>
              <w:ind w:right="272"/>
              <w:jc w:val="right"/>
              <w:rPr>
                <w:sz w:val="21"/>
              </w:rPr>
            </w:pPr>
            <w:r>
              <w:rPr>
                <w:sz w:val="21"/>
              </w:rPr>
              <w:t>固态</w:t>
            </w:r>
          </w:p>
        </w:tc>
        <w:tc>
          <w:tcPr>
            <w:tcW w:w="1560" w:type="dxa"/>
          </w:tcPr>
          <w:p>
            <w:pPr>
              <w:pStyle w:val="TableParagraph"/>
              <w:spacing w:before="135"/>
              <w:ind w:left="21" w:right="8"/>
              <w:rPr>
                <w:sz w:val="21"/>
              </w:rPr>
            </w:pPr>
            <w:r>
              <w:rPr>
                <w:sz w:val="21"/>
              </w:rPr>
              <w:t>芬顿氧化污泥</w:t>
            </w:r>
          </w:p>
        </w:tc>
        <w:tc>
          <w:tcPr>
            <w:tcW w:w="1419" w:type="dxa"/>
          </w:tcPr>
          <w:p>
            <w:pPr>
              <w:pStyle w:val="TableParagraph"/>
              <w:spacing w:before="29"/>
              <w:ind w:left="217" w:right="209" w:firstLine="211"/>
              <w:jc w:val="left"/>
              <w:rPr>
                <w:rFonts w:ascii="Times New Roman"/>
                <w:sz w:val="21"/>
              </w:rPr>
            </w:pPr>
            <w:r>
              <w:rPr>
                <w:rFonts w:ascii="Times New Roman"/>
                <w:sz w:val="21"/>
              </w:rPr>
              <w:t>HW06 900-409-06</w:t>
            </w:r>
          </w:p>
        </w:tc>
        <w:tc>
          <w:tcPr>
            <w:tcW w:w="1277" w:type="dxa"/>
          </w:tcPr>
          <w:p>
            <w:pPr>
              <w:pStyle w:val="TableParagraph"/>
              <w:spacing w:before="151"/>
              <w:ind w:left="16" w:right="4"/>
              <w:rPr>
                <w:rFonts w:ascii="Times New Roman"/>
                <w:sz w:val="21"/>
              </w:rPr>
            </w:pPr>
            <w:r>
              <w:rPr>
                <w:rFonts w:ascii="Times New Roman"/>
                <w:sz w:val="21"/>
              </w:rPr>
              <w:t>632</w:t>
            </w:r>
          </w:p>
        </w:tc>
        <w:tc>
          <w:tcPr>
            <w:tcW w:w="1614" w:type="dxa"/>
          </w:tcPr>
          <w:p>
            <w:pPr>
              <w:pStyle w:val="TableParagraph"/>
              <w:spacing w:before="1"/>
              <w:ind w:left="22" w:right="11"/>
              <w:rPr>
                <w:sz w:val="21"/>
              </w:rPr>
            </w:pPr>
            <w:r>
              <w:rPr>
                <w:sz w:val="21"/>
              </w:rPr>
              <w:t>委托众联环保填</w:t>
            </w:r>
          </w:p>
          <w:p>
            <w:pPr>
              <w:pStyle w:val="TableParagraph"/>
              <w:spacing w:line="252" w:lineRule="exact" w:before="2"/>
              <w:ind w:left="7"/>
              <w:rPr>
                <w:sz w:val="21"/>
              </w:rPr>
            </w:pPr>
            <w:r>
              <w:rPr>
                <w:w w:val="100"/>
                <w:sz w:val="21"/>
              </w:rPr>
              <w:t>埋</w:t>
            </w:r>
          </w:p>
        </w:tc>
      </w:tr>
      <w:tr>
        <w:trPr>
          <w:trHeight w:val="544" w:hRule="atLeast"/>
        </w:trPr>
        <w:tc>
          <w:tcPr>
            <w:tcW w:w="1140" w:type="dxa"/>
          </w:tcPr>
          <w:p>
            <w:pPr>
              <w:pStyle w:val="TableParagraph"/>
              <w:spacing w:before="138"/>
              <w:ind w:left="24" w:right="10"/>
              <w:rPr>
                <w:sz w:val="21"/>
              </w:rPr>
            </w:pPr>
            <w:r>
              <w:rPr>
                <w:sz w:val="21"/>
              </w:rPr>
              <w:t>生化污泥</w:t>
            </w:r>
          </w:p>
        </w:tc>
        <w:tc>
          <w:tcPr>
            <w:tcW w:w="1186" w:type="dxa"/>
          </w:tcPr>
          <w:p>
            <w:pPr>
              <w:pStyle w:val="TableParagraph"/>
              <w:spacing w:before="1"/>
              <w:ind w:left="48" w:right="37"/>
              <w:rPr>
                <w:sz w:val="21"/>
              </w:rPr>
            </w:pPr>
            <w:r>
              <w:rPr>
                <w:sz w:val="21"/>
              </w:rPr>
              <w:t>生化处理工</w:t>
            </w:r>
          </w:p>
          <w:p>
            <w:pPr>
              <w:pStyle w:val="TableParagraph"/>
              <w:spacing w:line="252" w:lineRule="exact" w:before="2"/>
              <w:ind w:left="9"/>
              <w:rPr>
                <w:sz w:val="21"/>
              </w:rPr>
            </w:pPr>
            <w:r>
              <w:rPr>
                <w:w w:val="100"/>
                <w:sz w:val="21"/>
              </w:rPr>
              <w:t>序</w:t>
            </w:r>
          </w:p>
        </w:tc>
        <w:tc>
          <w:tcPr>
            <w:tcW w:w="992" w:type="dxa"/>
          </w:tcPr>
          <w:p>
            <w:pPr>
              <w:pStyle w:val="TableParagraph"/>
              <w:spacing w:before="138"/>
              <w:ind w:right="272"/>
              <w:jc w:val="right"/>
              <w:rPr>
                <w:sz w:val="21"/>
              </w:rPr>
            </w:pPr>
            <w:r>
              <w:rPr>
                <w:sz w:val="21"/>
              </w:rPr>
              <w:t>固态</w:t>
            </w:r>
          </w:p>
        </w:tc>
        <w:tc>
          <w:tcPr>
            <w:tcW w:w="1560" w:type="dxa"/>
          </w:tcPr>
          <w:p>
            <w:pPr>
              <w:pStyle w:val="TableParagraph"/>
              <w:spacing w:before="138"/>
              <w:ind w:left="19" w:right="9"/>
              <w:rPr>
                <w:sz w:val="21"/>
              </w:rPr>
            </w:pPr>
            <w:r>
              <w:rPr>
                <w:sz w:val="21"/>
              </w:rPr>
              <w:t>生化污泥</w:t>
            </w:r>
          </w:p>
        </w:tc>
        <w:tc>
          <w:tcPr>
            <w:tcW w:w="1419" w:type="dxa"/>
          </w:tcPr>
          <w:p>
            <w:pPr>
              <w:pStyle w:val="TableParagraph"/>
              <w:spacing w:before="138"/>
              <w:ind w:left="10"/>
              <w:rPr>
                <w:sz w:val="21"/>
              </w:rPr>
            </w:pPr>
            <w:r>
              <w:rPr>
                <w:sz w:val="21"/>
              </w:rPr>
              <w:t>一般工业固废</w:t>
            </w:r>
          </w:p>
        </w:tc>
        <w:tc>
          <w:tcPr>
            <w:tcW w:w="1277" w:type="dxa"/>
          </w:tcPr>
          <w:p>
            <w:pPr>
              <w:pStyle w:val="TableParagraph"/>
              <w:spacing w:before="151"/>
              <w:ind w:left="11" w:right="4"/>
              <w:rPr>
                <w:rFonts w:ascii="Times New Roman"/>
                <w:sz w:val="21"/>
              </w:rPr>
            </w:pPr>
            <w:r>
              <w:rPr>
                <w:rFonts w:ascii="Times New Roman"/>
                <w:sz w:val="21"/>
              </w:rPr>
              <w:t>80</w:t>
            </w:r>
          </w:p>
        </w:tc>
        <w:tc>
          <w:tcPr>
            <w:tcW w:w="1614" w:type="dxa"/>
          </w:tcPr>
          <w:p>
            <w:pPr>
              <w:pStyle w:val="TableParagraph"/>
              <w:spacing w:before="1"/>
              <w:ind w:left="22" w:right="11"/>
              <w:rPr>
                <w:sz w:val="21"/>
              </w:rPr>
            </w:pPr>
            <w:r>
              <w:rPr>
                <w:sz w:val="21"/>
              </w:rPr>
              <w:t>委托众联一般工</w:t>
            </w:r>
          </w:p>
          <w:p>
            <w:pPr>
              <w:pStyle w:val="TableParagraph"/>
              <w:spacing w:line="252" w:lineRule="exact" w:before="2"/>
              <w:ind w:left="22" w:right="14"/>
              <w:rPr>
                <w:sz w:val="21"/>
              </w:rPr>
            </w:pPr>
            <w:r>
              <w:rPr>
                <w:sz w:val="21"/>
              </w:rPr>
              <w:t>业固废填埋</w:t>
            </w:r>
          </w:p>
        </w:tc>
      </w:tr>
    </w:tbl>
    <w:p>
      <w:pPr>
        <w:pStyle w:val="ListParagraph"/>
        <w:numPr>
          <w:ilvl w:val="1"/>
          <w:numId w:val="13"/>
        </w:numPr>
        <w:tabs>
          <w:tab w:pos="711" w:val="left" w:leader="none"/>
        </w:tabs>
        <w:spacing w:line="240" w:lineRule="auto" w:before="123" w:after="0"/>
        <w:ind w:left="710" w:right="0" w:hanging="493"/>
        <w:jc w:val="left"/>
        <w:rPr>
          <w:b/>
          <w:sz w:val="28"/>
        </w:rPr>
      </w:pPr>
      <w:bookmarkStart w:name="_bookmark18" w:id="37"/>
      <w:bookmarkEnd w:id="37"/>
      <w:r>
        <w:rPr/>
      </w:r>
      <w:bookmarkStart w:name="_bookmark18" w:id="38"/>
      <w:bookmarkEnd w:id="38"/>
      <w:r>
        <w:rPr>
          <w:b/>
          <w:sz w:val="28"/>
        </w:rPr>
        <w:t>现有企业污染物治理措施情况及达标性分析</w:t>
      </w:r>
    </w:p>
    <w:p>
      <w:pPr>
        <w:pStyle w:val="BodyText"/>
        <w:spacing w:before="186"/>
        <w:ind w:left="698"/>
      </w:pPr>
      <w:r>
        <w:rPr>
          <w:spacing w:val="-1"/>
        </w:rPr>
        <w:t>现有企业已建成环保治理装置均位于现有厂区</w:t>
      </w:r>
      <w:r>
        <w:rPr/>
        <w:t>（西区</w:t>
      </w:r>
      <w:r>
        <w:rPr>
          <w:spacing w:val="-120"/>
        </w:rPr>
        <w:t>）</w:t>
      </w:r>
      <w:r>
        <w:rPr/>
        <w:t>，具体情况如下：</w:t>
      </w:r>
    </w:p>
    <w:p>
      <w:pPr>
        <w:pStyle w:val="Heading4"/>
        <w:numPr>
          <w:ilvl w:val="2"/>
          <w:numId w:val="13"/>
        </w:numPr>
        <w:tabs>
          <w:tab w:pos="999" w:val="left" w:leader="none"/>
        </w:tabs>
        <w:spacing w:line="240" w:lineRule="auto" w:before="158" w:after="0"/>
        <w:ind w:left="998" w:right="0" w:hanging="541"/>
        <w:jc w:val="left"/>
      </w:pPr>
      <w:r>
        <w:rPr/>
        <w:t>现有企业废气治理设施</w:t>
      </w:r>
    </w:p>
    <w:p>
      <w:pPr>
        <w:spacing w:before="160"/>
        <w:ind w:left="701" w:right="0" w:firstLine="0"/>
        <w:jc w:val="left"/>
        <w:rPr>
          <w:b/>
          <w:sz w:val="24"/>
        </w:rPr>
      </w:pPr>
      <w:r>
        <w:rPr>
          <w:rFonts w:ascii="Times New Roman" w:eastAsia="Times New Roman"/>
          <w:b/>
          <w:sz w:val="24"/>
        </w:rPr>
        <w:t>1</w:t>
      </w:r>
      <w:r>
        <w:rPr>
          <w:b/>
          <w:sz w:val="24"/>
        </w:rPr>
        <w:t>、现有废气治理设施</w:t>
      </w:r>
    </w:p>
    <w:p>
      <w:pPr>
        <w:pStyle w:val="BodyText"/>
        <w:spacing w:before="8"/>
        <w:rPr>
          <w:b/>
          <w:sz w:val="23"/>
        </w:rPr>
      </w:pPr>
    </w:p>
    <w:p>
      <w:pPr>
        <w:tabs>
          <w:tab w:pos="1222" w:val="left" w:leader="none"/>
        </w:tabs>
        <w:spacing w:before="0" w:after="29"/>
        <w:ind w:left="0" w:right="14" w:firstLine="0"/>
        <w:jc w:val="center"/>
        <w:rPr>
          <w:b/>
          <w:sz w:val="24"/>
        </w:rPr>
      </w:pPr>
      <w:r>
        <w:rPr>
          <w:b/>
          <w:sz w:val="24"/>
        </w:rPr>
        <w:t>表</w:t>
      </w:r>
      <w:r>
        <w:rPr>
          <w:b/>
          <w:spacing w:val="-60"/>
          <w:sz w:val="24"/>
        </w:rPr>
        <w:t> </w:t>
      </w:r>
      <w:r>
        <w:rPr>
          <w:rFonts w:ascii="Times New Roman" w:eastAsia="Times New Roman"/>
          <w:b/>
          <w:sz w:val="24"/>
        </w:rPr>
        <w:t>3.4.1-1</w:t>
        <w:tab/>
      </w:r>
      <w:r>
        <w:rPr>
          <w:b/>
          <w:sz w:val="24"/>
        </w:rPr>
        <w:t>现有企业已设置废气处</w:t>
      </w:r>
      <w:r>
        <w:rPr>
          <w:b/>
          <w:spacing w:val="3"/>
          <w:sz w:val="24"/>
        </w:rPr>
        <w:t>理</w:t>
      </w:r>
      <w:r>
        <w:rPr>
          <w:b/>
          <w:sz w:val="24"/>
        </w:rPr>
        <w:t>设施情况一览表</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5"/>
        <w:gridCol w:w="2151"/>
        <w:gridCol w:w="4354"/>
        <w:gridCol w:w="1897"/>
      </w:tblGrid>
      <w:tr>
        <w:trPr>
          <w:trHeight w:val="282" w:hRule="atLeast"/>
        </w:trPr>
        <w:tc>
          <w:tcPr>
            <w:tcW w:w="785" w:type="dxa"/>
          </w:tcPr>
          <w:p>
            <w:pPr>
              <w:pStyle w:val="TableParagraph"/>
              <w:spacing w:line="257" w:lineRule="exact" w:before="5"/>
              <w:ind w:left="179"/>
              <w:jc w:val="left"/>
              <w:rPr>
                <w:b/>
                <w:sz w:val="21"/>
              </w:rPr>
            </w:pPr>
            <w:r>
              <w:rPr>
                <w:b/>
                <w:sz w:val="21"/>
              </w:rPr>
              <w:t>位置</w:t>
            </w:r>
            <w:r>
              <w:rPr>
                <w:b/>
                <w:w w:val="99"/>
                <w:sz w:val="21"/>
              </w:rPr>
              <w:t> </w:t>
            </w:r>
          </w:p>
        </w:tc>
        <w:tc>
          <w:tcPr>
            <w:tcW w:w="2151" w:type="dxa"/>
          </w:tcPr>
          <w:p>
            <w:pPr>
              <w:pStyle w:val="TableParagraph"/>
              <w:spacing w:line="257" w:lineRule="exact" w:before="5"/>
              <w:ind w:left="114"/>
              <w:rPr>
                <w:b/>
                <w:sz w:val="21"/>
              </w:rPr>
            </w:pPr>
            <w:r>
              <w:rPr>
                <w:b/>
                <w:sz w:val="21"/>
              </w:rPr>
              <w:t>污染源</w:t>
            </w:r>
            <w:r>
              <w:rPr>
                <w:b/>
                <w:w w:val="99"/>
                <w:sz w:val="21"/>
              </w:rPr>
              <w:t> </w:t>
            </w:r>
          </w:p>
        </w:tc>
        <w:tc>
          <w:tcPr>
            <w:tcW w:w="4354" w:type="dxa"/>
          </w:tcPr>
          <w:p>
            <w:pPr>
              <w:pStyle w:val="TableParagraph"/>
              <w:spacing w:line="257" w:lineRule="exact" w:before="5"/>
              <w:ind w:left="119" w:right="7"/>
              <w:rPr>
                <w:b/>
                <w:sz w:val="21"/>
              </w:rPr>
            </w:pPr>
            <w:r>
              <w:rPr>
                <w:b/>
                <w:sz w:val="21"/>
              </w:rPr>
              <w:t>处理工艺</w:t>
            </w:r>
            <w:r>
              <w:rPr>
                <w:b/>
                <w:w w:val="99"/>
                <w:sz w:val="21"/>
              </w:rPr>
              <w:t> </w:t>
            </w:r>
          </w:p>
        </w:tc>
        <w:tc>
          <w:tcPr>
            <w:tcW w:w="1897" w:type="dxa"/>
          </w:tcPr>
          <w:p>
            <w:pPr>
              <w:pStyle w:val="TableParagraph"/>
              <w:spacing w:line="262" w:lineRule="exact" w:before="1"/>
              <w:ind w:left="734"/>
              <w:jc w:val="left"/>
              <w:rPr>
                <w:b/>
                <w:sz w:val="21"/>
              </w:rPr>
            </w:pPr>
            <w:r>
              <w:rPr>
                <w:b/>
                <w:sz w:val="21"/>
              </w:rPr>
              <w:t>备注</w:t>
            </w:r>
            <w:r>
              <w:rPr>
                <w:b/>
                <w:w w:val="99"/>
                <w:sz w:val="21"/>
              </w:rPr>
              <w:t> </w:t>
            </w:r>
          </w:p>
        </w:tc>
      </w:tr>
      <w:tr>
        <w:trPr>
          <w:trHeight w:val="544" w:hRule="atLeast"/>
        </w:trPr>
        <w:tc>
          <w:tcPr>
            <w:tcW w:w="785" w:type="dxa"/>
            <w:vMerge w:val="restart"/>
          </w:tcPr>
          <w:p>
            <w:pPr>
              <w:pStyle w:val="TableParagraph"/>
              <w:jc w:val="left"/>
              <w:rPr>
                <w:b/>
                <w:sz w:val="20"/>
              </w:rPr>
            </w:pPr>
          </w:p>
          <w:p>
            <w:pPr>
              <w:pStyle w:val="TableParagraph"/>
              <w:jc w:val="left"/>
              <w:rPr>
                <w:b/>
                <w:sz w:val="20"/>
              </w:rPr>
            </w:pPr>
          </w:p>
          <w:p>
            <w:pPr>
              <w:pStyle w:val="TableParagraph"/>
              <w:spacing w:before="9"/>
              <w:jc w:val="left"/>
              <w:rPr>
                <w:b/>
                <w:sz w:val="24"/>
              </w:rPr>
            </w:pPr>
          </w:p>
          <w:p>
            <w:pPr>
              <w:pStyle w:val="TableParagraph"/>
              <w:spacing w:line="242" w:lineRule="auto"/>
              <w:ind w:left="285" w:right="62" w:hanging="209"/>
              <w:jc w:val="left"/>
              <w:rPr>
                <w:sz w:val="21"/>
              </w:rPr>
            </w:pPr>
            <w:r>
              <w:rPr>
                <w:sz w:val="21"/>
              </w:rPr>
              <w:t>硝化车间</w:t>
            </w:r>
          </w:p>
        </w:tc>
        <w:tc>
          <w:tcPr>
            <w:tcW w:w="2151" w:type="dxa"/>
          </w:tcPr>
          <w:p>
            <w:pPr>
              <w:pStyle w:val="TableParagraph"/>
              <w:spacing w:before="1"/>
              <w:ind w:left="13"/>
              <w:rPr>
                <w:sz w:val="21"/>
              </w:rPr>
            </w:pPr>
            <w:r>
              <w:rPr>
                <w:sz w:val="21"/>
              </w:rPr>
              <w:t>硝化反应尾气、混酸回</w:t>
            </w:r>
          </w:p>
          <w:p>
            <w:pPr>
              <w:pStyle w:val="TableParagraph"/>
              <w:spacing w:line="250" w:lineRule="exact" w:before="4"/>
              <w:ind w:left="13"/>
              <w:rPr>
                <w:sz w:val="21"/>
              </w:rPr>
            </w:pPr>
            <w:r>
              <w:rPr>
                <w:sz w:val="21"/>
              </w:rPr>
              <w:t>收废气</w:t>
            </w:r>
          </w:p>
        </w:tc>
        <w:tc>
          <w:tcPr>
            <w:tcW w:w="4354" w:type="dxa"/>
          </w:tcPr>
          <w:p>
            <w:pPr>
              <w:pStyle w:val="TableParagraph"/>
              <w:spacing w:before="1"/>
              <w:ind w:left="18" w:right="7"/>
              <w:rPr>
                <w:sz w:val="21"/>
              </w:rPr>
            </w:pPr>
            <w:r>
              <w:rPr>
                <w:sz w:val="21"/>
              </w:rPr>
              <w:t>冷凝</w:t>
            </w:r>
            <w:r>
              <w:rPr>
                <w:rFonts w:ascii="Times New Roman" w:eastAsia="Times New Roman"/>
                <w:sz w:val="21"/>
              </w:rPr>
              <w:t>+</w:t>
            </w:r>
            <w:r>
              <w:rPr>
                <w:sz w:val="21"/>
              </w:rPr>
              <w:t>七级硝酸吸收</w:t>
            </w:r>
            <w:r>
              <w:rPr>
                <w:rFonts w:ascii="Times New Roman" w:eastAsia="Times New Roman"/>
                <w:sz w:val="21"/>
              </w:rPr>
              <w:t>+RTO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w:t>
            </w:r>
          </w:p>
          <w:p>
            <w:pPr>
              <w:pStyle w:val="TableParagraph"/>
              <w:spacing w:line="250" w:lineRule="exact" w:before="4"/>
              <w:ind w:left="16" w:right="7"/>
              <w:rPr>
                <w:sz w:val="21"/>
              </w:rPr>
            </w:pPr>
            <w:r>
              <w:rPr>
                <w:sz w:val="21"/>
              </w:rPr>
              <w:t>级碱吸收</w:t>
            </w:r>
            <w:r>
              <w:rPr>
                <w:rFonts w:ascii="Times New Roman" w:eastAsia="Times New Roman"/>
                <w:sz w:val="21"/>
              </w:rPr>
              <w:t>+DA001 </w:t>
            </w:r>
            <w:r>
              <w:rPr>
                <w:sz w:val="21"/>
              </w:rPr>
              <w:t>排气筒</w:t>
            </w:r>
          </w:p>
        </w:tc>
        <w:tc>
          <w:tcPr>
            <w:tcW w:w="1897" w:type="dxa"/>
            <w:vMerge w:val="restart"/>
          </w:tcPr>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spacing w:before="3"/>
              <w:jc w:val="left"/>
              <w:rPr>
                <w:b/>
                <w:sz w:val="27"/>
              </w:rPr>
            </w:pPr>
          </w:p>
          <w:p>
            <w:pPr>
              <w:pStyle w:val="TableParagraph"/>
              <w:ind w:left="65" w:right="55"/>
              <w:rPr>
                <w:rFonts w:ascii="Times New Roman" w:eastAsia="Times New Roman"/>
                <w:sz w:val="21"/>
              </w:rPr>
            </w:pPr>
            <w:r>
              <w:rPr>
                <w:rFonts w:ascii="Times New Roman" w:eastAsia="Times New Roman"/>
                <w:sz w:val="21"/>
              </w:rPr>
              <w:t>RTO </w:t>
            </w:r>
            <w:r>
              <w:rPr>
                <w:sz w:val="21"/>
              </w:rPr>
              <w:t>焚烧装置设计处理风量为</w:t>
            </w:r>
            <w:r>
              <w:rPr>
                <w:rFonts w:ascii="Times New Roman" w:eastAsia="Times New Roman"/>
                <w:sz w:val="21"/>
              </w:rPr>
              <w:t>13000m</w:t>
            </w:r>
            <w:r>
              <w:rPr>
                <w:rFonts w:ascii="Times New Roman" w:eastAsia="Times New Roman"/>
                <w:position w:val="7"/>
                <w:sz w:val="14"/>
              </w:rPr>
              <w:t>3</w:t>
            </w:r>
            <w:r>
              <w:rPr>
                <w:rFonts w:ascii="Times New Roman" w:eastAsia="Times New Roman"/>
                <w:sz w:val="21"/>
              </w:rPr>
              <w:t>/h</w:t>
            </w:r>
          </w:p>
        </w:tc>
      </w:tr>
      <w:tr>
        <w:trPr>
          <w:trHeight w:val="544" w:hRule="atLeast"/>
        </w:trPr>
        <w:tc>
          <w:tcPr>
            <w:tcW w:w="785" w:type="dxa"/>
            <w:vMerge/>
            <w:tcBorders>
              <w:top w:val="nil"/>
            </w:tcBorders>
          </w:tcPr>
          <w:p>
            <w:pPr>
              <w:rPr>
                <w:sz w:val="2"/>
                <w:szCs w:val="2"/>
              </w:rPr>
            </w:pPr>
          </w:p>
        </w:tc>
        <w:tc>
          <w:tcPr>
            <w:tcW w:w="2151" w:type="dxa"/>
          </w:tcPr>
          <w:p>
            <w:pPr>
              <w:pStyle w:val="TableParagraph"/>
              <w:spacing w:before="1"/>
              <w:ind w:right="147"/>
              <w:jc w:val="right"/>
              <w:rPr>
                <w:sz w:val="21"/>
              </w:rPr>
            </w:pPr>
            <w:r>
              <w:rPr>
                <w:spacing w:val="-25"/>
                <w:sz w:val="21"/>
              </w:rPr>
              <w:t>干燥、脱焦、</w:t>
            </w:r>
            <w:r>
              <w:rPr>
                <w:rFonts w:ascii="Times New Roman" w:eastAsia="Times New Roman"/>
                <w:sz w:val="21"/>
              </w:rPr>
              <w:t>3-</w:t>
            </w:r>
            <w:r>
              <w:rPr>
                <w:spacing w:val="-2"/>
                <w:sz w:val="21"/>
              </w:rPr>
              <w:t>硝分离</w:t>
            </w:r>
          </w:p>
          <w:p>
            <w:pPr>
              <w:pStyle w:val="TableParagraph"/>
              <w:spacing w:line="250" w:lineRule="exact" w:before="4"/>
              <w:ind w:right="238"/>
              <w:jc w:val="right"/>
              <w:rPr>
                <w:sz w:val="21"/>
              </w:rPr>
            </w:pPr>
            <w:r>
              <w:rPr>
                <w:rFonts w:ascii="Times New Roman" w:eastAsia="Times New Roman"/>
                <w:sz w:val="21"/>
              </w:rPr>
              <w:t>4-</w:t>
            </w:r>
            <w:r>
              <w:rPr>
                <w:sz w:val="21"/>
              </w:rPr>
              <w:t>硝分离工序废气</w:t>
            </w:r>
          </w:p>
        </w:tc>
        <w:tc>
          <w:tcPr>
            <w:tcW w:w="4354" w:type="dxa"/>
          </w:tcPr>
          <w:p>
            <w:pPr>
              <w:pStyle w:val="TableParagraph"/>
              <w:tabs>
                <w:tab w:pos="287" w:val="left" w:leader="none"/>
              </w:tabs>
              <w:spacing w:before="1"/>
              <w:ind w:left="-160"/>
              <w:jc w:val="left"/>
              <w:rPr>
                <w:sz w:val="21"/>
              </w:rPr>
            </w:pPr>
            <w:r>
              <w:rPr>
                <w:sz w:val="21"/>
              </w:rPr>
              <w:t>、</w:t>
              <w:tab/>
              <w:t>冷</w:t>
            </w:r>
            <w:r>
              <w:rPr>
                <w:spacing w:val="-3"/>
                <w:sz w:val="21"/>
              </w:rPr>
              <w:t>凝</w:t>
            </w:r>
            <w:r>
              <w:rPr>
                <w:rFonts w:ascii="Times New Roman" w:eastAsia="Times New Roman"/>
                <w:sz w:val="21"/>
              </w:rPr>
              <w:t>+</w:t>
            </w:r>
            <w:r>
              <w:rPr>
                <w:rFonts w:ascii="Times New Roman" w:eastAsia="Times New Roman"/>
                <w:spacing w:val="-1"/>
                <w:sz w:val="21"/>
              </w:rPr>
              <w:t> </w:t>
            </w:r>
            <w:r>
              <w:rPr>
                <w:rFonts w:ascii="Times New Roman" w:eastAsia="Times New Roman"/>
                <w:spacing w:val="-7"/>
                <w:sz w:val="21"/>
              </w:rPr>
              <w:t>RTO</w:t>
            </w:r>
            <w:r>
              <w:rPr>
                <w:rFonts w:ascii="Times New Roman" w:eastAsia="Times New Roman"/>
                <w:spacing w:val="3"/>
                <w:sz w:val="21"/>
              </w:rPr>
              <w:t> </w:t>
            </w:r>
            <w:r>
              <w:rPr>
                <w:spacing w:val="-3"/>
                <w:sz w:val="21"/>
              </w:rPr>
              <w:t>焚</w:t>
            </w:r>
            <w:r>
              <w:rPr>
                <w:sz w:val="21"/>
              </w:rPr>
              <w:t>烧</w:t>
            </w:r>
            <w:r>
              <w:rPr>
                <w:rFonts w:ascii="Times New Roman" w:eastAsia="Times New Roman"/>
                <w:sz w:val="21"/>
              </w:rPr>
              <w:t>+SNCR</w:t>
            </w:r>
            <w:r>
              <w:rPr>
                <w:rFonts w:ascii="Times New Roman" w:eastAsia="Times New Roman"/>
                <w:spacing w:val="3"/>
                <w:sz w:val="21"/>
              </w:rPr>
              <w:t> </w:t>
            </w:r>
            <w:r>
              <w:rPr>
                <w:spacing w:val="-3"/>
                <w:sz w:val="21"/>
              </w:rPr>
              <w:t>脱</w:t>
            </w:r>
            <w:r>
              <w:rPr>
                <w:sz w:val="21"/>
              </w:rPr>
              <w:t>硝</w:t>
            </w:r>
            <w:r>
              <w:rPr>
                <w:rFonts w:ascii="Times New Roman" w:eastAsia="Times New Roman"/>
                <w:sz w:val="21"/>
              </w:rPr>
              <w:t>+</w:t>
            </w:r>
            <w:r>
              <w:rPr>
                <w:sz w:val="21"/>
              </w:rPr>
              <w:t>四</w:t>
            </w:r>
            <w:r>
              <w:rPr>
                <w:spacing w:val="-3"/>
                <w:sz w:val="21"/>
              </w:rPr>
              <w:t>级</w:t>
            </w:r>
            <w:r>
              <w:rPr>
                <w:sz w:val="21"/>
              </w:rPr>
              <w:t>碱</w:t>
            </w:r>
            <w:r>
              <w:rPr>
                <w:spacing w:val="-3"/>
                <w:sz w:val="21"/>
              </w:rPr>
              <w:t>吸</w:t>
            </w:r>
            <w:r>
              <w:rPr>
                <w:sz w:val="21"/>
              </w:rPr>
              <w:t>收</w:t>
            </w:r>
          </w:p>
          <w:p>
            <w:pPr>
              <w:pStyle w:val="TableParagraph"/>
              <w:spacing w:line="250" w:lineRule="exact" w:before="4"/>
              <w:ind w:left="15" w:right="7"/>
              <w:rPr>
                <w:sz w:val="21"/>
              </w:rPr>
            </w:pP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1089" w:hRule="atLeast"/>
        </w:trPr>
        <w:tc>
          <w:tcPr>
            <w:tcW w:w="785" w:type="dxa"/>
            <w:vMerge/>
            <w:tcBorders>
              <w:top w:val="nil"/>
            </w:tcBorders>
          </w:tcPr>
          <w:p>
            <w:pPr>
              <w:rPr>
                <w:sz w:val="2"/>
                <w:szCs w:val="2"/>
              </w:rPr>
            </w:pPr>
          </w:p>
        </w:tc>
        <w:tc>
          <w:tcPr>
            <w:tcW w:w="2151" w:type="dxa"/>
          </w:tcPr>
          <w:p>
            <w:pPr>
              <w:pStyle w:val="TableParagraph"/>
              <w:jc w:val="left"/>
              <w:rPr>
                <w:b/>
                <w:sz w:val="20"/>
              </w:rPr>
            </w:pPr>
          </w:p>
          <w:p>
            <w:pPr>
              <w:pStyle w:val="TableParagraph"/>
              <w:spacing w:before="155"/>
              <w:ind w:left="11"/>
              <w:rPr>
                <w:sz w:val="21"/>
              </w:rPr>
            </w:pPr>
            <w:r>
              <w:rPr>
                <w:sz w:val="21"/>
              </w:rPr>
              <w:t>副产品硫酸浓缩废气</w:t>
            </w:r>
          </w:p>
        </w:tc>
        <w:tc>
          <w:tcPr>
            <w:tcW w:w="4354" w:type="dxa"/>
          </w:tcPr>
          <w:p>
            <w:pPr>
              <w:pStyle w:val="TableParagraph"/>
              <w:spacing w:line="242" w:lineRule="auto" w:before="1"/>
              <w:ind w:left="73" w:right="55" w:hanging="8"/>
              <w:jc w:val="both"/>
              <w:rPr>
                <w:sz w:val="21"/>
              </w:rPr>
            </w:pPr>
            <w:r>
              <w:rPr>
                <w:spacing w:val="-6"/>
                <w:sz w:val="21"/>
              </w:rPr>
              <w:t>配套一级硝酸吸收后接入 </w:t>
            </w:r>
            <w:r>
              <w:rPr>
                <w:rFonts w:ascii="Times New Roman" w:eastAsia="Times New Roman"/>
                <w:sz w:val="21"/>
              </w:rPr>
              <w:t>4-</w:t>
            </w:r>
            <w:r>
              <w:rPr>
                <w:spacing w:val="-3"/>
                <w:sz w:val="21"/>
              </w:rPr>
              <w:t>硝基邻二甲苯生产线提升优化后的七级硝酸吸收装置回收硝酸， </w:t>
            </w:r>
            <w:r>
              <w:rPr>
                <w:spacing w:val="10"/>
                <w:sz w:val="21"/>
              </w:rPr>
              <w:t>最后接入</w:t>
            </w:r>
            <w:r>
              <w:rPr>
                <w:rFonts w:ascii="Times New Roman" w:eastAsia="Times New Roman"/>
                <w:spacing w:val="-7"/>
                <w:sz w:val="21"/>
              </w:rPr>
              <w:t>RTO </w:t>
            </w:r>
            <w:r>
              <w:rPr>
                <w:spacing w:val="-2"/>
                <w:sz w:val="21"/>
              </w:rPr>
              <w:t>系统</w:t>
            </w:r>
            <w:r>
              <w:rPr>
                <w:rFonts w:ascii="Times New Roman" w:eastAsia="Times New Roman"/>
                <w:sz w:val="21"/>
              </w:rPr>
              <w:t>+SNCR </w:t>
            </w:r>
            <w:r>
              <w:rPr>
                <w:spacing w:val="-2"/>
                <w:sz w:val="21"/>
              </w:rPr>
              <w:t>脱硝</w:t>
            </w:r>
            <w:r>
              <w:rPr>
                <w:rFonts w:ascii="Times New Roman" w:eastAsia="Times New Roman"/>
                <w:sz w:val="21"/>
              </w:rPr>
              <w:t>+</w:t>
            </w:r>
            <w:r>
              <w:rPr>
                <w:spacing w:val="-3"/>
                <w:sz w:val="21"/>
              </w:rPr>
              <w:t>四级碱吸收</w:t>
            </w:r>
          </w:p>
          <w:p>
            <w:pPr>
              <w:pStyle w:val="TableParagraph"/>
              <w:spacing w:line="250" w:lineRule="exact" w:before="3"/>
              <w:ind w:left="15" w:right="7"/>
              <w:rPr>
                <w:sz w:val="21"/>
              </w:rPr>
            </w:pP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285" w:hRule="atLeast"/>
        </w:trPr>
        <w:tc>
          <w:tcPr>
            <w:tcW w:w="785" w:type="dxa"/>
            <w:vMerge w:val="restart"/>
          </w:tcPr>
          <w:p>
            <w:pPr>
              <w:pStyle w:val="TableParagraph"/>
              <w:spacing w:line="242" w:lineRule="auto" w:before="149"/>
              <w:ind w:left="285" w:right="62" w:hanging="209"/>
              <w:jc w:val="left"/>
              <w:rPr>
                <w:sz w:val="21"/>
              </w:rPr>
            </w:pPr>
            <w:r>
              <w:rPr>
                <w:sz w:val="21"/>
              </w:rPr>
              <w:t>还原车间</w:t>
            </w:r>
          </w:p>
        </w:tc>
        <w:tc>
          <w:tcPr>
            <w:tcW w:w="2151" w:type="dxa"/>
          </w:tcPr>
          <w:p>
            <w:pPr>
              <w:pStyle w:val="TableParagraph"/>
              <w:spacing w:line="257" w:lineRule="exact" w:before="8"/>
              <w:ind w:left="13"/>
              <w:rPr>
                <w:sz w:val="21"/>
              </w:rPr>
            </w:pPr>
            <w:r>
              <w:rPr>
                <w:sz w:val="21"/>
              </w:rPr>
              <w:t>还原反应尾气</w:t>
            </w:r>
          </w:p>
        </w:tc>
        <w:tc>
          <w:tcPr>
            <w:tcW w:w="4354" w:type="dxa"/>
          </w:tcPr>
          <w:p>
            <w:pPr>
              <w:pStyle w:val="TableParagraph"/>
              <w:spacing w:line="257" w:lineRule="exact" w:before="8"/>
              <w:ind w:left="985"/>
              <w:jc w:val="left"/>
              <w:rPr>
                <w:sz w:val="21"/>
              </w:rPr>
            </w:pPr>
            <w:r>
              <w:rPr>
                <w:sz w:val="21"/>
              </w:rPr>
              <w:t>冷凝</w:t>
            </w:r>
            <w:r>
              <w:rPr>
                <w:rFonts w:ascii="Times New Roman" w:eastAsia="Times New Roman"/>
                <w:sz w:val="21"/>
              </w:rPr>
              <w:t>+</w:t>
            </w:r>
            <w:r>
              <w:rPr>
                <w:sz w:val="21"/>
              </w:rPr>
              <w:t>水封</w:t>
            </w:r>
            <w:r>
              <w:rPr>
                <w:rFonts w:ascii="Times New Roman" w:eastAsia="Times New Roman"/>
                <w:sz w:val="21"/>
              </w:rPr>
              <w:t>+DA003 </w:t>
            </w:r>
            <w:r>
              <w:rPr>
                <w:sz w:val="21"/>
              </w:rPr>
              <w:t>排气筒</w:t>
            </w:r>
          </w:p>
        </w:tc>
        <w:tc>
          <w:tcPr>
            <w:tcW w:w="1897" w:type="dxa"/>
            <w:vMerge/>
            <w:tcBorders>
              <w:top w:val="nil"/>
            </w:tcBorders>
          </w:tcPr>
          <w:p>
            <w:pPr>
              <w:rPr>
                <w:sz w:val="2"/>
                <w:szCs w:val="2"/>
              </w:rPr>
            </w:pPr>
          </w:p>
        </w:tc>
      </w:tr>
      <w:tr>
        <w:trPr>
          <w:trHeight w:val="544" w:hRule="atLeast"/>
        </w:trPr>
        <w:tc>
          <w:tcPr>
            <w:tcW w:w="785" w:type="dxa"/>
            <w:vMerge/>
            <w:tcBorders>
              <w:top w:val="nil"/>
            </w:tcBorders>
          </w:tcPr>
          <w:p>
            <w:pPr>
              <w:rPr>
                <w:sz w:val="2"/>
                <w:szCs w:val="2"/>
              </w:rPr>
            </w:pPr>
          </w:p>
        </w:tc>
        <w:tc>
          <w:tcPr>
            <w:tcW w:w="2151" w:type="dxa"/>
          </w:tcPr>
          <w:p>
            <w:pPr>
              <w:pStyle w:val="TableParagraph"/>
              <w:spacing w:before="1"/>
              <w:ind w:left="13"/>
              <w:rPr>
                <w:sz w:val="21"/>
              </w:rPr>
            </w:pPr>
            <w:r>
              <w:rPr>
                <w:sz w:val="21"/>
              </w:rPr>
              <w:t>分液、降膜蒸发和精馏</w:t>
            </w:r>
          </w:p>
          <w:p>
            <w:pPr>
              <w:pStyle w:val="TableParagraph"/>
              <w:spacing w:line="252" w:lineRule="exact" w:before="2"/>
              <w:ind w:left="10"/>
              <w:rPr>
                <w:sz w:val="21"/>
              </w:rPr>
            </w:pPr>
            <w:r>
              <w:rPr>
                <w:sz w:val="21"/>
              </w:rPr>
              <w:t>工序废气</w:t>
            </w:r>
          </w:p>
        </w:tc>
        <w:tc>
          <w:tcPr>
            <w:tcW w:w="4354" w:type="dxa"/>
          </w:tcPr>
          <w:p>
            <w:pPr>
              <w:pStyle w:val="TableParagraph"/>
              <w:spacing w:before="1"/>
              <w:ind w:left="16" w:right="7"/>
              <w:rPr>
                <w:sz w:val="21"/>
              </w:rPr>
            </w:pPr>
            <w:r>
              <w:rPr>
                <w:sz w:val="21"/>
              </w:rPr>
              <w:t>冷凝</w:t>
            </w:r>
            <w:r>
              <w:rPr>
                <w:rFonts w:ascii="Times New Roman" w:eastAsia="Times New Roman"/>
                <w:sz w:val="21"/>
              </w:rPr>
              <w:t>+ 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四级碱吸收</w:t>
            </w:r>
          </w:p>
          <w:p>
            <w:pPr>
              <w:pStyle w:val="TableParagraph"/>
              <w:spacing w:line="252" w:lineRule="exact" w:before="2"/>
              <w:ind w:left="16" w:right="7"/>
              <w:rPr>
                <w:sz w:val="21"/>
              </w:rPr>
            </w:pP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544" w:hRule="atLeast"/>
        </w:trPr>
        <w:tc>
          <w:tcPr>
            <w:tcW w:w="785" w:type="dxa"/>
            <w:vMerge w:val="restart"/>
          </w:tcPr>
          <w:p>
            <w:pPr>
              <w:pStyle w:val="TableParagraph"/>
              <w:jc w:val="left"/>
              <w:rPr>
                <w:b/>
                <w:sz w:val="20"/>
              </w:rPr>
            </w:pPr>
          </w:p>
          <w:p>
            <w:pPr>
              <w:pStyle w:val="TableParagraph"/>
              <w:jc w:val="left"/>
              <w:rPr>
                <w:b/>
                <w:sz w:val="20"/>
              </w:rPr>
            </w:pPr>
          </w:p>
          <w:p>
            <w:pPr>
              <w:pStyle w:val="TableParagraph"/>
              <w:spacing w:before="5"/>
              <w:jc w:val="left"/>
              <w:rPr>
                <w:b/>
                <w:sz w:val="14"/>
              </w:rPr>
            </w:pPr>
          </w:p>
          <w:p>
            <w:pPr>
              <w:pStyle w:val="TableParagraph"/>
              <w:spacing w:line="244" w:lineRule="auto"/>
              <w:ind w:left="285" w:right="62" w:hanging="209"/>
              <w:jc w:val="left"/>
              <w:rPr>
                <w:sz w:val="21"/>
              </w:rPr>
            </w:pPr>
            <w:r>
              <w:rPr>
                <w:sz w:val="21"/>
              </w:rPr>
              <w:t>罐区废气</w:t>
            </w:r>
          </w:p>
        </w:tc>
        <w:tc>
          <w:tcPr>
            <w:tcW w:w="2151" w:type="dxa"/>
          </w:tcPr>
          <w:p>
            <w:pPr>
              <w:pStyle w:val="TableParagraph"/>
              <w:spacing w:before="137"/>
              <w:ind w:left="10"/>
              <w:rPr>
                <w:sz w:val="21"/>
              </w:rPr>
            </w:pPr>
            <w:r>
              <w:rPr>
                <w:sz w:val="21"/>
              </w:rPr>
              <w:t>硝酸储罐</w:t>
            </w:r>
          </w:p>
        </w:tc>
        <w:tc>
          <w:tcPr>
            <w:tcW w:w="4354" w:type="dxa"/>
          </w:tcPr>
          <w:p>
            <w:pPr>
              <w:pStyle w:val="TableParagraph"/>
              <w:spacing w:before="1"/>
              <w:ind w:left="16" w:right="7"/>
              <w:rPr>
                <w:sz w:val="21"/>
              </w:rPr>
            </w:pPr>
            <w:r>
              <w:rPr>
                <w:sz w:val="21"/>
              </w:rPr>
              <w:t>四级硝酸吸收</w:t>
            </w:r>
            <w:r>
              <w:rPr>
                <w:rFonts w:ascii="Times New Roman" w:eastAsia="Times New Roman"/>
                <w:sz w:val="21"/>
              </w:rPr>
              <w:t>+SNCR </w:t>
            </w:r>
            <w:r>
              <w:rPr>
                <w:sz w:val="21"/>
              </w:rPr>
              <w:t>脱硝</w:t>
            </w:r>
            <w:r>
              <w:rPr>
                <w:rFonts w:ascii="Times New Roman" w:eastAsia="Times New Roman"/>
                <w:sz w:val="21"/>
              </w:rPr>
              <w:t>+</w:t>
            </w:r>
            <w:r>
              <w:rPr>
                <w:sz w:val="21"/>
              </w:rPr>
              <w:t>四级碱吸收</w:t>
            </w:r>
          </w:p>
          <w:p>
            <w:pPr>
              <w:pStyle w:val="TableParagraph"/>
              <w:spacing w:line="250" w:lineRule="exact" w:before="4"/>
              <w:ind w:left="16" w:right="7"/>
              <w:rPr>
                <w:sz w:val="21"/>
              </w:rPr>
            </w:pP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285" w:hRule="atLeast"/>
        </w:trPr>
        <w:tc>
          <w:tcPr>
            <w:tcW w:w="785" w:type="dxa"/>
            <w:vMerge/>
            <w:tcBorders>
              <w:top w:val="nil"/>
            </w:tcBorders>
          </w:tcPr>
          <w:p>
            <w:pPr>
              <w:rPr>
                <w:sz w:val="2"/>
                <w:szCs w:val="2"/>
              </w:rPr>
            </w:pPr>
          </w:p>
        </w:tc>
        <w:tc>
          <w:tcPr>
            <w:tcW w:w="2151" w:type="dxa"/>
          </w:tcPr>
          <w:p>
            <w:pPr>
              <w:pStyle w:val="TableParagraph"/>
              <w:spacing w:line="257" w:lineRule="exact" w:before="8"/>
              <w:ind w:left="10"/>
              <w:rPr>
                <w:sz w:val="21"/>
              </w:rPr>
            </w:pPr>
            <w:r>
              <w:rPr>
                <w:sz w:val="21"/>
              </w:rPr>
              <w:t>硫酸储罐</w:t>
            </w:r>
          </w:p>
        </w:tc>
        <w:tc>
          <w:tcPr>
            <w:tcW w:w="4354" w:type="dxa"/>
          </w:tcPr>
          <w:p>
            <w:pPr>
              <w:pStyle w:val="TableParagraph"/>
              <w:spacing w:line="257" w:lineRule="exact" w:before="8"/>
              <w:ind w:left="940"/>
              <w:jc w:val="left"/>
              <w:rPr>
                <w:sz w:val="21"/>
              </w:rPr>
            </w:pPr>
            <w:r>
              <w:rPr>
                <w:sz w:val="21"/>
              </w:rPr>
              <w:t>四级碱吸收</w:t>
            </w: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1089" w:hRule="atLeast"/>
        </w:trPr>
        <w:tc>
          <w:tcPr>
            <w:tcW w:w="785" w:type="dxa"/>
            <w:vMerge/>
            <w:tcBorders>
              <w:top w:val="nil"/>
            </w:tcBorders>
          </w:tcPr>
          <w:p>
            <w:pPr>
              <w:rPr>
                <w:sz w:val="2"/>
                <w:szCs w:val="2"/>
              </w:rPr>
            </w:pPr>
          </w:p>
        </w:tc>
        <w:tc>
          <w:tcPr>
            <w:tcW w:w="2151" w:type="dxa"/>
          </w:tcPr>
          <w:p>
            <w:pPr>
              <w:pStyle w:val="TableParagraph"/>
              <w:spacing w:line="242" w:lineRule="auto" w:before="1"/>
              <w:ind w:left="57" w:right="41" w:firstLine="2"/>
              <w:jc w:val="both"/>
              <w:rPr>
                <w:sz w:val="21"/>
              </w:rPr>
            </w:pPr>
            <w:r>
              <w:rPr>
                <w:spacing w:val="-2"/>
                <w:sz w:val="21"/>
              </w:rPr>
              <w:t>邻二甲苯、</w:t>
            </w:r>
            <w:r>
              <w:rPr>
                <w:rFonts w:ascii="Times New Roman" w:eastAsia="Times New Roman"/>
                <w:sz w:val="21"/>
              </w:rPr>
              <w:t>3-</w:t>
            </w:r>
            <w:r>
              <w:rPr>
                <w:spacing w:val="-2"/>
                <w:sz w:val="21"/>
              </w:rPr>
              <w:t>戊酮、</w:t>
            </w:r>
            <w:r>
              <w:rPr>
                <w:rFonts w:ascii="Times New Roman" w:eastAsia="Times New Roman"/>
                <w:spacing w:val="-6"/>
                <w:sz w:val="21"/>
              </w:rPr>
              <w:t>4- </w:t>
            </w:r>
            <w:r>
              <w:rPr>
                <w:spacing w:val="-6"/>
                <w:sz w:val="21"/>
              </w:rPr>
              <w:t>硝基邻二甲苯、</w:t>
            </w:r>
            <w:r>
              <w:rPr>
                <w:rFonts w:ascii="Times New Roman" w:eastAsia="Times New Roman"/>
                <w:sz w:val="21"/>
              </w:rPr>
              <w:t>3-</w:t>
            </w:r>
            <w:r>
              <w:rPr>
                <w:spacing w:val="-8"/>
                <w:sz w:val="21"/>
              </w:rPr>
              <w:t>硝基</w:t>
            </w:r>
            <w:r>
              <w:rPr>
                <w:spacing w:val="-3"/>
                <w:sz w:val="21"/>
              </w:rPr>
              <w:t>邻二甲苯、</w:t>
            </w:r>
            <w:r>
              <w:rPr>
                <w:rFonts w:ascii="Times New Roman" w:eastAsia="Times New Roman"/>
                <w:sz w:val="21"/>
              </w:rPr>
              <w:t>2,3-</w:t>
            </w:r>
            <w:r>
              <w:rPr>
                <w:spacing w:val="-2"/>
                <w:sz w:val="21"/>
              </w:rPr>
              <w:t>二甲基</w:t>
            </w:r>
          </w:p>
          <w:p>
            <w:pPr>
              <w:pStyle w:val="TableParagraph"/>
              <w:spacing w:line="252" w:lineRule="exact"/>
              <w:ind w:left="57"/>
              <w:jc w:val="left"/>
              <w:rPr>
                <w:sz w:val="21"/>
              </w:rPr>
            </w:pPr>
            <w:r>
              <w:rPr>
                <w:spacing w:val="-27"/>
                <w:sz w:val="21"/>
              </w:rPr>
              <w:t>苯胺、</w:t>
            </w:r>
            <w:r>
              <w:rPr>
                <w:rFonts w:ascii="Times New Roman" w:eastAsia="Times New Roman"/>
                <w:spacing w:val="-1"/>
                <w:sz w:val="21"/>
              </w:rPr>
              <w:t>N-</w:t>
            </w:r>
            <w:r>
              <w:rPr>
                <w:spacing w:val="-3"/>
                <w:sz w:val="21"/>
              </w:rPr>
              <w:t>戊基苯胺储罐</w:t>
            </w:r>
          </w:p>
        </w:tc>
        <w:tc>
          <w:tcPr>
            <w:tcW w:w="4354" w:type="dxa"/>
          </w:tcPr>
          <w:p>
            <w:pPr>
              <w:pStyle w:val="TableParagraph"/>
              <w:spacing w:before="3"/>
              <w:jc w:val="left"/>
              <w:rPr>
                <w:b/>
                <w:sz w:val="21"/>
              </w:rPr>
            </w:pPr>
          </w:p>
          <w:p>
            <w:pPr>
              <w:pStyle w:val="TableParagraph"/>
              <w:spacing w:line="244" w:lineRule="auto"/>
              <w:ind w:left="1965" w:right="30" w:hanging="1882"/>
              <w:jc w:val="left"/>
              <w:rPr>
                <w:sz w:val="21"/>
              </w:rPr>
            </w:pPr>
            <w:r>
              <w:rPr>
                <w:rFonts w:ascii="Times New Roman" w:eastAsia="Times New Roman"/>
                <w:sz w:val="21"/>
              </w:rPr>
              <w:t>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四级碱吸收</w:t>
            </w: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544" w:hRule="atLeast"/>
        </w:trPr>
        <w:tc>
          <w:tcPr>
            <w:tcW w:w="785" w:type="dxa"/>
            <w:vMerge w:val="restart"/>
          </w:tcPr>
          <w:p>
            <w:pPr>
              <w:pStyle w:val="TableParagraph"/>
              <w:spacing w:before="2"/>
              <w:jc w:val="left"/>
              <w:rPr>
                <w:b/>
                <w:sz w:val="22"/>
              </w:rPr>
            </w:pPr>
          </w:p>
          <w:p>
            <w:pPr>
              <w:pStyle w:val="TableParagraph"/>
              <w:spacing w:before="1"/>
              <w:ind w:left="76"/>
              <w:jc w:val="left"/>
              <w:rPr>
                <w:sz w:val="21"/>
              </w:rPr>
            </w:pPr>
            <w:r>
              <w:rPr>
                <w:sz w:val="21"/>
              </w:rPr>
              <w:t>污水站</w:t>
            </w:r>
          </w:p>
        </w:tc>
        <w:tc>
          <w:tcPr>
            <w:tcW w:w="2151" w:type="dxa"/>
          </w:tcPr>
          <w:p>
            <w:pPr>
              <w:pStyle w:val="TableParagraph"/>
              <w:spacing w:before="138"/>
              <w:ind w:left="13"/>
              <w:rPr>
                <w:sz w:val="21"/>
              </w:rPr>
            </w:pPr>
            <w:r>
              <w:rPr>
                <w:sz w:val="21"/>
              </w:rPr>
              <w:t>物化池</w:t>
            </w:r>
          </w:p>
        </w:tc>
        <w:tc>
          <w:tcPr>
            <w:tcW w:w="4354" w:type="dxa"/>
          </w:tcPr>
          <w:p>
            <w:pPr>
              <w:pStyle w:val="TableParagraph"/>
              <w:spacing w:before="1"/>
              <w:ind w:left="16" w:right="7"/>
              <w:rPr>
                <w:sz w:val="21"/>
              </w:rPr>
            </w:pPr>
            <w:r>
              <w:rPr>
                <w:rFonts w:ascii="Times New Roman" w:eastAsia="Times New Roman"/>
                <w:sz w:val="21"/>
              </w:rPr>
              <w:t>RTO </w:t>
            </w:r>
            <w:r>
              <w:rPr>
                <w:sz w:val="21"/>
              </w:rPr>
              <w:t>焚烧</w:t>
            </w:r>
            <w:r>
              <w:rPr>
                <w:rFonts w:ascii="Times New Roman" w:eastAsia="Times New Roman"/>
                <w:sz w:val="21"/>
              </w:rPr>
              <w:t>+SNCR </w:t>
            </w:r>
            <w:r>
              <w:rPr>
                <w:sz w:val="21"/>
              </w:rPr>
              <w:t>脱硝</w:t>
            </w:r>
            <w:r>
              <w:rPr>
                <w:rFonts w:ascii="Times New Roman" w:eastAsia="Times New Roman"/>
                <w:sz w:val="21"/>
              </w:rPr>
              <w:t>+</w:t>
            </w:r>
            <w:r>
              <w:rPr>
                <w:sz w:val="21"/>
              </w:rPr>
              <w:t>四级碱吸收</w:t>
            </w:r>
            <w:r>
              <w:rPr>
                <w:rFonts w:ascii="Times New Roman" w:eastAsia="Times New Roman"/>
                <w:sz w:val="21"/>
              </w:rPr>
              <w:t>+DA001 </w:t>
            </w:r>
            <w:r>
              <w:rPr>
                <w:sz w:val="21"/>
              </w:rPr>
              <w:t>排</w:t>
            </w:r>
          </w:p>
          <w:p>
            <w:pPr>
              <w:pStyle w:val="TableParagraph"/>
              <w:spacing w:line="252" w:lineRule="exact" w:before="2"/>
              <w:ind w:left="15" w:right="7"/>
              <w:rPr>
                <w:sz w:val="21"/>
              </w:rPr>
            </w:pPr>
            <w:r>
              <w:rPr>
                <w:sz w:val="21"/>
              </w:rPr>
              <w:t>气筒</w:t>
            </w:r>
          </w:p>
        </w:tc>
        <w:tc>
          <w:tcPr>
            <w:tcW w:w="1897" w:type="dxa"/>
            <w:vMerge/>
            <w:tcBorders>
              <w:top w:val="nil"/>
            </w:tcBorders>
          </w:tcPr>
          <w:p>
            <w:pPr>
              <w:rPr>
                <w:sz w:val="2"/>
                <w:szCs w:val="2"/>
              </w:rPr>
            </w:pPr>
          </w:p>
        </w:tc>
      </w:tr>
      <w:tr>
        <w:trPr>
          <w:trHeight w:val="282" w:hRule="atLeast"/>
        </w:trPr>
        <w:tc>
          <w:tcPr>
            <w:tcW w:w="785" w:type="dxa"/>
            <w:vMerge/>
            <w:tcBorders>
              <w:top w:val="nil"/>
            </w:tcBorders>
          </w:tcPr>
          <w:p>
            <w:pPr>
              <w:rPr>
                <w:sz w:val="2"/>
                <w:szCs w:val="2"/>
              </w:rPr>
            </w:pPr>
          </w:p>
        </w:tc>
        <w:tc>
          <w:tcPr>
            <w:tcW w:w="2151" w:type="dxa"/>
          </w:tcPr>
          <w:p>
            <w:pPr>
              <w:pStyle w:val="TableParagraph"/>
              <w:spacing w:line="257" w:lineRule="exact" w:before="6"/>
              <w:ind w:left="10"/>
              <w:rPr>
                <w:sz w:val="21"/>
              </w:rPr>
            </w:pPr>
            <w:r>
              <w:rPr>
                <w:sz w:val="21"/>
              </w:rPr>
              <w:t>生化池废气</w:t>
            </w:r>
          </w:p>
        </w:tc>
        <w:tc>
          <w:tcPr>
            <w:tcW w:w="4354" w:type="dxa"/>
          </w:tcPr>
          <w:p>
            <w:pPr>
              <w:pStyle w:val="TableParagraph"/>
              <w:spacing w:line="257" w:lineRule="exact" w:before="6"/>
              <w:ind w:left="940"/>
              <w:jc w:val="left"/>
              <w:rPr>
                <w:sz w:val="21"/>
              </w:rPr>
            </w:pPr>
            <w:r>
              <w:rPr>
                <w:sz w:val="21"/>
              </w:rPr>
              <w:t>四级碱吸收</w:t>
            </w:r>
            <w:r>
              <w:rPr>
                <w:rFonts w:ascii="Times New Roman" w:eastAsia="Times New Roman"/>
                <w:sz w:val="21"/>
              </w:rPr>
              <w:t>+DA001 </w:t>
            </w:r>
            <w:r>
              <w:rPr>
                <w:sz w:val="21"/>
              </w:rPr>
              <w:t>排气筒</w:t>
            </w:r>
          </w:p>
        </w:tc>
        <w:tc>
          <w:tcPr>
            <w:tcW w:w="1897" w:type="dxa"/>
            <w:vMerge/>
            <w:tcBorders>
              <w:top w:val="nil"/>
            </w:tcBorders>
          </w:tcPr>
          <w:p>
            <w:pPr>
              <w:rPr>
                <w:sz w:val="2"/>
                <w:szCs w:val="2"/>
              </w:rPr>
            </w:pPr>
          </w:p>
        </w:tc>
      </w:tr>
      <w:tr>
        <w:trPr>
          <w:trHeight w:val="546" w:hRule="atLeast"/>
        </w:trPr>
        <w:tc>
          <w:tcPr>
            <w:tcW w:w="785" w:type="dxa"/>
          </w:tcPr>
          <w:p>
            <w:pPr>
              <w:pStyle w:val="TableParagraph"/>
              <w:spacing w:before="1"/>
              <w:ind w:left="58" w:right="47"/>
              <w:rPr>
                <w:sz w:val="21"/>
              </w:rPr>
            </w:pPr>
            <w:r>
              <w:rPr>
                <w:sz w:val="21"/>
              </w:rPr>
              <w:t>天然气</w:t>
            </w:r>
          </w:p>
          <w:p>
            <w:pPr>
              <w:pStyle w:val="TableParagraph"/>
              <w:spacing w:line="252" w:lineRule="exact" w:before="4"/>
              <w:ind w:left="58" w:right="47"/>
              <w:rPr>
                <w:sz w:val="21"/>
              </w:rPr>
            </w:pPr>
            <w:r>
              <w:rPr>
                <w:sz w:val="21"/>
              </w:rPr>
              <w:t>锅炉</w:t>
            </w:r>
          </w:p>
        </w:tc>
        <w:tc>
          <w:tcPr>
            <w:tcW w:w="2151" w:type="dxa"/>
          </w:tcPr>
          <w:p>
            <w:pPr>
              <w:pStyle w:val="TableParagraph"/>
              <w:spacing w:before="137"/>
              <w:ind w:left="13"/>
              <w:rPr>
                <w:sz w:val="21"/>
              </w:rPr>
            </w:pPr>
            <w:r>
              <w:rPr>
                <w:sz w:val="21"/>
              </w:rPr>
              <w:t>天然气燃烧废气</w:t>
            </w:r>
          </w:p>
        </w:tc>
        <w:tc>
          <w:tcPr>
            <w:tcW w:w="4354" w:type="dxa"/>
          </w:tcPr>
          <w:p>
            <w:pPr>
              <w:pStyle w:val="TableParagraph"/>
              <w:spacing w:before="137"/>
              <w:ind w:left="868"/>
              <w:jc w:val="left"/>
              <w:rPr>
                <w:sz w:val="21"/>
              </w:rPr>
            </w:pPr>
            <w:r>
              <w:rPr>
                <w:sz w:val="21"/>
              </w:rPr>
              <w:t>收集后经排气筒 </w:t>
            </w:r>
            <w:r>
              <w:rPr>
                <w:rFonts w:ascii="Times New Roman" w:eastAsia="Times New Roman"/>
                <w:sz w:val="21"/>
              </w:rPr>
              <w:t>DA002 </w:t>
            </w:r>
            <w:r>
              <w:rPr>
                <w:sz w:val="21"/>
              </w:rPr>
              <w:t>排放</w:t>
            </w:r>
          </w:p>
        </w:tc>
        <w:tc>
          <w:tcPr>
            <w:tcW w:w="1897" w:type="dxa"/>
            <w:vMerge/>
            <w:tcBorders>
              <w:top w:val="nil"/>
            </w:tcBorders>
          </w:tcPr>
          <w:p>
            <w:pPr>
              <w:rPr>
                <w:sz w:val="2"/>
                <w:szCs w:val="2"/>
              </w:rPr>
            </w:pPr>
          </w:p>
        </w:tc>
      </w:tr>
    </w:tbl>
    <w:p>
      <w:pPr>
        <w:spacing w:after="0"/>
        <w:rPr>
          <w:sz w:val="2"/>
          <w:szCs w:val="2"/>
        </w:rPr>
        <w:sectPr>
          <w:pgSz w:w="11910" w:h="16850"/>
          <w:pgMar w:header="730" w:footer="690" w:top="1340" w:bottom="880" w:left="1200" w:right="1180"/>
        </w:sectPr>
      </w:pPr>
    </w:p>
    <w:p>
      <w:pPr>
        <w:pStyle w:val="BodyText"/>
        <w:spacing w:before="3"/>
        <w:rPr>
          <w:b/>
          <w:sz w:val="9"/>
        </w:rPr>
      </w:pPr>
    </w:p>
    <w:p>
      <w:pPr>
        <w:spacing w:before="75" w:after="55"/>
        <w:ind w:left="0" w:right="1699" w:firstLine="0"/>
        <w:jc w:val="right"/>
        <w:rPr>
          <w:sz w:val="19"/>
        </w:rPr>
      </w:pPr>
      <w:r>
        <w:rPr>
          <w:sz w:val="19"/>
        </w:rPr>
        <w:t>硫酸储罐废气</w:t>
      </w:r>
    </w:p>
    <w:p>
      <w:pPr>
        <w:pStyle w:val="BodyText"/>
        <w:ind w:left="7217"/>
        <w:rPr>
          <w:sz w:val="20"/>
        </w:rPr>
      </w:pPr>
      <w:r>
        <w:rPr>
          <w:sz w:val="20"/>
        </w:rPr>
        <w:pict>
          <v:group style="width:4.5pt;height:19.1pt;mso-position-horizontal-relative:char;mso-position-vertical-relative:line" coordorigin="0,0" coordsize="90,382">
            <v:line style="position:absolute" from="45,261" to="45,0" stroked="true" strokeweight=".511767pt" strokecolor="#000000">
              <v:stroke dashstyle="solid"/>
            </v:line>
            <v:shape style="position:absolute;left:0;top:249;width:90;height:133" coordorigin="0,250" coordsize="90,133" path="m89,250l0,250,45,382,89,250xe" filled="true" fillcolor="#000000" stroked="false">
              <v:path arrowok="t"/>
              <v:fill type="solid"/>
            </v:shape>
          </v:group>
        </w:pict>
      </w:r>
      <w:r>
        <w:rPr>
          <w:sz w:val="20"/>
        </w:rPr>
      </w:r>
    </w:p>
    <w:p>
      <w:pPr>
        <w:spacing w:after="0"/>
        <w:rPr>
          <w:sz w:val="20"/>
        </w:rPr>
        <w:sectPr>
          <w:pgSz w:w="11910" w:h="16850"/>
          <w:pgMar w:header="730" w:footer="690" w:top="1340" w:bottom="880" w:left="1200" w:right="1180"/>
        </w:sectPr>
      </w:pPr>
    </w:p>
    <w:p>
      <w:pPr>
        <w:tabs>
          <w:tab w:pos="3494" w:val="left" w:leader="none"/>
        </w:tabs>
        <w:spacing w:line="188" w:lineRule="exact" w:before="0"/>
        <w:ind w:left="456" w:right="0" w:firstLine="0"/>
        <w:jc w:val="left"/>
        <w:rPr>
          <w:rFonts w:ascii="Times New Roman" w:eastAsia="Times New Roman"/>
          <w:sz w:val="19"/>
        </w:rPr>
      </w:pPr>
      <w:r>
        <w:rPr/>
        <w:pict>
          <v:shape style="position:absolute;margin-left:231.90741pt;margin-top:7.904975pt;width:6.7pt;height:4.45pt;mso-position-horizontal-relative:page;mso-position-vertical-relative:paragraph;z-index:251695104" coordorigin="4638,158" coordsize="134,89" path="m4638,158l4638,246,4772,202,4638,158xe" filled="true" fillcolor="#000000" stroked="false">
            <v:path arrowok="t"/>
            <v:fill type="solid"/>
            <w10:wrap type="none"/>
          </v:shape>
        </w:pict>
      </w:r>
      <w:r>
        <w:rPr>
          <w:spacing w:val="-1"/>
          <w:sz w:val="19"/>
        </w:rPr>
        <w:t>污</w:t>
      </w:r>
      <w:r>
        <w:rPr>
          <w:spacing w:val="-11"/>
          <w:sz w:val="19"/>
        </w:rPr>
        <w:t>水</w:t>
      </w:r>
      <w:r>
        <w:rPr>
          <w:sz w:val="19"/>
        </w:rPr>
        <w:t>站物</w:t>
      </w:r>
      <w:r>
        <w:rPr>
          <w:spacing w:val="-11"/>
          <w:sz w:val="19"/>
        </w:rPr>
        <w:t>化</w:t>
      </w:r>
      <w:r>
        <w:rPr>
          <w:sz w:val="19"/>
        </w:rPr>
        <w:t>池废 </w:t>
      </w:r>
      <w:r>
        <w:rPr>
          <w:spacing w:val="-41"/>
          <w:sz w:val="19"/>
        </w:rPr>
        <w:t> </w:t>
      </w:r>
      <w:r>
        <w:rPr>
          <w:rFonts w:ascii="Times New Roman" w:eastAsia="Times New Roman"/>
          <w:w w:val="102"/>
          <w:sz w:val="19"/>
          <w:u w:val="single"/>
        </w:rPr>
        <w:t> </w:t>
      </w:r>
      <w:r>
        <w:rPr>
          <w:rFonts w:ascii="Times New Roman" w:eastAsia="Times New Roman"/>
          <w:sz w:val="19"/>
          <w:u w:val="single"/>
        </w:rPr>
        <w:tab/>
      </w:r>
    </w:p>
    <w:p>
      <w:pPr>
        <w:spacing w:line="235" w:lineRule="exact" w:before="0"/>
        <w:ind w:left="552" w:right="0" w:firstLine="0"/>
        <w:jc w:val="left"/>
        <w:rPr>
          <w:sz w:val="19"/>
        </w:rPr>
      </w:pPr>
      <w:r>
        <w:rPr/>
        <w:pict>
          <v:group style="position:absolute;margin-left:213.15625pt;margin-top:.699652pt;width:4.5pt;height:49.65pt;mso-position-horizontal-relative:page;mso-position-vertical-relative:paragraph;z-index:251694080" coordorigin="4263,14" coordsize="90,993">
            <v:line style="position:absolute" from="4308,1007" to="4308,135" stroked="true" strokeweight=".511767pt" strokecolor="#000000">
              <v:stroke dashstyle="solid"/>
            </v:line>
            <v:shape style="position:absolute;left:4263;top:14;width:90;height:133" coordorigin="4263,14" coordsize="90,133" path="m4308,14l4263,146,4352,146,4308,14xe" filled="true" fillcolor="#000000" stroked="false">
              <v:path arrowok="t"/>
              <v:fill type="solid"/>
            </v:shape>
            <w10:wrap type="none"/>
          </v:group>
        </w:pict>
      </w:r>
      <w:r>
        <w:rPr>
          <w:w w:val="105"/>
          <w:sz w:val="19"/>
        </w:rPr>
        <w:t>气、储罐废气</w:t>
      </w:r>
    </w:p>
    <w:p>
      <w:pPr>
        <w:spacing w:line="188" w:lineRule="exact" w:before="0"/>
        <w:ind w:left="456" w:right="0" w:firstLine="0"/>
        <w:jc w:val="left"/>
        <w:rPr>
          <w:sz w:val="19"/>
        </w:rPr>
      </w:pPr>
      <w:r>
        <w:rPr/>
        <w:br w:type="column"/>
      </w:r>
      <w:r>
        <w:rPr>
          <w:w w:val="105"/>
          <w:sz w:val="19"/>
        </w:rPr>
        <w:t>排气筒</w:t>
      </w:r>
    </w:p>
    <w:p>
      <w:pPr>
        <w:spacing w:line="235" w:lineRule="exact" w:before="0"/>
        <w:ind w:left="504" w:right="0" w:firstLine="0"/>
        <w:jc w:val="left"/>
        <w:rPr>
          <w:sz w:val="19"/>
        </w:rPr>
      </w:pPr>
      <w:r>
        <w:rPr/>
        <w:pict>
          <v:group style="position:absolute;margin-left:451.366882pt;margin-top:-1.502877pt;width:23.25pt;height:4.45pt;mso-position-horizontal-relative:page;mso-position-vertical-relative:paragraph;z-index:251699200" coordorigin="9027,-30" coordsize="465,89">
            <v:line style="position:absolute" from="9027,14" to="9369,14" stroked="true" strokeweight=".505167pt" strokecolor="#000000">
              <v:stroke dashstyle="solid"/>
            </v:line>
            <v:shape style="position:absolute;left:9357;top:-31;width:134;height:89" coordorigin="9358,-30" coordsize="134,89" path="m9358,-30l9358,58,9491,14,9358,-30xe" filled="true" fillcolor="#000000" stroked="false">
              <v:path arrowok="t"/>
              <v:fill type="solid"/>
            </v:shape>
            <w10:wrap type="none"/>
          </v:group>
        </w:pict>
      </w:r>
      <w:r>
        <w:rPr>
          <w:w w:val="105"/>
          <w:sz w:val="19"/>
        </w:rPr>
        <w:t>DA001</w:t>
      </w:r>
    </w:p>
    <w:p>
      <w:pPr>
        <w:spacing w:after="0" w:line="235" w:lineRule="exact"/>
        <w:jc w:val="left"/>
        <w:rPr>
          <w:sz w:val="19"/>
        </w:rPr>
        <w:sectPr>
          <w:type w:val="continuous"/>
          <w:pgSz w:w="11910" w:h="16850"/>
          <w:pgMar w:top="1420" w:bottom="280" w:left="1200" w:right="1180"/>
          <w:cols w:num="2" w:equalWidth="0">
            <w:col w:w="3535" w:space="4521"/>
            <w:col w:w="1474"/>
          </w:cols>
        </w:sectPr>
      </w:pPr>
    </w:p>
    <w:p>
      <w:pPr>
        <w:pStyle w:val="BodyText"/>
        <w:spacing w:before="5"/>
        <w:rPr>
          <w:sz w:val="28"/>
        </w:rPr>
      </w:pPr>
    </w:p>
    <w:p>
      <w:pPr>
        <w:spacing w:before="82"/>
        <w:ind w:left="627" w:right="0" w:firstLine="0"/>
        <w:jc w:val="left"/>
        <w:rPr>
          <w:rFonts w:ascii="Times New Roman" w:eastAsia="Times New Roman"/>
          <w:sz w:val="19"/>
        </w:rPr>
      </w:pPr>
      <w:r>
        <w:rPr/>
        <w:pict>
          <v:group style="position:absolute;margin-left:238.34816pt;margin-top:-40.939034pt;width:81.5pt;height:118.65pt;mso-position-horizontal-relative:page;mso-position-vertical-relative:paragraph;z-index:251697152" coordorigin="4767,-819" coordsize="1630,2373">
            <v:line style="position:absolute" from="5778,-585" to="6274,-585" stroked="true" strokeweight=".505167pt" strokecolor="#000000">
              <v:stroke dashstyle="solid"/>
            </v:line>
            <v:shape style="position:absolute;left:6262;top:-629;width:134;height:89" coordorigin="6263,-629" coordsize="134,89" path="m6263,-629l6263,-541,6397,-585,6263,-629xe" filled="true" fillcolor="#000000" stroked="false">
              <v:path arrowok="t"/>
              <v:fill type="solid"/>
            </v:shape>
            <v:line style="position:absolute" from="6010,1554" to="6010,-464" stroked="true" strokeweight=".511767pt" strokecolor="#000000">
              <v:stroke dashstyle="solid"/>
            </v:line>
            <v:shape style="position:absolute;left:5965;top:-585;width:90;height:133" coordorigin="5965,-585" coordsize="90,133" path="m6010,-585l5965,-452,6054,-452,6010,-585xe" filled="true" fillcolor="#000000" stroked="false">
              <v:path arrowok="t"/>
              <v:fill type="solid"/>
            </v:shape>
            <v:shape style="position:absolute;left:4772;top:-814;width:1006;height:459" type="#_x0000_t202" filled="false" stroked="true" strokeweight=".506327pt" strokecolor="#000000">
              <v:textbox inset="0,0,0,0">
                <w:txbxContent>
                  <w:p>
                    <w:pPr>
                      <w:spacing w:before="88"/>
                      <w:ind w:left="162" w:right="0" w:firstLine="0"/>
                      <w:jc w:val="left"/>
                      <w:rPr>
                        <w:sz w:val="19"/>
                      </w:rPr>
                    </w:pPr>
                    <w:r>
                      <w:rPr>
                        <w:w w:val="105"/>
                        <w:sz w:val="19"/>
                      </w:rPr>
                      <w:t>RTO焚烧</w:t>
                    </w:r>
                  </w:p>
                </w:txbxContent>
              </v:textbox>
              <v:stroke dashstyle="solid"/>
              <w10:wrap type="none"/>
            </v:shape>
            <w10:wrap type="none"/>
          </v:group>
        </w:pict>
      </w:r>
      <w:r>
        <w:rPr/>
        <w:pict>
          <v:group style="position:absolute;margin-left:370.125519pt;margin-top:-31.433891pt;width:23.25pt;height:4.45pt;mso-position-horizontal-relative:page;mso-position-vertical-relative:paragraph;z-index:251698176" coordorigin="7403,-629" coordsize="465,89">
            <v:line style="position:absolute" from="7403,-585" to="7744,-585" stroked="true" strokeweight=".505167pt" strokecolor="#000000">
              <v:stroke dashstyle="solid"/>
            </v:line>
            <v:shape style="position:absolute;left:7732;top:-629;width:134;height:89" coordorigin="7733,-629" coordsize="134,89" path="m7733,-629l7733,-541,7867,-585,7733,-629xe" filled="true" fillcolor="#000000" stroked="false">
              <v:path arrowok="t"/>
              <v:fill type="solid"/>
            </v:shape>
            <w10:wrap type="none"/>
          </v:group>
        </w:pict>
      </w:r>
      <w:r>
        <w:rPr/>
        <w:pict>
          <v:shape style="position:absolute;margin-left:393.339294pt;margin-top:-40.685848pt;width:58.05pt;height:22.95pt;mso-position-horizontal-relative:page;mso-position-vertical-relative:paragraph;z-index:251707392" type="#_x0000_t202" filled="false" stroked="true" strokeweight=".506078pt" strokecolor="#000000">
            <v:textbox inset="0,0,0,0">
              <w:txbxContent>
                <w:p>
                  <w:pPr>
                    <w:spacing w:before="88"/>
                    <w:ind w:left="100" w:right="0" w:firstLine="0"/>
                    <w:jc w:val="left"/>
                    <w:rPr>
                      <w:sz w:val="19"/>
                    </w:rPr>
                  </w:pPr>
                  <w:r>
                    <w:rPr>
                      <w:w w:val="105"/>
                      <w:sz w:val="19"/>
                    </w:rPr>
                    <w:t>四级碱吸收</w:t>
                  </w:r>
                </w:p>
              </w:txbxContent>
            </v:textbox>
            <v:stroke dashstyle="solid"/>
            <w10:wrap type="none"/>
          </v:shape>
        </w:pict>
      </w:r>
      <w:r>
        <w:rPr/>
        <w:pict>
          <v:shape style="position:absolute;margin-left:319.835846pt;margin-top:-40.68586pt;width:50.3pt;height:22.95pt;mso-position-horizontal-relative:page;mso-position-vertical-relative:paragraph;z-index:251708416" type="#_x0000_t202" filled="false" stroked="true" strokeweight=".506327pt" strokecolor="#000000">
            <v:textbox inset="0,0,0,0">
              <w:txbxContent>
                <w:p>
                  <w:pPr>
                    <w:spacing w:before="88"/>
                    <w:ind w:left="116" w:right="0" w:firstLine="0"/>
                    <w:jc w:val="left"/>
                    <w:rPr>
                      <w:sz w:val="19"/>
                    </w:rPr>
                  </w:pPr>
                  <w:r>
                    <w:rPr>
                      <w:w w:val="105"/>
                      <w:sz w:val="19"/>
                    </w:rPr>
                    <w:t>SNCR脱硝</w:t>
                  </w:r>
                </w:p>
              </w:txbxContent>
            </v:textbox>
            <v:stroke dashstyle="solid"/>
            <w10:wrap type="none"/>
          </v:shape>
        </w:pict>
      </w:r>
      <w:r>
        <w:rPr>
          <w:w w:val="105"/>
          <w:sz w:val="19"/>
        </w:rPr>
        <w:t>干燥、脱焦、</w:t>
      </w:r>
      <w:r>
        <w:rPr>
          <w:rFonts w:ascii="Times New Roman" w:eastAsia="Times New Roman"/>
          <w:w w:val="105"/>
          <w:sz w:val="19"/>
        </w:rPr>
        <w:t>3-</w:t>
      </w:r>
    </w:p>
    <w:p>
      <w:pPr>
        <w:tabs>
          <w:tab w:pos="2720" w:val="left" w:leader="none"/>
        </w:tabs>
        <w:spacing w:line="238" w:lineRule="exact" w:before="5"/>
        <w:ind w:left="340" w:right="0" w:firstLine="0"/>
        <w:jc w:val="left"/>
        <w:rPr>
          <w:rFonts w:ascii="Times New Roman" w:eastAsia="Times New Roman"/>
          <w:sz w:val="19"/>
        </w:rPr>
      </w:pPr>
      <w:r>
        <w:rPr/>
        <w:pict>
          <v:shape style="position:absolute;margin-left:193.217789pt;margin-top:9.547954pt;width:6.7pt;height:4.45pt;mso-position-horizontal-relative:page;mso-position-vertical-relative:paragraph;z-index:-317892608" coordorigin="3864,191" coordsize="134,89" path="m3864,191l3864,279,3998,235,3864,191xe" filled="true" fillcolor="#000000" stroked="false">
            <v:path arrowok="t"/>
            <v:fill type="solid"/>
            <w10:wrap type="none"/>
          </v:shape>
        </w:pict>
      </w:r>
      <w:r>
        <w:rPr/>
        <w:pict>
          <v:shape style="position:absolute;margin-left:199.911713pt;margin-top:4.114383pt;width:38.7pt;height:15.3pt;mso-position-horizontal-relative:page;mso-position-vertical-relative:paragraph;z-index:251706368" type="#_x0000_t202" filled="false" stroked="true" strokeweight=".506078pt" strokecolor="#000000">
            <v:textbox inset="0,0,0,0">
              <w:txbxContent>
                <w:p>
                  <w:pPr>
                    <w:spacing w:before="14"/>
                    <w:ind w:left="189" w:right="0" w:firstLine="0"/>
                    <w:jc w:val="left"/>
                    <w:rPr>
                      <w:sz w:val="19"/>
                    </w:rPr>
                  </w:pPr>
                  <w:r>
                    <w:rPr>
                      <w:w w:val="105"/>
                      <w:sz w:val="19"/>
                    </w:rPr>
                    <w:t>冷凝</w:t>
                  </w:r>
                </w:p>
              </w:txbxContent>
            </v:textbox>
            <v:stroke dashstyle="solid"/>
            <w10:wrap type="none"/>
          </v:shape>
        </w:pict>
      </w:r>
      <w:r>
        <w:rPr>
          <w:spacing w:val="-1"/>
          <w:sz w:val="19"/>
        </w:rPr>
        <w:t>硝</w:t>
      </w:r>
      <w:r>
        <w:rPr>
          <w:spacing w:val="-11"/>
          <w:sz w:val="19"/>
        </w:rPr>
        <w:t>分</w:t>
      </w:r>
      <w:r>
        <w:rPr>
          <w:spacing w:val="-1"/>
          <w:sz w:val="19"/>
        </w:rPr>
        <w:t>离</w:t>
      </w:r>
      <w:r>
        <w:rPr>
          <w:spacing w:val="-4"/>
          <w:sz w:val="19"/>
        </w:rPr>
        <w:t>、</w:t>
      </w:r>
      <w:r>
        <w:rPr>
          <w:rFonts w:ascii="Times New Roman" w:eastAsia="Times New Roman"/>
          <w:spacing w:val="-1"/>
          <w:sz w:val="19"/>
        </w:rPr>
        <w:t>4-</w:t>
      </w:r>
      <w:r>
        <w:rPr>
          <w:spacing w:val="-1"/>
          <w:sz w:val="19"/>
        </w:rPr>
        <w:t>硝</w:t>
      </w:r>
      <w:r>
        <w:rPr>
          <w:spacing w:val="-11"/>
          <w:sz w:val="19"/>
        </w:rPr>
        <w:t>分</w:t>
      </w:r>
      <w:r>
        <w:rPr>
          <w:spacing w:val="-1"/>
          <w:sz w:val="19"/>
        </w:rPr>
        <w:t>离</w:t>
      </w:r>
      <w:r>
        <w:rPr>
          <w:spacing w:val="-4"/>
          <w:sz w:val="19"/>
        </w:rPr>
        <w:t>、</w:t>
      </w:r>
      <w:r>
        <w:rPr>
          <w:sz w:val="19"/>
        </w:rPr>
        <w:t>降</w:t>
      </w:r>
      <w:r>
        <w:rPr>
          <w:spacing w:val="14"/>
          <w:sz w:val="19"/>
        </w:rPr>
        <w:t> </w:t>
      </w:r>
      <w:r>
        <w:rPr>
          <w:rFonts w:ascii="Times New Roman" w:eastAsia="Times New Roman"/>
          <w:w w:val="102"/>
          <w:sz w:val="19"/>
          <w:u w:val="single"/>
        </w:rPr>
        <w:t> </w:t>
      </w:r>
      <w:r>
        <w:rPr>
          <w:rFonts w:ascii="Times New Roman" w:eastAsia="Times New Roman"/>
          <w:sz w:val="19"/>
          <w:u w:val="single"/>
        </w:rPr>
        <w:tab/>
      </w:r>
    </w:p>
    <w:p>
      <w:pPr>
        <w:spacing w:line="229" w:lineRule="exact" w:before="0"/>
        <w:ind w:left="324" w:right="0" w:firstLine="0"/>
        <w:jc w:val="left"/>
        <w:rPr>
          <w:sz w:val="19"/>
        </w:rPr>
      </w:pPr>
      <w:r>
        <w:rPr>
          <w:w w:val="105"/>
          <w:sz w:val="19"/>
        </w:rPr>
        <w:t>膜蒸发系统、精馏、分</w:t>
      </w:r>
    </w:p>
    <w:p>
      <w:pPr>
        <w:spacing w:line="235" w:lineRule="exact" w:before="0"/>
        <w:ind w:left="994" w:right="0" w:firstLine="0"/>
        <w:jc w:val="left"/>
        <w:rPr>
          <w:sz w:val="19"/>
        </w:rPr>
      </w:pPr>
      <w:r>
        <w:rPr>
          <w:w w:val="105"/>
          <w:sz w:val="19"/>
        </w:rPr>
        <w:t>液废气</w:t>
      </w:r>
    </w:p>
    <w:p>
      <w:pPr>
        <w:pStyle w:val="BodyText"/>
        <w:rPr>
          <w:sz w:val="20"/>
        </w:rPr>
      </w:pPr>
    </w:p>
    <w:p>
      <w:pPr>
        <w:pStyle w:val="BodyText"/>
        <w:spacing w:before="6"/>
        <w:rPr>
          <w:sz w:val="19"/>
        </w:rPr>
      </w:pPr>
    </w:p>
    <w:p>
      <w:pPr>
        <w:spacing w:line="235" w:lineRule="exact" w:before="0"/>
        <w:ind w:left="0" w:right="6952" w:firstLine="0"/>
        <w:jc w:val="center"/>
        <w:rPr>
          <w:sz w:val="19"/>
        </w:rPr>
      </w:pPr>
      <w:r>
        <w:rPr/>
        <w:pict>
          <v:group style="position:absolute;margin-left:160.975769pt;margin-top:.487944pt;width:89.5pt;height:69.25pt;mso-position-horizontal-relative:page;mso-position-vertical-relative:paragraph;z-index:-317894656" coordorigin="3220,10" coordsize="1790,1385">
            <v:line style="position:absolute" from="3766,931" to="3766,365" stroked="true" strokeweight=".511767pt" strokecolor="#000000">
              <v:stroke dashstyle="solid"/>
            </v:line>
            <v:shape style="position:absolute;left:3721;top:243;width:90;height:133" coordorigin="3721,244" coordsize="90,133" path="m3766,244l3721,376,3811,376,3766,244xe" filled="true" fillcolor="#000000" stroked="false">
              <v:path arrowok="t"/>
              <v:fill type="solid"/>
            </v:shape>
            <v:line style="position:absolute" from="3534,244" to="3876,244" stroked="true" strokeweight=".505167pt" strokecolor="#000000">
              <v:stroke dashstyle="solid"/>
            </v:line>
            <v:shape style="position:absolute;left:3864;top:199;width:134;height:89" coordorigin="3864,200" coordsize="134,89" path="m3864,200l3864,288,3998,244,3864,200xe" filled="true" fillcolor="#000000" stroked="false">
              <v:path arrowok="t"/>
              <v:fill type="solid"/>
            </v:shape>
            <v:shape style="position:absolute;left:3224;top:931;width:1006;height:459" type="#_x0000_t202" filled="false" stroked="true" strokeweight=".506327pt" strokecolor="#000000">
              <v:textbox inset="0,0,0,0">
                <w:txbxContent>
                  <w:p>
                    <w:pPr>
                      <w:spacing w:line="223" w:lineRule="auto" w:before="0"/>
                      <w:ind w:left="304" w:right="111" w:hanging="192"/>
                      <w:jc w:val="left"/>
                      <w:rPr>
                        <w:sz w:val="19"/>
                      </w:rPr>
                    </w:pPr>
                    <w:r>
                      <w:rPr>
                        <w:sz w:val="19"/>
                      </w:rPr>
                      <w:t>一级硝酸</w:t>
                    </w:r>
                    <w:r>
                      <w:rPr>
                        <w:w w:val="105"/>
                        <w:sz w:val="19"/>
                      </w:rPr>
                      <w:t>吸收</w:t>
                    </w:r>
                  </w:p>
                </w:txbxContent>
              </v:textbox>
              <v:stroke dashstyle="solid"/>
              <w10:wrap type="none"/>
            </v:shape>
            <v:shape style="position:absolute;left:3998;top:14;width:1006;height:459" type="#_x0000_t202" filled="false" stroked="true" strokeweight=".506327pt" strokecolor="#000000">
              <v:textbox inset="0,0,0,0">
                <w:txbxContent>
                  <w:p>
                    <w:pPr>
                      <w:spacing w:line="215" w:lineRule="exact" w:before="0"/>
                      <w:ind w:left="77" w:right="76" w:firstLine="0"/>
                      <w:jc w:val="center"/>
                      <w:rPr>
                        <w:sz w:val="19"/>
                      </w:rPr>
                    </w:pPr>
                    <w:r>
                      <w:rPr>
                        <w:w w:val="105"/>
                        <w:sz w:val="19"/>
                      </w:rPr>
                      <w:t>三级硝酸</w:t>
                    </w:r>
                  </w:p>
                  <w:p>
                    <w:pPr>
                      <w:spacing w:line="233" w:lineRule="exact" w:before="0"/>
                      <w:ind w:left="79" w:right="75" w:firstLine="0"/>
                      <w:jc w:val="center"/>
                      <w:rPr>
                        <w:sz w:val="19"/>
                      </w:rPr>
                    </w:pPr>
                    <w:r>
                      <w:rPr>
                        <w:w w:val="105"/>
                        <w:sz w:val="19"/>
                      </w:rPr>
                      <w:t>吸收</w:t>
                    </w:r>
                  </w:p>
                </w:txbxContent>
              </v:textbox>
              <v:stroke dashstyle="solid"/>
              <w10:wrap type="none"/>
            </v:shape>
            <w10:wrap type="none"/>
          </v:group>
        </w:pict>
      </w:r>
      <w:r>
        <w:rPr/>
        <w:pict>
          <v:group style="position:absolute;margin-left:250.201385pt;margin-top:9.995096pt;width:23.25pt;height:4.45pt;mso-position-horizontal-relative:page;mso-position-vertical-relative:paragraph;z-index:251692032" coordorigin="5004,200" coordsize="465,89">
            <v:line style="position:absolute" from="5004,244" to="5346,244" stroked="true" strokeweight=".505167pt" strokecolor="#000000">
              <v:stroke dashstyle="solid"/>
            </v:line>
            <v:shape style="position:absolute;left:5334;top:199;width:134;height:89" coordorigin="5334,200" coordsize="134,89" path="m5334,200l5334,288,5468,244,5334,200xe" filled="true" fillcolor="#000000" stroked="false">
              <v:path arrowok="t"/>
              <v:fill type="solid"/>
            </v:shape>
            <w10:wrap type="none"/>
          </v:group>
        </w:pict>
      </w:r>
      <w:r>
        <w:rPr/>
        <w:pict>
          <v:shape style="position:absolute;margin-left:273.415161pt;margin-top:.741117pt;width:50.3pt;height:22.95pt;mso-position-horizontal-relative:page;mso-position-vertical-relative:paragraph;z-index:251705344" type="#_x0000_t202" filled="false" stroked="true" strokeweight=".506327pt" strokecolor="#000000">
            <v:textbox inset="0,0,0,0">
              <w:txbxContent>
                <w:p>
                  <w:pPr>
                    <w:spacing w:line="215" w:lineRule="exact" w:before="0"/>
                    <w:ind w:left="79" w:right="75" w:firstLine="0"/>
                    <w:jc w:val="center"/>
                    <w:rPr>
                      <w:sz w:val="19"/>
                    </w:rPr>
                  </w:pPr>
                  <w:r>
                    <w:rPr>
                      <w:w w:val="105"/>
                      <w:sz w:val="19"/>
                    </w:rPr>
                    <w:t>四级硝酸</w:t>
                  </w:r>
                </w:p>
                <w:p>
                  <w:pPr>
                    <w:spacing w:line="233" w:lineRule="exact" w:before="0"/>
                    <w:ind w:left="79" w:right="72" w:firstLine="0"/>
                    <w:jc w:val="center"/>
                    <w:rPr>
                      <w:sz w:val="19"/>
                    </w:rPr>
                  </w:pPr>
                  <w:r>
                    <w:rPr>
                      <w:w w:val="105"/>
                      <w:sz w:val="19"/>
                    </w:rPr>
                    <w:t>吸收</w:t>
                  </w:r>
                </w:p>
              </w:txbxContent>
            </v:textbox>
            <v:stroke dashstyle="solid"/>
            <w10:wrap type="none"/>
          </v:shape>
        </w:pict>
      </w:r>
      <w:r>
        <w:rPr>
          <w:w w:val="105"/>
          <w:sz w:val="19"/>
        </w:rPr>
        <w:t>硝化反应尾气、混酸回</w:t>
      </w:r>
    </w:p>
    <w:p>
      <w:pPr>
        <w:spacing w:line="235" w:lineRule="exact" w:before="0" w:after="3"/>
        <w:ind w:left="0" w:right="6951" w:firstLine="0"/>
        <w:jc w:val="center"/>
        <w:rPr>
          <w:sz w:val="19"/>
        </w:rPr>
      </w:pPr>
      <w:r>
        <w:rPr>
          <w:w w:val="105"/>
          <w:sz w:val="19"/>
        </w:rPr>
        <w:t>收尾气</w:t>
      </w:r>
    </w:p>
    <w:p>
      <w:pPr>
        <w:pStyle w:val="BodyText"/>
        <w:ind w:left="4753"/>
        <w:rPr>
          <w:sz w:val="20"/>
        </w:rPr>
      </w:pPr>
      <w:r>
        <w:rPr>
          <w:sz w:val="20"/>
        </w:rPr>
        <w:pict>
          <v:group style="width:4.5pt;height:19.1pt;mso-position-horizontal-relative:char;mso-position-vertical-relative:line" coordorigin="0,0" coordsize="90,382">
            <v:line style="position:absolute" from="45,382" to="45,121" stroked="true" strokeweight=".511767pt" strokecolor="#000000">
              <v:stroke dashstyle="solid"/>
            </v:line>
            <v:shape style="position:absolute;left:0;top:0;width:90;height:133" coordorigin="0,0" coordsize="90,133" path="m45,0l0,132,89,132,45,0xe" filled="true" fillcolor="#000000" stroked="false">
              <v:path arrowok="t"/>
              <v:fill type="solid"/>
            </v:shape>
          </v:group>
        </w:pict>
      </w:r>
      <w:r>
        <w:rPr>
          <w:sz w:val="20"/>
        </w:rPr>
      </w:r>
    </w:p>
    <w:p>
      <w:pPr>
        <w:spacing w:after="0"/>
        <w:rPr>
          <w:sz w:val="20"/>
        </w:rPr>
        <w:sectPr>
          <w:type w:val="continuous"/>
          <w:pgSz w:w="11910" w:h="16850"/>
          <w:pgMar w:top="1420" w:bottom="280" w:left="1200" w:right="1180"/>
        </w:sectPr>
      </w:pPr>
    </w:p>
    <w:p>
      <w:pPr>
        <w:tabs>
          <w:tab w:pos="1947" w:val="left" w:leader="none"/>
        </w:tabs>
        <w:spacing w:line="235" w:lineRule="exact" w:before="30"/>
        <w:ind w:left="671" w:right="0" w:firstLine="0"/>
        <w:jc w:val="left"/>
        <w:rPr>
          <w:rFonts w:ascii="Times New Roman" w:eastAsia="Times New Roman"/>
          <w:sz w:val="19"/>
        </w:rPr>
      </w:pPr>
      <w:r>
        <w:rPr/>
        <w:pict>
          <v:shape style="position:absolute;margin-left:154.535019pt;margin-top:11.398088pt;width:6.7pt;height:4.45pt;mso-position-horizontal-relative:page;mso-position-vertical-relative:paragraph;z-index:251687936" coordorigin="3091,228" coordsize="134,89" path="m3091,228l3091,316,3225,272,3091,228xe" filled="true" fillcolor="#000000" stroked="false">
            <v:path arrowok="t"/>
            <v:fill type="solid"/>
            <w10:wrap type="none"/>
          </v:shape>
        </w:pict>
      </w:r>
      <w:r>
        <w:rPr>
          <w:sz w:val="19"/>
        </w:rPr>
        <w:t>硫</w:t>
      </w:r>
      <w:r>
        <w:rPr>
          <w:spacing w:val="-11"/>
          <w:sz w:val="19"/>
        </w:rPr>
        <w:t>酸</w:t>
      </w:r>
      <w:r>
        <w:rPr>
          <w:sz w:val="19"/>
        </w:rPr>
        <w:t>浓缩</w:t>
      </w:r>
      <w:r>
        <w:rPr>
          <w:spacing w:val="25"/>
          <w:sz w:val="19"/>
        </w:rPr>
        <w:t> </w:t>
      </w:r>
      <w:r>
        <w:rPr>
          <w:rFonts w:ascii="Times New Roman" w:eastAsia="Times New Roman"/>
          <w:w w:val="102"/>
          <w:sz w:val="19"/>
          <w:u w:val="single"/>
        </w:rPr>
        <w:t> </w:t>
      </w:r>
      <w:r>
        <w:rPr>
          <w:rFonts w:ascii="Times New Roman" w:eastAsia="Times New Roman"/>
          <w:sz w:val="19"/>
          <w:u w:val="single"/>
        </w:rPr>
        <w:tab/>
      </w:r>
    </w:p>
    <w:p>
      <w:pPr>
        <w:spacing w:line="235" w:lineRule="exact" w:before="0"/>
        <w:ind w:left="671" w:right="0" w:firstLine="0"/>
        <w:jc w:val="left"/>
        <w:rPr>
          <w:sz w:val="19"/>
        </w:rPr>
      </w:pPr>
      <w:r>
        <w:rPr/>
        <w:pict>
          <v:shape style="position:absolute;margin-left:150.574539pt;margin-top:39.145214pt;width:65.9pt;height:25.1pt;mso-position-horizontal-relative:page;mso-position-vertical-relative:paragraph;z-index:251704320" type="#_x0000_t202" filled="false" stroked="true" strokeweight=".551968pt" strokecolor="#000000">
            <v:textbox inset="0,0,0,0">
              <w:txbxContent>
                <w:p>
                  <w:pPr>
                    <w:spacing w:before="100"/>
                    <w:ind w:left="93" w:right="0" w:firstLine="0"/>
                    <w:jc w:val="left"/>
                    <w:rPr>
                      <w:sz w:val="21"/>
                    </w:rPr>
                  </w:pPr>
                  <w:r>
                    <w:rPr>
                      <w:sz w:val="21"/>
                    </w:rPr>
                    <w:t>阻火器+水封</w:t>
                  </w:r>
                </w:p>
              </w:txbxContent>
            </v:textbox>
            <v:stroke dashstyle="solid"/>
            <w10:wrap type="none"/>
          </v:shape>
        </w:pict>
      </w:r>
      <w:r>
        <w:rPr>
          <w:w w:val="105"/>
          <w:sz w:val="19"/>
        </w:rPr>
        <w:t>装置尾气</w:t>
      </w:r>
    </w:p>
    <w:p>
      <w:pPr>
        <w:spacing w:before="50"/>
        <w:ind w:left="671" w:right="0" w:firstLine="0"/>
        <w:jc w:val="left"/>
        <w:rPr>
          <w:sz w:val="19"/>
        </w:rPr>
      </w:pPr>
      <w:r>
        <w:rPr/>
        <w:br w:type="column"/>
      </w:r>
      <w:r>
        <w:rPr>
          <w:w w:val="105"/>
          <w:sz w:val="19"/>
        </w:rPr>
        <w:t>硝酸储罐废气</w:t>
      </w:r>
    </w:p>
    <w:p>
      <w:pPr>
        <w:spacing w:after="0"/>
        <w:jc w:val="left"/>
        <w:rPr>
          <w:sz w:val="19"/>
        </w:rPr>
        <w:sectPr>
          <w:type w:val="continuous"/>
          <w:pgSz w:w="11910" w:h="16850"/>
          <w:pgMar w:top="1420" w:bottom="280" w:left="1200" w:right="1180"/>
          <w:cols w:num="2" w:equalWidth="0">
            <w:col w:w="1988" w:space="1539"/>
            <w:col w:w="6003"/>
          </w:cols>
        </w:sectPr>
      </w:pPr>
    </w:p>
    <w:p>
      <w:pPr>
        <w:pStyle w:val="BodyText"/>
        <w:rPr>
          <w:sz w:val="20"/>
        </w:rPr>
      </w:pPr>
    </w:p>
    <w:p>
      <w:pPr>
        <w:pStyle w:val="BodyText"/>
        <w:spacing w:before="8"/>
        <w:rPr>
          <w:sz w:val="15"/>
        </w:rPr>
      </w:pPr>
    </w:p>
    <w:p>
      <w:pPr>
        <w:spacing w:after="0"/>
        <w:rPr>
          <w:sz w:val="15"/>
        </w:rPr>
        <w:sectPr>
          <w:type w:val="continuous"/>
          <w:pgSz w:w="11910" w:h="16850"/>
          <w:pgMar w:top="1420" w:bottom="280" w:left="1200" w:right="1180"/>
        </w:sectPr>
      </w:pPr>
    </w:p>
    <w:p>
      <w:pPr>
        <w:pStyle w:val="BodyText"/>
        <w:spacing w:before="5"/>
        <w:rPr>
          <w:sz w:val="15"/>
        </w:rPr>
      </w:pPr>
    </w:p>
    <w:p>
      <w:pPr>
        <w:spacing w:before="0"/>
        <w:ind w:left="370" w:right="0" w:firstLine="0"/>
        <w:jc w:val="left"/>
        <w:rPr>
          <w:sz w:val="21"/>
        </w:rPr>
      </w:pPr>
      <w:r>
        <w:rPr/>
        <w:pict>
          <v:group style="position:absolute;margin-left:125.869408pt;margin-top:4.822755pt;width:24.75pt;height:4.850pt;mso-position-horizontal-relative:page;mso-position-vertical-relative:paragraph;z-index:251700224" coordorigin="2517,96" coordsize="495,97">
            <v:line style="position:absolute" from="2517,145" to="2881,145" stroked="true" strokeweight=".552978pt" strokecolor="#000000">
              <v:stroke dashstyle="solid"/>
            </v:line>
            <v:shape style="position:absolute;left:2869;top:96;width:143;height:97" coordorigin="2869,96" coordsize="143,97" path="m2869,96l2869,193,3011,145,2869,96xe" filled="true" fillcolor="#000000" stroked="false">
              <v:path arrowok="t"/>
              <v:fill type="solid"/>
            </v:shape>
            <w10:wrap type="none"/>
          </v:group>
        </w:pict>
      </w:r>
      <w:r>
        <w:rPr>
          <w:sz w:val="21"/>
        </w:rPr>
        <w:t>含氢废气</w:t>
      </w:r>
    </w:p>
    <w:p>
      <w:pPr>
        <w:spacing w:line="260" w:lineRule="exact" w:before="73"/>
        <w:ind w:left="370" w:right="0" w:firstLine="0"/>
        <w:jc w:val="left"/>
        <w:rPr>
          <w:sz w:val="21"/>
        </w:rPr>
      </w:pPr>
      <w:r>
        <w:rPr/>
        <w:br w:type="column"/>
      </w:r>
      <w:r>
        <w:rPr>
          <w:sz w:val="21"/>
        </w:rPr>
        <w:t>排气筒</w:t>
      </w:r>
    </w:p>
    <w:p>
      <w:pPr>
        <w:spacing w:line="260" w:lineRule="exact" w:before="0"/>
        <w:ind w:left="421" w:right="0" w:firstLine="0"/>
        <w:jc w:val="left"/>
        <w:rPr>
          <w:sz w:val="21"/>
        </w:rPr>
      </w:pPr>
      <w:r>
        <w:rPr/>
        <w:pict>
          <v:group style="position:absolute;margin-left:216.461182pt;margin-top:-1.913032pt;width:24.75pt;height:4.850pt;mso-position-horizontal-relative:page;mso-position-vertical-relative:paragraph;z-index:251701248" coordorigin="4329,-38" coordsize="495,97">
            <v:line style="position:absolute" from="4329,10" to="4693,10" stroked="true" strokeweight=".552978pt" strokecolor="#000000">
              <v:stroke dashstyle="solid"/>
            </v:line>
            <v:shape style="position:absolute;left:4680;top:-39;width:143;height:97" coordorigin="4681,-38" coordsize="143,97" path="m4681,-38l4681,58,4823,10,4681,-38xe" filled="true" fillcolor="#000000" stroked="false">
              <v:path arrowok="t"/>
              <v:fill type="solid"/>
            </v:shape>
            <w10:wrap type="none"/>
          </v:group>
        </w:pict>
      </w:r>
      <w:r>
        <w:rPr>
          <w:sz w:val="21"/>
        </w:rPr>
        <w:t>DA003</w:t>
      </w:r>
    </w:p>
    <w:p>
      <w:pPr>
        <w:spacing w:after="0" w:line="260" w:lineRule="exact"/>
        <w:jc w:val="left"/>
        <w:rPr>
          <w:sz w:val="21"/>
        </w:rPr>
        <w:sectPr>
          <w:type w:val="continuous"/>
          <w:pgSz w:w="11910" w:h="16850"/>
          <w:pgMar w:top="1420" w:bottom="280" w:left="1200" w:right="1180"/>
          <w:cols w:num="2" w:equalWidth="0">
            <w:col w:w="1231" w:space="2255"/>
            <w:col w:w="6044"/>
          </w:cols>
        </w:sectPr>
      </w:pPr>
    </w:p>
    <w:p>
      <w:pPr>
        <w:pStyle w:val="BodyText"/>
        <w:rPr>
          <w:sz w:val="20"/>
        </w:rPr>
      </w:pPr>
    </w:p>
    <w:p>
      <w:pPr>
        <w:pStyle w:val="BodyText"/>
        <w:spacing w:before="5"/>
        <w:rPr>
          <w:sz w:val="25"/>
        </w:rPr>
      </w:pPr>
    </w:p>
    <w:p>
      <w:pPr>
        <w:spacing w:line="250" w:lineRule="exact" w:before="78"/>
        <w:ind w:left="0" w:right="1422" w:firstLine="0"/>
        <w:jc w:val="center"/>
        <w:rPr>
          <w:sz w:val="20"/>
        </w:rPr>
      </w:pPr>
      <w:r>
        <w:rPr/>
        <w:pict>
          <v:group style="position:absolute;margin-left:212.289368pt;margin-top:14.456205pt;width:24.05pt;height:4.7pt;mso-position-horizontal-relative:page;mso-position-vertical-relative:paragraph;z-index:251702272" coordorigin="4246,289" coordsize="481,94">
            <v:line style="position:absolute" from="4246,336" to="4599,336" stroked="true" strokeweight=".53825pt" strokecolor="#000000">
              <v:stroke dashstyle="solid"/>
            </v:line>
            <v:shape style="position:absolute;left:4587;top:289;width:139;height:94" coordorigin="4587,289" coordsize="139,94" path="m4587,289l4587,383,4726,336,4587,289xe" filled="true" fillcolor="#000000" stroked="false">
              <v:path arrowok="t"/>
              <v:fill type="solid"/>
            </v:shape>
            <w10:wrap type="none"/>
          </v:group>
        </w:pict>
      </w:r>
      <w:r>
        <w:rPr/>
        <w:pict>
          <v:shape style="position:absolute;margin-left:148.291824pt;margin-top:4.596905pt;width:64pt;height:24.45pt;mso-position-horizontal-relative:page;mso-position-vertical-relative:paragraph;z-index:251703296" type="#_x0000_t202" filled="false" stroked="true" strokeweight=".53713pt" strokecolor="#000000">
            <v:textbox inset="0,0,0,0">
              <w:txbxContent>
                <w:p>
                  <w:pPr>
                    <w:spacing w:before="102"/>
                    <w:ind w:left="139" w:right="0" w:firstLine="0"/>
                    <w:jc w:val="left"/>
                    <w:rPr>
                      <w:sz w:val="20"/>
                    </w:rPr>
                  </w:pPr>
                  <w:r>
                    <w:rPr>
                      <w:sz w:val="20"/>
                    </w:rPr>
                    <w:t>天然气燃烧</w:t>
                  </w:r>
                </w:p>
              </w:txbxContent>
            </v:textbox>
            <v:stroke dashstyle="solid"/>
            <w10:wrap type="none"/>
          </v:shape>
        </w:pict>
      </w:r>
      <w:r>
        <w:rPr>
          <w:sz w:val="20"/>
        </w:rPr>
        <w:t>排气筒</w:t>
      </w:r>
    </w:p>
    <w:p>
      <w:pPr>
        <w:spacing w:line="250" w:lineRule="exact" w:before="0"/>
        <w:ind w:left="0" w:right="1426" w:firstLine="0"/>
        <w:jc w:val="center"/>
        <w:rPr>
          <w:sz w:val="20"/>
        </w:rPr>
      </w:pPr>
      <w:r>
        <w:rPr>
          <w:sz w:val="20"/>
        </w:rPr>
        <w:t>DA002</w:t>
      </w:r>
    </w:p>
    <w:p>
      <w:pPr>
        <w:pStyle w:val="Heading4"/>
        <w:tabs>
          <w:tab w:pos="1222" w:val="left" w:leader="none"/>
        </w:tabs>
        <w:spacing w:before="162"/>
        <w:ind w:left="0" w:right="14"/>
        <w:jc w:val="center"/>
      </w:pPr>
      <w:r>
        <w:rPr/>
        <w:t>表</w:t>
      </w:r>
      <w:r>
        <w:rPr>
          <w:spacing w:val="-60"/>
        </w:rPr>
        <w:t> </w:t>
      </w:r>
      <w:r>
        <w:rPr>
          <w:rFonts w:ascii="Times New Roman" w:eastAsia="Times New Roman"/>
        </w:rPr>
        <w:t>3.4.1-1</w:t>
        <w:tab/>
      </w:r>
      <w:r>
        <w:rPr/>
        <w:t>现有企业已有废气处理措施</w:t>
      </w:r>
      <w:r>
        <w:rPr>
          <w:spacing w:val="3"/>
        </w:rPr>
        <w:t>汇</w:t>
      </w:r>
      <w:r>
        <w:rPr/>
        <w:t>总示意图</w:t>
      </w:r>
    </w:p>
    <w:p>
      <w:pPr>
        <w:spacing w:before="159"/>
        <w:ind w:left="701" w:right="0" w:firstLine="0"/>
        <w:jc w:val="left"/>
        <w:rPr>
          <w:b/>
          <w:sz w:val="24"/>
        </w:rPr>
      </w:pPr>
      <w:r>
        <w:rPr>
          <w:rFonts w:ascii="Times New Roman" w:eastAsia="Times New Roman"/>
          <w:b/>
          <w:sz w:val="24"/>
        </w:rPr>
        <w:t>2</w:t>
      </w:r>
      <w:r>
        <w:rPr>
          <w:b/>
          <w:sz w:val="24"/>
        </w:rPr>
        <w:t>、废气处理设施达标性分析</w:t>
      </w:r>
    </w:p>
    <w:p>
      <w:pPr>
        <w:pStyle w:val="ListParagraph"/>
        <w:numPr>
          <w:ilvl w:val="0"/>
          <w:numId w:val="15"/>
        </w:numPr>
        <w:tabs>
          <w:tab w:pos="1305" w:val="left" w:leader="none"/>
        </w:tabs>
        <w:spacing w:line="240" w:lineRule="auto" w:before="160" w:after="0"/>
        <w:ind w:left="1304" w:right="0" w:hanging="604"/>
        <w:jc w:val="left"/>
        <w:rPr>
          <w:b/>
          <w:sz w:val="24"/>
        </w:rPr>
      </w:pPr>
      <w:r>
        <w:rPr>
          <w:b/>
          <w:sz w:val="24"/>
        </w:rPr>
        <w:t>有组织废气</w:t>
      </w:r>
    </w:p>
    <w:p>
      <w:pPr>
        <w:pStyle w:val="BodyText"/>
        <w:spacing w:line="364" w:lineRule="auto" w:before="158"/>
        <w:ind w:left="218" w:right="232" w:firstLine="480"/>
      </w:pPr>
      <w:r>
        <w:rPr>
          <w:spacing w:val="-17"/>
        </w:rPr>
        <w:t>企业于 </w:t>
      </w:r>
      <w:r>
        <w:rPr>
          <w:rFonts w:ascii="Times New Roman" w:eastAsia="Times New Roman"/>
        </w:rPr>
        <w:t>2022 </w:t>
      </w:r>
      <w:r>
        <w:rPr>
          <w:spacing w:val="-35"/>
        </w:rPr>
        <w:t>年 </w:t>
      </w:r>
      <w:r>
        <w:rPr>
          <w:rFonts w:ascii="Times New Roman" w:eastAsia="Times New Roman"/>
        </w:rPr>
        <w:t>2 </w:t>
      </w:r>
      <w:r>
        <w:rPr>
          <w:spacing w:val="-34"/>
        </w:rPr>
        <w:t>月 </w:t>
      </w:r>
      <w:r>
        <w:rPr>
          <w:rFonts w:ascii="Times New Roman" w:eastAsia="Times New Roman"/>
        </w:rPr>
        <w:t>18 </w:t>
      </w:r>
      <w:r>
        <w:rPr>
          <w:spacing w:val="-1"/>
        </w:rPr>
        <w:t>日委托第三方有资质单位对各重点废气处理设施的出口进行</w:t>
      </w:r>
      <w:r>
        <w:rPr/>
        <w:t>了监测，具体情况见下表。</w:t>
      </w:r>
    </w:p>
    <w:p>
      <w:pPr>
        <w:pStyle w:val="Heading4"/>
        <w:tabs>
          <w:tab w:pos="4040" w:val="left" w:leader="none"/>
        </w:tabs>
        <w:spacing w:before="141" w:after="28"/>
        <w:ind w:left="2818"/>
      </w:pPr>
      <w:r>
        <w:rPr/>
        <w:t>表</w:t>
      </w:r>
      <w:r>
        <w:rPr>
          <w:spacing w:val="-60"/>
        </w:rPr>
        <w:t> </w:t>
      </w:r>
      <w:r>
        <w:rPr>
          <w:rFonts w:ascii="Times New Roman" w:eastAsia="Times New Roman"/>
        </w:rPr>
        <w:t>3.4.1-2</w:t>
        <w:tab/>
      </w:r>
      <w:r>
        <w:rPr/>
        <w:t>天然气燃烧废气检测结果</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9"/>
        <w:gridCol w:w="866"/>
        <w:gridCol w:w="1003"/>
        <w:gridCol w:w="981"/>
        <w:gridCol w:w="849"/>
        <w:gridCol w:w="849"/>
        <w:gridCol w:w="1321"/>
        <w:gridCol w:w="1192"/>
        <w:gridCol w:w="1122"/>
      </w:tblGrid>
      <w:tr>
        <w:trPr>
          <w:trHeight w:val="273" w:hRule="atLeast"/>
        </w:trPr>
        <w:tc>
          <w:tcPr>
            <w:tcW w:w="1099" w:type="dxa"/>
            <w:vMerge w:val="restart"/>
          </w:tcPr>
          <w:p>
            <w:pPr>
              <w:pStyle w:val="TableParagraph"/>
              <w:spacing w:before="6"/>
              <w:jc w:val="left"/>
              <w:rPr>
                <w:b/>
                <w:sz w:val="20"/>
              </w:rPr>
            </w:pPr>
          </w:p>
          <w:p>
            <w:pPr>
              <w:pStyle w:val="TableParagraph"/>
              <w:ind w:left="232"/>
              <w:jc w:val="left"/>
              <w:rPr>
                <w:b/>
                <w:sz w:val="21"/>
              </w:rPr>
            </w:pPr>
            <w:r>
              <w:rPr>
                <w:b/>
                <w:sz w:val="21"/>
              </w:rPr>
              <w:t>采样点</w:t>
            </w:r>
          </w:p>
        </w:tc>
        <w:tc>
          <w:tcPr>
            <w:tcW w:w="866" w:type="dxa"/>
            <w:vMerge w:val="restart"/>
          </w:tcPr>
          <w:p>
            <w:pPr>
              <w:pStyle w:val="TableParagraph"/>
              <w:spacing w:line="242" w:lineRule="auto" w:before="128"/>
              <w:ind w:left="107" w:right="-15" w:firstLine="7"/>
              <w:jc w:val="left"/>
              <w:rPr>
                <w:b/>
                <w:sz w:val="21"/>
              </w:rPr>
            </w:pPr>
            <w:r>
              <w:rPr>
                <w:b/>
                <w:sz w:val="21"/>
              </w:rPr>
              <w:t>废气温 </w:t>
            </w:r>
            <w:r>
              <w:rPr>
                <w:b/>
                <w:spacing w:val="-104"/>
                <w:sz w:val="21"/>
              </w:rPr>
              <w:t>度</w:t>
            </w:r>
            <w:r>
              <w:rPr>
                <w:b/>
                <w:spacing w:val="-5"/>
                <w:sz w:val="21"/>
              </w:rPr>
              <w:t>（</w:t>
            </w:r>
            <w:r>
              <w:rPr>
                <w:rFonts w:ascii="Times New Roman" w:hAnsi="Times New Roman" w:eastAsia="Times New Roman"/>
                <w:b/>
                <w:spacing w:val="-5"/>
                <w:sz w:val="21"/>
              </w:rPr>
              <w:t>℃</w:t>
            </w:r>
            <w:r>
              <w:rPr>
                <w:b/>
                <w:spacing w:val="-5"/>
                <w:sz w:val="21"/>
              </w:rPr>
              <w:t>）</w:t>
            </w:r>
          </w:p>
        </w:tc>
        <w:tc>
          <w:tcPr>
            <w:tcW w:w="1003" w:type="dxa"/>
            <w:vMerge w:val="restart"/>
          </w:tcPr>
          <w:p>
            <w:pPr>
              <w:pStyle w:val="TableParagraph"/>
              <w:spacing w:before="128"/>
              <w:ind w:left="27" w:right="17"/>
              <w:rPr>
                <w:b/>
                <w:sz w:val="21"/>
              </w:rPr>
            </w:pPr>
            <w:r>
              <w:rPr>
                <w:b/>
                <w:sz w:val="21"/>
              </w:rPr>
              <w:t>流速</w:t>
            </w:r>
          </w:p>
          <w:p>
            <w:pPr>
              <w:pStyle w:val="TableParagraph"/>
              <w:spacing w:before="2"/>
              <w:ind w:left="27" w:right="18"/>
              <w:rPr>
                <w:b/>
                <w:sz w:val="21"/>
              </w:rPr>
            </w:pPr>
            <w:r>
              <w:rPr>
                <w:b/>
                <w:sz w:val="21"/>
              </w:rPr>
              <w:t>（</w:t>
            </w:r>
            <w:r>
              <w:rPr>
                <w:rFonts w:ascii="Times New Roman" w:eastAsia="Times New Roman"/>
                <w:b/>
                <w:sz w:val="21"/>
              </w:rPr>
              <w:t>m/s</w:t>
            </w:r>
            <w:r>
              <w:rPr>
                <w:b/>
                <w:sz w:val="21"/>
              </w:rPr>
              <w:t>）</w:t>
            </w:r>
          </w:p>
        </w:tc>
        <w:tc>
          <w:tcPr>
            <w:tcW w:w="981" w:type="dxa"/>
            <w:vMerge w:val="restart"/>
          </w:tcPr>
          <w:p>
            <w:pPr>
              <w:pStyle w:val="TableParagraph"/>
              <w:spacing w:before="128"/>
              <w:ind w:left="173"/>
              <w:jc w:val="left"/>
              <w:rPr>
                <w:b/>
                <w:sz w:val="21"/>
              </w:rPr>
            </w:pPr>
            <w:r>
              <w:rPr>
                <w:b/>
                <w:sz w:val="21"/>
              </w:rPr>
              <w:t>含湿量</w:t>
            </w:r>
          </w:p>
          <w:p>
            <w:pPr>
              <w:pStyle w:val="TableParagraph"/>
              <w:spacing w:before="2"/>
              <w:ind w:left="173"/>
              <w:jc w:val="left"/>
              <w:rPr>
                <w:b/>
                <w:sz w:val="21"/>
              </w:rPr>
            </w:pPr>
            <w:r>
              <w:rPr>
                <w:b/>
                <w:sz w:val="21"/>
              </w:rPr>
              <w:t>（</w:t>
            </w:r>
            <w:r>
              <w:rPr>
                <w:rFonts w:ascii="Times New Roman" w:eastAsia="Times New Roman"/>
                <w:b/>
                <w:sz w:val="21"/>
              </w:rPr>
              <w:t>%</w:t>
            </w:r>
            <w:r>
              <w:rPr>
                <w:b/>
                <w:sz w:val="21"/>
              </w:rPr>
              <w:t>）</w:t>
            </w:r>
          </w:p>
        </w:tc>
        <w:tc>
          <w:tcPr>
            <w:tcW w:w="849" w:type="dxa"/>
            <w:vMerge w:val="restart"/>
          </w:tcPr>
          <w:p>
            <w:pPr>
              <w:pStyle w:val="TableParagraph"/>
              <w:spacing w:before="128"/>
              <w:ind w:left="109"/>
              <w:jc w:val="left"/>
              <w:rPr>
                <w:b/>
                <w:sz w:val="21"/>
              </w:rPr>
            </w:pPr>
            <w:r>
              <w:rPr>
                <w:b/>
                <w:sz w:val="21"/>
              </w:rPr>
              <w:t>含氧量</w:t>
            </w:r>
          </w:p>
          <w:p>
            <w:pPr>
              <w:pStyle w:val="TableParagraph"/>
              <w:spacing w:before="2"/>
              <w:ind w:left="109"/>
              <w:jc w:val="left"/>
              <w:rPr>
                <w:b/>
                <w:sz w:val="21"/>
              </w:rPr>
            </w:pPr>
            <w:r>
              <w:rPr>
                <w:b/>
                <w:sz w:val="21"/>
              </w:rPr>
              <w:t>（</w:t>
            </w:r>
            <w:r>
              <w:rPr>
                <w:rFonts w:ascii="Times New Roman" w:eastAsia="Times New Roman"/>
                <w:b/>
                <w:sz w:val="21"/>
              </w:rPr>
              <w:t>%</w:t>
            </w:r>
            <w:r>
              <w:rPr>
                <w:b/>
                <w:sz w:val="21"/>
              </w:rPr>
              <w:t>）</w:t>
            </w:r>
          </w:p>
        </w:tc>
        <w:tc>
          <w:tcPr>
            <w:tcW w:w="849" w:type="dxa"/>
            <w:vMerge w:val="restart"/>
          </w:tcPr>
          <w:p>
            <w:pPr>
              <w:pStyle w:val="TableParagraph"/>
              <w:spacing w:before="6"/>
              <w:jc w:val="left"/>
              <w:rPr>
                <w:b/>
                <w:sz w:val="20"/>
              </w:rPr>
            </w:pPr>
          </w:p>
          <w:p>
            <w:pPr>
              <w:pStyle w:val="TableParagraph"/>
              <w:ind w:left="215"/>
              <w:jc w:val="left"/>
              <w:rPr>
                <w:b/>
                <w:sz w:val="21"/>
              </w:rPr>
            </w:pPr>
            <w:r>
              <w:rPr>
                <w:b/>
                <w:sz w:val="21"/>
              </w:rPr>
              <w:t>频次</w:t>
            </w:r>
          </w:p>
        </w:tc>
        <w:tc>
          <w:tcPr>
            <w:tcW w:w="1321" w:type="dxa"/>
            <w:vMerge w:val="restart"/>
          </w:tcPr>
          <w:p>
            <w:pPr>
              <w:pStyle w:val="TableParagraph"/>
              <w:spacing w:line="268" w:lineRule="exact" w:before="142"/>
              <w:ind w:left="223" w:right="203"/>
              <w:rPr>
                <w:b/>
                <w:sz w:val="21"/>
              </w:rPr>
            </w:pPr>
            <w:r>
              <w:rPr>
                <w:b/>
                <w:sz w:val="21"/>
              </w:rPr>
              <w:t>标干流量</w:t>
            </w:r>
          </w:p>
          <w:p>
            <w:pPr>
              <w:pStyle w:val="TableParagraph"/>
              <w:spacing w:line="245" w:lineRule="exact"/>
              <w:ind w:left="217" w:right="203"/>
              <w:rPr>
                <w:rFonts w:ascii="Times New Roman"/>
                <w:sz w:val="21"/>
              </w:rPr>
            </w:pPr>
            <w:r>
              <w:rPr>
                <w:rFonts w:ascii="Times New Roman"/>
                <w:sz w:val="21"/>
              </w:rPr>
              <w:t>(m</w:t>
            </w:r>
            <w:r>
              <w:rPr>
                <w:rFonts w:ascii="Times New Roman"/>
                <w:position w:val="7"/>
                <w:sz w:val="14"/>
              </w:rPr>
              <w:t>3</w:t>
            </w:r>
            <w:r>
              <w:rPr>
                <w:rFonts w:ascii="Times New Roman"/>
                <w:sz w:val="21"/>
              </w:rPr>
              <w:t>/h)</w:t>
            </w:r>
          </w:p>
        </w:tc>
        <w:tc>
          <w:tcPr>
            <w:tcW w:w="2314" w:type="dxa"/>
            <w:gridSpan w:val="2"/>
          </w:tcPr>
          <w:p>
            <w:pPr>
              <w:pStyle w:val="TableParagraph"/>
              <w:spacing w:line="252" w:lineRule="exact" w:before="1"/>
              <w:ind w:left="739"/>
              <w:jc w:val="left"/>
              <w:rPr>
                <w:b/>
                <w:sz w:val="21"/>
              </w:rPr>
            </w:pPr>
            <w:r>
              <w:rPr>
                <w:b/>
                <w:sz w:val="21"/>
              </w:rPr>
              <w:t>氮氧化物</w:t>
            </w:r>
          </w:p>
        </w:tc>
      </w:tr>
      <w:tr>
        <w:trPr>
          <w:trHeight w:val="513" w:hRule="atLeast"/>
        </w:trPr>
        <w:tc>
          <w:tcPr>
            <w:tcW w:w="1099" w:type="dxa"/>
            <w:vMerge/>
            <w:tcBorders>
              <w:top w:val="nil"/>
            </w:tcBorders>
          </w:tcPr>
          <w:p>
            <w:pPr>
              <w:rPr>
                <w:sz w:val="2"/>
                <w:szCs w:val="2"/>
              </w:rPr>
            </w:pPr>
          </w:p>
        </w:tc>
        <w:tc>
          <w:tcPr>
            <w:tcW w:w="866" w:type="dxa"/>
            <w:vMerge/>
            <w:tcBorders>
              <w:top w:val="nil"/>
            </w:tcBorders>
          </w:tcPr>
          <w:p>
            <w:pPr>
              <w:rPr>
                <w:sz w:val="2"/>
                <w:szCs w:val="2"/>
              </w:rPr>
            </w:pPr>
          </w:p>
        </w:tc>
        <w:tc>
          <w:tcPr>
            <w:tcW w:w="1003" w:type="dxa"/>
            <w:vMerge/>
            <w:tcBorders>
              <w:top w:val="nil"/>
            </w:tcBorders>
          </w:tcPr>
          <w:p>
            <w:pPr>
              <w:rPr>
                <w:sz w:val="2"/>
                <w:szCs w:val="2"/>
              </w:rPr>
            </w:pPr>
          </w:p>
        </w:tc>
        <w:tc>
          <w:tcPr>
            <w:tcW w:w="981" w:type="dxa"/>
            <w:vMerge/>
            <w:tcBorders>
              <w:top w:val="nil"/>
            </w:tcBorders>
          </w:tcPr>
          <w:p>
            <w:pPr>
              <w:rPr>
                <w:sz w:val="2"/>
                <w:szCs w:val="2"/>
              </w:rPr>
            </w:pPr>
          </w:p>
        </w:tc>
        <w:tc>
          <w:tcPr>
            <w:tcW w:w="849" w:type="dxa"/>
            <w:vMerge/>
            <w:tcBorders>
              <w:top w:val="nil"/>
            </w:tcBorders>
          </w:tcPr>
          <w:p>
            <w:pPr>
              <w:rPr>
                <w:sz w:val="2"/>
                <w:szCs w:val="2"/>
              </w:rPr>
            </w:pPr>
          </w:p>
        </w:tc>
        <w:tc>
          <w:tcPr>
            <w:tcW w:w="849" w:type="dxa"/>
            <w:vMerge/>
            <w:tcBorders>
              <w:top w:val="nil"/>
            </w:tcBorders>
          </w:tcPr>
          <w:p>
            <w:pPr>
              <w:rPr>
                <w:sz w:val="2"/>
                <w:szCs w:val="2"/>
              </w:rPr>
            </w:pPr>
          </w:p>
        </w:tc>
        <w:tc>
          <w:tcPr>
            <w:tcW w:w="1321" w:type="dxa"/>
            <w:vMerge/>
            <w:tcBorders>
              <w:top w:val="nil"/>
            </w:tcBorders>
          </w:tcPr>
          <w:p>
            <w:pPr>
              <w:rPr>
                <w:sz w:val="2"/>
                <w:szCs w:val="2"/>
              </w:rPr>
            </w:pPr>
          </w:p>
        </w:tc>
        <w:tc>
          <w:tcPr>
            <w:tcW w:w="1192" w:type="dxa"/>
          </w:tcPr>
          <w:p>
            <w:pPr>
              <w:pStyle w:val="TableParagraph"/>
              <w:spacing w:line="268" w:lineRule="exact" w:before="1"/>
              <w:ind w:left="179" w:right="166"/>
              <w:rPr>
                <w:b/>
                <w:sz w:val="21"/>
              </w:rPr>
            </w:pPr>
            <w:r>
              <w:rPr>
                <w:b/>
                <w:sz w:val="21"/>
              </w:rPr>
              <w:t>浓度</w:t>
            </w:r>
          </w:p>
          <w:p>
            <w:pPr>
              <w:pStyle w:val="TableParagraph"/>
              <w:spacing w:line="225" w:lineRule="exact"/>
              <w:ind w:left="177" w:right="166"/>
              <w:rPr>
                <w:rFonts w:ascii="Times New Roman"/>
                <w:sz w:val="21"/>
              </w:rPr>
            </w:pPr>
            <w:r>
              <w:rPr>
                <w:rFonts w:ascii="Times New Roman"/>
                <w:sz w:val="21"/>
              </w:rPr>
              <w:t>(mg/m</w:t>
            </w:r>
            <w:r>
              <w:rPr>
                <w:rFonts w:ascii="Times New Roman"/>
                <w:position w:val="7"/>
                <w:sz w:val="14"/>
              </w:rPr>
              <w:t>3</w:t>
            </w:r>
            <w:r>
              <w:rPr>
                <w:rFonts w:ascii="Times New Roman"/>
                <w:sz w:val="21"/>
              </w:rPr>
              <w:t>)</w:t>
            </w:r>
          </w:p>
        </w:tc>
        <w:tc>
          <w:tcPr>
            <w:tcW w:w="1122" w:type="dxa"/>
          </w:tcPr>
          <w:p>
            <w:pPr>
              <w:pStyle w:val="TableParagraph"/>
              <w:spacing w:before="1"/>
              <w:ind w:left="356"/>
              <w:jc w:val="left"/>
              <w:rPr>
                <w:b/>
                <w:sz w:val="21"/>
              </w:rPr>
            </w:pPr>
            <w:r>
              <w:rPr>
                <w:b/>
                <w:sz w:val="21"/>
              </w:rPr>
              <w:t>速率</w:t>
            </w:r>
          </w:p>
          <w:p>
            <w:pPr>
              <w:pStyle w:val="TableParagraph"/>
              <w:spacing w:line="221" w:lineRule="exact" w:before="1"/>
              <w:ind w:left="310"/>
              <w:jc w:val="left"/>
              <w:rPr>
                <w:rFonts w:ascii="Times New Roman"/>
                <w:sz w:val="21"/>
              </w:rPr>
            </w:pPr>
            <w:r>
              <w:rPr>
                <w:rFonts w:ascii="Times New Roman"/>
                <w:sz w:val="21"/>
              </w:rPr>
              <w:t>(kg/h)</w:t>
            </w:r>
          </w:p>
        </w:tc>
      </w:tr>
      <w:tr>
        <w:trPr>
          <w:trHeight w:val="273" w:hRule="atLeast"/>
        </w:trPr>
        <w:tc>
          <w:tcPr>
            <w:tcW w:w="1099" w:type="dxa"/>
            <w:vMerge w:val="restart"/>
          </w:tcPr>
          <w:p>
            <w:pPr>
              <w:pStyle w:val="TableParagraph"/>
              <w:spacing w:line="242" w:lineRule="auto" w:before="17"/>
              <w:ind w:left="129" w:right="115"/>
              <w:jc w:val="both"/>
              <w:rPr>
                <w:sz w:val="21"/>
              </w:rPr>
            </w:pPr>
            <w:r>
              <w:rPr>
                <w:spacing w:val="-5"/>
                <w:sz w:val="21"/>
              </w:rPr>
              <w:t>浓缩装置天然气燃烧废气出</w:t>
            </w:r>
          </w:p>
          <w:p>
            <w:pPr>
              <w:pStyle w:val="TableParagraph"/>
              <w:spacing w:line="267" w:lineRule="exact" w:before="2"/>
              <w:ind w:left="107"/>
              <w:jc w:val="both"/>
              <w:rPr>
                <w:rFonts w:ascii="Times New Roman" w:eastAsia="Times New Roman"/>
                <w:sz w:val="21"/>
              </w:rPr>
            </w:pPr>
            <w:r>
              <w:rPr>
                <w:spacing w:val="-27"/>
                <w:sz w:val="21"/>
              </w:rPr>
              <w:t>口 </w:t>
            </w:r>
            <w:r>
              <w:rPr>
                <w:rFonts w:ascii="Times New Roman" w:eastAsia="Times New Roman"/>
                <w:sz w:val="21"/>
              </w:rPr>
              <w:t>DA002</w:t>
            </w:r>
          </w:p>
        </w:tc>
        <w:tc>
          <w:tcPr>
            <w:tcW w:w="866" w:type="dxa"/>
          </w:tcPr>
          <w:p>
            <w:pPr>
              <w:pStyle w:val="TableParagraph"/>
              <w:spacing w:line="238" w:lineRule="exact" w:before="15"/>
              <w:ind w:right="261"/>
              <w:jc w:val="right"/>
              <w:rPr>
                <w:rFonts w:ascii="Times New Roman"/>
                <w:sz w:val="21"/>
              </w:rPr>
            </w:pPr>
            <w:r>
              <w:rPr>
                <w:rFonts w:ascii="Times New Roman"/>
                <w:sz w:val="21"/>
              </w:rPr>
              <w:t>156</w:t>
            </w:r>
          </w:p>
        </w:tc>
        <w:tc>
          <w:tcPr>
            <w:tcW w:w="1003" w:type="dxa"/>
          </w:tcPr>
          <w:p>
            <w:pPr>
              <w:pStyle w:val="TableParagraph"/>
              <w:spacing w:line="238" w:lineRule="exact" w:before="15"/>
              <w:ind w:left="27" w:right="17"/>
              <w:rPr>
                <w:rFonts w:ascii="Times New Roman"/>
                <w:sz w:val="21"/>
              </w:rPr>
            </w:pPr>
            <w:r>
              <w:rPr>
                <w:rFonts w:ascii="Times New Roman"/>
                <w:sz w:val="21"/>
              </w:rPr>
              <w:t>2.0</w:t>
            </w:r>
          </w:p>
        </w:tc>
        <w:tc>
          <w:tcPr>
            <w:tcW w:w="981" w:type="dxa"/>
          </w:tcPr>
          <w:p>
            <w:pPr>
              <w:pStyle w:val="TableParagraph"/>
              <w:spacing w:line="238" w:lineRule="exact" w:before="15"/>
              <w:ind w:left="358"/>
              <w:jc w:val="left"/>
              <w:rPr>
                <w:rFonts w:ascii="Times New Roman"/>
                <w:sz w:val="21"/>
              </w:rPr>
            </w:pPr>
            <w:r>
              <w:rPr>
                <w:rFonts w:ascii="Times New Roman"/>
                <w:sz w:val="21"/>
              </w:rPr>
              <w:t>2.5</w:t>
            </w:r>
          </w:p>
        </w:tc>
        <w:tc>
          <w:tcPr>
            <w:tcW w:w="849" w:type="dxa"/>
          </w:tcPr>
          <w:p>
            <w:pPr>
              <w:pStyle w:val="TableParagraph"/>
              <w:spacing w:line="238" w:lineRule="exact" w:before="15"/>
              <w:ind w:left="106" w:right="92"/>
              <w:rPr>
                <w:rFonts w:ascii="Times New Roman"/>
                <w:sz w:val="21"/>
              </w:rPr>
            </w:pPr>
            <w:r>
              <w:rPr>
                <w:rFonts w:ascii="Times New Roman"/>
                <w:sz w:val="21"/>
              </w:rPr>
              <w:t>17.2</w:t>
            </w:r>
          </w:p>
        </w:tc>
        <w:tc>
          <w:tcPr>
            <w:tcW w:w="849" w:type="dxa"/>
          </w:tcPr>
          <w:p>
            <w:pPr>
              <w:pStyle w:val="TableParagraph"/>
              <w:spacing w:line="252" w:lineRule="exact" w:before="1"/>
              <w:ind w:right="93"/>
              <w:jc w:val="right"/>
              <w:rPr>
                <w:sz w:val="21"/>
              </w:rPr>
            </w:pPr>
            <w:r>
              <w:rPr>
                <w:sz w:val="21"/>
              </w:rPr>
              <w:t>第一次</w:t>
            </w:r>
          </w:p>
        </w:tc>
        <w:tc>
          <w:tcPr>
            <w:tcW w:w="1321" w:type="dxa"/>
          </w:tcPr>
          <w:p>
            <w:pPr>
              <w:pStyle w:val="TableParagraph"/>
              <w:spacing w:line="243" w:lineRule="exact" w:before="10"/>
              <w:ind w:left="281"/>
              <w:jc w:val="left"/>
              <w:rPr>
                <w:rFonts w:ascii="Times New Roman" w:hAnsi="Times New Roman"/>
                <w:sz w:val="14"/>
              </w:rPr>
            </w:pPr>
            <w:r>
              <w:rPr>
                <w:rFonts w:ascii="Times New Roman" w:hAnsi="Times New Roman"/>
                <w:sz w:val="21"/>
              </w:rPr>
              <w:t>2.27×10</w:t>
            </w:r>
            <w:r>
              <w:rPr>
                <w:rFonts w:ascii="Times New Roman" w:hAnsi="Times New Roman"/>
                <w:position w:val="7"/>
                <w:sz w:val="14"/>
              </w:rPr>
              <w:t>3</w:t>
            </w:r>
          </w:p>
        </w:tc>
        <w:tc>
          <w:tcPr>
            <w:tcW w:w="1192" w:type="dxa"/>
          </w:tcPr>
          <w:p>
            <w:pPr>
              <w:pStyle w:val="TableParagraph"/>
              <w:spacing w:line="238" w:lineRule="exact" w:before="15"/>
              <w:ind w:left="179" w:right="166"/>
              <w:rPr>
                <w:rFonts w:ascii="Times New Roman"/>
                <w:sz w:val="21"/>
              </w:rPr>
            </w:pPr>
            <w:r>
              <w:rPr>
                <w:rFonts w:ascii="Times New Roman"/>
                <w:sz w:val="21"/>
              </w:rPr>
              <w:t>45</w:t>
            </w:r>
          </w:p>
        </w:tc>
        <w:tc>
          <w:tcPr>
            <w:tcW w:w="1122" w:type="dxa"/>
          </w:tcPr>
          <w:p>
            <w:pPr>
              <w:pStyle w:val="TableParagraph"/>
              <w:spacing w:line="238" w:lineRule="exact" w:before="15"/>
              <w:ind w:left="194" w:right="171"/>
              <w:rPr>
                <w:rFonts w:ascii="Times New Roman"/>
                <w:sz w:val="21"/>
              </w:rPr>
            </w:pPr>
            <w:r>
              <w:rPr>
                <w:rFonts w:ascii="Times New Roman"/>
                <w:sz w:val="21"/>
              </w:rPr>
              <w:t>0.10</w:t>
            </w:r>
          </w:p>
        </w:tc>
      </w:tr>
      <w:tr>
        <w:trPr>
          <w:trHeight w:val="271" w:hRule="atLeast"/>
        </w:trPr>
        <w:tc>
          <w:tcPr>
            <w:tcW w:w="1099" w:type="dxa"/>
            <w:vMerge/>
            <w:tcBorders>
              <w:top w:val="nil"/>
            </w:tcBorders>
          </w:tcPr>
          <w:p>
            <w:pPr>
              <w:rPr>
                <w:sz w:val="2"/>
                <w:szCs w:val="2"/>
              </w:rPr>
            </w:pPr>
          </w:p>
        </w:tc>
        <w:tc>
          <w:tcPr>
            <w:tcW w:w="866" w:type="dxa"/>
          </w:tcPr>
          <w:p>
            <w:pPr>
              <w:pStyle w:val="TableParagraph"/>
              <w:spacing w:line="236" w:lineRule="exact" w:before="15"/>
              <w:ind w:right="261"/>
              <w:jc w:val="right"/>
              <w:rPr>
                <w:rFonts w:ascii="Times New Roman"/>
                <w:sz w:val="21"/>
              </w:rPr>
            </w:pPr>
            <w:r>
              <w:rPr>
                <w:rFonts w:ascii="Times New Roman"/>
                <w:sz w:val="21"/>
              </w:rPr>
              <w:t>157</w:t>
            </w:r>
          </w:p>
        </w:tc>
        <w:tc>
          <w:tcPr>
            <w:tcW w:w="1003" w:type="dxa"/>
          </w:tcPr>
          <w:p>
            <w:pPr>
              <w:pStyle w:val="TableParagraph"/>
              <w:spacing w:line="236" w:lineRule="exact" w:before="15"/>
              <w:ind w:left="27" w:right="17"/>
              <w:rPr>
                <w:rFonts w:ascii="Times New Roman"/>
                <w:sz w:val="21"/>
              </w:rPr>
            </w:pPr>
            <w:r>
              <w:rPr>
                <w:rFonts w:ascii="Times New Roman"/>
                <w:sz w:val="21"/>
              </w:rPr>
              <w:t>1.9</w:t>
            </w:r>
          </w:p>
        </w:tc>
        <w:tc>
          <w:tcPr>
            <w:tcW w:w="981" w:type="dxa"/>
          </w:tcPr>
          <w:p>
            <w:pPr>
              <w:pStyle w:val="TableParagraph"/>
              <w:spacing w:line="236" w:lineRule="exact" w:before="15"/>
              <w:ind w:left="358"/>
              <w:jc w:val="left"/>
              <w:rPr>
                <w:rFonts w:ascii="Times New Roman"/>
                <w:sz w:val="21"/>
              </w:rPr>
            </w:pPr>
            <w:r>
              <w:rPr>
                <w:rFonts w:ascii="Times New Roman"/>
                <w:sz w:val="21"/>
              </w:rPr>
              <w:t>2.5</w:t>
            </w:r>
          </w:p>
        </w:tc>
        <w:tc>
          <w:tcPr>
            <w:tcW w:w="849" w:type="dxa"/>
          </w:tcPr>
          <w:p>
            <w:pPr>
              <w:pStyle w:val="TableParagraph"/>
              <w:spacing w:line="236" w:lineRule="exact" w:before="15"/>
              <w:ind w:left="106" w:right="92"/>
              <w:rPr>
                <w:rFonts w:ascii="Times New Roman"/>
                <w:sz w:val="21"/>
              </w:rPr>
            </w:pPr>
            <w:r>
              <w:rPr>
                <w:rFonts w:ascii="Times New Roman"/>
                <w:sz w:val="21"/>
              </w:rPr>
              <w:t>17.0</w:t>
            </w:r>
          </w:p>
        </w:tc>
        <w:tc>
          <w:tcPr>
            <w:tcW w:w="849" w:type="dxa"/>
          </w:tcPr>
          <w:p>
            <w:pPr>
              <w:pStyle w:val="TableParagraph"/>
              <w:spacing w:line="250" w:lineRule="exact" w:before="1"/>
              <w:ind w:right="93"/>
              <w:jc w:val="right"/>
              <w:rPr>
                <w:sz w:val="21"/>
              </w:rPr>
            </w:pPr>
            <w:r>
              <w:rPr>
                <w:sz w:val="21"/>
              </w:rPr>
              <w:t>第二次</w:t>
            </w:r>
          </w:p>
        </w:tc>
        <w:tc>
          <w:tcPr>
            <w:tcW w:w="1321" w:type="dxa"/>
          </w:tcPr>
          <w:p>
            <w:pPr>
              <w:pStyle w:val="TableParagraph"/>
              <w:spacing w:line="241" w:lineRule="exact" w:before="11"/>
              <w:ind w:left="281"/>
              <w:jc w:val="left"/>
              <w:rPr>
                <w:rFonts w:ascii="Times New Roman" w:hAnsi="Times New Roman"/>
                <w:sz w:val="14"/>
              </w:rPr>
            </w:pPr>
            <w:r>
              <w:rPr>
                <w:rFonts w:ascii="Times New Roman" w:hAnsi="Times New Roman"/>
                <w:sz w:val="21"/>
              </w:rPr>
              <w:t>2.16×10 </w:t>
            </w:r>
            <w:r>
              <w:rPr>
                <w:rFonts w:ascii="Times New Roman" w:hAnsi="Times New Roman"/>
                <w:position w:val="7"/>
                <w:sz w:val="14"/>
              </w:rPr>
              <w:t>3</w:t>
            </w:r>
          </w:p>
        </w:tc>
        <w:tc>
          <w:tcPr>
            <w:tcW w:w="1192" w:type="dxa"/>
          </w:tcPr>
          <w:p>
            <w:pPr>
              <w:pStyle w:val="TableParagraph"/>
              <w:spacing w:line="236" w:lineRule="exact" w:before="15"/>
              <w:ind w:left="179" w:right="166"/>
              <w:rPr>
                <w:rFonts w:ascii="Times New Roman"/>
                <w:sz w:val="21"/>
              </w:rPr>
            </w:pPr>
            <w:r>
              <w:rPr>
                <w:rFonts w:ascii="Times New Roman"/>
                <w:sz w:val="21"/>
              </w:rPr>
              <w:t>49</w:t>
            </w:r>
          </w:p>
        </w:tc>
        <w:tc>
          <w:tcPr>
            <w:tcW w:w="1122" w:type="dxa"/>
          </w:tcPr>
          <w:p>
            <w:pPr>
              <w:pStyle w:val="TableParagraph"/>
              <w:spacing w:line="236" w:lineRule="exact" w:before="15"/>
              <w:ind w:left="194" w:right="171"/>
              <w:rPr>
                <w:rFonts w:ascii="Times New Roman"/>
                <w:sz w:val="21"/>
              </w:rPr>
            </w:pPr>
            <w:r>
              <w:rPr>
                <w:rFonts w:ascii="Times New Roman"/>
                <w:sz w:val="21"/>
              </w:rPr>
              <w:t>0.11</w:t>
            </w:r>
          </w:p>
        </w:tc>
      </w:tr>
      <w:tr>
        <w:trPr>
          <w:trHeight w:val="273" w:hRule="atLeast"/>
        </w:trPr>
        <w:tc>
          <w:tcPr>
            <w:tcW w:w="1099" w:type="dxa"/>
            <w:vMerge/>
            <w:tcBorders>
              <w:top w:val="nil"/>
            </w:tcBorders>
          </w:tcPr>
          <w:p>
            <w:pPr>
              <w:rPr>
                <w:sz w:val="2"/>
                <w:szCs w:val="2"/>
              </w:rPr>
            </w:pPr>
          </w:p>
        </w:tc>
        <w:tc>
          <w:tcPr>
            <w:tcW w:w="866" w:type="dxa"/>
          </w:tcPr>
          <w:p>
            <w:pPr>
              <w:pStyle w:val="TableParagraph"/>
              <w:spacing w:line="236" w:lineRule="exact" w:before="17"/>
              <w:ind w:right="261"/>
              <w:jc w:val="right"/>
              <w:rPr>
                <w:rFonts w:ascii="Times New Roman"/>
                <w:sz w:val="21"/>
              </w:rPr>
            </w:pPr>
            <w:r>
              <w:rPr>
                <w:rFonts w:ascii="Times New Roman"/>
                <w:sz w:val="21"/>
              </w:rPr>
              <w:t>157</w:t>
            </w:r>
          </w:p>
        </w:tc>
        <w:tc>
          <w:tcPr>
            <w:tcW w:w="1003" w:type="dxa"/>
          </w:tcPr>
          <w:p>
            <w:pPr>
              <w:pStyle w:val="TableParagraph"/>
              <w:spacing w:line="236" w:lineRule="exact" w:before="17"/>
              <w:ind w:left="27" w:right="17"/>
              <w:rPr>
                <w:rFonts w:ascii="Times New Roman"/>
                <w:sz w:val="21"/>
              </w:rPr>
            </w:pPr>
            <w:r>
              <w:rPr>
                <w:rFonts w:ascii="Times New Roman"/>
                <w:sz w:val="21"/>
              </w:rPr>
              <w:t>2.1</w:t>
            </w:r>
          </w:p>
        </w:tc>
        <w:tc>
          <w:tcPr>
            <w:tcW w:w="981" w:type="dxa"/>
          </w:tcPr>
          <w:p>
            <w:pPr>
              <w:pStyle w:val="TableParagraph"/>
              <w:spacing w:line="236" w:lineRule="exact" w:before="17"/>
              <w:ind w:left="358"/>
              <w:jc w:val="left"/>
              <w:rPr>
                <w:rFonts w:ascii="Times New Roman"/>
                <w:sz w:val="21"/>
              </w:rPr>
            </w:pPr>
            <w:r>
              <w:rPr>
                <w:rFonts w:ascii="Times New Roman"/>
                <w:sz w:val="21"/>
              </w:rPr>
              <w:t>2.5</w:t>
            </w:r>
          </w:p>
        </w:tc>
        <w:tc>
          <w:tcPr>
            <w:tcW w:w="849" w:type="dxa"/>
          </w:tcPr>
          <w:p>
            <w:pPr>
              <w:pStyle w:val="TableParagraph"/>
              <w:spacing w:line="236" w:lineRule="exact" w:before="17"/>
              <w:ind w:left="106" w:right="92"/>
              <w:rPr>
                <w:rFonts w:ascii="Times New Roman"/>
                <w:sz w:val="21"/>
              </w:rPr>
            </w:pPr>
            <w:r>
              <w:rPr>
                <w:rFonts w:ascii="Times New Roman"/>
                <w:sz w:val="21"/>
              </w:rPr>
              <w:t>17.3</w:t>
            </w:r>
          </w:p>
        </w:tc>
        <w:tc>
          <w:tcPr>
            <w:tcW w:w="849" w:type="dxa"/>
          </w:tcPr>
          <w:p>
            <w:pPr>
              <w:pStyle w:val="TableParagraph"/>
              <w:spacing w:line="250" w:lineRule="exact" w:before="3"/>
              <w:ind w:right="93"/>
              <w:jc w:val="right"/>
              <w:rPr>
                <w:sz w:val="21"/>
              </w:rPr>
            </w:pPr>
            <w:r>
              <w:rPr>
                <w:sz w:val="21"/>
              </w:rPr>
              <w:t>第三次</w:t>
            </w:r>
          </w:p>
        </w:tc>
        <w:tc>
          <w:tcPr>
            <w:tcW w:w="1321" w:type="dxa"/>
          </w:tcPr>
          <w:p>
            <w:pPr>
              <w:pStyle w:val="TableParagraph"/>
              <w:spacing w:line="241" w:lineRule="exact" w:before="12"/>
              <w:ind w:left="281"/>
              <w:jc w:val="left"/>
              <w:rPr>
                <w:rFonts w:ascii="Times New Roman" w:hAnsi="Times New Roman"/>
                <w:sz w:val="14"/>
              </w:rPr>
            </w:pPr>
            <w:r>
              <w:rPr>
                <w:rFonts w:ascii="Times New Roman" w:hAnsi="Times New Roman"/>
                <w:sz w:val="21"/>
              </w:rPr>
              <w:t>3.32×10 </w:t>
            </w:r>
            <w:r>
              <w:rPr>
                <w:rFonts w:ascii="Times New Roman" w:hAnsi="Times New Roman"/>
                <w:position w:val="7"/>
                <w:sz w:val="14"/>
              </w:rPr>
              <w:t>3</w:t>
            </w:r>
          </w:p>
        </w:tc>
        <w:tc>
          <w:tcPr>
            <w:tcW w:w="1192" w:type="dxa"/>
          </w:tcPr>
          <w:p>
            <w:pPr>
              <w:pStyle w:val="TableParagraph"/>
              <w:spacing w:line="236" w:lineRule="exact" w:before="17"/>
              <w:ind w:left="179" w:right="166"/>
              <w:rPr>
                <w:rFonts w:ascii="Times New Roman"/>
                <w:sz w:val="21"/>
              </w:rPr>
            </w:pPr>
            <w:r>
              <w:rPr>
                <w:rFonts w:ascii="Times New Roman"/>
                <w:sz w:val="21"/>
              </w:rPr>
              <w:t>46</w:t>
            </w:r>
          </w:p>
        </w:tc>
        <w:tc>
          <w:tcPr>
            <w:tcW w:w="1122" w:type="dxa"/>
          </w:tcPr>
          <w:p>
            <w:pPr>
              <w:pStyle w:val="TableParagraph"/>
              <w:spacing w:line="236" w:lineRule="exact" w:before="17"/>
              <w:ind w:left="194" w:right="171"/>
              <w:rPr>
                <w:rFonts w:ascii="Times New Roman"/>
                <w:sz w:val="21"/>
              </w:rPr>
            </w:pPr>
            <w:r>
              <w:rPr>
                <w:rFonts w:ascii="Times New Roman"/>
                <w:sz w:val="21"/>
              </w:rPr>
              <w:t>0.15</w:t>
            </w:r>
          </w:p>
        </w:tc>
      </w:tr>
      <w:tr>
        <w:trPr>
          <w:trHeight w:val="273" w:hRule="atLeast"/>
        </w:trPr>
        <w:tc>
          <w:tcPr>
            <w:tcW w:w="1099" w:type="dxa"/>
            <w:vMerge/>
            <w:tcBorders>
              <w:top w:val="nil"/>
            </w:tcBorders>
          </w:tcPr>
          <w:p>
            <w:pPr>
              <w:rPr>
                <w:sz w:val="2"/>
                <w:szCs w:val="2"/>
              </w:rPr>
            </w:pPr>
          </w:p>
        </w:tc>
        <w:tc>
          <w:tcPr>
            <w:tcW w:w="866" w:type="dxa"/>
          </w:tcPr>
          <w:p>
            <w:pPr>
              <w:pStyle w:val="TableParagraph"/>
              <w:spacing w:line="238" w:lineRule="exact" w:before="15"/>
              <w:ind w:right="263"/>
              <w:jc w:val="right"/>
              <w:rPr>
                <w:rFonts w:ascii="Times New Roman"/>
                <w:sz w:val="21"/>
              </w:rPr>
            </w:pPr>
            <w:r>
              <w:rPr>
                <w:rFonts w:ascii="Times New Roman"/>
                <w:sz w:val="21"/>
              </w:rPr>
              <w:t>157</w:t>
            </w:r>
          </w:p>
        </w:tc>
        <w:tc>
          <w:tcPr>
            <w:tcW w:w="1003" w:type="dxa"/>
          </w:tcPr>
          <w:p>
            <w:pPr>
              <w:pStyle w:val="TableParagraph"/>
              <w:spacing w:line="238" w:lineRule="exact" w:before="15"/>
              <w:ind w:left="27" w:right="17"/>
              <w:rPr>
                <w:rFonts w:ascii="Times New Roman"/>
                <w:sz w:val="21"/>
              </w:rPr>
            </w:pPr>
            <w:r>
              <w:rPr>
                <w:rFonts w:ascii="Times New Roman"/>
                <w:sz w:val="21"/>
              </w:rPr>
              <w:t>2.0</w:t>
            </w:r>
          </w:p>
        </w:tc>
        <w:tc>
          <w:tcPr>
            <w:tcW w:w="981" w:type="dxa"/>
          </w:tcPr>
          <w:p>
            <w:pPr>
              <w:pStyle w:val="TableParagraph"/>
              <w:spacing w:line="238" w:lineRule="exact" w:before="15"/>
              <w:ind w:left="358"/>
              <w:jc w:val="left"/>
              <w:rPr>
                <w:rFonts w:ascii="Times New Roman"/>
                <w:sz w:val="21"/>
              </w:rPr>
            </w:pPr>
            <w:r>
              <w:rPr>
                <w:rFonts w:ascii="Times New Roman"/>
                <w:sz w:val="21"/>
              </w:rPr>
              <w:t>2.5</w:t>
            </w:r>
          </w:p>
        </w:tc>
        <w:tc>
          <w:tcPr>
            <w:tcW w:w="849" w:type="dxa"/>
          </w:tcPr>
          <w:p>
            <w:pPr>
              <w:pStyle w:val="TableParagraph"/>
              <w:spacing w:line="238" w:lineRule="exact" w:before="15"/>
              <w:ind w:left="106" w:right="92"/>
              <w:rPr>
                <w:rFonts w:ascii="Times New Roman"/>
                <w:sz w:val="21"/>
              </w:rPr>
            </w:pPr>
            <w:r>
              <w:rPr>
                <w:rFonts w:ascii="Times New Roman"/>
                <w:sz w:val="21"/>
              </w:rPr>
              <w:t>17.2</w:t>
            </w:r>
          </w:p>
        </w:tc>
        <w:tc>
          <w:tcPr>
            <w:tcW w:w="849" w:type="dxa"/>
          </w:tcPr>
          <w:p>
            <w:pPr>
              <w:pStyle w:val="TableParagraph"/>
              <w:spacing w:line="252" w:lineRule="exact" w:before="1"/>
              <w:ind w:right="93"/>
              <w:jc w:val="right"/>
              <w:rPr>
                <w:sz w:val="21"/>
              </w:rPr>
            </w:pPr>
            <w:r>
              <w:rPr>
                <w:sz w:val="21"/>
              </w:rPr>
              <w:t>平均值</w:t>
            </w:r>
          </w:p>
        </w:tc>
        <w:tc>
          <w:tcPr>
            <w:tcW w:w="1321" w:type="dxa"/>
          </w:tcPr>
          <w:p>
            <w:pPr>
              <w:pStyle w:val="TableParagraph"/>
              <w:spacing w:line="243" w:lineRule="exact" w:before="10"/>
              <w:ind w:left="281"/>
              <w:jc w:val="left"/>
              <w:rPr>
                <w:rFonts w:ascii="Times New Roman" w:hAnsi="Times New Roman"/>
                <w:sz w:val="14"/>
              </w:rPr>
            </w:pPr>
            <w:r>
              <w:rPr>
                <w:rFonts w:ascii="Times New Roman" w:hAnsi="Times New Roman"/>
                <w:sz w:val="21"/>
              </w:rPr>
              <w:t>2.58×10 </w:t>
            </w:r>
            <w:r>
              <w:rPr>
                <w:rFonts w:ascii="Times New Roman" w:hAnsi="Times New Roman"/>
                <w:position w:val="7"/>
                <w:sz w:val="14"/>
              </w:rPr>
              <w:t>3</w:t>
            </w:r>
          </w:p>
        </w:tc>
        <w:tc>
          <w:tcPr>
            <w:tcW w:w="1192" w:type="dxa"/>
          </w:tcPr>
          <w:p>
            <w:pPr>
              <w:pStyle w:val="TableParagraph"/>
              <w:spacing w:line="238" w:lineRule="exact" w:before="15"/>
              <w:ind w:left="179" w:right="166"/>
              <w:rPr>
                <w:rFonts w:ascii="Times New Roman"/>
                <w:sz w:val="21"/>
              </w:rPr>
            </w:pPr>
            <w:r>
              <w:rPr>
                <w:rFonts w:ascii="Times New Roman"/>
                <w:sz w:val="21"/>
              </w:rPr>
              <w:t>47</w:t>
            </w:r>
          </w:p>
        </w:tc>
        <w:tc>
          <w:tcPr>
            <w:tcW w:w="1122" w:type="dxa"/>
          </w:tcPr>
          <w:p>
            <w:pPr>
              <w:pStyle w:val="TableParagraph"/>
              <w:spacing w:line="238" w:lineRule="exact" w:before="15"/>
              <w:ind w:left="194" w:right="171"/>
              <w:rPr>
                <w:rFonts w:ascii="Times New Roman"/>
                <w:sz w:val="21"/>
              </w:rPr>
            </w:pPr>
            <w:r>
              <w:rPr>
                <w:rFonts w:ascii="Times New Roman"/>
                <w:sz w:val="21"/>
              </w:rPr>
              <w:t>0.12</w:t>
            </w:r>
          </w:p>
        </w:tc>
      </w:tr>
      <w:tr>
        <w:trPr>
          <w:trHeight w:val="270" w:hRule="atLeast"/>
        </w:trPr>
        <w:tc>
          <w:tcPr>
            <w:tcW w:w="6968" w:type="dxa"/>
            <w:gridSpan w:val="7"/>
          </w:tcPr>
          <w:p>
            <w:pPr>
              <w:pStyle w:val="TableParagraph"/>
              <w:spacing w:line="250" w:lineRule="exact" w:before="1"/>
              <w:ind w:left="3045" w:right="3028"/>
              <w:rPr>
                <w:b/>
                <w:sz w:val="21"/>
              </w:rPr>
            </w:pPr>
            <w:r>
              <w:rPr>
                <w:b/>
                <w:sz w:val="21"/>
              </w:rPr>
              <w:t>排放限值</w:t>
            </w:r>
          </w:p>
        </w:tc>
        <w:tc>
          <w:tcPr>
            <w:tcW w:w="1192" w:type="dxa"/>
          </w:tcPr>
          <w:p>
            <w:pPr>
              <w:pStyle w:val="TableParagraph"/>
              <w:spacing w:line="236" w:lineRule="exact" w:before="15"/>
              <w:ind w:left="179" w:right="166"/>
              <w:rPr>
                <w:rFonts w:ascii="Times New Roman"/>
                <w:b/>
                <w:sz w:val="21"/>
              </w:rPr>
            </w:pPr>
            <w:r>
              <w:rPr>
                <w:rFonts w:ascii="Times New Roman"/>
                <w:b/>
                <w:sz w:val="21"/>
              </w:rPr>
              <w:t>50</w:t>
            </w:r>
          </w:p>
        </w:tc>
        <w:tc>
          <w:tcPr>
            <w:tcW w:w="1122" w:type="dxa"/>
          </w:tcPr>
          <w:p>
            <w:pPr>
              <w:pStyle w:val="TableParagraph"/>
              <w:spacing w:line="231" w:lineRule="exact" w:before="19"/>
              <w:ind w:left="24"/>
              <w:rPr>
                <w:rFonts w:ascii="Times New Roman"/>
                <w:b/>
                <w:sz w:val="21"/>
              </w:rPr>
            </w:pPr>
            <w:r>
              <w:rPr>
                <w:rFonts w:ascii="Times New Roman"/>
                <w:b/>
                <w:w w:val="100"/>
                <w:sz w:val="21"/>
              </w:rPr>
              <w:t>/</w:t>
            </w:r>
          </w:p>
        </w:tc>
      </w:tr>
    </w:tbl>
    <w:p>
      <w:pPr>
        <w:tabs>
          <w:tab w:pos="1221" w:val="left" w:leader="none"/>
        </w:tabs>
        <w:spacing w:before="144" w:after="29"/>
        <w:ind w:left="0" w:right="14" w:firstLine="0"/>
        <w:jc w:val="center"/>
        <w:rPr>
          <w:b/>
          <w:sz w:val="24"/>
        </w:rPr>
      </w:pPr>
      <w:r>
        <w:rPr>
          <w:b/>
          <w:sz w:val="24"/>
        </w:rPr>
        <w:t>表</w:t>
      </w:r>
      <w:r>
        <w:rPr>
          <w:b/>
          <w:spacing w:val="-60"/>
          <w:sz w:val="24"/>
        </w:rPr>
        <w:t> </w:t>
      </w:r>
      <w:r>
        <w:rPr>
          <w:rFonts w:ascii="Times New Roman" w:hAnsi="Times New Roman" w:eastAsia="Times New Roman"/>
          <w:b/>
          <w:sz w:val="24"/>
        </w:rPr>
        <w:t>3.4.1-3</w:t>
        <w:tab/>
      </w:r>
      <w:r>
        <w:rPr>
          <w:b/>
          <w:sz w:val="24"/>
        </w:rPr>
        <w:t>贝斯美</w:t>
      </w:r>
      <w:r>
        <w:rPr>
          <w:b/>
          <w:spacing w:val="-3"/>
          <w:sz w:val="24"/>
        </w:rPr>
        <w:t>“</w:t>
      </w:r>
      <w:r>
        <w:rPr>
          <w:rFonts w:ascii="Times New Roman" w:hAnsi="Times New Roman" w:eastAsia="Times New Roman"/>
          <w:b/>
          <w:spacing w:val="-3"/>
          <w:sz w:val="24"/>
        </w:rPr>
        <w:t>RTO+</w:t>
      </w:r>
      <w:r>
        <w:rPr>
          <w:rFonts w:ascii="Times New Roman" w:hAnsi="Times New Roman" w:eastAsia="Times New Roman"/>
          <w:b/>
          <w:sz w:val="24"/>
        </w:rPr>
        <w:t> SNCR</w:t>
      </w:r>
      <w:r>
        <w:rPr>
          <w:rFonts w:ascii="Times New Roman" w:hAnsi="Times New Roman" w:eastAsia="Times New Roman"/>
          <w:b/>
          <w:spacing w:val="-1"/>
          <w:sz w:val="24"/>
        </w:rPr>
        <w:t> </w:t>
      </w:r>
      <w:r>
        <w:rPr>
          <w:b/>
          <w:sz w:val="24"/>
        </w:rPr>
        <w:t>脱硝</w:t>
      </w:r>
      <w:r>
        <w:rPr>
          <w:rFonts w:ascii="Times New Roman" w:hAnsi="Times New Roman" w:eastAsia="Times New Roman"/>
          <w:b/>
          <w:spacing w:val="-3"/>
          <w:sz w:val="24"/>
        </w:rPr>
        <w:t>+</w:t>
      </w:r>
      <w:r>
        <w:rPr>
          <w:b/>
          <w:sz w:val="24"/>
        </w:rPr>
        <w:t>四级碱吸收”处理设施监测结果</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1450"/>
        <w:gridCol w:w="1010"/>
        <w:gridCol w:w="1029"/>
        <w:gridCol w:w="1205"/>
        <w:gridCol w:w="1207"/>
        <w:gridCol w:w="1210"/>
        <w:gridCol w:w="828"/>
      </w:tblGrid>
      <w:tr>
        <w:trPr>
          <w:trHeight w:val="285" w:hRule="atLeast"/>
        </w:trPr>
        <w:tc>
          <w:tcPr>
            <w:tcW w:w="2799" w:type="dxa"/>
            <w:gridSpan w:val="2"/>
            <w:vMerge w:val="restart"/>
          </w:tcPr>
          <w:p>
            <w:pPr>
              <w:pStyle w:val="TableParagraph"/>
              <w:spacing w:before="8"/>
              <w:jc w:val="left"/>
              <w:rPr>
                <w:b/>
                <w:sz w:val="23"/>
              </w:rPr>
            </w:pPr>
          </w:p>
          <w:p>
            <w:pPr>
              <w:pStyle w:val="TableParagraph"/>
              <w:ind w:left="956" w:right="948"/>
              <w:rPr>
                <w:b/>
                <w:sz w:val="21"/>
              </w:rPr>
            </w:pPr>
            <w:r>
              <w:rPr>
                <w:b/>
                <w:sz w:val="21"/>
              </w:rPr>
              <w:t>测试项目</w:t>
            </w:r>
          </w:p>
        </w:tc>
        <w:tc>
          <w:tcPr>
            <w:tcW w:w="1010" w:type="dxa"/>
            <w:vMerge w:val="restart"/>
          </w:tcPr>
          <w:p>
            <w:pPr>
              <w:pStyle w:val="TableParagraph"/>
              <w:spacing w:before="8"/>
              <w:jc w:val="left"/>
              <w:rPr>
                <w:b/>
                <w:sz w:val="23"/>
              </w:rPr>
            </w:pPr>
          </w:p>
          <w:p>
            <w:pPr>
              <w:pStyle w:val="TableParagraph"/>
              <w:ind w:left="292"/>
              <w:jc w:val="left"/>
              <w:rPr>
                <w:b/>
                <w:sz w:val="21"/>
              </w:rPr>
            </w:pPr>
            <w:r>
              <w:rPr>
                <w:b/>
                <w:sz w:val="21"/>
              </w:rPr>
              <w:t>单位</w:t>
            </w:r>
          </w:p>
        </w:tc>
        <w:tc>
          <w:tcPr>
            <w:tcW w:w="4651" w:type="dxa"/>
            <w:gridSpan w:val="4"/>
          </w:tcPr>
          <w:p>
            <w:pPr>
              <w:pStyle w:val="TableParagraph"/>
              <w:spacing w:line="257" w:lineRule="exact" w:before="8"/>
              <w:ind w:left="1625" w:right="1619"/>
              <w:rPr>
                <w:b/>
                <w:sz w:val="21"/>
              </w:rPr>
            </w:pPr>
            <w:r>
              <w:rPr>
                <w:b/>
                <w:sz w:val="21"/>
              </w:rPr>
              <w:t>检测结果</w:t>
            </w:r>
          </w:p>
        </w:tc>
        <w:tc>
          <w:tcPr>
            <w:tcW w:w="828" w:type="dxa"/>
            <w:vMerge w:val="restart"/>
          </w:tcPr>
          <w:p>
            <w:pPr>
              <w:pStyle w:val="TableParagraph"/>
              <w:spacing w:line="242" w:lineRule="auto" w:before="166"/>
              <w:ind w:left="202" w:right="190"/>
              <w:jc w:val="left"/>
              <w:rPr>
                <w:b/>
                <w:sz w:val="21"/>
              </w:rPr>
            </w:pPr>
            <w:r>
              <w:rPr>
                <w:b/>
                <w:sz w:val="21"/>
              </w:rPr>
              <w:t>排放限值</w:t>
            </w:r>
          </w:p>
        </w:tc>
      </w:tr>
      <w:tr>
        <w:trPr>
          <w:trHeight w:val="282" w:hRule="atLeast"/>
        </w:trPr>
        <w:tc>
          <w:tcPr>
            <w:tcW w:w="2799" w:type="dxa"/>
            <w:gridSpan w:val="2"/>
            <w:vMerge/>
            <w:tcBorders>
              <w:top w:val="nil"/>
            </w:tcBorders>
          </w:tcPr>
          <w:p>
            <w:pPr>
              <w:rPr>
                <w:sz w:val="2"/>
                <w:szCs w:val="2"/>
              </w:rPr>
            </w:pPr>
          </w:p>
        </w:tc>
        <w:tc>
          <w:tcPr>
            <w:tcW w:w="1010" w:type="dxa"/>
            <w:vMerge/>
            <w:tcBorders>
              <w:top w:val="nil"/>
            </w:tcBorders>
          </w:tcPr>
          <w:p>
            <w:pPr>
              <w:rPr>
                <w:sz w:val="2"/>
                <w:szCs w:val="2"/>
              </w:rPr>
            </w:pPr>
          </w:p>
        </w:tc>
        <w:tc>
          <w:tcPr>
            <w:tcW w:w="4651" w:type="dxa"/>
            <w:gridSpan w:val="4"/>
          </w:tcPr>
          <w:p>
            <w:pPr>
              <w:pStyle w:val="TableParagraph"/>
              <w:spacing w:line="255" w:lineRule="exact" w:before="8"/>
              <w:ind w:left="1625" w:right="1619"/>
              <w:rPr>
                <w:rFonts w:ascii="Times New Roman" w:eastAsia="Times New Roman"/>
                <w:b/>
                <w:sz w:val="21"/>
              </w:rPr>
            </w:pPr>
            <w:r>
              <w:rPr>
                <w:b/>
                <w:sz w:val="21"/>
              </w:rPr>
              <w:t>排气筒 </w:t>
            </w:r>
            <w:r>
              <w:rPr>
                <w:rFonts w:ascii="Times New Roman" w:eastAsia="Times New Roman"/>
                <w:b/>
                <w:sz w:val="21"/>
              </w:rPr>
              <w:t>DA001</w:t>
            </w:r>
          </w:p>
        </w:tc>
        <w:tc>
          <w:tcPr>
            <w:tcW w:w="828" w:type="dxa"/>
            <w:vMerge/>
            <w:tcBorders>
              <w:top w:val="nil"/>
            </w:tcBorders>
          </w:tcPr>
          <w:p>
            <w:pPr>
              <w:rPr>
                <w:sz w:val="2"/>
                <w:szCs w:val="2"/>
              </w:rPr>
            </w:pPr>
          </w:p>
        </w:tc>
      </w:tr>
      <w:tr>
        <w:trPr>
          <w:trHeight w:val="285" w:hRule="atLeast"/>
        </w:trPr>
        <w:tc>
          <w:tcPr>
            <w:tcW w:w="2799" w:type="dxa"/>
            <w:gridSpan w:val="2"/>
            <w:vMerge/>
            <w:tcBorders>
              <w:top w:val="nil"/>
            </w:tcBorders>
          </w:tcPr>
          <w:p>
            <w:pPr>
              <w:rPr>
                <w:sz w:val="2"/>
                <w:szCs w:val="2"/>
              </w:rPr>
            </w:pPr>
          </w:p>
        </w:tc>
        <w:tc>
          <w:tcPr>
            <w:tcW w:w="1010" w:type="dxa"/>
            <w:vMerge/>
            <w:tcBorders>
              <w:top w:val="nil"/>
            </w:tcBorders>
          </w:tcPr>
          <w:p>
            <w:pPr>
              <w:rPr>
                <w:sz w:val="2"/>
                <w:szCs w:val="2"/>
              </w:rPr>
            </w:pPr>
          </w:p>
        </w:tc>
        <w:tc>
          <w:tcPr>
            <w:tcW w:w="1029" w:type="dxa"/>
          </w:tcPr>
          <w:p>
            <w:pPr>
              <w:pStyle w:val="TableParagraph"/>
              <w:spacing w:line="257" w:lineRule="exact" w:before="8"/>
              <w:ind w:left="84" w:right="76"/>
              <w:rPr>
                <w:b/>
                <w:sz w:val="21"/>
              </w:rPr>
            </w:pPr>
            <w:r>
              <w:rPr>
                <w:b/>
                <w:sz w:val="21"/>
              </w:rPr>
              <w:t>第一次</w:t>
            </w:r>
          </w:p>
        </w:tc>
        <w:tc>
          <w:tcPr>
            <w:tcW w:w="1205" w:type="dxa"/>
          </w:tcPr>
          <w:p>
            <w:pPr>
              <w:pStyle w:val="TableParagraph"/>
              <w:spacing w:line="257" w:lineRule="exact" w:before="8"/>
              <w:ind w:left="53" w:right="42"/>
              <w:rPr>
                <w:b/>
                <w:sz w:val="21"/>
              </w:rPr>
            </w:pPr>
            <w:r>
              <w:rPr>
                <w:b/>
                <w:sz w:val="21"/>
              </w:rPr>
              <w:t>第二次</w:t>
            </w:r>
          </w:p>
        </w:tc>
        <w:tc>
          <w:tcPr>
            <w:tcW w:w="1207" w:type="dxa"/>
          </w:tcPr>
          <w:p>
            <w:pPr>
              <w:pStyle w:val="TableParagraph"/>
              <w:spacing w:line="257" w:lineRule="exact" w:before="8"/>
              <w:ind w:left="171" w:right="162"/>
              <w:rPr>
                <w:b/>
                <w:sz w:val="21"/>
              </w:rPr>
            </w:pPr>
            <w:r>
              <w:rPr>
                <w:b/>
                <w:sz w:val="21"/>
              </w:rPr>
              <w:t>第三次</w:t>
            </w:r>
          </w:p>
        </w:tc>
        <w:tc>
          <w:tcPr>
            <w:tcW w:w="1210" w:type="dxa"/>
          </w:tcPr>
          <w:p>
            <w:pPr>
              <w:pStyle w:val="TableParagraph"/>
              <w:spacing w:line="257" w:lineRule="exact" w:before="8"/>
              <w:ind w:left="165" w:right="154"/>
              <w:rPr>
                <w:b/>
                <w:sz w:val="21"/>
              </w:rPr>
            </w:pPr>
            <w:r>
              <w:rPr>
                <w:b/>
                <w:sz w:val="21"/>
              </w:rPr>
              <w:t>平均值</w:t>
            </w:r>
          </w:p>
        </w:tc>
        <w:tc>
          <w:tcPr>
            <w:tcW w:w="828" w:type="dxa"/>
            <w:vMerge/>
            <w:tcBorders>
              <w:top w:val="nil"/>
            </w:tcBorders>
          </w:tcPr>
          <w:p>
            <w:pPr>
              <w:rPr>
                <w:sz w:val="2"/>
                <w:szCs w:val="2"/>
              </w:rPr>
            </w:pPr>
          </w:p>
        </w:tc>
      </w:tr>
      <w:tr>
        <w:trPr>
          <w:trHeight w:val="544" w:hRule="atLeast"/>
        </w:trPr>
        <w:tc>
          <w:tcPr>
            <w:tcW w:w="1349" w:type="dxa"/>
          </w:tcPr>
          <w:p>
            <w:pPr>
              <w:pStyle w:val="TableParagraph"/>
              <w:spacing w:before="1"/>
              <w:ind w:left="29" w:right="20"/>
              <w:rPr>
                <w:sz w:val="21"/>
              </w:rPr>
            </w:pPr>
            <w:r>
              <w:rPr>
                <w:sz w:val="21"/>
              </w:rPr>
              <w:t>烟气</w:t>
            </w:r>
          </w:p>
          <w:p>
            <w:pPr>
              <w:pStyle w:val="TableParagraph"/>
              <w:spacing w:line="250" w:lineRule="exact" w:before="4"/>
              <w:ind w:left="29" w:right="20"/>
              <w:rPr>
                <w:sz w:val="21"/>
              </w:rPr>
            </w:pPr>
            <w:r>
              <w:rPr>
                <w:sz w:val="21"/>
              </w:rPr>
              <w:t>参数</w:t>
            </w:r>
          </w:p>
        </w:tc>
        <w:tc>
          <w:tcPr>
            <w:tcW w:w="1450" w:type="dxa"/>
          </w:tcPr>
          <w:p>
            <w:pPr>
              <w:pStyle w:val="TableParagraph"/>
              <w:spacing w:before="1"/>
              <w:ind w:left="180" w:right="169"/>
              <w:rPr>
                <w:sz w:val="21"/>
              </w:rPr>
            </w:pPr>
            <w:r>
              <w:rPr>
                <w:sz w:val="21"/>
              </w:rPr>
              <w:t>测点废气温</w:t>
            </w:r>
          </w:p>
          <w:p>
            <w:pPr>
              <w:pStyle w:val="TableParagraph"/>
              <w:spacing w:line="250" w:lineRule="exact" w:before="4"/>
              <w:ind w:left="8"/>
              <w:rPr>
                <w:sz w:val="21"/>
              </w:rPr>
            </w:pPr>
            <w:r>
              <w:rPr>
                <w:w w:val="100"/>
                <w:sz w:val="21"/>
              </w:rPr>
              <w:t>度</w:t>
            </w:r>
          </w:p>
        </w:tc>
        <w:tc>
          <w:tcPr>
            <w:tcW w:w="1010" w:type="dxa"/>
          </w:tcPr>
          <w:p>
            <w:pPr>
              <w:pStyle w:val="TableParagraph"/>
              <w:spacing w:before="151"/>
              <w:ind w:left="7"/>
              <w:rPr>
                <w:rFonts w:ascii="Times New Roman" w:hAnsi="Times New Roman"/>
                <w:sz w:val="21"/>
              </w:rPr>
            </w:pPr>
            <w:r>
              <w:rPr>
                <w:rFonts w:ascii="Times New Roman" w:hAnsi="Times New Roman"/>
                <w:w w:val="100"/>
                <w:sz w:val="21"/>
              </w:rPr>
              <w:t>℃</w:t>
            </w:r>
          </w:p>
        </w:tc>
        <w:tc>
          <w:tcPr>
            <w:tcW w:w="1029" w:type="dxa"/>
          </w:tcPr>
          <w:p>
            <w:pPr>
              <w:pStyle w:val="TableParagraph"/>
              <w:spacing w:before="151"/>
              <w:ind w:left="84" w:right="76"/>
              <w:rPr>
                <w:rFonts w:ascii="Times New Roman"/>
                <w:sz w:val="21"/>
              </w:rPr>
            </w:pPr>
            <w:r>
              <w:rPr>
                <w:rFonts w:ascii="Times New Roman"/>
                <w:sz w:val="21"/>
              </w:rPr>
              <w:t>20.9</w:t>
            </w:r>
          </w:p>
        </w:tc>
        <w:tc>
          <w:tcPr>
            <w:tcW w:w="1205" w:type="dxa"/>
          </w:tcPr>
          <w:p>
            <w:pPr>
              <w:pStyle w:val="TableParagraph"/>
              <w:spacing w:before="151"/>
              <w:ind w:left="53" w:right="42"/>
              <w:rPr>
                <w:rFonts w:ascii="Times New Roman"/>
                <w:sz w:val="21"/>
              </w:rPr>
            </w:pPr>
            <w:r>
              <w:rPr>
                <w:rFonts w:ascii="Times New Roman"/>
                <w:sz w:val="21"/>
              </w:rPr>
              <w:t>21.9</w:t>
            </w:r>
          </w:p>
        </w:tc>
        <w:tc>
          <w:tcPr>
            <w:tcW w:w="1207" w:type="dxa"/>
          </w:tcPr>
          <w:p>
            <w:pPr>
              <w:pStyle w:val="TableParagraph"/>
              <w:spacing w:before="151"/>
              <w:ind w:left="176" w:right="162"/>
              <w:rPr>
                <w:rFonts w:ascii="Times New Roman"/>
                <w:sz w:val="21"/>
              </w:rPr>
            </w:pPr>
            <w:r>
              <w:rPr>
                <w:rFonts w:ascii="Times New Roman"/>
                <w:sz w:val="21"/>
              </w:rPr>
              <w:t>22.9</w:t>
            </w:r>
          </w:p>
        </w:tc>
        <w:tc>
          <w:tcPr>
            <w:tcW w:w="1210" w:type="dxa"/>
          </w:tcPr>
          <w:p>
            <w:pPr>
              <w:pStyle w:val="TableParagraph"/>
              <w:spacing w:before="151"/>
              <w:ind w:left="165" w:right="154"/>
              <w:rPr>
                <w:rFonts w:ascii="Times New Roman"/>
                <w:sz w:val="21"/>
              </w:rPr>
            </w:pPr>
            <w:r>
              <w:rPr>
                <w:rFonts w:ascii="Times New Roman"/>
                <w:sz w:val="21"/>
              </w:rPr>
              <w:t>21.9</w:t>
            </w:r>
          </w:p>
        </w:tc>
        <w:tc>
          <w:tcPr>
            <w:tcW w:w="828" w:type="dxa"/>
          </w:tcPr>
          <w:p>
            <w:pPr>
              <w:pStyle w:val="TableParagraph"/>
              <w:spacing w:before="151"/>
              <w:ind w:left="11"/>
              <w:rPr>
                <w:rFonts w:ascii="Times New Roman"/>
                <w:sz w:val="21"/>
              </w:rPr>
            </w:pPr>
            <w:r>
              <w:rPr>
                <w:rFonts w:ascii="Times New Roman"/>
                <w:w w:val="100"/>
                <w:sz w:val="21"/>
              </w:rPr>
              <w:t>/</w:t>
            </w:r>
          </w:p>
        </w:tc>
      </w:tr>
    </w:tbl>
    <w:p>
      <w:pPr>
        <w:spacing w:after="0"/>
        <w:rPr>
          <w:rFonts w:ascii="Times New Roman"/>
          <w:sz w:val="21"/>
        </w:rPr>
        <w:sectPr>
          <w:type w:val="continuous"/>
          <w:pgSz w:w="11910" w:h="16850"/>
          <w:pgMar w:top="1420" w:bottom="280" w:left="1200" w:right="1180"/>
        </w:sectPr>
      </w:pPr>
    </w:p>
    <w:p>
      <w:pPr>
        <w:pStyle w:val="BodyText"/>
        <w:spacing w:before="3"/>
        <w:rPr>
          <w:rFonts w:ascii="Times New Roman"/>
          <w:sz w:val="5"/>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
        <w:gridCol w:w="845"/>
        <w:gridCol w:w="1450"/>
        <w:gridCol w:w="1010"/>
        <w:gridCol w:w="1029"/>
        <w:gridCol w:w="1205"/>
        <w:gridCol w:w="1207"/>
        <w:gridCol w:w="1210"/>
        <w:gridCol w:w="828"/>
      </w:tblGrid>
      <w:tr>
        <w:trPr>
          <w:trHeight w:val="283" w:hRule="atLeast"/>
        </w:trPr>
        <w:tc>
          <w:tcPr>
            <w:tcW w:w="2799" w:type="dxa"/>
            <w:gridSpan w:val="3"/>
            <w:vMerge w:val="restart"/>
            <w:tcBorders>
              <w:bottom w:val="nil"/>
            </w:tcBorders>
          </w:tcPr>
          <w:p>
            <w:pPr>
              <w:pStyle w:val="TableParagraph"/>
              <w:spacing w:before="2"/>
              <w:jc w:val="left"/>
              <w:rPr>
                <w:rFonts w:ascii="Times New Roman"/>
                <w:sz w:val="26"/>
              </w:rPr>
            </w:pPr>
          </w:p>
          <w:p>
            <w:pPr>
              <w:pStyle w:val="TableParagraph"/>
              <w:ind w:left="956" w:right="948"/>
              <w:rPr>
                <w:b/>
                <w:sz w:val="21"/>
              </w:rPr>
            </w:pPr>
            <w:r>
              <w:rPr>
                <w:b/>
                <w:sz w:val="21"/>
              </w:rPr>
              <w:t>测试项目</w:t>
            </w:r>
          </w:p>
        </w:tc>
        <w:tc>
          <w:tcPr>
            <w:tcW w:w="1010" w:type="dxa"/>
            <w:vMerge w:val="restart"/>
          </w:tcPr>
          <w:p>
            <w:pPr>
              <w:pStyle w:val="TableParagraph"/>
              <w:spacing w:before="2"/>
              <w:jc w:val="left"/>
              <w:rPr>
                <w:rFonts w:ascii="Times New Roman"/>
                <w:sz w:val="26"/>
              </w:rPr>
            </w:pPr>
          </w:p>
          <w:p>
            <w:pPr>
              <w:pStyle w:val="TableParagraph"/>
              <w:ind w:left="292"/>
              <w:jc w:val="left"/>
              <w:rPr>
                <w:b/>
                <w:sz w:val="21"/>
              </w:rPr>
            </w:pPr>
            <w:r>
              <w:rPr>
                <w:b/>
                <w:sz w:val="21"/>
              </w:rPr>
              <w:t>单位</w:t>
            </w:r>
          </w:p>
        </w:tc>
        <w:tc>
          <w:tcPr>
            <w:tcW w:w="4651" w:type="dxa"/>
            <w:gridSpan w:val="4"/>
          </w:tcPr>
          <w:p>
            <w:pPr>
              <w:pStyle w:val="TableParagraph"/>
              <w:spacing w:line="257" w:lineRule="exact" w:before="5"/>
              <w:ind w:left="1625" w:right="1619"/>
              <w:rPr>
                <w:b/>
                <w:sz w:val="21"/>
              </w:rPr>
            </w:pPr>
            <w:r>
              <w:rPr>
                <w:b/>
                <w:sz w:val="21"/>
              </w:rPr>
              <w:t>检测结果</w:t>
            </w:r>
          </w:p>
        </w:tc>
        <w:tc>
          <w:tcPr>
            <w:tcW w:w="828" w:type="dxa"/>
            <w:vMerge w:val="restart"/>
          </w:tcPr>
          <w:p>
            <w:pPr>
              <w:pStyle w:val="TableParagraph"/>
              <w:spacing w:line="244" w:lineRule="auto" w:before="164"/>
              <w:ind w:left="202" w:right="190"/>
              <w:jc w:val="left"/>
              <w:rPr>
                <w:b/>
                <w:sz w:val="21"/>
              </w:rPr>
            </w:pPr>
            <w:r>
              <w:rPr>
                <w:b/>
                <w:sz w:val="21"/>
              </w:rPr>
              <w:t>排放限值</w:t>
            </w:r>
          </w:p>
        </w:tc>
      </w:tr>
      <w:tr>
        <w:trPr>
          <w:trHeight w:val="285" w:hRule="atLeast"/>
        </w:trPr>
        <w:tc>
          <w:tcPr>
            <w:tcW w:w="2799" w:type="dxa"/>
            <w:gridSpan w:val="3"/>
            <w:vMerge/>
            <w:tcBorders>
              <w:top w:val="nil"/>
              <w:bottom w:val="nil"/>
            </w:tcBorders>
          </w:tcPr>
          <w:p>
            <w:pPr>
              <w:rPr>
                <w:sz w:val="2"/>
                <w:szCs w:val="2"/>
              </w:rPr>
            </w:pPr>
          </w:p>
        </w:tc>
        <w:tc>
          <w:tcPr>
            <w:tcW w:w="1010" w:type="dxa"/>
            <w:vMerge/>
            <w:tcBorders>
              <w:top w:val="nil"/>
            </w:tcBorders>
          </w:tcPr>
          <w:p>
            <w:pPr>
              <w:rPr>
                <w:sz w:val="2"/>
                <w:szCs w:val="2"/>
              </w:rPr>
            </w:pPr>
          </w:p>
        </w:tc>
        <w:tc>
          <w:tcPr>
            <w:tcW w:w="4651" w:type="dxa"/>
            <w:gridSpan w:val="4"/>
          </w:tcPr>
          <w:p>
            <w:pPr>
              <w:pStyle w:val="TableParagraph"/>
              <w:spacing w:line="257" w:lineRule="exact" w:before="8"/>
              <w:ind w:left="1625" w:right="1619"/>
              <w:rPr>
                <w:rFonts w:ascii="Times New Roman" w:eastAsia="Times New Roman"/>
                <w:b/>
                <w:sz w:val="21"/>
              </w:rPr>
            </w:pPr>
            <w:r>
              <w:rPr>
                <w:b/>
                <w:sz w:val="21"/>
              </w:rPr>
              <w:t>排气筒 </w:t>
            </w:r>
            <w:r>
              <w:rPr>
                <w:rFonts w:ascii="Times New Roman" w:eastAsia="Times New Roman"/>
                <w:b/>
                <w:sz w:val="21"/>
              </w:rPr>
              <w:t>DA001</w:t>
            </w:r>
          </w:p>
        </w:tc>
        <w:tc>
          <w:tcPr>
            <w:tcW w:w="828" w:type="dxa"/>
            <w:vMerge/>
            <w:tcBorders>
              <w:top w:val="nil"/>
            </w:tcBorders>
          </w:tcPr>
          <w:p>
            <w:pPr>
              <w:rPr>
                <w:sz w:val="2"/>
                <w:szCs w:val="2"/>
              </w:rPr>
            </w:pPr>
          </w:p>
        </w:tc>
      </w:tr>
      <w:tr>
        <w:trPr>
          <w:trHeight w:val="282" w:hRule="atLeast"/>
        </w:trPr>
        <w:tc>
          <w:tcPr>
            <w:tcW w:w="2799" w:type="dxa"/>
            <w:gridSpan w:val="3"/>
            <w:vMerge/>
            <w:tcBorders>
              <w:top w:val="nil"/>
              <w:bottom w:val="nil"/>
            </w:tcBorders>
          </w:tcPr>
          <w:p>
            <w:pPr>
              <w:rPr>
                <w:sz w:val="2"/>
                <w:szCs w:val="2"/>
              </w:rPr>
            </w:pPr>
          </w:p>
        </w:tc>
        <w:tc>
          <w:tcPr>
            <w:tcW w:w="1010" w:type="dxa"/>
            <w:vMerge/>
            <w:tcBorders>
              <w:top w:val="nil"/>
            </w:tcBorders>
          </w:tcPr>
          <w:p>
            <w:pPr>
              <w:rPr>
                <w:sz w:val="2"/>
                <w:szCs w:val="2"/>
              </w:rPr>
            </w:pPr>
          </w:p>
        </w:tc>
        <w:tc>
          <w:tcPr>
            <w:tcW w:w="1029" w:type="dxa"/>
          </w:tcPr>
          <w:p>
            <w:pPr>
              <w:pStyle w:val="TableParagraph"/>
              <w:spacing w:line="257" w:lineRule="exact" w:before="6"/>
              <w:ind w:left="84" w:right="76"/>
              <w:rPr>
                <w:b/>
                <w:sz w:val="21"/>
              </w:rPr>
            </w:pPr>
            <w:r>
              <w:rPr>
                <w:b/>
                <w:sz w:val="21"/>
              </w:rPr>
              <w:t>第一次</w:t>
            </w:r>
          </w:p>
        </w:tc>
        <w:tc>
          <w:tcPr>
            <w:tcW w:w="1205" w:type="dxa"/>
          </w:tcPr>
          <w:p>
            <w:pPr>
              <w:pStyle w:val="TableParagraph"/>
              <w:spacing w:line="257" w:lineRule="exact" w:before="6"/>
              <w:ind w:left="53" w:right="42"/>
              <w:rPr>
                <w:b/>
                <w:sz w:val="21"/>
              </w:rPr>
            </w:pPr>
            <w:r>
              <w:rPr>
                <w:b/>
                <w:sz w:val="21"/>
              </w:rPr>
              <w:t>第二次</w:t>
            </w:r>
          </w:p>
        </w:tc>
        <w:tc>
          <w:tcPr>
            <w:tcW w:w="1207" w:type="dxa"/>
          </w:tcPr>
          <w:p>
            <w:pPr>
              <w:pStyle w:val="TableParagraph"/>
              <w:spacing w:line="257" w:lineRule="exact" w:before="6"/>
              <w:ind w:left="171" w:right="162"/>
              <w:rPr>
                <w:b/>
                <w:sz w:val="21"/>
              </w:rPr>
            </w:pPr>
            <w:r>
              <w:rPr>
                <w:b/>
                <w:sz w:val="21"/>
              </w:rPr>
              <w:t>第三次</w:t>
            </w:r>
          </w:p>
        </w:tc>
        <w:tc>
          <w:tcPr>
            <w:tcW w:w="1210" w:type="dxa"/>
          </w:tcPr>
          <w:p>
            <w:pPr>
              <w:pStyle w:val="TableParagraph"/>
              <w:spacing w:line="257" w:lineRule="exact" w:before="6"/>
              <w:ind w:left="165" w:right="154"/>
              <w:rPr>
                <w:b/>
                <w:sz w:val="21"/>
              </w:rPr>
            </w:pPr>
            <w:r>
              <w:rPr>
                <w:b/>
                <w:sz w:val="21"/>
              </w:rPr>
              <w:t>平均值</w:t>
            </w:r>
          </w:p>
        </w:tc>
        <w:tc>
          <w:tcPr>
            <w:tcW w:w="828" w:type="dxa"/>
            <w:vMerge/>
            <w:tcBorders>
              <w:top w:val="nil"/>
            </w:tcBorders>
          </w:tcPr>
          <w:p>
            <w:pPr>
              <w:rPr>
                <w:sz w:val="2"/>
                <w:szCs w:val="2"/>
              </w:rPr>
            </w:pPr>
          </w:p>
        </w:tc>
      </w:tr>
      <w:tr>
        <w:trPr>
          <w:trHeight w:val="285" w:hRule="atLeast"/>
        </w:trPr>
        <w:tc>
          <w:tcPr>
            <w:tcW w:w="1349" w:type="dxa"/>
            <w:gridSpan w:val="2"/>
            <w:vMerge w:val="restart"/>
            <w:tcBorders>
              <w:top w:val="nil"/>
            </w:tcBorders>
          </w:tcPr>
          <w:p>
            <w:pPr>
              <w:pStyle w:val="TableParagraph"/>
              <w:jc w:val="left"/>
              <w:rPr>
                <w:rFonts w:ascii="Times New Roman"/>
                <w:sz w:val="20"/>
              </w:rPr>
            </w:pPr>
          </w:p>
        </w:tc>
        <w:tc>
          <w:tcPr>
            <w:tcW w:w="1450" w:type="dxa"/>
          </w:tcPr>
          <w:p>
            <w:pPr>
              <w:pStyle w:val="TableParagraph"/>
              <w:spacing w:line="257" w:lineRule="exact" w:before="8"/>
              <w:ind w:left="180" w:right="169"/>
              <w:rPr>
                <w:sz w:val="21"/>
              </w:rPr>
            </w:pPr>
            <w:r>
              <w:rPr>
                <w:sz w:val="21"/>
              </w:rPr>
              <w:t>测点大气压</w:t>
            </w:r>
          </w:p>
        </w:tc>
        <w:tc>
          <w:tcPr>
            <w:tcW w:w="1010" w:type="dxa"/>
          </w:tcPr>
          <w:p>
            <w:pPr>
              <w:pStyle w:val="TableParagraph"/>
              <w:spacing w:before="22"/>
              <w:ind w:left="53" w:right="41"/>
              <w:rPr>
                <w:rFonts w:ascii="Times New Roman"/>
                <w:sz w:val="21"/>
              </w:rPr>
            </w:pPr>
            <w:r>
              <w:rPr>
                <w:rFonts w:ascii="Times New Roman"/>
                <w:sz w:val="21"/>
              </w:rPr>
              <w:t>kPa</w:t>
            </w:r>
          </w:p>
        </w:tc>
        <w:tc>
          <w:tcPr>
            <w:tcW w:w="1029" w:type="dxa"/>
          </w:tcPr>
          <w:p>
            <w:pPr>
              <w:pStyle w:val="TableParagraph"/>
              <w:spacing w:before="22"/>
              <w:ind w:left="9"/>
              <w:rPr>
                <w:rFonts w:ascii="Times New Roman"/>
                <w:sz w:val="21"/>
              </w:rPr>
            </w:pPr>
            <w:r>
              <w:rPr>
                <w:rFonts w:ascii="Times New Roman"/>
                <w:w w:val="100"/>
                <w:sz w:val="21"/>
              </w:rPr>
              <w:t>/</w:t>
            </w:r>
          </w:p>
        </w:tc>
        <w:tc>
          <w:tcPr>
            <w:tcW w:w="1205" w:type="dxa"/>
          </w:tcPr>
          <w:p>
            <w:pPr>
              <w:pStyle w:val="TableParagraph"/>
              <w:spacing w:before="22"/>
              <w:ind w:left="13"/>
              <w:rPr>
                <w:rFonts w:ascii="Times New Roman"/>
                <w:sz w:val="21"/>
              </w:rPr>
            </w:pPr>
            <w:r>
              <w:rPr>
                <w:rFonts w:ascii="Times New Roman"/>
                <w:w w:val="100"/>
                <w:sz w:val="21"/>
              </w:rPr>
              <w:t>/</w:t>
            </w:r>
          </w:p>
        </w:tc>
        <w:tc>
          <w:tcPr>
            <w:tcW w:w="1207" w:type="dxa"/>
          </w:tcPr>
          <w:p>
            <w:pPr>
              <w:pStyle w:val="TableParagraph"/>
              <w:spacing w:before="22"/>
              <w:ind w:left="10"/>
              <w:rPr>
                <w:rFonts w:ascii="Times New Roman"/>
                <w:sz w:val="21"/>
              </w:rPr>
            </w:pPr>
            <w:r>
              <w:rPr>
                <w:rFonts w:ascii="Times New Roman"/>
                <w:w w:val="100"/>
                <w:sz w:val="21"/>
              </w:rPr>
              <w:t>/</w:t>
            </w:r>
          </w:p>
        </w:tc>
        <w:tc>
          <w:tcPr>
            <w:tcW w:w="1210" w:type="dxa"/>
          </w:tcPr>
          <w:p>
            <w:pPr>
              <w:pStyle w:val="TableParagraph"/>
              <w:spacing w:before="22"/>
              <w:ind w:left="12"/>
              <w:rPr>
                <w:rFonts w:ascii="Times New Roman"/>
                <w:sz w:val="21"/>
              </w:rPr>
            </w:pPr>
            <w:r>
              <w:rPr>
                <w:rFonts w:ascii="Times New Roman"/>
                <w:w w:val="100"/>
                <w:sz w:val="21"/>
              </w:rPr>
              <w:t>/</w:t>
            </w:r>
          </w:p>
        </w:tc>
        <w:tc>
          <w:tcPr>
            <w:tcW w:w="828" w:type="dxa"/>
          </w:tcPr>
          <w:p>
            <w:pPr>
              <w:pStyle w:val="TableParagraph"/>
              <w:spacing w:before="22"/>
              <w:ind w:left="11"/>
              <w:rPr>
                <w:rFonts w:ascii="Times New Roman"/>
                <w:sz w:val="21"/>
              </w:rPr>
            </w:pPr>
            <w:r>
              <w:rPr>
                <w:rFonts w:ascii="Times New Roman"/>
                <w:w w:val="100"/>
                <w:sz w:val="21"/>
              </w:rPr>
              <w:t>/</w:t>
            </w:r>
          </w:p>
        </w:tc>
      </w:tr>
      <w:tr>
        <w:trPr>
          <w:trHeight w:val="282"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5"/>
              <w:ind w:left="180" w:right="169"/>
              <w:rPr>
                <w:sz w:val="21"/>
              </w:rPr>
            </w:pPr>
            <w:r>
              <w:rPr>
                <w:sz w:val="21"/>
              </w:rPr>
              <w:t>废气含湿量</w:t>
            </w:r>
          </w:p>
        </w:tc>
        <w:tc>
          <w:tcPr>
            <w:tcW w:w="1010" w:type="dxa"/>
          </w:tcPr>
          <w:p>
            <w:pPr>
              <w:pStyle w:val="TableParagraph"/>
              <w:spacing w:before="19"/>
              <w:ind w:left="10"/>
              <w:rPr>
                <w:rFonts w:ascii="Times New Roman"/>
                <w:sz w:val="21"/>
              </w:rPr>
            </w:pPr>
            <w:r>
              <w:rPr>
                <w:rFonts w:ascii="Times New Roman"/>
                <w:w w:val="100"/>
                <w:sz w:val="21"/>
              </w:rPr>
              <w:t>%</w:t>
            </w:r>
          </w:p>
        </w:tc>
        <w:tc>
          <w:tcPr>
            <w:tcW w:w="1029" w:type="dxa"/>
          </w:tcPr>
          <w:p>
            <w:pPr>
              <w:pStyle w:val="TableParagraph"/>
              <w:spacing w:before="19"/>
              <w:ind w:left="84" w:right="76"/>
              <w:rPr>
                <w:rFonts w:ascii="Times New Roman"/>
                <w:sz w:val="21"/>
              </w:rPr>
            </w:pPr>
            <w:r>
              <w:rPr>
                <w:rFonts w:ascii="Times New Roman"/>
                <w:sz w:val="21"/>
              </w:rPr>
              <w:t>4.5</w:t>
            </w:r>
          </w:p>
        </w:tc>
        <w:tc>
          <w:tcPr>
            <w:tcW w:w="1205" w:type="dxa"/>
          </w:tcPr>
          <w:p>
            <w:pPr>
              <w:pStyle w:val="TableParagraph"/>
              <w:spacing w:before="19"/>
              <w:ind w:left="53" w:right="41"/>
              <w:rPr>
                <w:rFonts w:ascii="Times New Roman"/>
                <w:sz w:val="21"/>
              </w:rPr>
            </w:pPr>
            <w:r>
              <w:rPr>
                <w:rFonts w:ascii="Times New Roman"/>
                <w:sz w:val="21"/>
              </w:rPr>
              <w:t>4.5</w:t>
            </w:r>
          </w:p>
        </w:tc>
        <w:tc>
          <w:tcPr>
            <w:tcW w:w="1207" w:type="dxa"/>
          </w:tcPr>
          <w:p>
            <w:pPr>
              <w:pStyle w:val="TableParagraph"/>
              <w:spacing w:before="19"/>
              <w:ind w:left="176" w:right="162"/>
              <w:rPr>
                <w:rFonts w:ascii="Times New Roman"/>
                <w:sz w:val="21"/>
              </w:rPr>
            </w:pPr>
            <w:r>
              <w:rPr>
                <w:rFonts w:ascii="Times New Roman"/>
                <w:sz w:val="21"/>
              </w:rPr>
              <w:t>4.5</w:t>
            </w:r>
          </w:p>
        </w:tc>
        <w:tc>
          <w:tcPr>
            <w:tcW w:w="1210" w:type="dxa"/>
          </w:tcPr>
          <w:p>
            <w:pPr>
              <w:pStyle w:val="TableParagraph"/>
              <w:spacing w:before="19"/>
              <w:ind w:left="165" w:right="154"/>
              <w:rPr>
                <w:rFonts w:ascii="Times New Roman"/>
                <w:sz w:val="21"/>
              </w:rPr>
            </w:pPr>
            <w:r>
              <w:rPr>
                <w:rFonts w:ascii="Times New Roman"/>
                <w:sz w:val="21"/>
              </w:rPr>
              <w:t>4.5</w:t>
            </w:r>
          </w:p>
        </w:tc>
        <w:tc>
          <w:tcPr>
            <w:tcW w:w="828" w:type="dxa"/>
          </w:tcPr>
          <w:p>
            <w:pPr>
              <w:pStyle w:val="TableParagraph"/>
              <w:spacing w:before="19"/>
              <w:ind w:left="11"/>
              <w:rPr>
                <w:rFonts w:ascii="Times New Roman"/>
                <w:sz w:val="21"/>
              </w:rPr>
            </w:pPr>
            <w:r>
              <w:rPr>
                <w:rFonts w:ascii="Times New Roman"/>
                <w:w w:val="100"/>
                <w:sz w:val="21"/>
              </w:rPr>
              <w:t>/</w:t>
            </w:r>
          </w:p>
        </w:tc>
      </w:tr>
      <w:tr>
        <w:trPr>
          <w:trHeight w:val="544" w:hRule="atLeast"/>
        </w:trPr>
        <w:tc>
          <w:tcPr>
            <w:tcW w:w="1349" w:type="dxa"/>
            <w:gridSpan w:val="2"/>
            <w:vMerge/>
            <w:tcBorders>
              <w:top w:val="nil"/>
            </w:tcBorders>
          </w:tcPr>
          <w:p>
            <w:pPr>
              <w:rPr>
                <w:sz w:val="2"/>
                <w:szCs w:val="2"/>
              </w:rPr>
            </w:pPr>
          </w:p>
        </w:tc>
        <w:tc>
          <w:tcPr>
            <w:tcW w:w="1450" w:type="dxa"/>
          </w:tcPr>
          <w:p>
            <w:pPr>
              <w:pStyle w:val="TableParagraph"/>
              <w:spacing w:before="1"/>
              <w:ind w:left="180" w:right="169"/>
              <w:rPr>
                <w:sz w:val="21"/>
              </w:rPr>
            </w:pPr>
            <w:r>
              <w:rPr>
                <w:sz w:val="21"/>
              </w:rPr>
              <w:t>测点废气流</w:t>
            </w:r>
          </w:p>
          <w:p>
            <w:pPr>
              <w:pStyle w:val="TableParagraph"/>
              <w:spacing w:line="250" w:lineRule="exact" w:before="4"/>
              <w:ind w:left="8"/>
              <w:rPr>
                <w:sz w:val="21"/>
              </w:rPr>
            </w:pPr>
            <w:r>
              <w:rPr>
                <w:w w:val="100"/>
                <w:sz w:val="21"/>
              </w:rPr>
              <w:t>速</w:t>
            </w:r>
          </w:p>
        </w:tc>
        <w:tc>
          <w:tcPr>
            <w:tcW w:w="1010" w:type="dxa"/>
          </w:tcPr>
          <w:p>
            <w:pPr>
              <w:pStyle w:val="TableParagraph"/>
              <w:spacing w:before="151"/>
              <w:ind w:left="48" w:right="42"/>
              <w:rPr>
                <w:rFonts w:ascii="Times New Roman"/>
                <w:sz w:val="21"/>
              </w:rPr>
            </w:pPr>
            <w:r>
              <w:rPr>
                <w:rFonts w:ascii="Times New Roman"/>
                <w:sz w:val="21"/>
              </w:rPr>
              <w:t>m/s</w:t>
            </w:r>
          </w:p>
        </w:tc>
        <w:tc>
          <w:tcPr>
            <w:tcW w:w="1029" w:type="dxa"/>
          </w:tcPr>
          <w:p>
            <w:pPr>
              <w:pStyle w:val="TableParagraph"/>
              <w:spacing w:before="151"/>
              <w:ind w:left="84" w:right="76"/>
              <w:rPr>
                <w:rFonts w:ascii="Times New Roman"/>
                <w:sz w:val="21"/>
              </w:rPr>
            </w:pPr>
            <w:r>
              <w:rPr>
                <w:rFonts w:ascii="Times New Roman"/>
                <w:sz w:val="21"/>
              </w:rPr>
              <w:t>4.7</w:t>
            </w:r>
          </w:p>
        </w:tc>
        <w:tc>
          <w:tcPr>
            <w:tcW w:w="1205" w:type="dxa"/>
          </w:tcPr>
          <w:p>
            <w:pPr>
              <w:pStyle w:val="TableParagraph"/>
              <w:spacing w:before="151"/>
              <w:ind w:left="53" w:right="41"/>
              <w:rPr>
                <w:rFonts w:ascii="Times New Roman"/>
                <w:sz w:val="21"/>
              </w:rPr>
            </w:pPr>
            <w:r>
              <w:rPr>
                <w:rFonts w:ascii="Times New Roman"/>
                <w:sz w:val="21"/>
              </w:rPr>
              <w:t>4.8</w:t>
            </w:r>
          </w:p>
        </w:tc>
        <w:tc>
          <w:tcPr>
            <w:tcW w:w="1207" w:type="dxa"/>
          </w:tcPr>
          <w:p>
            <w:pPr>
              <w:pStyle w:val="TableParagraph"/>
              <w:spacing w:before="151"/>
              <w:ind w:left="176" w:right="162"/>
              <w:rPr>
                <w:rFonts w:ascii="Times New Roman"/>
                <w:sz w:val="21"/>
              </w:rPr>
            </w:pPr>
            <w:r>
              <w:rPr>
                <w:rFonts w:ascii="Times New Roman"/>
                <w:sz w:val="21"/>
              </w:rPr>
              <w:t>4.8</w:t>
            </w:r>
          </w:p>
        </w:tc>
        <w:tc>
          <w:tcPr>
            <w:tcW w:w="1210" w:type="dxa"/>
          </w:tcPr>
          <w:p>
            <w:pPr>
              <w:pStyle w:val="TableParagraph"/>
              <w:spacing w:before="151"/>
              <w:ind w:left="165" w:right="154"/>
              <w:rPr>
                <w:rFonts w:ascii="Times New Roman"/>
                <w:sz w:val="21"/>
              </w:rPr>
            </w:pPr>
            <w:r>
              <w:rPr>
                <w:rFonts w:ascii="Times New Roman"/>
                <w:sz w:val="21"/>
              </w:rPr>
              <w:t>4.8</w:t>
            </w:r>
          </w:p>
        </w:tc>
        <w:tc>
          <w:tcPr>
            <w:tcW w:w="828" w:type="dxa"/>
          </w:tcPr>
          <w:p>
            <w:pPr>
              <w:pStyle w:val="TableParagraph"/>
              <w:spacing w:before="151"/>
              <w:ind w:left="11"/>
              <w:rPr>
                <w:rFonts w:ascii="Times New Roman"/>
                <w:sz w:val="21"/>
              </w:rPr>
            </w:pPr>
            <w:r>
              <w:rPr>
                <w:rFonts w:ascii="Times New Roman"/>
                <w:w w:val="100"/>
                <w:sz w:val="21"/>
              </w:rPr>
              <w:t>/</w:t>
            </w:r>
          </w:p>
        </w:tc>
      </w:tr>
      <w:tr>
        <w:trPr>
          <w:trHeight w:val="285"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8"/>
              <w:ind w:left="180" w:right="169"/>
              <w:rPr>
                <w:sz w:val="21"/>
              </w:rPr>
            </w:pPr>
            <w:r>
              <w:rPr>
                <w:sz w:val="21"/>
              </w:rPr>
              <w:t>标干流量</w:t>
            </w:r>
          </w:p>
        </w:tc>
        <w:tc>
          <w:tcPr>
            <w:tcW w:w="1010" w:type="dxa"/>
          </w:tcPr>
          <w:p>
            <w:pPr>
              <w:pStyle w:val="TableParagraph"/>
              <w:spacing w:before="17"/>
              <w:ind w:left="50" w:right="42"/>
              <w:rPr>
                <w:rFonts w:ascii="Times New Roman"/>
                <w:sz w:val="21"/>
              </w:rPr>
            </w:pPr>
            <w:r>
              <w:rPr>
                <w:rFonts w:ascii="Times New Roman"/>
                <w:sz w:val="21"/>
              </w:rPr>
              <w:t>(Nd)m</w:t>
            </w:r>
            <w:r>
              <w:rPr>
                <w:rFonts w:ascii="Times New Roman"/>
                <w:position w:val="7"/>
                <w:sz w:val="14"/>
              </w:rPr>
              <w:t>3</w:t>
            </w:r>
            <w:r>
              <w:rPr>
                <w:rFonts w:ascii="Times New Roman"/>
                <w:sz w:val="21"/>
              </w:rPr>
              <w:t>/h</w:t>
            </w:r>
          </w:p>
        </w:tc>
        <w:tc>
          <w:tcPr>
            <w:tcW w:w="1029" w:type="dxa"/>
          </w:tcPr>
          <w:p>
            <w:pPr>
              <w:pStyle w:val="TableParagraph"/>
              <w:spacing w:before="17"/>
              <w:ind w:left="84" w:right="76"/>
              <w:rPr>
                <w:rFonts w:ascii="Times New Roman" w:hAnsi="Times New Roman"/>
                <w:sz w:val="14"/>
              </w:rPr>
            </w:pPr>
            <w:r>
              <w:rPr>
                <w:rFonts w:ascii="Times New Roman" w:hAnsi="Times New Roman"/>
                <w:sz w:val="21"/>
              </w:rPr>
              <w:t>7.60×10 </w:t>
            </w:r>
            <w:r>
              <w:rPr>
                <w:rFonts w:ascii="Times New Roman" w:hAnsi="Times New Roman"/>
                <w:position w:val="7"/>
                <w:sz w:val="14"/>
              </w:rPr>
              <w:t>3</w:t>
            </w:r>
          </w:p>
        </w:tc>
        <w:tc>
          <w:tcPr>
            <w:tcW w:w="1205" w:type="dxa"/>
          </w:tcPr>
          <w:p>
            <w:pPr>
              <w:pStyle w:val="TableParagraph"/>
              <w:spacing w:before="17"/>
              <w:ind w:left="53" w:right="42"/>
              <w:rPr>
                <w:rFonts w:ascii="Times New Roman" w:hAnsi="Times New Roman"/>
                <w:sz w:val="14"/>
              </w:rPr>
            </w:pPr>
            <w:r>
              <w:rPr>
                <w:rFonts w:ascii="Times New Roman" w:hAnsi="Times New Roman"/>
                <w:sz w:val="21"/>
              </w:rPr>
              <w:t>7.72×10 </w:t>
            </w:r>
            <w:r>
              <w:rPr>
                <w:rFonts w:ascii="Times New Roman" w:hAnsi="Times New Roman"/>
                <w:position w:val="7"/>
                <w:sz w:val="14"/>
              </w:rPr>
              <w:t>3</w:t>
            </w:r>
          </w:p>
        </w:tc>
        <w:tc>
          <w:tcPr>
            <w:tcW w:w="1207" w:type="dxa"/>
          </w:tcPr>
          <w:p>
            <w:pPr>
              <w:pStyle w:val="TableParagraph"/>
              <w:spacing w:before="17"/>
              <w:ind w:left="176" w:right="162"/>
              <w:rPr>
                <w:rFonts w:ascii="Times New Roman" w:hAnsi="Times New Roman"/>
                <w:sz w:val="14"/>
              </w:rPr>
            </w:pPr>
            <w:r>
              <w:rPr>
                <w:rFonts w:ascii="Times New Roman" w:hAnsi="Times New Roman"/>
                <w:sz w:val="21"/>
              </w:rPr>
              <w:t>7.71×10 </w:t>
            </w:r>
            <w:r>
              <w:rPr>
                <w:rFonts w:ascii="Times New Roman" w:hAnsi="Times New Roman"/>
                <w:position w:val="7"/>
                <w:sz w:val="14"/>
              </w:rPr>
              <w:t>3</w:t>
            </w:r>
          </w:p>
        </w:tc>
        <w:tc>
          <w:tcPr>
            <w:tcW w:w="1210" w:type="dxa"/>
          </w:tcPr>
          <w:p>
            <w:pPr>
              <w:pStyle w:val="TableParagraph"/>
              <w:spacing w:before="17"/>
              <w:ind w:left="165" w:right="153"/>
              <w:rPr>
                <w:rFonts w:ascii="Times New Roman" w:hAnsi="Times New Roman"/>
                <w:sz w:val="14"/>
              </w:rPr>
            </w:pPr>
            <w:r>
              <w:rPr>
                <w:rFonts w:ascii="Times New Roman" w:hAnsi="Times New Roman"/>
                <w:sz w:val="21"/>
              </w:rPr>
              <w:t>7.68×10 </w:t>
            </w:r>
            <w:r>
              <w:rPr>
                <w:rFonts w:ascii="Times New Roman" w:hAnsi="Times New Roman"/>
                <w:position w:val="7"/>
                <w:sz w:val="14"/>
              </w:rPr>
              <w:t>3</w:t>
            </w:r>
          </w:p>
        </w:tc>
        <w:tc>
          <w:tcPr>
            <w:tcW w:w="828" w:type="dxa"/>
          </w:tcPr>
          <w:p>
            <w:pPr>
              <w:pStyle w:val="TableParagraph"/>
              <w:spacing w:before="22"/>
              <w:ind w:left="11"/>
              <w:rPr>
                <w:rFonts w:ascii="Times New Roman"/>
                <w:sz w:val="21"/>
              </w:rPr>
            </w:pPr>
            <w:r>
              <w:rPr>
                <w:rFonts w:ascii="Times New Roman"/>
                <w:w w:val="100"/>
                <w:sz w:val="21"/>
              </w:rPr>
              <w:t>/</w:t>
            </w:r>
          </w:p>
        </w:tc>
      </w:tr>
      <w:tr>
        <w:trPr>
          <w:trHeight w:val="282" w:hRule="atLeast"/>
        </w:trPr>
        <w:tc>
          <w:tcPr>
            <w:tcW w:w="1349" w:type="dxa"/>
            <w:gridSpan w:val="2"/>
            <w:vMerge/>
            <w:tcBorders>
              <w:top w:val="nil"/>
            </w:tcBorders>
          </w:tcPr>
          <w:p>
            <w:pPr>
              <w:rPr>
                <w:sz w:val="2"/>
                <w:szCs w:val="2"/>
              </w:rPr>
            </w:pPr>
          </w:p>
        </w:tc>
        <w:tc>
          <w:tcPr>
            <w:tcW w:w="1450" w:type="dxa"/>
          </w:tcPr>
          <w:p>
            <w:pPr>
              <w:pStyle w:val="TableParagraph"/>
              <w:spacing w:line="255" w:lineRule="exact" w:before="8"/>
              <w:ind w:left="177" w:right="169"/>
              <w:rPr>
                <w:sz w:val="21"/>
              </w:rPr>
            </w:pPr>
            <w:r>
              <w:rPr>
                <w:sz w:val="21"/>
              </w:rPr>
              <w:t>含氧量</w:t>
            </w:r>
          </w:p>
        </w:tc>
        <w:tc>
          <w:tcPr>
            <w:tcW w:w="1010" w:type="dxa"/>
          </w:tcPr>
          <w:p>
            <w:pPr>
              <w:pStyle w:val="TableParagraph"/>
              <w:spacing w:line="241" w:lineRule="exact" w:before="22"/>
              <w:ind w:left="10"/>
              <w:rPr>
                <w:rFonts w:ascii="Times New Roman"/>
                <w:sz w:val="21"/>
              </w:rPr>
            </w:pPr>
            <w:r>
              <w:rPr>
                <w:rFonts w:ascii="Times New Roman"/>
                <w:w w:val="100"/>
                <w:sz w:val="21"/>
              </w:rPr>
              <w:t>%</w:t>
            </w:r>
          </w:p>
        </w:tc>
        <w:tc>
          <w:tcPr>
            <w:tcW w:w="1029" w:type="dxa"/>
          </w:tcPr>
          <w:p>
            <w:pPr>
              <w:pStyle w:val="TableParagraph"/>
              <w:spacing w:line="241" w:lineRule="exact" w:before="22"/>
              <w:ind w:left="84" w:right="76"/>
              <w:rPr>
                <w:rFonts w:ascii="Times New Roman"/>
                <w:sz w:val="21"/>
              </w:rPr>
            </w:pPr>
            <w:r>
              <w:rPr>
                <w:rFonts w:ascii="Times New Roman"/>
                <w:sz w:val="21"/>
              </w:rPr>
              <w:t>20.2</w:t>
            </w:r>
          </w:p>
        </w:tc>
        <w:tc>
          <w:tcPr>
            <w:tcW w:w="1205" w:type="dxa"/>
          </w:tcPr>
          <w:p>
            <w:pPr>
              <w:pStyle w:val="TableParagraph"/>
              <w:spacing w:line="241" w:lineRule="exact" w:before="22"/>
              <w:ind w:left="53" w:right="42"/>
              <w:rPr>
                <w:rFonts w:ascii="Times New Roman"/>
                <w:sz w:val="21"/>
              </w:rPr>
            </w:pPr>
            <w:r>
              <w:rPr>
                <w:rFonts w:ascii="Times New Roman"/>
                <w:sz w:val="21"/>
              </w:rPr>
              <w:t>20.1</w:t>
            </w:r>
          </w:p>
        </w:tc>
        <w:tc>
          <w:tcPr>
            <w:tcW w:w="1207" w:type="dxa"/>
          </w:tcPr>
          <w:p>
            <w:pPr>
              <w:pStyle w:val="TableParagraph"/>
              <w:spacing w:line="241" w:lineRule="exact" w:before="22"/>
              <w:ind w:left="176" w:right="162"/>
              <w:rPr>
                <w:rFonts w:ascii="Times New Roman"/>
                <w:sz w:val="21"/>
              </w:rPr>
            </w:pPr>
            <w:r>
              <w:rPr>
                <w:rFonts w:ascii="Times New Roman"/>
                <w:sz w:val="21"/>
              </w:rPr>
              <w:t>20.1</w:t>
            </w:r>
          </w:p>
        </w:tc>
        <w:tc>
          <w:tcPr>
            <w:tcW w:w="1210" w:type="dxa"/>
          </w:tcPr>
          <w:p>
            <w:pPr>
              <w:pStyle w:val="TableParagraph"/>
              <w:spacing w:line="241" w:lineRule="exact" w:before="22"/>
              <w:ind w:left="165" w:right="154"/>
              <w:rPr>
                <w:rFonts w:ascii="Times New Roman"/>
                <w:sz w:val="21"/>
              </w:rPr>
            </w:pPr>
            <w:r>
              <w:rPr>
                <w:rFonts w:ascii="Times New Roman"/>
                <w:sz w:val="21"/>
              </w:rPr>
              <w:t>20.1</w:t>
            </w:r>
          </w:p>
        </w:tc>
        <w:tc>
          <w:tcPr>
            <w:tcW w:w="828" w:type="dxa"/>
          </w:tcPr>
          <w:p>
            <w:pPr>
              <w:pStyle w:val="TableParagraph"/>
              <w:spacing w:line="241" w:lineRule="exact" w:before="22"/>
              <w:ind w:left="11"/>
              <w:rPr>
                <w:rFonts w:ascii="Times New Roman"/>
                <w:sz w:val="21"/>
              </w:rPr>
            </w:pPr>
            <w:r>
              <w:rPr>
                <w:rFonts w:ascii="Times New Roman"/>
                <w:w w:val="100"/>
                <w:sz w:val="21"/>
              </w:rPr>
              <w:t>/</w:t>
            </w:r>
          </w:p>
        </w:tc>
      </w:tr>
      <w:tr>
        <w:trPr>
          <w:trHeight w:val="285" w:hRule="atLeast"/>
        </w:trPr>
        <w:tc>
          <w:tcPr>
            <w:tcW w:w="1349" w:type="dxa"/>
            <w:gridSpan w:val="2"/>
            <w:vMerge w:val="restart"/>
          </w:tcPr>
          <w:p>
            <w:pPr>
              <w:pStyle w:val="TableParagraph"/>
              <w:spacing w:before="154"/>
              <w:ind w:left="357"/>
              <w:jc w:val="left"/>
              <w:rPr>
                <w:sz w:val="21"/>
              </w:rPr>
            </w:pPr>
            <w:r>
              <w:rPr>
                <w:sz w:val="21"/>
              </w:rPr>
              <w:t>硫酸雾</w:t>
            </w:r>
          </w:p>
        </w:tc>
        <w:tc>
          <w:tcPr>
            <w:tcW w:w="1450" w:type="dxa"/>
          </w:tcPr>
          <w:p>
            <w:pPr>
              <w:pStyle w:val="TableParagraph"/>
              <w:spacing w:line="257" w:lineRule="exact" w:before="8"/>
              <w:ind w:left="180" w:right="169"/>
              <w:rPr>
                <w:sz w:val="21"/>
              </w:rPr>
            </w:pPr>
            <w:r>
              <w:rPr>
                <w:sz w:val="21"/>
              </w:rPr>
              <w:t>排放浓度</w:t>
            </w:r>
          </w:p>
        </w:tc>
        <w:tc>
          <w:tcPr>
            <w:tcW w:w="1010" w:type="dxa"/>
          </w:tcPr>
          <w:p>
            <w:pPr>
              <w:pStyle w:val="TableParagraph"/>
              <w:spacing w:before="17"/>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22"/>
              <w:ind w:left="84" w:right="76"/>
              <w:rPr>
                <w:rFonts w:ascii="Times New Roman"/>
                <w:sz w:val="21"/>
              </w:rPr>
            </w:pPr>
            <w:r>
              <w:rPr>
                <w:rFonts w:ascii="Times New Roman"/>
                <w:sz w:val="21"/>
              </w:rPr>
              <w:t>&lt;0.3</w:t>
            </w:r>
          </w:p>
        </w:tc>
        <w:tc>
          <w:tcPr>
            <w:tcW w:w="1205" w:type="dxa"/>
          </w:tcPr>
          <w:p>
            <w:pPr>
              <w:pStyle w:val="TableParagraph"/>
              <w:spacing w:before="22"/>
              <w:ind w:left="53" w:right="43"/>
              <w:rPr>
                <w:rFonts w:ascii="Times New Roman"/>
                <w:sz w:val="21"/>
              </w:rPr>
            </w:pPr>
            <w:r>
              <w:rPr>
                <w:rFonts w:ascii="Times New Roman"/>
                <w:sz w:val="21"/>
              </w:rPr>
              <w:t>&lt;0.3</w:t>
            </w:r>
          </w:p>
        </w:tc>
        <w:tc>
          <w:tcPr>
            <w:tcW w:w="1207" w:type="dxa"/>
          </w:tcPr>
          <w:p>
            <w:pPr>
              <w:pStyle w:val="TableParagraph"/>
              <w:spacing w:before="22"/>
              <w:ind w:left="176" w:right="162"/>
              <w:rPr>
                <w:rFonts w:ascii="Times New Roman"/>
                <w:sz w:val="21"/>
              </w:rPr>
            </w:pPr>
            <w:r>
              <w:rPr>
                <w:rFonts w:ascii="Times New Roman"/>
                <w:sz w:val="21"/>
              </w:rPr>
              <w:t>&lt;0.3</w:t>
            </w:r>
          </w:p>
        </w:tc>
        <w:tc>
          <w:tcPr>
            <w:tcW w:w="1210" w:type="dxa"/>
          </w:tcPr>
          <w:p>
            <w:pPr>
              <w:pStyle w:val="TableParagraph"/>
              <w:spacing w:before="22"/>
              <w:ind w:left="165" w:right="154"/>
              <w:rPr>
                <w:rFonts w:ascii="Times New Roman"/>
                <w:sz w:val="21"/>
              </w:rPr>
            </w:pPr>
            <w:r>
              <w:rPr>
                <w:rFonts w:ascii="Times New Roman"/>
                <w:sz w:val="21"/>
              </w:rPr>
              <w:t>&lt;0.3</w:t>
            </w:r>
          </w:p>
        </w:tc>
        <w:tc>
          <w:tcPr>
            <w:tcW w:w="828" w:type="dxa"/>
          </w:tcPr>
          <w:p>
            <w:pPr>
              <w:pStyle w:val="TableParagraph"/>
              <w:spacing w:before="22"/>
              <w:ind w:left="50" w:right="40"/>
              <w:rPr>
                <w:rFonts w:ascii="Times New Roman"/>
                <w:sz w:val="21"/>
              </w:rPr>
            </w:pPr>
            <w:r>
              <w:rPr>
                <w:rFonts w:ascii="Times New Roman"/>
                <w:sz w:val="21"/>
              </w:rPr>
              <w:t>45</w:t>
            </w:r>
          </w:p>
        </w:tc>
      </w:tr>
      <w:tr>
        <w:trPr>
          <w:trHeight w:val="282" w:hRule="atLeast"/>
        </w:trPr>
        <w:tc>
          <w:tcPr>
            <w:tcW w:w="1349" w:type="dxa"/>
            <w:gridSpan w:val="2"/>
            <w:vMerge/>
            <w:tcBorders>
              <w:top w:val="nil"/>
            </w:tcBorders>
          </w:tcPr>
          <w:p>
            <w:pPr>
              <w:rPr>
                <w:sz w:val="2"/>
                <w:szCs w:val="2"/>
              </w:rPr>
            </w:pPr>
          </w:p>
        </w:tc>
        <w:tc>
          <w:tcPr>
            <w:tcW w:w="1450" w:type="dxa"/>
          </w:tcPr>
          <w:p>
            <w:pPr>
              <w:pStyle w:val="TableParagraph"/>
              <w:spacing w:line="255" w:lineRule="exact" w:before="8"/>
              <w:ind w:left="177" w:right="169"/>
              <w:rPr>
                <w:sz w:val="21"/>
              </w:rPr>
            </w:pPr>
            <w:r>
              <w:rPr>
                <w:sz w:val="21"/>
              </w:rPr>
              <w:t>排放速率</w:t>
            </w:r>
          </w:p>
        </w:tc>
        <w:tc>
          <w:tcPr>
            <w:tcW w:w="1010" w:type="dxa"/>
          </w:tcPr>
          <w:p>
            <w:pPr>
              <w:pStyle w:val="TableParagraph"/>
              <w:spacing w:line="241" w:lineRule="exact" w:before="22"/>
              <w:ind w:left="49" w:right="42"/>
              <w:rPr>
                <w:rFonts w:ascii="Times New Roman"/>
                <w:sz w:val="21"/>
              </w:rPr>
            </w:pPr>
            <w:r>
              <w:rPr>
                <w:rFonts w:ascii="Times New Roman"/>
                <w:sz w:val="21"/>
              </w:rPr>
              <w:t>kg/h</w:t>
            </w:r>
          </w:p>
        </w:tc>
        <w:tc>
          <w:tcPr>
            <w:tcW w:w="1029" w:type="dxa"/>
          </w:tcPr>
          <w:p>
            <w:pPr>
              <w:pStyle w:val="TableParagraph"/>
              <w:spacing w:line="245" w:lineRule="exact" w:before="17"/>
              <w:ind w:left="82" w:right="76"/>
              <w:rPr>
                <w:rFonts w:ascii="Times New Roman" w:hAnsi="Times New Roman"/>
                <w:sz w:val="14"/>
              </w:rPr>
            </w:pPr>
            <w:r>
              <w:rPr>
                <w:rFonts w:ascii="Times New Roman" w:hAnsi="Times New Roman"/>
                <w:sz w:val="21"/>
              </w:rPr>
              <w:t>&lt;2×10 </w:t>
            </w:r>
            <w:r>
              <w:rPr>
                <w:rFonts w:ascii="Times New Roman" w:hAnsi="Times New Roman"/>
                <w:position w:val="7"/>
                <w:sz w:val="14"/>
              </w:rPr>
              <w:t>-3</w:t>
            </w:r>
          </w:p>
        </w:tc>
        <w:tc>
          <w:tcPr>
            <w:tcW w:w="1205" w:type="dxa"/>
          </w:tcPr>
          <w:p>
            <w:pPr>
              <w:pStyle w:val="TableParagraph"/>
              <w:spacing w:line="245" w:lineRule="exact" w:before="17"/>
              <w:ind w:left="53" w:right="44"/>
              <w:rPr>
                <w:rFonts w:ascii="Times New Roman" w:hAnsi="Times New Roman"/>
                <w:sz w:val="14"/>
              </w:rPr>
            </w:pPr>
            <w:r>
              <w:rPr>
                <w:rFonts w:ascii="Times New Roman" w:hAnsi="Times New Roman"/>
                <w:sz w:val="21"/>
              </w:rPr>
              <w:t>&lt;2×10 </w:t>
            </w:r>
            <w:r>
              <w:rPr>
                <w:rFonts w:ascii="Times New Roman" w:hAnsi="Times New Roman"/>
                <w:position w:val="7"/>
                <w:sz w:val="14"/>
              </w:rPr>
              <w:t>-3</w:t>
            </w:r>
          </w:p>
        </w:tc>
        <w:tc>
          <w:tcPr>
            <w:tcW w:w="1207" w:type="dxa"/>
          </w:tcPr>
          <w:p>
            <w:pPr>
              <w:pStyle w:val="TableParagraph"/>
              <w:spacing w:line="245" w:lineRule="exact" w:before="17"/>
              <w:ind w:left="174" w:right="162"/>
              <w:rPr>
                <w:rFonts w:ascii="Times New Roman" w:hAnsi="Times New Roman"/>
                <w:sz w:val="14"/>
              </w:rPr>
            </w:pPr>
            <w:r>
              <w:rPr>
                <w:rFonts w:ascii="Times New Roman" w:hAnsi="Times New Roman"/>
                <w:sz w:val="21"/>
              </w:rPr>
              <w:t>&lt;2×10 </w:t>
            </w:r>
            <w:r>
              <w:rPr>
                <w:rFonts w:ascii="Times New Roman" w:hAnsi="Times New Roman"/>
                <w:position w:val="7"/>
                <w:sz w:val="14"/>
              </w:rPr>
              <w:t>-3</w:t>
            </w:r>
          </w:p>
        </w:tc>
        <w:tc>
          <w:tcPr>
            <w:tcW w:w="1210" w:type="dxa"/>
          </w:tcPr>
          <w:p>
            <w:pPr>
              <w:pStyle w:val="TableParagraph"/>
              <w:spacing w:line="245" w:lineRule="exact" w:before="17"/>
              <w:ind w:left="164" w:right="154"/>
              <w:rPr>
                <w:rFonts w:ascii="Times New Roman" w:hAnsi="Times New Roman"/>
                <w:sz w:val="14"/>
              </w:rPr>
            </w:pPr>
            <w:r>
              <w:rPr>
                <w:rFonts w:ascii="Times New Roman" w:hAnsi="Times New Roman"/>
                <w:sz w:val="21"/>
              </w:rPr>
              <w:t>&lt;2×10 </w:t>
            </w:r>
            <w:r>
              <w:rPr>
                <w:rFonts w:ascii="Times New Roman" w:hAnsi="Times New Roman"/>
                <w:position w:val="7"/>
                <w:sz w:val="14"/>
              </w:rPr>
              <w:t>-3</w:t>
            </w:r>
          </w:p>
        </w:tc>
        <w:tc>
          <w:tcPr>
            <w:tcW w:w="828" w:type="dxa"/>
          </w:tcPr>
          <w:p>
            <w:pPr>
              <w:pStyle w:val="TableParagraph"/>
              <w:spacing w:line="241" w:lineRule="exact" w:before="22"/>
              <w:ind w:left="53" w:right="38"/>
              <w:rPr>
                <w:rFonts w:ascii="Times New Roman"/>
                <w:sz w:val="21"/>
              </w:rPr>
            </w:pPr>
            <w:r>
              <w:rPr>
                <w:rFonts w:ascii="Times New Roman"/>
                <w:sz w:val="21"/>
              </w:rPr>
              <w:t>1.5</w:t>
            </w:r>
          </w:p>
        </w:tc>
      </w:tr>
      <w:tr>
        <w:trPr>
          <w:trHeight w:val="285" w:hRule="atLeast"/>
        </w:trPr>
        <w:tc>
          <w:tcPr>
            <w:tcW w:w="1349" w:type="dxa"/>
            <w:gridSpan w:val="2"/>
            <w:vMerge w:val="restart"/>
          </w:tcPr>
          <w:p>
            <w:pPr>
              <w:pStyle w:val="TableParagraph"/>
              <w:spacing w:before="154"/>
              <w:ind w:left="376"/>
              <w:jc w:val="left"/>
              <w:rPr>
                <w:sz w:val="21"/>
              </w:rPr>
            </w:pPr>
            <w:r>
              <w:rPr>
                <w:rFonts w:ascii="Times New Roman" w:eastAsia="Times New Roman"/>
                <w:sz w:val="21"/>
              </w:rPr>
              <w:t>3-</w:t>
            </w:r>
            <w:r>
              <w:rPr>
                <w:sz w:val="21"/>
              </w:rPr>
              <w:t>戊酮</w:t>
            </w:r>
          </w:p>
        </w:tc>
        <w:tc>
          <w:tcPr>
            <w:tcW w:w="1450" w:type="dxa"/>
          </w:tcPr>
          <w:p>
            <w:pPr>
              <w:pStyle w:val="TableParagraph"/>
              <w:spacing w:line="257" w:lineRule="exact" w:before="8"/>
              <w:ind w:left="177" w:right="169"/>
              <w:rPr>
                <w:sz w:val="21"/>
              </w:rPr>
            </w:pPr>
            <w:r>
              <w:rPr>
                <w:sz w:val="21"/>
              </w:rPr>
              <w:t>排放浓度</w:t>
            </w:r>
          </w:p>
        </w:tc>
        <w:tc>
          <w:tcPr>
            <w:tcW w:w="1010" w:type="dxa"/>
          </w:tcPr>
          <w:p>
            <w:pPr>
              <w:pStyle w:val="TableParagraph"/>
              <w:spacing w:before="17"/>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22"/>
              <w:ind w:left="84" w:right="76"/>
              <w:rPr>
                <w:rFonts w:ascii="Times New Roman"/>
                <w:sz w:val="21"/>
              </w:rPr>
            </w:pPr>
            <w:r>
              <w:rPr>
                <w:rFonts w:ascii="Times New Roman"/>
                <w:sz w:val="21"/>
              </w:rPr>
              <w:t>3.22</w:t>
            </w:r>
          </w:p>
        </w:tc>
        <w:tc>
          <w:tcPr>
            <w:tcW w:w="1205" w:type="dxa"/>
          </w:tcPr>
          <w:p>
            <w:pPr>
              <w:pStyle w:val="TableParagraph"/>
              <w:spacing w:before="22"/>
              <w:ind w:left="53" w:right="42"/>
              <w:rPr>
                <w:rFonts w:ascii="Times New Roman"/>
                <w:sz w:val="21"/>
              </w:rPr>
            </w:pPr>
            <w:r>
              <w:rPr>
                <w:rFonts w:ascii="Times New Roman"/>
                <w:sz w:val="21"/>
              </w:rPr>
              <w:t>4.34</w:t>
            </w:r>
          </w:p>
        </w:tc>
        <w:tc>
          <w:tcPr>
            <w:tcW w:w="1207" w:type="dxa"/>
          </w:tcPr>
          <w:p>
            <w:pPr>
              <w:pStyle w:val="TableParagraph"/>
              <w:spacing w:before="22"/>
              <w:ind w:left="176" w:right="162"/>
              <w:rPr>
                <w:rFonts w:ascii="Times New Roman"/>
                <w:sz w:val="21"/>
              </w:rPr>
            </w:pPr>
            <w:r>
              <w:rPr>
                <w:rFonts w:ascii="Times New Roman"/>
                <w:sz w:val="21"/>
              </w:rPr>
              <w:t>4.61</w:t>
            </w:r>
          </w:p>
        </w:tc>
        <w:tc>
          <w:tcPr>
            <w:tcW w:w="1210" w:type="dxa"/>
          </w:tcPr>
          <w:p>
            <w:pPr>
              <w:pStyle w:val="TableParagraph"/>
              <w:spacing w:before="22"/>
              <w:ind w:left="165" w:right="154"/>
              <w:rPr>
                <w:rFonts w:ascii="Times New Roman"/>
                <w:sz w:val="21"/>
              </w:rPr>
            </w:pPr>
            <w:r>
              <w:rPr>
                <w:rFonts w:ascii="Times New Roman"/>
                <w:sz w:val="21"/>
              </w:rPr>
              <w:t>4.06</w:t>
            </w:r>
          </w:p>
        </w:tc>
        <w:tc>
          <w:tcPr>
            <w:tcW w:w="828" w:type="dxa"/>
          </w:tcPr>
          <w:p>
            <w:pPr>
              <w:pStyle w:val="TableParagraph"/>
              <w:spacing w:before="22"/>
              <w:ind w:left="11"/>
              <w:rPr>
                <w:rFonts w:ascii="Times New Roman"/>
                <w:sz w:val="21"/>
              </w:rPr>
            </w:pPr>
            <w:r>
              <w:rPr>
                <w:rFonts w:ascii="Times New Roman"/>
                <w:w w:val="100"/>
                <w:sz w:val="21"/>
              </w:rPr>
              <w:t>/</w:t>
            </w:r>
          </w:p>
        </w:tc>
      </w:tr>
      <w:tr>
        <w:trPr>
          <w:trHeight w:val="282" w:hRule="atLeast"/>
        </w:trPr>
        <w:tc>
          <w:tcPr>
            <w:tcW w:w="1349" w:type="dxa"/>
            <w:gridSpan w:val="2"/>
            <w:vMerge/>
            <w:tcBorders>
              <w:top w:val="nil"/>
            </w:tcBorders>
          </w:tcPr>
          <w:p>
            <w:pPr>
              <w:rPr>
                <w:sz w:val="2"/>
                <w:szCs w:val="2"/>
              </w:rPr>
            </w:pPr>
          </w:p>
        </w:tc>
        <w:tc>
          <w:tcPr>
            <w:tcW w:w="1450" w:type="dxa"/>
          </w:tcPr>
          <w:p>
            <w:pPr>
              <w:pStyle w:val="TableParagraph"/>
              <w:spacing w:line="255" w:lineRule="exact" w:before="8"/>
              <w:ind w:left="180" w:right="169"/>
              <w:rPr>
                <w:sz w:val="21"/>
              </w:rPr>
            </w:pPr>
            <w:r>
              <w:rPr>
                <w:sz w:val="21"/>
              </w:rPr>
              <w:t>排放速率</w:t>
            </w:r>
          </w:p>
        </w:tc>
        <w:tc>
          <w:tcPr>
            <w:tcW w:w="1010" w:type="dxa"/>
          </w:tcPr>
          <w:p>
            <w:pPr>
              <w:pStyle w:val="TableParagraph"/>
              <w:spacing w:line="241" w:lineRule="exact" w:before="22"/>
              <w:ind w:left="49" w:right="42"/>
              <w:rPr>
                <w:rFonts w:ascii="Times New Roman"/>
                <w:sz w:val="21"/>
              </w:rPr>
            </w:pPr>
            <w:r>
              <w:rPr>
                <w:rFonts w:ascii="Times New Roman"/>
                <w:sz w:val="21"/>
              </w:rPr>
              <w:t>kg/h</w:t>
            </w:r>
          </w:p>
        </w:tc>
        <w:tc>
          <w:tcPr>
            <w:tcW w:w="1029" w:type="dxa"/>
          </w:tcPr>
          <w:p>
            <w:pPr>
              <w:pStyle w:val="TableParagraph"/>
              <w:spacing w:line="241" w:lineRule="exact" w:before="22"/>
              <w:ind w:left="84" w:right="76"/>
              <w:rPr>
                <w:rFonts w:ascii="Times New Roman"/>
                <w:sz w:val="21"/>
              </w:rPr>
            </w:pPr>
            <w:r>
              <w:rPr>
                <w:rFonts w:ascii="Times New Roman"/>
                <w:sz w:val="21"/>
              </w:rPr>
              <w:t>0.0245</w:t>
            </w:r>
          </w:p>
        </w:tc>
        <w:tc>
          <w:tcPr>
            <w:tcW w:w="1205" w:type="dxa"/>
          </w:tcPr>
          <w:p>
            <w:pPr>
              <w:pStyle w:val="TableParagraph"/>
              <w:spacing w:line="241" w:lineRule="exact" w:before="22"/>
              <w:ind w:left="53" w:right="42"/>
              <w:rPr>
                <w:rFonts w:ascii="Times New Roman"/>
                <w:sz w:val="21"/>
              </w:rPr>
            </w:pPr>
            <w:r>
              <w:rPr>
                <w:rFonts w:ascii="Times New Roman"/>
                <w:sz w:val="21"/>
              </w:rPr>
              <w:t>0.0335</w:t>
            </w:r>
          </w:p>
        </w:tc>
        <w:tc>
          <w:tcPr>
            <w:tcW w:w="1207" w:type="dxa"/>
          </w:tcPr>
          <w:p>
            <w:pPr>
              <w:pStyle w:val="TableParagraph"/>
              <w:spacing w:line="241" w:lineRule="exact" w:before="22"/>
              <w:ind w:left="176" w:right="162"/>
              <w:rPr>
                <w:rFonts w:ascii="Times New Roman"/>
                <w:sz w:val="21"/>
              </w:rPr>
            </w:pPr>
            <w:r>
              <w:rPr>
                <w:rFonts w:ascii="Times New Roman"/>
                <w:sz w:val="21"/>
              </w:rPr>
              <w:t>0.0335</w:t>
            </w:r>
          </w:p>
        </w:tc>
        <w:tc>
          <w:tcPr>
            <w:tcW w:w="1210" w:type="dxa"/>
          </w:tcPr>
          <w:p>
            <w:pPr>
              <w:pStyle w:val="TableParagraph"/>
              <w:spacing w:line="241" w:lineRule="exact" w:before="22"/>
              <w:ind w:left="165" w:right="154"/>
              <w:rPr>
                <w:rFonts w:ascii="Times New Roman"/>
                <w:sz w:val="21"/>
              </w:rPr>
            </w:pPr>
            <w:r>
              <w:rPr>
                <w:rFonts w:ascii="Times New Roman"/>
                <w:sz w:val="21"/>
              </w:rPr>
              <w:t>0.0312</w:t>
            </w:r>
          </w:p>
        </w:tc>
        <w:tc>
          <w:tcPr>
            <w:tcW w:w="828" w:type="dxa"/>
          </w:tcPr>
          <w:p>
            <w:pPr>
              <w:pStyle w:val="TableParagraph"/>
              <w:spacing w:line="241" w:lineRule="exact" w:before="22"/>
              <w:ind w:left="11"/>
              <w:rPr>
                <w:rFonts w:ascii="Times New Roman"/>
                <w:sz w:val="21"/>
              </w:rPr>
            </w:pPr>
            <w:r>
              <w:rPr>
                <w:rFonts w:ascii="Times New Roman"/>
                <w:w w:val="100"/>
                <w:sz w:val="21"/>
              </w:rPr>
              <w:t>/</w:t>
            </w:r>
          </w:p>
        </w:tc>
      </w:tr>
      <w:tr>
        <w:trPr>
          <w:trHeight w:val="547" w:hRule="atLeast"/>
        </w:trPr>
        <w:tc>
          <w:tcPr>
            <w:tcW w:w="504" w:type="dxa"/>
            <w:vMerge w:val="restart"/>
          </w:tcPr>
          <w:p>
            <w:pPr>
              <w:pStyle w:val="TableParagraph"/>
              <w:spacing w:line="242" w:lineRule="auto" w:before="143"/>
              <w:ind w:left="146" w:right="134"/>
              <w:jc w:val="both"/>
              <w:rPr>
                <w:sz w:val="21"/>
              </w:rPr>
            </w:pPr>
            <w:r>
              <w:rPr>
                <w:sz w:val="21"/>
              </w:rPr>
              <w:t>二甲苯</w:t>
            </w:r>
          </w:p>
        </w:tc>
        <w:tc>
          <w:tcPr>
            <w:tcW w:w="845" w:type="dxa"/>
          </w:tcPr>
          <w:p>
            <w:pPr>
              <w:pStyle w:val="TableParagraph"/>
              <w:spacing w:line="270" w:lineRule="atLeast" w:before="3"/>
              <w:ind w:left="105" w:right="-15"/>
              <w:jc w:val="left"/>
              <w:rPr>
                <w:sz w:val="21"/>
              </w:rPr>
            </w:pPr>
            <w:r>
              <w:rPr>
                <w:spacing w:val="-106"/>
                <w:sz w:val="21"/>
              </w:rPr>
              <w:t>对</w:t>
            </w:r>
            <w:r>
              <w:rPr>
                <w:sz w:val="21"/>
              </w:rPr>
              <w:t>（间</w:t>
            </w:r>
            <w:r>
              <w:rPr>
                <w:spacing w:val="-14"/>
                <w:sz w:val="21"/>
              </w:rPr>
              <w:t>） </w:t>
            </w:r>
            <w:r>
              <w:rPr>
                <w:sz w:val="21"/>
              </w:rPr>
              <w:t>二甲苯</w:t>
            </w:r>
          </w:p>
        </w:tc>
        <w:tc>
          <w:tcPr>
            <w:tcW w:w="1450" w:type="dxa"/>
          </w:tcPr>
          <w:p>
            <w:pPr>
              <w:pStyle w:val="TableParagraph"/>
              <w:spacing w:before="138"/>
              <w:ind w:left="180" w:right="169"/>
              <w:rPr>
                <w:sz w:val="21"/>
              </w:rPr>
            </w:pPr>
            <w:r>
              <w:rPr>
                <w:sz w:val="21"/>
              </w:rPr>
              <w:t>排放浓度</w:t>
            </w:r>
          </w:p>
        </w:tc>
        <w:tc>
          <w:tcPr>
            <w:tcW w:w="1010" w:type="dxa"/>
          </w:tcPr>
          <w:p>
            <w:pPr>
              <w:pStyle w:val="TableParagraph"/>
              <w:spacing w:before="147"/>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152"/>
              <w:ind w:left="84" w:right="74"/>
              <w:rPr>
                <w:rFonts w:ascii="Times New Roman"/>
                <w:sz w:val="21"/>
              </w:rPr>
            </w:pPr>
            <w:r>
              <w:rPr>
                <w:rFonts w:ascii="Times New Roman"/>
                <w:sz w:val="21"/>
              </w:rPr>
              <w:t>&lt;0.009</w:t>
            </w:r>
          </w:p>
        </w:tc>
        <w:tc>
          <w:tcPr>
            <w:tcW w:w="1205" w:type="dxa"/>
          </w:tcPr>
          <w:p>
            <w:pPr>
              <w:pStyle w:val="TableParagraph"/>
              <w:spacing w:before="152"/>
              <w:ind w:left="53" w:right="42"/>
              <w:rPr>
                <w:rFonts w:ascii="Times New Roman"/>
                <w:sz w:val="21"/>
              </w:rPr>
            </w:pPr>
            <w:r>
              <w:rPr>
                <w:rFonts w:ascii="Times New Roman"/>
                <w:sz w:val="21"/>
              </w:rPr>
              <w:t>0.010</w:t>
            </w:r>
          </w:p>
        </w:tc>
        <w:tc>
          <w:tcPr>
            <w:tcW w:w="1207" w:type="dxa"/>
          </w:tcPr>
          <w:p>
            <w:pPr>
              <w:pStyle w:val="TableParagraph"/>
              <w:spacing w:before="152"/>
              <w:ind w:left="174" w:right="162"/>
              <w:rPr>
                <w:rFonts w:ascii="Times New Roman"/>
                <w:sz w:val="21"/>
              </w:rPr>
            </w:pPr>
            <w:r>
              <w:rPr>
                <w:rFonts w:ascii="Times New Roman"/>
                <w:sz w:val="21"/>
              </w:rPr>
              <w:t>0.011</w:t>
            </w:r>
          </w:p>
        </w:tc>
        <w:tc>
          <w:tcPr>
            <w:tcW w:w="1210" w:type="dxa"/>
          </w:tcPr>
          <w:p>
            <w:pPr>
              <w:pStyle w:val="TableParagraph"/>
              <w:spacing w:before="152"/>
              <w:ind w:left="165" w:right="154"/>
              <w:rPr>
                <w:rFonts w:ascii="Times New Roman"/>
                <w:sz w:val="21"/>
              </w:rPr>
            </w:pPr>
            <w:r>
              <w:rPr>
                <w:rFonts w:ascii="Times New Roman"/>
                <w:sz w:val="21"/>
              </w:rPr>
              <w:t>0.009</w:t>
            </w:r>
          </w:p>
        </w:tc>
        <w:tc>
          <w:tcPr>
            <w:tcW w:w="828" w:type="dxa"/>
          </w:tcPr>
          <w:p>
            <w:pPr>
              <w:pStyle w:val="TableParagraph"/>
              <w:spacing w:before="152"/>
              <w:ind w:left="11"/>
              <w:rPr>
                <w:rFonts w:ascii="Times New Roman"/>
                <w:sz w:val="21"/>
              </w:rPr>
            </w:pPr>
            <w:r>
              <w:rPr>
                <w:rFonts w:ascii="Times New Roman"/>
                <w:w w:val="100"/>
                <w:sz w:val="21"/>
              </w:rPr>
              <w:t>/</w:t>
            </w:r>
          </w:p>
        </w:tc>
      </w:tr>
      <w:tr>
        <w:trPr>
          <w:trHeight w:val="544" w:hRule="atLeast"/>
        </w:trPr>
        <w:tc>
          <w:tcPr>
            <w:tcW w:w="504" w:type="dxa"/>
            <w:vMerge/>
            <w:tcBorders>
              <w:top w:val="nil"/>
            </w:tcBorders>
          </w:tcPr>
          <w:p>
            <w:pPr>
              <w:rPr>
                <w:sz w:val="2"/>
                <w:szCs w:val="2"/>
              </w:rPr>
            </w:pPr>
          </w:p>
        </w:tc>
        <w:tc>
          <w:tcPr>
            <w:tcW w:w="845" w:type="dxa"/>
          </w:tcPr>
          <w:p>
            <w:pPr>
              <w:pStyle w:val="TableParagraph"/>
              <w:spacing w:before="1"/>
              <w:ind w:left="87" w:right="78"/>
              <w:rPr>
                <w:sz w:val="21"/>
              </w:rPr>
            </w:pPr>
            <w:r>
              <w:rPr>
                <w:sz w:val="21"/>
              </w:rPr>
              <w:t>邻二甲</w:t>
            </w:r>
          </w:p>
          <w:p>
            <w:pPr>
              <w:pStyle w:val="TableParagraph"/>
              <w:spacing w:line="252" w:lineRule="exact" w:before="2"/>
              <w:ind w:left="4"/>
              <w:rPr>
                <w:sz w:val="21"/>
              </w:rPr>
            </w:pPr>
            <w:r>
              <w:rPr>
                <w:w w:val="100"/>
                <w:sz w:val="21"/>
              </w:rPr>
              <w:t>苯</w:t>
            </w:r>
          </w:p>
        </w:tc>
        <w:tc>
          <w:tcPr>
            <w:tcW w:w="1450" w:type="dxa"/>
          </w:tcPr>
          <w:p>
            <w:pPr>
              <w:pStyle w:val="TableParagraph"/>
              <w:spacing w:before="135"/>
              <w:ind w:left="180" w:right="169"/>
              <w:rPr>
                <w:sz w:val="21"/>
              </w:rPr>
            </w:pPr>
            <w:r>
              <w:rPr>
                <w:sz w:val="21"/>
              </w:rPr>
              <w:t>排放浓度</w:t>
            </w:r>
          </w:p>
        </w:tc>
        <w:tc>
          <w:tcPr>
            <w:tcW w:w="1010" w:type="dxa"/>
          </w:tcPr>
          <w:p>
            <w:pPr>
              <w:pStyle w:val="TableParagraph"/>
              <w:spacing w:before="147"/>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151"/>
              <w:ind w:left="84" w:right="76"/>
              <w:rPr>
                <w:rFonts w:ascii="Times New Roman"/>
                <w:sz w:val="21"/>
              </w:rPr>
            </w:pPr>
            <w:r>
              <w:rPr>
                <w:rFonts w:ascii="Times New Roman"/>
                <w:sz w:val="21"/>
              </w:rPr>
              <w:t>0.007</w:t>
            </w:r>
          </w:p>
        </w:tc>
        <w:tc>
          <w:tcPr>
            <w:tcW w:w="1205" w:type="dxa"/>
          </w:tcPr>
          <w:p>
            <w:pPr>
              <w:pStyle w:val="TableParagraph"/>
              <w:spacing w:before="151"/>
              <w:ind w:left="53" w:right="42"/>
              <w:rPr>
                <w:rFonts w:ascii="Times New Roman"/>
                <w:sz w:val="21"/>
              </w:rPr>
            </w:pPr>
            <w:r>
              <w:rPr>
                <w:rFonts w:ascii="Times New Roman"/>
                <w:sz w:val="21"/>
              </w:rPr>
              <w:t>0.006</w:t>
            </w:r>
          </w:p>
        </w:tc>
        <w:tc>
          <w:tcPr>
            <w:tcW w:w="1207" w:type="dxa"/>
          </w:tcPr>
          <w:p>
            <w:pPr>
              <w:pStyle w:val="TableParagraph"/>
              <w:spacing w:before="151"/>
              <w:ind w:left="176" w:right="162"/>
              <w:rPr>
                <w:rFonts w:ascii="Times New Roman"/>
                <w:sz w:val="21"/>
              </w:rPr>
            </w:pPr>
            <w:r>
              <w:rPr>
                <w:rFonts w:ascii="Times New Roman"/>
                <w:sz w:val="21"/>
              </w:rPr>
              <w:t>0.006</w:t>
            </w:r>
          </w:p>
        </w:tc>
        <w:tc>
          <w:tcPr>
            <w:tcW w:w="1210" w:type="dxa"/>
          </w:tcPr>
          <w:p>
            <w:pPr>
              <w:pStyle w:val="TableParagraph"/>
              <w:spacing w:before="151"/>
              <w:ind w:left="165" w:right="154"/>
              <w:rPr>
                <w:rFonts w:ascii="Times New Roman"/>
                <w:sz w:val="21"/>
              </w:rPr>
            </w:pPr>
            <w:r>
              <w:rPr>
                <w:rFonts w:ascii="Times New Roman"/>
                <w:sz w:val="21"/>
              </w:rPr>
              <w:t>0.006</w:t>
            </w:r>
          </w:p>
        </w:tc>
        <w:tc>
          <w:tcPr>
            <w:tcW w:w="828" w:type="dxa"/>
          </w:tcPr>
          <w:p>
            <w:pPr>
              <w:pStyle w:val="TableParagraph"/>
              <w:spacing w:before="151"/>
              <w:ind w:left="11"/>
              <w:rPr>
                <w:rFonts w:ascii="Times New Roman"/>
                <w:sz w:val="21"/>
              </w:rPr>
            </w:pPr>
            <w:r>
              <w:rPr>
                <w:rFonts w:ascii="Times New Roman"/>
                <w:w w:val="100"/>
                <w:sz w:val="21"/>
              </w:rPr>
              <w:t>/</w:t>
            </w:r>
          </w:p>
        </w:tc>
      </w:tr>
      <w:tr>
        <w:trPr>
          <w:trHeight w:val="282" w:hRule="atLeast"/>
        </w:trPr>
        <w:tc>
          <w:tcPr>
            <w:tcW w:w="1349" w:type="dxa"/>
            <w:gridSpan w:val="2"/>
            <w:vMerge w:val="restart"/>
          </w:tcPr>
          <w:p>
            <w:pPr>
              <w:pStyle w:val="TableParagraph"/>
              <w:spacing w:before="154"/>
              <w:ind w:left="29" w:right="20"/>
              <w:rPr>
                <w:sz w:val="21"/>
              </w:rPr>
            </w:pPr>
            <w:r>
              <w:rPr>
                <w:sz w:val="21"/>
              </w:rPr>
              <w:t>合计</w:t>
            </w:r>
          </w:p>
        </w:tc>
        <w:tc>
          <w:tcPr>
            <w:tcW w:w="1450" w:type="dxa"/>
          </w:tcPr>
          <w:p>
            <w:pPr>
              <w:pStyle w:val="TableParagraph"/>
              <w:spacing w:line="257" w:lineRule="exact" w:before="6"/>
              <w:ind w:left="180" w:right="169"/>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19"/>
              <w:ind w:left="84" w:right="76"/>
              <w:rPr>
                <w:rFonts w:ascii="Times New Roman"/>
                <w:sz w:val="21"/>
              </w:rPr>
            </w:pPr>
            <w:r>
              <w:rPr>
                <w:rFonts w:ascii="Times New Roman"/>
                <w:sz w:val="21"/>
              </w:rPr>
              <w:t>0.006</w:t>
            </w:r>
          </w:p>
        </w:tc>
        <w:tc>
          <w:tcPr>
            <w:tcW w:w="1205" w:type="dxa"/>
          </w:tcPr>
          <w:p>
            <w:pPr>
              <w:pStyle w:val="TableParagraph"/>
              <w:spacing w:before="19"/>
              <w:ind w:left="53" w:right="42"/>
              <w:rPr>
                <w:rFonts w:ascii="Times New Roman"/>
                <w:sz w:val="21"/>
              </w:rPr>
            </w:pPr>
            <w:r>
              <w:rPr>
                <w:rFonts w:ascii="Times New Roman"/>
                <w:sz w:val="21"/>
              </w:rPr>
              <w:t>0.008</w:t>
            </w:r>
          </w:p>
        </w:tc>
        <w:tc>
          <w:tcPr>
            <w:tcW w:w="1207" w:type="dxa"/>
          </w:tcPr>
          <w:p>
            <w:pPr>
              <w:pStyle w:val="TableParagraph"/>
              <w:spacing w:before="19"/>
              <w:ind w:left="176" w:right="162"/>
              <w:rPr>
                <w:rFonts w:ascii="Times New Roman"/>
                <w:sz w:val="21"/>
              </w:rPr>
            </w:pPr>
            <w:r>
              <w:rPr>
                <w:rFonts w:ascii="Times New Roman"/>
                <w:sz w:val="21"/>
              </w:rPr>
              <w:t>0.009</w:t>
            </w:r>
          </w:p>
        </w:tc>
        <w:tc>
          <w:tcPr>
            <w:tcW w:w="1210" w:type="dxa"/>
          </w:tcPr>
          <w:p>
            <w:pPr>
              <w:pStyle w:val="TableParagraph"/>
              <w:spacing w:before="19"/>
              <w:ind w:left="165" w:right="154"/>
              <w:rPr>
                <w:rFonts w:ascii="Times New Roman"/>
                <w:sz w:val="21"/>
              </w:rPr>
            </w:pPr>
            <w:r>
              <w:rPr>
                <w:rFonts w:ascii="Times New Roman"/>
                <w:sz w:val="21"/>
              </w:rPr>
              <w:t>0.007</w:t>
            </w:r>
          </w:p>
        </w:tc>
        <w:tc>
          <w:tcPr>
            <w:tcW w:w="828" w:type="dxa"/>
          </w:tcPr>
          <w:p>
            <w:pPr>
              <w:pStyle w:val="TableParagraph"/>
              <w:spacing w:before="19"/>
              <w:ind w:left="50" w:right="40"/>
              <w:rPr>
                <w:rFonts w:ascii="Times New Roman"/>
                <w:sz w:val="21"/>
              </w:rPr>
            </w:pPr>
            <w:r>
              <w:rPr>
                <w:rFonts w:ascii="Times New Roman"/>
                <w:sz w:val="21"/>
              </w:rPr>
              <w:t>70</w:t>
            </w:r>
          </w:p>
        </w:tc>
      </w:tr>
      <w:tr>
        <w:trPr>
          <w:trHeight w:val="285"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8"/>
              <w:ind w:left="180" w:right="169"/>
              <w:rPr>
                <w:sz w:val="21"/>
              </w:rPr>
            </w:pPr>
            <w:r>
              <w:rPr>
                <w:sz w:val="21"/>
              </w:rPr>
              <w:t>排放速率</w:t>
            </w:r>
          </w:p>
        </w:tc>
        <w:tc>
          <w:tcPr>
            <w:tcW w:w="1010" w:type="dxa"/>
          </w:tcPr>
          <w:p>
            <w:pPr>
              <w:pStyle w:val="TableParagraph"/>
              <w:spacing w:before="22"/>
              <w:ind w:left="49" w:right="42"/>
              <w:rPr>
                <w:rFonts w:ascii="Times New Roman"/>
                <w:sz w:val="21"/>
              </w:rPr>
            </w:pPr>
            <w:r>
              <w:rPr>
                <w:rFonts w:ascii="Times New Roman"/>
                <w:sz w:val="21"/>
              </w:rPr>
              <w:t>kg/h</w:t>
            </w:r>
          </w:p>
        </w:tc>
        <w:tc>
          <w:tcPr>
            <w:tcW w:w="1029" w:type="dxa"/>
          </w:tcPr>
          <w:p>
            <w:pPr>
              <w:pStyle w:val="TableParagraph"/>
              <w:spacing w:before="17"/>
              <w:ind w:left="84" w:right="76"/>
              <w:rPr>
                <w:rFonts w:ascii="Times New Roman" w:hAnsi="Times New Roman"/>
                <w:sz w:val="14"/>
              </w:rPr>
            </w:pPr>
            <w:r>
              <w:rPr>
                <w:rFonts w:ascii="Times New Roman" w:hAnsi="Times New Roman"/>
                <w:sz w:val="21"/>
              </w:rPr>
              <w:t>4×10 </w:t>
            </w:r>
            <w:r>
              <w:rPr>
                <w:rFonts w:ascii="Times New Roman" w:hAnsi="Times New Roman"/>
                <w:position w:val="7"/>
                <w:sz w:val="14"/>
              </w:rPr>
              <w:t>-5</w:t>
            </w:r>
          </w:p>
        </w:tc>
        <w:tc>
          <w:tcPr>
            <w:tcW w:w="1205" w:type="dxa"/>
          </w:tcPr>
          <w:p>
            <w:pPr>
              <w:pStyle w:val="TableParagraph"/>
              <w:spacing w:before="17"/>
              <w:ind w:left="53" w:right="42"/>
              <w:rPr>
                <w:rFonts w:ascii="Times New Roman" w:hAnsi="Times New Roman"/>
                <w:sz w:val="14"/>
              </w:rPr>
            </w:pPr>
            <w:r>
              <w:rPr>
                <w:rFonts w:ascii="Times New Roman" w:hAnsi="Times New Roman"/>
                <w:sz w:val="21"/>
              </w:rPr>
              <w:t>6×10 </w:t>
            </w:r>
            <w:r>
              <w:rPr>
                <w:rFonts w:ascii="Times New Roman" w:hAnsi="Times New Roman"/>
                <w:position w:val="7"/>
                <w:sz w:val="14"/>
              </w:rPr>
              <w:t>-5</w:t>
            </w:r>
          </w:p>
        </w:tc>
        <w:tc>
          <w:tcPr>
            <w:tcW w:w="1207" w:type="dxa"/>
          </w:tcPr>
          <w:p>
            <w:pPr>
              <w:pStyle w:val="TableParagraph"/>
              <w:spacing w:before="17"/>
              <w:ind w:left="176" w:right="162"/>
              <w:rPr>
                <w:rFonts w:ascii="Times New Roman" w:hAnsi="Times New Roman"/>
                <w:sz w:val="14"/>
              </w:rPr>
            </w:pPr>
            <w:r>
              <w:rPr>
                <w:rFonts w:ascii="Times New Roman" w:hAnsi="Times New Roman"/>
                <w:sz w:val="21"/>
              </w:rPr>
              <w:t>7×10 </w:t>
            </w:r>
            <w:r>
              <w:rPr>
                <w:rFonts w:ascii="Times New Roman" w:hAnsi="Times New Roman"/>
                <w:position w:val="7"/>
                <w:sz w:val="14"/>
              </w:rPr>
              <w:t>-5</w:t>
            </w:r>
          </w:p>
        </w:tc>
        <w:tc>
          <w:tcPr>
            <w:tcW w:w="1210" w:type="dxa"/>
          </w:tcPr>
          <w:p>
            <w:pPr>
              <w:pStyle w:val="TableParagraph"/>
              <w:spacing w:before="17"/>
              <w:ind w:left="165" w:right="153"/>
              <w:rPr>
                <w:rFonts w:ascii="Times New Roman" w:hAnsi="Times New Roman"/>
                <w:sz w:val="14"/>
              </w:rPr>
            </w:pPr>
            <w:r>
              <w:rPr>
                <w:rFonts w:ascii="Times New Roman" w:hAnsi="Times New Roman"/>
                <w:sz w:val="21"/>
              </w:rPr>
              <w:t>6×10 </w:t>
            </w:r>
            <w:r>
              <w:rPr>
                <w:rFonts w:ascii="Times New Roman" w:hAnsi="Times New Roman"/>
                <w:position w:val="7"/>
                <w:sz w:val="14"/>
              </w:rPr>
              <w:t>-5</w:t>
            </w:r>
          </w:p>
        </w:tc>
        <w:tc>
          <w:tcPr>
            <w:tcW w:w="828" w:type="dxa"/>
          </w:tcPr>
          <w:p>
            <w:pPr>
              <w:pStyle w:val="TableParagraph"/>
              <w:spacing w:before="22"/>
              <w:ind w:left="53" w:right="38"/>
              <w:rPr>
                <w:rFonts w:ascii="Times New Roman"/>
                <w:sz w:val="21"/>
              </w:rPr>
            </w:pPr>
            <w:r>
              <w:rPr>
                <w:rFonts w:ascii="Times New Roman"/>
                <w:sz w:val="21"/>
              </w:rPr>
              <w:t>1.0</w:t>
            </w:r>
          </w:p>
        </w:tc>
      </w:tr>
      <w:tr>
        <w:trPr>
          <w:trHeight w:val="282" w:hRule="atLeast"/>
        </w:trPr>
        <w:tc>
          <w:tcPr>
            <w:tcW w:w="1349" w:type="dxa"/>
            <w:gridSpan w:val="2"/>
            <w:vMerge w:val="restart"/>
          </w:tcPr>
          <w:p>
            <w:pPr>
              <w:pStyle w:val="TableParagraph"/>
              <w:spacing w:before="18"/>
              <w:ind w:left="29" w:right="18"/>
              <w:rPr>
                <w:sz w:val="21"/>
              </w:rPr>
            </w:pPr>
            <w:r>
              <w:rPr>
                <w:sz w:val="21"/>
              </w:rPr>
              <w:t>非甲烷总烃</w:t>
            </w:r>
          </w:p>
          <w:p>
            <w:pPr>
              <w:pStyle w:val="TableParagraph"/>
              <w:spacing w:before="2"/>
              <w:ind w:left="29" w:right="19"/>
              <w:rPr>
                <w:rFonts w:ascii="Times New Roman" w:eastAsia="Times New Roman"/>
                <w:sz w:val="21"/>
              </w:rPr>
            </w:pPr>
            <w:r>
              <w:rPr>
                <w:rFonts w:ascii="Times New Roman" w:eastAsia="Times New Roman"/>
                <w:sz w:val="21"/>
              </w:rPr>
              <w:t>(</w:t>
            </w:r>
            <w:r>
              <w:rPr>
                <w:sz w:val="21"/>
              </w:rPr>
              <w:t>以 </w:t>
            </w:r>
            <w:r>
              <w:rPr>
                <w:rFonts w:ascii="Times New Roman" w:eastAsia="Times New Roman"/>
                <w:sz w:val="21"/>
              </w:rPr>
              <w:t>C </w:t>
            </w:r>
            <w:r>
              <w:rPr>
                <w:sz w:val="21"/>
              </w:rPr>
              <w:t>计</w:t>
            </w:r>
            <w:r>
              <w:rPr>
                <w:rFonts w:ascii="Times New Roman" w:eastAsia="Times New Roman"/>
                <w:sz w:val="21"/>
              </w:rPr>
              <w:t>)</w:t>
            </w:r>
          </w:p>
        </w:tc>
        <w:tc>
          <w:tcPr>
            <w:tcW w:w="1450" w:type="dxa"/>
          </w:tcPr>
          <w:p>
            <w:pPr>
              <w:pStyle w:val="TableParagraph"/>
              <w:spacing w:line="257" w:lineRule="exact" w:before="6"/>
              <w:ind w:left="180" w:right="169"/>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19"/>
              <w:ind w:left="84" w:right="76"/>
              <w:rPr>
                <w:rFonts w:ascii="Times New Roman"/>
                <w:sz w:val="21"/>
              </w:rPr>
            </w:pPr>
            <w:r>
              <w:rPr>
                <w:rFonts w:ascii="Times New Roman"/>
                <w:sz w:val="21"/>
              </w:rPr>
              <w:t>0.88</w:t>
            </w:r>
          </w:p>
        </w:tc>
        <w:tc>
          <w:tcPr>
            <w:tcW w:w="1205" w:type="dxa"/>
          </w:tcPr>
          <w:p>
            <w:pPr>
              <w:pStyle w:val="TableParagraph"/>
              <w:spacing w:before="19"/>
              <w:ind w:left="53" w:right="42"/>
              <w:rPr>
                <w:rFonts w:ascii="Times New Roman"/>
                <w:sz w:val="21"/>
              </w:rPr>
            </w:pPr>
            <w:r>
              <w:rPr>
                <w:rFonts w:ascii="Times New Roman"/>
                <w:sz w:val="21"/>
              </w:rPr>
              <w:t>0.58</w:t>
            </w:r>
          </w:p>
        </w:tc>
        <w:tc>
          <w:tcPr>
            <w:tcW w:w="1207" w:type="dxa"/>
          </w:tcPr>
          <w:p>
            <w:pPr>
              <w:pStyle w:val="TableParagraph"/>
              <w:spacing w:before="19"/>
              <w:ind w:left="176" w:right="162"/>
              <w:rPr>
                <w:rFonts w:ascii="Times New Roman"/>
                <w:sz w:val="21"/>
              </w:rPr>
            </w:pPr>
            <w:r>
              <w:rPr>
                <w:rFonts w:ascii="Times New Roman"/>
                <w:sz w:val="21"/>
              </w:rPr>
              <w:t>0.60</w:t>
            </w:r>
          </w:p>
        </w:tc>
        <w:tc>
          <w:tcPr>
            <w:tcW w:w="1210" w:type="dxa"/>
          </w:tcPr>
          <w:p>
            <w:pPr>
              <w:pStyle w:val="TableParagraph"/>
              <w:spacing w:before="19"/>
              <w:ind w:left="165" w:right="154"/>
              <w:rPr>
                <w:rFonts w:ascii="Times New Roman"/>
                <w:sz w:val="21"/>
              </w:rPr>
            </w:pPr>
            <w:r>
              <w:rPr>
                <w:rFonts w:ascii="Times New Roman"/>
                <w:sz w:val="21"/>
              </w:rPr>
              <w:t>0.69</w:t>
            </w:r>
          </w:p>
        </w:tc>
        <w:tc>
          <w:tcPr>
            <w:tcW w:w="828" w:type="dxa"/>
          </w:tcPr>
          <w:p>
            <w:pPr>
              <w:pStyle w:val="TableParagraph"/>
              <w:spacing w:before="19"/>
              <w:ind w:left="53" w:right="38"/>
              <w:rPr>
                <w:rFonts w:ascii="Times New Roman"/>
                <w:sz w:val="21"/>
              </w:rPr>
            </w:pPr>
            <w:r>
              <w:rPr>
                <w:rFonts w:ascii="Times New Roman"/>
                <w:sz w:val="21"/>
              </w:rPr>
              <w:t>120</w:t>
            </w:r>
          </w:p>
        </w:tc>
      </w:tr>
      <w:tr>
        <w:trPr>
          <w:trHeight w:val="285"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8"/>
              <w:ind w:left="180" w:right="169"/>
              <w:rPr>
                <w:sz w:val="21"/>
              </w:rPr>
            </w:pPr>
            <w:r>
              <w:rPr>
                <w:sz w:val="21"/>
              </w:rPr>
              <w:t>排放速率</w:t>
            </w:r>
          </w:p>
        </w:tc>
        <w:tc>
          <w:tcPr>
            <w:tcW w:w="1010" w:type="dxa"/>
          </w:tcPr>
          <w:p>
            <w:pPr>
              <w:pStyle w:val="TableParagraph"/>
              <w:spacing w:before="22"/>
              <w:ind w:left="49" w:right="42"/>
              <w:rPr>
                <w:rFonts w:ascii="Times New Roman"/>
                <w:sz w:val="21"/>
              </w:rPr>
            </w:pPr>
            <w:r>
              <w:rPr>
                <w:rFonts w:ascii="Times New Roman"/>
                <w:sz w:val="21"/>
              </w:rPr>
              <w:t>kg/h</w:t>
            </w:r>
          </w:p>
        </w:tc>
        <w:tc>
          <w:tcPr>
            <w:tcW w:w="1029" w:type="dxa"/>
          </w:tcPr>
          <w:p>
            <w:pPr>
              <w:pStyle w:val="TableParagraph"/>
              <w:spacing w:before="17"/>
              <w:ind w:left="82" w:right="76"/>
              <w:rPr>
                <w:rFonts w:ascii="Times New Roman" w:hAnsi="Times New Roman"/>
                <w:sz w:val="14"/>
              </w:rPr>
            </w:pPr>
            <w:r>
              <w:rPr>
                <w:rFonts w:ascii="Times New Roman" w:hAnsi="Times New Roman"/>
                <w:sz w:val="21"/>
              </w:rPr>
              <w:t>6.7×10 </w:t>
            </w:r>
            <w:r>
              <w:rPr>
                <w:rFonts w:ascii="Times New Roman" w:hAnsi="Times New Roman"/>
                <w:position w:val="7"/>
                <w:sz w:val="14"/>
              </w:rPr>
              <w:t>-3</w:t>
            </w:r>
          </w:p>
        </w:tc>
        <w:tc>
          <w:tcPr>
            <w:tcW w:w="1205" w:type="dxa"/>
          </w:tcPr>
          <w:p>
            <w:pPr>
              <w:pStyle w:val="TableParagraph"/>
              <w:spacing w:before="17"/>
              <w:ind w:left="53" w:right="44"/>
              <w:rPr>
                <w:rFonts w:ascii="Times New Roman" w:hAnsi="Times New Roman"/>
                <w:sz w:val="14"/>
              </w:rPr>
            </w:pPr>
            <w:r>
              <w:rPr>
                <w:rFonts w:ascii="Times New Roman" w:hAnsi="Times New Roman"/>
                <w:sz w:val="21"/>
              </w:rPr>
              <w:t>4.5×10 </w:t>
            </w:r>
            <w:r>
              <w:rPr>
                <w:rFonts w:ascii="Times New Roman" w:hAnsi="Times New Roman"/>
                <w:position w:val="7"/>
                <w:sz w:val="14"/>
              </w:rPr>
              <w:t>-3</w:t>
            </w:r>
          </w:p>
        </w:tc>
        <w:tc>
          <w:tcPr>
            <w:tcW w:w="1207" w:type="dxa"/>
          </w:tcPr>
          <w:p>
            <w:pPr>
              <w:pStyle w:val="TableParagraph"/>
              <w:spacing w:before="17"/>
              <w:ind w:left="174" w:right="162"/>
              <w:rPr>
                <w:rFonts w:ascii="Times New Roman" w:hAnsi="Times New Roman"/>
                <w:sz w:val="14"/>
              </w:rPr>
            </w:pPr>
            <w:r>
              <w:rPr>
                <w:rFonts w:ascii="Times New Roman" w:hAnsi="Times New Roman"/>
                <w:sz w:val="21"/>
              </w:rPr>
              <w:t>4.6×10 </w:t>
            </w:r>
            <w:r>
              <w:rPr>
                <w:rFonts w:ascii="Times New Roman" w:hAnsi="Times New Roman"/>
                <w:position w:val="7"/>
                <w:sz w:val="14"/>
              </w:rPr>
              <w:t>-3</w:t>
            </w:r>
          </w:p>
        </w:tc>
        <w:tc>
          <w:tcPr>
            <w:tcW w:w="1210" w:type="dxa"/>
          </w:tcPr>
          <w:p>
            <w:pPr>
              <w:pStyle w:val="TableParagraph"/>
              <w:spacing w:before="17"/>
              <w:ind w:left="164" w:right="154"/>
              <w:rPr>
                <w:rFonts w:ascii="Times New Roman" w:hAnsi="Times New Roman"/>
                <w:sz w:val="14"/>
              </w:rPr>
            </w:pPr>
            <w:r>
              <w:rPr>
                <w:rFonts w:ascii="Times New Roman" w:hAnsi="Times New Roman"/>
                <w:sz w:val="21"/>
              </w:rPr>
              <w:t>5.3×10 </w:t>
            </w:r>
            <w:r>
              <w:rPr>
                <w:rFonts w:ascii="Times New Roman" w:hAnsi="Times New Roman"/>
                <w:position w:val="7"/>
                <w:sz w:val="14"/>
              </w:rPr>
              <w:t>-3</w:t>
            </w:r>
          </w:p>
        </w:tc>
        <w:tc>
          <w:tcPr>
            <w:tcW w:w="828" w:type="dxa"/>
          </w:tcPr>
          <w:p>
            <w:pPr>
              <w:pStyle w:val="TableParagraph"/>
              <w:spacing w:before="22"/>
              <w:ind w:left="50" w:right="40"/>
              <w:rPr>
                <w:rFonts w:ascii="Times New Roman"/>
                <w:sz w:val="21"/>
              </w:rPr>
            </w:pPr>
            <w:r>
              <w:rPr>
                <w:rFonts w:ascii="Times New Roman"/>
                <w:sz w:val="21"/>
              </w:rPr>
              <w:t>10</w:t>
            </w:r>
          </w:p>
        </w:tc>
      </w:tr>
      <w:tr>
        <w:trPr>
          <w:trHeight w:val="282" w:hRule="atLeast"/>
        </w:trPr>
        <w:tc>
          <w:tcPr>
            <w:tcW w:w="1349" w:type="dxa"/>
            <w:gridSpan w:val="2"/>
            <w:vMerge w:val="restart"/>
          </w:tcPr>
          <w:p>
            <w:pPr>
              <w:pStyle w:val="TableParagraph"/>
              <w:spacing w:before="154"/>
              <w:ind w:left="357"/>
              <w:jc w:val="left"/>
              <w:rPr>
                <w:sz w:val="21"/>
              </w:rPr>
            </w:pPr>
            <w:r>
              <w:rPr>
                <w:sz w:val="21"/>
              </w:rPr>
              <w:t>苯胺类</w:t>
            </w:r>
          </w:p>
        </w:tc>
        <w:tc>
          <w:tcPr>
            <w:tcW w:w="1450" w:type="dxa"/>
          </w:tcPr>
          <w:p>
            <w:pPr>
              <w:pStyle w:val="TableParagraph"/>
              <w:spacing w:line="257" w:lineRule="exact" w:before="5"/>
              <w:ind w:left="180" w:right="169"/>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19"/>
              <w:ind w:left="84" w:right="76"/>
              <w:rPr>
                <w:rFonts w:ascii="Times New Roman"/>
                <w:sz w:val="21"/>
              </w:rPr>
            </w:pPr>
            <w:r>
              <w:rPr>
                <w:rFonts w:ascii="Times New Roman"/>
                <w:sz w:val="21"/>
              </w:rPr>
              <w:t>5.27</w:t>
            </w:r>
          </w:p>
        </w:tc>
        <w:tc>
          <w:tcPr>
            <w:tcW w:w="1205" w:type="dxa"/>
          </w:tcPr>
          <w:p>
            <w:pPr>
              <w:pStyle w:val="TableParagraph"/>
              <w:spacing w:before="19"/>
              <w:ind w:left="53" w:right="42"/>
              <w:rPr>
                <w:rFonts w:ascii="Times New Roman"/>
                <w:sz w:val="21"/>
              </w:rPr>
            </w:pPr>
            <w:r>
              <w:rPr>
                <w:rFonts w:ascii="Times New Roman"/>
                <w:sz w:val="21"/>
              </w:rPr>
              <w:t>5.13</w:t>
            </w:r>
          </w:p>
        </w:tc>
        <w:tc>
          <w:tcPr>
            <w:tcW w:w="1207" w:type="dxa"/>
          </w:tcPr>
          <w:p>
            <w:pPr>
              <w:pStyle w:val="TableParagraph"/>
              <w:spacing w:before="19"/>
              <w:ind w:left="176" w:right="162"/>
              <w:rPr>
                <w:rFonts w:ascii="Times New Roman"/>
                <w:sz w:val="21"/>
              </w:rPr>
            </w:pPr>
            <w:r>
              <w:rPr>
                <w:rFonts w:ascii="Times New Roman"/>
                <w:sz w:val="21"/>
              </w:rPr>
              <w:t>4.82</w:t>
            </w:r>
          </w:p>
        </w:tc>
        <w:tc>
          <w:tcPr>
            <w:tcW w:w="1210" w:type="dxa"/>
          </w:tcPr>
          <w:p>
            <w:pPr>
              <w:pStyle w:val="TableParagraph"/>
              <w:spacing w:before="19"/>
              <w:ind w:left="165" w:right="154"/>
              <w:rPr>
                <w:rFonts w:ascii="Times New Roman"/>
                <w:sz w:val="21"/>
              </w:rPr>
            </w:pPr>
            <w:r>
              <w:rPr>
                <w:rFonts w:ascii="Times New Roman"/>
                <w:sz w:val="21"/>
              </w:rPr>
              <w:t>5.07</w:t>
            </w:r>
          </w:p>
        </w:tc>
        <w:tc>
          <w:tcPr>
            <w:tcW w:w="828" w:type="dxa"/>
          </w:tcPr>
          <w:p>
            <w:pPr>
              <w:pStyle w:val="TableParagraph"/>
              <w:spacing w:before="19"/>
              <w:ind w:left="50" w:right="40"/>
              <w:rPr>
                <w:rFonts w:ascii="Times New Roman"/>
                <w:sz w:val="21"/>
              </w:rPr>
            </w:pPr>
            <w:r>
              <w:rPr>
                <w:rFonts w:ascii="Times New Roman"/>
                <w:sz w:val="21"/>
              </w:rPr>
              <w:t>20</w:t>
            </w:r>
          </w:p>
        </w:tc>
      </w:tr>
      <w:tr>
        <w:trPr>
          <w:trHeight w:val="285"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8"/>
              <w:ind w:left="177" w:right="169"/>
              <w:rPr>
                <w:sz w:val="21"/>
              </w:rPr>
            </w:pPr>
            <w:r>
              <w:rPr>
                <w:sz w:val="21"/>
              </w:rPr>
              <w:t>排放速率</w:t>
            </w:r>
          </w:p>
        </w:tc>
        <w:tc>
          <w:tcPr>
            <w:tcW w:w="1010" w:type="dxa"/>
          </w:tcPr>
          <w:p>
            <w:pPr>
              <w:pStyle w:val="TableParagraph"/>
              <w:spacing w:before="22"/>
              <w:ind w:left="49" w:right="42"/>
              <w:rPr>
                <w:rFonts w:ascii="Times New Roman"/>
                <w:sz w:val="21"/>
              </w:rPr>
            </w:pPr>
            <w:r>
              <w:rPr>
                <w:rFonts w:ascii="Times New Roman"/>
                <w:sz w:val="21"/>
              </w:rPr>
              <w:t>kg/h</w:t>
            </w:r>
          </w:p>
        </w:tc>
        <w:tc>
          <w:tcPr>
            <w:tcW w:w="1029" w:type="dxa"/>
          </w:tcPr>
          <w:p>
            <w:pPr>
              <w:pStyle w:val="TableParagraph"/>
              <w:spacing w:before="22"/>
              <w:ind w:left="84" w:right="76"/>
              <w:rPr>
                <w:rFonts w:ascii="Times New Roman"/>
                <w:sz w:val="21"/>
              </w:rPr>
            </w:pPr>
            <w:r>
              <w:rPr>
                <w:rFonts w:ascii="Times New Roman"/>
                <w:sz w:val="21"/>
              </w:rPr>
              <w:t>0.0401</w:t>
            </w:r>
          </w:p>
        </w:tc>
        <w:tc>
          <w:tcPr>
            <w:tcW w:w="1205" w:type="dxa"/>
          </w:tcPr>
          <w:p>
            <w:pPr>
              <w:pStyle w:val="TableParagraph"/>
              <w:spacing w:before="22"/>
              <w:ind w:left="53" w:right="42"/>
              <w:rPr>
                <w:rFonts w:ascii="Times New Roman"/>
                <w:sz w:val="21"/>
              </w:rPr>
            </w:pPr>
            <w:r>
              <w:rPr>
                <w:rFonts w:ascii="Times New Roman"/>
                <w:sz w:val="21"/>
              </w:rPr>
              <w:t>0.0396</w:t>
            </w:r>
          </w:p>
        </w:tc>
        <w:tc>
          <w:tcPr>
            <w:tcW w:w="1207" w:type="dxa"/>
          </w:tcPr>
          <w:p>
            <w:pPr>
              <w:pStyle w:val="TableParagraph"/>
              <w:spacing w:before="22"/>
              <w:ind w:left="176" w:right="162"/>
              <w:rPr>
                <w:rFonts w:ascii="Times New Roman"/>
                <w:sz w:val="21"/>
              </w:rPr>
            </w:pPr>
            <w:r>
              <w:rPr>
                <w:rFonts w:ascii="Times New Roman"/>
                <w:sz w:val="21"/>
              </w:rPr>
              <w:t>0.0372</w:t>
            </w:r>
          </w:p>
        </w:tc>
        <w:tc>
          <w:tcPr>
            <w:tcW w:w="1210" w:type="dxa"/>
          </w:tcPr>
          <w:p>
            <w:pPr>
              <w:pStyle w:val="TableParagraph"/>
              <w:spacing w:before="22"/>
              <w:ind w:left="165" w:right="154"/>
              <w:rPr>
                <w:rFonts w:ascii="Times New Roman"/>
                <w:sz w:val="21"/>
              </w:rPr>
            </w:pPr>
            <w:r>
              <w:rPr>
                <w:rFonts w:ascii="Times New Roman"/>
                <w:sz w:val="21"/>
              </w:rPr>
              <w:t>0.0390</w:t>
            </w:r>
          </w:p>
        </w:tc>
        <w:tc>
          <w:tcPr>
            <w:tcW w:w="828" w:type="dxa"/>
          </w:tcPr>
          <w:p>
            <w:pPr>
              <w:pStyle w:val="TableParagraph"/>
              <w:spacing w:before="22"/>
              <w:ind w:left="53" w:right="38"/>
              <w:rPr>
                <w:rFonts w:ascii="Times New Roman"/>
                <w:sz w:val="21"/>
              </w:rPr>
            </w:pPr>
            <w:r>
              <w:rPr>
                <w:rFonts w:ascii="Times New Roman"/>
                <w:sz w:val="21"/>
              </w:rPr>
              <w:t>0.52</w:t>
            </w:r>
          </w:p>
        </w:tc>
      </w:tr>
      <w:tr>
        <w:trPr>
          <w:trHeight w:val="282" w:hRule="atLeast"/>
        </w:trPr>
        <w:tc>
          <w:tcPr>
            <w:tcW w:w="1349" w:type="dxa"/>
            <w:gridSpan w:val="2"/>
            <w:vMerge w:val="restart"/>
          </w:tcPr>
          <w:p>
            <w:pPr>
              <w:pStyle w:val="TableParagraph"/>
              <w:spacing w:before="154"/>
              <w:ind w:left="254"/>
              <w:jc w:val="left"/>
              <w:rPr>
                <w:sz w:val="21"/>
              </w:rPr>
            </w:pPr>
            <w:r>
              <w:rPr>
                <w:sz w:val="21"/>
              </w:rPr>
              <w:t>硝基苯类</w:t>
            </w:r>
          </w:p>
        </w:tc>
        <w:tc>
          <w:tcPr>
            <w:tcW w:w="1450" w:type="dxa"/>
          </w:tcPr>
          <w:p>
            <w:pPr>
              <w:pStyle w:val="TableParagraph"/>
              <w:spacing w:line="257" w:lineRule="exact" w:before="5"/>
              <w:ind w:left="180" w:right="169"/>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19"/>
              <w:ind w:left="84" w:right="76"/>
              <w:rPr>
                <w:rFonts w:ascii="Times New Roman"/>
                <w:sz w:val="21"/>
              </w:rPr>
            </w:pPr>
            <w:r>
              <w:rPr>
                <w:rFonts w:ascii="Times New Roman"/>
                <w:sz w:val="21"/>
              </w:rPr>
              <w:t>6.1</w:t>
            </w:r>
          </w:p>
        </w:tc>
        <w:tc>
          <w:tcPr>
            <w:tcW w:w="1205" w:type="dxa"/>
          </w:tcPr>
          <w:p>
            <w:pPr>
              <w:pStyle w:val="TableParagraph"/>
              <w:spacing w:before="19"/>
              <w:ind w:left="53" w:right="41"/>
              <w:rPr>
                <w:rFonts w:ascii="Times New Roman"/>
                <w:sz w:val="21"/>
              </w:rPr>
            </w:pPr>
            <w:r>
              <w:rPr>
                <w:rFonts w:ascii="Times New Roman"/>
                <w:sz w:val="21"/>
              </w:rPr>
              <w:t>5.5</w:t>
            </w:r>
          </w:p>
        </w:tc>
        <w:tc>
          <w:tcPr>
            <w:tcW w:w="1207" w:type="dxa"/>
          </w:tcPr>
          <w:p>
            <w:pPr>
              <w:pStyle w:val="TableParagraph"/>
              <w:spacing w:before="19"/>
              <w:ind w:left="176" w:right="162"/>
              <w:rPr>
                <w:rFonts w:ascii="Times New Roman"/>
                <w:sz w:val="21"/>
              </w:rPr>
            </w:pPr>
            <w:r>
              <w:rPr>
                <w:rFonts w:ascii="Times New Roman"/>
                <w:sz w:val="21"/>
              </w:rPr>
              <w:t>5.7</w:t>
            </w:r>
          </w:p>
        </w:tc>
        <w:tc>
          <w:tcPr>
            <w:tcW w:w="1210" w:type="dxa"/>
          </w:tcPr>
          <w:p>
            <w:pPr>
              <w:pStyle w:val="TableParagraph"/>
              <w:spacing w:before="19"/>
              <w:ind w:left="165" w:right="154"/>
              <w:rPr>
                <w:rFonts w:ascii="Times New Roman"/>
                <w:sz w:val="21"/>
              </w:rPr>
            </w:pPr>
            <w:r>
              <w:rPr>
                <w:rFonts w:ascii="Times New Roman"/>
                <w:sz w:val="21"/>
              </w:rPr>
              <w:t>5.8</w:t>
            </w:r>
          </w:p>
        </w:tc>
        <w:tc>
          <w:tcPr>
            <w:tcW w:w="828" w:type="dxa"/>
          </w:tcPr>
          <w:p>
            <w:pPr>
              <w:pStyle w:val="TableParagraph"/>
              <w:spacing w:before="19"/>
              <w:ind w:left="50" w:right="40"/>
              <w:rPr>
                <w:rFonts w:ascii="Times New Roman"/>
                <w:sz w:val="21"/>
              </w:rPr>
            </w:pPr>
            <w:r>
              <w:rPr>
                <w:rFonts w:ascii="Times New Roman"/>
                <w:sz w:val="21"/>
              </w:rPr>
              <w:t>16</w:t>
            </w:r>
          </w:p>
        </w:tc>
      </w:tr>
      <w:tr>
        <w:trPr>
          <w:trHeight w:val="285"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8"/>
              <w:ind w:left="180" w:right="169"/>
              <w:rPr>
                <w:sz w:val="21"/>
              </w:rPr>
            </w:pPr>
            <w:r>
              <w:rPr>
                <w:sz w:val="21"/>
              </w:rPr>
              <w:t>排放速率</w:t>
            </w:r>
          </w:p>
        </w:tc>
        <w:tc>
          <w:tcPr>
            <w:tcW w:w="1010" w:type="dxa"/>
          </w:tcPr>
          <w:p>
            <w:pPr>
              <w:pStyle w:val="TableParagraph"/>
              <w:spacing w:before="22"/>
              <w:ind w:left="49" w:right="42"/>
              <w:rPr>
                <w:rFonts w:ascii="Times New Roman"/>
                <w:sz w:val="21"/>
              </w:rPr>
            </w:pPr>
            <w:r>
              <w:rPr>
                <w:rFonts w:ascii="Times New Roman"/>
                <w:sz w:val="21"/>
              </w:rPr>
              <w:t>kg/h</w:t>
            </w:r>
          </w:p>
        </w:tc>
        <w:tc>
          <w:tcPr>
            <w:tcW w:w="1029" w:type="dxa"/>
          </w:tcPr>
          <w:p>
            <w:pPr>
              <w:pStyle w:val="TableParagraph"/>
              <w:spacing w:before="22"/>
              <w:ind w:left="84" w:right="76"/>
              <w:rPr>
                <w:rFonts w:ascii="Times New Roman"/>
                <w:sz w:val="21"/>
              </w:rPr>
            </w:pPr>
            <w:r>
              <w:rPr>
                <w:rFonts w:ascii="Times New Roman"/>
                <w:sz w:val="21"/>
              </w:rPr>
              <w:t>0.046</w:t>
            </w:r>
          </w:p>
        </w:tc>
        <w:tc>
          <w:tcPr>
            <w:tcW w:w="1205" w:type="dxa"/>
          </w:tcPr>
          <w:p>
            <w:pPr>
              <w:pStyle w:val="TableParagraph"/>
              <w:spacing w:before="22"/>
              <w:ind w:left="53" w:right="42"/>
              <w:rPr>
                <w:rFonts w:ascii="Times New Roman"/>
                <w:sz w:val="21"/>
              </w:rPr>
            </w:pPr>
            <w:r>
              <w:rPr>
                <w:rFonts w:ascii="Times New Roman"/>
                <w:sz w:val="21"/>
              </w:rPr>
              <w:t>0.042</w:t>
            </w:r>
          </w:p>
        </w:tc>
        <w:tc>
          <w:tcPr>
            <w:tcW w:w="1207" w:type="dxa"/>
          </w:tcPr>
          <w:p>
            <w:pPr>
              <w:pStyle w:val="TableParagraph"/>
              <w:spacing w:before="22"/>
              <w:ind w:left="176" w:right="162"/>
              <w:rPr>
                <w:rFonts w:ascii="Times New Roman"/>
                <w:sz w:val="21"/>
              </w:rPr>
            </w:pPr>
            <w:r>
              <w:rPr>
                <w:rFonts w:ascii="Times New Roman"/>
                <w:sz w:val="21"/>
              </w:rPr>
              <w:t>0.044</w:t>
            </w:r>
          </w:p>
        </w:tc>
        <w:tc>
          <w:tcPr>
            <w:tcW w:w="1210" w:type="dxa"/>
          </w:tcPr>
          <w:p>
            <w:pPr>
              <w:pStyle w:val="TableParagraph"/>
              <w:spacing w:before="22"/>
              <w:ind w:left="165" w:right="154"/>
              <w:rPr>
                <w:rFonts w:ascii="Times New Roman"/>
                <w:sz w:val="21"/>
              </w:rPr>
            </w:pPr>
            <w:r>
              <w:rPr>
                <w:rFonts w:ascii="Times New Roman"/>
                <w:sz w:val="21"/>
              </w:rPr>
              <w:t>0.044</w:t>
            </w:r>
          </w:p>
        </w:tc>
        <w:tc>
          <w:tcPr>
            <w:tcW w:w="828" w:type="dxa"/>
          </w:tcPr>
          <w:p>
            <w:pPr>
              <w:pStyle w:val="TableParagraph"/>
              <w:spacing w:before="22"/>
              <w:ind w:left="53" w:right="38"/>
              <w:rPr>
                <w:rFonts w:ascii="Times New Roman"/>
                <w:sz w:val="21"/>
              </w:rPr>
            </w:pPr>
            <w:r>
              <w:rPr>
                <w:rFonts w:ascii="Times New Roman"/>
                <w:sz w:val="21"/>
              </w:rPr>
              <w:t>0.050</w:t>
            </w:r>
          </w:p>
        </w:tc>
      </w:tr>
      <w:tr>
        <w:trPr>
          <w:trHeight w:val="283" w:hRule="atLeast"/>
        </w:trPr>
        <w:tc>
          <w:tcPr>
            <w:tcW w:w="1349" w:type="dxa"/>
            <w:gridSpan w:val="2"/>
            <w:vMerge w:val="restart"/>
          </w:tcPr>
          <w:p>
            <w:pPr>
              <w:pStyle w:val="TableParagraph"/>
              <w:spacing w:before="155"/>
              <w:ind w:left="254"/>
              <w:jc w:val="left"/>
              <w:rPr>
                <w:sz w:val="21"/>
              </w:rPr>
            </w:pPr>
            <w:r>
              <w:rPr>
                <w:sz w:val="21"/>
              </w:rPr>
              <w:t>氮氧化物</w:t>
            </w:r>
          </w:p>
        </w:tc>
        <w:tc>
          <w:tcPr>
            <w:tcW w:w="1450" w:type="dxa"/>
          </w:tcPr>
          <w:p>
            <w:pPr>
              <w:pStyle w:val="TableParagraph"/>
              <w:spacing w:line="257" w:lineRule="exact" w:before="6"/>
              <w:ind w:left="180" w:right="169"/>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029" w:type="dxa"/>
          </w:tcPr>
          <w:p>
            <w:pPr>
              <w:pStyle w:val="TableParagraph"/>
              <w:spacing w:before="20"/>
              <w:ind w:left="84" w:right="76"/>
              <w:rPr>
                <w:rFonts w:ascii="Times New Roman"/>
                <w:sz w:val="21"/>
              </w:rPr>
            </w:pPr>
            <w:r>
              <w:rPr>
                <w:rFonts w:ascii="Times New Roman"/>
                <w:sz w:val="21"/>
              </w:rPr>
              <w:t>3.22</w:t>
            </w:r>
          </w:p>
        </w:tc>
        <w:tc>
          <w:tcPr>
            <w:tcW w:w="1205" w:type="dxa"/>
          </w:tcPr>
          <w:p>
            <w:pPr>
              <w:pStyle w:val="TableParagraph"/>
              <w:spacing w:before="20"/>
              <w:ind w:left="53" w:right="42"/>
              <w:rPr>
                <w:rFonts w:ascii="Times New Roman"/>
                <w:sz w:val="21"/>
              </w:rPr>
            </w:pPr>
            <w:r>
              <w:rPr>
                <w:rFonts w:ascii="Times New Roman"/>
                <w:sz w:val="21"/>
              </w:rPr>
              <w:t>4.34</w:t>
            </w:r>
          </w:p>
        </w:tc>
        <w:tc>
          <w:tcPr>
            <w:tcW w:w="1207" w:type="dxa"/>
          </w:tcPr>
          <w:p>
            <w:pPr>
              <w:pStyle w:val="TableParagraph"/>
              <w:spacing w:before="20"/>
              <w:ind w:left="176" w:right="162"/>
              <w:rPr>
                <w:rFonts w:ascii="Times New Roman"/>
                <w:sz w:val="21"/>
              </w:rPr>
            </w:pPr>
            <w:r>
              <w:rPr>
                <w:rFonts w:ascii="Times New Roman"/>
                <w:sz w:val="21"/>
              </w:rPr>
              <w:t>4.61</w:t>
            </w:r>
          </w:p>
        </w:tc>
        <w:tc>
          <w:tcPr>
            <w:tcW w:w="1210" w:type="dxa"/>
          </w:tcPr>
          <w:p>
            <w:pPr>
              <w:pStyle w:val="TableParagraph"/>
              <w:spacing w:before="20"/>
              <w:ind w:left="165" w:right="154"/>
              <w:rPr>
                <w:rFonts w:ascii="Times New Roman"/>
                <w:sz w:val="21"/>
              </w:rPr>
            </w:pPr>
            <w:r>
              <w:rPr>
                <w:rFonts w:ascii="Times New Roman"/>
                <w:sz w:val="21"/>
              </w:rPr>
              <w:t>4.06</w:t>
            </w:r>
          </w:p>
        </w:tc>
        <w:tc>
          <w:tcPr>
            <w:tcW w:w="828" w:type="dxa"/>
          </w:tcPr>
          <w:p>
            <w:pPr>
              <w:pStyle w:val="TableParagraph"/>
              <w:spacing w:before="20"/>
              <w:ind w:left="53" w:right="38"/>
              <w:rPr>
                <w:rFonts w:ascii="Times New Roman"/>
                <w:sz w:val="21"/>
              </w:rPr>
            </w:pPr>
            <w:r>
              <w:rPr>
                <w:rFonts w:ascii="Times New Roman"/>
                <w:sz w:val="21"/>
              </w:rPr>
              <w:t>240</w:t>
            </w:r>
          </w:p>
        </w:tc>
      </w:tr>
      <w:tr>
        <w:trPr>
          <w:trHeight w:val="285" w:hRule="atLeast"/>
        </w:trPr>
        <w:tc>
          <w:tcPr>
            <w:tcW w:w="1349" w:type="dxa"/>
            <w:gridSpan w:val="2"/>
            <w:vMerge/>
            <w:tcBorders>
              <w:top w:val="nil"/>
            </w:tcBorders>
          </w:tcPr>
          <w:p>
            <w:pPr>
              <w:rPr>
                <w:sz w:val="2"/>
                <w:szCs w:val="2"/>
              </w:rPr>
            </w:pPr>
          </w:p>
        </w:tc>
        <w:tc>
          <w:tcPr>
            <w:tcW w:w="1450" w:type="dxa"/>
          </w:tcPr>
          <w:p>
            <w:pPr>
              <w:pStyle w:val="TableParagraph"/>
              <w:spacing w:line="257" w:lineRule="exact" w:before="8"/>
              <w:ind w:left="180" w:right="169"/>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029" w:type="dxa"/>
          </w:tcPr>
          <w:p>
            <w:pPr>
              <w:pStyle w:val="TableParagraph"/>
              <w:spacing w:before="22"/>
              <w:ind w:left="84" w:right="76"/>
              <w:rPr>
                <w:rFonts w:ascii="Times New Roman"/>
                <w:sz w:val="21"/>
              </w:rPr>
            </w:pPr>
            <w:r>
              <w:rPr>
                <w:rFonts w:ascii="Times New Roman"/>
                <w:sz w:val="21"/>
              </w:rPr>
              <w:t>0.0245</w:t>
            </w:r>
          </w:p>
        </w:tc>
        <w:tc>
          <w:tcPr>
            <w:tcW w:w="1205" w:type="dxa"/>
          </w:tcPr>
          <w:p>
            <w:pPr>
              <w:pStyle w:val="TableParagraph"/>
              <w:spacing w:before="22"/>
              <w:ind w:left="53" w:right="42"/>
              <w:rPr>
                <w:rFonts w:ascii="Times New Roman"/>
                <w:sz w:val="21"/>
              </w:rPr>
            </w:pPr>
            <w:r>
              <w:rPr>
                <w:rFonts w:ascii="Times New Roman"/>
                <w:sz w:val="21"/>
              </w:rPr>
              <w:t>0.0335</w:t>
            </w:r>
          </w:p>
        </w:tc>
        <w:tc>
          <w:tcPr>
            <w:tcW w:w="1207" w:type="dxa"/>
          </w:tcPr>
          <w:p>
            <w:pPr>
              <w:pStyle w:val="TableParagraph"/>
              <w:spacing w:before="22"/>
              <w:ind w:left="176" w:right="162"/>
              <w:rPr>
                <w:rFonts w:ascii="Times New Roman"/>
                <w:sz w:val="21"/>
              </w:rPr>
            </w:pPr>
            <w:r>
              <w:rPr>
                <w:rFonts w:ascii="Times New Roman"/>
                <w:sz w:val="21"/>
              </w:rPr>
              <w:t>0.0335</w:t>
            </w:r>
          </w:p>
        </w:tc>
        <w:tc>
          <w:tcPr>
            <w:tcW w:w="1210" w:type="dxa"/>
          </w:tcPr>
          <w:p>
            <w:pPr>
              <w:pStyle w:val="TableParagraph"/>
              <w:spacing w:before="22"/>
              <w:ind w:left="165" w:right="154"/>
              <w:rPr>
                <w:rFonts w:ascii="Times New Roman"/>
                <w:sz w:val="21"/>
              </w:rPr>
            </w:pPr>
            <w:r>
              <w:rPr>
                <w:rFonts w:ascii="Times New Roman"/>
                <w:sz w:val="21"/>
              </w:rPr>
              <w:t>0.0312</w:t>
            </w:r>
          </w:p>
        </w:tc>
        <w:tc>
          <w:tcPr>
            <w:tcW w:w="828" w:type="dxa"/>
          </w:tcPr>
          <w:p>
            <w:pPr>
              <w:pStyle w:val="TableParagraph"/>
              <w:spacing w:before="22"/>
              <w:ind w:left="53" w:right="38"/>
              <w:rPr>
                <w:rFonts w:ascii="Times New Roman"/>
                <w:sz w:val="21"/>
              </w:rPr>
            </w:pPr>
            <w:r>
              <w:rPr>
                <w:rFonts w:ascii="Times New Roman"/>
                <w:sz w:val="21"/>
              </w:rPr>
              <w:t>0.77</w:t>
            </w:r>
          </w:p>
        </w:tc>
      </w:tr>
      <w:tr>
        <w:trPr>
          <w:trHeight w:val="513" w:hRule="atLeast"/>
        </w:trPr>
        <w:tc>
          <w:tcPr>
            <w:tcW w:w="2799" w:type="dxa"/>
            <w:gridSpan w:val="3"/>
          </w:tcPr>
          <w:p>
            <w:pPr>
              <w:pStyle w:val="TableParagraph"/>
              <w:spacing w:before="121"/>
              <w:ind w:left="956" w:right="945"/>
              <w:rPr>
                <w:sz w:val="21"/>
              </w:rPr>
            </w:pPr>
            <w:r>
              <w:rPr>
                <w:sz w:val="21"/>
              </w:rPr>
              <w:t>臭气浓度</w:t>
            </w:r>
          </w:p>
        </w:tc>
        <w:tc>
          <w:tcPr>
            <w:tcW w:w="1010" w:type="dxa"/>
          </w:tcPr>
          <w:p>
            <w:pPr>
              <w:pStyle w:val="TableParagraph"/>
              <w:spacing w:before="121"/>
              <w:ind w:left="53" w:right="41"/>
              <w:rPr>
                <w:sz w:val="21"/>
              </w:rPr>
            </w:pPr>
            <w:r>
              <w:rPr>
                <w:sz w:val="21"/>
              </w:rPr>
              <w:t>无量纲</w:t>
            </w:r>
          </w:p>
        </w:tc>
        <w:tc>
          <w:tcPr>
            <w:tcW w:w="1029" w:type="dxa"/>
          </w:tcPr>
          <w:p>
            <w:pPr>
              <w:pStyle w:val="TableParagraph"/>
              <w:spacing w:before="135"/>
              <w:ind w:left="84" w:right="76"/>
              <w:rPr>
                <w:rFonts w:ascii="Times New Roman"/>
                <w:sz w:val="21"/>
              </w:rPr>
            </w:pPr>
            <w:r>
              <w:rPr>
                <w:rFonts w:ascii="Times New Roman"/>
                <w:sz w:val="21"/>
              </w:rPr>
              <w:t>550</w:t>
            </w:r>
          </w:p>
        </w:tc>
        <w:tc>
          <w:tcPr>
            <w:tcW w:w="1205" w:type="dxa"/>
          </w:tcPr>
          <w:p>
            <w:pPr>
              <w:pStyle w:val="TableParagraph"/>
              <w:spacing w:before="135"/>
              <w:ind w:left="53" w:right="42"/>
              <w:rPr>
                <w:rFonts w:ascii="Times New Roman"/>
                <w:sz w:val="21"/>
              </w:rPr>
            </w:pPr>
            <w:r>
              <w:rPr>
                <w:rFonts w:ascii="Times New Roman"/>
                <w:sz w:val="21"/>
              </w:rPr>
              <w:t>733</w:t>
            </w:r>
          </w:p>
        </w:tc>
        <w:tc>
          <w:tcPr>
            <w:tcW w:w="1207" w:type="dxa"/>
          </w:tcPr>
          <w:p>
            <w:pPr>
              <w:pStyle w:val="TableParagraph"/>
              <w:spacing w:before="135"/>
              <w:ind w:left="176" w:right="162"/>
              <w:rPr>
                <w:rFonts w:ascii="Times New Roman"/>
                <w:sz w:val="21"/>
              </w:rPr>
            </w:pPr>
            <w:r>
              <w:rPr>
                <w:rFonts w:ascii="Times New Roman"/>
                <w:sz w:val="21"/>
              </w:rPr>
              <w:t>550</w:t>
            </w:r>
          </w:p>
        </w:tc>
        <w:tc>
          <w:tcPr>
            <w:tcW w:w="1210" w:type="dxa"/>
          </w:tcPr>
          <w:p>
            <w:pPr>
              <w:pStyle w:val="TableParagraph"/>
              <w:spacing w:line="269" w:lineRule="exact" w:before="3"/>
              <w:ind w:left="165" w:right="154"/>
              <w:rPr>
                <w:sz w:val="21"/>
              </w:rPr>
            </w:pPr>
            <w:r>
              <w:rPr>
                <w:sz w:val="21"/>
              </w:rPr>
              <w:t>最大值：</w:t>
            </w:r>
          </w:p>
          <w:p>
            <w:pPr>
              <w:pStyle w:val="TableParagraph"/>
              <w:spacing w:line="221" w:lineRule="exact"/>
              <w:ind w:left="165" w:right="154"/>
              <w:rPr>
                <w:rFonts w:ascii="Times New Roman"/>
                <w:sz w:val="21"/>
              </w:rPr>
            </w:pPr>
            <w:r>
              <w:rPr>
                <w:rFonts w:ascii="Times New Roman"/>
                <w:sz w:val="21"/>
              </w:rPr>
              <w:t>733</w:t>
            </w:r>
          </w:p>
        </w:tc>
        <w:tc>
          <w:tcPr>
            <w:tcW w:w="828" w:type="dxa"/>
          </w:tcPr>
          <w:p>
            <w:pPr>
              <w:pStyle w:val="TableParagraph"/>
              <w:spacing w:before="135"/>
              <w:ind w:left="53" w:right="38"/>
              <w:rPr>
                <w:rFonts w:ascii="Times New Roman"/>
                <w:sz w:val="21"/>
              </w:rPr>
            </w:pPr>
            <w:r>
              <w:rPr>
                <w:rFonts w:ascii="Times New Roman"/>
                <w:sz w:val="21"/>
              </w:rPr>
              <w:t>2000</w:t>
            </w:r>
          </w:p>
        </w:tc>
      </w:tr>
    </w:tbl>
    <w:p>
      <w:pPr>
        <w:spacing w:after="0"/>
        <w:rPr>
          <w:rFonts w:ascii="Times New Roman"/>
          <w:sz w:val="21"/>
        </w:rPr>
        <w:sectPr>
          <w:pgSz w:w="11910" w:h="16850"/>
          <w:pgMar w:header="730" w:footer="690" w:top="1340" w:bottom="880" w:left="1200" w:right="1180"/>
        </w:sectPr>
      </w:pPr>
    </w:p>
    <w:p>
      <w:pPr>
        <w:pStyle w:val="BodyText"/>
        <w:spacing w:before="9"/>
        <w:rPr>
          <w:rFonts w:ascii="Times New Roman"/>
          <w:sz w:val="26"/>
        </w:rPr>
      </w:pPr>
    </w:p>
    <w:p>
      <w:pPr>
        <w:tabs>
          <w:tab w:pos="1363" w:val="left" w:leader="none"/>
        </w:tabs>
        <w:spacing w:before="74" w:after="29"/>
        <w:ind w:left="141" w:right="0" w:firstLine="0"/>
        <w:jc w:val="center"/>
        <w:rPr>
          <w:b/>
          <w:sz w:val="24"/>
        </w:rPr>
      </w:pPr>
      <w:r>
        <w:rPr>
          <w:b/>
          <w:sz w:val="24"/>
        </w:rPr>
        <w:t>表</w:t>
      </w:r>
      <w:r>
        <w:rPr>
          <w:b/>
          <w:spacing w:val="-60"/>
          <w:sz w:val="24"/>
        </w:rPr>
        <w:t> </w:t>
      </w:r>
      <w:r>
        <w:rPr>
          <w:rFonts w:ascii="Times New Roman" w:eastAsia="Times New Roman"/>
          <w:b/>
          <w:sz w:val="24"/>
        </w:rPr>
        <w:t>3.4.1-4</w:t>
        <w:tab/>
      </w:r>
      <w:r>
        <w:rPr>
          <w:b/>
          <w:sz w:val="24"/>
        </w:rPr>
        <w:t>含氢废气处</w:t>
      </w:r>
      <w:r>
        <w:rPr>
          <w:b/>
          <w:spacing w:val="3"/>
          <w:sz w:val="24"/>
        </w:rPr>
        <w:t>理</w:t>
      </w:r>
      <w:r>
        <w:rPr>
          <w:b/>
          <w:sz w:val="24"/>
        </w:rPr>
        <w:t>装置废气监测结果</w:t>
      </w: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9"/>
        <w:gridCol w:w="1070"/>
        <w:gridCol w:w="952"/>
        <w:gridCol w:w="1375"/>
        <w:gridCol w:w="1002"/>
        <w:gridCol w:w="1009"/>
        <w:gridCol w:w="1182"/>
        <w:gridCol w:w="1182"/>
        <w:gridCol w:w="1026"/>
        <w:gridCol w:w="940"/>
        <w:gridCol w:w="1181"/>
        <w:gridCol w:w="940"/>
        <w:gridCol w:w="1182"/>
      </w:tblGrid>
      <w:tr>
        <w:trPr>
          <w:trHeight w:val="282" w:hRule="atLeast"/>
        </w:trPr>
        <w:tc>
          <w:tcPr>
            <w:tcW w:w="1169" w:type="dxa"/>
            <w:vMerge w:val="restart"/>
          </w:tcPr>
          <w:p>
            <w:pPr>
              <w:pStyle w:val="TableParagraph"/>
              <w:jc w:val="left"/>
              <w:rPr>
                <w:b/>
                <w:sz w:val="21"/>
              </w:rPr>
            </w:pPr>
          </w:p>
          <w:p>
            <w:pPr>
              <w:pStyle w:val="TableParagraph"/>
              <w:ind w:left="266"/>
              <w:jc w:val="left"/>
              <w:rPr>
                <w:b/>
                <w:sz w:val="21"/>
              </w:rPr>
            </w:pPr>
            <w:r>
              <w:rPr>
                <w:b/>
                <w:sz w:val="21"/>
              </w:rPr>
              <w:t>采样点</w:t>
            </w:r>
          </w:p>
        </w:tc>
        <w:tc>
          <w:tcPr>
            <w:tcW w:w="1070" w:type="dxa"/>
            <w:vMerge w:val="restart"/>
          </w:tcPr>
          <w:p>
            <w:pPr>
              <w:pStyle w:val="TableParagraph"/>
              <w:spacing w:before="133"/>
              <w:ind w:left="112"/>
              <w:jc w:val="left"/>
              <w:rPr>
                <w:b/>
                <w:sz w:val="21"/>
              </w:rPr>
            </w:pPr>
            <w:r>
              <w:rPr>
                <w:b/>
                <w:sz w:val="21"/>
              </w:rPr>
              <w:t>废气温度</w:t>
            </w:r>
          </w:p>
          <w:p>
            <w:pPr>
              <w:pStyle w:val="TableParagraph"/>
              <w:spacing w:before="2"/>
              <w:ind w:left="208"/>
              <w:jc w:val="left"/>
              <w:rPr>
                <w:b/>
                <w:sz w:val="21"/>
              </w:rPr>
            </w:pPr>
            <w:r>
              <w:rPr>
                <w:b/>
                <w:sz w:val="21"/>
              </w:rPr>
              <w:t>（</w:t>
            </w:r>
            <w:r>
              <w:rPr>
                <w:rFonts w:ascii="Times New Roman" w:hAnsi="Times New Roman" w:eastAsia="Times New Roman"/>
                <w:b/>
                <w:sz w:val="21"/>
              </w:rPr>
              <w:t>℃</w:t>
            </w:r>
            <w:r>
              <w:rPr>
                <w:b/>
                <w:sz w:val="21"/>
              </w:rPr>
              <w:t>）</w:t>
            </w:r>
          </w:p>
        </w:tc>
        <w:tc>
          <w:tcPr>
            <w:tcW w:w="952" w:type="dxa"/>
            <w:vMerge w:val="restart"/>
          </w:tcPr>
          <w:p>
            <w:pPr>
              <w:pStyle w:val="TableParagraph"/>
              <w:spacing w:before="133"/>
              <w:ind w:left="86" w:right="77"/>
              <w:rPr>
                <w:b/>
                <w:sz w:val="21"/>
              </w:rPr>
            </w:pPr>
            <w:r>
              <w:rPr>
                <w:b/>
                <w:sz w:val="21"/>
              </w:rPr>
              <w:t>流速</w:t>
            </w:r>
          </w:p>
          <w:p>
            <w:pPr>
              <w:pStyle w:val="TableParagraph"/>
              <w:spacing w:before="2"/>
              <w:ind w:left="88" w:right="77"/>
              <w:rPr>
                <w:b/>
                <w:sz w:val="21"/>
              </w:rPr>
            </w:pPr>
            <w:r>
              <w:rPr>
                <w:b/>
                <w:sz w:val="21"/>
              </w:rPr>
              <w:t>（</w:t>
            </w:r>
            <w:r>
              <w:rPr>
                <w:rFonts w:ascii="Times New Roman" w:eastAsia="Times New Roman"/>
                <w:b/>
                <w:sz w:val="21"/>
              </w:rPr>
              <w:t>m/s</w:t>
            </w:r>
            <w:r>
              <w:rPr>
                <w:b/>
                <w:sz w:val="21"/>
              </w:rPr>
              <w:t>）</w:t>
            </w:r>
          </w:p>
        </w:tc>
        <w:tc>
          <w:tcPr>
            <w:tcW w:w="1375" w:type="dxa"/>
            <w:vMerge w:val="restart"/>
          </w:tcPr>
          <w:p>
            <w:pPr>
              <w:pStyle w:val="TableParagraph"/>
              <w:jc w:val="left"/>
              <w:rPr>
                <w:b/>
                <w:sz w:val="21"/>
              </w:rPr>
            </w:pPr>
          </w:p>
          <w:p>
            <w:pPr>
              <w:pStyle w:val="TableParagraph"/>
              <w:ind w:left="109" w:right="-15"/>
              <w:jc w:val="left"/>
              <w:rPr>
                <w:b/>
                <w:sz w:val="21"/>
              </w:rPr>
            </w:pPr>
            <w:r>
              <w:rPr>
                <w:b/>
                <w:sz w:val="21"/>
              </w:rPr>
              <w:t>含湿量</w:t>
            </w:r>
            <w:r>
              <w:rPr>
                <w:b/>
                <w:spacing w:val="-6"/>
                <w:sz w:val="21"/>
              </w:rPr>
              <w:t>（</w:t>
            </w:r>
            <w:r>
              <w:rPr>
                <w:rFonts w:ascii="Times New Roman" w:eastAsia="Times New Roman"/>
                <w:b/>
                <w:spacing w:val="-6"/>
                <w:sz w:val="21"/>
              </w:rPr>
              <w:t>%</w:t>
            </w:r>
            <w:r>
              <w:rPr>
                <w:b/>
                <w:spacing w:val="-6"/>
                <w:sz w:val="21"/>
              </w:rPr>
              <w:t>）</w:t>
            </w:r>
          </w:p>
        </w:tc>
        <w:tc>
          <w:tcPr>
            <w:tcW w:w="1002" w:type="dxa"/>
            <w:vMerge w:val="restart"/>
          </w:tcPr>
          <w:p>
            <w:pPr>
              <w:pStyle w:val="TableParagraph"/>
              <w:spacing w:before="133"/>
              <w:ind w:left="186"/>
              <w:jc w:val="left"/>
              <w:rPr>
                <w:b/>
                <w:sz w:val="21"/>
              </w:rPr>
            </w:pPr>
            <w:r>
              <w:rPr>
                <w:b/>
                <w:sz w:val="21"/>
              </w:rPr>
              <w:t>含氧量</w:t>
            </w:r>
          </w:p>
          <w:p>
            <w:pPr>
              <w:pStyle w:val="TableParagraph"/>
              <w:spacing w:before="2"/>
              <w:ind w:left="186"/>
              <w:jc w:val="left"/>
              <w:rPr>
                <w:b/>
                <w:sz w:val="21"/>
              </w:rPr>
            </w:pPr>
            <w:r>
              <w:rPr>
                <w:b/>
                <w:sz w:val="21"/>
              </w:rPr>
              <w:t>（</w:t>
            </w:r>
            <w:r>
              <w:rPr>
                <w:rFonts w:ascii="Times New Roman" w:eastAsia="Times New Roman"/>
                <w:b/>
                <w:sz w:val="21"/>
              </w:rPr>
              <w:t>%</w:t>
            </w:r>
            <w:r>
              <w:rPr>
                <w:b/>
                <w:sz w:val="21"/>
              </w:rPr>
              <w:t>）</w:t>
            </w:r>
          </w:p>
        </w:tc>
        <w:tc>
          <w:tcPr>
            <w:tcW w:w="1009" w:type="dxa"/>
            <w:vMerge w:val="restart"/>
          </w:tcPr>
          <w:p>
            <w:pPr>
              <w:pStyle w:val="TableParagraph"/>
              <w:jc w:val="left"/>
              <w:rPr>
                <w:b/>
                <w:sz w:val="21"/>
              </w:rPr>
            </w:pPr>
          </w:p>
          <w:p>
            <w:pPr>
              <w:pStyle w:val="TableParagraph"/>
              <w:ind w:left="295"/>
              <w:jc w:val="left"/>
              <w:rPr>
                <w:b/>
                <w:sz w:val="21"/>
              </w:rPr>
            </w:pPr>
            <w:r>
              <w:rPr>
                <w:b/>
                <w:sz w:val="21"/>
              </w:rPr>
              <w:t>频次</w:t>
            </w:r>
          </w:p>
        </w:tc>
        <w:tc>
          <w:tcPr>
            <w:tcW w:w="1182" w:type="dxa"/>
            <w:vMerge w:val="restart"/>
          </w:tcPr>
          <w:p>
            <w:pPr>
              <w:pStyle w:val="TableParagraph"/>
              <w:spacing w:line="268" w:lineRule="exact" w:before="147"/>
              <w:ind w:left="115" w:right="97"/>
              <w:rPr>
                <w:b/>
                <w:sz w:val="21"/>
              </w:rPr>
            </w:pPr>
            <w:r>
              <w:rPr>
                <w:b/>
                <w:sz w:val="21"/>
              </w:rPr>
              <w:t>标干流量</w:t>
            </w:r>
          </w:p>
          <w:p>
            <w:pPr>
              <w:pStyle w:val="TableParagraph"/>
              <w:spacing w:line="245" w:lineRule="exact"/>
              <w:ind w:left="115" w:right="97"/>
              <w:rPr>
                <w:rFonts w:ascii="Times New Roman"/>
                <w:b/>
                <w:sz w:val="21"/>
              </w:rPr>
            </w:pPr>
            <w:r>
              <w:rPr>
                <w:rFonts w:ascii="Times New Roman"/>
                <w:b/>
                <w:sz w:val="21"/>
              </w:rPr>
              <w:t>(m</w:t>
            </w:r>
            <w:r>
              <w:rPr>
                <w:rFonts w:ascii="Times New Roman"/>
                <w:b/>
                <w:position w:val="7"/>
                <w:sz w:val="14"/>
              </w:rPr>
              <w:t>3</w:t>
            </w:r>
            <w:r>
              <w:rPr>
                <w:rFonts w:ascii="Times New Roman"/>
                <w:b/>
                <w:sz w:val="21"/>
              </w:rPr>
              <w:t>/h)</w:t>
            </w:r>
          </w:p>
        </w:tc>
        <w:tc>
          <w:tcPr>
            <w:tcW w:w="2208" w:type="dxa"/>
            <w:gridSpan w:val="2"/>
          </w:tcPr>
          <w:p>
            <w:pPr>
              <w:pStyle w:val="TableParagraph"/>
              <w:spacing w:line="257" w:lineRule="exact" w:before="5"/>
              <w:ind w:left="111" w:right="-29"/>
              <w:jc w:val="left"/>
              <w:rPr>
                <w:b/>
                <w:sz w:val="21"/>
              </w:rPr>
            </w:pPr>
            <w:r>
              <w:rPr>
                <w:b/>
                <w:spacing w:val="-11"/>
                <w:sz w:val="21"/>
              </w:rPr>
              <w:t>非甲烷总烃</w:t>
            </w:r>
            <w:r>
              <w:rPr>
                <w:b/>
                <w:sz w:val="21"/>
              </w:rPr>
              <w:t>（</w:t>
            </w:r>
            <w:r>
              <w:rPr>
                <w:b/>
                <w:spacing w:val="-27"/>
                <w:sz w:val="21"/>
              </w:rPr>
              <w:t>以 </w:t>
            </w:r>
            <w:r>
              <w:rPr>
                <w:rFonts w:ascii="Times New Roman" w:eastAsia="Times New Roman"/>
                <w:b/>
                <w:sz w:val="21"/>
              </w:rPr>
              <w:t>C</w:t>
            </w:r>
            <w:r>
              <w:rPr>
                <w:rFonts w:ascii="Times New Roman" w:eastAsia="Times New Roman"/>
                <w:b/>
                <w:spacing w:val="1"/>
                <w:sz w:val="21"/>
              </w:rPr>
              <w:t> </w:t>
            </w:r>
            <w:r>
              <w:rPr>
                <w:b/>
                <w:sz w:val="21"/>
              </w:rPr>
              <w:t>计）</w:t>
            </w:r>
          </w:p>
        </w:tc>
        <w:tc>
          <w:tcPr>
            <w:tcW w:w="2121" w:type="dxa"/>
            <w:gridSpan w:val="2"/>
          </w:tcPr>
          <w:p>
            <w:pPr>
              <w:pStyle w:val="TableParagraph"/>
              <w:spacing w:line="257" w:lineRule="exact" w:before="5"/>
              <w:ind w:left="647"/>
              <w:jc w:val="left"/>
              <w:rPr>
                <w:b/>
                <w:sz w:val="21"/>
              </w:rPr>
            </w:pPr>
            <w:r>
              <w:rPr>
                <w:b/>
                <w:sz w:val="21"/>
              </w:rPr>
              <w:t>硝基苯类</w:t>
            </w:r>
          </w:p>
        </w:tc>
        <w:tc>
          <w:tcPr>
            <w:tcW w:w="2122" w:type="dxa"/>
            <w:gridSpan w:val="2"/>
          </w:tcPr>
          <w:p>
            <w:pPr>
              <w:pStyle w:val="TableParagraph"/>
              <w:spacing w:line="257" w:lineRule="exact" w:before="5"/>
              <w:ind w:left="734" w:right="705"/>
              <w:rPr>
                <w:b/>
                <w:sz w:val="21"/>
              </w:rPr>
            </w:pPr>
            <w:r>
              <w:rPr>
                <w:b/>
                <w:sz w:val="21"/>
              </w:rPr>
              <w:t>苯胺类</w:t>
            </w:r>
          </w:p>
        </w:tc>
      </w:tr>
      <w:tr>
        <w:trPr>
          <w:trHeight w:val="515" w:hRule="atLeast"/>
        </w:trPr>
        <w:tc>
          <w:tcPr>
            <w:tcW w:w="1169" w:type="dxa"/>
            <w:vMerge/>
            <w:tcBorders>
              <w:top w:val="nil"/>
            </w:tcBorders>
          </w:tcPr>
          <w:p>
            <w:pPr>
              <w:rPr>
                <w:sz w:val="2"/>
                <w:szCs w:val="2"/>
              </w:rPr>
            </w:pPr>
          </w:p>
        </w:tc>
        <w:tc>
          <w:tcPr>
            <w:tcW w:w="1070" w:type="dxa"/>
            <w:vMerge/>
            <w:tcBorders>
              <w:top w:val="nil"/>
            </w:tcBorders>
          </w:tcPr>
          <w:p>
            <w:pPr>
              <w:rPr>
                <w:sz w:val="2"/>
                <w:szCs w:val="2"/>
              </w:rPr>
            </w:pPr>
          </w:p>
        </w:tc>
        <w:tc>
          <w:tcPr>
            <w:tcW w:w="952" w:type="dxa"/>
            <w:vMerge/>
            <w:tcBorders>
              <w:top w:val="nil"/>
            </w:tcBorders>
          </w:tcPr>
          <w:p>
            <w:pPr>
              <w:rPr>
                <w:sz w:val="2"/>
                <w:szCs w:val="2"/>
              </w:rPr>
            </w:pPr>
          </w:p>
        </w:tc>
        <w:tc>
          <w:tcPr>
            <w:tcW w:w="1375" w:type="dxa"/>
            <w:vMerge/>
            <w:tcBorders>
              <w:top w:val="nil"/>
            </w:tcBorders>
          </w:tcPr>
          <w:p>
            <w:pPr>
              <w:rPr>
                <w:sz w:val="2"/>
                <w:szCs w:val="2"/>
              </w:rPr>
            </w:pPr>
          </w:p>
        </w:tc>
        <w:tc>
          <w:tcPr>
            <w:tcW w:w="1002" w:type="dxa"/>
            <w:vMerge/>
            <w:tcBorders>
              <w:top w:val="nil"/>
            </w:tcBorders>
          </w:tcPr>
          <w:p>
            <w:pPr>
              <w:rPr>
                <w:sz w:val="2"/>
                <w:szCs w:val="2"/>
              </w:rPr>
            </w:pPr>
          </w:p>
        </w:tc>
        <w:tc>
          <w:tcPr>
            <w:tcW w:w="1009" w:type="dxa"/>
            <w:vMerge/>
            <w:tcBorders>
              <w:top w:val="nil"/>
            </w:tcBorders>
          </w:tcPr>
          <w:p>
            <w:pPr>
              <w:rPr>
                <w:sz w:val="2"/>
                <w:szCs w:val="2"/>
              </w:rPr>
            </w:pPr>
          </w:p>
        </w:tc>
        <w:tc>
          <w:tcPr>
            <w:tcW w:w="1182" w:type="dxa"/>
            <w:vMerge/>
            <w:tcBorders>
              <w:top w:val="nil"/>
            </w:tcBorders>
          </w:tcPr>
          <w:p>
            <w:pPr>
              <w:rPr>
                <w:sz w:val="2"/>
                <w:szCs w:val="2"/>
              </w:rPr>
            </w:pPr>
          </w:p>
        </w:tc>
        <w:tc>
          <w:tcPr>
            <w:tcW w:w="1182" w:type="dxa"/>
          </w:tcPr>
          <w:p>
            <w:pPr>
              <w:pStyle w:val="TableParagraph"/>
              <w:spacing w:line="269" w:lineRule="exact" w:before="1"/>
              <w:ind w:left="113" w:right="97"/>
              <w:rPr>
                <w:b/>
                <w:sz w:val="21"/>
              </w:rPr>
            </w:pPr>
            <w:r>
              <w:rPr>
                <w:b/>
                <w:sz w:val="21"/>
              </w:rPr>
              <w:t>浓度</w:t>
            </w:r>
          </w:p>
          <w:p>
            <w:pPr>
              <w:pStyle w:val="TableParagraph"/>
              <w:spacing w:line="226" w:lineRule="exact"/>
              <w:ind w:left="118" w:right="97"/>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1026" w:type="dxa"/>
          </w:tcPr>
          <w:p>
            <w:pPr>
              <w:pStyle w:val="TableParagraph"/>
              <w:spacing w:before="1"/>
              <w:ind w:left="307"/>
              <w:jc w:val="left"/>
              <w:rPr>
                <w:b/>
                <w:sz w:val="21"/>
              </w:rPr>
            </w:pPr>
            <w:r>
              <w:rPr>
                <w:b/>
                <w:sz w:val="21"/>
              </w:rPr>
              <w:t>速率</w:t>
            </w:r>
          </w:p>
          <w:p>
            <w:pPr>
              <w:pStyle w:val="TableParagraph"/>
              <w:spacing w:line="221" w:lineRule="exact" w:before="4"/>
              <w:ind w:left="249"/>
              <w:jc w:val="left"/>
              <w:rPr>
                <w:rFonts w:ascii="Times New Roman"/>
                <w:b/>
                <w:sz w:val="21"/>
              </w:rPr>
            </w:pPr>
            <w:r>
              <w:rPr>
                <w:rFonts w:ascii="Times New Roman"/>
                <w:b/>
                <w:sz w:val="21"/>
              </w:rPr>
              <w:t>(kg/h)</w:t>
            </w:r>
          </w:p>
        </w:tc>
        <w:tc>
          <w:tcPr>
            <w:tcW w:w="940" w:type="dxa"/>
          </w:tcPr>
          <w:p>
            <w:pPr>
              <w:pStyle w:val="TableParagraph"/>
              <w:spacing w:line="269" w:lineRule="exact" w:before="1"/>
              <w:ind w:left="95" w:right="67"/>
              <w:rPr>
                <w:b/>
                <w:sz w:val="21"/>
              </w:rPr>
            </w:pPr>
            <w:r>
              <w:rPr>
                <w:b/>
                <w:sz w:val="21"/>
              </w:rPr>
              <w:t>浓度</w:t>
            </w:r>
          </w:p>
          <w:p>
            <w:pPr>
              <w:pStyle w:val="TableParagraph"/>
              <w:spacing w:line="226" w:lineRule="exact"/>
              <w:ind w:left="95" w:right="67"/>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1181" w:type="dxa"/>
          </w:tcPr>
          <w:p>
            <w:pPr>
              <w:pStyle w:val="TableParagraph"/>
              <w:spacing w:before="1"/>
              <w:ind w:left="389"/>
              <w:jc w:val="left"/>
              <w:rPr>
                <w:b/>
                <w:sz w:val="21"/>
              </w:rPr>
            </w:pPr>
            <w:r>
              <w:rPr>
                <w:b/>
                <w:sz w:val="21"/>
              </w:rPr>
              <w:t>速率</w:t>
            </w:r>
          </w:p>
          <w:p>
            <w:pPr>
              <w:pStyle w:val="TableParagraph"/>
              <w:spacing w:line="221" w:lineRule="exact" w:before="4"/>
              <w:ind w:left="331"/>
              <w:jc w:val="left"/>
              <w:rPr>
                <w:rFonts w:ascii="Times New Roman"/>
                <w:b/>
                <w:sz w:val="21"/>
              </w:rPr>
            </w:pPr>
            <w:r>
              <w:rPr>
                <w:rFonts w:ascii="Times New Roman"/>
                <w:b/>
                <w:sz w:val="21"/>
              </w:rPr>
              <w:t>(kg/h)</w:t>
            </w:r>
          </w:p>
        </w:tc>
        <w:tc>
          <w:tcPr>
            <w:tcW w:w="940" w:type="dxa"/>
          </w:tcPr>
          <w:p>
            <w:pPr>
              <w:pStyle w:val="TableParagraph"/>
              <w:spacing w:line="269" w:lineRule="exact" w:before="1"/>
              <w:ind w:left="97" w:right="67"/>
              <w:rPr>
                <w:b/>
                <w:sz w:val="21"/>
              </w:rPr>
            </w:pPr>
            <w:r>
              <w:rPr>
                <w:b/>
                <w:sz w:val="21"/>
              </w:rPr>
              <w:t>浓度</w:t>
            </w:r>
          </w:p>
          <w:p>
            <w:pPr>
              <w:pStyle w:val="TableParagraph"/>
              <w:spacing w:line="226" w:lineRule="exact"/>
              <w:ind w:left="97" w:right="66"/>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1182" w:type="dxa"/>
          </w:tcPr>
          <w:p>
            <w:pPr>
              <w:pStyle w:val="TableParagraph"/>
              <w:spacing w:before="1"/>
              <w:ind w:left="389"/>
              <w:jc w:val="left"/>
              <w:rPr>
                <w:b/>
                <w:sz w:val="21"/>
              </w:rPr>
            </w:pPr>
            <w:r>
              <w:rPr>
                <w:b/>
                <w:sz w:val="21"/>
              </w:rPr>
              <w:t>速率</w:t>
            </w:r>
          </w:p>
          <w:p>
            <w:pPr>
              <w:pStyle w:val="TableParagraph"/>
              <w:spacing w:line="221" w:lineRule="exact" w:before="4"/>
              <w:ind w:left="332"/>
              <w:jc w:val="left"/>
              <w:rPr>
                <w:rFonts w:ascii="Times New Roman"/>
                <w:b/>
                <w:sz w:val="21"/>
              </w:rPr>
            </w:pPr>
            <w:r>
              <w:rPr>
                <w:rFonts w:ascii="Times New Roman"/>
                <w:b/>
                <w:sz w:val="21"/>
              </w:rPr>
              <w:t>(kg/h)</w:t>
            </w:r>
          </w:p>
        </w:tc>
      </w:tr>
      <w:tr>
        <w:trPr>
          <w:trHeight w:val="282" w:hRule="atLeast"/>
        </w:trPr>
        <w:tc>
          <w:tcPr>
            <w:tcW w:w="1169" w:type="dxa"/>
            <w:vMerge w:val="restart"/>
          </w:tcPr>
          <w:p>
            <w:pPr>
              <w:pStyle w:val="TableParagraph"/>
              <w:spacing w:line="242" w:lineRule="auto" w:before="174"/>
              <w:ind w:left="163" w:right="151"/>
              <w:jc w:val="both"/>
              <w:rPr>
                <w:rFonts w:ascii="Times New Roman" w:eastAsia="Times New Roman"/>
                <w:sz w:val="21"/>
              </w:rPr>
            </w:pPr>
            <w:r>
              <w:rPr>
                <w:sz w:val="21"/>
              </w:rPr>
              <w:t>含氢废气处理装置出口 </w:t>
            </w:r>
            <w:r>
              <w:rPr>
                <w:rFonts w:ascii="Times New Roman" w:eastAsia="Times New Roman"/>
                <w:sz w:val="21"/>
              </w:rPr>
              <w:t>4#</w:t>
            </w:r>
          </w:p>
        </w:tc>
        <w:tc>
          <w:tcPr>
            <w:tcW w:w="1070" w:type="dxa"/>
          </w:tcPr>
          <w:p>
            <w:pPr>
              <w:pStyle w:val="TableParagraph"/>
              <w:spacing w:before="19"/>
              <w:ind w:left="124" w:right="119"/>
              <w:rPr>
                <w:rFonts w:ascii="Times New Roman"/>
                <w:sz w:val="21"/>
              </w:rPr>
            </w:pPr>
            <w:r>
              <w:rPr>
                <w:rFonts w:ascii="Times New Roman"/>
                <w:sz w:val="21"/>
              </w:rPr>
              <w:t>21</w:t>
            </w:r>
          </w:p>
        </w:tc>
        <w:tc>
          <w:tcPr>
            <w:tcW w:w="952" w:type="dxa"/>
          </w:tcPr>
          <w:p>
            <w:pPr>
              <w:pStyle w:val="TableParagraph"/>
              <w:spacing w:before="19"/>
              <w:ind w:right="331"/>
              <w:jc w:val="right"/>
              <w:rPr>
                <w:rFonts w:ascii="Times New Roman"/>
                <w:sz w:val="21"/>
              </w:rPr>
            </w:pPr>
            <w:r>
              <w:rPr>
                <w:rFonts w:ascii="Times New Roman"/>
                <w:sz w:val="21"/>
              </w:rPr>
              <w:t>2.0</w:t>
            </w:r>
          </w:p>
        </w:tc>
        <w:tc>
          <w:tcPr>
            <w:tcW w:w="1375" w:type="dxa"/>
          </w:tcPr>
          <w:p>
            <w:pPr>
              <w:pStyle w:val="TableParagraph"/>
              <w:spacing w:before="19"/>
              <w:ind w:right="488"/>
              <w:jc w:val="right"/>
              <w:rPr>
                <w:rFonts w:ascii="Times New Roman"/>
                <w:sz w:val="21"/>
              </w:rPr>
            </w:pPr>
            <w:r>
              <w:rPr>
                <w:rFonts w:ascii="Times New Roman"/>
                <w:sz w:val="21"/>
              </w:rPr>
              <w:t>20.5</w:t>
            </w:r>
          </w:p>
        </w:tc>
        <w:tc>
          <w:tcPr>
            <w:tcW w:w="1002" w:type="dxa"/>
          </w:tcPr>
          <w:p>
            <w:pPr>
              <w:pStyle w:val="TableParagraph"/>
              <w:spacing w:before="19"/>
              <w:ind w:left="299" w:right="284"/>
              <w:rPr>
                <w:rFonts w:ascii="Times New Roman"/>
                <w:sz w:val="21"/>
              </w:rPr>
            </w:pPr>
            <w:r>
              <w:rPr>
                <w:rFonts w:ascii="Times New Roman"/>
                <w:sz w:val="21"/>
              </w:rPr>
              <w:t>20.2</w:t>
            </w:r>
          </w:p>
        </w:tc>
        <w:tc>
          <w:tcPr>
            <w:tcW w:w="1009" w:type="dxa"/>
          </w:tcPr>
          <w:p>
            <w:pPr>
              <w:pStyle w:val="TableParagraph"/>
              <w:spacing w:line="257" w:lineRule="exact" w:before="6"/>
              <w:ind w:left="190"/>
              <w:jc w:val="left"/>
              <w:rPr>
                <w:sz w:val="21"/>
              </w:rPr>
            </w:pPr>
            <w:r>
              <w:rPr>
                <w:sz w:val="21"/>
              </w:rPr>
              <w:t>第一次</w:t>
            </w:r>
          </w:p>
        </w:tc>
        <w:tc>
          <w:tcPr>
            <w:tcW w:w="1182" w:type="dxa"/>
          </w:tcPr>
          <w:p>
            <w:pPr>
              <w:pStyle w:val="TableParagraph"/>
              <w:spacing w:before="19"/>
              <w:ind w:left="112" w:right="97"/>
              <w:rPr>
                <w:rFonts w:ascii="Times New Roman"/>
                <w:sz w:val="21"/>
              </w:rPr>
            </w:pPr>
            <w:r>
              <w:rPr>
                <w:rFonts w:ascii="Times New Roman"/>
                <w:sz w:val="21"/>
              </w:rPr>
              <w:t>112</w:t>
            </w:r>
          </w:p>
        </w:tc>
        <w:tc>
          <w:tcPr>
            <w:tcW w:w="1182" w:type="dxa"/>
          </w:tcPr>
          <w:p>
            <w:pPr>
              <w:pStyle w:val="TableParagraph"/>
              <w:spacing w:before="19"/>
              <w:ind w:left="118" w:right="97"/>
              <w:rPr>
                <w:rFonts w:ascii="Times New Roman"/>
                <w:sz w:val="21"/>
              </w:rPr>
            </w:pPr>
            <w:r>
              <w:rPr>
                <w:rFonts w:ascii="Times New Roman"/>
                <w:sz w:val="21"/>
              </w:rPr>
              <w:t>75.7</w:t>
            </w:r>
          </w:p>
        </w:tc>
        <w:tc>
          <w:tcPr>
            <w:tcW w:w="1026" w:type="dxa"/>
          </w:tcPr>
          <w:p>
            <w:pPr>
              <w:pStyle w:val="TableParagraph"/>
              <w:spacing w:before="15"/>
              <w:ind w:left="66" w:right="43"/>
              <w:rPr>
                <w:rFonts w:ascii="Times New Roman" w:hAnsi="Times New Roman"/>
                <w:sz w:val="14"/>
              </w:rPr>
            </w:pPr>
            <w:r>
              <w:rPr>
                <w:rFonts w:ascii="Times New Roman" w:hAnsi="Times New Roman"/>
                <w:sz w:val="21"/>
              </w:rPr>
              <w:t>8.48×10 </w:t>
            </w:r>
            <w:r>
              <w:rPr>
                <w:rFonts w:ascii="Times New Roman" w:hAnsi="Times New Roman"/>
                <w:position w:val="7"/>
                <w:sz w:val="14"/>
              </w:rPr>
              <w:t>-3</w:t>
            </w:r>
          </w:p>
        </w:tc>
        <w:tc>
          <w:tcPr>
            <w:tcW w:w="940" w:type="dxa"/>
          </w:tcPr>
          <w:p>
            <w:pPr>
              <w:pStyle w:val="TableParagraph"/>
              <w:spacing w:before="19"/>
              <w:ind w:left="347"/>
              <w:jc w:val="left"/>
              <w:rPr>
                <w:rFonts w:ascii="Times New Roman"/>
                <w:sz w:val="21"/>
              </w:rPr>
            </w:pPr>
            <w:r>
              <w:rPr>
                <w:rFonts w:ascii="Times New Roman"/>
                <w:sz w:val="21"/>
              </w:rPr>
              <w:t>9.2</w:t>
            </w:r>
          </w:p>
        </w:tc>
        <w:tc>
          <w:tcPr>
            <w:tcW w:w="1181" w:type="dxa"/>
          </w:tcPr>
          <w:p>
            <w:pPr>
              <w:pStyle w:val="TableParagraph"/>
              <w:spacing w:line="257" w:lineRule="exact" w:before="6"/>
              <w:ind w:left="181" w:right="149"/>
              <w:rPr>
                <w:rFonts w:ascii="Times New Roman" w:hAnsi="Times New Roman"/>
                <w:sz w:val="14"/>
              </w:rPr>
            </w:pPr>
            <w:r>
              <w:rPr>
                <w:rFonts w:ascii="Times New Roman" w:hAnsi="Times New Roman"/>
                <w:sz w:val="21"/>
              </w:rPr>
              <w:t>1.0</w:t>
            </w:r>
            <w:r>
              <w:rPr>
                <w:sz w:val="21"/>
              </w:rPr>
              <w:t>×</w:t>
            </w:r>
            <w:r>
              <w:rPr>
                <w:rFonts w:ascii="Times New Roman" w:hAnsi="Times New Roman"/>
                <w:sz w:val="21"/>
              </w:rPr>
              <w:t>10</w:t>
            </w:r>
            <w:r>
              <w:rPr>
                <w:rFonts w:ascii="Times New Roman" w:hAnsi="Times New Roman"/>
                <w:position w:val="7"/>
                <w:sz w:val="14"/>
              </w:rPr>
              <w:t>-3</w:t>
            </w:r>
          </w:p>
        </w:tc>
        <w:tc>
          <w:tcPr>
            <w:tcW w:w="940" w:type="dxa"/>
          </w:tcPr>
          <w:p>
            <w:pPr>
              <w:pStyle w:val="TableParagraph"/>
              <w:spacing w:before="19"/>
              <w:ind w:left="97" w:right="67"/>
              <w:rPr>
                <w:rFonts w:ascii="Times New Roman"/>
                <w:sz w:val="21"/>
              </w:rPr>
            </w:pPr>
            <w:r>
              <w:rPr>
                <w:rFonts w:ascii="Times New Roman"/>
                <w:sz w:val="21"/>
              </w:rPr>
              <w:t>2.28</w:t>
            </w:r>
          </w:p>
        </w:tc>
        <w:tc>
          <w:tcPr>
            <w:tcW w:w="1182" w:type="dxa"/>
          </w:tcPr>
          <w:p>
            <w:pPr>
              <w:pStyle w:val="TableParagraph"/>
              <w:spacing w:line="257" w:lineRule="exact" w:before="6"/>
              <w:ind w:left="129" w:right="97"/>
              <w:rPr>
                <w:rFonts w:ascii="Times New Roman" w:hAnsi="Times New Roman"/>
                <w:sz w:val="14"/>
              </w:rPr>
            </w:pPr>
            <w:r>
              <w:rPr>
                <w:rFonts w:ascii="Times New Roman" w:hAnsi="Times New Roman"/>
                <w:sz w:val="21"/>
              </w:rPr>
              <w:t>2.55</w:t>
            </w:r>
            <w:r>
              <w:rPr>
                <w:sz w:val="21"/>
              </w:rPr>
              <w:t>×</w:t>
            </w:r>
            <w:r>
              <w:rPr>
                <w:rFonts w:ascii="Times New Roman" w:hAnsi="Times New Roman"/>
                <w:sz w:val="21"/>
              </w:rPr>
              <w:t>10</w:t>
            </w:r>
            <w:r>
              <w:rPr>
                <w:rFonts w:ascii="Times New Roman" w:hAnsi="Times New Roman"/>
                <w:position w:val="7"/>
                <w:sz w:val="14"/>
              </w:rPr>
              <w:t>-4</w:t>
            </w:r>
          </w:p>
        </w:tc>
      </w:tr>
      <w:tr>
        <w:trPr>
          <w:trHeight w:val="285" w:hRule="atLeast"/>
        </w:trPr>
        <w:tc>
          <w:tcPr>
            <w:tcW w:w="1169" w:type="dxa"/>
            <w:vMerge/>
            <w:tcBorders>
              <w:top w:val="nil"/>
            </w:tcBorders>
          </w:tcPr>
          <w:p>
            <w:pPr>
              <w:rPr>
                <w:sz w:val="2"/>
                <w:szCs w:val="2"/>
              </w:rPr>
            </w:pPr>
          </w:p>
        </w:tc>
        <w:tc>
          <w:tcPr>
            <w:tcW w:w="1070" w:type="dxa"/>
          </w:tcPr>
          <w:p>
            <w:pPr>
              <w:pStyle w:val="TableParagraph"/>
              <w:spacing w:before="22"/>
              <w:ind w:left="124" w:right="119"/>
              <w:rPr>
                <w:rFonts w:ascii="Times New Roman"/>
                <w:sz w:val="21"/>
              </w:rPr>
            </w:pPr>
            <w:r>
              <w:rPr>
                <w:rFonts w:ascii="Times New Roman"/>
                <w:sz w:val="21"/>
              </w:rPr>
              <w:t>20</w:t>
            </w:r>
          </w:p>
        </w:tc>
        <w:tc>
          <w:tcPr>
            <w:tcW w:w="952" w:type="dxa"/>
          </w:tcPr>
          <w:p>
            <w:pPr>
              <w:pStyle w:val="TableParagraph"/>
              <w:spacing w:before="22"/>
              <w:ind w:right="331"/>
              <w:jc w:val="right"/>
              <w:rPr>
                <w:rFonts w:ascii="Times New Roman"/>
                <w:sz w:val="21"/>
              </w:rPr>
            </w:pPr>
            <w:r>
              <w:rPr>
                <w:rFonts w:ascii="Times New Roman"/>
                <w:sz w:val="21"/>
              </w:rPr>
              <w:t>1.9</w:t>
            </w:r>
          </w:p>
        </w:tc>
        <w:tc>
          <w:tcPr>
            <w:tcW w:w="1375" w:type="dxa"/>
          </w:tcPr>
          <w:p>
            <w:pPr>
              <w:pStyle w:val="TableParagraph"/>
              <w:spacing w:before="22"/>
              <w:ind w:right="488"/>
              <w:jc w:val="right"/>
              <w:rPr>
                <w:rFonts w:ascii="Times New Roman"/>
                <w:sz w:val="21"/>
              </w:rPr>
            </w:pPr>
            <w:r>
              <w:rPr>
                <w:rFonts w:ascii="Times New Roman"/>
                <w:sz w:val="21"/>
              </w:rPr>
              <w:t>20.4</w:t>
            </w:r>
          </w:p>
        </w:tc>
        <w:tc>
          <w:tcPr>
            <w:tcW w:w="1002" w:type="dxa"/>
          </w:tcPr>
          <w:p>
            <w:pPr>
              <w:pStyle w:val="TableParagraph"/>
              <w:spacing w:before="22"/>
              <w:ind w:left="299" w:right="284"/>
              <w:rPr>
                <w:rFonts w:ascii="Times New Roman"/>
                <w:sz w:val="21"/>
              </w:rPr>
            </w:pPr>
            <w:r>
              <w:rPr>
                <w:rFonts w:ascii="Times New Roman"/>
                <w:sz w:val="21"/>
              </w:rPr>
              <w:t>20.4</w:t>
            </w:r>
          </w:p>
        </w:tc>
        <w:tc>
          <w:tcPr>
            <w:tcW w:w="1009" w:type="dxa"/>
          </w:tcPr>
          <w:p>
            <w:pPr>
              <w:pStyle w:val="TableParagraph"/>
              <w:spacing w:line="257" w:lineRule="exact" w:before="8"/>
              <w:ind w:left="190"/>
              <w:jc w:val="left"/>
              <w:rPr>
                <w:sz w:val="21"/>
              </w:rPr>
            </w:pPr>
            <w:r>
              <w:rPr>
                <w:sz w:val="21"/>
              </w:rPr>
              <w:t>第二次</w:t>
            </w:r>
          </w:p>
        </w:tc>
        <w:tc>
          <w:tcPr>
            <w:tcW w:w="1182" w:type="dxa"/>
          </w:tcPr>
          <w:p>
            <w:pPr>
              <w:pStyle w:val="TableParagraph"/>
              <w:spacing w:before="22"/>
              <w:ind w:left="115" w:right="97"/>
              <w:rPr>
                <w:rFonts w:ascii="Times New Roman"/>
                <w:sz w:val="21"/>
              </w:rPr>
            </w:pPr>
            <w:r>
              <w:rPr>
                <w:rFonts w:ascii="Times New Roman"/>
                <w:sz w:val="21"/>
              </w:rPr>
              <w:t>106</w:t>
            </w:r>
          </w:p>
        </w:tc>
        <w:tc>
          <w:tcPr>
            <w:tcW w:w="1182" w:type="dxa"/>
          </w:tcPr>
          <w:p>
            <w:pPr>
              <w:pStyle w:val="TableParagraph"/>
              <w:spacing w:before="22"/>
              <w:ind w:left="118" w:right="97"/>
              <w:rPr>
                <w:rFonts w:ascii="Times New Roman"/>
                <w:sz w:val="21"/>
              </w:rPr>
            </w:pPr>
            <w:r>
              <w:rPr>
                <w:rFonts w:ascii="Times New Roman"/>
                <w:sz w:val="21"/>
              </w:rPr>
              <w:t>78.5</w:t>
            </w:r>
          </w:p>
        </w:tc>
        <w:tc>
          <w:tcPr>
            <w:tcW w:w="1026" w:type="dxa"/>
          </w:tcPr>
          <w:p>
            <w:pPr>
              <w:pStyle w:val="TableParagraph"/>
              <w:spacing w:before="17"/>
              <w:ind w:left="66" w:right="43"/>
              <w:rPr>
                <w:rFonts w:ascii="Times New Roman" w:hAnsi="Times New Roman"/>
                <w:sz w:val="14"/>
              </w:rPr>
            </w:pPr>
            <w:r>
              <w:rPr>
                <w:rFonts w:ascii="Times New Roman" w:hAnsi="Times New Roman"/>
                <w:sz w:val="21"/>
              </w:rPr>
              <w:t>8.32×10 </w:t>
            </w:r>
            <w:r>
              <w:rPr>
                <w:rFonts w:ascii="Times New Roman" w:hAnsi="Times New Roman"/>
                <w:position w:val="7"/>
                <w:sz w:val="14"/>
              </w:rPr>
              <w:t>-3</w:t>
            </w:r>
          </w:p>
        </w:tc>
        <w:tc>
          <w:tcPr>
            <w:tcW w:w="940" w:type="dxa"/>
          </w:tcPr>
          <w:p>
            <w:pPr>
              <w:pStyle w:val="TableParagraph"/>
              <w:spacing w:before="22"/>
              <w:ind w:left="347"/>
              <w:jc w:val="left"/>
              <w:rPr>
                <w:rFonts w:ascii="Times New Roman"/>
                <w:sz w:val="21"/>
              </w:rPr>
            </w:pPr>
            <w:r>
              <w:rPr>
                <w:rFonts w:ascii="Times New Roman"/>
                <w:sz w:val="21"/>
              </w:rPr>
              <w:t>9.5</w:t>
            </w:r>
          </w:p>
        </w:tc>
        <w:tc>
          <w:tcPr>
            <w:tcW w:w="1181" w:type="dxa"/>
          </w:tcPr>
          <w:p>
            <w:pPr>
              <w:pStyle w:val="TableParagraph"/>
              <w:spacing w:line="257" w:lineRule="exact" w:before="8"/>
              <w:ind w:left="181" w:right="149"/>
              <w:rPr>
                <w:rFonts w:ascii="Times New Roman" w:hAnsi="Times New Roman"/>
                <w:sz w:val="14"/>
              </w:rPr>
            </w:pPr>
            <w:r>
              <w:rPr>
                <w:rFonts w:ascii="Times New Roman" w:hAnsi="Times New Roman"/>
                <w:sz w:val="21"/>
              </w:rPr>
              <w:t>1.0</w:t>
            </w:r>
            <w:r>
              <w:rPr>
                <w:sz w:val="21"/>
              </w:rPr>
              <w:t>×</w:t>
            </w:r>
            <w:r>
              <w:rPr>
                <w:rFonts w:ascii="Times New Roman" w:hAnsi="Times New Roman"/>
                <w:sz w:val="21"/>
              </w:rPr>
              <w:t>10</w:t>
            </w:r>
            <w:r>
              <w:rPr>
                <w:rFonts w:ascii="Times New Roman" w:hAnsi="Times New Roman"/>
                <w:position w:val="7"/>
                <w:sz w:val="14"/>
              </w:rPr>
              <w:t>-3</w:t>
            </w:r>
          </w:p>
        </w:tc>
        <w:tc>
          <w:tcPr>
            <w:tcW w:w="940" w:type="dxa"/>
          </w:tcPr>
          <w:p>
            <w:pPr>
              <w:pStyle w:val="TableParagraph"/>
              <w:spacing w:before="22"/>
              <w:ind w:left="97" w:right="67"/>
              <w:rPr>
                <w:rFonts w:ascii="Times New Roman"/>
                <w:sz w:val="21"/>
              </w:rPr>
            </w:pPr>
            <w:r>
              <w:rPr>
                <w:rFonts w:ascii="Times New Roman"/>
                <w:sz w:val="21"/>
              </w:rPr>
              <w:t>1.18</w:t>
            </w:r>
          </w:p>
        </w:tc>
        <w:tc>
          <w:tcPr>
            <w:tcW w:w="1182" w:type="dxa"/>
          </w:tcPr>
          <w:p>
            <w:pPr>
              <w:pStyle w:val="TableParagraph"/>
              <w:spacing w:line="257" w:lineRule="exact" w:before="8"/>
              <w:ind w:left="129" w:right="97"/>
              <w:rPr>
                <w:rFonts w:ascii="Times New Roman" w:hAnsi="Times New Roman"/>
                <w:sz w:val="14"/>
              </w:rPr>
            </w:pPr>
            <w:r>
              <w:rPr>
                <w:rFonts w:ascii="Times New Roman" w:hAnsi="Times New Roman"/>
                <w:sz w:val="21"/>
              </w:rPr>
              <w:t>1.25</w:t>
            </w:r>
            <w:r>
              <w:rPr>
                <w:sz w:val="21"/>
              </w:rPr>
              <w:t>×</w:t>
            </w:r>
            <w:r>
              <w:rPr>
                <w:rFonts w:ascii="Times New Roman" w:hAnsi="Times New Roman"/>
                <w:sz w:val="21"/>
              </w:rPr>
              <w:t>10</w:t>
            </w:r>
            <w:r>
              <w:rPr>
                <w:rFonts w:ascii="Times New Roman" w:hAnsi="Times New Roman"/>
                <w:position w:val="7"/>
                <w:sz w:val="14"/>
              </w:rPr>
              <w:t>-4</w:t>
            </w:r>
          </w:p>
        </w:tc>
      </w:tr>
      <w:tr>
        <w:trPr>
          <w:trHeight w:val="282" w:hRule="atLeast"/>
        </w:trPr>
        <w:tc>
          <w:tcPr>
            <w:tcW w:w="1169" w:type="dxa"/>
            <w:vMerge/>
            <w:tcBorders>
              <w:top w:val="nil"/>
            </w:tcBorders>
          </w:tcPr>
          <w:p>
            <w:pPr>
              <w:rPr>
                <w:sz w:val="2"/>
                <w:szCs w:val="2"/>
              </w:rPr>
            </w:pPr>
          </w:p>
        </w:tc>
        <w:tc>
          <w:tcPr>
            <w:tcW w:w="1070" w:type="dxa"/>
          </w:tcPr>
          <w:p>
            <w:pPr>
              <w:pStyle w:val="TableParagraph"/>
              <w:spacing w:before="19"/>
              <w:ind w:left="124" w:right="119"/>
              <w:rPr>
                <w:rFonts w:ascii="Times New Roman"/>
                <w:sz w:val="21"/>
              </w:rPr>
            </w:pPr>
            <w:r>
              <w:rPr>
                <w:rFonts w:ascii="Times New Roman"/>
                <w:sz w:val="21"/>
              </w:rPr>
              <w:t>22</w:t>
            </w:r>
          </w:p>
        </w:tc>
        <w:tc>
          <w:tcPr>
            <w:tcW w:w="952" w:type="dxa"/>
          </w:tcPr>
          <w:p>
            <w:pPr>
              <w:pStyle w:val="TableParagraph"/>
              <w:spacing w:before="19"/>
              <w:ind w:right="331"/>
              <w:jc w:val="right"/>
              <w:rPr>
                <w:rFonts w:ascii="Times New Roman"/>
                <w:sz w:val="21"/>
              </w:rPr>
            </w:pPr>
            <w:r>
              <w:rPr>
                <w:rFonts w:ascii="Times New Roman"/>
                <w:sz w:val="21"/>
              </w:rPr>
              <w:t>1.9</w:t>
            </w:r>
          </w:p>
        </w:tc>
        <w:tc>
          <w:tcPr>
            <w:tcW w:w="1375" w:type="dxa"/>
          </w:tcPr>
          <w:p>
            <w:pPr>
              <w:pStyle w:val="TableParagraph"/>
              <w:spacing w:before="19"/>
              <w:ind w:right="488"/>
              <w:jc w:val="right"/>
              <w:rPr>
                <w:rFonts w:ascii="Times New Roman"/>
                <w:sz w:val="21"/>
              </w:rPr>
            </w:pPr>
            <w:r>
              <w:rPr>
                <w:rFonts w:ascii="Times New Roman"/>
                <w:sz w:val="21"/>
              </w:rPr>
              <w:t>20.4</w:t>
            </w:r>
          </w:p>
        </w:tc>
        <w:tc>
          <w:tcPr>
            <w:tcW w:w="1002" w:type="dxa"/>
          </w:tcPr>
          <w:p>
            <w:pPr>
              <w:pStyle w:val="TableParagraph"/>
              <w:spacing w:before="19"/>
              <w:ind w:left="299" w:right="284"/>
              <w:rPr>
                <w:rFonts w:ascii="Times New Roman"/>
                <w:sz w:val="21"/>
              </w:rPr>
            </w:pPr>
            <w:r>
              <w:rPr>
                <w:rFonts w:ascii="Times New Roman"/>
                <w:sz w:val="21"/>
              </w:rPr>
              <w:t>20.4</w:t>
            </w:r>
          </w:p>
        </w:tc>
        <w:tc>
          <w:tcPr>
            <w:tcW w:w="1009" w:type="dxa"/>
          </w:tcPr>
          <w:p>
            <w:pPr>
              <w:pStyle w:val="TableParagraph"/>
              <w:spacing w:line="257" w:lineRule="exact" w:before="6"/>
              <w:ind w:left="190"/>
              <w:jc w:val="left"/>
              <w:rPr>
                <w:sz w:val="21"/>
              </w:rPr>
            </w:pPr>
            <w:r>
              <w:rPr>
                <w:sz w:val="21"/>
              </w:rPr>
              <w:t>第三次</w:t>
            </w:r>
          </w:p>
        </w:tc>
        <w:tc>
          <w:tcPr>
            <w:tcW w:w="1182" w:type="dxa"/>
          </w:tcPr>
          <w:p>
            <w:pPr>
              <w:pStyle w:val="TableParagraph"/>
              <w:spacing w:before="19"/>
              <w:ind w:left="115" w:right="97"/>
              <w:rPr>
                <w:rFonts w:ascii="Times New Roman"/>
                <w:sz w:val="21"/>
              </w:rPr>
            </w:pPr>
            <w:r>
              <w:rPr>
                <w:rFonts w:ascii="Times New Roman"/>
                <w:sz w:val="21"/>
              </w:rPr>
              <w:t>105</w:t>
            </w:r>
          </w:p>
        </w:tc>
        <w:tc>
          <w:tcPr>
            <w:tcW w:w="1182" w:type="dxa"/>
          </w:tcPr>
          <w:p>
            <w:pPr>
              <w:pStyle w:val="TableParagraph"/>
              <w:spacing w:before="19"/>
              <w:ind w:left="118" w:right="97"/>
              <w:rPr>
                <w:rFonts w:ascii="Times New Roman"/>
                <w:sz w:val="21"/>
              </w:rPr>
            </w:pPr>
            <w:r>
              <w:rPr>
                <w:rFonts w:ascii="Times New Roman"/>
                <w:sz w:val="21"/>
              </w:rPr>
              <w:t>79.3</w:t>
            </w:r>
          </w:p>
        </w:tc>
        <w:tc>
          <w:tcPr>
            <w:tcW w:w="1026" w:type="dxa"/>
          </w:tcPr>
          <w:p>
            <w:pPr>
              <w:pStyle w:val="TableParagraph"/>
              <w:spacing w:before="15"/>
              <w:ind w:left="66" w:right="43"/>
              <w:rPr>
                <w:rFonts w:ascii="Times New Roman" w:hAnsi="Times New Roman"/>
                <w:sz w:val="14"/>
              </w:rPr>
            </w:pPr>
            <w:r>
              <w:rPr>
                <w:rFonts w:ascii="Times New Roman" w:hAnsi="Times New Roman"/>
                <w:sz w:val="21"/>
              </w:rPr>
              <w:t>8.33×10 </w:t>
            </w:r>
            <w:r>
              <w:rPr>
                <w:rFonts w:ascii="Times New Roman" w:hAnsi="Times New Roman"/>
                <w:position w:val="7"/>
                <w:sz w:val="14"/>
              </w:rPr>
              <w:t>-3</w:t>
            </w:r>
          </w:p>
        </w:tc>
        <w:tc>
          <w:tcPr>
            <w:tcW w:w="940" w:type="dxa"/>
          </w:tcPr>
          <w:p>
            <w:pPr>
              <w:pStyle w:val="TableParagraph"/>
              <w:spacing w:before="19"/>
              <w:ind w:left="347"/>
              <w:jc w:val="left"/>
              <w:rPr>
                <w:rFonts w:ascii="Times New Roman"/>
                <w:sz w:val="21"/>
              </w:rPr>
            </w:pPr>
            <w:r>
              <w:rPr>
                <w:rFonts w:ascii="Times New Roman"/>
                <w:sz w:val="21"/>
              </w:rPr>
              <w:t>9.0</w:t>
            </w:r>
          </w:p>
        </w:tc>
        <w:tc>
          <w:tcPr>
            <w:tcW w:w="1181" w:type="dxa"/>
          </w:tcPr>
          <w:p>
            <w:pPr>
              <w:pStyle w:val="TableParagraph"/>
              <w:spacing w:line="257" w:lineRule="exact" w:before="6"/>
              <w:ind w:left="181" w:right="149"/>
              <w:rPr>
                <w:rFonts w:ascii="Times New Roman" w:hAnsi="Times New Roman"/>
                <w:sz w:val="14"/>
              </w:rPr>
            </w:pPr>
            <w:r>
              <w:rPr>
                <w:rFonts w:ascii="Times New Roman" w:hAnsi="Times New Roman"/>
                <w:sz w:val="21"/>
              </w:rPr>
              <w:t>9.5</w:t>
            </w:r>
            <w:r>
              <w:rPr>
                <w:sz w:val="21"/>
              </w:rPr>
              <w:t>×</w:t>
            </w:r>
            <w:r>
              <w:rPr>
                <w:rFonts w:ascii="Times New Roman" w:hAnsi="Times New Roman"/>
                <w:sz w:val="21"/>
              </w:rPr>
              <w:t>10</w:t>
            </w:r>
            <w:r>
              <w:rPr>
                <w:rFonts w:ascii="Times New Roman" w:hAnsi="Times New Roman"/>
                <w:position w:val="7"/>
                <w:sz w:val="14"/>
              </w:rPr>
              <w:t>-4</w:t>
            </w:r>
          </w:p>
        </w:tc>
        <w:tc>
          <w:tcPr>
            <w:tcW w:w="940" w:type="dxa"/>
          </w:tcPr>
          <w:p>
            <w:pPr>
              <w:pStyle w:val="TableParagraph"/>
              <w:spacing w:before="19"/>
              <w:ind w:left="97" w:right="67"/>
              <w:rPr>
                <w:rFonts w:ascii="Times New Roman"/>
                <w:sz w:val="21"/>
              </w:rPr>
            </w:pPr>
            <w:r>
              <w:rPr>
                <w:rFonts w:ascii="Times New Roman"/>
                <w:sz w:val="21"/>
              </w:rPr>
              <w:t>2.02</w:t>
            </w:r>
          </w:p>
        </w:tc>
        <w:tc>
          <w:tcPr>
            <w:tcW w:w="1182" w:type="dxa"/>
          </w:tcPr>
          <w:p>
            <w:pPr>
              <w:pStyle w:val="TableParagraph"/>
              <w:spacing w:line="257" w:lineRule="exact" w:before="6"/>
              <w:ind w:left="129" w:right="97"/>
              <w:rPr>
                <w:rFonts w:ascii="Times New Roman" w:hAnsi="Times New Roman"/>
                <w:sz w:val="14"/>
              </w:rPr>
            </w:pPr>
            <w:r>
              <w:rPr>
                <w:rFonts w:ascii="Times New Roman" w:hAnsi="Times New Roman"/>
                <w:sz w:val="21"/>
              </w:rPr>
              <w:t>2.12</w:t>
            </w:r>
            <w:r>
              <w:rPr>
                <w:sz w:val="21"/>
              </w:rPr>
              <w:t>×</w:t>
            </w:r>
            <w:r>
              <w:rPr>
                <w:rFonts w:ascii="Times New Roman" w:hAnsi="Times New Roman"/>
                <w:sz w:val="21"/>
              </w:rPr>
              <w:t>10</w:t>
            </w:r>
            <w:r>
              <w:rPr>
                <w:rFonts w:ascii="Times New Roman" w:hAnsi="Times New Roman"/>
                <w:position w:val="7"/>
                <w:sz w:val="14"/>
              </w:rPr>
              <w:t>-4</w:t>
            </w:r>
          </w:p>
        </w:tc>
      </w:tr>
      <w:tr>
        <w:trPr>
          <w:trHeight w:val="285" w:hRule="atLeast"/>
        </w:trPr>
        <w:tc>
          <w:tcPr>
            <w:tcW w:w="1169" w:type="dxa"/>
            <w:vMerge/>
            <w:tcBorders>
              <w:top w:val="nil"/>
            </w:tcBorders>
          </w:tcPr>
          <w:p>
            <w:pPr>
              <w:rPr>
                <w:sz w:val="2"/>
                <w:szCs w:val="2"/>
              </w:rPr>
            </w:pPr>
          </w:p>
        </w:tc>
        <w:tc>
          <w:tcPr>
            <w:tcW w:w="1070" w:type="dxa"/>
          </w:tcPr>
          <w:p>
            <w:pPr>
              <w:pStyle w:val="TableParagraph"/>
              <w:spacing w:before="22"/>
              <w:ind w:left="124" w:right="119"/>
              <w:rPr>
                <w:rFonts w:ascii="Times New Roman"/>
                <w:sz w:val="21"/>
              </w:rPr>
            </w:pPr>
            <w:r>
              <w:rPr>
                <w:rFonts w:ascii="Times New Roman"/>
                <w:sz w:val="21"/>
              </w:rPr>
              <w:t>21</w:t>
            </w:r>
          </w:p>
        </w:tc>
        <w:tc>
          <w:tcPr>
            <w:tcW w:w="952" w:type="dxa"/>
          </w:tcPr>
          <w:p>
            <w:pPr>
              <w:pStyle w:val="TableParagraph"/>
              <w:spacing w:before="22"/>
              <w:ind w:right="332"/>
              <w:jc w:val="right"/>
              <w:rPr>
                <w:rFonts w:ascii="Times New Roman"/>
                <w:sz w:val="21"/>
              </w:rPr>
            </w:pPr>
            <w:r>
              <w:rPr>
                <w:rFonts w:ascii="Times New Roman"/>
                <w:sz w:val="21"/>
              </w:rPr>
              <w:t>1.9</w:t>
            </w:r>
          </w:p>
        </w:tc>
        <w:tc>
          <w:tcPr>
            <w:tcW w:w="1375" w:type="dxa"/>
          </w:tcPr>
          <w:p>
            <w:pPr>
              <w:pStyle w:val="TableParagraph"/>
              <w:spacing w:before="22"/>
              <w:ind w:right="490"/>
              <w:jc w:val="right"/>
              <w:rPr>
                <w:rFonts w:ascii="Times New Roman"/>
                <w:sz w:val="21"/>
              </w:rPr>
            </w:pPr>
            <w:r>
              <w:rPr>
                <w:rFonts w:ascii="Times New Roman"/>
                <w:sz w:val="21"/>
              </w:rPr>
              <w:t>20.4</w:t>
            </w:r>
          </w:p>
        </w:tc>
        <w:tc>
          <w:tcPr>
            <w:tcW w:w="1002" w:type="dxa"/>
          </w:tcPr>
          <w:p>
            <w:pPr>
              <w:pStyle w:val="TableParagraph"/>
              <w:spacing w:before="22"/>
              <w:ind w:left="299" w:right="284"/>
              <w:rPr>
                <w:rFonts w:ascii="Times New Roman"/>
                <w:sz w:val="21"/>
              </w:rPr>
            </w:pPr>
            <w:r>
              <w:rPr>
                <w:rFonts w:ascii="Times New Roman"/>
                <w:sz w:val="21"/>
              </w:rPr>
              <w:t>20.3</w:t>
            </w:r>
          </w:p>
        </w:tc>
        <w:tc>
          <w:tcPr>
            <w:tcW w:w="1009" w:type="dxa"/>
          </w:tcPr>
          <w:p>
            <w:pPr>
              <w:pStyle w:val="TableParagraph"/>
              <w:spacing w:line="255" w:lineRule="exact" w:before="10"/>
              <w:ind w:left="190"/>
              <w:jc w:val="left"/>
              <w:rPr>
                <w:sz w:val="21"/>
              </w:rPr>
            </w:pPr>
            <w:r>
              <w:rPr>
                <w:sz w:val="21"/>
              </w:rPr>
              <w:t>平均值</w:t>
            </w:r>
          </w:p>
        </w:tc>
        <w:tc>
          <w:tcPr>
            <w:tcW w:w="1182" w:type="dxa"/>
          </w:tcPr>
          <w:p>
            <w:pPr>
              <w:pStyle w:val="TableParagraph"/>
              <w:spacing w:before="22"/>
              <w:ind w:left="110" w:right="97"/>
              <w:rPr>
                <w:rFonts w:ascii="Times New Roman"/>
                <w:sz w:val="21"/>
              </w:rPr>
            </w:pPr>
            <w:r>
              <w:rPr>
                <w:rFonts w:ascii="Times New Roman"/>
                <w:sz w:val="21"/>
              </w:rPr>
              <w:t>108</w:t>
            </w:r>
          </w:p>
        </w:tc>
        <w:tc>
          <w:tcPr>
            <w:tcW w:w="1182" w:type="dxa"/>
          </w:tcPr>
          <w:p>
            <w:pPr>
              <w:pStyle w:val="TableParagraph"/>
              <w:spacing w:before="22"/>
              <w:ind w:left="113" w:right="97"/>
              <w:rPr>
                <w:rFonts w:ascii="Times New Roman"/>
                <w:sz w:val="21"/>
              </w:rPr>
            </w:pPr>
            <w:r>
              <w:rPr>
                <w:rFonts w:ascii="Times New Roman"/>
                <w:sz w:val="21"/>
              </w:rPr>
              <w:t>77.8</w:t>
            </w:r>
          </w:p>
        </w:tc>
        <w:tc>
          <w:tcPr>
            <w:tcW w:w="1026" w:type="dxa"/>
          </w:tcPr>
          <w:p>
            <w:pPr>
              <w:pStyle w:val="TableParagraph"/>
              <w:spacing w:before="17"/>
              <w:ind w:left="66" w:right="43"/>
              <w:rPr>
                <w:rFonts w:ascii="Times New Roman" w:hAnsi="Times New Roman"/>
                <w:sz w:val="14"/>
              </w:rPr>
            </w:pPr>
            <w:r>
              <w:rPr>
                <w:rFonts w:ascii="Times New Roman" w:hAnsi="Times New Roman"/>
                <w:sz w:val="21"/>
              </w:rPr>
              <w:t>8.38×10 </w:t>
            </w:r>
            <w:r>
              <w:rPr>
                <w:rFonts w:ascii="Times New Roman" w:hAnsi="Times New Roman"/>
                <w:position w:val="7"/>
                <w:sz w:val="14"/>
              </w:rPr>
              <w:t>-3</w:t>
            </w:r>
          </w:p>
        </w:tc>
        <w:tc>
          <w:tcPr>
            <w:tcW w:w="940" w:type="dxa"/>
          </w:tcPr>
          <w:p>
            <w:pPr>
              <w:pStyle w:val="TableParagraph"/>
              <w:spacing w:before="22"/>
              <w:ind w:left="347"/>
              <w:jc w:val="left"/>
              <w:rPr>
                <w:rFonts w:ascii="Times New Roman"/>
                <w:sz w:val="21"/>
              </w:rPr>
            </w:pPr>
            <w:r>
              <w:rPr>
                <w:rFonts w:ascii="Times New Roman"/>
                <w:sz w:val="21"/>
              </w:rPr>
              <w:t>9.2</w:t>
            </w:r>
          </w:p>
        </w:tc>
        <w:tc>
          <w:tcPr>
            <w:tcW w:w="1181" w:type="dxa"/>
          </w:tcPr>
          <w:p>
            <w:pPr>
              <w:pStyle w:val="TableParagraph"/>
              <w:spacing w:line="257" w:lineRule="exact" w:before="8"/>
              <w:ind w:left="181" w:right="149"/>
              <w:rPr>
                <w:rFonts w:ascii="Times New Roman" w:hAnsi="Times New Roman"/>
                <w:sz w:val="14"/>
              </w:rPr>
            </w:pPr>
            <w:r>
              <w:rPr>
                <w:rFonts w:ascii="Times New Roman" w:hAnsi="Times New Roman"/>
                <w:sz w:val="21"/>
              </w:rPr>
              <w:t>1.0</w:t>
            </w:r>
            <w:r>
              <w:rPr>
                <w:sz w:val="21"/>
              </w:rPr>
              <w:t>×</w:t>
            </w:r>
            <w:r>
              <w:rPr>
                <w:rFonts w:ascii="Times New Roman" w:hAnsi="Times New Roman"/>
                <w:sz w:val="21"/>
              </w:rPr>
              <w:t>10</w:t>
            </w:r>
            <w:r>
              <w:rPr>
                <w:rFonts w:ascii="Times New Roman" w:hAnsi="Times New Roman"/>
                <w:position w:val="7"/>
                <w:sz w:val="14"/>
              </w:rPr>
              <w:t>-3</w:t>
            </w:r>
          </w:p>
        </w:tc>
        <w:tc>
          <w:tcPr>
            <w:tcW w:w="940" w:type="dxa"/>
          </w:tcPr>
          <w:p>
            <w:pPr>
              <w:pStyle w:val="TableParagraph"/>
              <w:spacing w:before="22"/>
              <w:ind w:left="97" w:right="67"/>
              <w:rPr>
                <w:rFonts w:ascii="Times New Roman"/>
                <w:sz w:val="21"/>
              </w:rPr>
            </w:pPr>
            <w:r>
              <w:rPr>
                <w:rFonts w:ascii="Times New Roman"/>
                <w:sz w:val="21"/>
              </w:rPr>
              <w:t>1.83</w:t>
            </w:r>
          </w:p>
        </w:tc>
        <w:tc>
          <w:tcPr>
            <w:tcW w:w="1182" w:type="dxa"/>
          </w:tcPr>
          <w:p>
            <w:pPr>
              <w:pStyle w:val="TableParagraph"/>
              <w:spacing w:line="257" w:lineRule="exact" w:before="8"/>
              <w:ind w:left="129" w:right="97"/>
              <w:rPr>
                <w:rFonts w:ascii="Times New Roman" w:hAnsi="Times New Roman"/>
                <w:sz w:val="14"/>
              </w:rPr>
            </w:pPr>
            <w:r>
              <w:rPr>
                <w:rFonts w:ascii="Times New Roman" w:hAnsi="Times New Roman"/>
                <w:sz w:val="21"/>
              </w:rPr>
              <w:t>1.97</w:t>
            </w:r>
            <w:r>
              <w:rPr>
                <w:sz w:val="21"/>
              </w:rPr>
              <w:t>×</w:t>
            </w:r>
            <w:r>
              <w:rPr>
                <w:rFonts w:ascii="Times New Roman" w:hAnsi="Times New Roman"/>
                <w:sz w:val="21"/>
              </w:rPr>
              <w:t>10</w:t>
            </w:r>
            <w:r>
              <w:rPr>
                <w:rFonts w:ascii="Times New Roman" w:hAnsi="Times New Roman"/>
                <w:position w:val="7"/>
                <w:sz w:val="14"/>
              </w:rPr>
              <w:t>-4</w:t>
            </w:r>
          </w:p>
        </w:tc>
      </w:tr>
      <w:tr>
        <w:trPr>
          <w:trHeight w:val="302" w:hRule="atLeast"/>
        </w:trPr>
        <w:tc>
          <w:tcPr>
            <w:tcW w:w="7759" w:type="dxa"/>
            <w:gridSpan w:val="7"/>
          </w:tcPr>
          <w:p>
            <w:pPr>
              <w:pStyle w:val="TableParagraph"/>
              <w:spacing w:line="264" w:lineRule="exact" w:before="18"/>
              <w:ind w:left="3441" w:right="3424"/>
              <w:rPr>
                <w:b/>
                <w:sz w:val="21"/>
              </w:rPr>
            </w:pPr>
            <w:r>
              <w:rPr>
                <w:b/>
                <w:sz w:val="21"/>
              </w:rPr>
              <w:t>排放限值</w:t>
            </w:r>
          </w:p>
        </w:tc>
        <w:tc>
          <w:tcPr>
            <w:tcW w:w="1182" w:type="dxa"/>
          </w:tcPr>
          <w:p>
            <w:pPr>
              <w:pStyle w:val="TableParagraph"/>
              <w:spacing w:before="34"/>
              <w:ind w:left="118" w:right="97"/>
              <w:rPr>
                <w:rFonts w:ascii="Times New Roman"/>
                <w:b/>
                <w:sz w:val="21"/>
              </w:rPr>
            </w:pPr>
            <w:r>
              <w:rPr>
                <w:rFonts w:ascii="Times New Roman"/>
                <w:b/>
                <w:sz w:val="21"/>
              </w:rPr>
              <w:t>120</w:t>
            </w:r>
          </w:p>
        </w:tc>
        <w:tc>
          <w:tcPr>
            <w:tcW w:w="1026" w:type="dxa"/>
          </w:tcPr>
          <w:p>
            <w:pPr>
              <w:pStyle w:val="TableParagraph"/>
              <w:spacing w:before="34"/>
              <w:ind w:left="64" w:right="43"/>
              <w:rPr>
                <w:rFonts w:ascii="Times New Roman"/>
                <w:b/>
                <w:sz w:val="21"/>
              </w:rPr>
            </w:pPr>
            <w:r>
              <w:rPr>
                <w:rFonts w:ascii="Times New Roman"/>
                <w:b/>
                <w:sz w:val="21"/>
              </w:rPr>
              <w:t>10</w:t>
            </w:r>
          </w:p>
        </w:tc>
        <w:tc>
          <w:tcPr>
            <w:tcW w:w="940" w:type="dxa"/>
          </w:tcPr>
          <w:p>
            <w:pPr>
              <w:pStyle w:val="TableParagraph"/>
              <w:spacing w:before="34"/>
              <w:ind w:left="373"/>
              <w:jc w:val="left"/>
              <w:rPr>
                <w:rFonts w:ascii="Times New Roman"/>
                <w:b/>
                <w:sz w:val="21"/>
              </w:rPr>
            </w:pPr>
            <w:r>
              <w:rPr>
                <w:rFonts w:ascii="Times New Roman"/>
                <w:b/>
                <w:sz w:val="21"/>
              </w:rPr>
              <w:t>16</w:t>
            </w:r>
          </w:p>
        </w:tc>
        <w:tc>
          <w:tcPr>
            <w:tcW w:w="1181" w:type="dxa"/>
          </w:tcPr>
          <w:p>
            <w:pPr>
              <w:pStyle w:val="TableParagraph"/>
              <w:spacing w:before="34"/>
              <w:ind w:left="181" w:right="147"/>
              <w:rPr>
                <w:rFonts w:ascii="Times New Roman"/>
                <w:b/>
                <w:sz w:val="21"/>
              </w:rPr>
            </w:pPr>
            <w:r>
              <w:rPr>
                <w:rFonts w:ascii="Times New Roman"/>
                <w:b/>
                <w:sz w:val="21"/>
              </w:rPr>
              <w:t>0.05</w:t>
            </w:r>
          </w:p>
        </w:tc>
        <w:tc>
          <w:tcPr>
            <w:tcW w:w="940" w:type="dxa"/>
          </w:tcPr>
          <w:p>
            <w:pPr>
              <w:pStyle w:val="TableParagraph"/>
              <w:spacing w:before="34"/>
              <w:ind w:left="97" w:right="67"/>
              <w:rPr>
                <w:rFonts w:ascii="Times New Roman"/>
                <w:b/>
                <w:sz w:val="21"/>
              </w:rPr>
            </w:pPr>
            <w:r>
              <w:rPr>
                <w:rFonts w:ascii="Times New Roman"/>
                <w:b/>
                <w:sz w:val="21"/>
              </w:rPr>
              <w:t>20</w:t>
            </w:r>
          </w:p>
        </w:tc>
        <w:tc>
          <w:tcPr>
            <w:tcW w:w="1182" w:type="dxa"/>
          </w:tcPr>
          <w:p>
            <w:pPr>
              <w:pStyle w:val="TableParagraph"/>
              <w:spacing w:before="34"/>
              <w:ind w:left="129" w:right="95"/>
              <w:rPr>
                <w:rFonts w:ascii="Times New Roman"/>
                <w:b/>
                <w:sz w:val="21"/>
              </w:rPr>
            </w:pPr>
            <w:r>
              <w:rPr>
                <w:rFonts w:ascii="Times New Roman"/>
                <w:b/>
                <w:sz w:val="21"/>
              </w:rPr>
              <w:t>0.52</w:t>
            </w:r>
          </w:p>
        </w:tc>
      </w:tr>
    </w:tbl>
    <w:p>
      <w:pPr>
        <w:pStyle w:val="BodyText"/>
        <w:spacing w:line="364" w:lineRule="auto" w:before="2"/>
        <w:ind w:left="218" w:right="433" w:firstLine="480"/>
      </w:pPr>
      <w:r>
        <w:rPr>
          <w:spacing w:val="-7"/>
        </w:rPr>
        <w:t>根据上述监测结果，现有企业各废气经相应收集处理后均能满足《大气污染物综合排放标准</w:t>
      </w:r>
      <w:r>
        <w:rPr>
          <w:spacing w:val="-161"/>
        </w:rPr>
        <w:t>》</w:t>
      </w:r>
      <w:r>
        <w:rPr>
          <w:spacing w:val="-3"/>
        </w:rPr>
        <w:t>（</w:t>
      </w:r>
      <w:r>
        <w:rPr>
          <w:rFonts w:ascii="Times New Roman" w:eastAsia="Times New Roman"/>
          <w:spacing w:val="-3"/>
        </w:rPr>
        <w:t>GB16297-1996</w:t>
      </w:r>
      <w:r>
        <w:rPr>
          <w:spacing w:val="-3"/>
        </w:rPr>
        <w:t>）</w:t>
      </w:r>
      <w:r>
        <w:rPr>
          <w:spacing w:val="-2"/>
        </w:rPr>
        <w:t>二级标准限值</w:t>
      </w:r>
      <w:r>
        <w:rPr>
          <w:spacing w:val="-59"/>
        </w:rPr>
        <w:t>、《锅</w:t>
      </w:r>
      <w:r>
        <w:rPr>
          <w:spacing w:val="-11"/>
        </w:rPr>
        <w:t>炉大气污染物排放限值》</w:t>
      </w:r>
      <w:r>
        <w:rPr/>
        <w:t>（</w:t>
      </w:r>
      <w:r>
        <w:rPr>
          <w:rFonts w:ascii="Times New Roman" w:eastAsia="Times New Roman"/>
        </w:rPr>
        <w:t>GB13271-2014</w:t>
      </w:r>
      <w:r>
        <w:rPr/>
        <w:t>）</w:t>
      </w:r>
      <w:r>
        <w:rPr>
          <w:spacing w:val="-7"/>
        </w:rPr>
        <w:t>中特别排放限值及《恶臭污染物排放标准》</w:t>
      </w:r>
      <w:r>
        <w:rPr/>
        <w:t>（</w:t>
      </w:r>
      <w:r>
        <w:rPr>
          <w:rFonts w:ascii="Times New Roman" w:eastAsia="Times New Roman"/>
        </w:rPr>
        <w:t>GB14554-93</w:t>
      </w:r>
      <w:r>
        <w:rPr/>
        <w:t>）中标准限值的要求。</w:t>
      </w:r>
    </w:p>
    <w:p>
      <w:pPr>
        <w:pStyle w:val="Heading4"/>
        <w:numPr>
          <w:ilvl w:val="0"/>
          <w:numId w:val="15"/>
        </w:numPr>
        <w:tabs>
          <w:tab w:pos="1305" w:val="left" w:leader="none"/>
        </w:tabs>
        <w:spacing w:line="306" w:lineRule="exact" w:before="0" w:after="0"/>
        <w:ind w:left="1304" w:right="0" w:hanging="604"/>
        <w:jc w:val="left"/>
      </w:pPr>
      <w:r>
        <w:rPr/>
        <w:t>无组织废气</w:t>
      </w:r>
    </w:p>
    <w:p>
      <w:pPr>
        <w:pStyle w:val="BodyText"/>
        <w:spacing w:before="161"/>
        <w:ind w:left="698"/>
      </w:pPr>
      <w:r>
        <w:rPr/>
        <w:t>本环评收集了 </w:t>
      </w:r>
      <w:r>
        <w:rPr>
          <w:rFonts w:ascii="Times New Roman" w:eastAsia="Times New Roman"/>
        </w:rPr>
        <w:t>2021 </w:t>
      </w:r>
      <w:r>
        <w:rPr/>
        <w:t>年 </w:t>
      </w:r>
      <w:r>
        <w:rPr>
          <w:rFonts w:ascii="Times New Roman" w:eastAsia="Times New Roman"/>
        </w:rPr>
        <w:t>10 </w:t>
      </w:r>
      <w:r>
        <w:rPr/>
        <w:t>月 </w:t>
      </w:r>
      <w:r>
        <w:rPr>
          <w:rFonts w:ascii="Times New Roman" w:eastAsia="Times New Roman"/>
        </w:rPr>
        <w:t>25 </w:t>
      </w:r>
      <w:r>
        <w:rPr/>
        <w:t>日企业对厂界废气自行监测数据，具体情况见下表。</w:t>
      </w:r>
    </w:p>
    <w:p>
      <w:pPr>
        <w:pStyle w:val="BodyText"/>
        <w:spacing w:before="1" w:after="1"/>
        <w:rPr>
          <w:sz w:val="12"/>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5"/>
        <w:gridCol w:w="1603"/>
        <w:gridCol w:w="1234"/>
        <w:gridCol w:w="991"/>
        <w:gridCol w:w="852"/>
        <w:gridCol w:w="991"/>
        <w:gridCol w:w="1135"/>
        <w:gridCol w:w="1108"/>
        <w:gridCol w:w="1437"/>
        <w:gridCol w:w="1152"/>
        <w:gridCol w:w="1437"/>
        <w:gridCol w:w="1096"/>
      </w:tblGrid>
      <w:tr>
        <w:trPr>
          <w:trHeight w:val="285" w:hRule="atLeast"/>
        </w:trPr>
        <w:tc>
          <w:tcPr>
            <w:tcW w:w="1385" w:type="dxa"/>
            <w:vMerge w:val="restart"/>
          </w:tcPr>
          <w:p>
            <w:pPr>
              <w:pStyle w:val="TableParagraph"/>
              <w:jc w:val="left"/>
              <w:rPr>
                <w:sz w:val="20"/>
              </w:rPr>
            </w:pPr>
          </w:p>
          <w:p>
            <w:pPr>
              <w:pStyle w:val="TableParagraph"/>
              <w:spacing w:before="7"/>
              <w:jc w:val="left"/>
              <w:rPr>
                <w:sz w:val="23"/>
              </w:rPr>
            </w:pPr>
          </w:p>
          <w:p>
            <w:pPr>
              <w:pStyle w:val="TableParagraph"/>
              <w:ind w:left="374"/>
              <w:jc w:val="left"/>
              <w:rPr>
                <w:b/>
                <w:sz w:val="21"/>
              </w:rPr>
            </w:pPr>
            <w:r>
              <w:rPr>
                <w:b/>
                <w:sz w:val="21"/>
              </w:rPr>
              <w:t>采样点</w:t>
            </w:r>
          </w:p>
        </w:tc>
        <w:tc>
          <w:tcPr>
            <w:tcW w:w="1603" w:type="dxa"/>
            <w:vMerge w:val="restart"/>
          </w:tcPr>
          <w:p>
            <w:pPr>
              <w:pStyle w:val="TableParagraph"/>
              <w:jc w:val="left"/>
              <w:rPr>
                <w:sz w:val="20"/>
              </w:rPr>
            </w:pPr>
          </w:p>
          <w:p>
            <w:pPr>
              <w:pStyle w:val="TableParagraph"/>
              <w:spacing w:before="7"/>
              <w:jc w:val="left"/>
              <w:rPr>
                <w:sz w:val="23"/>
              </w:rPr>
            </w:pPr>
          </w:p>
          <w:p>
            <w:pPr>
              <w:pStyle w:val="TableParagraph"/>
              <w:ind w:left="379"/>
              <w:jc w:val="left"/>
              <w:rPr>
                <w:b/>
                <w:sz w:val="21"/>
              </w:rPr>
            </w:pPr>
            <w:r>
              <w:rPr>
                <w:b/>
                <w:sz w:val="21"/>
              </w:rPr>
              <w:t>采样时间</w:t>
            </w:r>
          </w:p>
        </w:tc>
        <w:tc>
          <w:tcPr>
            <w:tcW w:w="11433" w:type="dxa"/>
            <w:gridSpan w:val="10"/>
          </w:tcPr>
          <w:p>
            <w:pPr>
              <w:pStyle w:val="TableParagraph"/>
              <w:spacing w:line="257" w:lineRule="exact" w:before="8"/>
              <w:ind w:left="5278" w:right="5261"/>
              <w:rPr>
                <w:b/>
                <w:sz w:val="21"/>
              </w:rPr>
            </w:pPr>
            <w:r>
              <w:rPr>
                <w:b/>
                <w:sz w:val="21"/>
              </w:rPr>
              <w:t>检测结果</w:t>
            </w:r>
          </w:p>
        </w:tc>
      </w:tr>
      <w:tr>
        <w:trPr>
          <w:trHeight w:val="336" w:hRule="atLeast"/>
        </w:trPr>
        <w:tc>
          <w:tcPr>
            <w:tcW w:w="1385" w:type="dxa"/>
            <w:vMerge/>
            <w:tcBorders>
              <w:top w:val="nil"/>
            </w:tcBorders>
          </w:tcPr>
          <w:p>
            <w:pPr>
              <w:rPr>
                <w:sz w:val="2"/>
                <w:szCs w:val="2"/>
              </w:rPr>
            </w:pPr>
          </w:p>
        </w:tc>
        <w:tc>
          <w:tcPr>
            <w:tcW w:w="1603" w:type="dxa"/>
            <w:vMerge/>
            <w:tcBorders>
              <w:top w:val="nil"/>
            </w:tcBorders>
          </w:tcPr>
          <w:p>
            <w:pPr>
              <w:rPr>
                <w:sz w:val="2"/>
                <w:szCs w:val="2"/>
              </w:rPr>
            </w:pPr>
          </w:p>
        </w:tc>
        <w:tc>
          <w:tcPr>
            <w:tcW w:w="1234" w:type="dxa"/>
            <w:vMerge w:val="restart"/>
          </w:tcPr>
          <w:p>
            <w:pPr>
              <w:pStyle w:val="TableParagraph"/>
              <w:spacing w:before="5"/>
              <w:jc w:val="left"/>
              <w:rPr>
                <w:sz w:val="21"/>
              </w:rPr>
            </w:pPr>
          </w:p>
          <w:p>
            <w:pPr>
              <w:pStyle w:val="TableParagraph"/>
              <w:spacing w:before="1"/>
              <w:ind w:left="194"/>
              <w:jc w:val="left"/>
              <w:rPr>
                <w:b/>
                <w:sz w:val="21"/>
              </w:rPr>
            </w:pPr>
            <w:r>
              <w:rPr>
                <w:b/>
                <w:sz w:val="21"/>
              </w:rPr>
              <w:t>臭气浓度</w:t>
            </w:r>
          </w:p>
          <w:p>
            <w:pPr>
              <w:pStyle w:val="TableParagraph"/>
              <w:spacing w:before="2"/>
              <w:ind w:left="108"/>
              <w:jc w:val="left"/>
              <w:rPr>
                <w:b/>
                <w:sz w:val="21"/>
              </w:rPr>
            </w:pPr>
            <w:r>
              <w:rPr>
                <w:b/>
                <w:sz w:val="21"/>
              </w:rPr>
              <w:t>（无量纲）</w:t>
            </w:r>
          </w:p>
        </w:tc>
        <w:tc>
          <w:tcPr>
            <w:tcW w:w="991" w:type="dxa"/>
            <w:vMerge w:val="restart"/>
          </w:tcPr>
          <w:p>
            <w:pPr>
              <w:pStyle w:val="TableParagraph"/>
              <w:jc w:val="left"/>
              <w:rPr>
                <w:sz w:val="20"/>
              </w:rPr>
            </w:pPr>
          </w:p>
          <w:p>
            <w:pPr>
              <w:pStyle w:val="TableParagraph"/>
              <w:spacing w:before="153"/>
              <w:ind w:left="177"/>
              <w:jc w:val="left"/>
              <w:rPr>
                <w:b/>
                <w:sz w:val="21"/>
              </w:rPr>
            </w:pPr>
            <w:r>
              <w:rPr>
                <w:b/>
                <w:sz w:val="21"/>
              </w:rPr>
              <w:t>硫酸雾</w:t>
            </w:r>
          </w:p>
        </w:tc>
        <w:tc>
          <w:tcPr>
            <w:tcW w:w="852" w:type="dxa"/>
            <w:vMerge w:val="restart"/>
          </w:tcPr>
          <w:p>
            <w:pPr>
              <w:pStyle w:val="TableParagraph"/>
              <w:spacing w:before="5"/>
              <w:jc w:val="left"/>
              <w:rPr>
                <w:sz w:val="21"/>
              </w:rPr>
            </w:pPr>
          </w:p>
          <w:p>
            <w:pPr>
              <w:pStyle w:val="TableParagraph"/>
              <w:spacing w:line="242" w:lineRule="auto" w:before="1"/>
              <w:ind w:left="319" w:right="97" w:hanging="212"/>
              <w:jc w:val="left"/>
              <w:rPr>
                <w:b/>
                <w:sz w:val="21"/>
              </w:rPr>
            </w:pPr>
            <w:r>
              <w:rPr>
                <w:b/>
                <w:sz w:val="21"/>
              </w:rPr>
              <w:t>氮氧化物</w:t>
            </w:r>
          </w:p>
        </w:tc>
        <w:tc>
          <w:tcPr>
            <w:tcW w:w="3234" w:type="dxa"/>
            <w:gridSpan w:val="3"/>
          </w:tcPr>
          <w:p>
            <w:pPr>
              <w:pStyle w:val="TableParagraph"/>
              <w:spacing w:before="32"/>
              <w:ind w:left="1279" w:right="1272"/>
              <w:rPr>
                <w:b/>
                <w:sz w:val="21"/>
              </w:rPr>
            </w:pPr>
            <w:r>
              <w:rPr>
                <w:b/>
                <w:sz w:val="21"/>
              </w:rPr>
              <w:t>二甲苯</w:t>
            </w:r>
          </w:p>
        </w:tc>
        <w:tc>
          <w:tcPr>
            <w:tcW w:w="1437" w:type="dxa"/>
            <w:vMerge w:val="restart"/>
          </w:tcPr>
          <w:p>
            <w:pPr>
              <w:pStyle w:val="TableParagraph"/>
              <w:jc w:val="left"/>
              <w:rPr>
                <w:sz w:val="20"/>
              </w:rPr>
            </w:pPr>
          </w:p>
          <w:p>
            <w:pPr>
              <w:pStyle w:val="TableParagraph"/>
              <w:spacing w:before="153"/>
              <w:ind w:left="194"/>
              <w:jc w:val="left"/>
              <w:rPr>
                <w:b/>
                <w:sz w:val="21"/>
              </w:rPr>
            </w:pPr>
            <w:r>
              <w:rPr>
                <w:b/>
                <w:sz w:val="21"/>
              </w:rPr>
              <w:t>非甲烷总烃</w:t>
            </w:r>
          </w:p>
        </w:tc>
        <w:tc>
          <w:tcPr>
            <w:tcW w:w="1152" w:type="dxa"/>
            <w:vMerge w:val="restart"/>
          </w:tcPr>
          <w:p>
            <w:pPr>
              <w:pStyle w:val="TableParagraph"/>
              <w:spacing w:before="12"/>
              <w:jc w:val="left"/>
              <w:rPr>
                <w:sz w:val="31"/>
              </w:rPr>
            </w:pPr>
          </w:p>
          <w:p>
            <w:pPr>
              <w:pStyle w:val="TableParagraph"/>
              <w:ind w:left="278"/>
              <w:jc w:val="left"/>
              <w:rPr>
                <w:b/>
                <w:sz w:val="21"/>
              </w:rPr>
            </w:pPr>
            <w:r>
              <w:rPr>
                <w:rFonts w:ascii="Times New Roman" w:eastAsia="Times New Roman"/>
                <w:b/>
                <w:sz w:val="21"/>
              </w:rPr>
              <w:t>3-</w:t>
            </w:r>
            <w:r>
              <w:rPr>
                <w:b/>
                <w:sz w:val="21"/>
              </w:rPr>
              <w:t>戊酮</w:t>
            </w:r>
          </w:p>
        </w:tc>
        <w:tc>
          <w:tcPr>
            <w:tcW w:w="1437" w:type="dxa"/>
            <w:vMerge w:val="restart"/>
          </w:tcPr>
          <w:p>
            <w:pPr>
              <w:pStyle w:val="TableParagraph"/>
              <w:jc w:val="left"/>
              <w:rPr>
                <w:sz w:val="20"/>
              </w:rPr>
            </w:pPr>
          </w:p>
          <w:p>
            <w:pPr>
              <w:pStyle w:val="TableParagraph"/>
              <w:spacing w:before="153"/>
              <w:ind w:left="300"/>
              <w:jc w:val="left"/>
              <w:rPr>
                <w:b/>
                <w:sz w:val="21"/>
              </w:rPr>
            </w:pPr>
            <w:r>
              <w:rPr>
                <w:b/>
                <w:sz w:val="21"/>
              </w:rPr>
              <w:t>硝基苯类</w:t>
            </w:r>
          </w:p>
        </w:tc>
        <w:tc>
          <w:tcPr>
            <w:tcW w:w="1096" w:type="dxa"/>
            <w:vMerge w:val="restart"/>
          </w:tcPr>
          <w:p>
            <w:pPr>
              <w:pStyle w:val="TableParagraph"/>
              <w:jc w:val="left"/>
              <w:rPr>
                <w:sz w:val="20"/>
              </w:rPr>
            </w:pPr>
          </w:p>
          <w:p>
            <w:pPr>
              <w:pStyle w:val="TableParagraph"/>
              <w:spacing w:before="153"/>
              <w:ind w:left="234"/>
              <w:jc w:val="left"/>
              <w:rPr>
                <w:b/>
                <w:sz w:val="21"/>
              </w:rPr>
            </w:pPr>
            <w:r>
              <w:rPr>
                <w:b/>
                <w:sz w:val="21"/>
              </w:rPr>
              <w:t>苯胺类</w:t>
            </w:r>
          </w:p>
        </w:tc>
      </w:tr>
      <w:tr>
        <w:trPr>
          <w:trHeight w:val="743" w:hRule="atLeast"/>
        </w:trPr>
        <w:tc>
          <w:tcPr>
            <w:tcW w:w="1385" w:type="dxa"/>
            <w:vMerge/>
            <w:tcBorders>
              <w:top w:val="nil"/>
            </w:tcBorders>
          </w:tcPr>
          <w:p>
            <w:pPr>
              <w:rPr>
                <w:sz w:val="2"/>
                <w:szCs w:val="2"/>
              </w:rPr>
            </w:pPr>
          </w:p>
        </w:tc>
        <w:tc>
          <w:tcPr>
            <w:tcW w:w="1603" w:type="dxa"/>
            <w:vMerge/>
            <w:tcBorders>
              <w:top w:val="nil"/>
            </w:tcBorders>
          </w:tcPr>
          <w:p>
            <w:pPr>
              <w:rPr>
                <w:sz w:val="2"/>
                <w:szCs w:val="2"/>
              </w:rPr>
            </w:pPr>
          </w:p>
        </w:tc>
        <w:tc>
          <w:tcPr>
            <w:tcW w:w="1234" w:type="dxa"/>
            <w:vMerge/>
            <w:tcBorders>
              <w:top w:val="nil"/>
            </w:tcBorders>
          </w:tcPr>
          <w:p>
            <w:pPr>
              <w:rPr>
                <w:sz w:val="2"/>
                <w:szCs w:val="2"/>
              </w:rPr>
            </w:pPr>
          </w:p>
        </w:tc>
        <w:tc>
          <w:tcPr>
            <w:tcW w:w="991" w:type="dxa"/>
            <w:vMerge/>
            <w:tcBorders>
              <w:top w:val="nil"/>
            </w:tcBorders>
          </w:tcPr>
          <w:p>
            <w:pPr>
              <w:rPr>
                <w:sz w:val="2"/>
                <w:szCs w:val="2"/>
              </w:rPr>
            </w:pPr>
          </w:p>
        </w:tc>
        <w:tc>
          <w:tcPr>
            <w:tcW w:w="852" w:type="dxa"/>
            <w:vMerge/>
            <w:tcBorders>
              <w:top w:val="nil"/>
            </w:tcBorders>
          </w:tcPr>
          <w:p>
            <w:pPr>
              <w:rPr>
                <w:sz w:val="2"/>
                <w:szCs w:val="2"/>
              </w:rPr>
            </w:pPr>
          </w:p>
        </w:tc>
        <w:tc>
          <w:tcPr>
            <w:tcW w:w="991" w:type="dxa"/>
          </w:tcPr>
          <w:p>
            <w:pPr>
              <w:pStyle w:val="TableParagraph"/>
              <w:spacing w:line="242" w:lineRule="auto" w:before="101"/>
              <w:ind w:left="175" w:right="29" w:hanging="70"/>
              <w:jc w:val="left"/>
              <w:rPr>
                <w:b/>
                <w:sz w:val="21"/>
              </w:rPr>
            </w:pPr>
            <w:r>
              <w:rPr>
                <w:b/>
                <w:sz w:val="21"/>
              </w:rPr>
              <w:t>对（间） 二甲苯</w:t>
            </w:r>
          </w:p>
        </w:tc>
        <w:tc>
          <w:tcPr>
            <w:tcW w:w="1135" w:type="dxa"/>
          </w:tcPr>
          <w:p>
            <w:pPr>
              <w:pStyle w:val="TableParagraph"/>
              <w:spacing w:before="5"/>
              <w:jc w:val="left"/>
              <w:rPr>
                <w:sz w:val="18"/>
              </w:rPr>
            </w:pPr>
          </w:p>
          <w:p>
            <w:pPr>
              <w:pStyle w:val="TableParagraph"/>
              <w:ind w:left="17" w:right="8"/>
              <w:rPr>
                <w:b/>
                <w:sz w:val="21"/>
              </w:rPr>
            </w:pPr>
            <w:r>
              <w:rPr>
                <w:b/>
                <w:sz w:val="21"/>
              </w:rPr>
              <w:t>邻二甲苯</w:t>
            </w:r>
          </w:p>
        </w:tc>
        <w:tc>
          <w:tcPr>
            <w:tcW w:w="1108" w:type="dxa"/>
          </w:tcPr>
          <w:p>
            <w:pPr>
              <w:pStyle w:val="TableParagraph"/>
              <w:spacing w:before="5"/>
              <w:jc w:val="left"/>
              <w:rPr>
                <w:sz w:val="18"/>
              </w:rPr>
            </w:pPr>
          </w:p>
          <w:p>
            <w:pPr>
              <w:pStyle w:val="TableParagraph"/>
              <w:ind w:left="29" w:right="21"/>
              <w:rPr>
                <w:b/>
                <w:sz w:val="21"/>
              </w:rPr>
            </w:pPr>
            <w:r>
              <w:rPr>
                <w:b/>
                <w:sz w:val="21"/>
              </w:rPr>
              <w:t>合计</w:t>
            </w:r>
          </w:p>
        </w:tc>
        <w:tc>
          <w:tcPr>
            <w:tcW w:w="1437" w:type="dxa"/>
            <w:vMerge/>
            <w:tcBorders>
              <w:top w:val="nil"/>
            </w:tcBorders>
          </w:tcPr>
          <w:p>
            <w:pPr>
              <w:rPr>
                <w:sz w:val="2"/>
                <w:szCs w:val="2"/>
              </w:rPr>
            </w:pPr>
          </w:p>
        </w:tc>
        <w:tc>
          <w:tcPr>
            <w:tcW w:w="1152" w:type="dxa"/>
            <w:vMerge/>
            <w:tcBorders>
              <w:top w:val="nil"/>
            </w:tcBorders>
          </w:tcPr>
          <w:p>
            <w:pPr>
              <w:rPr>
                <w:sz w:val="2"/>
                <w:szCs w:val="2"/>
              </w:rPr>
            </w:pPr>
          </w:p>
        </w:tc>
        <w:tc>
          <w:tcPr>
            <w:tcW w:w="1437" w:type="dxa"/>
            <w:vMerge/>
            <w:tcBorders>
              <w:top w:val="nil"/>
            </w:tcBorders>
          </w:tcPr>
          <w:p>
            <w:pPr>
              <w:rPr>
                <w:sz w:val="2"/>
                <w:szCs w:val="2"/>
              </w:rPr>
            </w:pPr>
          </w:p>
        </w:tc>
        <w:tc>
          <w:tcPr>
            <w:tcW w:w="1096" w:type="dxa"/>
            <w:vMerge/>
            <w:tcBorders>
              <w:top w:val="nil"/>
            </w:tcBorders>
          </w:tcPr>
          <w:p>
            <w:pPr>
              <w:rPr>
                <w:sz w:val="2"/>
                <w:szCs w:val="2"/>
              </w:rPr>
            </w:pPr>
          </w:p>
        </w:tc>
      </w:tr>
      <w:tr>
        <w:trPr>
          <w:trHeight w:val="285" w:hRule="atLeast"/>
        </w:trPr>
        <w:tc>
          <w:tcPr>
            <w:tcW w:w="1385" w:type="dxa"/>
            <w:vMerge w:val="restart"/>
          </w:tcPr>
          <w:p>
            <w:pPr>
              <w:pStyle w:val="TableParagraph"/>
              <w:spacing w:before="164"/>
              <w:ind w:left="165"/>
              <w:jc w:val="left"/>
              <w:rPr>
                <w:sz w:val="21"/>
              </w:rPr>
            </w:pPr>
            <w:r>
              <w:rPr>
                <w:spacing w:val="-1"/>
                <w:sz w:val="21"/>
              </w:rPr>
              <w:t>厂界东北侧</w:t>
            </w:r>
          </w:p>
          <w:p>
            <w:pPr>
              <w:pStyle w:val="TableParagraph"/>
              <w:spacing w:before="4"/>
              <w:ind w:left="165"/>
              <w:jc w:val="left"/>
              <w:rPr>
                <w:sz w:val="21"/>
              </w:rPr>
            </w:pPr>
            <w:r>
              <w:rPr>
                <w:sz w:val="21"/>
              </w:rPr>
              <w:t>（</w:t>
            </w:r>
            <w:r>
              <w:rPr>
                <w:spacing w:val="-2"/>
                <w:sz w:val="21"/>
              </w:rPr>
              <w:t>上风向</w:t>
            </w:r>
            <w:r>
              <w:rPr>
                <w:sz w:val="21"/>
              </w:rPr>
              <w:t>）</w:t>
            </w:r>
          </w:p>
        </w:tc>
        <w:tc>
          <w:tcPr>
            <w:tcW w:w="1603" w:type="dxa"/>
          </w:tcPr>
          <w:p>
            <w:pPr>
              <w:pStyle w:val="TableParagraph"/>
              <w:spacing w:before="22"/>
              <w:ind w:left="245" w:right="235"/>
              <w:rPr>
                <w:rFonts w:ascii="Times New Roman"/>
                <w:sz w:val="21"/>
              </w:rPr>
            </w:pPr>
            <w:r>
              <w:rPr>
                <w:rFonts w:ascii="Times New Roman"/>
                <w:sz w:val="21"/>
              </w:rPr>
              <w:t>8:41~9:41</w:t>
            </w:r>
          </w:p>
        </w:tc>
        <w:tc>
          <w:tcPr>
            <w:tcW w:w="1234" w:type="dxa"/>
          </w:tcPr>
          <w:p>
            <w:pPr>
              <w:pStyle w:val="TableParagraph"/>
              <w:spacing w:before="22"/>
              <w:ind w:left="489" w:right="484"/>
              <w:rPr>
                <w:rFonts w:ascii="Times New Roman"/>
                <w:sz w:val="21"/>
              </w:rPr>
            </w:pPr>
            <w:r>
              <w:rPr>
                <w:rFonts w:ascii="Times New Roman"/>
                <w:sz w:val="21"/>
              </w:rPr>
              <w:t>10</w:t>
            </w:r>
          </w:p>
        </w:tc>
        <w:tc>
          <w:tcPr>
            <w:tcW w:w="991" w:type="dxa"/>
          </w:tcPr>
          <w:p>
            <w:pPr>
              <w:pStyle w:val="TableParagraph"/>
              <w:spacing w:line="257" w:lineRule="exact" w:before="8"/>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22"/>
              <w:ind w:left="38" w:right="25"/>
              <w:rPr>
                <w:rFonts w:ascii="Times New Roman"/>
                <w:sz w:val="21"/>
              </w:rPr>
            </w:pPr>
            <w:r>
              <w:rPr>
                <w:rFonts w:ascii="Times New Roman"/>
                <w:sz w:val="21"/>
              </w:rPr>
              <w:t>0.040</w:t>
            </w:r>
          </w:p>
        </w:tc>
        <w:tc>
          <w:tcPr>
            <w:tcW w:w="991" w:type="dxa"/>
          </w:tcPr>
          <w:p>
            <w:pPr>
              <w:pStyle w:val="TableParagraph"/>
              <w:spacing w:line="257" w:lineRule="exact" w:before="8"/>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8"/>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22"/>
              <w:ind w:left="34" w:right="21"/>
              <w:rPr>
                <w:rFonts w:ascii="Times New Roman"/>
                <w:sz w:val="21"/>
              </w:rPr>
            </w:pPr>
            <w:r>
              <w:rPr>
                <w:rFonts w:ascii="Times New Roman"/>
                <w:sz w:val="21"/>
              </w:rPr>
              <w:t>0.0065</w:t>
            </w:r>
          </w:p>
        </w:tc>
        <w:tc>
          <w:tcPr>
            <w:tcW w:w="1437" w:type="dxa"/>
          </w:tcPr>
          <w:p>
            <w:pPr>
              <w:pStyle w:val="TableParagraph"/>
              <w:spacing w:before="22"/>
              <w:ind w:left="537"/>
              <w:jc w:val="left"/>
              <w:rPr>
                <w:rFonts w:ascii="Times New Roman"/>
                <w:sz w:val="21"/>
              </w:rPr>
            </w:pPr>
            <w:r>
              <w:rPr>
                <w:rFonts w:ascii="Times New Roman"/>
                <w:sz w:val="21"/>
              </w:rPr>
              <w:t>0.64</w:t>
            </w:r>
          </w:p>
        </w:tc>
        <w:tc>
          <w:tcPr>
            <w:tcW w:w="1152" w:type="dxa"/>
          </w:tcPr>
          <w:p>
            <w:pPr>
              <w:pStyle w:val="TableParagraph"/>
              <w:spacing w:before="22"/>
              <w:ind w:left="216" w:right="200"/>
              <w:rPr>
                <w:rFonts w:ascii="Times New Roman"/>
                <w:sz w:val="21"/>
              </w:rPr>
            </w:pPr>
            <w:r>
              <w:rPr>
                <w:rFonts w:ascii="Times New Roman"/>
                <w:sz w:val="21"/>
              </w:rPr>
              <w:t>0.004</w:t>
            </w:r>
          </w:p>
        </w:tc>
        <w:tc>
          <w:tcPr>
            <w:tcW w:w="1437" w:type="dxa"/>
          </w:tcPr>
          <w:p>
            <w:pPr>
              <w:pStyle w:val="TableParagraph"/>
              <w:spacing w:line="257" w:lineRule="exact" w:before="8"/>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8"/>
              <w:ind w:left="189" w:right="171"/>
              <w:rPr>
                <w:rFonts w:ascii="Times New Roman" w:eastAsia="Times New Roman"/>
                <w:sz w:val="21"/>
              </w:rPr>
            </w:pPr>
            <w:r>
              <w:rPr>
                <w:sz w:val="21"/>
              </w:rPr>
              <w:t>＜</w:t>
            </w:r>
            <w:r>
              <w:rPr>
                <w:rFonts w:ascii="Times New Roman" w:eastAsia="Times New Roman"/>
                <w:sz w:val="21"/>
              </w:rPr>
              <w:t>0.004</w:t>
            </w:r>
          </w:p>
        </w:tc>
      </w:tr>
      <w:tr>
        <w:trPr>
          <w:trHeight w:val="282" w:hRule="atLeast"/>
        </w:trPr>
        <w:tc>
          <w:tcPr>
            <w:tcW w:w="1385" w:type="dxa"/>
            <w:vMerge/>
            <w:tcBorders>
              <w:top w:val="nil"/>
            </w:tcBorders>
          </w:tcPr>
          <w:p>
            <w:pPr>
              <w:rPr>
                <w:sz w:val="2"/>
                <w:szCs w:val="2"/>
              </w:rPr>
            </w:pPr>
          </w:p>
        </w:tc>
        <w:tc>
          <w:tcPr>
            <w:tcW w:w="1603" w:type="dxa"/>
          </w:tcPr>
          <w:p>
            <w:pPr>
              <w:pStyle w:val="TableParagraph"/>
              <w:spacing w:before="19"/>
              <w:ind w:left="247" w:right="235"/>
              <w:rPr>
                <w:rFonts w:ascii="Times New Roman"/>
                <w:sz w:val="21"/>
              </w:rPr>
            </w:pPr>
            <w:r>
              <w:rPr>
                <w:rFonts w:ascii="Times New Roman"/>
                <w:sz w:val="21"/>
              </w:rPr>
              <w:t>12:09~13:09</w:t>
            </w:r>
          </w:p>
        </w:tc>
        <w:tc>
          <w:tcPr>
            <w:tcW w:w="1234" w:type="dxa"/>
          </w:tcPr>
          <w:p>
            <w:pPr>
              <w:pStyle w:val="TableParagraph"/>
              <w:spacing w:before="19"/>
              <w:ind w:left="489" w:right="484"/>
              <w:rPr>
                <w:rFonts w:ascii="Times New Roman"/>
                <w:sz w:val="21"/>
              </w:rPr>
            </w:pPr>
            <w:r>
              <w:rPr>
                <w:rFonts w:ascii="Times New Roman"/>
                <w:sz w:val="21"/>
              </w:rPr>
              <w:t>12</w:t>
            </w:r>
          </w:p>
        </w:tc>
        <w:tc>
          <w:tcPr>
            <w:tcW w:w="991" w:type="dxa"/>
          </w:tcPr>
          <w:p>
            <w:pPr>
              <w:pStyle w:val="TableParagraph"/>
              <w:spacing w:line="257" w:lineRule="exact" w:before="6"/>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19"/>
              <w:ind w:left="38" w:right="25"/>
              <w:rPr>
                <w:rFonts w:ascii="Times New Roman"/>
                <w:sz w:val="21"/>
              </w:rPr>
            </w:pPr>
            <w:r>
              <w:rPr>
                <w:rFonts w:ascii="Times New Roman"/>
                <w:sz w:val="21"/>
              </w:rPr>
              <w:t>0.038</w:t>
            </w:r>
          </w:p>
        </w:tc>
        <w:tc>
          <w:tcPr>
            <w:tcW w:w="991" w:type="dxa"/>
          </w:tcPr>
          <w:p>
            <w:pPr>
              <w:pStyle w:val="TableParagraph"/>
              <w:spacing w:line="257" w:lineRule="exact" w:before="6"/>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6"/>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19"/>
              <w:ind w:left="34" w:right="21"/>
              <w:rPr>
                <w:rFonts w:ascii="Times New Roman"/>
                <w:sz w:val="21"/>
              </w:rPr>
            </w:pPr>
            <w:r>
              <w:rPr>
                <w:rFonts w:ascii="Times New Roman"/>
                <w:sz w:val="21"/>
              </w:rPr>
              <w:t>0.0065</w:t>
            </w:r>
          </w:p>
        </w:tc>
        <w:tc>
          <w:tcPr>
            <w:tcW w:w="1437" w:type="dxa"/>
          </w:tcPr>
          <w:p>
            <w:pPr>
              <w:pStyle w:val="TableParagraph"/>
              <w:spacing w:before="19"/>
              <w:ind w:left="537"/>
              <w:jc w:val="left"/>
              <w:rPr>
                <w:rFonts w:ascii="Times New Roman"/>
                <w:sz w:val="21"/>
              </w:rPr>
            </w:pPr>
            <w:r>
              <w:rPr>
                <w:rFonts w:ascii="Times New Roman"/>
                <w:sz w:val="21"/>
              </w:rPr>
              <w:t>0.60</w:t>
            </w:r>
          </w:p>
        </w:tc>
        <w:tc>
          <w:tcPr>
            <w:tcW w:w="1152" w:type="dxa"/>
          </w:tcPr>
          <w:p>
            <w:pPr>
              <w:pStyle w:val="TableParagraph"/>
              <w:spacing w:line="257" w:lineRule="exact" w:before="6"/>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6"/>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6"/>
              <w:ind w:left="189" w:right="171"/>
              <w:rPr>
                <w:rFonts w:ascii="Times New Roman" w:eastAsia="Times New Roman"/>
                <w:sz w:val="21"/>
              </w:rPr>
            </w:pPr>
            <w:r>
              <w:rPr>
                <w:sz w:val="21"/>
              </w:rPr>
              <w:t>＜</w:t>
            </w:r>
            <w:r>
              <w:rPr>
                <w:rFonts w:ascii="Times New Roman" w:eastAsia="Times New Roman"/>
                <w:sz w:val="21"/>
              </w:rPr>
              <w:t>0.004</w:t>
            </w:r>
          </w:p>
        </w:tc>
      </w:tr>
      <w:tr>
        <w:trPr>
          <w:trHeight w:val="285" w:hRule="atLeast"/>
        </w:trPr>
        <w:tc>
          <w:tcPr>
            <w:tcW w:w="1385" w:type="dxa"/>
            <w:vMerge/>
            <w:tcBorders>
              <w:top w:val="nil"/>
            </w:tcBorders>
          </w:tcPr>
          <w:p>
            <w:pPr>
              <w:rPr>
                <w:sz w:val="2"/>
                <w:szCs w:val="2"/>
              </w:rPr>
            </w:pPr>
          </w:p>
        </w:tc>
        <w:tc>
          <w:tcPr>
            <w:tcW w:w="1603" w:type="dxa"/>
          </w:tcPr>
          <w:p>
            <w:pPr>
              <w:pStyle w:val="TableParagraph"/>
              <w:spacing w:before="22"/>
              <w:ind w:left="247" w:right="235"/>
              <w:rPr>
                <w:rFonts w:ascii="Times New Roman"/>
                <w:sz w:val="21"/>
              </w:rPr>
            </w:pPr>
            <w:r>
              <w:rPr>
                <w:rFonts w:ascii="Times New Roman"/>
                <w:sz w:val="21"/>
              </w:rPr>
              <w:t>15:21~16:21</w:t>
            </w:r>
          </w:p>
        </w:tc>
        <w:tc>
          <w:tcPr>
            <w:tcW w:w="1234" w:type="dxa"/>
          </w:tcPr>
          <w:p>
            <w:pPr>
              <w:pStyle w:val="TableParagraph"/>
              <w:spacing w:before="22"/>
              <w:ind w:left="489" w:right="484"/>
              <w:rPr>
                <w:rFonts w:ascii="Times New Roman"/>
                <w:sz w:val="21"/>
              </w:rPr>
            </w:pPr>
            <w:r>
              <w:rPr>
                <w:rFonts w:ascii="Times New Roman"/>
                <w:sz w:val="21"/>
              </w:rPr>
              <w:t>11</w:t>
            </w:r>
          </w:p>
        </w:tc>
        <w:tc>
          <w:tcPr>
            <w:tcW w:w="991" w:type="dxa"/>
          </w:tcPr>
          <w:p>
            <w:pPr>
              <w:pStyle w:val="TableParagraph"/>
              <w:spacing w:line="257" w:lineRule="exact" w:before="8"/>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22"/>
              <w:ind w:left="38" w:right="25"/>
              <w:rPr>
                <w:rFonts w:ascii="Times New Roman"/>
                <w:sz w:val="21"/>
              </w:rPr>
            </w:pPr>
            <w:r>
              <w:rPr>
                <w:rFonts w:ascii="Times New Roman"/>
                <w:sz w:val="21"/>
              </w:rPr>
              <w:t>0.033</w:t>
            </w:r>
          </w:p>
        </w:tc>
        <w:tc>
          <w:tcPr>
            <w:tcW w:w="991" w:type="dxa"/>
          </w:tcPr>
          <w:p>
            <w:pPr>
              <w:pStyle w:val="TableParagraph"/>
              <w:spacing w:line="257" w:lineRule="exact" w:before="8"/>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8"/>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22"/>
              <w:ind w:left="34" w:right="21"/>
              <w:rPr>
                <w:rFonts w:ascii="Times New Roman"/>
                <w:sz w:val="21"/>
              </w:rPr>
            </w:pPr>
            <w:r>
              <w:rPr>
                <w:rFonts w:ascii="Times New Roman"/>
                <w:sz w:val="21"/>
              </w:rPr>
              <w:t>0.0065</w:t>
            </w:r>
          </w:p>
        </w:tc>
        <w:tc>
          <w:tcPr>
            <w:tcW w:w="1437" w:type="dxa"/>
          </w:tcPr>
          <w:p>
            <w:pPr>
              <w:pStyle w:val="TableParagraph"/>
              <w:spacing w:before="22"/>
              <w:ind w:left="537"/>
              <w:jc w:val="left"/>
              <w:rPr>
                <w:rFonts w:ascii="Times New Roman"/>
                <w:sz w:val="21"/>
              </w:rPr>
            </w:pPr>
            <w:r>
              <w:rPr>
                <w:rFonts w:ascii="Times New Roman"/>
                <w:sz w:val="21"/>
              </w:rPr>
              <w:t>0.61</w:t>
            </w:r>
          </w:p>
        </w:tc>
        <w:tc>
          <w:tcPr>
            <w:tcW w:w="1152" w:type="dxa"/>
          </w:tcPr>
          <w:p>
            <w:pPr>
              <w:pStyle w:val="TableParagraph"/>
              <w:spacing w:before="22"/>
              <w:ind w:left="216" w:right="200"/>
              <w:rPr>
                <w:rFonts w:ascii="Times New Roman"/>
                <w:sz w:val="21"/>
              </w:rPr>
            </w:pPr>
            <w:r>
              <w:rPr>
                <w:rFonts w:ascii="Times New Roman"/>
                <w:sz w:val="21"/>
              </w:rPr>
              <w:t>0.003</w:t>
            </w:r>
          </w:p>
        </w:tc>
        <w:tc>
          <w:tcPr>
            <w:tcW w:w="1437" w:type="dxa"/>
          </w:tcPr>
          <w:p>
            <w:pPr>
              <w:pStyle w:val="TableParagraph"/>
              <w:spacing w:line="257" w:lineRule="exact" w:before="8"/>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8"/>
              <w:ind w:left="189" w:right="171"/>
              <w:rPr>
                <w:rFonts w:ascii="Times New Roman" w:eastAsia="Times New Roman"/>
                <w:sz w:val="21"/>
              </w:rPr>
            </w:pPr>
            <w:r>
              <w:rPr>
                <w:sz w:val="21"/>
              </w:rPr>
              <w:t>＜</w:t>
            </w:r>
            <w:r>
              <w:rPr>
                <w:rFonts w:ascii="Times New Roman" w:eastAsia="Times New Roman"/>
                <w:sz w:val="21"/>
              </w:rPr>
              <w:t>0.004</w:t>
            </w:r>
          </w:p>
        </w:tc>
      </w:tr>
      <w:tr>
        <w:trPr>
          <w:trHeight w:val="282" w:hRule="atLeast"/>
        </w:trPr>
        <w:tc>
          <w:tcPr>
            <w:tcW w:w="1385" w:type="dxa"/>
            <w:vMerge w:val="restart"/>
          </w:tcPr>
          <w:p>
            <w:pPr>
              <w:pStyle w:val="TableParagraph"/>
              <w:spacing w:line="242" w:lineRule="auto" w:before="164"/>
              <w:ind w:left="377" w:right="93" w:hanging="270"/>
              <w:jc w:val="left"/>
              <w:rPr>
                <w:sz w:val="21"/>
              </w:rPr>
            </w:pPr>
            <w:r>
              <w:rPr>
                <w:spacing w:val="-24"/>
                <w:sz w:val="21"/>
              </w:rPr>
              <w:t>厂界南侧</w:t>
            </w:r>
            <w:r>
              <w:rPr>
                <w:spacing w:val="-3"/>
                <w:sz w:val="21"/>
              </w:rPr>
              <w:t>（</w:t>
            </w:r>
            <w:r>
              <w:rPr>
                <w:spacing w:val="-15"/>
                <w:sz w:val="21"/>
              </w:rPr>
              <w:t>下</w:t>
            </w:r>
            <w:r>
              <w:rPr>
                <w:sz w:val="21"/>
              </w:rPr>
              <w:t>风向）</w:t>
            </w:r>
          </w:p>
        </w:tc>
        <w:tc>
          <w:tcPr>
            <w:tcW w:w="1603" w:type="dxa"/>
          </w:tcPr>
          <w:p>
            <w:pPr>
              <w:pStyle w:val="TableParagraph"/>
              <w:spacing w:before="19"/>
              <w:ind w:left="247" w:right="235"/>
              <w:rPr>
                <w:rFonts w:ascii="Times New Roman"/>
                <w:sz w:val="21"/>
              </w:rPr>
            </w:pPr>
            <w:r>
              <w:rPr>
                <w:rFonts w:ascii="Times New Roman"/>
                <w:sz w:val="21"/>
              </w:rPr>
              <w:t>8:41~9:41</w:t>
            </w:r>
          </w:p>
        </w:tc>
        <w:tc>
          <w:tcPr>
            <w:tcW w:w="1234" w:type="dxa"/>
          </w:tcPr>
          <w:p>
            <w:pPr>
              <w:pStyle w:val="TableParagraph"/>
              <w:spacing w:before="19"/>
              <w:ind w:left="489" w:right="484"/>
              <w:rPr>
                <w:rFonts w:ascii="Times New Roman"/>
                <w:sz w:val="21"/>
              </w:rPr>
            </w:pPr>
            <w:r>
              <w:rPr>
                <w:rFonts w:ascii="Times New Roman"/>
                <w:sz w:val="21"/>
              </w:rPr>
              <w:t>14</w:t>
            </w:r>
          </w:p>
        </w:tc>
        <w:tc>
          <w:tcPr>
            <w:tcW w:w="991" w:type="dxa"/>
          </w:tcPr>
          <w:p>
            <w:pPr>
              <w:pStyle w:val="TableParagraph"/>
              <w:spacing w:line="257" w:lineRule="exact" w:before="5"/>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19"/>
              <w:ind w:left="38" w:right="25"/>
              <w:rPr>
                <w:rFonts w:ascii="Times New Roman"/>
                <w:sz w:val="21"/>
              </w:rPr>
            </w:pPr>
            <w:r>
              <w:rPr>
                <w:rFonts w:ascii="Times New Roman"/>
                <w:sz w:val="21"/>
              </w:rPr>
              <w:t>0.036</w:t>
            </w:r>
          </w:p>
        </w:tc>
        <w:tc>
          <w:tcPr>
            <w:tcW w:w="991" w:type="dxa"/>
          </w:tcPr>
          <w:p>
            <w:pPr>
              <w:pStyle w:val="TableParagraph"/>
              <w:spacing w:line="257" w:lineRule="exact" w:before="5"/>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5"/>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19"/>
              <w:ind w:left="34" w:right="21"/>
              <w:rPr>
                <w:rFonts w:ascii="Times New Roman"/>
                <w:sz w:val="21"/>
              </w:rPr>
            </w:pPr>
            <w:r>
              <w:rPr>
                <w:rFonts w:ascii="Times New Roman"/>
                <w:sz w:val="21"/>
              </w:rPr>
              <w:t>0.0065</w:t>
            </w:r>
          </w:p>
        </w:tc>
        <w:tc>
          <w:tcPr>
            <w:tcW w:w="1437" w:type="dxa"/>
          </w:tcPr>
          <w:p>
            <w:pPr>
              <w:pStyle w:val="TableParagraph"/>
              <w:spacing w:before="19"/>
              <w:ind w:left="537"/>
              <w:jc w:val="left"/>
              <w:rPr>
                <w:rFonts w:ascii="Times New Roman"/>
                <w:sz w:val="21"/>
              </w:rPr>
            </w:pPr>
            <w:r>
              <w:rPr>
                <w:rFonts w:ascii="Times New Roman"/>
                <w:sz w:val="21"/>
              </w:rPr>
              <w:t>0.68</w:t>
            </w:r>
          </w:p>
        </w:tc>
        <w:tc>
          <w:tcPr>
            <w:tcW w:w="1152" w:type="dxa"/>
          </w:tcPr>
          <w:p>
            <w:pPr>
              <w:pStyle w:val="TableParagraph"/>
              <w:spacing w:line="257" w:lineRule="exact" w:before="5"/>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5"/>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5"/>
              <w:ind w:left="189" w:right="171"/>
              <w:rPr>
                <w:rFonts w:ascii="Times New Roman" w:eastAsia="Times New Roman"/>
                <w:sz w:val="21"/>
              </w:rPr>
            </w:pPr>
            <w:r>
              <w:rPr>
                <w:sz w:val="21"/>
              </w:rPr>
              <w:t>＜</w:t>
            </w:r>
            <w:r>
              <w:rPr>
                <w:rFonts w:ascii="Times New Roman" w:eastAsia="Times New Roman"/>
                <w:sz w:val="21"/>
              </w:rPr>
              <w:t>0.004</w:t>
            </w:r>
          </w:p>
        </w:tc>
      </w:tr>
      <w:tr>
        <w:trPr>
          <w:trHeight w:val="285" w:hRule="atLeast"/>
        </w:trPr>
        <w:tc>
          <w:tcPr>
            <w:tcW w:w="1385" w:type="dxa"/>
            <w:vMerge/>
            <w:tcBorders>
              <w:top w:val="nil"/>
            </w:tcBorders>
          </w:tcPr>
          <w:p>
            <w:pPr>
              <w:rPr>
                <w:sz w:val="2"/>
                <w:szCs w:val="2"/>
              </w:rPr>
            </w:pPr>
          </w:p>
        </w:tc>
        <w:tc>
          <w:tcPr>
            <w:tcW w:w="1603" w:type="dxa"/>
          </w:tcPr>
          <w:p>
            <w:pPr>
              <w:pStyle w:val="TableParagraph"/>
              <w:spacing w:before="22"/>
              <w:ind w:left="247" w:right="235"/>
              <w:rPr>
                <w:rFonts w:ascii="Times New Roman"/>
                <w:sz w:val="21"/>
              </w:rPr>
            </w:pPr>
            <w:r>
              <w:rPr>
                <w:rFonts w:ascii="Times New Roman"/>
                <w:sz w:val="21"/>
              </w:rPr>
              <w:t>12:09~13:09</w:t>
            </w:r>
          </w:p>
        </w:tc>
        <w:tc>
          <w:tcPr>
            <w:tcW w:w="1234" w:type="dxa"/>
          </w:tcPr>
          <w:p>
            <w:pPr>
              <w:pStyle w:val="TableParagraph"/>
              <w:spacing w:before="22"/>
              <w:ind w:left="489" w:right="484"/>
              <w:rPr>
                <w:rFonts w:ascii="Times New Roman"/>
                <w:sz w:val="21"/>
              </w:rPr>
            </w:pPr>
            <w:r>
              <w:rPr>
                <w:rFonts w:ascii="Times New Roman"/>
                <w:sz w:val="21"/>
              </w:rPr>
              <w:t>15</w:t>
            </w:r>
          </w:p>
        </w:tc>
        <w:tc>
          <w:tcPr>
            <w:tcW w:w="991" w:type="dxa"/>
          </w:tcPr>
          <w:p>
            <w:pPr>
              <w:pStyle w:val="TableParagraph"/>
              <w:spacing w:line="257" w:lineRule="exact" w:before="8"/>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22"/>
              <w:ind w:left="38" w:right="25"/>
              <w:rPr>
                <w:rFonts w:ascii="Times New Roman"/>
                <w:sz w:val="21"/>
              </w:rPr>
            </w:pPr>
            <w:r>
              <w:rPr>
                <w:rFonts w:ascii="Times New Roman"/>
                <w:sz w:val="21"/>
              </w:rPr>
              <w:t>0.035</w:t>
            </w:r>
          </w:p>
        </w:tc>
        <w:tc>
          <w:tcPr>
            <w:tcW w:w="991" w:type="dxa"/>
          </w:tcPr>
          <w:p>
            <w:pPr>
              <w:pStyle w:val="TableParagraph"/>
              <w:spacing w:line="257" w:lineRule="exact" w:before="8"/>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8"/>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22"/>
              <w:ind w:left="34" w:right="21"/>
              <w:rPr>
                <w:rFonts w:ascii="Times New Roman"/>
                <w:sz w:val="21"/>
              </w:rPr>
            </w:pPr>
            <w:r>
              <w:rPr>
                <w:rFonts w:ascii="Times New Roman"/>
                <w:sz w:val="21"/>
              </w:rPr>
              <w:t>0.0065</w:t>
            </w:r>
          </w:p>
        </w:tc>
        <w:tc>
          <w:tcPr>
            <w:tcW w:w="1437" w:type="dxa"/>
          </w:tcPr>
          <w:p>
            <w:pPr>
              <w:pStyle w:val="TableParagraph"/>
              <w:spacing w:before="22"/>
              <w:ind w:left="537"/>
              <w:jc w:val="left"/>
              <w:rPr>
                <w:rFonts w:ascii="Times New Roman"/>
                <w:sz w:val="21"/>
              </w:rPr>
            </w:pPr>
            <w:r>
              <w:rPr>
                <w:rFonts w:ascii="Times New Roman"/>
                <w:sz w:val="21"/>
              </w:rPr>
              <w:t>0.67</w:t>
            </w:r>
          </w:p>
        </w:tc>
        <w:tc>
          <w:tcPr>
            <w:tcW w:w="1152" w:type="dxa"/>
          </w:tcPr>
          <w:p>
            <w:pPr>
              <w:pStyle w:val="TableParagraph"/>
              <w:spacing w:line="257" w:lineRule="exact" w:before="8"/>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8"/>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8"/>
              <w:ind w:left="189" w:right="171"/>
              <w:rPr>
                <w:rFonts w:ascii="Times New Roman" w:eastAsia="Times New Roman"/>
                <w:sz w:val="21"/>
              </w:rPr>
            </w:pPr>
            <w:r>
              <w:rPr>
                <w:sz w:val="21"/>
              </w:rPr>
              <w:t>＜</w:t>
            </w:r>
            <w:r>
              <w:rPr>
                <w:rFonts w:ascii="Times New Roman" w:eastAsia="Times New Roman"/>
                <w:sz w:val="21"/>
              </w:rPr>
              <w:t>0.004</w:t>
            </w:r>
          </w:p>
        </w:tc>
      </w:tr>
      <w:tr>
        <w:trPr>
          <w:trHeight w:val="282" w:hRule="atLeast"/>
        </w:trPr>
        <w:tc>
          <w:tcPr>
            <w:tcW w:w="1385" w:type="dxa"/>
            <w:vMerge/>
            <w:tcBorders>
              <w:top w:val="nil"/>
            </w:tcBorders>
          </w:tcPr>
          <w:p>
            <w:pPr>
              <w:rPr>
                <w:sz w:val="2"/>
                <w:szCs w:val="2"/>
              </w:rPr>
            </w:pPr>
          </w:p>
        </w:tc>
        <w:tc>
          <w:tcPr>
            <w:tcW w:w="1603" w:type="dxa"/>
          </w:tcPr>
          <w:p>
            <w:pPr>
              <w:pStyle w:val="TableParagraph"/>
              <w:spacing w:before="19"/>
              <w:ind w:left="247" w:right="235"/>
              <w:rPr>
                <w:rFonts w:ascii="Times New Roman"/>
                <w:sz w:val="21"/>
              </w:rPr>
            </w:pPr>
            <w:r>
              <w:rPr>
                <w:rFonts w:ascii="Times New Roman"/>
                <w:sz w:val="21"/>
              </w:rPr>
              <w:t>15:21~16:21</w:t>
            </w:r>
          </w:p>
        </w:tc>
        <w:tc>
          <w:tcPr>
            <w:tcW w:w="1234" w:type="dxa"/>
          </w:tcPr>
          <w:p>
            <w:pPr>
              <w:pStyle w:val="TableParagraph"/>
              <w:spacing w:before="19"/>
              <w:ind w:left="489" w:right="484"/>
              <w:rPr>
                <w:rFonts w:ascii="Times New Roman"/>
                <w:sz w:val="21"/>
              </w:rPr>
            </w:pPr>
            <w:r>
              <w:rPr>
                <w:rFonts w:ascii="Times New Roman"/>
                <w:sz w:val="21"/>
              </w:rPr>
              <w:t>17</w:t>
            </w:r>
          </w:p>
        </w:tc>
        <w:tc>
          <w:tcPr>
            <w:tcW w:w="991" w:type="dxa"/>
          </w:tcPr>
          <w:p>
            <w:pPr>
              <w:pStyle w:val="TableParagraph"/>
              <w:spacing w:line="257" w:lineRule="exact" w:before="6"/>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19"/>
              <w:ind w:left="38" w:right="25"/>
              <w:rPr>
                <w:rFonts w:ascii="Times New Roman"/>
                <w:sz w:val="21"/>
              </w:rPr>
            </w:pPr>
            <w:r>
              <w:rPr>
                <w:rFonts w:ascii="Times New Roman"/>
                <w:sz w:val="21"/>
              </w:rPr>
              <w:t>0.036</w:t>
            </w:r>
          </w:p>
        </w:tc>
        <w:tc>
          <w:tcPr>
            <w:tcW w:w="991" w:type="dxa"/>
          </w:tcPr>
          <w:p>
            <w:pPr>
              <w:pStyle w:val="TableParagraph"/>
              <w:spacing w:line="257" w:lineRule="exact" w:before="6"/>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6"/>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19"/>
              <w:ind w:left="34" w:right="21"/>
              <w:rPr>
                <w:rFonts w:ascii="Times New Roman"/>
                <w:sz w:val="21"/>
              </w:rPr>
            </w:pPr>
            <w:r>
              <w:rPr>
                <w:rFonts w:ascii="Times New Roman"/>
                <w:sz w:val="21"/>
              </w:rPr>
              <w:t>0.0065</w:t>
            </w:r>
          </w:p>
        </w:tc>
        <w:tc>
          <w:tcPr>
            <w:tcW w:w="1437" w:type="dxa"/>
          </w:tcPr>
          <w:p>
            <w:pPr>
              <w:pStyle w:val="TableParagraph"/>
              <w:spacing w:before="19"/>
              <w:ind w:left="537"/>
              <w:jc w:val="left"/>
              <w:rPr>
                <w:rFonts w:ascii="Times New Roman"/>
                <w:sz w:val="21"/>
              </w:rPr>
            </w:pPr>
            <w:r>
              <w:rPr>
                <w:rFonts w:ascii="Times New Roman"/>
                <w:sz w:val="21"/>
              </w:rPr>
              <w:t>0.70</w:t>
            </w:r>
          </w:p>
        </w:tc>
        <w:tc>
          <w:tcPr>
            <w:tcW w:w="1152" w:type="dxa"/>
          </w:tcPr>
          <w:p>
            <w:pPr>
              <w:pStyle w:val="TableParagraph"/>
              <w:spacing w:line="257" w:lineRule="exact" w:before="6"/>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6"/>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6"/>
              <w:ind w:left="189" w:right="171"/>
              <w:rPr>
                <w:rFonts w:ascii="Times New Roman" w:eastAsia="Times New Roman"/>
                <w:sz w:val="21"/>
              </w:rPr>
            </w:pPr>
            <w:r>
              <w:rPr>
                <w:sz w:val="21"/>
              </w:rPr>
              <w:t>＜</w:t>
            </w:r>
            <w:r>
              <w:rPr>
                <w:rFonts w:ascii="Times New Roman" w:eastAsia="Times New Roman"/>
                <w:sz w:val="21"/>
              </w:rPr>
              <w:t>0.004</w:t>
            </w:r>
          </w:p>
        </w:tc>
      </w:tr>
      <w:tr>
        <w:trPr>
          <w:trHeight w:val="285" w:hRule="atLeast"/>
        </w:trPr>
        <w:tc>
          <w:tcPr>
            <w:tcW w:w="1385" w:type="dxa"/>
            <w:vMerge w:val="restart"/>
          </w:tcPr>
          <w:p>
            <w:pPr>
              <w:pStyle w:val="TableParagraph"/>
              <w:spacing w:before="165"/>
              <w:ind w:left="165"/>
              <w:jc w:val="left"/>
              <w:rPr>
                <w:sz w:val="21"/>
              </w:rPr>
            </w:pPr>
            <w:r>
              <w:rPr>
                <w:spacing w:val="-1"/>
                <w:sz w:val="21"/>
              </w:rPr>
              <w:t>厂界新安侧</w:t>
            </w:r>
          </w:p>
          <w:p>
            <w:pPr>
              <w:pStyle w:val="TableParagraph"/>
              <w:spacing w:before="4"/>
              <w:ind w:left="165"/>
              <w:jc w:val="left"/>
              <w:rPr>
                <w:sz w:val="21"/>
              </w:rPr>
            </w:pPr>
            <w:r>
              <w:rPr>
                <w:sz w:val="21"/>
              </w:rPr>
              <w:t>（</w:t>
            </w:r>
            <w:r>
              <w:rPr>
                <w:spacing w:val="-2"/>
                <w:sz w:val="21"/>
              </w:rPr>
              <w:t>下风向</w:t>
            </w:r>
            <w:r>
              <w:rPr>
                <w:sz w:val="21"/>
              </w:rPr>
              <w:t>）</w:t>
            </w:r>
          </w:p>
        </w:tc>
        <w:tc>
          <w:tcPr>
            <w:tcW w:w="1603" w:type="dxa"/>
          </w:tcPr>
          <w:p>
            <w:pPr>
              <w:pStyle w:val="TableParagraph"/>
              <w:spacing w:before="22"/>
              <w:ind w:left="245" w:right="235"/>
              <w:rPr>
                <w:rFonts w:ascii="Times New Roman"/>
                <w:sz w:val="21"/>
              </w:rPr>
            </w:pPr>
            <w:r>
              <w:rPr>
                <w:rFonts w:ascii="Times New Roman"/>
                <w:sz w:val="21"/>
              </w:rPr>
              <w:t>8:41~9:41</w:t>
            </w:r>
          </w:p>
        </w:tc>
        <w:tc>
          <w:tcPr>
            <w:tcW w:w="1234" w:type="dxa"/>
          </w:tcPr>
          <w:p>
            <w:pPr>
              <w:pStyle w:val="TableParagraph"/>
              <w:spacing w:before="22"/>
              <w:ind w:left="489" w:right="484"/>
              <w:rPr>
                <w:rFonts w:ascii="Times New Roman"/>
                <w:sz w:val="21"/>
              </w:rPr>
            </w:pPr>
            <w:r>
              <w:rPr>
                <w:rFonts w:ascii="Times New Roman"/>
                <w:sz w:val="21"/>
              </w:rPr>
              <w:t>18</w:t>
            </w:r>
          </w:p>
        </w:tc>
        <w:tc>
          <w:tcPr>
            <w:tcW w:w="991" w:type="dxa"/>
          </w:tcPr>
          <w:p>
            <w:pPr>
              <w:pStyle w:val="TableParagraph"/>
              <w:spacing w:line="257" w:lineRule="exact" w:before="9"/>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22"/>
              <w:ind w:left="38" w:right="25"/>
              <w:rPr>
                <w:rFonts w:ascii="Times New Roman"/>
                <w:sz w:val="21"/>
              </w:rPr>
            </w:pPr>
            <w:r>
              <w:rPr>
                <w:rFonts w:ascii="Times New Roman"/>
                <w:sz w:val="21"/>
              </w:rPr>
              <w:t>0.032</w:t>
            </w:r>
          </w:p>
        </w:tc>
        <w:tc>
          <w:tcPr>
            <w:tcW w:w="991" w:type="dxa"/>
          </w:tcPr>
          <w:p>
            <w:pPr>
              <w:pStyle w:val="TableParagraph"/>
              <w:spacing w:line="257" w:lineRule="exact" w:before="9"/>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9"/>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22"/>
              <w:ind w:left="34" w:right="21"/>
              <w:rPr>
                <w:rFonts w:ascii="Times New Roman"/>
                <w:sz w:val="21"/>
              </w:rPr>
            </w:pPr>
            <w:r>
              <w:rPr>
                <w:rFonts w:ascii="Times New Roman"/>
                <w:sz w:val="21"/>
              </w:rPr>
              <w:t>0.0065</w:t>
            </w:r>
          </w:p>
        </w:tc>
        <w:tc>
          <w:tcPr>
            <w:tcW w:w="1437" w:type="dxa"/>
          </w:tcPr>
          <w:p>
            <w:pPr>
              <w:pStyle w:val="TableParagraph"/>
              <w:spacing w:before="22"/>
              <w:ind w:left="537"/>
              <w:jc w:val="left"/>
              <w:rPr>
                <w:rFonts w:ascii="Times New Roman"/>
                <w:sz w:val="21"/>
              </w:rPr>
            </w:pPr>
            <w:r>
              <w:rPr>
                <w:rFonts w:ascii="Times New Roman"/>
                <w:sz w:val="21"/>
              </w:rPr>
              <w:t>0.73</w:t>
            </w:r>
          </w:p>
        </w:tc>
        <w:tc>
          <w:tcPr>
            <w:tcW w:w="1152" w:type="dxa"/>
          </w:tcPr>
          <w:p>
            <w:pPr>
              <w:pStyle w:val="TableParagraph"/>
              <w:spacing w:line="257" w:lineRule="exact" w:before="9"/>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9"/>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9"/>
              <w:ind w:left="189" w:right="171"/>
              <w:rPr>
                <w:rFonts w:ascii="Times New Roman" w:eastAsia="Times New Roman"/>
                <w:sz w:val="21"/>
              </w:rPr>
            </w:pPr>
            <w:r>
              <w:rPr>
                <w:sz w:val="21"/>
              </w:rPr>
              <w:t>＜</w:t>
            </w:r>
            <w:r>
              <w:rPr>
                <w:rFonts w:ascii="Times New Roman" w:eastAsia="Times New Roman"/>
                <w:sz w:val="21"/>
              </w:rPr>
              <w:t>0.004</w:t>
            </w:r>
          </w:p>
        </w:tc>
      </w:tr>
      <w:tr>
        <w:trPr>
          <w:trHeight w:val="282" w:hRule="atLeast"/>
        </w:trPr>
        <w:tc>
          <w:tcPr>
            <w:tcW w:w="1385" w:type="dxa"/>
            <w:vMerge/>
            <w:tcBorders>
              <w:top w:val="nil"/>
            </w:tcBorders>
          </w:tcPr>
          <w:p>
            <w:pPr>
              <w:rPr>
                <w:sz w:val="2"/>
                <w:szCs w:val="2"/>
              </w:rPr>
            </w:pPr>
          </w:p>
        </w:tc>
        <w:tc>
          <w:tcPr>
            <w:tcW w:w="1603" w:type="dxa"/>
          </w:tcPr>
          <w:p>
            <w:pPr>
              <w:pStyle w:val="TableParagraph"/>
              <w:spacing w:before="19"/>
              <w:ind w:left="247" w:right="235"/>
              <w:rPr>
                <w:rFonts w:ascii="Times New Roman"/>
                <w:sz w:val="21"/>
              </w:rPr>
            </w:pPr>
            <w:r>
              <w:rPr>
                <w:rFonts w:ascii="Times New Roman"/>
                <w:sz w:val="21"/>
              </w:rPr>
              <w:t>12:09~13:09</w:t>
            </w:r>
          </w:p>
        </w:tc>
        <w:tc>
          <w:tcPr>
            <w:tcW w:w="1234" w:type="dxa"/>
          </w:tcPr>
          <w:p>
            <w:pPr>
              <w:pStyle w:val="TableParagraph"/>
              <w:spacing w:before="19"/>
              <w:ind w:left="489" w:right="484"/>
              <w:rPr>
                <w:rFonts w:ascii="Times New Roman"/>
                <w:sz w:val="21"/>
              </w:rPr>
            </w:pPr>
            <w:r>
              <w:rPr>
                <w:rFonts w:ascii="Times New Roman"/>
                <w:sz w:val="21"/>
              </w:rPr>
              <w:t>14</w:t>
            </w:r>
          </w:p>
        </w:tc>
        <w:tc>
          <w:tcPr>
            <w:tcW w:w="991" w:type="dxa"/>
          </w:tcPr>
          <w:p>
            <w:pPr>
              <w:pStyle w:val="TableParagraph"/>
              <w:spacing w:line="257" w:lineRule="exact" w:before="5"/>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19"/>
              <w:ind w:left="38" w:right="25"/>
              <w:rPr>
                <w:rFonts w:ascii="Times New Roman"/>
                <w:sz w:val="21"/>
              </w:rPr>
            </w:pPr>
            <w:r>
              <w:rPr>
                <w:rFonts w:ascii="Times New Roman"/>
                <w:sz w:val="21"/>
              </w:rPr>
              <w:t>0.032</w:t>
            </w:r>
          </w:p>
        </w:tc>
        <w:tc>
          <w:tcPr>
            <w:tcW w:w="991" w:type="dxa"/>
          </w:tcPr>
          <w:p>
            <w:pPr>
              <w:pStyle w:val="TableParagraph"/>
              <w:spacing w:line="257" w:lineRule="exact" w:before="5"/>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before="19"/>
              <w:ind w:left="17" w:right="8"/>
              <w:rPr>
                <w:rFonts w:ascii="Times New Roman"/>
                <w:sz w:val="21"/>
              </w:rPr>
            </w:pPr>
            <w:r>
              <w:rPr>
                <w:rFonts w:ascii="Times New Roman"/>
                <w:sz w:val="21"/>
              </w:rPr>
              <w:t>0.005</w:t>
            </w:r>
          </w:p>
        </w:tc>
        <w:tc>
          <w:tcPr>
            <w:tcW w:w="1108" w:type="dxa"/>
          </w:tcPr>
          <w:p>
            <w:pPr>
              <w:pStyle w:val="TableParagraph"/>
              <w:spacing w:before="19"/>
              <w:ind w:left="34" w:right="21"/>
              <w:rPr>
                <w:rFonts w:ascii="Times New Roman"/>
                <w:sz w:val="21"/>
              </w:rPr>
            </w:pPr>
            <w:r>
              <w:rPr>
                <w:rFonts w:ascii="Times New Roman"/>
                <w:sz w:val="21"/>
              </w:rPr>
              <w:t>0.0070</w:t>
            </w:r>
          </w:p>
        </w:tc>
        <w:tc>
          <w:tcPr>
            <w:tcW w:w="1437" w:type="dxa"/>
          </w:tcPr>
          <w:p>
            <w:pPr>
              <w:pStyle w:val="TableParagraph"/>
              <w:spacing w:before="19"/>
              <w:ind w:left="537"/>
              <w:jc w:val="left"/>
              <w:rPr>
                <w:rFonts w:ascii="Times New Roman"/>
                <w:sz w:val="21"/>
              </w:rPr>
            </w:pPr>
            <w:r>
              <w:rPr>
                <w:rFonts w:ascii="Times New Roman"/>
                <w:sz w:val="21"/>
              </w:rPr>
              <w:t>0.77</w:t>
            </w:r>
          </w:p>
        </w:tc>
        <w:tc>
          <w:tcPr>
            <w:tcW w:w="1152" w:type="dxa"/>
          </w:tcPr>
          <w:p>
            <w:pPr>
              <w:pStyle w:val="TableParagraph"/>
              <w:spacing w:line="257" w:lineRule="exact" w:before="5"/>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5"/>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5"/>
              <w:ind w:left="189" w:right="171"/>
              <w:rPr>
                <w:rFonts w:ascii="Times New Roman" w:eastAsia="Times New Roman"/>
                <w:sz w:val="21"/>
              </w:rPr>
            </w:pPr>
            <w:r>
              <w:rPr>
                <w:sz w:val="21"/>
              </w:rPr>
              <w:t>＜</w:t>
            </w:r>
            <w:r>
              <w:rPr>
                <w:rFonts w:ascii="Times New Roman" w:eastAsia="Times New Roman"/>
                <w:sz w:val="21"/>
              </w:rPr>
              <w:t>0.004</w:t>
            </w:r>
          </w:p>
        </w:tc>
      </w:tr>
      <w:tr>
        <w:trPr>
          <w:trHeight w:val="285" w:hRule="atLeast"/>
        </w:trPr>
        <w:tc>
          <w:tcPr>
            <w:tcW w:w="1385" w:type="dxa"/>
            <w:vMerge/>
            <w:tcBorders>
              <w:top w:val="nil"/>
            </w:tcBorders>
          </w:tcPr>
          <w:p>
            <w:pPr>
              <w:rPr>
                <w:sz w:val="2"/>
                <w:szCs w:val="2"/>
              </w:rPr>
            </w:pPr>
          </w:p>
        </w:tc>
        <w:tc>
          <w:tcPr>
            <w:tcW w:w="1603" w:type="dxa"/>
          </w:tcPr>
          <w:p>
            <w:pPr>
              <w:pStyle w:val="TableParagraph"/>
              <w:spacing w:before="22"/>
              <w:ind w:left="247" w:right="235"/>
              <w:rPr>
                <w:rFonts w:ascii="Times New Roman"/>
                <w:sz w:val="21"/>
              </w:rPr>
            </w:pPr>
            <w:r>
              <w:rPr>
                <w:rFonts w:ascii="Times New Roman"/>
                <w:sz w:val="21"/>
              </w:rPr>
              <w:t>15:21~16:21</w:t>
            </w:r>
          </w:p>
        </w:tc>
        <w:tc>
          <w:tcPr>
            <w:tcW w:w="1234" w:type="dxa"/>
          </w:tcPr>
          <w:p>
            <w:pPr>
              <w:pStyle w:val="TableParagraph"/>
              <w:spacing w:before="22"/>
              <w:ind w:left="489" w:right="484"/>
              <w:rPr>
                <w:rFonts w:ascii="Times New Roman"/>
                <w:sz w:val="21"/>
              </w:rPr>
            </w:pPr>
            <w:r>
              <w:rPr>
                <w:rFonts w:ascii="Times New Roman"/>
                <w:sz w:val="21"/>
              </w:rPr>
              <w:t>13</w:t>
            </w:r>
          </w:p>
        </w:tc>
        <w:tc>
          <w:tcPr>
            <w:tcW w:w="991" w:type="dxa"/>
          </w:tcPr>
          <w:p>
            <w:pPr>
              <w:pStyle w:val="TableParagraph"/>
              <w:spacing w:line="257" w:lineRule="exact" w:before="8"/>
              <w:ind w:left="11"/>
              <w:rPr>
                <w:rFonts w:ascii="Times New Roman" w:eastAsia="Times New Roman"/>
                <w:sz w:val="21"/>
              </w:rPr>
            </w:pPr>
            <w:r>
              <w:rPr>
                <w:sz w:val="21"/>
              </w:rPr>
              <w:t>＜</w:t>
            </w:r>
            <w:r>
              <w:rPr>
                <w:rFonts w:ascii="Times New Roman" w:eastAsia="Times New Roman"/>
                <w:sz w:val="21"/>
              </w:rPr>
              <w:t>0.005</w:t>
            </w:r>
          </w:p>
        </w:tc>
        <w:tc>
          <w:tcPr>
            <w:tcW w:w="852" w:type="dxa"/>
          </w:tcPr>
          <w:p>
            <w:pPr>
              <w:pStyle w:val="TableParagraph"/>
              <w:spacing w:before="22"/>
              <w:ind w:left="38" w:right="25"/>
              <w:rPr>
                <w:rFonts w:ascii="Times New Roman"/>
                <w:sz w:val="21"/>
              </w:rPr>
            </w:pPr>
            <w:r>
              <w:rPr>
                <w:rFonts w:ascii="Times New Roman"/>
                <w:sz w:val="21"/>
              </w:rPr>
              <w:t>0.030</w:t>
            </w:r>
          </w:p>
        </w:tc>
        <w:tc>
          <w:tcPr>
            <w:tcW w:w="991" w:type="dxa"/>
          </w:tcPr>
          <w:p>
            <w:pPr>
              <w:pStyle w:val="TableParagraph"/>
              <w:spacing w:line="257" w:lineRule="exact" w:before="8"/>
              <w:ind w:left="6"/>
              <w:rPr>
                <w:rFonts w:ascii="Times New Roman" w:eastAsia="Times New Roman"/>
                <w:sz w:val="21"/>
              </w:rPr>
            </w:pPr>
            <w:r>
              <w:rPr>
                <w:sz w:val="21"/>
              </w:rPr>
              <w:t>＜</w:t>
            </w:r>
            <w:r>
              <w:rPr>
                <w:rFonts w:ascii="Times New Roman" w:eastAsia="Times New Roman"/>
                <w:sz w:val="21"/>
              </w:rPr>
              <w:t>0.009</w:t>
            </w:r>
          </w:p>
        </w:tc>
        <w:tc>
          <w:tcPr>
            <w:tcW w:w="1135" w:type="dxa"/>
          </w:tcPr>
          <w:p>
            <w:pPr>
              <w:pStyle w:val="TableParagraph"/>
              <w:spacing w:line="257" w:lineRule="exact" w:before="8"/>
              <w:ind w:left="20" w:right="8"/>
              <w:rPr>
                <w:rFonts w:ascii="Times New Roman" w:eastAsia="Times New Roman"/>
                <w:sz w:val="21"/>
              </w:rPr>
            </w:pPr>
            <w:r>
              <w:rPr>
                <w:sz w:val="21"/>
              </w:rPr>
              <w:t>＜</w:t>
            </w:r>
            <w:r>
              <w:rPr>
                <w:rFonts w:ascii="Times New Roman" w:eastAsia="Times New Roman"/>
                <w:sz w:val="21"/>
              </w:rPr>
              <w:t>0.004</w:t>
            </w:r>
          </w:p>
        </w:tc>
        <w:tc>
          <w:tcPr>
            <w:tcW w:w="1108" w:type="dxa"/>
          </w:tcPr>
          <w:p>
            <w:pPr>
              <w:pStyle w:val="TableParagraph"/>
              <w:spacing w:before="22"/>
              <w:ind w:left="34" w:right="21"/>
              <w:rPr>
                <w:rFonts w:ascii="Times New Roman"/>
                <w:sz w:val="21"/>
              </w:rPr>
            </w:pPr>
            <w:r>
              <w:rPr>
                <w:rFonts w:ascii="Times New Roman"/>
                <w:sz w:val="21"/>
              </w:rPr>
              <w:t>0.0065</w:t>
            </w:r>
          </w:p>
        </w:tc>
        <w:tc>
          <w:tcPr>
            <w:tcW w:w="1437" w:type="dxa"/>
          </w:tcPr>
          <w:p>
            <w:pPr>
              <w:pStyle w:val="TableParagraph"/>
              <w:spacing w:before="22"/>
              <w:ind w:left="537"/>
              <w:jc w:val="left"/>
              <w:rPr>
                <w:rFonts w:ascii="Times New Roman"/>
                <w:sz w:val="21"/>
              </w:rPr>
            </w:pPr>
            <w:r>
              <w:rPr>
                <w:rFonts w:ascii="Times New Roman"/>
                <w:sz w:val="21"/>
              </w:rPr>
              <w:t>0.76</w:t>
            </w:r>
          </w:p>
        </w:tc>
        <w:tc>
          <w:tcPr>
            <w:tcW w:w="1152" w:type="dxa"/>
          </w:tcPr>
          <w:p>
            <w:pPr>
              <w:pStyle w:val="TableParagraph"/>
              <w:spacing w:line="257" w:lineRule="exact" w:before="8"/>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8"/>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8"/>
              <w:ind w:left="188" w:right="172"/>
              <w:rPr>
                <w:rFonts w:ascii="Times New Roman" w:eastAsia="Times New Roman"/>
                <w:sz w:val="21"/>
              </w:rPr>
            </w:pPr>
            <w:r>
              <w:rPr>
                <w:sz w:val="21"/>
              </w:rPr>
              <w:t>＜</w:t>
            </w:r>
            <w:r>
              <w:rPr>
                <w:rFonts w:ascii="Times New Roman" w:eastAsia="Times New Roman"/>
                <w:sz w:val="21"/>
              </w:rPr>
              <w:t>0.004</w:t>
            </w:r>
          </w:p>
        </w:tc>
      </w:tr>
      <w:tr>
        <w:trPr>
          <w:trHeight w:val="282" w:hRule="atLeast"/>
        </w:trPr>
        <w:tc>
          <w:tcPr>
            <w:tcW w:w="1385" w:type="dxa"/>
          </w:tcPr>
          <w:p>
            <w:pPr>
              <w:pStyle w:val="TableParagraph"/>
              <w:spacing w:line="255" w:lineRule="exact" w:before="8"/>
              <w:ind w:left="107"/>
              <w:jc w:val="left"/>
              <w:rPr>
                <w:sz w:val="21"/>
              </w:rPr>
            </w:pPr>
            <w:r>
              <w:rPr>
                <w:sz w:val="21"/>
              </w:rPr>
              <w:t>厂界西侧（下</w:t>
            </w:r>
          </w:p>
        </w:tc>
        <w:tc>
          <w:tcPr>
            <w:tcW w:w="1603" w:type="dxa"/>
          </w:tcPr>
          <w:p>
            <w:pPr>
              <w:pStyle w:val="TableParagraph"/>
              <w:spacing w:before="19"/>
              <w:ind w:left="247" w:right="235"/>
              <w:rPr>
                <w:rFonts w:ascii="Times New Roman"/>
                <w:sz w:val="21"/>
              </w:rPr>
            </w:pPr>
            <w:r>
              <w:rPr>
                <w:rFonts w:ascii="Times New Roman"/>
                <w:sz w:val="21"/>
              </w:rPr>
              <w:t>8:41~9:41</w:t>
            </w:r>
          </w:p>
        </w:tc>
        <w:tc>
          <w:tcPr>
            <w:tcW w:w="1234" w:type="dxa"/>
          </w:tcPr>
          <w:p>
            <w:pPr>
              <w:pStyle w:val="TableParagraph"/>
              <w:spacing w:before="19"/>
              <w:ind w:left="489" w:right="484"/>
              <w:rPr>
                <w:rFonts w:ascii="Times New Roman"/>
                <w:sz w:val="21"/>
              </w:rPr>
            </w:pPr>
            <w:r>
              <w:rPr>
                <w:rFonts w:ascii="Times New Roman"/>
                <w:sz w:val="21"/>
              </w:rPr>
              <w:t>15</w:t>
            </w:r>
          </w:p>
        </w:tc>
        <w:tc>
          <w:tcPr>
            <w:tcW w:w="991" w:type="dxa"/>
          </w:tcPr>
          <w:p>
            <w:pPr>
              <w:pStyle w:val="TableParagraph"/>
              <w:spacing w:line="255" w:lineRule="exact" w:before="8"/>
              <w:ind w:left="11"/>
              <w:rPr>
                <w:rFonts w:ascii="Times New Roman" w:eastAsia="Times New Roman"/>
                <w:sz w:val="21"/>
              </w:rPr>
            </w:pPr>
            <w:r>
              <w:rPr>
                <w:sz w:val="21"/>
              </w:rPr>
              <w:t>＜</w:t>
            </w:r>
            <w:r>
              <w:rPr>
                <w:rFonts w:ascii="Times New Roman" w:eastAsia="Times New Roman"/>
                <w:position w:val="1"/>
                <w:sz w:val="21"/>
              </w:rPr>
              <w:t>0.005</w:t>
            </w:r>
          </w:p>
        </w:tc>
        <w:tc>
          <w:tcPr>
            <w:tcW w:w="852" w:type="dxa"/>
          </w:tcPr>
          <w:p>
            <w:pPr>
              <w:pStyle w:val="TableParagraph"/>
              <w:spacing w:before="19"/>
              <w:ind w:left="38" w:right="25"/>
              <w:rPr>
                <w:rFonts w:ascii="Times New Roman"/>
                <w:sz w:val="21"/>
              </w:rPr>
            </w:pPr>
            <w:r>
              <w:rPr>
                <w:rFonts w:ascii="Times New Roman"/>
                <w:sz w:val="21"/>
              </w:rPr>
              <w:t>0.034</w:t>
            </w:r>
          </w:p>
        </w:tc>
        <w:tc>
          <w:tcPr>
            <w:tcW w:w="991" w:type="dxa"/>
          </w:tcPr>
          <w:p>
            <w:pPr>
              <w:pStyle w:val="TableParagraph"/>
              <w:spacing w:line="255" w:lineRule="exact" w:before="8"/>
              <w:ind w:left="6"/>
              <w:rPr>
                <w:rFonts w:ascii="Times New Roman" w:eastAsia="Times New Roman"/>
                <w:sz w:val="21"/>
              </w:rPr>
            </w:pPr>
            <w:r>
              <w:rPr>
                <w:sz w:val="21"/>
              </w:rPr>
              <w:t>＜</w:t>
            </w:r>
            <w:r>
              <w:rPr>
                <w:rFonts w:ascii="Times New Roman" w:eastAsia="Times New Roman"/>
                <w:position w:val="1"/>
                <w:sz w:val="21"/>
              </w:rPr>
              <w:t>0.009</w:t>
            </w:r>
          </w:p>
        </w:tc>
        <w:tc>
          <w:tcPr>
            <w:tcW w:w="1135" w:type="dxa"/>
          </w:tcPr>
          <w:p>
            <w:pPr>
              <w:pStyle w:val="TableParagraph"/>
              <w:spacing w:before="19"/>
              <w:ind w:left="17" w:right="8"/>
              <w:rPr>
                <w:rFonts w:ascii="Times New Roman"/>
                <w:sz w:val="21"/>
              </w:rPr>
            </w:pPr>
            <w:r>
              <w:rPr>
                <w:rFonts w:ascii="Times New Roman"/>
                <w:sz w:val="21"/>
              </w:rPr>
              <w:t>0.005</w:t>
            </w:r>
          </w:p>
        </w:tc>
        <w:tc>
          <w:tcPr>
            <w:tcW w:w="1108" w:type="dxa"/>
          </w:tcPr>
          <w:p>
            <w:pPr>
              <w:pStyle w:val="TableParagraph"/>
              <w:spacing w:before="19"/>
              <w:ind w:left="34" w:right="21"/>
              <w:rPr>
                <w:rFonts w:ascii="Times New Roman"/>
                <w:sz w:val="21"/>
              </w:rPr>
            </w:pPr>
            <w:r>
              <w:rPr>
                <w:rFonts w:ascii="Times New Roman"/>
                <w:sz w:val="21"/>
              </w:rPr>
              <w:t>0.0070</w:t>
            </w:r>
          </w:p>
        </w:tc>
        <w:tc>
          <w:tcPr>
            <w:tcW w:w="1437" w:type="dxa"/>
          </w:tcPr>
          <w:p>
            <w:pPr>
              <w:pStyle w:val="TableParagraph"/>
              <w:spacing w:before="19"/>
              <w:ind w:left="537"/>
              <w:jc w:val="left"/>
              <w:rPr>
                <w:rFonts w:ascii="Times New Roman"/>
                <w:sz w:val="21"/>
              </w:rPr>
            </w:pPr>
            <w:r>
              <w:rPr>
                <w:rFonts w:ascii="Times New Roman"/>
                <w:sz w:val="21"/>
              </w:rPr>
              <w:t>0.71</w:t>
            </w:r>
          </w:p>
        </w:tc>
        <w:tc>
          <w:tcPr>
            <w:tcW w:w="1152" w:type="dxa"/>
          </w:tcPr>
          <w:p>
            <w:pPr>
              <w:pStyle w:val="TableParagraph"/>
              <w:spacing w:line="257" w:lineRule="exact" w:before="5"/>
              <w:ind w:left="218" w:right="200"/>
              <w:rPr>
                <w:rFonts w:ascii="Times New Roman" w:eastAsia="Times New Roman"/>
                <w:sz w:val="21"/>
              </w:rPr>
            </w:pPr>
            <w:r>
              <w:rPr>
                <w:sz w:val="21"/>
              </w:rPr>
              <w:t>＜</w:t>
            </w:r>
            <w:r>
              <w:rPr>
                <w:rFonts w:ascii="Times New Roman" w:eastAsia="Times New Roman"/>
                <w:sz w:val="21"/>
              </w:rPr>
              <w:t>0.002</w:t>
            </w:r>
          </w:p>
        </w:tc>
        <w:tc>
          <w:tcPr>
            <w:tcW w:w="1437" w:type="dxa"/>
          </w:tcPr>
          <w:p>
            <w:pPr>
              <w:pStyle w:val="TableParagraph"/>
              <w:spacing w:line="257" w:lineRule="exact" w:before="5"/>
              <w:ind w:left="414" w:right="395"/>
              <w:rPr>
                <w:rFonts w:ascii="Times New Roman" w:eastAsia="Times New Roman"/>
                <w:sz w:val="21"/>
              </w:rPr>
            </w:pPr>
            <w:r>
              <w:rPr>
                <w:sz w:val="21"/>
              </w:rPr>
              <w:t>＜</w:t>
            </w:r>
            <w:r>
              <w:rPr>
                <w:rFonts w:ascii="Times New Roman" w:eastAsia="Times New Roman"/>
                <w:sz w:val="21"/>
              </w:rPr>
              <w:t>0.01</w:t>
            </w:r>
          </w:p>
        </w:tc>
        <w:tc>
          <w:tcPr>
            <w:tcW w:w="1096" w:type="dxa"/>
          </w:tcPr>
          <w:p>
            <w:pPr>
              <w:pStyle w:val="TableParagraph"/>
              <w:spacing w:line="257" w:lineRule="exact" w:before="5"/>
              <w:ind w:left="189" w:right="171"/>
              <w:rPr>
                <w:rFonts w:ascii="Times New Roman" w:eastAsia="Times New Roman"/>
                <w:sz w:val="21"/>
              </w:rPr>
            </w:pPr>
            <w:r>
              <w:rPr>
                <w:sz w:val="21"/>
              </w:rPr>
              <w:t>＜</w:t>
            </w:r>
            <w:r>
              <w:rPr>
                <w:rFonts w:ascii="Times New Roman" w:eastAsia="Times New Roman"/>
                <w:sz w:val="21"/>
              </w:rPr>
              <w:t>0.004</w:t>
            </w:r>
          </w:p>
        </w:tc>
      </w:tr>
    </w:tbl>
    <w:p>
      <w:pPr>
        <w:spacing w:after="0" w:line="257" w:lineRule="exact"/>
        <w:rPr>
          <w:rFonts w:ascii="Times New Roman" w:eastAsia="Times New Roman"/>
          <w:sz w:val="21"/>
        </w:rPr>
        <w:sectPr>
          <w:headerReference w:type="default" r:id="rId33"/>
          <w:footerReference w:type="default" r:id="rId34"/>
          <w:pgSz w:w="16850" w:h="11910" w:orient="landscape"/>
          <w:pgMar w:header="730" w:footer="690" w:top="1180" w:bottom="880" w:left="1200" w:right="980"/>
          <w:pgNumType w:start="64"/>
        </w:sectPr>
      </w:pPr>
    </w:p>
    <w:p>
      <w:pPr>
        <w:pStyle w:val="BodyText"/>
        <w:spacing w:before="7"/>
        <w:rPr>
          <w:sz w:val="18"/>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9"/>
        <w:gridCol w:w="1602"/>
        <w:gridCol w:w="1232"/>
        <w:gridCol w:w="991"/>
        <w:gridCol w:w="854"/>
        <w:gridCol w:w="988"/>
        <w:gridCol w:w="1135"/>
        <w:gridCol w:w="1106"/>
        <w:gridCol w:w="1440"/>
        <w:gridCol w:w="1153"/>
        <w:gridCol w:w="1438"/>
        <w:gridCol w:w="1097"/>
      </w:tblGrid>
      <w:tr>
        <w:trPr>
          <w:trHeight w:val="282" w:hRule="atLeast"/>
        </w:trPr>
        <w:tc>
          <w:tcPr>
            <w:tcW w:w="1389" w:type="dxa"/>
            <w:tcBorders>
              <w:bottom w:val="nil"/>
            </w:tcBorders>
          </w:tcPr>
          <w:p>
            <w:pPr>
              <w:pStyle w:val="TableParagraph"/>
              <w:jc w:val="left"/>
              <w:rPr>
                <w:rFonts w:ascii="Times New Roman"/>
                <w:sz w:val="20"/>
              </w:rPr>
            </w:pPr>
          </w:p>
        </w:tc>
        <w:tc>
          <w:tcPr>
            <w:tcW w:w="1602" w:type="dxa"/>
            <w:vMerge w:val="restart"/>
          </w:tcPr>
          <w:p>
            <w:pPr>
              <w:pStyle w:val="TableParagraph"/>
              <w:jc w:val="left"/>
              <w:rPr>
                <w:sz w:val="20"/>
              </w:rPr>
            </w:pPr>
          </w:p>
          <w:p>
            <w:pPr>
              <w:pStyle w:val="TableParagraph"/>
              <w:spacing w:before="6"/>
              <w:jc w:val="left"/>
              <w:rPr>
                <w:sz w:val="23"/>
              </w:rPr>
            </w:pPr>
          </w:p>
          <w:p>
            <w:pPr>
              <w:pStyle w:val="TableParagraph"/>
              <w:spacing w:before="1"/>
              <w:ind w:left="375"/>
              <w:jc w:val="left"/>
              <w:rPr>
                <w:b/>
                <w:sz w:val="21"/>
              </w:rPr>
            </w:pPr>
            <w:r>
              <w:rPr>
                <w:b/>
                <w:sz w:val="21"/>
              </w:rPr>
              <w:t>采样时间</w:t>
            </w:r>
          </w:p>
        </w:tc>
        <w:tc>
          <w:tcPr>
            <w:tcW w:w="11434" w:type="dxa"/>
            <w:gridSpan w:val="10"/>
          </w:tcPr>
          <w:p>
            <w:pPr>
              <w:pStyle w:val="TableParagraph"/>
              <w:spacing w:line="257" w:lineRule="exact" w:before="6"/>
              <w:ind w:left="5275" w:right="5265"/>
              <w:rPr>
                <w:b/>
                <w:sz w:val="21"/>
              </w:rPr>
            </w:pPr>
            <w:r>
              <w:rPr>
                <w:b/>
                <w:sz w:val="21"/>
              </w:rPr>
              <w:t>检测结果</w:t>
            </w:r>
          </w:p>
        </w:tc>
      </w:tr>
      <w:tr>
        <w:trPr>
          <w:trHeight w:val="335" w:hRule="atLeast"/>
        </w:trPr>
        <w:tc>
          <w:tcPr>
            <w:tcW w:w="1389" w:type="dxa"/>
            <w:tcBorders>
              <w:top w:val="nil"/>
              <w:bottom w:val="nil"/>
            </w:tcBorders>
          </w:tcPr>
          <w:p>
            <w:pPr>
              <w:pStyle w:val="TableParagraph"/>
              <w:jc w:val="left"/>
              <w:rPr>
                <w:rFonts w:ascii="Times New Roman"/>
                <w:sz w:val="20"/>
              </w:rPr>
            </w:pPr>
          </w:p>
        </w:tc>
        <w:tc>
          <w:tcPr>
            <w:tcW w:w="1602" w:type="dxa"/>
            <w:vMerge/>
            <w:tcBorders>
              <w:top w:val="nil"/>
            </w:tcBorders>
          </w:tcPr>
          <w:p>
            <w:pPr>
              <w:rPr>
                <w:sz w:val="2"/>
                <w:szCs w:val="2"/>
              </w:rPr>
            </w:pPr>
          </w:p>
        </w:tc>
        <w:tc>
          <w:tcPr>
            <w:tcW w:w="1232" w:type="dxa"/>
            <w:vMerge w:val="restart"/>
          </w:tcPr>
          <w:p>
            <w:pPr>
              <w:pStyle w:val="TableParagraph"/>
              <w:spacing w:before="5"/>
              <w:jc w:val="left"/>
              <w:rPr>
                <w:sz w:val="21"/>
              </w:rPr>
            </w:pPr>
          </w:p>
          <w:p>
            <w:pPr>
              <w:pStyle w:val="TableParagraph"/>
              <w:ind w:left="191"/>
              <w:jc w:val="left"/>
              <w:rPr>
                <w:b/>
                <w:sz w:val="21"/>
              </w:rPr>
            </w:pPr>
            <w:r>
              <w:rPr>
                <w:b/>
                <w:sz w:val="21"/>
              </w:rPr>
              <w:t>臭气浓度</w:t>
            </w:r>
          </w:p>
          <w:p>
            <w:pPr>
              <w:pStyle w:val="TableParagraph"/>
              <w:spacing w:before="5"/>
              <w:ind w:left="105"/>
              <w:jc w:val="left"/>
              <w:rPr>
                <w:b/>
                <w:sz w:val="21"/>
              </w:rPr>
            </w:pPr>
            <w:r>
              <w:rPr>
                <w:b/>
                <w:sz w:val="21"/>
              </w:rPr>
              <w:t>（无量纲）</w:t>
            </w:r>
          </w:p>
        </w:tc>
        <w:tc>
          <w:tcPr>
            <w:tcW w:w="991" w:type="dxa"/>
            <w:vMerge w:val="restart"/>
          </w:tcPr>
          <w:p>
            <w:pPr>
              <w:pStyle w:val="TableParagraph"/>
              <w:jc w:val="left"/>
              <w:rPr>
                <w:sz w:val="20"/>
              </w:rPr>
            </w:pPr>
          </w:p>
          <w:p>
            <w:pPr>
              <w:pStyle w:val="TableParagraph"/>
              <w:spacing w:before="155"/>
              <w:ind w:left="176"/>
              <w:jc w:val="left"/>
              <w:rPr>
                <w:b/>
                <w:sz w:val="21"/>
              </w:rPr>
            </w:pPr>
            <w:r>
              <w:rPr>
                <w:b/>
                <w:sz w:val="21"/>
              </w:rPr>
              <w:t>硫酸雾</w:t>
            </w:r>
          </w:p>
        </w:tc>
        <w:tc>
          <w:tcPr>
            <w:tcW w:w="854" w:type="dxa"/>
            <w:vMerge w:val="restart"/>
          </w:tcPr>
          <w:p>
            <w:pPr>
              <w:pStyle w:val="TableParagraph"/>
              <w:spacing w:before="5"/>
              <w:jc w:val="left"/>
              <w:rPr>
                <w:sz w:val="21"/>
              </w:rPr>
            </w:pPr>
          </w:p>
          <w:p>
            <w:pPr>
              <w:pStyle w:val="TableParagraph"/>
              <w:spacing w:line="244" w:lineRule="auto"/>
              <w:ind w:left="318" w:right="100" w:hanging="212"/>
              <w:jc w:val="left"/>
              <w:rPr>
                <w:b/>
                <w:sz w:val="21"/>
              </w:rPr>
            </w:pPr>
            <w:r>
              <w:rPr>
                <w:b/>
                <w:sz w:val="21"/>
              </w:rPr>
              <w:t>氮氧化物</w:t>
            </w:r>
          </w:p>
        </w:tc>
        <w:tc>
          <w:tcPr>
            <w:tcW w:w="3229" w:type="dxa"/>
            <w:gridSpan w:val="3"/>
          </w:tcPr>
          <w:p>
            <w:pPr>
              <w:pStyle w:val="TableParagraph"/>
              <w:spacing w:before="34"/>
              <w:ind w:left="1276" w:right="1270"/>
              <w:rPr>
                <w:b/>
                <w:sz w:val="21"/>
              </w:rPr>
            </w:pPr>
            <w:r>
              <w:rPr>
                <w:b/>
                <w:sz w:val="21"/>
              </w:rPr>
              <w:t>二甲苯</w:t>
            </w:r>
          </w:p>
        </w:tc>
        <w:tc>
          <w:tcPr>
            <w:tcW w:w="1440" w:type="dxa"/>
            <w:vMerge w:val="restart"/>
          </w:tcPr>
          <w:p>
            <w:pPr>
              <w:pStyle w:val="TableParagraph"/>
              <w:jc w:val="left"/>
              <w:rPr>
                <w:sz w:val="20"/>
              </w:rPr>
            </w:pPr>
          </w:p>
          <w:p>
            <w:pPr>
              <w:pStyle w:val="TableParagraph"/>
              <w:spacing w:before="155"/>
              <w:ind w:left="196"/>
              <w:jc w:val="left"/>
              <w:rPr>
                <w:b/>
                <w:sz w:val="21"/>
              </w:rPr>
            </w:pPr>
            <w:r>
              <w:rPr>
                <w:b/>
                <w:sz w:val="21"/>
              </w:rPr>
              <w:t>非甲烷总烃</w:t>
            </w:r>
          </w:p>
        </w:tc>
        <w:tc>
          <w:tcPr>
            <w:tcW w:w="1153" w:type="dxa"/>
            <w:vMerge w:val="restart"/>
          </w:tcPr>
          <w:p>
            <w:pPr>
              <w:pStyle w:val="TableParagraph"/>
              <w:spacing w:before="1"/>
              <w:jc w:val="left"/>
              <w:rPr>
                <w:sz w:val="32"/>
              </w:rPr>
            </w:pPr>
          </w:p>
          <w:p>
            <w:pPr>
              <w:pStyle w:val="TableParagraph"/>
              <w:ind w:left="277"/>
              <w:jc w:val="left"/>
              <w:rPr>
                <w:b/>
                <w:sz w:val="21"/>
              </w:rPr>
            </w:pPr>
            <w:r>
              <w:rPr>
                <w:rFonts w:ascii="Times New Roman" w:eastAsia="Times New Roman"/>
                <w:b/>
                <w:sz w:val="21"/>
              </w:rPr>
              <w:t>3-</w:t>
            </w:r>
            <w:r>
              <w:rPr>
                <w:b/>
                <w:sz w:val="21"/>
              </w:rPr>
              <w:t>戊酮</w:t>
            </w:r>
          </w:p>
        </w:tc>
        <w:tc>
          <w:tcPr>
            <w:tcW w:w="1438" w:type="dxa"/>
            <w:vMerge w:val="restart"/>
          </w:tcPr>
          <w:p>
            <w:pPr>
              <w:pStyle w:val="TableParagraph"/>
              <w:jc w:val="left"/>
              <w:rPr>
                <w:sz w:val="20"/>
              </w:rPr>
            </w:pPr>
          </w:p>
          <w:p>
            <w:pPr>
              <w:pStyle w:val="TableParagraph"/>
              <w:spacing w:before="155"/>
              <w:ind w:left="299"/>
              <w:jc w:val="left"/>
              <w:rPr>
                <w:b/>
                <w:sz w:val="21"/>
              </w:rPr>
            </w:pPr>
            <w:r>
              <w:rPr>
                <w:b/>
                <w:sz w:val="21"/>
              </w:rPr>
              <w:t>硝基苯类</w:t>
            </w:r>
          </w:p>
        </w:tc>
        <w:tc>
          <w:tcPr>
            <w:tcW w:w="1097" w:type="dxa"/>
            <w:vMerge w:val="restart"/>
          </w:tcPr>
          <w:p>
            <w:pPr>
              <w:pStyle w:val="TableParagraph"/>
              <w:jc w:val="left"/>
              <w:rPr>
                <w:sz w:val="20"/>
              </w:rPr>
            </w:pPr>
          </w:p>
          <w:p>
            <w:pPr>
              <w:pStyle w:val="TableParagraph"/>
              <w:spacing w:before="155"/>
              <w:ind w:left="231"/>
              <w:jc w:val="left"/>
              <w:rPr>
                <w:b/>
                <w:sz w:val="21"/>
              </w:rPr>
            </w:pPr>
            <w:r>
              <w:rPr>
                <w:b/>
                <w:sz w:val="21"/>
              </w:rPr>
              <w:t>苯胺类</w:t>
            </w:r>
          </w:p>
        </w:tc>
      </w:tr>
      <w:tr>
        <w:trPr>
          <w:trHeight w:val="746" w:hRule="atLeast"/>
        </w:trPr>
        <w:tc>
          <w:tcPr>
            <w:tcW w:w="1389" w:type="dxa"/>
            <w:tcBorders>
              <w:top w:val="nil"/>
              <w:bottom w:val="nil"/>
            </w:tcBorders>
          </w:tcPr>
          <w:p>
            <w:pPr>
              <w:pStyle w:val="TableParagraph"/>
              <w:spacing w:line="188" w:lineRule="exact"/>
              <w:ind w:left="351" w:right="348"/>
              <w:rPr>
                <w:b/>
                <w:sz w:val="21"/>
              </w:rPr>
            </w:pPr>
            <w:r>
              <w:rPr>
                <w:b/>
                <w:sz w:val="21"/>
              </w:rPr>
              <w:t>采样点</w:t>
            </w:r>
          </w:p>
        </w:tc>
        <w:tc>
          <w:tcPr>
            <w:tcW w:w="1602" w:type="dxa"/>
            <w:vMerge/>
            <w:tcBorders>
              <w:top w:val="nil"/>
            </w:tcBorders>
          </w:tcPr>
          <w:p>
            <w:pPr>
              <w:rPr>
                <w:sz w:val="2"/>
                <w:szCs w:val="2"/>
              </w:rPr>
            </w:pPr>
          </w:p>
        </w:tc>
        <w:tc>
          <w:tcPr>
            <w:tcW w:w="1232" w:type="dxa"/>
            <w:vMerge/>
            <w:tcBorders>
              <w:top w:val="nil"/>
            </w:tcBorders>
          </w:tcPr>
          <w:p>
            <w:pPr>
              <w:rPr>
                <w:sz w:val="2"/>
                <w:szCs w:val="2"/>
              </w:rPr>
            </w:pPr>
          </w:p>
        </w:tc>
        <w:tc>
          <w:tcPr>
            <w:tcW w:w="991" w:type="dxa"/>
            <w:vMerge/>
            <w:tcBorders>
              <w:top w:val="nil"/>
            </w:tcBorders>
          </w:tcPr>
          <w:p>
            <w:pPr>
              <w:rPr>
                <w:sz w:val="2"/>
                <w:szCs w:val="2"/>
              </w:rPr>
            </w:pPr>
          </w:p>
        </w:tc>
        <w:tc>
          <w:tcPr>
            <w:tcW w:w="854" w:type="dxa"/>
            <w:vMerge/>
            <w:tcBorders>
              <w:top w:val="nil"/>
            </w:tcBorders>
          </w:tcPr>
          <w:p>
            <w:pPr>
              <w:rPr>
                <w:sz w:val="2"/>
                <w:szCs w:val="2"/>
              </w:rPr>
            </w:pPr>
          </w:p>
        </w:tc>
        <w:tc>
          <w:tcPr>
            <w:tcW w:w="988" w:type="dxa"/>
          </w:tcPr>
          <w:p>
            <w:pPr>
              <w:pStyle w:val="TableParagraph"/>
              <w:spacing w:line="244" w:lineRule="auto" w:before="101"/>
              <w:ind w:left="172" w:right="29" w:hanging="70"/>
              <w:jc w:val="left"/>
              <w:rPr>
                <w:b/>
                <w:sz w:val="21"/>
              </w:rPr>
            </w:pPr>
            <w:r>
              <w:rPr>
                <w:b/>
                <w:sz w:val="21"/>
              </w:rPr>
              <w:t>对（间） 二甲苯</w:t>
            </w:r>
          </w:p>
        </w:tc>
        <w:tc>
          <w:tcPr>
            <w:tcW w:w="1135" w:type="dxa"/>
          </w:tcPr>
          <w:p>
            <w:pPr>
              <w:pStyle w:val="TableParagraph"/>
              <w:spacing w:before="7"/>
              <w:jc w:val="left"/>
              <w:rPr>
                <w:sz w:val="18"/>
              </w:rPr>
            </w:pPr>
          </w:p>
          <w:p>
            <w:pPr>
              <w:pStyle w:val="TableParagraph"/>
              <w:spacing w:before="1"/>
              <w:ind w:left="17" w:right="8"/>
              <w:rPr>
                <w:b/>
                <w:sz w:val="21"/>
              </w:rPr>
            </w:pPr>
            <w:r>
              <w:rPr>
                <w:b/>
                <w:sz w:val="21"/>
              </w:rPr>
              <w:t>邻二甲苯</w:t>
            </w:r>
          </w:p>
        </w:tc>
        <w:tc>
          <w:tcPr>
            <w:tcW w:w="1106" w:type="dxa"/>
          </w:tcPr>
          <w:p>
            <w:pPr>
              <w:pStyle w:val="TableParagraph"/>
              <w:spacing w:before="7"/>
              <w:jc w:val="left"/>
              <w:rPr>
                <w:sz w:val="18"/>
              </w:rPr>
            </w:pPr>
          </w:p>
          <w:p>
            <w:pPr>
              <w:pStyle w:val="TableParagraph"/>
              <w:spacing w:before="1"/>
              <w:ind w:left="241" w:right="231"/>
              <w:rPr>
                <w:b/>
                <w:sz w:val="21"/>
              </w:rPr>
            </w:pPr>
            <w:r>
              <w:rPr>
                <w:b/>
                <w:sz w:val="21"/>
              </w:rPr>
              <w:t>合计</w:t>
            </w:r>
          </w:p>
        </w:tc>
        <w:tc>
          <w:tcPr>
            <w:tcW w:w="1440" w:type="dxa"/>
            <w:vMerge/>
            <w:tcBorders>
              <w:top w:val="nil"/>
            </w:tcBorders>
          </w:tcPr>
          <w:p>
            <w:pPr>
              <w:rPr>
                <w:sz w:val="2"/>
                <w:szCs w:val="2"/>
              </w:rPr>
            </w:pPr>
          </w:p>
        </w:tc>
        <w:tc>
          <w:tcPr>
            <w:tcW w:w="1153" w:type="dxa"/>
            <w:vMerge/>
            <w:tcBorders>
              <w:top w:val="nil"/>
            </w:tcBorders>
          </w:tcPr>
          <w:p>
            <w:pPr>
              <w:rPr>
                <w:sz w:val="2"/>
                <w:szCs w:val="2"/>
              </w:rPr>
            </w:pPr>
          </w:p>
        </w:tc>
        <w:tc>
          <w:tcPr>
            <w:tcW w:w="1438" w:type="dxa"/>
            <w:vMerge/>
            <w:tcBorders>
              <w:top w:val="nil"/>
            </w:tcBorders>
          </w:tcPr>
          <w:p>
            <w:pPr>
              <w:rPr>
                <w:sz w:val="2"/>
                <w:szCs w:val="2"/>
              </w:rPr>
            </w:pPr>
          </w:p>
        </w:tc>
        <w:tc>
          <w:tcPr>
            <w:tcW w:w="1097" w:type="dxa"/>
            <w:vMerge/>
            <w:tcBorders>
              <w:top w:val="nil"/>
            </w:tcBorders>
          </w:tcPr>
          <w:p>
            <w:pPr>
              <w:rPr>
                <w:sz w:val="2"/>
                <w:szCs w:val="2"/>
              </w:rPr>
            </w:pPr>
          </w:p>
        </w:tc>
      </w:tr>
      <w:tr>
        <w:trPr>
          <w:trHeight w:val="282" w:hRule="atLeast"/>
        </w:trPr>
        <w:tc>
          <w:tcPr>
            <w:tcW w:w="1389" w:type="dxa"/>
            <w:tcBorders>
              <w:top w:val="nil"/>
              <w:bottom w:val="nil"/>
            </w:tcBorders>
          </w:tcPr>
          <w:p>
            <w:pPr>
              <w:pStyle w:val="TableParagraph"/>
              <w:spacing w:line="259" w:lineRule="exact" w:before="3"/>
              <w:ind w:left="354" w:right="346"/>
              <w:rPr>
                <w:sz w:val="21"/>
              </w:rPr>
            </w:pPr>
            <w:r>
              <w:rPr>
                <w:sz w:val="21"/>
              </w:rPr>
              <w:t>风向）</w:t>
            </w:r>
          </w:p>
        </w:tc>
        <w:tc>
          <w:tcPr>
            <w:tcW w:w="1602" w:type="dxa"/>
          </w:tcPr>
          <w:p>
            <w:pPr>
              <w:pStyle w:val="TableParagraph"/>
              <w:spacing w:before="19"/>
              <w:ind w:left="262"/>
              <w:jc w:val="left"/>
              <w:rPr>
                <w:rFonts w:ascii="Times New Roman"/>
                <w:sz w:val="21"/>
              </w:rPr>
            </w:pPr>
            <w:r>
              <w:rPr>
                <w:rFonts w:ascii="Times New Roman"/>
                <w:sz w:val="21"/>
              </w:rPr>
              <w:t>12:09~13:09</w:t>
            </w:r>
          </w:p>
        </w:tc>
        <w:tc>
          <w:tcPr>
            <w:tcW w:w="1232" w:type="dxa"/>
          </w:tcPr>
          <w:p>
            <w:pPr>
              <w:pStyle w:val="TableParagraph"/>
              <w:spacing w:before="19"/>
              <w:ind w:left="486" w:right="485"/>
              <w:rPr>
                <w:rFonts w:ascii="Times New Roman"/>
                <w:sz w:val="21"/>
              </w:rPr>
            </w:pPr>
            <w:r>
              <w:rPr>
                <w:rFonts w:ascii="Times New Roman"/>
                <w:sz w:val="21"/>
              </w:rPr>
              <w:t>18</w:t>
            </w:r>
          </w:p>
        </w:tc>
        <w:tc>
          <w:tcPr>
            <w:tcW w:w="991" w:type="dxa"/>
          </w:tcPr>
          <w:p>
            <w:pPr>
              <w:pStyle w:val="TableParagraph"/>
              <w:spacing w:line="255" w:lineRule="exact" w:before="8"/>
              <w:ind w:left="9"/>
              <w:rPr>
                <w:rFonts w:ascii="Times New Roman" w:eastAsia="Times New Roman"/>
                <w:sz w:val="21"/>
              </w:rPr>
            </w:pPr>
            <w:r>
              <w:rPr>
                <w:sz w:val="21"/>
              </w:rPr>
              <w:t>＜</w:t>
            </w:r>
            <w:r>
              <w:rPr>
                <w:rFonts w:ascii="Times New Roman" w:eastAsia="Times New Roman"/>
                <w:position w:val="1"/>
                <w:sz w:val="21"/>
              </w:rPr>
              <w:t>0.005</w:t>
            </w:r>
          </w:p>
        </w:tc>
        <w:tc>
          <w:tcPr>
            <w:tcW w:w="854" w:type="dxa"/>
          </w:tcPr>
          <w:p>
            <w:pPr>
              <w:pStyle w:val="TableParagraph"/>
              <w:spacing w:before="19"/>
              <w:ind w:right="177"/>
              <w:jc w:val="right"/>
              <w:rPr>
                <w:rFonts w:ascii="Times New Roman"/>
                <w:sz w:val="21"/>
              </w:rPr>
            </w:pPr>
            <w:r>
              <w:rPr>
                <w:rFonts w:ascii="Times New Roman"/>
                <w:sz w:val="21"/>
              </w:rPr>
              <w:t>0.036</w:t>
            </w:r>
          </w:p>
        </w:tc>
        <w:tc>
          <w:tcPr>
            <w:tcW w:w="988" w:type="dxa"/>
          </w:tcPr>
          <w:p>
            <w:pPr>
              <w:pStyle w:val="TableParagraph"/>
              <w:spacing w:line="255" w:lineRule="exact" w:before="8"/>
              <w:ind w:left="129" w:right="126"/>
              <w:rPr>
                <w:rFonts w:ascii="Times New Roman" w:eastAsia="Times New Roman"/>
                <w:sz w:val="21"/>
              </w:rPr>
            </w:pPr>
            <w:r>
              <w:rPr>
                <w:sz w:val="21"/>
              </w:rPr>
              <w:t>＜</w:t>
            </w:r>
            <w:r>
              <w:rPr>
                <w:rFonts w:ascii="Times New Roman" w:eastAsia="Times New Roman"/>
                <w:position w:val="1"/>
                <w:sz w:val="21"/>
              </w:rPr>
              <w:t>0.009</w:t>
            </w:r>
          </w:p>
        </w:tc>
        <w:tc>
          <w:tcPr>
            <w:tcW w:w="1135" w:type="dxa"/>
          </w:tcPr>
          <w:p>
            <w:pPr>
              <w:pStyle w:val="TableParagraph"/>
              <w:spacing w:line="255" w:lineRule="exact" w:before="8"/>
              <w:ind w:left="20" w:right="8"/>
              <w:rPr>
                <w:rFonts w:ascii="Times New Roman" w:eastAsia="Times New Roman"/>
                <w:sz w:val="21"/>
              </w:rPr>
            </w:pPr>
            <w:r>
              <w:rPr>
                <w:sz w:val="21"/>
              </w:rPr>
              <w:t>＜</w:t>
            </w:r>
            <w:r>
              <w:rPr>
                <w:rFonts w:ascii="Times New Roman" w:eastAsia="Times New Roman"/>
                <w:position w:val="1"/>
                <w:sz w:val="21"/>
              </w:rPr>
              <w:t>0.004</w:t>
            </w:r>
          </w:p>
        </w:tc>
        <w:tc>
          <w:tcPr>
            <w:tcW w:w="1106" w:type="dxa"/>
          </w:tcPr>
          <w:p>
            <w:pPr>
              <w:pStyle w:val="TableParagraph"/>
              <w:spacing w:before="19"/>
              <w:ind w:left="246" w:right="231"/>
              <w:rPr>
                <w:rFonts w:ascii="Times New Roman"/>
                <w:sz w:val="21"/>
              </w:rPr>
            </w:pPr>
            <w:r>
              <w:rPr>
                <w:rFonts w:ascii="Times New Roman"/>
                <w:sz w:val="21"/>
              </w:rPr>
              <w:t>0.0065</w:t>
            </w:r>
          </w:p>
        </w:tc>
        <w:tc>
          <w:tcPr>
            <w:tcW w:w="1440" w:type="dxa"/>
          </w:tcPr>
          <w:p>
            <w:pPr>
              <w:pStyle w:val="TableParagraph"/>
              <w:spacing w:before="19"/>
              <w:ind w:left="539"/>
              <w:jc w:val="left"/>
              <w:rPr>
                <w:rFonts w:ascii="Times New Roman"/>
                <w:sz w:val="21"/>
              </w:rPr>
            </w:pPr>
            <w:r>
              <w:rPr>
                <w:rFonts w:ascii="Times New Roman"/>
                <w:sz w:val="21"/>
              </w:rPr>
              <w:t>0.66</w:t>
            </w:r>
          </w:p>
        </w:tc>
        <w:tc>
          <w:tcPr>
            <w:tcW w:w="1153" w:type="dxa"/>
          </w:tcPr>
          <w:p>
            <w:pPr>
              <w:pStyle w:val="TableParagraph"/>
              <w:spacing w:before="19"/>
              <w:ind w:left="321" w:right="308"/>
              <w:rPr>
                <w:rFonts w:ascii="Times New Roman"/>
                <w:sz w:val="21"/>
              </w:rPr>
            </w:pPr>
            <w:r>
              <w:rPr>
                <w:rFonts w:ascii="Times New Roman"/>
                <w:sz w:val="21"/>
              </w:rPr>
              <w:t>0.004</w:t>
            </w:r>
          </w:p>
        </w:tc>
        <w:tc>
          <w:tcPr>
            <w:tcW w:w="1438" w:type="dxa"/>
          </w:tcPr>
          <w:p>
            <w:pPr>
              <w:pStyle w:val="TableParagraph"/>
              <w:spacing w:line="257" w:lineRule="exact" w:before="5"/>
              <w:ind w:left="412" w:right="398"/>
              <w:rPr>
                <w:rFonts w:ascii="Times New Roman" w:eastAsia="Times New Roman"/>
                <w:sz w:val="21"/>
              </w:rPr>
            </w:pPr>
            <w:r>
              <w:rPr>
                <w:sz w:val="21"/>
              </w:rPr>
              <w:t>＜</w:t>
            </w:r>
            <w:r>
              <w:rPr>
                <w:rFonts w:ascii="Times New Roman" w:eastAsia="Times New Roman"/>
                <w:sz w:val="21"/>
              </w:rPr>
              <w:t>0.01</w:t>
            </w:r>
          </w:p>
        </w:tc>
        <w:tc>
          <w:tcPr>
            <w:tcW w:w="1097" w:type="dxa"/>
          </w:tcPr>
          <w:p>
            <w:pPr>
              <w:pStyle w:val="TableParagraph"/>
              <w:spacing w:line="257" w:lineRule="exact" w:before="5"/>
              <w:ind w:left="103" w:right="92"/>
              <w:rPr>
                <w:rFonts w:ascii="Times New Roman" w:eastAsia="Times New Roman"/>
                <w:sz w:val="21"/>
              </w:rPr>
            </w:pPr>
            <w:r>
              <w:rPr>
                <w:sz w:val="21"/>
              </w:rPr>
              <w:t>＜</w:t>
            </w:r>
            <w:r>
              <w:rPr>
                <w:rFonts w:ascii="Times New Roman" w:eastAsia="Times New Roman"/>
                <w:sz w:val="21"/>
              </w:rPr>
              <w:t>0.004</w:t>
            </w:r>
          </w:p>
        </w:tc>
      </w:tr>
      <w:tr>
        <w:trPr>
          <w:trHeight w:val="285" w:hRule="atLeast"/>
        </w:trPr>
        <w:tc>
          <w:tcPr>
            <w:tcW w:w="1389" w:type="dxa"/>
            <w:tcBorders>
              <w:top w:val="nil"/>
            </w:tcBorders>
          </w:tcPr>
          <w:p>
            <w:pPr>
              <w:pStyle w:val="TableParagraph"/>
              <w:jc w:val="left"/>
              <w:rPr>
                <w:rFonts w:ascii="Times New Roman"/>
                <w:sz w:val="20"/>
              </w:rPr>
            </w:pPr>
          </w:p>
        </w:tc>
        <w:tc>
          <w:tcPr>
            <w:tcW w:w="1602" w:type="dxa"/>
          </w:tcPr>
          <w:p>
            <w:pPr>
              <w:pStyle w:val="TableParagraph"/>
              <w:spacing w:before="22"/>
              <w:ind w:left="262"/>
              <w:jc w:val="left"/>
              <w:rPr>
                <w:rFonts w:ascii="Times New Roman"/>
                <w:sz w:val="21"/>
              </w:rPr>
            </w:pPr>
            <w:r>
              <w:rPr>
                <w:rFonts w:ascii="Times New Roman"/>
                <w:sz w:val="21"/>
              </w:rPr>
              <w:t>15:21~16:21</w:t>
            </w:r>
          </w:p>
        </w:tc>
        <w:tc>
          <w:tcPr>
            <w:tcW w:w="1232" w:type="dxa"/>
          </w:tcPr>
          <w:p>
            <w:pPr>
              <w:pStyle w:val="TableParagraph"/>
              <w:spacing w:before="22"/>
              <w:ind w:left="486" w:right="485"/>
              <w:rPr>
                <w:rFonts w:ascii="Times New Roman"/>
                <w:sz w:val="21"/>
              </w:rPr>
            </w:pPr>
            <w:r>
              <w:rPr>
                <w:rFonts w:ascii="Times New Roman"/>
                <w:sz w:val="21"/>
              </w:rPr>
              <w:t>16</w:t>
            </w:r>
          </w:p>
        </w:tc>
        <w:tc>
          <w:tcPr>
            <w:tcW w:w="991" w:type="dxa"/>
          </w:tcPr>
          <w:p>
            <w:pPr>
              <w:pStyle w:val="TableParagraph"/>
              <w:spacing w:line="255" w:lineRule="exact" w:before="10"/>
              <w:ind w:left="9"/>
              <w:rPr>
                <w:rFonts w:ascii="Times New Roman" w:eastAsia="Times New Roman"/>
                <w:sz w:val="21"/>
              </w:rPr>
            </w:pPr>
            <w:r>
              <w:rPr>
                <w:sz w:val="21"/>
              </w:rPr>
              <w:t>＜</w:t>
            </w:r>
            <w:r>
              <w:rPr>
                <w:rFonts w:ascii="Times New Roman" w:eastAsia="Times New Roman"/>
                <w:position w:val="1"/>
                <w:sz w:val="21"/>
              </w:rPr>
              <w:t>0.005</w:t>
            </w:r>
          </w:p>
        </w:tc>
        <w:tc>
          <w:tcPr>
            <w:tcW w:w="854" w:type="dxa"/>
          </w:tcPr>
          <w:p>
            <w:pPr>
              <w:pStyle w:val="TableParagraph"/>
              <w:spacing w:before="22"/>
              <w:ind w:right="177"/>
              <w:jc w:val="right"/>
              <w:rPr>
                <w:rFonts w:ascii="Times New Roman"/>
                <w:sz w:val="21"/>
              </w:rPr>
            </w:pPr>
            <w:r>
              <w:rPr>
                <w:rFonts w:ascii="Times New Roman"/>
                <w:sz w:val="21"/>
              </w:rPr>
              <w:t>0.035</w:t>
            </w:r>
          </w:p>
        </w:tc>
        <w:tc>
          <w:tcPr>
            <w:tcW w:w="988" w:type="dxa"/>
          </w:tcPr>
          <w:p>
            <w:pPr>
              <w:pStyle w:val="TableParagraph"/>
              <w:spacing w:line="255" w:lineRule="exact" w:before="10"/>
              <w:ind w:left="129" w:right="126"/>
              <w:rPr>
                <w:rFonts w:ascii="Times New Roman" w:eastAsia="Times New Roman"/>
                <w:sz w:val="21"/>
              </w:rPr>
            </w:pPr>
            <w:r>
              <w:rPr>
                <w:sz w:val="21"/>
              </w:rPr>
              <w:t>＜</w:t>
            </w:r>
            <w:r>
              <w:rPr>
                <w:rFonts w:ascii="Times New Roman" w:eastAsia="Times New Roman"/>
                <w:position w:val="1"/>
                <w:sz w:val="21"/>
              </w:rPr>
              <w:t>0.009</w:t>
            </w:r>
          </w:p>
        </w:tc>
        <w:tc>
          <w:tcPr>
            <w:tcW w:w="1135" w:type="dxa"/>
          </w:tcPr>
          <w:p>
            <w:pPr>
              <w:pStyle w:val="TableParagraph"/>
              <w:spacing w:line="255" w:lineRule="exact" w:before="10"/>
              <w:ind w:left="20" w:right="8"/>
              <w:rPr>
                <w:rFonts w:ascii="Times New Roman" w:eastAsia="Times New Roman"/>
                <w:sz w:val="21"/>
              </w:rPr>
            </w:pPr>
            <w:r>
              <w:rPr>
                <w:sz w:val="21"/>
              </w:rPr>
              <w:t>＜</w:t>
            </w:r>
            <w:r>
              <w:rPr>
                <w:rFonts w:ascii="Times New Roman" w:eastAsia="Times New Roman"/>
                <w:position w:val="1"/>
                <w:sz w:val="21"/>
              </w:rPr>
              <w:t>0.004</w:t>
            </w:r>
          </w:p>
        </w:tc>
        <w:tc>
          <w:tcPr>
            <w:tcW w:w="1106" w:type="dxa"/>
          </w:tcPr>
          <w:p>
            <w:pPr>
              <w:pStyle w:val="TableParagraph"/>
              <w:spacing w:before="22"/>
              <w:ind w:left="246" w:right="231"/>
              <w:rPr>
                <w:rFonts w:ascii="Times New Roman"/>
                <w:sz w:val="21"/>
              </w:rPr>
            </w:pPr>
            <w:r>
              <w:rPr>
                <w:rFonts w:ascii="Times New Roman"/>
                <w:sz w:val="21"/>
              </w:rPr>
              <w:t>0.0065</w:t>
            </w:r>
          </w:p>
        </w:tc>
        <w:tc>
          <w:tcPr>
            <w:tcW w:w="1440" w:type="dxa"/>
          </w:tcPr>
          <w:p>
            <w:pPr>
              <w:pStyle w:val="TableParagraph"/>
              <w:spacing w:before="22"/>
              <w:ind w:left="539"/>
              <w:jc w:val="left"/>
              <w:rPr>
                <w:rFonts w:ascii="Times New Roman"/>
                <w:sz w:val="21"/>
              </w:rPr>
            </w:pPr>
            <w:r>
              <w:rPr>
                <w:rFonts w:ascii="Times New Roman"/>
                <w:sz w:val="21"/>
              </w:rPr>
              <w:t>0.68</w:t>
            </w:r>
          </w:p>
        </w:tc>
        <w:tc>
          <w:tcPr>
            <w:tcW w:w="1153" w:type="dxa"/>
          </w:tcPr>
          <w:p>
            <w:pPr>
              <w:pStyle w:val="TableParagraph"/>
              <w:spacing w:before="22"/>
              <w:ind w:left="321" w:right="308"/>
              <w:rPr>
                <w:rFonts w:ascii="Times New Roman"/>
                <w:sz w:val="21"/>
              </w:rPr>
            </w:pPr>
            <w:r>
              <w:rPr>
                <w:rFonts w:ascii="Times New Roman"/>
                <w:sz w:val="21"/>
              </w:rPr>
              <w:t>0.003</w:t>
            </w:r>
          </w:p>
        </w:tc>
        <w:tc>
          <w:tcPr>
            <w:tcW w:w="1438" w:type="dxa"/>
          </w:tcPr>
          <w:p>
            <w:pPr>
              <w:pStyle w:val="TableParagraph"/>
              <w:spacing w:line="257" w:lineRule="exact" w:before="8"/>
              <w:ind w:left="412" w:right="398"/>
              <w:rPr>
                <w:rFonts w:ascii="Times New Roman" w:eastAsia="Times New Roman"/>
                <w:sz w:val="21"/>
              </w:rPr>
            </w:pPr>
            <w:r>
              <w:rPr>
                <w:sz w:val="21"/>
              </w:rPr>
              <w:t>＜</w:t>
            </w:r>
            <w:r>
              <w:rPr>
                <w:rFonts w:ascii="Times New Roman" w:eastAsia="Times New Roman"/>
                <w:sz w:val="21"/>
              </w:rPr>
              <w:t>0.01</w:t>
            </w:r>
          </w:p>
        </w:tc>
        <w:tc>
          <w:tcPr>
            <w:tcW w:w="1097" w:type="dxa"/>
          </w:tcPr>
          <w:p>
            <w:pPr>
              <w:pStyle w:val="TableParagraph"/>
              <w:spacing w:line="257" w:lineRule="exact" w:before="8"/>
              <w:ind w:left="103" w:right="92"/>
              <w:rPr>
                <w:rFonts w:ascii="Times New Roman" w:eastAsia="Times New Roman"/>
                <w:sz w:val="21"/>
              </w:rPr>
            </w:pPr>
            <w:r>
              <w:rPr>
                <w:sz w:val="21"/>
              </w:rPr>
              <w:t>＜</w:t>
            </w:r>
            <w:r>
              <w:rPr>
                <w:rFonts w:ascii="Times New Roman" w:eastAsia="Times New Roman"/>
                <w:sz w:val="21"/>
              </w:rPr>
              <w:t>0.004</w:t>
            </w:r>
          </w:p>
        </w:tc>
      </w:tr>
      <w:tr>
        <w:trPr>
          <w:trHeight w:val="282" w:hRule="atLeast"/>
        </w:trPr>
        <w:tc>
          <w:tcPr>
            <w:tcW w:w="2991" w:type="dxa"/>
            <w:gridSpan w:val="2"/>
          </w:tcPr>
          <w:p>
            <w:pPr>
              <w:pStyle w:val="TableParagraph"/>
              <w:spacing w:line="255" w:lineRule="exact" w:before="8"/>
              <w:ind w:left="1053" w:right="1044"/>
              <w:rPr>
                <w:b/>
                <w:sz w:val="21"/>
              </w:rPr>
            </w:pPr>
            <w:r>
              <w:rPr>
                <w:b/>
                <w:sz w:val="21"/>
              </w:rPr>
              <w:t>排放限值</w:t>
            </w:r>
          </w:p>
        </w:tc>
        <w:tc>
          <w:tcPr>
            <w:tcW w:w="1232" w:type="dxa"/>
          </w:tcPr>
          <w:p>
            <w:pPr>
              <w:pStyle w:val="TableParagraph"/>
              <w:spacing w:line="238" w:lineRule="exact" w:before="24"/>
              <w:ind w:left="486" w:right="485"/>
              <w:rPr>
                <w:rFonts w:ascii="Times New Roman"/>
                <w:b/>
                <w:sz w:val="21"/>
              </w:rPr>
            </w:pPr>
            <w:r>
              <w:rPr>
                <w:rFonts w:ascii="Times New Roman"/>
                <w:b/>
                <w:sz w:val="21"/>
              </w:rPr>
              <w:t>20</w:t>
            </w:r>
          </w:p>
        </w:tc>
        <w:tc>
          <w:tcPr>
            <w:tcW w:w="991" w:type="dxa"/>
          </w:tcPr>
          <w:p>
            <w:pPr>
              <w:pStyle w:val="TableParagraph"/>
              <w:spacing w:line="238" w:lineRule="exact" w:before="24"/>
              <w:ind w:left="11"/>
              <w:rPr>
                <w:rFonts w:ascii="Times New Roman"/>
                <w:b/>
                <w:sz w:val="21"/>
              </w:rPr>
            </w:pPr>
            <w:r>
              <w:rPr>
                <w:rFonts w:ascii="Times New Roman"/>
                <w:b/>
                <w:sz w:val="21"/>
              </w:rPr>
              <w:t>1.2</w:t>
            </w:r>
          </w:p>
        </w:tc>
        <w:tc>
          <w:tcPr>
            <w:tcW w:w="854" w:type="dxa"/>
          </w:tcPr>
          <w:p>
            <w:pPr>
              <w:pStyle w:val="TableParagraph"/>
              <w:spacing w:line="238" w:lineRule="exact" w:before="24"/>
              <w:ind w:right="230"/>
              <w:jc w:val="right"/>
              <w:rPr>
                <w:rFonts w:ascii="Times New Roman"/>
                <w:b/>
                <w:sz w:val="21"/>
              </w:rPr>
            </w:pPr>
            <w:r>
              <w:rPr>
                <w:rFonts w:ascii="Times New Roman"/>
                <w:b/>
                <w:sz w:val="21"/>
              </w:rPr>
              <w:t>0.12</w:t>
            </w:r>
          </w:p>
        </w:tc>
        <w:tc>
          <w:tcPr>
            <w:tcW w:w="988" w:type="dxa"/>
          </w:tcPr>
          <w:p>
            <w:pPr>
              <w:pStyle w:val="TableParagraph"/>
              <w:spacing w:line="238" w:lineRule="exact" w:before="24"/>
              <w:ind w:left="2"/>
              <w:rPr>
                <w:rFonts w:ascii="Times New Roman"/>
                <w:b/>
                <w:sz w:val="21"/>
              </w:rPr>
            </w:pPr>
            <w:r>
              <w:rPr>
                <w:rFonts w:ascii="Times New Roman"/>
                <w:b/>
                <w:w w:val="100"/>
                <w:sz w:val="21"/>
              </w:rPr>
              <w:t>/</w:t>
            </w:r>
          </w:p>
        </w:tc>
        <w:tc>
          <w:tcPr>
            <w:tcW w:w="1135" w:type="dxa"/>
          </w:tcPr>
          <w:p>
            <w:pPr>
              <w:pStyle w:val="TableParagraph"/>
              <w:spacing w:line="238" w:lineRule="exact" w:before="24"/>
              <w:ind w:left="11"/>
              <w:rPr>
                <w:rFonts w:ascii="Times New Roman"/>
                <w:b/>
                <w:sz w:val="21"/>
              </w:rPr>
            </w:pPr>
            <w:r>
              <w:rPr>
                <w:rFonts w:ascii="Times New Roman"/>
                <w:b/>
                <w:w w:val="100"/>
                <w:sz w:val="21"/>
              </w:rPr>
              <w:t>/</w:t>
            </w:r>
          </w:p>
        </w:tc>
        <w:tc>
          <w:tcPr>
            <w:tcW w:w="1106" w:type="dxa"/>
          </w:tcPr>
          <w:p>
            <w:pPr>
              <w:pStyle w:val="TableParagraph"/>
              <w:spacing w:line="238" w:lineRule="exact" w:before="24"/>
              <w:ind w:left="246" w:right="231"/>
              <w:rPr>
                <w:rFonts w:ascii="Times New Roman"/>
                <w:b/>
                <w:sz w:val="21"/>
              </w:rPr>
            </w:pPr>
            <w:r>
              <w:rPr>
                <w:rFonts w:ascii="Times New Roman"/>
                <w:b/>
                <w:sz w:val="21"/>
              </w:rPr>
              <w:t>1.2</w:t>
            </w:r>
          </w:p>
        </w:tc>
        <w:tc>
          <w:tcPr>
            <w:tcW w:w="1440" w:type="dxa"/>
          </w:tcPr>
          <w:p>
            <w:pPr>
              <w:pStyle w:val="TableParagraph"/>
              <w:spacing w:before="19"/>
              <w:ind w:left="592"/>
              <w:jc w:val="left"/>
              <w:rPr>
                <w:rFonts w:ascii="Times New Roman"/>
                <w:b/>
                <w:sz w:val="21"/>
              </w:rPr>
            </w:pPr>
            <w:r>
              <w:rPr>
                <w:rFonts w:ascii="Times New Roman"/>
                <w:b/>
                <w:sz w:val="21"/>
              </w:rPr>
              <w:t>4.0</w:t>
            </w:r>
          </w:p>
        </w:tc>
        <w:tc>
          <w:tcPr>
            <w:tcW w:w="1153" w:type="dxa"/>
          </w:tcPr>
          <w:p>
            <w:pPr>
              <w:pStyle w:val="TableParagraph"/>
              <w:spacing w:before="19"/>
              <w:ind w:left="14"/>
              <w:rPr>
                <w:rFonts w:ascii="Times New Roman"/>
                <w:b/>
                <w:sz w:val="21"/>
              </w:rPr>
            </w:pPr>
            <w:r>
              <w:rPr>
                <w:rFonts w:ascii="Times New Roman"/>
                <w:b/>
                <w:w w:val="100"/>
                <w:sz w:val="21"/>
              </w:rPr>
              <w:t>/</w:t>
            </w:r>
          </w:p>
        </w:tc>
        <w:tc>
          <w:tcPr>
            <w:tcW w:w="1438" w:type="dxa"/>
          </w:tcPr>
          <w:p>
            <w:pPr>
              <w:pStyle w:val="TableParagraph"/>
              <w:spacing w:before="19"/>
              <w:ind w:left="412" w:right="398"/>
              <w:rPr>
                <w:rFonts w:ascii="Times New Roman"/>
                <w:b/>
                <w:sz w:val="21"/>
              </w:rPr>
            </w:pPr>
            <w:r>
              <w:rPr>
                <w:rFonts w:ascii="Times New Roman"/>
                <w:b/>
                <w:sz w:val="21"/>
              </w:rPr>
              <w:t>0.040</w:t>
            </w:r>
          </w:p>
        </w:tc>
        <w:tc>
          <w:tcPr>
            <w:tcW w:w="1097" w:type="dxa"/>
          </w:tcPr>
          <w:p>
            <w:pPr>
              <w:pStyle w:val="TableParagraph"/>
              <w:spacing w:before="19"/>
              <w:ind w:left="103" w:right="94"/>
              <w:rPr>
                <w:rFonts w:ascii="Times New Roman"/>
                <w:b/>
                <w:sz w:val="21"/>
              </w:rPr>
            </w:pPr>
            <w:r>
              <w:rPr>
                <w:rFonts w:ascii="Times New Roman"/>
                <w:b/>
                <w:sz w:val="21"/>
              </w:rPr>
              <w:t>0.40</w:t>
            </w:r>
          </w:p>
        </w:tc>
      </w:tr>
    </w:tbl>
    <w:p>
      <w:pPr>
        <w:pStyle w:val="BodyText"/>
        <w:spacing w:line="364" w:lineRule="auto" w:before="3"/>
        <w:ind w:left="218" w:right="433" w:firstLine="480"/>
      </w:pPr>
      <w:r>
        <w:rPr>
          <w:spacing w:val="-3"/>
        </w:rPr>
        <w:t>根据上述监测结果，现有企业厂界无组织废气排放浓度能满足《大气污染物综合排放标准</w:t>
      </w:r>
      <w:r>
        <w:rPr>
          <w:spacing w:val="-137"/>
        </w:rPr>
        <w:t>》</w:t>
      </w:r>
      <w:r>
        <w:rPr/>
        <w:t>（</w:t>
      </w:r>
      <w:r>
        <w:rPr>
          <w:rFonts w:ascii="Times New Roman" w:eastAsia="Times New Roman"/>
        </w:rPr>
        <w:t>GB16297-1996</w:t>
      </w:r>
      <w:r>
        <w:rPr/>
        <w:t>）</w:t>
      </w:r>
      <w:r>
        <w:rPr>
          <w:spacing w:val="-7"/>
        </w:rPr>
        <w:t>及《恶臭污染物排放</w:t>
      </w:r>
      <w:r>
        <w:rPr>
          <w:spacing w:val="-40"/>
        </w:rPr>
        <w:t>标准》</w:t>
      </w:r>
      <w:r>
        <w:rPr/>
        <w:t>（</w:t>
      </w:r>
      <w:r>
        <w:rPr>
          <w:rFonts w:ascii="Times New Roman" w:eastAsia="Times New Roman"/>
        </w:rPr>
        <w:t>GB14554-93</w:t>
      </w:r>
      <w:r>
        <w:rPr/>
        <w:t>）中标准限值的要求。</w:t>
      </w:r>
    </w:p>
    <w:p>
      <w:pPr>
        <w:spacing w:after="0" w:line="364" w:lineRule="auto"/>
        <w:sectPr>
          <w:pgSz w:w="16850" w:h="11910" w:orient="landscape"/>
          <w:pgMar w:header="730" w:footer="690" w:top="1180" w:bottom="880" w:left="1200" w:right="980"/>
        </w:sectPr>
      </w:pPr>
    </w:p>
    <w:p>
      <w:pPr>
        <w:pStyle w:val="BodyText"/>
        <w:spacing w:before="64"/>
        <w:ind w:left="698"/>
      </w:pPr>
      <w:r>
        <w:rPr/>
        <w:t>另外，本环评还收集了企业 </w:t>
      </w:r>
      <w:r>
        <w:rPr>
          <w:rFonts w:ascii="Times New Roman" w:eastAsia="Times New Roman"/>
        </w:rPr>
        <w:t>2021 </w:t>
      </w:r>
      <w:r>
        <w:rPr/>
        <w:t>年废气处理设施的自行监测数据，具体情况如下：</w:t>
      </w:r>
    </w:p>
    <w:p>
      <w:pPr>
        <w:pStyle w:val="BodyText"/>
        <w:spacing w:before="2"/>
        <w:rPr>
          <w:sz w:val="12"/>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
        <w:gridCol w:w="845"/>
        <w:gridCol w:w="1383"/>
        <w:gridCol w:w="1010"/>
        <w:gridCol w:w="1185"/>
        <w:gridCol w:w="1188"/>
        <w:gridCol w:w="1188"/>
        <w:gridCol w:w="1196"/>
        <w:gridCol w:w="809"/>
      </w:tblGrid>
      <w:tr>
        <w:trPr>
          <w:trHeight w:val="285" w:hRule="atLeast"/>
        </w:trPr>
        <w:tc>
          <w:tcPr>
            <w:tcW w:w="2713" w:type="dxa"/>
            <w:gridSpan w:val="3"/>
            <w:vMerge w:val="restart"/>
          </w:tcPr>
          <w:p>
            <w:pPr>
              <w:pStyle w:val="TableParagraph"/>
              <w:spacing w:before="154"/>
              <w:ind w:left="913" w:right="905"/>
              <w:rPr>
                <w:b/>
                <w:sz w:val="21"/>
              </w:rPr>
            </w:pPr>
            <w:r>
              <w:rPr>
                <w:b/>
                <w:sz w:val="21"/>
              </w:rPr>
              <w:t>测试项目</w:t>
            </w:r>
          </w:p>
        </w:tc>
        <w:tc>
          <w:tcPr>
            <w:tcW w:w="1010" w:type="dxa"/>
            <w:vMerge w:val="restart"/>
          </w:tcPr>
          <w:p>
            <w:pPr>
              <w:pStyle w:val="TableParagraph"/>
              <w:spacing w:before="154"/>
              <w:ind w:left="292"/>
              <w:jc w:val="left"/>
              <w:rPr>
                <w:b/>
                <w:sz w:val="21"/>
              </w:rPr>
            </w:pPr>
            <w:r>
              <w:rPr>
                <w:b/>
                <w:sz w:val="21"/>
              </w:rPr>
              <w:t>单位</w:t>
            </w:r>
          </w:p>
        </w:tc>
        <w:tc>
          <w:tcPr>
            <w:tcW w:w="4757" w:type="dxa"/>
            <w:gridSpan w:val="4"/>
          </w:tcPr>
          <w:p>
            <w:pPr>
              <w:pStyle w:val="TableParagraph"/>
              <w:spacing w:line="257" w:lineRule="exact" w:before="8"/>
              <w:ind w:left="1041"/>
              <w:jc w:val="left"/>
              <w:rPr>
                <w:b/>
                <w:sz w:val="21"/>
              </w:rPr>
            </w:pPr>
            <w:r>
              <w:rPr>
                <w:b/>
                <w:sz w:val="21"/>
              </w:rPr>
              <w:t>排放口 </w:t>
            </w:r>
            <w:r>
              <w:rPr>
                <w:rFonts w:ascii="Times New Roman" w:eastAsia="Times New Roman"/>
                <w:b/>
                <w:sz w:val="21"/>
              </w:rPr>
              <w:t>DA001</w:t>
            </w:r>
            <w:r>
              <w:rPr>
                <w:b/>
                <w:sz w:val="21"/>
              </w:rPr>
              <w:t>（</w:t>
            </w:r>
            <w:r>
              <w:rPr>
                <w:rFonts w:ascii="Times New Roman" w:eastAsia="Times New Roman"/>
                <w:b/>
                <w:sz w:val="21"/>
              </w:rPr>
              <w:t>2021.11.23</w:t>
            </w:r>
            <w:r>
              <w:rPr>
                <w:b/>
                <w:sz w:val="21"/>
              </w:rPr>
              <w:t>）</w:t>
            </w:r>
          </w:p>
        </w:tc>
        <w:tc>
          <w:tcPr>
            <w:tcW w:w="809" w:type="dxa"/>
            <w:vMerge w:val="restart"/>
          </w:tcPr>
          <w:p>
            <w:pPr>
              <w:pStyle w:val="TableParagraph"/>
              <w:spacing w:line="270" w:lineRule="atLeast" w:before="17"/>
              <w:ind w:left="192" w:right="182"/>
              <w:jc w:val="left"/>
              <w:rPr>
                <w:b/>
                <w:sz w:val="21"/>
              </w:rPr>
            </w:pPr>
            <w:r>
              <w:rPr>
                <w:b/>
                <w:sz w:val="21"/>
              </w:rPr>
              <w:t>排放限值</w:t>
            </w:r>
          </w:p>
        </w:tc>
      </w:tr>
      <w:tr>
        <w:trPr>
          <w:trHeight w:val="282" w:hRule="atLeast"/>
        </w:trPr>
        <w:tc>
          <w:tcPr>
            <w:tcW w:w="2713" w:type="dxa"/>
            <w:gridSpan w:val="3"/>
            <w:vMerge/>
            <w:tcBorders>
              <w:top w:val="nil"/>
            </w:tcBorders>
          </w:tcPr>
          <w:p>
            <w:pPr>
              <w:rPr>
                <w:sz w:val="2"/>
                <w:szCs w:val="2"/>
              </w:rPr>
            </w:pPr>
          </w:p>
        </w:tc>
        <w:tc>
          <w:tcPr>
            <w:tcW w:w="1010" w:type="dxa"/>
            <w:vMerge/>
            <w:tcBorders>
              <w:top w:val="nil"/>
            </w:tcBorders>
          </w:tcPr>
          <w:p>
            <w:pPr>
              <w:rPr>
                <w:sz w:val="2"/>
                <w:szCs w:val="2"/>
              </w:rPr>
            </w:pPr>
          </w:p>
        </w:tc>
        <w:tc>
          <w:tcPr>
            <w:tcW w:w="1185" w:type="dxa"/>
          </w:tcPr>
          <w:p>
            <w:pPr>
              <w:pStyle w:val="TableParagraph"/>
              <w:spacing w:line="257" w:lineRule="exact" w:before="5"/>
              <w:ind w:left="275"/>
              <w:jc w:val="left"/>
              <w:rPr>
                <w:b/>
                <w:sz w:val="21"/>
              </w:rPr>
            </w:pPr>
            <w:r>
              <w:rPr>
                <w:b/>
                <w:sz w:val="21"/>
              </w:rPr>
              <w:t>第一次</w:t>
            </w:r>
          </w:p>
        </w:tc>
        <w:tc>
          <w:tcPr>
            <w:tcW w:w="1188" w:type="dxa"/>
          </w:tcPr>
          <w:p>
            <w:pPr>
              <w:pStyle w:val="TableParagraph"/>
              <w:spacing w:line="257" w:lineRule="exact" w:before="5"/>
              <w:ind w:left="276"/>
              <w:jc w:val="left"/>
              <w:rPr>
                <w:b/>
                <w:sz w:val="21"/>
              </w:rPr>
            </w:pPr>
            <w:r>
              <w:rPr>
                <w:b/>
                <w:sz w:val="21"/>
              </w:rPr>
              <w:t>第二次</w:t>
            </w:r>
          </w:p>
        </w:tc>
        <w:tc>
          <w:tcPr>
            <w:tcW w:w="1188" w:type="dxa"/>
          </w:tcPr>
          <w:p>
            <w:pPr>
              <w:pStyle w:val="TableParagraph"/>
              <w:spacing w:line="257" w:lineRule="exact" w:before="5"/>
              <w:ind w:left="139" w:right="130"/>
              <w:rPr>
                <w:b/>
                <w:sz w:val="21"/>
              </w:rPr>
            </w:pPr>
            <w:r>
              <w:rPr>
                <w:b/>
                <w:sz w:val="21"/>
              </w:rPr>
              <w:t>第三次</w:t>
            </w:r>
          </w:p>
        </w:tc>
        <w:tc>
          <w:tcPr>
            <w:tcW w:w="1196" w:type="dxa"/>
          </w:tcPr>
          <w:p>
            <w:pPr>
              <w:pStyle w:val="TableParagraph"/>
              <w:spacing w:line="257" w:lineRule="exact" w:before="5"/>
              <w:ind w:left="142" w:right="136"/>
              <w:rPr>
                <w:b/>
                <w:sz w:val="21"/>
              </w:rPr>
            </w:pPr>
            <w:r>
              <w:rPr>
                <w:b/>
                <w:sz w:val="21"/>
              </w:rPr>
              <w:t>平均值</w:t>
            </w:r>
          </w:p>
        </w:tc>
        <w:tc>
          <w:tcPr>
            <w:tcW w:w="809" w:type="dxa"/>
            <w:vMerge/>
            <w:tcBorders>
              <w:top w:val="nil"/>
            </w:tcBorders>
          </w:tcPr>
          <w:p>
            <w:pPr>
              <w:rPr>
                <w:sz w:val="2"/>
                <w:szCs w:val="2"/>
              </w:rPr>
            </w:pPr>
          </w:p>
        </w:tc>
      </w:tr>
      <w:tr>
        <w:trPr>
          <w:trHeight w:val="544" w:hRule="atLeast"/>
        </w:trPr>
        <w:tc>
          <w:tcPr>
            <w:tcW w:w="1330" w:type="dxa"/>
            <w:gridSpan w:val="2"/>
            <w:vMerge w:val="restart"/>
          </w:tcPr>
          <w:p>
            <w:pPr>
              <w:pStyle w:val="TableParagraph"/>
              <w:jc w:val="left"/>
              <w:rPr>
                <w:sz w:val="20"/>
              </w:rPr>
            </w:pPr>
          </w:p>
          <w:p>
            <w:pPr>
              <w:pStyle w:val="TableParagraph"/>
              <w:jc w:val="left"/>
              <w:rPr>
                <w:sz w:val="20"/>
              </w:rPr>
            </w:pPr>
          </w:p>
          <w:p>
            <w:pPr>
              <w:pStyle w:val="TableParagraph"/>
              <w:spacing w:before="8"/>
              <w:jc w:val="left"/>
              <w:rPr>
                <w:sz w:val="27"/>
              </w:rPr>
            </w:pPr>
          </w:p>
          <w:p>
            <w:pPr>
              <w:pStyle w:val="TableParagraph"/>
              <w:spacing w:line="244" w:lineRule="auto" w:before="1"/>
              <w:ind w:left="453" w:right="442"/>
              <w:rPr>
                <w:sz w:val="21"/>
              </w:rPr>
            </w:pPr>
            <w:r>
              <w:rPr>
                <w:sz w:val="21"/>
              </w:rPr>
              <w:t>烟气参数</w:t>
            </w:r>
          </w:p>
        </w:tc>
        <w:tc>
          <w:tcPr>
            <w:tcW w:w="1383" w:type="dxa"/>
          </w:tcPr>
          <w:p>
            <w:pPr>
              <w:pStyle w:val="TableParagraph"/>
              <w:spacing w:line="270" w:lineRule="atLeast" w:before="2"/>
              <w:ind w:left="584" w:right="152" w:hanging="420"/>
              <w:jc w:val="left"/>
              <w:rPr>
                <w:sz w:val="21"/>
              </w:rPr>
            </w:pPr>
            <w:r>
              <w:rPr>
                <w:sz w:val="21"/>
              </w:rPr>
              <w:t>测点废气温度</w:t>
            </w:r>
          </w:p>
        </w:tc>
        <w:tc>
          <w:tcPr>
            <w:tcW w:w="1010" w:type="dxa"/>
          </w:tcPr>
          <w:p>
            <w:pPr>
              <w:pStyle w:val="TableParagraph"/>
              <w:spacing w:before="151"/>
              <w:ind w:left="6"/>
              <w:rPr>
                <w:rFonts w:ascii="Times New Roman" w:hAnsi="Times New Roman"/>
                <w:sz w:val="21"/>
              </w:rPr>
            </w:pPr>
            <w:r>
              <w:rPr>
                <w:rFonts w:ascii="Times New Roman" w:hAnsi="Times New Roman"/>
                <w:w w:val="100"/>
                <w:sz w:val="21"/>
              </w:rPr>
              <w:t>℃</w:t>
            </w:r>
          </w:p>
        </w:tc>
        <w:tc>
          <w:tcPr>
            <w:tcW w:w="1185" w:type="dxa"/>
          </w:tcPr>
          <w:p>
            <w:pPr>
              <w:pStyle w:val="TableParagraph"/>
              <w:spacing w:before="151"/>
              <w:ind w:left="386" w:right="376"/>
              <w:rPr>
                <w:rFonts w:ascii="Times New Roman"/>
                <w:sz w:val="21"/>
              </w:rPr>
            </w:pPr>
            <w:r>
              <w:rPr>
                <w:rFonts w:ascii="Times New Roman"/>
                <w:sz w:val="21"/>
              </w:rPr>
              <w:t>32</w:t>
            </w:r>
          </w:p>
        </w:tc>
        <w:tc>
          <w:tcPr>
            <w:tcW w:w="1188" w:type="dxa"/>
          </w:tcPr>
          <w:p>
            <w:pPr>
              <w:pStyle w:val="TableParagraph"/>
              <w:spacing w:before="151"/>
              <w:ind w:left="139" w:right="130"/>
              <w:rPr>
                <w:rFonts w:ascii="Times New Roman"/>
                <w:sz w:val="21"/>
              </w:rPr>
            </w:pPr>
            <w:r>
              <w:rPr>
                <w:rFonts w:ascii="Times New Roman"/>
                <w:sz w:val="21"/>
              </w:rPr>
              <w:t>32</w:t>
            </w:r>
          </w:p>
        </w:tc>
        <w:tc>
          <w:tcPr>
            <w:tcW w:w="1188" w:type="dxa"/>
          </w:tcPr>
          <w:p>
            <w:pPr>
              <w:pStyle w:val="TableParagraph"/>
              <w:spacing w:before="151"/>
              <w:ind w:left="139" w:right="130"/>
              <w:rPr>
                <w:rFonts w:ascii="Times New Roman"/>
                <w:sz w:val="21"/>
              </w:rPr>
            </w:pPr>
            <w:r>
              <w:rPr>
                <w:rFonts w:ascii="Times New Roman"/>
                <w:sz w:val="21"/>
              </w:rPr>
              <w:t>32</w:t>
            </w:r>
          </w:p>
        </w:tc>
        <w:tc>
          <w:tcPr>
            <w:tcW w:w="1196" w:type="dxa"/>
          </w:tcPr>
          <w:p>
            <w:pPr>
              <w:pStyle w:val="TableParagraph"/>
              <w:spacing w:before="151"/>
              <w:ind w:left="142" w:right="137"/>
              <w:rPr>
                <w:rFonts w:ascii="Times New Roman"/>
                <w:sz w:val="21"/>
              </w:rPr>
            </w:pPr>
            <w:r>
              <w:rPr>
                <w:rFonts w:ascii="Times New Roman"/>
                <w:sz w:val="21"/>
              </w:rPr>
              <w:t>32</w:t>
            </w:r>
          </w:p>
        </w:tc>
        <w:tc>
          <w:tcPr>
            <w:tcW w:w="809" w:type="dxa"/>
          </w:tcPr>
          <w:p>
            <w:pPr>
              <w:pStyle w:val="TableParagraph"/>
              <w:spacing w:before="151"/>
              <w:ind w:left="9"/>
              <w:rPr>
                <w:rFonts w:ascii="Times New Roman"/>
                <w:sz w:val="21"/>
              </w:rPr>
            </w:pPr>
            <w:r>
              <w:rPr>
                <w:rFonts w:ascii="Times New Roman"/>
                <w:w w:val="100"/>
                <w:sz w:val="21"/>
              </w:rPr>
              <w:t>/</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测点大气压</w:t>
            </w:r>
          </w:p>
        </w:tc>
        <w:tc>
          <w:tcPr>
            <w:tcW w:w="1010" w:type="dxa"/>
          </w:tcPr>
          <w:p>
            <w:pPr>
              <w:pStyle w:val="TableParagraph"/>
              <w:spacing w:before="22"/>
              <w:ind w:left="53" w:right="42"/>
              <w:rPr>
                <w:rFonts w:ascii="Times New Roman"/>
                <w:sz w:val="21"/>
              </w:rPr>
            </w:pPr>
            <w:r>
              <w:rPr>
                <w:rFonts w:ascii="Times New Roman"/>
                <w:sz w:val="21"/>
              </w:rPr>
              <w:t>kPa</w:t>
            </w:r>
          </w:p>
        </w:tc>
        <w:tc>
          <w:tcPr>
            <w:tcW w:w="1185" w:type="dxa"/>
          </w:tcPr>
          <w:p>
            <w:pPr>
              <w:pStyle w:val="TableParagraph"/>
              <w:spacing w:before="22"/>
              <w:ind w:left="11"/>
              <w:rPr>
                <w:rFonts w:ascii="Times New Roman"/>
                <w:sz w:val="21"/>
              </w:rPr>
            </w:pPr>
            <w:r>
              <w:rPr>
                <w:rFonts w:ascii="Times New Roman"/>
                <w:w w:val="100"/>
                <w:sz w:val="21"/>
              </w:rPr>
              <w:t>/</w:t>
            </w:r>
          </w:p>
        </w:tc>
        <w:tc>
          <w:tcPr>
            <w:tcW w:w="1188" w:type="dxa"/>
          </w:tcPr>
          <w:p>
            <w:pPr>
              <w:pStyle w:val="TableParagraph"/>
              <w:spacing w:before="22"/>
              <w:ind w:left="10"/>
              <w:rPr>
                <w:rFonts w:ascii="Times New Roman"/>
                <w:sz w:val="21"/>
              </w:rPr>
            </w:pPr>
            <w:r>
              <w:rPr>
                <w:rFonts w:ascii="Times New Roman"/>
                <w:w w:val="100"/>
                <w:sz w:val="21"/>
              </w:rPr>
              <w:t>/</w:t>
            </w:r>
          </w:p>
        </w:tc>
        <w:tc>
          <w:tcPr>
            <w:tcW w:w="1188" w:type="dxa"/>
          </w:tcPr>
          <w:p>
            <w:pPr>
              <w:pStyle w:val="TableParagraph"/>
              <w:spacing w:before="22"/>
              <w:ind w:left="10"/>
              <w:rPr>
                <w:rFonts w:ascii="Times New Roman"/>
                <w:sz w:val="21"/>
              </w:rPr>
            </w:pPr>
            <w:r>
              <w:rPr>
                <w:rFonts w:ascii="Times New Roman"/>
                <w:w w:val="100"/>
                <w:sz w:val="21"/>
              </w:rPr>
              <w:t>/</w:t>
            </w:r>
          </w:p>
        </w:tc>
        <w:tc>
          <w:tcPr>
            <w:tcW w:w="1196" w:type="dxa"/>
          </w:tcPr>
          <w:p>
            <w:pPr>
              <w:pStyle w:val="TableParagraph"/>
              <w:spacing w:before="22"/>
              <w:ind w:left="6"/>
              <w:rPr>
                <w:rFonts w:ascii="Times New Roman"/>
                <w:sz w:val="21"/>
              </w:rPr>
            </w:pPr>
            <w:r>
              <w:rPr>
                <w:rFonts w:ascii="Times New Roman"/>
                <w:w w:val="100"/>
                <w:sz w:val="21"/>
              </w:rPr>
              <w:t>/</w:t>
            </w:r>
          </w:p>
        </w:tc>
        <w:tc>
          <w:tcPr>
            <w:tcW w:w="809" w:type="dxa"/>
          </w:tcPr>
          <w:p>
            <w:pPr>
              <w:pStyle w:val="TableParagraph"/>
              <w:spacing w:before="22"/>
              <w:ind w:left="9"/>
              <w:rPr>
                <w:rFonts w:ascii="Times New Roman"/>
                <w:sz w:val="21"/>
              </w:rPr>
            </w:pPr>
            <w:r>
              <w:rPr>
                <w:rFonts w:ascii="Times New Roman"/>
                <w:w w:val="100"/>
                <w:sz w:val="21"/>
              </w:rPr>
              <w:t>/</w:t>
            </w:r>
          </w:p>
        </w:tc>
      </w:tr>
      <w:tr>
        <w:trPr>
          <w:trHeight w:val="282" w:hRule="atLeast"/>
        </w:trPr>
        <w:tc>
          <w:tcPr>
            <w:tcW w:w="1330" w:type="dxa"/>
            <w:gridSpan w:val="2"/>
            <w:vMerge/>
            <w:tcBorders>
              <w:top w:val="nil"/>
            </w:tcBorders>
          </w:tcPr>
          <w:p>
            <w:pPr>
              <w:rPr>
                <w:sz w:val="2"/>
                <w:szCs w:val="2"/>
              </w:rPr>
            </w:pPr>
          </w:p>
        </w:tc>
        <w:tc>
          <w:tcPr>
            <w:tcW w:w="1383" w:type="dxa"/>
          </w:tcPr>
          <w:p>
            <w:pPr>
              <w:pStyle w:val="TableParagraph"/>
              <w:spacing w:line="255" w:lineRule="exact" w:before="8"/>
              <w:ind w:left="146" w:right="136"/>
              <w:rPr>
                <w:sz w:val="21"/>
              </w:rPr>
            </w:pPr>
            <w:r>
              <w:rPr>
                <w:sz w:val="21"/>
              </w:rPr>
              <w:t>废气含湿量</w:t>
            </w:r>
          </w:p>
        </w:tc>
        <w:tc>
          <w:tcPr>
            <w:tcW w:w="1010" w:type="dxa"/>
          </w:tcPr>
          <w:p>
            <w:pPr>
              <w:pStyle w:val="TableParagraph"/>
              <w:spacing w:line="241" w:lineRule="exact" w:before="22"/>
              <w:ind w:left="9"/>
              <w:rPr>
                <w:rFonts w:ascii="Times New Roman"/>
                <w:sz w:val="21"/>
              </w:rPr>
            </w:pPr>
            <w:r>
              <w:rPr>
                <w:rFonts w:ascii="Times New Roman"/>
                <w:w w:val="100"/>
                <w:sz w:val="21"/>
              </w:rPr>
              <w:t>%</w:t>
            </w:r>
          </w:p>
        </w:tc>
        <w:tc>
          <w:tcPr>
            <w:tcW w:w="1185" w:type="dxa"/>
          </w:tcPr>
          <w:p>
            <w:pPr>
              <w:pStyle w:val="TableParagraph"/>
              <w:spacing w:line="241" w:lineRule="exact" w:before="22"/>
              <w:ind w:left="390" w:right="376"/>
              <w:rPr>
                <w:rFonts w:ascii="Times New Roman"/>
                <w:sz w:val="21"/>
              </w:rPr>
            </w:pPr>
            <w:r>
              <w:rPr>
                <w:rFonts w:ascii="Times New Roman"/>
                <w:sz w:val="21"/>
              </w:rPr>
              <w:t>4.2</w:t>
            </w:r>
          </w:p>
        </w:tc>
        <w:tc>
          <w:tcPr>
            <w:tcW w:w="1188" w:type="dxa"/>
          </w:tcPr>
          <w:p>
            <w:pPr>
              <w:pStyle w:val="TableParagraph"/>
              <w:spacing w:line="241" w:lineRule="exact" w:before="22"/>
              <w:ind w:left="141" w:right="128"/>
              <w:rPr>
                <w:rFonts w:ascii="Times New Roman"/>
                <w:sz w:val="21"/>
              </w:rPr>
            </w:pPr>
            <w:r>
              <w:rPr>
                <w:rFonts w:ascii="Times New Roman"/>
                <w:sz w:val="21"/>
              </w:rPr>
              <w:t>4.2</w:t>
            </w:r>
          </w:p>
        </w:tc>
        <w:tc>
          <w:tcPr>
            <w:tcW w:w="1188" w:type="dxa"/>
          </w:tcPr>
          <w:p>
            <w:pPr>
              <w:pStyle w:val="TableParagraph"/>
              <w:spacing w:line="241" w:lineRule="exact" w:before="22"/>
              <w:ind w:left="141" w:right="128"/>
              <w:rPr>
                <w:rFonts w:ascii="Times New Roman"/>
                <w:sz w:val="21"/>
              </w:rPr>
            </w:pPr>
            <w:r>
              <w:rPr>
                <w:rFonts w:ascii="Times New Roman"/>
                <w:sz w:val="21"/>
              </w:rPr>
              <w:t>4.2</w:t>
            </w:r>
          </w:p>
        </w:tc>
        <w:tc>
          <w:tcPr>
            <w:tcW w:w="1196" w:type="dxa"/>
          </w:tcPr>
          <w:p>
            <w:pPr>
              <w:pStyle w:val="TableParagraph"/>
              <w:spacing w:line="241" w:lineRule="exact" w:before="22"/>
              <w:ind w:left="142" w:right="137"/>
              <w:rPr>
                <w:rFonts w:ascii="Times New Roman"/>
                <w:sz w:val="21"/>
              </w:rPr>
            </w:pPr>
            <w:r>
              <w:rPr>
                <w:rFonts w:ascii="Times New Roman"/>
                <w:sz w:val="21"/>
              </w:rPr>
              <w:t>4.2</w:t>
            </w:r>
          </w:p>
        </w:tc>
        <w:tc>
          <w:tcPr>
            <w:tcW w:w="809" w:type="dxa"/>
          </w:tcPr>
          <w:p>
            <w:pPr>
              <w:pStyle w:val="TableParagraph"/>
              <w:spacing w:line="241" w:lineRule="exact" w:before="22"/>
              <w:ind w:left="9"/>
              <w:rPr>
                <w:rFonts w:ascii="Times New Roman"/>
                <w:sz w:val="21"/>
              </w:rPr>
            </w:pPr>
            <w:r>
              <w:rPr>
                <w:rFonts w:ascii="Times New Roman"/>
                <w:w w:val="100"/>
                <w:sz w:val="21"/>
              </w:rPr>
              <w:t>/</w:t>
            </w:r>
          </w:p>
        </w:tc>
      </w:tr>
      <w:tr>
        <w:trPr>
          <w:trHeight w:val="546" w:hRule="atLeast"/>
        </w:trPr>
        <w:tc>
          <w:tcPr>
            <w:tcW w:w="1330" w:type="dxa"/>
            <w:gridSpan w:val="2"/>
            <w:vMerge/>
            <w:tcBorders>
              <w:top w:val="nil"/>
            </w:tcBorders>
          </w:tcPr>
          <w:p>
            <w:pPr>
              <w:rPr>
                <w:sz w:val="2"/>
                <w:szCs w:val="2"/>
              </w:rPr>
            </w:pPr>
          </w:p>
        </w:tc>
        <w:tc>
          <w:tcPr>
            <w:tcW w:w="1383" w:type="dxa"/>
          </w:tcPr>
          <w:p>
            <w:pPr>
              <w:pStyle w:val="TableParagraph"/>
              <w:spacing w:line="270" w:lineRule="atLeast" w:before="2"/>
              <w:ind w:left="584" w:right="152" w:hanging="420"/>
              <w:jc w:val="left"/>
              <w:rPr>
                <w:sz w:val="21"/>
              </w:rPr>
            </w:pPr>
            <w:r>
              <w:rPr>
                <w:sz w:val="21"/>
              </w:rPr>
              <w:t>测点废气流速</w:t>
            </w:r>
          </w:p>
        </w:tc>
        <w:tc>
          <w:tcPr>
            <w:tcW w:w="1010" w:type="dxa"/>
          </w:tcPr>
          <w:p>
            <w:pPr>
              <w:pStyle w:val="TableParagraph"/>
              <w:spacing w:before="151"/>
              <w:ind w:left="48" w:right="42"/>
              <w:rPr>
                <w:rFonts w:ascii="Times New Roman"/>
                <w:sz w:val="21"/>
              </w:rPr>
            </w:pPr>
            <w:r>
              <w:rPr>
                <w:rFonts w:ascii="Times New Roman"/>
                <w:sz w:val="21"/>
              </w:rPr>
              <w:t>m/s</w:t>
            </w:r>
          </w:p>
        </w:tc>
        <w:tc>
          <w:tcPr>
            <w:tcW w:w="1185" w:type="dxa"/>
          </w:tcPr>
          <w:p>
            <w:pPr>
              <w:pStyle w:val="TableParagraph"/>
              <w:spacing w:before="151"/>
              <w:ind w:left="390" w:right="376"/>
              <w:rPr>
                <w:rFonts w:ascii="Times New Roman"/>
                <w:sz w:val="21"/>
              </w:rPr>
            </w:pPr>
            <w:r>
              <w:rPr>
                <w:rFonts w:ascii="Times New Roman"/>
                <w:sz w:val="21"/>
              </w:rPr>
              <w:t>5.1</w:t>
            </w:r>
          </w:p>
        </w:tc>
        <w:tc>
          <w:tcPr>
            <w:tcW w:w="1188" w:type="dxa"/>
          </w:tcPr>
          <w:p>
            <w:pPr>
              <w:pStyle w:val="TableParagraph"/>
              <w:spacing w:before="151"/>
              <w:ind w:left="141" w:right="128"/>
              <w:rPr>
                <w:rFonts w:ascii="Times New Roman"/>
                <w:sz w:val="21"/>
              </w:rPr>
            </w:pPr>
            <w:r>
              <w:rPr>
                <w:rFonts w:ascii="Times New Roman"/>
                <w:sz w:val="21"/>
              </w:rPr>
              <w:t>5.8</w:t>
            </w:r>
          </w:p>
        </w:tc>
        <w:tc>
          <w:tcPr>
            <w:tcW w:w="1188" w:type="dxa"/>
          </w:tcPr>
          <w:p>
            <w:pPr>
              <w:pStyle w:val="TableParagraph"/>
              <w:spacing w:before="151"/>
              <w:ind w:left="141" w:right="128"/>
              <w:rPr>
                <w:rFonts w:ascii="Times New Roman"/>
                <w:sz w:val="21"/>
              </w:rPr>
            </w:pPr>
            <w:r>
              <w:rPr>
                <w:rFonts w:ascii="Times New Roman"/>
                <w:sz w:val="21"/>
              </w:rPr>
              <w:t>5.4</w:t>
            </w:r>
          </w:p>
        </w:tc>
        <w:tc>
          <w:tcPr>
            <w:tcW w:w="1196" w:type="dxa"/>
          </w:tcPr>
          <w:p>
            <w:pPr>
              <w:pStyle w:val="TableParagraph"/>
              <w:spacing w:before="151"/>
              <w:ind w:left="142" w:right="137"/>
              <w:rPr>
                <w:rFonts w:ascii="Times New Roman"/>
                <w:sz w:val="21"/>
              </w:rPr>
            </w:pPr>
            <w:r>
              <w:rPr>
                <w:rFonts w:ascii="Times New Roman"/>
                <w:sz w:val="21"/>
              </w:rPr>
              <w:t>5.4</w:t>
            </w:r>
          </w:p>
        </w:tc>
        <w:tc>
          <w:tcPr>
            <w:tcW w:w="809" w:type="dxa"/>
          </w:tcPr>
          <w:p>
            <w:pPr>
              <w:pStyle w:val="TableParagraph"/>
              <w:spacing w:before="151"/>
              <w:ind w:left="9"/>
              <w:rPr>
                <w:rFonts w:ascii="Times New Roman"/>
                <w:sz w:val="21"/>
              </w:rPr>
            </w:pPr>
            <w:r>
              <w:rPr>
                <w:rFonts w:ascii="Times New Roman"/>
                <w:w w:val="100"/>
                <w:sz w:val="21"/>
              </w:rPr>
              <w:t>/</w:t>
            </w:r>
          </w:p>
        </w:tc>
      </w:tr>
      <w:tr>
        <w:trPr>
          <w:trHeight w:val="282"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6"/>
              <w:ind w:left="146" w:right="136"/>
              <w:rPr>
                <w:sz w:val="21"/>
              </w:rPr>
            </w:pPr>
            <w:r>
              <w:rPr>
                <w:sz w:val="21"/>
              </w:rPr>
              <w:t>标干流量</w:t>
            </w:r>
          </w:p>
        </w:tc>
        <w:tc>
          <w:tcPr>
            <w:tcW w:w="1010" w:type="dxa"/>
          </w:tcPr>
          <w:p>
            <w:pPr>
              <w:pStyle w:val="TableParagraph"/>
              <w:spacing w:before="15"/>
              <w:ind w:left="49" w:right="42"/>
              <w:rPr>
                <w:rFonts w:ascii="Times New Roman"/>
                <w:sz w:val="21"/>
              </w:rPr>
            </w:pPr>
            <w:r>
              <w:rPr>
                <w:rFonts w:ascii="Times New Roman"/>
                <w:sz w:val="21"/>
              </w:rPr>
              <w:t>(Nd)m</w:t>
            </w:r>
            <w:r>
              <w:rPr>
                <w:rFonts w:ascii="Times New Roman"/>
                <w:position w:val="7"/>
                <w:sz w:val="14"/>
              </w:rPr>
              <w:t>3</w:t>
            </w:r>
            <w:r>
              <w:rPr>
                <w:rFonts w:ascii="Times New Roman"/>
                <w:sz w:val="21"/>
              </w:rPr>
              <w:t>/h</w:t>
            </w:r>
          </w:p>
        </w:tc>
        <w:tc>
          <w:tcPr>
            <w:tcW w:w="1185" w:type="dxa"/>
          </w:tcPr>
          <w:p>
            <w:pPr>
              <w:pStyle w:val="TableParagraph"/>
              <w:spacing w:before="15"/>
              <w:ind w:right="194"/>
              <w:jc w:val="right"/>
              <w:rPr>
                <w:rFonts w:ascii="Times New Roman" w:hAnsi="Times New Roman"/>
                <w:sz w:val="14"/>
              </w:rPr>
            </w:pPr>
            <w:r>
              <w:rPr>
                <w:rFonts w:ascii="Times New Roman" w:hAnsi="Times New Roman"/>
                <w:sz w:val="21"/>
              </w:rPr>
              <w:t>8.02×10 </w:t>
            </w:r>
            <w:r>
              <w:rPr>
                <w:rFonts w:ascii="Times New Roman" w:hAnsi="Times New Roman"/>
                <w:position w:val="7"/>
                <w:sz w:val="14"/>
              </w:rPr>
              <w:t>3</w:t>
            </w:r>
          </w:p>
        </w:tc>
        <w:tc>
          <w:tcPr>
            <w:tcW w:w="1188" w:type="dxa"/>
          </w:tcPr>
          <w:p>
            <w:pPr>
              <w:pStyle w:val="TableParagraph"/>
              <w:spacing w:before="15"/>
              <w:ind w:left="211"/>
              <w:jc w:val="left"/>
              <w:rPr>
                <w:rFonts w:ascii="Times New Roman" w:hAnsi="Times New Roman"/>
                <w:sz w:val="14"/>
              </w:rPr>
            </w:pPr>
            <w:r>
              <w:rPr>
                <w:rFonts w:ascii="Times New Roman" w:hAnsi="Times New Roman"/>
                <w:sz w:val="21"/>
              </w:rPr>
              <w:t>9.03×10 </w:t>
            </w:r>
            <w:r>
              <w:rPr>
                <w:rFonts w:ascii="Times New Roman" w:hAnsi="Times New Roman"/>
                <w:position w:val="7"/>
                <w:sz w:val="14"/>
              </w:rPr>
              <w:t>3</w:t>
            </w:r>
          </w:p>
        </w:tc>
        <w:tc>
          <w:tcPr>
            <w:tcW w:w="1188" w:type="dxa"/>
          </w:tcPr>
          <w:p>
            <w:pPr>
              <w:pStyle w:val="TableParagraph"/>
              <w:spacing w:before="15"/>
              <w:ind w:left="141" w:right="128"/>
              <w:rPr>
                <w:rFonts w:ascii="Times New Roman" w:hAnsi="Times New Roman"/>
                <w:sz w:val="14"/>
              </w:rPr>
            </w:pPr>
            <w:r>
              <w:rPr>
                <w:rFonts w:ascii="Times New Roman" w:hAnsi="Times New Roman"/>
                <w:sz w:val="21"/>
              </w:rPr>
              <w:t>8.44×10 </w:t>
            </w:r>
            <w:r>
              <w:rPr>
                <w:rFonts w:ascii="Times New Roman" w:hAnsi="Times New Roman"/>
                <w:position w:val="7"/>
                <w:sz w:val="14"/>
              </w:rPr>
              <w:t>3</w:t>
            </w:r>
          </w:p>
        </w:tc>
        <w:tc>
          <w:tcPr>
            <w:tcW w:w="1196" w:type="dxa"/>
          </w:tcPr>
          <w:p>
            <w:pPr>
              <w:pStyle w:val="TableParagraph"/>
              <w:spacing w:before="15"/>
              <w:ind w:left="142" w:right="136"/>
              <w:rPr>
                <w:rFonts w:ascii="Times New Roman" w:hAnsi="Times New Roman"/>
                <w:sz w:val="14"/>
              </w:rPr>
            </w:pPr>
            <w:r>
              <w:rPr>
                <w:rFonts w:ascii="Times New Roman" w:hAnsi="Times New Roman"/>
                <w:sz w:val="21"/>
              </w:rPr>
              <w:t>8.50×10 </w:t>
            </w:r>
            <w:r>
              <w:rPr>
                <w:rFonts w:ascii="Times New Roman" w:hAnsi="Times New Roman"/>
                <w:position w:val="7"/>
                <w:sz w:val="14"/>
              </w:rPr>
              <w:t>3</w:t>
            </w:r>
          </w:p>
        </w:tc>
        <w:tc>
          <w:tcPr>
            <w:tcW w:w="809" w:type="dxa"/>
          </w:tcPr>
          <w:p>
            <w:pPr>
              <w:pStyle w:val="TableParagraph"/>
              <w:spacing w:before="19"/>
              <w:ind w:left="9"/>
              <w:rPr>
                <w:rFonts w:ascii="Times New Roman"/>
                <w:sz w:val="21"/>
              </w:rPr>
            </w:pPr>
            <w:r>
              <w:rPr>
                <w:rFonts w:ascii="Times New Roman"/>
                <w:w w:val="100"/>
                <w:sz w:val="21"/>
              </w:rPr>
              <w:t>/</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4" w:right="136"/>
              <w:rPr>
                <w:sz w:val="21"/>
              </w:rPr>
            </w:pPr>
            <w:r>
              <w:rPr>
                <w:sz w:val="21"/>
              </w:rPr>
              <w:t>含氧量</w:t>
            </w:r>
          </w:p>
        </w:tc>
        <w:tc>
          <w:tcPr>
            <w:tcW w:w="1010" w:type="dxa"/>
          </w:tcPr>
          <w:p>
            <w:pPr>
              <w:pStyle w:val="TableParagraph"/>
              <w:spacing w:before="22"/>
              <w:ind w:left="9"/>
              <w:rPr>
                <w:rFonts w:ascii="Times New Roman"/>
                <w:sz w:val="21"/>
              </w:rPr>
            </w:pPr>
            <w:r>
              <w:rPr>
                <w:rFonts w:ascii="Times New Roman"/>
                <w:w w:val="100"/>
                <w:sz w:val="21"/>
              </w:rPr>
              <w:t>%</w:t>
            </w:r>
          </w:p>
        </w:tc>
        <w:tc>
          <w:tcPr>
            <w:tcW w:w="1185" w:type="dxa"/>
          </w:tcPr>
          <w:p>
            <w:pPr>
              <w:pStyle w:val="TableParagraph"/>
              <w:spacing w:before="22"/>
              <w:ind w:left="390" w:right="376"/>
              <w:rPr>
                <w:rFonts w:ascii="Times New Roman"/>
                <w:sz w:val="21"/>
              </w:rPr>
            </w:pPr>
            <w:r>
              <w:rPr>
                <w:rFonts w:ascii="Times New Roman"/>
                <w:sz w:val="21"/>
              </w:rPr>
              <w:t>20.2</w:t>
            </w:r>
          </w:p>
        </w:tc>
        <w:tc>
          <w:tcPr>
            <w:tcW w:w="1188" w:type="dxa"/>
          </w:tcPr>
          <w:p>
            <w:pPr>
              <w:pStyle w:val="TableParagraph"/>
              <w:spacing w:before="22"/>
              <w:ind w:left="141" w:right="128"/>
              <w:rPr>
                <w:rFonts w:ascii="Times New Roman"/>
                <w:sz w:val="21"/>
              </w:rPr>
            </w:pPr>
            <w:r>
              <w:rPr>
                <w:rFonts w:ascii="Times New Roman"/>
                <w:sz w:val="21"/>
              </w:rPr>
              <w:t>20.2</w:t>
            </w:r>
          </w:p>
        </w:tc>
        <w:tc>
          <w:tcPr>
            <w:tcW w:w="1188" w:type="dxa"/>
          </w:tcPr>
          <w:p>
            <w:pPr>
              <w:pStyle w:val="TableParagraph"/>
              <w:spacing w:before="22"/>
              <w:ind w:left="141" w:right="128"/>
              <w:rPr>
                <w:rFonts w:ascii="Times New Roman"/>
                <w:sz w:val="21"/>
              </w:rPr>
            </w:pPr>
            <w:r>
              <w:rPr>
                <w:rFonts w:ascii="Times New Roman"/>
                <w:sz w:val="21"/>
              </w:rPr>
              <w:t>20.1</w:t>
            </w:r>
          </w:p>
        </w:tc>
        <w:tc>
          <w:tcPr>
            <w:tcW w:w="1196" w:type="dxa"/>
          </w:tcPr>
          <w:p>
            <w:pPr>
              <w:pStyle w:val="TableParagraph"/>
              <w:spacing w:before="22"/>
              <w:ind w:left="142" w:right="137"/>
              <w:rPr>
                <w:rFonts w:ascii="Times New Roman"/>
                <w:sz w:val="21"/>
              </w:rPr>
            </w:pPr>
            <w:r>
              <w:rPr>
                <w:rFonts w:ascii="Times New Roman"/>
                <w:sz w:val="21"/>
              </w:rPr>
              <w:t>20.2</w:t>
            </w:r>
          </w:p>
        </w:tc>
        <w:tc>
          <w:tcPr>
            <w:tcW w:w="809" w:type="dxa"/>
          </w:tcPr>
          <w:p>
            <w:pPr>
              <w:pStyle w:val="TableParagraph"/>
              <w:spacing w:before="22"/>
              <w:ind w:left="9"/>
              <w:rPr>
                <w:rFonts w:ascii="Times New Roman"/>
                <w:sz w:val="21"/>
              </w:rPr>
            </w:pPr>
            <w:r>
              <w:rPr>
                <w:rFonts w:ascii="Times New Roman"/>
                <w:w w:val="100"/>
                <w:sz w:val="21"/>
              </w:rPr>
              <w:t>/</w:t>
            </w:r>
          </w:p>
        </w:tc>
      </w:tr>
      <w:tr>
        <w:trPr>
          <w:trHeight w:val="282" w:hRule="atLeast"/>
        </w:trPr>
        <w:tc>
          <w:tcPr>
            <w:tcW w:w="1330" w:type="dxa"/>
            <w:gridSpan w:val="2"/>
            <w:vMerge w:val="restart"/>
          </w:tcPr>
          <w:p>
            <w:pPr>
              <w:pStyle w:val="TableParagraph"/>
              <w:spacing w:before="152"/>
              <w:ind w:left="347"/>
              <w:jc w:val="left"/>
              <w:rPr>
                <w:sz w:val="21"/>
              </w:rPr>
            </w:pPr>
            <w:r>
              <w:rPr>
                <w:sz w:val="21"/>
              </w:rPr>
              <w:t>硫酸雾</w:t>
            </w:r>
          </w:p>
        </w:tc>
        <w:tc>
          <w:tcPr>
            <w:tcW w:w="1383" w:type="dxa"/>
          </w:tcPr>
          <w:p>
            <w:pPr>
              <w:pStyle w:val="TableParagraph"/>
              <w:spacing w:line="257" w:lineRule="exact" w:before="5"/>
              <w:ind w:left="146"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line="257" w:lineRule="exact" w:before="5"/>
              <w:ind w:left="357"/>
              <w:jc w:val="left"/>
              <w:rPr>
                <w:rFonts w:ascii="Times New Roman" w:eastAsia="Times New Roman"/>
                <w:sz w:val="21"/>
              </w:rPr>
            </w:pPr>
            <w:r>
              <w:rPr>
                <w:sz w:val="21"/>
              </w:rPr>
              <w:t>＜</w:t>
            </w:r>
            <w:r>
              <w:rPr>
                <w:rFonts w:ascii="Times New Roman" w:eastAsia="Times New Roman"/>
                <w:sz w:val="21"/>
              </w:rPr>
              <w:t>1.3</w:t>
            </w:r>
          </w:p>
        </w:tc>
        <w:tc>
          <w:tcPr>
            <w:tcW w:w="1188" w:type="dxa"/>
          </w:tcPr>
          <w:p>
            <w:pPr>
              <w:pStyle w:val="TableParagraph"/>
              <w:spacing w:line="257" w:lineRule="exact" w:before="5"/>
              <w:ind w:left="357"/>
              <w:jc w:val="left"/>
              <w:rPr>
                <w:rFonts w:ascii="Times New Roman" w:eastAsia="Times New Roman"/>
                <w:sz w:val="21"/>
              </w:rPr>
            </w:pPr>
            <w:r>
              <w:rPr>
                <w:sz w:val="21"/>
              </w:rPr>
              <w:t>＜</w:t>
            </w:r>
            <w:r>
              <w:rPr>
                <w:rFonts w:ascii="Times New Roman" w:eastAsia="Times New Roman"/>
                <w:sz w:val="21"/>
              </w:rPr>
              <w:t>1.3</w:t>
            </w:r>
          </w:p>
        </w:tc>
        <w:tc>
          <w:tcPr>
            <w:tcW w:w="1188" w:type="dxa"/>
          </w:tcPr>
          <w:p>
            <w:pPr>
              <w:pStyle w:val="TableParagraph"/>
              <w:spacing w:line="257" w:lineRule="exact" w:before="5"/>
              <w:ind w:left="141" w:right="128"/>
              <w:rPr>
                <w:rFonts w:ascii="Times New Roman" w:eastAsia="Times New Roman"/>
                <w:sz w:val="21"/>
              </w:rPr>
            </w:pPr>
            <w:r>
              <w:rPr>
                <w:sz w:val="21"/>
              </w:rPr>
              <w:t>＜</w:t>
            </w:r>
            <w:r>
              <w:rPr>
                <w:rFonts w:ascii="Times New Roman" w:eastAsia="Times New Roman"/>
                <w:sz w:val="21"/>
              </w:rPr>
              <w:t>1.3</w:t>
            </w:r>
          </w:p>
        </w:tc>
        <w:tc>
          <w:tcPr>
            <w:tcW w:w="1196" w:type="dxa"/>
          </w:tcPr>
          <w:p>
            <w:pPr>
              <w:pStyle w:val="TableParagraph"/>
              <w:spacing w:line="257" w:lineRule="exact" w:before="5"/>
              <w:ind w:left="142" w:right="137"/>
              <w:rPr>
                <w:rFonts w:ascii="Times New Roman" w:eastAsia="Times New Roman"/>
                <w:sz w:val="21"/>
              </w:rPr>
            </w:pPr>
            <w:r>
              <w:rPr>
                <w:sz w:val="21"/>
              </w:rPr>
              <w:t>＜</w:t>
            </w:r>
            <w:r>
              <w:rPr>
                <w:rFonts w:ascii="Times New Roman" w:eastAsia="Times New Roman"/>
                <w:sz w:val="21"/>
              </w:rPr>
              <w:t>1.3</w:t>
            </w:r>
          </w:p>
        </w:tc>
        <w:tc>
          <w:tcPr>
            <w:tcW w:w="809" w:type="dxa"/>
          </w:tcPr>
          <w:p>
            <w:pPr>
              <w:pStyle w:val="TableParagraph"/>
              <w:spacing w:before="19"/>
              <w:ind w:left="172" w:right="164"/>
              <w:rPr>
                <w:rFonts w:ascii="Times New Roman"/>
                <w:sz w:val="21"/>
              </w:rPr>
            </w:pPr>
            <w:r>
              <w:rPr>
                <w:rFonts w:ascii="Times New Roman"/>
                <w:sz w:val="21"/>
              </w:rPr>
              <w:t>45</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9"/>
              <w:ind w:left="146" w:right="136"/>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185" w:type="dxa"/>
          </w:tcPr>
          <w:p>
            <w:pPr>
              <w:pStyle w:val="TableParagraph"/>
              <w:spacing w:line="255" w:lineRule="exact" w:before="11"/>
              <w:ind w:right="239"/>
              <w:jc w:val="right"/>
              <w:rPr>
                <w:rFonts w:ascii="Times New Roman" w:eastAsia="Times New Roman"/>
                <w:sz w:val="21"/>
              </w:rPr>
            </w:pPr>
            <w:r>
              <w:rPr>
                <w:sz w:val="21"/>
              </w:rPr>
              <w:t>＜</w:t>
            </w:r>
            <w:r>
              <w:rPr>
                <w:rFonts w:ascii="Times New Roman" w:eastAsia="Times New Roman"/>
                <w:position w:val="1"/>
                <w:sz w:val="21"/>
              </w:rPr>
              <w:t>0.011</w:t>
            </w:r>
          </w:p>
        </w:tc>
        <w:tc>
          <w:tcPr>
            <w:tcW w:w="1188" w:type="dxa"/>
          </w:tcPr>
          <w:p>
            <w:pPr>
              <w:pStyle w:val="TableParagraph"/>
              <w:spacing w:line="255" w:lineRule="exact" w:before="11"/>
              <w:ind w:left="257"/>
              <w:jc w:val="left"/>
              <w:rPr>
                <w:rFonts w:ascii="Times New Roman" w:eastAsia="Times New Roman"/>
                <w:sz w:val="21"/>
              </w:rPr>
            </w:pPr>
            <w:r>
              <w:rPr>
                <w:sz w:val="21"/>
              </w:rPr>
              <w:t>＜</w:t>
            </w:r>
            <w:r>
              <w:rPr>
                <w:rFonts w:ascii="Times New Roman" w:eastAsia="Times New Roman"/>
                <w:position w:val="1"/>
                <w:sz w:val="21"/>
              </w:rPr>
              <w:t>0.011</w:t>
            </w:r>
          </w:p>
        </w:tc>
        <w:tc>
          <w:tcPr>
            <w:tcW w:w="1188" w:type="dxa"/>
          </w:tcPr>
          <w:p>
            <w:pPr>
              <w:pStyle w:val="TableParagraph"/>
              <w:spacing w:line="255" w:lineRule="exact" w:before="11"/>
              <w:ind w:left="141" w:right="128"/>
              <w:rPr>
                <w:rFonts w:ascii="Times New Roman" w:eastAsia="Times New Roman"/>
                <w:sz w:val="21"/>
              </w:rPr>
            </w:pPr>
            <w:r>
              <w:rPr>
                <w:sz w:val="21"/>
              </w:rPr>
              <w:t>＜</w:t>
            </w:r>
            <w:r>
              <w:rPr>
                <w:rFonts w:ascii="Times New Roman" w:eastAsia="Times New Roman"/>
                <w:position w:val="1"/>
                <w:sz w:val="21"/>
              </w:rPr>
              <w:t>0.011</w:t>
            </w:r>
          </w:p>
        </w:tc>
        <w:tc>
          <w:tcPr>
            <w:tcW w:w="1196" w:type="dxa"/>
          </w:tcPr>
          <w:p>
            <w:pPr>
              <w:pStyle w:val="TableParagraph"/>
              <w:spacing w:line="255" w:lineRule="exact" w:before="11"/>
              <w:ind w:left="138" w:right="138"/>
              <w:rPr>
                <w:rFonts w:ascii="Times New Roman" w:eastAsia="Times New Roman"/>
                <w:sz w:val="21"/>
              </w:rPr>
            </w:pPr>
            <w:r>
              <w:rPr>
                <w:sz w:val="21"/>
              </w:rPr>
              <w:t>＜</w:t>
            </w:r>
            <w:r>
              <w:rPr>
                <w:rFonts w:ascii="Times New Roman" w:eastAsia="Times New Roman"/>
                <w:position w:val="1"/>
                <w:sz w:val="21"/>
              </w:rPr>
              <w:t>0.011</w:t>
            </w:r>
          </w:p>
        </w:tc>
        <w:tc>
          <w:tcPr>
            <w:tcW w:w="809" w:type="dxa"/>
          </w:tcPr>
          <w:p>
            <w:pPr>
              <w:pStyle w:val="TableParagraph"/>
              <w:spacing w:before="22"/>
              <w:ind w:left="274"/>
              <w:jc w:val="left"/>
              <w:rPr>
                <w:rFonts w:ascii="Times New Roman"/>
                <w:sz w:val="21"/>
              </w:rPr>
            </w:pPr>
            <w:r>
              <w:rPr>
                <w:rFonts w:ascii="Times New Roman"/>
                <w:sz w:val="21"/>
              </w:rPr>
              <w:t>1.5</w:t>
            </w:r>
          </w:p>
        </w:tc>
      </w:tr>
      <w:tr>
        <w:trPr>
          <w:trHeight w:val="282" w:hRule="atLeast"/>
        </w:trPr>
        <w:tc>
          <w:tcPr>
            <w:tcW w:w="1330" w:type="dxa"/>
            <w:gridSpan w:val="2"/>
            <w:vMerge w:val="restart"/>
          </w:tcPr>
          <w:p>
            <w:pPr>
              <w:pStyle w:val="TableParagraph"/>
              <w:spacing w:before="152"/>
              <w:ind w:left="366"/>
              <w:jc w:val="left"/>
              <w:rPr>
                <w:sz w:val="21"/>
              </w:rPr>
            </w:pPr>
            <w:r>
              <w:rPr>
                <w:rFonts w:ascii="Times New Roman" w:eastAsia="Times New Roman"/>
                <w:sz w:val="21"/>
              </w:rPr>
              <w:t>3-</w:t>
            </w:r>
            <w:r>
              <w:rPr>
                <w:sz w:val="21"/>
              </w:rPr>
              <w:t>戊酮</w:t>
            </w:r>
          </w:p>
        </w:tc>
        <w:tc>
          <w:tcPr>
            <w:tcW w:w="1383" w:type="dxa"/>
          </w:tcPr>
          <w:p>
            <w:pPr>
              <w:pStyle w:val="TableParagraph"/>
              <w:spacing w:line="257" w:lineRule="exact" w:before="6"/>
              <w:ind w:left="146"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9"/>
              <w:ind w:left="359"/>
              <w:jc w:val="left"/>
              <w:rPr>
                <w:rFonts w:ascii="Times New Roman"/>
                <w:sz w:val="21"/>
              </w:rPr>
            </w:pPr>
            <w:r>
              <w:rPr>
                <w:rFonts w:ascii="Times New Roman"/>
                <w:sz w:val="21"/>
              </w:rPr>
              <w:t>0.112</w:t>
            </w:r>
          </w:p>
        </w:tc>
        <w:tc>
          <w:tcPr>
            <w:tcW w:w="1188" w:type="dxa"/>
          </w:tcPr>
          <w:p>
            <w:pPr>
              <w:pStyle w:val="TableParagraph"/>
              <w:spacing w:before="19"/>
              <w:ind w:left="357"/>
              <w:jc w:val="left"/>
              <w:rPr>
                <w:rFonts w:ascii="Times New Roman"/>
                <w:sz w:val="21"/>
              </w:rPr>
            </w:pPr>
            <w:r>
              <w:rPr>
                <w:rFonts w:ascii="Times New Roman"/>
                <w:sz w:val="21"/>
              </w:rPr>
              <w:t>0.096</w:t>
            </w:r>
          </w:p>
        </w:tc>
        <w:tc>
          <w:tcPr>
            <w:tcW w:w="1188" w:type="dxa"/>
          </w:tcPr>
          <w:p>
            <w:pPr>
              <w:pStyle w:val="TableParagraph"/>
              <w:spacing w:before="19"/>
              <w:ind w:left="141" w:right="128"/>
              <w:rPr>
                <w:rFonts w:ascii="Times New Roman"/>
                <w:sz w:val="21"/>
              </w:rPr>
            </w:pPr>
            <w:r>
              <w:rPr>
                <w:rFonts w:ascii="Times New Roman"/>
                <w:sz w:val="21"/>
              </w:rPr>
              <w:t>0.124</w:t>
            </w:r>
          </w:p>
        </w:tc>
        <w:tc>
          <w:tcPr>
            <w:tcW w:w="1196" w:type="dxa"/>
          </w:tcPr>
          <w:p>
            <w:pPr>
              <w:pStyle w:val="TableParagraph"/>
              <w:spacing w:before="19"/>
              <w:ind w:left="142" w:right="134"/>
              <w:rPr>
                <w:rFonts w:ascii="Times New Roman"/>
                <w:sz w:val="21"/>
              </w:rPr>
            </w:pPr>
            <w:r>
              <w:rPr>
                <w:rFonts w:ascii="Times New Roman"/>
                <w:sz w:val="21"/>
              </w:rPr>
              <w:t>0.111</w:t>
            </w:r>
          </w:p>
        </w:tc>
        <w:tc>
          <w:tcPr>
            <w:tcW w:w="809" w:type="dxa"/>
          </w:tcPr>
          <w:p>
            <w:pPr>
              <w:pStyle w:val="TableParagraph"/>
              <w:spacing w:before="19"/>
              <w:ind w:left="9"/>
              <w:rPr>
                <w:rFonts w:ascii="Times New Roman"/>
                <w:sz w:val="21"/>
              </w:rPr>
            </w:pPr>
            <w:r>
              <w:rPr>
                <w:rFonts w:ascii="Times New Roman"/>
                <w:w w:val="100"/>
                <w:sz w:val="21"/>
              </w:rPr>
              <w:t>/</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185" w:type="dxa"/>
          </w:tcPr>
          <w:p>
            <w:pPr>
              <w:pStyle w:val="TableParagraph"/>
              <w:spacing w:before="17"/>
              <w:ind w:right="172"/>
              <w:jc w:val="right"/>
              <w:rPr>
                <w:rFonts w:ascii="Times New Roman" w:hAnsi="Times New Roman"/>
                <w:sz w:val="14"/>
              </w:rPr>
            </w:pPr>
            <w:r>
              <w:rPr>
                <w:rFonts w:ascii="Times New Roman" w:hAnsi="Times New Roman"/>
                <w:sz w:val="21"/>
              </w:rPr>
              <w:t>8.98×10 </w:t>
            </w:r>
            <w:r>
              <w:rPr>
                <w:rFonts w:ascii="Times New Roman" w:hAnsi="Times New Roman"/>
                <w:position w:val="7"/>
                <w:sz w:val="14"/>
              </w:rPr>
              <w:t>-4</w:t>
            </w:r>
          </w:p>
        </w:tc>
        <w:tc>
          <w:tcPr>
            <w:tcW w:w="1188" w:type="dxa"/>
          </w:tcPr>
          <w:p>
            <w:pPr>
              <w:pStyle w:val="TableParagraph"/>
              <w:spacing w:before="17"/>
              <w:ind w:left="187"/>
              <w:jc w:val="left"/>
              <w:rPr>
                <w:rFonts w:ascii="Times New Roman" w:hAnsi="Times New Roman"/>
                <w:sz w:val="14"/>
              </w:rPr>
            </w:pPr>
            <w:r>
              <w:rPr>
                <w:rFonts w:ascii="Times New Roman" w:hAnsi="Times New Roman"/>
                <w:sz w:val="21"/>
              </w:rPr>
              <w:t>8.67×10 </w:t>
            </w:r>
            <w:r>
              <w:rPr>
                <w:rFonts w:ascii="Times New Roman" w:hAnsi="Times New Roman"/>
                <w:position w:val="7"/>
                <w:sz w:val="14"/>
              </w:rPr>
              <w:t>-4</w:t>
            </w:r>
          </w:p>
        </w:tc>
        <w:tc>
          <w:tcPr>
            <w:tcW w:w="1188" w:type="dxa"/>
          </w:tcPr>
          <w:p>
            <w:pPr>
              <w:pStyle w:val="TableParagraph"/>
              <w:spacing w:before="17"/>
              <w:ind w:left="141" w:right="130"/>
              <w:rPr>
                <w:rFonts w:ascii="Times New Roman" w:hAnsi="Times New Roman"/>
                <w:sz w:val="14"/>
              </w:rPr>
            </w:pPr>
            <w:r>
              <w:rPr>
                <w:rFonts w:ascii="Times New Roman" w:hAnsi="Times New Roman"/>
                <w:sz w:val="21"/>
              </w:rPr>
              <w:t>1.05×10 </w:t>
            </w:r>
            <w:r>
              <w:rPr>
                <w:rFonts w:ascii="Times New Roman" w:hAnsi="Times New Roman"/>
                <w:position w:val="7"/>
                <w:sz w:val="14"/>
              </w:rPr>
              <w:t>-3</w:t>
            </w:r>
          </w:p>
        </w:tc>
        <w:tc>
          <w:tcPr>
            <w:tcW w:w="1196" w:type="dxa"/>
          </w:tcPr>
          <w:p>
            <w:pPr>
              <w:pStyle w:val="TableParagraph"/>
              <w:spacing w:before="17"/>
              <w:ind w:left="142" w:right="138"/>
              <w:rPr>
                <w:rFonts w:ascii="Times New Roman" w:hAnsi="Times New Roman"/>
                <w:sz w:val="14"/>
              </w:rPr>
            </w:pPr>
            <w:r>
              <w:rPr>
                <w:rFonts w:ascii="Times New Roman" w:hAnsi="Times New Roman"/>
                <w:sz w:val="21"/>
              </w:rPr>
              <w:t>9.37×10 </w:t>
            </w:r>
            <w:r>
              <w:rPr>
                <w:rFonts w:ascii="Times New Roman" w:hAnsi="Times New Roman"/>
                <w:position w:val="7"/>
                <w:sz w:val="14"/>
              </w:rPr>
              <w:t>-4</w:t>
            </w:r>
          </w:p>
        </w:tc>
        <w:tc>
          <w:tcPr>
            <w:tcW w:w="809" w:type="dxa"/>
          </w:tcPr>
          <w:p>
            <w:pPr>
              <w:pStyle w:val="TableParagraph"/>
              <w:spacing w:before="22"/>
              <w:ind w:left="9"/>
              <w:rPr>
                <w:rFonts w:ascii="Times New Roman"/>
                <w:sz w:val="21"/>
              </w:rPr>
            </w:pPr>
            <w:r>
              <w:rPr>
                <w:rFonts w:ascii="Times New Roman"/>
                <w:w w:val="100"/>
                <w:sz w:val="21"/>
              </w:rPr>
              <w:t>/</w:t>
            </w:r>
          </w:p>
        </w:tc>
      </w:tr>
      <w:tr>
        <w:trPr>
          <w:trHeight w:val="544" w:hRule="atLeast"/>
        </w:trPr>
        <w:tc>
          <w:tcPr>
            <w:tcW w:w="485" w:type="dxa"/>
            <w:vMerge w:val="restart"/>
          </w:tcPr>
          <w:p>
            <w:pPr>
              <w:pStyle w:val="TableParagraph"/>
              <w:spacing w:line="242" w:lineRule="auto" w:before="142"/>
              <w:ind w:left="136" w:right="125"/>
              <w:jc w:val="both"/>
              <w:rPr>
                <w:sz w:val="21"/>
              </w:rPr>
            </w:pPr>
            <w:r>
              <w:rPr>
                <w:sz w:val="21"/>
              </w:rPr>
              <w:t>二甲苯</w:t>
            </w:r>
          </w:p>
        </w:tc>
        <w:tc>
          <w:tcPr>
            <w:tcW w:w="845" w:type="dxa"/>
          </w:tcPr>
          <w:p>
            <w:pPr>
              <w:pStyle w:val="TableParagraph"/>
              <w:spacing w:before="1"/>
              <w:ind w:left="105" w:right="-15"/>
              <w:jc w:val="left"/>
              <w:rPr>
                <w:sz w:val="21"/>
              </w:rPr>
            </w:pPr>
            <w:r>
              <w:rPr>
                <w:spacing w:val="-106"/>
                <w:sz w:val="21"/>
              </w:rPr>
              <w:t>对</w:t>
            </w:r>
            <w:r>
              <w:rPr>
                <w:sz w:val="21"/>
              </w:rPr>
              <w:t>（间</w:t>
            </w:r>
            <w:r>
              <w:rPr>
                <w:spacing w:val="-14"/>
                <w:sz w:val="21"/>
              </w:rPr>
              <w:t>）</w:t>
            </w:r>
          </w:p>
          <w:p>
            <w:pPr>
              <w:pStyle w:val="TableParagraph"/>
              <w:spacing w:line="252" w:lineRule="exact" w:before="2"/>
              <w:ind w:left="105"/>
              <w:jc w:val="left"/>
              <w:rPr>
                <w:sz w:val="21"/>
              </w:rPr>
            </w:pPr>
            <w:r>
              <w:rPr>
                <w:sz w:val="21"/>
              </w:rPr>
              <w:t>二甲苯</w:t>
            </w:r>
          </w:p>
        </w:tc>
        <w:tc>
          <w:tcPr>
            <w:tcW w:w="1383" w:type="dxa"/>
          </w:tcPr>
          <w:p>
            <w:pPr>
              <w:pStyle w:val="TableParagraph"/>
              <w:spacing w:before="138"/>
              <w:ind w:left="144" w:right="136"/>
              <w:rPr>
                <w:sz w:val="21"/>
              </w:rPr>
            </w:pPr>
            <w:r>
              <w:rPr>
                <w:sz w:val="21"/>
              </w:rPr>
              <w:t>排放浓度</w:t>
            </w:r>
          </w:p>
        </w:tc>
        <w:tc>
          <w:tcPr>
            <w:tcW w:w="1010" w:type="dxa"/>
          </w:tcPr>
          <w:p>
            <w:pPr>
              <w:pStyle w:val="TableParagraph"/>
              <w:spacing w:before="147"/>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40"/>
              <w:ind w:right="237"/>
              <w:jc w:val="right"/>
              <w:rPr>
                <w:rFonts w:ascii="Times New Roman" w:eastAsia="Times New Roman"/>
                <w:sz w:val="21"/>
              </w:rPr>
            </w:pPr>
            <w:r>
              <w:rPr>
                <w:sz w:val="21"/>
              </w:rPr>
              <w:t>＜</w:t>
            </w:r>
            <w:r>
              <w:rPr>
                <w:rFonts w:ascii="Times New Roman" w:eastAsia="Times New Roman"/>
                <w:position w:val="1"/>
                <w:sz w:val="21"/>
              </w:rPr>
              <w:t>0.009</w:t>
            </w:r>
          </w:p>
        </w:tc>
        <w:tc>
          <w:tcPr>
            <w:tcW w:w="1188" w:type="dxa"/>
          </w:tcPr>
          <w:p>
            <w:pPr>
              <w:pStyle w:val="TableParagraph"/>
              <w:spacing w:before="151"/>
              <w:ind w:left="357"/>
              <w:jc w:val="left"/>
              <w:rPr>
                <w:rFonts w:ascii="Times New Roman"/>
                <w:sz w:val="21"/>
              </w:rPr>
            </w:pPr>
            <w:r>
              <w:rPr>
                <w:rFonts w:ascii="Times New Roman"/>
                <w:sz w:val="21"/>
              </w:rPr>
              <w:t>0.022</w:t>
            </w:r>
          </w:p>
        </w:tc>
        <w:tc>
          <w:tcPr>
            <w:tcW w:w="1188" w:type="dxa"/>
          </w:tcPr>
          <w:p>
            <w:pPr>
              <w:pStyle w:val="TableParagraph"/>
              <w:spacing w:before="140"/>
              <w:ind w:left="141" w:right="130"/>
              <w:rPr>
                <w:rFonts w:ascii="Times New Roman" w:eastAsia="Times New Roman"/>
                <w:sz w:val="21"/>
              </w:rPr>
            </w:pPr>
            <w:r>
              <w:rPr>
                <w:sz w:val="21"/>
              </w:rPr>
              <w:t>＜</w:t>
            </w:r>
            <w:r>
              <w:rPr>
                <w:rFonts w:ascii="Times New Roman" w:eastAsia="Times New Roman"/>
                <w:position w:val="1"/>
                <w:sz w:val="21"/>
              </w:rPr>
              <w:t>0.009</w:t>
            </w:r>
          </w:p>
        </w:tc>
        <w:tc>
          <w:tcPr>
            <w:tcW w:w="1196" w:type="dxa"/>
          </w:tcPr>
          <w:p>
            <w:pPr>
              <w:pStyle w:val="TableParagraph"/>
              <w:spacing w:before="151"/>
              <w:ind w:left="142" w:right="137"/>
              <w:rPr>
                <w:rFonts w:ascii="Times New Roman"/>
                <w:sz w:val="21"/>
              </w:rPr>
            </w:pPr>
            <w:r>
              <w:rPr>
                <w:rFonts w:ascii="Times New Roman"/>
                <w:sz w:val="21"/>
              </w:rPr>
              <w:t>0.010</w:t>
            </w:r>
          </w:p>
        </w:tc>
        <w:tc>
          <w:tcPr>
            <w:tcW w:w="809" w:type="dxa"/>
          </w:tcPr>
          <w:p>
            <w:pPr>
              <w:pStyle w:val="TableParagraph"/>
              <w:spacing w:before="151"/>
              <w:ind w:left="9"/>
              <w:rPr>
                <w:rFonts w:ascii="Times New Roman"/>
                <w:sz w:val="21"/>
              </w:rPr>
            </w:pPr>
            <w:r>
              <w:rPr>
                <w:rFonts w:ascii="Times New Roman"/>
                <w:w w:val="100"/>
                <w:sz w:val="21"/>
              </w:rPr>
              <w:t>/</w:t>
            </w:r>
          </w:p>
        </w:tc>
      </w:tr>
      <w:tr>
        <w:trPr>
          <w:trHeight w:val="544" w:hRule="atLeast"/>
        </w:trPr>
        <w:tc>
          <w:tcPr>
            <w:tcW w:w="485" w:type="dxa"/>
            <w:vMerge/>
            <w:tcBorders>
              <w:top w:val="nil"/>
            </w:tcBorders>
          </w:tcPr>
          <w:p>
            <w:pPr>
              <w:rPr>
                <w:sz w:val="2"/>
                <w:szCs w:val="2"/>
              </w:rPr>
            </w:pPr>
          </w:p>
        </w:tc>
        <w:tc>
          <w:tcPr>
            <w:tcW w:w="845" w:type="dxa"/>
          </w:tcPr>
          <w:p>
            <w:pPr>
              <w:pStyle w:val="TableParagraph"/>
              <w:spacing w:before="1"/>
              <w:ind w:left="87" w:right="78"/>
              <w:rPr>
                <w:sz w:val="21"/>
              </w:rPr>
            </w:pPr>
            <w:r>
              <w:rPr>
                <w:sz w:val="21"/>
              </w:rPr>
              <w:t>邻二甲</w:t>
            </w:r>
          </w:p>
          <w:p>
            <w:pPr>
              <w:pStyle w:val="TableParagraph"/>
              <w:spacing w:line="252" w:lineRule="exact" w:before="2"/>
              <w:ind w:left="4"/>
              <w:rPr>
                <w:sz w:val="21"/>
              </w:rPr>
            </w:pPr>
            <w:r>
              <w:rPr>
                <w:w w:val="100"/>
                <w:sz w:val="21"/>
              </w:rPr>
              <w:t>苯</w:t>
            </w:r>
          </w:p>
        </w:tc>
        <w:tc>
          <w:tcPr>
            <w:tcW w:w="1383" w:type="dxa"/>
          </w:tcPr>
          <w:p>
            <w:pPr>
              <w:pStyle w:val="TableParagraph"/>
              <w:spacing w:before="137"/>
              <w:ind w:left="146" w:right="136"/>
              <w:rPr>
                <w:sz w:val="21"/>
              </w:rPr>
            </w:pPr>
            <w:r>
              <w:rPr>
                <w:sz w:val="21"/>
              </w:rPr>
              <w:t>排放浓度</w:t>
            </w:r>
          </w:p>
        </w:tc>
        <w:tc>
          <w:tcPr>
            <w:tcW w:w="1010" w:type="dxa"/>
          </w:tcPr>
          <w:p>
            <w:pPr>
              <w:pStyle w:val="TableParagraph"/>
              <w:spacing w:before="147"/>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40"/>
              <w:ind w:right="237"/>
              <w:jc w:val="right"/>
              <w:rPr>
                <w:rFonts w:ascii="Times New Roman" w:eastAsia="Times New Roman"/>
                <w:sz w:val="21"/>
              </w:rPr>
            </w:pPr>
            <w:r>
              <w:rPr>
                <w:sz w:val="21"/>
              </w:rPr>
              <w:t>＜</w:t>
            </w:r>
            <w:r>
              <w:rPr>
                <w:rFonts w:ascii="Times New Roman" w:eastAsia="Times New Roman"/>
                <w:position w:val="1"/>
                <w:sz w:val="21"/>
              </w:rPr>
              <w:t>0.004</w:t>
            </w:r>
          </w:p>
        </w:tc>
        <w:tc>
          <w:tcPr>
            <w:tcW w:w="1188" w:type="dxa"/>
          </w:tcPr>
          <w:p>
            <w:pPr>
              <w:pStyle w:val="TableParagraph"/>
              <w:spacing w:before="151"/>
              <w:ind w:left="357"/>
              <w:jc w:val="left"/>
              <w:rPr>
                <w:rFonts w:ascii="Times New Roman"/>
                <w:sz w:val="21"/>
              </w:rPr>
            </w:pPr>
            <w:r>
              <w:rPr>
                <w:rFonts w:ascii="Times New Roman"/>
                <w:sz w:val="21"/>
              </w:rPr>
              <w:t>0.012</w:t>
            </w:r>
          </w:p>
        </w:tc>
        <w:tc>
          <w:tcPr>
            <w:tcW w:w="1188" w:type="dxa"/>
          </w:tcPr>
          <w:p>
            <w:pPr>
              <w:pStyle w:val="TableParagraph"/>
              <w:spacing w:before="140"/>
              <w:ind w:left="141" w:right="130"/>
              <w:rPr>
                <w:rFonts w:ascii="Times New Roman" w:eastAsia="Times New Roman"/>
                <w:sz w:val="21"/>
              </w:rPr>
            </w:pPr>
            <w:r>
              <w:rPr>
                <w:sz w:val="21"/>
              </w:rPr>
              <w:t>＜</w:t>
            </w:r>
            <w:r>
              <w:rPr>
                <w:rFonts w:ascii="Times New Roman" w:eastAsia="Times New Roman"/>
                <w:position w:val="1"/>
                <w:sz w:val="21"/>
              </w:rPr>
              <w:t>0.004</w:t>
            </w:r>
          </w:p>
        </w:tc>
        <w:tc>
          <w:tcPr>
            <w:tcW w:w="1196" w:type="dxa"/>
          </w:tcPr>
          <w:p>
            <w:pPr>
              <w:pStyle w:val="TableParagraph"/>
              <w:spacing w:before="151"/>
              <w:ind w:left="142" w:right="137"/>
              <w:rPr>
                <w:rFonts w:ascii="Times New Roman"/>
                <w:sz w:val="21"/>
              </w:rPr>
            </w:pPr>
            <w:r>
              <w:rPr>
                <w:rFonts w:ascii="Times New Roman"/>
                <w:sz w:val="21"/>
              </w:rPr>
              <w:t>0.006</w:t>
            </w:r>
          </w:p>
        </w:tc>
        <w:tc>
          <w:tcPr>
            <w:tcW w:w="809" w:type="dxa"/>
          </w:tcPr>
          <w:p>
            <w:pPr>
              <w:pStyle w:val="TableParagraph"/>
              <w:spacing w:before="151"/>
              <w:ind w:left="9"/>
              <w:rPr>
                <w:rFonts w:ascii="Times New Roman"/>
                <w:sz w:val="21"/>
              </w:rPr>
            </w:pPr>
            <w:r>
              <w:rPr>
                <w:rFonts w:ascii="Times New Roman"/>
                <w:w w:val="100"/>
                <w:sz w:val="21"/>
              </w:rPr>
              <w:t>/</w:t>
            </w:r>
          </w:p>
        </w:tc>
      </w:tr>
      <w:tr>
        <w:trPr>
          <w:trHeight w:val="282" w:hRule="atLeast"/>
        </w:trPr>
        <w:tc>
          <w:tcPr>
            <w:tcW w:w="1330" w:type="dxa"/>
            <w:gridSpan w:val="2"/>
            <w:vMerge w:val="restart"/>
          </w:tcPr>
          <w:p>
            <w:pPr>
              <w:pStyle w:val="TableParagraph"/>
              <w:spacing w:before="154"/>
              <w:ind w:left="118" w:right="109"/>
              <w:rPr>
                <w:sz w:val="21"/>
              </w:rPr>
            </w:pPr>
            <w:r>
              <w:rPr>
                <w:sz w:val="21"/>
              </w:rPr>
              <w:t>合计</w:t>
            </w:r>
          </w:p>
        </w:tc>
        <w:tc>
          <w:tcPr>
            <w:tcW w:w="1383" w:type="dxa"/>
          </w:tcPr>
          <w:p>
            <w:pPr>
              <w:pStyle w:val="TableParagraph"/>
              <w:spacing w:line="257" w:lineRule="exact" w:before="5"/>
              <w:ind w:left="146"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line="255" w:lineRule="exact" w:before="8"/>
              <w:ind w:right="237"/>
              <w:jc w:val="right"/>
              <w:rPr>
                <w:rFonts w:ascii="Times New Roman" w:eastAsia="Times New Roman"/>
                <w:sz w:val="21"/>
              </w:rPr>
            </w:pPr>
            <w:r>
              <w:rPr>
                <w:sz w:val="21"/>
              </w:rPr>
              <w:t>＜</w:t>
            </w:r>
            <w:r>
              <w:rPr>
                <w:rFonts w:ascii="Times New Roman" w:eastAsia="Times New Roman"/>
                <w:position w:val="1"/>
                <w:sz w:val="21"/>
              </w:rPr>
              <w:t>0.007</w:t>
            </w:r>
          </w:p>
        </w:tc>
        <w:tc>
          <w:tcPr>
            <w:tcW w:w="1188" w:type="dxa"/>
          </w:tcPr>
          <w:p>
            <w:pPr>
              <w:pStyle w:val="TableParagraph"/>
              <w:spacing w:before="19"/>
              <w:ind w:left="357"/>
              <w:jc w:val="left"/>
              <w:rPr>
                <w:rFonts w:ascii="Times New Roman"/>
                <w:sz w:val="21"/>
              </w:rPr>
            </w:pPr>
            <w:r>
              <w:rPr>
                <w:rFonts w:ascii="Times New Roman"/>
                <w:sz w:val="21"/>
              </w:rPr>
              <w:t>0.034</w:t>
            </w:r>
          </w:p>
        </w:tc>
        <w:tc>
          <w:tcPr>
            <w:tcW w:w="1188" w:type="dxa"/>
          </w:tcPr>
          <w:p>
            <w:pPr>
              <w:pStyle w:val="TableParagraph"/>
              <w:spacing w:line="255" w:lineRule="exact" w:before="8"/>
              <w:ind w:left="141" w:right="130"/>
              <w:rPr>
                <w:rFonts w:ascii="Times New Roman" w:eastAsia="Times New Roman"/>
                <w:sz w:val="21"/>
              </w:rPr>
            </w:pPr>
            <w:r>
              <w:rPr>
                <w:sz w:val="21"/>
              </w:rPr>
              <w:t>＜</w:t>
            </w:r>
            <w:r>
              <w:rPr>
                <w:rFonts w:ascii="Times New Roman" w:eastAsia="Times New Roman"/>
                <w:position w:val="1"/>
                <w:sz w:val="21"/>
              </w:rPr>
              <w:t>0.007</w:t>
            </w:r>
          </w:p>
        </w:tc>
        <w:tc>
          <w:tcPr>
            <w:tcW w:w="1196" w:type="dxa"/>
          </w:tcPr>
          <w:p>
            <w:pPr>
              <w:pStyle w:val="TableParagraph"/>
              <w:spacing w:before="19"/>
              <w:ind w:left="142" w:right="137"/>
              <w:rPr>
                <w:rFonts w:ascii="Times New Roman"/>
                <w:sz w:val="21"/>
              </w:rPr>
            </w:pPr>
            <w:r>
              <w:rPr>
                <w:rFonts w:ascii="Times New Roman"/>
                <w:sz w:val="21"/>
              </w:rPr>
              <w:t>0.016</w:t>
            </w:r>
          </w:p>
        </w:tc>
        <w:tc>
          <w:tcPr>
            <w:tcW w:w="809" w:type="dxa"/>
          </w:tcPr>
          <w:p>
            <w:pPr>
              <w:pStyle w:val="TableParagraph"/>
              <w:spacing w:before="19"/>
              <w:ind w:left="172" w:right="164"/>
              <w:rPr>
                <w:rFonts w:ascii="Times New Roman"/>
                <w:sz w:val="21"/>
              </w:rPr>
            </w:pPr>
            <w:r>
              <w:rPr>
                <w:rFonts w:ascii="Times New Roman"/>
                <w:sz w:val="21"/>
              </w:rPr>
              <w:t>70</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排放速率</w:t>
            </w:r>
          </w:p>
        </w:tc>
        <w:tc>
          <w:tcPr>
            <w:tcW w:w="1010" w:type="dxa"/>
          </w:tcPr>
          <w:p>
            <w:pPr>
              <w:pStyle w:val="TableParagraph"/>
              <w:spacing w:before="22"/>
              <w:ind w:left="47" w:right="42"/>
              <w:rPr>
                <w:rFonts w:ascii="Times New Roman"/>
                <w:sz w:val="21"/>
              </w:rPr>
            </w:pPr>
            <w:r>
              <w:rPr>
                <w:rFonts w:ascii="Times New Roman"/>
                <w:sz w:val="21"/>
              </w:rPr>
              <w:t>kg/h</w:t>
            </w:r>
          </w:p>
        </w:tc>
        <w:tc>
          <w:tcPr>
            <w:tcW w:w="1185" w:type="dxa"/>
          </w:tcPr>
          <w:p>
            <w:pPr>
              <w:pStyle w:val="TableParagraph"/>
              <w:spacing w:before="17"/>
              <w:ind w:left="318"/>
              <w:jc w:val="left"/>
              <w:rPr>
                <w:rFonts w:ascii="Times New Roman" w:hAnsi="Times New Roman"/>
                <w:sz w:val="14"/>
              </w:rPr>
            </w:pPr>
            <w:r>
              <w:rPr>
                <w:rFonts w:ascii="Times New Roman" w:hAnsi="Times New Roman"/>
                <w:sz w:val="21"/>
              </w:rPr>
              <w:t>5×10 </w:t>
            </w:r>
            <w:r>
              <w:rPr>
                <w:rFonts w:ascii="Times New Roman" w:hAnsi="Times New Roman"/>
                <w:position w:val="7"/>
                <w:sz w:val="14"/>
              </w:rPr>
              <w:t>-5</w:t>
            </w:r>
          </w:p>
        </w:tc>
        <w:tc>
          <w:tcPr>
            <w:tcW w:w="1188" w:type="dxa"/>
          </w:tcPr>
          <w:p>
            <w:pPr>
              <w:pStyle w:val="TableParagraph"/>
              <w:spacing w:before="17"/>
              <w:ind w:left="319"/>
              <w:jc w:val="left"/>
              <w:rPr>
                <w:rFonts w:ascii="Times New Roman" w:hAnsi="Times New Roman"/>
                <w:sz w:val="14"/>
              </w:rPr>
            </w:pPr>
            <w:r>
              <w:rPr>
                <w:rFonts w:ascii="Times New Roman" w:hAnsi="Times New Roman"/>
                <w:sz w:val="21"/>
              </w:rPr>
              <w:t>3×10 </w:t>
            </w:r>
            <w:r>
              <w:rPr>
                <w:rFonts w:ascii="Times New Roman" w:hAnsi="Times New Roman"/>
                <w:position w:val="7"/>
                <w:sz w:val="14"/>
              </w:rPr>
              <w:t>-4</w:t>
            </w:r>
          </w:p>
        </w:tc>
        <w:tc>
          <w:tcPr>
            <w:tcW w:w="1188" w:type="dxa"/>
          </w:tcPr>
          <w:p>
            <w:pPr>
              <w:pStyle w:val="TableParagraph"/>
              <w:spacing w:before="17"/>
              <w:ind w:left="141" w:right="128"/>
              <w:rPr>
                <w:rFonts w:ascii="Times New Roman" w:hAnsi="Times New Roman"/>
                <w:sz w:val="14"/>
              </w:rPr>
            </w:pPr>
            <w:r>
              <w:rPr>
                <w:rFonts w:ascii="Times New Roman" w:hAnsi="Times New Roman"/>
                <w:sz w:val="21"/>
              </w:rPr>
              <w:t>5×10 </w:t>
            </w:r>
            <w:r>
              <w:rPr>
                <w:rFonts w:ascii="Times New Roman" w:hAnsi="Times New Roman"/>
                <w:position w:val="7"/>
                <w:sz w:val="14"/>
              </w:rPr>
              <w:t>-5</w:t>
            </w:r>
          </w:p>
        </w:tc>
        <w:tc>
          <w:tcPr>
            <w:tcW w:w="1196" w:type="dxa"/>
          </w:tcPr>
          <w:p>
            <w:pPr>
              <w:pStyle w:val="TableParagraph"/>
              <w:spacing w:before="17"/>
              <w:ind w:left="142" w:right="138"/>
              <w:rPr>
                <w:rFonts w:ascii="Times New Roman" w:hAnsi="Times New Roman"/>
                <w:sz w:val="14"/>
              </w:rPr>
            </w:pPr>
            <w:r>
              <w:rPr>
                <w:rFonts w:ascii="Times New Roman" w:hAnsi="Times New Roman"/>
                <w:sz w:val="21"/>
              </w:rPr>
              <w:t>1.4×1 0</w:t>
            </w:r>
            <w:r>
              <w:rPr>
                <w:rFonts w:ascii="Times New Roman" w:hAnsi="Times New Roman"/>
                <w:position w:val="7"/>
                <w:sz w:val="14"/>
              </w:rPr>
              <w:t>-4</w:t>
            </w:r>
          </w:p>
        </w:tc>
        <w:tc>
          <w:tcPr>
            <w:tcW w:w="809" w:type="dxa"/>
          </w:tcPr>
          <w:p>
            <w:pPr>
              <w:pStyle w:val="TableParagraph"/>
              <w:spacing w:before="22"/>
              <w:ind w:left="274"/>
              <w:jc w:val="left"/>
              <w:rPr>
                <w:rFonts w:ascii="Times New Roman"/>
                <w:sz w:val="21"/>
              </w:rPr>
            </w:pPr>
            <w:r>
              <w:rPr>
                <w:rFonts w:ascii="Times New Roman"/>
                <w:sz w:val="21"/>
              </w:rPr>
              <w:t>1.0</w:t>
            </w:r>
          </w:p>
        </w:tc>
      </w:tr>
      <w:tr>
        <w:trPr>
          <w:trHeight w:val="282" w:hRule="atLeast"/>
        </w:trPr>
        <w:tc>
          <w:tcPr>
            <w:tcW w:w="1330" w:type="dxa"/>
            <w:gridSpan w:val="2"/>
            <w:vMerge w:val="restart"/>
          </w:tcPr>
          <w:p>
            <w:pPr>
              <w:pStyle w:val="TableParagraph"/>
              <w:spacing w:before="17"/>
              <w:ind w:left="120" w:right="109"/>
              <w:rPr>
                <w:sz w:val="21"/>
              </w:rPr>
            </w:pPr>
            <w:r>
              <w:rPr>
                <w:sz w:val="21"/>
              </w:rPr>
              <w:t>非甲烷总烃</w:t>
            </w:r>
          </w:p>
          <w:p>
            <w:pPr>
              <w:pStyle w:val="TableParagraph"/>
              <w:spacing w:before="3"/>
              <w:ind w:left="118" w:right="109"/>
              <w:rPr>
                <w:rFonts w:ascii="Times New Roman" w:eastAsia="Times New Roman"/>
                <w:sz w:val="21"/>
              </w:rPr>
            </w:pPr>
            <w:r>
              <w:rPr>
                <w:rFonts w:ascii="Times New Roman" w:eastAsia="Times New Roman"/>
                <w:sz w:val="21"/>
              </w:rPr>
              <w:t>(</w:t>
            </w:r>
            <w:r>
              <w:rPr>
                <w:sz w:val="21"/>
              </w:rPr>
              <w:t>以 </w:t>
            </w:r>
            <w:r>
              <w:rPr>
                <w:rFonts w:ascii="Times New Roman" w:eastAsia="Times New Roman"/>
                <w:sz w:val="21"/>
              </w:rPr>
              <w:t>C </w:t>
            </w:r>
            <w:r>
              <w:rPr>
                <w:sz w:val="21"/>
              </w:rPr>
              <w:t>计</w:t>
            </w:r>
            <w:r>
              <w:rPr>
                <w:rFonts w:ascii="Times New Roman" w:eastAsia="Times New Roman"/>
                <w:sz w:val="21"/>
              </w:rPr>
              <w:t>)</w:t>
            </w:r>
          </w:p>
        </w:tc>
        <w:tc>
          <w:tcPr>
            <w:tcW w:w="1383" w:type="dxa"/>
          </w:tcPr>
          <w:p>
            <w:pPr>
              <w:pStyle w:val="TableParagraph"/>
              <w:spacing w:line="257" w:lineRule="exact" w:before="6"/>
              <w:ind w:left="144"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9"/>
              <w:ind w:left="390" w:right="376"/>
              <w:rPr>
                <w:rFonts w:ascii="Times New Roman"/>
                <w:sz w:val="21"/>
              </w:rPr>
            </w:pPr>
            <w:r>
              <w:rPr>
                <w:rFonts w:ascii="Times New Roman"/>
                <w:sz w:val="21"/>
              </w:rPr>
              <w:t>4.43</w:t>
            </w:r>
          </w:p>
        </w:tc>
        <w:tc>
          <w:tcPr>
            <w:tcW w:w="1188" w:type="dxa"/>
          </w:tcPr>
          <w:p>
            <w:pPr>
              <w:pStyle w:val="TableParagraph"/>
              <w:spacing w:before="19"/>
              <w:ind w:left="141" w:right="128"/>
              <w:rPr>
                <w:rFonts w:ascii="Times New Roman"/>
                <w:sz w:val="21"/>
              </w:rPr>
            </w:pPr>
            <w:r>
              <w:rPr>
                <w:rFonts w:ascii="Times New Roman"/>
                <w:sz w:val="21"/>
              </w:rPr>
              <w:t>4.74</w:t>
            </w:r>
          </w:p>
        </w:tc>
        <w:tc>
          <w:tcPr>
            <w:tcW w:w="1188" w:type="dxa"/>
          </w:tcPr>
          <w:p>
            <w:pPr>
              <w:pStyle w:val="TableParagraph"/>
              <w:spacing w:before="19"/>
              <w:ind w:left="141" w:right="128"/>
              <w:rPr>
                <w:rFonts w:ascii="Times New Roman"/>
                <w:sz w:val="21"/>
              </w:rPr>
            </w:pPr>
            <w:r>
              <w:rPr>
                <w:rFonts w:ascii="Times New Roman"/>
                <w:sz w:val="21"/>
              </w:rPr>
              <w:t>5.43</w:t>
            </w:r>
          </w:p>
        </w:tc>
        <w:tc>
          <w:tcPr>
            <w:tcW w:w="1196" w:type="dxa"/>
          </w:tcPr>
          <w:p>
            <w:pPr>
              <w:pStyle w:val="TableParagraph"/>
              <w:spacing w:before="19"/>
              <w:ind w:left="142" w:right="137"/>
              <w:rPr>
                <w:rFonts w:ascii="Times New Roman"/>
                <w:sz w:val="21"/>
              </w:rPr>
            </w:pPr>
            <w:r>
              <w:rPr>
                <w:rFonts w:ascii="Times New Roman"/>
                <w:sz w:val="21"/>
              </w:rPr>
              <w:t>4.87</w:t>
            </w:r>
          </w:p>
        </w:tc>
        <w:tc>
          <w:tcPr>
            <w:tcW w:w="809" w:type="dxa"/>
          </w:tcPr>
          <w:p>
            <w:pPr>
              <w:pStyle w:val="TableParagraph"/>
              <w:spacing w:before="19"/>
              <w:ind w:left="247"/>
              <w:jc w:val="left"/>
              <w:rPr>
                <w:rFonts w:ascii="Times New Roman"/>
                <w:sz w:val="21"/>
              </w:rPr>
            </w:pPr>
            <w:r>
              <w:rPr>
                <w:rFonts w:ascii="Times New Roman"/>
                <w:sz w:val="21"/>
              </w:rPr>
              <w:t>120</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185" w:type="dxa"/>
          </w:tcPr>
          <w:p>
            <w:pPr>
              <w:pStyle w:val="TableParagraph"/>
              <w:spacing w:before="22"/>
              <w:ind w:left="357"/>
              <w:jc w:val="left"/>
              <w:rPr>
                <w:rFonts w:ascii="Times New Roman"/>
                <w:sz w:val="21"/>
              </w:rPr>
            </w:pPr>
            <w:r>
              <w:rPr>
                <w:rFonts w:ascii="Times New Roman"/>
                <w:sz w:val="21"/>
              </w:rPr>
              <w:t>0.036</w:t>
            </w:r>
          </w:p>
        </w:tc>
        <w:tc>
          <w:tcPr>
            <w:tcW w:w="1188" w:type="dxa"/>
          </w:tcPr>
          <w:p>
            <w:pPr>
              <w:pStyle w:val="TableParagraph"/>
              <w:spacing w:before="22"/>
              <w:ind w:left="357"/>
              <w:jc w:val="left"/>
              <w:rPr>
                <w:rFonts w:ascii="Times New Roman"/>
                <w:sz w:val="21"/>
              </w:rPr>
            </w:pPr>
            <w:r>
              <w:rPr>
                <w:rFonts w:ascii="Times New Roman"/>
                <w:sz w:val="21"/>
              </w:rPr>
              <w:t>0.043</w:t>
            </w:r>
          </w:p>
        </w:tc>
        <w:tc>
          <w:tcPr>
            <w:tcW w:w="1188" w:type="dxa"/>
          </w:tcPr>
          <w:p>
            <w:pPr>
              <w:pStyle w:val="TableParagraph"/>
              <w:spacing w:before="22"/>
              <w:ind w:left="141" w:right="128"/>
              <w:rPr>
                <w:rFonts w:ascii="Times New Roman"/>
                <w:sz w:val="21"/>
              </w:rPr>
            </w:pPr>
            <w:r>
              <w:rPr>
                <w:rFonts w:ascii="Times New Roman"/>
                <w:sz w:val="21"/>
              </w:rPr>
              <w:t>0.046</w:t>
            </w:r>
          </w:p>
        </w:tc>
        <w:tc>
          <w:tcPr>
            <w:tcW w:w="1196" w:type="dxa"/>
          </w:tcPr>
          <w:p>
            <w:pPr>
              <w:pStyle w:val="TableParagraph"/>
              <w:spacing w:before="22"/>
              <w:ind w:left="142" w:right="137"/>
              <w:rPr>
                <w:rFonts w:ascii="Times New Roman"/>
                <w:sz w:val="21"/>
              </w:rPr>
            </w:pPr>
            <w:r>
              <w:rPr>
                <w:rFonts w:ascii="Times New Roman"/>
                <w:sz w:val="21"/>
              </w:rPr>
              <w:t>0.041</w:t>
            </w:r>
          </w:p>
        </w:tc>
        <w:tc>
          <w:tcPr>
            <w:tcW w:w="809" w:type="dxa"/>
          </w:tcPr>
          <w:p>
            <w:pPr>
              <w:pStyle w:val="TableParagraph"/>
              <w:spacing w:before="22"/>
              <w:ind w:left="172" w:right="164"/>
              <w:rPr>
                <w:rFonts w:ascii="Times New Roman"/>
                <w:sz w:val="21"/>
              </w:rPr>
            </w:pPr>
            <w:r>
              <w:rPr>
                <w:rFonts w:ascii="Times New Roman"/>
                <w:sz w:val="21"/>
              </w:rPr>
              <w:t>10</w:t>
            </w:r>
          </w:p>
        </w:tc>
      </w:tr>
      <w:tr>
        <w:trPr>
          <w:trHeight w:val="282" w:hRule="atLeast"/>
        </w:trPr>
        <w:tc>
          <w:tcPr>
            <w:tcW w:w="1330" w:type="dxa"/>
            <w:gridSpan w:val="2"/>
            <w:vMerge w:val="restart"/>
          </w:tcPr>
          <w:p>
            <w:pPr>
              <w:pStyle w:val="TableParagraph"/>
              <w:spacing w:before="154"/>
              <w:ind w:left="347"/>
              <w:jc w:val="left"/>
              <w:rPr>
                <w:sz w:val="21"/>
              </w:rPr>
            </w:pPr>
            <w:r>
              <w:rPr>
                <w:sz w:val="21"/>
              </w:rPr>
              <w:t>苯胺类</w:t>
            </w:r>
          </w:p>
        </w:tc>
        <w:tc>
          <w:tcPr>
            <w:tcW w:w="1383" w:type="dxa"/>
          </w:tcPr>
          <w:p>
            <w:pPr>
              <w:pStyle w:val="TableParagraph"/>
              <w:spacing w:line="257" w:lineRule="exact" w:before="6"/>
              <w:ind w:left="146"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9"/>
              <w:ind w:left="390" w:right="376"/>
              <w:rPr>
                <w:rFonts w:ascii="Times New Roman"/>
                <w:sz w:val="21"/>
              </w:rPr>
            </w:pPr>
            <w:r>
              <w:rPr>
                <w:rFonts w:ascii="Times New Roman"/>
                <w:sz w:val="21"/>
              </w:rPr>
              <w:t>3.66</w:t>
            </w:r>
          </w:p>
        </w:tc>
        <w:tc>
          <w:tcPr>
            <w:tcW w:w="1188" w:type="dxa"/>
          </w:tcPr>
          <w:p>
            <w:pPr>
              <w:pStyle w:val="TableParagraph"/>
              <w:spacing w:before="19"/>
              <w:ind w:left="141" w:right="128"/>
              <w:rPr>
                <w:rFonts w:ascii="Times New Roman"/>
                <w:sz w:val="21"/>
              </w:rPr>
            </w:pPr>
            <w:r>
              <w:rPr>
                <w:rFonts w:ascii="Times New Roman"/>
                <w:sz w:val="21"/>
              </w:rPr>
              <w:t>3.28</w:t>
            </w:r>
          </w:p>
        </w:tc>
        <w:tc>
          <w:tcPr>
            <w:tcW w:w="1188" w:type="dxa"/>
          </w:tcPr>
          <w:p>
            <w:pPr>
              <w:pStyle w:val="TableParagraph"/>
              <w:spacing w:before="19"/>
              <w:ind w:left="141" w:right="128"/>
              <w:rPr>
                <w:rFonts w:ascii="Times New Roman"/>
                <w:sz w:val="21"/>
              </w:rPr>
            </w:pPr>
            <w:r>
              <w:rPr>
                <w:rFonts w:ascii="Times New Roman"/>
                <w:sz w:val="21"/>
              </w:rPr>
              <w:t>3.16</w:t>
            </w:r>
          </w:p>
        </w:tc>
        <w:tc>
          <w:tcPr>
            <w:tcW w:w="1196" w:type="dxa"/>
          </w:tcPr>
          <w:p>
            <w:pPr>
              <w:pStyle w:val="TableParagraph"/>
              <w:spacing w:before="19"/>
              <w:ind w:left="142" w:right="137"/>
              <w:rPr>
                <w:rFonts w:ascii="Times New Roman"/>
                <w:sz w:val="21"/>
              </w:rPr>
            </w:pPr>
            <w:r>
              <w:rPr>
                <w:rFonts w:ascii="Times New Roman"/>
                <w:sz w:val="21"/>
              </w:rPr>
              <w:t>3.37</w:t>
            </w:r>
          </w:p>
        </w:tc>
        <w:tc>
          <w:tcPr>
            <w:tcW w:w="809" w:type="dxa"/>
          </w:tcPr>
          <w:p>
            <w:pPr>
              <w:pStyle w:val="TableParagraph"/>
              <w:spacing w:before="19"/>
              <w:ind w:left="172" w:right="164"/>
              <w:rPr>
                <w:rFonts w:ascii="Times New Roman"/>
                <w:sz w:val="21"/>
              </w:rPr>
            </w:pPr>
            <w:r>
              <w:rPr>
                <w:rFonts w:ascii="Times New Roman"/>
                <w:sz w:val="21"/>
              </w:rPr>
              <w:t>20</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185" w:type="dxa"/>
          </w:tcPr>
          <w:p>
            <w:pPr>
              <w:pStyle w:val="TableParagraph"/>
              <w:spacing w:before="22"/>
              <w:ind w:left="304"/>
              <w:jc w:val="left"/>
              <w:rPr>
                <w:rFonts w:ascii="Times New Roman"/>
                <w:sz w:val="21"/>
              </w:rPr>
            </w:pPr>
            <w:r>
              <w:rPr>
                <w:rFonts w:ascii="Times New Roman"/>
                <w:sz w:val="21"/>
              </w:rPr>
              <w:t>0.0294</w:t>
            </w:r>
          </w:p>
        </w:tc>
        <w:tc>
          <w:tcPr>
            <w:tcW w:w="1188" w:type="dxa"/>
          </w:tcPr>
          <w:p>
            <w:pPr>
              <w:pStyle w:val="TableParagraph"/>
              <w:spacing w:before="22"/>
              <w:ind w:left="305"/>
              <w:jc w:val="left"/>
              <w:rPr>
                <w:rFonts w:ascii="Times New Roman"/>
                <w:sz w:val="21"/>
              </w:rPr>
            </w:pPr>
            <w:r>
              <w:rPr>
                <w:rFonts w:ascii="Times New Roman"/>
                <w:sz w:val="21"/>
              </w:rPr>
              <w:t>0.0296</w:t>
            </w:r>
          </w:p>
        </w:tc>
        <w:tc>
          <w:tcPr>
            <w:tcW w:w="1188" w:type="dxa"/>
          </w:tcPr>
          <w:p>
            <w:pPr>
              <w:pStyle w:val="TableParagraph"/>
              <w:spacing w:before="22"/>
              <w:ind w:left="141" w:right="128"/>
              <w:rPr>
                <w:rFonts w:ascii="Times New Roman"/>
                <w:sz w:val="21"/>
              </w:rPr>
            </w:pPr>
            <w:r>
              <w:rPr>
                <w:rFonts w:ascii="Times New Roman"/>
                <w:sz w:val="21"/>
              </w:rPr>
              <w:t>0.0267</w:t>
            </w:r>
          </w:p>
        </w:tc>
        <w:tc>
          <w:tcPr>
            <w:tcW w:w="1196" w:type="dxa"/>
          </w:tcPr>
          <w:p>
            <w:pPr>
              <w:pStyle w:val="TableParagraph"/>
              <w:spacing w:before="22"/>
              <w:ind w:left="142" w:right="137"/>
              <w:rPr>
                <w:rFonts w:ascii="Times New Roman"/>
                <w:sz w:val="21"/>
              </w:rPr>
            </w:pPr>
            <w:r>
              <w:rPr>
                <w:rFonts w:ascii="Times New Roman"/>
                <w:sz w:val="21"/>
              </w:rPr>
              <w:t>0.0286</w:t>
            </w:r>
          </w:p>
        </w:tc>
        <w:tc>
          <w:tcPr>
            <w:tcW w:w="809" w:type="dxa"/>
          </w:tcPr>
          <w:p>
            <w:pPr>
              <w:pStyle w:val="TableParagraph"/>
              <w:spacing w:before="22"/>
              <w:ind w:left="221"/>
              <w:jc w:val="left"/>
              <w:rPr>
                <w:rFonts w:ascii="Times New Roman"/>
                <w:sz w:val="21"/>
              </w:rPr>
            </w:pPr>
            <w:r>
              <w:rPr>
                <w:rFonts w:ascii="Times New Roman"/>
                <w:sz w:val="21"/>
              </w:rPr>
              <w:t>0.52</w:t>
            </w:r>
          </w:p>
        </w:tc>
      </w:tr>
      <w:tr>
        <w:trPr>
          <w:trHeight w:val="282" w:hRule="atLeast"/>
        </w:trPr>
        <w:tc>
          <w:tcPr>
            <w:tcW w:w="1330" w:type="dxa"/>
            <w:gridSpan w:val="2"/>
            <w:vMerge w:val="restart"/>
          </w:tcPr>
          <w:p>
            <w:pPr>
              <w:pStyle w:val="TableParagraph"/>
              <w:spacing w:before="154"/>
              <w:ind w:left="244"/>
              <w:jc w:val="left"/>
              <w:rPr>
                <w:sz w:val="21"/>
              </w:rPr>
            </w:pPr>
            <w:r>
              <w:rPr>
                <w:sz w:val="21"/>
              </w:rPr>
              <w:t>硝基苯类</w:t>
            </w:r>
          </w:p>
        </w:tc>
        <w:tc>
          <w:tcPr>
            <w:tcW w:w="1383" w:type="dxa"/>
          </w:tcPr>
          <w:p>
            <w:pPr>
              <w:pStyle w:val="TableParagraph"/>
              <w:spacing w:line="257" w:lineRule="exact" w:before="5"/>
              <w:ind w:left="146"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9"/>
              <w:ind w:left="390" w:right="376"/>
              <w:rPr>
                <w:rFonts w:ascii="Times New Roman"/>
                <w:sz w:val="21"/>
              </w:rPr>
            </w:pPr>
            <w:r>
              <w:rPr>
                <w:rFonts w:ascii="Times New Roman"/>
                <w:sz w:val="21"/>
              </w:rPr>
              <w:t>3.4</w:t>
            </w:r>
          </w:p>
        </w:tc>
        <w:tc>
          <w:tcPr>
            <w:tcW w:w="1188" w:type="dxa"/>
          </w:tcPr>
          <w:p>
            <w:pPr>
              <w:pStyle w:val="TableParagraph"/>
              <w:spacing w:before="19"/>
              <w:ind w:left="141" w:right="128"/>
              <w:rPr>
                <w:rFonts w:ascii="Times New Roman"/>
                <w:sz w:val="21"/>
              </w:rPr>
            </w:pPr>
            <w:r>
              <w:rPr>
                <w:rFonts w:ascii="Times New Roman"/>
                <w:sz w:val="21"/>
              </w:rPr>
              <w:t>2.8</w:t>
            </w:r>
          </w:p>
        </w:tc>
        <w:tc>
          <w:tcPr>
            <w:tcW w:w="1188" w:type="dxa"/>
          </w:tcPr>
          <w:p>
            <w:pPr>
              <w:pStyle w:val="TableParagraph"/>
              <w:spacing w:before="19"/>
              <w:ind w:left="141" w:right="128"/>
              <w:rPr>
                <w:rFonts w:ascii="Times New Roman"/>
                <w:sz w:val="21"/>
              </w:rPr>
            </w:pPr>
            <w:r>
              <w:rPr>
                <w:rFonts w:ascii="Times New Roman"/>
                <w:sz w:val="21"/>
              </w:rPr>
              <w:t>2.6</w:t>
            </w:r>
          </w:p>
        </w:tc>
        <w:tc>
          <w:tcPr>
            <w:tcW w:w="1196" w:type="dxa"/>
          </w:tcPr>
          <w:p>
            <w:pPr>
              <w:pStyle w:val="TableParagraph"/>
              <w:spacing w:before="19"/>
              <w:ind w:left="142" w:right="137"/>
              <w:rPr>
                <w:rFonts w:ascii="Times New Roman"/>
                <w:sz w:val="21"/>
              </w:rPr>
            </w:pPr>
            <w:r>
              <w:rPr>
                <w:rFonts w:ascii="Times New Roman"/>
                <w:sz w:val="21"/>
              </w:rPr>
              <w:t>2.9</w:t>
            </w:r>
          </w:p>
        </w:tc>
        <w:tc>
          <w:tcPr>
            <w:tcW w:w="809" w:type="dxa"/>
          </w:tcPr>
          <w:p>
            <w:pPr>
              <w:pStyle w:val="TableParagraph"/>
              <w:spacing w:before="19"/>
              <w:ind w:left="172" w:right="164"/>
              <w:rPr>
                <w:rFonts w:ascii="Times New Roman"/>
                <w:sz w:val="21"/>
              </w:rPr>
            </w:pPr>
            <w:r>
              <w:rPr>
                <w:rFonts w:ascii="Times New Roman"/>
                <w:sz w:val="21"/>
              </w:rPr>
              <w:t>16</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185" w:type="dxa"/>
          </w:tcPr>
          <w:p>
            <w:pPr>
              <w:pStyle w:val="TableParagraph"/>
              <w:spacing w:before="22"/>
              <w:ind w:left="357"/>
              <w:jc w:val="left"/>
              <w:rPr>
                <w:rFonts w:ascii="Times New Roman"/>
                <w:sz w:val="21"/>
              </w:rPr>
            </w:pPr>
            <w:r>
              <w:rPr>
                <w:rFonts w:ascii="Times New Roman"/>
                <w:sz w:val="21"/>
              </w:rPr>
              <w:t>0.027</w:t>
            </w:r>
          </w:p>
        </w:tc>
        <w:tc>
          <w:tcPr>
            <w:tcW w:w="1188" w:type="dxa"/>
          </w:tcPr>
          <w:p>
            <w:pPr>
              <w:pStyle w:val="TableParagraph"/>
              <w:spacing w:before="22"/>
              <w:ind w:left="357"/>
              <w:jc w:val="left"/>
              <w:rPr>
                <w:rFonts w:ascii="Times New Roman"/>
                <w:sz w:val="21"/>
              </w:rPr>
            </w:pPr>
            <w:r>
              <w:rPr>
                <w:rFonts w:ascii="Times New Roman"/>
                <w:sz w:val="21"/>
              </w:rPr>
              <w:t>0.025</w:t>
            </w:r>
          </w:p>
        </w:tc>
        <w:tc>
          <w:tcPr>
            <w:tcW w:w="1188" w:type="dxa"/>
          </w:tcPr>
          <w:p>
            <w:pPr>
              <w:pStyle w:val="TableParagraph"/>
              <w:spacing w:before="22"/>
              <w:ind w:left="141" w:right="128"/>
              <w:rPr>
                <w:rFonts w:ascii="Times New Roman"/>
                <w:sz w:val="21"/>
              </w:rPr>
            </w:pPr>
            <w:r>
              <w:rPr>
                <w:rFonts w:ascii="Times New Roman"/>
                <w:sz w:val="21"/>
              </w:rPr>
              <w:t>0.022</w:t>
            </w:r>
          </w:p>
        </w:tc>
        <w:tc>
          <w:tcPr>
            <w:tcW w:w="1196" w:type="dxa"/>
          </w:tcPr>
          <w:p>
            <w:pPr>
              <w:pStyle w:val="TableParagraph"/>
              <w:spacing w:before="22"/>
              <w:ind w:left="142" w:right="137"/>
              <w:rPr>
                <w:rFonts w:ascii="Times New Roman"/>
                <w:sz w:val="21"/>
              </w:rPr>
            </w:pPr>
            <w:r>
              <w:rPr>
                <w:rFonts w:ascii="Times New Roman"/>
                <w:sz w:val="21"/>
              </w:rPr>
              <w:t>0.025</w:t>
            </w:r>
          </w:p>
        </w:tc>
        <w:tc>
          <w:tcPr>
            <w:tcW w:w="809" w:type="dxa"/>
          </w:tcPr>
          <w:p>
            <w:pPr>
              <w:pStyle w:val="TableParagraph"/>
              <w:spacing w:before="22"/>
              <w:ind w:right="153"/>
              <w:jc w:val="right"/>
              <w:rPr>
                <w:rFonts w:ascii="Times New Roman"/>
                <w:sz w:val="21"/>
              </w:rPr>
            </w:pPr>
            <w:r>
              <w:rPr>
                <w:rFonts w:ascii="Times New Roman"/>
                <w:sz w:val="21"/>
              </w:rPr>
              <w:t>0.050</w:t>
            </w:r>
          </w:p>
        </w:tc>
      </w:tr>
      <w:tr>
        <w:trPr>
          <w:trHeight w:val="282" w:hRule="atLeast"/>
        </w:trPr>
        <w:tc>
          <w:tcPr>
            <w:tcW w:w="1330" w:type="dxa"/>
            <w:gridSpan w:val="2"/>
            <w:vMerge w:val="restart"/>
          </w:tcPr>
          <w:p>
            <w:pPr>
              <w:pStyle w:val="TableParagraph"/>
              <w:spacing w:before="154"/>
              <w:ind w:left="244"/>
              <w:jc w:val="left"/>
              <w:rPr>
                <w:sz w:val="21"/>
              </w:rPr>
            </w:pPr>
            <w:r>
              <w:rPr>
                <w:sz w:val="21"/>
              </w:rPr>
              <w:t>氮氧化物</w:t>
            </w:r>
          </w:p>
        </w:tc>
        <w:tc>
          <w:tcPr>
            <w:tcW w:w="1383" w:type="dxa"/>
          </w:tcPr>
          <w:p>
            <w:pPr>
              <w:pStyle w:val="TableParagraph"/>
              <w:spacing w:line="257" w:lineRule="exact" w:before="5"/>
              <w:ind w:left="146" w:right="136"/>
              <w:rPr>
                <w:sz w:val="21"/>
              </w:rPr>
            </w:pPr>
            <w:r>
              <w:rPr>
                <w:sz w:val="21"/>
              </w:rPr>
              <w:t>排放浓度</w:t>
            </w:r>
          </w:p>
        </w:tc>
        <w:tc>
          <w:tcPr>
            <w:tcW w:w="1010" w:type="dxa"/>
          </w:tcPr>
          <w:p>
            <w:pPr>
              <w:pStyle w:val="TableParagraph"/>
              <w:spacing w:before="15"/>
              <w:ind w:left="51" w:right="42"/>
              <w:rPr>
                <w:rFonts w:ascii="Times New Roman"/>
                <w:sz w:val="14"/>
              </w:rPr>
            </w:pPr>
            <w:r>
              <w:rPr>
                <w:rFonts w:ascii="Times New Roman"/>
                <w:sz w:val="21"/>
              </w:rPr>
              <w:t>mg/m</w:t>
            </w:r>
            <w:r>
              <w:rPr>
                <w:rFonts w:ascii="Times New Roman"/>
                <w:position w:val="7"/>
                <w:sz w:val="14"/>
              </w:rPr>
              <w:t>3</w:t>
            </w:r>
          </w:p>
        </w:tc>
        <w:tc>
          <w:tcPr>
            <w:tcW w:w="1185" w:type="dxa"/>
          </w:tcPr>
          <w:p>
            <w:pPr>
              <w:pStyle w:val="TableParagraph"/>
              <w:spacing w:before="19"/>
              <w:ind w:left="386" w:right="376"/>
              <w:rPr>
                <w:rFonts w:ascii="Times New Roman"/>
                <w:sz w:val="21"/>
              </w:rPr>
            </w:pPr>
            <w:r>
              <w:rPr>
                <w:rFonts w:ascii="Times New Roman"/>
                <w:sz w:val="21"/>
              </w:rPr>
              <w:t>90</w:t>
            </w:r>
          </w:p>
        </w:tc>
        <w:tc>
          <w:tcPr>
            <w:tcW w:w="1188" w:type="dxa"/>
          </w:tcPr>
          <w:p>
            <w:pPr>
              <w:pStyle w:val="TableParagraph"/>
              <w:spacing w:before="19"/>
              <w:ind w:left="139" w:right="130"/>
              <w:rPr>
                <w:rFonts w:ascii="Times New Roman"/>
                <w:sz w:val="21"/>
              </w:rPr>
            </w:pPr>
            <w:r>
              <w:rPr>
                <w:rFonts w:ascii="Times New Roman"/>
                <w:sz w:val="21"/>
              </w:rPr>
              <w:t>78</w:t>
            </w:r>
          </w:p>
        </w:tc>
        <w:tc>
          <w:tcPr>
            <w:tcW w:w="1188" w:type="dxa"/>
          </w:tcPr>
          <w:p>
            <w:pPr>
              <w:pStyle w:val="TableParagraph"/>
              <w:spacing w:before="19"/>
              <w:ind w:left="139" w:right="130"/>
              <w:rPr>
                <w:rFonts w:ascii="Times New Roman"/>
                <w:sz w:val="21"/>
              </w:rPr>
            </w:pPr>
            <w:r>
              <w:rPr>
                <w:rFonts w:ascii="Times New Roman"/>
                <w:sz w:val="21"/>
              </w:rPr>
              <w:t>76</w:t>
            </w:r>
          </w:p>
        </w:tc>
        <w:tc>
          <w:tcPr>
            <w:tcW w:w="1196" w:type="dxa"/>
          </w:tcPr>
          <w:p>
            <w:pPr>
              <w:pStyle w:val="TableParagraph"/>
              <w:spacing w:before="19"/>
              <w:ind w:left="142" w:right="137"/>
              <w:rPr>
                <w:rFonts w:ascii="Times New Roman"/>
                <w:sz w:val="21"/>
              </w:rPr>
            </w:pPr>
            <w:r>
              <w:rPr>
                <w:rFonts w:ascii="Times New Roman"/>
                <w:sz w:val="21"/>
              </w:rPr>
              <w:t>81</w:t>
            </w:r>
          </w:p>
        </w:tc>
        <w:tc>
          <w:tcPr>
            <w:tcW w:w="809" w:type="dxa"/>
          </w:tcPr>
          <w:p>
            <w:pPr>
              <w:pStyle w:val="TableParagraph"/>
              <w:spacing w:before="19"/>
              <w:ind w:left="247"/>
              <w:jc w:val="left"/>
              <w:rPr>
                <w:rFonts w:ascii="Times New Roman"/>
                <w:sz w:val="21"/>
              </w:rPr>
            </w:pPr>
            <w:r>
              <w:rPr>
                <w:rFonts w:ascii="Times New Roman"/>
                <w:sz w:val="21"/>
              </w:rPr>
              <w:t>240</w:t>
            </w:r>
          </w:p>
        </w:tc>
      </w:tr>
      <w:tr>
        <w:trPr>
          <w:trHeight w:val="285" w:hRule="atLeast"/>
        </w:trPr>
        <w:tc>
          <w:tcPr>
            <w:tcW w:w="1330" w:type="dxa"/>
            <w:gridSpan w:val="2"/>
            <w:vMerge/>
            <w:tcBorders>
              <w:top w:val="nil"/>
            </w:tcBorders>
          </w:tcPr>
          <w:p>
            <w:pPr>
              <w:rPr>
                <w:sz w:val="2"/>
                <w:szCs w:val="2"/>
              </w:rPr>
            </w:pPr>
          </w:p>
        </w:tc>
        <w:tc>
          <w:tcPr>
            <w:tcW w:w="1383" w:type="dxa"/>
          </w:tcPr>
          <w:p>
            <w:pPr>
              <w:pStyle w:val="TableParagraph"/>
              <w:spacing w:line="257" w:lineRule="exact" w:before="8"/>
              <w:ind w:left="146" w:right="136"/>
              <w:rPr>
                <w:sz w:val="21"/>
              </w:rPr>
            </w:pPr>
            <w:r>
              <w:rPr>
                <w:sz w:val="21"/>
              </w:rPr>
              <w:t>排放速率</w:t>
            </w:r>
          </w:p>
        </w:tc>
        <w:tc>
          <w:tcPr>
            <w:tcW w:w="1010" w:type="dxa"/>
          </w:tcPr>
          <w:p>
            <w:pPr>
              <w:pStyle w:val="TableParagraph"/>
              <w:spacing w:before="22"/>
              <w:ind w:left="48" w:right="42"/>
              <w:rPr>
                <w:rFonts w:ascii="Times New Roman"/>
                <w:sz w:val="21"/>
              </w:rPr>
            </w:pPr>
            <w:r>
              <w:rPr>
                <w:rFonts w:ascii="Times New Roman"/>
                <w:sz w:val="21"/>
              </w:rPr>
              <w:t>kg/h</w:t>
            </w:r>
          </w:p>
        </w:tc>
        <w:tc>
          <w:tcPr>
            <w:tcW w:w="1185" w:type="dxa"/>
          </w:tcPr>
          <w:p>
            <w:pPr>
              <w:pStyle w:val="TableParagraph"/>
              <w:spacing w:before="22"/>
              <w:ind w:left="390" w:right="376"/>
              <w:rPr>
                <w:rFonts w:ascii="Times New Roman"/>
                <w:sz w:val="21"/>
              </w:rPr>
            </w:pPr>
            <w:r>
              <w:rPr>
                <w:rFonts w:ascii="Times New Roman"/>
                <w:sz w:val="21"/>
              </w:rPr>
              <w:t>0.72</w:t>
            </w:r>
          </w:p>
        </w:tc>
        <w:tc>
          <w:tcPr>
            <w:tcW w:w="1188" w:type="dxa"/>
          </w:tcPr>
          <w:p>
            <w:pPr>
              <w:pStyle w:val="TableParagraph"/>
              <w:spacing w:before="22"/>
              <w:ind w:left="141" w:right="128"/>
              <w:rPr>
                <w:rFonts w:ascii="Times New Roman"/>
                <w:sz w:val="21"/>
              </w:rPr>
            </w:pPr>
            <w:r>
              <w:rPr>
                <w:rFonts w:ascii="Times New Roman"/>
                <w:sz w:val="21"/>
              </w:rPr>
              <w:t>0.70</w:t>
            </w:r>
          </w:p>
        </w:tc>
        <w:tc>
          <w:tcPr>
            <w:tcW w:w="1188" w:type="dxa"/>
          </w:tcPr>
          <w:p>
            <w:pPr>
              <w:pStyle w:val="TableParagraph"/>
              <w:spacing w:before="22"/>
              <w:ind w:left="141" w:right="128"/>
              <w:rPr>
                <w:rFonts w:ascii="Times New Roman"/>
                <w:sz w:val="21"/>
              </w:rPr>
            </w:pPr>
            <w:r>
              <w:rPr>
                <w:rFonts w:ascii="Times New Roman"/>
                <w:sz w:val="21"/>
              </w:rPr>
              <w:t>0.64</w:t>
            </w:r>
          </w:p>
        </w:tc>
        <w:tc>
          <w:tcPr>
            <w:tcW w:w="1196" w:type="dxa"/>
          </w:tcPr>
          <w:p>
            <w:pPr>
              <w:pStyle w:val="TableParagraph"/>
              <w:spacing w:before="22"/>
              <w:ind w:left="142" w:right="137"/>
              <w:rPr>
                <w:rFonts w:ascii="Times New Roman"/>
                <w:sz w:val="21"/>
              </w:rPr>
            </w:pPr>
            <w:r>
              <w:rPr>
                <w:rFonts w:ascii="Times New Roman"/>
                <w:sz w:val="21"/>
              </w:rPr>
              <w:t>0.69</w:t>
            </w:r>
          </w:p>
        </w:tc>
        <w:tc>
          <w:tcPr>
            <w:tcW w:w="809" w:type="dxa"/>
          </w:tcPr>
          <w:p>
            <w:pPr>
              <w:pStyle w:val="TableParagraph"/>
              <w:spacing w:before="22"/>
              <w:ind w:left="221"/>
              <w:jc w:val="left"/>
              <w:rPr>
                <w:rFonts w:ascii="Times New Roman"/>
                <w:sz w:val="21"/>
              </w:rPr>
            </w:pPr>
            <w:r>
              <w:rPr>
                <w:rFonts w:ascii="Times New Roman"/>
                <w:sz w:val="21"/>
              </w:rPr>
              <w:t>0.77</w:t>
            </w:r>
          </w:p>
        </w:tc>
      </w:tr>
      <w:tr>
        <w:trPr>
          <w:trHeight w:val="513" w:hRule="atLeast"/>
        </w:trPr>
        <w:tc>
          <w:tcPr>
            <w:tcW w:w="2713" w:type="dxa"/>
            <w:gridSpan w:val="3"/>
          </w:tcPr>
          <w:p>
            <w:pPr>
              <w:pStyle w:val="TableParagraph"/>
              <w:spacing w:before="121"/>
              <w:ind w:left="913" w:right="903"/>
              <w:rPr>
                <w:sz w:val="21"/>
              </w:rPr>
            </w:pPr>
            <w:r>
              <w:rPr>
                <w:sz w:val="21"/>
              </w:rPr>
              <w:t>臭气浓度</w:t>
            </w:r>
          </w:p>
        </w:tc>
        <w:tc>
          <w:tcPr>
            <w:tcW w:w="1010" w:type="dxa"/>
          </w:tcPr>
          <w:p>
            <w:pPr>
              <w:pStyle w:val="TableParagraph"/>
              <w:spacing w:before="121"/>
              <w:ind w:left="53" w:right="42"/>
              <w:rPr>
                <w:sz w:val="21"/>
              </w:rPr>
            </w:pPr>
            <w:r>
              <w:rPr>
                <w:sz w:val="21"/>
              </w:rPr>
              <w:t>无量纲</w:t>
            </w:r>
          </w:p>
        </w:tc>
        <w:tc>
          <w:tcPr>
            <w:tcW w:w="1185" w:type="dxa"/>
          </w:tcPr>
          <w:p>
            <w:pPr>
              <w:pStyle w:val="TableParagraph"/>
              <w:spacing w:before="135"/>
              <w:ind w:left="390" w:right="376"/>
              <w:rPr>
                <w:rFonts w:ascii="Times New Roman"/>
                <w:sz w:val="21"/>
              </w:rPr>
            </w:pPr>
            <w:r>
              <w:rPr>
                <w:rFonts w:ascii="Times New Roman"/>
                <w:sz w:val="21"/>
              </w:rPr>
              <w:t>550</w:t>
            </w:r>
          </w:p>
        </w:tc>
        <w:tc>
          <w:tcPr>
            <w:tcW w:w="1188" w:type="dxa"/>
          </w:tcPr>
          <w:p>
            <w:pPr>
              <w:pStyle w:val="TableParagraph"/>
              <w:spacing w:before="135"/>
              <w:ind w:left="141" w:right="128"/>
              <w:rPr>
                <w:rFonts w:ascii="Times New Roman"/>
                <w:sz w:val="21"/>
              </w:rPr>
            </w:pPr>
            <w:r>
              <w:rPr>
                <w:rFonts w:ascii="Times New Roman"/>
                <w:sz w:val="21"/>
              </w:rPr>
              <w:t>412</w:t>
            </w:r>
          </w:p>
        </w:tc>
        <w:tc>
          <w:tcPr>
            <w:tcW w:w="1188" w:type="dxa"/>
          </w:tcPr>
          <w:p>
            <w:pPr>
              <w:pStyle w:val="TableParagraph"/>
              <w:spacing w:before="135"/>
              <w:ind w:left="141" w:right="128"/>
              <w:rPr>
                <w:rFonts w:ascii="Times New Roman"/>
                <w:sz w:val="21"/>
              </w:rPr>
            </w:pPr>
            <w:r>
              <w:rPr>
                <w:rFonts w:ascii="Times New Roman"/>
                <w:sz w:val="21"/>
              </w:rPr>
              <w:t>412</w:t>
            </w:r>
          </w:p>
        </w:tc>
        <w:tc>
          <w:tcPr>
            <w:tcW w:w="1196" w:type="dxa"/>
          </w:tcPr>
          <w:p>
            <w:pPr>
              <w:pStyle w:val="TableParagraph"/>
              <w:spacing w:line="269" w:lineRule="exact" w:before="3"/>
              <w:ind w:left="142" w:right="134"/>
              <w:rPr>
                <w:sz w:val="21"/>
              </w:rPr>
            </w:pPr>
            <w:r>
              <w:rPr>
                <w:sz w:val="21"/>
              </w:rPr>
              <w:t>最大值：</w:t>
            </w:r>
          </w:p>
          <w:p>
            <w:pPr>
              <w:pStyle w:val="TableParagraph"/>
              <w:spacing w:line="221" w:lineRule="exact"/>
              <w:ind w:left="142" w:right="137"/>
              <w:rPr>
                <w:rFonts w:ascii="Times New Roman"/>
                <w:sz w:val="21"/>
              </w:rPr>
            </w:pPr>
            <w:r>
              <w:rPr>
                <w:rFonts w:ascii="Times New Roman"/>
                <w:sz w:val="21"/>
              </w:rPr>
              <w:t>550</w:t>
            </w:r>
          </w:p>
        </w:tc>
        <w:tc>
          <w:tcPr>
            <w:tcW w:w="809" w:type="dxa"/>
          </w:tcPr>
          <w:p>
            <w:pPr>
              <w:pStyle w:val="TableParagraph"/>
              <w:spacing w:before="135"/>
              <w:ind w:right="179"/>
              <w:jc w:val="right"/>
              <w:rPr>
                <w:rFonts w:ascii="Times New Roman"/>
                <w:sz w:val="21"/>
              </w:rPr>
            </w:pPr>
            <w:r>
              <w:rPr>
                <w:rFonts w:ascii="Times New Roman"/>
                <w:sz w:val="21"/>
              </w:rPr>
              <w:t>2000</w:t>
            </w:r>
          </w:p>
        </w:tc>
      </w:tr>
    </w:tbl>
    <w:p>
      <w:pPr>
        <w:pStyle w:val="BodyText"/>
        <w:spacing w:line="364" w:lineRule="auto" w:before="2"/>
        <w:ind w:left="218" w:right="333" w:firstLine="480"/>
        <w:jc w:val="both"/>
      </w:pPr>
      <w:r>
        <w:rPr>
          <w:spacing w:val="-5"/>
        </w:rPr>
        <w:t>根据上述监测结果，现有企业各废气经相应收集处理后均能满足《大气污染物综合</w:t>
      </w:r>
      <w:r>
        <w:rPr>
          <w:spacing w:val="-24"/>
        </w:rPr>
        <w:t>排放标准》</w:t>
      </w:r>
      <w:r>
        <w:rPr/>
        <w:t>（</w:t>
      </w:r>
      <w:r>
        <w:rPr>
          <w:rFonts w:ascii="Times New Roman" w:eastAsia="Times New Roman"/>
        </w:rPr>
        <w:t>GB16297-1996</w:t>
      </w:r>
      <w:r>
        <w:rPr/>
        <w:t>）</w:t>
      </w:r>
      <w:r>
        <w:rPr>
          <w:spacing w:val="-7"/>
        </w:rPr>
        <w:t>二级标准限值及《恶臭污染物排放标准》</w:t>
      </w:r>
      <w:r>
        <w:rPr/>
        <w:t>（</w:t>
      </w:r>
      <w:r>
        <w:rPr>
          <w:rFonts w:ascii="Times New Roman" w:eastAsia="Times New Roman"/>
        </w:rPr>
        <w:t>GB14554-93</w:t>
      </w:r>
      <w:r>
        <w:rPr/>
        <w:t>） 中标准限值的要求。</w:t>
      </w:r>
    </w:p>
    <w:p>
      <w:pPr>
        <w:pStyle w:val="Heading4"/>
        <w:numPr>
          <w:ilvl w:val="2"/>
          <w:numId w:val="13"/>
        </w:numPr>
        <w:tabs>
          <w:tab w:pos="999" w:val="left" w:leader="none"/>
        </w:tabs>
        <w:spacing w:line="307" w:lineRule="exact" w:before="0" w:after="0"/>
        <w:ind w:left="998" w:right="0" w:hanging="541"/>
        <w:jc w:val="both"/>
      </w:pPr>
      <w:r>
        <w:rPr/>
        <w:t>现有废水收集及处理装置</w:t>
      </w:r>
    </w:p>
    <w:p>
      <w:pPr>
        <w:pStyle w:val="BodyText"/>
        <w:spacing w:before="159"/>
        <w:ind w:left="698"/>
      </w:pPr>
      <w:r>
        <w:rPr>
          <w:rFonts w:ascii="Times New Roman" w:eastAsia="Times New Roman"/>
        </w:rPr>
        <w:t>1</w:t>
      </w:r>
      <w:r>
        <w:rPr/>
        <w:t>、现有雨污分流情况</w:t>
      </w:r>
    </w:p>
    <w:p>
      <w:pPr>
        <w:pStyle w:val="BodyText"/>
        <w:spacing w:line="362" w:lineRule="auto" w:before="160"/>
        <w:ind w:left="218" w:right="272" w:firstLine="480"/>
      </w:pPr>
      <w:r>
        <w:rPr/>
        <w:t>现有企业已采用雨污分流，雨水经明沟收集后进入雨水监控池，在雨水排放口处安装智能化监控设施。初期废水经收集后通过管道进入厂区污水处理站。</w:t>
      </w:r>
    </w:p>
    <w:p>
      <w:pPr>
        <w:pStyle w:val="BodyText"/>
        <w:spacing w:before="5"/>
        <w:ind w:left="698"/>
      </w:pPr>
      <w:r>
        <w:rPr>
          <w:rFonts w:ascii="Times New Roman" w:eastAsia="Times New Roman"/>
        </w:rPr>
        <w:t>2</w:t>
      </w:r>
      <w:r>
        <w:rPr/>
        <w:t>、现有废水处理设施</w:t>
      </w:r>
    </w:p>
    <w:p>
      <w:pPr>
        <w:pStyle w:val="BodyText"/>
        <w:spacing w:line="362" w:lineRule="auto" w:before="161"/>
        <w:ind w:left="218" w:right="288" w:firstLine="480"/>
      </w:pPr>
      <w:r>
        <w:rPr/>
        <w:t>企业现设有处理规模 </w:t>
      </w:r>
      <w:r>
        <w:rPr>
          <w:rFonts w:ascii="Times New Roman" w:eastAsia="Times New Roman"/>
        </w:rPr>
        <w:t>400t/d </w:t>
      </w:r>
      <w:r>
        <w:rPr/>
        <w:t>的废水站一座，处理工艺采用物化</w:t>
      </w:r>
      <w:r>
        <w:rPr>
          <w:rFonts w:ascii="Times New Roman" w:eastAsia="Times New Roman"/>
        </w:rPr>
        <w:t>+</w:t>
      </w:r>
      <w:r>
        <w:rPr/>
        <w:t>生化。根据企业提供的废水处理方案，废水站设计进、出水水质见下表。</w:t>
      </w:r>
    </w:p>
    <w:p>
      <w:pPr>
        <w:spacing w:after="0" w:line="362" w:lineRule="auto"/>
        <w:sectPr>
          <w:headerReference w:type="default" r:id="rId35"/>
          <w:footerReference w:type="default" r:id="rId36"/>
          <w:pgSz w:w="11910" w:h="16850"/>
          <w:pgMar w:header="730" w:footer="690" w:top="1340" w:bottom="880" w:left="1200" w:right="1080"/>
          <w:pgNumType w:start="66"/>
        </w:sectPr>
      </w:pPr>
    </w:p>
    <w:p>
      <w:pPr>
        <w:pStyle w:val="BodyText"/>
        <w:spacing w:before="3"/>
        <w:rPr>
          <w:sz w:val="10"/>
        </w:rPr>
      </w:pPr>
    </w:p>
    <w:p>
      <w:pPr>
        <w:pStyle w:val="Heading4"/>
        <w:tabs>
          <w:tab w:pos="1222" w:val="left" w:leader="none"/>
        </w:tabs>
        <w:spacing w:before="74" w:after="29"/>
        <w:ind w:left="0" w:right="115"/>
        <w:jc w:val="center"/>
      </w:pPr>
      <w:r>
        <w:rPr/>
        <w:t>表</w:t>
      </w:r>
      <w:r>
        <w:rPr>
          <w:spacing w:val="-60"/>
        </w:rPr>
        <w:t> </w:t>
      </w:r>
      <w:r>
        <w:rPr>
          <w:rFonts w:ascii="Times New Roman" w:eastAsia="Times New Roman"/>
        </w:rPr>
        <w:t>3.4.2-1</w:t>
        <w:tab/>
      </w:r>
      <w:r>
        <w:rPr/>
        <w:t>现有污水处理站设计进、出水水质标准</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1"/>
        <w:gridCol w:w="1539"/>
        <w:gridCol w:w="1414"/>
        <w:gridCol w:w="1191"/>
        <w:gridCol w:w="1301"/>
        <w:gridCol w:w="1364"/>
        <w:gridCol w:w="1241"/>
      </w:tblGrid>
      <w:tr>
        <w:trPr>
          <w:trHeight w:val="513" w:hRule="atLeast"/>
        </w:trPr>
        <w:tc>
          <w:tcPr>
            <w:tcW w:w="1241" w:type="dxa"/>
          </w:tcPr>
          <w:p>
            <w:pPr>
              <w:pStyle w:val="TableParagraph"/>
              <w:spacing w:before="121"/>
              <w:ind w:left="75" w:right="64"/>
              <w:rPr>
                <w:sz w:val="21"/>
              </w:rPr>
            </w:pPr>
            <w:r>
              <w:rPr>
                <w:sz w:val="21"/>
              </w:rPr>
              <w:t>项目</w:t>
            </w:r>
          </w:p>
        </w:tc>
        <w:tc>
          <w:tcPr>
            <w:tcW w:w="1539" w:type="dxa"/>
          </w:tcPr>
          <w:p>
            <w:pPr>
              <w:pStyle w:val="TableParagraph"/>
              <w:spacing w:before="135"/>
              <w:ind w:left="147" w:right="139"/>
              <w:rPr>
                <w:rFonts w:ascii="Times New Roman"/>
                <w:sz w:val="21"/>
              </w:rPr>
            </w:pPr>
            <w:r>
              <w:rPr>
                <w:rFonts w:ascii="Times New Roman"/>
                <w:sz w:val="21"/>
              </w:rPr>
              <w:t>CODcr(mg/L)</w:t>
            </w:r>
          </w:p>
        </w:tc>
        <w:tc>
          <w:tcPr>
            <w:tcW w:w="1414" w:type="dxa"/>
          </w:tcPr>
          <w:p>
            <w:pPr>
              <w:pStyle w:val="TableParagraph"/>
              <w:spacing w:before="1"/>
              <w:ind w:left="266" w:right="258"/>
              <w:rPr>
                <w:sz w:val="21"/>
              </w:rPr>
            </w:pPr>
            <w:r>
              <w:rPr>
                <w:sz w:val="21"/>
              </w:rPr>
              <w:t>硝基苯类</w:t>
            </w:r>
          </w:p>
          <w:p>
            <w:pPr>
              <w:pStyle w:val="TableParagraph"/>
              <w:spacing w:line="221" w:lineRule="exact" w:before="1"/>
              <w:ind w:left="264" w:right="258"/>
              <w:rPr>
                <w:rFonts w:ascii="Times New Roman"/>
                <w:sz w:val="21"/>
              </w:rPr>
            </w:pPr>
            <w:r>
              <w:rPr>
                <w:rFonts w:ascii="Times New Roman"/>
                <w:sz w:val="21"/>
              </w:rPr>
              <w:t>(mg/L)</w:t>
            </w:r>
          </w:p>
        </w:tc>
        <w:tc>
          <w:tcPr>
            <w:tcW w:w="1191" w:type="dxa"/>
          </w:tcPr>
          <w:p>
            <w:pPr>
              <w:pStyle w:val="TableParagraph"/>
              <w:spacing w:before="1"/>
              <w:ind w:left="275"/>
              <w:jc w:val="left"/>
              <w:rPr>
                <w:sz w:val="21"/>
              </w:rPr>
            </w:pPr>
            <w:r>
              <w:rPr>
                <w:sz w:val="21"/>
              </w:rPr>
              <w:t>苯胺类</w:t>
            </w:r>
          </w:p>
          <w:p>
            <w:pPr>
              <w:pStyle w:val="TableParagraph"/>
              <w:spacing w:line="221" w:lineRule="exact" w:before="1"/>
              <w:ind w:left="294"/>
              <w:jc w:val="left"/>
              <w:rPr>
                <w:rFonts w:ascii="Times New Roman"/>
                <w:sz w:val="21"/>
              </w:rPr>
            </w:pPr>
            <w:r>
              <w:rPr>
                <w:rFonts w:ascii="Times New Roman"/>
                <w:sz w:val="21"/>
              </w:rPr>
              <w:t>(mg/L)</w:t>
            </w:r>
          </w:p>
        </w:tc>
        <w:tc>
          <w:tcPr>
            <w:tcW w:w="1301" w:type="dxa"/>
          </w:tcPr>
          <w:p>
            <w:pPr>
              <w:pStyle w:val="TableParagraph"/>
              <w:spacing w:before="1"/>
              <w:ind w:left="210" w:right="200"/>
              <w:rPr>
                <w:sz w:val="21"/>
              </w:rPr>
            </w:pPr>
            <w:r>
              <w:rPr>
                <w:sz w:val="21"/>
              </w:rPr>
              <w:t>挥发酚钠</w:t>
            </w:r>
          </w:p>
          <w:p>
            <w:pPr>
              <w:pStyle w:val="TableParagraph"/>
              <w:spacing w:line="221" w:lineRule="exact" w:before="1"/>
              <w:ind w:left="207" w:right="200"/>
              <w:rPr>
                <w:rFonts w:ascii="Times New Roman"/>
                <w:sz w:val="21"/>
              </w:rPr>
            </w:pPr>
            <w:r>
              <w:rPr>
                <w:rFonts w:ascii="Times New Roman"/>
                <w:sz w:val="21"/>
              </w:rPr>
              <w:t>(mg/L)</w:t>
            </w:r>
          </w:p>
        </w:tc>
        <w:tc>
          <w:tcPr>
            <w:tcW w:w="1364" w:type="dxa"/>
          </w:tcPr>
          <w:p>
            <w:pPr>
              <w:pStyle w:val="TableParagraph"/>
              <w:spacing w:before="1"/>
              <w:ind w:left="362" w:right="356"/>
              <w:rPr>
                <w:sz w:val="21"/>
              </w:rPr>
            </w:pPr>
            <w:r>
              <w:rPr>
                <w:sz w:val="21"/>
              </w:rPr>
              <w:t>氨氮</w:t>
            </w:r>
          </w:p>
          <w:p>
            <w:pPr>
              <w:pStyle w:val="TableParagraph"/>
              <w:spacing w:line="221" w:lineRule="exact" w:before="1"/>
              <w:ind w:left="362" w:right="356"/>
              <w:rPr>
                <w:rFonts w:ascii="Times New Roman"/>
                <w:sz w:val="21"/>
              </w:rPr>
            </w:pPr>
            <w:r>
              <w:rPr>
                <w:rFonts w:ascii="Times New Roman"/>
                <w:sz w:val="21"/>
              </w:rPr>
              <w:t>(mg/L)</w:t>
            </w:r>
          </w:p>
        </w:tc>
        <w:tc>
          <w:tcPr>
            <w:tcW w:w="1241" w:type="dxa"/>
          </w:tcPr>
          <w:p>
            <w:pPr>
              <w:pStyle w:val="TableParagraph"/>
              <w:spacing w:before="121"/>
              <w:ind w:left="70" w:right="66"/>
              <w:rPr>
                <w:sz w:val="21"/>
              </w:rPr>
            </w:pPr>
            <w:r>
              <w:rPr>
                <w:sz w:val="21"/>
              </w:rPr>
              <w:t>总盐</w:t>
            </w:r>
          </w:p>
        </w:tc>
      </w:tr>
      <w:tr>
        <w:trPr>
          <w:trHeight w:val="285" w:hRule="atLeast"/>
        </w:trPr>
        <w:tc>
          <w:tcPr>
            <w:tcW w:w="1241" w:type="dxa"/>
          </w:tcPr>
          <w:p>
            <w:pPr>
              <w:pStyle w:val="TableParagraph"/>
              <w:spacing w:line="257" w:lineRule="exact" w:before="8"/>
              <w:ind w:left="75" w:right="66"/>
              <w:rPr>
                <w:sz w:val="21"/>
              </w:rPr>
            </w:pPr>
            <w:r>
              <w:rPr>
                <w:sz w:val="21"/>
              </w:rPr>
              <w:t>进水水质</w:t>
            </w:r>
          </w:p>
        </w:tc>
        <w:tc>
          <w:tcPr>
            <w:tcW w:w="1539" w:type="dxa"/>
          </w:tcPr>
          <w:p>
            <w:pPr>
              <w:pStyle w:val="TableParagraph"/>
              <w:spacing w:before="22"/>
              <w:ind w:left="147" w:right="137"/>
              <w:rPr>
                <w:rFonts w:ascii="Times New Roman" w:hAnsi="Times New Roman"/>
                <w:sz w:val="21"/>
              </w:rPr>
            </w:pPr>
            <w:r>
              <w:rPr>
                <w:rFonts w:ascii="Times New Roman" w:hAnsi="Times New Roman"/>
                <w:sz w:val="21"/>
              </w:rPr>
              <w:t>≤22000</w:t>
            </w:r>
          </w:p>
        </w:tc>
        <w:tc>
          <w:tcPr>
            <w:tcW w:w="1414" w:type="dxa"/>
          </w:tcPr>
          <w:p>
            <w:pPr>
              <w:pStyle w:val="TableParagraph"/>
              <w:spacing w:before="22"/>
              <w:ind w:left="266" w:right="256"/>
              <w:rPr>
                <w:rFonts w:ascii="Times New Roman" w:hAnsi="Times New Roman"/>
                <w:sz w:val="21"/>
              </w:rPr>
            </w:pPr>
            <w:r>
              <w:rPr>
                <w:rFonts w:ascii="Times New Roman" w:hAnsi="Times New Roman"/>
                <w:sz w:val="21"/>
              </w:rPr>
              <w:t>≤100</w:t>
            </w:r>
          </w:p>
        </w:tc>
        <w:tc>
          <w:tcPr>
            <w:tcW w:w="1191" w:type="dxa"/>
          </w:tcPr>
          <w:p>
            <w:pPr>
              <w:pStyle w:val="TableParagraph"/>
              <w:spacing w:before="22"/>
              <w:ind w:left="146" w:right="144"/>
              <w:rPr>
                <w:rFonts w:ascii="Times New Roman" w:hAnsi="Times New Roman"/>
                <w:sz w:val="21"/>
              </w:rPr>
            </w:pPr>
            <w:r>
              <w:rPr>
                <w:rFonts w:ascii="Times New Roman" w:hAnsi="Times New Roman"/>
                <w:sz w:val="21"/>
              </w:rPr>
              <w:t>≤100</w:t>
            </w:r>
          </w:p>
        </w:tc>
        <w:tc>
          <w:tcPr>
            <w:tcW w:w="1301" w:type="dxa"/>
          </w:tcPr>
          <w:p>
            <w:pPr>
              <w:pStyle w:val="TableParagraph"/>
              <w:spacing w:before="22"/>
              <w:ind w:left="210" w:right="198"/>
              <w:rPr>
                <w:rFonts w:ascii="Times New Roman" w:hAnsi="Times New Roman"/>
                <w:sz w:val="21"/>
              </w:rPr>
            </w:pPr>
            <w:r>
              <w:rPr>
                <w:rFonts w:ascii="Times New Roman" w:hAnsi="Times New Roman"/>
                <w:sz w:val="21"/>
              </w:rPr>
              <w:t>≤650</w:t>
            </w:r>
          </w:p>
        </w:tc>
        <w:tc>
          <w:tcPr>
            <w:tcW w:w="1364" w:type="dxa"/>
          </w:tcPr>
          <w:p>
            <w:pPr>
              <w:pStyle w:val="TableParagraph"/>
              <w:spacing w:before="22"/>
              <w:ind w:left="362" w:right="356"/>
              <w:rPr>
                <w:rFonts w:ascii="Times New Roman" w:hAnsi="Times New Roman"/>
                <w:sz w:val="21"/>
              </w:rPr>
            </w:pPr>
            <w:r>
              <w:rPr>
                <w:rFonts w:ascii="Times New Roman" w:hAnsi="Times New Roman"/>
                <w:sz w:val="21"/>
              </w:rPr>
              <w:t>≤50</w:t>
            </w:r>
          </w:p>
        </w:tc>
        <w:tc>
          <w:tcPr>
            <w:tcW w:w="1241" w:type="dxa"/>
          </w:tcPr>
          <w:p>
            <w:pPr>
              <w:pStyle w:val="TableParagraph"/>
              <w:spacing w:before="22"/>
              <w:ind w:left="73" w:right="66"/>
              <w:rPr>
                <w:rFonts w:ascii="Times New Roman" w:hAnsi="Times New Roman"/>
                <w:sz w:val="21"/>
              </w:rPr>
            </w:pPr>
            <w:r>
              <w:rPr>
                <w:rFonts w:ascii="Times New Roman" w:hAnsi="Times New Roman"/>
                <w:sz w:val="21"/>
              </w:rPr>
              <w:t>≤1.5%</w:t>
            </w:r>
          </w:p>
        </w:tc>
      </w:tr>
      <w:tr>
        <w:trPr>
          <w:trHeight w:val="282" w:hRule="atLeast"/>
        </w:trPr>
        <w:tc>
          <w:tcPr>
            <w:tcW w:w="1241" w:type="dxa"/>
          </w:tcPr>
          <w:p>
            <w:pPr>
              <w:pStyle w:val="TableParagraph"/>
              <w:spacing w:line="257" w:lineRule="exact" w:before="5"/>
              <w:ind w:left="75" w:right="66"/>
              <w:rPr>
                <w:sz w:val="21"/>
              </w:rPr>
            </w:pPr>
            <w:r>
              <w:rPr>
                <w:sz w:val="21"/>
              </w:rPr>
              <w:t>出水水质</w:t>
            </w:r>
          </w:p>
        </w:tc>
        <w:tc>
          <w:tcPr>
            <w:tcW w:w="1539" w:type="dxa"/>
          </w:tcPr>
          <w:p>
            <w:pPr>
              <w:pStyle w:val="TableParagraph"/>
              <w:spacing w:before="19"/>
              <w:ind w:left="147" w:right="137"/>
              <w:rPr>
                <w:rFonts w:ascii="Times New Roman" w:hAnsi="Times New Roman"/>
                <w:sz w:val="21"/>
              </w:rPr>
            </w:pPr>
            <w:r>
              <w:rPr>
                <w:rFonts w:ascii="Times New Roman" w:hAnsi="Times New Roman"/>
                <w:sz w:val="21"/>
              </w:rPr>
              <w:t>≤500</w:t>
            </w:r>
          </w:p>
        </w:tc>
        <w:tc>
          <w:tcPr>
            <w:tcW w:w="1414" w:type="dxa"/>
          </w:tcPr>
          <w:p>
            <w:pPr>
              <w:pStyle w:val="TableParagraph"/>
              <w:spacing w:before="19"/>
              <w:ind w:left="263" w:right="258"/>
              <w:rPr>
                <w:rFonts w:ascii="Times New Roman" w:hAnsi="Times New Roman"/>
                <w:sz w:val="21"/>
              </w:rPr>
            </w:pPr>
            <w:r>
              <w:rPr>
                <w:rFonts w:ascii="Times New Roman" w:hAnsi="Times New Roman"/>
                <w:sz w:val="21"/>
              </w:rPr>
              <w:t>≤5</w:t>
            </w:r>
          </w:p>
        </w:tc>
        <w:tc>
          <w:tcPr>
            <w:tcW w:w="1191" w:type="dxa"/>
          </w:tcPr>
          <w:p>
            <w:pPr>
              <w:pStyle w:val="TableParagraph"/>
              <w:spacing w:before="19"/>
              <w:ind w:left="146" w:right="144"/>
              <w:rPr>
                <w:rFonts w:ascii="Times New Roman" w:hAnsi="Times New Roman"/>
                <w:sz w:val="21"/>
              </w:rPr>
            </w:pPr>
            <w:r>
              <w:rPr>
                <w:rFonts w:ascii="Times New Roman" w:hAnsi="Times New Roman"/>
                <w:sz w:val="21"/>
              </w:rPr>
              <w:t>≤5</w:t>
            </w:r>
          </w:p>
        </w:tc>
        <w:tc>
          <w:tcPr>
            <w:tcW w:w="1301" w:type="dxa"/>
          </w:tcPr>
          <w:p>
            <w:pPr>
              <w:pStyle w:val="TableParagraph"/>
              <w:spacing w:before="19"/>
              <w:ind w:left="206" w:right="200"/>
              <w:rPr>
                <w:rFonts w:ascii="Times New Roman" w:hAnsi="Times New Roman"/>
                <w:sz w:val="21"/>
              </w:rPr>
            </w:pPr>
            <w:r>
              <w:rPr>
                <w:rFonts w:ascii="Times New Roman" w:hAnsi="Times New Roman"/>
                <w:sz w:val="21"/>
              </w:rPr>
              <w:t>≤1</w:t>
            </w:r>
          </w:p>
        </w:tc>
        <w:tc>
          <w:tcPr>
            <w:tcW w:w="1364" w:type="dxa"/>
          </w:tcPr>
          <w:p>
            <w:pPr>
              <w:pStyle w:val="TableParagraph"/>
              <w:spacing w:before="19"/>
              <w:ind w:left="362" w:right="356"/>
              <w:rPr>
                <w:rFonts w:ascii="Times New Roman" w:hAnsi="Times New Roman"/>
                <w:sz w:val="21"/>
              </w:rPr>
            </w:pPr>
            <w:r>
              <w:rPr>
                <w:rFonts w:ascii="Times New Roman" w:hAnsi="Times New Roman"/>
                <w:sz w:val="21"/>
              </w:rPr>
              <w:t>≤35</w:t>
            </w:r>
          </w:p>
        </w:tc>
        <w:tc>
          <w:tcPr>
            <w:tcW w:w="1241" w:type="dxa"/>
          </w:tcPr>
          <w:p>
            <w:pPr>
              <w:pStyle w:val="TableParagraph"/>
              <w:spacing w:before="19"/>
              <w:ind w:left="73" w:right="66"/>
              <w:rPr>
                <w:rFonts w:ascii="Times New Roman" w:hAnsi="Times New Roman"/>
                <w:sz w:val="21"/>
              </w:rPr>
            </w:pPr>
            <w:r>
              <w:rPr>
                <w:rFonts w:ascii="Times New Roman" w:hAnsi="Times New Roman"/>
                <w:sz w:val="21"/>
              </w:rPr>
              <w:t>≤1.5%</w:t>
            </w:r>
          </w:p>
        </w:tc>
      </w:tr>
    </w:tbl>
    <w:p>
      <w:pPr>
        <w:pStyle w:val="BodyText"/>
        <w:spacing w:before="2"/>
        <w:ind w:left="698"/>
      </w:pPr>
      <w:r>
        <w:rPr/>
        <w:t>废水处理工艺流程详见下图所示。</w:t>
      </w:r>
    </w:p>
    <w:p>
      <w:pPr>
        <w:spacing w:after="0"/>
        <w:sectPr>
          <w:pgSz w:w="11910" w:h="16850"/>
          <w:pgMar w:header="730" w:footer="690" w:top="1340" w:bottom="880" w:left="1200" w:right="1080"/>
        </w:sectPr>
      </w:pPr>
    </w:p>
    <w:p>
      <w:pPr>
        <w:pStyle w:val="BodyText"/>
        <w:spacing w:before="8"/>
        <w:rPr>
          <w:sz w:val="12"/>
        </w:rPr>
      </w:pPr>
    </w:p>
    <w:p>
      <w:pPr>
        <w:tabs>
          <w:tab w:pos="561" w:val="left" w:leader="none"/>
        </w:tabs>
        <w:spacing w:line="162" w:lineRule="exact" w:before="1"/>
        <w:ind w:left="0" w:right="917" w:firstLine="0"/>
        <w:jc w:val="right"/>
        <w:rPr>
          <w:sz w:val="13"/>
        </w:rPr>
      </w:pPr>
      <w:r>
        <w:rPr>
          <w:w w:val="105"/>
          <w:sz w:val="13"/>
        </w:rPr>
        <w:t>硝</w:t>
        <w:tab/>
      </w:r>
      <w:r>
        <w:rPr>
          <w:spacing w:val="-1"/>
          <w:sz w:val="13"/>
        </w:rPr>
        <w:t>硝</w:t>
      </w:r>
    </w:p>
    <w:p>
      <w:pPr>
        <w:tabs>
          <w:tab w:pos="561" w:val="left" w:leader="none"/>
          <w:tab w:pos="1122" w:val="left" w:leader="none"/>
        </w:tabs>
        <w:spacing w:line="158" w:lineRule="exact" w:before="0"/>
        <w:ind w:left="0" w:right="917" w:firstLine="0"/>
        <w:jc w:val="right"/>
        <w:rPr>
          <w:sz w:val="13"/>
        </w:rPr>
      </w:pPr>
      <w:r>
        <w:rPr>
          <w:w w:val="105"/>
          <w:sz w:val="13"/>
        </w:rPr>
        <w:t>还</w:t>
        <w:tab/>
        <w:t>化</w:t>
        <w:tab/>
      </w:r>
      <w:r>
        <w:rPr>
          <w:sz w:val="13"/>
        </w:rPr>
        <w:t>化</w:t>
      </w:r>
    </w:p>
    <w:p>
      <w:pPr>
        <w:tabs>
          <w:tab w:pos="561" w:val="left" w:leader="none"/>
          <w:tab w:pos="1122" w:val="left" w:leader="none"/>
        </w:tabs>
        <w:spacing w:line="143" w:lineRule="exact" w:before="0"/>
        <w:ind w:left="0" w:right="917" w:firstLine="0"/>
        <w:jc w:val="right"/>
        <w:rPr>
          <w:sz w:val="13"/>
        </w:rPr>
      </w:pPr>
      <w:r>
        <w:rPr>
          <w:w w:val="105"/>
          <w:sz w:val="13"/>
        </w:rPr>
        <w:t>原</w:t>
        <w:tab/>
        <w:t>车</w:t>
        <w:tab/>
      </w:r>
      <w:r>
        <w:rPr>
          <w:spacing w:val="-1"/>
          <w:sz w:val="13"/>
        </w:rPr>
        <w:t>车</w:t>
      </w:r>
    </w:p>
    <w:p>
      <w:pPr>
        <w:tabs>
          <w:tab w:pos="948" w:val="left" w:leader="none"/>
          <w:tab w:pos="1509" w:val="left" w:leader="none"/>
          <w:tab w:pos="2071" w:val="left" w:leader="none"/>
        </w:tabs>
        <w:spacing w:line="163" w:lineRule="exact" w:before="0"/>
        <w:ind w:left="369" w:right="0" w:firstLine="0"/>
        <w:jc w:val="left"/>
        <w:rPr>
          <w:sz w:val="13"/>
        </w:rPr>
      </w:pPr>
      <w:r>
        <w:rPr>
          <w:w w:val="105"/>
          <w:position w:val="3"/>
          <w:sz w:val="13"/>
        </w:rPr>
        <w:t>还原</w:t>
        <w:tab/>
      </w:r>
      <w:r>
        <w:rPr>
          <w:w w:val="105"/>
          <w:sz w:val="13"/>
        </w:rPr>
        <w:t>车</w:t>
        <w:tab/>
        <w:t>间</w:t>
        <w:tab/>
        <w:t>间</w:t>
      </w:r>
    </w:p>
    <w:p>
      <w:pPr>
        <w:tabs>
          <w:tab w:pos="948" w:val="left" w:leader="none"/>
          <w:tab w:pos="1509" w:val="left" w:leader="none"/>
          <w:tab w:pos="2071" w:val="left" w:leader="none"/>
        </w:tabs>
        <w:spacing w:line="163" w:lineRule="exact" w:before="0"/>
        <w:ind w:left="369" w:right="0" w:firstLine="0"/>
        <w:jc w:val="left"/>
        <w:rPr>
          <w:sz w:val="13"/>
        </w:rPr>
      </w:pPr>
      <w:r>
        <w:rPr>
          <w:w w:val="105"/>
          <w:position w:val="2"/>
          <w:sz w:val="13"/>
        </w:rPr>
        <w:t>车间</w:t>
        <w:tab/>
      </w:r>
      <w:r>
        <w:rPr>
          <w:w w:val="105"/>
          <w:sz w:val="13"/>
        </w:rPr>
        <w:t>间</w:t>
        <w:tab/>
        <w:t>酸</w:t>
        <w:tab/>
        <w:t>碱</w:t>
      </w:r>
    </w:p>
    <w:p>
      <w:pPr>
        <w:tabs>
          <w:tab w:pos="948" w:val="left" w:leader="none"/>
          <w:tab w:pos="1509" w:val="left" w:leader="none"/>
          <w:tab w:pos="2071" w:val="left" w:leader="none"/>
        </w:tabs>
        <w:spacing w:line="163" w:lineRule="exact" w:before="0"/>
        <w:ind w:left="369" w:right="0" w:firstLine="0"/>
        <w:jc w:val="left"/>
        <w:rPr>
          <w:sz w:val="13"/>
        </w:rPr>
      </w:pPr>
      <w:r>
        <w:rPr>
          <w:w w:val="105"/>
          <w:position w:val="1"/>
          <w:sz w:val="13"/>
        </w:rPr>
        <w:t>分液</w:t>
        <w:tab/>
      </w:r>
      <w:r>
        <w:rPr>
          <w:w w:val="105"/>
          <w:sz w:val="13"/>
        </w:rPr>
        <w:t>废</w:t>
        <w:tab/>
        <w:t>性</w:t>
        <w:tab/>
        <w:t>性</w:t>
      </w:r>
    </w:p>
    <w:p>
      <w:pPr>
        <w:tabs>
          <w:tab w:pos="948" w:val="left" w:leader="none"/>
          <w:tab w:pos="1509" w:val="left" w:leader="none"/>
          <w:tab w:pos="2071" w:val="left" w:leader="none"/>
          <w:tab w:pos="2950" w:val="left" w:leader="none"/>
        </w:tabs>
        <w:spacing w:line="179" w:lineRule="exact" w:before="0"/>
        <w:ind w:left="369" w:right="0" w:firstLine="0"/>
        <w:jc w:val="left"/>
        <w:rPr>
          <w:sz w:val="13"/>
        </w:rPr>
      </w:pPr>
      <w:r>
        <w:rPr>
          <w:w w:val="105"/>
          <w:position w:val="2"/>
          <w:sz w:val="13"/>
        </w:rPr>
        <w:t>废水</w:t>
        <w:tab/>
        <w:t>水</w:t>
        <w:tab/>
      </w:r>
      <w:r>
        <w:rPr>
          <w:w w:val="105"/>
          <w:position w:val="3"/>
          <w:sz w:val="13"/>
        </w:rPr>
        <w:t>废</w:t>
        <w:tab/>
        <w:t>废</w:t>
        <w:tab/>
      </w:r>
      <w:r>
        <w:rPr>
          <w:w w:val="105"/>
          <w:sz w:val="13"/>
        </w:rPr>
        <w:t>药</w:t>
      </w:r>
    </w:p>
    <w:p>
      <w:pPr>
        <w:tabs>
          <w:tab w:pos="2071" w:val="left" w:leader="none"/>
          <w:tab w:pos="2950" w:val="left" w:leader="none"/>
        </w:tabs>
        <w:spacing w:line="213" w:lineRule="auto" w:before="0"/>
        <w:ind w:left="1509" w:right="0" w:firstLine="0"/>
        <w:jc w:val="left"/>
        <w:rPr>
          <w:sz w:val="13"/>
        </w:rPr>
      </w:pPr>
      <w:r>
        <w:rPr/>
        <w:pict>
          <v:group style="position:absolute;margin-left:109.963058pt;margin-top:5.960577pt;width:3.35pt;height:20.5pt;mso-position-horizontal-relative:page;mso-position-vertical-relative:paragraph;z-index:251722752" coordorigin="2199,119" coordsize="67,410">
            <v:line style="position:absolute" from="2233,119" to="2233,438" stroked="true" strokeweight=".474875pt" strokecolor="#000000">
              <v:stroke dashstyle="solid"/>
            </v:line>
            <v:shape style="position:absolute;left:2199;top:429;width:67;height:100" coordorigin="2199,430" coordsize="67,100" path="m2266,430l2199,430,2233,529,2266,430xe" filled="true" fillcolor="#000000" stroked="false">
              <v:path arrowok="t"/>
              <v:fill type="solid"/>
            </v:shape>
            <w10:wrap type="none"/>
          </v:group>
        </w:pict>
      </w:r>
      <w:r>
        <w:rPr/>
        <w:pict>
          <v:group style="position:absolute;margin-left:138.009705pt;margin-top:5.960578pt;width:3.35pt;height:20.5pt;mso-position-horizontal-relative:page;mso-position-vertical-relative:paragraph;z-index:-317861888" coordorigin="2760,119" coordsize="67,410">
            <v:line style="position:absolute" from="2793,119" to="2793,438" stroked="true" strokeweight=".474875pt" strokecolor="#000000">
              <v:stroke dashstyle="solid"/>
            </v:line>
            <v:shape style="position:absolute;left:2760;top:429;width:67;height:100" coordorigin="2760,430" coordsize="67,100" path="m2827,430l2760,430,2793,529,2827,430xe" filled="true" fillcolor="#000000" stroked="false">
              <v:path arrowok="t"/>
              <v:fill type="solid"/>
            </v:shape>
            <w10:wrap type="none"/>
          </v:group>
        </w:pict>
      </w:r>
      <w:r>
        <w:rPr/>
        <w:pict>
          <v:group style="position:absolute;margin-left:166.053711pt;margin-top:5.96058pt;width:3.35pt;height:20.5pt;mso-position-horizontal-relative:page;mso-position-vertical-relative:paragraph;z-index:-317860864" coordorigin="3321,119" coordsize="67,410">
            <v:line style="position:absolute" from="3354,119" to="3354,438" stroked="true" strokeweight=".474875pt" strokecolor="#000000">
              <v:stroke dashstyle="solid"/>
            </v:line>
            <v:shape style="position:absolute;left:3321;top:429;width:67;height:100" coordorigin="3321,430" coordsize="67,100" path="m3388,430l3321,430,3354,529,3388,430xe" filled="true" fillcolor="#000000" stroked="false">
              <v:path arrowok="t"/>
              <v:fill type="solid"/>
            </v:shape>
            <w10:wrap type="none"/>
          </v:group>
        </w:pict>
      </w:r>
      <w:r>
        <w:rPr/>
        <w:pict>
          <v:group style="position:absolute;margin-left:351.630951pt;margin-top:9.687693pt;width:75.05pt;height:80.4pt;mso-position-horizontal-relative:page;mso-position-vertical-relative:paragraph;z-index:-317847552" coordorigin="7033,194" coordsize="1501,1608">
            <v:line style="position:absolute" from="7411,1051" to="7712,1051" stroked="true" strokeweight=".473282pt" strokecolor="#000000">
              <v:stroke dashstyle="solid"/>
            </v:line>
            <v:shape style="position:absolute;left:7704;top:1017;width:100;height:67" coordorigin="7704,1018" coordsize="100,67" path="m7704,1018l7704,1084,7804,1051,7704,1018xe" filled="true" fillcolor="#000000" stroked="false">
              <v:path arrowok="t"/>
              <v:fill type="solid"/>
            </v:shape>
            <v:rect style="position:absolute;left:7785;top:491;width:374;height:1305" filled="true" fillcolor="#ffffff" stroked="false">
              <v:fill type="solid"/>
            </v:rect>
            <v:line style="position:absolute" from="8159,1051" to="8442,1051" stroked="true" strokeweight=".473282pt" strokecolor="#000000">
              <v:stroke dashstyle="solid"/>
            </v:line>
            <v:shape style="position:absolute;left:8433;top:1017;width:100;height:67" coordorigin="8433,1018" coordsize="100,67" path="m8433,1018l8433,1084,8533,1051,8433,1018xe" filled="true" fillcolor="#000000" stroked="false">
              <v:path arrowok="t"/>
              <v:fill type="solid"/>
            </v:shape>
            <v:line style="position:absolute" from="8103,194" to="8103,401" stroked="true" strokeweight=".474875pt" strokecolor="#000000">
              <v:stroke dashstyle="solid"/>
            </v:line>
            <v:shape style="position:absolute;left:7848;top:345;width:289;height:147" coordorigin="7848,345" coordsize="289,147" path="m7946,345l7848,345,7897,492,7946,345m8136,392l8070,392,8103,492,8136,392e" filled="true" fillcolor="#000000" stroked="false">
              <v:path arrowok="t"/>
              <v:fill type="solid"/>
            </v:shape>
            <v:shape style="position:absolute;left:7785;top:491;width:374;height:1305" type="#_x0000_t202" filled="false" stroked="true" strokeweight=".474756pt" strokecolor="#000000">
              <v:textbox inset="0,0,0,0">
                <w:txbxContent>
                  <w:p>
                    <w:pPr>
                      <w:spacing w:line="240" w:lineRule="auto" w:before="0"/>
                      <w:rPr>
                        <w:b/>
                        <w:sz w:val="13"/>
                      </w:rPr>
                    </w:pPr>
                  </w:p>
                  <w:p>
                    <w:pPr>
                      <w:spacing w:line="228" w:lineRule="auto" w:before="0"/>
                      <w:ind w:left="108" w:right="95" w:firstLine="0"/>
                      <w:jc w:val="both"/>
                      <w:rPr>
                        <w:rFonts w:ascii="黑体" w:eastAsia="黑体" w:hint="eastAsia"/>
                        <w:sz w:val="15"/>
                      </w:rPr>
                    </w:pPr>
                    <w:r>
                      <w:rPr>
                        <w:rFonts w:ascii="黑体" w:eastAsia="黑体" w:hint="eastAsia"/>
                        <w:sz w:val="16"/>
                      </w:rPr>
                      <w:t>芬</w:t>
                    </w:r>
                    <w:r>
                      <w:rPr>
                        <w:rFonts w:ascii="黑体" w:eastAsia="黑体" w:hint="eastAsia"/>
                        <w:sz w:val="15"/>
                      </w:rPr>
                      <w:t>顿</w:t>
                    </w:r>
                    <w:r>
                      <w:rPr>
                        <w:rFonts w:ascii="黑体" w:eastAsia="黑体" w:hint="eastAsia"/>
                        <w:sz w:val="16"/>
                      </w:rPr>
                      <w:t>氧化</w:t>
                    </w:r>
                    <w:r>
                      <w:rPr>
                        <w:rFonts w:ascii="黑体" w:eastAsia="黑体" w:hint="eastAsia"/>
                        <w:sz w:val="15"/>
                      </w:rPr>
                      <w:t>塔</w:t>
                    </w:r>
                  </w:p>
                </w:txbxContent>
              </v:textbox>
              <v:stroke dashstyle="solid"/>
              <w10:wrap type="none"/>
            </v:shape>
            <v:shape style="position:absolute;left:7037;top:491;width:374;height:1305" type="#_x0000_t202" filled="false" stroked="true" strokeweight=".474756pt" strokecolor="#000000">
              <v:textbox inset="0,0,0,0">
                <w:txbxContent>
                  <w:p>
                    <w:pPr>
                      <w:spacing w:line="240" w:lineRule="auto" w:before="0"/>
                      <w:rPr>
                        <w:b/>
                        <w:sz w:val="13"/>
                      </w:rPr>
                    </w:pPr>
                  </w:p>
                  <w:p>
                    <w:pPr>
                      <w:spacing w:line="228" w:lineRule="auto" w:before="0"/>
                      <w:ind w:left="107" w:right="95" w:firstLine="0"/>
                      <w:jc w:val="both"/>
                      <w:rPr>
                        <w:rFonts w:ascii="黑体" w:eastAsia="黑体" w:hint="eastAsia"/>
                        <w:sz w:val="15"/>
                      </w:rPr>
                    </w:pPr>
                    <w:r>
                      <w:rPr>
                        <w:rFonts w:ascii="黑体" w:eastAsia="黑体" w:hint="eastAsia"/>
                        <w:sz w:val="16"/>
                      </w:rPr>
                      <w:t>铁</w:t>
                    </w:r>
                    <w:r>
                      <w:rPr>
                        <w:rFonts w:ascii="黑体" w:eastAsia="黑体" w:hint="eastAsia"/>
                        <w:sz w:val="15"/>
                      </w:rPr>
                      <w:t>碳</w:t>
                    </w:r>
                    <w:r>
                      <w:rPr>
                        <w:rFonts w:ascii="黑体" w:eastAsia="黑体" w:hint="eastAsia"/>
                        <w:sz w:val="16"/>
                      </w:rPr>
                      <w:t>还原</w:t>
                    </w:r>
                    <w:r>
                      <w:rPr>
                        <w:rFonts w:ascii="黑体" w:eastAsia="黑体" w:hint="eastAsia"/>
                        <w:sz w:val="15"/>
                      </w:rPr>
                      <w:t>釜</w:t>
                    </w:r>
                  </w:p>
                </w:txbxContent>
              </v:textbox>
              <v:stroke dashstyle="solid"/>
              <w10:wrap type="none"/>
            </v:shape>
            <w10:wrap type="none"/>
          </v:group>
        </w:pict>
      </w:r>
      <w:r>
        <w:rPr/>
        <w:pict>
          <v:group style="position:absolute;margin-left:472.664642pt;margin-top:9.687696pt;width:3.35pt;height:14.95pt;mso-position-horizontal-relative:page;mso-position-vertical-relative:paragraph;z-index:251746304" coordorigin="9453,194" coordsize="67,299">
            <v:line style="position:absolute" from="9487,194" to="9487,401" stroked="true" strokeweight=".474875pt" strokecolor="#000000">
              <v:stroke dashstyle="solid"/>
            </v:line>
            <v:shape style="position:absolute;left:9453;top:392;width:67;height:100" coordorigin="9453,392" coordsize="67,100" path="m9520,392l9453,392,9487,492,9520,392xe" filled="true" fillcolor="#000000" stroked="false">
              <v:path arrowok="t"/>
              <v:fill type="solid"/>
            </v:shape>
            <w10:wrap type="none"/>
          </v:group>
        </w:pict>
      </w:r>
      <w:r>
        <w:rPr/>
        <w:pict>
          <v:group style="position:absolute;margin-left:84.061928pt;margin-top:5.50044pt;width:3.35pt;height:20.5pt;mso-position-horizontal-relative:page;mso-position-vertical-relative:paragraph;z-index:251774976" coordorigin="1681,110" coordsize="67,410">
            <v:line style="position:absolute" from="1714,110" to="1714,429" stroked="true" strokeweight=".474875pt" strokecolor="#000000">
              <v:stroke dashstyle="solid"/>
            </v:line>
            <v:shape style="position:absolute;left:1681;top:420;width:67;height:100" coordorigin="1681,421" coordsize="67,100" path="m1748,421l1681,421,1714,520,1748,421xe" filled="true" fillcolor="#000000" stroked="false">
              <v:path arrowok="t"/>
              <v:fill type="solid"/>
            </v:shape>
            <w10:wrap type="none"/>
          </v:group>
        </w:pict>
      </w:r>
      <w:r>
        <w:rPr>
          <w:w w:val="105"/>
          <w:sz w:val="13"/>
        </w:rPr>
        <w:t>水</w:t>
        <w:tab/>
        <w:t>水</w:t>
        <w:tab/>
      </w:r>
      <w:r>
        <w:rPr>
          <w:w w:val="105"/>
          <w:position w:val="-2"/>
          <w:sz w:val="13"/>
        </w:rPr>
        <w:t>剂</w:t>
      </w:r>
    </w:p>
    <w:p>
      <w:pPr>
        <w:pStyle w:val="BodyText"/>
        <w:ind w:left="2999"/>
        <w:rPr>
          <w:sz w:val="20"/>
        </w:rPr>
      </w:pPr>
      <w:r>
        <w:rPr>
          <w:sz w:val="20"/>
        </w:rPr>
        <w:pict>
          <v:group style="width:3.35pt;height:14.95pt;mso-position-horizontal-relative:char;mso-position-vertical-relative:line" coordorigin="0,0" coordsize="67,299">
            <v:line style="position:absolute" from="33,0" to="33,207" stroked="true" strokeweight=".474875pt" strokecolor="#000000">
              <v:stroke dashstyle="solid"/>
            </v:line>
            <v:shape style="position:absolute;left:0;top:198;width:67;height:100" coordorigin="0,199" coordsize="67,100" path="m66,199l0,199,33,298,66,199xe" filled="true" fillcolor="#000000" stroked="false">
              <v:path arrowok="t"/>
              <v:fill type="solid"/>
            </v:shape>
          </v:group>
        </w:pict>
      </w:r>
      <w:r>
        <w:rPr>
          <w:sz w:val="20"/>
        </w:rPr>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5"/>
        </w:rPr>
      </w:pPr>
    </w:p>
    <w:p>
      <w:pPr>
        <w:tabs>
          <w:tab w:pos="2207" w:val="left" w:leader="none"/>
        </w:tabs>
        <w:spacing w:line="240" w:lineRule="auto"/>
        <w:ind w:left="-177" w:right="-1124" w:firstLine="0"/>
        <w:rPr>
          <w:sz w:val="20"/>
        </w:rPr>
      </w:pPr>
      <w:r>
        <w:rPr>
          <w:sz w:val="20"/>
        </w:rPr>
        <w:pict>
          <v:group style="width:19.2pt;height:79.9pt;mso-position-horizontal-relative:char;mso-position-vertical-relative:line" coordorigin="0,0" coordsize="384,1598">
            <v:line style="position:absolute" from="313,0" to="313,207" stroked="true" strokeweight=".474875pt" strokecolor="#000000">
              <v:stroke dashstyle="solid"/>
            </v:line>
            <v:shape style="position:absolute;left:279;top:198;width:67;height:100" coordorigin="280,199" coordsize="67,100" path="m346,199l280,199,313,298,346,199xe" filled="true" fillcolor="#000000" stroked="false">
              <v:path arrowok="t"/>
              <v:fill type="solid"/>
            </v:shape>
            <v:shape style="position:absolute;left:133;top:170;width:80;height:119" coordorigin="133,170" coordsize="80,119" path="m213,170l133,170,173,289,213,170xe" filled="true" fillcolor="#000000" stroked="false">
              <v:path arrowok="t"/>
              <v:fill type="solid"/>
            </v:shape>
            <v:shape style="position:absolute;left:4;top:288;width:374;height:1305" type="#_x0000_t202" filled="false" stroked="true" strokeweight=".474756pt" strokecolor="#000000">
              <v:textbox inset="0,0,0,0">
                <w:txbxContent>
                  <w:p>
                    <w:pPr>
                      <w:spacing w:line="240" w:lineRule="auto" w:before="0"/>
                      <w:rPr>
                        <w:sz w:val="13"/>
                      </w:rPr>
                    </w:pPr>
                  </w:p>
                  <w:p>
                    <w:pPr>
                      <w:spacing w:line="228" w:lineRule="auto" w:before="0"/>
                      <w:ind w:left="106" w:right="97" w:firstLine="0"/>
                      <w:jc w:val="both"/>
                      <w:rPr>
                        <w:rFonts w:ascii="黑体" w:eastAsia="黑体" w:hint="eastAsia"/>
                        <w:sz w:val="15"/>
                      </w:rPr>
                    </w:pPr>
                    <w:r>
                      <w:rPr>
                        <w:rFonts w:ascii="黑体" w:eastAsia="黑体" w:hint="eastAsia"/>
                        <w:sz w:val="16"/>
                      </w:rPr>
                      <w:t>酸</w:t>
                    </w:r>
                    <w:r>
                      <w:rPr>
                        <w:rFonts w:ascii="黑体" w:eastAsia="黑体" w:hint="eastAsia"/>
                        <w:sz w:val="15"/>
                      </w:rPr>
                      <w:t>析</w:t>
                    </w:r>
                    <w:r>
                      <w:rPr>
                        <w:rFonts w:ascii="黑体" w:eastAsia="黑体" w:hint="eastAsia"/>
                        <w:sz w:val="16"/>
                      </w:rPr>
                      <w:t>絮凝</w:t>
                    </w:r>
                    <w:r>
                      <w:rPr>
                        <w:rFonts w:ascii="黑体" w:eastAsia="黑体" w:hint="eastAsia"/>
                        <w:sz w:val="15"/>
                      </w:rPr>
                      <w:t>池</w:t>
                    </w:r>
                  </w:p>
                </w:txbxContent>
              </v:textbox>
              <v:stroke dashstyle="solid"/>
              <w10:wrap type="none"/>
            </v:shape>
          </v:group>
        </w:pict>
      </w:r>
      <w:r>
        <w:rPr>
          <w:sz w:val="20"/>
        </w:rPr>
      </w:r>
      <w:r>
        <w:rPr>
          <w:sz w:val="20"/>
        </w:rPr>
        <w:tab/>
      </w:r>
      <w:r>
        <w:rPr>
          <w:position w:val="131"/>
          <w:sz w:val="20"/>
        </w:rPr>
        <w:pict>
          <v:group style="width:3.35pt;height:14.95pt;mso-position-horizontal-relative:char;mso-position-vertical-relative:line" coordorigin="0,0" coordsize="67,299">
            <v:line style="position:absolute" from="33,0" to="33,207" stroked="true" strokeweight=".474875pt" strokecolor="#000000">
              <v:stroke dashstyle="solid"/>
            </v:line>
            <v:shape style="position:absolute;left:0;top:198;width:67;height:100" coordorigin="0,199" coordsize="67,100" path="m66,199l0,199,33,298,66,199xe" filled="true" fillcolor="#000000" stroked="false">
              <v:path arrowok="t"/>
              <v:fill type="solid"/>
            </v:shape>
          </v:group>
        </w:pict>
      </w:r>
      <w:r>
        <w:rPr>
          <w:position w:val="131"/>
          <w:sz w:val="20"/>
        </w:rPr>
      </w:r>
    </w:p>
    <w:p>
      <w:pPr>
        <w:pStyle w:val="BodyText"/>
        <w:rPr>
          <w:sz w:val="12"/>
        </w:rPr>
      </w:pPr>
    </w:p>
    <w:p>
      <w:pPr>
        <w:pStyle w:val="BodyText"/>
        <w:spacing w:before="9"/>
        <w:rPr>
          <w:sz w:val="10"/>
        </w:rPr>
      </w:pPr>
    </w:p>
    <w:p>
      <w:pPr>
        <w:spacing w:line="244" w:lineRule="auto" w:before="1"/>
        <w:ind w:left="634" w:right="38" w:hanging="266"/>
        <w:jc w:val="left"/>
        <w:rPr>
          <w:b/>
          <w:sz w:val="13"/>
        </w:rPr>
      </w:pPr>
      <w:r>
        <w:rPr/>
        <w:pict>
          <v:group style="position:absolute;margin-left:284.297577pt;margin-top:-16.443634pt;width:4.3pt;height:18.650pt;mso-position-horizontal-relative:page;mso-position-vertical-relative:paragraph;z-index:-317838336" coordorigin="5686,-329" coordsize="86,373">
            <v:line style="position:absolute" from="5729,-329" to="5729,-73" stroked="true" strokeweight=".474875pt" strokecolor="#800000">
              <v:stroke dashstyle="solid"/>
            </v:line>
            <v:shape style="position:absolute;left:5685;top:-85;width:86;height:128" coordorigin="5686,-84" coordsize="86,128" path="m5771,-84l5686,-84,5729,44,5771,-84xe" filled="true" fillcolor="#800000" stroked="false">
              <v:path arrowok="t"/>
              <v:fill type="solid"/>
            </v:shape>
            <w10:wrap type="none"/>
          </v:group>
        </w:pict>
      </w:r>
      <w:r>
        <w:rPr>
          <w:b/>
          <w:color w:val="800000"/>
          <w:sz w:val="13"/>
        </w:rPr>
        <w:t>酸析污泥外运</w:t>
      </w:r>
      <w:r>
        <w:rPr>
          <w:b/>
          <w:color w:val="800000"/>
          <w:w w:val="105"/>
          <w:sz w:val="13"/>
        </w:rPr>
        <w:t>填埋</w:t>
      </w:r>
    </w:p>
    <w:p>
      <w:pPr>
        <w:pStyle w:val="BodyText"/>
        <w:rPr>
          <w:b/>
          <w:sz w:val="14"/>
        </w:rPr>
      </w:pPr>
      <w:r>
        <w:rPr/>
        <w:br w:type="column"/>
      </w:r>
      <w:r>
        <w:rPr>
          <w:b/>
          <w:sz w:val="14"/>
        </w:rPr>
      </w: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spacing w:before="12"/>
        <w:rPr>
          <w:b/>
          <w:sz w:val="12"/>
        </w:rPr>
      </w:pPr>
    </w:p>
    <w:p>
      <w:pPr>
        <w:spacing w:before="0"/>
        <w:ind w:left="353" w:right="359" w:firstLine="0"/>
        <w:jc w:val="center"/>
        <w:rPr>
          <w:rFonts w:ascii="Times New Roman"/>
          <w:sz w:val="13"/>
        </w:rPr>
      </w:pPr>
      <w:r>
        <w:rPr>
          <w:rFonts w:ascii="Times New Roman"/>
          <w:spacing w:val="-3"/>
          <w:w w:val="105"/>
          <w:sz w:val="13"/>
        </w:rPr>
        <w:t>PAC</w:t>
      </w:r>
    </w:p>
    <w:p>
      <w:pPr>
        <w:spacing w:before="11"/>
        <w:ind w:left="356" w:right="357" w:firstLine="0"/>
        <w:jc w:val="center"/>
        <w:rPr>
          <w:sz w:val="13"/>
        </w:rPr>
      </w:pPr>
      <w:r>
        <w:rPr/>
        <w:pict>
          <v:group style="position:absolute;margin-left:220.99411pt;margin-top:45.786846pt;width:19.650pt;height:3.35pt;mso-position-horizontal-relative:page;mso-position-vertical-relative:paragraph;z-index:251731968" coordorigin="4420,916" coordsize="393,67">
            <v:line style="position:absolute" from="4420,949" to="4721,949" stroked="true" strokeweight=".473282pt" strokecolor="#000000">
              <v:stroke dashstyle="solid"/>
            </v:line>
            <v:shape style="position:absolute;left:4712;top:915;width:100;height:67" coordorigin="4713,916" coordsize="100,67" path="m4713,916l4713,982,4813,949,4713,916xe" filled="true" fillcolor="#000000" stroked="false">
              <v:path arrowok="t"/>
              <v:fill type="solid"/>
            </v:shape>
            <w10:wrap type="none"/>
          </v:group>
        </w:pict>
      </w:r>
      <w:r>
        <w:rPr/>
        <w:pict>
          <v:group style="position:absolute;margin-left:259.320465pt;margin-top:45.786846pt;width:17.8pt;height:3.35pt;mso-position-horizontal-relative:page;mso-position-vertical-relative:paragraph;z-index:251732992" coordorigin="5186,916" coordsize="356,67">
            <v:line style="position:absolute" from="5186,949" to="5450,949" stroked="true" strokeweight=".473282pt" strokecolor="#000000">
              <v:stroke dashstyle="solid"/>
            </v:line>
            <v:shape style="position:absolute;left:5441;top:915;width:100;height:67" coordorigin="5442,916" coordsize="100,67" path="m5442,916l5442,982,5542,949,5442,916xe" filled="true" fillcolor="#000000" stroked="false">
              <v:path arrowok="t"/>
              <v:fill type="solid"/>
            </v:shape>
            <w10:wrap type="none"/>
          </v:group>
        </w:pict>
      </w:r>
      <w:r>
        <w:rPr/>
        <w:pict>
          <v:group style="position:absolute;margin-left:295.780334pt;margin-top:45.78685pt;width:18.7pt;height:3.35pt;mso-position-horizontal-relative:page;mso-position-vertical-relative:paragraph;z-index:251734016" coordorigin="5916,916" coordsize="374,67">
            <v:line style="position:absolute" from="5916,949" to="6198,949" stroked="true" strokeweight=".473282pt" strokecolor="#000000">
              <v:stroke dashstyle="solid"/>
            </v:line>
            <v:shape style="position:absolute;left:6189;top:915;width:100;height:67" coordorigin="6190,916" coordsize="100,67" path="m6190,916l6190,982,6290,949,6190,916xe" filled="true" fillcolor="#000000" stroked="false">
              <v:path arrowok="t"/>
              <v:fill type="solid"/>
            </v:shape>
            <w10:wrap type="none"/>
          </v:group>
        </w:pict>
      </w:r>
      <w:r>
        <w:rPr/>
        <w:pict>
          <v:group style="position:absolute;margin-left:333.170135pt;margin-top:45.78685pt;width:18.7pt;height:3.35pt;mso-position-horizontal-relative:page;mso-position-vertical-relative:paragraph;z-index:251735040" coordorigin="6663,916" coordsize="374,67">
            <v:line style="position:absolute" from="6663,949" to="6946,949" stroked="true" strokeweight=".473282pt" strokecolor="#000000">
              <v:stroke dashstyle="solid"/>
            </v:line>
            <v:shape style="position:absolute;left:6937;top:915;width:100;height:67" coordorigin="6938,916" coordsize="100,67" path="m6938,916l6938,982,7037,949,6938,916xe" filled="true" fillcolor="#000000" stroked="false">
              <v:path arrowok="t"/>
              <v:fill type="solid"/>
            </v:shape>
            <w10:wrap type="none"/>
          </v:group>
        </w:pict>
      </w:r>
      <w:r>
        <w:rPr/>
        <w:pict>
          <v:group style="position:absolute;margin-left:445.346161pt;margin-top:45.786858pt;width:18.7pt;height:3.35pt;mso-position-horizontal-relative:page;mso-position-vertical-relative:paragraph;z-index:251739136" coordorigin="8907,916" coordsize="374,67">
            <v:line style="position:absolute" from="8907,949" to="9189,949" stroked="true" strokeweight=".473282pt" strokecolor="#000000">
              <v:stroke dashstyle="solid"/>
            </v:line>
            <v:shape style="position:absolute;left:9181;top:915;width:100;height:67" coordorigin="9181,916" coordsize="100,67" path="m9181,916l9181,982,9281,949,9181,916xe" filled="true" fillcolor="#000000" stroked="false">
              <v:path arrowok="t"/>
              <v:fill type="solid"/>
            </v:shape>
            <w10:wrap type="none"/>
          </v:group>
        </w:pict>
      </w:r>
      <w:r>
        <w:rPr/>
        <w:pict>
          <v:group style="position:absolute;margin-left:482.735962pt;margin-top:45.786861pt;width:18.7pt;height:3.35pt;mso-position-horizontal-relative:page;mso-position-vertical-relative:paragraph;z-index:-317845504" coordorigin="9655,916" coordsize="374,67">
            <v:line style="position:absolute" from="9655,949" to="9937,949" stroked="true" strokeweight=".473282pt" strokecolor="#000000">
              <v:stroke dashstyle="solid"/>
            </v:line>
            <v:shape style="position:absolute;left:9928;top:915;width:100;height:67" coordorigin="9929,916" coordsize="100,67" path="m9929,916l9929,982,10029,949,9929,916xe" filled="true" fillcolor="#000000" stroked="false">
              <v:path arrowok="t"/>
              <v:fill type="solid"/>
            </v:shape>
            <w10:wrap type="none"/>
          </v:group>
        </w:pict>
      </w:r>
      <w:r>
        <w:rPr/>
        <w:pict>
          <v:group style="position:absolute;margin-left:511.920959pt;margin-top:4.591581pt;width:3.35pt;height:14.95pt;mso-position-horizontal-relative:page;mso-position-vertical-relative:paragraph;z-index:-317837312" coordorigin="10238,92" coordsize="67,299">
            <v:line style="position:absolute" from="10272,92" to="10272,299" stroked="true" strokeweight=".474875pt" strokecolor="#000000">
              <v:stroke dashstyle="solid"/>
            </v:line>
            <v:shape style="position:absolute;left:10238;top:290;width:67;height:100" coordorigin="10238,290" coordsize="67,100" path="m10305,290l10238,290,10272,390,10305,290xe" filled="true" fillcolor="#000000" stroked="false">
              <v:path arrowok="t"/>
              <v:fill type="solid"/>
            </v:shape>
            <w10:wrap type="none"/>
          </v:group>
        </w:pict>
      </w:r>
      <w:r>
        <w:rPr/>
        <w:pict>
          <v:shape style="position:absolute;margin-left:314.478516pt;margin-top:19.497992pt;width:18.7pt;height:65.25pt;mso-position-horizontal-relative:page;mso-position-vertical-relative:paragraph;z-index:251776000" type="#_x0000_t202" filled="false" stroked="true" strokeweight=".474756pt" strokecolor="#000000">
            <v:textbox inset="0,0,0,0">
              <w:txbxContent>
                <w:p>
                  <w:pPr>
                    <w:pStyle w:val="BodyText"/>
                    <w:rPr>
                      <w:b/>
                      <w:sz w:val="16"/>
                    </w:rPr>
                  </w:pPr>
                </w:p>
                <w:p>
                  <w:pPr>
                    <w:pStyle w:val="BodyText"/>
                    <w:spacing w:before="7"/>
                    <w:rPr>
                      <w:b/>
                      <w:sz w:val="18"/>
                    </w:rPr>
                  </w:pPr>
                </w:p>
                <w:p>
                  <w:pPr>
                    <w:spacing w:line="202" w:lineRule="exact" w:before="0"/>
                    <w:ind w:left="107" w:right="0" w:firstLine="0"/>
                    <w:jc w:val="left"/>
                    <w:rPr>
                      <w:rFonts w:ascii="黑体"/>
                      <w:sz w:val="16"/>
                    </w:rPr>
                  </w:pPr>
                  <w:r>
                    <w:rPr>
                      <w:rFonts w:ascii="黑体"/>
                      <w:sz w:val="16"/>
                    </w:rPr>
                    <w:t>3#</w:t>
                  </w:r>
                </w:p>
                <w:p>
                  <w:pPr>
                    <w:spacing w:line="190" w:lineRule="exact" w:before="0"/>
                    <w:ind w:left="107" w:right="0" w:firstLine="0"/>
                    <w:jc w:val="left"/>
                    <w:rPr>
                      <w:rFonts w:ascii="黑体" w:eastAsia="黑体" w:hint="eastAsia"/>
                      <w:sz w:val="15"/>
                    </w:rPr>
                  </w:pPr>
                  <w:r>
                    <w:rPr>
                      <w:rFonts w:ascii="黑体" w:eastAsia="黑体" w:hint="eastAsia"/>
                      <w:w w:val="105"/>
                      <w:sz w:val="15"/>
                    </w:rPr>
                    <w:t>池</w:t>
                  </w:r>
                </w:p>
              </w:txbxContent>
            </v:textbox>
            <v:stroke dashstyle="solid"/>
            <w10:wrap type="none"/>
          </v:shape>
        </w:pict>
      </w:r>
      <w:r>
        <w:rPr/>
        <w:pict>
          <v:shape style="position:absolute;margin-left:277.082123pt;margin-top:19.497990pt;width:18.7pt;height:65.25pt;mso-position-horizontal-relative:page;mso-position-vertical-relative:paragraph;z-index:251777024" type="#_x0000_t202" filled="false" stroked="true" strokeweight=".474756pt" strokecolor="#000000">
            <v:textbox inset="0,0,0,0">
              <w:txbxContent>
                <w:p>
                  <w:pPr>
                    <w:pStyle w:val="BodyText"/>
                    <w:spacing w:before="6"/>
                    <w:rPr>
                      <w:b/>
                      <w:sz w:val="20"/>
                    </w:rPr>
                  </w:pPr>
                </w:p>
                <w:p>
                  <w:pPr>
                    <w:spacing w:line="225" w:lineRule="auto" w:before="0"/>
                    <w:ind w:left="106" w:right="97" w:firstLine="0"/>
                    <w:jc w:val="both"/>
                    <w:rPr>
                      <w:rFonts w:ascii="黑体" w:eastAsia="黑体" w:hint="eastAsia"/>
                      <w:sz w:val="16"/>
                    </w:rPr>
                  </w:pPr>
                  <w:r>
                    <w:rPr>
                      <w:rFonts w:ascii="黑体" w:eastAsia="黑体" w:hint="eastAsia"/>
                      <w:sz w:val="16"/>
                    </w:rPr>
                    <w:t>酸析</w:t>
                  </w:r>
                  <w:r>
                    <w:rPr>
                      <w:rFonts w:ascii="黑体" w:eastAsia="黑体" w:hint="eastAsia"/>
                      <w:sz w:val="15"/>
                    </w:rPr>
                    <w:t>离</w:t>
                  </w:r>
                  <w:r>
                    <w:rPr>
                      <w:rFonts w:ascii="黑体" w:eastAsia="黑体" w:hint="eastAsia"/>
                      <w:sz w:val="16"/>
                    </w:rPr>
                    <w:t>心</w:t>
                  </w:r>
                </w:p>
              </w:txbxContent>
            </v:textbox>
            <v:stroke dashstyle="solid"/>
            <w10:wrap type="none"/>
          </v:shape>
        </w:pict>
      </w:r>
      <w:r>
        <w:rPr/>
        <w:pict>
          <v:shape style="position:absolute;margin-left:248.64238pt;margin-top:-45.955311pt;width:257.3500pt;height:60.45pt;mso-position-horizontal-relative:page;mso-position-vertical-relative:paragraph;z-index:251778048" type="#_x0000_t202" filled="false" stroked="false">
            <v:textbox inset="0,0,0,0">
              <w:txbxContent>
                <w:tbl>
                  <w:tblPr>
                    <w:tblW w:w="0" w:type="auto"/>
                    <w:jc w:val="left"/>
                    <w:tblInd w:w="10" w:type="dxa"/>
                    <w:tblBorders>
                      <w:top w:val="dashed" w:sz="8" w:space="0" w:color="000000"/>
                      <w:left w:val="dashed" w:sz="8" w:space="0" w:color="000000"/>
                      <w:bottom w:val="dashed" w:sz="8" w:space="0" w:color="000000"/>
                      <w:right w:val="dashed" w:sz="8" w:space="0" w:color="000000"/>
                      <w:insideH w:val="dashed" w:sz="8" w:space="0" w:color="000000"/>
                      <w:insideV w:val="dashed" w:sz="8" w:space="0" w:color="000000"/>
                    </w:tblBorders>
                    <w:tblLayout w:type="fixed"/>
                    <w:tblCellMar>
                      <w:top w:w="0" w:type="dxa"/>
                      <w:left w:w="0" w:type="dxa"/>
                      <w:bottom w:w="0" w:type="dxa"/>
                      <w:right w:w="0" w:type="dxa"/>
                    </w:tblCellMar>
                    <w:tblLook w:val="01E0"/>
                  </w:tblPr>
                  <w:tblGrid>
                    <w:gridCol w:w="1122"/>
                    <w:gridCol w:w="449"/>
                    <w:gridCol w:w="1346"/>
                    <w:gridCol w:w="2206"/>
                  </w:tblGrid>
                  <w:tr>
                    <w:trPr>
                      <w:trHeight w:val="171" w:hRule="atLeast"/>
                    </w:trPr>
                    <w:tc>
                      <w:tcPr>
                        <w:tcW w:w="1122" w:type="dxa"/>
                        <w:tcBorders>
                          <w:top w:val="nil"/>
                          <w:left w:val="nil"/>
                          <w:right w:val="single" w:sz="4" w:space="0" w:color="000000"/>
                        </w:tcBorders>
                      </w:tcPr>
                      <w:p>
                        <w:pPr>
                          <w:pStyle w:val="TableParagraph"/>
                          <w:jc w:val="left"/>
                          <w:rPr>
                            <w:rFonts w:ascii="Times New Roman"/>
                            <w:sz w:val="10"/>
                          </w:rPr>
                        </w:pPr>
                      </w:p>
                    </w:tc>
                    <w:tc>
                      <w:tcPr>
                        <w:tcW w:w="44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ind w:left="99"/>
                          <w:jc w:val="left"/>
                          <w:rPr>
                            <w:sz w:val="13"/>
                          </w:rPr>
                        </w:pPr>
                        <w:r>
                          <w:rPr>
                            <w:sz w:val="13"/>
                          </w:rPr>
                          <w:t>压缩</w:t>
                        </w:r>
                      </w:p>
                      <w:p>
                        <w:pPr>
                          <w:pStyle w:val="TableParagraph"/>
                          <w:spacing w:before="3"/>
                          <w:ind w:left="99"/>
                          <w:jc w:val="left"/>
                          <w:rPr>
                            <w:sz w:val="13"/>
                          </w:rPr>
                        </w:pPr>
                        <w:r>
                          <w:rPr>
                            <w:sz w:val="13"/>
                          </w:rPr>
                          <w:t>空气</w:t>
                        </w:r>
                      </w:p>
                    </w:tc>
                    <w:tc>
                      <w:tcPr>
                        <w:tcW w:w="3552" w:type="dxa"/>
                        <w:gridSpan w:val="2"/>
                        <w:tcBorders>
                          <w:top w:val="nil"/>
                          <w:left w:val="single" w:sz="4" w:space="0" w:color="000000"/>
                          <w:right w:val="nil"/>
                        </w:tcBorders>
                      </w:tcPr>
                      <w:p>
                        <w:pPr>
                          <w:pStyle w:val="TableParagraph"/>
                          <w:jc w:val="left"/>
                          <w:rPr>
                            <w:rFonts w:ascii="Times New Roman"/>
                            <w:sz w:val="10"/>
                          </w:rPr>
                        </w:pPr>
                      </w:p>
                    </w:tc>
                  </w:tr>
                  <w:tr>
                    <w:trPr>
                      <w:trHeight w:val="171" w:hRule="atLeast"/>
                    </w:trPr>
                    <w:tc>
                      <w:tcPr>
                        <w:tcW w:w="1122" w:type="dxa"/>
                        <w:tcBorders>
                          <w:bottom w:val="nil"/>
                          <w:right w:val="single" w:sz="4" w:space="0" w:color="000000"/>
                        </w:tcBorders>
                      </w:tcPr>
                      <w:p>
                        <w:pPr>
                          <w:pStyle w:val="TableParagraph"/>
                          <w:jc w:val="left"/>
                          <w:rPr>
                            <w:rFonts w:ascii="Times New Roman"/>
                            <w:sz w:val="10"/>
                          </w:rPr>
                        </w:pPr>
                      </w:p>
                    </w:tc>
                    <w:tc>
                      <w:tcPr>
                        <w:tcW w:w="449" w:type="dxa"/>
                        <w:vMerge/>
                        <w:tcBorders>
                          <w:top w:val="nil"/>
                          <w:left w:val="single" w:sz="4" w:space="0" w:color="000000"/>
                          <w:bottom w:val="single" w:sz="4" w:space="0" w:color="000000"/>
                          <w:right w:val="single" w:sz="4" w:space="0" w:color="000000"/>
                        </w:tcBorders>
                      </w:tcPr>
                      <w:p>
                        <w:pPr>
                          <w:rPr>
                            <w:sz w:val="2"/>
                            <w:szCs w:val="2"/>
                          </w:rPr>
                        </w:pPr>
                      </w:p>
                    </w:tc>
                    <w:tc>
                      <w:tcPr>
                        <w:tcW w:w="1346" w:type="dxa"/>
                        <w:tcBorders>
                          <w:left w:val="single" w:sz="4" w:space="0" w:color="000000"/>
                          <w:bottom w:val="nil"/>
                        </w:tcBorders>
                      </w:tcPr>
                      <w:p>
                        <w:pPr>
                          <w:pStyle w:val="TableParagraph"/>
                          <w:jc w:val="left"/>
                          <w:rPr>
                            <w:rFonts w:ascii="Times New Roman"/>
                            <w:sz w:val="10"/>
                          </w:rPr>
                        </w:pPr>
                      </w:p>
                    </w:tc>
                    <w:tc>
                      <w:tcPr>
                        <w:tcW w:w="2206" w:type="dxa"/>
                        <w:vMerge w:val="restart"/>
                        <w:tcBorders>
                          <w:bottom w:val="nil"/>
                        </w:tcBorders>
                      </w:tcPr>
                      <w:p>
                        <w:pPr>
                          <w:pStyle w:val="TableParagraph"/>
                          <w:jc w:val="left"/>
                          <w:rPr>
                            <w:b/>
                            <w:sz w:val="12"/>
                          </w:rPr>
                        </w:pPr>
                      </w:p>
                      <w:p>
                        <w:pPr>
                          <w:pStyle w:val="TableParagraph"/>
                          <w:spacing w:before="11"/>
                          <w:jc w:val="left"/>
                          <w:rPr>
                            <w:b/>
                            <w:sz w:val="13"/>
                          </w:rPr>
                        </w:pPr>
                      </w:p>
                      <w:p>
                        <w:pPr>
                          <w:pStyle w:val="TableParagraph"/>
                          <w:spacing w:line="151" w:lineRule="exact"/>
                          <w:ind w:left="124"/>
                          <w:jc w:val="left"/>
                          <w:rPr>
                            <w:sz w:val="13"/>
                          </w:rPr>
                        </w:pPr>
                        <w:r>
                          <w:rPr>
                            <w:w w:val="103"/>
                            <w:sz w:val="13"/>
                          </w:rPr>
                          <w:t>双</w:t>
                        </w:r>
                      </w:p>
                      <w:p>
                        <w:pPr>
                          <w:pStyle w:val="TableParagraph"/>
                          <w:tabs>
                            <w:tab w:pos="1527" w:val="left" w:leader="none"/>
                          </w:tabs>
                          <w:spacing w:line="162" w:lineRule="exact"/>
                          <w:ind w:left="124"/>
                          <w:jc w:val="left"/>
                          <w:rPr>
                            <w:sz w:val="13"/>
                          </w:rPr>
                        </w:pPr>
                        <w:r>
                          <w:rPr>
                            <w:w w:val="105"/>
                            <w:position w:val="-1"/>
                            <w:sz w:val="13"/>
                          </w:rPr>
                          <w:t>氧</w:t>
                          <w:tab/>
                        </w:r>
                        <w:r>
                          <w:rPr>
                            <w:w w:val="105"/>
                            <w:sz w:val="13"/>
                          </w:rPr>
                          <w:t>液</w:t>
                        </w:r>
                      </w:p>
                      <w:p>
                        <w:pPr>
                          <w:pStyle w:val="TableParagraph"/>
                          <w:tabs>
                            <w:tab w:pos="1527" w:val="left" w:leader="none"/>
                          </w:tabs>
                          <w:spacing w:line="178" w:lineRule="exact"/>
                          <w:ind w:left="124"/>
                          <w:jc w:val="left"/>
                          <w:rPr>
                            <w:sz w:val="13"/>
                          </w:rPr>
                        </w:pPr>
                        <w:r>
                          <w:rPr>
                            <w:w w:val="105"/>
                            <w:position w:val="-1"/>
                            <w:sz w:val="13"/>
                          </w:rPr>
                          <w:t>水</w:t>
                          <w:tab/>
                        </w:r>
                        <w:r>
                          <w:rPr>
                            <w:w w:val="105"/>
                            <w:sz w:val="13"/>
                          </w:rPr>
                          <w:t>碱</w:t>
                        </w:r>
                      </w:p>
                    </w:tc>
                  </w:tr>
                  <w:tr>
                    <w:trPr>
                      <w:trHeight w:val="818" w:hRule="atLeast"/>
                    </w:trPr>
                    <w:tc>
                      <w:tcPr>
                        <w:tcW w:w="2917" w:type="dxa"/>
                        <w:gridSpan w:val="3"/>
                        <w:tcBorders>
                          <w:top w:val="nil"/>
                          <w:bottom w:val="nil"/>
                        </w:tcBorders>
                      </w:tcPr>
                      <w:p>
                        <w:pPr>
                          <w:pStyle w:val="TableParagraph"/>
                          <w:jc w:val="left"/>
                          <w:rPr>
                            <w:b/>
                            <w:sz w:val="23"/>
                          </w:rPr>
                        </w:pPr>
                      </w:p>
                      <w:p>
                        <w:pPr>
                          <w:pStyle w:val="TableParagraph"/>
                          <w:tabs>
                            <w:tab w:pos="1962" w:val="left" w:leader="none"/>
                          </w:tabs>
                          <w:spacing w:line="208" w:lineRule="exact" w:before="1"/>
                          <w:ind w:left="56"/>
                          <w:jc w:val="left"/>
                          <w:rPr>
                            <w:sz w:val="13"/>
                          </w:rPr>
                        </w:pPr>
                        <w:r>
                          <w:rPr>
                            <w:w w:val="105"/>
                            <w:position w:val="8"/>
                            <w:sz w:val="13"/>
                          </w:rPr>
                          <w:t>药</w:t>
                          <w:tab/>
                        </w:r>
                        <w:r>
                          <w:rPr>
                            <w:w w:val="105"/>
                            <w:sz w:val="13"/>
                          </w:rPr>
                          <w:t>铁</w:t>
                        </w:r>
                        <w:r>
                          <w:rPr>
                            <w:spacing w:val="-6"/>
                            <w:w w:val="105"/>
                            <w:sz w:val="13"/>
                          </w:rPr>
                          <w:t>粉</w:t>
                        </w:r>
                        <w:r>
                          <w:rPr>
                            <w:spacing w:val="-3"/>
                            <w:w w:val="105"/>
                            <w:sz w:val="13"/>
                          </w:rPr>
                          <w:t>、</w:t>
                        </w:r>
                        <w:r>
                          <w:rPr>
                            <w:w w:val="105"/>
                            <w:sz w:val="13"/>
                          </w:rPr>
                          <w:t>消</w:t>
                        </w:r>
                        <w:r>
                          <w:rPr>
                            <w:spacing w:val="-9"/>
                            <w:w w:val="105"/>
                            <w:sz w:val="13"/>
                          </w:rPr>
                          <w:t>泡</w:t>
                        </w:r>
                        <w:r>
                          <w:rPr>
                            <w:w w:val="105"/>
                            <w:sz w:val="13"/>
                          </w:rPr>
                          <w:t>剂</w:t>
                        </w:r>
                      </w:p>
                      <w:p>
                        <w:pPr>
                          <w:pStyle w:val="TableParagraph"/>
                          <w:spacing w:line="128" w:lineRule="exact"/>
                          <w:ind w:left="56"/>
                          <w:jc w:val="left"/>
                          <w:rPr>
                            <w:sz w:val="13"/>
                          </w:rPr>
                        </w:pPr>
                        <w:r>
                          <w:rPr>
                            <w:w w:val="103"/>
                            <w:sz w:val="13"/>
                          </w:rPr>
                          <w:t>剂</w:t>
                        </w:r>
                      </w:p>
                    </w:tc>
                    <w:tc>
                      <w:tcPr>
                        <w:tcW w:w="2206" w:type="dxa"/>
                        <w:vMerge/>
                        <w:tcBorders>
                          <w:top w:val="nil"/>
                          <w:bottom w:val="nil"/>
                        </w:tcBorders>
                      </w:tcPr>
                      <w:p>
                        <w:pPr>
                          <w:rPr>
                            <w:sz w:val="2"/>
                            <w:szCs w:val="2"/>
                          </w:rPr>
                        </w:pPr>
                      </w:p>
                    </w:tc>
                  </w:tr>
                </w:tbl>
                <w:p>
                  <w:pPr>
                    <w:pStyle w:val="BodyText"/>
                  </w:pPr>
                </w:p>
              </w:txbxContent>
            </v:textbox>
            <w10:wrap type="none"/>
          </v:shape>
        </w:pict>
      </w:r>
      <w:r>
        <w:rPr>
          <w:spacing w:val="-1"/>
          <w:sz w:val="13"/>
        </w:rPr>
        <w:t>溶液</w:t>
      </w:r>
    </w:p>
    <w:p>
      <w:pPr>
        <w:pStyle w:val="BodyText"/>
        <w:spacing w:before="1"/>
        <w:rPr>
          <w:sz w:val="5"/>
        </w:rPr>
      </w:pPr>
    </w:p>
    <w:p>
      <w:pPr>
        <w:pStyle w:val="BodyText"/>
        <w:spacing w:line="146" w:lineRule="exact"/>
        <w:ind w:left="239"/>
        <w:rPr>
          <w:sz w:val="14"/>
        </w:rPr>
      </w:pPr>
      <w:r>
        <w:rPr>
          <w:position w:val="-2"/>
          <w:sz w:val="14"/>
        </w:rPr>
        <w:pict>
          <v:group style="width:4.95pt;height:7.35pt;mso-position-horizontal-relative:char;mso-position-vertical-relative:line" coordorigin="0,0" coordsize="99,147">
            <v:shape style="position:absolute;left:0;top:0;width:99;height:147" coordorigin="0,0" coordsize="99,147" path="m98,0l0,0,49,147,98,0xe" filled="true" fillcolor="#000000" stroked="false">
              <v:path arrowok="t"/>
              <v:fill type="solid"/>
            </v:shape>
          </v:group>
        </w:pict>
      </w:r>
      <w:r>
        <w:rPr>
          <w:position w:val="-2"/>
          <w:sz w:val="14"/>
        </w:rPr>
      </w:r>
    </w:p>
    <w:p>
      <w:pPr>
        <w:pStyle w:val="BodyText"/>
        <w:ind w:left="-1288"/>
        <w:rPr>
          <w:sz w:val="20"/>
        </w:rPr>
      </w:pPr>
      <w:r>
        <w:rPr>
          <w:sz w:val="20"/>
        </w:rPr>
        <w:pict>
          <v:shape style="width:18.7pt;height:65.25pt;mso-position-horizontal-relative:char;mso-position-vertical-relative:line" type="#_x0000_t202" filled="false" stroked="true" strokeweight=".474756pt" strokecolor="#000000">
            <w10:anchorlock/>
            <v:textbox inset="0,0,0,0">
              <w:txbxContent>
                <w:p>
                  <w:pPr>
                    <w:pStyle w:val="BodyText"/>
                    <w:rPr>
                      <w:sz w:val="13"/>
                    </w:rPr>
                  </w:pPr>
                </w:p>
                <w:p>
                  <w:pPr>
                    <w:spacing w:line="228" w:lineRule="auto" w:before="0"/>
                    <w:ind w:left="109" w:right="94" w:firstLine="0"/>
                    <w:jc w:val="both"/>
                    <w:rPr>
                      <w:rFonts w:ascii="黑体" w:eastAsia="黑体" w:hint="eastAsia"/>
                      <w:sz w:val="15"/>
                    </w:rPr>
                  </w:pPr>
                  <w:r>
                    <w:rPr>
                      <w:rFonts w:ascii="黑体" w:eastAsia="黑体" w:hint="eastAsia"/>
                      <w:sz w:val="16"/>
                    </w:rPr>
                    <w:t>石</w:t>
                  </w:r>
                  <w:r>
                    <w:rPr>
                      <w:rFonts w:ascii="黑体" w:eastAsia="黑体" w:hint="eastAsia"/>
                      <w:sz w:val="15"/>
                    </w:rPr>
                    <w:t>墨</w:t>
                  </w:r>
                  <w:r>
                    <w:rPr>
                      <w:rFonts w:ascii="黑体" w:eastAsia="黑体" w:hint="eastAsia"/>
                      <w:sz w:val="16"/>
                    </w:rPr>
                    <w:t>冷凝</w:t>
                  </w:r>
                  <w:r>
                    <w:rPr>
                      <w:rFonts w:ascii="黑体" w:eastAsia="黑体" w:hint="eastAsia"/>
                      <w:sz w:val="15"/>
                    </w:rPr>
                    <w:t>器</w:t>
                  </w:r>
                </w:p>
              </w:txbxContent>
            </v:textbox>
            <v:stroke dashstyle="solid"/>
          </v:shape>
        </w:pict>
      </w:r>
      <w:r>
        <w:rPr>
          <w:sz w:val="20"/>
        </w:rPr>
      </w:r>
    </w:p>
    <w:p>
      <w:pPr>
        <w:spacing w:after="0"/>
        <w:rPr>
          <w:sz w:val="20"/>
        </w:rPr>
        <w:sectPr>
          <w:type w:val="continuous"/>
          <w:pgSz w:w="11910" w:h="16850"/>
          <w:pgMar w:top="1420" w:bottom="280" w:left="1200" w:right="1080"/>
          <w:cols w:num="3" w:equalWidth="0">
            <w:col w:w="3126" w:space="658"/>
            <w:col w:w="1210" w:space="3621"/>
            <w:col w:w="1015"/>
          </w:cols>
        </w:sectPr>
      </w:pPr>
    </w:p>
    <w:p>
      <w:pPr>
        <w:spacing w:before="105"/>
        <w:ind w:left="472" w:right="115" w:firstLine="0"/>
        <w:jc w:val="center"/>
        <w:rPr>
          <w:sz w:val="13"/>
        </w:rPr>
      </w:pPr>
      <w:r>
        <w:rPr/>
        <w:pict>
          <v:group style="position:absolute;margin-left:75.646606pt;margin-top:-98.260323pt;width:145.6pt;height:101.5pt;mso-position-horizontal-relative:page;mso-position-vertical-relative:paragraph;z-index:251730944" coordorigin="1513,-1965" coordsize="2912,2030">
            <v:shape style="position:absolute;left:2934;top:3374;width:911;height:1361" coordorigin="2934,3375" coordsize="911,1361" path="m3354,-670l3354,-484m3354,-484l3653,-484m3653,-484l3653,-1378m3653,-1378l3955,-1378e" filled="false" stroked="true" strokeweight=".474079pt" strokecolor="#000000">
              <v:path arrowok="t"/>
              <v:stroke dashstyle="solid"/>
            </v:shape>
            <v:shape style="position:absolute;left:3946;top:-1412;width:100;height:67" coordorigin="3946,-1411" coordsize="100,67" path="m3946,-1411l3946,-1345,4046,-1378,3946,-1411xe" filled="true" fillcolor="#000000" stroked="false">
              <v:path arrowok="t"/>
              <v:fill type="solid"/>
            </v:shape>
            <v:shape style="position:absolute;left:2083;top:3715;width:1761;height:1304" coordorigin="2084,3715" coordsize="1761,1304" path="m2793,-670l2793,-298m2793,-298l3728,-298m3728,-298l3728,-1155m3728,-1155l3955,-1155e" filled="false" stroked="true" strokeweight=".474079pt" strokecolor="#000000">
              <v:path arrowok="t"/>
              <v:stroke dashstyle="solid"/>
            </v:shape>
            <v:shape style="position:absolute;left:3946;top:-1188;width:100;height:67" coordorigin="3946,-1188" coordsize="100,67" path="m3946,-1188l3946,-1121,4046,-1155,3946,-1188xe" filled="true" fillcolor="#000000" stroked="false">
              <v:path arrowok="t"/>
              <v:fill type="solid"/>
            </v:shape>
            <v:shape style="position:absolute;left:1233;top:3998;width:2612;height:1304" coordorigin="1233,3999" coordsize="2612,1304" path="m2233,-670l2233,-111m2233,-111l3840,-111m3840,-111l3840,-968m3840,-968l3955,-968e" filled="false" stroked="true" strokeweight=".474079pt" strokecolor="#000000">
              <v:path arrowok="t"/>
              <v:stroke dashstyle="solid"/>
            </v:shape>
            <v:shape style="position:absolute;left:3946;top:-1002;width:100;height:67" coordorigin="3946,-1001" coordsize="100,67" path="m3946,-1001l3946,-935,4046,-968,3946,-1001xe" filled="true" fillcolor="#000000" stroked="false">
              <v:path arrowok="t"/>
              <v:fill type="solid"/>
            </v:shape>
            <v:shape style="position:absolute;left:447;top:4257;width:3410;height:1304" coordorigin="448,4258" coordsize="3410,1304" path="m1714,-579l1714,59m1714,59l3963,59m3963,59l3963,-798e" filled="false" stroked="true" strokeweight=".474079pt" strokecolor="#000000">
              <v:path arrowok="t"/>
              <v:stroke dashstyle="solid"/>
            </v:shape>
            <v:line style="position:absolute" from="3958,-796" to="4051,-796" stroked="true" strokeweight=".670487pt" strokecolor="#000000">
              <v:stroke dashstyle="solid"/>
            </v:line>
            <v:shape style="position:absolute;left:3944;top:-832;width:102;height:67" coordorigin="3945,-832" coordsize="102,67" path="m3948,-832l3945,-766,4046,-794,3948,-832xe" filled="true" fillcolor="#000000" stroked="false">
              <v:path arrowok="t"/>
              <v:fill type="solid"/>
            </v:shape>
            <v:shape style="position:absolute;left:4046;top:-1961;width:374;height:1291" type="#_x0000_t202" filled="false" stroked="true" strokeweight=".474756pt" strokecolor="#000000">
              <v:textbox inset="0,0,0,0">
                <w:txbxContent>
                  <w:p>
                    <w:pPr>
                      <w:spacing w:line="240" w:lineRule="auto" w:before="11"/>
                      <w:rPr>
                        <w:b/>
                        <w:sz w:val="11"/>
                      </w:rPr>
                    </w:pPr>
                  </w:p>
                  <w:p>
                    <w:pPr>
                      <w:spacing w:line="228" w:lineRule="auto" w:before="0"/>
                      <w:ind w:left="105" w:right="98" w:firstLine="0"/>
                      <w:jc w:val="both"/>
                      <w:rPr>
                        <w:rFonts w:ascii="黑体" w:eastAsia="黑体" w:hint="eastAsia"/>
                        <w:sz w:val="15"/>
                      </w:rPr>
                    </w:pPr>
                    <w:r>
                      <w:rPr>
                        <w:rFonts w:ascii="黑体" w:eastAsia="黑体" w:hint="eastAsia"/>
                        <w:sz w:val="16"/>
                      </w:rPr>
                      <w:t>酸</w:t>
                    </w:r>
                    <w:r>
                      <w:rPr>
                        <w:rFonts w:ascii="黑体" w:eastAsia="黑体" w:hint="eastAsia"/>
                        <w:sz w:val="15"/>
                      </w:rPr>
                      <w:t>析</w:t>
                    </w:r>
                    <w:r>
                      <w:rPr>
                        <w:rFonts w:ascii="黑体" w:eastAsia="黑体" w:hint="eastAsia"/>
                        <w:sz w:val="16"/>
                      </w:rPr>
                      <w:t>反应</w:t>
                    </w:r>
                    <w:r>
                      <w:rPr>
                        <w:rFonts w:ascii="黑体" w:eastAsia="黑体" w:hint="eastAsia"/>
                        <w:sz w:val="15"/>
                      </w:rPr>
                      <w:t>釜</w:t>
                    </w:r>
                  </w:p>
                </w:txbxContent>
              </v:textbox>
              <v:stroke dashstyle="solid"/>
              <w10:wrap type="none"/>
            </v:shape>
            <v:shape style="position:absolute;left:1517;top:-1961;width:374;height:1382" type="#_x0000_t202" filled="false" stroked="true" strokeweight=".474766pt" strokecolor="#000000">
              <v:textbox inset="0,0,0,0">
                <w:txbxContent>
                  <w:p>
                    <w:pPr>
                      <w:spacing w:line="230" w:lineRule="auto" w:before="12"/>
                      <w:ind w:left="103" w:right="100" w:firstLine="0"/>
                      <w:jc w:val="both"/>
                      <w:rPr>
                        <w:sz w:val="15"/>
                      </w:rPr>
                    </w:pPr>
                    <w:r>
                      <w:rPr>
                        <w:sz w:val="16"/>
                      </w:rPr>
                      <w:t>分液</w:t>
                    </w:r>
                    <w:r>
                      <w:rPr>
                        <w:sz w:val="15"/>
                      </w:rPr>
                      <w:t>废水</w:t>
                    </w:r>
                    <w:r>
                      <w:rPr>
                        <w:sz w:val="16"/>
                      </w:rPr>
                      <w:t>预处</w:t>
                    </w:r>
                    <w:r>
                      <w:rPr>
                        <w:sz w:val="15"/>
                      </w:rPr>
                      <w:t>理</w:t>
                    </w:r>
                  </w:p>
                </w:txbxContent>
              </v:textbox>
              <v:stroke dashstyle="solid"/>
              <w10:wrap type="none"/>
            </v:shape>
            <v:shape style="position:absolute;left:2606;top:-1938;width:374;height:1268" type="#_x0000_t202" filled="false" stroked="true" strokeweight=".47475pt" strokecolor="#000000">
              <v:textbox inset="0,0,0,0">
                <w:txbxContent>
                  <w:p>
                    <w:pPr>
                      <w:spacing w:line="240" w:lineRule="auto" w:before="4"/>
                      <w:rPr>
                        <w:b/>
                        <w:sz w:val="11"/>
                      </w:rPr>
                    </w:pPr>
                  </w:p>
                  <w:p>
                    <w:pPr>
                      <w:spacing w:line="232" w:lineRule="auto" w:before="0"/>
                      <w:ind w:left="104" w:right="99" w:firstLine="0"/>
                      <w:jc w:val="both"/>
                      <w:rPr>
                        <w:sz w:val="15"/>
                      </w:rPr>
                    </w:pPr>
                    <w:r>
                      <w:rPr>
                        <w:w w:val="105"/>
                        <w:sz w:val="15"/>
                      </w:rPr>
                      <w:t>酸性</w:t>
                    </w:r>
                    <w:r>
                      <w:rPr>
                        <w:sz w:val="16"/>
                      </w:rPr>
                      <w:t>废水</w:t>
                    </w:r>
                    <w:r>
                      <w:rPr>
                        <w:w w:val="105"/>
                        <w:sz w:val="15"/>
                      </w:rPr>
                      <w:t>池</w:t>
                    </w:r>
                  </w:p>
                </w:txbxContent>
              </v:textbox>
              <v:stroke dashstyle="solid"/>
              <w10:wrap type="none"/>
            </v:shape>
            <v:shape style="position:absolute;left:3167;top:-1938;width:374;height:1268" type="#_x0000_t202" filled="false" stroked="true" strokeweight=".47475pt" strokecolor="#000000">
              <v:textbox inset="0,0,0,0">
                <w:txbxContent>
                  <w:p>
                    <w:pPr>
                      <w:spacing w:line="240" w:lineRule="auto" w:before="4"/>
                      <w:rPr>
                        <w:b/>
                        <w:sz w:val="11"/>
                      </w:rPr>
                    </w:pPr>
                  </w:p>
                  <w:p>
                    <w:pPr>
                      <w:spacing w:line="232" w:lineRule="auto" w:before="0"/>
                      <w:ind w:left="104" w:right="98" w:firstLine="0"/>
                      <w:jc w:val="both"/>
                      <w:rPr>
                        <w:sz w:val="15"/>
                      </w:rPr>
                    </w:pPr>
                    <w:r>
                      <w:rPr>
                        <w:w w:val="105"/>
                        <w:sz w:val="15"/>
                      </w:rPr>
                      <w:t>碱性</w:t>
                    </w:r>
                    <w:r>
                      <w:rPr>
                        <w:sz w:val="16"/>
                      </w:rPr>
                      <w:t>废水</w:t>
                    </w:r>
                    <w:r>
                      <w:rPr>
                        <w:w w:val="105"/>
                        <w:sz w:val="15"/>
                      </w:rPr>
                      <w:t>池</w:t>
                    </w:r>
                  </w:p>
                </w:txbxContent>
              </v:textbox>
              <v:stroke dashstyle="solid"/>
              <w10:wrap type="none"/>
            </v:shape>
            <v:shape style="position:absolute;left:2045;top:-1938;width:374;height:1268" type="#_x0000_t202" filled="false" stroked="true" strokeweight=".47475pt" strokecolor="#000000">
              <v:textbox inset="0,0,0,0">
                <w:txbxContent>
                  <w:p>
                    <w:pPr>
                      <w:spacing w:line="240" w:lineRule="auto" w:before="4"/>
                      <w:rPr>
                        <w:b/>
                        <w:sz w:val="11"/>
                      </w:rPr>
                    </w:pPr>
                  </w:p>
                  <w:p>
                    <w:pPr>
                      <w:spacing w:line="232" w:lineRule="auto" w:before="0"/>
                      <w:ind w:left="103" w:right="100" w:firstLine="0"/>
                      <w:jc w:val="both"/>
                      <w:rPr>
                        <w:sz w:val="15"/>
                      </w:rPr>
                    </w:pPr>
                    <w:r>
                      <w:rPr>
                        <w:w w:val="105"/>
                        <w:sz w:val="15"/>
                      </w:rPr>
                      <w:t>还原</w:t>
                    </w:r>
                    <w:r>
                      <w:rPr>
                        <w:sz w:val="16"/>
                      </w:rPr>
                      <w:t>废水</w:t>
                    </w:r>
                    <w:r>
                      <w:rPr>
                        <w:w w:val="105"/>
                        <w:sz w:val="15"/>
                      </w:rPr>
                      <w:t>池</w:t>
                    </w:r>
                  </w:p>
                </w:txbxContent>
              </v:textbox>
              <v:stroke dashstyle="solid"/>
              <w10:wrap type="none"/>
            </v:shape>
            <w10:wrap type="none"/>
          </v:group>
        </w:pict>
      </w:r>
      <w:r>
        <w:rPr/>
        <w:pict>
          <v:group style="position:absolute;margin-left:463.806976pt;margin-top:-98.961342pt;width:56.6pt;height:196.15pt;mso-position-horizontal-relative:page;mso-position-vertical-relative:paragraph;z-index:-317840384" coordorigin="9276,-1979" coordsize="1132,3923">
            <v:line style="position:absolute" from="10216,-670" to="10216,618" stroked="true" strokeweight=".474875pt" strokecolor="#000000">
              <v:stroke dashstyle="solid"/>
            </v:line>
            <v:shape style="position:absolute;left:10182;top:609;width:67;height:100" coordorigin="10182,609" coordsize="67,100" path="m10249,609l10182,609,10216,709,10249,609xe" filled="true" fillcolor="#000000" stroked="false">
              <v:path arrowok="t"/>
              <v:fill type="solid"/>
            </v:shape>
            <v:line style="position:absolute" from="10075,-553" to="10075,-372" stroked="true" strokeweight=".474875pt" strokecolor="#000000">
              <v:stroke dashstyle="solid"/>
            </v:line>
            <v:shape style="position:absolute;left:10032;top:-671;width:86;height:128" coordorigin="10033,-670" coordsize="86,128" path="m10075,-670l10033,-542,10118,-542,10075,-670xe" filled="true" fillcolor="#000000" stroked="false">
              <v:path arrowok="t"/>
              <v:fill type="solid"/>
            </v:shape>
            <v:line style="position:absolute" from="9452,-553" to="9452,-372" stroked="true" strokeweight=".474875pt" strokecolor="#000000">
              <v:stroke dashstyle="solid"/>
            </v:line>
            <v:shape style="position:absolute;left:9409;top:-671;width:86;height:128" coordorigin="9409,-670" coordsize="86,128" path="m9452,-670l9409,-542,9495,-542,9452,-670xe" filled="true" fillcolor="#000000" stroked="false">
              <v:path arrowok="t"/>
              <v:fill type="solid"/>
            </v:shape>
            <v:line style="position:absolute" from="9452,-372" to="10075,-372" stroked="true" strokeweight=".473282pt" strokecolor="#000000">
              <v:stroke dashstyle="solid"/>
            </v:line>
            <v:shape style="position:absolute;left:9409;top:-671;width:840;height:1379" type="#_x0000_t202" filled="false" stroked="false">
              <v:textbox inset="0,0,0,0">
                <w:txbxContent>
                  <w:p>
                    <w:pPr>
                      <w:spacing w:line="240" w:lineRule="auto" w:before="0"/>
                      <w:rPr>
                        <w:b/>
                        <w:sz w:val="14"/>
                      </w:rPr>
                    </w:pPr>
                  </w:p>
                  <w:p>
                    <w:pPr>
                      <w:spacing w:line="240" w:lineRule="auto" w:before="9"/>
                      <w:rPr>
                        <w:b/>
                        <w:sz w:val="11"/>
                      </w:rPr>
                    </w:pPr>
                  </w:p>
                  <w:p>
                    <w:pPr>
                      <w:spacing w:before="0"/>
                      <w:ind w:left="221" w:right="0" w:firstLine="0"/>
                      <w:jc w:val="left"/>
                      <w:rPr>
                        <w:rFonts w:ascii="Times New Roman"/>
                        <w:sz w:val="13"/>
                      </w:rPr>
                    </w:pPr>
                    <w:r>
                      <w:rPr>
                        <w:rFonts w:ascii="Times New Roman"/>
                        <w:spacing w:val="-3"/>
                        <w:w w:val="105"/>
                        <w:sz w:val="13"/>
                      </w:rPr>
                      <w:t>PAM</w:t>
                    </w:r>
                  </w:p>
                  <w:p>
                    <w:pPr>
                      <w:spacing w:before="11"/>
                      <w:ind w:left="232" w:right="0" w:firstLine="0"/>
                      <w:jc w:val="left"/>
                      <w:rPr>
                        <w:sz w:val="13"/>
                      </w:rPr>
                    </w:pPr>
                    <w:r>
                      <w:rPr>
                        <w:sz w:val="13"/>
                      </w:rPr>
                      <w:t>溶液</w:t>
                    </w:r>
                  </w:p>
                  <w:p>
                    <w:pPr>
                      <w:spacing w:line="240" w:lineRule="auto" w:before="8"/>
                      <w:rPr>
                        <w:b/>
                        <w:sz w:val="11"/>
                      </w:rPr>
                    </w:pPr>
                  </w:p>
                  <w:p>
                    <w:pPr>
                      <w:spacing w:before="0"/>
                      <w:ind w:left="63" w:right="0" w:firstLine="0"/>
                      <w:jc w:val="left"/>
                      <w:rPr>
                        <w:sz w:val="13"/>
                      </w:rPr>
                    </w:pPr>
                    <w:r>
                      <w:rPr>
                        <w:sz w:val="13"/>
                      </w:rPr>
                      <w:t>其他</w:t>
                    </w:r>
                  </w:p>
                  <w:p>
                    <w:pPr>
                      <w:spacing w:before="3"/>
                      <w:ind w:left="63" w:right="0" w:firstLine="0"/>
                      <w:jc w:val="left"/>
                      <w:rPr>
                        <w:sz w:val="13"/>
                      </w:rPr>
                    </w:pPr>
                    <w:r>
                      <w:rPr>
                        <w:sz w:val="13"/>
                      </w:rPr>
                      <w:t>废水</w:t>
                    </w:r>
                  </w:p>
                </w:txbxContent>
              </v:textbox>
              <w10:wrap type="none"/>
            </v:shape>
            <v:shape style="position:absolute;left:10028;top:708;width:374;height:1230" type="#_x0000_t202" filled="false" stroked="true" strokeweight=".474742pt" strokecolor="#000000">
              <v:textbox inset="0,0,0,0">
                <w:txbxContent>
                  <w:p>
                    <w:pPr>
                      <w:spacing w:line="228" w:lineRule="auto" w:before="132"/>
                      <w:ind w:left="110" w:right="93" w:firstLine="0"/>
                      <w:jc w:val="both"/>
                      <w:rPr>
                        <w:rFonts w:ascii="黑体" w:eastAsia="黑体" w:hint="eastAsia"/>
                        <w:sz w:val="16"/>
                      </w:rPr>
                    </w:pPr>
                    <w:r>
                      <w:rPr>
                        <w:rFonts w:ascii="黑体" w:eastAsia="黑体" w:hint="eastAsia"/>
                        <w:sz w:val="16"/>
                      </w:rPr>
                      <w:t>中和</w:t>
                    </w:r>
                    <w:r>
                      <w:rPr>
                        <w:rFonts w:ascii="黑体" w:eastAsia="黑体" w:hint="eastAsia"/>
                        <w:sz w:val="15"/>
                      </w:rPr>
                      <w:t>离心</w:t>
                    </w:r>
                    <w:r>
                      <w:rPr>
                        <w:rFonts w:ascii="黑体" w:eastAsia="黑体" w:hint="eastAsia"/>
                        <w:sz w:val="16"/>
                      </w:rPr>
                      <w:t>机</w:t>
                    </w:r>
                  </w:p>
                </w:txbxContent>
              </v:textbox>
              <v:stroke dashstyle="solid"/>
              <w10:wrap type="none"/>
            </v:shape>
            <v:shape style="position:absolute;left:10028;top:-1975;width:374;height:1305" type="#_x0000_t202" filled="false" stroked="true" strokeweight=".474756pt" strokecolor="#000000">
              <v:textbox inset="0,0,0,0">
                <w:txbxContent>
                  <w:p>
                    <w:pPr>
                      <w:spacing w:line="240" w:lineRule="auto" w:before="0"/>
                      <w:rPr>
                        <w:b/>
                        <w:sz w:val="13"/>
                      </w:rPr>
                    </w:pPr>
                  </w:p>
                  <w:p>
                    <w:pPr>
                      <w:spacing w:line="228" w:lineRule="auto" w:before="0"/>
                      <w:ind w:left="110" w:right="93" w:firstLine="0"/>
                      <w:jc w:val="both"/>
                      <w:rPr>
                        <w:rFonts w:ascii="黑体" w:eastAsia="黑体" w:hint="eastAsia"/>
                        <w:sz w:val="15"/>
                      </w:rPr>
                    </w:pPr>
                    <w:r>
                      <w:rPr>
                        <w:rFonts w:ascii="黑体" w:eastAsia="黑体" w:hint="eastAsia"/>
                        <w:sz w:val="16"/>
                      </w:rPr>
                      <w:t>中</w:t>
                    </w:r>
                    <w:r>
                      <w:rPr>
                        <w:rFonts w:ascii="黑体" w:eastAsia="黑体" w:hint="eastAsia"/>
                        <w:sz w:val="15"/>
                      </w:rPr>
                      <w:t>和</w:t>
                    </w:r>
                    <w:r>
                      <w:rPr>
                        <w:rFonts w:ascii="黑体" w:eastAsia="黑体" w:hint="eastAsia"/>
                        <w:sz w:val="16"/>
                      </w:rPr>
                      <w:t>絮凝</w:t>
                    </w:r>
                    <w:r>
                      <w:rPr>
                        <w:rFonts w:ascii="黑体" w:eastAsia="黑体" w:hint="eastAsia"/>
                        <w:sz w:val="15"/>
                      </w:rPr>
                      <w:t>池</w:t>
                    </w:r>
                  </w:p>
                </w:txbxContent>
              </v:textbox>
              <v:stroke dashstyle="solid"/>
              <w10:wrap type="none"/>
            </v:shape>
            <v:shape style="position:absolute;left:9280;top:-1975;width:374;height:1305" type="#_x0000_t202" filled="false" stroked="true" strokeweight=".474756pt" strokecolor="#000000">
              <v:textbox inset="0,0,0,0">
                <w:txbxContent>
                  <w:p>
                    <w:pPr>
                      <w:spacing w:line="240" w:lineRule="auto" w:before="0"/>
                      <w:rPr>
                        <w:b/>
                        <w:sz w:val="16"/>
                      </w:rPr>
                    </w:pPr>
                  </w:p>
                  <w:p>
                    <w:pPr>
                      <w:spacing w:line="240" w:lineRule="auto" w:before="9"/>
                      <w:rPr>
                        <w:b/>
                        <w:sz w:val="12"/>
                      </w:rPr>
                    </w:pPr>
                  </w:p>
                  <w:p>
                    <w:pPr>
                      <w:spacing w:line="223" w:lineRule="auto" w:before="1"/>
                      <w:ind w:left="109" w:right="94" w:firstLine="0"/>
                      <w:jc w:val="both"/>
                      <w:rPr>
                        <w:rFonts w:ascii="黑体" w:eastAsia="黑体" w:hint="eastAsia"/>
                        <w:sz w:val="16"/>
                      </w:rPr>
                    </w:pPr>
                    <w:r>
                      <w:rPr>
                        <w:rFonts w:ascii="黑体" w:eastAsia="黑体" w:hint="eastAsia"/>
                        <w:sz w:val="15"/>
                      </w:rPr>
                      <w:t>中</w:t>
                    </w:r>
                    <w:r>
                      <w:rPr>
                        <w:rFonts w:ascii="黑体" w:eastAsia="黑体" w:hint="eastAsia"/>
                        <w:sz w:val="16"/>
                      </w:rPr>
                      <w:t>和池</w:t>
                    </w:r>
                  </w:p>
                </w:txbxContent>
              </v:textbox>
              <v:stroke dashstyle="solid"/>
              <w10:wrap type="none"/>
            </v:shape>
            <w10:wrap type="none"/>
          </v:group>
        </w:pict>
      </w:r>
      <w:r>
        <w:rPr/>
        <w:pict>
          <v:group style="position:absolute;margin-left:477.327667pt;margin-top:24.725819pt;width:3.35pt;height:14.95pt;mso-position-horizontal-relative:page;mso-position-vertical-relative:paragraph;z-index:-317828096" coordorigin="9547,495" coordsize="67,299">
            <v:line style="position:absolute" from="9580,495" to="9580,702" stroked="true" strokeweight=".474875pt" strokecolor="#000000">
              <v:stroke dashstyle="solid"/>
            </v:line>
            <v:shape style="position:absolute;left:9546;top:693;width:67;height:100" coordorigin="9547,693" coordsize="67,100" path="m9613,693l9547,693,9580,793,9613,693xe" filled="true" fillcolor="#000000" stroked="false">
              <v:path arrowok="t"/>
              <v:fill type="solid"/>
            </v:shape>
            <w10:wrap type="none"/>
          </v:group>
        </w:pict>
      </w:r>
      <w:r>
        <w:rPr>
          <w:w w:val="105"/>
          <w:sz w:val="13"/>
        </w:rPr>
        <w:t>离心出水</w:t>
      </w:r>
    </w:p>
    <w:p>
      <w:pPr>
        <w:tabs>
          <w:tab w:pos="8954" w:val="left" w:leader="none"/>
        </w:tabs>
        <w:spacing w:line="240" w:lineRule="auto"/>
        <w:ind w:left="720" w:right="0" w:firstLine="0"/>
        <w:rPr>
          <w:sz w:val="20"/>
        </w:rPr>
      </w:pPr>
      <w:r>
        <w:rPr>
          <w:position w:val="34"/>
          <w:sz w:val="20"/>
        </w:rPr>
        <w:pict>
          <v:group style="width:387pt;height:85.75pt;mso-position-horizontal-relative:char;mso-position-vertical-relative:line" coordorigin="0,0" coordsize="7740,1715">
            <v:line style="position:absolute" from="33,499" to="33,105" stroked="true" strokeweight=".474875pt" strokecolor="#000000">
              <v:stroke dashstyle="solid"/>
            </v:line>
            <v:shape style="position:absolute;left:0;top:14;width:67;height:100" coordorigin="0,14" coordsize="67,100" path="m33,14l0,114,66,114,33,14xe" filled="true" fillcolor="#000000" stroked="false">
              <v:path arrowok="t"/>
              <v:fill type="solid"/>
            </v:shape>
            <v:line style="position:absolute" from="33,5" to="7435,14" stroked="true" strokeweight=".473282pt" strokecolor="#000000">
              <v:stroke dashstyle="solid"/>
            </v:line>
            <v:line style="position:absolute" from="7435,14" to="7435,445" stroked="true" strokeweight=".474875pt" strokecolor="#000000">
              <v:stroke dashstyle="solid"/>
            </v:line>
            <v:shape style="position:absolute;left:7401;top:436;width:67;height:100" coordorigin="7402,437" coordsize="67,100" path="m7468,437l7402,437,7435,536,7468,437xe" filled="true" fillcolor="#000000" stroked="false">
              <v:path arrowok="t"/>
              <v:fill type="solid"/>
            </v:shape>
            <v:line style="position:absolute" from="824,499" to="1116,353" stroked="true" strokeweight=".473599pt" strokecolor="#000000">
              <v:stroke dashstyle="solid"/>
            </v:line>
            <v:shape style="position:absolute;left:1094;top:312;width:105;height:75" coordorigin="1094,312" coordsize="105,75" path="m1198,312l1094,327,1124,387,1198,312xe" filled="true" fillcolor="#000000" stroked="false">
              <v:path arrowok="t"/>
              <v:fill type="solid"/>
            </v:shape>
            <v:line style="position:absolute" from="4042,228" to="3907,424" stroked="true" strokeweight=".47436pt" strokecolor="#000000">
              <v:stroke dashstyle="solid"/>
            </v:line>
            <v:shape style="position:absolute;left:3854;top:398;width:84;height:101" coordorigin="3855,398" coordsize="84,101" path="m3884,398l3855,499,3939,436,3884,398xe" filled="true" fillcolor="#000000" stroked="false">
              <v:path arrowok="t"/>
              <v:fill type="solid"/>
            </v:shape>
            <v:shape style="position:absolute;left:1218;top:207;width:812;height:135" type="#_x0000_t202" filled="false" stroked="false">
              <v:textbox inset="0,0,0,0">
                <w:txbxContent>
                  <w:p>
                    <w:pPr>
                      <w:spacing w:line="134" w:lineRule="exact" w:before="0"/>
                      <w:ind w:left="0" w:right="0" w:firstLine="0"/>
                      <w:jc w:val="left"/>
                      <w:rPr>
                        <w:sz w:val="13"/>
                      </w:rPr>
                    </w:pPr>
                    <w:r>
                      <w:rPr>
                        <w:spacing w:val="-5"/>
                        <w:w w:val="105"/>
                        <w:sz w:val="13"/>
                      </w:rPr>
                      <w:t>废水达标纳管</w:t>
                    </w:r>
                  </w:p>
                </w:txbxContent>
              </v:textbox>
              <w10:wrap type="none"/>
            </v:shape>
            <v:shape style="position:absolute;left:4118;top:129;width:794;height:149" type="#_x0000_t202" filled="false" stroked="false">
              <v:textbox inset="0,0,0,0">
                <w:txbxContent>
                  <w:p>
                    <w:pPr>
                      <w:spacing w:line="149" w:lineRule="exact" w:before="0"/>
                      <w:ind w:left="0" w:right="0" w:firstLine="0"/>
                      <w:jc w:val="left"/>
                      <w:rPr>
                        <w:sz w:val="13"/>
                      </w:rPr>
                    </w:pPr>
                    <w:r>
                      <w:rPr>
                        <w:spacing w:val="-3"/>
                        <w:w w:val="105"/>
                        <w:sz w:val="13"/>
                      </w:rPr>
                      <w:t>碳源、</w:t>
                    </w:r>
                    <w:r>
                      <w:rPr>
                        <w:rFonts w:ascii="Times New Roman" w:eastAsia="Times New Roman"/>
                        <w:spacing w:val="-3"/>
                        <w:w w:val="105"/>
                        <w:sz w:val="13"/>
                      </w:rPr>
                      <w:t>96%</w:t>
                    </w:r>
                    <w:r>
                      <w:rPr>
                        <w:w w:val="105"/>
                        <w:sz w:val="13"/>
                      </w:rPr>
                      <w:t>酸</w:t>
                    </w:r>
                  </w:p>
                </w:txbxContent>
              </v:textbox>
              <w10:wrap type="none"/>
            </v:shape>
            <v:shape style="position:absolute;left:7360;top:535;width:374;height:1156" type="#_x0000_t202" filled="false" stroked="true" strokeweight=".474726pt" strokecolor="#000000">
              <v:textbox inset="0,0,0,0">
                <w:txbxContent>
                  <w:p>
                    <w:pPr>
                      <w:spacing w:line="240" w:lineRule="auto" w:before="6"/>
                      <w:rPr>
                        <w:sz w:val="22"/>
                      </w:rPr>
                    </w:pPr>
                  </w:p>
                  <w:p>
                    <w:pPr>
                      <w:spacing w:line="223" w:lineRule="auto" w:before="0"/>
                      <w:ind w:left="109" w:right="94" w:firstLine="0"/>
                      <w:jc w:val="both"/>
                      <w:rPr>
                        <w:rFonts w:ascii="黑体" w:eastAsia="黑体" w:hint="eastAsia"/>
                        <w:sz w:val="16"/>
                      </w:rPr>
                    </w:pPr>
                    <w:r>
                      <w:rPr>
                        <w:rFonts w:ascii="黑体" w:eastAsia="黑体" w:hint="eastAsia"/>
                        <w:sz w:val="16"/>
                      </w:rPr>
                      <w:t>调节池</w:t>
                    </w:r>
                  </w:p>
                </w:txbxContent>
              </v:textbox>
              <v:stroke dashstyle="solid"/>
              <w10:wrap type="none"/>
            </v:shape>
            <v:shape style="position:absolute;left:6604;top:546;width:374;height:1156" type="#_x0000_t202" filled="false" stroked="true" strokeweight=".474726pt" strokecolor="#000000">
              <v:textbox inset="0,0,0,0">
                <w:txbxContent>
                  <w:p>
                    <w:pPr>
                      <w:spacing w:line="240" w:lineRule="auto" w:before="2"/>
                      <w:rPr>
                        <w:sz w:val="23"/>
                      </w:rPr>
                    </w:pPr>
                  </w:p>
                  <w:p>
                    <w:pPr>
                      <w:spacing w:line="223" w:lineRule="auto" w:before="1"/>
                      <w:ind w:left="109" w:right="94" w:firstLine="0"/>
                      <w:jc w:val="both"/>
                      <w:rPr>
                        <w:rFonts w:ascii="黑体" w:eastAsia="黑体" w:hint="eastAsia"/>
                        <w:sz w:val="16"/>
                      </w:rPr>
                    </w:pPr>
                    <w:r>
                      <w:rPr>
                        <w:rFonts w:ascii="黑体" w:eastAsia="黑体" w:hint="eastAsia"/>
                        <w:sz w:val="15"/>
                      </w:rPr>
                      <w:t>过</w:t>
                    </w:r>
                    <w:r>
                      <w:rPr>
                        <w:rFonts w:ascii="黑体" w:eastAsia="黑体" w:hint="eastAsia"/>
                        <w:sz w:val="16"/>
                      </w:rPr>
                      <w:t>滤器</w:t>
                    </w:r>
                  </w:p>
                </w:txbxContent>
              </v:textbox>
              <v:stroke dashstyle="solid"/>
              <w10:wrap type="none"/>
            </v:shape>
            <v:shape style="position:absolute;left:5871;top:517;width:374;height:1193" type="#_x0000_t202" filled="false" stroked="true" strokeweight=".474735pt" strokecolor="#000000">
              <v:textbox inset="0,0,0,0">
                <w:txbxContent>
                  <w:p>
                    <w:pPr>
                      <w:spacing w:line="225" w:lineRule="auto" w:before="125"/>
                      <w:ind w:left="108" w:right="95" w:firstLine="0"/>
                      <w:jc w:val="both"/>
                      <w:rPr>
                        <w:rFonts w:ascii="黑体" w:eastAsia="黑体" w:hint="eastAsia"/>
                        <w:sz w:val="15"/>
                      </w:rPr>
                    </w:pPr>
                    <w:r>
                      <w:rPr>
                        <w:rFonts w:ascii="黑体" w:eastAsia="黑体" w:hint="eastAsia"/>
                        <w:sz w:val="15"/>
                      </w:rPr>
                      <w:t>石</w:t>
                    </w:r>
                    <w:r>
                      <w:rPr>
                        <w:rFonts w:ascii="黑体" w:eastAsia="黑体" w:hint="eastAsia"/>
                        <w:sz w:val="16"/>
                      </w:rPr>
                      <w:t>墨冷凝</w:t>
                    </w:r>
                    <w:r>
                      <w:rPr>
                        <w:rFonts w:ascii="黑体" w:eastAsia="黑体" w:hint="eastAsia"/>
                        <w:sz w:val="15"/>
                      </w:rPr>
                      <w:t>器</w:t>
                    </w:r>
                  </w:p>
                </w:txbxContent>
              </v:textbox>
              <v:stroke dashstyle="solid"/>
              <w10:wrap type="none"/>
            </v:shape>
          </v:group>
        </w:pict>
      </w:r>
      <w:r>
        <w:rPr>
          <w:position w:val="34"/>
          <w:sz w:val="20"/>
        </w:rPr>
      </w:r>
      <w:r>
        <w:rPr>
          <w:position w:val="34"/>
          <w:sz w:val="20"/>
        </w:rPr>
        <w:tab/>
      </w:r>
      <w:r>
        <w:rPr>
          <w:sz w:val="20"/>
        </w:rPr>
        <w:pict>
          <v:group style="width:4.3pt;height:18.650pt;mso-position-horizontal-relative:char;mso-position-vertical-relative:line" coordorigin="0,0" coordsize="86,373">
            <v:line style="position:absolute" from="43,0" to="43,256" stroked="true" strokeweight=".474875pt" strokecolor="#800000">
              <v:stroke dashstyle="solid"/>
            </v:line>
            <v:shape style="position:absolute;left:0;top:244;width:86;height:128" coordorigin="0,245" coordsize="86,128" path="m85,245l0,245,43,373,85,245xe" filled="true" fillcolor="#800000" stroked="false">
              <v:path arrowok="t"/>
              <v:fill type="solid"/>
            </v:shape>
          </v:group>
        </w:pict>
      </w:r>
      <w:r>
        <w:rPr>
          <w:sz w:val="20"/>
        </w:rPr>
      </w:r>
    </w:p>
    <w:p>
      <w:pPr>
        <w:spacing w:after="0" w:line="240" w:lineRule="auto"/>
        <w:rPr>
          <w:sz w:val="20"/>
        </w:rPr>
        <w:sectPr>
          <w:type w:val="continuous"/>
          <w:pgSz w:w="11910" w:h="16850"/>
          <w:pgMar w:top="1420" w:bottom="280" w:left="1200" w:right="1080"/>
        </w:sectPr>
      </w:pPr>
    </w:p>
    <w:p>
      <w:pPr>
        <w:tabs>
          <w:tab w:pos="4072" w:val="left" w:leader="none"/>
        </w:tabs>
        <w:spacing w:line="189" w:lineRule="exact" w:before="0"/>
        <w:ind w:left="352" w:right="0" w:firstLine="0"/>
        <w:jc w:val="left"/>
        <w:rPr>
          <w:sz w:val="13"/>
        </w:rPr>
      </w:pPr>
      <w:r>
        <w:rPr/>
        <w:pict>
          <v:group style="position:absolute;margin-left:482.735962pt;margin-top:-50.266449pt;width:18.7pt;height:3.35pt;mso-position-horizontal-relative:page;mso-position-vertical-relative:paragraph;z-index:251749376" coordorigin="9655,-1005" coordsize="374,67">
            <v:line style="position:absolute" from="10029,-972" to="9746,-972" stroked="true" strokeweight=".473282pt" strokecolor="#000000">
              <v:stroke dashstyle="solid"/>
            </v:line>
            <v:shape style="position:absolute;left:9654;top:-1006;width:100;height:67" coordorigin="9655,-1005" coordsize="100,67" path="m9754,-1005l9655,-972,9754,-939,9754,-1005xe" filled="true" fillcolor="#000000" stroked="false">
              <v:path arrowok="t"/>
              <v:fill type="solid"/>
            </v:shape>
            <w10:wrap type="none"/>
          </v:group>
        </w:pict>
      </w:r>
      <w:r>
        <w:rPr/>
        <w:pict>
          <v:group style="position:absolute;margin-left:407.560608pt;margin-top:-48.859753pt;width:18.7pt;height:3.35pt;mso-position-horizontal-relative:page;mso-position-vertical-relative:paragraph;z-index:-317835264" coordorigin="8151,-977" coordsize="374,67">
            <v:line style="position:absolute" from="8525,-944" to="8243,-944" stroked="true" strokeweight=".473282pt" strokecolor="#000000">
              <v:stroke dashstyle="solid"/>
            </v:line>
            <v:shape style="position:absolute;left:8151;top:-978;width:100;height:67" coordorigin="8151,-977" coordsize="100,67" path="m8251,-977l8151,-944,8251,-911,8251,-977xe" filled="true" fillcolor="#000000" stroked="false">
              <v:path arrowok="t"/>
              <v:fill type="solid"/>
            </v:shape>
            <w10:wrap type="none"/>
          </v:group>
        </w:pict>
      </w:r>
      <w:r>
        <w:rPr/>
        <w:pict>
          <v:group style="position:absolute;margin-left:371.113953pt;margin-top:-50.266457pt;width:18.7pt;height:3.35pt;mso-position-horizontal-relative:page;mso-position-vertical-relative:paragraph;z-index:-317834240" coordorigin="7422,-1005" coordsize="374,67">
            <v:line style="position:absolute" from="7796,-972" to="7514,-972" stroked="true" strokeweight=".473282pt" strokecolor="#000000">
              <v:stroke dashstyle="solid"/>
            </v:line>
            <v:shape style="position:absolute;left:7422;top:-1006;width:100;height:67" coordorigin="7422,-1005" coordsize="100,67" path="m7522,-1005l7422,-972,7522,-939,7522,-1005xe" filled="true" fillcolor="#000000" stroked="false">
              <v:path arrowok="t"/>
              <v:fill type="solid"/>
            </v:shape>
            <w10:wrap type="none"/>
          </v:group>
        </w:pict>
      </w:r>
      <w:r>
        <w:rPr/>
        <w:pict>
          <v:group style="position:absolute;margin-left:333.724152pt;margin-top:-50.26646pt;width:18.7pt;height:3.35pt;mso-position-horizontal-relative:page;mso-position-vertical-relative:paragraph;z-index:-317833216" coordorigin="6674,-1005" coordsize="374,67">
            <v:line style="position:absolute" from="7048,-972" to="6766,-972" stroked="true" strokeweight=".473282pt" strokecolor="#000000">
              <v:stroke dashstyle="solid"/>
            </v:line>
            <v:shape style="position:absolute;left:6674;top:-1006;width:100;height:67" coordorigin="6674,-1005" coordsize="100,67" path="m6774,-1005l6674,-972,6774,-939,6774,-1005xe" filled="true" fillcolor="#000000" stroked="false">
              <v:path arrowok="t"/>
              <v:fill type="solid"/>
            </v:shape>
            <w10:wrap type="none"/>
          </v:group>
        </w:pict>
      </w:r>
      <w:r>
        <w:rPr/>
        <w:pict>
          <v:group style="position:absolute;margin-left:296.334351pt;margin-top:-50.26646pt;width:18.7pt;height:3.35pt;mso-position-horizontal-relative:page;mso-position-vertical-relative:paragraph;z-index:-317832192" coordorigin="5927,-1005" coordsize="374,67">
            <v:line style="position:absolute" from="6301,-972" to="6018,-972" stroked="true" strokeweight=".473282pt" strokecolor="#000000">
              <v:stroke dashstyle="solid"/>
            </v:line>
            <v:shape style="position:absolute;left:5926;top:-1006;width:100;height:67" coordorigin="5927,-1005" coordsize="100,67" path="m6026,-1005l5927,-972,6026,-939,6026,-1005xe" filled="true" fillcolor="#000000" stroked="false">
              <v:path arrowok="t"/>
              <v:fill type="solid"/>
            </v:shape>
            <w10:wrap type="none"/>
          </v:group>
        </w:pict>
      </w:r>
      <w:r>
        <w:rPr/>
        <w:pict>
          <v:group style="position:absolute;margin-left:258.937927pt;margin-top:-50.266464pt;width:18.7pt;height:3.35pt;mso-position-horizontal-relative:page;mso-position-vertical-relative:paragraph;z-index:-317831168" coordorigin="5179,-1005" coordsize="374,67">
            <v:line style="position:absolute" from="5553,-972" to="5270,-972" stroked="true" strokeweight=".473282pt" strokecolor="#000000">
              <v:stroke dashstyle="solid"/>
            </v:line>
            <v:shape style="position:absolute;left:5178;top:-1006;width:100;height:67" coordorigin="5179,-1005" coordsize="100,67" path="m5278,-1005l5179,-972,5278,-939,5278,-1005xe" filled="true" fillcolor="#000000" stroked="false">
              <v:path arrowok="t"/>
              <v:fill type="solid"/>
            </v:shape>
            <w10:wrap type="none"/>
          </v:group>
        </w:pict>
      </w:r>
      <w:r>
        <w:rPr/>
        <w:pict>
          <v:group style="position:absolute;margin-left:221.548126pt;margin-top:-50.266464pt;width:18.7pt;height:3.35pt;mso-position-horizontal-relative:page;mso-position-vertical-relative:paragraph;z-index:-317830144" coordorigin="4431,-1005" coordsize="374,67">
            <v:line style="position:absolute" from="4805,-972" to="4522,-972" stroked="true" strokeweight=".473282pt" strokecolor="#000000">
              <v:stroke dashstyle="solid"/>
            </v:line>
            <v:shape style="position:absolute;left:4430;top:-1006;width:100;height:67" coordorigin="4431,-1005" coordsize="100,67" path="m4531,-1005l4431,-972,4531,-939,4531,-1005xe" filled="true" fillcolor="#000000" stroked="false">
              <v:path arrowok="t"/>
              <v:fill type="solid"/>
            </v:shape>
            <w10:wrap type="none"/>
          </v:group>
        </w:pict>
      </w:r>
      <w:r>
        <w:rPr/>
        <w:pict>
          <v:group style="position:absolute;margin-left:146.577240pt;margin-top:-49.793186pt;width:18.7pt;height:3.35pt;mso-position-horizontal-relative:page;mso-position-vertical-relative:paragraph;z-index:-317829120" coordorigin="2932,-996" coordsize="374,67">
            <v:line style="position:absolute" from="3306,-963" to="3023,-963" stroked="true" strokeweight=".473282pt" strokecolor="#000000">
              <v:stroke dashstyle="solid"/>
            </v:line>
            <v:shape style="position:absolute;left:2931;top:-996;width:100;height:67" coordorigin="2932,-996" coordsize="100,67" path="m3031,-996l2932,-963,3031,-930,3031,-996xe" filled="true" fillcolor="#000000" stroked="false">
              <v:path arrowok="t"/>
              <v:fill type="solid"/>
            </v:shape>
            <w10:wrap type="none"/>
          </v:group>
        </w:pict>
      </w:r>
      <w:r>
        <w:rPr/>
        <w:pict>
          <v:group style="position:absolute;margin-left:314.788574pt;margin-top:-80.522415pt;width:56.6pt;height:78.75pt;mso-position-horizontal-relative:page;mso-position-vertical-relative:paragraph;z-index:-317824000" coordorigin="6296,-1610" coordsize="1132,1575">
            <v:shape style="position:absolute;left:7684;top:6068;width:1191;height:567" coordorigin="7685,6069" coordsize="1191,567" path="m6488,-413l6488,-41m6488,-41l7273,-41m7273,-41l7273,-296e" filled="false" stroked="true" strokeweight=".474079pt" strokecolor="#800000">
              <v:path arrowok="t"/>
              <v:stroke dashstyle="solid"/>
            </v:shape>
            <v:shape style="position:absolute;left:7230;top:-414;width:86;height:128" coordorigin="7230,-413" coordsize="86,128" path="m7273,-413l7230,-285,7316,-285,7273,-413xe" filled="true" fillcolor="#800000" stroked="false">
              <v:path arrowok="t"/>
              <v:fill type="solid"/>
            </v:shape>
            <v:shape style="position:absolute;left:6482;top:-414;width:833;height:378" type="#_x0000_t202" filled="false" stroked="false">
              <v:textbox inset="0,0,0,0">
                <w:txbxContent>
                  <w:p>
                    <w:pPr>
                      <w:spacing w:line="240" w:lineRule="auto" w:before="9"/>
                      <w:rPr>
                        <w:b/>
                        <w:sz w:val="12"/>
                      </w:rPr>
                    </w:pPr>
                  </w:p>
                  <w:p>
                    <w:pPr>
                      <w:spacing w:before="0"/>
                      <w:ind w:left="193" w:right="0" w:firstLine="0"/>
                      <w:jc w:val="left"/>
                      <w:rPr>
                        <w:sz w:val="13"/>
                      </w:rPr>
                    </w:pPr>
                    <w:r>
                      <w:rPr>
                        <w:w w:val="105"/>
                        <w:sz w:val="13"/>
                      </w:rPr>
                      <w:t>污泥回流</w:t>
                    </w:r>
                  </w:p>
                </w:txbxContent>
              </v:textbox>
              <w10:wrap type="none"/>
            </v:shape>
            <v:shape style="position:absolute;left:7048;top:-1569;width:374;height:1156" type="#_x0000_t202" filled="false" stroked="true" strokeweight=".474726pt" strokecolor="#000000">
              <v:textbox inset="0,0,0,0">
                <w:txbxContent>
                  <w:p>
                    <w:pPr>
                      <w:spacing w:line="223" w:lineRule="auto" w:before="13"/>
                      <w:ind w:left="108" w:right="95" w:firstLine="0"/>
                      <w:jc w:val="both"/>
                      <w:rPr>
                        <w:rFonts w:ascii="黑体" w:eastAsia="黑体" w:hint="eastAsia"/>
                        <w:sz w:val="16"/>
                      </w:rPr>
                    </w:pPr>
                    <w:r>
                      <w:rPr>
                        <w:rFonts w:ascii="黑体" w:eastAsia="黑体" w:hint="eastAsia"/>
                        <w:sz w:val="15"/>
                      </w:rPr>
                      <w:t>一</w:t>
                    </w:r>
                    <w:r>
                      <w:rPr>
                        <w:rFonts w:ascii="黑体" w:eastAsia="黑体" w:hint="eastAsia"/>
                        <w:sz w:val="16"/>
                      </w:rPr>
                      <w:t>级</w:t>
                    </w:r>
                    <w:r>
                      <w:rPr>
                        <w:rFonts w:ascii="黑体" w:eastAsia="黑体" w:hint="eastAsia"/>
                        <w:w w:val="99"/>
                        <w:sz w:val="16"/>
                      </w:rPr>
                      <w:t> </w:t>
                    </w:r>
                    <w:r>
                      <w:rPr>
                        <w:rFonts w:ascii="黑体" w:eastAsia="黑体" w:hint="eastAsia"/>
                        <w:w w:val="95"/>
                        <w:sz w:val="16"/>
                      </w:rPr>
                      <w:t>AO</w:t>
                    </w:r>
                  </w:p>
                  <w:p>
                    <w:pPr>
                      <w:spacing w:line="223" w:lineRule="auto" w:before="9"/>
                      <w:ind w:left="108" w:right="95" w:firstLine="0"/>
                      <w:jc w:val="both"/>
                      <w:rPr>
                        <w:rFonts w:ascii="黑体" w:eastAsia="黑体" w:hint="eastAsia"/>
                        <w:sz w:val="16"/>
                      </w:rPr>
                    </w:pPr>
                    <w:r>
                      <w:rPr>
                        <w:rFonts w:ascii="黑体" w:eastAsia="黑体" w:hint="eastAsia"/>
                        <w:sz w:val="15"/>
                      </w:rPr>
                      <w:t>生</w:t>
                    </w:r>
                    <w:r>
                      <w:rPr>
                        <w:rFonts w:ascii="黑体" w:eastAsia="黑体" w:hint="eastAsia"/>
                        <w:sz w:val="16"/>
                      </w:rPr>
                      <w:t>化池</w:t>
                    </w:r>
                  </w:p>
                </w:txbxContent>
              </v:textbox>
              <v:stroke dashstyle="solid"/>
              <w10:wrap type="none"/>
            </v:shape>
            <v:shape style="position:absolute;left:6300;top:-1606;width:374;height:1193" type="#_x0000_t202" filled="false" stroked="true" strokeweight=".474735pt" strokecolor="#000000">
              <v:textbox inset="0,0,0,0">
                <w:txbxContent>
                  <w:p>
                    <w:pPr>
                      <w:spacing w:line="240" w:lineRule="auto" w:before="8"/>
                      <w:rPr>
                        <w:b/>
                        <w:sz w:val="15"/>
                      </w:rPr>
                    </w:pPr>
                  </w:p>
                  <w:p>
                    <w:pPr>
                      <w:spacing w:line="197" w:lineRule="exact" w:before="0"/>
                      <w:ind w:left="107" w:right="0" w:firstLine="0"/>
                      <w:jc w:val="left"/>
                      <w:rPr>
                        <w:rFonts w:ascii="黑体"/>
                        <w:sz w:val="16"/>
                      </w:rPr>
                    </w:pPr>
                    <w:r>
                      <w:rPr>
                        <w:rFonts w:ascii="黑体"/>
                        <w:sz w:val="16"/>
                      </w:rPr>
                      <w:t>1#</w:t>
                    </w:r>
                  </w:p>
                  <w:p>
                    <w:pPr>
                      <w:spacing w:line="228" w:lineRule="auto" w:before="0"/>
                      <w:ind w:left="107" w:right="96" w:firstLine="0"/>
                      <w:jc w:val="both"/>
                      <w:rPr>
                        <w:rFonts w:ascii="黑体" w:eastAsia="黑体" w:hint="eastAsia"/>
                        <w:sz w:val="15"/>
                      </w:rPr>
                    </w:pPr>
                    <w:r>
                      <w:rPr>
                        <w:rFonts w:ascii="黑体" w:eastAsia="黑体" w:hint="eastAsia"/>
                        <w:sz w:val="16"/>
                      </w:rPr>
                      <w:t>二沉</w:t>
                    </w:r>
                    <w:r>
                      <w:rPr>
                        <w:rFonts w:ascii="黑体" w:eastAsia="黑体" w:hint="eastAsia"/>
                        <w:sz w:val="15"/>
                      </w:rPr>
                      <w:t>池</w:t>
                    </w:r>
                  </w:p>
                </w:txbxContent>
              </v:textbox>
              <v:stroke dashstyle="solid"/>
              <w10:wrap type="none"/>
            </v:shape>
            <w10:wrap type="none"/>
          </v:group>
        </w:pict>
      </w:r>
      <w:r>
        <w:rPr/>
        <w:pict>
          <v:group style="position:absolute;margin-left:90.253845pt;margin-top:-80.522423pt;width:206.35pt;height:79.25pt;mso-position-horizontal-relative:page;mso-position-vertical-relative:paragraph;z-index:-317814784" coordorigin="1805,-1610" coordsize="4127,1585">
            <v:line style="position:absolute" from="4955,-296" to="4955,-41" stroked="true" strokeweight=".474875pt" strokecolor="#800000">
              <v:stroke dashstyle="solid"/>
            </v:line>
            <v:shape style="position:absolute;left:4911;top:-414;width:86;height:128" coordorigin="4912,-413" coordsize="86,128" path="m4955,-413l4912,-285,4997,-285,4955,-413xe" filled="true" fillcolor="#800000" stroked="false">
              <v:path arrowok="t"/>
              <v:fill type="solid"/>
            </v:shape>
            <v:shape style="position:absolute;left:5360;top:6247;width:1191;height:389" coordorigin="5360,6247" coordsize="1191,389" path="m4955,-41l5740,-41m5740,-41l5740,-296e" filled="false" stroked="true" strokeweight=".474079pt" strokecolor="#800000">
              <v:path arrowok="t"/>
              <v:stroke dashstyle="solid"/>
            </v:shape>
            <v:shape style="position:absolute;left:5696;top:-414;width:86;height:128" coordorigin="5697,-413" coordsize="86,128" path="m5740,-413l5697,-285,5782,-285,5740,-413xe" filled="true" fillcolor="#800000" stroked="false">
              <v:path arrowok="t"/>
              <v:fill type="solid"/>
            </v:shape>
            <v:shape style="position:absolute;left:1337;top:5516;width:4023;height:1134" coordorigin="1337,5516" coordsize="4023,1134" path="m4955,-41l2371,-31m2371,-31l2371,-776,2301,-776e" filled="false" stroked="true" strokeweight=".474079pt" strokecolor="#800000">
              <v:path arrowok="t"/>
              <v:stroke dashstyle="solid"/>
            </v:shape>
            <v:shape style="position:absolute;left:2183;top:-819;width:129;height:86" coordorigin="2184,-819" coordsize="129,86" path="m2312,-819l2184,-776,2312,-734,2312,-819xe" filled="true" fillcolor="#800000" stroked="false">
              <v:path arrowok="t"/>
              <v:fill type="solid"/>
            </v:shape>
            <v:line style="position:absolute" from="4237,-404" to="4237,-148" stroked="true" strokeweight=".474875pt" strokecolor="#800000">
              <v:stroke dashstyle="solid"/>
            </v:line>
            <v:shape style="position:absolute;left:4193;top:-159;width:86;height:128" coordorigin="4194,-159" coordsize="86,128" path="m4279,-159l4194,-159,4237,-31,4279,-159xe" filled="true" fillcolor="#800000" stroked="false">
              <v:path arrowok="t"/>
              <v:fill type="solid"/>
            </v:shape>
            <v:line style="position:absolute" from="5029,-413" to="5029,-158" stroked="true" strokeweight=".474875pt" strokecolor="#800000">
              <v:stroke dashstyle="solid"/>
            </v:line>
            <v:shape style="position:absolute;left:4986;top:-169;width:86;height:128" coordorigin="4987,-168" coordsize="86,128" path="m5072,-168l4987,-168,5029,-41,5072,-168xe" filled="true" fillcolor="#800000" stroked="false">
              <v:path arrowok="t"/>
              <v:fill type="solid"/>
            </v:shape>
            <v:shape style="position:absolute;left:2973;top:-180;width:551;height:135" type="#_x0000_t202" filled="false" stroked="false">
              <v:textbox inset="0,0,0,0">
                <w:txbxContent>
                  <w:p>
                    <w:pPr>
                      <w:spacing w:line="134" w:lineRule="exact" w:before="0"/>
                      <w:ind w:left="0" w:right="0" w:firstLine="0"/>
                      <w:jc w:val="left"/>
                      <w:rPr>
                        <w:sz w:val="13"/>
                      </w:rPr>
                    </w:pPr>
                    <w:r>
                      <w:rPr>
                        <w:w w:val="105"/>
                        <w:sz w:val="13"/>
                      </w:rPr>
                      <w:t>剩余污泥</w:t>
                    </w:r>
                  </w:p>
                </w:txbxContent>
              </v:textbox>
              <w10:wrap type="none"/>
            </v:shape>
            <v:shape style="position:absolute;left:5140;top:-177;width:551;height:135" type="#_x0000_t202" filled="false" stroked="false">
              <v:textbox inset="0,0,0,0">
                <w:txbxContent>
                  <w:p>
                    <w:pPr>
                      <w:spacing w:line="134" w:lineRule="exact" w:before="0"/>
                      <w:ind w:left="0" w:right="0" w:firstLine="0"/>
                      <w:jc w:val="left"/>
                      <w:rPr>
                        <w:sz w:val="13"/>
                      </w:rPr>
                    </w:pPr>
                    <w:r>
                      <w:rPr>
                        <w:w w:val="105"/>
                        <w:sz w:val="13"/>
                      </w:rPr>
                      <w:t>部分污泥</w:t>
                    </w:r>
                  </w:p>
                </w:txbxContent>
              </v:textbox>
              <w10:wrap type="none"/>
            </v:shape>
            <v:shape style="position:absolute;left:5552;top:-1597;width:374;height:1184" type="#_x0000_t202" filled="false" stroked="true" strokeweight=".474732pt" strokecolor="#000000">
              <v:textbox inset="0,0,0,0">
                <w:txbxContent>
                  <w:p>
                    <w:pPr>
                      <w:spacing w:line="225" w:lineRule="auto" w:before="120"/>
                      <w:ind w:left="106" w:right="97" w:firstLine="0"/>
                      <w:jc w:val="both"/>
                      <w:rPr>
                        <w:rFonts w:ascii="黑体" w:eastAsia="黑体" w:hint="eastAsia"/>
                        <w:sz w:val="16"/>
                      </w:rPr>
                    </w:pPr>
                    <w:r>
                      <w:rPr>
                        <w:rFonts w:ascii="黑体" w:eastAsia="黑体" w:hint="eastAsia"/>
                        <w:sz w:val="15"/>
                      </w:rPr>
                      <w:t>兼</w:t>
                    </w:r>
                    <w:r>
                      <w:rPr>
                        <w:rFonts w:ascii="黑体" w:eastAsia="黑体" w:hint="eastAsia"/>
                        <w:sz w:val="16"/>
                      </w:rPr>
                      <w:t>氧生</w:t>
                    </w:r>
                    <w:r>
                      <w:rPr>
                        <w:rFonts w:ascii="黑体" w:eastAsia="黑体" w:hint="eastAsia"/>
                        <w:sz w:val="15"/>
                      </w:rPr>
                      <w:t>化</w:t>
                    </w:r>
                    <w:r>
                      <w:rPr>
                        <w:rFonts w:ascii="黑体" w:eastAsia="黑体" w:hint="eastAsia"/>
                        <w:sz w:val="16"/>
                      </w:rPr>
                      <w:t>池</w:t>
                    </w:r>
                  </w:p>
                </w:txbxContent>
              </v:textbox>
              <v:stroke dashstyle="solid"/>
              <w10:wrap type="none"/>
            </v:shape>
            <v:shape style="position:absolute;left:4804;top:-1606;width:374;height:1193" type="#_x0000_t202" filled="false" stroked="true" strokeweight=".474735pt" strokecolor="#000000">
              <v:textbox inset="0,0,0,0">
                <w:txbxContent>
                  <w:p>
                    <w:pPr>
                      <w:spacing w:line="228" w:lineRule="auto" w:before="114"/>
                      <w:ind w:left="106" w:right="97" w:firstLine="0"/>
                      <w:jc w:val="both"/>
                      <w:rPr>
                        <w:rFonts w:ascii="黑体" w:eastAsia="黑体" w:hint="eastAsia"/>
                        <w:sz w:val="16"/>
                      </w:rPr>
                    </w:pPr>
                    <w:r>
                      <w:rPr>
                        <w:rFonts w:ascii="黑体" w:eastAsia="黑体" w:hint="eastAsia"/>
                        <w:sz w:val="16"/>
                      </w:rPr>
                      <w:t>二</w:t>
                    </w:r>
                    <w:r>
                      <w:rPr>
                        <w:rFonts w:ascii="黑体" w:eastAsia="黑体" w:hint="eastAsia"/>
                        <w:sz w:val="15"/>
                      </w:rPr>
                      <w:t>级好</w:t>
                    </w:r>
                    <w:r>
                      <w:rPr>
                        <w:rFonts w:ascii="黑体" w:eastAsia="黑体" w:hint="eastAsia"/>
                        <w:sz w:val="16"/>
                      </w:rPr>
                      <w:t>氧池</w:t>
                    </w:r>
                  </w:p>
                </w:txbxContent>
              </v:textbox>
              <v:stroke dashstyle="solid"/>
              <w10:wrap type="none"/>
            </v:shape>
            <v:shape style="position:absolute;left:4060;top:-1597;width:374;height:1193" type="#_x0000_t202" filled="false" stroked="true" strokeweight=".474735pt" strokecolor="#000000">
              <v:textbox inset="0,0,0,0">
                <w:txbxContent>
                  <w:p>
                    <w:pPr>
                      <w:spacing w:line="240" w:lineRule="auto" w:before="10"/>
                      <w:rPr>
                        <w:b/>
                        <w:sz w:val="23"/>
                      </w:rPr>
                    </w:pPr>
                  </w:p>
                  <w:p>
                    <w:pPr>
                      <w:spacing w:line="186" w:lineRule="exact" w:before="1"/>
                      <w:ind w:left="65" w:right="0" w:firstLine="0"/>
                      <w:jc w:val="left"/>
                      <w:rPr>
                        <w:rFonts w:ascii="黑体"/>
                        <w:sz w:val="15"/>
                      </w:rPr>
                    </w:pPr>
                    <w:r>
                      <w:rPr>
                        <w:rFonts w:ascii="黑体"/>
                        <w:w w:val="105"/>
                        <w:sz w:val="15"/>
                      </w:rPr>
                      <w:t>MBR</w:t>
                    </w:r>
                  </w:p>
                  <w:p>
                    <w:pPr>
                      <w:spacing w:line="223" w:lineRule="auto" w:before="4"/>
                      <w:ind w:left="105" w:right="98" w:firstLine="0"/>
                      <w:jc w:val="left"/>
                      <w:rPr>
                        <w:rFonts w:ascii="黑体" w:eastAsia="黑体" w:hint="eastAsia"/>
                        <w:sz w:val="16"/>
                      </w:rPr>
                    </w:pPr>
                    <w:r>
                      <w:rPr>
                        <w:rFonts w:ascii="黑体" w:eastAsia="黑体" w:hint="eastAsia"/>
                        <w:sz w:val="16"/>
                      </w:rPr>
                      <w:t>膜池</w:t>
                    </w:r>
                  </w:p>
                </w:txbxContent>
              </v:textbox>
              <v:stroke dashstyle="solid"/>
              <w10:wrap type="none"/>
            </v:shape>
            <v:shape style="position:absolute;left:3305;top:-1597;width:374;height:1193" type="#_x0000_t202" filled="false" stroked="true" strokeweight=".474735pt" strokecolor="#000000">
              <v:textbox inset="0,0,0,0">
                <w:txbxContent>
                  <w:p>
                    <w:pPr>
                      <w:spacing w:line="240" w:lineRule="auto" w:before="5"/>
                      <w:rPr>
                        <w:b/>
                        <w:sz w:val="16"/>
                      </w:rPr>
                    </w:pPr>
                  </w:p>
                  <w:p>
                    <w:pPr>
                      <w:spacing w:line="225" w:lineRule="auto" w:before="0"/>
                      <w:ind w:left="104" w:right="99" w:firstLine="0"/>
                      <w:jc w:val="both"/>
                      <w:rPr>
                        <w:rFonts w:ascii="黑体" w:eastAsia="黑体" w:hint="eastAsia"/>
                        <w:sz w:val="16"/>
                      </w:rPr>
                    </w:pPr>
                    <w:r>
                      <w:rPr>
                        <w:rFonts w:ascii="黑体" w:eastAsia="黑体" w:hint="eastAsia"/>
                        <w:w w:val="95"/>
                        <w:sz w:val="16"/>
                      </w:rPr>
                      <w:t>pH </w:t>
                    </w:r>
                    <w:r>
                      <w:rPr>
                        <w:rFonts w:ascii="黑体" w:eastAsia="黑体" w:hint="eastAsia"/>
                        <w:sz w:val="16"/>
                      </w:rPr>
                      <w:t>调</w:t>
                    </w:r>
                    <w:r>
                      <w:rPr>
                        <w:rFonts w:ascii="黑体" w:eastAsia="黑体" w:hint="eastAsia"/>
                        <w:sz w:val="15"/>
                      </w:rPr>
                      <w:t>节</w:t>
                    </w:r>
                    <w:r>
                      <w:rPr>
                        <w:rFonts w:ascii="黑体" w:eastAsia="黑体" w:hint="eastAsia"/>
                        <w:sz w:val="16"/>
                      </w:rPr>
                      <w:t>池</w:t>
                    </w:r>
                  </w:p>
                </w:txbxContent>
              </v:textbox>
              <v:stroke dashstyle="solid"/>
              <w10:wrap type="none"/>
            </v:shape>
            <v:shape style="position:absolute;left:1809;top:-1597;width:374;height:1193" type="#_x0000_t202" filled="false" stroked="true" strokeweight=".474735pt" strokecolor="#000000">
              <v:textbox inset="0,0,0,0">
                <w:txbxContent>
                  <w:p>
                    <w:pPr>
                      <w:spacing w:line="228" w:lineRule="auto" w:before="114"/>
                      <w:ind w:left="103" w:right="100" w:firstLine="0"/>
                      <w:jc w:val="both"/>
                      <w:rPr>
                        <w:rFonts w:ascii="黑体" w:eastAsia="黑体" w:hint="eastAsia"/>
                        <w:sz w:val="15"/>
                      </w:rPr>
                    </w:pPr>
                    <w:r>
                      <w:rPr>
                        <w:rFonts w:ascii="黑体" w:eastAsia="黑体" w:hint="eastAsia"/>
                        <w:sz w:val="16"/>
                      </w:rPr>
                      <w:t>污</w:t>
                    </w:r>
                    <w:r>
                      <w:rPr>
                        <w:rFonts w:ascii="黑体" w:eastAsia="黑体" w:hint="eastAsia"/>
                        <w:sz w:val="15"/>
                      </w:rPr>
                      <w:t>泥</w:t>
                    </w:r>
                    <w:r>
                      <w:rPr>
                        <w:rFonts w:ascii="黑体" w:eastAsia="黑体" w:hint="eastAsia"/>
                        <w:sz w:val="16"/>
                      </w:rPr>
                      <w:t>离心</w:t>
                    </w:r>
                    <w:r>
                      <w:rPr>
                        <w:rFonts w:ascii="黑体" w:eastAsia="黑体" w:hint="eastAsia"/>
                        <w:sz w:val="15"/>
                      </w:rPr>
                      <w:t>机</w:t>
                    </w:r>
                  </w:p>
                </w:txbxContent>
              </v:textbox>
              <v:stroke dashstyle="solid"/>
              <w10:wrap type="none"/>
            </v:shape>
            <v:shape style="position:absolute;left:2557;top:-1597;width:374;height:1193" type="#_x0000_t202" filled="false" stroked="true" strokeweight=".474735pt" strokecolor="#000000">
              <v:textbox inset="0,0,0,0">
                <w:txbxContent>
                  <w:p>
                    <w:pPr>
                      <w:spacing w:line="240" w:lineRule="auto" w:before="0"/>
                      <w:rPr>
                        <w:b/>
                        <w:sz w:val="16"/>
                      </w:rPr>
                    </w:pPr>
                  </w:p>
                  <w:p>
                    <w:pPr>
                      <w:spacing w:line="223" w:lineRule="auto" w:before="111"/>
                      <w:ind w:left="103" w:right="99" w:firstLine="0"/>
                      <w:jc w:val="both"/>
                      <w:rPr>
                        <w:rFonts w:ascii="黑体" w:eastAsia="黑体" w:hint="eastAsia"/>
                        <w:sz w:val="16"/>
                      </w:rPr>
                    </w:pPr>
                    <w:r>
                      <w:rPr>
                        <w:rFonts w:ascii="黑体" w:eastAsia="黑体" w:hint="eastAsia"/>
                        <w:sz w:val="15"/>
                      </w:rPr>
                      <w:t>外</w:t>
                    </w:r>
                    <w:r>
                      <w:rPr>
                        <w:rFonts w:ascii="黑体" w:eastAsia="黑体" w:hint="eastAsia"/>
                        <w:sz w:val="16"/>
                      </w:rPr>
                      <w:t>排池</w:t>
                    </w:r>
                  </w:p>
                </w:txbxContent>
              </v:textbox>
              <v:stroke dashstyle="solid"/>
              <w10:wrap type="none"/>
            </v:shape>
            <w10:wrap type="none"/>
          </v:group>
        </w:pict>
      </w:r>
      <w:r>
        <w:rPr/>
        <w:pict>
          <v:group style="position:absolute;margin-left:96.767471pt;margin-top:-20.184776pt;width:4.3pt;height:18.650pt;mso-position-horizontal-relative:page;mso-position-vertical-relative:paragraph;z-index:251771904" coordorigin="1935,-404" coordsize="86,373">
            <v:line style="position:absolute" from="1978,-404" to="1978,-148" stroked="true" strokeweight=".474875pt" strokecolor="#800000">
              <v:stroke dashstyle="solid"/>
            </v:line>
            <v:shape style="position:absolute;left:1935;top:-159;width:86;height:128" coordorigin="1935,-159" coordsize="86,128" path="m2021,-159l1935,-159,1978,-31,2021,-159xe" filled="true" fillcolor="#800000" stroked="false">
              <v:path arrowok="t"/>
              <v:fill type="solid"/>
            </v:shape>
            <w10:wrap type="none"/>
          </v:group>
        </w:pict>
      </w:r>
      <w:r>
        <w:rPr/>
        <w:pict>
          <v:group style="position:absolute;margin-left:183.973648pt;margin-top:-50.470242pt;width:18.7pt;height:3.35pt;mso-position-horizontal-relative:page;mso-position-vertical-relative:paragraph;z-index:-317812736" coordorigin="3679,-1009" coordsize="374,67">
            <v:line style="position:absolute" from="4053,-976" to="3771,-976" stroked="true" strokeweight=".473282pt" strokecolor="#000000">
              <v:stroke dashstyle="solid"/>
            </v:line>
            <v:shape style="position:absolute;left:3679;top:-1010;width:100;height:67" coordorigin="3679,-1009" coordsize="100,67" path="m3779,-1009l3679,-976,3779,-943,3779,-1009xe" filled="true" fillcolor="#000000" stroked="false">
              <v:path arrowok="t"/>
              <v:fill type="solid"/>
            </v:shape>
            <w10:wrap type="none"/>
          </v:group>
        </w:pict>
      </w:r>
      <w:r>
        <w:rPr/>
        <w:pict>
          <v:group style="position:absolute;margin-left:444.950409pt;margin-top:-49.247581pt;width:18.7pt;height:3.35pt;mso-position-horizontal-relative:page;mso-position-vertical-relative:paragraph;z-index:-317811712" coordorigin="8899,-985" coordsize="374,67">
            <v:line style="position:absolute" from="9273,-952" to="8990,-952" stroked="true" strokeweight=".473282pt" strokecolor="#000000">
              <v:stroke dashstyle="solid"/>
            </v:line>
            <v:shape style="position:absolute;left:8899;top:-985;width:100;height:67" coordorigin="8899,-985" coordsize="100,67" path="m8999,-985l8899,-952,8999,-919,8999,-985xe" filled="true" fillcolor="#000000" stroked="false">
              <v:path arrowok="t"/>
              <v:fill type="solid"/>
            </v:shape>
            <w10:wrap type="none"/>
          </v:group>
        </w:pict>
      </w:r>
      <w:r>
        <w:rPr>
          <w:b/>
          <w:color w:val="800000"/>
          <w:w w:val="105"/>
          <w:sz w:val="13"/>
        </w:rPr>
        <w:t>生</w:t>
      </w:r>
      <w:r>
        <w:rPr>
          <w:b/>
          <w:color w:val="800000"/>
          <w:spacing w:val="-8"/>
          <w:w w:val="105"/>
          <w:sz w:val="13"/>
        </w:rPr>
        <w:t>化</w:t>
      </w:r>
      <w:r>
        <w:rPr>
          <w:b/>
          <w:color w:val="800000"/>
          <w:w w:val="105"/>
          <w:sz w:val="13"/>
        </w:rPr>
        <w:t>污泥外运</w:t>
        <w:tab/>
      </w:r>
      <w:r>
        <w:rPr>
          <w:w w:val="105"/>
          <w:position w:val="4"/>
          <w:sz w:val="13"/>
        </w:rPr>
        <w:t>回流</w:t>
      </w:r>
    </w:p>
    <w:p>
      <w:pPr>
        <w:spacing w:before="3"/>
        <w:ind w:left="617" w:right="0" w:firstLine="0"/>
        <w:jc w:val="left"/>
        <w:rPr>
          <w:b/>
          <w:sz w:val="13"/>
        </w:rPr>
      </w:pPr>
      <w:r>
        <w:rPr>
          <w:b/>
          <w:color w:val="800000"/>
          <w:w w:val="105"/>
          <w:sz w:val="13"/>
        </w:rPr>
        <w:t>填埋</w:t>
      </w:r>
    </w:p>
    <w:p>
      <w:pPr>
        <w:spacing w:line="124" w:lineRule="exact" w:before="0"/>
        <w:ind w:left="322" w:right="171" w:firstLine="0"/>
        <w:jc w:val="center"/>
        <w:rPr>
          <w:b/>
          <w:sz w:val="13"/>
        </w:rPr>
      </w:pPr>
      <w:r>
        <w:rPr/>
        <w:br w:type="column"/>
      </w:r>
      <w:r>
        <w:rPr>
          <w:b/>
          <w:color w:val="800000"/>
          <w:w w:val="105"/>
          <w:sz w:val="13"/>
        </w:rPr>
        <w:t>芬顿污泥外运</w:t>
      </w:r>
    </w:p>
    <w:p>
      <w:pPr>
        <w:spacing w:before="3"/>
        <w:ind w:left="322" w:right="171" w:firstLine="0"/>
        <w:jc w:val="center"/>
        <w:rPr>
          <w:b/>
          <w:sz w:val="13"/>
        </w:rPr>
      </w:pPr>
      <w:r>
        <w:rPr>
          <w:b/>
          <w:color w:val="800000"/>
          <w:w w:val="105"/>
          <w:sz w:val="13"/>
        </w:rPr>
        <w:t>填埋</w:t>
      </w:r>
    </w:p>
    <w:p>
      <w:pPr>
        <w:spacing w:after="0"/>
        <w:jc w:val="center"/>
        <w:rPr>
          <w:sz w:val="13"/>
        </w:rPr>
        <w:sectPr>
          <w:type w:val="continuous"/>
          <w:pgSz w:w="11910" w:h="16850"/>
          <w:pgMar w:top="1420" w:bottom="280" w:left="1200" w:right="1080"/>
          <w:cols w:num="2" w:equalWidth="0">
            <w:col w:w="4383" w:space="3890"/>
            <w:col w:w="1357"/>
          </w:cols>
        </w:sectPr>
      </w:pPr>
    </w:p>
    <w:p>
      <w:pPr>
        <w:pStyle w:val="BodyText"/>
        <w:rPr>
          <w:b/>
          <w:sz w:val="20"/>
        </w:rPr>
      </w:pPr>
    </w:p>
    <w:p>
      <w:pPr>
        <w:pStyle w:val="Heading4"/>
        <w:tabs>
          <w:tab w:pos="4040" w:val="left" w:leader="none"/>
        </w:tabs>
        <w:spacing w:before="211"/>
        <w:ind w:left="2818"/>
      </w:pPr>
      <w:r>
        <w:rPr/>
        <w:t>图</w:t>
      </w:r>
      <w:r>
        <w:rPr>
          <w:spacing w:val="-60"/>
        </w:rPr>
        <w:t> </w:t>
      </w:r>
      <w:r>
        <w:rPr>
          <w:rFonts w:ascii="Times New Roman" w:eastAsia="Times New Roman"/>
        </w:rPr>
        <w:t>3.4.2-1</w:t>
        <w:tab/>
      </w:r>
      <w:r>
        <w:rPr/>
        <w:t>现有废水处理工艺流程图</w:t>
      </w:r>
    </w:p>
    <w:p>
      <w:pPr>
        <w:pStyle w:val="BodyText"/>
        <w:spacing w:line="364" w:lineRule="auto" w:before="161"/>
        <w:ind w:left="218" w:right="332" w:firstLine="480"/>
      </w:pPr>
      <w:r>
        <w:rPr/>
        <w:t>企业现有废水站设有 </w:t>
      </w:r>
      <w:r>
        <w:rPr>
          <w:rFonts w:ascii="Times New Roman" w:eastAsia="Times New Roman"/>
        </w:rPr>
        <w:t>DCS </w:t>
      </w:r>
      <w:r>
        <w:rPr/>
        <w:t>控制系统，可精确控制各高浓度废水进水流量和配比、酸析反应、芬顿氧化物等主要单元药剂的投加量，确保废水实现稳定达标排放。</w:t>
      </w:r>
    </w:p>
    <w:p>
      <w:pPr>
        <w:pStyle w:val="Heading4"/>
        <w:spacing w:line="306" w:lineRule="exact"/>
      </w:pPr>
      <w:r>
        <w:rPr>
          <w:rFonts w:ascii="Times New Roman" w:eastAsia="Times New Roman"/>
        </w:rPr>
        <w:t>3</w:t>
      </w:r>
      <w:r>
        <w:rPr/>
        <w:t>、废水处理设施达标性分析</w:t>
      </w:r>
    </w:p>
    <w:p>
      <w:pPr>
        <w:pStyle w:val="ListParagraph"/>
        <w:numPr>
          <w:ilvl w:val="0"/>
          <w:numId w:val="16"/>
        </w:numPr>
        <w:tabs>
          <w:tab w:pos="1300" w:val="left" w:leader="none"/>
        </w:tabs>
        <w:spacing w:line="362" w:lineRule="auto" w:before="161" w:after="0"/>
        <w:ind w:left="218" w:right="332" w:firstLine="480"/>
        <w:jc w:val="left"/>
        <w:rPr>
          <w:sz w:val="24"/>
        </w:rPr>
      </w:pPr>
      <w:r>
        <w:rPr>
          <w:spacing w:val="-6"/>
          <w:sz w:val="24"/>
        </w:rPr>
        <w:t>本环评收集了企业 </w:t>
      </w:r>
      <w:r>
        <w:rPr>
          <w:rFonts w:ascii="Times New Roman" w:eastAsia="Times New Roman"/>
          <w:sz w:val="24"/>
        </w:rPr>
        <w:t>2022</w:t>
      </w:r>
      <w:r>
        <w:rPr>
          <w:rFonts w:ascii="Times New Roman" w:eastAsia="Times New Roman"/>
          <w:spacing w:val="12"/>
          <w:sz w:val="24"/>
        </w:rPr>
        <w:t> </w:t>
      </w:r>
      <w:r>
        <w:rPr>
          <w:spacing w:val="-24"/>
          <w:sz w:val="24"/>
        </w:rPr>
        <w:t>年 </w:t>
      </w:r>
      <w:r>
        <w:rPr>
          <w:rFonts w:ascii="Times New Roman" w:eastAsia="Times New Roman"/>
          <w:sz w:val="24"/>
        </w:rPr>
        <w:t>2</w:t>
      </w:r>
      <w:r>
        <w:rPr>
          <w:rFonts w:ascii="Times New Roman" w:eastAsia="Times New Roman"/>
          <w:spacing w:val="12"/>
          <w:sz w:val="24"/>
        </w:rPr>
        <w:t> </w:t>
      </w:r>
      <w:r>
        <w:rPr>
          <w:spacing w:val="-24"/>
          <w:sz w:val="24"/>
        </w:rPr>
        <w:t>月 </w:t>
      </w:r>
      <w:r>
        <w:rPr>
          <w:rFonts w:ascii="Times New Roman" w:eastAsia="Times New Roman"/>
          <w:sz w:val="24"/>
        </w:rPr>
        <w:t>18</w:t>
      </w:r>
      <w:r>
        <w:rPr>
          <w:rFonts w:ascii="Times New Roman" w:eastAsia="Times New Roman"/>
          <w:spacing w:val="12"/>
          <w:sz w:val="24"/>
        </w:rPr>
        <w:t> </w:t>
      </w:r>
      <w:r>
        <w:rPr>
          <w:spacing w:val="-1"/>
          <w:sz w:val="24"/>
        </w:rPr>
        <w:t>日委托第三方有资质单位对现有废水处理</w:t>
      </w:r>
      <w:r>
        <w:rPr>
          <w:sz w:val="24"/>
        </w:rPr>
        <w:t>设施进行了监测，具体情况见下表。</w:t>
      </w:r>
    </w:p>
    <w:p>
      <w:pPr>
        <w:pStyle w:val="Heading4"/>
        <w:tabs>
          <w:tab w:pos="4160" w:val="left" w:leader="none"/>
        </w:tabs>
        <w:spacing w:before="147" w:after="28"/>
        <w:ind w:left="2938"/>
      </w:pPr>
      <w:r>
        <w:rPr/>
        <w:t>表</w:t>
      </w:r>
      <w:r>
        <w:rPr>
          <w:spacing w:val="-60"/>
        </w:rPr>
        <w:t> </w:t>
      </w:r>
      <w:r>
        <w:rPr>
          <w:rFonts w:ascii="Times New Roman" w:eastAsia="Times New Roman"/>
        </w:rPr>
        <w:t>3.4.2-2</w:t>
        <w:tab/>
      </w:r>
      <w:r>
        <w:rPr/>
        <w:t>贝斯美污水站监测结果</w:t>
      </w: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8"/>
        <w:gridCol w:w="700"/>
        <w:gridCol w:w="984"/>
        <w:gridCol w:w="923"/>
        <w:gridCol w:w="767"/>
        <w:gridCol w:w="791"/>
        <w:gridCol w:w="743"/>
        <w:gridCol w:w="923"/>
        <w:gridCol w:w="1243"/>
        <w:gridCol w:w="1089"/>
      </w:tblGrid>
      <w:tr>
        <w:trPr>
          <w:trHeight w:val="282" w:hRule="atLeast"/>
        </w:trPr>
        <w:tc>
          <w:tcPr>
            <w:tcW w:w="1118" w:type="dxa"/>
            <w:vMerge w:val="restart"/>
          </w:tcPr>
          <w:p>
            <w:pPr>
              <w:pStyle w:val="TableParagraph"/>
              <w:jc w:val="left"/>
              <w:rPr>
                <w:b/>
                <w:sz w:val="20"/>
              </w:rPr>
            </w:pPr>
          </w:p>
          <w:p>
            <w:pPr>
              <w:pStyle w:val="TableParagraph"/>
              <w:spacing w:before="174"/>
              <w:ind w:left="242"/>
              <w:jc w:val="left"/>
              <w:rPr>
                <w:b/>
                <w:sz w:val="21"/>
              </w:rPr>
            </w:pPr>
            <w:r>
              <w:rPr>
                <w:b/>
                <w:sz w:val="21"/>
              </w:rPr>
              <w:t>采样点</w:t>
            </w:r>
          </w:p>
        </w:tc>
        <w:tc>
          <w:tcPr>
            <w:tcW w:w="700" w:type="dxa"/>
            <w:vMerge w:val="restart"/>
          </w:tcPr>
          <w:p>
            <w:pPr>
              <w:pStyle w:val="TableParagraph"/>
              <w:spacing w:before="11"/>
              <w:jc w:val="left"/>
              <w:rPr>
                <w:b/>
                <w:sz w:val="22"/>
              </w:rPr>
            </w:pPr>
          </w:p>
          <w:p>
            <w:pPr>
              <w:pStyle w:val="TableParagraph"/>
              <w:spacing w:line="244" w:lineRule="auto" w:before="1"/>
              <w:ind w:left="139" w:right="126"/>
              <w:jc w:val="left"/>
              <w:rPr>
                <w:b/>
                <w:sz w:val="21"/>
              </w:rPr>
            </w:pPr>
            <w:r>
              <w:rPr>
                <w:b/>
                <w:sz w:val="21"/>
              </w:rPr>
              <w:t>样品性状</w:t>
            </w:r>
          </w:p>
        </w:tc>
        <w:tc>
          <w:tcPr>
            <w:tcW w:w="7463" w:type="dxa"/>
            <w:gridSpan w:val="8"/>
          </w:tcPr>
          <w:p>
            <w:pPr>
              <w:pStyle w:val="TableParagraph"/>
              <w:spacing w:line="257" w:lineRule="exact" w:before="6"/>
              <w:ind w:left="2684" w:right="2669"/>
              <w:rPr>
                <w:rFonts w:ascii="Times New Roman" w:eastAsia="Times New Roman"/>
                <w:b/>
                <w:sz w:val="21"/>
              </w:rPr>
            </w:pPr>
            <w:r>
              <w:rPr>
                <w:b/>
                <w:sz w:val="21"/>
              </w:rPr>
              <w:t>检测项目 单位：</w:t>
            </w:r>
            <w:r>
              <w:rPr>
                <w:rFonts w:ascii="Times New Roman" w:eastAsia="Times New Roman"/>
                <w:b/>
                <w:sz w:val="21"/>
              </w:rPr>
              <w:t>mg/L</w:t>
            </w:r>
          </w:p>
        </w:tc>
      </w:tr>
      <w:tr>
        <w:trPr>
          <w:trHeight w:val="285" w:hRule="atLeast"/>
        </w:trPr>
        <w:tc>
          <w:tcPr>
            <w:tcW w:w="1118" w:type="dxa"/>
            <w:vMerge/>
            <w:tcBorders>
              <w:top w:val="nil"/>
            </w:tcBorders>
          </w:tcPr>
          <w:p>
            <w:pPr>
              <w:rPr>
                <w:sz w:val="2"/>
                <w:szCs w:val="2"/>
              </w:rPr>
            </w:pPr>
          </w:p>
        </w:tc>
        <w:tc>
          <w:tcPr>
            <w:tcW w:w="700" w:type="dxa"/>
            <w:vMerge/>
            <w:tcBorders>
              <w:top w:val="nil"/>
            </w:tcBorders>
          </w:tcPr>
          <w:p>
            <w:pPr>
              <w:rPr>
                <w:sz w:val="2"/>
                <w:szCs w:val="2"/>
              </w:rPr>
            </w:pPr>
          </w:p>
        </w:tc>
        <w:tc>
          <w:tcPr>
            <w:tcW w:w="984" w:type="dxa"/>
            <w:vMerge w:val="restart"/>
          </w:tcPr>
          <w:p>
            <w:pPr>
              <w:pStyle w:val="TableParagraph"/>
              <w:spacing w:line="242" w:lineRule="auto" w:before="149"/>
              <w:ind w:left="173" w:right="164" w:firstLine="105"/>
              <w:jc w:val="left"/>
              <w:rPr>
                <w:b/>
                <w:sz w:val="21"/>
              </w:rPr>
            </w:pPr>
            <w:r>
              <w:rPr>
                <w:b/>
                <w:sz w:val="21"/>
              </w:rPr>
              <w:t>化学需氧量</w:t>
            </w:r>
          </w:p>
        </w:tc>
        <w:tc>
          <w:tcPr>
            <w:tcW w:w="923" w:type="dxa"/>
            <w:vMerge w:val="restart"/>
          </w:tcPr>
          <w:p>
            <w:pPr>
              <w:pStyle w:val="TableParagraph"/>
              <w:spacing w:before="2"/>
              <w:jc w:val="left"/>
              <w:rPr>
                <w:b/>
                <w:sz w:val="22"/>
              </w:rPr>
            </w:pPr>
          </w:p>
          <w:p>
            <w:pPr>
              <w:pStyle w:val="TableParagraph"/>
              <w:ind w:left="248"/>
              <w:jc w:val="left"/>
              <w:rPr>
                <w:b/>
                <w:sz w:val="21"/>
              </w:rPr>
            </w:pPr>
            <w:r>
              <w:rPr>
                <w:b/>
                <w:sz w:val="21"/>
              </w:rPr>
              <w:t>氨氮</w:t>
            </w:r>
          </w:p>
        </w:tc>
        <w:tc>
          <w:tcPr>
            <w:tcW w:w="767" w:type="dxa"/>
            <w:vMerge w:val="restart"/>
          </w:tcPr>
          <w:p>
            <w:pPr>
              <w:pStyle w:val="TableParagraph"/>
              <w:spacing w:before="2"/>
              <w:jc w:val="left"/>
              <w:rPr>
                <w:b/>
                <w:sz w:val="22"/>
              </w:rPr>
            </w:pPr>
          </w:p>
          <w:p>
            <w:pPr>
              <w:pStyle w:val="TableParagraph"/>
              <w:ind w:left="172"/>
              <w:jc w:val="left"/>
              <w:rPr>
                <w:b/>
                <w:sz w:val="21"/>
              </w:rPr>
            </w:pPr>
            <w:r>
              <w:rPr>
                <w:b/>
                <w:sz w:val="21"/>
              </w:rPr>
              <w:t>总氮</w:t>
            </w:r>
          </w:p>
        </w:tc>
        <w:tc>
          <w:tcPr>
            <w:tcW w:w="791" w:type="dxa"/>
            <w:vMerge w:val="restart"/>
          </w:tcPr>
          <w:p>
            <w:pPr>
              <w:pStyle w:val="TableParagraph"/>
              <w:spacing w:line="242" w:lineRule="auto" w:before="149"/>
              <w:ind w:left="185" w:right="170"/>
              <w:jc w:val="left"/>
              <w:rPr>
                <w:b/>
                <w:sz w:val="21"/>
              </w:rPr>
            </w:pPr>
            <w:r>
              <w:rPr>
                <w:b/>
                <w:sz w:val="21"/>
              </w:rPr>
              <w:t>硝基苯类</w:t>
            </w:r>
          </w:p>
        </w:tc>
        <w:tc>
          <w:tcPr>
            <w:tcW w:w="743" w:type="dxa"/>
            <w:vMerge w:val="restart"/>
          </w:tcPr>
          <w:p>
            <w:pPr>
              <w:pStyle w:val="TableParagraph"/>
              <w:spacing w:line="242" w:lineRule="auto" w:before="149"/>
              <w:ind w:left="268" w:right="145" w:hanging="106"/>
              <w:jc w:val="left"/>
              <w:rPr>
                <w:b/>
                <w:sz w:val="21"/>
              </w:rPr>
            </w:pPr>
            <w:r>
              <w:rPr>
                <w:b/>
                <w:sz w:val="21"/>
              </w:rPr>
              <w:t>苯胺类</w:t>
            </w:r>
          </w:p>
        </w:tc>
        <w:tc>
          <w:tcPr>
            <w:tcW w:w="923" w:type="dxa"/>
            <w:vMerge w:val="restart"/>
          </w:tcPr>
          <w:p>
            <w:pPr>
              <w:pStyle w:val="TableParagraph"/>
              <w:spacing w:before="2"/>
              <w:jc w:val="left"/>
              <w:rPr>
                <w:b/>
                <w:sz w:val="22"/>
              </w:rPr>
            </w:pPr>
          </w:p>
          <w:p>
            <w:pPr>
              <w:pStyle w:val="TableParagraph"/>
              <w:ind w:left="149"/>
              <w:jc w:val="left"/>
              <w:rPr>
                <w:b/>
                <w:sz w:val="21"/>
              </w:rPr>
            </w:pPr>
            <w:r>
              <w:rPr>
                <w:b/>
                <w:sz w:val="21"/>
              </w:rPr>
              <w:t>挥发酚</w:t>
            </w:r>
          </w:p>
        </w:tc>
        <w:tc>
          <w:tcPr>
            <w:tcW w:w="2332" w:type="dxa"/>
            <w:gridSpan w:val="2"/>
          </w:tcPr>
          <w:p>
            <w:pPr>
              <w:pStyle w:val="TableParagraph"/>
              <w:spacing w:line="257" w:lineRule="exact" w:before="8"/>
              <w:ind w:left="834" w:right="815"/>
              <w:rPr>
                <w:b/>
                <w:sz w:val="21"/>
              </w:rPr>
            </w:pPr>
            <w:r>
              <w:rPr>
                <w:b/>
                <w:sz w:val="21"/>
              </w:rPr>
              <w:t>二甲苯</w:t>
            </w:r>
          </w:p>
        </w:tc>
      </w:tr>
      <w:tr>
        <w:trPr>
          <w:trHeight w:val="544" w:hRule="atLeast"/>
        </w:trPr>
        <w:tc>
          <w:tcPr>
            <w:tcW w:w="1118" w:type="dxa"/>
            <w:vMerge/>
            <w:tcBorders>
              <w:top w:val="nil"/>
            </w:tcBorders>
          </w:tcPr>
          <w:p>
            <w:pPr>
              <w:rPr>
                <w:sz w:val="2"/>
                <w:szCs w:val="2"/>
              </w:rPr>
            </w:pPr>
          </w:p>
        </w:tc>
        <w:tc>
          <w:tcPr>
            <w:tcW w:w="700" w:type="dxa"/>
            <w:vMerge/>
            <w:tcBorders>
              <w:top w:val="nil"/>
            </w:tcBorders>
          </w:tcPr>
          <w:p>
            <w:pPr>
              <w:rPr>
                <w:sz w:val="2"/>
                <w:szCs w:val="2"/>
              </w:rPr>
            </w:pPr>
          </w:p>
        </w:tc>
        <w:tc>
          <w:tcPr>
            <w:tcW w:w="984" w:type="dxa"/>
            <w:vMerge/>
            <w:tcBorders>
              <w:top w:val="nil"/>
            </w:tcBorders>
          </w:tcPr>
          <w:p>
            <w:pPr>
              <w:rPr>
                <w:sz w:val="2"/>
                <w:szCs w:val="2"/>
              </w:rPr>
            </w:pPr>
          </w:p>
        </w:tc>
        <w:tc>
          <w:tcPr>
            <w:tcW w:w="923" w:type="dxa"/>
            <w:vMerge/>
            <w:tcBorders>
              <w:top w:val="nil"/>
            </w:tcBorders>
          </w:tcPr>
          <w:p>
            <w:pPr>
              <w:rPr>
                <w:sz w:val="2"/>
                <w:szCs w:val="2"/>
              </w:rPr>
            </w:pPr>
          </w:p>
        </w:tc>
        <w:tc>
          <w:tcPr>
            <w:tcW w:w="767" w:type="dxa"/>
            <w:vMerge/>
            <w:tcBorders>
              <w:top w:val="nil"/>
            </w:tcBorders>
          </w:tcPr>
          <w:p>
            <w:pPr>
              <w:rPr>
                <w:sz w:val="2"/>
                <w:szCs w:val="2"/>
              </w:rPr>
            </w:pPr>
          </w:p>
        </w:tc>
        <w:tc>
          <w:tcPr>
            <w:tcW w:w="791" w:type="dxa"/>
            <w:vMerge/>
            <w:tcBorders>
              <w:top w:val="nil"/>
            </w:tcBorders>
          </w:tcPr>
          <w:p>
            <w:pPr>
              <w:rPr>
                <w:sz w:val="2"/>
                <w:szCs w:val="2"/>
              </w:rPr>
            </w:pPr>
          </w:p>
        </w:tc>
        <w:tc>
          <w:tcPr>
            <w:tcW w:w="743" w:type="dxa"/>
            <w:vMerge/>
            <w:tcBorders>
              <w:top w:val="nil"/>
            </w:tcBorders>
          </w:tcPr>
          <w:p>
            <w:pPr>
              <w:rPr>
                <w:sz w:val="2"/>
                <w:szCs w:val="2"/>
              </w:rPr>
            </w:pPr>
          </w:p>
        </w:tc>
        <w:tc>
          <w:tcPr>
            <w:tcW w:w="923" w:type="dxa"/>
            <w:vMerge/>
            <w:tcBorders>
              <w:top w:val="nil"/>
            </w:tcBorders>
          </w:tcPr>
          <w:p>
            <w:pPr>
              <w:rPr>
                <w:sz w:val="2"/>
                <w:szCs w:val="2"/>
              </w:rPr>
            </w:pPr>
          </w:p>
        </w:tc>
        <w:tc>
          <w:tcPr>
            <w:tcW w:w="1243" w:type="dxa"/>
          </w:tcPr>
          <w:p>
            <w:pPr>
              <w:pStyle w:val="TableParagraph"/>
              <w:spacing w:before="1"/>
              <w:ind w:left="206"/>
              <w:jc w:val="left"/>
              <w:rPr>
                <w:b/>
                <w:sz w:val="21"/>
              </w:rPr>
            </w:pPr>
            <w:r>
              <w:rPr>
                <w:b/>
                <w:sz w:val="21"/>
              </w:rPr>
              <w:t>对（间）</w:t>
            </w:r>
          </w:p>
          <w:p>
            <w:pPr>
              <w:pStyle w:val="TableParagraph"/>
              <w:spacing w:line="252" w:lineRule="exact" w:before="2"/>
              <w:ind w:left="309"/>
              <w:jc w:val="left"/>
              <w:rPr>
                <w:b/>
                <w:sz w:val="21"/>
              </w:rPr>
            </w:pPr>
            <w:r>
              <w:rPr>
                <w:b/>
                <w:sz w:val="21"/>
              </w:rPr>
              <w:t>二甲苯</w:t>
            </w:r>
          </w:p>
        </w:tc>
        <w:tc>
          <w:tcPr>
            <w:tcW w:w="1089" w:type="dxa"/>
          </w:tcPr>
          <w:p>
            <w:pPr>
              <w:pStyle w:val="TableParagraph"/>
              <w:spacing w:before="137"/>
              <w:ind w:left="108" w:right="87"/>
              <w:rPr>
                <w:b/>
                <w:sz w:val="21"/>
              </w:rPr>
            </w:pPr>
            <w:r>
              <w:rPr>
                <w:b/>
                <w:sz w:val="21"/>
              </w:rPr>
              <w:t>邻二甲苯</w:t>
            </w:r>
          </w:p>
        </w:tc>
      </w:tr>
      <w:tr>
        <w:trPr>
          <w:trHeight w:val="544" w:hRule="atLeast"/>
        </w:trPr>
        <w:tc>
          <w:tcPr>
            <w:tcW w:w="1118" w:type="dxa"/>
          </w:tcPr>
          <w:p>
            <w:pPr>
              <w:pStyle w:val="TableParagraph"/>
              <w:spacing w:before="1"/>
              <w:ind w:left="139"/>
              <w:jc w:val="left"/>
              <w:rPr>
                <w:sz w:val="21"/>
              </w:rPr>
            </w:pPr>
            <w:r>
              <w:rPr>
                <w:sz w:val="21"/>
              </w:rPr>
              <w:t>酸析反应</w:t>
            </w:r>
          </w:p>
          <w:p>
            <w:pPr>
              <w:pStyle w:val="TableParagraph"/>
              <w:spacing w:line="252" w:lineRule="exact" w:before="2"/>
              <w:ind w:left="242"/>
              <w:jc w:val="left"/>
              <w:rPr>
                <w:sz w:val="21"/>
              </w:rPr>
            </w:pPr>
            <w:r>
              <w:rPr>
                <w:sz w:val="21"/>
              </w:rPr>
              <w:t>釜进口</w:t>
            </w:r>
          </w:p>
        </w:tc>
        <w:tc>
          <w:tcPr>
            <w:tcW w:w="700" w:type="dxa"/>
          </w:tcPr>
          <w:p>
            <w:pPr>
              <w:pStyle w:val="TableParagraph"/>
              <w:spacing w:before="137"/>
              <w:ind w:left="139"/>
              <w:jc w:val="left"/>
              <w:rPr>
                <w:sz w:val="21"/>
              </w:rPr>
            </w:pPr>
            <w:r>
              <w:rPr>
                <w:sz w:val="21"/>
              </w:rPr>
              <w:t>黄色</w:t>
            </w:r>
          </w:p>
        </w:tc>
        <w:tc>
          <w:tcPr>
            <w:tcW w:w="984" w:type="dxa"/>
          </w:tcPr>
          <w:p>
            <w:pPr>
              <w:pStyle w:val="TableParagraph"/>
              <w:spacing w:before="147"/>
              <w:ind w:left="108"/>
              <w:jc w:val="left"/>
              <w:rPr>
                <w:rFonts w:ascii="Times New Roman" w:hAnsi="Times New Roman"/>
                <w:sz w:val="14"/>
              </w:rPr>
            </w:pPr>
            <w:r>
              <w:rPr>
                <w:rFonts w:ascii="Times New Roman" w:hAnsi="Times New Roman"/>
                <w:sz w:val="21"/>
              </w:rPr>
              <w:t>2.49×10 </w:t>
            </w:r>
            <w:r>
              <w:rPr>
                <w:rFonts w:ascii="Times New Roman" w:hAnsi="Times New Roman"/>
                <w:position w:val="7"/>
                <w:sz w:val="14"/>
              </w:rPr>
              <w:t>3</w:t>
            </w:r>
          </w:p>
        </w:tc>
        <w:tc>
          <w:tcPr>
            <w:tcW w:w="923" w:type="dxa"/>
          </w:tcPr>
          <w:p>
            <w:pPr>
              <w:pStyle w:val="TableParagraph"/>
              <w:spacing w:before="151"/>
              <w:ind w:left="277"/>
              <w:jc w:val="left"/>
              <w:rPr>
                <w:rFonts w:ascii="Times New Roman"/>
                <w:sz w:val="21"/>
              </w:rPr>
            </w:pPr>
            <w:r>
              <w:rPr>
                <w:rFonts w:ascii="Times New Roman"/>
                <w:sz w:val="21"/>
              </w:rPr>
              <w:t>88.8</w:t>
            </w:r>
          </w:p>
        </w:tc>
        <w:tc>
          <w:tcPr>
            <w:tcW w:w="767" w:type="dxa"/>
          </w:tcPr>
          <w:p>
            <w:pPr>
              <w:pStyle w:val="TableParagraph"/>
              <w:spacing w:before="151"/>
              <w:ind w:left="225"/>
              <w:jc w:val="left"/>
              <w:rPr>
                <w:rFonts w:ascii="Times New Roman"/>
                <w:sz w:val="21"/>
              </w:rPr>
            </w:pPr>
            <w:r>
              <w:rPr>
                <w:rFonts w:ascii="Times New Roman"/>
                <w:sz w:val="21"/>
              </w:rPr>
              <w:t>222</w:t>
            </w:r>
          </w:p>
        </w:tc>
        <w:tc>
          <w:tcPr>
            <w:tcW w:w="791" w:type="dxa"/>
          </w:tcPr>
          <w:p>
            <w:pPr>
              <w:pStyle w:val="TableParagraph"/>
              <w:spacing w:before="151"/>
              <w:ind w:left="214"/>
              <w:jc w:val="left"/>
              <w:rPr>
                <w:rFonts w:ascii="Times New Roman"/>
                <w:sz w:val="21"/>
              </w:rPr>
            </w:pPr>
            <w:r>
              <w:rPr>
                <w:rFonts w:ascii="Times New Roman"/>
                <w:sz w:val="21"/>
              </w:rPr>
              <w:t>20.2</w:t>
            </w:r>
          </w:p>
        </w:tc>
        <w:tc>
          <w:tcPr>
            <w:tcW w:w="743" w:type="dxa"/>
          </w:tcPr>
          <w:p>
            <w:pPr>
              <w:pStyle w:val="TableParagraph"/>
              <w:spacing w:before="151"/>
              <w:ind w:left="192"/>
              <w:jc w:val="left"/>
              <w:rPr>
                <w:rFonts w:ascii="Times New Roman"/>
                <w:sz w:val="21"/>
              </w:rPr>
            </w:pPr>
            <w:r>
              <w:rPr>
                <w:rFonts w:ascii="Times New Roman"/>
                <w:sz w:val="21"/>
              </w:rPr>
              <w:t>10.3</w:t>
            </w:r>
          </w:p>
        </w:tc>
        <w:tc>
          <w:tcPr>
            <w:tcW w:w="923" w:type="dxa"/>
          </w:tcPr>
          <w:p>
            <w:pPr>
              <w:pStyle w:val="TableParagraph"/>
              <w:spacing w:before="151"/>
              <w:ind w:left="281"/>
              <w:jc w:val="left"/>
              <w:rPr>
                <w:rFonts w:ascii="Times New Roman"/>
                <w:sz w:val="21"/>
              </w:rPr>
            </w:pPr>
            <w:r>
              <w:rPr>
                <w:rFonts w:ascii="Times New Roman"/>
                <w:sz w:val="21"/>
              </w:rPr>
              <w:t>0.30</w:t>
            </w:r>
          </w:p>
        </w:tc>
        <w:tc>
          <w:tcPr>
            <w:tcW w:w="1243" w:type="dxa"/>
          </w:tcPr>
          <w:p>
            <w:pPr>
              <w:pStyle w:val="TableParagraph"/>
              <w:spacing w:before="151"/>
              <w:ind w:left="278"/>
              <w:jc w:val="left"/>
              <w:rPr>
                <w:rFonts w:ascii="Times New Roman"/>
                <w:sz w:val="21"/>
              </w:rPr>
            </w:pPr>
            <w:r>
              <w:rPr>
                <w:rFonts w:ascii="Times New Roman"/>
                <w:sz w:val="21"/>
              </w:rPr>
              <w:t>&lt;0.0005</w:t>
            </w:r>
          </w:p>
        </w:tc>
        <w:tc>
          <w:tcPr>
            <w:tcW w:w="1089" w:type="dxa"/>
          </w:tcPr>
          <w:p>
            <w:pPr>
              <w:pStyle w:val="TableParagraph"/>
              <w:spacing w:before="151"/>
              <w:ind w:left="108" w:right="87"/>
              <w:rPr>
                <w:rFonts w:ascii="Times New Roman"/>
                <w:sz w:val="21"/>
              </w:rPr>
            </w:pPr>
            <w:r>
              <w:rPr>
                <w:rFonts w:ascii="Times New Roman"/>
                <w:sz w:val="21"/>
              </w:rPr>
              <w:t>0.0300</w:t>
            </w:r>
          </w:p>
        </w:tc>
      </w:tr>
    </w:tbl>
    <w:p>
      <w:pPr>
        <w:spacing w:after="0"/>
        <w:rPr>
          <w:rFonts w:ascii="Times New Roman"/>
          <w:sz w:val="21"/>
        </w:rPr>
        <w:sectPr>
          <w:type w:val="continuous"/>
          <w:pgSz w:w="11910" w:h="16850"/>
          <w:pgMar w:top="1420" w:bottom="280" w:left="1200" w:right="1080"/>
        </w:sectPr>
      </w:pPr>
    </w:p>
    <w:p>
      <w:pPr>
        <w:pStyle w:val="BodyText"/>
        <w:spacing w:before="10"/>
        <w:rPr>
          <w:b/>
          <w:sz w:val="4"/>
        </w:rPr>
      </w:pP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8"/>
        <w:gridCol w:w="700"/>
        <w:gridCol w:w="984"/>
        <w:gridCol w:w="923"/>
        <w:gridCol w:w="767"/>
        <w:gridCol w:w="791"/>
        <w:gridCol w:w="743"/>
        <w:gridCol w:w="923"/>
        <w:gridCol w:w="1243"/>
        <w:gridCol w:w="1089"/>
      </w:tblGrid>
      <w:tr>
        <w:trPr>
          <w:trHeight w:val="283" w:hRule="atLeast"/>
        </w:trPr>
        <w:tc>
          <w:tcPr>
            <w:tcW w:w="1118" w:type="dxa"/>
            <w:vMerge w:val="restart"/>
          </w:tcPr>
          <w:p>
            <w:pPr>
              <w:pStyle w:val="TableParagraph"/>
              <w:jc w:val="left"/>
              <w:rPr>
                <w:b/>
                <w:sz w:val="20"/>
              </w:rPr>
            </w:pPr>
          </w:p>
          <w:p>
            <w:pPr>
              <w:pStyle w:val="TableParagraph"/>
              <w:spacing w:before="174"/>
              <w:ind w:left="242"/>
              <w:jc w:val="left"/>
              <w:rPr>
                <w:b/>
                <w:sz w:val="21"/>
              </w:rPr>
            </w:pPr>
            <w:r>
              <w:rPr>
                <w:b/>
                <w:sz w:val="21"/>
              </w:rPr>
              <w:t>采样点</w:t>
            </w:r>
          </w:p>
        </w:tc>
        <w:tc>
          <w:tcPr>
            <w:tcW w:w="700" w:type="dxa"/>
            <w:vMerge w:val="restart"/>
          </w:tcPr>
          <w:p>
            <w:pPr>
              <w:pStyle w:val="TableParagraph"/>
              <w:spacing w:before="12"/>
              <w:jc w:val="left"/>
              <w:rPr>
                <w:b/>
                <w:sz w:val="22"/>
              </w:rPr>
            </w:pPr>
          </w:p>
          <w:p>
            <w:pPr>
              <w:pStyle w:val="TableParagraph"/>
              <w:spacing w:line="244" w:lineRule="auto"/>
              <w:ind w:left="139" w:right="126"/>
              <w:jc w:val="left"/>
              <w:rPr>
                <w:b/>
                <w:sz w:val="21"/>
              </w:rPr>
            </w:pPr>
            <w:r>
              <w:rPr>
                <w:b/>
                <w:sz w:val="21"/>
              </w:rPr>
              <w:t>样品性状</w:t>
            </w:r>
          </w:p>
        </w:tc>
        <w:tc>
          <w:tcPr>
            <w:tcW w:w="7463" w:type="dxa"/>
            <w:gridSpan w:val="8"/>
          </w:tcPr>
          <w:p>
            <w:pPr>
              <w:pStyle w:val="TableParagraph"/>
              <w:spacing w:line="257" w:lineRule="exact" w:before="5"/>
              <w:ind w:left="2684" w:right="2669"/>
              <w:rPr>
                <w:rFonts w:ascii="Times New Roman" w:eastAsia="Times New Roman"/>
                <w:b/>
                <w:sz w:val="21"/>
              </w:rPr>
            </w:pPr>
            <w:r>
              <w:rPr>
                <w:b/>
                <w:sz w:val="21"/>
              </w:rPr>
              <w:t>检测项目 单位：</w:t>
            </w:r>
            <w:r>
              <w:rPr>
                <w:rFonts w:ascii="Times New Roman" w:eastAsia="Times New Roman"/>
                <w:b/>
                <w:sz w:val="21"/>
              </w:rPr>
              <w:t>mg/L</w:t>
            </w:r>
          </w:p>
        </w:tc>
      </w:tr>
      <w:tr>
        <w:trPr>
          <w:trHeight w:val="285" w:hRule="atLeast"/>
        </w:trPr>
        <w:tc>
          <w:tcPr>
            <w:tcW w:w="1118" w:type="dxa"/>
            <w:vMerge/>
            <w:tcBorders>
              <w:top w:val="nil"/>
            </w:tcBorders>
          </w:tcPr>
          <w:p>
            <w:pPr>
              <w:rPr>
                <w:sz w:val="2"/>
                <w:szCs w:val="2"/>
              </w:rPr>
            </w:pPr>
          </w:p>
        </w:tc>
        <w:tc>
          <w:tcPr>
            <w:tcW w:w="700" w:type="dxa"/>
            <w:vMerge/>
            <w:tcBorders>
              <w:top w:val="nil"/>
            </w:tcBorders>
          </w:tcPr>
          <w:p>
            <w:pPr>
              <w:rPr>
                <w:sz w:val="2"/>
                <w:szCs w:val="2"/>
              </w:rPr>
            </w:pPr>
          </w:p>
        </w:tc>
        <w:tc>
          <w:tcPr>
            <w:tcW w:w="984" w:type="dxa"/>
            <w:vMerge w:val="restart"/>
          </w:tcPr>
          <w:p>
            <w:pPr>
              <w:pStyle w:val="TableParagraph"/>
              <w:spacing w:line="242" w:lineRule="auto" w:before="150"/>
              <w:ind w:left="173" w:right="164" w:firstLine="105"/>
              <w:jc w:val="left"/>
              <w:rPr>
                <w:b/>
                <w:sz w:val="21"/>
              </w:rPr>
            </w:pPr>
            <w:r>
              <w:rPr>
                <w:b/>
                <w:sz w:val="21"/>
              </w:rPr>
              <w:t>化学需氧量</w:t>
            </w:r>
          </w:p>
        </w:tc>
        <w:tc>
          <w:tcPr>
            <w:tcW w:w="923" w:type="dxa"/>
            <w:vMerge w:val="restart"/>
          </w:tcPr>
          <w:p>
            <w:pPr>
              <w:pStyle w:val="TableParagraph"/>
              <w:spacing w:before="2"/>
              <w:jc w:val="left"/>
              <w:rPr>
                <w:b/>
                <w:sz w:val="22"/>
              </w:rPr>
            </w:pPr>
          </w:p>
          <w:p>
            <w:pPr>
              <w:pStyle w:val="TableParagraph"/>
              <w:ind w:left="248"/>
              <w:jc w:val="left"/>
              <w:rPr>
                <w:b/>
                <w:sz w:val="21"/>
              </w:rPr>
            </w:pPr>
            <w:r>
              <w:rPr>
                <w:b/>
                <w:sz w:val="21"/>
              </w:rPr>
              <w:t>氨氮</w:t>
            </w:r>
          </w:p>
        </w:tc>
        <w:tc>
          <w:tcPr>
            <w:tcW w:w="767" w:type="dxa"/>
            <w:vMerge w:val="restart"/>
          </w:tcPr>
          <w:p>
            <w:pPr>
              <w:pStyle w:val="TableParagraph"/>
              <w:spacing w:before="2"/>
              <w:jc w:val="left"/>
              <w:rPr>
                <w:b/>
                <w:sz w:val="22"/>
              </w:rPr>
            </w:pPr>
          </w:p>
          <w:p>
            <w:pPr>
              <w:pStyle w:val="TableParagraph"/>
              <w:ind w:left="172"/>
              <w:jc w:val="left"/>
              <w:rPr>
                <w:b/>
                <w:sz w:val="21"/>
              </w:rPr>
            </w:pPr>
            <w:r>
              <w:rPr>
                <w:b/>
                <w:sz w:val="21"/>
              </w:rPr>
              <w:t>总氮</w:t>
            </w:r>
          </w:p>
        </w:tc>
        <w:tc>
          <w:tcPr>
            <w:tcW w:w="791" w:type="dxa"/>
            <w:vMerge w:val="restart"/>
          </w:tcPr>
          <w:p>
            <w:pPr>
              <w:pStyle w:val="TableParagraph"/>
              <w:spacing w:line="242" w:lineRule="auto" w:before="150"/>
              <w:ind w:left="185" w:right="170"/>
              <w:jc w:val="left"/>
              <w:rPr>
                <w:b/>
                <w:sz w:val="21"/>
              </w:rPr>
            </w:pPr>
            <w:r>
              <w:rPr>
                <w:b/>
                <w:sz w:val="21"/>
              </w:rPr>
              <w:t>硝基苯类</w:t>
            </w:r>
          </w:p>
        </w:tc>
        <w:tc>
          <w:tcPr>
            <w:tcW w:w="743" w:type="dxa"/>
            <w:vMerge w:val="restart"/>
          </w:tcPr>
          <w:p>
            <w:pPr>
              <w:pStyle w:val="TableParagraph"/>
              <w:spacing w:line="242" w:lineRule="auto" w:before="150"/>
              <w:ind w:left="268" w:right="145" w:hanging="106"/>
              <w:jc w:val="left"/>
              <w:rPr>
                <w:b/>
                <w:sz w:val="21"/>
              </w:rPr>
            </w:pPr>
            <w:r>
              <w:rPr>
                <w:b/>
                <w:sz w:val="21"/>
              </w:rPr>
              <w:t>苯胺类</w:t>
            </w:r>
          </w:p>
        </w:tc>
        <w:tc>
          <w:tcPr>
            <w:tcW w:w="923" w:type="dxa"/>
            <w:vMerge w:val="restart"/>
          </w:tcPr>
          <w:p>
            <w:pPr>
              <w:pStyle w:val="TableParagraph"/>
              <w:spacing w:before="2"/>
              <w:jc w:val="left"/>
              <w:rPr>
                <w:b/>
                <w:sz w:val="22"/>
              </w:rPr>
            </w:pPr>
          </w:p>
          <w:p>
            <w:pPr>
              <w:pStyle w:val="TableParagraph"/>
              <w:ind w:left="149"/>
              <w:jc w:val="left"/>
              <w:rPr>
                <w:b/>
                <w:sz w:val="21"/>
              </w:rPr>
            </w:pPr>
            <w:r>
              <w:rPr>
                <w:b/>
                <w:sz w:val="21"/>
              </w:rPr>
              <w:t>挥发酚</w:t>
            </w:r>
          </w:p>
        </w:tc>
        <w:tc>
          <w:tcPr>
            <w:tcW w:w="2332" w:type="dxa"/>
            <w:gridSpan w:val="2"/>
          </w:tcPr>
          <w:p>
            <w:pPr>
              <w:pStyle w:val="TableParagraph"/>
              <w:spacing w:line="257" w:lineRule="exact" w:before="8"/>
              <w:ind w:left="834" w:right="815"/>
              <w:rPr>
                <w:b/>
                <w:sz w:val="21"/>
              </w:rPr>
            </w:pPr>
            <w:r>
              <w:rPr>
                <w:b/>
                <w:sz w:val="21"/>
              </w:rPr>
              <w:t>二甲苯</w:t>
            </w:r>
          </w:p>
        </w:tc>
      </w:tr>
      <w:tr>
        <w:trPr>
          <w:trHeight w:val="544" w:hRule="atLeast"/>
        </w:trPr>
        <w:tc>
          <w:tcPr>
            <w:tcW w:w="1118" w:type="dxa"/>
            <w:vMerge/>
            <w:tcBorders>
              <w:top w:val="nil"/>
            </w:tcBorders>
          </w:tcPr>
          <w:p>
            <w:pPr>
              <w:rPr>
                <w:sz w:val="2"/>
                <w:szCs w:val="2"/>
              </w:rPr>
            </w:pPr>
          </w:p>
        </w:tc>
        <w:tc>
          <w:tcPr>
            <w:tcW w:w="700" w:type="dxa"/>
            <w:vMerge/>
            <w:tcBorders>
              <w:top w:val="nil"/>
            </w:tcBorders>
          </w:tcPr>
          <w:p>
            <w:pPr>
              <w:rPr>
                <w:sz w:val="2"/>
                <w:szCs w:val="2"/>
              </w:rPr>
            </w:pPr>
          </w:p>
        </w:tc>
        <w:tc>
          <w:tcPr>
            <w:tcW w:w="984" w:type="dxa"/>
            <w:vMerge/>
            <w:tcBorders>
              <w:top w:val="nil"/>
            </w:tcBorders>
          </w:tcPr>
          <w:p>
            <w:pPr>
              <w:rPr>
                <w:sz w:val="2"/>
                <w:szCs w:val="2"/>
              </w:rPr>
            </w:pPr>
          </w:p>
        </w:tc>
        <w:tc>
          <w:tcPr>
            <w:tcW w:w="923" w:type="dxa"/>
            <w:vMerge/>
            <w:tcBorders>
              <w:top w:val="nil"/>
            </w:tcBorders>
          </w:tcPr>
          <w:p>
            <w:pPr>
              <w:rPr>
                <w:sz w:val="2"/>
                <w:szCs w:val="2"/>
              </w:rPr>
            </w:pPr>
          </w:p>
        </w:tc>
        <w:tc>
          <w:tcPr>
            <w:tcW w:w="767" w:type="dxa"/>
            <w:vMerge/>
            <w:tcBorders>
              <w:top w:val="nil"/>
            </w:tcBorders>
          </w:tcPr>
          <w:p>
            <w:pPr>
              <w:rPr>
                <w:sz w:val="2"/>
                <w:szCs w:val="2"/>
              </w:rPr>
            </w:pPr>
          </w:p>
        </w:tc>
        <w:tc>
          <w:tcPr>
            <w:tcW w:w="791" w:type="dxa"/>
            <w:vMerge/>
            <w:tcBorders>
              <w:top w:val="nil"/>
            </w:tcBorders>
          </w:tcPr>
          <w:p>
            <w:pPr>
              <w:rPr>
                <w:sz w:val="2"/>
                <w:szCs w:val="2"/>
              </w:rPr>
            </w:pPr>
          </w:p>
        </w:tc>
        <w:tc>
          <w:tcPr>
            <w:tcW w:w="743" w:type="dxa"/>
            <w:vMerge/>
            <w:tcBorders>
              <w:top w:val="nil"/>
            </w:tcBorders>
          </w:tcPr>
          <w:p>
            <w:pPr>
              <w:rPr>
                <w:sz w:val="2"/>
                <w:szCs w:val="2"/>
              </w:rPr>
            </w:pPr>
          </w:p>
        </w:tc>
        <w:tc>
          <w:tcPr>
            <w:tcW w:w="923" w:type="dxa"/>
            <w:vMerge/>
            <w:tcBorders>
              <w:top w:val="nil"/>
            </w:tcBorders>
          </w:tcPr>
          <w:p>
            <w:pPr>
              <w:rPr>
                <w:sz w:val="2"/>
                <w:szCs w:val="2"/>
              </w:rPr>
            </w:pPr>
          </w:p>
        </w:tc>
        <w:tc>
          <w:tcPr>
            <w:tcW w:w="1243" w:type="dxa"/>
          </w:tcPr>
          <w:p>
            <w:pPr>
              <w:pStyle w:val="TableParagraph"/>
              <w:spacing w:before="1"/>
              <w:ind w:left="206"/>
              <w:jc w:val="left"/>
              <w:rPr>
                <w:b/>
                <w:sz w:val="21"/>
              </w:rPr>
            </w:pPr>
            <w:r>
              <w:rPr>
                <w:b/>
                <w:sz w:val="21"/>
              </w:rPr>
              <w:t>对（间）</w:t>
            </w:r>
          </w:p>
          <w:p>
            <w:pPr>
              <w:pStyle w:val="TableParagraph"/>
              <w:spacing w:line="252" w:lineRule="exact" w:before="2"/>
              <w:ind w:left="309"/>
              <w:jc w:val="left"/>
              <w:rPr>
                <w:b/>
                <w:sz w:val="21"/>
              </w:rPr>
            </w:pPr>
            <w:r>
              <w:rPr>
                <w:b/>
                <w:sz w:val="21"/>
              </w:rPr>
              <w:t>二甲苯</w:t>
            </w:r>
          </w:p>
        </w:tc>
        <w:tc>
          <w:tcPr>
            <w:tcW w:w="1089" w:type="dxa"/>
          </w:tcPr>
          <w:p>
            <w:pPr>
              <w:pStyle w:val="TableParagraph"/>
              <w:spacing w:before="137"/>
              <w:ind w:left="108" w:right="87"/>
              <w:rPr>
                <w:b/>
                <w:sz w:val="21"/>
              </w:rPr>
            </w:pPr>
            <w:r>
              <w:rPr>
                <w:b/>
                <w:sz w:val="21"/>
              </w:rPr>
              <w:t>邻二甲苯</w:t>
            </w:r>
          </w:p>
        </w:tc>
      </w:tr>
      <w:tr>
        <w:trPr>
          <w:trHeight w:val="544" w:hRule="atLeast"/>
        </w:trPr>
        <w:tc>
          <w:tcPr>
            <w:tcW w:w="1118" w:type="dxa"/>
          </w:tcPr>
          <w:p>
            <w:pPr>
              <w:pStyle w:val="TableParagraph"/>
              <w:spacing w:before="1"/>
              <w:ind w:left="117" w:right="105"/>
              <w:rPr>
                <w:sz w:val="21"/>
              </w:rPr>
            </w:pPr>
            <w:r>
              <w:rPr>
                <w:sz w:val="21"/>
              </w:rPr>
              <w:t>中和离心</w:t>
            </w:r>
          </w:p>
          <w:p>
            <w:pPr>
              <w:pStyle w:val="TableParagraph"/>
              <w:spacing w:line="250" w:lineRule="exact" w:before="4"/>
              <w:ind w:left="117" w:right="107"/>
              <w:rPr>
                <w:sz w:val="21"/>
              </w:rPr>
            </w:pPr>
            <w:r>
              <w:rPr>
                <w:sz w:val="21"/>
              </w:rPr>
              <w:t>出口</w:t>
            </w:r>
          </w:p>
        </w:tc>
        <w:tc>
          <w:tcPr>
            <w:tcW w:w="700" w:type="dxa"/>
          </w:tcPr>
          <w:p>
            <w:pPr>
              <w:pStyle w:val="TableParagraph"/>
              <w:spacing w:before="138"/>
              <w:ind w:left="120" w:right="109"/>
              <w:rPr>
                <w:sz w:val="21"/>
              </w:rPr>
            </w:pPr>
            <w:r>
              <w:rPr>
                <w:sz w:val="21"/>
              </w:rPr>
              <w:t>黄色</w:t>
            </w:r>
          </w:p>
        </w:tc>
        <w:tc>
          <w:tcPr>
            <w:tcW w:w="984" w:type="dxa"/>
          </w:tcPr>
          <w:p>
            <w:pPr>
              <w:pStyle w:val="TableParagraph"/>
              <w:spacing w:before="151"/>
              <w:ind w:left="334"/>
              <w:jc w:val="left"/>
              <w:rPr>
                <w:rFonts w:ascii="Times New Roman"/>
                <w:sz w:val="21"/>
              </w:rPr>
            </w:pPr>
            <w:r>
              <w:rPr>
                <w:rFonts w:ascii="Times New Roman"/>
                <w:sz w:val="21"/>
              </w:rPr>
              <w:t>395</w:t>
            </w:r>
          </w:p>
        </w:tc>
        <w:tc>
          <w:tcPr>
            <w:tcW w:w="923" w:type="dxa"/>
          </w:tcPr>
          <w:p>
            <w:pPr>
              <w:pStyle w:val="TableParagraph"/>
              <w:spacing w:before="151"/>
              <w:ind w:left="193" w:right="182"/>
              <w:rPr>
                <w:rFonts w:ascii="Times New Roman"/>
                <w:sz w:val="21"/>
              </w:rPr>
            </w:pPr>
            <w:r>
              <w:rPr>
                <w:rFonts w:ascii="Times New Roman"/>
                <w:sz w:val="21"/>
              </w:rPr>
              <w:t>42.8</w:t>
            </w:r>
          </w:p>
        </w:tc>
        <w:tc>
          <w:tcPr>
            <w:tcW w:w="767" w:type="dxa"/>
          </w:tcPr>
          <w:p>
            <w:pPr>
              <w:pStyle w:val="TableParagraph"/>
              <w:spacing w:before="151"/>
              <w:ind w:left="153" w:right="142"/>
              <w:rPr>
                <w:rFonts w:ascii="Times New Roman"/>
                <w:sz w:val="21"/>
              </w:rPr>
            </w:pPr>
            <w:r>
              <w:rPr>
                <w:rFonts w:ascii="Times New Roman"/>
                <w:sz w:val="21"/>
              </w:rPr>
              <w:t>191</w:t>
            </w:r>
          </w:p>
        </w:tc>
        <w:tc>
          <w:tcPr>
            <w:tcW w:w="791" w:type="dxa"/>
          </w:tcPr>
          <w:p>
            <w:pPr>
              <w:pStyle w:val="TableParagraph"/>
              <w:spacing w:before="151"/>
              <w:ind w:left="166" w:right="148"/>
              <w:rPr>
                <w:rFonts w:ascii="Times New Roman"/>
                <w:sz w:val="21"/>
              </w:rPr>
            </w:pPr>
            <w:r>
              <w:rPr>
                <w:rFonts w:ascii="Times New Roman"/>
                <w:sz w:val="21"/>
              </w:rPr>
              <w:t>6.1</w:t>
            </w:r>
          </w:p>
        </w:tc>
        <w:tc>
          <w:tcPr>
            <w:tcW w:w="743" w:type="dxa"/>
          </w:tcPr>
          <w:p>
            <w:pPr>
              <w:pStyle w:val="TableParagraph"/>
              <w:spacing w:before="151"/>
              <w:ind w:left="143" w:right="123"/>
              <w:rPr>
                <w:rFonts w:ascii="Times New Roman"/>
                <w:sz w:val="21"/>
              </w:rPr>
            </w:pPr>
            <w:r>
              <w:rPr>
                <w:rFonts w:ascii="Times New Roman"/>
                <w:sz w:val="21"/>
              </w:rPr>
              <w:t>4.04</w:t>
            </w:r>
          </w:p>
        </w:tc>
        <w:tc>
          <w:tcPr>
            <w:tcW w:w="923" w:type="dxa"/>
          </w:tcPr>
          <w:p>
            <w:pPr>
              <w:pStyle w:val="TableParagraph"/>
              <w:spacing w:before="151"/>
              <w:ind w:left="202" w:right="182"/>
              <w:rPr>
                <w:rFonts w:ascii="Times New Roman"/>
                <w:sz w:val="21"/>
              </w:rPr>
            </w:pPr>
            <w:r>
              <w:rPr>
                <w:rFonts w:ascii="Times New Roman"/>
                <w:sz w:val="21"/>
              </w:rPr>
              <w:t>0.05</w:t>
            </w:r>
          </w:p>
        </w:tc>
        <w:tc>
          <w:tcPr>
            <w:tcW w:w="1243" w:type="dxa"/>
          </w:tcPr>
          <w:p>
            <w:pPr>
              <w:pStyle w:val="TableParagraph"/>
              <w:spacing w:before="151"/>
              <w:ind w:left="179" w:right="158"/>
              <w:rPr>
                <w:rFonts w:ascii="Times New Roman"/>
                <w:sz w:val="21"/>
              </w:rPr>
            </w:pPr>
            <w:r>
              <w:rPr>
                <w:rFonts w:ascii="Times New Roman"/>
                <w:sz w:val="21"/>
              </w:rPr>
              <w:t>&lt;0.0005</w:t>
            </w:r>
          </w:p>
        </w:tc>
        <w:tc>
          <w:tcPr>
            <w:tcW w:w="1089" w:type="dxa"/>
          </w:tcPr>
          <w:p>
            <w:pPr>
              <w:pStyle w:val="TableParagraph"/>
              <w:spacing w:before="151"/>
              <w:ind w:left="108" w:right="87"/>
              <w:rPr>
                <w:rFonts w:ascii="Times New Roman"/>
                <w:sz w:val="21"/>
              </w:rPr>
            </w:pPr>
            <w:r>
              <w:rPr>
                <w:rFonts w:ascii="Times New Roman"/>
                <w:sz w:val="21"/>
              </w:rPr>
              <w:t>0.0021</w:t>
            </w:r>
          </w:p>
        </w:tc>
      </w:tr>
      <w:tr>
        <w:trPr>
          <w:trHeight w:val="285" w:hRule="atLeast"/>
        </w:trPr>
        <w:tc>
          <w:tcPr>
            <w:tcW w:w="1118" w:type="dxa"/>
          </w:tcPr>
          <w:p>
            <w:pPr>
              <w:pStyle w:val="TableParagraph"/>
              <w:spacing w:line="257" w:lineRule="exact" w:before="8"/>
              <w:ind w:left="117" w:right="107"/>
              <w:rPr>
                <w:sz w:val="21"/>
              </w:rPr>
            </w:pPr>
            <w:r>
              <w:rPr>
                <w:sz w:val="21"/>
              </w:rPr>
              <w:t>调节池</w:t>
            </w:r>
          </w:p>
        </w:tc>
        <w:tc>
          <w:tcPr>
            <w:tcW w:w="700" w:type="dxa"/>
          </w:tcPr>
          <w:p>
            <w:pPr>
              <w:pStyle w:val="TableParagraph"/>
              <w:spacing w:line="257" w:lineRule="exact" w:before="8"/>
              <w:ind w:left="120" w:right="109"/>
              <w:rPr>
                <w:sz w:val="21"/>
              </w:rPr>
            </w:pPr>
            <w:r>
              <w:rPr>
                <w:sz w:val="21"/>
              </w:rPr>
              <w:t>黄色</w:t>
            </w:r>
          </w:p>
        </w:tc>
        <w:tc>
          <w:tcPr>
            <w:tcW w:w="984" w:type="dxa"/>
          </w:tcPr>
          <w:p>
            <w:pPr>
              <w:pStyle w:val="TableParagraph"/>
              <w:spacing w:before="22"/>
              <w:ind w:left="334"/>
              <w:jc w:val="left"/>
              <w:rPr>
                <w:rFonts w:ascii="Times New Roman"/>
                <w:sz w:val="21"/>
              </w:rPr>
            </w:pPr>
            <w:r>
              <w:rPr>
                <w:rFonts w:ascii="Times New Roman"/>
                <w:sz w:val="21"/>
              </w:rPr>
              <w:t>417</w:t>
            </w:r>
          </w:p>
        </w:tc>
        <w:tc>
          <w:tcPr>
            <w:tcW w:w="923" w:type="dxa"/>
          </w:tcPr>
          <w:p>
            <w:pPr>
              <w:pStyle w:val="TableParagraph"/>
              <w:spacing w:before="22"/>
              <w:ind w:left="193" w:right="182"/>
              <w:rPr>
                <w:rFonts w:ascii="Times New Roman"/>
                <w:sz w:val="21"/>
              </w:rPr>
            </w:pPr>
            <w:r>
              <w:rPr>
                <w:rFonts w:ascii="Times New Roman"/>
                <w:sz w:val="21"/>
              </w:rPr>
              <w:t>55.2</w:t>
            </w:r>
          </w:p>
        </w:tc>
        <w:tc>
          <w:tcPr>
            <w:tcW w:w="767" w:type="dxa"/>
          </w:tcPr>
          <w:p>
            <w:pPr>
              <w:pStyle w:val="TableParagraph"/>
              <w:spacing w:before="22"/>
              <w:ind w:left="153" w:right="142"/>
              <w:rPr>
                <w:rFonts w:ascii="Times New Roman"/>
                <w:sz w:val="21"/>
              </w:rPr>
            </w:pPr>
            <w:r>
              <w:rPr>
                <w:rFonts w:ascii="Times New Roman"/>
                <w:sz w:val="21"/>
              </w:rPr>
              <w:t>181</w:t>
            </w:r>
          </w:p>
        </w:tc>
        <w:tc>
          <w:tcPr>
            <w:tcW w:w="791" w:type="dxa"/>
          </w:tcPr>
          <w:p>
            <w:pPr>
              <w:pStyle w:val="TableParagraph"/>
              <w:spacing w:before="22"/>
              <w:ind w:left="166" w:right="148"/>
              <w:rPr>
                <w:rFonts w:ascii="Times New Roman"/>
                <w:sz w:val="21"/>
              </w:rPr>
            </w:pPr>
            <w:r>
              <w:rPr>
                <w:rFonts w:ascii="Times New Roman"/>
                <w:sz w:val="21"/>
              </w:rPr>
              <w:t>1.4</w:t>
            </w:r>
          </w:p>
        </w:tc>
        <w:tc>
          <w:tcPr>
            <w:tcW w:w="743" w:type="dxa"/>
          </w:tcPr>
          <w:p>
            <w:pPr>
              <w:pStyle w:val="TableParagraph"/>
              <w:spacing w:before="22"/>
              <w:ind w:left="143" w:right="123"/>
              <w:rPr>
                <w:rFonts w:ascii="Times New Roman"/>
                <w:sz w:val="21"/>
              </w:rPr>
            </w:pPr>
            <w:r>
              <w:rPr>
                <w:rFonts w:ascii="Times New Roman"/>
                <w:sz w:val="21"/>
              </w:rPr>
              <w:t>2.78</w:t>
            </w:r>
          </w:p>
        </w:tc>
        <w:tc>
          <w:tcPr>
            <w:tcW w:w="923" w:type="dxa"/>
          </w:tcPr>
          <w:p>
            <w:pPr>
              <w:pStyle w:val="TableParagraph"/>
              <w:spacing w:before="22"/>
              <w:ind w:left="204" w:right="182"/>
              <w:rPr>
                <w:rFonts w:ascii="Times New Roman"/>
                <w:sz w:val="21"/>
              </w:rPr>
            </w:pPr>
            <w:r>
              <w:rPr>
                <w:rFonts w:ascii="Times New Roman"/>
                <w:sz w:val="21"/>
              </w:rPr>
              <w:t>0.11</w:t>
            </w:r>
          </w:p>
        </w:tc>
        <w:tc>
          <w:tcPr>
            <w:tcW w:w="1243" w:type="dxa"/>
          </w:tcPr>
          <w:p>
            <w:pPr>
              <w:pStyle w:val="TableParagraph"/>
              <w:spacing w:before="22"/>
              <w:ind w:left="179" w:right="158"/>
              <w:rPr>
                <w:rFonts w:ascii="Times New Roman"/>
                <w:sz w:val="21"/>
              </w:rPr>
            </w:pPr>
            <w:r>
              <w:rPr>
                <w:rFonts w:ascii="Times New Roman"/>
                <w:sz w:val="21"/>
              </w:rPr>
              <w:t>&lt;0.0005</w:t>
            </w:r>
          </w:p>
        </w:tc>
        <w:tc>
          <w:tcPr>
            <w:tcW w:w="1089" w:type="dxa"/>
          </w:tcPr>
          <w:p>
            <w:pPr>
              <w:pStyle w:val="TableParagraph"/>
              <w:spacing w:before="22"/>
              <w:ind w:left="108" w:right="87"/>
              <w:rPr>
                <w:rFonts w:ascii="Times New Roman"/>
                <w:sz w:val="21"/>
              </w:rPr>
            </w:pPr>
            <w:r>
              <w:rPr>
                <w:rFonts w:ascii="Times New Roman"/>
                <w:sz w:val="21"/>
              </w:rPr>
              <w:t>0.0031</w:t>
            </w:r>
          </w:p>
        </w:tc>
      </w:tr>
      <w:tr>
        <w:trPr>
          <w:trHeight w:val="282" w:hRule="atLeast"/>
        </w:trPr>
        <w:tc>
          <w:tcPr>
            <w:tcW w:w="1118" w:type="dxa"/>
          </w:tcPr>
          <w:p>
            <w:pPr>
              <w:pStyle w:val="TableParagraph"/>
              <w:spacing w:line="257" w:lineRule="exact" w:before="6"/>
              <w:ind w:left="117" w:right="107"/>
              <w:rPr>
                <w:sz w:val="21"/>
              </w:rPr>
            </w:pPr>
            <w:r>
              <w:rPr>
                <w:sz w:val="21"/>
              </w:rPr>
              <w:t>外排池</w:t>
            </w:r>
          </w:p>
        </w:tc>
        <w:tc>
          <w:tcPr>
            <w:tcW w:w="700" w:type="dxa"/>
          </w:tcPr>
          <w:p>
            <w:pPr>
              <w:pStyle w:val="TableParagraph"/>
              <w:spacing w:line="257" w:lineRule="exact" w:before="6"/>
              <w:ind w:left="120" w:right="109"/>
              <w:rPr>
                <w:sz w:val="21"/>
              </w:rPr>
            </w:pPr>
            <w:r>
              <w:rPr>
                <w:sz w:val="21"/>
              </w:rPr>
              <w:t>黄色</w:t>
            </w:r>
          </w:p>
        </w:tc>
        <w:tc>
          <w:tcPr>
            <w:tcW w:w="984" w:type="dxa"/>
          </w:tcPr>
          <w:p>
            <w:pPr>
              <w:pStyle w:val="TableParagraph"/>
              <w:spacing w:before="19"/>
              <w:ind w:left="334"/>
              <w:jc w:val="left"/>
              <w:rPr>
                <w:rFonts w:ascii="Times New Roman"/>
                <w:sz w:val="21"/>
              </w:rPr>
            </w:pPr>
            <w:r>
              <w:rPr>
                <w:rFonts w:ascii="Times New Roman"/>
                <w:sz w:val="21"/>
              </w:rPr>
              <w:t>150</w:t>
            </w:r>
          </w:p>
        </w:tc>
        <w:tc>
          <w:tcPr>
            <w:tcW w:w="923" w:type="dxa"/>
          </w:tcPr>
          <w:p>
            <w:pPr>
              <w:pStyle w:val="TableParagraph"/>
              <w:spacing w:before="19"/>
              <w:ind w:left="193" w:right="182"/>
              <w:rPr>
                <w:rFonts w:ascii="Times New Roman"/>
                <w:sz w:val="21"/>
              </w:rPr>
            </w:pPr>
            <w:r>
              <w:rPr>
                <w:rFonts w:ascii="Times New Roman"/>
                <w:sz w:val="21"/>
              </w:rPr>
              <w:t>1.20</w:t>
            </w:r>
          </w:p>
        </w:tc>
        <w:tc>
          <w:tcPr>
            <w:tcW w:w="767" w:type="dxa"/>
          </w:tcPr>
          <w:p>
            <w:pPr>
              <w:pStyle w:val="TableParagraph"/>
              <w:spacing w:before="19"/>
              <w:ind w:left="153" w:right="142"/>
              <w:rPr>
                <w:rFonts w:ascii="Times New Roman"/>
                <w:sz w:val="21"/>
              </w:rPr>
            </w:pPr>
            <w:r>
              <w:rPr>
                <w:rFonts w:ascii="Times New Roman"/>
                <w:sz w:val="21"/>
              </w:rPr>
              <w:t>6.81</w:t>
            </w:r>
          </w:p>
        </w:tc>
        <w:tc>
          <w:tcPr>
            <w:tcW w:w="791" w:type="dxa"/>
          </w:tcPr>
          <w:p>
            <w:pPr>
              <w:pStyle w:val="TableParagraph"/>
              <w:spacing w:before="19"/>
              <w:ind w:left="166" w:right="148"/>
              <w:rPr>
                <w:rFonts w:ascii="Times New Roman"/>
                <w:sz w:val="21"/>
              </w:rPr>
            </w:pPr>
            <w:r>
              <w:rPr>
                <w:rFonts w:ascii="Times New Roman"/>
                <w:sz w:val="21"/>
              </w:rPr>
              <w:t>1.2</w:t>
            </w:r>
          </w:p>
        </w:tc>
        <w:tc>
          <w:tcPr>
            <w:tcW w:w="743" w:type="dxa"/>
          </w:tcPr>
          <w:p>
            <w:pPr>
              <w:pStyle w:val="TableParagraph"/>
              <w:spacing w:before="19"/>
              <w:ind w:left="143" w:right="123"/>
              <w:rPr>
                <w:rFonts w:ascii="Times New Roman"/>
                <w:sz w:val="21"/>
              </w:rPr>
            </w:pPr>
            <w:r>
              <w:rPr>
                <w:rFonts w:ascii="Times New Roman"/>
                <w:sz w:val="21"/>
              </w:rPr>
              <w:t>0.66</w:t>
            </w:r>
          </w:p>
        </w:tc>
        <w:tc>
          <w:tcPr>
            <w:tcW w:w="923" w:type="dxa"/>
          </w:tcPr>
          <w:p>
            <w:pPr>
              <w:pStyle w:val="TableParagraph"/>
              <w:spacing w:before="19"/>
              <w:ind w:left="204" w:right="182"/>
              <w:rPr>
                <w:rFonts w:ascii="Times New Roman"/>
                <w:sz w:val="21"/>
              </w:rPr>
            </w:pPr>
            <w:r>
              <w:rPr>
                <w:rFonts w:ascii="Times New Roman"/>
                <w:sz w:val="21"/>
              </w:rPr>
              <w:t>&lt;0.01</w:t>
            </w:r>
          </w:p>
        </w:tc>
        <w:tc>
          <w:tcPr>
            <w:tcW w:w="1243" w:type="dxa"/>
          </w:tcPr>
          <w:p>
            <w:pPr>
              <w:pStyle w:val="TableParagraph"/>
              <w:spacing w:before="19"/>
              <w:ind w:left="179" w:right="158"/>
              <w:rPr>
                <w:rFonts w:ascii="Times New Roman"/>
                <w:sz w:val="21"/>
              </w:rPr>
            </w:pPr>
            <w:r>
              <w:rPr>
                <w:rFonts w:ascii="Times New Roman"/>
                <w:sz w:val="21"/>
              </w:rPr>
              <w:t>&lt;0.0005</w:t>
            </w:r>
          </w:p>
        </w:tc>
        <w:tc>
          <w:tcPr>
            <w:tcW w:w="1089" w:type="dxa"/>
          </w:tcPr>
          <w:p>
            <w:pPr>
              <w:pStyle w:val="TableParagraph"/>
              <w:spacing w:before="19"/>
              <w:ind w:left="108" w:right="85"/>
              <w:rPr>
                <w:rFonts w:ascii="Times New Roman"/>
                <w:sz w:val="21"/>
              </w:rPr>
            </w:pPr>
            <w:r>
              <w:rPr>
                <w:rFonts w:ascii="Times New Roman"/>
                <w:sz w:val="21"/>
              </w:rPr>
              <w:t>&lt;0.0002</w:t>
            </w:r>
          </w:p>
        </w:tc>
      </w:tr>
      <w:tr>
        <w:trPr>
          <w:trHeight w:val="285" w:hRule="atLeast"/>
        </w:trPr>
        <w:tc>
          <w:tcPr>
            <w:tcW w:w="1118" w:type="dxa"/>
          </w:tcPr>
          <w:p>
            <w:pPr>
              <w:pStyle w:val="TableParagraph"/>
              <w:spacing w:line="257" w:lineRule="exact" w:before="8"/>
              <w:ind w:left="117" w:right="107"/>
              <w:rPr>
                <w:b/>
                <w:sz w:val="21"/>
              </w:rPr>
            </w:pPr>
            <w:r>
              <w:rPr>
                <w:b/>
                <w:sz w:val="21"/>
              </w:rPr>
              <w:t>排放限值</w:t>
            </w:r>
          </w:p>
        </w:tc>
        <w:tc>
          <w:tcPr>
            <w:tcW w:w="700" w:type="dxa"/>
          </w:tcPr>
          <w:p>
            <w:pPr>
              <w:pStyle w:val="TableParagraph"/>
              <w:spacing w:before="22"/>
              <w:ind w:left="12"/>
              <w:rPr>
                <w:rFonts w:ascii="Times New Roman"/>
                <w:b/>
                <w:sz w:val="21"/>
              </w:rPr>
            </w:pPr>
            <w:r>
              <w:rPr>
                <w:rFonts w:ascii="Times New Roman"/>
                <w:b/>
                <w:w w:val="100"/>
                <w:sz w:val="21"/>
              </w:rPr>
              <w:t>/</w:t>
            </w:r>
          </w:p>
        </w:tc>
        <w:tc>
          <w:tcPr>
            <w:tcW w:w="984" w:type="dxa"/>
          </w:tcPr>
          <w:p>
            <w:pPr>
              <w:pStyle w:val="TableParagraph"/>
              <w:spacing w:before="22"/>
              <w:ind w:left="334"/>
              <w:jc w:val="left"/>
              <w:rPr>
                <w:rFonts w:ascii="Times New Roman"/>
                <w:b/>
                <w:sz w:val="21"/>
              </w:rPr>
            </w:pPr>
            <w:r>
              <w:rPr>
                <w:rFonts w:ascii="Times New Roman"/>
                <w:b/>
                <w:sz w:val="21"/>
              </w:rPr>
              <w:t>500</w:t>
            </w:r>
          </w:p>
        </w:tc>
        <w:tc>
          <w:tcPr>
            <w:tcW w:w="923" w:type="dxa"/>
          </w:tcPr>
          <w:p>
            <w:pPr>
              <w:pStyle w:val="TableParagraph"/>
              <w:spacing w:before="22"/>
              <w:ind w:left="188" w:right="182"/>
              <w:rPr>
                <w:rFonts w:ascii="Times New Roman"/>
                <w:b/>
                <w:sz w:val="21"/>
              </w:rPr>
            </w:pPr>
            <w:r>
              <w:rPr>
                <w:rFonts w:ascii="Times New Roman"/>
                <w:b/>
                <w:sz w:val="21"/>
              </w:rPr>
              <w:t>35</w:t>
            </w:r>
          </w:p>
        </w:tc>
        <w:tc>
          <w:tcPr>
            <w:tcW w:w="767" w:type="dxa"/>
          </w:tcPr>
          <w:p>
            <w:pPr>
              <w:pStyle w:val="TableParagraph"/>
              <w:spacing w:before="22"/>
              <w:ind w:left="153" w:right="142"/>
              <w:rPr>
                <w:rFonts w:ascii="Times New Roman"/>
                <w:b/>
                <w:sz w:val="21"/>
              </w:rPr>
            </w:pPr>
            <w:r>
              <w:rPr>
                <w:rFonts w:ascii="Times New Roman"/>
                <w:b/>
                <w:sz w:val="21"/>
              </w:rPr>
              <w:t>70</w:t>
            </w:r>
          </w:p>
        </w:tc>
        <w:tc>
          <w:tcPr>
            <w:tcW w:w="791" w:type="dxa"/>
          </w:tcPr>
          <w:p>
            <w:pPr>
              <w:pStyle w:val="TableParagraph"/>
              <w:spacing w:before="22"/>
              <w:ind w:left="166" w:right="148"/>
              <w:rPr>
                <w:rFonts w:ascii="Times New Roman"/>
                <w:b/>
                <w:sz w:val="21"/>
              </w:rPr>
            </w:pPr>
            <w:r>
              <w:rPr>
                <w:rFonts w:ascii="Times New Roman"/>
                <w:b/>
                <w:sz w:val="21"/>
              </w:rPr>
              <w:t>5.0</w:t>
            </w:r>
          </w:p>
        </w:tc>
        <w:tc>
          <w:tcPr>
            <w:tcW w:w="743" w:type="dxa"/>
          </w:tcPr>
          <w:p>
            <w:pPr>
              <w:pStyle w:val="TableParagraph"/>
              <w:spacing w:before="22"/>
              <w:ind w:left="143" w:right="123"/>
              <w:rPr>
                <w:rFonts w:ascii="Times New Roman"/>
                <w:b/>
                <w:sz w:val="21"/>
              </w:rPr>
            </w:pPr>
            <w:r>
              <w:rPr>
                <w:rFonts w:ascii="Times New Roman"/>
                <w:b/>
                <w:sz w:val="21"/>
              </w:rPr>
              <w:t>5.0</w:t>
            </w:r>
          </w:p>
        </w:tc>
        <w:tc>
          <w:tcPr>
            <w:tcW w:w="923" w:type="dxa"/>
          </w:tcPr>
          <w:p>
            <w:pPr>
              <w:pStyle w:val="TableParagraph"/>
              <w:spacing w:before="22"/>
              <w:ind w:left="202" w:right="182"/>
              <w:rPr>
                <w:rFonts w:ascii="Times New Roman"/>
                <w:b/>
                <w:sz w:val="21"/>
              </w:rPr>
            </w:pPr>
            <w:r>
              <w:rPr>
                <w:rFonts w:ascii="Times New Roman"/>
                <w:b/>
                <w:sz w:val="21"/>
              </w:rPr>
              <w:t>2.0</w:t>
            </w:r>
          </w:p>
        </w:tc>
        <w:tc>
          <w:tcPr>
            <w:tcW w:w="1243" w:type="dxa"/>
          </w:tcPr>
          <w:p>
            <w:pPr>
              <w:pStyle w:val="TableParagraph"/>
              <w:spacing w:before="22"/>
              <w:ind w:left="179" w:right="155"/>
              <w:rPr>
                <w:rFonts w:ascii="Times New Roman"/>
                <w:b/>
                <w:sz w:val="21"/>
              </w:rPr>
            </w:pPr>
            <w:r>
              <w:rPr>
                <w:rFonts w:ascii="Times New Roman"/>
                <w:b/>
                <w:sz w:val="21"/>
              </w:rPr>
              <w:t>1.0</w:t>
            </w:r>
          </w:p>
        </w:tc>
        <w:tc>
          <w:tcPr>
            <w:tcW w:w="1089" w:type="dxa"/>
          </w:tcPr>
          <w:p>
            <w:pPr>
              <w:pStyle w:val="TableParagraph"/>
              <w:spacing w:before="22"/>
              <w:ind w:left="108" w:right="87"/>
              <w:rPr>
                <w:rFonts w:ascii="Times New Roman"/>
                <w:b/>
                <w:sz w:val="21"/>
              </w:rPr>
            </w:pPr>
            <w:r>
              <w:rPr>
                <w:rFonts w:ascii="Times New Roman"/>
                <w:b/>
                <w:sz w:val="21"/>
              </w:rPr>
              <w:t>1.0</w:t>
            </w:r>
          </w:p>
        </w:tc>
      </w:tr>
      <w:tr>
        <w:trPr>
          <w:trHeight w:val="282" w:hRule="atLeast"/>
        </w:trPr>
        <w:tc>
          <w:tcPr>
            <w:tcW w:w="1118" w:type="dxa"/>
          </w:tcPr>
          <w:p>
            <w:pPr>
              <w:pStyle w:val="TableParagraph"/>
              <w:spacing w:line="257" w:lineRule="exact" w:before="5"/>
              <w:ind w:left="117" w:right="107"/>
              <w:rPr>
                <w:b/>
                <w:sz w:val="21"/>
              </w:rPr>
            </w:pPr>
            <w:r>
              <w:rPr>
                <w:b/>
                <w:sz w:val="21"/>
              </w:rPr>
              <w:t>达标性</w:t>
            </w:r>
          </w:p>
        </w:tc>
        <w:tc>
          <w:tcPr>
            <w:tcW w:w="700" w:type="dxa"/>
          </w:tcPr>
          <w:p>
            <w:pPr>
              <w:pStyle w:val="TableParagraph"/>
              <w:spacing w:before="19"/>
              <w:ind w:left="12"/>
              <w:rPr>
                <w:rFonts w:ascii="Times New Roman"/>
                <w:b/>
                <w:sz w:val="21"/>
              </w:rPr>
            </w:pPr>
            <w:r>
              <w:rPr>
                <w:rFonts w:ascii="Times New Roman"/>
                <w:b/>
                <w:w w:val="100"/>
                <w:sz w:val="21"/>
              </w:rPr>
              <w:t>/</w:t>
            </w:r>
          </w:p>
        </w:tc>
        <w:tc>
          <w:tcPr>
            <w:tcW w:w="984" w:type="dxa"/>
          </w:tcPr>
          <w:p>
            <w:pPr>
              <w:pStyle w:val="TableParagraph"/>
              <w:spacing w:line="257" w:lineRule="exact" w:before="5"/>
              <w:ind w:left="279"/>
              <w:jc w:val="left"/>
              <w:rPr>
                <w:b/>
                <w:sz w:val="21"/>
              </w:rPr>
            </w:pPr>
            <w:r>
              <w:rPr>
                <w:b/>
                <w:sz w:val="21"/>
              </w:rPr>
              <w:t>达标</w:t>
            </w:r>
          </w:p>
        </w:tc>
        <w:tc>
          <w:tcPr>
            <w:tcW w:w="923" w:type="dxa"/>
          </w:tcPr>
          <w:p>
            <w:pPr>
              <w:pStyle w:val="TableParagraph"/>
              <w:spacing w:line="257" w:lineRule="exact" w:before="5"/>
              <w:ind w:left="188" w:right="182"/>
              <w:rPr>
                <w:b/>
                <w:sz w:val="21"/>
              </w:rPr>
            </w:pPr>
            <w:r>
              <w:rPr>
                <w:b/>
                <w:sz w:val="21"/>
              </w:rPr>
              <w:t>达标</w:t>
            </w:r>
          </w:p>
        </w:tc>
        <w:tc>
          <w:tcPr>
            <w:tcW w:w="767" w:type="dxa"/>
          </w:tcPr>
          <w:p>
            <w:pPr>
              <w:pStyle w:val="TableParagraph"/>
              <w:spacing w:line="257" w:lineRule="exact" w:before="5"/>
              <w:ind w:left="153" w:right="142"/>
              <w:rPr>
                <w:b/>
                <w:sz w:val="21"/>
              </w:rPr>
            </w:pPr>
            <w:r>
              <w:rPr>
                <w:b/>
                <w:sz w:val="21"/>
              </w:rPr>
              <w:t>达标</w:t>
            </w:r>
          </w:p>
        </w:tc>
        <w:tc>
          <w:tcPr>
            <w:tcW w:w="791" w:type="dxa"/>
          </w:tcPr>
          <w:p>
            <w:pPr>
              <w:pStyle w:val="TableParagraph"/>
              <w:spacing w:line="257" w:lineRule="exact" w:before="5"/>
              <w:ind w:left="166" w:right="153"/>
              <w:rPr>
                <w:b/>
                <w:sz w:val="21"/>
              </w:rPr>
            </w:pPr>
            <w:r>
              <w:rPr>
                <w:b/>
                <w:sz w:val="21"/>
              </w:rPr>
              <w:t>达标</w:t>
            </w:r>
          </w:p>
        </w:tc>
        <w:tc>
          <w:tcPr>
            <w:tcW w:w="743" w:type="dxa"/>
          </w:tcPr>
          <w:p>
            <w:pPr>
              <w:pStyle w:val="TableParagraph"/>
              <w:spacing w:line="257" w:lineRule="exact" w:before="5"/>
              <w:ind w:left="143" w:right="127"/>
              <w:rPr>
                <w:b/>
                <w:sz w:val="21"/>
              </w:rPr>
            </w:pPr>
            <w:r>
              <w:rPr>
                <w:b/>
                <w:sz w:val="21"/>
              </w:rPr>
              <w:t>达标</w:t>
            </w:r>
          </w:p>
        </w:tc>
        <w:tc>
          <w:tcPr>
            <w:tcW w:w="923" w:type="dxa"/>
          </w:tcPr>
          <w:p>
            <w:pPr>
              <w:pStyle w:val="TableParagraph"/>
              <w:spacing w:line="257" w:lineRule="exact" w:before="5"/>
              <w:ind w:left="202" w:right="182"/>
              <w:rPr>
                <w:b/>
                <w:sz w:val="21"/>
              </w:rPr>
            </w:pPr>
            <w:r>
              <w:rPr>
                <w:b/>
                <w:sz w:val="21"/>
              </w:rPr>
              <w:t>达标</w:t>
            </w:r>
          </w:p>
        </w:tc>
        <w:tc>
          <w:tcPr>
            <w:tcW w:w="1243" w:type="dxa"/>
          </w:tcPr>
          <w:p>
            <w:pPr>
              <w:pStyle w:val="TableParagraph"/>
              <w:spacing w:line="257" w:lineRule="exact" w:before="5"/>
              <w:ind w:left="179" w:right="160"/>
              <w:rPr>
                <w:b/>
                <w:sz w:val="21"/>
              </w:rPr>
            </w:pPr>
            <w:r>
              <w:rPr>
                <w:b/>
                <w:sz w:val="21"/>
              </w:rPr>
              <w:t>达标</w:t>
            </w:r>
          </w:p>
        </w:tc>
        <w:tc>
          <w:tcPr>
            <w:tcW w:w="1089" w:type="dxa"/>
          </w:tcPr>
          <w:p>
            <w:pPr>
              <w:pStyle w:val="TableParagraph"/>
              <w:spacing w:line="257" w:lineRule="exact" w:before="5"/>
              <w:ind w:left="108" w:right="87"/>
              <w:rPr>
                <w:b/>
                <w:sz w:val="21"/>
              </w:rPr>
            </w:pPr>
            <w:r>
              <w:rPr>
                <w:b/>
                <w:sz w:val="21"/>
              </w:rPr>
              <w:t>达标</w:t>
            </w:r>
          </w:p>
        </w:tc>
      </w:tr>
    </w:tbl>
    <w:p>
      <w:pPr>
        <w:pStyle w:val="BodyText"/>
        <w:spacing w:line="364" w:lineRule="auto" w:before="122"/>
        <w:ind w:left="218" w:right="332" w:firstLine="480"/>
      </w:pPr>
      <w:r>
        <w:rPr>
          <w:spacing w:val="-19"/>
        </w:rPr>
        <w:t>由上表可知，</w:t>
      </w:r>
      <w:r>
        <w:rPr>
          <w:rFonts w:ascii="Times New Roman" w:eastAsia="Times New Roman"/>
        </w:rPr>
        <w:t>2022 </w:t>
      </w:r>
      <w:r>
        <w:rPr>
          <w:spacing w:val="-30"/>
        </w:rPr>
        <w:t>年 </w:t>
      </w:r>
      <w:r>
        <w:rPr>
          <w:rFonts w:ascii="Times New Roman" w:eastAsia="Times New Roman"/>
        </w:rPr>
        <w:t>2 </w:t>
      </w:r>
      <w:r>
        <w:rPr>
          <w:spacing w:val="-1"/>
        </w:rPr>
        <w:t>月监测废水处理站总排放口各监测因子浓度均符合相应标准</w:t>
      </w:r>
      <w:r>
        <w:rPr/>
        <w:t>的要求。</w:t>
      </w:r>
    </w:p>
    <w:p>
      <w:pPr>
        <w:pStyle w:val="ListParagraph"/>
        <w:numPr>
          <w:ilvl w:val="0"/>
          <w:numId w:val="16"/>
        </w:numPr>
        <w:tabs>
          <w:tab w:pos="1300" w:val="left" w:leader="none"/>
        </w:tabs>
        <w:spacing w:line="364" w:lineRule="auto" w:before="0" w:after="0"/>
        <w:ind w:left="218" w:right="356" w:firstLine="480"/>
        <w:jc w:val="left"/>
        <w:rPr>
          <w:sz w:val="24"/>
        </w:rPr>
      </w:pPr>
      <w:r>
        <w:rPr>
          <w:spacing w:val="-7"/>
          <w:sz w:val="24"/>
        </w:rPr>
        <w:t>本环评收集了企业 </w:t>
      </w:r>
      <w:r>
        <w:rPr>
          <w:rFonts w:ascii="Times New Roman" w:eastAsia="Times New Roman"/>
          <w:sz w:val="24"/>
        </w:rPr>
        <w:t>2021 </w:t>
      </w:r>
      <w:r>
        <w:rPr>
          <w:spacing w:val="-30"/>
          <w:sz w:val="24"/>
        </w:rPr>
        <w:t>年 </w:t>
      </w:r>
      <w:r>
        <w:rPr>
          <w:rFonts w:ascii="Times New Roman" w:eastAsia="Times New Roman"/>
          <w:sz w:val="24"/>
        </w:rPr>
        <w:t>6 </w:t>
      </w:r>
      <w:r>
        <w:rPr>
          <w:spacing w:val="-30"/>
          <w:sz w:val="24"/>
        </w:rPr>
        <w:t>月 </w:t>
      </w:r>
      <w:r>
        <w:rPr>
          <w:rFonts w:ascii="Times New Roman" w:eastAsia="Times New Roman"/>
          <w:sz w:val="24"/>
        </w:rPr>
        <w:t>8 </w:t>
      </w:r>
      <w:r>
        <w:rPr>
          <w:spacing w:val="-2"/>
          <w:sz w:val="24"/>
        </w:rPr>
        <w:t>日对现有废水处理设施的自行监测数据， </w:t>
      </w:r>
      <w:r>
        <w:rPr>
          <w:spacing w:val="-7"/>
          <w:sz w:val="24"/>
        </w:rPr>
        <w:t>具体情况见下表。</w:t>
      </w:r>
    </w:p>
    <w:p>
      <w:pPr>
        <w:pStyle w:val="Heading4"/>
        <w:tabs>
          <w:tab w:pos="4160" w:val="left" w:leader="none"/>
        </w:tabs>
        <w:spacing w:before="140" w:after="29"/>
        <w:ind w:left="2938"/>
      </w:pPr>
      <w:r>
        <w:rPr/>
        <w:t>表</w:t>
      </w:r>
      <w:r>
        <w:rPr>
          <w:spacing w:val="-60"/>
        </w:rPr>
        <w:t> </w:t>
      </w:r>
      <w:r>
        <w:rPr>
          <w:rFonts w:ascii="Times New Roman" w:eastAsia="Times New Roman"/>
        </w:rPr>
        <w:t>3.4.2-2</w:t>
        <w:tab/>
      </w:r>
      <w:r>
        <w:rPr/>
        <w:t>贝斯美污水站监测结果</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7"/>
        <w:gridCol w:w="540"/>
        <w:gridCol w:w="542"/>
        <w:gridCol w:w="538"/>
        <w:gridCol w:w="679"/>
        <w:gridCol w:w="835"/>
        <w:gridCol w:w="585"/>
        <w:gridCol w:w="689"/>
        <w:gridCol w:w="686"/>
        <w:gridCol w:w="585"/>
        <w:gridCol w:w="688"/>
        <w:gridCol w:w="919"/>
        <w:gridCol w:w="911"/>
      </w:tblGrid>
      <w:tr>
        <w:trPr>
          <w:trHeight w:val="285" w:hRule="atLeast"/>
        </w:trPr>
        <w:tc>
          <w:tcPr>
            <w:tcW w:w="1087" w:type="dxa"/>
            <w:vMerge w:val="restart"/>
          </w:tcPr>
          <w:p>
            <w:pPr>
              <w:pStyle w:val="TableParagraph"/>
              <w:jc w:val="left"/>
              <w:rPr>
                <w:b/>
                <w:sz w:val="20"/>
              </w:rPr>
            </w:pPr>
          </w:p>
          <w:p>
            <w:pPr>
              <w:pStyle w:val="TableParagraph"/>
              <w:spacing w:before="6"/>
              <w:jc w:val="left"/>
              <w:rPr>
                <w:b/>
                <w:sz w:val="23"/>
              </w:rPr>
            </w:pPr>
          </w:p>
          <w:p>
            <w:pPr>
              <w:pStyle w:val="TableParagraph"/>
              <w:spacing w:before="1"/>
              <w:ind w:left="225"/>
              <w:jc w:val="left"/>
              <w:rPr>
                <w:b/>
                <w:sz w:val="21"/>
              </w:rPr>
            </w:pPr>
            <w:r>
              <w:rPr>
                <w:b/>
                <w:sz w:val="21"/>
              </w:rPr>
              <w:t>采样点</w:t>
            </w:r>
          </w:p>
        </w:tc>
        <w:tc>
          <w:tcPr>
            <w:tcW w:w="540" w:type="dxa"/>
            <w:vMerge w:val="restart"/>
          </w:tcPr>
          <w:p>
            <w:pPr>
              <w:pStyle w:val="TableParagraph"/>
              <w:spacing w:line="242" w:lineRule="auto" w:before="150"/>
              <w:ind w:left="163" w:right="153"/>
              <w:jc w:val="both"/>
              <w:rPr>
                <w:b/>
                <w:sz w:val="21"/>
              </w:rPr>
            </w:pPr>
            <w:r>
              <w:rPr>
                <w:b/>
                <w:sz w:val="21"/>
              </w:rPr>
              <w:t>样品性状</w:t>
            </w:r>
          </w:p>
        </w:tc>
        <w:tc>
          <w:tcPr>
            <w:tcW w:w="7657" w:type="dxa"/>
            <w:gridSpan w:val="11"/>
          </w:tcPr>
          <w:p>
            <w:pPr>
              <w:pStyle w:val="TableParagraph"/>
              <w:spacing w:line="257" w:lineRule="exact" w:before="8"/>
              <w:ind w:left="2779" w:right="2768"/>
              <w:rPr>
                <w:rFonts w:ascii="Times New Roman" w:eastAsia="Times New Roman"/>
                <w:b/>
                <w:sz w:val="21"/>
              </w:rPr>
            </w:pPr>
            <w:r>
              <w:rPr>
                <w:b/>
                <w:sz w:val="21"/>
              </w:rPr>
              <w:t>检测项目 单位：</w:t>
            </w:r>
            <w:r>
              <w:rPr>
                <w:rFonts w:ascii="Times New Roman" w:eastAsia="Times New Roman"/>
                <w:b/>
                <w:sz w:val="21"/>
              </w:rPr>
              <w:t>mg/L</w:t>
            </w:r>
          </w:p>
        </w:tc>
      </w:tr>
      <w:tr>
        <w:trPr>
          <w:trHeight w:val="282" w:hRule="atLeast"/>
        </w:trPr>
        <w:tc>
          <w:tcPr>
            <w:tcW w:w="1087" w:type="dxa"/>
            <w:vMerge/>
            <w:tcBorders>
              <w:top w:val="nil"/>
            </w:tcBorders>
          </w:tcPr>
          <w:p>
            <w:pPr>
              <w:rPr>
                <w:sz w:val="2"/>
                <w:szCs w:val="2"/>
              </w:rPr>
            </w:pPr>
          </w:p>
        </w:tc>
        <w:tc>
          <w:tcPr>
            <w:tcW w:w="540" w:type="dxa"/>
            <w:vMerge/>
            <w:tcBorders>
              <w:top w:val="nil"/>
            </w:tcBorders>
          </w:tcPr>
          <w:p>
            <w:pPr>
              <w:rPr>
                <w:sz w:val="2"/>
                <w:szCs w:val="2"/>
              </w:rPr>
            </w:pPr>
          </w:p>
        </w:tc>
        <w:tc>
          <w:tcPr>
            <w:tcW w:w="542" w:type="dxa"/>
            <w:vMerge w:val="restart"/>
          </w:tcPr>
          <w:p>
            <w:pPr>
              <w:pStyle w:val="TableParagraph"/>
              <w:spacing w:before="5"/>
              <w:jc w:val="left"/>
              <w:rPr>
                <w:b/>
                <w:sz w:val="21"/>
              </w:rPr>
            </w:pPr>
          </w:p>
          <w:p>
            <w:pPr>
              <w:pStyle w:val="TableParagraph"/>
              <w:spacing w:line="242" w:lineRule="auto"/>
              <w:ind w:left="163" w:right="155"/>
              <w:jc w:val="left"/>
              <w:rPr>
                <w:b/>
                <w:sz w:val="21"/>
              </w:rPr>
            </w:pPr>
            <w:r>
              <w:rPr>
                <w:b/>
                <w:sz w:val="21"/>
              </w:rPr>
              <w:t>色度</w:t>
            </w:r>
          </w:p>
        </w:tc>
        <w:tc>
          <w:tcPr>
            <w:tcW w:w="538" w:type="dxa"/>
            <w:vMerge w:val="restart"/>
          </w:tcPr>
          <w:p>
            <w:pPr>
              <w:pStyle w:val="TableParagraph"/>
              <w:spacing w:line="242" w:lineRule="auto" w:before="137"/>
              <w:ind w:left="163" w:right="151"/>
              <w:jc w:val="both"/>
              <w:rPr>
                <w:b/>
                <w:sz w:val="21"/>
              </w:rPr>
            </w:pPr>
            <w:r>
              <w:rPr>
                <w:b/>
                <w:sz w:val="21"/>
              </w:rPr>
              <w:t>悬浮物</w:t>
            </w:r>
          </w:p>
        </w:tc>
        <w:tc>
          <w:tcPr>
            <w:tcW w:w="679" w:type="dxa"/>
            <w:vMerge w:val="restart"/>
          </w:tcPr>
          <w:p>
            <w:pPr>
              <w:pStyle w:val="TableParagraph"/>
              <w:jc w:val="left"/>
              <w:rPr>
                <w:b/>
                <w:sz w:val="20"/>
              </w:rPr>
            </w:pPr>
          </w:p>
          <w:p>
            <w:pPr>
              <w:pStyle w:val="TableParagraph"/>
              <w:spacing w:before="152"/>
              <w:ind w:left="127"/>
              <w:jc w:val="left"/>
              <w:rPr>
                <w:b/>
                <w:sz w:val="21"/>
              </w:rPr>
            </w:pPr>
            <w:r>
              <w:rPr>
                <w:b/>
                <w:sz w:val="21"/>
              </w:rPr>
              <w:t>总氮</w:t>
            </w:r>
          </w:p>
        </w:tc>
        <w:tc>
          <w:tcPr>
            <w:tcW w:w="835" w:type="dxa"/>
            <w:vMerge w:val="restart"/>
          </w:tcPr>
          <w:p>
            <w:pPr>
              <w:pStyle w:val="TableParagraph"/>
              <w:spacing w:line="242" w:lineRule="auto" w:before="1"/>
              <w:ind w:left="207" w:right="193"/>
              <w:jc w:val="both"/>
              <w:rPr>
                <w:b/>
                <w:sz w:val="21"/>
              </w:rPr>
            </w:pPr>
            <w:r>
              <w:rPr>
                <w:b/>
                <w:sz w:val="21"/>
              </w:rPr>
              <w:t>五日生化需氧</w:t>
            </w:r>
          </w:p>
          <w:p>
            <w:pPr>
              <w:pStyle w:val="TableParagraph"/>
              <w:spacing w:line="252" w:lineRule="exact"/>
              <w:ind w:left="11"/>
              <w:rPr>
                <w:b/>
                <w:sz w:val="21"/>
              </w:rPr>
            </w:pPr>
            <w:r>
              <w:rPr>
                <w:b/>
                <w:w w:val="100"/>
                <w:sz w:val="21"/>
              </w:rPr>
              <w:t>量</w:t>
            </w:r>
          </w:p>
        </w:tc>
        <w:tc>
          <w:tcPr>
            <w:tcW w:w="585" w:type="dxa"/>
            <w:vMerge w:val="restart"/>
          </w:tcPr>
          <w:p>
            <w:pPr>
              <w:pStyle w:val="TableParagraph"/>
              <w:spacing w:line="242" w:lineRule="auto" w:before="137"/>
              <w:ind w:left="185" w:right="176"/>
              <w:jc w:val="both"/>
              <w:rPr>
                <w:b/>
                <w:sz w:val="21"/>
              </w:rPr>
            </w:pPr>
            <w:r>
              <w:rPr>
                <w:b/>
                <w:sz w:val="21"/>
              </w:rPr>
              <w:t>石油类</w:t>
            </w:r>
          </w:p>
        </w:tc>
        <w:tc>
          <w:tcPr>
            <w:tcW w:w="689" w:type="dxa"/>
            <w:vMerge w:val="restart"/>
          </w:tcPr>
          <w:p>
            <w:pPr>
              <w:pStyle w:val="TableParagraph"/>
              <w:spacing w:before="5"/>
              <w:jc w:val="left"/>
              <w:rPr>
                <w:b/>
                <w:sz w:val="21"/>
              </w:rPr>
            </w:pPr>
          </w:p>
          <w:p>
            <w:pPr>
              <w:pStyle w:val="TableParagraph"/>
              <w:spacing w:line="242" w:lineRule="auto"/>
              <w:ind w:left="236" w:right="123" w:hanging="106"/>
              <w:jc w:val="left"/>
              <w:rPr>
                <w:b/>
                <w:sz w:val="21"/>
              </w:rPr>
            </w:pPr>
            <w:r>
              <w:rPr>
                <w:b/>
                <w:sz w:val="21"/>
              </w:rPr>
              <w:t>硫化物</w:t>
            </w:r>
          </w:p>
        </w:tc>
        <w:tc>
          <w:tcPr>
            <w:tcW w:w="686" w:type="dxa"/>
            <w:vMerge w:val="restart"/>
          </w:tcPr>
          <w:p>
            <w:pPr>
              <w:pStyle w:val="TableParagraph"/>
              <w:spacing w:before="5"/>
              <w:jc w:val="left"/>
              <w:rPr>
                <w:b/>
                <w:sz w:val="21"/>
              </w:rPr>
            </w:pPr>
          </w:p>
          <w:p>
            <w:pPr>
              <w:pStyle w:val="TableParagraph"/>
              <w:spacing w:line="242" w:lineRule="auto"/>
              <w:ind w:left="131" w:right="120"/>
              <w:jc w:val="left"/>
              <w:rPr>
                <w:b/>
                <w:sz w:val="21"/>
              </w:rPr>
            </w:pPr>
            <w:r>
              <w:rPr>
                <w:b/>
                <w:sz w:val="21"/>
              </w:rPr>
              <w:t>硝基苯类</w:t>
            </w:r>
          </w:p>
        </w:tc>
        <w:tc>
          <w:tcPr>
            <w:tcW w:w="585" w:type="dxa"/>
            <w:vMerge w:val="restart"/>
          </w:tcPr>
          <w:p>
            <w:pPr>
              <w:pStyle w:val="TableParagraph"/>
              <w:spacing w:line="242" w:lineRule="auto" w:before="137"/>
              <w:ind w:left="186" w:right="174"/>
              <w:jc w:val="both"/>
              <w:rPr>
                <w:b/>
                <w:sz w:val="21"/>
              </w:rPr>
            </w:pPr>
            <w:r>
              <w:rPr>
                <w:b/>
                <w:sz w:val="21"/>
              </w:rPr>
              <w:t>苯胺类</w:t>
            </w:r>
          </w:p>
        </w:tc>
        <w:tc>
          <w:tcPr>
            <w:tcW w:w="688" w:type="dxa"/>
            <w:vMerge w:val="restart"/>
          </w:tcPr>
          <w:p>
            <w:pPr>
              <w:pStyle w:val="TableParagraph"/>
              <w:spacing w:before="5"/>
              <w:jc w:val="left"/>
              <w:rPr>
                <w:b/>
                <w:sz w:val="21"/>
              </w:rPr>
            </w:pPr>
          </w:p>
          <w:p>
            <w:pPr>
              <w:pStyle w:val="TableParagraph"/>
              <w:spacing w:line="242" w:lineRule="auto"/>
              <w:ind w:left="237" w:right="121" w:hanging="106"/>
              <w:jc w:val="left"/>
              <w:rPr>
                <w:b/>
                <w:sz w:val="21"/>
              </w:rPr>
            </w:pPr>
            <w:r>
              <w:rPr>
                <w:b/>
                <w:sz w:val="21"/>
              </w:rPr>
              <w:t>挥发酚</w:t>
            </w:r>
          </w:p>
        </w:tc>
        <w:tc>
          <w:tcPr>
            <w:tcW w:w="1830" w:type="dxa"/>
            <w:gridSpan w:val="2"/>
          </w:tcPr>
          <w:p>
            <w:pPr>
              <w:pStyle w:val="TableParagraph"/>
              <w:spacing w:line="257" w:lineRule="exact" w:before="6"/>
              <w:ind w:left="599"/>
              <w:jc w:val="left"/>
              <w:rPr>
                <w:b/>
                <w:sz w:val="21"/>
              </w:rPr>
            </w:pPr>
            <w:r>
              <w:rPr>
                <w:b/>
                <w:sz w:val="21"/>
              </w:rPr>
              <w:t>二甲苯</w:t>
            </w:r>
          </w:p>
        </w:tc>
      </w:tr>
      <w:tr>
        <w:trPr>
          <w:trHeight w:val="796" w:hRule="atLeast"/>
        </w:trPr>
        <w:tc>
          <w:tcPr>
            <w:tcW w:w="1087" w:type="dxa"/>
            <w:vMerge/>
            <w:tcBorders>
              <w:top w:val="nil"/>
            </w:tcBorders>
          </w:tcPr>
          <w:p>
            <w:pPr>
              <w:rPr>
                <w:sz w:val="2"/>
                <w:szCs w:val="2"/>
              </w:rPr>
            </w:pPr>
          </w:p>
        </w:tc>
        <w:tc>
          <w:tcPr>
            <w:tcW w:w="540" w:type="dxa"/>
            <w:vMerge/>
            <w:tcBorders>
              <w:top w:val="nil"/>
            </w:tcBorders>
          </w:tcPr>
          <w:p>
            <w:pPr>
              <w:rPr>
                <w:sz w:val="2"/>
                <w:szCs w:val="2"/>
              </w:rPr>
            </w:pPr>
          </w:p>
        </w:tc>
        <w:tc>
          <w:tcPr>
            <w:tcW w:w="542" w:type="dxa"/>
            <w:vMerge/>
            <w:tcBorders>
              <w:top w:val="nil"/>
            </w:tcBorders>
          </w:tcPr>
          <w:p>
            <w:pPr>
              <w:rPr>
                <w:sz w:val="2"/>
                <w:szCs w:val="2"/>
              </w:rPr>
            </w:pPr>
          </w:p>
        </w:tc>
        <w:tc>
          <w:tcPr>
            <w:tcW w:w="538" w:type="dxa"/>
            <w:vMerge/>
            <w:tcBorders>
              <w:top w:val="nil"/>
            </w:tcBorders>
          </w:tcPr>
          <w:p>
            <w:pPr>
              <w:rPr>
                <w:sz w:val="2"/>
                <w:szCs w:val="2"/>
              </w:rPr>
            </w:pPr>
          </w:p>
        </w:tc>
        <w:tc>
          <w:tcPr>
            <w:tcW w:w="679" w:type="dxa"/>
            <w:vMerge/>
            <w:tcBorders>
              <w:top w:val="nil"/>
            </w:tcBorders>
          </w:tcPr>
          <w:p>
            <w:pPr>
              <w:rPr>
                <w:sz w:val="2"/>
                <w:szCs w:val="2"/>
              </w:rPr>
            </w:pPr>
          </w:p>
        </w:tc>
        <w:tc>
          <w:tcPr>
            <w:tcW w:w="835" w:type="dxa"/>
            <w:vMerge/>
            <w:tcBorders>
              <w:top w:val="nil"/>
            </w:tcBorders>
          </w:tcPr>
          <w:p>
            <w:pPr>
              <w:rPr>
                <w:sz w:val="2"/>
                <w:szCs w:val="2"/>
              </w:rPr>
            </w:pPr>
          </w:p>
        </w:tc>
        <w:tc>
          <w:tcPr>
            <w:tcW w:w="585" w:type="dxa"/>
            <w:vMerge/>
            <w:tcBorders>
              <w:top w:val="nil"/>
            </w:tcBorders>
          </w:tcPr>
          <w:p>
            <w:pPr>
              <w:rPr>
                <w:sz w:val="2"/>
                <w:szCs w:val="2"/>
              </w:rPr>
            </w:pPr>
          </w:p>
        </w:tc>
        <w:tc>
          <w:tcPr>
            <w:tcW w:w="689" w:type="dxa"/>
            <w:vMerge/>
            <w:tcBorders>
              <w:top w:val="nil"/>
            </w:tcBorders>
          </w:tcPr>
          <w:p>
            <w:pPr>
              <w:rPr>
                <w:sz w:val="2"/>
                <w:szCs w:val="2"/>
              </w:rPr>
            </w:pPr>
          </w:p>
        </w:tc>
        <w:tc>
          <w:tcPr>
            <w:tcW w:w="686" w:type="dxa"/>
            <w:vMerge/>
            <w:tcBorders>
              <w:top w:val="nil"/>
            </w:tcBorders>
          </w:tcPr>
          <w:p>
            <w:pPr>
              <w:rPr>
                <w:sz w:val="2"/>
                <w:szCs w:val="2"/>
              </w:rPr>
            </w:pPr>
          </w:p>
        </w:tc>
        <w:tc>
          <w:tcPr>
            <w:tcW w:w="585" w:type="dxa"/>
            <w:vMerge/>
            <w:tcBorders>
              <w:top w:val="nil"/>
            </w:tcBorders>
          </w:tcPr>
          <w:p>
            <w:pPr>
              <w:rPr>
                <w:sz w:val="2"/>
                <w:szCs w:val="2"/>
              </w:rPr>
            </w:pPr>
          </w:p>
        </w:tc>
        <w:tc>
          <w:tcPr>
            <w:tcW w:w="688" w:type="dxa"/>
            <w:vMerge/>
            <w:tcBorders>
              <w:top w:val="nil"/>
            </w:tcBorders>
          </w:tcPr>
          <w:p>
            <w:pPr>
              <w:rPr>
                <w:sz w:val="2"/>
                <w:szCs w:val="2"/>
              </w:rPr>
            </w:pPr>
          </w:p>
        </w:tc>
        <w:tc>
          <w:tcPr>
            <w:tcW w:w="919" w:type="dxa"/>
          </w:tcPr>
          <w:p>
            <w:pPr>
              <w:pStyle w:val="TableParagraph"/>
              <w:spacing w:line="242" w:lineRule="auto" w:before="128"/>
              <w:ind w:left="142" w:right="-15" w:hanging="34"/>
              <w:jc w:val="left"/>
              <w:rPr>
                <w:b/>
                <w:sz w:val="21"/>
              </w:rPr>
            </w:pPr>
            <w:r>
              <w:rPr>
                <w:b/>
                <w:spacing w:val="-36"/>
                <w:sz w:val="21"/>
              </w:rPr>
              <w:t>对</w:t>
            </w:r>
            <w:r>
              <w:rPr>
                <w:b/>
                <w:sz w:val="21"/>
              </w:rPr>
              <w:t>（间</w:t>
            </w:r>
            <w:r>
              <w:rPr>
                <w:b/>
                <w:spacing w:val="-13"/>
                <w:sz w:val="21"/>
              </w:rPr>
              <w:t>） </w:t>
            </w:r>
            <w:r>
              <w:rPr>
                <w:b/>
                <w:sz w:val="21"/>
              </w:rPr>
              <w:t>二甲苯</w:t>
            </w:r>
          </w:p>
        </w:tc>
        <w:tc>
          <w:tcPr>
            <w:tcW w:w="911" w:type="dxa"/>
          </w:tcPr>
          <w:p>
            <w:pPr>
              <w:pStyle w:val="TableParagraph"/>
              <w:spacing w:line="242" w:lineRule="auto" w:before="128"/>
              <w:ind w:left="352" w:right="124" w:hanging="212"/>
              <w:jc w:val="left"/>
              <w:rPr>
                <w:b/>
                <w:sz w:val="21"/>
              </w:rPr>
            </w:pPr>
            <w:r>
              <w:rPr>
                <w:b/>
                <w:sz w:val="21"/>
              </w:rPr>
              <w:t>邻二甲苯</w:t>
            </w:r>
          </w:p>
        </w:tc>
      </w:tr>
      <w:tr>
        <w:trPr>
          <w:trHeight w:val="544" w:hRule="atLeast"/>
        </w:trPr>
        <w:tc>
          <w:tcPr>
            <w:tcW w:w="1087" w:type="dxa"/>
          </w:tcPr>
          <w:p>
            <w:pPr>
              <w:pStyle w:val="TableParagraph"/>
              <w:spacing w:before="138"/>
              <w:ind w:left="102" w:right="90"/>
              <w:rPr>
                <w:sz w:val="21"/>
              </w:rPr>
            </w:pPr>
            <w:r>
              <w:rPr>
                <w:sz w:val="21"/>
              </w:rPr>
              <w:t>排放口</w:t>
            </w:r>
          </w:p>
        </w:tc>
        <w:tc>
          <w:tcPr>
            <w:tcW w:w="540" w:type="dxa"/>
          </w:tcPr>
          <w:p>
            <w:pPr>
              <w:pStyle w:val="TableParagraph"/>
              <w:spacing w:before="1"/>
              <w:ind w:left="163"/>
              <w:jc w:val="left"/>
              <w:rPr>
                <w:sz w:val="21"/>
              </w:rPr>
            </w:pPr>
            <w:r>
              <w:rPr>
                <w:w w:val="100"/>
                <w:sz w:val="21"/>
              </w:rPr>
              <w:t>黄</w:t>
            </w:r>
          </w:p>
          <w:p>
            <w:pPr>
              <w:pStyle w:val="TableParagraph"/>
              <w:spacing w:line="250" w:lineRule="exact" w:before="4"/>
              <w:ind w:left="163"/>
              <w:jc w:val="left"/>
              <w:rPr>
                <w:sz w:val="21"/>
              </w:rPr>
            </w:pPr>
            <w:r>
              <w:rPr>
                <w:w w:val="100"/>
                <w:sz w:val="21"/>
              </w:rPr>
              <w:t>色</w:t>
            </w:r>
          </w:p>
        </w:tc>
        <w:tc>
          <w:tcPr>
            <w:tcW w:w="542" w:type="dxa"/>
          </w:tcPr>
          <w:p>
            <w:pPr>
              <w:pStyle w:val="TableParagraph"/>
              <w:spacing w:before="151"/>
              <w:ind w:left="37" w:right="32"/>
              <w:rPr>
                <w:rFonts w:ascii="Times New Roman"/>
                <w:sz w:val="21"/>
              </w:rPr>
            </w:pPr>
            <w:r>
              <w:rPr>
                <w:rFonts w:ascii="Times New Roman"/>
                <w:sz w:val="21"/>
              </w:rPr>
              <w:t>42</w:t>
            </w:r>
          </w:p>
        </w:tc>
        <w:tc>
          <w:tcPr>
            <w:tcW w:w="538" w:type="dxa"/>
          </w:tcPr>
          <w:p>
            <w:pPr>
              <w:pStyle w:val="TableParagraph"/>
              <w:spacing w:before="151"/>
              <w:ind w:right="151"/>
              <w:jc w:val="right"/>
              <w:rPr>
                <w:rFonts w:ascii="Times New Roman"/>
                <w:sz w:val="21"/>
              </w:rPr>
            </w:pPr>
            <w:r>
              <w:rPr>
                <w:rFonts w:ascii="Times New Roman"/>
                <w:sz w:val="21"/>
              </w:rPr>
              <w:t>16</w:t>
            </w:r>
          </w:p>
        </w:tc>
        <w:tc>
          <w:tcPr>
            <w:tcW w:w="679" w:type="dxa"/>
          </w:tcPr>
          <w:p>
            <w:pPr>
              <w:pStyle w:val="TableParagraph"/>
              <w:spacing w:before="151"/>
              <w:ind w:left="107" w:right="94"/>
              <w:rPr>
                <w:rFonts w:ascii="Times New Roman"/>
                <w:sz w:val="21"/>
              </w:rPr>
            </w:pPr>
            <w:r>
              <w:rPr>
                <w:rFonts w:ascii="Times New Roman"/>
                <w:sz w:val="21"/>
              </w:rPr>
              <w:t>16.1</w:t>
            </w:r>
          </w:p>
        </w:tc>
        <w:tc>
          <w:tcPr>
            <w:tcW w:w="835" w:type="dxa"/>
          </w:tcPr>
          <w:p>
            <w:pPr>
              <w:pStyle w:val="TableParagraph"/>
              <w:spacing w:before="151"/>
              <w:ind w:left="233"/>
              <w:jc w:val="left"/>
              <w:rPr>
                <w:rFonts w:ascii="Times New Roman"/>
                <w:sz w:val="21"/>
              </w:rPr>
            </w:pPr>
            <w:r>
              <w:rPr>
                <w:rFonts w:ascii="Times New Roman"/>
                <w:sz w:val="21"/>
              </w:rPr>
              <w:t>41.4</w:t>
            </w:r>
          </w:p>
        </w:tc>
        <w:tc>
          <w:tcPr>
            <w:tcW w:w="585" w:type="dxa"/>
          </w:tcPr>
          <w:p>
            <w:pPr>
              <w:pStyle w:val="TableParagraph"/>
              <w:spacing w:before="151"/>
              <w:ind w:left="108"/>
              <w:jc w:val="left"/>
              <w:rPr>
                <w:rFonts w:ascii="Times New Roman"/>
                <w:sz w:val="21"/>
              </w:rPr>
            </w:pPr>
            <w:r>
              <w:rPr>
                <w:rFonts w:ascii="Times New Roman"/>
                <w:sz w:val="21"/>
              </w:rPr>
              <w:t>0.37</w:t>
            </w:r>
          </w:p>
        </w:tc>
        <w:tc>
          <w:tcPr>
            <w:tcW w:w="689" w:type="dxa"/>
          </w:tcPr>
          <w:p>
            <w:pPr>
              <w:pStyle w:val="TableParagraph"/>
              <w:spacing w:before="151"/>
              <w:ind w:left="88" w:right="78"/>
              <w:rPr>
                <w:rFonts w:ascii="Times New Roman"/>
                <w:sz w:val="21"/>
              </w:rPr>
            </w:pPr>
            <w:r>
              <w:rPr>
                <w:rFonts w:ascii="Times New Roman"/>
                <w:sz w:val="21"/>
              </w:rPr>
              <w:t>0.045</w:t>
            </w:r>
          </w:p>
        </w:tc>
        <w:tc>
          <w:tcPr>
            <w:tcW w:w="686" w:type="dxa"/>
          </w:tcPr>
          <w:p>
            <w:pPr>
              <w:pStyle w:val="TableParagraph"/>
              <w:spacing w:before="151"/>
              <w:ind w:left="160"/>
              <w:jc w:val="left"/>
              <w:rPr>
                <w:rFonts w:ascii="Times New Roman"/>
                <w:sz w:val="21"/>
              </w:rPr>
            </w:pPr>
            <w:r>
              <w:rPr>
                <w:rFonts w:ascii="Times New Roman"/>
                <w:sz w:val="21"/>
              </w:rPr>
              <w:t>2.20</w:t>
            </w:r>
          </w:p>
        </w:tc>
        <w:tc>
          <w:tcPr>
            <w:tcW w:w="585" w:type="dxa"/>
          </w:tcPr>
          <w:p>
            <w:pPr>
              <w:pStyle w:val="TableParagraph"/>
              <w:spacing w:before="151"/>
              <w:ind w:left="90" w:right="76"/>
              <w:rPr>
                <w:rFonts w:ascii="Times New Roman"/>
                <w:sz w:val="21"/>
              </w:rPr>
            </w:pPr>
            <w:r>
              <w:rPr>
                <w:rFonts w:ascii="Times New Roman"/>
                <w:sz w:val="21"/>
              </w:rPr>
              <w:t>0.73</w:t>
            </w:r>
          </w:p>
        </w:tc>
        <w:tc>
          <w:tcPr>
            <w:tcW w:w="688" w:type="dxa"/>
          </w:tcPr>
          <w:p>
            <w:pPr>
              <w:pStyle w:val="TableParagraph"/>
              <w:spacing w:before="151"/>
              <w:ind w:left="89" w:right="76"/>
              <w:rPr>
                <w:rFonts w:ascii="Times New Roman"/>
                <w:sz w:val="21"/>
              </w:rPr>
            </w:pPr>
            <w:r>
              <w:rPr>
                <w:rFonts w:ascii="Times New Roman"/>
                <w:sz w:val="21"/>
              </w:rPr>
              <w:t>0.070</w:t>
            </w:r>
          </w:p>
        </w:tc>
        <w:tc>
          <w:tcPr>
            <w:tcW w:w="919" w:type="dxa"/>
          </w:tcPr>
          <w:p>
            <w:pPr>
              <w:pStyle w:val="TableParagraph"/>
              <w:spacing w:before="151"/>
              <w:ind w:left="16" w:right="4"/>
              <w:rPr>
                <w:rFonts w:ascii="Times New Roman"/>
                <w:sz w:val="21"/>
              </w:rPr>
            </w:pPr>
            <w:r>
              <w:rPr>
                <w:rFonts w:ascii="Times New Roman"/>
                <w:sz w:val="21"/>
              </w:rPr>
              <w:t>&lt;0.0022</w:t>
            </w:r>
          </w:p>
        </w:tc>
        <w:tc>
          <w:tcPr>
            <w:tcW w:w="911" w:type="dxa"/>
          </w:tcPr>
          <w:p>
            <w:pPr>
              <w:pStyle w:val="TableParagraph"/>
              <w:spacing w:before="151"/>
              <w:ind w:left="91" w:right="74"/>
              <w:rPr>
                <w:rFonts w:ascii="Times New Roman"/>
                <w:sz w:val="21"/>
              </w:rPr>
            </w:pPr>
            <w:r>
              <w:rPr>
                <w:rFonts w:ascii="Times New Roman"/>
                <w:sz w:val="21"/>
              </w:rPr>
              <w:t>&lt;0.0014</w:t>
            </w:r>
          </w:p>
        </w:tc>
      </w:tr>
      <w:tr>
        <w:trPr>
          <w:trHeight w:val="285" w:hRule="atLeast"/>
        </w:trPr>
        <w:tc>
          <w:tcPr>
            <w:tcW w:w="1087" w:type="dxa"/>
          </w:tcPr>
          <w:p>
            <w:pPr>
              <w:pStyle w:val="TableParagraph"/>
              <w:spacing w:line="257" w:lineRule="exact" w:before="8"/>
              <w:ind w:left="102" w:right="90"/>
              <w:rPr>
                <w:b/>
                <w:sz w:val="21"/>
              </w:rPr>
            </w:pPr>
            <w:r>
              <w:rPr>
                <w:b/>
                <w:sz w:val="21"/>
              </w:rPr>
              <w:t>排放限值</w:t>
            </w:r>
          </w:p>
        </w:tc>
        <w:tc>
          <w:tcPr>
            <w:tcW w:w="540" w:type="dxa"/>
          </w:tcPr>
          <w:p>
            <w:pPr>
              <w:pStyle w:val="TableParagraph"/>
              <w:spacing w:before="22"/>
              <w:ind w:left="8"/>
              <w:rPr>
                <w:rFonts w:ascii="Times New Roman"/>
                <w:sz w:val="21"/>
              </w:rPr>
            </w:pPr>
            <w:r>
              <w:rPr>
                <w:rFonts w:ascii="Times New Roman"/>
                <w:w w:val="100"/>
                <w:sz w:val="21"/>
              </w:rPr>
              <w:t>/</w:t>
            </w:r>
          </w:p>
        </w:tc>
        <w:tc>
          <w:tcPr>
            <w:tcW w:w="542" w:type="dxa"/>
          </w:tcPr>
          <w:p>
            <w:pPr>
              <w:pStyle w:val="TableParagraph"/>
              <w:spacing w:before="22"/>
              <w:ind w:left="6"/>
              <w:rPr>
                <w:rFonts w:ascii="Times New Roman"/>
                <w:b/>
                <w:sz w:val="21"/>
              </w:rPr>
            </w:pPr>
            <w:r>
              <w:rPr>
                <w:rFonts w:ascii="Times New Roman"/>
                <w:b/>
                <w:w w:val="100"/>
                <w:sz w:val="21"/>
              </w:rPr>
              <w:t>/</w:t>
            </w:r>
          </w:p>
        </w:tc>
        <w:tc>
          <w:tcPr>
            <w:tcW w:w="538" w:type="dxa"/>
          </w:tcPr>
          <w:p>
            <w:pPr>
              <w:pStyle w:val="TableParagraph"/>
              <w:spacing w:before="22"/>
              <w:ind w:right="96"/>
              <w:jc w:val="right"/>
              <w:rPr>
                <w:rFonts w:ascii="Times New Roman"/>
                <w:b/>
                <w:sz w:val="21"/>
              </w:rPr>
            </w:pPr>
            <w:r>
              <w:rPr>
                <w:rFonts w:ascii="Times New Roman"/>
                <w:b/>
                <w:sz w:val="21"/>
              </w:rPr>
              <w:t>400</w:t>
            </w:r>
          </w:p>
        </w:tc>
        <w:tc>
          <w:tcPr>
            <w:tcW w:w="679" w:type="dxa"/>
          </w:tcPr>
          <w:p>
            <w:pPr>
              <w:pStyle w:val="TableParagraph"/>
              <w:spacing w:before="22"/>
              <w:ind w:left="107" w:right="99"/>
              <w:rPr>
                <w:rFonts w:ascii="Times New Roman"/>
                <w:b/>
                <w:sz w:val="21"/>
              </w:rPr>
            </w:pPr>
            <w:r>
              <w:rPr>
                <w:rFonts w:ascii="Times New Roman"/>
                <w:b/>
                <w:sz w:val="21"/>
              </w:rPr>
              <w:t>70</w:t>
            </w:r>
          </w:p>
        </w:tc>
        <w:tc>
          <w:tcPr>
            <w:tcW w:w="835" w:type="dxa"/>
          </w:tcPr>
          <w:p>
            <w:pPr>
              <w:pStyle w:val="TableParagraph"/>
              <w:spacing w:before="22"/>
              <w:ind w:left="259"/>
              <w:jc w:val="left"/>
              <w:rPr>
                <w:rFonts w:ascii="Times New Roman"/>
                <w:b/>
                <w:sz w:val="21"/>
              </w:rPr>
            </w:pPr>
            <w:r>
              <w:rPr>
                <w:rFonts w:ascii="Times New Roman"/>
                <w:b/>
                <w:sz w:val="21"/>
              </w:rPr>
              <w:t>300</w:t>
            </w:r>
          </w:p>
        </w:tc>
        <w:tc>
          <w:tcPr>
            <w:tcW w:w="585" w:type="dxa"/>
          </w:tcPr>
          <w:p>
            <w:pPr>
              <w:pStyle w:val="TableParagraph"/>
              <w:spacing w:before="22"/>
              <w:ind w:left="185"/>
              <w:jc w:val="left"/>
              <w:rPr>
                <w:rFonts w:ascii="Times New Roman"/>
                <w:b/>
                <w:sz w:val="21"/>
              </w:rPr>
            </w:pPr>
            <w:r>
              <w:rPr>
                <w:rFonts w:ascii="Times New Roman"/>
                <w:b/>
                <w:sz w:val="21"/>
              </w:rPr>
              <w:t>20</w:t>
            </w:r>
          </w:p>
        </w:tc>
        <w:tc>
          <w:tcPr>
            <w:tcW w:w="689" w:type="dxa"/>
          </w:tcPr>
          <w:p>
            <w:pPr>
              <w:pStyle w:val="TableParagraph"/>
              <w:spacing w:before="22"/>
              <w:ind w:left="88" w:right="78"/>
              <w:rPr>
                <w:rFonts w:ascii="Times New Roman"/>
                <w:b/>
                <w:sz w:val="21"/>
              </w:rPr>
            </w:pPr>
            <w:r>
              <w:rPr>
                <w:rFonts w:ascii="Times New Roman"/>
                <w:b/>
                <w:sz w:val="21"/>
              </w:rPr>
              <w:t>1.0</w:t>
            </w:r>
          </w:p>
        </w:tc>
        <w:tc>
          <w:tcPr>
            <w:tcW w:w="686" w:type="dxa"/>
          </w:tcPr>
          <w:p>
            <w:pPr>
              <w:pStyle w:val="TableParagraph"/>
              <w:spacing w:before="22"/>
              <w:ind w:left="212"/>
              <w:jc w:val="left"/>
              <w:rPr>
                <w:rFonts w:ascii="Times New Roman"/>
                <w:b/>
                <w:sz w:val="21"/>
              </w:rPr>
            </w:pPr>
            <w:r>
              <w:rPr>
                <w:rFonts w:ascii="Times New Roman"/>
                <w:b/>
                <w:sz w:val="21"/>
              </w:rPr>
              <w:t>5.0</w:t>
            </w:r>
          </w:p>
        </w:tc>
        <w:tc>
          <w:tcPr>
            <w:tcW w:w="585" w:type="dxa"/>
          </w:tcPr>
          <w:p>
            <w:pPr>
              <w:pStyle w:val="TableParagraph"/>
              <w:spacing w:before="22"/>
              <w:ind w:left="90" w:right="76"/>
              <w:rPr>
                <w:rFonts w:ascii="Times New Roman"/>
                <w:b/>
                <w:sz w:val="21"/>
              </w:rPr>
            </w:pPr>
            <w:r>
              <w:rPr>
                <w:rFonts w:ascii="Times New Roman"/>
                <w:b/>
                <w:sz w:val="21"/>
              </w:rPr>
              <w:t>5.0</w:t>
            </w:r>
          </w:p>
        </w:tc>
        <w:tc>
          <w:tcPr>
            <w:tcW w:w="688" w:type="dxa"/>
          </w:tcPr>
          <w:p>
            <w:pPr>
              <w:pStyle w:val="TableParagraph"/>
              <w:spacing w:before="22"/>
              <w:ind w:left="89" w:right="76"/>
              <w:rPr>
                <w:rFonts w:ascii="Times New Roman"/>
                <w:b/>
                <w:sz w:val="21"/>
              </w:rPr>
            </w:pPr>
            <w:r>
              <w:rPr>
                <w:rFonts w:ascii="Times New Roman"/>
                <w:b/>
                <w:sz w:val="21"/>
              </w:rPr>
              <w:t>2.0</w:t>
            </w:r>
          </w:p>
        </w:tc>
        <w:tc>
          <w:tcPr>
            <w:tcW w:w="919" w:type="dxa"/>
          </w:tcPr>
          <w:p>
            <w:pPr>
              <w:pStyle w:val="TableParagraph"/>
              <w:spacing w:before="22"/>
              <w:ind w:left="16" w:right="2"/>
              <w:rPr>
                <w:rFonts w:ascii="Times New Roman"/>
                <w:b/>
                <w:sz w:val="21"/>
              </w:rPr>
            </w:pPr>
            <w:r>
              <w:rPr>
                <w:rFonts w:ascii="Times New Roman"/>
                <w:b/>
                <w:sz w:val="21"/>
              </w:rPr>
              <w:t>1.0</w:t>
            </w:r>
          </w:p>
        </w:tc>
        <w:tc>
          <w:tcPr>
            <w:tcW w:w="911" w:type="dxa"/>
          </w:tcPr>
          <w:p>
            <w:pPr>
              <w:pStyle w:val="TableParagraph"/>
              <w:spacing w:before="22"/>
              <w:ind w:left="88" w:right="74"/>
              <w:rPr>
                <w:rFonts w:ascii="Times New Roman"/>
                <w:b/>
                <w:sz w:val="21"/>
              </w:rPr>
            </w:pPr>
            <w:r>
              <w:rPr>
                <w:rFonts w:ascii="Times New Roman"/>
                <w:b/>
                <w:sz w:val="21"/>
              </w:rPr>
              <w:t>1.0</w:t>
            </w:r>
          </w:p>
        </w:tc>
      </w:tr>
      <w:tr>
        <w:trPr>
          <w:trHeight w:val="544" w:hRule="atLeast"/>
        </w:trPr>
        <w:tc>
          <w:tcPr>
            <w:tcW w:w="1087" w:type="dxa"/>
          </w:tcPr>
          <w:p>
            <w:pPr>
              <w:pStyle w:val="TableParagraph"/>
              <w:spacing w:before="135"/>
              <w:ind w:left="97" w:right="90"/>
              <w:rPr>
                <w:b/>
                <w:sz w:val="21"/>
              </w:rPr>
            </w:pPr>
            <w:r>
              <w:rPr>
                <w:b/>
                <w:sz w:val="21"/>
              </w:rPr>
              <w:t>达标性</w:t>
            </w:r>
          </w:p>
        </w:tc>
        <w:tc>
          <w:tcPr>
            <w:tcW w:w="540" w:type="dxa"/>
          </w:tcPr>
          <w:p>
            <w:pPr>
              <w:pStyle w:val="TableParagraph"/>
              <w:spacing w:before="151"/>
              <w:ind w:left="8"/>
              <w:rPr>
                <w:rFonts w:ascii="Times New Roman"/>
                <w:sz w:val="21"/>
              </w:rPr>
            </w:pPr>
            <w:r>
              <w:rPr>
                <w:rFonts w:ascii="Times New Roman"/>
                <w:w w:val="100"/>
                <w:sz w:val="21"/>
              </w:rPr>
              <w:t>/</w:t>
            </w:r>
          </w:p>
        </w:tc>
        <w:tc>
          <w:tcPr>
            <w:tcW w:w="542" w:type="dxa"/>
          </w:tcPr>
          <w:p>
            <w:pPr>
              <w:pStyle w:val="TableParagraph"/>
              <w:spacing w:before="151"/>
              <w:ind w:left="6"/>
              <w:rPr>
                <w:rFonts w:ascii="Times New Roman"/>
                <w:b/>
                <w:sz w:val="21"/>
              </w:rPr>
            </w:pPr>
            <w:r>
              <w:rPr>
                <w:rFonts w:ascii="Times New Roman"/>
                <w:b/>
                <w:w w:val="100"/>
                <w:sz w:val="21"/>
              </w:rPr>
              <w:t>/</w:t>
            </w:r>
          </w:p>
        </w:tc>
        <w:tc>
          <w:tcPr>
            <w:tcW w:w="538" w:type="dxa"/>
          </w:tcPr>
          <w:p>
            <w:pPr>
              <w:pStyle w:val="TableParagraph"/>
              <w:spacing w:before="1"/>
              <w:ind w:left="163"/>
              <w:jc w:val="left"/>
              <w:rPr>
                <w:b/>
                <w:sz w:val="21"/>
              </w:rPr>
            </w:pPr>
            <w:r>
              <w:rPr>
                <w:b/>
                <w:w w:val="100"/>
                <w:sz w:val="21"/>
              </w:rPr>
              <w:t>达</w:t>
            </w:r>
          </w:p>
          <w:p>
            <w:pPr>
              <w:pStyle w:val="TableParagraph"/>
              <w:spacing w:line="252" w:lineRule="exact" w:before="2"/>
              <w:ind w:left="163"/>
              <w:jc w:val="left"/>
              <w:rPr>
                <w:b/>
                <w:sz w:val="21"/>
              </w:rPr>
            </w:pPr>
            <w:r>
              <w:rPr>
                <w:b/>
                <w:w w:val="100"/>
                <w:sz w:val="21"/>
              </w:rPr>
              <w:t>标</w:t>
            </w:r>
          </w:p>
        </w:tc>
        <w:tc>
          <w:tcPr>
            <w:tcW w:w="679" w:type="dxa"/>
          </w:tcPr>
          <w:p>
            <w:pPr>
              <w:pStyle w:val="TableParagraph"/>
              <w:spacing w:before="135"/>
              <w:ind w:left="107" w:right="99"/>
              <w:rPr>
                <w:b/>
                <w:sz w:val="21"/>
              </w:rPr>
            </w:pPr>
            <w:r>
              <w:rPr>
                <w:b/>
                <w:sz w:val="21"/>
              </w:rPr>
              <w:t>达标</w:t>
            </w:r>
          </w:p>
        </w:tc>
        <w:tc>
          <w:tcPr>
            <w:tcW w:w="835" w:type="dxa"/>
          </w:tcPr>
          <w:p>
            <w:pPr>
              <w:pStyle w:val="TableParagraph"/>
              <w:spacing w:before="135"/>
              <w:ind w:left="207"/>
              <w:jc w:val="left"/>
              <w:rPr>
                <w:b/>
                <w:sz w:val="21"/>
              </w:rPr>
            </w:pPr>
            <w:r>
              <w:rPr>
                <w:b/>
                <w:sz w:val="21"/>
              </w:rPr>
              <w:t>达标</w:t>
            </w:r>
          </w:p>
        </w:tc>
        <w:tc>
          <w:tcPr>
            <w:tcW w:w="585" w:type="dxa"/>
          </w:tcPr>
          <w:p>
            <w:pPr>
              <w:pStyle w:val="TableParagraph"/>
              <w:spacing w:before="1"/>
              <w:ind w:left="185"/>
              <w:jc w:val="left"/>
              <w:rPr>
                <w:b/>
                <w:sz w:val="21"/>
              </w:rPr>
            </w:pPr>
            <w:r>
              <w:rPr>
                <w:b/>
                <w:w w:val="100"/>
                <w:sz w:val="21"/>
              </w:rPr>
              <w:t>达</w:t>
            </w:r>
          </w:p>
          <w:p>
            <w:pPr>
              <w:pStyle w:val="TableParagraph"/>
              <w:spacing w:line="252" w:lineRule="exact" w:before="2"/>
              <w:ind w:left="185"/>
              <w:jc w:val="left"/>
              <w:rPr>
                <w:b/>
                <w:sz w:val="21"/>
              </w:rPr>
            </w:pPr>
            <w:r>
              <w:rPr>
                <w:b/>
                <w:w w:val="100"/>
                <w:sz w:val="21"/>
              </w:rPr>
              <w:t>标</w:t>
            </w:r>
          </w:p>
        </w:tc>
        <w:tc>
          <w:tcPr>
            <w:tcW w:w="689" w:type="dxa"/>
          </w:tcPr>
          <w:p>
            <w:pPr>
              <w:pStyle w:val="TableParagraph"/>
              <w:spacing w:before="135"/>
              <w:ind w:left="83" w:right="78"/>
              <w:rPr>
                <w:b/>
                <w:sz w:val="21"/>
              </w:rPr>
            </w:pPr>
            <w:r>
              <w:rPr>
                <w:b/>
                <w:sz w:val="21"/>
              </w:rPr>
              <w:t>达标</w:t>
            </w:r>
          </w:p>
        </w:tc>
        <w:tc>
          <w:tcPr>
            <w:tcW w:w="686" w:type="dxa"/>
          </w:tcPr>
          <w:p>
            <w:pPr>
              <w:pStyle w:val="TableParagraph"/>
              <w:spacing w:before="135"/>
              <w:ind w:left="131"/>
              <w:jc w:val="left"/>
              <w:rPr>
                <w:b/>
                <w:sz w:val="21"/>
              </w:rPr>
            </w:pPr>
            <w:r>
              <w:rPr>
                <w:b/>
                <w:sz w:val="21"/>
              </w:rPr>
              <w:t>达标</w:t>
            </w:r>
          </w:p>
        </w:tc>
        <w:tc>
          <w:tcPr>
            <w:tcW w:w="585" w:type="dxa"/>
          </w:tcPr>
          <w:p>
            <w:pPr>
              <w:pStyle w:val="TableParagraph"/>
              <w:spacing w:before="1"/>
              <w:ind w:left="186"/>
              <w:jc w:val="left"/>
              <w:rPr>
                <w:b/>
                <w:sz w:val="21"/>
              </w:rPr>
            </w:pPr>
            <w:r>
              <w:rPr>
                <w:b/>
                <w:w w:val="100"/>
                <w:sz w:val="21"/>
              </w:rPr>
              <w:t>达</w:t>
            </w:r>
          </w:p>
          <w:p>
            <w:pPr>
              <w:pStyle w:val="TableParagraph"/>
              <w:spacing w:line="252" w:lineRule="exact" w:before="2"/>
              <w:ind w:left="186"/>
              <w:jc w:val="left"/>
              <w:rPr>
                <w:b/>
                <w:sz w:val="21"/>
              </w:rPr>
            </w:pPr>
            <w:r>
              <w:rPr>
                <w:b/>
                <w:w w:val="100"/>
                <w:sz w:val="21"/>
              </w:rPr>
              <w:t>标</w:t>
            </w:r>
          </w:p>
        </w:tc>
        <w:tc>
          <w:tcPr>
            <w:tcW w:w="688" w:type="dxa"/>
          </w:tcPr>
          <w:p>
            <w:pPr>
              <w:pStyle w:val="TableParagraph"/>
              <w:spacing w:before="135"/>
              <w:ind w:left="85" w:right="76"/>
              <w:rPr>
                <w:b/>
                <w:sz w:val="21"/>
              </w:rPr>
            </w:pPr>
            <w:r>
              <w:rPr>
                <w:b/>
                <w:sz w:val="21"/>
              </w:rPr>
              <w:t>达标</w:t>
            </w:r>
          </w:p>
        </w:tc>
        <w:tc>
          <w:tcPr>
            <w:tcW w:w="919" w:type="dxa"/>
          </w:tcPr>
          <w:p>
            <w:pPr>
              <w:pStyle w:val="TableParagraph"/>
              <w:spacing w:before="135"/>
              <w:ind w:left="16" w:right="6"/>
              <w:rPr>
                <w:b/>
                <w:sz w:val="21"/>
              </w:rPr>
            </w:pPr>
            <w:r>
              <w:rPr>
                <w:b/>
                <w:sz w:val="21"/>
              </w:rPr>
              <w:t>达标</w:t>
            </w:r>
          </w:p>
        </w:tc>
        <w:tc>
          <w:tcPr>
            <w:tcW w:w="911" w:type="dxa"/>
          </w:tcPr>
          <w:p>
            <w:pPr>
              <w:pStyle w:val="TableParagraph"/>
              <w:spacing w:before="135"/>
              <w:ind w:left="88" w:right="74"/>
              <w:rPr>
                <w:b/>
                <w:sz w:val="21"/>
              </w:rPr>
            </w:pPr>
            <w:r>
              <w:rPr>
                <w:b/>
                <w:sz w:val="21"/>
              </w:rPr>
              <w:t>达标</w:t>
            </w:r>
          </w:p>
        </w:tc>
      </w:tr>
    </w:tbl>
    <w:p>
      <w:pPr>
        <w:pStyle w:val="BodyText"/>
        <w:spacing w:line="362" w:lineRule="auto" w:before="122"/>
        <w:ind w:left="218" w:right="332" w:firstLine="480"/>
      </w:pPr>
      <w:r>
        <w:rPr>
          <w:spacing w:val="-19"/>
        </w:rPr>
        <w:t>由上表可知，</w:t>
      </w:r>
      <w:r>
        <w:rPr>
          <w:rFonts w:ascii="Times New Roman" w:eastAsia="Times New Roman"/>
        </w:rPr>
        <w:t>2021 </w:t>
      </w:r>
      <w:r>
        <w:rPr>
          <w:spacing w:val="-30"/>
        </w:rPr>
        <w:t>年 </w:t>
      </w:r>
      <w:r>
        <w:rPr>
          <w:rFonts w:ascii="Times New Roman" w:eastAsia="Times New Roman"/>
        </w:rPr>
        <w:t>6 </w:t>
      </w:r>
      <w:r>
        <w:rPr>
          <w:spacing w:val="-1"/>
        </w:rPr>
        <w:t>月监测废水处理站总排放口各监测因子浓度均符合相应标准</w:t>
      </w:r>
      <w:r>
        <w:rPr/>
        <w:t>的要求。</w:t>
      </w:r>
    </w:p>
    <w:p>
      <w:pPr>
        <w:pStyle w:val="ListParagraph"/>
        <w:numPr>
          <w:ilvl w:val="0"/>
          <w:numId w:val="16"/>
        </w:numPr>
        <w:tabs>
          <w:tab w:pos="1300" w:val="left" w:leader="none"/>
        </w:tabs>
        <w:spacing w:line="240" w:lineRule="auto" w:before="5" w:after="0"/>
        <w:ind w:left="1299" w:right="0" w:hanging="602"/>
        <w:jc w:val="left"/>
        <w:rPr>
          <w:sz w:val="24"/>
        </w:rPr>
      </w:pPr>
      <w:r>
        <w:rPr>
          <w:spacing w:val="-4"/>
          <w:sz w:val="24"/>
        </w:rPr>
        <w:t>同时，本环评调查了企业废水总排口 </w:t>
      </w:r>
      <w:r>
        <w:rPr>
          <w:rFonts w:ascii="Times New Roman" w:eastAsia="Times New Roman"/>
          <w:sz w:val="24"/>
        </w:rPr>
        <w:t>2021 </w:t>
      </w:r>
      <w:r>
        <w:rPr>
          <w:sz w:val="24"/>
        </w:rPr>
        <w:t>年在线监测的数据，具体如下：</w:t>
      </w:r>
    </w:p>
    <w:p>
      <w:pPr>
        <w:spacing w:after="0" w:line="240" w:lineRule="auto"/>
        <w:jc w:val="left"/>
        <w:rPr>
          <w:sz w:val="24"/>
        </w:rPr>
        <w:sectPr>
          <w:pgSz w:w="11910" w:h="16850"/>
          <w:pgMar w:header="730" w:footer="690" w:top="1340" w:bottom="880" w:left="1200" w:right="1080"/>
        </w:sectPr>
      </w:pPr>
    </w:p>
    <w:p>
      <w:pPr>
        <w:pStyle w:val="BodyText"/>
        <w:rPr>
          <w:sz w:val="5"/>
        </w:rPr>
      </w:pPr>
    </w:p>
    <w:p>
      <w:pPr>
        <w:pStyle w:val="BodyText"/>
        <w:ind w:left="1320"/>
        <w:rPr>
          <w:sz w:val="20"/>
        </w:rPr>
      </w:pPr>
      <w:r>
        <w:rPr>
          <w:sz w:val="20"/>
        </w:rPr>
        <w:drawing>
          <wp:inline distT="0" distB="0" distL="0" distR="0">
            <wp:extent cx="4376150" cy="2669286"/>
            <wp:effectExtent l="0" t="0" r="0" b="0"/>
            <wp:docPr id="19" name="image16.png"/>
            <wp:cNvGraphicFramePr>
              <a:graphicFrameLocks noChangeAspect="1"/>
            </wp:cNvGraphicFramePr>
            <a:graphic>
              <a:graphicData uri="http://schemas.openxmlformats.org/drawingml/2006/picture">
                <pic:pic>
                  <pic:nvPicPr>
                    <pic:cNvPr id="20" name="image16.png"/>
                    <pic:cNvPicPr/>
                  </pic:nvPicPr>
                  <pic:blipFill>
                    <a:blip r:embed="rId37" cstate="print"/>
                    <a:stretch>
                      <a:fillRect/>
                    </a:stretch>
                  </pic:blipFill>
                  <pic:spPr>
                    <a:xfrm>
                      <a:off x="0" y="0"/>
                      <a:ext cx="4376150" cy="2669286"/>
                    </a:xfrm>
                    <a:prstGeom prst="rect">
                      <a:avLst/>
                    </a:prstGeom>
                  </pic:spPr>
                </pic:pic>
              </a:graphicData>
            </a:graphic>
          </wp:inline>
        </w:drawing>
      </w:r>
      <w:r>
        <w:rPr>
          <w:sz w:val="20"/>
        </w:rPr>
      </w:r>
    </w:p>
    <w:p>
      <w:pPr>
        <w:pStyle w:val="Heading4"/>
        <w:tabs>
          <w:tab w:pos="1222" w:val="left" w:leader="none"/>
        </w:tabs>
        <w:spacing w:before="121"/>
        <w:ind w:left="0" w:right="116"/>
        <w:jc w:val="center"/>
      </w:pPr>
      <w:r>
        <w:rPr/>
        <w:t>图</w:t>
      </w:r>
      <w:r>
        <w:rPr>
          <w:spacing w:val="-60"/>
        </w:rPr>
        <w:t> </w:t>
      </w:r>
      <w:r>
        <w:rPr>
          <w:rFonts w:ascii="Times New Roman" w:eastAsia="Times New Roman"/>
        </w:rPr>
        <w:t>3.4.2-2</w:t>
        <w:tab/>
      </w:r>
      <w:r>
        <w:rPr/>
        <w:t>废水排放口在线监测</w:t>
      </w:r>
      <w:r>
        <w:rPr>
          <w:spacing w:val="-60"/>
        </w:rPr>
        <w:t> </w:t>
      </w:r>
      <w:r>
        <w:rPr>
          <w:rFonts w:ascii="Times New Roman" w:eastAsia="Times New Roman"/>
        </w:rPr>
        <w:t>pH </w:t>
      </w:r>
      <w:r>
        <w:rPr/>
        <w:t>监控数据曲线图</w:t>
      </w:r>
    </w:p>
    <w:p>
      <w:pPr>
        <w:pStyle w:val="BodyText"/>
        <w:spacing w:before="6"/>
        <w:rPr>
          <w:b/>
          <w:sz w:val="9"/>
        </w:rPr>
      </w:pPr>
      <w:r>
        <w:rPr/>
        <w:drawing>
          <wp:anchor distT="0" distB="0" distL="0" distR="0" allowOverlap="1" layoutInCell="1" locked="0" behindDoc="0" simplePos="0" relativeHeight="118">
            <wp:simplePos x="0" y="0"/>
            <wp:positionH relativeFrom="page">
              <wp:posOffset>1627504</wp:posOffset>
            </wp:positionH>
            <wp:positionV relativeFrom="paragraph">
              <wp:posOffset>101920</wp:posOffset>
            </wp:positionV>
            <wp:extent cx="4331072" cy="2497074"/>
            <wp:effectExtent l="0" t="0" r="0" b="0"/>
            <wp:wrapTopAndBottom/>
            <wp:docPr id="21" name="image17.png"/>
            <wp:cNvGraphicFramePr>
              <a:graphicFrameLocks noChangeAspect="1"/>
            </wp:cNvGraphicFramePr>
            <a:graphic>
              <a:graphicData uri="http://schemas.openxmlformats.org/drawingml/2006/picture">
                <pic:pic>
                  <pic:nvPicPr>
                    <pic:cNvPr id="22" name="image17.png"/>
                    <pic:cNvPicPr/>
                  </pic:nvPicPr>
                  <pic:blipFill>
                    <a:blip r:embed="rId38" cstate="print"/>
                    <a:stretch>
                      <a:fillRect/>
                    </a:stretch>
                  </pic:blipFill>
                  <pic:spPr>
                    <a:xfrm>
                      <a:off x="0" y="0"/>
                      <a:ext cx="4331072" cy="2497074"/>
                    </a:xfrm>
                    <a:prstGeom prst="rect">
                      <a:avLst/>
                    </a:prstGeom>
                  </pic:spPr>
                </pic:pic>
              </a:graphicData>
            </a:graphic>
          </wp:anchor>
        </w:drawing>
      </w:r>
    </w:p>
    <w:p>
      <w:pPr>
        <w:tabs>
          <w:tab w:pos="1222" w:val="left" w:leader="none"/>
        </w:tabs>
        <w:spacing w:before="88"/>
        <w:ind w:left="0" w:right="114" w:firstLine="0"/>
        <w:jc w:val="center"/>
        <w:rPr>
          <w:b/>
          <w:sz w:val="24"/>
        </w:rPr>
      </w:pPr>
      <w:r>
        <w:rPr>
          <w:b/>
          <w:sz w:val="24"/>
        </w:rPr>
        <w:t>图</w:t>
      </w:r>
      <w:r>
        <w:rPr>
          <w:b/>
          <w:spacing w:val="-60"/>
          <w:sz w:val="24"/>
        </w:rPr>
        <w:t> </w:t>
      </w:r>
      <w:r>
        <w:rPr>
          <w:rFonts w:ascii="Times New Roman" w:eastAsia="Times New Roman"/>
          <w:b/>
          <w:sz w:val="24"/>
        </w:rPr>
        <w:t>3.4.2-3</w:t>
        <w:tab/>
      </w:r>
      <w:r>
        <w:rPr>
          <w:b/>
          <w:sz w:val="24"/>
        </w:rPr>
        <w:t>废水排放口在线监测</w:t>
      </w:r>
      <w:r>
        <w:rPr>
          <w:b/>
          <w:spacing w:val="-58"/>
          <w:sz w:val="24"/>
        </w:rPr>
        <w:t> </w:t>
      </w:r>
      <w:r>
        <w:rPr>
          <w:rFonts w:ascii="Times New Roman" w:eastAsia="Times New Roman"/>
          <w:b/>
          <w:sz w:val="24"/>
        </w:rPr>
        <w:t>COD</w:t>
      </w:r>
      <w:r>
        <w:rPr>
          <w:rFonts w:ascii="Times New Roman" w:eastAsia="Times New Roman"/>
          <w:b/>
          <w:spacing w:val="-3"/>
          <w:sz w:val="24"/>
        </w:rPr>
        <w:t> </w:t>
      </w:r>
      <w:r>
        <w:rPr>
          <w:b/>
          <w:sz w:val="24"/>
        </w:rPr>
        <w:t>监控数据曲线图</w:t>
      </w:r>
    </w:p>
    <w:p>
      <w:pPr>
        <w:pStyle w:val="BodyText"/>
        <w:spacing w:before="2"/>
        <w:rPr>
          <w:b/>
          <w:sz w:val="9"/>
        </w:rPr>
      </w:pPr>
      <w:r>
        <w:rPr/>
        <w:drawing>
          <wp:anchor distT="0" distB="0" distL="0" distR="0" allowOverlap="1" layoutInCell="1" locked="0" behindDoc="0" simplePos="0" relativeHeight="119">
            <wp:simplePos x="0" y="0"/>
            <wp:positionH relativeFrom="page">
              <wp:posOffset>1621789</wp:posOffset>
            </wp:positionH>
            <wp:positionV relativeFrom="paragraph">
              <wp:posOffset>99758</wp:posOffset>
            </wp:positionV>
            <wp:extent cx="4320759" cy="2583180"/>
            <wp:effectExtent l="0" t="0" r="0" b="0"/>
            <wp:wrapTopAndBottom/>
            <wp:docPr id="23" name="image18.png"/>
            <wp:cNvGraphicFramePr>
              <a:graphicFrameLocks noChangeAspect="1"/>
            </wp:cNvGraphicFramePr>
            <a:graphic>
              <a:graphicData uri="http://schemas.openxmlformats.org/drawingml/2006/picture">
                <pic:pic>
                  <pic:nvPicPr>
                    <pic:cNvPr id="24" name="image18.png"/>
                    <pic:cNvPicPr/>
                  </pic:nvPicPr>
                  <pic:blipFill>
                    <a:blip r:embed="rId39" cstate="print"/>
                    <a:stretch>
                      <a:fillRect/>
                    </a:stretch>
                  </pic:blipFill>
                  <pic:spPr>
                    <a:xfrm>
                      <a:off x="0" y="0"/>
                      <a:ext cx="4320759" cy="2583180"/>
                    </a:xfrm>
                    <a:prstGeom prst="rect">
                      <a:avLst/>
                    </a:prstGeom>
                  </pic:spPr>
                </pic:pic>
              </a:graphicData>
            </a:graphic>
          </wp:anchor>
        </w:drawing>
      </w:r>
    </w:p>
    <w:p>
      <w:pPr>
        <w:tabs>
          <w:tab w:pos="1222" w:val="left" w:leader="none"/>
        </w:tabs>
        <w:spacing w:before="109"/>
        <w:ind w:left="0" w:right="115" w:firstLine="0"/>
        <w:jc w:val="center"/>
        <w:rPr>
          <w:b/>
          <w:sz w:val="24"/>
        </w:rPr>
      </w:pPr>
      <w:r>
        <w:rPr>
          <w:b/>
          <w:sz w:val="24"/>
        </w:rPr>
        <w:t>图</w:t>
      </w:r>
      <w:r>
        <w:rPr>
          <w:b/>
          <w:spacing w:val="-60"/>
          <w:sz w:val="24"/>
        </w:rPr>
        <w:t> </w:t>
      </w:r>
      <w:r>
        <w:rPr>
          <w:rFonts w:ascii="Times New Roman" w:eastAsia="Times New Roman"/>
          <w:b/>
          <w:sz w:val="24"/>
        </w:rPr>
        <w:t>3.4.2-4</w:t>
        <w:tab/>
      </w:r>
      <w:r>
        <w:rPr>
          <w:b/>
          <w:sz w:val="24"/>
        </w:rPr>
        <w:t>废水排放口在线监测氨氮监控数据曲线图</w:t>
      </w:r>
    </w:p>
    <w:p>
      <w:pPr>
        <w:spacing w:after="0"/>
        <w:jc w:val="center"/>
        <w:rPr>
          <w:sz w:val="24"/>
        </w:rPr>
        <w:sectPr>
          <w:pgSz w:w="11910" w:h="16850"/>
          <w:pgMar w:header="730" w:footer="690" w:top="1340" w:bottom="880" w:left="1200" w:right="1080"/>
        </w:sectPr>
      </w:pPr>
    </w:p>
    <w:p>
      <w:pPr>
        <w:pStyle w:val="ListParagraph"/>
        <w:numPr>
          <w:ilvl w:val="2"/>
          <w:numId w:val="13"/>
        </w:numPr>
        <w:tabs>
          <w:tab w:pos="999" w:val="left" w:leader="none"/>
        </w:tabs>
        <w:spacing w:line="240" w:lineRule="auto" w:before="64" w:after="0"/>
        <w:ind w:left="998" w:right="0" w:hanging="541"/>
        <w:jc w:val="left"/>
        <w:rPr>
          <w:b/>
          <w:sz w:val="24"/>
        </w:rPr>
      </w:pPr>
      <w:r>
        <w:rPr>
          <w:b/>
          <w:sz w:val="24"/>
        </w:rPr>
        <w:t>固废暂存及处置情况</w:t>
      </w:r>
    </w:p>
    <w:p>
      <w:pPr>
        <w:pStyle w:val="BodyText"/>
        <w:spacing w:line="364" w:lineRule="auto" w:before="158"/>
        <w:ind w:left="218" w:right="212" w:firstLine="480"/>
      </w:pPr>
      <w:r>
        <w:rPr>
          <w:spacing w:val="-9"/>
        </w:rPr>
        <w:t>现有企业已设有暂存场所一处，占地面积约 </w:t>
      </w:r>
      <w:r>
        <w:rPr>
          <w:rFonts w:ascii="Times New Roman" w:eastAsia="Times New Roman"/>
        </w:rPr>
        <w:t>270m</w:t>
      </w:r>
      <w:r>
        <w:rPr>
          <w:rFonts w:ascii="Times New Roman" w:eastAsia="Times New Roman"/>
          <w:spacing w:val="1"/>
          <w:w w:val="100"/>
          <w:position w:val="9"/>
          <w:sz w:val="16"/>
        </w:rPr>
        <w:t>2</w:t>
      </w:r>
      <w:r>
        <w:rPr>
          <w:spacing w:val="-10"/>
        </w:rPr>
        <w:t>，可满足目前现有企业暂存需要，</w:t>
      </w:r>
      <w:r>
        <w:rPr>
          <w:spacing w:val="-14"/>
        </w:rPr>
        <w:t>采取室内封闭结构，分类存放各类危险废物，该暂存场所地面已做硬化及防腐防渗措施， </w:t>
      </w:r>
      <w:r>
        <w:rPr>
          <w:spacing w:val="-4"/>
        </w:rPr>
        <w:t>并建设有渗滤液废水收集池，通过输送泵及管路将收集到的渗漏液输送至污水站集中处理，可以满足防雨、防渗、防漏等相关要求。</w:t>
      </w:r>
    </w:p>
    <w:p>
      <w:pPr>
        <w:pStyle w:val="BodyText"/>
        <w:spacing w:line="364" w:lineRule="auto"/>
        <w:ind w:left="218" w:right="252" w:firstLine="480"/>
      </w:pPr>
      <w:r>
        <w:rPr/>
        <w:t>异丙基苯胺、邻异丙基苯胺、</w:t>
      </w:r>
      <w:r>
        <w:rPr>
          <w:rFonts w:ascii="Times New Roman" w:eastAsia="Times New Roman"/>
        </w:rPr>
        <w:t>2,4-</w:t>
      </w:r>
      <w:r>
        <w:rPr/>
        <w:t>二甲基苯胺、</w:t>
      </w:r>
      <w:r>
        <w:rPr>
          <w:rFonts w:ascii="Times New Roman" w:eastAsia="Times New Roman"/>
        </w:rPr>
        <w:t>2,6-</w:t>
      </w:r>
      <w:r>
        <w:rPr/>
        <w:t>二甲基苯胺四个产品停产，实际不涉及固废的产生。</w:t>
      </w:r>
      <w:r>
        <w:rPr>
          <w:rFonts w:ascii="Times New Roman" w:eastAsia="Times New Roman"/>
        </w:rPr>
        <w:t>2021 </w:t>
      </w:r>
      <w:r>
        <w:rPr/>
        <w:t>年贝斯美固废实际产生情况如下：</w:t>
      </w:r>
    </w:p>
    <w:p>
      <w:pPr>
        <w:pStyle w:val="Heading4"/>
        <w:tabs>
          <w:tab w:pos="3288" w:val="left" w:leader="none"/>
        </w:tabs>
        <w:spacing w:before="140" w:after="29"/>
        <w:ind w:left="2066"/>
      </w:pPr>
      <w:r>
        <w:rPr/>
        <w:t>表</w:t>
      </w:r>
      <w:r>
        <w:rPr>
          <w:spacing w:val="-60"/>
        </w:rPr>
        <w:t> </w:t>
      </w:r>
      <w:r>
        <w:rPr>
          <w:rFonts w:ascii="Times New Roman" w:eastAsia="Times New Roman"/>
        </w:rPr>
        <w:t>3.4.3-1</w:t>
        <w:tab/>
        <w:t>2021 </w:t>
      </w:r>
      <w:r>
        <w:rPr/>
        <w:t>年贝斯美固体废物调查统计汇总表</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2"/>
        <w:gridCol w:w="1375"/>
        <w:gridCol w:w="1419"/>
        <w:gridCol w:w="1133"/>
        <w:gridCol w:w="1561"/>
        <w:gridCol w:w="2608"/>
      </w:tblGrid>
      <w:tr>
        <w:trPr>
          <w:trHeight w:val="283" w:hRule="atLeast"/>
        </w:trPr>
        <w:tc>
          <w:tcPr>
            <w:tcW w:w="1092" w:type="dxa"/>
          </w:tcPr>
          <w:p>
            <w:pPr>
              <w:pStyle w:val="TableParagraph"/>
              <w:spacing w:line="257" w:lineRule="exact" w:before="6"/>
              <w:ind w:left="333"/>
              <w:jc w:val="left"/>
              <w:rPr>
                <w:b/>
                <w:sz w:val="21"/>
              </w:rPr>
            </w:pPr>
            <w:r>
              <w:rPr>
                <w:b/>
                <w:sz w:val="21"/>
              </w:rPr>
              <w:t>项目</w:t>
            </w:r>
          </w:p>
        </w:tc>
        <w:tc>
          <w:tcPr>
            <w:tcW w:w="1375" w:type="dxa"/>
          </w:tcPr>
          <w:p>
            <w:pPr>
              <w:pStyle w:val="TableParagraph"/>
              <w:spacing w:line="257" w:lineRule="exact" w:before="6"/>
              <w:ind w:left="30" w:right="23"/>
              <w:rPr>
                <w:b/>
                <w:sz w:val="21"/>
              </w:rPr>
            </w:pPr>
            <w:r>
              <w:rPr>
                <w:b/>
                <w:sz w:val="21"/>
              </w:rPr>
              <w:t>固废名称</w:t>
            </w:r>
          </w:p>
        </w:tc>
        <w:tc>
          <w:tcPr>
            <w:tcW w:w="1419" w:type="dxa"/>
          </w:tcPr>
          <w:p>
            <w:pPr>
              <w:pStyle w:val="TableParagraph"/>
              <w:spacing w:line="257" w:lineRule="exact" w:before="6"/>
              <w:ind w:left="12"/>
              <w:rPr>
                <w:b/>
                <w:sz w:val="21"/>
              </w:rPr>
            </w:pPr>
            <w:r>
              <w:rPr>
                <w:b/>
                <w:sz w:val="21"/>
              </w:rPr>
              <w:t>产生工序</w:t>
            </w:r>
          </w:p>
        </w:tc>
        <w:tc>
          <w:tcPr>
            <w:tcW w:w="1133" w:type="dxa"/>
          </w:tcPr>
          <w:p>
            <w:pPr>
              <w:pStyle w:val="TableParagraph"/>
              <w:spacing w:line="257" w:lineRule="exact" w:before="6"/>
              <w:ind w:left="16" w:right="2"/>
              <w:rPr>
                <w:b/>
                <w:sz w:val="21"/>
              </w:rPr>
            </w:pPr>
            <w:r>
              <w:rPr>
                <w:b/>
                <w:sz w:val="21"/>
              </w:rPr>
              <w:t>危废代码</w:t>
            </w:r>
          </w:p>
        </w:tc>
        <w:tc>
          <w:tcPr>
            <w:tcW w:w="1561" w:type="dxa"/>
          </w:tcPr>
          <w:p>
            <w:pPr>
              <w:pStyle w:val="TableParagraph"/>
              <w:spacing w:line="257" w:lineRule="exact" w:before="6"/>
              <w:ind w:left="20" w:right="9"/>
              <w:rPr>
                <w:b/>
                <w:sz w:val="21"/>
              </w:rPr>
            </w:pPr>
            <w:r>
              <w:rPr>
                <w:rFonts w:ascii="Times New Roman" w:eastAsia="Times New Roman"/>
                <w:b/>
                <w:sz w:val="21"/>
              </w:rPr>
              <w:t>2021 </w:t>
            </w:r>
            <w:r>
              <w:rPr>
                <w:b/>
                <w:sz w:val="21"/>
              </w:rPr>
              <w:t>年产生量</w:t>
            </w:r>
          </w:p>
        </w:tc>
        <w:tc>
          <w:tcPr>
            <w:tcW w:w="2608" w:type="dxa"/>
          </w:tcPr>
          <w:p>
            <w:pPr>
              <w:pStyle w:val="TableParagraph"/>
              <w:spacing w:line="257" w:lineRule="exact" w:before="6"/>
              <w:ind w:left="145" w:right="134"/>
              <w:rPr>
                <w:b/>
                <w:sz w:val="21"/>
              </w:rPr>
            </w:pPr>
            <w:r>
              <w:rPr>
                <w:b/>
                <w:sz w:val="21"/>
              </w:rPr>
              <w:t>处置去向</w:t>
            </w:r>
          </w:p>
        </w:tc>
      </w:tr>
      <w:tr>
        <w:trPr>
          <w:trHeight w:val="544" w:hRule="atLeast"/>
        </w:trPr>
        <w:tc>
          <w:tcPr>
            <w:tcW w:w="1092" w:type="dxa"/>
          </w:tcPr>
          <w:p>
            <w:pPr>
              <w:pStyle w:val="TableParagraph"/>
              <w:spacing w:before="1"/>
              <w:ind w:left="143"/>
              <w:jc w:val="left"/>
              <w:rPr>
                <w:sz w:val="21"/>
              </w:rPr>
            </w:pPr>
            <w:r>
              <w:rPr>
                <w:rFonts w:ascii="Times New Roman" w:eastAsia="Times New Roman"/>
                <w:sz w:val="21"/>
              </w:rPr>
              <w:t>4-</w:t>
            </w:r>
            <w:r>
              <w:rPr>
                <w:sz w:val="21"/>
              </w:rPr>
              <w:t>硝基邻</w:t>
            </w:r>
          </w:p>
          <w:p>
            <w:pPr>
              <w:pStyle w:val="TableParagraph"/>
              <w:spacing w:line="250" w:lineRule="exact" w:before="4"/>
              <w:ind w:left="230"/>
              <w:jc w:val="left"/>
              <w:rPr>
                <w:sz w:val="21"/>
              </w:rPr>
            </w:pPr>
            <w:r>
              <w:rPr>
                <w:sz w:val="21"/>
              </w:rPr>
              <w:t>二甲苯</w:t>
            </w:r>
          </w:p>
        </w:tc>
        <w:tc>
          <w:tcPr>
            <w:tcW w:w="1375" w:type="dxa"/>
          </w:tcPr>
          <w:p>
            <w:pPr>
              <w:pStyle w:val="TableParagraph"/>
              <w:spacing w:before="138"/>
              <w:ind w:left="32" w:right="23"/>
              <w:rPr>
                <w:sz w:val="21"/>
              </w:rPr>
            </w:pPr>
            <w:r>
              <w:rPr>
                <w:sz w:val="21"/>
              </w:rPr>
              <w:t>脱焦残液</w:t>
            </w:r>
          </w:p>
        </w:tc>
        <w:tc>
          <w:tcPr>
            <w:tcW w:w="1419" w:type="dxa"/>
          </w:tcPr>
          <w:p>
            <w:pPr>
              <w:pStyle w:val="TableParagraph"/>
              <w:spacing w:before="138"/>
              <w:ind w:left="12"/>
              <w:rPr>
                <w:sz w:val="21"/>
              </w:rPr>
            </w:pPr>
            <w:r>
              <w:rPr>
                <w:sz w:val="21"/>
              </w:rPr>
              <w:t>脱焦</w:t>
            </w:r>
          </w:p>
        </w:tc>
        <w:tc>
          <w:tcPr>
            <w:tcW w:w="1133" w:type="dxa"/>
          </w:tcPr>
          <w:p>
            <w:pPr>
              <w:pStyle w:val="TableParagraph"/>
              <w:spacing w:before="151"/>
              <w:ind w:left="16" w:right="9"/>
              <w:rPr>
                <w:rFonts w:ascii="Times New Roman"/>
                <w:sz w:val="21"/>
              </w:rPr>
            </w:pPr>
            <w:r>
              <w:rPr>
                <w:rFonts w:ascii="Times New Roman"/>
                <w:sz w:val="21"/>
              </w:rPr>
              <w:t>261-015-11</w:t>
            </w:r>
          </w:p>
        </w:tc>
        <w:tc>
          <w:tcPr>
            <w:tcW w:w="1561" w:type="dxa"/>
            <w:vMerge w:val="restart"/>
          </w:tcPr>
          <w:p>
            <w:pPr>
              <w:pStyle w:val="TableParagraph"/>
              <w:spacing w:before="3"/>
              <w:jc w:val="left"/>
              <w:rPr>
                <w:b/>
                <w:sz w:val="23"/>
              </w:rPr>
            </w:pPr>
          </w:p>
          <w:p>
            <w:pPr>
              <w:pStyle w:val="TableParagraph"/>
              <w:ind w:left="492"/>
              <w:jc w:val="left"/>
              <w:rPr>
                <w:rFonts w:ascii="Times New Roman"/>
                <w:sz w:val="21"/>
              </w:rPr>
            </w:pPr>
            <w:r>
              <w:rPr>
                <w:rFonts w:ascii="Times New Roman"/>
                <w:sz w:val="21"/>
              </w:rPr>
              <w:t>521.68</w:t>
            </w:r>
          </w:p>
        </w:tc>
        <w:tc>
          <w:tcPr>
            <w:tcW w:w="2608" w:type="dxa"/>
            <w:vMerge w:val="restart"/>
          </w:tcPr>
          <w:p>
            <w:pPr>
              <w:pStyle w:val="TableParagraph"/>
              <w:spacing w:line="242" w:lineRule="auto" w:before="13"/>
              <w:ind w:left="147" w:right="133"/>
              <w:jc w:val="left"/>
              <w:rPr>
                <w:sz w:val="21"/>
              </w:rPr>
            </w:pPr>
            <w:r>
              <w:rPr>
                <w:spacing w:val="-4"/>
                <w:sz w:val="21"/>
              </w:rPr>
              <w:t>委托绍兴市上虞众联环保有限公司或绍兴华鑫环保</w:t>
            </w:r>
          </w:p>
          <w:p>
            <w:pPr>
              <w:pStyle w:val="TableParagraph"/>
              <w:spacing w:line="262" w:lineRule="exact" w:before="1"/>
              <w:ind w:left="253"/>
              <w:jc w:val="left"/>
              <w:rPr>
                <w:sz w:val="21"/>
              </w:rPr>
            </w:pPr>
            <w:r>
              <w:rPr>
                <w:spacing w:val="-3"/>
                <w:sz w:val="21"/>
              </w:rPr>
              <w:t>科技有限公司焚烧处置</w:t>
            </w:r>
          </w:p>
        </w:tc>
      </w:tr>
      <w:tr>
        <w:trPr>
          <w:trHeight w:val="285" w:hRule="atLeast"/>
        </w:trPr>
        <w:tc>
          <w:tcPr>
            <w:tcW w:w="1092" w:type="dxa"/>
            <w:vMerge w:val="restart"/>
          </w:tcPr>
          <w:p>
            <w:pPr>
              <w:pStyle w:val="TableParagraph"/>
              <w:spacing w:line="270" w:lineRule="atLeast" w:before="17"/>
              <w:ind w:left="335" w:right="50" w:hanging="272"/>
              <w:jc w:val="left"/>
              <w:rPr>
                <w:sz w:val="21"/>
              </w:rPr>
            </w:pPr>
            <w:r>
              <w:rPr>
                <w:rFonts w:ascii="Times New Roman" w:eastAsia="Times New Roman"/>
                <w:sz w:val="21"/>
              </w:rPr>
              <w:t>2,3-</w:t>
            </w:r>
            <w:r>
              <w:rPr>
                <w:sz w:val="21"/>
              </w:rPr>
              <w:t>二甲苯苯胺</w:t>
            </w:r>
          </w:p>
        </w:tc>
        <w:tc>
          <w:tcPr>
            <w:tcW w:w="1375" w:type="dxa"/>
          </w:tcPr>
          <w:p>
            <w:pPr>
              <w:pStyle w:val="TableParagraph"/>
              <w:spacing w:line="257" w:lineRule="exact" w:before="8"/>
              <w:ind w:left="30" w:right="23"/>
              <w:rPr>
                <w:sz w:val="21"/>
              </w:rPr>
            </w:pPr>
            <w:r>
              <w:rPr>
                <w:sz w:val="21"/>
              </w:rPr>
              <w:t>高沸物</w:t>
            </w:r>
          </w:p>
        </w:tc>
        <w:tc>
          <w:tcPr>
            <w:tcW w:w="1419" w:type="dxa"/>
          </w:tcPr>
          <w:p>
            <w:pPr>
              <w:pStyle w:val="TableParagraph"/>
              <w:spacing w:line="257" w:lineRule="exact" w:before="8"/>
              <w:ind w:left="12"/>
              <w:rPr>
                <w:sz w:val="21"/>
              </w:rPr>
            </w:pPr>
            <w:r>
              <w:rPr>
                <w:sz w:val="21"/>
              </w:rPr>
              <w:t>精馏</w:t>
            </w:r>
          </w:p>
        </w:tc>
        <w:tc>
          <w:tcPr>
            <w:tcW w:w="1133" w:type="dxa"/>
          </w:tcPr>
          <w:p>
            <w:pPr>
              <w:pStyle w:val="TableParagraph"/>
              <w:spacing w:before="22"/>
              <w:ind w:left="16" w:right="9"/>
              <w:rPr>
                <w:rFonts w:ascii="Times New Roman"/>
                <w:sz w:val="21"/>
              </w:rPr>
            </w:pPr>
            <w:r>
              <w:rPr>
                <w:rFonts w:ascii="Times New Roman"/>
                <w:sz w:val="21"/>
              </w:rPr>
              <w:t>261-015-11</w:t>
            </w:r>
          </w:p>
        </w:tc>
        <w:tc>
          <w:tcPr>
            <w:tcW w:w="1561" w:type="dxa"/>
            <w:vMerge/>
            <w:tcBorders>
              <w:top w:val="nil"/>
            </w:tcBorders>
          </w:tcPr>
          <w:p>
            <w:pPr>
              <w:rPr>
                <w:sz w:val="2"/>
                <w:szCs w:val="2"/>
              </w:rPr>
            </w:pPr>
          </w:p>
        </w:tc>
        <w:tc>
          <w:tcPr>
            <w:tcW w:w="2608" w:type="dxa"/>
            <w:vMerge/>
            <w:tcBorders>
              <w:top w:val="nil"/>
            </w:tcBorders>
          </w:tcPr>
          <w:p>
            <w:pPr>
              <w:rPr>
                <w:sz w:val="2"/>
                <w:szCs w:val="2"/>
              </w:rPr>
            </w:pPr>
          </w:p>
        </w:tc>
      </w:tr>
      <w:tr>
        <w:trPr>
          <w:trHeight w:val="282" w:hRule="atLeast"/>
        </w:trPr>
        <w:tc>
          <w:tcPr>
            <w:tcW w:w="1092" w:type="dxa"/>
            <w:vMerge/>
            <w:tcBorders>
              <w:top w:val="nil"/>
            </w:tcBorders>
          </w:tcPr>
          <w:p>
            <w:pPr>
              <w:rPr>
                <w:sz w:val="2"/>
                <w:szCs w:val="2"/>
              </w:rPr>
            </w:pPr>
          </w:p>
        </w:tc>
        <w:tc>
          <w:tcPr>
            <w:tcW w:w="1375" w:type="dxa"/>
          </w:tcPr>
          <w:p>
            <w:pPr>
              <w:pStyle w:val="TableParagraph"/>
              <w:spacing w:line="257" w:lineRule="exact" w:before="6"/>
              <w:ind w:left="32" w:right="23"/>
              <w:rPr>
                <w:sz w:val="21"/>
              </w:rPr>
            </w:pPr>
            <w:r>
              <w:rPr>
                <w:sz w:val="21"/>
              </w:rPr>
              <w:t>废催化剂</w:t>
            </w:r>
          </w:p>
        </w:tc>
        <w:tc>
          <w:tcPr>
            <w:tcW w:w="1419" w:type="dxa"/>
          </w:tcPr>
          <w:p>
            <w:pPr>
              <w:pStyle w:val="TableParagraph"/>
              <w:spacing w:line="257" w:lineRule="exact" w:before="6"/>
              <w:ind w:left="8"/>
              <w:rPr>
                <w:sz w:val="21"/>
              </w:rPr>
            </w:pPr>
            <w:r>
              <w:rPr>
                <w:sz w:val="21"/>
              </w:rPr>
              <w:t>还原过滤</w:t>
            </w:r>
          </w:p>
        </w:tc>
        <w:tc>
          <w:tcPr>
            <w:tcW w:w="1133" w:type="dxa"/>
          </w:tcPr>
          <w:p>
            <w:pPr>
              <w:pStyle w:val="TableParagraph"/>
              <w:spacing w:before="19"/>
              <w:ind w:left="16" w:right="7"/>
              <w:rPr>
                <w:rFonts w:ascii="Times New Roman"/>
                <w:sz w:val="21"/>
              </w:rPr>
            </w:pPr>
            <w:r>
              <w:rPr>
                <w:rFonts w:ascii="Times New Roman"/>
                <w:sz w:val="21"/>
              </w:rPr>
              <w:t>261-161-50</w:t>
            </w:r>
          </w:p>
        </w:tc>
        <w:tc>
          <w:tcPr>
            <w:tcW w:w="1561" w:type="dxa"/>
            <w:vMerge w:val="restart"/>
          </w:tcPr>
          <w:p>
            <w:pPr>
              <w:pStyle w:val="TableParagraph"/>
              <w:spacing w:before="3"/>
              <w:jc w:val="left"/>
              <w:rPr>
                <w:b/>
                <w:sz w:val="23"/>
              </w:rPr>
            </w:pPr>
          </w:p>
          <w:p>
            <w:pPr>
              <w:pStyle w:val="TableParagraph"/>
              <w:ind w:left="492"/>
              <w:jc w:val="left"/>
              <w:rPr>
                <w:rFonts w:ascii="Times New Roman"/>
                <w:sz w:val="21"/>
              </w:rPr>
            </w:pPr>
            <w:r>
              <w:rPr>
                <w:rFonts w:ascii="Times New Roman"/>
                <w:sz w:val="21"/>
              </w:rPr>
              <w:t>0.0639</w:t>
            </w:r>
          </w:p>
        </w:tc>
        <w:tc>
          <w:tcPr>
            <w:tcW w:w="2608" w:type="dxa"/>
            <w:vMerge w:val="restart"/>
          </w:tcPr>
          <w:p>
            <w:pPr>
              <w:pStyle w:val="TableParagraph"/>
              <w:spacing w:line="244" w:lineRule="auto" w:before="147"/>
              <w:ind w:left="776" w:right="134" w:hanging="629"/>
              <w:jc w:val="left"/>
              <w:rPr>
                <w:sz w:val="21"/>
              </w:rPr>
            </w:pPr>
            <w:r>
              <w:rPr>
                <w:sz w:val="21"/>
              </w:rPr>
              <w:t>委托绍兴华鑫环保科技有限公司处置</w:t>
            </w:r>
          </w:p>
        </w:tc>
      </w:tr>
      <w:tr>
        <w:trPr>
          <w:trHeight w:val="544" w:hRule="atLeast"/>
        </w:trPr>
        <w:tc>
          <w:tcPr>
            <w:tcW w:w="1092" w:type="dxa"/>
          </w:tcPr>
          <w:p>
            <w:pPr>
              <w:pStyle w:val="TableParagraph"/>
              <w:spacing w:before="1"/>
              <w:ind w:left="101" w:right="89"/>
              <w:rPr>
                <w:sz w:val="21"/>
              </w:rPr>
            </w:pPr>
            <w:r>
              <w:rPr>
                <w:rFonts w:ascii="Times New Roman" w:eastAsia="Times New Roman"/>
                <w:sz w:val="21"/>
              </w:rPr>
              <w:t>N-</w:t>
            </w:r>
            <w:r>
              <w:rPr>
                <w:sz w:val="21"/>
              </w:rPr>
              <w:t>戊基苯</w:t>
            </w:r>
          </w:p>
          <w:p>
            <w:pPr>
              <w:pStyle w:val="TableParagraph"/>
              <w:spacing w:line="250" w:lineRule="exact" w:before="4"/>
              <w:ind w:left="7"/>
              <w:rPr>
                <w:sz w:val="21"/>
              </w:rPr>
            </w:pPr>
            <w:r>
              <w:rPr>
                <w:w w:val="100"/>
                <w:sz w:val="21"/>
              </w:rPr>
              <w:t>胺</w:t>
            </w:r>
          </w:p>
        </w:tc>
        <w:tc>
          <w:tcPr>
            <w:tcW w:w="1375" w:type="dxa"/>
          </w:tcPr>
          <w:p>
            <w:pPr>
              <w:pStyle w:val="TableParagraph"/>
              <w:spacing w:before="138"/>
              <w:ind w:left="32" w:right="23"/>
              <w:rPr>
                <w:sz w:val="21"/>
              </w:rPr>
            </w:pPr>
            <w:r>
              <w:rPr>
                <w:sz w:val="21"/>
              </w:rPr>
              <w:t>废催化剂</w:t>
            </w:r>
          </w:p>
        </w:tc>
        <w:tc>
          <w:tcPr>
            <w:tcW w:w="1419" w:type="dxa"/>
          </w:tcPr>
          <w:p>
            <w:pPr>
              <w:pStyle w:val="TableParagraph"/>
              <w:spacing w:before="138"/>
              <w:ind w:left="10"/>
              <w:rPr>
                <w:sz w:val="21"/>
              </w:rPr>
            </w:pPr>
            <w:r>
              <w:rPr>
                <w:sz w:val="21"/>
              </w:rPr>
              <w:t>还原过滤</w:t>
            </w:r>
          </w:p>
        </w:tc>
        <w:tc>
          <w:tcPr>
            <w:tcW w:w="1133" w:type="dxa"/>
          </w:tcPr>
          <w:p>
            <w:pPr>
              <w:pStyle w:val="TableParagraph"/>
              <w:spacing w:before="151"/>
              <w:ind w:left="16" w:right="7"/>
              <w:rPr>
                <w:rFonts w:ascii="Times New Roman"/>
                <w:sz w:val="21"/>
              </w:rPr>
            </w:pPr>
            <w:r>
              <w:rPr>
                <w:rFonts w:ascii="Times New Roman"/>
                <w:sz w:val="21"/>
              </w:rPr>
              <w:t>261-161-50</w:t>
            </w:r>
          </w:p>
        </w:tc>
        <w:tc>
          <w:tcPr>
            <w:tcW w:w="1561" w:type="dxa"/>
            <w:vMerge/>
            <w:tcBorders>
              <w:top w:val="nil"/>
            </w:tcBorders>
          </w:tcPr>
          <w:p>
            <w:pPr>
              <w:rPr>
                <w:sz w:val="2"/>
                <w:szCs w:val="2"/>
              </w:rPr>
            </w:pPr>
          </w:p>
        </w:tc>
        <w:tc>
          <w:tcPr>
            <w:tcW w:w="2608" w:type="dxa"/>
            <w:vMerge/>
            <w:tcBorders>
              <w:top w:val="nil"/>
            </w:tcBorders>
          </w:tcPr>
          <w:p>
            <w:pPr>
              <w:rPr>
                <w:sz w:val="2"/>
                <w:szCs w:val="2"/>
              </w:rPr>
            </w:pPr>
          </w:p>
        </w:tc>
      </w:tr>
      <w:tr>
        <w:trPr>
          <w:trHeight w:val="285" w:hRule="atLeast"/>
        </w:trPr>
        <w:tc>
          <w:tcPr>
            <w:tcW w:w="1092"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
              <w:jc w:val="left"/>
              <w:rPr>
                <w:b/>
                <w:sz w:val="16"/>
              </w:rPr>
            </w:pPr>
          </w:p>
          <w:p>
            <w:pPr>
              <w:pStyle w:val="TableParagraph"/>
              <w:ind w:left="124"/>
              <w:jc w:val="left"/>
              <w:rPr>
                <w:sz w:val="21"/>
              </w:rPr>
            </w:pPr>
            <w:r>
              <w:rPr>
                <w:sz w:val="21"/>
              </w:rPr>
              <w:t>公用工程</w:t>
            </w:r>
          </w:p>
        </w:tc>
        <w:tc>
          <w:tcPr>
            <w:tcW w:w="1375" w:type="dxa"/>
          </w:tcPr>
          <w:p>
            <w:pPr>
              <w:pStyle w:val="TableParagraph"/>
              <w:spacing w:line="257" w:lineRule="exact" w:before="8"/>
              <w:ind w:left="32" w:right="23"/>
              <w:rPr>
                <w:sz w:val="21"/>
              </w:rPr>
            </w:pPr>
            <w:r>
              <w:rPr>
                <w:sz w:val="21"/>
              </w:rPr>
              <w:t>废包装袋</w:t>
            </w:r>
          </w:p>
        </w:tc>
        <w:tc>
          <w:tcPr>
            <w:tcW w:w="1419" w:type="dxa"/>
          </w:tcPr>
          <w:p>
            <w:pPr>
              <w:pStyle w:val="TableParagraph"/>
              <w:spacing w:line="257" w:lineRule="exact" w:before="8"/>
              <w:ind w:left="10"/>
              <w:rPr>
                <w:sz w:val="21"/>
              </w:rPr>
            </w:pPr>
            <w:r>
              <w:rPr>
                <w:sz w:val="21"/>
              </w:rPr>
              <w:t>原料包装</w:t>
            </w:r>
          </w:p>
        </w:tc>
        <w:tc>
          <w:tcPr>
            <w:tcW w:w="1133" w:type="dxa"/>
          </w:tcPr>
          <w:p>
            <w:pPr>
              <w:pStyle w:val="TableParagraph"/>
              <w:spacing w:before="22"/>
              <w:ind w:left="16" w:right="7"/>
              <w:rPr>
                <w:rFonts w:ascii="Times New Roman"/>
                <w:sz w:val="21"/>
              </w:rPr>
            </w:pPr>
            <w:r>
              <w:rPr>
                <w:rFonts w:ascii="Times New Roman"/>
                <w:sz w:val="21"/>
              </w:rPr>
              <w:t>900-041-49</w:t>
            </w:r>
          </w:p>
        </w:tc>
        <w:tc>
          <w:tcPr>
            <w:tcW w:w="1561" w:type="dxa"/>
          </w:tcPr>
          <w:p>
            <w:pPr>
              <w:pStyle w:val="TableParagraph"/>
              <w:spacing w:before="22"/>
              <w:ind w:left="20" w:right="6"/>
              <w:rPr>
                <w:rFonts w:ascii="Times New Roman"/>
                <w:sz w:val="21"/>
              </w:rPr>
            </w:pPr>
            <w:r>
              <w:rPr>
                <w:rFonts w:ascii="Times New Roman"/>
                <w:sz w:val="21"/>
              </w:rPr>
              <w:t>2.058</w:t>
            </w:r>
          </w:p>
        </w:tc>
        <w:tc>
          <w:tcPr>
            <w:tcW w:w="2608" w:type="dxa"/>
            <w:vMerge w:val="restart"/>
          </w:tcPr>
          <w:p>
            <w:pPr>
              <w:pStyle w:val="TableParagraph"/>
              <w:spacing w:line="242" w:lineRule="auto" w:before="13"/>
              <w:ind w:left="147" w:right="134"/>
              <w:rPr>
                <w:sz w:val="21"/>
              </w:rPr>
            </w:pPr>
            <w:r>
              <w:rPr>
                <w:sz w:val="21"/>
              </w:rPr>
              <w:t>委托绍兴市上虞众联环保有限公司或绍兴华鑫环保</w:t>
            </w:r>
          </w:p>
          <w:p>
            <w:pPr>
              <w:pStyle w:val="TableParagraph"/>
              <w:spacing w:line="262" w:lineRule="exact" w:before="1"/>
              <w:ind w:left="141" w:right="134"/>
              <w:rPr>
                <w:sz w:val="21"/>
              </w:rPr>
            </w:pPr>
            <w:r>
              <w:rPr>
                <w:sz w:val="21"/>
              </w:rPr>
              <w:t>科技有限公司处置</w:t>
            </w:r>
          </w:p>
        </w:tc>
      </w:tr>
      <w:tr>
        <w:trPr>
          <w:trHeight w:val="544" w:hRule="atLeast"/>
        </w:trPr>
        <w:tc>
          <w:tcPr>
            <w:tcW w:w="1092" w:type="dxa"/>
            <w:vMerge/>
            <w:tcBorders>
              <w:top w:val="nil"/>
            </w:tcBorders>
          </w:tcPr>
          <w:p>
            <w:pPr>
              <w:rPr>
                <w:sz w:val="2"/>
                <w:szCs w:val="2"/>
              </w:rPr>
            </w:pPr>
          </w:p>
        </w:tc>
        <w:tc>
          <w:tcPr>
            <w:tcW w:w="1375" w:type="dxa"/>
          </w:tcPr>
          <w:p>
            <w:pPr>
              <w:pStyle w:val="TableParagraph"/>
              <w:spacing w:before="137"/>
              <w:ind w:left="30" w:right="23"/>
              <w:rPr>
                <w:sz w:val="21"/>
              </w:rPr>
            </w:pPr>
            <w:r>
              <w:rPr>
                <w:sz w:val="21"/>
              </w:rPr>
              <w:t>油及酸析污泥</w:t>
            </w:r>
          </w:p>
        </w:tc>
        <w:tc>
          <w:tcPr>
            <w:tcW w:w="1419" w:type="dxa"/>
          </w:tcPr>
          <w:p>
            <w:pPr>
              <w:pStyle w:val="TableParagraph"/>
              <w:spacing w:before="1"/>
              <w:ind w:left="11"/>
              <w:rPr>
                <w:sz w:val="21"/>
              </w:rPr>
            </w:pPr>
            <w:r>
              <w:rPr>
                <w:sz w:val="21"/>
              </w:rPr>
              <w:t>废水隔油和酸</w:t>
            </w:r>
          </w:p>
          <w:p>
            <w:pPr>
              <w:pStyle w:val="TableParagraph"/>
              <w:spacing w:line="252" w:lineRule="exact" w:before="2"/>
              <w:ind w:left="12"/>
              <w:rPr>
                <w:sz w:val="21"/>
              </w:rPr>
            </w:pPr>
            <w:r>
              <w:rPr>
                <w:sz w:val="21"/>
              </w:rPr>
              <w:t>析工序</w:t>
            </w:r>
          </w:p>
        </w:tc>
        <w:tc>
          <w:tcPr>
            <w:tcW w:w="1133" w:type="dxa"/>
          </w:tcPr>
          <w:p>
            <w:pPr>
              <w:pStyle w:val="TableParagraph"/>
              <w:spacing w:before="151"/>
              <w:ind w:left="16" w:right="7"/>
              <w:rPr>
                <w:rFonts w:ascii="Times New Roman"/>
                <w:sz w:val="21"/>
              </w:rPr>
            </w:pPr>
            <w:r>
              <w:rPr>
                <w:rFonts w:ascii="Times New Roman"/>
                <w:sz w:val="21"/>
              </w:rPr>
              <w:t>900-409-06</w:t>
            </w:r>
          </w:p>
        </w:tc>
        <w:tc>
          <w:tcPr>
            <w:tcW w:w="1561" w:type="dxa"/>
          </w:tcPr>
          <w:p>
            <w:pPr>
              <w:pStyle w:val="TableParagraph"/>
              <w:spacing w:before="151"/>
              <w:ind w:left="20" w:right="9"/>
              <w:rPr>
                <w:rFonts w:ascii="Times New Roman"/>
                <w:sz w:val="21"/>
              </w:rPr>
            </w:pPr>
            <w:r>
              <w:rPr>
                <w:rFonts w:ascii="Times New Roman"/>
                <w:sz w:val="21"/>
              </w:rPr>
              <w:t>618.934</w:t>
            </w:r>
          </w:p>
        </w:tc>
        <w:tc>
          <w:tcPr>
            <w:tcW w:w="2608" w:type="dxa"/>
            <w:vMerge/>
            <w:tcBorders>
              <w:top w:val="nil"/>
            </w:tcBorders>
          </w:tcPr>
          <w:p>
            <w:pPr>
              <w:rPr>
                <w:sz w:val="2"/>
                <w:szCs w:val="2"/>
              </w:rPr>
            </w:pPr>
          </w:p>
        </w:tc>
      </w:tr>
      <w:tr>
        <w:trPr>
          <w:trHeight w:val="544" w:hRule="atLeast"/>
        </w:trPr>
        <w:tc>
          <w:tcPr>
            <w:tcW w:w="1092" w:type="dxa"/>
            <w:vMerge/>
            <w:tcBorders>
              <w:top w:val="nil"/>
            </w:tcBorders>
          </w:tcPr>
          <w:p>
            <w:pPr>
              <w:rPr>
                <w:sz w:val="2"/>
                <w:szCs w:val="2"/>
              </w:rPr>
            </w:pPr>
          </w:p>
        </w:tc>
        <w:tc>
          <w:tcPr>
            <w:tcW w:w="1375" w:type="dxa"/>
          </w:tcPr>
          <w:p>
            <w:pPr>
              <w:pStyle w:val="TableParagraph"/>
              <w:spacing w:before="137"/>
              <w:ind w:left="30" w:right="23"/>
              <w:rPr>
                <w:sz w:val="21"/>
              </w:rPr>
            </w:pPr>
            <w:r>
              <w:rPr>
                <w:sz w:val="21"/>
              </w:rPr>
              <w:t>芬顿氧化污泥</w:t>
            </w:r>
          </w:p>
        </w:tc>
        <w:tc>
          <w:tcPr>
            <w:tcW w:w="1419" w:type="dxa"/>
          </w:tcPr>
          <w:p>
            <w:pPr>
              <w:pStyle w:val="TableParagraph"/>
              <w:spacing w:before="1"/>
              <w:ind w:left="11"/>
              <w:rPr>
                <w:sz w:val="21"/>
              </w:rPr>
            </w:pPr>
            <w:r>
              <w:rPr>
                <w:sz w:val="21"/>
              </w:rPr>
              <w:t>铁碳芬顿氧化</w:t>
            </w:r>
          </w:p>
          <w:p>
            <w:pPr>
              <w:pStyle w:val="TableParagraph"/>
              <w:spacing w:line="250" w:lineRule="exact" w:before="4"/>
              <w:ind w:left="12"/>
              <w:rPr>
                <w:sz w:val="21"/>
              </w:rPr>
            </w:pPr>
            <w:r>
              <w:rPr>
                <w:sz w:val="21"/>
              </w:rPr>
              <w:t>工序</w:t>
            </w:r>
          </w:p>
        </w:tc>
        <w:tc>
          <w:tcPr>
            <w:tcW w:w="1133" w:type="dxa"/>
          </w:tcPr>
          <w:p>
            <w:pPr>
              <w:pStyle w:val="TableParagraph"/>
              <w:spacing w:before="151"/>
              <w:ind w:left="16" w:right="7"/>
              <w:rPr>
                <w:rFonts w:ascii="Times New Roman"/>
                <w:sz w:val="21"/>
              </w:rPr>
            </w:pPr>
            <w:r>
              <w:rPr>
                <w:rFonts w:ascii="Times New Roman"/>
                <w:sz w:val="21"/>
              </w:rPr>
              <w:t>900-409-06</w:t>
            </w:r>
          </w:p>
        </w:tc>
        <w:tc>
          <w:tcPr>
            <w:tcW w:w="1561" w:type="dxa"/>
          </w:tcPr>
          <w:p>
            <w:pPr>
              <w:pStyle w:val="TableParagraph"/>
              <w:spacing w:before="151"/>
              <w:ind w:left="20" w:right="6"/>
              <w:rPr>
                <w:rFonts w:ascii="Times New Roman"/>
                <w:sz w:val="21"/>
              </w:rPr>
            </w:pPr>
            <w:r>
              <w:rPr>
                <w:rFonts w:ascii="Times New Roman"/>
                <w:sz w:val="21"/>
              </w:rPr>
              <w:t>421.74</w:t>
            </w:r>
          </w:p>
        </w:tc>
        <w:tc>
          <w:tcPr>
            <w:tcW w:w="2608" w:type="dxa"/>
          </w:tcPr>
          <w:p>
            <w:pPr>
              <w:pStyle w:val="TableParagraph"/>
              <w:spacing w:before="1"/>
              <w:ind w:left="129" w:right="118"/>
              <w:rPr>
                <w:sz w:val="21"/>
              </w:rPr>
            </w:pPr>
            <w:r>
              <w:rPr>
                <w:sz w:val="21"/>
              </w:rPr>
              <w:t>委托绍兴市上虞众联环保</w:t>
            </w:r>
          </w:p>
          <w:p>
            <w:pPr>
              <w:pStyle w:val="TableParagraph"/>
              <w:spacing w:line="250" w:lineRule="exact" w:before="4"/>
              <w:ind w:left="143" w:right="134"/>
              <w:rPr>
                <w:sz w:val="21"/>
              </w:rPr>
            </w:pPr>
            <w:r>
              <w:rPr>
                <w:sz w:val="21"/>
              </w:rPr>
              <w:t>有限公司填埋处置</w:t>
            </w:r>
          </w:p>
        </w:tc>
      </w:tr>
      <w:tr>
        <w:trPr>
          <w:trHeight w:val="818" w:hRule="atLeast"/>
        </w:trPr>
        <w:tc>
          <w:tcPr>
            <w:tcW w:w="1092" w:type="dxa"/>
            <w:vMerge/>
            <w:tcBorders>
              <w:top w:val="nil"/>
            </w:tcBorders>
          </w:tcPr>
          <w:p>
            <w:pPr>
              <w:rPr>
                <w:sz w:val="2"/>
                <w:szCs w:val="2"/>
              </w:rPr>
            </w:pPr>
          </w:p>
        </w:tc>
        <w:tc>
          <w:tcPr>
            <w:tcW w:w="1375" w:type="dxa"/>
          </w:tcPr>
          <w:p>
            <w:pPr>
              <w:pStyle w:val="TableParagraph"/>
              <w:spacing w:before="5"/>
              <w:jc w:val="left"/>
              <w:rPr>
                <w:b/>
                <w:sz w:val="21"/>
              </w:rPr>
            </w:pPr>
          </w:p>
          <w:p>
            <w:pPr>
              <w:pStyle w:val="TableParagraph"/>
              <w:spacing w:before="1"/>
              <w:ind w:left="32" w:right="23"/>
              <w:rPr>
                <w:sz w:val="21"/>
              </w:rPr>
            </w:pPr>
            <w:r>
              <w:rPr>
                <w:sz w:val="21"/>
              </w:rPr>
              <w:t>生化污泥</w:t>
            </w:r>
          </w:p>
        </w:tc>
        <w:tc>
          <w:tcPr>
            <w:tcW w:w="1419" w:type="dxa"/>
          </w:tcPr>
          <w:p>
            <w:pPr>
              <w:pStyle w:val="TableParagraph"/>
              <w:spacing w:before="5"/>
              <w:jc w:val="left"/>
              <w:rPr>
                <w:b/>
                <w:sz w:val="21"/>
              </w:rPr>
            </w:pPr>
          </w:p>
          <w:p>
            <w:pPr>
              <w:pStyle w:val="TableParagraph"/>
              <w:spacing w:before="1"/>
              <w:ind w:left="11"/>
              <w:rPr>
                <w:sz w:val="21"/>
              </w:rPr>
            </w:pPr>
            <w:r>
              <w:rPr>
                <w:sz w:val="21"/>
              </w:rPr>
              <w:t>生化处理工序</w:t>
            </w:r>
          </w:p>
        </w:tc>
        <w:tc>
          <w:tcPr>
            <w:tcW w:w="1133" w:type="dxa"/>
          </w:tcPr>
          <w:p>
            <w:pPr>
              <w:pStyle w:val="TableParagraph"/>
              <w:spacing w:line="242" w:lineRule="auto" w:before="138"/>
              <w:ind w:left="357" w:right="132" w:hanging="212"/>
              <w:jc w:val="left"/>
              <w:rPr>
                <w:sz w:val="21"/>
              </w:rPr>
            </w:pPr>
            <w:r>
              <w:rPr>
                <w:sz w:val="21"/>
              </w:rPr>
              <w:t>一般工业固废</w:t>
            </w:r>
          </w:p>
        </w:tc>
        <w:tc>
          <w:tcPr>
            <w:tcW w:w="1561" w:type="dxa"/>
          </w:tcPr>
          <w:p>
            <w:pPr>
              <w:pStyle w:val="TableParagraph"/>
              <w:spacing w:before="7"/>
              <w:jc w:val="left"/>
              <w:rPr>
                <w:b/>
                <w:sz w:val="22"/>
              </w:rPr>
            </w:pPr>
          </w:p>
          <w:p>
            <w:pPr>
              <w:pStyle w:val="TableParagraph"/>
              <w:ind w:left="20" w:right="9"/>
              <w:rPr>
                <w:rFonts w:ascii="Times New Roman"/>
                <w:sz w:val="21"/>
              </w:rPr>
            </w:pPr>
            <w:r>
              <w:rPr>
                <w:rFonts w:ascii="Times New Roman"/>
                <w:sz w:val="21"/>
              </w:rPr>
              <w:t>118.26</w:t>
            </w:r>
          </w:p>
        </w:tc>
        <w:tc>
          <w:tcPr>
            <w:tcW w:w="2608" w:type="dxa"/>
          </w:tcPr>
          <w:p>
            <w:pPr>
              <w:pStyle w:val="TableParagraph"/>
              <w:spacing w:before="1"/>
              <w:ind w:left="147"/>
              <w:jc w:val="left"/>
              <w:rPr>
                <w:sz w:val="21"/>
              </w:rPr>
            </w:pPr>
            <w:r>
              <w:rPr>
                <w:sz w:val="21"/>
              </w:rPr>
              <w:t>委托绍兴市上虞众联环保</w:t>
            </w:r>
          </w:p>
          <w:p>
            <w:pPr>
              <w:pStyle w:val="TableParagraph"/>
              <w:spacing w:line="270" w:lineRule="atLeast" w:before="4"/>
              <w:ind w:left="987" w:right="133" w:hanging="840"/>
              <w:jc w:val="left"/>
              <w:rPr>
                <w:sz w:val="21"/>
              </w:rPr>
            </w:pPr>
            <w:r>
              <w:rPr>
                <w:sz w:val="21"/>
              </w:rPr>
              <w:t>有限公司一般工业固废填埋处置</w:t>
            </w:r>
          </w:p>
        </w:tc>
      </w:tr>
    </w:tbl>
    <w:p>
      <w:pPr>
        <w:pStyle w:val="BodyText"/>
        <w:spacing w:line="362" w:lineRule="auto" w:before="2"/>
        <w:ind w:left="218" w:right="337" w:firstLine="480"/>
      </w:pPr>
      <w:r>
        <w:rPr/>
        <w:t>现有产生的危废全部委托绍兴市上虞众联环保有限公司或绍兴华鑫环保科技有限公司处置，危废处置协议详见</w:t>
      </w:r>
      <w:r>
        <w:rPr>
          <w:b/>
          <w:u w:val="single"/>
        </w:rPr>
        <w:t>附件 </w:t>
      </w:r>
      <w:r>
        <w:rPr>
          <w:rFonts w:ascii="Times New Roman" w:eastAsia="Times New Roman"/>
          <w:b/>
          <w:u w:val="single"/>
        </w:rPr>
        <w:t>6</w:t>
      </w:r>
      <w:r>
        <w:rPr/>
        <w:t>。</w:t>
      </w:r>
    </w:p>
    <w:p>
      <w:pPr>
        <w:pStyle w:val="Heading3"/>
        <w:numPr>
          <w:ilvl w:val="1"/>
          <w:numId w:val="13"/>
        </w:numPr>
        <w:tabs>
          <w:tab w:pos="639" w:val="left" w:leader="none"/>
        </w:tabs>
        <w:spacing w:line="240" w:lineRule="auto" w:before="6" w:after="0"/>
        <w:ind w:left="638" w:right="0" w:hanging="421"/>
        <w:jc w:val="left"/>
      </w:pPr>
      <w:bookmarkStart w:name="_bookmark19" w:id="39"/>
      <w:bookmarkEnd w:id="39"/>
      <w:r>
        <w:rPr>
          <w:b w:val="0"/>
        </w:rPr>
      </w:r>
      <w:bookmarkStart w:name="_bookmark19" w:id="40"/>
      <w:bookmarkEnd w:id="40"/>
      <w:r>
        <w:rPr/>
        <w:t>企业现有污染物排放及总量核定情况</w:t>
      </w:r>
    </w:p>
    <w:p>
      <w:pPr>
        <w:pStyle w:val="Heading4"/>
        <w:numPr>
          <w:ilvl w:val="2"/>
          <w:numId w:val="13"/>
        </w:numPr>
        <w:tabs>
          <w:tab w:pos="759" w:val="left" w:leader="none"/>
        </w:tabs>
        <w:spacing w:line="240" w:lineRule="auto" w:before="185" w:after="0"/>
        <w:ind w:left="758" w:right="0" w:hanging="541"/>
        <w:jc w:val="left"/>
      </w:pPr>
      <w:r>
        <w:rPr/>
        <w:t>现有企业已核定排污许可情况</w:t>
      </w:r>
    </w:p>
    <w:p>
      <w:pPr>
        <w:spacing w:before="158"/>
        <w:ind w:left="701" w:right="0" w:firstLine="0"/>
        <w:jc w:val="left"/>
        <w:rPr>
          <w:b/>
          <w:sz w:val="24"/>
        </w:rPr>
      </w:pPr>
      <w:r>
        <w:rPr>
          <w:b/>
          <w:spacing w:val="-23"/>
          <w:sz w:val="24"/>
        </w:rPr>
        <w:t>根据 绍 兴 贝 斯 美 化 工 股 份 有 限 公 司 排 污 许 可 证 </w:t>
      </w:r>
      <w:r>
        <w:rPr>
          <w:b/>
          <w:sz w:val="24"/>
        </w:rPr>
        <w:t>（</w:t>
      </w:r>
      <w:r>
        <w:rPr>
          <w:b/>
          <w:spacing w:val="-16"/>
          <w:sz w:val="24"/>
        </w:rPr>
        <w:t> 证 书 编 号 ：</w:t>
      </w:r>
    </w:p>
    <w:p>
      <w:pPr>
        <w:tabs>
          <w:tab w:pos="3183" w:val="left" w:leader="none"/>
          <w:tab w:pos="6558" w:val="left" w:leader="none"/>
        </w:tabs>
        <w:spacing w:line="475" w:lineRule="auto" w:before="161"/>
        <w:ind w:left="1961" w:right="2074" w:hanging="1743"/>
        <w:jc w:val="left"/>
        <w:rPr>
          <w:rFonts w:ascii="Times New Roman" w:eastAsia="Times New Roman"/>
          <w:b/>
          <w:sz w:val="24"/>
        </w:rPr>
      </w:pPr>
      <w:r>
        <w:rPr/>
        <w:pict>
          <v:shape style="position:absolute;margin-left:70.463997pt;margin-top:55.239971pt;width:454.9pt;height:75.6pt;mso-position-horizontal-relative:page;mso-position-vertical-relative:paragraph;z-index:25178112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3865"/>
                    <w:gridCol w:w="3889"/>
                  </w:tblGrid>
                  <w:tr>
                    <w:trPr>
                      <w:trHeight w:val="285" w:hRule="atLeast"/>
                    </w:trPr>
                    <w:tc>
                      <w:tcPr>
                        <w:tcW w:w="5195" w:type="dxa"/>
                        <w:gridSpan w:val="2"/>
                        <w:tcBorders>
                          <w:left w:val="single" w:sz="4" w:space="0" w:color="000000"/>
                        </w:tcBorders>
                      </w:tcPr>
                      <w:p>
                        <w:pPr>
                          <w:pStyle w:val="TableParagraph"/>
                          <w:spacing w:line="257" w:lineRule="exact" w:before="8"/>
                          <w:ind w:left="2049" w:right="2038"/>
                          <w:rPr>
                            <w:b/>
                            <w:sz w:val="21"/>
                          </w:rPr>
                        </w:pPr>
                        <w:r>
                          <w:rPr>
                            <w:b/>
                            <w:sz w:val="21"/>
                          </w:rPr>
                          <w:t>污染源名称</w:t>
                        </w:r>
                      </w:p>
                    </w:tc>
                    <w:tc>
                      <w:tcPr>
                        <w:tcW w:w="3889" w:type="dxa"/>
                        <w:tcBorders>
                          <w:right w:val="single" w:sz="4" w:space="0" w:color="000000"/>
                        </w:tcBorders>
                      </w:tcPr>
                      <w:p>
                        <w:pPr>
                          <w:pStyle w:val="TableParagraph"/>
                          <w:spacing w:line="257" w:lineRule="exact" w:before="8"/>
                          <w:ind w:left="1498" w:right="1493"/>
                          <w:rPr>
                            <w:b/>
                            <w:sz w:val="21"/>
                          </w:rPr>
                        </w:pPr>
                        <w:r>
                          <w:rPr>
                            <w:b/>
                            <w:sz w:val="21"/>
                          </w:rPr>
                          <w:t>登载总量</w:t>
                        </w:r>
                      </w:p>
                    </w:tc>
                  </w:tr>
                  <w:tr>
                    <w:trPr>
                      <w:trHeight w:val="285" w:hRule="atLeast"/>
                    </w:trPr>
                    <w:tc>
                      <w:tcPr>
                        <w:tcW w:w="1330" w:type="dxa"/>
                        <w:vMerge w:val="restart"/>
                        <w:tcBorders>
                          <w:left w:val="single" w:sz="4" w:space="0" w:color="000000"/>
                        </w:tcBorders>
                      </w:tcPr>
                      <w:p>
                        <w:pPr>
                          <w:pStyle w:val="TableParagraph"/>
                          <w:spacing w:before="157"/>
                          <w:ind w:left="434" w:right="423"/>
                          <w:rPr>
                            <w:sz w:val="21"/>
                          </w:rPr>
                        </w:pPr>
                        <w:r>
                          <w:rPr>
                            <w:sz w:val="21"/>
                          </w:rPr>
                          <w:t>废水</w:t>
                        </w:r>
                      </w:p>
                    </w:tc>
                    <w:tc>
                      <w:tcPr>
                        <w:tcW w:w="3865" w:type="dxa"/>
                      </w:tcPr>
                      <w:p>
                        <w:pPr>
                          <w:pStyle w:val="TableParagraph"/>
                          <w:spacing w:line="257" w:lineRule="exact" w:before="8"/>
                          <w:ind w:left="1079" w:right="1074"/>
                          <w:rPr>
                            <w:sz w:val="21"/>
                          </w:rPr>
                        </w:pPr>
                        <w:r>
                          <w:rPr>
                            <w:rFonts w:ascii="Times New Roman" w:eastAsia="Times New Roman"/>
                            <w:sz w:val="21"/>
                          </w:rPr>
                          <w:t>CODcr</w:t>
                        </w:r>
                        <w:r>
                          <w:rPr>
                            <w:sz w:val="21"/>
                          </w:rPr>
                          <w:t>（纳管量）</w:t>
                        </w:r>
                      </w:p>
                    </w:tc>
                    <w:tc>
                      <w:tcPr>
                        <w:tcW w:w="3889" w:type="dxa"/>
                        <w:tcBorders>
                          <w:right w:val="single" w:sz="4" w:space="0" w:color="000000"/>
                        </w:tcBorders>
                      </w:tcPr>
                      <w:p>
                        <w:pPr>
                          <w:pStyle w:val="TableParagraph"/>
                          <w:spacing w:before="22"/>
                          <w:ind w:left="1494" w:right="1494"/>
                          <w:rPr>
                            <w:rFonts w:ascii="Times New Roman"/>
                            <w:sz w:val="21"/>
                          </w:rPr>
                        </w:pPr>
                        <w:r>
                          <w:rPr>
                            <w:rFonts w:ascii="Times New Roman"/>
                            <w:sz w:val="21"/>
                          </w:rPr>
                          <w:t>57</w:t>
                        </w:r>
                      </w:p>
                    </w:tc>
                  </w:tr>
                  <w:tr>
                    <w:trPr>
                      <w:trHeight w:val="282" w:hRule="atLeast"/>
                    </w:trPr>
                    <w:tc>
                      <w:tcPr>
                        <w:tcW w:w="1330" w:type="dxa"/>
                        <w:vMerge/>
                        <w:tcBorders>
                          <w:top w:val="nil"/>
                          <w:left w:val="single" w:sz="4" w:space="0" w:color="000000"/>
                        </w:tcBorders>
                      </w:tcPr>
                      <w:p>
                        <w:pPr>
                          <w:rPr>
                            <w:sz w:val="2"/>
                            <w:szCs w:val="2"/>
                          </w:rPr>
                        </w:pPr>
                      </w:p>
                    </w:tc>
                    <w:tc>
                      <w:tcPr>
                        <w:tcW w:w="3865" w:type="dxa"/>
                      </w:tcPr>
                      <w:p>
                        <w:pPr>
                          <w:pStyle w:val="TableParagraph"/>
                          <w:spacing w:line="257" w:lineRule="exact" w:before="5"/>
                          <w:ind w:left="1079" w:right="1071"/>
                          <w:rPr>
                            <w:sz w:val="21"/>
                          </w:rPr>
                        </w:pPr>
                        <w:r>
                          <w:rPr>
                            <w:sz w:val="21"/>
                          </w:rPr>
                          <w:t>氨氮（纳管量）</w:t>
                        </w:r>
                      </w:p>
                    </w:tc>
                    <w:tc>
                      <w:tcPr>
                        <w:tcW w:w="3889" w:type="dxa"/>
                        <w:tcBorders>
                          <w:right w:val="single" w:sz="4" w:space="0" w:color="000000"/>
                        </w:tcBorders>
                      </w:tcPr>
                      <w:p>
                        <w:pPr>
                          <w:pStyle w:val="TableParagraph"/>
                          <w:spacing w:before="19"/>
                          <w:ind w:left="1498" w:right="1493"/>
                          <w:rPr>
                            <w:rFonts w:ascii="Times New Roman"/>
                            <w:sz w:val="21"/>
                          </w:rPr>
                        </w:pPr>
                        <w:r>
                          <w:rPr>
                            <w:rFonts w:ascii="Times New Roman"/>
                            <w:sz w:val="21"/>
                          </w:rPr>
                          <w:t>3.990</w:t>
                        </w:r>
                      </w:p>
                    </w:tc>
                  </w:tr>
                  <w:tr>
                    <w:trPr>
                      <w:trHeight w:val="285" w:hRule="atLeast"/>
                    </w:trPr>
                    <w:tc>
                      <w:tcPr>
                        <w:tcW w:w="1330" w:type="dxa"/>
                        <w:vMerge w:val="restart"/>
                        <w:tcBorders>
                          <w:left w:val="single" w:sz="4" w:space="0" w:color="000000"/>
                        </w:tcBorders>
                      </w:tcPr>
                      <w:p>
                        <w:pPr>
                          <w:pStyle w:val="TableParagraph"/>
                          <w:spacing w:before="157"/>
                          <w:ind w:left="434" w:right="423"/>
                          <w:rPr>
                            <w:sz w:val="21"/>
                          </w:rPr>
                        </w:pPr>
                        <w:r>
                          <w:rPr>
                            <w:sz w:val="21"/>
                          </w:rPr>
                          <w:t>废气</w:t>
                        </w:r>
                      </w:p>
                    </w:tc>
                    <w:tc>
                      <w:tcPr>
                        <w:tcW w:w="3865" w:type="dxa"/>
                      </w:tcPr>
                      <w:p>
                        <w:pPr>
                          <w:pStyle w:val="TableParagraph"/>
                          <w:spacing w:before="22"/>
                          <w:ind w:left="1079" w:right="1071"/>
                          <w:rPr>
                            <w:rFonts w:ascii="Times New Roman"/>
                            <w:sz w:val="21"/>
                          </w:rPr>
                        </w:pPr>
                        <w:r>
                          <w:rPr>
                            <w:rFonts w:ascii="Times New Roman"/>
                            <w:sz w:val="21"/>
                          </w:rPr>
                          <w:t>VOCs</w:t>
                        </w:r>
                      </w:p>
                    </w:tc>
                    <w:tc>
                      <w:tcPr>
                        <w:tcW w:w="3889" w:type="dxa"/>
                        <w:tcBorders>
                          <w:right w:val="single" w:sz="4" w:space="0" w:color="000000"/>
                        </w:tcBorders>
                      </w:tcPr>
                      <w:p>
                        <w:pPr>
                          <w:pStyle w:val="TableParagraph"/>
                          <w:spacing w:before="22"/>
                          <w:ind w:left="1498" w:right="1493"/>
                          <w:rPr>
                            <w:rFonts w:ascii="Times New Roman"/>
                            <w:sz w:val="21"/>
                          </w:rPr>
                        </w:pPr>
                        <w:r>
                          <w:rPr>
                            <w:rFonts w:ascii="Times New Roman"/>
                            <w:sz w:val="21"/>
                          </w:rPr>
                          <w:t>14.503</w:t>
                        </w:r>
                      </w:p>
                    </w:tc>
                  </w:tr>
                  <w:tr>
                    <w:trPr>
                      <w:trHeight w:val="285" w:hRule="atLeast"/>
                    </w:trPr>
                    <w:tc>
                      <w:tcPr>
                        <w:tcW w:w="1330" w:type="dxa"/>
                        <w:vMerge/>
                        <w:tcBorders>
                          <w:top w:val="nil"/>
                          <w:left w:val="single" w:sz="4" w:space="0" w:color="000000"/>
                        </w:tcBorders>
                      </w:tcPr>
                      <w:p>
                        <w:pPr>
                          <w:rPr>
                            <w:sz w:val="2"/>
                            <w:szCs w:val="2"/>
                          </w:rPr>
                        </w:pPr>
                      </w:p>
                    </w:tc>
                    <w:tc>
                      <w:tcPr>
                        <w:tcW w:w="3865" w:type="dxa"/>
                      </w:tcPr>
                      <w:p>
                        <w:pPr>
                          <w:pStyle w:val="TableParagraph"/>
                          <w:spacing w:before="19"/>
                          <w:ind w:left="1079" w:right="1073"/>
                          <w:rPr>
                            <w:rFonts w:ascii="Times New Roman"/>
                            <w:sz w:val="21"/>
                          </w:rPr>
                        </w:pPr>
                        <w:r>
                          <w:rPr>
                            <w:rFonts w:ascii="Times New Roman"/>
                            <w:sz w:val="21"/>
                          </w:rPr>
                          <w:t>NOx</w:t>
                        </w:r>
                      </w:p>
                    </w:tc>
                    <w:tc>
                      <w:tcPr>
                        <w:tcW w:w="3889" w:type="dxa"/>
                        <w:tcBorders>
                          <w:right w:val="single" w:sz="4" w:space="0" w:color="000000"/>
                        </w:tcBorders>
                      </w:tcPr>
                      <w:p>
                        <w:pPr>
                          <w:pStyle w:val="TableParagraph"/>
                          <w:spacing w:before="19"/>
                          <w:ind w:left="1498" w:right="1493"/>
                          <w:rPr>
                            <w:rFonts w:ascii="Times New Roman"/>
                            <w:sz w:val="21"/>
                          </w:rPr>
                        </w:pPr>
                        <w:r>
                          <w:rPr>
                            <w:rFonts w:ascii="Times New Roman"/>
                            <w:sz w:val="21"/>
                          </w:rPr>
                          <w:t>7.456</w:t>
                        </w:r>
                      </w:p>
                    </w:tc>
                  </w:tr>
                </w:tbl>
                <w:p>
                  <w:pPr>
                    <w:pStyle w:val="BodyText"/>
                  </w:pPr>
                </w:p>
              </w:txbxContent>
            </v:textbox>
            <w10:wrap type="none"/>
          </v:shape>
        </w:pict>
      </w:r>
      <w:r>
        <w:rPr>
          <w:rFonts w:ascii="Times New Roman" w:eastAsia="Times New Roman"/>
          <w:b/>
          <w:sz w:val="24"/>
        </w:rPr>
        <w:t>91330604747735048A001</w:t>
      </w:r>
      <w:r>
        <w:rPr>
          <w:rFonts w:ascii="Times New Roman" w:eastAsia="Times New Roman"/>
          <w:b/>
          <w:spacing w:val="-1"/>
          <w:sz w:val="24"/>
        </w:rPr>
        <w:t>P</w:t>
      </w:r>
      <w:r>
        <w:rPr>
          <w:b/>
          <w:spacing w:val="-118"/>
          <w:w w:val="99"/>
          <w:sz w:val="24"/>
        </w:rPr>
        <w:t>）</w:t>
      </w:r>
      <w:r>
        <w:rPr>
          <w:b/>
          <w:w w:val="99"/>
          <w:sz w:val="24"/>
        </w:rPr>
        <w:t>，现</w:t>
      </w:r>
      <w:r>
        <w:rPr>
          <w:b/>
          <w:spacing w:val="2"/>
          <w:w w:val="99"/>
          <w:sz w:val="24"/>
        </w:rPr>
        <w:t>有</w:t>
      </w:r>
      <w:r>
        <w:rPr>
          <w:b/>
          <w:w w:val="99"/>
          <w:sz w:val="24"/>
        </w:rPr>
        <w:t>企</w:t>
      </w:r>
      <w:r>
        <w:rPr>
          <w:b/>
          <w:spacing w:val="2"/>
          <w:w w:val="99"/>
          <w:sz w:val="24"/>
        </w:rPr>
        <w:t>业</w:t>
      </w:r>
      <w:r>
        <w:rPr>
          <w:b/>
          <w:w w:val="99"/>
          <w:sz w:val="24"/>
        </w:rPr>
        <w:t>已核定</w:t>
      </w:r>
      <w:r>
        <w:rPr>
          <w:b/>
          <w:spacing w:val="2"/>
          <w:w w:val="99"/>
          <w:sz w:val="24"/>
        </w:rPr>
        <w:t>总</w:t>
      </w:r>
      <w:r>
        <w:rPr>
          <w:b/>
          <w:w w:val="99"/>
          <w:sz w:val="24"/>
        </w:rPr>
        <w:t>量</w:t>
      </w:r>
      <w:r>
        <w:rPr>
          <w:b/>
          <w:spacing w:val="2"/>
          <w:w w:val="99"/>
          <w:sz w:val="24"/>
        </w:rPr>
        <w:t>控</w:t>
      </w:r>
      <w:r>
        <w:rPr>
          <w:b/>
          <w:w w:val="99"/>
          <w:sz w:val="24"/>
        </w:rPr>
        <w:t>制指</w:t>
      </w:r>
      <w:r>
        <w:rPr>
          <w:b/>
          <w:spacing w:val="2"/>
          <w:w w:val="99"/>
          <w:sz w:val="24"/>
        </w:rPr>
        <w:t>标</w:t>
      </w:r>
      <w:r>
        <w:rPr>
          <w:b/>
          <w:w w:val="99"/>
          <w:sz w:val="24"/>
        </w:rPr>
        <w:t>如</w:t>
      </w:r>
      <w:r>
        <w:rPr>
          <w:b/>
          <w:spacing w:val="2"/>
          <w:w w:val="99"/>
          <w:sz w:val="24"/>
        </w:rPr>
        <w:t>下</w:t>
      </w:r>
      <w:r>
        <w:rPr>
          <w:b/>
          <w:w w:val="99"/>
          <w:sz w:val="24"/>
        </w:rPr>
        <w:t>表。</w:t>
      </w:r>
      <w:r>
        <w:rPr>
          <w:b/>
          <w:sz w:val="24"/>
        </w:rPr>
        <w:t>表</w:t>
      </w:r>
      <w:r>
        <w:rPr>
          <w:b/>
          <w:spacing w:val="-60"/>
          <w:sz w:val="24"/>
        </w:rPr>
        <w:t> </w:t>
      </w:r>
      <w:r>
        <w:rPr>
          <w:rFonts w:ascii="Times New Roman" w:eastAsia="Times New Roman"/>
          <w:b/>
          <w:sz w:val="24"/>
        </w:rPr>
        <w:t>3.5.2-1</w:t>
        <w:tab/>
      </w:r>
      <w:r>
        <w:rPr>
          <w:b/>
          <w:sz w:val="24"/>
        </w:rPr>
        <w:t>排污许可证登载总量控制指标</w:t>
        <w:tab/>
        <w:t>单位</w:t>
      </w:r>
      <w:r>
        <w:rPr>
          <w:b/>
          <w:spacing w:val="-5"/>
          <w:sz w:val="24"/>
        </w:rPr>
        <w:t>：</w:t>
      </w:r>
      <w:r>
        <w:rPr>
          <w:rFonts w:ascii="Times New Roman" w:eastAsia="Times New Roman"/>
          <w:b/>
          <w:spacing w:val="-5"/>
          <w:sz w:val="24"/>
        </w:rPr>
        <w:t>t/a</w:t>
      </w: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10"/>
        <w:rPr>
          <w:rFonts w:ascii="Times New Roman"/>
          <w:b/>
          <w:sz w:val="29"/>
        </w:rPr>
      </w:pPr>
    </w:p>
    <w:p>
      <w:pPr>
        <w:pStyle w:val="ListParagraph"/>
        <w:numPr>
          <w:ilvl w:val="2"/>
          <w:numId w:val="13"/>
        </w:numPr>
        <w:tabs>
          <w:tab w:pos="759" w:val="left" w:leader="none"/>
        </w:tabs>
        <w:spacing w:line="240" w:lineRule="auto" w:before="0" w:after="0"/>
        <w:ind w:left="758" w:right="0" w:hanging="541"/>
        <w:jc w:val="left"/>
        <w:rPr>
          <w:b/>
          <w:sz w:val="24"/>
        </w:rPr>
      </w:pPr>
      <w:r>
        <w:rPr>
          <w:b/>
          <w:sz w:val="24"/>
        </w:rPr>
        <w:t>企业现有污染物排放情况</w:t>
      </w:r>
    </w:p>
    <w:p>
      <w:pPr>
        <w:pStyle w:val="BodyText"/>
        <w:spacing w:before="158"/>
        <w:ind w:left="701"/>
      </w:pPr>
      <w:r>
        <w:rPr/>
        <w:t>现状厂区达产后污染物排放情况汇总具体见下表。</w:t>
      </w:r>
    </w:p>
    <w:p>
      <w:pPr>
        <w:spacing w:after="0"/>
        <w:sectPr>
          <w:pgSz w:w="11910" w:h="16850"/>
          <w:pgMar w:header="730" w:footer="690" w:top="1340" w:bottom="880" w:left="1200" w:right="1080"/>
        </w:sectPr>
      </w:pPr>
    </w:p>
    <w:p>
      <w:pPr>
        <w:pStyle w:val="BodyText"/>
        <w:spacing w:before="3"/>
        <w:rPr>
          <w:sz w:val="10"/>
        </w:rPr>
      </w:pPr>
    </w:p>
    <w:p>
      <w:pPr>
        <w:pStyle w:val="Heading4"/>
        <w:tabs>
          <w:tab w:pos="1221" w:val="left" w:leader="none"/>
        </w:tabs>
        <w:spacing w:before="74" w:after="29"/>
        <w:ind w:left="0" w:right="116"/>
        <w:jc w:val="center"/>
      </w:pPr>
      <w:r>
        <w:rPr/>
        <w:t>表</w:t>
      </w:r>
      <w:r>
        <w:rPr>
          <w:spacing w:val="-60"/>
        </w:rPr>
        <w:t> </w:t>
      </w:r>
      <w:r>
        <w:rPr>
          <w:rFonts w:ascii="Times New Roman" w:eastAsia="Times New Roman"/>
        </w:rPr>
        <w:t>3.5.1-2</w:t>
        <w:tab/>
      </w:r>
      <w:r>
        <w:rPr/>
        <w:t>现有企业污染源强汇总表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867"/>
        <w:gridCol w:w="1912"/>
        <w:gridCol w:w="865"/>
        <w:gridCol w:w="2437"/>
        <w:gridCol w:w="2440"/>
      </w:tblGrid>
      <w:tr>
        <w:trPr>
          <w:trHeight w:val="544" w:hRule="atLeast"/>
        </w:trPr>
        <w:tc>
          <w:tcPr>
            <w:tcW w:w="773" w:type="dxa"/>
          </w:tcPr>
          <w:p>
            <w:pPr>
              <w:pStyle w:val="TableParagraph"/>
              <w:spacing w:before="1"/>
              <w:ind w:left="175"/>
              <w:jc w:val="left"/>
              <w:rPr>
                <w:b/>
                <w:sz w:val="21"/>
              </w:rPr>
            </w:pPr>
            <w:r>
              <w:rPr>
                <w:b/>
                <w:sz w:val="21"/>
              </w:rPr>
              <w:t>污染</w:t>
            </w:r>
          </w:p>
          <w:p>
            <w:pPr>
              <w:pStyle w:val="TableParagraph"/>
              <w:spacing w:line="252" w:lineRule="exact" w:before="2"/>
              <w:ind w:left="175"/>
              <w:jc w:val="left"/>
              <w:rPr>
                <w:b/>
                <w:sz w:val="21"/>
              </w:rPr>
            </w:pPr>
            <w:r>
              <w:rPr>
                <w:b/>
                <w:sz w:val="21"/>
              </w:rPr>
              <w:t>类型</w:t>
            </w:r>
          </w:p>
        </w:tc>
        <w:tc>
          <w:tcPr>
            <w:tcW w:w="3644" w:type="dxa"/>
            <w:gridSpan w:val="3"/>
          </w:tcPr>
          <w:p>
            <w:pPr>
              <w:pStyle w:val="TableParagraph"/>
              <w:spacing w:before="138"/>
              <w:ind w:left="1480" w:right="1481"/>
              <w:rPr>
                <w:b/>
                <w:sz w:val="21"/>
              </w:rPr>
            </w:pPr>
            <w:r>
              <w:rPr>
                <w:b/>
                <w:sz w:val="21"/>
              </w:rPr>
              <w:t>污染物</w:t>
            </w:r>
          </w:p>
        </w:tc>
        <w:tc>
          <w:tcPr>
            <w:tcW w:w="2437" w:type="dxa"/>
          </w:tcPr>
          <w:p>
            <w:pPr>
              <w:pStyle w:val="TableParagraph"/>
              <w:spacing w:before="138"/>
              <w:ind w:left="247" w:right="242"/>
              <w:rPr>
                <w:b/>
                <w:sz w:val="21"/>
              </w:rPr>
            </w:pPr>
            <w:r>
              <w:rPr>
                <w:b/>
                <w:sz w:val="21"/>
              </w:rPr>
              <w:t>现有项目达产排放量</w:t>
            </w:r>
          </w:p>
        </w:tc>
        <w:tc>
          <w:tcPr>
            <w:tcW w:w="2440" w:type="dxa"/>
          </w:tcPr>
          <w:p>
            <w:pPr>
              <w:pStyle w:val="TableParagraph"/>
              <w:spacing w:before="138"/>
              <w:ind w:left="325" w:right="326"/>
              <w:rPr>
                <w:b/>
                <w:sz w:val="21"/>
              </w:rPr>
            </w:pPr>
            <w:r>
              <w:rPr>
                <w:rFonts w:ascii="Times New Roman" w:eastAsia="Times New Roman"/>
                <w:b/>
                <w:sz w:val="21"/>
              </w:rPr>
              <w:t>2021 </w:t>
            </w:r>
            <w:r>
              <w:rPr>
                <w:b/>
                <w:sz w:val="21"/>
              </w:rPr>
              <w:t>年实际排放量</w:t>
            </w:r>
          </w:p>
        </w:tc>
      </w:tr>
      <w:tr>
        <w:trPr>
          <w:trHeight w:val="282" w:hRule="atLeast"/>
        </w:trPr>
        <w:tc>
          <w:tcPr>
            <w:tcW w:w="773" w:type="dxa"/>
            <w:vMerge w:val="restart"/>
          </w:tcPr>
          <w:p>
            <w:pPr>
              <w:pStyle w:val="TableParagraph"/>
              <w:jc w:val="left"/>
              <w:rPr>
                <w:b/>
                <w:sz w:val="20"/>
              </w:rPr>
            </w:pPr>
          </w:p>
          <w:p>
            <w:pPr>
              <w:pStyle w:val="TableParagraph"/>
              <w:spacing w:before="11"/>
              <w:jc w:val="left"/>
              <w:rPr>
                <w:b/>
                <w:sz w:val="14"/>
              </w:rPr>
            </w:pPr>
          </w:p>
          <w:p>
            <w:pPr>
              <w:pStyle w:val="TableParagraph"/>
              <w:ind w:left="175"/>
              <w:jc w:val="left"/>
              <w:rPr>
                <w:sz w:val="21"/>
              </w:rPr>
            </w:pPr>
            <w:r>
              <w:rPr>
                <w:sz w:val="21"/>
              </w:rPr>
              <w:t>废水</w:t>
            </w:r>
          </w:p>
        </w:tc>
        <w:tc>
          <w:tcPr>
            <w:tcW w:w="2779" w:type="dxa"/>
            <w:gridSpan w:val="2"/>
          </w:tcPr>
          <w:p>
            <w:pPr>
              <w:pStyle w:val="TableParagraph"/>
              <w:spacing w:line="255" w:lineRule="exact" w:before="8"/>
              <w:ind w:left="945" w:right="941"/>
              <w:rPr>
                <w:sz w:val="21"/>
              </w:rPr>
            </w:pPr>
            <w:r>
              <w:rPr>
                <w:sz w:val="21"/>
              </w:rPr>
              <w:t>废水量</w:t>
            </w:r>
          </w:p>
        </w:tc>
        <w:tc>
          <w:tcPr>
            <w:tcW w:w="865" w:type="dxa"/>
          </w:tcPr>
          <w:p>
            <w:pPr>
              <w:pStyle w:val="TableParagraph"/>
              <w:spacing w:line="245" w:lineRule="exact" w:before="17"/>
              <w:ind w:left="216" w:right="213"/>
              <w:rPr>
                <w:rFonts w:ascii="Times New Roman"/>
                <w:sz w:val="21"/>
              </w:rPr>
            </w:pPr>
            <w:r>
              <w:rPr>
                <w:rFonts w:ascii="Times New Roman"/>
                <w:sz w:val="21"/>
              </w:rPr>
              <w:t>m</w:t>
            </w:r>
            <w:r>
              <w:rPr>
                <w:rFonts w:ascii="Times New Roman"/>
                <w:position w:val="7"/>
                <w:sz w:val="14"/>
              </w:rPr>
              <w:t>3</w:t>
            </w:r>
            <w:r>
              <w:rPr>
                <w:rFonts w:ascii="Times New Roman"/>
                <w:sz w:val="21"/>
              </w:rPr>
              <w:t>/a</w:t>
            </w:r>
          </w:p>
        </w:tc>
        <w:tc>
          <w:tcPr>
            <w:tcW w:w="2437" w:type="dxa"/>
          </w:tcPr>
          <w:p>
            <w:pPr>
              <w:pStyle w:val="TableParagraph"/>
              <w:spacing w:line="241" w:lineRule="exact" w:before="22"/>
              <w:ind w:left="247" w:right="241"/>
              <w:rPr>
                <w:rFonts w:ascii="Times New Roman"/>
                <w:sz w:val="21"/>
              </w:rPr>
            </w:pPr>
            <w:r>
              <w:rPr>
                <w:rFonts w:ascii="Times New Roman"/>
                <w:sz w:val="21"/>
              </w:rPr>
              <w:t>112953</w:t>
            </w:r>
          </w:p>
        </w:tc>
        <w:tc>
          <w:tcPr>
            <w:tcW w:w="2440" w:type="dxa"/>
          </w:tcPr>
          <w:p>
            <w:pPr>
              <w:pStyle w:val="TableParagraph"/>
              <w:spacing w:line="263" w:lineRule="exact"/>
              <w:ind w:left="325" w:right="221"/>
              <w:rPr>
                <w:sz w:val="21"/>
              </w:rPr>
            </w:pPr>
            <w:r>
              <w:rPr>
                <w:rFonts w:ascii="Times New Roman" w:hAnsi="Times New Roman"/>
                <w:sz w:val="21"/>
              </w:rPr>
              <w:t>94372</w:t>
            </w:r>
            <w:r>
              <w:rPr>
                <w:position w:val="11"/>
                <w:sz w:val="11"/>
              </w:rPr>
              <w:t>①</w:t>
            </w:r>
            <w:r>
              <w:rPr>
                <w:w w:val="100"/>
                <w:sz w:val="21"/>
              </w:rPr>
              <w:t> </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8" w:lineRule="exact" w:before="7"/>
              <w:ind w:left="760"/>
              <w:jc w:val="left"/>
              <w:rPr>
                <w:sz w:val="21"/>
              </w:rPr>
            </w:pPr>
            <w:r>
              <w:rPr>
                <w:rFonts w:ascii="Times New Roman" w:eastAsia="Times New Roman"/>
                <w:position w:val="2"/>
                <w:sz w:val="21"/>
              </w:rPr>
              <w:t>COD</w:t>
            </w:r>
            <w:r>
              <w:rPr>
                <w:rFonts w:ascii="Times New Roman" w:eastAsia="Times New Roman"/>
                <w:sz w:val="14"/>
              </w:rPr>
              <w:t>Cr </w:t>
            </w:r>
            <w:r>
              <w:rPr>
                <w:position w:val="2"/>
                <w:sz w:val="21"/>
              </w:rPr>
              <w:t>纳管量</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56.477</w:t>
            </w:r>
          </w:p>
        </w:tc>
        <w:tc>
          <w:tcPr>
            <w:tcW w:w="2440" w:type="dxa"/>
          </w:tcPr>
          <w:p>
            <w:pPr>
              <w:pStyle w:val="TableParagraph"/>
              <w:spacing w:before="22"/>
              <w:ind w:left="325" w:right="324"/>
              <w:rPr>
                <w:rFonts w:ascii="Times New Roman"/>
                <w:sz w:val="21"/>
              </w:rPr>
            </w:pPr>
            <w:r>
              <w:rPr>
                <w:rFonts w:ascii="Times New Roman"/>
                <w:sz w:val="21"/>
              </w:rPr>
              <w:t>47.186</w:t>
            </w:r>
          </w:p>
        </w:tc>
      </w:tr>
      <w:tr>
        <w:trPr>
          <w:trHeight w:val="282" w:hRule="atLeast"/>
        </w:trPr>
        <w:tc>
          <w:tcPr>
            <w:tcW w:w="773" w:type="dxa"/>
            <w:vMerge/>
            <w:tcBorders>
              <w:top w:val="nil"/>
            </w:tcBorders>
          </w:tcPr>
          <w:p>
            <w:pPr>
              <w:rPr>
                <w:sz w:val="2"/>
                <w:szCs w:val="2"/>
              </w:rPr>
            </w:pPr>
          </w:p>
        </w:tc>
        <w:tc>
          <w:tcPr>
            <w:tcW w:w="2779" w:type="dxa"/>
            <w:gridSpan w:val="2"/>
          </w:tcPr>
          <w:p>
            <w:pPr>
              <w:pStyle w:val="TableParagraph"/>
              <w:spacing w:line="255" w:lineRule="exact" w:before="8"/>
              <w:ind w:left="858"/>
              <w:jc w:val="left"/>
              <w:rPr>
                <w:sz w:val="21"/>
              </w:rPr>
            </w:pPr>
            <w:r>
              <w:rPr>
                <w:sz w:val="21"/>
              </w:rPr>
              <w:t>氨氮纳管量</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3.953</w:t>
            </w:r>
          </w:p>
        </w:tc>
        <w:tc>
          <w:tcPr>
            <w:tcW w:w="2440" w:type="dxa"/>
          </w:tcPr>
          <w:p>
            <w:pPr>
              <w:pStyle w:val="TableParagraph"/>
              <w:spacing w:line="241" w:lineRule="exact" w:before="22"/>
              <w:ind w:left="325" w:right="324"/>
              <w:rPr>
                <w:rFonts w:ascii="Times New Roman"/>
                <w:sz w:val="21"/>
              </w:rPr>
            </w:pPr>
            <w:r>
              <w:rPr>
                <w:rFonts w:ascii="Times New Roman"/>
                <w:sz w:val="21"/>
              </w:rPr>
              <w:t>3.303</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858"/>
              <w:jc w:val="left"/>
              <w:rPr>
                <w:sz w:val="21"/>
              </w:rPr>
            </w:pPr>
            <w:r>
              <w:rPr>
                <w:sz w:val="21"/>
              </w:rPr>
              <w:t>总氮纳管量</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7.907</w:t>
            </w:r>
          </w:p>
        </w:tc>
        <w:tc>
          <w:tcPr>
            <w:tcW w:w="2440" w:type="dxa"/>
          </w:tcPr>
          <w:p>
            <w:pPr>
              <w:pStyle w:val="TableParagraph"/>
              <w:spacing w:before="22"/>
              <w:ind w:left="325" w:right="324"/>
              <w:rPr>
                <w:rFonts w:ascii="Times New Roman"/>
                <w:sz w:val="21"/>
              </w:rPr>
            </w:pPr>
            <w:r>
              <w:rPr>
                <w:rFonts w:ascii="Times New Roman"/>
                <w:sz w:val="21"/>
              </w:rPr>
              <w:t>6.606</w:t>
            </w:r>
          </w:p>
        </w:tc>
      </w:tr>
      <w:tr>
        <w:trPr>
          <w:trHeight w:val="282" w:hRule="atLeast"/>
        </w:trPr>
        <w:tc>
          <w:tcPr>
            <w:tcW w:w="773"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0"/>
              <w:jc w:val="left"/>
              <w:rPr>
                <w:b/>
                <w:sz w:val="23"/>
              </w:rPr>
            </w:pPr>
          </w:p>
          <w:p>
            <w:pPr>
              <w:pStyle w:val="TableParagraph"/>
              <w:spacing w:before="1"/>
              <w:ind w:left="175"/>
              <w:jc w:val="left"/>
              <w:rPr>
                <w:sz w:val="21"/>
              </w:rPr>
            </w:pPr>
            <w:r>
              <w:rPr>
                <w:sz w:val="21"/>
              </w:rPr>
              <w:t>废气</w:t>
            </w:r>
          </w:p>
        </w:tc>
        <w:tc>
          <w:tcPr>
            <w:tcW w:w="2779" w:type="dxa"/>
            <w:gridSpan w:val="2"/>
          </w:tcPr>
          <w:p>
            <w:pPr>
              <w:pStyle w:val="TableParagraph"/>
              <w:spacing w:line="255" w:lineRule="exact" w:before="8"/>
              <w:ind w:left="945" w:right="943"/>
              <w:rPr>
                <w:sz w:val="21"/>
              </w:rPr>
            </w:pPr>
            <w:r>
              <w:rPr>
                <w:sz w:val="21"/>
              </w:rPr>
              <w:t>邻二甲苯</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3.324</w:t>
            </w:r>
          </w:p>
        </w:tc>
        <w:tc>
          <w:tcPr>
            <w:tcW w:w="2440" w:type="dxa"/>
          </w:tcPr>
          <w:p>
            <w:pPr>
              <w:pStyle w:val="TableParagraph"/>
              <w:spacing w:line="241" w:lineRule="exact" w:before="22"/>
              <w:ind w:right="1"/>
              <w:rPr>
                <w:rFonts w:ascii="Times New Roman"/>
                <w:sz w:val="21"/>
              </w:rPr>
            </w:pPr>
            <w:r>
              <w:rPr>
                <w:rFonts w:ascii="Times New Roman"/>
                <w:w w:val="100"/>
                <w:sz w:val="21"/>
              </w:rPr>
              <w:t>/</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945" w:right="943"/>
              <w:rPr>
                <w:sz w:val="21"/>
              </w:rPr>
            </w:pPr>
            <w:r>
              <w:rPr>
                <w:sz w:val="21"/>
              </w:rPr>
              <w:t>硝基苯类</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0.738</w:t>
            </w:r>
          </w:p>
        </w:tc>
        <w:tc>
          <w:tcPr>
            <w:tcW w:w="2440" w:type="dxa"/>
          </w:tcPr>
          <w:p>
            <w:pPr>
              <w:pStyle w:val="TableParagraph"/>
              <w:spacing w:before="22"/>
              <w:ind w:right="1"/>
              <w:rPr>
                <w:rFonts w:ascii="Times New Roman"/>
                <w:sz w:val="21"/>
              </w:rPr>
            </w:pPr>
            <w:r>
              <w:rPr>
                <w:rFonts w:ascii="Times New Roman"/>
                <w:w w:val="100"/>
                <w:sz w:val="21"/>
              </w:rPr>
              <w:t>/</w:t>
            </w:r>
          </w:p>
        </w:tc>
      </w:tr>
      <w:tr>
        <w:trPr>
          <w:trHeight w:val="282" w:hRule="atLeast"/>
        </w:trPr>
        <w:tc>
          <w:tcPr>
            <w:tcW w:w="773" w:type="dxa"/>
            <w:vMerge/>
            <w:tcBorders>
              <w:top w:val="nil"/>
            </w:tcBorders>
          </w:tcPr>
          <w:p>
            <w:pPr>
              <w:rPr>
                <w:sz w:val="2"/>
                <w:szCs w:val="2"/>
              </w:rPr>
            </w:pPr>
          </w:p>
        </w:tc>
        <w:tc>
          <w:tcPr>
            <w:tcW w:w="2779" w:type="dxa"/>
            <w:gridSpan w:val="2"/>
          </w:tcPr>
          <w:p>
            <w:pPr>
              <w:pStyle w:val="TableParagraph"/>
              <w:spacing w:line="255" w:lineRule="exact" w:before="8"/>
              <w:ind w:left="945" w:right="941"/>
              <w:rPr>
                <w:sz w:val="21"/>
              </w:rPr>
            </w:pPr>
            <w:r>
              <w:rPr>
                <w:sz w:val="21"/>
              </w:rPr>
              <w:t>苯胺类</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1.391</w:t>
            </w:r>
          </w:p>
        </w:tc>
        <w:tc>
          <w:tcPr>
            <w:tcW w:w="2440" w:type="dxa"/>
          </w:tcPr>
          <w:p>
            <w:pPr>
              <w:pStyle w:val="TableParagraph"/>
              <w:spacing w:line="241" w:lineRule="exact" w:before="22"/>
              <w:ind w:right="1"/>
              <w:rPr>
                <w:rFonts w:ascii="Times New Roman"/>
                <w:sz w:val="21"/>
              </w:rPr>
            </w:pPr>
            <w:r>
              <w:rPr>
                <w:rFonts w:ascii="Times New Roman"/>
                <w:w w:val="100"/>
                <w:sz w:val="21"/>
              </w:rPr>
              <w:t>/</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945" w:right="943"/>
              <w:rPr>
                <w:sz w:val="21"/>
              </w:rPr>
            </w:pPr>
            <w:r>
              <w:rPr>
                <w:rFonts w:ascii="Times New Roman" w:eastAsia="Times New Roman"/>
                <w:sz w:val="21"/>
              </w:rPr>
              <w:t>3-</w:t>
            </w:r>
            <w:r>
              <w:rPr>
                <w:sz w:val="21"/>
              </w:rPr>
              <w:t>戊酮</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9.031</w:t>
            </w:r>
          </w:p>
        </w:tc>
        <w:tc>
          <w:tcPr>
            <w:tcW w:w="2440" w:type="dxa"/>
          </w:tcPr>
          <w:p>
            <w:pPr>
              <w:pStyle w:val="TableParagraph"/>
              <w:spacing w:before="22"/>
              <w:ind w:right="1"/>
              <w:rPr>
                <w:rFonts w:ascii="Times New Roman"/>
                <w:sz w:val="21"/>
              </w:rPr>
            </w:pPr>
            <w:r>
              <w:rPr>
                <w:rFonts w:ascii="Times New Roman"/>
                <w:w w:val="100"/>
                <w:sz w:val="21"/>
              </w:rPr>
              <w:t>/</w:t>
            </w:r>
          </w:p>
        </w:tc>
      </w:tr>
      <w:tr>
        <w:trPr>
          <w:trHeight w:val="282" w:hRule="atLeast"/>
        </w:trPr>
        <w:tc>
          <w:tcPr>
            <w:tcW w:w="773" w:type="dxa"/>
            <w:vMerge/>
            <w:tcBorders>
              <w:top w:val="nil"/>
            </w:tcBorders>
          </w:tcPr>
          <w:p>
            <w:pPr>
              <w:rPr>
                <w:sz w:val="2"/>
                <w:szCs w:val="2"/>
              </w:rPr>
            </w:pPr>
          </w:p>
        </w:tc>
        <w:tc>
          <w:tcPr>
            <w:tcW w:w="2779" w:type="dxa"/>
            <w:gridSpan w:val="2"/>
          </w:tcPr>
          <w:p>
            <w:pPr>
              <w:pStyle w:val="TableParagraph"/>
              <w:spacing w:line="255" w:lineRule="exact" w:before="8"/>
              <w:ind w:left="945" w:right="941"/>
              <w:rPr>
                <w:sz w:val="21"/>
              </w:rPr>
            </w:pPr>
            <w:r>
              <w:rPr>
                <w:sz w:val="21"/>
              </w:rPr>
              <w:t>甲醇</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0.019</w:t>
            </w:r>
          </w:p>
        </w:tc>
        <w:tc>
          <w:tcPr>
            <w:tcW w:w="2440" w:type="dxa"/>
          </w:tcPr>
          <w:p>
            <w:pPr>
              <w:pStyle w:val="TableParagraph"/>
              <w:spacing w:line="241" w:lineRule="exact" w:before="22"/>
              <w:ind w:right="1"/>
              <w:rPr>
                <w:rFonts w:ascii="Times New Roman"/>
                <w:sz w:val="21"/>
              </w:rPr>
            </w:pPr>
            <w:r>
              <w:rPr>
                <w:rFonts w:ascii="Times New Roman"/>
                <w:w w:val="100"/>
                <w:sz w:val="21"/>
              </w:rPr>
              <w:t>/</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945" w:right="941"/>
              <w:rPr>
                <w:sz w:val="21"/>
              </w:rPr>
            </w:pPr>
            <w:r>
              <w:rPr>
                <w:sz w:val="21"/>
              </w:rPr>
              <w:t>硝酸</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0.512</w:t>
            </w:r>
          </w:p>
        </w:tc>
        <w:tc>
          <w:tcPr>
            <w:tcW w:w="2440" w:type="dxa"/>
          </w:tcPr>
          <w:p>
            <w:pPr>
              <w:pStyle w:val="TableParagraph"/>
              <w:spacing w:before="22"/>
              <w:ind w:right="1"/>
              <w:rPr>
                <w:rFonts w:ascii="Times New Roman"/>
                <w:sz w:val="21"/>
              </w:rPr>
            </w:pPr>
            <w:r>
              <w:rPr>
                <w:rFonts w:ascii="Times New Roman"/>
                <w:w w:val="100"/>
                <w:sz w:val="21"/>
              </w:rPr>
              <w:t>/</w:t>
            </w:r>
          </w:p>
        </w:tc>
      </w:tr>
      <w:tr>
        <w:trPr>
          <w:trHeight w:val="282" w:hRule="atLeast"/>
        </w:trPr>
        <w:tc>
          <w:tcPr>
            <w:tcW w:w="773" w:type="dxa"/>
            <w:vMerge/>
            <w:tcBorders>
              <w:top w:val="nil"/>
            </w:tcBorders>
          </w:tcPr>
          <w:p>
            <w:pPr>
              <w:rPr>
                <w:sz w:val="2"/>
                <w:szCs w:val="2"/>
              </w:rPr>
            </w:pPr>
          </w:p>
        </w:tc>
        <w:tc>
          <w:tcPr>
            <w:tcW w:w="2779" w:type="dxa"/>
            <w:gridSpan w:val="2"/>
          </w:tcPr>
          <w:p>
            <w:pPr>
              <w:pStyle w:val="TableParagraph"/>
              <w:spacing w:line="255" w:lineRule="exact" w:before="8"/>
              <w:ind w:left="945" w:right="941"/>
              <w:rPr>
                <w:sz w:val="21"/>
              </w:rPr>
            </w:pPr>
            <w:r>
              <w:rPr>
                <w:sz w:val="21"/>
              </w:rPr>
              <w:t>硫酸雾</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5" w:right="242"/>
              <w:rPr>
                <w:rFonts w:ascii="Times New Roman"/>
                <w:sz w:val="21"/>
              </w:rPr>
            </w:pPr>
            <w:r>
              <w:rPr>
                <w:rFonts w:ascii="Times New Roman"/>
                <w:sz w:val="21"/>
              </w:rPr>
              <w:t>0.811</w:t>
            </w:r>
          </w:p>
        </w:tc>
        <w:tc>
          <w:tcPr>
            <w:tcW w:w="2440" w:type="dxa"/>
          </w:tcPr>
          <w:p>
            <w:pPr>
              <w:pStyle w:val="TableParagraph"/>
              <w:spacing w:line="241" w:lineRule="exact" w:before="22"/>
              <w:ind w:right="1"/>
              <w:rPr>
                <w:rFonts w:ascii="Times New Roman"/>
                <w:sz w:val="21"/>
              </w:rPr>
            </w:pPr>
            <w:r>
              <w:rPr>
                <w:rFonts w:ascii="Times New Roman"/>
                <w:w w:val="100"/>
                <w:sz w:val="21"/>
              </w:rPr>
              <w:t>/</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945" w:right="943"/>
              <w:rPr>
                <w:sz w:val="21"/>
              </w:rPr>
            </w:pPr>
            <w:r>
              <w:rPr>
                <w:sz w:val="21"/>
              </w:rPr>
              <w:t>二氧化碳</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4.5</w:t>
            </w:r>
          </w:p>
        </w:tc>
        <w:tc>
          <w:tcPr>
            <w:tcW w:w="2440" w:type="dxa"/>
          </w:tcPr>
          <w:p>
            <w:pPr>
              <w:pStyle w:val="TableParagraph"/>
              <w:spacing w:before="22"/>
              <w:ind w:right="1"/>
              <w:rPr>
                <w:rFonts w:ascii="Times New Roman"/>
                <w:sz w:val="21"/>
              </w:rPr>
            </w:pPr>
            <w:r>
              <w:rPr>
                <w:rFonts w:ascii="Times New Roman"/>
                <w:w w:val="100"/>
                <w:sz w:val="21"/>
              </w:rPr>
              <w:t>/</w:t>
            </w:r>
          </w:p>
        </w:tc>
      </w:tr>
      <w:tr>
        <w:trPr>
          <w:trHeight w:val="282" w:hRule="atLeast"/>
        </w:trPr>
        <w:tc>
          <w:tcPr>
            <w:tcW w:w="773" w:type="dxa"/>
            <w:vMerge/>
            <w:tcBorders>
              <w:top w:val="nil"/>
            </w:tcBorders>
          </w:tcPr>
          <w:p>
            <w:pPr>
              <w:rPr>
                <w:sz w:val="2"/>
                <w:szCs w:val="2"/>
              </w:rPr>
            </w:pPr>
          </w:p>
        </w:tc>
        <w:tc>
          <w:tcPr>
            <w:tcW w:w="2779" w:type="dxa"/>
            <w:gridSpan w:val="2"/>
          </w:tcPr>
          <w:p>
            <w:pPr>
              <w:pStyle w:val="TableParagraph"/>
              <w:spacing w:line="255" w:lineRule="exact" w:before="8"/>
              <w:ind w:left="945" w:right="943"/>
              <w:rPr>
                <w:sz w:val="21"/>
              </w:rPr>
            </w:pPr>
            <w:r>
              <w:rPr>
                <w:sz w:val="21"/>
              </w:rPr>
              <w:t>氮氧化物</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7.437</w:t>
            </w:r>
          </w:p>
        </w:tc>
        <w:tc>
          <w:tcPr>
            <w:tcW w:w="2440" w:type="dxa"/>
          </w:tcPr>
          <w:p>
            <w:pPr>
              <w:pStyle w:val="TableParagraph"/>
              <w:spacing w:line="263" w:lineRule="exact"/>
              <w:ind w:left="325" w:right="221"/>
              <w:rPr>
                <w:sz w:val="21"/>
              </w:rPr>
            </w:pPr>
            <w:r>
              <w:rPr>
                <w:rFonts w:ascii="Times New Roman" w:hAnsi="Times New Roman"/>
                <w:sz w:val="21"/>
              </w:rPr>
              <w:t>5.76</w:t>
            </w:r>
            <w:r>
              <w:rPr>
                <w:position w:val="11"/>
                <w:sz w:val="11"/>
              </w:rPr>
              <w:t>②</w:t>
            </w:r>
            <w:r>
              <w:rPr>
                <w:w w:val="100"/>
                <w:sz w:val="21"/>
              </w:rPr>
              <w:t> </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873"/>
              <w:jc w:val="left"/>
              <w:rPr>
                <w:rFonts w:ascii="Times New Roman" w:eastAsia="Times New Roman"/>
                <w:b/>
                <w:sz w:val="21"/>
              </w:rPr>
            </w:pPr>
            <w:r>
              <w:rPr>
                <w:b/>
                <w:sz w:val="21"/>
              </w:rPr>
              <w:t>小计 </w:t>
            </w:r>
            <w:r>
              <w:rPr>
                <w:rFonts w:ascii="Times New Roman" w:eastAsia="Times New Roman"/>
                <w:b/>
                <w:sz w:val="21"/>
              </w:rPr>
              <w:t>VOCs</w:t>
            </w:r>
          </w:p>
        </w:tc>
        <w:tc>
          <w:tcPr>
            <w:tcW w:w="865" w:type="dxa"/>
          </w:tcPr>
          <w:p>
            <w:pPr>
              <w:pStyle w:val="TableParagraph"/>
              <w:spacing w:before="22"/>
              <w:ind w:left="215" w:right="213"/>
              <w:rPr>
                <w:rFonts w:ascii="Times New Roman"/>
                <w:b/>
                <w:sz w:val="21"/>
              </w:rPr>
            </w:pPr>
            <w:r>
              <w:rPr>
                <w:rFonts w:ascii="Times New Roman"/>
                <w:b/>
                <w:sz w:val="21"/>
              </w:rPr>
              <w:t>t/a</w:t>
            </w:r>
          </w:p>
        </w:tc>
        <w:tc>
          <w:tcPr>
            <w:tcW w:w="2437" w:type="dxa"/>
          </w:tcPr>
          <w:p>
            <w:pPr>
              <w:pStyle w:val="TableParagraph"/>
              <w:spacing w:before="22"/>
              <w:ind w:left="247" w:right="241"/>
              <w:rPr>
                <w:rFonts w:ascii="Times New Roman"/>
                <w:b/>
                <w:sz w:val="21"/>
              </w:rPr>
            </w:pPr>
            <w:r>
              <w:rPr>
                <w:rFonts w:ascii="Times New Roman"/>
                <w:b/>
                <w:sz w:val="21"/>
              </w:rPr>
              <w:t>14.503</w:t>
            </w:r>
          </w:p>
        </w:tc>
        <w:tc>
          <w:tcPr>
            <w:tcW w:w="2440" w:type="dxa"/>
          </w:tcPr>
          <w:p>
            <w:pPr>
              <w:pStyle w:val="TableParagraph"/>
              <w:spacing w:line="264" w:lineRule="exact"/>
              <w:ind w:left="325" w:right="324"/>
              <w:rPr>
                <w:sz w:val="11"/>
              </w:rPr>
            </w:pPr>
            <w:r>
              <w:rPr>
                <w:rFonts w:ascii="Times New Roman" w:hAnsi="Times New Roman"/>
                <w:sz w:val="21"/>
              </w:rPr>
              <w:t>5.9</w:t>
            </w:r>
            <w:r>
              <w:rPr>
                <w:position w:val="11"/>
                <w:sz w:val="11"/>
              </w:rPr>
              <w:t>②</w:t>
            </w:r>
          </w:p>
        </w:tc>
      </w:tr>
      <w:tr>
        <w:trPr>
          <w:trHeight w:val="282" w:hRule="atLeast"/>
        </w:trPr>
        <w:tc>
          <w:tcPr>
            <w:tcW w:w="773"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0"/>
              <w:jc w:val="left"/>
              <w:rPr>
                <w:b/>
                <w:sz w:val="20"/>
              </w:rPr>
            </w:pPr>
          </w:p>
          <w:p>
            <w:pPr>
              <w:pStyle w:val="TableParagraph"/>
              <w:ind w:left="175"/>
              <w:jc w:val="left"/>
              <w:rPr>
                <w:sz w:val="21"/>
              </w:rPr>
            </w:pPr>
            <w:r>
              <w:rPr>
                <w:sz w:val="21"/>
              </w:rPr>
              <w:t>固废</w:t>
            </w:r>
          </w:p>
        </w:tc>
        <w:tc>
          <w:tcPr>
            <w:tcW w:w="867" w:type="dxa"/>
            <w:vMerge w:val="restart"/>
          </w:tcPr>
          <w:p>
            <w:pPr>
              <w:pStyle w:val="TableParagraph"/>
              <w:jc w:val="left"/>
              <w:rPr>
                <w:b/>
                <w:sz w:val="20"/>
              </w:rPr>
            </w:pPr>
          </w:p>
          <w:p>
            <w:pPr>
              <w:pStyle w:val="TableParagraph"/>
              <w:jc w:val="left"/>
              <w:rPr>
                <w:b/>
                <w:sz w:val="20"/>
              </w:rPr>
            </w:pPr>
          </w:p>
          <w:p>
            <w:pPr>
              <w:pStyle w:val="TableParagraph"/>
              <w:spacing w:before="9"/>
              <w:jc w:val="left"/>
              <w:rPr>
                <w:b/>
                <w:sz w:val="18"/>
              </w:rPr>
            </w:pPr>
          </w:p>
          <w:p>
            <w:pPr>
              <w:pStyle w:val="TableParagraph"/>
              <w:spacing w:line="244" w:lineRule="auto"/>
              <w:ind w:left="323" w:right="106" w:hanging="209"/>
              <w:jc w:val="left"/>
              <w:rPr>
                <w:sz w:val="21"/>
              </w:rPr>
            </w:pPr>
            <w:r>
              <w:rPr>
                <w:sz w:val="21"/>
              </w:rPr>
              <w:t>危险废物</w:t>
            </w:r>
          </w:p>
        </w:tc>
        <w:tc>
          <w:tcPr>
            <w:tcW w:w="1912" w:type="dxa"/>
          </w:tcPr>
          <w:p>
            <w:pPr>
              <w:pStyle w:val="TableParagraph"/>
              <w:spacing w:line="255" w:lineRule="exact" w:before="8"/>
              <w:ind w:left="196" w:right="195"/>
              <w:rPr>
                <w:sz w:val="21"/>
              </w:rPr>
            </w:pPr>
            <w:r>
              <w:rPr>
                <w:sz w:val="21"/>
              </w:rPr>
              <w:t>脱焦、精馏残液</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834.5</w:t>
            </w:r>
          </w:p>
        </w:tc>
        <w:tc>
          <w:tcPr>
            <w:tcW w:w="2440" w:type="dxa"/>
            <w:vMerge w:val="restart"/>
          </w:tcPr>
          <w:p>
            <w:pPr>
              <w:pStyle w:val="TableParagraph"/>
              <w:spacing w:before="168"/>
              <w:ind w:left="325" w:right="324"/>
              <w:rPr>
                <w:rFonts w:ascii="Times New Roman"/>
                <w:sz w:val="21"/>
              </w:rPr>
            </w:pPr>
            <w:r>
              <w:rPr>
                <w:rFonts w:ascii="Times New Roman"/>
                <w:sz w:val="21"/>
              </w:rPr>
              <w:t>521.68</w:t>
            </w:r>
          </w:p>
        </w:tc>
      </w:tr>
      <w:tr>
        <w:trPr>
          <w:trHeight w:val="285" w:hRule="atLeast"/>
        </w:trPr>
        <w:tc>
          <w:tcPr>
            <w:tcW w:w="773" w:type="dxa"/>
            <w:vMerge/>
            <w:tcBorders>
              <w:top w:val="nil"/>
            </w:tcBorders>
          </w:tcPr>
          <w:p>
            <w:pPr>
              <w:rPr>
                <w:sz w:val="2"/>
                <w:szCs w:val="2"/>
              </w:rPr>
            </w:pPr>
          </w:p>
        </w:tc>
        <w:tc>
          <w:tcPr>
            <w:tcW w:w="867" w:type="dxa"/>
            <w:vMerge/>
            <w:tcBorders>
              <w:top w:val="nil"/>
            </w:tcBorders>
          </w:tcPr>
          <w:p>
            <w:pPr>
              <w:rPr>
                <w:sz w:val="2"/>
                <w:szCs w:val="2"/>
              </w:rPr>
            </w:pPr>
          </w:p>
        </w:tc>
        <w:tc>
          <w:tcPr>
            <w:tcW w:w="1912" w:type="dxa"/>
          </w:tcPr>
          <w:p>
            <w:pPr>
              <w:pStyle w:val="TableParagraph"/>
              <w:spacing w:line="257" w:lineRule="exact" w:before="8"/>
              <w:ind w:left="196" w:right="195"/>
              <w:rPr>
                <w:sz w:val="21"/>
              </w:rPr>
            </w:pPr>
            <w:r>
              <w:rPr>
                <w:sz w:val="21"/>
              </w:rPr>
              <w:t>高沸物</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196.10</w:t>
            </w:r>
          </w:p>
        </w:tc>
        <w:tc>
          <w:tcPr>
            <w:tcW w:w="2440" w:type="dxa"/>
            <w:vMerge/>
            <w:tcBorders>
              <w:top w:val="nil"/>
            </w:tcBorders>
          </w:tcPr>
          <w:p>
            <w:pPr>
              <w:rPr>
                <w:sz w:val="2"/>
                <w:szCs w:val="2"/>
              </w:rPr>
            </w:pPr>
          </w:p>
        </w:tc>
      </w:tr>
      <w:tr>
        <w:trPr>
          <w:trHeight w:val="282" w:hRule="atLeast"/>
        </w:trPr>
        <w:tc>
          <w:tcPr>
            <w:tcW w:w="773" w:type="dxa"/>
            <w:vMerge/>
            <w:tcBorders>
              <w:top w:val="nil"/>
            </w:tcBorders>
          </w:tcPr>
          <w:p>
            <w:pPr>
              <w:rPr>
                <w:sz w:val="2"/>
                <w:szCs w:val="2"/>
              </w:rPr>
            </w:pPr>
          </w:p>
        </w:tc>
        <w:tc>
          <w:tcPr>
            <w:tcW w:w="867" w:type="dxa"/>
            <w:vMerge/>
            <w:tcBorders>
              <w:top w:val="nil"/>
            </w:tcBorders>
          </w:tcPr>
          <w:p>
            <w:pPr>
              <w:rPr>
                <w:sz w:val="2"/>
                <w:szCs w:val="2"/>
              </w:rPr>
            </w:pPr>
          </w:p>
        </w:tc>
        <w:tc>
          <w:tcPr>
            <w:tcW w:w="1912" w:type="dxa"/>
          </w:tcPr>
          <w:p>
            <w:pPr>
              <w:pStyle w:val="TableParagraph"/>
              <w:spacing w:line="255" w:lineRule="exact" w:before="8"/>
              <w:ind w:left="196" w:right="193"/>
              <w:rPr>
                <w:sz w:val="21"/>
              </w:rPr>
            </w:pPr>
            <w:r>
              <w:rPr>
                <w:sz w:val="21"/>
              </w:rPr>
              <w:t>废催化剂</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1.12</w:t>
            </w:r>
          </w:p>
        </w:tc>
        <w:tc>
          <w:tcPr>
            <w:tcW w:w="2440" w:type="dxa"/>
          </w:tcPr>
          <w:p>
            <w:pPr>
              <w:pStyle w:val="TableParagraph"/>
              <w:spacing w:line="241" w:lineRule="exact" w:before="22"/>
              <w:ind w:left="325" w:right="324"/>
              <w:rPr>
                <w:rFonts w:ascii="Times New Roman"/>
                <w:sz w:val="21"/>
              </w:rPr>
            </w:pPr>
            <w:r>
              <w:rPr>
                <w:rFonts w:ascii="Times New Roman"/>
                <w:sz w:val="21"/>
              </w:rPr>
              <w:t>0.0639</w:t>
            </w:r>
          </w:p>
        </w:tc>
      </w:tr>
      <w:tr>
        <w:trPr>
          <w:trHeight w:val="285" w:hRule="atLeast"/>
        </w:trPr>
        <w:tc>
          <w:tcPr>
            <w:tcW w:w="773" w:type="dxa"/>
            <w:vMerge/>
            <w:tcBorders>
              <w:top w:val="nil"/>
            </w:tcBorders>
          </w:tcPr>
          <w:p>
            <w:pPr>
              <w:rPr>
                <w:sz w:val="2"/>
                <w:szCs w:val="2"/>
              </w:rPr>
            </w:pPr>
          </w:p>
        </w:tc>
        <w:tc>
          <w:tcPr>
            <w:tcW w:w="867" w:type="dxa"/>
            <w:vMerge/>
            <w:tcBorders>
              <w:top w:val="nil"/>
            </w:tcBorders>
          </w:tcPr>
          <w:p>
            <w:pPr>
              <w:rPr>
                <w:sz w:val="2"/>
                <w:szCs w:val="2"/>
              </w:rPr>
            </w:pPr>
          </w:p>
        </w:tc>
        <w:tc>
          <w:tcPr>
            <w:tcW w:w="1912" w:type="dxa"/>
          </w:tcPr>
          <w:p>
            <w:pPr>
              <w:pStyle w:val="TableParagraph"/>
              <w:spacing w:line="257" w:lineRule="exact" w:before="8"/>
              <w:ind w:left="196" w:right="195"/>
              <w:rPr>
                <w:sz w:val="21"/>
              </w:rPr>
            </w:pPr>
            <w:r>
              <w:rPr>
                <w:sz w:val="21"/>
              </w:rPr>
              <w:t>废包装袋</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1.5</w:t>
            </w:r>
          </w:p>
        </w:tc>
        <w:tc>
          <w:tcPr>
            <w:tcW w:w="2440" w:type="dxa"/>
          </w:tcPr>
          <w:p>
            <w:pPr>
              <w:pStyle w:val="TableParagraph"/>
              <w:spacing w:before="22"/>
              <w:ind w:left="325" w:right="324"/>
              <w:rPr>
                <w:rFonts w:ascii="Times New Roman"/>
                <w:sz w:val="21"/>
              </w:rPr>
            </w:pPr>
            <w:r>
              <w:rPr>
                <w:rFonts w:ascii="Times New Roman"/>
                <w:sz w:val="21"/>
              </w:rPr>
              <w:t>2.058</w:t>
            </w:r>
          </w:p>
        </w:tc>
      </w:tr>
      <w:tr>
        <w:trPr>
          <w:trHeight w:val="282" w:hRule="atLeast"/>
        </w:trPr>
        <w:tc>
          <w:tcPr>
            <w:tcW w:w="773" w:type="dxa"/>
            <w:vMerge/>
            <w:tcBorders>
              <w:top w:val="nil"/>
            </w:tcBorders>
          </w:tcPr>
          <w:p>
            <w:pPr>
              <w:rPr>
                <w:sz w:val="2"/>
                <w:szCs w:val="2"/>
              </w:rPr>
            </w:pPr>
          </w:p>
        </w:tc>
        <w:tc>
          <w:tcPr>
            <w:tcW w:w="867" w:type="dxa"/>
            <w:vMerge/>
            <w:tcBorders>
              <w:top w:val="nil"/>
            </w:tcBorders>
          </w:tcPr>
          <w:p>
            <w:pPr>
              <w:rPr>
                <w:sz w:val="2"/>
                <w:szCs w:val="2"/>
              </w:rPr>
            </w:pPr>
          </w:p>
        </w:tc>
        <w:tc>
          <w:tcPr>
            <w:tcW w:w="1912" w:type="dxa"/>
          </w:tcPr>
          <w:p>
            <w:pPr>
              <w:pStyle w:val="TableParagraph"/>
              <w:spacing w:line="255" w:lineRule="exact" w:before="8"/>
              <w:ind w:left="196" w:right="195"/>
              <w:rPr>
                <w:sz w:val="21"/>
              </w:rPr>
            </w:pPr>
            <w:r>
              <w:rPr>
                <w:sz w:val="21"/>
              </w:rPr>
              <w:t>油及酸析污泥</w:t>
            </w:r>
          </w:p>
        </w:tc>
        <w:tc>
          <w:tcPr>
            <w:tcW w:w="865" w:type="dxa"/>
          </w:tcPr>
          <w:p>
            <w:pPr>
              <w:pStyle w:val="TableParagraph"/>
              <w:spacing w:line="241" w:lineRule="exact" w:before="22"/>
              <w:ind w:left="214" w:right="213"/>
              <w:rPr>
                <w:rFonts w:ascii="Times New Roman"/>
                <w:sz w:val="21"/>
              </w:rPr>
            </w:pPr>
            <w:r>
              <w:rPr>
                <w:rFonts w:ascii="Times New Roman"/>
                <w:sz w:val="21"/>
              </w:rPr>
              <w:t>t/a</w:t>
            </w:r>
          </w:p>
        </w:tc>
        <w:tc>
          <w:tcPr>
            <w:tcW w:w="2437" w:type="dxa"/>
          </w:tcPr>
          <w:p>
            <w:pPr>
              <w:pStyle w:val="TableParagraph"/>
              <w:spacing w:line="241" w:lineRule="exact" w:before="22"/>
              <w:ind w:left="247" w:right="241"/>
              <w:rPr>
                <w:rFonts w:ascii="Times New Roman"/>
                <w:sz w:val="21"/>
              </w:rPr>
            </w:pPr>
            <w:r>
              <w:rPr>
                <w:rFonts w:ascii="Times New Roman"/>
                <w:sz w:val="21"/>
              </w:rPr>
              <w:t>865</w:t>
            </w:r>
          </w:p>
        </w:tc>
        <w:tc>
          <w:tcPr>
            <w:tcW w:w="2440" w:type="dxa"/>
          </w:tcPr>
          <w:p>
            <w:pPr>
              <w:pStyle w:val="TableParagraph"/>
              <w:spacing w:line="241" w:lineRule="exact" w:before="22"/>
              <w:ind w:left="325" w:right="326"/>
              <w:rPr>
                <w:rFonts w:ascii="Times New Roman"/>
                <w:sz w:val="21"/>
              </w:rPr>
            </w:pPr>
            <w:r>
              <w:rPr>
                <w:rFonts w:ascii="Times New Roman"/>
                <w:sz w:val="21"/>
              </w:rPr>
              <w:t>618.934</w:t>
            </w:r>
          </w:p>
        </w:tc>
      </w:tr>
      <w:tr>
        <w:trPr>
          <w:trHeight w:val="285" w:hRule="atLeast"/>
        </w:trPr>
        <w:tc>
          <w:tcPr>
            <w:tcW w:w="773" w:type="dxa"/>
            <w:vMerge/>
            <w:tcBorders>
              <w:top w:val="nil"/>
            </w:tcBorders>
          </w:tcPr>
          <w:p>
            <w:pPr>
              <w:rPr>
                <w:sz w:val="2"/>
                <w:szCs w:val="2"/>
              </w:rPr>
            </w:pPr>
          </w:p>
        </w:tc>
        <w:tc>
          <w:tcPr>
            <w:tcW w:w="867" w:type="dxa"/>
            <w:vMerge/>
            <w:tcBorders>
              <w:top w:val="nil"/>
            </w:tcBorders>
          </w:tcPr>
          <w:p>
            <w:pPr>
              <w:rPr>
                <w:sz w:val="2"/>
                <w:szCs w:val="2"/>
              </w:rPr>
            </w:pPr>
          </w:p>
        </w:tc>
        <w:tc>
          <w:tcPr>
            <w:tcW w:w="1912" w:type="dxa"/>
          </w:tcPr>
          <w:p>
            <w:pPr>
              <w:pStyle w:val="TableParagraph"/>
              <w:spacing w:line="257" w:lineRule="exact" w:before="8"/>
              <w:ind w:left="196" w:right="195"/>
              <w:rPr>
                <w:sz w:val="21"/>
              </w:rPr>
            </w:pPr>
            <w:r>
              <w:rPr>
                <w:sz w:val="21"/>
              </w:rPr>
              <w:t>芬顿氧化污泥</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7" w:right="241"/>
              <w:rPr>
                <w:rFonts w:ascii="Times New Roman"/>
                <w:sz w:val="21"/>
              </w:rPr>
            </w:pPr>
            <w:r>
              <w:rPr>
                <w:rFonts w:ascii="Times New Roman"/>
                <w:sz w:val="21"/>
              </w:rPr>
              <w:t>632</w:t>
            </w:r>
          </w:p>
        </w:tc>
        <w:tc>
          <w:tcPr>
            <w:tcW w:w="2440" w:type="dxa"/>
          </w:tcPr>
          <w:p>
            <w:pPr>
              <w:pStyle w:val="TableParagraph"/>
              <w:spacing w:before="22"/>
              <w:ind w:left="325" w:right="324"/>
              <w:rPr>
                <w:rFonts w:ascii="Times New Roman"/>
                <w:sz w:val="21"/>
              </w:rPr>
            </w:pPr>
            <w:r>
              <w:rPr>
                <w:rFonts w:ascii="Times New Roman"/>
                <w:sz w:val="21"/>
              </w:rPr>
              <w:t>421.74</w:t>
            </w:r>
          </w:p>
        </w:tc>
      </w:tr>
      <w:tr>
        <w:trPr>
          <w:trHeight w:val="282" w:hRule="atLeast"/>
        </w:trPr>
        <w:tc>
          <w:tcPr>
            <w:tcW w:w="773" w:type="dxa"/>
            <w:vMerge/>
            <w:tcBorders>
              <w:top w:val="nil"/>
            </w:tcBorders>
          </w:tcPr>
          <w:p>
            <w:pPr>
              <w:rPr>
                <w:sz w:val="2"/>
                <w:szCs w:val="2"/>
              </w:rPr>
            </w:pPr>
          </w:p>
        </w:tc>
        <w:tc>
          <w:tcPr>
            <w:tcW w:w="867" w:type="dxa"/>
            <w:vMerge/>
            <w:tcBorders>
              <w:top w:val="nil"/>
            </w:tcBorders>
          </w:tcPr>
          <w:p>
            <w:pPr>
              <w:rPr>
                <w:sz w:val="2"/>
                <w:szCs w:val="2"/>
              </w:rPr>
            </w:pPr>
          </w:p>
        </w:tc>
        <w:tc>
          <w:tcPr>
            <w:tcW w:w="1912" w:type="dxa"/>
          </w:tcPr>
          <w:p>
            <w:pPr>
              <w:pStyle w:val="TableParagraph"/>
              <w:spacing w:line="255" w:lineRule="exact" w:before="8"/>
              <w:ind w:left="196" w:right="195"/>
              <w:rPr>
                <w:b/>
                <w:sz w:val="21"/>
              </w:rPr>
            </w:pPr>
            <w:r>
              <w:rPr>
                <w:b/>
                <w:sz w:val="21"/>
              </w:rPr>
              <w:t>合计</w:t>
            </w:r>
          </w:p>
        </w:tc>
        <w:tc>
          <w:tcPr>
            <w:tcW w:w="865" w:type="dxa"/>
          </w:tcPr>
          <w:p>
            <w:pPr>
              <w:pStyle w:val="TableParagraph"/>
              <w:spacing w:line="241" w:lineRule="exact" w:before="22"/>
              <w:ind w:left="215" w:right="213"/>
              <w:rPr>
                <w:rFonts w:ascii="Times New Roman"/>
                <w:b/>
                <w:sz w:val="21"/>
              </w:rPr>
            </w:pPr>
            <w:r>
              <w:rPr>
                <w:rFonts w:ascii="Times New Roman"/>
                <w:b/>
                <w:sz w:val="21"/>
              </w:rPr>
              <w:t>t/a</w:t>
            </w:r>
          </w:p>
        </w:tc>
        <w:tc>
          <w:tcPr>
            <w:tcW w:w="2437" w:type="dxa"/>
          </w:tcPr>
          <w:p>
            <w:pPr>
              <w:pStyle w:val="TableParagraph"/>
              <w:spacing w:line="241" w:lineRule="exact" w:before="22"/>
              <w:ind w:left="245" w:right="242"/>
              <w:rPr>
                <w:rFonts w:ascii="Times New Roman"/>
                <w:b/>
                <w:sz w:val="21"/>
              </w:rPr>
            </w:pPr>
            <w:r>
              <w:rPr>
                <w:rFonts w:ascii="Times New Roman"/>
                <w:b/>
                <w:sz w:val="21"/>
              </w:rPr>
              <w:t>2530.22</w:t>
            </w:r>
          </w:p>
        </w:tc>
        <w:tc>
          <w:tcPr>
            <w:tcW w:w="2440" w:type="dxa"/>
          </w:tcPr>
          <w:p>
            <w:pPr>
              <w:pStyle w:val="TableParagraph"/>
              <w:spacing w:line="241" w:lineRule="exact" w:before="22"/>
              <w:ind w:left="325" w:right="326"/>
              <w:rPr>
                <w:rFonts w:ascii="Times New Roman"/>
                <w:b/>
                <w:sz w:val="21"/>
              </w:rPr>
            </w:pPr>
            <w:r>
              <w:rPr>
                <w:rFonts w:ascii="Times New Roman"/>
                <w:b/>
                <w:sz w:val="21"/>
              </w:rPr>
              <w:t>1564.4759</w:t>
            </w:r>
          </w:p>
        </w:tc>
      </w:tr>
      <w:tr>
        <w:trPr>
          <w:trHeight w:val="285" w:hRule="atLeast"/>
        </w:trPr>
        <w:tc>
          <w:tcPr>
            <w:tcW w:w="773" w:type="dxa"/>
            <w:vMerge/>
            <w:tcBorders>
              <w:top w:val="nil"/>
            </w:tcBorders>
          </w:tcPr>
          <w:p>
            <w:pPr>
              <w:rPr>
                <w:sz w:val="2"/>
                <w:szCs w:val="2"/>
              </w:rPr>
            </w:pPr>
          </w:p>
        </w:tc>
        <w:tc>
          <w:tcPr>
            <w:tcW w:w="2779" w:type="dxa"/>
            <w:gridSpan w:val="2"/>
          </w:tcPr>
          <w:p>
            <w:pPr>
              <w:pStyle w:val="TableParagraph"/>
              <w:spacing w:line="257" w:lineRule="exact" w:before="8"/>
              <w:ind w:left="265"/>
              <w:jc w:val="left"/>
              <w:rPr>
                <w:rFonts w:ascii="Times New Roman" w:eastAsia="Times New Roman"/>
                <w:sz w:val="21"/>
              </w:rPr>
            </w:pPr>
            <w:r>
              <w:rPr>
                <w:sz w:val="21"/>
              </w:rPr>
              <w:t>一般工业废物</w:t>
            </w:r>
            <w:r>
              <w:rPr>
                <w:rFonts w:ascii="Times New Roman" w:eastAsia="Times New Roman"/>
                <w:sz w:val="21"/>
              </w:rPr>
              <w:t>(</w:t>
            </w:r>
            <w:r>
              <w:rPr>
                <w:sz w:val="21"/>
              </w:rPr>
              <w:t>生化污泥</w:t>
            </w:r>
            <w:r>
              <w:rPr>
                <w:rFonts w:ascii="Times New Roman" w:eastAsia="Times New Roman"/>
                <w:sz w:val="21"/>
              </w:rPr>
              <w:t>)</w:t>
            </w:r>
          </w:p>
        </w:tc>
        <w:tc>
          <w:tcPr>
            <w:tcW w:w="865" w:type="dxa"/>
          </w:tcPr>
          <w:p>
            <w:pPr>
              <w:pStyle w:val="TableParagraph"/>
              <w:spacing w:before="22"/>
              <w:ind w:left="214" w:right="213"/>
              <w:rPr>
                <w:rFonts w:ascii="Times New Roman"/>
                <w:sz w:val="21"/>
              </w:rPr>
            </w:pPr>
            <w:r>
              <w:rPr>
                <w:rFonts w:ascii="Times New Roman"/>
                <w:sz w:val="21"/>
              </w:rPr>
              <w:t>t/a</w:t>
            </w:r>
          </w:p>
        </w:tc>
        <w:tc>
          <w:tcPr>
            <w:tcW w:w="2437" w:type="dxa"/>
          </w:tcPr>
          <w:p>
            <w:pPr>
              <w:pStyle w:val="TableParagraph"/>
              <w:spacing w:before="22"/>
              <w:ind w:left="243" w:right="242"/>
              <w:rPr>
                <w:rFonts w:ascii="Times New Roman"/>
                <w:sz w:val="21"/>
              </w:rPr>
            </w:pPr>
            <w:r>
              <w:rPr>
                <w:rFonts w:ascii="Times New Roman"/>
                <w:sz w:val="21"/>
              </w:rPr>
              <w:t>80</w:t>
            </w:r>
          </w:p>
        </w:tc>
        <w:tc>
          <w:tcPr>
            <w:tcW w:w="2440" w:type="dxa"/>
          </w:tcPr>
          <w:p>
            <w:pPr>
              <w:pStyle w:val="TableParagraph"/>
              <w:spacing w:before="22"/>
              <w:ind w:left="325" w:right="324"/>
              <w:rPr>
                <w:rFonts w:ascii="Times New Roman"/>
                <w:sz w:val="21"/>
              </w:rPr>
            </w:pPr>
            <w:r>
              <w:rPr>
                <w:rFonts w:ascii="Times New Roman"/>
                <w:sz w:val="21"/>
              </w:rPr>
              <w:t>118.26</w:t>
            </w:r>
          </w:p>
        </w:tc>
      </w:tr>
    </w:tbl>
    <w:p>
      <w:pPr>
        <w:spacing w:line="242" w:lineRule="auto" w:before="1"/>
        <w:ind w:left="218" w:right="228" w:firstLine="0"/>
        <w:jc w:val="both"/>
        <w:rPr>
          <w:b/>
          <w:sz w:val="21"/>
        </w:rPr>
      </w:pPr>
      <w:r>
        <w:rPr>
          <w:b/>
          <w:spacing w:val="-4"/>
          <w:sz w:val="21"/>
        </w:rPr>
        <w:t>注：①废水数据来源于 </w:t>
      </w:r>
      <w:r>
        <w:rPr>
          <w:rFonts w:ascii="Times New Roman" w:hAnsi="Times New Roman" w:eastAsia="Times New Roman"/>
          <w:b/>
          <w:sz w:val="21"/>
        </w:rPr>
        <w:t>IC </w:t>
      </w:r>
      <w:r>
        <w:rPr>
          <w:b/>
          <w:spacing w:val="-4"/>
          <w:sz w:val="21"/>
        </w:rPr>
        <w:t>卡排污总量监控；②有组织 </w:t>
      </w:r>
      <w:r>
        <w:rPr>
          <w:rFonts w:ascii="Times New Roman" w:hAnsi="Times New Roman" w:eastAsia="Times New Roman"/>
          <w:b/>
          <w:sz w:val="21"/>
        </w:rPr>
        <w:t>VOCs </w:t>
      </w:r>
      <w:r>
        <w:rPr>
          <w:b/>
          <w:spacing w:val="-2"/>
          <w:sz w:val="21"/>
        </w:rPr>
        <w:t>废气排放数据来源于排污许可证执行</w:t>
      </w:r>
      <w:r>
        <w:rPr>
          <w:b/>
          <w:spacing w:val="-9"/>
          <w:sz w:val="21"/>
        </w:rPr>
        <w:t>报告</w:t>
      </w:r>
      <w:r>
        <w:rPr>
          <w:b/>
          <w:sz w:val="21"/>
        </w:rPr>
        <w:t>（</w:t>
      </w:r>
      <w:r>
        <w:rPr>
          <w:rFonts w:ascii="Times New Roman" w:hAnsi="Times New Roman" w:eastAsia="Times New Roman"/>
          <w:b/>
          <w:sz w:val="21"/>
        </w:rPr>
        <w:t>2021 </w:t>
      </w:r>
      <w:r>
        <w:rPr>
          <w:b/>
          <w:sz w:val="21"/>
        </w:rPr>
        <w:t>年度</w:t>
      </w:r>
      <w:r>
        <w:rPr>
          <w:b/>
          <w:spacing w:val="-15"/>
          <w:sz w:val="21"/>
        </w:rPr>
        <w:t>），</w:t>
      </w:r>
      <w:r>
        <w:rPr>
          <w:b/>
          <w:spacing w:val="-26"/>
          <w:sz w:val="21"/>
        </w:rPr>
        <w:t>为 </w:t>
      </w:r>
      <w:r>
        <w:rPr>
          <w:rFonts w:ascii="Times New Roman" w:hAnsi="Times New Roman" w:eastAsia="Times New Roman"/>
          <w:b/>
          <w:spacing w:val="-3"/>
          <w:sz w:val="21"/>
        </w:rPr>
        <w:t>1.44t/a</w:t>
      </w:r>
      <w:r>
        <w:rPr>
          <w:b/>
          <w:spacing w:val="-12"/>
          <w:sz w:val="21"/>
        </w:rPr>
        <w:t>；无组织 </w:t>
      </w:r>
      <w:r>
        <w:rPr>
          <w:rFonts w:ascii="Times New Roman" w:hAnsi="Times New Roman" w:eastAsia="Times New Roman"/>
          <w:b/>
          <w:sz w:val="21"/>
        </w:rPr>
        <w:t>VOCs </w:t>
      </w:r>
      <w:r>
        <w:rPr>
          <w:b/>
          <w:spacing w:val="-5"/>
          <w:sz w:val="21"/>
        </w:rPr>
        <w:t>废气从管道、阀门等连接处挥发出来，污染因子主要</w:t>
      </w:r>
      <w:r>
        <w:rPr>
          <w:b/>
          <w:spacing w:val="-8"/>
          <w:sz w:val="21"/>
        </w:rPr>
        <w:t>涉及邻二甲苯、</w:t>
      </w:r>
      <w:r>
        <w:rPr>
          <w:rFonts w:ascii="Times New Roman" w:hAnsi="Times New Roman" w:eastAsia="Times New Roman"/>
          <w:b/>
          <w:spacing w:val="-4"/>
          <w:sz w:val="21"/>
        </w:rPr>
        <w:t>3-</w:t>
      </w:r>
      <w:r>
        <w:rPr>
          <w:b/>
          <w:spacing w:val="-7"/>
          <w:sz w:val="21"/>
        </w:rPr>
        <w:t>戊酮，根据装备水平结合原料性质，无组织废气按周转量的万分之一</w:t>
      </w:r>
      <w:r>
        <w:rPr>
          <w:rFonts w:ascii="Times New Roman" w:hAnsi="Times New Roman" w:eastAsia="Times New Roman"/>
          <w:b/>
          <w:sz w:val="21"/>
        </w:rPr>
        <w:t>~</w:t>
      </w:r>
      <w:r>
        <w:rPr>
          <w:b/>
          <w:sz w:val="21"/>
        </w:rPr>
        <w:t>万分之五估</w:t>
      </w:r>
      <w:r>
        <w:rPr>
          <w:b/>
          <w:spacing w:val="2"/>
          <w:sz w:val="21"/>
        </w:rPr>
        <w:t>算，</w:t>
      </w:r>
      <w:r>
        <w:rPr>
          <w:rFonts w:ascii="Times New Roman" w:hAnsi="Times New Roman" w:eastAsia="Times New Roman"/>
          <w:b/>
          <w:sz w:val="21"/>
        </w:rPr>
        <w:t>2021 </w:t>
      </w:r>
      <w:r>
        <w:rPr>
          <w:b/>
          <w:spacing w:val="2"/>
          <w:sz w:val="21"/>
        </w:rPr>
        <w:t>年邻二甲苯用量 </w:t>
      </w:r>
      <w:r>
        <w:rPr>
          <w:rFonts w:ascii="Times New Roman" w:hAnsi="Times New Roman" w:eastAsia="Times New Roman"/>
          <w:b/>
          <w:sz w:val="21"/>
        </w:rPr>
        <w:t>14235.173t/a</w:t>
      </w:r>
      <w:r>
        <w:rPr>
          <w:b/>
          <w:spacing w:val="1"/>
          <w:sz w:val="21"/>
        </w:rPr>
        <w:t>，则无组织邻二甲苯排放量 </w:t>
      </w:r>
      <w:r>
        <w:rPr>
          <w:rFonts w:ascii="Times New Roman" w:hAnsi="Times New Roman" w:eastAsia="Times New Roman"/>
          <w:b/>
          <w:sz w:val="21"/>
        </w:rPr>
        <w:t>2.85t/a</w:t>
      </w:r>
      <w:r>
        <w:rPr>
          <w:b/>
          <w:sz w:val="21"/>
        </w:rPr>
        <w:t>；</w:t>
      </w:r>
      <w:r>
        <w:rPr>
          <w:rFonts w:ascii="Times New Roman" w:hAnsi="Times New Roman" w:eastAsia="Times New Roman"/>
          <w:b/>
          <w:sz w:val="21"/>
        </w:rPr>
        <w:t>2021 </w:t>
      </w:r>
      <w:r>
        <w:rPr>
          <w:b/>
          <w:spacing w:val="7"/>
          <w:sz w:val="21"/>
        </w:rPr>
        <w:t>年 </w:t>
      </w:r>
      <w:r>
        <w:rPr>
          <w:rFonts w:ascii="Times New Roman" w:hAnsi="Times New Roman" w:eastAsia="Times New Roman"/>
          <w:b/>
          <w:sz w:val="21"/>
        </w:rPr>
        <w:t>3-</w:t>
      </w:r>
      <w:r>
        <w:rPr>
          <w:b/>
          <w:sz w:val="21"/>
        </w:rPr>
        <w:t>戊酮用量</w:t>
      </w:r>
      <w:r>
        <w:rPr>
          <w:rFonts w:ascii="Times New Roman" w:hAnsi="Times New Roman" w:eastAsia="Times New Roman"/>
          <w:b/>
          <w:sz w:val="21"/>
        </w:rPr>
        <w:t>3215.75t/a</w:t>
      </w:r>
      <w:r>
        <w:rPr>
          <w:b/>
          <w:spacing w:val="-10"/>
          <w:sz w:val="21"/>
        </w:rPr>
        <w:t>，则无组织 </w:t>
      </w:r>
      <w:r>
        <w:rPr>
          <w:rFonts w:ascii="Times New Roman" w:hAnsi="Times New Roman" w:eastAsia="Times New Roman"/>
          <w:b/>
          <w:sz w:val="21"/>
        </w:rPr>
        <w:t>3-</w:t>
      </w:r>
      <w:r>
        <w:rPr>
          <w:b/>
          <w:spacing w:val="-9"/>
          <w:sz w:val="21"/>
        </w:rPr>
        <w:t>戊酮排放量 </w:t>
      </w:r>
      <w:r>
        <w:rPr>
          <w:rFonts w:ascii="Times New Roman" w:hAnsi="Times New Roman" w:eastAsia="Times New Roman"/>
          <w:b/>
          <w:spacing w:val="-3"/>
          <w:sz w:val="21"/>
        </w:rPr>
        <w:t>1.61t/a</w:t>
      </w:r>
      <w:r>
        <w:rPr>
          <w:b/>
          <w:spacing w:val="-10"/>
          <w:sz w:val="21"/>
        </w:rPr>
        <w:t>，根据上述分析，合计 </w:t>
      </w:r>
      <w:r>
        <w:rPr>
          <w:rFonts w:ascii="Times New Roman" w:hAnsi="Times New Roman" w:eastAsia="Times New Roman"/>
          <w:b/>
          <w:sz w:val="21"/>
        </w:rPr>
        <w:t>2021 </w:t>
      </w:r>
      <w:r>
        <w:rPr>
          <w:b/>
          <w:spacing w:val="-14"/>
          <w:sz w:val="21"/>
        </w:rPr>
        <w:t>年实际 </w:t>
      </w:r>
      <w:r>
        <w:rPr>
          <w:rFonts w:ascii="Times New Roman" w:hAnsi="Times New Roman" w:eastAsia="Times New Roman"/>
          <w:b/>
          <w:sz w:val="21"/>
        </w:rPr>
        <w:t>VOCs </w:t>
      </w:r>
      <w:r>
        <w:rPr>
          <w:b/>
          <w:spacing w:val="-14"/>
          <w:sz w:val="21"/>
        </w:rPr>
        <w:t>排放量 </w:t>
      </w:r>
      <w:r>
        <w:rPr>
          <w:rFonts w:ascii="Times New Roman" w:hAnsi="Times New Roman" w:eastAsia="Times New Roman"/>
          <w:b/>
          <w:sz w:val="21"/>
        </w:rPr>
        <w:t>5.9t/a</w:t>
      </w:r>
      <w:r>
        <w:rPr>
          <w:b/>
          <w:sz w:val="21"/>
        </w:rPr>
        <w:t>。</w:t>
      </w:r>
    </w:p>
    <w:p>
      <w:pPr>
        <w:pStyle w:val="BodyText"/>
        <w:spacing w:line="364" w:lineRule="auto" w:before="123"/>
        <w:ind w:left="218" w:right="332" w:firstLine="480"/>
        <w:jc w:val="both"/>
      </w:pPr>
      <w:r>
        <w:rPr>
          <w:rFonts w:ascii="Times New Roman" w:eastAsia="Times New Roman"/>
        </w:rPr>
        <w:t>2021 </w:t>
      </w:r>
      <w:r>
        <w:rPr>
          <w:spacing w:val="-9"/>
        </w:rPr>
        <w:t>年企业实际废气、废水排放量均核定在已有排污总量内。固废方面，废包装袋</w:t>
      </w:r>
      <w:r>
        <w:rPr>
          <w:spacing w:val="-5"/>
        </w:rPr>
        <w:t>较原环评有所增加，主要是污水站氢氧化钠包装袋的增加；生化污泥量有所增加，主要</w:t>
      </w:r>
      <w:r>
        <w:rPr>
          <w:spacing w:val="-4"/>
        </w:rPr>
        <w:t>是由于企业为了提高总氮的处理效率，在生化处理中增加了碳源的使用量，其余固废均</w:t>
      </w:r>
      <w:r>
        <w:rPr/>
        <w:t>核定在原审批范围内。</w:t>
      </w:r>
    </w:p>
    <w:p>
      <w:pPr>
        <w:pStyle w:val="Heading3"/>
        <w:numPr>
          <w:ilvl w:val="1"/>
          <w:numId w:val="13"/>
        </w:numPr>
        <w:tabs>
          <w:tab w:pos="639" w:val="left" w:leader="none"/>
        </w:tabs>
        <w:spacing w:line="240" w:lineRule="auto" w:before="2" w:after="0"/>
        <w:ind w:left="638" w:right="0" w:hanging="421"/>
        <w:jc w:val="left"/>
      </w:pPr>
      <w:bookmarkStart w:name="_bookmark20" w:id="41"/>
      <w:bookmarkEnd w:id="41"/>
      <w:r>
        <w:rPr>
          <w:b w:val="0"/>
        </w:rPr>
      </w:r>
      <w:bookmarkStart w:name="_bookmark20" w:id="42"/>
      <w:bookmarkEnd w:id="42"/>
      <w:r>
        <w:rPr/>
        <w:t>现有工程进一步优化提升要求</w:t>
      </w:r>
    </w:p>
    <w:p>
      <w:pPr>
        <w:pStyle w:val="BodyText"/>
        <w:spacing w:line="364" w:lineRule="auto" w:before="185"/>
        <w:ind w:left="218" w:right="332" w:firstLine="420"/>
        <w:jc w:val="both"/>
      </w:pPr>
      <w:r>
        <w:rPr>
          <w:spacing w:val="-1"/>
        </w:rPr>
        <w:t>根据现场踏勘，现有项目已基本落实环评审批提出的各项污染防治措施，根据现有项目监测数据，企业“三废”污染物均能达标排放。企业于 </w:t>
      </w:r>
      <w:r>
        <w:rPr>
          <w:rFonts w:ascii="Times New Roman" w:hAnsi="Times New Roman" w:eastAsia="Times New Roman"/>
        </w:rPr>
        <w:t>2021 </w:t>
      </w:r>
      <w:r>
        <w:rPr>
          <w:spacing w:val="-2"/>
        </w:rPr>
        <w:t>年底已对照《上虞区</w:t>
      </w:r>
      <w:r>
        <w:rPr>
          <w:spacing w:val="-5"/>
        </w:rPr>
        <w:t>化工产业生态环境改造提升 </w:t>
      </w:r>
      <w:r>
        <w:rPr>
          <w:rFonts w:ascii="Times New Roman" w:hAnsi="Times New Roman" w:eastAsia="Times New Roman"/>
        </w:rPr>
        <w:t>2.0 </w:t>
      </w:r>
      <w:r>
        <w:rPr>
          <w:spacing w:val="-3"/>
        </w:rPr>
        <w:t>版》完成提升改造</w:t>
      </w:r>
      <w:r>
        <w:rPr/>
        <w:t>（</w:t>
      </w:r>
      <w:r>
        <w:rPr>
          <w:spacing w:val="-20"/>
        </w:rPr>
        <w:t>详见 </w:t>
      </w:r>
      <w:r>
        <w:rPr>
          <w:rFonts w:ascii="Times New Roman" w:hAnsi="Times New Roman" w:eastAsia="Times New Roman"/>
          <w:w w:val="99"/>
        </w:rPr>
        <w:t>P</w:t>
      </w:r>
      <w:r>
        <w:rPr>
          <w:rFonts w:ascii="Times New Roman" w:hAnsi="Times New Roman" w:eastAsia="Times New Roman"/>
        </w:rPr>
        <w:t>g263 </w:t>
      </w:r>
      <w:r>
        <w:rPr>
          <w:spacing w:val="-30"/>
        </w:rPr>
        <w:t>表 </w:t>
      </w:r>
      <w:r>
        <w:rPr>
          <w:rFonts w:ascii="Times New Roman" w:hAnsi="Times New Roman" w:eastAsia="Times New Roman"/>
          <w:spacing w:val="-10"/>
        </w:rPr>
        <w:t>1</w:t>
      </w:r>
      <w:r>
        <w:rPr>
          <w:rFonts w:ascii="Times New Roman" w:hAnsi="Times New Roman" w:eastAsia="Times New Roman"/>
        </w:rPr>
        <w:t>1.3.3</w:t>
      </w:r>
      <w:r>
        <w:rPr>
          <w:rFonts w:ascii="Times New Roman" w:hAnsi="Times New Roman" w:eastAsia="Times New Roman"/>
          <w:spacing w:val="-1"/>
        </w:rPr>
        <w:t>-</w:t>
      </w:r>
      <w:r>
        <w:rPr>
          <w:rFonts w:ascii="Times New Roman" w:hAnsi="Times New Roman" w:eastAsia="Times New Roman"/>
        </w:rPr>
        <w:t>1</w:t>
      </w:r>
      <w:r>
        <w:rPr>
          <w:spacing w:val="-120"/>
        </w:rPr>
        <w:t>）</w:t>
      </w:r>
      <w:r>
        <w:rPr>
          <w:spacing w:val="-4"/>
        </w:rPr>
        <w:t>，改造效果</w:t>
      </w:r>
      <w:r>
        <w:rPr/>
        <w:t>明显，切实提高了企业的生态环境管理水平，降低了环境风险。</w:t>
      </w:r>
    </w:p>
    <w:p>
      <w:pPr>
        <w:pStyle w:val="BodyText"/>
        <w:spacing w:line="305" w:lineRule="exact"/>
        <w:ind w:left="698"/>
      </w:pPr>
      <w:r>
        <w:rPr/>
        <w:t>今后，企业须进一步进行优化提升，具体如下：</w:t>
      </w:r>
    </w:p>
    <w:p>
      <w:pPr>
        <w:spacing w:after="0" w:line="305" w:lineRule="exact"/>
        <w:sectPr>
          <w:pgSz w:w="11910" w:h="16850"/>
          <w:pgMar w:header="730" w:footer="690" w:top="1340" w:bottom="880" w:left="1200" w:right="1080"/>
        </w:sectPr>
      </w:pPr>
    </w:p>
    <w:p>
      <w:pPr>
        <w:pStyle w:val="BodyText"/>
        <w:spacing w:line="364" w:lineRule="auto" w:before="64"/>
        <w:ind w:left="218" w:right="325" w:firstLine="480"/>
      </w:pPr>
      <w:r>
        <w:rPr>
          <w:rFonts w:ascii="Times New Roman" w:eastAsia="Times New Roman"/>
        </w:rPr>
        <w:t>1</w:t>
      </w:r>
      <w:r>
        <w:rPr/>
        <w:t>、强化清洁生产，从源头控制污染物的产生。提升污染防治的理念，建立自查自纠环保管理体系，自我完善环保设施，巩固整治提升成果。</w:t>
      </w:r>
    </w:p>
    <w:p>
      <w:pPr>
        <w:pStyle w:val="BodyText"/>
        <w:spacing w:line="364" w:lineRule="auto"/>
        <w:ind w:left="218" w:right="325" w:firstLine="480"/>
        <w:jc w:val="both"/>
      </w:pPr>
      <w:r>
        <w:rPr>
          <w:rFonts w:ascii="Times New Roman" w:eastAsia="Times New Roman"/>
        </w:rPr>
        <w:t>2</w:t>
      </w:r>
      <w:r>
        <w:rPr/>
        <w:t>、进一步提升风险防范和应急能力建设，确保环境安全。持续加强安全隐患的排</w:t>
      </w:r>
      <w:r>
        <w:rPr>
          <w:spacing w:val="-6"/>
        </w:rPr>
        <w:t>查，防止安全事故的发生，定期组织应急演习，配备完善的应急处置设施，全面提高风险防范和应急处置能力。</w:t>
      </w:r>
    </w:p>
    <w:p>
      <w:pPr>
        <w:pStyle w:val="Heading3"/>
        <w:numPr>
          <w:ilvl w:val="1"/>
          <w:numId w:val="13"/>
        </w:numPr>
        <w:tabs>
          <w:tab w:pos="639" w:val="left" w:leader="none"/>
        </w:tabs>
        <w:spacing w:line="357" w:lineRule="exact" w:before="0" w:after="0"/>
        <w:ind w:left="638" w:right="0" w:hanging="421"/>
        <w:jc w:val="both"/>
      </w:pPr>
      <w:bookmarkStart w:name="_bookmark21" w:id="43"/>
      <w:bookmarkEnd w:id="43"/>
      <w:r>
        <w:rPr>
          <w:b w:val="0"/>
        </w:rPr>
      </w:r>
      <w:bookmarkStart w:name="_bookmark21" w:id="44"/>
      <w:bookmarkEnd w:id="44"/>
      <w:r>
        <w:rPr/>
        <w:t>现有企业重大变动清单分析</w:t>
      </w:r>
    </w:p>
    <w:p>
      <w:pPr>
        <w:pStyle w:val="BodyText"/>
        <w:spacing w:line="364" w:lineRule="auto" w:before="184"/>
        <w:ind w:left="218" w:right="333" w:firstLine="360"/>
        <w:jc w:val="both"/>
      </w:pPr>
      <w:r>
        <w:rPr>
          <w:spacing w:val="-8"/>
        </w:rPr>
        <w:t>根据企业提供的 </w:t>
      </w:r>
      <w:r>
        <w:rPr>
          <w:rFonts w:ascii="Times New Roman" w:eastAsia="Times New Roman"/>
        </w:rPr>
        <w:t>2021 </w:t>
      </w:r>
      <w:r>
        <w:rPr>
          <w:spacing w:val="-1"/>
        </w:rPr>
        <w:t>年产品的实际产量，</w:t>
      </w:r>
      <w:r>
        <w:rPr>
          <w:rFonts w:ascii="Times New Roman" w:eastAsia="Times New Roman"/>
          <w:spacing w:val="-4"/>
        </w:rPr>
        <w:t>4-</w:t>
      </w:r>
      <w:r>
        <w:rPr>
          <w:spacing w:val="-1"/>
        </w:rPr>
        <w:t>硝基邻二甲苯的生产规模超过审批产能</w:t>
      </w:r>
      <w:r>
        <w:rPr>
          <w:spacing w:val="-23"/>
        </w:rPr>
        <w:t>的 </w:t>
      </w:r>
      <w:r>
        <w:rPr>
          <w:rFonts w:ascii="Times New Roman" w:eastAsia="Times New Roman"/>
        </w:rPr>
        <w:t>5%</w:t>
      </w:r>
      <w:r>
        <w:rPr>
          <w:spacing w:val="-9"/>
        </w:rPr>
        <w:t>，故须对 </w:t>
      </w:r>
      <w:r>
        <w:rPr>
          <w:rFonts w:ascii="Times New Roman" w:eastAsia="Times New Roman"/>
        </w:rPr>
        <w:t>4-</w:t>
      </w:r>
      <w:r>
        <w:rPr>
          <w:spacing w:val="-1"/>
        </w:rPr>
        <w:t>硝基邻二甲苯装置从污染物排放方面是否属于重大变动进行分析，具</w:t>
      </w:r>
      <w:r>
        <w:rPr/>
        <w:t>体如下：</w:t>
      </w:r>
    </w:p>
    <w:p>
      <w:pPr>
        <w:pStyle w:val="Heading4"/>
        <w:numPr>
          <w:ilvl w:val="2"/>
          <w:numId w:val="13"/>
        </w:numPr>
        <w:tabs>
          <w:tab w:pos="939" w:val="left" w:leader="none"/>
        </w:tabs>
        <w:spacing w:line="240" w:lineRule="auto" w:before="0" w:after="0"/>
        <w:ind w:left="938" w:right="0" w:hanging="721"/>
        <w:jc w:val="both"/>
      </w:pPr>
      <w:r>
        <w:rPr>
          <w:rFonts w:ascii="Times New Roman" w:eastAsia="Times New Roman"/>
        </w:rPr>
        <w:t>4-</w:t>
      </w:r>
      <w:r>
        <w:rPr>
          <w:spacing w:val="-9"/>
        </w:rPr>
        <w:t>硝基邻二甲苯 </w:t>
      </w:r>
      <w:r>
        <w:rPr>
          <w:rFonts w:ascii="Times New Roman" w:eastAsia="Times New Roman"/>
        </w:rPr>
        <w:t>2021 </w:t>
      </w:r>
      <w:r>
        <w:rPr/>
        <w:t>年污染物排放情况分析</w:t>
      </w:r>
    </w:p>
    <w:p>
      <w:pPr>
        <w:spacing w:before="161"/>
        <w:ind w:left="698" w:right="0" w:firstLine="0"/>
        <w:jc w:val="left"/>
        <w:rPr>
          <w:b/>
          <w:sz w:val="24"/>
        </w:rPr>
      </w:pPr>
      <w:r>
        <w:rPr>
          <w:rFonts w:ascii="Times New Roman" w:eastAsia="Times New Roman"/>
          <w:b/>
          <w:sz w:val="24"/>
        </w:rPr>
        <w:t>1</w:t>
      </w:r>
      <w:r>
        <w:rPr>
          <w:b/>
          <w:sz w:val="24"/>
        </w:rPr>
        <w:t>、废气</w:t>
      </w:r>
    </w:p>
    <w:p>
      <w:pPr>
        <w:pStyle w:val="BodyText"/>
        <w:spacing w:line="364" w:lineRule="auto" w:before="158"/>
        <w:ind w:left="218" w:right="335" w:firstLine="480"/>
        <w:jc w:val="both"/>
      </w:pPr>
      <w:r>
        <w:rPr>
          <w:rFonts w:ascii="Times New Roman" w:eastAsia="Times New Roman"/>
        </w:rPr>
        <w:t>4-</w:t>
      </w:r>
      <w:r>
        <w:rPr>
          <w:spacing w:val="-4"/>
        </w:rPr>
        <w:t>硝基邻二甲苯生产过程中产生硝基苯类、二甲苯、硫酸雾、氮氧化物等废气。本</w:t>
      </w:r>
      <w:r>
        <w:rPr>
          <w:spacing w:val="-11"/>
        </w:rPr>
        <w:t>环评收集了 </w:t>
      </w:r>
      <w:r>
        <w:rPr>
          <w:rFonts w:ascii="Times New Roman" w:eastAsia="Times New Roman"/>
        </w:rPr>
        <w:t>2021 </w:t>
      </w:r>
      <w:r>
        <w:rPr>
          <w:spacing w:val="-9"/>
        </w:rPr>
        <w:t>年现有工程自行监测数据，依此为依据计算 </w:t>
      </w:r>
      <w:r>
        <w:rPr>
          <w:rFonts w:ascii="Times New Roman" w:eastAsia="Times New Roman"/>
        </w:rPr>
        <w:t>2021 </w:t>
      </w:r>
      <w:r>
        <w:rPr>
          <w:spacing w:val="-30"/>
        </w:rPr>
        <w:t>年 </w:t>
      </w:r>
      <w:r>
        <w:rPr>
          <w:rFonts w:ascii="Times New Roman" w:eastAsia="Times New Roman"/>
        </w:rPr>
        <w:t>4-</w:t>
      </w:r>
      <w:r>
        <w:rPr>
          <w:spacing w:val="-3"/>
        </w:rPr>
        <w:t>硝基邻二甲苯废</w:t>
      </w:r>
      <w:r>
        <w:rPr/>
        <w:t>气的排放情况，具体如下：</w:t>
      </w:r>
    </w:p>
    <w:p>
      <w:pPr>
        <w:pStyle w:val="Heading4"/>
        <w:tabs>
          <w:tab w:pos="1222" w:val="left" w:leader="none"/>
        </w:tabs>
        <w:spacing w:before="141" w:after="28"/>
        <w:ind w:left="0" w:right="114"/>
        <w:jc w:val="center"/>
      </w:pPr>
      <w:r>
        <w:rPr/>
        <w:t>表</w:t>
      </w:r>
      <w:r>
        <w:rPr>
          <w:spacing w:val="-60"/>
        </w:rPr>
        <w:t> </w:t>
      </w:r>
      <w:r>
        <w:rPr>
          <w:rFonts w:ascii="Times New Roman" w:eastAsia="Times New Roman"/>
        </w:rPr>
        <w:t>3.7.1-1</w:t>
        <w:tab/>
        <w:t>DA001</w:t>
      </w:r>
      <w:r>
        <w:rPr>
          <w:rFonts w:ascii="Times New Roman" w:eastAsia="Times New Roman"/>
          <w:spacing w:val="-1"/>
        </w:rPr>
        <w:t> </w:t>
      </w:r>
      <w:r>
        <w:rPr/>
        <w:t>排气筒</w:t>
      </w:r>
      <w:r>
        <w:rPr>
          <w:spacing w:val="-59"/>
        </w:rPr>
        <w:t> </w:t>
      </w:r>
      <w:r>
        <w:rPr>
          <w:rFonts w:ascii="Times New Roman" w:eastAsia="Times New Roman"/>
        </w:rPr>
        <w:t>2021</w:t>
      </w:r>
      <w:r>
        <w:rPr>
          <w:rFonts w:ascii="Times New Roman" w:eastAsia="Times New Roman"/>
          <w:spacing w:val="-3"/>
        </w:rPr>
        <w:t> </w:t>
      </w:r>
      <w:r>
        <w:rPr/>
        <w:t>年自</w:t>
      </w:r>
      <w:r>
        <w:rPr>
          <w:spacing w:val="3"/>
        </w:rPr>
        <w:t>行</w:t>
      </w:r>
      <w:r>
        <w:rPr/>
        <w:t>监测数据统计</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269"/>
        <w:gridCol w:w="3543"/>
        <w:gridCol w:w="2377"/>
      </w:tblGrid>
      <w:tr>
        <w:trPr>
          <w:trHeight w:val="271" w:hRule="atLeast"/>
        </w:trPr>
        <w:tc>
          <w:tcPr>
            <w:tcW w:w="3371" w:type="dxa"/>
            <w:gridSpan w:val="2"/>
            <w:tcBorders>
              <w:bottom w:val="single" w:sz="2" w:space="0" w:color="000000"/>
            </w:tcBorders>
          </w:tcPr>
          <w:p>
            <w:pPr>
              <w:pStyle w:val="TableParagraph"/>
              <w:spacing w:line="250" w:lineRule="exact" w:before="1"/>
              <w:ind w:left="1137" w:right="1129"/>
              <w:rPr>
                <w:b/>
                <w:sz w:val="21"/>
              </w:rPr>
            </w:pPr>
            <w:r>
              <w:rPr>
                <w:b/>
                <w:sz w:val="21"/>
              </w:rPr>
              <w:t>排气筒位置</w:t>
            </w:r>
          </w:p>
        </w:tc>
        <w:tc>
          <w:tcPr>
            <w:tcW w:w="3543" w:type="dxa"/>
          </w:tcPr>
          <w:p>
            <w:pPr>
              <w:pStyle w:val="TableParagraph"/>
              <w:spacing w:line="250" w:lineRule="exact" w:before="1"/>
              <w:ind w:left="882" w:right="870"/>
              <w:rPr>
                <w:b/>
                <w:sz w:val="21"/>
              </w:rPr>
            </w:pPr>
            <w:r>
              <w:rPr>
                <w:rFonts w:ascii="Times New Roman" w:eastAsia="Times New Roman"/>
                <w:b/>
                <w:sz w:val="21"/>
              </w:rPr>
              <w:t>DA001 </w:t>
            </w:r>
            <w:r>
              <w:rPr>
                <w:b/>
                <w:sz w:val="21"/>
              </w:rPr>
              <w:t>排气筒出口</w:t>
            </w:r>
          </w:p>
        </w:tc>
        <w:tc>
          <w:tcPr>
            <w:tcW w:w="2377" w:type="dxa"/>
          </w:tcPr>
          <w:p>
            <w:pPr>
              <w:pStyle w:val="TableParagraph"/>
              <w:spacing w:line="250" w:lineRule="exact" w:before="1"/>
              <w:ind w:left="634" w:right="633"/>
              <w:rPr>
                <w:b/>
                <w:sz w:val="21"/>
              </w:rPr>
            </w:pPr>
            <w:r>
              <w:rPr>
                <w:b/>
                <w:sz w:val="21"/>
              </w:rPr>
              <w:t>最大值</w:t>
            </w:r>
          </w:p>
        </w:tc>
      </w:tr>
      <w:tr>
        <w:trPr>
          <w:trHeight w:val="290" w:hRule="atLeast"/>
        </w:trPr>
        <w:tc>
          <w:tcPr>
            <w:tcW w:w="1102" w:type="dxa"/>
            <w:vMerge w:val="restart"/>
            <w:tcBorders>
              <w:top w:val="single" w:sz="2" w:space="0" w:color="000000"/>
              <w:right w:val="single" w:sz="2" w:space="0" w:color="000000"/>
            </w:tcBorders>
          </w:tcPr>
          <w:p>
            <w:pPr>
              <w:pStyle w:val="TableParagraph"/>
              <w:spacing w:before="162"/>
              <w:ind w:left="129"/>
              <w:jc w:val="left"/>
              <w:rPr>
                <w:sz w:val="21"/>
              </w:rPr>
            </w:pPr>
            <w:r>
              <w:rPr>
                <w:sz w:val="21"/>
              </w:rPr>
              <w:t>硝基苯类</w:t>
            </w:r>
          </w:p>
        </w:tc>
        <w:tc>
          <w:tcPr>
            <w:tcW w:w="2269" w:type="dxa"/>
            <w:tcBorders>
              <w:top w:val="single" w:sz="2" w:space="0" w:color="000000"/>
              <w:left w:val="single" w:sz="2" w:space="0" w:color="000000"/>
            </w:tcBorders>
          </w:tcPr>
          <w:p>
            <w:pPr>
              <w:pStyle w:val="TableParagraph"/>
              <w:spacing w:line="259" w:lineRule="exact" w:before="10"/>
              <w:ind w:left="294" w:right="281"/>
              <w:rPr>
                <w:rFonts w:ascii="Times New Roman" w:eastAsia="Times New Roman"/>
                <w:sz w:val="21"/>
              </w:rPr>
            </w:pPr>
            <w:r>
              <w:rPr>
                <w:sz w:val="21"/>
              </w:rPr>
              <w:t>排放浓度 </w:t>
            </w:r>
            <w:r>
              <w:rPr>
                <w:rFonts w:ascii="Times New Roman" w:eastAsia="Times New Roman"/>
                <w:sz w:val="21"/>
              </w:rPr>
              <w:t>(mg/m</w:t>
            </w:r>
            <w:r>
              <w:rPr>
                <w:rFonts w:ascii="Times New Roman" w:eastAsia="Times New Roman"/>
                <w:position w:val="7"/>
                <w:sz w:val="14"/>
              </w:rPr>
              <w:t>3</w:t>
            </w:r>
            <w:r>
              <w:rPr>
                <w:rFonts w:ascii="Times New Roman" w:eastAsia="Times New Roman"/>
                <w:sz w:val="21"/>
              </w:rPr>
              <w:t>)</w:t>
            </w:r>
          </w:p>
        </w:tc>
        <w:tc>
          <w:tcPr>
            <w:tcW w:w="3543" w:type="dxa"/>
          </w:tcPr>
          <w:p>
            <w:pPr>
              <w:pStyle w:val="TableParagraph"/>
              <w:spacing w:before="24"/>
              <w:ind w:left="881" w:right="872"/>
              <w:rPr>
                <w:rFonts w:ascii="Times New Roman"/>
                <w:sz w:val="21"/>
              </w:rPr>
            </w:pPr>
            <w:r>
              <w:rPr>
                <w:rFonts w:ascii="Times New Roman"/>
                <w:sz w:val="21"/>
              </w:rPr>
              <w:t>1.4~4.8</w:t>
            </w:r>
          </w:p>
        </w:tc>
        <w:tc>
          <w:tcPr>
            <w:tcW w:w="2377" w:type="dxa"/>
          </w:tcPr>
          <w:p>
            <w:pPr>
              <w:pStyle w:val="TableParagraph"/>
              <w:spacing w:before="24"/>
              <w:ind w:left="640" w:right="633"/>
              <w:rPr>
                <w:rFonts w:ascii="Times New Roman"/>
                <w:sz w:val="21"/>
              </w:rPr>
            </w:pPr>
            <w:r>
              <w:rPr>
                <w:rFonts w:ascii="Times New Roman"/>
                <w:sz w:val="21"/>
              </w:rPr>
              <w:t>4.8</w:t>
            </w:r>
          </w:p>
        </w:tc>
      </w:tr>
      <w:tr>
        <w:trPr>
          <w:trHeight w:val="290" w:hRule="atLeast"/>
        </w:trPr>
        <w:tc>
          <w:tcPr>
            <w:tcW w:w="1102" w:type="dxa"/>
            <w:vMerge/>
            <w:tcBorders>
              <w:top w:val="nil"/>
              <w:right w:val="single" w:sz="2" w:space="0" w:color="000000"/>
            </w:tcBorders>
          </w:tcPr>
          <w:p>
            <w:pPr>
              <w:rPr>
                <w:sz w:val="2"/>
                <w:szCs w:val="2"/>
              </w:rPr>
            </w:pPr>
          </w:p>
        </w:tc>
        <w:tc>
          <w:tcPr>
            <w:tcW w:w="2269" w:type="dxa"/>
            <w:tcBorders>
              <w:left w:val="single" w:sz="2" w:space="0" w:color="000000"/>
            </w:tcBorders>
          </w:tcPr>
          <w:p>
            <w:pPr>
              <w:pStyle w:val="TableParagraph"/>
              <w:spacing w:line="259" w:lineRule="exact" w:before="10"/>
              <w:ind w:left="291" w:right="281"/>
              <w:rPr>
                <w:rFonts w:ascii="Times New Roman" w:eastAsia="Times New Roman"/>
                <w:sz w:val="21"/>
              </w:rPr>
            </w:pPr>
            <w:r>
              <w:rPr>
                <w:sz w:val="21"/>
              </w:rPr>
              <w:t>排放速率</w:t>
            </w:r>
            <w:r>
              <w:rPr>
                <w:rFonts w:ascii="Times New Roman" w:eastAsia="Times New Roman"/>
                <w:sz w:val="21"/>
              </w:rPr>
              <w:t>(kg/h)</w:t>
            </w:r>
          </w:p>
        </w:tc>
        <w:tc>
          <w:tcPr>
            <w:tcW w:w="3543" w:type="dxa"/>
          </w:tcPr>
          <w:p>
            <w:pPr>
              <w:pStyle w:val="TableParagraph"/>
              <w:spacing w:before="24"/>
              <w:ind w:left="882" w:right="871"/>
              <w:rPr>
                <w:rFonts w:ascii="Times New Roman"/>
                <w:sz w:val="21"/>
              </w:rPr>
            </w:pPr>
            <w:r>
              <w:rPr>
                <w:rFonts w:ascii="Times New Roman"/>
                <w:sz w:val="21"/>
              </w:rPr>
              <w:t>0.016~0.045</w:t>
            </w:r>
          </w:p>
        </w:tc>
        <w:tc>
          <w:tcPr>
            <w:tcW w:w="2377" w:type="dxa"/>
          </w:tcPr>
          <w:p>
            <w:pPr>
              <w:pStyle w:val="TableParagraph"/>
              <w:spacing w:before="24"/>
              <w:ind w:left="639" w:right="633"/>
              <w:rPr>
                <w:rFonts w:ascii="Times New Roman"/>
                <w:sz w:val="21"/>
              </w:rPr>
            </w:pPr>
            <w:r>
              <w:rPr>
                <w:rFonts w:ascii="Times New Roman"/>
                <w:sz w:val="21"/>
              </w:rPr>
              <w:t>0.045</w:t>
            </w:r>
          </w:p>
        </w:tc>
      </w:tr>
      <w:tr>
        <w:trPr>
          <w:trHeight w:val="290" w:hRule="atLeast"/>
        </w:trPr>
        <w:tc>
          <w:tcPr>
            <w:tcW w:w="1102" w:type="dxa"/>
            <w:vMerge w:val="restart"/>
            <w:tcBorders>
              <w:right w:val="single" w:sz="2" w:space="0" w:color="000000"/>
            </w:tcBorders>
          </w:tcPr>
          <w:p>
            <w:pPr>
              <w:pStyle w:val="TableParagraph"/>
              <w:spacing w:before="161"/>
              <w:ind w:left="235"/>
              <w:jc w:val="left"/>
              <w:rPr>
                <w:sz w:val="21"/>
              </w:rPr>
            </w:pPr>
            <w:r>
              <w:rPr>
                <w:sz w:val="21"/>
              </w:rPr>
              <w:t>二甲苯</w:t>
            </w:r>
          </w:p>
        </w:tc>
        <w:tc>
          <w:tcPr>
            <w:tcW w:w="2269" w:type="dxa"/>
            <w:tcBorders>
              <w:left w:val="single" w:sz="2" w:space="0" w:color="000000"/>
            </w:tcBorders>
          </w:tcPr>
          <w:p>
            <w:pPr>
              <w:pStyle w:val="TableParagraph"/>
              <w:spacing w:line="259" w:lineRule="exact" w:before="10"/>
              <w:ind w:left="294" w:right="281"/>
              <w:rPr>
                <w:rFonts w:ascii="Times New Roman" w:eastAsia="Times New Roman"/>
                <w:sz w:val="21"/>
              </w:rPr>
            </w:pPr>
            <w:r>
              <w:rPr>
                <w:sz w:val="21"/>
              </w:rPr>
              <w:t>排放浓度 </w:t>
            </w:r>
            <w:r>
              <w:rPr>
                <w:rFonts w:ascii="Times New Roman" w:eastAsia="Times New Roman"/>
                <w:sz w:val="21"/>
              </w:rPr>
              <w:t>(mg/m</w:t>
            </w:r>
            <w:r>
              <w:rPr>
                <w:rFonts w:ascii="Times New Roman" w:eastAsia="Times New Roman"/>
                <w:position w:val="7"/>
                <w:sz w:val="14"/>
              </w:rPr>
              <w:t>3</w:t>
            </w:r>
            <w:r>
              <w:rPr>
                <w:rFonts w:ascii="Times New Roman" w:eastAsia="Times New Roman"/>
                <w:sz w:val="21"/>
              </w:rPr>
              <w:t>)</w:t>
            </w:r>
          </w:p>
        </w:tc>
        <w:tc>
          <w:tcPr>
            <w:tcW w:w="3543" w:type="dxa"/>
          </w:tcPr>
          <w:p>
            <w:pPr>
              <w:pStyle w:val="TableParagraph"/>
              <w:spacing w:before="24"/>
              <w:ind w:left="881" w:right="872"/>
              <w:rPr>
                <w:rFonts w:ascii="Times New Roman"/>
                <w:sz w:val="21"/>
              </w:rPr>
            </w:pPr>
            <w:r>
              <w:rPr>
                <w:rFonts w:ascii="Times New Roman"/>
                <w:sz w:val="21"/>
              </w:rPr>
              <w:t>0.093~0.116</w:t>
            </w:r>
          </w:p>
        </w:tc>
        <w:tc>
          <w:tcPr>
            <w:tcW w:w="2377" w:type="dxa"/>
          </w:tcPr>
          <w:p>
            <w:pPr>
              <w:pStyle w:val="TableParagraph"/>
              <w:spacing w:before="24"/>
              <w:ind w:left="637" w:right="633"/>
              <w:rPr>
                <w:rFonts w:ascii="Times New Roman"/>
                <w:sz w:val="21"/>
              </w:rPr>
            </w:pPr>
            <w:r>
              <w:rPr>
                <w:rFonts w:ascii="Times New Roman"/>
                <w:sz w:val="21"/>
              </w:rPr>
              <w:t>0.116</w:t>
            </w:r>
          </w:p>
        </w:tc>
      </w:tr>
      <w:tr>
        <w:trPr>
          <w:trHeight w:val="290" w:hRule="atLeast"/>
        </w:trPr>
        <w:tc>
          <w:tcPr>
            <w:tcW w:w="1102" w:type="dxa"/>
            <w:vMerge/>
            <w:tcBorders>
              <w:top w:val="nil"/>
              <w:right w:val="single" w:sz="2" w:space="0" w:color="000000"/>
            </w:tcBorders>
          </w:tcPr>
          <w:p>
            <w:pPr>
              <w:rPr>
                <w:sz w:val="2"/>
                <w:szCs w:val="2"/>
              </w:rPr>
            </w:pPr>
          </w:p>
        </w:tc>
        <w:tc>
          <w:tcPr>
            <w:tcW w:w="2269" w:type="dxa"/>
            <w:tcBorders>
              <w:left w:val="single" w:sz="2" w:space="0" w:color="000000"/>
            </w:tcBorders>
          </w:tcPr>
          <w:p>
            <w:pPr>
              <w:pStyle w:val="TableParagraph"/>
              <w:spacing w:line="259" w:lineRule="exact" w:before="10"/>
              <w:ind w:left="291" w:right="281"/>
              <w:rPr>
                <w:rFonts w:ascii="Times New Roman" w:eastAsia="Times New Roman"/>
                <w:sz w:val="21"/>
              </w:rPr>
            </w:pPr>
            <w:r>
              <w:rPr>
                <w:sz w:val="21"/>
              </w:rPr>
              <w:t>排放速率</w:t>
            </w:r>
            <w:r>
              <w:rPr>
                <w:rFonts w:ascii="Times New Roman" w:eastAsia="Times New Roman"/>
                <w:sz w:val="21"/>
              </w:rPr>
              <w:t>(kg/h)</w:t>
            </w:r>
          </w:p>
        </w:tc>
        <w:tc>
          <w:tcPr>
            <w:tcW w:w="3543" w:type="dxa"/>
          </w:tcPr>
          <w:p>
            <w:pPr>
              <w:pStyle w:val="TableParagraph"/>
              <w:spacing w:before="20"/>
              <w:ind w:left="882" w:right="872"/>
              <w:rPr>
                <w:rFonts w:ascii="Times New Roman" w:hAnsi="Times New Roman"/>
                <w:sz w:val="14"/>
              </w:rPr>
            </w:pPr>
            <w:r>
              <w:rPr>
                <w:rFonts w:ascii="Times New Roman" w:hAnsi="Times New Roman"/>
                <w:sz w:val="21"/>
              </w:rPr>
              <w:t>1.1×10 </w:t>
            </w:r>
            <w:r>
              <w:rPr>
                <w:rFonts w:ascii="Times New Roman" w:hAnsi="Times New Roman"/>
                <w:position w:val="7"/>
                <w:sz w:val="14"/>
              </w:rPr>
              <w:t>-3</w:t>
            </w:r>
            <w:r>
              <w:rPr>
                <w:rFonts w:ascii="Times New Roman" w:hAnsi="Times New Roman"/>
                <w:sz w:val="21"/>
              </w:rPr>
              <w:t>~1.14×10 </w:t>
            </w:r>
            <w:r>
              <w:rPr>
                <w:rFonts w:ascii="Times New Roman" w:hAnsi="Times New Roman"/>
                <w:position w:val="7"/>
                <w:sz w:val="14"/>
              </w:rPr>
              <w:t>-3</w:t>
            </w:r>
          </w:p>
        </w:tc>
        <w:tc>
          <w:tcPr>
            <w:tcW w:w="2377" w:type="dxa"/>
          </w:tcPr>
          <w:p>
            <w:pPr>
              <w:pStyle w:val="TableParagraph"/>
              <w:spacing w:before="20"/>
              <w:ind w:left="637" w:right="633"/>
              <w:rPr>
                <w:rFonts w:ascii="Times New Roman" w:hAnsi="Times New Roman"/>
                <w:sz w:val="14"/>
              </w:rPr>
            </w:pPr>
            <w:r>
              <w:rPr>
                <w:rFonts w:ascii="Times New Roman" w:hAnsi="Times New Roman"/>
                <w:sz w:val="21"/>
              </w:rPr>
              <w:t>1.14×10 </w:t>
            </w:r>
            <w:r>
              <w:rPr>
                <w:rFonts w:ascii="Times New Roman" w:hAnsi="Times New Roman"/>
                <w:position w:val="7"/>
                <w:sz w:val="14"/>
              </w:rPr>
              <w:t>-3</w:t>
            </w:r>
          </w:p>
        </w:tc>
      </w:tr>
      <w:tr>
        <w:trPr>
          <w:trHeight w:val="290" w:hRule="atLeast"/>
        </w:trPr>
        <w:tc>
          <w:tcPr>
            <w:tcW w:w="1102" w:type="dxa"/>
            <w:vMerge w:val="restart"/>
            <w:tcBorders>
              <w:right w:val="single" w:sz="2" w:space="0" w:color="000000"/>
            </w:tcBorders>
          </w:tcPr>
          <w:p>
            <w:pPr>
              <w:pStyle w:val="TableParagraph"/>
              <w:spacing w:before="161"/>
              <w:ind w:left="235"/>
              <w:jc w:val="left"/>
              <w:rPr>
                <w:sz w:val="21"/>
              </w:rPr>
            </w:pPr>
            <w:r>
              <w:rPr>
                <w:sz w:val="21"/>
              </w:rPr>
              <w:t>硫酸雾</w:t>
            </w:r>
          </w:p>
        </w:tc>
        <w:tc>
          <w:tcPr>
            <w:tcW w:w="2269" w:type="dxa"/>
            <w:tcBorders>
              <w:left w:val="single" w:sz="2" w:space="0" w:color="000000"/>
            </w:tcBorders>
          </w:tcPr>
          <w:p>
            <w:pPr>
              <w:pStyle w:val="TableParagraph"/>
              <w:spacing w:line="259" w:lineRule="exact" w:before="10"/>
              <w:ind w:left="294" w:right="281"/>
              <w:rPr>
                <w:rFonts w:ascii="Times New Roman" w:eastAsia="Times New Roman"/>
                <w:sz w:val="21"/>
              </w:rPr>
            </w:pPr>
            <w:r>
              <w:rPr>
                <w:sz w:val="21"/>
              </w:rPr>
              <w:t>排放浓度 </w:t>
            </w:r>
            <w:r>
              <w:rPr>
                <w:rFonts w:ascii="Times New Roman" w:eastAsia="Times New Roman"/>
                <w:sz w:val="21"/>
              </w:rPr>
              <w:t>(mg/m</w:t>
            </w:r>
            <w:r>
              <w:rPr>
                <w:rFonts w:ascii="Times New Roman" w:eastAsia="Times New Roman"/>
                <w:position w:val="7"/>
                <w:sz w:val="14"/>
              </w:rPr>
              <w:t>3</w:t>
            </w:r>
            <w:r>
              <w:rPr>
                <w:rFonts w:ascii="Times New Roman" w:eastAsia="Times New Roman"/>
                <w:sz w:val="21"/>
              </w:rPr>
              <w:t>)</w:t>
            </w:r>
          </w:p>
        </w:tc>
        <w:tc>
          <w:tcPr>
            <w:tcW w:w="3543" w:type="dxa"/>
          </w:tcPr>
          <w:p>
            <w:pPr>
              <w:pStyle w:val="TableParagraph"/>
              <w:spacing w:line="259" w:lineRule="exact" w:before="10"/>
              <w:ind w:left="882" w:right="872"/>
              <w:rPr>
                <w:rFonts w:ascii="Times New Roman" w:eastAsia="Times New Roman"/>
                <w:sz w:val="21"/>
              </w:rPr>
            </w:pPr>
            <w:r>
              <w:rPr>
                <w:sz w:val="21"/>
              </w:rPr>
              <w:t>＜</w:t>
            </w:r>
            <w:r>
              <w:rPr>
                <w:rFonts w:ascii="Times New Roman" w:eastAsia="Times New Roman"/>
                <w:sz w:val="21"/>
              </w:rPr>
              <w:t>0.3~5.4</w:t>
            </w:r>
          </w:p>
        </w:tc>
        <w:tc>
          <w:tcPr>
            <w:tcW w:w="2377" w:type="dxa"/>
          </w:tcPr>
          <w:p>
            <w:pPr>
              <w:pStyle w:val="TableParagraph"/>
              <w:spacing w:before="24"/>
              <w:ind w:left="640" w:right="633"/>
              <w:rPr>
                <w:rFonts w:ascii="Times New Roman"/>
                <w:sz w:val="21"/>
              </w:rPr>
            </w:pPr>
            <w:r>
              <w:rPr>
                <w:rFonts w:ascii="Times New Roman"/>
                <w:sz w:val="21"/>
              </w:rPr>
              <w:t>5.4</w:t>
            </w:r>
          </w:p>
        </w:tc>
      </w:tr>
      <w:tr>
        <w:trPr>
          <w:trHeight w:val="292" w:hRule="atLeast"/>
        </w:trPr>
        <w:tc>
          <w:tcPr>
            <w:tcW w:w="1102" w:type="dxa"/>
            <w:vMerge/>
            <w:tcBorders>
              <w:top w:val="nil"/>
              <w:right w:val="single" w:sz="2" w:space="0" w:color="000000"/>
            </w:tcBorders>
          </w:tcPr>
          <w:p>
            <w:pPr>
              <w:rPr>
                <w:sz w:val="2"/>
                <w:szCs w:val="2"/>
              </w:rPr>
            </w:pPr>
          </w:p>
        </w:tc>
        <w:tc>
          <w:tcPr>
            <w:tcW w:w="2269" w:type="dxa"/>
            <w:tcBorders>
              <w:left w:val="single" w:sz="2" w:space="0" w:color="000000"/>
            </w:tcBorders>
          </w:tcPr>
          <w:p>
            <w:pPr>
              <w:pStyle w:val="TableParagraph"/>
              <w:spacing w:line="262" w:lineRule="exact" w:before="10"/>
              <w:ind w:left="291" w:right="281"/>
              <w:rPr>
                <w:rFonts w:ascii="Times New Roman" w:eastAsia="Times New Roman"/>
                <w:sz w:val="21"/>
              </w:rPr>
            </w:pPr>
            <w:r>
              <w:rPr>
                <w:sz w:val="21"/>
              </w:rPr>
              <w:t>排放速率</w:t>
            </w:r>
            <w:r>
              <w:rPr>
                <w:rFonts w:ascii="Times New Roman" w:eastAsia="Times New Roman"/>
                <w:sz w:val="21"/>
              </w:rPr>
              <w:t>(kg/h)</w:t>
            </w:r>
          </w:p>
        </w:tc>
        <w:tc>
          <w:tcPr>
            <w:tcW w:w="3543" w:type="dxa"/>
          </w:tcPr>
          <w:p>
            <w:pPr>
              <w:pStyle w:val="TableParagraph"/>
              <w:spacing w:line="262" w:lineRule="exact" w:before="10"/>
              <w:ind w:left="882" w:right="870"/>
              <w:rPr>
                <w:rFonts w:ascii="Times New Roman" w:hAnsi="Times New Roman" w:eastAsia="Times New Roman"/>
                <w:sz w:val="21"/>
              </w:rPr>
            </w:pPr>
            <w:r>
              <w:rPr>
                <w:sz w:val="21"/>
              </w:rPr>
              <w:t>＜</w:t>
            </w:r>
            <w:r>
              <w:rPr>
                <w:rFonts w:ascii="Times New Roman" w:hAnsi="Times New Roman" w:eastAsia="Times New Roman"/>
                <w:sz w:val="21"/>
              </w:rPr>
              <w:t>3×10 </w:t>
            </w:r>
            <w:r>
              <w:rPr>
                <w:rFonts w:ascii="Times New Roman" w:hAnsi="Times New Roman" w:eastAsia="Times New Roman"/>
                <w:position w:val="7"/>
                <w:sz w:val="14"/>
              </w:rPr>
              <w:t>-3</w:t>
            </w:r>
            <w:r>
              <w:rPr>
                <w:rFonts w:ascii="Times New Roman" w:hAnsi="Times New Roman" w:eastAsia="Times New Roman"/>
                <w:sz w:val="21"/>
              </w:rPr>
              <w:t>~0.051</w:t>
            </w:r>
          </w:p>
        </w:tc>
        <w:tc>
          <w:tcPr>
            <w:tcW w:w="2377" w:type="dxa"/>
          </w:tcPr>
          <w:p>
            <w:pPr>
              <w:pStyle w:val="TableParagraph"/>
              <w:spacing w:before="24"/>
              <w:ind w:left="639" w:right="633"/>
              <w:rPr>
                <w:rFonts w:ascii="Times New Roman"/>
                <w:sz w:val="21"/>
              </w:rPr>
            </w:pPr>
            <w:r>
              <w:rPr>
                <w:rFonts w:ascii="Times New Roman"/>
                <w:sz w:val="21"/>
              </w:rPr>
              <w:t>0.051</w:t>
            </w:r>
          </w:p>
        </w:tc>
      </w:tr>
    </w:tbl>
    <w:p>
      <w:pPr>
        <w:pStyle w:val="BodyText"/>
        <w:spacing w:line="362" w:lineRule="auto" w:before="2"/>
        <w:ind w:left="218" w:right="332" w:firstLine="480"/>
        <w:jc w:val="both"/>
      </w:pPr>
      <w:r>
        <w:rPr>
          <w:spacing w:val="-5"/>
        </w:rPr>
        <w:t>监测期间工况为达产时的 </w:t>
      </w:r>
      <w:r>
        <w:rPr>
          <w:rFonts w:ascii="Times New Roman" w:eastAsia="Times New Roman"/>
          <w:spacing w:val="-3"/>
        </w:rPr>
        <w:t>85%~90%</w:t>
      </w:r>
      <w:r>
        <w:rPr>
          <w:spacing w:val="-8"/>
        </w:rPr>
        <w:t>，结合监测数据中的最大值，推算 </w:t>
      </w:r>
      <w:r>
        <w:rPr>
          <w:rFonts w:ascii="Times New Roman" w:eastAsia="Times New Roman"/>
        </w:rPr>
        <w:t>2021 </w:t>
      </w:r>
      <w:r>
        <w:rPr>
          <w:spacing w:val="-5"/>
        </w:rPr>
        <w:t>年上述</w:t>
      </w:r>
      <w:r>
        <w:rPr/>
        <w:t>废气排放情况如下表所示。</w:t>
      </w:r>
    </w:p>
    <w:p>
      <w:pPr>
        <w:pStyle w:val="Heading4"/>
        <w:tabs>
          <w:tab w:pos="1221" w:val="left" w:leader="none"/>
        </w:tabs>
        <w:spacing w:before="147" w:after="28"/>
        <w:ind w:left="0" w:right="115"/>
        <w:jc w:val="center"/>
      </w:pPr>
      <w:r>
        <w:rPr/>
        <w:t>表</w:t>
      </w:r>
      <w:r>
        <w:rPr>
          <w:spacing w:val="-60"/>
        </w:rPr>
        <w:t> </w:t>
      </w:r>
      <w:r>
        <w:rPr>
          <w:rFonts w:ascii="Times New Roman" w:eastAsia="Times New Roman"/>
        </w:rPr>
        <w:t>3.7.1-2</w:t>
        <w:tab/>
        <w:t>2021 </w:t>
      </w:r>
      <w:r>
        <w:rPr/>
        <w:t>年废</w:t>
      </w:r>
      <w:r>
        <w:rPr>
          <w:spacing w:val="3"/>
        </w:rPr>
        <w:t>气</w:t>
      </w:r>
      <w:r>
        <w:rPr/>
        <w:t>排放情况</w:t>
      </w:r>
    </w:p>
    <w:tbl>
      <w:tblPr>
        <w:tblW w:w="0" w:type="auto"/>
        <w:jc w:val="left"/>
        <w:tblInd w:w="2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8"/>
        <w:gridCol w:w="1823"/>
        <w:gridCol w:w="1710"/>
        <w:gridCol w:w="1514"/>
        <w:gridCol w:w="1514"/>
        <w:gridCol w:w="1510"/>
      </w:tblGrid>
      <w:tr>
        <w:trPr>
          <w:trHeight w:val="282" w:hRule="atLeast"/>
        </w:trPr>
        <w:tc>
          <w:tcPr>
            <w:tcW w:w="1018" w:type="dxa"/>
            <w:vMerge w:val="restart"/>
            <w:tcBorders>
              <w:bottom w:val="single" w:sz="4" w:space="0" w:color="000000"/>
              <w:right w:val="single" w:sz="4" w:space="0" w:color="000000"/>
            </w:tcBorders>
          </w:tcPr>
          <w:p>
            <w:pPr>
              <w:pStyle w:val="TableParagraph"/>
              <w:spacing w:before="6"/>
              <w:jc w:val="left"/>
              <w:rPr>
                <w:b/>
                <w:sz w:val="23"/>
              </w:rPr>
            </w:pPr>
          </w:p>
          <w:p>
            <w:pPr>
              <w:pStyle w:val="TableParagraph"/>
              <w:spacing w:before="1"/>
              <w:ind w:left="297"/>
              <w:jc w:val="left"/>
              <w:rPr>
                <w:b/>
                <w:sz w:val="21"/>
              </w:rPr>
            </w:pPr>
            <w:r>
              <w:rPr>
                <w:b/>
                <w:sz w:val="21"/>
              </w:rPr>
              <w:t>废气</w:t>
            </w:r>
          </w:p>
        </w:tc>
        <w:tc>
          <w:tcPr>
            <w:tcW w:w="6561" w:type="dxa"/>
            <w:gridSpan w:val="4"/>
            <w:tcBorders>
              <w:top w:val="single" w:sz="4" w:space="0" w:color="000000"/>
              <w:left w:val="single" w:sz="4" w:space="0" w:color="000000"/>
              <w:bottom w:val="single" w:sz="4" w:space="0" w:color="000000"/>
              <w:right w:val="single" w:sz="4" w:space="0" w:color="000000"/>
            </w:tcBorders>
          </w:tcPr>
          <w:p>
            <w:pPr>
              <w:pStyle w:val="TableParagraph"/>
              <w:spacing w:line="257" w:lineRule="exact" w:before="6"/>
              <w:ind w:left="2282" w:right="2279"/>
              <w:rPr>
                <w:b/>
                <w:sz w:val="21"/>
              </w:rPr>
            </w:pPr>
            <w:r>
              <w:rPr>
                <w:rFonts w:ascii="Times New Roman" w:eastAsia="Times New Roman"/>
                <w:b/>
                <w:sz w:val="21"/>
              </w:rPr>
              <w:t>2021 </w:t>
            </w:r>
            <w:r>
              <w:rPr>
                <w:b/>
                <w:sz w:val="21"/>
              </w:rPr>
              <w:t>年实际排放情况</w:t>
            </w:r>
          </w:p>
        </w:tc>
        <w:tc>
          <w:tcPr>
            <w:tcW w:w="151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3"/>
              <w:ind w:left="113"/>
              <w:jc w:val="left"/>
              <w:rPr>
                <w:b/>
                <w:sz w:val="21"/>
              </w:rPr>
            </w:pPr>
            <w:r>
              <w:rPr>
                <w:b/>
                <w:sz w:val="21"/>
              </w:rPr>
              <w:t>审批时排放量</w:t>
            </w:r>
          </w:p>
        </w:tc>
      </w:tr>
      <w:tr>
        <w:trPr>
          <w:trHeight w:val="285" w:hRule="atLeast"/>
        </w:trPr>
        <w:tc>
          <w:tcPr>
            <w:tcW w:w="1018" w:type="dxa"/>
            <w:vMerge/>
            <w:tcBorders>
              <w:top w:val="nil"/>
              <w:bottom w:val="single" w:sz="4" w:space="0" w:color="000000"/>
              <w:right w:val="single" w:sz="4" w:space="0" w:color="000000"/>
            </w:tcBorders>
          </w:tcPr>
          <w:p>
            <w:pPr>
              <w:rPr>
                <w:sz w:val="2"/>
                <w:szCs w:val="2"/>
              </w:rPr>
            </w:pPr>
          </w:p>
        </w:tc>
        <w:tc>
          <w:tcPr>
            <w:tcW w:w="3533" w:type="dxa"/>
            <w:gridSpan w:val="2"/>
            <w:tcBorders>
              <w:top w:val="single" w:sz="4" w:space="0" w:color="000000"/>
              <w:left w:val="single" w:sz="4" w:space="0" w:color="000000"/>
              <w:bottom w:val="single" w:sz="4" w:space="0" w:color="000000"/>
              <w:right w:val="single" w:sz="4" w:space="0" w:color="000000"/>
            </w:tcBorders>
          </w:tcPr>
          <w:p>
            <w:pPr>
              <w:pStyle w:val="TableParagraph"/>
              <w:spacing w:line="257" w:lineRule="exact" w:before="8"/>
              <w:ind w:left="1026"/>
              <w:jc w:val="left"/>
              <w:rPr>
                <w:b/>
                <w:sz w:val="21"/>
              </w:rPr>
            </w:pPr>
            <w:r>
              <w:rPr>
                <w:b/>
                <w:sz w:val="21"/>
              </w:rPr>
              <w:t>有组织排放情况</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line="257" w:lineRule="exact" w:before="8"/>
              <w:rPr>
                <w:b/>
                <w:sz w:val="21"/>
              </w:rPr>
            </w:pPr>
            <w:r>
              <w:rPr>
                <w:b/>
                <w:sz w:val="21"/>
              </w:rPr>
              <w:t>无组织排放情况</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line="257" w:lineRule="exact" w:before="8"/>
              <w:ind w:right="3"/>
              <w:rPr>
                <w:b/>
                <w:sz w:val="21"/>
              </w:rPr>
            </w:pPr>
            <w:r>
              <w:rPr>
                <w:b/>
                <w:sz w:val="21"/>
              </w:rPr>
              <w:t>小计</w:t>
            </w:r>
          </w:p>
        </w:tc>
        <w:tc>
          <w:tcPr>
            <w:tcW w:w="1510" w:type="dxa"/>
            <w:vMerge/>
            <w:tcBorders>
              <w:top w:val="nil"/>
              <w:left w:val="single" w:sz="4" w:space="0" w:color="000000"/>
              <w:bottom w:val="single" w:sz="4" w:space="0" w:color="000000"/>
              <w:right w:val="single" w:sz="4" w:space="0" w:color="000000"/>
            </w:tcBorders>
          </w:tcPr>
          <w:p>
            <w:pPr>
              <w:rPr>
                <w:sz w:val="2"/>
                <w:szCs w:val="2"/>
              </w:rPr>
            </w:pPr>
          </w:p>
        </w:tc>
      </w:tr>
      <w:tr>
        <w:trPr>
          <w:trHeight w:val="282" w:hRule="atLeast"/>
        </w:trPr>
        <w:tc>
          <w:tcPr>
            <w:tcW w:w="1018" w:type="dxa"/>
            <w:vMerge/>
            <w:tcBorders>
              <w:top w:val="nil"/>
              <w:bottom w:val="single" w:sz="4" w:space="0" w:color="000000"/>
              <w:right w:val="single" w:sz="4" w:space="0" w:color="000000"/>
            </w:tcBorders>
          </w:tcPr>
          <w:p>
            <w:pPr>
              <w:rPr>
                <w:sz w:val="2"/>
                <w:szCs w:val="2"/>
              </w:rPr>
            </w:pPr>
          </w:p>
        </w:tc>
        <w:tc>
          <w:tcPr>
            <w:tcW w:w="1823" w:type="dxa"/>
            <w:tcBorders>
              <w:top w:val="single" w:sz="4" w:space="0" w:color="000000"/>
              <w:left w:val="single" w:sz="4" w:space="0" w:color="000000"/>
              <w:bottom w:val="single" w:sz="4" w:space="0" w:color="000000"/>
              <w:right w:val="single" w:sz="4" w:space="0" w:color="000000"/>
            </w:tcBorders>
          </w:tcPr>
          <w:p>
            <w:pPr>
              <w:pStyle w:val="TableParagraph"/>
              <w:spacing w:before="19"/>
              <w:ind w:left="457" w:right="448"/>
              <w:rPr>
                <w:rFonts w:ascii="Times New Roman"/>
                <w:b/>
                <w:sz w:val="21"/>
              </w:rPr>
            </w:pPr>
            <w:r>
              <w:rPr>
                <w:rFonts w:ascii="Times New Roman"/>
                <w:b/>
                <w:sz w:val="21"/>
              </w:rPr>
              <w:t>kg/h</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19"/>
              <w:ind w:left="591" w:right="588"/>
              <w:rPr>
                <w:rFonts w:ascii="Times New Roman"/>
                <w:b/>
                <w:sz w:val="21"/>
              </w:rPr>
            </w:pPr>
            <w:r>
              <w:rPr>
                <w:rFonts w:ascii="Times New Roman"/>
                <w:b/>
                <w:sz w:val="21"/>
              </w:rPr>
              <w:t>t/a</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19"/>
              <w:ind w:right="2"/>
              <w:rPr>
                <w:rFonts w:ascii="Times New Roman"/>
                <w:b/>
                <w:sz w:val="21"/>
              </w:rPr>
            </w:pPr>
            <w:r>
              <w:rPr>
                <w:rFonts w:ascii="Times New Roman"/>
                <w:b/>
                <w:sz w:val="21"/>
              </w:rPr>
              <w:t>t/a</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19"/>
              <w:ind w:right="2"/>
              <w:rPr>
                <w:rFonts w:ascii="Times New Roman"/>
                <w:b/>
                <w:sz w:val="21"/>
              </w:rPr>
            </w:pPr>
            <w:r>
              <w:rPr>
                <w:rFonts w:ascii="Times New Roman"/>
                <w:b/>
                <w:sz w:val="21"/>
              </w:rPr>
              <w:t>t/a</w:t>
            </w:r>
          </w:p>
        </w:tc>
        <w:tc>
          <w:tcPr>
            <w:tcW w:w="1510" w:type="dxa"/>
            <w:tcBorders>
              <w:top w:val="single" w:sz="4" w:space="0" w:color="000000"/>
              <w:left w:val="single" w:sz="4" w:space="0" w:color="000000"/>
              <w:bottom w:val="single" w:sz="4" w:space="0" w:color="000000"/>
              <w:right w:val="single" w:sz="4" w:space="0" w:color="000000"/>
            </w:tcBorders>
          </w:tcPr>
          <w:p>
            <w:pPr>
              <w:pStyle w:val="TableParagraph"/>
              <w:spacing w:before="19"/>
              <w:ind w:left="487" w:right="492"/>
              <w:rPr>
                <w:rFonts w:ascii="Times New Roman"/>
                <w:b/>
                <w:sz w:val="21"/>
              </w:rPr>
            </w:pPr>
            <w:r>
              <w:rPr>
                <w:rFonts w:ascii="Times New Roman"/>
                <w:b/>
                <w:sz w:val="21"/>
              </w:rPr>
              <w:t>t/a</w:t>
            </w:r>
          </w:p>
        </w:tc>
      </w:tr>
      <w:tr>
        <w:trPr>
          <w:trHeight w:val="285" w:hRule="atLeast"/>
        </w:trPr>
        <w:tc>
          <w:tcPr>
            <w:tcW w:w="1018" w:type="dxa"/>
            <w:tcBorders>
              <w:top w:val="single" w:sz="4" w:space="0" w:color="000000"/>
              <w:bottom w:val="single" w:sz="4" w:space="0" w:color="000000"/>
              <w:right w:val="single" w:sz="4" w:space="0" w:color="000000"/>
            </w:tcBorders>
          </w:tcPr>
          <w:p>
            <w:pPr>
              <w:pStyle w:val="TableParagraph"/>
              <w:spacing w:line="257" w:lineRule="exact" w:before="8"/>
              <w:ind w:left="69" w:right="60"/>
              <w:rPr>
                <w:sz w:val="21"/>
              </w:rPr>
            </w:pPr>
            <w:r>
              <w:rPr>
                <w:sz w:val="21"/>
              </w:rPr>
              <w:t>硝基苯类</w:t>
            </w:r>
          </w:p>
        </w:tc>
        <w:tc>
          <w:tcPr>
            <w:tcW w:w="1823" w:type="dxa"/>
            <w:tcBorders>
              <w:top w:val="single" w:sz="4" w:space="0" w:color="000000"/>
              <w:left w:val="single" w:sz="4" w:space="0" w:color="000000"/>
              <w:bottom w:val="single" w:sz="4" w:space="0" w:color="000000"/>
              <w:right w:val="single" w:sz="4" w:space="0" w:color="000000"/>
            </w:tcBorders>
          </w:tcPr>
          <w:p>
            <w:pPr>
              <w:pStyle w:val="TableParagraph"/>
              <w:spacing w:before="22"/>
              <w:ind w:left="457" w:right="448"/>
              <w:rPr>
                <w:rFonts w:ascii="Times New Roman"/>
                <w:sz w:val="21"/>
              </w:rPr>
            </w:pPr>
            <w:r>
              <w:rPr>
                <w:rFonts w:ascii="Times New Roman"/>
                <w:sz w:val="21"/>
              </w:rPr>
              <w:t>0.053</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22"/>
              <w:ind w:left="593" w:right="588"/>
              <w:rPr>
                <w:rFonts w:ascii="Times New Roman"/>
                <w:sz w:val="21"/>
              </w:rPr>
            </w:pPr>
            <w:r>
              <w:rPr>
                <w:rFonts w:ascii="Times New Roman"/>
                <w:sz w:val="21"/>
              </w:rPr>
              <w:t>0.382</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22"/>
              <w:rPr>
                <w:rFonts w:ascii="Times New Roman"/>
                <w:sz w:val="21"/>
              </w:rPr>
            </w:pPr>
            <w:r>
              <w:rPr>
                <w:rFonts w:ascii="Times New Roman"/>
                <w:w w:val="100"/>
                <w:sz w:val="21"/>
              </w:rPr>
              <w:t>/</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22"/>
              <w:rPr>
                <w:rFonts w:ascii="Times New Roman"/>
                <w:sz w:val="21"/>
              </w:rPr>
            </w:pPr>
            <w:r>
              <w:rPr>
                <w:rFonts w:ascii="Times New Roman"/>
                <w:sz w:val="21"/>
              </w:rPr>
              <w:t>0.382</w:t>
            </w:r>
          </w:p>
        </w:tc>
        <w:tc>
          <w:tcPr>
            <w:tcW w:w="1510" w:type="dxa"/>
            <w:tcBorders>
              <w:top w:val="single" w:sz="4" w:space="0" w:color="000000"/>
              <w:left w:val="single" w:sz="4" w:space="0" w:color="000000"/>
              <w:bottom w:val="single" w:sz="4" w:space="0" w:color="000000"/>
              <w:right w:val="single" w:sz="4" w:space="0" w:color="000000"/>
            </w:tcBorders>
          </w:tcPr>
          <w:p>
            <w:pPr>
              <w:pStyle w:val="TableParagraph"/>
              <w:spacing w:before="22"/>
              <w:ind w:left="490" w:right="492"/>
              <w:rPr>
                <w:rFonts w:ascii="Times New Roman"/>
                <w:sz w:val="21"/>
              </w:rPr>
            </w:pPr>
            <w:r>
              <w:rPr>
                <w:rFonts w:ascii="Times New Roman"/>
                <w:sz w:val="21"/>
              </w:rPr>
              <w:t>0.546</w:t>
            </w:r>
          </w:p>
        </w:tc>
      </w:tr>
      <w:tr>
        <w:trPr>
          <w:trHeight w:val="282" w:hRule="atLeast"/>
        </w:trPr>
        <w:tc>
          <w:tcPr>
            <w:tcW w:w="1018" w:type="dxa"/>
            <w:tcBorders>
              <w:top w:val="single" w:sz="4" w:space="0" w:color="000000"/>
              <w:left w:val="single" w:sz="4" w:space="0" w:color="000000"/>
              <w:bottom w:val="single" w:sz="4" w:space="0" w:color="000000"/>
              <w:right w:val="single" w:sz="4" w:space="0" w:color="000000"/>
            </w:tcBorders>
          </w:tcPr>
          <w:p>
            <w:pPr>
              <w:pStyle w:val="TableParagraph"/>
              <w:spacing w:line="257" w:lineRule="exact" w:before="5"/>
              <w:ind w:left="147" w:right="138"/>
              <w:rPr>
                <w:sz w:val="21"/>
              </w:rPr>
            </w:pPr>
            <w:r>
              <w:rPr>
                <w:sz w:val="21"/>
              </w:rPr>
              <w:t>二甲苯</w:t>
            </w:r>
          </w:p>
        </w:tc>
        <w:tc>
          <w:tcPr>
            <w:tcW w:w="1823" w:type="dxa"/>
            <w:tcBorders>
              <w:top w:val="single" w:sz="4" w:space="0" w:color="000000"/>
              <w:left w:val="single" w:sz="4" w:space="0" w:color="000000"/>
              <w:bottom w:val="single" w:sz="4" w:space="0" w:color="000000"/>
              <w:right w:val="single" w:sz="4" w:space="0" w:color="000000"/>
            </w:tcBorders>
          </w:tcPr>
          <w:p>
            <w:pPr>
              <w:pStyle w:val="TableParagraph"/>
              <w:spacing w:before="15"/>
              <w:ind w:left="457" w:right="450"/>
              <w:rPr>
                <w:rFonts w:ascii="Times New Roman" w:hAnsi="Times New Roman"/>
                <w:sz w:val="14"/>
              </w:rPr>
            </w:pPr>
            <w:r>
              <w:rPr>
                <w:rFonts w:ascii="Times New Roman" w:hAnsi="Times New Roman"/>
                <w:sz w:val="21"/>
              </w:rPr>
              <w:t>1.34×1 0</w:t>
            </w:r>
            <w:r>
              <w:rPr>
                <w:rFonts w:ascii="Times New Roman" w:hAnsi="Times New Roman"/>
                <w:position w:val="7"/>
                <w:sz w:val="14"/>
              </w:rPr>
              <w:t>-3</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19"/>
              <w:ind w:left="593" w:right="588"/>
              <w:rPr>
                <w:rFonts w:ascii="Times New Roman"/>
                <w:sz w:val="21"/>
              </w:rPr>
            </w:pPr>
            <w:r>
              <w:rPr>
                <w:rFonts w:ascii="Times New Roman"/>
                <w:sz w:val="21"/>
              </w:rPr>
              <w:t>0.010</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19"/>
              <w:ind w:right="1"/>
              <w:rPr>
                <w:rFonts w:ascii="Times New Roman"/>
                <w:sz w:val="21"/>
              </w:rPr>
            </w:pPr>
            <w:r>
              <w:rPr>
                <w:rFonts w:ascii="Times New Roman"/>
                <w:sz w:val="21"/>
              </w:rPr>
              <w:t>2.85</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19"/>
              <w:rPr>
                <w:rFonts w:ascii="Times New Roman"/>
                <w:sz w:val="21"/>
              </w:rPr>
            </w:pPr>
            <w:r>
              <w:rPr>
                <w:rFonts w:ascii="Times New Roman"/>
                <w:sz w:val="21"/>
              </w:rPr>
              <w:t>2.86</w:t>
            </w:r>
          </w:p>
        </w:tc>
        <w:tc>
          <w:tcPr>
            <w:tcW w:w="1510" w:type="dxa"/>
            <w:tcBorders>
              <w:top w:val="single" w:sz="4" w:space="0" w:color="000000"/>
              <w:left w:val="single" w:sz="4" w:space="0" w:color="000000"/>
              <w:bottom w:val="single" w:sz="4" w:space="0" w:color="000000"/>
              <w:right w:val="single" w:sz="4" w:space="0" w:color="000000"/>
            </w:tcBorders>
          </w:tcPr>
          <w:p>
            <w:pPr>
              <w:pStyle w:val="TableParagraph"/>
              <w:spacing w:before="19"/>
              <w:ind w:left="490" w:right="492"/>
              <w:rPr>
                <w:rFonts w:ascii="Times New Roman"/>
                <w:sz w:val="21"/>
              </w:rPr>
            </w:pPr>
            <w:r>
              <w:rPr>
                <w:rFonts w:ascii="Times New Roman"/>
                <w:sz w:val="21"/>
              </w:rPr>
              <w:t>3.324</w:t>
            </w:r>
          </w:p>
        </w:tc>
      </w:tr>
      <w:tr>
        <w:trPr>
          <w:trHeight w:val="285" w:hRule="atLeast"/>
        </w:trPr>
        <w:tc>
          <w:tcPr>
            <w:tcW w:w="1018" w:type="dxa"/>
            <w:tcBorders>
              <w:top w:val="single" w:sz="4" w:space="0" w:color="000000"/>
              <w:left w:val="single" w:sz="4" w:space="0" w:color="000000"/>
              <w:bottom w:val="single" w:sz="4" w:space="0" w:color="000000"/>
              <w:right w:val="single" w:sz="4" w:space="0" w:color="000000"/>
            </w:tcBorders>
          </w:tcPr>
          <w:p>
            <w:pPr>
              <w:pStyle w:val="TableParagraph"/>
              <w:spacing w:line="257" w:lineRule="exact" w:before="8"/>
              <w:ind w:left="147" w:right="138"/>
              <w:rPr>
                <w:sz w:val="21"/>
              </w:rPr>
            </w:pPr>
            <w:r>
              <w:rPr>
                <w:sz w:val="21"/>
              </w:rPr>
              <w:t>硫酸雾</w:t>
            </w:r>
          </w:p>
        </w:tc>
        <w:tc>
          <w:tcPr>
            <w:tcW w:w="1823" w:type="dxa"/>
            <w:tcBorders>
              <w:top w:val="single" w:sz="4" w:space="0" w:color="000000"/>
              <w:left w:val="single" w:sz="4" w:space="0" w:color="000000"/>
              <w:bottom w:val="single" w:sz="4" w:space="0" w:color="000000"/>
              <w:right w:val="single" w:sz="4" w:space="0" w:color="000000"/>
            </w:tcBorders>
          </w:tcPr>
          <w:p>
            <w:pPr>
              <w:pStyle w:val="TableParagraph"/>
              <w:spacing w:before="22"/>
              <w:ind w:left="457" w:right="448"/>
              <w:rPr>
                <w:rFonts w:ascii="Times New Roman"/>
                <w:sz w:val="21"/>
              </w:rPr>
            </w:pPr>
            <w:r>
              <w:rPr>
                <w:rFonts w:ascii="Times New Roman"/>
                <w:sz w:val="21"/>
              </w:rPr>
              <w:t>0.06</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22"/>
              <w:ind w:left="593" w:right="588"/>
              <w:rPr>
                <w:rFonts w:ascii="Times New Roman"/>
                <w:sz w:val="21"/>
              </w:rPr>
            </w:pPr>
            <w:r>
              <w:rPr>
                <w:rFonts w:ascii="Times New Roman"/>
                <w:sz w:val="21"/>
              </w:rPr>
              <w:t>0.432</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22"/>
              <w:rPr>
                <w:rFonts w:ascii="Times New Roman"/>
                <w:sz w:val="21"/>
              </w:rPr>
            </w:pPr>
            <w:r>
              <w:rPr>
                <w:rFonts w:ascii="Times New Roman"/>
                <w:w w:val="100"/>
                <w:sz w:val="21"/>
              </w:rPr>
              <w:t>/</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22"/>
              <w:rPr>
                <w:rFonts w:ascii="Times New Roman"/>
                <w:sz w:val="21"/>
              </w:rPr>
            </w:pPr>
            <w:r>
              <w:rPr>
                <w:rFonts w:ascii="Times New Roman"/>
                <w:sz w:val="21"/>
              </w:rPr>
              <w:t>0.432</w:t>
            </w:r>
          </w:p>
        </w:tc>
        <w:tc>
          <w:tcPr>
            <w:tcW w:w="1510" w:type="dxa"/>
            <w:tcBorders>
              <w:top w:val="single" w:sz="4" w:space="0" w:color="000000"/>
              <w:left w:val="single" w:sz="4" w:space="0" w:color="000000"/>
              <w:bottom w:val="single" w:sz="4" w:space="0" w:color="000000"/>
              <w:right w:val="single" w:sz="4" w:space="0" w:color="000000"/>
            </w:tcBorders>
          </w:tcPr>
          <w:p>
            <w:pPr>
              <w:pStyle w:val="TableParagraph"/>
              <w:spacing w:before="22"/>
              <w:ind w:left="488" w:right="492"/>
              <w:rPr>
                <w:rFonts w:ascii="Times New Roman"/>
                <w:sz w:val="21"/>
              </w:rPr>
            </w:pPr>
            <w:r>
              <w:rPr>
                <w:rFonts w:ascii="Times New Roman"/>
                <w:sz w:val="21"/>
              </w:rPr>
              <w:t>0.811</w:t>
            </w:r>
          </w:p>
        </w:tc>
      </w:tr>
      <w:tr>
        <w:trPr>
          <w:trHeight w:val="282" w:hRule="atLeast"/>
        </w:trPr>
        <w:tc>
          <w:tcPr>
            <w:tcW w:w="1018" w:type="dxa"/>
            <w:tcBorders>
              <w:top w:val="single" w:sz="4" w:space="0" w:color="000000"/>
              <w:left w:val="single" w:sz="4" w:space="0" w:color="000000"/>
              <w:bottom w:val="single" w:sz="4" w:space="0" w:color="000000"/>
              <w:right w:val="single" w:sz="4" w:space="0" w:color="000000"/>
            </w:tcBorders>
          </w:tcPr>
          <w:p>
            <w:pPr>
              <w:pStyle w:val="TableParagraph"/>
              <w:spacing w:line="257" w:lineRule="exact" w:before="6"/>
              <w:ind w:left="67" w:right="61"/>
              <w:rPr>
                <w:sz w:val="21"/>
              </w:rPr>
            </w:pPr>
            <w:r>
              <w:rPr>
                <w:sz w:val="21"/>
              </w:rPr>
              <w:t>氮氧化物</w:t>
            </w:r>
          </w:p>
        </w:tc>
        <w:tc>
          <w:tcPr>
            <w:tcW w:w="1823" w:type="dxa"/>
            <w:tcBorders>
              <w:top w:val="single" w:sz="4" w:space="0" w:color="000000"/>
              <w:left w:val="single" w:sz="4" w:space="0" w:color="000000"/>
              <w:bottom w:val="single" w:sz="4" w:space="0" w:color="000000"/>
              <w:right w:val="single" w:sz="4" w:space="0" w:color="000000"/>
            </w:tcBorders>
          </w:tcPr>
          <w:p>
            <w:pPr>
              <w:pStyle w:val="TableParagraph"/>
              <w:spacing w:before="19"/>
              <w:ind w:left="5"/>
              <w:rPr>
                <w:rFonts w:ascii="Times New Roman"/>
                <w:sz w:val="21"/>
              </w:rPr>
            </w:pPr>
            <w:r>
              <w:rPr>
                <w:rFonts w:ascii="Times New Roman"/>
                <w:w w:val="100"/>
                <w:sz w:val="21"/>
              </w:rPr>
              <w:t>/</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line="261" w:lineRule="exact"/>
              <w:ind w:left="593" w:right="588"/>
              <w:rPr>
                <w:sz w:val="11"/>
              </w:rPr>
            </w:pPr>
            <w:r>
              <w:rPr>
                <w:rFonts w:ascii="Times New Roman" w:hAnsi="Times New Roman"/>
                <w:sz w:val="21"/>
              </w:rPr>
              <w:t>5.76</w:t>
            </w:r>
            <w:r>
              <w:rPr>
                <w:position w:val="11"/>
                <w:sz w:val="11"/>
              </w:rPr>
              <w:t>①</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19"/>
              <w:rPr>
                <w:rFonts w:ascii="Times New Roman"/>
                <w:sz w:val="21"/>
              </w:rPr>
            </w:pPr>
            <w:r>
              <w:rPr>
                <w:rFonts w:ascii="Times New Roman"/>
                <w:w w:val="100"/>
                <w:sz w:val="21"/>
              </w:rPr>
              <w:t>/</w:t>
            </w:r>
          </w:p>
        </w:tc>
        <w:tc>
          <w:tcPr>
            <w:tcW w:w="1514" w:type="dxa"/>
            <w:tcBorders>
              <w:top w:val="single" w:sz="4" w:space="0" w:color="000000"/>
              <w:left w:val="single" w:sz="4" w:space="0" w:color="000000"/>
              <w:bottom w:val="single" w:sz="4" w:space="0" w:color="000000"/>
              <w:right w:val="single" w:sz="4" w:space="0" w:color="000000"/>
            </w:tcBorders>
          </w:tcPr>
          <w:p>
            <w:pPr>
              <w:pStyle w:val="TableParagraph"/>
              <w:spacing w:before="19"/>
              <w:rPr>
                <w:rFonts w:ascii="Times New Roman"/>
                <w:sz w:val="21"/>
              </w:rPr>
            </w:pPr>
            <w:r>
              <w:rPr>
                <w:rFonts w:ascii="Times New Roman"/>
                <w:sz w:val="21"/>
              </w:rPr>
              <w:t>5.76</w:t>
            </w:r>
          </w:p>
        </w:tc>
        <w:tc>
          <w:tcPr>
            <w:tcW w:w="1510" w:type="dxa"/>
            <w:tcBorders>
              <w:top w:val="single" w:sz="4" w:space="0" w:color="000000"/>
              <w:left w:val="single" w:sz="4" w:space="0" w:color="000000"/>
              <w:bottom w:val="single" w:sz="4" w:space="0" w:color="000000"/>
              <w:right w:val="single" w:sz="4" w:space="0" w:color="000000"/>
            </w:tcBorders>
          </w:tcPr>
          <w:p>
            <w:pPr>
              <w:pStyle w:val="TableParagraph"/>
              <w:spacing w:before="19"/>
              <w:ind w:left="490" w:right="492"/>
              <w:rPr>
                <w:rFonts w:ascii="Times New Roman"/>
                <w:sz w:val="21"/>
              </w:rPr>
            </w:pPr>
            <w:r>
              <w:rPr>
                <w:rFonts w:ascii="Times New Roman"/>
                <w:sz w:val="21"/>
              </w:rPr>
              <w:t>7.437</w:t>
            </w:r>
          </w:p>
        </w:tc>
      </w:tr>
    </w:tbl>
    <w:p>
      <w:pPr>
        <w:spacing w:before="1"/>
        <w:ind w:left="218" w:right="0" w:firstLine="0"/>
        <w:jc w:val="left"/>
        <w:rPr>
          <w:b/>
          <w:sz w:val="21"/>
        </w:rPr>
      </w:pPr>
      <w:r>
        <w:rPr>
          <w:b/>
          <w:sz w:val="21"/>
        </w:rPr>
        <w:t>注：①来源于排污许可证执行报告（</w:t>
      </w:r>
      <w:r>
        <w:rPr>
          <w:rFonts w:ascii="Times New Roman" w:hAnsi="Times New Roman" w:eastAsia="Times New Roman"/>
          <w:b/>
          <w:sz w:val="21"/>
        </w:rPr>
        <w:t>2021 </w:t>
      </w:r>
      <w:r>
        <w:rPr>
          <w:b/>
          <w:sz w:val="21"/>
        </w:rPr>
        <w:t>年度）</w:t>
      </w:r>
    </w:p>
    <w:p>
      <w:pPr>
        <w:pStyle w:val="BodyText"/>
        <w:spacing w:line="364" w:lineRule="auto" w:before="140"/>
        <w:ind w:left="218" w:right="334" w:firstLine="480"/>
        <w:jc w:val="both"/>
      </w:pPr>
      <w:r>
        <w:rPr/>
        <w:t>废气硝基苯类、二甲苯、硫酸雾废气均为 </w:t>
      </w:r>
      <w:r>
        <w:rPr>
          <w:rFonts w:ascii="Times New Roman" w:eastAsia="Times New Roman"/>
        </w:rPr>
        <w:t>4-</w:t>
      </w:r>
      <w:r>
        <w:rPr/>
        <w:t>硝基邻二甲苯生产产生，均远远小于</w:t>
      </w:r>
      <w:r>
        <w:rPr>
          <w:rFonts w:ascii="Times New Roman" w:eastAsia="Times New Roman"/>
        </w:rPr>
        <w:t>4-</w:t>
      </w:r>
      <w:r>
        <w:rPr/>
        <w:t>硝基邻二甲苯产品审批时废气的排放量。</w:t>
      </w:r>
      <w:r>
        <w:rPr>
          <w:rFonts w:ascii="Times New Roman" w:eastAsia="Times New Roman"/>
        </w:rPr>
        <w:t>2021 </w:t>
      </w:r>
      <w:r>
        <w:rPr/>
        <w:t>年氮氧化物排放量为 </w:t>
      </w:r>
      <w:r>
        <w:rPr>
          <w:rFonts w:ascii="Times New Roman" w:eastAsia="Times New Roman"/>
        </w:rPr>
        <w:t>5.76 </w:t>
      </w:r>
      <w:r>
        <w:rPr/>
        <w:t>吨，小于原</w:t>
      </w:r>
    </w:p>
    <w:p>
      <w:pPr>
        <w:spacing w:after="0" w:line="364" w:lineRule="auto"/>
        <w:jc w:val="both"/>
        <w:sectPr>
          <w:pgSz w:w="11910" w:h="16850"/>
          <w:pgMar w:header="730" w:footer="690" w:top="1340" w:bottom="880" w:left="1200" w:right="1080"/>
        </w:sectPr>
      </w:pPr>
    </w:p>
    <w:p>
      <w:pPr>
        <w:pStyle w:val="BodyText"/>
        <w:spacing w:before="64"/>
        <w:ind w:left="218"/>
      </w:pPr>
      <w:r>
        <w:rPr/>
        <w:t>审批核定量。</w:t>
      </w:r>
    </w:p>
    <w:p>
      <w:pPr>
        <w:pStyle w:val="BodyText"/>
        <w:spacing w:before="158"/>
        <w:ind w:left="698"/>
      </w:pPr>
      <w:r>
        <w:rPr>
          <w:rFonts w:ascii="Times New Roman" w:eastAsia="Times New Roman"/>
        </w:rPr>
        <w:t>2</w:t>
      </w:r>
      <w:r>
        <w:rPr/>
        <w:t>、废水及固体废物</w:t>
      </w:r>
    </w:p>
    <w:p>
      <w:pPr>
        <w:pStyle w:val="BodyText"/>
        <w:spacing w:line="362" w:lineRule="auto" w:before="161"/>
        <w:ind w:left="218" w:right="332" w:firstLine="480"/>
      </w:pPr>
      <w:r>
        <w:rPr>
          <w:spacing w:val="-20"/>
        </w:rPr>
        <w:t>根据 </w:t>
      </w:r>
      <w:r>
        <w:rPr>
          <w:rFonts w:ascii="Times New Roman" w:eastAsia="Times New Roman"/>
        </w:rPr>
        <w:t>Pg71 </w:t>
      </w:r>
      <w:r>
        <w:rPr>
          <w:spacing w:val="-29"/>
        </w:rPr>
        <w:t>表 </w:t>
      </w:r>
      <w:r>
        <w:rPr>
          <w:rFonts w:ascii="Times New Roman" w:eastAsia="Times New Roman"/>
        </w:rPr>
        <w:t>3.5.1-2</w:t>
      </w:r>
      <w:r>
        <w:rPr>
          <w:spacing w:val="-6"/>
        </w:rPr>
        <w:t>，实际废水排放量及 </w:t>
      </w:r>
      <w:r>
        <w:rPr>
          <w:rFonts w:ascii="Times New Roman" w:eastAsia="Times New Roman"/>
        </w:rPr>
        <w:t>4-</w:t>
      </w:r>
      <w:r>
        <w:rPr>
          <w:spacing w:val="-1"/>
        </w:rPr>
        <w:t>硝基邻二甲苯涉及的危废脱焦残液，均</w:t>
      </w:r>
      <w:r>
        <w:rPr/>
        <w:t>核定在审批范围内。</w:t>
      </w:r>
    </w:p>
    <w:p>
      <w:pPr>
        <w:pStyle w:val="Heading4"/>
        <w:numPr>
          <w:ilvl w:val="2"/>
          <w:numId w:val="13"/>
        </w:numPr>
        <w:tabs>
          <w:tab w:pos="759" w:val="left" w:leader="none"/>
        </w:tabs>
        <w:spacing w:line="240" w:lineRule="auto" w:before="5" w:after="0"/>
        <w:ind w:left="758" w:right="0" w:hanging="541"/>
        <w:jc w:val="left"/>
      </w:pPr>
      <w:r>
        <w:rPr/>
        <w:t>现有企业重大变动清单分析</w:t>
      </w:r>
    </w:p>
    <w:p>
      <w:pPr>
        <w:pStyle w:val="BodyText"/>
        <w:spacing w:line="364" w:lineRule="auto" w:before="158"/>
        <w:ind w:left="218" w:right="335" w:firstLine="480"/>
        <w:jc w:val="both"/>
      </w:pPr>
      <w:r>
        <w:rPr>
          <w:spacing w:val="-4"/>
        </w:rPr>
        <w:t>根据《关于印发</w:t>
      </w:r>
      <w:r>
        <w:rPr>
          <w:rFonts w:ascii="Times New Roman" w:eastAsia="Times New Roman"/>
        </w:rPr>
        <w:t>&lt;</w:t>
      </w:r>
      <w:r>
        <w:rPr>
          <w:spacing w:val="-2"/>
        </w:rPr>
        <w:t>污染影响类建设项目重大变动清单</w:t>
      </w:r>
      <w:r>
        <w:rPr/>
        <w:t>（试行</w:t>
      </w:r>
      <w:r>
        <w:rPr>
          <w:spacing w:val="-9"/>
        </w:rPr>
        <w:t>）</w:t>
      </w:r>
      <w:r>
        <w:rPr>
          <w:rFonts w:ascii="Times New Roman" w:eastAsia="Times New Roman"/>
          <w:spacing w:val="-9"/>
        </w:rPr>
        <w:t>&gt;</w:t>
      </w:r>
      <w:r>
        <w:rPr>
          <w:spacing w:val="-9"/>
        </w:rPr>
        <w:t>的通知》</w:t>
      </w:r>
      <w:r>
        <w:rPr/>
        <w:t>（</w:t>
      </w:r>
      <w:r>
        <w:rPr>
          <w:spacing w:val="-4"/>
        </w:rPr>
        <w:t>环办环评</w:t>
      </w:r>
      <w:r>
        <w:rPr/>
        <w:t>函</w:t>
      </w:r>
      <w:r>
        <w:rPr>
          <w:rFonts w:ascii="Times New Roman" w:eastAsia="Times New Roman"/>
        </w:rPr>
        <w:t>[2020]688 </w:t>
      </w:r>
      <w:r>
        <w:rPr>
          <w:spacing w:val="-1"/>
        </w:rPr>
        <w:t>号，对贝斯美的现有已建项目的规模、地点、生产工艺和环境保护措施方</w:t>
      </w:r>
      <w:r>
        <w:rPr/>
        <w:t>面情况介绍如下：</w:t>
      </w:r>
    </w:p>
    <w:p>
      <w:pPr>
        <w:pStyle w:val="Heading4"/>
        <w:spacing w:before="141" w:after="29"/>
        <w:ind w:left="2215"/>
        <w:jc w:val="both"/>
      </w:pPr>
      <w:r>
        <w:rPr/>
        <w:t>表 </w:t>
      </w:r>
      <w:r>
        <w:rPr>
          <w:rFonts w:ascii="Times New Roman" w:eastAsia="Times New Roman"/>
        </w:rPr>
        <w:t>3.7.2-1  </w:t>
      </w:r>
      <w:r>
        <w:rPr/>
        <w:t>企业已建项目是否属于重大变动分析</w:t>
      </w:r>
    </w:p>
    <w:tbl>
      <w:tblPr>
        <w:tblW w:w="0" w:type="auto"/>
        <w:jc w:val="left"/>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67"/>
        <w:gridCol w:w="717"/>
        <w:gridCol w:w="3288"/>
        <w:gridCol w:w="3372"/>
        <w:gridCol w:w="1235"/>
      </w:tblGrid>
      <w:tr>
        <w:trPr>
          <w:trHeight w:val="544" w:hRule="atLeast"/>
        </w:trPr>
        <w:tc>
          <w:tcPr>
            <w:tcW w:w="667" w:type="dxa"/>
            <w:tcBorders>
              <w:bottom w:val="single" w:sz="6" w:space="0" w:color="000000"/>
              <w:right w:val="single" w:sz="6" w:space="0" w:color="000000"/>
            </w:tcBorders>
          </w:tcPr>
          <w:p>
            <w:pPr>
              <w:pStyle w:val="TableParagraph"/>
              <w:spacing w:before="138"/>
              <w:ind w:left="102" w:right="92"/>
              <w:rPr>
                <w:b/>
                <w:sz w:val="21"/>
              </w:rPr>
            </w:pPr>
            <w:r>
              <w:rPr>
                <w:b/>
                <w:sz w:val="21"/>
              </w:rPr>
              <w:t>序号</w:t>
            </w:r>
          </w:p>
        </w:tc>
        <w:tc>
          <w:tcPr>
            <w:tcW w:w="4005" w:type="dxa"/>
            <w:gridSpan w:val="2"/>
            <w:tcBorders>
              <w:left w:val="single" w:sz="6" w:space="0" w:color="000000"/>
              <w:bottom w:val="single" w:sz="6" w:space="0" w:color="000000"/>
              <w:right w:val="single" w:sz="6" w:space="0" w:color="000000"/>
            </w:tcBorders>
          </w:tcPr>
          <w:p>
            <w:pPr>
              <w:pStyle w:val="TableParagraph"/>
              <w:spacing w:before="138"/>
              <w:ind w:left="1557" w:right="1549"/>
              <w:rPr>
                <w:b/>
                <w:sz w:val="21"/>
              </w:rPr>
            </w:pPr>
            <w:r>
              <w:rPr>
                <w:b/>
                <w:sz w:val="21"/>
              </w:rPr>
              <w:t>项目情况</w:t>
            </w:r>
          </w:p>
        </w:tc>
        <w:tc>
          <w:tcPr>
            <w:tcW w:w="3372" w:type="dxa"/>
            <w:tcBorders>
              <w:left w:val="single" w:sz="6" w:space="0" w:color="000000"/>
              <w:bottom w:val="single" w:sz="6" w:space="0" w:color="000000"/>
              <w:right w:val="single" w:sz="6" w:space="0" w:color="000000"/>
            </w:tcBorders>
          </w:tcPr>
          <w:p>
            <w:pPr>
              <w:pStyle w:val="TableParagraph"/>
              <w:spacing w:before="138"/>
              <w:ind w:left="85" w:right="75"/>
              <w:rPr>
                <w:b/>
                <w:sz w:val="21"/>
              </w:rPr>
            </w:pPr>
            <w:r>
              <w:rPr>
                <w:b/>
                <w:sz w:val="21"/>
              </w:rPr>
              <w:t>实际情况</w:t>
            </w:r>
          </w:p>
        </w:tc>
        <w:tc>
          <w:tcPr>
            <w:tcW w:w="1235" w:type="dxa"/>
            <w:tcBorders>
              <w:left w:val="single" w:sz="6" w:space="0" w:color="000000"/>
              <w:bottom w:val="single" w:sz="6" w:space="0" w:color="000000"/>
            </w:tcBorders>
          </w:tcPr>
          <w:p>
            <w:pPr>
              <w:pStyle w:val="TableParagraph"/>
              <w:spacing w:before="1"/>
              <w:ind w:left="174" w:right="167"/>
              <w:rPr>
                <w:b/>
                <w:sz w:val="21"/>
              </w:rPr>
            </w:pPr>
            <w:r>
              <w:rPr>
                <w:b/>
                <w:sz w:val="21"/>
              </w:rPr>
              <w:t>是否重大</w:t>
            </w:r>
          </w:p>
          <w:p>
            <w:pPr>
              <w:pStyle w:val="TableParagraph"/>
              <w:spacing w:line="250" w:lineRule="exact" w:before="4"/>
              <w:ind w:left="170" w:right="167"/>
              <w:rPr>
                <w:b/>
                <w:sz w:val="21"/>
              </w:rPr>
            </w:pPr>
            <w:r>
              <w:rPr>
                <w:b/>
                <w:sz w:val="21"/>
              </w:rPr>
              <w:t>变动</w:t>
            </w:r>
          </w:p>
        </w:tc>
      </w:tr>
      <w:tr>
        <w:trPr>
          <w:trHeight w:val="544" w:hRule="atLeast"/>
        </w:trPr>
        <w:tc>
          <w:tcPr>
            <w:tcW w:w="667" w:type="dxa"/>
            <w:tcBorders>
              <w:top w:val="single" w:sz="6" w:space="0" w:color="000000"/>
              <w:bottom w:val="single" w:sz="6" w:space="0" w:color="000000"/>
              <w:right w:val="single" w:sz="6" w:space="0" w:color="000000"/>
            </w:tcBorders>
          </w:tcPr>
          <w:p>
            <w:pPr>
              <w:pStyle w:val="TableParagraph"/>
              <w:spacing w:before="151"/>
              <w:ind w:left="10"/>
              <w:rPr>
                <w:rFonts w:ascii="Times New Roman"/>
                <w:sz w:val="21"/>
              </w:rPr>
            </w:pPr>
            <w:r>
              <w:rPr>
                <w:rFonts w:ascii="Times New Roman"/>
                <w:w w:val="100"/>
                <w:sz w:val="21"/>
              </w:rPr>
              <w:t>1</w:t>
            </w:r>
          </w:p>
        </w:tc>
        <w:tc>
          <w:tcPr>
            <w:tcW w:w="717" w:type="dxa"/>
            <w:tcBorders>
              <w:top w:val="single" w:sz="6" w:space="0" w:color="000000"/>
              <w:left w:val="single" w:sz="6" w:space="0" w:color="000000"/>
              <w:bottom w:val="single" w:sz="6" w:space="0" w:color="000000"/>
              <w:right w:val="single" w:sz="6" w:space="0" w:color="000000"/>
            </w:tcBorders>
          </w:tcPr>
          <w:p>
            <w:pPr>
              <w:pStyle w:val="TableParagraph"/>
              <w:spacing w:before="137"/>
              <w:ind w:left="125" w:right="117"/>
              <w:rPr>
                <w:sz w:val="21"/>
              </w:rPr>
            </w:pPr>
            <w:r>
              <w:rPr>
                <w:sz w:val="21"/>
              </w:rPr>
              <w:t>性质</w:t>
            </w: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before="1"/>
              <w:ind w:left="103"/>
              <w:jc w:val="left"/>
              <w:rPr>
                <w:sz w:val="21"/>
              </w:rPr>
            </w:pPr>
            <w:r>
              <w:rPr>
                <w:rFonts w:ascii="Times New Roman" w:eastAsia="Times New Roman"/>
                <w:sz w:val="21"/>
              </w:rPr>
              <w:t>1.</w:t>
            </w:r>
            <w:r>
              <w:rPr>
                <w:sz w:val="21"/>
              </w:rPr>
              <w:t>建设项目开发、使用功能发生变</w:t>
            </w:r>
          </w:p>
          <w:p>
            <w:pPr>
              <w:pStyle w:val="TableParagraph"/>
              <w:spacing w:line="250" w:lineRule="exact" w:before="4"/>
              <w:ind w:left="103"/>
              <w:jc w:val="left"/>
              <w:rPr>
                <w:sz w:val="21"/>
              </w:rPr>
            </w:pPr>
            <w:r>
              <w:rPr>
                <w:sz w:val="21"/>
              </w:rPr>
              <w:t>化的。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before="1"/>
              <w:ind w:left="104"/>
              <w:jc w:val="left"/>
              <w:rPr>
                <w:sz w:val="21"/>
              </w:rPr>
            </w:pPr>
            <w:r>
              <w:rPr>
                <w:sz w:val="21"/>
              </w:rPr>
              <w:t>企业已建项目开发、使用功能均未</w:t>
            </w:r>
          </w:p>
          <w:p>
            <w:pPr>
              <w:pStyle w:val="TableParagraph"/>
              <w:spacing w:line="250" w:lineRule="exact" w:before="4"/>
              <w:ind w:left="104"/>
              <w:jc w:val="left"/>
              <w:rPr>
                <w:sz w:val="21"/>
              </w:rPr>
            </w:pPr>
            <w:r>
              <w:rPr>
                <w:sz w:val="21"/>
              </w:rPr>
              <w:t>发生变化。</w:t>
            </w:r>
          </w:p>
        </w:tc>
        <w:tc>
          <w:tcPr>
            <w:tcW w:w="1235" w:type="dxa"/>
            <w:tcBorders>
              <w:top w:val="single" w:sz="6" w:space="0" w:color="000000"/>
              <w:left w:val="single" w:sz="6" w:space="0" w:color="000000"/>
              <w:bottom w:val="single" w:sz="6" w:space="0" w:color="000000"/>
            </w:tcBorders>
          </w:tcPr>
          <w:p>
            <w:pPr>
              <w:pStyle w:val="TableParagraph"/>
              <w:spacing w:before="137"/>
              <w:ind w:left="3"/>
              <w:rPr>
                <w:b/>
                <w:sz w:val="21"/>
              </w:rPr>
            </w:pPr>
            <w:r>
              <w:rPr>
                <w:b/>
                <w:w w:val="100"/>
                <w:sz w:val="21"/>
              </w:rPr>
              <w:t>否</w:t>
            </w:r>
          </w:p>
        </w:tc>
      </w:tr>
      <w:tr>
        <w:trPr>
          <w:trHeight w:val="817" w:hRule="atLeast"/>
        </w:trPr>
        <w:tc>
          <w:tcPr>
            <w:tcW w:w="667" w:type="dxa"/>
            <w:vMerge w:val="restart"/>
            <w:tcBorders>
              <w:top w:val="single" w:sz="6" w:space="0" w:color="000000"/>
              <w:bottom w:val="single" w:sz="6" w:space="0" w:color="000000"/>
              <w:right w:val="single" w:sz="6" w:space="0" w:color="000000"/>
            </w:tcBorders>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9"/>
              </w:rPr>
            </w:pPr>
          </w:p>
          <w:p>
            <w:pPr>
              <w:pStyle w:val="TableParagraph"/>
              <w:spacing w:before="1"/>
              <w:ind w:left="10"/>
              <w:rPr>
                <w:rFonts w:ascii="Times New Roman"/>
                <w:sz w:val="21"/>
              </w:rPr>
            </w:pPr>
            <w:r>
              <w:rPr>
                <w:rFonts w:ascii="Times New Roman"/>
                <w:w w:val="100"/>
                <w:sz w:val="21"/>
              </w:rPr>
              <w:t>2</w:t>
            </w:r>
          </w:p>
        </w:tc>
        <w:tc>
          <w:tcPr>
            <w:tcW w:w="717" w:type="dxa"/>
            <w:vMerge w:val="restart"/>
            <w:tcBorders>
              <w:top w:val="single" w:sz="6" w:space="0" w:color="000000"/>
              <w:left w:val="single" w:sz="6" w:space="0" w:color="000000"/>
              <w:bottom w:val="single" w:sz="6" w:space="0" w:color="000000"/>
              <w:right w:val="single" w:sz="6" w:space="0" w:color="000000"/>
            </w:tcBorders>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2"/>
              <w:jc w:val="left"/>
              <w:rPr>
                <w:b/>
                <w:sz w:val="21"/>
              </w:rPr>
            </w:pPr>
          </w:p>
          <w:p>
            <w:pPr>
              <w:pStyle w:val="TableParagraph"/>
              <w:ind w:left="143"/>
              <w:jc w:val="left"/>
              <w:rPr>
                <w:sz w:val="21"/>
              </w:rPr>
            </w:pPr>
            <w:r>
              <w:rPr>
                <w:sz w:val="21"/>
              </w:rPr>
              <w:t>规模</w:t>
            </w: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before="137"/>
              <w:ind w:left="103"/>
              <w:jc w:val="left"/>
              <w:rPr>
                <w:rFonts w:ascii="Times New Roman" w:eastAsia="Times New Roman"/>
                <w:sz w:val="21"/>
              </w:rPr>
            </w:pPr>
            <w:r>
              <w:rPr>
                <w:rFonts w:ascii="Times New Roman" w:eastAsia="Times New Roman"/>
                <w:sz w:val="21"/>
              </w:rPr>
              <w:t>2.</w:t>
            </w:r>
            <w:r>
              <w:rPr>
                <w:sz w:val="21"/>
              </w:rPr>
              <w:t>生产、处置或储存能力增大 </w:t>
            </w:r>
            <w:r>
              <w:rPr>
                <w:rFonts w:ascii="Times New Roman" w:eastAsia="Times New Roman"/>
                <w:sz w:val="21"/>
              </w:rPr>
              <w:t>30%</w:t>
            </w:r>
          </w:p>
          <w:p>
            <w:pPr>
              <w:pStyle w:val="TableParagraph"/>
              <w:spacing w:before="5"/>
              <w:ind w:left="103"/>
              <w:jc w:val="left"/>
              <w:rPr>
                <w:sz w:val="21"/>
              </w:rPr>
            </w:pPr>
            <w:r>
              <w:rPr>
                <w:sz w:val="21"/>
              </w:rPr>
              <w:t>及以上的。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3"/>
              <w:ind w:left="104" w:right="-15"/>
              <w:jc w:val="left"/>
              <w:rPr>
                <w:sz w:val="21"/>
              </w:rPr>
            </w:pPr>
            <w:r>
              <w:rPr>
                <w:rFonts w:ascii="Times New Roman" w:eastAsia="Times New Roman"/>
                <w:sz w:val="21"/>
              </w:rPr>
              <w:t>2021</w:t>
            </w:r>
            <w:r>
              <w:rPr>
                <w:rFonts w:ascii="Times New Roman" w:eastAsia="Times New Roman"/>
                <w:spacing w:val="28"/>
                <w:sz w:val="21"/>
              </w:rPr>
              <w:t> </w:t>
            </w:r>
            <w:r>
              <w:rPr>
                <w:spacing w:val="-11"/>
                <w:sz w:val="21"/>
              </w:rPr>
              <w:t>年 </w:t>
            </w:r>
            <w:r>
              <w:rPr>
                <w:rFonts w:ascii="Times New Roman" w:eastAsia="Times New Roman"/>
                <w:sz w:val="21"/>
              </w:rPr>
              <w:t>4-</w:t>
            </w:r>
            <w:r>
              <w:rPr>
                <w:spacing w:val="-3"/>
                <w:sz w:val="21"/>
              </w:rPr>
              <w:t>硝基邻二甲苯装置生产能</w:t>
            </w:r>
            <w:r>
              <w:rPr>
                <w:spacing w:val="-11"/>
                <w:sz w:val="21"/>
              </w:rPr>
              <w:t>力增大 </w:t>
            </w:r>
            <w:r>
              <w:rPr>
                <w:rFonts w:ascii="Times New Roman" w:eastAsia="Times New Roman"/>
                <w:spacing w:val="-6"/>
                <w:sz w:val="21"/>
              </w:rPr>
              <w:t>5%</w:t>
            </w:r>
            <w:r>
              <w:rPr>
                <w:spacing w:val="-5"/>
                <w:sz w:val="21"/>
              </w:rPr>
              <w:t>，其余已建项目生产、</w:t>
            </w:r>
          </w:p>
          <w:p>
            <w:pPr>
              <w:pStyle w:val="TableParagraph"/>
              <w:spacing w:line="250" w:lineRule="exact" w:before="1"/>
              <w:ind w:left="104"/>
              <w:jc w:val="left"/>
              <w:rPr>
                <w:sz w:val="21"/>
              </w:rPr>
            </w:pPr>
            <w:r>
              <w:rPr>
                <w:sz w:val="21"/>
              </w:rPr>
              <w:t>处置能力均未增加。</w:t>
            </w:r>
          </w:p>
        </w:tc>
        <w:tc>
          <w:tcPr>
            <w:tcW w:w="1235" w:type="dxa"/>
            <w:tcBorders>
              <w:top w:val="single" w:sz="6" w:space="0" w:color="000000"/>
              <w:left w:val="single" w:sz="6" w:space="0" w:color="000000"/>
              <w:bottom w:val="single" w:sz="6" w:space="0" w:color="000000"/>
            </w:tcBorders>
          </w:tcPr>
          <w:p>
            <w:pPr>
              <w:pStyle w:val="TableParagraph"/>
              <w:spacing w:before="5"/>
              <w:jc w:val="left"/>
              <w:rPr>
                <w:b/>
                <w:sz w:val="21"/>
              </w:rPr>
            </w:pPr>
          </w:p>
          <w:p>
            <w:pPr>
              <w:pStyle w:val="TableParagraph"/>
              <w:ind w:left="3"/>
              <w:rPr>
                <w:b/>
                <w:sz w:val="21"/>
              </w:rPr>
            </w:pPr>
            <w:r>
              <w:rPr>
                <w:b/>
                <w:w w:val="100"/>
                <w:sz w:val="21"/>
              </w:rPr>
              <w:t>否</w:t>
            </w:r>
          </w:p>
        </w:tc>
      </w:tr>
      <w:tr>
        <w:trPr>
          <w:trHeight w:val="817" w:hRule="atLeast"/>
        </w:trPr>
        <w:tc>
          <w:tcPr>
            <w:tcW w:w="667" w:type="dxa"/>
            <w:vMerge/>
            <w:tcBorders>
              <w:top w:val="nil"/>
              <w:bottom w:val="single" w:sz="6" w:space="0" w:color="000000"/>
              <w:right w:val="single" w:sz="6" w:space="0" w:color="000000"/>
            </w:tcBorders>
          </w:tcPr>
          <w:p>
            <w:pPr>
              <w:rPr>
                <w:sz w:val="2"/>
                <w:szCs w:val="2"/>
              </w:rPr>
            </w:pPr>
          </w:p>
        </w:tc>
        <w:tc>
          <w:tcPr>
            <w:tcW w:w="717" w:type="dxa"/>
            <w:vMerge/>
            <w:tcBorders>
              <w:top w:val="nil"/>
              <w:left w:val="single" w:sz="6" w:space="0" w:color="000000"/>
              <w:bottom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before="1"/>
              <w:ind w:left="103"/>
              <w:jc w:val="left"/>
              <w:rPr>
                <w:sz w:val="21"/>
              </w:rPr>
            </w:pPr>
            <w:r>
              <w:rPr>
                <w:rFonts w:ascii="Times New Roman" w:eastAsia="Times New Roman"/>
                <w:sz w:val="21"/>
              </w:rPr>
              <w:t>3.</w:t>
            </w:r>
            <w:r>
              <w:rPr>
                <w:sz w:val="21"/>
              </w:rPr>
              <w:t>生产、处置或储存能力增大，导</w:t>
            </w:r>
          </w:p>
          <w:p>
            <w:pPr>
              <w:pStyle w:val="TableParagraph"/>
              <w:spacing w:line="270" w:lineRule="atLeast" w:before="3"/>
              <w:ind w:left="103" w:right="222"/>
              <w:jc w:val="left"/>
              <w:rPr>
                <w:sz w:val="21"/>
              </w:rPr>
            </w:pPr>
            <w:r>
              <w:rPr>
                <w:sz w:val="21"/>
              </w:rPr>
              <w:t>致废水第一类污染物排放量增加的。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4" w:right="96"/>
              <w:jc w:val="left"/>
              <w:rPr>
                <w:sz w:val="21"/>
              </w:rPr>
            </w:pPr>
            <w:r>
              <w:rPr>
                <w:sz w:val="21"/>
              </w:rPr>
              <w:t>企业已建项目不涉及第一类污染物的产生及排放</w:t>
            </w:r>
          </w:p>
        </w:tc>
        <w:tc>
          <w:tcPr>
            <w:tcW w:w="1235" w:type="dxa"/>
            <w:tcBorders>
              <w:top w:val="single" w:sz="6" w:space="0" w:color="000000"/>
              <w:left w:val="single" w:sz="6" w:space="0" w:color="000000"/>
              <w:bottom w:val="single" w:sz="6" w:space="0" w:color="000000"/>
            </w:tcBorders>
          </w:tcPr>
          <w:p>
            <w:pPr>
              <w:pStyle w:val="TableParagraph"/>
              <w:spacing w:before="5"/>
              <w:jc w:val="left"/>
              <w:rPr>
                <w:b/>
                <w:sz w:val="21"/>
              </w:rPr>
            </w:pPr>
          </w:p>
          <w:p>
            <w:pPr>
              <w:pStyle w:val="TableParagraph"/>
              <w:ind w:left="3"/>
              <w:rPr>
                <w:b/>
                <w:sz w:val="21"/>
              </w:rPr>
            </w:pPr>
            <w:r>
              <w:rPr>
                <w:b/>
                <w:w w:val="100"/>
                <w:sz w:val="21"/>
              </w:rPr>
              <w:t>否</w:t>
            </w:r>
          </w:p>
        </w:tc>
      </w:tr>
      <w:tr>
        <w:trPr>
          <w:trHeight w:val="3268" w:hRule="atLeast"/>
        </w:trPr>
        <w:tc>
          <w:tcPr>
            <w:tcW w:w="667" w:type="dxa"/>
            <w:vMerge/>
            <w:tcBorders>
              <w:top w:val="nil"/>
              <w:bottom w:val="single" w:sz="6" w:space="0" w:color="000000"/>
              <w:right w:val="single" w:sz="6" w:space="0" w:color="000000"/>
            </w:tcBorders>
          </w:tcPr>
          <w:p>
            <w:pPr>
              <w:rPr>
                <w:sz w:val="2"/>
                <w:szCs w:val="2"/>
              </w:rPr>
            </w:pPr>
          </w:p>
        </w:tc>
        <w:tc>
          <w:tcPr>
            <w:tcW w:w="717" w:type="dxa"/>
            <w:vMerge/>
            <w:tcBorders>
              <w:top w:val="nil"/>
              <w:left w:val="single" w:sz="6" w:space="0" w:color="000000"/>
              <w:bottom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
              <w:ind w:left="103" w:right="-15"/>
              <w:jc w:val="left"/>
              <w:rPr>
                <w:sz w:val="21"/>
              </w:rPr>
            </w:pPr>
            <w:r>
              <w:rPr>
                <w:rFonts w:ascii="Times New Roman" w:eastAsia="Times New Roman"/>
                <w:sz w:val="21"/>
              </w:rPr>
              <w:t>4.</w:t>
            </w:r>
            <w:r>
              <w:rPr>
                <w:spacing w:val="-3"/>
                <w:sz w:val="21"/>
              </w:rPr>
              <w:t>位于环境质量不达标区的建设 项目生产、处置或储存能力增大， </w:t>
            </w:r>
            <w:r>
              <w:rPr>
                <w:spacing w:val="-9"/>
                <w:sz w:val="21"/>
              </w:rPr>
              <w:t>导致相应污染物排放量增加的</w:t>
            </w:r>
            <w:r>
              <w:rPr>
                <w:spacing w:val="-3"/>
                <w:sz w:val="21"/>
              </w:rPr>
              <w:t>（</w:t>
            </w:r>
            <w:r>
              <w:rPr>
                <w:sz w:val="21"/>
              </w:rPr>
              <w:t>细</w:t>
            </w:r>
            <w:r>
              <w:rPr>
                <w:spacing w:val="-11"/>
                <w:sz w:val="21"/>
              </w:rPr>
              <w:t>颗粒物不达标区，相应污染物为二</w:t>
            </w:r>
            <w:r>
              <w:rPr>
                <w:spacing w:val="-18"/>
                <w:sz w:val="21"/>
              </w:rPr>
              <w:t>氧化硫、氮氧化物、可吸入颗粒物、</w:t>
            </w:r>
            <w:r>
              <w:rPr>
                <w:spacing w:val="-13"/>
                <w:sz w:val="21"/>
              </w:rPr>
              <w:t>挥发性有机物；臭氧不达标区，相</w:t>
            </w:r>
            <w:r>
              <w:rPr>
                <w:spacing w:val="-12"/>
                <w:sz w:val="21"/>
              </w:rPr>
              <w:t>应污染物为氮氧化物、挥发性有机物；其他大气、水污染物因子不达</w:t>
            </w:r>
            <w:r>
              <w:rPr>
                <w:spacing w:val="-6"/>
                <w:sz w:val="21"/>
              </w:rPr>
              <w:t>标区，相应污染物为超标污染因 子</w:t>
            </w:r>
            <w:r>
              <w:rPr>
                <w:spacing w:val="-94"/>
                <w:sz w:val="21"/>
              </w:rPr>
              <w:t>）</w:t>
            </w:r>
            <w:r>
              <w:rPr>
                <w:spacing w:val="-11"/>
                <w:sz w:val="21"/>
              </w:rPr>
              <w:t>；位于达标区的建设项目生产、</w:t>
            </w:r>
          </w:p>
          <w:p>
            <w:pPr>
              <w:pStyle w:val="TableParagraph"/>
              <w:spacing w:line="270" w:lineRule="atLeast" w:before="6"/>
              <w:ind w:left="103" w:right="16"/>
              <w:jc w:val="left"/>
              <w:rPr>
                <w:sz w:val="21"/>
              </w:rPr>
            </w:pPr>
            <w:r>
              <w:rPr>
                <w:sz w:val="21"/>
              </w:rPr>
              <w:t>处置或储存能力增大，导致污染物排放量增加 </w:t>
            </w:r>
            <w:r>
              <w:rPr>
                <w:rFonts w:ascii="Times New Roman" w:eastAsia="Times New Roman"/>
                <w:sz w:val="21"/>
              </w:rPr>
              <w:t>10%</w:t>
            </w:r>
            <w:r>
              <w:rPr>
                <w:sz w:val="21"/>
              </w:rPr>
              <w:t>及以上的。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before="3"/>
              <w:jc w:val="left"/>
              <w:rPr>
                <w:b/>
                <w:sz w:val="21"/>
              </w:rPr>
            </w:pPr>
          </w:p>
          <w:p>
            <w:pPr>
              <w:pStyle w:val="TableParagraph"/>
              <w:ind w:left="104"/>
              <w:jc w:val="left"/>
              <w:rPr>
                <w:sz w:val="21"/>
              </w:rPr>
            </w:pPr>
            <w:r>
              <w:rPr>
                <w:sz w:val="21"/>
              </w:rPr>
              <w:t>①本项目位于绍兴市上虞区，根据</w:t>
            </w:r>
          </w:p>
          <w:p>
            <w:pPr>
              <w:pStyle w:val="TableParagraph"/>
              <w:spacing w:line="242" w:lineRule="auto" w:before="5"/>
              <w:ind w:left="104" w:right="96"/>
              <w:jc w:val="left"/>
              <w:rPr>
                <w:sz w:val="21"/>
              </w:rPr>
            </w:pPr>
            <w:r>
              <w:rPr>
                <w:spacing w:val="-11"/>
                <w:sz w:val="21"/>
              </w:rPr>
              <w:t>《绍兴市 </w:t>
            </w:r>
            <w:r>
              <w:rPr>
                <w:rFonts w:ascii="Times New Roman" w:eastAsia="Times New Roman"/>
                <w:sz w:val="21"/>
              </w:rPr>
              <w:t>2020 </w:t>
            </w:r>
            <w:r>
              <w:rPr>
                <w:spacing w:val="-28"/>
                <w:sz w:val="21"/>
              </w:rPr>
              <w:t>年环境状况公报》，</w:t>
            </w:r>
            <w:r>
              <w:rPr>
                <w:spacing w:val="-103"/>
                <w:sz w:val="21"/>
              </w:rPr>
              <w:t> </w:t>
            </w:r>
            <w:r>
              <w:rPr>
                <w:spacing w:val="-4"/>
                <w:sz w:val="21"/>
              </w:rPr>
              <w:t>绍兴市上虞区为环境空气质量属于</w:t>
            </w:r>
            <w:r>
              <w:rPr>
                <w:spacing w:val="-1"/>
                <w:sz w:val="21"/>
              </w:rPr>
              <w:t>达标区</w:t>
            </w:r>
            <w:r>
              <w:rPr>
                <w:spacing w:val="-106"/>
                <w:sz w:val="21"/>
              </w:rPr>
              <w:t>）</w:t>
            </w:r>
            <w:r>
              <w:rPr>
                <w:sz w:val="21"/>
              </w:rPr>
              <w:t>。</w:t>
            </w:r>
          </w:p>
          <w:p>
            <w:pPr>
              <w:pStyle w:val="TableParagraph"/>
              <w:ind w:left="104"/>
              <w:jc w:val="left"/>
              <w:rPr>
                <w:b/>
                <w:sz w:val="21"/>
              </w:rPr>
            </w:pPr>
            <w:r>
              <w:rPr>
                <w:rFonts w:ascii="Times New Roman" w:eastAsia="Times New Roman"/>
                <w:b/>
                <w:sz w:val="21"/>
              </w:rPr>
              <w:t>4-</w:t>
            </w:r>
            <w:r>
              <w:rPr>
                <w:b/>
                <w:sz w:val="21"/>
              </w:rPr>
              <w:t>硝基邻二甲苯装置生产能力增大</w:t>
            </w:r>
          </w:p>
          <w:p>
            <w:pPr>
              <w:pStyle w:val="TableParagraph"/>
              <w:spacing w:line="242" w:lineRule="auto" w:before="5"/>
              <w:ind w:left="104" w:right="-15"/>
              <w:jc w:val="left"/>
              <w:rPr>
                <w:b/>
                <w:sz w:val="21"/>
              </w:rPr>
            </w:pPr>
            <w:r>
              <w:rPr>
                <w:rFonts w:ascii="Times New Roman" w:eastAsia="Times New Roman"/>
                <w:b/>
                <w:spacing w:val="-10"/>
                <w:sz w:val="21"/>
              </w:rPr>
              <w:t>5%</w:t>
            </w:r>
            <w:r>
              <w:rPr>
                <w:b/>
                <w:spacing w:val="-16"/>
                <w:sz w:val="21"/>
              </w:rPr>
              <w:t>，根据 </w:t>
            </w:r>
            <w:r>
              <w:rPr>
                <w:rFonts w:ascii="Times New Roman" w:eastAsia="Times New Roman"/>
                <w:b/>
                <w:sz w:val="21"/>
              </w:rPr>
              <w:t>Pg72</w:t>
            </w:r>
            <w:r>
              <w:rPr>
                <w:rFonts w:ascii="Times New Roman" w:eastAsia="Times New Roman"/>
                <w:b/>
                <w:spacing w:val="-1"/>
                <w:sz w:val="21"/>
              </w:rPr>
              <w:t> </w:t>
            </w:r>
            <w:r>
              <w:rPr>
                <w:b/>
                <w:spacing w:val="-25"/>
                <w:sz w:val="21"/>
              </w:rPr>
              <w:t>第 </w:t>
            </w:r>
            <w:r>
              <w:rPr>
                <w:rFonts w:ascii="Times New Roman" w:eastAsia="Times New Roman"/>
                <w:b/>
                <w:sz w:val="21"/>
              </w:rPr>
              <w:t>3.7.1</w:t>
            </w:r>
            <w:r>
              <w:rPr>
                <w:rFonts w:ascii="Times New Roman" w:eastAsia="Times New Roman"/>
                <w:b/>
                <w:spacing w:val="-1"/>
                <w:sz w:val="21"/>
              </w:rPr>
              <w:t> </w:t>
            </w:r>
            <w:r>
              <w:rPr>
                <w:b/>
                <w:spacing w:val="-3"/>
                <w:sz w:val="21"/>
              </w:rPr>
              <w:t>章节分析， </w:t>
            </w:r>
            <w:r>
              <w:rPr>
                <w:b/>
                <w:spacing w:val="-1"/>
                <w:sz w:val="21"/>
              </w:rPr>
              <w:t>污染物排放量未增加。</w:t>
            </w:r>
          </w:p>
          <w:p>
            <w:pPr>
              <w:pStyle w:val="TableParagraph"/>
              <w:spacing w:line="242" w:lineRule="auto" w:before="1"/>
              <w:ind w:left="104" w:right="96"/>
              <w:jc w:val="both"/>
              <w:rPr>
                <w:sz w:val="21"/>
              </w:rPr>
            </w:pPr>
            <w:r>
              <w:rPr>
                <w:sz w:val="21"/>
              </w:rPr>
              <w:t>②其它已建项目生产、处置及储存能力未增加，未导致污染物排放量增加。</w:t>
            </w:r>
          </w:p>
        </w:tc>
        <w:tc>
          <w:tcPr>
            <w:tcW w:w="1235" w:type="dxa"/>
            <w:tcBorders>
              <w:top w:val="single" w:sz="6" w:space="0" w:color="000000"/>
              <w:left w:val="single" w:sz="6" w:space="0" w:color="000000"/>
              <w:bottom w:val="single" w:sz="6" w:space="0" w:color="000000"/>
            </w:tcBorders>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2"/>
              <w:jc w:val="left"/>
              <w:rPr>
                <w:b/>
                <w:sz w:val="16"/>
              </w:rPr>
            </w:pPr>
          </w:p>
          <w:p>
            <w:pPr>
              <w:pStyle w:val="TableParagraph"/>
              <w:ind w:left="3"/>
              <w:rPr>
                <w:b/>
                <w:sz w:val="21"/>
              </w:rPr>
            </w:pPr>
            <w:r>
              <w:rPr>
                <w:b/>
                <w:w w:val="100"/>
                <w:sz w:val="21"/>
              </w:rPr>
              <w:t>否</w:t>
            </w:r>
          </w:p>
        </w:tc>
      </w:tr>
      <w:tr>
        <w:trPr>
          <w:trHeight w:val="1089" w:hRule="atLeast"/>
        </w:trPr>
        <w:tc>
          <w:tcPr>
            <w:tcW w:w="667" w:type="dxa"/>
            <w:tcBorders>
              <w:top w:val="single" w:sz="6" w:space="0" w:color="000000"/>
              <w:bottom w:val="single" w:sz="6" w:space="0" w:color="000000"/>
              <w:right w:val="single" w:sz="6" w:space="0" w:color="000000"/>
            </w:tcBorders>
          </w:tcPr>
          <w:p>
            <w:pPr>
              <w:pStyle w:val="TableParagraph"/>
              <w:jc w:val="left"/>
              <w:rPr>
                <w:b/>
                <w:sz w:val="22"/>
              </w:rPr>
            </w:pPr>
          </w:p>
          <w:p>
            <w:pPr>
              <w:pStyle w:val="TableParagraph"/>
              <w:spacing w:before="141"/>
              <w:ind w:left="10"/>
              <w:rPr>
                <w:rFonts w:ascii="Times New Roman"/>
                <w:sz w:val="21"/>
              </w:rPr>
            </w:pPr>
            <w:r>
              <w:rPr>
                <w:rFonts w:ascii="Times New Roman"/>
                <w:w w:val="100"/>
                <w:sz w:val="21"/>
              </w:rPr>
              <w:t>3</w:t>
            </w:r>
          </w:p>
        </w:tc>
        <w:tc>
          <w:tcPr>
            <w:tcW w:w="717" w:type="dxa"/>
            <w:tcBorders>
              <w:top w:val="single" w:sz="6" w:space="0" w:color="000000"/>
              <w:left w:val="single" w:sz="6" w:space="0" w:color="000000"/>
              <w:bottom w:val="single" w:sz="6" w:space="0" w:color="000000"/>
              <w:right w:val="single" w:sz="6" w:space="0" w:color="000000"/>
            </w:tcBorders>
          </w:tcPr>
          <w:p>
            <w:pPr>
              <w:pStyle w:val="TableParagraph"/>
              <w:jc w:val="left"/>
              <w:rPr>
                <w:b/>
                <w:sz w:val="20"/>
              </w:rPr>
            </w:pPr>
          </w:p>
          <w:p>
            <w:pPr>
              <w:pStyle w:val="TableParagraph"/>
              <w:spacing w:before="152"/>
              <w:ind w:left="125" w:right="117"/>
              <w:rPr>
                <w:sz w:val="21"/>
              </w:rPr>
            </w:pPr>
            <w:r>
              <w:rPr>
                <w:sz w:val="21"/>
              </w:rPr>
              <w:t>地点</w:t>
            </w: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before="1"/>
              <w:ind w:left="103"/>
              <w:jc w:val="left"/>
              <w:rPr>
                <w:sz w:val="21"/>
              </w:rPr>
            </w:pPr>
            <w:r>
              <w:rPr>
                <w:rFonts w:ascii="Times New Roman" w:eastAsia="Times New Roman"/>
                <w:sz w:val="21"/>
              </w:rPr>
              <w:t>5.</w:t>
            </w:r>
            <w:r>
              <w:rPr>
                <w:sz w:val="21"/>
              </w:rPr>
              <w:t>重新选址；在原厂址附近调整</w:t>
            </w:r>
          </w:p>
          <w:p>
            <w:pPr>
              <w:pStyle w:val="TableParagraph"/>
              <w:spacing w:before="2"/>
              <w:ind w:left="103"/>
              <w:jc w:val="left"/>
              <w:rPr>
                <w:sz w:val="21"/>
              </w:rPr>
            </w:pPr>
            <w:r>
              <w:rPr>
                <w:sz w:val="21"/>
              </w:rPr>
              <w:t>（</w:t>
            </w:r>
            <w:r>
              <w:rPr>
                <w:spacing w:val="-3"/>
                <w:sz w:val="21"/>
              </w:rPr>
              <w:t>包括总平面布置变化</w:t>
            </w:r>
            <w:r>
              <w:rPr>
                <w:spacing w:val="-82"/>
                <w:sz w:val="21"/>
              </w:rPr>
              <w:t>）</w:t>
            </w:r>
            <w:r>
              <w:rPr>
                <w:spacing w:val="-2"/>
                <w:sz w:val="21"/>
              </w:rPr>
              <w:t>导致环境</w:t>
            </w:r>
          </w:p>
          <w:p>
            <w:pPr>
              <w:pStyle w:val="TableParagraph"/>
              <w:spacing w:line="270" w:lineRule="atLeast" w:before="4"/>
              <w:ind w:left="103" w:right="222"/>
              <w:jc w:val="left"/>
              <w:rPr>
                <w:sz w:val="21"/>
              </w:rPr>
            </w:pPr>
            <w:r>
              <w:rPr>
                <w:sz w:val="21"/>
              </w:rPr>
              <w:t>防护距离范围变化且新增敏感点的。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jc w:val="left"/>
              <w:rPr>
                <w:b/>
                <w:sz w:val="20"/>
              </w:rPr>
            </w:pPr>
          </w:p>
          <w:p>
            <w:pPr>
              <w:pStyle w:val="TableParagraph"/>
              <w:spacing w:before="152"/>
              <w:ind w:left="85" w:right="82"/>
              <w:rPr>
                <w:sz w:val="21"/>
              </w:rPr>
            </w:pPr>
            <w:r>
              <w:rPr>
                <w:sz w:val="21"/>
              </w:rPr>
              <w:t>企业已建项目均未进行重新选址。</w:t>
            </w:r>
          </w:p>
        </w:tc>
        <w:tc>
          <w:tcPr>
            <w:tcW w:w="1235" w:type="dxa"/>
            <w:tcBorders>
              <w:top w:val="single" w:sz="6" w:space="0" w:color="000000"/>
              <w:left w:val="single" w:sz="6" w:space="0" w:color="000000"/>
              <w:bottom w:val="single" w:sz="6" w:space="0" w:color="000000"/>
            </w:tcBorders>
          </w:tcPr>
          <w:p>
            <w:pPr>
              <w:pStyle w:val="TableParagraph"/>
              <w:jc w:val="left"/>
              <w:rPr>
                <w:b/>
                <w:sz w:val="20"/>
              </w:rPr>
            </w:pPr>
          </w:p>
          <w:p>
            <w:pPr>
              <w:pStyle w:val="TableParagraph"/>
              <w:spacing w:before="152"/>
              <w:ind w:left="3"/>
              <w:rPr>
                <w:b/>
                <w:sz w:val="21"/>
              </w:rPr>
            </w:pPr>
            <w:r>
              <w:rPr>
                <w:b/>
                <w:w w:val="100"/>
                <w:sz w:val="21"/>
              </w:rPr>
              <w:t>否</w:t>
            </w:r>
          </w:p>
        </w:tc>
      </w:tr>
      <w:tr>
        <w:trPr>
          <w:trHeight w:val="2449" w:hRule="atLeast"/>
        </w:trPr>
        <w:tc>
          <w:tcPr>
            <w:tcW w:w="667" w:type="dxa"/>
            <w:tcBorders>
              <w:top w:val="single" w:sz="6" w:space="0" w:color="000000"/>
              <w:right w:val="single" w:sz="6" w:space="0" w:color="000000"/>
            </w:tcBorders>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2"/>
              <w:jc w:val="left"/>
              <w:rPr>
                <w:b/>
                <w:sz w:val="20"/>
              </w:rPr>
            </w:pPr>
          </w:p>
          <w:p>
            <w:pPr>
              <w:pStyle w:val="TableParagraph"/>
              <w:ind w:left="10"/>
              <w:rPr>
                <w:rFonts w:ascii="Times New Roman"/>
                <w:sz w:val="21"/>
              </w:rPr>
            </w:pPr>
            <w:r>
              <w:rPr>
                <w:rFonts w:ascii="Times New Roman"/>
                <w:w w:val="100"/>
                <w:sz w:val="21"/>
              </w:rPr>
              <w:t>4</w:t>
            </w:r>
          </w:p>
        </w:tc>
        <w:tc>
          <w:tcPr>
            <w:tcW w:w="717" w:type="dxa"/>
            <w:tcBorders>
              <w:top w:val="single" w:sz="6" w:space="0" w:color="000000"/>
              <w:left w:val="single" w:sz="6" w:space="0" w:color="000000"/>
              <w:right w:val="single" w:sz="6" w:space="0" w:color="000000"/>
            </w:tcBorders>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5"/>
              <w:jc w:val="left"/>
              <w:rPr>
                <w:b/>
                <w:sz w:val="14"/>
              </w:rPr>
            </w:pPr>
          </w:p>
          <w:p>
            <w:pPr>
              <w:pStyle w:val="TableParagraph"/>
              <w:spacing w:line="244" w:lineRule="auto"/>
              <w:ind w:left="143" w:right="133"/>
              <w:jc w:val="left"/>
              <w:rPr>
                <w:sz w:val="21"/>
              </w:rPr>
            </w:pPr>
            <w:r>
              <w:rPr>
                <w:sz w:val="21"/>
              </w:rPr>
              <w:t>生产工艺</w:t>
            </w:r>
          </w:p>
        </w:tc>
        <w:tc>
          <w:tcPr>
            <w:tcW w:w="3288" w:type="dxa"/>
            <w:tcBorders>
              <w:top w:val="single" w:sz="6" w:space="0" w:color="000000"/>
              <w:left w:val="single" w:sz="6" w:space="0" w:color="000000"/>
              <w:right w:val="single" w:sz="6" w:space="0" w:color="000000"/>
            </w:tcBorders>
          </w:tcPr>
          <w:p>
            <w:pPr>
              <w:pStyle w:val="TableParagraph"/>
              <w:spacing w:line="242" w:lineRule="auto" w:before="1"/>
              <w:ind w:left="103" w:right="92"/>
              <w:jc w:val="left"/>
              <w:rPr>
                <w:sz w:val="21"/>
              </w:rPr>
            </w:pPr>
            <w:r>
              <w:rPr>
                <w:rFonts w:ascii="Times New Roman" w:eastAsia="Times New Roman"/>
                <w:sz w:val="21"/>
              </w:rPr>
              <w:t>6.</w:t>
            </w:r>
            <w:r>
              <w:rPr>
                <w:spacing w:val="-6"/>
                <w:sz w:val="21"/>
              </w:rPr>
              <w:t>新增产品品种或生产工艺</w:t>
            </w:r>
            <w:r>
              <w:rPr>
                <w:spacing w:val="-3"/>
                <w:sz w:val="21"/>
              </w:rPr>
              <w:t>（</w:t>
            </w:r>
            <w:r>
              <w:rPr>
                <w:spacing w:val="-7"/>
                <w:sz w:val="21"/>
              </w:rPr>
              <w:t>含主</w:t>
            </w:r>
            <w:r>
              <w:rPr>
                <w:spacing w:val="-3"/>
                <w:sz w:val="21"/>
              </w:rPr>
              <w:t>要生产装置、设备及配套设施</w:t>
            </w:r>
            <w:r>
              <w:rPr>
                <w:spacing w:val="-108"/>
                <w:sz w:val="21"/>
              </w:rPr>
              <w:t>）</w:t>
            </w:r>
            <w:r>
              <w:rPr>
                <w:sz w:val="21"/>
              </w:rPr>
              <w:t>、</w:t>
            </w:r>
            <w:r>
              <w:rPr>
                <w:spacing w:val="-12"/>
                <w:sz w:val="21"/>
              </w:rPr>
              <w:t>主要原辅材料、燃料变化，导致以</w:t>
            </w:r>
            <w:r>
              <w:rPr>
                <w:spacing w:val="-2"/>
                <w:w w:val="100"/>
                <w:sz w:val="21"/>
              </w:rPr>
              <w:t>下情形之一</w:t>
            </w:r>
            <w:r>
              <w:rPr>
                <w:spacing w:val="-147"/>
                <w:w w:val="100"/>
                <w:sz w:val="21"/>
              </w:rPr>
              <w:t>：</w:t>
            </w:r>
            <w:r>
              <w:rPr>
                <w:w w:val="100"/>
                <w:sz w:val="21"/>
              </w:rPr>
              <w:t>（</w:t>
            </w:r>
            <w:r>
              <w:rPr>
                <w:rFonts w:ascii="Times New Roman" w:eastAsia="Times New Roman"/>
                <w:spacing w:val="-3"/>
                <w:w w:val="100"/>
                <w:sz w:val="21"/>
              </w:rPr>
              <w:t>1</w:t>
            </w:r>
            <w:r>
              <w:rPr>
                <w:spacing w:val="-39"/>
                <w:w w:val="100"/>
                <w:sz w:val="21"/>
              </w:rPr>
              <w:t>）</w:t>
            </w:r>
            <w:r>
              <w:rPr>
                <w:spacing w:val="-5"/>
                <w:w w:val="100"/>
                <w:sz w:val="21"/>
              </w:rPr>
              <w:t>新增排放污染物</w:t>
            </w:r>
            <w:r>
              <w:rPr>
                <w:spacing w:val="-1"/>
                <w:sz w:val="21"/>
              </w:rPr>
              <w:t>种类的</w:t>
            </w:r>
            <w:r>
              <w:rPr>
                <w:sz w:val="21"/>
              </w:rPr>
              <w:t>（</w:t>
            </w:r>
            <w:r>
              <w:rPr>
                <w:spacing w:val="-3"/>
                <w:sz w:val="21"/>
              </w:rPr>
              <w:t>毒性、挥发性降低的除</w:t>
            </w:r>
            <w:r>
              <w:rPr>
                <w:spacing w:val="-3"/>
                <w:w w:val="100"/>
                <w:sz w:val="21"/>
              </w:rPr>
              <w:t>外</w:t>
            </w:r>
            <w:r>
              <w:rPr>
                <w:spacing w:val="-106"/>
                <w:w w:val="100"/>
                <w:sz w:val="21"/>
              </w:rPr>
              <w:t>）；</w:t>
            </w:r>
            <w:r>
              <w:rPr>
                <w:spacing w:val="-3"/>
                <w:w w:val="100"/>
                <w:sz w:val="21"/>
              </w:rPr>
              <w:t>（</w:t>
            </w:r>
            <w:r>
              <w:rPr>
                <w:rFonts w:ascii="Times New Roman" w:eastAsia="Times New Roman"/>
                <w:w w:val="100"/>
                <w:sz w:val="21"/>
              </w:rPr>
              <w:t>2</w:t>
            </w:r>
            <w:r>
              <w:rPr>
                <w:spacing w:val="-3"/>
                <w:w w:val="100"/>
                <w:sz w:val="21"/>
              </w:rPr>
              <w:t>）位于环境质量不达标区</w:t>
            </w:r>
            <w:r>
              <w:rPr>
                <w:spacing w:val="-3"/>
                <w:sz w:val="21"/>
              </w:rPr>
              <w:t>的建设项目相应污染物排放量增</w:t>
            </w:r>
            <w:r>
              <w:rPr>
                <w:spacing w:val="-51"/>
                <w:w w:val="100"/>
                <w:sz w:val="21"/>
              </w:rPr>
              <w:t>加的；</w:t>
            </w:r>
            <w:r>
              <w:rPr>
                <w:spacing w:val="-1"/>
                <w:w w:val="100"/>
                <w:sz w:val="21"/>
              </w:rPr>
              <w:t>（</w:t>
            </w:r>
            <w:r>
              <w:rPr>
                <w:rFonts w:ascii="Times New Roman" w:eastAsia="Times New Roman"/>
                <w:spacing w:val="-3"/>
                <w:w w:val="100"/>
                <w:sz w:val="21"/>
              </w:rPr>
              <w:t>3</w:t>
            </w:r>
            <w:r>
              <w:rPr>
                <w:spacing w:val="-41"/>
                <w:w w:val="100"/>
                <w:sz w:val="21"/>
              </w:rPr>
              <w:t>）</w:t>
            </w:r>
            <w:r>
              <w:rPr>
                <w:spacing w:val="-4"/>
                <w:w w:val="100"/>
                <w:sz w:val="21"/>
              </w:rPr>
              <w:t>废水第一类污染物排放</w:t>
            </w:r>
          </w:p>
          <w:p>
            <w:pPr>
              <w:pStyle w:val="TableParagraph"/>
              <w:spacing w:line="250" w:lineRule="exact" w:before="5"/>
              <w:ind w:left="103"/>
              <w:jc w:val="left"/>
              <w:rPr>
                <w:sz w:val="21"/>
              </w:rPr>
            </w:pPr>
            <w:r>
              <w:rPr>
                <w:spacing w:val="-1"/>
                <w:w w:val="100"/>
                <w:sz w:val="21"/>
              </w:rPr>
              <w:t>量增加的</w:t>
            </w:r>
            <w:r>
              <w:rPr>
                <w:spacing w:val="-147"/>
                <w:w w:val="100"/>
                <w:sz w:val="21"/>
              </w:rPr>
              <w:t>；</w:t>
            </w:r>
            <w:r>
              <w:rPr>
                <w:spacing w:val="-1"/>
                <w:w w:val="100"/>
                <w:sz w:val="21"/>
              </w:rPr>
              <w:t>（</w:t>
            </w:r>
            <w:r>
              <w:rPr>
                <w:rFonts w:ascii="Times New Roman" w:eastAsia="Times New Roman"/>
                <w:spacing w:val="-2"/>
                <w:w w:val="100"/>
                <w:sz w:val="21"/>
              </w:rPr>
              <w:t>4</w:t>
            </w:r>
            <w:r>
              <w:rPr>
                <w:spacing w:val="-41"/>
                <w:w w:val="100"/>
                <w:sz w:val="21"/>
              </w:rPr>
              <w:t>）</w:t>
            </w:r>
            <w:r>
              <w:rPr>
                <w:spacing w:val="-3"/>
                <w:w w:val="100"/>
                <w:sz w:val="21"/>
              </w:rPr>
              <w:t>其他污染物排放量</w:t>
            </w:r>
          </w:p>
        </w:tc>
        <w:tc>
          <w:tcPr>
            <w:tcW w:w="3372" w:type="dxa"/>
            <w:tcBorders>
              <w:top w:val="single" w:sz="6" w:space="0" w:color="000000"/>
              <w:left w:val="single" w:sz="6" w:space="0" w:color="000000"/>
              <w:right w:val="single" w:sz="6" w:space="0" w:color="000000"/>
            </w:tcBorders>
          </w:tcPr>
          <w:p>
            <w:pPr>
              <w:pStyle w:val="TableParagraph"/>
              <w:spacing w:line="242" w:lineRule="auto" w:before="1"/>
              <w:ind w:left="104" w:right="94"/>
              <w:jc w:val="both"/>
              <w:rPr>
                <w:b/>
                <w:sz w:val="21"/>
              </w:rPr>
            </w:pPr>
            <w:r>
              <w:rPr>
                <w:b/>
                <w:sz w:val="21"/>
              </w:rPr>
              <w:t>①</w:t>
            </w:r>
            <w:r>
              <w:rPr>
                <w:rFonts w:ascii="Times New Roman" w:hAnsi="Times New Roman" w:eastAsia="Times New Roman"/>
                <w:b/>
                <w:sz w:val="21"/>
              </w:rPr>
              <w:t>4-</w:t>
            </w:r>
            <w:r>
              <w:rPr>
                <w:b/>
                <w:spacing w:val="-2"/>
                <w:sz w:val="21"/>
              </w:rPr>
              <w:t>硝基邻二甲苯主要原辅材料用</w:t>
            </w:r>
            <w:r>
              <w:rPr>
                <w:b/>
                <w:spacing w:val="-12"/>
                <w:sz w:val="21"/>
              </w:rPr>
              <w:t>量有所增加，根据 </w:t>
            </w:r>
            <w:r>
              <w:rPr>
                <w:rFonts w:ascii="Times New Roman" w:hAnsi="Times New Roman" w:eastAsia="Times New Roman"/>
                <w:b/>
                <w:sz w:val="21"/>
              </w:rPr>
              <w:t>Pg72 </w:t>
            </w:r>
            <w:r>
              <w:rPr>
                <w:b/>
                <w:spacing w:val="-26"/>
                <w:sz w:val="21"/>
              </w:rPr>
              <w:t>第 </w:t>
            </w:r>
            <w:r>
              <w:rPr>
                <w:rFonts w:ascii="Times New Roman" w:hAnsi="Times New Roman" w:eastAsia="Times New Roman"/>
                <w:b/>
                <w:sz w:val="21"/>
              </w:rPr>
              <w:t>3.7.1 </w:t>
            </w:r>
            <w:r>
              <w:rPr>
                <w:b/>
                <w:spacing w:val="-13"/>
                <w:sz w:val="21"/>
              </w:rPr>
              <w:t>章</w:t>
            </w:r>
            <w:r>
              <w:rPr>
                <w:b/>
                <w:spacing w:val="-2"/>
                <w:sz w:val="21"/>
              </w:rPr>
              <w:t>节分析，污染物排放量未增加。</w:t>
            </w:r>
          </w:p>
          <w:p>
            <w:pPr>
              <w:pStyle w:val="TableParagraph"/>
              <w:spacing w:line="242" w:lineRule="auto"/>
              <w:ind w:left="104" w:right="96"/>
              <w:jc w:val="left"/>
              <w:rPr>
                <w:sz w:val="21"/>
              </w:rPr>
            </w:pPr>
            <w:r>
              <w:rPr>
                <w:spacing w:val="-3"/>
                <w:sz w:val="21"/>
              </w:rPr>
              <w:t>②其余已建项目产品品种均未增 </w:t>
            </w:r>
            <w:r>
              <w:rPr>
                <w:spacing w:val="-4"/>
                <w:sz w:val="21"/>
              </w:rPr>
              <w:t>加；主要反应设备均未增加；主要</w:t>
            </w:r>
            <w:r>
              <w:rPr>
                <w:spacing w:val="-3"/>
                <w:sz w:val="21"/>
              </w:rPr>
              <w:t>原辅材料与原审批基本一致；燃料</w:t>
            </w:r>
            <w:r>
              <w:rPr>
                <w:spacing w:val="-2"/>
                <w:sz w:val="21"/>
              </w:rPr>
              <w:t>未发生变化。</w:t>
            </w:r>
          </w:p>
          <w:p>
            <w:pPr>
              <w:pStyle w:val="TableParagraph"/>
              <w:spacing w:before="3"/>
              <w:ind w:left="104"/>
              <w:jc w:val="left"/>
              <w:rPr>
                <w:sz w:val="21"/>
              </w:rPr>
            </w:pPr>
            <w:r>
              <w:rPr>
                <w:sz w:val="21"/>
              </w:rPr>
              <w:t>未导致新增污染物种类及其他污染</w:t>
            </w:r>
          </w:p>
          <w:p>
            <w:pPr>
              <w:pStyle w:val="TableParagraph"/>
              <w:spacing w:line="250" w:lineRule="exact" w:before="4"/>
              <w:ind w:left="104"/>
              <w:jc w:val="left"/>
              <w:rPr>
                <w:sz w:val="21"/>
              </w:rPr>
            </w:pPr>
            <w:r>
              <w:rPr>
                <w:sz w:val="21"/>
              </w:rPr>
              <w:t>物排放量增加。</w:t>
            </w:r>
          </w:p>
        </w:tc>
        <w:tc>
          <w:tcPr>
            <w:tcW w:w="1235" w:type="dxa"/>
            <w:tcBorders>
              <w:top w:val="single" w:sz="6" w:space="0" w:color="000000"/>
              <w:left w:val="single" w:sz="6" w:space="0" w:color="000000"/>
            </w:tcBorders>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
              <w:jc w:val="left"/>
              <w:rPr>
                <w:b/>
                <w:sz w:val="25"/>
              </w:rPr>
            </w:pPr>
          </w:p>
          <w:p>
            <w:pPr>
              <w:pStyle w:val="TableParagraph"/>
              <w:ind w:left="3"/>
              <w:rPr>
                <w:b/>
                <w:sz w:val="21"/>
              </w:rPr>
            </w:pPr>
            <w:r>
              <w:rPr>
                <w:b/>
                <w:w w:val="100"/>
                <w:sz w:val="21"/>
              </w:rPr>
              <w:t>否</w:t>
            </w:r>
          </w:p>
        </w:tc>
      </w:tr>
    </w:tbl>
    <w:p>
      <w:pPr>
        <w:spacing w:after="0"/>
        <w:rPr>
          <w:sz w:val="21"/>
        </w:rPr>
        <w:sectPr>
          <w:pgSz w:w="11910" w:h="16850"/>
          <w:pgMar w:header="730" w:footer="690" w:top="1340" w:bottom="880" w:left="1200" w:right="1080"/>
        </w:sectPr>
      </w:pPr>
    </w:p>
    <w:p>
      <w:pPr>
        <w:pStyle w:val="BodyText"/>
        <w:spacing w:before="10"/>
        <w:rPr>
          <w:b/>
          <w:sz w:val="4"/>
        </w:rPr>
      </w:pPr>
    </w:p>
    <w:tbl>
      <w:tblPr>
        <w:tblW w:w="0" w:type="auto"/>
        <w:jc w:val="left"/>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67"/>
        <w:gridCol w:w="717"/>
        <w:gridCol w:w="3288"/>
        <w:gridCol w:w="3372"/>
        <w:gridCol w:w="1235"/>
      </w:tblGrid>
      <w:tr>
        <w:trPr>
          <w:trHeight w:val="544" w:hRule="atLeast"/>
        </w:trPr>
        <w:tc>
          <w:tcPr>
            <w:tcW w:w="667" w:type="dxa"/>
            <w:tcBorders>
              <w:bottom w:val="single" w:sz="6" w:space="0" w:color="000000"/>
              <w:right w:val="single" w:sz="6" w:space="0" w:color="000000"/>
            </w:tcBorders>
          </w:tcPr>
          <w:p>
            <w:pPr>
              <w:pStyle w:val="TableParagraph"/>
              <w:spacing w:before="138"/>
              <w:ind w:left="122"/>
              <w:jc w:val="left"/>
              <w:rPr>
                <w:b/>
                <w:sz w:val="21"/>
              </w:rPr>
            </w:pPr>
            <w:r>
              <w:rPr>
                <w:b/>
                <w:sz w:val="21"/>
              </w:rPr>
              <w:t>序号</w:t>
            </w:r>
          </w:p>
        </w:tc>
        <w:tc>
          <w:tcPr>
            <w:tcW w:w="4005" w:type="dxa"/>
            <w:gridSpan w:val="2"/>
            <w:tcBorders>
              <w:left w:val="single" w:sz="6" w:space="0" w:color="000000"/>
              <w:bottom w:val="single" w:sz="6" w:space="0" w:color="000000"/>
              <w:right w:val="single" w:sz="6" w:space="0" w:color="000000"/>
            </w:tcBorders>
          </w:tcPr>
          <w:p>
            <w:pPr>
              <w:pStyle w:val="TableParagraph"/>
              <w:spacing w:before="138"/>
              <w:ind w:left="1557" w:right="1549"/>
              <w:rPr>
                <w:b/>
                <w:sz w:val="21"/>
              </w:rPr>
            </w:pPr>
            <w:r>
              <w:rPr>
                <w:b/>
                <w:sz w:val="21"/>
              </w:rPr>
              <w:t>项目情况</w:t>
            </w:r>
          </w:p>
        </w:tc>
        <w:tc>
          <w:tcPr>
            <w:tcW w:w="3372" w:type="dxa"/>
            <w:tcBorders>
              <w:left w:val="single" w:sz="6" w:space="0" w:color="000000"/>
              <w:bottom w:val="single" w:sz="6" w:space="0" w:color="000000"/>
              <w:right w:val="single" w:sz="6" w:space="0" w:color="000000"/>
            </w:tcBorders>
          </w:tcPr>
          <w:p>
            <w:pPr>
              <w:pStyle w:val="TableParagraph"/>
              <w:spacing w:before="138"/>
              <w:ind w:left="85" w:right="75"/>
              <w:rPr>
                <w:b/>
                <w:sz w:val="21"/>
              </w:rPr>
            </w:pPr>
            <w:r>
              <w:rPr>
                <w:b/>
                <w:sz w:val="21"/>
              </w:rPr>
              <w:t>实际情况</w:t>
            </w:r>
          </w:p>
        </w:tc>
        <w:tc>
          <w:tcPr>
            <w:tcW w:w="1235" w:type="dxa"/>
            <w:tcBorders>
              <w:left w:val="single" w:sz="6" w:space="0" w:color="000000"/>
              <w:bottom w:val="single" w:sz="6" w:space="0" w:color="000000"/>
            </w:tcBorders>
          </w:tcPr>
          <w:p>
            <w:pPr>
              <w:pStyle w:val="TableParagraph"/>
              <w:spacing w:before="1"/>
              <w:ind w:left="174" w:right="167"/>
              <w:rPr>
                <w:b/>
                <w:sz w:val="21"/>
              </w:rPr>
            </w:pPr>
            <w:r>
              <w:rPr>
                <w:b/>
                <w:sz w:val="21"/>
              </w:rPr>
              <w:t>是否重大</w:t>
            </w:r>
          </w:p>
          <w:p>
            <w:pPr>
              <w:pStyle w:val="TableParagraph"/>
              <w:spacing w:line="252" w:lineRule="exact" w:before="2"/>
              <w:ind w:left="170" w:right="167"/>
              <w:rPr>
                <w:b/>
                <w:sz w:val="21"/>
              </w:rPr>
            </w:pPr>
            <w:r>
              <w:rPr>
                <w:b/>
                <w:sz w:val="21"/>
              </w:rPr>
              <w:t>变动</w:t>
            </w:r>
          </w:p>
        </w:tc>
      </w:tr>
      <w:tr>
        <w:trPr>
          <w:trHeight w:val="272" w:hRule="atLeast"/>
        </w:trPr>
        <w:tc>
          <w:tcPr>
            <w:tcW w:w="667" w:type="dxa"/>
            <w:vMerge w:val="restart"/>
            <w:tcBorders>
              <w:top w:val="single" w:sz="6" w:space="0" w:color="000000"/>
              <w:bottom w:val="single" w:sz="6" w:space="0" w:color="000000"/>
              <w:right w:val="single" w:sz="6" w:space="0" w:color="000000"/>
            </w:tcBorders>
          </w:tcPr>
          <w:p>
            <w:pPr>
              <w:pStyle w:val="TableParagraph"/>
              <w:jc w:val="left"/>
              <w:rPr>
                <w:rFonts w:ascii="Times New Roman"/>
                <w:sz w:val="20"/>
              </w:rPr>
            </w:pPr>
          </w:p>
        </w:tc>
        <w:tc>
          <w:tcPr>
            <w:tcW w:w="717" w:type="dxa"/>
            <w:vMerge w:val="restart"/>
            <w:tcBorders>
              <w:top w:val="single" w:sz="6" w:space="0" w:color="000000"/>
              <w:left w:val="single" w:sz="6" w:space="0" w:color="000000"/>
              <w:bottom w:val="single" w:sz="6" w:space="0" w:color="000000"/>
              <w:right w:val="single" w:sz="6" w:space="0" w:color="000000"/>
            </w:tcBorders>
          </w:tcPr>
          <w:p>
            <w:pPr>
              <w:pStyle w:val="TableParagraph"/>
              <w:jc w:val="left"/>
              <w:rPr>
                <w:rFonts w:ascii="Times New Roman"/>
                <w:sz w:val="20"/>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1"/>
              <w:ind w:left="103"/>
              <w:jc w:val="left"/>
              <w:rPr>
                <w:sz w:val="21"/>
              </w:rPr>
            </w:pPr>
            <w:r>
              <w:rPr>
                <w:sz w:val="21"/>
              </w:rPr>
              <w:t>增加 </w:t>
            </w:r>
            <w:r>
              <w:rPr>
                <w:rFonts w:ascii="Times New Roman" w:eastAsia="Times New Roman"/>
                <w:sz w:val="21"/>
              </w:rPr>
              <w:t>10%</w:t>
            </w:r>
            <w:r>
              <w:rPr>
                <w:sz w:val="21"/>
              </w:rPr>
              <w:t>及以上的。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jc w:val="left"/>
              <w:rPr>
                <w:rFonts w:ascii="Times New Roman"/>
                <w:sz w:val="20"/>
              </w:rPr>
            </w:pPr>
          </w:p>
        </w:tc>
        <w:tc>
          <w:tcPr>
            <w:tcW w:w="1235" w:type="dxa"/>
            <w:tcBorders>
              <w:top w:val="single" w:sz="6" w:space="0" w:color="000000"/>
              <w:left w:val="single" w:sz="6" w:space="0" w:color="000000"/>
              <w:bottom w:val="single" w:sz="6" w:space="0" w:color="000000"/>
            </w:tcBorders>
          </w:tcPr>
          <w:p>
            <w:pPr>
              <w:pStyle w:val="TableParagraph"/>
              <w:jc w:val="left"/>
              <w:rPr>
                <w:rFonts w:ascii="Times New Roman"/>
                <w:sz w:val="20"/>
              </w:rPr>
            </w:pPr>
          </w:p>
        </w:tc>
      </w:tr>
      <w:tr>
        <w:trPr>
          <w:trHeight w:val="815" w:hRule="atLeast"/>
        </w:trPr>
        <w:tc>
          <w:tcPr>
            <w:tcW w:w="667" w:type="dxa"/>
            <w:vMerge/>
            <w:tcBorders>
              <w:top w:val="nil"/>
              <w:bottom w:val="single" w:sz="6" w:space="0" w:color="000000"/>
              <w:right w:val="single" w:sz="6" w:space="0" w:color="000000"/>
            </w:tcBorders>
          </w:tcPr>
          <w:p>
            <w:pPr>
              <w:rPr>
                <w:sz w:val="2"/>
                <w:szCs w:val="2"/>
              </w:rPr>
            </w:pPr>
          </w:p>
        </w:tc>
        <w:tc>
          <w:tcPr>
            <w:tcW w:w="717" w:type="dxa"/>
            <w:vMerge/>
            <w:tcBorders>
              <w:top w:val="nil"/>
              <w:left w:val="single" w:sz="6" w:space="0" w:color="000000"/>
              <w:bottom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
              <w:ind w:left="103" w:right="-15"/>
              <w:jc w:val="left"/>
              <w:rPr>
                <w:sz w:val="21"/>
              </w:rPr>
            </w:pPr>
            <w:r>
              <w:rPr>
                <w:rFonts w:ascii="Times New Roman" w:eastAsia="Times New Roman"/>
                <w:sz w:val="21"/>
              </w:rPr>
              <w:t>7.</w:t>
            </w:r>
            <w:r>
              <w:rPr>
                <w:spacing w:val="-14"/>
                <w:sz w:val="21"/>
              </w:rPr>
              <w:t>物料运输、装卸、贮存方式变化， </w:t>
            </w:r>
            <w:r>
              <w:rPr>
                <w:spacing w:val="-3"/>
                <w:sz w:val="21"/>
              </w:rPr>
              <w:t>导致大气污染物无组织排放量增</w:t>
            </w:r>
          </w:p>
          <w:p>
            <w:pPr>
              <w:pStyle w:val="TableParagraph"/>
              <w:spacing w:line="250" w:lineRule="exact" w:before="1"/>
              <w:ind w:left="103"/>
              <w:jc w:val="left"/>
              <w:rPr>
                <w:sz w:val="21"/>
              </w:rPr>
            </w:pPr>
            <w:r>
              <w:rPr>
                <w:sz w:val="21"/>
              </w:rPr>
              <w:t>加 </w:t>
            </w:r>
            <w:r>
              <w:rPr>
                <w:rFonts w:ascii="Times New Roman" w:eastAsia="Times New Roman"/>
                <w:sz w:val="21"/>
              </w:rPr>
              <w:t>10%</w:t>
            </w:r>
            <w:r>
              <w:rPr>
                <w:sz w:val="21"/>
              </w:rPr>
              <w:t>及以上的。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
              <w:ind w:left="104" w:right="96"/>
              <w:jc w:val="left"/>
              <w:rPr>
                <w:sz w:val="21"/>
              </w:rPr>
            </w:pPr>
            <w:r>
              <w:rPr>
                <w:sz w:val="21"/>
              </w:rPr>
              <w:t>企业已建项目物料运输、装卸方式未发生变化。未导致大气污染物无</w:t>
            </w:r>
          </w:p>
          <w:p>
            <w:pPr>
              <w:pStyle w:val="TableParagraph"/>
              <w:spacing w:line="250" w:lineRule="exact" w:before="1"/>
              <w:ind w:left="104"/>
              <w:jc w:val="left"/>
              <w:rPr>
                <w:sz w:val="21"/>
              </w:rPr>
            </w:pPr>
            <w:r>
              <w:rPr>
                <w:sz w:val="21"/>
              </w:rPr>
              <w:t>组织排放量发生变化。</w:t>
            </w:r>
          </w:p>
        </w:tc>
        <w:tc>
          <w:tcPr>
            <w:tcW w:w="1235" w:type="dxa"/>
            <w:tcBorders>
              <w:top w:val="single" w:sz="6" w:space="0" w:color="000000"/>
              <w:left w:val="single" w:sz="6" w:space="0" w:color="000000"/>
              <w:bottom w:val="single" w:sz="6" w:space="0" w:color="000000"/>
            </w:tcBorders>
          </w:tcPr>
          <w:p>
            <w:pPr>
              <w:pStyle w:val="TableParagraph"/>
              <w:spacing w:before="3"/>
              <w:jc w:val="left"/>
              <w:rPr>
                <w:b/>
                <w:sz w:val="21"/>
              </w:rPr>
            </w:pPr>
          </w:p>
          <w:p>
            <w:pPr>
              <w:pStyle w:val="TableParagraph"/>
              <w:ind w:left="3"/>
              <w:rPr>
                <w:b/>
                <w:sz w:val="21"/>
              </w:rPr>
            </w:pPr>
            <w:r>
              <w:rPr>
                <w:b/>
                <w:w w:val="100"/>
                <w:sz w:val="21"/>
              </w:rPr>
              <w:t>否</w:t>
            </w:r>
          </w:p>
        </w:tc>
      </w:tr>
      <w:tr>
        <w:trPr>
          <w:trHeight w:val="1633" w:hRule="atLeast"/>
        </w:trPr>
        <w:tc>
          <w:tcPr>
            <w:tcW w:w="667" w:type="dxa"/>
            <w:vMerge w:val="restart"/>
            <w:tcBorders>
              <w:top w:val="single" w:sz="6" w:space="0" w:color="000000"/>
              <w:right w:val="single" w:sz="6" w:space="0" w:color="000000"/>
            </w:tcBorders>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8"/>
              </w:rPr>
            </w:pPr>
          </w:p>
          <w:p>
            <w:pPr>
              <w:pStyle w:val="TableParagraph"/>
              <w:ind w:left="10"/>
              <w:rPr>
                <w:rFonts w:ascii="Times New Roman"/>
                <w:sz w:val="21"/>
              </w:rPr>
            </w:pPr>
            <w:r>
              <w:rPr>
                <w:rFonts w:ascii="Times New Roman"/>
                <w:w w:val="100"/>
                <w:sz w:val="21"/>
              </w:rPr>
              <w:t>5</w:t>
            </w:r>
          </w:p>
        </w:tc>
        <w:tc>
          <w:tcPr>
            <w:tcW w:w="717" w:type="dxa"/>
            <w:vMerge w:val="restart"/>
            <w:tcBorders>
              <w:top w:val="single" w:sz="6" w:space="0" w:color="000000"/>
              <w:left w:val="single" w:sz="6" w:space="0" w:color="000000"/>
              <w:right w:val="single" w:sz="6" w:space="0" w:color="000000"/>
            </w:tcBorders>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7"/>
              <w:jc w:val="left"/>
              <w:rPr>
                <w:b/>
                <w:sz w:val="27"/>
              </w:rPr>
            </w:pPr>
          </w:p>
          <w:p>
            <w:pPr>
              <w:pStyle w:val="TableParagraph"/>
              <w:spacing w:line="242" w:lineRule="auto"/>
              <w:ind w:left="143" w:right="133"/>
              <w:jc w:val="both"/>
              <w:rPr>
                <w:sz w:val="21"/>
              </w:rPr>
            </w:pPr>
            <w:r>
              <w:rPr>
                <w:sz w:val="21"/>
              </w:rPr>
              <w:t>环境保护措施</w:t>
            </w: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3"/>
              <w:ind w:left="103" w:right="68"/>
              <w:jc w:val="both"/>
              <w:rPr>
                <w:rFonts w:ascii="Times New Roman" w:eastAsia="Times New Roman"/>
                <w:sz w:val="21"/>
              </w:rPr>
            </w:pPr>
            <w:r>
              <w:rPr>
                <w:rFonts w:ascii="Times New Roman" w:eastAsia="Times New Roman"/>
                <w:sz w:val="21"/>
              </w:rPr>
              <w:t>8.</w:t>
            </w:r>
            <w:r>
              <w:rPr>
                <w:spacing w:val="-4"/>
                <w:sz w:val="21"/>
              </w:rPr>
              <w:t>废气、废水污染防治措施变化， </w:t>
            </w:r>
            <w:r>
              <w:rPr>
                <w:spacing w:val="-14"/>
                <w:sz w:val="21"/>
              </w:rPr>
              <w:t>导致第 </w:t>
            </w:r>
            <w:r>
              <w:rPr>
                <w:rFonts w:ascii="Times New Roman" w:eastAsia="Times New Roman"/>
                <w:sz w:val="21"/>
              </w:rPr>
              <w:t>6 </w:t>
            </w:r>
            <w:r>
              <w:rPr>
                <w:spacing w:val="-13"/>
                <w:sz w:val="21"/>
              </w:rPr>
              <w:t>条中所列情形之一</w:t>
            </w:r>
            <w:r>
              <w:rPr>
                <w:sz w:val="21"/>
              </w:rPr>
              <w:t>（</w:t>
            </w:r>
            <w:r>
              <w:rPr>
                <w:spacing w:val="-2"/>
                <w:sz w:val="21"/>
              </w:rPr>
              <w:t>废气</w:t>
            </w:r>
            <w:r>
              <w:rPr>
                <w:spacing w:val="-9"/>
                <w:sz w:val="21"/>
              </w:rPr>
              <w:t>无组织排放改为有组织排放、污染</w:t>
            </w:r>
            <w:r>
              <w:rPr>
                <w:spacing w:val="-5"/>
                <w:sz w:val="21"/>
              </w:rPr>
              <w:t>防治措施强化或改进的除外</w:t>
            </w:r>
            <w:r>
              <w:rPr>
                <w:spacing w:val="-80"/>
                <w:sz w:val="21"/>
              </w:rPr>
              <w:t>）</w:t>
            </w:r>
            <w:r>
              <w:rPr>
                <w:spacing w:val="-2"/>
                <w:sz w:val="21"/>
              </w:rPr>
              <w:t>或大</w:t>
            </w:r>
            <w:r>
              <w:rPr>
                <w:spacing w:val="-7"/>
                <w:sz w:val="21"/>
              </w:rPr>
              <w:t>气污染物无组织排放量增加 </w:t>
            </w:r>
            <w:r>
              <w:rPr>
                <w:rFonts w:ascii="Times New Roman" w:eastAsia="Times New Roman"/>
                <w:sz w:val="21"/>
              </w:rPr>
              <w:t>10%</w:t>
            </w:r>
          </w:p>
          <w:p>
            <w:pPr>
              <w:pStyle w:val="TableParagraph"/>
              <w:spacing w:line="250" w:lineRule="exact" w:before="2"/>
              <w:ind w:left="103"/>
              <w:jc w:val="left"/>
              <w:rPr>
                <w:sz w:val="21"/>
              </w:rPr>
            </w:pPr>
            <w:r>
              <w:rPr>
                <w:sz w:val="21"/>
              </w:rPr>
              <w:t>及以上的。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jc w:val="left"/>
              <w:rPr>
                <w:b/>
                <w:sz w:val="20"/>
              </w:rPr>
            </w:pPr>
          </w:p>
          <w:p>
            <w:pPr>
              <w:pStyle w:val="TableParagraph"/>
              <w:spacing w:before="7"/>
              <w:jc w:val="left"/>
              <w:rPr>
                <w:b/>
                <w:sz w:val="22"/>
              </w:rPr>
            </w:pPr>
          </w:p>
          <w:p>
            <w:pPr>
              <w:pStyle w:val="TableParagraph"/>
              <w:spacing w:line="244" w:lineRule="auto"/>
              <w:ind w:left="104" w:right="89"/>
              <w:jc w:val="left"/>
              <w:rPr>
                <w:sz w:val="21"/>
              </w:rPr>
            </w:pPr>
            <w:r>
              <w:rPr>
                <w:sz w:val="21"/>
              </w:rPr>
              <w:t>企业已建项目废气、废水治理设施未发生变化。</w:t>
            </w:r>
          </w:p>
        </w:tc>
        <w:tc>
          <w:tcPr>
            <w:tcW w:w="1235" w:type="dxa"/>
            <w:tcBorders>
              <w:top w:val="single" w:sz="6" w:space="0" w:color="000000"/>
              <w:left w:val="single" w:sz="6" w:space="0" w:color="000000"/>
              <w:bottom w:val="single" w:sz="6" w:space="0" w:color="000000"/>
            </w:tcBorders>
          </w:tcPr>
          <w:p>
            <w:pPr>
              <w:pStyle w:val="TableParagraph"/>
              <w:jc w:val="left"/>
              <w:rPr>
                <w:b/>
                <w:sz w:val="20"/>
              </w:rPr>
            </w:pPr>
          </w:p>
          <w:p>
            <w:pPr>
              <w:pStyle w:val="TableParagraph"/>
              <w:jc w:val="left"/>
              <w:rPr>
                <w:b/>
                <w:sz w:val="20"/>
              </w:rPr>
            </w:pPr>
          </w:p>
          <w:p>
            <w:pPr>
              <w:pStyle w:val="TableParagraph"/>
              <w:spacing w:before="170"/>
              <w:ind w:left="3"/>
              <w:rPr>
                <w:b/>
                <w:sz w:val="21"/>
              </w:rPr>
            </w:pPr>
            <w:r>
              <w:rPr>
                <w:b/>
                <w:w w:val="100"/>
                <w:sz w:val="21"/>
              </w:rPr>
              <w:t>否</w:t>
            </w:r>
          </w:p>
        </w:tc>
      </w:tr>
      <w:tr>
        <w:trPr>
          <w:trHeight w:val="1091" w:hRule="atLeast"/>
        </w:trPr>
        <w:tc>
          <w:tcPr>
            <w:tcW w:w="667" w:type="dxa"/>
            <w:vMerge/>
            <w:tcBorders>
              <w:top w:val="nil"/>
              <w:right w:val="single" w:sz="6" w:space="0" w:color="000000"/>
            </w:tcBorders>
          </w:tcPr>
          <w:p>
            <w:pPr>
              <w:rPr>
                <w:sz w:val="2"/>
                <w:szCs w:val="2"/>
              </w:rPr>
            </w:pPr>
          </w:p>
        </w:tc>
        <w:tc>
          <w:tcPr>
            <w:tcW w:w="717" w:type="dxa"/>
            <w:vMerge/>
            <w:tcBorders>
              <w:top w:val="nil"/>
              <w:left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3"/>
              <w:ind w:left="103" w:right="92"/>
              <w:jc w:val="both"/>
              <w:rPr>
                <w:sz w:val="21"/>
              </w:rPr>
            </w:pPr>
            <w:r>
              <w:rPr>
                <w:rFonts w:ascii="Times New Roman" w:eastAsia="Times New Roman"/>
                <w:sz w:val="21"/>
              </w:rPr>
              <w:t>9.</w:t>
            </w:r>
            <w:r>
              <w:rPr>
                <w:spacing w:val="-7"/>
                <w:sz w:val="21"/>
              </w:rPr>
              <w:t>新增废水直接排放口；废水由间</w:t>
            </w:r>
            <w:r>
              <w:rPr>
                <w:spacing w:val="-12"/>
                <w:sz w:val="21"/>
              </w:rPr>
              <w:t>接排放改为直接排放；废水直接排放口位置变化，导致不利环境影响</w:t>
            </w:r>
          </w:p>
          <w:p>
            <w:pPr>
              <w:pStyle w:val="TableParagraph"/>
              <w:spacing w:line="252" w:lineRule="exact" w:before="1"/>
              <w:ind w:left="103"/>
              <w:jc w:val="left"/>
              <w:rPr>
                <w:sz w:val="21"/>
              </w:rPr>
            </w:pPr>
            <w:r>
              <w:rPr>
                <w:sz w:val="21"/>
              </w:rPr>
              <w:t>加重的。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4" w:right="-15"/>
              <w:jc w:val="left"/>
              <w:rPr>
                <w:sz w:val="21"/>
              </w:rPr>
            </w:pPr>
            <w:r>
              <w:rPr>
                <w:spacing w:val="-3"/>
                <w:sz w:val="21"/>
              </w:rPr>
              <w:t>企业未新增废水直接排放口；废水</w:t>
            </w:r>
            <w:r>
              <w:rPr>
                <w:spacing w:val="-12"/>
                <w:sz w:val="21"/>
              </w:rPr>
              <w:t>排放方式为间接排放，未发生改变； </w:t>
            </w:r>
            <w:r>
              <w:rPr>
                <w:spacing w:val="-3"/>
                <w:sz w:val="21"/>
              </w:rPr>
              <w:t>排放口位置未发生变化。</w:t>
            </w:r>
          </w:p>
        </w:tc>
        <w:tc>
          <w:tcPr>
            <w:tcW w:w="1235" w:type="dxa"/>
            <w:tcBorders>
              <w:top w:val="single" w:sz="6" w:space="0" w:color="000000"/>
              <w:left w:val="single" w:sz="6" w:space="0" w:color="000000"/>
              <w:bottom w:val="single" w:sz="6" w:space="0" w:color="000000"/>
            </w:tcBorders>
          </w:tcPr>
          <w:p>
            <w:pPr>
              <w:pStyle w:val="TableParagraph"/>
              <w:jc w:val="left"/>
              <w:rPr>
                <w:b/>
                <w:sz w:val="20"/>
              </w:rPr>
            </w:pPr>
          </w:p>
          <w:p>
            <w:pPr>
              <w:pStyle w:val="TableParagraph"/>
              <w:spacing w:before="155"/>
              <w:ind w:left="3"/>
              <w:rPr>
                <w:b/>
                <w:sz w:val="21"/>
              </w:rPr>
            </w:pPr>
            <w:r>
              <w:rPr>
                <w:b/>
                <w:w w:val="100"/>
                <w:sz w:val="21"/>
              </w:rPr>
              <w:t>否</w:t>
            </w:r>
          </w:p>
        </w:tc>
      </w:tr>
      <w:tr>
        <w:trPr>
          <w:trHeight w:val="1089" w:hRule="atLeast"/>
        </w:trPr>
        <w:tc>
          <w:tcPr>
            <w:tcW w:w="667" w:type="dxa"/>
            <w:vMerge/>
            <w:tcBorders>
              <w:top w:val="nil"/>
              <w:right w:val="single" w:sz="6" w:space="0" w:color="000000"/>
            </w:tcBorders>
          </w:tcPr>
          <w:p>
            <w:pPr>
              <w:rPr>
                <w:sz w:val="2"/>
                <w:szCs w:val="2"/>
              </w:rPr>
            </w:pPr>
          </w:p>
        </w:tc>
        <w:tc>
          <w:tcPr>
            <w:tcW w:w="717" w:type="dxa"/>
            <w:vMerge/>
            <w:tcBorders>
              <w:top w:val="nil"/>
              <w:left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
              <w:ind w:left="103" w:right="118"/>
              <w:jc w:val="left"/>
              <w:rPr>
                <w:sz w:val="21"/>
              </w:rPr>
            </w:pPr>
            <w:r>
              <w:rPr>
                <w:rFonts w:ascii="Times New Roman" w:eastAsia="Times New Roman"/>
                <w:sz w:val="21"/>
              </w:rPr>
              <w:t>10.</w:t>
            </w:r>
            <w:r>
              <w:rPr>
                <w:spacing w:val="-3"/>
                <w:sz w:val="21"/>
              </w:rPr>
              <w:t>新增废气主要排放口（</w:t>
            </w:r>
            <w:r>
              <w:rPr>
                <w:sz w:val="21"/>
              </w:rPr>
              <w:t>废气无</w:t>
            </w:r>
            <w:r>
              <w:rPr>
                <w:spacing w:val="-3"/>
                <w:sz w:val="21"/>
              </w:rPr>
              <w:t>组织排放改为有组织排放的除</w:t>
            </w:r>
            <w:r>
              <w:rPr>
                <w:w w:val="100"/>
                <w:sz w:val="21"/>
              </w:rPr>
              <w:t>外</w:t>
            </w:r>
            <w:r>
              <w:rPr>
                <w:spacing w:val="-106"/>
                <w:w w:val="100"/>
                <w:sz w:val="21"/>
              </w:rPr>
              <w:t>）</w:t>
            </w:r>
            <w:r>
              <w:rPr>
                <w:spacing w:val="-4"/>
                <w:w w:val="100"/>
                <w:sz w:val="21"/>
              </w:rPr>
              <w:t>；主要排放口排气筒高度降低</w:t>
            </w:r>
          </w:p>
          <w:p>
            <w:pPr>
              <w:pStyle w:val="TableParagraph"/>
              <w:spacing w:line="252" w:lineRule="exact"/>
              <w:ind w:left="103"/>
              <w:jc w:val="left"/>
              <w:rPr>
                <w:sz w:val="21"/>
              </w:rPr>
            </w:pPr>
            <w:r>
              <w:rPr>
                <w:rFonts w:ascii="Times New Roman" w:eastAsia="Times New Roman"/>
                <w:sz w:val="21"/>
              </w:rPr>
              <w:t>10%</w:t>
            </w:r>
            <w:r>
              <w:rPr>
                <w:sz w:val="21"/>
              </w:rPr>
              <w:t>及以上的。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before="3"/>
              <w:jc w:val="left"/>
              <w:rPr>
                <w:b/>
                <w:sz w:val="21"/>
              </w:rPr>
            </w:pPr>
          </w:p>
          <w:p>
            <w:pPr>
              <w:pStyle w:val="TableParagraph"/>
              <w:spacing w:line="244" w:lineRule="auto"/>
              <w:ind w:left="104" w:right="89"/>
              <w:jc w:val="left"/>
              <w:rPr>
                <w:sz w:val="21"/>
              </w:rPr>
            </w:pPr>
            <w:r>
              <w:rPr>
                <w:sz w:val="21"/>
              </w:rPr>
              <w:t>企业未新增废气主要排放口；主要排放口排气筒高度未降低。</w:t>
            </w:r>
          </w:p>
        </w:tc>
        <w:tc>
          <w:tcPr>
            <w:tcW w:w="1235" w:type="dxa"/>
            <w:tcBorders>
              <w:top w:val="single" w:sz="6" w:space="0" w:color="000000"/>
              <w:left w:val="single" w:sz="6" w:space="0" w:color="000000"/>
              <w:bottom w:val="single" w:sz="6" w:space="0" w:color="000000"/>
            </w:tcBorders>
          </w:tcPr>
          <w:p>
            <w:pPr>
              <w:pStyle w:val="TableParagraph"/>
              <w:jc w:val="left"/>
              <w:rPr>
                <w:b/>
                <w:sz w:val="20"/>
              </w:rPr>
            </w:pPr>
          </w:p>
          <w:p>
            <w:pPr>
              <w:pStyle w:val="TableParagraph"/>
              <w:spacing w:before="152"/>
              <w:ind w:left="3"/>
              <w:rPr>
                <w:b/>
                <w:sz w:val="21"/>
              </w:rPr>
            </w:pPr>
            <w:r>
              <w:rPr>
                <w:b/>
                <w:w w:val="100"/>
                <w:sz w:val="21"/>
              </w:rPr>
              <w:t>否</w:t>
            </w:r>
          </w:p>
        </w:tc>
      </w:tr>
      <w:tr>
        <w:trPr>
          <w:trHeight w:val="815" w:hRule="atLeast"/>
        </w:trPr>
        <w:tc>
          <w:tcPr>
            <w:tcW w:w="667" w:type="dxa"/>
            <w:vMerge/>
            <w:tcBorders>
              <w:top w:val="nil"/>
              <w:right w:val="single" w:sz="6" w:space="0" w:color="000000"/>
            </w:tcBorders>
          </w:tcPr>
          <w:p>
            <w:pPr>
              <w:rPr>
                <w:sz w:val="2"/>
                <w:szCs w:val="2"/>
              </w:rPr>
            </w:pPr>
          </w:p>
        </w:tc>
        <w:tc>
          <w:tcPr>
            <w:tcW w:w="717" w:type="dxa"/>
            <w:vMerge/>
            <w:tcBorders>
              <w:top w:val="nil"/>
              <w:left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
              <w:ind w:left="103" w:right="92"/>
              <w:jc w:val="left"/>
              <w:rPr>
                <w:sz w:val="21"/>
              </w:rPr>
            </w:pPr>
            <w:r>
              <w:rPr>
                <w:rFonts w:ascii="Times New Roman" w:eastAsia="Times New Roman"/>
                <w:spacing w:val="-3"/>
                <w:sz w:val="21"/>
              </w:rPr>
              <w:t>11.</w:t>
            </w:r>
            <w:r>
              <w:rPr>
                <w:spacing w:val="-3"/>
                <w:sz w:val="21"/>
              </w:rPr>
              <w:t>噪声、土壤或地下水污染防治</w:t>
            </w:r>
            <w:r>
              <w:rPr>
                <w:spacing w:val="-13"/>
                <w:sz w:val="21"/>
              </w:rPr>
              <w:t>措施变化，导致不利环境影响加重</w:t>
            </w:r>
          </w:p>
          <w:p>
            <w:pPr>
              <w:pStyle w:val="TableParagraph"/>
              <w:spacing w:line="250" w:lineRule="exact" w:before="1"/>
              <w:ind w:left="103"/>
              <w:jc w:val="left"/>
              <w:rPr>
                <w:sz w:val="21"/>
              </w:rPr>
            </w:pPr>
            <w:r>
              <w:rPr>
                <w:sz w:val="21"/>
              </w:rPr>
              <w:t>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4" w:right="96"/>
              <w:jc w:val="left"/>
              <w:rPr>
                <w:sz w:val="21"/>
              </w:rPr>
            </w:pPr>
            <w:r>
              <w:rPr>
                <w:sz w:val="21"/>
              </w:rPr>
              <w:t>企业噪声、土壤或地下水污染防治措施未发生变化。</w:t>
            </w:r>
          </w:p>
        </w:tc>
        <w:tc>
          <w:tcPr>
            <w:tcW w:w="1235" w:type="dxa"/>
            <w:tcBorders>
              <w:top w:val="single" w:sz="6" w:space="0" w:color="000000"/>
              <w:left w:val="single" w:sz="6" w:space="0" w:color="000000"/>
              <w:bottom w:val="single" w:sz="6" w:space="0" w:color="000000"/>
            </w:tcBorders>
          </w:tcPr>
          <w:p>
            <w:pPr>
              <w:pStyle w:val="TableParagraph"/>
              <w:spacing w:before="3"/>
              <w:jc w:val="left"/>
              <w:rPr>
                <w:b/>
                <w:sz w:val="21"/>
              </w:rPr>
            </w:pPr>
          </w:p>
          <w:p>
            <w:pPr>
              <w:pStyle w:val="TableParagraph"/>
              <w:ind w:left="3"/>
              <w:rPr>
                <w:b/>
                <w:sz w:val="21"/>
              </w:rPr>
            </w:pPr>
            <w:r>
              <w:rPr>
                <w:b/>
                <w:w w:val="100"/>
                <w:sz w:val="21"/>
              </w:rPr>
              <w:t>否</w:t>
            </w:r>
          </w:p>
        </w:tc>
      </w:tr>
      <w:tr>
        <w:trPr>
          <w:trHeight w:val="1634" w:hRule="atLeast"/>
        </w:trPr>
        <w:tc>
          <w:tcPr>
            <w:tcW w:w="667" w:type="dxa"/>
            <w:vMerge/>
            <w:tcBorders>
              <w:top w:val="nil"/>
              <w:right w:val="single" w:sz="6" w:space="0" w:color="000000"/>
            </w:tcBorders>
          </w:tcPr>
          <w:p>
            <w:pPr>
              <w:rPr>
                <w:sz w:val="2"/>
                <w:szCs w:val="2"/>
              </w:rPr>
            </w:pPr>
          </w:p>
        </w:tc>
        <w:tc>
          <w:tcPr>
            <w:tcW w:w="717" w:type="dxa"/>
            <w:vMerge/>
            <w:tcBorders>
              <w:top w:val="nil"/>
              <w:left w:val="single" w:sz="6" w:space="0" w:color="000000"/>
              <w:right w:val="single" w:sz="6" w:space="0" w:color="000000"/>
            </w:tcBorders>
          </w:tcPr>
          <w:p>
            <w:pPr>
              <w:rPr>
                <w:sz w:val="2"/>
                <w:szCs w:val="2"/>
              </w:rPr>
            </w:pPr>
          </w:p>
        </w:tc>
        <w:tc>
          <w:tcPr>
            <w:tcW w:w="328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3"/>
              <w:ind w:left="103" w:right="92"/>
              <w:jc w:val="left"/>
              <w:rPr>
                <w:sz w:val="21"/>
              </w:rPr>
            </w:pPr>
            <w:r>
              <w:rPr>
                <w:rFonts w:ascii="Times New Roman" w:eastAsia="Times New Roman"/>
                <w:sz w:val="21"/>
              </w:rPr>
              <w:t>12.</w:t>
            </w:r>
            <w:r>
              <w:rPr>
                <w:spacing w:val="-3"/>
                <w:sz w:val="21"/>
              </w:rPr>
              <w:t>固体废物利用处置方式由委托外单位利用处置改为自行利用处</w:t>
            </w:r>
            <w:r>
              <w:rPr>
                <w:spacing w:val="-42"/>
                <w:sz w:val="21"/>
              </w:rPr>
              <w:t>置的</w:t>
            </w:r>
            <w:r>
              <w:rPr>
                <w:spacing w:val="-3"/>
                <w:sz w:val="21"/>
              </w:rPr>
              <w:t>（</w:t>
            </w:r>
            <w:r>
              <w:rPr>
                <w:spacing w:val="-4"/>
                <w:sz w:val="21"/>
              </w:rPr>
              <w:t>自行利用处置设施单独开展</w:t>
            </w:r>
            <w:r>
              <w:rPr>
                <w:spacing w:val="-3"/>
                <w:w w:val="100"/>
                <w:sz w:val="21"/>
              </w:rPr>
              <w:t>环境影响评价的除外</w:t>
            </w:r>
            <w:r>
              <w:rPr>
                <w:spacing w:val="-106"/>
                <w:w w:val="100"/>
                <w:sz w:val="21"/>
              </w:rPr>
              <w:t>）</w:t>
            </w:r>
            <w:r>
              <w:rPr>
                <w:spacing w:val="-2"/>
                <w:w w:val="100"/>
                <w:sz w:val="21"/>
              </w:rPr>
              <w:t>；固体废物</w:t>
            </w:r>
            <w:r>
              <w:rPr>
                <w:spacing w:val="-12"/>
                <w:sz w:val="21"/>
              </w:rPr>
              <w:t>自行处置方式变化，导致不利环境</w:t>
            </w:r>
          </w:p>
          <w:p>
            <w:pPr>
              <w:pStyle w:val="TableParagraph"/>
              <w:spacing w:line="250" w:lineRule="exact" w:before="2"/>
              <w:ind w:left="103"/>
              <w:jc w:val="left"/>
              <w:rPr>
                <w:sz w:val="21"/>
              </w:rPr>
            </w:pPr>
            <w:r>
              <w:rPr>
                <w:sz w:val="21"/>
              </w:rPr>
              <w:t>影响加重的。</w:t>
            </w:r>
          </w:p>
        </w:tc>
        <w:tc>
          <w:tcPr>
            <w:tcW w:w="3372" w:type="dxa"/>
            <w:tcBorders>
              <w:top w:val="single" w:sz="6" w:space="0" w:color="000000"/>
              <w:left w:val="single" w:sz="6" w:space="0" w:color="000000"/>
              <w:bottom w:val="single" w:sz="6" w:space="0" w:color="000000"/>
              <w:right w:val="single" w:sz="6" w:space="0" w:color="000000"/>
            </w:tcBorders>
          </w:tcPr>
          <w:p>
            <w:pPr>
              <w:pStyle w:val="TableParagraph"/>
              <w:jc w:val="left"/>
              <w:rPr>
                <w:b/>
                <w:sz w:val="20"/>
              </w:rPr>
            </w:pPr>
          </w:p>
          <w:p>
            <w:pPr>
              <w:pStyle w:val="TableParagraph"/>
              <w:spacing w:before="9"/>
              <w:jc w:val="left"/>
              <w:rPr>
                <w:b/>
                <w:sz w:val="22"/>
              </w:rPr>
            </w:pPr>
          </w:p>
          <w:p>
            <w:pPr>
              <w:pStyle w:val="TableParagraph"/>
              <w:spacing w:line="242" w:lineRule="auto" w:before="1"/>
              <w:ind w:left="104" w:right="305"/>
              <w:jc w:val="left"/>
              <w:rPr>
                <w:sz w:val="21"/>
              </w:rPr>
            </w:pPr>
            <w:r>
              <w:rPr>
                <w:sz w:val="21"/>
              </w:rPr>
              <w:t>企业固体废物处置方式未发生改变。</w:t>
            </w:r>
          </w:p>
        </w:tc>
        <w:tc>
          <w:tcPr>
            <w:tcW w:w="1235" w:type="dxa"/>
            <w:tcBorders>
              <w:top w:val="single" w:sz="6" w:space="0" w:color="000000"/>
              <w:left w:val="single" w:sz="6" w:space="0" w:color="000000"/>
              <w:bottom w:val="single" w:sz="6" w:space="0" w:color="000000"/>
            </w:tcBorders>
          </w:tcPr>
          <w:p>
            <w:pPr>
              <w:pStyle w:val="TableParagraph"/>
              <w:jc w:val="left"/>
              <w:rPr>
                <w:b/>
                <w:sz w:val="20"/>
              </w:rPr>
            </w:pPr>
          </w:p>
          <w:p>
            <w:pPr>
              <w:pStyle w:val="TableParagraph"/>
              <w:jc w:val="left"/>
              <w:rPr>
                <w:b/>
                <w:sz w:val="20"/>
              </w:rPr>
            </w:pPr>
          </w:p>
          <w:p>
            <w:pPr>
              <w:pStyle w:val="TableParagraph"/>
              <w:spacing w:before="170"/>
              <w:ind w:left="3"/>
              <w:rPr>
                <w:b/>
                <w:sz w:val="21"/>
              </w:rPr>
            </w:pPr>
            <w:r>
              <w:rPr>
                <w:b/>
                <w:w w:val="100"/>
                <w:sz w:val="21"/>
              </w:rPr>
              <w:t>否</w:t>
            </w:r>
          </w:p>
        </w:tc>
      </w:tr>
      <w:tr>
        <w:trPr>
          <w:trHeight w:val="818" w:hRule="atLeast"/>
        </w:trPr>
        <w:tc>
          <w:tcPr>
            <w:tcW w:w="667" w:type="dxa"/>
            <w:vMerge/>
            <w:tcBorders>
              <w:top w:val="nil"/>
              <w:right w:val="single" w:sz="6" w:space="0" w:color="000000"/>
            </w:tcBorders>
          </w:tcPr>
          <w:p>
            <w:pPr>
              <w:rPr>
                <w:sz w:val="2"/>
                <w:szCs w:val="2"/>
              </w:rPr>
            </w:pPr>
          </w:p>
        </w:tc>
        <w:tc>
          <w:tcPr>
            <w:tcW w:w="717" w:type="dxa"/>
            <w:vMerge/>
            <w:tcBorders>
              <w:top w:val="nil"/>
              <w:left w:val="single" w:sz="6" w:space="0" w:color="000000"/>
              <w:right w:val="single" w:sz="6" w:space="0" w:color="000000"/>
            </w:tcBorders>
          </w:tcPr>
          <w:p>
            <w:pPr>
              <w:rPr>
                <w:sz w:val="2"/>
                <w:szCs w:val="2"/>
              </w:rPr>
            </w:pPr>
          </w:p>
        </w:tc>
        <w:tc>
          <w:tcPr>
            <w:tcW w:w="3288" w:type="dxa"/>
            <w:tcBorders>
              <w:top w:val="single" w:sz="6" w:space="0" w:color="000000"/>
              <w:left w:val="single" w:sz="6" w:space="0" w:color="000000"/>
              <w:right w:val="single" w:sz="6" w:space="0" w:color="000000"/>
            </w:tcBorders>
          </w:tcPr>
          <w:p>
            <w:pPr>
              <w:pStyle w:val="TableParagraph"/>
              <w:spacing w:line="242" w:lineRule="auto" w:before="3"/>
              <w:ind w:left="103" w:right="19"/>
              <w:jc w:val="left"/>
              <w:rPr>
                <w:sz w:val="21"/>
              </w:rPr>
            </w:pPr>
            <w:r>
              <w:rPr>
                <w:rFonts w:ascii="Times New Roman" w:eastAsia="Times New Roman"/>
                <w:sz w:val="21"/>
              </w:rPr>
              <w:t>13.</w:t>
            </w:r>
            <w:r>
              <w:rPr>
                <w:sz w:val="21"/>
              </w:rPr>
              <w:t>事故废水暂存能力或拦截设施变化，导致环境风险防范能力弱化</w:t>
            </w:r>
          </w:p>
          <w:p>
            <w:pPr>
              <w:pStyle w:val="TableParagraph"/>
              <w:spacing w:line="250" w:lineRule="exact" w:before="1"/>
              <w:ind w:left="103"/>
              <w:jc w:val="left"/>
              <w:rPr>
                <w:sz w:val="21"/>
              </w:rPr>
            </w:pPr>
            <w:r>
              <w:rPr>
                <w:sz w:val="21"/>
              </w:rPr>
              <w:t>或降低的。</w:t>
            </w:r>
          </w:p>
        </w:tc>
        <w:tc>
          <w:tcPr>
            <w:tcW w:w="3372" w:type="dxa"/>
            <w:tcBorders>
              <w:top w:val="single" w:sz="6" w:space="0" w:color="000000"/>
              <w:left w:val="single" w:sz="6" w:space="0" w:color="000000"/>
              <w:right w:val="single" w:sz="6" w:space="0" w:color="000000"/>
            </w:tcBorders>
          </w:tcPr>
          <w:p>
            <w:pPr>
              <w:pStyle w:val="TableParagraph"/>
              <w:spacing w:line="244" w:lineRule="auto" w:before="137"/>
              <w:ind w:left="104" w:right="64"/>
              <w:jc w:val="left"/>
              <w:rPr>
                <w:sz w:val="21"/>
              </w:rPr>
            </w:pPr>
            <w:r>
              <w:rPr>
                <w:sz w:val="21"/>
              </w:rPr>
              <w:t>企业设有事故池 </w:t>
            </w:r>
            <w:r>
              <w:rPr>
                <w:rFonts w:ascii="Times New Roman" w:eastAsia="Times New Roman"/>
                <w:sz w:val="21"/>
              </w:rPr>
              <w:t>320m</w:t>
            </w:r>
            <w:r>
              <w:rPr>
                <w:rFonts w:ascii="Times New Roman" w:eastAsia="Times New Roman"/>
                <w:position w:val="7"/>
                <w:sz w:val="14"/>
              </w:rPr>
              <w:t>3</w:t>
            </w:r>
            <w:r>
              <w:rPr>
                <w:sz w:val="21"/>
              </w:rPr>
              <w:t>，满足环境风险防范要求。</w:t>
            </w:r>
          </w:p>
        </w:tc>
        <w:tc>
          <w:tcPr>
            <w:tcW w:w="1235" w:type="dxa"/>
            <w:tcBorders>
              <w:top w:val="single" w:sz="6" w:space="0" w:color="000000"/>
              <w:left w:val="single" w:sz="6" w:space="0" w:color="000000"/>
            </w:tcBorders>
          </w:tcPr>
          <w:p>
            <w:pPr>
              <w:pStyle w:val="TableParagraph"/>
              <w:spacing w:before="5"/>
              <w:jc w:val="left"/>
              <w:rPr>
                <w:b/>
                <w:sz w:val="21"/>
              </w:rPr>
            </w:pPr>
          </w:p>
          <w:p>
            <w:pPr>
              <w:pStyle w:val="TableParagraph"/>
              <w:ind w:left="3"/>
              <w:rPr>
                <w:b/>
                <w:sz w:val="21"/>
              </w:rPr>
            </w:pPr>
            <w:r>
              <w:rPr>
                <w:b/>
                <w:w w:val="100"/>
                <w:sz w:val="21"/>
              </w:rPr>
              <w:t>否</w:t>
            </w:r>
          </w:p>
        </w:tc>
      </w:tr>
    </w:tbl>
    <w:p>
      <w:pPr>
        <w:spacing w:line="364" w:lineRule="auto" w:before="2"/>
        <w:ind w:left="218" w:right="334" w:firstLine="482"/>
        <w:jc w:val="left"/>
        <w:rPr>
          <w:b/>
          <w:sz w:val="24"/>
        </w:rPr>
      </w:pPr>
      <w:r>
        <w:rPr>
          <w:b/>
          <w:spacing w:val="-9"/>
          <w:sz w:val="24"/>
        </w:rPr>
        <w:t>综上分析，贝斯美已建项目的性质、规模、地点、生产工艺和环境保护措施均未发</w:t>
      </w:r>
      <w:r>
        <w:rPr>
          <w:b/>
          <w:sz w:val="24"/>
        </w:rPr>
        <w:t>生重大变动。</w:t>
      </w:r>
    </w:p>
    <w:p>
      <w:pPr>
        <w:pStyle w:val="ListParagraph"/>
        <w:numPr>
          <w:ilvl w:val="1"/>
          <w:numId w:val="13"/>
        </w:numPr>
        <w:tabs>
          <w:tab w:pos="639" w:val="left" w:leader="none"/>
        </w:tabs>
        <w:spacing w:line="358" w:lineRule="exact" w:before="0" w:after="0"/>
        <w:ind w:left="638" w:right="0" w:hanging="421"/>
        <w:jc w:val="left"/>
        <w:rPr>
          <w:b/>
          <w:sz w:val="28"/>
        </w:rPr>
      </w:pPr>
      <w:bookmarkStart w:name="_bookmark22" w:id="45"/>
      <w:bookmarkEnd w:id="45"/>
      <w:r>
        <w:rPr/>
      </w:r>
      <w:bookmarkStart w:name="_bookmark22" w:id="46"/>
      <w:bookmarkEnd w:id="46"/>
      <w:r>
        <w:rPr>
          <w:b/>
          <w:sz w:val="28"/>
        </w:rPr>
        <w:t>排污许可证执行情况</w:t>
      </w:r>
    </w:p>
    <w:p>
      <w:pPr>
        <w:pStyle w:val="BodyText"/>
        <w:spacing w:line="364" w:lineRule="auto" w:before="186"/>
        <w:ind w:left="218" w:right="210" w:firstLine="480"/>
      </w:pPr>
      <w:r>
        <w:rPr>
          <w:spacing w:val="-3"/>
        </w:rPr>
        <w:t>企业目前已按照排污许可证规定的内容、频次和时间要求，向审批部门提交排污许</w:t>
      </w:r>
      <w:r>
        <w:rPr>
          <w:spacing w:val="-9"/>
        </w:rPr>
        <w:t>可证执行报告，如实报告污染物排放行为、排放浓度、排放量等。</w:t>
      </w:r>
      <w:r>
        <w:rPr>
          <w:rFonts w:ascii="Times New Roman" w:eastAsia="Times New Roman"/>
        </w:rPr>
        <w:t>2021 </w:t>
      </w:r>
      <w:r>
        <w:rPr>
          <w:spacing w:val="-5"/>
        </w:rPr>
        <w:t>年，企业排污许</w:t>
      </w:r>
      <w:r>
        <w:rPr>
          <w:spacing w:val="-8"/>
        </w:rPr>
        <w:t>可执行情况与排污许可证一致；三废治理设施运行正常；按排污许可证要求开展自行监</w:t>
      </w:r>
      <w:r>
        <w:rPr>
          <w:spacing w:val="-14"/>
        </w:rPr>
        <w:t>测，监测结果均能满足相关标准要求；按排污许可证要求进行台账管理，资料保存完整； </w:t>
      </w:r>
      <w:r>
        <w:rPr>
          <w:spacing w:val="-3"/>
        </w:rPr>
        <w:t>实际污染物排放量在许可排放量范围内，无超标情况；按排污许可证要求进行了信息公开。</w:t>
      </w:r>
    </w:p>
    <w:p>
      <w:pPr>
        <w:spacing w:after="0" w:line="364" w:lineRule="auto"/>
        <w:sectPr>
          <w:pgSz w:w="11910" w:h="16850"/>
          <w:pgMar w:header="730" w:footer="690" w:top="1340" w:bottom="880" w:left="1200" w:right="1080"/>
        </w:sectPr>
      </w:pPr>
    </w:p>
    <w:p>
      <w:pPr>
        <w:pStyle w:val="Heading2"/>
        <w:numPr>
          <w:ilvl w:val="0"/>
          <w:numId w:val="13"/>
        </w:numPr>
        <w:tabs>
          <w:tab w:pos="445" w:val="left" w:leader="none"/>
        </w:tabs>
        <w:spacing w:line="240" w:lineRule="auto" w:before="66" w:after="0"/>
        <w:ind w:left="444" w:right="0" w:hanging="227"/>
        <w:jc w:val="left"/>
      </w:pPr>
      <w:bookmarkStart w:name="_bookmark23" w:id="47"/>
      <w:bookmarkEnd w:id="47"/>
      <w:r>
        <w:rPr>
          <w:b w:val="0"/>
        </w:rPr>
      </w:r>
      <w:bookmarkStart w:name="_bookmark23" w:id="48"/>
      <w:bookmarkEnd w:id="48"/>
      <w:r>
        <w:rPr/>
        <w:t>建设项目工程分析</w:t>
      </w:r>
    </w:p>
    <w:p>
      <w:pPr>
        <w:pStyle w:val="Heading3"/>
        <w:numPr>
          <w:ilvl w:val="1"/>
          <w:numId w:val="13"/>
        </w:numPr>
        <w:tabs>
          <w:tab w:pos="781" w:val="left" w:leader="none"/>
        </w:tabs>
        <w:spacing w:line="240" w:lineRule="auto" w:before="200" w:after="0"/>
        <w:ind w:left="780" w:right="0" w:hanging="421"/>
        <w:jc w:val="left"/>
      </w:pPr>
      <w:bookmarkStart w:name="_bookmark24" w:id="49"/>
      <w:bookmarkEnd w:id="49"/>
      <w:r>
        <w:rPr>
          <w:b w:val="0"/>
        </w:rPr>
      </w:r>
      <w:bookmarkStart w:name="_bookmark24" w:id="50"/>
      <w:bookmarkEnd w:id="50"/>
      <w:r>
        <w:rPr/>
        <w:t>建设项目概况</w:t>
      </w:r>
    </w:p>
    <w:p>
      <w:pPr>
        <w:pStyle w:val="Heading4"/>
        <w:numPr>
          <w:ilvl w:val="2"/>
          <w:numId w:val="13"/>
        </w:numPr>
        <w:tabs>
          <w:tab w:pos="999" w:val="left" w:leader="none"/>
        </w:tabs>
        <w:spacing w:line="240" w:lineRule="auto" w:before="185" w:after="0"/>
        <w:ind w:left="998" w:right="0" w:hanging="541"/>
        <w:jc w:val="left"/>
      </w:pPr>
      <w:r>
        <w:rPr/>
        <w:t>项目名称、性质及建设地点</w:t>
      </w:r>
    </w:p>
    <w:p>
      <w:pPr>
        <w:pStyle w:val="BodyText"/>
        <w:spacing w:line="364" w:lineRule="auto" w:before="158"/>
        <w:ind w:left="698" w:right="1718"/>
      </w:pPr>
      <w:r>
        <w:rPr/>
        <w:t>项目名称：贝斯美年产 </w:t>
      </w:r>
      <w:r>
        <w:rPr>
          <w:rFonts w:ascii="Times New Roman" w:eastAsia="Times New Roman"/>
        </w:rPr>
        <w:t>300 </w:t>
      </w:r>
      <w:r>
        <w:rPr/>
        <w:t>吨三环唑、</w:t>
      </w:r>
      <w:r>
        <w:rPr>
          <w:rFonts w:ascii="Times New Roman" w:eastAsia="Times New Roman"/>
        </w:rPr>
        <w:t>200 </w:t>
      </w:r>
      <w:r>
        <w:rPr/>
        <w:t>吨三环唑可湿性粉剂项目项目性质：新建</w:t>
      </w:r>
    </w:p>
    <w:p>
      <w:pPr>
        <w:pStyle w:val="BodyText"/>
        <w:spacing w:before="2"/>
        <w:ind w:left="698"/>
      </w:pPr>
      <w:r>
        <w:rPr/>
        <w:t>建设单位：绍兴贝斯美化工股份有限公司</w:t>
      </w:r>
    </w:p>
    <w:p>
      <w:pPr>
        <w:pStyle w:val="BodyText"/>
        <w:spacing w:before="158"/>
        <w:ind w:left="698"/>
      </w:pPr>
      <w:r>
        <w:rPr/>
        <w:t>建设地点：杭州湾上虞经济技术开发区振兴大道（东区）</w:t>
      </w:r>
    </w:p>
    <w:p>
      <w:pPr>
        <w:pStyle w:val="Heading4"/>
        <w:numPr>
          <w:ilvl w:val="2"/>
          <w:numId w:val="13"/>
        </w:numPr>
        <w:tabs>
          <w:tab w:pos="999" w:val="left" w:leader="none"/>
        </w:tabs>
        <w:spacing w:line="240" w:lineRule="auto" w:before="160" w:after="0"/>
        <w:ind w:left="998" w:right="0" w:hanging="541"/>
        <w:jc w:val="left"/>
      </w:pPr>
      <w:r>
        <w:rPr/>
        <w:t>项目生产规模及产品方案</w:t>
      </w:r>
    </w:p>
    <w:p>
      <w:pPr>
        <w:spacing w:before="159"/>
        <w:ind w:left="701" w:right="0" w:firstLine="0"/>
        <w:jc w:val="left"/>
        <w:rPr>
          <w:b/>
          <w:sz w:val="24"/>
        </w:rPr>
      </w:pPr>
      <w:r>
        <w:rPr>
          <w:rFonts w:ascii="Times New Roman" w:eastAsia="Times New Roman"/>
          <w:b/>
          <w:sz w:val="24"/>
        </w:rPr>
        <w:t>1</w:t>
      </w:r>
      <w:r>
        <w:rPr>
          <w:b/>
          <w:sz w:val="24"/>
        </w:rPr>
        <w:t>、项目规模及产品方案</w:t>
      </w:r>
    </w:p>
    <w:p>
      <w:pPr>
        <w:pStyle w:val="BodyText"/>
        <w:spacing w:before="160"/>
        <w:ind w:left="698"/>
      </w:pPr>
      <w:r>
        <w:rPr/>
        <w:t>项目具体生产规模及产品方案见下表。</w:t>
      </w:r>
    </w:p>
    <w:p>
      <w:pPr>
        <w:pStyle w:val="BodyText"/>
        <w:spacing w:before="5"/>
        <w:rPr>
          <w:sz w:val="23"/>
        </w:rPr>
      </w:pPr>
    </w:p>
    <w:p>
      <w:pPr>
        <w:pStyle w:val="Heading4"/>
        <w:tabs>
          <w:tab w:pos="3994" w:val="left" w:leader="none"/>
        </w:tabs>
        <w:spacing w:after="29"/>
        <w:ind w:left="0" w:right="118"/>
        <w:jc w:val="center"/>
        <w:rPr>
          <w:rFonts w:ascii="Times New Roman" w:eastAsia="Times New Roman"/>
        </w:rPr>
      </w:pPr>
      <w:r>
        <w:rPr/>
        <w:t>表</w:t>
      </w:r>
      <w:r>
        <w:rPr>
          <w:spacing w:val="-60"/>
        </w:rPr>
        <w:t> </w:t>
      </w:r>
      <w:r>
        <w:rPr>
          <w:rFonts w:ascii="Times New Roman" w:eastAsia="Times New Roman"/>
        </w:rPr>
        <w:t>4.1.2-1</w:t>
      </w:r>
      <w:r>
        <w:rPr>
          <w:rFonts w:ascii="Times New Roman" w:eastAsia="Times New Roman"/>
          <w:spacing w:val="58"/>
        </w:rPr>
        <w:t> </w:t>
      </w:r>
      <w:r>
        <w:rPr/>
        <w:t>项目生产规模及产品方案</w:t>
        <w:tab/>
        <w:t>单位：</w:t>
      </w:r>
      <w:r>
        <w:rPr>
          <w:rFonts w:ascii="Times New Roman" w:eastAsia="Times New Roman"/>
        </w:rPr>
        <w:t>t/a</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2641"/>
        <w:gridCol w:w="1224"/>
        <w:gridCol w:w="4539"/>
      </w:tblGrid>
      <w:tr>
        <w:trPr>
          <w:trHeight w:val="285" w:hRule="atLeast"/>
        </w:trPr>
        <w:tc>
          <w:tcPr>
            <w:tcW w:w="677" w:type="dxa"/>
          </w:tcPr>
          <w:p>
            <w:pPr>
              <w:pStyle w:val="TableParagraph"/>
              <w:spacing w:line="257" w:lineRule="exact" w:before="8"/>
              <w:ind w:left="107" w:right="98"/>
              <w:rPr>
                <w:b/>
                <w:sz w:val="21"/>
              </w:rPr>
            </w:pPr>
            <w:r>
              <w:rPr>
                <w:b/>
                <w:sz w:val="21"/>
              </w:rPr>
              <w:t>序号</w:t>
            </w:r>
          </w:p>
        </w:tc>
        <w:tc>
          <w:tcPr>
            <w:tcW w:w="2641" w:type="dxa"/>
          </w:tcPr>
          <w:p>
            <w:pPr>
              <w:pStyle w:val="TableParagraph"/>
              <w:spacing w:line="257" w:lineRule="exact" w:before="8"/>
              <w:ind w:left="458" w:right="450"/>
              <w:rPr>
                <w:b/>
                <w:sz w:val="21"/>
              </w:rPr>
            </w:pPr>
            <w:r>
              <w:rPr>
                <w:b/>
                <w:sz w:val="21"/>
              </w:rPr>
              <w:t>产品方案</w:t>
            </w:r>
          </w:p>
        </w:tc>
        <w:tc>
          <w:tcPr>
            <w:tcW w:w="1224" w:type="dxa"/>
          </w:tcPr>
          <w:p>
            <w:pPr>
              <w:pStyle w:val="TableParagraph"/>
              <w:spacing w:line="257" w:lineRule="exact" w:before="8"/>
              <w:ind w:left="377" w:right="374"/>
              <w:rPr>
                <w:b/>
                <w:sz w:val="21"/>
              </w:rPr>
            </w:pPr>
            <w:r>
              <w:rPr>
                <w:b/>
                <w:sz w:val="21"/>
              </w:rPr>
              <w:t>数量</w:t>
            </w:r>
          </w:p>
        </w:tc>
        <w:tc>
          <w:tcPr>
            <w:tcW w:w="4539" w:type="dxa"/>
          </w:tcPr>
          <w:p>
            <w:pPr>
              <w:pStyle w:val="TableParagraph"/>
              <w:spacing w:line="257" w:lineRule="exact" w:before="8"/>
              <w:ind w:left="935" w:right="929"/>
              <w:rPr>
                <w:b/>
                <w:sz w:val="21"/>
              </w:rPr>
            </w:pPr>
            <w:r>
              <w:rPr>
                <w:b/>
                <w:sz w:val="21"/>
              </w:rPr>
              <w:t>去向</w:t>
            </w:r>
          </w:p>
        </w:tc>
      </w:tr>
      <w:tr>
        <w:trPr>
          <w:trHeight w:val="282" w:hRule="atLeast"/>
        </w:trPr>
        <w:tc>
          <w:tcPr>
            <w:tcW w:w="677" w:type="dxa"/>
          </w:tcPr>
          <w:p>
            <w:pPr>
              <w:pStyle w:val="TableParagraph"/>
              <w:spacing w:line="257" w:lineRule="exact" w:before="5"/>
              <w:ind w:left="9"/>
              <w:rPr>
                <w:b/>
                <w:sz w:val="21"/>
              </w:rPr>
            </w:pPr>
            <w:r>
              <w:rPr>
                <w:b/>
                <w:w w:val="100"/>
                <w:sz w:val="21"/>
              </w:rPr>
              <w:t>一</w:t>
            </w:r>
          </w:p>
        </w:tc>
        <w:tc>
          <w:tcPr>
            <w:tcW w:w="2641" w:type="dxa"/>
          </w:tcPr>
          <w:p>
            <w:pPr>
              <w:pStyle w:val="TableParagraph"/>
              <w:spacing w:line="257" w:lineRule="exact" w:before="5"/>
              <w:ind w:left="458" w:right="450"/>
              <w:rPr>
                <w:b/>
                <w:sz w:val="21"/>
              </w:rPr>
            </w:pPr>
            <w:r>
              <w:rPr>
                <w:b/>
                <w:sz w:val="21"/>
              </w:rPr>
              <w:t>生产规模</w:t>
            </w:r>
          </w:p>
        </w:tc>
        <w:tc>
          <w:tcPr>
            <w:tcW w:w="1224" w:type="dxa"/>
          </w:tcPr>
          <w:p>
            <w:pPr>
              <w:pStyle w:val="TableParagraph"/>
              <w:spacing w:before="19"/>
              <w:ind w:left="377" w:right="369"/>
              <w:rPr>
                <w:rFonts w:ascii="Times New Roman"/>
                <w:sz w:val="21"/>
              </w:rPr>
            </w:pPr>
            <w:r>
              <w:rPr>
                <w:rFonts w:ascii="Times New Roman"/>
                <w:sz w:val="21"/>
              </w:rPr>
              <w:t>500</w:t>
            </w:r>
          </w:p>
        </w:tc>
        <w:tc>
          <w:tcPr>
            <w:tcW w:w="4539" w:type="dxa"/>
          </w:tcPr>
          <w:p>
            <w:pPr>
              <w:pStyle w:val="TableParagraph"/>
              <w:jc w:val="left"/>
              <w:rPr>
                <w:rFonts w:ascii="Times New Roman"/>
                <w:sz w:val="20"/>
              </w:rPr>
            </w:pPr>
          </w:p>
        </w:tc>
      </w:tr>
      <w:tr>
        <w:trPr>
          <w:trHeight w:val="285" w:hRule="atLeast"/>
        </w:trPr>
        <w:tc>
          <w:tcPr>
            <w:tcW w:w="677" w:type="dxa"/>
          </w:tcPr>
          <w:p>
            <w:pPr>
              <w:pStyle w:val="TableParagraph"/>
              <w:spacing w:line="257" w:lineRule="exact" w:before="8"/>
              <w:ind w:left="9"/>
              <w:rPr>
                <w:b/>
                <w:sz w:val="21"/>
              </w:rPr>
            </w:pPr>
            <w:r>
              <w:rPr>
                <w:b/>
                <w:w w:val="100"/>
                <w:sz w:val="21"/>
              </w:rPr>
              <w:t>二</w:t>
            </w:r>
          </w:p>
        </w:tc>
        <w:tc>
          <w:tcPr>
            <w:tcW w:w="2641" w:type="dxa"/>
          </w:tcPr>
          <w:p>
            <w:pPr>
              <w:pStyle w:val="TableParagraph"/>
              <w:spacing w:line="257" w:lineRule="exact" w:before="8"/>
              <w:ind w:left="458" w:right="450"/>
              <w:rPr>
                <w:b/>
                <w:sz w:val="21"/>
              </w:rPr>
            </w:pPr>
            <w:r>
              <w:rPr>
                <w:b/>
                <w:sz w:val="21"/>
              </w:rPr>
              <w:t>产品名称</w:t>
            </w:r>
          </w:p>
        </w:tc>
        <w:tc>
          <w:tcPr>
            <w:tcW w:w="1224" w:type="dxa"/>
          </w:tcPr>
          <w:p>
            <w:pPr>
              <w:pStyle w:val="TableParagraph"/>
              <w:jc w:val="left"/>
              <w:rPr>
                <w:rFonts w:ascii="Times New Roman"/>
                <w:sz w:val="20"/>
              </w:rPr>
            </w:pPr>
          </w:p>
        </w:tc>
        <w:tc>
          <w:tcPr>
            <w:tcW w:w="4539" w:type="dxa"/>
          </w:tcPr>
          <w:p>
            <w:pPr>
              <w:pStyle w:val="TableParagraph"/>
              <w:jc w:val="left"/>
              <w:rPr>
                <w:rFonts w:ascii="Times New Roman"/>
                <w:sz w:val="20"/>
              </w:rPr>
            </w:pPr>
          </w:p>
        </w:tc>
      </w:tr>
      <w:tr>
        <w:trPr>
          <w:trHeight w:val="282" w:hRule="atLeast"/>
        </w:trPr>
        <w:tc>
          <w:tcPr>
            <w:tcW w:w="677" w:type="dxa"/>
          </w:tcPr>
          <w:p>
            <w:pPr>
              <w:pStyle w:val="TableParagraph"/>
              <w:spacing w:before="19"/>
              <w:ind w:left="9"/>
              <w:rPr>
                <w:rFonts w:ascii="Times New Roman"/>
                <w:sz w:val="21"/>
              </w:rPr>
            </w:pPr>
            <w:r>
              <w:rPr>
                <w:rFonts w:ascii="Times New Roman"/>
                <w:w w:val="100"/>
                <w:sz w:val="21"/>
              </w:rPr>
              <w:t>1</w:t>
            </w:r>
          </w:p>
        </w:tc>
        <w:tc>
          <w:tcPr>
            <w:tcW w:w="2641" w:type="dxa"/>
          </w:tcPr>
          <w:p>
            <w:pPr>
              <w:pStyle w:val="TableParagraph"/>
              <w:spacing w:line="257" w:lineRule="exact" w:before="5"/>
              <w:ind w:left="458" w:right="450"/>
              <w:rPr>
                <w:sz w:val="21"/>
              </w:rPr>
            </w:pPr>
            <w:r>
              <w:rPr>
                <w:sz w:val="21"/>
              </w:rPr>
              <w:t>三环唑杀菌剂</w:t>
            </w:r>
          </w:p>
        </w:tc>
        <w:tc>
          <w:tcPr>
            <w:tcW w:w="1224" w:type="dxa"/>
          </w:tcPr>
          <w:p>
            <w:pPr>
              <w:pStyle w:val="TableParagraph"/>
              <w:spacing w:before="19"/>
              <w:ind w:left="377" w:right="369"/>
              <w:rPr>
                <w:rFonts w:ascii="Times New Roman"/>
                <w:sz w:val="21"/>
              </w:rPr>
            </w:pPr>
            <w:r>
              <w:rPr>
                <w:rFonts w:ascii="Times New Roman"/>
                <w:sz w:val="21"/>
              </w:rPr>
              <w:t>300</w:t>
            </w:r>
          </w:p>
        </w:tc>
        <w:tc>
          <w:tcPr>
            <w:tcW w:w="4539" w:type="dxa"/>
          </w:tcPr>
          <w:p>
            <w:pPr>
              <w:pStyle w:val="TableParagraph"/>
              <w:spacing w:line="257" w:lineRule="exact" w:before="5"/>
              <w:ind w:left="935" w:right="929"/>
              <w:rPr>
                <w:rFonts w:ascii="Times New Roman" w:eastAsia="Times New Roman"/>
                <w:sz w:val="21"/>
              </w:rPr>
            </w:pPr>
            <w:r>
              <w:rPr>
                <w:sz w:val="21"/>
              </w:rPr>
              <w:t>自用 </w:t>
            </w:r>
            <w:r>
              <w:rPr>
                <w:rFonts w:ascii="Times New Roman" w:eastAsia="Times New Roman"/>
                <w:sz w:val="21"/>
              </w:rPr>
              <w:t>152.4t/a</w:t>
            </w:r>
            <w:r>
              <w:rPr>
                <w:sz w:val="21"/>
              </w:rPr>
              <w:t>，外售 </w:t>
            </w:r>
            <w:r>
              <w:rPr>
                <w:rFonts w:ascii="Times New Roman" w:eastAsia="Times New Roman"/>
                <w:sz w:val="21"/>
              </w:rPr>
              <w:t>147.6t/a</w:t>
            </w:r>
          </w:p>
        </w:tc>
      </w:tr>
      <w:tr>
        <w:trPr>
          <w:trHeight w:val="285" w:hRule="atLeast"/>
        </w:trPr>
        <w:tc>
          <w:tcPr>
            <w:tcW w:w="677" w:type="dxa"/>
          </w:tcPr>
          <w:p>
            <w:pPr>
              <w:pStyle w:val="TableParagraph"/>
              <w:spacing w:before="22"/>
              <w:ind w:left="9"/>
              <w:rPr>
                <w:rFonts w:ascii="Times New Roman"/>
                <w:sz w:val="21"/>
              </w:rPr>
            </w:pPr>
            <w:r>
              <w:rPr>
                <w:rFonts w:ascii="Times New Roman"/>
                <w:w w:val="100"/>
                <w:sz w:val="21"/>
              </w:rPr>
              <w:t>2</w:t>
            </w:r>
          </w:p>
        </w:tc>
        <w:tc>
          <w:tcPr>
            <w:tcW w:w="2641" w:type="dxa"/>
          </w:tcPr>
          <w:p>
            <w:pPr>
              <w:pStyle w:val="TableParagraph"/>
              <w:spacing w:line="257" w:lineRule="exact" w:before="8"/>
              <w:ind w:left="458" w:right="453"/>
              <w:rPr>
                <w:sz w:val="21"/>
              </w:rPr>
            </w:pPr>
            <w:r>
              <w:rPr>
                <w:sz w:val="21"/>
              </w:rPr>
              <w:t>三环唑可湿性粉剂</w:t>
            </w:r>
          </w:p>
        </w:tc>
        <w:tc>
          <w:tcPr>
            <w:tcW w:w="1224" w:type="dxa"/>
          </w:tcPr>
          <w:p>
            <w:pPr>
              <w:pStyle w:val="TableParagraph"/>
              <w:spacing w:before="22"/>
              <w:ind w:left="377" w:right="369"/>
              <w:rPr>
                <w:rFonts w:ascii="Times New Roman"/>
                <w:sz w:val="21"/>
              </w:rPr>
            </w:pPr>
            <w:r>
              <w:rPr>
                <w:rFonts w:ascii="Times New Roman"/>
                <w:sz w:val="21"/>
              </w:rPr>
              <w:t>200</w:t>
            </w:r>
          </w:p>
        </w:tc>
        <w:tc>
          <w:tcPr>
            <w:tcW w:w="4539" w:type="dxa"/>
          </w:tcPr>
          <w:p>
            <w:pPr>
              <w:pStyle w:val="TableParagraph"/>
              <w:spacing w:line="257" w:lineRule="exact" w:before="8"/>
              <w:ind w:left="935" w:right="927"/>
              <w:rPr>
                <w:sz w:val="21"/>
              </w:rPr>
            </w:pPr>
            <w:r>
              <w:rPr>
                <w:sz w:val="21"/>
              </w:rPr>
              <w:t>全部外售</w:t>
            </w:r>
          </w:p>
        </w:tc>
      </w:tr>
    </w:tbl>
    <w:p>
      <w:pPr>
        <w:spacing w:line="362" w:lineRule="auto" w:before="2"/>
        <w:ind w:left="698" w:right="4465" w:firstLine="2"/>
        <w:jc w:val="left"/>
        <w:rPr>
          <w:sz w:val="24"/>
        </w:rPr>
      </w:pPr>
      <w:r>
        <w:rPr>
          <w:rFonts w:ascii="Times New Roman" w:eastAsia="Times New Roman"/>
          <w:b/>
          <w:sz w:val="24"/>
        </w:rPr>
        <w:t>2</w:t>
      </w:r>
      <w:r>
        <w:rPr>
          <w:b/>
          <w:sz w:val="24"/>
        </w:rPr>
        <w:t>、产品理化性质、毒性、用途及质量指标</w:t>
      </w:r>
      <w:r>
        <w:rPr>
          <w:sz w:val="24"/>
        </w:rPr>
        <w:t>中文名称：三环唑</w:t>
      </w:r>
    </w:p>
    <w:p>
      <w:pPr>
        <w:pStyle w:val="BodyText"/>
        <w:spacing w:before="5"/>
        <w:ind w:left="698"/>
        <w:rPr>
          <w:rFonts w:ascii="Times New Roman" w:eastAsia="Times New Roman"/>
        </w:rPr>
      </w:pPr>
      <w:r>
        <w:rPr/>
        <w:t>英文名称：</w:t>
      </w:r>
      <w:r>
        <w:rPr>
          <w:rFonts w:ascii="Times New Roman" w:eastAsia="Times New Roman"/>
        </w:rPr>
        <w:t>Tricyclazole</w:t>
      </w:r>
    </w:p>
    <w:p>
      <w:pPr>
        <w:pStyle w:val="BodyText"/>
        <w:spacing w:line="364" w:lineRule="auto" w:before="159"/>
        <w:ind w:left="218" w:right="332" w:firstLine="480"/>
      </w:pPr>
      <w:r>
        <w:rPr>
          <w:spacing w:val="-9"/>
        </w:rPr>
        <w:t>中文别名：克瘟唑；克瘟灵；</w:t>
      </w:r>
      <w:r>
        <w:rPr>
          <w:rFonts w:ascii="Times New Roman" w:eastAsia="Times New Roman"/>
          <w:spacing w:val="-10"/>
        </w:rPr>
        <w:t>5-</w:t>
      </w:r>
      <w:r>
        <w:rPr/>
        <w:t>甲基</w:t>
      </w:r>
      <w:r>
        <w:rPr>
          <w:rFonts w:ascii="Times New Roman" w:eastAsia="Times New Roman"/>
        </w:rPr>
        <w:t>-1,2,4-</w:t>
      </w:r>
      <w:r>
        <w:rPr/>
        <w:t>三唑并</w:t>
      </w:r>
      <w:r>
        <w:rPr>
          <w:rFonts w:ascii="Times New Roman" w:eastAsia="Times New Roman"/>
        </w:rPr>
        <w:t>[3,4-b]</w:t>
      </w:r>
      <w:r>
        <w:rPr>
          <w:spacing w:val="-6"/>
        </w:rPr>
        <w:t>苯并噻唑；克瘟唑可湿性粉</w:t>
      </w:r>
      <w:r>
        <w:rPr/>
        <w:t>剂；</w:t>
      </w:r>
      <w:r>
        <w:rPr>
          <w:rFonts w:ascii="Times New Roman" w:eastAsia="Times New Roman"/>
        </w:rPr>
        <w:t>5-</w:t>
      </w:r>
      <w:r>
        <w:rPr/>
        <w:t>甲基</w:t>
      </w:r>
      <w:r>
        <w:rPr>
          <w:rFonts w:ascii="Times New Roman" w:eastAsia="Times New Roman"/>
        </w:rPr>
        <w:t>-[1,2,4]-</w:t>
      </w:r>
      <w:r>
        <w:rPr/>
        <w:t>三唑并</w:t>
      </w:r>
      <w:r>
        <w:rPr>
          <w:rFonts w:ascii="Times New Roman" w:eastAsia="Times New Roman"/>
        </w:rPr>
        <w:t>[3,4-b][1,3]</w:t>
      </w:r>
      <w:r>
        <w:rPr/>
        <w:t>苯并噻唑</w:t>
      </w:r>
    </w:p>
    <w:p>
      <w:pPr>
        <w:pStyle w:val="BodyText"/>
        <w:spacing w:before="1"/>
        <w:ind w:left="698"/>
        <w:rPr>
          <w:rFonts w:ascii="Times New Roman" w:eastAsia="Times New Roman"/>
        </w:rPr>
      </w:pPr>
      <w:r>
        <w:rPr/>
        <w:t>英文别名：</w:t>
      </w:r>
      <w:r>
        <w:rPr>
          <w:rFonts w:ascii="Times New Roman" w:eastAsia="Times New Roman"/>
        </w:rPr>
        <w:t>Tricycloazole; Beam;</w:t>
      </w:r>
    </w:p>
    <w:p>
      <w:pPr>
        <w:pStyle w:val="BodyText"/>
        <w:spacing w:before="158"/>
        <w:ind w:left="698"/>
        <w:rPr>
          <w:rFonts w:ascii="Times New Roman" w:eastAsia="Times New Roman"/>
        </w:rPr>
      </w:pPr>
      <w:r>
        <w:rPr>
          <w:rFonts w:ascii="Times New Roman" w:eastAsia="Times New Roman"/>
        </w:rPr>
        <w:t>CAS </w:t>
      </w:r>
      <w:r>
        <w:rPr/>
        <w:t>号：</w:t>
      </w:r>
      <w:r>
        <w:rPr>
          <w:rFonts w:ascii="Times New Roman" w:eastAsia="Times New Roman"/>
        </w:rPr>
        <w:t>41814-78-2</w:t>
      </w:r>
    </w:p>
    <w:p>
      <w:pPr>
        <w:pStyle w:val="BodyText"/>
        <w:tabs>
          <w:tab w:pos="4220" w:val="left" w:leader="none"/>
        </w:tabs>
        <w:spacing w:before="160"/>
        <w:ind w:left="698"/>
        <w:rPr>
          <w:rFonts w:ascii="Times New Roman" w:eastAsia="Times New Roman"/>
        </w:rPr>
      </w:pPr>
      <w:r>
        <w:rPr>
          <w:position w:val="2"/>
        </w:rPr>
        <w:t>分子式：</w:t>
      </w:r>
      <w:r>
        <w:rPr>
          <w:rFonts w:ascii="Times New Roman" w:eastAsia="Times New Roman"/>
          <w:position w:val="2"/>
        </w:rPr>
        <w:t>C</w:t>
      </w:r>
      <w:r>
        <w:rPr>
          <w:rFonts w:ascii="Times New Roman" w:eastAsia="Times New Roman"/>
          <w:sz w:val="16"/>
        </w:rPr>
        <w:t>9</w:t>
      </w:r>
      <w:r>
        <w:rPr>
          <w:rFonts w:ascii="Times New Roman" w:eastAsia="Times New Roman"/>
          <w:position w:val="2"/>
        </w:rPr>
        <w:t>H</w:t>
      </w:r>
      <w:r>
        <w:rPr>
          <w:rFonts w:ascii="Times New Roman" w:eastAsia="Times New Roman"/>
          <w:sz w:val="16"/>
        </w:rPr>
        <w:t>7</w:t>
      </w:r>
      <w:r>
        <w:rPr>
          <w:rFonts w:ascii="Times New Roman" w:eastAsia="Times New Roman"/>
          <w:position w:val="2"/>
        </w:rPr>
        <w:t>N</w:t>
      </w:r>
      <w:r>
        <w:rPr>
          <w:rFonts w:ascii="Times New Roman" w:eastAsia="Times New Roman"/>
          <w:sz w:val="16"/>
        </w:rPr>
        <w:t>3</w:t>
      </w:r>
      <w:r>
        <w:rPr>
          <w:rFonts w:ascii="Times New Roman" w:eastAsia="Times New Roman"/>
          <w:position w:val="2"/>
        </w:rPr>
        <w:t>S</w:t>
        <w:tab/>
      </w:r>
      <w:r>
        <w:rPr>
          <w:position w:val="2"/>
        </w:rPr>
        <w:t>分子量：</w:t>
      </w:r>
      <w:r>
        <w:rPr>
          <w:rFonts w:ascii="Times New Roman" w:eastAsia="Times New Roman"/>
          <w:position w:val="2"/>
        </w:rPr>
        <w:t>189.237</w:t>
      </w:r>
    </w:p>
    <w:p>
      <w:pPr>
        <w:pStyle w:val="BodyText"/>
        <w:spacing w:line="364" w:lineRule="auto" w:before="158"/>
        <w:ind w:left="218" w:right="212" w:firstLine="480"/>
      </w:pPr>
      <w:r>
        <w:rPr>
          <w:spacing w:val="-16"/>
        </w:rPr>
        <w:t>外观与性状：白色无臭针状结晶；熔点</w:t>
      </w:r>
      <w:r>
        <w:rPr>
          <w:rFonts w:ascii="Times New Roman" w:hAnsi="Times New Roman" w:eastAsia="Times New Roman"/>
          <w:spacing w:val="4"/>
        </w:rPr>
        <w:t>(</w:t>
      </w:r>
      <w:r>
        <w:rPr>
          <w:rFonts w:ascii="Times New Roman" w:hAnsi="Times New Roman" w:eastAsia="Times New Roman"/>
          <w:spacing w:val="-62"/>
        </w:rPr>
        <w:t>º</w:t>
      </w:r>
      <w:r>
        <w:rPr>
          <w:rFonts w:ascii="Times New Roman" w:hAnsi="Times New Roman" w:eastAsia="Times New Roman"/>
        </w:rPr>
        <w:t>C) </w:t>
      </w:r>
      <w:r>
        <w:rPr>
          <w:spacing w:val="-101"/>
        </w:rPr>
        <w:t>：</w:t>
      </w:r>
      <w:r>
        <w:rPr>
          <w:rFonts w:ascii="Times New Roman" w:hAnsi="Times New Roman" w:eastAsia="Times New Roman"/>
        </w:rPr>
        <w:t>187</w:t>
      </w:r>
      <w:r>
        <w:rPr/>
        <w:t>～</w:t>
      </w:r>
      <w:r>
        <w:rPr>
          <w:rFonts w:ascii="Times New Roman" w:hAnsi="Times New Roman" w:eastAsia="Times New Roman"/>
        </w:rPr>
        <w:t>188</w:t>
      </w:r>
      <w:r>
        <w:rPr>
          <w:spacing w:val="-26"/>
        </w:rPr>
        <w:t>；蒸气压</w:t>
      </w:r>
      <w:r>
        <w:rPr>
          <w:rFonts w:ascii="Times New Roman" w:hAnsi="Times New Roman" w:eastAsia="Times New Roman"/>
        </w:rPr>
        <w:t>(kPa</w:t>
      </w:r>
      <w:r>
        <w:rPr>
          <w:rFonts w:ascii="Times New Roman" w:hAnsi="Times New Roman" w:eastAsia="Times New Roman"/>
          <w:spacing w:val="-1"/>
        </w:rPr>
        <w:t>,</w:t>
      </w:r>
      <w:r>
        <w:rPr>
          <w:rFonts w:ascii="Times New Roman" w:hAnsi="Times New Roman" w:eastAsia="Times New Roman"/>
        </w:rPr>
        <w:t>2</w:t>
      </w:r>
      <w:r>
        <w:rPr>
          <w:rFonts w:ascii="Times New Roman" w:hAnsi="Times New Roman" w:eastAsia="Times New Roman"/>
          <w:spacing w:val="4"/>
        </w:rPr>
        <w:t>5</w:t>
      </w:r>
      <w:r>
        <w:rPr>
          <w:rFonts w:ascii="Times New Roman" w:hAnsi="Times New Roman" w:eastAsia="Times New Roman"/>
          <w:spacing w:val="-61"/>
        </w:rPr>
        <w:t>º</w:t>
      </w:r>
      <w:r>
        <w:rPr>
          <w:rFonts w:ascii="Times New Roman" w:hAnsi="Times New Roman" w:eastAsia="Times New Roman"/>
        </w:rPr>
        <w:t>C) </w:t>
      </w:r>
      <w:r>
        <w:rPr>
          <w:spacing w:val="-101"/>
        </w:rPr>
        <w:t>：</w:t>
      </w:r>
      <w:r>
        <w:rPr>
          <w:rFonts w:ascii="Times New Roman" w:hAnsi="Times New Roman" w:eastAsia="Times New Roman"/>
        </w:rPr>
        <w:t>2.66</w:t>
      </w:r>
      <w:r>
        <w:rPr>
          <w:rFonts w:ascii="Times New Roman" w:hAnsi="Times New Roman" w:eastAsia="Times New Roman"/>
          <w:spacing w:val="2"/>
        </w:rPr>
        <w:t>6</w:t>
      </w:r>
      <w:r>
        <w:rPr>
          <w:rFonts w:ascii="Times New Roman" w:hAnsi="Times New Roman" w:eastAsia="Times New Roman"/>
          <w:spacing w:val="-29"/>
        </w:rPr>
        <w:t>×</w:t>
      </w:r>
      <w:r>
        <w:rPr>
          <w:rFonts w:ascii="Times New Roman" w:hAnsi="Times New Roman" w:eastAsia="Times New Roman"/>
        </w:rPr>
        <w:t>10 </w:t>
      </w:r>
      <w:r>
        <w:rPr>
          <w:rFonts w:ascii="Times New Roman" w:hAnsi="Times New Roman" w:eastAsia="Times New Roman"/>
          <w:spacing w:val="-1"/>
          <w:w w:val="100"/>
          <w:position w:val="9"/>
          <w:sz w:val="16"/>
        </w:rPr>
        <w:t>-</w:t>
      </w:r>
      <w:r>
        <w:rPr>
          <w:rFonts w:ascii="Times New Roman" w:hAnsi="Times New Roman" w:eastAsia="Times New Roman"/>
          <w:spacing w:val="1"/>
          <w:w w:val="100"/>
          <w:position w:val="9"/>
          <w:sz w:val="16"/>
        </w:rPr>
        <w:t>5</w:t>
      </w:r>
      <w:r>
        <w:rPr/>
        <w:t>；饱和蒸气压</w:t>
      </w:r>
      <w:r>
        <w:rPr>
          <w:rFonts w:ascii="Times New Roman" w:hAnsi="Times New Roman" w:eastAsia="Times New Roman"/>
          <w:spacing w:val="-6"/>
        </w:rPr>
        <w:t>(kPa,60ºC) </w:t>
      </w:r>
      <w:r>
        <w:rPr>
          <w:spacing w:val="-3"/>
        </w:rPr>
        <w:t>：</w:t>
      </w:r>
      <w:r>
        <w:rPr>
          <w:rFonts w:ascii="Times New Roman" w:hAnsi="Times New Roman" w:eastAsia="Times New Roman"/>
          <w:spacing w:val="-3"/>
        </w:rPr>
        <w:t>0.267×10 </w:t>
      </w:r>
      <w:r>
        <w:rPr>
          <w:rFonts w:ascii="Times New Roman" w:hAnsi="Times New Roman" w:eastAsia="Times New Roman"/>
          <w:position w:val="9"/>
          <w:sz w:val="16"/>
        </w:rPr>
        <w:t>-7</w:t>
      </w:r>
      <w:r>
        <w:rPr>
          <w:rFonts w:ascii="Times New Roman" w:hAnsi="Times New Roman" w:eastAsia="Times New Roman"/>
        </w:rPr>
        <w:t>(25</w:t>
      </w:r>
      <w:r>
        <w:rPr/>
        <w:t>℃</w:t>
      </w:r>
      <w:r>
        <w:rPr>
          <w:rFonts w:ascii="Times New Roman" w:hAnsi="Times New Roman" w:eastAsia="Times New Roman"/>
        </w:rPr>
        <w:t>)</w:t>
      </w:r>
      <w:r>
        <w:rPr/>
        <w:t>；溶解性：微溶于水。</w:t>
      </w:r>
    </w:p>
    <w:p>
      <w:pPr>
        <w:pStyle w:val="BodyText"/>
        <w:spacing w:line="364" w:lineRule="auto"/>
        <w:ind w:left="218" w:right="212" w:firstLine="480"/>
      </w:pPr>
      <w:r>
        <w:rPr>
          <w:spacing w:val="-10"/>
          <w:position w:val="2"/>
        </w:rPr>
        <w:t>生态毒性：雄性大鼠经口 </w:t>
      </w:r>
      <w:r>
        <w:rPr>
          <w:rFonts w:ascii="Times New Roman" w:eastAsia="Times New Roman"/>
          <w:position w:val="2"/>
        </w:rPr>
        <w:t>LD</w:t>
      </w:r>
      <w:r>
        <w:rPr>
          <w:rFonts w:ascii="Times New Roman" w:eastAsia="Times New Roman"/>
          <w:sz w:val="16"/>
        </w:rPr>
        <w:t>50 </w:t>
      </w:r>
      <w:r>
        <w:rPr>
          <w:spacing w:val="-34"/>
          <w:position w:val="2"/>
        </w:rPr>
        <w:t>为 </w:t>
      </w:r>
      <w:r>
        <w:rPr>
          <w:rFonts w:ascii="Times New Roman" w:eastAsia="Times New Roman"/>
          <w:position w:val="2"/>
        </w:rPr>
        <w:t>500</w:t>
      </w:r>
      <w:r>
        <w:rPr>
          <w:position w:val="2"/>
        </w:rPr>
        <w:t>～</w:t>
      </w:r>
      <w:r>
        <w:rPr>
          <w:rFonts w:ascii="Times New Roman" w:eastAsia="Times New Roman"/>
          <w:position w:val="2"/>
        </w:rPr>
        <w:t>545mg/kg</w:t>
      </w:r>
      <w:r>
        <w:rPr>
          <w:spacing w:val="-14"/>
          <w:position w:val="2"/>
        </w:rPr>
        <w:t>，狗经口 </w:t>
      </w:r>
      <w:r>
        <w:rPr>
          <w:rFonts w:ascii="Times New Roman" w:eastAsia="Times New Roman"/>
          <w:position w:val="2"/>
        </w:rPr>
        <w:t>LD</w:t>
      </w:r>
      <w:r>
        <w:rPr>
          <w:rFonts w:ascii="Times New Roman" w:eastAsia="Times New Roman"/>
          <w:sz w:val="16"/>
        </w:rPr>
        <w:t>50</w:t>
      </w:r>
      <w:r>
        <w:rPr>
          <w:position w:val="2"/>
        </w:rPr>
        <w:t>＞</w:t>
      </w:r>
      <w:r>
        <w:rPr>
          <w:rFonts w:ascii="Times New Roman" w:eastAsia="Times New Roman"/>
          <w:position w:val="2"/>
        </w:rPr>
        <w:t>50mg/kg</w:t>
      </w:r>
      <w:r>
        <w:rPr>
          <w:position w:val="2"/>
        </w:rPr>
        <w:t>，大鼠经</w:t>
      </w:r>
      <w:r>
        <w:rPr>
          <w:spacing w:val="-31"/>
          <w:position w:val="2"/>
        </w:rPr>
        <w:t>皮 </w:t>
      </w:r>
      <w:r>
        <w:rPr>
          <w:rFonts w:ascii="Times New Roman" w:eastAsia="Times New Roman"/>
          <w:position w:val="2"/>
        </w:rPr>
        <w:t>LD50</w:t>
      </w:r>
      <w:r>
        <w:rPr>
          <w:position w:val="2"/>
        </w:rPr>
        <w:t>＞</w:t>
      </w:r>
      <w:r>
        <w:rPr>
          <w:rFonts w:ascii="Times New Roman" w:eastAsia="Times New Roman"/>
          <w:position w:val="2"/>
        </w:rPr>
        <w:t>5000mg/kg</w:t>
      </w:r>
      <w:r>
        <w:rPr>
          <w:spacing w:val="-17"/>
          <w:position w:val="2"/>
        </w:rPr>
        <w:t>。大鼠吸入 </w:t>
      </w:r>
      <w:r>
        <w:rPr>
          <w:rFonts w:ascii="Times New Roman" w:eastAsia="Times New Roman"/>
          <w:position w:val="2"/>
        </w:rPr>
        <w:t>LC</w:t>
      </w:r>
      <w:r>
        <w:rPr>
          <w:rFonts w:ascii="Times New Roman" w:eastAsia="Times New Roman"/>
          <w:sz w:val="16"/>
        </w:rPr>
        <w:t>50</w:t>
      </w:r>
      <w:r>
        <w:rPr>
          <w:position w:val="2"/>
        </w:rPr>
        <w:t>＞</w:t>
      </w:r>
      <w:r>
        <w:rPr>
          <w:rFonts w:ascii="Times New Roman" w:eastAsia="Times New Roman"/>
          <w:position w:val="2"/>
        </w:rPr>
        <w:t>0.25mg/L</w:t>
      </w:r>
      <w:r>
        <w:rPr>
          <w:spacing w:val="-9"/>
          <w:position w:val="2"/>
        </w:rPr>
        <w:t>。对兔眼睛有轻度刺激。大鼠和小鼠两</w:t>
      </w:r>
      <w:r>
        <w:rPr>
          <w:spacing w:val="-8"/>
        </w:rPr>
        <w:t>年饲喂试验无作用剂量分别为 </w:t>
      </w:r>
      <w:r>
        <w:rPr>
          <w:rFonts w:ascii="Times New Roman" w:eastAsia="Times New Roman"/>
        </w:rPr>
        <w:t>275mg/kg</w:t>
      </w:r>
      <w:r>
        <w:rPr/>
        <w:t>、</w:t>
      </w:r>
      <w:r>
        <w:rPr>
          <w:rFonts w:ascii="Times New Roman" w:eastAsia="Times New Roman"/>
        </w:rPr>
        <w:t>400mg/kg</w:t>
      </w:r>
      <w:r>
        <w:rPr/>
        <w:t>。动物未见致畸、致癌、致突变作</w:t>
      </w:r>
      <w:r>
        <w:rPr>
          <w:spacing w:val="-20"/>
          <w:position w:val="2"/>
        </w:rPr>
        <w:t>用。无蓄积作用，繁殖试验未见异常。鲤鱼</w:t>
      </w:r>
      <w:r>
        <w:rPr>
          <w:rFonts w:ascii="Times New Roman" w:eastAsia="Times New Roman"/>
          <w:position w:val="2"/>
        </w:rPr>
        <w:t>LC</w:t>
      </w:r>
      <w:r>
        <w:rPr>
          <w:rFonts w:ascii="Times New Roman" w:eastAsia="Times New Roman"/>
          <w:sz w:val="16"/>
        </w:rPr>
        <w:t>50 </w:t>
      </w:r>
      <w:r>
        <w:rPr>
          <w:spacing w:val="38"/>
          <w:position w:val="2"/>
        </w:rPr>
        <w:t>为</w:t>
      </w:r>
      <w:r>
        <w:rPr>
          <w:rFonts w:ascii="Times New Roman" w:eastAsia="Times New Roman"/>
          <w:position w:val="2"/>
        </w:rPr>
        <w:t>14.6mg/L(48h)</w:t>
      </w:r>
      <w:r>
        <w:rPr>
          <w:spacing w:val="-21"/>
          <w:position w:val="2"/>
        </w:rPr>
        <w:t>、虹鳟鱼</w:t>
      </w:r>
      <w:r>
        <w:rPr>
          <w:rFonts w:ascii="Times New Roman" w:eastAsia="Times New Roman"/>
          <w:position w:val="2"/>
        </w:rPr>
        <w:t>LC</w:t>
      </w:r>
      <w:r>
        <w:rPr>
          <w:rFonts w:ascii="Times New Roman" w:eastAsia="Times New Roman"/>
          <w:sz w:val="16"/>
        </w:rPr>
        <w:t>50 </w:t>
      </w:r>
      <w:r>
        <w:rPr>
          <w:spacing w:val="38"/>
          <w:position w:val="2"/>
        </w:rPr>
        <w:t>为</w:t>
      </w:r>
      <w:r>
        <w:rPr>
          <w:rFonts w:ascii="Times New Roman" w:eastAsia="Times New Roman"/>
          <w:position w:val="2"/>
        </w:rPr>
        <w:t>7.7mg/L</w:t>
      </w:r>
      <w:r>
        <w:rPr>
          <w:position w:val="2"/>
        </w:rPr>
        <w:t>。</w:t>
      </w:r>
      <w:r>
        <w:rPr/>
        <w:t>对蜜蜂安全。</w:t>
      </w:r>
    </w:p>
    <w:p>
      <w:pPr>
        <w:spacing w:after="0" w:line="364" w:lineRule="auto"/>
        <w:sectPr>
          <w:headerReference w:type="default" r:id="rId40"/>
          <w:footerReference w:type="default" r:id="rId41"/>
          <w:pgSz w:w="11910" w:h="16840"/>
          <w:pgMar w:header="872" w:footer="803" w:top="1340" w:bottom="1000" w:left="1200" w:right="1080"/>
          <w:pgNumType w:start="75"/>
        </w:sectPr>
      </w:pPr>
    </w:p>
    <w:p>
      <w:pPr>
        <w:pStyle w:val="BodyText"/>
        <w:spacing w:line="364" w:lineRule="auto" w:before="66"/>
        <w:ind w:left="218" w:right="286" w:firstLine="480"/>
        <w:jc w:val="both"/>
      </w:pPr>
      <w:r>
        <w:rPr>
          <w:spacing w:val="-1"/>
        </w:rPr>
        <w:t>用途及用量：高效、内吸性唑类杀菌剂，对防治稻瘟病有特效。能抑制孢子萌发， </w:t>
      </w:r>
      <w:r>
        <w:rPr>
          <w:spacing w:val="-2"/>
        </w:rPr>
        <w:t>通过抑制稻瘟病菌对植物表面感染及植株内形成的感染点来阻止稻瘟病循环。对其他杀</w:t>
      </w:r>
      <w:r>
        <w:rPr>
          <w:spacing w:val="-5"/>
        </w:rPr>
        <w:t>菌剂产生抗性的稻瘟病菌亦有效。三环唑是专用于防治水稻稻瘟病的内吸性杀菌剂，特</w:t>
      </w:r>
      <w:r>
        <w:rPr>
          <w:spacing w:val="-9"/>
        </w:rPr>
        <w:t>别对穗颈瘟防治效果良好。通过抑制稻瘟病菌对植物表面感染及植物内形成的感染点来</w:t>
      </w:r>
      <w:r>
        <w:rPr>
          <w:spacing w:val="-10"/>
        </w:rPr>
        <w:t>阻止稻瘟病循环。对其他杀菌剂产生抗性的稻瘟病菌亦有效。由于药剂还具保护性杀菌作用，宜在病害发生前使用。</w:t>
      </w:r>
    </w:p>
    <w:p>
      <w:pPr>
        <w:pStyle w:val="BodyText"/>
        <w:spacing w:line="364" w:lineRule="auto"/>
        <w:ind w:left="218" w:right="334" w:firstLine="482"/>
        <w:jc w:val="both"/>
      </w:pPr>
      <w:r>
        <w:rPr>
          <w:spacing w:val="-2"/>
        </w:rPr>
        <w:t>三环唑及三环唑可湿性粉剂的产品质量控制执行《三环唑</w:t>
      </w:r>
      <w:r>
        <w:rPr/>
        <w:t>（</w:t>
      </w:r>
      <w:r>
        <w:rPr>
          <w:rFonts w:ascii="Times New Roman" w:eastAsia="Times New Roman"/>
          <w:spacing w:val="-1"/>
          <w:w w:val="99"/>
        </w:rPr>
        <w:t>G</w:t>
      </w:r>
      <w:r>
        <w:rPr>
          <w:rFonts w:ascii="Times New Roman" w:eastAsia="Times New Roman"/>
        </w:rPr>
        <w:t>B/T 39651</w:t>
      </w:r>
      <w:r>
        <w:rPr>
          <w:rFonts w:ascii="Times New Roman" w:eastAsia="Times New Roman"/>
          <w:spacing w:val="-1"/>
        </w:rPr>
        <w:t>-</w:t>
      </w:r>
      <w:r>
        <w:rPr>
          <w:rFonts w:ascii="Times New Roman" w:eastAsia="Times New Roman"/>
        </w:rPr>
        <w:t>2020</w:t>
      </w:r>
      <w:r>
        <w:rPr>
          <w:spacing w:val="-120"/>
        </w:rPr>
        <w:t>）</w:t>
      </w:r>
      <w:r>
        <w:rPr>
          <w:spacing w:val="-9"/>
        </w:rPr>
        <w:t>》具</w:t>
      </w:r>
      <w:r>
        <w:rPr/>
        <w:t>体要求如下：</w:t>
      </w:r>
    </w:p>
    <w:p>
      <w:pPr>
        <w:pStyle w:val="Heading4"/>
        <w:spacing w:before="137" w:after="30"/>
        <w:ind w:left="2878"/>
        <w:jc w:val="both"/>
      </w:pPr>
      <w:r>
        <w:rPr/>
        <w:t>表 </w:t>
      </w:r>
      <w:r>
        <w:rPr>
          <w:rFonts w:ascii="Times New Roman" w:eastAsia="Times New Roman"/>
        </w:rPr>
        <w:t>4.1.2-3  </w:t>
      </w:r>
      <w:r>
        <w:rPr/>
        <w:t>三环唑原药控制项目指标</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4"/>
        <w:gridCol w:w="6484"/>
      </w:tblGrid>
      <w:tr>
        <w:trPr>
          <w:trHeight w:val="285" w:hRule="atLeast"/>
        </w:trPr>
        <w:tc>
          <w:tcPr>
            <w:tcW w:w="2804" w:type="dxa"/>
          </w:tcPr>
          <w:p>
            <w:pPr>
              <w:pStyle w:val="TableParagraph"/>
              <w:spacing w:line="257" w:lineRule="exact" w:before="8"/>
              <w:ind w:left="8"/>
              <w:rPr>
                <w:sz w:val="21"/>
              </w:rPr>
            </w:pPr>
            <w:r>
              <w:rPr>
                <w:sz w:val="21"/>
              </w:rPr>
              <w:t>项目</w:t>
            </w:r>
          </w:p>
        </w:tc>
        <w:tc>
          <w:tcPr>
            <w:tcW w:w="6484" w:type="dxa"/>
          </w:tcPr>
          <w:p>
            <w:pPr>
              <w:pStyle w:val="TableParagraph"/>
              <w:spacing w:line="257" w:lineRule="exact" w:before="8"/>
              <w:ind w:left="2275" w:right="2265"/>
              <w:rPr>
                <w:sz w:val="21"/>
              </w:rPr>
            </w:pPr>
            <w:r>
              <w:rPr>
                <w:sz w:val="21"/>
              </w:rPr>
              <w:t>指标</w:t>
            </w:r>
          </w:p>
        </w:tc>
      </w:tr>
      <w:tr>
        <w:trPr>
          <w:trHeight w:val="282" w:hRule="atLeast"/>
        </w:trPr>
        <w:tc>
          <w:tcPr>
            <w:tcW w:w="2804" w:type="dxa"/>
          </w:tcPr>
          <w:p>
            <w:pPr>
              <w:pStyle w:val="TableParagraph"/>
              <w:spacing w:line="257" w:lineRule="exact" w:before="6"/>
              <w:ind w:left="8"/>
              <w:rPr>
                <w:sz w:val="21"/>
              </w:rPr>
            </w:pPr>
            <w:r>
              <w:rPr>
                <w:sz w:val="21"/>
              </w:rPr>
              <w:t>外观</w:t>
            </w:r>
          </w:p>
        </w:tc>
        <w:tc>
          <w:tcPr>
            <w:tcW w:w="6484" w:type="dxa"/>
          </w:tcPr>
          <w:p>
            <w:pPr>
              <w:pStyle w:val="TableParagraph"/>
              <w:spacing w:line="257" w:lineRule="exact" w:before="6"/>
              <w:ind w:left="2275" w:right="2268"/>
              <w:rPr>
                <w:sz w:val="21"/>
              </w:rPr>
            </w:pPr>
            <w:r>
              <w:rPr>
                <w:sz w:val="21"/>
              </w:rPr>
              <w:t>灰白色至棕红色粉末</w:t>
            </w:r>
          </w:p>
        </w:tc>
      </w:tr>
      <w:tr>
        <w:trPr>
          <w:trHeight w:val="285" w:hRule="atLeast"/>
        </w:trPr>
        <w:tc>
          <w:tcPr>
            <w:tcW w:w="2804" w:type="dxa"/>
          </w:tcPr>
          <w:p>
            <w:pPr>
              <w:pStyle w:val="TableParagraph"/>
              <w:spacing w:line="257" w:lineRule="exact" w:before="8"/>
              <w:ind w:left="11"/>
              <w:rPr>
                <w:rFonts w:ascii="Times New Roman" w:eastAsia="Times New Roman"/>
                <w:sz w:val="21"/>
              </w:rPr>
            </w:pPr>
            <w:r>
              <w:rPr>
                <w:sz w:val="21"/>
              </w:rPr>
              <w:t>三环唑质量分数</w:t>
            </w:r>
            <w:r>
              <w:rPr>
                <w:rFonts w:ascii="Times New Roman" w:eastAsia="Times New Roman"/>
                <w:sz w:val="21"/>
              </w:rPr>
              <w:t>/%</w:t>
            </w:r>
          </w:p>
        </w:tc>
        <w:tc>
          <w:tcPr>
            <w:tcW w:w="6484" w:type="dxa"/>
          </w:tcPr>
          <w:p>
            <w:pPr>
              <w:pStyle w:val="TableParagraph"/>
              <w:spacing w:before="22"/>
              <w:ind w:left="2275" w:right="2265"/>
              <w:rPr>
                <w:rFonts w:ascii="Times New Roman" w:hAnsi="Times New Roman"/>
                <w:sz w:val="21"/>
              </w:rPr>
            </w:pPr>
            <w:r>
              <w:rPr>
                <w:rFonts w:ascii="Times New Roman" w:hAnsi="Times New Roman"/>
                <w:sz w:val="21"/>
              </w:rPr>
              <w:t>≥95.0</w:t>
            </w:r>
          </w:p>
        </w:tc>
      </w:tr>
      <w:tr>
        <w:trPr>
          <w:trHeight w:val="282" w:hRule="atLeast"/>
        </w:trPr>
        <w:tc>
          <w:tcPr>
            <w:tcW w:w="2804" w:type="dxa"/>
          </w:tcPr>
          <w:p>
            <w:pPr>
              <w:pStyle w:val="TableParagraph"/>
              <w:spacing w:line="257" w:lineRule="exact" w:before="5"/>
              <w:ind w:left="11"/>
              <w:rPr>
                <w:rFonts w:ascii="Times New Roman" w:eastAsia="Times New Roman"/>
                <w:sz w:val="21"/>
              </w:rPr>
            </w:pPr>
            <w:r>
              <w:rPr>
                <w:sz w:val="21"/>
              </w:rPr>
              <w:t>水分</w:t>
            </w:r>
            <w:r>
              <w:rPr>
                <w:rFonts w:ascii="Times New Roman" w:eastAsia="Times New Roman"/>
                <w:sz w:val="21"/>
              </w:rPr>
              <w:t>/%</w:t>
            </w:r>
          </w:p>
        </w:tc>
        <w:tc>
          <w:tcPr>
            <w:tcW w:w="6484" w:type="dxa"/>
          </w:tcPr>
          <w:p>
            <w:pPr>
              <w:pStyle w:val="TableParagraph"/>
              <w:spacing w:before="19"/>
              <w:ind w:left="2275" w:right="2265"/>
              <w:rPr>
                <w:rFonts w:ascii="Times New Roman" w:hAnsi="Times New Roman"/>
                <w:sz w:val="21"/>
              </w:rPr>
            </w:pPr>
            <w:r>
              <w:rPr>
                <w:rFonts w:ascii="Times New Roman" w:hAnsi="Times New Roman"/>
                <w:sz w:val="21"/>
              </w:rPr>
              <w:t>≤0.5</w:t>
            </w:r>
          </w:p>
        </w:tc>
      </w:tr>
      <w:tr>
        <w:trPr>
          <w:trHeight w:val="285" w:hRule="atLeast"/>
        </w:trPr>
        <w:tc>
          <w:tcPr>
            <w:tcW w:w="2804" w:type="dxa"/>
          </w:tcPr>
          <w:p>
            <w:pPr>
              <w:pStyle w:val="TableParagraph"/>
              <w:spacing w:line="257" w:lineRule="exact" w:before="8"/>
              <w:ind w:left="11"/>
              <w:rPr>
                <w:sz w:val="21"/>
              </w:rPr>
            </w:pPr>
            <w:r>
              <w:rPr>
                <w:rFonts w:ascii="Times New Roman" w:eastAsia="Times New Roman"/>
                <w:sz w:val="21"/>
              </w:rPr>
              <w:t>pH </w:t>
            </w:r>
            <w:r>
              <w:rPr>
                <w:sz w:val="21"/>
              </w:rPr>
              <w:t>范围</w:t>
            </w:r>
          </w:p>
        </w:tc>
        <w:tc>
          <w:tcPr>
            <w:tcW w:w="6484" w:type="dxa"/>
          </w:tcPr>
          <w:p>
            <w:pPr>
              <w:pStyle w:val="TableParagraph"/>
              <w:spacing w:before="22"/>
              <w:ind w:left="2275" w:right="2267"/>
              <w:rPr>
                <w:rFonts w:ascii="Times New Roman"/>
                <w:sz w:val="21"/>
              </w:rPr>
            </w:pPr>
            <w:r>
              <w:rPr>
                <w:rFonts w:ascii="Times New Roman"/>
                <w:sz w:val="21"/>
              </w:rPr>
              <w:t>4.0~7.0</w:t>
            </w:r>
          </w:p>
        </w:tc>
      </w:tr>
      <w:tr>
        <w:trPr>
          <w:trHeight w:val="282" w:hRule="atLeast"/>
        </w:trPr>
        <w:tc>
          <w:tcPr>
            <w:tcW w:w="2804" w:type="dxa"/>
          </w:tcPr>
          <w:p>
            <w:pPr>
              <w:pStyle w:val="TableParagraph"/>
              <w:spacing w:line="257" w:lineRule="exact" w:before="5"/>
              <w:ind w:left="11"/>
              <w:rPr>
                <w:rFonts w:ascii="Times New Roman" w:eastAsia="Times New Roman"/>
                <w:sz w:val="21"/>
              </w:rPr>
            </w:pPr>
            <w:r>
              <w:rPr>
                <w:sz w:val="21"/>
              </w:rPr>
              <w:t>三氯甲烷不溶物</w:t>
            </w:r>
            <w:r>
              <w:rPr>
                <w:rFonts w:ascii="Times New Roman" w:eastAsia="Times New Roman"/>
                <w:sz w:val="21"/>
              </w:rPr>
              <w:t>/%</w:t>
            </w:r>
          </w:p>
        </w:tc>
        <w:tc>
          <w:tcPr>
            <w:tcW w:w="6484" w:type="dxa"/>
          </w:tcPr>
          <w:p>
            <w:pPr>
              <w:pStyle w:val="TableParagraph"/>
              <w:spacing w:before="19"/>
              <w:ind w:left="2275" w:right="2265"/>
              <w:rPr>
                <w:rFonts w:ascii="Times New Roman" w:hAnsi="Times New Roman"/>
                <w:sz w:val="21"/>
              </w:rPr>
            </w:pPr>
            <w:r>
              <w:rPr>
                <w:rFonts w:ascii="Times New Roman" w:hAnsi="Times New Roman"/>
                <w:sz w:val="21"/>
              </w:rPr>
              <w:t>≤0.3</w:t>
            </w:r>
          </w:p>
        </w:tc>
      </w:tr>
    </w:tbl>
    <w:p>
      <w:pPr>
        <w:spacing w:before="144" w:after="29"/>
        <w:ind w:left="0" w:right="118" w:firstLine="0"/>
        <w:jc w:val="center"/>
        <w:rPr>
          <w:b/>
          <w:sz w:val="24"/>
        </w:rPr>
      </w:pPr>
      <w:r>
        <w:rPr>
          <w:b/>
          <w:sz w:val="24"/>
        </w:rPr>
        <w:t>表 </w:t>
      </w:r>
      <w:r>
        <w:rPr>
          <w:rFonts w:ascii="Times New Roman" w:eastAsia="Times New Roman"/>
          <w:b/>
          <w:sz w:val="24"/>
        </w:rPr>
        <w:t>4.1.2-4  </w:t>
      </w:r>
      <w:r>
        <w:rPr>
          <w:b/>
          <w:sz w:val="24"/>
        </w:rPr>
        <w:t>三环唑可湿性粉剂控制项目指标</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95"/>
        <w:gridCol w:w="2252"/>
        <w:gridCol w:w="3241"/>
      </w:tblGrid>
      <w:tr>
        <w:trPr>
          <w:trHeight w:val="285" w:hRule="atLeast"/>
        </w:trPr>
        <w:tc>
          <w:tcPr>
            <w:tcW w:w="3795" w:type="dxa"/>
            <w:vMerge w:val="restart"/>
          </w:tcPr>
          <w:p>
            <w:pPr>
              <w:pStyle w:val="TableParagraph"/>
              <w:spacing w:before="154"/>
              <w:ind w:left="235" w:right="224"/>
              <w:rPr>
                <w:sz w:val="21"/>
              </w:rPr>
            </w:pPr>
            <w:r>
              <w:rPr>
                <w:sz w:val="21"/>
              </w:rPr>
              <w:t>项目</w:t>
            </w:r>
          </w:p>
        </w:tc>
        <w:tc>
          <w:tcPr>
            <w:tcW w:w="5493" w:type="dxa"/>
            <w:gridSpan w:val="2"/>
          </w:tcPr>
          <w:p>
            <w:pPr>
              <w:pStyle w:val="TableParagraph"/>
              <w:spacing w:line="257" w:lineRule="exact" w:before="8"/>
              <w:ind w:left="1990" w:right="1982"/>
              <w:rPr>
                <w:sz w:val="21"/>
              </w:rPr>
            </w:pPr>
            <w:r>
              <w:rPr>
                <w:sz w:val="21"/>
              </w:rPr>
              <w:t>指标</w:t>
            </w:r>
          </w:p>
        </w:tc>
      </w:tr>
      <w:tr>
        <w:trPr>
          <w:trHeight w:val="282" w:hRule="atLeast"/>
        </w:trPr>
        <w:tc>
          <w:tcPr>
            <w:tcW w:w="3795" w:type="dxa"/>
            <w:vMerge/>
            <w:tcBorders>
              <w:top w:val="nil"/>
            </w:tcBorders>
          </w:tcPr>
          <w:p>
            <w:pPr>
              <w:rPr>
                <w:sz w:val="2"/>
                <w:szCs w:val="2"/>
              </w:rPr>
            </w:pPr>
          </w:p>
        </w:tc>
        <w:tc>
          <w:tcPr>
            <w:tcW w:w="2252" w:type="dxa"/>
          </w:tcPr>
          <w:p>
            <w:pPr>
              <w:pStyle w:val="TableParagraph"/>
              <w:spacing w:before="19"/>
              <w:ind w:left="732" w:right="721"/>
              <w:rPr>
                <w:rFonts w:ascii="Times New Roman"/>
                <w:sz w:val="21"/>
              </w:rPr>
            </w:pPr>
            <w:r>
              <w:rPr>
                <w:rFonts w:ascii="Times New Roman"/>
                <w:sz w:val="21"/>
              </w:rPr>
              <w:t>20%</w:t>
            </w:r>
          </w:p>
        </w:tc>
        <w:tc>
          <w:tcPr>
            <w:tcW w:w="3241" w:type="dxa"/>
          </w:tcPr>
          <w:p>
            <w:pPr>
              <w:pStyle w:val="TableParagraph"/>
              <w:spacing w:before="19"/>
              <w:ind w:left="1226" w:right="1216"/>
              <w:rPr>
                <w:rFonts w:ascii="Times New Roman"/>
                <w:sz w:val="21"/>
              </w:rPr>
            </w:pPr>
            <w:r>
              <w:rPr>
                <w:rFonts w:ascii="Times New Roman"/>
                <w:sz w:val="21"/>
              </w:rPr>
              <w:t>75%</w:t>
            </w:r>
          </w:p>
        </w:tc>
      </w:tr>
      <w:tr>
        <w:trPr>
          <w:trHeight w:val="285" w:hRule="atLeast"/>
        </w:trPr>
        <w:tc>
          <w:tcPr>
            <w:tcW w:w="3795" w:type="dxa"/>
          </w:tcPr>
          <w:p>
            <w:pPr>
              <w:pStyle w:val="TableParagraph"/>
              <w:spacing w:line="257" w:lineRule="exact" w:before="8"/>
              <w:ind w:left="235" w:right="224"/>
              <w:rPr>
                <w:sz w:val="21"/>
              </w:rPr>
            </w:pPr>
            <w:r>
              <w:rPr>
                <w:sz w:val="21"/>
              </w:rPr>
              <w:t>外观</w:t>
            </w:r>
          </w:p>
        </w:tc>
        <w:tc>
          <w:tcPr>
            <w:tcW w:w="5493" w:type="dxa"/>
            <w:gridSpan w:val="2"/>
          </w:tcPr>
          <w:p>
            <w:pPr>
              <w:pStyle w:val="TableParagraph"/>
              <w:spacing w:line="257" w:lineRule="exact" w:before="8"/>
              <w:ind w:left="1990" w:right="1982"/>
              <w:rPr>
                <w:sz w:val="21"/>
              </w:rPr>
            </w:pPr>
            <w:r>
              <w:rPr>
                <w:sz w:val="21"/>
              </w:rPr>
              <w:t>均匀的疏松粉末</w:t>
            </w:r>
          </w:p>
        </w:tc>
      </w:tr>
      <w:tr>
        <w:trPr>
          <w:trHeight w:val="481" w:hRule="atLeast"/>
        </w:trPr>
        <w:tc>
          <w:tcPr>
            <w:tcW w:w="3795" w:type="dxa"/>
          </w:tcPr>
          <w:p>
            <w:pPr>
              <w:pStyle w:val="TableParagraph"/>
              <w:spacing w:before="106"/>
              <w:ind w:left="233" w:right="224"/>
              <w:rPr>
                <w:rFonts w:ascii="Times New Roman" w:eastAsia="Times New Roman"/>
                <w:sz w:val="21"/>
              </w:rPr>
            </w:pPr>
            <w:r>
              <w:rPr>
                <w:sz w:val="21"/>
              </w:rPr>
              <w:t>三环唑质量分数</w:t>
            </w:r>
            <w:r>
              <w:rPr>
                <w:rFonts w:ascii="Times New Roman" w:eastAsia="Times New Roman"/>
                <w:sz w:val="21"/>
              </w:rPr>
              <w:t>/%</w:t>
            </w:r>
          </w:p>
        </w:tc>
        <w:tc>
          <w:tcPr>
            <w:tcW w:w="2252" w:type="dxa"/>
          </w:tcPr>
          <w:p>
            <w:pPr>
              <w:pStyle w:val="TableParagraph"/>
              <w:spacing w:line="241" w:lineRule="exact"/>
              <w:ind w:left="732" w:right="721"/>
              <w:rPr>
                <w:rFonts w:ascii="Times New Roman"/>
                <w:sz w:val="21"/>
              </w:rPr>
            </w:pPr>
            <w:r>
              <w:rPr>
                <w:rFonts w:ascii="Times New Roman"/>
                <w:sz w:val="21"/>
              </w:rPr>
              <w:t>20.0+1.2</w:t>
            </w:r>
          </w:p>
          <w:p>
            <w:pPr>
              <w:pStyle w:val="TableParagraph"/>
              <w:spacing w:line="221" w:lineRule="exact"/>
              <w:ind w:left="732" w:right="721"/>
              <w:rPr>
                <w:rFonts w:ascii="Times New Roman"/>
                <w:sz w:val="21"/>
              </w:rPr>
            </w:pPr>
            <w:r>
              <w:rPr>
                <w:rFonts w:ascii="Times New Roman"/>
                <w:sz w:val="21"/>
              </w:rPr>
              <w:t>20.0-1.2</w:t>
            </w:r>
          </w:p>
        </w:tc>
        <w:tc>
          <w:tcPr>
            <w:tcW w:w="3241" w:type="dxa"/>
          </w:tcPr>
          <w:p>
            <w:pPr>
              <w:pStyle w:val="TableParagraph"/>
              <w:spacing w:line="241" w:lineRule="exact"/>
              <w:ind w:left="1226" w:right="1216"/>
              <w:rPr>
                <w:rFonts w:ascii="Times New Roman"/>
                <w:sz w:val="21"/>
              </w:rPr>
            </w:pPr>
            <w:r>
              <w:rPr>
                <w:rFonts w:ascii="Times New Roman"/>
                <w:sz w:val="21"/>
              </w:rPr>
              <w:t>75.0+2.5</w:t>
            </w:r>
          </w:p>
          <w:p>
            <w:pPr>
              <w:pStyle w:val="TableParagraph"/>
              <w:spacing w:line="221" w:lineRule="exact"/>
              <w:ind w:left="1226" w:right="1216"/>
              <w:rPr>
                <w:rFonts w:ascii="Times New Roman"/>
                <w:sz w:val="21"/>
              </w:rPr>
            </w:pPr>
            <w:r>
              <w:rPr>
                <w:rFonts w:ascii="Times New Roman"/>
                <w:sz w:val="21"/>
              </w:rPr>
              <w:t>75.0-2.5</w:t>
            </w:r>
          </w:p>
        </w:tc>
      </w:tr>
      <w:tr>
        <w:trPr>
          <w:trHeight w:val="285" w:hRule="atLeast"/>
        </w:trPr>
        <w:tc>
          <w:tcPr>
            <w:tcW w:w="3795" w:type="dxa"/>
          </w:tcPr>
          <w:p>
            <w:pPr>
              <w:pStyle w:val="TableParagraph"/>
              <w:spacing w:line="257" w:lineRule="exact" w:before="8"/>
              <w:ind w:left="233" w:right="224"/>
              <w:rPr>
                <w:rFonts w:ascii="Times New Roman" w:eastAsia="Times New Roman"/>
                <w:sz w:val="21"/>
              </w:rPr>
            </w:pPr>
            <w:r>
              <w:rPr>
                <w:sz w:val="21"/>
              </w:rPr>
              <w:t>水分</w:t>
            </w:r>
            <w:r>
              <w:rPr>
                <w:rFonts w:ascii="Times New Roman" w:eastAsia="Times New Roman"/>
                <w:sz w:val="21"/>
              </w:rPr>
              <w:t>/%</w:t>
            </w:r>
          </w:p>
        </w:tc>
        <w:tc>
          <w:tcPr>
            <w:tcW w:w="5493" w:type="dxa"/>
            <w:gridSpan w:val="2"/>
          </w:tcPr>
          <w:p>
            <w:pPr>
              <w:pStyle w:val="TableParagraph"/>
              <w:spacing w:before="22"/>
              <w:ind w:left="1990" w:right="1982"/>
              <w:rPr>
                <w:rFonts w:ascii="Times New Roman" w:hAnsi="Times New Roman"/>
                <w:sz w:val="21"/>
              </w:rPr>
            </w:pPr>
            <w:r>
              <w:rPr>
                <w:rFonts w:ascii="Times New Roman" w:hAnsi="Times New Roman"/>
                <w:sz w:val="21"/>
              </w:rPr>
              <w:t>≤2.0</w:t>
            </w:r>
          </w:p>
        </w:tc>
      </w:tr>
      <w:tr>
        <w:trPr>
          <w:trHeight w:val="282" w:hRule="atLeast"/>
        </w:trPr>
        <w:tc>
          <w:tcPr>
            <w:tcW w:w="3795" w:type="dxa"/>
          </w:tcPr>
          <w:p>
            <w:pPr>
              <w:pStyle w:val="TableParagraph"/>
              <w:spacing w:line="257" w:lineRule="exact" w:before="5"/>
              <w:ind w:left="232" w:right="224"/>
              <w:rPr>
                <w:sz w:val="21"/>
              </w:rPr>
            </w:pPr>
            <w:r>
              <w:rPr>
                <w:rFonts w:ascii="Times New Roman" w:eastAsia="Times New Roman"/>
                <w:sz w:val="21"/>
              </w:rPr>
              <w:t>pH </w:t>
            </w:r>
            <w:r>
              <w:rPr>
                <w:sz w:val="21"/>
              </w:rPr>
              <w:t>范围</w:t>
            </w:r>
          </w:p>
        </w:tc>
        <w:tc>
          <w:tcPr>
            <w:tcW w:w="5493" w:type="dxa"/>
            <w:gridSpan w:val="2"/>
          </w:tcPr>
          <w:p>
            <w:pPr>
              <w:pStyle w:val="TableParagraph"/>
              <w:spacing w:before="19"/>
              <w:ind w:left="1990" w:right="1980"/>
              <w:rPr>
                <w:rFonts w:ascii="Times New Roman"/>
                <w:sz w:val="21"/>
              </w:rPr>
            </w:pPr>
            <w:r>
              <w:rPr>
                <w:rFonts w:ascii="Times New Roman"/>
                <w:sz w:val="21"/>
              </w:rPr>
              <w:t>6.0~8.0</w:t>
            </w:r>
          </w:p>
        </w:tc>
      </w:tr>
      <w:tr>
        <w:trPr>
          <w:trHeight w:val="285" w:hRule="atLeast"/>
        </w:trPr>
        <w:tc>
          <w:tcPr>
            <w:tcW w:w="3795" w:type="dxa"/>
          </w:tcPr>
          <w:p>
            <w:pPr>
              <w:pStyle w:val="TableParagraph"/>
              <w:spacing w:line="257" w:lineRule="exact" w:before="8"/>
              <w:ind w:left="236" w:right="224"/>
              <w:rPr>
                <w:rFonts w:ascii="Times New Roman" w:hAnsi="Times New Roman" w:eastAsia="Times New Roman"/>
                <w:sz w:val="21"/>
              </w:rPr>
            </w:pPr>
            <w:r>
              <w:rPr>
                <w:sz w:val="21"/>
              </w:rPr>
              <w:t>湿筛试验（通过 </w:t>
            </w:r>
            <w:r>
              <w:rPr>
                <w:rFonts w:ascii="Times New Roman" w:hAnsi="Times New Roman" w:eastAsia="Times New Roman"/>
                <w:sz w:val="21"/>
              </w:rPr>
              <w:t>75</w:t>
            </w:r>
            <w:r>
              <w:rPr>
                <w:sz w:val="21"/>
              </w:rPr>
              <w:t>μ</w:t>
            </w:r>
            <w:r>
              <w:rPr>
                <w:rFonts w:ascii="Times New Roman" w:hAnsi="Times New Roman" w:eastAsia="Times New Roman"/>
                <w:sz w:val="21"/>
              </w:rPr>
              <w:t>m </w:t>
            </w:r>
            <w:r>
              <w:rPr>
                <w:sz w:val="21"/>
              </w:rPr>
              <w:t>试验筛）</w:t>
            </w:r>
            <w:r>
              <w:rPr>
                <w:rFonts w:ascii="Times New Roman" w:hAnsi="Times New Roman" w:eastAsia="Times New Roman"/>
                <w:sz w:val="21"/>
              </w:rPr>
              <w:t>/%</w:t>
            </w:r>
          </w:p>
        </w:tc>
        <w:tc>
          <w:tcPr>
            <w:tcW w:w="5493" w:type="dxa"/>
            <w:gridSpan w:val="2"/>
          </w:tcPr>
          <w:p>
            <w:pPr>
              <w:pStyle w:val="TableParagraph"/>
              <w:spacing w:before="22"/>
              <w:ind w:left="1990" w:right="1982"/>
              <w:rPr>
                <w:rFonts w:ascii="Times New Roman" w:hAnsi="Times New Roman"/>
                <w:sz w:val="21"/>
              </w:rPr>
            </w:pPr>
            <w:r>
              <w:rPr>
                <w:rFonts w:ascii="Times New Roman" w:hAnsi="Times New Roman"/>
                <w:sz w:val="21"/>
              </w:rPr>
              <w:t>≥98</w:t>
            </w:r>
          </w:p>
        </w:tc>
      </w:tr>
      <w:tr>
        <w:trPr>
          <w:trHeight w:val="282" w:hRule="atLeast"/>
        </w:trPr>
        <w:tc>
          <w:tcPr>
            <w:tcW w:w="3795" w:type="dxa"/>
          </w:tcPr>
          <w:p>
            <w:pPr>
              <w:pStyle w:val="TableParagraph"/>
              <w:spacing w:line="257" w:lineRule="exact" w:before="6"/>
              <w:ind w:left="233" w:right="224"/>
              <w:rPr>
                <w:rFonts w:ascii="Times New Roman" w:eastAsia="Times New Roman"/>
                <w:sz w:val="21"/>
              </w:rPr>
            </w:pPr>
            <w:r>
              <w:rPr>
                <w:sz w:val="21"/>
              </w:rPr>
              <w:t>悬浮物</w:t>
            </w:r>
            <w:r>
              <w:rPr>
                <w:rFonts w:ascii="Times New Roman" w:eastAsia="Times New Roman"/>
                <w:sz w:val="21"/>
              </w:rPr>
              <w:t>/%</w:t>
            </w:r>
          </w:p>
        </w:tc>
        <w:tc>
          <w:tcPr>
            <w:tcW w:w="5493" w:type="dxa"/>
            <w:gridSpan w:val="2"/>
          </w:tcPr>
          <w:p>
            <w:pPr>
              <w:pStyle w:val="TableParagraph"/>
              <w:spacing w:before="19"/>
              <w:ind w:left="1990" w:right="1982"/>
              <w:rPr>
                <w:rFonts w:ascii="Times New Roman" w:hAnsi="Times New Roman"/>
                <w:sz w:val="21"/>
              </w:rPr>
            </w:pPr>
            <w:r>
              <w:rPr>
                <w:rFonts w:ascii="Times New Roman" w:hAnsi="Times New Roman"/>
                <w:sz w:val="21"/>
              </w:rPr>
              <w:t>≥75</w:t>
            </w:r>
          </w:p>
        </w:tc>
      </w:tr>
      <w:tr>
        <w:trPr>
          <w:trHeight w:val="285" w:hRule="atLeast"/>
        </w:trPr>
        <w:tc>
          <w:tcPr>
            <w:tcW w:w="3795" w:type="dxa"/>
          </w:tcPr>
          <w:p>
            <w:pPr>
              <w:pStyle w:val="TableParagraph"/>
              <w:spacing w:line="257" w:lineRule="exact" w:before="8"/>
              <w:ind w:left="231" w:right="224"/>
              <w:rPr>
                <w:rFonts w:ascii="Times New Roman" w:eastAsia="Times New Roman"/>
                <w:sz w:val="21"/>
              </w:rPr>
            </w:pPr>
            <w:r>
              <w:rPr>
                <w:sz w:val="21"/>
              </w:rPr>
              <w:t>持久起泡性（</w:t>
            </w:r>
            <w:r>
              <w:rPr>
                <w:rFonts w:ascii="Times New Roman" w:eastAsia="Times New Roman"/>
                <w:sz w:val="21"/>
              </w:rPr>
              <w:t>1min </w:t>
            </w:r>
            <w:r>
              <w:rPr>
                <w:sz w:val="21"/>
              </w:rPr>
              <w:t>后起泡量）</w:t>
            </w:r>
            <w:r>
              <w:rPr>
                <w:rFonts w:ascii="Times New Roman" w:eastAsia="Times New Roman"/>
                <w:sz w:val="21"/>
              </w:rPr>
              <w:t>/mL</w:t>
            </w:r>
          </w:p>
        </w:tc>
        <w:tc>
          <w:tcPr>
            <w:tcW w:w="5493" w:type="dxa"/>
            <w:gridSpan w:val="2"/>
          </w:tcPr>
          <w:p>
            <w:pPr>
              <w:pStyle w:val="TableParagraph"/>
              <w:spacing w:before="22"/>
              <w:ind w:left="1990" w:right="1982"/>
              <w:rPr>
                <w:rFonts w:ascii="Times New Roman" w:hAnsi="Times New Roman"/>
                <w:sz w:val="21"/>
              </w:rPr>
            </w:pPr>
            <w:r>
              <w:rPr>
                <w:rFonts w:ascii="Times New Roman" w:hAnsi="Times New Roman"/>
                <w:sz w:val="21"/>
              </w:rPr>
              <w:t>≤60</w:t>
            </w:r>
          </w:p>
        </w:tc>
      </w:tr>
      <w:tr>
        <w:trPr>
          <w:trHeight w:val="282" w:hRule="atLeast"/>
        </w:trPr>
        <w:tc>
          <w:tcPr>
            <w:tcW w:w="3795" w:type="dxa"/>
          </w:tcPr>
          <w:p>
            <w:pPr>
              <w:pStyle w:val="TableParagraph"/>
              <w:spacing w:line="257" w:lineRule="exact" w:before="6"/>
              <w:ind w:left="233" w:right="224"/>
              <w:rPr>
                <w:rFonts w:ascii="Times New Roman" w:eastAsia="Times New Roman"/>
                <w:sz w:val="21"/>
              </w:rPr>
            </w:pPr>
            <w:r>
              <w:rPr>
                <w:sz w:val="21"/>
              </w:rPr>
              <w:t>润湿时间</w:t>
            </w:r>
            <w:r>
              <w:rPr>
                <w:rFonts w:ascii="Times New Roman" w:eastAsia="Times New Roman"/>
                <w:sz w:val="21"/>
              </w:rPr>
              <w:t>/s</w:t>
            </w:r>
          </w:p>
        </w:tc>
        <w:tc>
          <w:tcPr>
            <w:tcW w:w="5493" w:type="dxa"/>
            <w:gridSpan w:val="2"/>
          </w:tcPr>
          <w:p>
            <w:pPr>
              <w:pStyle w:val="TableParagraph"/>
              <w:spacing w:before="19"/>
              <w:ind w:left="1990" w:right="1982"/>
              <w:rPr>
                <w:rFonts w:ascii="Times New Roman" w:hAnsi="Times New Roman"/>
                <w:sz w:val="21"/>
              </w:rPr>
            </w:pPr>
            <w:r>
              <w:rPr>
                <w:rFonts w:ascii="Times New Roman" w:hAnsi="Times New Roman"/>
                <w:sz w:val="21"/>
              </w:rPr>
              <w:t>≤60</w:t>
            </w:r>
          </w:p>
        </w:tc>
      </w:tr>
      <w:tr>
        <w:trPr>
          <w:trHeight w:val="285" w:hRule="atLeast"/>
        </w:trPr>
        <w:tc>
          <w:tcPr>
            <w:tcW w:w="3795" w:type="dxa"/>
          </w:tcPr>
          <w:p>
            <w:pPr>
              <w:pStyle w:val="TableParagraph"/>
              <w:spacing w:line="257" w:lineRule="exact" w:before="8"/>
              <w:ind w:left="232" w:right="224"/>
              <w:rPr>
                <w:sz w:val="21"/>
              </w:rPr>
            </w:pPr>
            <w:r>
              <w:rPr>
                <w:sz w:val="21"/>
              </w:rPr>
              <w:t>热储稳定性</w:t>
            </w:r>
          </w:p>
        </w:tc>
        <w:tc>
          <w:tcPr>
            <w:tcW w:w="5493" w:type="dxa"/>
            <w:gridSpan w:val="2"/>
          </w:tcPr>
          <w:p>
            <w:pPr>
              <w:pStyle w:val="TableParagraph"/>
              <w:spacing w:line="257" w:lineRule="exact" w:before="8"/>
              <w:ind w:left="1990" w:right="1982"/>
              <w:rPr>
                <w:sz w:val="21"/>
              </w:rPr>
            </w:pPr>
            <w:r>
              <w:rPr>
                <w:sz w:val="21"/>
              </w:rPr>
              <w:t>合格</w:t>
            </w:r>
          </w:p>
        </w:tc>
      </w:tr>
    </w:tbl>
    <w:p>
      <w:pPr>
        <w:pStyle w:val="ListParagraph"/>
        <w:numPr>
          <w:ilvl w:val="2"/>
          <w:numId w:val="13"/>
        </w:numPr>
        <w:tabs>
          <w:tab w:pos="999" w:val="left" w:leader="none"/>
        </w:tabs>
        <w:spacing w:line="240" w:lineRule="auto" w:before="2" w:after="0"/>
        <w:ind w:left="998" w:right="0" w:hanging="541"/>
        <w:jc w:val="left"/>
        <w:rPr>
          <w:b/>
          <w:sz w:val="24"/>
        </w:rPr>
      </w:pPr>
      <w:r>
        <w:rPr>
          <w:b/>
          <w:sz w:val="24"/>
        </w:rPr>
        <w:t>主要建筑内容</w:t>
      </w:r>
    </w:p>
    <w:p>
      <w:pPr>
        <w:pStyle w:val="BodyText"/>
        <w:spacing w:line="364" w:lineRule="auto" w:before="158"/>
        <w:ind w:left="218" w:right="332" w:firstLine="480"/>
      </w:pPr>
      <w:r>
        <w:rPr>
          <w:spacing w:val="-6"/>
        </w:rPr>
        <w:t>企业厂区占地面积 </w:t>
      </w:r>
      <w:r>
        <w:rPr>
          <w:rFonts w:ascii="Times New Roman" w:eastAsia="Times New Roman"/>
        </w:rPr>
        <w:t>90569m</w:t>
      </w:r>
      <w:r>
        <w:rPr>
          <w:rFonts w:ascii="Times New Roman" w:eastAsia="Times New Roman"/>
          <w:position w:val="9"/>
          <w:sz w:val="16"/>
        </w:rPr>
        <w:t>2</w:t>
      </w:r>
      <w:r>
        <w:rPr>
          <w:spacing w:val="-6"/>
        </w:rPr>
        <w:t>，本项目占地面积为 </w:t>
      </w:r>
      <w:r>
        <w:rPr>
          <w:rFonts w:ascii="Times New Roman" w:eastAsia="Times New Roman"/>
        </w:rPr>
        <w:t>13320m</w:t>
      </w:r>
      <w:r>
        <w:rPr>
          <w:rFonts w:ascii="Times New Roman" w:eastAsia="Times New Roman"/>
          <w:position w:val="9"/>
          <w:sz w:val="16"/>
        </w:rPr>
        <w:t>2</w:t>
      </w:r>
      <w:r>
        <w:rPr>
          <w:spacing w:val="-2"/>
        </w:rPr>
        <w:t>。项目新增主要建构筑物</w:t>
      </w:r>
      <w:r>
        <w:rPr/>
        <w:t>见下表。</w:t>
      </w:r>
    </w:p>
    <w:p>
      <w:pPr>
        <w:pStyle w:val="Heading4"/>
        <w:spacing w:before="141" w:after="29"/>
        <w:ind w:left="2878"/>
      </w:pPr>
      <w:r>
        <w:rPr/>
        <w:t>表 </w:t>
      </w:r>
      <w:r>
        <w:rPr>
          <w:rFonts w:ascii="Times New Roman" w:eastAsia="Times New Roman"/>
        </w:rPr>
        <w:t>4.1.3-1  </w:t>
      </w:r>
      <w:r>
        <w:rPr/>
        <w:t>项目主要建构筑物一览表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3"/>
        <w:gridCol w:w="1171"/>
        <w:gridCol w:w="816"/>
        <w:gridCol w:w="851"/>
        <w:gridCol w:w="1557"/>
        <w:gridCol w:w="1418"/>
        <w:gridCol w:w="2551"/>
      </w:tblGrid>
      <w:tr>
        <w:trPr>
          <w:trHeight w:val="285" w:hRule="atLeast"/>
        </w:trPr>
        <w:tc>
          <w:tcPr>
            <w:tcW w:w="713" w:type="dxa"/>
          </w:tcPr>
          <w:p>
            <w:pPr>
              <w:pStyle w:val="TableParagraph"/>
              <w:spacing w:line="257" w:lineRule="exact" w:before="8"/>
              <w:ind w:left="124" w:right="117"/>
              <w:rPr>
                <w:b/>
                <w:sz w:val="21"/>
              </w:rPr>
            </w:pPr>
            <w:r>
              <w:rPr>
                <w:b/>
                <w:sz w:val="21"/>
              </w:rPr>
              <w:t>序号</w:t>
            </w:r>
          </w:p>
        </w:tc>
        <w:tc>
          <w:tcPr>
            <w:tcW w:w="1987" w:type="dxa"/>
            <w:gridSpan w:val="2"/>
          </w:tcPr>
          <w:p>
            <w:pPr>
              <w:pStyle w:val="TableParagraph"/>
              <w:spacing w:line="257" w:lineRule="exact" w:before="8"/>
              <w:ind w:left="653" w:right="649"/>
              <w:rPr>
                <w:b/>
                <w:sz w:val="21"/>
              </w:rPr>
            </w:pPr>
            <w:r>
              <w:rPr>
                <w:b/>
                <w:sz w:val="21"/>
              </w:rPr>
              <w:t>名称</w:t>
            </w:r>
          </w:p>
        </w:tc>
        <w:tc>
          <w:tcPr>
            <w:tcW w:w="851" w:type="dxa"/>
          </w:tcPr>
          <w:p>
            <w:pPr>
              <w:pStyle w:val="TableParagraph"/>
              <w:spacing w:line="257" w:lineRule="exact" w:before="8"/>
              <w:ind w:left="191" w:right="187"/>
              <w:rPr>
                <w:b/>
                <w:sz w:val="21"/>
              </w:rPr>
            </w:pPr>
            <w:r>
              <w:rPr>
                <w:b/>
                <w:sz w:val="21"/>
              </w:rPr>
              <w:t>层数</w:t>
            </w:r>
          </w:p>
        </w:tc>
        <w:tc>
          <w:tcPr>
            <w:tcW w:w="1557" w:type="dxa"/>
          </w:tcPr>
          <w:p>
            <w:pPr>
              <w:pStyle w:val="TableParagraph"/>
              <w:spacing w:line="257" w:lineRule="exact" w:before="8"/>
              <w:ind w:left="161" w:right="151"/>
              <w:rPr>
                <w:rFonts w:ascii="Times New Roman" w:eastAsia="Times New Roman"/>
                <w:b/>
                <w:sz w:val="14"/>
              </w:rPr>
            </w:pPr>
            <w:r>
              <w:rPr>
                <w:b/>
                <w:sz w:val="21"/>
              </w:rPr>
              <w:t>占地面积 </w:t>
            </w:r>
            <w:r>
              <w:rPr>
                <w:rFonts w:ascii="Times New Roman" w:eastAsia="Times New Roman"/>
                <w:b/>
                <w:sz w:val="21"/>
              </w:rPr>
              <w:t>m</w:t>
            </w:r>
            <w:r>
              <w:rPr>
                <w:rFonts w:ascii="Times New Roman" w:eastAsia="Times New Roman"/>
                <w:b/>
                <w:position w:val="7"/>
                <w:sz w:val="14"/>
              </w:rPr>
              <w:t>2</w:t>
            </w:r>
          </w:p>
        </w:tc>
        <w:tc>
          <w:tcPr>
            <w:tcW w:w="1418" w:type="dxa"/>
          </w:tcPr>
          <w:p>
            <w:pPr>
              <w:pStyle w:val="TableParagraph"/>
              <w:spacing w:line="257" w:lineRule="exact" w:before="8"/>
              <w:ind w:left="17"/>
              <w:rPr>
                <w:rFonts w:ascii="Times New Roman" w:eastAsia="Times New Roman"/>
                <w:b/>
                <w:sz w:val="14"/>
              </w:rPr>
            </w:pPr>
            <w:r>
              <w:rPr>
                <w:b/>
                <w:sz w:val="21"/>
              </w:rPr>
              <w:t>建筑面积 </w:t>
            </w:r>
            <w:r>
              <w:rPr>
                <w:rFonts w:ascii="Times New Roman" w:eastAsia="Times New Roman"/>
                <w:b/>
                <w:sz w:val="21"/>
              </w:rPr>
              <w:t>m</w:t>
            </w:r>
            <w:r>
              <w:rPr>
                <w:rFonts w:ascii="Times New Roman" w:eastAsia="Times New Roman"/>
                <w:b/>
                <w:position w:val="7"/>
                <w:sz w:val="14"/>
              </w:rPr>
              <w:t>2</w:t>
            </w:r>
          </w:p>
        </w:tc>
        <w:tc>
          <w:tcPr>
            <w:tcW w:w="2551" w:type="dxa"/>
          </w:tcPr>
          <w:p>
            <w:pPr>
              <w:pStyle w:val="TableParagraph"/>
              <w:spacing w:line="257" w:lineRule="exact" w:before="8"/>
              <w:ind w:left="17" w:right="4"/>
              <w:rPr>
                <w:b/>
                <w:sz w:val="21"/>
              </w:rPr>
            </w:pPr>
            <w:r>
              <w:rPr>
                <w:b/>
                <w:sz w:val="21"/>
              </w:rPr>
              <w:t>备注</w:t>
            </w:r>
          </w:p>
        </w:tc>
      </w:tr>
      <w:tr>
        <w:trPr>
          <w:trHeight w:val="282" w:hRule="atLeast"/>
        </w:trPr>
        <w:tc>
          <w:tcPr>
            <w:tcW w:w="713" w:type="dxa"/>
          </w:tcPr>
          <w:p>
            <w:pPr>
              <w:pStyle w:val="TableParagraph"/>
              <w:spacing w:line="241" w:lineRule="exact" w:before="22"/>
              <w:ind w:left="7"/>
              <w:rPr>
                <w:rFonts w:ascii="Times New Roman"/>
                <w:sz w:val="21"/>
              </w:rPr>
            </w:pPr>
            <w:r>
              <w:rPr>
                <w:rFonts w:ascii="Times New Roman"/>
                <w:w w:val="100"/>
                <w:sz w:val="21"/>
              </w:rPr>
              <w:t>1</w:t>
            </w:r>
          </w:p>
        </w:tc>
        <w:tc>
          <w:tcPr>
            <w:tcW w:w="1171" w:type="dxa"/>
          </w:tcPr>
          <w:p>
            <w:pPr>
              <w:pStyle w:val="TableParagraph"/>
              <w:spacing w:line="257" w:lineRule="exact" w:before="5"/>
              <w:ind w:left="268"/>
              <w:jc w:val="left"/>
              <w:rPr>
                <w:sz w:val="21"/>
              </w:rPr>
            </w:pPr>
            <w:r>
              <w:rPr>
                <w:sz w:val="21"/>
              </w:rPr>
              <w:t>综合楼</w:t>
            </w:r>
          </w:p>
        </w:tc>
        <w:tc>
          <w:tcPr>
            <w:tcW w:w="816" w:type="dxa"/>
          </w:tcPr>
          <w:p>
            <w:pPr>
              <w:pStyle w:val="TableParagraph"/>
              <w:spacing w:line="257" w:lineRule="exact" w:before="5"/>
              <w:ind w:left="196"/>
              <w:jc w:val="left"/>
              <w:rPr>
                <w:sz w:val="21"/>
              </w:rPr>
            </w:pPr>
            <w:r>
              <w:rPr>
                <w:sz w:val="21"/>
              </w:rPr>
              <w:t>主楼</w:t>
            </w:r>
          </w:p>
        </w:tc>
        <w:tc>
          <w:tcPr>
            <w:tcW w:w="851" w:type="dxa"/>
          </w:tcPr>
          <w:p>
            <w:pPr>
              <w:pStyle w:val="TableParagraph"/>
              <w:spacing w:line="241" w:lineRule="exact" w:before="22"/>
              <w:ind w:left="4"/>
              <w:rPr>
                <w:rFonts w:ascii="Times New Roman"/>
                <w:sz w:val="21"/>
              </w:rPr>
            </w:pPr>
            <w:r>
              <w:rPr>
                <w:rFonts w:ascii="Times New Roman"/>
                <w:w w:val="100"/>
                <w:sz w:val="21"/>
              </w:rPr>
              <w:t>4</w:t>
            </w:r>
          </w:p>
        </w:tc>
        <w:tc>
          <w:tcPr>
            <w:tcW w:w="1557" w:type="dxa"/>
          </w:tcPr>
          <w:p>
            <w:pPr>
              <w:pStyle w:val="TableParagraph"/>
              <w:spacing w:line="241" w:lineRule="exact" w:before="22"/>
              <w:ind w:left="159" w:right="151"/>
              <w:rPr>
                <w:rFonts w:ascii="Times New Roman"/>
                <w:sz w:val="21"/>
              </w:rPr>
            </w:pPr>
            <w:r>
              <w:rPr>
                <w:rFonts w:ascii="Times New Roman"/>
                <w:sz w:val="21"/>
              </w:rPr>
              <w:t>1446.92</w:t>
            </w:r>
          </w:p>
        </w:tc>
        <w:tc>
          <w:tcPr>
            <w:tcW w:w="1418" w:type="dxa"/>
          </w:tcPr>
          <w:p>
            <w:pPr>
              <w:pStyle w:val="TableParagraph"/>
              <w:spacing w:line="241" w:lineRule="exact" w:before="22"/>
              <w:ind w:left="15"/>
              <w:rPr>
                <w:rFonts w:ascii="Times New Roman"/>
                <w:sz w:val="21"/>
              </w:rPr>
            </w:pPr>
            <w:r>
              <w:rPr>
                <w:rFonts w:ascii="Times New Roman"/>
                <w:sz w:val="21"/>
              </w:rPr>
              <w:t>5941.78</w:t>
            </w:r>
          </w:p>
        </w:tc>
        <w:tc>
          <w:tcPr>
            <w:tcW w:w="2551" w:type="dxa"/>
          </w:tcPr>
          <w:p>
            <w:pPr>
              <w:pStyle w:val="TableParagraph"/>
              <w:jc w:val="left"/>
              <w:rPr>
                <w:rFonts w:ascii="Times New Roman"/>
                <w:sz w:val="20"/>
              </w:rPr>
            </w:pPr>
          </w:p>
        </w:tc>
      </w:tr>
      <w:tr>
        <w:trPr>
          <w:trHeight w:val="285" w:hRule="atLeast"/>
        </w:trPr>
        <w:tc>
          <w:tcPr>
            <w:tcW w:w="713" w:type="dxa"/>
          </w:tcPr>
          <w:p>
            <w:pPr>
              <w:pStyle w:val="TableParagraph"/>
              <w:spacing w:before="22"/>
              <w:ind w:left="7"/>
              <w:rPr>
                <w:rFonts w:ascii="Times New Roman"/>
                <w:sz w:val="21"/>
              </w:rPr>
            </w:pPr>
            <w:r>
              <w:rPr>
                <w:rFonts w:ascii="Times New Roman"/>
                <w:w w:val="100"/>
                <w:sz w:val="21"/>
              </w:rPr>
              <w:t>2</w:t>
            </w:r>
          </w:p>
        </w:tc>
        <w:tc>
          <w:tcPr>
            <w:tcW w:w="1987" w:type="dxa"/>
            <w:gridSpan w:val="2"/>
          </w:tcPr>
          <w:p>
            <w:pPr>
              <w:pStyle w:val="TableParagraph"/>
              <w:spacing w:line="257" w:lineRule="exact" w:before="8"/>
              <w:ind w:left="465"/>
              <w:jc w:val="left"/>
              <w:rPr>
                <w:sz w:val="21"/>
              </w:rPr>
            </w:pPr>
            <w:r>
              <w:rPr>
                <w:sz w:val="21"/>
              </w:rPr>
              <w:t>公用工程楼</w:t>
            </w:r>
          </w:p>
        </w:tc>
        <w:tc>
          <w:tcPr>
            <w:tcW w:w="851" w:type="dxa"/>
          </w:tcPr>
          <w:p>
            <w:pPr>
              <w:pStyle w:val="TableParagraph"/>
              <w:spacing w:before="22"/>
              <w:ind w:left="4"/>
              <w:rPr>
                <w:rFonts w:ascii="Times New Roman"/>
                <w:sz w:val="21"/>
              </w:rPr>
            </w:pPr>
            <w:r>
              <w:rPr>
                <w:rFonts w:ascii="Times New Roman"/>
                <w:w w:val="100"/>
                <w:sz w:val="21"/>
              </w:rPr>
              <w:t>2</w:t>
            </w:r>
          </w:p>
        </w:tc>
        <w:tc>
          <w:tcPr>
            <w:tcW w:w="1557" w:type="dxa"/>
          </w:tcPr>
          <w:p>
            <w:pPr>
              <w:pStyle w:val="TableParagraph"/>
              <w:spacing w:before="22"/>
              <w:ind w:left="161" w:right="151"/>
              <w:rPr>
                <w:rFonts w:ascii="Times New Roman"/>
                <w:sz w:val="21"/>
              </w:rPr>
            </w:pPr>
            <w:r>
              <w:rPr>
                <w:rFonts w:ascii="Times New Roman"/>
                <w:sz w:val="21"/>
              </w:rPr>
              <w:t>2474</w:t>
            </w:r>
          </w:p>
        </w:tc>
        <w:tc>
          <w:tcPr>
            <w:tcW w:w="1418" w:type="dxa"/>
          </w:tcPr>
          <w:p>
            <w:pPr>
              <w:pStyle w:val="TableParagraph"/>
              <w:spacing w:before="22"/>
              <w:ind w:left="17"/>
              <w:rPr>
                <w:rFonts w:ascii="Times New Roman"/>
                <w:sz w:val="21"/>
              </w:rPr>
            </w:pPr>
            <w:r>
              <w:rPr>
                <w:rFonts w:ascii="Times New Roman"/>
                <w:sz w:val="21"/>
              </w:rPr>
              <w:t>4948</w:t>
            </w:r>
          </w:p>
        </w:tc>
        <w:tc>
          <w:tcPr>
            <w:tcW w:w="2551" w:type="dxa"/>
          </w:tcPr>
          <w:p>
            <w:pPr>
              <w:pStyle w:val="TableParagraph"/>
              <w:jc w:val="left"/>
              <w:rPr>
                <w:rFonts w:ascii="Times New Roman"/>
                <w:sz w:val="20"/>
              </w:rPr>
            </w:pPr>
          </w:p>
        </w:tc>
      </w:tr>
      <w:tr>
        <w:trPr>
          <w:trHeight w:val="282" w:hRule="atLeast"/>
        </w:trPr>
        <w:tc>
          <w:tcPr>
            <w:tcW w:w="713" w:type="dxa"/>
          </w:tcPr>
          <w:p>
            <w:pPr>
              <w:pStyle w:val="TableParagraph"/>
              <w:spacing w:line="241" w:lineRule="exact" w:before="22"/>
              <w:ind w:left="7"/>
              <w:rPr>
                <w:rFonts w:ascii="Times New Roman"/>
                <w:sz w:val="21"/>
              </w:rPr>
            </w:pPr>
            <w:r>
              <w:rPr>
                <w:rFonts w:ascii="Times New Roman"/>
                <w:w w:val="100"/>
                <w:sz w:val="21"/>
              </w:rPr>
              <w:t>3</w:t>
            </w:r>
          </w:p>
        </w:tc>
        <w:tc>
          <w:tcPr>
            <w:tcW w:w="1987" w:type="dxa"/>
            <w:gridSpan w:val="2"/>
          </w:tcPr>
          <w:p>
            <w:pPr>
              <w:pStyle w:val="TableParagraph"/>
              <w:spacing w:line="257" w:lineRule="exact" w:before="5"/>
              <w:ind w:left="465"/>
              <w:jc w:val="left"/>
              <w:rPr>
                <w:sz w:val="21"/>
              </w:rPr>
            </w:pPr>
            <w:r>
              <w:rPr>
                <w:sz w:val="21"/>
              </w:rPr>
              <w:t>中央控制室</w:t>
            </w:r>
          </w:p>
        </w:tc>
        <w:tc>
          <w:tcPr>
            <w:tcW w:w="851" w:type="dxa"/>
          </w:tcPr>
          <w:p>
            <w:pPr>
              <w:pStyle w:val="TableParagraph"/>
              <w:spacing w:line="241" w:lineRule="exact" w:before="22"/>
              <w:ind w:left="4"/>
              <w:rPr>
                <w:rFonts w:ascii="Times New Roman"/>
                <w:sz w:val="21"/>
              </w:rPr>
            </w:pPr>
            <w:r>
              <w:rPr>
                <w:rFonts w:ascii="Times New Roman"/>
                <w:w w:val="100"/>
                <w:sz w:val="21"/>
              </w:rPr>
              <w:t>2</w:t>
            </w:r>
          </w:p>
        </w:tc>
        <w:tc>
          <w:tcPr>
            <w:tcW w:w="1557" w:type="dxa"/>
          </w:tcPr>
          <w:p>
            <w:pPr>
              <w:pStyle w:val="TableParagraph"/>
              <w:spacing w:line="241" w:lineRule="exact" w:before="22"/>
              <w:ind w:left="161" w:right="151"/>
              <w:rPr>
                <w:rFonts w:ascii="Times New Roman"/>
                <w:sz w:val="21"/>
              </w:rPr>
            </w:pPr>
            <w:r>
              <w:rPr>
                <w:rFonts w:ascii="Times New Roman"/>
                <w:sz w:val="21"/>
              </w:rPr>
              <w:t>684</w:t>
            </w:r>
          </w:p>
        </w:tc>
        <w:tc>
          <w:tcPr>
            <w:tcW w:w="1418" w:type="dxa"/>
          </w:tcPr>
          <w:p>
            <w:pPr>
              <w:pStyle w:val="TableParagraph"/>
              <w:spacing w:line="241" w:lineRule="exact" w:before="22"/>
              <w:ind w:left="17"/>
              <w:rPr>
                <w:rFonts w:ascii="Times New Roman"/>
                <w:sz w:val="21"/>
              </w:rPr>
            </w:pPr>
            <w:r>
              <w:rPr>
                <w:rFonts w:ascii="Times New Roman"/>
                <w:sz w:val="21"/>
              </w:rPr>
              <w:t>1368</w:t>
            </w:r>
          </w:p>
        </w:tc>
        <w:tc>
          <w:tcPr>
            <w:tcW w:w="2551" w:type="dxa"/>
          </w:tcPr>
          <w:p>
            <w:pPr>
              <w:pStyle w:val="TableParagraph"/>
              <w:jc w:val="left"/>
              <w:rPr>
                <w:rFonts w:ascii="Times New Roman"/>
                <w:sz w:val="20"/>
              </w:rPr>
            </w:pPr>
          </w:p>
        </w:tc>
      </w:tr>
      <w:tr>
        <w:trPr>
          <w:trHeight w:val="285" w:hRule="atLeast"/>
        </w:trPr>
        <w:tc>
          <w:tcPr>
            <w:tcW w:w="713" w:type="dxa"/>
          </w:tcPr>
          <w:p>
            <w:pPr>
              <w:pStyle w:val="TableParagraph"/>
              <w:spacing w:before="22"/>
              <w:ind w:left="7"/>
              <w:rPr>
                <w:rFonts w:ascii="Times New Roman"/>
                <w:sz w:val="21"/>
              </w:rPr>
            </w:pPr>
            <w:r>
              <w:rPr>
                <w:rFonts w:ascii="Times New Roman"/>
                <w:w w:val="100"/>
                <w:sz w:val="21"/>
              </w:rPr>
              <w:t>4</w:t>
            </w:r>
          </w:p>
        </w:tc>
        <w:tc>
          <w:tcPr>
            <w:tcW w:w="1987" w:type="dxa"/>
            <w:gridSpan w:val="2"/>
          </w:tcPr>
          <w:p>
            <w:pPr>
              <w:pStyle w:val="TableParagraph"/>
              <w:spacing w:line="257" w:lineRule="exact" w:before="8"/>
              <w:ind w:left="570"/>
              <w:jc w:val="left"/>
              <w:rPr>
                <w:sz w:val="21"/>
              </w:rPr>
            </w:pPr>
            <w:r>
              <w:rPr>
                <w:sz w:val="21"/>
              </w:rPr>
              <w:t>消防泵房</w:t>
            </w:r>
          </w:p>
        </w:tc>
        <w:tc>
          <w:tcPr>
            <w:tcW w:w="851" w:type="dxa"/>
          </w:tcPr>
          <w:p>
            <w:pPr>
              <w:pStyle w:val="TableParagraph"/>
              <w:jc w:val="left"/>
              <w:rPr>
                <w:rFonts w:ascii="Times New Roman"/>
                <w:sz w:val="20"/>
              </w:rPr>
            </w:pPr>
          </w:p>
        </w:tc>
        <w:tc>
          <w:tcPr>
            <w:tcW w:w="1557" w:type="dxa"/>
          </w:tcPr>
          <w:p>
            <w:pPr>
              <w:pStyle w:val="TableParagraph"/>
              <w:spacing w:before="22"/>
              <w:ind w:left="161" w:right="151"/>
              <w:rPr>
                <w:rFonts w:ascii="Times New Roman"/>
                <w:sz w:val="21"/>
              </w:rPr>
            </w:pPr>
            <w:r>
              <w:rPr>
                <w:rFonts w:ascii="Times New Roman"/>
                <w:sz w:val="21"/>
              </w:rPr>
              <w:t>100</w:t>
            </w:r>
          </w:p>
        </w:tc>
        <w:tc>
          <w:tcPr>
            <w:tcW w:w="1418" w:type="dxa"/>
          </w:tcPr>
          <w:p>
            <w:pPr>
              <w:pStyle w:val="TableParagraph"/>
              <w:jc w:val="left"/>
              <w:rPr>
                <w:rFonts w:ascii="Times New Roman"/>
                <w:sz w:val="20"/>
              </w:rPr>
            </w:pPr>
          </w:p>
        </w:tc>
        <w:tc>
          <w:tcPr>
            <w:tcW w:w="2551" w:type="dxa"/>
          </w:tcPr>
          <w:p>
            <w:pPr>
              <w:pStyle w:val="TableParagraph"/>
              <w:jc w:val="left"/>
              <w:rPr>
                <w:rFonts w:ascii="Times New Roman"/>
                <w:sz w:val="20"/>
              </w:rPr>
            </w:pPr>
          </w:p>
        </w:tc>
      </w:tr>
      <w:tr>
        <w:trPr>
          <w:trHeight w:val="282" w:hRule="atLeast"/>
        </w:trPr>
        <w:tc>
          <w:tcPr>
            <w:tcW w:w="713" w:type="dxa"/>
          </w:tcPr>
          <w:p>
            <w:pPr>
              <w:pStyle w:val="TableParagraph"/>
              <w:spacing w:line="241" w:lineRule="exact" w:before="22"/>
              <w:ind w:left="7"/>
              <w:rPr>
                <w:rFonts w:ascii="Times New Roman"/>
                <w:sz w:val="21"/>
              </w:rPr>
            </w:pPr>
            <w:r>
              <w:rPr>
                <w:rFonts w:ascii="Times New Roman"/>
                <w:w w:val="100"/>
                <w:sz w:val="21"/>
              </w:rPr>
              <w:t>5</w:t>
            </w:r>
          </w:p>
        </w:tc>
        <w:tc>
          <w:tcPr>
            <w:tcW w:w="1987" w:type="dxa"/>
            <w:gridSpan w:val="2"/>
          </w:tcPr>
          <w:p>
            <w:pPr>
              <w:pStyle w:val="TableParagraph"/>
              <w:spacing w:line="257" w:lineRule="exact" w:before="5"/>
              <w:ind w:left="570"/>
              <w:jc w:val="left"/>
              <w:rPr>
                <w:sz w:val="21"/>
              </w:rPr>
            </w:pPr>
            <w:r>
              <w:rPr>
                <w:sz w:val="21"/>
              </w:rPr>
              <w:t>消防水池</w:t>
            </w:r>
          </w:p>
        </w:tc>
        <w:tc>
          <w:tcPr>
            <w:tcW w:w="851" w:type="dxa"/>
          </w:tcPr>
          <w:p>
            <w:pPr>
              <w:pStyle w:val="TableParagraph"/>
              <w:jc w:val="left"/>
              <w:rPr>
                <w:rFonts w:ascii="Times New Roman"/>
                <w:sz w:val="20"/>
              </w:rPr>
            </w:pPr>
          </w:p>
        </w:tc>
        <w:tc>
          <w:tcPr>
            <w:tcW w:w="1557" w:type="dxa"/>
          </w:tcPr>
          <w:p>
            <w:pPr>
              <w:pStyle w:val="TableParagraph"/>
              <w:spacing w:line="241" w:lineRule="exact" w:before="22"/>
              <w:ind w:left="161" w:right="151"/>
              <w:rPr>
                <w:rFonts w:ascii="Times New Roman"/>
                <w:sz w:val="21"/>
              </w:rPr>
            </w:pPr>
            <w:r>
              <w:rPr>
                <w:rFonts w:ascii="Times New Roman"/>
                <w:sz w:val="21"/>
              </w:rPr>
              <w:t>280</w:t>
            </w:r>
          </w:p>
        </w:tc>
        <w:tc>
          <w:tcPr>
            <w:tcW w:w="1418" w:type="dxa"/>
          </w:tcPr>
          <w:p>
            <w:pPr>
              <w:pStyle w:val="TableParagraph"/>
              <w:jc w:val="left"/>
              <w:rPr>
                <w:rFonts w:ascii="Times New Roman"/>
                <w:sz w:val="20"/>
              </w:rPr>
            </w:pPr>
          </w:p>
        </w:tc>
        <w:tc>
          <w:tcPr>
            <w:tcW w:w="2551" w:type="dxa"/>
          </w:tcPr>
          <w:p>
            <w:pPr>
              <w:pStyle w:val="TableParagraph"/>
              <w:jc w:val="left"/>
              <w:rPr>
                <w:rFonts w:ascii="Times New Roman"/>
                <w:sz w:val="20"/>
              </w:rPr>
            </w:pPr>
          </w:p>
        </w:tc>
      </w:tr>
      <w:tr>
        <w:trPr>
          <w:trHeight w:val="285" w:hRule="atLeast"/>
        </w:trPr>
        <w:tc>
          <w:tcPr>
            <w:tcW w:w="713" w:type="dxa"/>
          </w:tcPr>
          <w:p>
            <w:pPr>
              <w:pStyle w:val="TableParagraph"/>
              <w:spacing w:before="22"/>
              <w:ind w:left="7"/>
              <w:rPr>
                <w:rFonts w:ascii="Times New Roman"/>
                <w:sz w:val="21"/>
              </w:rPr>
            </w:pPr>
            <w:r>
              <w:rPr>
                <w:rFonts w:ascii="Times New Roman"/>
                <w:w w:val="100"/>
                <w:sz w:val="21"/>
              </w:rPr>
              <w:t>6</w:t>
            </w:r>
          </w:p>
        </w:tc>
        <w:tc>
          <w:tcPr>
            <w:tcW w:w="1987" w:type="dxa"/>
            <w:gridSpan w:val="2"/>
          </w:tcPr>
          <w:p>
            <w:pPr>
              <w:pStyle w:val="TableParagraph"/>
              <w:spacing w:line="257" w:lineRule="exact" w:before="8"/>
              <w:ind w:left="658" w:right="649"/>
              <w:rPr>
                <w:sz w:val="21"/>
              </w:rPr>
            </w:pPr>
            <w:r>
              <w:rPr>
                <w:sz w:val="21"/>
              </w:rPr>
              <w:t>车间一</w:t>
            </w:r>
          </w:p>
        </w:tc>
        <w:tc>
          <w:tcPr>
            <w:tcW w:w="851" w:type="dxa"/>
          </w:tcPr>
          <w:p>
            <w:pPr>
              <w:pStyle w:val="TableParagraph"/>
              <w:spacing w:before="22"/>
              <w:ind w:left="4"/>
              <w:rPr>
                <w:rFonts w:ascii="Times New Roman"/>
                <w:sz w:val="21"/>
              </w:rPr>
            </w:pPr>
            <w:r>
              <w:rPr>
                <w:rFonts w:ascii="Times New Roman"/>
                <w:w w:val="100"/>
                <w:sz w:val="21"/>
              </w:rPr>
              <w:t>2</w:t>
            </w:r>
          </w:p>
        </w:tc>
        <w:tc>
          <w:tcPr>
            <w:tcW w:w="1557" w:type="dxa"/>
          </w:tcPr>
          <w:p>
            <w:pPr>
              <w:pStyle w:val="TableParagraph"/>
              <w:spacing w:before="22"/>
              <w:ind w:left="161" w:right="151"/>
              <w:rPr>
                <w:rFonts w:ascii="Times New Roman"/>
                <w:sz w:val="21"/>
              </w:rPr>
            </w:pPr>
            <w:r>
              <w:rPr>
                <w:rFonts w:ascii="Times New Roman"/>
                <w:sz w:val="21"/>
              </w:rPr>
              <w:t>328.66</w:t>
            </w:r>
          </w:p>
        </w:tc>
        <w:tc>
          <w:tcPr>
            <w:tcW w:w="1418" w:type="dxa"/>
          </w:tcPr>
          <w:p>
            <w:pPr>
              <w:pStyle w:val="TableParagraph"/>
              <w:spacing w:before="22"/>
              <w:ind w:left="17"/>
              <w:rPr>
                <w:rFonts w:ascii="Times New Roman"/>
                <w:sz w:val="21"/>
              </w:rPr>
            </w:pPr>
            <w:r>
              <w:rPr>
                <w:rFonts w:ascii="Times New Roman"/>
                <w:sz w:val="21"/>
              </w:rPr>
              <w:t>713.20</w:t>
            </w:r>
          </w:p>
        </w:tc>
        <w:tc>
          <w:tcPr>
            <w:tcW w:w="2551" w:type="dxa"/>
          </w:tcPr>
          <w:p>
            <w:pPr>
              <w:pStyle w:val="TableParagraph"/>
              <w:jc w:val="left"/>
              <w:rPr>
                <w:rFonts w:ascii="Times New Roman"/>
                <w:sz w:val="20"/>
              </w:rPr>
            </w:pPr>
          </w:p>
        </w:tc>
      </w:tr>
    </w:tbl>
    <w:p>
      <w:pPr>
        <w:spacing w:after="0"/>
        <w:jc w:val="left"/>
        <w:rPr>
          <w:rFonts w:ascii="Times New Roman"/>
          <w:sz w:val="20"/>
        </w:rPr>
        <w:sectPr>
          <w:pgSz w:w="11910" w:h="16840"/>
          <w:pgMar w:header="872" w:footer="803" w:top="1340" w:bottom="1000" w:left="1200" w:right="1080"/>
        </w:sectPr>
      </w:pPr>
    </w:p>
    <w:p>
      <w:pPr>
        <w:pStyle w:val="BodyText"/>
        <w:spacing w:before="12"/>
        <w:rPr>
          <w:b/>
          <w:sz w:val="4"/>
        </w:rPr>
      </w:pP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3"/>
        <w:gridCol w:w="1988"/>
        <w:gridCol w:w="852"/>
        <w:gridCol w:w="1558"/>
        <w:gridCol w:w="1419"/>
        <w:gridCol w:w="2552"/>
      </w:tblGrid>
      <w:tr>
        <w:trPr>
          <w:trHeight w:val="282" w:hRule="atLeast"/>
        </w:trPr>
        <w:tc>
          <w:tcPr>
            <w:tcW w:w="713" w:type="dxa"/>
          </w:tcPr>
          <w:p>
            <w:pPr>
              <w:pStyle w:val="TableParagraph"/>
              <w:spacing w:line="257" w:lineRule="exact" w:before="6"/>
              <w:ind w:left="124" w:right="117"/>
              <w:rPr>
                <w:b/>
                <w:sz w:val="21"/>
              </w:rPr>
            </w:pPr>
            <w:r>
              <w:rPr>
                <w:b/>
                <w:sz w:val="21"/>
              </w:rPr>
              <w:t>序号</w:t>
            </w:r>
          </w:p>
        </w:tc>
        <w:tc>
          <w:tcPr>
            <w:tcW w:w="1988" w:type="dxa"/>
          </w:tcPr>
          <w:p>
            <w:pPr>
              <w:pStyle w:val="TableParagraph"/>
              <w:spacing w:line="257" w:lineRule="exact" w:before="6"/>
              <w:ind w:left="125" w:right="122"/>
              <w:rPr>
                <w:b/>
                <w:sz w:val="21"/>
              </w:rPr>
            </w:pPr>
            <w:r>
              <w:rPr>
                <w:b/>
                <w:sz w:val="21"/>
              </w:rPr>
              <w:t>名称</w:t>
            </w:r>
          </w:p>
        </w:tc>
        <w:tc>
          <w:tcPr>
            <w:tcW w:w="852" w:type="dxa"/>
          </w:tcPr>
          <w:p>
            <w:pPr>
              <w:pStyle w:val="TableParagraph"/>
              <w:spacing w:line="257" w:lineRule="exact" w:before="6"/>
              <w:ind w:left="30" w:right="29"/>
              <w:rPr>
                <w:b/>
                <w:sz w:val="21"/>
              </w:rPr>
            </w:pPr>
            <w:r>
              <w:rPr>
                <w:b/>
                <w:sz w:val="21"/>
              </w:rPr>
              <w:t>层数</w:t>
            </w:r>
          </w:p>
        </w:tc>
        <w:tc>
          <w:tcPr>
            <w:tcW w:w="1558" w:type="dxa"/>
          </w:tcPr>
          <w:p>
            <w:pPr>
              <w:pStyle w:val="TableParagraph"/>
              <w:spacing w:line="257" w:lineRule="exact" w:before="6"/>
              <w:ind w:left="159" w:right="154"/>
              <w:rPr>
                <w:rFonts w:ascii="Times New Roman" w:eastAsia="Times New Roman"/>
                <w:b/>
                <w:sz w:val="14"/>
              </w:rPr>
            </w:pPr>
            <w:r>
              <w:rPr>
                <w:b/>
                <w:sz w:val="21"/>
              </w:rPr>
              <w:t>占地面积 </w:t>
            </w:r>
            <w:r>
              <w:rPr>
                <w:rFonts w:ascii="Times New Roman" w:eastAsia="Times New Roman"/>
                <w:b/>
                <w:sz w:val="21"/>
              </w:rPr>
              <w:t>m</w:t>
            </w:r>
            <w:r>
              <w:rPr>
                <w:rFonts w:ascii="Times New Roman" w:eastAsia="Times New Roman"/>
                <w:b/>
                <w:position w:val="7"/>
                <w:sz w:val="14"/>
              </w:rPr>
              <w:t>2</w:t>
            </w:r>
          </w:p>
        </w:tc>
        <w:tc>
          <w:tcPr>
            <w:tcW w:w="1419" w:type="dxa"/>
          </w:tcPr>
          <w:p>
            <w:pPr>
              <w:pStyle w:val="TableParagraph"/>
              <w:spacing w:line="257" w:lineRule="exact" w:before="6"/>
              <w:ind w:left="10"/>
              <w:rPr>
                <w:rFonts w:ascii="Times New Roman" w:eastAsia="Times New Roman"/>
                <w:b/>
                <w:sz w:val="14"/>
              </w:rPr>
            </w:pPr>
            <w:r>
              <w:rPr>
                <w:b/>
                <w:sz w:val="21"/>
              </w:rPr>
              <w:t>建筑面积 </w:t>
            </w:r>
            <w:r>
              <w:rPr>
                <w:rFonts w:ascii="Times New Roman" w:eastAsia="Times New Roman"/>
                <w:b/>
                <w:sz w:val="21"/>
              </w:rPr>
              <w:t>m</w:t>
            </w:r>
            <w:r>
              <w:rPr>
                <w:rFonts w:ascii="Times New Roman" w:eastAsia="Times New Roman"/>
                <w:b/>
                <w:position w:val="7"/>
                <w:sz w:val="14"/>
              </w:rPr>
              <w:t>2</w:t>
            </w:r>
          </w:p>
        </w:tc>
        <w:tc>
          <w:tcPr>
            <w:tcW w:w="2552" w:type="dxa"/>
          </w:tcPr>
          <w:p>
            <w:pPr>
              <w:pStyle w:val="TableParagraph"/>
              <w:spacing w:line="257" w:lineRule="exact" w:before="6"/>
              <w:ind w:left="410" w:right="406"/>
              <w:rPr>
                <w:b/>
                <w:sz w:val="21"/>
              </w:rPr>
            </w:pPr>
            <w:r>
              <w:rPr>
                <w:b/>
                <w:sz w:val="21"/>
              </w:rPr>
              <w:t>备注</w:t>
            </w:r>
          </w:p>
        </w:tc>
      </w:tr>
      <w:tr>
        <w:trPr>
          <w:trHeight w:val="285" w:hRule="atLeast"/>
        </w:trPr>
        <w:tc>
          <w:tcPr>
            <w:tcW w:w="713" w:type="dxa"/>
          </w:tcPr>
          <w:p>
            <w:pPr>
              <w:pStyle w:val="TableParagraph"/>
              <w:spacing w:before="22"/>
              <w:ind w:left="7"/>
              <w:rPr>
                <w:rFonts w:ascii="Times New Roman"/>
                <w:sz w:val="21"/>
              </w:rPr>
            </w:pPr>
            <w:r>
              <w:rPr>
                <w:rFonts w:ascii="Times New Roman"/>
                <w:w w:val="100"/>
                <w:sz w:val="21"/>
              </w:rPr>
              <w:t>7</w:t>
            </w:r>
          </w:p>
        </w:tc>
        <w:tc>
          <w:tcPr>
            <w:tcW w:w="1988" w:type="dxa"/>
          </w:tcPr>
          <w:p>
            <w:pPr>
              <w:pStyle w:val="TableParagraph"/>
              <w:spacing w:line="257" w:lineRule="exact" w:before="8"/>
              <w:ind w:left="129" w:right="121"/>
              <w:rPr>
                <w:sz w:val="21"/>
              </w:rPr>
            </w:pPr>
            <w:r>
              <w:rPr>
                <w:sz w:val="21"/>
              </w:rPr>
              <w:t>仓库三</w:t>
            </w:r>
          </w:p>
        </w:tc>
        <w:tc>
          <w:tcPr>
            <w:tcW w:w="852" w:type="dxa"/>
          </w:tcPr>
          <w:p>
            <w:pPr>
              <w:pStyle w:val="TableParagraph"/>
              <w:spacing w:before="22"/>
              <w:ind w:left="1"/>
              <w:rPr>
                <w:rFonts w:ascii="Times New Roman"/>
                <w:sz w:val="21"/>
              </w:rPr>
            </w:pPr>
            <w:r>
              <w:rPr>
                <w:rFonts w:ascii="Times New Roman"/>
                <w:w w:val="100"/>
                <w:sz w:val="21"/>
              </w:rPr>
              <w:t>1</w:t>
            </w:r>
          </w:p>
        </w:tc>
        <w:tc>
          <w:tcPr>
            <w:tcW w:w="1558" w:type="dxa"/>
          </w:tcPr>
          <w:p>
            <w:pPr>
              <w:pStyle w:val="TableParagraph"/>
              <w:spacing w:before="22"/>
              <w:ind w:left="159" w:right="154"/>
              <w:rPr>
                <w:rFonts w:ascii="Times New Roman"/>
                <w:sz w:val="21"/>
              </w:rPr>
            </w:pPr>
            <w:r>
              <w:rPr>
                <w:rFonts w:ascii="Times New Roman"/>
                <w:sz w:val="21"/>
              </w:rPr>
              <w:t>756</w:t>
            </w:r>
          </w:p>
        </w:tc>
        <w:tc>
          <w:tcPr>
            <w:tcW w:w="1419" w:type="dxa"/>
          </w:tcPr>
          <w:p>
            <w:pPr>
              <w:pStyle w:val="TableParagraph"/>
              <w:spacing w:before="22"/>
              <w:ind w:left="10"/>
              <w:rPr>
                <w:rFonts w:ascii="Times New Roman"/>
                <w:sz w:val="21"/>
              </w:rPr>
            </w:pPr>
            <w:r>
              <w:rPr>
                <w:rFonts w:ascii="Times New Roman"/>
                <w:sz w:val="21"/>
              </w:rPr>
              <w:t>756</w:t>
            </w:r>
          </w:p>
        </w:tc>
        <w:tc>
          <w:tcPr>
            <w:tcW w:w="2552" w:type="dxa"/>
          </w:tcPr>
          <w:p>
            <w:pPr>
              <w:pStyle w:val="TableParagraph"/>
              <w:jc w:val="left"/>
              <w:rPr>
                <w:rFonts w:ascii="Times New Roman"/>
                <w:sz w:val="20"/>
              </w:rPr>
            </w:pPr>
          </w:p>
        </w:tc>
      </w:tr>
      <w:tr>
        <w:trPr>
          <w:trHeight w:val="1089" w:hRule="atLeast"/>
        </w:trPr>
        <w:tc>
          <w:tcPr>
            <w:tcW w:w="713" w:type="dxa"/>
          </w:tcPr>
          <w:p>
            <w:pPr>
              <w:pStyle w:val="TableParagraph"/>
              <w:jc w:val="left"/>
              <w:rPr>
                <w:b/>
                <w:sz w:val="22"/>
              </w:rPr>
            </w:pPr>
          </w:p>
          <w:p>
            <w:pPr>
              <w:pStyle w:val="TableParagraph"/>
              <w:spacing w:before="141"/>
              <w:ind w:left="7"/>
              <w:rPr>
                <w:rFonts w:ascii="Times New Roman"/>
                <w:sz w:val="21"/>
              </w:rPr>
            </w:pPr>
            <w:r>
              <w:rPr>
                <w:rFonts w:ascii="Times New Roman"/>
                <w:w w:val="100"/>
                <w:sz w:val="21"/>
              </w:rPr>
              <w:t>8</w:t>
            </w:r>
          </w:p>
        </w:tc>
        <w:tc>
          <w:tcPr>
            <w:tcW w:w="1988" w:type="dxa"/>
          </w:tcPr>
          <w:p>
            <w:pPr>
              <w:pStyle w:val="TableParagraph"/>
              <w:jc w:val="left"/>
              <w:rPr>
                <w:b/>
                <w:sz w:val="20"/>
              </w:rPr>
            </w:pPr>
          </w:p>
          <w:p>
            <w:pPr>
              <w:pStyle w:val="TableParagraph"/>
              <w:spacing w:before="152"/>
              <w:ind w:left="127" w:right="122"/>
              <w:rPr>
                <w:sz w:val="21"/>
              </w:rPr>
            </w:pPr>
            <w:r>
              <w:rPr>
                <w:sz w:val="21"/>
              </w:rPr>
              <w:t>危废仓库</w:t>
            </w:r>
          </w:p>
        </w:tc>
        <w:tc>
          <w:tcPr>
            <w:tcW w:w="852" w:type="dxa"/>
          </w:tcPr>
          <w:p>
            <w:pPr>
              <w:pStyle w:val="TableParagraph"/>
              <w:jc w:val="left"/>
              <w:rPr>
                <w:b/>
                <w:sz w:val="22"/>
              </w:rPr>
            </w:pPr>
          </w:p>
          <w:p>
            <w:pPr>
              <w:pStyle w:val="TableParagraph"/>
              <w:spacing w:before="141"/>
              <w:ind w:left="1"/>
              <w:rPr>
                <w:rFonts w:ascii="Times New Roman"/>
                <w:sz w:val="21"/>
              </w:rPr>
            </w:pPr>
            <w:r>
              <w:rPr>
                <w:rFonts w:ascii="Times New Roman"/>
                <w:w w:val="100"/>
                <w:sz w:val="21"/>
              </w:rPr>
              <w:t>1</w:t>
            </w:r>
          </w:p>
        </w:tc>
        <w:tc>
          <w:tcPr>
            <w:tcW w:w="1558" w:type="dxa"/>
          </w:tcPr>
          <w:p>
            <w:pPr>
              <w:pStyle w:val="TableParagraph"/>
              <w:jc w:val="left"/>
              <w:rPr>
                <w:b/>
                <w:sz w:val="22"/>
              </w:rPr>
            </w:pPr>
          </w:p>
          <w:p>
            <w:pPr>
              <w:pStyle w:val="TableParagraph"/>
              <w:spacing w:before="141"/>
              <w:ind w:left="159" w:right="154"/>
              <w:rPr>
                <w:rFonts w:ascii="Times New Roman"/>
                <w:sz w:val="21"/>
              </w:rPr>
            </w:pPr>
            <w:r>
              <w:rPr>
                <w:rFonts w:ascii="Times New Roman"/>
                <w:sz w:val="21"/>
              </w:rPr>
              <w:t>648</w:t>
            </w:r>
          </w:p>
        </w:tc>
        <w:tc>
          <w:tcPr>
            <w:tcW w:w="1419" w:type="dxa"/>
          </w:tcPr>
          <w:p>
            <w:pPr>
              <w:pStyle w:val="TableParagraph"/>
              <w:jc w:val="left"/>
              <w:rPr>
                <w:b/>
                <w:sz w:val="22"/>
              </w:rPr>
            </w:pPr>
          </w:p>
          <w:p>
            <w:pPr>
              <w:pStyle w:val="TableParagraph"/>
              <w:spacing w:before="141"/>
              <w:ind w:left="10"/>
              <w:rPr>
                <w:rFonts w:ascii="Times New Roman"/>
                <w:sz w:val="21"/>
              </w:rPr>
            </w:pPr>
            <w:r>
              <w:rPr>
                <w:rFonts w:ascii="Times New Roman"/>
                <w:sz w:val="21"/>
              </w:rPr>
              <w:t>648</w:t>
            </w:r>
          </w:p>
        </w:tc>
        <w:tc>
          <w:tcPr>
            <w:tcW w:w="2552" w:type="dxa"/>
          </w:tcPr>
          <w:p>
            <w:pPr>
              <w:pStyle w:val="TableParagraph"/>
              <w:spacing w:line="242" w:lineRule="auto" w:before="1"/>
              <w:ind w:left="10" w:right="6"/>
              <w:jc w:val="both"/>
              <w:rPr>
                <w:sz w:val="21"/>
              </w:rPr>
            </w:pPr>
            <w:r>
              <w:rPr>
                <w:sz w:val="21"/>
              </w:rPr>
              <w:t>该危废仓库用于东区实施本项目及今后规划项目，本项目在危废仓库内设置隔间，</w:t>
            </w:r>
          </w:p>
          <w:p>
            <w:pPr>
              <w:pStyle w:val="TableParagraph"/>
              <w:spacing w:line="252" w:lineRule="exact"/>
              <w:ind w:left="289"/>
              <w:jc w:val="both"/>
              <w:rPr>
                <w:rFonts w:ascii="Times New Roman" w:eastAsia="Times New Roman"/>
                <w:sz w:val="14"/>
              </w:rPr>
            </w:pPr>
            <w:r>
              <w:rPr>
                <w:sz w:val="21"/>
              </w:rPr>
              <w:t>隔间占地面积为 </w:t>
            </w:r>
            <w:r>
              <w:rPr>
                <w:rFonts w:ascii="Times New Roman" w:eastAsia="Times New Roman"/>
                <w:sz w:val="21"/>
              </w:rPr>
              <w:t>90m</w:t>
            </w:r>
            <w:r>
              <w:rPr>
                <w:rFonts w:ascii="Times New Roman" w:eastAsia="Times New Roman"/>
                <w:position w:val="7"/>
                <w:sz w:val="14"/>
              </w:rPr>
              <w:t>2</w:t>
            </w:r>
          </w:p>
        </w:tc>
      </w:tr>
      <w:tr>
        <w:trPr>
          <w:trHeight w:val="282" w:hRule="atLeast"/>
        </w:trPr>
        <w:tc>
          <w:tcPr>
            <w:tcW w:w="713" w:type="dxa"/>
          </w:tcPr>
          <w:p>
            <w:pPr>
              <w:pStyle w:val="TableParagraph"/>
              <w:spacing w:line="241" w:lineRule="exact" w:before="22"/>
              <w:ind w:left="7"/>
              <w:rPr>
                <w:rFonts w:ascii="Times New Roman"/>
                <w:sz w:val="21"/>
              </w:rPr>
            </w:pPr>
            <w:r>
              <w:rPr>
                <w:rFonts w:ascii="Times New Roman"/>
                <w:w w:val="100"/>
                <w:sz w:val="21"/>
              </w:rPr>
              <w:t>9</w:t>
            </w:r>
          </w:p>
        </w:tc>
        <w:tc>
          <w:tcPr>
            <w:tcW w:w="1988" w:type="dxa"/>
          </w:tcPr>
          <w:p>
            <w:pPr>
              <w:pStyle w:val="TableParagraph"/>
              <w:spacing w:line="257" w:lineRule="exact" w:before="5"/>
              <w:ind w:left="129" w:right="121"/>
              <w:rPr>
                <w:sz w:val="21"/>
              </w:rPr>
            </w:pPr>
            <w:r>
              <w:rPr>
                <w:sz w:val="21"/>
              </w:rPr>
              <w:t>罐组二</w:t>
            </w:r>
          </w:p>
        </w:tc>
        <w:tc>
          <w:tcPr>
            <w:tcW w:w="852" w:type="dxa"/>
          </w:tcPr>
          <w:p>
            <w:pPr>
              <w:pStyle w:val="TableParagraph"/>
              <w:jc w:val="left"/>
              <w:rPr>
                <w:rFonts w:ascii="Times New Roman"/>
                <w:sz w:val="20"/>
              </w:rPr>
            </w:pPr>
          </w:p>
        </w:tc>
        <w:tc>
          <w:tcPr>
            <w:tcW w:w="1558" w:type="dxa"/>
          </w:tcPr>
          <w:p>
            <w:pPr>
              <w:pStyle w:val="TableParagraph"/>
              <w:spacing w:line="241" w:lineRule="exact" w:before="22"/>
              <w:ind w:left="155" w:right="154"/>
              <w:rPr>
                <w:rFonts w:ascii="Times New Roman"/>
                <w:sz w:val="21"/>
              </w:rPr>
            </w:pPr>
            <w:r>
              <w:rPr>
                <w:rFonts w:ascii="Times New Roman"/>
                <w:sz w:val="21"/>
              </w:rPr>
              <w:t>80</w:t>
            </w:r>
          </w:p>
        </w:tc>
        <w:tc>
          <w:tcPr>
            <w:tcW w:w="1419" w:type="dxa"/>
          </w:tcPr>
          <w:p>
            <w:pPr>
              <w:pStyle w:val="TableParagraph"/>
              <w:jc w:val="left"/>
              <w:rPr>
                <w:rFonts w:ascii="Times New Roman"/>
                <w:sz w:val="20"/>
              </w:rPr>
            </w:pPr>
          </w:p>
        </w:tc>
        <w:tc>
          <w:tcPr>
            <w:tcW w:w="2552" w:type="dxa"/>
          </w:tcPr>
          <w:p>
            <w:pPr>
              <w:pStyle w:val="TableParagraph"/>
              <w:jc w:val="left"/>
              <w:rPr>
                <w:rFonts w:ascii="Times New Roman"/>
                <w:sz w:val="20"/>
              </w:rPr>
            </w:pPr>
          </w:p>
        </w:tc>
      </w:tr>
      <w:tr>
        <w:trPr>
          <w:trHeight w:val="285" w:hRule="atLeast"/>
        </w:trPr>
        <w:tc>
          <w:tcPr>
            <w:tcW w:w="713" w:type="dxa"/>
          </w:tcPr>
          <w:p>
            <w:pPr>
              <w:pStyle w:val="TableParagraph"/>
              <w:spacing w:before="22"/>
              <w:ind w:left="124" w:right="117"/>
              <w:rPr>
                <w:rFonts w:ascii="Times New Roman"/>
                <w:sz w:val="21"/>
              </w:rPr>
            </w:pPr>
            <w:r>
              <w:rPr>
                <w:rFonts w:ascii="Times New Roman"/>
                <w:sz w:val="21"/>
              </w:rPr>
              <w:t>10</w:t>
            </w:r>
          </w:p>
        </w:tc>
        <w:tc>
          <w:tcPr>
            <w:tcW w:w="1988" w:type="dxa"/>
          </w:tcPr>
          <w:p>
            <w:pPr>
              <w:pStyle w:val="TableParagraph"/>
              <w:spacing w:line="257" w:lineRule="exact" w:before="8"/>
              <w:ind w:left="129" w:right="121"/>
              <w:rPr>
                <w:sz w:val="21"/>
              </w:rPr>
            </w:pPr>
            <w:r>
              <w:rPr>
                <w:sz w:val="21"/>
              </w:rPr>
              <w:t>污控楼</w:t>
            </w:r>
          </w:p>
        </w:tc>
        <w:tc>
          <w:tcPr>
            <w:tcW w:w="852" w:type="dxa"/>
          </w:tcPr>
          <w:p>
            <w:pPr>
              <w:pStyle w:val="TableParagraph"/>
              <w:spacing w:before="22"/>
              <w:ind w:left="1"/>
              <w:rPr>
                <w:rFonts w:ascii="Times New Roman"/>
                <w:sz w:val="21"/>
              </w:rPr>
            </w:pPr>
            <w:r>
              <w:rPr>
                <w:rFonts w:ascii="Times New Roman"/>
                <w:w w:val="100"/>
                <w:sz w:val="21"/>
              </w:rPr>
              <w:t>3</w:t>
            </w:r>
          </w:p>
        </w:tc>
        <w:tc>
          <w:tcPr>
            <w:tcW w:w="1558" w:type="dxa"/>
          </w:tcPr>
          <w:p>
            <w:pPr>
              <w:pStyle w:val="TableParagraph"/>
              <w:spacing w:before="22"/>
              <w:ind w:left="159" w:right="154"/>
              <w:rPr>
                <w:rFonts w:ascii="Times New Roman"/>
                <w:sz w:val="21"/>
              </w:rPr>
            </w:pPr>
            <w:r>
              <w:rPr>
                <w:rFonts w:ascii="Times New Roman"/>
                <w:sz w:val="21"/>
              </w:rPr>
              <w:t>736</w:t>
            </w:r>
          </w:p>
        </w:tc>
        <w:tc>
          <w:tcPr>
            <w:tcW w:w="1419" w:type="dxa"/>
          </w:tcPr>
          <w:p>
            <w:pPr>
              <w:pStyle w:val="TableParagraph"/>
              <w:spacing w:before="22"/>
              <w:ind w:left="10"/>
              <w:rPr>
                <w:rFonts w:ascii="Times New Roman"/>
                <w:sz w:val="21"/>
              </w:rPr>
            </w:pPr>
            <w:r>
              <w:rPr>
                <w:rFonts w:ascii="Times New Roman"/>
                <w:sz w:val="21"/>
              </w:rPr>
              <w:t>2208</w:t>
            </w:r>
          </w:p>
        </w:tc>
        <w:tc>
          <w:tcPr>
            <w:tcW w:w="2552" w:type="dxa"/>
          </w:tcPr>
          <w:p>
            <w:pPr>
              <w:pStyle w:val="TableParagraph"/>
              <w:jc w:val="left"/>
              <w:rPr>
                <w:rFonts w:ascii="Times New Roman"/>
                <w:sz w:val="20"/>
              </w:rPr>
            </w:pPr>
          </w:p>
        </w:tc>
      </w:tr>
      <w:tr>
        <w:trPr>
          <w:trHeight w:val="282" w:hRule="atLeast"/>
        </w:trPr>
        <w:tc>
          <w:tcPr>
            <w:tcW w:w="713" w:type="dxa"/>
          </w:tcPr>
          <w:p>
            <w:pPr>
              <w:pStyle w:val="TableParagraph"/>
              <w:spacing w:line="241" w:lineRule="exact" w:before="22"/>
              <w:ind w:left="119" w:right="117"/>
              <w:rPr>
                <w:rFonts w:ascii="Times New Roman"/>
                <w:sz w:val="21"/>
              </w:rPr>
            </w:pPr>
            <w:r>
              <w:rPr>
                <w:rFonts w:ascii="Times New Roman"/>
                <w:sz w:val="21"/>
              </w:rPr>
              <w:t>11</w:t>
            </w:r>
          </w:p>
        </w:tc>
        <w:tc>
          <w:tcPr>
            <w:tcW w:w="1988" w:type="dxa"/>
          </w:tcPr>
          <w:p>
            <w:pPr>
              <w:pStyle w:val="TableParagraph"/>
              <w:spacing w:line="257" w:lineRule="exact" w:before="6"/>
              <w:ind w:left="127" w:right="122"/>
              <w:rPr>
                <w:sz w:val="21"/>
              </w:rPr>
            </w:pPr>
            <w:r>
              <w:rPr>
                <w:sz w:val="21"/>
              </w:rPr>
              <w:t>废水生化处理区域</w:t>
            </w:r>
          </w:p>
        </w:tc>
        <w:tc>
          <w:tcPr>
            <w:tcW w:w="852" w:type="dxa"/>
          </w:tcPr>
          <w:p>
            <w:pPr>
              <w:pStyle w:val="TableParagraph"/>
              <w:jc w:val="left"/>
              <w:rPr>
                <w:rFonts w:ascii="Times New Roman"/>
                <w:sz w:val="20"/>
              </w:rPr>
            </w:pPr>
          </w:p>
        </w:tc>
        <w:tc>
          <w:tcPr>
            <w:tcW w:w="1558" w:type="dxa"/>
          </w:tcPr>
          <w:p>
            <w:pPr>
              <w:pStyle w:val="TableParagraph"/>
              <w:spacing w:line="241" w:lineRule="exact" w:before="22"/>
              <w:ind w:left="159" w:right="154"/>
              <w:rPr>
                <w:rFonts w:ascii="Times New Roman"/>
                <w:sz w:val="21"/>
              </w:rPr>
            </w:pPr>
            <w:r>
              <w:rPr>
                <w:rFonts w:ascii="Times New Roman"/>
                <w:sz w:val="21"/>
              </w:rPr>
              <w:t>2592</w:t>
            </w:r>
          </w:p>
        </w:tc>
        <w:tc>
          <w:tcPr>
            <w:tcW w:w="1419" w:type="dxa"/>
          </w:tcPr>
          <w:p>
            <w:pPr>
              <w:pStyle w:val="TableParagraph"/>
              <w:jc w:val="left"/>
              <w:rPr>
                <w:rFonts w:ascii="Times New Roman"/>
                <w:sz w:val="20"/>
              </w:rPr>
            </w:pPr>
          </w:p>
        </w:tc>
        <w:tc>
          <w:tcPr>
            <w:tcW w:w="2552" w:type="dxa"/>
            <w:vMerge w:val="restart"/>
          </w:tcPr>
          <w:p>
            <w:pPr>
              <w:pStyle w:val="TableParagraph"/>
              <w:spacing w:line="242" w:lineRule="auto" w:before="1"/>
              <w:ind w:left="10" w:right="6"/>
              <w:jc w:val="both"/>
              <w:rPr>
                <w:sz w:val="21"/>
              </w:rPr>
            </w:pPr>
            <w:r>
              <w:rPr>
                <w:sz w:val="21"/>
              </w:rPr>
              <w:t>该废水处理区域用于东区实施本项目及今后规划项目， 本项目涉及的污水处理构筑</w:t>
            </w:r>
          </w:p>
          <w:p>
            <w:pPr>
              <w:pStyle w:val="TableParagraph"/>
              <w:spacing w:line="250" w:lineRule="exact" w:before="3"/>
              <w:ind w:left="236"/>
              <w:jc w:val="both"/>
              <w:rPr>
                <w:rFonts w:ascii="Times New Roman" w:eastAsia="Times New Roman"/>
                <w:sz w:val="14"/>
              </w:rPr>
            </w:pPr>
            <w:r>
              <w:rPr>
                <w:sz w:val="21"/>
              </w:rPr>
              <w:t>物占地面积约为 </w:t>
            </w:r>
            <w:r>
              <w:rPr>
                <w:rFonts w:ascii="Times New Roman" w:eastAsia="Times New Roman"/>
                <w:sz w:val="21"/>
              </w:rPr>
              <w:t>850m</w:t>
            </w:r>
            <w:r>
              <w:rPr>
                <w:rFonts w:ascii="Times New Roman" w:eastAsia="Times New Roman"/>
                <w:position w:val="7"/>
                <w:sz w:val="14"/>
              </w:rPr>
              <w:t>2</w:t>
            </w:r>
          </w:p>
        </w:tc>
      </w:tr>
      <w:tr>
        <w:trPr>
          <w:trHeight w:val="796" w:hRule="atLeast"/>
        </w:trPr>
        <w:tc>
          <w:tcPr>
            <w:tcW w:w="713" w:type="dxa"/>
          </w:tcPr>
          <w:p>
            <w:pPr>
              <w:pStyle w:val="TableParagraph"/>
              <w:spacing w:before="9"/>
              <w:jc w:val="left"/>
              <w:rPr>
                <w:b/>
                <w:sz w:val="21"/>
              </w:rPr>
            </w:pPr>
          </w:p>
          <w:p>
            <w:pPr>
              <w:pStyle w:val="TableParagraph"/>
              <w:spacing w:before="1"/>
              <w:ind w:left="124" w:right="117"/>
              <w:rPr>
                <w:rFonts w:ascii="Times New Roman"/>
                <w:sz w:val="21"/>
              </w:rPr>
            </w:pPr>
            <w:r>
              <w:rPr>
                <w:rFonts w:ascii="Times New Roman"/>
                <w:sz w:val="21"/>
              </w:rPr>
              <w:t>12</w:t>
            </w:r>
          </w:p>
        </w:tc>
        <w:tc>
          <w:tcPr>
            <w:tcW w:w="1988" w:type="dxa"/>
          </w:tcPr>
          <w:p>
            <w:pPr>
              <w:pStyle w:val="TableParagraph"/>
              <w:spacing w:before="8"/>
              <w:jc w:val="left"/>
              <w:rPr>
                <w:b/>
                <w:sz w:val="20"/>
              </w:rPr>
            </w:pPr>
          </w:p>
          <w:p>
            <w:pPr>
              <w:pStyle w:val="TableParagraph"/>
              <w:ind w:left="127" w:right="122"/>
              <w:rPr>
                <w:sz w:val="21"/>
              </w:rPr>
            </w:pPr>
            <w:r>
              <w:rPr>
                <w:sz w:val="21"/>
              </w:rPr>
              <w:t>废水物化处理区域</w:t>
            </w:r>
          </w:p>
        </w:tc>
        <w:tc>
          <w:tcPr>
            <w:tcW w:w="852" w:type="dxa"/>
          </w:tcPr>
          <w:p>
            <w:pPr>
              <w:pStyle w:val="TableParagraph"/>
              <w:jc w:val="left"/>
              <w:rPr>
                <w:rFonts w:ascii="Times New Roman"/>
                <w:sz w:val="20"/>
              </w:rPr>
            </w:pPr>
          </w:p>
        </w:tc>
        <w:tc>
          <w:tcPr>
            <w:tcW w:w="1558" w:type="dxa"/>
          </w:tcPr>
          <w:p>
            <w:pPr>
              <w:pStyle w:val="TableParagraph"/>
              <w:spacing w:before="9"/>
              <w:jc w:val="left"/>
              <w:rPr>
                <w:b/>
                <w:sz w:val="21"/>
              </w:rPr>
            </w:pPr>
          </w:p>
          <w:p>
            <w:pPr>
              <w:pStyle w:val="TableParagraph"/>
              <w:spacing w:before="1"/>
              <w:ind w:left="159" w:right="154"/>
              <w:rPr>
                <w:rFonts w:ascii="Times New Roman"/>
                <w:sz w:val="21"/>
              </w:rPr>
            </w:pPr>
            <w:r>
              <w:rPr>
                <w:rFonts w:ascii="Times New Roman"/>
                <w:sz w:val="21"/>
              </w:rPr>
              <w:t>1056</w:t>
            </w:r>
          </w:p>
        </w:tc>
        <w:tc>
          <w:tcPr>
            <w:tcW w:w="1419" w:type="dxa"/>
          </w:tcPr>
          <w:p>
            <w:pPr>
              <w:pStyle w:val="TableParagraph"/>
              <w:jc w:val="left"/>
              <w:rPr>
                <w:rFonts w:ascii="Times New Roman"/>
                <w:sz w:val="20"/>
              </w:rPr>
            </w:pPr>
          </w:p>
        </w:tc>
        <w:tc>
          <w:tcPr>
            <w:tcW w:w="2552" w:type="dxa"/>
            <w:vMerge/>
            <w:tcBorders>
              <w:top w:val="nil"/>
            </w:tcBorders>
          </w:tcPr>
          <w:p>
            <w:pPr>
              <w:rPr>
                <w:sz w:val="2"/>
                <w:szCs w:val="2"/>
              </w:rPr>
            </w:pPr>
          </w:p>
        </w:tc>
      </w:tr>
      <w:tr>
        <w:trPr>
          <w:trHeight w:val="282" w:hRule="atLeast"/>
        </w:trPr>
        <w:tc>
          <w:tcPr>
            <w:tcW w:w="713" w:type="dxa"/>
          </w:tcPr>
          <w:p>
            <w:pPr>
              <w:pStyle w:val="TableParagraph"/>
              <w:spacing w:line="241" w:lineRule="exact" w:before="22"/>
              <w:ind w:left="124" w:right="117"/>
              <w:rPr>
                <w:rFonts w:ascii="Times New Roman"/>
                <w:sz w:val="21"/>
              </w:rPr>
            </w:pPr>
            <w:r>
              <w:rPr>
                <w:rFonts w:ascii="Times New Roman"/>
                <w:sz w:val="21"/>
              </w:rPr>
              <w:t>13</w:t>
            </w:r>
          </w:p>
        </w:tc>
        <w:tc>
          <w:tcPr>
            <w:tcW w:w="1988" w:type="dxa"/>
          </w:tcPr>
          <w:p>
            <w:pPr>
              <w:pStyle w:val="TableParagraph"/>
              <w:spacing w:line="255" w:lineRule="exact" w:before="8"/>
              <w:ind w:left="127" w:right="122"/>
              <w:rPr>
                <w:sz w:val="21"/>
              </w:rPr>
            </w:pPr>
            <w:r>
              <w:rPr>
                <w:sz w:val="21"/>
              </w:rPr>
              <w:t>初期雨水池</w:t>
            </w:r>
          </w:p>
        </w:tc>
        <w:tc>
          <w:tcPr>
            <w:tcW w:w="852" w:type="dxa"/>
          </w:tcPr>
          <w:p>
            <w:pPr>
              <w:pStyle w:val="TableParagraph"/>
              <w:jc w:val="left"/>
              <w:rPr>
                <w:rFonts w:ascii="Times New Roman"/>
                <w:sz w:val="20"/>
              </w:rPr>
            </w:pPr>
          </w:p>
        </w:tc>
        <w:tc>
          <w:tcPr>
            <w:tcW w:w="1558" w:type="dxa"/>
          </w:tcPr>
          <w:p>
            <w:pPr>
              <w:pStyle w:val="TableParagraph"/>
              <w:spacing w:line="241" w:lineRule="exact" w:before="22"/>
              <w:ind w:left="159" w:right="154"/>
              <w:rPr>
                <w:rFonts w:ascii="Times New Roman"/>
                <w:sz w:val="21"/>
              </w:rPr>
            </w:pPr>
            <w:r>
              <w:rPr>
                <w:rFonts w:ascii="Times New Roman"/>
                <w:sz w:val="21"/>
              </w:rPr>
              <w:t>420</w:t>
            </w:r>
          </w:p>
        </w:tc>
        <w:tc>
          <w:tcPr>
            <w:tcW w:w="1419" w:type="dxa"/>
          </w:tcPr>
          <w:p>
            <w:pPr>
              <w:pStyle w:val="TableParagraph"/>
              <w:jc w:val="left"/>
              <w:rPr>
                <w:rFonts w:ascii="Times New Roman"/>
                <w:sz w:val="20"/>
              </w:rPr>
            </w:pPr>
          </w:p>
        </w:tc>
        <w:tc>
          <w:tcPr>
            <w:tcW w:w="2552" w:type="dxa"/>
          </w:tcPr>
          <w:p>
            <w:pPr>
              <w:pStyle w:val="TableParagraph"/>
              <w:jc w:val="left"/>
              <w:rPr>
                <w:rFonts w:ascii="Times New Roman"/>
                <w:sz w:val="20"/>
              </w:rPr>
            </w:pPr>
          </w:p>
        </w:tc>
      </w:tr>
      <w:tr>
        <w:trPr>
          <w:trHeight w:val="285" w:hRule="atLeast"/>
        </w:trPr>
        <w:tc>
          <w:tcPr>
            <w:tcW w:w="713" w:type="dxa"/>
          </w:tcPr>
          <w:p>
            <w:pPr>
              <w:pStyle w:val="TableParagraph"/>
              <w:spacing w:before="22"/>
              <w:ind w:left="124" w:right="117"/>
              <w:rPr>
                <w:rFonts w:ascii="Times New Roman"/>
                <w:sz w:val="21"/>
              </w:rPr>
            </w:pPr>
            <w:r>
              <w:rPr>
                <w:rFonts w:ascii="Times New Roman"/>
                <w:sz w:val="21"/>
              </w:rPr>
              <w:t>14</w:t>
            </w:r>
          </w:p>
        </w:tc>
        <w:tc>
          <w:tcPr>
            <w:tcW w:w="1988" w:type="dxa"/>
          </w:tcPr>
          <w:p>
            <w:pPr>
              <w:pStyle w:val="TableParagraph"/>
              <w:spacing w:line="257" w:lineRule="exact" w:before="8"/>
              <w:ind w:left="127" w:right="122"/>
              <w:rPr>
                <w:sz w:val="21"/>
              </w:rPr>
            </w:pPr>
            <w:r>
              <w:rPr>
                <w:sz w:val="21"/>
              </w:rPr>
              <w:t>事故应急池</w:t>
            </w:r>
          </w:p>
        </w:tc>
        <w:tc>
          <w:tcPr>
            <w:tcW w:w="852" w:type="dxa"/>
          </w:tcPr>
          <w:p>
            <w:pPr>
              <w:pStyle w:val="TableParagraph"/>
              <w:jc w:val="left"/>
              <w:rPr>
                <w:rFonts w:ascii="Times New Roman"/>
                <w:sz w:val="20"/>
              </w:rPr>
            </w:pPr>
          </w:p>
        </w:tc>
        <w:tc>
          <w:tcPr>
            <w:tcW w:w="1558" w:type="dxa"/>
          </w:tcPr>
          <w:p>
            <w:pPr>
              <w:pStyle w:val="TableParagraph"/>
              <w:spacing w:before="22"/>
              <w:ind w:left="159" w:right="154"/>
              <w:rPr>
                <w:rFonts w:ascii="Times New Roman"/>
                <w:sz w:val="21"/>
              </w:rPr>
            </w:pPr>
            <w:r>
              <w:rPr>
                <w:rFonts w:ascii="Times New Roman"/>
                <w:sz w:val="21"/>
              </w:rPr>
              <w:t>720</w:t>
            </w:r>
          </w:p>
        </w:tc>
        <w:tc>
          <w:tcPr>
            <w:tcW w:w="1419" w:type="dxa"/>
          </w:tcPr>
          <w:p>
            <w:pPr>
              <w:pStyle w:val="TableParagraph"/>
              <w:jc w:val="left"/>
              <w:rPr>
                <w:rFonts w:ascii="Times New Roman"/>
                <w:sz w:val="20"/>
              </w:rPr>
            </w:pPr>
          </w:p>
        </w:tc>
        <w:tc>
          <w:tcPr>
            <w:tcW w:w="2552" w:type="dxa"/>
          </w:tcPr>
          <w:p>
            <w:pPr>
              <w:pStyle w:val="TableParagraph"/>
              <w:jc w:val="left"/>
              <w:rPr>
                <w:rFonts w:ascii="Times New Roman"/>
                <w:sz w:val="20"/>
              </w:rPr>
            </w:pPr>
          </w:p>
        </w:tc>
      </w:tr>
    </w:tbl>
    <w:p>
      <w:pPr>
        <w:pStyle w:val="ListParagraph"/>
        <w:numPr>
          <w:ilvl w:val="2"/>
          <w:numId w:val="13"/>
        </w:numPr>
        <w:tabs>
          <w:tab w:pos="999" w:val="left" w:leader="none"/>
        </w:tabs>
        <w:spacing w:line="240" w:lineRule="auto" w:before="3" w:after="0"/>
        <w:ind w:left="998" w:right="0" w:hanging="541"/>
        <w:jc w:val="left"/>
        <w:rPr>
          <w:b/>
          <w:sz w:val="24"/>
        </w:rPr>
      </w:pPr>
      <w:r>
        <w:rPr>
          <w:b/>
          <w:sz w:val="24"/>
        </w:rPr>
        <w:t>主要建设内容</w:t>
      </w:r>
    </w:p>
    <w:p>
      <w:pPr>
        <w:pStyle w:val="BodyText"/>
        <w:spacing w:before="161"/>
        <w:ind w:left="730"/>
      </w:pPr>
      <w:r>
        <w:rPr/>
        <w:t>项目新征用地 </w:t>
      </w:r>
      <w:r>
        <w:rPr>
          <w:rFonts w:ascii="Times New Roman" w:eastAsia="Times New Roman"/>
        </w:rPr>
        <w:t>20 </w:t>
      </w:r>
      <w:r>
        <w:rPr/>
        <w:t>亩，新建办公楼、仓库、车间、危废仓库、污控楼、中控室、消</w:t>
      </w:r>
    </w:p>
    <w:p>
      <w:pPr>
        <w:pStyle w:val="BodyText"/>
        <w:spacing w:line="364" w:lineRule="auto" w:before="158"/>
        <w:ind w:left="218" w:right="332"/>
      </w:pPr>
      <w:r>
        <w:rPr>
          <w:spacing w:val="-7"/>
        </w:rPr>
        <w:t>防水池、事故应急池等建构筑物，总建筑面积 </w:t>
      </w:r>
      <w:r>
        <w:rPr>
          <w:rFonts w:ascii="Times New Roman" w:eastAsia="Times New Roman"/>
        </w:rPr>
        <w:t>16580 </w:t>
      </w:r>
      <w:r>
        <w:rPr>
          <w:spacing w:val="-5"/>
        </w:rPr>
        <w:t>平方米，购置反应釜等设备，形成</w:t>
      </w:r>
      <w:r>
        <w:rPr>
          <w:spacing w:val="-20"/>
        </w:rPr>
        <w:t>年产 </w:t>
      </w:r>
      <w:r>
        <w:rPr>
          <w:rFonts w:ascii="Times New Roman" w:eastAsia="Times New Roman"/>
        </w:rPr>
        <w:t>500 </w:t>
      </w:r>
      <w:r>
        <w:rPr/>
        <w:t>吨农药（</w:t>
      </w:r>
      <w:r>
        <w:rPr>
          <w:rFonts w:ascii="Times New Roman" w:eastAsia="Times New Roman"/>
        </w:rPr>
        <w:t>300 </w:t>
      </w:r>
      <w:r>
        <w:rPr/>
        <w:t>吨三环唑、</w:t>
      </w:r>
      <w:r>
        <w:rPr>
          <w:rFonts w:ascii="Times New Roman" w:eastAsia="Times New Roman"/>
        </w:rPr>
        <w:t>200 </w:t>
      </w:r>
      <w:r>
        <w:rPr/>
        <w:t>吨三环唑可湿性粉剂）的生产能力。</w:t>
      </w:r>
    </w:p>
    <w:p>
      <w:pPr>
        <w:pStyle w:val="BodyText"/>
        <w:spacing w:line="306" w:lineRule="exact"/>
        <w:ind w:left="698"/>
      </w:pPr>
      <w:r>
        <w:rPr/>
        <w:t>本项目主要建设内容详见下表。</w:t>
      </w:r>
    </w:p>
    <w:p>
      <w:pPr>
        <w:pStyle w:val="BodyText"/>
        <w:spacing w:before="7"/>
        <w:rPr>
          <w:sz w:val="23"/>
        </w:rPr>
      </w:pPr>
    </w:p>
    <w:p>
      <w:pPr>
        <w:pStyle w:val="Heading4"/>
        <w:tabs>
          <w:tab w:pos="1221" w:val="left" w:leader="none"/>
        </w:tabs>
        <w:spacing w:after="29"/>
        <w:ind w:left="0" w:right="118"/>
        <w:jc w:val="center"/>
      </w:pPr>
      <w:r>
        <w:rPr/>
        <w:t>表</w:t>
      </w:r>
      <w:r>
        <w:rPr>
          <w:spacing w:val="-60"/>
        </w:rPr>
        <w:t> </w:t>
      </w:r>
      <w:r>
        <w:rPr>
          <w:rFonts w:ascii="Times New Roman" w:eastAsia="Times New Roman"/>
        </w:rPr>
        <w:t>4.1.4-1</w:t>
        <w:tab/>
      </w:r>
      <w:r>
        <w:rPr/>
        <w:t>项目主要建</w:t>
      </w:r>
      <w:r>
        <w:rPr>
          <w:spacing w:val="3"/>
        </w:rPr>
        <w:t>设</w:t>
      </w:r>
      <w:r>
        <w:rPr/>
        <w:t>内容</w:t>
      </w:r>
    </w:p>
    <w:tbl>
      <w:tblPr>
        <w:tblW w:w="0" w:type="auto"/>
        <w:jc w:val="left"/>
        <w:tblInd w:w="2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78"/>
        <w:gridCol w:w="1276"/>
        <w:gridCol w:w="7239"/>
      </w:tblGrid>
      <w:tr>
        <w:trPr>
          <w:trHeight w:val="282" w:hRule="atLeast"/>
        </w:trPr>
        <w:tc>
          <w:tcPr>
            <w:tcW w:w="578" w:type="dxa"/>
            <w:tcBorders>
              <w:bottom w:val="single" w:sz="4" w:space="0" w:color="000000"/>
            </w:tcBorders>
          </w:tcPr>
          <w:p>
            <w:pPr>
              <w:pStyle w:val="TableParagraph"/>
              <w:spacing w:line="257" w:lineRule="exact" w:before="6"/>
              <w:ind w:left="76"/>
              <w:jc w:val="left"/>
              <w:rPr>
                <w:b/>
                <w:sz w:val="21"/>
              </w:rPr>
            </w:pPr>
            <w:r>
              <w:rPr>
                <w:b/>
                <w:sz w:val="21"/>
              </w:rPr>
              <w:t>名称</w:t>
            </w:r>
          </w:p>
        </w:tc>
        <w:tc>
          <w:tcPr>
            <w:tcW w:w="8515" w:type="dxa"/>
            <w:gridSpan w:val="2"/>
            <w:tcBorders>
              <w:bottom w:val="single" w:sz="4" w:space="0" w:color="000000"/>
            </w:tcBorders>
          </w:tcPr>
          <w:p>
            <w:pPr>
              <w:pStyle w:val="TableParagraph"/>
              <w:spacing w:line="257" w:lineRule="exact" w:before="6"/>
              <w:ind w:left="3500" w:right="3494"/>
              <w:rPr>
                <w:b/>
                <w:sz w:val="21"/>
              </w:rPr>
            </w:pPr>
            <w:r>
              <w:rPr>
                <w:b/>
                <w:sz w:val="21"/>
              </w:rPr>
              <w:t>建设内容及规模</w:t>
            </w:r>
          </w:p>
        </w:tc>
      </w:tr>
      <w:tr>
        <w:trPr>
          <w:trHeight w:val="544" w:hRule="atLeast"/>
        </w:trPr>
        <w:tc>
          <w:tcPr>
            <w:tcW w:w="578" w:type="dxa"/>
            <w:tcBorders>
              <w:top w:val="single" w:sz="4" w:space="0" w:color="000000"/>
            </w:tcBorders>
          </w:tcPr>
          <w:p>
            <w:pPr>
              <w:pStyle w:val="TableParagraph"/>
              <w:spacing w:before="1"/>
              <w:ind w:left="79"/>
              <w:jc w:val="left"/>
              <w:rPr>
                <w:sz w:val="21"/>
              </w:rPr>
            </w:pPr>
            <w:r>
              <w:rPr>
                <w:sz w:val="21"/>
              </w:rPr>
              <w:t>主体</w:t>
            </w:r>
          </w:p>
          <w:p>
            <w:pPr>
              <w:pStyle w:val="TableParagraph"/>
              <w:spacing w:line="250" w:lineRule="exact" w:before="4"/>
              <w:ind w:left="79"/>
              <w:jc w:val="left"/>
              <w:rPr>
                <w:sz w:val="21"/>
              </w:rPr>
            </w:pPr>
            <w:r>
              <w:rPr>
                <w:sz w:val="21"/>
              </w:rPr>
              <w:t>工程</w:t>
            </w:r>
          </w:p>
        </w:tc>
        <w:tc>
          <w:tcPr>
            <w:tcW w:w="8515" w:type="dxa"/>
            <w:gridSpan w:val="2"/>
            <w:tcBorders>
              <w:top w:val="single" w:sz="4" w:space="0" w:color="000000"/>
            </w:tcBorders>
          </w:tcPr>
          <w:p>
            <w:pPr>
              <w:pStyle w:val="TableParagraph"/>
              <w:spacing w:before="138"/>
              <w:ind w:left="2"/>
              <w:jc w:val="left"/>
              <w:rPr>
                <w:sz w:val="21"/>
              </w:rPr>
            </w:pPr>
            <w:r>
              <w:rPr>
                <w:sz w:val="21"/>
              </w:rPr>
              <w:t>新建车间一，实施 </w:t>
            </w:r>
            <w:r>
              <w:rPr>
                <w:rFonts w:ascii="Times New Roman" w:eastAsia="Times New Roman"/>
                <w:sz w:val="21"/>
              </w:rPr>
              <w:t>300 </w:t>
            </w:r>
            <w:r>
              <w:rPr>
                <w:sz w:val="21"/>
              </w:rPr>
              <w:t>吨</w:t>
            </w:r>
            <w:r>
              <w:rPr>
                <w:rFonts w:ascii="Times New Roman" w:eastAsia="Times New Roman"/>
                <w:sz w:val="21"/>
              </w:rPr>
              <w:t>/</w:t>
            </w:r>
            <w:r>
              <w:rPr>
                <w:sz w:val="21"/>
              </w:rPr>
              <w:t>年三环唑杀菌剂和 </w:t>
            </w:r>
            <w:r>
              <w:rPr>
                <w:rFonts w:ascii="Times New Roman" w:eastAsia="Times New Roman"/>
                <w:sz w:val="21"/>
              </w:rPr>
              <w:t>200 </w:t>
            </w:r>
            <w:r>
              <w:rPr>
                <w:sz w:val="21"/>
              </w:rPr>
              <w:t>吨</w:t>
            </w:r>
            <w:r>
              <w:rPr>
                <w:rFonts w:ascii="Times New Roman" w:eastAsia="Times New Roman"/>
                <w:sz w:val="21"/>
              </w:rPr>
              <w:t>/</w:t>
            </w:r>
            <w:r>
              <w:rPr>
                <w:sz w:val="21"/>
              </w:rPr>
              <w:t>年三环唑可湿性粉剂的生产</w:t>
            </w:r>
          </w:p>
        </w:tc>
      </w:tr>
      <w:tr>
        <w:trPr>
          <w:trHeight w:val="545" w:hRule="atLeast"/>
        </w:trPr>
        <w:tc>
          <w:tcPr>
            <w:tcW w:w="578" w:type="dxa"/>
          </w:tcPr>
          <w:p>
            <w:pPr>
              <w:pStyle w:val="TableParagraph"/>
              <w:spacing w:before="1"/>
              <w:ind w:left="79"/>
              <w:jc w:val="left"/>
              <w:rPr>
                <w:sz w:val="21"/>
              </w:rPr>
            </w:pPr>
            <w:r>
              <w:rPr>
                <w:sz w:val="21"/>
              </w:rPr>
              <w:t>辅助</w:t>
            </w:r>
          </w:p>
          <w:p>
            <w:pPr>
              <w:pStyle w:val="TableParagraph"/>
              <w:spacing w:line="250" w:lineRule="exact" w:before="5"/>
              <w:ind w:left="79"/>
              <w:jc w:val="left"/>
              <w:rPr>
                <w:sz w:val="21"/>
              </w:rPr>
            </w:pPr>
            <w:r>
              <w:rPr>
                <w:sz w:val="21"/>
              </w:rPr>
              <w:t>工程</w:t>
            </w:r>
          </w:p>
        </w:tc>
        <w:tc>
          <w:tcPr>
            <w:tcW w:w="1276" w:type="dxa"/>
          </w:tcPr>
          <w:p>
            <w:pPr>
              <w:pStyle w:val="TableParagraph"/>
              <w:spacing w:before="138"/>
              <w:ind w:left="8"/>
              <w:rPr>
                <w:sz w:val="21"/>
              </w:rPr>
            </w:pPr>
            <w:r>
              <w:rPr>
                <w:sz w:val="21"/>
              </w:rPr>
              <w:t>各类仓库</w:t>
            </w:r>
          </w:p>
        </w:tc>
        <w:tc>
          <w:tcPr>
            <w:tcW w:w="7239" w:type="dxa"/>
          </w:tcPr>
          <w:p>
            <w:pPr>
              <w:pStyle w:val="TableParagraph"/>
              <w:spacing w:before="138"/>
              <w:ind w:left="3"/>
              <w:jc w:val="left"/>
              <w:rPr>
                <w:sz w:val="21"/>
              </w:rPr>
            </w:pPr>
            <w:r>
              <w:rPr>
                <w:sz w:val="21"/>
              </w:rPr>
              <w:t>新建仓库，新建储罐区，新增 </w:t>
            </w:r>
            <w:r>
              <w:rPr>
                <w:rFonts w:ascii="Times New Roman" w:eastAsia="Times New Roman"/>
                <w:sz w:val="21"/>
              </w:rPr>
              <w:t>1 </w:t>
            </w:r>
            <w:r>
              <w:rPr>
                <w:sz w:val="21"/>
              </w:rPr>
              <w:t>个 </w:t>
            </w:r>
            <w:r>
              <w:rPr>
                <w:rFonts w:ascii="Times New Roman" w:eastAsia="Times New Roman"/>
                <w:sz w:val="21"/>
              </w:rPr>
              <w:t>100 </w:t>
            </w:r>
            <w:r>
              <w:rPr>
                <w:sz w:val="21"/>
              </w:rPr>
              <w:t>立方甲酸储罐</w:t>
            </w:r>
          </w:p>
        </w:tc>
      </w:tr>
      <w:tr>
        <w:trPr>
          <w:trHeight w:val="544" w:hRule="atLeast"/>
        </w:trPr>
        <w:tc>
          <w:tcPr>
            <w:tcW w:w="578"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9"/>
              <w:jc w:val="left"/>
              <w:rPr>
                <w:b/>
                <w:sz w:val="29"/>
              </w:rPr>
            </w:pPr>
          </w:p>
          <w:p>
            <w:pPr>
              <w:pStyle w:val="TableParagraph"/>
              <w:spacing w:line="242" w:lineRule="auto"/>
              <w:ind w:left="79" w:right="69"/>
              <w:jc w:val="left"/>
              <w:rPr>
                <w:sz w:val="21"/>
              </w:rPr>
            </w:pPr>
            <w:r>
              <w:rPr>
                <w:sz w:val="21"/>
              </w:rPr>
              <w:t>公用工程</w:t>
            </w:r>
          </w:p>
        </w:tc>
        <w:tc>
          <w:tcPr>
            <w:tcW w:w="1276" w:type="dxa"/>
          </w:tcPr>
          <w:p>
            <w:pPr>
              <w:pStyle w:val="TableParagraph"/>
              <w:spacing w:before="138"/>
              <w:ind w:left="6"/>
              <w:rPr>
                <w:sz w:val="21"/>
              </w:rPr>
            </w:pPr>
            <w:r>
              <w:rPr>
                <w:sz w:val="21"/>
              </w:rPr>
              <w:t>供电</w:t>
            </w:r>
          </w:p>
        </w:tc>
        <w:tc>
          <w:tcPr>
            <w:tcW w:w="7239" w:type="dxa"/>
          </w:tcPr>
          <w:p>
            <w:pPr>
              <w:pStyle w:val="TableParagraph"/>
              <w:spacing w:before="1"/>
              <w:ind w:left="3"/>
              <w:jc w:val="left"/>
              <w:rPr>
                <w:sz w:val="21"/>
              </w:rPr>
            </w:pPr>
            <w:r>
              <w:rPr>
                <w:spacing w:val="-7"/>
                <w:sz w:val="21"/>
              </w:rPr>
              <w:t>新建配电站一座，由园区 </w:t>
            </w:r>
            <w:r>
              <w:rPr>
                <w:rFonts w:ascii="Times New Roman" w:eastAsia="Times New Roman"/>
                <w:sz w:val="21"/>
              </w:rPr>
              <w:t>20KV </w:t>
            </w:r>
            <w:r>
              <w:rPr>
                <w:spacing w:val="-7"/>
                <w:sz w:val="21"/>
              </w:rPr>
              <w:t>高压线引入，配电站内设 </w:t>
            </w:r>
            <w:r>
              <w:rPr>
                <w:rFonts w:ascii="Times New Roman" w:eastAsia="Times New Roman"/>
                <w:sz w:val="21"/>
              </w:rPr>
              <w:t>S15 </w:t>
            </w:r>
            <w:r>
              <w:rPr>
                <w:spacing w:val="-3"/>
                <w:sz w:val="21"/>
              </w:rPr>
              <w:t>型变压器一台，</w:t>
            </w:r>
          </w:p>
          <w:p>
            <w:pPr>
              <w:pStyle w:val="TableParagraph"/>
              <w:spacing w:line="250" w:lineRule="exact" w:before="4"/>
              <w:ind w:left="3"/>
              <w:jc w:val="left"/>
              <w:rPr>
                <w:sz w:val="21"/>
              </w:rPr>
            </w:pPr>
            <w:r>
              <w:rPr>
                <w:sz w:val="21"/>
              </w:rPr>
              <w:t>供本项目的生产、生活用电需要。</w:t>
            </w:r>
          </w:p>
        </w:tc>
      </w:tr>
      <w:tr>
        <w:trPr>
          <w:trHeight w:val="1089" w:hRule="atLeast"/>
        </w:trPr>
        <w:tc>
          <w:tcPr>
            <w:tcW w:w="578" w:type="dxa"/>
            <w:vMerge/>
            <w:tcBorders>
              <w:top w:val="nil"/>
            </w:tcBorders>
          </w:tcPr>
          <w:p>
            <w:pPr>
              <w:rPr>
                <w:sz w:val="2"/>
                <w:szCs w:val="2"/>
              </w:rPr>
            </w:pPr>
          </w:p>
        </w:tc>
        <w:tc>
          <w:tcPr>
            <w:tcW w:w="1276" w:type="dxa"/>
          </w:tcPr>
          <w:p>
            <w:pPr>
              <w:pStyle w:val="TableParagraph"/>
              <w:jc w:val="left"/>
              <w:rPr>
                <w:b/>
                <w:sz w:val="20"/>
              </w:rPr>
            </w:pPr>
          </w:p>
          <w:p>
            <w:pPr>
              <w:pStyle w:val="TableParagraph"/>
              <w:spacing w:before="155"/>
              <w:ind w:left="6"/>
              <w:rPr>
                <w:sz w:val="21"/>
              </w:rPr>
            </w:pPr>
            <w:r>
              <w:rPr>
                <w:sz w:val="21"/>
              </w:rPr>
              <w:t>供水</w:t>
            </w:r>
          </w:p>
        </w:tc>
        <w:tc>
          <w:tcPr>
            <w:tcW w:w="7239" w:type="dxa"/>
          </w:tcPr>
          <w:p>
            <w:pPr>
              <w:pStyle w:val="TableParagraph"/>
              <w:spacing w:line="242" w:lineRule="auto" w:before="1"/>
              <w:ind w:left="3" w:right="-15"/>
              <w:jc w:val="both"/>
              <w:rPr>
                <w:sz w:val="21"/>
              </w:rPr>
            </w:pPr>
            <w:r>
              <w:rPr>
                <w:spacing w:val="-6"/>
                <w:sz w:val="21"/>
              </w:rPr>
              <w:t>上虞水厂到杭州湾上虞经济技术开发区有 </w:t>
            </w:r>
            <w:r>
              <w:rPr>
                <w:rFonts w:ascii="Times New Roman" w:hAnsi="Times New Roman" w:eastAsia="Times New Roman"/>
                <w:sz w:val="21"/>
              </w:rPr>
              <w:t>φ800</w:t>
            </w:r>
            <w:r>
              <w:rPr>
                <w:spacing w:val="-20"/>
                <w:sz w:val="21"/>
              </w:rPr>
              <w:t>、</w:t>
            </w:r>
            <w:r>
              <w:rPr>
                <w:rFonts w:ascii="Times New Roman" w:hAnsi="Times New Roman" w:eastAsia="Times New Roman"/>
                <w:sz w:val="21"/>
              </w:rPr>
              <w:t>φ500</w:t>
            </w:r>
            <w:r>
              <w:rPr>
                <w:spacing w:val="-22"/>
                <w:sz w:val="21"/>
              </w:rPr>
              <w:t>、</w:t>
            </w:r>
            <w:r>
              <w:rPr>
                <w:rFonts w:ascii="Times New Roman" w:hAnsi="Times New Roman" w:eastAsia="Times New Roman"/>
                <w:sz w:val="21"/>
              </w:rPr>
              <w:t>φ400</w:t>
            </w:r>
            <w:r>
              <w:rPr>
                <w:rFonts w:ascii="Times New Roman" w:hAnsi="Times New Roman" w:eastAsia="Times New Roman"/>
                <w:spacing w:val="11"/>
                <w:sz w:val="21"/>
              </w:rPr>
              <w:t> </w:t>
            </w:r>
            <w:r>
              <w:rPr>
                <w:spacing w:val="-7"/>
                <w:sz w:val="21"/>
              </w:rPr>
              <w:t>三条供水管线，日</w:t>
            </w:r>
            <w:r>
              <w:rPr>
                <w:spacing w:val="-5"/>
                <w:w w:val="100"/>
                <w:sz w:val="21"/>
              </w:rPr>
              <w:t>供水能力</w:t>
            </w:r>
            <w:r>
              <w:rPr>
                <w:spacing w:val="-52"/>
                <w:sz w:val="21"/>
              </w:rPr>
              <w:t> </w:t>
            </w:r>
            <w:r>
              <w:rPr>
                <w:rFonts w:ascii="Times New Roman" w:hAnsi="Times New Roman" w:eastAsia="Times New Roman"/>
                <w:spacing w:val="-3"/>
                <w:w w:val="100"/>
                <w:sz w:val="21"/>
              </w:rPr>
              <w:t>6</w:t>
            </w:r>
            <w:r>
              <w:rPr>
                <w:rFonts w:ascii="Times New Roman" w:hAnsi="Times New Roman" w:eastAsia="Times New Roman"/>
                <w:w w:val="100"/>
                <w:sz w:val="21"/>
              </w:rPr>
              <w:t>000</w:t>
            </w:r>
            <w:r>
              <w:rPr>
                <w:rFonts w:ascii="Times New Roman" w:hAnsi="Times New Roman" w:eastAsia="Times New Roman"/>
                <w:spacing w:val="-3"/>
                <w:sz w:val="21"/>
              </w:rPr>
              <w:t> </w:t>
            </w:r>
            <w:r>
              <w:rPr>
                <w:spacing w:val="-4"/>
                <w:w w:val="100"/>
                <w:sz w:val="21"/>
              </w:rPr>
              <w:t>吨。项目实施后，新鲜水用量约</w:t>
            </w:r>
            <w:r>
              <w:rPr>
                <w:spacing w:val="-53"/>
                <w:sz w:val="21"/>
              </w:rPr>
              <w:t> </w:t>
            </w:r>
            <w:r>
              <w:rPr>
                <w:rFonts w:ascii="Times New Roman" w:hAnsi="Times New Roman" w:eastAsia="Times New Roman"/>
                <w:w w:val="100"/>
                <w:sz w:val="21"/>
              </w:rPr>
              <w:t>1</w:t>
            </w:r>
            <w:r>
              <w:rPr>
                <w:rFonts w:ascii="Times New Roman" w:hAnsi="Times New Roman" w:eastAsia="Times New Roman"/>
                <w:spacing w:val="-3"/>
                <w:w w:val="100"/>
                <w:sz w:val="21"/>
              </w:rPr>
              <w:t>6</w:t>
            </w:r>
            <w:r>
              <w:rPr>
                <w:rFonts w:ascii="Times New Roman" w:hAnsi="Times New Roman" w:eastAsia="Times New Roman"/>
                <w:w w:val="100"/>
                <w:sz w:val="21"/>
              </w:rPr>
              <w:t>0</w:t>
            </w:r>
            <w:r>
              <w:rPr>
                <w:rFonts w:ascii="Times New Roman" w:hAnsi="Times New Roman" w:eastAsia="Times New Roman"/>
                <w:spacing w:val="-3"/>
                <w:w w:val="100"/>
                <w:sz w:val="21"/>
              </w:rPr>
              <w:t>3</w:t>
            </w:r>
            <w:r>
              <w:rPr>
                <w:rFonts w:ascii="Times New Roman" w:hAnsi="Times New Roman" w:eastAsia="Times New Roman"/>
                <w:w w:val="100"/>
                <w:sz w:val="21"/>
              </w:rPr>
              <w:t>4</w:t>
            </w:r>
            <w:r>
              <w:rPr>
                <w:rFonts w:ascii="Times New Roman" w:hAnsi="Times New Roman" w:eastAsia="Times New Roman"/>
                <w:spacing w:val="-2"/>
                <w:w w:val="100"/>
                <w:sz w:val="21"/>
              </w:rPr>
              <w:t>t/</w:t>
            </w:r>
            <w:r>
              <w:rPr>
                <w:rFonts w:ascii="Times New Roman" w:hAnsi="Times New Roman" w:eastAsia="Times New Roman"/>
                <w:spacing w:val="-6"/>
                <w:w w:val="100"/>
                <w:sz w:val="21"/>
              </w:rPr>
              <w:t>a</w:t>
            </w:r>
            <w:r>
              <w:rPr>
                <w:w w:val="100"/>
                <w:sz w:val="21"/>
              </w:rPr>
              <w:t>（</w:t>
            </w:r>
            <w:r>
              <w:rPr>
                <w:rFonts w:ascii="Times New Roman" w:hAnsi="Times New Roman" w:eastAsia="Times New Roman"/>
                <w:w w:val="100"/>
                <w:sz w:val="21"/>
              </w:rPr>
              <w:t>53.4</w:t>
            </w:r>
            <w:r>
              <w:rPr>
                <w:rFonts w:ascii="Times New Roman" w:hAnsi="Times New Roman" w:eastAsia="Times New Roman"/>
                <w:spacing w:val="-2"/>
                <w:w w:val="100"/>
                <w:sz w:val="21"/>
              </w:rPr>
              <w:t>t/</w:t>
            </w:r>
            <w:r>
              <w:rPr>
                <w:rFonts w:ascii="Times New Roman" w:hAnsi="Times New Roman" w:eastAsia="Times New Roman"/>
                <w:spacing w:val="-1"/>
                <w:w w:val="100"/>
                <w:sz w:val="21"/>
              </w:rPr>
              <w:t>d</w:t>
            </w:r>
            <w:r>
              <w:rPr>
                <w:spacing w:val="-108"/>
                <w:w w:val="100"/>
                <w:sz w:val="21"/>
              </w:rPr>
              <w:t>）</w:t>
            </w:r>
            <w:r>
              <w:rPr>
                <w:spacing w:val="-3"/>
                <w:w w:val="100"/>
                <w:sz w:val="21"/>
              </w:rPr>
              <w:t>，厂区所需用</w:t>
            </w:r>
            <w:r>
              <w:rPr>
                <w:spacing w:val="-3"/>
                <w:sz w:val="21"/>
              </w:rPr>
              <w:t>水从开发区自来水管接入。项目用水主要包括生产用水给水系统、生活用水给</w:t>
            </w:r>
          </w:p>
          <w:p>
            <w:pPr>
              <w:pStyle w:val="TableParagraph"/>
              <w:spacing w:line="250" w:lineRule="exact" w:before="3"/>
              <w:ind w:left="3"/>
              <w:jc w:val="left"/>
              <w:rPr>
                <w:sz w:val="21"/>
              </w:rPr>
            </w:pPr>
            <w:r>
              <w:rPr>
                <w:sz w:val="21"/>
              </w:rPr>
              <w:t>水系统、消防水给水系统、冷却系统等</w:t>
            </w:r>
          </w:p>
        </w:tc>
      </w:tr>
      <w:tr>
        <w:trPr>
          <w:trHeight w:val="1634" w:hRule="atLeast"/>
        </w:trPr>
        <w:tc>
          <w:tcPr>
            <w:tcW w:w="578" w:type="dxa"/>
            <w:vMerge/>
            <w:tcBorders>
              <w:top w:val="nil"/>
            </w:tcBorders>
          </w:tcPr>
          <w:p>
            <w:pPr>
              <w:rPr>
                <w:sz w:val="2"/>
                <w:szCs w:val="2"/>
              </w:rPr>
            </w:pPr>
          </w:p>
        </w:tc>
        <w:tc>
          <w:tcPr>
            <w:tcW w:w="1276" w:type="dxa"/>
          </w:tcPr>
          <w:p>
            <w:pPr>
              <w:pStyle w:val="TableParagraph"/>
              <w:jc w:val="left"/>
              <w:rPr>
                <w:b/>
                <w:sz w:val="20"/>
              </w:rPr>
            </w:pPr>
          </w:p>
          <w:p>
            <w:pPr>
              <w:pStyle w:val="TableParagraph"/>
              <w:jc w:val="left"/>
              <w:rPr>
                <w:b/>
                <w:sz w:val="20"/>
              </w:rPr>
            </w:pPr>
          </w:p>
          <w:p>
            <w:pPr>
              <w:pStyle w:val="TableParagraph"/>
              <w:spacing w:before="170"/>
              <w:ind w:left="6"/>
              <w:rPr>
                <w:sz w:val="21"/>
              </w:rPr>
            </w:pPr>
            <w:r>
              <w:rPr>
                <w:sz w:val="21"/>
              </w:rPr>
              <w:t>排水</w:t>
            </w:r>
          </w:p>
        </w:tc>
        <w:tc>
          <w:tcPr>
            <w:tcW w:w="7239" w:type="dxa"/>
          </w:tcPr>
          <w:p>
            <w:pPr>
              <w:pStyle w:val="TableParagraph"/>
              <w:spacing w:line="242" w:lineRule="auto" w:before="1"/>
              <w:ind w:left="3" w:right="82"/>
              <w:jc w:val="both"/>
              <w:rPr>
                <w:sz w:val="21"/>
              </w:rPr>
            </w:pPr>
            <w:r>
              <w:rPr>
                <w:sz w:val="21"/>
              </w:rPr>
              <w:t>本项目实施清污分流、雨污分流。厂区内雨水与生产、生活排水分别独立布置排水管道系统，最后分别与厂区排水管道系统相连。排水系统分为生产废水、生活废水和雨水排水系统。生产废水经厂区污水管网汇集后，接至污水处理设施，处理达标后排入市政污水管网。生活污水排水经化粪池化粪处理后再排入厂区污水管网，其中消防、事故及初期雨水经收集后，排至厂区污水处理设施</w:t>
            </w:r>
          </w:p>
          <w:p>
            <w:pPr>
              <w:pStyle w:val="TableParagraph"/>
              <w:spacing w:line="250" w:lineRule="exact" w:before="4"/>
              <w:ind w:left="3"/>
              <w:jc w:val="left"/>
              <w:rPr>
                <w:sz w:val="21"/>
              </w:rPr>
            </w:pPr>
            <w:r>
              <w:rPr>
                <w:sz w:val="21"/>
              </w:rPr>
              <w:t>与生产污水合并处理。</w:t>
            </w:r>
          </w:p>
        </w:tc>
      </w:tr>
      <w:tr>
        <w:trPr>
          <w:trHeight w:val="545" w:hRule="atLeast"/>
        </w:trPr>
        <w:tc>
          <w:tcPr>
            <w:tcW w:w="578" w:type="dxa"/>
            <w:vMerge/>
            <w:tcBorders>
              <w:top w:val="nil"/>
            </w:tcBorders>
          </w:tcPr>
          <w:p>
            <w:pPr>
              <w:rPr>
                <w:sz w:val="2"/>
                <w:szCs w:val="2"/>
              </w:rPr>
            </w:pPr>
          </w:p>
        </w:tc>
        <w:tc>
          <w:tcPr>
            <w:tcW w:w="1276" w:type="dxa"/>
          </w:tcPr>
          <w:p>
            <w:pPr>
              <w:pStyle w:val="TableParagraph"/>
              <w:spacing w:before="138"/>
              <w:ind w:left="6"/>
              <w:rPr>
                <w:sz w:val="21"/>
              </w:rPr>
            </w:pPr>
            <w:r>
              <w:rPr>
                <w:sz w:val="21"/>
              </w:rPr>
              <w:t>供热</w:t>
            </w:r>
          </w:p>
        </w:tc>
        <w:tc>
          <w:tcPr>
            <w:tcW w:w="7239" w:type="dxa"/>
          </w:tcPr>
          <w:p>
            <w:pPr>
              <w:pStyle w:val="TableParagraph"/>
              <w:spacing w:before="1"/>
              <w:ind w:left="3" w:right="-15"/>
              <w:jc w:val="left"/>
              <w:rPr>
                <w:rFonts w:ascii="Times New Roman" w:eastAsia="Times New Roman"/>
                <w:sz w:val="21"/>
              </w:rPr>
            </w:pPr>
            <w:r>
              <w:rPr>
                <w:spacing w:val="-2"/>
                <w:sz w:val="21"/>
              </w:rPr>
              <w:t>供汽由杭协热电站供给，接入本项目的蒸汽管道直径为</w:t>
            </w:r>
            <w:r>
              <w:rPr>
                <w:rFonts w:ascii="Times New Roman" w:eastAsia="Times New Roman"/>
                <w:spacing w:val="-3"/>
                <w:sz w:val="21"/>
              </w:rPr>
              <w:t>DN100</w:t>
            </w:r>
            <w:r>
              <w:rPr>
                <w:spacing w:val="-8"/>
                <w:sz w:val="21"/>
              </w:rPr>
              <w:t>，压力为 </w:t>
            </w:r>
            <w:r>
              <w:rPr>
                <w:rFonts w:ascii="Times New Roman" w:eastAsia="Times New Roman"/>
                <w:sz w:val="21"/>
              </w:rPr>
              <w:t>0.6Mpa</w:t>
            </w:r>
          </w:p>
          <w:p>
            <w:pPr>
              <w:pStyle w:val="TableParagraph"/>
              <w:spacing w:line="250" w:lineRule="exact" w:before="5"/>
              <w:ind w:left="3"/>
              <w:jc w:val="left"/>
              <w:rPr>
                <w:sz w:val="21"/>
              </w:rPr>
            </w:pPr>
            <w:r>
              <w:rPr>
                <w:sz w:val="21"/>
              </w:rPr>
              <w:t>饱和蒸汽，以满足本项目的供热需求量</w:t>
            </w:r>
          </w:p>
        </w:tc>
      </w:tr>
      <w:tr>
        <w:trPr>
          <w:trHeight w:val="544" w:hRule="atLeast"/>
        </w:trPr>
        <w:tc>
          <w:tcPr>
            <w:tcW w:w="578" w:type="dxa"/>
            <w:vMerge/>
            <w:tcBorders>
              <w:top w:val="nil"/>
            </w:tcBorders>
          </w:tcPr>
          <w:p>
            <w:pPr>
              <w:rPr>
                <w:sz w:val="2"/>
                <w:szCs w:val="2"/>
              </w:rPr>
            </w:pPr>
          </w:p>
        </w:tc>
        <w:tc>
          <w:tcPr>
            <w:tcW w:w="1276" w:type="dxa"/>
          </w:tcPr>
          <w:p>
            <w:pPr>
              <w:pStyle w:val="TableParagraph"/>
              <w:spacing w:before="138"/>
              <w:ind w:left="8"/>
              <w:rPr>
                <w:sz w:val="21"/>
              </w:rPr>
            </w:pPr>
            <w:r>
              <w:rPr>
                <w:sz w:val="21"/>
              </w:rPr>
              <w:t>冷却水系统</w:t>
            </w:r>
          </w:p>
        </w:tc>
        <w:tc>
          <w:tcPr>
            <w:tcW w:w="7239" w:type="dxa"/>
          </w:tcPr>
          <w:p>
            <w:pPr>
              <w:pStyle w:val="TableParagraph"/>
              <w:spacing w:before="1"/>
              <w:ind w:left="3"/>
              <w:jc w:val="left"/>
              <w:rPr>
                <w:sz w:val="21"/>
              </w:rPr>
            </w:pPr>
            <w:r>
              <w:rPr>
                <w:spacing w:val="-16"/>
                <w:sz w:val="21"/>
              </w:rPr>
              <w:t>新增 </w:t>
            </w:r>
            <w:r>
              <w:rPr>
                <w:rFonts w:ascii="Times New Roman" w:eastAsia="Times New Roman"/>
                <w:sz w:val="21"/>
              </w:rPr>
              <w:t>1 </w:t>
            </w:r>
            <w:r>
              <w:rPr>
                <w:spacing w:val="-10"/>
                <w:sz w:val="21"/>
              </w:rPr>
              <w:t>座冷却水塔和 </w:t>
            </w:r>
            <w:r>
              <w:rPr>
                <w:rFonts w:ascii="Times New Roman" w:eastAsia="Times New Roman"/>
                <w:sz w:val="21"/>
              </w:rPr>
              <w:t>2 </w:t>
            </w:r>
            <w:r>
              <w:rPr>
                <w:spacing w:val="-3"/>
                <w:sz w:val="21"/>
              </w:rPr>
              <w:t>台冷却循环水泵，以确保冷却水的循环利用与供应，项</w:t>
            </w:r>
          </w:p>
          <w:p>
            <w:pPr>
              <w:pStyle w:val="TableParagraph"/>
              <w:spacing w:line="250" w:lineRule="exact" w:before="4"/>
              <w:ind w:left="3"/>
              <w:jc w:val="left"/>
              <w:rPr>
                <w:rFonts w:ascii="Times New Roman" w:eastAsia="Times New Roman"/>
                <w:sz w:val="21"/>
              </w:rPr>
            </w:pPr>
            <w:r>
              <w:rPr>
                <w:sz w:val="21"/>
              </w:rPr>
              <w:t>目冷却水用量为 </w:t>
            </w:r>
            <w:r>
              <w:rPr>
                <w:rFonts w:ascii="Times New Roman" w:eastAsia="Times New Roman"/>
                <w:sz w:val="21"/>
              </w:rPr>
              <w:t>100m</w:t>
            </w:r>
            <w:r>
              <w:rPr>
                <w:rFonts w:ascii="Times New Roman" w:eastAsia="Times New Roman"/>
                <w:position w:val="7"/>
                <w:sz w:val="14"/>
              </w:rPr>
              <w:t>3</w:t>
            </w:r>
            <w:r>
              <w:rPr>
                <w:rFonts w:ascii="Times New Roman" w:eastAsia="Times New Roman"/>
                <w:sz w:val="21"/>
              </w:rPr>
              <w:t>/h</w:t>
            </w:r>
          </w:p>
        </w:tc>
      </w:tr>
      <w:tr>
        <w:trPr>
          <w:trHeight w:val="285" w:hRule="atLeast"/>
        </w:trPr>
        <w:tc>
          <w:tcPr>
            <w:tcW w:w="578" w:type="dxa"/>
            <w:vMerge w:val="restart"/>
          </w:tcPr>
          <w:p>
            <w:pPr>
              <w:pStyle w:val="TableParagraph"/>
              <w:spacing w:before="1"/>
              <w:jc w:val="left"/>
              <w:rPr>
                <w:b/>
                <w:sz w:val="23"/>
              </w:rPr>
            </w:pPr>
          </w:p>
          <w:p>
            <w:pPr>
              <w:pStyle w:val="TableParagraph"/>
              <w:spacing w:line="242" w:lineRule="auto"/>
              <w:ind w:left="79" w:right="69"/>
              <w:jc w:val="left"/>
              <w:rPr>
                <w:sz w:val="21"/>
              </w:rPr>
            </w:pPr>
            <w:r>
              <w:rPr>
                <w:sz w:val="21"/>
              </w:rPr>
              <w:t>环保工程</w:t>
            </w:r>
          </w:p>
        </w:tc>
        <w:tc>
          <w:tcPr>
            <w:tcW w:w="1276" w:type="dxa"/>
          </w:tcPr>
          <w:p>
            <w:pPr>
              <w:pStyle w:val="TableParagraph"/>
              <w:spacing w:line="257" w:lineRule="exact" w:before="8"/>
              <w:ind w:left="8"/>
              <w:rPr>
                <w:sz w:val="21"/>
              </w:rPr>
            </w:pPr>
            <w:r>
              <w:rPr>
                <w:sz w:val="21"/>
              </w:rPr>
              <w:t>废水预处理</w:t>
            </w:r>
          </w:p>
        </w:tc>
        <w:tc>
          <w:tcPr>
            <w:tcW w:w="7239" w:type="dxa"/>
            <w:tcBorders>
              <w:bottom w:val="single" w:sz="4" w:space="0" w:color="000000"/>
            </w:tcBorders>
          </w:tcPr>
          <w:p>
            <w:pPr>
              <w:pStyle w:val="TableParagraph"/>
              <w:spacing w:line="257" w:lineRule="exact" w:before="8"/>
              <w:ind w:left="3"/>
              <w:jc w:val="left"/>
              <w:rPr>
                <w:rFonts w:ascii="Times New Roman" w:eastAsia="Times New Roman"/>
                <w:sz w:val="21"/>
              </w:rPr>
            </w:pPr>
            <w:r>
              <w:rPr>
                <w:sz w:val="21"/>
              </w:rPr>
              <w:t>车间废水收集后采用铁碳</w:t>
            </w:r>
            <w:r>
              <w:rPr>
                <w:rFonts w:ascii="Times New Roman" w:eastAsia="Times New Roman"/>
                <w:sz w:val="21"/>
              </w:rPr>
              <w:t>+</w:t>
            </w:r>
            <w:r>
              <w:rPr>
                <w:sz w:val="21"/>
              </w:rPr>
              <w:t>芬顿氧化</w:t>
            </w:r>
            <w:r>
              <w:rPr>
                <w:rFonts w:ascii="Times New Roman" w:eastAsia="Times New Roman"/>
                <w:sz w:val="21"/>
              </w:rPr>
              <w:t>+</w:t>
            </w:r>
            <w:r>
              <w:rPr>
                <w:sz w:val="21"/>
              </w:rPr>
              <w:t>混凝沉淀预处理，设计处理量 </w:t>
            </w:r>
            <w:r>
              <w:rPr>
                <w:rFonts w:ascii="Times New Roman" w:eastAsia="Times New Roman"/>
                <w:sz w:val="21"/>
              </w:rPr>
              <w:t>30t/d</w:t>
            </w:r>
          </w:p>
        </w:tc>
      </w:tr>
      <w:tr>
        <w:trPr>
          <w:trHeight w:val="544" w:hRule="atLeast"/>
        </w:trPr>
        <w:tc>
          <w:tcPr>
            <w:tcW w:w="578" w:type="dxa"/>
            <w:vMerge/>
            <w:tcBorders>
              <w:top w:val="nil"/>
            </w:tcBorders>
          </w:tcPr>
          <w:p>
            <w:pPr>
              <w:rPr>
                <w:sz w:val="2"/>
                <w:szCs w:val="2"/>
              </w:rPr>
            </w:pPr>
          </w:p>
        </w:tc>
        <w:tc>
          <w:tcPr>
            <w:tcW w:w="1276" w:type="dxa"/>
          </w:tcPr>
          <w:p>
            <w:pPr>
              <w:pStyle w:val="TableParagraph"/>
              <w:spacing w:before="1"/>
              <w:ind w:left="6"/>
              <w:rPr>
                <w:sz w:val="21"/>
              </w:rPr>
            </w:pPr>
            <w:r>
              <w:rPr>
                <w:sz w:val="21"/>
              </w:rPr>
              <w:t>污水集中</w:t>
            </w:r>
          </w:p>
          <w:p>
            <w:pPr>
              <w:pStyle w:val="TableParagraph"/>
              <w:spacing w:line="252" w:lineRule="exact" w:before="2"/>
              <w:ind w:left="6"/>
              <w:rPr>
                <w:sz w:val="21"/>
              </w:rPr>
            </w:pPr>
            <w:r>
              <w:rPr>
                <w:sz w:val="21"/>
              </w:rPr>
              <w:t>处理</w:t>
            </w:r>
          </w:p>
        </w:tc>
        <w:tc>
          <w:tcPr>
            <w:tcW w:w="7239" w:type="dxa"/>
            <w:tcBorders>
              <w:top w:val="single" w:sz="4" w:space="0" w:color="000000"/>
              <w:bottom w:val="single" w:sz="4" w:space="0" w:color="000000"/>
            </w:tcBorders>
          </w:tcPr>
          <w:p>
            <w:pPr>
              <w:pStyle w:val="TableParagraph"/>
              <w:spacing w:before="137"/>
              <w:ind w:left="3"/>
              <w:jc w:val="left"/>
              <w:rPr>
                <w:sz w:val="21"/>
              </w:rPr>
            </w:pPr>
            <w:r>
              <w:rPr>
                <w:sz w:val="21"/>
              </w:rPr>
              <w:t>污水集中处理工艺为生化处理，设计处理量 </w:t>
            </w:r>
            <w:r>
              <w:rPr>
                <w:rFonts w:ascii="Times New Roman" w:eastAsia="Times New Roman"/>
                <w:sz w:val="21"/>
              </w:rPr>
              <w:t>110t/d </w:t>
            </w:r>
            <w:r>
              <w:rPr>
                <w:sz w:val="21"/>
              </w:rPr>
              <w:t>以上</w:t>
            </w:r>
          </w:p>
        </w:tc>
      </w:tr>
      <w:tr>
        <w:trPr>
          <w:trHeight w:val="285" w:hRule="atLeast"/>
        </w:trPr>
        <w:tc>
          <w:tcPr>
            <w:tcW w:w="578" w:type="dxa"/>
            <w:vMerge/>
            <w:tcBorders>
              <w:top w:val="nil"/>
            </w:tcBorders>
          </w:tcPr>
          <w:p>
            <w:pPr>
              <w:rPr>
                <w:sz w:val="2"/>
                <w:szCs w:val="2"/>
              </w:rPr>
            </w:pPr>
          </w:p>
        </w:tc>
        <w:tc>
          <w:tcPr>
            <w:tcW w:w="1276" w:type="dxa"/>
          </w:tcPr>
          <w:p>
            <w:pPr>
              <w:pStyle w:val="TableParagraph"/>
              <w:spacing w:line="257" w:lineRule="exact" w:before="8"/>
              <w:ind w:left="8"/>
              <w:rPr>
                <w:sz w:val="21"/>
              </w:rPr>
            </w:pPr>
            <w:r>
              <w:rPr>
                <w:sz w:val="21"/>
              </w:rPr>
              <w:t>废气预处理</w:t>
            </w:r>
          </w:p>
        </w:tc>
        <w:tc>
          <w:tcPr>
            <w:tcW w:w="7239" w:type="dxa"/>
            <w:tcBorders>
              <w:top w:val="single" w:sz="4" w:space="0" w:color="000000"/>
              <w:bottom w:val="single" w:sz="4" w:space="0" w:color="000000"/>
            </w:tcBorders>
          </w:tcPr>
          <w:p>
            <w:pPr>
              <w:pStyle w:val="TableParagraph"/>
              <w:spacing w:line="257" w:lineRule="exact" w:before="8"/>
              <w:ind w:left="3"/>
              <w:jc w:val="left"/>
              <w:rPr>
                <w:sz w:val="21"/>
              </w:rPr>
            </w:pPr>
            <w:r>
              <w:rPr>
                <w:sz w:val="21"/>
              </w:rPr>
              <w:t>甲酸设置若干冷凝器；粉尘设置覆膜式布袋除尘器</w:t>
            </w:r>
          </w:p>
        </w:tc>
      </w:tr>
    </w:tbl>
    <w:p>
      <w:pPr>
        <w:spacing w:after="0" w:line="257" w:lineRule="exact"/>
        <w:jc w:val="left"/>
        <w:rPr>
          <w:sz w:val="21"/>
        </w:rPr>
        <w:sectPr>
          <w:pgSz w:w="11910" w:h="16840"/>
          <w:pgMar w:header="872" w:footer="803" w:top="1340" w:bottom="1000" w:left="1200" w:right="1080"/>
        </w:sectPr>
      </w:pPr>
    </w:p>
    <w:p>
      <w:pPr>
        <w:pStyle w:val="BodyText"/>
        <w:spacing w:before="12"/>
        <w:rPr>
          <w:b/>
          <w:sz w:val="4"/>
        </w:rPr>
      </w:pPr>
    </w:p>
    <w:tbl>
      <w:tblPr>
        <w:tblW w:w="0" w:type="auto"/>
        <w:jc w:val="left"/>
        <w:tblInd w:w="2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78"/>
        <w:gridCol w:w="1276"/>
        <w:gridCol w:w="7239"/>
      </w:tblGrid>
      <w:tr>
        <w:trPr>
          <w:trHeight w:val="282" w:hRule="atLeast"/>
        </w:trPr>
        <w:tc>
          <w:tcPr>
            <w:tcW w:w="578" w:type="dxa"/>
            <w:tcBorders>
              <w:bottom w:val="single" w:sz="4" w:space="0" w:color="000000"/>
            </w:tcBorders>
          </w:tcPr>
          <w:p>
            <w:pPr>
              <w:pStyle w:val="TableParagraph"/>
              <w:spacing w:line="257" w:lineRule="exact" w:before="6"/>
              <w:ind w:left="76"/>
              <w:jc w:val="left"/>
              <w:rPr>
                <w:b/>
                <w:sz w:val="21"/>
              </w:rPr>
            </w:pPr>
            <w:r>
              <w:rPr>
                <w:b/>
                <w:sz w:val="21"/>
              </w:rPr>
              <w:t>名称</w:t>
            </w:r>
          </w:p>
        </w:tc>
        <w:tc>
          <w:tcPr>
            <w:tcW w:w="8515" w:type="dxa"/>
            <w:gridSpan w:val="2"/>
            <w:tcBorders>
              <w:bottom w:val="single" w:sz="4" w:space="0" w:color="000000"/>
            </w:tcBorders>
          </w:tcPr>
          <w:p>
            <w:pPr>
              <w:pStyle w:val="TableParagraph"/>
              <w:spacing w:line="257" w:lineRule="exact" w:before="6"/>
              <w:ind w:left="3500" w:right="3494"/>
              <w:rPr>
                <w:b/>
                <w:sz w:val="21"/>
              </w:rPr>
            </w:pPr>
            <w:r>
              <w:rPr>
                <w:b/>
                <w:sz w:val="21"/>
              </w:rPr>
              <w:t>建设内容及规模</w:t>
            </w:r>
          </w:p>
        </w:tc>
      </w:tr>
      <w:tr>
        <w:trPr>
          <w:trHeight w:val="1089" w:hRule="atLeast"/>
        </w:trPr>
        <w:tc>
          <w:tcPr>
            <w:tcW w:w="578" w:type="dxa"/>
            <w:vMerge w:val="restart"/>
            <w:tcBorders>
              <w:top w:val="single" w:sz="4" w:space="0" w:color="000000"/>
            </w:tcBorders>
          </w:tcPr>
          <w:p>
            <w:pPr>
              <w:pStyle w:val="TableParagraph"/>
              <w:jc w:val="left"/>
              <w:rPr>
                <w:rFonts w:ascii="Times New Roman"/>
                <w:sz w:val="22"/>
              </w:rPr>
            </w:pPr>
          </w:p>
        </w:tc>
        <w:tc>
          <w:tcPr>
            <w:tcW w:w="1276" w:type="dxa"/>
            <w:tcBorders>
              <w:top w:val="single" w:sz="4" w:space="0" w:color="000000"/>
            </w:tcBorders>
          </w:tcPr>
          <w:p>
            <w:pPr>
              <w:pStyle w:val="TableParagraph"/>
              <w:jc w:val="left"/>
              <w:rPr>
                <w:b/>
                <w:sz w:val="20"/>
              </w:rPr>
            </w:pPr>
          </w:p>
          <w:p>
            <w:pPr>
              <w:pStyle w:val="TableParagraph"/>
              <w:spacing w:before="155"/>
              <w:ind w:left="6"/>
              <w:rPr>
                <w:sz w:val="21"/>
              </w:rPr>
            </w:pPr>
            <w:r>
              <w:rPr>
                <w:sz w:val="21"/>
              </w:rPr>
              <w:t>废气集中系统</w:t>
            </w:r>
          </w:p>
        </w:tc>
        <w:tc>
          <w:tcPr>
            <w:tcW w:w="7239" w:type="dxa"/>
            <w:tcBorders>
              <w:top w:val="single" w:sz="4" w:space="0" w:color="000000"/>
              <w:bottom w:val="single" w:sz="4" w:space="0" w:color="000000"/>
            </w:tcBorders>
          </w:tcPr>
          <w:p>
            <w:pPr>
              <w:pStyle w:val="TableParagraph"/>
              <w:spacing w:line="244" w:lineRule="auto" w:before="1"/>
              <w:ind w:left="3" w:right="20"/>
              <w:jc w:val="left"/>
              <w:rPr>
                <w:sz w:val="21"/>
              </w:rPr>
            </w:pPr>
            <w:r>
              <w:rPr>
                <w:sz w:val="21"/>
              </w:rPr>
              <w:t>①设置 </w:t>
            </w:r>
            <w:r>
              <w:rPr>
                <w:rFonts w:ascii="Times New Roman" w:hAnsi="Times New Roman" w:eastAsia="Times New Roman"/>
                <w:sz w:val="21"/>
              </w:rPr>
              <w:t>1 </w:t>
            </w:r>
            <w:r>
              <w:rPr>
                <w:sz w:val="21"/>
              </w:rPr>
              <w:t>套废气集中处理装置，处理工艺为二级碱喷淋，主要集中处理甲酸和粉尘废气；</w:t>
            </w:r>
          </w:p>
          <w:p>
            <w:pPr>
              <w:pStyle w:val="TableParagraph"/>
              <w:spacing w:line="265" w:lineRule="exact"/>
              <w:ind w:left="3" w:right="-15"/>
              <w:jc w:val="left"/>
              <w:rPr>
                <w:sz w:val="21"/>
              </w:rPr>
            </w:pPr>
            <w:r>
              <w:rPr>
                <w:spacing w:val="-11"/>
                <w:sz w:val="21"/>
              </w:rPr>
              <w:t>②设置 </w:t>
            </w:r>
            <w:r>
              <w:rPr>
                <w:rFonts w:ascii="Times New Roman" w:hAnsi="Times New Roman" w:eastAsia="Times New Roman"/>
                <w:sz w:val="21"/>
              </w:rPr>
              <w:t>1</w:t>
            </w:r>
            <w:r>
              <w:rPr>
                <w:rFonts w:ascii="Times New Roman" w:hAnsi="Times New Roman" w:eastAsia="Times New Roman"/>
                <w:spacing w:val="16"/>
                <w:sz w:val="21"/>
              </w:rPr>
              <w:t> </w:t>
            </w:r>
            <w:r>
              <w:rPr>
                <w:spacing w:val="-3"/>
                <w:sz w:val="21"/>
              </w:rPr>
              <w:t>套一级次钠氧化</w:t>
            </w:r>
            <w:r>
              <w:rPr>
                <w:rFonts w:ascii="Times New Roman" w:hAnsi="Times New Roman" w:eastAsia="Times New Roman"/>
                <w:sz w:val="21"/>
              </w:rPr>
              <w:t>+</w:t>
            </w:r>
            <w:r>
              <w:rPr>
                <w:spacing w:val="-6"/>
                <w:sz w:val="21"/>
              </w:rPr>
              <w:t>一级碱喷淋装置，主要处理污水站、储罐区、危废暂</w:t>
            </w:r>
          </w:p>
          <w:p>
            <w:pPr>
              <w:pStyle w:val="TableParagraph"/>
              <w:spacing w:line="250" w:lineRule="exact" w:before="5"/>
              <w:ind w:left="3"/>
              <w:jc w:val="left"/>
              <w:rPr>
                <w:sz w:val="21"/>
              </w:rPr>
            </w:pPr>
            <w:r>
              <w:rPr>
                <w:sz w:val="21"/>
              </w:rPr>
              <w:t>存场所废气</w:t>
            </w:r>
          </w:p>
        </w:tc>
      </w:tr>
      <w:tr>
        <w:trPr>
          <w:trHeight w:val="544" w:hRule="atLeast"/>
        </w:trPr>
        <w:tc>
          <w:tcPr>
            <w:tcW w:w="578" w:type="dxa"/>
            <w:vMerge/>
            <w:tcBorders>
              <w:top w:val="nil"/>
            </w:tcBorders>
          </w:tcPr>
          <w:p>
            <w:pPr>
              <w:rPr>
                <w:sz w:val="2"/>
                <w:szCs w:val="2"/>
              </w:rPr>
            </w:pPr>
          </w:p>
        </w:tc>
        <w:tc>
          <w:tcPr>
            <w:tcW w:w="1276" w:type="dxa"/>
          </w:tcPr>
          <w:p>
            <w:pPr>
              <w:pStyle w:val="TableParagraph"/>
              <w:spacing w:before="138"/>
              <w:ind w:left="3"/>
              <w:rPr>
                <w:sz w:val="21"/>
              </w:rPr>
            </w:pPr>
            <w:r>
              <w:rPr>
                <w:sz w:val="21"/>
              </w:rPr>
              <w:t>固废暂存场所</w:t>
            </w:r>
          </w:p>
        </w:tc>
        <w:tc>
          <w:tcPr>
            <w:tcW w:w="7239" w:type="dxa"/>
            <w:tcBorders>
              <w:top w:val="single" w:sz="4" w:space="0" w:color="000000"/>
              <w:bottom w:val="single" w:sz="4" w:space="0" w:color="000000"/>
            </w:tcBorders>
          </w:tcPr>
          <w:p>
            <w:pPr>
              <w:pStyle w:val="TableParagraph"/>
              <w:spacing w:before="1"/>
              <w:ind w:left="3" w:right="-15"/>
              <w:jc w:val="left"/>
              <w:rPr>
                <w:sz w:val="21"/>
              </w:rPr>
            </w:pPr>
            <w:r>
              <w:rPr>
                <w:spacing w:val="-8"/>
                <w:sz w:val="21"/>
              </w:rPr>
              <w:t>新建危废暂存场所 </w:t>
            </w:r>
            <w:r>
              <w:rPr>
                <w:rFonts w:ascii="Times New Roman" w:eastAsia="Times New Roman"/>
                <w:sz w:val="21"/>
              </w:rPr>
              <w:t>1</w:t>
            </w:r>
            <w:r>
              <w:rPr>
                <w:rFonts w:ascii="Times New Roman" w:eastAsia="Times New Roman"/>
                <w:spacing w:val="9"/>
                <w:sz w:val="21"/>
              </w:rPr>
              <w:t> </w:t>
            </w:r>
            <w:r>
              <w:rPr>
                <w:spacing w:val="-12"/>
                <w:sz w:val="21"/>
              </w:rPr>
              <w:t>处，位于厂区西南侧，占地面积 </w:t>
            </w:r>
            <w:r>
              <w:rPr>
                <w:rFonts w:ascii="Times New Roman" w:eastAsia="Times New Roman"/>
                <w:spacing w:val="-6"/>
                <w:sz w:val="21"/>
              </w:rPr>
              <w:t>648m</w:t>
            </w:r>
            <w:r>
              <w:rPr>
                <w:rFonts w:ascii="Times New Roman" w:eastAsia="Times New Roman"/>
                <w:spacing w:val="-6"/>
                <w:position w:val="7"/>
                <w:sz w:val="14"/>
              </w:rPr>
              <w:t>2</w:t>
            </w:r>
            <w:r>
              <w:rPr>
                <w:spacing w:val="-4"/>
                <w:sz w:val="21"/>
              </w:rPr>
              <w:t>，用于本项目及今后</w:t>
            </w:r>
          </w:p>
          <w:p>
            <w:pPr>
              <w:pStyle w:val="TableParagraph"/>
              <w:spacing w:line="250" w:lineRule="exact" w:before="4"/>
              <w:ind w:left="3"/>
              <w:jc w:val="left"/>
              <w:rPr>
                <w:rFonts w:ascii="Times New Roman" w:eastAsia="Times New Roman"/>
                <w:sz w:val="14"/>
              </w:rPr>
            </w:pPr>
            <w:r>
              <w:rPr>
                <w:sz w:val="21"/>
              </w:rPr>
              <w:t>规划项目，本项目在危废仓库内设置隔间，隔间占地面积 </w:t>
            </w:r>
            <w:r>
              <w:rPr>
                <w:rFonts w:ascii="Times New Roman" w:eastAsia="Times New Roman"/>
                <w:sz w:val="21"/>
              </w:rPr>
              <w:t>90m</w:t>
            </w:r>
            <w:r>
              <w:rPr>
                <w:rFonts w:ascii="Times New Roman" w:eastAsia="Times New Roman"/>
                <w:position w:val="7"/>
                <w:sz w:val="14"/>
              </w:rPr>
              <w:t>2</w:t>
            </w:r>
          </w:p>
        </w:tc>
      </w:tr>
      <w:tr>
        <w:trPr>
          <w:trHeight w:val="285" w:hRule="atLeast"/>
        </w:trPr>
        <w:tc>
          <w:tcPr>
            <w:tcW w:w="578" w:type="dxa"/>
            <w:vMerge/>
            <w:tcBorders>
              <w:top w:val="nil"/>
            </w:tcBorders>
          </w:tcPr>
          <w:p>
            <w:pPr>
              <w:rPr>
                <w:sz w:val="2"/>
                <w:szCs w:val="2"/>
              </w:rPr>
            </w:pPr>
          </w:p>
        </w:tc>
        <w:tc>
          <w:tcPr>
            <w:tcW w:w="1276" w:type="dxa"/>
          </w:tcPr>
          <w:p>
            <w:pPr>
              <w:pStyle w:val="TableParagraph"/>
              <w:spacing w:line="257" w:lineRule="exact" w:before="8"/>
              <w:ind w:left="8"/>
              <w:rPr>
                <w:sz w:val="21"/>
              </w:rPr>
            </w:pPr>
            <w:r>
              <w:rPr>
                <w:sz w:val="21"/>
              </w:rPr>
              <w:t>事故应急池</w:t>
            </w:r>
          </w:p>
        </w:tc>
        <w:tc>
          <w:tcPr>
            <w:tcW w:w="7239" w:type="dxa"/>
            <w:tcBorders>
              <w:top w:val="single" w:sz="4" w:space="0" w:color="000000"/>
              <w:bottom w:val="single" w:sz="4" w:space="0" w:color="000000"/>
            </w:tcBorders>
          </w:tcPr>
          <w:p>
            <w:pPr>
              <w:pStyle w:val="TableParagraph"/>
              <w:spacing w:line="257" w:lineRule="exact" w:before="8"/>
              <w:ind w:left="3"/>
              <w:jc w:val="left"/>
              <w:rPr>
                <w:rFonts w:ascii="Times New Roman" w:eastAsia="Times New Roman"/>
                <w:sz w:val="14"/>
              </w:rPr>
            </w:pPr>
            <w:r>
              <w:rPr>
                <w:sz w:val="21"/>
              </w:rPr>
              <w:t>新建地下事故应急池，位于厂区西南侧，占地面积 </w:t>
            </w:r>
            <w:r>
              <w:rPr>
                <w:rFonts w:ascii="Times New Roman" w:eastAsia="Times New Roman"/>
                <w:sz w:val="21"/>
              </w:rPr>
              <w:t>720 m</w:t>
            </w:r>
            <w:r>
              <w:rPr>
                <w:rFonts w:ascii="Times New Roman" w:eastAsia="Times New Roman"/>
                <w:position w:val="7"/>
                <w:sz w:val="14"/>
              </w:rPr>
              <w:t>2</w:t>
            </w:r>
            <w:r>
              <w:rPr>
                <w:sz w:val="21"/>
              </w:rPr>
              <w:t>，有效容积 </w:t>
            </w:r>
            <w:r>
              <w:rPr>
                <w:rFonts w:ascii="Times New Roman" w:eastAsia="Times New Roman"/>
                <w:sz w:val="21"/>
              </w:rPr>
              <w:t>2600m</w:t>
            </w:r>
            <w:r>
              <w:rPr>
                <w:rFonts w:ascii="Times New Roman" w:eastAsia="Times New Roman"/>
                <w:position w:val="7"/>
                <w:sz w:val="14"/>
              </w:rPr>
              <w:t>3</w:t>
            </w:r>
          </w:p>
        </w:tc>
      </w:tr>
      <w:tr>
        <w:trPr>
          <w:trHeight w:val="544" w:hRule="atLeast"/>
        </w:trPr>
        <w:tc>
          <w:tcPr>
            <w:tcW w:w="578" w:type="dxa"/>
          </w:tcPr>
          <w:p>
            <w:pPr>
              <w:pStyle w:val="TableParagraph"/>
              <w:spacing w:before="1"/>
              <w:ind w:left="79"/>
              <w:jc w:val="left"/>
              <w:rPr>
                <w:sz w:val="21"/>
              </w:rPr>
            </w:pPr>
            <w:r>
              <w:rPr>
                <w:sz w:val="21"/>
              </w:rPr>
              <w:t>办公</w:t>
            </w:r>
          </w:p>
          <w:p>
            <w:pPr>
              <w:pStyle w:val="TableParagraph"/>
              <w:spacing w:line="250" w:lineRule="exact" w:before="4"/>
              <w:ind w:left="79"/>
              <w:jc w:val="left"/>
              <w:rPr>
                <w:sz w:val="21"/>
              </w:rPr>
            </w:pPr>
            <w:r>
              <w:rPr>
                <w:sz w:val="21"/>
              </w:rPr>
              <w:t>生活</w:t>
            </w:r>
          </w:p>
        </w:tc>
        <w:tc>
          <w:tcPr>
            <w:tcW w:w="8515" w:type="dxa"/>
            <w:gridSpan w:val="2"/>
            <w:tcBorders>
              <w:top w:val="single" w:sz="4" w:space="0" w:color="000000"/>
            </w:tcBorders>
          </w:tcPr>
          <w:p>
            <w:pPr>
              <w:pStyle w:val="TableParagraph"/>
              <w:spacing w:before="137"/>
              <w:ind w:left="2"/>
              <w:jc w:val="left"/>
              <w:rPr>
                <w:sz w:val="21"/>
              </w:rPr>
            </w:pPr>
            <w:r>
              <w:rPr>
                <w:sz w:val="21"/>
              </w:rPr>
              <w:t>新建综合楼，用于日常办公</w:t>
            </w:r>
          </w:p>
        </w:tc>
      </w:tr>
    </w:tbl>
    <w:p>
      <w:pPr>
        <w:pStyle w:val="ListParagraph"/>
        <w:numPr>
          <w:ilvl w:val="2"/>
          <w:numId w:val="13"/>
        </w:numPr>
        <w:tabs>
          <w:tab w:pos="999" w:val="left" w:leader="none"/>
        </w:tabs>
        <w:spacing w:line="240" w:lineRule="auto" w:before="3" w:after="0"/>
        <w:ind w:left="998" w:right="0" w:hanging="541"/>
        <w:jc w:val="left"/>
        <w:rPr>
          <w:b/>
          <w:sz w:val="24"/>
        </w:rPr>
      </w:pPr>
      <w:r>
        <w:rPr>
          <w:b/>
          <w:sz w:val="24"/>
        </w:rPr>
        <w:t>项目主要经济指标</w:t>
      </w:r>
    </w:p>
    <w:p>
      <w:pPr>
        <w:pStyle w:val="BodyText"/>
        <w:spacing w:before="160"/>
        <w:ind w:left="698"/>
      </w:pPr>
      <w:r>
        <w:rPr/>
        <w:t>项目总投资 </w:t>
      </w:r>
      <w:r>
        <w:rPr>
          <w:rFonts w:ascii="Times New Roman" w:eastAsia="Times New Roman"/>
        </w:rPr>
        <w:t>8100 </w:t>
      </w:r>
      <w:r>
        <w:rPr/>
        <w:t>万元，固定资产投资：</w:t>
      </w:r>
      <w:r>
        <w:rPr>
          <w:rFonts w:ascii="Times New Roman" w:eastAsia="Times New Roman"/>
        </w:rPr>
        <w:t>7000 </w:t>
      </w:r>
      <w:r>
        <w:rPr/>
        <w:t>万元，辅底流动资金 </w:t>
      </w:r>
      <w:r>
        <w:rPr>
          <w:rFonts w:ascii="Times New Roman" w:eastAsia="Times New Roman"/>
        </w:rPr>
        <w:t>1000 </w:t>
      </w:r>
      <w:r>
        <w:rPr/>
        <w:t>万元，建设</w:t>
      </w:r>
    </w:p>
    <w:p>
      <w:pPr>
        <w:pStyle w:val="BodyText"/>
        <w:spacing w:line="364" w:lineRule="auto" w:before="158"/>
        <w:ind w:left="218" w:right="332"/>
      </w:pPr>
      <w:r>
        <w:rPr>
          <w:spacing w:val="-16"/>
        </w:rPr>
        <w:t>期利息 </w:t>
      </w:r>
      <w:r>
        <w:rPr>
          <w:rFonts w:ascii="Times New Roman" w:eastAsia="Times New Roman"/>
        </w:rPr>
        <w:t>100 </w:t>
      </w:r>
      <w:r>
        <w:rPr>
          <w:spacing w:val="-8"/>
        </w:rPr>
        <w:t>万元。年均实现销售收入 </w:t>
      </w:r>
      <w:r>
        <w:rPr>
          <w:rFonts w:ascii="Times New Roman" w:eastAsia="Times New Roman"/>
        </w:rPr>
        <w:t>8000 </w:t>
      </w:r>
      <w:r>
        <w:rPr>
          <w:spacing w:val="-13"/>
        </w:rPr>
        <w:t>万元，利润 </w:t>
      </w:r>
      <w:r>
        <w:rPr>
          <w:rFonts w:ascii="Times New Roman" w:eastAsia="Times New Roman"/>
        </w:rPr>
        <w:t>1200 </w:t>
      </w:r>
      <w:r>
        <w:rPr>
          <w:spacing w:val="-13"/>
        </w:rPr>
        <w:t>万元，税收 </w:t>
      </w:r>
      <w:r>
        <w:rPr>
          <w:rFonts w:ascii="Times New Roman" w:eastAsia="Times New Roman"/>
        </w:rPr>
        <w:t>600 </w:t>
      </w:r>
      <w:r>
        <w:rPr>
          <w:spacing w:val="-6"/>
        </w:rPr>
        <w:t>万元；具有</w:t>
      </w:r>
      <w:r>
        <w:rPr/>
        <w:t>较好的经济效益和社会效益。</w:t>
      </w:r>
    </w:p>
    <w:p>
      <w:pPr>
        <w:pStyle w:val="Heading4"/>
        <w:numPr>
          <w:ilvl w:val="2"/>
          <w:numId w:val="13"/>
        </w:numPr>
        <w:tabs>
          <w:tab w:pos="999" w:val="left" w:leader="none"/>
        </w:tabs>
        <w:spacing w:line="307" w:lineRule="exact" w:before="0" w:after="0"/>
        <w:ind w:left="998" w:right="0" w:hanging="541"/>
        <w:jc w:val="left"/>
      </w:pPr>
      <w:r>
        <w:rPr/>
        <w:t>项目生产制度及劳动定员</w:t>
      </w:r>
    </w:p>
    <w:p>
      <w:pPr>
        <w:pStyle w:val="BodyText"/>
        <w:spacing w:before="161"/>
        <w:ind w:left="698"/>
      </w:pPr>
      <w:r>
        <w:rPr/>
        <w:t>项目年工作日 </w:t>
      </w:r>
      <w:r>
        <w:rPr>
          <w:rFonts w:ascii="Times New Roman" w:eastAsia="Times New Roman"/>
        </w:rPr>
        <w:t>300 </w:t>
      </w:r>
      <w:r>
        <w:rPr/>
        <w:t>天，每天生产 </w:t>
      </w:r>
      <w:r>
        <w:rPr>
          <w:rFonts w:ascii="Times New Roman" w:eastAsia="Times New Roman"/>
        </w:rPr>
        <w:t>24 </w:t>
      </w:r>
      <w:r>
        <w:rPr/>
        <w:t>小时，车间职工实行四班三运转制，辅助生产</w:t>
      </w:r>
    </w:p>
    <w:p>
      <w:pPr>
        <w:pStyle w:val="BodyText"/>
        <w:spacing w:before="158"/>
        <w:ind w:left="218"/>
      </w:pPr>
      <w:r>
        <w:rPr/>
        <w:t>和管理部门按常日班考虑。项目新增定员 </w:t>
      </w:r>
      <w:r>
        <w:rPr>
          <w:rFonts w:ascii="Times New Roman" w:eastAsia="Times New Roman"/>
        </w:rPr>
        <w:t>50 </w:t>
      </w:r>
      <w:r>
        <w:rPr/>
        <w:t>人。</w:t>
      </w:r>
    </w:p>
    <w:p>
      <w:pPr>
        <w:pStyle w:val="Heading4"/>
        <w:numPr>
          <w:ilvl w:val="2"/>
          <w:numId w:val="13"/>
        </w:numPr>
        <w:tabs>
          <w:tab w:pos="999" w:val="left" w:leader="none"/>
        </w:tabs>
        <w:spacing w:line="240" w:lineRule="auto" w:before="160" w:after="0"/>
        <w:ind w:left="998" w:right="0" w:hanging="541"/>
        <w:jc w:val="left"/>
      </w:pPr>
      <w:r>
        <w:rPr/>
        <w:t>贮运</w:t>
      </w:r>
    </w:p>
    <w:p>
      <w:pPr>
        <w:pStyle w:val="BodyText"/>
        <w:spacing w:before="159"/>
        <w:ind w:left="698"/>
      </w:pPr>
      <w:r>
        <w:rPr/>
        <w:t>本项目甲酸物料采用储罐储存，其余原料采用仓库进行储存。</w:t>
      </w:r>
    </w:p>
    <w:p>
      <w:pPr>
        <w:pStyle w:val="BodyText"/>
        <w:spacing w:before="7"/>
        <w:rPr>
          <w:sz w:val="23"/>
        </w:rPr>
      </w:pPr>
    </w:p>
    <w:p>
      <w:pPr>
        <w:pStyle w:val="Heading4"/>
        <w:spacing w:after="29"/>
        <w:ind w:left="0" w:right="116"/>
        <w:jc w:val="center"/>
      </w:pPr>
      <w:r>
        <w:rPr/>
        <w:t>表 </w:t>
      </w:r>
      <w:r>
        <w:rPr>
          <w:rFonts w:ascii="Times New Roman" w:eastAsia="Times New Roman"/>
        </w:rPr>
        <w:t>4.1.7-1  </w:t>
      </w:r>
      <w:r>
        <w:rPr/>
        <w:t>项目储罐设置情况表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
        <w:gridCol w:w="1200"/>
        <w:gridCol w:w="901"/>
        <w:gridCol w:w="1085"/>
        <w:gridCol w:w="1417"/>
        <w:gridCol w:w="1265"/>
        <w:gridCol w:w="2566"/>
      </w:tblGrid>
      <w:tr>
        <w:trPr>
          <w:trHeight w:val="282" w:hRule="atLeast"/>
        </w:trPr>
        <w:tc>
          <w:tcPr>
            <w:tcW w:w="648" w:type="dxa"/>
          </w:tcPr>
          <w:p>
            <w:pPr>
              <w:pStyle w:val="TableParagraph"/>
              <w:spacing w:line="255" w:lineRule="exact" w:before="8"/>
              <w:ind w:left="110"/>
              <w:jc w:val="left"/>
              <w:rPr>
                <w:b/>
                <w:sz w:val="21"/>
              </w:rPr>
            </w:pPr>
            <w:r>
              <w:rPr>
                <w:b/>
                <w:sz w:val="21"/>
              </w:rPr>
              <w:t>序号</w:t>
            </w:r>
          </w:p>
        </w:tc>
        <w:tc>
          <w:tcPr>
            <w:tcW w:w="1200" w:type="dxa"/>
          </w:tcPr>
          <w:p>
            <w:pPr>
              <w:pStyle w:val="TableParagraph"/>
              <w:spacing w:line="255" w:lineRule="exact" w:before="8"/>
              <w:ind w:left="152" w:right="148"/>
              <w:rPr>
                <w:b/>
                <w:sz w:val="21"/>
              </w:rPr>
            </w:pPr>
            <w:r>
              <w:rPr>
                <w:b/>
                <w:sz w:val="21"/>
              </w:rPr>
              <w:t>储罐名称</w:t>
            </w:r>
          </w:p>
        </w:tc>
        <w:tc>
          <w:tcPr>
            <w:tcW w:w="901" w:type="dxa"/>
          </w:tcPr>
          <w:p>
            <w:pPr>
              <w:pStyle w:val="TableParagraph"/>
              <w:spacing w:line="255" w:lineRule="exact" w:before="8"/>
              <w:ind w:left="234"/>
              <w:jc w:val="left"/>
              <w:rPr>
                <w:b/>
                <w:sz w:val="21"/>
              </w:rPr>
            </w:pPr>
            <w:r>
              <w:rPr>
                <w:b/>
                <w:sz w:val="21"/>
              </w:rPr>
              <w:t>容积</w:t>
            </w:r>
          </w:p>
        </w:tc>
        <w:tc>
          <w:tcPr>
            <w:tcW w:w="1085" w:type="dxa"/>
          </w:tcPr>
          <w:p>
            <w:pPr>
              <w:pStyle w:val="TableParagraph"/>
              <w:spacing w:line="255" w:lineRule="exact" w:before="8"/>
              <w:ind w:left="152"/>
              <w:jc w:val="left"/>
              <w:rPr>
                <w:rFonts w:ascii="Times New Roman" w:eastAsia="Times New Roman"/>
                <w:b/>
                <w:sz w:val="21"/>
              </w:rPr>
            </w:pPr>
            <w:r>
              <w:rPr>
                <w:b/>
                <w:sz w:val="21"/>
              </w:rPr>
              <w:t>数量</w:t>
            </w:r>
            <w:r>
              <w:rPr>
                <w:rFonts w:ascii="Times New Roman" w:eastAsia="Times New Roman"/>
                <w:b/>
                <w:sz w:val="21"/>
              </w:rPr>
              <w:t>(</w:t>
            </w:r>
            <w:r>
              <w:rPr>
                <w:b/>
                <w:sz w:val="21"/>
              </w:rPr>
              <w:t>台</w:t>
            </w:r>
            <w:r>
              <w:rPr>
                <w:rFonts w:ascii="Times New Roman" w:eastAsia="Times New Roman"/>
                <w:b/>
                <w:sz w:val="21"/>
              </w:rPr>
              <w:t>)</w:t>
            </w:r>
          </w:p>
        </w:tc>
        <w:tc>
          <w:tcPr>
            <w:tcW w:w="1417" w:type="dxa"/>
          </w:tcPr>
          <w:p>
            <w:pPr>
              <w:pStyle w:val="TableParagraph"/>
              <w:spacing w:line="255" w:lineRule="exact" w:before="8"/>
              <w:ind w:left="287"/>
              <w:jc w:val="left"/>
              <w:rPr>
                <w:b/>
                <w:sz w:val="21"/>
              </w:rPr>
            </w:pPr>
            <w:r>
              <w:rPr>
                <w:b/>
                <w:sz w:val="21"/>
              </w:rPr>
              <w:t>储罐类型</w:t>
            </w:r>
          </w:p>
        </w:tc>
        <w:tc>
          <w:tcPr>
            <w:tcW w:w="1265" w:type="dxa"/>
          </w:tcPr>
          <w:p>
            <w:pPr>
              <w:pStyle w:val="TableParagraph"/>
              <w:spacing w:line="255" w:lineRule="exact" w:before="8"/>
              <w:ind w:left="418"/>
              <w:jc w:val="left"/>
              <w:rPr>
                <w:b/>
                <w:sz w:val="21"/>
              </w:rPr>
            </w:pPr>
            <w:r>
              <w:rPr>
                <w:b/>
                <w:sz w:val="21"/>
              </w:rPr>
              <w:t>位置</w:t>
            </w:r>
          </w:p>
        </w:tc>
        <w:tc>
          <w:tcPr>
            <w:tcW w:w="2566" w:type="dxa"/>
          </w:tcPr>
          <w:p>
            <w:pPr>
              <w:pStyle w:val="TableParagraph"/>
              <w:spacing w:line="255" w:lineRule="exact" w:before="8"/>
              <w:ind w:left="648"/>
              <w:jc w:val="left"/>
              <w:rPr>
                <w:b/>
                <w:sz w:val="21"/>
              </w:rPr>
            </w:pPr>
            <w:r>
              <w:rPr>
                <w:b/>
                <w:sz w:val="21"/>
              </w:rPr>
              <w:t>废气处理措施</w:t>
            </w:r>
          </w:p>
        </w:tc>
      </w:tr>
      <w:tr>
        <w:trPr>
          <w:trHeight w:val="285" w:hRule="atLeast"/>
        </w:trPr>
        <w:tc>
          <w:tcPr>
            <w:tcW w:w="648" w:type="dxa"/>
          </w:tcPr>
          <w:p>
            <w:pPr>
              <w:pStyle w:val="TableParagraph"/>
              <w:jc w:val="left"/>
              <w:rPr>
                <w:rFonts w:ascii="Times New Roman"/>
                <w:sz w:val="20"/>
              </w:rPr>
            </w:pPr>
          </w:p>
        </w:tc>
        <w:tc>
          <w:tcPr>
            <w:tcW w:w="1200" w:type="dxa"/>
          </w:tcPr>
          <w:p>
            <w:pPr>
              <w:pStyle w:val="TableParagraph"/>
              <w:spacing w:line="257" w:lineRule="exact" w:before="8"/>
              <w:ind w:left="152" w:right="148"/>
              <w:rPr>
                <w:b/>
                <w:sz w:val="21"/>
              </w:rPr>
            </w:pPr>
            <w:r>
              <w:rPr>
                <w:b/>
                <w:color w:val="FF0000"/>
                <w:sz w:val="21"/>
              </w:rPr>
              <w:t>涉密删除</w:t>
            </w:r>
          </w:p>
        </w:tc>
        <w:tc>
          <w:tcPr>
            <w:tcW w:w="901" w:type="dxa"/>
          </w:tcPr>
          <w:p>
            <w:pPr>
              <w:pStyle w:val="TableParagraph"/>
              <w:jc w:val="left"/>
              <w:rPr>
                <w:rFonts w:ascii="Times New Roman"/>
                <w:sz w:val="20"/>
              </w:rPr>
            </w:pPr>
          </w:p>
        </w:tc>
        <w:tc>
          <w:tcPr>
            <w:tcW w:w="1085"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265" w:type="dxa"/>
          </w:tcPr>
          <w:p>
            <w:pPr>
              <w:pStyle w:val="TableParagraph"/>
              <w:jc w:val="left"/>
              <w:rPr>
                <w:rFonts w:ascii="Times New Roman"/>
                <w:sz w:val="20"/>
              </w:rPr>
            </w:pPr>
          </w:p>
        </w:tc>
        <w:tc>
          <w:tcPr>
            <w:tcW w:w="2566" w:type="dxa"/>
          </w:tcPr>
          <w:p>
            <w:pPr>
              <w:pStyle w:val="TableParagraph"/>
              <w:jc w:val="left"/>
              <w:rPr>
                <w:rFonts w:ascii="Times New Roman"/>
                <w:sz w:val="20"/>
              </w:rPr>
            </w:pPr>
          </w:p>
        </w:tc>
      </w:tr>
    </w:tbl>
    <w:p>
      <w:pPr>
        <w:pStyle w:val="ListParagraph"/>
        <w:numPr>
          <w:ilvl w:val="2"/>
          <w:numId w:val="13"/>
        </w:numPr>
        <w:tabs>
          <w:tab w:pos="999" w:val="left" w:leader="none"/>
        </w:tabs>
        <w:spacing w:line="240" w:lineRule="auto" w:before="2" w:after="0"/>
        <w:ind w:left="998" w:right="0" w:hanging="541"/>
        <w:jc w:val="left"/>
        <w:rPr>
          <w:b/>
          <w:sz w:val="24"/>
        </w:rPr>
      </w:pPr>
      <w:r>
        <w:rPr>
          <w:b/>
          <w:sz w:val="24"/>
        </w:rPr>
        <w:t>公用工程及动力消耗</w:t>
      </w:r>
    </w:p>
    <w:p>
      <w:pPr>
        <w:pStyle w:val="BodyText"/>
        <w:spacing w:before="161"/>
        <w:ind w:left="698"/>
      </w:pPr>
      <w:r>
        <w:rPr/>
        <w:t>本项目公用工程及动力消耗情况详见下表。</w:t>
      </w:r>
    </w:p>
    <w:p>
      <w:pPr>
        <w:pStyle w:val="BodyText"/>
        <w:spacing w:before="4"/>
        <w:rPr>
          <w:sz w:val="23"/>
        </w:rPr>
      </w:pPr>
    </w:p>
    <w:p>
      <w:pPr>
        <w:pStyle w:val="Heading4"/>
        <w:tabs>
          <w:tab w:pos="1221" w:val="left" w:leader="none"/>
        </w:tabs>
        <w:spacing w:before="1" w:after="28"/>
        <w:ind w:left="0" w:right="115"/>
        <w:jc w:val="center"/>
      </w:pPr>
      <w:r>
        <w:rPr/>
        <w:t>表</w:t>
      </w:r>
      <w:r>
        <w:rPr>
          <w:spacing w:val="-60"/>
        </w:rPr>
        <w:t> </w:t>
      </w:r>
      <w:r>
        <w:rPr>
          <w:rFonts w:ascii="Times New Roman" w:eastAsia="Times New Roman"/>
        </w:rPr>
        <w:t>4.1.8-1</w:t>
        <w:tab/>
      </w:r>
      <w:r>
        <w:rPr/>
        <w:t>项目公用工程及动力消耗</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0"/>
        <w:gridCol w:w="2410"/>
        <w:gridCol w:w="1843"/>
        <w:gridCol w:w="1988"/>
      </w:tblGrid>
      <w:tr>
        <w:trPr>
          <w:trHeight w:val="285" w:hRule="atLeast"/>
        </w:trPr>
        <w:tc>
          <w:tcPr>
            <w:tcW w:w="2840" w:type="dxa"/>
          </w:tcPr>
          <w:p>
            <w:pPr>
              <w:pStyle w:val="TableParagraph"/>
              <w:spacing w:line="257" w:lineRule="exact" w:before="8"/>
              <w:ind w:left="768" w:right="757"/>
              <w:rPr>
                <w:b/>
                <w:sz w:val="21"/>
              </w:rPr>
            </w:pPr>
            <w:r>
              <w:rPr>
                <w:b/>
                <w:sz w:val="21"/>
              </w:rPr>
              <w:t>原辅材料名称</w:t>
            </w:r>
          </w:p>
        </w:tc>
        <w:tc>
          <w:tcPr>
            <w:tcW w:w="2410" w:type="dxa"/>
          </w:tcPr>
          <w:p>
            <w:pPr>
              <w:pStyle w:val="TableParagraph"/>
              <w:spacing w:line="257" w:lineRule="exact" w:before="8"/>
              <w:ind w:left="445" w:right="437"/>
              <w:rPr>
                <w:b/>
                <w:sz w:val="21"/>
              </w:rPr>
            </w:pPr>
            <w:r>
              <w:rPr>
                <w:b/>
                <w:sz w:val="21"/>
              </w:rPr>
              <w:t>单位</w:t>
            </w:r>
          </w:p>
        </w:tc>
        <w:tc>
          <w:tcPr>
            <w:tcW w:w="1843" w:type="dxa"/>
          </w:tcPr>
          <w:p>
            <w:pPr>
              <w:pStyle w:val="TableParagraph"/>
              <w:spacing w:line="257" w:lineRule="exact" w:before="8"/>
              <w:ind w:left="414" w:right="405"/>
              <w:rPr>
                <w:b/>
                <w:sz w:val="21"/>
              </w:rPr>
            </w:pPr>
            <w:r>
              <w:rPr>
                <w:b/>
                <w:sz w:val="21"/>
              </w:rPr>
              <w:t>耗量</w:t>
            </w:r>
          </w:p>
        </w:tc>
        <w:tc>
          <w:tcPr>
            <w:tcW w:w="1988" w:type="dxa"/>
          </w:tcPr>
          <w:p>
            <w:pPr>
              <w:pStyle w:val="TableParagraph"/>
              <w:spacing w:line="257" w:lineRule="exact" w:before="8"/>
              <w:ind w:left="129" w:right="120"/>
              <w:rPr>
                <w:b/>
                <w:sz w:val="21"/>
              </w:rPr>
            </w:pPr>
            <w:r>
              <w:rPr>
                <w:b/>
                <w:sz w:val="21"/>
              </w:rPr>
              <w:t>备注</w:t>
            </w:r>
          </w:p>
        </w:tc>
      </w:tr>
      <w:tr>
        <w:trPr>
          <w:trHeight w:val="282" w:hRule="atLeast"/>
        </w:trPr>
        <w:tc>
          <w:tcPr>
            <w:tcW w:w="2840" w:type="dxa"/>
          </w:tcPr>
          <w:p>
            <w:pPr>
              <w:pStyle w:val="TableParagraph"/>
              <w:spacing w:line="257" w:lineRule="exact" w:before="5"/>
              <w:ind w:left="768" w:right="757"/>
              <w:rPr>
                <w:sz w:val="21"/>
              </w:rPr>
            </w:pPr>
            <w:r>
              <w:rPr>
                <w:sz w:val="21"/>
              </w:rPr>
              <w:t>新鲜水</w:t>
            </w:r>
          </w:p>
        </w:tc>
        <w:tc>
          <w:tcPr>
            <w:tcW w:w="2410" w:type="dxa"/>
          </w:tcPr>
          <w:p>
            <w:pPr>
              <w:pStyle w:val="TableParagraph"/>
              <w:spacing w:before="19"/>
              <w:ind w:left="442" w:right="437"/>
              <w:rPr>
                <w:rFonts w:ascii="Times New Roman"/>
                <w:sz w:val="21"/>
              </w:rPr>
            </w:pPr>
            <w:r>
              <w:rPr>
                <w:rFonts w:ascii="Times New Roman"/>
                <w:sz w:val="21"/>
              </w:rPr>
              <w:t>t/a</w:t>
            </w:r>
          </w:p>
        </w:tc>
        <w:tc>
          <w:tcPr>
            <w:tcW w:w="1843" w:type="dxa"/>
          </w:tcPr>
          <w:p>
            <w:pPr>
              <w:pStyle w:val="TableParagraph"/>
              <w:spacing w:before="19"/>
              <w:ind w:left="414" w:right="405"/>
              <w:rPr>
                <w:rFonts w:ascii="Times New Roman"/>
                <w:sz w:val="21"/>
              </w:rPr>
            </w:pPr>
            <w:r>
              <w:rPr>
                <w:rFonts w:ascii="Times New Roman"/>
                <w:sz w:val="21"/>
              </w:rPr>
              <w:t>16034</w:t>
            </w:r>
          </w:p>
        </w:tc>
        <w:tc>
          <w:tcPr>
            <w:tcW w:w="1988" w:type="dxa"/>
          </w:tcPr>
          <w:p>
            <w:pPr>
              <w:pStyle w:val="TableParagraph"/>
              <w:spacing w:line="257" w:lineRule="exact" w:before="5"/>
              <w:ind w:left="129" w:right="120"/>
              <w:rPr>
                <w:sz w:val="21"/>
              </w:rPr>
            </w:pPr>
            <w:r>
              <w:rPr>
                <w:sz w:val="21"/>
              </w:rPr>
              <w:t>外购</w:t>
            </w:r>
          </w:p>
        </w:tc>
      </w:tr>
      <w:tr>
        <w:trPr>
          <w:trHeight w:val="285" w:hRule="atLeast"/>
        </w:trPr>
        <w:tc>
          <w:tcPr>
            <w:tcW w:w="2840" w:type="dxa"/>
          </w:tcPr>
          <w:p>
            <w:pPr>
              <w:pStyle w:val="TableParagraph"/>
              <w:spacing w:line="257" w:lineRule="exact" w:before="8"/>
              <w:ind w:left="6"/>
              <w:rPr>
                <w:sz w:val="21"/>
              </w:rPr>
            </w:pPr>
            <w:r>
              <w:rPr>
                <w:w w:val="100"/>
                <w:sz w:val="21"/>
              </w:rPr>
              <w:t>电</w:t>
            </w:r>
          </w:p>
        </w:tc>
        <w:tc>
          <w:tcPr>
            <w:tcW w:w="2410" w:type="dxa"/>
          </w:tcPr>
          <w:p>
            <w:pPr>
              <w:pStyle w:val="TableParagraph"/>
              <w:spacing w:line="257" w:lineRule="exact" w:before="8"/>
              <w:ind w:left="446" w:right="435"/>
              <w:rPr>
                <w:rFonts w:ascii="Times New Roman" w:eastAsia="Times New Roman"/>
                <w:sz w:val="21"/>
              </w:rPr>
            </w:pPr>
            <w:r>
              <w:rPr>
                <w:sz w:val="21"/>
              </w:rPr>
              <w:t>万 </w:t>
            </w:r>
            <w:r>
              <w:rPr>
                <w:rFonts w:ascii="Times New Roman" w:eastAsia="Times New Roman"/>
                <w:sz w:val="21"/>
              </w:rPr>
              <w:t>KWh/a</w:t>
            </w:r>
          </w:p>
        </w:tc>
        <w:tc>
          <w:tcPr>
            <w:tcW w:w="1843" w:type="dxa"/>
          </w:tcPr>
          <w:p>
            <w:pPr>
              <w:pStyle w:val="TableParagraph"/>
              <w:spacing w:before="22"/>
              <w:ind w:left="414" w:right="405"/>
              <w:rPr>
                <w:rFonts w:ascii="Times New Roman"/>
                <w:sz w:val="21"/>
              </w:rPr>
            </w:pPr>
            <w:r>
              <w:rPr>
                <w:rFonts w:ascii="Times New Roman"/>
                <w:sz w:val="21"/>
              </w:rPr>
              <w:t>120.43</w:t>
            </w:r>
          </w:p>
        </w:tc>
        <w:tc>
          <w:tcPr>
            <w:tcW w:w="1988" w:type="dxa"/>
          </w:tcPr>
          <w:p>
            <w:pPr>
              <w:pStyle w:val="TableParagraph"/>
              <w:spacing w:line="257" w:lineRule="exact" w:before="8"/>
              <w:ind w:left="129" w:right="120"/>
              <w:rPr>
                <w:sz w:val="21"/>
              </w:rPr>
            </w:pPr>
            <w:r>
              <w:rPr>
                <w:sz w:val="21"/>
              </w:rPr>
              <w:t>外购</w:t>
            </w:r>
          </w:p>
        </w:tc>
      </w:tr>
      <w:tr>
        <w:trPr>
          <w:trHeight w:val="282" w:hRule="atLeast"/>
        </w:trPr>
        <w:tc>
          <w:tcPr>
            <w:tcW w:w="2840" w:type="dxa"/>
          </w:tcPr>
          <w:p>
            <w:pPr>
              <w:pStyle w:val="TableParagraph"/>
              <w:spacing w:line="257" w:lineRule="exact" w:before="5"/>
              <w:ind w:left="768" w:right="757"/>
              <w:rPr>
                <w:sz w:val="21"/>
              </w:rPr>
            </w:pPr>
            <w:r>
              <w:rPr>
                <w:sz w:val="21"/>
              </w:rPr>
              <w:t>蒸汽</w:t>
            </w:r>
          </w:p>
        </w:tc>
        <w:tc>
          <w:tcPr>
            <w:tcW w:w="2410" w:type="dxa"/>
          </w:tcPr>
          <w:p>
            <w:pPr>
              <w:pStyle w:val="TableParagraph"/>
              <w:spacing w:before="19"/>
              <w:ind w:left="442" w:right="437"/>
              <w:rPr>
                <w:rFonts w:ascii="Times New Roman"/>
                <w:sz w:val="21"/>
              </w:rPr>
            </w:pPr>
            <w:r>
              <w:rPr>
                <w:rFonts w:ascii="Times New Roman"/>
                <w:sz w:val="21"/>
              </w:rPr>
              <w:t>t/a</w:t>
            </w:r>
          </w:p>
        </w:tc>
        <w:tc>
          <w:tcPr>
            <w:tcW w:w="1843" w:type="dxa"/>
          </w:tcPr>
          <w:p>
            <w:pPr>
              <w:pStyle w:val="TableParagraph"/>
              <w:spacing w:before="19"/>
              <w:ind w:left="414" w:right="405"/>
              <w:rPr>
                <w:rFonts w:ascii="Times New Roman"/>
                <w:sz w:val="21"/>
              </w:rPr>
            </w:pPr>
            <w:r>
              <w:rPr>
                <w:rFonts w:ascii="Times New Roman"/>
                <w:sz w:val="21"/>
              </w:rPr>
              <w:t>5851</w:t>
            </w:r>
          </w:p>
        </w:tc>
        <w:tc>
          <w:tcPr>
            <w:tcW w:w="1988" w:type="dxa"/>
          </w:tcPr>
          <w:p>
            <w:pPr>
              <w:pStyle w:val="TableParagraph"/>
              <w:spacing w:line="257" w:lineRule="exact" w:before="5"/>
              <w:ind w:left="129" w:right="120"/>
              <w:rPr>
                <w:sz w:val="21"/>
              </w:rPr>
            </w:pPr>
            <w:r>
              <w:rPr>
                <w:sz w:val="21"/>
              </w:rPr>
              <w:t>外购</w:t>
            </w:r>
          </w:p>
        </w:tc>
      </w:tr>
    </w:tbl>
    <w:p>
      <w:pPr>
        <w:pStyle w:val="ListParagraph"/>
        <w:numPr>
          <w:ilvl w:val="2"/>
          <w:numId w:val="13"/>
        </w:numPr>
        <w:tabs>
          <w:tab w:pos="999" w:val="left" w:leader="none"/>
        </w:tabs>
        <w:spacing w:line="240" w:lineRule="auto" w:before="2" w:after="0"/>
        <w:ind w:left="998" w:right="0" w:hanging="541"/>
        <w:jc w:val="left"/>
        <w:rPr>
          <w:b/>
          <w:sz w:val="24"/>
        </w:rPr>
      </w:pPr>
      <w:r>
        <w:rPr>
          <w:b/>
          <w:sz w:val="24"/>
        </w:rPr>
        <w:t>厂区总平面布置</w:t>
      </w:r>
    </w:p>
    <w:p>
      <w:pPr>
        <w:pStyle w:val="BodyText"/>
        <w:spacing w:line="364" w:lineRule="auto" w:before="161"/>
        <w:ind w:left="218" w:right="212" w:firstLine="480"/>
      </w:pPr>
      <w:r>
        <w:rPr>
          <w:spacing w:val="-7"/>
        </w:rPr>
        <w:t>企业厂区占地面积 </w:t>
      </w:r>
      <w:r>
        <w:rPr>
          <w:rFonts w:ascii="Times New Roman" w:eastAsia="Times New Roman"/>
          <w:spacing w:val="-7"/>
        </w:rPr>
        <w:t>90569m</w:t>
      </w:r>
      <w:r>
        <w:rPr>
          <w:rFonts w:ascii="Times New Roman" w:eastAsia="Times New Roman"/>
          <w:spacing w:val="-7"/>
          <w:position w:val="9"/>
          <w:sz w:val="16"/>
        </w:rPr>
        <w:t>2</w:t>
      </w:r>
      <w:r>
        <w:rPr>
          <w:spacing w:val="-9"/>
        </w:rPr>
        <w:t>，本项目占地面积为 </w:t>
      </w:r>
      <w:r>
        <w:rPr>
          <w:rFonts w:ascii="Times New Roman" w:eastAsia="Times New Roman"/>
        </w:rPr>
        <w:t>13320m</w:t>
      </w:r>
      <w:r>
        <w:rPr>
          <w:rFonts w:ascii="Times New Roman" w:eastAsia="Times New Roman"/>
          <w:position w:val="9"/>
          <w:sz w:val="16"/>
        </w:rPr>
        <w:t>2</w:t>
      </w:r>
      <w:r>
        <w:rPr>
          <w:spacing w:val="-9"/>
        </w:rPr>
        <w:t>。企业厂区主要分为北侧、</w:t>
      </w:r>
      <w:r>
        <w:rPr/>
        <w:t>中部及南侧三个区块。厂区北面设一主要出入口，东面设一物流出入口和危废出入口。</w:t>
      </w:r>
    </w:p>
    <w:p>
      <w:pPr>
        <w:pStyle w:val="BodyText"/>
        <w:spacing w:line="307" w:lineRule="exact"/>
        <w:ind w:left="698"/>
      </w:pPr>
      <w:r>
        <w:rPr/>
        <w:t>北侧区块自北向南为综合楼、地下消防水池及中央控制室、公用工程楼等；</w:t>
      </w:r>
    </w:p>
    <w:p>
      <w:pPr>
        <w:pStyle w:val="BodyText"/>
        <w:spacing w:line="364" w:lineRule="auto" w:before="158"/>
        <w:ind w:left="218" w:right="214" w:firstLine="480"/>
      </w:pPr>
      <w:r>
        <w:rPr>
          <w:spacing w:val="-4"/>
        </w:rPr>
        <w:t>中部区块西面自北向南依此为仓库一、车间六</w:t>
      </w:r>
      <w:r>
        <w:rPr>
          <w:rFonts w:ascii="Times New Roman" w:eastAsia="Times New Roman"/>
        </w:rPr>
        <w:t>(</w:t>
      </w:r>
      <w:r>
        <w:rPr/>
        <w:t>预留</w:t>
      </w:r>
      <w:r>
        <w:rPr>
          <w:rFonts w:ascii="Times New Roman" w:eastAsia="Times New Roman"/>
        </w:rPr>
        <w:t>)</w:t>
      </w:r>
      <w:r>
        <w:rPr>
          <w:spacing w:val="-15"/>
        </w:rPr>
        <w:t>、仓库二</w:t>
      </w:r>
      <w:r>
        <w:rPr>
          <w:rFonts w:ascii="Times New Roman" w:eastAsia="Times New Roman"/>
        </w:rPr>
        <w:t>(</w:t>
      </w:r>
      <w:r>
        <w:rPr/>
        <w:t>预留</w:t>
      </w:r>
      <w:r>
        <w:rPr>
          <w:rFonts w:ascii="Times New Roman" w:eastAsia="Times New Roman"/>
        </w:rPr>
        <w:t>)</w:t>
      </w:r>
      <w:r>
        <w:rPr>
          <w:spacing w:val="-15"/>
        </w:rPr>
        <w:t>、车间七</w:t>
      </w:r>
      <w:r>
        <w:rPr>
          <w:rFonts w:ascii="Times New Roman" w:eastAsia="Times New Roman"/>
        </w:rPr>
        <w:t>(</w:t>
      </w:r>
      <w:r>
        <w:rPr/>
        <w:t>预留</w:t>
      </w:r>
      <w:r>
        <w:rPr>
          <w:rFonts w:ascii="Times New Roman" w:eastAsia="Times New Roman"/>
        </w:rPr>
        <w:t>)</w:t>
      </w:r>
      <w:r>
        <w:rPr>
          <w:spacing w:val="-11"/>
        </w:rPr>
        <w:t>、</w:t>
      </w:r>
      <w:r>
        <w:rPr/>
        <w:t>仓库三</w:t>
      </w:r>
      <w:r>
        <w:rPr>
          <w:rFonts w:ascii="Times New Roman" w:eastAsia="Times New Roman"/>
        </w:rPr>
        <w:t>(</w:t>
      </w:r>
      <w:r>
        <w:rPr>
          <w:spacing w:val="2"/>
        </w:rPr>
        <w:t>预留</w:t>
      </w:r>
      <w:r>
        <w:rPr>
          <w:rFonts w:ascii="Times New Roman" w:eastAsia="Times New Roman"/>
        </w:rPr>
        <w:t>)</w:t>
      </w:r>
      <w:r>
        <w:rPr/>
        <w:t>，东面自北向南依此为车间一、车间二</w:t>
      </w:r>
      <w:r>
        <w:rPr>
          <w:rFonts w:ascii="Times New Roman" w:eastAsia="Times New Roman"/>
        </w:rPr>
        <w:t>(</w:t>
      </w:r>
      <w:r>
        <w:rPr>
          <w:spacing w:val="2"/>
        </w:rPr>
        <w:t>预留</w:t>
      </w:r>
      <w:r>
        <w:rPr>
          <w:rFonts w:ascii="Times New Roman" w:eastAsia="Times New Roman"/>
        </w:rPr>
        <w:t>)</w:t>
      </w:r>
      <w:r>
        <w:rPr/>
        <w:t>、车间三</w:t>
      </w:r>
      <w:r>
        <w:rPr>
          <w:rFonts w:ascii="Times New Roman" w:eastAsia="Times New Roman"/>
          <w:spacing w:val="4"/>
        </w:rPr>
        <w:t>(</w:t>
      </w:r>
      <w:r>
        <w:rPr/>
        <w:t>预留</w:t>
      </w:r>
      <w:r>
        <w:rPr>
          <w:rFonts w:ascii="Times New Roman" w:eastAsia="Times New Roman"/>
        </w:rPr>
        <w:t>)</w:t>
      </w:r>
      <w:r>
        <w:rPr>
          <w:spacing w:val="1"/>
        </w:rPr>
        <w:t>、车间四</w:t>
      </w:r>
      <w:r>
        <w:rPr>
          <w:rFonts w:ascii="Times New Roman" w:eastAsia="Times New Roman"/>
        </w:rPr>
        <w:t>(</w:t>
      </w:r>
      <w:r>
        <w:rPr/>
        <w:t>预留</w:t>
      </w:r>
      <w:r>
        <w:rPr>
          <w:rFonts w:ascii="Times New Roman" w:eastAsia="Times New Roman"/>
        </w:rPr>
        <w:t>)</w:t>
      </w:r>
      <w:r>
        <w:rPr/>
        <w:t>、车间五</w:t>
      </w:r>
      <w:r>
        <w:rPr>
          <w:rFonts w:ascii="Times New Roman" w:eastAsia="Times New Roman"/>
        </w:rPr>
        <w:t>(</w:t>
      </w:r>
      <w:r>
        <w:rPr/>
        <w:t>预留</w:t>
      </w:r>
      <w:r>
        <w:rPr>
          <w:rFonts w:ascii="Times New Roman" w:eastAsia="Times New Roman"/>
        </w:rPr>
        <w:t>)</w:t>
      </w:r>
      <w:r>
        <w:rPr/>
        <w:t>；</w:t>
      </w:r>
    </w:p>
    <w:p>
      <w:pPr>
        <w:spacing w:after="0" w:line="364" w:lineRule="auto"/>
        <w:sectPr>
          <w:pgSz w:w="11910" w:h="16840"/>
          <w:pgMar w:header="872" w:footer="803" w:top="1340" w:bottom="1000" w:left="1200" w:right="1080"/>
        </w:sectPr>
      </w:pPr>
    </w:p>
    <w:p>
      <w:pPr>
        <w:pStyle w:val="BodyText"/>
        <w:spacing w:line="364" w:lineRule="auto" w:before="66"/>
        <w:ind w:left="218" w:right="284" w:firstLine="480"/>
        <w:jc w:val="both"/>
      </w:pPr>
      <w:r>
        <w:rPr>
          <w:spacing w:val="-1"/>
        </w:rPr>
        <w:t>东侧区块西面自北向南依此为危废仓库、地下初期雨水池及事故应急池、污控楼； 东面自北向南依此为罐组一</w:t>
      </w:r>
      <w:r>
        <w:rPr/>
        <w:t>（预留</w:t>
      </w:r>
      <w:r>
        <w:rPr>
          <w:spacing w:val="-120"/>
        </w:rPr>
        <w:t>）</w:t>
      </w:r>
      <w:r>
        <w:rPr>
          <w:spacing w:val="-5"/>
        </w:rPr>
        <w:t>、罐组二、罐组三</w:t>
      </w:r>
      <w:r>
        <w:rPr/>
        <w:t>（预留</w:t>
      </w:r>
      <w:r>
        <w:rPr>
          <w:spacing w:val="-120"/>
        </w:rPr>
        <w:t>）</w:t>
      </w:r>
      <w:r>
        <w:rPr>
          <w:spacing w:val="-4"/>
        </w:rPr>
        <w:t>、物化处理区、生化处理区。</w:t>
      </w:r>
    </w:p>
    <w:p>
      <w:pPr>
        <w:spacing w:line="364" w:lineRule="auto" w:before="0"/>
        <w:ind w:left="701" w:right="334" w:hanging="3"/>
        <w:jc w:val="both"/>
        <w:rPr>
          <w:sz w:val="24"/>
        </w:rPr>
      </w:pPr>
      <w:r>
        <w:rPr>
          <w:sz w:val="24"/>
        </w:rPr>
        <w:t>本项目三环唑原药及可湿性粉剂产品布置在车间一，具体厂区平面布置见</w:t>
      </w:r>
      <w:r>
        <w:rPr>
          <w:b/>
          <w:spacing w:val="-20"/>
          <w:sz w:val="24"/>
          <w:u w:val="single"/>
        </w:rPr>
        <w:t>附图 </w:t>
      </w:r>
      <w:r>
        <w:rPr>
          <w:rFonts w:ascii="Times New Roman" w:eastAsia="Times New Roman"/>
          <w:b/>
          <w:sz w:val="24"/>
          <w:u w:val="single"/>
        </w:rPr>
        <w:t>5</w:t>
      </w:r>
      <w:r>
        <w:rPr>
          <w:sz w:val="24"/>
        </w:rPr>
        <w:t>。</w:t>
      </w:r>
      <w:r>
        <w:rPr>
          <w:b/>
          <w:spacing w:val="-2"/>
          <w:sz w:val="24"/>
        </w:rPr>
        <w:t>总平面布置合理性分析：</w:t>
      </w:r>
      <w:r>
        <w:rPr>
          <w:spacing w:val="-4"/>
          <w:sz w:val="24"/>
        </w:rPr>
        <w:t>根据本项目生产工艺特征，结合厂区自然环境，在符合开</w:t>
      </w:r>
    </w:p>
    <w:p>
      <w:pPr>
        <w:pStyle w:val="BodyText"/>
        <w:spacing w:line="364" w:lineRule="auto"/>
        <w:ind w:left="218" w:right="284"/>
        <w:jc w:val="both"/>
      </w:pPr>
      <w:r>
        <w:rPr>
          <w:spacing w:val="-1"/>
        </w:rPr>
        <w:t>发区控制性规划、生产流程顺畅、交通运输方便、满足安全防火间距与清洁卫生要求、</w:t>
      </w:r>
      <w:r>
        <w:rPr>
          <w:spacing w:val="-6"/>
        </w:rPr>
        <w:t>节约能耗、节省土地和便于生产管理等原则下，总平面布置中做到功能分区明确，交通</w:t>
      </w:r>
      <w:r>
        <w:rPr>
          <w:spacing w:val="-9"/>
        </w:rPr>
        <w:t>组织合理，厂内消防道路、路面宽度及道路转弯半径能满足大型消防车辆通行，环境卫</w:t>
      </w:r>
      <w:r>
        <w:rPr>
          <w:spacing w:val="-12"/>
        </w:rPr>
        <w:t>生条件良好和厂容厂貌整齐美观。主要产污的车间靠厂区中间布设，管线走向短捷，有利于生产安全管理。</w:t>
      </w:r>
    </w:p>
    <w:p>
      <w:pPr>
        <w:pStyle w:val="Heading4"/>
        <w:numPr>
          <w:ilvl w:val="2"/>
          <w:numId w:val="13"/>
        </w:numPr>
        <w:tabs>
          <w:tab w:pos="1119" w:val="left" w:leader="none"/>
        </w:tabs>
        <w:spacing w:line="306" w:lineRule="exact" w:before="0" w:after="0"/>
        <w:ind w:left="1118" w:right="0" w:hanging="661"/>
        <w:jc w:val="both"/>
      </w:pPr>
      <w:r>
        <w:rPr/>
        <w:t>项目主要原辅材料</w:t>
      </w:r>
    </w:p>
    <w:p>
      <w:pPr>
        <w:spacing w:before="157"/>
        <w:ind w:left="701" w:right="0" w:firstLine="0"/>
        <w:jc w:val="left"/>
        <w:rPr>
          <w:b/>
          <w:sz w:val="24"/>
        </w:rPr>
      </w:pPr>
      <w:r>
        <w:rPr>
          <w:rFonts w:ascii="Times New Roman" w:eastAsia="Times New Roman"/>
          <w:b/>
          <w:sz w:val="24"/>
        </w:rPr>
        <w:t>1</w:t>
      </w:r>
      <w:r>
        <w:rPr>
          <w:b/>
          <w:sz w:val="24"/>
        </w:rPr>
        <w:t>、项目主要原辅材料消耗汇总</w:t>
      </w:r>
    </w:p>
    <w:p>
      <w:pPr>
        <w:pStyle w:val="BodyText"/>
        <w:spacing w:before="4"/>
        <w:rPr>
          <w:b/>
          <w:sz w:val="23"/>
        </w:rPr>
      </w:pPr>
    </w:p>
    <w:p>
      <w:pPr>
        <w:tabs>
          <w:tab w:pos="1342" w:val="left" w:leader="none"/>
          <w:tab w:pos="4836" w:val="left" w:leader="none"/>
        </w:tabs>
        <w:spacing w:before="1" w:after="28"/>
        <w:ind w:left="0" w:right="113" w:firstLine="0"/>
        <w:jc w:val="center"/>
        <w:rPr>
          <w:rFonts w:ascii="Times New Roman" w:eastAsia="Times New Roman"/>
          <w:b/>
          <w:sz w:val="24"/>
        </w:rPr>
      </w:pPr>
      <w:r>
        <w:rPr/>
        <w:pict>
          <v:line style="position:absolute;mso-position-horizontal-relative:page;mso-position-vertical-relative:paragraph;z-index:-317803520" from="91.103996pt,17.330013pt" to="177.019996pt,44.570013pt" stroked="true" strokeweight=".48pt" strokecolor="#000000">
            <v:stroke dashstyle="solid"/>
            <w10:wrap type="none"/>
          </v:line>
        </w:pict>
      </w:r>
      <w:r>
        <w:rPr>
          <w:b/>
          <w:sz w:val="24"/>
        </w:rPr>
        <w:t>表</w:t>
      </w:r>
      <w:r>
        <w:rPr>
          <w:b/>
          <w:spacing w:val="-60"/>
          <w:sz w:val="24"/>
        </w:rPr>
        <w:t> </w:t>
      </w:r>
      <w:r>
        <w:rPr>
          <w:rFonts w:ascii="Times New Roman" w:eastAsia="Times New Roman"/>
          <w:b/>
          <w:sz w:val="24"/>
        </w:rPr>
        <w:t>4.1.10-1</w:t>
        <w:tab/>
      </w:r>
      <w:r>
        <w:rPr>
          <w:b/>
          <w:sz w:val="24"/>
        </w:rPr>
        <w:t>项目主要原辅材料用</w:t>
      </w:r>
      <w:r>
        <w:rPr>
          <w:b/>
          <w:spacing w:val="3"/>
          <w:sz w:val="24"/>
        </w:rPr>
        <w:t>量</w:t>
      </w:r>
      <w:r>
        <w:rPr>
          <w:b/>
          <w:sz w:val="24"/>
        </w:rPr>
        <w:t>汇总表</w:t>
        <w:tab/>
        <w:t>单位：</w:t>
      </w:r>
      <w:r>
        <w:rPr>
          <w:rFonts w:ascii="Times New Roman" w:eastAsia="Times New Roman"/>
          <w:b/>
          <w:sz w:val="24"/>
        </w:rPr>
        <w:t>t/a</w:t>
      </w:r>
    </w:p>
    <w:tbl>
      <w:tblPr>
        <w:tblW w:w="0" w:type="auto"/>
        <w:jc w:val="left"/>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
        <w:gridCol w:w="1728"/>
        <w:gridCol w:w="697"/>
        <w:gridCol w:w="864"/>
        <w:gridCol w:w="708"/>
        <w:gridCol w:w="708"/>
        <w:gridCol w:w="711"/>
        <w:gridCol w:w="708"/>
        <w:gridCol w:w="2566"/>
      </w:tblGrid>
      <w:tr>
        <w:trPr>
          <w:trHeight w:val="544" w:hRule="atLeast"/>
        </w:trPr>
        <w:tc>
          <w:tcPr>
            <w:tcW w:w="415" w:type="dxa"/>
          </w:tcPr>
          <w:p>
            <w:pPr>
              <w:pStyle w:val="TableParagraph"/>
              <w:spacing w:before="1"/>
              <w:ind w:left="100"/>
              <w:jc w:val="left"/>
              <w:rPr>
                <w:b/>
                <w:sz w:val="21"/>
              </w:rPr>
            </w:pPr>
            <w:r>
              <w:rPr>
                <w:b/>
                <w:w w:val="100"/>
                <w:sz w:val="21"/>
              </w:rPr>
              <w:t>序</w:t>
            </w:r>
          </w:p>
          <w:p>
            <w:pPr>
              <w:pStyle w:val="TableParagraph"/>
              <w:spacing w:line="250" w:lineRule="exact" w:before="4"/>
              <w:ind w:left="100"/>
              <w:jc w:val="left"/>
              <w:rPr>
                <w:b/>
                <w:sz w:val="21"/>
              </w:rPr>
            </w:pPr>
            <w:r>
              <w:rPr>
                <w:b/>
                <w:w w:val="100"/>
                <w:sz w:val="21"/>
              </w:rPr>
              <w:t>号</w:t>
            </w:r>
          </w:p>
        </w:tc>
        <w:tc>
          <w:tcPr>
            <w:tcW w:w="1728" w:type="dxa"/>
          </w:tcPr>
          <w:p>
            <w:pPr>
              <w:pStyle w:val="TableParagraph"/>
              <w:spacing w:before="1"/>
              <w:ind w:left="1276"/>
              <w:jc w:val="left"/>
              <w:rPr>
                <w:b/>
                <w:sz w:val="21"/>
              </w:rPr>
            </w:pPr>
            <w:r>
              <w:rPr>
                <w:b/>
                <w:sz w:val="21"/>
              </w:rPr>
              <w:t>产品</w:t>
            </w:r>
          </w:p>
          <w:p>
            <w:pPr>
              <w:pStyle w:val="TableParagraph"/>
              <w:spacing w:line="250" w:lineRule="exact" w:before="4"/>
              <w:ind w:left="26"/>
              <w:jc w:val="left"/>
              <w:rPr>
                <w:b/>
                <w:sz w:val="21"/>
              </w:rPr>
            </w:pPr>
            <w:r>
              <w:rPr>
                <w:b/>
                <w:sz w:val="21"/>
              </w:rPr>
              <w:t>原料</w:t>
            </w:r>
          </w:p>
        </w:tc>
        <w:tc>
          <w:tcPr>
            <w:tcW w:w="697" w:type="dxa"/>
          </w:tcPr>
          <w:p>
            <w:pPr>
              <w:pStyle w:val="TableParagraph"/>
              <w:spacing w:before="18"/>
              <w:ind w:left="116" w:right="108"/>
              <w:rPr>
                <w:b/>
                <w:sz w:val="21"/>
              </w:rPr>
            </w:pPr>
            <w:r>
              <w:rPr>
                <w:b/>
                <w:sz w:val="21"/>
              </w:rPr>
              <w:t>规格</w:t>
            </w:r>
          </w:p>
          <w:p>
            <w:pPr>
              <w:pStyle w:val="TableParagraph"/>
              <w:spacing w:line="236" w:lineRule="exact" w:before="1"/>
              <w:ind w:left="8"/>
              <w:rPr>
                <w:rFonts w:ascii="Times New Roman"/>
                <w:b/>
                <w:sz w:val="21"/>
              </w:rPr>
            </w:pPr>
            <w:r>
              <w:rPr>
                <w:rFonts w:ascii="Times New Roman"/>
                <w:b/>
                <w:w w:val="100"/>
                <w:sz w:val="21"/>
              </w:rPr>
              <w:t>%</w:t>
            </w:r>
          </w:p>
        </w:tc>
        <w:tc>
          <w:tcPr>
            <w:tcW w:w="864" w:type="dxa"/>
          </w:tcPr>
          <w:p>
            <w:pPr>
              <w:pStyle w:val="TableParagraph"/>
              <w:spacing w:before="138"/>
              <w:ind w:left="217"/>
              <w:jc w:val="left"/>
              <w:rPr>
                <w:b/>
                <w:sz w:val="21"/>
              </w:rPr>
            </w:pPr>
            <w:r>
              <w:rPr>
                <w:b/>
                <w:sz w:val="21"/>
              </w:rPr>
              <w:t>原药</w:t>
            </w:r>
          </w:p>
        </w:tc>
        <w:tc>
          <w:tcPr>
            <w:tcW w:w="708" w:type="dxa"/>
          </w:tcPr>
          <w:p>
            <w:pPr>
              <w:pStyle w:val="TableParagraph"/>
              <w:spacing w:before="1"/>
              <w:ind w:left="15" w:right="9"/>
              <w:rPr>
                <w:b/>
                <w:sz w:val="21"/>
              </w:rPr>
            </w:pPr>
            <w:r>
              <w:rPr>
                <w:b/>
                <w:sz w:val="21"/>
              </w:rPr>
              <w:t>三环唑</w:t>
            </w:r>
          </w:p>
          <w:p>
            <w:pPr>
              <w:pStyle w:val="TableParagraph"/>
              <w:spacing w:line="250" w:lineRule="exact" w:before="4"/>
              <w:ind w:left="15" w:right="9"/>
              <w:rPr>
                <w:b/>
                <w:sz w:val="21"/>
              </w:rPr>
            </w:pPr>
            <w:r>
              <w:rPr>
                <w:b/>
                <w:sz w:val="21"/>
              </w:rPr>
              <w:t>粉剂</w:t>
            </w:r>
          </w:p>
        </w:tc>
        <w:tc>
          <w:tcPr>
            <w:tcW w:w="708" w:type="dxa"/>
          </w:tcPr>
          <w:p>
            <w:pPr>
              <w:pStyle w:val="TableParagraph"/>
              <w:spacing w:before="138"/>
              <w:ind w:left="141"/>
              <w:jc w:val="left"/>
              <w:rPr>
                <w:b/>
                <w:sz w:val="21"/>
              </w:rPr>
            </w:pPr>
            <w:r>
              <w:rPr>
                <w:b/>
                <w:sz w:val="21"/>
              </w:rPr>
              <w:t>合计</w:t>
            </w:r>
          </w:p>
        </w:tc>
        <w:tc>
          <w:tcPr>
            <w:tcW w:w="711" w:type="dxa"/>
          </w:tcPr>
          <w:p>
            <w:pPr>
              <w:pStyle w:val="TableParagraph"/>
              <w:spacing w:before="138"/>
              <w:ind w:left="141"/>
              <w:jc w:val="left"/>
              <w:rPr>
                <w:b/>
                <w:sz w:val="21"/>
              </w:rPr>
            </w:pPr>
            <w:r>
              <w:rPr>
                <w:b/>
                <w:sz w:val="21"/>
              </w:rPr>
              <w:t>状态</w:t>
            </w:r>
          </w:p>
        </w:tc>
        <w:tc>
          <w:tcPr>
            <w:tcW w:w="708" w:type="dxa"/>
          </w:tcPr>
          <w:p>
            <w:pPr>
              <w:pStyle w:val="TableParagraph"/>
              <w:spacing w:before="1"/>
              <w:ind w:left="140"/>
              <w:jc w:val="left"/>
              <w:rPr>
                <w:b/>
                <w:sz w:val="21"/>
              </w:rPr>
            </w:pPr>
            <w:r>
              <w:rPr>
                <w:b/>
                <w:sz w:val="21"/>
              </w:rPr>
              <w:t>储存</w:t>
            </w:r>
          </w:p>
          <w:p>
            <w:pPr>
              <w:pStyle w:val="TableParagraph"/>
              <w:spacing w:line="250" w:lineRule="exact" w:before="4"/>
              <w:ind w:left="140"/>
              <w:jc w:val="left"/>
              <w:rPr>
                <w:b/>
                <w:sz w:val="21"/>
              </w:rPr>
            </w:pPr>
            <w:r>
              <w:rPr>
                <w:b/>
                <w:sz w:val="21"/>
              </w:rPr>
              <w:t>方式</w:t>
            </w:r>
          </w:p>
        </w:tc>
        <w:tc>
          <w:tcPr>
            <w:tcW w:w="2566" w:type="dxa"/>
          </w:tcPr>
          <w:p>
            <w:pPr>
              <w:pStyle w:val="TableParagraph"/>
              <w:spacing w:before="138"/>
              <w:ind w:left="860"/>
              <w:jc w:val="left"/>
              <w:rPr>
                <w:b/>
                <w:sz w:val="21"/>
              </w:rPr>
            </w:pPr>
            <w:r>
              <w:rPr>
                <w:b/>
                <w:sz w:val="21"/>
              </w:rPr>
              <w:t>投料方式</w:t>
            </w:r>
          </w:p>
        </w:tc>
      </w:tr>
      <w:tr>
        <w:trPr>
          <w:trHeight w:val="285" w:hRule="atLeast"/>
        </w:trPr>
        <w:tc>
          <w:tcPr>
            <w:tcW w:w="415" w:type="dxa"/>
          </w:tcPr>
          <w:p>
            <w:pPr>
              <w:pStyle w:val="TableParagraph"/>
              <w:spacing w:before="22"/>
              <w:ind w:left="153"/>
              <w:jc w:val="left"/>
              <w:rPr>
                <w:rFonts w:ascii="Times New Roman"/>
                <w:sz w:val="21"/>
              </w:rPr>
            </w:pPr>
            <w:r>
              <w:rPr>
                <w:rFonts w:ascii="Times New Roman"/>
                <w:w w:val="100"/>
                <w:sz w:val="21"/>
              </w:rPr>
              <w:t>1</w:t>
            </w:r>
          </w:p>
        </w:tc>
        <w:tc>
          <w:tcPr>
            <w:tcW w:w="1728" w:type="dxa"/>
          </w:tcPr>
          <w:p>
            <w:pPr>
              <w:pStyle w:val="TableParagraph"/>
              <w:spacing w:line="257" w:lineRule="exact" w:before="8"/>
              <w:ind w:left="441"/>
              <w:jc w:val="left"/>
              <w:rPr>
                <w:b/>
                <w:sz w:val="21"/>
              </w:rPr>
            </w:pPr>
            <w:r>
              <w:rPr>
                <w:b/>
                <w:color w:val="FF0000"/>
                <w:sz w:val="21"/>
              </w:rPr>
              <w:t>涉密删除</w:t>
            </w: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tcPr>
          <w:p>
            <w:pPr>
              <w:pStyle w:val="TableParagraph"/>
              <w:jc w:val="left"/>
              <w:rPr>
                <w:rFonts w:ascii="Times New Roman"/>
                <w:sz w:val="20"/>
              </w:rPr>
            </w:pPr>
          </w:p>
        </w:tc>
      </w:tr>
      <w:tr>
        <w:trPr>
          <w:trHeight w:val="282" w:hRule="atLeast"/>
        </w:trPr>
        <w:tc>
          <w:tcPr>
            <w:tcW w:w="415" w:type="dxa"/>
          </w:tcPr>
          <w:p>
            <w:pPr>
              <w:pStyle w:val="TableParagraph"/>
              <w:spacing w:before="19"/>
              <w:ind w:left="153"/>
              <w:jc w:val="left"/>
              <w:rPr>
                <w:rFonts w:ascii="Times New Roman"/>
                <w:sz w:val="21"/>
              </w:rPr>
            </w:pPr>
            <w:r>
              <w:rPr>
                <w:rFonts w:ascii="Times New Roman"/>
                <w:w w:val="100"/>
                <w:sz w:val="21"/>
              </w:rPr>
              <w:t>2</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tcPr>
          <w:p>
            <w:pPr>
              <w:pStyle w:val="TableParagraph"/>
              <w:jc w:val="left"/>
              <w:rPr>
                <w:rFonts w:ascii="Times New Roman"/>
                <w:sz w:val="20"/>
              </w:rPr>
            </w:pPr>
          </w:p>
        </w:tc>
      </w:tr>
      <w:tr>
        <w:trPr>
          <w:trHeight w:val="285" w:hRule="atLeast"/>
        </w:trPr>
        <w:tc>
          <w:tcPr>
            <w:tcW w:w="415" w:type="dxa"/>
          </w:tcPr>
          <w:p>
            <w:pPr>
              <w:pStyle w:val="TableParagraph"/>
              <w:spacing w:before="22"/>
              <w:ind w:left="153"/>
              <w:jc w:val="left"/>
              <w:rPr>
                <w:rFonts w:ascii="Times New Roman"/>
                <w:sz w:val="21"/>
              </w:rPr>
            </w:pPr>
            <w:r>
              <w:rPr>
                <w:rFonts w:ascii="Times New Roman"/>
                <w:w w:val="100"/>
                <w:sz w:val="21"/>
              </w:rPr>
              <w:t>3</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vMerge w:val="restart"/>
          </w:tcPr>
          <w:p>
            <w:pPr>
              <w:pStyle w:val="TableParagraph"/>
              <w:jc w:val="left"/>
              <w:rPr>
                <w:rFonts w:ascii="Times New Roman"/>
                <w:sz w:val="22"/>
              </w:rPr>
            </w:pPr>
          </w:p>
        </w:tc>
      </w:tr>
      <w:tr>
        <w:trPr>
          <w:trHeight w:val="282" w:hRule="atLeast"/>
        </w:trPr>
        <w:tc>
          <w:tcPr>
            <w:tcW w:w="415" w:type="dxa"/>
          </w:tcPr>
          <w:p>
            <w:pPr>
              <w:pStyle w:val="TableParagraph"/>
              <w:spacing w:before="19"/>
              <w:ind w:left="153"/>
              <w:jc w:val="left"/>
              <w:rPr>
                <w:rFonts w:ascii="Times New Roman"/>
                <w:sz w:val="21"/>
              </w:rPr>
            </w:pPr>
            <w:r>
              <w:rPr>
                <w:rFonts w:ascii="Times New Roman"/>
                <w:w w:val="100"/>
                <w:sz w:val="21"/>
              </w:rPr>
              <w:t>4</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vMerge/>
            <w:tcBorders>
              <w:top w:val="nil"/>
            </w:tcBorders>
          </w:tcPr>
          <w:p>
            <w:pPr>
              <w:rPr>
                <w:sz w:val="2"/>
                <w:szCs w:val="2"/>
              </w:rPr>
            </w:pPr>
          </w:p>
        </w:tc>
      </w:tr>
      <w:tr>
        <w:trPr>
          <w:trHeight w:val="285" w:hRule="atLeast"/>
        </w:trPr>
        <w:tc>
          <w:tcPr>
            <w:tcW w:w="415" w:type="dxa"/>
          </w:tcPr>
          <w:p>
            <w:pPr>
              <w:pStyle w:val="TableParagraph"/>
              <w:spacing w:before="22"/>
              <w:ind w:left="153"/>
              <w:jc w:val="left"/>
              <w:rPr>
                <w:rFonts w:ascii="Times New Roman"/>
                <w:sz w:val="21"/>
              </w:rPr>
            </w:pPr>
            <w:r>
              <w:rPr>
                <w:rFonts w:ascii="Times New Roman"/>
                <w:w w:val="100"/>
                <w:sz w:val="21"/>
              </w:rPr>
              <w:t>5</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vMerge/>
            <w:tcBorders>
              <w:top w:val="nil"/>
            </w:tcBorders>
          </w:tcPr>
          <w:p>
            <w:pPr>
              <w:rPr>
                <w:sz w:val="2"/>
                <w:szCs w:val="2"/>
              </w:rPr>
            </w:pPr>
          </w:p>
        </w:tc>
      </w:tr>
      <w:tr>
        <w:trPr>
          <w:trHeight w:val="282" w:hRule="atLeast"/>
        </w:trPr>
        <w:tc>
          <w:tcPr>
            <w:tcW w:w="415" w:type="dxa"/>
          </w:tcPr>
          <w:p>
            <w:pPr>
              <w:pStyle w:val="TableParagraph"/>
              <w:spacing w:before="19"/>
              <w:ind w:left="153"/>
              <w:jc w:val="left"/>
              <w:rPr>
                <w:rFonts w:ascii="Times New Roman"/>
                <w:sz w:val="21"/>
              </w:rPr>
            </w:pPr>
            <w:r>
              <w:rPr>
                <w:rFonts w:ascii="Times New Roman"/>
                <w:w w:val="100"/>
                <w:sz w:val="21"/>
              </w:rPr>
              <w:t>6</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vMerge/>
            <w:tcBorders>
              <w:top w:val="nil"/>
            </w:tcBorders>
          </w:tcPr>
          <w:p>
            <w:pPr>
              <w:rPr>
                <w:sz w:val="2"/>
                <w:szCs w:val="2"/>
              </w:rPr>
            </w:pPr>
          </w:p>
        </w:tc>
      </w:tr>
      <w:tr>
        <w:trPr>
          <w:trHeight w:val="285" w:hRule="atLeast"/>
        </w:trPr>
        <w:tc>
          <w:tcPr>
            <w:tcW w:w="415" w:type="dxa"/>
          </w:tcPr>
          <w:p>
            <w:pPr>
              <w:pStyle w:val="TableParagraph"/>
              <w:spacing w:before="22"/>
              <w:ind w:left="153"/>
              <w:jc w:val="left"/>
              <w:rPr>
                <w:rFonts w:ascii="Times New Roman"/>
                <w:sz w:val="21"/>
              </w:rPr>
            </w:pPr>
            <w:r>
              <w:rPr>
                <w:rFonts w:ascii="Times New Roman"/>
                <w:w w:val="100"/>
                <w:sz w:val="21"/>
              </w:rPr>
              <w:t>7</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tcPr>
          <w:p>
            <w:pPr>
              <w:pStyle w:val="TableParagraph"/>
              <w:jc w:val="left"/>
              <w:rPr>
                <w:rFonts w:ascii="Times New Roman"/>
                <w:sz w:val="20"/>
              </w:rPr>
            </w:pPr>
          </w:p>
        </w:tc>
      </w:tr>
      <w:tr>
        <w:trPr>
          <w:trHeight w:val="282" w:hRule="atLeast"/>
        </w:trPr>
        <w:tc>
          <w:tcPr>
            <w:tcW w:w="415" w:type="dxa"/>
          </w:tcPr>
          <w:p>
            <w:pPr>
              <w:pStyle w:val="TableParagraph"/>
              <w:spacing w:before="19"/>
              <w:ind w:left="153"/>
              <w:jc w:val="left"/>
              <w:rPr>
                <w:rFonts w:ascii="Times New Roman"/>
                <w:b/>
                <w:sz w:val="21"/>
              </w:rPr>
            </w:pPr>
            <w:r>
              <w:rPr>
                <w:rFonts w:ascii="Times New Roman"/>
                <w:b/>
                <w:w w:val="100"/>
                <w:sz w:val="21"/>
              </w:rPr>
              <w:t>8</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tcPr>
          <w:p>
            <w:pPr>
              <w:pStyle w:val="TableParagraph"/>
              <w:jc w:val="left"/>
              <w:rPr>
                <w:rFonts w:ascii="Times New Roman"/>
                <w:sz w:val="20"/>
              </w:rPr>
            </w:pPr>
          </w:p>
        </w:tc>
      </w:tr>
      <w:tr>
        <w:trPr>
          <w:trHeight w:val="285" w:hRule="atLeast"/>
        </w:trPr>
        <w:tc>
          <w:tcPr>
            <w:tcW w:w="415" w:type="dxa"/>
          </w:tcPr>
          <w:p>
            <w:pPr>
              <w:pStyle w:val="TableParagraph"/>
              <w:spacing w:before="22"/>
              <w:ind w:left="153"/>
              <w:jc w:val="left"/>
              <w:rPr>
                <w:rFonts w:ascii="Times New Roman"/>
                <w:b/>
                <w:sz w:val="21"/>
              </w:rPr>
            </w:pPr>
            <w:r>
              <w:rPr>
                <w:rFonts w:ascii="Times New Roman"/>
                <w:b/>
                <w:w w:val="100"/>
                <w:sz w:val="21"/>
              </w:rPr>
              <w:t>9</w:t>
            </w:r>
          </w:p>
        </w:tc>
        <w:tc>
          <w:tcPr>
            <w:tcW w:w="1728" w:type="dxa"/>
          </w:tcPr>
          <w:p>
            <w:pPr>
              <w:pStyle w:val="TableParagraph"/>
              <w:jc w:val="left"/>
              <w:rPr>
                <w:rFonts w:ascii="Times New Roman"/>
                <w:sz w:val="20"/>
              </w:rPr>
            </w:pPr>
          </w:p>
        </w:tc>
        <w:tc>
          <w:tcPr>
            <w:tcW w:w="697" w:type="dxa"/>
          </w:tcPr>
          <w:p>
            <w:pPr>
              <w:pStyle w:val="TableParagraph"/>
              <w:jc w:val="left"/>
              <w:rPr>
                <w:rFonts w:ascii="Times New Roman"/>
                <w:sz w:val="20"/>
              </w:rPr>
            </w:pPr>
          </w:p>
        </w:tc>
        <w:tc>
          <w:tcPr>
            <w:tcW w:w="864"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2566" w:type="dxa"/>
          </w:tcPr>
          <w:p>
            <w:pPr>
              <w:pStyle w:val="TableParagraph"/>
              <w:jc w:val="left"/>
              <w:rPr>
                <w:rFonts w:ascii="Times New Roman"/>
                <w:sz w:val="20"/>
              </w:rPr>
            </w:pPr>
          </w:p>
        </w:tc>
      </w:tr>
    </w:tbl>
    <w:p>
      <w:pPr>
        <w:spacing w:before="2"/>
        <w:ind w:left="701" w:right="0" w:firstLine="0"/>
        <w:jc w:val="left"/>
        <w:rPr>
          <w:b/>
          <w:sz w:val="24"/>
        </w:rPr>
      </w:pPr>
      <w:r>
        <w:rPr>
          <w:rFonts w:ascii="Times New Roman" w:eastAsia="Times New Roman"/>
          <w:b/>
          <w:sz w:val="24"/>
        </w:rPr>
        <w:t>2</w:t>
      </w:r>
      <w:r>
        <w:rPr>
          <w:b/>
          <w:sz w:val="24"/>
        </w:rPr>
        <w:t>、项目新化学物质情况</w:t>
      </w:r>
    </w:p>
    <w:p>
      <w:pPr>
        <w:spacing w:line="362" w:lineRule="auto" w:before="161"/>
        <w:ind w:left="218" w:right="433" w:firstLine="482"/>
        <w:jc w:val="both"/>
        <w:rPr>
          <w:b/>
          <w:sz w:val="24"/>
        </w:rPr>
      </w:pPr>
      <w:r>
        <w:rPr>
          <w:b/>
          <w:spacing w:val="-8"/>
          <w:sz w:val="24"/>
        </w:rPr>
        <w:t>本项目使用的原料 </w:t>
      </w:r>
      <w:r>
        <w:rPr>
          <w:rFonts w:ascii="Times New Roman" w:eastAsia="Times New Roman"/>
          <w:b/>
          <w:sz w:val="24"/>
        </w:rPr>
        <w:t>4-</w:t>
      </w:r>
      <w:r>
        <w:rPr>
          <w:b/>
          <w:sz w:val="24"/>
        </w:rPr>
        <w:t>甲基</w:t>
      </w:r>
      <w:r>
        <w:rPr>
          <w:rFonts w:ascii="Times New Roman" w:eastAsia="Times New Roman"/>
          <w:b/>
          <w:sz w:val="24"/>
        </w:rPr>
        <w:t>-2-</w:t>
      </w:r>
      <w:r>
        <w:rPr>
          <w:b/>
          <w:spacing w:val="-1"/>
          <w:sz w:val="24"/>
        </w:rPr>
        <w:t>肼基苯并噻唑，经查询未列入《中国现有化学物质名</w:t>
      </w:r>
      <w:r>
        <w:rPr>
          <w:b/>
          <w:spacing w:val="-12"/>
          <w:sz w:val="24"/>
        </w:rPr>
        <w:t>录》，判定为新化学物质。</w:t>
      </w:r>
    </w:p>
    <w:p>
      <w:pPr>
        <w:pStyle w:val="BodyText"/>
        <w:spacing w:line="364" w:lineRule="auto" w:before="5"/>
        <w:ind w:left="218" w:right="332" w:firstLine="480"/>
        <w:jc w:val="both"/>
      </w:pPr>
      <w:r>
        <w:rPr>
          <w:spacing w:val="-18"/>
        </w:rPr>
        <w:t>根据《新化学物质环境管理登记办法》；“新化学物质的生产者或者进口者，应当在</w:t>
      </w:r>
      <w:r>
        <w:rPr/>
        <w:t>生产前或者进口前取得新化学物质环境管理常规登记证或者简易登记证</w:t>
      </w:r>
      <w:r>
        <w:rPr>
          <w:rFonts w:ascii="Times New Roman" w:hAnsi="Times New Roman" w:eastAsia="Times New Roman"/>
        </w:rPr>
        <w:t>(</w:t>
      </w:r>
      <w:r>
        <w:rPr/>
        <w:t>以下统称登记证</w:t>
      </w:r>
      <w:r>
        <w:rPr>
          <w:rFonts w:ascii="Times New Roman" w:hAnsi="Times New Roman" w:eastAsia="Times New Roman"/>
        </w:rPr>
        <w:t>)</w:t>
      </w:r>
      <w:r>
        <w:rPr>
          <w:spacing w:val="-9"/>
        </w:rPr>
        <w:t>或者办理新化学物质环境管理备案。”企业为加工使用者，非生产者。故要求本企业</w:t>
      </w:r>
      <w:r>
        <w:rPr>
          <w:spacing w:val="1"/>
        </w:rPr>
        <w:t>在该项目生产时购买取得新化学物质环境管理登记证的企业所生产的 </w:t>
      </w:r>
      <w:r>
        <w:rPr>
          <w:rFonts w:ascii="Times New Roman" w:hAnsi="Times New Roman" w:eastAsia="Times New Roman"/>
        </w:rPr>
        <w:t>4-</w:t>
      </w:r>
      <w:r>
        <w:rPr>
          <w:spacing w:val="1"/>
        </w:rPr>
        <w:t>甲基</w:t>
      </w:r>
      <w:r>
        <w:rPr>
          <w:rFonts w:ascii="Times New Roman" w:hAnsi="Times New Roman" w:eastAsia="Times New Roman"/>
        </w:rPr>
        <w:t>-2-</w:t>
      </w:r>
      <w:r>
        <w:rPr/>
        <w:t>肼基苯并噻唑。</w:t>
      </w:r>
    </w:p>
    <w:p>
      <w:pPr>
        <w:pStyle w:val="Heading4"/>
        <w:numPr>
          <w:ilvl w:val="2"/>
          <w:numId w:val="13"/>
        </w:numPr>
        <w:tabs>
          <w:tab w:pos="865" w:val="left" w:leader="none"/>
        </w:tabs>
        <w:spacing w:line="304" w:lineRule="exact" w:before="0" w:after="0"/>
        <w:ind w:left="864" w:right="0" w:hanging="647"/>
        <w:jc w:val="both"/>
      </w:pPr>
      <w:r>
        <w:rPr/>
        <w:t>项目生产规律、工艺、设备、排污等概况及自动化控制水平</w:t>
      </w:r>
    </w:p>
    <w:p>
      <w:pPr>
        <w:spacing w:after="0" w:line="304" w:lineRule="exact"/>
        <w:jc w:val="both"/>
        <w:sectPr>
          <w:pgSz w:w="11910" w:h="16840"/>
          <w:pgMar w:header="872" w:footer="803" w:top="1340" w:bottom="1000" w:left="1200" w:right="1080"/>
        </w:sectPr>
      </w:pPr>
    </w:p>
    <w:p>
      <w:pPr>
        <w:spacing w:before="64" w:after="19"/>
        <w:ind w:left="143" w:right="0" w:firstLine="0"/>
        <w:jc w:val="center"/>
        <w:rPr>
          <w:sz w:val="18"/>
        </w:rPr>
      </w:pPr>
      <w:r>
        <w:rPr>
          <w:sz w:val="18"/>
        </w:rPr>
        <w:t>浙江南郊化学有限公司 </w:t>
      </w:r>
      <w:r>
        <w:rPr>
          <w:rFonts w:ascii="Times New Roman" w:eastAsia="Times New Roman"/>
          <w:sz w:val="18"/>
        </w:rPr>
        <w:t>300 </w:t>
      </w:r>
      <w:r>
        <w:rPr>
          <w:sz w:val="18"/>
        </w:rPr>
        <w:t>吨</w:t>
      </w:r>
      <w:r>
        <w:rPr>
          <w:rFonts w:ascii="Times New Roman" w:eastAsia="Times New Roman"/>
          <w:sz w:val="18"/>
        </w:rPr>
        <w:t>/</w:t>
      </w:r>
      <w:r>
        <w:rPr>
          <w:sz w:val="18"/>
        </w:rPr>
        <w:t>年三环唑杀菌剂和 </w:t>
      </w:r>
      <w:r>
        <w:rPr>
          <w:rFonts w:ascii="Times New Roman" w:eastAsia="Times New Roman"/>
          <w:sz w:val="18"/>
        </w:rPr>
        <w:t>200 </w:t>
      </w:r>
      <w:r>
        <w:rPr>
          <w:sz w:val="18"/>
        </w:rPr>
        <w:t>吨</w:t>
      </w:r>
      <w:r>
        <w:rPr>
          <w:rFonts w:ascii="Times New Roman" w:eastAsia="Times New Roman"/>
          <w:sz w:val="18"/>
        </w:rPr>
        <w:t>/</w:t>
      </w:r>
      <w:r>
        <w:rPr>
          <w:sz w:val="18"/>
        </w:rPr>
        <w:t>年三环唑可湿性粉剂项目环境影响报告书</w:t>
      </w:r>
    </w:p>
    <w:p>
      <w:pPr>
        <w:pStyle w:val="BodyText"/>
        <w:spacing w:line="20" w:lineRule="exact"/>
        <w:ind w:left="222"/>
        <w:rPr>
          <w:sz w:val="2"/>
        </w:rPr>
      </w:pPr>
      <w:r>
        <w:rPr>
          <w:sz w:val="2"/>
        </w:rPr>
        <w:pict>
          <v:group style="width:730.3pt;height:.75pt;mso-position-horizontal-relative:char;mso-position-vertical-relative:line" coordorigin="0,0" coordsize="14606,15">
            <v:line style="position:absolute" from="0,7" to="14606,7" stroked="true" strokeweight=".72pt" strokecolor="#000000">
              <v:stroke dashstyle="solid"/>
            </v:line>
          </v:group>
        </w:pict>
      </w:r>
      <w:r>
        <w:rPr>
          <w:sz w:val="2"/>
        </w:rPr>
      </w:r>
    </w:p>
    <w:p>
      <w:pPr>
        <w:pStyle w:val="BodyText"/>
      </w:pPr>
    </w:p>
    <w:p>
      <w:pPr>
        <w:pStyle w:val="Heading4"/>
        <w:spacing w:before="74"/>
        <w:ind w:left="600"/>
      </w:pPr>
      <w:r>
        <w:rPr>
          <w:rFonts w:ascii="Times New Roman" w:eastAsia="Times New Roman"/>
        </w:rPr>
        <w:t>1</w:t>
      </w:r>
      <w:r>
        <w:rPr/>
        <w:t>、项目生产工艺、设备及污染物处置等概况及固液分离采取措施</w:t>
      </w:r>
    </w:p>
    <w:p>
      <w:pPr>
        <w:pStyle w:val="BodyText"/>
        <w:spacing w:before="12"/>
        <w:rPr>
          <w:b/>
          <w:sz w:val="25"/>
        </w:rPr>
      </w:pPr>
    </w:p>
    <w:p>
      <w:pPr>
        <w:tabs>
          <w:tab w:pos="1173" w:val="left" w:leader="none"/>
        </w:tabs>
        <w:spacing w:before="0" w:after="37"/>
        <w:ind w:left="0" w:right="0" w:firstLine="0"/>
        <w:jc w:val="center"/>
        <w:rPr>
          <w:b/>
          <w:sz w:val="21"/>
        </w:rPr>
      </w:pPr>
      <w:r>
        <w:rPr>
          <w:b/>
          <w:sz w:val="21"/>
        </w:rPr>
        <w:t>表</w:t>
      </w:r>
      <w:r>
        <w:rPr>
          <w:b/>
          <w:spacing w:val="-52"/>
          <w:sz w:val="21"/>
        </w:rPr>
        <w:t> </w:t>
      </w:r>
      <w:r>
        <w:rPr>
          <w:rFonts w:ascii="Times New Roman" w:eastAsia="Times New Roman"/>
          <w:b/>
          <w:sz w:val="21"/>
        </w:rPr>
        <w:t>4.1.11-1</w:t>
        <w:tab/>
      </w:r>
      <w:r>
        <w:rPr>
          <w:b/>
          <w:sz w:val="21"/>
        </w:rPr>
        <w:t>项目生产工</w:t>
      </w:r>
      <w:r>
        <w:rPr>
          <w:b/>
          <w:spacing w:val="-3"/>
          <w:sz w:val="21"/>
        </w:rPr>
        <w:t>艺</w:t>
      </w:r>
      <w:r>
        <w:rPr>
          <w:b/>
          <w:sz w:val="21"/>
        </w:rPr>
        <w:t>、设备及污染物处</w:t>
      </w:r>
      <w:r>
        <w:rPr>
          <w:b/>
          <w:spacing w:val="-3"/>
          <w:sz w:val="21"/>
        </w:rPr>
        <w:t>置</w:t>
      </w:r>
      <w:r>
        <w:rPr>
          <w:b/>
          <w:sz w:val="21"/>
        </w:rPr>
        <w:t>等</w:t>
      </w:r>
      <w:r>
        <w:rPr>
          <w:b/>
          <w:spacing w:val="-3"/>
          <w:sz w:val="21"/>
        </w:rPr>
        <w:t>概</w:t>
      </w:r>
      <w:r>
        <w:rPr>
          <w:b/>
          <w:sz w:val="21"/>
        </w:rPr>
        <w:t>况</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8"/>
        <w:gridCol w:w="826"/>
        <w:gridCol w:w="3617"/>
        <w:gridCol w:w="4080"/>
        <w:gridCol w:w="5815"/>
      </w:tblGrid>
      <w:tr>
        <w:trPr>
          <w:trHeight w:val="544" w:hRule="atLeast"/>
        </w:trPr>
        <w:tc>
          <w:tcPr>
            <w:tcW w:w="358" w:type="dxa"/>
          </w:tcPr>
          <w:p>
            <w:pPr>
              <w:pStyle w:val="TableParagraph"/>
              <w:spacing w:before="1"/>
              <w:ind w:left="71"/>
              <w:jc w:val="left"/>
              <w:rPr>
                <w:b/>
                <w:sz w:val="21"/>
              </w:rPr>
            </w:pPr>
            <w:r>
              <w:rPr>
                <w:b/>
                <w:w w:val="100"/>
                <w:sz w:val="21"/>
              </w:rPr>
              <w:t>序</w:t>
            </w:r>
          </w:p>
          <w:p>
            <w:pPr>
              <w:pStyle w:val="TableParagraph"/>
              <w:spacing w:line="252" w:lineRule="exact" w:before="2"/>
              <w:ind w:left="71"/>
              <w:jc w:val="left"/>
              <w:rPr>
                <w:b/>
                <w:sz w:val="21"/>
              </w:rPr>
            </w:pPr>
            <w:r>
              <w:rPr>
                <w:b/>
                <w:w w:val="100"/>
                <w:sz w:val="21"/>
              </w:rPr>
              <w:t>号</w:t>
            </w:r>
          </w:p>
        </w:tc>
        <w:tc>
          <w:tcPr>
            <w:tcW w:w="826" w:type="dxa"/>
          </w:tcPr>
          <w:p>
            <w:pPr>
              <w:pStyle w:val="TableParagraph"/>
              <w:spacing w:before="1"/>
              <w:ind w:left="75" w:right="67"/>
              <w:rPr>
                <w:b/>
                <w:sz w:val="21"/>
              </w:rPr>
            </w:pPr>
            <w:r>
              <w:rPr>
                <w:b/>
                <w:sz w:val="21"/>
              </w:rPr>
              <w:t>产品名</w:t>
            </w:r>
          </w:p>
          <w:p>
            <w:pPr>
              <w:pStyle w:val="TableParagraph"/>
              <w:spacing w:line="252" w:lineRule="exact" w:before="2"/>
              <w:ind w:left="9"/>
              <w:rPr>
                <w:b/>
                <w:sz w:val="21"/>
              </w:rPr>
            </w:pPr>
            <w:r>
              <w:rPr>
                <w:b/>
                <w:w w:val="100"/>
                <w:sz w:val="21"/>
              </w:rPr>
              <w:t>称</w:t>
            </w:r>
          </w:p>
        </w:tc>
        <w:tc>
          <w:tcPr>
            <w:tcW w:w="3617" w:type="dxa"/>
          </w:tcPr>
          <w:p>
            <w:pPr>
              <w:pStyle w:val="TableParagraph"/>
              <w:spacing w:before="137"/>
              <w:ind w:left="330"/>
              <w:jc w:val="left"/>
              <w:rPr>
                <w:b/>
                <w:sz w:val="21"/>
              </w:rPr>
            </w:pPr>
            <w:r>
              <w:rPr>
                <w:b/>
                <w:sz w:val="21"/>
              </w:rPr>
              <w:t>工艺情况、摩尔收率及生产规律</w:t>
            </w:r>
          </w:p>
        </w:tc>
        <w:tc>
          <w:tcPr>
            <w:tcW w:w="4080" w:type="dxa"/>
          </w:tcPr>
          <w:p>
            <w:pPr>
              <w:pStyle w:val="TableParagraph"/>
              <w:spacing w:before="137"/>
              <w:ind w:left="1384" w:right="1380"/>
              <w:rPr>
                <w:b/>
                <w:sz w:val="21"/>
              </w:rPr>
            </w:pPr>
            <w:r>
              <w:rPr>
                <w:b/>
                <w:sz w:val="21"/>
              </w:rPr>
              <w:t>装备水平情况</w:t>
            </w:r>
          </w:p>
        </w:tc>
        <w:tc>
          <w:tcPr>
            <w:tcW w:w="5815" w:type="dxa"/>
          </w:tcPr>
          <w:p>
            <w:pPr>
              <w:pStyle w:val="TableParagraph"/>
              <w:spacing w:before="137"/>
              <w:ind w:left="2148" w:right="2140"/>
              <w:rPr>
                <w:b/>
                <w:sz w:val="21"/>
              </w:rPr>
            </w:pPr>
            <w:r>
              <w:rPr>
                <w:b/>
                <w:sz w:val="21"/>
              </w:rPr>
              <w:t>污染物处置情况</w:t>
            </w:r>
          </w:p>
        </w:tc>
      </w:tr>
      <w:tr>
        <w:trPr>
          <w:trHeight w:val="544" w:hRule="atLeast"/>
        </w:trPr>
        <w:tc>
          <w:tcPr>
            <w:tcW w:w="358" w:type="dxa"/>
          </w:tcPr>
          <w:p>
            <w:pPr>
              <w:pStyle w:val="TableParagraph"/>
              <w:spacing w:before="151"/>
              <w:ind w:left="6"/>
              <w:rPr>
                <w:rFonts w:ascii="Times New Roman"/>
                <w:sz w:val="21"/>
              </w:rPr>
            </w:pPr>
            <w:r>
              <w:rPr>
                <w:rFonts w:ascii="Times New Roman"/>
                <w:w w:val="100"/>
                <w:sz w:val="21"/>
              </w:rPr>
              <w:t>1</w:t>
            </w:r>
          </w:p>
        </w:tc>
        <w:tc>
          <w:tcPr>
            <w:tcW w:w="826" w:type="dxa"/>
          </w:tcPr>
          <w:p>
            <w:pPr>
              <w:pStyle w:val="TableParagraph"/>
              <w:spacing w:before="1"/>
              <w:ind w:left="75" w:right="67"/>
              <w:rPr>
                <w:b/>
                <w:sz w:val="21"/>
              </w:rPr>
            </w:pPr>
            <w:r>
              <w:rPr>
                <w:b/>
                <w:color w:val="FF0000"/>
                <w:sz w:val="21"/>
              </w:rPr>
              <w:t>涉密删</w:t>
            </w:r>
          </w:p>
          <w:p>
            <w:pPr>
              <w:pStyle w:val="TableParagraph"/>
              <w:spacing w:line="252" w:lineRule="exact" w:before="2"/>
              <w:ind w:left="9"/>
              <w:rPr>
                <w:b/>
                <w:sz w:val="21"/>
              </w:rPr>
            </w:pPr>
            <w:r>
              <w:rPr>
                <w:b/>
                <w:color w:val="FF0000"/>
                <w:w w:val="100"/>
                <w:sz w:val="21"/>
              </w:rPr>
              <w:t>除</w:t>
            </w:r>
          </w:p>
        </w:tc>
        <w:tc>
          <w:tcPr>
            <w:tcW w:w="3617" w:type="dxa"/>
          </w:tcPr>
          <w:p>
            <w:pPr>
              <w:pStyle w:val="TableParagraph"/>
              <w:jc w:val="left"/>
              <w:rPr>
                <w:rFonts w:ascii="Times New Roman"/>
                <w:sz w:val="20"/>
              </w:rPr>
            </w:pPr>
          </w:p>
        </w:tc>
        <w:tc>
          <w:tcPr>
            <w:tcW w:w="4080" w:type="dxa"/>
          </w:tcPr>
          <w:p>
            <w:pPr>
              <w:pStyle w:val="TableParagraph"/>
              <w:jc w:val="left"/>
              <w:rPr>
                <w:rFonts w:ascii="Times New Roman"/>
                <w:sz w:val="20"/>
              </w:rPr>
            </w:pPr>
          </w:p>
        </w:tc>
        <w:tc>
          <w:tcPr>
            <w:tcW w:w="5815" w:type="dxa"/>
          </w:tcPr>
          <w:p>
            <w:pPr>
              <w:pStyle w:val="TableParagraph"/>
              <w:jc w:val="left"/>
              <w:rPr>
                <w:rFonts w:ascii="Times New Roman"/>
                <w:sz w:val="20"/>
              </w:rPr>
            </w:pPr>
          </w:p>
        </w:tc>
      </w:tr>
      <w:tr>
        <w:trPr>
          <w:trHeight w:val="241" w:hRule="atLeast"/>
        </w:trPr>
        <w:tc>
          <w:tcPr>
            <w:tcW w:w="358" w:type="dxa"/>
          </w:tcPr>
          <w:p>
            <w:pPr>
              <w:pStyle w:val="TableParagraph"/>
              <w:spacing w:line="221" w:lineRule="exact"/>
              <w:ind w:left="6"/>
              <w:rPr>
                <w:rFonts w:ascii="Times New Roman"/>
                <w:sz w:val="21"/>
              </w:rPr>
            </w:pPr>
            <w:r>
              <w:rPr>
                <w:rFonts w:ascii="Times New Roman"/>
                <w:w w:val="100"/>
                <w:sz w:val="21"/>
              </w:rPr>
              <w:t>2</w:t>
            </w:r>
          </w:p>
        </w:tc>
        <w:tc>
          <w:tcPr>
            <w:tcW w:w="826" w:type="dxa"/>
          </w:tcPr>
          <w:p>
            <w:pPr>
              <w:pStyle w:val="TableParagraph"/>
              <w:jc w:val="left"/>
              <w:rPr>
                <w:rFonts w:ascii="Times New Roman"/>
                <w:sz w:val="16"/>
              </w:rPr>
            </w:pPr>
          </w:p>
        </w:tc>
        <w:tc>
          <w:tcPr>
            <w:tcW w:w="3617" w:type="dxa"/>
          </w:tcPr>
          <w:p>
            <w:pPr>
              <w:pStyle w:val="TableParagraph"/>
              <w:jc w:val="left"/>
              <w:rPr>
                <w:rFonts w:ascii="Times New Roman"/>
                <w:sz w:val="16"/>
              </w:rPr>
            </w:pPr>
          </w:p>
        </w:tc>
        <w:tc>
          <w:tcPr>
            <w:tcW w:w="4080" w:type="dxa"/>
          </w:tcPr>
          <w:p>
            <w:pPr>
              <w:pStyle w:val="TableParagraph"/>
              <w:jc w:val="left"/>
              <w:rPr>
                <w:rFonts w:ascii="Times New Roman"/>
                <w:sz w:val="16"/>
              </w:rPr>
            </w:pPr>
          </w:p>
        </w:tc>
        <w:tc>
          <w:tcPr>
            <w:tcW w:w="5815" w:type="dxa"/>
          </w:tcPr>
          <w:p>
            <w:pPr>
              <w:pStyle w:val="TableParagraph"/>
              <w:jc w:val="left"/>
              <w:rPr>
                <w:rFonts w:ascii="Times New Roman"/>
                <w:sz w:val="16"/>
              </w:rPr>
            </w:pPr>
          </w:p>
        </w:tc>
      </w:tr>
    </w:tbl>
    <w:p>
      <w:pPr>
        <w:tabs>
          <w:tab w:pos="1175" w:val="left" w:leader="none"/>
        </w:tabs>
        <w:spacing w:before="174" w:after="38"/>
        <w:ind w:left="2" w:right="0" w:firstLine="0"/>
        <w:jc w:val="center"/>
        <w:rPr>
          <w:b/>
          <w:sz w:val="21"/>
        </w:rPr>
      </w:pPr>
      <w:r>
        <w:rPr>
          <w:b/>
          <w:sz w:val="21"/>
        </w:rPr>
        <w:t>表</w:t>
      </w:r>
      <w:r>
        <w:rPr>
          <w:b/>
          <w:spacing w:val="-52"/>
          <w:sz w:val="21"/>
        </w:rPr>
        <w:t> </w:t>
      </w:r>
      <w:r>
        <w:rPr>
          <w:rFonts w:ascii="Times New Roman" w:eastAsia="Times New Roman"/>
          <w:b/>
          <w:sz w:val="21"/>
        </w:rPr>
        <w:t>4.1.5-2</w:t>
        <w:tab/>
      </w:r>
      <w:r>
        <w:rPr>
          <w:b/>
          <w:sz w:val="21"/>
        </w:rPr>
        <w:t>项目各产品固液分离采取措施</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1"/>
        <w:gridCol w:w="1754"/>
        <w:gridCol w:w="2566"/>
        <w:gridCol w:w="2157"/>
        <w:gridCol w:w="7157"/>
      </w:tblGrid>
      <w:tr>
        <w:trPr>
          <w:trHeight w:val="270" w:hRule="atLeast"/>
        </w:trPr>
        <w:tc>
          <w:tcPr>
            <w:tcW w:w="1061" w:type="dxa"/>
          </w:tcPr>
          <w:p>
            <w:pPr>
              <w:pStyle w:val="TableParagraph"/>
              <w:spacing w:line="250" w:lineRule="exact" w:before="1"/>
              <w:ind w:left="88" w:right="79"/>
              <w:rPr>
                <w:b/>
                <w:sz w:val="21"/>
              </w:rPr>
            </w:pPr>
            <w:r>
              <w:rPr>
                <w:b/>
                <w:sz w:val="21"/>
              </w:rPr>
              <w:t>产品</w:t>
            </w:r>
          </w:p>
        </w:tc>
        <w:tc>
          <w:tcPr>
            <w:tcW w:w="1754" w:type="dxa"/>
          </w:tcPr>
          <w:p>
            <w:pPr>
              <w:pStyle w:val="TableParagraph"/>
              <w:spacing w:line="250" w:lineRule="exact" w:before="1"/>
              <w:ind w:left="435" w:right="427"/>
              <w:rPr>
                <w:b/>
                <w:sz w:val="21"/>
              </w:rPr>
            </w:pPr>
            <w:r>
              <w:rPr>
                <w:b/>
                <w:sz w:val="21"/>
              </w:rPr>
              <w:t>工序</w:t>
            </w:r>
          </w:p>
        </w:tc>
        <w:tc>
          <w:tcPr>
            <w:tcW w:w="2566" w:type="dxa"/>
          </w:tcPr>
          <w:p>
            <w:pPr>
              <w:pStyle w:val="TableParagraph"/>
              <w:spacing w:line="250" w:lineRule="exact" w:before="1"/>
              <w:ind w:left="756"/>
              <w:jc w:val="left"/>
              <w:rPr>
                <w:b/>
                <w:sz w:val="21"/>
              </w:rPr>
            </w:pPr>
            <w:r>
              <w:rPr>
                <w:b/>
                <w:sz w:val="21"/>
              </w:rPr>
              <w:t>拟采用设备</w:t>
            </w:r>
          </w:p>
        </w:tc>
        <w:tc>
          <w:tcPr>
            <w:tcW w:w="2157" w:type="dxa"/>
          </w:tcPr>
          <w:p>
            <w:pPr>
              <w:pStyle w:val="TableParagraph"/>
              <w:spacing w:line="250" w:lineRule="exact" w:before="1"/>
              <w:ind w:left="533" w:right="519"/>
              <w:rPr>
                <w:b/>
                <w:sz w:val="21"/>
              </w:rPr>
            </w:pPr>
            <w:r>
              <w:rPr>
                <w:b/>
                <w:sz w:val="21"/>
              </w:rPr>
              <w:t>涉及有机物</w:t>
            </w:r>
          </w:p>
        </w:tc>
        <w:tc>
          <w:tcPr>
            <w:tcW w:w="7157" w:type="dxa"/>
          </w:tcPr>
          <w:p>
            <w:pPr>
              <w:pStyle w:val="TableParagraph"/>
              <w:spacing w:line="250" w:lineRule="exact" w:before="1"/>
              <w:ind w:left="3138" w:right="3125"/>
              <w:rPr>
                <w:b/>
                <w:sz w:val="21"/>
              </w:rPr>
            </w:pPr>
            <w:r>
              <w:rPr>
                <w:b/>
                <w:sz w:val="21"/>
              </w:rPr>
              <w:t>采取措施</w:t>
            </w:r>
          </w:p>
        </w:tc>
      </w:tr>
      <w:tr>
        <w:trPr>
          <w:trHeight w:val="546" w:hRule="atLeast"/>
        </w:trPr>
        <w:tc>
          <w:tcPr>
            <w:tcW w:w="1061" w:type="dxa"/>
          </w:tcPr>
          <w:p>
            <w:pPr>
              <w:pStyle w:val="TableParagraph"/>
              <w:spacing w:before="137"/>
              <w:ind w:left="4" w:right="-15"/>
              <w:rPr>
                <w:sz w:val="21"/>
              </w:rPr>
            </w:pPr>
            <w:r>
              <w:rPr>
                <w:spacing w:val="-3"/>
                <w:sz w:val="21"/>
              </w:rPr>
              <w:t>三环唑原药</w:t>
            </w:r>
          </w:p>
        </w:tc>
        <w:tc>
          <w:tcPr>
            <w:tcW w:w="1754" w:type="dxa"/>
          </w:tcPr>
          <w:p>
            <w:pPr>
              <w:pStyle w:val="TableParagraph"/>
              <w:spacing w:before="137"/>
              <w:ind w:left="437" w:right="427"/>
              <w:rPr>
                <w:sz w:val="21"/>
              </w:rPr>
            </w:pPr>
            <w:r>
              <w:rPr>
                <w:sz w:val="21"/>
              </w:rPr>
              <w:t>结晶甩滤</w:t>
            </w:r>
          </w:p>
        </w:tc>
        <w:tc>
          <w:tcPr>
            <w:tcW w:w="2566" w:type="dxa"/>
          </w:tcPr>
          <w:p>
            <w:pPr>
              <w:pStyle w:val="TableParagraph"/>
              <w:spacing w:line="270" w:lineRule="atLeast" w:before="2"/>
              <w:ind w:left="653" w:right="55" w:hanging="586"/>
              <w:jc w:val="left"/>
              <w:rPr>
                <w:sz w:val="21"/>
              </w:rPr>
            </w:pPr>
            <w:r>
              <w:rPr>
                <w:sz w:val="21"/>
              </w:rPr>
              <w:t>全自动密闭下出料离心机</w:t>
            </w:r>
            <w:r>
              <w:rPr>
                <w:rFonts w:ascii="Times New Roman" w:eastAsia="Times New Roman"/>
                <w:sz w:val="21"/>
              </w:rPr>
              <w:t>+ </w:t>
            </w:r>
            <w:r>
              <w:rPr>
                <w:sz w:val="21"/>
              </w:rPr>
              <w:t>双锥真空干燥</w:t>
            </w:r>
          </w:p>
        </w:tc>
        <w:tc>
          <w:tcPr>
            <w:tcW w:w="2157" w:type="dxa"/>
          </w:tcPr>
          <w:p>
            <w:pPr>
              <w:pStyle w:val="TableParagraph"/>
              <w:spacing w:before="137"/>
              <w:ind w:left="533" w:right="519"/>
              <w:rPr>
                <w:sz w:val="21"/>
              </w:rPr>
            </w:pPr>
            <w:r>
              <w:rPr>
                <w:sz w:val="21"/>
              </w:rPr>
              <w:t>甲酸</w:t>
            </w:r>
          </w:p>
        </w:tc>
        <w:tc>
          <w:tcPr>
            <w:tcW w:w="7157" w:type="dxa"/>
          </w:tcPr>
          <w:p>
            <w:pPr>
              <w:pStyle w:val="TableParagraph"/>
              <w:spacing w:line="270" w:lineRule="atLeast" w:before="2"/>
              <w:ind w:left="1794" w:right="-15" w:hanging="1789"/>
              <w:jc w:val="left"/>
              <w:rPr>
                <w:sz w:val="21"/>
              </w:rPr>
            </w:pPr>
            <w:r>
              <w:rPr>
                <w:spacing w:val="-3"/>
                <w:sz w:val="21"/>
              </w:rPr>
              <w:t>滤饼采用下出料，全自动密闭下出料离心机置于二楼，离心滤饼直接通过管道进入干燥设备，可实现管道化、密闭化</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6"/>
        </w:rPr>
      </w:pPr>
      <w:r>
        <w:rPr/>
        <w:pict>
          <v:line style="position:absolute;mso-position-horizontal-relative:page;mso-position-vertical-relative:paragraph;z-index:-251532288;mso-wrap-distance-left:0;mso-wrap-distance-right:0" from="52.900002pt,19.105pt" to="494.650002pt,19.105pt" stroked="true" strokeweight=".75pt" strokecolor="#000000">
            <v:stroke dashstyle="solid"/>
            <w10:wrap type="topAndBottom"/>
          </v:line>
        </w:pict>
      </w:r>
    </w:p>
    <w:p>
      <w:pPr>
        <w:spacing w:before="47"/>
        <w:ind w:left="28" w:right="0" w:firstLine="0"/>
        <w:jc w:val="center"/>
        <w:rPr>
          <w:rFonts w:ascii="Times New Roman"/>
          <w:sz w:val="18"/>
        </w:rPr>
      </w:pPr>
      <w:r>
        <w:rPr>
          <w:rFonts w:ascii="Times New Roman"/>
          <w:sz w:val="18"/>
        </w:rPr>
        <w:t>80</w:t>
      </w:r>
    </w:p>
    <w:p>
      <w:pPr>
        <w:spacing w:after="0"/>
        <w:jc w:val="center"/>
        <w:rPr>
          <w:rFonts w:ascii="Times New Roman"/>
          <w:sz w:val="18"/>
        </w:rPr>
        <w:sectPr>
          <w:headerReference w:type="default" r:id="rId42"/>
          <w:footerReference w:type="default" r:id="rId43"/>
          <w:pgSz w:w="16850" w:h="11910" w:orient="landscape"/>
          <w:pgMar w:header="0" w:footer="0" w:top="640" w:bottom="280" w:left="960" w:right="960"/>
        </w:sectPr>
      </w:pPr>
    </w:p>
    <w:p>
      <w:pPr>
        <w:pStyle w:val="Heading4"/>
        <w:spacing w:before="64"/>
      </w:pPr>
      <w:r>
        <w:rPr>
          <w:rFonts w:ascii="Times New Roman" w:eastAsia="Times New Roman"/>
        </w:rPr>
        <w:t>2</w:t>
      </w:r>
      <w:r>
        <w:rPr/>
        <w:t>、自动化控制水平</w:t>
      </w:r>
    </w:p>
    <w:p>
      <w:pPr>
        <w:pStyle w:val="BodyText"/>
        <w:spacing w:line="364" w:lineRule="auto" w:before="158"/>
        <w:ind w:left="218" w:right="234" w:firstLine="480"/>
        <w:jc w:val="both"/>
      </w:pPr>
      <w:r>
        <w:rPr>
          <w:spacing w:val="-2"/>
        </w:rPr>
        <w:t>本项目自动化配备情况：备料</w:t>
      </w:r>
      <w:r>
        <w:rPr/>
        <w:t>（人工操作</w:t>
      </w:r>
      <w:r>
        <w:rPr>
          <w:spacing w:val="-5"/>
        </w:rPr>
        <w:t>）</w:t>
      </w:r>
      <w:r>
        <w:rPr>
          <w:rFonts w:ascii="Times New Roman" w:eastAsia="Times New Roman"/>
          <w:spacing w:val="-5"/>
        </w:rPr>
        <w:t>-</w:t>
      </w:r>
      <w:r>
        <w:rPr>
          <w:spacing w:val="-4"/>
        </w:rPr>
        <w:t>投料</w:t>
      </w:r>
      <w:r>
        <w:rPr/>
        <w:t>（远传操作</w:t>
      </w:r>
      <w:r>
        <w:rPr>
          <w:spacing w:val="-5"/>
        </w:rPr>
        <w:t>）</w:t>
      </w:r>
      <w:r>
        <w:rPr>
          <w:rFonts w:ascii="Times New Roman" w:eastAsia="Times New Roman"/>
          <w:spacing w:val="-5"/>
        </w:rPr>
        <w:t>-</w:t>
      </w:r>
      <w:r>
        <w:rPr>
          <w:spacing w:val="-4"/>
        </w:rPr>
        <w:t>反应</w:t>
      </w:r>
      <w:r>
        <w:rPr/>
        <w:t>（自动操作</w:t>
      </w:r>
      <w:r>
        <w:rPr>
          <w:spacing w:val="-4"/>
        </w:rPr>
        <w:t>）</w:t>
      </w:r>
      <w:r>
        <w:rPr>
          <w:rFonts w:ascii="Times New Roman" w:eastAsia="Times New Roman"/>
          <w:spacing w:val="-4"/>
        </w:rPr>
        <w:t>- </w:t>
      </w:r>
      <w:r>
        <w:rPr>
          <w:spacing w:val="-4"/>
        </w:rPr>
        <w:t>出料</w:t>
      </w:r>
      <w:r>
        <w:rPr/>
        <w:t>（远传操作</w:t>
      </w:r>
      <w:r>
        <w:rPr>
          <w:spacing w:val="-120"/>
        </w:rPr>
        <w:t>）</w:t>
      </w:r>
      <w:r>
        <w:rPr>
          <w:spacing w:val="-4"/>
        </w:rPr>
        <w:t>，车间配备备料工</w:t>
      </w:r>
      <w:r>
        <w:rPr/>
        <w:t>（</w:t>
      </w:r>
      <w:r>
        <w:rPr>
          <w:spacing w:val="-4"/>
        </w:rPr>
        <w:t>固、液体物料需要分装、称量的</w:t>
      </w:r>
      <w:r>
        <w:rPr>
          <w:spacing w:val="-120"/>
        </w:rPr>
        <w:t>）</w:t>
      </w:r>
      <w:r>
        <w:rPr>
          <w:spacing w:val="-5"/>
        </w:rPr>
        <w:t>、操作工</w:t>
      </w:r>
      <w:r>
        <w:rPr/>
        <w:t>（</w:t>
      </w:r>
      <w:r>
        <w:rPr>
          <w:spacing w:val="-6"/>
        </w:rPr>
        <w:t>控制</w:t>
      </w:r>
      <w:r>
        <w:rPr/>
        <w:t>室远程操作</w:t>
      </w:r>
      <w:r>
        <w:rPr>
          <w:spacing w:val="-120"/>
        </w:rPr>
        <w:t>）</w:t>
      </w:r>
      <w:r>
        <w:rPr/>
        <w:t>，车间基本实现远传</w:t>
      </w:r>
      <w:r>
        <w:rPr>
          <w:rFonts w:ascii="Times New Roman" w:eastAsia="Times New Roman"/>
          <w:spacing w:val="-1"/>
        </w:rPr>
        <w:t>+</w:t>
      </w:r>
      <w:r>
        <w:rPr/>
        <w:t>自控操作。</w:t>
      </w:r>
    </w:p>
    <w:p>
      <w:pPr>
        <w:pStyle w:val="BodyText"/>
        <w:spacing w:line="362" w:lineRule="auto"/>
        <w:ind w:left="218" w:right="115" w:firstLine="480"/>
        <w:jc w:val="both"/>
      </w:pPr>
      <w:r>
        <w:rPr>
          <w:spacing w:val="-3"/>
        </w:rPr>
        <w:t>其余工艺过程设计思路是将装置和人员尽量进行分离，工艺过程的进出料控制采用</w:t>
      </w:r>
      <w:r>
        <w:rPr>
          <w:spacing w:val="-22"/>
        </w:rPr>
        <w:t>远程 </w:t>
      </w:r>
      <w:r>
        <w:rPr>
          <w:rFonts w:ascii="Times New Roman" w:eastAsia="Times New Roman"/>
        </w:rPr>
        <w:t>DCS </w:t>
      </w:r>
      <w:r>
        <w:rPr>
          <w:spacing w:val="-18"/>
        </w:rPr>
        <w:t>操作为主，设置 </w:t>
      </w:r>
      <w:r>
        <w:rPr>
          <w:rFonts w:ascii="Times New Roman" w:eastAsia="Times New Roman"/>
        </w:rPr>
        <w:t>ESD </w:t>
      </w:r>
      <w:r>
        <w:rPr>
          <w:spacing w:val="-9"/>
        </w:rPr>
        <w:t>紧急停车系统，提高工艺过程的监测能力和自动化水平。</w:t>
      </w:r>
    </w:p>
    <w:p>
      <w:pPr>
        <w:pStyle w:val="BodyText"/>
        <w:spacing w:line="364" w:lineRule="auto" w:before="4"/>
        <w:ind w:left="218" w:right="116" w:firstLine="480"/>
      </w:pPr>
      <w:r>
        <w:rPr>
          <w:spacing w:val="-5"/>
        </w:rPr>
        <w:t>厂区设置总控制室，同时设置气防组。控制室要集中视频、可燃有毒气体检测、火</w:t>
      </w:r>
      <w:r>
        <w:rPr>
          <w:spacing w:val="-16"/>
        </w:rPr>
        <w:t>灾报警系统、生产控制系统、电信系统。整个控制系统为保证全厂生产的安全及可靠性， </w:t>
      </w:r>
      <w:r>
        <w:rPr>
          <w:spacing w:val="-4"/>
        </w:rPr>
        <w:t>选用的微机控制系统应易于操作、安全可靠并易于维护。因此系统的控制单元，通信系统及部分输入</w:t>
      </w:r>
      <w:r>
        <w:rPr>
          <w:rFonts w:ascii="Times New Roman" w:eastAsia="Times New Roman"/>
          <w:spacing w:val="-4"/>
        </w:rPr>
        <w:t>/</w:t>
      </w:r>
      <w:r>
        <w:rPr>
          <w:spacing w:val="-13"/>
        </w:rPr>
        <w:t>输出卡件应考虑冗余设置。另外所提供的系统软件应具有一定程序的容错能力及完整的自诊断功能。</w:t>
      </w:r>
    </w:p>
    <w:p>
      <w:pPr>
        <w:pStyle w:val="BodyText"/>
        <w:spacing w:line="362" w:lineRule="auto"/>
        <w:ind w:left="218" w:right="112" w:firstLine="480"/>
      </w:pPr>
      <w:r>
        <w:rPr>
          <w:spacing w:val="-13"/>
        </w:rPr>
        <w:t>控制室设置操作站。操作站应具有故障信号的声光报警功能，并能存储及自动打印。</w:t>
      </w:r>
      <w:r>
        <w:rPr/>
        <w:t>另外系统出现故障时，必须能向操作员发出报警并显示出故障的位置及性质。</w:t>
      </w:r>
    </w:p>
    <w:p>
      <w:pPr>
        <w:pStyle w:val="BodyText"/>
        <w:spacing w:line="364" w:lineRule="auto" w:before="4"/>
        <w:ind w:left="218" w:right="232" w:firstLine="480"/>
        <w:jc w:val="both"/>
      </w:pPr>
      <w:r>
        <w:rPr>
          <w:rFonts w:ascii="Times New Roman" w:eastAsia="Times New Roman"/>
        </w:rPr>
        <w:t>DCS </w:t>
      </w:r>
      <w:r>
        <w:rPr>
          <w:spacing w:val="-7"/>
        </w:rPr>
        <w:t>主要是完成对工艺参数的采集、显示、报警和控制。在控制功能方面，除了能</w:t>
      </w:r>
      <w:r>
        <w:rPr>
          <w:spacing w:val="-4"/>
        </w:rPr>
        <w:t>完成模拟量的单回路及复杂回路控制外，还能完成程序控制、逻辑控制。在操作站的显</w:t>
      </w:r>
      <w:r>
        <w:rPr>
          <w:spacing w:val="-6"/>
        </w:rPr>
        <w:t>示屏幕上有工艺流程的动态画面、动态模拟曲线、棒状图、参数表、报警画面等。另外</w:t>
      </w:r>
      <w:r>
        <w:rPr/>
        <w:t>还有数据存储和报表打印，包括班报表、周报表和月报表等。</w:t>
      </w:r>
    </w:p>
    <w:p>
      <w:pPr>
        <w:spacing w:after="0" w:line="364" w:lineRule="auto"/>
        <w:jc w:val="both"/>
        <w:sectPr>
          <w:headerReference w:type="default" r:id="rId44"/>
          <w:footerReference w:type="default" r:id="rId45"/>
          <w:pgSz w:w="11910" w:h="16840"/>
          <w:pgMar w:header="872" w:footer="803" w:top="1340" w:bottom="1000" w:left="1200" w:right="1180"/>
          <w:pgNumType w:start="81"/>
        </w:sectPr>
      </w:pPr>
    </w:p>
    <w:p>
      <w:pPr>
        <w:pStyle w:val="Heading3"/>
        <w:numPr>
          <w:ilvl w:val="1"/>
          <w:numId w:val="13"/>
        </w:numPr>
        <w:tabs>
          <w:tab w:pos="639" w:val="left" w:leader="none"/>
        </w:tabs>
        <w:spacing w:line="240" w:lineRule="auto" w:before="64" w:after="0"/>
        <w:ind w:left="638" w:right="0" w:hanging="421"/>
        <w:jc w:val="left"/>
      </w:pPr>
      <w:bookmarkStart w:name="_bookmark25" w:id="51"/>
      <w:bookmarkEnd w:id="51"/>
      <w:r>
        <w:rPr>
          <w:b w:val="0"/>
        </w:rPr>
      </w:r>
      <w:bookmarkStart w:name="_bookmark25" w:id="52"/>
      <w:bookmarkEnd w:id="52"/>
      <w:r>
        <w:rPr/>
        <w:t>项目工程分析</w:t>
      </w:r>
    </w:p>
    <w:p>
      <w:pPr>
        <w:pStyle w:val="Heading4"/>
        <w:numPr>
          <w:ilvl w:val="2"/>
          <w:numId w:val="13"/>
        </w:numPr>
        <w:tabs>
          <w:tab w:pos="999" w:val="left" w:leader="none"/>
        </w:tabs>
        <w:spacing w:line="240" w:lineRule="auto" w:before="186" w:after="0"/>
        <w:ind w:left="998" w:right="0" w:hanging="541"/>
        <w:jc w:val="left"/>
      </w:pPr>
      <w:r>
        <w:rPr>
          <w:spacing w:val="-20"/>
        </w:rPr>
        <w:t>年产 </w:t>
      </w:r>
      <w:r>
        <w:rPr>
          <w:rFonts w:ascii="Times New Roman" w:eastAsia="Times New Roman"/>
        </w:rPr>
        <w:t>300 </w:t>
      </w:r>
      <w:r>
        <w:rPr/>
        <w:t>吨三环唑生产线</w:t>
      </w:r>
    </w:p>
    <w:p>
      <w:pPr>
        <w:pStyle w:val="ListParagraph"/>
        <w:numPr>
          <w:ilvl w:val="3"/>
          <w:numId w:val="13"/>
        </w:numPr>
        <w:tabs>
          <w:tab w:pos="1422" w:val="left" w:leader="none"/>
        </w:tabs>
        <w:spacing w:line="240" w:lineRule="auto" w:before="158" w:after="0"/>
        <w:ind w:left="1421" w:right="0" w:hanging="721"/>
        <w:jc w:val="left"/>
        <w:rPr>
          <w:b/>
          <w:sz w:val="24"/>
        </w:rPr>
      </w:pPr>
      <w:r>
        <w:rPr>
          <w:b/>
          <w:sz w:val="24"/>
        </w:rPr>
        <w:t>生产设备清单及匹配性分析</w:t>
      </w:r>
    </w:p>
    <w:p>
      <w:pPr>
        <w:spacing w:before="161"/>
        <w:ind w:left="701" w:right="0" w:firstLine="0"/>
        <w:jc w:val="left"/>
        <w:rPr>
          <w:b/>
          <w:sz w:val="24"/>
        </w:rPr>
      </w:pPr>
      <w:r>
        <w:rPr>
          <w:rFonts w:ascii="Times New Roman" w:eastAsia="Times New Roman"/>
          <w:b/>
          <w:sz w:val="24"/>
        </w:rPr>
        <w:t>1</w:t>
      </w:r>
      <w:r>
        <w:rPr>
          <w:b/>
          <w:sz w:val="24"/>
        </w:rPr>
        <w:t>、生产设备清单</w:t>
      </w:r>
    </w:p>
    <w:p>
      <w:pPr>
        <w:pStyle w:val="BodyText"/>
        <w:spacing w:before="4"/>
        <w:rPr>
          <w:b/>
          <w:sz w:val="23"/>
        </w:rPr>
      </w:pPr>
    </w:p>
    <w:p>
      <w:pPr>
        <w:tabs>
          <w:tab w:pos="1221" w:val="left" w:leader="none"/>
          <w:tab w:pos="5280" w:val="left" w:leader="none"/>
        </w:tabs>
        <w:spacing w:before="1" w:after="28"/>
        <w:ind w:left="0" w:right="16" w:firstLine="0"/>
        <w:jc w:val="center"/>
        <w:rPr>
          <w:b/>
          <w:sz w:val="24"/>
        </w:rPr>
      </w:pPr>
      <w:r>
        <w:rPr>
          <w:b/>
          <w:sz w:val="24"/>
        </w:rPr>
        <w:t>表</w:t>
      </w:r>
      <w:r>
        <w:rPr>
          <w:b/>
          <w:spacing w:val="-60"/>
          <w:sz w:val="24"/>
        </w:rPr>
        <w:t> </w:t>
      </w:r>
      <w:r>
        <w:rPr>
          <w:rFonts w:ascii="Times New Roman" w:eastAsia="Times New Roman"/>
          <w:b/>
          <w:sz w:val="24"/>
        </w:rPr>
        <w:t>4.2.1-1</w:t>
        <w:tab/>
        <w:t>300t/a </w:t>
      </w:r>
      <w:r>
        <w:rPr>
          <w:b/>
          <w:sz w:val="24"/>
        </w:rPr>
        <w:t>三环唑主要生产设备汇总表</w:t>
        <w:tab/>
        <w:t>单位：台</w:t>
      </w:r>
      <w:r>
        <w:rPr>
          <w:rFonts w:ascii="Times New Roman" w:eastAsia="Times New Roman"/>
          <w:b/>
          <w:sz w:val="24"/>
        </w:rPr>
        <w:t>/</w:t>
      </w:r>
      <w:r>
        <w:rPr>
          <w:b/>
          <w:sz w:val="24"/>
        </w:rPr>
        <w:t>套</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2552"/>
        <w:gridCol w:w="3891"/>
        <w:gridCol w:w="1602"/>
      </w:tblGrid>
      <w:tr>
        <w:trPr>
          <w:trHeight w:val="285" w:hRule="atLeast"/>
        </w:trPr>
        <w:tc>
          <w:tcPr>
            <w:tcW w:w="1243" w:type="dxa"/>
          </w:tcPr>
          <w:p>
            <w:pPr>
              <w:pStyle w:val="TableParagraph"/>
              <w:spacing w:line="257" w:lineRule="exact" w:before="8"/>
              <w:ind w:left="179" w:right="170"/>
              <w:rPr>
                <w:b/>
                <w:sz w:val="21"/>
              </w:rPr>
            </w:pPr>
            <w:r>
              <w:rPr>
                <w:b/>
                <w:sz w:val="21"/>
              </w:rPr>
              <w:t>序号</w:t>
            </w:r>
          </w:p>
        </w:tc>
        <w:tc>
          <w:tcPr>
            <w:tcW w:w="2552" w:type="dxa"/>
          </w:tcPr>
          <w:p>
            <w:pPr>
              <w:pStyle w:val="TableParagraph"/>
              <w:spacing w:line="257" w:lineRule="exact" w:before="8"/>
              <w:ind w:left="851"/>
              <w:jc w:val="left"/>
              <w:rPr>
                <w:b/>
                <w:sz w:val="21"/>
              </w:rPr>
            </w:pPr>
            <w:r>
              <w:rPr>
                <w:b/>
                <w:sz w:val="21"/>
              </w:rPr>
              <w:t>设备名称</w:t>
            </w:r>
          </w:p>
        </w:tc>
        <w:tc>
          <w:tcPr>
            <w:tcW w:w="3891" w:type="dxa"/>
          </w:tcPr>
          <w:p>
            <w:pPr>
              <w:pStyle w:val="TableParagraph"/>
              <w:spacing w:line="257" w:lineRule="exact" w:before="8"/>
              <w:ind w:left="1713" w:right="1706"/>
              <w:rPr>
                <w:b/>
                <w:sz w:val="21"/>
              </w:rPr>
            </w:pPr>
            <w:r>
              <w:rPr>
                <w:b/>
                <w:sz w:val="21"/>
              </w:rPr>
              <w:t>规格</w:t>
            </w:r>
          </w:p>
        </w:tc>
        <w:tc>
          <w:tcPr>
            <w:tcW w:w="1602" w:type="dxa"/>
          </w:tcPr>
          <w:p>
            <w:pPr>
              <w:pStyle w:val="TableParagraph"/>
              <w:spacing w:line="257" w:lineRule="exact" w:before="8"/>
              <w:ind w:left="437" w:right="431"/>
              <w:rPr>
                <w:b/>
                <w:sz w:val="21"/>
              </w:rPr>
            </w:pPr>
            <w:r>
              <w:rPr>
                <w:b/>
                <w:sz w:val="21"/>
              </w:rPr>
              <w:t>数量</w:t>
            </w:r>
          </w:p>
        </w:tc>
      </w:tr>
      <w:tr>
        <w:trPr>
          <w:trHeight w:val="282" w:hRule="atLeast"/>
        </w:trPr>
        <w:tc>
          <w:tcPr>
            <w:tcW w:w="1243" w:type="dxa"/>
          </w:tcPr>
          <w:p>
            <w:pPr>
              <w:pStyle w:val="TableParagraph"/>
              <w:spacing w:line="257" w:lineRule="exact" w:before="6"/>
              <w:ind w:left="179" w:right="170"/>
              <w:rPr>
                <w:b/>
                <w:sz w:val="21"/>
              </w:rPr>
            </w:pPr>
            <w:r>
              <w:rPr>
                <w:b/>
                <w:color w:val="FF0000"/>
                <w:sz w:val="21"/>
              </w:rPr>
              <w:t>涉密删除</w:t>
            </w: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2"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3"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2"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2"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2"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2"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r>
        <w:trPr>
          <w:trHeight w:val="285" w:hRule="atLeast"/>
        </w:trPr>
        <w:tc>
          <w:tcPr>
            <w:tcW w:w="1243" w:type="dxa"/>
          </w:tcPr>
          <w:p>
            <w:pPr>
              <w:pStyle w:val="TableParagraph"/>
              <w:jc w:val="left"/>
              <w:rPr>
                <w:rFonts w:ascii="Times New Roman"/>
                <w:sz w:val="20"/>
              </w:rPr>
            </w:pPr>
          </w:p>
        </w:tc>
        <w:tc>
          <w:tcPr>
            <w:tcW w:w="2552" w:type="dxa"/>
          </w:tcPr>
          <w:p>
            <w:pPr>
              <w:pStyle w:val="TableParagraph"/>
              <w:jc w:val="left"/>
              <w:rPr>
                <w:rFonts w:ascii="Times New Roman"/>
                <w:sz w:val="20"/>
              </w:rPr>
            </w:pPr>
          </w:p>
        </w:tc>
        <w:tc>
          <w:tcPr>
            <w:tcW w:w="3891" w:type="dxa"/>
          </w:tcPr>
          <w:p>
            <w:pPr>
              <w:pStyle w:val="TableParagraph"/>
              <w:jc w:val="left"/>
              <w:rPr>
                <w:rFonts w:ascii="Times New Roman"/>
                <w:sz w:val="20"/>
              </w:rPr>
            </w:pPr>
          </w:p>
        </w:tc>
        <w:tc>
          <w:tcPr>
            <w:tcW w:w="1602" w:type="dxa"/>
          </w:tcPr>
          <w:p>
            <w:pPr>
              <w:pStyle w:val="TableParagraph"/>
              <w:jc w:val="left"/>
              <w:rPr>
                <w:rFonts w:ascii="Times New Roman"/>
                <w:sz w:val="20"/>
              </w:rPr>
            </w:pPr>
          </w:p>
        </w:tc>
      </w:tr>
    </w:tbl>
    <w:p>
      <w:pPr>
        <w:spacing w:before="122"/>
        <w:ind w:left="701" w:right="0" w:firstLine="0"/>
        <w:jc w:val="left"/>
        <w:rPr>
          <w:b/>
          <w:sz w:val="24"/>
        </w:rPr>
      </w:pPr>
      <w:r>
        <w:rPr>
          <w:rFonts w:ascii="Times New Roman" w:eastAsia="Times New Roman"/>
          <w:b/>
          <w:sz w:val="24"/>
        </w:rPr>
        <w:t>2</w:t>
      </w:r>
      <w:r>
        <w:rPr>
          <w:b/>
          <w:sz w:val="24"/>
        </w:rPr>
        <w:t>、匹配性分析</w:t>
      </w:r>
    </w:p>
    <w:p>
      <w:pPr>
        <w:pStyle w:val="ListParagraph"/>
        <w:numPr>
          <w:ilvl w:val="0"/>
          <w:numId w:val="17"/>
        </w:numPr>
        <w:tabs>
          <w:tab w:pos="980" w:val="left" w:leader="none"/>
        </w:tabs>
        <w:spacing w:line="240" w:lineRule="auto" w:before="161" w:after="0"/>
        <w:ind w:left="979" w:right="0" w:hanging="282"/>
        <w:jc w:val="left"/>
        <w:rPr>
          <w:sz w:val="24"/>
        </w:rPr>
      </w:pPr>
      <w:r>
        <w:rPr>
          <w:sz w:val="24"/>
        </w:rPr>
        <w:t>装料系数符合性分析</w:t>
      </w:r>
    </w:p>
    <w:p>
      <w:pPr>
        <w:pStyle w:val="BodyText"/>
        <w:spacing w:before="158"/>
        <w:ind w:left="698"/>
      </w:pPr>
      <w:r>
        <w:rPr/>
        <w:t>本项目装料系数符合性见下表。</w:t>
      </w:r>
    </w:p>
    <w:p>
      <w:pPr>
        <w:pStyle w:val="BodyText"/>
        <w:spacing w:before="7"/>
        <w:rPr>
          <w:sz w:val="23"/>
        </w:rPr>
      </w:pPr>
    </w:p>
    <w:p>
      <w:pPr>
        <w:pStyle w:val="Heading4"/>
        <w:tabs>
          <w:tab w:pos="1222" w:val="left" w:leader="none"/>
        </w:tabs>
        <w:spacing w:before="1" w:after="28"/>
        <w:ind w:left="0" w:right="18"/>
        <w:jc w:val="center"/>
      </w:pPr>
      <w:r>
        <w:rPr/>
        <w:t>表</w:t>
      </w:r>
      <w:r>
        <w:rPr>
          <w:spacing w:val="-60"/>
        </w:rPr>
        <w:t> </w:t>
      </w:r>
      <w:r>
        <w:rPr>
          <w:rFonts w:ascii="Times New Roman" w:eastAsia="Times New Roman"/>
        </w:rPr>
        <w:t>4.2.1-2</w:t>
        <w:tab/>
      </w:r>
      <w:r>
        <w:rPr/>
        <w:t>主要工序设备装料系数符合性分析</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1323"/>
        <w:gridCol w:w="1100"/>
        <w:gridCol w:w="703"/>
        <w:gridCol w:w="1635"/>
        <w:gridCol w:w="1015"/>
        <w:gridCol w:w="1322"/>
        <w:gridCol w:w="1325"/>
      </w:tblGrid>
      <w:tr>
        <w:trPr>
          <w:trHeight w:val="282" w:hRule="atLeast"/>
        </w:trPr>
        <w:tc>
          <w:tcPr>
            <w:tcW w:w="706" w:type="dxa"/>
          </w:tcPr>
          <w:p>
            <w:pPr>
              <w:pStyle w:val="TableParagraph"/>
              <w:spacing w:line="257" w:lineRule="exact" w:before="6"/>
              <w:ind w:left="15" w:right="6"/>
              <w:rPr>
                <w:b/>
                <w:sz w:val="21"/>
              </w:rPr>
            </w:pPr>
            <w:r>
              <w:rPr>
                <w:b/>
                <w:sz w:val="21"/>
              </w:rPr>
              <w:t>序号</w:t>
            </w:r>
          </w:p>
        </w:tc>
        <w:tc>
          <w:tcPr>
            <w:tcW w:w="1323" w:type="dxa"/>
          </w:tcPr>
          <w:p>
            <w:pPr>
              <w:pStyle w:val="TableParagraph"/>
              <w:spacing w:line="257" w:lineRule="exact" w:before="6"/>
              <w:ind w:left="217" w:right="212"/>
              <w:rPr>
                <w:b/>
                <w:sz w:val="21"/>
              </w:rPr>
            </w:pPr>
            <w:r>
              <w:rPr>
                <w:b/>
                <w:sz w:val="21"/>
              </w:rPr>
              <w:t>设备名称</w:t>
            </w:r>
          </w:p>
        </w:tc>
        <w:tc>
          <w:tcPr>
            <w:tcW w:w="1100" w:type="dxa"/>
          </w:tcPr>
          <w:p>
            <w:pPr>
              <w:pStyle w:val="TableParagraph"/>
              <w:spacing w:line="257" w:lineRule="exact" w:before="6"/>
              <w:ind w:left="202"/>
              <w:jc w:val="left"/>
              <w:rPr>
                <w:rFonts w:ascii="Times New Roman" w:eastAsia="Times New Roman"/>
                <w:b/>
                <w:sz w:val="21"/>
              </w:rPr>
            </w:pPr>
            <w:r>
              <w:rPr>
                <w:b/>
                <w:sz w:val="21"/>
              </w:rPr>
              <w:t>容积</w:t>
            </w:r>
            <w:r>
              <w:rPr>
                <w:rFonts w:ascii="Times New Roman" w:eastAsia="Times New Roman"/>
                <w:b/>
                <w:sz w:val="21"/>
              </w:rPr>
              <w:t>(</w:t>
            </w:r>
            <w:r>
              <w:rPr>
                <w:rFonts w:ascii="Times New Roman" w:eastAsia="Times New Roman"/>
                <w:sz w:val="21"/>
              </w:rPr>
              <w:t>L</w:t>
            </w:r>
            <w:r>
              <w:rPr>
                <w:rFonts w:ascii="Times New Roman" w:eastAsia="Times New Roman"/>
                <w:b/>
                <w:sz w:val="21"/>
              </w:rPr>
              <w:t>)</w:t>
            </w:r>
          </w:p>
        </w:tc>
        <w:tc>
          <w:tcPr>
            <w:tcW w:w="703" w:type="dxa"/>
          </w:tcPr>
          <w:p>
            <w:pPr>
              <w:pStyle w:val="TableParagraph"/>
              <w:spacing w:line="257" w:lineRule="exact" w:before="6"/>
              <w:ind w:left="137"/>
              <w:jc w:val="left"/>
              <w:rPr>
                <w:b/>
                <w:sz w:val="21"/>
              </w:rPr>
            </w:pPr>
            <w:r>
              <w:rPr>
                <w:b/>
                <w:sz w:val="21"/>
              </w:rPr>
              <w:t>工序</w:t>
            </w:r>
          </w:p>
        </w:tc>
        <w:tc>
          <w:tcPr>
            <w:tcW w:w="1635" w:type="dxa"/>
          </w:tcPr>
          <w:p>
            <w:pPr>
              <w:pStyle w:val="TableParagraph"/>
              <w:spacing w:line="257" w:lineRule="exact" w:before="6"/>
              <w:ind w:left="286"/>
              <w:jc w:val="left"/>
              <w:rPr>
                <w:b/>
                <w:sz w:val="21"/>
              </w:rPr>
            </w:pPr>
            <w:r>
              <w:rPr>
                <w:b/>
                <w:sz w:val="21"/>
              </w:rPr>
              <w:t>单批物料量</w:t>
            </w:r>
          </w:p>
        </w:tc>
        <w:tc>
          <w:tcPr>
            <w:tcW w:w="1015" w:type="dxa"/>
          </w:tcPr>
          <w:p>
            <w:pPr>
              <w:pStyle w:val="TableParagraph"/>
              <w:spacing w:line="257" w:lineRule="exact" w:before="6"/>
              <w:ind w:left="185"/>
              <w:jc w:val="left"/>
              <w:rPr>
                <w:b/>
                <w:sz w:val="21"/>
              </w:rPr>
            </w:pPr>
            <w:r>
              <w:rPr>
                <w:b/>
                <w:sz w:val="21"/>
              </w:rPr>
              <w:t>折容积</w:t>
            </w:r>
          </w:p>
        </w:tc>
        <w:tc>
          <w:tcPr>
            <w:tcW w:w="1322" w:type="dxa"/>
          </w:tcPr>
          <w:p>
            <w:pPr>
              <w:pStyle w:val="TableParagraph"/>
              <w:spacing w:line="257" w:lineRule="exact" w:before="6"/>
              <w:ind w:left="236"/>
              <w:jc w:val="left"/>
              <w:rPr>
                <w:b/>
                <w:sz w:val="21"/>
              </w:rPr>
            </w:pPr>
            <w:r>
              <w:rPr>
                <w:b/>
                <w:sz w:val="21"/>
              </w:rPr>
              <w:t>装料系数</w:t>
            </w:r>
          </w:p>
        </w:tc>
        <w:tc>
          <w:tcPr>
            <w:tcW w:w="1325" w:type="dxa"/>
          </w:tcPr>
          <w:p>
            <w:pPr>
              <w:pStyle w:val="TableParagraph"/>
              <w:spacing w:line="257" w:lineRule="exact" w:before="6"/>
              <w:ind w:left="239"/>
              <w:jc w:val="left"/>
              <w:rPr>
                <w:b/>
                <w:sz w:val="21"/>
              </w:rPr>
            </w:pPr>
            <w:r>
              <w:rPr>
                <w:b/>
                <w:sz w:val="21"/>
              </w:rPr>
              <w:t>是否符合</w:t>
            </w:r>
          </w:p>
        </w:tc>
      </w:tr>
      <w:tr>
        <w:trPr>
          <w:trHeight w:val="285" w:hRule="atLeast"/>
        </w:trPr>
        <w:tc>
          <w:tcPr>
            <w:tcW w:w="706" w:type="dxa"/>
          </w:tcPr>
          <w:p>
            <w:pPr>
              <w:pStyle w:val="TableParagraph"/>
              <w:spacing w:before="22"/>
              <w:ind w:left="9"/>
              <w:rPr>
                <w:rFonts w:ascii="Times New Roman"/>
                <w:sz w:val="21"/>
              </w:rPr>
            </w:pPr>
            <w:r>
              <w:rPr>
                <w:rFonts w:ascii="Times New Roman"/>
                <w:w w:val="100"/>
                <w:sz w:val="21"/>
              </w:rPr>
              <w:t>1</w:t>
            </w:r>
          </w:p>
        </w:tc>
        <w:tc>
          <w:tcPr>
            <w:tcW w:w="1323" w:type="dxa"/>
          </w:tcPr>
          <w:p>
            <w:pPr>
              <w:pStyle w:val="TableParagraph"/>
              <w:spacing w:line="257" w:lineRule="exact" w:before="8"/>
              <w:ind w:left="217" w:right="212"/>
              <w:rPr>
                <w:b/>
                <w:sz w:val="21"/>
              </w:rPr>
            </w:pPr>
            <w:r>
              <w:rPr>
                <w:b/>
                <w:color w:val="FF0000"/>
                <w:sz w:val="21"/>
              </w:rPr>
              <w:t>涉密删除</w:t>
            </w:r>
          </w:p>
        </w:tc>
        <w:tc>
          <w:tcPr>
            <w:tcW w:w="1100" w:type="dxa"/>
          </w:tcPr>
          <w:p>
            <w:pPr>
              <w:pStyle w:val="TableParagraph"/>
              <w:jc w:val="left"/>
              <w:rPr>
                <w:rFonts w:ascii="Times New Roman"/>
                <w:sz w:val="20"/>
              </w:rPr>
            </w:pPr>
          </w:p>
        </w:tc>
        <w:tc>
          <w:tcPr>
            <w:tcW w:w="703" w:type="dxa"/>
          </w:tcPr>
          <w:p>
            <w:pPr>
              <w:pStyle w:val="TableParagraph"/>
              <w:jc w:val="left"/>
              <w:rPr>
                <w:rFonts w:ascii="Times New Roman"/>
                <w:sz w:val="20"/>
              </w:rPr>
            </w:pPr>
          </w:p>
        </w:tc>
        <w:tc>
          <w:tcPr>
            <w:tcW w:w="1635" w:type="dxa"/>
          </w:tcPr>
          <w:p>
            <w:pPr>
              <w:pStyle w:val="TableParagraph"/>
              <w:jc w:val="left"/>
              <w:rPr>
                <w:rFonts w:ascii="Times New Roman"/>
                <w:sz w:val="20"/>
              </w:rPr>
            </w:pPr>
          </w:p>
        </w:tc>
        <w:tc>
          <w:tcPr>
            <w:tcW w:w="1015" w:type="dxa"/>
          </w:tcPr>
          <w:p>
            <w:pPr>
              <w:pStyle w:val="TableParagraph"/>
              <w:jc w:val="left"/>
              <w:rPr>
                <w:rFonts w:ascii="Times New Roman"/>
                <w:sz w:val="20"/>
              </w:rPr>
            </w:pPr>
          </w:p>
        </w:tc>
        <w:tc>
          <w:tcPr>
            <w:tcW w:w="1322" w:type="dxa"/>
          </w:tcPr>
          <w:p>
            <w:pPr>
              <w:pStyle w:val="TableParagraph"/>
              <w:jc w:val="left"/>
              <w:rPr>
                <w:rFonts w:ascii="Times New Roman"/>
                <w:sz w:val="20"/>
              </w:rPr>
            </w:pPr>
          </w:p>
        </w:tc>
        <w:tc>
          <w:tcPr>
            <w:tcW w:w="1325" w:type="dxa"/>
          </w:tcPr>
          <w:p>
            <w:pPr>
              <w:pStyle w:val="TableParagraph"/>
              <w:jc w:val="left"/>
              <w:rPr>
                <w:rFonts w:ascii="Times New Roman"/>
                <w:sz w:val="20"/>
              </w:rPr>
            </w:pPr>
          </w:p>
        </w:tc>
      </w:tr>
      <w:tr>
        <w:trPr>
          <w:trHeight w:val="282" w:hRule="atLeast"/>
        </w:trPr>
        <w:tc>
          <w:tcPr>
            <w:tcW w:w="706" w:type="dxa"/>
          </w:tcPr>
          <w:p>
            <w:pPr>
              <w:pStyle w:val="TableParagraph"/>
              <w:spacing w:before="19"/>
              <w:ind w:left="9"/>
              <w:rPr>
                <w:rFonts w:ascii="Times New Roman"/>
                <w:sz w:val="21"/>
              </w:rPr>
            </w:pPr>
            <w:r>
              <w:rPr>
                <w:rFonts w:ascii="Times New Roman"/>
                <w:w w:val="100"/>
                <w:sz w:val="21"/>
              </w:rPr>
              <w:t>2</w:t>
            </w:r>
          </w:p>
        </w:tc>
        <w:tc>
          <w:tcPr>
            <w:tcW w:w="1323"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703" w:type="dxa"/>
          </w:tcPr>
          <w:p>
            <w:pPr>
              <w:pStyle w:val="TableParagraph"/>
              <w:jc w:val="left"/>
              <w:rPr>
                <w:rFonts w:ascii="Times New Roman"/>
                <w:sz w:val="20"/>
              </w:rPr>
            </w:pPr>
          </w:p>
        </w:tc>
        <w:tc>
          <w:tcPr>
            <w:tcW w:w="1635" w:type="dxa"/>
          </w:tcPr>
          <w:p>
            <w:pPr>
              <w:pStyle w:val="TableParagraph"/>
              <w:jc w:val="left"/>
              <w:rPr>
                <w:rFonts w:ascii="Times New Roman"/>
                <w:sz w:val="20"/>
              </w:rPr>
            </w:pPr>
          </w:p>
        </w:tc>
        <w:tc>
          <w:tcPr>
            <w:tcW w:w="1015" w:type="dxa"/>
          </w:tcPr>
          <w:p>
            <w:pPr>
              <w:pStyle w:val="TableParagraph"/>
              <w:jc w:val="left"/>
              <w:rPr>
                <w:rFonts w:ascii="Times New Roman"/>
                <w:sz w:val="20"/>
              </w:rPr>
            </w:pPr>
          </w:p>
        </w:tc>
        <w:tc>
          <w:tcPr>
            <w:tcW w:w="1322" w:type="dxa"/>
          </w:tcPr>
          <w:p>
            <w:pPr>
              <w:pStyle w:val="TableParagraph"/>
              <w:jc w:val="left"/>
              <w:rPr>
                <w:rFonts w:ascii="Times New Roman"/>
                <w:sz w:val="20"/>
              </w:rPr>
            </w:pPr>
          </w:p>
        </w:tc>
        <w:tc>
          <w:tcPr>
            <w:tcW w:w="1325" w:type="dxa"/>
          </w:tcPr>
          <w:p>
            <w:pPr>
              <w:pStyle w:val="TableParagraph"/>
              <w:jc w:val="left"/>
              <w:rPr>
                <w:rFonts w:ascii="Times New Roman"/>
                <w:sz w:val="20"/>
              </w:rPr>
            </w:pPr>
          </w:p>
        </w:tc>
      </w:tr>
    </w:tbl>
    <w:p>
      <w:pPr>
        <w:pStyle w:val="BodyText"/>
        <w:spacing w:before="2"/>
        <w:ind w:left="698"/>
      </w:pPr>
      <w:r>
        <w:rPr/>
        <w:t>由上分析可知，项目批式生产的主要设备装料系数符合化工企业生产情况。</w:t>
      </w:r>
    </w:p>
    <w:p>
      <w:pPr>
        <w:pStyle w:val="ListParagraph"/>
        <w:numPr>
          <w:ilvl w:val="0"/>
          <w:numId w:val="17"/>
        </w:numPr>
        <w:tabs>
          <w:tab w:pos="980" w:val="left" w:leader="none"/>
        </w:tabs>
        <w:spacing w:line="240" w:lineRule="auto" w:before="161" w:after="0"/>
        <w:ind w:left="979" w:right="0" w:hanging="282"/>
        <w:jc w:val="left"/>
        <w:rPr>
          <w:sz w:val="24"/>
        </w:rPr>
      </w:pPr>
      <w:r>
        <w:rPr>
          <w:sz w:val="24"/>
        </w:rPr>
        <w:t>生产设备与产能匹配性分析</w:t>
      </w:r>
    </w:p>
    <w:p>
      <w:pPr>
        <w:pStyle w:val="BodyText"/>
        <w:spacing w:before="158"/>
        <w:ind w:left="698"/>
      </w:pPr>
      <w:r>
        <w:rPr/>
        <w:t>本项目主要生产设备产能匹配性分析见下表。</w:t>
      </w:r>
    </w:p>
    <w:p>
      <w:pPr>
        <w:pStyle w:val="BodyText"/>
        <w:spacing w:before="7"/>
        <w:rPr>
          <w:sz w:val="23"/>
        </w:rPr>
      </w:pPr>
    </w:p>
    <w:p>
      <w:pPr>
        <w:pStyle w:val="Heading4"/>
        <w:tabs>
          <w:tab w:pos="1222" w:val="left" w:leader="none"/>
        </w:tabs>
        <w:spacing w:after="29"/>
        <w:ind w:left="0" w:right="16"/>
        <w:jc w:val="center"/>
      </w:pPr>
      <w:r>
        <w:rPr/>
        <w:t>表</w:t>
      </w:r>
      <w:r>
        <w:rPr>
          <w:spacing w:val="-60"/>
        </w:rPr>
        <w:t> </w:t>
      </w:r>
      <w:r>
        <w:rPr>
          <w:rFonts w:ascii="Times New Roman" w:eastAsia="Times New Roman"/>
        </w:rPr>
        <w:t>4.2.1-2</w:t>
        <w:tab/>
      </w:r>
      <w:r>
        <w:rPr/>
        <w:t>三环唑主要工序设备与产能匹配性分析</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1200"/>
        <w:gridCol w:w="850"/>
        <w:gridCol w:w="1136"/>
        <w:gridCol w:w="1419"/>
        <w:gridCol w:w="1134"/>
        <w:gridCol w:w="1114"/>
        <w:gridCol w:w="963"/>
        <w:gridCol w:w="967"/>
      </w:tblGrid>
      <w:tr>
        <w:trPr>
          <w:trHeight w:val="545" w:hRule="atLeast"/>
        </w:trPr>
        <w:tc>
          <w:tcPr>
            <w:tcW w:w="427" w:type="dxa"/>
          </w:tcPr>
          <w:p>
            <w:pPr>
              <w:pStyle w:val="TableParagraph"/>
              <w:spacing w:before="1"/>
              <w:ind w:left="105"/>
              <w:jc w:val="left"/>
              <w:rPr>
                <w:b/>
                <w:sz w:val="21"/>
              </w:rPr>
            </w:pPr>
            <w:r>
              <w:rPr>
                <w:b/>
                <w:w w:val="100"/>
                <w:sz w:val="21"/>
              </w:rPr>
              <w:t>序</w:t>
            </w:r>
          </w:p>
          <w:p>
            <w:pPr>
              <w:pStyle w:val="TableParagraph"/>
              <w:spacing w:line="250" w:lineRule="exact" w:before="5"/>
              <w:ind w:left="105"/>
              <w:jc w:val="left"/>
              <w:rPr>
                <w:b/>
                <w:sz w:val="21"/>
              </w:rPr>
            </w:pPr>
            <w:r>
              <w:rPr>
                <w:b/>
                <w:w w:val="100"/>
                <w:sz w:val="21"/>
              </w:rPr>
              <w:t>号</w:t>
            </w:r>
          </w:p>
        </w:tc>
        <w:tc>
          <w:tcPr>
            <w:tcW w:w="1200" w:type="dxa"/>
          </w:tcPr>
          <w:p>
            <w:pPr>
              <w:pStyle w:val="TableParagraph"/>
              <w:spacing w:before="138"/>
              <w:ind w:left="155" w:right="145"/>
              <w:rPr>
                <w:b/>
                <w:sz w:val="21"/>
              </w:rPr>
            </w:pPr>
            <w:r>
              <w:rPr>
                <w:b/>
                <w:sz w:val="21"/>
              </w:rPr>
              <w:t>设备名称</w:t>
            </w:r>
          </w:p>
        </w:tc>
        <w:tc>
          <w:tcPr>
            <w:tcW w:w="850" w:type="dxa"/>
          </w:tcPr>
          <w:p>
            <w:pPr>
              <w:pStyle w:val="TableParagraph"/>
              <w:spacing w:before="138"/>
              <w:ind w:left="35"/>
              <w:jc w:val="left"/>
              <w:rPr>
                <w:rFonts w:ascii="Times New Roman" w:eastAsia="Times New Roman"/>
                <w:b/>
                <w:sz w:val="21"/>
              </w:rPr>
            </w:pPr>
            <w:r>
              <w:rPr>
                <w:b/>
                <w:sz w:val="21"/>
              </w:rPr>
              <w:t>数量</w:t>
            </w:r>
            <w:r>
              <w:rPr>
                <w:rFonts w:ascii="Times New Roman" w:eastAsia="Times New Roman"/>
                <w:b/>
                <w:sz w:val="21"/>
              </w:rPr>
              <w:t>(</w:t>
            </w:r>
            <w:r>
              <w:rPr>
                <w:b/>
                <w:sz w:val="21"/>
              </w:rPr>
              <w:t>台</w:t>
            </w:r>
            <w:r>
              <w:rPr>
                <w:rFonts w:ascii="Times New Roman" w:eastAsia="Times New Roman"/>
                <w:b/>
                <w:sz w:val="21"/>
              </w:rPr>
              <w:t>)</w:t>
            </w:r>
          </w:p>
        </w:tc>
        <w:tc>
          <w:tcPr>
            <w:tcW w:w="1136" w:type="dxa"/>
          </w:tcPr>
          <w:p>
            <w:pPr>
              <w:pStyle w:val="TableParagraph"/>
              <w:spacing w:before="138"/>
              <w:ind w:left="355"/>
              <w:jc w:val="left"/>
              <w:rPr>
                <w:b/>
                <w:sz w:val="21"/>
              </w:rPr>
            </w:pPr>
            <w:r>
              <w:rPr>
                <w:b/>
                <w:sz w:val="21"/>
              </w:rPr>
              <w:t>工序</w:t>
            </w:r>
          </w:p>
        </w:tc>
        <w:tc>
          <w:tcPr>
            <w:tcW w:w="1419" w:type="dxa"/>
          </w:tcPr>
          <w:p>
            <w:pPr>
              <w:pStyle w:val="TableParagraph"/>
              <w:spacing w:before="16"/>
              <w:ind w:left="5"/>
              <w:rPr>
                <w:b/>
                <w:sz w:val="21"/>
              </w:rPr>
            </w:pPr>
            <w:r>
              <w:rPr>
                <w:b/>
                <w:sz w:val="21"/>
              </w:rPr>
              <w:t>单批生产时间</w:t>
            </w:r>
          </w:p>
          <w:p>
            <w:pPr>
              <w:pStyle w:val="TableParagraph"/>
              <w:spacing w:line="236" w:lineRule="exact" w:before="4"/>
              <w:ind w:left="3"/>
              <w:rPr>
                <w:rFonts w:ascii="Times New Roman"/>
                <w:b/>
                <w:sz w:val="21"/>
              </w:rPr>
            </w:pPr>
            <w:r>
              <w:rPr>
                <w:rFonts w:ascii="Times New Roman"/>
                <w:b/>
                <w:w w:val="100"/>
                <w:sz w:val="21"/>
              </w:rPr>
              <w:t>h</w:t>
            </w:r>
          </w:p>
        </w:tc>
        <w:tc>
          <w:tcPr>
            <w:tcW w:w="1134" w:type="dxa"/>
          </w:tcPr>
          <w:p>
            <w:pPr>
              <w:pStyle w:val="TableParagraph"/>
              <w:spacing w:before="1"/>
              <w:ind w:left="115" w:right="114"/>
              <w:rPr>
                <w:b/>
                <w:sz w:val="21"/>
              </w:rPr>
            </w:pPr>
            <w:r>
              <w:rPr>
                <w:b/>
                <w:sz w:val="21"/>
              </w:rPr>
              <w:t>年最大生</w:t>
            </w:r>
          </w:p>
          <w:p>
            <w:pPr>
              <w:pStyle w:val="TableParagraph"/>
              <w:spacing w:line="250" w:lineRule="exact" w:before="5"/>
              <w:ind w:left="115" w:right="113"/>
              <w:rPr>
                <w:b/>
                <w:sz w:val="21"/>
              </w:rPr>
            </w:pPr>
            <w:r>
              <w:rPr>
                <w:b/>
                <w:sz w:val="21"/>
              </w:rPr>
              <w:t>产批次</w:t>
            </w:r>
          </w:p>
        </w:tc>
        <w:tc>
          <w:tcPr>
            <w:tcW w:w="1114" w:type="dxa"/>
          </w:tcPr>
          <w:p>
            <w:pPr>
              <w:pStyle w:val="TableParagraph"/>
              <w:spacing w:before="1"/>
              <w:ind w:left="7" w:right="2"/>
              <w:rPr>
                <w:b/>
                <w:sz w:val="21"/>
              </w:rPr>
            </w:pPr>
            <w:r>
              <w:rPr>
                <w:b/>
                <w:sz w:val="21"/>
              </w:rPr>
              <w:t>本项目生产</w:t>
            </w:r>
          </w:p>
          <w:p>
            <w:pPr>
              <w:pStyle w:val="TableParagraph"/>
              <w:spacing w:line="250" w:lineRule="exact" w:before="5"/>
              <w:ind w:left="2" w:right="2"/>
              <w:rPr>
                <w:b/>
                <w:sz w:val="21"/>
              </w:rPr>
            </w:pPr>
            <w:r>
              <w:rPr>
                <w:b/>
                <w:sz w:val="21"/>
              </w:rPr>
              <w:t>批次</w:t>
            </w:r>
          </w:p>
        </w:tc>
        <w:tc>
          <w:tcPr>
            <w:tcW w:w="963" w:type="dxa"/>
          </w:tcPr>
          <w:p>
            <w:pPr>
              <w:pStyle w:val="TableParagraph"/>
              <w:spacing w:before="1"/>
              <w:ind w:left="51" w:right="49"/>
              <w:rPr>
                <w:b/>
                <w:sz w:val="21"/>
              </w:rPr>
            </w:pPr>
            <w:r>
              <w:rPr>
                <w:b/>
                <w:sz w:val="21"/>
              </w:rPr>
              <w:t>生产负</w:t>
            </w:r>
          </w:p>
          <w:p>
            <w:pPr>
              <w:pStyle w:val="TableParagraph"/>
              <w:spacing w:line="250" w:lineRule="exact" w:before="5"/>
              <w:ind w:left="2"/>
              <w:rPr>
                <w:b/>
                <w:sz w:val="21"/>
              </w:rPr>
            </w:pPr>
            <w:r>
              <w:rPr>
                <w:b/>
                <w:w w:val="100"/>
                <w:sz w:val="21"/>
              </w:rPr>
              <w:t>荷</w:t>
            </w:r>
          </w:p>
        </w:tc>
        <w:tc>
          <w:tcPr>
            <w:tcW w:w="967" w:type="dxa"/>
          </w:tcPr>
          <w:p>
            <w:pPr>
              <w:pStyle w:val="TableParagraph"/>
              <w:spacing w:before="1"/>
              <w:ind w:left="136" w:right="137"/>
              <w:rPr>
                <w:b/>
                <w:sz w:val="21"/>
              </w:rPr>
            </w:pPr>
            <w:r>
              <w:rPr>
                <w:b/>
                <w:sz w:val="21"/>
              </w:rPr>
              <w:t>是否匹</w:t>
            </w:r>
          </w:p>
          <w:p>
            <w:pPr>
              <w:pStyle w:val="TableParagraph"/>
              <w:spacing w:line="250" w:lineRule="exact" w:before="5"/>
              <w:ind w:right="1"/>
              <w:rPr>
                <w:b/>
                <w:sz w:val="21"/>
              </w:rPr>
            </w:pPr>
            <w:r>
              <w:rPr>
                <w:b/>
                <w:w w:val="100"/>
                <w:sz w:val="21"/>
              </w:rPr>
              <w:t>配</w:t>
            </w:r>
          </w:p>
        </w:tc>
      </w:tr>
      <w:tr>
        <w:trPr>
          <w:trHeight w:val="285" w:hRule="atLeast"/>
        </w:trPr>
        <w:tc>
          <w:tcPr>
            <w:tcW w:w="427" w:type="dxa"/>
          </w:tcPr>
          <w:p>
            <w:pPr>
              <w:pStyle w:val="TableParagraph"/>
              <w:spacing w:before="22"/>
              <w:ind w:left="5"/>
              <w:rPr>
                <w:rFonts w:ascii="Times New Roman"/>
                <w:sz w:val="21"/>
              </w:rPr>
            </w:pPr>
            <w:r>
              <w:rPr>
                <w:rFonts w:ascii="Times New Roman"/>
                <w:w w:val="100"/>
                <w:sz w:val="21"/>
              </w:rPr>
              <w:t>1</w:t>
            </w:r>
          </w:p>
        </w:tc>
        <w:tc>
          <w:tcPr>
            <w:tcW w:w="1200" w:type="dxa"/>
          </w:tcPr>
          <w:p>
            <w:pPr>
              <w:pStyle w:val="TableParagraph"/>
              <w:spacing w:line="257" w:lineRule="exact" w:before="8"/>
              <w:ind w:left="155" w:right="145"/>
              <w:rPr>
                <w:b/>
                <w:sz w:val="21"/>
              </w:rPr>
            </w:pPr>
            <w:r>
              <w:rPr>
                <w:b/>
                <w:color w:val="FF0000"/>
                <w:sz w:val="21"/>
              </w:rPr>
              <w:t>涉密删除</w:t>
            </w:r>
          </w:p>
        </w:tc>
        <w:tc>
          <w:tcPr>
            <w:tcW w:w="850" w:type="dxa"/>
          </w:tcPr>
          <w:p>
            <w:pPr>
              <w:pStyle w:val="TableParagraph"/>
              <w:jc w:val="left"/>
              <w:rPr>
                <w:rFonts w:ascii="Times New Roman"/>
                <w:sz w:val="20"/>
              </w:rPr>
            </w:pPr>
          </w:p>
        </w:tc>
        <w:tc>
          <w:tcPr>
            <w:tcW w:w="1136" w:type="dxa"/>
          </w:tcPr>
          <w:p>
            <w:pPr>
              <w:pStyle w:val="TableParagraph"/>
              <w:jc w:val="left"/>
              <w:rPr>
                <w:rFonts w:ascii="Times New Roman"/>
                <w:sz w:val="20"/>
              </w:rPr>
            </w:pPr>
          </w:p>
        </w:tc>
        <w:tc>
          <w:tcPr>
            <w:tcW w:w="1419" w:type="dxa"/>
          </w:tcPr>
          <w:p>
            <w:pPr>
              <w:pStyle w:val="TableParagraph"/>
              <w:jc w:val="left"/>
              <w:rPr>
                <w:rFonts w:ascii="Times New Roman"/>
                <w:sz w:val="20"/>
              </w:rPr>
            </w:pPr>
          </w:p>
        </w:tc>
        <w:tc>
          <w:tcPr>
            <w:tcW w:w="1134" w:type="dxa"/>
          </w:tcPr>
          <w:p>
            <w:pPr>
              <w:pStyle w:val="TableParagraph"/>
              <w:jc w:val="left"/>
              <w:rPr>
                <w:rFonts w:ascii="Times New Roman"/>
                <w:sz w:val="20"/>
              </w:rPr>
            </w:pPr>
          </w:p>
        </w:tc>
        <w:tc>
          <w:tcPr>
            <w:tcW w:w="1114" w:type="dxa"/>
          </w:tcPr>
          <w:p>
            <w:pPr>
              <w:pStyle w:val="TableParagraph"/>
              <w:jc w:val="left"/>
              <w:rPr>
                <w:rFonts w:ascii="Times New Roman"/>
                <w:sz w:val="20"/>
              </w:rPr>
            </w:pPr>
          </w:p>
        </w:tc>
        <w:tc>
          <w:tcPr>
            <w:tcW w:w="963" w:type="dxa"/>
          </w:tcPr>
          <w:p>
            <w:pPr>
              <w:pStyle w:val="TableParagraph"/>
              <w:jc w:val="left"/>
              <w:rPr>
                <w:rFonts w:ascii="Times New Roman"/>
                <w:sz w:val="20"/>
              </w:rPr>
            </w:pPr>
          </w:p>
        </w:tc>
        <w:tc>
          <w:tcPr>
            <w:tcW w:w="967" w:type="dxa"/>
          </w:tcPr>
          <w:p>
            <w:pPr>
              <w:pStyle w:val="TableParagraph"/>
              <w:jc w:val="left"/>
              <w:rPr>
                <w:rFonts w:ascii="Times New Roman"/>
                <w:sz w:val="20"/>
              </w:rPr>
            </w:pPr>
          </w:p>
        </w:tc>
      </w:tr>
      <w:tr>
        <w:trPr>
          <w:trHeight w:val="282" w:hRule="atLeast"/>
        </w:trPr>
        <w:tc>
          <w:tcPr>
            <w:tcW w:w="9210" w:type="dxa"/>
            <w:gridSpan w:val="9"/>
          </w:tcPr>
          <w:p>
            <w:pPr>
              <w:pStyle w:val="TableParagraph"/>
              <w:spacing w:line="257" w:lineRule="exact" w:before="5"/>
              <w:ind w:left="26"/>
              <w:jc w:val="left"/>
              <w:rPr>
                <w:rFonts w:ascii="Times New Roman" w:eastAsia="Times New Roman"/>
                <w:sz w:val="21"/>
              </w:rPr>
            </w:pPr>
            <w:r>
              <w:rPr>
                <w:sz w:val="21"/>
              </w:rPr>
              <w:t>注：年最大生产批次</w:t>
            </w:r>
            <w:r>
              <w:rPr>
                <w:rFonts w:ascii="Times New Roman" w:eastAsia="Times New Roman"/>
                <w:sz w:val="21"/>
              </w:rPr>
              <w:t>=</w:t>
            </w:r>
            <w:r>
              <w:rPr>
                <w:sz w:val="21"/>
              </w:rPr>
              <w:t>设备数量</w:t>
            </w:r>
            <w:r>
              <w:rPr>
                <w:rFonts w:ascii="Times New Roman" w:eastAsia="Times New Roman"/>
                <w:sz w:val="21"/>
              </w:rPr>
              <w:t>*24h/</w:t>
            </w:r>
            <w:r>
              <w:rPr>
                <w:sz w:val="21"/>
              </w:rPr>
              <w:t>单批生产时间</w:t>
            </w:r>
            <w:r>
              <w:rPr>
                <w:rFonts w:ascii="Times New Roman" w:eastAsia="Times New Roman"/>
                <w:sz w:val="21"/>
              </w:rPr>
              <w:t>*300(</w:t>
            </w:r>
            <w:r>
              <w:rPr>
                <w:sz w:val="21"/>
              </w:rPr>
              <w:t>生产天数</w:t>
            </w:r>
            <w:r>
              <w:rPr>
                <w:rFonts w:ascii="Times New Roman" w:eastAsia="Times New Roman"/>
                <w:sz w:val="21"/>
              </w:rPr>
              <w:t>)</w:t>
            </w:r>
          </w:p>
        </w:tc>
      </w:tr>
    </w:tbl>
    <w:p>
      <w:pPr>
        <w:pStyle w:val="BodyText"/>
        <w:spacing w:line="364" w:lineRule="auto" w:before="2"/>
        <w:ind w:left="218" w:right="163" w:firstLine="480"/>
      </w:pPr>
      <w:r>
        <w:rPr/>
        <w:t>由上分析可知，项目主要工序设备与产能负荷在 </w:t>
      </w:r>
      <w:r>
        <w:rPr>
          <w:rFonts w:ascii="Times New Roman" w:eastAsia="Times New Roman"/>
        </w:rPr>
        <w:t>86.8%</w:t>
      </w:r>
      <w:r>
        <w:rPr/>
        <w:t>左右，符合化工企业的生产特点。</w:t>
      </w:r>
    </w:p>
    <w:p>
      <w:pPr>
        <w:spacing w:after="0" w:line="364" w:lineRule="auto"/>
        <w:sectPr>
          <w:pgSz w:w="11910" w:h="16840"/>
          <w:pgMar w:header="872" w:footer="803" w:top="1340" w:bottom="1000" w:left="1200" w:right="1180"/>
        </w:sectPr>
      </w:pPr>
    </w:p>
    <w:p>
      <w:pPr>
        <w:pStyle w:val="Heading4"/>
        <w:numPr>
          <w:ilvl w:val="3"/>
          <w:numId w:val="13"/>
        </w:numPr>
        <w:tabs>
          <w:tab w:pos="1422" w:val="left" w:leader="none"/>
        </w:tabs>
        <w:spacing w:line="240" w:lineRule="auto" w:before="64" w:after="0"/>
        <w:ind w:left="1421" w:right="0" w:hanging="721"/>
        <w:jc w:val="left"/>
      </w:pPr>
      <w:r>
        <w:rPr/>
        <w:t>原辅材料消耗</w:t>
      </w:r>
    </w:p>
    <w:p>
      <w:pPr>
        <w:pStyle w:val="BodyText"/>
        <w:spacing w:before="5"/>
        <w:rPr>
          <w:b/>
          <w:sz w:val="23"/>
        </w:rPr>
      </w:pPr>
    </w:p>
    <w:p>
      <w:pPr>
        <w:tabs>
          <w:tab w:pos="1221" w:val="left" w:leader="none"/>
        </w:tabs>
        <w:spacing w:before="0" w:after="29"/>
        <w:ind w:left="0" w:right="16" w:firstLine="0"/>
        <w:jc w:val="center"/>
        <w:rPr>
          <w:b/>
          <w:sz w:val="24"/>
        </w:rPr>
      </w:pPr>
      <w:r>
        <w:rPr>
          <w:b/>
          <w:sz w:val="24"/>
        </w:rPr>
        <w:t>表</w:t>
      </w:r>
      <w:r>
        <w:rPr>
          <w:b/>
          <w:spacing w:val="-60"/>
          <w:sz w:val="24"/>
        </w:rPr>
        <w:t> </w:t>
      </w:r>
      <w:r>
        <w:rPr>
          <w:rFonts w:ascii="Times New Roman" w:eastAsia="Times New Roman"/>
          <w:b/>
          <w:sz w:val="24"/>
        </w:rPr>
        <w:t>4.2.1-3</w:t>
        <w:tab/>
      </w:r>
      <w:r>
        <w:rPr>
          <w:b/>
          <w:sz w:val="24"/>
        </w:rPr>
        <w:t>三环唑原辅材料消耗情况</w:t>
      </w:r>
    </w:p>
    <w:tbl>
      <w:tblPr>
        <w:tblW w:w="0" w:type="auto"/>
        <w:jc w:val="left"/>
        <w:tblInd w:w="1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61"/>
        <w:gridCol w:w="1695"/>
        <w:gridCol w:w="851"/>
        <w:gridCol w:w="1042"/>
        <w:gridCol w:w="946"/>
        <w:gridCol w:w="757"/>
        <w:gridCol w:w="802"/>
        <w:gridCol w:w="1133"/>
        <w:gridCol w:w="1446"/>
      </w:tblGrid>
      <w:tr>
        <w:trPr>
          <w:trHeight w:val="285" w:hRule="atLeast"/>
        </w:trPr>
        <w:tc>
          <w:tcPr>
            <w:tcW w:w="461" w:type="dxa"/>
            <w:vMerge w:val="restart"/>
          </w:tcPr>
          <w:p>
            <w:pPr>
              <w:pStyle w:val="TableParagraph"/>
              <w:spacing w:line="270" w:lineRule="atLeast" w:before="14"/>
              <w:ind w:left="124" w:right="118"/>
              <w:jc w:val="left"/>
              <w:rPr>
                <w:b/>
                <w:sz w:val="21"/>
              </w:rPr>
            </w:pPr>
            <w:r>
              <w:rPr>
                <w:b/>
                <w:sz w:val="21"/>
              </w:rPr>
              <w:t>序号</w:t>
            </w:r>
          </w:p>
        </w:tc>
        <w:tc>
          <w:tcPr>
            <w:tcW w:w="1695" w:type="dxa"/>
            <w:vMerge w:val="restart"/>
          </w:tcPr>
          <w:p>
            <w:pPr>
              <w:pStyle w:val="TableParagraph"/>
              <w:spacing w:before="152"/>
              <w:ind w:left="424"/>
              <w:jc w:val="left"/>
              <w:rPr>
                <w:b/>
                <w:sz w:val="21"/>
              </w:rPr>
            </w:pPr>
            <w:r>
              <w:rPr>
                <w:b/>
                <w:sz w:val="21"/>
              </w:rPr>
              <w:t>原料名称</w:t>
            </w:r>
          </w:p>
        </w:tc>
        <w:tc>
          <w:tcPr>
            <w:tcW w:w="851" w:type="dxa"/>
            <w:vMerge w:val="restart"/>
          </w:tcPr>
          <w:p>
            <w:pPr>
              <w:pStyle w:val="TableParagraph"/>
              <w:spacing w:before="152"/>
              <w:ind w:left="37"/>
              <w:jc w:val="left"/>
              <w:rPr>
                <w:rFonts w:ascii="Times New Roman" w:eastAsia="Times New Roman"/>
                <w:b/>
                <w:sz w:val="21"/>
              </w:rPr>
            </w:pPr>
            <w:r>
              <w:rPr>
                <w:b/>
                <w:sz w:val="21"/>
              </w:rPr>
              <w:t>规格</w:t>
            </w:r>
            <w:r>
              <w:rPr>
                <w:rFonts w:ascii="Times New Roman" w:eastAsia="Times New Roman"/>
                <w:b/>
                <w:sz w:val="21"/>
              </w:rPr>
              <w:t>(%)</w:t>
            </w:r>
          </w:p>
        </w:tc>
        <w:tc>
          <w:tcPr>
            <w:tcW w:w="1988" w:type="dxa"/>
            <w:gridSpan w:val="2"/>
          </w:tcPr>
          <w:p>
            <w:pPr>
              <w:pStyle w:val="TableParagraph"/>
              <w:spacing w:line="257" w:lineRule="exact" w:before="8"/>
              <w:ind w:left="360"/>
              <w:jc w:val="left"/>
              <w:rPr>
                <w:rFonts w:ascii="Times New Roman" w:eastAsia="Times New Roman"/>
                <w:b/>
                <w:sz w:val="21"/>
              </w:rPr>
            </w:pPr>
            <w:r>
              <w:rPr>
                <w:b/>
                <w:sz w:val="21"/>
              </w:rPr>
              <w:t>投料量</w:t>
            </w:r>
            <w:r>
              <w:rPr>
                <w:rFonts w:ascii="Times New Roman" w:eastAsia="Times New Roman"/>
                <w:b/>
                <w:sz w:val="21"/>
              </w:rPr>
              <w:t>(kg/</w:t>
            </w:r>
            <w:r>
              <w:rPr>
                <w:b/>
                <w:sz w:val="21"/>
              </w:rPr>
              <w:t>批</w:t>
            </w:r>
            <w:r>
              <w:rPr>
                <w:rFonts w:ascii="Times New Roman" w:eastAsia="Times New Roman"/>
                <w:b/>
                <w:sz w:val="21"/>
              </w:rPr>
              <w:t>)</w:t>
            </w:r>
          </w:p>
        </w:tc>
        <w:tc>
          <w:tcPr>
            <w:tcW w:w="757" w:type="dxa"/>
            <w:vMerge w:val="restart"/>
          </w:tcPr>
          <w:p>
            <w:pPr>
              <w:pStyle w:val="TableParagraph"/>
              <w:spacing w:before="32"/>
              <w:ind w:left="39" w:right="40"/>
              <w:rPr>
                <w:b/>
                <w:sz w:val="21"/>
              </w:rPr>
            </w:pPr>
            <w:r>
              <w:rPr>
                <w:b/>
                <w:sz w:val="21"/>
              </w:rPr>
              <w:t>投加量</w:t>
            </w:r>
          </w:p>
          <w:p>
            <w:pPr>
              <w:pStyle w:val="TableParagraph"/>
              <w:spacing w:before="2"/>
              <w:ind w:left="36" w:right="40"/>
              <w:rPr>
                <w:rFonts w:ascii="Times New Roman"/>
                <w:b/>
                <w:sz w:val="21"/>
              </w:rPr>
            </w:pPr>
            <w:r>
              <w:rPr>
                <w:rFonts w:ascii="Times New Roman"/>
                <w:b/>
                <w:sz w:val="21"/>
              </w:rPr>
              <w:t>(t/a)</w:t>
            </w:r>
          </w:p>
        </w:tc>
        <w:tc>
          <w:tcPr>
            <w:tcW w:w="802" w:type="dxa"/>
            <w:vMerge w:val="restart"/>
          </w:tcPr>
          <w:p>
            <w:pPr>
              <w:pStyle w:val="TableParagraph"/>
              <w:spacing w:before="32"/>
              <w:ind w:left="60" w:right="64"/>
              <w:rPr>
                <w:b/>
                <w:sz w:val="21"/>
              </w:rPr>
            </w:pPr>
            <w:r>
              <w:rPr>
                <w:b/>
                <w:sz w:val="21"/>
              </w:rPr>
              <w:t>消耗量</w:t>
            </w:r>
          </w:p>
          <w:p>
            <w:pPr>
              <w:pStyle w:val="TableParagraph"/>
              <w:spacing w:before="2"/>
              <w:ind w:left="60" w:right="61"/>
              <w:rPr>
                <w:rFonts w:ascii="Times New Roman"/>
                <w:b/>
                <w:sz w:val="21"/>
              </w:rPr>
            </w:pPr>
            <w:r>
              <w:rPr>
                <w:rFonts w:ascii="Times New Roman"/>
                <w:b/>
                <w:sz w:val="21"/>
              </w:rPr>
              <w:t>(t/a)</w:t>
            </w:r>
          </w:p>
        </w:tc>
        <w:tc>
          <w:tcPr>
            <w:tcW w:w="1133" w:type="dxa"/>
            <w:vMerge w:val="restart"/>
          </w:tcPr>
          <w:p>
            <w:pPr>
              <w:pStyle w:val="TableParagraph"/>
              <w:spacing w:before="15"/>
              <w:ind w:left="3" w:right="3"/>
              <w:rPr>
                <w:b/>
                <w:sz w:val="21"/>
              </w:rPr>
            </w:pPr>
            <w:r>
              <w:rPr>
                <w:b/>
                <w:sz w:val="21"/>
              </w:rPr>
              <w:t>单耗量</w:t>
            </w:r>
          </w:p>
          <w:p>
            <w:pPr>
              <w:pStyle w:val="TableParagraph"/>
              <w:spacing w:line="264" w:lineRule="exact" w:before="5"/>
              <w:ind w:left="3" w:right="3"/>
              <w:rPr>
                <w:rFonts w:ascii="Times New Roman" w:eastAsia="Times New Roman"/>
                <w:b/>
                <w:sz w:val="21"/>
              </w:rPr>
            </w:pPr>
            <w:r>
              <w:rPr>
                <w:rFonts w:ascii="Times New Roman" w:eastAsia="Times New Roman"/>
                <w:b/>
                <w:sz w:val="21"/>
              </w:rPr>
              <w:t>(kg/t </w:t>
            </w:r>
            <w:r>
              <w:rPr>
                <w:b/>
                <w:sz w:val="21"/>
              </w:rPr>
              <w:t>产品</w:t>
            </w:r>
            <w:r>
              <w:rPr>
                <w:rFonts w:ascii="Times New Roman" w:eastAsia="Times New Roman"/>
                <w:b/>
                <w:sz w:val="21"/>
              </w:rPr>
              <w:t>)</w:t>
            </w:r>
          </w:p>
        </w:tc>
        <w:tc>
          <w:tcPr>
            <w:tcW w:w="1446" w:type="dxa"/>
            <w:vMerge w:val="restart"/>
          </w:tcPr>
          <w:p>
            <w:pPr>
              <w:pStyle w:val="TableParagraph"/>
              <w:spacing w:before="152"/>
              <w:ind w:left="489" w:right="489"/>
              <w:rPr>
                <w:b/>
                <w:sz w:val="21"/>
              </w:rPr>
            </w:pPr>
            <w:r>
              <w:rPr>
                <w:b/>
                <w:sz w:val="21"/>
              </w:rPr>
              <w:t>备注</w:t>
            </w:r>
          </w:p>
        </w:tc>
      </w:tr>
      <w:tr>
        <w:trPr>
          <w:trHeight w:val="282" w:hRule="atLeast"/>
        </w:trPr>
        <w:tc>
          <w:tcPr>
            <w:tcW w:w="461" w:type="dxa"/>
            <w:vMerge/>
            <w:tcBorders>
              <w:top w:val="nil"/>
            </w:tcBorders>
          </w:tcPr>
          <w:p>
            <w:pPr>
              <w:rPr>
                <w:sz w:val="2"/>
                <w:szCs w:val="2"/>
              </w:rPr>
            </w:pPr>
          </w:p>
        </w:tc>
        <w:tc>
          <w:tcPr>
            <w:tcW w:w="1695" w:type="dxa"/>
            <w:vMerge/>
            <w:tcBorders>
              <w:top w:val="nil"/>
            </w:tcBorders>
          </w:tcPr>
          <w:p>
            <w:pPr>
              <w:rPr>
                <w:sz w:val="2"/>
                <w:szCs w:val="2"/>
              </w:rPr>
            </w:pPr>
          </w:p>
        </w:tc>
        <w:tc>
          <w:tcPr>
            <w:tcW w:w="851" w:type="dxa"/>
            <w:vMerge/>
            <w:tcBorders>
              <w:top w:val="nil"/>
            </w:tcBorders>
          </w:tcPr>
          <w:p>
            <w:pPr>
              <w:rPr>
                <w:sz w:val="2"/>
                <w:szCs w:val="2"/>
              </w:rPr>
            </w:pPr>
          </w:p>
        </w:tc>
        <w:tc>
          <w:tcPr>
            <w:tcW w:w="1042" w:type="dxa"/>
          </w:tcPr>
          <w:p>
            <w:pPr>
              <w:pStyle w:val="TableParagraph"/>
              <w:spacing w:line="257" w:lineRule="exact" w:before="6"/>
              <w:ind w:left="202"/>
              <w:jc w:val="left"/>
              <w:rPr>
                <w:b/>
                <w:sz w:val="21"/>
              </w:rPr>
            </w:pPr>
            <w:r>
              <w:rPr>
                <w:b/>
                <w:sz w:val="21"/>
              </w:rPr>
              <w:t>实投量</w:t>
            </w:r>
          </w:p>
        </w:tc>
        <w:tc>
          <w:tcPr>
            <w:tcW w:w="946" w:type="dxa"/>
          </w:tcPr>
          <w:p>
            <w:pPr>
              <w:pStyle w:val="TableParagraph"/>
              <w:spacing w:line="257" w:lineRule="exact" w:before="6"/>
              <w:ind w:left="151"/>
              <w:jc w:val="left"/>
              <w:rPr>
                <w:b/>
                <w:sz w:val="21"/>
              </w:rPr>
            </w:pPr>
            <w:r>
              <w:rPr>
                <w:b/>
                <w:sz w:val="21"/>
              </w:rPr>
              <w:t>折纯量</w:t>
            </w:r>
          </w:p>
        </w:tc>
        <w:tc>
          <w:tcPr>
            <w:tcW w:w="757" w:type="dxa"/>
            <w:vMerge/>
            <w:tcBorders>
              <w:top w:val="nil"/>
            </w:tcBorders>
          </w:tcPr>
          <w:p>
            <w:pPr>
              <w:rPr>
                <w:sz w:val="2"/>
                <w:szCs w:val="2"/>
              </w:rPr>
            </w:pPr>
          </w:p>
        </w:tc>
        <w:tc>
          <w:tcPr>
            <w:tcW w:w="802" w:type="dxa"/>
            <w:vMerge/>
            <w:tcBorders>
              <w:top w:val="nil"/>
            </w:tcBorders>
          </w:tcPr>
          <w:p>
            <w:pPr>
              <w:rPr>
                <w:sz w:val="2"/>
                <w:szCs w:val="2"/>
              </w:rPr>
            </w:pPr>
          </w:p>
        </w:tc>
        <w:tc>
          <w:tcPr>
            <w:tcW w:w="1133" w:type="dxa"/>
            <w:vMerge/>
            <w:tcBorders>
              <w:top w:val="nil"/>
            </w:tcBorders>
          </w:tcPr>
          <w:p>
            <w:pPr>
              <w:rPr>
                <w:sz w:val="2"/>
                <w:szCs w:val="2"/>
              </w:rPr>
            </w:pPr>
          </w:p>
        </w:tc>
        <w:tc>
          <w:tcPr>
            <w:tcW w:w="1446" w:type="dxa"/>
            <w:vMerge/>
            <w:tcBorders>
              <w:top w:val="nil"/>
            </w:tcBorders>
          </w:tcPr>
          <w:p>
            <w:pPr>
              <w:rPr>
                <w:sz w:val="2"/>
                <w:szCs w:val="2"/>
              </w:rPr>
            </w:pPr>
          </w:p>
        </w:tc>
      </w:tr>
      <w:tr>
        <w:trPr>
          <w:trHeight w:val="285" w:hRule="atLeast"/>
        </w:trPr>
        <w:tc>
          <w:tcPr>
            <w:tcW w:w="461" w:type="dxa"/>
          </w:tcPr>
          <w:p>
            <w:pPr>
              <w:pStyle w:val="TableParagraph"/>
              <w:spacing w:before="22"/>
              <w:ind w:right="170"/>
              <w:jc w:val="right"/>
              <w:rPr>
                <w:rFonts w:ascii="Times New Roman"/>
                <w:sz w:val="21"/>
              </w:rPr>
            </w:pPr>
            <w:r>
              <w:rPr>
                <w:rFonts w:ascii="Times New Roman"/>
                <w:w w:val="100"/>
                <w:sz w:val="21"/>
              </w:rPr>
              <w:t>1</w:t>
            </w:r>
          </w:p>
        </w:tc>
        <w:tc>
          <w:tcPr>
            <w:tcW w:w="1695" w:type="dxa"/>
          </w:tcPr>
          <w:p>
            <w:pPr>
              <w:pStyle w:val="TableParagraph"/>
              <w:spacing w:line="257" w:lineRule="exact" w:before="8"/>
              <w:ind w:left="424"/>
              <w:jc w:val="left"/>
              <w:rPr>
                <w:b/>
                <w:sz w:val="21"/>
              </w:rPr>
            </w:pPr>
            <w:r>
              <w:rPr>
                <w:b/>
                <w:color w:val="FF0000"/>
                <w:sz w:val="21"/>
              </w:rPr>
              <w:t>涉密删除</w:t>
            </w:r>
          </w:p>
        </w:tc>
        <w:tc>
          <w:tcPr>
            <w:tcW w:w="851" w:type="dxa"/>
          </w:tcPr>
          <w:p>
            <w:pPr>
              <w:pStyle w:val="TableParagraph"/>
              <w:jc w:val="left"/>
              <w:rPr>
                <w:rFonts w:ascii="Times New Roman"/>
                <w:sz w:val="20"/>
              </w:rPr>
            </w:pPr>
          </w:p>
        </w:tc>
        <w:tc>
          <w:tcPr>
            <w:tcW w:w="1042" w:type="dxa"/>
          </w:tcPr>
          <w:p>
            <w:pPr>
              <w:pStyle w:val="TableParagraph"/>
              <w:jc w:val="left"/>
              <w:rPr>
                <w:rFonts w:ascii="Times New Roman"/>
                <w:sz w:val="20"/>
              </w:rPr>
            </w:pPr>
          </w:p>
        </w:tc>
        <w:tc>
          <w:tcPr>
            <w:tcW w:w="946" w:type="dxa"/>
          </w:tcPr>
          <w:p>
            <w:pPr>
              <w:pStyle w:val="TableParagraph"/>
              <w:jc w:val="left"/>
              <w:rPr>
                <w:rFonts w:ascii="Times New Roman"/>
                <w:sz w:val="20"/>
              </w:rPr>
            </w:pPr>
          </w:p>
        </w:tc>
        <w:tc>
          <w:tcPr>
            <w:tcW w:w="757" w:type="dxa"/>
          </w:tcPr>
          <w:p>
            <w:pPr>
              <w:pStyle w:val="TableParagraph"/>
              <w:jc w:val="left"/>
              <w:rPr>
                <w:rFonts w:ascii="Times New Roman"/>
                <w:sz w:val="20"/>
              </w:rPr>
            </w:pPr>
          </w:p>
        </w:tc>
        <w:tc>
          <w:tcPr>
            <w:tcW w:w="802" w:type="dxa"/>
          </w:tcPr>
          <w:p>
            <w:pPr>
              <w:pStyle w:val="TableParagraph"/>
              <w:jc w:val="left"/>
              <w:rPr>
                <w:rFonts w:ascii="Times New Roman"/>
                <w:sz w:val="20"/>
              </w:rPr>
            </w:pPr>
          </w:p>
        </w:tc>
        <w:tc>
          <w:tcPr>
            <w:tcW w:w="1133" w:type="dxa"/>
          </w:tcPr>
          <w:p>
            <w:pPr>
              <w:pStyle w:val="TableParagraph"/>
              <w:jc w:val="left"/>
              <w:rPr>
                <w:rFonts w:ascii="Times New Roman"/>
                <w:sz w:val="20"/>
              </w:rPr>
            </w:pPr>
          </w:p>
        </w:tc>
        <w:tc>
          <w:tcPr>
            <w:tcW w:w="1446" w:type="dxa"/>
          </w:tcPr>
          <w:p>
            <w:pPr>
              <w:pStyle w:val="TableParagraph"/>
              <w:jc w:val="left"/>
              <w:rPr>
                <w:rFonts w:ascii="Times New Roman"/>
                <w:sz w:val="20"/>
              </w:rPr>
            </w:pPr>
          </w:p>
        </w:tc>
      </w:tr>
      <w:tr>
        <w:trPr>
          <w:trHeight w:val="282" w:hRule="atLeast"/>
        </w:trPr>
        <w:tc>
          <w:tcPr>
            <w:tcW w:w="461" w:type="dxa"/>
          </w:tcPr>
          <w:p>
            <w:pPr>
              <w:pStyle w:val="TableParagraph"/>
              <w:spacing w:before="20"/>
              <w:ind w:right="170"/>
              <w:jc w:val="right"/>
              <w:rPr>
                <w:rFonts w:ascii="Times New Roman"/>
                <w:sz w:val="21"/>
              </w:rPr>
            </w:pPr>
            <w:r>
              <w:rPr>
                <w:rFonts w:ascii="Times New Roman"/>
                <w:w w:val="100"/>
                <w:sz w:val="21"/>
              </w:rPr>
              <w:t>2</w:t>
            </w:r>
          </w:p>
        </w:tc>
        <w:tc>
          <w:tcPr>
            <w:tcW w:w="1695" w:type="dxa"/>
          </w:tcPr>
          <w:p>
            <w:pPr>
              <w:pStyle w:val="TableParagraph"/>
              <w:jc w:val="left"/>
              <w:rPr>
                <w:rFonts w:ascii="Times New Roman"/>
                <w:sz w:val="20"/>
              </w:rPr>
            </w:pPr>
          </w:p>
        </w:tc>
        <w:tc>
          <w:tcPr>
            <w:tcW w:w="851" w:type="dxa"/>
          </w:tcPr>
          <w:p>
            <w:pPr>
              <w:pStyle w:val="TableParagraph"/>
              <w:jc w:val="left"/>
              <w:rPr>
                <w:rFonts w:ascii="Times New Roman"/>
                <w:sz w:val="20"/>
              </w:rPr>
            </w:pPr>
          </w:p>
        </w:tc>
        <w:tc>
          <w:tcPr>
            <w:tcW w:w="1042" w:type="dxa"/>
          </w:tcPr>
          <w:p>
            <w:pPr>
              <w:pStyle w:val="TableParagraph"/>
              <w:jc w:val="left"/>
              <w:rPr>
                <w:rFonts w:ascii="Times New Roman"/>
                <w:sz w:val="20"/>
              </w:rPr>
            </w:pPr>
          </w:p>
        </w:tc>
        <w:tc>
          <w:tcPr>
            <w:tcW w:w="946" w:type="dxa"/>
          </w:tcPr>
          <w:p>
            <w:pPr>
              <w:pStyle w:val="TableParagraph"/>
              <w:jc w:val="left"/>
              <w:rPr>
                <w:rFonts w:ascii="Times New Roman"/>
                <w:sz w:val="20"/>
              </w:rPr>
            </w:pPr>
          </w:p>
        </w:tc>
        <w:tc>
          <w:tcPr>
            <w:tcW w:w="757" w:type="dxa"/>
          </w:tcPr>
          <w:p>
            <w:pPr>
              <w:pStyle w:val="TableParagraph"/>
              <w:jc w:val="left"/>
              <w:rPr>
                <w:rFonts w:ascii="Times New Roman"/>
                <w:sz w:val="20"/>
              </w:rPr>
            </w:pPr>
          </w:p>
        </w:tc>
        <w:tc>
          <w:tcPr>
            <w:tcW w:w="802" w:type="dxa"/>
          </w:tcPr>
          <w:p>
            <w:pPr>
              <w:pStyle w:val="TableParagraph"/>
              <w:jc w:val="left"/>
              <w:rPr>
                <w:rFonts w:ascii="Times New Roman"/>
                <w:sz w:val="20"/>
              </w:rPr>
            </w:pPr>
          </w:p>
        </w:tc>
        <w:tc>
          <w:tcPr>
            <w:tcW w:w="1133" w:type="dxa"/>
          </w:tcPr>
          <w:p>
            <w:pPr>
              <w:pStyle w:val="TableParagraph"/>
              <w:jc w:val="left"/>
              <w:rPr>
                <w:rFonts w:ascii="Times New Roman"/>
                <w:sz w:val="20"/>
              </w:rPr>
            </w:pPr>
          </w:p>
        </w:tc>
        <w:tc>
          <w:tcPr>
            <w:tcW w:w="1446" w:type="dxa"/>
          </w:tcPr>
          <w:p>
            <w:pPr>
              <w:pStyle w:val="TableParagraph"/>
              <w:jc w:val="left"/>
              <w:rPr>
                <w:rFonts w:ascii="Times New Roman"/>
                <w:sz w:val="20"/>
              </w:rPr>
            </w:pPr>
          </w:p>
        </w:tc>
      </w:tr>
      <w:tr>
        <w:trPr>
          <w:trHeight w:val="283" w:hRule="atLeast"/>
        </w:trPr>
        <w:tc>
          <w:tcPr>
            <w:tcW w:w="461" w:type="dxa"/>
          </w:tcPr>
          <w:p>
            <w:pPr>
              <w:pStyle w:val="TableParagraph"/>
              <w:spacing w:line="241" w:lineRule="exact" w:before="22"/>
              <w:ind w:right="170"/>
              <w:jc w:val="right"/>
              <w:rPr>
                <w:rFonts w:ascii="Times New Roman"/>
                <w:sz w:val="21"/>
              </w:rPr>
            </w:pPr>
            <w:r>
              <w:rPr>
                <w:rFonts w:ascii="Times New Roman"/>
                <w:w w:val="100"/>
                <w:sz w:val="21"/>
              </w:rPr>
              <w:t>3</w:t>
            </w:r>
          </w:p>
        </w:tc>
        <w:tc>
          <w:tcPr>
            <w:tcW w:w="1695" w:type="dxa"/>
          </w:tcPr>
          <w:p>
            <w:pPr>
              <w:pStyle w:val="TableParagraph"/>
              <w:jc w:val="left"/>
              <w:rPr>
                <w:rFonts w:ascii="Times New Roman"/>
                <w:sz w:val="20"/>
              </w:rPr>
            </w:pPr>
          </w:p>
        </w:tc>
        <w:tc>
          <w:tcPr>
            <w:tcW w:w="851" w:type="dxa"/>
          </w:tcPr>
          <w:p>
            <w:pPr>
              <w:pStyle w:val="TableParagraph"/>
              <w:jc w:val="left"/>
              <w:rPr>
                <w:rFonts w:ascii="Times New Roman"/>
                <w:sz w:val="20"/>
              </w:rPr>
            </w:pPr>
          </w:p>
        </w:tc>
        <w:tc>
          <w:tcPr>
            <w:tcW w:w="1042" w:type="dxa"/>
          </w:tcPr>
          <w:p>
            <w:pPr>
              <w:pStyle w:val="TableParagraph"/>
              <w:jc w:val="left"/>
              <w:rPr>
                <w:rFonts w:ascii="Times New Roman"/>
                <w:sz w:val="20"/>
              </w:rPr>
            </w:pPr>
          </w:p>
        </w:tc>
        <w:tc>
          <w:tcPr>
            <w:tcW w:w="946" w:type="dxa"/>
          </w:tcPr>
          <w:p>
            <w:pPr>
              <w:pStyle w:val="TableParagraph"/>
              <w:jc w:val="left"/>
              <w:rPr>
                <w:rFonts w:ascii="Times New Roman"/>
                <w:sz w:val="20"/>
              </w:rPr>
            </w:pPr>
          </w:p>
        </w:tc>
        <w:tc>
          <w:tcPr>
            <w:tcW w:w="757" w:type="dxa"/>
          </w:tcPr>
          <w:p>
            <w:pPr>
              <w:pStyle w:val="TableParagraph"/>
              <w:jc w:val="left"/>
              <w:rPr>
                <w:rFonts w:ascii="Times New Roman"/>
                <w:sz w:val="20"/>
              </w:rPr>
            </w:pPr>
          </w:p>
        </w:tc>
        <w:tc>
          <w:tcPr>
            <w:tcW w:w="802" w:type="dxa"/>
          </w:tcPr>
          <w:p>
            <w:pPr>
              <w:pStyle w:val="TableParagraph"/>
              <w:jc w:val="left"/>
              <w:rPr>
                <w:rFonts w:ascii="Times New Roman"/>
                <w:sz w:val="20"/>
              </w:rPr>
            </w:pPr>
          </w:p>
        </w:tc>
        <w:tc>
          <w:tcPr>
            <w:tcW w:w="1133" w:type="dxa"/>
          </w:tcPr>
          <w:p>
            <w:pPr>
              <w:pStyle w:val="TableParagraph"/>
              <w:jc w:val="left"/>
              <w:rPr>
                <w:rFonts w:ascii="Times New Roman"/>
                <w:sz w:val="20"/>
              </w:rPr>
            </w:pPr>
          </w:p>
        </w:tc>
        <w:tc>
          <w:tcPr>
            <w:tcW w:w="1446" w:type="dxa"/>
          </w:tcPr>
          <w:p>
            <w:pPr>
              <w:pStyle w:val="TableParagraph"/>
              <w:jc w:val="left"/>
              <w:rPr>
                <w:rFonts w:ascii="Times New Roman"/>
                <w:sz w:val="20"/>
              </w:rPr>
            </w:pPr>
          </w:p>
        </w:tc>
      </w:tr>
      <w:tr>
        <w:trPr>
          <w:trHeight w:val="285" w:hRule="atLeast"/>
        </w:trPr>
        <w:tc>
          <w:tcPr>
            <w:tcW w:w="461" w:type="dxa"/>
          </w:tcPr>
          <w:p>
            <w:pPr>
              <w:pStyle w:val="TableParagraph"/>
              <w:spacing w:before="22"/>
              <w:ind w:right="170"/>
              <w:jc w:val="right"/>
              <w:rPr>
                <w:rFonts w:ascii="Times New Roman"/>
                <w:b/>
                <w:sz w:val="21"/>
              </w:rPr>
            </w:pPr>
            <w:r>
              <w:rPr>
                <w:rFonts w:ascii="Times New Roman"/>
                <w:b/>
                <w:w w:val="100"/>
                <w:sz w:val="21"/>
              </w:rPr>
              <w:t>4</w:t>
            </w:r>
          </w:p>
        </w:tc>
        <w:tc>
          <w:tcPr>
            <w:tcW w:w="1695" w:type="dxa"/>
          </w:tcPr>
          <w:p>
            <w:pPr>
              <w:pStyle w:val="TableParagraph"/>
              <w:jc w:val="left"/>
              <w:rPr>
                <w:rFonts w:ascii="Times New Roman"/>
                <w:sz w:val="20"/>
              </w:rPr>
            </w:pPr>
          </w:p>
        </w:tc>
        <w:tc>
          <w:tcPr>
            <w:tcW w:w="851" w:type="dxa"/>
          </w:tcPr>
          <w:p>
            <w:pPr>
              <w:pStyle w:val="TableParagraph"/>
              <w:jc w:val="left"/>
              <w:rPr>
                <w:rFonts w:ascii="Times New Roman"/>
                <w:sz w:val="20"/>
              </w:rPr>
            </w:pPr>
          </w:p>
        </w:tc>
        <w:tc>
          <w:tcPr>
            <w:tcW w:w="1042" w:type="dxa"/>
          </w:tcPr>
          <w:p>
            <w:pPr>
              <w:pStyle w:val="TableParagraph"/>
              <w:jc w:val="left"/>
              <w:rPr>
                <w:rFonts w:ascii="Times New Roman"/>
                <w:sz w:val="20"/>
              </w:rPr>
            </w:pPr>
          </w:p>
        </w:tc>
        <w:tc>
          <w:tcPr>
            <w:tcW w:w="946" w:type="dxa"/>
          </w:tcPr>
          <w:p>
            <w:pPr>
              <w:pStyle w:val="TableParagraph"/>
              <w:jc w:val="left"/>
              <w:rPr>
                <w:rFonts w:ascii="Times New Roman"/>
                <w:sz w:val="20"/>
              </w:rPr>
            </w:pPr>
          </w:p>
        </w:tc>
        <w:tc>
          <w:tcPr>
            <w:tcW w:w="757" w:type="dxa"/>
          </w:tcPr>
          <w:p>
            <w:pPr>
              <w:pStyle w:val="TableParagraph"/>
              <w:jc w:val="left"/>
              <w:rPr>
                <w:rFonts w:ascii="Times New Roman"/>
                <w:sz w:val="20"/>
              </w:rPr>
            </w:pPr>
          </w:p>
        </w:tc>
        <w:tc>
          <w:tcPr>
            <w:tcW w:w="802" w:type="dxa"/>
          </w:tcPr>
          <w:p>
            <w:pPr>
              <w:pStyle w:val="TableParagraph"/>
              <w:jc w:val="left"/>
              <w:rPr>
                <w:rFonts w:ascii="Times New Roman"/>
                <w:sz w:val="20"/>
              </w:rPr>
            </w:pPr>
          </w:p>
        </w:tc>
        <w:tc>
          <w:tcPr>
            <w:tcW w:w="1133" w:type="dxa"/>
          </w:tcPr>
          <w:p>
            <w:pPr>
              <w:pStyle w:val="TableParagraph"/>
              <w:jc w:val="left"/>
              <w:rPr>
                <w:rFonts w:ascii="Times New Roman"/>
                <w:sz w:val="20"/>
              </w:rPr>
            </w:pPr>
          </w:p>
        </w:tc>
        <w:tc>
          <w:tcPr>
            <w:tcW w:w="1446" w:type="dxa"/>
          </w:tcPr>
          <w:p>
            <w:pPr>
              <w:pStyle w:val="TableParagraph"/>
              <w:jc w:val="left"/>
              <w:rPr>
                <w:rFonts w:ascii="Times New Roman"/>
                <w:sz w:val="20"/>
              </w:rPr>
            </w:pPr>
          </w:p>
        </w:tc>
      </w:tr>
      <w:tr>
        <w:trPr>
          <w:trHeight w:val="282" w:hRule="atLeast"/>
        </w:trPr>
        <w:tc>
          <w:tcPr>
            <w:tcW w:w="461" w:type="dxa"/>
          </w:tcPr>
          <w:p>
            <w:pPr>
              <w:pStyle w:val="TableParagraph"/>
              <w:spacing w:before="20"/>
              <w:ind w:right="170"/>
              <w:jc w:val="right"/>
              <w:rPr>
                <w:rFonts w:ascii="Times New Roman"/>
                <w:b/>
                <w:sz w:val="21"/>
              </w:rPr>
            </w:pPr>
            <w:r>
              <w:rPr>
                <w:rFonts w:ascii="Times New Roman"/>
                <w:b/>
                <w:w w:val="100"/>
                <w:sz w:val="21"/>
              </w:rPr>
              <w:t>5</w:t>
            </w:r>
          </w:p>
        </w:tc>
        <w:tc>
          <w:tcPr>
            <w:tcW w:w="1695" w:type="dxa"/>
          </w:tcPr>
          <w:p>
            <w:pPr>
              <w:pStyle w:val="TableParagraph"/>
              <w:jc w:val="left"/>
              <w:rPr>
                <w:rFonts w:ascii="Times New Roman"/>
                <w:sz w:val="20"/>
              </w:rPr>
            </w:pPr>
          </w:p>
        </w:tc>
        <w:tc>
          <w:tcPr>
            <w:tcW w:w="851" w:type="dxa"/>
          </w:tcPr>
          <w:p>
            <w:pPr>
              <w:pStyle w:val="TableParagraph"/>
              <w:jc w:val="left"/>
              <w:rPr>
                <w:rFonts w:ascii="Times New Roman"/>
                <w:sz w:val="20"/>
              </w:rPr>
            </w:pPr>
          </w:p>
        </w:tc>
        <w:tc>
          <w:tcPr>
            <w:tcW w:w="1042" w:type="dxa"/>
          </w:tcPr>
          <w:p>
            <w:pPr>
              <w:pStyle w:val="TableParagraph"/>
              <w:jc w:val="left"/>
              <w:rPr>
                <w:rFonts w:ascii="Times New Roman"/>
                <w:sz w:val="20"/>
              </w:rPr>
            </w:pPr>
          </w:p>
        </w:tc>
        <w:tc>
          <w:tcPr>
            <w:tcW w:w="946" w:type="dxa"/>
          </w:tcPr>
          <w:p>
            <w:pPr>
              <w:pStyle w:val="TableParagraph"/>
              <w:jc w:val="left"/>
              <w:rPr>
                <w:rFonts w:ascii="Times New Roman"/>
                <w:sz w:val="20"/>
              </w:rPr>
            </w:pPr>
          </w:p>
        </w:tc>
        <w:tc>
          <w:tcPr>
            <w:tcW w:w="757" w:type="dxa"/>
          </w:tcPr>
          <w:p>
            <w:pPr>
              <w:pStyle w:val="TableParagraph"/>
              <w:jc w:val="left"/>
              <w:rPr>
                <w:rFonts w:ascii="Times New Roman"/>
                <w:sz w:val="20"/>
              </w:rPr>
            </w:pPr>
          </w:p>
        </w:tc>
        <w:tc>
          <w:tcPr>
            <w:tcW w:w="802" w:type="dxa"/>
          </w:tcPr>
          <w:p>
            <w:pPr>
              <w:pStyle w:val="TableParagraph"/>
              <w:jc w:val="left"/>
              <w:rPr>
                <w:rFonts w:ascii="Times New Roman"/>
                <w:sz w:val="20"/>
              </w:rPr>
            </w:pPr>
          </w:p>
        </w:tc>
        <w:tc>
          <w:tcPr>
            <w:tcW w:w="1133" w:type="dxa"/>
          </w:tcPr>
          <w:p>
            <w:pPr>
              <w:pStyle w:val="TableParagraph"/>
              <w:jc w:val="left"/>
              <w:rPr>
                <w:rFonts w:ascii="Times New Roman"/>
                <w:sz w:val="20"/>
              </w:rPr>
            </w:pPr>
          </w:p>
        </w:tc>
        <w:tc>
          <w:tcPr>
            <w:tcW w:w="1446" w:type="dxa"/>
          </w:tcPr>
          <w:p>
            <w:pPr>
              <w:pStyle w:val="TableParagraph"/>
              <w:jc w:val="left"/>
              <w:rPr>
                <w:rFonts w:ascii="Times New Roman"/>
                <w:sz w:val="20"/>
              </w:rPr>
            </w:pPr>
          </w:p>
        </w:tc>
      </w:tr>
      <w:tr>
        <w:trPr>
          <w:trHeight w:val="285" w:hRule="atLeast"/>
        </w:trPr>
        <w:tc>
          <w:tcPr>
            <w:tcW w:w="9133" w:type="dxa"/>
            <w:gridSpan w:val="9"/>
          </w:tcPr>
          <w:p>
            <w:pPr>
              <w:pStyle w:val="TableParagraph"/>
              <w:spacing w:line="257" w:lineRule="exact" w:before="8"/>
              <w:ind w:left="28"/>
              <w:jc w:val="left"/>
              <w:rPr>
                <w:b/>
                <w:sz w:val="21"/>
              </w:rPr>
            </w:pPr>
            <w:r>
              <w:rPr>
                <w:b/>
                <w:sz w:val="21"/>
              </w:rPr>
              <w:t>注：不包括清洗和水环泵等用水</w:t>
            </w:r>
          </w:p>
        </w:tc>
      </w:tr>
    </w:tbl>
    <w:p>
      <w:pPr>
        <w:pStyle w:val="ListParagraph"/>
        <w:numPr>
          <w:ilvl w:val="3"/>
          <w:numId w:val="13"/>
        </w:numPr>
        <w:tabs>
          <w:tab w:pos="1422" w:val="left" w:leader="none"/>
        </w:tabs>
        <w:spacing w:line="240" w:lineRule="auto" w:before="2" w:after="0"/>
        <w:ind w:left="1421" w:right="0" w:hanging="721"/>
        <w:jc w:val="left"/>
        <w:rPr>
          <w:b/>
          <w:sz w:val="24"/>
        </w:rPr>
      </w:pPr>
      <w:r>
        <w:rPr>
          <w:b/>
          <w:sz w:val="24"/>
        </w:rPr>
        <w:t>生产工艺流程及简述</w:t>
      </w:r>
    </w:p>
    <w:p>
      <w:pPr>
        <w:spacing w:before="158"/>
        <w:ind w:left="701" w:right="0" w:firstLine="0"/>
        <w:jc w:val="left"/>
        <w:rPr>
          <w:b/>
          <w:sz w:val="24"/>
        </w:rPr>
      </w:pPr>
      <w:r>
        <w:rPr>
          <w:rFonts w:ascii="Times New Roman" w:eastAsia="Times New Roman"/>
          <w:b/>
          <w:sz w:val="24"/>
        </w:rPr>
        <w:t>1</w:t>
      </w:r>
      <w:r>
        <w:rPr>
          <w:b/>
          <w:sz w:val="24"/>
        </w:rPr>
        <w:t>、生产工艺流程及产污位置图</w:t>
      </w:r>
    </w:p>
    <w:p>
      <w:pPr>
        <w:pStyle w:val="BodyText"/>
        <w:spacing w:before="161"/>
        <w:ind w:left="698"/>
      </w:pPr>
      <w:r>
        <w:rPr/>
        <w:t>三环唑生产工艺流程及产污位置如下图所示。</w:t>
      </w:r>
    </w:p>
    <w:p>
      <w:pPr>
        <w:spacing w:before="157"/>
        <w:ind w:left="641" w:right="0" w:firstLine="0"/>
        <w:jc w:val="left"/>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27"/>
        </w:rPr>
      </w:pPr>
    </w:p>
    <w:p>
      <w:pPr>
        <w:spacing w:before="0"/>
        <w:ind w:left="218" w:right="0" w:firstLine="0"/>
        <w:jc w:val="left"/>
        <w:rPr>
          <w:sz w:val="21"/>
        </w:rPr>
      </w:pPr>
      <w:r>
        <w:rPr>
          <w:sz w:val="21"/>
        </w:rPr>
        <w:t>注：废气集中处理装置包括两级碱喷淋</w:t>
      </w:r>
    </w:p>
    <w:p>
      <w:pPr>
        <w:pStyle w:val="Heading4"/>
        <w:spacing w:before="142"/>
        <w:ind w:left="0" w:right="18"/>
        <w:jc w:val="center"/>
      </w:pPr>
      <w:r>
        <w:rPr/>
        <w:t>图 </w:t>
      </w:r>
      <w:r>
        <w:rPr>
          <w:rFonts w:ascii="Times New Roman" w:eastAsia="Times New Roman"/>
        </w:rPr>
        <w:t>4.2.1-1  </w:t>
      </w:r>
      <w:r>
        <w:rPr/>
        <w:t>三环唑工艺流程及产污位置图 单位：</w:t>
      </w:r>
      <w:r>
        <w:rPr>
          <w:rFonts w:ascii="Times New Roman" w:eastAsia="Times New Roman"/>
        </w:rPr>
        <w:t>kg/</w:t>
      </w:r>
      <w:r>
        <w:rPr/>
        <w:t>批</w:t>
      </w:r>
    </w:p>
    <w:p>
      <w:pPr>
        <w:spacing w:before="157"/>
        <w:ind w:left="641" w:right="0" w:firstLine="0"/>
        <w:jc w:val="left"/>
        <w:rPr>
          <w:b/>
          <w:sz w:val="21"/>
        </w:rPr>
      </w:pPr>
      <w:r>
        <w:rPr>
          <w:b/>
          <w:color w:val="FF0000"/>
          <w:sz w:val="21"/>
        </w:rPr>
        <w:t>涉密删除</w:t>
      </w:r>
    </w:p>
    <w:p>
      <w:pPr>
        <w:pStyle w:val="BodyText"/>
        <w:rPr>
          <w:b/>
          <w:sz w:val="20"/>
        </w:rPr>
      </w:pPr>
    </w:p>
    <w:p>
      <w:pPr>
        <w:pStyle w:val="BodyText"/>
        <w:spacing w:before="5"/>
        <w:rPr>
          <w:b/>
          <w:sz w:val="23"/>
        </w:rPr>
      </w:pPr>
    </w:p>
    <w:p>
      <w:pPr>
        <w:pStyle w:val="Heading4"/>
        <w:ind w:left="691"/>
      </w:pPr>
      <w:r>
        <w:rPr>
          <w:rFonts w:ascii="Times New Roman" w:eastAsia="Times New Roman"/>
        </w:rPr>
        <w:t>2</w:t>
      </w:r>
      <w:r>
        <w:rPr/>
        <w:t>、生产工艺流程简述</w:t>
      </w:r>
    </w:p>
    <w:p>
      <w:pPr>
        <w:spacing w:after="0"/>
        <w:sectPr>
          <w:pgSz w:w="11910" w:h="16840"/>
          <w:pgMar w:header="872" w:footer="803" w:top="1340" w:bottom="1000" w:left="1200" w:right="1180"/>
        </w:sectPr>
      </w:pPr>
    </w:p>
    <w:p>
      <w:pPr>
        <w:spacing w:before="62"/>
        <w:ind w:left="641" w:right="0" w:firstLine="0"/>
        <w:jc w:val="left"/>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9"/>
        </w:rPr>
      </w:pPr>
    </w:p>
    <w:p>
      <w:pPr>
        <w:pStyle w:val="Heading4"/>
        <w:tabs>
          <w:tab w:pos="1222" w:val="left" w:leader="none"/>
        </w:tabs>
        <w:spacing w:after="29"/>
        <w:ind w:left="0" w:right="13"/>
        <w:jc w:val="center"/>
      </w:pPr>
      <w:r>
        <w:rPr/>
        <w:t>表</w:t>
      </w:r>
      <w:r>
        <w:rPr>
          <w:spacing w:val="-59"/>
        </w:rPr>
        <w:t> </w:t>
      </w:r>
      <w:r>
        <w:rPr>
          <w:rFonts w:ascii="Times New Roman" w:eastAsia="Times New Roman"/>
        </w:rPr>
        <w:t>4.2.1-4</w:t>
        <w:tab/>
      </w:r>
      <w:r>
        <w:rPr/>
        <w:t>三环唑物料平衡</w:t>
      </w:r>
      <w:r>
        <w:rPr>
          <w:spacing w:val="3"/>
        </w:rPr>
        <w:t>表</w:t>
      </w:r>
      <w:r>
        <w:rPr/>
        <w:t>（</w:t>
      </w:r>
      <w:r>
        <w:rPr>
          <w:rFonts w:ascii="Times New Roman" w:eastAsia="Times New Roman"/>
        </w:rPr>
        <w:t>1250</w:t>
      </w:r>
      <w:r>
        <w:rPr>
          <w:rFonts w:ascii="Times New Roman" w:eastAsia="Times New Roman"/>
          <w:spacing w:val="-3"/>
        </w:rPr>
        <w:t> </w:t>
      </w:r>
      <w:r>
        <w:rPr/>
        <w:t>批）</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097"/>
        <w:gridCol w:w="1222"/>
        <w:gridCol w:w="797"/>
        <w:gridCol w:w="1224"/>
        <w:gridCol w:w="1332"/>
        <w:gridCol w:w="991"/>
        <w:gridCol w:w="1808"/>
      </w:tblGrid>
      <w:tr>
        <w:trPr>
          <w:trHeight w:val="270" w:hRule="atLeast"/>
        </w:trPr>
        <w:tc>
          <w:tcPr>
            <w:tcW w:w="816" w:type="dxa"/>
            <w:vMerge w:val="restart"/>
          </w:tcPr>
          <w:p>
            <w:pPr>
              <w:pStyle w:val="TableParagraph"/>
              <w:spacing w:line="270" w:lineRule="atLeast" w:before="5"/>
              <w:ind w:left="196" w:right="186"/>
              <w:jc w:val="left"/>
              <w:rPr>
                <w:b/>
                <w:sz w:val="21"/>
              </w:rPr>
            </w:pPr>
            <w:r>
              <w:rPr>
                <w:b/>
                <w:sz w:val="21"/>
              </w:rPr>
              <w:t>工序名称</w:t>
            </w:r>
          </w:p>
        </w:tc>
        <w:tc>
          <w:tcPr>
            <w:tcW w:w="3116" w:type="dxa"/>
            <w:gridSpan w:val="3"/>
          </w:tcPr>
          <w:p>
            <w:pPr>
              <w:pStyle w:val="TableParagraph"/>
              <w:spacing w:line="250" w:lineRule="exact" w:before="1"/>
              <w:ind w:left="899"/>
              <w:jc w:val="left"/>
              <w:rPr>
                <w:rFonts w:ascii="Times New Roman" w:eastAsia="Times New Roman"/>
                <w:b/>
                <w:sz w:val="21"/>
              </w:rPr>
            </w:pPr>
            <w:r>
              <w:rPr>
                <w:b/>
                <w:sz w:val="21"/>
              </w:rPr>
              <w:t>投入量</w:t>
            </w:r>
            <w:r>
              <w:rPr>
                <w:rFonts w:ascii="Times New Roman" w:eastAsia="Times New Roman"/>
                <w:b/>
                <w:sz w:val="21"/>
              </w:rPr>
              <w:t>(Kg/</w:t>
            </w:r>
            <w:r>
              <w:rPr>
                <w:b/>
                <w:sz w:val="21"/>
              </w:rPr>
              <w:t>批</w:t>
            </w:r>
            <w:r>
              <w:rPr>
                <w:rFonts w:ascii="Times New Roman" w:eastAsia="Times New Roman"/>
                <w:b/>
                <w:sz w:val="21"/>
              </w:rPr>
              <w:t>)</w:t>
            </w:r>
          </w:p>
        </w:tc>
        <w:tc>
          <w:tcPr>
            <w:tcW w:w="3547" w:type="dxa"/>
            <w:gridSpan w:val="3"/>
          </w:tcPr>
          <w:p>
            <w:pPr>
              <w:pStyle w:val="TableParagraph"/>
              <w:spacing w:line="250" w:lineRule="exact" w:before="1"/>
              <w:ind w:left="1115"/>
              <w:jc w:val="left"/>
              <w:rPr>
                <w:rFonts w:ascii="Times New Roman" w:eastAsia="Times New Roman"/>
                <w:b/>
                <w:sz w:val="21"/>
              </w:rPr>
            </w:pPr>
            <w:r>
              <w:rPr>
                <w:b/>
                <w:sz w:val="21"/>
              </w:rPr>
              <w:t>产出量</w:t>
            </w:r>
            <w:r>
              <w:rPr>
                <w:rFonts w:ascii="Times New Roman" w:eastAsia="Times New Roman"/>
                <w:b/>
                <w:sz w:val="21"/>
              </w:rPr>
              <w:t>(Kg/</w:t>
            </w:r>
            <w:r>
              <w:rPr>
                <w:b/>
                <w:sz w:val="21"/>
              </w:rPr>
              <w:t>批</w:t>
            </w:r>
            <w:r>
              <w:rPr>
                <w:rFonts w:ascii="Times New Roman" w:eastAsia="Times New Roman"/>
                <w:b/>
                <w:sz w:val="21"/>
              </w:rPr>
              <w:t>)</w:t>
            </w:r>
          </w:p>
        </w:tc>
        <w:tc>
          <w:tcPr>
            <w:tcW w:w="1808" w:type="dxa"/>
            <w:vMerge w:val="restart"/>
          </w:tcPr>
          <w:p>
            <w:pPr>
              <w:pStyle w:val="TableParagraph"/>
              <w:spacing w:before="142"/>
              <w:ind w:left="222" w:right="214"/>
              <w:rPr>
                <w:b/>
                <w:sz w:val="21"/>
              </w:rPr>
            </w:pPr>
            <w:r>
              <w:rPr>
                <w:b/>
                <w:sz w:val="21"/>
              </w:rPr>
              <w:t>去向</w:t>
            </w:r>
          </w:p>
        </w:tc>
      </w:tr>
      <w:tr>
        <w:trPr>
          <w:trHeight w:val="273" w:hRule="atLeast"/>
        </w:trPr>
        <w:tc>
          <w:tcPr>
            <w:tcW w:w="816" w:type="dxa"/>
            <w:vMerge/>
            <w:tcBorders>
              <w:top w:val="nil"/>
            </w:tcBorders>
          </w:tcPr>
          <w:p>
            <w:pPr>
              <w:rPr>
                <w:sz w:val="2"/>
                <w:szCs w:val="2"/>
              </w:rPr>
            </w:pPr>
          </w:p>
        </w:tc>
        <w:tc>
          <w:tcPr>
            <w:tcW w:w="1097" w:type="dxa"/>
          </w:tcPr>
          <w:p>
            <w:pPr>
              <w:pStyle w:val="TableParagraph"/>
              <w:spacing w:line="252" w:lineRule="exact" w:before="1"/>
              <w:ind w:left="126"/>
              <w:jc w:val="left"/>
              <w:rPr>
                <w:b/>
                <w:sz w:val="21"/>
              </w:rPr>
            </w:pPr>
            <w:r>
              <w:rPr>
                <w:b/>
                <w:sz w:val="21"/>
              </w:rPr>
              <w:t>物料名称</w:t>
            </w:r>
          </w:p>
        </w:tc>
        <w:tc>
          <w:tcPr>
            <w:tcW w:w="1222" w:type="dxa"/>
          </w:tcPr>
          <w:p>
            <w:pPr>
              <w:pStyle w:val="TableParagraph"/>
              <w:spacing w:line="252" w:lineRule="exact" w:before="1"/>
              <w:ind w:left="189"/>
              <w:jc w:val="left"/>
              <w:rPr>
                <w:b/>
                <w:sz w:val="21"/>
              </w:rPr>
            </w:pPr>
            <w:r>
              <w:rPr>
                <w:b/>
                <w:sz w:val="21"/>
              </w:rPr>
              <w:t>所含组分</w:t>
            </w:r>
          </w:p>
        </w:tc>
        <w:tc>
          <w:tcPr>
            <w:tcW w:w="797" w:type="dxa"/>
          </w:tcPr>
          <w:p>
            <w:pPr>
              <w:pStyle w:val="TableParagraph"/>
              <w:spacing w:line="252" w:lineRule="exact" w:before="1"/>
              <w:ind w:left="184"/>
              <w:jc w:val="left"/>
              <w:rPr>
                <w:b/>
                <w:sz w:val="21"/>
              </w:rPr>
            </w:pPr>
            <w:r>
              <w:rPr>
                <w:b/>
                <w:sz w:val="21"/>
              </w:rPr>
              <w:t>含量</w:t>
            </w:r>
          </w:p>
        </w:tc>
        <w:tc>
          <w:tcPr>
            <w:tcW w:w="1224" w:type="dxa"/>
          </w:tcPr>
          <w:p>
            <w:pPr>
              <w:pStyle w:val="TableParagraph"/>
              <w:spacing w:line="252" w:lineRule="exact" w:before="1"/>
              <w:ind w:left="186"/>
              <w:jc w:val="left"/>
              <w:rPr>
                <w:b/>
                <w:sz w:val="21"/>
              </w:rPr>
            </w:pPr>
            <w:r>
              <w:rPr>
                <w:b/>
                <w:sz w:val="21"/>
              </w:rPr>
              <w:t>物料名称</w:t>
            </w:r>
          </w:p>
        </w:tc>
        <w:tc>
          <w:tcPr>
            <w:tcW w:w="1332" w:type="dxa"/>
          </w:tcPr>
          <w:p>
            <w:pPr>
              <w:pStyle w:val="TableParagraph"/>
              <w:spacing w:line="252" w:lineRule="exact" w:before="1"/>
              <w:ind w:left="242"/>
              <w:jc w:val="left"/>
              <w:rPr>
                <w:b/>
                <w:sz w:val="21"/>
              </w:rPr>
            </w:pPr>
            <w:r>
              <w:rPr>
                <w:b/>
                <w:sz w:val="21"/>
              </w:rPr>
              <w:t>所含组分</w:t>
            </w:r>
          </w:p>
        </w:tc>
        <w:tc>
          <w:tcPr>
            <w:tcW w:w="991" w:type="dxa"/>
          </w:tcPr>
          <w:p>
            <w:pPr>
              <w:pStyle w:val="TableParagraph"/>
              <w:spacing w:line="252" w:lineRule="exact" w:before="1"/>
              <w:ind w:left="283"/>
              <w:jc w:val="left"/>
              <w:rPr>
                <w:b/>
                <w:sz w:val="21"/>
              </w:rPr>
            </w:pPr>
            <w:r>
              <w:rPr>
                <w:b/>
                <w:sz w:val="21"/>
              </w:rPr>
              <w:t>含量</w:t>
            </w:r>
          </w:p>
        </w:tc>
        <w:tc>
          <w:tcPr>
            <w:tcW w:w="1808" w:type="dxa"/>
            <w:vMerge/>
            <w:tcBorders>
              <w:top w:val="nil"/>
            </w:tcBorders>
          </w:tcPr>
          <w:p>
            <w:pPr>
              <w:rPr>
                <w:sz w:val="2"/>
                <w:szCs w:val="2"/>
              </w:rPr>
            </w:pPr>
          </w:p>
        </w:tc>
      </w:tr>
      <w:tr>
        <w:trPr>
          <w:trHeight w:val="450" w:hRule="atLeast"/>
        </w:trPr>
        <w:tc>
          <w:tcPr>
            <w:tcW w:w="816" w:type="dxa"/>
            <w:vMerge w:val="restart"/>
          </w:tcPr>
          <w:p>
            <w:pPr>
              <w:pStyle w:val="TableParagraph"/>
              <w:jc w:val="left"/>
              <w:rPr>
                <w:rFonts w:ascii="Times New Roman"/>
                <w:sz w:val="20"/>
              </w:rPr>
            </w:pPr>
          </w:p>
        </w:tc>
        <w:tc>
          <w:tcPr>
            <w:tcW w:w="1097" w:type="dxa"/>
            <w:vMerge w:val="restart"/>
          </w:tcPr>
          <w:p>
            <w:pPr>
              <w:pStyle w:val="TableParagraph"/>
              <w:spacing w:before="27"/>
              <w:ind w:left="107"/>
              <w:jc w:val="left"/>
              <w:rPr>
                <w:b/>
                <w:sz w:val="21"/>
              </w:rPr>
            </w:pPr>
            <w:r>
              <w:rPr>
                <w:b/>
                <w:color w:val="FF0000"/>
                <w:sz w:val="21"/>
              </w:rPr>
              <w:t>涉密删除</w:t>
            </w:r>
          </w:p>
        </w:tc>
        <w:tc>
          <w:tcPr>
            <w:tcW w:w="1222" w:type="dxa"/>
          </w:tcPr>
          <w:p>
            <w:pPr>
              <w:pStyle w:val="TableParagraph"/>
              <w:jc w:val="left"/>
              <w:rPr>
                <w:rFonts w:ascii="Times New Roman"/>
                <w:sz w:val="20"/>
              </w:rPr>
            </w:pPr>
          </w:p>
        </w:tc>
        <w:tc>
          <w:tcPr>
            <w:tcW w:w="797" w:type="dxa"/>
          </w:tcPr>
          <w:p>
            <w:pPr>
              <w:pStyle w:val="TableParagraph"/>
              <w:jc w:val="left"/>
              <w:rPr>
                <w:rFonts w:ascii="Times New Roman"/>
                <w:sz w:val="20"/>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1808" w:type="dxa"/>
            <w:vMerge w:val="restart"/>
          </w:tcPr>
          <w:p>
            <w:pPr>
              <w:pStyle w:val="TableParagraph"/>
              <w:jc w:val="left"/>
              <w:rPr>
                <w:rFonts w:ascii="Times New Roman"/>
                <w:sz w:val="20"/>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1097" w:type="dxa"/>
            <w:vMerge w:val="restart"/>
          </w:tcPr>
          <w:p>
            <w:pPr>
              <w:pStyle w:val="TableParagraph"/>
              <w:jc w:val="left"/>
              <w:rPr>
                <w:rFonts w:ascii="Times New Roman"/>
                <w:sz w:val="20"/>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val="restart"/>
          </w:tcPr>
          <w:p>
            <w:pPr>
              <w:pStyle w:val="TableParagraph"/>
              <w:jc w:val="left"/>
              <w:rPr>
                <w:rFonts w:ascii="Times New Roman"/>
                <w:sz w:val="20"/>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tcPr>
          <w:p>
            <w:pPr>
              <w:pStyle w:val="TableParagraph"/>
              <w:jc w:val="left"/>
              <w:rPr>
                <w:rFonts w:ascii="Times New Roman"/>
                <w:sz w:val="16"/>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tcPr>
          <w:p>
            <w:pPr>
              <w:pStyle w:val="TableParagraph"/>
              <w:jc w:val="left"/>
              <w:rPr>
                <w:rFonts w:ascii="Times New Roman"/>
                <w:sz w:val="16"/>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2319" w:type="dxa"/>
            <w:gridSpan w:val="2"/>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2556" w:type="dxa"/>
            <w:gridSpan w:val="2"/>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42" w:hRule="atLeast"/>
        </w:trPr>
        <w:tc>
          <w:tcPr>
            <w:tcW w:w="9287" w:type="dxa"/>
            <w:gridSpan w:val="8"/>
          </w:tcPr>
          <w:p>
            <w:pPr>
              <w:pStyle w:val="TableParagraph"/>
              <w:jc w:val="left"/>
              <w:rPr>
                <w:rFonts w:ascii="Times New Roman"/>
                <w:sz w:val="16"/>
              </w:rPr>
            </w:pPr>
          </w:p>
        </w:tc>
      </w:tr>
      <w:tr>
        <w:trPr>
          <w:trHeight w:val="241" w:hRule="atLeast"/>
        </w:trPr>
        <w:tc>
          <w:tcPr>
            <w:tcW w:w="816" w:type="dxa"/>
            <w:vMerge w:val="restart"/>
          </w:tcPr>
          <w:p>
            <w:pPr>
              <w:pStyle w:val="TableParagraph"/>
              <w:jc w:val="left"/>
              <w:rPr>
                <w:rFonts w:ascii="Times New Roman"/>
                <w:sz w:val="20"/>
              </w:rPr>
            </w:pPr>
          </w:p>
        </w:tc>
        <w:tc>
          <w:tcPr>
            <w:tcW w:w="1097" w:type="dxa"/>
            <w:vMerge w:val="restart"/>
          </w:tcPr>
          <w:p>
            <w:pPr>
              <w:pStyle w:val="TableParagraph"/>
              <w:jc w:val="left"/>
              <w:rPr>
                <w:rFonts w:ascii="Times New Roman"/>
                <w:sz w:val="20"/>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bl>
    <w:p>
      <w:pPr>
        <w:spacing w:after="0"/>
        <w:rPr>
          <w:sz w:val="2"/>
          <w:szCs w:val="2"/>
        </w:rPr>
        <w:sectPr>
          <w:pgSz w:w="11910" w:h="16840"/>
          <w:pgMar w:header="872" w:footer="803" w:top="1340" w:bottom="1000" w:left="1200" w:right="1180"/>
        </w:sectPr>
      </w:pPr>
    </w:p>
    <w:p>
      <w:pPr>
        <w:pStyle w:val="BodyText"/>
        <w:spacing w:before="10"/>
        <w:rPr>
          <w:b/>
          <w:sz w:val="4"/>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097"/>
        <w:gridCol w:w="1222"/>
        <w:gridCol w:w="797"/>
        <w:gridCol w:w="1224"/>
        <w:gridCol w:w="1332"/>
        <w:gridCol w:w="991"/>
        <w:gridCol w:w="1808"/>
      </w:tblGrid>
      <w:tr>
        <w:trPr>
          <w:trHeight w:val="270" w:hRule="atLeast"/>
        </w:trPr>
        <w:tc>
          <w:tcPr>
            <w:tcW w:w="816" w:type="dxa"/>
            <w:vMerge w:val="restart"/>
          </w:tcPr>
          <w:p>
            <w:pPr>
              <w:pStyle w:val="TableParagraph"/>
              <w:spacing w:line="244" w:lineRule="auto" w:before="6"/>
              <w:ind w:left="196" w:right="186"/>
              <w:jc w:val="left"/>
              <w:rPr>
                <w:b/>
                <w:sz w:val="21"/>
              </w:rPr>
            </w:pPr>
            <w:r>
              <w:rPr>
                <w:b/>
                <w:sz w:val="21"/>
              </w:rPr>
              <w:t>工序名称</w:t>
            </w:r>
          </w:p>
        </w:tc>
        <w:tc>
          <w:tcPr>
            <w:tcW w:w="3116" w:type="dxa"/>
            <w:gridSpan w:val="3"/>
          </w:tcPr>
          <w:p>
            <w:pPr>
              <w:pStyle w:val="TableParagraph"/>
              <w:spacing w:line="250" w:lineRule="exact" w:before="1"/>
              <w:ind w:left="899"/>
              <w:jc w:val="left"/>
              <w:rPr>
                <w:rFonts w:ascii="Times New Roman" w:eastAsia="Times New Roman"/>
                <w:b/>
                <w:sz w:val="21"/>
              </w:rPr>
            </w:pPr>
            <w:r>
              <w:rPr>
                <w:b/>
                <w:sz w:val="21"/>
              </w:rPr>
              <w:t>投入量</w:t>
            </w:r>
            <w:r>
              <w:rPr>
                <w:rFonts w:ascii="Times New Roman" w:eastAsia="Times New Roman"/>
                <w:b/>
                <w:sz w:val="21"/>
              </w:rPr>
              <w:t>(Kg/</w:t>
            </w:r>
            <w:r>
              <w:rPr>
                <w:b/>
                <w:sz w:val="21"/>
              </w:rPr>
              <w:t>批</w:t>
            </w:r>
            <w:r>
              <w:rPr>
                <w:rFonts w:ascii="Times New Roman" w:eastAsia="Times New Roman"/>
                <w:b/>
                <w:sz w:val="21"/>
              </w:rPr>
              <w:t>)</w:t>
            </w:r>
          </w:p>
        </w:tc>
        <w:tc>
          <w:tcPr>
            <w:tcW w:w="3547" w:type="dxa"/>
            <w:gridSpan w:val="3"/>
          </w:tcPr>
          <w:p>
            <w:pPr>
              <w:pStyle w:val="TableParagraph"/>
              <w:spacing w:line="250" w:lineRule="exact" w:before="1"/>
              <w:ind w:left="1115"/>
              <w:jc w:val="left"/>
              <w:rPr>
                <w:rFonts w:ascii="Times New Roman" w:eastAsia="Times New Roman"/>
                <w:b/>
                <w:sz w:val="21"/>
              </w:rPr>
            </w:pPr>
            <w:r>
              <w:rPr>
                <w:b/>
                <w:sz w:val="21"/>
              </w:rPr>
              <w:t>产出量</w:t>
            </w:r>
            <w:r>
              <w:rPr>
                <w:rFonts w:ascii="Times New Roman" w:eastAsia="Times New Roman"/>
                <w:b/>
                <w:sz w:val="21"/>
              </w:rPr>
              <w:t>(Kg/</w:t>
            </w:r>
            <w:r>
              <w:rPr>
                <w:b/>
                <w:sz w:val="21"/>
              </w:rPr>
              <w:t>批</w:t>
            </w:r>
            <w:r>
              <w:rPr>
                <w:rFonts w:ascii="Times New Roman" w:eastAsia="Times New Roman"/>
                <w:b/>
                <w:sz w:val="21"/>
              </w:rPr>
              <w:t>)</w:t>
            </w:r>
          </w:p>
        </w:tc>
        <w:tc>
          <w:tcPr>
            <w:tcW w:w="1808" w:type="dxa"/>
            <w:vMerge w:val="restart"/>
          </w:tcPr>
          <w:p>
            <w:pPr>
              <w:pStyle w:val="TableParagraph"/>
              <w:spacing w:before="143"/>
              <w:ind w:left="222" w:right="214"/>
              <w:rPr>
                <w:b/>
                <w:sz w:val="21"/>
              </w:rPr>
            </w:pPr>
            <w:r>
              <w:rPr>
                <w:b/>
                <w:sz w:val="21"/>
              </w:rPr>
              <w:t>去向</w:t>
            </w:r>
          </w:p>
        </w:tc>
      </w:tr>
      <w:tr>
        <w:trPr>
          <w:trHeight w:val="273" w:hRule="atLeast"/>
        </w:trPr>
        <w:tc>
          <w:tcPr>
            <w:tcW w:w="816" w:type="dxa"/>
            <w:vMerge/>
            <w:tcBorders>
              <w:top w:val="nil"/>
            </w:tcBorders>
          </w:tcPr>
          <w:p>
            <w:pPr>
              <w:rPr>
                <w:sz w:val="2"/>
                <w:szCs w:val="2"/>
              </w:rPr>
            </w:pPr>
          </w:p>
        </w:tc>
        <w:tc>
          <w:tcPr>
            <w:tcW w:w="1097" w:type="dxa"/>
          </w:tcPr>
          <w:p>
            <w:pPr>
              <w:pStyle w:val="TableParagraph"/>
              <w:spacing w:line="250" w:lineRule="exact" w:before="3"/>
              <w:ind w:left="126"/>
              <w:jc w:val="left"/>
              <w:rPr>
                <w:b/>
                <w:sz w:val="21"/>
              </w:rPr>
            </w:pPr>
            <w:r>
              <w:rPr>
                <w:b/>
                <w:sz w:val="21"/>
              </w:rPr>
              <w:t>物料名称</w:t>
            </w:r>
          </w:p>
        </w:tc>
        <w:tc>
          <w:tcPr>
            <w:tcW w:w="1222" w:type="dxa"/>
          </w:tcPr>
          <w:p>
            <w:pPr>
              <w:pStyle w:val="TableParagraph"/>
              <w:spacing w:line="250" w:lineRule="exact" w:before="3"/>
              <w:ind w:left="189"/>
              <w:jc w:val="left"/>
              <w:rPr>
                <w:b/>
                <w:sz w:val="21"/>
              </w:rPr>
            </w:pPr>
            <w:r>
              <w:rPr>
                <w:b/>
                <w:sz w:val="21"/>
              </w:rPr>
              <w:t>所含组分</w:t>
            </w:r>
          </w:p>
        </w:tc>
        <w:tc>
          <w:tcPr>
            <w:tcW w:w="797" w:type="dxa"/>
          </w:tcPr>
          <w:p>
            <w:pPr>
              <w:pStyle w:val="TableParagraph"/>
              <w:spacing w:line="250" w:lineRule="exact" w:before="3"/>
              <w:ind w:left="184"/>
              <w:jc w:val="left"/>
              <w:rPr>
                <w:b/>
                <w:sz w:val="21"/>
              </w:rPr>
            </w:pPr>
            <w:r>
              <w:rPr>
                <w:b/>
                <w:sz w:val="21"/>
              </w:rPr>
              <w:t>含量</w:t>
            </w:r>
          </w:p>
        </w:tc>
        <w:tc>
          <w:tcPr>
            <w:tcW w:w="1224" w:type="dxa"/>
          </w:tcPr>
          <w:p>
            <w:pPr>
              <w:pStyle w:val="TableParagraph"/>
              <w:spacing w:line="250" w:lineRule="exact" w:before="3"/>
              <w:ind w:left="186"/>
              <w:jc w:val="left"/>
              <w:rPr>
                <w:b/>
                <w:sz w:val="21"/>
              </w:rPr>
            </w:pPr>
            <w:r>
              <w:rPr>
                <w:b/>
                <w:sz w:val="21"/>
              </w:rPr>
              <w:t>物料名称</w:t>
            </w:r>
          </w:p>
        </w:tc>
        <w:tc>
          <w:tcPr>
            <w:tcW w:w="1332" w:type="dxa"/>
          </w:tcPr>
          <w:p>
            <w:pPr>
              <w:pStyle w:val="TableParagraph"/>
              <w:spacing w:line="250" w:lineRule="exact" w:before="3"/>
              <w:ind w:left="242"/>
              <w:jc w:val="left"/>
              <w:rPr>
                <w:b/>
                <w:sz w:val="21"/>
              </w:rPr>
            </w:pPr>
            <w:r>
              <w:rPr>
                <w:b/>
                <w:sz w:val="21"/>
              </w:rPr>
              <w:t>所含组分</w:t>
            </w:r>
          </w:p>
        </w:tc>
        <w:tc>
          <w:tcPr>
            <w:tcW w:w="991" w:type="dxa"/>
          </w:tcPr>
          <w:p>
            <w:pPr>
              <w:pStyle w:val="TableParagraph"/>
              <w:spacing w:line="250" w:lineRule="exact" w:before="3"/>
              <w:ind w:left="283"/>
              <w:jc w:val="left"/>
              <w:rPr>
                <w:b/>
                <w:sz w:val="21"/>
              </w:rPr>
            </w:pPr>
            <w:r>
              <w:rPr>
                <w:b/>
                <w:sz w:val="21"/>
              </w:rPr>
              <w:t>含量</w:t>
            </w:r>
          </w:p>
        </w:tc>
        <w:tc>
          <w:tcPr>
            <w:tcW w:w="1808" w:type="dxa"/>
            <w:vMerge/>
            <w:tcBorders>
              <w:top w:val="nil"/>
            </w:tcBorders>
          </w:tcPr>
          <w:p>
            <w:pPr>
              <w:rPr>
                <w:sz w:val="2"/>
                <w:szCs w:val="2"/>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2319" w:type="dxa"/>
            <w:gridSpan w:val="2"/>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2556" w:type="dxa"/>
            <w:gridSpan w:val="2"/>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41" w:hRule="atLeast"/>
        </w:trPr>
        <w:tc>
          <w:tcPr>
            <w:tcW w:w="9287" w:type="dxa"/>
            <w:gridSpan w:val="8"/>
          </w:tcPr>
          <w:p>
            <w:pPr>
              <w:pStyle w:val="TableParagraph"/>
              <w:jc w:val="left"/>
              <w:rPr>
                <w:rFonts w:ascii="Times New Roman"/>
                <w:sz w:val="16"/>
              </w:rPr>
            </w:pPr>
          </w:p>
        </w:tc>
      </w:tr>
      <w:tr>
        <w:trPr>
          <w:trHeight w:val="242" w:hRule="atLeast"/>
        </w:trPr>
        <w:tc>
          <w:tcPr>
            <w:tcW w:w="816" w:type="dxa"/>
            <w:vMerge w:val="restart"/>
          </w:tcPr>
          <w:p>
            <w:pPr>
              <w:pStyle w:val="TableParagraph"/>
              <w:jc w:val="left"/>
              <w:rPr>
                <w:rFonts w:ascii="Times New Roman"/>
                <w:sz w:val="20"/>
              </w:rPr>
            </w:pPr>
          </w:p>
        </w:tc>
        <w:tc>
          <w:tcPr>
            <w:tcW w:w="1097" w:type="dxa"/>
            <w:vMerge w:val="restart"/>
          </w:tcPr>
          <w:p>
            <w:pPr>
              <w:pStyle w:val="TableParagraph"/>
              <w:jc w:val="left"/>
              <w:rPr>
                <w:rFonts w:ascii="Times New Roman"/>
                <w:sz w:val="20"/>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1" w:hRule="atLeast"/>
        </w:trPr>
        <w:tc>
          <w:tcPr>
            <w:tcW w:w="816" w:type="dxa"/>
            <w:vMerge/>
            <w:tcBorders>
              <w:top w:val="nil"/>
            </w:tcBorders>
          </w:tcPr>
          <w:p>
            <w:pPr>
              <w:rPr>
                <w:sz w:val="2"/>
                <w:szCs w:val="2"/>
              </w:rPr>
            </w:pPr>
          </w:p>
        </w:tc>
        <w:tc>
          <w:tcPr>
            <w:tcW w:w="2319" w:type="dxa"/>
            <w:gridSpan w:val="2"/>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2556" w:type="dxa"/>
            <w:gridSpan w:val="2"/>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42" w:hRule="atLeast"/>
        </w:trPr>
        <w:tc>
          <w:tcPr>
            <w:tcW w:w="9287" w:type="dxa"/>
            <w:gridSpan w:val="8"/>
          </w:tcPr>
          <w:p>
            <w:pPr>
              <w:pStyle w:val="TableParagraph"/>
              <w:jc w:val="left"/>
              <w:rPr>
                <w:rFonts w:ascii="Times New Roman"/>
                <w:sz w:val="16"/>
              </w:rPr>
            </w:pPr>
          </w:p>
        </w:tc>
      </w:tr>
      <w:tr>
        <w:trPr>
          <w:trHeight w:val="239" w:hRule="atLeast"/>
        </w:trPr>
        <w:tc>
          <w:tcPr>
            <w:tcW w:w="816" w:type="dxa"/>
            <w:vMerge w:val="restart"/>
          </w:tcPr>
          <w:p>
            <w:pPr>
              <w:pStyle w:val="TableParagraph"/>
              <w:jc w:val="left"/>
              <w:rPr>
                <w:rFonts w:ascii="Times New Roman"/>
                <w:sz w:val="20"/>
              </w:rPr>
            </w:pPr>
          </w:p>
        </w:tc>
        <w:tc>
          <w:tcPr>
            <w:tcW w:w="1097" w:type="dxa"/>
            <w:vMerge w:val="restart"/>
          </w:tcPr>
          <w:p>
            <w:pPr>
              <w:pStyle w:val="TableParagraph"/>
              <w:jc w:val="left"/>
              <w:rPr>
                <w:rFonts w:ascii="Times New Roman"/>
                <w:sz w:val="20"/>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1"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39"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39"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2319" w:type="dxa"/>
            <w:gridSpan w:val="2"/>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2556" w:type="dxa"/>
            <w:gridSpan w:val="2"/>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41" w:hRule="atLeast"/>
        </w:trPr>
        <w:tc>
          <w:tcPr>
            <w:tcW w:w="9287" w:type="dxa"/>
            <w:gridSpan w:val="8"/>
          </w:tcPr>
          <w:p>
            <w:pPr>
              <w:pStyle w:val="TableParagraph"/>
              <w:jc w:val="left"/>
              <w:rPr>
                <w:rFonts w:ascii="Times New Roman"/>
                <w:sz w:val="16"/>
              </w:rPr>
            </w:pPr>
          </w:p>
        </w:tc>
      </w:tr>
      <w:tr>
        <w:trPr>
          <w:trHeight w:val="241" w:hRule="atLeast"/>
        </w:trPr>
        <w:tc>
          <w:tcPr>
            <w:tcW w:w="816" w:type="dxa"/>
            <w:vMerge w:val="restart"/>
          </w:tcPr>
          <w:p>
            <w:pPr>
              <w:pStyle w:val="TableParagraph"/>
              <w:jc w:val="left"/>
              <w:rPr>
                <w:rFonts w:ascii="Times New Roman"/>
                <w:sz w:val="20"/>
              </w:rPr>
            </w:pPr>
          </w:p>
        </w:tc>
        <w:tc>
          <w:tcPr>
            <w:tcW w:w="1097" w:type="dxa"/>
            <w:vMerge w:val="restart"/>
          </w:tcPr>
          <w:p>
            <w:pPr>
              <w:pStyle w:val="TableParagraph"/>
              <w:jc w:val="left"/>
              <w:rPr>
                <w:rFonts w:ascii="Times New Roman"/>
                <w:sz w:val="20"/>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39"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vMerge/>
            <w:tcBorders>
              <w:top w:val="nil"/>
            </w:tcBorders>
          </w:tcPr>
          <w:p>
            <w:pPr>
              <w:rPr>
                <w:sz w:val="2"/>
                <w:szCs w:val="2"/>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val="restart"/>
          </w:tcPr>
          <w:p>
            <w:pPr>
              <w:pStyle w:val="TableParagraph"/>
              <w:jc w:val="left"/>
              <w:rPr>
                <w:rFonts w:ascii="Times New Roman"/>
                <w:sz w:val="20"/>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val="restart"/>
          </w:tcPr>
          <w:p>
            <w:pPr>
              <w:pStyle w:val="TableParagraph"/>
              <w:jc w:val="left"/>
              <w:rPr>
                <w:rFonts w:ascii="Times New Roman"/>
                <w:sz w:val="20"/>
              </w:rPr>
            </w:pPr>
          </w:p>
        </w:tc>
      </w:tr>
      <w:tr>
        <w:trPr>
          <w:trHeight w:val="241"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vMerge/>
            <w:tcBorders>
              <w:top w:val="nil"/>
            </w:tcBorders>
          </w:tcPr>
          <w:p>
            <w:pPr>
              <w:rPr>
                <w:sz w:val="2"/>
                <w:szCs w:val="2"/>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vMerge/>
            <w:tcBorders>
              <w:top w:val="nil"/>
            </w:tcBorders>
          </w:tcPr>
          <w:p>
            <w:pPr>
              <w:rPr>
                <w:sz w:val="2"/>
                <w:szCs w:val="2"/>
              </w:rPr>
            </w:pPr>
          </w:p>
        </w:tc>
      </w:tr>
      <w:tr>
        <w:trPr>
          <w:trHeight w:val="242" w:hRule="atLeast"/>
        </w:trPr>
        <w:tc>
          <w:tcPr>
            <w:tcW w:w="816" w:type="dxa"/>
            <w:vMerge/>
            <w:tcBorders>
              <w:top w:val="nil"/>
            </w:tcBorders>
          </w:tcPr>
          <w:p>
            <w:pPr>
              <w:rPr>
                <w:sz w:val="2"/>
                <w:szCs w:val="2"/>
              </w:rPr>
            </w:pPr>
          </w:p>
        </w:tc>
        <w:tc>
          <w:tcPr>
            <w:tcW w:w="1097" w:type="dxa"/>
          </w:tcPr>
          <w:p>
            <w:pPr>
              <w:pStyle w:val="TableParagraph"/>
              <w:jc w:val="left"/>
              <w:rPr>
                <w:rFonts w:ascii="Times New Roman"/>
                <w:sz w:val="16"/>
              </w:rPr>
            </w:pPr>
          </w:p>
        </w:tc>
        <w:tc>
          <w:tcPr>
            <w:tcW w:w="1222" w:type="dxa"/>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1224" w:type="dxa"/>
          </w:tcPr>
          <w:p>
            <w:pPr>
              <w:pStyle w:val="TableParagraph"/>
              <w:jc w:val="left"/>
              <w:rPr>
                <w:rFonts w:ascii="Times New Roman"/>
                <w:sz w:val="16"/>
              </w:rPr>
            </w:pPr>
          </w:p>
        </w:tc>
        <w:tc>
          <w:tcPr>
            <w:tcW w:w="1332" w:type="dxa"/>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39" w:hRule="atLeast"/>
        </w:trPr>
        <w:tc>
          <w:tcPr>
            <w:tcW w:w="816" w:type="dxa"/>
            <w:vMerge/>
            <w:tcBorders>
              <w:top w:val="nil"/>
            </w:tcBorders>
          </w:tcPr>
          <w:p>
            <w:pPr>
              <w:rPr>
                <w:sz w:val="2"/>
                <w:szCs w:val="2"/>
              </w:rPr>
            </w:pPr>
          </w:p>
        </w:tc>
        <w:tc>
          <w:tcPr>
            <w:tcW w:w="2319" w:type="dxa"/>
            <w:gridSpan w:val="2"/>
          </w:tcPr>
          <w:p>
            <w:pPr>
              <w:pStyle w:val="TableParagraph"/>
              <w:jc w:val="left"/>
              <w:rPr>
                <w:rFonts w:ascii="Times New Roman"/>
                <w:sz w:val="16"/>
              </w:rPr>
            </w:pPr>
          </w:p>
        </w:tc>
        <w:tc>
          <w:tcPr>
            <w:tcW w:w="797" w:type="dxa"/>
          </w:tcPr>
          <w:p>
            <w:pPr>
              <w:pStyle w:val="TableParagraph"/>
              <w:jc w:val="left"/>
              <w:rPr>
                <w:rFonts w:ascii="Times New Roman"/>
                <w:sz w:val="16"/>
              </w:rPr>
            </w:pPr>
          </w:p>
        </w:tc>
        <w:tc>
          <w:tcPr>
            <w:tcW w:w="2556" w:type="dxa"/>
            <w:gridSpan w:val="2"/>
          </w:tcPr>
          <w:p>
            <w:pPr>
              <w:pStyle w:val="TableParagraph"/>
              <w:jc w:val="left"/>
              <w:rPr>
                <w:rFonts w:ascii="Times New Roman"/>
                <w:sz w:val="16"/>
              </w:rPr>
            </w:pPr>
          </w:p>
        </w:tc>
        <w:tc>
          <w:tcPr>
            <w:tcW w:w="991" w:type="dxa"/>
          </w:tcPr>
          <w:p>
            <w:pPr>
              <w:pStyle w:val="TableParagraph"/>
              <w:jc w:val="left"/>
              <w:rPr>
                <w:rFonts w:ascii="Times New Roman"/>
                <w:sz w:val="16"/>
              </w:rPr>
            </w:pPr>
          </w:p>
        </w:tc>
        <w:tc>
          <w:tcPr>
            <w:tcW w:w="1808" w:type="dxa"/>
          </w:tcPr>
          <w:p>
            <w:pPr>
              <w:pStyle w:val="TableParagraph"/>
              <w:jc w:val="left"/>
              <w:rPr>
                <w:rFonts w:ascii="Times New Roman"/>
                <w:sz w:val="16"/>
              </w:rPr>
            </w:pPr>
          </w:p>
        </w:tc>
      </w:tr>
      <w:tr>
        <w:trPr>
          <w:trHeight w:val="273" w:hRule="atLeast"/>
        </w:trPr>
        <w:tc>
          <w:tcPr>
            <w:tcW w:w="9287" w:type="dxa"/>
            <w:gridSpan w:val="8"/>
          </w:tcPr>
          <w:p>
            <w:pPr>
              <w:pStyle w:val="TableParagraph"/>
              <w:spacing w:line="250" w:lineRule="exact" w:before="3"/>
              <w:ind w:left="107"/>
              <w:jc w:val="left"/>
              <w:rPr>
                <w:b/>
                <w:sz w:val="21"/>
              </w:rPr>
            </w:pPr>
            <w:r>
              <w:rPr>
                <w:b/>
                <w:sz w:val="21"/>
              </w:rPr>
              <w:t>注：废气集中处理装置包括两级碱喷淋</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18"/>
        </w:rPr>
      </w:pPr>
    </w:p>
    <w:p>
      <w:pPr>
        <w:pStyle w:val="ListParagraph"/>
        <w:numPr>
          <w:ilvl w:val="3"/>
          <w:numId w:val="13"/>
        </w:numPr>
        <w:tabs>
          <w:tab w:pos="1422" w:val="left" w:leader="none"/>
        </w:tabs>
        <w:spacing w:line="240" w:lineRule="auto" w:before="0" w:after="0"/>
        <w:ind w:left="1421" w:right="0" w:hanging="721"/>
        <w:jc w:val="left"/>
        <w:rPr>
          <w:b/>
          <w:sz w:val="24"/>
        </w:rPr>
      </w:pPr>
      <w:r>
        <w:rPr>
          <w:b/>
          <w:sz w:val="24"/>
        </w:rPr>
        <w:t>工艺物料全年总平衡表及主要原料单项平衡</w:t>
      </w:r>
    </w:p>
    <w:p>
      <w:pPr>
        <w:spacing w:before="161"/>
        <w:ind w:left="701" w:right="0" w:firstLine="0"/>
        <w:jc w:val="left"/>
        <w:rPr>
          <w:b/>
          <w:sz w:val="24"/>
        </w:rPr>
      </w:pPr>
      <w:r>
        <w:rPr>
          <w:rFonts w:ascii="Times New Roman" w:eastAsia="Times New Roman"/>
          <w:b/>
          <w:sz w:val="24"/>
        </w:rPr>
        <w:t>1</w:t>
      </w:r>
      <w:r>
        <w:rPr>
          <w:b/>
          <w:sz w:val="24"/>
        </w:rPr>
        <w:t>、全年总平衡</w:t>
      </w:r>
    </w:p>
    <w:p>
      <w:pPr>
        <w:spacing w:after="0"/>
        <w:jc w:val="left"/>
        <w:rPr>
          <w:sz w:val="24"/>
        </w:rPr>
        <w:sectPr>
          <w:pgSz w:w="11910" w:h="16840"/>
          <w:pgMar w:header="872" w:footer="803" w:top="1340" w:bottom="1000" w:left="1200" w:right="1180"/>
        </w:sectPr>
      </w:pPr>
    </w:p>
    <w:p>
      <w:pPr>
        <w:pStyle w:val="BodyText"/>
        <w:spacing w:before="3"/>
        <w:rPr>
          <w:b/>
          <w:sz w:val="10"/>
        </w:rPr>
      </w:pPr>
    </w:p>
    <w:p>
      <w:pPr>
        <w:tabs>
          <w:tab w:pos="1222" w:val="left" w:leader="none"/>
        </w:tabs>
        <w:spacing w:before="74" w:after="29"/>
        <w:ind w:left="0" w:right="17" w:firstLine="0"/>
        <w:jc w:val="center"/>
        <w:rPr>
          <w:b/>
          <w:sz w:val="24"/>
        </w:rPr>
      </w:pPr>
      <w:r>
        <w:rPr>
          <w:b/>
          <w:sz w:val="24"/>
        </w:rPr>
        <w:t>表</w:t>
      </w:r>
      <w:r>
        <w:rPr>
          <w:b/>
          <w:spacing w:val="-60"/>
          <w:sz w:val="24"/>
        </w:rPr>
        <w:t> </w:t>
      </w:r>
      <w:r>
        <w:rPr>
          <w:rFonts w:ascii="Times New Roman" w:eastAsia="Times New Roman"/>
          <w:b/>
          <w:sz w:val="24"/>
        </w:rPr>
        <w:t>4.2.1-5</w:t>
        <w:tab/>
      </w:r>
      <w:r>
        <w:rPr>
          <w:b/>
          <w:sz w:val="24"/>
        </w:rPr>
        <w:t>三环唑产品工艺物料全年总平衡表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4"/>
        <w:gridCol w:w="1275"/>
        <w:gridCol w:w="1812"/>
        <w:gridCol w:w="2004"/>
        <w:gridCol w:w="1575"/>
      </w:tblGrid>
      <w:tr>
        <w:trPr>
          <w:trHeight w:val="282" w:hRule="atLeast"/>
        </w:trPr>
        <w:tc>
          <w:tcPr>
            <w:tcW w:w="3689" w:type="dxa"/>
            <w:gridSpan w:val="2"/>
          </w:tcPr>
          <w:p>
            <w:pPr>
              <w:pStyle w:val="TableParagraph"/>
              <w:spacing w:line="257" w:lineRule="exact" w:before="5"/>
              <w:ind w:left="1428" w:right="1416"/>
              <w:rPr>
                <w:rFonts w:ascii="Times New Roman" w:eastAsia="Times New Roman"/>
                <w:b/>
                <w:sz w:val="21"/>
              </w:rPr>
            </w:pPr>
            <w:r>
              <w:rPr>
                <w:b/>
                <w:sz w:val="21"/>
              </w:rPr>
              <w:t>消耗</w:t>
            </w:r>
            <w:r>
              <w:rPr>
                <w:rFonts w:ascii="Times New Roman" w:eastAsia="Times New Roman"/>
                <w:b/>
                <w:sz w:val="21"/>
              </w:rPr>
              <w:t>(t/a)</w:t>
            </w:r>
          </w:p>
        </w:tc>
        <w:tc>
          <w:tcPr>
            <w:tcW w:w="5391" w:type="dxa"/>
            <w:gridSpan w:val="3"/>
          </w:tcPr>
          <w:p>
            <w:pPr>
              <w:pStyle w:val="TableParagraph"/>
              <w:spacing w:line="257" w:lineRule="exact" w:before="5"/>
              <w:ind w:left="2273" w:right="2272"/>
              <w:rPr>
                <w:rFonts w:ascii="Times New Roman" w:eastAsia="Times New Roman"/>
                <w:b/>
                <w:sz w:val="21"/>
              </w:rPr>
            </w:pPr>
            <w:r>
              <w:rPr>
                <w:b/>
                <w:sz w:val="21"/>
              </w:rPr>
              <w:t>产出</w:t>
            </w:r>
            <w:r>
              <w:rPr>
                <w:rFonts w:ascii="Times New Roman" w:eastAsia="Times New Roman"/>
                <w:b/>
                <w:sz w:val="21"/>
              </w:rPr>
              <w:t>(t/a)</w:t>
            </w:r>
          </w:p>
        </w:tc>
      </w:tr>
      <w:tr>
        <w:trPr>
          <w:trHeight w:val="285" w:hRule="atLeast"/>
        </w:trPr>
        <w:tc>
          <w:tcPr>
            <w:tcW w:w="2414" w:type="dxa"/>
          </w:tcPr>
          <w:p>
            <w:pPr>
              <w:pStyle w:val="TableParagraph"/>
              <w:spacing w:line="257" w:lineRule="exact" w:before="8"/>
              <w:ind w:left="13" w:right="4"/>
              <w:rPr>
                <w:b/>
                <w:sz w:val="21"/>
              </w:rPr>
            </w:pPr>
            <w:r>
              <w:rPr>
                <w:b/>
                <w:sz w:val="21"/>
              </w:rPr>
              <w:t>名称</w:t>
            </w:r>
          </w:p>
        </w:tc>
        <w:tc>
          <w:tcPr>
            <w:tcW w:w="1275" w:type="dxa"/>
          </w:tcPr>
          <w:p>
            <w:pPr>
              <w:pStyle w:val="TableParagraph"/>
              <w:spacing w:line="257" w:lineRule="exact" w:before="8"/>
              <w:ind w:left="425"/>
              <w:jc w:val="left"/>
              <w:rPr>
                <w:b/>
                <w:sz w:val="21"/>
              </w:rPr>
            </w:pPr>
            <w:r>
              <w:rPr>
                <w:b/>
                <w:sz w:val="21"/>
              </w:rPr>
              <w:t>数量</w:t>
            </w:r>
          </w:p>
        </w:tc>
        <w:tc>
          <w:tcPr>
            <w:tcW w:w="3816" w:type="dxa"/>
            <w:gridSpan w:val="2"/>
          </w:tcPr>
          <w:p>
            <w:pPr>
              <w:pStyle w:val="TableParagraph"/>
              <w:spacing w:line="257" w:lineRule="exact" w:before="8"/>
              <w:ind w:left="1380" w:right="1379"/>
              <w:rPr>
                <w:b/>
                <w:sz w:val="21"/>
              </w:rPr>
            </w:pPr>
            <w:r>
              <w:rPr>
                <w:b/>
                <w:sz w:val="21"/>
              </w:rPr>
              <w:t>物料去向</w:t>
            </w:r>
          </w:p>
        </w:tc>
        <w:tc>
          <w:tcPr>
            <w:tcW w:w="1575" w:type="dxa"/>
          </w:tcPr>
          <w:p>
            <w:pPr>
              <w:pStyle w:val="TableParagraph"/>
              <w:spacing w:line="257" w:lineRule="exact" w:before="8"/>
              <w:ind w:left="551" w:right="551"/>
              <w:rPr>
                <w:b/>
                <w:sz w:val="21"/>
              </w:rPr>
            </w:pPr>
            <w:r>
              <w:rPr>
                <w:b/>
                <w:sz w:val="21"/>
              </w:rPr>
              <w:t>数量</w:t>
            </w:r>
          </w:p>
        </w:tc>
      </w:tr>
      <w:tr>
        <w:trPr>
          <w:trHeight w:val="407" w:hRule="atLeast"/>
        </w:trPr>
        <w:tc>
          <w:tcPr>
            <w:tcW w:w="2414" w:type="dxa"/>
          </w:tcPr>
          <w:p>
            <w:pPr>
              <w:pStyle w:val="TableParagraph"/>
              <w:spacing w:before="1"/>
              <w:ind w:left="426"/>
              <w:jc w:val="left"/>
              <w:rPr>
                <w:b/>
                <w:sz w:val="21"/>
              </w:rPr>
            </w:pPr>
            <w:r>
              <w:rPr>
                <w:b/>
                <w:color w:val="FF0000"/>
                <w:sz w:val="21"/>
              </w:rPr>
              <w:t>涉密删除</w:t>
            </w:r>
          </w:p>
        </w:tc>
        <w:tc>
          <w:tcPr>
            <w:tcW w:w="1275" w:type="dxa"/>
          </w:tcPr>
          <w:p>
            <w:pPr>
              <w:pStyle w:val="TableParagraph"/>
              <w:jc w:val="left"/>
              <w:rPr>
                <w:rFonts w:ascii="Times New Roman"/>
                <w:sz w:val="20"/>
              </w:rPr>
            </w:pPr>
          </w:p>
        </w:tc>
        <w:tc>
          <w:tcPr>
            <w:tcW w:w="3816" w:type="dxa"/>
            <w:gridSpan w:val="2"/>
          </w:tcPr>
          <w:p>
            <w:pPr>
              <w:pStyle w:val="TableParagraph"/>
              <w:jc w:val="left"/>
              <w:rPr>
                <w:rFonts w:ascii="Times New Roman"/>
                <w:sz w:val="20"/>
              </w:rPr>
            </w:pPr>
          </w:p>
        </w:tc>
        <w:tc>
          <w:tcPr>
            <w:tcW w:w="1575" w:type="dxa"/>
          </w:tcPr>
          <w:p>
            <w:pPr>
              <w:pStyle w:val="TableParagraph"/>
              <w:jc w:val="left"/>
              <w:rPr>
                <w:rFonts w:ascii="Times New Roman"/>
                <w:sz w:val="20"/>
              </w:rPr>
            </w:pPr>
          </w:p>
        </w:tc>
      </w:tr>
      <w:tr>
        <w:trPr>
          <w:trHeight w:val="285" w:hRule="atLeast"/>
        </w:trPr>
        <w:tc>
          <w:tcPr>
            <w:tcW w:w="2414"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3816" w:type="dxa"/>
            <w:gridSpan w:val="2"/>
          </w:tcPr>
          <w:p>
            <w:pPr>
              <w:pStyle w:val="TableParagraph"/>
              <w:jc w:val="left"/>
              <w:rPr>
                <w:rFonts w:ascii="Times New Roman"/>
                <w:sz w:val="20"/>
              </w:rPr>
            </w:pPr>
          </w:p>
        </w:tc>
        <w:tc>
          <w:tcPr>
            <w:tcW w:w="1575" w:type="dxa"/>
          </w:tcPr>
          <w:p>
            <w:pPr>
              <w:pStyle w:val="TableParagraph"/>
              <w:jc w:val="left"/>
              <w:rPr>
                <w:rFonts w:ascii="Times New Roman"/>
                <w:sz w:val="20"/>
              </w:rPr>
            </w:pPr>
          </w:p>
        </w:tc>
      </w:tr>
      <w:tr>
        <w:trPr>
          <w:trHeight w:val="282" w:hRule="atLeast"/>
        </w:trPr>
        <w:tc>
          <w:tcPr>
            <w:tcW w:w="2414"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812" w:type="dxa"/>
            <w:vMerge w:val="restart"/>
          </w:tcPr>
          <w:p>
            <w:pPr>
              <w:pStyle w:val="TableParagraph"/>
              <w:jc w:val="left"/>
              <w:rPr>
                <w:rFonts w:ascii="Times New Roman"/>
                <w:sz w:val="20"/>
              </w:rPr>
            </w:pPr>
          </w:p>
        </w:tc>
        <w:tc>
          <w:tcPr>
            <w:tcW w:w="2004" w:type="dxa"/>
          </w:tcPr>
          <w:p>
            <w:pPr>
              <w:pStyle w:val="TableParagraph"/>
              <w:jc w:val="left"/>
              <w:rPr>
                <w:rFonts w:ascii="Times New Roman"/>
                <w:sz w:val="20"/>
              </w:rPr>
            </w:pPr>
          </w:p>
        </w:tc>
        <w:tc>
          <w:tcPr>
            <w:tcW w:w="1575" w:type="dxa"/>
          </w:tcPr>
          <w:p>
            <w:pPr>
              <w:pStyle w:val="TableParagraph"/>
              <w:jc w:val="left"/>
              <w:rPr>
                <w:rFonts w:ascii="Times New Roman"/>
                <w:sz w:val="20"/>
              </w:rPr>
            </w:pPr>
          </w:p>
        </w:tc>
      </w:tr>
      <w:tr>
        <w:trPr>
          <w:trHeight w:val="285" w:hRule="atLeast"/>
        </w:trPr>
        <w:tc>
          <w:tcPr>
            <w:tcW w:w="2414"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812" w:type="dxa"/>
            <w:vMerge/>
            <w:tcBorders>
              <w:top w:val="nil"/>
            </w:tcBorders>
          </w:tcPr>
          <w:p>
            <w:pPr>
              <w:rPr>
                <w:sz w:val="2"/>
                <w:szCs w:val="2"/>
              </w:rPr>
            </w:pPr>
          </w:p>
        </w:tc>
        <w:tc>
          <w:tcPr>
            <w:tcW w:w="2004" w:type="dxa"/>
          </w:tcPr>
          <w:p>
            <w:pPr>
              <w:pStyle w:val="TableParagraph"/>
              <w:jc w:val="left"/>
              <w:rPr>
                <w:rFonts w:ascii="Times New Roman"/>
                <w:sz w:val="20"/>
              </w:rPr>
            </w:pPr>
          </w:p>
        </w:tc>
        <w:tc>
          <w:tcPr>
            <w:tcW w:w="1575" w:type="dxa"/>
          </w:tcPr>
          <w:p>
            <w:pPr>
              <w:pStyle w:val="TableParagraph"/>
              <w:jc w:val="left"/>
              <w:rPr>
                <w:rFonts w:ascii="Times New Roman"/>
                <w:sz w:val="20"/>
              </w:rPr>
            </w:pPr>
          </w:p>
        </w:tc>
      </w:tr>
      <w:tr>
        <w:trPr>
          <w:trHeight w:val="282" w:hRule="atLeast"/>
        </w:trPr>
        <w:tc>
          <w:tcPr>
            <w:tcW w:w="2414"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812" w:type="dxa"/>
            <w:vMerge/>
            <w:tcBorders>
              <w:top w:val="nil"/>
            </w:tcBorders>
          </w:tcPr>
          <w:p>
            <w:pPr>
              <w:rPr>
                <w:sz w:val="2"/>
                <w:szCs w:val="2"/>
              </w:rPr>
            </w:pPr>
          </w:p>
        </w:tc>
        <w:tc>
          <w:tcPr>
            <w:tcW w:w="2004" w:type="dxa"/>
          </w:tcPr>
          <w:p>
            <w:pPr>
              <w:pStyle w:val="TableParagraph"/>
              <w:jc w:val="left"/>
              <w:rPr>
                <w:rFonts w:ascii="Times New Roman"/>
                <w:sz w:val="20"/>
              </w:rPr>
            </w:pPr>
          </w:p>
        </w:tc>
        <w:tc>
          <w:tcPr>
            <w:tcW w:w="1575" w:type="dxa"/>
          </w:tcPr>
          <w:p>
            <w:pPr>
              <w:pStyle w:val="TableParagraph"/>
              <w:jc w:val="left"/>
              <w:rPr>
                <w:rFonts w:ascii="Times New Roman"/>
                <w:sz w:val="20"/>
              </w:rPr>
            </w:pPr>
          </w:p>
        </w:tc>
      </w:tr>
      <w:tr>
        <w:trPr>
          <w:trHeight w:val="285" w:hRule="atLeast"/>
        </w:trPr>
        <w:tc>
          <w:tcPr>
            <w:tcW w:w="2414" w:type="dxa"/>
          </w:tcPr>
          <w:p>
            <w:pPr>
              <w:pStyle w:val="TableParagraph"/>
              <w:spacing w:line="257" w:lineRule="exact" w:before="8"/>
              <w:ind w:left="914"/>
              <w:jc w:val="left"/>
              <w:rPr>
                <w:b/>
                <w:sz w:val="21"/>
              </w:rPr>
            </w:pPr>
            <w:r>
              <w:rPr>
                <w:b/>
                <w:sz w:val="21"/>
              </w:rPr>
              <w:t>合计 </w:t>
            </w:r>
            <w:r>
              <w:rPr>
                <w:b/>
                <w:spacing w:val="2"/>
                <w:w w:val="100"/>
                <w:position w:val="-3"/>
                <w:sz w:val="21"/>
              </w:rPr>
              <w:drawing>
                <wp:inline distT="0" distB="0" distL="0" distR="0">
                  <wp:extent cx="204216" cy="147827"/>
                  <wp:effectExtent l="0" t="0" r="0" b="0"/>
                  <wp:docPr id="25" name="image19.png"/>
                  <wp:cNvGraphicFramePr>
                    <a:graphicFrameLocks noChangeAspect="1"/>
                  </wp:cNvGraphicFramePr>
                  <a:graphic>
                    <a:graphicData uri="http://schemas.openxmlformats.org/drawingml/2006/picture">
                      <pic:pic>
                        <pic:nvPicPr>
                          <pic:cNvPr id="26" name="image19.png"/>
                          <pic:cNvPicPr/>
                        </pic:nvPicPr>
                        <pic:blipFill>
                          <a:blip r:embed="rId46" cstate="print"/>
                          <a:stretch>
                            <a:fillRect/>
                          </a:stretch>
                        </pic:blipFill>
                        <pic:spPr>
                          <a:xfrm>
                            <a:off x="0" y="0"/>
                            <a:ext cx="204216" cy="147827"/>
                          </a:xfrm>
                          <a:prstGeom prst="rect">
                            <a:avLst/>
                          </a:prstGeom>
                        </pic:spPr>
                      </pic:pic>
                    </a:graphicData>
                  </a:graphic>
                </wp:inline>
              </w:drawing>
            </w:r>
            <w:r>
              <w:rPr>
                <w:b/>
                <w:spacing w:val="2"/>
                <w:w w:val="100"/>
                <w:position w:val="-3"/>
                <w:sz w:val="21"/>
              </w:rPr>
            </w:r>
          </w:p>
        </w:tc>
        <w:tc>
          <w:tcPr>
            <w:tcW w:w="1275" w:type="dxa"/>
          </w:tcPr>
          <w:p>
            <w:pPr>
              <w:pStyle w:val="TableParagraph"/>
              <w:jc w:val="left"/>
              <w:rPr>
                <w:rFonts w:ascii="Times New Roman"/>
                <w:sz w:val="20"/>
              </w:rPr>
            </w:pPr>
          </w:p>
        </w:tc>
        <w:tc>
          <w:tcPr>
            <w:tcW w:w="3816" w:type="dxa"/>
            <w:gridSpan w:val="2"/>
          </w:tcPr>
          <w:p>
            <w:pPr>
              <w:pStyle w:val="TableParagraph"/>
              <w:spacing w:line="257" w:lineRule="exact" w:before="8"/>
              <w:ind w:left="1461" w:right="1304"/>
              <w:rPr>
                <w:b/>
                <w:sz w:val="21"/>
              </w:rPr>
            </w:pPr>
            <w:r>
              <w:rPr>
                <w:b/>
                <w:sz w:val="21"/>
              </w:rPr>
              <w:t>合计 </w:t>
            </w:r>
            <w:r>
              <w:rPr>
                <w:b/>
                <w:spacing w:val="2"/>
                <w:w w:val="100"/>
                <w:position w:val="-3"/>
                <w:sz w:val="21"/>
              </w:rPr>
              <w:drawing>
                <wp:inline distT="0" distB="0" distL="0" distR="0">
                  <wp:extent cx="204215" cy="147827"/>
                  <wp:effectExtent l="0" t="0" r="0" b="0"/>
                  <wp:docPr id="27" name="image19.png"/>
                  <wp:cNvGraphicFramePr>
                    <a:graphicFrameLocks noChangeAspect="1"/>
                  </wp:cNvGraphicFramePr>
                  <a:graphic>
                    <a:graphicData uri="http://schemas.openxmlformats.org/drawingml/2006/picture">
                      <pic:pic>
                        <pic:nvPicPr>
                          <pic:cNvPr id="28" name="image19.png"/>
                          <pic:cNvPicPr/>
                        </pic:nvPicPr>
                        <pic:blipFill>
                          <a:blip r:embed="rId46" cstate="print"/>
                          <a:stretch>
                            <a:fillRect/>
                          </a:stretch>
                        </pic:blipFill>
                        <pic:spPr>
                          <a:xfrm>
                            <a:off x="0" y="0"/>
                            <a:ext cx="204215" cy="147827"/>
                          </a:xfrm>
                          <a:prstGeom prst="rect">
                            <a:avLst/>
                          </a:prstGeom>
                        </pic:spPr>
                      </pic:pic>
                    </a:graphicData>
                  </a:graphic>
                </wp:inline>
              </w:drawing>
            </w:r>
            <w:r>
              <w:rPr>
                <w:b/>
                <w:spacing w:val="2"/>
                <w:w w:val="100"/>
                <w:position w:val="-3"/>
                <w:sz w:val="21"/>
              </w:rPr>
            </w:r>
          </w:p>
        </w:tc>
        <w:tc>
          <w:tcPr>
            <w:tcW w:w="1575" w:type="dxa"/>
          </w:tcPr>
          <w:p>
            <w:pPr>
              <w:pStyle w:val="TableParagraph"/>
              <w:jc w:val="left"/>
              <w:rPr>
                <w:rFonts w:ascii="Times New Roman"/>
                <w:sz w:val="20"/>
              </w:rPr>
            </w:pPr>
          </w:p>
        </w:tc>
      </w:tr>
    </w:tbl>
    <w:p>
      <w:pPr>
        <w:spacing w:before="122"/>
        <w:ind w:left="701" w:right="0" w:firstLine="0"/>
        <w:jc w:val="left"/>
        <w:rPr>
          <w:b/>
          <w:sz w:val="24"/>
        </w:rPr>
      </w:pPr>
      <w:r>
        <w:rPr>
          <w:rFonts w:ascii="Times New Roman" w:hAnsi="Times New Roman" w:eastAsia="Times New Roman"/>
          <w:b/>
          <w:sz w:val="24"/>
        </w:rPr>
        <w:t>2</w:t>
      </w:r>
      <w:r>
        <w:rPr>
          <w:b/>
          <w:sz w:val="24"/>
        </w:rPr>
        <w:t>、主要敏感物料投入</w:t>
      </w:r>
      <w:r>
        <w:rPr>
          <w:rFonts w:ascii="Times New Roman" w:hAnsi="Times New Roman" w:eastAsia="Times New Roman"/>
          <w:b/>
          <w:sz w:val="24"/>
        </w:rPr>
        <w:t>—</w:t>
      </w:r>
      <w:r>
        <w:rPr>
          <w:b/>
          <w:sz w:val="24"/>
        </w:rPr>
        <w:t>产出</w:t>
      </w:r>
      <w:r>
        <w:rPr>
          <w:rFonts w:ascii="Times New Roman" w:hAnsi="Times New Roman" w:eastAsia="Times New Roman"/>
          <w:b/>
          <w:sz w:val="24"/>
        </w:rPr>
        <w:t>—</w:t>
      </w:r>
      <w:r>
        <w:rPr>
          <w:b/>
          <w:sz w:val="24"/>
        </w:rPr>
        <w:t>流失平衡</w:t>
      </w:r>
    </w:p>
    <w:p>
      <w:pPr>
        <w:pStyle w:val="BodyText"/>
        <w:spacing w:before="5"/>
        <w:rPr>
          <w:b/>
          <w:sz w:val="23"/>
        </w:rPr>
      </w:pPr>
    </w:p>
    <w:p>
      <w:pPr>
        <w:tabs>
          <w:tab w:pos="1221" w:val="left" w:leader="none"/>
        </w:tabs>
        <w:spacing w:before="0" w:after="29"/>
        <w:ind w:left="0" w:right="17" w:firstLine="0"/>
        <w:jc w:val="center"/>
        <w:rPr>
          <w:rFonts w:ascii="Times New Roman" w:hAnsi="Times New Roman" w:eastAsia="Times New Roman"/>
          <w:b/>
          <w:sz w:val="24"/>
        </w:rPr>
      </w:pPr>
      <w:r>
        <w:rPr>
          <w:b/>
          <w:sz w:val="24"/>
        </w:rPr>
        <w:t>表</w:t>
      </w:r>
      <w:r>
        <w:rPr>
          <w:b/>
          <w:spacing w:val="-60"/>
          <w:sz w:val="24"/>
        </w:rPr>
        <w:t> </w:t>
      </w:r>
      <w:r>
        <w:rPr>
          <w:rFonts w:ascii="Times New Roman" w:hAnsi="Times New Roman" w:eastAsia="Times New Roman"/>
          <w:b/>
          <w:sz w:val="24"/>
        </w:rPr>
        <w:t>4.2.1-6</w:t>
        <w:tab/>
      </w:r>
      <w:r>
        <w:rPr>
          <w:b/>
          <w:sz w:val="24"/>
        </w:rPr>
        <w:t>主要敏感物料投</w:t>
      </w:r>
      <w:r>
        <w:rPr>
          <w:b/>
          <w:spacing w:val="3"/>
          <w:sz w:val="24"/>
        </w:rPr>
        <w:t>入</w:t>
      </w:r>
      <w:r>
        <w:rPr>
          <w:rFonts w:ascii="Times New Roman" w:hAnsi="Times New Roman" w:eastAsia="Times New Roman"/>
          <w:b/>
          <w:sz w:val="24"/>
        </w:rPr>
        <w:t>—</w:t>
      </w:r>
      <w:r>
        <w:rPr>
          <w:b/>
          <w:sz w:val="24"/>
        </w:rPr>
        <w:t>产出</w:t>
      </w:r>
      <w:r>
        <w:rPr>
          <w:rFonts w:ascii="Times New Roman" w:hAnsi="Times New Roman" w:eastAsia="Times New Roman"/>
          <w:b/>
          <w:sz w:val="24"/>
        </w:rPr>
        <w:t>—</w:t>
      </w:r>
      <w:r>
        <w:rPr>
          <w:b/>
          <w:sz w:val="24"/>
        </w:rPr>
        <w:t>流失平衡表</w:t>
      </w:r>
      <w:r>
        <w:rPr>
          <w:rFonts w:ascii="Times New Roman" w:hAnsi="Times New Roman" w:eastAsia="Times New Roman"/>
          <w:b/>
          <w:spacing w:val="-4"/>
          <w:sz w:val="24"/>
        </w:rPr>
        <w:t>(</w:t>
      </w:r>
      <w:r>
        <w:rPr>
          <w:b/>
          <w:sz w:val="24"/>
        </w:rPr>
        <w:t>以物质折纯</w:t>
      </w:r>
      <w:r>
        <w:rPr>
          <w:b/>
          <w:spacing w:val="3"/>
          <w:sz w:val="24"/>
        </w:rPr>
        <w:t>计</w:t>
      </w:r>
      <w:r>
        <w:rPr>
          <w:rFonts w:ascii="Times New Roman" w:hAnsi="Times New Roman" w:eastAsia="Times New Roman"/>
          <w:b/>
          <w:sz w:val="24"/>
        </w:rPr>
        <w:t>)</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85"/>
        <w:gridCol w:w="848"/>
        <w:gridCol w:w="1169"/>
        <w:gridCol w:w="948"/>
        <w:gridCol w:w="1035"/>
        <w:gridCol w:w="994"/>
        <w:gridCol w:w="1136"/>
        <w:gridCol w:w="1097"/>
      </w:tblGrid>
      <w:tr>
        <w:trPr>
          <w:trHeight w:val="285" w:hRule="atLeast"/>
        </w:trPr>
        <w:tc>
          <w:tcPr>
            <w:tcW w:w="1277" w:type="dxa"/>
            <w:vMerge w:val="restart"/>
          </w:tcPr>
          <w:p>
            <w:pPr>
              <w:pStyle w:val="TableParagraph"/>
              <w:spacing w:before="5"/>
              <w:jc w:val="left"/>
              <w:rPr>
                <w:rFonts w:ascii="Times New Roman"/>
                <w:b/>
                <w:sz w:val="26"/>
              </w:rPr>
            </w:pPr>
          </w:p>
          <w:p>
            <w:pPr>
              <w:pStyle w:val="TableParagraph"/>
              <w:ind w:left="215"/>
              <w:jc w:val="left"/>
              <w:rPr>
                <w:b/>
                <w:sz w:val="21"/>
              </w:rPr>
            </w:pPr>
            <w:r>
              <w:rPr>
                <w:b/>
                <w:sz w:val="21"/>
              </w:rPr>
              <w:t>物料名称</w:t>
            </w:r>
          </w:p>
        </w:tc>
        <w:tc>
          <w:tcPr>
            <w:tcW w:w="785" w:type="dxa"/>
            <w:vMerge w:val="restart"/>
          </w:tcPr>
          <w:p>
            <w:pPr>
              <w:pStyle w:val="TableParagraph"/>
              <w:spacing w:before="155"/>
              <w:ind w:left="179"/>
              <w:jc w:val="left"/>
              <w:rPr>
                <w:b/>
                <w:sz w:val="21"/>
              </w:rPr>
            </w:pPr>
            <w:r>
              <w:rPr>
                <w:b/>
                <w:sz w:val="21"/>
              </w:rPr>
              <w:t>投入</w:t>
            </w:r>
          </w:p>
        </w:tc>
        <w:tc>
          <w:tcPr>
            <w:tcW w:w="2017" w:type="dxa"/>
            <w:gridSpan w:val="2"/>
            <w:vMerge w:val="restart"/>
          </w:tcPr>
          <w:p>
            <w:pPr>
              <w:pStyle w:val="TableParagraph"/>
              <w:spacing w:before="155"/>
              <w:ind w:left="585"/>
              <w:jc w:val="left"/>
              <w:rPr>
                <w:b/>
                <w:sz w:val="21"/>
              </w:rPr>
            </w:pPr>
            <w:r>
              <w:rPr>
                <w:b/>
                <w:sz w:val="21"/>
              </w:rPr>
              <w:t>甲酸回收</w:t>
            </w:r>
          </w:p>
        </w:tc>
        <w:tc>
          <w:tcPr>
            <w:tcW w:w="5210" w:type="dxa"/>
            <w:gridSpan w:val="5"/>
          </w:tcPr>
          <w:p>
            <w:pPr>
              <w:pStyle w:val="TableParagraph"/>
              <w:spacing w:line="257" w:lineRule="exact" w:before="8"/>
              <w:ind w:left="2372" w:right="2366"/>
              <w:rPr>
                <w:b/>
                <w:sz w:val="21"/>
              </w:rPr>
            </w:pPr>
            <w:r>
              <w:rPr>
                <w:b/>
                <w:sz w:val="21"/>
              </w:rPr>
              <w:t>流失</w:t>
            </w:r>
          </w:p>
        </w:tc>
      </w:tr>
      <w:tr>
        <w:trPr>
          <w:trHeight w:val="282" w:hRule="atLeast"/>
        </w:trPr>
        <w:tc>
          <w:tcPr>
            <w:tcW w:w="1277" w:type="dxa"/>
            <w:vMerge/>
            <w:tcBorders>
              <w:top w:val="nil"/>
            </w:tcBorders>
          </w:tcPr>
          <w:p>
            <w:pPr>
              <w:rPr>
                <w:sz w:val="2"/>
                <w:szCs w:val="2"/>
              </w:rPr>
            </w:pPr>
          </w:p>
        </w:tc>
        <w:tc>
          <w:tcPr>
            <w:tcW w:w="785" w:type="dxa"/>
            <w:vMerge/>
            <w:tcBorders>
              <w:top w:val="nil"/>
            </w:tcBorders>
          </w:tcPr>
          <w:p>
            <w:pPr>
              <w:rPr>
                <w:sz w:val="2"/>
                <w:szCs w:val="2"/>
              </w:rPr>
            </w:pPr>
          </w:p>
        </w:tc>
        <w:tc>
          <w:tcPr>
            <w:tcW w:w="2017" w:type="dxa"/>
            <w:gridSpan w:val="2"/>
            <w:vMerge/>
            <w:tcBorders>
              <w:top w:val="nil"/>
            </w:tcBorders>
          </w:tcPr>
          <w:p>
            <w:pPr>
              <w:rPr>
                <w:sz w:val="2"/>
                <w:szCs w:val="2"/>
              </w:rPr>
            </w:pPr>
          </w:p>
        </w:tc>
        <w:tc>
          <w:tcPr>
            <w:tcW w:w="948" w:type="dxa"/>
          </w:tcPr>
          <w:p>
            <w:pPr>
              <w:pStyle w:val="TableParagraph"/>
              <w:spacing w:line="255" w:lineRule="exact" w:before="8"/>
              <w:ind w:left="240" w:right="235"/>
              <w:rPr>
                <w:b/>
                <w:sz w:val="21"/>
              </w:rPr>
            </w:pPr>
            <w:r>
              <w:rPr>
                <w:b/>
                <w:sz w:val="21"/>
              </w:rPr>
              <w:t>合计</w:t>
            </w:r>
          </w:p>
        </w:tc>
        <w:tc>
          <w:tcPr>
            <w:tcW w:w="1035" w:type="dxa"/>
          </w:tcPr>
          <w:p>
            <w:pPr>
              <w:pStyle w:val="TableParagraph"/>
              <w:spacing w:line="255" w:lineRule="exact" w:before="8"/>
              <w:ind w:left="72" w:right="67"/>
              <w:rPr>
                <w:b/>
                <w:sz w:val="21"/>
              </w:rPr>
            </w:pPr>
            <w:r>
              <w:rPr>
                <w:b/>
                <w:sz w:val="21"/>
              </w:rPr>
              <w:t>废水</w:t>
            </w:r>
          </w:p>
        </w:tc>
        <w:tc>
          <w:tcPr>
            <w:tcW w:w="994" w:type="dxa"/>
          </w:tcPr>
          <w:p>
            <w:pPr>
              <w:pStyle w:val="TableParagraph"/>
              <w:spacing w:line="255" w:lineRule="exact" w:before="8"/>
              <w:ind w:left="67" w:right="65"/>
              <w:rPr>
                <w:b/>
                <w:sz w:val="21"/>
              </w:rPr>
            </w:pPr>
            <w:r>
              <w:rPr>
                <w:b/>
                <w:sz w:val="21"/>
              </w:rPr>
              <w:t>废气</w:t>
            </w:r>
          </w:p>
        </w:tc>
        <w:tc>
          <w:tcPr>
            <w:tcW w:w="1136" w:type="dxa"/>
          </w:tcPr>
          <w:p>
            <w:pPr>
              <w:pStyle w:val="TableParagraph"/>
              <w:spacing w:line="255" w:lineRule="exact" w:before="8"/>
              <w:ind w:left="93" w:right="90"/>
              <w:rPr>
                <w:b/>
                <w:sz w:val="21"/>
              </w:rPr>
            </w:pPr>
            <w:r>
              <w:rPr>
                <w:b/>
                <w:sz w:val="21"/>
              </w:rPr>
              <w:t>废渣</w:t>
            </w:r>
            <w:r>
              <w:rPr>
                <w:rFonts w:ascii="Times New Roman" w:eastAsia="Times New Roman"/>
                <w:b/>
                <w:sz w:val="21"/>
              </w:rPr>
              <w:t>/</w:t>
            </w:r>
            <w:r>
              <w:rPr>
                <w:b/>
                <w:sz w:val="21"/>
              </w:rPr>
              <w:t>残渣</w:t>
            </w:r>
          </w:p>
        </w:tc>
        <w:tc>
          <w:tcPr>
            <w:tcW w:w="1097" w:type="dxa"/>
          </w:tcPr>
          <w:p>
            <w:pPr>
              <w:pStyle w:val="TableParagraph"/>
              <w:spacing w:line="255" w:lineRule="exact" w:before="8"/>
              <w:ind w:left="103" w:right="100"/>
              <w:rPr>
                <w:b/>
                <w:sz w:val="21"/>
              </w:rPr>
            </w:pPr>
            <w:r>
              <w:rPr>
                <w:b/>
                <w:sz w:val="21"/>
              </w:rPr>
              <w:t>参加反应</w:t>
            </w:r>
          </w:p>
        </w:tc>
      </w:tr>
      <w:tr>
        <w:trPr>
          <w:trHeight w:val="285" w:hRule="atLeast"/>
        </w:trPr>
        <w:tc>
          <w:tcPr>
            <w:tcW w:w="1277" w:type="dxa"/>
            <w:vMerge/>
            <w:tcBorders>
              <w:top w:val="nil"/>
            </w:tcBorders>
          </w:tcPr>
          <w:p>
            <w:pPr>
              <w:rPr>
                <w:sz w:val="2"/>
                <w:szCs w:val="2"/>
              </w:rPr>
            </w:pPr>
          </w:p>
        </w:tc>
        <w:tc>
          <w:tcPr>
            <w:tcW w:w="785" w:type="dxa"/>
          </w:tcPr>
          <w:p>
            <w:pPr>
              <w:pStyle w:val="TableParagraph"/>
              <w:spacing w:before="22"/>
              <w:ind w:left="55" w:right="47"/>
              <w:rPr>
                <w:rFonts w:ascii="Times New Roman"/>
                <w:b/>
                <w:sz w:val="21"/>
              </w:rPr>
            </w:pPr>
            <w:r>
              <w:rPr>
                <w:rFonts w:ascii="Times New Roman"/>
                <w:b/>
                <w:sz w:val="21"/>
              </w:rPr>
              <w:t>t/a</w:t>
            </w:r>
          </w:p>
        </w:tc>
        <w:tc>
          <w:tcPr>
            <w:tcW w:w="848" w:type="dxa"/>
          </w:tcPr>
          <w:p>
            <w:pPr>
              <w:pStyle w:val="TableParagraph"/>
              <w:spacing w:before="22"/>
              <w:ind w:left="113" w:right="106"/>
              <w:rPr>
                <w:rFonts w:ascii="Times New Roman"/>
                <w:b/>
                <w:sz w:val="21"/>
              </w:rPr>
            </w:pPr>
            <w:r>
              <w:rPr>
                <w:rFonts w:ascii="Times New Roman"/>
                <w:b/>
                <w:sz w:val="21"/>
              </w:rPr>
              <w:t>t/a</w:t>
            </w:r>
          </w:p>
        </w:tc>
        <w:tc>
          <w:tcPr>
            <w:tcW w:w="1169" w:type="dxa"/>
          </w:tcPr>
          <w:p>
            <w:pPr>
              <w:pStyle w:val="TableParagraph"/>
              <w:spacing w:line="257" w:lineRule="exact" w:before="8"/>
              <w:ind w:left="162"/>
              <w:jc w:val="left"/>
              <w:rPr>
                <w:rFonts w:ascii="Times New Roman" w:eastAsia="Times New Roman"/>
                <w:b/>
                <w:sz w:val="21"/>
              </w:rPr>
            </w:pPr>
            <w:r>
              <w:rPr>
                <w:b/>
                <w:sz w:val="21"/>
              </w:rPr>
              <w:t>回收率</w:t>
            </w:r>
            <w:r>
              <w:rPr>
                <w:rFonts w:ascii="Times New Roman" w:eastAsia="Times New Roman"/>
                <w:b/>
                <w:sz w:val="21"/>
              </w:rPr>
              <w:t>%</w:t>
            </w:r>
          </w:p>
        </w:tc>
        <w:tc>
          <w:tcPr>
            <w:tcW w:w="948" w:type="dxa"/>
          </w:tcPr>
          <w:p>
            <w:pPr>
              <w:pStyle w:val="TableParagraph"/>
              <w:spacing w:before="22"/>
              <w:ind w:left="240" w:right="233"/>
              <w:rPr>
                <w:rFonts w:ascii="Times New Roman"/>
                <w:b/>
                <w:sz w:val="21"/>
              </w:rPr>
            </w:pPr>
            <w:r>
              <w:rPr>
                <w:rFonts w:ascii="Times New Roman"/>
                <w:b/>
                <w:sz w:val="21"/>
              </w:rPr>
              <w:t>t/a</w:t>
            </w:r>
          </w:p>
        </w:tc>
        <w:tc>
          <w:tcPr>
            <w:tcW w:w="1035" w:type="dxa"/>
          </w:tcPr>
          <w:p>
            <w:pPr>
              <w:pStyle w:val="TableParagraph"/>
              <w:spacing w:before="22"/>
              <w:ind w:left="70" w:right="67"/>
              <w:rPr>
                <w:rFonts w:ascii="Times New Roman"/>
                <w:b/>
                <w:sz w:val="21"/>
              </w:rPr>
            </w:pPr>
            <w:r>
              <w:rPr>
                <w:rFonts w:ascii="Times New Roman"/>
                <w:b/>
                <w:sz w:val="21"/>
              </w:rPr>
              <w:t>t/a</w:t>
            </w:r>
          </w:p>
        </w:tc>
        <w:tc>
          <w:tcPr>
            <w:tcW w:w="994" w:type="dxa"/>
          </w:tcPr>
          <w:p>
            <w:pPr>
              <w:pStyle w:val="TableParagraph"/>
              <w:spacing w:before="22"/>
              <w:ind w:left="64" w:right="65"/>
              <w:rPr>
                <w:rFonts w:ascii="Times New Roman"/>
                <w:b/>
                <w:sz w:val="21"/>
              </w:rPr>
            </w:pPr>
            <w:r>
              <w:rPr>
                <w:rFonts w:ascii="Times New Roman"/>
                <w:b/>
                <w:sz w:val="21"/>
              </w:rPr>
              <w:t>t/a</w:t>
            </w:r>
          </w:p>
        </w:tc>
        <w:tc>
          <w:tcPr>
            <w:tcW w:w="1136" w:type="dxa"/>
          </w:tcPr>
          <w:p>
            <w:pPr>
              <w:pStyle w:val="TableParagraph"/>
              <w:spacing w:before="22"/>
              <w:ind w:left="93" w:right="88"/>
              <w:rPr>
                <w:rFonts w:ascii="Times New Roman"/>
                <w:b/>
                <w:sz w:val="21"/>
              </w:rPr>
            </w:pPr>
            <w:r>
              <w:rPr>
                <w:rFonts w:ascii="Times New Roman"/>
                <w:b/>
                <w:sz w:val="21"/>
              </w:rPr>
              <w:t>t/a</w:t>
            </w:r>
          </w:p>
        </w:tc>
        <w:tc>
          <w:tcPr>
            <w:tcW w:w="1097" w:type="dxa"/>
          </w:tcPr>
          <w:p>
            <w:pPr>
              <w:pStyle w:val="TableParagraph"/>
              <w:spacing w:before="22"/>
              <w:ind w:left="101" w:right="100"/>
              <w:rPr>
                <w:rFonts w:ascii="Times New Roman"/>
                <w:b/>
                <w:sz w:val="21"/>
              </w:rPr>
            </w:pPr>
            <w:r>
              <w:rPr>
                <w:rFonts w:ascii="Times New Roman"/>
                <w:b/>
                <w:sz w:val="21"/>
              </w:rPr>
              <w:t>t/a</w:t>
            </w:r>
          </w:p>
        </w:tc>
      </w:tr>
      <w:tr>
        <w:trPr>
          <w:trHeight w:val="285" w:hRule="atLeast"/>
        </w:trPr>
        <w:tc>
          <w:tcPr>
            <w:tcW w:w="1277" w:type="dxa"/>
          </w:tcPr>
          <w:p>
            <w:pPr>
              <w:pStyle w:val="TableParagraph"/>
              <w:spacing w:line="257" w:lineRule="exact" w:before="8"/>
              <w:ind w:left="215"/>
              <w:jc w:val="left"/>
              <w:rPr>
                <w:b/>
                <w:sz w:val="21"/>
              </w:rPr>
            </w:pPr>
            <w:r>
              <w:rPr>
                <w:b/>
                <w:color w:val="FF0000"/>
                <w:sz w:val="21"/>
              </w:rPr>
              <w:t>涉密删除</w:t>
            </w:r>
          </w:p>
        </w:tc>
        <w:tc>
          <w:tcPr>
            <w:tcW w:w="785" w:type="dxa"/>
          </w:tcPr>
          <w:p>
            <w:pPr>
              <w:pStyle w:val="TableParagraph"/>
              <w:jc w:val="left"/>
              <w:rPr>
                <w:rFonts w:ascii="Times New Roman"/>
                <w:sz w:val="20"/>
              </w:rPr>
            </w:pPr>
          </w:p>
        </w:tc>
        <w:tc>
          <w:tcPr>
            <w:tcW w:w="848" w:type="dxa"/>
          </w:tcPr>
          <w:p>
            <w:pPr>
              <w:pStyle w:val="TableParagraph"/>
              <w:jc w:val="left"/>
              <w:rPr>
                <w:rFonts w:ascii="Times New Roman"/>
                <w:sz w:val="20"/>
              </w:rPr>
            </w:pPr>
          </w:p>
        </w:tc>
        <w:tc>
          <w:tcPr>
            <w:tcW w:w="1169" w:type="dxa"/>
          </w:tcPr>
          <w:p>
            <w:pPr>
              <w:pStyle w:val="TableParagraph"/>
              <w:jc w:val="left"/>
              <w:rPr>
                <w:rFonts w:ascii="Times New Roman"/>
                <w:sz w:val="20"/>
              </w:rPr>
            </w:pPr>
          </w:p>
        </w:tc>
        <w:tc>
          <w:tcPr>
            <w:tcW w:w="948" w:type="dxa"/>
          </w:tcPr>
          <w:p>
            <w:pPr>
              <w:pStyle w:val="TableParagraph"/>
              <w:jc w:val="left"/>
              <w:rPr>
                <w:rFonts w:ascii="Times New Roman"/>
                <w:sz w:val="20"/>
              </w:rPr>
            </w:pPr>
          </w:p>
        </w:tc>
        <w:tc>
          <w:tcPr>
            <w:tcW w:w="1035" w:type="dxa"/>
          </w:tcPr>
          <w:p>
            <w:pPr>
              <w:pStyle w:val="TableParagraph"/>
              <w:jc w:val="left"/>
              <w:rPr>
                <w:rFonts w:ascii="Times New Roman"/>
                <w:sz w:val="20"/>
              </w:rPr>
            </w:pPr>
          </w:p>
        </w:tc>
        <w:tc>
          <w:tcPr>
            <w:tcW w:w="994" w:type="dxa"/>
          </w:tcPr>
          <w:p>
            <w:pPr>
              <w:pStyle w:val="TableParagraph"/>
              <w:jc w:val="left"/>
              <w:rPr>
                <w:rFonts w:ascii="Times New Roman"/>
                <w:sz w:val="20"/>
              </w:rPr>
            </w:pPr>
          </w:p>
        </w:tc>
        <w:tc>
          <w:tcPr>
            <w:tcW w:w="1136" w:type="dxa"/>
          </w:tcPr>
          <w:p>
            <w:pPr>
              <w:pStyle w:val="TableParagraph"/>
              <w:jc w:val="left"/>
              <w:rPr>
                <w:rFonts w:ascii="Times New Roman"/>
                <w:sz w:val="20"/>
              </w:rPr>
            </w:pPr>
          </w:p>
        </w:tc>
        <w:tc>
          <w:tcPr>
            <w:tcW w:w="1097" w:type="dxa"/>
          </w:tcPr>
          <w:p>
            <w:pPr>
              <w:pStyle w:val="TableParagraph"/>
              <w:jc w:val="left"/>
              <w:rPr>
                <w:rFonts w:ascii="Times New Roman"/>
                <w:sz w:val="20"/>
              </w:rPr>
            </w:pPr>
          </w:p>
        </w:tc>
      </w:tr>
    </w:tbl>
    <w:p>
      <w:pPr>
        <w:spacing w:before="122"/>
        <w:ind w:left="701" w:right="0" w:firstLine="0"/>
        <w:jc w:val="left"/>
        <w:rPr>
          <w:b/>
          <w:sz w:val="24"/>
        </w:rPr>
      </w:pPr>
      <w:r>
        <w:rPr>
          <w:rFonts w:ascii="Times New Roman" w:eastAsia="Times New Roman"/>
          <w:b/>
          <w:sz w:val="24"/>
        </w:rPr>
        <w:t>3</w:t>
      </w:r>
      <w:r>
        <w:rPr>
          <w:b/>
          <w:sz w:val="24"/>
        </w:rPr>
        <w:t>、生产用水物料平衡</w:t>
      </w:r>
    </w:p>
    <w:p>
      <w:pPr>
        <w:pStyle w:val="BodyText"/>
        <w:spacing w:before="5"/>
        <w:rPr>
          <w:b/>
          <w:sz w:val="23"/>
        </w:rPr>
      </w:pPr>
    </w:p>
    <w:p>
      <w:pPr>
        <w:tabs>
          <w:tab w:pos="1222" w:val="left" w:leader="none"/>
        </w:tabs>
        <w:spacing w:before="0" w:after="29"/>
        <w:ind w:left="0" w:right="20" w:firstLine="0"/>
        <w:jc w:val="center"/>
        <w:rPr>
          <w:b/>
          <w:sz w:val="24"/>
        </w:rPr>
      </w:pPr>
      <w:r>
        <w:rPr>
          <w:b/>
          <w:sz w:val="24"/>
        </w:rPr>
        <w:t>表</w:t>
      </w:r>
      <w:r>
        <w:rPr>
          <w:b/>
          <w:spacing w:val="-59"/>
          <w:sz w:val="24"/>
        </w:rPr>
        <w:t> </w:t>
      </w:r>
      <w:r>
        <w:rPr>
          <w:rFonts w:ascii="Times New Roman" w:eastAsia="Times New Roman"/>
          <w:b/>
          <w:sz w:val="24"/>
        </w:rPr>
        <w:t>4.2.1-8</w:t>
        <w:tab/>
      </w:r>
      <w:r>
        <w:rPr>
          <w:b/>
          <w:sz w:val="24"/>
        </w:rPr>
        <w:t>三环唑工艺用水物料平衡表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77"/>
        <w:gridCol w:w="1220"/>
        <w:gridCol w:w="1229"/>
        <w:gridCol w:w="1904"/>
        <w:gridCol w:w="1275"/>
        <w:gridCol w:w="1278"/>
      </w:tblGrid>
      <w:tr>
        <w:trPr>
          <w:trHeight w:val="273" w:hRule="atLeast"/>
        </w:trPr>
        <w:tc>
          <w:tcPr>
            <w:tcW w:w="4626" w:type="dxa"/>
            <w:gridSpan w:val="3"/>
          </w:tcPr>
          <w:p>
            <w:pPr>
              <w:pStyle w:val="TableParagraph"/>
              <w:spacing w:line="252" w:lineRule="exact" w:before="1"/>
              <w:ind w:left="2079" w:right="2074"/>
              <w:rPr>
                <w:b/>
                <w:sz w:val="21"/>
              </w:rPr>
            </w:pPr>
            <w:r>
              <w:rPr>
                <w:b/>
                <w:sz w:val="21"/>
              </w:rPr>
              <w:t>投入</w:t>
            </w:r>
          </w:p>
        </w:tc>
        <w:tc>
          <w:tcPr>
            <w:tcW w:w="4457" w:type="dxa"/>
            <w:gridSpan w:val="3"/>
          </w:tcPr>
          <w:p>
            <w:pPr>
              <w:pStyle w:val="TableParagraph"/>
              <w:spacing w:line="252" w:lineRule="exact" w:before="1"/>
              <w:ind w:left="1990" w:right="1995"/>
              <w:rPr>
                <w:b/>
                <w:sz w:val="21"/>
              </w:rPr>
            </w:pPr>
            <w:r>
              <w:rPr>
                <w:b/>
                <w:sz w:val="21"/>
              </w:rPr>
              <w:t>产出</w:t>
            </w:r>
          </w:p>
        </w:tc>
      </w:tr>
      <w:tr>
        <w:trPr>
          <w:trHeight w:val="270" w:hRule="atLeast"/>
        </w:trPr>
        <w:tc>
          <w:tcPr>
            <w:tcW w:w="2177" w:type="dxa"/>
            <w:vMerge w:val="restart"/>
          </w:tcPr>
          <w:p>
            <w:pPr>
              <w:pStyle w:val="TableParagraph"/>
              <w:spacing w:before="142"/>
              <w:ind w:left="855" w:right="849"/>
              <w:rPr>
                <w:b/>
                <w:sz w:val="21"/>
              </w:rPr>
            </w:pPr>
            <w:r>
              <w:rPr>
                <w:b/>
                <w:sz w:val="21"/>
              </w:rPr>
              <w:t>来源</w:t>
            </w:r>
          </w:p>
        </w:tc>
        <w:tc>
          <w:tcPr>
            <w:tcW w:w="2449" w:type="dxa"/>
            <w:gridSpan w:val="2"/>
          </w:tcPr>
          <w:p>
            <w:pPr>
              <w:pStyle w:val="TableParagraph"/>
              <w:spacing w:line="250" w:lineRule="exact" w:before="1"/>
              <w:ind w:left="990" w:right="986"/>
              <w:rPr>
                <w:b/>
                <w:sz w:val="21"/>
              </w:rPr>
            </w:pPr>
            <w:r>
              <w:rPr>
                <w:b/>
                <w:sz w:val="21"/>
              </w:rPr>
              <w:t>数量</w:t>
            </w:r>
          </w:p>
        </w:tc>
        <w:tc>
          <w:tcPr>
            <w:tcW w:w="1904" w:type="dxa"/>
            <w:vMerge w:val="restart"/>
          </w:tcPr>
          <w:p>
            <w:pPr>
              <w:pStyle w:val="TableParagraph"/>
              <w:spacing w:before="142"/>
              <w:ind w:left="527"/>
              <w:jc w:val="left"/>
              <w:rPr>
                <w:b/>
                <w:sz w:val="21"/>
              </w:rPr>
            </w:pPr>
            <w:r>
              <w:rPr>
                <w:b/>
                <w:sz w:val="21"/>
              </w:rPr>
              <w:t>物料去向</w:t>
            </w:r>
          </w:p>
        </w:tc>
        <w:tc>
          <w:tcPr>
            <w:tcW w:w="2553" w:type="dxa"/>
            <w:gridSpan w:val="2"/>
          </w:tcPr>
          <w:p>
            <w:pPr>
              <w:pStyle w:val="TableParagraph"/>
              <w:spacing w:line="250" w:lineRule="exact" w:before="1"/>
              <w:ind w:left="1038" w:right="1042"/>
              <w:rPr>
                <w:b/>
                <w:sz w:val="21"/>
              </w:rPr>
            </w:pPr>
            <w:r>
              <w:rPr>
                <w:b/>
                <w:sz w:val="21"/>
              </w:rPr>
              <w:t>数量</w:t>
            </w:r>
          </w:p>
        </w:tc>
      </w:tr>
      <w:tr>
        <w:trPr>
          <w:trHeight w:val="273" w:hRule="atLeast"/>
        </w:trPr>
        <w:tc>
          <w:tcPr>
            <w:tcW w:w="2177" w:type="dxa"/>
            <w:vMerge/>
            <w:tcBorders>
              <w:top w:val="nil"/>
            </w:tcBorders>
          </w:tcPr>
          <w:p>
            <w:pPr>
              <w:rPr>
                <w:sz w:val="2"/>
                <w:szCs w:val="2"/>
              </w:rPr>
            </w:pPr>
          </w:p>
        </w:tc>
        <w:tc>
          <w:tcPr>
            <w:tcW w:w="1220" w:type="dxa"/>
          </w:tcPr>
          <w:p>
            <w:pPr>
              <w:pStyle w:val="TableParagraph"/>
              <w:spacing w:line="250" w:lineRule="exact" w:before="3"/>
              <w:ind w:left="362"/>
              <w:jc w:val="left"/>
              <w:rPr>
                <w:b/>
                <w:sz w:val="21"/>
              </w:rPr>
            </w:pPr>
            <w:r>
              <w:rPr>
                <w:rFonts w:ascii="Times New Roman" w:eastAsia="Times New Roman"/>
                <w:b/>
                <w:sz w:val="21"/>
              </w:rPr>
              <w:t>kg/</w:t>
            </w:r>
            <w:r>
              <w:rPr>
                <w:b/>
                <w:sz w:val="21"/>
              </w:rPr>
              <w:t>批</w:t>
            </w:r>
          </w:p>
        </w:tc>
        <w:tc>
          <w:tcPr>
            <w:tcW w:w="1229" w:type="dxa"/>
          </w:tcPr>
          <w:p>
            <w:pPr>
              <w:pStyle w:val="TableParagraph"/>
              <w:spacing w:line="236" w:lineRule="exact" w:before="17"/>
              <w:ind w:left="58" w:right="52"/>
              <w:rPr>
                <w:rFonts w:ascii="Times New Roman"/>
                <w:b/>
                <w:sz w:val="21"/>
              </w:rPr>
            </w:pPr>
            <w:r>
              <w:rPr>
                <w:rFonts w:ascii="Times New Roman"/>
                <w:b/>
                <w:sz w:val="21"/>
              </w:rPr>
              <w:t>t/a</w:t>
            </w:r>
          </w:p>
        </w:tc>
        <w:tc>
          <w:tcPr>
            <w:tcW w:w="1904" w:type="dxa"/>
            <w:vMerge/>
            <w:tcBorders>
              <w:top w:val="nil"/>
            </w:tcBorders>
          </w:tcPr>
          <w:p>
            <w:pPr>
              <w:rPr>
                <w:sz w:val="2"/>
                <w:szCs w:val="2"/>
              </w:rPr>
            </w:pPr>
          </w:p>
        </w:tc>
        <w:tc>
          <w:tcPr>
            <w:tcW w:w="1275" w:type="dxa"/>
          </w:tcPr>
          <w:p>
            <w:pPr>
              <w:pStyle w:val="TableParagraph"/>
              <w:spacing w:line="250" w:lineRule="exact" w:before="3"/>
              <w:ind w:left="382"/>
              <w:jc w:val="left"/>
              <w:rPr>
                <w:b/>
                <w:sz w:val="21"/>
              </w:rPr>
            </w:pPr>
            <w:r>
              <w:rPr>
                <w:rFonts w:ascii="Times New Roman" w:eastAsia="Times New Roman"/>
                <w:b/>
                <w:sz w:val="21"/>
              </w:rPr>
              <w:t>kg/</w:t>
            </w:r>
            <w:r>
              <w:rPr>
                <w:b/>
                <w:sz w:val="21"/>
              </w:rPr>
              <w:t>批</w:t>
            </w:r>
          </w:p>
        </w:tc>
        <w:tc>
          <w:tcPr>
            <w:tcW w:w="1278" w:type="dxa"/>
          </w:tcPr>
          <w:p>
            <w:pPr>
              <w:pStyle w:val="TableParagraph"/>
              <w:spacing w:line="236" w:lineRule="exact" w:before="17"/>
              <w:ind w:left="81" w:right="84"/>
              <w:rPr>
                <w:rFonts w:ascii="Times New Roman"/>
                <w:b/>
                <w:sz w:val="21"/>
              </w:rPr>
            </w:pPr>
            <w:r>
              <w:rPr>
                <w:rFonts w:ascii="Times New Roman"/>
                <w:b/>
                <w:sz w:val="21"/>
              </w:rPr>
              <w:t>t/a</w:t>
            </w:r>
          </w:p>
        </w:tc>
      </w:tr>
      <w:tr>
        <w:trPr>
          <w:trHeight w:val="273" w:hRule="atLeast"/>
        </w:trPr>
        <w:tc>
          <w:tcPr>
            <w:tcW w:w="2177" w:type="dxa"/>
          </w:tcPr>
          <w:p>
            <w:pPr>
              <w:pStyle w:val="TableParagraph"/>
              <w:spacing w:line="252" w:lineRule="exact" w:before="1"/>
              <w:ind w:left="666"/>
              <w:jc w:val="left"/>
              <w:rPr>
                <w:b/>
                <w:sz w:val="21"/>
              </w:rPr>
            </w:pPr>
            <w:r>
              <w:rPr>
                <w:b/>
                <w:color w:val="FF0000"/>
                <w:sz w:val="21"/>
              </w:rPr>
              <w:t>涉密删除</w:t>
            </w:r>
          </w:p>
        </w:tc>
        <w:tc>
          <w:tcPr>
            <w:tcW w:w="1220" w:type="dxa"/>
          </w:tcPr>
          <w:p>
            <w:pPr>
              <w:pStyle w:val="TableParagraph"/>
              <w:jc w:val="left"/>
              <w:rPr>
                <w:rFonts w:ascii="Times New Roman"/>
                <w:sz w:val="20"/>
              </w:rPr>
            </w:pPr>
          </w:p>
        </w:tc>
        <w:tc>
          <w:tcPr>
            <w:tcW w:w="1229" w:type="dxa"/>
          </w:tcPr>
          <w:p>
            <w:pPr>
              <w:pStyle w:val="TableParagraph"/>
              <w:jc w:val="left"/>
              <w:rPr>
                <w:rFonts w:ascii="Times New Roman"/>
                <w:sz w:val="20"/>
              </w:rPr>
            </w:pPr>
          </w:p>
        </w:tc>
        <w:tc>
          <w:tcPr>
            <w:tcW w:w="1904"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278" w:type="dxa"/>
          </w:tcPr>
          <w:p>
            <w:pPr>
              <w:pStyle w:val="TableParagraph"/>
              <w:jc w:val="left"/>
              <w:rPr>
                <w:rFonts w:ascii="Times New Roman"/>
                <w:sz w:val="20"/>
              </w:rPr>
            </w:pPr>
          </w:p>
        </w:tc>
      </w:tr>
      <w:tr>
        <w:trPr>
          <w:trHeight w:val="239" w:hRule="atLeast"/>
        </w:trPr>
        <w:tc>
          <w:tcPr>
            <w:tcW w:w="2177" w:type="dxa"/>
          </w:tcPr>
          <w:p>
            <w:pPr>
              <w:pStyle w:val="TableParagraph"/>
              <w:jc w:val="left"/>
              <w:rPr>
                <w:rFonts w:ascii="Times New Roman"/>
                <w:sz w:val="16"/>
              </w:rPr>
            </w:pPr>
          </w:p>
        </w:tc>
        <w:tc>
          <w:tcPr>
            <w:tcW w:w="1220" w:type="dxa"/>
          </w:tcPr>
          <w:p>
            <w:pPr>
              <w:pStyle w:val="TableParagraph"/>
              <w:jc w:val="left"/>
              <w:rPr>
                <w:rFonts w:ascii="Times New Roman"/>
                <w:sz w:val="16"/>
              </w:rPr>
            </w:pPr>
          </w:p>
        </w:tc>
        <w:tc>
          <w:tcPr>
            <w:tcW w:w="1229" w:type="dxa"/>
          </w:tcPr>
          <w:p>
            <w:pPr>
              <w:pStyle w:val="TableParagraph"/>
              <w:jc w:val="left"/>
              <w:rPr>
                <w:rFonts w:ascii="Times New Roman"/>
                <w:sz w:val="16"/>
              </w:rPr>
            </w:pPr>
          </w:p>
        </w:tc>
        <w:tc>
          <w:tcPr>
            <w:tcW w:w="1904"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278" w:type="dxa"/>
          </w:tcPr>
          <w:p>
            <w:pPr>
              <w:pStyle w:val="TableParagraph"/>
              <w:jc w:val="left"/>
              <w:rPr>
                <w:rFonts w:ascii="Times New Roman"/>
                <w:sz w:val="16"/>
              </w:rPr>
            </w:pPr>
          </w:p>
        </w:tc>
      </w:tr>
      <w:tr>
        <w:trPr>
          <w:trHeight w:val="242" w:hRule="atLeast"/>
        </w:trPr>
        <w:tc>
          <w:tcPr>
            <w:tcW w:w="2177" w:type="dxa"/>
          </w:tcPr>
          <w:p>
            <w:pPr>
              <w:pStyle w:val="TableParagraph"/>
              <w:jc w:val="left"/>
              <w:rPr>
                <w:rFonts w:ascii="Times New Roman"/>
                <w:sz w:val="16"/>
              </w:rPr>
            </w:pPr>
          </w:p>
        </w:tc>
        <w:tc>
          <w:tcPr>
            <w:tcW w:w="1220" w:type="dxa"/>
          </w:tcPr>
          <w:p>
            <w:pPr>
              <w:pStyle w:val="TableParagraph"/>
              <w:jc w:val="left"/>
              <w:rPr>
                <w:rFonts w:ascii="Times New Roman"/>
                <w:sz w:val="16"/>
              </w:rPr>
            </w:pPr>
          </w:p>
        </w:tc>
        <w:tc>
          <w:tcPr>
            <w:tcW w:w="1229" w:type="dxa"/>
          </w:tcPr>
          <w:p>
            <w:pPr>
              <w:pStyle w:val="TableParagraph"/>
              <w:jc w:val="left"/>
              <w:rPr>
                <w:rFonts w:ascii="Times New Roman"/>
                <w:sz w:val="16"/>
              </w:rPr>
            </w:pPr>
          </w:p>
        </w:tc>
        <w:tc>
          <w:tcPr>
            <w:tcW w:w="1904"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278" w:type="dxa"/>
          </w:tcPr>
          <w:p>
            <w:pPr>
              <w:pStyle w:val="TableParagraph"/>
              <w:jc w:val="left"/>
              <w:rPr>
                <w:rFonts w:ascii="Times New Roman"/>
                <w:sz w:val="16"/>
              </w:rPr>
            </w:pPr>
          </w:p>
        </w:tc>
      </w:tr>
      <w:tr>
        <w:trPr>
          <w:trHeight w:val="241" w:hRule="atLeast"/>
        </w:trPr>
        <w:tc>
          <w:tcPr>
            <w:tcW w:w="2177" w:type="dxa"/>
          </w:tcPr>
          <w:p>
            <w:pPr>
              <w:pStyle w:val="TableParagraph"/>
              <w:jc w:val="left"/>
              <w:rPr>
                <w:rFonts w:ascii="Times New Roman"/>
                <w:sz w:val="16"/>
              </w:rPr>
            </w:pPr>
          </w:p>
        </w:tc>
        <w:tc>
          <w:tcPr>
            <w:tcW w:w="1220" w:type="dxa"/>
          </w:tcPr>
          <w:p>
            <w:pPr>
              <w:pStyle w:val="TableParagraph"/>
              <w:jc w:val="left"/>
              <w:rPr>
                <w:rFonts w:ascii="Times New Roman"/>
                <w:sz w:val="16"/>
              </w:rPr>
            </w:pPr>
          </w:p>
        </w:tc>
        <w:tc>
          <w:tcPr>
            <w:tcW w:w="1229" w:type="dxa"/>
          </w:tcPr>
          <w:p>
            <w:pPr>
              <w:pStyle w:val="TableParagraph"/>
              <w:jc w:val="left"/>
              <w:rPr>
                <w:rFonts w:ascii="Times New Roman"/>
                <w:sz w:val="16"/>
              </w:rPr>
            </w:pPr>
          </w:p>
        </w:tc>
        <w:tc>
          <w:tcPr>
            <w:tcW w:w="1904"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278" w:type="dxa"/>
          </w:tcPr>
          <w:p>
            <w:pPr>
              <w:pStyle w:val="TableParagraph"/>
              <w:jc w:val="left"/>
              <w:rPr>
                <w:rFonts w:ascii="Times New Roman"/>
                <w:sz w:val="16"/>
              </w:rPr>
            </w:pPr>
          </w:p>
        </w:tc>
      </w:tr>
      <w:tr>
        <w:trPr>
          <w:trHeight w:val="241" w:hRule="atLeast"/>
        </w:trPr>
        <w:tc>
          <w:tcPr>
            <w:tcW w:w="2177" w:type="dxa"/>
          </w:tcPr>
          <w:p>
            <w:pPr>
              <w:pStyle w:val="TableParagraph"/>
              <w:jc w:val="left"/>
              <w:rPr>
                <w:rFonts w:ascii="Times New Roman"/>
                <w:sz w:val="16"/>
              </w:rPr>
            </w:pPr>
          </w:p>
        </w:tc>
        <w:tc>
          <w:tcPr>
            <w:tcW w:w="1220" w:type="dxa"/>
          </w:tcPr>
          <w:p>
            <w:pPr>
              <w:pStyle w:val="TableParagraph"/>
              <w:jc w:val="left"/>
              <w:rPr>
                <w:rFonts w:ascii="Times New Roman"/>
                <w:sz w:val="16"/>
              </w:rPr>
            </w:pPr>
          </w:p>
        </w:tc>
        <w:tc>
          <w:tcPr>
            <w:tcW w:w="1229" w:type="dxa"/>
          </w:tcPr>
          <w:p>
            <w:pPr>
              <w:pStyle w:val="TableParagraph"/>
              <w:jc w:val="left"/>
              <w:rPr>
                <w:rFonts w:ascii="Times New Roman"/>
                <w:sz w:val="16"/>
              </w:rPr>
            </w:pPr>
          </w:p>
        </w:tc>
        <w:tc>
          <w:tcPr>
            <w:tcW w:w="1904"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278" w:type="dxa"/>
          </w:tcPr>
          <w:p>
            <w:pPr>
              <w:pStyle w:val="TableParagraph"/>
              <w:jc w:val="left"/>
              <w:rPr>
                <w:rFonts w:ascii="Times New Roman"/>
                <w:sz w:val="16"/>
              </w:rPr>
            </w:pPr>
          </w:p>
        </w:tc>
      </w:tr>
      <w:tr>
        <w:trPr>
          <w:trHeight w:val="242" w:hRule="atLeast"/>
        </w:trPr>
        <w:tc>
          <w:tcPr>
            <w:tcW w:w="9083" w:type="dxa"/>
            <w:gridSpan w:val="6"/>
          </w:tcPr>
          <w:p>
            <w:pPr>
              <w:pStyle w:val="TableParagraph"/>
              <w:jc w:val="left"/>
              <w:rPr>
                <w:rFonts w:ascii="Times New Roman"/>
                <w:sz w:val="16"/>
              </w:rPr>
            </w:pPr>
          </w:p>
        </w:tc>
      </w:tr>
    </w:tbl>
    <w:p>
      <w:pPr>
        <w:pStyle w:val="ListParagraph"/>
        <w:numPr>
          <w:ilvl w:val="3"/>
          <w:numId w:val="13"/>
        </w:numPr>
        <w:tabs>
          <w:tab w:pos="1422" w:val="left" w:leader="none"/>
        </w:tabs>
        <w:spacing w:line="240" w:lineRule="auto" w:before="2" w:after="0"/>
        <w:ind w:left="1421" w:right="0" w:hanging="721"/>
        <w:jc w:val="left"/>
        <w:rPr>
          <w:b/>
          <w:sz w:val="24"/>
        </w:rPr>
      </w:pPr>
      <w:r>
        <w:rPr>
          <w:b/>
          <w:sz w:val="24"/>
        </w:rPr>
        <w:t>污染因素分析</w:t>
      </w:r>
    </w:p>
    <w:p>
      <w:pPr>
        <w:spacing w:before="158"/>
        <w:ind w:left="701" w:right="0" w:firstLine="0"/>
        <w:jc w:val="left"/>
        <w:rPr>
          <w:b/>
          <w:sz w:val="24"/>
        </w:rPr>
      </w:pPr>
      <w:r>
        <w:rPr>
          <w:rFonts w:ascii="Times New Roman" w:eastAsia="Times New Roman"/>
          <w:b/>
          <w:sz w:val="24"/>
        </w:rPr>
        <w:t>1</w:t>
      </w:r>
      <w:r>
        <w:rPr>
          <w:b/>
          <w:sz w:val="24"/>
        </w:rPr>
        <w:t>、废水</w:t>
      </w:r>
    </w:p>
    <w:p>
      <w:pPr>
        <w:pStyle w:val="BodyText"/>
        <w:spacing w:line="362" w:lineRule="auto" w:before="161"/>
        <w:ind w:left="218" w:right="184" w:firstLine="480"/>
      </w:pPr>
      <w:r>
        <w:rPr/>
        <w:t>三环唑原药生产产生的废水主要包括工艺废水、设备和地面清洗水、水环泵废水， 具体见下表。</w:t>
      </w:r>
    </w:p>
    <w:p>
      <w:pPr>
        <w:pStyle w:val="Heading4"/>
        <w:tabs>
          <w:tab w:pos="3437" w:val="left" w:leader="none"/>
        </w:tabs>
        <w:spacing w:before="146" w:after="29"/>
        <w:ind w:left="2215"/>
      </w:pPr>
      <w:r>
        <w:rPr/>
        <w:t>表</w:t>
      </w:r>
      <w:r>
        <w:rPr>
          <w:spacing w:val="-60"/>
        </w:rPr>
        <w:t> </w:t>
      </w:r>
      <w:r>
        <w:rPr>
          <w:rFonts w:ascii="Times New Roman" w:eastAsia="Times New Roman"/>
        </w:rPr>
        <w:t>4.2.1-9</w:t>
        <w:tab/>
      </w:r>
      <w:r>
        <w:rPr/>
        <w:t>三环唑生产过程废水产生及处置情况</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960"/>
        <w:gridCol w:w="1280"/>
        <w:gridCol w:w="4678"/>
        <w:gridCol w:w="1702"/>
      </w:tblGrid>
      <w:tr>
        <w:trPr>
          <w:trHeight w:val="273" w:hRule="atLeast"/>
        </w:trPr>
        <w:tc>
          <w:tcPr>
            <w:tcW w:w="461" w:type="dxa"/>
          </w:tcPr>
          <w:p>
            <w:pPr>
              <w:pStyle w:val="TableParagraph"/>
              <w:spacing w:line="252" w:lineRule="exact" w:before="1"/>
              <w:ind w:left="9"/>
              <w:rPr>
                <w:b/>
                <w:sz w:val="21"/>
              </w:rPr>
            </w:pPr>
            <w:r>
              <w:rPr>
                <w:b/>
                <w:sz w:val="21"/>
              </w:rPr>
              <w:t>编号</w:t>
            </w:r>
          </w:p>
        </w:tc>
        <w:tc>
          <w:tcPr>
            <w:tcW w:w="960" w:type="dxa"/>
          </w:tcPr>
          <w:p>
            <w:pPr>
              <w:pStyle w:val="TableParagraph"/>
              <w:spacing w:line="252" w:lineRule="exact" w:before="1"/>
              <w:ind w:left="37" w:right="28"/>
              <w:rPr>
                <w:b/>
                <w:sz w:val="21"/>
              </w:rPr>
            </w:pPr>
            <w:r>
              <w:rPr>
                <w:b/>
                <w:sz w:val="21"/>
              </w:rPr>
              <w:t>产生工序</w:t>
            </w:r>
          </w:p>
        </w:tc>
        <w:tc>
          <w:tcPr>
            <w:tcW w:w="1280" w:type="dxa"/>
          </w:tcPr>
          <w:p>
            <w:pPr>
              <w:pStyle w:val="TableParagraph"/>
              <w:spacing w:line="252" w:lineRule="exact" w:before="1"/>
              <w:ind w:left="5"/>
              <w:rPr>
                <w:b/>
                <w:sz w:val="21"/>
              </w:rPr>
            </w:pPr>
            <w:r>
              <w:rPr>
                <w:b/>
                <w:sz w:val="21"/>
              </w:rPr>
              <w:t>废水名称</w:t>
            </w:r>
          </w:p>
        </w:tc>
        <w:tc>
          <w:tcPr>
            <w:tcW w:w="4678" w:type="dxa"/>
          </w:tcPr>
          <w:p>
            <w:pPr>
              <w:pStyle w:val="TableParagraph"/>
              <w:spacing w:line="252" w:lineRule="exact" w:before="1"/>
              <w:ind w:left="22" w:right="17"/>
              <w:rPr>
                <w:b/>
                <w:sz w:val="21"/>
              </w:rPr>
            </w:pPr>
            <w:r>
              <w:rPr>
                <w:b/>
                <w:sz w:val="21"/>
              </w:rPr>
              <w:t>污染物产生情况</w:t>
            </w:r>
          </w:p>
        </w:tc>
        <w:tc>
          <w:tcPr>
            <w:tcW w:w="1702" w:type="dxa"/>
          </w:tcPr>
          <w:p>
            <w:pPr>
              <w:pStyle w:val="TableParagraph"/>
              <w:spacing w:line="252" w:lineRule="exact" w:before="1"/>
              <w:ind w:left="11"/>
              <w:rPr>
                <w:b/>
                <w:sz w:val="21"/>
              </w:rPr>
            </w:pPr>
            <w:r>
              <w:rPr>
                <w:b/>
                <w:sz w:val="21"/>
              </w:rPr>
              <w:t>预处理情况</w:t>
            </w:r>
          </w:p>
        </w:tc>
      </w:tr>
      <w:tr>
        <w:trPr>
          <w:trHeight w:val="513" w:hRule="atLeast"/>
        </w:trPr>
        <w:tc>
          <w:tcPr>
            <w:tcW w:w="461" w:type="dxa"/>
          </w:tcPr>
          <w:p>
            <w:pPr>
              <w:pStyle w:val="TableParagraph"/>
              <w:spacing w:before="135"/>
              <w:ind w:left="4" w:right="-15"/>
              <w:rPr>
                <w:rFonts w:ascii="Times New Roman"/>
                <w:sz w:val="21"/>
              </w:rPr>
            </w:pPr>
            <w:r>
              <w:rPr>
                <w:rFonts w:ascii="Times New Roman"/>
                <w:spacing w:val="-5"/>
                <w:sz w:val="21"/>
              </w:rPr>
              <w:t>Wa-1</w:t>
            </w:r>
          </w:p>
        </w:tc>
        <w:tc>
          <w:tcPr>
            <w:tcW w:w="960" w:type="dxa"/>
          </w:tcPr>
          <w:p>
            <w:pPr>
              <w:pStyle w:val="TableParagraph"/>
              <w:spacing w:before="121"/>
              <w:ind w:left="32" w:right="28"/>
              <w:rPr>
                <w:sz w:val="21"/>
              </w:rPr>
            </w:pPr>
            <w:r>
              <w:rPr>
                <w:sz w:val="21"/>
              </w:rPr>
              <w:t>回收甲酸</w:t>
            </w:r>
          </w:p>
        </w:tc>
        <w:tc>
          <w:tcPr>
            <w:tcW w:w="1280" w:type="dxa"/>
          </w:tcPr>
          <w:p>
            <w:pPr>
              <w:pStyle w:val="TableParagraph"/>
              <w:spacing w:before="121"/>
              <w:ind w:left="5"/>
              <w:rPr>
                <w:sz w:val="21"/>
              </w:rPr>
            </w:pPr>
            <w:r>
              <w:rPr>
                <w:sz w:val="21"/>
              </w:rPr>
              <w:t>甲酸回收废水</w:t>
            </w:r>
          </w:p>
        </w:tc>
        <w:tc>
          <w:tcPr>
            <w:tcW w:w="4678" w:type="dxa"/>
          </w:tcPr>
          <w:p>
            <w:pPr>
              <w:pStyle w:val="TableParagraph"/>
              <w:spacing w:before="1"/>
              <w:ind w:left="23" w:right="17"/>
              <w:rPr>
                <w:sz w:val="21"/>
              </w:rPr>
            </w:pPr>
            <w:r>
              <w:rPr>
                <w:sz w:val="21"/>
              </w:rPr>
              <w:t>废水量：</w:t>
            </w:r>
            <w:r>
              <w:rPr>
                <w:rFonts w:ascii="Times New Roman" w:eastAsia="Times New Roman"/>
                <w:sz w:val="21"/>
              </w:rPr>
              <w:t>115.2kg/</w:t>
            </w:r>
            <w:r>
              <w:rPr>
                <w:sz w:val="21"/>
              </w:rPr>
              <w:t>批，</w:t>
            </w:r>
            <w:r>
              <w:rPr>
                <w:rFonts w:ascii="Times New Roman" w:eastAsia="Times New Roman"/>
                <w:sz w:val="21"/>
              </w:rPr>
              <w:t>144t/a</w:t>
            </w:r>
            <w:r>
              <w:rPr>
                <w:sz w:val="21"/>
              </w:rPr>
              <w:t>，</w:t>
            </w:r>
            <w:r>
              <w:rPr>
                <w:rFonts w:ascii="Times New Roman" w:eastAsia="Times New Roman"/>
                <w:sz w:val="21"/>
              </w:rPr>
              <w:t>0.48t/d</w:t>
            </w:r>
            <w:r>
              <w:rPr>
                <w:sz w:val="21"/>
              </w:rPr>
              <w:t>，水质情况：</w:t>
            </w:r>
          </w:p>
          <w:p>
            <w:pPr>
              <w:pStyle w:val="TableParagraph"/>
              <w:spacing w:line="221" w:lineRule="exact" w:before="2"/>
              <w:ind w:left="23" w:right="14"/>
              <w:rPr>
                <w:rFonts w:ascii="Times New Roman"/>
                <w:sz w:val="21"/>
              </w:rPr>
            </w:pPr>
            <w:r>
              <w:rPr>
                <w:rFonts w:ascii="Times New Roman"/>
                <w:sz w:val="21"/>
              </w:rPr>
              <w:t>CODcr14000mg/L</w:t>
            </w:r>
          </w:p>
        </w:tc>
        <w:tc>
          <w:tcPr>
            <w:tcW w:w="1702" w:type="dxa"/>
          </w:tcPr>
          <w:p>
            <w:pPr>
              <w:pStyle w:val="TableParagraph"/>
              <w:spacing w:before="121"/>
              <w:ind w:left="8"/>
              <w:rPr>
                <w:sz w:val="21"/>
              </w:rPr>
            </w:pPr>
            <w:r>
              <w:rPr>
                <w:sz w:val="21"/>
              </w:rPr>
              <w:t>直接进入生化处理</w:t>
            </w:r>
          </w:p>
        </w:tc>
      </w:tr>
      <w:tr>
        <w:trPr>
          <w:trHeight w:val="815" w:hRule="atLeast"/>
        </w:trPr>
        <w:tc>
          <w:tcPr>
            <w:tcW w:w="461" w:type="dxa"/>
          </w:tcPr>
          <w:p>
            <w:pPr>
              <w:pStyle w:val="TableParagraph"/>
              <w:spacing w:before="4"/>
              <w:jc w:val="left"/>
              <w:rPr>
                <w:b/>
                <w:sz w:val="22"/>
              </w:rPr>
            </w:pPr>
          </w:p>
          <w:p>
            <w:pPr>
              <w:pStyle w:val="TableParagraph"/>
              <w:ind w:left="4" w:right="-15"/>
              <w:rPr>
                <w:rFonts w:ascii="Times New Roman"/>
                <w:sz w:val="21"/>
              </w:rPr>
            </w:pPr>
            <w:r>
              <w:rPr>
                <w:rFonts w:ascii="Times New Roman"/>
                <w:spacing w:val="-5"/>
                <w:sz w:val="21"/>
              </w:rPr>
              <w:t>Wa-2</w:t>
            </w:r>
          </w:p>
        </w:tc>
        <w:tc>
          <w:tcPr>
            <w:tcW w:w="960" w:type="dxa"/>
          </w:tcPr>
          <w:p>
            <w:pPr>
              <w:pStyle w:val="TableParagraph"/>
              <w:spacing w:before="3"/>
              <w:jc w:val="left"/>
              <w:rPr>
                <w:b/>
                <w:sz w:val="21"/>
              </w:rPr>
            </w:pPr>
          </w:p>
          <w:p>
            <w:pPr>
              <w:pStyle w:val="TableParagraph"/>
              <w:ind w:left="37" w:right="28"/>
              <w:rPr>
                <w:sz w:val="21"/>
              </w:rPr>
            </w:pPr>
            <w:r>
              <w:rPr>
                <w:sz w:val="21"/>
              </w:rPr>
              <w:t>甩滤</w:t>
            </w:r>
          </w:p>
        </w:tc>
        <w:tc>
          <w:tcPr>
            <w:tcW w:w="1280" w:type="dxa"/>
          </w:tcPr>
          <w:p>
            <w:pPr>
              <w:pStyle w:val="TableParagraph"/>
              <w:spacing w:before="3"/>
              <w:jc w:val="left"/>
              <w:rPr>
                <w:b/>
                <w:sz w:val="21"/>
              </w:rPr>
            </w:pPr>
          </w:p>
          <w:p>
            <w:pPr>
              <w:pStyle w:val="TableParagraph"/>
              <w:ind w:left="5"/>
              <w:rPr>
                <w:sz w:val="21"/>
              </w:rPr>
            </w:pPr>
            <w:r>
              <w:rPr>
                <w:sz w:val="21"/>
              </w:rPr>
              <w:t>离心洗涤废水</w:t>
            </w:r>
          </w:p>
        </w:tc>
        <w:tc>
          <w:tcPr>
            <w:tcW w:w="4678" w:type="dxa"/>
          </w:tcPr>
          <w:p>
            <w:pPr>
              <w:pStyle w:val="TableParagraph"/>
              <w:spacing w:before="1"/>
              <w:ind w:left="1"/>
              <w:jc w:val="left"/>
              <w:rPr>
                <w:sz w:val="21"/>
              </w:rPr>
            </w:pPr>
            <w:r>
              <w:rPr>
                <w:spacing w:val="-2"/>
                <w:sz w:val="21"/>
              </w:rPr>
              <w:t>废水量：</w:t>
            </w:r>
            <w:r>
              <w:rPr>
                <w:rFonts w:ascii="Times New Roman" w:eastAsia="Times New Roman"/>
                <w:spacing w:val="-4"/>
                <w:sz w:val="21"/>
              </w:rPr>
              <w:t>3957.6kg/</w:t>
            </w:r>
            <w:r>
              <w:rPr>
                <w:spacing w:val="-5"/>
                <w:sz w:val="21"/>
              </w:rPr>
              <w:t>批，</w:t>
            </w:r>
            <w:r>
              <w:rPr>
                <w:rFonts w:ascii="Times New Roman" w:eastAsia="Times New Roman"/>
                <w:spacing w:val="-7"/>
                <w:sz w:val="21"/>
              </w:rPr>
              <w:t>4947t/a</w:t>
            </w:r>
            <w:r>
              <w:rPr>
                <w:spacing w:val="-7"/>
                <w:sz w:val="21"/>
              </w:rPr>
              <w:t>，</w:t>
            </w:r>
            <w:r>
              <w:rPr>
                <w:rFonts w:ascii="Times New Roman" w:eastAsia="Times New Roman"/>
                <w:spacing w:val="-7"/>
                <w:sz w:val="21"/>
              </w:rPr>
              <w:t>16.49t/d</w:t>
            </w:r>
            <w:r>
              <w:rPr>
                <w:spacing w:val="-4"/>
                <w:sz w:val="21"/>
              </w:rPr>
              <w:t>，水质情况</w:t>
            </w:r>
          </w:p>
          <w:p>
            <w:pPr>
              <w:pStyle w:val="TableParagraph"/>
              <w:spacing w:before="2"/>
              <w:ind w:left="1" w:right="-15"/>
              <w:jc w:val="left"/>
              <w:rPr>
                <w:sz w:val="21"/>
              </w:rPr>
            </w:pPr>
            <w:r>
              <w:rPr>
                <w:rFonts w:ascii="Times New Roman" w:eastAsia="Times New Roman"/>
                <w:sz w:val="21"/>
              </w:rPr>
              <w:t>CODcr15000mg/L</w:t>
            </w:r>
            <w:r>
              <w:rPr>
                <w:spacing w:val="-16"/>
                <w:sz w:val="21"/>
              </w:rPr>
              <w:t>，氨氮 </w:t>
            </w:r>
            <w:r>
              <w:rPr>
                <w:rFonts w:ascii="Times New Roman" w:eastAsia="Times New Roman"/>
                <w:sz w:val="21"/>
              </w:rPr>
              <w:t>70mg/L</w:t>
            </w:r>
            <w:r>
              <w:rPr>
                <w:sz w:val="21"/>
              </w:rPr>
              <w:t>，</w:t>
            </w:r>
            <w:r>
              <w:rPr>
                <w:rFonts w:ascii="Times New Roman" w:eastAsia="Times New Roman"/>
                <w:sz w:val="21"/>
              </w:rPr>
              <w:t>TN</w:t>
            </w:r>
            <w:r>
              <w:rPr>
                <w:rFonts w:ascii="Times New Roman" w:eastAsia="Times New Roman"/>
                <w:spacing w:val="-1"/>
                <w:sz w:val="21"/>
              </w:rPr>
              <w:t> </w:t>
            </w:r>
            <w:r>
              <w:rPr>
                <w:rFonts w:ascii="Times New Roman" w:eastAsia="Times New Roman"/>
                <w:sz w:val="21"/>
              </w:rPr>
              <w:t>700mg/L</w:t>
            </w:r>
            <w:r>
              <w:rPr>
                <w:spacing w:val="-2"/>
                <w:sz w:val="21"/>
              </w:rPr>
              <w:t>、三</w:t>
            </w:r>
          </w:p>
          <w:p>
            <w:pPr>
              <w:pStyle w:val="TableParagraph"/>
              <w:spacing w:line="250" w:lineRule="exact" w:before="4"/>
              <w:ind w:left="1662"/>
              <w:jc w:val="left"/>
              <w:rPr>
                <w:rFonts w:ascii="Times New Roman" w:eastAsia="Times New Roman"/>
                <w:sz w:val="21"/>
              </w:rPr>
            </w:pPr>
            <w:r>
              <w:rPr>
                <w:sz w:val="21"/>
              </w:rPr>
              <w:t>环唑 </w:t>
            </w:r>
            <w:r>
              <w:rPr>
                <w:rFonts w:ascii="Times New Roman" w:eastAsia="Times New Roman"/>
                <w:sz w:val="21"/>
              </w:rPr>
              <w:t>2000mg/L</w:t>
            </w:r>
          </w:p>
        </w:tc>
        <w:tc>
          <w:tcPr>
            <w:tcW w:w="1702" w:type="dxa"/>
          </w:tcPr>
          <w:p>
            <w:pPr>
              <w:pStyle w:val="TableParagraph"/>
              <w:spacing w:before="1"/>
              <w:ind w:left="54"/>
              <w:jc w:val="left"/>
              <w:rPr>
                <w:sz w:val="21"/>
              </w:rPr>
            </w:pPr>
            <w:r>
              <w:rPr>
                <w:spacing w:val="-1"/>
                <w:sz w:val="21"/>
              </w:rPr>
              <w:t>经铁碳</w:t>
            </w:r>
            <w:r>
              <w:rPr>
                <w:rFonts w:ascii="Times New Roman" w:eastAsia="Times New Roman"/>
                <w:spacing w:val="-1"/>
                <w:sz w:val="21"/>
              </w:rPr>
              <w:t>+</w:t>
            </w:r>
            <w:r>
              <w:rPr>
                <w:spacing w:val="-2"/>
                <w:sz w:val="21"/>
              </w:rPr>
              <w:t>芬顿氧化</w:t>
            </w:r>
          </w:p>
          <w:p>
            <w:pPr>
              <w:pStyle w:val="TableParagraph"/>
              <w:spacing w:before="2"/>
              <w:ind w:left="54"/>
              <w:jc w:val="left"/>
              <w:rPr>
                <w:sz w:val="21"/>
              </w:rPr>
            </w:pPr>
            <w:r>
              <w:rPr>
                <w:rFonts w:ascii="Times New Roman" w:eastAsia="Times New Roman"/>
                <w:sz w:val="21"/>
              </w:rPr>
              <w:t>+</w:t>
            </w:r>
            <w:r>
              <w:rPr>
                <w:spacing w:val="-3"/>
                <w:sz w:val="21"/>
              </w:rPr>
              <w:t>混凝沉淀预处理</w:t>
            </w:r>
          </w:p>
          <w:p>
            <w:pPr>
              <w:pStyle w:val="TableParagraph"/>
              <w:spacing w:line="250" w:lineRule="exact" w:before="4"/>
              <w:ind w:left="8"/>
              <w:jc w:val="left"/>
              <w:rPr>
                <w:sz w:val="21"/>
              </w:rPr>
            </w:pPr>
            <w:r>
              <w:rPr>
                <w:spacing w:val="-5"/>
                <w:sz w:val="21"/>
              </w:rPr>
              <w:t>后，进入生化处理</w:t>
            </w:r>
          </w:p>
        </w:tc>
      </w:tr>
      <w:tr>
        <w:trPr>
          <w:trHeight w:val="546" w:hRule="atLeast"/>
        </w:trPr>
        <w:tc>
          <w:tcPr>
            <w:tcW w:w="461" w:type="dxa"/>
          </w:tcPr>
          <w:p>
            <w:pPr>
              <w:pStyle w:val="TableParagraph"/>
              <w:spacing w:before="151"/>
              <w:ind w:left="10"/>
              <w:rPr>
                <w:rFonts w:ascii="Times New Roman"/>
                <w:sz w:val="21"/>
              </w:rPr>
            </w:pPr>
            <w:r>
              <w:rPr>
                <w:rFonts w:ascii="Times New Roman"/>
                <w:w w:val="100"/>
                <w:sz w:val="21"/>
              </w:rPr>
              <w:t>/</w:t>
            </w:r>
          </w:p>
        </w:tc>
        <w:tc>
          <w:tcPr>
            <w:tcW w:w="960" w:type="dxa"/>
          </w:tcPr>
          <w:p>
            <w:pPr>
              <w:pStyle w:val="TableParagraph"/>
              <w:spacing w:before="138"/>
              <w:ind w:left="37" w:right="28"/>
              <w:rPr>
                <w:sz w:val="21"/>
              </w:rPr>
            </w:pPr>
            <w:r>
              <w:rPr>
                <w:sz w:val="21"/>
              </w:rPr>
              <w:t>真空</w:t>
            </w:r>
          </w:p>
        </w:tc>
        <w:tc>
          <w:tcPr>
            <w:tcW w:w="1280" w:type="dxa"/>
          </w:tcPr>
          <w:p>
            <w:pPr>
              <w:pStyle w:val="TableParagraph"/>
              <w:spacing w:before="138"/>
              <w:ind w:left="8"/>
              <w:rPr>
                <w:sz w:val="21"/>
              </w:rPr>
            </w:pPr>
            <w:r>
              <w:rPr>
                <w:sz w:val="21"/>
              </w:rPr>
              <w:t>水环泵废水</w:t>
            </w:r>
          </w:p>
        </w:tc>
        <w:tc>
          <w:tcPr>
            <w:tcW w:w="4678" w:type="dxa"/>
          </w:tcPr>
          <w:p>
            <w:pPr>
              <w:pStyle w:val="TableParagraph"/>
              <w:spacing w:line="270" w:lineRule="atLeast" w:before="2"/>
              <w:ind w:left="1242" w:hanging="1241"/>
              <w:jc w:val="left"/>
              <w:rPr>
                <w:rFonts w:ascii="Times New Roman" w:eastAsia="Times New Roman"/>
                <w:sz w:val="21"/>
              </w:rPr>
            </w:pPr>
            <w:r>
              <w:rPr>
                <w:spacing w:val="-4"/>
                <w:sz w:val="21"/>
              </w:rPr>
              <w:t>废水量：</w:t>
            </w:r>
            <w:r>
              <w:rPr>
                <w:rFonts w:ascii="Times New Roman" w:eastAsia="Times New Roman"/>
                <w:spacing w:val="-12"/>
                <w:sz w:val="21"/>
              </w:rPr>
              <w:t>1500t/a</w:t>
            </w:r>
            <w:r>
              <w:rPr>
                <w:spacing w:val="-12"/>
                <w:sz w:val="21"/>
              </w:rPr>
              <w:t>，</w:t>
            </w:r>
            <w:r>
              <w:rPr>
                <w:rFonts w:ascii="Times New Roman" w:eastAsia="Times New Roman"/>
                <w:spacing w:val="-12"/>
                <w:sz w:val="21"/>
              </w:rPr>
              <w:t>5t/d</w:t>
            </w:r>
            <w:r>
              <w:rPr>
                <w:spacing w:val="-5"/>
                <w:sz w:val="21"/>
              </w:rPr>
              <w:t>，水质情况：</w:t>
            </w:r>
            <w:r>
              <w:rPr>
                <w:rFonts w:ascii="Times New Roman" w:eastAsia="Times New Roman"/>
                <w:spacing w:val="-5"/>
                <w:sz w:val="21"/>
              </w:rPr>
              <w:t>CODcr1000mg/L </w:t>
            </w:r>
            <w:r>
              <w:rPr>
                <w:rFonts w:ascii="Times New Roman" w:eastAsia="Times New Roman"/>
                <w:sz w:val="21"/>
              </w:rPr>
              <w:t>TN10mg/L</w:t>
            </w:r>
            <w:r>
              <w:rPr>
                <w:spacing w:val="-15"/>
                <w:sz w:val="21"/>
              </w:rPr>
              <w:t>，氨氮 </w:t>
            </w:r>
            <w:r>
              <w:rPr>
                <w:rFonts w:ascii="Times New Roman" w:eastAsia="Times New Roman"/>
                <w:spacing w:val="-3"/>
                <w:sz w:val="21"/>
              </w:rPr>
              <w:t>5mg/L</w:t>
            </w:r>
          </w:p>
        </w:tc>
        <w:tc>
          <w:tcPr>
            <w:tcW w:w="1702" w:type="dxa"/>
          </w:tcPr>
          <w:p>
            <w:pPr>
              <w:pStyle w:val="TableParagraph"/>
              <w:spacing w:before="138"/>
              <w:ind w:left="8"/>
              <w:rPr>
                <w:sz w:val="21"/>
              </w:rPr>
            </w:pPr>
            <w:r>
              <w:rPr>
                <w:sz w:val="21"/>
              </w:rPr>
              <w:t>直接进入生化处理</w:t>
            </w:r>
          </w:p>
        </w:tc>
      </w:tr>
      <w:tr>
        <w:trPr>
          <w:trHeight w:val="544" w:hRule="atLeast"/>
        </w:trPr>
        <w:tc>
          <w:tcPr>
            <w:tcW w:w="461" w:type="dxa"/>
          </w:tcPr>
          <w:p>
            <w:pPr>
              <w:pStyle w:val="TableParagraph"/>
              <w:spacing w:before="149"/>
              <w:ind w:left="10"/>
              <w:rPr>
                <w:rFonts w:ascii="Times New Roman"/>
                <w:sz w:val="21"/>
              </w:rPr>
            </w:pPr>
            <w:r>
              <w:rPr>
                <w:rFonts w:ascii="Times New Roman"/>
                <w:w w:val="100"/>
                <w:sz w:val="21"/>
              </w:rPr>
              <w:t>/</w:t>
            </w:r>
          </w:p>
        </w:tc>
        <w:tc>
          <w:tcPr>
            <w:tcW w:w="960" w:type="dxa"/>
          </w:tcPr>
          <w:p>
            <w:pPr>
              <w:pStyle w:val="TableParagraph"/>
              <w:spacing w:before="1"/>
              <w:ind w:left="57"/>
              <w:jc w:val="left"/>
              <w:rPr>
                <w:sz w:val="21"/>
              </w:rPr>
            </w:pPr>
            <w:r>
              <w:rPr>
                <w:sz w:val="21"/>
              </w:rPr>
              <w:t>地面及设</w:t>
            </w:r>
          </w:p>
          <w:p>
            <w:pPr>
              <w:pStyle w:val="TableParagraph"/>
              <w:spacing w:line="252" w:lineRule="exact" w:before="2"/>
              <w:ind w:left="162"/>
              <w:jc w:val="left"/>
              <w:rPr>
                <w:sz w:val="21"/>
              </w:rPr>
            </w:pPr>
            <w:r>
              <w:rPr>
                <w:sz w:val="21"/>
              </w:rPr>
              <w:t>备清洗</w:t>
            </w:r>
          </w:p>
        </w:tc>
        <w:tc>
          <w:tcPr>
            <w:tcW w:w="1280" w:type="dxa"/>
          </w:tcPr>
          <w:p>
            <w:pPr>
              <w:pStyle w:val="TableParagraph"/>
              <w:spacing w:before="1"/>
              <w:ind w:left="5"/>
              <w:rPr>
                <w:sz w:val="21"/>
              </w:rPr>
            </w:pPr>
            <w:r>
              <w:rPr>
                <w:sz w:val="21"/>
              </w:rPr>
              <w:t>地面及设备清</w:t>
            </w:r>
          </w:p>
          <w:p>
            <w:pPr>
              <w:pStyle w:val="TableParagraph"/>
              <w:spacing w:line="252" w:lineRule="exact" w:before="2"/>
              <w:ind w:left="5"/>
              <w:rPr>
                <w:sz w:val="21"/>
              </w:rPr>
            </w:pPr>
            <w:r>
              <w:rPr>
                <w:sz w:val="21"/>
              </w:rPr>
              <w:t>洗废水</w:t>
            </w:r>
          </w:p>
        </w:tc>
        <w:tc>
          <w:tcPr>
            <w:tcW w:w="4678" w:type="dxa"/>
          </w:tcPr>
          <w:p>
            <w:pPr>
              <w:pStyle w:val="TableParagraph"/>
              <w:spacing w:before="1"/>
              <w:ind w:left="1"/>
              <w:jc w:val="left"/>
              <w:rPr>
                <w:rFonts w:ascii="Times New Roman" w:eastAsia="Times New Roman"/>
                <w:sz w:val="21"/>
              </w:rPr>
            </w:pPr>
            <w:r>
              <w:rPr>
                <w:spacing w:val="-4"/>
                <w:sz w:val="21"/>
              </w:rPr>
              <w:t>废水量：</w:t>
            </w:r>
            <w:r>
              <w:rPr>
                <w:rFonts w:ascii="Times New Roman" w:eastAsia="Times New Roman"/>
                <w:spacing w:val="-12"/>
                <w:sz w:val="21"/>
              </w:rPr>
              <w:t>1500t/a</w:t>
            </w:r>
            <w:r>
              <w:rPr>
                <w:spacing w:val="-12"/>
                <w:sz w:val="21"/>
              </w:rPr>
              <w:t>，</w:t>
            </w:r>
            <w:r>
              <w:rPr>
                <w:rFonts w:ascii="Times New Roman" w:eastAsia="Times New Roman"/>
                <w:spacing w:val="-12"/>
                <w:sz w:val="21"/>
              </w:rPr>
              <w:t>5t/d</w:t>
            </w:r>
            <w:r>
              <w:rPr>
                <w:spacing w:val="-5"/>
                <w:sz w:val="21"/>
              </w:rPr>
              <w:t>，水质情况：</w:t>
            </w:r>
            <w:r>
              <w:rPr>
                <w:rFonts w:ascii="Times New Roman" w:eastAsia="Times New Roman"/>
                <w:spacing w:val="-5"/>
                <w:sz w:val="21"/>
              </w:rPr>
              <w:t>CODcr1000mg/L</w:t>
            </w:r>
          </w:p>
          <w:p>
            <w:pPr>
              <w:pStyle w:val="TableParagraph"/>
              <w:spacing w:line="252" w:lineRule="exact" w:before="2"/>
              <w:ind w:left="462"/>
              <w:jc w:val="left"/>
              <w:rPr>
                <w:rFonts w:ascii="Times New Roman" w:eastAsia="Times New Roman"/>
                <w:sz w:val="21"/>
              </w:rPr>
            </w:pPr>
            <w:r>
              <w:rPr>
                <w:rFonts w:ascii="Times New Roman" w:eastAsia="Times New Roman"/>
                <w:sz w:val="21"/>
              </w:rPr>
              <w:t>TN10mg/L</w:t>
            </w:r>
            <w:r>
              <w:rPr>
                <w:sz w:val="21"/>
              </w:rPr>
              <w:t>，氨氮 </w:t>
            </w:r>
            <w:r>
              <w:rPr>
                <w:rFonts w:ascii="Times New Roman" w:eastAsia="Times New Roman"/>
                <w:sz w:val="21"/>
              </w:rPr>
              <w:t>5mg/L</w:t>
            </w:r>
            <w:r>
              <w:rPr>
                <w:sz w:val="21"/>
              </w:rPr>
              <w:t>，三环唑 </w:t>
            </w:r>
            <w:r>
              <w:rPr>
                <w:rFonts w:ascii="Times New Roman" w:eastAsia="Times New Roman"/>
                <w:sz w:val="21"/>
              </w:rPr>
              <w:t>10mg/L</w:t>
            </w:r>
          </w:p>
        </w:tc>
        <w:tc>
          <w:tcPr>
            <w:tcW w:w="1702" w:type="dxa"/>
          </w:tcPr>
          <w:p>
            <w:pPr>
              <w:pStyle w:val="TableParagraph"/>
              <w:spacing w:before="1"/>
              <w:ind w:left="54"/>
              <w:jc w:val="left"/>
              <w:rPr>
                <w:sz w:val="21"/>
              </w:rPr>
            </w:pPr>
            <w:r>
              <w:rPr>
                <w:spacing w:val="-1"/>
                <w:sz w:val="21"/>
              </w:rPr>
              <w:t>经铁碳</w:t>
            </w:r>
            <w:r>
              <w:rPr>
                <w:rFonts w:ascii="Times New Roman" w:eastAsia="Times New Roman"/>
                <w:spacing w:val="-1"/>
                <w:sz w:val="21"/>
              </w:rPr>
              <w:t>+</w:t>
            </w:r>
            <w:r>
              <w:rPr>
                <w:spacing w:val="-2"/>
                <w:sz w:val="21"/>
              </w:rPr>
              <w:t>芬顿氧化</w:t>
            </w:r>
          </w:p>
          <w:p>
            <w:pPr>
              <w:pStyle w:val="TableParagraph"/>
              <w:spacing w:line="252" w:lineRule="exact" w:before="2"/>
              <w:ind w:left="54"/>
              <w:jc w:val="left"/>
              <w:rPr>
                <w:sz w:val="21"/>
              </w:rPr>
            </w:pPr>
            <w:r>
              <w:rPr>
                <w:rFonts w:ascii="Times New Roman" w:eastAsia="Times New Roman"/>
                <w:sz w:val="21"/>
              </w:rPr>
              <w:t>+</w:t>
            </w:r>
            <w:r>
              <w:rPr>
                <w:spacing w:val="-3"/>
                <w:sz w:val="21"/>
              </w:rPr>
              <w:t>混凝沉淀预处理</w:t>
            </w:r>
          </w:p>
        </w:tc>
      </w:tr>
    </w:tbl>
    <w:p>
      <w:pPr>
        <w:spacing w:after="0" w:line="252" w:lineRule="exact"/>
        <w:jc w:val="left"/>
        <w:rPr>
          <w:sz w:val="21"/>
        </w:rPr>
        <w:sectPr>
          <w:pgSz w:w="11910" w:h="16840"/>
          <w:pgMar w:header="872" w:footer="803" w:top="1340" w:bottom="1000" w:left="1200" w:right="1180"/>
        </w:sectPr>
      </w:pPr>
    </w:p>
    <w:p>
      <w:pPr>
        <w:pStyle w:val="BodyText"/>
        <w:spacing w:before="10"/>
        <w:rPr>
          <w:b/>
          <w:sz w:val="4"/>
        </w:rPr>
      </w:pP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960"/>
        <w:gridCol w:w="1280"/>
        <w:gridCol w:w="4678"/>
        <w:gridCol w:w="1702"/>
      </w:tblGrid>
      <w:tr>
        <w:trPr>
          <w:trHeight w:val="270" w:hRule="atLeast"/>
        </w:trPr>
        <w:tc>
          <w:tcPr>
            <w:tcW w:w="461" w:type="dxa"/>
          </w:tcPr>
          <w:p>
            <w:pPr>
              <w:pStyle w:val="TableParagraph"/>
              <w:spacing w:line="250" w:lineRule="exact" w:before="1"/>
              <w:ind w:left="19"/>
              <w:jc w:val="left"/>
              <w:rPr>
                <w:b/>
                <w:sz w:val="21"/>
              </w:rPr>
            </w:pPr>
            <w:r>
              <w:rPr>
                <w:b/>
                <w:sz w:val="21"/>
              </w:rPr>
              <w:t>编号</w:t>
            </w:r>
          </w:p>
        </w:tc>
        <w:tc>
          <w:tcPr>
            <w:tcW w:w="960" w:type="dxa"/>
          </w:tcPr>
          <w:p>
            <w:pPr>
              <w:pStyle w:val="TableParagraph"/>
              <w:spacing w:line="250" w:lineRule="exact" w:before="1"/>
              <w:ind w:left="57"/>
              <w:jc w:val="left"/>
              <w:rPr>
                <w:b/>
                <w:sz w:val="21"/>
              </w:rPr>
            </w:pPr>
            <w:r>
              <w:rPr>
                <w:b/>
                <w:sz w:val="21"/>
              </w:rPr>
              <w:t>产生工序</w:t>
            </w:r>
          </w:p>
        </w:tc>
        <w:tc>
          <w:tcPr>
            <w:tcW w:w="1280" w:type="dxa"/>
          </w:tcPr>
          <w:p>
            <w:pPr>
              <w:pStyle w:val="TableParagraph"/>
              <w:spacing w:line="250" w:lineRule="exact" w:before="1"/>
              <w:ind w:left="215"/>
              <w:jc w:val="left"/>
              <w:rPr>
                <w:b/>
                <w:sz w:val="21"/>
              </w:rPr>
            </w:pPr>
            <w:r>
              <w:rPr>
                <w:b/>
                <w:sz w:val="21"/>
              </w:rPr>
              <w:t>废水名称</w:t>
            </w:r>
          </w:p>
        </w:tc>
        <w:tc>
          <w:tcPr>
            <w:tcW w:w="4678" w:type="dxa"/>
          </w:tcPr>
          <w:p>
            <w:pPr>
              <w:pStyle w:val="TableParagraph"/>
              <w:spacing w:line="250" w:lineRule="exact" w:before="1"/>
              <w:ind w:left="22" w:right="17"/>
              <w:rPr>
                <w:b/>
                <w:sz w:val="21"/>
              </w:rPr>
            </w:pPr>
            <w:r>
              <w:rPr>
                <w:b/>
                <w:sz w:val="21"/>
              </w:rPr>
              <w:t>污染物产生情况</w:t>
            </w:r>
          </w:p>
        </w:tc>
        <w:tc>
          <w:tcPr>
            <w:tcW w:w="1702" w:type="dxa"/>
          </w:tcPr>
          <w:p>
            <w:pPr>
              <w:pStyle w:val="TableParagraph"/>
              <w:spacing w:line="250" w:lineRule="exact" w:before="1"/>
              <w:ind w:left="11"/>
              <w:rPr>
                <w:b/>
                <w:sz w:val="21"/>
              </w:rPr>
            </w:pPr>
            <w:r>
              <w:rPr>
                <w:b/>
                <w:sz w:val="21"/>
              </w:rPr>
              <w:t>预处理情况</w:t>
            </w:r>
          </w:p>
        </w:tc>
      </w:tr>
      <w:tr>
        <w:trPr>
          <w:trHeight w:val="273" w:hRule="atLeast"/>
        </w:trPr>
        <w:tc>
          <w:tcPr>
            <w:tcW w:w="461" w:type="dxa"/>
          </w:tcPr>
          <w:p>
            <w:pPr>
              <w:pStyle w:val="TableParagraph"/>
              <w:jc w:val="left"/>
              <w:rPr>
                <w:rFonts w:ascii="Times New Roman"/>
                <w:sz w:val="20"/>
              </w:rPr>
            </w:pPr>
          </w:p>
        </w:tc>
        <w:tc>
          <w:tcPr>
            <w:tcW w:w="960" w:type="dxa"/>
          </w:tcPr>
          <w:p>
            <w:pPr>
              <w:pStyle w:val="TableParagraph"/>
              <w:jc w:val="left"/>
              <w:rPr>
                <w:rFonts w:ascii="Times New Roman"/>
                <w:sz w:val="20"/>
              </w:rPr>
            </w:pPr>
          </w:p>
        </w:tc>
        <w:tc>
          <w:tcPr>
            <w:tcW w:w="1280" w:type="dxa"/>
          </w:tcPr>
          <w:p>
            <w:pPr>
              <w:pStyle w:val="TableParagraph"/>
              <w:jc w:val="left"/>
              <w:rPr>
                <w:rFonts w:ascii="Times New Roman"/>
                <w:sz w:val="20"/>
              </w:rPr>
            </w:pPr>
          </w:p>
        </w:tc>
        <w:tc>
          <w:tcPr>
            <w:tcW w:w="4678" w:type="dxa"/>
          </w:tcPr>
          <w:p>
            <w:pPr>
              <w:pStyle w:val="TableParagraph"/>
              <w:jc w:val="left"/>
              <w:rPr>
                <w:rFonts w:ascii="Times New Roman"/>
                <w:sz w:val="20"/>
              </w:rPr>
            </w:pPr>
          </w:p>
        </w:tc>
        <w:tc>
          <w:tcPr>
            <w:tcW w:w="1702" w:type="dxa"/>
          </w:tcPr>
          <w:p>
            <w:pPr>
              <w:pStyle w:val="TableParagraph"/>
              <w:spacing w:line="250" w:lineRule="exact" w:before="3"/>
              <w:ind w:left="8"/>
              <w:rPr>
                <w:sz w:val="21"/>
              </w:rPr>
            </w:pPr>
            <w:r>
              <w:rPr>
                <w:sz w:val="21"/>
              </w:rPr>
              <w:t>后，进入生化处理</w:t>
            </w:r>
          </w:p>
        </w:tc>
      </w:tr>
      <w:tr>
        <w:trPr>
          <w:trHeight w:val="1089" w:hRule="atLeast"/>
        </w:trPr>
        <w:tc>
          <w:tcPr>
            <w:tcW w:w="2701" w:type="dxa"/>
            <w:gridSpan w:val="3"/>
          </w:tcPr>
          <w:p>
            <w:pPr>
              <w:pStyle w:val="TableParagraph"/>
              <w:jc w:val="left"/>
              <w:rPr>
                <w:b/>
                <w:sz w:val="20"/>
              </w:rPr>
            </w:pPr>
          </w:p>
          <w:p>
            <w:pPr>
              <w:pStyle w:val="TableParagraph"/>
              <w:spacing w:before="155"/>
              <w:ind w:left="1117" w:right="1111"/>
              <w:rPr>
                <w:b/>
                <w:sz w:val="21"/>
              </w:rPr>
            </w:pPr>
            <w:r>
              <w:rPr>
                <w:b/>
                <w:sz w:val="21"/>
              </w:rPr>
              <w:t>合计</w:t>
            </w:r>
          </w:p>
        </w:tc>
        <w:tc>
          <w:tcPr>
            <w:tcW w:w="4678" w:type="dxa"/>
          </w:tcPr>
          <w:p>
            <w:pPr>
              <w:pStyle w:val="TableParagraph"/>
              <w:spacing w:line="242" w:lineRule="auto" w:before="1"/>
              <w:ind w:left="23" w:right="17"/>
              <w:rPr>
                <w:b/>
                <w:sz w:val="21"/>
              </w:rPr>
            </w:pPr>
            <w:r>
              <w:rPr>
                <w:b/>
                <w:sz w:val="21"/>
              </w:rPr>
              <w:t>废 水 量 </w:t>
            </w:r>
            <w:r>
              <w:rPr>
                <w:rFonts w:ascii="Times New Roman" w:eastAsia="Times New Roman"/>
                <w:b/>
                <w:sz w:val="21"/>
              </w:rPr>
              <w:t>27t/d</w:t>
            </w:r>
            <w:r>
              <w:rPr>
                <w:b/>
                <w:sz w:val="21"/>
              </w:rPr>
              <w:t>，</w:t>
            </w:r>
            <w:r>
              <w:rPr>
                <w:rFonts w:ascii="Times New Roman" w:eastAsia="Times New Roman"/>
                <w:b/>
                <w:sz w:val="21"/>
              </w:rPr>
              <w:t>8091t/a</w:t>
            </w:r>
            <w:r>
              <w:rPr>
                <w:b/>
                <w:sz w:val="21"/>
              </w:rPr>
              <w:t>， </w:t>
            </w:r>
            <w:r>
              <w:rPr>
                <w:rFonts w:ascii="Times New Roman" w:eastAsia="Times New Roman"/>
                <w:b/>
                <w:sz w:val="21"/>
              </w:rPr>
              <w:t>CODcr79.221t/a(9791.2mg/L)</w:t>
            </w:r>
            <w:r>
              <w:rPr>
                <w:b/>
                <w:sz w:val="21"/>
              </w:rPr>
              <w:t>，氨氮</w:t>
            </w:r>
            <w:r>
              <w:rPr>
                <w:rFonts w:ascii="Times New Roman" w:eastAsia="Times New Roman"/>
                <w:b/>
                <w:sz w:val="21"/>
              </w:rPr>
              <w:t>0.361t/a(44.7mg/L)</w:t>
            </w:r>
            <w:r>
              <w:rPr>
                <w:b/>
                <w:sz w:val="21"/>
              </w:rPr>
              <w:t>，</w:t>
            </w:r>
            <w:r>
              <w:rPr>
                <w:rFonts w:ascii="Times New Roman" w:eastAsia="Times New Roman"/>
                <w:b/>
                <w:sz w:val="21"/>
              </w:rPr>
              <w:t>TN3.493t/a(431.7mg/L)</w:t>
            </w:r>
            <w:r>
              <w:rPr>
                <w:b/>
                <w:sz w:val="21"/>
              </w:rPr>
              <w:t>，三环</w:t>
            </w:r>
          </w:p>
          <w:p>
            <w:pPr>
              <w:pStyle w:val="TableParagraph"/>
              <w:spacing w:line="250" w:lineRule="exact" w:before="3"/>
              <w:ind w:left="21" w:right="17"/>
              <w:rPr>
                <w:rFonts w:ascii="Times New Roman" w:eastAsia="Times New Roman"/>
                <w:b/>
                <w:sz w:val="21"/>
              </w:rPr>
            </w:pPr>
            <w:r>
              <w:rPr>
                <w:b/>
                <w:sz w:val="21"/>
              </w:rPr>
              <w:t>唑 </w:t>
            </w:r>
            <w:r>
              <w:rPr>
                <w:rFonts w:ascii="Times New Roman" w:eastAsia="Times New Roman"/>
                <w:b/>
                <w:sz w:val="21"/>
              </w:rPr>
              <w:t>9.909t/a(1224.7mg/L)</w:t>
            </w:r>
          </w:p>
        </w:tc>
        <w:tc>
          <w:tcPr>
            <w:tcW w:w="1702" w:type="dxa"/>
          </w:tcPr>
          <w:p>
            <w:pPr>
              <w:pStyle w:val="TableParagraph"/>
              <w:jc w:val="left"/>
              <w:rPr>
                <w:b/>
                <w:sz w:val="22"/>
              </w:rPr>
            </w:pPr>
          </w:p>
          <w:p>
            <w:pPr>
              <w:pStyle w:val="TableParagraph"/>
              <w:spacing w:before="143"/>
              <w:ind w:left="8"/>
              <w:rPr>
                <w:rFonts w:ascii="Times New Roman"/>
                <w:sz w:val="21"/>
              </w:rPr>
            </w:pPr>
            <w:r>
              <w:rPr>
                <w:rFonts w:ascii="Times New Roman"/>
                <w:w w:val="100"/>
                <w:sz w:val="21"/>
              </w:rPr>
              <w:t>/</w:t>
            </w:r>
          </w:p>
        </w:tc>
      </w:tr>
    </w:tbl>
    <w:p>
      <w:pPr>
        <w:spacing w:before="2"/>
        <w:ind w:left="701" w:right="0" w:firstLine="0"/>
        <w:jc w:val="left"/>
        <w:rPr>
          <w:b/>
          <w:sz w:val="24"/>
        </w:rPr>
      </w:pPr>
      <w:r>
        <w:rPr>
          <w:rFonts w:ascii="Times New Roman" w:eastAsia="Times New Roman"/>
          <w:b/>
          <w:sz w:val="24"/>
        </w:rPr>
        <w:t>2</w:t>
      </w:r>
      <w:r>
        <w:rPr>
          <w:b/>
          <w:sz w:val="24"/>
        </w:rPr>
        <w:t>、副产物产生及处置情况</w:t>
      </w:r>
    </w:p>
    <w:p>
      <w:pPr>
        <w:pStyle w:val="BodyText"/>
        <w:spacing w:line="362" w:lineRule="auto" w:before="161"/>
        <w:ind w:left="218" w:right="112" w:firstLine="480"/>
      </w:pPr>
      <w:r>
        <w:rPr/>
        <w:t>该产品生产过程中副产物为冷凝回收的甲酸和水混合物，可直接套用于生产过程； </w:t>
      </w:r>
      <w:r>
        <w:rPr>
          <w:spacing w:val="-10"/>
        </w:rPr>
        <w:t>粉尘经布袋处理后会产生副产物粉尘，直接回用于生产。上述副产物均不作为固废处置。</w:t>
      </w:r>
    </w:p>
    <w:p>
      <w:pPr>
        <w:spacing w:after="0" w:line="362" w:lineRule="auto"/>
        <w:sectPr>
          <w:pgSz w:w="11910" w:h="16840"/>
          <w:pgMar w:header="872" w:footer="803" w:top="1340" w:bottom="1000" w:left="1200" w:right="1180"/>
        </w:sectPr>
      </w:pPr>
    </w:p>
    <w:p>
      <w:pPr>
        <w:spacing w:before="64" w:after="19"/>
        <w:ind w:left="1" w:right="0" w:firstLine="0"/>
        <w:jc w:val="center"/>
        <w:rPr>
          <w:sz w:val="18"/>
        </w:rPr>
      </w:pPr>
      <w:r>
        <w:rPr>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p>
      <w:pPr>
        <w:pStyle w:val="BodyText"/>
        <w:spacing w:line="20" w:lineRule="exact"/>
        <w:ind w:left="81"/>
        <w:rPr>
          <w:sz w:val="2"/>
        </w:rPr>
      </w:pPr>
      <w:r>
        <w:rPr>
          <w:sz w:val="2"/>
        </w:rPr>
        <w:pict>
          <v:group style="width:703.1pt;height:.75pt;mso-position-horizontal-relative:char;mso-position-vertical-relative:line" coordorigin="0,0" coordsize="14062,15">
            <v:line style="position:absolute" from="0,7" to="14061,7" stroked="true" strokeweight=".72pt" strokecolor="#000000">
              <v:stroke dashstyle="solid"/>
            </v:line>
          </v:group>
        </w:pict>
      </w:r>
      <w:r>
        <w:rPr>
          <w:sz w:val="2"/>
        </w:rPr>
      </w:r>
    </w:p>
    <w:p>
      <w:pPr>
        <w:pStyle w:val="BodyText"/>
        <w:spacing w:before="6"/>
        <w:rPr>
          <w:sz w:val="28"/>
        </w:rPr>
      </w:pPr>
    </w:p>
    <w:p>
      <w:pPr>
        <w:pStyle w:val="Heading4"/>
        <w:spacing w:before="75"/>
        <w:ind w:left="601"/>
      </w:pPr>
      <w:r>
        <w:rPr>
          <w:rFonts w:ascii="Times New Roman" w:eastAsia="Times New Roman"/>
        </w:rPr>
        <w:t>3</w:t>
      </w:r>
      <w:r>
        <w:rPr/>
        <w:t>、废气</w:t>
      </w:r>
    </w:p>
    <w:p>
      <w:pPr>
        <w:pStyle w:val="BodyText"/>
        <w:spacing w:before="158"/>
        <w:ind w:left="598"/>
      </w:pPr>
      <w:r>
        <w:rPr/>
        <w:t>三环唑生产过程废气产生、处置及排放情况见下表。</w:t>
      </w:r>
    </w:p>
    <w:p>
      <w:pPr>
        <w:pStyle w:val="BodyText"/>
        <w:spacing w:before="7"/>
        <w:rPr>
          <w:sz w:val="23"/>
        </w:rPr>
      </w:pPr>
    </w:p>
    <w:p>
      <w:pPr>
        <w:pStyle w:val="Heading4"/>
        <w:tabs>
          <w:tab w:pos="1342" w:val="left" w:leader="none"/>
        </w:tabs>
        <w:spacing w:after="29"/>
        <w:ind w:left="0"/>
        <w:jc w:val="center"/>
      </w:pPr>
      <w:r>
        <w:rPr/>
        <w:t>表</w:t>
      </w:r>
      <w:r>
        <w:rPr>
          <w:spacing w:val="-59"/>
        </w:rPr>
        <w:t> </w:t>
      </w:r>
      <w:r>
        <w:rPr>
          <w:rFonts w:ascii="Times New Roman" w:eastAsia="Times New Roman"/>
        </w:rPr>
        <w:t>4.2.1-10</w:t>
        <w:tab/>
      </w:r>
      <w:r>
        <w:rPr/>
        <w:t>三环唑装置废气污染物产生、处置及排放情况</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142"/>
        <w:gridCol w:w="1197"/>
        <w:gridCol w:w="1219"/>
        <w:gridCol w:w="732"/>
        <w:gridCol w:w="837"/>
        <w:gridCol w:w="695"/>
        <w:gridCol w:w="1084"/>
        <w:gridCol w:w="813"/>
        <w:gridCol w:w="813"/>
        <w:gridCol w:w="827"/>
        <w:gridCol w:w="803"/>
        <w:gridCol w:w="810"/>
        <w:gridCol w:w="681"/>
        <w:gridCol w:w="925"/>
        <w:gridCol w:w="913"/>
      </w:tblGrid>
      <w:tr>
        <w:trPr>
          <w:trHeight w:val="273" w:hRule="atLeast"/>
        </w:trPr>
        <w:tc>
          <w:tcPr>
            <w:tcW w:w="509" w:type="dxa"/>
            <w:vMerge w:val="restart"/>
          </w:tcPr>
          <w:p>
            <w:pPr>
              <w:pStyle w:val="TableParagraph"/>
              <w:jc w:val="left"/>
              <w:rPr>
                <w:b/>
                <w:sz w:val="20"/>
              </w:rPr>
            </w:pPr>
          </w:p>
          <w:p>
            <w:pPr>
              <w:pStyle w:val="TableParagraph"/>
              <w:spacing w:line="244" w:lineRule="auto" w:before="162"/>
              <w:ind w:left="40" w:right="35"/>
              <w:jc w:val="left"/>
              <w:rPr>
                <w:b/>
                <w:sz w:val="21"/>
              </w:rPr>
            </w:pPr>
            <w:r>
              <w:rPr>
                <w:b/>
                <w:sz w:val="21"/>
              </w:rPr>
              <w:t>废气编号</w:t>
            </w:r>
          </w:p>
        </w:tc>
        <w:tc>
          <w:tcPr>
            <w:tcW w:w="1142" w:type="dxa"/>
            <w:vMerge w:val="restart"/>
          </w:tcPr>
          <w:p>
            <w:pPr>
              <w:pStyle w:val="TableParagraph"/>
              <w:jc w:val="left"/>
              <w:rPr>
                <w:b/>
                <w:sz w:val="20"/>
              </w:rPr>
            </w:pPr>
          </w:p>
          <w:p>
            <w:pPr>
              <w:pStyle w:val="TableParagraph"/>
              <w:spacing w:before="4"/>
              <w:jc w:val="left"/>
              <w:rPr>
                <w:b/>
                <w:sz w:val="23"/>
              </w:rPr>
            </w:pPr>
          </w:p>
          <w:p>
            <w:pPr>
              <w:pStyle w:val="TableParagraph"/>
              <w:ind w:left="146"/>
              <w:jc w:val="left"/>
              <w:rPr>
                <w:b/>
                <w:sz w:val="21"/>
              </w:rPr>
            </w:pPr>
            <w:r>
              <w:rPr>
                <w:b/>
                <w:sz w:val="21"/>
              </w:rPr>
              <w:t>产污工序</w:t>
            </w:r>
          </w:p>
        </w:tc>
        <w:tc>
          <w:tcPr>
            <w:tcW w:w="1197" w:type="dxa"/>
            <w:vMerge w:val="restart"/>
          </w:tcPr>
          <w:p>
            <w:pPr>
              <w:pStyle w:val="TableParagraph"/>
              <w:jc w:val="left"/>
              <w:rPr>
                <w:b/>
                <w:sz w:val="20"/>
              </w:rPr>
            </w:pPr>
          </w:p>
          <w:p>
            <w:pPr>
              <w:pStyle w:val="TableParagraph"/>
              <w:spacing w:before="4"/>
              <w:jc w:val="left"/>
              <w:rPr>
                <w:b/>
                <w:sz w:val="23"/>
              </w:rPr>
            </w:pPr>
          </w:p>
          <w:p>
            <w:pPr>
              <w:pStyle w:val="TableParagraph"/>
              <w:ind w:left="177"/>
              <w:jc w:val="left"/>
              <w:rPr>
                <w:b/>
                <w:sz w:val="21"/>
              </w:rPr>
            </w:pPr>
            <w:r>
              <w:rPr>
                <w:b/>
                <w:sz w:val="21"/>
              </w:rPr>
              <w:t>产污方式</w:t>
            </w:r>
          </w:p>
        </w:tc>
        <w:tc>
          <w:tcPr>
            <w:tcW w:w="1219" w:type="dxa"/>
            <w:vMerge w:val="restart"/>
          </w:tcPr>
          <w:p>
            <w:pPr>
              <w:pStyle w:val="TableParagraph"/>
              <w:jc w:val="left"/>
              <w:rPr>
                <w:b/>
                <w:sz w:val="20"/>
              </w:rPr>
            </w:pPr>
          </w:p>
          <w:p>
            <w:pPr>
              <w:pStyle w:val="TableParagraph"/>
              <w:spacing w:line="244" w:lineRule="auto" w:before="162"/>
              <w:ind w:left="293" w:right="175" w:hanging="106"/>
              <w:jc w:val="left"/>
              <w:rPr>
                <w:b/>
                <w:sz w:val="21"/>
              </w:rPr>
            </w:pPr>
            <w:r>
              <w:rPr>
                <w:b/>
                <w:sz w:val="21"/>
              </w:rPr>
              <w:t>主要污染物名称</w:t>
            </w:r>
          </w:p>
        </w:tc>
        <w:tc>
          <w:tcPr>
            <w:tcW w:w="732" w:type="dxa"/>
            <w:vMerge w:val="restart"/>
          </w:tcPr>
          <w:p>
            <w:pPr>
              <w:pStyle w:val="TableParagraph"/>
              <w:jc w:val="left"/>
              <w:rPr>
                <w:b/>
                <w:sz w:val="20"/>
              </w:rPr>
            </w:pPr>
          </w:p>
          <w:p>
            <w:pPr>
              <w:pStyle w:val="TableParagraph"/>
              <w:spacing w:line="244" w:lineRule="auto" w:before="162"/>
              <w:ind w:left="260" w:right="37" w:hanging="212"/>
              <w:jc w:val="left"/>
              <w:rPr>
                <w:b/>
                <w:sz w:val="21"/>
              </w:rPr>
            </w:pPr>
            <w:r>
              <w:rPr>
                <w:b/>
                <w:sz w:val="21"/>
              </w:rPr>
              <w:t>排放方式</w:t>
            </w:r>
          </w:p>
        </w:tc>
        <w:tc>
          <w:tcPr>
            <w:tcW w:w="1532" w:type="dxa"/>
            <w:gridSpan w:val="2"/>
          </w:tcPr>
          <w:p>
            <w:pPr>
              <w:pStyle w:val="TableParagraph"/>
              <w:spacing w:line="252" w:lineRule="exact" w:before="1"/>
              <w:ind w:left="347"/>
              <w:jc w:val="left"/>
              <w:rPr>
                <w:b/>
                <w:sz w:val="21"/>
              </w:rPr>
            </w:pPr>
            <w:r>
              <w:rPr>
                <w:b/>
                <w:sz w:val="21"/>
              </w:rPr>
              <w:t>产污源强</w:t>
            </w:r>
          </w:p>
        </w:tc>
        <w:tc>
          <w:tcPr>
            <w:tcW w:w="1084" w:type="dxa"/>
            <w:vMerge w:val="restart"/>
          </w:tcPr>
          <w:p>
            <w:pPr>
              <w:pStyle w:val="TableParagraph"/>
              <w:spacing w:before="8"/>
              <w:jc w:val="left"/>
              <w:rPr>
                <w:b/>
                <w:sz w:val="32"/>
              </w:rPr>
            </w:pPr>
          </w:p>
          <w:p>
            <w:pPr>
              <w:pStyle w:val="TableParagraph"/>
              <w:spacing w:line="244" w:lineRule="auto"/>
              <w:ind w:left="65" w:right="45" w:firstLine="57"/>
              <w:jc w:val="left"/>
              <w:rPr>
                <w:rFonts w:ascii="Times New Roman" w:eastAsia="Times New Roman"/>
                <w:b/>
                <w:sz w:val="21"/>
              </w:rPr>
            </w:pPr>
            <w:r>
              <w:rPr>
                <w:b/>
                <w:sz w:val="21"/>
              </w:rPr>
              <w:t>最大产污速率</w:t>
            </w:r>
            <w:r>
              <w:rPr>
                <w:rFonts w:ascii="Times New Roman" w:eastAsia="Times New Roman"/>
                <w:b/>
                <w:sz w:val="21"/>
              </w:rPr>
              <w:t>(kg/h)</w:t>
            </w:r>
          </w:p>
        </w:tc>
        <w:tc>
          <w:tcPr>
            <w:tcW w:w="3256" w:type="dxa"/>
            <w:gridSpan w:val="4"/>
          </w:tcPr>
          <w:p>
            <w:pPr>
              <w:pStyle w:val="TableParagraph"/>
              <w:spacing w:line="252" w:lineRule="exact" w:before="1"/>
              <w:ind w:left="710"/>
              <w:jc w:val="left"/>
              <w:rPr>
                <w:rFonts w:ascii="Times New Roman" w:eastAsia="Times New Roman"/>
                <w:b/>
                <w:sz w:val="21"/>
              </w:rPr>
            </w:pPr>
            <w:r>
              <w:rPr>
                <w:b/>
                <w:sz w:val="21"/>
              </w:rPr>
              <w:t>收集后治理措施</w:t>
            </w:r>
            <w:r>
              <w:rPr>
                <w:rFonts w:ascii="Times New Roman" w:eastAsia="Times New Roman"/>
                <w:b/>
                <w:sz w:val="21"/>
              </w:rPr>
              <w:t>(t/a)</w:t>
            </w:r>
          </w:p>
        </w:tc>
        <w:tc>
          <w:tcPr>
            <w:tcW w:w="1491" w:type="dxa"/>
            <w:gridSpan w:val="2"/>
          </w:tcPr>
          <w:p>
            <w:pPr>
              <w:pStyle w:val="TableParagraph"/>
              <w:spacing w:line="252" w:lineRule="exact" w:before="1"/>
              <w:ind w:left="437"/>
              <w:jc w:val="left"/>
              <w:rPr>
                <w:b/>
                <w:sz w:val="21"/>
              </w:rPr>
            </w:pPr>
            <w:r>
              <w:rPr>
                <w:b/>
                <w:sz w:val="21"/>
              </w:rPr>
              <w:t>排放量</w:t>
            </w:r>
          </w:p>
        </w:tc>
        <w:tc>
          <w:tcPr>
            <w:tcW w:w="925" w:type="dxa"/>
            <w:vMerge w:val="restart"/>
          </w:tcPr>
          <w:p>
            <w:pPr>
              <w:pStyle w:val="TableParagraph"/>
              <w:spacing w:before="3"/>
              <w:jc w:val="left"/>
              <w:rPr>
                <w:b/>
                <w:sz w:val="23"/>
              </w:rPr>
            </w:pPr>
          </w:p>
          <w:p>
            <w:pPr>
              <w:pStyle w:val="TableParagraph"/>
              <w:spacing w:line="242" w:lineRule="auto" w:before="1"/>
              <w:ind w:left="51" w:right="17"/>
              <w:rPr>
                <w:rFonts w:ascii="Times New Roman" w:eastAsia="Times New Roman"/>
                <w:b/>
                <w:sz w:val="21"/>
              </w:rPr>
            </w:pPr>
            <w:r>
              <w:rPr>
                <w:b/>
                <w:sz w:val="21"/>
              </w:rPr>
              <w:t>最大产污速率</w:t>
            </w:r>
            <w:r>
              <w:rPr>
                <w:rFonts w:ascii="Times New Roman" w:eastAsia="Times New Roman"/>
                <w:b/>
                <w:sz w:val="21"/>
              </w:rPr>
              <w:t>(kg/h)</w:t>
            </w:r>
          </w:p>
        </w:tc>
        <w:tc>
          <w:tcPr>
            <w:tcW w:w="913" w:type="dxa"/>
            <w:vMerge w:val="restart"/>
          </w:tcPr>
          <w:p>
            <w:pPr>
              <w:pStyle w:val="TableParagraph"/>
              <w:jc w:val="left"/>
              <w:rPr>
                <w:b/>
                <w:sz w:val="20"/>
              </w:rPr>
            </w:pPr>
          </w:p>
          <w:p>
            <w:pPr>
              <w:pStyle w:val="TableParagraph"/>
              <w:spacing w:line="244" w:lineRule="auto" w:before="162"/>
              <w:ind w:left="362" w:right="-29" w:hanging="346"/>
              <w:jc w:val="left"/>
              <w:rPr>
                <w:b/>
                <w:sz w:val="21"/>
              </w:rPr>
            </w:pPr>
            <w:r>
              <w:rPr>
                <w:b/>
                <w:sz w:val="21"/>
              </w:rPr>
              <w:t>设备数量</w:t>
            </w:r>
            <w:r>
              <w:rPr>
                <w:rFonts w:ascii="Times New Roman" w:eastAsia="Times New Roman"/>
                <w:b/>
                <w:sz w:val="21"/>
              </w:rPr>
              <w:t>/ </w:t>
            </w:r>
            <w:r>
              <w:rPr>
                <w:b/>
                <w:sz w:val="21"/>
              </w:rPr>
              <w:t>台</w:t>
            </w:r>
          </w:p>
        </w:tc>
      </w:tr>
      <w:tr>
        <w:trPr>
          <w:trHeight w:val="816" w:hRule="atLeast"/>
        </w:trPr>
        <w:tc>
          <w:tcPr>
            <w:tcW w:w="509" w:type="dxa"/>
            <w:vMerge/>
            <w:tcBorders>
              <w:top w:val="nil"/>
            </w:tcBorders>
          </w:tcPr>
          <w:p>
            <w:pPr>
              <w:rPr>
                <w:sz w:val="2"/>
                <w:szCs w:val="2"/>
              </w:rPr>
            </w:pPr>
          </w:p>
        </w:tc>
        <w:tc>
          <w:tcPr>
            <w:tcW w:w="1142" w:type="dxa"/>
            <w:vMerge/>
            <w:tcBorders>
              <w:top w:val="nil"/>
            </w:tcBorders>
          </w:tcPr>
          <w:p>
            <w:pPr>
              <w:rPr>
                <w:sz w:val="2"/>
                <w:szCs w:val="2"/>
              </w:rPr>
            </w:pPr>
          </w:p>
        </w:tc>
        <w:tc>
          <w:tcPr>
            <w:tcW w:w="1197" w:type="dxa"/>
            <w:vMerge/>
            <w:tcBorders>
              <w:top w:val="nil"/>
            </w:tcBorders>
          </w:tcPr>
          <w:p>
            <w:pPr>
              <w:rPr>
                <w:sz w:val="2"/>
                <w:szCs w:val="2"/>
              </w:rPr>
            </w:pPr>
          </w:p>
        </w:tc>
        <w:tc>
          <w:tcPr>
            <w:tcW w:w="1219" w:type="dxa"/>
            <w:vMerge/>
            <w:tcBorders>
              <w:top w:val="nil"/>
            </w:tcBorders>
          </w:tcPr>
          <w:p>
            <w:pPr>
              <w:rPr>
                <w:sz w:val="2"/>
                <w:szCs w:val="2"/>
              </w:rPr>
            </w:pPr>
          </w:p>
        </w:tc>
        <w:tc>
          <w:tcPr>
            <w:tcW w:w="732" w:type="dxa"/>
            <w:vMerge/>
            <w:tcBorders>
              <w:top w:val="nil"/>
            </w:tcBorders>
          </w:tcPr>
          <w:p>
            <w:pPr>
              <w:rPr>
                <w:sz w:val="2"/>
                <w:szCs w:val="2"/>
              </w:rPr>
            </w:pPr>
          </w:p>
        </w:tc>
        <w:tc>
          <w:tcPr>
            <w:tcW w:w="837" w:type="dxa"/>
            <w:vMerge w:val="restart"/>
          </w:tcPr>
          <w:p>
            <w:pPr>
              <w:pStyle w:val="TableParagraph"/>
              <w:spacing w:before="3"/>
              <w:jc w:val="left"/>
              <w:rPr>
                <w:b/>
                <w:sz w:val="32"/>
              </w:rPr>
            </w:pPr>
          </w:p>
          <w:p>
            <w:pPr>
              <w:pStyle w:val="TableParagraph"/>
              <w:spacing w:before="1"/>
              <w:ind w:left="174"/>
              <w:jc w:val="left"/>
              <w:rPr>
                <w:b/>
                <w:sz w:val="21"/>
              </w:rPr>
            </w:pPr>
            <w:r>
              <w:rPr>
                <w:rFonts w:ascii="Times New Roman" w:eastAsia="Times New Roman"/>
                <w:b/>
                <w:sz w:val="21"/>
              </w:rPr>
              <w:t>kg/</w:t>
            </w:r>
            <w:r>
              <w:rPr>
                <w:b/>
                <w:sz w:val="21"/>
              </w:rPr>
              <w:t>批</w:t>
            </w:r>
          </w:p>
        </w:tc>
        <w:tc>
          <w:tcPr>
            <w:tcW w:w="695" w:type="dxa"/>
            <w:vMerge w:val="restart"/>
          </w:tcPr>
          <w:p>
            <w:pPr>
              <w:pStyle w:val="TableParagraph"/>
              <w:jc w:val="left"/>
              <w:rPr>
                <w:b/>
                <w:sz w:val="22"/>
              </w:rPr>
            </w:pPr>
          </w:p>
          <w:p>
            <w:pPr>
              <w:pStyle w:val="TableParagraph"/>
              <w:spacing w:before="146"/>
              <w:ind w:left="232"/>
              <w:jc w:val="left"/>
              <w:rPr>
                <w:rFonts w:ascii="Times New Roman"/>
                <w:b/>
                <w:sz w:val="21"/>
              </w:rPr>
            </w:pPr>
            <w:r>
              <w:rPr>
                <w:rFonts w:ascii="Times New Roman"/>
                <w:b/>
                <w:sz w:val="21"/>
              </w:rPr>
              <w:t>t/a</w:t>
            </w:r>
          </w:p>
        </w:tc>
        <w:tc>
          <w:tcPr>
            <w:tcW w:w="1084" w:type="dxa"/>
            <w:vMerge/>
            <w:tcBorders>
              <w:top w:val="nil"/>
            </w:tcBorders>
          </w:tcPr>
          <w:p>
            <w:pPr>
              <w:rPr>
                <w:sz w:val="2"/>
                <w:szCs w:val="2"/>
              </w:rPr>
            </w:pPr>
          </w:p>
        </w:tc>
        <w:tc>
          <w:tcPr>
            <w:tcW w:w="1626" w:type="dxa"/>
            <w:gridSpan w:val="2"/>
          </w:tcPr>
          <w:p>
            <w:pPr>
              <w:pStyle w:val="TableParagraph"/>
              <w:spacing w:before="3"/>
              <w:jc w:val="left"/>
              <w:rPr>
                <w:b/>
                <w:sz w:val="21"/>
              </w:rPr>
            </w:pPr>
          </w:p>
          <w:p>
            <w:pPr>
              <w:pStyle w:val="TableParagraph"/>
              <w:ind w:left="587" w:right="567"/>
              <w:rPr>
                <w:b/>
                <w:sz w:val="21"/>
              </w:rPr>
            </w:pPr>
            <w:r>
              <w:rPr>
                <w:b/>
                <w:sz w:val="21"/>
              </w:rPr>
              <w:t>冷凝</w:t>
            </w:r>
          </w:p>
        </w:tc>
        <w:tc>
          <w:tcPr>
            <w:tcW w:w="1630" w:type="dxa"/>
            <w:gridSpan w:val="2"/>
          </w:tcPr>
          <w:p>
            <w:pPr>
              <w:pStyle w:val="TableParagraph"/>
              <w:spacing w:line="242" w:lineRule="auto" w:before="1"/>
              <w:ind w:left="22" w:right="1"/>
              <w:rPr>
                <w:b/>
                <w:sz w:val="21"/>
              </w:rPr>
            </w:pPr>
            <w:r>
              <w:rPr>
                <w:b/>
                <w:sz w:val="21"/>
              </w:rPr>
              <w:t>布袋除尘</w:t>
            </w:r>
            <w:r>
              <w:rPr>
                <w:rFonts w:ascii="Times New Roman" w:eastAsia="Times New Roman"/>
                <w:b/>
                <w:sz w:val="21"/>
              </w:rPr>
              <w:t>+</w:t>
            </w:r>
            <w:r>
              <w:rPr>
                <w:b/>
                <w:sz w:val="21"/>
              </w:rPr>
              <w:t>废气集中处理装置</w:t>
            </w:r>
            <w:r>
              <w:rPr>
                <w:rFonts w:ascii="Times New Roman" w:eastAsia="Times New Roman"/>
                <w:b/>
                <w:sz w:val="21"/>
              </w:rPr>
              <w:t>/</w:t>
            </w:r>
            <w:r>
              <w:rPr>
                <w:b/>
                <w:sz w:val="21"/>
              </w:rPr>
              <w:t>废气</w:t>
            </w:r>
          </w:p>
          <w:p>
            <w:pPr>
              <w:pStyle w:val="TableParagraph"/>
              <w:spacing w:line="250" w:lineRule="exact" w:before="1"/>
              <w:ind w:left="24" w:right="1"/>
              <w:rPr>
                <w:b/>
                <w:sz w:val="21"/>
              </w:rPr>
            </w:pPr>
            <w:r>
              <w:rPr>
                <w:b/>
                <w:sz w:val="21"/>
              </w:rPr>
              <w:t>集中处理装置</w:t>
            </w:r>
          </w:p>
        </w:tc>
        <w:tc>
          <w:tcPr>
            <w:tcW w:w="1491" w:type="dxa"/>
            <w:gridSpan w:val="2"/>
          </w:tcPr>
          <w:p>
            <w:pPr>
              <w:pStyle w:val="TableParagraph"/>
              <w:spacing w:before="3"/>
              <w:jc w:val="left"/>
              <w:rPr>
                <w:b/>
                <w:sz w:val="21"/>
              </w:rPr>
            </w:pPr>
          </w:p>
          <w:p>
            <w:pPr>
              <w:pStyle w:val="TableParagraph"/>
              <w:ind w:left="12" w:right="-29"/>
              <w:jc w:val="left"/>
              <w:rPr>
                <w:rFonts w:ascii="Times New Roman" w:eastAsia="Times New Roman"/>
                <w:b/>
                <w:sz w:val="21"/>
              </w:rPr>
            </w:pPr>
            <w:r>
              <w:rPr>
                <w:rFonts w:ascii="Times New Roman" w:eastAsia="Times New Roman"/>
                <w:b/>
                <w:sz w:val="21"/>
              </w:rPr>
              <w:t>(</w:t>
            </w:r>
            <w:r>
              <w:rPr>
                <w:b/>
                <w:spacing w:val="-17"/>
                <w:sz w:val="21"/>
              </w:rPr>
              <w:t>年生产 </w:t>
            </w:r>
            <w:r>
              <w:rPr>
                <w:rFonts w:ascii="Times New Roman" w:eastAsia="Times New Roman"/>
                <w:b/>
                <w:sz w:val="21"/>
              </w:rPr>
              <w:t>1250</w:t>
            </w:r>
            <w:r>
              <w:rPr>
                <w:rFonts w:ascii="Times New Roman" w:eastAsia="Times New Roman"/>
                <w:b/>
                <w:spacing w:val="-13"/>
                <w:sz w:val="21"/>
              </w:rPr>
              <w:t> </w:t>
            </w:r>
            <w:r>
              <w:rPr>
                <w:b/>
                <w:sz w:val="21"/>
              </w:rPr>
              <w:t>批</w:t>
            </w:r>
            <w:r>
              <w:rPr>
                <w:rFonts w:ascii="Times New Roman" w:eastAsia="Times New Roman"/>
                <w:b/>
                <w:sz w:val="21"/>
              </w:rPr>
              <w:t>)</w:t>
            </w:r>
          </w:p>
        </w:tc>
        <w:tc>
          <w:tcPr>
            <w:tcW w:w="925" w:type="dxa"/>
            <w:vMerge/>
            <w:tcBorders>
              <w:top w:val="nil"/>
            </w:tcBorders>
          </w:tcPr>
          <w:p>
            <w:pPr>
              <w:rPr>
                <w:sz w:val="2"/>
                <w:szCs w:val="2"/>
              </w:rPr>
            </w:pPr>
          </w:p>
        </w:tc>
        <w:tc>
          <w:tcPr>
            <w:tcW w:w="913" w:type="dxa"/>
            <w:vMerge/>
            <w:tcBorders>
              <w:top w:val="nil"/>
            </w:tcBorders>
          </w:tcPr>
          <w:p>
            <w:pPr>
              <w:rPr>
                <w:sz w:val="2"/>
                <w:szCs w:val="2"/>
              </w:rPr>
            </w:pPr>
          </w:p>
        </w:tc>
      </w:tr>
      <w:tr>
        <w:trPr>
          <w:trHeight w:val="273" w:hRule="atLeast"/>
        </w:trPr>
        <w:tc>
          <w:tcPr>
            <w:tcW w:w="509" w:type="dxa"/>
            <w:vMerge/>
            <w:tcBorders>
              <w:top w:val="nil"/>
            </w:tcBorders>
          </w:tcPr>
          <w:p>
            <w:pPr>
              <w:rPr>
                <w:sz w:val="2"/>
                <w:szCs w:val="2"/>
              </w:rPr>
            </w:pPr>
          </w:p>
        </w:tc>
        <w:tc>
          <w:tcPr>
            <w:tcW w:w="1142" w:type="dxa"/>
            <w:vMerge/>
            <w:tcBorders>
              <w:top w:val="nil"/>
            </w:tcBorders>
          </w:tcPr>
          <w:p>
            <w:pPr>
              <w:rPr>
                <w:sz w:val="2"/>
                <w:szCs w:val="2"/>
              </w:rPr>
            </w:pPr>
          </w:p>
        </w:tc>
        <w:tc>
          <w:tcPr>
            <w:tcW w:w="1197" w:type="dxa"/>
            <w:vMerge/>
            <w:tcBorders>
              <w:top w:val="nil"/>
            </w:tcBorders>
          </w:tcPr>
          <w:p>
            <w:pPr>
              <w:rPr>
                <w:sz w:val="2"/>
                <w:szCs w:val="2"/>
              </w:rPr>
            </w:pPr>
          </w:p>
        </w:tc>
        <w:tc>
          <w:tcPr>
            <w:tcW w:w="1219" w:type="dxa"/>
            <w:vMerge/>
            <w:tcBorders>
              <w:top w:val="nil"/>
            </w:tcBorders>
          </w:tcPr>
          <w:p>
            <w:pPr>
              <w:rPr>
                <w:sz w:val="2"/>
                <w:szCs w:val="2"/>
              </w:rPr>
            </w:pPr>
          </w:p>
        </w:tc>
        <w:tc>
          <w:tcPr>
            <w:tcW w:w="732" w:type="dxa"/>
            <w:vMerge/>
            <w:tcBorders>
              <w:top w:val="nil"/>
            </w:tcBorders>
          </w:tcPr>
          <w:p>
            <w:pPr>
              <w:rPr>
                <w:sz w:val="2"/>
                <w:szCs w:val="2"/>
              </w:rPr>
            </w:pPr>
          </w:p>
        </w:tc>
        <w:tc>
          <w:tcPr>
            <w:tcW w:w="837" w:type="dxa"/>
            <w:vMerge/>
            <w:tcBorders>
              <w:top w:val="nil"/>
            </w:tcBorders>
          </w:tcPr>
          <w:p>
            <w:pPr>
              <w:rPr>
                <w:sz w:val="2"/>
                <w:szCs w:val="2"/>
              </w:rPr>
            </w:pPr>
          </w:p>
        </w:tc>
        <w:tc>
          <w:tcPr>
            <w:tcW w:w="695" w:type="dxa"/>
            <w:vMerge/>
            <w:tcBorders>
              <w:top w:val="nil"/>
            </w:tcBorders>
          </w:tcPr>
          <w:p>
            <w:pPr>
              <w:rPr>
                <w:sz w:val="2"/>
                <w:szCs w:val="2"/>
              </w:rPr>
            </w:pPr>
          </w:p>
        </w:tc>
        <w:tc>
          <w:tcPr>
            <w:tcW w:w="1084" w:type="dxa"/>
            <w:vMerge/>
            <w:tcBorders>
              <w:top w:val="nil"/>
            </w:tcBorders>
          </w:tcPr>
          <w:p>
            <w:pPr>
              <w:rPr>
                <w:sz w:val="2"/>
                <w:szCs w:val="2"/>
              </w:rPr>
            </w:pPr>
          </w:p>
        </w:tc>
        <w:tc>
          <w:tcPr>
            <w:tcW w:w="813" w:type="dxa"/>
          </w:tcPr>
          <w:p>
            <w:pPr>
              <w:pStyle w:val="TableParagraph"/>
              <w:spacing w:line="252" w:lineRule="exact" w:before="1"/>
              <w:ind w:left="71" w:right="50"/>
              <w:rPr>
                <w:rFonts w:ascii="Times New Roman" w:eastAsia="Times New Roman"/>
                <w:b/>
                <w:sz w:val="21"/>
              </w:rPr>
            </w:pPr>
            <w:r>
              <w:rPr>
                <w:b/>
                <w:sz w:val="21"/>
              </w:rPr>
              <w:t>效率</w:t>
            </w:r>
            <w:r>
              <w:rPr>
                <w:rFonts w:ascii="Times New Roman" w:eastAsia="Times New Roman"/>
                <w:b/>
                <w:sz w:val="21"/>
              </w:rPr>
              <w:t>%</w:t>
            </w:r>
          </w:p>
        </w:tc>
        <w:tc>
          <w:tcPr>
            <w:tcW w:w="813" w:type="dxa"/>
          </w:tcPr>
          <w:p>
            <w:pPr>
              <w:pStyle w:val="TableParagraph"/>
              <w:spacing w:line="252" w:lineRule="exact" w:before="1"/>
              <w:ind w:left="68" w:right="55"/>
              <w:rPr>
                <w:b/>
                <w:sz w:val="21"/>
              </w:rPr>
            </w:pPr>
            <w:r>
              <w:rPr>
                <w:b/>
                <w:sz w:val="21"/>
              </w:rPr>
              <w:t>削减量</w:t>
            </w:r>
          </w:p>
        </w:tc>
        <w:tc>
          <w:tcPr>
            <w:tcW w:w="827" w:type="dxa"/>
          </w:tcPr>
          <w:p>
            <w:pPr>
              <w:pStyle w:val="TableParagraph"/>
              <w:spacing w:line="252" w:lineRule="exact" w:before="1"/>
              <w:ind w:left="82" w:right="62"/>
              <w:rPr>
                <w:rFonts w:ascii="Times New Roman" w:eastAsia="Times New Roman"/>
                <w:b/>
                <w:sz w:val="21"/>
              </w:rPr>
            </w:pPr>
            <w:r>
              <w:rPr>
                <w:b/>
                <w:sz w:val="21"/>
              </w:rPr>
              <w:t>效率</w:t>
            </w:r>
            <w:r>
              <w:rPr>
                <w:rFonts w:ascii="Times New Roman" w:eastAsia="Times New Roman"/>
                <w:b/>
                <w:sz w:val="21"/>
              </w:rPr>
              <w:t>%</w:t>
            </w:r>
          </w:p>
        </w:tc>
        <w:tc>
          <w:tcPr>
            <w:tcW w:w="803" w:type="dxa"/>
          </w:tcPr>
          <w:p>
            <w:pPr>
              <w:pStyle w:val="TableParagraph"/>
              <w:spacing w:line="252" w:lineRule="exact" w:before="1"/>
              <w:ind w:left="71" w:right="49"/>
              <w:rPr>
                <w:b/>
                <w:sz w:val="21"/>
              </w:rPr>
            </w:pPr>
            <w:r>
              <w:rPr>
                <w:b/>
                <w:sz w:val="21"/>
              </w:rPr>
              <w:t>削减量</w:t>
            </w:r>
          </w:p>
        </w:tc>
        <w:tc>
          <w:tcPr>
            <w:tcW w:w="810" w:type="dxa"/>
          </w:tcPr>
          <w:p>
            <w:pPr>
              <w:pStyle w:val="TableParagraph"/>
              <w:spacing w:line="252" w:lineRule="exact" w:before="1"/>
              <w:ind w:left="149" w:right="120"/>
              <w:rPr>
                <w:b/>
                <w:sz w:val="21"/>
              </w:rPr>
            </w:pPr>
            <w:r>
              <w:rPr>
                <w:rFonts w:ascii="Times New Roman" w:eastAsia="Times New Roman"/>
                <w:b/>
                <w:sz w:val="21"/>
              </w:rPr>
              <w:t>kg/</w:t>
            </w:r>
            <w:r>
              <w:rPr>
                <w:b/>
                <w:sz w:val="21"/>
              </w:rPr>
              <w:t>批</w:t>
            </w:r>
          </w:p>
        </w:tc>
        <w:tc>
          <w:tcPr>
            <w:tcW w:w="681" w:type="dxa"/>
          </w:tcPr>
          <w:p>
            <w:pPr>
              <w:pStyle w:val="TableParagraph"/>
              <w:spacing w:line="238" w:lineRule="exact" w:before="15"/>
              <w:ind w:left="90" w:right="63"/>
              <w:rPr>
                <w:rFonts w:ascii="Times New Roman"/>
                <w:b/>
                <w:sz w:val="21"/>
              </w:rPr>
            </w:pPr>
            <w:r>
              <w:rPr>
                <w:rFonts w:ascii="Times New Roman"/>
                <w:b/>
                <w:sz w:val="21"/>
              </w:rPr>
              <w:t>t/a</w:t>
            </w:r>
          </w:p>
        </w:tc>
        <w:tc>
          <w:tcPr>
            <w:tcW w:w="925" w:type="dxa"/>
            <w:vMerge/>
            <w:tcBorders>
              <w:top w:val="nil"/>
            </w:tcBorders>
          </w:tcPr>
          <w:p>
            <w:pPr>
              <w:rPr>
                <w:sz w:val="2"/>
                <w:szCs w:val="2"/>
              </w:rPr>
            </w:pPr>
          </w:p>
        </w:tc>
        <w:tc>
          <w:tcPr>
            <w:tcW w:w="913" w:type="dxa"/>
            <w:vMerge/>
            <w:tcBorders>
              <w:top w:val="nil"/>
            </w:tcBorders>
          </w:tcPr>
          <w:p>
            <w:pPr>
              <w:rPr>
                <w:sz w:val="2"/>
                <w:szCs w:val="2"/>
              </w:rPr>
            </w:pPr>
          </w:p>
        </w:tc>
      </w:tr>
      <w:tr>
        <w:trPr>
          <w:trHeight w:val="270" w:hRule="atLeast"/>
        </w:trPr>
        <w:tc>
          <w:tcPr>
            <w:tcW w:w="509" w:type="dxa"/>
          </w:tcPr>
          <w:p>
            <w:pPr>
              <w:pStyle w:val="TableParagraph"/>
              <w:spacing w:line="236" w:lineRule="exact" w:before="15"/>
              <w:ind w:left="43"/>
              <w:jc w:val="left"/>
              <w:rPr>
                <w:rFonts w:ascii="Times New Roman"/>
                <w:sz w:val="21"/>
              </w:rPr>
            </w:pPr>
            <w:r>
              <w:rPr>
                <w:rFonts w:ascii="Times New Roman"/>
                <w:sz w:val="21"/>
              </w:rPr>
              <w:t>Ga-1</w:t>
            </w:r>
          </w:p>
        </w:tc>
        <w:tc>
          <w:tcPr>
            <w:tcW w:w="1142" w:type="dxa"/>
          </w:tcPr>
          <w:p>
            <w:pPr>
              <w:pStyle w:val="TableParagraph"/>
              <w:spacing w:line="250" w:lineRule="exact" w:before="1"/>
              <w:ind w:left="104" w:right="99"/>
              <w:rPr>
                <w:sz w:val="21"/>
              </w:rPr>
            </w:pPr>
            <w:r>
              <w:rPr>
                <w:sz w:val="21"/>
              </w:rPr>
              <w:t>配酸</w:t>
            </w:r>
          </w:p>
        </w:tc>
        <w:tc>
          <w:tcPr>
            <w:tcW w:w="1197" w:type="dxa"/>
          </w:tcPr>
          <w:p>
            <w:pPr>
              <w:pStyle w:val="TableParagraph"/>
              <w:spacing w:line="250" w:lineRule="exact" w:before="1"/>
              <w:ind w:left="12"/>
              <w:rPr>
                <w:rFonts w:ascii="Times New Roman" w:eastAsia="Times New Roman"/>
                <w:sz w:val="21"/>
              </w:rPr>
            </w:pPr>
            <w:r>
              <w:rPr>
                <w:sz w:val="21"/>
              </w:rPr>
              <w:t>间歇</w:t>
            </w:r>
            <w:r>
              <w:rPr>
                <w:rFonts w:ascii="Times New Roman" w:eastAsia="Times New Roman"/>
                <w:sz w:val="21"/>
              </w:rPr>
              <w:t>(5h/</w:t>
            </w:r>
            <w:r>
              <w:rPr>
                <w:sz w:val="21"/>
              </w:rPr>
              <w:t>批</w:t>
            </w:r>
            <w:r>
              <w:rPr>
                <w:rFonts w:ascii="Times New Roman" w:eastAsia="Times New Roman"/>
                <w:sz w:val="21"/>
              </w:rPr>
              <w:t>)</w:t>
            </w:r>
          </w:p>
        </w:tc>
        <w:tc>
          <w:tcPr>
            <w:tcW w:w="1219" w:type="dxa"/>
          </w:tcPr>
          <w:p>
            <w:pPr>
              <w:pStyle w:val="TableParagraph"/>
              <w:spacing w:line="250" w:lineRule="exact" w:before="1"/>
              <w:ind w:left="380" w:right="368"/>
              <w:rPr>
                <w:sz w:val="21"/>
              </w:rPr>
            </w:pPr>
            <w:r>
              <w:rPr>
                <w:sz w:val="21"/>
              </w:rPr>
              <w:t>甲酸</w:t>
            </w:r>
          </w:p>
        </w:tc>
        <w:tc>
          <w:tcPr>
            <w:tcW w:w="732" w:type="dxa"/>
          </w:tcPr>
          <w:p>
            <w:pPr>
              <w:pStyle w:val="TableParagraph"/>
              <w:spacing w:line="250" w:lineRule="exact" w:before="1"/>
              <w:ind w:left="49"/>
              <w:jc w:val="left"/>
              <w:rPr>
                <w:sz w:val="21"/>
              </w:rPr>
            </w:pPr>
            <w:r>
              <w:rPr>
                <w:sz w:val="21"/>
              </w:rPr>
              <w:t>有组织</w:t>
            </w:r>
          </w:p>
        </w:tc>
        <w:tc>
          <w:tcPr>
            <w:tcW w:w="837" w:type="dxa"/>
          </w:tcPr>
          <w:p>
            <w:pPr>
              <w:pStyle w:val="TableParagraph"/>
              <w:spacing w:line="236" w:lineRule="exact" w:before="15"/>
              <w:ind w:left="217" w:right="201"/>
              <w:rPr>
                <w:rFonts w:ascii="Times New Roman"/>
                <w:sz w:val="21"/>
              </w:rPr>
            </w:pPr>
            <w:r>
              <w:rPr>
                <w:rFonts w:ascii="Times New Roman"/>
                <w:sz w:val="21"/>
              </w:rPr>
              <w:t>0.5</w:t>
            </w:r>
          </w:p>
        </w:tc>
        <w:tc>
          <w:tcPr>
            <w:tcW w:w="695" w:type="dxa"/>
          </w:tcPr>
          <w:p>
            <w:pPr>
              <w:pStyle w:val="TableParagraph"/>
              <w:spacing w:line="236" w:lineRule="exact" w:before="15"/>
              <w:ind w:left="93" w:right="78"/>
              <w:rPr>
                <w:rFonts w:ascii="Times New Roman"/>
                <w:sz w:val="21"/>
              </w:rPr>
            </w:pPr>
            <w:r>
              <w:rPr>
                <w:rFonts w:ascii="Times New Roman"/>
                <w:sz w:val="21"/>
              </w:rPr>
              <w:t>0.625</w:t>
            </w:r>
          </w:p>
        </w:tc>
        <w:tc>
          <w:tcPr>
            <w:tcW w:w="1084" w:type="dxa"/>
          </w:tcPr>
          <w:p>
            <w:pPr>
              <w:pStyle w:val="TableParagraph"/>
              <w:spacing w:line="236" w:lineRule="exact" w:before="15"/>
              <w:ind w:left="413"/>
              <w:jc w:val="left"/>
              <w:rPr>
                <w:rFonts w:ascii="Times New Roman"/>
                <w:sz w:val="21"/>
              </w:rPr>
            </w:pPr>
            <w:r>
              <w:rPr>
                <w:rFonts w:ascii="Times New Roman"/>
                <w:sz w:val="21"/>
              </w:rPr>
              <w:t>0.1</w:t>
            </w:r>
          </w:p>
        </w:tc>
        <w:tc>
          <w:tcPr>
            <w:tcW w:w="813" w:type="dxa"/>
          </w:tcPr>
          <w:p>
            <w:pPr>
              <w:pStyle w:val="TableParagraph"/>
              <w:spacing w:line="236" w:lineRule="exact" w:before="15"/>
              <w:ind w:left="71" w:right="55"/>
              <w:rPr>
                <w:rFonts w:ascii="Times New Roman"/>
                <w:sz w:val="21"/>
              </w:rPr>
            </w:pPr>
            <w:r>
              <w:rPr>
                <w:rFonts w:ascii="Times New Roman"/>
                <w:sz w:val="21"/>
              </w:rPr>
              <w:t>65</w:t>
            </w:r>
          </w:p>
        </w:tc>
        <w:tc>
          <w:tcPr>
            <w:tcW w:w="813" w:type="dxa"/>
          </w:tcPr>
          <w:p>
            <w:pPr>
              <w:pStyle w:val="TableParagraph"/>
              <w:spacing w:line="236" w:lineRule="exact" w:before="15"/>
              <w:ind w:left="71" w:right="53"/>
              <w:rPr>
                <w:rFonts w:ascii="Times New Roman"/>
                <w:sz w:val="21"/>
              </w:rPr>
            </w:pPr>
            <w:r>
              <w:rPr>
                <w:rFonts w:ascii="Times New Roman"/>
                <w:sz w:val="21"/>
              </w:rPr>
              <w:t>0.406</w:t>
            </w:r>
          </w:p>
        </w:tc>
        <w:tc>
          <w:tcPr>
            <w:tcW w:w="827" w:type="dxa"/>
          </w:tcPr>
          <w:p>
            <w:pPr>
              <w:pStyle w:val="TableParagraph"/>
              <w:spacing w:line="236" w:lineRule="exact" w:before="15"/>
              <w:ind w:left="82" w:right="62"/>
              <w:rPr>
                <w:rFonts w:ascii="Times New Roman"/>
                <w:sz w:val="21"/>
              </w:rPr>
            </w:pPr>
            <w:r>
              <w:rPr>
                <w:rFonts w:ascii="Times New Roman"/>
                <w:sz w:val="21"/>
              </w:rPr>
              <w:t>95</w:t>
            </w:r>
          </w:p>
        </w:tc>
        <w:tc>
          <w:tcPr>
            <w:tcW w:w="803" w:type="dxa"/>
          </w:tcPr>
          <w:p>
            <w:pPr>
              <w:pStyle w:val="TableParagraph"/>
              <w:spacing w:line="236" w:lineRule="exact" w:before="15"/>
              <w:ind w:left="71" w:right="44"/>
              <w:rPr>
                <w:rFonts w:ascii="Times New Roman"/>
                <w:sz w:val="21"/>
              </w:rPr>
            </w:pPr>
            <w:r>
              <w:rPr>
                <w:rFonts w:ascii="Times New Roman"/>
                <w:sz w:val="21"/>
              </w:rPr>
              <w:t>0.208</w:t>
            </w:r>
          </w:p>
        </w:tc>
        <w:tc>
          <w:tcPr>
            <w:tcW w:w="810" w:type="dxa"/>
          </w:tcPr>
          <w:p>
            <w:pPr>
              <w:pStyle w:val="TableParagraph"/>
              <w:spacing w:line="236" w:lineRule="exact" w:before="15"/>
              <w:ind w:left="149" w:right="118"/>
              <w:rPr>
                <w:rFonts w:ascii="Times New Roman"/>
                <w:sz w:val="21"/>
              </w:rPr>
            </w:pPr>
            <w:r>
              <w:rPr>
                <w:rFonts w:ascii="Times New Roman"/>
                <w:sz w:val="21"/>
              </w:rPr>
              <w:t>0.009</w:t>
            </w:r>
          </w:p>
        </w:tc>
        <w:tc>
          <w:tcPr>
            <w:tcW w:w="681" w:type="dxa"/>
          </w:tcPr>
          <w:p>
            <w:pPr>
              <w:pStyle w:val="TableParagraph"/>
              <w:spacing w:line="236" w:lineRule="exact" w:before="15"/>
              <w:ind w:left="93" w:right="62"/>
              <w:rPr>
                <w:rFonts w:ascii="Times New Roman"/>
                <w:sz w:val="21"/>
              </w:rPr>
            </w:pPr>
            <w:r>
              <w:rPr>
                <w:rFonts w:ascii="Times New Roman"/>
                <w:sz w:val="21"/>
              </w:rPr>
              <w:t>0.011</w:t>
            </w:r>
          </w:p>
        </w:tc>
        <w:tc>
          <w:tcPr>
            <w:tcW w:w="925" w:type="dxa"/>
          </w:tcPr>
          <w:p>
            <w:pPr>
              <w:pStyle w:val="TableParagraph"/>
              <w:spacing w:line="236" w:lineRule="exact" w:before="15"/>
              <w:ind w:left="235"/>
              <w:jc w:val="left"/>
              <w:rPr>
                <w:rFonts w:ascii="Times New Roman"/>
                <w:sz w:val="21"/>
              </w:rPr>
            </w:pPr>
            <w:r>
              <w:rPr>
                <w:rFonts w:ascii="Times New Roman"/>
                <w:sz w:val="21"/>
              </w:rPr>
              <w:t>0.002</w:t>
            </w:r>
          </w:p>
        </w:tc>
        <w:tc>
          <w:tcPr>
            <w:tcW w:w="913" w:type="dxa"/>
          </w:tcPr>
          <w:p>
            <w:pPr>
              <w:pStyle w:val="TableParagraph"/>
              <w:spacing w:line="236" w:lineRule="exact" w:before="15"/>
              <w:ind w:left="32"/>
              <w:rPr>
                <w:rFonts w:ascii="Times New Roman"/>
                <w:sz w:val="21"/>
              </w:rPr>
            </w:pPr>
            <w:r>
              <w:rPr>
                <w:rFonts w:ascii="Times New Roman"/>
                <w:w w:val="100"/>
                <w:sz w:val="21"/>
              </w:rPr>
              <w:t>1</w:t>
            </w:r>
          </w:p>
        </w:tc>
      </w:tr>
      <w:tr>
        <w:trPr>
          <w:trHeight w:val="273" w:hRule="atLeast"/>
        </w:trPr>
        <w:tc>
          <w:tcPr>
            <w:tcW w:w="509" w:type="dxa"/>
            <w:vMerge w:val="restart"/>
          </w:tcPr>
          <w:p>
            <w:pPr>
              <w:pStyle w:val="TableParagraph"/>
              <w:spacing w:before="156"/>
              <w:ind w:left="43"/>
              <w:jc w:val="left"/>
              <w:rPr>
                <w:rFonts w:ascii="Times New Roman"/>
                <w:sz w:val="21"/>
              </w:rPr>
            </w:pPr>
            <w:r>
              <w:rPr>
                <w:rFonts w:ascii="Times New Roman"/>
                <w:sz w:val="21"/>
              </w:rPr>
              <w:t>Ga-2</w:t>
            </w:r>
          </w:p>
        </w:tc>
        <w:tc>
          <w:tcPr>
            <w:tcW w:w="1142" w:type="dxa"/>
            <w:vMerge w:val="restart"/>
          </w:tcPr>
          <w:p>
            <w:pPr>
              <w:pStyle w:val="TableParagraph"/>
              <w:spacing w:before="142"/>
              <w:ind w:left="357"/>
              <w:jc w:val="left"/>
              <w:rPr>
                <w:sz w:val="21"/>
              </w:rPr>
            </w:pPr>
            <w:r>
              <w:rPr>
                <w:sz w:val="21"/>
              </w:rPr>
              <w:t>投料</w:t>
            </w:r>
          </w:p>
        </w:tc>
        <w:tc>
          <w:tcPr>
            <w:tcW w:w="1197" w:type="dxa"/>
            <w:vMerge w:val="restart"/>
          </w:tcPr>
          <w:p>
            <w:pPr>
              <w:pStyle w:val="TableParagraph"/>
              <w:spacing w:before="142"/>
              <w:ind w:left="79"/>
              <w:jc w:val="left"/>
              <w:rPr>
                <w:rFonts w:ascii="Times New Roman" w:eastAsia="Times New Roman"/>
                <w:sz w:val="21"/>
              </w:rPr>
            </w:pPr>
            <w:r>
              <w:rPr>
                <w:sz w:val="21"/>
              </w:rPr>
              <w:t>间歇</w:t>
            </w:r>
            <w:r>
              <w:rPr>
                <w:rFonts w:ascii="Times New Roman" w:eastAsia="Times New Roman"/>
                <w:sz w:val="21"/>
              </w:rPr>
              <w:t>(1h/</w:t>
            </w:r>
            <w:r>
              <w:rPr>
                <w:sz w:val="21"/>
              </w:rPr>
              <w:t>批</w:t>
            </w:r>
            <w:r>
              <w:rPr>
                <w:rFonts w:ascii="Times New Roman" w:eastAsia="Times New Roman"/>
                <w:sz w:val="21"/>
              </w:rPr>
              <w:t>)</w:t>
            </w:r>
          </w:p>
        </w:tc>
        <w:tc>
          <w:tcPr>
            <w:tcW w:w="1219" w:type="dxa"/>
            <w:vMerge w:val="restart"/>
          </w:tcPr>
          <w:p>
            <w:pPr>
              <w:pStyle w:val="TableParagraph"/>
              <w:spacing w:before="142"/>
              <w:ind w:left="399"/>
              <w:jc w:val="left"/>
              <w:rPr>
                <w:sz w:val="21"/>
              </w:rPr>
            </w:pPr>
            <w:r>
              <w:rPr>
                <w:sz w:val="21"/>
              </w:rPr>
              <w:t>粉尘</w:t>
            </w:r>
          </w:p>
        </w:tc>
        <w:tc>
          <w:tcPr>
            <w:tcW w:w="732" w:type="dxa"/>
          </w:tcPr>
          <w:p>
            <w:pPr>
              <w:pStyle w:val="TableParagraph"/>
              <w:spacing w:line="250" w:lineRule="exact" w:before="3"/>
              <w:ind w:left="49"/>
              <w:jc w:val="left"/>
              <w:rPr>
                <w:sz w:val="21"/>
              </w:rPr>
            </w:pPr>
            <w:r>
              <w:rPr>
                <w:sz w:val="21"/>
              </w:rPr>
              <w:t>有组织</w:t>
            </w:r>
          </w:p>
        </w:tc>
        <w:tc>
          <w:tcPr>
            <w:tcW w:w="837" w:type="dxa"/>
          </w:tcPr>
          <w:p>
            <w:pPr>
              <w:pStyle w:val="TableParagraph"/>
              <w:spacing w:line="236" w:lineRule="exact" w:before="17"/>
              <w:ind w:left="217" w:right="201"/>
              <w:rPr>
                <w:rFonts w:ascii="Times New Roman"/>
                <w:sz w:val="21"/>
              </w:rPr>
            </w:pPr>
            <w:r>
              <w:rPr>
                <w:rFonts w:ascii="Times New Roman"/>
                <w:sz w:val="21"/>
              </w:rPr>
              <w:t>0.18</w:t>
            </w:r>
          </w:p>
        </w:tc>
        <w:tc>
          <w:tcPr>
            <w:tcW w:w="695" w:type="dxa"/>
          </w:tcPr>
          <w:p>
            <w:pPr>
              <w:pStyle w:val="TableParagraph"/>
              <w:spacing w:line="236" w:lineRule="exact" w:before="17"/>
              <w:ind w:left="93" w:right="78"/>
              <w:rPr>
                <w:rFonts w:ascii="Times New Roman"/>
                <w:sz w:val="21"/>
              </w:rPr>
            </w:pPr>
            <w:r>
              <w:rPr>
                <w:rFonts w:ascii="Times New Roman"/>
                <w:sz w:val="21"/>
              </w:rPr>
              <w:t>0.225</w:t>
            </w:r>
          </w:p>
        </w:tc>
        <w:tc>
          <w:tcPr>
            <w:tcW w:w="1084" w:type="dxa"/>
          </w:tcPr>
          <w:p>
            <w:pPr>
              <w:pStyle w:val="TableParagraph"/>
              <w:spacing w:line="236" w:lineRule="exact" w:before="17"/>
              <w:ind w:left="360"/>
              <w:jc w:val="left"/>
              <w:rPr>
                <w:rFonts w:ascii="Times New Roman"/>
                <w:sz w:val="21"/>
              </w:rPr>
            </w:pPr>
            <w:r>
              <w:rPr>
                <w:rFonts w:ascii="Times New Roman"/>
                <w:sz w:val="21"/>
              </w:rPr>
              <w:t>0.18</w:t>
            </w:r>
          </w:p>
        </w:tc>
        <w:tc>
          <w:tcPr>
            <w:tcW w:w="813" w:type="dxa"/>
          </w:tcPr>
          <w:p>
            <w:pPr>
              <w:pStyle w:val="TableParagraph"/>
              <w:spacing w:line="236" w:lineRule="exact" w:before="17"/>
              <w:ind w:left="16"/>
              <w:rPr>
                <w:rFonts w:ascii="Times New Roman"/>
                <w:sz w:val="21"/>
              </w:rPr>
            </w:pPr>
            <w:r>
              <w:rPr>
                <w:rFonts w:ascii="Times New Roman"/>
                <w:w w:val="100"/>
                <w:sz w:val="21"/>
              </w:rPr>
              <w:t>0</w:t>
            </w:r>
          </w:p>
        </w:tc>
        <w:tc>
          <w:tcPr>
            <w:tcW w:w="813" w:type="dxa"/>
          </w:tcPr>
          <w:p>
            <w:pPr>
              <w:pStyle w:val="TableParagraph"/>
              <w:spacing w:line="236" w:lineRule="exact" w:before="17"/>
              <w:ind w:left="13"/>
              <w:rPr>
                <w:rFonts w:ascii="Times New Roman"/>
                <w:sz w:val="21"/>
              </w:rPr>
            </w:pPr>
            <w:r>
              <w:rPr>
                <w:rFonts w:ascii="Times New Roman"/>
                <w:w w:val="100"/>
                <w:sz w:val="21"/>
              </w:rPr>
              <w:t>0</w:t>
            </w:r>
          </w:p>
        </w:tc>
        <w:tc>
          <w:tcPr>
            <w:tcW w:w="827" w:type="dxa"/>
          </w:tcPr>
          <w:p>
            <w:pPr>
              <w:pStyle w:val="TableParagraph"/>
              <w:spacing w:line="236" w:lineRule="exact" w:before="17"/>
              <w:ind w:left="82" w:right="62"/>
              <w:rPr>
                <w:rFonts w:ascii="Times New Roman"/>
                <w:sz w:val="21"/>
              </w:rPr>
            </w:pPr>
            <w:r>
              <w:rPr>
                <w:rFonts w:ascii="Times New Roman"/>
                <w:sz w:val="21"/>
              </w:rPr>
              <w:t>95</w:t>
            </w:r>
          </w:p>
        </w:tc>
        <w:tc>
          <w:tcPr>
            <w:tcW w:w="803" w:type="dxa"/>
          </w:tcPr>
          <w:p>
            <w:pPr>
              <w:pStyle w:val="TableParagraph"/>
              <w:spacing w:line="236" w:lineRule="exact" w:before="17"/>
              <w:ind w:left="71" w:right="44"/>
              <w:rPr>
                <w:rFonts w:ascii="Times New Roman"/>
                <w:sz w:val="21"/>
              </w:rPr>
            </w:pPr>
            <w:r>
              <w:rPr>
                <w:rFonts w:ascii="Times New Roman"/>
                <w:sz w:val="21"/>
              </w:rPr>
              <w:t>0.214</w:t>
            </w:r>
          </w:p>
        </w:tc>
        <w:tc>
          <w:tcPr>
            <w:tcW w:w="810" w:type="dxa"/>
          </w:tcPr>
          <w:p>
            <w:pPr>
              <w:pStyle w:val="TableParagraph"/>
              <w:spacing w:line="236" w:lineRule="exact" w:before="17"/>
              <w:ind w:left="149" w:right="118"/>
              <w:rPr>
                <w:rFonts w:ascii="Times New Roman"/>
                <w:sz w:val="21"/>
              </w:rPr>
            </w:pPr>
            <w:r>
              <w:rPr>
                <w:rFonts w:ascii="Times New Roman"/>
                <w:sz w:val="21"/>
              </w:rPr>
              <w:t>0.009</w:t>
            </w:r>
          </w:p>
        </w:tc>
        <w:tc>
          <w:tcPr>
            <w:tcW w:w="681" w:type="dxa"/>
          </w:tcPr>
          <w:p>
            <w:pPr>
              <w:pStyle w:val="TableParagraph"/>
              <w:spacing w:line="236" w:lineRule="exact" w:before="17"/>
              <w:ind w:left="93" w:right="62"/>
              <w:rPr>
                <w:rFonts w:ascii="Times New Roman"/>
                <w:sz w:val="21"/>
              </w:rPr>
            </w:pPr>
            <w:r>
              <w:rPr>
                <w:rFonts w:ascii="Times New Roman"/>
                <w:sz w:val="21"/>
              </w:rPr>
              <w:t>0.011</w:t>
            </w:r>
          </w:p>
        </w:tc>
        <w:tc>
          <w:tcPr>
            <w:tcW w:w="925" w:type="dxa"/>
          </w:tcPr>
          <w:p>
            <w:pPr>
              <w:pStyle w:val="TableParagraph"/>
              <w:spacing w:line="236" w:lineRule="exact" w:before="17"/>
              <w:ind w:left="235"/>
              <w:jc w:val="left"/>
              <w:rPr>
                <w:rFonts w:ascii="Times New Roman"/>
                <w:sz w:val="21"/>
              </w:rPr>
            </w:pPr>
            <w:r>
              <w:rPr>
                <w:rFonts w:ascii="Times New Roman"/>
                <w:sz w:val="21"/>
              </w:rPr>
              <w:t>0.009</w:t>
            </w:r>
          </w:p>
        </w:tc>
        <w:tc>
          <w:tcPr>
            <w:tcW w:w="913" w:type="dxa"/>
            <w:vMerge w:val="restart"/>
          </w:tcPr>
          <w:p>
            <w:pPr>
              <w:pStyle w:val="TableParagraph"/>
              <w:spacing w:before="156"/>
              <w:ind w:left="32"/>
              <w:rPr>
                <w:rFonts w:ascii="Times New Roman"/>
                <w:sz w:val="21"/>
              </w:rPr>
            </w:pPr>
            <w:r>
              <w:rPr>
                <w:rFonts w:ascii="Times New Roman"/>
                <w:w w:val="100"/>
                <w:sz w:val="21"/>
              </w:rPr>
              <w:t>1</w:t>
            </w:r>
          </w:p>
        </w:tc>
      </w:tr>
      <w:tr>
        <w:trPr>
          <w:trHeight w:val="273" w:hRule="atLeast"/>
        </w:trPr>
        <w:tc>
          <w:tcPr>
            <w:tcW w:w="509" w:type="dxa"/>
            <w:vMerge/>
            <w:tcBorders>
              <w:top w:val="nil"/>
            </w:tcBorders>
          </w:tcPr>
          <w:p>
            <w:pPr>
              <w:rPr>
                <w:sz w:val="2"/>
                <w:szCs w:val="2"/>
              </w:rPr>
            </w:pPr>
          </w:p>
        </w:tc>
        <w:tc>
          <w:tcPr>
            <w:tcW w:w="1142" w:type="dxa"/>
            <w:vMerge/>
            <w:tcBorders>
              <w:top w:val="nil"/>
            </w:tcBorders>
          </w:tcPr>
          <w:p>
            <w:pPr>
              <w:rPr>
                <w:sz w:val="2"/>
                <w:szCs w:val="2"/>
              </w:rPr>
            </w:pPr>
          </w:p>
        </w:tc>
        <w:tc>
          <w:tcPr>
            <w:tcW w:w="1197" w:type="dxa"/>
            <w:vMerge/>
            <w:tcBorders>
              <w:top w:val="nil"/>
            </w:tcBorders>
          </w:tcPr>
          <w:p>
            <w:pPr>
              <w:rPr>
                <w:sz w:val="2"/>
                <w:szCs w:val="2"/>
              </w:rPr>
            </w:pPr>
          </w:p>
        </w:tc>
        <w:tc>
          <w:tcPr>
            <w:tcW w:w="1219" w:type="dxa"/>
            <w:vMerge/>
            <w:tcBorders>
              <w:top w:val="nil"/>
            </w:tcBorders>
          </w:tcPr>
          <w:p>
            <w:pPr>
              <w:rPr>
                <w:sz w:val="2"/>
                <w:szCs w:val="2"/>
              </w:rPr>
            </w:pPr>
          </w:p>
        </w:tc>
        <w:tc>
          <w:tcPr>
            <w:tcW w:w="732" w:type="dxa"/>
          </w:tcPr>
          <w:p>
            <w:pPr>
              <w:pStyle w:val="TableParagraph"/>
              <w:spacing w:line="252" w:lineRule="exact" w:before="1"/>
              <w:ind w:left="49"/>
              <w:jc w:val="left"/>
              <w:rPr>
                <w:sz w:val="21"/>
              </w:rPr>
            </w:pPr>
            <w:r>
              <w:rPr>
                <w:sz w:val="21"/>
              </w:rPr>
              <w:t>无组织</w:t>
            </w:r>
          </w:p>
        </w:tc>
        <w:tc>
          <w:tcPr>
            <w:tcW w:w="837" w:type="dxa"/>
          </w:tcPr>
          <w:p>
            <w:pPr>
              <w:pStyle w:val="TableParagraph"/>
              <w:spacing w:line="238" w:lineRule="exact" w:before="15"/>
              <w:ind w:left="217" w:right="201"/>
              <w:rPr>
                <w:rFonts w:ascii="Times New Roman"/>
                <w:sz w:val="21"/>
              </w:rPr>
            </w:pPr>
            <w:r>
              <w:rPr>
                <w:rFonts w:ascii="Times New Roman"/>
                <w:sz w:val="21"/>
              </w:rPr>
              <w:t>0.02</w:t>
            </w:r>
          </w:p>
        </w:tc>
        <w:tc>
          <w:tcPr>
            <w:tcW w:w="695" w:type="dxa"/>
          </w:tcPr>
          <w:p>
            <w:pPr>
              <w:pStyle w:val="TableParagraph"/>
              <w:spacing w:line="238" w:lineRule="exact" w:before="15"/>
              <w:ind w:left="93" w:right="78"/>
              <w:rPr>
                <w:rFonts w:ascii="Times New Roman"/>
                <w:sz w:val="21"/>
              </w:rPr>
            </w:pPr>
            <w:r>
              <w:rPr>
                <w:rFonts w:ascii="Times New Roman"/>
                <w:sz w:val="21"/>
              </w:rPr>
              <w:t>0.025</w:t>
            </w:r>
          </w:p>
        </w:tc>
        <w:tc>
          <w:tcPr>
            <w:tcW w:w="1084" w:type="dxa"/>
          </w:tcPr>
          <w:p>
            <w:pPr>
              <w:pStyle w:val="TableParagraph"/>
              <w:spacing w:line="238" w:lineRule="exact" w:before="15"/>
              <w:ind w:left="360"/>
              <w:jc w:val="left"/>
              <w:rPr>
                <w:rFonts w:ascii="Times New Roman"/>
                <w:sz w:val="21"/>
              </w:rPr>
            </w:pPr>
            <w:r>
              <w:rPr>
                <w:rFonts w:ascii="Times New Roman"/>
                <w:sz w:val="21"/>
              </w:rPr>
              <w:t>0.02</w:t>
            </w:r>
          </w:p>
        </w:tc>
        <w:tc>
          <w:tcPr>
            <w:tcW w:w="813" w:type="dxa"/>
          </w:tcPr>
          <w:p>
            <w:pPr>
              <w:pStyle w:val="TableParagraph"/>
              <w:spacing w:line="238" w:lineRule="exact" w:before="15"/>
              <w:ind w:left="16"/>
              <w:rPr>
                <w:rFonts w:ascii="Times New Roman"/>
                <w:sz w:val="21"/>
              </w:rPr>
            </w:pPr>
            <w:r>
              <w:rPr>
                <w:rFonts w:ascii="Times New Roman"/>
                <w:w w:val="100"/>
                <w:sz w:val="21"/>
              </w:rPr>
              <w:t>0</w:t>
            </w:r>
          </w:p>
        </w:tc>
        <w:tc>
          <w:tcPr>
            <w:tcW w:w="813" w:type="dxa"/>
          </w:tcPr>
          <w:p>
            <w:pPr>
              <w:pStyle w:val="TableParagraph"/>
              <w:spacing w:line="238" w:lineRule="exact" w:before="15"/>
              <w:ind w:left="13"/>
              <w:rPr>
                <w:rFonts w:ascii="Times New Roman"/>
                <w:sz w:val="21"/>
              </w:rPr>
            </w:pPr>
            <w:r>
              <w:rPr>
                <w:rFonts w:ascii="Times New Roman"/>
                <w:w w:val="100"/>
                <w:sz w:val="21"/>
              </w:rPr>
              <w:t>0</w:t>
            </w:r>
          </w:p>
        </w:tc>
        <w:tc>
          <w:tcPr>
            <w:tcW w:w="827" w:type="dxa"/>
          </w:tcPr>
          <w:p>
            <w:pPr>
              <w:pStyle w:val="TableParagraph"/>
              <w:spacing w:line="238" w:lineRule="exact" w:before="15"/>
              <w:ind w:left="20"/>
              <w:rPr>
                <w:rFonts w:ascii="Times New Roman"/>
                <w:sz w:val="21"/>
              </w:rPr>
            </w:pPr>
            <w:r>
              <w:rPr>
                <w:rFonts w:ascii="Times New Roman"/>
                <w:w w:val="100"/>
                <w:sz w:val="21"/>
              </w:rPr>
              <w:t>0</w:t>
            </w:r>
          </w:p>
        </w:tc>
        <w:tc>
          <w:tcPr>
            <w:tcW w:w="803" w:type="dxa"/>
          </w:tcPr>
          <w:p>
            <w:pPr>
              <w:pStyle w:val="TableParagraph"/>
              <w:spacing w:line="238" w:lineRule="exact" w:before="15"/>
              <w:ind w:left="22"/>
              <w:rPr>
                <w:rFonts w:ascii="Times New Roman"/>
                <w:sz w:val="21"/>
              </w:rPr>
            </w:pPr>
            <w:r>
              <w:rPr>
                <w:rFonts w:ascii="Times New Roman"/>
                <w:w w:val="100"/>
                <w:sz w:val="21"/>
              </w:rPr>
              <w:t>0</w:t>
            </w:r>
          </w:p>
        </w:tc>
        <w:tc>
          <w:tcPr>
            <w:tcW w:w="810" w:type="dxa"/>
          </w:tcPr>
          <w:p>
            <w:pPr>
              <w:pStyle w:val="TableParagraph"/>
              <w:spacing w:line="238" w:lineRule="exact" w:before="15"/>
              <w:ind w:left="149" w:right="118"/>
              <w:rPr>
                <w:rFonts w:ascii="Times New Roman"/>
                <w:sz w:val="21"/>
              </w:rPr>
            </w:pPr>
            <w:r>
              <w:rPr>
                <w:rFonts w:ascii="Times New Roman"/>
                <w:sz w:val="21"/>
              </w:rPr>
              <w:t>0.02</w:t>
            </w:r>
          </w:p>
        </w:tc>
        <w:tc>
          <w:tcPr>
            <w:tcW w:w="681" w:type="dxa"/>
          </w:tcPr>
          <w:p>
            <w:pPr>
              <w:pStyle w:val="TableParagraph"/>
              <w:spacing w:line="238" w:lineRule="exact" w:before="15"/>
              <w:ind w:left="92" w:right="63"/>
              <w:rPr>
                <w:rFonts w:ascii="Times New Roman"/>
                <w:sz w:val="21"/>
              </w:rPr>
            </w:pPr>
            <w:r>
              <w:rPr>
                <w:rFonts w:ascii="Times New Roman"/>
                <w:sz w:val="21"/>
              </w:rPr>
              <w:t>0.025</w:t>
            </w:r>
          </w:p>
        </w:tc>
        <w:tc>
          <w:tcPr>
            <w:tcW w:w="925" w:type="dxa"/>
          </w:tcPr>
          <w:p>
            <w:pPr>
              <w:pStyle w:val="TableParagraph"/>
              <w:spacing w:line="238" w:lineRule="exact" w:before="15"/>
              <w:ind w:left="288"/>
              <w:jc w:val="left"/>
              <w:rPr>
                <w:rFonts w:ascii="Times New Roman"/>
                <w:sz w:val="21"/>
              </w:rPr>
            </w:pPr>
            <w:r>
              <w:rPr>
                <w:rFonts w:ascii="Times New Roman"/>
                <w:sz w:val="21"/>
              </w:rPr>
              <w:t>0.02</w:t>
            </w:r>
          </w:p>
        </w:tc>
        <w:tc>
          <w:tcPr>
            <w:tcW w:w="913" w:type="dxa"/>
            <w:vMerge/>
            <w:tcBorders>
              <w:top w:val="nil"/>
            </w:tcBorders>
          </w:tcPr>
          <w:p>
            <w:pPr>
              <w:rPr>
                <w:sz w:val="2"/>
                <w:szCs w:val="2"/>
              </w:rPr>
            </w:pPr>
          </w:p>
        </w:tc>
      </w:tr>
      <w:tr>
        <w:trPr>
          <w:trHeight w:val="270" w:hRule="atLeast"/>
        </w:trPr>
        <w:tc>
          <w:tcPr>
            <w:tcW w:w="509" w:type="dxa"/>
          </w:tcPr>
          <w:p>
            <w:pPr>
              <w:pStyle w:val="TableParagraph"/>
              <w:spacing w:line="236" w:lineRule="exact" w:before="15"/>
              <w:ind w:left="43"/>
              <w:jc w:val="left"/>
              <w:rPr>
                <w:rFonts w:ascii="Times New Roman"/>
                <w:sz w:val="21"/>
              </w:rPr>
            </w:pPr>
            <w:r>
              <w:rPr>
                <w:rFonts w:ascii="Times New Roman"/>
                <w:sz w:val="21"/>
              </w:rPr>
              <w:t>Ga-3</w:t>
            </w:r>
          </w:p>
        </w:tc>
        <w:tc>
          <w:tcPr>
            <w:tcW w:w="1142" w:type="dxa"/>
          </w:tcPr>
          <w:p>
            <w:pPr>
              <w:pStyle w:val="TableParagraph"/>
              <w:spacing w:line="250" w:lineRule="exact" w:before="1"/>
              <w:ind w:left="107" w:right="99"/>
              <w:rPr>
                <w:sz w:val="21"/>
              </w:rPr>
            </w:pPr>
            <w:r>
              <w:rPr>
                <w:sz w:val="21"/>
              </w:rPr>
              <w:t>扩环反应</w:t>
            </w:r>
          </w:p>
        </w:tc>
        <w:tc>
          <w:tcPr>
            <w:tcW w:w="1197" w:type="dxa"/>
          </w:tcPr>
          <w:p>
            <w:pPr>
              <w:pStyle w:val="TableParagraph"/>
              <w:spacing w:line="250" w:lineRule="exact" w:before="1"/>
              <w:ind w:left="12"/>
              <w:rPr>
                <w:rFonts w:ascii="Times New Roman" w:eastAsia="Times New Roman"/>
                <w:sz w:val="21"/>
              </w:rPr>
            </w:pPr>
            <w:r>
              <w:rPr>
                <w:sz w:val="21"/>
              </w:rPr>
              <w:t>间歇</w:t>
            </w:r>
            <w:r>
              <w:rPr>
                <w:rFonts w:ascii="Times New Roman" w:eastAsia="Times New Roman"/>
                <w:sz w:val="21"/>
              </w:rPr>
              <w:t>(5h/</w:t>
            </w:r>
            <w:r>
              <w:rPr>
                <w:sz w:val="21"/>
              </w:rPr>
              <w:t>批</w:t>
            </w:r>
            <w:r>
              <w:rPr>
                <w:rFonts w:ascii="Times New Roman" w:eastAsia="Times New Roman"/>
                <w:sz w:val="21"/>
              </w:rPr>
              <w:t>)</w:t>
            </w:r>
          </w:p>
        </w:tc>
        <w:tc>
          <w:tcPr>
            <w:tcW w:w="1219" w:type="dxa"/>
          </w:tcPr>
          <w:p>
            <w:pPr>
              <w:pStyle w:val="TableParagraph"/>
              <w:spacing w:line="250" w:lineRule="exact" w:before="1"/>
              <w:ind w:left="380" w:right="368"/>
              <w:rPr>
                <w:sz w:val="21"/>
              </w:rPr>
            </w:pPr>
            <w:r>
              <w:rPr>
                <w:sz w:val="21"/>
              </w:rPr>
              <w:t>甲酸</w:t>
            </w:r>
          </w:p>
        </w:tc>
        <w:tc>
          <w:tcPr>
            <w:tcW w:w="732" w:type="dxa"/>
          </w:tcPr>
          <w:p>
            <w:pPr>
              <w:pStyle w:val="TableParagraph"/>
              <w:spacing w:line="250" w:lineRule="exact" w:before="1"/>
              <w:ind w:left="49"/>
              <w:jc w:val="left"/>
              <w:rPr>
                <w:sz w:val="21"/>
              </w:rPr>
            </w:pPr>
            <w:r>
              <w:rPr>
                <w:sz w:val="21"/>
              </w:rPr>
              <w:t>有组织</w:t>
            </w:r>
          </w:p>
        </w:tc>
        <w:tc>
          <w:tcPr>
            <w:tcW w:w="837" w:type="dxa"/>
          </w:tcPr>
          <w:p>
            <w:pPr>
              <w:pStyle w:val="TableParagraph"/>
              <w:spacing w:line="236" w:lineRule="exact" w:before="15"/>
              <w:ind w:left="217" w:right="201"/>
              <w:rPr>
                <w:rFonts w:ascii="Times New Roman"/>
                <w:sz w:val="21"/>
              </w:rPr>
            </w:pPr>
            <w:r>
              <w:rPr>
                <w:rFonts w:ascii="Times New Roman"/>
                <w:sz w:val="21"/>
              </w:rPr>
              <w:t>1.5</w:t>
            </w:r>
          </w:p>
        </w:tc>
        <w:tc>
          <w:tcPr>
            <w:tcW w:w="695" w:type="dxa"/>
          </w:tcPr>
          <w:p>
            <w:pPr>
              <w:pStyle w:val="TableParagraph"/>
              <w:spacing w:line="236" w:lineRule="exact" w:before="15"/>
              <w:ind w:left="93" w:right="78"/>
              <w:rPr>
                <w:rFonts w:ascii="Times New Roman"/>
                <w:sz w:val="21"/>
              </w:rPr>
            </w:pPr>
            <w:r>
              <w:rPr>
                <w:rFonts w:ascii="Times New Roman"/>
                <w:sz w:val="21"/>
              </w:rPr>
              <w:t>1.875</w:t>
            </w:r>
          </w:p>
        </w:tc>
        <w:tc>
          <w:tcPr>
            <w:tcW w:w="1084" w:type="dxa"/>
          </w:tcPr>
          <w:p>
            <w:pPr>
              <w:pStyle w:val="TableParagraph"/>
              <w:spacing w:line="236" w:lineRule="exact" w:before="15"/>
              <w:ind w:left="413"/>
              <w:jc w:val="left"/>
              <w:rPr>
                <w:rFonts w:ascii="Times New Roman"/>
                <w:sz w:val="21"/>
              </w:rPr>
            </w:pPr>
            <w:r>
              <w:rPr>
                <w:rFonts w:ascii="Times New Roman"/>
                <w:sz w:val="21"/>
              </w:rPr>
              <w:t>0.3</w:t>
            </w:r>
          </w:p>
        </w:tc>
        <w:tc>
          <w:tcPr>
            <w:tcW w:w="813" w:type="dxa"/>
          </w:tcPr>
          <w:p>
            <w:pPr>
              <w:pStyle w:val="TableParagraph"/>
              <w:spacing w:line="236" w:lineRule="exact" w:before="15"/>
              <w:ind w:left="71" w:right="55"/>
              <w:rPr>
                <w:rFonts w:ascii="Times New Roman"/>
                <w:sz w:val="21"/>
              </w:rPr>
            </w:pPr>
            <w:r>
              <w:rPr>
                <w:rFonts w:ascii="Times New Roman"/>
                <w:sz w:val="21"/>
              </w:rPr>
              <w:t>65</w:t>
            </w:r>
          </w:p>
        </w:tc>
        <w:tc>
          <w:tcPr>
            <w:tcW w:w="813" w:type="dxa"/>
          </w:tcPr>
          <w:p>
            <w:pPr>
              <w:pStyle w:val="TableParagraph"/>
              <w:spacing w:line="236" w:lineRule="exact" w:before="15"/>
              <w:ind w:left="71" w:right="53"/>
              <w:rPr>
                <w:rFonts w:ascii="Times New Roman"/>
                <w:sz w:val="21"/>
              </w:rPr>
            </w:pPr>
            <w:r>
              <w:rPr>
                <w:rFonts w:ascii="Times New Roman"/>
                <w:sz w:val="21"/>
              </w:rPr>
              <w:t>1.219</w:t>
            </w:r>
          </w:p>
        </w:tc>
        <w:tc>
          <w:tcPr>
            <w:tcW w:w="827" w:type="dxa"/>
          </w:tcPr>
          <w:p>
            <w:pPr>
              <w:pStyle w:val="TableParagraph"/>
              <w:spacing w:line="236" w:lineRule="exact" w:before="15"/>
              <w:ind w:left="82" w:right="62"/>
              <w:rPr>
                <w:rFonts w:ascii="Times New Roman"/>
                <w:sz w:val="21"/>
              </w:rPr>
            </w:pPr>
            <w:r>
              <w:rPr>
                <w:rFonts w:ascii="Times New Roman"/>
                <w:sz w:val="21"/>
              </w:rPr>
              <w:t>95</w:t>
            </w:r>
          </w:p>
        </w:tc>
        <w:tc>
          <w:tcPr>
            <w:tcW w:w="803" w:type="dxa"/>
          </w:tcPr>
          <w:p>
            <w:pPr>
              <w:pStyle w:val="TableParagraph"/>
              <w:spacing w:line="236" w:lineRule="exact" w:before="15"/>
              <w:ind w:left="71" w:right="44"/>
              <w:rPr>
                <w:rFonts w:ascii="Times New Roman"/>
                <w:sz w:val="21"/>
              </w:rPr>
            </w:pPr>
            <w:r>
              <w:rPr>
                <w:rFonts w:ascii="Times New Roman"/>
                <w:sz w:val="21"/>
              </w:rPr>
              <w:t>0.623</w:t>
            </w:r>
          </w:p>
        </w:tc>
        <w:tc>
          <w:tcPr>
            <w:tcW w:w="810" w:type="dxa"/>
          </w:tcPr>
          <w:p>
            <w:pPr>
              <w:pStyle w:val="TableParagraph"/>
              <w:spacing w:line="236" w:lineRule="exact" w:before="15"/>
              <w:ind w:left="149" w:right="118"/>
              <w:rPr>
                <w:rFonts w:ascii="Times New Roman"/>
                <w:sz w:val="21"/>
              </w:rPr>
            </w:pPr>
            <w:r>
              <w:rPr>
                <w:rFonts w:ascii="Times New Roman"/>
                <w:sz w:val="21"/>
              </w:rPr>
              <w:t>0.026</w:t>
            </w:r>
          </w:p>
        </w:tc>
        <w:tc>
          <w:tcPr>
            <w:tcW w:w="681" w:type="dxa"/>
          </w:tcPr>
          <w:p>
            <w:pPr>
              <w:pStyle w:val="TableParagraph"/>
              <w:spacing w:line="236" w:lineRule="exact" w:before="15"/>
              <w:ind w:left="91" w:right="63"/>
              <w:rPr>
                <w:rFonts w:ascii="Times New Roman"/>
                <w:sz w:val="21"/>
              </w:rPr>
            </w:pPr>
            <w:r>
              <w:rPr>
                <w:rFonts w:ascii="Times New Roman"/>
                <w:sz w:val="21"/>
              </w:rPr>
              <w:t>0.033</w:t>
            </w:r>
          </w:p>
        </w:tc>
        <w:tc>
          <w:tcPr>
            <w:tcW w:w="925" w:type="dxa"/>
          </w:tcPr>
          <w:p>
            <w:pPr>
              <w:pStyle w:val="TableParagraph"/>
              <w:spacing w:line="236" w:lineRule="exact" w:before="15"/>
              <w:ind w:left="235"/>
              <w:jc w:val="left"/>
              <w:rPr>
                <w:rFonts w:ascii="Times New Roman"/>
                <w:sz w:val="21"/>
              </w:rPr>
            </w:pPr>
            <w:r>
              <w:rPr>
                <w:rFonts w:ascii="Times New Roman"/>
                <w:sz w:val="21"/>
              </w:rPr>
              <w:t>0.005</w:t>
            </w:r>
          </w:p>
        </w:tc>
        <w:tc>
          <w:tcPr>
            <w:tcW w:w="913" w:type="dxa"/>
          </w:tcPr>
          <w:p>
            <w:pPr>
              <w:pStyle w:val="TableParagraph"/>
              <w:spacing w:line="236" w:lineRule="exact" w:before="15"/>
              <w:ind w:left="32"/>
              <w:rPr>
                <w:rFonts w:ascii="Times New Roman"/>
                <w:sz w:val="21"/>
              </w:rPr>
            </w:pPr>
            <w:r>
              <w:rPr>
                <w:rFonts w:ascii="Times New Roman"/>
                <w:w w:val="100"/>
                <w:sz w:val="21"/>
              </w:rPr>
              <w:t>1</w:t>
            </w:r>
          </w:p>
        </w:tc>
      </w:tr>
      <w:tr>
        <w:trPr>
          <w:trHeight w:val="273" w:hRule="atLeast"/>
        </w:trPr>
        <w:tc>
          <w:tcPr>
            <w:tcW w:w="509" w:type="dxa"/>
          </w:tcPr>
          <w:p>
            <w:pPr>
              <w:pStyle w:val="TableParagraph"/>
              <w:spacing w:line="236" w:lineRule="exact" w:before="17"/>
              <w:ind w:left="43"/>
              <w:jc w:val="left"/>
              <w:rPr>
                <w:rFonts w:ascii="Times New Roman"/>
                <w:sz w:val="21"/>
              </w:rPr>
            </w:pPr>
            <w:r>
              <w:rPr>
                <w:rFonts w:ascii="Times New Roman"/>
                <w:sz w:val="21"/>
              </w:rPr>
              <w:t>Ga-4</w:t>
            </w:r>
          </w:p>
        </w:tc>
        <w:tc>
          <w:tcPr>
            <w:tcW w:w="1142" w:type="dxa"/>
          </w:tcPr>
          <w:p>
            <w:pPr>
              <w:pStyle w:val="TableParagraph"/>
              <w:spacing w:line="250" w:lineRule="exact" w:before="3"/>
              <w:ind w:left="104" w:right="99"/>
              <w:rPr>
                <w:sz w:val="21"/>
              </w:rPr>
            </w:pPr>
            <w:r>
              <w:rPr>
                <w:sz w:val="21"/>
              </w:rPr>
              <w:t>蒸馏</w:t>
            </w:r>
          </w:p>
        </w:tc>
        <w:tc>
          <w:tcPr>
            <w:tcW w:w="1197" w:type="dxa"/>
          </w:tcPr>
          <w:p>
            <w:pPr>
              <w:pStyle w:val="TableParagraph"/>
              <w:spacing w:line="250" w:lineRule="exact" w:before="3"/>
              <w:ind w:left="12"/>
              <w:rPr>
                <w:rFonts w:ascii="Times New Roman" w:eastAsia="Times New Roman"/>
                <w:sz w:val="21"/>
              </w:rPr>
            </w:pPr>
            <w:r>
              <w:rPr>
                <w:sz w:val="21"/>
              </w:rPr>
              <w:t>间歇</w:t>
            </w:r>
            <w:r>
              <w:rPr>
                <w:rFonts w:ascii="Times New Roman" w:eastAsia="Times New Roman"/>
                <w:sz w:val="21"/>
              </w:rPr>
              <w:t>(10h/</w:t>
            </w:r>
            <w:r>
              <w:rPr>
                <w:sz w:val="21"/>
              </w:rPr>
              <w:t>批</w:t>
            </w:r>
            <w:r>
              <w:rPr>
                <w:rFonts w:ascii="Times New Roman" w:eastAsia="Times New Roman"/>
                <w:sz w:val="21"/>
              </w:rPr>
              <w:t>)</w:t>
            </w:r>
          </w:p>
        </w:tc>
        <w:tc>
          <w:tcPr>
            <w:tcW w:w="1219" w:type="dxa"/>
          </w:tcPr>
          <w:p>
            <w:pPr>
              <w:pStyle w:val="TableParagraph"/>
              <w:spacing w:line="250" w:lineRule="exact" w:before="3"/>
              <w:ind w:left="380" w:right="368"/>
              <w:rPr>
                <w:sz w:val="21"/>
              </w:rPr>
            </w:pPr>
            <w:r>
              <w:rPr>
                <w:sz w:val="21"/>
              </w:rPr>
              <w:t>甲酸</w:t>
            </w:r>
          </w:p>
        </w:tc>
        <w:tc>
          <w:tcPr>
            <w:tcW w:w="732" w:type="dxa"/>
          </w:tcPr>
          <w:p>
            <w:pPr>
              <w:pStyle w:val="TableParagraph"/>
              <w:spacing w:line="250" w:lineRule="exact" w:before="3"/>
              <w:ind w:left="49"/>
              <w:jc w:val="left"/>
              <w:rPr>
                <w:sz w:val="21"/>
              </w:rPr>
            </w:pPr>
            <w:r>
              <w:rPr>
                <w:sz w:val="21"/>
              </w:rPr>
              <w:t>有组织</w:t>
            </w:r>
          </w:p>
        </w:tc>
        <w:tc>
          <w:tcPr>
            <w:tcW w:w="837" w:type="dxa"/>
          </w:tcPr>
          <w:p>
            <w:pPr>
              <w:pStyle w:val="TableParagraph"/>
              <w:spacing w:line="236" w:lineRule="exact" w:before="17"/>
              <w:ind w:left="217" w:right="201"/>
              <w:rPr>
                <w:rFonts w:ascii="Times New Roman"/>
                <w:sz w:val="21"/>
              </w:rPr>
            </w:pPr>
            <w:r>
              <w:rPr>
                <w:rFonts w:ascii="Times New Roman"/>
                <w:sz w:val="21"/>
              </w:rPr>
              <w:t>3.5</w:t>
            </w:r>
          </w:p>
        </w:tc>
        <w:tc>
          <w:tcPr>
            <w:tcW w:w="695" w:type="dxa"/>
          </w:tcPr>
          <w:p>
            <w:pPr>
              <w:pStyle w:val="TableParagraph"/>
              <w:spacing w:line="236" w:lineRule="exact" w:before="17"/>
              <w:ind w:left="93" w:right="78"/>
              <w:rPr>
                <w:rFonts w:ascii="Times New Roman"/>
                <w:sz w:val="21"/>
              </w:rPr>
            </w:pPr>
            <w:r>
              <w:rPr>
                <w:rFonts w:ascii="Times New Roman"/>
                <w:sz w:val="21"/>
              </w:rPr>
              <w:t>4.375</w:t>
            </w:r>
          </w:p>
        </w:tc>
        <w:tc>
          <w:tcPr>
            <w:tcW w:w="1084" w:type="dxa"/>
          </w:tcPr>
          <w:p>
            <w:pPr>
              <w:pStyle w:val="TableParagraph"/>
              <w:spacing w:line="236" w:lineRule="exact" w:before="17"/>
              <w:ind w:left="413"/>
              <w:jc w:val="left"/>
              <w:rPr>
                <w:rFonts w:ascii="Times New Roman"/>
                <w:sz w:val="21"/>
              </w:rPr>
            </w:pPr>
            <w:r>
              <w:rPr>
                <w:rFonts w:ascii="Times New Roman"/>
                <w:sz w:val="21"/>
              </w:rPr>
              <w:t>0.7</w:t>
            </w:r>
          </w:p>
        </w:tc>
        <w:tc>
          <w:tcPr>
            <w:tcW w:w="813" w:type="dxa"/>
          </w:tcPr>
          <w:p>
            <w:pPr>
              <w:pStyle w:val="TableParagraph"/>
              <w:spacing w:line="236" w:lineRule="exact" w:before="17"/>
              <w:ind w:left="71" w:right="55"/>
              <w:rPr>
                <w:rFonts w:ascii="Times New Roman"/>
                <w:sz w:val="21"/>
              </w:rPr>
            </w:pPr>
            <w:r>
              <w:rPr>
                <w:rFonts w:ascii="Times New Roman"/>
                <w:sz w:val="21"/>
              </w:rPr>
              <w:t>65</w:t>
            </w:r>
          </w:p>
        </w:tc>
        <w:tc>
          <w:tcPr>
            <w:tcW w:w="813" w:type="dxa"/>
          </w:tcPr>
          <w:p>
            <w:pPr>
              <w:pStyle w:val="TableParagraph"/>
              <w:spacing w:line="236" w:lineRule="exact" w:before="17"/>
              <w:ind w:left="71" w:right="53"/>
              <w:rPr>
                <w:rFonts w:ascii="Times New Roman"/>
                <w:sz w:val="21"/>
              </w:rPr>
            </w:pPr>
            <w:r>
              <w:rPr>
                <w:rFonts w:ascii="Times New Roman"/>
                <w:sz w:val="21"/>
              </w:rPr>
              <w:t>2.843</w:t>
            </w:r>
          </w:p>
        </w:tc>
        <w:tc>
          <w:tcPr>
            <w:tcW w:w="827" w:type="dxa"/>
          </w:tcPr>
          <w:p>
            <w:pPr>
              <w:pStyle w:val="TableParagraph"/>
              <w:spacing w:line="236" w:lineRule="exact" w:before="17"/>
              <w:ind w:left="82" w:right="62"/>
              <w:rPr>
                <w:rFonts w:ascii="Times New Roman"/>
                <w:sz w:val="21"/>
              </w:rPr>
            </w:pPr>
            <w:r>
              <w:rPr>
                <w:rFonts w:ascii="Times New Roman"/>
                <w:sz w:val="21"/>
              </w:rPr>
              <w:t>95</w:t>
            </w:r>
          </w:p>
        </w:tc>
        <w:tc>
          <w:tcPr>
            <w:tcW w:w="803" w:type="dxa"/>
          </w:tcPr>
          <w:p>
            <w:pPr>
              <w:pStyle w:val="TableParagraph"/>
              <w:spacing w:line="236" w:lineRule="exact" w:before="17"/>
              <w:ind w:left="71" w:right="44"/>
              <w:rPr>
                <w:rFonts w:ascii="Times New Roman"/>
                <w:sz w:val="21"/>
              </w:rPr>
            </w:pPr>
            <w:r>
              <w:rPr>
                <w:rFonts w:ascii="Times New Roman"/>
                <w:sz w:val="21"/>
              </w:rPr>
              <w:t>1.455</w:t>
            </w:r>
          </w:p>
        </w:tc>
        <w:tc>
          <w:tcPr>
            <w:tcW w:w="810" w:type="dxa"/>
          </w:tcPr>
          <w:p>
            <w:pPr>
              <w:pStyle w:val="TableParagraph"/>
              <w:spacing w:line="236" w:lineRule="exact" w:before="17"/>
              <w:ind w:left="149" w:right="118"/>
              <w:rPr>
                <w:rFonts w:ascii="Times New Roman"/>
                <w:sz w:val="21"/>
              </w:rPr>
            </w:pPr>
            <w:r>
              <w:rPr>
                <w:rFonts w:ascii="Times New Roman"/>
                <w:sz w:val="21"/>
              </w:rPr>
              <w:t>0.061</w:t>
            </w:r>
          </w:p>
        </w:tc>
        <w:tc>
          <w:tcPr>
            <w:tcW w:w="681" w:type="dxa"/>
          </w:tcPr>
          <w:p>
            <w:pPr>
              <w:pStyle w:val="TableParagraph"/>
              <w:spacing w:line="236" w:lineRule="exact" w:before="17"/>
              <w:ind w:left="91" w:right="63"/>
              <w:rPr>
                <w:rFonts w:ascii="Times New Roman"/>
                <w:sz w:val="21"/>
              </w:rPr>
            </w:pPr>
            <w:r>
              <w:rPr>
                <w:rFonts w:ascii="Times New Roman"/>
                <w:sz w:val="21"/>
              </w:rPr>
              <w:t>0.077</w:t>
            </w:r>
          </w:p>
        </w:tc>
        <w:tc>
          <w:tcPr>
            <w:tcW w:w="925" w:type="dxa"/>
          </w:tcPr>
          <w:p>
            <w:pPr>
              <w:pStyle w:val="TableParagraph"/>
              <w:spacing w:line="236" w:lineRule="exact" w:before="17"/>
              <w:ind w:left="235"/>
              <w:jc w:val="left"/>
              <w:rPr>
                <w:rFonts w:ascii="Times New Roman"/>
                <w:sz w:val="21"/>
              </w:rPr>
            </w:pPr>
            <w:r>
              <w:rPr>
                <w:rFonts w:ascii="Times New Roman"/>
                <w:sz w:val="21"/>
              </w:rPr>
              <w:t>0.012</w:t>
            </w:r>
          </w:p>
        </w:tc>
        <w:tc>
          <w:tcPr>
            <w:tcW w:w="913" w:type="dxa"/>
          </w:tcPr>
          <w:p>
            <w:pPr>
              <w:pStyle w:val="TableParagraph"/>
              <w:spacing w:line="236" w:lineRule="exact" w:before="17"/>
              <w:ind w:left="32"/>
              <w:rPr>
                <w:rFonts w:ascii="Times New Roman"/>
                <w:sz w:val="21"/>
              </w:rPr>
            </w:pPr>
            <w:r>
              <w:rPr>
                <w:rFonts w:ascii="Times New Roman"/>
                <w:w w:val="100"/>
                <w:sz w:val="21"/>
              </w:rPr>
              <w:t>2</w:t>
            </w:r>
          </w:p>
        </w:tc>
      </w:tr>
      <w:tr>
        <w:trPr>
          <w:trHeight w:val="273" w:hRule="atLeast"/>
        </w:trPr>
        <w:tc>
          <w:tcPr>
            <w:tcW w:w="509" w:type="dxa"/>
          </w:tcPr>
          <w:p>
            <w:pPr>
              <w:pStyle w:val="TableParagraph"/>
              <w:spacing w:line="238" w:lineRule="exact" w:before="15"/>
              <w:ind w:left="43"/>
              <w:jc w:val="left"/>
              <w:rPr>
                <w:rFonts w:ascii="Times New Roman"/>
                <w:sz w:val="21"/>
              </w:rPr>
            </w:pPr>
            <w:r>
              <w:rPr>
                <w:rFonts w:ascii="Times New Roman"/>
                <w:sz w:val="21"/>
              </w:rPr>
              <w:t>Ga-5</w:t>
            </w:r>
          </w:p>
        </w:tc>
        <w:tc>
          <w:tcPr>
            <w:tcW w:w="1142" w:type="dxa"/>
          </w:tcPr>
          <w:p>
            <w:pPr>
              <w:pStyle w:val="TableParagraph"/>
              <w:spacing w:line="252" w:lineRule="exact" w:before="1"/>
              <w:ind w:left="104" w:right="99"/>
              <w:rPr>
                <w:sz w:val="21"/>
              </w:rPr>
            </w:pPr>
            <w:r>
              <w:rPr>
                <w:sz w:val="21"/>
              </w:rPr>
              <w:t>精馏</w:t>
            </w:r>
          </w:p>
        </w:tc>
        <w:tc>
          <w:tcPr>
            <w:tcW w:w="1197" w:type="dxa"/>
          </w:tcPr>
          <w:p>
            <w:pPr>
              <w:pStyle w:val="TableParagraph"/>
              <w:spacing w:line="252" w:lineRule="exact" w:before="1"/>
              <w:ind w:left="12"/>
              <w:rPr>
                <w:rFonts w:ascii="Times New Roman" w:eastAsia="Times New Roman"/>
                <w:sz w:val="21"/>
              </w:rPr>
            </w:pPr>
            <w:r>
              <w:rPr>
                <w:sz w:val="21"/>
              </w:rPr>
              <w:t>间歇</w:t>
            </w:r>
            <w:r>
              <w:rPr>
                <w:rFonts w:ascii="Times New Roman" w:eastAsia="Times New Roman"/>
                <w:sz w:val="21"/>
              </w:rPr>
              <w:t>(10h/</w:t>
            </w:r>
            <w:r>
              <w:rPr>
                <w:sz w:val="21"/>
              </w:rPr>
              <w:t>批</w:t>
            </w:r>
            <w:r>
              <w:rPr>
                <w:rFonts w:ascii="Times New Roman" w:eastAsia="Times New Roman"/>
                <w:sz w:val="21"/>
              </w:rPr>
              <w:t>)</w:t>
            </w:r>
          </w:p>
        </w:tc>
        <w:tc>
          <w:tcPr>
            <w:tcW w:w="1219" w:type="dxa"/>
          </w:tcPr>
          <w:p>
            <w:pPr>
              <w:pStyle w:val="TableParagraph"/>
              <w:spacing w:line="252" w:lineRule="exact" w:before="1"/>
              <w:ind w:left="380" w:right="368"/>
              <w:rPr>
                <w:sz w:val="21"/>
              </w:rPr>
            </w:pPr>
            <w:r>
              <w:rPr>
                <w:sz w:val="21"/>
              </w:rPr>
              <w:t>甲酸</w:t>
            </w:r>
          </w:p>
        </w:tc>
        <w:tc>
          <w:tcPr>
            <w:tcW w:w="732" w:type="dxa"/>
          </w:tcPr>
          <w:p>
            <w:pPr>
              <w:pStyle w:val="TableParagraph"/>
              <w:spacing w:line="252" w:lineRule="exact" w:before="1"/>
              <w:ind w:left="49"/>
              <w:jc w:val="left"/>
              <w:rPr>
                <w:sz w:val="21"/>
              </w:rPr>
            </w:pPr>
            <w:r>
              <w:rPr>
                <w:sz w:val="21"/>
              </w:rPr>
              <w:t>有组织</w:t>
            </w:r>
          </w:p>
        </w:tc>
        <w:tc>
          <w:tcPr>
            <w:tcW w:w="837" w:type="dxa"/>
          </w:tcPr>
          <w:p>
            <w:pPr>
              <w:pStyle w:val="TableParagraph"/>
              <w:spacing w:line="238" w:lineRule="exact" w:before="15"/>
              <w:ind w:left="11"/>
              <w:rPr>
                <w:rFonts w:ascii="Times New Roman"/>
                <w:sz w:val="21"/>
              </w:rPr>
            </w:pPr>
            <w:r>
              <w:rPr>
                <w:rFonts w:ascii="Times New Roman"/>
                <w:w w:val="100"/>
                <w:sz w:val="21"/>
              </w:rPr>
              <w:t>3</w:t>
            </w:r>
          </w:p>
        </w:tc>
        <w:tc>
          <w:tcPr>
            <w:tcW w:w="695" w:type="dxa"/>
          </w:tcPr>
          <w:p>
            <w:pPr>
              <w:pStyle w:val="TableParagraph"/>
              <w:spacing w:line="238" w:lineRule="exact" w:before="15"/>
              <w:ind w:left="93" w:right="78"/>
              <w:rPr>
                <w:rFonts w:ascii="Times New Roman"/>
                <w:sz w:val="21"/>
              </w:rPr>
            </w:pPr>
            <w:r>
              <w:rPr>
                <w:rFonts w:ascii="Times New Roman"/>
                <w:sz w:val="21"/>
              </w:rPr>
              <w:t>3.75</w:t>
            </w:r>
          </w:p>
        </w:tc>
        <w:tc>
          <w:tcPr>
            <w:tcW w:w="1084" w:type="dxa"/>
          </w:tcPr>
          <w:p>
            <w:pPr>
              <w:pStyle w:val="TableParagraph"/>
              <w:spacing w:line="238" w:lineRule="exact" w:before="15"/>
              <w:ind w:left="413"/>
              <w:jc w:val="left"/>
              <w:rPr>
                <w:rFonts w:ascii="Times New Roman"/>
                <w:sz w:val="21"/>
              </w:rPr>
            </w:pPr>
            <w:r>
              <w:rPr>
                <w:rFonts w:ascii="Times New Roman"/>
                <w:sz w:val="21"/>
              </w:rPr>
              <w:t>0.6</w:t>
            </w:r>
          </w:p>
        </w:tc>
        <w:tc>
          <w:tcPr>
            <w:tcW w:w="813" w:type="dxa"/>
          </w:tcPr>
          <w:p>
            <w:pPr>
              <w:pStyle w:val="TableParagraph"/>
              <w:spacing w:line="238" w:lineRule="exact" w:before="15"/>
              <w:ind w:left="71" w:right="55"/>
              <w:rPr>
                <w:rFonts w:ascii="Times New Roman"/>
                <w:sz w:val="21"/>
              </w:rPr>
            </w:pPr>
            <w:r>
              <w:rPr>
                <w:rFonts w:ascii="Times New Roman"/>
                <w:sz w:val="21"/>
              </w:rPr>
              <w:t>65</w:t>
            </w:r>
          </w:p>
        </w:tc>
        <w:tc>
          <w:tcPr>
            <w:tcW w:w="813" w:type="dxa"/>
          </w:tcPr>
          <w:p>
            <w:pPr>
              <w:pStyle w:val="TableParagraph"/>
              <w:spacing w:line="238" w:lineRule="exact" w:before="15"/>
              <w:ind w:left="71" w:right="53"/>
              <w:rPr>
                <w:rFonts w:ascii="Times New Roman"/>
                <w:sz w:val="21"/>
              </w:rPr>
            </w:pPr>
            <w:r>
              <w:rPr>
                <w:rFonts w:ascii="Times New Roman"/>
                <w:sz w:val="21"/>
              </w:rPr>
              <w:t>2.438</w:t>
            </w:r>
          </w:p>
        </w:tc>
        <w:tc>
          <w:tcPr>
            <w:tcW w:w="827" w:type="dxa"/>
          </w:tcPr>
          <w:p>
            <w:pPr>
              <w:pStyle w:val="TableParagraph"/>
              <w:spacing w:line="238" w:lineRule="exact" w:before="15"/>
              <w:ind w:left="82" w:right="62"/>
              <w:rPr>
                <w:rFonts w:ascii="Times New Roman"/>
                <w:sz w:val="21"/>
              </w:rPr>
            </w:pPr>
            <w:r>
              <w:rPr>
                <w:rFonts w:ascii="Times New Roman"/>
                <w:sz w:val="21"/>
              </w:rPr>
              <w:t>95</w:t>
            </w:r>
          </w:p>
        </w:tc>
        <w:tc>
          <w:tcPr>
            <w:tcW w:w="803" w:type="dxa"/>
          </w:tcPr>
          <w:p>
            <w:pPr>
              <w:pStyle w:val="TableParagraph"/>
              <w:spacing w:line="238" w:lineRule="exact" w:before="15"/>
              <w:ind w:left="71" w:right="44"/>
              <w:rPr>
                <w:rFonts w:ascii="Times New Roman"/>
                <w:sz w:val="21"/>
              </w:rPr>
            </w:pPr>
            <w:r>
              <w:rPr>
                <w:rFonts w:ascii="Times New Roman"/>
                <w:sz w:val="21"/>
              </w:rPr>
              <w:t>1.247</w:t>
            </w:r>
          </w:p>
        </w:tc>
        <w:tc>
          <w:tcPr>
            <w:tcW w:w="810" w:type="dxa"/>
          </w:tcPr>
          <w:p>
            <w:pPr>
              <w:pStyle w:val="TableParagraph"/>
              <w:spacing w:line="238" w:lineRule="exact" w:before="15"/>
              <w:ind w:left="149" w:right="118"/>
              <w:rPr>
                <w:rFonts w:ascii="Times New Roman"/>
                <w:sz w:val="21"/>
              </w:rPr>
            </w:pPr>
            <w:r>
              <w:rPr>
                <w:rFonts w:ascii="Times New Roman"/>
                <w:sz w:val="21"/>
              </w:rPr>
              <w:t>0.053</w:t>
            </w:r>
          </w:p>
        </w:tc>
        <w:tc>
          <w:tcPr>
            <w:tcW w:w="681" w:type="dxa"/>
          </w:tcPr>
          <w:p>
            <w:pPr>
              <w:pStyle w:val="TableParagraph"/>
              <w:spacing w:line="238" w:lineRule="exact" w:before="15"/>
              <w:ind w:left="91" w:right="63"/>
              <w:rPr>
                <w:rFonts w:ascii="Times New Roman"/>
                <w:sz w:val="21"/>
              </w:rPr>
            </w:pPr>
            <w:r>
              <w:rPr>
                <w:rFonts w:ascii="Times New Roman"/>
                <w:sz w:val="21"/>
              </w:rPr>
              <w:t>0.065</w:t>
            </w:r>
          </w:p>
        </w:tc>
        <w:tc>
          <w:tcPr>
            <w:tcW w:w="925" w:type="dxa"/>
          </w:tcPr>
          <w:p>
            <w:pPr>
              <w:pStyle w:val="TableParagraph"/>
              <w:spacing w:line="238" w:lineRule="exact" w:before="15"/>
              <w:ind w:left="235"/>
              <w:jc w:val="left"/>
              <w:rPr>
                <w:rFonts w:ascii="Times New Roman"/>
                <w:sz w:val="21"/>
              </w:rPr>
            </w:pPr>
            <w:r>
              <w:rPr>
                <w:rFonts w:ascii="Times New Roman"/>
                <w:sz w:val="21"/>
              </w:rPr>
              <w:t>0.010</w:t>
            </w:r>
          </w:p>
        </w:tc>
        <w:tc>
          <w:tcPr>
            <w:tcW w:w="913" w:type="dxa"/>
          </w:tcPr>
          <w:p>
            <w:pPr>
              <w:pStyle w:val="TableParagraph"/>
              <w:spacing w:line="238" w:lineRule="exact" w:before="15"/>
              <w:ind w:left="32"/>
              <w:rPr>
                <w:rFonts w:ascii="Times New Roman"/>
                <w:sz w:val="21"/>
              </w:rPr>
            </w:pPr>
            <w:r>
              <w:rPr>
                <w:rFonts w:ascii="Times New Roman"/>
                <w:w w:val="100"/>
                <w:sz w:val="21"/>
              </w:rPr>
              <w:t>2</w:t>
            </w:r>
          </w:p>
        </w:tc>
      </w:tr>
      <w:tr>
        <w:trPr>
          <w:trHeight w:val="270" w:hRule="atLeast"/>
        </w:trPr>
        <w:tc>
          <w:tcPr>
            <w:tcW w:w="509" w:type="dxa"/>
          </w:tcPr>
          <w:p>
            <w:pPr>
              <w:pStyle w:val="TableParagraph"/>
              <w:spacing w:line="236" w:lineRule="exact" w:before="15"/>
              <w:ind w:left="43"/>
              <w:jc w:val="left"/>
              <w:rPr>
                <w:rFonts w:ascii="Times New Roman"/>
                <w:sz w:val="21"/>
              </w:rPr>
            </w:pPr>
            <w:r>
              <w:rPr>
                <w:rFonts w:ascii="Times New Roman"/>
                <w:sz w:val="21"/>
              </w:rPr>
              <w:t>Ga-6</w:t>
            </w:r>
          </w:p>
        </w:tc>
        <w:tc>
          <w:tcPr>
            <w:tcW w:w="1142" w:type="dxa"/>
          </w:tcPr>
          <w:p>
            <w:pPr>
              <w:pStyle w:val="TableParagraph"/>
              <w:spacing w:line="250" w:lineRule="exact" w:before="1"/>
              <w:ind w:left="104" w:right="99"/>
              <w:rPr>
                <w:sz w:val="21"/>
              </w:rPr>
            </w:pPr>
            <w:r>
              <w:rPr>
                <w:sz w:val="21"/>
              </w:rPr>
              <w:t>结晶</w:t>
            </w:r>
          </w:p>
        </w:tc>
        <w:tc>
          <w:tcPr>
            <w:tcW w:w="1197" w:type="dxa"/>
          </w:tcPr>
          <w:p>
            <w:pPr>
              <w:pStyle w:val="TableParagraph"/>
              <w:spacing w:line="250" w:lineRule="exact" w:before="1"/>
              <w:ind w:left="12"/>
              <w:rPr>
                <w:rFonts w:ascii="Times New Roman" w:eastAsia="Times New Roman"/>
                <w:sz w:val="21"/>
              </w:rPr>
            </w:pPr>
            <w:r>
              <w:rPr>
                <w:sz w:val="21"/>
              </w:rPr>
              <w:t>间歇</w:t>
            </w:r>
            <w:r>
              <w:rPr>
                <w:rFonts w:ascii="Times New Roman" w:eastAsia="Times New Roman"/>
                <w:sz w:val="21"/>
              </w:rPr>
              <w:t>(4h/</w:t>
            </w:r>
            <w:r>
              <w:rPr>
                <w:sz w:val="21"/>
              </w:rPr>
              <w:t>批</w:t>
            </w:r>
            <w:r>
              <w:rPr>
                <w:rFonts w:ascii="Times New Roman" w:eastAsia="Times New Roman"/>
                <w:sz w:val="21"/>
              </w:rPr>
              <w:t>)</w:t>
            </w:r>
          </w:p>
        </w:tc>
        <w:tc>
          <w:tcPr>
            <w:tcW w:w="1219" w:type="dxa"/>
          </w:tcPr>
          <w:p>
            <w:pPr>
              <w:pStyle w:val="TableParagraph"/>
              <w:spacing w:line="250" w:lineRule="exact" w:before="1"/>
              <w:ind w:left="380" w:right="368"/>
              <w:rPr>
                <w:sz w:val="21"/>
              </w:rPr>
            </w:pPr>
            <w:r>
              <w:rPr>
                <w:sz w:val="21"/>
              </w:rPr>
              <w:t>甲酸</w:t>
            </w:r>
          </w:p>
        </w:tc>
        <w:tc>
          <w:tcPr>
            <w:tcW w:w="732" w:type="dxa"/>
          </w:tcPr>
          <w:p>
            <w:pPr>
              <w:pStyle w:val="TableParagraph"/>
              <w:spacing w:line="250" w:lineRule="exact" w:before="1"/>
              <w:ind w:left="49"/>
              <w:jc w:val="left"/>
              <w:rPr>
                <w:sz w:val="21"/>
              </w:rPr>
            </w:pPr>
            <w:r>
              <w:rPr>
                <w:sz w:val="21"/>
              </w:rPr>
              <w:t>有组织</w:t>
            </w:r>
          </w:p>
        </w:tc>
        <w:tc>
          <w:tcPr>
            <w:tcW w:w="837" w:type="dxa"/>
          </w:tcPr>
          <w:p>
            <w:pPr>
              <w:pStyle w:val="TableParagraph"/>
              <w:spacing w:line="236" w:lineRule="exact" w:before="15"/>
              <w:ind w:left="217" w:right="201"/>
              <w:rPr>
                <w:rFonts w:ascii="Times New Roman"/>
                <w:sz w:val="21"/>
              </w:rPr>
            </w:pPr>
            <w:r>
              <w:rPr>
                <w:rFonts w:ascii="Times New Roman"/>
                <w:sz w:val="21"/>
              </w:rPr>
              <w:t>0.2</w:t>
            </w:r>
          </w:p>
        </w:tc>
        <w:tc>
          <w:tcPr>
            <w:tcW w:w="695" w:type="dxa"/>
          </w:tcPr>
          <w:p>
            <w:pPr>
              <w:pStyle w:val="TableParagraph"/>
              <w:spacing w:line="236" w:lineRule="exact" w:before="15"/>
              <w:ind w:left="93" w:right="78"/>
              <w:rPr>
                <w:rFonts w:ascii="Times New Roman"/>
                <w:sz w:val="21"/>
              </w:rPr>
            </w:pPr>
            <w:r>
              <w:rPr>
                <w:rFonts w:ascii="Times New Roman"/>
                <w:sz w:val="21"/>
              </w:rPr>
              <w:t>0.25</w:t>
            </w:r>
          </w:p>
        </w:tc>
        <w:tc>
          <w:tcPr>
            <w:tcW w:w="1084" w:type="dxa"/>
          </w:tcPr>
          <w:p>
            <w:pPr>
              <w:pStyle w:val="TableParagraph"/>
              <w:spacing w:line="236" w:lineRule="exact" w:before="15"/>
              <w:ind w:left="413"/>
              <w:jc w:val="left"/>
              <w:rPr>
                <w:rFonts w:ascii="Times New Roman"/>
                <w:sz w:val="21"/>
              </w:rPr>
            </w:pPr>
            <w:r>
              <w:rPr>
                <w:rFonts w:ascii="Times New Roman"/>
                <w:sz w:val="21"/>
              </w:rPr>
              <w:t>0.1</w:t>
            </w:r>
          </w:p>
        </w:tc>
        <w:tc>
          <w:tcPr>
            <w:tcW w:w="813" w:type="dxa"/>
          </w:tcPr>
          <w:p>
            <w:pPr>
              <w:pStyle w:val="TableParagraph"/>
              <w:spacing w:line="236" w:lineRule="exact" w:before="15"/>
              <w:ind w:left="71" w:right="55"/>
              <w:rPr>
                <w:rFonts w:ascii="Times New Roman"/>
                <w:sz w:val="21"/>
              </w:rPr>
            </w:pPr>
            <w:r>
              <w:rPr>
                <w:rFonts w:ascii="Times New Roman"/>
                <w:sz w:val="21"/>
              </w:rPr>
              <w:t>65</w:t>
            </w:r>
          </w:p>
        </w:tc>
        <w:tc>
          <w:tcPr>
            <w:tcW w:w="813" w:type="dxa"/>
          </w:tcPr>
          <w:p>
            <w:pPr>
              <w:pStyle w:val="TableParagraph"/>
              <w:spacing w:line="236" w:lineRule="exact" w:before="15"/>
              <w:ind w:left="71" w:right="53"/>
              <w:rPr>
                <w:rFonts w:ascii="Times New Roman"/>
                <w:sz w:val="21"/>
              </w:rPr>
            </w:pPr>
            <w:r>
              <w:rPr>
                <w:rFonts w:ascii="Times New Roman"/>
                <w:sz w:val="21"/>
              </w:rPr>
              <w:t>0.163</w:t>
            </w:r>
          </w:p>
        </w:tc>
        <w:tc>
          <w:tcPr>
            <w:tcW w:w="827" w:type="dxa"/>
          </w:tcPr>
          <w:p>
            <w:pPr>
              <w:pStyle w:val="TableParagraph"/>
              <w:spacing w:line="236" w:lineRule="exact" w:before="15"/>
              <w:ind w:left="82" w:right="62"/>
              <w:rPr>
                <w:rFonts w:ascii="Times New Roman"/>
                <w:sz w:val="21"/>
              </w:rPr>
            </w:pPr>
            <w:r>
              <w:rPr>
                <w:rFonts w:ascii="Times New Roman"/>
                <w:sz w:val="21"/>
              </w:rPr>
              <w:t>95</w:t>
            </w:r>
          </w:p>
        </w:tc>
        <w:tc>
          <w:tcPr>
            <w:tcW w:w="803" w:type="dxa"/>
          </w:tcPr>
          <w:p>
            <w:pPr>
              <w:pStyle w:val="TableParagraph"/>
              <w:spacing w:line="236" w:lineRule="exact" w:before="15"/>
              <w:ind w:left="71" w:right="44"/>
              <w:rPr>
                <w:rFonts w:ascii="Times New Roman"/>
                <w:sz w:val="21"/>
              </w:rPr>
            </w:pPr>
            <w:r>
              <w:rPr>
                <w:rFonts w:ascii="Times New Roman"/>
                <w:sz w:val="21"/>
              </w:rPr>
              <w:t>0.083</w:t>
            </w:r>
          </w:p>
        </w:tc>
        <w:tc>
          <w:tcPr>
            <w:tcW w:w="810" w:type="dxa"/>
          </w:tcPr>
          <w:p>
            <w:pPr>
              <w:pStyle w:val="TableParagraph"/>
              <w:spacing w:line="236" w:lineRule="exact" w:before="15"/>
              <w:ind w:left="149" w:right="118"/>
              <w:rPr>
                <w:rFonts w:ascii="Times New Roman"/>
                <w:sz w:val="21"/>
              </w:rPr>
            </w:pPr>
            <w:r>
              <w:rPr>
                <w:rFonts w:ascii="Times New Roman"/>
                <w:sz w:val="21"/>
              </w:rPr>
              <w:t>0.004</w:t>
            </w:r>
          </w:p>
        </w:tc>
        <w:tc>
          <w:tcPr>
            <w:tcW w:w="681" w:type="dxa"/>
          </w:tcPr>
          <w:p>
            <w:pPr>
              <w:pStyle w:val="TableParagraph"/>
              <w:spacing w:line="236" w:lineRule="exact" w:before="15"/>
              <w:ind w:left="92" w:right="63"/>
              <w:rPr>
                <w:rFonts w:ascii="Times New Roman"/>
                <w:sz w:val="21"/>
              </w:rPr>
            </w:pPr>
            <w:r>
              <w:rPr>
                <w:rFonts w:ascii="Times New Roman"/>
                <w:sz w:val="21"/>
              </w:rPr>
              <w:t>0.004</w:t>
            </w:r>
          </w:p>
        </w:tc>
        <w:tc>
          <w:tcPr>
            <w:tcW w:w="925" w:type="dxa"/>
          </w:tcPr>
          <w:p>
            <w:pPr>
              <w:pStyle w:val="TableParagraph"/>
              <w:spacing w:line="236" w:lineRule="exact" w:before="15"/>
              <w:ind w:left="235"/>
              <w:jc w:val="left"/>
              <w:rPr>
                <w:rFonts w:ascii="Times New Roman"/>
                <w:sz w:val="21"/>
              </w:rPr>
            </w:pPr>
            <w:r>
              <w:rPr>
                <w:rFonts w:ascii="Times New Roman"/>
                <w:sz w:val="21"/>
              </w:rPr>
              <w:t>0.002</w:t>
            </w:r>
          </w:p>
        </w:tc>
        <w:tc>
          <w:tcPr>
            <w:tcW w:w="913" w:type="dxa"/>
          </w:tcPr>
          <w:p>
            <w:pPr>
              <w:pStyle w:val="TableParagraph"/>
              <w:spacing w:line="236" w:lineRule="exact" w:before="15"/>
              <w:ind w:left="32"/>
              <w:rPr>
                <w:rFonts w:ascii="Times New Roman"/>
                <w:sz w:val="21"/>
              </w:rPr>
            </w:pPr>
            <w:r>
              <w:rPr>
                <w:rFonts w:ascii="Times New Roman"/>
                <w:w w:val="100"/>
                <w:sz w:val="21"/>
              </w:rPr>
              <w:t>2</w:t>
            </w:r>
          </w:p>
        </w:tc>
      </w:tr>
      <w:tr>
        <w:trPr>
          <w:trHeight w:val="273" w:hRule="atLeast"/>
        </w:trPr>
        <w:tc>
          <w:tcPr>
            <w:tcW w:w="509" w:type="dxa"/>
          </w:tcPr>
          <w:p>
            <w:pPr>
              <w:pStyle w:val="TableParagraph"/>
              <w:spacing w:line="238" w:lineRule="exact" w:before="15"/>
              <w:ind w:left="43"/>
              <w:jc w:val="left"/>
              <w:rPr>
                <w:rFonts w:ascii="Times New Roman"/>
                <w:sz w:val="21"/>
              </w:rPr>
            </w:pPr>
            <w:r>
              <w:rPr>
                <w:rFonts w:ascii="Times New Roman"/>
                <w:sz w:val="21"/>
              </w:rPr>
              <w:t>Ga-7</w:t>
            </w:r>
          </w:p>
        </w:tc>
        <w:tc>
          <w:tcPr>
            <w:tcW w:w="1142" w:type="dxa"/>
          </w:tcPr>
          <w:p>
            <w:pPr>
              <w:pStyle w:val="TableParagraph"/>
              <w:spacing w:line="252" w:lineRule="exact" w:before="1"/>
              <w:ind w:left="104" w:right="99"/>
              <w:rPr>
                <w:sz w:val="21"/>
              </w:rPr>
            </w:pPr>
            <w:r>
              <w:rPr>
                <w:sz w:val="21"/>
              </w:rPr>
              <w:t>离心</w:t>
            </w:r>
          </w:p>
        </w:tc>
        <w:tc>
          <w:tcPr>
            <w:tcW w:w="1197" w:type="dxa"/>
          </w:tcPr>
          <w:p>
            <w:pPr>
              <w:pStyle w:val="TableParagraph"/>
              <w:spacing w:line="252" w:lineRule="exact" w:before="1"/>
              <w:ind w:left="12"/>
              <w:rPr>
                <w:rFonts w:ascii="Times New Roman" w:eastAsia="Times New Roman"/>
                <w:sz w:val="21"/>
              </w:rPr>
            </w:pPr>
            <w:r>
              <w:rPr>
                <w:sz w:val="21"/>
              </w:rPr>
              <w:t>间歇</w:t>
            </w:r>
            <w:r>
              <w:rPr>
                <w:rFonts w:ascii="Times New Roman" w:eastAsia="Times New Roman"/>
                <w:sz w:val="21"/>
              </w:rPr>
              <w:t>(4h/</w:t>
            </w:r>
            <w:r>
              <w:rPr>
                <w:sz w:val="21"/>
              </w:rPr>
              <w:t>批</w:t>
            </w:r>
            <w:r>
              <w:rPr>
                <w:rFonts w:ascii="Times New Roman" w:eastAsia="Times New Roman"/>
                <w:sz w:val="21"/>
              </w:rPr>
              <w:t>)</w:t>
            </w:r>
          </w:p>
        </w:tc>
        <w:tc>
          <w:tcPr>
            <w:tcW w:w="1219" w:type="dxa"/>
          </w:tcPr>
          <w:p>
            <w:pPr>
              <w:pStyle w:val="TableParagraph"/>
              <w:spacing w:line="252" w:lineRule="exact" w:before="1"/>
              <w:ind w:left="380" w:right="368"/>
              <w:rPr>
                <w:sz w:val="21"/>
              </w:rPr>
            </w:pPr>
            <w:r>
              <w:rPr>
                <w:sz w:val="21"/>
              </w:rPr>
              <w:t>甲酸</w:t>
            </w:r>
          </w:p>
        </w:tc>
        <w:tc>
          <w:tcPr>
            <w:tcW w:w="732" w:type="dxa"/>
          </w:tcPr>
          <w:p>
            <w:pPr>
              <w:pStyle w:val="TableParagraph"/>
              <w:spacing w:line="252" w:lineRule="exact" w:before="1"/>
              <w:ind w:left="49"/>
              <w:jc w:val="left"/>
              <w:rPr>
                <w:sz w:val="21"/>
              </w:rPr>
            </w:pPr>
            <w:r>
              <w:rPr>
                <w:sz w:val="21"/>
              </w:rPr>
              <w:t>有组织</w:t>
            </w:r>
          </w:p>
        </w:tc>
        <w:tc>
          <w:tcPr>
            <w:tcW w:w="837" w:type="dxa"/>
          </w:tcPr>
          <w:p>
            <w:pPr>
              <w:pStyle w:val="TableParagraph"/>
              <w:spacing w:line="238" w:lineRule="exact" w:before="15"/>
              <w:ind w:left="217" w:right="201"/>
              <w:rPr>
                <w:rFonts w:ascii="Times New Roman"/>
                <w:sz w:val="21"/>
              </w:rPr>
            </w:pPr>
            <w:r>
              <w:rPr>
                <w:rFonts w:ascii="Times New Roman"/>
                <w:sz w:val="21"/>
              </w:rPr>
              <w:t>0.2</w:t>
            </w:r>
          </w:p>
        </w:tc>
        <w:tc>
          <w:tcPr>
            <w:tcW w:w="695" w:type="dxa"/>
          </w:tcPr>
          <w:p>
            <w:pPr>
              <w:pStyle w:val="TableParagraph"/>
              <w:spacing w:line="238" w:lineRule="exact" w:before="15"/>
              <w:ind w:left="93" w:right="78"/>
              <w:rPr>
                <w:rFonts w:ascii="Times New Roman"/>
                <w:sz w:val="21"/>
              </w:rPr>
            </w:pPr>
            <w:r>
              <w:rPr>
                <w:rFonts w:ascii="Times New Roman"/>
                <w:sz w:val="21"/>
              </w:rPr>
              <w:t>0.25</w:t>
            </w:r>
          </w:p>
        </w:tc>
        <w:tc>
          <w:tcPr>
            <w:tcW w:w="1084" w:type="dxa"/>
          </w:tcPr>
          <w:p>
            <w:pPr>
              <w:pStyle w:val="TableParagraph"/>
              <w:spacing w:line="238" w:lineRule="exact" w:before="15"/>
              <w:ind w:left="413"/>
              <w:jc w:val="left"/>
              <w:rPr>
                <w:rFonts w:ascii="Times New Roman"/>
                <w:sz w:val="21"/>
              </w:rPr>
            </w:pPr>
            <w:r>
              <w:rPr>
                <w:rFonts w:ascii="Times New Roman"/>
                <w:sz w:val="21"/>
              </w:rPr>
              <w:t>0.1</w:t>
            </w:r>
          </w:p>
        </w:tc>
        <w:tc>
          <w:tcPr>
            <w:tcW w:w="813" w:type="dxa"/>
          </w:tcPr>
          <w:p>
            <w:pPr>
              <w:pStyle w:val="TableParagraph"/>
              <w:spacing w:line="238" w:lineRule="exact" w:before="15"/>
              <w:ind w:left="71" w:right="55"/>
              <w:rPr>
                <w:rFonts w:ascii="Times New Roman"/>
                <w:sz w:val="21"/>
              </w:rPr>
            </w:pPr>
            <w:r>
              <w:rPr>
                <w:rFonts w:ascii="Times New Roman"/>
                <w:sz w:val="21"/>
              </w:rPr>
              <w:t>65</w:t>
            </w:r>
          </w:p>
        </w:tc>
        <w:tc>
          <w:tcPr>
            <w:tcW w:w="813" w:type="dxa"/>
          </w:tcPr>
          <w:p>
            <w:pPr>
              <w:pStyle w:val="TableParagraph"/>
              <w:spacing w:line="238" w:lineRule="exact" w:before="15"/>
              <w:ind w:left="71" w:right="53"/>
              <w:rPr>
                <w:rFonts w:ascii="Times New Roman"/>
                <w:sz w:val="21"/>
              </w:rPr>
            </w:pPr>
            <w:r>
              <w:rPr>
                <w:rFonts w:ascii="Times New Roman"/>
                <w:sz w:val="21"/>
              </w:rPr>
              <w:t>0.163</w:t>
            </w:r>
          </w:p>
        </w:tc>
        <w:tc>
          <w:tcPr>
            <w:tcW w:w="827" w:type="dxa"/>
          </w:tcPr>
          <w:p>
            <w:pPr>
              <w:pStyle w:val="TableParagraph"/>
              <w:spacing w:line="238" w:lineRule="exact" w:before="15"/>
              <w:ind w:left="82" w:right="62"/>
              <w:rPr>
                <w:rFonts w:ascii="Times New Roman"/>
                <w:sz w:val="21"/>
              </w:rPr>
            </w:pPr>
            <w:r>
              <w:rPr>
                <w:rFonts w:ascii="Times New Roman"/>
                <w:sz w:val="21"/>
              </w:rPr>
              <w:t>95</w:t>
            </w:r>
          </w:p>
        </w:tc>
        <w:tc>
          <w:tcPr>
            <w:tcW w:w="803" w:type="dxa"/>
          </w:tcPr>
          <w:p>
            <w:pPr>
              <w:pStyle w:val="TableParagraph"/>
              <w:spacing w:line="238" w:lineRule="exact" w:before="15"/>
              <w:ind w:left="71" w:right="44"/>
              <w:rPr>
                <w:rFonts w:ascii="Times New Roman"/>
                <w:sz w:val="21"/>
              </w:rPr>
            </w:pPr>
            <w:r>
              <w:rPr>
                <w:rFonts w:ascii="Times New Roman"/>
                <w:sz w:val="21"/>
              </w:rPr>
              <w:t>0.083</w:t>
            </w:r>
          </w:p>
        </w:tc>
        <w:tc>
          <w:tcPr>
            <w:tcW w:w="810" w:type="dxa"/>
          </w:tcPr>
          <w:p>
            <w:pPr>
              <w:pStyle w:val="TableParagraph"/>
              <w:spacing w:line="238" w:lineRule="exact" w:before="15"/>
              <w:ind w:left="149" w:right="118"/>
              <w:rPr>
                <w:rFonts w:ascii="Times New Roman"/>
                <w:sz w:val="21"/>
              </w:rPr>
            </w:pPr>
            <w:r>
              <w:rPr>
                <w:rFonts w:ascii="Times New Roman"/>
                <w:sz w:val="21"/>
              </w:rPr>
              <w:t>0.004</w:t>
            </w:r>
          </w:p>
        </w:tc>
        <w:tc>
          <w:tcPr>
            <w:tcW w:w="681" w:type="dxa"/>
          </w:tcPr>
          <w:p>
            <w:pPr>
              <w:pStyle w:val="TableParagraph"/>
              <w:spacing w:line="238" w:lineRule="exact" w:before="15"/>
              <w:ind w:left="91" w:right="63"/>
              <w:rPr>
                <w:rFonts w:ascii="Times New Roman"/>
                <w:sz w:val="21"/>
              </w:rPr>
            </w:pPr>
            <w:r>
              <w:rPr>
                <w:rFonts w:ascii="Times New Roman"/>
                <w:sz w:val="21"/>
              </w:rPr>
              <w:t>0.004</w:t>
            </w:r>
          </w:p>
        </w:tc>
        <w:tc>
          <w:tcPr>
            <w:tcW w:w="925" w:type="dxa"/>
          </w:tcPr>
          <w:p>
            <w:pPr>
              <w:pStyle w:val="TableParagraph"/>
              <w:spacing w:line="238" w:lineRule="exact" w:before="15"/>
              <w:ind w:left="235"/>
              <w:jc w:val="left"/>
              <w:rPr>
                <w:rFonts w:ascii="Times New Roman"/>
                <w:sz w:val="21"/>
              </w:rPr>
            </w:pPr>
            <w:r>
              <w:rPr>
                <w:rFonts w:ascii="Times New Roman"/>
                <w:sz w:val="21"/>
              </w:rPr>
              <w:t>0.002</w:t>
            </w:r>
          </w:p>
        </w:tc>
        <w:tc>
          <w:tcPr>
            <w:tcW w:w="913" w:type="dxa"/>
          </w:tcPr>
          <w:p>
            <w:pPr>
              <w:pStyle w:val="TableParagraph"/>
              <w:spacing w:line="238" w:lineRule="exact" w:before="15"/>
              <w:ind w:left="32"/>
              <w:rPr>
                <w:rFonts w:ascii="Times New Roman"/>
                <w:sz w:val="21"/>
              </w:rPr>
            </w:pPr>
            <w:r>
              <w:rPr>
                <w:rFonts w:ascii="Times New Roman"/>
                <w:w w:val="100"/>
                <w:sz w:val="21"/>
              </w:rPr>
              <w:t>2</w:t>
            </w:r>
          </w:p>
        </w:tc>
      </w:tr>
      <w:tr>
        <w:trPr>
          <w:trHeight w:val="273" w:hRule="atLeast"/>
        </w:trPr>
        <w:tc>
          <w:tcPr>
            <w:tcW w:w="509" w:type="dxa"/>
          </w:tcPr>
          <w:p>
            <w:pPr>
              <w:pStyle w:val="TableParagraph"/>
              <w:spacing w:line="238" w:lineRule="exact" w:before="15"/>
              <w:ind w:left="43"/>
              <w:jc w:val="left"/>
              <w:rPr>
                <w:rFonts w:ascii="Times New Roman"/>
                <w:sz w:val="21"/>
              </w:rPr>
            </w:pPr>
            <w:r>
              <w:rPr>
                <w:rFonts w:ascii="Times New Roman"/>
                <w:sz w:val="21"/>
              </w:rPr>
              <w:t>Ga-8</w:t>
            </w:r>
          </w:p>
        </w:tc>
        <w:tc>
          <w:tcPr>
            <w:tcW w:w="1142" w:type="dxa"/>
          </w:tcPr>
          <w:p>
            <w:pPr>
              <w:pStyle w:val="TableParagraph"/>
              <w:spacing w:line="252" w:lineRule="exact" w:before="1"/>
              <w:ind w:left="104" w:right="99"/>
              <w:rPr>
                <w:sz w:val="21"/>
              </w:rPr>
            </w:pPr>
            <w:r>
              <w:rPr>
                <w:sz w:val="21"/>
              </w:rPr>
              <w:t>干燥</w:t>
            </w:r>
          </w:p>
        </w:tc>
        <w:tc>
          <w:tcPr>
            <w:tcW w:w="1197" w:type="dxa"/>
          </w:tcPr>
          <w:p>
            <w:pPr>
              <w:pStyle w:val="TableParagraph"/>
              <w:spacing w:line="252" w:lineRule="exact" w:before="1"/>
              <w:ind w:left="12"/>
              <w:rPr>
                <w:rFonts w:ascii="Times New Roman" w:eastAsia="Times New Roman"/>
                <w:sz w:val="21"/>
              </w:rPr>
            </w:pPr>
            <w:r>
              <w:rPr>
                <w:sz w:val="21"/>
              </w:rPr>
              <w:t>间歇</w:t>
            </w:r>
            <w:r>
              <w:rPr>
                <w:rFonts w:ascii="Times New Roman" w:eastAsia="Times New Roman"/>
                <w:sz w:val="21"/>
              </w:rPr>
              <w:t>(8h/</w:t>
            </w:r>
            <w:r>
              <w:rPr>
                <w:sz w:val="21"/>
              </w:rPr>
              <w:t>批</w:t>
            </w:r>
            <w:r>
              <w:rPr>
                <w:rFonts w:ascii="Times New Roman" w:eastAsia="Times New Roman"/>
                <w:sz w:val="21"/>
              </w:rPr>
              <w:t>)</w:t>
            </w:r>
          </w:p>
        </w:tc>
        <w:tc>
          <w:tcPr>
            <w:tcW w:w="1219" w:type="dxa"/>
          </w:tcPr>
          <w:p>
            <w:pPr>
              <w:pStyle w:val="TableParagraph"/>
              <w:spacing w:line="252" w:lineRule="exact" w:before="1"/>
              <w:ind w:left="380" w:right="368"/>
              <w:rPr>
                <w:sz w:val="21"/>
              </w:rPr>
            </w:pPr>
            <w:r>
              <w:rPr>
                <w:sz w:val="21"/>
              </w:rPr>
              <w:t>甲酸</w:t>
            </w:r>
          </w:p>
        </w:tc>
        <w:tc>
          <w:tcPr>
            <w:tcW w:w="732" w:type="dxa"/>
          </w:tcPr>
          <w:p>
            <w:pPr>
              <w:pStyle w:val="TableParagraph"/>
              <w:spacing w:line="252" w:lineRule="exact" w:before="1"/>
              <w:ind w:left="49"/>
              <w:jc w:val="left"/>
              <w:rPr>
                <w:sz w:val="21"/>
              </w:rPr>
            </w:pPr>
            <w:r>
              <w:rPr>
                <w:sz w:val="21"/>
              </w:rPr>
              <w:t>有组织</w:t>
            </w:r>
          </w:p>
        </w:tc>
        <w:tc>
          <w:tcPr>
            <w:tcW w:w="837" w:type="dxa"/>
          </w:tcPr>
          <w:p>
            <w:pPr>
              <w:pStyle w:val="TableParagraph"/>
              <w:spacing w:line="238" w:lineRule="exact" w:before="15"/>
              <w:ind w:left="11"/>
              <w:rPr>
                <w:rFonts w:ascii="Times New Roman"/>
                <w:sz w:val="21"/>
              </w:rPr>
            </w:pPr>
            <w:r>
              <w:rPr>
                <w:rFonts w:ascii="Times New Roman"/>
                <w:w w:val="100"/>
                <w:sz w:val="21"/>
              </w:rPr>
              <w:t>2</w:t>
            </w:r>
          </w:p>
        </w:tc>
        <w:tc>
          <w:tcPr>
            <w:tcW w:w="695" w:type="dxa"/>
          </w:tcPr>
          <w:p>
            <w:pPr>
              <w:pStyle w:val="TableParagraph"/>
              <w:spacing w:line="238" w:lineRule="exact" w:before="15"/>
              <w:ind w:left="93" w:right="78"/>
              <w:rPr>
                <w:rFonts w:ascii="Times New Roman"/>
                <w:sz w:val="21"/>
              </w:rPr>
            </w:pPr>
            <w:r>
              <w:rPr>
                <w:rFonts w:ascii="Times New Roman"/>
                <w:sz w:val="21"/>
              </w:rPr>
              <w:t>2.5</w:t>
            </w:r>
          </w:p>
        </w:tc>
        <w:tc>
          <w:tcPr>
            <w:tcW w:w="1084" w:type="dxa"/>
          </w:tcPr>
          <w:p>
            <w:pPr>
              <w:pStyle w:val="TableParagraph"/>
              <w:spacing w:line="238" w:lineRule="exact" w:before="15"/>
              <w:ind w:left="413"/>
              <w:jc w:val="left"/>
              <w:rPr>
                <w:rFonts w:ascii="Times New Roman"/>
                <w:sz w:val="21"/>
              </w:rPr>
            </w:pPr>
            <w:r>
              <w:rPr>
                <w:rFonts w:ascii="Times New Roman"/>
                <w:sz w:val="21"/>
              </w:rPr>
              <w:t>0.5</w:t>
            </w:r>
          </w:p>
        </w:tc>
        <w:tc>
          <w:tcPr>
            <w:tcW w:w="813" w:type="dxa"/>
          </w:tcPr>
          <w:p>
            <w:pPr>
              <w:pStyle w:val="TableParagraph"/>
              <w:spacing w:line="238" w:lineRule="exact" w:before="15"/>
              <w:ind w:left="71" w:right="55"/>
              <w:rPr>
                <w:rFonts w:ascii="Times New Roman"/>
                <w:sz w:val="21"/>
              </w:rPr>
            </w:pPr>
            <w:r>
              <w:rPr>
                <w:rFonts w:ascii="Times New Roman"/>
                <w:sz w:val="21"/>
              </w:rPr>
              <w:t>65</w:t>
            </w:r>
          </w:p>
        </w:tc>
        <w:tc>
          <w:tcPr>
            <w:tcW w:w="813" w:type="dxa"/>
          </w:tcPr>
          <w:p>
            <w:pPr>
              <w:pStyle w:val="TableParagraph"/>
              <w:spacing w:line="238" w:lineRule="exact" w:before="15"/>
              <w:ind w:left="71" w:right="53"/>
              <w:rPr>
                <w:rFonts w:ascii="Times New Roman"/>
                <w:sz w:val="21"/>
              </w:rPr>
            </w:pPr>
            <w:r>
              <w:rPr>
                <w:rFonts w:ascii="Times New Roman"/>
                <w:sz w:val="21"/>
              </w:rPr>
              <w:t>1.625</w:t>
            </w:r>
          </w:p>
        </w:tc>
        <w:tc>
          <w:tcPr>
            <w:tcW w:w="827" w:type="dxa"/>
          </w:tcPr>
          <w:p>
            <w:pPr>
              <w:pStyle w:val="TableParagraph"/>
              <w:spacing w:line="238" w:lineRule="exact" w:before="15"/>
              <w:ind w:left="82" w:right="62"/>
              <w:rPr>
                <w:rFonts w:ascii="Times New Roman"/>
                <w:sz w:val="21"/>
              </w:rPr>
            </w:pPr>
            <w:r>
              <w:rPr>
                <w:rFonts w:ascii="Times New Roman"/>
                <w:sz w:val="21"/>
              </w:rPr>
              <w:t>95</w:t>
            </w:r>
          </w:p>
        </w:tc>
        <w:tc>
          <w:tcPr>
            <w:tcW w:w="803" w:type="dxa"/>
          </w:tcPr>
          <w:p>
            <w:pPr>
              <w:pStyle w:val="TableParagraph"/>
              <w:spacing w:line="238" w:lineRule="exact" w:before="15"/>
              <w:ind w:left="71" w:right="44"/>
              <w:rPr>
                <w:rFonts w:ascii="Times New Roman"/>
                <w:sz w:val="21"/>
              </w:rPr>
            </w:pPr>
            <w:r>
              <w:rPr>
                <w:rFonts w:ascii="Times New Roman"/>
                <w:sz w:val="21"/>
              </w:rPr>
              <w:t>0.831</w:t>
            </w:r>
          </w:p>
        </w:tc>
        <w:tc>
          <w:tcPr>
            <w:tcW w:w="810" w:type="dxa"/>
          </w:tcPr>
          <w:p>
            <w:pPr>
              <w:pStyle w:val="TableParagraph"/>
              <w:spacing w:line="238" w:lineRule="exact" w:before="15"/>
              <w:ind w:left="149" w:right="118"/>
              <w:rPr>
                <w:rFonts w:ascii="Times New Roman"/>
                <w:sz w:val="21"/>
              </w:rPr>
            </w:pPr>
            <w:r>
              <w:rPr>
                <w:rFonts w:ascii="Times New Roman"/>
                <w:sz w:val="21"/>
              </w:rPr>
              <w:t>0.035</w:t>
            </w:r>
          </w:p>
        </w:tc>
        <w:tc>
          <w:tcPr>
            <w:tcW w:w="681" w:type="dxa"/>
          </w:tcPr>
          <w:p>
            <w:pPr>
              <w:pStyle w:val="TableParagraph"/>
              <w:spacing w:line="238" w:lineRule="exact" w:before="15"/>
              <w:ind w:left="91" w:right="63"/>
              <w:rPr>
                <w:rFonts w:ascii="Times New Roman"/>
                <w:sz w:val="21"/>
              </w:rPr>
            </w:pPr>
            <w:r>
              <w:rPr>
                <w:rFonts w:ascii="Times New Roman"/>
                <w:sz w:val="21"/>
              </w:rPr>
              <w:t>0.044</w:t>
            </w:r>
          </w:p>
        </w:tc>
        <w:tc>
          <w:tcPr>
            <w:tcW w:w="925" w:type="dxa"/>
          </w:tcPr>
          <w:p>
            <w:pPr>
              <w:pStyle w:val="TableParagraph"/>
              <w:spacing w:line="238" w:lineRule="exact" w:before="15"/>
              <w:ind w:left="235"/>
              <w:jc w:val="left"/>
              <w:rPr>
                <w:rFonts w:ascii="Times New Roman"/>
                <w:sz w:val="21"/>
              </w:rPr>
            </w:pPr>
            <w:r>
              <w:rPr>
                <w:rFonts w:ascii="Times New Roman"/>
                <w:sz w:val="21"/>
              </w:rPr>
              <w:t>0.009</w:t>
            </w:r>
          </w:p>
        </w:tc>
        <w:tc>
          <w:tcPr>
            <w:tcW w:w="913" w:type="dxa"/>
          </w:tcPr>
          <w:p>
            <w:pPr>
              <w:pStyle w:val="TableParagraph"/>
              <w:spacing w:line="238" w:lineRule="exact" w:before="15"/>
              <w:ind w:left="32"/>
              <w:rPr>
                <w:rFonts w:ascii="Times New Roman"/>
                <w:sz w:val="21"/>
              </w:rPr>
            </w:pPr>
            <w:r>
              <w:rPr>
                <w:rFonts w:ascii="Times New Roman"/>
                <w:w w:val="100"/>
                <w:sz w:val="21"/>
              </w:rPr>
              <w:t>2</w:t>
            </w:r>
          </w:p>
        </w:tc>
      </w:tr>
      <w:tr>
        <w:trPr>
          <w:trHeight w:val="270" w:hRule="atLeast"/>
        </w:trPr>
        <w:tc>
          <w:tcPr>
            <w:tcW w:w="509" w:type="dxa"/>
            <w:vMerge w:val="restart"/>
          </w:tcPr>
          <w:p>
            <w:pPr>
              <w:pStyle w:val="TableParagraph"/>
              <w:spacing w:before="156"/>
              <w:ind w:left="43"/>
              <w:jc w:val="left"/>
              <w:rPr>
                <w:rFonts w:ascii="Times New Roman"/>
                <w:sz w:val="21"/>
              </w:rPr>
            </w:pPr>
            <w:r>
              <w:rPr>
                <w:rFonts w:ascii="Times New Roman"/>
                <w:sz w:val="21"/>
              </w:rPr>
              <w:t>Ga-9</w:t>
            </w:r>
          </w:p>
        </w:tc>
        <w:tc>
          <w:tcPr>
            <w:tcW w:w="1142" w:type="dxa"/>
            <w:vMerge w:val="restart"/>
          </w:tcPr>
          <w:p>
            <w:pPr>
              <w:pStyle w:val="TableParagraph"/>
              <w:spacing w:before="142"/>
              <w:ind w:left="357"/>
              <w:jc w:val="left"/>
              <w:rPr>
                <w:sz w:val="21"/>
              </w:rPr>
            </w:pPr>
            <w:r>
              <w:rPr>
                <w:sz w:val="21"/>
              </w:rPr>
              <w:t>包装</w:t>
            </w:r>
          </w:p>
        </w:tc>
        <w:tc>
          <w:tcPr>
            <w:tcW w:w="1197" w:type="dxa"/>
            <w:vMerge w:val="restart"/>
          </w:tcPr>
          <w:p>
            <w:pPr>
              <w:pStyle w:val="TableParagraph"/>
              <w:spacing w:before="142"/>
              <w:ind w:left="79"/>
              <w:jc w:val="left"/>
              <w:rPr>
                <w:rFonts w:ascii="Times New Roman" w:eastAsia="Times New Roman"/>
                <w:sz w:val="21"/>
              </w:rPr>
            </w:pPr>
            <w:r>
              <w:rPr>
                <w:sz w:val="21"/>
              </w:rPr>
              <w:t>间歇</w:t>
            </w:r>
            <w:r>
              <w:rPr>
                <w:rFonts w:ascii="Times New Roman" w:eastAsia="Times New Roman"/>
                <w:sz w:val="21"/>
              </w:rPr>
              <w:t>(2h/</w:t>
            </w:r>
            <w:r>
              <w:rPr>
                <w:sz w:val="21"/>
              </w:rPr>
              <w:t>批</w:t>
            </w:r>
            <w:r>
              <w:rPr>
                <w:rFonts w:ascii="Times New Roman" w:eastAsia="Times New Roman"/>
                <w:sz w:val="21"/>
              </w:rPr>
              <w:t>)</w:t>
            </w:r>
          </w:p>
        </w:tc>
        <w:tc>
          <w:tcPr>
            <w:tcW w:w="1219" w:type="dxa"/>
            <w:vMerge w:val="restart"/>
          </w:tcPr>
          <w:p>
            <w:pPr>
              <w:pStyle w:val="TableParagraph"/>
              <w:spacing w:before="142"/>
              <w:ind w:left="399"/>
              <w:jc w:val="left"/>
              <w:rPr>
                <w:sz w:val="21"/>
              </w:rPr>
            </w:pPr>
            <w:r>
              <w:rPr>
                <w:sz w:val="21"/>
              </w:rPr>
              <w:t>粉尘</w:t>
            </w:r>
          </w:p>
        </w:tc>
        <w:tc>
          <w:tcPr>
            <w:tcW w:w="732" w:type="dxa"/>
          </w:tcPr>
          <w:p>
            <w:pPr>
              <w:pStyle w:val="TableParagraph"/>
              <w:spacing w:line="250" w:lineRule="exact" w:before="1"/>
              <w:ind w:left="49"/>
              <w:jc w:val="left"/>
              <w:rPr>
                <w:sz w:val="21"/>
              </w:rPr>
            </w:pPr>
            <w:r>
              <w:rPr>
                <w:sz w:val="21"/>
              </w:rPr>
              <w:t>有组织</w:t>
            </w:r>
          </w:p>
        </w:tc>
        <w:tc>
          <w:tcPr>
            <w:tcW w:w="837" w:type="dxa"/>
          </w:tcPr>
          <w:p>
            <w:pPr>
              <w:pStyle w:val="TableParagraph"/>
              <w:spacing w:line="236" w:lineRule="exact" w:before="15"/>
              <w:ind w:left="217" w:right="201"/>
              <w:rPr>
                <w:rFonts w:ascii="Times New Roman"/>
                <w:sz w:val="21"/>
              </w:rPr>
            </w:pPr>
            <w:r>
              <w:rPr>
                <w:rFonts w:ascii="Times New Roman"/>
                <w:sz w:val="21"/>
              </w:rPr>
              <w:t>0.18</w:t>
            </w:r>
          </w:p>
        </w:tc>
        <w:tc>
          <w:tcPr>
            <w:tcW w:w="695" w:type="dxa"/>
          </w:tcPr>
          <w:p>
            <w:pPr>
              <w:pStyle w:val="TableParagraph"/>
              <w:spacing w:line="236" w:lineRule="exact" w:before="15"/>
              <w:ind w:left="93" w:right="78"/>
              <w:rPr>
                <w:rFonts w:ascii="Times New Roman"/>
                <w:sz w:val="21"/>
              </w:rPr>
            </w:pPr>
            <w:r>
              <w:rPr>
                <w:rFonts w:ascii="Times New Roman"/>
                <w:sz w:val="21"/>
              </w:rPr>
              <w:t>0.225</w:t>
            </w:r>
          </w:p>
        </w:tc>
        <w:tc>
          <w:tcPr>
            <w:tcW w:w="1084" w:type="dxa"/>
          </w:tcPr>
          <w:p>
            <w:pPr>
              <w:pStyle w:val="TableParagraph"/>
              <w:spacing w:line="236" w:lineRule="exact" w:before="15"/>
              <w:ind w:left="360"/>
              <w:jc w:val="left"/>
              <w:rPr>
                <w:rFonts w:ascii="Times New Roman"/>
                <w:sz w:val="21"/>
              </w:rPr>
            </w:pPr>
            <w:r>
              <w:rPr>
                <w:rFonts w:ascii="Times New Roman"/>
                <w:sz w:val="21"/>
              </w:rPr>
              <w:t>0.18</w:t>
            </w:r>
          </w:p>
        </w:tc>
        <w:tc>
          <w:tcPr>
            <w:tcW w:w="813" w:type="dxa"/>
          </w:tcPr>
          <w:p>
            <w:pPr>
              <w:pStyle w:val="TableParagraph"/>
              <w:spacing w:line="236" w:lineRule="exact" w:before="15"/>
              <w:ind w:left="16"/>
              <w:rPr>
                <w:rFonts w:ascii="Times New Roman"/>
                <w:sz w:val="21"/>
              </w:rPr>
            </w:pPr>
            <w:r>
              <w:rPr>
                <w:rFonts w:ascii="Times New Roman"/>
                <w:w w:val="100"/>
                <w:sz w:val="21"/>
              </w:rPr>
              <w:t>0</w:t>
            </w:r>
          </w:p>
        </w:tc>
        <w:tc>
          <w:tcPr>
            <w:tcW w:w="813" w:type="dxa"/>
          </w:tcPr>
          <w:p>
            <w:pPr>
              <w:pStyle w:val="TableParagraph"/>
              <w:spacing w:line="236" w:lineRule="exact" w:before="15"/>
              <w:ind w:left="13"/>
              <w:rPr>
                <w:rFonts w:ascii="Times New Roman"/>
                <w:sz w:val="21"/>
              </w:rPr>
            </w:pPr>
            <w:r>
              <w:rPr>
                <w:rFonts w:ascii="Times New Roman"/>
                <w:w w:val="100"/>
                <w:sz w:val="21"/>
              </w:rPr>
              <w:t>0</w:t>
            </w:r>
          </w:p>
        </w:tc>
        <w:tc>
          <w:tcPr>
            <w:tcW w:w="827" w:type="dxa"/>
          </w:tcPr>
          <w:p>
            <w:pPr>
              <w:pStyle w:val="TableParagraph"/>
              <w:spacing w:line="236" w:lineRule="exact" w:before="15"/>
              <w:ind w:left="82" w:right="62"/>
              <w:rPr>
                <w:rFonts w:ascii="Times New Roman"/>
                <w:sz w:val="21"/>
              </w:rPr>
            </w:pPr>
            <w:r>
              <w:rPr>
                <w:rFonts w:ascii="Times New Roman"/>
                <w:sz w:val="21"/>
              </w:rPr>
              <w:t>95</w:t>
            </w:r>
          </w:p>
        </w:tc>
        <w:tc>
          <w:tcPr>
            <w:tcW w:w="803" w:type="dxa"/>
          </w:tcPr>
          <w:p>
            <w:pPr>
              <w:pStyle w:val="TableParagraph"/>
              <w:spacing w:line="236" w:lineRule="exact" w:before="15"/>
              <w:ind w:left="71" w:right="44"/>
              <w:rPr>
                <w:rFonts w:ascii="Times New Roman"/>
                <w:sz w:val="21"/>
              </w:rPr>
            </w:pPr>
            <w:r>
              <w:rPr>
                <w:rFonts w:ascii="Times New Roman"/>
                <w:sz w:val="21"/>
              </w:rPr>
              <w:t>0.214</w:t>
            </w:r>
          </w:p>
        </w:tc>
        <w:tc>
          <w:tcPr>
            <w:tcW w:w="810" w:type="dxa"/>
          </w:tcPr>
          <w:p>
            <w:pPr>
              <w:pStyle w:val="TableParagraph"/>
              <w:spacing w:line="236" w:lineRule="exact" w:before="15"/>
              <w:ind w:left="149" w:right="118"/>
              <w:rPr>
                <w:rFonts w:ascii="Times New Roman"/>
                <w:sz w:val="21"/>
              </w:rPr>
            </w:pPr>
            <w:r>
              <w:rPr>
                <w:rFonts w:ascii="Times New Roman"/>
                <w:sz w:val="21"/>
              </w:rPr>
              <w:t>0.009</w:t>
            </w:r>
          </w:p>
        </w:tc>
        <w:tc>
          <w:tcPr>
            <w:tcW w:w="681" w:type="dxa"/>
          </w:tcPr>
          <w:p>
            <w:pPr>
              <w:pStyle w:val="TableParagraph"/>
              <w:spacing w:line="236" w:lineRule="exact" w:before="15"/>
              <w:ind w:left="93" w:right="62"/>
              <w:rPr>
                <w:rFonts w:ascii="Times New Roman"/>
                <w:sz w:val="21"/>
              </w:rPr>
            </w:pPr>
            <w:r>
              <w:rPr>
                <w:rFonts w:ascii="Times New Roman"/>
                <w:sz w:val="21"/>
              </w:rPr>
              <w:t>0.011</w:t>
            </w:r>
          </w:p>
        </w:tc>
        <w:tc>
          <w:tcPr>
            <w:tcW w:w="925" w:type="dxa"/>
          </w:tcPr>
          <w:p>
            <w:pPr>
              <w:pStyle w:val="TableParagraph"/>
              <w:spacing w:line="236" w:lineRule="exact" w:before="15"/>
              <w:ind w:left="235"/>
              <w:jc w:val="left"/>
              <w:rPr>
                <w:rFonts w:ascii="Times New Roman"/>
                <w:sz w:val="21"/>
              </w:rPr>
            </w:pPr>
            <w:r>
              <w:rPr>
                <w:rFonts w:ascii="Times New Roman"/>
                <w:sz w:val="21"/>
              </w:rPr>
              <w:t>0.009</w:t>
            </w:r>
          </w:p>
        </w:tc>
        <w:tc>
          <w:tcPr>
            <w:tcW w:w="913" w:type="dxa"/>
            <w:vMerge w:val="restart"/>
          </w:tcPr>
          <w:p>
            <w:pPr>
              <w:pStyle w:val="TableParagraph"/>
              <w:spacing w:before="156"/>
              <w:ind w:left="32"/>
              <w:rPr>
                <w:rFonts w:ascii="Times New Roman"/>
                <w:sz w:val="21"/>
              </w:rPr>
            </w:pPr>
            <w:r>
              <w:rPr>
                <w:rFonts w:ascii="Times New Roman"/>
                <w:w w:val="100"/>
                <w:sz w:val="21"/>
              </w:rPr>
              <w:t>2</w:t>
            </w:r>
          </w:p>
        </w:tc>
      </w:tr>
      <w:tr>
        <w:trPr>
          <w:trHeight w:val="273" w:hRule="atLeast"/>
        </w:trPr>
        <w:tc>
          <w:tcPr>
            <w:tcW w:w="509" w:type="dxa"/>
            <w:vMerge/>
            <w:tcBorders>
              <w:top w:val="nil"/>
            </w:tcBorders>
          </w:tcPr>
          <w:p>
            <w:pPr>
              <w:rPr>
                <w:sz w:val="2"/>
                <w:szCs w:val="2"/>
              </w:rPr>
            </w:pPr>
          </w:p>
        </w:tc>
        <w:tc>
          <w:tcPr>
            <w:tcW w:w="1142" w:type="dxa"/>
            <w:vMerge/>
            <w:tcBorders>
              <w:top w:val="nil"/>
            </w:tcBorders>
          </w:tcPr>
          <w:p>
            <w:pPr>
              <w:rPr>
                <w:sz w:val="2"/>
                <w:szCs w:val="2"/>
              </w:rPr>
            </w:pPr>
          </w:p>
        </w:tc>
        <w:tc>
          <w:tcPr>
            <w:tcW w:w="1197" w:type="dxa"/>
            <w:vMerge/>
            <w:tcBorders>
              <w:top w:val="nil"/>
            </w:tcBorders>
          </w:tcPr>
          <w:p>
            <w:pPr>
              <w:rPr>
                <w:sz w:val="2"/>
                <w:szCs w:val="2"/>
              </w:rPr>
            </w:pPr>
          </w:p>
        </w:tc>
        <w:tc>
          <w:tcPr>
            <w:tcW w:w="1219" w:type="dxa"/>
            <w:vMerge/>
            <w:tcBorders>
              <w:top w:val="nil"/>
            </w:tcBorders>
          </w:tcPr>
          <w:p>
            <w:pPr>
              <w:rPr>
                <w:sz w:val="2"/>
                <w:szCs w:val="2"/>
              </w:rPr>
            </w:pPr>
          </w:p>
        </w:tc>
        <w:tc>
          <w:tcPr>
            <w:tcW w:w="732" w:type="dxa"/>
          </w:tcPr>
          <w:p>
            <w:pPr>
              <w:pStyle w:val="TableParagraph"/>
              <w:spacing w:line="252" w:lineRule="exact" w:before="1"/>
              <w:ind w:left="49"/>
              <w:jc w:val="left"/>
              <w:rPr>
                <w:sz w:val="21"/>
              </w:rPr>
            </w:pPr>
            <w:r>
              <w:rPr>
                <w:sz w:val="21"/>
              </w:rPr>
              <w:t>无组织</w:t>
            </w:r>
          </w:p>
        </w:tc>
        <w:tc>
          <w:tcPr>
            <w:tcW w:w="837" w:type="dxa"/>
          </w:tcPr>
          <w:p>
            <w:pPr>
              <w:pStyle w:val="TableParagraph"/>
              <w:spacing w:line="238" w:lineRule="exact" w:before="15"/>
              <w:ind w:left="217" w:right="201"/>
              <w:rPr>
                <w:rFonts w:ascii="Times New Roman"/>
                <w:sz w:val="21"/>
              </w:rPr>
            </w:pPr>
            <w:r>
              <w:rPr>
                <w:rFonts w:ascii="Times New Roman"/>
                <w:sz w:val="21"/>
              </w:rPr>
              <w:t>0.02</w:t>
            </w:r>
          </w:p>
        </w:tc>
        <w:tc>
          <w:tcPr>
            <w:tcW w:w="695" w:type="dxa"/>
          </w:tcPr>
          <w:p>
            <w:pPr>
              <w:pStyle w:val="TableParagraph"/>
              <w:spacing w:line="238" w:lineRule="exact" w:before="15"/>
              <w:ind w:left="93" w:right="78"/>
              <w:rPr>
                <w:rFonts w:ascii="Times New Roman"/>
                <w:sz w:val="21"/>
              </w:rPr>
            </w:pPr>
            <w:r>
              <w:rPr>
                <w:rFonts w:ascii="Times New Roman"/>
                <w:sz w:val="21"/>
              </w:rPr>
              <w:t>0.025</w:t>
            </w:r>
          </w:p>
        </w:tc>
        <w:tc>
          <w:tcPr>
            <w:tcW w:w="1084" w:type="dxa"/>
          </w:tcPr>
          <w:p>
            <w:pPr>
              <w:pStyle w:val="TableParagraph"/>
              <w:spacing w:line="238" w:lineRule="exact" w:before="15"/>
              <w:ind w:left="360"/>
              <w:jc w:val="left"/>
              <w:rPr>
                <w:rFonts w:ascii="Times New Roman"/>
                <w:sz w:val="21"/>
              </w:rPr>
            </w:pPr>
            <w:r>
              <w:rPr>
                <w:rFonts w:ascii="Times New Roman"/>
                <w:sz w:val="21"/>
              </w:rPr>
              <w:t>0.02</w:t>
            </w:r>
          </w:p>
        </w:tc>
        <w:tc>
          <w:tcPr>
            <w:tcW w:w="813" w:type="dxa"/>
          </w:tcPr>
          <w:p>
            <w:pPr>
              <w:pStyle w:val="TableParagraph"/>
              <w:spacing w:line="238" w:lineRule="exact" w:before="15"/>
              <w:ind w:left="16"/>
              <w:rPr>
                <w:rFonts w:ascii="Times New Roman"/>
                <w:sz w:val="21"/>
              </w:rPr>
            </w:pPr>
            <w:r>
              <w:rPr>
                <w:rFonts w:ascii="Times New Roman"/>
                <w:w w:val="100"/>
                <w:sz w:val="21"/>
              </w:rPr>
              <w:t>0</w:t>
            </w:r>
          </w:p>
        </w:tc>
        <w:tc>
          <w:tcPr>
            <w:tcW w:w="813" w:type="dxa"/>
          </w:tcPr>
          <w:p>
            <w:pPr>
              <w:pStyle w:val="TableParagraph"/>
              <w:spacing w:line="238" w:lineRule="exact" w:before="15"/>
              <w:ind w:left="13"/>
              <w:rPr>
                <w:rFonts w:ascii="Times New Roman"/>
                <w:sz w:val="21"/>
              </w:rPr>
            </w:pPr>
            <w:r>
              <w:rPr>
                <w:rFonts w:ascii="Times New Roman"/>
                <w:w w:val="100"/>
                <w:sz w:val="21"/>
              </w:rPr>
              <w:t>0</w:t>
            </w:r>
          </w:p>
        </w:tc>
        <w:tc>
          <w:tcPr>
            <w:tcW w:w="827" w:type="dxa"/>
          </w:tcPr>
          <w:p>
            <w:pPr>
              <w:pStyle w:val="TableParagraph"/>
              <w:spacing w:line="238" w:lineRule="exact" w:before="15"/>
              <w:ind w:left="20"/>
              <w:rPr>
                <w:rFonts w:ascii="Times New Roman"/>
                <w:sz w:val="21"/>
              </w:rPr>
            </w:pPr>
            <w:r>
              <w:rPr>
                <w:rFonts w:ascii="Times New Roman"/>
                <w:w w:val="100"/>
                <w:sz w:val="21"/>
              </w:rPr>
              <w:t>0</w:t>
            </w:r>
          </w:p>
        </w:tc>
        <w:tc>
          <w:tcPr>
            <w:tcW w:w="803" w:type="dxa"/>
          </w:tcPr>
          <w:p>
            <w:pPr>
              <w:pStyle w:val="TableParagraph"/>
              <w:spacing w:line="238" w:lineRule="exact" w:before="15"/>
              <w:ind w:left="22"/>
              <w:rPr>
                <w:rFonts w:ascii="Times New Roman"/>
                <w:sz w:val="21"/>
              </w:rPr>
            </w:pPr>
            <w:r>
              <w:rPr>
                <w:rFonts w:ascii="Times New Roman"/>
                <w:w w:val="100"/>
                <w:sz w:val="21"/>
              </w:rPr>
              <w:t>0</w:t>
            </w:r>
          </w:p>
        </w:tc>
        <w:tc>
          <w:tcPr>
            <w:tcW w:w="810" w:type="dxa"/>
          </w:tcPr>
          <w:p>
            <w:pPr>
              <w:pStyle w:val="TableParagraph"/>
              <w:spacing w:line="238" w:lineRule="exact" w:before="15"/>
              <w:ind w:left="149" w:right="118"/>
              <w:rPr>
                <w:rFonts w:ascii="Times New Roman"/>
                <w:sz w:val="21"/>
              </w:rPr>
            </w:pPr>
            <w:r>
              <w:rPr>
                <w:rFonts w:ascii="Times New Roman"/>
                <w:sz w:val="21"/>
              </w:rPr>
              <w:t>0.02</w:t>
            </w:r>
          </w:p>
        </w:tc>
        <w:tc>
          <w:tcPr>
            <w:tcW w:w="681" w:type="dxa"/>
          </w:tcPr>
          <w:p>
            <w:pPr>
              <w:pStyle w:val="TableParagraph"/>
              <w:spacing w:line="238" w:lineRule="exact" w:before="15"/>
              <w:ind w:left="92" w:right="63"/>
              <w:rPr>
                <w:rFonts w:ascii="Times New Roman"/>
                <w:sz w:val="21"/>
              </w:rPr>
            </w:pPr>
            <w:r>
              <w:rPr>
                <w:rFonts w:ascii="Times New Roman"/>
                <w:sz w:val="21"/>
              </w:rPr>
              <w:t>0.025</w:t>
            </w:r>
          </w:p>
        </w:tc>
        <w:tc>
          <w:tcPr>
            <w:tcW w:w="925" w:type="dxa"/>
          </w:tcPr>
          <w:p>
            <w:pPr>
              <w:pStyle w:val="TableParagraph"/>
              <w:spacing w:line="238" w:lineRule="exact" w:before="15"/>
              <w:ind w:left="288"/>
              <w:jc w:val="left"/>
              <w:rPr>
                <w:rFonts w:ascii="Times New Roman"/>
                <w:sz w:val="21"/>
              </w:rPr>
            </w:pPr>
            <w:r>
              <w:rPr>
                <w:rFonts w:ascii="Times New Roman"/>
                <w:sz w:val="21"/>
              </w:rPr>
              <w:t>0.02</w:t>
            </w:r>
          </w:p>
        </w:tc>
        <w:tc>
          <w:tcPr>
            <w:tcW w:w="913" w:type="dxa"/>
            <w:vMerge/>
            <w:tcBorders>
              <w:top w:val="nil"/>
            </w:tcBorders>
          </w:tcPr>
          <w:p>
            <w:pPr>
              <w:rPr>
                <w:sz w:val="2"/>
                <w:szCs w:val="2"/>
              </w:rPr>
            </w:pPr>
          </w:p>
        </w:tc>
      </w:tr>
    </w:tbl>
    <w:p>
      <w:pPr>
        <w:tabs>
          <w:tab w:pos="1329" w:val="left" w:leader="none"/>
        </w:tabs>
        <w:spacing w:before="144" w:after="29"/>
        <w:ind w:left="1" w:right="0" w:firstLine="0"/>
        <w:jc w:val="center"/>
        <w:rPr>
          <w:b/>
          <w:sz w:val="24"/>
        </w:rPr>
      </w:pPr>
      <w:r>
        <w:rPr>
          <w:b/>
          <w:sz w:val="24"/>
        </w:rPr>
        <w:t>表</w:t>
      </w:r>
      <w:r>
        <w:rPr>
          <w:b/>
          <w:spacing w:val="-64"/>
          <w:sz w:val="24"/>
        </w:rPr>
        <w:t> </w:t>
      </w:r>
      <w:r>
        <w:rPr>
          <w:rFonts w:ascii="Times New Roman" w:eastAsia="Times New Roman"/>
          <w:b/>
          <w:sz w:val="24"/>
        </w:rPr>
        <w:t>4.2.1-11</w:t>
        <w:tab/>
      </w:r>
      <w:r>
        <w:rPr>
          <w:b/>
          <w:sz w:val="24"/>
        </w:rPr>
        <w:t>三环唑生产过程废气产生及排放情况</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1"/>
        <w:gridCol w:w="1827"/>
        <w:gridCol w:w="1843"/>
        <w:gridCol w:w="1932"/>
        <w:gridCol w:w="1286"/>
        <w:gridCol w:w="1281"/>
        <w:gridCol w:w="1284"/>
        <w:gridCol w:w="1276"/>
      </w:tblGrid>
      <w:tr>
        <w:trPr>
          <w:trHeight w:val="273" w:hRule="atLeast"/>
        </w:trPr>
        <w:tc>
          <w:tcPr>
            <w:tcW w:w="3281" w:type="dxa"/>
            <w:vMerge w:val="restart"/>
          </w:tcPr>
          <w:p>
            <w:pPr>
              <w:pStyle w:val="TableParagraph"/>
              <w:spacing w:before="2"/>
              <w:jc w:val="left"/>
              <w:rPr>
                <w:b/>
                <w:sz w:val="22"/>
              </w:rPr>
            </w:pPr>
          </w:p>
          <w:p>
            <w:pPr>
              <w:pStyle w:val="TableParagraph"/>
              <w:ind w:left="1199" w:right="1187"/>
              <w:rPr>
                <w:b/>
                <w:sz w:val="21"/>
              </w:rPr>
            </w:pPr>
            <w:r>
              <w:rPr>
                <w:b/>
                <w:sz w:val="21"/>
              </w:rPr>
              <w:t>废气名称</w:t>
            </w:r>
          </w:p>
        </w:tc>
        <w:tc>
          <w:tcPr>
            <w:tcW w:w="3670" w:type="dxa"/>
            <w:gridSpan w:val="2"/>
            <w:vMerge w:val="restart"/>
          </w:tcPr>
          <w:p>
            <w:pPr>
              <w:pStyle w:val="TableParagraph"/>
              <w:spacing w:before="142"/>
              <w:ind w:left="1495" w:right="1492"/>
              <w:rPr>
                <w:b/>
                <w:sz w:val="21"/>
              </w:rPr>
            </w:pPr>
            <w:r>
              <w:rPr>
                <w:b/>
                <w:sz w:val="21"/>
              </w:rPr>
              <w:t>产生量</w:t>
            </w:r>
          </w:p>
        </w:tc>
        <w:tc>
          <w:tcPr>
            <w:tcW w:w="7059" w:type="dxa"/>
            <w:gridSpan w:val="5"/>
          </w:tcPr>
          <w:p>
            <w:pPr>
              <w:pStyle w:val="TableParagraph"/>
              <w:spacing w:line="252" w:lineRule="exact" w:before="1"/>
              <w:ind w:left="3194" w:right="3181"/>
              <w:rPr>
                <w:b/>
                <w:sz w:val="21"/>
              </w:rPr>
            </w:pPr>
            <w:r>
              <w:rPr>
                <w:b/>
                <w:sz w:val="21"/>
              </w:rPr>
              <w:t>排放量</w:t>
            </w:r>
          </w:p>
        </w:tc>
      </w:tr>
      <w:tr>
        <w:trPr>
          <w:trHeight w:val="270" w:hRule="atLeast"/>
        </w:trPr>
        <w:tc>
          <w:tcPr>
            <w:tcW w:w="3281" w:type="dxa"/>
            <w:vMerge/>
            <w:tcBorders>
              <w:top w:val="nil"/>
            </w:tcBorders>
          </w:tcPr>
          <w:p>
            <w:pPr>
              <w:rPr>
                <w:sz w:val="2"/>
                <w:szCs w:val="2"/>
              </w:rPr>
            </w:pPr>
          </w:p>
        </w:tc>
        <w:tc>
          <w:tcPr>
            <w:tcW w:w="3670" w:type="dxa"/>
            <w:gridSpan w:val="2"/>
            <w:vMerge/>
            <w:tcBorders>
              <w:top w:val="nil"/>
            </w:tcBorders>
          </w:tcPr>
          <w:p>
            <w:pPr>
              <w:rPr>
                <w:sz w:val="2"/>
                <w:szCs w:val="2"/>
              </w:rPr>
            </w:pPr>
          </w:p>
        </w:tc>
        <w:tc>
          <w:tcPr>
            <w:tcW w:w="3218" w:type="dxa"/>
            <w:gridSpan w:val="2"/>
          </w:tcPr>
          <w:p>
            <w:pPr>
              <w:pStyle w:val="TableParagraph"/>
              <w:spacing w:line="250" w:lineRule="exact" w:before="1"/>
              <w:ind w:left="418" w:right="409"/>
              <w:rPr>
                <w:b/>
                <w:sz w:val="21"/>
              </w:rPr>
            </w:pPr>
            <w:r>
              <w:rPr>
                <w:b/>
                <w:sz w:val="21"/>
              </w:rPr>
              <w:t>有组织</w:t>
            </w:r>
          </w:p>
        </w:tc>
        <w:tc>
          <w:tcPr>
            <w:tcW w:w="2565" w:type="dxa"/>
            <w:gridSpan w:val="2"/>
          </w:tcPr>
          <w:p>
            <w:pPr>
              <w:pStyle w:val="TableParagraph"/>
              <w:spacing w:line="250" w:lineRule="exact" w:before="1"/>
              <w:ind w:left="943" w:right="938"/>
              <w:rPr>
                <w:b/>
                <w:sz w:val="21"/>
              </w:rPr>
            </w:pPr>
            <w:r>
              <w:rPr>
                <w:b/>
                <w:sz w:val="21"/>
              </w:rPr>
              <w:t>无组织</w:t>
            </w:r>
          </w:p>
        </w:tc>
        <w:tc>
          <w:tcPr>
            <w:tcW w:w="1276" w:type="dxa"/>
          </w:tcPr>
          <w:p>
            <w:pPr>
              <w:pStyle w:val="TableParagraph"/>
              <w:spacing w:line="250" w:lineRule="exact" w:before="1"/>
              <w:ind w:left="132" w:right="117"/>
              <w:rPr>
                <w:b/>
                <w:sz w:val="21"/>
              </w:rPr>
            </w:pPr>
            <w:r>
              <w:rPr>
                <w:b/>
                <w:sz w:val="21"/>
              </w:rPr>
              <w:t>小计</w:t>
            </w:r>
          </w:p>
        </w:tc>
      </w:tr>
      <w:tr>
        <w:trPr>
          <w:trHeight w:val="273" w:hRule="atLeast"/>
        </w:trPr>
        <w:tc>
          <w:tcPr>
            <w:tcW w:w="3281" w:type="dxa"/>
            <w:vMerge/>
            <w:tcBorders>
              <w:top w:val="nil"/>
            </w:tcBorders>
          </w:tcPr>
          <w:p>
            <w:pPr>
              <w:rPr>
                <w:sz w:val="2"/>
                <w:szCs w:val="2"/>
              </w:rPr>
            </w:pPr>
          </w:p>
        </w:tc>
        <w:tc>
          <w:tcPr>
            <w:tcW w:w="1827" w:type="dxa"/>
          </w:tcPr>
          <w:p>
            <w:pPr>
              <w:pStyle w:val="TableParagraph"/>
              <w:spacing w:line="252" w:lineRule="exact" w:before="1"/>
              <w:ind w:left="169" w:right="162"/>
              <w:rPr>
                <w:rFonts w:ascii="Times New Roman" w:eastAsia="Times New Roman"/>
                <w:b/>
                <w:sz w:val="21"/>
              </w:rPr>
            </w:pPr>
            <w:r>
              <w:rPr>
                <w:b/>
                <w:sz w:val="21"/>
              </w:rPr>
              <w:t>最大值 </w:t>
            </w:r>
            <w:r>
              <w:rPr>
                <w:rFonts w:ascii="Times New Roman" w:eastAsia="Times New Roman"/>
                <w:b/>
                <w:sz w:val="21"/>
              </w:rPr>
              <w:t>kg/h</w:t>
            </w:r>
          </w:p>
        </w:tc>
        <w:tc>
          <w:tcPr>
            <w:tcW w:w="1843" w:type="dxa"/>
          </w:tcPr>
          <w:p>
            <w:pPr>
              <w:pStyle w:val="TableParagraph"/>
              <w:spacing w:line="252" w:lineRule="exact" w:before="1"/>
              <w:ind w:left="415" w:right="405"/>
              <w:rPr>
                <w:rFonts w:ascii="Times New Roman" w:eastAsia="Times New Roman"/>
                <w:b/>
                <w:sz w:val="21"/>
              </w:rPr>
            </w:pPr>
            <w:r>
              <w:rPr>
                <w:b/>
                <w:sz w:val="21"/>
              </w:rPr>
              <w:t>年总量 </w:t>
            </w:r>
            <w:r>
              <w:rPr>
                <w:rFonts w:ascii="Times New Roman" w:eastAsia="Times New Roman"/>
                <w:b/>
                <w:sz w:val="21"/>
              </w:rPr>
              <w:t>t/a</w:t>
            </w:r>
          </w:p>
        </w:tc>
        <w:tc>
          <w:tcPr>
            <w:tcW w:w="1932" w:type="dxa"/>
          </w:tcPr>
          <w:p>
            <w:pPr>
              <w:pStyle w:val="TableParagraph"/>
              <w:spacing w:line="252" w:lineRule="exact" w:before="1"/>
              <w:ind w:left="377" w:right="369"/>
              <w:rPr>
                <w:rFonts w:ascii="Times New Roman" w:eastAsia="Times New Roman"/>
                <w:b/>
                <w:sz w:val="21"/>
              </w:rPr>
            </w:pPr>
            <w:r>
              <w:rPr>
                <w:b/>
                <w:sz w:val="21"/>
              </w:rPr>
              <w:t>最大值 </w:t>
            </w:r>
            <w:r>
              <w:rPr>
                <w:rFonts w:ascii="Times New Roman" w:eastAsia="Times New Roman"/>
                <w:b/>
                <w:sz w:val="21"/>
              </w:rPr>
              <w:t>kg/h</w:t>
            </w:r>
          </w:p>
        </w:tc>
        <w:tc>
          <w:tcPr>
            <w:tcW w:w="1286" w:type="dxa"/>
          </w:tcPr>
          <w:p>
            <w:pPr>
              <w:pStyle w:val="TableParagraph"/>
              <w:spacing w:line="252" w:lineRule="exact" w:before="1"/>
              <w:ind w:left="137" w:right="126"/>
              <w:rPr>
                <w:rFonts w:ascii="Times New Roman" w:eastAsia="Times New Roman"/>
                <w:b/>
                <w:sz w:val="21"/>
              </w:rPr>
            </w:pPr>
            <w:r>
              <w:rPr>
                <w:b/>
                <w:sz w:val="21"/>
              </w:rPr>
              <w:t>年总量 </w:t>
            </w:r>
            <w:r>
              <w:rPr>
                <w:rFonts w:ascii="Times New Roman" w:eastAsia="Times New Roman"/>
                <w:b/>
                <w:sz w:val="21"/>
              </w:rPr>
              <w:t>t/a</w:t>
            </w:r>
          </w:p>
        </w:tc>
        <w:tc>
          <w:tcPr>
            <w:tcW w:w="1281" w:type="dxa"/>
          </w:tcPr>
          <w:p>
            <w:pPr>
              <w:pStyle w:val="TableParagraph"/>
              <w:spacing w:line="252" w:lineRule="exact" w:before="1"/>
              <w:ind w:left="7"/>
              <w:rPr>
                <w:rFonts w:ascii="Times New Roman" w:eastAsia="Times New Roman"/>
                <w:b/>
                <w:sz w:val="21"/>
              </w:rPr>
            </w:pPr>
            <w:r>
              <w:rPr>
                <w:b/>
                <w:sz w:val="21"/>
              </w:rPr>
              <w:t>最大值 </w:t>
            </w:r>
            <w:r>
              <w:rPr>
                <w:rFonts w:ascii="Times New Roman" w:eastAsia="Times New Roman"/>
                <w:b/>
                <w:sz w:val="21"/>
              </w:rPr>
              <w:t>kg/h</w:t>
            </w:r>
          </w:p>
        </w:tc>
        <w:tc>
          <w:tcPr>
            <w:tcW w:w="1284" w:type="dxa"/>
          </w:tcPr>
          <w:p>
            <w:pPr>
              <w:pStyle w:val="TableParagraph"/>
              <w:spacing w:line="252" w:lineRule="exact" w:before="1"/>
              <w:ind w:left="136" w:right="125"/>
              <w:rPr>
                <w:rFonts w:ascii="Times New Roman" w:eastAsia="Times New Roman"/>
                <w:b/>
                <w:sz w:val="21"/>
              </w:rPr>
            </w:pPr>
            <w:r>
              <w:rPr>
                <w:b/>
                <w:sz w:val="21"/>
              </w:rPr>
              <w:t>年总量 </w:t>
            </w:r>
            <w:r>
              <w:rPr>
                <w:rFonts w:ascii="Times New Roman" w:eastAsia="Times New Roman"/>
                <w:b/>
                <w:sz w:val="21"/>
              </w:rPr>
              <w:t>t/a</w:t>
            </w:r>
          </w:p>
        </w:tc>
        <w:tc>
          <w:tcPr>
            <w:tcW w:w="1276" w:type="dxa"/>
          </w:tcPr>
          <w:p>
            <w:pPr>
              <w:pStyle w:val="TableParagraph"/>
              <w:spacing w:line="252" w:lineRule="exact" w:before="1"/>
              <w:ind w:left="132" w:right="117"/>
              <w:rPr>
                <w:rFonts w:ascii="Times New Roman" w:eastAsia="Times New Roman"/>
                <w:b/>
                <w:sz w:val="21"/>
              </w:rPr>
            </w:pPr>
            <w:r>
              <w:rPr>
                <w:b/>
                <w:sz w:val="21"/>
              </w:rPr>
              <w:t>年总量 </w:t>
            </w:r>
            <w:r>
              <w:rPr>
                <w:rFonts w:ascii="Times New Roman" w:eastAsia="Times New Roman"/>
                <w:b/>
                <w:sz w:val="21"/>
              </w:rPr>
              <w:t>t/a</w:t>
            </w:r>
          </w:p>
        </w:tc>
      </w:tr>
      <w:tr>
        <w:trPr>
          <w:trHeight w:val="273" w:hRule="atLeast"/>
        </w:trPr>
        <w:tc>
          <w:tcPr>
            <w:tcW w:w="3281" w:type="dxa"/>
          </w:tcPr>
          <w:p>
            <w:pPr>
              <w:pStyle w:val="TableParagraph"/>
              <w:spacing w:line="252" w:lineRule="exact" w:before="1"/>
              <w:ind w:left="1199" w:right="1187"/>
              <w:rPr>
                <w:sz w:val="21"/>
              </w:rPr>
            </w:pPr>
            <w:r>
              <w:rPr>
                <w:sz w:val="21"/>
              </w:rPr>
              <w:t>甲酸</w:t>
            </w:r>
          </w:p>
        </w:tc>
        <w:tc>
          <w:tcPr>
            <w:tcW w:w="1827" w:type="dxa"/>
          </w:tcPr>
          <w:p>
            <w:pPr>
              <w:pStyle w:val="TableParagraph"/>
              <w:spacing w:line="238" w:lineRule="exact" w:before="15"/>
              <w:ind w:left="169" w:right="162"/>
              <w:rPr>
                <w:rFonts w:ascii="Times New Roman"/>
                <w:sz w:val="21"/>
              </w:rPr>
            </w:pPr>
            <w:r>
              <w:rPr>
                <w:rFonts w:ascii="Times New Roman"/>
                <w:sz w:val="21"/>
              </w:rPr>
              <w:t>2.4</w:t>
            </w:r>
          </w:p>
        </w:tc>
        <w:tc>
          <w:tcPr>
            <w:tcW w:w="1843" w:type="dxa"/>
          </w:tcPr>
          <w:p>
            <w:pPr>
              <w:pStyle w:val="TableParagraph"/>
              <w:spacing w:line="238" w:lineRule="exact" w:before="15"/>
              <w:ind w:left="415" w:right="405"/>
              <w:rPr>
                <w:rFonts w:ascii="Times New Roman"/>
                <w:sz w:val="21"/>
              </w:rPr>
            </w:pPr>
            <w:r>
              <w:rPr>
                <w:rFonts w:ascii="Times New Roman"/>
                <w:sz w:val="21"/>
              </w:rPr>
              <w:t>13.625</w:t>
            </w:r>
          </w:p>
        </w:tc>
        <w:tc>
          <w:tcPr>
            <w:tcW w:w="1932" w:type="dxa"/>
          </w:tcPr>
          <w:p>
            <w:pPr>
              <w:pStyle w:val="TableParagraph"/>
              <w:spacing w:line="238" w:lineRule="exact" w:before="15"/>
              <w:ind w:left="377" w:right="369"/>
              <w:rPr>
                <w:rFonts w:ascii="Times New Roman"/>
                <w:sz w:val="21"/>
              </w:rPr>
            </w:pPr>
            <w:r>
              <w:rPr>
                <w:rFonts w:ascii="Times New Roman"/>
                <w:sz w:val="21"/>
              </w:rPr>
              <w:t>0.042</w:t>
            </w:r>
          </w:p>
        </w:tc>
        <w:tc>
          <w:tcPr>
            <w:tcW w:w="1286" w:type="dxa"/>
          </w:tcPr>
          <w:p>
            <w:pPr>
              <w:pStyle w:val="TableParagraph"/>
              <w:spacing w:line="238" w:lineRule="exact" w:before="15"/>
              <w:ind w:left="137" w:right="126"/>
              <w:rPr>
                <w:rFonts w:ascii="Times New Roman"/>
                <w:sz w:val="21"/>
              </w:rPr>
            </w:pPr>
            <w:r>
              <w:rPr>
                <w:rFonts w:ascii="Times New Roman"/>
                <w:sz w:val="21"/>
              </w:rPr>
              <w:t>0.238</w:t>
            </w:r>
          </w:p>
        </w:tc>
        <w:tc>
          <w:tcPr>
            <w:tcW w:w="1281" w:type="dxa"/>
          </w:tcPr>
          <w:p>
            <w:pPr>
              <w:pStyle w:val="TableParagraph"/>
              <w:ind w:left="7"/>
              <w:rPr>
                <w:rFonts w:ascii="Times New Roman"/>
                <w:sz w:val="21"/>
              </w:rPr>
            </w:pPr>
            <w:r>
              <w:rPr>
                <w:rFonts w:ascii="Times New Roman"/>
                <w:w w:val="100"/>
                <w:sz w:val="21"/>
              </w:rPr>
              <w:t>0</w:t>
            </w:r>
          </w:p>
        </w:tc>
        <w:tc>
          <w:tcPr>
            <w:tcW w:w="1284" w:type="dxa"/>
          </w:tcPr>
          <w:p>
            <w:pPr>
              <w:pStyle w:val="TableParagraph"/>
              <w:ind w:left="12"/>
              <w:rPr>
                <w:rFonts w:ascii="Times New Roman"/>
                <w:sz w:val="21"/>
              </w:rPr>
            </w:pPr>
            <w:r>
              <w:rPr>
                <w:rFonts w:ascii="Times New Roman"/>
                <w:w w:val="100"/>
                <w:sz w:val="21"/>
              </w:rPr>
              <w:t>0</w:t>
            </w:r>
          </w:p>
        </w:tc>
        <w:tc>
          <w:tcPr>
            <w:tcW w:w="1276" w:type="dxa"/>
          </w:tcPr>
          <w:p>
            <w:pPr>
              <w:pStyle w:val="TableParagraph"/>
              <w:ind w:left="132" w:right="117"/>
              <w:rPr>
                <w:rFonts w:ascii="Times New Roman"/>
                <w:sz w:val="21"/>
              </w:rPr>
            </w:pPr>
            <w:r>
              <w:rPr>
                <w:rFonts w:ascii="Times New Roman"/>
                <w:sz w:val="21"/>
              </w:rPr>
              <w:t>0.238</w:t>
            </w:r>
          </w:p>
        </w:tc>
      </w:tr>
      <w:tr>
        <w:trPr>
          <w:trHeight w:val="270" w:hRule="atLeast"/>
        </w:trPr>
        <w:tc>
          <w:tcPr>
            <w:tcW w:w="3281" w:type="dxa"/>
          </w:tcPr>
          <w:p>
            <w:pPr>
              <w:pStyle w:val="TableParagraph"/>
              <w:spacing w:line="250" w:lineRule="exact" w:before="1"/>
              <w:ind w:left="1199" w:right="1187"/>
              <w:rPr>
                <w:sz w:val="21"/>
              </w:rPr>
            </w:pPr>
            <w:r>
              <w:rPr>
                <w:sz w:val="21"/>
              </w:rPr>
              <w:t>粉尘</w:t>
            </w:r>
          </w:p>
        </w:tc>
        <w:tc>
          <w:tcPr>
            <w:tcW w:w="1827" w:type="dxa"/>
          </w:tcPr>
          <w:p>
            <w:pPr>
              <w:pStyle w:val="TableParagraph"/>
              <w:spacing w:line="236" w:lineRule="exact" w:before="15"/>
              <w:ind w:left="169" w:right="162"/>
              <w:rPr>
                <w:rFonts w:ascii="Times New Roman"/>
                <w:sz w:val="21"/>
              </w:rPr>
            </w:pPr>
            <w:r>
              <w:rPr>
                <w:rFonts w:ascii="Times New Roman"/>
                <w:sz w:val="21"/>
              </w:rPr>
              <w:t>0.4</w:t>
            </w:r>
          </w:p>
        </w:tc>
        <w:tc>
          <w:tcPr>
            <w:tcW w:w="1843" w:type="dxa"/>
          </w:tcPr>
          <w:p>
            <w:pPr>
              <w:pStyle w:val="TableParagraph"/>
              <w:spacing w:line="236" w:lineRule="exact" w:before="15"/>
              <w:ind w:left="415" w:right="405"/>
              <w:rPr>
                <w:rFonts w:ascii="Times New Roman"/>
                <w:sz w:val="21"/>
              </w:rPr>
            </w:pPr>
            <w:r>
              <w:rPr>
                <w:rFonts w:ascii="Times New Roman"/>
                <w:sz w:val="21"/>
              </w:rPr>
              <w:t>0.5</w:t>
            </w:r>
          </w:p>
        </w:tc>
        <w:tc>
          <w:tcPr>
            <w:tcW w:w="1932" w:type="dxa"/>
          </w:tcPr>
          <w:p>
            <w:pPr>
              <w:pStyle w:val="TableParagraph"/>
              <w:spacing w:line="236" w:lineRule="exact" w:before="15"/>
              <w:ind w:left="377" w:right="369"/>
              <w:rPr>
                <w:rFonts w:ascii="Times New Roman"/>
                <w:sz w:val="21"/>
              </w:rPr>
            </w:pPr>
            <w:r>
              <w:rPr>
                <w:rFonts w:ascii="Times New Roman"/>
                <w:sz w:val="21"/>
              </w:rPr>
              <w:t>0.018</w:t>
            </w:r>
          </w:p>
        </w:tc>
        <w:tc>
          <w:tcPr>
            <w:tcW w:w="1286" w:type="dxa"/>
          </w:tcPr>
          <w:p>
            <w:pPr>
              <w:pStyle w:val="TableParagraph"/>
              <w:spacing w:line="236" w:lineRule="exact" w:before="15"/>
              <w:ind w:left="137" w:right="126"/>
              <w:rPr>
                <w:rFonts w:ascii="Times New Roman"/>
                <w:sz w:val="21"/>
              </w:rPr>
            </w:pPr>
            <w:r>
              <w:rPr>
                <w:rFonts w:ascii="Times New Roman"/>
                <w:sz w:val="21"/>
              </w:rPr>
              <w:t>0.022</w:t>
            </w:r>
          </w:p>
        </w:tc>
        <w:tc>
          <w:tcPr>
            <w:tcW w:w="1281" w:type="dxa"/>
          </w:tcPr>
          <w:p>
            <w:pPr>
              <w:pStyle w:val="TableParagraph"/>
              <w:spacing w:line="240" w:lineRule="exact"/>
              <w:ind w:left="7"/>
              <w:rPr>
                <w:rFonts w:ascii="Times New Roman"/>
                <w:sz w:val="21"/>
              </w:rPr>
            </w:pPr>
            <w:r>
              <w:rPr>
                <w:rFonts w:ascii="Times New Roman"/>
                <w:sz w:val="21"/>
              </w:rPr>
              <w:t>0.04</w:t>
            </w:r>
          </w:p>
        </w:tc>
        <w:tc>
          <w:tcPr>
            <w:tcW w:w="1284" w:type="dxa"/>
          </w:tcPr>
          <w:p>
            <w:pPr>
              <w:pStyle w:val="TableParagraph"/>
              <w:spacing w:line="240" w:lineRule="exact"/>
              <w:ind w:left="136" w:right="124"/>
              <w:rPr>
                <w:rFonts w:ascii="Times New Roman"/>
                <w:sz w:val="21"/>
              </w:rPr>
            </w:pPr>
            <w:r>
              <w:rPr>
                <w:rFonts w:ascii="Times New Roman"/>
                <w:sz w:val="21"/>
              </w:rPr>
              <w:t>0.05</w:t>
            </w:r>
          </w:p>
        </w:tc>
        <w:tc>
          <w:tcPr>
            <w:tcW w:w="1276" w:type="dxa"/>
          </w:tcPr>
          <w:p>
            <w:pPr>
              <w:pStyle w:val="TableParagraph"/>
              <w:spacing w:line="240" w:lineRule="exact"/>
              <w:ind w:left="132" w:right="117"/>
              <w:rPr>
                <w:rFonts w:ascii="Times New Roman"/>
                <w:sz w:val="21"/>
              </w:rPr>
            </w:pPr>
            <w:r>
              <w:rPr>
                <w:rFonts w:ascii="Times New Roman"/>
                <w:sz w:val="21"/>
              </w:rPr>
              <w:t>0.072</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8"/>
        </w:rPr>
      </w:pPr>
      <w:r>
        <w:rPr/>
        <w:pict>
          <v:line style="position:absolute;mso-position-horizontal-relative:page;mso-position-vertical-relative:paragraph;z-index:-251530240;mso-wrap-distance-left:0;mso-wrap-distance-right:0" from="69.480003pt,14.32351pt" to="773.860003pt,14.32351pt" stroked="true" strokeweight=".47998pt" strokecolor="#000000">
            <v:stroke dashstyle="solid"/>
            <w10:wrap type="topAndBottom"/>
          </v:line>
        </w:pict>
      </w:r>
    </w:p>
    <w:p>
      <w:pPr>
        <w:spacing w:after="0"/>
        <w:rPr>
          <w:sz w:val="18"/>
        </w:rPr>
        <w:sectPr>
          <w:headerReference w:type="default" r:id="rId47"/>
          <w:footerReference w:type="default" r:id="rId48"/>
          <w:pgSz w:w="16840" w:h="11910" w:orient="landscape"/>
          <w:pgMar w:header="0" w:footer="866" w:top="640" w:bottom="1060" w:left="1300" w:right="1300"/>
        </w:sectPr>
      </w:pPr>
    </w:p>
    <w:p>
      <w:pPr>
        <w:pStyle w:val="ListParagraph"/>
        <w:numPr>
          <w:ilvl w:val="2"/>
          <w:numId w:val="13"/>
        </w:numPr>
        <w:tabs>
          <w:tab w:pos="999" w:val="left" w:leader="none"/>
        </w:tabs>
        <w:spacing w:line="240" w:lineRule="auto" w:before="64" w:after="0"/>
        <w:ind w:left="998" w:right="0" w:hanging="541"/>
        <w:jc w:val="left"/>
        <w:rPr>
          <w:b/>
          <w:sz w:val="24"/>
        </w:rPr>
      </w:pPr>
      <w:r>
        <w:rPr>
          <w:b/>
          <w:spacing w:val="-20"/>
          <w:sz w:val="24"/>
        </w:rPr>
        <w:t>年产 </w:t>
      </w:r>
      <w:r>
        <w:rPr>
          <w:rFonts w:ascii="Times New Roman" w:eastAsia="Times New Roman"/>
          <w:b/>
          <w:sz w:val="24"/>
        </w:rPr>
        <w:t>200 </w:t>
      </w:r>
      <w:r>
        <w:rPr>
          <w:b/>
          <w:sz w:val="24"/>
        </w:rPr>
        <w:t>吨三环唑可湿性粉剂生产线</w:t>
      </w:r>
    </w:p>
    <w:p>
      <w:pPr>
        <w:pStyle w:val="ListParagraph"/>
        <w:numPr>
          <w:ilvl w:val="3"/>
          <w:numId w:val="13"/>
        </w:numPr>
        <w:tabs>
          <w:tab w:pos="1422" w:val="left" w:leader="none"/>
        </w:tabs>
        <w:spacing w:line="240" w:lineRule="auto" w:before="158" w:after="0"/>
        <w:ind w:left="1421" w:right="0" w:hanging="721"/>
        <w:jc w:val="left"/>
        <w:rPr>
          <w:b/>
          <w:sz w:val="24"/>
        </w:rPr>
      </w:pPr>
      <w:r>
        <w:rPr>
          <w:b/>
          <w:sz w:val="24"/>
        </w:rPr>
        <w:t>生产设备清单</w:t>
      </w:r>
    </w:p>
    <w:p>
      <w:pPr>
        <w:pStyle w:val="BodyText"/>
        <w:spacing w:before="7"/>
        <w:rPr>
          <w:b/>
          <w:sz w:val="23"/>
        </w:rPr>
      </w:pPr>
    </w:p>
    <w:p>
      <w:pPr>
        <w:tabs>
          <w:tab w:pos="1221" w:val="left" w:leader="none"/>
          <w:tab w:pos="6488" w:val="left" w:leader="none"/>
        </w:tabs>
        <w:spacing w:before="0" w:after="29"/>
        <w:ind w:left="0" w:right="15" w:firstLine="0"/>
        <w:jc w:val="center"/>
        <w:rPr>
          <w:b/>
          <w:sz w:val="24"/>
        </w:rPr>
      </w:pPr>
      <w:r>
        <w:rPr>
          <w:b/>
          <w:sz w:val="24"/>
        </w:rPr>
        <w:t>表</w:t>
      </w:r>
      <w:r>
        <w:rPr>
          <w:b/>
          <w:spacing w:val="-60"/>
          <w:sz w:val="24"/>
        </w:rPr>
        <w:t> </w:t>
      </w:r>
      <w:r>
        <w:rPr>
          <w:rFonts w:ascii="Times New Roman" w:eastAsia="Times New Roman"/>
          <w:b/>
          <w:sz w:val="24"/>
        </w:rPr>
        <w:t>4.2.2-1</w:t>
        <w:tab/>
        <w:t>200t/a</w:t>
      </w:r>
      <w:r>
        <w:rPr>
          <w:rFonts w:ascii="Times New Roman" w:eastAsia="Times New Roman"/>
          <w:b/>
          <w:spacing w:val="-1"/>
          <w:sz w:val="24"/>
        </w:rPr>
        <w:t> </w:t>
      </w:r>
      <w:r>
        <w:rPr>
          <w:b/>
          <w:sz w:val="24"/>
        </w:rPr>
        <w:t>三环唑可湿性粉剂主要生产设备汇总表</w:t>
        <w:tab/>
        <w:t>单位：</w:t>
      </w:r>
      <w:r>
        <w:rPr>
          <w:b/>
          <w:spacing w:val="3"/>
          <w:sz w:val="24"/>
        </w:rPr>
        <w:t>台</w:t>
      </w:r>
      <w:r>
        <w:rPr>
          <w:rFonts w:ascii="Times New Roman" w:eastAsia="Times New Roman"/>
          <w:b/>
          <w:sz w:val="24"/>
        </w:rPr>
        <w:t>/</w:t>
      </w:r>
      <w:r>
        <w:rPr>
          <w:b/>
          <w:sz w:val="24"/>
        </w:rPr>
        <w:t>套</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1748"/>
        <w:gridCol w:w="2621"/>
        <w:gridCol w:w="991"/>
        <w:gridCol w:w="993"/>
        <w:gridCol w:w="1846"/>
      </w:tblGrid>
      <w:tr>
        <w:trPr>
          <w:trHeight w:val="282" w:hRule="atLeast"/>
        </w:trPr>
        <w:tc>
          <w:tcPr>
            <w:tcW w:w="883" w:type="dxa"/>
          </w:tcPr>
          <w:p>
            <w:pPr>
              <w:pStyle w:val="TableParagraph"/>
              <w:spacing w:line="257" w:lineRule="exact" w:before="5"/>
              <w:ind w:left="230"/>
              <w:jc w:val="left"/>
              <w:rPr>
                <w:b/>
                <w:sz w:val="21"/>
              </w:rPr>
            </w:pPr>
            <w:r>
              <w:rPr>
                <w:b/>
                <w:sz w:val="21"/>
              </w:rPr>
              <w:t>序号</w:t>
            </w:r>
          </w:p>
        </w:tc>
        <w:tc>
          <w:tcPr>
            <w:tcW w:w="1748" w:type="dxa"/>
          </w:tcPr>
          <w:p>
            <w:pPr>
              <w:pStyle w:val="TableParagraph"/>
              <w:spacing w:line="257" w:lineRule="exact" w:before="5"/>
              <w:ind w:left="451"/>
              <w:jc w:val="left"/>
              <w:rPr>
                <w:b/>
                <w:sz w:val="21"/>
              </w:rPr>
            </w:pPr>
            <w:r>
              <w:rPr>
                <w:b/>
                <w:sz w:val="21"/>
              </w:rPr>
              <w:t>设备名称</w:t>
            </w:r>
          </w:p>
        </w:tc>
        <w:tc>
          <w:tcPr>
            <w:tcW w:w="2621" w:type="dxa"/>
          </w:tcPr>
          <w:p>
            <w:pPr>
              <w:pStyle w:val="TableParagraph"/>
              <w:spacing w:line="257" w:lineRule="exact" w:before="5"/>
              <w:ind w:left="642"/>
              <w:jc w:val="left"/>
              <w:rPr>
                <w:b/>
                <w:sz w:val="21"/>
              </w:rPr>
            </w:pPr>
            <w:r>
              <w:rPr>
                <w:b/>
                <w:sz w:val="21"/>
              </w:rPr>
              <w:t>容积</w:t>
            </w:r>
            <w:r>
              <w:rPr>
                <w:rFonts w:ascii="Times New Roman" w:eastAsia="Times New Roman"/>
                <w:b/>
                <w:sz w:val="21"/>
              </w:rPr>
              <w:t>(L)</w:t>
            </w:r>
            <w:r>
              <w:rPr>
                <w:b/>
                <w:sz w:val="21"/>
              </w:rPr>
              <w:t>或规格</w:t>
            </w:r>
          </w:p>
        </w:tc>
        <w:tc>
          <w:tcPr>
            <w:tcW w:w="991" w:type="dxa"/>
          </w:tcPr>
          <w:p>
            <w:pPr>
              <w:pStyle w:val="TableParagraph"/>
              <w:spacing w:line="257" w:lineRule="exact" w:before="5"/>
              <w:ind w:left="283"/>
              <w:jc w:val="left"/>
              <w:rPr>
                <w:b/>
                <w:sz w:val="21"/>
              </w:rPr>
            </w:pPr>
            <w:r>
              <w:rPr>
                <w:b/>
                <w:sz w:val="21"/>
              </w:rPr>
              <w:t>单位</w:t>
            </w:r>
          </w:p>
        </w:tc>
        <w:tc>
          <w:tcPr>
            <w:tcW w:w="993" w:type="dxa"/>
          </w:tcPr>
          <w:p>
            <w:pPr>
              <w:pStyle w:val="TableParagraph"/>
              <w:spacing w:line="257" w:lineRule="exact" w:before="5"/>
              <w:ind w:left="285"/>
              <w:jc w:val="left"/>
              <w:rPr>
                <w:b/>
                <w:sz w:val="21"/>
              </w:rPr>
            </w:pPr>
            <w:r>
              <w:rPr>
                <w:b/>
                <w:sz w:val="21"/>
              </w:rPr>
              <w:t>数量</w:t>
            </w:r>
          </w:p>
        </w:tc>
        <w:tc>
          <w:tcPr>
            <w:tcW w:w="1846" w:type="dxa"/>
          </w:tcPr>
          <w:p>
            <w:pPr>
              <w:pStyle w:val="TableParagraph"/>
              <w:spacing w:line="257" w:lineRule="exact" w:before="5"/>
              <w:ind w:left="9"/>
              <w:rPr>
                <w:b/>
                <w:sz w:val="21"/>
              </w:rPr>
            </w:pPr>
            <w:r>
              <w:rPr>
                <w:b/>
                <w:sz w:val="21"/>
              </w:rPr>
              <w:t>备注</w:t>
            </w:r>
          </w:p>
        </w:tc>
      </w:tr>
      <w:tr>
        <w:trPr>
          <w:trHeight w:val="285" w:hRule="atLeast"/>
        </w:trPr>
        <w:tc>
          <w:tcPr>
            <w:tcW w:w="883" w:type="dxa"/>
          </w:tcPr>
          <w:p>
            <w:pPr>
              <w:pStyle w:val="TableParagraph"/>
              <w:jc w:val="left"/>
              <w:rPr>
                <w:rFonts w:ascii="Times New Roman"/>
                <w:sz w:val="20"/>
              </w:rPr>
            </w:pPr>
          </w:p>
        </w:tc>
        <w:tc>
          <w:tcPr>
            <w:tcW w:w="1748" w:type="dxa"/>
          </w:tcPr>
          <w:p>
            <w:pPr>
              <w:pStyle w:val="TableParagraph"/>
              <w:spacing w:line="257" w:lineRule="exact" w:before="8"/>
              <w:ind w:left="451"/>
              <w:jc w:val="left"/>
              <w:rPr>
                <w:b/>
                <w:sz w:val="21"/>
              </w:rPr>
            </w:pPr>
            <w:r>
              <w:rPr>
                <w:b/>
                <w:color w:val="FF0000"/>
                <w:sz w:val="21"/>
              </w:rPr>
              <w:t>涉密删除</w:t>
            </w: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2"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5"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2"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5"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2"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5"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3"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5"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r>
        <w:trPr>
          <w:trHeight w:val="285" w:hRule="atLeast"/>
        </w:trPr>
        <w:tc>
          <w:tcPr>
            <w:tcW w:w="883" w:type="dxa"/>
          </w:tcPr>
          <w:p>
            <w:pPr>
              <w:pStyle w:val="TableParagraph"/>
              <w:jc w:val="left"/>
              <w:rPr>
                <w:rFonts w:ascii="Times New Roman"/>
                <w:sz w:val="20"/>
              </w:rPr>
            </w:pPr>
          </w:p>
        </w:tc>
        <w:tc>
          <w:tcPr>
            <w:tcW w:w="1748" w:type="dxa"/>
          </w:tcPr>
          <w:p>
            <w:pPr>
              <w:pStyle w:val="TableParagraph"/>
              <w:jc w:val="left"/>
              <w:rPr>
                <w:rFonts w:ascii="Times New Roman"/>
                <w:sz w:val="20"/>
              </w:rPr>
            </w:pPr>
          </w:p>
        </w:tc>
        <w:tc>
          <w:tcPr>
            <w:tcW w:w="2621" w:type="dxa"/>
          </w:tcPr>
          <w:p>
            <w:pPr>
              <w:pStyle w:val="TableParagraph"/>
              <w:jc w:val="left"/>
              <w:rPr>
                <w:rFonts w:ascii="Times New Roman"/>
                <w:sz w:val="20"/>
              </w:rPr>
            </w:pPr>
          </w:p>
        </w:tc>
        <w:tc>
          <w:tcPr>
            <w:tcW w:w="991"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1846" w:type="dxa"/>
          </w:tcPr>
          <w:p>
            <w:pPr>
              <w:pStyle w:val="TableParagraph"/>
              <w:jc w:val="left"/>
              <w:rPr>
                <w:rFonts w:ascii="Times New Roman"/>
                <w:sz w:val="20"/>
              </w:rPr>
            </w:pPr>
          </w:p>
        </w:tc>
      </w:tr>
    </w:tbl>
    <w:p>
      <w:pPr>
        <w:pStyle w:val="ListParagraph"/>
        <w:numPr>
          <w:ilvl w:val="3"/>
          <w:numId w:val="13"/>
        </w:numPr>
        <w:tabs>
          <w:tab w:pos="1422" w:val="left" w:leader="none"/>
        </w:tabs>
        <w:spacing w:line="240" w:lineRule="auto" w:before="2" w:after="0"/>
        <w:ind w:left="1421" w:right="0" w:hanging="721"/>
        <w:jc w:val="left"/>
        <w:rPr>
          <w:b/>
          <w:sz w:val="24"/>
        </w:rPr>
      </w:pPr>
      <w:r>
        <w:rPr>
          <w:b/>
          <w:sz w:val="24"/>
        </w:rPr>
        <w:t>原辅材料消耗</w:t>
      </w:r>
    </w:p>
    <w:p>
      <w:pPr>
        <w:pStyle w:val="BodyText"/>
        <w:spacing w:before="5"/>
        <w:rPr>
          <w:b/>
          <w:sz w:val="23"/>
        </w:rPr>
      </w:pPr>
    </w:p>
    <w:p>
      <w:pPr>
        <w:tabs>
          <w:tab w:pos="1222" w:val="left" w:leader="none"/>
        </w:tabs>
        <w:spacing w:before="0" w:after="29"/>
        <w:ind w:left="0" w:right="16" w:firstLine="0"/>
        <w:jc w:val="center"/>
        <w:rPr>
          <w:b/>
          <w:sz w:val="24"/>
        </w:rPr>
      </w:pPr>
      <w:r>
        <w:rPr>
          <w:b/>
          <w:sz w:val="24"/>
        </w:rPr>
        <w:t>表</w:t>
      </w:r>
      <w:r>
        <w:rPr>
          <w:b/>
          <w:spacing w:val="-60"/>
          <w:sz w:val="24"/>
        </w:rPr>
        <w:t> </w:t>
      </w:r>
      <w:r>
        <w:rPr>
          <w:rFonts w:ascii="Times New Roman" w:eastAsia="Times New Roman"/>
          <w:b/>
          <w:sz w:val="24"/>
        </w:rPr>
        <w:t>4.2.2-2</w:t>
        <w:tab/>
      </w:r>
      <w:r>
        <w:rPr>
          <w:b/>
          <w:sz w:val="24"/>
        </w:rPr>
        <w:t>三环唑可湿性粉剂原辅材料消耗情况</w:t>
      </w:r>
    </w:p>
    <w:tbl>
      <w:tblPr>
        <w:tblW w:w="0" w:type="auto"/>
        <w:jc w:val="left"/>
        <w:tblInd w:w="1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58"/>
        <w:gridCol w:w="1428"/>
        <w:gridCol w:w="1105"/>
        <w:gridCol w:w="1416"/>
        <w:gridCol w:w="1277"/>
        <w:gridCol w:w="1277"/>
        <w:gridCol w:w="1868"/>
      </w:tblGrid>
      <w:tr>
        <w:trPr>
          <w:trHeight w:val="285" w:hRule="atLeast"/>
        </w:trPr>
        <w:tc>
          <w:tcPr>
            <w:tcW w:w="758" w:type="dxa"/>
          </w:tcPr>
          <w:p>
            <w:pPr>
              <w:pStyle w:val="TableParagraph"/>
              <w:spacing w:line="257" w:lineRule="exact" w:before="8"/>
              <w:ind w:left="167"/>
              <w:jc w:val="left"/>
              <w:rPr>
                <w:b/>
                <w:sz w:val="21"/>
              </w:rPr>
            </w:pPr>
            <w:r>
              <w:rPr>
                <w:b/>
                <w:sz w:val="21"/>
              </w:rPr>
              <w:t>序号</w:t>
            </w:r>
          </w:p>
        </w:tc>
        <w:tc>
          <w:tcPr>
            <w:tcW w:w="1428" w:type="dxa"/>
          </w:tcPr>
          <w:p>
            <w:pPr>
              <w:pStyle w:val="TableParagraph"/>
              <w:spacing w:line="257" w:lineRule="exact" w:before="8"/>
              <w:ind w:left="153" w:right="146"/>
              <w:rPr>
                <w:b/>
                <w:sz w:val="21"/>
              </w:rPr>
            </w:pPr>
            <w:r>
              <w:rPr>
                <w:b/>
                <w:sz w:val="21"/>
              </w:rPr>
              <w:t>原料名称</w:t>
            </w:r>
          </w:p>
        </w:tc>
        <w:tc>
          <w:tcPr>
            <w:tcW w:w="1105" w:type="dxa"/>
          </w:tcPr>
          <w:p>
            <w:pPr>
              <w:pStyle w:val="TableParagraph"/>
              <w:spacing w:line="257" w:lineRule="exact" w:before="8"/>
              <w:ind w:left="165"/>
              <w:jc w:val="left"/>
              <w:rPr>
                <w:rFonts w:ascii="Times New Roman" w:eastAsia="Times New Roman"/>
                <w:b/>
                <w:sz w:val="21"/>
              </w:rPr>
            </w:pPr>
            <w:r>
              <w:rPr>
                <w:b/>
                <w:sz w:val="21"/>
              </w:rPr>
              <w:t>规格</w:t>
            </w:r>
            <w:r>
              <w:rPr>
                <w:rFonts w:ascii="Times New Roman" w:eastAsia="Times New Roman"/>
                <w:b/>
                <w:sz w:val="21"/>
              </w:rPr>
              <w:t>(%)</w:t>
            </w:r>
          </w:p>
        </w:tc>
        <w:tc>
          <w:tcPr>
            <w:tcW w:w="1416" w:type="dxa"/>
          </w:tcPr>
          <w:p>
            <w:pPr>
              <w:pStyle w:val="TableParagraph"/>
              <w:spacing w:line="257" w:lineRule="exact" w:before="8"/>
              <w:ind w:left="74"/>
              <w:jc w:val="left"/>
              <w:rPr>
                <w:rFonts w:ascii="Times New Roman" w:eastAsia="Times New Roman"/>
                <w:b/>
                <w:sz w:val="21"/>
              </w:rPr>
            </w:pPr>
            <w:r>
              <w:rPr>
                <w:b/>
                <w:sz w:val="21"/>
              </w:rPr>
              <w:t>投料量</w:t>
            </w:r>
            <w:r>
              <w:rPr>
                <w:rFonts w:ascii="Times New Roman" w:eastAsia="Times New Roman"/>
                <w:b/>
                <w:sz w:val="21"/>
              </w:rPr>
              <w:t>(kg/</w:t>
            </w:r>
            <w:r>
              <w:rPr>
                <w:b/>
                <w:sz w:val="21"/>
              </w:rPr>
              <w:t>批</w:t>
            </w:r>
            <w:r>
              <w:rPr>
                <w:rFonts w:ascii="Times New Roman" w:eastAsia="Times New Roman"/>
                <w:b/>
                <w:sz w:val="21"/>
              </w:rPr>
              <w:t>)</w:t>
            </w:r>
          </w:p>
        </w:tc>
        <w:tc>
          <w:tcPr>
            <w:tcW w:w="1277" w:type="dxa"/>
          </w:tcPr>
          <w:p>
            <w:pPr>
              <w:pStyle w:val="TableParagraph"/>
              <w:spacing w:line="257" w:lineRule="exact" w:before="8"/>
              <w:ind w:left="134"/>
              <w:jc w:val="left"/>
              <w:rPr>
                <w:rFonts w:ascii="Times New Roman" w:eastAsia="Times New Roman"/>
                <w:b/>
                <w:sz w:val="21"/>
              </w:rPr>
            </w:pPr>
            <w:r>
              <w:rPr>
                <w:b/>
                <w:sz w:val="21"/>
              </w:rPr>
              <w:t>投加量</w:t>
            </w:r>
            <w:r>
              <w:rPr>
                <w:rFonts w:ascii="Times New Roman" w:eastAsia="Times New Roman"/>
                <w:b/>
                <w:sz w:val="21"/>
              </w:rPr>
              <w:t>(t/a)</w:t>
            </w:r>
          </w:p>
        </w:tc>
        <w:tc>
          <w:tcPr>
            <w:tcW w:w="1277" w:type="dxa"/>
          </w:tcPr>
          <w:p>
            <w:pPr>
              <w:pStyle w:val="TableParagraph"/>
              <w:spacing w:line="257" w:lineRule="exact" w:before="8"/>
              <w:ind w:left="132"/>
              <w:jc w:val="left"/>
              <w:rPr>
                <w:rFonts w:ascii="Times New Roman" w:eastAsia="Times New Roman"/>
                <w:b/>
                <w:sz w:val="21"/>
              </w:rPr>
            </w:pPr>
            <w:r>
              <w:rPr>
                <w:b/>
                <w:sz w:val="21"/>
              </w:rPr>
              <w:t>消耗量</w:t>
            </w:r>
            <w:r>
              <w:rPr>
                <w:rFonts w:ascii="Times New Roman" w:eastAsia="Times New Roman"/>
                <w:b/>
                <w:sz w:val="21"/>
              </w:rPr>
              <w:t>(t/a)</w:t>
            </w:r>
          </w:p>
        </w:tc>
        <w:tc>
          <w:tcPr>
            <w:tcW w:w="1868" w:type="dxa"/>
          </w:tcPr>
          <w:p>
            <w:pPr>
              <w:pStyle w:val="TableParagraph"/>
              <w:spacing w:line="257" w:lineRule="exact" w:before="8"/>
              <w:ind w:left="134"/>
              <w:jc w:val="left"/>
              <w:rPr>
                <w:rFonts w:ascii="Times New Roman" w:eastAsia="Times New Roman"/>
                <w:b/>
                <w:sz w:val="21"/>
              </w:rPr>
            </w:pPr>
            <w:r>
              <w:rPr>
                <w:b/>
                <w:sz w:val="21"/>
              </w:rPr>
              <w:t>单耗量</w:t>
            </w:r>
            <w:r>
              <w:rPr>
                <w:rFonts w:ascii="Times New Roman" w:eastAsia="Times New Roman"/>
                <w:b/>
                <w:sz w:val="21"/>
              </w:rPr>
              <w:t>(kg/t </w:t>
            </w:r>
            <w:r>
              <w:rPr>
                <w:b/>
                <w:sz w:val="21"/>
              </w:rPr>
              <w:t>产品</w:t>
            </w:r>
            <w:r>
              <w:rPr>
                <w:rFonts w:ascii="Times New Roman" w:eastAsia="Times New Roman"/>
                <w:b/>
                <w:sz w:val="21"/>
              </w:rPr>
              <w:t>)</w:t>
            </w:r>
          </w:p>
        </w:tc>
      </w:tr>
      <w:tr>
        <w:trPr>
          <w:trHeight w:val="283" w:hRule="atLeast"/>
        </w:trPr>
        <w:tc>
          <w:tcPr>
            <w:tcW w:w="758" w:type="dxa"/>
          </w:tcPr>
          <w:p>
            <w:pPr>
              <w:pStyle w:val="TableParagraph"/>
              <w:jc w:val="left"/>
              <w:rPr>
                <w:rFonts w:ascii="Times New Roman"/>
                <w:sz w:val="20"/>
              </w:rPr>
            </w:pPr>
          </w:p>
        </w:tc>
        <w:tc>
          <w:tcPr>
            <w:tcW w:w="1428" w:type="dxa"/>
          </w:tcPr>
          <w:p>
            <w:pPr>
              <w:pStyle w:val="TableParagraph"/>
              <w:spacing w:line="257" w:lineRule="exact" w:before="6"/>
              <w:ind w:left="153" w:right="146"/>
              <w:rPr>
                <w:b/>
                <w:sz w:val="21"/>
              </w:rPr>
            </w:pPr>
            <w:r>
              <w:rPr>
                <w:b/>
                <w:color w:val="FF0000"/>
                <w:sz w:val="21"/>
              </w:rPr>
              <w:t>涉密删除</w:t>
            </w:r>
          </w:p>
        </w:tc>
        <w:tc>
          <w:tcPr>
            <w:tcW w:w="1105"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868" w:type="dxa"/>
          </w:tcPr>
          <w:p>
            <w:pPr>
              <w:pStyle w:val="TableParagraph"/>
              <w:jc w:val="left"/>
              <w:rPr>
                <w:rFonts w:ascii="Times New Roman"/>
                <w:sz w:val="20"/>
              </w:rPr>
            </w:pPr>
          </w:p>
        </w:tc>
      </w:tr>
      <w:tr>
        <w:trPr>
          <w:trHeight w:val="282" w:hRule="atLeast"/>
        </w:trPr>
        <w:tc>
          <w:tcPr>
            <w:tcW w:w="758" w:type="dxa"/>
          </w:tcPr>
          <w:p>
            <w:pPr>
              <w:pStyle w:val="TableParagraph"/>
              <w:jc w:val="left"/>
              <w:rPr>
                <w:rFonts w:ascii="Times New Roman"/>
                <w:sz w:val="20"/>
              </w:rPr>
            </w:pPr>
          </w:p>
        </w:tc>
        <w:tc>
          <w:tcPr>
            <w:tcW w:w="1428" w:type="dxa"/>
          </w:tcPr>
          <w:p>
            <w:pPr>
              <w:pStyle w:val="TableParagraph"/>
              <w:jc w:val="left"/>
              <w:rPr>
                <w:rFonts w:ascii="Times New Roman"/>
                <w:sz w:val="20"/>
              </w:rPr>
            </w:pPr>
          </w:p>
        </w:tc>
        <w:tc>
          <w:tcPr>
            <w:tcW w:w="1105"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868" w:type="dxa"/>
          </w:tcPr>
          <w:p>
            <w:pPr>
              <w:pStyle w:val="TableParagraph"/>
              <w:jc w:val="left"/>
              <w:rPr>
                <w:rFonts w:ascii="Times New Roman"/>
                <w:sz w:val="20"/>
              </w:rPr>
            </w:pPr>
          </w:p>
        </w:tc>
      </w:tr>
      <w:tr>
        <w:trPr>
          <w:trHeight w:val="285" w:hRule="atLeast"/>
        </w:trPr>
        <w:tc>
          <w:tcPr>
            <w:tcW w:w="758" w:type="dxa"/>
          </w:tcPr>
          <w:p>
            <w:pPr>
              <w:pStyle w:val="TableParagraph"/>
              <w:jc w:val="left"/>
              <w:rPr>
                <w:rFonts w:ascii="Times New Roman"/>
                <w:sz w:val="20"/>
              </w:rPr>
            </w:pPr>
          </w:p>
        </w:tc>
        <w:tc>
          <w:tcPr>
            <w:tcW w:w="1428" w:type="dxa"/>
          </w:tcPr>
          <w:p>
            <w:pPr>
              <w:pStyle w:val="TableParagraph"/>
              <w:jc w:val="left"/>
              <w:rPr>
                <w:rFonts w:ascii="Times New Roman"/>
                <w:sz w:val="20"/>
              </w:rPr>
            </w:pPr>
          </w:p>
        </w:tc>
        <w:tc>
          <w:tcPr>
            <w:tcW w:w="1105"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868" w:type="dxa"/>
          </w:tcPr>
          <w:p>
            <w:pPr>
              <w:pStyle w:val="TableParagraph"/>
              <w:jc w:val="left"/>
              <w:rPr>
                <w:rFonts w:ascii="Times New Roman"/>
                <w:sz w:val="20"/>
              </w:rPr>
            </w:pPr>
          </w:p>
        </w:tc>
      </w:tr>
      <w:tr>
        <w:trPr>
          <w:trHeight w:val="283" w:hRule="atLeast"/>
        </w:trPr>
        <w:tc>
          <w:tcPr>
            <w:tcW w:w="758" w:type="dxa"/>
          </w:tcPr>
          <w:p>
            <w:pPr>
              <w:pStyle w:val="TableParagraph"/>
              <w:jc w:val="left"/>
              <w:rPr>
                <w:rFonts w:ascii="Times New Roman"/>
                <w:sz w:val="20"/>
              </w:rPr>
            </w:pPr>
          </w:p>
        </w:tc>
        <w:tc>
          <w:tcPr>
            <w:tcW w:w="1428" w:type="dxa"/>
          </w:tcPr>
          <w:p>
            <w:pPr>
              <w:pStyle w:val="TableParagraph"/>
              <w:jc w:val="left"/>
              <w:rPr>
                <w:rFonts w:ascii="Times New Roman"/>
                <w:sz w:val="20"/>
              </w:rPr>
            </w:pPr>
          </w:p>
        </w:tc>
        <w:tc>
          <w:tcPr>
            <w:tcW w:w="1105"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868" w:type="dxa"/>
          </w:tcPr>
          <w:p>
            <w:pPr>
              <w:pStyle w:val="TableParagraph"/>
              <w:jc w:val="left"/>
              <w:rPr>
                <w:rFonts w:ascii="Times New Roman"/>
                <w:sz w:val="20"/>
              </w:rPr>
            </w:pPr>
          </w:p>
        </w:tc>
      </w:tr>
      <w:tr>
        <w:trPr>
          <w:trHeight w:val="285" w:hRule="atLeast"/>
        </w:trPr>
        <w:tc>
          <w:tcPr>
            <w:tcW w:w="758" w:type="dxa"/>
          </w:tcPr>
          <w:p>
            <w:pPr>
              <w:pStyle w:val="TableParagraph"/>
              <w:jc w:val="left"/>
              <w:rPr>
                <w:rFonts w:ascii="Times New Roman"/>
                <w:sz w:val="20"/>
              </w:rPr>
            </w:pPr>
          </w:p>
        </w:tc>
        <w:tc>
          <w:tcPr>
            <w:tcW w:w="1428" w:type="dxa"/>
          </w:tcPr>
          <w:p>
            <w:pPr>
              <w:pStyle w:val="TableParagraph"/>
              <w:jc w:val="left"/>
              <w:rPr>
                <w:rFonts w:ascii="Times New Roman"/>
                <w:sz w:val="20"/>
              </w:rPr>
            </w:pPr>
          </w:p>
        </w:tc>
        <w:tc>
          <w:tcPr>
            <w:tcW w:w="1105"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868" w:type="dxa"/>
          </w:tcPr>
          <w:p>
            <w:pPr>
              <w:pStyle w:val="TableParagraph"/>
              <w:jc w:val="left"/>
              <w:rPr>
                <w:rFonts w:ascii="Times New Roman"/>
                <w:sz w:val="20"/>
              </w:rPr>
            </w:pPr>
          </w:p>
        </w:tc>
      </w:tr>
      <w:tr>
        <w:trPr>
          <w:trHeight w:val="283" w:hRule="atLeast"/>
        </w:trPr>
        <w:tc>
          <w:tcPr>
            <w:tcW w:w="758" w:type="dxa"/>
          </w:tcPr>
          <w:p>
            <w:pPr>
              <w:pStyle w:val="TableParagraph"/>
              <w:jc w:val="left"/>
              <w:rPr>
                <w:rFonts w:ascii="Times New Roman"/>
                <w:sz w:val="20"/>
              </w:rPr>
            </w:pPr>
          </w:p>
        </w:tc>
        <w:tc>
          <w:tcPr>
            <w:tcW w:w="1428" w:type="dxa"/>
          </w:tcPr>
          <w:p>
            <w:pPr>
              <w:pStyle w:val="TableParagraph"/>
              <w:jc w:val="left"/>
              <w:rPr>
                <w:rFonts w:ascii="Times New Roman"/>
                <w:sz w:val="20"/>
              </w:rPr>
            </w:pPr>
          </w:p>
        </w:tc>
        <w:tc>
          <w:tcPr>
            <w:tcW w:w="1105"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868" w:type="dxa"/>
          </w:tcPr>
          <w:p>
            <w:pPr>
              <w:pStyle w:val="TableParagraph"/>
              <w:jc w:val="left"/>
              <w:rPr>
                <w:rFonts w:ascii="Times New Roman"/>
                <w:sz w:val="20"/>
              </w:rPr>
            </w:pPr>
          </w:p>
        </w:tc>
      </w:tr>
    </w:tbl>
    <w:p>
      <w:pPr>
        <w:pStyle w:val="ListParagraph"/>
        <w:numPr>
          <w:ilvl w:val="3"/>
          <w:numId w:val="13"/>
        </w:numPr>
        <w:tabs>
          <w:tab w:pos="1422" w:val="left" w:leader="none"/>
        </w:tabs>
        <w:spacing w:line="240" w:lineRule="auto" w:before="2" w:after="0"/>
        <w:ind w:left="1421" w:right="0" w:hanging="721"/>
        <w:jc w:val="left"/>
        <w:rPr>
          <w:b/>
          <w:sz w:val="24"/>
        </w:rPr>
      </w:pPr>
      <w:r>
        <w:rPr>
          <w:b/>
          <w:sz w:val="24"/>
        </w:rPr>
        <w:t>生产工艺流程及简述</w:t>
      </w:r>
    </w:p>
    <w:p>
      <w:pPr>
        <w:spacing w:before="161"/>
        <w:ind w:left="701" w:right="0" w:firstLine="0"/>
        <w:jc w:val="left"/>
        <w:rPr>
          <w:b/>
          <w:sz w:val="24"/>
        </w:rPr>
      </w:pPr>
      <w:r>
        <w:rPr>
          <w:rFonts w:ascii="Times New Roman" w:eastAsia="Times New Roman"/>
          <w:b/>
          <w:sz w:val="24"/>
        </w:rPr>
        <w:t>1</w:t>
      </w:r>
      <w:r>
        <w:rPr>
          <w:b/>
          <w:sz w:val="24"/>
        </w:rPr>
        <w:t>、生产工艺流程及产污位置图</w:t>
      </w:r>
    </w:p>
    <w:p>
      <w:pPr>
        <w:pStyle w:val="BodyText"/>
        <w:spacing w:before="158"/>
        <w:ind w:left="696"/>
      </w:pPr>
      <w:r>
        <w:rPr/>
        <w:t>三环唑可湿性粉剂生产工艺流程及产污位置如下图所示。</w:t>
      </w:r>
    </w:p>
    <w:p>
      <w:pPr>
        <w:spacing w:before="159"/>
        <w:ind w:left="638" w:right="0" w:firstLine="0"/>
        <w:jc w:val="left"/>
        <w:rPr>
          <w:b/>
          <w:sz w:val="21"/>
        </w:rPr>
      </w:pPr>
      <w:r>
        <w:rPr>
          <w:b/>
          <w:color w:val="FF0000"/>
          <w:sz w:val="21"/>
        </w:rPr>
        <w:t>涉密删除</w:t>
      </w:r>
    </w:p>
    <w:p>
      <w:pPr>
        <w:pStyle w:val="Heading4"/>
        <w:spacing w:before="140"/>
      </w:pPr>
      <w:r>
        <w:rPr>
          <w:rFonts w:ascii="Times New Roman" w:eastAsia="Times New Roman"/>
        </w:rPr>
        <w:t>2</w:t>
      </w:r>
      <w:r>
        <w:rPr/>
        <w:t>、生产工艺流程简述</w:t>
      </w:r>
    </w:p>
    <w:p>
      <w:pPr>
        <w:spacing w:before="157"/>
        <w:ind w:left="641" w:right="0" w:firstLine="0"/>
        <w:jc w:val="left"/>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6"/>
        </w:rPr>
      </w:pPr>
      <w:r>
        <w:rPr/>
        <w:pict>
          <v:line style="position:absolute;mso-position-horizontal-relative:page;mso-position-vertical-relative:paragraph;z-index:-251529216;mso-wrap-distance-left:0;mso-wrap-distance-right:0" from="69.949997pt,12.96625pt" to="511.699997pt,12.96625pt" stroked="true" strokeweight=".75pt" strokecolor="#000000">
            <v:stroke dashstyle="solid"/>
            <w10:wrap type="topAndBottom"/>
          </v:line>
        </w:pict>
      </w:r>
    </w:p>
    <w:p>
      <w:pPr>
        <w:spacing w:after="0"/>
        <w:rPr>
          <w:sz w:val="16"/>
        </w:rPr>
        <w:sectPr>
          <w:headerReference w:type="default" r:id="rId49"/>
          <w:footerReference w:type="default" r:id="rId50"/>
          <w:pgSz w:w="11910" w:h="16850"/>
          <w:pgMar w:header="872" w:footer="848" w:top="1340" w:bottom="1040" w:left="1200" w:right="1180"/>
          <w:pgNumType w:start="89"/>
        </w:sectPr>
      </w:pPr>
    </w:p>
    <w:p>
      <w:pPr>
        <w:pStyle w:val="Heading4"/>
        <w:numPr>
          <w:ilvl w:val="3"/>
          <w:numId w:val="13"/>
        </w:numPr>
        <w:tabs>
          <w:tab w:pos="1422" w:val="left" w:leader="none"/>
        </w:tabs>
        <w:spacing w:line="240" w:lineRule="auto" w:before="64" w:after="0"/>
        <w:ind w:left="1421" w:right="0" w:hanging="721"/>
        <w:jc w:val="left"/>
      </w:pPr>
      <w:r>
        <w:rPr/>
        <w:t>全年总平衡表</w:t>
      </w:r>
    </w:p>
    <w:p>
      <w:pPr>
        <w:pStyle w:val="BodyText"/>
        <w:spacing w:before="5"/>
        <w:rPr>
          <w:b/>
          <w:sz w:val="23"/>
        </w:rPr>
      </w:pPr>
    </w:p>
    <w:p>
      <w:pPr>
        <w:tabs>
          <w:tab w:pos="1222" w:val="left" w:leader="none"/>
        </w:tabs>
        <w:spacing w:before="0" w:after="29"/>
        <w:ind w:left="0" w:right="17" w:firstLine="0"/>
        <w:jc w:val="center"/>
        <w:rPr>
          <w:b/>
          <w:sz w:val="24"/>
        </w:rPr>
      </w:pPr>
      <w:r>
        <w:rPr>
          <w:b/>
          <w:sz w:val="24"/>
        </w:rPr>
        <w:t>表</w:t>
      </w:r>
      <w:r>
        <w:rPr>
          <w:b/>
          <w:spacing w:val="-60"/>
          <w:sz w:val="24"/>
        </w:rPr>
        <w:t> </w:t>
      </w:r>
      <w:r>
        <w:rPr>
          <w:rFonts w:ascii="Times New Roman" w:eastAsia="Times New Roman"/>
          <w:b/>
          <w:sz w:val="24"/>
        </w:rPr>
        <w:t>4.2.2-3</w:t>
        <w:tab/>
      </w:r>
      <w:r>
        <w:rPr>
          <w:b/>
          <w:sz w:val="24"/>
        </w:rPr>
        <w:t>三环唑可湿性粉剂产品工艺物料全年总平衡表</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51"/>
        <w:gridCol w:w="1558"/>
        <w:gridCol w:w="1277"/>
        <w:gridCol w:w="2127"/>
        <w:gridCol w:w="1275"/>
        <w:gridCol w:w="1102"/>
      </w:tblGrid>
      <w:tr>
        <w:trPr>
          <w:trHeight w:val="273" w:hRule="atLeast"/>
        </w:trPr>
        <w:tc>
          <w:tcPr>
            <w:tcW w:w="4786" w:type="dxa"/>
            <w:gridSpan w:val="3"/>
          </w:tcPr>
          <w:p>
            <w:pPr>
              <w:pStyle w:val="TableParagraph"/>
              <w:spacing w:line="252" w:lineRule="exact" w:before="1"/>
              <w:ind w:left="2056" w:right="2052"/>
              <w:rPr>
                <w:b/>
                <w:sz w:val="21"/>
              </w:rPr>
            </w:pPr>
            <w:r>
              <w:rPr>
                <w:b/>
                <w:sz w:val="21"/>
              </w:rPr>
              <w:t>进料量</w:t>
            </w:r>
          </w:p>
        </w:tc>
        <w:tc>
          <w:tcPr>
            <w:tcW w:w="4504" w:type="dxa"/>
            <w:gridSpan w:val="3"/>
          </w:tcPr>
          <w:p>
            <w:pPr>
              <w:pStyle w:val="TableParagraph"/>
              <w:spacing w:line="252" w:lineRule="exact" w:before="1"/>
              <w:ind w:left="1913" w:right="1913"/>
              <w:rPr>
                <w:b/>
                <w:sz w:val="21"/>
              </w:rPr>
            </w:pPr>
            <w:r>
              <w:rPr>
                <w:b/>
                <w:sz w:val="21"/>
              </w:rPr>
              <w:t>出料量</w:t>
            </w:r>
          </w:p>
        </w:tc>
      </w:tr>
      <w:tr>
        <w:trPr>
          <w:trHeight w:val="270" w:hRule="atLeast"/>
        </w:trPr>
        <w:tc>
          <w:tcPr>
            <w:tcW w:w="1951" w:type="dxa"/>
          </w:tcPr>
          <w:p>
            <w:pPr>
              <w:pStyle w:val="TableParagraph"/>
              <w:spacing w:line="250" w:lineRule="exact" w:before="1"/>
              <w:ind w:left="532" w:right="530"/>
              <w:rPr>
                <w:b/>
                <w:sz w:val="21"/>
              </w:rPr>
            </w:pPr>
            <w:r>
              <w:rPr>
                <w:b/>
                <w:sz w:val="21"/>
              </w:rPr>
              <w:t>物料名称</w:t>
            </w:r>
          </w:p>
        </w:tc>
        <w:tc>
          <w:tcPr>
            <w:tcW w:w="1558" w:type="dxa"/>
          </w:tcPr>
          <w:p>
            <w:pPr>
              <w:pStyle w:val="TableParagraph"/>
              <w:spacing w:line="250" w:lineRule="exact" w:before="1"/>
              <w:ind w:left="506"/>
              <w:jc w:val="left"/>
              <w:rPr>
                <w:b/>
                <w:sz w:val="21"/>
              </w:rPr>
            </w:pPr>
            <w:r>
              <w:rPr>
                <w:rFonts w:ascii="Times New Roman" w:eastAsia="Times New Roman"/>
                <w:b/>
                <w:sz w:val="21"/>
              </w:rPr>
              <w:t>Kg/</w:t>
            </w:r>
            <w:r>
              <w:rPr>
                <w:b/>
                <w:sz w:val="21"/>
              </w:rPr>
              <w:t>批</w:t>
            </w:r>
          </w:p>
        </w:tc>
        <w:tc>
          <w:tcPr>
            <w:tcW w:w="1277" w:type="dxa"/>
          </w:tcPr>
          <w:p>
            <w:pPr>
              <w:pStyle w:val="TableParagraph"/>
              <w:spacing w:line="236" w:lineRule="exact" w:before="15"/>
              <w:ind w:left="502" w:right="495"/>
              <w:rPr>
                <w:rFonts w:ascii="Times New Roman"/>
                <w:b/>
                <w:sz w:val="21"/>
              </w:rPr>
            </w:pPr>
            <w:r>
              <w:rPr>
                <w:rFonts w:ascii="Times New Roman"/>
                <w:b/>
                <w:sz w:val="21"/>
              </w:rPr>
              <w:t>t/a</w:t>
            </w:r>
          </w:p>
        </w:tc>
        <w:tc>
          <w:tcPr>
            <w:tcW w:w="2127" w:type="dxa"/>
          </w:tcPr>
          <w:p>
            <w:pPr>
              <w:pStyle w:val="TableParagraph"/>
              <w:spacing w:line="250" w:lineRule="exact" w:before="1"/>
              <w:ind w:left="641"/>
              <w:jc w:val="left"/>
              <w:rPr>
                <w:b/>
                <w:sz w:val="21"/>
              </w:rPr>
            </w:pPr>
            <w:r>
              <w:rPr>
                <w:b/>
                <w:sz w:val="21"/>
              </w:rPr>
              <w:t>物料名称</w:t>
            </w:r>
          </w:p>
        </w:tc>
        <w:tc>
          <w:tcPr>
            <w:tcW w:w="1275" w:type="dxa"/>
          </w:tcPr>
          <w:p>
            <w:pPr>
              <w:pStyle w:val="TableParagraph"/>
              <w:spacing w:line="250" w:lineRule="exact" w:before="1"/>
              <w:ind w:left="367"/>
              <w:jc w:val="left"/>
              <w:rPr>
                <w:b/>
                <w:sz w:val="21"/>
              </w:rPr>
            </w:pPr>
            <w:r>
              <w:rPr>
                <w:rFonts w:ascii="Times New Roman" w:eastAsia="Times New Roman"/>
                <w:b/>
                <w:sz w:val="21"/>
              </w:rPr>
              <w:t>Kg/</w:t>
            </w:r>
            <w:r>
              <w:rPr>
                <w:b/>
                <w:sz w:val="21"/>
              </w:rPr>
              <w:t>批</w:t>
            </w:r>
          </w:p>
        </w:tc>
        <w:tc>
          <w:tcPr>
            <w:tcW w:w="1102" w:type="dxa"/>
          </w:tcPr>
          <w:p>
            <w:pPr>
              <w:pStyle w:val="TableParagraph"/>
              <w:spacing w:line="236" w:lineRule="exact" w:before="15"/>
              <w:ind w:left="411" w:right="411"/>
              <w:rPr>
                <w:rFonts w:ascii="Times New Roman"/>
                <w:b/>
                <w:sz w:val="21"/>
              </w:rPr>
            </w:pPr>
            <w:r>
              <w:rPr>
                <w:rFonts w:ascii="Times New Roman"/>
                <w:b/>
                <w:sz w:val="21"/>
              </w:rPr>
              <w:t>t/a</w:t>
            </w:r>
          </w:p>
        </w:tc>
      </w:tr>
      <w:tr>
        <w:trPr>
          <w:trHeight w:val="273" w:hRule="atLeast"/>
        </w:trPr>
        <w:tc>
          <w:tcPr>
            <w:tcW w:w="1951" w:type="dxa"/>
          </w:tcPr>
          <w:p>
            <w:pPr>
              <w:pStyle w:val="TableParagraph"/>
              <w:spacing w:line="250" w:lineRule="exact" w:before="3"/>
              <w:ind w:left="532" w:right="530"/>
              <w:rPr>
                <w:b/>
                <w:sz w:val="21"/>
              </w:rPr>
            </w:pPr>
            <w:r>
              <w:rPr>
                <w:b/>
                <w:color w:val="FF0000"/>
                <w:sz w:val="21"/>
              </w:rPr>
              <w:t>涉密删除</w:t>
            </w:r>
          </w:p>
        </w:tc>
        <w:tc>
          <w:tcPr>
            <w:tcW w:w="1558"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2127"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102" w:type="dxa"/>
          </w:tcPr>
          <w:p>
            <w:pPr>
              <w:pStyle w:val="TableParagraph"/>
              <w:jc w:val="left"/>
              <w:rPr>
                <w:rFonts w:ascii="Times New Roman"/>
                <w:sz w:val="20"/>
              </w:rPr>
            </w:pPr>
          </w:p>
        </w:tc>
      </w:tr>
      <w:tr>
        <w:trPr>
          <w:trHeight w:val="242" w:hRule="atLeast"/>
        </w:trPr>
        <w:tc>
          <w:tcPr>
            <w:tcW w:w="1951" w:type="dxa"/>
          </w:tcPr>
          <w:p>
            <w:pPr>
              <w:pStyle w:val="TableParagraph"/>
              <w:jc w:val="left"/>
              <w:rPr>
                <w:rFonts w:ascii="Times New Roman"/>
                <w:sz w:val="16"/>
              </w:rPr>
            </w:pPr>
          </w:p>
        </w:tc>
        <w:tc>
          <w:tcPr>
            <w:tcW w:w="1558" w:type="dxa"/>
          </w:tcPr>
          <w:p>
            <w:pPr>
              <w:pStyle w:val="TableParagraph"/>
              <w:jc w:val="left"/>
              <w:rPr>
                <w:rFonts w:ascii="Times New Roman"/>
                <w:sz w:val="16"/>
              </w:rPr>
            </w:pPr>
          </w:p>
        </w:tc>
        <w:tc>
          <w:tcPr>
            <w:tcW w:w="1277" w:type="dxa"/>
          </w:tcPr>
          <w:p>
            <w:pPr>
              <w:pStyle w:val="TableParagraph"/>
              <w:jc w:val="left"/>
              <w:rPr>
                <w:rFonts w:ascii="Times New Roman"/>
                <w:sz w:val="16"/>
              </w:rPr>
            </w:pPr>
          </w:p>
        </w:tc>
        <w:tc>
          <w:tcPr>
            <w:tcW w:w="2127"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102" w:type="dxa"/>
          </w:tcPr>
          <w:p>
            <w:pPr>
              <w:pStyle w:val="TableParagraph"/>
              <w:jc w:val="left"/>
              <w:rPr>
                <w:rFonts w:ascii="Times New Roman"/>
                <w:sz w:val="16"/>
              </w:rPr>
            </w:pPr>
          </w:p>
        </w:tc>
      </w:tr>
      <w:tr>
        <w:trPr>
          <w:trHeight w:val="239" w:hRule="atLeast"/>
        </w:trPr>
        <w:tc>
          <w:tcPr>
            <w:tcW w:w="1951" w:type="dxa"/>
          </w:tcPr>
          <w:p>
            <w:pPr>
              <w:pStyle w:val="TableParagraph"/>
              <w:jc w:val="left"/>
              <w:rPr>
                <w:rFonts w:ascii="Times New Roman"/>
                <w:sz w:val="16"/>
              </w:rPr>
            </w:pPr>
          </w:p>
        </w:tc>
        <w:tc>
          <w:tcPr>
            <w:tcW w:w="1558" w:type="dxa"/>
          </w:tcPr>
          <w:p>
            <w:pPr>
              <w:pStyle w:val="TableParagraph"/>
              <w:jc w:val="left"/>
              <w:rPr>
                <w:rFonts w:ascii="Times New Roman"/>
                <w:sz w:val="16"/>
              </w:rPr>
            </w:pPr>
          </w:p>
        </w:tc>
        <w:tc>
          <w:tcPr>
            <w:tcW w:w="1277" w:type="dxa"/>
          </w:tcPr>
          <w:p>
            <w:pPr>
              <w:pStyle w:val="TableParagraph"/>
              <w:jc w:val="left"/>
              <w:rPr>
                <w:rFonts w:ascii="Times New Roman"/>
                <w:sz w:val="16"/>
              </w:rPr>
            </w:pPr>
          </w:p>
        </w:tc>
        <w:tc>
          <w:tcPr>
            <w:tcW w:w="2127"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102" w:type="dxa"/>
          </w:tcPr>
          <w:p>
            <w:pPr>
              <w:pStyle w:val="TableParagraph"/>
              <w:jc w:val="left"/>
              <w:rPr>
                <w:rFonts w:ascii="Times New Roman"/>
                <w:sz w:val="16"/>
              </w:rPr>
            </w:pPr>
          </w:p>
        </w:tc>
      </w:tr>
      <w:tr>
        <w:trPr>
          <w:trHeight w:val="242" w:hRule="atLeast"/>
        </w:trPr>
        <w:tc>
          <w:tcPr>
            <w:tcW w:w="1951" w:type="dxa"/>
          </w:tcPr>
          <w:p>
            <w:pPr>
              <w:pStyle w:val="TableParagraph"/>
              <w:jc w:val="left"/>
              <w:rPr>
                <w:rFonts w:ascii="Times New Roman"/>
                <w:sz w:val="16"/>
              </w:rPr>
            </w:pPr>
          </w:p>
        </w:tc>
        <w:tc>
          <w:tcPr>
            <w:tcW w:w="1558" w:type="dxa"/>
          </w:tcPr>
          <w:p>
            <w:pPr>
              <w:pStyle w:val="TableParagraph"/>
              <w:jc w:val="left"/>
              <w:rPr>
                <w:rFonts w:ascii="Times New Roman"/>
                <w:sz w:val="16"/>
              </w:rPr>
            </w:pPr>
          </w:p>
        </w:tc>
        <w:tc>
          <w:tcPr>
            <w:tcW w:w="1277" w:type="dxa"/>
          </w:tcPr>
          <w:p>
            <w:pPr>
              <w:pStyle w:val="TableParagraph"/>
              <w:jc w:val="left"/>
              <w:rPr>
                <w:rFonts w:ascii="Times New Roman"/>
                <w:sz w:val="16"/>
              </w:rPr>
            </w:pPr>
          </w:p>
        </w:tc>
        <w:tc>
          <w:tcPr>
            <w:tcW w:w="2127"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102" w:type="dxa"/>
          </w:tcPr>
          <w:p>
            <w:pPr>
              <w:pStyle w:val="TableParagraph"/>
              <w:jc w:val="left"/>
              <w:rPr>
                <w:rFonts w:ascii="Times New Roman"/>
                <w:sz w:val="16"/>
              </w:rPr>
            </w:pPr>
          </w:p>
        </w:tc>
      </w:tr>
      <w:tr>
        <w:trPr>
          <w:trHeight w:val="242" w:hRule="atLeast"/>
        </w:trPr>
        <w:tc>
          <w:tcPr>
            <w:tcW w:w="1951" w:type="dxa"/>
          </w:tcPr>
          <w:p>
            <w:pPr>
              <w:pStyle w:val="TableParagraph"/>
              <w:jc w:val="left"/>
              <w:rPr>
                <w:rFonts w:ascii="Times New Roman"/>
                <w:sz w:val="16"/>
              </w:rPr>
            </w:pPr>
          </w:p>
        </w:tc>
        <w:tc>
          <w:tcPr>
            <w:tcW w:w="1558" w:type="dxa"/>
          </w:tcPr>
          <w:p>
            <w:pPr>
              <w:pStyle w:val="TableParagraph"/>
              <w:jc w:val="left"/>
              <w:rPr>
                <w:rFonts w:ascii="Times New Roman"/>
                <w:sz w:val="16"/>
              </w:rPr>
            </w:pPr>
          </w:p>
        </w:tc>
        <w:tc>
          <w:tcPr>
            <w:tcW w:w="1277" w:type="dxa"/>
          </w:tcPr>
          <w:p>
            <w:pPr>
              <w:pStyle w:val="TableParagraph"/>
              <w:jc w:val="left"/>
              <w:rPr>
                <w:rFonts w:ascii="Times New Roman"/>
                <w:sz w:val="16"/>
              </w:rPr>
            </w:pPr>
          </w:p>
        </w:tc>
        <w:tc>
          <w:tcPr>
            <w:tcW w:w="2127"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102" w:type="dxa"/>
          </w:tcPr>
          <w:p>
            <w:pPr>
              <w:pStyle w:val="TableParagraph"/>
              <w:jc w:val="left"/>
              <w:rPr>
                <w:rFonts w:ascii="Times New Roman"/>
                <w:sz w:val="16"/>
              </w:rPr>
            </w:pPr>
          </w:p>
        </w:tc>
      </w:tr>
      <w:tr>
        <w:trPr>
          <w:trHeight w:val="242" w:hRule="atLeast"/>
        </w:trPr>
        <w:tc>
          <w:tcPr>
            <w:tcW w:w="1951" w:type="dxa"/>
          </w:tcPr>
          <w:p>
            <w:pPr>
              <w:pStyle w:val="TableParagraph"/>
              <w:jc w:val="left"/>
              <w:rPr>
                <w:rFonts w:ascii="Times New Roman"/>
                <w:sz w:val="16"/>
              </w:rPr>
            </w:pPr>
          </w:p>
        </w:tc>
        <w:tc>
          <w:tcPr>
            <w:tcW w:w="1558" w:type="dxa"/>
          </w:tcPr>
          <w:p>
            <w:pPr>
              <w:pStyle w:val="TableParagraph"/>
              <w:jc w:val="left"/>
              <w:rPr>
                <w:rFonts w:ascii="Times New Roman"/>
                <w:sz w:val="16"/>
              </w:rPr>
            </w:pPr>
          </w:p>
        </w:tc>
        <w:tc>
          <w:tcPr>
            <w:tcW w:w="1277" w:type="dxa"/>
          </w:tcPr>
          <w:p>
            <w:pPr>
              <w:pStyle w:val="TableParagraph"/>
              <w:jc w:val="left"/>
              <w:rPr>
                <w:rFonts w:ascii="Times New Roman"/>
                <w:sz w:val="16"/>
              </w:rPr>
            </w:pPr>
          </w:p>
        </w:tc>
        <w:tc>
          <w:tcPr>
            <w:tcW w:w="2127" w:type="dxa"/>
          </w:tcPr>
          <w:p>
            <w:pPr>
              <w:pStyle w:val="TableParagraph"/>
              <w:jc w:val="left"/>
              <w:rPr>
                <w:rFonts w:ascii="Times New Roman"/>
                <w:sz w:val="16"/>
              </w:rPr>
            </w:pPr>
          </w:p>
        </w:tc>
        <w:tc>
          <w:tcPr>
            <w:tcW w:w="1275" w:type="dxa"/>
          </w:tcPr>
          <w:p>
            <w:pPr>
              <w:pStyle w:val="TableParagraph"/>
              <w:jc w:val="left"/>
              <w:rPr>
                <w:rFonts w:ascii="Times New Roman"/>
                <w:sz w:val="16"/>
              </w:rPr>
            </w:pPr>
          </w:p>
        </w:tc>
        <w:tc>
          <w:tcPr>
            <w:tcW w:w="1102" w:type="dxa"/>
          </w:tcPr>
          <w:p>
            <w:pPr>
              <w:pStyle w:val="TableParagraph"/>
              <w:jc w:val="left"/>
              <w:rPr>
                <w:rFonts w:ascii="Times New Roman"/>
                <w:sz w:val="16"/>
              </w:rPr>
            </w:pPr>
          </w:p>
        </w:tc>
      </w:tr>
    </w:tbl>
    <w:p>
      <w:pPr>
        <w:pStyle w:val="ListParagraph"/>
        <w:numPr>
          <w:ilvl w:val="3"/>
          <w:numId w:val="13"/>
        </w:numPr>
        <w:tabs>
          <w:tab w:pos="1422" w:val="left" w:leader="none"/>
        </w:tabs>
        <w:spacing w:line="240" w:lineRule="auto" w:before="2" w:after="0"/>
        <w:ind w:left="1421" w:right="0" w:hanging="721"/>
        <w:jc w:val="left"/>
        <w:rPr>
          <w:b/>
          <w:sz w:val="24"/>
        </w:rPr>
      </w:pPr>
      <w:r>
        <w:rPr>
          <w:b/>
          <w:sz w:val="24"/>
        </w:rPr>
        <w:t>污染因素分析</w:t>
      </w:r>
    </w:p>
    <w:p>
      <w:pPr>
        <w:spacing w:before="158"/>
        <w:ind w:left="701" w:right="0" w:firstLine="0"/>
        <w:jc w:val="left"/>
        <w:rPr>
          <w:b/>
          <w:sz w:val="24"/>
        </w:rPr>
      </w:pPr>
      <w:r>
        <w:rPr>
          <w:rFonts w:ascii="Times New Roman" w:eastAsia="Times New Roman"/>
          <w:b/>
          <w:sz w:val="24"/>
        </w:rPr>
        <w:t>1</w:t>
      </w:r>
      <w:r>
        <w:rPr>
          <w:b/>
          <w:sz w:val="24"/>
        </w:rPr>
        <w:t>、废水</w:t>
      </w:r>
    </w:p>
    <w:p>
      <w:pPr>
        <w:pStyle w:val="BodyText"/>
        <w:spacing w:line="362" w:lineRule="auto" w:before="161"/>
        <w:ind w:left="218" w:right="232" w:firstLine="480"/>
        <w:jc w:val="both"/>
      </w:pPr>
      <w:r>
        <w:rPr>
          <w:spacing w:val="-4"/>
        </w:rPr>
        <w:t>该生产线会产生设备清洗废水，产生量约 </w:t>
      </w:r>
      <w:r>
        <w:rPr>
          <w:rFonts w:ascii="Times New Roman" w:eastAsia="Times New Roman"/>
        </w:rPr>
        <w:t>6t/d(1800t/a)</w:t>
      </w:r>
      <w:r>
        <w:rPr>
          <w:spacing w:val="-15"/>
        </w:rPr>
        <w:t>。废水 </w:t>
      </w:r>
      <w:r>
        <w:rPr>
          <w:rFonts w:ascii="Times New Roman" w:eastAsia="Times New Roman"/>
        </w:rPr>
        <w:t>CODcr </w:t>
      </w:r>
      <w:r>
        <w:rPr>
          <w:spacing w:val="-30"/>
        </w:rPr>
        <w:t>约 </w:t>
      </w:r>
      <w:r>
        <w:rPr>
          <w:rFonts w:ascii="Times New Roman" w:eastAsia="Times New Roman"/>
        </w:rPr>
        <w:t>500mg/L</w:t>
      </w:r>
      <w:r>
        <w:rPr/>
        <w:t>， </w:t>
      </w:r>
      <w:r>
        <w:rPr>
          <w:spacing w:val="-21"/>
        </w:rPr>
        <w:t>总氮 </w:t>
      </w:r>
      <w:r>
        <w:rPr>
          <w:rFonts w:ascii="Times New Roman" w:eastAsia="Times New Roman"/>
        </w:rPr>
        <w:t>10mg/L</w:t>
      </w:r>
      <w:r>
        <w:rPr>
          <w:spacing w:val="-15"/>
        </w:rPr>
        <w:t>，氨氮 </w:t>
      </w:r>
      <w:r>
        <w:rPr>
          <w:rFonts w:ascii="Times New Roman" w:eastAsia="Times New Roman"/>
        </w:rPr>
        <w:t>5mg/L</w:t>
      </w:r>
      <w:r>
        <w:rPr>
          <w:spacing w:val="-12"/>
        </w:rPr>
        <w:t>，三环唑 </w:t>
      </w:r>
      <w:r>
        <w:rPr>
          <w:rFonts w:ascii="Times New Roman" w:eastAsia="Times New Roman"/>
        </w:rPr>
        <w:t>10mg/L</w:t>
      </w:r>
      <w:r>
        <w:rPr/>
        <w:t>。</w:t>
      </w:r>
    </w:p>
    <w:p>
      <w:pPr>
        <w:pStyle w:val="Heading4"/>
        <w:spacing w:before="5"/>
      </w:pPr>
      <w:r>
        <w:rPr>
          <w:rFonts w:ascii="Times New Roman" w:eastAsia="Times New Roman"/>
        </w:rPr>
        <w:t>2</w:t>
      </w:r>
      <w:r>
        <w:rPr/>
        <w:t>、废气</w:t>
      </w:r>
    </w:p>
    <w:p>
      <w:pPr>
        <w:pStyle w:val="BodyText"/>
        <w:spacing w:line="364" w:lineRule="auto" w:before="158"/>
        <w:ind w:left="218" w:right="232" w:firstLine="480"/>
        <w:jc w:val="both"/>
      </w:pPr>
      <w:r>
        <w:rPr>
          <w:spacing w:val="-4"/>
        </w:rPr>
        <w:t>项目生产过程粉尘主要产生于固体原辅材料投料、混合、粉碎和包装过程。原辅材</w:t>
      </w:r>
      <w:r>
        <w:rPr>
          <w:spacing w:val="-5"/>
        </w:rPr>
        <w:t>料均采用固体投料装置投料，混合、粉碎过程粉尘直接从呼吸口接出，包装过程采用全</w:t>
      </w:r>
      <w:r>
        <w:rPr/>
        <w:t>自动包装机。各生产过程粉尘均经过收集后接入布袋除尘器</w:t>
      </w:r>
      <w:r>
        <w:rPr>
          <w:rFonts w:ascii="Times New Roman" w:eastAsia="Times New Roman"/>
        </w:rPr>
        <w:t>+</w:t>
      </w:r>
      <w:r>
        <w:rPr/>
        <w:t>废气集中处理装置（</w:t>
      </w:r>
      <w:r>
        <w:rPr>
          <w:spacing w:val="-6"/>
        </w:rPr>
        <w:t>两级</w:t>
      </w:r>
      <w:r>
        <w:rPr/>
        <w:t>碱喷淋塔）处理后外排，具体如下：</w:t>
      </w:r>
    </w:p>
    <w:p>
      <w:pPr>
        <w:pStyle w:val="Heading4"/>
        <w:spacing w:before="140" w:after="29"/>
        <w:ind w:left="2455"/>
        <w:jc w:val="both"/>
      </w:pPr>
      <w:r>
        <w:rPr/>
        <w:t>表 </w:t>
      </w:r>
      <w:r>
        <w:rPr>
          <w:rFonts w:ascii="Times New Roman" w:eastAsia="Times New Roman"/>
        </w:rPr>
        <w:t>4.2.2-4  </w:t>
      </w:r>
      <w:r>
        <w:rPr/>
        <w:t>项目粉尘产生、处置及排放情况</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574"/>
        <w:gridCol w:w="648"/>
        <w:gridCol w:w="778"/>
        <w:gridCol w:w="779"/>
        <w:gridCol w:w="649"/>
        <w:gridCol w:w="651"/>
        <w:gridCol w:w="646"/>
        <w:gridCol w:w="780"/>
        <w:gridCol w:w="905"/>
        <w:gridCol w:w="648"/>
        <w:gridCol w:w="992"/>
        <w:gridCol w:w="571"/>
      </w:tblGrid>
      <w:tr>
        <w:trPr>
          <w:trHeight w:val="546" w:hRule="atLeast"/>
        </w:trPr>
        <w:tc>
          <w:tcPr>
            <w:tcW w:w="466" w:type="dxa"/>
            <w:vMerge w:val="restart"/>
          </w:tcPr>
          <w:p>
            <w:pPr>
              <w:pStyle w:val="TableParagraph"/>
              <w:spacing w:line="242" w:lineRule="auto" w:before="149"/>
              <w:ind w:left="21" w:right="10"/>
              <w:jc w:val="left"/>
              <w:rPr>
                <w:b/>
                <w:sz w:val="21"/>
              </w:rPr>
            </w:pPr>
            <w:r>
              <w:rPr>
                <w:b/>
                <w:sz w:val="21"/>
              </w:rPr>
              <w:t>废气编号</w:t>
            </w:r>
          </w:p>
        </w:tc>
        <w:tc>
          <w:tcPr>
            <w:tcW w:w="574" w:type="dxa"/>
            <w:vMerge w:val="restart"/>
          </w:tcPr>
          <w:p>
            <w:pPr>
              <w:pStyle w:val="TableParagraph"/>
              <w:spacing w:line="242" w:lineRule="auto" w:before="149"/>
              <w:ind w:left="73" w:right="65"/>
              <w:jc w:val="left"/>
              <w:rPr>
                <w:b/>
                <w:sz w:val="21"/>
              </w:rPr>
            </w:pPr>
            <w:r>
              <w:rPr>
                <w:b/>
                <w:sz w:val="21"/>
              </w:rPr>
              <w:t>产污工序</w:t>
            </w:r>
          </w:p>
        </w:tc>
        <w:tc>
          <w:tcPr>
            <w:tcW w:w="648" w:type="dxa"/>
            <w:vMerge w:val="restart"/>
          </w:tcPr>
          <w:p>
            <w:pPr>
              <w:pStyle w:val="TableParagraph"/>
              <w:spacing w:line="242" w:lineRule="auto" w:before="149"/>
              <w:ind w:left="214" w:hanging="212"/>
              <w:jc w:val="left"/>
              <w:rPr>
                <w:b/>
                <w:sz w:val="21"/>
              </w:rPr>
            </w:pPr>
            <w:r>
              <w:rPr>
                <w:b/>
                <w:sz w:val="21"/>
              </w:rPr>
              <w:t>产污方式</w:t>
            </w:r>
          </w:p>
        </w:tc>
        <w:tc>
          <w:tcPr>
            <w:tcW w:w="778" w:type="dxa"/>
            <w:vMerge w:val="restart"/>
          </w:tcPr>
          <w:p>
            <w:pPr>
              <w:pStyle w:val="TableParagraph"/>
              <w:spacing w:before="13"/>
              <w:ind w:left="70"/>
              <w:jc w:val="left"/>
              <w:rPr>
                <w:b/>
                <w:sz w:val="21"/>
              </w:rPr>
            </w:pPr>
            <w:r>
              <w:rPr>
                <w:b/>
                <w:sz w:val="21"/>
              </w:rPr>
              <w:t>主要污</w:t>
            </w:r>
          </w:p>
          <w:p>
            <w:pPr>
              <w:pStyle w:val="TableParagraph"/>
              <w:spacing w:line="270" w:lineRule="atLeast" w:before="3"/>
              <w:ind w:left="282" w:right="61" w:hanging="212"/>
              <w:jc w:val="left"/>
              <w:rPr>
                <w:b/>
                <w:sz w:val="21"/>
              </w:rPr>
            </w:pPr>
            <w:r>
              <w:rPr>
                <w:b/>
                <w:sz w:val="21"/>
              </w:rPr>
              <w:t>染物名称</w:t>
            </w:r>
          </w:p>
        </w:tc>
        <w:tc>
          <w:tcPr>
            <w:tcW w:w="779" w:type="dxa"/>
            <w:vMerge w:val="restart"/>
          </w:tcPr>
          <w:p>
            <w:pPr>
              <w:pStyle w:val="TableParagraph"/>
              <w:spacing w:line="242" w:lineRule="auto" w:before="149"/>
              <w:ind w:left="282" w:right="62" w:hanging="212"/>
              <w:jc w:val="left"/>
              <w:rPr>
                <w:b/>
                <w:sz w:val="21"/>
              </w:rPr>
            </w:pPr>
            <w:r>
              <w:rPr>
                <w:b/>
                <w:sz w:val="21"/>
              </w:rPr>
              <w:t>排放方式</w:t>
            </w:r>
          </w:p>
        </w:tc>
        <w:tc>
          <w:tcPr>
            <w:tcW w:w="1300" w:type="dxa"/>
            <w:gridSpan w:val="2"/>
          </w:tcPr>
          <w:p>
            <w:pPr>
              <w:pStyle w:val="TableParagraph"/>
              <w:spacing w:before="138"/>
              <w:ind w:left="223"/>
              <w:jc w:val="left"/>
              <w:rPr>
                <w:b/>
                <w:sz w:val="21"/>
              </w:rPr>
            </w:pPr>
            <w:r>
              <w:rPr>
                <w:b/>
                <w:sz w:val="21"/>
              </w:rPr>
              <w:t>产污源强</w:t>
            </w:r>
          </w:p>
        </w:tc>
        <w:tc>
          <w:tcPr>
            <w:tcW w:w="646" w:type="dxa"/>
            <w:vMerge w:val="restart"/>
            <w:tcBorders>
              <w:right w:val="single" w:sz="6" w:space="0" w:color="000000"/>
            </w:tcBorders>
          </w:tcPr>
          <w:p>
            <w:pPr>
              <w:pStyle w:val="TableParagraph"/>
              <w:spacing w:line="242" w:lineRule="auto" w:before="29"/>
              <w:ind w:left="-2" w:right="1"/>
              <w:jc w:val="both"/>
              <w:rPr>
                <w:rFonts w:ascii="Times New Roman" w:eastAsia="Times New Roman"/>
                <w:b/>
                <w:sz w:val="21"/>
              </w:rPr>
            </w:pPr>
            <w:r>
              <w:rPr>
                <w:b/>
                <w:sz w:val="21"/>
              </w:rPr>
              <w:t>最大产污速率</w:t>
            </w:r>
            <w:r>
              <w:rPr>
                <w:rFonts w:ascii="Times New Roman" w:eastAsia="Times New Roman"/>
                <w:b/>
                <w:sz w:val="21"/>
              </w:rPr>
              <w:t>kg/h</w:t>
            </w:r>
          </w:p>
        </w:tc>
        <w:tc>
          <w:tcPr>
            <w:tcW w:w="1685" w:type="dxa"/>
            <w:gridSpan w:val="2"/>
            <w:tcBorders>
              <w:left w:val="single" w:sz="6" w:space="0" w:color="000000"/>
            </w:tcBorders>
          </w:tcPr>
          <w:p>
            <w:pPr>
              <w:pStyle w:val="TableParagraph"/>
              <w:spacing w:line="270" w:lineRule="atLeast" w:before="2"/>
              <w:ind w:left="308" w:right="37" w:hanging="272"/>
              <w:jc w:val="left"/>
              <w:rPr>
                <w:b/>
                <w:sz w:val="21"/>
              </w:rPr>
            </w:pPr>
            <w:r>
              <w:rPr>
                <w:b/>
                <w:sz w:val="21"/>
              </w:rPr>
              <w:t>布袋除尘</w:t>
            </w:r>
            <w:r>
              <w:rPr>
                <w:rFonts w:ascii="Times New Roman" w:eastAsia="Times New Roman"/>
                <w:b/>
                <w:sz w:val="21"/>
              </w:rPr>
              <w:t>+</w:t>
            </w:r>
            <w:r>
              <w:rPr>
                <w:b/>
                <w:sz w:val="21"/>
              </w:rPr>
              <w:t>废气集中处理装置</w:t>
            </w:r>
          </w:p>
        </w:tc>
        <w:tc>
          <w:tcPr>
            <w:tcW w:w="648" w:type="dxa"/>
          </w:tcPr>
          <w:p>
            <w:pPr>
              <w:pStyle w:val="TableParagraph"/>
              <w:spacing w:before="138"/>
              <w:rPr>
                <w:b/>
                <w:sz w:val="21"/>
              </w:rPr>
            </w:pPr>
            <w:r>
              <w:rPr>
                <w:b/>
                <w:sz w:val="21"/>
              </w:rPr>
              <w:t>排放量</w:t>
            </w:r>
          </w:p>
        </w:tc>
        <w:tc>
          <w:tcPr>
            <w:tcW w:w="992" w:type="dxa"/>
            <w:vMerge w:val="restart"/>
          </w:tcPr>
          <w:p>
            <w:pPr>
              <w:pStyle w:val="TableParagraph"/>
              <w:spacing w:line="242" w:lineRule="auto" w:before="149"/>
              <w:ind w:left="55" w:right="1" w:firstLine="14"/>
              <w:jc w:val="left"/>
              <w:rPr>
                <w:rFonts w:ascii="Times New Roman" w:eastAsia="Times New Roman"/>
                <w:b/>
                <w:sz w:val="21"/>
              </w:rPr>
            </w:pPr>
            <w:r>
              <w:rPr>
                <w:b/>
                <w:sz w:val="21"/>
              </w:rPr>
              <w:t>最大产污速率 </w:t>
            </w:r>
            <w:r>
              <w:rPr>
                <w:rFonts w:ascii="Times New Roman" w:eastAsia="Times New Roman"/>
                <w:b/>
                <w:sz w:val="21"/>
              </w:rPr>
              <w:t>kg/h</w:t>
            </w:r>
          </w:p>
        </w:tc>
        <w:tc>
          <w:tcPr>
            <w:tcW w:w="571" w:type="dxa"/>
            <w:vMerge w:val="restart"/>
          </w:tcPr>
          <w:p>
            <w:pPr>
              <w:pStyle w:val="TableParagraph"/>
              <w:spacing w:before="13"/>
              <w:ind w:left="38" w:firstLine="28"/>
              <w:jc w:val="left"/>
              <w:rPr>
                <w:b/>
                <w:sz w:val="21"/>
              </w:rPr>
            </w:pPr>
            <w:r>
              <w:rPr>
                <w:b/>
                <w:sz w:val="21"/>
              </w:rPr>
              <w:t>设备</w:t>
            </w:r>
          </w:p>
          <w:p>
            <w:pPr>
              <w:pStyle w:val="TableParagraph"/>
              <w:spacing w:line="270" w:lineRule="atLeast" w:before="3"/>
              <w:ind w:left="173" w:right="36" w:hanging="135"/>
              <w:jc w:val="left"/>
              <w:rPr>
                <w:b/>
                <w:sz w:val="21"/>
              </w:rPr>
            </w:pPr>
            <w:r>
              <w:rPr>
                <w:b/>
                <w:sz w:val="21"/>
              </w:rPr>
              <w:t>数量</w:t>
            </w:r>
            <w:r>
              <w:rPr>
                <w:rFonts w:ascii="Times New Roman" w:eastAsia="Times New Roman"/>
                <w:b/>
                <w:spacing w:val="-17"/>
                <w:sz w:val="21"/>
              </w:rPr>
              <w:t>/ </w:t>
            </w:r>
            <w:r>
              <w:rPr>
                <w:b/>
                <w:sz w:val="21"/>
              </w:rPr>
              <w:t>台</w:t>
            </w:r>
          </w:p>
        </w:tc>
      </w:tr>
      <w:tr>
        <w:trPr>
          <w:trHeight w:val="282" w:hRule="atLeast"/>
        </w:trPr>
        <w:tc>
          <w:tcPr>
            <w:tcW w:w="466" w:type="dxa"/>
            <w:vMerge/>
            <w:tcBorders>
              <w:top w:val="nil"/>
            </w:tcBorders>
          </w:tcPr>
          <w:p>
            <w:pPr>
              <w:rPr>
                <w:sz w:val="2"/>
                <w:szCs w:val="2"/>
              </w:rPr>
            </w:pPr>
          </w:p>
        </w:tc>
        <w:tc>
          <w:tcPr>
            <w:tcW w:w="574" w:type="dxa"/>
            <w:vMerge/>
            <w:tcBorders>
              <w:top w:val="nil"/>
            </w:tcBorders>
          </w:tcPr>
          <w:p>
            <w:pPr>
              <w:rPr>
                <w:sz w:val="2"/>
                <w:szCs w:val="2"/>
              </w:rPr>
            </w:pPr>
          </w:p>
        </w:tc>
        <w:tc>
          <w:tcPr>
            <w:tcW w:w="648" w:type="dxa"/>
            <w:vMerge/>
            <w:tcBorders>
              <w:top w:val="nil"/>
            </w:tcBorders>
          </w:tcPr>
          <w:p>
            <w:pPr>
              <w:rPr>
                <w:sz w:val="2"/>
                <w:szCs w:val="2"/>
              </w:rPr>
            </w:pPr>
          </w:p>
        </w:tc>
        <w:tc>
          <w:tcPr>
            <w:tcW w:w="778" w:type="dxa"/>
            <w:vMerge/>
            <w:tcBorders>
              <w:top w:val="nil"/>
            </w:tcBorders>
          </w:tcPr>
          <w:p>
            <w:pPr>
              <w:rPr>
                <w:sz w:val="2"/>
                <w:szCs w:val="2"/>
              </w:rPr>
            </w:pPr>
          </w:p>
        </w:tc>
        <w:tc>
          <w:tcPr>
            <w:tcW w:w="779" w:type="dxa"/>
            <w:vMerge/>
            <w:tcBorders>
              <w:top w:val="nil"/>
            </w:tcBorders>
          </w:tcPr>
          <w:p>
            <w:pPr>
              <w:rPr>
                <w:sz w:val="2"/>
                <w:szCs w:val="2"/>
              </w:rPr>
            </w:pPr>
          </w:p>
        </w:tc>
        <w:tc>
          <w:tcPr>
            <w:tcW w:w="649" w:type="dxa"/>
          </w:tcPr>
          <w:p>
            <w:pPr>
              <w:pStyle w:val="TableParagraph"/>
              <w:spacing w:line="257" w:lineRule="exact" w:before="6"/>
              <w:ind w:left="55" w:right="53"/>
              <w:rPr>
                <w:b/>
                <w:sz w:val="21"/>
              </w:rPr>
            </w:pPr>
            <w:r>
              <w:rPr>
                <w:rFonts w:ascii="Times New Roman" w:eastAsia="Times New Roman"/>
                <w:b/>
                <w:sz w:val="21"/>
              </w:rPr>
              <w:t>kg/</w:t>
            </w:r>
            <w:r>
              <w:rPr>
                <w:b/>
                <w:sz w:val="21"/>
              </w:rPr>
              <w:t>批</w:t>
            </w:r>
          </w:p>
        </w:tc>
        <w:tc>
          <w:tcPr>
            <w:tcW w:w="651" w:type="dxa"/>
          </w:tcPr>
          <w:p>
            <w:pPr>
              <w:pStyle w:val="TableParagraph"/>
              <w:spacing w:before="19"/>
              <w:ind w:left="63" w:right="61"/>
              <w:rPr>
                <w:rFonts w:ascii="Times New Roman"/>
                <w:b/>
                <w:sz w:val="21"/>
              </w:rPr>
            </w:pPr>
            <w:r>
              <w:rPr>
                <w:rFonts w:ascii="Times New Roman"/>
                <w:b/>
                <w:sz w:val="21"/>
              </w:rPr>
              <w:t>t/a</w:t>
            </w:r>
          </w:p>
        </w:tc>
        <w:tc>
          <w:tcPr>
            <w:tcW w:w="646" w:type="dxa"/>
            <w:vMerge/>
            <w:tcBorders>
              <w:top w:val="nil"/>
              <w:right w:val="single" w:sz="6" w:space="0" w:color="000000"/>
            </w:tcBorders>
          </w:tcPr>
          <w:p>
            <w:pPr>
              <w:rPr>
                <w:sz w:val="2"/>
                <w:szCs w:val="2"/>
              </w:rPr>
            </w:pPr>
          </w:p>
        </w:tc>
        <w:tc>
          <w:tcPr>
            <w:tcW w:w="780" w:type="dxa"/>
            <w:tcBorders>
              <w:left w:val="single" w:sz="6" w:space="0" w:color="000000"/>
            </w:tcBorders>
          </w:tcPr>
          <w:p>
            <w:pPr>
              <w:pStyle w:val="TableParagraph"/>
              <w:spacing w:line="257" w:lineRule="exact" w:before="6"/>
              <w:ind w:left="47" w:right="47"/>
              <w:rPr>
                <w:rFonts w:ascii="Times New Roman" w:eastAsia="Times New Roman"/>
                <w:b/>
                <w:sz w:val="21"/>
              </w:rPr>
            </w:pPr>
            <w:r>
              <w:rPr>
                <w:b/>
                <w:sz w:val="21"/>
              </w:rPr>
              <w:t>效率</w:t>
            </w:r>
            <w:r>
              <w:rPr>
                <w:rFonts w:ascii="Times New Roman" w:eastAsia="Times New Roman"/>
                <w:b/>
                <w:sz w:val="21"/>
              </w:rPr>
              <w:t>%</w:t>
            </w:r>
          </w:p>
        </w:tc>
        <w:tc>
          <w:tcPr>
            <w:tcW w:w="905" w:type="dxa"/>
          </w:tcPr>
          <w:p>
            <w:pPr>
              <w:pStyle w:val="TableParagraph"/>
              <w:spacing w:line="257" w:lineRule="exact" w:before="6"/>
              <w:ind w:right="-15"/>
              <w:rPr>
                <w:rFonts w:ascii="Times New Roman" w:eastAsia="Times New Roman"/>
                <w:b/>
                <w:sz w:val="21"/>
              </w:rPr>
            </w:pPr>
            <w:r>
              <w:rPr>
                <w:b/>
                <w:spacing w:val="10"/>
                <w:sz w:val="21"/>
              </w:rPr>
              <w:t>削减量</w:t>
            </w:r>
            <w:r>
              <w:rPr>
                <w:rFonts w:ascii="Times New Roman" w:eastAsia="Times New Roman"/>
                <w:b/>
                <w:sz w:val="21"/>
              </w:rPr>
              <w:t>t/a</w:t>
            </w:r>
          </w:p>
        </w:tc>
        <w:tc>
          <w:tcPr>
            <w:tcW w:w="648" w:type="dxa"/>
          </w:tcPr>
          <w:p>
            <w:pPr>
              <w:pStyle w:val="TableParagraph"/>
              <w:spacing w:before="19"/>
              <w:rPr>
                <w:rFonts w:ascii="Times New Roman"/>
                <w:b/>
                <w:sz w:val="21"/>
              </w:rPr>
            </w:pPr>
            <w:r>
              <w:rPr>
                <w:rFonts w:ascii="Times New Roman"/>
                <w:b/>
                <w:sz w:val="21"/>
              </w:rPr>
              <w:t>t/a</w:t>
            </w:r>
          </w:p>
        </w:tc>
        <w:tc>
          <w:tcPr>
            <w:tcW w:w="992" w:type="dxa"/>
            <w:vMerge/>
            <w:tcBorders>
              <w:top w:val="nil"/>
            </w:tcBorders>
          </w:tcPr>
          <w:p>
            <w:pPr>
              <w:rPr>
                <w:sz w:val="2"/>
                <w:szCs w:val="2"/>
              </w:rPr>
            </w:pPr>
          </w:p>
        </w:tc>
        <w:tc>
          <w:tcPr>
            <w:tcW w:w="571" w:type="dxa"/>
            <w:vMerge/>
            <w:tcBorders>
              <w:top w:val="nil"/>
            </w:tcBorders>
          </w:tcPr>
          <w:p>
            <w:pPr>
              <w:rPr>
                <w:sz w:val="2"/>
                <w:szCs w:val="2"/>
              </w:rPr>
            </w:pPr>
          </w:p>
        </w:tc>
      </w:tr>
      <w:tr>
        <w:trPr>
          <w:trHeight w:val="285" w:hRule="atLeast"/>
        </w:trPr>
        <w:tc>
          <w:tcPr>
            <w:tcW w:w="466" w:type="dxa"/>
            <w:vMerge w:val="restart"/>
          </w:tcPr>
          <w:p>
            <w:pPr>
              <w:pStyle w:val="TableParagraph"/>
              <w:spacing w:before="168"/>
              <w:ind w:left="16"/>
              <w:jc w:val="left"/>
              <w:rPr>
                <w:rFonts w:ascii="Times New Roman"/>
                <w:sz w:val="21"/>
              </w:rPr>
            </w:pPr>
            <w:r>
              <w:rPr>
                <w:rFonts w:ascii="Times New Roman"/>
                <w:sz w:val="21"/>
              </w:rPr>
              <w:t>Gb-1</w:t>
            </w:r>
          </w:p>
        </w:tc>
        <w:tc>
          <w:tcPr>
            <w:tcW w:w="574" w:type="dxa"/>
            <w:vMerge w:val="restart"/>
          </w:tcPr>
          <w:p>
            <w:pPr>
              <w:pStyle w:val="TableParagraph"/>
              <w:spacing w:before="154"/>
              <w:ind w:left="76"/>
              <w:jc w:val="left"/>
              <w:rPr>
                <w:sz w:val="21"/>
              </w:rPr>
            </w:pPr>
            <w:r>
              <w:rPr>
                <w:sz w:val="21"/>
              </w:rPr>
              <w:t>投料</w:t>
            </w:r>
          </w:p>
        </w:tc>
        <w:tc>
          <w:tcPr>
            <w:tcW w:w="648" w:type="dxa"/>
            <w:vMerge w:val="restart"/>
          </w:tcPr>
          <w:p>
            <w:pPr>
              <w:pStyle w:val="TableParagraph"/>
              <w:spacing w:before="34"/>
              <w:ind w:left="111"/>
              <w:jc w:val="left"/>
              <w:rPr>
                <w:sz w:val="21"/>
              </w:rPr>
            </w:pPr>
            <w:r>
              <w:rPr>
                <w:sz w:val="21"/>
              </w:rPr>
              <w:t>间歇</w:t>
            </w:r>
          </w:p>
          <w:p>
            <w:pPr>
              <w:pStyle w:val="TableParagraph"/>
              <w:spacing w:before="2"/>
              <w:ind w:left="145"/>
              <w:jc w:val="left"/>
              <w:rPr>
                <w:rFonts w:ascii="Times New Roman"/>
                <w:sz w:val="21"/>
              </w:rPr>
            </w:pPr>
            <w:r>
              <w:rPr>
                <w:rFonts w:ascii="Times New Roman"/>
                <w:sz w:val="21"/>
              </w:rPr>
              <w:t>(1h)</w:t>
            </w:r>
          </w:p>
        </w:tc>
        <w:tc>
          <w:tcPr>
            <w:tcW w:w="778" w:type="dxa"/>
            <w:vMerge w:val="restart"/>
          </w:tcPr>
          <w:p>
            <w:pPr>
              <w:pStyle w:val="TableParagraph"/>
              <w:spacing w:before="154"/>
              <w:ind w:left="176"/>
              <w:jc w:val="left"/>
              <w:rPr>
                <w:sz w:val="21"/>
              </w:rPr>
            </w:pPr>
            <w:r>
              <w:rPr>
                <w:sz w:val="21"/>
              </w:rPr>
              <w:t>粉尘</w:t>
            </w:r>
          </w:p>
        </w:tc>
        <w:tc>
          <w:tcPr>
            <w:tcW w:w="779" w:type="dxa"/>
          </w:tcPr>
          <w:p>
            <w:pPr>
              <w:pStyle w:val="TableParagraph"/>
              <w:spacing w:line="257" w:lineRule="exact" w:before="8"/>
              <w:ind w:left="52" w:right="46"/>
              <w:rPr>
                <w:sz w:val="21"/>
              </w:rPr>
            </w:pPr>
            <w:r>
              <w:rPr>
                <w:sz w:val="21"/>
              </w:rPr>
              <w:t>有组织</w:t>
            </w:r>
          </w:p>
        </w:tc>
        <w:tc>
          <w:tcPr>
            <w:tcW w:w="649" w:type="dxa"/>
          </w:tcPr>
          <w:p>
            <w:pPr>
              <w:pStyle w:val="TableParagraph"/>
              <w:spacing w:before="22"/>
              <w:ind w:left="55" w:right="51"/>
              <w:rPr>
                <w:rFonts w:ascii="Times New Roman"/>
                <w:sz w:val="21"/>
              </w:rPr>
            </w:pPr>
            <w:r>
              <w:rPr>
                <w:rFonts w:ascii="Times New Roman"/>
                <w:sz w:val="21"/>
              </w:rPr>
              <w:t>0.18</w:t>
            </w:r>
          </w:p>
        </w:tc>
        <w:tc>
          <w:tcPr>
            <w:tcW w:w="651" w:type="dxa"/>
          </w:tcPr>
          <w:p>
            <w:pPr>
              <w:pStyle w:val="TableParagraph"/>
              <w:spacing w:before="22"/>
              <w:ind w:left="66" w:right="61"/>
              <w:rPr>
                <w:rFonts w:ascii="Times New Roman"/>
                <w:sz w:val="21"/>
              </w:rPr>
            </w:pPr>
            <w:r>
              <w:rPr>
                <w:rFonts w:ascii="Times New Roman"/>
                <w:sz w:val="21"/>
              </w:rPr>
              <w:t>0.144</w:t>
            </w:r>
          </w:p>
        </w:tc>
        <w:tc>
          <w:tcPr>
            <w:tcW w:w="646" w:type="dxa"/>
            <w:tcBorders>
              <w:right w:val="single" w:sz="6" w:space="0" w:color="000000"/>
            </w:tcBorders>
          </w:tcPr>
          <w:p>
            <w:pPr>
              <w:pStyle w:val="TableParagraph"/>
              <w:spacing w:before="22"/>
              <w:ind w:right="128"/>
              <w:jc w:val="right"/>
              <w:rPr>
                <w:rFonts w:ascii="Times New Roman"/>
                <w:sz w:val="21"/>
              </w:rPr>
            </w:pPr>
            <w:r>
              <w:rPr>
                <w:rFonts w:ascii="Times New Roman"/>
                <w:sz w:val="21"/>
              </w:rPr>
              <w:t>0.18</w:t>
            </w:r>
          </w:p>
        </w:tc>
        <w:tc>
          <w:tcPr>
            <w:tcW w:w="780" w:type="dxa"/>
            <w:tcBorders>
              <w:left w:val="single" w:sz="6" w:space="0" w:color="000000"/>
            </w:tcBorders>
          </w:tcPr>
          <w:p>
            <w:pPr>
              <w:pStyle w:val="TableParagraph"/>
              <w:spacing w:before="22"/>
              <w:ind w:left="47" w:right="47"/>
              <w:rPr>
                <w:rFonts w:ascii="Times New Roman"/>
                <w:sz w:val="21"/>
              </w:rPr>
            </w:pPr>
            <w:r>
              <w:rPr>
                <w:rFonts w:ascii="Times New Roman"/>
                <w:sz w:val="21"/>
              </w:rPr>
              <w:t>95</w:t>
            </w:r>
          </w:p>
        </w:tc>
        <w:tc>
          <w:tcPr>
            <w:tcW w:w="905" w:type="dxa"/>
          </w:tcPr>
          <w:p>
            <w:pPr>
              <w:pStyle w:val="TableParagraph"/>
              <w:spacing w:before="22"/>
              <w:ind w:left="109" w:right="105"/>
              <w:rPr>
                <w:rFonts w:ascii="Times New Roman"/>
                <w:sz w:val="21"/>
              </w:rPr>
            </w:pPr>
            <w:r>
              <w:rPr>
                <w:rFonts w:ascii="Times New Roman"/>
                <w:sz w:val="21"/>
              </w:rPr>
              <w:t>0.137</w:t>
            </w:r>
          </w:p>
        </w:tc>
        <w:tc>
          <w:tcPr>
            <w:tcW w:w="648" w:type="dxa"/>
          </w:tcPr>
          <w:p>
            <w:pPr>
              <w:pStyle w:val="TableParagraph"/>
              <w:spacing w:before="22"/>
              <w:ind w:left="1"/>
              <w:rPr>
                <w:rFonts w:ascii="Times New Roman"/>
                <w:sz w:val="21"/>
              </w:rPr>
            </w:pPr>
            <w:r>
              <w:rPr>
                <w:rFonts w:ascii="Times New Roman"/>
                <w:sz w:val="21"/>
              </w:rPr>
              <w:t>0.007</w:t>
            </w:r>
          </w:p>
        </w:tc>
        <w:tc>
          <w:tcPr>
            <w:tcW w:w="992" w:type="dxa"/>
          </w:tcPr>
          <w:p>
            <w:pPr>
              <w:pStyle w:val="TableParagraph"/>
              <w:spacing w:before="22"/>
              <w:ind w:right="249"/>
              <w:jc w:val="right"/>
              <w:rPr>
                <w:rFonts w:ascii="Times New Roman"/>
                <w:sz w:val="21"/>
              </w:rPr>
            </w:pPr>
            <w:r>
              <w:rPr>
                <w:rFonts w:ascii="Times New Roman"/>
                <w:sz w:val="21"/>
              </w:rPr>
              <w:t>0.009</w:t>
            </w:r>
          </w:p>
        </w:tc>
        <w:tc>
          <w:tcPr>
            <w:tcW w:w="571" w:type="dxa"/>
            <w:vMerge w:val="restart"/>
          </w:tcPr>
          <w:p>
            <w:pPr>
              <w:pStyle w:val="TableParagraph"/>
              <w:spacing w:before="168"/>
              <w:ind w:right="1"/>
              <w:rPr>
                <w:rFonts w:ascii="Times New Roman"/>
                <w:sz w:val="21"/>
              </w:rPr>
            </w:pPr>
            <w:r>
              <w:rPr>
                <w:rFonts w:ascii="Times New Roman"/>
                <w:w w:val="100"/>
                <w:sz w:val="21"/>
              </w:rPr>
              <w:t>1</w:t>
            </w:r>
          </w:p>
        </w:tc>
      </w:tr>
      <w:tr>
        <w:trPr>
          <w:trHeight w:val="282" w:hRule="atLeast"/>
        </w:trPr>
        <w:tc>
          <w:tcPr>
            <w:tcW w:w="466" w:type="dxa"/>
            <w:vMerge/>
            <w:tcBorders>
              <w:top w:val="nil"/>
            </w:tcBorders>
          </w:tcPr>
          <w:p>
            <w:pPr>
              <w:rPr>
                <w:sz w:val="2"/>
                <w:szCs w:val="2"/>
              </w:rPr>
            </w:pPr>
          </w:p>
        </w:tc>
        <w:tc>
          <w:tcPr>
            <w:tcW w:w="574" w:type="dxa"/>
            <w:vMerge/>
            <w:tcBorders>
              <w:top w:val="nil"/>
            </w:tcBorders>
          </w:tcPr>
          <w:p>
            <w:pPr>
              <w:rPr>
                <w:sz w:val="2"/>
                <w:szCs w:val="2"/>
              </w:rPr>
            </w:pPr>
          </w:p>
        </w:tc>
        <w:tc>
          <w:tcPr>
            <w:tcW w:w="648" w:type="dxa"/>
            <w:vMerge/>
            <w:tcBorders>
              <w:top w:val="nil"/>
            </w:tcBorders>
          </w:tcPr>
          <w:p>
            <w:pPr>
              <w:rPr>
                <w:sz w:val="2"/>
                <w:szCs w:val="2"/>
              </w:rPr>
            </w:pPr>
          </w:p>
        </w:tc>
        <w:tc>
          <w:tcPr>
            <w:tcW w:w="778" w:type="dxa"/>
            <w:vMerge/>
            <w:tcBorders>
              <w:top w:val="nil"/>
            </w:tcBorders>
          </w:tcPr>
          <w:p>
            <w:pPr>
              <w:rPr>
                <w:sz w:val="2"/>
                <w:szCs w:val="2"/>
              </w:rPr>
            </w:pPr>
          </w:p>
        </w:tc>
        <w:tc>
          <w:tcPr>
            <w:tcW w:w="779" w:type="dxa"/>
          </w:tcPr>
          <w:p>
            <w:pPr>
              <w:pStyle w:val="TableParagraph"/>
              <w:spacing w:line="257" w:lineRule="exact" w:before="5"/>
              <w:ind w:left="52" w:right="46"/>
              <w:rPr>
                <w:sz w:val="21"/>
              </w:rPr>
            </w:pPr>
            <w:r>
              <w:rPr>
                <w:sz w:val="21"/>
              </w:rPr>
              <w:t>无组织</w:t>
            </w:r>
          </w:p>
        </w:tc>
        <w:tc>
          <w:tcPr>
            <w:tcW w:w="649" w:type="dxa"/>
          </w:tcPr>
          <w:p>
            <w:pPr>
              <w:pStyle w:val="TableParagraph"/>
              <w:spacing w:before="19"/>
              <w:ind w:left="55" w:right="51"/>
              <w:rPr>
                <w:rFonts w:ascii="Times New Roman"/>
                <w:sz w:val="21"/>
              </w:rPr>
            </w:pPr>
            <w:r>
              <w:rPr>
                <w:rFonts w:ascii="Times New Roman"/>
                <w:sz w:val="21"/>
              </w:rPr>
              <w:t>0.02</w:t>
            </w:r>
          </w:p>
        </w:tc>
        <w:tc>
          <w:tcPr>
            <w:tcW w:w="651" w:type="dxa"/>
          </w:tcPr>
          <w:p>
            <w:pPr>
              <w:pStyle w:val="TableParagraph"/>
              <w:spacing w:before="19"/>
              <w:ind w:left="66" w:right="61"/>
              <w:rPr>
                <w:rFonts w:ascii="Times New Roman"/>
                <w:sz w:val="21"/>
              </w:rPr>
            </w:pPr>
            <w:r>
              <w:rPr>
                <w:rFonts w:ascii="Times New Roman"/>
                <w:sz w:val="21"/>
              </w:rPr>
              <w:t>0.016</w:t>
            </w:r>
          </w:p>
        </w:tc>
        <w:tc>
          <w:tcPr>
            <w:tcW w:w="646" w:type="dxa"/>
            <w:tcBorders>
              <w:right w:val="single" w:sz="6" w:space="0" w:color="000000"/>
            </w:tcBorders>
          </w:tcPr>
          <w:p>
            <w:pPr>
              <w:pStyle w:val="TableParagraph"/>
              <w:spacing w:before="19"/>
              <w:ind w:right="128"/>
              <w:jc w:val="right"/>
              <w:rPr>
                <w:rFonts w:ascii="Times New Roman"/>
                <w:sz w:val="21"/>
              </w:rPr>
            </w:pPr>
            <w:r>
              <w:rPr>
                <w:rFonts w:ascii="Times New Roman"/>
                <w:sz w:val="21"/>
              </w:rPr>
              <w:t>0.02</w:t>
            </w:r>
          </w:p>
        </w:tc>
        <w:tc>
          <w:tcPr>
            <w:tcW w:w="780" w:type="dxa"/>
            <w:tcBorders>
              <w:left w:val="single" w:sz="6" w:space="0" w:color="000000"/>
            </w:tcBorders>
          </w:tcPr>
          <w:p>
            <w:pPr>
              <w:pStyle w:val="TableParagraph"/>
              <w:spacing w:before="19"/>
              <w:rPr>
                <w:rFonts w:ascii="Times New Roman"/>
                <w:sz w:val="21"/>
              </w:rPr>
            </w:pPr>
            <w:r>
              <w:rPr>
                <w:rFonts w:ascii="Times New Roman"/>
                <w:w w:val="100"/>
                <w:sz w:val="21"/>
              </w:rPr>
              <w:t>0</w:t>
            </w:r>
          </w:p>
        </w:tc>
        <w:tc>
          <w:tcPr>
            <w:tcW w:w="905" w:type="dxa"/>
          </w:tcPr>
          <w:p>
            <w:pPr>
              <w:pStyle w:val="TableParagraph"/>
              <w:spacing w:before="19"/>
              <w:rPr>
                <w:rFonts w:ascii="Times New Roman"/>
                <w:sz w:val="21"/>
              </w:rPr>
            </w:pPr>
            <w:r>
              <w:rPr>
                <w:rFonts w:ascii="Times New Roman"/>
                <w:w w:val="100"/>
                <w:sz w:val="21"/>
              </w:rPr>
              <w:t>0</w:t>
            </w:r>
          </w:p>
        </w:tc>
        <w:tc>
          <w:tcPr>
            <w:tcW w:w="648" w:type="dxa"/>
          </w:tcPr>
          <w:p>
            <w:pPr>
              <w:pStyle w:val="TableParagraph"/>
              <w:spacing w:before="19"/>
              <w:ind w:left="1"/>
              <w:rPr>
                <w:rFonts w:ascii="Times New Roman"/>
                <w:sz w:val="21"/>
              </w:rPr>
            </w:pPr>
            <w:r>
              <w:rPr>
                <w:rFonts w:ascii="Times New Roman"/>
                <w:sz w:val="21"/>
              </w:rPr>
              <w:t>0.016</w:t>
            </w:r>
          </w:p>
        </w:tc>
        <w:tc>
          <w:tcPr>
            <w:tcW w:w="992" w:type="dxa"/>
          </w:tcPr>
          <w:p>
            <w:pPr>
              <w:pStyle w:val="TableParagraph"/>
              <w:spacing w:before="19"/>
              <w:ind w:right="302"/>
              <w:jc w:val="right"/>
              <w:rPr>
                <w:rFonts w:ascii="Times New Roman"/>
                <w:sz w:val="21"/>
              </w:rPr>
            </w:pPr>
            <w:r>
              <w:rPr>
                <w:rFonts w:ascii="Times New Roman"/>
                <w:sz w:val="21"/>
              </w:rPr>
              <w:t>0.02</w:t>
            </w:r>
          </w:p>
        </w:tc>
        <w:tc>
          <w:tcPr>
            <w:tcW w:w="571" w:type="dxa"/>
            <w:vMerge/>
            <w:tcBorders>
              <w:top w:val="nil"/>
            </w:tcBorders>
          </w:tcPr>
          <w:p>
            <w:pPr>
              <w:rPr>
                <w:sz w:val="2"/>
                <w:szCs w:val="2"/>
              </w:rPr>
            </w:pPr>
          </w:p>
        </w:tc>
      </w:tr>
      <w:tr>
        <w:trPr>
          <w:trHeight w:val="513" w:hRule="atLeast"/>
        </w:trPr>
        <w:tc>
          <w:tcPr>
            <w:tcW w:w="466" w:type="dxa"/>
          </w:tcPr>
          <w:p>
            <w:pPr>
              <w:pStyle w:val="TableParagraph"/>
              <w:spacing w:before="137"/>
              <w:ind w:left="11"/>
              <w:rPr>
                <w:rFonts w:ascii="Times New Roman"/>
                <w:sz w:val="21"/>
              </w:rPr>
            </w:pPr>
            <w:r>
              <w:rPr>
                <w:rFonts w:ascii="Times New Roman"/>
                <w:sz w:val="21"/>
              </w:rPr>
              <w:t>Gb-2</w:t>
            </w:r>
          </w:p>
        </w:tc>
        <w:tc>
          <w:tcPr>
            <w:tcW w:w="574" w:type="dxa"/>
          </w:tcPr>
          <w:p>
            <w:pPr>
              <w:pStyle w:val="TableParagraph"/>
              <w:spacing w:before="121"/>
              <w:ind w:left="57" w:right="47"/>
              <w:rPr>
                <w:sz w:val="21"/>
              </w:rPr>
            </w:pPr>
            <w:r>
              <w:rPr>
                <w:sz w:val="21"/>
              </w:rPr>
              <w:t>混合</w:t>
            </w:r>
          </w:p>
        </w:tc>
        <w:tc>
          <w:tcPr>
            <w:tcW w:w="648" w:type="dxa"/>
          </w:tcPr>
          <w:p>
            <w:pPr>
              <w:pStyle w:val="TableParagraph"/>
              <w:spacing w:before="1"/>
              <w:ind w:left="111"/>
              <w:jc w:val="left"/>
              <w:rPr>
                <w:sz w:val="21"/>
              </w:rPr>
            </w:pPr>
            <w:r>
              <w:rPr>
                <w:sz w:val="21"/>
              </w:rPr>
              <w:t>间歇</w:t>
            </w:r>
          </w:p>
          <w:p>
            <w:pPr>
              <w:pStyle w:val="TableParagraph"/>
              <w:spacing w:line="221" w:lineRule="exact" w:before="1"/>
              <w:ind w:left="145"/>
              <w:jc w:val="left"/>
              <w:rPr>
                <w:rFonts w:ascii="Times New Roman"/>
                <w:sz w:val="21"/>
              </w:rPr>
            </w:pPr>
            <w:r>
              <w:rPr>
                <w:rFonts w:ascii="Times New Roman"/>
                <w:sz w:val="21"/>
              </w:rPr>
              <w:t>(1h)</w:t>
            </w:r>
          </w:p>
        </w:tc>
        <w:tc>
          <w:tcPr>
            <w:tcW w:w="778" w:type="dxa"/>
          </w:tcPr>
          <w:p>
            <w:pPr>
              <w:pStyle w:val="TableParagraph"/>
              <w:spacing w:before="121"/>
              <w:ind w:left="110" w:right="103"/>
              <w:rPr>
                <w:sz w:val="21"/>
              </w:rPr>
            </w:pPr>
            <w:r>
              <w:rPr>
                <w:sz w:val="21"/>
              </w:rPr>
              <w:t>粉尘</w:t>
            </w:r>
          </w:p>
        </w:tc>
        <w:tc>
          <w:tcPr>
            <w:tcW w:w="779" w:type="dxa"/>
          </w:tcPr>
          <w:p>
            <w:pPr>
              <w:pStyle w:val="TableParagraph"/>
              <w:spacing w:before="121"/>
              <w:ind w:left="52" w:right="46"/>
              <w:rPr>
                <w:sz w:val="21"/>
              </w:rPr>
            </w:pPr>
            <w:r>
              <w:rPr>
                <w:sz w:val="21"/>
              </w:rPr>
              <w:t>有组织</w:t>
            </w:r>
          </w:p>
        </w:tc>
        <w:tc>
          <w:tcPr>
            <w:tcW w:w="649" w:type="dxa"/>
          </w:tcPr>
          <w:p>
            <w:pPr>
              <w:pStyle w:val="TableParagraph"/>
              <w:spacing w:before="137"/>
              <w:ind w:left="55" w:right="51"/>
              <w:rPr>
                <w:rFonts w:ascii="Times New Roman"/>
                <w:sz w:val="21"/>
              </w:rPr>
            </w:pPr>
            <w:r>
              <w:rPr>
                <w:rFonts w:ascii="Times New Roman"/>
                <w:sz w:val="21"/>
              </w:rPr>
              <w:t>0.3</w:t>
            </w:r>
          </w:p>
        </w:tc>
        <w:tc>
          <w:tcPr>
            <w:tcW w:w="651" w:type="dxa"/>
          </w:tcPr>
          <w:p>
            <w:pPr>
              <w:pStyle w:val="TableParagraph"/>
              <w:spacing w:before="137"/>
              <w:ind w:left="66" w:right="61"/>
              <w:rPr>
                <w:rFonts w:ascii="Times New Roman"/>
                <w:sz w:val="21"/>
              </w:rPr>
            </w:pPr>
            <w:r>
              <w:rPr>
                <w:rFonts w:ascii="Times New Roman"/>
                <w:sz w:val="21"/>
              </w:rPr>
              <w:t>0.24</w:t>
            </w:r>
          </w:p>
        </w:tc>
        <w:tc>
          <w:tcPr>
            <w:tcW w:w="646" w:type="dxa"/>
            <w:tcBorders>
              <w:right w:val="single" w:sz="6" w:space="0" w:color="000000"/>
            </w:tcBorders>
          </w:tcPr>
          <w:p>
            <w:pPr>
              <w:pStyle w:val="TableParagraph"/>
              <w:spacing w:before="137"/>
              <w:ind w:left="185"/>
              <w:jc w:val="left"/>
              <w:rPr>
                <w:rFonts w:ascii="Times New Roman"/>
                <w:sz w:val="21"/>
              </w:rPr>
            </w:pPr>
            <w:r>
              <w:rPr>
                <w:rFonts w:ascii="Times New Roman"/>
                <w:sz w:val="21"/>
              </w:rPr>
              <w:t>0.3</w:t>
            </w:r>
          </w:p>
        </w:tc>
        <w:tc>
          <w:tcPr>
            <w:tcW w:w="780" w:type="dxa"/>
            <w:tcBorders>
              <w:left w:val="single" w:sz="6" w:space="0" w:color="000000"/>
            </w:tcBorders>
          </w:tcPr>
          <w:p>
            <w:pPr>
              <w:pStyle w:val="TableParagraph"/>
              <w:spacing w:before="137"/>
              <w:ind w:left="47" w:right="47"/>
              <w:rPr>
                <w:rFonts w:ascii="Times New Roman"/>
                <w:sz w:val="21"/>
              </w:rPr>
            </w:pPr>
            <w:r>
              <w:rPr>
                <w:rFonts w:ascii="Times New Roman"/>
                <w:sz w:val="21"/>
              </w:rPr>
              <w:t>95</w:t>
            </w:r>
          </w:p>
        </w:tc>
        <w:tc>
          <w:tcPr>
            <w:tcW w:w="905" w:type="dxa"/>
          </w:tcPr>
          <w:p>
            <w:pPr>
              <w:pStyle w:val="TableParagraph"/>
              <w:spacing w:before="137"/>
              <w:ind w:left="109" w:right="105"/>
              <w:rPr>
                <w:rFonts w:ascii="Times New Roman"/>
                <w:sz w:val="21"/>
              </w:rPr>
            </w:pPr>
            <w:r>
              <w:rPr>
                <w:rFonts w:ascii="Times New Roman"/>
                <w:sz w:val="21"/>
              </w:rPr>
              <w:t>0.228</w:t>
            </w:r>
          </w:p>
        </w:tc>
        <w:tc>
          <w:tcPr>
            <w:tcW w:w="648" w:type="dxa"/>
          </w:tcPr>
          <w:p>
            <w:pPr>
              <w:pStyle w:val="TableParagraph"/>
              <w:spacing w:before="137"/>
              <w:ind w:left="1"/>
              <w:rPr>
                <w:rFonts w:ascii="Times New Roman"/>
                <w:sz w:val="21"/>
              </w:rPr>
            </w:pPr>
            <w:r>
              <w:rPr>
                <w:rFonts w:ascii="Times New Roman"/>
                <w:sz w:val="21"/>
              </w:rPr>
              <w:t>0.012</w:t>
            </w:r>
          </w:p>
        </w:tc>
        <w:tc>
          <w:tcPr>
            <w:tcW w:w="992" w:type="dxa"/>
          </w:tcPr>
          <w:p>
            <w:pPr>
              <w:pStyle w:val="TableParagraph"/>
              <w:spacing w:before="137"/>
              <w:ind w:right="249"/>
              <w:jc w:val="right"/>
              <w:rPr>
                <w:rFonts w:ascii="Times New Roman"/>
                <w:sz w:val="21"/>
              </w:rPr>
            </w:pPr>
            <w:r>
              <w:rPr>
                <w:rFonts w:ascii="Times New Roman"/>
                <w:sz w:val="21"/>
              </w:rPr>
              <w:t>0.015</w:t>
            </w:r>
          </w:p>
        </w:tc>
        <w:tc>
          <w:tcPr>
            <w:tcW w:w="571" w:type="dxa"/>
          </w:tcPr>
          <w:p>
            <w:pPr>
              <w:pStyle w:val="TableParagraph"/>
              <w:spacing w:before="137"/>
              <w:ind w:right="1"/>
              <w:rPr>
                <w:rFonts w:ascii="Times New Roman"/>
                <w:sz w:val="21"/>
              </w:rPr>
            </w:pPr>
            <w:r>
              <w:rPr>
                <w:rFonts w:ascii="Times New Roman"/>
                <w:w w:val="100"/>
                <w:sz w:val="21"/>
              </w:rPr>
              <w:t>1</w:t>
            </w:r>
          </w:p>
        </w:tc>
      </w:tr>
      <w:tr>
        <w:trPr>
          <w:trHeight w:val="515" w:hRule="atLeast"/>
        </w:trPr>
        <w:tc>
          <w:tcPr>
            <w:tcW w:w="466" w:type="dxa"/>
          </w:tcPr>
          <w:p>
            <w:pPr>
              <w:pStyle w:val="TableParagraph"/>
              <w:spacing w:before="137"/>
              <w:ind w:left="11"/>
              <w:rPr>
                <w:rFonts w:ascii="Times New Roman"/>
                <w:sz w:val="21"/>
              </w:rPr>
            </w:pPr>
            <w:r>
              <w:rPr>
                <w:rFonts w:ascii="Times New Roman"/>
                <w:sz w:val="21"/>
              </w:rPr>
              <w:t>Gb-3</w:t>
            </w:r>
          </w:p>
        </w:tc>
        <w:tc>
          <w:tcPr>
            <w:tcW w:w="574" w:type="dxa"/>
          </w:tcPr>
          <w:p>
            <w:pPr>
              <w:pStyle w:val="TableParagraph"/>
              <w:spacing w:before="123"/>
              <w:ind w:left="57" w:right="47"/>
              <w:rPr>
                <w:sz w:val="21"/>
              </w:rPr>
            </w:pPr>
            <w:r>
              <w:rPr>
                <w:sz w:val="21"/>
              </w:rPr>
              <w:t>粉碎</w:t>
            </w:r>
          </w:p>
        </w:tc>
        <w:tc>
          <w:tcPr>
            <w:tcW w:w="648" w:type="dxa"/>
          </w:tcPr>
          <w:p>
            <w:pPr>
              <w:pStyle w:val="TableParagraph"/>
              <w:spacing w:before="1"/>
              <w:ind w:left="111"/>
              <w:jc w:val="left"/>
              <w:rPr>
                <w:sz w:val="21"/>
              </w:rPr>
            </w:pPr>
            <w:r>
              <w:rPr>
                <w:sz w:val="21"/>
              </w:rPr>
              <w:t>间歇</w:t>
            </w:r>
          </w:p>
          <w:p>
            <w:pPr>
              <w:pStyle w:val="TableParagraph"/>
              <w:spacing w:line="221" w:lineRule="exact" w:before="4"/>
              <w:ind w:left="145"/>
              <w:jc w:val="left"/>
              <w:rPr>
                <w:rFonts w:ascii="Times New Roman"/>
                <w:sz w:val="21"/>
              </w:rPr>
            </w:pPr>
            <w:r>
              <w:rPr>
                <w:rFonts w:ascii="Times New Roman"/>
                <w:sz w:val="21"/>
              </w:rPr>
              <w:t>(3h)</w:t>
            </w:r>
          </w:p>
        </w:tc>
        <w:tc>
          <w:tcPr>
            <w:tcW w:w="778" w:type="dxa"/>
          </w:tcPr>
          <w:p>
            <w:pPr>
              <w:pStyle w:val="TableParagraph"/>
              <w:spacing w:before="123"/>
              <w:ind w:left="110" w:right="103"/>
              <w:rPr>
                <w:sz w:val="21"/>
              </w:rPr>
            </w:pPr>
            <w:r>
              <w:rPr>
                <w:sz w:val="21"/>
              </w:rPr>
              <w:t>粉尘</w:t>
            </w:r>
          </w:p>
        </w:tc>
        <w:tc>
          <w:tcPr>
            <w:tcW w:w="779" w:type="dxa"/>
          </w:tcPr>
          <w:p>
            <w:pPr>
              <w:pStyle w:val="TableParagraph"/>
              <w:spacing w:before="123"/>
              <w:ind w:left="52" w:right="46"/>
              <w:rPr>
                <w:sz w:val="21"/>
              </w:rPr>
            </w:pPr>
            <w:r>
              <w:rPr>
                <w:sz w:val="21"/>
              </w:rPr>
              <w:t>有组织</w:t>
            </w:r>
          </w:p>
        </w:tc>
        <w:tc>
          <w:tcPr>
            <w:tcW w:w="649" w:type="dxa"/>
          </w:tcPr>
          <w:p>
            <w:pPr>
              <w:pStyle w:val="TableParagraph"/>
              <w:spacing w:before="137"/>
              <w:ind w:left="55" w:right="51"/>
              <w:rPr>
                <w:rFonts w:ascii="Times New Roman"/>
                <w:sz w:val="21"/>
              </w:rPr>
            </w:pPr>
            <w:r>
              <w:rPr>
                <w:rFonts w:ascii="Times New Roman"/>
                <w:sz w:val="21"/>
              </w:rPr>
              <w:t>0.5</w:t>
            </w:r>
          </w:p>
        </w:tc>
        <w:tc>
          <w:tcPr>
            <w:tcW w:w="651" w:type="dxa"/>
          </w:tcPr>
          <w:p>
            <w:pPr>
              <w:pStyle w:val="TableParagraph"/>
              <w:spacing w:before="137"/>
              <w:ind w:left="66" w:right="61"/>
              <w:rPr>
                <w:rFonts w:ascii="Times New Roman"/>
                <w:sz w:val="21"/>
              </w:rPr>
            </w:pPr>
            <w:r>
              <w:rPr>
                <w:rFonts w:ascii="Times New Roman"/>
                <w:sz w:val="21"/>
              </w:rPr>
              <w:t>0.4</w:t>
            </w:r>
          </w:p>
        </w:tc>
        <w:tc>
          <w:tcPr>
            <w:tcW w:w="646" w:type="dxa"/>
            <w:tcBorders>
              <w:right w:val="single" w:sz="6" w:space="0" w:color="000000"/>
            </w:tcBorders>
          </w:tcPr>
          <w:p>
            <w:pPr>
              <w:pStyle w:val="TableParagraph"/>
              <w:spacing w:before="137"/>
              <w:ind w:right="76"/>
              <w:jc w:val="right"/>
              <w:rPr>
                <w:rFonts w:ascii="Times New Roman"/>
                <w:sz w:val="21"/>
              </w:rPr>
            </w:pPr>
            <w:r>
              <w:rPr>
                <w:rFonts w:ascii="Times New Roman"/>
                <w:sz w:val="21"/>
              </w:rPr>
              <w:t>0.167</w:t>
            </w:r>
          </w:p>
        </w:tc>
        <w:tc>
          <w:tcPr>
            <w:tcW w:w="780" w:type="dxa"/>
            <w:tcBorders>
              <w:left w:val="single" w:sz="6" w:space="0" w:color="000000"/>
            </w:tcBorders>
          </w:tcPr>
          <w:p>
            <w:pPr>
              <w:pStyle w:val="TableParagraph"/>
              <w:spacing w:before="137"/>
              <w:ind w:left="47" w:right="47"/>
              <w:rPr>
                <w:rFonts w:ascii="Times New Roman"/>
                <w:sz w:val="21"/>
              </w:rPr>
            </w:pPr>
            <w:r>
              <w:rPr>
                <w:rFonts w:ascii="Times New Roman"/>
                <w:sz w:val="21"/>
              </w:rPr>
              <w:t>95</w:t>
            </w:r>
          </w:p>
        </w:tc>
        <w:tc>
          <w:tcPr>
            <w:tcW w:w="905" w:type="dxa"/>
          </w:tcPr>
          <w:p>
            <w:pPr>
              <w:pStyle w:val="TableParagraph"/>
              <w:spacing w:before="137"/>
              <w:ind w:left="109" w:right="105"/>
              <w:rPr>
                <w:rFonts w:ascii="Times New Roman"/>
                <w:sz w:val="21"/>
              </w:rPr>
            </w:pPr>
            <w:r>
              <w:rPr>
                <w:rFonts w:ascii="Times New Roman"/>
                <w:sz w:val="21"/>
              </w:rPr>
              <w:t>0.38</w:t>
            </w:r>
          </w:p>
        </w:tc>
        <w:tc>
          <w:tcPr>
            <w:tcW w:w="648" w:type="dxa"/>
          </w:tcPr>
          <w:p>
            <w:pPr>
              <w:pStyle w:val="TableParagraph"/>
              <w:spacing w:before="137"/>
              <w:ind w:left="1"/>
              <w:rPr>
                <w:rFonts w:ascii="Times New Roman"/>
                <w:sz w:val="21"/>
              </w:rPr>
            </w:pPr>
            <w:r>
              <w:rPr>
                <w:rFonts w:ascii="Times New Roman"/>
                <w:sz w:val="21"/>
              </w:rPr>
              <w:t>0.02</w:t>
            </w:r>
          </w:p>
        </w:tc>
        <w:tc>
          <w:tcPr>
            <w:tcW w:w="992" w:type="dxa"/>
          </w:tcPr>
          <w:p>
            <w:pPr>
              <w:pStyle w:val="TableParagraph"/>
              <w:spacing w:before="137"/>
              <w:ind w:right="249"/>
              <w:jc w:val="right"/>
              <w:rPr>
                <w:rFonts w:ascii="Times New Roman"/>
                <w:sz w:val="21"/>
              </w:rPr>
            </w:pPr>
            <w:r>
              <w:rPr>
                <w:rFonts w:ascii="Times New Roman"/>
                <w:sz w:val="21"/>
              </w:rPr>
              <w:t>0.008</w:t>
            </w:r>
          </w:p>
        </w:tc>
        <w:tc>
          <w:tcPr>
            <w:tcW w:w="571" w:type="dxa"/>
          </w:tcPr>
          <w:p>
            <w:pPr>
              <w:pStyle w:val="TableParagraph"/>
              <w:spacing w:before="137"/>
              <w:ind w:right="1"/>
              <w:rPr>
                <w:rFonts w:ascii="Times New Roman"/>
                <w:sz w:val="21"/>
              </w:rPr>
            </w:pPr>
            <w:r>
              <w:rPr>
                <w:rFonts w:ascii="Times New Roman"/>
                <w:w w:val="100"/>
                <w:sz w:val="21"/>
              </w:rPr>
              <w:t>1</w:t>
            </w:r>
          </w:p>
        </w:tc>
      </w:tr>
      <w:tr>
        <w:trPr>
          <w:trHeight w:val="544" w:hRule="atLeast"/>
        </w:trPr>
        <w:tc>
          <w:tcPr>
            <w:tcW w:w="466" w:type="dxa"/>
          </w:tcPr>
          <w:p>
            <w:pPr>
              <w:pStyle w:val="TableParagraph"/>
              <w:spacing w:before="149"/>
              <w:ind w:left="11"/>
              <w:rPr>
                <w:rFonts w:ascii="Times New Roman"/>
                <w:sz w:val="21"/>
              </w:rPr>
            </w:pPr>
            <w:r>
              <w:rPr>
                <w:rFonts w:ascii="Times New Roman"/>
                <w:sz w:val="21"/>
              </w:rPr>
              <w:t>Gb-4</w:t>
            </w:r>
          </w:p>
        </w:tc>
        <w:tc>
          <w:tcPr>
            <w:tcW w:w="574" w:type="dxa"/>
          </w:tcPr>
          <w:p>
            <w:pPr>
              <w:pStyle w:val="TableParagraph"/>
              <w:spacing w:before="1"/>
              <w:ind w:left="76"/>
              <w:jc w:val="left"/>
              <w:rPr>
                <w:sz w:val="21"/>
              </w:rPr>
            </w:pPr>
            <w:r>
              <w:rPr>
                <w:sz w:val="21"/>
              </w:rPr>
              <w:t>再混</w:t>
            </w:r>
          </w:p>
          <w:p>
            <w:pPr>
              <w:pStyle w:val="TableParagraph"/>
              <w:spacing w:line="252" w:lineRule="exact" w:before="2"/>
              <w:ind w:left="179"/>
              <w:jc w:val="left"/>
              <w:rPr>
                <w:sz w:val="21"/>
              </w:rPr>
            </w:pPr>
            <w:r>
              <w:rPr>
                <w:w w:val="100"/>
                <w:sz w:val="21"/>
              </w:rPr>
              <w:t>合</w:t>
            </w:r>
          </w:p>
        </w:tc>
        <w:tc>
          <w:tcPr>
            <w:tcW w:w="648" w:type="dxa"/>
          </w:tcPr>
          <w:p>
            <w:pPr>
              <w:pStyle w:val="TableParagraph"/>
              <w:spacing w:before="15"/>
              <w:ind w:left="111"/>
              <w:jc w:val="left"/>
              <w:rPr>
                <w:sz w:val="21"/>
              </w:rPr>
            </w:pPr>
            <w:r>
              <w:rPr>
                <w:sz w:val="21"/>
              </w:rPr>
              <w:t>间歇</w:t>
            </w:r>
          </w:p>
          <w:p>
            <w:pPr>
              <w:pStyle w:val="TableParagraph"/>
              <w:spacing w:line="238" w:lineRule="exact" w:before="2"/>
              <w:ind w:left="145"/>
              <w:jc w:val="left"/>
              <w:rPr>
                <w:rFonts w:ascii="Times New Roman"/>
                <w:sz w:val="21"/>
              </w:rPr>
            </w:pPr>
            <w:r>
              <w:rPr>
                <w:rFonts w:ascii="Times New Roman"/>
                <w:sz w:val="21"/>
              </w:rPr>
              <w:t>(1h)</w:t>
            </w:r>
          </w:p>
        </w:tc>
        <w:tc>
          <w:tcPr>
            <w:tcW w:w="778" w:type="dxa"/>
          </w:tcPr>
          <w:p>
            <w:pPr>
              <w:pStyle w:val="TableParagraph"/>
              <w:spacing w:before="135"/>
              <w:ind w:left="110" w:right="103"/>
              <w:rPr>
                <w:sz w:val="21"/>
              </w:rPr>
            </w:pPr>
            <w:r>
              <w:rPr>
                <w:sz w:val="21"/>
              </w:rPr>
              <w:t>粉尘</w:t>
            </w:r>
          </w:p>
        </w:tc>
        <w:tc>
          <w:tcPr>
            <w:tcW w:w="779" w:type="dxa"/>
          </w:tcPr>
          <w:p>
            <w:pPr>
              <w:pStyle w:val="TableParagraph"/>
              <w:spacing w:before="135"/>
              <w:ind w:left="52" w:right="46"/>
              <w:rPr>
                <w:sz w:val="21"/>
              </w:rPr>
            </w:pPr>
            <w:r>
              <w:rPr>
                <w:sz w:val="21"/>
              </w:rPr>
              <w:t>有组织</w:t>
            </w:r>
          </w:p>
        </w:tc>
        <w:tc>
          <w:tcPr>
            <w:tcW w:w="649" w:type="dxa"/>
          </w:tcPr>
          <w:p>
            <w:pPr>
              <w:pStyle w:val="TableParagraph"/>
              <w:spacing w:before="149"/>
              <w:ind w:left="55" w:right="51"/>
              <w:rPr>
                <w:rFonts w:ascii="Times New Roman"/>
                <w:sz w:val="21"/>
              </w:rPr>
            </w:pPr>
            <w:r>
              <w:rPr>
                <w:rFonts w:ascii="Times New Roman"/>
                <w:sz w:val="21"/>
              </w:rPr>
              <w:t>0.3</w:t>
            </w:r>
          </w:p>
        </w:tc>
        <w:tc>
          <w:tcPr>
            <w:tcW w:w="651" w:type="dxa"/>
          </w:tcPr>
          <w:p>
            <w:pPr>
              <w:pStyle w:val="TableParagraph"/>
              <w:spacing w:before="149"/>
              <w:ind w:left="66" w:right="61"/>
              <w:rPr>
                <w:rFonts w:ascii="Times New Roman"/>
                <w:sz w:val="21"/>
              </w:rPr>
            </w:pPr>
            <w:r>
              <w:rPr>
                <w:rFonts w:ascii="Times New Roman"/>
                <w:sz w:val="21"/>
              </w:rPr>
              <w:t>0.24</w:t>
            </w:r>
          </w:p>
        </w:tc>
        <w:tc>
          <w:tcPr>
            <w:tcW w:w="646" w:type="dxa"/>
            <w:tcBorders>
              <w:right w:val="single" w:sz="6" w:space="0" w:color="000000"/>
            </w:tcBorders>
          </w:tcPr>
          <w:p>
            <w:pPr>
              <w:pStyle w:val="TableParagraph"/>
              <w:spacing w:before="149"/>
              <w:ind w:left="185"/>
              <w:jc w:val="left"/>
              <w:rPr>
                <w:rFonts w:ascii="Times New Roman"/>
                <w:sz w:val="21"/>
              </w:rPr>
            </w:pPr>
            <w:r>
              <w:rPr>
                <w:rFonts w:ascii="Times New Roman"/>
                <w:sz w:val="21"/>
              </w:rPr>
              <w:t>0.3</w:t>
            </w:r>
          </w:p>
        </w:tc>
        <w:tc>
          <w:tcPr>
            <w:tcW w:w="780" w:type="dxa"/>
            <w:tcBorders>
              <w:left w:val="single" w:sz="6" w:space="0" w:color="000000"/>
            </w:tcBorders>
          </w:tcPr>
          <w:p>
            <w:pPr>
              <w:pStyle w:val="TableParagraph"/>
              <w:spacing w:before="149"/>
              <w:ind w:left="47" w:right="47"/>
              <w:rPr>
                <w:rFonts w:ascii="Times New Roman"/>
                <w:sz w:val="21"/>
              </w:rPr>
            </w:pPr>
            <w:r>
              <w:rPr>
                <w:rFonts w:ascii="Times New Roman"/>
                <w:sz w:val="21"/>
              </w:rPr>
              <w:t>95</w:t>
            </w:r>
          </w:p>
        </w:tc>
        <w:tc>
          <w:tcPr>
            <w:tcW w:w="905" w:type="dxa"/>
          </w:tcPr>
          <w:p>
            <w:pPr>
              <w:pStyle w:val="TableParagraph"/>
              <w:spacing w:before="149"/>
              <w:ind w:left="109" w:right="105"/>
              <w:rPr>
                <w:rFonts w:ascii="Times New Roman"/>
                <w:sz w:val="21"/>
              </w:rPr>
            </w:pPr>
            <w:r>
              <w:rPr>
                <w:rFonts w:ascii="Times New Roman"/>
                <w:sz w:val="21"/>
              </w:rPr>
              <w:t>0.228</w:t>
            </w:r>
          </w:p>
        </w:tc>
        <w:tc>
          <w:tcPr>
            <w:tcW w:w="648" w:type="dxa"/>
          </w:tcPr>
          <w:p>
            <w:pPr>
              <w:pStyle w:val="TableParagraph"/>
              <w:spacing w:before="149"/>
              <w:ind w:left="1"/>
              <w:rPr>
                <w:rFonts w:ascii="Times New Roman"/>
                <w:sz w:val="21"/>
              </w:rPr>
            </w:pPr>
            <w:r>
              <w:rPr>
                <w:rFonts w:ascii="Times New Roman"/>
                <w:sz w:val="21"/>
              </w:rPr>
              <w:t>0.012</w:t>
            </w:r>
          </w:p>
        </w:tc>
        <w:tc>
          <w:tcPr>
            <w:tcW w:w="992" w:type="dxa"/>
          </w:tcPr>
          <w:p>
            <w:pPr>
              <w:pStyle w:val="TableParagraph"/>
              <w:spacing w:before="149"/>
              <w:ind w:right="249"/>
              <w:jc w:val="right"/>
              <w:rPr>
                <w:rFonts w:ascii="Times New Roman"/>
                <w:sz w:val="21"/>
              </w:rPr>
            </w:pPr>
            <w:r>
              <w:rPr>
                <w:rFonts w:ascii="Times New Roman"/>
                <w:sz w:val="21"/>
              </w:rPr>
              <w:t>0.015</w:t>
            </w:r>
          </w:p>
        </w:tc>
        <w:tc>
          <w:tcPr>
            <w:tcW w:w="571" w:type="dxa"/>
          </w:tcPr>
          <w:p>
            <w:pPr>
              <w:pStyle w:val="TableParagraph"/>
              <w:spacing w:before="149"/>
              <w:ind w:right="1"/>
              <w:rPr>
                <w:rFonts w:ascii="Times New Roman"/>
                <w:sz w:val="21"/>
              </w:rPr>
            </w:pPr>
            <w:r>
              <w:rPr>
                <w:rFonts w:ascii="Times New Roman"/>
                <w:w w:val="100"/>
                <w:sz w:val="21"/>
              </w:rPr>
              <w:t>1</w:t>
            </w:r>
          </w:p>
        </w:tc>
      </w:tr>
      <w:tr>
        <w:trPr>
          <w:trHeight w:val="283" w:hRule="atLeast"/>
        </w:trPr>
        <w:tc>
          <w:tcPr>
            <w:tcW w:w="466" w:type="dxa"/>
            <w:vMerge w:val="restart"/>
          </w:tcPr>
          <w:p>
            <w:pPr>
              <w:pStyle w:val="TableParagraph"/>
              <w:spacing w:before="169"/>
              <w:ind w:left="16"/>
              <w:jc w:val="left"/>
              <w:rPr>
                <w:rFonts w:ascii="Times New Roman"/>
                <w:sz w:val="21"/>
              </w:rPr>
            </w:pPr>
            <w:r>
              <w:rPr>
                <w:rFonts w:ascii="Times New Roman"/>
                <w:sz w:val="21"/>
              </w:rPr>
              <w:t>Gb-5</w:t>
            </w:r>
          </w:p>
        </w:tc>
        <w:tc>
          <w:tcPr>
            <w:tcW w:w="574" w:type="dxa"/>
            <w:vMerge w:val="restart"/>
          </w:tcPr>
          <w:p>
            <w:pPr>
              <w:pStyle w:val="TableParagraph"/>
              <w:spacing w:before="155"/>
              <w:ind w:left="76"/>
              <w:jc w:val="left"/>
              <w:rPr>
                <w:sz w:val="21"/>
              </w:rPr>
            </w:pPr>
            <w:r>
              <w:rPr>
                <w:sz w:val="21"/>
              </w:rPr>
              <w:t>包装</w:t>
            </w:r>
          </w:p>
        </w:tc>
        <w:tc>
          <w:tcPr>
            <w:tcW w:w="648" w:type="dxa"/>
            <w:vMerge w:val="restart"/>
          </w:tcPr>
          <w:p>
            <w:pPr>
              <w:pStyle w:val="TableParagraph"/>
              <w:spacing w:before="32"/>
              <w:ind w:left="111"/>
              <w:jc w:val="left"/>
              <w:rPr>
                <w:sz w:val="21"/>
              </w:rPr>
            </w:pPr>
            <w:r>
              <w:rPr>
                <w:sz w:val="21"/>
              </w:rPr>
              <w:t>间歇</w:t>
            </w:r>
          </w:p>
          <w:p>
            <w:pPr>
              <w:pStyle w:val="TableParagraph"/>
              <w:spacing w:before="2"/>
              <w:ind w:left="145"/>
              <w:jc w:val="left"/>
              <w:rPr>
                <w:rFonts w:ascii="Times New Roman"/>
                <w:sz w:val="21"/>
              </w:rPr>
            </w:pPr>
            <w:r>
              <w:rPr>
                <w:rFonts w:ascii="Times New Roman"/>
                <w:sz w:val="21"/>
              </w:rPr>
              <w:t>(2h)</w:t>
            </w:r>
          </w:p>
        </w:tc>
        <w:tc>
          <w:tcPr>
            <w:tcW w:w="778" w:type="dxa"/>
            <w:vMerge w:val="restart"/>
          </w:tcPr>
          <w:p>
            <w:pPr>
              <w:pStyle w:val="TableParagraph"/>
              <w:spacing w:before="155"/>
              <w:ind w:left="176"/>
              <w:jc w:val="left"/>
              <w:rPr>
                <w:sz w:val="21"/>
              </w:rPr>
            </w:pPr>
            <w:r>
              <w:rPr>
                <w:sz w:val="21"/>
              </w:rPr>
              <w:t>粉尘</w:t>
            </w:r>
          </w:p>
        </w:tc>
        <w:tc>
          <w:tcPr>
            <w:tcW w:w="779" w:type="dxa"/>
          </w:tcPr>
          <w:p>
            <w:pPr>
              <w:pStyle w:val="TableParagraph"/>
              <w:spacing w:line="257" w:lineRule="exact" w:before="6"/>
              <w:ind w:left="52" w:right="46"/>
              <w:rPr>
                <w:sz w:val="21"/>
              </w:rPr>
            </w:pPr>
            <w:r>
              <w:rPr>
                <w:sz w:val="21"/>
              </w:rPr>
              <w:t>有组织</w:t>
            </w:r>
          </w:p>
        </w:tc>
        <w:tc>
          <w:tcPr>
            <w:tcW w:w="649" w:type="dxa"/>
          </w:tcPr>
          <w:p>
            <w:pPr>
              <w:pStyle w:val="TableParagraph"/>
              <w:spacing w:before="20"/>
              <w:ind w:left="55" w:right="51"/>
              <w:rPr>
                <w:rFonts w:ascii="Times New Roman"/>
                <w:sz w:val="21"/>
              </w:rPr>
            </w:pPr>
            <w:r>
              <w:rPr>
                <w:rFonts w:ascii="Times New Roman"/>
                <w:sz w:val="21"/>
              </w:rPr>
              <w:t>0.45</w:t>
            </w:r>
          </w:p>
        </w:tc>
        <w:tc>
          <w:tcPr>
            <w:tcW w:w="651" w:type="dxa"/>
          </w:tcPr>
          <w:p>
            <w:pPr>
              <w:pStyle w:val="TableParagraph"/>
              <w:spacing w:before="20"/>
              <w:ind w:left="66" w:right="61"/>
              <w:rPr>
                <w:rFonts w:ascii="Times New Roman"/>
                <w:sz w:val="21"/>
              </w:rPr>
            </w:pPr>
            <w:r>
              <w:rPr>
                <w:rFonts w:ascii="Times New Roman"/>
                <w:sz w:val="21"/>
              </w:rPr>
              <w:t>0.36</w:t>
            </w:r>
          </w:p>
        </w:tc>
        <w:tc>
          <w:tcPr>
            <w:tcW w:w="646" w:type="dxa"/>
            <w:tcBorders>
              <w:right w:val="single" w:sz="6" w:space="0" w:color="000000"/>
            </w:tcBorders>
          </w:tcPr>
          <w:p>
            <w:pPr>
              <w:pStyle w:val="TableParagraph"/>
              <w:spacing w:before="20"/>
              <w:ind w:right="76"/>
              <w:jc w:val="right"/>
              <w:rPr>
                <w:rFonts w:ascii="Times New Roman"/>
                <w:sz w:val="21"/>
              </w:rPr>
            </w:pPr>
            <w:r>
              <w:rPr>
                <w:rFonts w:ascii="Times New Roman"/>
                <w:sz w:val="21"/>
              </w:rPr>
              <w:t>0.225</w:t>
            </w:r>
          </w:p>
        </w:tc>
        <w:tc>
          <w:tcPr>
            <w:tcW w:w="780" w:type="dxa"/>
            <w:tcBorders>
              <w:left w:val="single" w:sz="6" w:space="0" w:color="000000"/>
            </w:tcBorders>
          </w:tcPr>
          <w:p>
            <w:pPr>
              <w:pStyle w:val="TableParagraph"/>
              <w:spacing w:before="20"/>
              <w:ind w:left="47" w:right="47"/>
              <w:rPr>
                <w:rFonts w:ascii="Times New Roman"/>
                <w:sz w:val="21"/>
              </w:rPr>
            </w:pPr>
            <w:r>
              <w:rPr>
                <w:rFonts w:ascii="Times New Roman"/>
                <w:sz w:val="21"/>
              </w:rPr>
              <w:t>95</w:t>
            </w:r>
          </w:p>
        </w:tc>
        <w:tc>
          <w:tcPr>
            <w:tcW w:w="905" w:type="dxa"/>
          </w:tcPr>
          <w:p>
            <w:pPr>
              <w:pStyle w:val="TableParagraph"/>
              <w:spacing w:before="20"/>
              <w:ind w:left="109" w:right="105"/>
              <w:rPr>
                <w:rFonts w:ascii="Times New Roman"/>
                <w:sz w:val="21"/>
              </w:rPr>
            </w:pPr>
            <w:r>
              <w:rPr>
                <w:rFonts w:ascii="Times New Roman"/>
                <w:sz w:val="21"/>
              </w:rPr>
              <w:t>0.342</w:t>
            </w:r>
          </w:p>
        </w:tc>
        <w:tc>
          <w:tcPr>
            <w:tcW w:w="648" w:type="dxa"/>
          </w:tcPr>
          <w:p>
            <w:pPr>
              <w:pStyle w:val="TableParagraph"/>
              <w:spacing w:before="20"/>
              <w:ind w:left="1"/>
              <w:rPr>
                <w:rFonts w:ascii="Times New Roman"/>
                <w:sz w:val="21"/>
              </w:rPr>
            </w:pPr>
            <w:r>
              <w:rPr>
                <w:rFonts w:ascii="Times New Roman"/>
                <w:sz w:val="21"/>
              </w:rPr>
              <w:t>0.018</w:t>
            </w:r>
          </w:p>
        </w:tc>
        <w:tc>
          <w:tcPr>
            <w:tcW w:w="992" w:type="dxa"/>
          </w:tcPr>
          <w:p>
            <w:pPr>
              <w:pStyle w:val="TableParagraph"/>
              <w:spacing w:before="20"/>
              <w:ind w:right="254"/>
              <w:jc w:val="right"/>
              <w:rPr>
                <w:rFonts w:ascii="Times New Roman"/>
                <w:sz w:val="21"/>
              </w:rPr>
            </w:pPr>
            <w:r>
              <w:rPr>
                <w:rFonts w:ascii="Times New Roman"/>
                <w:sz w:val="21"/>
              </w:rPr>
              <w:t>0.011</w:t>
            </w:r>
          </w:p>
        </w:tc>
        <w:tc>
          <w:tcPr>
            <w:tcW w:w="571" w:type="dxa"/>
            <w:vMerge w:val="restart"/>
          </w:tcPr>
          <w:p>
            <w:pPr>
              <w:pStyle w:val="TableParagraph"/>
              <w:spacing w:before="169"/>
              <w:ind w:right="1"/>
              <w:rPr>
                <w:rFonts w:ascii="Times New Roman"/>
                <w:sz w:val="21"/>
              </w:rPr>
            </w:pPr>
            <w:r>
              <w:rPr>
                <w:rFonts w:ascii="Times New Roman"/>
                <w:w w:val="100"/>
                <w:sz w:val="21"/>
              </w:rPr>
              <w:t>1</w:t>
            </w:r>
          </w:p>
        </w:tc>
      </w:tr>
      <w:tr>
        <w:trPr>
          <w:trHeight w:val="285" w:hRule="atLeast"/>
        </w:trPr>
        <w:tc>
          <w:tcPr>
            <w:tcW w:w="466" w:type="dxa"/>
            <w:vMerge/>
            <w:tcBorders>
              <w:top w:val="nil"/>
            </w:tcBorders>
          </w:tcPr>
          <w:p>
            <w:pPr>
              <w:rPr>
                <w:sz w:val="2"/>
                <w:szCs w:val="2"/>
              </w:rPr>
            </w:pPr>
          </w:p>
        </w:tc>
        <w:tc>
          <w:tcPr>
            <w:tcW w:w="574" w:type="dxa"/>
            <w:vMerge/>
            <w:tcBorders>
              <w:top w:val="nil"/>
            </w:tcBorders>
          </w:tcPr>
          <w:p>
            <w:pPr>
              <w:rPr>
                <w:sz w:val="2"/>
                <w:szCs w:val="2"/>
              </w:rPr>
            </w:pPr>
          </w:p>
        </w:tc>
        <w:tc>
          <w:tcPr>
            <w:tcW w:w="648" w:type="dxa"/>
            <w:vMerge/>
            <w:tcBorders>
              <w:top w:val="nil"/>
            </w:tcBorders>
          </w:tcPr>
          <w:p>
            <w:pPr>
              <w:rPr>
                <w:sz w:val="2"/>
                <w:szCs w:val="2"/>
              </w:rPr>
            </w:pPr>
          </w:p>
        </w:tc>
        <w:tc>
          <w:tcPr>
            <w:tcW w:w="778" w:type="dxa"/>
            <w:vMerge/>
            <w:tcBorders>
              <w:top w:val="nil"/>
            </w:tcBorders>
          </w:tcPr>
          <w:p>
            <w:pPr>
              <w:rPr>
                <w:sz w:val="2"/>
                <w:szCs w:val="2"/>
              </w:rPr>
            </w:pPr>
          </w:p>
        </w:tc>
        <w:tc>
          <w:tcPr>
            <w:tcW w:w="779" w:type="dxa"/>
          </w:tcPr>
          <w:p>
            <w:pPr>
              <w:pStyle w:val="TableParagraph"/>
              <w:spacing w:line="257" w:lineRule="exact" w:before="8"/>
              <w:ind w:left="52" w:right="46"/>
              <w:rPr>
                <w:sz w:val="21"/>
              </w:rPr>
            </w:pPr>
            <w:r>
              <w:rPr>
                <w:sz w:val="21"/>
              </w:rPr>
              <w:t>无组织</w:t>
            </w:r>
          </w:p>
        </w:tc>
        <w:tc>
          <w:tcPr>
            <w:tcW w:w="649" w:type="dxa"/>
          </w:tcPr>
          <w:p>
            <w:pPr>
              <w:pStyle w:val="TableParagraph"/>
              <w:spacing w:before="22"/>
              <w:ind w:left="55" w:right="51"/>
              <w:rPr>
                <w:rFonts w:ascii="Times New Roman"/>
                <w:sz w:val="21"/>
              </w:rPr>
            </w:pPr>
            <w:r>
              <w:rPr>
                <w:rFonts w:ascii="Times New Roman"/>
                <w:sz w:val="21"/>
              </w:rPr>
              <w:t>0.05</w:t>
            </w:r>
          </w:p>
        </w:tc>
        <w:tc>
          <w:tcPr>
            <w:tcW w:w="651" w:type="dxa"/>
          </w:tcPr>
          <w:p>
            <w:pPr>
              <w:pStyle w:val="TableParagraph"/>
              <w:spacing w:before="22"/>
              <w:ind w:left="66" w:right="61"/>
              <w:rPr>
                <w:rFonts w:ascii="Times New Roman"/>
                <w:sz w:val="21"/>
              </w:rPr>
            </w:pPr>
            <w:r>
              <w:rPr>
                <w:rFonts w:ascii="Times New Roman"/>
                <w:sz w:val="21"/>
              </w:rPr>
              <w:t>0.04</w:t>
            </w:r>
          </w:p>
        </w:tc>
        <w:tc>
          <w:tcPr>
            <w:tcW w:w="646" w:type="dxa"/>
            <w:tcBorders>
              <w:right w:val="single" w:sz="6" w:space="0" w:color="000000"/>
            </w:tcBorders>
          </w:tcPr>
          <w:p>
            <w:pPr>
              <w:pStyle w:val="TableParagraph"/>
              <w:spacing w:before="22"/>
              <w:ind w:right="76"/>
              <w:jc w:val="right"/>
              <w:rPr>
                <w:rFonts w:ascii="Times New Roman"/>
                <w:sz w:val="21"/>
              </w:rPr>
            </w:pPr>
            <w:r>
              <w:rPr>
                <w:rFonts w:ascii="Times New Roman"/>
                <w:sz w:val="21"/>
              </w:rPr>
              <w:t>0.025</w:t>
            </w:r>
          </w:p>
        </w:tc>
        <w:tc>
          <w:tcPr>
            <w:tcW w:w="780" w:type="dxa"/>
            <w:tcBorders>
              <w:left w:val="single" w:sz="6" w:space="0" w:color="000000"/>
            </w:tcBorders>
          </w:tcPr>
          <w:p>
            <w:pPr>
              <w:pStyle w:val="TableParagraph"/>
              <w:spacing w:before="22"/>
              <w:rPr>
                <w:rFonts w:ascii="Times New Roman"/>
                <w:sz w:val="21"/>
              </w:rPr>
            </w:pPr>
            <w:r>
              <w:rPr>
                <w:rFonts w:ascii="Times New Roman"/>
                <w:w w:val="100"/>
                <w:sz w:val="21"/>
              </w:rPr>
              <w:t>0</w:t>
            </w:r>
          </w:p>
        </w:tc>
        <w:tc>
          <w:tcPr>
            <w:tcW w:w="905" w:type="dxa"/>
          </w:tcPr>
          <w:p>
            <w:pPr>
              <w:pStyle w:val="TableParagraph"/>
              <w:spacing w:before="22"/>
              <w:rPr>
                <w:rFonts w:ascii="Times New Roman"/>
                <w:sz w:val="21"/>
              </w:rPr>
            </w:pPr>
            <w:r>
              <w:rPr>
                <w:rFonts w:ascii="Times New Roman"/>
                <w:w w:val="100"/>
                <w:sz w:val="21"/>
              </w:rPr>
              <w:t>0</w:t>
            </w:r>
          </w:p>
        </w:tc>
        <w:tc>
          <w:tcPr>
            <w:tcW w:w="648" w:type="dxa"/>
          </w:tcPr>
          <w:p>
            <w:pPr>
              <w:pStyle w:val="TableParagraph"/>
              <w:spacing w:before="22"/>
              <w:ind w:left="1"/>
              <w:rPr>
                <w:rFonts w:ascii="Times New Roman"/>
                <w:sz w:val="21"/>
              </w:rPr>
            </w:pPr>
            <w:r>
              <w:rPr>
                <w:rFonts w:ascii="Times New Roman"/>
                <w:sz w:val="21"/>
              </w:rPr>
              <w:t>0.04</w:t>
            </w:r>
          </w:p>
        </w:tc>
        <w:tc>
          <w:tcPr>
            <w:tcW w:w="992" w:type="dxa"/>
          </w:tcPr>
          <w:p>
            <w:pPr>
              <w:pStyle w:val="TableParagraph"/>
              <w:spacing w:before="22"/>
              <w:ind w:right="249"/>
              <w:jc w:val="right"/>
              <w:rPr>
                <w:rFonts w:ascii="Times New Roman"/>
                <w:sz w:val="21"/>
              </w:rPr>
            </w:pPr>
            <w:r>
              <w:rPr>
                <w:rFonts w:ascii="Times New Roman"/>
                <w:sz w:val="21"/>
              </w:rPr>
              <w:t>0.025</w:t>
            </w:r>
          </w:p>
        </w:tc>
        <w:tc>
          <w:tcPr>
            <w:tcW w:w="571" w:type="dxa"/>
            <w:vMerge/>
            <w:tcBorders>
              <w:top w:val="nil"/>
            </w:tcBorders>
          </w:tcPr>
          <w:p>
            <w:pPr>
              <w:rPr>
                <w:sz w:val="2"/>
                <w:szCs w:val="2"/>
              </w:rPr>
            </w:pPr>
          </w:p>
        </w:tc>
      </w:tr>
    </w:tbl>
    <w:p>
      <w:pPr>
        <w:spacing w:after="0"/>
        <w:rPr>
          <w:sz w:val="2"/>
          <w:szCs w:val="2"/>
        </w:rPr>
        <w:sectPr>
          <w:footerReference w:type="default" r:id="rId51"/>
          <w:pgSz w:w="11910" w:h="16850"/>
          <w:pgMar w:footer="803" w:header="872" w:top="1340" w:bottom="1000" w:left="1200" w:right="1180"/>
          <w:pgNumType w:start="90"/>
        </w:sectPr>
      </w:pPr>
    </w:p>
    <w:p>
      <w:pPr>
        <w:pStyle w:val="BodyText"/>
        <w:spacing w:before="3"/>
        <w:rPr>
          <w:b/>
          <w:sz w:val="10"/>
        </w:rPr>
      </w:pPr>
    </w:p>
    <w:p>
      <w:pPr>
        <w:tabs>
          <w:tab w:pos="1222" w:val="left" w:leader="none"/>
        </w:tabs>
        <w:spacing w:before="74" w:after="29"/>
        <w:ind w:left="0" w:right="16" w:firstLine="0"/>
        <w:jc w:val="center"/>
        <w:rPr>
          <w:b/>
          <w:sz w:val="24"/>
        </w:rPr>
      </w:pPr>
      <w:r>
        <w:rPr>
          <w:b/>
          <w:sz w:val="24"/>
        </w:rPr>
        <w:t>表</w:t>
      </w:r>
      <w:r>
        <w:rPr>
          <w:b/>
          <w:spacing w:val="-60"/>
          <w:sz w:val="24"/>
        </w:rPr>
        <w:t> </w:t>
      </w:r>
      <w:r>
        <w:rPr>
          <w:rFonts w:ascii="Times New Roman" w:eastAsia="Times New Roman"/>
          <w:b/>
          <w:sz w:val="24"/>
        </w:rPr>
        <w:t>4.2.2-5</w:t>
        <w:tab/>
      </w:r>
      <w:r>
        <w:rPr>
          <w:b/>
          <w:sz w:val="24"/>
        </w:rPr>
        <w:t>三环唑可湿性粉剂生产过程废气产生及排放情况</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7"/>
        <w:gridCol w:w="1145"/>
        <w:gridCol w:w="1059"/>
        <w:gridCol w:w="1145"/>
        <w:gridCol w:w="1148"/>
        <w:gridCol w:w="1143"/>
        <w:gridCol w:w="1146"/>
        <w:gridCol w:w="1143"/>
      </w:tblGrid>
      <w:tr>
        <w:trPr>
          <w:trHeight w:val="270" w:hRule="atLeast"/>
        </w:trPr>
        <w:tc>
          <w:tcPr>
            <w:tcW w:w="1157" w:type="dxa"/>
            <w:vMerge w:val="restart"/>
          </w:tcPr>
          <w:p>
            <w:pPr>
              <w:pStyle w:val="TableParagraph"/>
              <w:spacing w:before="2"/>
              <w:jc w:val="left"/>
              <w:rPr>
                <w:b/>
                <w:sz w:val="22"/>
              </w:rPr>
            </w:pPr>
          </w:p>
          <w:p>
            <w:pPr>
              <w:pStyle w:val="TableParagraph"/>
              <w:ind w:left="155"/>
              <w:jc w:val="left"/>
              <w:rPr>
                <w:b/>
                <w:sz w:val="21"/>
              </w:rPr>
            </w:pPr>
            <w:r>
              <w:rPr>
                <w:b/>
                <w:sz w:val="21"/>
              </w:rPr>
              <w:t>废气名称</w:t>
            </w:r>
          </w:p>
        </w:tc>
        <w:tc>
          <w:tcPr>
            <w:tcW w:w="2204" w:type="dxa"/>
            <w:gridSpan w:val="2"/>
            <w:vMerge w:val="restart"/>
          </w:tcPr>
          <w:p>
            <w:pPr>
              <w:pStyle w:val="TableParagraph"/>
              <w:spacing w:before="142"/>
              <w:ind w:left="762" w:right="759"/>
              <w:rPr>
                <w:b/>
                <w:sz w:val="21"/>
              </w:rPr>
            </w:pPr>
            <w:r>
              <w:rPr>
                <w:b/>
                <w:sz w:val="21"/>
              </w:rPr>
              <w:t>产生量</w:t>
            </w:r>
          </w:p>
        </w:tc>
        <w:tc>
          <w:tcPr>
            <w:tcW w:w="5725" w:type="dxa"/>
            <w:gridSpan w:val="5"/>
          </w:tcPr>
          <w:p>
            <w:pPr>
              <w:pStyle w:val="TableParagraph"/>
              <w:spacing w:line="250" w:lineRule="exact" w:before="1"/>
              <w:ind w:left="2521" w:right="2520"/>
              <w:rPr>
                <w:b/>
                <w:sz w:val="21"/>
              </w:rPr>
            </w:pPr>
            <w:r>
              <w:rPr>
                <w:b/>
                <w:sz w:val="21"/>
              </w:rPr>
              <w:t>排放量</w:t>
            </w:r>
          </w:p>
        </w:tc>
      </w:tr>
      <w:tr>
        <w:trPr>
          <w:trHeight w:val="273" w:hRule="atLeast"/>
        </w:trPr>
        <w:tc>
          <w:tcPr>
            <w:tcW w:w="1157" w:type="dxa"/>
            <w:vMerge/>
            <w:tcBorders>
              <w:top w:val="nil"/>
            </w:tcBorders>
          </w:tcPr>
          <w:p>
            <w:pPr>
              <w:rPr>
                <w:sz w:val="2"/>
                <w:szCs w:val="2"/>
              </w:rPr>
            </w:pPr>
          </w:p>
        </w:tc>
        <w:tc>
          <w:tcPr>
            <w:tcW w:w="2204" w:type="dxa"/>
            <w:gridSpan w:val="2"/>
            <w:vMerge/>
            <w:tcBorders>
              <w:top w:val="nil"/>
            </w:tcBorders>
          </w:tcPr>
          <w:p>
            <w:pPr>
              <w:rPr>
                <w:sz w:val="2"/>
                <w:szCs w:val="2"/>
              </w:rPr>
            </w:pPr>
          </w:p>
        </w:tc>
        <w:tc>
          <w:tcPr>
            <w:tcW w:w="2293" w:type="dxa"/>
            <w:gridSpan w:val="2"/>
          </w:tcPr>
          <w:p>
            <w:pPr>
              <w:pStyle w:val="TableParagraph"/>
              <w:spacing w:line="250" w:lineRule="exact" w:before="3"/>
              <w:ind w:left="805" w:right="805"/>
              <w:rPr>
                <w:b/>
                <w:sz w:val="21"/>
              </w:rPr>
            </w:pPr>
            <w:r>
              <w:rPr>
                <w:b/>
                <w:sz w:val="21"/>
              </w:rPr>
              <w:t>有组织</w:t>
            </w:r>
          </w:p>
        </w:tc>
        <w:tc>
          <w:tcPr>
            <w:tcW w:w="2289" w:type="dxa"/>
            <w:gridSpan w:val="2"/>
          </w:tcPr>
          <w:p>
            <w:pPr>
              <w:pStyle w:val="TableParagraph"/>
              <w:spacing w:line="250" w:lineRule="exact" w:before="3"/>
              <w:ind w:left="802" w:right="803"/>
              <w:rPr>
                <w:b/>
                <w:sz w:val="21"/>
              </w:rPr>
            </w:pPr>
            <w:r>
              <w:rPr>
                <w:b/>
                <w:sz w:val="21"/>
              </w:rPr>
              <w:t>无组织</w:t>
            </w:r>
          </w:p>
        </w:tc>
        <w:tc>
          <w:tcPr>
            <w:tcW w:w="1143" w:type="dxa"/>
          </w:tcPr>
          <w:p>
            <w:pPr>
              <w:pStyle w:val="TableParagraph"/>
              <w:spacing w:line="250" w:lineRule="exact" w:before="3"/>
              <w:ind w:left="7" w:right="3"/>
              <w:rPr>
                <w:b/>
                <w:sz w:val="21"/>
              </w:rPr>
            </w:pPr>
            <w:r>
              <w:rPr>
                <w:b/>
                <w:sz w:val="21"/>
              </w:rPr>
              <w:t>小计</w:t>
            </w:r>
          </w:p>
        </w:tc>
      </w:tr>
      <w:tr>
        <w:trPr>
          <w:trHeight w:val="273" w:hRule="atLeast"/>
        </w:trPr>
        <w:tc>
          <w:tcPr>
            <w:tcW w:w="1157" w:type="dxa"/>
            <w:vMerge/>
            <w:tcBorders>
              <w:top w:val="nil"/>
            </w:tcBorders>
          </w:tcPr>
          <w:p>
            <w:pPr>
              <w:rPr>
                <w:sz w:val="2"/>
                <w:szCs w:val="2"/>
              </w:rPr>
            </w:pPr>
          </w:p>
        </w:tc>
        <w:tc>
          <w:tcPr>
            <w:tcW w:w="1145" w:type="dxa"/>
          </w:tcPr>
          <w:p>
            <w:pPr>
              <w:pStyle w:val="TableParagraph"/>
              <w:spacing w:line="252" w:lineRule="exact" w:before="1"/>
              <w:ind w:left="10" w:right="4"/>
              <w:rPr>
                <w:rFonts w:ascii="Times New Roman" w:eastAsia="Times New Roman"/>
                <w:b/>
                <w:sz w:val="21"/>
              </w:rPr>
            </w:pPr>
            <w:r>
              <w:rPr>
                <w:b/>
                <w:spacing w:val="-14"/>
                <w:sz w:val="21"/>
              </w:rPr>
              <w:t>最大值 </w:t>
            </w:r>
            <w:r>
              <w:rPr>
                <w:rFonts w:ascii="Times New Roman" w:eastAsia="Times New Roman"/>
                <w:b/>
                <w:sz w:val="21"/>
              </w:rPr>
              <w:t>kg/h</w:t>
            </w:r>
          </w:p>
        </w:tc>
        <w:tc>
          <w:tcPr>
            <w:tcW w:w="1059" w:type="dxa"/>
          </w:tcPr>
          <w:p>
            <w:pPr>
              <w:pStyle w:val="TableParagraph"/>
              <w:spacing w:line="252" w:lineRule="exact" w:before="1"/>
              <w:ind w:left="21" w:right="15"/>
              <w:rPr>
                <w:rFonts w:ascii="Times New Roman" w:eastAsia="Times New Roman"/>
                <w:b/>
                <w:sz w:val="21"/>
              </w:rPr>
            </w:pPr>
            <w:r>
              <w:rPr>
                <w:b/>
                <w:sz w:val="21"/>
              </w:rPr>
              <w:t>年总量 </w:t>
            </w:r>
            <w:r>
              <w:rPr>
                <w:rFonts w:ascii="Times New Roman" w:eastAsia="Times New Roman"/>
                <w:b/>
                <w:sz w:val="21"/>
              </w:rPr>
              <w:t>t/a</w:t>
            </w:r>
          </w:p>
        </w:tc>
        <w:tc>
          <w:tcPr>
            <w:tcW w:w="1145" w:type="dxa"/>
          </w:tcPr>
          <w:p>
            <w:pPr>
              <w:pStyle w:val="TableParagraph"/>
              <w:spacing w:line="252" w:lineRule="exact" w:before="1"/>
              <w:ind w:left="9" w:right="4"/>
              <w:rPr>
                <w:rFonts w:ascii="Times New Roman" w:eastAsia="Times New Roman"/>
                <w:b/>
                <w:sz w:val="21"/>
              </w:rPr>
            </w:pPr>
            <w:r>
              <w:rPr>
                <w:b/>
                <w:spacing w:val="-14"/>
                <w:sz w:val="21"/>
              </w:rPr>
              <w:t>最大值 </w:t>
            </w:r>
            <w:r>
              <w:rPr>
                <w:rFonts w:ascii="Times New Roman" w:eastAsia="Times New Roman"/>
                <w:b/>
                <w:sz w:val="21"/>
              </w:rPr>
              <w:t>kg/h</w:t>
            </w:r>
          </w:p>
        </w:tc>
        <w:tc>
          <w:tcPr>
            <w:tcW w:w="1148" w:type="dxa"/>
          </w:tcPr>
          <w:p>
            <w:pPr>
              <w:pStyle w:val="TableParagraph"/>
              <w:spacing w:line="252" w:lineRule="exact" w:before="1"/>
              <w:ind w:left="66" w:right="59"/>
              <w:rPr>
                <w:rFonts w:ascii="Times New Roman" w:eastAsia="Times New Roman"/>
                <w:b/>
                <w:sz w:val="21"/>
              </w:rPr>
            </w:pPr>
            <w:r>
              <w:rPr>
                <w:b/>
                <w:sz w:val="21"/>
              </w:rPr>
              <w:t>年总量 </w:t>
            </w:r>
            <w:r>
              <w:rPr>
                <w:rFonts w:ascii="Times New Roman" w:eastAsia="Times New Roman"/>
                <w:b/>
                <w:sz w:val="21"/>
              </w:rPr>
              <w:t>t/a</w:t>
            </w:r>
          </w:p>
        </w:tc>
        <w:tc>
          <w:tcPr>
            <w:tcW w:w="1143" w:type="dxa"/>
          </w:tcPr>
          <w:p>
            <w:pPr>
              <w:pStyle w:val="TableParagraph"/>
              <w:spacing w:line="252" w:lineRule="exact" w:before="1"/>
              <w:ind w:left="7" w:right="6"/>
              <w:rPr>
                <w:rFonts w:ascii="Times New Roman" w:eastAsia="Times New Roman"/>
                <w:b/>
                <w:sz w:val="21"/>
              </w:rPr>
            </w:pPr>
            <w:r>
              <w:rPr>
                <w:b/>
                <w:spacing w:val="-14"/>
                <w:sz w:val="21"/>
              </w:rPr>
              <w:t>最大值 </w:t>
            </w:r>
            <w:r>
              <w:rPr>
                <w:rFonts w:ascii="Times New Roman" w:eastAsia="Times New Roman"/>
                <w:b/>
                <w:sz w:val="21"/>
              </w:rPr>
              <w:t>kg/h</w:t>
            </w:r>
          </w:p>
        </w:tc>
        <w:tc>
          <w:tcPr>
            <w:tcW w:w="1146" w:type="dxa"/>
          </w:tcPr>
          <w:p>
            <w:pPr>
              <w:pStyle w:val="TableParagraph"/>
              <w:spacing w:line="252" w:lineRule="exact" w:before="1"/>
              <w:ind w:left="63" w:right="61"/>
              <w:rPr>
                <w:rFonts w:ascii="Times New Roman" w:eastAsia="Times New Roman"/>
                <w:b/>
                <w:sz w:val="21"/>
              </w:rPr>
            </w:pPr>
            <w:r>
              <w:rPr>
                <w:b/>
                <w:sz w:val="21"/>
              </w:rPr>
              <w:t>年总量 </w:t>
            </w:r>
            <w:r>
              <w:rPr>
                <w:rFonts w:ascii="Times New Roman" w:eastAsia="Times New Roman"/>
                <w:b/>
                <w:sz w:val="21"/>
              </w:rPr>
              <w:t>t/a</w:t>
            </w:r>
          </w:p>
        </w:tc>
        <w:tc>
          <w:tcPr>
            <w:tcW w:w="1143" w:type="dxa"/>
          </w:tcPr>
          <w:p>
            <w:pPr>
              <w:pStyle w:val="TableParagraph"/>
              <w:spacing w:line="252" w:lineRule="exact" w:before="1"/>
              <w:ind w:left="7" w:right="4"/>
              <w:rPr>
                <w:rFonts w:ascii="Times New Roman" w:eastAsia="Times New Roman"/>
                <w:b/>
                <w:sz w:val="21"/>
              </w:rPr>
            </w:pPr>
            <w:r>
              <w:rPr>
                <w:b/>
                <w:sz w:val="21"/>
              </w:rPr>
              <w:t>年总量 </w:t>
            </w:r>
            <w:r>
              <w:rPr>
                <w:rFonts w:ascii="Times New Roman" w:eastAsia="Times New Roman"/>
                <w:b/>
                <w:sz w:val="21"/>
              </w:rPr>
              <w:t>t/a</w:t>
            </w:r>
          </w:p>
        </w:tc>
      </w:tr>
      <w:tr>
        <w:trPr>
          <w:trHeight w:val="273" w:hRule="atLeast"/>
        </w:trPr>
        <w:tc>
          <w:tcPr>
            <w:tcW w:w="1157" w:type="dxa"/>
          </w:tcPr>
          <w:p>
            <w:pPr>
              <w:pStyle w:val="TableParagraph"/>
              <w:spacing w:line="252" w:lineRule="exact" w:before="1"/>
              <w:ind w:left="366"/>
              <w:jc w:val="left"/>
              <w:rPr>
                <w:sz w:val="21"/>
              </w:rPr>
            </w:pPr>
            <w:r>
              <w:rPr>
                <w:sz w:val="21"/>
              </w:rPr>
              <w:t>粉尘</w:t>
            </w:r>
          </w:p>
        </w:tc>
        <w:tc>
          <w:tcPr>
            <w:tcW w:w="1145" w:type="dxa"/>
          </w:tcPr>
          <w:p>
            <w:pPr>
              <w:pStyle w:val="TableParagraph"/>
              <w:spacing w:line="238" w:lineRule="exact" w:before="15"/>
              <w:ind w:left="10" w:right="4"/>
              <w:rPr>
                <w:rFonts w:ascii="Times New Roman"/>
                <w:sz w:val="21"/>
              </w:rPr>
            </w:pPr>
            <w:r>
              <w:rPr>
                <w:rFonts w:ascii="Times New Roman"/>
                <w:sz w:val="21"/>
              </w:rPr>
              <w:t>1.217</w:t>
            </w:r>
          </w:p>
        </w:tc>
        <w:tc>
          <w:tcPr>
            <w:tcW w:w="1059" w:type="dxa"/>
          </w:tcPr>
          <w:p>
            <w:pPr>
              <w:pStyle w:val="TableParagraph"/>
              <w:spacing w:line="238" w:lineRule="exact" w:before="15"/>
              <w:ind w:left="21" w:right="15"/>
              <w:rPr>
                <w:rFonts w:ascii="Times New Roman"/>
                <w:sz w:val="21"/>
              </w:rPr>
            </w:pPr>
            <w:r>
              <w:rPr>
                <w:rFonts w:ascii="Times New Roman"/>
                <w:sz w:val="21"/>
              </w:rPr>
              <w:t>1.44</w:t>
            </w:r>
          </w:p>
        </w:tc>
        <w:tc>
          <w:tcPr>
            <w:tcW w:w="1145" w:type="dxa"/>
          </w:tcPr>
          <w:p>
            <w:pPr>
              <w:pStyle w:val="TableParagraph"/>
              <w:spacing w:line="238" w:lineRule="exact" w:before="15"/>
              <w:ind w:left="10" w:right="4"/>
              <w:rPr>
                <w:rFonts w:ascii="Times New Roman"/>
                <w:sz w:val="21"/>
              </w:rPr>
            </w:pPr>
            <w:r>
              <w:rPr>
                <w:rFonts w:ascii="Times New Roman"/>
                <w:sz w:val="21"/>
              </w:rPr>
              <w:t>0.058</w:t>
            </w:r>
          </w:p>
        </w:tc>
        <w:tc>
          <w:tcPr>
            <w:tcW w:w="1148" w:type="dxa"/>
          </w:tcPr>
          <w:p>
            <w:pPr>
              <w:pStyle w:val="TableParagraph"/>
              <w:spacing w:line="238" w:lineRule="exact" w:before="15"/>
              <w:ind w:left="66" w:right="59"/>
              <w:rPr>
                <w:rFonts w:ascii="Times New Roman"/>
                <w:sz w:val="21"/>
              </w:rPr>
            </w:pPr>
            <w:r>
              <w:rPr>
                <w:rFonts w:ascii="Times New Roman"/>
                <w:sz w:val="21"/>
              </w:rPr>
              <w:t>0.069</w:t>
            </w:r>
          </w:p>
        </w:tc>
        <w:tc>
          <w:tcPr>
            <w:tcW w:w="1143" w:type="dxa"/>
          </w:tcPr>
          <w:p>
            <w:pPr>
              <w:pStyle w:val="TableParagraph"/>
              <w:ind w:left="7" w:right="5"/>
              <w:rPr>
                <w:rFonts w:ascii="Times New Roman"/>
                <w:sz w:val="21"/>
              </w:rPr>
            </w:pPr>
            <w:r>
              <w:rPr>
                <w:rFonts w:ascii="Times New Roman"/>
                <w:sz w:val="21"/>
              </w:rPr>
              <w:t>0.045</w:t>
            </w:r>
          </w:p>
        </w:tc>
        <w:tc>
          <w:tcPr>
            <w:tcW w:w="1146" w:type="dxa"/>
          </w:tcPr>
          <w:p>
            <w:pPr>
              <w:pStyle w:val="TableParagraph"/>
              <w:ind w:left="63" w:right="61"/>
              <w:rPr>
                <w:rFonts w:ascii="Times New Roman"/>
                <w:sz w:val="21"/>
              </w:rPr>
            </w:pPr>
            <w:r>
              <w:rPr>
                <w:rFonts w:ascii="Times New Roman"/>
                <w:sz w:val="21"/>
              </w:rPr>
              <w:t>0.056</w:t>
            </w:r>
          </w:p>
        </w:tc>
        <w:tc>
          <w:tcPr>
            <w:tcW w:w="1143" w:type="dxa"/>
          </w:tcPr>
          <w:p>
            <w:pPr>
              <w:pStyle w:val="TableParagraph"/>
              <w:ind w:left="7" w:right="3"/>
              <w:rPr>
                <w:rFonts w:ascii="Times New Roman"/>
                <w:sz w:val="21"/>
              </w:rPr>
            </w:pPr>
            <w:r>
              <w:rPr>
                <w:rFonts w:ascii="Times New Roman"/>
                <w:sz w:val="21"/>
              </w:rPr>
              <w:t>0.125</w:t>
            </w:r>
          </w:p>
        </w:tc>
      </w:tr>
    </w:tbl>
    <w:p>
      <w:pPr>
        <w:spacing w:before="2"/>
        <w:ind w:left="701" w:right="0" w:firstLine="0"/>
        <w:jc w:val="left"/>
        <w:rPr>
          <w:b/>
          <w:sz w:val="24"/>
        </w:rPr>
      </w:pPr>
      <w:r>
        <w:rPr>
          <w:rFonts w:ascii="Times New Roman" w:eastAsia="Times New Roman"/>
          <w:b/>
          <w:sz w:val="24"/>
        </w:rPr>
        <w:t>3</w:t>
      </w:r>
      <w:r>
        <w:rPr>
          <w:b/>
          <w:sz w:val="24"/>
        </w:rPr>
        <w:t>、副产物产生及处置情况</w:t>
      </w:r>
    </w:p>
    <w:p>
      <w:pPr>
        <w:pStyle w:val="BodyText"/>
        <w:spacing w:before="158"/>
        <w:ind w:left="698"/>
      </w:pPr>
      <w:r>
        <w:rPr/>
        <w:t>该产品粉尘经布袋处理后会产生副产物粉尘，直接回用于生产。</w:t>
      </w:r>
    </w:p>
    <w:p>
      <w:pPr>
        <w:pStyle w:val="Heading4"/>
        <w:numPr>
          <w:ilvl w:val="2"/>
          <w:numId w:val="13"/>
        </w:numPr>
        <w:tabs>
          <w:tab w:pos="999" w:val="left" w:leader="none"/>
        </w:tabs>
        <w:spacing w:line="240" w:lineRule="auto" w:before="161" w:after="0"/>
        <w:ind w:left="998" w:right="0" w:hanging="541"/>
        <w:jc w:val="left"/>
      </w:pPr>
      <w:r>
        <w:rPr/>
        <w:t>公用工程污染因素分析</w:t>
      </w:r>
    </w:p>
    <w:p>
      <w:pPr>
        <w:pStyle w:val="ListParagraph"/>
        <w:numPr>
          <w:ilvl w:val="3"/>
          <w:numId w:val="13"/>
        </w:numPr>
        <w:tabs>
          <w:tab w:pos="1422" w:val="left" w:leader="none"/>
        </w:tabs>
        <w:spacing w:line="240" w:lineRule="auto" w:before="158" w:after="0"/>
        <w:ind w:left="1421" w:right="0" w:hanging="721"/>
        <w:jc w:val="left"/>
        <w:rPr>
          <w:b/>
          <w:sz w:val="24"/>
        </w:rPr>
      </w:pPr>
      <w:r>
        <w:rPr>
          <w:b/>
          <w:sz w:val="24"/>
        </w:rPr>
        <w:t>废水</w:t>
      </w:r>
    </w:p>
    <w:p>
      <w:pPr>
        <w:pStyle w:val="BodyText"/>
        <w:spacing w:line="364" w:lineRule="auto" w:before="160"/>
        <w:ind w:left="218" w:right="173" w:firstLine="480"/>
      </w:pPr>
      <w:r>
        <w:rPr/>
        <w:t>该项目公用工程废水包括生活污水、初期雨水、喷淋废水、蒸汽冷凝水和冷却系统排污水。</w:t>
      </w:r>
    </w:p>
    <w:p>
      <w:pPr>
        <w:pStyle w:val="Heading4"/>
        <w:spacing w:line="307" w:lineRule="exact"/>
      </w:pPr>
      <w:r>
        <w:rPr>
          <w:rFonts w:ascii="Times New Roman" w:eastAsia="Times New Roman"/>
        </w:rPr>
        <w:t>1</w:t>
      </w:r>
      <w:r>
        <w:rPr/>
        <w:t>、生活污水</w:t>
      </w:r>
    </w:p>
    <w:p>
      <w:pPr>
        <w:pStyle w:val="BodyText"/>
        <w:spacing w:line="364" w:lineRule="auto" w:before="158"/>
        <w:ind w:left="218" w:right="232" w:firstLine="480"/>
        <w:jc w:val="both"/>
      </w:pPr>
      <w:r>
        <w:rPr>
          <w:spacing w:val="-7"/>
        </w:rPr>
        <w:t>项目新增员工 </w:t>
      </w:r>
      <w:r>
        <w:rPr>
          <w:rFonts w:ascii="Times New Roman" w:hAnsi="Times New Roman" w:eastAsia="Times New Roman"/>
        </w:rPr>
        <w:t>50 </w:t>
      </w:r>
      <w:r>
        <w:rPr>
          <w:spacing w:val="-6"/>
        </w:rPr>
        <w:t>人，年工作天数 </w:t>
      </w:r>
      <w:r>
        <w:rPr>
          <w:rFonts w:ascii="Times New Roman" w:hAnsi="Times New Roman" w:eastAsia="Times New Roman"/>
        </w:rPr>
        <w:t>300 </w:t>
      </w:r>
      <w:r>
        <w:rPr>
          <w:spacing w:val="-1"/>
        </w:rPr>
        <w:t>天，采用四班三运转制生产，员工生活废水</w:t>
      </w:r>
      <w:r>
        <w:rPr>
          <w:spacing w:val="-13"/>
        </w:rPr>
        <w:t>产生量按 </w:t>
      </w:r>
      <w:r>
        <w:rPr>
          <w:rFonts w:ascii="Times New Roman" w:hAnsi="Times New Roman" w:eastAsia="Times New Roman"/>
        </w:rPr>
        <w:t>100L/</w:t>
      </w:r>
      <w:r>
        <w:rPr>
          <w:spacing w:val="4"/>
        </w:rPr>
        <w:t>人</w:t>
      </w:r>
      <w:r>
        <w:rPr>
          <w:rFonts w:ascii="Times New Roman" w:hAnsi="Times New Roman" w:eastAsia="Times New Roman"/>
          <w:spacing w:val="-28"/>
        </w:rPr>
        <w:t>·d </w:t>
      </w:r>
      <w:r>
        <w:rPr>
          <w:spacing w:val="-13"/>
        </w:rPr>
        <w:t>计，生活用水量为 </w:t>
      </w:r>
      <w:r>
        <w:rPr>
          <w:rFonts w:ascii="Times New Roman" w:hAnsi="Times New Roman" w:eastAsia="Times New Roman"/>
          <w:spacing w:val="-3"/>
        </w:rPr>
        <w:t>5t/d(1500t/a)</w:t>
      </w:r>
      <w:r>
        <w:rPr>
          <w:spacing w:val="-8"/>
        </w:rPr>
        <w:t>；排水量按用水量的 </w:t>
      </w:r>
      <w:r>
        <w:rPr>
          <w:rFonts w:ascii="Times New Roman" w:hAnsi="Times New Roman" w:eastAsia="Times New Roman"/>
        </w:rPr>
        <w:t>90%</w:t>
      </w:r>
      <w:r>
        <w:rPr>
          <w:spacing w:val="-9"/>
        </w:rPr>
        <w:t>计，则生活</w:t>
      </w:r>
      <w:r>
        <w:rPr>
          <w:spacing w:val="-17"/>
        </w:rPr>
        <w:t>废水产生量为 </w:t>
      </w:r>
      <w:r>
        <w:rPr>
          <w:rFonts w:ascii="Times New Roman" w:hAnsi="Times New Roman" w:eastAsia="Times New Roman"/>
        </w:rPr>
        <w:t>4.5t/d(1350t/a)</w:t>
      </w:r>
      <w:r>
        <w:rPr/>
        <w:t>，废水水质：</w:t>
      </w:r>
      <w:r>
        <w:rPr>
          <w:rFonts w:ascii="Times New Roman" w:hAnsi="Times New Roman" w:eastAsia="Times New Roman"/>
        </w:rPr>
        <w:t>CODcr350mg/L</w:t>
      </w:r>
      <w:r>
        <w:rPr>
          <w:spacing w:val="-15"/>
        </w:rPr>
        <w:t>，氨氮 </w:t>
      </w:r>
      <w:r>
        <w:rPr>
          <w:rFonts w:ascii="Times New Roman" w:hAnsi="Times New Roman" w:eastAsia="Times New Roman"/>
        </w:rPr>
        <w:t>35mg/L</w:t>
      </w:r>
      <w:r>
        <w:rPr/>
        <w:t>。</w:t>
      </w:r>
    </w:p>
    <w:p>
      <w:pPr>
        <w:pStyle w:val="Heading4"/>
        <w:spacing w:line="307" w:lineRule="exact"/>
      </w:pPr>
      <w:r>
        <w:rPr>
          <w:rFonts w:ascii="Times New Roman" w:eastAsia="Times New Roman"/>
        </w:rPr>
        <w:t>2</w:t>
      </w:r>
      <w:r>
        <w:rPr/>
        <w:t>、初期雨水</w:t>
      </w:r>
    </w:p>
    <w:p>
      <w:pPr>
        <w:pStyle w:val="BodyText"/>
        <w:spacing w:before="158"/>
        <w:ind w:left="698"/>
      </w:pPr>
      <w:r>
        <w:rPr/>
        <w:t>根据《室外排水设计规范》进行雨水流量计算如下：</w:t>
      </w:r>
    </w:p>
    <w:p>
      <w:pPr>
        <w:spacing w:before="123"/>
        <w:ind w:left="715" w:right="0" w:firstLine="0"/>
        <w:jc w:val="left"/>
        <w:rPr>
          <w:i/>
          <w:sz w:val="30"/>
        </w:rPr>
      </w:pPr>
      <w:r>
        <w:rPr>
          <w:i/>
          <w:w w:val="105"/>
          <w:sz w:val="30"/>
        </w:rPr>
        <w:t>Q </w:t>
      </w:r>
      <w:r>
        <w:rPr>
          <w:rFonts w:ascii="Symbol" w:hAnsi="Symbol"/>
          <w:w w:val="105"/>
          <w:sz w:val="28"/>
        </w:rPr>
        <w:t></w:t>
      </w:r>
      <w:r>
        <w:rPr>
          <w:rFonts w:ascii="Times New Roman" w:hAnsi="Times New Roman"/>
          <w:w w:val="105"/>
          <w:sz w:val="28"/>
        </w:rPr>
        <w:t> </w:t>
      </w:r>
      <w:r>
        <w:rPr>
          <w:w w:val="105"/>
          <w:sz w:val="28"/>
        </w:rPr>
        <w:t>q </w:t>
      </w:r>
      <w:r>
        <w:rPr>
          <w:rFonts w:ascii="Symbol" w:hAnsi="Symbol"/>
          <w:w w:val="105"/>
          <w:sz w:val="28"/>
        </w:rPr>
        <w:t></w:t>
      </w:r>
      <w:r>
        <w:rPr>
          <w:w w:val="105"/>
          <w:sz w:val="28"/>
        </w:rPr>
        <w:t>ψ</w:t>
      </w:r>
      <w:r>
        <w:rPr>
          <w:rFonts w:ascii="Symbol" w:hAnsi="Symbol"/>
          <w:w w:val="105"/>
          <w:sz w:val="28"/>
        </w:rPr>
        <w:t></w:t>
      </w:r>
      <w:r>
        <w:rPr>
          <w:rFonts w:ascii="Times New Roman" w:hAnsi="Times New Roman"/>
          <w:w w:val="105"/>
          <w:sz w:val="28"/>
        </w:rPr>
        <w:t> </w:t>
      </w:r>
      <w:r>
        <w:rPr>
          <w:i/>
          <w:w w:val="105"/>
          <w:sz w:val="30"/>
        </w:rPr>
        <w:t>F</w:t>
      </w:r>
    </w:p>
    <w:p>
      <w:pPr>
        <w:pStyle w:val="BodyText"/>
        <w:spacing w:before="148"/>
        <w:ind w:left="698"/>
      </w:pPr>
      <w:r>
        <w:rPr/>
        <w:t>式中：</w:t>
      </w:r>
    </w:p>
    <w:p>
      <w:pPr>
        <w:pStyle w:val="BodyText"/>
        <w:spacing w:before="159"/>
        <w:ind w:left="698"/>
      </w:pPr>
      <w:r>
        <w:rPr>
          <w:rFonts w:ascii="Times New Roman" w:hAnsi="Times New Roman" w:eastAsia="Times New Roman"/>
        </w:rPr>
        <w:t>Q—</w:t>
      </w:r>
      <w:r>
        <w:rPr/>
        <w:t>雨水设计流量，</w:t>
      </w:r>
      <w:r>
        <w:rPr>
          <w:rFonts w:ascii="Times New Roman" w:hAnsi="Times New Roman" w:eastAsia="Times New Roman"/>
        </w:rPr>
        <w:t>L/S</w:t>
      </w:r>
      <w:r>
        <w:rPr/>
        <w:t>；</w:t>
      </w:r>
    </w:p>
    <w:p>
      <w:pPr>
        <w:pStyle w:val="BodyText"/>
        <w:spacing w:before="160"/>
        <w:ind w:left="698"/>
      </w:pPr>
      <w:r>
        <w:rPr>
          <w:rFonts w:ascii="Times New Roman" w:hAnsi="Times New Roman" w:eastAsia="Times New Roman"/>
        </w:rPr>
        <w:t>q—</w:t>
      </w:r>
      <w:r>
        <w:rPr/>
        <w:t>设计暴雨强度，</w:t>
      </w:r>
      <w:r>
        <w:rPr>
          <w:rFonts w:ascii="Times New Roman" w:hAnsi="Times New Roman" w:eastAsia="Times New Roman"/>
        </w:rPr>
        <w:t>L/S·hm </w:t>
      </w:r>
      <w:r>
        <w:rPr>
          <w:rFonts w:ascii="Times New Roman" w:hAnsi="Times New Roman" w:eastAsia="Times New Roman"/>
          <w:position w:val="9"/>
          <w:sz w:val="16"/>
        </w:rPr>
        <w:t>2</w:t>
      </w:r>
      <w:r>
        <w:rPr/>
        <w:t>，</w:t>
      </w:r>
      <w:r>
        <w:rPr>
          <w:rFonts w:ascii="Times New Roman" w:hAnsi="Times New Roman" w:eastAsia="Times New Roman"/>
        </w:rPr>
        <w:t>hm</w:t>
      </w:r>
      <w:r>
        <w:rPr>
          <w:rFonts w:ascii="Times New Roman" w:hAnsi="Times New Roman" w:eastAsia="Times New Roman"/>
          <w:position w:val="9"/>
          <w:sz w:val="16"/>
        </w:rPr>
        <w:t>2 </w:t>
      </w:r>
      <w:r>
        <w:rPr/>
        <w:t>为 </w:t>
      </w:r>
      <w:r>
        <w:rPr>
          <w:rFonts w:ascii="Times New Roman" w:hAnsi="Times New Roman" w:eastAsia="Times New Roman"/>
        </w:rPr>
        <w:t>10</w:t>
      </w:r>
      <w:r>
        <w:rPr>
          <w:rFonts w:ascii="Times New Roman" w:hAnsi="Times New Roman" w:eastAsia="Times New Roman"/>
          <w:position w:val="9"/>
          <w:sz w:val="16"/>
        </w:rPr>
        <w:t>4</w:t>
      </w:r>
      <w:r>
        <w:rPr>
          <w:rFonts w:ascii="Times New Roman" w:hAnsi="Times New Roman" w:eastAsia="Times New Roman"/>
        </w:rPr>
        <w:t>m</w:t>
      </w:r>
      <w:r>
        <w:rPr>
          <w:rFonts w:ascii="Times New Roman" w:hAnsi="Times New Roman" w:eastAsia="Times New Roman"/>
          <w:position w:val="9"/>
          <w:sz w:val="16"/>
        </w:rPr>
        <w:t>2 </w:t>
      </w:r>
      <w:r>
        <w:rPr/>
        <w:t>；</w:t>
      </w:r>
    </w:p>
    <w:p>
      <w:pPr>
        <w:pStyle w:val="BodyText"/>
        <w:spacing w:before="158"/>
        <w:ind w:left="698"/>
      </w:pPr>
      <w:r>
        <w:rPr>
          <w:rFonts w:ascii="Times New Roman" w:hAnsi="Times New Roman" w:eastAsia="Times New Roman"/>
        </w:rPr>
        <w:t>φ—</w:t>
      </w:r>
      <w:r>
        <w:rPr/>
        <w:t>径流系数，取 </w:t>
      </w:r>
      <w:r>
        <w:rPr>
          <w:rFonts w:ascii="Times New Roman" w:hAnsi="Times New Roman" w:eastAsia="Times New Roman"/>
        </w:rPr>
        <w:t>0.9</w:t>
      </w:r>
      <w:r>
        <w:rPr/>
        <w:t>；</w:t>
      </w:r>
    </w:p>
    <w:p>
      <w:pPr>
        <w:spacing w:before="161"/>
        <w:ind w:left="698" w:right="0" w:firstLine="0"/>
        <w:jc w:val="left"/>
        <w:rPr>
          <w:sz w:val="24"/>
        </w:rPr>
      </w:pPr>
      <w:r>
        <w:rPr>
          <w:rFonts w:ascii="Times New Roman" w:hAnsi="Times New Roman" w:eastAsia="Times New Roman"/>
          <w:sz w:val="24"/>
        </w:rPr>
        <w:t>F—</w:t>
      </w:r>
      <w:r>
        <w:rPr>
          <w:sz w:val="24"/>
        </w:rPr>
        <w:t>汇水面积，</w:t>
      </w:r>
      <w:r>
        <w:rPr>
          <w:rFonts w:ascii="Times New Roman" w:hAnsi="Times New Roman" w:eastAsia="Times New Roman"/>
          <w:sz w:val="24"/>
        </w:rPr>
        <w:t>hm</w:t>
      </w:r>
      <w:r>
        <w:rPr>
          <w:rFonts w:ascii="Times New Roman" w:hAnsi="Times New Roman" w:eastAsia="Times New Roman"/>
          <w:position w:val="9"/>
          <w:sz w:val="16"/>
        </w:rPr>
        <w:t>2</w:t>
      </w:r>
      <w:r>
        <w:rPr>
          <w:sz w:val="24"/>
        </w:rPr>
        <w:t>；</w:t>
      </w:r>
      <w:r>
        <w:rPr>
          <w:b/>
          <w:sz w:val="24"/>
        </w:rPr>
        <w:t>本项目厂区汇水面积约 </w:t>
      </w:r>
      <w:r>
        <w:rPr>
          <w:rFonts w:ascii="Times New Roman" w:hAnsi="Times New Roman" w:eastAsia="Times New Roman"/>
          <w:b/>
          <w:sz w:val="24"/>
        </w:rPr>
        <w:t>9880m</w:t>
      </w:r>
      <w:r>
        <w:rPr>
          <w:rFonts w:ascii="Times New Roman" w:hAnsi="Times New Roman" w:eastAsia="Times New Roman"/>
          <w:b/>
          <w:position w:val="8"/>
          <w:sz w:val="16"/>
        </w:rPr>
        <w:t>2</w:t>
      </w:r>
      <w:r>
        <w:rPr>
          <w:sz w:val="24"/>
        </w:rPr>
        <w:t>。</w:t>
      </w:r>
    </w:p>
    <w:p>
      <w:pPr>
        <w:pStyle w:val="BodyText"/>
        <w:spacing w:line="364" w:lineRule="auto" w:before="158"/>
        <w:ind w:left="218" w:right="278" w:firstLine="480"/>
      </w:pPr>
      <w:r>
        <w:rPr/>
        <w:t>根据《暴雨强度计算标准》（</w:t>
      </w:r>
      <w:r>
        <w:rPr>
          <w:rFonts w:ascii="Times New Roman" w:eastAsia="Times New Roman"/>
        </w:rPr>
        <w:t>DB33/T1191-2020</w:t>
      </w:r>
      <w:r>
        <w:rPr/>
        <w:t>），绍兴市上虞区暴雨强度公式如下：</w:t>
      </w:r>
    </w:p>
    <w:p>
      <w:pPr>
        <w:spacing w:line="115" w:lineRule="auto" w:before="55"/>
        <w:ind w:left="849" w:right="0" w:firstLine="0"/>
        <w:jc w:val="left"/>
        <w:rPr>
          <w:sz w:val="25"/>
        </w:rPr>
      </w:pPr>
      <w:r>
        <w:rPr/>
        <w:pict>
          <v:line style="position:absolute;mso-position-horizontal-relative:page;mso-position-vertical-relative:paragraph;z-index:251788288" from="129.063934pt,17.922802pt" to="276.606995pt,17.922802pt" stroked="true" strokeweight=".522186pt" strokecolor="#000000">
            <v:stroke dashstyle="solid"/>
            <w10:wrap type="none"/>
          </v:line>
        </w:pict>
      </w:r>
      <w:r>
        <w:rPr>
          <w:w w:val="105"/>
          <w:position w:val="-15"/>
          <w:sz w:val="25"/>
        </w:rPr>
        <w:t>q </w:t>
      </w:r>
      <w:r>
        <w:rPr>
          <w:rFonts w:ascii="Symbol" w:hAnsi="Symbol" w:eastAsia="Symbol"/>
          <w:w w:val="105"/>
          <w:position w:val="-15"/>
          <w:sz w:val="25"/>
        </w:rPr>
        <w:t></w:t>
      </w:r>
      <w:r>
        <w:rPr>
          <w:rFonts w:ascii="Times New Roman" w:hAnsi="Times New Roman" w:eastAsia="Times New Roman"/>
          <w:w w:val="105"/>
          <w:position w:val="-15"/>
          <w:sz w:val="25"/>
        </w:rPr>
        <w:t> </w:t>
      </w:r>
      <w:r>
        <w:rPr>
          <w:spacing w:val="-3"/>
          <w:w w:val="105"/>
          <w:sz w:val="25"/>
        </w:rPr>
        <w:t>3699.701 </w:t>
      </w:r>
      <w:r>
        <w:rPr>
          <w:rFonts w:ascii="Symbol" w:hAnsi="Symbol" w:eastAsia="Symbol"/>
          <w:spacing w:val="-35"/>
          <w:w w:val="105"/>
          <w:sz w:val="25"/>
        </w:rPr>
        <w:t></w:t>
      </w:r>
      <w:r>
        <w:rPr>
          <w:spacing w:val="-35"/>
          <w:w w:val="105"/>
          <w:sz w:val="25"/>
        </w:rPr>
        <w:t>（1</w:t>
      </w:r>
      <w:r>
        <w:rPr>
          <w:spacing w:val="-100"/>
          <w:w w:val="105"/>
          <w:sz w:val="25"/>
        </w:rPr>
        <w:t> </w:t>
      </w:r>
      <w:r>
        <w:rPr>
          <w:rFonts w:ascii="Symbol" w:hAnsi="Symbol" w:eastAsia="Symbol"/>
          <w:w w:val="105"/>
          <w:sz w:val="25"/>
        </w:rPr>
        <w:t></w:t>
      </w:r>
      <w:r>
        <w:rPr>
          <w:rFonts w:ascii="Times New Roman" w:hAnsi="Times New Roman" w:eastAsia="Times New Roman"/>
          <w:w w:val="105"/>
          <w:sz w:val="25"/>
        </w:rPr>
        <w:t> </w:t>
      </w:r>
      <w:r>
        <w:rPr>
          <w:spacing w:val="-5"/>
          <w:w w:val="105"/>
          <w:sz w:val="25"/>
        </w:rPr>
        <w:t>0.815l</w:t>
      </w:r>
      <w:r>
        <w:rPr>
          <w:i/>
          <w:spacing w:val="-5"/>
          <w:w w:val="105"/>
          <w:sz w:val="26"/>
        </w:rPr>
        <w:t>gP</w:t>
      </w:r>
      <w:r>
        <w:rPr>
          <w:spacing w:val="-5"/>
          <w:w w:val="105"/>
          <w:sz w:val="25"/>
        </w:rPr>
        <w:t>）</w:t>
      </w:r>
    </w:p>
    <w:p>
      <w:pPr>
        <w:spacing w:line="327" w:lineRule="exact" w:before="0"/>
        <w:ind w:left="1943" w:right="0" w:firstLine="0"/>
        <w:jc w:val="left"/>
        <w:rPr>
          <w:sz w:val="14"/>
        </w:rPr>
      </w:pPr>
      <w:r>
        <w:rPr>
          <w:w w:val="105"/>
          <w:sz w:val="25"/>
        </w:rPr>
        <w:t>(</w:t>
      </w:r>
      <w:r>
        <w:rPr>
          <w:i/>
          <w:w w:val="105"/>
          <w:sz w:val="26"/>
        </w:rPr>
        <w:t>t </w:t>
      </w:r>
      <w:r>
        <w:rPr>
          <w:rFonts w:ascii="Symbol" w:hAnsi="Symbol"/>
          <w:w w:val="105"/>
          <w:sz w:val="25"/>
        </w:rPr>
        <w:t></w:t>
      </w:r>
      <w:r>
        <w:rPr>
          <w:rFonts w:ascii="Times New Roman" w:hAnsi="Times New Roman"/>
          <w:w w:val="105"/>
          <w:sz w:val="25"/>
        </w:rPr>
        <w:t> </w:t>
      </w:r>
      <w:r>
        <w:rPr>
          <w:w w:val="105"/>
          <w:sz w:val="25"/>
        </w:rPr>
        <w:t>18.017)</w:t>
      </w:r>
      <w:r>
        <w:rPr>
          <w:w w:val="105"/>
          <w:position w:val="11"/>
          <w:sz w:val="14"/>
        </w:rPr>
        <w:t>0.817</w:t>
      </w:r>
    </w:p>
    <w:p>
      <w:pPr>
        <w:pStyle w:val="BodyText"/>
        <w:spacing w:before="129"/>
        <w:ind w:left="698"/>
      </w:pPr>
      <w:r>
        <w:rPr/>
        <w:t>式中：</w:t>
      </w:r>
      <w:r>
        <w:rPr>
          <w:rFonts w:ascii="Times New Roman" w:hAnsi="Times New Roman" w:eastAsia="Times New Roman"/>
        </w:rPr>
        <w:t>P—</w:t>
      </w:r>
      <w:r>
        <w:rPr/>
        <w:t>设计重现期，单位：年；</w:t>
      </w:r>
    </w:p>
    <w:p>
      <w:pPr>
        <w:pStyle w:val="BodyText"/>
        <w:spacing w:before="161"/>
        <w:ind w:left="1418"/>
      </w:pPr>
      <w:r>
        <w:rPr>
          <w:rFonts w:ascii="Times New Roman" w:hAnsi="Times New Roman" w:eastAsia="Times New Roman"/>
        </w:rPr>
        <w:t>t—</w:t>
      </w:r>
      <w:r>
        <w:rPr/>
        <w:t>降雨历时，单位：分钟；</w:t>
      </w:r>
    </w:p>
    <w:p>
      <w:pPr>
        <w:pStyle w:val="BodyText"/>
        <w:spacing w:line="364" w:lineRule="auto" w:before="157"/>
        <w:ind w:left="218" w:right="229" w:firstLine="480"/>
      </w:pPr>
      <w:r>
        <w:rPr>
          <w:position w:val="2"/>
        </w:rPr>
        <w:t>计算得上虞在重现期 </w:t>
      </w:r>
      <w:r>
        <w:rPr>
          <w:rFonts w:ascii="Times New Roman" w:hAnsi="Times New Roman" w:eastAsia="Times New Roman"/>
          <w:position w:val="2"/>
        </w:rPr>
        <w:t>1 </w:t>
      </w:r>
      <w:r>
        <w:rPr>
          <w:position w:val="2"/>
        </w:rPr>
        <w:t>年、降雨历时 </w:t>
      </w:r>
      <w:r>
        <w:rPr>
          <w:rFonts w:ascii="Times New Roman" w:hAnsi="Times New Roman" w:eastAsia="Times New Roman"/>
          <w:position w:val="2"/>
        </w:rPr>
        <w:t>20 </w:t>
      </w:r>
      <w:r>
        <w:rPr>
          <w:position w:val="2"/>
        </w:rPr>
        <w:t>分钟情况下的暴雨强度 </w:t>
      </w:r>
      <w:r>
        <w:rPr>
          <w:rFonts w:ascii="Times New Roman" w:hAnsi="Times New Roman" w:eastAsia="Times New Roman"/>
          <w:position w:val="2"/>
        </w:rPr>
        <w:t>q</w:t>
      </w:r>
      <w:r>
        <w:rPr>
          <w:rFonts w:ascii="Times New Roman" w:hAnsi="Times New Roman" w:eastAsia="Times New Roman"/>
          <w:sz w:val="16"/>
        </w:rPr>
        <w:t>1,20 </w:t>
      </w:r>
      <w:r>
        <w:rPr>
          <w:position w:val="2"/>
        </w:rPr>
        <w:t>为 </w:t>
      </w:r>
      <w:r>
        <w:rPr>
          <w:rFonts w:ascii="Times New Roman" w:hAnsi="Times New Roman" w:eastAsia="Times New Roman"/>
          <w:position w:val="2"/>
        </w:rPr>
        <w:t>189.34 </w:t>
      </w:r>
      <w:r>
        <w:rPr>
          <w:rFonts w:ascii="Times New Roman" w:hAnsi="Times New Roman" w:eastAsia="Times New Roman"/>
        </w:rPr>
        <w:t>L/S·hm </w:t>
      </w:r>
      <w:r>
        <w:rPr>
          <w:rFonts w:ascii="Times New Roman" w:hAnsi="Times New Roman" w:eastAsia="Times New Roman"/>
          <w:position w:val="9"/>
          <w:sz w:val="16"/>
        </w:rPr>
        <w:t>2</w:t>
      </w:r>
      <w:r>
        <w:rPr/>
        <w:t>，则雨水设计流量为 </w:t>
      </w:r>
      <w:r>
        <w:rPr>
          <w:rFonts w:ascii="Times New Roman" w:hAnsi="Times New Roman" w:eastAsia="Times New Roman"/>
        </w:rPr>
        <w:t>168.36L/s</w:t>
      </w:r>
      <w:r>
        <w:rPr/>
        <w:t>。</w:t>
      </w:r>
    </w:p>
    <w:p>
      <w:pPr>
        <w:pStyle w:val="BodyText"/>
        <w:spacing w:line="307" w:lineRule="exact"/>
        <w:ind w:left="698"/>
      </w:pPr>
      <w:r>
        <w:rPr/>
        <w:t>上虞年平均降雨日 </w:t>
      </w:r>
      <w:r>
        <w:rPr>
          <w:rFonts w:ascii="Times New Roman" w:eastAsia="Times New Roman"/>
        </w:rPr>
        <w:t>156 </w:t>
      </w:r>
      <w:r>
        <w:rPr/>
        <w:t>天，计算时每次降雨时间按照 </w:t>
      </w:r>
      <w:r>
        <w:rPr>
          <w:rFonts w:ascii="Times New Roman" w:eastAsia="Times New Roman"/>
        </w:rPr>
        <w:t>2 </w:t>
      </w:r>
      <w:r>
        <w:rPr/>
        <w:t>天连续降雨计算，则降雨次</w:t>
      </w:r>
    </w:p>
    <w:p>
      <w:pPr>
        <w:spacing w:after="0" w:line="307" w:lineRule="exact"/>
        <w:sectPr>
          <w:pgSz w:w="11910" w:h="16850"/>
          <w:pgMar w:header="872" w:footer="803" w:top="1340" w:bottom="1000" w:left="1200" w:right="1180"/>
        </w:sectPr>
      </w:pPr>
    </w:p>
    <w:p>
      <w:pPr>
        <w:pStyle w:val="BodyText"/>
        <w:spacing w:line="364" w:lineRule="auto" w:before="64"/>
        <w:ind w:left="218" w:right="112"/>
      </w:pPr>
      <w:r>
        <w:rPr>
          <w:spacing w:val="-20"/>
        </w:rPr>
        <w:t>数为 </w:t>
      </w:r>
      <w:r>
        <w:rPr>
          <w:rFonts w:ascii="Times New Roman" w:eastAsia="Times New Roman"/>
        </w:rPr>
        <w:t>78 </w:t>
      </w:r>
      <w:r>
        <w:rPr>
          <w:spacing w:val="-12"/>
        </w:rPr>
        <w:t>次，每次取其前 </w:t>
      </w:r>
      <w:r>
        <w:rPr>
          <w:rFonts w:ascii="Times New Roman" w:eastAsia="Times New Roman"/>
        </w:rPr>
        <w:t>20 </w:t>
      </w:r>
      <w:r>
        <w:rPr>
          <w:spacing w:val="-6"/>
        </w:rPr>
        <w:t>分钟的初期降雨量，合计年初期雨水汇流时间为 </w:t>
      </w:r>
      <w:r>
        <w:rPr>
          <w:rFonts w:ascii="Times New Roman" w:eastAsia="Times New Roman"/>
        </w:rPr>
        <w:t>1560 </w:t>
      </w:r>
      <w:r>
        <w:rPr>
          <w:spacing w:val="-5"/>
        </w:rPr>
        <w:t>分钟， </w:t>
      </w:r>
      <w:r>
        <w:rPr>
          <w:spacing w:val="-8"/>
        </w:rPr>
        <w:t>计算初期雨水约 </w:t>
      </w:r>
      <w:r>
        <w:rPr>
          <w:rFonts w:ascii="Times New Roman" w:eastAsia="Times New Roman"/>
        </w:rPr>
        <w:t>15759t/a</w:t>
      </w:r>
      <w:r>
        <w:rPr>
          <w:spacing w:val="-6"/>
        </w:rPr>
        <w:t>，初期雨水日平均量 </w:t>
      </w:r>
      <w:r>
        <w:rPr>
          <w:rFonts w:ascii="Times New Roman" w:eastAsia="Times New Roman"/>
        </w:rPr>
        <w:t>52.5t/d</w:t>
      </w:r>
      <w:r>
        <w:rPr>
          <w:spacing w:val="-15"/>
        </w:rPr>
        <w:t>，废水 </w:t>
      </w:r>
      <w:r>
        <w:rPr>
          <w:rFonts w:ascii="Times New Roman" w:eastAsia="Times New Roman"/>
        </w:rPr>
        <w:t>CODcr </w:t>
      </w:r>
      <w:r>
        <w:rPr>
          <w:spacing w:val="-15"/>
        </w:rPr>
        <w:t>浓度约 </w:t>
      </w:r>
      <w:r>
        <w:rPr>
          <w:rFonts w:ascii="Times New Roman" w:eastAsia="Times New Roman"/>
        </w:rPr>
        <w:t>500mg/L</w:t>
      </w:r>
      <w:r>
        <w:rPr/>
        <w:t>。</w:t>
      </w:r>
    </w:p>
    <w:p>
      <w:pPr>
        <w:pStyle w:val="Heading4"/>
        <w:spacing w:line="307" w:lineRule="exact"/>
      </w:pPr>
      <w:r>
        <w:rPr>
          <w:rFonts w:ascii="Times New Roman" w:eastAsia="Times New Roman"/>
        </w:rPr>
        <w:t>3</w:t>
      </w:r>
      <w:r>
        <w:rPr/>
        <w:t>、喷淋废水</w:t>
      </w:r>
    </w:p>
    <w:p>
      <w:pPr>
        <w:pStyle w:val="BodyText"/>
        <w:spacing w:line="364" w:lineRule="auto" w:before="158"/>
        <w:ind w:left="218" w:right="234" w:firstLine="480"/>
        <w:jc w:val="both"/>
      </w:pPr>
      <w:r>
        <w:rPr/>
        <w:t>项目设有废气集中处理装置（二级碱喷淋）</w:t>
      </w:r>
      <w:r>
        <w:rPr>
          <w:rFonts w:ascii="Times New Roman" w:eastAsia="Times New Roman"/>
        </w:rPr>
        <w:t>1</w:t>
      </w:r>
      <w:r>
        <w:rPr>
          <w:rFonts w:ascii="Times New Roman" w:eastAsia="Times New Roman"/>
          <w:spacing w:val="37"/>
        </w:rPr>
        <w:t> </w:t>
      </w:r>
      <w:r>
        <w:rPr/>
        <w:t>套、一级氧化</w:t>
      </w:r>
      <w:r>
        <w:rPr>
          <w:rFonts w:ascii="Times New Roman" w:eastAsia="Times New Roman"/>
        </w:rPr>
        <w:t>+</w:t>
      </w:r>
      <w:r>
        <w:rPr>
          <w:spacing w:val="-4"/>
        </w:rPr>
        <w:t>一级碱喷淋塔 </w:t>
      </w:r>
      <w:r>
        <w:rPr>
          <w:rFonts w:ascii="Times New Roman" w:eastAsia="Times New Roman"/>
        </w:rPr>
        <w:t>1</w:t>
      </w:r>
      <w:r>
        <w:rPr>
          <w:rFonts w:ascii="Times New Roman" w:eastAsia="Times New Roman"/>
          <w:spacing w:val="38"/>
        </w:rPr>
        <w:t> </w:t>
      </w:r>
      <w:r>
        <w:rPr>
          <w:spacing w:val="-7"/>
        </w:rPr>
        <w:t>套， </w:t>
      </w:r>
      <w:r>
        <w:rPr>
          <w:spacing w:val="-6"/>
        </w:rPr>
        <w:t>处理工艺废气及公用工程废气，废水产生量 </w:t>
      </w:r>
      <w:r>
        <w:rPr>
          <w:rFonts w:ascii="Times New Roman" w:eastAsia="Times New Roman"/>
          <w:spacing w:val="-3"/>
        </w:rPr>
        <w:t>20t/d(6000t/a)</w:t>
      </w:r>
      <w:r>
        <w:rPr>
          <w:spacing w:val="-17"/>
        </w:rPr>
        <w:t>，废水 </w:t>
      </w:r>
      <w:r>
        <w:rPr>
          <w:rFonts w:ascii="Times New Roman" w:eastAsia="Times New Roman"/>
          <w:spacing w:val="-3"/>
        </w:rPr>
        <w:t>CODcr1500mg/L</w:t>
      </w:r>
      <w:r>
        <w:rPr>
          <w:spacing w:val="-2"/>
        </w:rPr>
        <w:t>，氨氮</w:t>
      </w:r>
      <w:r>
        <w:rPr>
          <w:rFonts w:ascii="Times New Roman" w:eastAsia="Times New Roman"/>
          <w:spacing w:val="-2"/>
        </w:rPr>
        <w:t>10mg/L</w:t>
      </w:r>
      <w:r>
        <w:rPr>
          <w:spacing w:val="-17"/>
        </w:rPr>
        <w:t>，总氮 </w:t>
      </w:r>
      <w:r>
        <w:rPr>
          <w:rFonts w:ascii="Times New Roman" w:eastAsia="Times New Roman"/>
        </w:rPr>
        <w:t>20mg/L</w:t>
      </w:r>
      <w:r>
        <w:rPr/>
        <w:t>。</w:t>
      </w:r>
    </w:p>
    <w:p>
      <w:pPr>
        <w:pStyle w:val="Heading4"/>
        <w:spacing w:line="307" w:lineRule="exact"/>
      </w:pPr>
      <w:r>
        <w:rPr>
          <w:rFonts w:ascii="Times New Roman" w:eastAsia="Times New Roman"/>
          <w:w w:val="95"/>
        </w:rPr>
        <w:t>4</w:t>
      </w:r>
      <w:r>
        <w:rPr>
          <w:w w:val="95"/>
        </w:rPr>
        <w:t>、冷却系统排污水</w:t>
      </w:r>
    </w:p>
    <w:p>
      <w:pPr>
        <w:pStyle w:val="BodyText"/>
        <w:spacing w:line="364" w:lineRule="auto" w:before="160"/>
        <w:ind w:left="218" w:right="112" w:firstLine="480"/>
      </w:pPr>
      <w:r>
        <w:rPr>
          <w:spacing w:val="-1"/>
        </w:rPr>
        <w:t>项目生产过程需要冷却水，循环使用，冷却水循环水量为 </w:t>
      </w:r>
      <w:r>
        <w:rPr>
          <w:rFonts w:ascii="Times New Roman" w:eastAsia="Times New Roman"/>
        </w:rPr>
        <w:t>100m</w:t>
      </w:r>
      <w:r>
        <w:rPr>
          <w:rFonts w:ascii="Times New Roman" w:eastAsia="Times New Roman"/>
          <w:position w:val="9"/>
          <w:sz w:val="16"/>
        </w:rPr>
        <w:t>3</w:t>
      </w:r>
      <w:r>
        <w:rPr>
          <w:rFonts w:ascii="Times New Roman" w:eastAsia="Times New Roman"/>
        </w:rPr>
        <w:t>/h</w:t>
      </w:r>
      <w:r>
        <w:rPr>
          <w:spacing w:val="-2"/>
        </w:rPr>
        <w:t>。循环水利用率</w:t>
      </w:r>
      <w:r>
        <w:rPr>
          <w:spacing w:val="-31"/>
        </w:rPr>
        <w:t>在 </w:t>
      </w:r>
      <w:r>
        <w:rPr>
          <w:rFonts w:ascii="Times New Roman" w:eastAsia="Times New Roman"/>
        </w:rPr>
        <w:t>99</w:t>
      </w:r>
      <w:r>
        <w:rPr>
          <w:spacing w:val="-17"/>
        </w:rPr>
        <w:t>％以上，年工作日 </w:t>
      </w:r>
      <w:r>
        <w:rPr>
          <w:rFonts w:ascii="Times New Roman" w:eastAsia="Times New Roman"/>
          <w:spacing w:val="-15"/>
        </w:rPr>
        <w:t>300d</w:t>
      </w:r>
      <w:r>
        <w:rPr>
          <w:spacing w:val="-11"/>
        </w:rPr>
        <w:t>，日均使用时间 </w:t>
      </w:r>
      <w:r>
        <w:rPr>
          <w:rFonts w:ascii="Times New Roman" w:eastAsia="Times New Roman"/>
          <w:spacing w:val="-19"/>
        </w:rPr>
        <w:t>20h</w:t>
      </w:r>
      <w:r>
        <w:rPr>
          <w:spacing w:val="-10"/>
        </w:rPr>
        <w:t>，则项目循环水补充量为 </w:t>
      </w:r>
      <w:r>
        <w:rPr>
          <w:rFonts w:ascii="Times New Roman" w:eastAsia="Times New Roman"/>
        </w:rPr>
        <w:t>6000t/a(20t/d)</w:t>
      </w:r>
      <w:r>
        <w:rPr/>
        <w:t>。</w:t>
      </w:r>
      <w:r>
        <w:rPr>
          <w:spacing w:val="-8"/>
        </w:rPr>
        <w:t>其中冷却水排污量占损耗量的三分之一，排污量为 </w:t>
      </w:r>
      <w:r>
        <w:rPr>
          <w:rFonts w:ascii="Times New Roman" w:eastAsia="Times New Roman"/>
        </w:rPr>
        <w:t>2000t/</w:t>
      </w:r>
      <w:r>
        <w:rPr>
          <w:rFonts w:ascii="Times New Roman" w:eastAsia="Times New Roman"/>
          <w:spacing w:val="-56"/>
        </w:rPr>
        <w:t>a</w:t>
      </w:r>
      <w:r>
        <w:rPr/>
        <w:t>（</w:t>
      </w:r>
      <w:r>
        <w:rPr>
          <w:rFonts w:ascii="Times New Roman" w:eastAsia="Times New Roman"/>
        </w:rPr>
        <w:t>6.7t/</w:t>
      </w:r>
      <w:r>
        <w:rPr>
          <w:rFonts w:ascii="Times New Roman" w:eastAsia="Times New Roman"/>
          <w:spacing w:val="-1"/>
        </w:rPr>
        <w:t>a</w:t>
      </w:r>
      <w:r>
        <w:rPr>
          <w:spacing w:val="-120"/>
        </w:rPr>
        <w:t>）</w:t>
      </w:r>
      <w:r>
        <w:rPr>
          <w:spacing w:val="-9"/>
        </w:rPr>
        <w:t>，排水水质情况如下：</w:t>
      </w:r>
      <w:r>
        <w:rPr/>
        <w:t> </w:t>
      </w:r>
      <w:r>
        <w:rPr>
          <w:rFonts w:ascii="Times New Roman" w:eastAsia="Times New Roman"/>
        </w:rPr>
        <w:t>pH6.0</w:t>
      </w:r>
      <w:r>
        <w:rPr/>
        <w:t>～</w:t>
      </w:r>
      <w:r>
        <w:rPr>
          <w:rFonts w:ascii="Times New Roman" w:eastAsia="Times New Roman"/>
        </w:rPr>
        <w:t>7.6</w:t>
      </w:r>
      <w:r>
        <w:rPr/>
        <w:t>，</w:t>
      </w:r>
      <w:r>
        <w:rPr>
          <w:rFonts w:ascii="Times New Roman" w:eastAsia="Times New Roman"/>
        </w:rPr>
        <w:t>CODcr30~40mg/L</w:t>
      </w:r>
      <w:r>
        <w:rPr/>
        <w:t>。本环评要求企业将收集的冷却系统排污水回用于废气喷淋等。</w:t>
      </w:r>
    </w:p>
    <w:p>
      <w:pPr>
        <w:pStyle w:val="Heading4"/>
        <w:spacing w:line="304" w:lineRule="exact"/>
      </w:pPr>
      <w:r>
        <w:rPr>
          <w:rFonts w:ascii="Times New Roman" w:eastAsia="Times New Roman"/>
        </w:rPr>
        <w:t>5</w:t>
      </w:r>
      <w:r>
        <w:rPr/>
        <w:t>、蒸汽冷凝水</w:t>
      </w:r>
    </w:p>
    <w:p>
      <w:pPr>
        <w:pStyle w:val="BodyText"/>
        <w:spacing w:line="364" w:lineRule="auto" w:before="161"/>
        <w:ind w:left="218" w:right="229" w:firstLine="480"/>
        <w:jc w:val="both"/>
      </w:pPr>
      <w:r>
        <w:rPr>
          <w:spacing w:val="-4"/>
        </w:rPr>
        <w:t>项目生产过程中需要用到蒸汽，年用量为 </w:t>
      </w:r>
      <w:r>
        <w:rPr>
          <w:rFonts w:ascii="Times New Roman" w:eastAsia="Times New Roman"/>
        </w:rPr>
        <w:t>5851t</w:t>
      </w:r>
      <w:r>
        <w:rPr>
          <w:spacing w:val="-8"/>
        </w:rPr>
        <w:t>，生产过程中有 </w:t>
      </w:r>
      <w:r>
        <w:rPr>
          <w:rFonts w:ascii="Times New Roman" w:eastAsia="Times New Roman"/>
        </w:rPr>
        <w:t>10</w:t>
      </w:r>
      <w:r>
        <w:rPr>
          <w:spacing w:val="-2"/>
        </w:rPr>
        <w:t>％损耗，蒸汽冷</w:t>
      </w:r>
      <w:r>
        <w:rPr>
          <w:spacing w:val="-11"/>
        </w:rPr>
        <w:t>凝水产生量 </w:t>
      </w:r>
      <w:r>
        <w:rPr>
          <w:rFonts w:ascii="Times New Roman" w:eastAsia="Times New Roman"/>
        </w:rPr>
        <w:t>5266t/</w:t>
      </w:r>
      <w:r>
        <w:rPr>
          <w:rFonts w:ascii="Times New Roman" w:eastAsia="Times New Roman"/>
          <w:spacing w:val="-15"/>
        </w:rPr>
        <w:t>a</w:t>
      </w:r>
      <w:r>
        <w:rPr/>
        <w:t>（</w:t>
      </w:r>
      <w:r>
        <w:rPr>
          <w:rFonts w:ascii="Times New Roman" w:eastAsia="Times New Roman"/>
        </w:rPr>
        <w:t>17.55</w:t>
      </w:r>
      <w:r>
        <w:rPr>
          <w:rFonts w:ascii="Times New Roman" w:eastAsia="Times New Roman"/>
          <w:spacing w:val="1"/>
        </w:rPr>
        <w:t>t</w:t>
      </w:r>
      <w:r>
        <w:rPr>
          <w:rFonts w:ascii="Times New Roman" w:eastAsia="Times New Roman"/>
        </w:rPr>
        <w:t>/d</w:t>
      </w:r>
      <w:r>
        <w:rPr>
          <w:spacing w:val="-120"/>
        </w:rPr>
        <w:t>）</w:t>
      </w:r>
      <w:r>
        <w:rPr>
          <w:spacing w:val="-8"/>
        </w:rPr>
        <w:t>。蒸汽为夹套使用，冷凝水属于清洁水，本环评要求企业</w:t>
      </w:r>
      <w:r>
        <w:rPr/>
        <w:t>收集后用于循环冷却水系统补充水、废气喷淋用水、设备清洗用水等。</w:t>
      </w:r>
    </w:p>
    <w:p>
      <w:pPr>
        <w:pStyle w:val="Heading4"/>
        <w:spacing w:line="305" w:lineRule="exact"/>
      </w:pPr>
      <w:r>
        <w:rPr>
          <w:rFonts w:ascii="Times New Roman" w:eastAsia="Times New Roman"/>
        </w:rPr>
        <w:t>6</w:t>
      </w:r>
      <w:r>
        <w:rPr/>
        <w:t>、废水源强汇总</w:t>
      </w:r>
    </w:p>
    <w:p>
      <w:pPr>
        <w:pStyle w:val="BodyText"/>
        <w:spacing w:before="7"/>
        <w:rPr>
          <w:b/>
          <w:sz w:val="23"/>
        </w:rPr>
      </w:pPr>
    </w:p>
    <w:p>
      <w:pPr>
        <w:tabs>
          <w:tab w:pos="1222" w:val="left" w:leader="none"/>
        </w:tabs>
        <w:spacing w:before="0" w:after="29"/>
        <w:ind w:left="0" w:right="17" w:firstLine="0"/>
        <w:jc w:val="center"/>
        <w:rPr>
          <w:b/>
          <w:sz w:val="24"/>
        </w:rPr>
      </w:pPr>
      <w:r>
        <w:rPr>
          <w:b/>
          <w:sz w:val="24"/>
        </w:rPr>
        <w:t>表</w:t>
      </w:r>
      <w:r>
        <w:rPr>
          <w:b/>
          <w:spacing w:val="-59"/>
          <w:sz w:val="24"/>
        </w:rPr>
        <w:t> </w:t>
      </w:r>
      <w:r>
        <w:rPr>
          <w:rFonts w:ascii="Times New Roman" w:eastAsia="Times New Roman"/>
          <w:b/>
          <w:sz w:val="24"/>
        </w:rPr>
        <w:t>4.2.3-1</w:t>
        <w:tab/>
      </w:r>
      <w:r>
        <w:rPr>
          <w:b/>
          <w:sz w:val="24"/>
        </w:rPr>
        <w:t>项目公用工程废水产生情况小计</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6"/>
        <w:gridCol w:w="744"/>
        <w:gridCol w:w="745"/>
        <w:gridCol w:w="744"/>
        <w:gridCol w:w="746"/>
        <w:gridCol w:w="744"/>
        <w:gridCol w:w="744"/>
        <w:gridCol w:w="705"/>
        <w:gridCol w:w="705"/>
        <w:gridCol w:w="706"/>
        <w:gridCol w:w="1133"/>
      </w:tblGrid>
      <w:tr>
        <w:trPr>
          <w:trHeight w:val="273" w:hRule="atLeast"/>
        </w:trPr>
        <w:tc>
          <w:tcPr>
            <w:tcW w:w="1366" w:type="dxa"/>
            <w:vMerge w:val="restart"/>
          </w:tcPr>
          <w:p>
            <w:pPr>
              <w:pStyle w:val="TableParagraph"/>
              <w:spacing w:before="138"/>
              <w:ind w:left="261"/>
              <w:jc w:val="left"/>
              <w:rPr>
                <w:b/>
                <w:sz w:val="21"/>
              </w:rPr>
            </w:pPr>
            <w:r>
              <w:rPr>
                <w:b/>
                <w:sz w:val="21"/>
              </w:rPr>
              <w:t>废水名称</w:t>
            </w:r>
          </w:p>
        </w:tc>
        <w:tc>
          <w:tcPr>
            <w:tcW w:w="1489" w:type="dxa"/>
            <w:gridSpan w:val="2"/>
          </w:tcPr>
          <w:p>
            <w:pPr>
              <w:pStyle w:val="TableParagraph"/>
              <w:spacing w:line="252" w:lineRule="exact" w:before="1"/>
              <w:ind w:left="208"/>
              <w:jc w:val="left"/>
              <w:rPr>
                <w:b/>
                <w:sz w:val="21"/>
              </w:rPr>
            </w:pPr>
            <w:r>
              <w:rPr>
                <w:b/>
                <w:sz w:val="21"/>
              </w:rPr>
              <w:t>废水产生量</w:t>
            </w:r>
          </w:p>
        </w:tc>
        <w:tc>
          <w:tcPr>
            <w:tcW w:w="1490" w:type="dxa"/>
            <w:gridSpan w:val="2"/>
          </w:tcPr>
          <w:p>
            <w:pPr>
              <w:pStyle w:val="TableParagraph"/>
              <w:spacing w:line="238" w:lineRule="exact" w:before="15"/>
              <w:ind w:left="409"/>
              <w:jc w:val="left"/>
              <w:rPr>
                <w:rFonts w:ascii="Times New Roman"/>
                <w:b/>
                <w:sz w:val="21"/>
              </w:rPr>
            </w:pPr>
            <w:r>
              <w:rPr>
                <w:rFonts w:ascii="Times New Roman"/>
                <w:b/>
                <w:sz w:val="21"/>
              </w:rPr>
              <w:t>CODcr</w:t>
            </w:r>
          </w:p>
        </w:tc>
        <w:tc>
          <w:tcPr>
            <w:tcW w:w="1488" w:type="dxa"/>
            <w:gridSpan w:val="2"/>
          </w:tcPr>
          <w:p>
            <w:pPr>
              <w:pStyle w:val="TableParagraph"/>
              <w:spacing w:line="252" w:lineRule="exact" w:before="1"/>
              <w:ind w:left="506" w:right="509"/>
              <w:rPr>
                <w:b/>
                <w:sz w:val="21"/>
              </w:rPr>
            </w:pPr>
            <w:r>
              <w:rPr>
                <w:b/>
                <w:sz w:val="21"/>
              </w:rPr>
              <w:t>氨氮</w:t>
            </w:r>
          </w:p>
        </w:tc>
        <w:tc>
          <w:tcPr>
            <w:tcW w:w="1410" w:type="dxa"/>
            <w:gridSpan w:val="2"/>
          </w:tcPr>
          <w:p>
            <w:pPr>
              <w:pStyle w:val="TableParagraph"/>
              <w:spacing w:line="252" w:lineRule="exact" w:before="1"/>
              <w:ind w:left="468" w:right="469"/>
              <w:rPr>
                <w:b/>
                <w:sz w:val="21"/>
              </w:rPr>
            </w:pPr>
            <w:r>
              <w:rPr>
                <w:b/>
                <w:sz w:val="21"/>
              </w:rPr>
              <w:t>总氮</w:t>
            </w:r>
          </w:p>
        </w:tc>
        <w:tc>
          <w:tcPr>
            <w:tcW w:w="706" w:type="dxa"/>
            <w:vMerge w:val="restart"/>
          </w:tcPr>
          <w:p>
            <w:pPr>
              <w:pStyle w:val="TableParagraph"/>
              <w:spacing w:before="1"/>
              <w:ind w:left="17" w:right="6"/>
              <w:rPr>
                <w:b/>
                <w:sz w:val="21"/>
              </w:rPr>
            </w:pPr>
            <w:r>
              <w:rPr>
                <w:b/>
                <w:sz w:val="21"/>
              </w:rPr>
              <w:t>产生规</w:t>
            </w:r>
          </w:p>
          <w:p>
            <w:pPr>
              <w:pStyle w:val="TableParagraph"/>
              <w:spacing w:line="250" w:lineRule="exact" w:before="4"/>
              <w:ind w:left="11"/>
              <w:rPr>
                <w:b/>
                <w:sz w:val="21"/>
              </w:rPr>
            </w:pPr>
            <w:r>
              <w:rPr>
                <w:b/>
                <w:w w:val="100"/>
                <w:sz w:val="21"/>
              </w:rPr>
              <w:t>律</w:t>
            </w:r>
          </w:p>
        </w:tc>
        <w:tc>
          <w:tcPr>
            <w:tcW w:w="1133" w:type="dxa"/>
            <w:vMerge w:val="restart"/>
          </w:tcPr>
          <w:p>
            <w:pPr>
              <w:pStyle w:val="TableParagraph"/>
              <w:spacing w:before="138"/>
              <w:ind w:left="137"/>
              <w:jc w:val="left"/>
              <w:rPr>
                <w:b/>
                <w:sz w:val="21"/>
              </w:rPr>
            </w:pPr>
            <w:r>
              <w:rPr>
                <w:b/>
                <w:sz w:val="21"/>
              </w:rPr>
              <w:t>排放情况</w:t>
            </w:r>
          </w:p>
        </w:tc>
      </w:tr>
      <w:tr>
        <w:trPr>
          <w:trHeight w:val="261" w:hRule="atLeast"/>
        </w:trPr>
        <w:tc>
          <w:tcPr>
            <w:tcW w:w="1366" w:type="dxa"/>
            <w:vMerge/>
            <w:tcBorders>
              <w:top w:val="nil"/>
            </w:tcBorders>
          </w:tcPr>
          <w:p>
            <w:pPr>
              <w:rPr>
                <w:sz w:val="2"/>
                <w:szCs w:val="2"/>
              </w:rPr>
            </w:pPr>
          </w:p>
        </w:tc>
        <w:tc>
          <w:tcPr>
            <w:tcW w:w="744" w:type="dxa"/>
          </w:tcPr>
          <w:p>
            <w:pPr>
              <w:pStyle w:val="TableParagraph"/>
              <w:spacing w:line="231" w:lineRule="exact" w:before="10"/>
              <w:ind w:left="205"/>
              <w:jc w:val="left"/>
              <w:rPr>
                <w:rFonts w:ascii="Times New Roman"/>
                <w:b/>
                <w:sz w:val="21"/>
              </w:rPr>
            </w:pPr>
            <w:r>
              <w:rPr>
                <w:rFonts w:ascii="Times New Roman"/>
                <w:b/>
                <w:sz w:val="21"/>
              </w:rPr>
              <w:t>T/d</w:t>
            </w:r>
          </w:p>
        </w:tc>
        <w:tc>
          <w:tcPr>
            <w:tcW w:w="745" w:type="dxa"/>
          </w:tcPr>
          <w:p>
            <w:pPr>
              <w:pStyle w:val="TableParagraph"/>
              <w:spacing w:line="231" w:lineRule="exact" w:before="10"/>
              <w:ind w:right="215"/>
              <w:jc w:val="right"/>
              <w:rPr>
                <w:rFonts w:ascii="Times New Roman"/>
                <w:b/>
                <w:sz w:val="21"/>
              </w:rPr>
            </w:pPr>
            <w:r>
              <w:rPr>
                <w:rFonts w:ascii="Times New Roman"/>
                <w:b/>
                <w:sz w:val="21"/>
              </w:rPr>
              <w:t>T/a</w:t>
            </w:r>
          </w:p>
        </w:tc>
        <w:tc>
          <w:tcPr>
            <w:tcW w:w="744" w:type="dxa"/>
          </w:tcPr>
          <w:p>
            <w:pPr>
              <w:pStyle w:val="TableParagraph"/>
              <w:spacing w:line="231" w:lineRule="exact" w:before="10"/>
              <w:ind w:left="104" w:right="109"/>
              <w:rPr>
                <w:rFonts w:ascii="Times New Roman"/>
                <w:b/>
                <w:sz w:val="21"/>
              </w:rPr>
            </w:pPr>
            <w:r>
              <w:rPr>
                <w:rFonts w:ascii="Times New Roman"/>
                <w:b/>
                <w:sz w:val="21"/>
              </w:rPr>
              <w:t>mg/L</w:t>
            </w:r>
          </w:p>
        </w:tc>
        <w:tc>
          <w:tcPr>
            <w:tcW w:w="746" w:type="dxa"/>
          </w:tcPr>
          <w:p>
            <w:pPr>
              <w:pStyle w:val="TableParagraph"/>
              <w:spacing w:line="231" w:lineRule="exact" w:before="10"/>
              <w:ind w:left="214"/>
              <w:jc w:val="left"/>
              <w:rPr>
                <w:rFonts w:ascii="Times New Roman"/>
                <w:b/>
                <w:sz w:val="21"/>
              </w:rPr>
            </w:pPr>
            <w:r>
              <w:rPr>
                <w:rFonts w:ascii="Times New Roman"/>
                <w:b/>
                <w:sz w:val="21"/>
              </w:rPr>
              <w:t>T/a</w:t>
            </w:r>
          </w:p>
        </w:tc>
        <w:tc>
          <w:tcPr>
            <w:tcW w:w="744" w:type="dxa"/>
          </w:tcPr>
          <w:p>
            <w:pPr>
              <w:pStyle w:val="TableParagraph"/>
              <w:spacing w:line="231" w:lineRule="exact" w:before="10"/>
              <w:ind w:left="105" w:right="109"/>
              <w:rPr>
                <w:rFonts w:ascii="Times New Roman"/>
                <w:b/>
                <w:sz w:val="21"/>
              </w:rPr>
            </w:pPr>
            <w:r>
              <w:rPr>
                <w:rFonts w:ascii="Times New Roman"/>
                <w:b/>
                <w:sz w:val="21"/>
              </w:rPr>
              <w:t>mg/L</w:t>
            </w:r>
          </w:p>
        </w:tc>
        <w:tc>
          <w:tcPr>
            <w:tcW w:w="744" w:type="dxa"/>
          </w:tcPr>
          <w:p>
            <w:pPr>
              <w:pStyle w:val="TableParagraph"/>
              <w:spacing w:line="231" w:lineRule="exact" w:before="10"/>
              <w:ind w:right="211"/>
              <w:jc w:val="right"/>
              <w:rPr>
                <w:rFonts w:ascii="Times New Roman"/>
                <w:b/>
                <w:sz w:val="21"/>
              </w:rPr>
            </w:pPr>
            <w:r>
              <w:rPr>
                <w:rFonts w:ascii="Times New Roman"/>
                <w:b/>
                <w:sz w:val="21"/>
              </w:rPr>
              <w:t>T/a</w:t>
            </w:r>
          </w:p>
        </w:tc>
        <w:tc>
          <w:tcPr>
            <w:tcW w:w="705" w:type="dxa"/>
          </w:tcPr>
          <w:p>
            <w:pPr>
              <w:pStyle w:val="TableParagraph"/>
              <w:spacing w:line="231" w:lineRule="exact" w:before="10"/>
              <w:ind w:left="88" w:right="88"/>
              <w:rPr>
                <w:rFonts w:ascii="Times New Roman"/>
                <w:b/>
                <w:sz w:val="21"/>
              </w:rPr>
            </w:pPr>
            <w:r>
              <w:rPr>
                <w:rFonts w:ascii="Times New Roman"/>
                <w:b/>
                <w:sz w:val="21"/>
              </w:rPr>
              <w:t>mg/L</w:t>
            </w:r>
          </w:p>
        </w:tc>
        <w:tc>
          <w:tcPr>
            <w:tcW w:w="705" w:type="dxa"/>
          </w:tcPr>
          <w:p>
            <w:pPr>
              <w:pStyle w:val="TableParagraph"/>
              <w:spacing w:line="231" w:lineRule="exact" w:before="10"/>
              <w:ind w:left="88" w:right="75"/>
              <w:rPr>
                <w:rFonts w:ascii="Times New Roman"/>
                <w:b/>
                <w:sz w:val="21"/>
              </w:rPr>
            </w:pPr>
            <w:r>
              <w:rPr>
                <w:rFonts w:ascii="Times New Roman"/>
                <w:b/>
                <w:sz w:val="21"/>
              </w:rPr>
              <w:t>T/a</w:t>
            </w:r>
          </w:p>
        </w:tc>
        <w:tc>
          <w:tcPr>
            <w:tcW w:w="706" w:type="dxa"/>
            <w:vMerge/>
            <w:tcBorders>
              <w:top w:val="nil"/>
            </w:tcBorders>
          </w:tcPr>
          <w:p>
            <w:pPr>
              <w:rPr>
                <w:sz w:val="2"/>
                <w:szCs w:val="2"/>
              </w:rPr>
            </w:pPr>
          </w:p>
        </w:tc>
        <w:tc>
          <w:tcPr>
            <w:tcW w:w="1133" w:type="dxa"/>
            <w:vMerge/>
            <w:tcBorders>
              <w:top w:val="nil"/>
            </w:tcBorders>
          </w:tcPr>
          <w:p>
            <w:pPr>
              <w:rPr>
                <w:sz w:val="2"/>
                <w:szCs w:val="2"/>
              </w:rPr>
            </w:pPr>
          </w:p>
        </w:tc>
      </w:tr>
      <w:tr>
        <w:trPr>
          <w:trHeight w:val="273" w:hRule="atLeast"/>
        </w:trPr>
        <w:tc>
          <w:tcPr>
            <w:tcW w:w="1366" w:type="dxa"/>
          </w:tcPr>
          <w:p>
            <w:pPr>
              <w:pStyle w:val="TableParagraph"/>
              <w:spacing w:line="252" w:lineRule="exact" w:before="1"/>
              <w:ind w:left="28" w:right="22"/>
              <w:rPr>
                <w:sz w:val="21"/>
              </w:rPr>
            </w:pPr>
            <w:r>
              <w:rPr>
                <w:sz w:val="21"/>
              </w:rPr>
              <w:t>生活污水</w:t>
            </w:r>
          </w:p>
        </w:tc>
        <w:tc>
          <w:tcPr>
            <w:tcW w:w="744" w:type="dxa"/>
          </w:tcPr>
          <w:p>
            <w:pPr>
              <w:pStyle w:val="TableParagraph"/>
              <w:spacing w:line="238" w:lineRule="exact" w:before="15"/>
              <w:ind w:left="232"/>
              <w:jc w:val="left"/>
              <w:rPr>
                <w:rFonts w:ascii="Times New Roman"/>
                <w:sz w:val="21"/>
              </w:rPr>
            </w:pPr>
            <w:r>
              <w:rPr>
                <w:rFonts w:ascii="Times New Roman"/>
                <w:sz w:val="21"/>
              </w:rPr>
              <w:t>4.5</w:t>
            </w:r>
          </w:p>
        </w:tc>
        <w:tc>
          <w:tcPr>
            <w:tcW w:w="745" w:type="dxa"/>
          </w:tcPr>
          <w:p>
            <w:pPr>
              <w:pStyle w:val="TableParagraph"/>
              <w:spacing w:line="238" w:lineRule="exact" w:before="15"/>
              <w:ind w:right="157"/>
              <w:jc w:val="right"/>
              <w:rPr>
                <w:rFonts w:ascii="Times New Roman"/>
                <w:sz w:val="21"/>
              </w:rPr>
            </w:pPr>
            <w:r>
              <w:rPr>
                <w:rFonts w:ascii="Times New Roman"/>
                <w:sz w:val="21"/>
              </w:rPr>
              <w:t>1350</w:t>
            </w:r>
          </w:p>
        </w:tc>
        <w:tc>
          <w:tcPr>
            <w:tcW w:w="744" w:type="dxa"/>
          </w:tcPr>
          <w:p>
            <w:pPr>
              <w:pStyle w:val="TableParagraph"/>
              <w:spacing w:line="238" w:lineRule="exact" w:before="15"/>
              <w:ind w:left="105" w:right="109"/>
              <w:rPr>
                <w:rFonts w:ascii="Times New Roman"/>
                <w:sz w:val="21"/>
              </w:rPr>
            </w:pPr>
            <w:r>
              <w:rPr>
                <w:rFonts w:ascii="Times New Roman"/>
                <w:sz w:val="21"/>
              </w:rPr>
              <w:t>350</w:t>
            </w:r>
          </w:p>
        </w:tc>
        <w:tc>
          <w:tcPr>
            <w:tcW w:w="746" w:type="dxa"/>
          </w:tcPr>
          <w:p>
            <w:pPr>
              <w:pStyle w:val="TableParagraph"/>
              <w:spacing w:line="238" w:lineRule="exact" w:before="15"/>
              <w:ind w:right="130"/>
              <w:jc w:val="right"/>
              <w:rPr>
                <w:rFonts w:ascii="Times New Roman"/>
                <w:sz w:val="21"/>
              </w:rPr>
            </w:pPr>
            <w:r>
              <w:rPr>
                <w:rFonts w:ascii="Times New Roman"/>
                <w:sz w:val="21"/>
              </w:rPr>
              <w:t>0.473</w:t>
            </w:r>
          </w:p>
        </w:tc>
        <w:tc>
          <w:tcPr>
            <w:tcW w:w="744" w:type="dxa"/>
          </w:tcPr>
          <w:p>
            <w:pPr>
              <w:pStyle w:val="TableParagraph"/>
              <w:spacing w:line="238" w:lineRule="exact" w:before="15"/>
              <w:ind w:left="105" w:right="108"/>
              <w:rPr>
                <w:rFonts w:ascii="Times New Roman"/>
                <w:sz w:val="21"/>
              </w:rPr>
            </w:pPr>
            <w:r>
              <w:rPr>
                <w:rFonts w:ascii="Times New Roman"/>
                <w:sz w:val="21"/>
              </w:rPr>
              <w:t>35</w:t>
            </w:r>
          </w:p>
        </w:tc>
        <w:tc>
          <w:tcPr>
            <w:tcW w:w="744" w:type="dxa"/>
          </w:tcPr>
          <w:p>
            <w:pPr>
              <w:pStyle w:val="TableParagraph"/>
              <w:spacing w:line="238" w:lineRule="exact" w:before="15"/>
              <w:ind w:right="127"/>
              <w:jc w:val="right"/>
              <w:rPr>
                <w:rFonts w:ascii="Times New Roman"/>
                <w:sz w:val="21"/>
              </w:rPr>
            </w:pPr>
            <w:r>
              <w:rPr>
                <w:rFonts w:ascii="Times New Roman"/>
                <w:sz w:val="21"/>
              </w:rPr>
              <w:t>0.047</w:t>
            </w:r>
          </w:p>
        </w:tc>
        <w:tc>
          <w:tcPr>
            <w:tcW w:w="705" w:type="dxa"/>
          </w:tcPr>
          <w:p>
            <w:pPr>
              <w:pStyle w:val="TableParagraph"/>
              <w:spacing w:line="238" w:lineRule="exact" w:before="15"/>
              <w:ind w:left="1"/>
              <w:rPr>
                <w:rFonts w:ascii="Times New Roman"/>
                <w:b/>
                <w:sz w:val="21"/>
              </w:rPr>
            </w:pPr>
            <w:r>
              <w:rPr>
                <w:rFonts w:ascii="Times New Roman"/>
                <w:b/>
                <w:w w:val="100"/>
                <w:sz w:val="21"/>
              </w:rPr>
              <w:t>/</w:t>
            </w:r>
          </w:p>
        </w:tc>
        <w:tc>
          <w:tcPr>
            <w:tcW w:w="705" w:type="dxa"/>
          </w:tcPr>
          <w:p>
            <w:pPr>
              <w:pStyle w:val="TableParagraph"/>
              <w:spacing w:line="238" w:lineRule="exact" w:before="15"/>
              <w:ind w:left="12"/>
              <w:rPr>
                <w:rFonts w:ascii="Times New Roman"/>
                <w:b/>
                <w:sz w:val="21"/>
              </w:rPr>
            </w:pPr>
            <w:r>
              <w:rPr>
                <w:rFonts w:ascii="Times New Roman"/>
                <w:b/>
                <w:w w:val="100"/>
                <w:sz w:val="21"/>
              </w:rPr>
              <w:t>/</w:t>
            </w:r>
          </w:p>
        </w:tc>
        <w:tc>
          <w:tcPr>
            <w:tcW w:w="706" w:type="dxa"/>
          </w:tcPr>
          <w:p>
            <w:pPr>
              <w:pStyle w:val="TableParagraph"/>
              <w:spacing w:line="252" w:lineRule="exact" w:before="1"/>
              <w:ind w:left="17" w:right="6"/>
              <w:rPr>
                <w:sz w:val="21"/>
              </w:rPr>
            </w:pPr>
            <w:r>
              <w:rPr>
                <w:sz w:val="21"/>
              </w:rPr>
              <w:t>每天</w:t>
            </w:r>
          </w:p>
        </w:tc>
        <w:tc>
          <w:tcPr>
            <w:tcW w:w="1133" w:type="dxa"/>
            <w:vMerge w:val="restart"/>
          </w:tcPr>
          <w:p>
            <w:pPr>
              <w:pStyle w:val="TableParagraph"/>
              <w:spacing w:before="7"/>
              <w:jc w:val="left"/>
              <w:rPr>
                <w:b/>
                <w:sz w:val="22"/>
              </w:rPr>
            </w:pPr>
          </w:p>
          <w:p>
            <w:pPr>
              <w:pStyle w:val="TableParagraph"/>
              <w:spacing w:line="242" w:lineRule="auto"/>
              <w:ind w:left="349" w:right="32" w:hanging="315"/>
              <w:jc w:val="left"/>
              <w:rPr>
                <w:sz w:val="21"/>
              </w:rPr>
            </w:pPr>
            <w:r>
              <w:rPr>
                <w:sz w:val="21"/>
              </w:rPr>
              <w:t>进入厂区污水站</w:t>
            </w:r>
          </w:p>
        </w:tc>
      </w:tr>
      <w:tr>
        <w:trPr>
          <w:trHeight w:val="270" w:hRule="atLeast"/>
        </w:trPr>
        <w:tc>
          <w:tcPr>
            <w:tcW w:w="1366" w:type="dxa"/>
          </w:tcPr>
          <w:p>
            <w:pPr>
              <w:pStyle w:val="TableParagraph"/>
              <w:spacing w:line="250" w:lineRule="exact" w:before="1"/>
              <w:ind w:left="31" w:right="22"/>
              <w:rPr>
                <w:sz w:val="21"/>
              </w:rPr>
            </w:pPr>
            <w:r>
              <w:rPr>
                <w:sz w:val="21"/>
              </w:rPr>
              <w:t>初期雨水</w:t>
            </w:r>
          </w:p>
        </w:tc>
        <w:tc>
          <w:tcPr>
            <w:tcW w:w="744" w:type="dxa"/>
          </w:tcPr>
          <w:p>
            <w:pPr>
              <w:pStyle w:val="TableParagraph"/>
              <w:spacing w:line="236" w:lineRule="exact" w:before="15"/>
              <w:ind w:right="183"/>
              <w:jc w:val="right"/>
              <w:rPr>
                <w:rFonts w:ascii="Times New Roman"/>
                <w:sz w:val="21"/>
              </w:rPr>
            </w:pPr>
            <w:r>
              <w:rPr>
                <w:rFonts w:ascii="Times New Roman"/>
                <w:sz w:val="21"/>
              </w:rPr>
              <w:t>52.5</w:t>
            </w:r>
          </w:p>
        </w:tc>
        <w:tc>
          <w:tcPr>
            <w:tcW w:w="745" w:type="dxa"/>
          </w:tcPr>
          <w:p>
            <w:pPr>
              <w:pStyle w:val="TableParagraph"/>
              <w:spacing w:line="236" w:lineRule="exact" w:before="15"/>
              <w:ind w:right="104"/>
              <w:jc w:val="right"/>
              <w:rPr>
                <w:rFonts w:ascii="Times New Roman"/>
                <w:sz w:val="21"/>
              </w:rPr>
            </w:pPr>
            <w:r>
              <w:rPr>
                <w:rFonts w:ascii="Times New Roman"/>
                <w:sz w:val="21"/>
              </w:rPr>
              <w:t>15759</w:t>
            </w:r>
          </w:p>
        </w:tc>
        <w:tc>
          <w:tcPr>
            <w:tcW w:w="744" w:type="dxa"/>
          </w:tcPr>
          <w:p>
            <w:pPr>
              <w:pStyle w:val="TableParagraph"/>
              <w:spacing w:line="236" w:lineRule="exact" w:before="15"/>
              <w:ind w:left="105" w:right="109"/>
              <w:rPr>
                <w:rFonts w:ascii="Times New Roman"/>
                <w:sz w:val="21"/>
              </w:rPr>
            </w:pPr>
            <w:r>
              <w:rPr>
                <w:rFonts w:ascii="Times New Roman"/>
                <w:sz w:val="21"/>
              </w:rPr>
              <w:t>500</w:t>
            </w:r>
          </w:p>
        </w:tc>
        <w:tc>
          <w:tcPr>
            <w:tcW w:w="746" w:type="dxa"/>
          </w:tcPr>
          <w:p>
            <w:pPr>
              <w:pStyle w:val="TableParagraph"/>
              <w:spacing w:line="236" w:lineRule="exact" w:before="15"/>
              <w:ind w:right="183"/>
              <w:jc w:val="right"/>
              <w:rPr>
                <w:rFonts w:ascii="Times New Roman"/>
                <w:sz w:val="21"/>
              </w:rPr>
            </w:pPr>
            <w:r>
              <w:rPr>
                <w:rFonts w:ascii="Times New Roman"/>
                <w:sz w:val="21"/>
              </w:rPr>
              <w:t>7.88</w:t>
            </w:r>
          </w:p>
        </w:tc>
        <w:tc>
          <w:tcPr>
            <w:tcW w:w="744" w:type="dxa"/>
          </w:tcPr>
          <w:p>
            <w:pPr>
              <w:pStyle w:val="TableParagraph"/>
              <w:spacing w:line="236" w:lineRule="exact" w:before="15"/>
              <w:ind w:right="2"/>
              <w:rPr>
                <w:rFonts w:ascii="Times New Roman"/>
                <w:b/>
                <w:sz w:val="21"/>
              </w:rPr>
            </w:pPr>
            <w:r>
              <w:rPr>
                <w:rFonts w:ascii="Times New Roman"/>
                <w:b/>
                <w:w w:val="100"/>
                <w:sz w:val="21"/>
              </w:rPr>
              <w:t>/</w:t>
            </w:r>
          </w:p>
        </w:tc>
        <w:tc>
          <w:tcPr>
            <w:tcW w:w="744" w:type="dxa"/>
          </w:tcPr>
          <w:p>
            <w:pPr>
              <w:pStyle w:val="TableParagraph"/>
              <w:spacing w:line="236" w:lineRule="exact" w:before="15"/>
              <w:rPr>
                <w:rFonts w:ascii="Times New Roman"/>
                <w:b/>
                <w:sz w:val="21"/>
              </w:rPr>
            </w:pPr>
            <w:r>
              <w:rPr>
                <w:rFonts w:ascii="Times New Roman"/>
                <w:b/>
                <w:w w:val="100"/>
                <w:sz w:val="21"/>
              </w:rPr>
              <w:t>/</w:t>
            </w:r>
          </w:p>
        </w:tc>
        <w:tc>
          <w:tcPr>
            <w:tcW w:w="705" w:type="dxa"/>
          </w:tcPr>
          <w:p>
            <w:pPr>
              <w:pStyle w:val="TableParagraph"/>
              <w:spacing w:line="236" w:lineRule="exact" w:before="15"/>
              <w:ind w:left="1"/>
              <w:rPr>
                <w:rFonts w:ascii="Times New Roman"/>
                <w:b/>
                <w:sz w:val="21"/>
              </w:rPr>
            </w:pPr>
            <w:r>
              <w:rPr>
                <w:rFonts w:ascii="Times New Roman"/>
                <w:b/>
                <w:w w:val="100"/>
                <w:sz w:val="21"/>
              </w:rPr>
              <w:t>/</w:t>
            </w:r>
          </w:p>
        </w:tc>
        <w:tc>
          <w:tcPr>
            <w:tcW w:w="705" w:type="dxa"/>
          </w:tcPr>
          <w:p>
            <w:pPr>
              <w:pStyle w:val="TableParagraph"/>
              <w:spacing w:line="236" w:lineRule="exact" w:before="15"/>
              <w:ind w:left="12"/>
              <w:rPr>
                <w:rFonts w:ascii="Times New Roman"/>
                <w:b/>
                <w:sz w:val="21"/>
              </w:rPr>
            </w:pPr>
            <w:r>
              <w:rPr>
                <w:rFonts w:ascii="Times New Roman"/>
                <w:b/>
                <w:w w:val="100"/>
                <w:sz w:val="21"/>
              </w:rPr>
              <w:t>/</w:t>
            </w:r>
          </w:p>
        </w:tc>
        <w:tc>
          <w:tcPr>
            <w:tcW w:w="706" w:type="dxa"/>
          </w:tcPr>
          <w:p>
            <w:pPr>
              <w:pStyle w:val="TableParagraph"/>
              <w:spacing w:line="250" w:lineRule="exact" w:before="1"/>
              <w:ind w:left="17" w:right="6"/>
              <w:rPr>
                <w:sz w:val="21"/>
              </w:rPr>
            </w:pPr>
            <w:r>
              <w:rPr>
                <w:sz w:val="21"/>
              </w:rPr>
              <w:t>下雨时</w:t>
            </w:r>
          </w:p>
        </w:tc>
        <w:tc>
          <w:tcPr>
            <w:tcW w:w="1133" w:type="dxa"/>
            <w:vMerge/>
            <w:tcBorders>
              <w:top w:val="nil"/>
            </w:tcBorders>
          </w:tcPr>
          <w:p>
            <w:pPr>
              <w:rPr>
                <w:sz w:val="2"/>
                <w:szCs w:val="2"/>
              </w:rPr>
            </w:pPr>
          </w:p>
        </w:tc>
      </w:tr>
      <w:tr>
        <w:trPr>
          <w:trHeight w:val="273" w:hRule="atLeast"/>
        </w:trPr>
        <w:tc>
          <w:tcPr>
            <w:tcW w:w="1366" w:type="dxa"/>
          </w:tcPr>
          <w:p>
            <w:pPr>
              <w:pStyle w:val="TableParagraph"/>
              <w:spacing w:line="252" w:lineRule="exact" w:before="1"/>
              <w:ind w:left="31" w:right="22"/>
              <w:rPr>
                <w:sz w:val="21"/>
              </w:rPr>
            </w:pPr>
            <w:r>
              <w:rPr>
                <w:sz w:val="21"/>
              </w:rPr>
              <w:t>喷淋废水</w:t>
            </w:r>
          </w:p>
        </w:tc>
        <w:tc>
          <w:tcPr>
            <w:tcW w:w="744" w:type="dxa"/>
          </w:tcPr>
          <w:p>
            <w:pPr>
              <w:pStyle w:val="TableParagraph"/>
              <w:spacing w:line="238" w:lineRule="exact" w:before="15"/>
              <w:ind w:left="105" w:right="108"/>
              <w:rPr>
                <w:rFonts w:ascii="Times New Roman"/>
                <w:sz w:val="21"/>
              </w:rPr>
            </w:pPr>
            <w:r>
              <w:rPr>
                <w:rFonts w:ascii="Times New Roman"/>
                <w:sz w:val="21"/>
              </w:rPr>
              <w:t>20</w:t>
            </w:r>
          </w:p>
        </w:tc>
        <w:tc>
          <w:tcPr>
            <w:tcW w:w="745" w:type="dxa"/>
          </w:tcPr>
          <w:p>
            <w:pPr>
              <w:pStyle w:val="TableParagraph"/>
              <w:spacing w:line="238" w:lineRule="exact" w:before="15"/>
              <w:ind w:right="157"/>
              <w:jc w:val="right"/>
              <w:rPr>
                <w:rFonts w:ascii="Times New Roman"/>
                <w:sz w:val="21"/>
              </w:rPr>
            </w:pPr>
            <w:r>
              <w:rPr>
                <w:rFonts w:ascii="Times New Roman"/>
                <w:sz w:val="21"/>
              </w:rPr>
              <w:t>6000</w:t>
            </w:r>
          </w:p>
        </w:tc>
        <w:tc>
          <w:tcPr>
            <w:tcW w:w="744" w:type="dxa"/>
          </w:tcPr>
          <w:p>
            <w:pPr>
              <w:pStyle w:val="TableParagraph"/>
              <w:spacing w:line="238" w:lineRule="exact" w:before="15"/>
              <w:ind w:left="105" w:right="109"/>
              <w:rPr>
                <w:rFonts w:ascii="Times New Roman"/>
                <w:sz w:val="21"/>
              </w:rPr>
            </w:pPr>
            <w:r>
              <w:rPr>
                <w:rFonts w:ascii="Times New Roman"/>
                <w:sz w:val="21"/>
              </w:rPr>
              <w:t>1500</w:t>
            </w:r>
          </w:p>
        </w:tc>
        <w:tc>
          <w:tcPr>
            <w:tcW w:w="746" w:type="dxa"/>
          </w:tcPr>
          <w:p>
            <w:pPr>
              <w:pStyle w:val="TableParagraph"/>
              <w:spacing w:line="238" w:lineRule="exact" w:before="15"/>
              <w:ind w:right="1"/>
              <w:rPr>
                <w:rFonts w:ascii="Times New Roman"/>
                <w:sz w:val="21"/>
              </w:rPr>
            </w:pPr>
            <w:r>
              <w:rPr>
                <w:rFonts w:ascii="Times New Roman"/>
                <w:w w:val="100"/>
                <w:sz w:val="21"/>
              </w:rPr>
              <w:t>9</w:t>
            </w:r>
          </w:p>
        </w:tc>
        <w:tc>
          <w:tcPr>
            <w:tcW w:w="744" w:type="dxa"/>
          </w:tcPr>
          <w:p>
            <w:pPr>
              <w:pStyle w:val="TableParagraph"/>
              <w:spacing w:line="238" w:lineRule="exact" w:before="15"/>
              <w:ind w:left="105" w:right="108"/>
              <w:rPr>
                <w:rFonts w:ascii="Times New Roman"/>
                <w:sz w:val="21"/>
              </w:rPr>
            </w:pPr>
            <w:r>
              <w:rPr>
                <w:rFonts w:ascii="Times New Roman"/>
                <w:sz w:val="21"/>
              </w:rPr>
              <w:t>10</w:t>
            </w:r>
          </w:p>
        </w:tc>
        <w:tc>
          <w:tcPr>
            <w:tcW w:w="744" w:type="dxa"/>
          </w:tcPr>
          <w:p>
            <w:pPr>
              <w:pStyle w:val="TableParagraph"/>
              <w:spacing w:line="238" w:lineRule="exact" w:before="15"/>
              <w:ind w:right="180"/>
              <w:jc w:val="right"/>
              <w:rPr>
                <w:rFonts w:ascii="Times New Roman"/>
                <w:sz w:val="21"/>
              </w:rPr>
            </w:pPr>
            <w:r>
              <w:rPr>
                <w:rFonts w:ascii="Times New Roman"/>
                <w:sz w:val="21"/>
              </w:rPr>
              <w:t>0.06</w:t>
            </w:r>
          </w:p>
        </w:tc>
        <w:tc>
          <w:tcPr>
            <w:tcW w:w="705" w:type="dxa"/>
          </w:tcPr>
          <w:p>
            <w:pPr>
              <w:pStyle w:val="TableParagraph"/>
              <w:ind w:left="88" w:right="88"/>
              <w:rPr>
                <w:rFonts w:ascii="Times New Roman"/>
                <w:sz w:val="21"/>
              </w:rPr>
            </w:pPr>
            <w:r>
              <w:rPr>
                <w:rFonts w:ascii="Times New Roman"/>
                <w:sz w:val="21"/>
              </w:rPr>
              <w:t>20</w:t>
            </w:r>
          </w:p>
        </w:tc>
        <w:tc>
          <w:tcPr>
            <w:tcW w:w="705" w:type="dxa"/>
          </w:tcPr>
          <w:p>
            <w:pPr>
              <w:pStyle w:val="TableParagraph"/>
              <w:ind w:left="88" w:right="77"/>
              <w:rPr>
                <w:rFonts w:ascii="Times New Roman"/>
                <w:sz w:val="21"/>
              </w:rPr>
            </w:pPr>
            <w:r>
              <w:rPr>
                <w:rFonts w:ascii="Times New Roman"/>
                <w:sz w:val="21"/>
              </w:rPr>
              <w:t>0.12</w:t>
            </w:r>
          </w:p>
        </w:tc>
        <w:tc>
          <w:tcPr>
            <w:tcW w:w="706" w:type="dxa"/>
          </w:tcPr>
          <w:p>
            <w:pPr>
              <w:pStyle w:val="TableParagraph"/>
              <w:spacing w:line="252" w:lineRule="exact" w:before="1"/>
              <w:ind w:left="17" w:right="6"/>
              <w:rPr>
                <w:sz w:val="21"/>
              </w:rPr>
            </w:pPr>
            <w:r>
              <w:rPr>
                <w:sz w:val="21"/>
              </w:rPr>
              <w:t>每天</w:t>
            </w:r>
          </w:p>
        </w:tc>
        <w:tc>
          <w:tcPr>
            <w:tcW w:w="1133" w:type="dxa"/>
            <w:vMerge/>
            <w:tcBorders>
              <w:top w:val="nil"/>
            </w:tcBorders>
          </w:tcPr>
          <w:p>
            <w:pPr>
              <w:rPr>
                <w:sz w:val="2"/>
                <w:szCs w:val="2"/>
              </w:rPr>
            </w:pPr>
          </w:p>
        </w:tc>
      </w:tr>
      <w:tr>
        <w:trPr>
          <w:trHeight w:val="273" w:hRule="atLeast"/>
        </w:trPr>
        <w:tc>
          <w:tcPr>
            <w:tcW w:w="1366" w:type="dxa"/>
          </w:tcPr>
          <w:p>
            <w:pPr>
              <w:pStyle w:val="TableParagraph"/>
              <w:spacing w:line="252" w:lineRule="exact" w:before="1"/>
              <w:ind w:left="28" w:right="22"/>
              <w:rPr>
                <w:b/>
                <w:sz w:val="21"/>
              </w:rPr>
            </w:pPr>
            <w:r>
              <w:rPr>
                <w:b/>
                <w:sz w:val="21"/>
              </w:rPr>
              <w:t>小计</w:t>
            </w:r>
          </w:p>
        </w:tc>
        <w:tc>
          <w:tcPr>
            <w:tcW w:w="744" w:type="dxa"/>
          </w:tcPr>
          <w:p>
            <w:pPr>
              <w:pStyle w:val="TableParagraph"/>
              <w:spacing w:line="238" w:lineRule="exact" w:before="15"/>
              <w:ind w:left="105" w:right="108"/>
              <w:rPr>
                <w:rFonts w:ascii="Times New Roman"/>
                <w:b/>
                <w:sz w:val="21"/>
              </w:rPr>
            </w:pPr>
            <w:r>
              <w:rPr>
                <w:rFonts w:ascii="Times New Roman"/>
                <w:b/>
                <w:sz w:val="21"/>
              </w:rPr>
              <w:t>77</w:t>
            </w:r>
          </w:p>
        </w:tc>
        <w:tc>
          <w:tcPr>
            <w:tcW w:w="745" w:type="dxa"/>
          </w:tcPr>
          <w:p>
            <w:pPr>
              <w:pStyle w:val="TableParagraph"/>
              <w:spacing w:line="238" w:lineRule="exact" w:before="15"/>
              <w:ind w:right="104"/>
              <w:jc w:val="right"/>
              <w:rPr>
                <w:rFonts w:ascii="Times New Roman"/>
                <w:b/>
                <w:sz w:val="21"/>
              </w:rPr>
            </w:pPr>
            <w:r>
              <w:rPr>
                <w:rFonts w:ascii="Times New Roman"/>
                <w:b/>
                <w:sz w:val="21"/>
              </w:rPr>
              <w:t>23109</w:t>
            </w:r>
          </w:p>
        </w:tc>
        <w:tc>
          <w:tcPr>
            <w:tcW w:w="744" w:type="dxa"/>
          </w:tcPr>
          <w:p>
            <w:pPr>
              <w:pStyle w:val="TableParagraph"/>
              <w:spacing w:line="238" w:lineRule="exact" w:before="15"/>
              <w:ind w:left="105" w:right="109"/>
              <w:rPr>
                <w:rFonts w:ascii="Times New Roman"/>
                <w:b/>
                <w:sz w:val="21"/>
              </w:rPr>
            </w:pPr>
            <w:r>
              <w:rPr>
                <w:rFonts w:ascii="Times New Roman"/>
                <w:b/>
                <w:sz w:val="21"/>
              </w:rPr>
              <w:t>750.9</w:t>
            </w:r>
          </w:p>
        </w:tc>
        <w:tc>
          <w:tcPr>
            <w:tcW w:w="746" w:type="dxa"/>
          </w:tcPr>
          <w:p>
            <w:pPr>
              <w:pStyle w:val="TableParagraph"/>
              <w:spacing w:line="238" w:lineRule="exact" w:before="15"/>
              <w:ind w:right="77"/>
              <w:jc w:val="right"/>
              <w:rPr>
                <w:rFonts w:ascii="Times New Roman"/>
                <w:b/>
                <w:sz w:val="21"/>
              </w:rPr>
            </w:pPr>
            <w:r>
              <w:rPr>
                <w:rFonts w:ascii="Times New Roman"/>
                <w:b/>
                <w:sz w:val="21"/>
              </w:rPr>
              <w:t>17.352</w:t>
            </w:r>
          </w:p>
        </w:tc>
        <w:tc>
          <w:tcPr>
            <w:tcW w:w="744" w:type="dxa"/>
          </w:tcPr>
          <w:p>
            <w:pPr>
              <w:pStyle w:val="TableParagraph"/>
              <w:spacing w:line="238" w:lineRule="exact" w:before="15"/>
              <w:ind w:left="105" w:right="108"/>
              <w:rPr>
                <w:rFonts w:ascii="Times New Roman"/>
                <w:b/>
                <w:sz w:val="21"/>
              </w:rPr>
            </w:pPr>
            <w:r>
              <w:rPr>
                <w:rFonts w:ascii="Times New Roman"/>
                <w:b/>
                <w:sz w:val="21"/>
              </w:rPr>
              <w:t>4.6</w:t>
            </w:r>
          </w:p>
        </w:tc>
        <w:tc>
          <w:tcPr>
            <w:tcW w:w="744" w:type="dxa"/>
          </w:tcPr>
          <w:p>
            <w:pPr>
              <w:pStyle w:val="TableParagraph"/>
              <w:spacing w:line="238" w:lineRule="exact" w:before="15"/>
              <w:ind w:right="127"/>
              <w:jc w:val="right"/>
              <w:rPr>
                <w:rFonts w:ascii="Times New Roman"/>
                <w:b/>
                <w:sz w:val="21"/>
              </w:rPr>
            </w:pPr>
            <w:r>
              <w:rPr>
                <w:rFonts w:ascii="Times New Roman"/>
                <w:b/>
                <w:sz w:val="21"/>
              </w:rPr>
              <w:t>0.107</w:t>
            </w:r>
          </w:p>
        </w:tc>
        <w:tc>
          <w:tcPr>
            <w:tcW w:w="705" w:type="dxa"/>
          </w:tcPr>
          <w:p>
            <w:pPr>
              <w:pStyle w:val="TableParagraph"/>
              <w:ind w:left="88" w:right="88"/>
              <w:rPr>
                <w:rFonts w:ascii="Times New Roman"/>
                <w:b/>
                <w:sz w:val="21"/>
              </w:rPr>
            </w:pPr>
            <w:r>
              <w:rPr>
                <w:rFonts w:ascii="Times New Roman"/>
                <w:b/>
                <w:sz w:val="21"/>
              </w:rPr>
              <w:t>5.2</w:t>
            </w:r>
          </w:p>
        </w:tc>
        <w:tc>
          <w:tcPr>
            <w:tcW w:w="705" w:type="dxa"/>
          </w:tcPr>
          <w:p>
            <w:pPr>
              <w:pStyle w:val="TableParagraph"/>
              <w:ind w:left="88" w:right="77"/>
              <w:rPr>
                <w:rFonts w:ascii="Times New Roman"/>
                <w:b/>
                <w:sz w:val="21"/>
              </w:rPr>
            </w:pPr>
            <w:r>
              <w:rPr>
                <w:rFonts w:ascii="Times New Roman"/>
                <w:b/>
                <w:sz w:val="21"/>
              </w:rPr>
              <w:t>0.12</w:t>
            </w:r>
          </w:p>
        </w:tc>
        <w:tc>
          <w:tcPr>
            <w:tcW w:w="706" w:type="dxa"/>
          </w:tcPr>
          <w:p>
            <w:pPr>
              <w:pStyle w:val="TableParagraph"/>
              <w:spacing w:line="252" w:lineRule="exact" w:before="1"/>
              <w:ind w:left="11"/>
              <w:rPr>
                <w:b/>
                <w:sz w:val="21"/>
              </w:rPr>
            </w:pPr>
            <w:r>
              <w:rPr>
                <w:b/>
                <w:w w:val="100"/>
                <w:sz w:val="21"/>
              </w:rPr>
              <w:t>－</w:t>
            </w:r>
          </w:p>
        </w:tc>
        <w:tc>
          <w:tcPr>
            <w:tcW w:w="1133" w:type="dxa"/>
            <w:vMerge/>
            <w:tcBorders>
              <w:top w:val="nil"/>
            </w:tcBorders>
          </w:tcPr>
          <w:p>
            <w:pPr>
              <w:rPr>
                <w:sz w:val="2"/>
                <w:szCs w:val="2"/>
              </w:rPr>
            </w:pPr>
          </w:p>
        </w:tc>
      </w:tr>
      <w:tr>
        <w:trPr>
          <w:trHeight w:val="544" w:hRule="atLeast"/>
        </w:trPr>
        <w:tc>
          <w:tcPr>
            <w:tcW w:w="1366" w:type="dxa"/>
          </w:tcPr>
          <w:p>
            <w:pPr>
              <w:pStyle w:val="TableParagraph"/>
              <w:spacing w:before="1"/>
              <w:ind w:left="33" w:right="22"/>
              <w:rPr>
                <w:sz w:val="21"/>
              </w:rPr>
            </w:pPr>
            <w:r>
              <w:rPr>
                <w:sz w:val="21"/>
              </w:rPr>
              <w:t>冷却系统排污</w:t>
            </w:r>
          </w:p>
          <w:p>
            <w:pPr>
              <w:pStyle w:val="TableParagraph"/>
              <w:spacing w:line="252" w:lineRule="exact" w:before="2"/>
              <w:ind w:left="6"/>
              <w:rPr>
                <w:sz w:val="21"/>
              </w:rPr>
            </w:pPr>
            <w:r>
              <w:rPr>
                <w:w w:val="100"/>
                <w:sz w:val="21"/>
              </w:rPr>
              <w:t>水</w:t>
            </w:r>
          </w:p>
        </w:tc>
        <w:tc>
          <w:tcPr>
            <w:tcW w:w="744" w:type="dxa"/>
          </w:tcPr>
          <w:p>
            <w:pPr>
              <w:pStyle w:val="TableParagraph"/>
              <w:spacing w:before="151"/>
              <w:ind w:left="232"/>
              <w:jc w:val="left"/>
              <w:rPr>
                <w:rFonts w:ascii="Times New Roman"/>
                <w:sz w:val="21"/>
              </w:rPr>
            </w:pPr>
            <w:r>
              <w:rPr>
                <w:rFonts w:ascii="Times New Roman"/>
                <w:sz w:val="21"/>
              </w:rPr>
              <w:t>6.7</w:t>
            </w:r>
          </w:p>
        </w:tc>
        <w:tc>
          <w:tcPr>
            <w:tcW w:w="745" w:type="dxa"/>
          </w:tcPr>
          <w:p>
            <w:pPr>
              <w:pStyle w:val="TableParagraph"/>
              <w:spacing w:before="151"/>
              <w:ind w:right="157"/>
              <w:jc w:val="right"/>
              <w:rPr>
                <w:rFonts w:ascii="Times New Roman"/>
                <w:sz w:val="21"/>
              </w:rPr>
            </w:pPr>
            <w:r>
              <w:rPr>
                <w:rFonts w:ascii="Times New Roman"/>
                <w:sz w:val="21"/>
              </w:rPr>
              <w:t>2000</w:t>
            </w:r>
          </w:p>
        </w:tc>
        <w:tc>
          <w:tcPr>
            <w:tcW w:w="744" w:type="dxa"/>
          </w:tcPr>
          <w:p>
            <w:pPr>
              <w:pStyle w:val="TableParagraph"/>
              <w:spacing w:before="151"/>
              <w:ind w:left="105" w:right="109"/>
              <w:rPr>
                <w:rFonts w:ascii="Times New Roman"/>
                <w:sz w:val="21"/>
              </w:rPr>
            </w:pPr>
            <w:r>
              <w:rPr>
                <w:rFonts w:ascii="Times New Roman"/>
                <w:sz w:val="21"/>
              </w:rPr>
              <w:t>40</w:t>
            </w:r>
          </w:p>
        </w:tc>
        <w:tc>
          <w:tcPr>
            <w:tcW w:w="746" w:type="dxa"/>
          </w:tcPr>
          <w:p>
            <w:pPr>
              <w:pStyle w:val="TableParagraph"/>
              <w:spacing w:before="151"/>
              <w:ind w:right="183"/>
              <w:jc w:val="right"/>
              <w:rPr>
                <w:rFonts w:ascii="Times New Roman"/>
                <w:sz w:val="21"/>
              </w:rPr>
            </w:pPr>
            <w:r>
              <w:rPr>
                <w:rFonts w:ascii="Times New Roman"/>
                <w:sz w:val="21"/>
              </w:rPr>
              <w:t>0.08</w:t>
            </w:r>
          </w:p>
        </w:tc>
        <w:tc>
          <w:tcPr>
            <w:tcW w:w="744" w:type="dxa"/>
          </w:tcPr>
          <w:p>
            <w:pPr>
              <w:pStyle w:val="TableParagraph"/>
              <w:spacing w:before="151"/>
              <w:ind w:right="2"/>
              <w:rPr>
                <w:rFonts w:ascii="Times New Roman"/>
                <w:b/>
                <w:sz w:val="21"/>
              </w:rPr>
            </w:pPr>
            <w:r>
              <w:rPr>
                <w:rFonts w:ascii="Times New Roman"/>
                <w:b/>
                <w:w w:val="100"/>
                <w:sz w:val="21"/>
              </w:rPr>
              <w:t>/</w:t>
            </w:r>
          </w:p>
        </w:tc>
        <w:tc>
          <w:tcPr>
            <w:tcW w:w="744" w:type="dxa"/>
          </w:tcPr>
          <w:p>
            <w:pPr>
              <w:pStyle w:val="TableParagraph"/>
              <w:spacing w:before="151"/>
              <w:rPr>
                <w:rFonts w:ascii="Times New Roman"/>
                <w:b/>
                <w:sz w:val="21"/>
              </w:rPr>
            </w:pPr>
            <w:r>
              <w:rPr>
                <w:rFonts w:ascii="Times New Roman"/>
                <w:b/>
                <w:w w:val="100"/>
                <w:sz w:val="21"/>
              </w:rPr>
              <w:t>/</w:t>
            </w:r>
          </w:p>
        </w:tc>
        <w:tc>
          <w:tcPr>
            <w:tcW w:w="705" w:type="dxa"/>
          </w:tcPr>
          <w:p>
            <w:pPr>
              <w:pStyle w:val="TableParagraph"/>
              <w:spacing w:before="151"/>
              <w:ind w:left="1"/>
              <w:rPr>
                <w:rFonts w:ascii="Times New Roman"/>
                <w:b/>
                <w:sz w:val="21"/>
              </w:rPr>
            </w:pPr>
            <w:r>
              <w:rPr>
                <w:rFonts w:ascii="Times New Roman"/>
                <w:b/>
                <w:w w:val="100"/>
                <w:sz w:val="21"/>
              </w:rPr>
              <w:t>/</w:t>
            </w:r>
          </w:p>
        </w:tc>
        <w:tc>
          <w:tcPr>
            <w:tcW w:w="705" w:type="dxa"/>
          </w:tcPr>
          <w:p>
            <w:pPr>
              <w:pStyle w:val="TableParagraph"/>
              <w:spacing w:before="151"/>
              <w:ind w:left="12"/>
              <w:rPr>
                <w:rFonts w:ascii="Times New Roman"/>
                <w:b/>
                <w:sz w:val="21"/>
              </w:rPr>
            </w:pPr>
            <w:r>
              <w:rPr>
                <w:rFonts w:ascii="Times New Roman"/>
                <w:b/>
                <w:w w:val="100"/>
                <w:sz w:val="21"/>
              </w:rPr>
              <w:t>/</w:t>
            </w:r>
          </w:p>
        </w:tc>
        <w:tc>
          <w:tcPr>
            <w:tcW w:w="706" w:type="dxa"/>
          </w:tcPr>
          <w:p>
            <w:pPr>
              <w:pStyle w:val="TableParagraph"/>
              <w:spacing w:before="135"/>
              <w:ind w:left="17" w:right="6"/>
              <w:rPr>
                <w:sz w:val="21"/>
              </w:rPr>
            </w:pPr>
            <w:r>
              <w:rPr>
                <w:sz w:val="21"/>
              </w:rPr>
              <w:t>每天</w:t>
            </w:r>
          </w:p>
        </w:tc>
        <w:tc>
          <w:tcPr>
            <w:tcW w:w="1133" w:type="dxa"/>
          </w:tcPr>
          <w:p>
            <w:pPr>
              <w:pStyle w:val="TableParagraph"/>
              <w:spacing w:before="1"/>
              <w:ind w:left="12" w:right="12"/>
              <w:rPr>
                <w:sz w:val="21"/>
              </w:rPr>
            </w:pPr>
            <w:r>
              <w:rPr>
                <w:sz w:val="21"/>
              </w:rPr>
              <w:t>回用于废气</w:t>
            </w:r>
          </w:p>
          <w:p>
            <w:pPr>
              <w:pStyle w:val="TableParagraph"/>
              <w:spacing w:line="252" w:lineRule="exact" w:before="2"/>
              <w:ind w:left="12" w:right="12"/>
              <w:rPr>
                <w:sz w:val="21"/>
              </w:rPr>
            </w:pPr>
            <w:r>
              <w:rPr>
                <w:sz w:val="21"/>
              </w:rPr>
              <w:t>喷淋</w:t>
            </w:r>
          </w:p>
        </w:tc>
      </w:tr>
      <w:tr>
        <w:trPr>
          <w:trHeight w:val="545" w:hRule="atLeast"/>
        </w:trPr>
        <w:tc>
          <w:tcPr>
            <w:tcW w:w="1366" w:type="dxa"/>
          </w:tcPr>
          <w:p>
            <w:pPr>
              <w:pStyle w:val="TableParagraph"/>
              <w:spacing w:before="138"/>
              <w:ind w:left="31" w:right="22"/>
              <w:rPr>
                <w:sz w:val="21"/>
              </w:rPr>
            </w:pPr>
            <w:r>
              <w:rPr>
                <w:sz w:val="21"/>
              </w:rPr>
              <w:t>蒸汽冷凝水</w:t>
            </w:r>
          </w:p>
        </w:tc>
        <w:tc>
          <w:tcPr>
            <w:tcW w:w="744" w:type="dxa"/>
          </w:tcPr>
          <w:p>
            <w:pPr>
              <w:pStyle w:val="TableParagraph"/>
              <w:spacing w:before="152"/>
              <w:ind w:right="130"/>
              <w:jc w:val="right"/>
              <w:rPr>
                <w:rFonts w:ascii="Times New Roman"/>
                <w:sz w:val="21"/>
              </w:rPr>
            </w:pPr>
            <w:r>
              <w:rPr>
                <w:rFonts w:ascii="Times New Roman"/>
                <w:sz w:val="21"/>
              </w:rPr>
              <w:t>17.55</w:t>
            </w:r>
          </w:p>
        </w:tc>
        <w:tc>
          <w:tcPr>
            <w:tcW w:w="745" w:type="dxa"/>
          </w:tcPr>
          <w:p>
            <w:pPr>
              <w:pStyle w:val="TableParagraph"/>
              <w:spacing w:before="152"/>
              <w:ind w:right="157"/>
              <w:jc w:val="right"/>
              <w:rPr>
                <w:rFonts w:ascii="Times New Roman"/>
                <w:sz w:val="21"/>
              </w:rPr>
            </w:pPr>
            <w:r>
              <w:rPr>
                <w:rFonts w:ascii="Times New Roman"/>
                <w:sz w:val="21"/>
              </w:rPr>
              <w:t>5266</w:t>
            </w:r>
          </w:p>
        </w:tc>
        <w:tc>
          <w:tcPr>
            <w:tcW w:w="744" w:type="dxa"/>
          </w:tcPr>
          <w:p>
            <w:pPr>
              <w:pStyle w:val="TableParagraph"/>
              <w:spacing w:before="152"/>
              <w:ind w:right="3"/>
              <w:rPr>
                <w:rFonts w:ascii="Times New Roman"/>
                <w:b/>
                <w:sz w:val="21"/>
              </w:rPr>
            </w:pPr>
            <w:r>
              <w:rPr>
                <w:rFonts w:ascii="Times New Roman"/>
                <w:b/>
                <w:w w:val="100"/>
                <w:sz w:val="21"/>
              </w:rPr>
              <w:t>/</w:t>
            </w:r>
          </w:p>
        </w:tc>
        <w:tc>
          <w:tcPr>
            <w:tcW w:w="746" w:type="dxa"/>
          </w:tcPr>
          <w:p>
            <w:pPr>
              <w:pStyle w:val="TableParagraph"/>
              <w:spacing w:before="152"/>
              <w:rPr>
                <w:rFonts w:ascii="Times New Roman"/>
                <w:b/>
                <w:sz w:val="21"/>
              </w:rPr>
            </w:pPr>
            <w:r>
              <w:rPr>
                <w:rFonts w:ascii="Times New Roman"/>
                <w:b/>
                <w:w w:val="100"/>
                <w:sz w:val="21"/>
              </w:rPr>
              <w:t>/</w:t>
            </w:r>
          </w:p>
        </w:tc>
        <w:tc>
          <w:tcPr>
            <w:tcW w:w="744" w:type="dxa"/>
          </w:tcPr>
          <w:p>
            <w:pPr>
              <w:pStyle w:val="TableParagraph"/>
              <w:spacing w:before="152"/>
              <w:ind w:right="2"/>
              <w:rPr>
                <w:rFonts w:ascii="Times New Roman"/>
                <w:b/>
                <w:sz w:val="21"/>
              </w:rPr>
            </w:pPr>
            <w:r>
              <w:rPr>
                <w:rFonts w:ascii="Times New Roman"/>
                <w:b/>
                <w:w w:val="100"/>
                <w:sz w:val="21"/>
              </w:rPr>
              <w:t>/</w:t>
            </w:r>
          </w:p>
        </w:tc>
        <w:tc>
          <w:tcPr>
            <w:tcW w:w="744" w:type="dxa"/>
          </w:tcPr>
          <w:p>
            <w:pPr>
              <w:pStyle w:val="TableParagraph"/>
              <w:spacing w:before="152"/>
              <w:rPr>
                <w:rFonts w:ascii="Times New Roman"/>
                <w:b/>
                <w:sz w:val="21"/>
              </w:rPr>
            </w:pPr>
            <w:r>
              <w:rPr>
                <w:rFonts w:ascii="Times New Roman"/>
                <w:b/>
                <w:w w:val="100"/>
                <w:sz w:val="21"/>
              </w:rPr>
              <w:t>/</w:t>
            </w:r>
          </w:p>
        </w:tc>
        <w:tc>
          <w:tcPr>
            <w:tcW w:w="705" w:type="dxa"/>
          </w:tcPr>
          <w:p>
            <w:pPr>
              <w:pStyle w:val="TableParagraph"/>
              <w:spacing w:before="152"/>
              <w:ind w:left="1"/>
              <w:rPr>
                <w:rFonts w:ascii="Times New Roman"/>
                <w:b/>
                <w:sz w:val="21"/>
              </w:rPr>
            </w:pPr>
            <w:r>
              <w:rPr>
                <w:rFonts w:ascii="Times New Roman"/>
                <w:b/>
                <w:w w:val="100"/>
                <w:sz w:val="21"/>
              </w:rPr>
              <w:t>/</w:t>
            </w:r>
          </w:p>
        </w:tc>
        <w:tc>
          <w:tcPr>
            <w:tcW w:w="705" w:type="dxa"/>
          </w:tcPr>
          <w:p>
            <w:pPr>
              <w:pStyle w:val="TableParagraph"/>
              <w:spacing w:before="152"/>
              <w:ind w:left="12"/>
              <w:rPr>
                <w:rFonts w:ascii="Times New Roman"/>
                <w:b/>
                <w:sz w:val="21"/>
              </w:rPr>
            </w:pPr>
            <w:r>
              <w:rPr>
                <w:rFonts w:ascii="Times New Roman"/>
                <w:b/>
                <w:w w:val="100"/>
                <w:sz w:val="21"/>
              </w:rPr>
              <w:t>/</w:t>
            </w:r>
          </w:p>
        </w:tc>
        <w:tc>
          <w:tcPr>
            <w:tcW w:w="706" w:type="dxa"/>
          </w:tcPr>
          <w:p>
            <w:pPr>
              <w:pStyle w:val="TableParagraph"/>
              <w:spacing w:before="138"/>
              <w:ind w:left="17" w:right="6"/>
              <w:rPr>
                <w:sz w:val="21"/>
              </w:rPr>
            </w:pPr>
            <w:r>
              <w:rPr>
                <w:sz w:val="21"/>
              </w:rPr>
              <w:t>每天</w:t>
            </w:r>
          </w:p>
        </w:tc>
        <w:tc>
          <w:tcPr>
            <w:tcW w:w="1133" w:type="dxa"/>
          </w:tcPr>
          <w:p>
            <w:pPr>
              <w:pStyle w:val="TableParagraph"/>
              <w:spacing w:before="1"/>
              <w:ind w:left="12" w:right="12"/>
              <w:rPr>
                <w:sz w:val="21"/>
              </w:rPr>
            </w:pPr>
            <w:r>
              <w:rPr>
                <w:sz w:val="21"/>
              </w:rPr>
              <w:t>回用于公用</w:t>
            </w:r>
          </w:p>
          <w:p>
            <w:pPr>
              <w:pStyle w:val="TableParagraph"/>
              <w:spacing w:line="252" w:lineRule="exact" w:before="2"/>
              <w:ind w:left="12" w:right="12"/>
              <w:rPr>
                <w:sz w:val="21"/>
              </w:rPr>
            </w:pPr>
            <w:r>
              <w:rPr>
                <w:sz w:val="21"/>
              </w:rPr>
              <w:t>工程用水</w:t>
            </w:r>
          </w:p>
        </w:tc>
      </w:tr>
    </w:tbl>
    <w:p>
      <w:pPr>
        <w:pStyle w:val="ListParagraph"/>
        <w:numPr>
          <w:ilvl w:val="3"/>
          <w:numId w:val="13"/>
        </w:numPr>
        <w:tabs>
          <w:tab w:pos="1422" w:val="left" w:leader="none"/>
        </w:tabs>
        <w:spacing w:line="240" w:lineRule="auto" w:before="62" w:after="0"/>
        <w:ind w:left="1421" w:right="0" w:hanging="721"/>
        <w:jc w:val="left"/>
        <w:rPr>
          <w:b/>
          <w:sz w:val="24"/>
        </w:rPr>
      </w:pPr>
      <w:r>
        <w:rPr>
          <w:b/>
          <w:sz w:val="24"/>
        </w:rPr>
        <w:t>废气</w:t>
      </w:r>
    </w:p>
    <w:p>
      <w:pPr>
        <w:pStyle w:val="BodyText"/>
        <w:spacing w:line="364" w:lineRule="auto" w:before="158"/>
        <w:ind w:left="218" w:right="184" w:firstLine="480"/>
      </w:pPr>
      <w:r>
        <w:rPr>
          <w:spacing w:val="-1"/>
        </w:rPr>
        <w:t>该项目公用工程废气主要为甲酸储罐、污水预处理装置废气及危废暂存场所废气、</w:t>
      </w:r>
      <w:r>
        <w:rPr/>
        <w:t>装置无组织废气。</w:t>
      </w:r>
    </w:p>
    <w:p>
      <w:pPr>
        <w:pStyle w:val="Heading4"/>
        <w:spacing w:before="1"/>
      </w:pPr>
      <w:r>
        <w:rPr>
          <w:rFonts w:ascii="Times New Roman" w:eastAsia="Times New Roman"/>
          <w:w w:val="95"/>
        </w:rPr>
        <w:t>1</w:t>
      </w:r>
      <w:r>
        <w:rPr>
          <w:w w:val="95"/>
        </w:rPr>
        <w:t>、甲酸储罐</w:t>
      </w:r>
    </w:p>
    <w:p>
      <w:pPr>
        <w:pStyle w:val="BodyText"/>
        <w:spacing w:line="364" w:lineRule="auto" w:before="158"/>
        <w:ind w:left="218" w:right="232" w:firstLine="480"/>
      </w:pPr>
      <w:r>
        <w:rPr>
          <w:spacing w:val="-11"/>
        </w:rPr>
        <w:t>本项目新增 </w:t>
      </w:r>
      <w:r>
        <w:rPr>
          <w:rFonts w:ascii="Times New Roman" w:eastAsia="Times New Roman"/>
        </w:rPr>
        <w:t>1 </w:t>
      </w:r>
      <w:r>
        <w:rPr>
          <w:spacing w:val="-30"/>
        </w:rPr>
        <w:t>个 </w:t>
      </w:r>
      <w:r>
        <w:rPr>
          <w:rFonts w:ascii="Times New Roman" w:eastAsia="Times New Roman"/>
        </w:rPr>
        <w:t>100m</w:t>
      </w:r>
      <w:r>
        <w:rPr>
          <w:rFonts w:ascii="Times New Roman" w:eastAsia="Times New Roman"/>
          <w:position w:val="9"/>
          <w:sz w:val="16"/>
        </w:rPr>
        <w:t>3 </w:t>
      </w:r>
      <w:r>
        <w:rPr>
          <w:spacing w:val="-8"/>
        </w:rPr>
        <w:t>甲酸储罐，装卸时采用平衡管，基本无大呼吸废气产生。本</w:t>
      </w:r>
      <w:r>
        <w:rPr/>
        <w:t>项目甲酸储罐为固定顶罐，储罐溶剂装卸过程拟安装平衡管，小呼吸废气经呼吸阀</w:t>
      </w:r>
      <w:r>
        <w:rPr>
          <w:rFonts w:ascii="Times New Roman" w:eastAsia="Times New Roman"/>
        </w:rPr>
        <w:t>+</w:t>
      </w:r>
      <w:r>
        <w:rPr>
          <w:spacing w:val="-11"/>
        </w:rPr>
        <w:t>碱</w:t>
      </w:r>
    </w:p>
    <w:p>
      <w:pPr>
        <w:spacing w:after="0" w:line="364" w:lineRule="auto"/>
        <w:sectPr>
          <w:pgSz w:w="11910" w:h="16850"/>
          <w:pgMar w:header="872" w:footer="803" w:top="1340" w:bottom="1000" w:left="1200" w:right="1180"/>
        </w:sectPr>
      </w:pPr>
    </w:p>
    <w:p>
      <w:pPr>
        <w:pStyle w:val="BodyText"/>
        <w:spacing w:line="364" w:lineRule="auto" w:before="64"/>
        <w:ind w:left="218" w:right="233"/>
      </w:pPr>
      <w:r>
        <w:rPr/>
        <w:t>封后再经一级氧化</w:t>
      </w:r>
      <w:r>
        <w:rPr>
          <w:rFonts w:ascii="Times New Roman" w:eastAsia="Times New Roman"/>
        </w:rPr>
        <w:t>+</w:t>
      </w:r>
      <w:r>
        <w:rPr/>
        <w:t>一级碱喷淋处理后通过排气筒排放。本项目储罐污染废气仅考虑小呼吸损耗，参数选定、计算结果见下表。</w:t>
      </w:r>
    </w:p>
    <w:p>
      <w:pPr>
        <w:pStyle w:val="BodyText"/>
        <w:spacing w:before="7"/>
        <w:rPr>
          <w:sz w:val="8"/>
        </w:rPr>
      </w:pPr>
      <w:r>
        <w:rPr/>
        <w:drawing>
          <wp:anchor distT="0" distB="0" distL="0" distR="0" allowOverlap="1" layoutInCell="1" locked="0" behindDoc="0" simplePos="0" relativeHeight="128">
            <wp:simplePos x="0" y="0"/>
            <wp:positionH relativeFrom="page">
              <wp:posOffset>1405544</wp:posOffset>
            </wp:positionH>
            <wp:positionV relativeFrom="paragraph">
              <wp:posOffset>94554</wp:posOffset>
            </wp:positionV>
            <wp:extent cx="3599888" cy="323850"/>
            <wp:effectExtent l="0" t="0" r="0" b="0"/>
            <wp:wrapTopAndBottom/>
            <wp:docPr id="29" name="image20.png"/>
            <wp:cNvGraphicFramePr>
              <a:graphicFrameLocks noChangeAspect="1"/>
            </wp:cNvGraphicFramePr>
            <a:graphic>
              <a:graphicData uri="http://schemas.openxmlformats.org/drawingml/2006/picture">
                <pic:pic>
                  <pic:nvPicPr>
                    <pic:cNvPr id="30" name="image20.png"/>
                    <pic:cNvPicPr/>
                  </pic:nvPicPr>
                  <pic:blipFill>
                    <a:blip r:embed="rId52" cstate="print"/>
                    <a:stretch>
                      <a:fillRect/>
                    </a:stretch>
                  </pic:blipFill>
                  <pic:spPr>
                    <a:xfrm>
                      <a:off x="0" y="0"/>
                      <a:ext cx="3599888" cy="323850"/>
                    </a:xfrm>
                    <a:prstGeom prst="rect">
                      <a:avLst/>
                    </a:prstGeom>
                  </pic:spPr>
                </pic:pic>
              </a:graphicData>
            </a:graphic>
          </wp:anchor>
        </w:drawing>
      </w:r>
    </w:p>
    <w:p>
      <w:pPr>
        <w:pStyle w:val="BodyText"/>
        <w:spacing w:line="364" w:lineRule="auto" w:before="156"/>
        <w:ind w:left="698" w:right="4678"/>
        <w:rPr>
          <w:rFonts w:ascii="Times New Roman" w:hAnsi="Times New Roman" w:eastAsia="Times New Roman"/>
        </w:rPr>
      </w:pPr>
      <w:r>
        <w:rPr/>
        <w:t>式中</w:t>
      </w:r>
      <w:r>
        <w:rPr>
          <w:rFonts w:ascii="Times New Roman" w:hAnsi="Times New Roman" w:eastAsia="Times New Roman"/>
        </w:rPr>
        <w:t>:LB—</w:t>
      </w:r>
      <w:r>
        <w:rPr/>
        <w:t>固定顶罐的呼吸排放量</w:t>
      </w:r>
      <w:r>
        <w:rPr>
          <w:rFonts w:ascii="Times New Roman" w:hAnsi="Times New Roman" w:eastAsia="Times New Roman"/>
        </w:rPr>
        <w:t>(kg/a); M—</w:t>
      </w:r>
      <w:r>
        <w:rPr/>
        <w:t>储罐内蒸气的分子量</w:t>
      </w:r>
      <w:r>
        <w:rPr>
          <w:rFonts w:ascii="Times New Roman" w:hAnsi="Times New Roman" w:eastAsia="Times New Roman"/>
        </w:rPr>
        <w:t>;</w:t>
      </w:r>
    </w:p>
    <w:p>
      <w:pPr>
        <w:pStyle w:val="BodyText"/>
        <w:spacing w:line="362" w:lineRule="auto" w:before="1"/>
        <w:ind w:left="698" w:right="4132"/>
        <w:rPr>
          <w:rFonts w:ascii="Times New Roman" w:hAnsi="Times New Roman" w:eastAsia="Times New Roman"/>
        </w:rPr>
      </w:pPr>
      <w:r>
        <w:rPr>
          <w:rFonts w:ascii="Times New Roman" w:hAnsi="Times New Roman" w:eastAsia="Times New Roman"/>
        </w:rPr>
        <w:t>P—</w:t>
      </w:r>
      <w:r>
        <w:rPr/>
        <w:t>在大量液体状态下，真实的蒸气压力</w:t>
      </w:r>
      <w:r>
        <w:rPr>
          <w:rFonts w:ascii="Times New Roman" w:hAnsi="Times New Roman" w:eastAsia="Times New Roman"/>
        </w:rPr>
        <w:t>(Pa); D—</w:t>
      </w:r>
      <w:r>
        <w:rPr/>
        <w:t>罐的直径</w:t>
      </w:r>
      <w:r>
        <w:rPr>
          <w:rFonts w:ascii="Times New Roman" w:hAnsi="Times New Roman" w:eastAsia="Times New Roman"/>
        </w:rPr>
        <w:t>(m);</w:t>
      </w:r>
    </w:p>
    <w:p>
      <w:pPr>
        <w:pStyle w:val="BodyText"/>
        <w:spacing w:before="5"/>
        <w:ind w:left="698"/>
        <w:rPr>
          <w:rFonts w:ascii="Times New Roman" w:hAnsi="Times New Roman" w:eastAsia="Times New Roman"/>
        </w:rPr>
      </w:pPr>
      <w:r>
        <w:rPr>
          <w:rFonts w:ascii="Times New Roman" w:hAnsi="Times New Roman" w:eastAsia="Times New Roman"/>
        </w:rPr>
        <w:t>H—</w:t>
      </w:r>
      <w:r>
        <w:rPr/>
        <w:t>平均蒸气空间高度</w:t>
      </w:r>
      <w:r>
        <w:rPr>
          <w:rFonts w:ascii="Times New Roman" w:hAnsi="Times New Roman" w:eastAsia="Times New Roman"/>
        </w:rPr>
        <w:t>(m)</w:t>
      </w:r>
    </w:p>
    <w:p>
      <w:pPr>
        <w:pStyle w:val="BodyText"/>
        <w:spacing w:before="159"/>
        <w:ind w:left="698"/>
        <w:rPr>
          <w:rFonts w:ascii="Times New Roman" w:hAnsi="Times New Roman" w:eastAsia="Times New Roman"/>
        </w:rPr>
      </w:pPr>
      <w:r>
        <w:rPr>
          <w:sz w:val="18"/>
        </w:rPr>
        <w:t>△</w:t>
      </w:r>
      <w:r>
        <w:rPr>
          <w:rFonts w:ascii="Times New Roman" w:hAnsi="Times New Roman" w:eastAsia="Times New Roman"/>
        </w:rPr>
        <w:t>T—</w:t>
      </w:r>
      <w:r>
        <w:rPr/>
        <w:t>一天之内的平均温度差</w:t>
      </w:r>
      <w:r>
        <w:rPr>
          <w:rFonts w:ascii="Times New Roman" w:hAnsi="Times New Roman" w:eastAsia="Times New Roman"/>
        </w:rPr>
        <w:t>(℃)</w:t>
      </w:r>
    </w:p>
    <w:p>
      <w:pPr>
        <w:pStyle w:val="BodyText"/>
        <w:spacing w:before="160"/>
        <w:ind w:left="698"/>
        <w:rPr>
          <w:rFonts w:ascii="Times New Roman" w:hAnsi="Times New Roman" w:eastAsia="Times New Roman"/>
        </w:rPr>
      </w:pPr>
      <w:r>
        <w:rPr>
          <w:rFonts w:ascii="Times New Roman" w:hAnsi="Times New Roman" w:eastAsia="Times New Roman"/>
        </w:rPr>
        <w:t>FP—</w:t>
      </w:r>
      <w:r>
        <w:rPr/>
        <w:t>涂层因子</w:t>
      </w:r>
      <w:r>
        <w:rPr>
          <w:rFonts w:ascii="Times New Roman" w:hAnsi="Times New Roman" w:eastAsia="Times New Roman"/>
        </w:rPr>
        <w:t>(</w:t>
      </w:r>
      <w:r>
        <w:rPr/>
        <w:t>无量纲</w:t>
      </w:r>
      <w:r>
        <w:rPr>
          <w:rFonts w:ascii="Times New Roman" w:hAnsi="Times New Roman" w:eastAsia="Times New Roman"/>
        </w:rPr>
        <w:t>)</w:t>
      </w:r>
      <w:r>
        <w:rPr/>
        <w:t>，根据油漆状况取值在 </w:t>
      </w:r>
      <w:r>
        <w:rPr>
          <w:rFonts w:ascii="Times New Roman" w:hAnsi="Times New Roman" w:eastAsia="Times New Roman"/>
        </w:rPr>
        <w:t>1~1.5 </w:t>
      </w:r>
      <w:r>
        <w:rPr/>
        <w:t>之间</w:t>
      </w:r>
      <w:r>
        <w:rPr>
          <w:rFonts w:ascii="Times New Roman" w:hAnsi="Times New Roman" w:eastAsia="Times New Roman"/>
        </w:rPr>
        <w:t>;</w:t>
      </w:r>
    </w:p>
    <w:p>
      <w:pPr>
        <w:pStyle w:val="BodyText"/>
        <w:spacing w:before="158"/>
        <w:ind w:left="698"/>
      </w:pPr>
      <w:r>
        <w:rPr>
          <w:rFonts w:ascii="Times New Roman" w:hAnsi="Times New Roman" w:eastAsia="Times New Roman"/>
        </w:rPr>
        <w:t>C— </w:t>
      </w:r>
      <w:r>
        <w:rPr>
          <w:spacing w:val="47"/>
        </w:rPr>
        <w:t>用于小直径罐的调节因子</w:t>
      </w:r>
      <w:r>
        <w:rPr/>
        <w:t>（</w:t>
      </w:r>
      <w:r>
        <w:rPr>
          <w:spacing w:val="18"/>
        </w:rPr>
        <w:t> 无量纲</w:t>
      </w:r>
      <w:r>
        <w:rPr/>
        <w:t>）</w:t>
      </w:r>
      <w:r>
        <w:rPr>
          <w:spacing w:val="-71"/>
        </w:rPr>
        <w:t> </w:t>
      </w:r>
      <w:r>
        <w:rPr>
          <w:rFonts w:ascii="Times New Roman" w:hAnsi="Times New Roman" w:eastAsia="Times New Roman"/>
          <w:spacing w:val="-5"/>
        </w:rPr>
        <w:t>; </w:t>
      </w:r>
      <w:r>
        <w:rPr>
          <w:spacing w:val="36"/>
        </w:rPr>
        <w:t>直径在 </w:t>
      </w:r>
      <w:r>
        <w:rPr>
          <w:rFonts w:ascii="Times New Roman" w:hAnsi="Times New Roman" w:eastAsia="Times New Roman"/>
        </w:rPr>
        <w:t>0~9m </w:t>
      </w:r>
      <w:r>
        <w:rPr>
          <w:spacing w:val="39"/>
        </w:rPr>
        <w:t>之间的罐体，</w:t>
      </w:r>
    </w:p>
    <w:p>
      <w:pPr>
        <w:pStyle w:val="BodyText"/>
        <w:spacing w:before="161"/>
        <w:ind w:left="218"/>
        <w:rPr>
          <w:rFonts w:ascii="Times New Roman" w:eastAsia="Times New Roman"/>
        </w:rPr>
      </w:pPr>
      <w:r>
        <w:rPr>
          <w:rFonts w:ascii="Times New Roman" w:eastAsia="Times New Roman"/>
        </w:rPr>
        <w:t>C=1-0.0123(D-9)</w:t>
      </w:r>
      <w:r>
        <w:rPr>
          <w:rFonts w:ascii="Times New Roman" w:eastAsia="Times New Roman"/>
          <w:position w:val="9"/>
          <w:sz w:val="16"/>
        </w:rPr>
        <w:t>2</w:t>
      </w:r>
      <w:r>
        <w:rPr/>
        <w:t>，罐径大于 </w:t>
      </w:r>
      <w:r>
        <w:rPr>
          <w:rFonts w:ascii="Times New Roman" w:eastAsia="Times New Roman"/>
        </w:rPr>
        <w:t>9m </w:t>
      </w:r>
      <w:r>
        <w:rPr/>
        <w:t>的 </w:t>
      </w:r>
      <w:r>
        <w:rPr>
          <w:rFonts w:ascii="Times New Roman" w:eastAsia="Times New Roman"/>
        </w:rPr>
        <w:t>C=1;</w:t>
      </w:r>
    </w:p>
    <w:p>
      <w:pPr>
        <w:pStyle w:val="BodyText"/>
        <w:spacing w:before="158"/>
        <w:ind w:left="698"/>
      </w:pPr>
      <w:r>
        <w:rPr>
          <w:rFonts w:ascii="Times New Roman" w:hAnsi="Times New Roman" w:eastAsia="Times New Roman"/>
        </w:rPr>
        <w:t>KC—</w:t>
      </w:r>
      <w:r>
        <w:rPr/>
        <w:t>产品因子（石油原油 </w:t>
      </w:r>
      <w:r>
        <w:rPr>
          <w:rFonts w:ascii="Times New Roman" w:hAnsi="Times New Roman" w:eastAsia="Times New Roman"/>
        </w:rPr>
        <w:t>KC </w:t>
      </w:r>
      <w:r>
        <w:rPr/>
        <w:t>取 </w:t>
      </w:r>
      <w:r>
        <w:rPr>
          <w:rFonts w:ascii="Times New Roman" w:hAnsi="Times New Roman" w:eastAsia="Times New Roman"/>
        </w:rPr>
        <w:t>0.65</w:t>
      </w:r>
      <w:r>
        <w:rPr/>
        <w:t>，其他的有机液体取 </w:t>
      </w:r>
      <w:r>
        <w:rPr>
          <w:rFonts w:ascii="Times New Roman" w:hAnsi="Times New Roman" w:eastAsia="Times New Roman"/>
        </w:rPr>
        <w:t>1.0)</w:t>
      </w:r>
      <w:r>
        <w:rPr/>
        <w:t>。</w:t>
      </w:r>
    </w:p>
    <w:p>
      <w:pPr>
        <w:pStyle w:val="BodyText"/>
        <w:spacing w:before="7"/>
        <w:rPr>
          <w:sz w:val="23"/>
        </w:rPr>
      </w:pPr>
    </w:p>
    <w:p>
      <w:pPr>
        <w:pStyle w:val="Heading4"/>
        <w:tabs>
          <w:tab w:pos="1341" w:val="left" w:leader="none"/>
        </w:tabs>
        <w:spacing w:after="29"/>
        <w:ind w:left="0" w:right="16"/>
        <w:jc w:val="center"/>
      </w:pPr>
      <w:r>
        <w:rPr/>
        <w:t>表</w:t>
      </w:r>
      <w:r>
        <w:rPr>
          <w:spacing w:val="-60"/>
        </w:rPr>
        <w:t> </w:t>
      </w:r>
      <w:r>
        <w:rPr>
          <w:rFonts w:ascii="Times New Roman" w:eastAsia="Times New Roman"/>
        </w:rPr>
        <w:t>4.2.3-2</w:t>
        <w:tab/>
      </w:r>
      <w:r>
        <w:rPr/>
        <w:t>项目储罐废气小呼吸损耗参数选定和计算结果一览表</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1"/>
        <w:gridCol w:w="903"/>
        <w:gridCol w:w="565"/>
        <w:gridCol w:w="572"/>
        <w:gridCol w:w="611"/>
        <w:gridCol w:w="423"/>
        <w:gridCol w:w="423"/>
        <w:gridCol w:w="421"/>
        <w:gridCol w:w="426"/>
        <w:gridCol w:w="445"/>
        <w:gridCol w:w="532"/>
        <w:gridCol w:w="632"/>
        <w:gridCol w:w="668"/>
        <w:gridCol w:w="682"/>
        <w:gridCol w:w="1436"/>
      </w:tblGrid>
      <w:tr>
        <w:trPr>
          <w:trHeight w:val="270" w:hRule="atLeast"/>
        </w:trPr>
        <w:tc>
          <w:tcPr>
            <w:tcW w:w="401" w:type="dxa"/>
            <w:vMerge w:val="restart"/>
          </w:tcPr>
          <w:p>
            <w:pPr>
              <w:pStyle w:val="TableParagraph"/>
              <w:spacing w:line="270" w:lineRule="atLeast" w:before="5"/>
              <w:ind w:left="93" w:right="84"/>
              <w:jc w:val="left"/>
              <w:rPr>
                <w:b/>
                <w:sz w:val="21"/>
              </w:rPr>
            </w:pPr>
            <w:r>
              <w:rPr>
                <w:b/>
                <w:sz w:val="21"/>
              </w:rPr>
              <w:t>序号</w:t>
            </w:r>
          </w:p>
        </w:tc>
        <w:tc>
          <w:tcPr>
            <w:tcW w:w="903" w:type="dxa"/>
            <w:vMerge w:val="restart"/>
          </w:tcPr>
          <w:p>
            <w:pPr>
              <w:pStyle w:val="TableParagraph"/>
              <w:spacing w:before="142"/>
              <w:ind w:left="28"/>
              <w:jc w:val="left"/>
              <w:rPr>
                <w:b/>
                <w:sz w:val="21"/>
              </w:rPr>
            </w:pPr>
            <w:r>
              <w:rPr>
                <w:b/>
                <w:sz w:val="21"/>
              </w:rPr>
              <w:t>物料名称</w:t>
            </w:r>
          </w:p>
        </w:tc>
        <w:tc>
          <w:tcPr>
            <w:tcW w:w="3886" w:type="dxa"/>
            <w:gridSpan w:val="8"/>
            <w:tcBorders>
              <w:right w:val="single" w:sz="2" w:space="0" w:color="000000"/>
            </w:tcBorders>
          </w:tcPr>
          <w:p>
            <w:pPr>
              <w:pStyle w:val="TableParagraph"/>
              <w:spacing w:line="250" w:lineRule="exact" w:before="1"/>
              <w:ind w:left="1497" w:right="1498"/>
              <w:rPr>
                <w:b/>
                <w:sz w:val="21"/>
              </w:rPr>
            </w:pPr>
            <w:r>
              <w:rPr>
                <w:b/>
                <w:sz w:val="21"/>
              </w:rPr>
              <w:t>参数选取</w:t>
            </w:r>
          </w:p>
        </w:tc>
        <w:tc>
          <w:tcPr>
            <w:tcW w:w="1164" w:type="dxa"/>
            <w:gridSpan w:val="2"/>
            <w:tcBorders>
              <w:left w:val="single" w:sz="2" w:space="0" w:color="000000"/>
              <w:right w:val="single" w:sz="2" w:space="0" w:color="000000"/>
            </w:tcBorders>
          </w:tcPr>
          <w:p>
            <w:pPr>
              <w:pStyle w:val="TableParagraph"/>
              <w:spacing w:line="250" w:lineRule="exact" w:before="1"/>
              <w:ind w:left="155"/>
              <w:jc w:val="left"/>
              <w:rPr>
                <w:b/>
                <w:sz w:val="21"/>
              </w:rPr>
            </w:pPr>
            <w:r>
              <w:rPr>
                <w:b/>
                <w:sz w:val="21"/>
              </w:rPr>
              <w:t>产生情况</w:t>
            </w:r>
          </w:p>
        </w:tc>
        <w:tc>
          <w:tcPr>
            <w:tcW w:w="1350" w:type="dxa"/>
            <w:gridSpan w:val="2"/>
            <w:tcBorders>
              <w:left w:val="single" w:sz="2" w:space="0" w:color="000000"/>
            </w:tcBorders>
          </w:tcPr>
          <w:p>
            <w:pPr>
              <w:pStyle w:val="TableParagraph"/>
              <w:spacing w:line="250" w:lineRule="exact" w:before="1"/>
              <w:ind w:left="244"/>
              <w:jc w:val="left"/>
              <w:rPr>
                <w:b/>
                <w:sz w:val="21"/>
              </w:rPr>
            </w:pPr>
            <w:r>
              <w:rPr>
                <w:b/>
                <w:sz w:val="21"/>
              </w:rPr>
              <w:t>排放情况</w:t>
            </w:r>
          </w:p>
        </w:tc>
        <w:tc>
          <w:tcPr>
            <w:tcW w:w="1436" w:type="dxa"/>
            <w:vMerge w:val="restart"/>
          </w:tcPr>
          <w:p>
            <w:pPr>
              <w:pStyle w:val="TableParagraph"/>
              <w:spacing w:before="142"/>
              <w:ind w:left="72"/>
              <w:jc w:val="left"/>
              <w:rPr>
                <w:b/>
                <w:sz w:val="21"/>
              </w:rPr>
            </w:pPr>
            <w:r>
              <w:rPr>
                <w:b/>
                <w:sz w:val="21"/>
              </w:rPr>
              <w:t>废气处理措施</w:t>
            </w:r>
          </w:p>
        </w:tc>
      </w:tr>
      <w:tr>
        <w:trPr>
          <w:trHeight w:val="273" w:hRule="atLeast"/>
        </w:trPr>
        <w:tc>
          <w:tcPr>
            <w:tcW w:w="401" w:type="dxa"/>
            <w:vMerge/>
            <w:tcBorders>
              <w:top w:val="nil"/>
            </w:tcBorders>
          </w:tcPr>
          <w:p>
            <w:pPr>
              <w:rPr>
                <w:sz w:val="2"/>
                <w:szCs w:val="2"/>
              </w:rPr>
            </w:pPr>
          </w:p>
        </w:tc>
        <w:tc>
          <w:tcPr>
            <w:tcW w:w="903" w:type="dxa"/>
            <w:vMerge/>
            <w:tcBorders>
              <w:top w:val="nil"/>
            </w:tcBorders>
          </w:tcPr>
          <w:p>
            <w:pPr>
              <w:rPr>
                <w:sz w:val="2"/>
                <w:szCs w:val="2"/>
              </w:rPr>
            </w:pPr>
          </w:p>
        </w:tc>
        <w:tc>
          <w:tcPr>
            <w:tcW w:w="565" w:type="dxa"/>
          </w:tcPr>
          <w:p>
            <w:pPr>
              <w:pStyle w:val="TableParagraph"/>
              <w:spacing w:line="236" w:lineRule="exact" w:before="17"/>
              <w:ind w:left="178"/>
              <w:jc w:val="left"/>
              <w:rPr>
                <w:rFonts w:ascii="Times New Roman"/>
                <w:b/>
                <w:sz w:val="21"/>
              </w:rPr>
            </w:pPr>
            <w:r>
              <w:rPr>
                <w:rFonts w:ascii="Times New Roman"/>
                <w:b/>
                <w:w w:val="100"/>
                <w:sz w:val="21"/>
              </w:rPr>
              <w:t>M</w:t>
            </w:r>
          </w:p>
        </w:tc>
        <w:tc>
          <w:tcPr>
            <w:tcW w:w="572" w:type="dxa"/>
          </w:tcPr>
          <w:p>
            <w:pPr>
              <w:pStyle w:val="TableParagraph"/>
              <w:spacing w:line="236" w:lineRule="exact" w:before="17"/>
              <w:ind w:left="4"/>
              <w:rPr>
                <w:rFonts w:ascii="Times New Roman"/>
                <w:b/>
                <w:sz w:val="21"/>
              </w:rPr>
            </w:pPr>
            <w:r>
              <w:rPr>
                <w:rFonts w:ascii="Times New Roman"/>
                <w:b/>
                <w:w w:val="100"/>
                <w:sz w:val="21"/>
              </w:rPr>
              <w:t>P</w:t>
            </w:r>
          </w:p>
        </w:tc>
        <w:tc>
          <w:tcPr>
            <w:tcW w:w="611" w:type="dxa"/>
            <w:tcBorders>
              <w:right w:val="single" w:sz="2" w:space="0" w:color="000000"/>
            </w:tcBorders>
          </w:tcPr>
          <w:p>
            <w:pPr>
              <w:pStyle w:val="TableParagraph"/>
              <w:spacing w:line="236" w:lineRule="exact" w:before="17"/>
              <w:rPr>
                <w:rFonts w:ascii="Times New Roman"/>
                <w:b/>
                <w:sz w:val="21"/>
              </w:rPr>
            </w:pPr>
            <w:r>
              <w:rPr>
                <w:rFonts w:ascii="Times New Roman"/>
                <w:b/>
                <w:w w:val="100"/>
                <w:sz w:val="21"/>
              </w:rPr>
              <w:t>D</w:t>
            </w:r>
          </w:p>
        </w:tc>
        <w:tc>
          <w:tcPr>
            <w:tcW w:w="423" w:type="dxa"/>
            <w:tcBorders>
              <w:left w:val="single" w:sz="2" w:space="0" w:color="000000"/>
              <w:right w:val="single" w:sz="2" w:space="0" w:color="000000"/>
            </w:tcBorders>
          </w:tcPr>
          <w:p>
            <w:pPr>
              <w:pStyle w:val="TableParagraph"/>
              <w:spacing w:line="236" w:lineRule="exact" w:before="17"/>
              <w:ind w:right="125"/>
              <w:jc w:val="right"/>
              <w:rPr>
                <w:rFonts w:ascii="Times New Roman"/>
                <w:b/>
                <w:sz w:val="21"/>
              </w:rPr>
            </w:pPr>
            <w:r>
              <w:rPr>
                <w:rFonts w:ascii="Times New Roman"/>
                <w:b/>
                <w:w w:val="100"/>
                <w:sz w:val="21"/>
              </w:rPr>
              <w:t>H</w:t>
            </w:r>
          </w:p>
        </w:tc>
        <w:tc>
          <w:tcPr>
            <w:tcW w:w="423" w:type="dxa"/>
            <w:tcBorders>
              <w:left w:val="single" w:sz="2" w:space="0" w:color="000000"/>
              <w:right w:val="single" w:sz="2" w:space="0" w:color="000000"/>
            </w:tcBorders>
          </w:tcPr>
          <w:p>
            <w:pPr>
              <w:pStyle w:val="TableParagraph"/>
              <w:spacing w:line="250" w:lineRule="exact" w:before="4"/>
              <w:ind w:left="13" w:right="13"/>
              <w:rPr>
                <w:rFonts w:ascii="Times New Roman" w:hAnsi="Times New Roman"/>
                <w:b/>
                <w:sz w:val="21"/>
              </w:rPr>
            </w:pPr>
            <w:r>
              <w:rPr>
                <w:b/>
                <w:sz w:val="21"/>
              </w:rPr>
              <w:t>△</w:t>
            </w:r>
            <w:r>
              <w:rPr>
                <w:rFonts w:ascii="Times New Roman" w:hAnsi="Times New Roman"/>
                <w:b/>
                <w:sz w:val="21"/>
              </w:rPr>
              <w:t>T</w:t>
            </w:r>
          </w:p>
        </w:tc>
        <w:tc>
          <w:tcPr>
            <w:tcW w:w="421" w:type="dxa"/>
            <w:tcBorders>
              <w:left w:val="single" w:sz="2" w:space="0" w:color="000000"/>
              <w:right w:val="single" w:sz="2" w:space="0" w:color="000000"/>
            </w:tcBorders>
          </w:tcPr>
          <w:p>
            <w:pPr>
              <w:pStyle w:val="TableParagraph"/>
              <w:spacing w:line="237" w:lineRule="exact" w:before="17"/>
              <w:ind w:left="81" w:right="81"/>
              <w:rPr>
                <w:rFonts w:ascii="Times New Roman"/>
                <w:b/>
                <w:sz w:val="14"/>
              </w:rPr>
            </w:pPr>
            <w:r>
              <w:rPr>
                <w:rFonts w:ascii="Times New Roman"/>
                <w:b/>
                <w:position w:val="2"/>
                <w:sz w:val="21"/>
              </w:rPr>
              <w:t>F</w:t>
            </w:r>
            <w:r>
              <w:rPr>
                <w:rFonts w:ascii="Times New Roman"/>
                <w:b/>
                <w:sz w:val="14"/>
              </w:rPr>
              <w:t>P</w:t>
            </w:r>
          </w:p>
        </w:tc>
        <w:tc>
          <w:tcPr>
            <w:tcW w:w="426" w:type="dxa"/>
            <w:tcBorders>
              <w:left w:val="single" w:sz="2" w:space="0" w:color="000000"/>
              <w:right w:val="single" w:sz="2" w:space="0" w:color="000000"/>
            </w:tcBorders>
          </w:tcPr>
          <w:p>
            <w:pPr>
              <w:pStyle w:val="TableParagraph"/>
              <w:spacing w:line="236" w:lineRule="exact" w:before="17"/>
              <w:ind w:right="1"/>
              <w:rPr>
                <w:rFonts w:ascii="Times New Roman"/>
                <w:b/>
                <w:sz w:val="21"/>
              </w:rPr>
            </w:pPr>
            <w:r>
              <w:rPr>
                <w:rFonts w:ascii="Times New Roman"/>
                <w:b/>
                <w:w w:val="100"/>
                <w:sz w:val="21"/>
              </w:rPr>
              <w:t>C</w:t>
            </w:r>
          </w:p>
        </w:tc>
        <w:tc>
          <w:tcPr>
            <w:tcW w:w="445" w:type="dxa"/>
            <w:tcBorders>
              <w:left w:val="single" w:sz="2" w:space="0" w:color="000000"/>
              <w:right w:val="single" w:sz="2" w:space="0" w:color="000000"/>
            </w:tcBorders>
          </w:tcPr>
          <w:p>
            <w:pPr>
              <w:pStyle w:val="TableParagraph"/>
              <w:spacing w:line="237" w:lineRule="exact" w:before="17"/>
              <w:ind w:left="67" w:right="68"/>
              <w:rPr>
                <w:rFonts w:ascii="Times New Roman"/>
                <w:b/>
                <w:sz w:val="14"/>
              </w:rPr>
            </w:pPr>
            <w:r>
              <w:rPr>
                <w:rFonts w:ascii="Times New Roman"/>
                <w:b/>
                <w:position w:val="2"/>
                <w:sz w:val="21"/>
              </w:rPr>
              <w:t>K</w:t>
            </w:r>
            <w:r>
              <w:rPr>
                <w:rFonts w:ascii="Times New Roman"/>
                <w:b/>
                <w:sz w:val="14"/>
              </w:rPr>
              <w:t>C</w:t>
            </w:r>
          </w:p>
        </w:tc>
        <w:tc>
          <w:tcPr>
            <w:tcW w:w="532" w:type="dxa"/>
            <w:tcBorders>
              <w:left w:val="single" w:sz="2" w:space="0" w:color="000000"/>
              <w:right w:val="single" w:sz="2" w:space="0" w:color="000000"/>
            </w:tcBorders>
          </w:tcPr>
          <w:p>
            <w:pPr>
              <w:pStyle w:val="TableParagraph"/>
              <w:spacing w:line="236" w:lineRule="exact" w:before="17"/>
              <w:ind w:left="3" w:right="8"/>
              <w:rPr>
                <w:rFonts w:ascii="Times New Roman"/>
                <w:b/>
                <w:sz w:val="21"/>
              </w:rPr>
            </w:pPr>
            <w:r>
              <w:rPr>
                <w:rFonts w:ascii="Times New Roman"/>
                <w:b/>
                <w:sz w:val="21"/>
              </w:rPr>
              <w:t>T/a</w:t>
            </w:r>
          </w:p>
        </w:tc>
        <w:tc>
          <w:tcPr>
            <w:tcW w:w="632" w:type="dxa"/>
            <w:tcBorders>
              <w:left w:val="single" w:sz="2" w:space="0" w:color="000000"/>
              <w:right w:val="single" w:sz="2" w:space="0" w:color="000000"/>
            </w:tcBorders>
          </w:tcPr>
          <w:p>
            <w:pPr>
              <w:pStyle w:val="TableParagraph"/>
              <w:spacing w:line="236" w:lineRule="exact" w:before="17"/>
              <w:ind w:left="84"/>
              <w:jc w:val="left"/>
              <w:rPr>
                <w:rFonts w:ascii="Times New Roman"/>
                <w:b/>
                <w:sz w:val="21"/>
              </w:rPr>
            </w:pPr>
            <w:r>
              <w:rPr>
                <w:rFonts w:ascii="Times New Roman"/>
                <w:b/>
                <w:sz w:val="21"/>
              </w:rPr>
              <w:t>Kg/h</w:t>
            </w:r>
          </w:p>
        </w:tc>
        <w:tc>
          <w:tcPr>
            <w:tcW w:w="668" w:type="dxa"/>
            <w:tcBorders>
              <w:left w:val="single" w:sz="2" w:space="0" w:color="000000"/>
              <w:right w:val="single" w:sz="2" w:space="0" w:color="000000"/>
            </w:tcBorders>
          </w:tcPr>
          <w:p>
            <w:pPr>
              <w:pStyle w:val="TableParagraph"/>
              <w:spacing w:line="236" w:lineRule="exact" w:before="17"/>
              <w:ind w:left="71" w:right="77"/>
              <w:rPr>
                <w:rFonts w:ascii="Times New Roman"/>
                <w:b/>
                <w:sz w:val="21"/>
              </w:rPr>
            </w:pPr>
            <w:r>
              <w:rPr>
                <w:rFonts w:ascii="Times New Roman"/>
                <w:b/>
                <w:sz w:val="21"/>
              </w:rPr>
              <w:t>T/a</w:t>
            </w:r>
          </w:p>
        </w:tc>
        <w:tc>
          <w:tcPr>
            <w:tcW w:w="682" w:type="dxa"/>
            <w:tcBorders>
              <w:left w:val="single" w:sz="2" w:space="0" w:color="000000"/>
            </w:tcBorders>
          </w:tcPr>
          <w:p>
            <w:pPr>
              <w:pStyle w:val="TableParagraph"/>
              <w:spacing w:line="236" w:lineRule="exact" w:before="17"/>
              <w:ind w:left="106"/>
              <w:jc w:val="left"/>
              <w:rPr>
                <w:rFonts w:ascii="Times New Roman"/>
                <w:b/>
                <w:sz w:val="21"/>
              </w:rPr>
            </w:pPr>
            <w:r>
              <w:rPr>
                <w:rFonts w:ascii="Times New Roman"/>
                <w:b/>
                <w:sz w:val="21"/>
              </w:rPr>
              <w:t>Kg/h</w:t>
            </w:r>
          </w:p>
        </w:tc>
        <w:tc>
          <w:tcPr>
            <w:tcW w:w="1436" w:type="dxa"/>
            <w:vMerge/>
            <w:tcBorders>
              <w:top w:val="nil"/>
            </w:tcBorders>
          </w:tcPr>
          <w:p>
            <w:pPr>
              <w:rPr>
                <w:sz w:val="2"/>
                <w:szCs w:val="2"/>
              </w:rPr>
            </w:pPr>
          </w:p>
        </w:tc>
      </w:tr>
      <w:tr>
        <w:trPr>
          <w:trHeight w:val="719" w:hRule="atLeast"/>
        </w:trPr>
        <w:tc>
          <w:tcPr>
            <w:tcW w:w="401" w:type="dxa"/>
          </w:tcPr>
          <w:p>
            <w:pPr>
              <w:pStyle w:val="TableParagraph"/>
              <w:spacing w:before="9"/>
              <w:jc w:val="left"/>
              <w:rPr>
                <w:b/>
                <w:sz w:val="18"/>
              </w:rPr>
            </w:pPr>
          </w:p>
          <w:p>
            <w:pPr>
              <w:pStyle w:val="TableParagraph"/>
              <w:spacing w:before="1"/>
              <w:ind w:left="7"/>
              <w:rPr>
                <w:rFonts w:ascii="Times New Roman"/>
                <w:sz w:val="21"/>
              </w:rPr>
            </w:pPr>
            <w:r>
              <w:rPr>
                <w:rFonts w:ascii="Times New Roman"/>
                <w:w w:val="100"/>
                <w:sz w:val="21"/>
              </w:rPr>
              <w:t>1</w:t>
            </w:r>
          </w:p>
        </w:tc>
        <w:tc>
          <w:tcPr>
            <w:tcW w:w="903" w:type="dxa"/>
          </w:tcPr>
          <w:p>
            <w:pPr>
              <w:pStyle w:val="TableParagraph"/>
              <w:spacing w:before="8"/>
              <w:jc w:val="left"/>
              <w:rPr>
                <w:b/>
                <w:sz w:val="17"/>
              </w:rPr>
            </w:pPr>
          </w:p>
          <w:p>
            <w:pPr>
              <w:pStyle w:val="TableParagraph"/>
              <w:ind w:left="239"/>
              <w:jc w:val="left"/>
              <w:rPr>
                <w:sz w:val="21"/>
              </w:rPr>
            </w:pPr>
            <w:r>
              <w:rPr>
                <w:sz w:val="21"/>
              </w:rPr>
              <w:t>甲酸</w:t>
            </w:r>
          </w:p>
        </w:tc>
        <w:tc>
          <w:tcPr>
            <w:tcW w:w="565" w:type="dxa"/>
          </w:tcPr>
          <w:p>
            <w:pPr>
              <w:pStyle w:val="TableParagraph"/>
              <w:spacing w:before="9"/>
              <w:jc w:val="left"/>
              <w:rPr>
                <w:b/>
                <w:sz w:val="18"/>
              </w:rPr>
            </w:pPr>
          </w:p>
          <w:p>
            <w:pPr>
              <w:pStyle w:val="TableParagraph"/>
              <w:spacing w:before="1"/>
              <w:ind w:left="174"/>
              <w:jc w:val="left"/>
              <w:rPr>
                <w:rFonts w:ascii="Times New Roman"/>
                <w:sz w:val="21"/>
              </w:rPr>
            </w:pPr>
            <w:r>
              <w:rPr>
                <w:rFonts w:ascii="Times New Roman"/>
                <w:sz w:val="21"/>
              </w:rPr>
              <w:t>46</w:t>
            </w:r>
          </w:p>
        </w:tc>
        <w:tc>
          <w:tcPr>
            <w:tcW w:w="572" w:type="dxa"/>
          </w:tcPr>
          <w:p>
            <w:pPr>
              <w:pStyle w:val="TableParagraph"/>
              <w:spacing w:before="9"/>
              <w:jc w:val="left"/>
              <w:rPr>
                <w:b/>
                <w:sz w:val="18"/>
              </w:rPr>
            </w:pPr>
          </w:p>
          <w:p>
            <w:pPr>
              <w:pStyle w:val="TableParagraph"/>
              <w:spacing w:before="1"/>
              <w:ind w:left="53" w:right="48"/>
              <w:rPr>
                <w:rFonts w:ascii="Times New Roman"/>
                <w:sz w:val="21"/>
              </w:rPr>
            </w:pPr>
            <w:r>
              <w:rPr>
                <w:rFonts w:ascii="Times New Roman"/>
                <w:sz w:val="21"/>
              </w:rPr>
              <w:t>5330</w:t>
            </w:r>
          </w:p>
        </w:tc>
        <w:tc>
          <w:tcPr>
            <w:tcW w:w="611" w:type="dxa"/>
            <w:tcBorders>
              <w:right w:val="single" w:sz="2" w:space="0" w:color="000000"/>
            </w:tcBorders>
          </w:tcPr>
          <w:p>
            <w:pPr>
              <w:pStyle w:val="TableParagraph"/>
              <w:spacing w:before="9"/>
              <w:jc w:val="left"/>
              <w:rPr>
                <w:b/>
                <w:sz w:val="18"/>
              </w:rPr>
            </w:pPr>
          </w:p>
          <w:p>
            <w:pPr>
              <w:pStyle w:val="TableParagraph"/>
              <w:spacing w:before="1"/>
              <w:ind w:left="151" w:right="150"/>
              <w:rPr>
                <w:rFonts w:ascii="Times New Roman"/>
                <w:sz w:val="21"/>
              </w:rPr>
            </w:pPr>
            <w:r>
              <w:rPr>
                <w:rFonts w:ascii="Times New Roman"/>
                <w:sz w:val="21"/>
              </w:rPr>
              <w:t>4.8</w:t>
            </w:r>
          </w:p>
        </w:tc>
        <w:tc>
          <w:tcPr>
            <w:tcW w:w="423"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right="73"/>
              <w:jc w:val="right"/>
              <w:rPr>
                <w:rFonts w:ascii="Times New Roman"/>
                <w:sz w:val="21"/>
              </w:rPr>
            </w:pPr>
            <w:r>
              <w:rPr>
                <w:rFonts w:ascii="Times New Roman"/>
                <w:sz w:val="21"/>
              </w:rPr>
              <w:t>5.5</w:t>
            </w:r>
          </w:p>
        </w:tc>
        <w:tc>
          <w:tcPr>
            <w:tcW w:w="423"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left="12" w:right="13"/>
              <w:rPr>
                <w:rFonts w:ascii="Times New Roman"/>
                <w:sz w:val="21"/>
              </w:rPr>
            </w:pPr>
            <w:r>
              <w:rPr>
                <w:rFonts w:ascii="Times New Roman"/>
                <w:sz w:val="21"/>
              </w:rPr>
              <w:t>10</w:t>
            </w:r>
          </w:p>
        </w:tc>
        <w:tc>
          <w:tcPr>
            <w:tcW w:w="421"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right="1"/>
              <w:rPr>
                <w:rFonts w:ascii="Times New Roman"/>
                <w:sz w:val="21"/>
              </w:rPr>
            </w:pPr>
            <w:r>
              <w:rPr>
                <w:rFonts w:ascii="Times New Roman"/>
                <w:w w:val="100"/>
                <w:sz w:val="21"/>
              </w:rPr>
              <w:t>1</w:t>
            </w:r>
          </w:p>
        </w:tc>
        <w:tc>
          <w:tcPr>
            <w:tcW w:w="426"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left="6" w:right="6"/>
              <w:rPr>
                <w:rFonts w:ascii="Times New Roman"/>
                <w:sz w:val="21"/>
              </w:rPr>
            </w:pPr>
            <w:r>
              <w:rPr>
                <w:rFonts w:ascii="Times New Roman"/>
                <w:sz w:val="21"/>
              </w:rPr>
              <w:t>0.78</w:t>
            </w:r>
          </w:p>
        </w:tc>
        <w:tc>
          <w:tcPr>
            <w:tcW w:w="445" w:type="dxa"/>
            <w:tcBorders>
              <w:left w:val="single" w:sz="2" w:space="0" w:color="000000"/>
              <w:right w:val="single" w:sz="2" w:space="0" w:color="000000"/>
            </w:tcBorders>
          </w:tcPr>
          <w:p>
            <w:pPr>
              <w:pStyle w:val="TableParagraph"/>
              <w:spacing w:before="9"/>
              <w:jc w:val="left"/>
              <w:rPr>
                <w:b/>
                <w:sz w:val="18"/>
              </w:rPr>
            </w:pPr>
          </w:p>
          <w:p>
            <w:pPr>
              <w:pStyle w:val="TableParagraph"/>
              <w:spacing w:before="1"/>
              <w:rPr>
                <w:rFonts w:ascii="Times New Roman"/>
                <w:sz w:val="21"/>
              </w:rPr>
            </w:pPr>
            <w:r>
              <w:rPr>
                <w:rFonts w:ascii="Times New Roman"/>
                <w:w w:val="100"/>
                <w:sz w:val="21"/>
              </w:rPr>
              <w:t>1</w:t>
            </w:r>
          </w:p>
        </w:tc>
        <w:tc>
          <w:tcPr>
            <w:tcW w:w="532"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left="6" w:right="8"/>
              <w:rPr>
                <w:rFonts w:ascii="Times New Roman"/>
                <w:sz w:val="21"/>
              </w:rPr>
            </w:pPr>
            <w:r>
              <w:rPr>
                <w:rFonts w:ascii="Times New Roman"/>
                <w:sz w:val="21"/>
              </w:rPr>
              <w:t>0.095</w:t>
            </w:r>
          </w:p>
        </w:tc>
        <w:tc>
          <w:tcPr>
            <w:tcW w:w="632"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left="70"/>
              <w:jc w:val="left"/>
              <w:rPr>
                <w:rFonts w:ascii="Times New Roman"/>
                <w:sz w:val="21"/>
              </w:rPr>
            </w:pPr>
            <w:r>
              <w:rPr>
                <w:rFonts w:ascii="Times New Roman"/>
                <w:sz w:val="21"/>
              </w:rPr>
              <w:t>0.013</w:t>
            </w:r>
          </w:p>
        </w:tc>
        <w:tc>
          <w:tcPr>
            <w:tcW w:w="668" w:type="dxa"/>
            <w:tcBorders>
              <w:left w:val="single" w:sz="2" w:space="0" w:color="000000"/>
              <w:right w:val="single" w:sz="2" w:space="0" w:color="000000"/>
            </w:tcBorders>
          </w:tcPr>
          <w:p>
            <w:pPr>
              <w:pStyle w:val="TableParagraph"/>
              <w:spacing w:before="9"/>
              <w:jc w:val="left"/>
              <w:rPr>
                <w:b/>
                <w:sz w:val="18"/>
              </w:rPr>
            </w:pPr>
          </w:p>
          <w:p>
            <w:pPr>
              <w:pStyle w:val="TableParagraph"/>
              <w:spacing w:before="1"/>
              <w:ind w:left="71" w:right="79"/>
              <w:rPr>
                <w:rFonts w:ascii="Times New Roman"/>
                <w:sz w:val="21"/>
              </w:rPr>
            </w:pPr>
            <w:r>
              <w:rPr>
                <w:rFonts w:ascii="Times New Roman"/>
                <w:sz w:val="21"/>
              </w:rPr>
              <w:t>0.005</w:t>
            </w:r>
          </w:p>
        </w:tc>
        <w:tc>
          <w:tcPr>
            <w:tcW w:w="682" w:type="dxa"/>
            <w:tcBorders>
              <w:left w:val="single" w:sz="2" w:space="0" w:color="000000"/>
            </w:tcBorders>
          </w:tcPr>
          <w:p>
            <w:pPr>
              <w:pStyle w:val="TableParagraph"/>
              <w:spacing w:before="9"/>
              <w:jc w:val="left"/>
              <w:rPr>
                <w:b/>
                <w:sz w:val="18"/>
              </w:rPr>
            </w:pPr>
          </w:p>
          <w:p>
            <w:pPr>
              <w:pStyle w:val="TableParagraph"/>
              <w:spacing w:before="1"/>
              <w:ind w:left="39"/>
              <w:jc w:val="left"/>
              <w:rPr>
                <w:rFonts w:ascii="Times New Roman"/>
                <w:sz w:val="21"/>
              </w:rPr>
            </w:pPr>
            <w:r>
              <w:rPr>
                <w:rFonts w:ascii="Times New Roman"/>
                <w:sz w:val="21"/>
              </w:rPr>
              <w:t>0.0007</w:t>
            </w:r>
          </w:p>
        </w:tc>
        <w:tc>
          <w:tcPr>
            <w:tcW w:w="1436" w:type="dxa"/>
          </w:tcPr>
          <w:p>
            <w:pPr>
              <w:pStyle w:val="TableParagraph"/>
              <w:spacing w:line="240" w:lineRule="exact"/>
              <w:ind w:left="15" w:right="30" w:firstLine="1"/>
              <w:rPr>
                <w:sz w:val="21"/>
              </w:rPr>
            </w:pPr>
            <w:r>
              <w:rPr>
                <w:sz w:val="21"/>
              </w:rPr>
              <w:t>呼吸阀</w:t>
            </w:r>
            <w:r>
              <w:rPr>
                <w:rFonts w:ascii="Times New Roman" w:eastAsia="Times New Roman"/>
                <w:sz w:val="21"/>
              </w:rPr>
              <w:t>+</w:t>
            </w:r>
            <w:r>
              <w:rPr>
                <w:sz w:val="21"/>
              </w:rPr>
              <w:t>碱封</w:t>
            </w:r>
            <w:r>
              <w:rPr>
                <w:rFonts w:ascii="Times New Roman" w:eastAsia="Times New Roman"/>
                <w:sz w:val="21"/>
              </w:rPr>
              <w:t>+ </w:t>
            </w:r>
            <w:r>
              <w:rPr>
                <w:sz w:val="21"/>
              </w:rPr>
              <w:t>一级氧化</w:t>
            </w:r>
            <w:r>
              <w:rPr>
                <w:rFonts w:ascii="Times New Roman" w:eastAsia="Times New Roman"/>
                <w:sz w:val="21"/>
              </w:rPr>
              <w:t>+</w:t>
            </w:r>
            <w:r>
              <w:rPr>
                <w:sz w:val="21"/>
              </w:rPr>
              <w:t>一级碱喷淋</w:t>
            </w:r>
          </w:p>
        </w:tc>
      </w:tr>
    </w:tbl>
    <w:p>
      <w:pPr>
        <w:spacing w:before="2"/>
        <w:ind w:left="701" w:right="0" w:firstLine="0"/>
        <w:jc w:val="left"/>
        <w:rPr>
          <w:b/>
          <w:sz w:val="24"/>
        </w:rPr>
      </w:pPr>
      <w:r>
        <w:rPr>
          <w:rFonts w:ascii="Times New Roman" w:eastAsia="Times New Roman"/>
          <w:b/>
          <w:sz w:val="24"/>
        </w:rPr>
        <w:t>2</w:t>
      </w:r>
      <w:r>
        <w:rPr>
          <w:b/>
          <w:sz w:val="24"/>
        </w:rPr>
        <w:t>、污水处理废气及危废暂存场所废气</w:t>
      </w:r>
    </w:p>
    <w:p>
      <w:pPr>
        <w:pStyle w:val="BodyText"/>
        <w:spacing w:line="364" w:lineRule="auto" w:before="161"/>
        <w:ind w:left="218" w:right="229" w:firstLine="480"/>
        <w:jc w:val="both"/>
      </w:pPr>
      <w:r>
        <w:rPr>
          <w:spacing w:val="-5"/>
        </w:rPr>
        <w:t>废水站产生恶臭的污染源主要有厌氧池、缺氧池、好氧池、调节池等运行单元，运</w:t>
      </w:r>
      <w:r>
        <w:rPr>
          <w:spacing w:val="-2"/>
        </w:rPr>
        <w:t>行过程中产生的恶臭气体主要为硫化氢、氨等。高浓度废水预处理设施会有少量 </w:t>
      </w:r>
      <w:r>
        <w:rPr>
          <w:rFonts w:ascii="Times New Roman" w:eastAsia="Times New Roman"/>
          <w:spacing w:val="-4"/>
        </w:rPr>
        <w:t>VOCs </w:t>
      </w:r>
      <w:r>
        <w:rPr/>
        <w:t>废气产生，要求将上述池体加盖密闭，废气经收集后接入单独设置的一级氧化</w:t>
      </w:r>
      <w:r>
        <w:rPr>
          <w:rFonts w:ascii="Times New Roman" w:eastAsia="Times New Roman"/>
        </w:rPr>
        <w:t>+</w:t>
      </w:r>
      <w:r>
        <w:rPr>
          <w:spacing w:val="-4"/>
        </w:rPr>
        <w:t>一级碱</w:t>
      </w:r>
      <w:r>
        <w:rPr/>
        <w:t>喷淋后外排。</w:t>
      </w:r>
    </w:p>
    <w:p>
      <w:pPr>
        <w:pStyle w:val="BodyText"/>
        <w:spacing w:line="364" w:lineRule="auto"/>
        <w:ind w:left="218" w:right="234" w:firstLine="480"/>
        <w:jc w:val="both"/>
      </w:pPr>
      <w:r>
        <w:rPr>
          <w:spacing w:val="-4"/>
        </w:rPr>
        <w:t>危废暂存场所废气主要为恶臭及 </w:t>
      </w:r>
      <w:r>
        <w:rPr>
          <w:rFonts w:ascii="Times New Roman" w:eastAsia="Times New Roman"/>
        </w:rPr>
        <w:t>VOCs</w:t>
      </w:r>
      <w:r>
        <w:rPr>
          <w:spacing w:val="-1"/>
        </w:rPr>
        <w:t>，属于间歇排放，定期开启风机接入一级氧</w:t>
      </w:r>
      <w:r>
        <w:rPr/>
        <w:t>化</w:t>
      </w:r>
      <w:r>
        <w:rPr>
          <w:rFonts w:ascii="Times New Roman" w:eastAsia="Times New Roman"/>
        </w:rPr>
        <w:t>+</w:t>
      </w:r>
      <w:r>
        <w:rPr/>
        <w:t>一级碱喷淋后外排。</w:t>
      </w:r>
    </w:p>
    <w:p>
      <w:pPr>
        <w:pStyle w:val="BodyText"/>
        <w:spacing w:line="307" w:lineRule="exact"/>
        <w:ind w:left="698"/>
      </w:pPr>
      <w:r>
        <w:rPr/>
        <w:t>上述废气经处理后排放量都不大，在此不做定量分析。</w:t>
      </w:r>
    </w:p>
    <w:p>
      <w:pPr>
        <w:pStyle w:val="Heading4"/>
        <w:spacing w:before="158"/>
        <w:ind w:left="696"/>
      </w:pPr>
      <w:r>
        <w:rPr>
          <w:rFonts w:ascii="Times New Roman" w:eastAsia="Times New Roman"/>
        </w:rPr>
        <w:t>3</w:t>
      </w:r>
      <w:r>
        <w:rPr/>
        <w:t>、装置无组织废气</w:t>
      </w:r>
    </w:p>
    <w:p>
      <w:pPr>
        <w:pStyle w:val="BodyText"/>
        <w:spacing w:line="364" w:lineRule="auto" w:before="158"/>
        <w:ind w:left="218" w:right="112" w:firstLine="480"/>
      </w:pPr>
      <w:r>
        <w:rPr>
          <w:spacing w:val="-2"/>
        </w:rPr>
        <w:t>本项目在生产过程中由于装备水平原因不可避免会有无组织废气从管道、阀门等连</w:t>
      </w:r>
      <w:r>
        <w:rPr>
          <w:spacing w:val="-15"/>
        </w:rPr>
        <w:t>接处挥发出来，根据装备水平结合原料性质，无组织甲酸废气按周转量的万分之一估算， </w:t>
      </w:r>
      <w:r>
        <w:rPr/>
        <w:t>具体见下表。</w:t>
      </w:r>
    </w:p>
    <w:p>
      <w:pPr>
        <w:spacing w:after="0" w:line="364" w:lineRule="auto"/>
        <w:sectPr>
          <w:pgSz w:w="11910" w:h="16850"/>
          <w:pgMar w:header="872" w:footer="803" w:top="1340" w:bottom="1000" w:left="1200" w:right="1180"/>
        </w:sectPr>
      </w:pPr>
    </w:p>
    <w:p>
      <w:pPr>
        <w:pStyle w:val="BodyText"/>
        <w:spacing w:before="4"/>
        <w:rPr>
          <w:sz w:val="12"/>
        </w:rPr>
      </w:pPr>
    </w:p>
    <w:p>
      <w:pPr>
        <w:pStyle w:val="Heading4"/>
        <w:tabs>
          <w:tab w:pos="1566" w:val="left" w:leader="none"/>
        </w:tabs>
        <w:spacing w:before="74" w:after="3"/>
        <w:ind w:left="344"/>
        <w:jc w:val="center"/>
      </w:pPr>
      <w:r>
        <w:rPr/>
        <w:t>表</w:t>
      </w:r>
      <w:r>
        <w:rPr>
          <w:spacing w:val="-60"/>
        </w:rPr>
        <w:t> </w:t>
      </w:r>
      <w:r>
        <w:rPr>
          <w:rFonts w:ascii="Times New Roman" w:eastAsia="Times New Roman"/>
        </w:rPr>
        <w:t>4.2.3-3</w:t>
        <w:tab/>
      </w:r>
      <w:r>
        <w:rPr/>
        <w:t>装置区无组织废气排放情况</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2494"/>
        <w:gridCol w:w="1428"/>
        <w:gridCol w:w="1070"/>
        <w:gridCol w:w="895"/>
        <w:gridCol w:w="891"/>
        <w:gridCol w:w="1015"/>
      </w:tblGrid>
      <w:tr>
        <w:trPr>
          <w:trHeight w:val="270" w:hRule="atLeast"/>
        </w:trPr>
        <w:tc>
          <w:tcPr>
            <w:tcW w:w="1334" w:type="dxa"/>
            <w:vMerge w:val="restart"/>
          </w:tcPr>
          <w:p>
            <w:pPr>
              <w:pStyle w:val="TableParagraph"/>
              <w:spacing w:before="138"/>
              <w:ind w:left="436" w:right="426"/>
              <w:rPr>
                <w:b/>
                <w:sz w:val="21"/>
              </w:rPr>
            </w:pPr>
            <w:r>
              <w:rPr>
                <w:b/>
                <w:sz w:val="21"/>
              </w:rPr>
              <w:t>来源</w:t>
            </w:r>
          </w:p>
        </w:tc>
        <w:tc>
          <w:tcPr>
            <w:tcW w:w="2494" w:type="dxa"/>
            <w:vMerge w:val="restart"/>
          </w:tcPr>
          <w:p>
            <w:pPr>
              <w:pStyle w:val="TableParagraph"/>
              <w:spacing w:before="1"/>
              <w:ind w:left="67" w:right="57"/>
              <w:rPr>
                <w:b/>
                <w:sz w:val="21"/>
              </w:rPr>
            </w:pPr>
            <w:r>
              <w:rPr>
                <w:b/>
                <w:sz w:val="21"/>
              </w:rPr>
              <w:t>主要物料及折纯原料用量</w:t>
            </w:r>
          </w:p>
          <w:p>
            <w:pPr>
              <w:pStyle w:val="TableParagraph"/>
              <w:spacing w:line="252" w:lineRule="exact" w:before="2"/>
              <w:ind w:left="64" w:right="57"/>
              <w:rPr>
                <w:b/>
                <w:sz w:val="21"/>
              </w:rPr>
            </w:pPr>
            <w:r>
              <w:rPr>
                <w:b/>
                <w:sz w:val="21"/>
              </w:rPr>
              <w:t>（或周转量）</w:t>
            </w:r>
          </w:p>
        </w:tc>
        <w:tc>
          <w:tcPr>
            <w:tcW w:w="1428" w:type="dxa"/>
            <w:vMerge w:val="restart"/>
          </w:tcPr>
          <w:p>
            <w:pPr>
              <w:pStyle w:val="TableParagraph"/>
              <w:spacing w:before="138"/>
              <w:ind w:left="293"/>
              <w:jc w:val="left"/>
              <w:rPr>
                <w:b/>
                <w:sz w:val="21"/>
              </w:rPr>
            </w:pPr>
            <w:r>
              <w:rPr>
                <w:b/>
                <w:sz w:val="21"/>
              </w:rPr>
              <w:t>废气名称</w:t>
            </w:r>
          </w:p>
        </w:tc>
        <w:tc>
          <w:tcPr>
            <w:tcW w:w="1965" w:type="dxa"/>
            <w:gridSpan w:val="2"/>
          </w:tcPr>
          <w:p>
            <w:pPr>
              <w:pStyle w:val="TableParagraph"/>
              <w:spacing w:line="250" w:lineRule="exact" w:before="1"/>
              <w:ind w:left="559"/>
              <w:jc w:val="left"/>
              <w:rPr>
                <w:b/>
                <w:sz w:val="21"/>
              </w:rPr>
            </w:pPr>
            <w:r>
              <w:rPr>
                <w:b/>
                <w:sz w:val="21"/>
              </w:rPr>
              <w:t>产生情况</w:t>
            </w:r>
          </w:p>
        </w:tc>
        <w:tc>
          <w:tcPr>
            <w:tcW w:w="1906" w:type="dxa"/>
            <w:gridSpan w:val="2"/>
          </w:tcPr>
          <w:p>
            <w:pPr>
              <w:pStyle w:val="TableParagraph"/>
              <w:spacing w:line="250" w:lineRule="exact" w:before="1"/>
              <w:ind w:left="531"/>
              <w:jc w:val="left"/>
              <w:rPr>
                <w:b/>
                <w:sz w:val="21"/>
              </w:rPr>
            </w:pPr>
            <w:r>
              <w:rPr>
                <w:b/>
                <w:sz w:val="21"/>
              </w:rPr>
              <w:t>排放情况</w:t>
            </w:r>
          </w:p>
        </w:tc>
      </w:tr>
      <w:tr>
        <w:trPr>
          <w:trHeight w:val="263" w:hRule="atLeast"/>
        </w:trPr>
        <w:tc>
          <w:tcPr>
            <w:tcW w:w="1334" w:type="dxa"/>
            <w:vMerge/>
            <w:tcBorders>
              <w:top w:val="nil"/>
            </w:tcBorders>
          </w:tcPr>
          <w:p>
            <w:pPr>
              <w:rPr>
                <w:sz w:val="2"/>
                <w:szCs w:val="2"/>
              </w:rPr>
            </w:pPr>
          </w:p>
        </w:tc>
        <w:tc>
          <w:tcPr>
            <w:tcW w:w="2494" w:type="dxa"/>
            <w:vMerge/>
            <w:tcBorders>
              <w:top w:val="nil"/>
            </w:tcBorders>
          </w:tcPr>
          <w:p>
            <w:pPr>
              <w:rPr>
                <w:sz w:val="2"/>
                <w:szCs w:val="2"/>
              </w:rPr>
            </w:pPr>
          </w:p>
        </w:tc>
        <w:tc>
          <w:tcPr>
            <w:tcW w:w="1428" w:type="dxa"/>
            <w:vMerge/>
            <w:tcBorders>
              <w:top w:val="nil"/>
            </w:tcBorders>
          </w:tcPr>
          <w:p>
            <w:pPr>
              <w:rPr>
                <w:sz w:val="2"/>
                <w:szCs w:val="2"/>
              </w:rPr>
            </w:pPr>
          </w:p>
        </w:tc>
        <w:tc>
          <w:tcPr>
            <w:tcW w:w="1070" w:type="dxa"/>
          </w:tcPr>
          <w:p>
            <w:pPr>
              <w:pStyle w:val="TableParagraph"/>
              <w:spacing w:line="231" w:lineRule="exact" w:before="12"/>
              <w:ind w:left="124" w:right="113"/>
              <w:rPr>
                <w:rFonts w:ascii="Times New Roman"/>
                <w:b/>
                <w:sz w:val="21"/>
              </w:rPr>
            </w:pPr>
            <w:r>
              <w:rPr>
                <w:rFonts w:ascii="Times New Roman"/>
                <w:b/>
                <w:sz w:val="21"/>
              </w:rPr>
              <w:t>kg/h</w:t>
            </w:r>
          </w:p>
        </w:tc>
        <w:tc>
          <w:tcPr>
            <w:tcW w:w="895" w:type="dxa"/>
          </w:tcPr>
          <w:p>
            <w:pPr>
              <w:pStyle w:val="TableParagraph"/>
              <w:spacing w:line="231" w:lineRule="exact" w:before="12"/>
              <w:ind w:left="243" w:right="231"/>
              <w:rPr>
                <w:rFonts w:ascii="Times New Roman"/>
                <w:b/>
                <w:sz w:val="21"/>
              </w:rPr>
            </w:pPr>
            <w:r>
              <w:rPr>
                <w:rFonts w:ascii="Times New Roman"/>
                <w:b/>
                <w:sz w:val="21"/>
              </w:rPr>
              <w:t>t/a</w:t>
            </w:r>
          </w:p>
        </w:tc>
        <w:tc>
          <w:tcPr>
            <w:tcW w:w="891" w:type="dxa"/>
          </w:tcPr>
          <w:p>
            <w:pPr>
              <w:pStyle w:val="TableParagraph"/>
              <w:spacing w:line="231" w:lineRule="exact" w:before="12"/>
              <w:ind w:left="246"/>
              <w:jc w:val="left"/>
              <w:rPr>
                <w:rFonts w:ascii="Times New Roman"/>
                <w:b/>
                <w:sz w:val="21"/>
              </w:rPr>
            </w:pPr>
            <w:r>
              <w:rPr>
                <w:rFonts w:ascii="Times New Roman"/>
                <w:b/>
                <w:sz w:val="21"/>
              </w:rPr>
              <w:t>kg/h</w:t>
            </w:r>
          </w:p>
        </w:tc>
        <w:tc>
          <w:tcPr>
            <w:tcW w:w="1015" w:type="dxa"/>
          </w:tcPr>
          <w:p>
            <w:pPr>
              <w:pStyle w:val="TableParagraph"/>
              <w:spacing w:line="231" w:lineRule="exact" w:before="12"/>
              <w:ind w:left="301" w:right="293"/>
              <w:rPr>
                <w:rFonts w:ascii="Times New Roman"/>
                <w:b/>
                <w:sz w:val="21"/>
              </w:rPr>
            </w:pPr>
            <w:r>
              <w:rPr>
                <w:rFonts w:ascii="Times New Roman"/>
                <w:b/>
                <w:sz w:val="21"/>
              </w:rPr>
              <w:t>t/a</w:t>
            </w:r>
          </w:p>
        </w:tc>
      </w:tr>
      <w:tr>
        <w:trPr>
          <w:trHeight w:val="273" w:hRule="atLeast"/>
        </w:trPr>
        <w:tc>
          <w:tcPr>
            <w:tcW w:w="1334" w:type="dxa"/>
          </w:tcPr>
          <w:p>
            <w:pPr>
              <w:pStyle w:val="TableParagraph"/>
              <w:spacing w:line="252" w:lineRule="exact" w:before="1"/>
              <w:ind w:left="350"/>
              <w:jc w:val="left"/>
              <w:rPr>
                <w:sz w:val="21"/>
              </w:rPr>
            </w:pPr>
            <w:r>
              <w:rPr>
                <w:sz w:val="21"/>
              </w:rPr>
              <w:t>车间一</w:t>
            </w:r>
          </w:p>
        </w:tc>
        <w:tc>
          <w:tcPr>
            <w:tcW w:w="2494" w:type="dxa"/>
          </w:tcPr>
          <w:p>
            <w:pPr>
              <w:pStyle w:val="TableParagraph"/>
              <w:spacing w:line="252" w:lineRule="exact" w:before="1"/>
              <w:ind w:left="484"/>
              <w:jc w:val="left"/>
              <w:rPr>
                <w:rFonts w:ascii="Times New Roman" w:eastAsia="Times New Roman"/>
                <w:sz w:val="21"/>
              </w:rPr>
            </w:pPr>
            <w:r>
              <w:rPr>
                <w:sz w:val="21"/>
              </w:rPr>
              <w:t>甲酸，</w:t>
            </w:r>
            <w:r>
              <w:rPr>
                <w:rFonts w:ascii="Times New Roman" w:eastAsia="Times New Roman"/>
                <w:sz w:val="21"/>
              </w:rPr>
              <w:t>890.625t/a</w:t>
            </w:r>
          </w:p>
        </w:tc>
        <w:tc>
          <w:tcPr>
            <w:tcW w:w="1428" w:type="dxa"/>
          </w:tcPr>
          <w:p>
            <w:pPr>
              <w:pStyle w:val="TableParagraph"/>
              <w:spacing w:line="252" w:lineRule="exact" w:before="1"/>
              <w:ind w:left="415" w:right="402"/>
              <w:rPr>
                <w:sz w:val="21"/>
              </w:rPr>
            </w:pPr>
            <w:r>
              <w:rPr>
                <w:sz w:val="21"/>
              </w:rPr>
              <w:t>甲酸</w:t>
            </w:r>
          </w:p>
        </w:tc>
        <w:tc>
          <w:tcPr>
            <w:tcW w:w="1070" w:type="dxa"/>
          </w:tcPr>
          <w:p>
            <w:pPr>
              <w:pStyle w:val="TableParagraph"/>
              <w:spacing w:line="238" w:lineRule="exact" w:before="15"/>
              <w:ind w:left="124" w:right="113"/>
              <w:rPr>
                <w:rFonts w:ascii="Times New Roman"/>
                <w:sz w:val="21"/>
              </w:rPr>
            </w:pPr>
            <w:r>
              <w:rPr>
                <w:rFonts w:ascii="Times New Roman"/>
                <w:sz w:val="21"/>
              </w:rPr>
              <w:t>0.006</w:t>
            </w:r>
          </w:p>
        </w:tc>
        <w:tc>
          <w:tcPr>
            <w:tcW w:w="895" w:type="dxa"/>
          </w:tcPr>
          <w:p>
            <w:pPr>
              <w:pStyle w:val="TableParagraph"/>
              <w:spacing w:line="238" w:lineRule="exact" w:before="15"/>
              <w:ind w:left="245" w:right="231"/>
              <w:rPr>
                <w:rFonts w:ascii="Times New Roman"/>
                <w:sz w:val="21"/>
              </w:rPr>
            </w:pPr>
            <w:r>
              <w:rPr>
                <w:rFonts w:ascii="Times New Roman"/>
                <w:sz w:val="21"/>
              </w:rPr>
              <w:t>0.09</w:t>
            </w:r>
          </w:p>
        </w:tc>
        <w:tc>
          <w:tcPr>
            <w:tcW w:w="891" w:type="dxa"/>
          </w:tcPr>
          <w:p>
            <w:pPr>
              <w:pStyle w:val="TableParagraph"/>
              <w:spacing w:line="238" w:lineRule="exact" w:before="15"/>
              <w:ind w:left="207"/>
              <w:jc w:val="left"/>
              <w:rPr>
                <w:rFonts w:ascii="Times New Roman"/>
                <w:sz w:val="21"/>
              </w:rPr>
            </w:pPr>
            <w:r>
              <w:rPr>
                <w:rFonts w:ascii="Times New Roman"/>
                <w:sz w:val="21"/>
              </w:rPr>
              <w:t>0.013</w:t>
            </w:r>
          </w:p>
        </w:tc>
        <w:tc>
          <w:tcPr>
            <w:tcW w:w="1015" w:type="dxa"/>
          </w:tcPr>
          <w:p>
            <w:pPr>
              <w:pStyle w:val="TableParagraph"/>
              <w:spacing w:line="238" w:lineRule="exact" w:before="15"/>
              <w:ind w:left="303" w:right="293"/>
              <w:rPr>
                <w:rFonts w:ascii="Times New Roman"/>
                <w:sz w:val="21"/>
              </w:rPr>
            </w:pPr>
            <w:r>
              <w:rPr>
                <w:rFonts w:ascii="Times New Roman"/>
                <w:sz w:val="21"/>
              </w:rPr>
              <w:t>0.09</w:t>
            </w:r>
          </w:p>
        </w:tc>
      </w:tr>
    </w:tbl>
    <w:p>
      <w:pPr>
        <w:pStyle w:val="ListParagraph"/>
        <w:numPr>
          <w:ilvl w:val="3"/>
          <w:numId w:val="13"/>
        </w:numPr>
        <w:tabs>
          <w:tab w:pos="1422" w:val="left" w:leader="none"/>
        </w:tabs>
        <w:spacing w:line="240" w:lineRule="auto" w:before="62" w:after="0"/>
        <w:ind w:left="1421" w:right="0" w:hanging="721"/>
        <w:jc w:val="left"/>
        <w:rPr>
          <w:b/>
          <w:sz w:val="24"/>
        </w:rPr>
      </w:pPr>
      <w:r>
        <w:rPr>
          <w:b/>
          <w:sz w:val="24"/>
        </w:rPr>
        <w:t>固体废物</w:t>
      </w:r>
    </w:p>
    <w:p>
      <w:pPr>
        <w:pStyle w:val="ListParagraph"/>
        <w:numPr>
          <w:ilvl w:val="0"/>
          <w:numId w:val="18"/>
        </w:numPr>
        <w:tabs>
          <w:tab w:pos="980" w:val="left" w:leader="none"/>
        </w:tabs>
        <w:spacing w:line="240" w:lineRule="auto" w:before="158" w:after="0"/>
        <w:ind w:left="979" w:right="0" w:hanging="282"/>
        <w:jc w:val="left"/>
        <w:rPr>
          <w:sz w:val="24"/>
        </w:rPr>
      </w:pPr>
      <w:r>
        <w:rPr>
          <w:sz w:val="24"/>
        </w:rPr>
        <w:t>固废产生情况及属性判断</w:t>
      </w:r>
    </w:p>
    <w:p>
      <w:pPr>
        <w:pStyle w:val="BodyText"/>
        <w:spacing w:before="161"/>
        <w:ind w:left="698"/>
      </w:pPr>
      <w:r>
        <w:rPr/>
        <w:t>①废包装袋</w:t>
      </w:r>
    </w:p>
    <w:p>
      <w:pPr>
        <w:pStyle w:val="BodyText"/>
        <w:spacing w:line="364" w:lineRule="auto" w:before="158"/>
        <w:ind w:left="218" w:right="232" w:firstLine="480"/>
        <w:jc w:val="both"/>
      </w:pPr>
      <w:r>
        <w:rPr>
          <w:spacing w:val="-4"/>
        </w:rPr>
        <w:t>项目废编织袋及内衬袋产生情况：根据袋装原料用量，根据包装规格计算危化品废</w:t>
      </w:r>
      <w:r>
        <w:rPr>
          <w:spacing w:val="-6"/>
        </w:rPr>
        <w:t>编织袋及内衬袋产生量约 </w:t>
      </w:r>
      <w:r>
        <w:rPr>
          <w:rFonts w:ascii="Times New Roman" w:eastAsia="Times New Roman"/>
        </w:rPr>
        <w:t>5t/a</w:t>
      </w:r>
      <w:r>
        <w:rPr>
          <w:spacing w:val="-11"/>
        </w:rPr>
        <w:t>。为便于管理，项目 </w:t>
      </w:r>
      <w:r>
        <w:rPr>
          <w:rFonts w:ascii="Times New Roman" w:eastAsia="Times New Roman"/>
        </w:rPr>
        <w:t>4-</w:t>
      </w:r>
      <w:r>
        <w:rPr/>
        <w:t>甲基</w:t>
      </w:r>
      <w:r>
        <w:rPr>
          <w:rFonts w:ascii="Times New Roman" w:eastAsia="Times New Roman"/>
        </w:rPr>
        <w:t>-2-</w:t>
      </w:r>
      <w:r>
        <w:rPr>
          <w:spacing w:val="-4"/>
        </w:rPr>
        <w:t>肼基苯并噻唑、扩散剂、净</w:t>
      </w:r>
      <w:r>
        <w:rPr/>
        <w:t>洗剂、拉开粉及高岭土等袋装原辅材料的废包装袋均作为危险废物管理及处置。</w:t>
      </w:r>
    </w:p>
    <w:p>
      <w:pPr>
        <w:pStyle w:val="BodyText"/>
        <w:ind w:left="698"/>
      </w:pPr>
      <w:r>
        <w:rPr/>
        <w:t>②废冷凝液</w:t>
      </w:r>
    </w:p>
    <w:p>
      <w:pPr>
        <w:pStyle w:val="BodyText"/>
        <w:spacing w:before="158"/>
        <w:ind w:left="698"/>
      </w:pPr>
      <w:r>
        <w:rPr/>
        <w:t>车间生产装置废气经冷凝预处理后得到冷凝液，可直接回用于生产。</w:t>
      </w:r>
    </w:p>
    <w:p>
      <w:pPr>
        <w:pStyle w:val="BodyText"/>
        <w:spacing w:before="160"/>
        <w:ind w:left="698"/>
      </w:pPr>
      <w:r>
        <w:rPr/>
        <w:t>③项目废水处理过程中产生污泥，根据项目废水处理量，污泥产生情况详见下表</w:t>
      </w:r>
    </w:p>
    <w:p>
      <w:pPr>
        <w:pStyle w:val="BodyText"/>
        <w:spacing w:before="8"/>
        <w:rPr>
          <w:sz w:val="23"/>
        </w:rPr>
      </w:pPr>
    </w:p>
    <w:p>
      <w:pPr>
        <w:pStyle w:val="Heading4"/>
        <w:tabs>
          <w:tab w:pos="1186" w:val="left" w:leader="none"/>
          <w:tab w:pos="4320" w:val="left" w:leader="none"/>
        </w:tabs>
        <w:spacing w:after="29"/>
        <w:ind w:left="0" w:right="13"/>
        <w:jc w:val="center"/>
        <w:rPr>
          <w:rFonts w:ascii="Times New Roman" w:eastAsia="Times New Roman"/>
        </w:rPr>
      </w:pPr>
      <w:r>
        <w:rPr>
          <w:sz w:val="21"/>
        </w:rPr>
        <w:t>表</w:t>
      </w:r>
      <w:r>
        <w:rPr>
          <w:spacing w:val="-52"/>
          <w:sz w:val="21"/>
        </w:rPr>
        <w:t> </w:t>
      </w:r>
      <w:r>
        <w:rPr>
          <w:rFonts w:ascii="Times New Roman" w:eastAsia="Times New Roman"/>
        </w:rPr>
        <w:t>4.2.3-3</w:t>
        <w:tab/>
      </w:r>
      <w:r>
        <w:rPr/>
        <w:t>项目公用工程固废产生情况</w:t>
        <w:tab/>
        <w:t>单位：</w:t>
      </w:r>
      <w:r>
        <w:rPr>
          <w:rFonts w:ascii="Times New Roman" w:eastAsia="Times New Roman"/>
        </w:rPr>
        <w:t>t/a</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0"/>
        <w:gridCol w:w="1477"/>
        <w:gridCol w:w="1217"/>
        <w:gridCol w:w="759"/>
        <w:gridCol w:w="1091"/>
        <w:gridCol w:w="704"/>
        <w:gridCol w:w="992"/>
        <w:gridCol w:w="1708"/>
      </w:tblGrid>
      <w:tr>
        <w:trPr>
          <w:trHeight w:val="544" w:hRule="atLeast"/>
        </w:trPr>
        <w:tc>
          <w:tcPr>
            <w:tcW w:w="1140" w:type="dxa"/>
          </w:tcPr>
          <w:p>
            <w:pPr>
              <w:pStyle w:val="TableParagraph"/>
              <w:spacing w:before="135"/>
              <w:ind w:left="22" w:right="15"/>
              <w:rPr>
                <w:b/>
                <w:sz w:val="21"/>
              </w:rPr>
            </w:pPr>
            <w:r>
              <w:rPr>
                <w:b/>
                <w:sz w:val="21"/>
              </w:rPr>
              <w:t>来源</w:t>
            </w:r>
          </w:p>
        </w:tc>
        <w:tc>
          <w:tcPr>
            <w:tcW w:w="1477" w:type="dxa"/>
          </w:tcPr>
          <w:p>
            <w:pPr>
              <w:pStyle w:val="TableParagraph"/>
              <w:spacing w:before="135"/>
              <w:ind w:left="189" w:right="183"/>
              <w:rPr>
                <w:b/>
                <w:sz w:val="21"/>
              </w:rPr>
            </w:pPr>
            <w:r>
              <w:rPr>
                <w:b/>
                <w:sz w:val="21"/>
              </w:rPr>
              <w:t>副产物名称</w:t>
            </w:r>
          </w:p>
        </w:tc>
        <w:tc>
          <w:tcPr>
            <w:tcW w:w="1217" w:type="dxa"/>
          </w:tcPr>
          <w:p>
            <w:pPr>
              <w:pStyle w:val="TableParagraph"/>
              <w:spacing w:before="135"/>
              <w:ind w:left="60" w:right="50"/>
              <w:rPr>
                <w:b/>
                <w:sz w:val="21"/>
              </w:rPr>
            </w:pPr>
            <w:r>
              <w:rPr>
                <w:b/>
                <w:sz w:val="21"/>
              </w:rPr>
              <w:t>产生工序</w:t>
            </w:r>
          </w:p>
        </w:tc>
        <w:tc>
          <w:tcPr>
            <w:tcW w:w="759" w:type="dxa"/>
          </w:tcPr>
          <w:p>
            <w:pPr>
              <w:pStyle w:val="TableParagraph"/>
              <w:spacing w:before="135"/>
              <w:ind w:left="43" w:right="36"/>
              <w:rPr>
                <w:b/>
                <w:sz w:val="21"/>
              </w:rPr>
            </w:pPr>
            <w:r>
              <w:rPr>
                <w:b/>
                <w:sz w:val="21"/>
              </w:rPr>
              <w:t>形态</w:t>
            </w:r>
          </w:p>
        </w:tc>
        <w:tc>
          <w:tcPr>
            <w:tcW w:w="1091" w:type="dxa"/>
          </w:tcPr>
          <w:p>
            <w:pPr>
              <w:pStyle w:val="TableParagraph"/>
              <w:spacing w:before="135"/>
              <w:ind w:left="5"/>
              <w:rPr>
                <w:b/>
                <w:sz w:val="21"/>
              </w:rPr>
            </w:pPr>
            <w:r>
              <w:rPr>
                <w:b/>
                <w:sz w:val="21"/>
              </w:rPr>
              <w:t>主要成分</w:t>
            </w:r>
          </w:p>
        </w:tc>
        <w:tc>
          <w:tcPr>
            <w:tcW w:w="704" w:type="dxa"/>
          </w:tcPr>
          <w:p>
            <w:pPr>
              <w:pStyle w:val="TableParagraph"/>
              <w:spacing w:before="1"/>
              <w:ind w:left="31"/>
              <w:jc w:val="left"/>
              <w:rPr>
                <w:b/>
                <w:sz w:val="21"/>
              </w:rPr>
            </w:pPr>
            <w:r>
              <w:rPr>
                <w:b/>
                <w:sz w:val="21"/>
              </w:rPr>
              <w:t>预测产</w:t>
            </w:r>
          </w:p>
          <w:p>
            <w:pPr>
              <w:pStyle w:val="TableParagraph"/>
              <w:spacing w:line="252" w:lineRule="exact" w:before="2"/>
              <w:ind w:left="136"/>
              <w:jc w:val="left"/>
              <w:rPr>
                <w:b/>
                <w:sz w:val="21"/>
              </w:rPr>
            </w:pPr>
            <w:r>
              <w:rPr>
                <w:b/>
                <w:sz w:val="21"/>
              </w:rPr>
              <w:t>生量</w:t>
            </w:r>
          </w:p>
        </w:tc>
        <w:tc>
          <w:tcPr>
            <w:tcW w:w="992" w:type="dxa"/>
          </w:tcPr>
          <w:p>
            <w:pPr>
              <w:pStyle w:val="TableParagraph"/>
              <w:spacing w:before="1"/>
              <w:ind w:left="71"/>
              <w:jc w:val="left"/>
              <w:rPr>
                <w:b/>
                <w:sz w:val="21"/>
              </w:rPr>
            </w:pPr>
            <w:r>
              <w:rPr>
                <w:b/>
                <w:sz w:val="21"/>
              </w:rPr>
              <w:t>是否属固</w:t>
            </w:r>
          </w:p>
          <w:p>
            <w:pPr>
              <w:pStyle w:val="TableParagraph"/>
              <w:spacing w:line="252" w:lineRule="exact" w:before="2"/>
              <w:ind w:left="174"/>
              <w:jc w:val="left"/>
              <w:rPr>
                <w:b/>
                <w:sz w:val="21"/>
              </w:rPr>
            </w:pPr>
            <w:r>
              <w:rPr>
                <w:b/>
                <w:sz w:val="21"/>
              </w:rPr>
              <w:t>体废物</w:t>
            </w:r>
          </w:p>
        </w:tc>
        <w:tc>
          <w:tcPr>
            <w:tcW w:w="1708" w:type="dxa"/>
          </w:tcPr>
          <w:p>
            <w:pPr>
              <w:pStyle w:val="TableParagraph"/>
              <w:spacing w:before="15"/>
              <w:ind w:left="29" w:right="29"/>
              <w:rPr>
                <w:b/>
                <w:sz w:val="21"/>
              </w:rPr>
            </w:pPr>
            <w:r>
              <w:rPr>
                <w:b/>
                <w:sz w:val="21"/>
              </w:rPr>
              <w:t>判定依据</w:t>
            </w:r>
          </w:p>
          <w:p>
            <w:pPr>
              <w:pStyle w:val="TableParagraph"/>
              <w:spacing w:line="238" w:lineRule="exact" w:before="2"/>
              <w:ind w:left="30" w:right="29"/>
              <w:rPr>
                <w:rFonts w:ascii="Times New Roman" w:hAnsi="Times New Roman"/>
                <w:b/>
                <w:sz w:val="21"/>
              </w:rPr>
            </w:pPr>
            <w:r>
              <w:rPr>
                <w:rFonts w:ascii="Times New Roman" w:hAnsi="Times New Roman"/>
                <w:b/>
                <w:sz w:val="21"/>
              </w:rPr>
              <w:t>(GB34330—2017)</w:t>
            </w:r>
          </w:p>
        </w:tc>
      </w:tr>
      <w:tr>
        <w:trPr>
          <w:trHeight w:val="544" w:hRule="atLeast"/>
        </w:trPr>
        <w:tc>
          <w:tcPr>
            <w:tcW w:w="1140" w:type="dxa"/>
          </w:tcPr>
          <w:p>
            <w:pPr>
              <w:pStyle w:val="TableParagraph"/>
              <w:spacing w:before="138"/>
              <w:ind w:left="24" w:right="15"/>
              <w:rPr>
                <w:sz w:val="21"/>
              </w:rPr>
            </w:pPr>
            <w:r>
              <w:rPr>
                <w:sz w:val="21"/>
              </w:rPr>
              <w:t>废水处理</w:t>
            </w:r>
          </w:p>
        </w:tc>
        <w:tc>
          <w:tcPr>
            <w:tcW w:w="1477" w:type="dxa"/>
          </w:tcPr>
          <w:p>
            <w:pPr>
              <w:pStyle w:val="TableParagraph"/>
              <w:spacing w:before="1"/>
              <w:ind w:left="189" w:right="183"/>
              <w:rPr>
                <w:sz w:val="21"/>
              </w:rPr>
            </w:pPr>
            <w:r>
              <w:rPr>
                <w:sz w:val="21"/>
              </w:rPr>
              <w:t>污泥</w:t>
            </w:r>
          </w:p>
          <w:p>
            <w:pPr>
              <w:pStyle w:val="TableParagraph"/>
              <w:spacing w:line="252" w:lineRule="exact" w:before="2"/>
              <w:ind w:left="2" w:right="-29"/>
              <w:rPr>
                <w:sz w:val="21"/>
              </w:rPr>
            </w:pPr>
            <w:r>
              <w:rPr>
                <w:sz w:val="21"/>
              </w:rPr>
              <w:t>（</w:t>
            </w:r>
            <w:r>
              <w:rPr>
                <w:spacing w:val="-13"/>
                <w:sz w:val="21"/>
              </w:rPr>
              <w:t>含水率 </w:t>
            </w:r>
            <w:r>
              <w:rPr>
                <w:rFonts w:ascii="Times New Roman" w:eastAsia="Times New Roman"/>
                <w:spacing w:val="-5"/>
                <w:sz w:val="21"/>
              </w:rPr>
              <w:t>60%</w:t>
            </w:r>
            <w:r>
              <w:rPr>
                <w:spacing w:val="-5"/>
                <w:sz w:val="21"/>
              </w:rPr>
              <w:t>）</w:t>
            </w:r>
          </w:p>
        </w:tc>
        <w:tc>
          <w:tcPr>
            <w:tcW w:w="1217" w:type="dxa"/>
          </w:tcPr>
          <w:p>
            <w:pPr>
              <w:pStyle w:val="TableParagraph"/>
              <w:spacing w:before="138"/>
              <w:ind w:left="60" w:right="52"/>
              <w:rPr>
                <w:sz w:val="21"/>
              </w:rPr>
            </w:pPr>
            <w:r>
              <w:rPr>
                <w:sz w:val="21"/>
              </w:rPr>
              <w:t>污水处理</w:t>
            </w:r>
          </w:p>
        </w:tc>
        <w:tc>
          <w:tcPr>
            <w:tcW w:w="759" w:type="dxa"/>
          </w:tcPr>
          <w:p>
            <w:pPr>
              <w:pStyle w:val="TableParagraph"/>
              <w:spacing w:before="138"/>
              <w:ind w:left="43" w:right="36"/>
              <w:rPr>
                <w:sz w:val="21"/>
              </w:rPr>
            </w:pPr>
            <w:r>
              <w:rPr>
                <w:sz w:val="21"/>
              </w:rPr>
              <w:t>半固体</w:t>
            </w:r>
          </w:p>
        </w:tc>
        <w:tc>
          <w:tcPr>
            <w:tcW w:w="1091" w:type="dxa"/>
          </w:tcPr>
          <w:p>
            <w:pPr>
              <w:pStyle w:val="TableParagraph"/>
              <w:spacing w:before="138"/>
              <w:ind w:left="8"/>
              <w:rPr>
                <w:sz w:val="21"/>
              </w:rPr>
            </w:pPr>
            <w:r>
              <w:rPr>
                <w:sz w:val="21"/>
              </w:rPr>
              <w:t>杂质、污泥</w:t>
            </w:r>
          </w:p>
        </w:tc>
        <w:tc>
          <w:tcPr>
            <w:tcW w:w="704" w:type="dxa"/>
          </w:tcPr>
          <w:p>
            <w:pPr>
              <w:pStyle w:val="TableParagraph"/>
              <w:spacing w:before="151"/>
              <w:ind w:left="58" w:right="52"/>
              <w:rPr>
                <w:rFonts w:ascii="Times New Roman"/>
                <w:sz w:val="21"/>
              </w:rPr>
            </w:pPr>
            <w:r>
              <w:rPr>
                <w:rFonts w:ascii="Times New Roman"/>
                <w:sz w:val="21"/>
              </w:rPr>
              <w:t>100</w:t>
            </w:r>
          </w:p>
        </w:tc>
        <w:tc>
          <w:tcPr>
            <w:tcW w:w="992" w:type="dxa"/>
          </w:tcPr>
          <w:p>
            <w:pPr>
              <w:pStyle w:val="TableParagraph"/>
              <w:spacing w:before="138"/>
              <w:rPr>
                <w:sz w:val="21"/>
              </w:rPr>
            </w:pPr>
            <w:r>
              <w:rPr>
                <w:w w:val="100"/>
                <w:sz w:val="21"/>
              </w:rPr>
              <w:t>是</w:t>
            </w:r>
          </w:p>
        </w:tc>
        <w:tc>
          <w:tcPr>
            <w:tcW w:w="1708" w:type="dxa"/>
          </w:tcPr>
          <w:p>
            <w:pPr>
              <w:pStyle w:val="TableParagraph"/>
              <w:spacing w:before="151"/>
              <w:ind w:left="28" w:right="29"/>
              <w:rPr>
                <w:rFonts w:ascii="Times New Roman"/>
                <w:sz w:val="21"/>
              </w:rPr>
            </w:pPr>
            <w:r>
              <w:rPr>
                <w:rFonts w:ascii="Times New Roman"/>
                <w:sz w:val="21"/>
              </w:rPr>
              <w:t>4.3e</w:t>
            </w:r>
          </w:p>
        </w:tc>
      </w:tr>
      <w:tr>
        <w:trPr>
          <w:trHeight w:val="544" w:hRule="atLeast"/>
        </w:trPr>
        <w:tc>
          <w:tcPr>
            <w:tcW w:w="1140" w:type="dxa"/>
          </w:tcPr>
          <w:p>
            <w:pPr>
              <w:pStyle w:val="TableParagraph"/>
              <w:spacing w:before="138"/>
              <w:ind w:left="24" w:right="15"/>
              <w:rPr>
                <w:sz w:val="21"/>
              </w:rPr>
            </w:pPr>
            <w:r>
              <w:rPr>
                <w:sz w:val="21"/>
              </w:rPr>
              <w:t>车间及仓库</w:t>
            </w:r>
          </w:p>
        </w:tc>
        <w:tc>
          <w:tcPr>
            <w:tcW w:w="1477" w:type="dxa"/>
          </w:tcPr>
          <w:p>
            <w:pPr>
              <w:pStyle w:val="TableParagraph"/>
              <w:spacing w:before="138"/>
              <w:ind w:left="189" w:right="181"/>
              <w:rPr>
                <w:sz w:val="21"/>
              </w:rPr>
            </w:pPr>
            <w:r>
              <w:rPr>
                <w:sz w:val="21"/>
              </w:rPr>
              <w:t>废包装袋</w:t>
            </w:r>
          </w:p>
        </w:tc>
        <w:tc>
          <w:tcPr>
            <w:tcW w:w="1217" w:type="dxa"/>
          </w:tcPr>
          <w:p>
            <w:pPr>
              <w:pStyle w:val="TableParagraph"/>
              <w:spacing w:before="1"/>
              <w:ind w:left="60" w:right="52"/>
              <w:rPr>
                <w:sz w:val="21"/>
              </w:rPr>
            </w:pPr>
            <w:r>
              <w:rPr>
                <w:sz w:val="21"/>
              </w:rPr>
              <w:t>袋装原辅材</w:t>
            </w:r>
          </w:p>
          <w:p>
            <w:pPr>
              <w:pStyle w:val="TableParagraph"/>
              <w:spacing w:line="252" w:lineRule="exact" w:before="2"/>
              <w:ind w:left="60" w:right="50"/>
              <w:rPr>
                <w:sz w:val="21"/>
              </w:rPr>
            </w:pPr>
            <w:r>
              <w:rPr>
                <w:sz w:val="21"/>
              </w:rPr>
              <w:t>料拆包</w:t>
            </w:r>
          </w:p>
        </w:tc>
        <w:tc>
          <w:tcPr>
            <w:tcW w:w="759" w:type="dxa"/>
          </w:tcPr>
          <w:p>
            <w:pPr>
              <w:pStyle w:val="TableParagraph"/>
              <w:spacing w:before="138"/>
              <w:ind w:left="43" w:right="36"/>
              <w:rPr>
                <w:sz w:val="21"/>
              </w:rPr>
            </w:pPr>
            <w:r>
              <w:rPr>
                <w:sz w:val="21"/>
              </w:rPr>
              <w:t>固体</w:t>
            </w:r>
          </w:p>
        </w:tc>
        <w:tc>
          <w:tcPr>
            <w:tcW w:w="1091" w:type="dxa"/>
          </w:tcPr>
          <w:p>
            <w:pPr>
              <w:pStyle w:val="TableParagraph"/>
              <w:spacing w:before="138"/>
              <w:ind w:left="5"/>
              <w:rPr>
                <w:sz w:val="21"/>
              </w:rPr>
            </w:pPr>
            <w:r>
              <w:rPr>
                <w:sz w:val="21"/>
              </w:rPr>
              <w:t>包装袋</w:t>
            </w:r>
          </w:p>
        </w:tc>
        <w:tc>
          <w:tcPr>
            <w:tcW w:w="704" w:type="dxa"/>
          </w:tcPr>
          <w:p>
            <w:pPr>
              <w:pStyle w:val="TableParagraph"/>
              <w:spacing w:before="152"/>
              <w:ind w:left="1"/>
              <w:rPr>
                <w:rFonts w:ascii="Times New Roman"/>
                <w:sz w:val="21"/>
              </w:rPr>
            </w:pPr>
            <w:r>
              <w:rPr>
                <w:rFonts w:ascii="Times New Roman"/>
                <w:w w:val="100"/>
                <w:sz w:val="21"/>
              </w:rPr>
              <w:t>5</w:t>
            </w:r>
          </w:p>
        </w:tc>
        <w:tc>
          <w:tcPr>
            <w:tcW w:w="992" w:type="dxa"/>
          </w:tcPr>
          <w:p>
            <w:pPr>
              <w:pStyle w:val="TableParagraph"/>
              <w:spacing w:before="138"/>
              <w:rPr>
                <w:sz w:val="21"/>
              </w:rPr>
            </w:pPr>
            <w:r>
              <w:rPr>
                <w:w w:val="100"/>
                <w:sz w:val="21"/>
              </w:rPr>
              <w:t>是</w:t>
            </w:r>
          </w:p>
        </w:tc>
        <w:tc>
          <w:tcPr>
            <w:tcW w:w="1708" w:type="dxa"/>
          </w:tcPr>
          <w:p>
            <w:pPr>
              <w:pStyle w:val="TableParagraph"/>
              <w:spacing w:before="152"/>
              <w:ind w:left="28" w:right="29"/>
              <w:rPr>
                <w:rFonts w:ascii="Times New Roman"/>
                <w:sz w:val="21"/>
              </w:rPr>
            </w:pPr>
            <w:r>
              <w:rPr>
                <w:rFonts w:ascii="Times New Roman"/>
                <w:sz w:val="21"/>
              </w:rPr>
              <w:t>4.1c</w:t>
            </w:r>
          </w:p>
        </w:tc>
      </w:tr>
      <w:tr>
        <w:trPr>
          <w:trHeight w:val="273" w:hRule="atLeast"/>
        </w:trPr>
        <w:tc>
          <w:tcPr>
            <w:tcW w:w="1140" w:type="dxa"/>
          </w:tcPr>
          <w:p>
            <w:pPr>
              <w:pStyle w:val="TableParagraph"/>
              <w:spacing w:line="252" w:lineRule="exact" w:before="1"/>
              <w:ind w:left="24" w:right="15"/>
              <w:rPr>
                <w:sz w:val="21"/>
              </w:rPr>
            </w:pPr>
            <w:r>
              <w:rPr>
                <w:sz w:val="21"/>
              </w:rPr>
              <w:t>职工生活</w:t>
            </w:r>
          </w:p>
        </w:tc>
        <w:tc>
          <w:tcPr>
            <w:tcW w:w="1477" w:type="dxa"/>
          </w:tcPr>
          <w:p>
            <w:pPr>
              <w:pStyle w:val="TableParagraph"/>
              <w:spacing w:line="252" w:lineRule="exact" w:before="1"/>
              <w:ind w:left="189" w:right="181"/>
              <w:rPr>
                <w:sz w:val="21"/>
              </w:rPr>
            </w:pPr>
            <w:r>
              <w:rPr>
                <w:sz w:val="21"/>
              </w:rPr>
              <w:t>生活垃圾</w:t>
            </w:r>
          </w:p>
        </w:tc>
        <w:tc>
          <w:tcPr>
            <w:tcW w:w="1217" w:type="dxa"/>
          </w:tcPr>
          <w:p>
            <w:pPr>
              <w:pStyle w:val="TableParagraph"/>
              <w:spacing w:line="252" w:lineRule="exact" w:before="1"/>
              <w:ind w:left="60" w:right="52"/>
              <w:rPr>
                <w:sz w:val="21"/>
              </w:rPr>
            </w:pPr>
            <w:r>
              <w:rPr>
                <w:sz w:val="21"/>
              </w:rPr>
              <w:t>职工生活</w:t>
            </w:r>
          </w:p>
        </w:tc>
        <w:tc>
          <w:tcPr>
            <w:tcW w:w="759" w:type="dxa"/>
          </w:tcPr>
          <w:p>
            <w:pPr>
              <w:pStyle w:val="TableParagraph"/>
              <w:spacing w:line="252" w:lineRule="exact" w:before="1"/>
              <w:ind w:left="43" w:right="36"/>
              <w:rPr>
                <w:sz w:val="21"/>
              </w:rPr>
            </w:pPr>
            <w:r>
              <w:rPr>
                <w:sz w:val="21"/>
              </w:rPr>
              <w:t>半固体</w:t>
            </w:r>
          </w:p>
        </w:tc>
        <w:tc>
          <w:tcPr>
            <w:tcW w:w="1091" w:type="dxa"/>
          </w:tcPr>
          <w:p>
            <w:pPr>
              <w:pStyle w:val="TableParagraph"/>
              <w:spacing w:line="252" w:lineRule="exact" w:before="1"/>
              <w:ind w:left="8"/>
              <w:rPr>
                <w:sz w:val="21"/>
              </w:rPr>
            </w:pPr>
            <w:r>
              <w:rPr>
                <w:sz w:val="21"/>
              </w:rPr>
              <w:t>生活垃圾</w:t>
            </w:r>
          </w:p>
        </w:tc>
        <w:tc>
          <w:tcPr>
            <w:tcW w:w="704" w:type="dxa"/>
          </w:tcPr>
          <w:p>
            <w:pPr>
              <w:pStyle w:val="TableParagraph"/>
              <w:spacing w:line="238" w:lineRule="exact" w:before="15"/>
              <w:ind w:left="58" w:right="52"/>
              <w:rPr>
                <w:rFonts w:ascii="Times New Roman"/>
                <w:sz w:val="21"/>
              </w:rPr>
            </w:pPr>
            <w:r>
              <w:rPr>
                <w:rFonts w:ascii="Times New Roman"/>
                <w:sz w:val="21"/>
              </w:rPr>
              <w:t>7.5</w:t>
            </w:r>
          </w:p>
        </w:tc>
        <w:tc>
          <w:tcPr>
            <w:tcW w:w="992" w:type="dxa"/>
          </w:tcPr>
          <w:p>
            <w:pPr>
              <w:pStyle w:val="TableParagraph"/>
              <w:spacing w:line="252" w:lineRule="exact" w:before="1"/>
              <w:rPr>
                <w:sz w:val="21"/>
              </w:rPr>
            </w:pPr>
            <w:r>
              <w:rPr>
                <w:w w:val="100"/>
                <w:sz w:val="21"/>
              </w:rPr>
              <w:t>是</w:t>
            </w:r>
          </w:p>
        </w:tc>
        <w:tc>
          <w:tcPr>
            <w:tcW w:w="1708" w:type="dxa"/>
          </w:tcPr>
          <w:p>
            <w:pPr>
              <w:pStyle w:val="TableParagraph"/>
              <w:spacing w:line="238" w:lineRule="exact" w:before="15"/>
              <w:rPr>
                <w:rFonts w:ascii="Times New Roman"/>
                <w:sz w:val="21"/>
              </w:rPr>
            </w:pPr>
            <w:r>
              <w:rPr>
                <w:rFonts w:ascii="Times New Roman"/>
                <w:w w:val="100"/>
                <w:sz w:val="21"/>
              </w:rPr>
              <w:t>/</w:t>
            </w:r>
          </w:p>
        </w:tc>
      </w:tr>
    </w:tbl>
    <w:p>
      <w:pPr>
        <w:pStyle w:val="ListParagraph"/>
        <w:numPr>
          <w:ilvl w:val="0"/>
          <w:numId w:val="18"/>
        </w:numPr>
        <w:tabs>
          <w:tab w:pos="979" w:val="left" w:leader="none"/>
        </w:tabs>
        <w:spacing w:line="240" w:lineRule="auto" w:before="2" w:after="0"/>
        <w:ind w:left="979" w:right="0" w:hanging="281"/>
        <w:jc w:val="left"/>
        <w:rPr>
          <w:sz w:val="24"/>
        </w:rPr>
      </w:pPr>
      <w:r>
        <w:rPr>
          <w:sz w:val="24"/>
        </w:rPr>
        <w:t>危险废物属性判定</w:t>
      </w:r>
    </w:p>
    <w:p>
      <w:pPr>
        <w:pStyle w:val="BodyText"/>
        <w:spacing w:line="364" w:lineRule="auto" w:before="158"/>
        <w:ind w:left="218" w:right="234" w:firstLine="480"/>
      </w:pPr>
      <w:r>
        <w:rPr>
          <w:spacing w:val="-4"/>
        </w:rPr>
        <w:t>公用工程产生工业固废，根据《国家危险废物名录 </w:t>
      </w:r>
      <w:r>
        <w:rPr>
          <w:rFonts w:ascii="Times New Roman" w:eastAsia="Times New Roman"/>
        </w:rPr>
        <w:t>2021</w:t>
      </w:r>
      <w:r>
        <w:rPr>
          <w:spacing w:val="-24"/>
        </w:rPr>
        <w:t>》、《危险废物鉴别标准 通</w:t>
      </w:r>
      <w:r>
        <w:rPr>
          <w:spacing w:val="-60"/>
        </w:rPr>
        <w:t>则》</w:t>
      </w:r>
      <w:r>
        <w:rPr>
          <w:spacing w:val="-1"/>
        </w:rPr>
        <w:t>（</w:t>
      </w:r>
      <w:r>
        <w:rPr>
          <w:rFonts w:ascii="Times New Roman" w:eastAsia="Times New Roman"/>
        </w:rPr>
        <w:t>GB5085.7</w:t>
      </w:r>
      <w:r>
        <w:rPr>
          <w:rFonts w:ascii="Times New Roman" w:eastAsia="Times New Roman"/>
          <w:spacing w:val="-1"/>
        </w:rPr>
        <w:t>-</w:t>
      </w:r>
      <w:r>
        <w:rPr>
          <w:rFonts w:ascii="Times New Roman" w:eastAsia="Times New Roman"/>
        </w:rPr>
        <w:t>2019</w:t>
      </w:r>
      <w:r>
        <w:rPr>
          <w:spacing w:val="-120"/>
        </w:rPr>
        <w:t>）</w:t>
      </w:r>
      <w:r>
        <w:rPr/>
        <w:t>，判定公用工程固体废物是否属于危险废物，判断结果见下表。</w:t>
      </w:r>
    </w:p>
    <w:p>
      <w:pPr>
        <w:pStyle w:val="Heading4"/>
        <w:tabs>
          <w:tab w:pos="3677" w:val="left" w:leader="none"/>
        </w:tabs>
        <w:spacing w:before="141" w:after="28"/>
        <w:ind w:left="2455"/>
      </w:pPr>
      <w:r>
        <w:rPr/>
        <w:t>表</w:t>
      </w:r>
      <w:r>
        <w:rPr>
          <w:spacing w:val="-59"/>
        </w:rPr>
        <w:t> </w:t>
      </w:r>
      <w:r>
        <w:rPr>
          <w:rFonts w:ascii="Times New Roman" w:eastAsia="Times New Roman"/>
        </w:rPr>
        <w:t>4.2.3-4</w:t>
        <w:tab/>
      </w:r>
      <w:r>
        <w:rPr/>
        <w:t>公用工程固废危险废物属性判断</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1"/>
        <w:gridCol w:w="1496"/>
        <w:gridCol w:w="1486"/>
        <w:gridCol w:w="1988"/>
        <w:gridCol w:w="1715"/>
        <w:gridCol w:w="1160"/>
      </w:tblGrid>
      <w:tr>
        <w:trPr>
          <w:trHeight w:val="273" w:hRule="atLeast"/>
        </w:trPr>
        <w:tc>
          <w:tcPr>
            <w:tcW w:w="1241" w:type="dxa"/>
          </w:tcPr>
          <w:p>
            <w:pPr>
              <w:pStyle w:val="TableParagraph"/>
              <w:spacing w:line="252" w:lineRule="exact" w:before="1"/>
              <w:ind w:left="73" w:right="66"/>
              <w:rPr>
                <w:b/>
                <w:sz w:val="21"/>
              </w:rPr>
            </w:pPr>
            <w:r>
              <w:rPr>
                <w:b/>
                <w:sz w:val="21"/>
              </w:rPr>
              <w:t>来源</w:t>
            </w:r>
          </w:p>
        </w:tc>
        <w:tc>
          <w:tcPr>
            <w:tcW w:w="1496" w:type="dxa"/>
          </w:tcPr>
          <w:p>
            <w:pPr>
              <w:pStyle w:val="TableParagraph"/>
              <w:spacing w:line="252" w:lineRule="exact" w:before="1"/>
              <w:ind w:left="5"/>
              <w:rPr>
                <w:b/>
                <w:sz w:val="21"/>
              </w:rPr>
            </w:pPr>
            <w:r>
              <w:rPr>
                <w:b/>
                <w:sz w:val="21"/>
              </w:rPr>
              <w:t>固体废物名称</w:t>
            </w:r>
          </w:p>
        </w:tc>
        <w:tc>
          <w:tcPr>
            <w:tcW w:w="1486" w:type="dxa"/>
          </w:tcPr>
          <w:p>
            <w:pPr>
              <w:pStyle w:val="TableParagraph"/>
              <w:spacing w:line="252" w:lineRule="exact" w:before="1"/>
              <w:ind w:left="90" w:right="85"/>
              <w:rPr>
                <w:b/>
                <w:sz w:val="21"/>
              </w:rPr>
            </w:pPr>
            <w:r>
              <w:rPr>
                <w:b/>
                <w:sz w:val="21"/>
              </w:rPr>
              <w:t>产生工序</w:t>
            </w:r>
          </w:p>
        </w:tc>
        <w:tc>
          <w:tcPr>
            <w:tcW w:w="1988" w:type="dxa"/>
          </w:tcPr>
          <w:p>
            <w:pPr>
              <w:pStyle w:val="TableParagraph"/>
              <w:spacing w:line="252" w:lineRule="exact" w:before="1"/>
              <w:ind w:left="129" w:right="122"/>
              <w:rPr>
                <w:b/>
                <w:sz w:val="21"/>
              </w:rPr>
            </w:pPr>
            <w:r>
              <w:rPr>
                <w:b/>
                <w:sz w:val="21"/>
              </w:rPr>
              <w:t>是否属于危险废物</w:t>
            </w:r>
          </w:p>
        </w:tc>
        <w:tc>
          <w:tcPr>
            <w:tcW w:w="1715" w:type="dxa"/>
          </w:tcPr>
          <w:p>
            <w:pPr>
              <w:pStyle w:val="TableParagraph"/>
              <w:spacing w:line="252" w:lineRule="exact" w:before="1"/>
              <w:ind w:left="5"/>
              <w:rPr>
                <w:b/>
                <w:sz w:val="21"/>
              </w:rPr>
            </w:pPr>
            <w:r>
              <w:rPr>
                <w:b/>
                <w:sz w:val="21"/>
              </w:rPr>
              <w:t>废物类别</w:t>
            </w:r>
          </w:p>
        </w:tc>
        <w:tc>
          <w:tcPr>
            <w:tcW w:w="1160" w:type="dxa"/>
          </w:tcPr>
          <w:p>
            <w:pPr>
              <w:pStyle w:val="TableParagraph"/>
              <w:spacing w:line="252" w:lineRule="exact" w:before="1"/>
              <w:ind w:left="66" w:right="59"/>
              <w:rPr>
                <w:b/>
                <w:sz w:val="21"/>
              </w:rPr>
            </w:pPr>
            <w:r>
              <w:rPr>
                <w:b/>
                <w:sz w:val="21"/>
              </w:rPr>
              <w:t>废物代码</w:t>
            </w:r>
          </w:p>
        </w:tc>
      </w:tr>
      <w:tr>
        <w:trPr>
          <w:trHeight w:val="273" w:hRule="atLeast"/>
        </w:trPr>
        <w:tc>
          <w:tcPr>
            <w:tcW w:w="1241" w:type="dxa"/>
          </w:tcPr>
          <w:p>
            <w:pPr>
              <w:pStyle w:val="TableParagraph"/>
              <w:spacing w:line="252" w:lineRule="exact" w:before="1"/>
              <w:ind w:left="75" w:right="66"/>
              <w:rPr>
                <w:sz w:val="21"/>
              </w:rPr>
            </w:pPr>
            <w:r>
              <w:rPr>
                <w:sz w:val="21"/>
              </w:rPr>
              <w:t>废水处理</w:t>
            </w:r>
          </w:p>
        </w:tc>
        <w:tc>
          <w:tcPr>
            <w:tcW w:w="1496" w:type="dxa"/>
          </w:tcPr>
          <w:p>
            <w:pPr>
              <w:pStyle w:val="TableParagraph"/>
              <w:spacing w:line="252" w:lineRule="exact" w:before="1"/>
              <w:ind w:left="5"/>
              <w:rPr>
                <w:sz w:val="21"/>
              </w:rPr>
            </w:pPr>
            <w:r>
              <w:rPr>
                <w:sz w:val="21"/>
              </w:rPr>
              <w:t>污泥</w:t>
            </w:r>
          </w:p>
        </w:tc>
        <w:tc>
          <w:tcPr>
            <w:tcW w:w="1486" w:type="dxa"/>
          </w:tcPr>
          <w:p>
            <w:pPr>
              <w:pStyle w:val="TableParagraph"/>
              <w:spacing w:line="252" w:lineRule="exact" w:before="1"/>
              <w:ind w:left="88" w:right="85"/>
              <w:rPr>
                <w:sz w:val="21"/>
              </w:rPr>
            </w:pPr>
            <w:r>
              <w:rPr>
                <w:sz w:val="21"/>
              </w:rPr>
              <w:t>污水处理</w:t>
            </w:r>
          </w:p>
        </w:tc>
        <w:tc>
          <w:tcPr>
            <w:tcW w:w="1988" w:type="dxa"/>
          </w:tcPr>
          <w:p>
            <w:pPr>
              <w:pStyle w:val="TableParagraph"/>
              <w:spacing w:line="252" w:lineRule="exact" w:before="1"/>
              <w:ind w:left="7"/>
              <w:rPr>
                <w:sz w:val="21"/>
              </w:rPr>
            </w:pPr>
            <w:r>
              <w:rPr>
                <w:w w:val="100"/>
                <w:sz w:val="21"/>
              </w:rPr>
              <w:t>是</w:t>
            </w:r>
          </w:p>
        </w:tc>
        <w:tc>
          <w:tcPr>
            <w:tcW w:w="1715" w:type="dxa"/>
          </w:tcPr>
          <w:p>
            <w:pPr>
              <w:pStyle w:val="TableParagraph"/>
              <w:spacing w:line="252" w:lineRule="exact" w:before="1"/>
              <w:ind w:left="5"/>
              <w:rPr>
                <w:sz w:val="21"/>
              </w:rPr>
            </w:pPr>
            <w:r>
              <w:rPr>
                <w:rFonts w:ascii="Times New Roman" w:eastAsia="Times New Roman"/>
                <w:sz w:val="21"/>
              </w:rPr>
              <w:t>HW04 </w:t>
            </w:r>
            <w:r>
              <w:rPr>
                <w:sz w:val="21"/>
              </w:rPr>
              <w:t>农药废物</w:t>
            </w:r>
          </w:p>
        </w:tc>
        <w:tc>
          <w:tcPr>
            <w:tcW w:w="1160" w:type="dxa"/>
          </w:tcPr>
          <w:p>
            <w:pPr>
              <w:pStyle w:val="TableParagraph"/>
              <w:spacing w:line="238" w:lineRule="exact" w:before="15"/>
              <w:ind w:left="66" w:right="59"/>
              <w:rPr>
                <w:rFonts w:ascii="Times New Roman"/>
                <w:sz w:val="21"/>
              </w:rPr>
            </w:pPr>
            <w:r>
              <w:rPr>
                <w:rFonts w:ascii="Times New Roman"/>
                <w:sz w:val="21"/>
              </w:rPr>
              <w:t>263-011-04</w:t>
            </w:r>
          </w:p>
        </w:tc>
      </w:tr>
      <w:tr>
        <w:trPr>
          <w:trHeight w:val="270" w:hRule="atLeast"/>
        </w:trPr>
        <w:tc>
          <w:tcPr>
            <w:tcW w:w="1241" w:type="dxa"/>
          </w:tcPr>
          <w:p>
            <w:pPr>
              <w:pStyle w:val="TableParagraph"/>
              <w:spacing w:line="250" w:lineRule="exact" w:before="1"/>
              <w:ind w:left="75" w:right="66"/>
              <w:rPr>
                <w:sz w:val="21"/>
              </w:rPr>
            </w:pPr>
            <w:r>
              <w:rPr>
                <w:sz w:val="21"/>
              </w:rPr>
              <w:t>车间及仓库</w:t>
            </w:r>
          </w:p>
        </w:tc>
        <w:tc>
          <w:tcPr>
            <w:tcW w:w="1496" w:type="dxa"/>
          </w:tcPr>
          <w:p>
            <w:pPr>
              <w:pStyle w:val="TableParagraph"/>
              <w:spacing w:line="250" w:lineRule="exact" w:before="1"/>
              <w:ind w:left="8"/>
              <w:rPr>
                <w:sz w:val="21"/>
              </w:rPr>
            </w:pPr>
            <w:r>
              <w:rPr>
                <w:sz w:val="21"/>
              </w:rPr>
              <w:t>废包装袋</w:t>
            </w:r>
          </w:p>
        </w:tc>
        <w:tc>
          <w:tcPr>
            <w:tcW w:w="1486" w:type="dxa"/>
          </w:tcPr>
          <w:p>
            <w:pPr>
              <w:pStyle w:val="TableParagraph"/>
              <w:spacing w:line="250" w:lineRule="exact" w:before="1"/>
              <w:ind w:left="90" w:right="85"/>
              <w:rPr>
                <w:sz w:val="21"/>
              </w:rPr>
            </w:pPr>
            <w:r>
              <w:rPr>
                <w:sz w:val="21"/>
              </w:rPr>
              <w:t>原辅材料拆包</w:t>
            </w:r>
          </w:p>
        </w:tc>
        <w:tc>
          <w:tcPr>
            <w:tcW w:w="1988" w:type="dxa"/>
          </w:tcPr>
          <w:p>
            <w:pPr>
              <w:pStyle w:val="TableParagraph"/>
              <w:spacing w:line="250" w:lineRule="exact" w:before="1"/>
              <w:ind w:left="7"/>
              <w:rPr>
                <w:sz w:val="21"/>
              </w:rPr>
            </w:pPr>
            <w:r>
              <w:rPr>
                <w:w w:val="100"/>
                <w:sz w:val="21"/>
              </w:rPr>
              <w:t>是</w:t>
            </w:r>
          </w:p>
        </w:tc>
        <w:tc>
          <w:tcPr>
            <w:tcW w:w="1715" w:type="dxa"/>
          </w:tcPr>
          <w:p>
            <w:pPr>
              <w:pStyle w:val="TableParagraph"/>
              <w:spacing w:line="250" w:lineRule="exact" w:before="1"/>
              <w:ind w:left="3"/>
              <w:rPr>
                <w:sz w:val="21"/>
              </w:rPr>
            </w:pPr>
            <w:r>
              <w:rPr>
                <w:rFonts w:ascii="Times New Roman" w:eastAsia="Times New Roman"/>
                <w:sz w:val="21"/>
              </w:rPr>
              <w:t>HW49 </w:t>
            </w:r>
            <w:r>
              <w:rPr>
                <w:sz w:val="21"/>
              </w:rPr>
              <w:t>其他废物</w:t>
            </w:r>
          </w:p>
        </w:tc>
        <w:tc>
          <w:tcPr>
            <w:tcW w:w="1160" w:type="dxa"/>
          </w:tcPr>
          <w:p>
            <w:pPr>
              <w:pStyle w:val="TableParagraph"/>
              <w:spacing w:line="236" w:lineRule="exact" w:before="15"/>
              <w:ind w:left="63" w:right="61"/>
              <w:rPr>
                <w:rFonts w:ascii="Times New Roman"/>
                <w:sz w:val="21"/>
              </w:rPr>
            </w:pPr>
            <w:r>
              <w:rPr>
                <w:rFonts w:ascii="Times New Roman"/>
                <w:sz w:val="21"/>
              </w:rPr>
              <w:t>900-041-49</w:t>
            </w:r>
          </w:p>
        </w:tc>
      </w:tr>
    </w:tbl>
    <w:p>
      <w:pPr>
        <w:pStyle w:val="ListParagraph"/>
        <w:numPr>
          <w:ilvl w:val="3"/>
          <w:numId w:val="13"/>
        </w:numPr>
        <w:tabs>
          <w:tab w:pos="1482" w:val="left" w:leader="none"/>
        </w:tabs>
        <w:spacing w:line="240" w:lineRule="auto" w:before="63" w:after="0"/>
        <w:ind w:left="1481" w:right="0" w:hanging="781"/>
        <w:jc w:val="left"/>
        <w:rPr>
          <w:b/>
          <w:sz w:val="24"/>
        </w:rPr>
      </w:pPr>
      <w:r>
        <w:rPr>
          <w:b/>
          <w:sz w:val="24"/>
        </w:rPr>
        <w:t>噪声</w:t>
      </w:r>
    </w:p>
    <w:p>
      <w:pPr>
        <w:pStyle w:val="BodyText"/>
        <w:spacing w:before="160"/>
        <w:ind w:left="698"/>
      </w:pPr>
      <w:r>
        <w:rPr/>
        <w:t>本项目主要设备噪声见下表。</w:t>
      </w:r>
    </w:p>
    <w:p>
      <w:pPr>
        <w:pStyle w:val="BodyText"/>
        <w:spacing w:before="5"/>
        <w:rPr>
          <w:sz w:val="23"/>
        </w:rPr>
      </w:pPr>
    </w:p>
    <w:p>
      <w:pPr>
        <w:pStyle w:val="Heading4"/>
        <w:spacing w:after="29"/>
        <w:ind w:left="0" w:right="14"/>
        <w:jc w:val="center"/>
      </w:pPr>
      <w:r>
        <w:rPr/>
        <w:t>表 </w:t>
      </w:r>
      <w:r>
        <w:rPr>
          <w:rFonts w:ascii="Times New Roman" w:eastAsia="Times New Roman"/>
        </w:rPr>
        <w:t>4.2.3-5  </w:t>
      </w:r>
      <w:r>
        <w:rPr/>
        <w:t>主要设备噪声源强</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8"/>
        <w:gridCol w:w="1194"/>
        <w:gridCol w:w="1217"/>
        <w:gridCol w:w="1621"/>
        <w:gridCol w:w="1757"/>
        <w:gridCol w:w="1885"/>
      </w:tblGrid>
      <w:tr>
        <w:trPr>
          <w:trHeight w:val="285" w:hRule="atLeast"/>
        </w:trPr>
        <w:tc>
          <w:tcPr>
            <w:tcW w:w="1618" w:type="dxa"/>
          </w:tcPr>
          <w:p>
            <w:pPr>
              <w:pStyle w:val="TableParagraph"/>
              <w:spacing w:line="257" w:lineRule="exact" w:before="8"/>
              <w:ind w:left="367" w:right="358"/>
              <w:rPr>
                <w:b/>
                <w:sz w:val="21"/>
              </w:rPr>
            </w:pPr>
            <w:r>
              <w:rPr>
                <w:b/>
                <w:sz w:val="21"/>
              </w:rPr>
              <w:t>噪声源</w:t>
            </w:r>
          </w:p>
        </w:tc>
        <w:tc>
          <w:tcPr>
            <w:tcW w:w="1194" w:type="dxa"/>
          </w:tcPr>
          <w:p>
            <w:pPr>
              <w:pStyle w:val="TableParagraph"/>
              <w:spacing w:line="257" w:lineRule="exact" w:before="8"/>
              <w:ind w:left="383"/>
              <w:jc w:val="left"/>
              <w:rPr>
                <w:b/>
                <w:sz w:val="21"/>
              </w:rPr>
            </w:pPr>
            <w:r>
              <w:rPr>
                <w:b/>
                <w:sz w:val="21"/>
              </w:rPr>
              <w:t>数量</w:t>
            </w:r>
          </w:p>
        </w:tc>
        <w:tc>
          <w:tcPr>
            <w:tcW w:w="1217" w:type="dxa"/>
          </w:tcPr>
          <w:p>
            <w:pPr>
              <w:pStyle w:val="TableParagraph"/>
              <w:spacing w:line="257" w:lineRule="exact" w:before="8"/>
              <w:ind w:left="60" w:right="51"/>
              <w:rPr>
                <w:b/>
                <w:sz w:val="21"/>
              </w:rPr>
            </w:pPr>
            <w:r>
              <w:rPr>
                <w:b/>
                <w:sz w:val="21"/>
              </w:rPr>
              <w:t>排放方式</w:t>
            </w:r>
          </w:p>
        </w:tc>
        <w:tc>
          <w:tcPr>
            <w:tcW w:w="1621" w:type="dxa"/>
          </w:tcPr>
          <w:p>
            <w:pPr>
              <w:pStyle w:val="TableParagraph"/>
              <w:spacing w:line="257" w:lineRule="exact" w:before="8"/>
              <w:ind w:left="365" w:right="362"/>
              <w:rPr>
                <w:b/>
                <w:sz w:val="21"/>
              </w:rPr>
            </w:pPr>
            <w:r>
              <w:rPr>
                <w:b/>
                <w:sz w:val="21"/>
              </w:rPr>
              <w:t>位置</w:t>
            </w:r>
          </w:p>
        </w:tc>
        <w:tc>
          <w:tcPr>
            <w:tcW w:w="1757" w:type="dxa"/>
          </w:tcPr>
          <w:p>
            <w:pPr>
              <w:pStyle w:val="TableParagraph"/>
              <w:spacing w:line="257" w:lineRule="exact" w:before="8"/>
              <w:ind w:left="434" w:right="429"/>
              <w:rPr>
                <w:b/>
                <w:sz w:val="21"/>
              </w:rPr>
            </w:pPr>
            <w:r>
              <w:rPr>
                <w:b/>
                <w:sz w:val="21"/>
              </w:rPr>
              <w:t>噪声源强</w:t>
            </w:r>
          </w:p>
        </w:tc>
        <w:tc>
          <w:tcPr>
            <w:tcW w:w="1885" w:type="dxa"/>
          </w:tcPr>
          <w:p>
            <w:pPr>
              <w:pStyle w:val="TableParagraph"/>
              <w:spacing w:line="257" w:lineRule="exact" w:before="8"/>
              <w:ind w:left="180" w:right="177"/>
              <w:rPr>
                <w:b/>
                <w:sz w:val="21"/>
              </w:rPr>
            </w:pPr>
            <w:r>
              <w:rPr>
                <w:b/>
                <w:sz w:val="21"/>
              </w:rPr>
              <w:t>监测点</w:t>
            </w:r>
          </w:p>
        </w:tc>
      </w:tr>
      <w:tr>
        <w:trPr>
          <w:trHeight w:val="282" w:hRule="atLeast"/>
        </w:trPr>
        <w:tc>
          <w:tcPr>
            <w:tcW w:w="1618" w:type="dxa"/>
          </w:tcPr>
          <w:p>
            <w:pPr>
              <w:pStyle w:val="TableParagraph"/>
              <w:spacing w:line="255" w:lineRule="exact" w:before="8"/>
              <w:ind w:left="367" w:right="358"/>
              <w:rPr>
                <w:sz w:val="21"/>
              </w:rPr>
            </w:pPr>
            <w:r>
              <w:rPr>
                <w:sz w:val="21"/>
              </w:rPr>
              <w:t>各类泵</w:t>
            </w:r>
          </w:p>
        </w:tc>
        <w:tc>
          <w:tcPr>
            <w:tcW w:w="1194" w:type="dxa"/>
          </w:tcPr>
          <w:p>
            <w:pPr>
              <w:pStyle w:val="TableParagraph"/>
              <w:spacing w:line="255" w:lineRule="exact" w:before="8"/>
              <w:ind w:left="385"/>
              <w:jc w:val="left"/>
              <w:rPr>
                <w:sz w:val="21"/>
              </w:rPr>
            </w:pPr>
            <w:r>
              <w:rPr>
                <w:sz w:val="21"/>
              </w:rPr>
              <w:t>若干</w:t>
            </w:r>
          </w:p>
        </w:tc>
        <w:tc>
          <w:tcPr>
            <w:tcW w:w="1217" w:type="dxa"/>
          </w:tcPr>
          <w:p>
            <w:pPr>
              <w:pStyle w:val="TableParagraph"/>
              <w:spacing w:line="255" w:lineRule="exact" w:before="8"/>
              <w:ind w:left="60" w:right="51"/>
              <w:rPr>
                <w:sz w:val="21"/>
              </w:rPr>
            </w:pPr>
            <w:r>
              <w:rPr>
                <w:sz w:val="21"/>
              </w:rPr>
              <w:t>间歇</w:t>
            </w:r>
          </w:p>
        </w:tc>
        <w:tc>
          <w:tcPr>
            <w:tcW w:w="1621" w:type="dxa"/>
          </w:tcPr>
          <w:p>
            <w:pPr>
              <w:pStyle w:val="TableParagraph"/>
              <w:spacing w:line="255" w:lineRule="exact" w:before="8"/>
              <w:ind w:left="368" w:right="362"/>
              <w:rPr>
                <w:sz w:val="21"/>
              </w:rPr>
            </w:pPr>
            <w:r>
              <w:rPr>
                <w:sz w:val="21"/>
              </w:rPr>
              <w:t>生产车间</w:t>
            </w:r>
          </w:p>
        </w:tc>
        <w:tc>
          <w:tcPr>
            <w:tcW w:w="1757" w:type="dxa"/>
          </w:tcPr>
          <w:p>
            <w:pPr>
              <w:pStyle w:val="TableParagraph"/>
              <w:spacing w:line="255" w:lineRule="exact" w:before="8"/>
              <w:ind w:left="434" w:right="429"/>
              <w:rPr>
                <w:rFonts w:ascii="Times New Roman" w:eastAsia="Times New Roman"/>
                <w:sz w:val="21"/>
              </w:rPr>
            </w:pPr>
            <w:r>
              <w:rPr>
                <w:rFonts w:ascii="Times New Roman" w:eastAsia="Times New Roman"/>
                <w:sz w:val="21"/>
              </w:rPr>
              <w:t>70</w:t>
            </w:r>
            <w:r>
              <w:rPr>
                <w:sz w:val="21"/>
              </w:rPr>
              <w:t>～</w:t>
            </w:r>
            <w:r>
              <w:rPr>
                <w:rFonts w:ascii="Times New Roman" w:eastAsia="Times New Roman"/>
                <w:sz w:val="21"/>
              </w:rPr>
              <w:t>85</w:t>
            </w:r>
          </w:p>
        </w:tc>
        <w:tc>
          <w:tcPr>
            <w:tcW w:w="1885" w:type="dxa"/>
          </w:tcPr>
          <w:p>
            <w:pPr>
              <w:pStyle w:val="TableParagraph"/>
              <w:spacing w:line="255" w:lineRule="exact" w:before="8"/>
              <w:ind w:left="180" w:right="178"/>
              <w:rPr>
                <w:sz w:val="21"/>
              </w:rPr>
            </w:pPr>
            <w:r>
              <w:rPr>
                <w:sz w:val="21"/>
              </w:rPr>
              <w:t>距噪声源 </w:t>
            </w:r>
            <w:r>
              <w:rPr>
                <w:rFonts w:ascii="Times New Roman" w:eastAsia="Times New Roman"/>
                <w:sz w:val="21"/>
              </w:rPr>
              <w:t>1m </w:t>
            </w:r>
            <w:r>
              <w:rPr>
                <w:sz w:val="21"/>
              </w:rPr>
              <w:t>处</w:t>
            </w:r>
          </w:p>
        </w:tc>
      </w:tr>
      <w:tr>
        <w:trPr>
          <w:trHeight w:val="285" w:hRule="atLeast"/>
        </w:trPr>
        <w:tc>
          <w:tcPr>
            <w:tcW w:w="1618" w:type="dxa"/>
          </w:tcPr>
          <w:p>
            <w:pPr>
              <w:pStyle w:val="TableParagraph"/>
              <w:spacing w:line="257" w:lineRule="exact" w:before="8"/>
              <w:ind w:left="369" w:right="358"/>
              <w:rPr>
                <w:sz w:val="21"/>
              </w:rPr>
            </w:pPr>
            <w:r>
              <w:rPr>
                <w:sz w:val="21"/>
              </w:rPr>
              <w:t>生产设备</w:t>
            </w:r>
          </w:p>
        </w:tc>
        <w:tc>
          <w:tcPr>
            <w:tcW w:w="1194" w:type="dxa"/>
          </w:tcPr>
          <w:p>
            <w:pPr>
              <w:pStyle w:val="TableParagraph"/>
              <w:spacing w:line="257" w:lineRule="exact" w:before="8"/>
              <w:ind w:left="385"/>
              <w:jc w:val="left"/>
              <w:rPr>
                <w:sz w:val="21"/>
              </w:rPr>
            </w:pPr>
            <w:r>
              <w:rPr>
                <w:sz w:val="21"/>
              </w:rPr>
              <w:t>若干</w:t>
            </w:r>
          </w:p>
        </w:tc>
        <w:tc>
          <w:tcPr>
            <w:tcW w:w="1217" w:type="dxa"/>
          </w:tcPr>
          <w:p>
            <w:pPr>
              <w:pStyle w:val="TableParagraph"/>
              <w:spacing w:line="257" w:lineRule="exact" w:before="8"/>
              <w:ind w:left="60" w:right="51"/>
              <w:rPr>
                <w:sz w:val="21"/>
              </w:rPr>
            </w:pPr>
            <w:r>
              <w:rPr>
                <w:sz w:val="21"/>
              </w:rPr>
              <w:t>间歇</w:t>
            </w:r>
          </w:p>
        </w:tc>
        <w:tc>
          <w:tcPr>
            <w:tcW w:w="1621" w:type="dxa"/>
          </w:tcPr>
          <w:p>
            <w:pPr>
              <w:pStyle w:val="TableParagraph"/>
              <w:spacing w:line="257" w:lineRule="exact" w:before="8"/>
              <w:ind w:left="368" w:right="362"/>
              <w:rPr>
                <w:sz w:val="21"/>
              </w:rPr>
            </w:pPr>
            <w:r>
              <w:rPr>
                <w:sz w:val="21"/>
              </w:rPr>
              <w:t>生产车间</w:t>
            </w:r>
          </w:p>
        </w:tc>
        <w:tc>
          <w:tcPr>
            <w:tcW w:w="1757" w:type="dxa"/>
          </w:tcPr>
          <w:p>
            <w:pPr>
              <w:pStyle w:val="TableParagraph"/>
              <w:spacing w:line="257" w:lineRule="exact" w:before="8"/>
              <w:ind w:left="434" w:right="429"/>
              <w:rPr>
                <w:rFonts w:ascii="Times New Roman" w:eastAsia="Times New Roman"/>
                <w:sz w:val="21"/>
              </w:rPr>
            </w:pPr>
            <w:r>
              <w:rPr>
                <w:rFonts w:ascii="Times New Roman" w:eastAsia="Times New Roman"/>
                <w:sz w:val="21"/>
              </w:rPr>
              <w:t>70</w:t>
            </w:r>
            <w:r>
              <w:rPr>
                <w:sz w:val="21"/>
              </w:rPr>
              <w:t>～</w:t>
            </w:r>
            <w:r>
              <w:rPr>
                <w:rFonts w:ascii="Times New Roman" w:eastAsia="Times New Roman"/>
                <w:sz w:val="21"/>
              </w:rPr>
              <w:t>75</w:t>
            </w:r>
          </w:p>
        </w:tc>
        <w:tc>
          <w:tcPr>
            <w:tcW w:w="1885" w:type="dxa"/>
          </w:tcPr>
          <w:p>
            <w:pPr>
              <w:pStyle w:val="TableParagraph"/>
              <w:spacing w:line="257" w:lineRule="exact" w:before="8"/>
              <w:ind w:left="180" w:right="178"/>
              <w:rPr>
                <w:sz w:val="21"/>
              </w:rPr>
            </w:pPr>
            <w:r>
              <w:rPr>
                <w:sz w:val="21"/>
              </w:rPr>
              <w:t>距噪声源 </w:t>
            </w:r>
            <w:r>
              <w:rPr>
                <w:rFonts w:ascii="Times New Roman" w:eastAsia="Times New Roman"/>
                <w:sz w:val="21"/>
              </w:rPr>
              <w:t>1m </w:t>
            </w:r>
            <w:r>
              <w:rPr>
                <w:sz w:val="21"/>
              </w:rPr>
              <w:t>处</w:t>
            </w:r>
          </w:p>
        </w:tc>
      </w:tr>
      <w:tr>
        <w:trPr>
          <w:trHeight w:val="282" w:hRule="atLeast"/>
        </w:trPr>
        <w:tc>
          <w:tcPr>
            <w:tcW w:w="1618" w:type="dxa"/>
          </w:tcPr>
          <w:p>
            <w:pPr>
              <w:pStyle w:val="TableParagraph"/>
              <w:spacing w:line="255" w:lineRule="exact" w:before="8"/>
              <w:ind w:left="367" w:right="358"/>
              <w:rPr>
                <w:sz w:val="21"/>
              </w:rPr>
            </w:pPr>
            <w:r>
              <w:rPr>
                <w:sz w:val="21"/>
              </w:rPr>
              <w:t>风机</w:t>
            </w:r>
          </w:p>
        </w:tc>
        <w:tc>
          <w:tcPr>
            <w:tcW w:w="1194" w:type="dxa"/>
          </w:tcPr>
          <w:p>
            <w:pPr>
              <w:pStyle w:val="TableParagraph"/>
              <w:spacing w:line="255" w:lineRule="exact" w:before="8"/>
              <w:ind w:left="385"/>
              <w:jc w:val="left"/>
              <w:rPr>
                <w:sz w:val="21"/>
              </w:rPr>
            </w:pPr>
            <w:r>
              <w:rPr>
                <w:sz w:val="21"/>
              </w:rPr>
              <w:t>若干</w:t>
            </w:r>
          </w:p>
        </w:tc>
        <w:tc>
          <w:tcPr>
            <w:tcW w:w="1217" w:type="dxa"/>
          </w:tcPr>
          <w:p>
            <w:pPr>
              <w:pStyle w:val="TableParagraph"/>
              <w:spacing w:line="255" w:lineRule="exact" w:before="8"/>
              <w:ind w:left="60" w:right="51"/>
              <w:rPr>
                <w:sz w:val="21"/>
              </w:rPr>
            </w:pPr>
            <w:r>
              <w:rPr>
                <w:sz w:val="21"/>
              </w:rPr>
              <w:t>间歇</w:t>
            </w:r>
          </w:p>
        </w:tc>
        <w:tc>
          <w:tcPr>
            <w:tcW w:w="1621" w:type="dxa"/>
          </w:tcPr>
          <w:p>
            <w:pPr>
              <w:pStyle w:val="TableParagraph"/>
              <w:spacing w:line="255" w:lineRule="exact" w:before="8"/>
              <w:ind w:left="368" w:right="362"/>
              <w:rPr>
                <w:sz w:val="21"/>
              </w:rPr>
            </w:pPr>
            <w:r>
              <w:rPr>
                <w:sz w:val="21"/>
              </w:rPr>
              <w:t>生产车间</w:t>
            </w:r>
          </w:p>
        </w:tc>
        <w:tc>
          <w:tcPr>
            <w:tcW w:w="1757" w:type="dxa"/>
          </w:tcPr>
          <w:p>
            <w:pPr>
              <w:pStyle w:val="TableParagraph"/>
              <w:spacing w:line="241" w:lineRule="exact" w:before="22"/>
              <w:ind w:left="434" w:right="429"/>
              <w:rPr>
                <w:rFonts w:ascii="Times New Roman"/>
                <w:sz w:val="21"/>
              </w:rPr>
            </w:pPr>
            <w:r>
              <w:rPr>
                <w:rFonts w:ascii="Times New Roman"/>
                <w:sz w:val="21"/>
              </w:rPr>
              <w:t>75</w:t>
            </w:r>
          </w:p>
        </w:tc>
        <w:tc>
          <w:tcPr>
            <w:tcW w:w="1885" w:type="dxa"/>
          </w:tcPr>
          <w:p>
            <w:pPr>
              <w:pStyle w:val="TableParagraph"/>
              <w:spacing w:line="255" w:lineRule="exact" w:before="8"/>
              <w:ind w:left="180" w:right="178"/>
              <w:rPr>
                <w:sz w:val="21"/>
              </w:rPr>
            </w:pPr>
            <w:r>
              <w:rPr>
                <w:sz w:val="21"/>
              </w:rPr>
              <w:t>距噪声源 </w:t>
            </w:r>
            <w:r>
              <w:rPr>
                <w:rFonts w:ascii="Times New Roman" w:eastAsia="Times New Roman"/>
                <w:sz w:val="21"/>
              </w:rPr>
              <w:t>1m </w:t>
            </w:r>
            <w:r>
              <w:rPr>
                <w:sz w:val="21"/>
              </w:rPr>
              <w:t>处</w:t>
            </w:r>
          </w:p>
        </w:tc>
      </w:tr>
      <w:tr>
        <w:trPr>
          <w:trHeight w:val="285" w:hRule="atLeast"/>
        </w:trPr>
        <w:tc>
          <w:tcPr>
            <w:tcW w:w="1618" w:type="dxa"/>
          </w:tcPr>
          <w:p>
            <w:pPr>
              <w:pStyle w:val="TableParagraph"/>
              <w:spacing w:line="257" w:lineRule="exact" w:before="8"/>
              <w:ind w:left="367" w:right="358"/>
              <w:rPr>
                <w:sz w:val="21"/>
              </w:rPr>
            </w:pPr>
            <w:r>
              <w:rPr>
                <w:sz w:val="21"/>
              </w:rPr>
              <w:t>冷却塔</w:t>
            </w:r>
          </w:p>
        </w:tc>
        <w:tc>
          <w:tcPr>
            <w:tcW w:w="1194" w:type="dxa"/>
          </w:tcPr>
          <w:p>
            <w:pPr>
              <w:pStyle w:val="TableParagraph"/>
              <w:spacing w:line="257" w:lineRule="exact" w:before="8"/>
              <w:ind w:left="412"/>
              <w:jc w:val="left"/>
              <w:rPr>
                <w:sz w:val="21"/>
              </w:rPr>
            </w:pPr>
            <w:r>
              <w:rPr>
                <w:rFonts w:ascii="Times New Roman" w:eastAsia="Times New Roman"/>
                <w:sz w:val="21"/>
              </w:rPr>
              <w:t>1 </w:t>
            </w:r>
            <w:r>
              <w:rPr>
                <w:sz w:val="21"/>
              </w:rPr>
              <w:t>座</w:t>
            </w:r>
          </w:p>
        </w:tc>
        <w:tc>
          <w:tcPr>
            <w:tcW w:w="1217" w:type="dxa"/>
          </w:tcPr>
          <w:p>
            <w:pPr>
              <w:pStyle w:val="TableParagraph"/>
              <w:spacing w:line="257" w:lineRule="exact" w:before="8"/>
              <w:ind w:left="60" w:right="51"/>
              <w:rPr>
                <w:sz w:val="21"/>
              </w:rPr>
            </w:pPr>
            <w:r>
              <w:rPr>
                <w:sz w:val="21"/>
              </w:rPr>
              <w:t>间歇</w:t>
            </w:r>
          </w:p>
        </w:tc>
        <w:tc>
          <w:tcPr>
            <w:tcW w:w="1621" w:type="dxa"/>
          </w:tcPr>
          <w:p>
            <w:pPr>
              <w:pStyle w:val="TableParagraph"/>
              <w:spacing w:line="257" w:lineRule="exact" w:before="8"/>
              <w:ind w:left="368" w:right="362"/>
              <w:rPr>
                <w:sz w:val="21"/>
              </w:rPr>
            </w:pPr>
            <w:r>
              <w:rPr>
                <w:sz w:val="21"/>
              </w:rPr>
              <w:t>生产车间</w:t>
            </w:r>
          </w:p>
        </w:tc>
        <w:tc>
          <w:tcPr>
            <w:tcW w:w="1757" w:type="dxa"/>
          </w:tcPr>
          <w:p>
            <w:pPr>
              <w:pStyle w:val="TableParagraph"/>
              <w:spacing w:before="22"/>
              <w:ind w:left="434" w:right="429"/>
              <w:rPr>
                <w:rFonts w:ascii="Times New Roman"/>
                <w:sz w:val="21"/>
              </w:rPr>
            </w:pPr>
            <w:r>
              <w:rPr>
                <w:rFonts w:ascii="Times New Roman"/>
                <w:sz w:val="21"/>
              </w:rPr>
              <w:t>75</w:t>
            </w:r>
          </w:p>
        </w:tc>
        <w:tc>
          <w:tcPr>
            <w:tcW w:w="1885" w:type="dxa"/>
          </w:tcPr>
          <w:p>
            <w:pPr>
              <w:pStyle w:val="TableParagraph"/>
              <w:spacing w:line="257" w:lineRule="exact" w:before="8"/>
              <w:ind w:left="180" w:right="178"/>
              <w:rPr>
                <w:sz w:val="21"/>
              </w:rPr>
            </w:pPr>
            <w:r>
              <w:rPr>
                <w:sz w:val="21"/>
              </w:rPr>
              <w:t>距噪声源 </w:t>
            </w:r>
            <w:r>
              <w:rPr>
                <w:rFonts w:ascii="Times New Roman" w:eastAsia="Times New Roman"/>
                <w:sz w:val="21"/>
              </w:rPr>
              <w:t>1m </w:t>
            </w:r>
            <w:r>
              <w:rPr>
                <w:sz w:val="21"/>
              </w:rPr>
              <w:t>处</w:t>
            </w:r>
          </w:p>
        </w:tc>
      </w:tr>
    </w:tbl>
    <w:p>
      <w:pPr>
        <w:spacing w:after="0" w:line="257" w:lineRule="exact"/>
        <w:rPr>
          <w:sz w:val="21"/>
        </w:rPr>
        <w:sectPr>
          <w:pgSz w:w="11910" w:h="16850"/>
          <w:pgMar w:header="872" w:footer="803" w:top="1340" w:bottom="1000" w:left="1200" w:right="1180"/>
        </w:sectPr>
      </w:pPr>
    </w:p>
    <w:p>
      <w:pPr>
        <w:pStyle w:val="BodyText"/>
        <w:spacing w:before="12"/>
        <w:rPr>
          <w:b/>
          <w:sz w:val="8"/>
        </w:rPr>
      </w:pPr>
    </w:p>
    <w:p>
      <w:pPr>
        <w:pStyle w:val="ListParagraph"/>
        <w:numPr>
          <w:ilvl w:val="1"/>
          <w:numId w:val="13"/>
        </w:numPr>
        <w:tabs>
          <w:tab w:pos="639" w:val="left" w:leader="none"/>
        </w:tabs>
        <w:spacing w:line="240" w:lineRule="auto" w:before="70" w:after="0"/>
        <w:ind w:left="638" w:right="0" w:hanging="421"/>
        <w:jc w:val="left"/>
        <w:rPr>
          <w:b/>
          <w:sz w:val="28"/>
        </w:rPr>
      </w:pPr>
      <w:bookmarkStart w:name="_bookmark26" w:id="53"/>
      <w:bookmarkEnd w:id="53"/>
      <w:r>
        <w:rPr/>
      </w:r>
      <w:bookmarkStart w:name="_bookmark26" w:id="54"/>
      <w:bookmarkEnd w:id="54"/>
      <w:r>
        <w:rPr>
          <w:b/>
          <w:sz w:val="28"/>
        </w:rPr>
        <w:t>项目水平衡图</w:t>
      </w:r>
    </w:p>
    <w:p>
      <w:pPr>
        <w:pStyle w:val="BodyText"/>
        <w:spacing w:before="10"/>
        <w:rPr>
          <w:b/>
          <w:sz w:val="8"/>
        </w:rPr>
      </w:pPr>
    </w:p>
    <w:p>
      <w:pPr>
        <w:spacing w:before="72"/>
        <w:ind w:left="0" w:right="13" w:firstLine="0"/>
        <w:jc w:val="center"/>
        <w:rPr>
          <w:b/>
          <w:sz w:val="21"/>
        </w:rPr>
      </w:pPr>
      <w:r>
        <w:rPr>
          <w:b/>
          <w:color w:val="FF0000"/>
          <w:sz w:val="21"/>
        </w:rPr>
        <w:t>涉密删除</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r>
        <w:rPr/>
        <w:pict>
          <v:line style="position:absolute;mso-position-horizontal-relative:page;mso-position-vertical-relative:paragraph;z-index:-251526144;mso-wrap-distance-left:0;mso-wrap-distance-right:0" from="69.949997pt,19.525234pt" to="511.699997pt,19.525234pt" stroked="true" strokeweight=".75pt" strokecolor="#000000">
            <v:stroke dashstyle="solid"/>
            <w10:wrap type="topAndBottom"/>
          </v:line>
        </w:pict>
      </w:r>
    </w:p>
    <w:p>
      <w:pPr>
        <w:spacing w:after="0"/>
        <w:rPr>
          <w:sz w:val="26"/>
        </w:rPr>
        <w:sectPr>
          <w:headerReference w:type="default" r:id="rId53"/>
          <w:footerReference w:type="default" r:id="rId54"/>
          <w:pgSz w:w="11910" w:h="16850"/>
          <w:pgMar w:header="730" w:footer="733" w:top="1340" w:bottom="920" w:left="1200" w:right="1180"/>
          <w:pgNumType w:start="95"/>
        </w:sectPr>
      </w:pPr>
    </w:p>
    <w:p>
      <w:pPr>
        <w:pStyle w:val="Heading3"/>
        <w:numPr>
          <w:ilvl w:val="1"/>
          <w:numId w:val="13"/>
        </w:numPr>
        <w:tabs>
          <w:tab w:pos="639" w:val="left" w:leader="none"/>
        </w:tabs>
        <w:spacing w:line="240" w:lineRule="auto" w:before="65" w:after="0"/>
        <w:ind w:left="638" w:right="0" w:hanging="421"/>
        <w:jc w:val="left"/>
      </w:pPr>
      <w:bookmarkStart w:name="_bookmark27" w:id="55"/>
      <w:bookmarkEnd w:id="55"/>
      <w:r>
        <w:rPr>
          <w:b w:val="0"/>
        </w:rPr>
      </w:r>
      <w:bookmarkStart w:name="_bookmark27" w:id="56"/>
      <w:bookmarkEnd w:id="56"/>
      <w:r>
        <w:rPr/>
        <w:t>污染物产生及排放情况汇总</w:t>
      </w:r>
    </w:p>
    <w:p>
      <w:pPr>
        <w:pStyle w:val="Heading4"/>
        <w:spacing w:before="185"/>
        <w:ind w:left="458"/>
      </w:pPr>
      <w:r>
        <w:rPr>
          <w:rFonts w:ascii="Times New Roman" w:eastAsia="Times New Roman"/>
        </w:rPr>
        <w:t>1</w:t>
      </w:r>
      <w:r>
        <w:rPr/>
        <w:t>、废气</w:t>
      </w:r>
    </w:p>
    <w:p>
      <w:pPr>
        <w:tabs>
          <w:tab w:pos="3708" w:val="left" w:leader="none"/>
        </w:tabs>
        <w:spacing w:line="475" w:lineRule="auto" w:before="158"/>
        <w:ind w:left="2666" w:right="824" w:hanging="1968"/>
        <w:jc w:val="left"/>
        <w:rPr>
          <w:b/>
          <w:sz w:val="24"/>
        </w:rPr>
      </w:pPr>
      <w:r>
        <w:rPr/>
        <w:pict>
          <v:shape style="position:absolute;margin-left:70.463997pt;margin-top:55.180023pt;width:454.9pt;height:138.65pt;mso-position-horizontal-relative:page;mso-position-vertical-relative:paragraph;z-index:25179238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30"/>
                    <w:gridCol w:w="555"/>
                    <w:gridCol w:w="733"/>
                    <w:gridCol w:w="735"/>
                    <w:gridCol w:w="733"/>
                    <w:gridCol w:w="736"/>
                    <w:gridCol w:w="733"/>
                    <w:gridCol w:w="733"/>
                    <w:gridCol w:w="735"/>
                    <w:gridCol w:w="733"/>
                    <w:gridCol w:w="735"/>
                  </w:tblGrid>
                  <w:tr>
                    <w:trPr>
                      <w:trHeight w:val="270" w:hRule="atLeast"/>
                    </w:trPr>
                    <w:tc>
                      <w:tcPr>
                        <w:tcW w:w="1930" w:type="dxa"/>
                        <w:vMerge w:val="restart"/>
                      </w:tcPr>
                      <w:p>
                        <w:pPr>
                          <w:pStyle w:val="TableParagraph"/>
                          <w:jc w:val="left"/>
                          <w:rPr>
                            <w:b/>
                            <w:sz w:val="20"/>
                          </w:rPr>
                        </w:pPr>
                      </w:p>
                      <w:p>
                        <w:pPr>
                          <w:pStyle w:val="TableParagraph"/>
                          <w:spacing w:before="152"/>
                          <w:ind w:left="542"/>
                          <w:jc w:val="left"/>
                          <w:rPr>
                            <w:b/>
                            <w:sz w:val="21"/>
                          </w:rPr>
                        </w:pPr>
                        <w:r>
                          <w:rPr>
                            <w:b/>
                            <w:sz w:val="21"/>
                          </w:rPr>
                          <w:t>产品名称</w:t>
                        </w:r>
                      </w:p>
                    </w:tc>
                    <w:tc>
                      <w:tcPr>
                        <w:tcW w:w="555" w:type="dxa"/>
                        <w:vMerge w:val="restart"/>
                      </w:tcPr>
                      <w:p>
                        <w:pPr>
                          <w:pStyle w:val="TableParagraph"/>
                          <w:spacing w:before="3"/>
                          <w:jc w:val="left"/>
                          <w:rPr>
                            <w:b/>
                            <w:sz w:val="21"/>
                          </w:rPr>
                        </w:pPr>
                      </w:p>
                      <w:p>
                        <w:pPr>
                          <w:pStyle w:val="TableParagraph"/>
                          <w:spacing w:line="244" w:lineRule="auto"/>
                          <w:ind w:left="64" w:right="56"/>
                          <w:jc w:val="left"/>
                          <w:rPr>
                            <w:b/>
                            <w:sz w:val="21"/>
                          </w:rPr>
                        </w:pPr>
                        <w:r>
                          <w:rPr>
                            <w:b/>
                            <w:sz w:val="21"/>
                          </w:rPr>
                          <w:t>废气名称</w:t>
                        </w:r>
                      </w:p>
                    </w:tc>
                    <w:tc>
                      <w:tcPr>
                        <w:tcW w:w="1468" w:type="dxa"/>
                        <w:gridSpan w:val="2"/>
                      </w:tcPr>
                      <w:p>
                        <w:pPr>
                          <w:pStyle w:val="TableParagraph"/>
                          <w:spacing w:line="250" w:lineRule="exact" w:before="1"/>
                          <w:ind w:left="414"/>
                          <w:jc w:val="left"/>
                          <w:rPr>
                            <w:b/>
                            <w:sz w:val="21"/>
                          </w:rPr>
                        </w:pPr>
                        <w:r>
                          <w:rPr>
                            <w:b/>
                            <w:sz w:val="21"/>
                          </w:rPr>
                          <w:t>产生量</w:t>
                        </w:r>
                      </w:p>
                    </w:tc>
                    <w:tc>
                      <w:tcPr>
                        <w:tcW w:w="733" w:type="dxa"/>
                        <w:vMerge w:val="restart"/>
                      </w:tcPr>
                      <w:p>
                        <w:pPr>
                          <w:pStyle w:val="TableParagraph"/>
                          <w:spacing w:before="2"/>
                          <w:jc w:val="left"/>
                          <w:rPr>
                            <w:b/>
                            <w:sz w:val="22"/>
                          </w:rPr>
                        </w:pPr>
                      </w:p>
                      <w:p>
                        <w:pPr>
                          <w:pStyle w:val="TableParagraph"/>
                          <w:ind w:left="45"/>
                          <w:jc w:val="left"/>
                          <w:rPr>
                            <w:b/>
                            <w:sz w:val="21"/>
                          </w:rPr>
                        </w:pPr>
                        <w:r>
                          <w:rPr>
                            <w:b/>
                            <w:sz w:val="21"/>
                          </w:rPr>
                          <w:t>削减量</w:t>
                        </w:r>
                      </w:p>
                    </w:tc>
                    <w:tc>
                      <w:tcPr>
                        <w:tcW w:w="4405" w:type="dxa"/>
                        <w:gridSpan w:val="6"/>
                      </w:tcPr>
                      <w:p>
                        <w:pPr>
                          <w:pStyle w:val="TableParagraph"/>
                          <w:spacing w:line="250" w:lineRule="exact" w:before="1"/>
                          <w:ind w:left="1860" w:right="1861"/>
                          <w:rPr>
                            <w:b/>
                            <w:sz w:val="21"/>
                          </w:rPr>
                        </w:pPr>
                        <w:r>
                          <w:rPr>
                            <w:b/>
                            <w:sz w:val="21"/>
                          </w:rPr>
                          <w:t>排放量</w:t>
                        </w:r>
                      </w:p>
                    </w:tc>
                  </w:tr>
                  <w:tr>
                    <w:trPr>
                      <w:trHeight w:val="273" w:hRule="atLeast"/>
                    </w:trPr>
                    <w:tc>
                      <w:tcPr>
                        <w:tcW w:w="1930" w:type="dxa"/>
                        <w:vMerge/>
                        <w:tcBorders>
                          <w:top w:val="nil"/>
                        </w:tcBorders>
                      </w:tcPr>
                      <w:p>
                        <w:pPr>
                          <w:rPr>
                            <w:sz w:val="2"/>
                            <w:szCs w:val="2"/>
                          </w:rPr>
                        </w:pPr>
                      </w:p>
                    </w:tc>
                    <w:tc>
                      <w:tcPr>
                        <w:tcW w:w="555" w:type="dxa"/>
                        <w:vMerge/>
                        <w:tcBorders>
                          <w:top w:val="nil"/>
                        </w:tcBorders>
                      </w:tcPr>
                      <w:p>
                        <w:pPr>
                          <w:rPr>
                            <w:sz w:val="2"/>
                            <w:szCs w:val="2"/>
                          </w:rPr>
                        </w:pPr>
                      </w:p>
                    </w:tc>
                    <w:tc>
                      <w:tcPr>
                        <w:tcW w:w="733" w:type="dxa"/>
                        <w:vMerge w:val="restart"/>
                      </w:tcPr>
                      <w:p>
                        <w:pPr>
                          <w:pStyle w:val="TableParagraph"/>
                          <w:spacing w:before="142"/>
                          <w:ind w:left="47"/>
                          <w:jc w:val="left"/>
                          <w:rPr>
                            <w:b/>
                            <w:sz w:val="21"/>
                          </w:rPr>
                        </w:pPr>
                        <w:r>
                          <w:rPr>
                            <w:b/>
                            <w:sz w:val="21"/>
                          </w:rPr>
                          <w:t>最大值</w:t>
                        </w:r>
                      </w:p>
                    </w:tc>
                    <w:tc>
                      <w:tcPr>
                        <w:tcW w:w="735" w:type="dxa"/>
                        <w:vMerge w:val="restart"/>
                      </w:tcPr>
                      <w:p>
                        <w:pPr>
                          <w:pStyle w:val="TableParagraph"/>
                          <w:spacing w:before="142"/>
                          <w:ind w:left="46"/>
                          <w:jc w:val="left"/>
                          <w:rPr>
                            <w:b/>
                            <w:sz w:val="21"/>
                          </w:rPr>
                        </w:pPr>
                        <w:r>
                          <w:rPr>
                            <w:b/>
                            <w:sz w:val="21"/>
                          </w:rPr>
                          <w:t>年总量</w:t>
                        </w:r>
                      </w:p>
                    </w:tc>
                    <w:tc>
                      <w:tcPr>
                        <w:tcW w:w="733" w:type="dxa"/>
                        <w:vMerge/>
                        <w:tcBorders>
                          <w:top w:val="nil"/>
                        </w:tcBorders>
                      </w:tcPr>
                      <w:p>
                        <w:pPr>
                          <w:rPr>
                            <w:sz w:val="2"/>
                            <w:szCs w:val="2"/>
                          </w:rPr>
                        </w:pPr>
                      </w:p>
                    </w:tc>
                    <w:tc>
                      <w:tcPr>
                        <w:tcW w:w="1469" w:type="dxa"/>
                        <w:gridSpan w:val="2"/>
                      </w:tcPr>
                      <w:p>
                        <w:pPr>
                          <w:pStyle w:val="TableParagraph"/>
                          <w:spacing w:line="250" w:lineRule="exact" w:before="3"/>
                          <w:ind w:left="411"/>
                          <w:jc w:val="left"/>
                          <w:rPr>
                            <w:b/>
                            <w:sz w:val="21"/>
                          </w:rPr>
                        </w:pPr>
                        <w:r>
                          <w:rPr>
                            <w:b/>
                            <w:sz w:val="21"/>
                          </w:rPr>
                          <w:t>有组织</w:t>
                        </w:r>
                      </w:p>
                    </w:tc>
                    <w:tc>
                      <w:tcPr>
                        <w:tcW w:w="1468" w:type="dxa"/>
                        <w:gridSpan w:val="2"/>
                      </w:tcPr>
                      <w:p>
                        <w:pPr>
                          <w:pStyle w:val="TableParagraph"/>
                          <w:spacing w:line="250" w:lineRule="exact" w:before="3"/>
                          <w:ind w:left="409"/>
                          <w:jc w:val="left"/>
                          <w:rPr>
                            <w:b/>
                            <w:sz w:val="21"/>
                          </w:rPr>
                        </w:pPr>
                        <w:r>
                          <w:rPr>
                            <w:b/>
                            <w:sz w:val="21"/>
                          </w:rPr>
                          <w:t>无组织</w:t>
                        </w:r>
                      </w:p>
                    </w:tc>
                    <w:tc>
                      <w:tcPr>
                        <w:tcW w:w="1468" w:type="dxa"/>
                        <w:gridSpan w:val="2"/>
                      </w:tcPr>
                      <w:p>
                        <w:pPr>
                          <w:pStyle w:val="TableParagraph"/>
                          <w:spacing w:line="250" w:lineRule="exact" w:before="3"/>
                          <w:ind w:left="496" w:right="500"/>
                          <w:rPr>
                            <w:b/>
                            <w:sz w:val="21"/>
                          </w:rPr>
                        </w:pPr>
                        <w:r>
                          <w:rPr>
                            <w:b/>
                            <w:sz w:val="21"/>
                          </w:rPr>
                          <w:t>合计</w:t>
                        </w:r>
                      </w:p>
                    </w:tc>
                  </w:tr>
                  <w:tr>
                    <w:trPr>
                      <w:trHeight w:val="273" w:hRule="atLeast"/>
                    </w:trPr>
                    <w:tc>
                      <w:tcPr>
                        <w:tcW w:w="1930" w:type="dxa"/>
                        <w:vMerge/>
                        <w:tcBorders>
                          <w:top w:val="nil"/>
                        </w:tcBorders>
                      </w:tcPr>
                      <w:p>
                        <w:pPr>
                          <w:rPr>
                            <w:sz w:val="2"/>
                            <w:szCs w:val="2"/>
                          </w:rPr>
                        </w:pPr>
                      </w:p>
                    </w:tc>
                    <w:tc>
                      <w:tcPr>
                        <w:tcW w:w="555" w:type="dxa"/>
                        <w:vMerge/>
                        <w:tcBorders>
                          <w:top w:val="nil"/>
                        </w:tcBorders>
                      </w:tcPr>
                      <w:p>
                        <w:pPr>
                          <w:rPr>
                            <w:sz w:val="2"/>
                            <w:szCs w:val="2"/>
                          </w:rPr>
                        </w:pPr>
                      </w:p>
                    </w:tc>
                    <w:tc>
                      <w:tcPr>
                        <w:tcW w:w="733" w:type="dxa"/>
                        <w:vMerge/>
                        <w:tcBorders>
                          <w:top w:val="nil"/>
                        </w:tcBorders>
                      </w:tcPr>
                      <w:p>
                        <w:pPr>
                          <w:rPr>
                            <w:sz w:val="2"/>
                            <w:szCs w:val="2"/>
                          </w:rPr>
                        </w:pPr>
                      </w:p>
                    </w:tc>
                    <w:tc>
                      <w:tcPr>
                        <w:tcW w:w="735" w:type="dxa"/>
                        <w:vMerge/>
                        <w:tcBorders>
                          <w:top w:val="nil"/>
                        </w:tcBorders>
                      </w:tcPr>
                      <w:p>
                        <w:pPr>
                          <w:rPr>
                            <w:sz w:val="2"/>
                            <w:szCs w:val="2"/>
                          </w:rPr>
                        </w:pPr>
                      </w:p>
                    </w:tc>
                    <w:tc>
                      <w:tcPr>
                        <w:tcW w:w="733" w:type="dxa"/>
                        <w:vMerge/>
                        <w:tcBorders>
                          <w:top w:val="nil"/>
                        </w:tcBorders>
                      </w:tcPr>
                      <w:p>
                        <w:pPr>
                          <w:rPr>
                            <w:sz w:val="2"/>
                            <w:szCs w:val="2"/>
                          </w:rPr>
                        </w:pPr>
                      </w:p>
                    </w:tc>
                    <w:tc>
                      <w:tcPr>
                        <w:tcW w:w="736" w:type="dxa"/>
                      </w:tcPr>
                      <w:p>
                        <w:pPr>
                          <w:pStyle w:val="TableParagraph"/>
                          <w:spacing w:line="252" w:lineRule="exact" w:before="1"/>
                          <w:ind w:left="26" w:right="26"/>
                          <w:rPr>
                            <w:b/>
                            <w:sz w:val="21"/>
                          </w:rPr>
                        </w:pPr>
                        <w:r>
                          <w:rPr>
                            <w:b/>
                            <w:sz w:val="21"/>
                          </w:rPr>
                          <w:t>最大值</w:t>
                        </w:r>
                      </w:p>
                    </w:tc>
                    <w:tc>
                      <w:tcPr>
                        <w:tcW w:w="733" w:type="dxa"/>
                      </w:tcPr>
                      <w:p>
                        <w:pPr>
                          <w:pStyle w:val="TableParagraph"/>
                          <w:spacing w:line="252" w:lineRule="exact" w:before="1"/>
                          <w:ind w:left="21" w:right="26"/>
                          <w:rPr>
                            <w:b/>
                            <w:sz w:val="21"/>
                          </w:rPr>
                        </w:pPr>
                        <w:r>
                          <w:rPr>
                            <w:b/>
                            <w:sz w:val="21"/>
                          </w:rPr>
                          <w:t>年总量</w:t>
                        </w:r>
                      </w:p>
                    </w:tc>
                    <w:tc>
                      <w:tcPr>
                        <w:tcW w:w="733" w:type="dxa"/>
                      </w:tcPr>
                      <w:p>
                        <w:pPr>
                          <w:pStyle w:val="TableParagraph"/>
                          <w:spacing w:line="252" w:lineRule="exact" w:before="1"/>
                          <w:ind w:left="22" w:right="24"/>
                          <w:rPr>
                            <w:b/>
                            <w:sz w:val="21"/>
                          </w:rPr>
                        </w:pPr>
                        <w:r>
                          <w:rPr>
                            <w:b/>
                            <w:sz w:val="21"/>
                          </w:rPr>
                          <w:t>最大值</w:t>
                        </w:r>
                      </w:p>
                    </w:tc>
                    <w:tc>
                      <w:tcPr>
                        <w:tcW w:w="735" w:type="dxa"/>
                      </w:tcPr>
                      <w:p>
                        <w:pPr>
                          <w:pStyle w:val="TableParagraph"/>
                          <w:spacing w:line="252" w:lineRule="exact" w:before="1"/>
                          <w:ind w:left="22" w:right="28"/>
                          <w:rPr>
                            <w:b/>
                            <w:sz w:val="21"/>
                          </w:rPr>
                        </w:pPr>
                        <w:r>
                          <w:rPr>
                            <w:b/>
                            <w:sz w:val="21"/>
                          </w:rPr>
                          <w:t>年总量</w:t>
                        </w:r>
                      </w:p>
                    </w:tc>
                    <w:tc>
                      <w:tcPr>
                        <w:tcW w:w="733" w:type="dxa"/>
                      </w:tcPr>
                      <w:p>
                        <w:pPr>
                          <w:pStyle w:val="TableParagraph"/>
                          <w:spacing w:line="252" w:lineRule="exact" w:before="1"/>
                          <w:ind w:right="46"/>
                          <w:jc w:val="right"/>
                          <w:rPr>
                            <w:b/>
                            <w:sz w:val="21"/>
                          </w:rPr>
                        </w:pPr>
                        <w:r>
                          <w:rPr>
                            <w:b/>
                            <w:sz w:val="21"/>
                          </w:rPr>
                          <w:t>最大值</w:t>
                        </w:r>
                      </w:p>
                    </w:tc>
                    <w:tc>
                      <w:tcPr>
                        <w:tcW w:w="735" w:type="dxa"/>
                      </w:tcPr>
                      <w:p>
                        <w:pPr>
                          <w:pStyle w:val="TableParagraph"/>
                          <w:spacing w:line="252" w:lineRule="exact" w:before="1"/>
                          <w:ind w:left="21" w:right="29"/>
                          <w:rPr>
                            <w:b/>
                            <w:sz w:val="21"/>
                          </w:rPr>
                        </w:pPr>
                        <w:r>
                          <w:rPr>
                            <w:b/>
                            <w:sz w:val="21"/>
                          </w:rPr>
                          <w:t>年总量</w:t>
                        </w:r>
                      </w:p>
                    </w:tc>
                  </w:tr>
                  <w:tr>
                    <w:trPr>
                      <w:trHeight w:val="242" w:hRule="atLeast"/>
                    </w:trPr>
                    <w:tc>
                      <w:tcPr>
                        <w:tcW w:w="1930" w:type="dxa"/>
                        <w:vMerge/>
                        <w:tcBorders>
                          <w:top w:val="nil"/>
                        </w:tcBorders>
                      </w:tcPr>
                      <w:p>
                        <w:pPr>
                          <w:rPr>
                            <w:sz w:val="2"/>
                            <w:szCs w:val="2"/>
                          </w:rPr>
                        </w:pPr>
                      </w:p>
                    </w:tc>
                    <w:tc>
                      <w:tcPr>
                        <w:tcW w:w="555" w:type="dxa"/>
                        <w:vMerge/>
                        <w:tcBorders>
                          <w:top w:val="nil"/>
                        </w:tcBorders>
                      </w:tcPr>
                      <w:p>
                        <w:pPr>
                          <w:rPr>
                            <w:sz w:val="2"/>
                            <w:szCs w:val="2"/>
                          </w:rPr>
                        </w:pPr>
                      </w:p>
                    </w:tc>
                    <w:tc>
                      <w:tcPr>
                        <w:tcW w:w="733" w:type="dxa"/>
                      </w:tcPr>
                      <w:p>
                        <w:pPr>
                          <w:pStyle w:val="TableParagraph"/>
                          <w:spacing w:line="221" w:lineRule="exact"/>
                          <w:ind w:left="22" w:right="13"/>
                          <w:rPr>
                            <w:rFonts w:ascii="Times New Roman"/>
                            <w:b/>
                            <w:sz w:val="21"/>
                          </w:rPr>
                        </w:pPr>
                        <w:r>
                          <w:rPr>
                            <w:rFonts w:ascii="Times New Roman"/>
                            <w:b/>
                            <w:sz w:val="21"/>
                          </w:rPr>
                          <w:t>kg/h</w:t>
                        </w:r>
                      </w:p>
                    </w:tc>
                    <w:tc>
                      <w:tcPr>
                        <w:tcW w:w="735" w:type="dxa"/>
                      </w:tcPr>
                      <w:p>
                        <w:pPr>
                          <w:pStyle w:val="TableParagraph"/>
                          <w:spacing w:line="221" w:lineRule="exact"/>
                          <w:ind w:left="22" w:right="19"/>
                          <w:rPr>
                            <w:rFonts w:ascii="Times New Roman"/>
                            <w:b/>
                            <w:sz w:val="21"/>
                          </w:rPr>
                        </w:pPr>
                        <w:r>
                          <w:rPr>
                            <w:rFonts w:ascii="Times New Roman"/>
                            <w:b/>
                            <w:sz w:val="21"/>
                          </w:rPr>
                          <w:t>t/a</w:t>
                        </w:r>
                      </w:p>
                    </w:tc>
                    <w:tc>
                      <w:tcPr>
                        <w:tcW w:w="733" w:type="dxa"/>
                      </w:tcPr>
                      <w:p>
                        <w:pPr>
                          <w:pStyle w:val="TableParagraph"/>
                          <w:spacing w:line="221" w:lineRule="exact"/>
                          <w:ind w:left="22" w:right="18"/>
                          <w:rPr>
                            <w:rFonts w:ascii="Times New Roman"/>
                            <w:b/>
                            <w:sz w:val="21"/>
                          </w:rPr>
                        </w:pPr>
                        <w:r>
                          <w:rPr>
                            <w:rFonts w:ascii="Times New Roman"/>
                            <w:b/>
                            <w:sz w:val="21"/>
                          </w:rPr>
                          <w:t>t/a</w:t>
                        </w:r>
                      </w:p>
                    </w:tc>
                    <w:tc>
                      <w:tcPr>
                        <w:tcW w:w="736" w:type="dxa"/>
                      </w:tcPr>
                      <w:p>
                        <w:pPr>
                          <w:pStyle w:val="TableParagraph"/>
                          <w:spacing w:line="221" w:lineRule="exact"/>
                          <w:ind w:left="26" w:right="25"/>
                          <w:rPr>
                            <w:rFonts w:ascii="Times New Roman"/>
                            <w:b/>
                            <w:sz w:val="21"/>
                          </w:rPr>
                        </w:pPr>
                        <w:r>
                          <w:rPr>
                            <w:rFonts w:ascii="Times New Roman"/>
                            <w:b/>
                            <w:sz w:val="21"/>
                          </w:rPr>
                          <w:t>kg/h</w:t>
                        </w:r>
                      </w:p>
                    </w:tc>
                    <w:tc>
                      <w:tcPr>
                        <w:tcW w:w="733" w:type="dxa"/>
                      </w:tcPr>
                      <w:p>
                        <w:pPr>
                          <w:pStyle w:val="TableParagraph"/>
                          <w:spacing w:line="221" w:lineRule="exact"/>
                          <w:ind w:left="22" w:right="24"/>
                          <w:rPr>
                            <w:rFonts w:ascii="Times New Roman"/>
                            <w:b/>
                            <w:sz w:val="21"/>
                          </w:rPr>
                        </w:pPr>
                        <w:r>
                          <w:rPr>
                            <w:rFonts w:ascii="Times New Roman"/>
                            <w:b/>
                            <w:sz w:val="21"/>
                          </w:rPr>
                          <w:t>t/a</w:t>
                        </w:r>
                      </w:p>
                    </w:tc>
                    <w:tc>
                      <w:tcPr>
                        <w:tcW w:w="733" w:type="dxa"/>
                      </w:tcPr>
                      <w:p>
                        <w:pPr>
                          <w:pStyle w:val="TableParagraph"/>
                          <w:spacing w:line="221" w:lineRule="exact"/>
                          <w:ind w:left="22" w:right="22"/>
                          <w:rPr>
                            <w:rFonts w:ascii="Times New Roman"/>
                            <w:b/>
                            <w:sz w:val="21"/>
                          </w:rPr>
                        </w:pPr>
                        <w:r>
                          <w:rPr>
                            <w:rFonts w:ascii="Times New Roman"/>
                            <w:b/>
                            <w:sz w:val="21"/>
                          </w:rPr>
                          <w:t>kg/h</w:t>
                        </w:r>
                      </w:p>
                    </w:tc>
                    <w:tc>
                      <w:tcPr>
                        <w:tcW w:w="735" w:type="dxa"/>
                      </w:tcPr>
                      <w:p>
                        <w:pPr>
                          <w:pStyle w:val="TableParagraph"/>
                          <w:spacing w:line="221" w:lineRule="exact"/>
                          <w:ind w:left="22" w:right="25"/>
                          <w:rPr>
                            <w:rFonts w:ascii="Times New Roman"/>
                            <w:b/>
                            <w:sz w:val="21"/>
                          </w:rPr>
                        </w:pPr>
                        <w:r>
                          <w:rPr>
                            <w:rFonts w:ascii="Times New Roman"/>
                            <w:b/>
                            <w:sz w:val="21"/>
                          </w:rPr>
                          <w:t>t/a</w:t>
                        </w:r>
                      </w:p>
                    </w:tc>
                    <w:tc>
                      <w:tcPr>
                        <w:tcW w:w="733" w:type="dxa"/>
                      </w:tcPr>
                      <w:p>
                        <w:pPr>
                          <w:pStyle w:val="TableParagraph"/>
                          <w:spacing w:line="221" w:lineRule="exact"/>
                          <w:ind w:left="160"/>
                          <w:jc w:val="left"/>
                          <w:rPr>
                            <w:rFonts w:ascii="Times New Roman"/>
                            <w:b/>
                            <w:sz w:val="21"/>
                          </w:rPr>
                        </w:pPr>
                        <w:r>
                          <w:rPr>
                            <w:rFonts w:ascii="Times New Roman"/>
                            <w:b/>
                            <w:sz w:val="21"/>
                          </w:rPr>
                          <w:t>kg/h</w:t>
                        </w:r>
                      </w:p>
                    </w:tc>
                    <w:tc>
                      <w:tcPr>
                        <w:tcW w:w="735" w:type="dxa"/>
                      </w:tcPr>
                      <w:p>
                        <w:pPr>
                          <w:pStyle w:val="TableParagraph"/>
                          <w:spacing w:line="221" w:lineRule="exact"/>
                          <w:ind w:left="22" w:right="27"/>
                          <w:rPr>
                            <w:rFonts w:ascii="Times New Roman"/>
                            <w:b/>
                            <w:sz w:val="21"/>
                          </w:rPr>
                        </w:pPr>
                        <w:r>
                          <w:rPr>
                            <w:rFonts w:ascii="Times New Roman"/>
                            <w:b/>
                            <w:sz w:val="21"/>
                          </w:rPr>
                          <w:t>t/a</w:t>
                        </w:r>
                      </w:p>
                    </w:tc>
                  </w:tr>
                  <w:tr>
                    <w:trPr>
                      <w:trHeight w:val="270" w:hRule="atLeast"/>
                    </w:trPr>
                    <w:tc>
                      <w:tcPr>
                        <w:tcW w:w="1930" w:type="dxa"/>
                        <w:vMerge w:val="restart"/>
                      </w:tcPr>
                      <w:p>
                        <w:pPr>
                          <w:pStyle w:val="TableParagraph"/>
                          <w:spacing w:before="142"/>
                          <w:ind w:left="439"/>
                          <w:jc w:val="left"/>
                          <w:rPr>
                            <w:sz w:val="21"/>
                          </w:rPr>
                        </w:pPr>
                        <w:r>
                          <w:rPr>
                            <w:sz w:val="21"/>
                          </w:rPr>
                          <w:t>三环唑原药</w:t>
                        </w:r>
                      </w:p>
                    </w:tc>
                    <w:tc>
                      <w:tcPr>
                        <w:tcW w:w="555" w:type="dxa"/>
                      </w:tcPr>
                      <w:p>
                        <w:pPr>
                          <w:pStyle w:val="TableParagraph"/>
                          <w:spacing w:line="250" w:lineRule="exact" w:before="1"/>
                          <w:ind w:left="44" w:right="34"/>
                          <w:rPr>
                            <w:sz w:val="21"/>
                          </w:rPr>
                        </w:pPr>
                        <w:r>
                          <w:rPr>
                            <w:sz w:val="21"/>
                          </w:rPr>
                          <w:t>甲酸</w:t>
                        </w:r>
                      </w:p>
                    </w:tc>
                    <w:tc>
                      <w:tcPr>
                        <w:tcW w:w="733" w:type="dxa"/>
                      </w:tcPr>
                      <w:p>
                        <w:pPr>
                          <w:pStyle w:val="TableParagraph"/>
                          <w:spacing w:line="236" w:lineRule="exact" w:before="15"/>
                          <w:ind w:left="22" w:right="12"/>
                          <w:rPr>
                            <w:rFonts w:ascii="Times New Roman"/>
                            <w:sz w:val="21"/>
                          </w:rPr>
                        </w:pPr>
                        <w:r>
                          <w:rPr>
                            <w:rFonts w:ascii="Times New Roman"/>
                            <w:sz w:val="21"/>
                          </w:rPr>
                          <w:t>2.4</w:t>
                        </w:r>
                      </w:p>
                    </w:tc>
                    <w:tc>
                      <w:tcPr>
                        <w:tcW w:w="735" w:type="dxa"/>
                      </w:tcPr>
                      <w:p>
                        <w:pPr>
                          <w:pStyle w:val="TableParagraph"/>
                          <w:spacing w:line="236" w:lineRule="exact" w:before="15"/>
                          <w:ind w:left="22" w:right="16"/>
                          <w:rPr>
                            <w:rFonts w:ascii="Times New Roman"/>
                            <w:sz w:val="21"/>
                          </w:rPr>
                        </w:pPr>
                        <w:r>
                          <w:rPr>
                            <w:rFonts w:ascii="Times New Roman"/>
                            <w:sz w:val="21"/>
                          </w:rPr>
                          <w:t>13.625</w:t>
                        </w:r>
                      </w:p>
                    </w:tc>
                    <w:tc>
                      <w:tcPr>
                        <w:tcW w:w="733" w:type="dxa"/>
                      </w:tcPr>
                      <w:p>
                        <w:pPr>
                          <w:pStyle w:val="TableParagraph"/>
                          <w:spacing w:line="236" w:lineRule="exact" w:before="15"/>
                          <w:ind w:left="22" w:right="16"/>
                          <w:rPr>
                            <w:rFonts w:ascii="Times New Roman"/>
                            <w:sz w:val="21"/>
                          </w:rPr>
                        </w:pPr>
                        <w:r>
                          <w:rPr>
                            <w:rFonts w:ascii="Times New Roman"/>
                            <w:sz w:val="21"/>
                          </w:rPr>
                          <w:t>13.387</w:t>
                        </w:r>
                      </w:p>
                    </w:tc>
                    <w:tc>
                      <w:tcPr>
                        <w:tcW w:w="736" w:type="dxa"/>
                      </w:tcPr>
                      <w:p>
                        <w:pPr>
                          <w:pStyle w:val="TableParagraph"/>
                          <w:spacing w:line="236" w:lineRule="exact" w:before="15"/>
                          <w:ind w:left="26" w:right="25"/>
                          <w:rPr>
                            <w:rFonts w:ascii="Times New Roman"/>
                            <w:sz w:val="21"/>
                          </w:rPr>
                        </w:pPr>
                        <w:r>
                          <w:rPr>
                            <w:rFonts w:ascii="Times New Roman"/>
                            <w:sz w:val="21"/>
                          </w:rPr>
                          <w:t>0.042</w:t>
                        </w:r>
                      </w:p>
                    </w:tc>
                    <w:tc>
                      <w:tcPr>
                        <w:tcW w:w="733" w:type="dxa"/>
                      </w:tcPr>
                      <w:p>
                        <w:pPr>
                          <w:pStyle w:val="TableParagraph"/>
                          <w:spacing w:line="236" w:lineRule="exact" w:before="15"/>
                          <w:ind w:left="22" w:right="22"/>
                          <w:rPr>
                            <w:rFonts w:ascii="Times New Roman"/>
                            <w:sz w:val="21"/>
                          </w:rPr>
                        </w:pPr>
                        <w:r>
                          <w:rPr>
                            <w:rFonts w:ascii="Times New Roman"/>
                            <w:sz w:val="21"/>
                          </w:rPr>
                          <w:t>0.238</w:t>
                        </w:r>
                      </w:p>
                    </w:tc>
                    <w:tc>
                      <w:tcPr>
                        <w:tcW w:w="733" w:type="dxa"/>
                      </w:tcPr>
                      <w:p>
                        <w:pPr>
                          <w:pStyle w:val="TableParagraph"/>
                          <w:spacing w:line="236" w:lineRule="exact" w:before="15"/>
                          <w:ind w:right="2"/>
                          <w:rPr>
                            <w:rFonts w:ascii="Times New Roman"/>
                            <w:sz w:val="21"/>
                          </w:rPr>
                        </w:pPr>
                        <w:r>
                          <w:rPr>
                            <w:rFonts w:ascii="Times New Roman"/>
                            <w:w w:val="100"/>
                            <w:sz w:val="21"/>
                          </w:rPr>
                          <w:t>0</w:t>
                        </w:r>
                      </w:p>
                    </w:tc>
                    <w:tc>
                      <w:tcPr>
                        <w:tcW w:w="735" w:type="dxa"/>
                      </w:tcPr>
                      <w:p>
                        <w:pPr>
                          <w:pStyle w:val="TableParagraph"/>
                          <w:spacing w:line="236" w:lineRule="exact" w:before="15"/>
                          <w:ind w:right="6"/>
                          <w:rPr>
                            <w:rFonts w:ascii="Times New Roman"/>
                            <w:sz w:val="21"/>
                          </w:rPr>
                        </w:pPr>
                        <w:r>
                          <w:rPr>
                            <w:rFonts w:ascii="Times New Roman"/>
                            <w:w w:val="100"/>
                            <w:sz w:val="21"/>
                          </w:rPr>
                          <w:t>0</w:t>
                        </w:r>
                      </w:p>
                    </w:tc>
                    <w:tc>
                      <w:tcPr>
                        <w:tcW w:w="733" w:type="dxa"/>
                      </w:tcPr>
                      <w:p>
                        <w:pPr>
                          <w:pStyle w:val="TableParagraph"/>
                          <w:spacing w:line="236" w:lineRule="exact" w:before="15"/>
                          <w:ind w:left="122"/>
                          <w:jc w:val="left"/>
                          <w:rPr>
                            <w:rFonts w:ascii="Times New Roman"/>
                            <w:sz w:val="21"/>
                          </w:rPr>
                        </w:pPr>
                        <w:r>
                          <w:rPr>
                            <w:rFonts w:ascii="Times New Roman"/>
                            <w:sz w:val="21"/>
                          </w:rPr>
                          <w:t>0.042</w:t>
                        </w:r>
                      </w:p>
                    </w:tc>
                    <w:tc>
                      <w:tcPr>
                        <w:tcW w:w="735" w:type="dxa"/>
                      </w:tcPr>
                      <w:p>
                        <w:pPr>
                          <w:pStyle w:val="TableParagraph"/>
                          <w:spacing w:line="236" w:lineRule="exact" w:before="15"/>
                          <w:ind w:left="22" w:right="25"/>
                          <w:rPr>
                            <w:rFonts w:ascii="Times New Roman"/>
                            <w:sz w:val="21"/>
                          </w:rPr>
                        </w:pPr>
                        <w:r>
                          <w:rPr>
                            <w:rFonts w:ascii="Times New Roman"/>
                            <w:sz w:val="21"/>
                          </w:rPr>
                          <w:t>0.238</w:t>
                        </w:r>
                      </w:p>
                    </w:tc>
                  </w:tr>
                  <w:tr>
                    <w:trPr>
                      <w:trHeight w:val="273" w:hRule="atLeast"/>
                    </w:trPr>
                    <w:tc>
                      <w:tcPr>
                        <w:tcW w:w="1930" w:type="dxa"/>
                        <w:vMerge/>
                        <w:tcBorders>
                          <w:top w:val="nil"/>
                        </w:tcBorders>
                      </w:tcPr>
                      <w:p>
                        <w:pPr>
                          <w:rPr>
                            <w:sz w:val="2"/>
                            <w:szCs w:val="2"/>
                          </w:rPr>
                        </w:pPr>
                      </w:p>
                    </w:tc>
                    <w:tc>
                      <w:tcPr>
                        <w:tcW w:w="555" w:type="dxa"/>
                      </w:tcPr>
                      <w:p>
                        <w:pPr>
                          <w:pStyle w:val="TableParagraph"/>
                          <w:spacing w:line="252" w:lineRule="exact" w:before="1"/>
                          <w:ind w:left="44" w:right="34"/>
                          <w:rPr>
                            <w:sz w:val="21"/>
                          </w:rPr>
                        </w:pPr>
                        <w:r>
                          <w:rPr>
                            <w:sz w:val="21"/>
                          </w:rPr>
                          <w:t>粉尘</w:t>
                        </w:r>
                      </w:p>
                    </w:tc>
                    <w:tc>
                      <w:tcPr>
                        <w:tcW w:w="733" w:type="dxa"/>
                      </w:tcPr>
                      <w:p>
                        <w:pPr>
                          <w:pStyle w:val="TableParagraph"/>
                          <w:spacing w:line="238" w:lineRule="exact" w:before="15"/>
                          <w:ind w:left="22" w:right="12"/>
                          <w:rPr>
                            <w:rFonts w:ascii="Times New Roman"/>
                            <w:sz w:val="21"/>
                          </w:rPr>
                        </w:pPr>
                        <w:r>
                          <w:rPr>
                            <w:rFonts w:ascii="Times New Roman"/>
                            <w:sz w:val="21"/>
                          </w:rPr>
                          <w:t>0.4</w:t>
                        </w:r>
                      </w:p>
                    </w:tc>
                    <w:tc>
                      <w:tcPr>
                        <w:tcW w:w="735" w:type="dxa"/>
                      </w:tcPr>
                      <w:p>
                        <w:pPr>
                          <w:pStyle w:val="TableParagraph"/>
                          <w:spacing w:line="238" w:lineRule="exact" w:before="15"/>
                          <w:ind w:left="22" w:right="16"/>
                          <w:rPr>
                            <w:rFonts w:ascii="Times New Roman"/>
                            <w:sz w:val="21"/>
                          </w:rPr>
                        </w:pPr>
                        <w:r>
                          <w:rPr>
                            <w:rFonts w:ascii="Times New Roman"/>
                            <w:sz w:val="21"/>
                          </w:rPr>
                          <w:t>0.5</w:t>
                        </w:r>
                      </w:p>
                    </w:tc>
                    <w:tc>
                      <w:tcPr>
                        <w:tcW w:w="733" w:type="dxa"/>
                      </w:tcPr>
                      <w:p>
                        <w:pPr>
                          <w:pStyle w:val="TableParagraph"/>
                          <w:spacing w:line="238" w:lineRule="exact" w:before="15"/>
                          <w:ind w:left="22" w:right="16"/>
                          <w:rPr>
                            <w:rFonts w:ascii="Times New Roman"/>
                            <w:sz w:val="21"/>
                          </w:rPr>
                        </w:pPr>
                        <w:r>
                          <w:rPr>
                            <w:rFonts w:ascii="Times New Roman"/>
                            <w:sz w:val="21"/>
                          </w:rPr>
                          <w:t>0.428</w:t>
                        </w:r>
                      </w:p>
                    </w:tc>
                    <w:tc>
                      <w:tcPr>
                        <w:tcW w:w="736" w:type="dxa"/>
                      </w:tcPr>
                      <w:p>
                        <w:pPr>
                          <w:pStyle w:val="TableParagraph"/>
                          <w:spacing w:line="238" w:lineRule="exact" w:before="15"/>
                          <w:ind w:left="26" w:right="25"/>
                          <w:rPr>
                            <w:rFonts w:ascii="Times New Roman"/>
                            <w:sz w:val="21"/>
                          </w:rPr>
                        </w:pPr>
                        <w:r>
                          <w:rPr>
                            <w:rFonts w:ascii="Times New Roman"/>
                            <w:sz w:val="21"/>
                          </w:rPr>
                          <w:t>0.018</w:t>
                        </w:r>
                      </w:p>
                    </w:tc>
                    <w:tc>
                      <w:tcPr>
                        <w:tcW w:w="733" w:type="dxa"/>
                      </w:tcPr>
                      <w:p>
                        <w:pPr>
                          <w:pStyle w:val="TableParagraph"/>
                          <w:spacing w:line="238" w:lineRule="exact" w:before="15"/>
                          <w:ind w:left="22" w:right="22"/>
                          <w:rPr>
                            <w:rFonts w:ascii="Times New Roman"/>
                            <w:sz w:val="21"/>
                          </w:rPr>
                        </w:pPr>
                        <w:r>
                          <w:rPr>
                            <w:rFonts w:ascii="Times New Roman"/>
                            <w:sz w:val="21"/>
                          </w:rPr>
                          <w:t>0.022</w:t>
                        </w:r>
                      </w:p>
                    </w:tc>
                    <w:tc>
                      <w:tcPr>
                        <w:tcW w:w="733" w:type="dxa"/>
                      </w:tcPr>
                      <w:p>
                        <w:pPr>
                          <w:pStyle w:val="TableParagraph"/>
                          <w:spacing w:line="238" w:lineRule="exact" w:before="15"/>
                          <w:ind w:left="22" w:right="22"/>
                          <w:rPr>
                            <w:rFonts w:ascii="Times New Roman"/>
                            <w:sz w:val="21"/>
                          </w:rPr>
                        </w:pPr>
                        <w:r>
                          <w:rPr>
                            <w:rFonts w:ascii="Times New Roman"/>
                            <w:sz w:val="21"/>
                          </w:rPr>
                          <w:t>0.04</w:t>
                        </w:r>
                      </w:p>
                    </w:tc>
                    <w:tc>
                      <w:tcPr>
                        <w:tcW w:w="735" w:type="dxa"/>
                      </w:tcPr>
                      <w:p>
                        <w:pPr>
                          <w:pStyle w:val="TableParagraph"/>
                          <w:spacing w:line="238" w:lineRule="exact" w:before="15"/>
                          <w:ind w:left="22" w:right="23"/>
                          <w:rPr>
                            <w:rFonts w:ascii="Times New Roman"/>
                            <w:sz w:val="21"/>
                          </w:rPr>
                        </w:pPr>
                        <w:r>
                          <w:rPr>
                            <w:rFonts w:ascii="Times New Roman"/>
                            <w:sz w:val="21"/>
                          </w:rPr>
                          <w:t>0.05</w:t>
                        </w:r>
                      </w:p>
                    </w:tc>
                    <w:tc>
                      <w:tcPr>
                        <w:tcW w:w="733" w:type="dxa"/>
                      </w:tcPr>
                      <w:p>
                        <w:pPr>
                          <w:pStyle w:val="TableParagraph"/>
                          <w:spacing w:line="238" w:lineRule="exact" w:before="15"/>
                          <w:ind w:left="122"/>
                          <w:jc w:val="left"/>
                          <w:rPr>
                            <w:rFonts w:ascii="Times New Roman"/>
                            <w:sz w:val="21"/>
                          </w:rPr>
                        </w:pPr>
                        <w:r>
                          <w:rPr>
                            <w:rFonts w:ascii="Times New Roman"/>
                            <w:sz w:val="21"/>
                          </w:rPr>
                          <w:t>0.058</w:t>
                        </w:r>
                      </w:p>
                    </w:tc>
                    <w:tc>
                      <w:tcPr>
                        <w:tcW w:w="735" w:type="dxa"/>
                      </w:tcPr>
                      <w:p>
                        <w:pPr>
                          <w:pStyle w:val="TableParagraph"/>
                          <w:spacing w:line="238" w:lineRule="exact" w:before="15"/>
                          <w:ind w:left="22" w:right="25"/>
                          <w:rPr>
                            <w:rFonts w:ascii="Times New Roman"/>
                            <w:sz w:val="21"/>
                          </w:rPr>
                        </w:pPr>
                        <w:r>
                          <w:rPr>
                            <w:rFonts w:ascii="Times New Roman"/>
                            <w:sz w:val="21"/>
                          </w:rPr>
                          <w:t>0.072</w:t>
                        </w:r>
                      </w:p>
                    </w:tc>
                  </w:tr>
                  <w:tr>
                    <w:trPr>
                      <w:trHeight w:val="271" w:hRule="atLeast"/>
                    </w:trPr>
                    <w:tc>
                      <w:tcPr>
                        <w:tcW w:w="1930" w:type="dxa"/>
                      </w:tcPr>
                      <w:p>
                        <w:pPr>
                          <w:pStyle w:val="TableParagraph"/>
                          <w:spacing w:line="250" w:lineRule="exact" w:before="1"/>
                          <w:ind w:left="105" w:right="94"/>
                          <w:rPr>
                            <w:sz w:val="21"/>
                          </w:rPr>
                        </w:pPr>
                        <w:r>
                          <w:rPr>
                            <w:sz w:val="21"/>
                          </w:rPr>
                          <w:t>三环唑可湿性粉剂</w:t>
                        </w:r>
                      </w:p>
                    </w:tc>
                    <w:tc>
                      <w:tcPr>
                        <w:tcW w:w="555" w:type="dxa"/>
                      </w:tcPr>
                      <w:p>
                        <w:pPr>
                          <w:pStyle w:val="TableParagraph"/>
                          <w:spacing w:line="250" w:lineRule="exact" w:before="1"/>
                          <w:ind w:left="44" w:right="34"/>
                          <w:rPr>
                            <w:sz w:val="21"/>
                          </w:rPr>
                        </w:pPr>
                        <w:r>
                          <w:rPr>
                            <w:sz w:val="21"/>
                          </w:rPr>
                          <w:t>粉尘</w:t>
                        </w:r>
                      </w:p>
                    </w:tc>
                    <w:tc>
                      <w:tcPr>
                        <w:tcW w:w="733" w:type="dxa"/>
                      </w:tcPr>
                      <w:p>
                        <w:pPr>
                          <w:pStyle w:val="TableParagraph"/>
                          <w:spacing w:line="236" w:lineRule="exact" w:before="15"/>
                          <w:ind w:left="22" w:right="12"/>
                          <w:rPr>
                            <w:rFonts w:ascii="Times New Roman"/>
                            <w:sz w:val="21"/>
                          </w:rPr>
                        </w:pPr>
                        <w:r>
                          <w:rPr>
                            <w:rFonts w:ascii="Times New Roman"/>
                            <w:sz w:val="21"/>
                          </w:rPr>
                          <w:t>1.217</w:t>
                        </w:r>
                      </w:p>
                    </w:tc>
                    <w:tc>
                      <w:tcPr>
                        <w:tcW w:w="735" w:type="dxa"/>
                      </w:tcPr>
                      <w:p>
                        <w:pPr>
                          <w:pStyle w:val="TableParagraph"/>
                          <w:spacing w:line="236" w:lineRule="exact" w:before="15"/>
                          <w:ind w:left="22" w:right="16"/>
                          <w:rPr>
                            <w:rFonts w:ascii="Times New Roman"/>
                            <w:sz w:val="21"/>
                          </w:rPr>
                        </w:pPr>
                        <w:r>
                          <w:rPr>
                            <w:rFonts w:ascii="Times New Roman"/>
                            <w:sz w:val="21"/>
                          </w:rPr>
                          <w:t>1.44</w:t>
                        </w:r>
                      </w:p>
                    </w:tc>
                    <w:tc>
                      <w:tcPr>
                        <w:tcW w:w="733" w:type="dxa"/>
                      </w:tcPr>
                      <w:p>
                        <w:pPr>
                          <w:pStyle w:val="TableParagraph"/>
                          <w:spacing w:line="236" w:lineRule="exact" w:before="15"/>
                          <w:ind w:left="22" w:right="16"/>
                          <w:rPr>
                            <w:rFonts w:ascii="Times New Roman"/>
                            <w:sz w:val="21"/>
                          </w:rPr>
                        </w:pPr>
                        <w:r>
                          <w:rPr>
                            <w:rFonts w:ascii="Times New Roman"/>
                            <w:sz w:val="21"/>
                          </w:rPr>
                          <w:t>1.315</w:t>
                        </w:r>
                      </w:p>
                    </w:tc>
                    <w:tc>
                      <w:tcPr>
                        <w:tcW w:w="736" w:type="dxa"/>
                      </w:tcPr>
                      <w:p>
                        <w:pPr>
                          <w:pStyle w:val="TableParagraph"/>
                          <w:spacing w:line="236" w:lineRule="exact" w:before="15"/>
                          <w:ind w:left="26" w:right="25"/>
                          <w:rPr>
                            <w:rFonts w:ascii="Times New Roman"/>
                            <w:sz w:val="21"/>
                          </w:rPr>
                        </w:pPr>
                        <w:r>
                          <w:rPr>
                            <w:rFonts w:ascii="Times New Roman"/>
                            <w:sz w:val="21"/>
                          </w:rPr>
                          <w:t>0.058</w:t>
                        </w:r>
                      </w:p>
                    </w:tc>
                    <w:tc>
                      <w:tcPr>
                        <w:tcW w:w="733" w:type="dxa"/>
                      </w:tcPr>
                      <w:p>
                        <w:pPr>
                          <w:pStyle w:val="TableParagraph"/>
                          <w:spacing w:line="236" w:lineRule="exact" w:before="15"/>
                          <w:ind w:left="22" w:right="22"/>
                          <w:rPr>
                            <w:rFonts w:ascii="Times New Roman"/>
                            <w:sz w:val="21"/>
                          </w:rPr>
                        </w:pPr>
                        <w:r>
                          <w:rPr>
                            <w:rFonts w:ascii="Times New Roman"/>
                            <w:sz w:val="21"/>
                          </w:rPr>
                          <w:t>0.069</w:t>
                        </w:r>
                      </w:p>
                    </w:tc>
                    <w:tc>
                      <w:tcPr>
                        <w:tcW w:w="733" w:type="dxa"/>
                      </w:tcPr>
                      <w:p>
                        <w:pPr>
                          <w:pStyle w:val="TableParagraph"/>
                          <w:spacing w:line="236" w:lineRule="exact" w:before="15"/>
                          <w:ind w:left="22" w:right="22"/>
                          <w:rPr>
                            <w:rFonts w:ascii="Times New Roman"/>
                            <w:sz w:val="21"/>
                          </w:rPr>
                        </w:pPr>
                        <w:r>
                          <w:rPr>
                            <w:rFonts w:ascii="Times New Roman"/>
                            <w:sz w:val="21"/>
                          </w:rPr>
                          <w:t>0.045</w:t>
                        </w:r>
                      </w:p>
                    </w:tc>
                    <w:tc>
                      <w:tcPr>
                        <w:tcW w:w="735" w:type="dxa"/>
                      </w:tcPr>
                      <w:p>
                        <w:pPr>
                          <w:pStyle w:val="TableParagraph"/>
                          <w:spacing w:line="236" w:lineRule="exact" w:before="15"/>
                          <w:ind w:left="22" w:right="23"/>
                          <w:rPr>
                            <w:rFonts w:ascii="Times New Roman"/>
                            <w:sz w:val="21"/>
                          </w:rPr>
                        </w:pPr>
                        <w:r>
                          <w:rPr>
                            <w:rFonts w:ascii="Times New Roman"/>
                            <w:sz w:val="21"/>
                          </w:rPr>
                          <w:t>0.056</w:t>
                        </w:r>
                      </w:p>
                    </w:tc>
                    <w:tc>
                      <w:tcPr>
                        <w:tcW w:w="733" w:type="dxa"/>
                      </w:tcPr>
                      <w:p>
                        <w:pPr>
                          <w:pStyle w:val="TableParagraph"/>
                          <w:spacing w:line="236" w:lineRule="exact" w:before="15"/>
                          <w:ind w:left="122"/>
                          <w:jc w:val="left"/>
                          <w:rPr>
                            <w:rFonts w:ascii="Times New Roman"/>
                            <w:sz w:val="21"/>
                          </w:rPr>
                        </w:pPr>
                        <w:r>
                          <w:rPr>
                            <w:rFonts w:ascii="Times New Roman"/>
                            <w:sz w:val="21"/>
                          </w:rPr>
                          <w:t>0.103</w:t>
                        </w:r>
                      </w:p>
                    </w:tc>
                    <w:tc>
                      <w:tcPr>
                        <w:tcW w:w="735" w:type="dxa"/>
                      </w:tcPr>
                      <w:p>
                        <w:pPr>
                          <w:pStyle w:val="TableParagraph"/>
                          <w:spacing w:line="236" w:lineRule="exact" w:before="15"/>
                          <w:ind w:left="21" w:right="29"/>
                          <w:rPr>
                            <w:rFonts w:ascii="Times New Roman"/>
                            <w:sz w:val="21"/>
                          </w:rPr>
                        </w:pPr>
                        <w:r>
                          <w:rPr>
                            <w:rFonts w:ascii="Times New Roman"/>
                            <w:sz w:val="21"/>
                          </w:rPr>
                          <w:t>0.125</w:t>
                        </w:r>
                      </w:p>
                    </w:tc>
                  </w:tr>
                  <w:tr>
                    <w:trPr>
                      <w:trHeight w:val="273" w:hRule="atLeast"/>
                    </w:trPr>
                    <w:tc>
                      <w:tcPr>
                        <w:tcW w:w="1930" w:type="dxa"/>
                      </w:tcPr>
                      <w:p>
                        <w:pPr>
                          <w:pStyle w:val="TableParagraph"/>
                          <w:spacing w:line="250" w:lineRule="exact" w:before="3"/>
                          <w:ind w:left="105" w:right="94"/>
                          <w:rPr>
                            <w:sz w:val="21"/>
                          </w:rPr>
                        </w:pPr>
                        <w:r>
                          <w:rPr>
                            <w:sz w:val="21"/>
                          </w:rPr>
                          <w:t>公用工程</w:t>
                        </w:r>
                      </w:p>
                    </w:tc>
                    <w:tc>
                      <w:tcPr>
                        <w:tcW w:w="555" w:type="dxa"/>
                      </w:tcPr>
                      <w:p>
                        <w:pPr>
                          <w:pStyle w:val="TableParagraph"/>
                          <w:spacing w:line="250" w:lineRule="exact" w:before="3"/>
                          <w:ind w:left="44" w:right="34"/>
                          <w:rPr>
                            <w:sz w:val="21"/>
                          </w:rPr>
                        </w:pPr>
                        <w:r>
                          <w:rPr>
                            <w:sz w:val="21"/>
                          </w:rPr>
                          <w:t>甲酸</w:t>
                        </w:r>
                      </w:p>
                    </w:tc>
                    <w:tc>
                      <w:tcPr>
                        <w:tcW w:w="733" w:type="dxa"/>
                      </w:tcPr>
                      <w:p>
                        <w:pPr>
                          <w:pStyle w:val="TableParagraph"/>
                          <w:spacing w:line="236" w:lineRule="exact" w:before="17"/>
                          <w:ind w:left="22" w:right="12"/>
                          <w:rPr>
                            <w:rFonts w:ascii="Times New Roman"/>
                            <w:sz w:val="21"/>
                          </w:rPr>
                        </w:pPr>
                        <w:r>
                          <w:rPr>
                            <w:rFonts w:ascii="Times New Roman"/>
                            <w:sz w:val="21"/>
                          </w:rPr>
                          <w:t>0.026</w:t>
                        </w:r>
                      </w:p>
                    </w:tc>
                    <w:tc>
                      <w:tcPr>
                        <w:tcW w:w="735" w:type="dxa"/>
                      </w:tcPr>
                      <w:p>
                        <w:pPr>
                          <w:pStyle w:val="TableParagraph"/>
                          <w:spacing w:line="236" w:lineRule="exact" w:before="17"/>
                          <w:ind w:left="22" w:right="16"/>
                          <w:rPr>
                            <w:rFonts w:ascii="Times New Roman"/>
                            <w:sz w:val="21"/>
                          </w:rPr>
                        </w:pPr>
                        <w:r>
                          <w:rPr>
                            <w:rFonts w:ascii="Times New Roman"/>
                            <w:sz w:val="21"/>
                          </w:rPr>
                          <w:t>0.185</w:t>
                        </w:r>
                      </w:p>
                    </w:tc>
                    <w:tc>
                      <w:tcPr>
                        <w:tcW w:w="733" w:type="dxa"/>
                      </w:tcPr>
                      <w:p>
                        <w:pPr>
                          <w:pStyle w:val="TableParagraph"/>
                          <w:spacing w:line="236" w:lineRule="exact" w:before="17"/>
                          <w:ind w:left="22" w:right="16"/>
                          <w:rPr>
                            <w:rFonts w:ascii="Times New Roman"/>
                            <w:sz w:val="21"/>
                          </w:rPr>
                        </w:pPr>
                        <w:r>
                          <w:rPr>
                            <w:rFonts w:ascii="Times New Roman"/>
                            <w:sz w:val="21"/>
                          </w:rPr>
                          <w:t>0.09</w:t>
                        </w:r>
                      </w:p>
                    </w:tc>
                    <w:tc>
                      <w:tcPr>
                        <w:tcW w:w="736" w:type="dxa"/>
                      </w:tcPr>
                      <w:p>
                        <w:pPr>
                          <w:pStyle w:val="TableParagraph"/>
                          <w:spacing w:line="236" w:lineRule="exact" w:before="17"/>
                          <w:ind w:left="26" w:right="25"/>
                          <w:rPr>
                            <w:rFonts w:ascii="Times New Roman"/>
                            <w:sz w:val="21"/>
                          </w:rPr>
                        </w:pPr>
                        <w:r>
                          <w:rPr>
                            <w:rFonts w:ascii="Times New Roman"/>
                            <w:sz w:val="21"/>
                          </w:rPr>
                          <w:t>0.0007</w:t>
                        </w:r>
                      </w:p>
                    </w:tc>
                    <w:tc>
                      <w:tcPr>
                        <w:tcW w:w="733" w:type="dxa"/>
                      </w:tcPr>
                      <w:p>
                        <w:pPr>
                          <w:pStyle w:val="TableParagraph"/>
                          <w:spacing w:line="236" w:lineRule="exact" w:before="17"/>
                          <w:ind w:left="22" w:right="22"/>
                          <w:rPr>
                            <w:rFonts w:ascii="Times New Roman"/>
                            <w:sz w:val="21"/>
                          </w:rPr>
                        </w:pPr>
                        <w:r>
                          <w:rPr>
                            <w:rFonts w:ascii="Times New Roman"/>
                            <w:sz w:val="21"/>
                          </w:rPr>
                          <w:t>0.005</w:t>
                        </w:r>
                      </w:p>
                    </w:tc>
                    <w:tc>
                      <w:tcPr>
                        <w:tcW w:w="733" w:type="dxa"/>
                      </w:tcPr>
                      <w:p>
                        <w:pPr>
                          <w:pStyle w:val="TableParagraph"/>
                          <w:spacing w:line="236" w:lineRule="exact" w:before="17"/>
                          <w:ind w:left="22" w:right="22"/>
                          <w:rPr>
                            <w:rFonts w:ascii="Times New Roman"/>
                            <w:sz w:val="21"/>
                          </w:rPr>
                        </w:pPr>
                        <w:r>
                          <w:rPr>
                            <w:rFonts w:ascii="Times New Roman"/>
                            <w:sz w:val="21"/>
                          </w:rPr>
                          <w:t>0.013</w:t>
                        </w:r>
                      </w:p>
                    </w:tc>
                    <w:tc>
                      <w:tcPr>
                        <w:tcW w:w="735" w:type="dxa"/>
                      </w:tcPr>
                      <w:p>
                        <w:pPr>
                          <w:pStyle w:val="TableParagraph"/>
                          <w:spacing w:line="236" w:lineRule="exact" w:before="17"/>
                          <w:ind w:left="22" w:right="23"/>
                          <w:rPr>
                            <w:rFonts w:ascii="Times New Roman"/>
                            <w:sz w:val="21"/>
                          </w:rPr>
                        </w:pPr>
                        <w:r>
                          <w:rPr>
                            <w:rFonts w:ascii="Times New Roman"/>
                            <w:sz w:val="21"/>
                          </w:rPr>
                          <w:t>0.09</w:t>
                        </w:r>
                      </w:p>
                    </w:tc>
                    <w:tc>
                      <w:tcPr>
                        <w:tcW w:w="733" w:type="dxa"/>
                      </w:tcPr>
                      <w:p>
                        <w:pPr>
                          <w:pStyle w:val="TableParagraph"/>
                          <w:spacing w:line="236" w:lineRule="exact" w:before="17"/>
                          <w:ind w:right="70"/>
                          <w:jc w:val="right"/>
                          <w:rPr>
                            <w:rFonts w:ascii="Times New Roman"/>
                            <w:sz w:val="21"/>
                          </w:rPr>
                        </w:pPr>
                        <w:r>
                          <w:rPr>
                            <w:rFonts w:ascii="Times New Roman"/>
                            <w:sz w:val="21"/>
                          </w:rPr>
                          <w:t>0.0137</w:t>
                        </w:r>
                      </w:p>
                    </w:tc>
                    <w:tc>
                      <w:tcPr>
                        <w:tcW w:w="735" w:type="dxa"/>
                      </w:tcPr>
                      <w:p>
                        <w:pPr>
                          <w:pStyle w:val="TableParagraph"/>
                          <w:spacing w:line="236" w:lineRule="exact" w:before="17"/>
                          <w:ind w:left="22" w:right="25"/>
                          <w:rPr>
                            <w:rFonts w:ascii="Times New Roman"/>
                            <w:sz w:val="21"/>
                          </w:rPr>
                        </w:pPr>
                        <w:r>
                          <w:rPr>
                            <w:rFonts w:ascii="Times New Roman"/>
                            <w:sz w:val="21"/>
                          </w:rPr>
                          <w:t>0.095</w:t>
                        </w:r>
                      </w:p>
                    </w:tc>
                  </w:tr>
                  <w:tr>
                    <w:trPr>
                      <w:trHeight w:val="241" w:hRule="atLeast"/>
                    </w:trPr>
                    <w:tc>
                      <w:tcPr>
                        <w:tcW w:w="1930" w:type="dxa"/>
                        <w:vMerge w:val="restart"/>
                      </w:tcPr>
                      <w:p>
                        <w:pPr>
                          <w:pStyle w:val="TableParagraph"/>
                          <w:spacing w:before="128"/>
                          <w:ind w:left="103" w:right="94"/>
                          <w:rPr>
                            <w:b/>
                            <w:sz w:val="21"/>
                          </w:rPr>
                        </w:pPr>
                        <w:r>
                          <w:rPr>
                            <w:b/>
                            <w:sz w:val="21"/>
                          </w:rPr>
                          <w:t>小计</w:t>
                        </w:r>
                      </w:p>
                    </w:tc>
                    <w:tc>
                      <w:tcPr>
                        <w:tcW w:w="555" w:type="dxa"/>
                      </w:tcPr>
                      <w:p>
                        <w:pPr>
                          <w:pStyle w:val="TableParagraph"/>
                          <w:spacing w:line="221" w:lineRule="exact"/>
                          <w:ind w:left="4" w:right="-15"/>
                          <w:rPr>
                            <w:rFonts w:ascii="Times New Roman"/>
                            <w:b/>
                            <w:sz w:val="21"/>
                          </w:rPr>
                        </w:pPr>
                        <w:r>
                          <w:rPr>
                            <w:rFonts w:ascii="Times New Roman"/>
                            <w:b/>
                            <w:spacing w:val="-1"/>
                            <w:sz w:val="21"/>
                          </w:rPr>
                          <w:t>VOCs</w:t>
                        </w:r>
                      </w:p>
                    </w:tc>
                    <w:tc>
                      <w:tcPr>
                        <w:tcW w:w="733" w:type="dxa"/>
                      </w:tcPr>
                      <w:p>
                        <w:pPr>
                          <w:pStyle w:val="TableParagraph"/>
                          <w:spacing w:line="221" w:lineRule="exact"/>
                          <w:ind w:left="22" w:right="12"/>
                          <w:rPr>
                            <w:rFonts w:ascii="Times New Roman"/>
                            <w:b/>
                            <w:sz w:val="21"/>
                          </w:rPr>
                        </w:pPr>
                        <w:r>
                          <w:rPr>
                            <w:rFonts w:ascii="Times New Roman"/>
                            <w:b/>
                            <w:sz w:val="21"/>
                          </w:rPr>
                          <w:t>2.426</w:t>
                        </w:r>
                      </w:p>
                    </w:tc>
                    <w:tc>
                      <w:tcPr>
                        <w:tcW w:w="735" w:type="dxa"/>
                      </w:tcPr>
                      <w:p>
                        <w:pPr>
                          <w:pStyle w:val="TableParagraph"/>
                          <w:spacing w:line="221" w:lineRule="exact"/>
                          <w:ind w:left="22" w:right="16"/>
                          <w:rPr>
                            <w:rFonts w:ascii="Times New Roman"/>
                            <w:b/>
                            <w:sz w:val="21"/>
                          </w:rPr>
                        </w:pPr>
                        <w:r>
                          <w:rPr>
                            <w:rFonts w:ascii="Times New Roman"/>
                            <w:b/>
                            <w:sz w:val="21"/>
                          </w:rPr>
                          <w:t>13.81</w:t>
                        </w:r>
                      </w:p>
                    </w:tc>
                    <w:tc>
                      <w:tcPr>
                        <w:tcW w:w="733" w:type="dxa"/>
                      </w:tcPr>
                      <w:p>
                        <w:pPr>
                          <w:pStyle w:val="TableParagraph"/>
                          <w:spacing w:line="221" w:lineRule="exact"/>
                          <w:ind w:left="22" w:right="16"/>
                          <w:rPr>
                            <w:rFonts w:ascii="Times New Roman"/>
                            <w:b/>
                            <w:sz w:val="21"/>
                          </w:rPr>
                        </w:pPr>
                        <w:r>
                          <w:rPr>
                            <w:rFonts w:ascii="Times New Roman"/>
                            <w:b/>
                            <w:sz w:val="21"/>
                          </w:rPr>
                          <w:t>13.477</w:t>
                        </w:r>
                      </w:p>
                    </w:tc>
                    <w:tc>
                      <w:tcPr>
                        <w:tcW w:w="736" w:type="dxa"/>
                      </w:tcPr>
                      <w:p>
                        <w:pPr>
                          <w:pStyle w:val="TableParagraph"/>
                          <w:spacing w:line="221" w:lineRule="exact"/>
                          <w:ind w:left="26" w:right="25"/>
                          <w:rPr>
                            <w:rFonts w:ascii="Times New Roman"/>
                            <w:b/>
                            <w:sz w:val="21"/>
                          </w:rPr>
                        </w:pPr>
                        <w:r>
                          <w:rPr>
                            <w:rFonts w:ascii="Times New Roman"/>
                            <w:b/>
                            <w:sz w:val="21"/>
                          </w:rPr>
                          <w:t>0.0427</w:t>
                        </w:r>
                      </w:p>
                    </w:tc>
                    <w:tc>
                      <w:tcPr>
                        <w:tcW w:w="733" w:type="dxa"/>
                      </w:tcPr>
                      <w:p>
                        <w:pPr>
                          <w:pStyle w:val="TableParagraph"/>
                          <w:spacing w:line="221" w:lineRule="exact"/>
                          <w:ind w:left="22" w:right="22"/>
                          <w:rPr>
                            <w:rFonts w:ascii="Times New Roman"/>
                            <w:b/>
                            <w:sz w:val="21"/>
                          </w:rPr>
                        </w:pPr>
                        <w:r>
                          <w:rPr>
                            <w:rFonts w:ascii="Times New Roman"/>
                            <w:b/>
                            <w:sz w:val="21"/>
                          </w:rPr>
                          <w:t>0.243</w:t>
                        </w:r>
                      </w:p>
                    </w:tc>
                    <w:tc>
                      <w:tcPr>
                        <w:tcW w:w="733" w:type="dxa"/>
                      </w:tcPr>
                      <w:p>
                        <w:pPr>
                          <w:pStyle w:val="TableParagraph"/>
                          <w:spacing w:line="221" w:lineRule="exact"/>
                          <w:ind w:left="22" w:right="22"/>
                          <w:rPr>
                            <w:rFonts w:ascii="Times New Roman"/>
                            <w:b/>
                            <w:sz w:val="21"/>
                          </w:rPr>
                        </w:pPr>
                        <w:r>
                          <w:rPr>
                            <w:rFonts w:ascii="Times New Roman"/>
                            <w:b/>
                            <w:sz w:val="21"/>
                          </w:rPr>
                          <w:t>0.013</w:t>
                        </w:r>
                      </w:p>
                    </w:tc>
                    <w:tc>
                      <w:tcPr>
                        <w:tcW w:w="735" w:type="dxa"/>
                      </w:tcPr>
                      <w:p>
                        <w:pPr>
                          <w:pStyle w:val="TableParagraph"/>
                          <w:spacing w:line="221" w:lineRule="exact"/>
                          <w:ind w:left="22" w:right="23"/>
                          <w:rPr>
                            <w:rFonts w:ascii="Times New Roman"/>
                            <w:b/>
                            <w:sz w:val="21"/>
                          </w:rPr>
                        </w:pPr>
                        <w:r>
                          <w:rPr>
                            <w:rFonts w:ascii="Times New Roman"/>
                            <w:b/>
                            <w:sz w:val="21"/>
                          </w:rPr>
                          <w:t>0.09</w:t>
                        </w:r>
                      </w:p>
                    </w:tc>
                    <w:tc>
                      <w:tcPr>
                        <w:tcW w:w="733" w:type="dxa"/>
                      </w:tcPr>
                      <w:p>
                        <w:pPr>
                          <w:pStyle w:val="TableParagraph"/>
                          <w:spacing w:line="221" w:lineRule="exact"/>
                          <w:ind w:right="70"/>
                          <w:jc w:val="right"/>
                          <w:rPr>
                            <w:rFonts w:ascii="Times New Roman"/>
                            <w:b/>
                            <w:sz w:val="21"/>
                          </w:rPr>
                        </w:pPr>
                        <w:r>
                          <w:rPr>
                            <w:rFonts w:ascii="Times New Roman"/>
                            <w:b/>
                            <w:sz w:val="21"/>
                          </w:rPr>
                          <w:t>0.0557</w:t>
                        </w:r>
                      </w:p>
                    </w:tc>
                    <w:tc>
                      <w:tcPr>
                        <w:tcW w:w="735" w:type="dxa"/>
                      </w:tcPr>
                      <w:p>
                        <w:pPr>
                          <w:pStyle w:val="TableParagraph"/>
                          <w:spacing w:line="221" w:lineRule="exact"/>
                          <w:ind w:left="22" w:right="25"/>
                          <w:rPr>
                            <w:rFonts w:ascii="Times New Roman"/>
                            <w:b/>
                            <w:sz w:val="21"/>
                          </w:rPr>
                        </w:pPr>
                        <w:r>
                          <w:rPr>
                            <w:rFonts w:ascii="Times New Roman"/>
                            <w:b/>
                            <w:sz w:val="21"/>
                          </w:rPr>
                          <w:t>0.333</w:t>
                        </w:r>
                      </w:p>
                    </w:tc>
                  </w:tr>
                  <w:tr>
                    <w:trPr>
                      <w:trHeight w:val="273" w:hRule="atLeast"/>
                    </w:trPr>
                    <w:tc>
                      <w:tcPr>
                        <w:tcW w:w="1930" w:type="dxa"/>
                        <w:vMerge/>
                        <w:tcBorders>
                          <w:top w:val="nil"/>
                        </w:tcBorders>
                      </w:tcPr>
                      <w:p>
                        <w:pPr>
                          <w:rPr>
                            <w:sz w:val="2"/>
                            <w:szCs w:val="2"/>
                          </w:rPr>
                        </w:pPr>
                      </w:p>
                    </w:tc>
                    <w:tc>
                      <w:tcPr>
                        <w:tcW w:w="555" w:type="dxa"/>
                      </w:tcPr>
                      <w:p>
                        <w:pPr>
                          <w:pStyle w:val="TableParagraph"/>
                          <w:spacing w:line="252" w:lineRule="exact" w:before="1"/>
                          <w:ind w:left="42" w:right="37"/>
                          <w:rPr>
                            <w:b/>
                            <w:sz w:val="21"/>
                          </w:rPr>
                        </w:pPr>
                        <w:r>
                          <w:rPr>
                            <w:b/>
                            <w:sz w:val="21"/>
                          </w:rPr>
                          <w:t>粉尘</w:t>
                        </w:r>
                      </w:p>
                    </w:tc>
                    <w:tc>
                      <w:tcPr>
                        <w:tcW w:w="733" w:type="dxa"/>
                      </w:tcPr>
                      <w:p>
                        <w:pPr>
                          <w:pStyle w:val="TableParagraph"/>
                          <w:spacing w:line="238" w:lineRule="exact" w:before="15"/>
                          <w:ind w:left="22" w:right="12"/>
                          <w:rPr>
                            <w:rFonts w:ascii="Times New Roman"/>
                            <w:b/>
                            <w:sz w:val="21"/>
                          </w:rPr>
                        </w:pPr>
                        <w:r>
                          <w:rPr>
                            <w:rFonts w:ascii="Times New Roman"/>
                            <w:b/>
                            <w:sz w:val="21"/>
                          </w:rPr>
                          <w:t>1.617</w:t>
                        </w:r>
                      </w:p>
                    </w:tc>
                    <w:tc>
                      <w:tcPr>
                        <w:tcW w:w="735" w:type="dxa"/>
                      </w:tcPr>
                      <w:p>
                        <w:pPr>
                          <w:pStyle w:val="TableParagraph"/>
                          <w:spacing w:line="238" w:lineRule="exact" w:before="15"/>
                          <w:ind w:left="22" w:right="16"/>
                          <w:rPr>
                            <w:rFonts w:ascii="Times New Roman"/>
                            <w:b/>
                            <w:sz w:val="21"/>
                          </w:rPr>
                        </w:pPr>
                        <w:r>
                          <w:rPr>
                            <w:rFonts w:ascii="Times New Roman"/>
                            <w:b/>
                            <w:sz w:val="21"/>
                          </w:rPr>
                          <w:t>1.94</w:t>
                        </w:r>
                      </w:p>
                    </w:tc>
                    <w:tc>
                      <w:tcPr>
                        <w:tcW w:w="733" w:type="dxa"/>
                      </w:tcPr>
                      <w:p>
                        <w:pPr>
                          <w:pStyle w:val="TableParagraph"/>
                          <w:spacing w:line="238" w:lineRule="exact" w:before="15"/>
                          <w:ind w:left="22" w:right="16"/>
                          <w:rPr>
                            <w:rFonts w:ascii="Times New Roman"/>
                            <w:b/>
                            <w:sz w:val="21"/>
                          </w:rPr>
                        </w:pPr>
                        <w:r>
                          <w:rPr>
                            <w:rFonts w:ascii="Times New Roman"/>
                            <w:b/>
                            <w:sz w:val="21"/>
                          </w:rPr>
                          <w:t>1.743</w:t>
                        </w:r>
                      </w:p>
                    </w:tc>
                    <w:tc>
                      <w:tcPr>
                        <w:tcW w:w="736" w:type="dxa"/>
                      </w:tcPr>
                      <w:p>
                        <w:pPr>
                          <w:pStyle w:val="TableParagraph"/>
                          <w:spacing w:line="238" w:lineRule="exact" w:before="15"/>
                          <w:ind w:left="26" w:right="25"/>
                          <w:rPr>
                            <w:rFonts w:ascii="Times New Roman"/>
                            <w:b/>
                            <w:sz w:val="21"/>
                          </w:rPr>
                        </w:pPr>
                        <w:r>
                          <w:rPr>
                            <w:rFonts w:ascii="Times New Roman"/>
                            <w:b/>
                            <w:sz w:val="21"/>
                          </w:rPr>
                          <w:t>0.076</w:t>
                        </w:r>
                      </w:p>
                    </w:tc>
                    <w:tc>
                      <w:tcPr>
                        <w:tcW w:w="733" w:type="dxa"/>
                      </w:tcPr>
                      <w:p>
                        <w:pPr>
                          <w:pStyle w:val="TableParagraph"/>
                          <w:spacing w:line="238" w:lineRule="exact" w:before="15"/>
                          <w:ind w:left="22" w:right="22"/>
                          <w:rPr>
                            <w:rFonts w:ascii="Times New Roman"/>
                            <w:b/>
                            <w:sz w:val="21"/>
                          </w:rPr>
                        </w:pPr>
                        <w:r>
                          <w:rPr>
                            <w:rFonts w:ascii="Times New Roman"/>
                            <w:b/>
                            <w:sz w:val="21"/>
                          </w:rPr>
                          <w:t>0.091</w:t>
                        </w:r>
                      </w:p>
                    </w:tc>
                    <w:tc>
                      <w:tcPr>
                        <w:tcW w:w="733" w:type="dxa"/>
                      </w:tcPr>
                      <w:p>
                        <w:pPr>
                          <w:pStyle w:val="TableParagraph"/>
                          <w:spacing w:line="238" w:lineRule="exact" w:before="15"/>
                          <w:ind w:left="22" w:right="22"/>
                          <w:rPr>
                            <w:rFonts w:ascii="Times New Roman"/>
                            <w:b/>
                            <w:sz w:val="21"/>
                          </w:rPr>
                        </w:pPr>
                        <w:r>
                          <w:rPr>
                            <w:rFonts w:ascii="Times New Roman"/>
                            <w:b/>
                            <w:sz w:val="21"/>
                          </w:rPr>
                          <w:t>0.085</w:t>
                        </w:r>
                      </w:p>
                    </w:tc>
                    <w:tc>
                      <w:tcPr>
                        <w:tcW w:w="735" w:type="dxa"/>
                      </w:tcPr>
                      <w:p>
                        <w:pPr>
                          <w:pStyle w:val="TableParagraph"/>
                          <w:spacing w:line="238" w:lineRule="exact" w:before="15"/>
                          <w:ind w:left="22" w:right="23"/>
                          <w:rPr>
                            <w:rFonts w:ascii="Times New Roman"/>
                            <w:b/>
                            <w:sz w:val="21"/>
                          </w:rPr>
                        </w:pPr>
                        <w:r>
                          <w:rPr>
                            <w:rFonts w:ascii="Times New Roman"/>
                            <w:b/>
                            <w:sz w:val="21"/>
                          </w:rPr>
                          <w:t>0.106</w:t>
                        </w:r>
                      </w:p>
                    </w:tc>
                    <w:tc>
                      <w:tcPr>
                        <w:tcW w:w="733" w:type="dxa"/>
                      </w:tcPr>
                      <w:p>
                        <w:pPr>
                          <w:pStyle w:val="TableParagraph"/>
                          <w:spacing w:line="238" w:lineRule="exact" w:before="15"/>
                          <w:ind w:left="122"/>
                          <w:jc w:val="left"/>
                          <w:rPr>
                            <w:rFonts w:ascii="Times New Roman"/>
                            <w:b/>
                            <w:sz w:val="21"/>
                          </w:rPr>
                        </w:pPr>
                        <w:r>
                          <w:rPr>
                            <w:rFonts w:ascii="Times New Roman"/>
                            <w:b/>
                            <w:sz w:val="21"/>
                          </w:rPr>
                          <w:t>0.161</w:t>
                        </w:r>
                      </w:p>
                    </w:tc>
                    <w:tc>
                      <w:tcPr>
                        <w:tcW w:w="735" w:type="dxa"/>
                      </w:tcPr>
                      <w:p>
                        <w:pPr>
                          <w:pStyle w:val="TableParagraph"/>
                          <w:spacing w:line="238" w:lineRule="exact" w:before="15"/>
                          <w:ind w:left="22" w:right="25"/>
                          <w:rPr>
                            <w:rFonts w:ascii="Times New Roman"/>
                            <w:b/>
                            <w:sz w:val="21"/>
                          </w:rPr>
                        </w:pPr>
                        <w:r>
                          <w:rPr>
                            <w:rFonts w:ascii="Times New Roman"/>
                            <w:b/>
                            <w:sz w:val="21"/>
                          </w:rPr>
                          <w:t>0.197</w:t>
                        </w:r>
                      </w:p>
                    </w:tc>
                  </w:tr>
                </w:tbl>
                <w:p>
                  <w:pPr>
                    <w:pStyle w:val="BodyText"/>
                  </w:pPr>
                </w:p>
              </w:txbxContent>
            </v:textbox>
            <w10:wrap type="none"/>
          </v:shape>
        </w:pict>
      </w:r>
      <w:r>
        <w:rPr>
          <w:sz w:val="24"/>
        </w:rPr>
        <w:t>项目废气产生及排放情况汇总见下表，废气污染源强核算清单详见表</w:t>
      </w:r>
      <w:r>
        <w:rPr>
          <w:spacing w:val="-62"/>
          <w:sz w:val="24"/>
        </w:rPr>
        <w:t> </w:t>
      </w:r>
      <w:r>
        <w:rPr>
          <w:rFonts w:ascii="Times New Roman" w:eastAsia="Times New Roman"/>
          <w:sz w:val="24"/>
        </w:rPr>
        <w:t>4.4-3</w:t>
      </w:r>
      <w:r>
        <w:rPr>
          <w:spacing w:val="-14"/>
          <w:sz w:val="24"/>
        </w:rPr>
        <w:t>。</w:t>
      </w:r>
      <w:r>
        <w:rPr>
          <w:b/>
          <w:sz w:val="24"/>
        </w:rPr>
        <w:t>表</w:t>
      </w:r>
      <w:r>
        <w:rPr>
          <w:b/>
          <w:spacing w:val="-59"/>
          <w:sz w:val="24"/>
        </w:rPr>
        <w:t> </w:t>
      </w:r>
      <w:r>
        <w:rPr>
          <w:rFonts w:ascii="Times New Roman" w:eastAsia="Times New Roman"/>
          <w:b/>
          <w:sz w:val="24"/>
        </w:rPr>
        <w:t>4.4-1</w:t>
        <w:tab/>
      </w:r>
      <w:r>
        <w:rPr>
          <w:b/>
          <w:sz w:val="24"/>
        </w:rPr>
        <w:t>项目废气污染物产生情况汇总</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Heading4"/>
        <w:spacing w:before="171"/>
        <w:ind w:left="458"/>
      </w:pPr>
      <w:r>
        <w:rPr>
          <w:rFonts w:ascii="Times New Roman" w:eastAsia="Times New Roman"/>
        </w:rPr>
        <w:t>2</w:t>
      </w:r>
      <w:r>
        <w:rPr/>
        <w:t>、废水</w:t>
      </w:r>
    </w:p>
    <w:p>
      <w:pPr>
        <w:tabs>
          <w:tab w:pos="3708" w:val="left" w:leader="none"/>
        </w:tabs>
        <w:spacing w:line="475" w:lineRule="auto" w:before="158"/>
        <w:ind w:left="2666" w:right="824" w:hanging="1968"/>
        <w:jc w:val="left"/>
        <w:rPr>
          <w:b/>
          <w:sz w:val="24"/>
        </w:rPr>
      </w:pPr>
      <w:r>
        <w:rPr/>
        <w:pict>
          <v:shape style="position:absolute;margin-left:69.984001pt;margin-top:55.059994pt;width:456.2pt;height:315.650pt;mso-position-horizontal-relative:page;mso-position-vertical-relative:paragraph;z-index:251793408" type="#_x0000_t202" filled="false" stroked="false">
            <v:textbox inset="0,0,0,0">
              <w:txbxContent>
                <w:tbl>
                  <w:tblPr>
                    <w:tblW w:w="0" w:type="auto"/>
                    <w:jc w:val="left"/>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889"/>
                    <w:gridCol w:w="963"/>
                    <w:gridCol w:w="761"/>
                    <w:gridCol w:w="677"/>
                    <w:gridCol w:w="418"/>
                    <w:gridCol w:w="680"/>
                    <w:gridCol w:w="718"/>
                    <w:gridCol w:w="543"/>
                    <w:gridCol w:w="334"/>
                    <w:gridCol w:w="617"/>
                    <w:gridCol w:w="546"/>
                    <w:gridCol w:w="334"/>
                    <w:gridCol w:w="605"/>
                  </w:tblGrid>
                  <w:tr>
                    <w:trPr>
                      <w:trHeight w:val="273" w:hRule="atLeast"/>
                    </w:trPr>
                    <w:tc>
                      <w:tcPr>
                        <w:tcW w:w="1889" w:type="dxa"/>
                        <w:vMerge w:val="restart"/>
                        <w:tcBorders>
                          <w:right w:val="single" w:sz="4" w:space="0" w:color="000000"/>
                        </w:tcBorders>
                      </w:tcPr>
                      <w:p>
                        <w:pPr>
                          <w:pStyle w:val="TableParagraph"/>
                          <w:jc w:val="left"/>
                          <w:rPr>
                            <w:b/>
                            <w:sz w:val="21"/>
                          </w:rPr>
                        </w:pPr>
                      </w:p>
                      <w:p>
                        <w:pPr>
                          <w:pStyle w:val="TableParagraph"/>
                          <w:ind w:left="535"/>
                          <w:jc w:val="left"/>
                          <w:rPr>
                            <w:b/>
                            <w:sz w:val="21"/>
                          </w:rPr>
                        </w:pPr>
                        <w:r>
                          <w:rPr>
                            <w:b/>
                            <w:sz w:val="21"/>
                          </w:rPr>
                          <w:t>产品名称</w:t>
                        </w:r>
                      </w:p>
                    </w:tc>
                    <w:tc>
                      <w:tcPr>
                        <w:tcW w:w="1724" w:type="dxa"/>
                        <w:gridSpan w:val="2"/>
                        <w:vMerge w:val="restart"/>
                        <w:tcBorders>
                          <w:left w:val="single" w:sz="4" w:space="0" w:color="000000"/>
                        </w:tcBorders>
                      </w:tcPr>
                      <w:p>
                        <w:pPr>
                          <w:pStyle w:val="TableParagraph"/>
                          <w:jc w:val="left"/>
                          <w:rPr>
                            <w:b/>
                            <w:sz w:val="21"/>
                          </w:rPr>
                        </w:pPr>
                      </w:p>
                      <w:p>
                        <w:pPr>
                          <w:pStyle w:val="TableParagraph"/>
                          <w:ind w:left="448"/>
                          <w:jc w:val="left"/>
                          <w:rPr>
                            <w:b/>
                            <w:sz w:val="21"/>
                          </w:rPr>
                        </w:pPr>
                        <w:r>
                          <w:rPr>
                            <w:b/>
                            <w:sz w:val="21"/>
                          </w:rPr>
                          <w:t>废水名称</w:t>
                        </w:r>
                      </w:p>
                    </w:tc>
                    <w:tc>
                      <w:tcPr>
                        <w:tcW w:w="1775" w:type="dxa"/>
                        <w:gridSpan w:val="3"/>
                        <w:vMerge w:val="restart"/>
                        <w:tcBorders>
                          <w:top w:val="single" w:sz="4" w:space="0" w:color="000000"/>
                          <w:bottom w:val="single" w:sz="4" w:space="0" w:color="000000"/>
                          <w:right w:val="single" w:sz="4" w:space="0" w:color="000000"/>
                        </w:tcBorders>
                      </w:tcPr>
                      <w:p>
                        <w:pPr>
                          <w:pStyle w:val="TableParagraph"/>
                          <w:spacing w:before="145"/>
                          <w:ind w:left="580"/>
                          <w:jc w:val="left"/>
                          <w:rPr>
                            <w:b/>
                            <w:sz w:val="21"/>
                          </w:rPr>
                        </w:pPr>
                        <w:r>
                          <w:rPr>
                            <w:b/>
                            <w:sz w:val="21"/>
                          </w:rPr>
                          <w:t>产生量</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29" w:right="6"/>
                          <w:rPr>
                            <w:b/>
                            <w:sz w:val="21"/>
                          </w:rPr>
                        </w:pPr>
                        <w:r>
                          <w:rPr>
                            <w:b/>
                            <w:sz w:val="21"/>
                          </w:rPr>
                          <w:t>削减量</w:t>
                        </w:r>
                      </w:p>
                    </w:tc>
                    <w:tc>
                      <w:tcPr>
                        <w:tcW w:w="2979" w:type="dxa"/>
                        <w:gridSpan w:val="6"/>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159" w:right="1137"/>
                          <w:rPr>
                            <w:b/>
                            <w:sz w:val="21"/>
                          </w:rPr>
                        </w:pPr>
                        <w:r>
                          <w:rPr>
                            <w:b/>
                            <w:sz w:val="21"/>
                          </w:rPr>
                          <w:t>排放量</w:t>
                        </w:r>
                      </w:p>
                    </w:tc>
                  </w:tr>
                  <w:tr>
                    <w:trPr>
                      <w:trHeight w:val="273" w:hRule="atLeast"/>
                    </w:trPr>
                    <w:tc>
                      <w:tcPr>
                        <w:tcW w:w="1889" w:type="dxa"/>
                        <w:vMerge/>
                        <w:tcBorders>
                          <w:top w:val="nil"/>
                          <w:right w:val="single" w:sz="4" w:space="0" w:color="000000"/>
                        </w:tcBorders>
                      </w:tcPr>
                      <w:p>
                        <w:pPr>
                          <w:rPr>
                            <w:sz w:val="2"/>
                            <w:szCs w:val="2"/>
                          </w:rPr>
                        </w:pPr>
                      </w:p>
                    </w:tc>
                    <w:tc>
                      <w:tcPr>
                        <w:tcW w:w="1724" w:type="dxa"/>
                        <w:gridSpan w:val="2"/>
                        <w:vMerge/>
                        <w:tcBorders>
                          <w:top w:val="nil"/>
                          <w:left w:val="single" w:sz="4" w:space="0" w:color="000000"/>
                        </w:tcBorders>
                      </w:tcPr>
                      <w:p>
                        <w:pPr>
                          <w:rPr>
                            <w:sz w:val="2"/>
                            <w:szCs w:val="2"/>
                          </w:rPr>
                        </w:pPr>
                      </w:p>
                    </w:tc>
                    <w:tc>
                      <w:tcPr>
                        <w:tcW w:w="1775" w:type="dxa"/>
                        <w:gridSpan w:val="3"/>
                        <w:vMerge/>
                        <w:tcBorders>
                          <w:top w:val="nil"/>
                          <w:bottom w:val="single" w:sz="4" w:space="0" w:color="000000"/>
                          <w:right w:val="single" w:sz="4" w:space="0" w:color="000000"/>
                        </w:tcBorders>
                      </w:tcPr>
                      <w:p>
                        <w:pPr>
                          <w:rPr>
                            <w:sz w:val="2"/>
                            <w:szCs w:val="2"/>
                          </w:rPr>
                        </w:pP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29" w:right="6"/>
                          <w:rPr>
                            <w:b/>
                            <w:sz w:val="21"/>
                          </w:rPr>
                        </w:pPr>
                        <w:r>
                          <w:rPr>
                            <w:b/>
                            <w:sz w:val="21"/>
                          </w:rPr>
                          <w:t>纳管</w:t>
                        </w:r>
                      </w:p>
                    </w:tc>
                    <w:tc>
                      <w:tcPr>
                        <w:tcW w:w="1494" w:type="dxa"/>
                        <w:gridSpan w:val="3"/>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522" w:right="499"/>
                          <w:rPr>
                            <w:b/>
                            <w:sz w:val="21"/>
                          </w:rPr>
                        </w:pPr>
                        <w:r>
                          <w:rPr>
                            <w:b/>
                            <w:sz w:val="21"/>
                          </w:rPr>
                          <w:t>纳管</w:t>
                        </w:r>
                      </w:p>
                    </w:tc>
                    <w:tc>
                      <w:tcPr>
                        <w:tcW w:w="1485" w:type="dxa"/>
                        <w:gridSpan w:val="3"/>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517" w:right="495"/>
                          <w:rPr>
                            <w:b/>
                            <w:sz w:val="21"/>
                          </w:rPr>
                        </w:pPr>
                        <w:r>
                          <w:rPr>
                            <w:b/>
                            <w:sz w:val="21"/>
                          </w:rPr>
                          <w:t>环境</w:t>
                        </w:r>
                      </w:p>
                    </w:tc>
                  </w:tr>
                  <w:tr>
                    <w:trPr>
                      <w:trHeight w:val="239" w:hRule="atLeast"/>
                    </w:trPr>
                    <w:tc>
                      <w:tcPr>
                        <w:tcW w:w="1889" w:type="dxa"/>
                        <w:vMerge/>
                        <w:tcBorders>
                          <w:top w:val="nil"/>
                          <w:right w:val="single" w:sz="4" w:space="0" w:color="000000"/>
                        </w:tcBorders>
                      </w:tcPr>
                      <w:p>
                        <w:pPr>
                          <w:rPr>
                            <w:sz w:val="2"/>
                            <w:szCs w:val="2"/>
                          </w:rPr>
                        </w:pPr>
                      </w:p>
                    </w:tc>
                    <w:tc>
                      <w:tcPr>
                        <w:tcW w:w="1724" w:type="dxa"/>
                        <w:gridSpan w:val="2"/>
                        <w:vMerge/>
                        <w:tcBorders>
                          <w:top w:val="nil"/>
                          <w:left w:val="single" w:sz="4" w:space="0" w:color="000000"/>
                        </w:tcBorders>
                      </w:tcPr>
                      <w:p>
                        <w:pPr>
                          <w:rPr>
                            <w:sz w:val="2"/>
                            <w:szCs w:val="2"/>
                          </w:rPr>
                        </w:pPr>
                      </w:p>
                    </w:tc>
                    <w:tc>
                      <w:tcPr>
                        <w:tcW w:w="677" w:type="dxa"/>
                        <w:tcBorders>
                          <w:top w:val="single" w:sz="4" w:space="0" w:color="000000"/>
                          <w:bottom w:val="single" w:sz="4" w:space="0" w:color="000000"/>
                          <w:right w:val="single" w:sz="4" w:space="0" w:color="000000"/>
                        </w:tcBorders>
                      </w:tcPr>
                      <w:p>
                        <w:pPr>
                          <w:pStyle w:val="TableParagraph"/>
                          <w:spacing w:line="219" w:lineRule="exact"/>
                          <w:ind w:right="81"/>
                          <w:jc w:val="right"/>
                          <w:rPr>
                            <w:rFonts w:ascii="Times New Roman"/>
                            <w:b/>
                            <w:sz w:val="21"/>
                          </w:rPr>
                        </w:pPr>
                        <w:r>
                          <w:rPr>
                            <w:rFonts w:ascii="Times New Roman"/>
                            <w:b/>
                            <w:sz w:val="21"/>
                          </w:rPr>
                          <w:t>mg/L</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right="68"/>
                          <w:jc w:val="right"/>
                          <w:rPr>
                            <w:rFonts w:ascii="Times New Roman"/>
                            <w:b/>
                            <w:sz w:val="21"/>
                          </w:rPr>
                        </w:pPr>
                        <w:r>
                          <w:rPr>
                            <w:rFonts w:ascii="Times New Roman"/>
                            <w:b/>
                            <w:sz w:val="21"/>
                          </w:rPr>
                          <w:t>t/d</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37" w:right="12"/>
                          <w:rPr>
                            <w:rFonts w:ascii="Times New Roman"/>
                            <w:b/>
                            <w:sz w:val="21"/>
                          </w:rPr>
                        </w:pPr>
                        <w:r>
                          <w:rPr>
                            <w:rFonts w:ascii="Times New Roman"/>
                            <w:b/>
                            <w:sz w:val="21"/>
                          </w:rPr>
                          <w:t>t/a</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29" w:right="4"/>
                          <w:rPr>
                            <w:rFonts w:ascii="Times New Roman"/>
                            <w:b/>
                            <w:sz w:val="21"/>
                          </w:rPr>
                        </w:pPr>
                        <w:r>
                          <w:rPr>
                            <w:rFonts w:ascii="Times New Roman"/>
                            <w:b/>
                            <w:sz w:val="21"/>
                          </w:rPr>
                          <w:t>t/a</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23"/>
                          <w:rPr>
                            <w:rFonts w:ascii="Times New Roman"/>
                            <w:b/>
                            <w:sz w:val="21"/>
                          </w:rPr>
                        </w:pPr>
                        <w:r>
                          <w:rPr>
                            <w:rFonts w:ascii="Times New Roman"/>
                            <w:b/>
                            <w:sz w:val="21"/>
                          </w:rPr>
                          <w:t>mg/L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50"/>
                          <w:jc w:val="left"/>
                          <w:rPr>
                            <w:rFonts w:ascii="Times New Roman"/>
                            <w:b/>
                            <w:sz w:val="21"/>
                          </w:rPr>
                        </w:pPr>
                        <w:r>
                          <w:rPr>
                            <w:rFonts w:ascii="Times New Roman"/>
                            <w:b/>
                            <w:sz w:val="21"/>
                          </w:rPr>
                          <w:t>t/d</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177" w:right="155"/>
                          <w:rPr>
                            <w:rFonts w:ascii="Times New Roman"/>
                            <w:b/>
                            <w:sz w:val="21"/>
                          </w:rPr>
                        </w:pPr>
                        <w:r>
                          <w:rPr>
                            <w:rFonts w:ascii="Times New Roman"/>
                            <w:b/>
                            <w:sz w:val="21"/>
                          </w:rPr>
                          <w:t>t/a</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18"/>
                          <w:rPr>
                            <w:rFonts w:ascii="Times New Roman"/>
                            <w:b/>
                            <w:sz w:val="21"/>
                          </w:rPr>
                        </w:pPr>
                        <w:r>
                          <w:rPr>
                            <w:rFonts w:ascii="Times New Roman"/>
                            <w:b/>
                            <w:sz w:val="21"/>
                          </w:rPr>
                          <w:t>mg/L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25" w:right="12"/>
                          <w:rPr>
                            <w:rFonts w:ascii="Times New Roman"/>
                            <w:b/>
                            <w:sz w:val="21"/>
                          </w:rPr>
                        </w:pPr>
                        <w:r>
                          <w:rPr>
                            <w:rFonts w:ascii="Times New Roman"/>
                            <w:b/>
                            <w:sz w:val="21"/>
                          </w:rPr>
                          <w:t>t/d</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19" w:lineRule="exact"/>
                          <w:ind w:left="190"/>
                          <w:jc w:val="left"/>
                          <w:rPr>
                            <w:rFonts w:ascii="Times New Roman"/>
                            <w:b/>
                            <w:sz w:val="21"/>
                          </w:rPr>
                        </w:pPr>
                        <w:r>
                          <w:rPr>
                            <w:rFonts w:ascii="Times New Roman"/>
                            <w:b/>
                            <w:sz w:val="21"/>
                          </w:rPr>
                          <w:t>t/a</w:t>
                        </w:r>
                      </w:p>
                    </w:tc>
                  </w:tr>
                  <w:tr>
                    <w:trPr>
                      <w:trHeight w:val="275" w:hRule="atLeast"/>
                    </w:trPr>
                    <w:tc>
                      <w:tcPr>
                        <w:tcW w:w="1889" w:type="dxa"/>
                        <w:vMerge w:val="restart"/>
                        <w:tcBorders>
                          <w:left w:val="single" w:sz="4" w:space="0" w:color="000000"/>
                          <w:bottom w:val="single" w:sz="4" w:space="0" w:color="000000"/>
                          <w:right w:val="single" w:sz="4" w:space="0" w:color="000000"/>
                        </w:tcBorders>
                      </w:tcPr>
                      <w:p>
                        <w:pPr>
                          <w:pStyle w:val="TableParagraph"/>
                          <w:jc w:val="left"/>
                          <w:rPr>
                            <w:b/>
                            <w:sz w:val="20"/>
                          </w:rPr>
                        </w:pPr>
                      </w:p>
                      <w:p>
                        <w:pPr>
                          <w:pStyle w:val="TableParagraph"/>
                          <w:spacing w:before="4"/>
                          <w:jc w:val="left"/>
                          <w:rPr>
                            <w:b/>
                            <w:sz w:val="24"/>
                          </w:rPr>
                        </w:pPr>
                      </w:p>
                      <w:p>
                        <w:pPr>
                          <w:pStyle w:val="TableParagraph"/>
                          <w:ind w:left="426"/>
                          <w:jc w:val="left"/>
                          <w:rPr>
                            <w:sz w:val="21"/>
                          </w:rPr>
                        </w:pPr>
                        <w:r>
                          <w:rPr>
                            <w:sz w:val="21"/>
                          </w:rPr>
                          <w:t>三环唑原药</w:t>
                        </w:r>
                      </w:p>
                    </w:tc>
                    <w:tc>
                      <w:tcPr>
                        <w:tcW w:w="963" w:type="dxa"/>
                        <w:vMerge w:val="restart"/>
                        <w:tcBorders>
                          <w:left w:val="single" w:sz="4" w:space="0" w:color="000000"/>
                          <w:bottom w:val="single" w:sz="4" w:space="0" w:color="000000"/>
                          <w:right w:val="single" w:sz="4" w:space="0" w:color="000000"/>
                        </w:tcBorders>
                      </w:tcPr>
                      <w:p>
                        <w:pPr>
                          <w:pStyle w:val="TableParagraph"/>
                          <w:jc w:val="left"/>
                          <w:rPr>
                            <w:b/>
                            <w:sz w:val="20"/>
                          </w:rPr>
                        </w:pPr>
                      </w:p>
                      <w:p>
                        <w:pPr>
                          <w:pStyle w:val="TableParagraph"/>
                          <w:spacing w:before="4"/>
                          <w:jc w:val="left"/>
                          <w:rPr>
                            <w:b/>
                            <w:sz w:val="24"/>
                          </w:rPr>
                        </w:pPr>
                      </w:p>
                      <w:p>
                        <w:pPr>
                          <w:pStyle w:val="TableParagraph"/>
                          <w:ind w:left="69"/>
                          <w:jc w:val="left"/>
                          <w:rPr>
                            <w:sz w:val="21"/>
                          </w:rPr>
                        </w:pPr>
                        <w:r>
                          <w:rPr>
                            <w:sz w:val="21"/>
                          </w:rPr>
                          <w:t>混合废水</w:t>
                        </w:r>
                      </w:p>
                    </w:tc>
                    <w:tc>
                      <w:tcPr>
                        <w:tcW w:w="761" w:type="dxa"/>
                        <w:tcBorders>
                          <w:left w:val="single" w:sz="4" w:space="0" w:color="000000"/>
                          <w:bottom w:val="single" w:sz="4" w:space="0" w:color="000000"/>
                          <w:right w:val="single" w:sz="4" w:space="0" w:color="000000"/>
                        </w:tcBorders>
                      </w:tcPr>
                      <w:p>
                        <w:pPr>
                          <w:pStyle w:val="TableParagraph"/>
                          <w:spacing w:line="252" w:lineRule="exact" w:before="3"/>
                          <w:ind w:left="55" w:right="25"/>
                          <w:rPr>
                            <w:sz w:val="21"/>
                          </w:rPr>
                        </w:pPr>
                        <w:r>
                          <w:rPr>
                            <w:sz w:val="21"/>
                          </w:rPr>
                          <w:t>水量</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239"/>
                          <w:jc w:val="left"/>
                          <w:rPr>
                            <w:sz w:val="21"/>
                          </w:rPr>
                        </w:pPr>
                        <w:r>
                          <w:rPr>
                            <w:w w:val="100"/>
                            <w:sz w:val="21"/>
                          </w:rPr>
                          <w:t>－</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7"/>
                          <w:ind w:right="85"/>
                          <w:jc w:val="right"/>
                          <w:rPr>
                            <w:rFonts w:ascii="Times New Roman"/>
                            <w:sz w:val="21"/>
                          </w:rPr>
                        </w:pPr>
                        <w:r>
                          <w:rPr>
                            <w:rFonts w:ascii="Times New Roman"/>
                            <w:sz w:val="21"/>
                          </w:rPr>
                          <w:t>27</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7"/>
                          <w:ind w:left="40" w:right="12"/>
                          <w:rPr>
                            <w:rFonts w:ascii="Times New Roman"/>
                            <w:sz w:val="21"/>
                          </w:rPr>
                        </w:pPr>
                        <w:r>
                          <w:rPr>
                            <w:rFonts w:ascii="Times New Roman"/>
                            <w:sz w:val="21"/>
                          </w:rPr>
                          <w:t>8091</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3"/>
                          <w:ind w:left="202"/>
                          <w:jc w:val="left"/>
                          <w:rPr>
                            <w:sz w:val="21"/>
                          </w:rPr>
                        </w:pPr>
                        <w:r>
                          <w:rPr>
                            <w:w w:val="100"/>
                            <w:sz w:val="21"/>
                          </w:rPr>
                          <w:t>－</w:t>
                        </w:r>
                      </w:p>
                    </w:tc>
                  </w:tr>
                  <w:tr>
                    <w:trPr>
                      <w:trHeight w:val="271"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55" w:right="25"/>
                          <w:rPr>
                            <w:rFonts w:ascii="Times New Roman"/>
                            <w:sz w:val="21"/>
                          </w:rPr>
                        </w:pPr>
                        <w:r>
                          <w:rPr>
                            <w:rFonts w:ascii="Times New Roman"/>
                            <w:sz w:val="21"/>
                          </w:rPr>
                          <w:t>CODcr</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right="27"/>
                          <w:jc w:val="right"/>
                          <w:rPr>
                            <w:rFonts w:ascii="Times New Roman"/>
                            <w:sz w:val="21"/>
                          </w:rPr>
                        </w:pPr>
                        <w:r>
                          <w:rPr>
                            <w:rFonts w:ascii="Times New Roman"/>
                            <w:sz w:val="21"/>
                          </w:rPr>
                          <w:t>9791.2</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0" w:right="12"/>
                          <w:rPr>
                            <w:rFonts w:ascii="Times New Roman"/>
                            <w:sz w:val="21"/>
                          </w:rPr>
                        </w:pPr>
                        <w:r>
                          <w:rPr>
                            <w:rFonts w:ascii="Times New Roman"/>
                            <w:sz w:val="21"/>
                          </w:rPr>
                          <w:t>79.221</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02"/>
                          <w:jc w:val="left"/>
                          <w:rPr>
                            <w:sz w:val="21"/>
                          </w:rPr>
                        </w:pPr>
                        <w:r>
                          <w:rPr>
                            <w:w w:val="100"/>
                            <w:sz w:val="21"/>
                          </w:rPr>
                          <w:t>－</w:t>
                        </w:r>
                      </w:p>
                    </w:tc>
                  </w:tr>
                  <w:tr>
                    <w:trPr>
                      <w:trHeight w:val="273"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55" w:right="25"/>
                          <w:rPr>
                            <w:sz w:val="21"/>
                          </w:rPr>
                        </w:pPr>
                        <w:r>
                          <w:rPr>
                            <w:sz w:val="21"/>
                          </w:rPr>
                          <w:t>总氮</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right="80"/>
                          <w:jc w:val="right"/>
                          <w:rPr>
                            <w:rFonts w:ascii="Times New Roman"/>
                            <w:sz w:val="21"/>
                          </w:rPr>
                        </w:pPr>
                        <w:r>
                          <w:rPr>
                            <w:rFonts w:ascii="Times New Roman"/>
                            <w:sz w:val="21"/>
                          </w:rPr>
                          <w:t>431.7</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0" w:right="12"/>
                          <w:rPr>
                            <w:rFonts w:ascii="Times New Roman"/>
                            <w:sz w:val="21"/>
                          </w:rPr>
                        </w:pPr>
                        <w:r>
                          <w:rPr>
                            <w:rFonts w:ascii="Times New Roman"/>
                            <w:sz w:val="21"/>
                          </w:rPr>
                          <w:t>3.493</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02"/>
                          <w:jc w:val="left"/>
                          <w:rPr>
                            <w:sz w:val="21"/>
                          </w:rPr>
                        </w:pPr>
                        <w:r>
                          <w:rPr>
                            <w:w w:val="100"/>
                            <w:sz w:val="21"/>
                          </w:rPr>
                          <w:t>－</w:t>
                        </w:r>
                      </w:p>
                    </w:tc>
                  </w:tr>
                  <w:tr>
                    <w:trPr>
                      <w:trHeight w:val="270"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55" w:right="25"/>
                          <w:rPr>
                            <w:sz w:val="21"/>
                          </w:rPr>
                        </w:pPr>
                        <w:r>
                          <w:rPr>
                            <w:sz w:val="21"/>
                          </w:rPr>
                          <w:t>氨氮</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162"/>
                          <w:jc w:val="left"/>
                          <w:rPr>
                            <w:rFonts w:ascii="Times New Roman"/>
                            <w:sz w:val="21"/>
                          </w:rPr>
                        </w:pPr>
                        <w:r>
                          <w:rPr>
                            <w:rFonts w:ascii="Times New Roman"/>
                            <w:sz w:val="21"/>
                          </w:rPr>
                          <w:t>44.7</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0" w:right="12"/>
                          <w:rPr>
                            <w:rFonts w:ascii="Times New Roman"/>
                            <w:sz w:val="21"/>
                          </w:rPr>
                        </w:pPr>
                        <w:r>
                          <w:rPr>
                            <w:rFonts w:ascii="Times New Roman"/>
                            <w:sz w:val="21"/>
                          </w:rPr>
                          <w:t>0.361</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02"/>
                          <w:jc w:val="left"/>
                          <w:rPr>
                            <w:sz w:val="21"/>
                          </w:rPr>
                        </w:pPr>
                        <w:r>
                          <w:rPr>
                            <w:w w:val="100"/>
                            <w:sz w:val="21"/>
                          </w:rPr>
                          <w:t>－</w:t>
                        </w:r>
                      </w:p>
                    </w:tc>
                  </w:tr>
                  <w:tr>
                    <w:trPr>
                      <w:trHeight w:val="273"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55" w:right="25"/>
                          <w:rPr>
                            <w:sz w:val="21"/>
                          </w:rPr>
                        </w:pPr>
                        <w:r>
                          <w:rPr>
                            <w:sz w:val="21"/>
                          </w:rPr>
                          <w:t>三环唑</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right="27"/>
                          <w:jc w:val="right"/>
                          <w:rPr>
                            <w:rFonts w:ascii="Times New Roman"/>
                            <w:sz w:val="21"/>
                          </w:rPr>
                        </w:pPr>
                        <w:r>
                          <w:rPr>
                            <w:rFonts w:ascii="Times New Roman"/>
                            <w:sz w:val="21"/>
                          </w:rPr>
                          <w:t>1224.7</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0" w:right="12"/>
                          <w:rPr>
                            <w:rFonts w:ascii="Times New Roman"/>
                            <w:sz w:val="21"/>
                          </w:rPr>
                        </w:pPr>
                        <w:r>
                          <w:rPr>
                            <w:rFonts w:ascii="Times New Roman"/>
                            <w:sz w:val="21"/>
                          </w:rPr>
                          <w:t>9.909</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543"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33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61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546"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33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60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273" w:hRule="atLeast"/>
                    </w:trPr>
                    <w:tc>
                      <w:tcPr>
                        <w:tcW w:w="1889"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b/>
                            <w:sz w:val="20"/>
                          </w:rPr>
                        </w:pPr>
                      </w:p>
                      <w:p>
                        <w:pPr>
                          <w:pStyle w:val="TableParagraph"/>
                          <w:spacing w:before="3"/>
                          <w:jc w:val="left"/>
                          <w:rPr>
                            <w:b/>
                            <w:sz w:val="24"/>
                          </w:rPr>
                        </w:pPr>
                      </w:p>
                      <w:p>
                        <w:pPr>
                          <w:pStyle w:val="TableParagraph"/>
                          <w:ind w:left="112"/>
                          <w:jc w:val="left"/>
                          <w:rPr>
                            <w:sz w:val="21"/>
                          </w:rPr>
                        </w:pPr>
                        <w:r>
                          <w:rPr>
                            <w:sz w:val="21"/>
                          </w:rPr>
                          <w:t>三环唑可湿性粉剂</w:t>
                        </w:r>
                      </w:p>
                    </w:tc>
                    <w:tc>
                      <w:tcPr>
                        <w:tcW w:w="963"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b/>
                            <w:sz w:val="20"/>
                          </w:rPr>
                        </w:pPr>
                      </w:p>
                      <w:p>
                        <w:pPr>
                          <w:pStyle w:val="TableParagraph"/>
                          <w:spacing w:before="3"/>
                          <w:jc w:val="left"/>
                          <w:rPr>
                            <w:b/>
                            <w:sz w:val="24"/>
                          </w:rPr>
                        </w:pPr>
                      </w:p>
                      <w:p>
                        <w:pPr>
                          <w:pStyle w:val="TableParagraph"/>
                          <w:ind w:left="69"/>
                          <w:jc w:val="left"/>
                          <w:rPr>
                            <w:sz w:val="21"/>
                          </w:rPr>
                        </w:pPr>
                        <w:r>
                          <w:rPr>
                            <w:sz w:val="21"/>
                          </w:rPr>
                          <w:t>混合废水</w:t>
                        </w: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55" w:right="25"/>
                          <w:rPr>
                            <w:sz w:val="21"/>
                          </w:rPr>
                        </w:pPr>
                        <w:r>
                          <w:rPr>
                            <w:sz w:val="21"/>
                          </w:rPr>
                          <w:t>水量</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39"/>
                          <w:jc w:val="left"/>
                          <w:rPr>
                            <w:sz w:val="21"/>
                          </w:rPr>
                        </w:pPr>
                        <w:r>
                          <w:rPr>
                            <w:w w:val="100"/>
                            <w:sz w:val="21"/>
                          </w:rPr>
                          <w:t>－</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right="138"/>
                          <w:jc w:val="right"/>
                          <w:rPr>
                            <w:rFonts w:ascii="Times New Roman"/>
                            <w:sz w:val="21"/>
                          </w:rPr>
                        </w:pPr>
                        <w:r>
                          <w:rPr>
                            <w:rFonts w:ascii="Times New Roman"/>
                            <w:w w:val="100"/>
                            <w:sz w:val="21"/>
                          </w:rPr>
                          <w:t>6</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0" w:right="12"/>
                          <w:rPr>
                            <w:rFonts w:ascii="Times New Roman"/>
                            <w:sz w:val="21"/>
                          </w:rPr>
                        </w:pPr>
                        <w:r>
                          <w:rPr>
                            <w:rFonts w:ascii="Times New Roman"/>
                            <w:sz w:val="21"/>
                          </w:rPr>
                          <w:t>1800</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02"/>
                          <w:jc w:val="left"/>
                          <w:rPr>
                            <w:sz w:val="21"/>
                          </w:rPr>
                        </w:pPr>
                        <w:r>
                          <w:rPr>
                            <w:w w:val="100"/>
                            <w:sz w:val="21"/>
                          </w:rPr>
                          <w:t>－</w:t>
                        </w:r>
                      </w:p>
                    </w:tc>
                  </w:tr>
                  <w:tr>
                    <w:trPr>
                      <w:trHeight w:val="270"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55" w:right="24"/>
                          <w:rPr>
                            <w:rFonts w:ascii="Times New Roman"/>
                            <w:sz w:val="21"/>
                          </w:rPr>
                        </w:pPr>
                        <w:r>
                          <w:rPr>
                            <w:rFonts w:ascii="Times New Roman"/>
                            <w:sz w:val="21"/>
                          </w:rPr>
                          <w:t>CODcr</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188"/>
                          <w:jc w:val="left"/>
                          <w:rPr>
                            <w:rFonts w:ascii="Times New Roman"/>
                            <w:sz w:val="21"/>
                          </w:rPr>
                        </w:pPr>
                        <w:r>
                          <w:rPr>
                            <w:rFonts w:ascii="Times New Roman"/>
                            <w:sz w:val="21"/>
                          </w:rPr>
                          <w:t>500</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0" w:right="12"/>
                          <w:rPr>
                            <w:rFonts w:ascii="Times New Roman"/>
                            <w:sz w:val="21"/>
                          </w:rPr>
                        </w:pPr>
                        <w:r>
                          <w:rPr>
                            <w:rFonts w:ascii="Times New Roman"/>
                            <w:sz w:val="21"/>
                          </w:rPr>
                          <w:t>0.9</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02"/>
                          <w:jc w:val="left"/>
                          <w:rPr>
                            <w:sz w:val="21"/>
                          </w:rPr>
                        </w:pPr>
                        <w:r>
                          <w:rPr>
                            <w:w w:val="100"/>
                            <w:sz w:val="21"/>
                          </w:rPr>
                          <w:t>－</w:t>
                        </w:r>
                      </w:p>
                    </w:tc>
                  </w:tr>
                  <w:tr>
                    <w:trPr>
                      <w:trHeight w:val="273"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55" w:right="25"/>
                          <w:rPr>
                            <w:sz w:val="21"/>
                          </w:rPr>
                        </w:pPr>
                        <w:r>
                          <w:rPr>
                            <w:sz w:val="21"/>
                          </w:rPr>
                          <w:t>总氮</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239"/>
                          <w:jc w:val="left"/>
                          <w:rPr>
                            <w:rFonts w:ascii="Times New Roman"/>
                            <w:sz w:val="21"/>
                          </w:rPr>
                        </w:pPr>
                        <w:r>
                          <w:rPr>
                            <w:rFonts w:ascii="Times New Roman"/>
                            <w:sz w:val="21"/>
                          </w:rPr>
                          <w:t>10</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0" w:right="12"/>
                          <w:rPr>
                            <w:rFonts w:ascii="Times New Roman"/>
                            <w:sz w:val="21"/>
                          </w:rPr>
                        </w:pPr>
                        <w:r>
                          <w:rPr>
                            <w:rFonts w:ascii="Times New Roman"/>
                            <w:sz w:val="21"/>
                          </w:rPr>
                          <w:t>0.018</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202"/>
                          <w:jc w:val="left"/>
                          <w:rPr>
                            <w:sz w:val="21"/>
                          </w:rPr>
                        </w:pPr>
                        <w:r>
                          <w:rPr>
                            <w:w w:val="100"/>
                            <w:sz w:val="21"/>
                          </w:rPr>
                          <w:t>－</w:t>
                        </w:r>
                      </w:p>
                    </w:tc>
                  </w:tr>
                  <w:tr>
                    <w:trPr>
                      <w:trHeight w:val="273"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55" w:right="25"/>
                          <w:rPr>
                            <w:sz w:val="21"/>
                          </w:rPr>
                        </w:pPr>
                        <w:r>
                          <w:rPr>
                            <w:sz w:val="21"/>
                          </w:rPr>
                          <w:t>氨氮</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22"/>
                          <w:rPr>
                            <w:rFonts w:ascii="Times New Roman"/>
                            <w:sz w:val="21"/>
                          </w:rPr>
                        </w:pPr>
                        <w:r>
                          <w:rPr>
                            <w:rFonts w:ascii="Times New Roman"/>
                            <w:w w:val="100"/>
                            <w:sz w:val="21"/>
                          </w:rPr>
                          <w:t>5</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0" w:right="12"/>
                          <w:rPr>
                            <w:rFonts w:ascii="Times New Roman"/>
                            <w:sz w:val="21"/>
                          </w:rPr>
                        </w:pPr>
                        <w:r>
                          <w:rPr>
                            <w:rFonts w:ascii="Times New Roman"/>
                            <w:sz w:val="21"/>
                          </w:rPr>
                          <w:t>0.009</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02"/>
                          <w:jc w:val="left"/>
                          <w:rPr>
                            <w:sz w:val="21"/>
                          </w:rPr>
                        </w:pPr>
                        <w:r>
                          <w:rPr>
                            <w:w w:val="100"/>
                            <w:sz w:val="21"/>
                          </w:rPr>
                          <w:t>－</w:t>
                        </w:r>
                      </w:p>
                    </w:tc>
                  </w:tr>
                  <w:tr>
                    <w:trPr>
                      <w:trHeight w:val="270" w:hRule="atLeast"/>
                    </w:trPr>
                    <w:tc>
                      <w:tcPr>
                        <w:tcW w:w="1889" w:type="dxa"/>
                        <w:vMerge/>
                        <w:tcBorders>
                          <w:top w:val="nil"/>
                          <w:left w:val="single" w:sz="4" w:space="0" w:color="000000"/>
                          <w:bottom w:val="single" w:sz="4" w:space="0" w:color="000000"/>
                          <w:right w:val="single" w:sz="4" w:space="0" w:color="000000"/>
                        </w:tcBorders>
                      </w:tcPr>
                      <w:p>
                        <w:pPr>
                          <w:rPr>
                            <w:sz w:val="2"/>
                            <w:szCs w:val="2"/>
                          </w:rPr>
                        </w:pPr>
                      </w:p>
                    </w:tc>
                    <w:tc>
                      <w:tcPr>
                        <w:tcW w:w="963" w:type="dxa"/>
                        <w:vMerge/>
                        <w:tcBorders>
                          <w:top w:val="nil"/>
                          <w:left w:val="single" w:sz="4" w:space="0" w:color="000000"/>
                          <w:bottom w:val="single" w:sz="4"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55" w:right="25"/>
                          <w:rPr>
                            <w:sz w:val="21"/>
                          </w:rPr>
                        </w:pPr>
                        <w:r>
                          <w:rPr>
                            <w:sz w:val="21"/>
                          </w:rPr>
                          <w:t>三环唑</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239"/>
                          <w:jc w:val="left"/>
                          <w:rPr>
                            <w:rFonts w:ascii="Times New Roman"/>
                            <w:sz w:val="21"/>
                          </w:rPr>
                        </w:pPr>
                        <w:r>
                          <w:rPr>
                            <w:rFonts w:ascii="Times New Roman"/>
                            <w:sz w:val="21"/>
                          </w:rPr>
                          <w:t>10</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0" w:right="12"/>
                          <w:rPr>
                            <w:rFonts w:ascii="Times New Roman"/>
                            <w:sz w:val="21"/>
                          </w:rPr>
                        </w:pPr>
                        <w:r>
                          <w:rPr>
                            <w:rFonts w:ascii="Times New Roman"/>
                            <w:sz w:val="21"/>
                          </w:rPr>
                          <w:t>0.018</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543"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33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61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546"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33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60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263" w:hRule="atLeast"/>
                    </w:trPr>
                    <w:tc>
                      <w:tcPr>
                        <w:tcW w:w="1889" w:type="dxa"/>
                        <w:vMerge w:val="restart"/>
                        <w:tcBorders>
                          <w:top w:val="single" w:sz="4" w:space="0" w:color="000000"/>
                          <w:left w:val="single" w:sz="4" w:space="0" w:color="000000"/>
                          <w:bottom w:val="single" w:sz="12" w:space="0" w:color="000000"/>
                          <w:right w:val="single" w:sz="4" w:space="0" w:color="000000"/>
                        </w:tcBorders>
                      </w:tcPr>
                      <w:p>
                        <w:pPr>
                          <w:pStyle w:val="TableParagraph"/>
                          <w:jc w:val="left"/>
                          <w:rPr>
                            <w:b/>
                            <w:sz w:val="20"/>
                          </w:rPr>
                        </w:pPr>
                      </w:p>
                      <w:p>
                        <w:pPr>
                          <w:pStyle w:val="TableParagraph"/>
                          <w:spacing w:before="169"/>
                          <w:ind w:left="532"/>
                          <w:jc w:val="left"/>
                          <w:rPr>
                            <w:sz w:val="21"/>
                          </w:rPr>
                        </w:pPr>
                        <w:r>
                          <w:rPr>
                            <w:sz w:val="21"/>
                          </w:rPr>
                          <w:t>公用工程</w:t>
                        </w:r>
                      </w:p>
                    </w:tc>
                    <w:tc>
                      <w:tcPr>
                        <w:tcW w:w="963" w:type="dxa"/>
                        <w:vMerge w:val="restart"/>
                        <w:tcBorders>
                          <w:top w:val="single" w:sz="4" w:space="0" w:color="000000"/>
                          <w:left w:val="single" w:sz="4" w:space="0" w:color="000000"/>
                          <w:bottom w:val="single" w:sz="12" w:space="0" w:color="000000"/>
                          <w:right w:val="single" w:sz="4" w:space="0" w:color="000000"/>
                        </w:tcBorders>
                      </w:tcPr>
                      <w:p>
                        <w:pPr>
                          <w:pStyle w:val="TableParagraph"/>
                          <w:jc w:val="left"/>
                          <w:rPr>
                            <w:b/>
                            <w:sz w:val="20"/>
                          </w:rPr>
                        </w:pPr>
                      </w:p>
                      <w:p>
                        <w:pPr>
                          <w:pStyle w:val="TableParagraph"/>
                          <w:spacing w:before="169"/>
                          <w:ind w:left="69"/>
                          <w:jc w:val="left"/>
                          <w:rPr>
                            <w:sz w:val="21"/>
                          </w:rPr>
                        </w:pPr>
                        <w:r>
                          <w:rPr>
                            <w:sz w:val="21"/>
                          </w:rPr>
                          <w:t>混合废水</w:t>
                        </w: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55" w:right="25"/>
                          <w:rPr>
                            <w:sz w:val="21"/>
                          </w:rPr>
                        </w:pPr>
                        <w:r>
                          <w:rPr>
                            <w:sz w:val="21"/>
                          </w:rPr>
                          <w:t>水量</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239"/>
                          <w:jc w:val="left"/>
                          <w:rPr>
                            <w:sz w:val="21"/>
                          </w:rPr>
                        </w:pPr>
                        <w:r>
                          <w:rPr>
                            <w:w w:val="100"/>
                            <w:sz w:val="21"/>
                          </w:rPr>
                          <w:t>－</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17"/>
                          <w:ind w:right="85"/>
                          <w:jc w:val="right"/>
                          <w:rPr>
                            <w:rFonts w:ascii="Times New Roman"/>
                            <w:sz w:val="21"/>
                          </w:rPr>
                        </w:pPr>
                        <w:r>
                          <w:rPr>
                            <w:rFonts w:ascii="Times New Roman"/>
                            <w:sz w:val="21"/>
                          </w:rPr>
                          <w:t>77</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17"/>
                          <w:ind w:left="40" w:right="12"/>
                          <w:rPr>
                            <w:rFonts w:ascii="Times New Roman"/>
                            <w:sz w:val="21"/>
                          </w:rPr>
                        </w:pPr>
                        <w:r>
                          <w:rPr>
                            <w:rFonts w:ascii="Times New Roman"/>
                            <w:sz w:val="21"/>
                          </w:rPr>
                          <w:t>23109</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202"/>
                          <w:jc w:val="left"/>
                          <w:rPr>
                            <w:sz w:val="21"/>
                          </w:rPr>
                        </w:pPr>
                        <w:r>
                          <w:rPr>
                            <w:w w:val="100"/>
                            <w:sz w:val="21"/>
                          </w:rPr>
                          <w:t>－</w:t>
                        </w:r>
                      </w:p>
                    </w:tc>
                  </w:tr>
                  <w:tr>
                    <w:trPr>
                      <w:trHeight w:val="253" w:hRule="atLeast"/>
                    </w:trPr>
                    <w:tc>
                      <w:tcPr>
                        <w:tcW w:w="1889" w:type="dxa"/>
                        <w:vMerge/>
                        <w:tcBorders>
                          <w:top w:val="nil"/>
                          <w:left w:val="single" w:sz="4" w:space="0" w:color="000000"/>
                          <w:bottom w:val="single" w:sz="12" w:space="0" w:color="000000"/>
                          <w:right w:val="single" w:sz="4" w:space="0" w:color="000000"/>
                        </w:tcBorders>
                      </w:tcPr>
                      <w:p>
                        <w:pPr>
                          <w:rPr>
                            <w:sz w:val="2"/>
                            <w:szCs w:val="2"/>
                          </w:rPr>
                        </w:pPr>
                      </w:p>
                    </w:tc>
                    <w:tc>
                      <w:tcPr>
                        <w:tcW w:w="963" w:type="dxa"/>
                        <w:vMerge/>
                        <w:tcBorders>
                          <w:top w:val="nil"/>
                          <w:left w:val="single" w:sz="4" w:space="0" w:color="000000"/>
                          <w:bottom w:val="single" w:sz="12"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55" w:right="25"/>
                          <w:rPr>
                            <w:rFonts w:ascii="Times New Roman"/>
                            <w:sz w:val="21"/>
                          </w:rPr>
                        </w:pPr>
                        <w:r>
                          <w:rPr>
                            <w:rFonts w:ascii="Times New Roman"/>
                            <w:sz w:val="21"/>
                          </w:rPr>
                          <w:t>CODcr</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right="80"/>
                          <w:jc w:val="right"/>
                          <w:rPr>
                            <w:rFonts w:ascii="Times New Roman"/>
                            <w:sz w:val="21"/>
                          </w:rPr>
                        </w:pPr>
                        <w:r>
                          <w:rPr>
                            <w:rFonts w:ascii="Times New Roman"/>
                            <w:sz w:val="21"/>
                          </w:rPr>
                          <w:t>750.9</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40" w:right="12"/>
                          <w:rPr>
                            <w:rFonts w:ascii="Times New Roman"/>
                            <w:sz w:val="21"/>
                          </w:rPr>
                        </w:pPr>
                        <w:r>
                          <w:rPr>
                            <w:rFonts w:ascii="Times New Roman"/>
                            <w:sz w:val="21"/>
                          </w:rPr>
                          <w:t>17.352</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202"/>
                          <w:jc w:val="left"/>
                          <w:rPr>
                            <w:sz w:val="21"/>
                          </w:rPr>
                        </w:pPr>
                        <w:r>
                          <w:rPr>
                            <w:w w:val="100"/>
                            <w:sz w:val="21"/>
                          </w:rPr>
                          <w:t>－</w:t>
                        </w:r>
                      </w:p>
                    </w:tc>
                  </w:tr>
                  <w:tr>
                    <w:trPr>
                      <w:trHeight w:val="250" w:hRule="atLeast"/>
                    </w:trPr>
                    <w:tc>
                      <w:tcPr>
                        <w:tcW w:w="1889" w:type="dxa"/>
                        <w:vMerge/>
                        <w:tcBorders>
                          <w:top w:val="nil"/>
                          <w:left w:val="single" w:sz="4" w:space="0" w:color="000000"/>
                          <w:bottom w:val="single" w:sz="12" w:space="0" w:color="000000"/>
                          <w:right w:val="single" w:sz="4" w:space="0" w:color="000000"/>
                        </w:tcBorders>
                      </w:tcPr>
                      <w:p>
                        <w:pPr>
                          <w:rPr>
                            <w:sz w:val="2"/>
                            <w:szCs w:val="2"/>
                          </w:rPr>
                        </w:pPr>
                      </w:p>
                    </w:tc>
                    <w:tc>
                      <w:tcPr>
                        <w:tcW w:w="963" w:type="dxa"/>
                        <w:vMerge/>
                        <w:tcBorders>
                          <w:top w:val="nil"/>
                          <w:left w:val="single" w:sz="4" w:space="0" w:color="000000"/>
                          <w:bottom w:val="single" w:sz="12"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55" w:right="25"/>
                          <w:rPr>
                            <w:sz w:val="21"/>
                          </w:rPr>
                        </w:pPr>
                        <w:r>
                          <w:rPr>
                            <w:sz w:val="21"/>
                          </w:rPr>
                          <w:t>氨氮</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215"/>
                          <w:jc w:val="left"/>
                          <w:rPr>
                            <w:rFonts w:ascii="Times New Roman"/>
                            <w:sz w:val="21"/>
                          </w:rPr>
                        </w:pPr>
                        <w:r>
                          <w:rPr>
                            <w:rFonts w:ascii="Times New Roman"/>
                            <w:sz w:val="21"/>
                          </w:rPr>
                          <w:t>4.6</w:t>
                        </w:r>
                      </w:p>
                    </w:tc>
                    <w:tc>
                      <w:tcPr>
                        <w:tcW w:w="418"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right="85"/>
                          <w:jc w:val="right"/>
                          <w:rPr>
                            <w:sz w:val="21"/>
                          </w:rPr>
                        </w:pPr>
                        <w:r>
                          <w:rPr>
                            <w:w w:val="100"/>
                            <w:sz w:val="21"/>
                          </w:rPr>
                          <w:t>－</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40" w:right="12"/>
                          <w:rPr>
                            <w:rFonts w:ascii="Times New Roman"/>
                            <w:sz w:val="21"/>
                          </w:rPr>
                        </w:pPr>
                        <w:r>
                          <w:rPr>
                            <w:rFonts w:ascii="Times New Roman"/>
                            <w:sz w:val="21"/>
                          </w:rPr>
                          <w:t>0.107</w:t>
                        </w:r>
                      </w:p>
                    </w:tc>
                    <w:tc>
                      <w:tcPr>
                        <w:tcW w:w="718"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23"/>
                          <w:rPr>
                            <w:sz w:val="21"/>
                          </w:rPr>
                        </w:pPr>
                        <w:r>
                          <w:rPr>
                            <w:w w:val="100"/>
                            <w:sz w:val="21"/>
                          </w:rPr>
                          <w:t>－</w:t>
                        </w:r>
                      </w:p>
                    </w:tc>
                    <w:tc>
                      <w:tcPr>
                        <w:tcW w:w="543"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24"/>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66"/>
                          <w:jc w:val="left"/>
                          <w:rPr>
                            <w:sz w:val="21"/>
                          </w:rPr>
                        </w:pPr>
                        <w:r>
                          <w:rPr>
                            <w:w w:val="100"/>
                            <w:sz w:val="21"/>
                          </w:rPr>
                          <w:t>－</w:t>
                        </w:r>
                      </w:p>
                    </w:tc>
                    <w:tc>
                      <w:tcPr>
                        <w:tcW w:w="617"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20"/>
                          <w:rPr>
                            <w:sz w:val="21"/>
                          </w:rPr>
                        </w:pPr>
                        <w:r>
                          <w:rPr>
                            <w:w w:val="100"/>
                            <w:sz w:val="21"/>
                          </w:rPr>
                          <w:t>－</w:t>
                        </w:r>
                      </w:p>
                    </w:tc>
                    <w:tc>
                      <w:tcPr>
                        <w:tcW w:w="546"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19"/>
                          <w:rPr>
                            <w:sz w:val="21"/>
                          </w:rPr>
                        </w:pPr>
                        <w:r>
                          <w:rPr>
                            <w:w w:val="100"/>
                            <w:sz w:val="21"/>
                          </w:rPr>
                          <w:t>－</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13"/>
                          <w:rPr>
                            <w:sz w:val="21"/>
                          </w:rPr>
                        </w:pPr>
                        <w:r>
                          <w:rPr>
                            <w:w w:val="100"/>
                            <w:sz w:val="21"/>
                          </w:rPr>
                          <w:t>－</w:t>
                        </w:r>
                      </w:p>
                    </w:tc>
                    <w:tc>
                      <w:tcPr>
                        <w:tcW w:w="605"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202"/>
                          <w:jc w:val="left"/>
                          <w:rPr>
                            <w:sz w:val="21"/>
                          </w:rPr>
                        </w:pPr>
                        <w:r>
                          <w:rPr>
                            <w:w w:val="100"/>
                            <w:sz w:val="21"/>
                          </w:rPr>
                          <w:t>－</w:t>
                        </w:r>
                      </w:p>
                    </w:tc>
                  </w:tr>
                  <w:tr>
                    <w:trPr>
                      <w:trHeight w:val="263" w:hRule="atLeast"/>
                    </w:trPr>
                    <w:tc>
                      <w:tcPr>
                        <w:tcW w:w="1889" w:type="dxa"/>
                        <w:vMerge/>
                        <w:tcBorders>
                          <w:top w:val="nil"/>
                          <w:left w:val="single" w:sz="4" w:space="0" w:color="000000"/>
                          <w:bottom w:val="single" w:sz="12" w:space="0" w:color="000000"/>
                          <w:right w:val="single" w:sz="4" w:space="0" w:color="000000"/>
                        </w:tcBorders>
                      </w:tcPr>
                      <w:p>
                        <w:pPr>
                          <w:rPr>
                            <w:sz w:val="2"/>
                            <w:szCs w:val="2"/>
                          </w:rPr>
                        </w:pPr>
                      </w:p>
                    </w:tc>
                    <w:tc>
                      <w:tcPr>
                        <w:tcW w:w="963" w:type="dxa"/>
                        <w:vMerge/>
                        <w:tcBorders>
                          <w:top w:val="nil"/>
                          <w:left w:val="single" w:sz="4" w:space="0" w:color="000000"/>
                          <w:bottom w:val="single" w:sz="12" w:space="0" w:color="000000"/>
                          <w:right w:val="single" w:sz="4" w:space="0" w:color="000000"/>
                        </w:tcBorders>
                      </w:tcPr>
                      <w:p>
                        <w:pPr>
                          <w:rPr>
                            <w:sz w:val="2"/>
                            <w:szCs w:val="2"/>
                          </w:rPr>
                        </w:pPr>
                      </w:p>
                    </w:tc>
                    <w:tc>
                      <w:tcPr>
                        <w:tcW w:w="761"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55" w:right="25"/>
                          <w:rPr>
                            <w:sz w:val="21"/>
                          </w:rPr>
                        </w:pPr>
                        <w:r>
                          <w:rPr>
                            <w:sz w:val="21"/>
                          </w:rPr>
                          <w:t>总氮</w:t>
                        </w:r>
                      </w:p>
                    </w:tc>
                    <w:tc>
                      <w:tcPr>
                        <w:tcW w:w="677" w:type="dxa"/>
                        <w:tcBorders>
                          <w:top w:val="single" w:sz="4" w:space="0" w:color="000000"/>
                          <w:left w:val="single" w:sz="4" w:space="0" w:color="000000"/>
                          <w:bottom w:val="single" w:sz="12" w:space="0" w:color="000000"/>
                          <w:right w:val="single" w:sz="4" w:space="0" w:color="000000"/>
                        </w:tcBorders>
                      </w:tcPr>
                      <w:p>
                        <w:pPr>
                          <w:pStyle w:val="TableParagraph"/>
                          <w:spacing w:line="238" w:lineRule="exact" w:before="5"/>
                          <w:ind w:left="215"/>
                          <w:jc w:val="left"/>
                          <w:rPr>
                            <w:rFonts w:ascii="Times New Roman"/>
                            <w:sz w:val="21"/>
                          </w:rPr>
                        </w:pPr>
                        <w:r>
                          <w:rPr>
                            <w:rFonts w:ascii="Times New Roman"/>
                            <w:sz w:val="21"/>
                          </w:rPr>
                          <w:t>5.2</w:t>
                        </w:r>
                      </w:p>
                    </w:tc>
                    <w:tc>
                      <w:tcPr>
                        <w:tcW w:w="418"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right="85"/>
                          <w:jc w:val="right"/>
                          <w:rPr>
                            <w:sz w:val="21"/>
                          </w:rPr>
                        </w:pPr>
                        <w:r>
                          <w:rPr>
                            <w:w w:val="100"/>
                            <w:sz w:val="21"/>
                          </w:rPr>
                          <w:t>－</w:t>
                        </w:r>
                      </w:p>
                    </w:tc>
                    <w:tc>
                      <w:tcPr>
                        <w:tcW w:w="680" w:type="dxa"/>
                        <w:tcBorders>
                          <w:top w:val="single" w:sz="4" w:space="0" w:color="000000"/>
                          <w:left w:val="single" w:sz="4" w:space="0" w:color="000000"/>
                          <w:bottom w:val="single" w:sz="12" w:space="0" w:color="000000"/>
                          <w:right w:val="single" w:sz="4" w:space="0" w:color="000000"/>
                        </w:tcBorders>
                      </w:tcPr>
                      <w:p>
                        <w:pPr>
                          <w:pStyle w:val="TableParagraph"/>
                          <w:spacing w:line="238" w:lineRule="exact" w:before="5"/>
                          <w:ind w:left="40" w:right="12"/>
                          <w:rPr>
                            <w:rFonts w:ascii="Times New Roman"/>
                            <w:sz w:val="21"/>
                          </w:rPr>
                        </w:pPr>
                        <w:r>
                          <w:rPr>
                            <w:rFonts w:ascii="Times New Roman"/>
                            <w:sz w:val="21"/>
                          </w:rPr>
                          <w:t>0.12</w:t>
                        </w:r>
                      </w:p>
                    </w:tc>
                    <w:tc>
                      <w:tcPr>
                        <w:tcW w:w="718"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23"/>
                          <w:rPr>
                            <w:sz w:val="21"/>
                          </w:rPr>
                        </w:pPr>
                        <w:r>
                          <w:rPr>
                            <w:w w:val="100"/>
                            <w:sz w:val="21"/>
                          </w:rPr>
                          <w:t>－</w:t>
                        </w:r>
                      </w:p>
                    </w:tc>
                    <w:tc>
                      <w:tcPr>
                        <w:tcW w:w="543"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24"/>
                          <w:rPr>
                            <w:sz w:val="21"/>
                          </w:rPr>
                        </w:pPr>
                        <w:r>
                          <w:rPr>
                            <w:w w:val="100"/>
                            <w:sz w:val="21"/>
                          </w:rPr>
                          <w:t>－</w:t>
                        </w:r>
                      </w:p>
                    </w:tc>
                    <w:tc>
                      <w:tcPr>
                        <w:tcW w:w="334"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66"/>
                          <w:jc w:val="left"/>
                          <w:rPr>
                            <w:sz w:val="21"/>
                          </w:rPr>
                        </w:pPr>
                        <w:r>
                          <w:rPr>
                            <w:w w:val="100"/>
                            <w:sz w:val="21"/>
                          </w:rPr>
                          <w:t>－</w:t>
                        </w:r>
                      </w:p>
                    </w:tc>
                    <w:tc>
                      <w:tcPr>
                        <w:tcW w:w="617"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20"/>
                          <w:rPr>
                            <w:sz w:val="21"/>
                          </w:rPr>
                        </w:pPr>
                        <w:r>
                          <w:rPr>
                            <w:w w:val="100"/>
                            <w:sz w:val="21"/>
                          </w:rPr>
                          <w:t>－</w:t>
                        </w:r>
                      </w:p>
                    </w:tc>
                    <w:tc>
                      <w:tcPr>
                        <w:tcW w:w="546"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19"/>
                          <w:rPr>
                            <w:sz w:val="21"/>
                          </w:rPr>
                        </w:pPr>
                        <w:r>
                          <w:rPr>
                            <w:w w:val="100"/>
                            <w:sz w:val="21"/>
                          </w:rPr>
                          <w:t>－</w:t>
                        </w:r>
                      </w:p>
                    </w:tc>
                    <w:tc>
                      <w:tcPr>
                        <w:tcW w:w="334"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13"/>
                          <w:rPr>
                            <w:sz w:val="21"/>
                          </w:rPr>
                        </w:pPr>
                        <w:r>
                          <w:rPr>
                            <w:w w:val="100"/>
                            <w:sz w:val="21"/>
                          </w:rPr>
                          <w:t>－</w:t>
                        </w:r>
                      </w:p>
                    </w:tc>
                    <w:tc>
                      <w:tcPr>
                        <w:tcW w:w="605" w:type="dxa"/>
                        <w:tcBorders>
                          <w:top w:val="single" w:sz="4" w:space="0" w:color="000000"/>
                          <w:left w:val="single" w:sz="4" w:space="0" w:color="000000"/>
                          <w:bottom w:val="single" w:sz="12" w:space="0" w:color="000000"/>
                          <w:right w:val="single" w:sz="4" w:space="0" w:color="000000"/>
                        </w:tcBorders>
                      </w:tcPr>
                      <w:p>
                        <w:pPr>
                          <w:pStyle w:val="TableParagraph"/>
                          <w:spacing w:line="243" w:lineRule="exact"/>
                          <w:ind w:left="202"/>
                          <w:jc w:val="left"/>
                          <w:rPr>
                            <w:sz w:val="21"/>
                          </w:rPr>
                        </w:pPr>
                        <w:r>
                          <w:rPr>
                            <w:w w:val="100"/>
                            <w:sz w:val="21"/>
                          </w:rPr>
                          <w:t>－</w:t>
                        </w:r>
                      </w:p>
                    </w:tc>
                  </w:tr>
                  <w:tr>
                    <w:trPr>
                      <w:trHeight w:val="272" w:hRule="atLeast"/>
                    </w:trPr>
                    <w:tc>
                      <w:tcPr>
                        <w:tcW w:w="2852" w:type="dxa"/>
                        <w:gridSpan w:val="2"/>
                        <w:vMerge w:val="restart"/>
                        <w:tcBorders>
                          <w:top w:val="single" w:sz="12" w:space="0" w:color="000000"/>
                          <w:left w:val="single" w:sz="12" w:space="0" w:color="000000"/>
                          <w:bottom w:val="single" w:sz="12" w:space="0" w:color="000000"/>
                          <w:right w:val="single" w:sz="12" w:space="0" w:color="000000"/>
                        </w:tcBorders>
                      </w:tcPr>
                      <w:p>
                        <w:pPr>
                          <w:pStyle w:val="TableParagraph"/>
                          <w:jc w:val="left"/>
                          <w:rPr>
                            <w:b/>
                            <w:sz w:val="20"/>
                          </w:rPr>
                        </w:pPr>
                      </w:p>
                      <w:p>
                        <w:pPr>
                          <w:pStyle w:val="TableParagraph"/>
                          <w:spacing w:before="3"/>
                          <w:jc w:val="left"/>
                          <w:rPr>
                            <w:b/>
                            <w:sz w:val="27"/>
                          </w:rPr>
                        </w:pPr>
                      </w:p>
                      <w:p>
                        <w:pPr>
                          <w:pStyle w:val="TableParagraph"/>
                          <w:ind w:left="31" w:right="8"/>
                          <w:rPr>
                            <w:b/>
                            <w:sz w:val="21"/>
                          </w:rPr>
                        </w:pPr>
                        <w:r>
                          <w:rPr>
                            <w:b/>
                            <w:sz w:val="21"/>
                          </w:rPr>
                          <w:t>合计</w:t>
                        </w:r>
                      </w:p>
                    </w:tc>
                    <w:tc>
                      <w:tcPr>
                        <w:tcW w:w="761"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before="1"/>
                          <w:ind w:left="30" w:right="5"/>
                          <w:rPr>
                            <w:b/>
                            <w:sz w:val="21"/>
                          </w:rPr>
                        </w:pPr>
                        <w:r>
                          <w:rPr>
                            <w:b/>
                            <w:sz w:val="21"/>
                          </w:rPr>
                          <w:t>水量</w:t>
                        </w:r>
                      </w:p>
                    </w:tc>
                    <w:tc>
                      <w:tcPr>
                        <w:tcW w:w="677"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before="1"/>
                          <w:ind w:left="229"/>
                          <w:jc w:val="left"/>
                          <w:rPr>
                            <w:b/>
                            <w:sz w:val="21"/>
                          </w:rPr>
                        </w:pPr>
                        <w:r>
                          <w:rPr>
                            <w:b/>
                            <w:w w:val="100"/>
                            <w:sz w:val="21"/>
                          </w:rPr>
                          <w:t>－</w:t>
                        </w:r>
                      </w:p>
                    </w:tc>
                    <w:tc>
                      <w:tcPr>
                        <w:tcW w:w="418"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right="24"/>
                          <w:jc w:val="right"/>
                          <w:rPr>
                            <w:rFonts w:ascii="Times New Roman"/>
                            <w:b/>
                            <w:sz w:val="21"/>
                          </w:rPr>
                        </w:pPr>
                        <w:r>
                          <w:rPr>
                            <w:rFonts w:ascii="Times New Roman"/>
                            <w:b/>
                            <w:sz w:val="21"/>
                          </w:rPr>
                          <w:t>110</w:t>
                        </w:r>
                      </w:p>
                    </w:tc>
                    <w:tc>
                      <w:tcPr>
                        <w:tcW w:w="680"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7" w:right="4"/>
                          <w:rPr>
                            <w:rFonts w:ascii="Times New Roman"/>
                            <w:b/>
                            <w:sz w:val="21"/>
                          </w:rPr>
                        </w:pPr>
                        <w:r>
                          <w:rPr>
                            <w:rFonts w:ascii="Times New Roman"/>
                            <w:b/>
                            <w:sz w:val="21"/>
                          </w:rPr>
                          <w:t>33000</w:t>
                        </w:r>
                      </w:p>
                    </w:tc>
                    <w:tc>
                      <w:tcPr>
                        <w:tcW w:w="718"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3"/>
                          <w:rPr>
                            <w:rFonts w:ascii="Times New Roman"/>
                            <w:b/>
                            <w:sz w:val="21"/>
                          </w:rPr>
                        </w:pPr>
                        <w:r>
                          <w:rPr>
                            <w:rFonts w:ascii="Times New Roman"/>
                            <w:b/>
                            <w:w w:val="100"/>
                            <w:sz w:val="21"/>
                          </w:rPr>
                          <w:t>0</w:t>
                        </w:r>
                      </w:p>
                    </w:tc>
                    <w:tc>
                      <w:tcPr>
                        <w:tcW w:w="543"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before="1"/>
                          <w:ind w:left="24"/>
                          <w:rPr>
                            <w:b/>
                            <w:sz w:val="21"/>
                          </w:rPr>
                        </w:pPr>
                        <w:r>
                          <w:rPr>
                            <w:b/>
                            <w:w w:val="100"/>
                            <w:sz w:val="21"/>
                          </w:rPr>
                          <w:t>－</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11" w:right="-15"/>
                          <w:jc w:val="left"/>
                          <w:rPr>
                            <w:rFonts w:ascii="Times New Roman"/>
                            <w:b/>
                            <w:sz w:val="21"/>
                          </w:rPr>
                        </w:pPr>
                        <w:r>
                          <w:rPr>
                            <w:rFonts w:ascii="Times New Roman"/>
                            <w:b/>
                            <w:spacing w:val="-4"/>
                            <w:sz w:val="21"/>
                          </w:rPr>
                          <w:t>110</w:t>
                        </w:r>
                      </w:p>
                    </w:tc>
                    <w:tc>
                      <w:tcPr>
                        <w:tcW w:w="61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5"/>
                          <w:rPr>
                            <w:rFonts w:ascii="Times New Roman"/>
                            <w:b/>
                            <w:sz w:val="21"/>
                          </w:rPr>
                        </w:pPr>
                        <w:r>
                          <w:rPr>
                            <w:rFonts w:ascii="Times New Roman"/>
                            <w:b/>
                            <w:sz w:val="21"/>
                          </w:rPr>
                          <w:t>33000</w:t>
                        </w:r>
                      </w:p>
                    </w:tc>
                    <w:tc>
                      <w:tcPr>
                        <w:tcW w:w="546"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before="1"/>
                          <w:ind w:left="19"/>
                          <w:rPr>
                            <w:b/>
                            <w:sz w:val="21"/>
                          </w:rPr>
                        </w:pPr>
                        <w:r>
                          <w:rPr>
                            <w:b/>
                            <w:w w:val="100"/>
                            <w:sz w:val="21"/>
                          </w:rPr>
                          <w:t>－</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10" w:right="-15"/>
                          <w:rPr>
                            <w:rFonts w:ascii="Times New Roman"/>
                            <w:b/>
                            <w:sz w:val="21"/>
                          </w:rPr>
                        </w:pPr>
                        <w:r>
                          <w:rPr>
                            <w:rFonts w:ascii="Times New Roman"/>
                            <w:b/>
                            <w:spacing w:val="-5"/>
                            <w:sz w:val="21"/>
                          </w:rPr>
                          <w:t>110</w:t>
                        </w:r>
                      </w:p>
                    </w:tc>
                    <w:tc>
                      <w:tcPr>
                        <w:tcW w:w="605"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right="11"/>
                          <w:jc w:val="right"/>
                          <w:rPr>
                            <w:rFonts w:ascii="Times New Roman"/>
                            <w:b/>
                            <w:sz w:val="21"/>
                          </w:rPr>
                        </w:pPr>
                        <w:r>
                          <w:rPr>
                            <w:rFonts w:ascii="Times New Roman"/>
                            <w:b/>
                            <w:sz w:val="21"/>
                          </w:rPr>
                          <w:t>33000</w:t>
                        </w:r>
                      </w:p>
                    </w:tc>
                  </w:tr>
                  <w:tr>
                    <w:trPr>
                      <w:trHeight w:val="272" w:hRule="atLeast"/>
                    </w:trPr>
                    <w:tc>
                      <w:tcPr>
                        <w:tcW w:w="2852" w:type="dxa"/>
                        <w:gridSpan w:val="2"/>
                        <w:vMerge/>
                        <w:tcBorders>
                          <w:top w:val="nil"/>
                          <w:left w:val="single" w:sz="12" w:space="0" w:color="000000"/>
                          <w:bottom w:val="single" w:sz="12" w:space="0" w:color="000000"/>
                          <w:right w:val="single" w:sz="12" w:space="0" w:color="000000"/>
                        </w:tcBorders>
                      </w:tcPr>
                      <w:p>
                        <w:pPr>
                          <w:rPr>
                            <w:sz w:val="2"/>
                            <w:szCs w:val="2"/>
                          </w:rPr>
                        </w:pPr>
                      </w:p>
                    </w:tc>
                    <w:tc>
                      <w:tcPr>
                        <w:tcW w:w="761"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32" w:right="5"/>
                          <w:rPr>
                            <w:rFonts w:ascii="Times New Roman"/>
                            <w:b/>
                            <w:sz w:val="21"/>
                          </w:rPr>
                        </w:pPr>
                        <w:r>
                          <w:rPr>
                            <w:rFonts w:ascii="Times New Roman"/>
                            <w:b/>
                            <w:sz w:val="21"/>
                          </w:rPr>
                          <w:t>CODcr</w:t>
                        </w:r>
                      </w:p>
                    </w:tc>
                    <w:tc>
                      <w:tcPr>
                        <w:tcW w:w="67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right="17"/>
                          <w:jc w:val="right"/>
                          <w:rPr>
                            <w:rFonts w:ascii="Times New Roman"/>
                            <w:b/>
                            <w:sz w:val="21"/>
                          </w:rPr>
                        </w:pPr>
                        <w:r>
                          <w:rPr>
                            <w:rFonts w:ascii="Times New Roman"/>
                            <w:b/>
                            <w:sz w:val="21"/>
                          </w:rPr>
                          <w:t>2953.7</w:t>
                        </w:r>
                      </w:p>
                    </w:tc>
                    <w:tc>
                      <w:tcPr>
                        <w:tcW w:w="418"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right="72"/>
                          <w:jc w:val="right"/>
                          <w:rPr>
                            <w:b/>
                            <w:sz w:val="21"/>
                          </w:rPr>
                        </w:pPr>
                        <w:r>
                          <w:rPr>
                            <w:b/>
                            <w:w w:val="100"/>
                            <w:sz w:val="21"/>
                          </w:rPr>
                          <w:t>－</w:t>
                        </w:r>
                      </w:p>
                    </w:tc>
                    <w:tc>
                      <w:tcPr>
                        <w:tcW w:w="680"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7" w:right="4"/>
                          <w:rPr>
                            <w:rFonts w:ascii="Times New Roman"/>
                            <w:b/>
                            <w:sz w:val="21"/>
                          </w:rPr>
                        </w:pPr>
                        <w:r>
                          <w:rPr>
                            <w:rFonts w:ascii="Times New Roman"/>
                            <w:b/>
                            <w:sz w:val="21"/>
                          </w:rPr>
                          <w:t>97.473</w:t>
                        </w:r>
                      </w:p>
                    </w:tc>
                    <w:tc>
                      <w:tcPr>
                        <w:tcW w:w="718"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46" w:right="23"/>
                          <w:rPr>
                            <w:rFonts w:ascii="Times New Roman"/>
                            <w:b/>
                            <w:sz w:val="21"/>
                          </w:rPr>
                        </w:pPr>
                        <w:r>
                          <w:rPr>
                            <w:rFonts w:ascii="Times New Roman"/>
                            <w:b/>
                            <w:sz w:val="21"/>
                          </w:rPr>
                          <w:t>80.973</w:t>
                        </w:r>
                      </w:p>
                    </w:tc>
                    <w:tc>
                      <w:tcPr>
                        <w:tcW w:w="543"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91" w:right="67"/>
                          <w:rPr>
                            <w:rFonts w:ascii="Times New Roman"/>
                            <w:b/>
                            <w:sz w:val="21"/>
                          </w:rPr>
                        </w:pPr>
                        <w:r>
                          <w:rPr>
                            <w:rFonts w:ascii="Times New Roman"/>
                            <w:b/>
                            <w:sz w:val="21"/>
                          </w:rPr>
                          <w:t>500</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56"/>
                          <w:jc w:val="left"/>
                          <w:rPr>
                            <w:b/>
                            <w:sz w:val="21"/>
                          </w:rPr>
                        </w:pPr>
                        <w:r>
                          <w:rPr>
                            <w:b/>
                            <w:w w:val="100"/>
                            <w:sz w:val="21"/>
                          </w:rPr>
                          <w:t>－</w:t>
                        </w:r>
                      </w:p>
                    </w:tc>
                    <w:tc>
                      <w:tcPr>
                        <w:tcW w:w="61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5"/>
                          <w:rPr>
                            <w:rFonts w:ascii="Times New Roman"/>
                            <w:b/>
                            <w:sz w:val="21"/>
                          </w:rPr>
                        </w:pPr>
                        <w:r>
                          <w:rPr>
                            <w:rFonts w:ascii="Times New Roman"/>
                            <w:b/>
                            <w:sz w:val="21"/>
                          </w:rPr>
                          <w:t>16.5</w:t>
                        </w:r>
                      </w:p>
                    </w:tc>
                    <w:tc>
                      <w:tcPr>
                        <w:tcW w:w="546"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142" w:right="123"/>
                          <w:rPr>
                            <w:rFonts w:ascii="Times New Roman"/>
                            <w:b/>
                            <w:sz w:val="21"/>
                          </w:rPr>
                        </w:pPr>
                        <w:r>
                          <w:rPr>
                            <w:rFonts w:ascii="Times New Roman"/>
                            <w:b/>
                            <w:sz w:val="21"/>
                          </w:rPr>
                          <w:t>80</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8"/>
                          <w:rPr>
                            <w:b/>
                            <w:sz w:val="21"/>
                          </w:rPr>
                        </w:pPr>
                        <w:r>
                          <w:rPr>
                            <w:b/>
                            <w:w w:val="100"/>
                            <w:sz w:val="21"/>
                          </w:rPr>
                          <w:t>－</w:t>
                        </w:r>
                      </w:p>
                    </w:tc>
                    <w:tc>
                      <w:tcPr>
                        <w:tcW w:w="605"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right="90"/>
                          <w:jc w:val="right"/>
                          <w:rPr>
                            <w:rFonts w:ascii="Times New Roman"/>
                            <w:b/>
                            <w:sz w:val="21"/>
                          </w:rPr>
                        </w:pPr>
                        <w:r>
                          <w:rPr>
                            <w:rFonts w:ascii="Times New Roman"/>
                            <w:b/>
                            <w:sz w:val="21"/>
                          </w:rPr>
                          <w:t>2.64</w:t>
                        </w:r>
                      </w:p>
                    </w:tc>
                  </w:tr>
                  <w:tr>
                    <w:trPr>
                      <w:trHeight w:val="272" w:hRule="atLeast"/>
                    </w:trPr>
                    <w:tc>
                      <w:tcPr>
                        <w:tcW w:w="2852" w:type="dxa"/>
                        <w:gridSpan w:val="2"/>
                        <w:vMerge/>
                        <w:tcBorders>
                          <w:top w:val="nil"/>
                          <w:left w:val="single" w:sz="12" w:space="0" w:color="000000"/>
                          <w:bottom w:val="single" w:sz="12" w:space="0" w:color="000000"/>
                          <w:right w:val="single" w:sz="12" w:space="0" w:color="000000"/>
                        </w:tcBorders>
                      </w:tcPr>
                      <w:p>
                        <w:pPr>
                          <w:rPr>
                            <w:sz w:val="2"/>
                            <w:szCs w:val="2"/>
                          </w:rPr>
                        </w:pPr>
                      </w:p>
                    </w:tc>
                    <w:tc>
                      <w:tcPr>
                        <w:tcW w:w="761"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30" w:right="5"/>
                          <w:rPr>
                            <w:b/>
                            <w:sz w:val="21"/>
                          </w:rPr>
                        </w:pPr>
                        <w:r>
                          <w:rPr>
                            <w:b/>
                            <w:sz w:val="21"/>
                          </w:rPr>
                          <w:t>氨氮</w:t>
                        </w:r>
                      </w:p>
                    </w:tc>
                    <w:tc>
                      <w:tcPr>
                        <w:tcW w:w="67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152"/>
                          <w:jc w:val="left"/>
                          <w:rPr>
                            <w:rFonts w:ascii="Times New Roman"/>
                            <w:b/>
                            <w:sz w:val="21"/>
                          </w:rPr>
                        </w:pPr>
                        <w:r>
                          <w:rPr>
                            <w:rFonts w:ascii="Times New Roman"/>
                            <w:b/>
                            <w:sz w:val="21"/>
                          </w:rPr>
                          <w:t>14.5</w:t>
                        </w:r>
                      </w:p>
                    </w:tc>
                    <w:tc>
                      <w:tcPr>
                        <w:tcW w:w="418"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right="72"/>
                          <w:jc w:val="right"/>
                          <w:rPr>
                            <w:b/>
                            <w:sz w:val="21"/>
                          </w:rPr>
                        </w:pPr>
                        <w:r>
                          <w:rPr>
                            <w:b/>
                            <w:w w:val="100"/>
                            <w:sz w:val="21"/>
                          </w:rPr>
                          <w:t>－</w:t>
                        </w:r>
                      </w:p>
                    </w:tc>
                    <w:tc>
                      <w:tcPr>
                        <w:tcW w:w="680"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7" w:right="4"/>
                          <w:rPr>
                            <w:rFonts w:ascii="Times New Roman"/>
                            <w:b/>
                            <w:sz w:val="21"/>
                          </w:rPr>
                        </w:pPr>
                        <w:r>
                          <w:rPr>
                            <w:rFonts w:ascii="Times New Roman"/>
                            <w:b/>
                            <w:sz w:val="21"/>
                          </w:rPr>
                          <w:t>0.477</w:t>
                        </w:r>
                      </w:p>
                    </w:tc>
                    <w:tc>
                      <w:tcPr>
                        <w:tcW w:w="718"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46" w:right="21"/>
                          <w:rPr>
                            <w:rFonts w:ascii="Times New Roman"/>
                            <w:b/>
                            <w:sz w:val="21"/>
                          </w:rPr>
                        </w:pPr>
                        <w:r>
                          <w:rPr>
                            <w:rFonts w:ascii="Times New Roman"/>
                            <w:b/>
                            <w:sz w:val="21"/>
                          </w:rPr>
                          <w:t>-0.678</w:t>
                        </w:r>
                      </w:p>
                    </w:tc>
                    <w:tc>
                      <w:tcPr>
                        <w:tcW w:w="543"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91" w:right="67"/>
                          <w:rPr>
                            <w:rFonts w:ascii="Times New Roman"/>
                            <w:b/>
                            <w:sz w:val="21"/>
                          </w:rPr>
                        </w:pPr>
                        <w:r>
                          <w:rPr>
                            <w:rFonts w:ascii="Times New Roman"/>
                            <w:b/>
                            <w:sz w:val="21"/>
                          </w:rPr>
                          <w:t>35</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56"/>
                          <w:jc w:val="left"/>
                          <w:rPr>
                            <w:b/>
                            <w:sz w:val="21"/>
                          </w:rPr>
                        </w:pPr>
                        <w:r>
                          <w:rPr>
                            <w:b/>
                            <w:w w:val="100"/>
                            <w:sz w:val="21"/>
                          </w:rPr>
                          <w:t>－</w:t>
                        </w:r>
                      </w:p>
                    </w:tc>
                    <w:tc>
                      <w:tcPr>
                        <w:tcW w:w="61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5"/>
                          <w:rPr>
                            <w:rFonts w:ascii="Times New Roman"/>
                            <w:b/>
                            <w:sz w:val="21"/>
                          </w:rPr>
                        </w:pPr>
                        <w:r>
                          <w:rPr>
                            <w:rFonts w:ascii="Times New Roman"/>
                            <w:b/>
                            <w:sz w:val="21"/>
                          </w:rPr>
                          <w:t>1.155</w:t>
                        </w:r>
                      </w:p>
                    </w:tc>
                    <w:tc>
                      <w:tcPr>
                        <w:tcW w:w="546"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142" w:right="123"/>
                          <w:rPr>
                            <w:rFonts w:ascii="Times New Roman"/>
                            <w:b/>
                            <w:sz w:val="21"/>
                          </w:rPr>
                        </w:pPr>
                        <w:r>
                          <w:rPr>
                            <w:rFonts w:ascii="Times New Roman"/>
                            <w:b/>
                            <w:sz w:val="21"/>
                          </w:rPr>
                          <w:t>15</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8"/>
                          <w:rPr>
                            <w:b/>
                            <w:sz w:val="21"/>
                          </w:rPr>
                        </w:pPr>
                        <w:r>
                          <w:rPr>
                            <w:b/>
                            <w:w w:val="100"/>
                            <w:sz w:val="21"/>
                          </w:rPr>
                          <w:t>－</w:t>
                        </w:r>
                      </w:p>
                    </w:tc>
                    <w:tc>
                      <w:tcPr>
                        <w:tcW w:w="605"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right="37"/>
                          <w:jc w:val="right"/>
                          <w:rPr>
                            <w:rFonts w:ascii="Times New Roman"/>
                            <w:b/>
                            <w:sz w:val="21"/>
                          </w:rPr>
                        </w:pPr>
                        <w:r>
                          <w:rPr>
                            <w:rFonts w:ascii="Times New Roman"/>
                            <w:b/>
                            <w:sz w:val="21"/>
                          </w:rPr>
                          <w:t>0.495</w:t>
                        </w:r>
                      </w:p>
                    </w:tc>
                  </w:tr>
                  <w:tr>
                    <w:trPr>
                      <w:trHeight w:val="272" w:hRule="atLeast"/>
                    </w:trPr>
                    <w:tc>
                      <w:tcPr>
                        <w:tcW w:w="2852" w:type="dxa"/>
                        <w:gridSpan w:val="2"/>
                        <w:vMerge/>
                        <w:tcBorders>
                          <w:top w:val="nil"/>
                          <w:left w:val="single" w:sz="12" w:space="0" w:color="000000"/>
                          <w:bottom w:val="single" w:sz="12" w:space="0" w:color="000000"/>
                          <w:right w:val="single" w:sz="12" w:space="0" w:color="000000"/>
                        </w:tcBorders>
                      </w:tcPr>
                      <w:p>
                        <w:pPr>
                          <w:rPr>
                            <w:sz w:val="2"/>
                            <w:szCs w:val="2"/>
                          </w:rPr>
                        </w:pPr>
                      </w:p>
                    </w:tc>
                    <w:tc>
                      <w:tcPr>
                        <w:tcW w:w="761"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30" w:right="5"/>
                          <w:rPr>
                            <w:b/>
                            <w:sz w:val="21"/>
                          </w:rPr>
                        </w:pPr>
                        <w:r>
                          <w:rPr>
                            <w:b/>
                            <w:sz w:val="21"/>
                          </w:rPr>
                          <w:t>总氮</w:t>
                        </w:r>
                      </w:p>
                    </w:tc>
                    <w:tc>
                      <w:tcPr>
                        <w:tcW w:w="67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183"/>
                          <w:jc w:val="left"/>
                          <w:rPr>
                            <w:rFonts w:ascii="Times New Roman"/>
                            <w:b/>
                            <w:sz w:val="21"/>
                          </w:rPr>
                        </w:pPr>
                        <w:r>
                          <w:rPr>
                            <w:rFonts w:ascii="Times New Roman"/>
                            <w:b/>
                            <w:sz w:val="21"/>
                          </w:rPr>
                          <w:t>110</w:t>
                        </w:r>
                      </w:p>
                    </w:tc>
                    <w:tc>
                      <w:tcPr>
                        <w:tcW w:w="418"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right="72"/>
                          <w:jc w:val="right"/>
                          <w:rPr>
                            <w:b/>
                            <w:sz w:val="21"/>
                          </w:rPr>
                        </w:pPr>
                        <w:r>
                          <w:rPr>
                            <w:b/>
                            <w:w w:val="100"/>
                            <w:sz w:val="21"/>
                          </w:rPr>
                          <w:t>－</w:t>
                        </w:r>
                      </w:p>
                    </w:tc>
                    <w:tc>
                      <w:tcPr>
                        <w:tcW w:w="680"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7" w:right="4"/>
                          <w:rPr>
                            <w:rFonts w:ascii="Times New Roman"/>
                            <w:b/>
                            <w:sz w:val="21"/>
                          </w:rPr>
                        </w:pPr>
                        <w:r>
                          <w:rPr>
                            <w:rFonts w:ascii="Times New Roman"/>
                            <w:b/>
                            <w:sz w:val="21"/>
                          </w:rPr>
                          <w:t>3.631</w:t>
                        </w:r>
                      </w:p>
                    </w:tc>
                    <w:tc>
                      <w:tcPr>
                        <w:tcW w:w="718"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46" w:right="23"/>
                          <w:rPr>
                            <w:rFonts w:ascii="Times New Roman"/>
                            <w:b/>
                            <w:sz w:val="21"/>
                          </w:rPr>
                        </w:pPr>
                        <w:r>
                          <w:rPr>
                            <w:rFonts w:ascii="Times New Roman"/>
                            <w:b/>
                            <w:sz w:val="21"/>
                          </w:rPr>
                          <w:t>1.321</w:t>
                        </w:r>
                      </w:p>
                    </w:tc>
                    <w:tc>
                      <w:tcPr>
                        <w:tcW w:w="543"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91" w:right="67"/>
                          <w:rPr>
                            <w:rFonts w:ascii="Times New Roman"/>
                            <w:b/>
                            <w:sz w:val="21"/>
                          </w:rPr>
                        </w:pPr>
                        <w:r>
                          <w:rPr>
                            <w:rFonts w:ascii="Times New Roman"/>
                            <w:b/>
                            <w:sz w:val="21"/>
                          </w:rPr>
                          <w:t>70</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56"/>
                          <w:jc w:val="left"/>
                          <w:rPr>
                            <w:b/>
                            <w:sz w:val="21"/>
                          </w:rPr>
                        </w:pPr>
                        <w:r>
                          <w:rPr>
                            <w:b/>
                            <w:w w:val="100"/>
                            <w:sz w:val="21"/>
                          </w:rPr>
                          <w:t>－</w:t>
                        </w:r>
                      </w:p>
                    </w:tc>
                    <w:tc>
                      <w:tcPr>
                        <w:tcW w:w="61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5"/>
                          <w:rPr>
                            <w:rFonts w:ascii="Times New Roman"/>
                            <w:b/>
                            <w:sz w:val="21"/>
                          </w:rPr>
                        </w:pPr>
                        <w:r>
                          <w:rPr>
                            <w:rFonts w:ascii="Times New Roman"/>
                            <w:b/>
                            <w:sz w:val="21"/>
                          </w:rPr>
                          <w:t>2.31</w:t>
                        </w:r>
                      </w:p>
                    </w:tc>
                    <w:tc>
                      <w:tcPr>
                        <w:tcW w:w="546"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9"/>
                          <w:rPr>
                            <w:b/>
                            <w:sz w:val="21"/>
                          </w:rPr>
                        </w:pPr>
                        <w:r>
                          <w:rPr>
                            <w:b/>
                            <w:w w:val="100"/>
                            <w:sz w:val="21"/>
                          </w:rPr>
                          <w:t>－</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8"/>
                          <w:rPr>
                            <w:b/>
                            <w:sz w:val="21"/>
                          </w:rPr>
                        </w:pPr>
                        <w:r>
                          <w:rPr>
                            <w:b/>
                            <w:w w:val="100"/>
                            <w:sz w:val="21"/>
                          </w:rPr>
                          <w:t>－</w:t>
                        </w:r>
                      </w:p>
                    </w:tc>
                    <w:tc>
                      <w:tcPr>
                        <w:tcW w:w="605"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92"/>
                          <w:jc w:val="left"/>
                          <w:rPr>
                            <w:b/>
                            <w:sz w:val="21"/>
                          </w:rPr>
                        </w:pPr>
                        <w:r>
                          <w:rPr>
                            <w:b/>
                            <w:w w:val="100"/>
                            <w:sz w:val="21"/>
                          </w:rPr>
                          <w:t>－</w:t>
                        </w:r>
                      </w:p>
                    </w:tc>
                  </w:tr>
                  <w:tr>
                    <w:trPr>
                      <w:trHeight w:val="272" w:hRule="atLeast"/>
                    </w:trPr>
                    <w:tc>
                      <w:tcPr>
                        <w:tcW w:w="2852" w:type="dxa"/>
                        <w:gridSpan w:val="2"/>
                        <w:vMerge/>
                        <w:tcBorders>
                          <w:top w:val="nil"/>
                          <w:left w:val="single" w:sz="12" w:space="0" w:color="000000"/>
                          <w:bottom w:val="single" w:sz="12" w:space="0" w:color="000000"/>
                          <w:right w:val="single" w:sz="12" w:space="0" w:color="000000"/>
                        </w:tcBorders>
                      </w:tcPr>
                      <w:p>
                        <w:pPr>
                          <w:rPr>
                            <w:sz w:val="2"/>
                            <w:szCs w:val="2"/>
                          </w:rPr>
                        </w:pPr>
                      </w:p>
                    </w:tc>
                    <w:tc>
                      <w:tcPr>
                        <w:tcW w:w="761"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30" w:right="5"/>
                          <w:rPr>
                            <w:b/>
                            <w:sz w:val="21"/>
                          </w:rPr>
                        </w:pPr>
                        <w:r>
                          <w:rPr>
                            <w:b/>
                            <w:sz w:val="21"/>
                          </w:rPr>
                          <w:t>三环唑</w:t>
                        </w:r>
                      </w:p>
                    </w:tc>
                    <w:tc>
                      <w:tcPr>
                        <w:tcW w:w="677"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right="70"/>
                          <w:jc w:val="right"/>
                          <w:rPr>
                            <w:rFonts w:ascii="Times New Roman"/>
                            <w:b/>
                            <w:sz w:val="21"/>
                          </w:rPr>
                        </w:pPr>
                        <w:r>
                          <w:rPr>
                            <w:rFonts w:ascii="Times New Roman"/>
                            <w:b/>
                            <w:sz w:val="21"/>
                          </w:rPr>
                          <w:t>300.8</w:t>
                        </w:r>
                      </w:p>
                    </w:tc>
                    <w:tc>
                      <w:tcPr>
                        <w:tcW w:w="418" w:type="dxa"/>
                        <w:tcBorders>
                          <w:top w:val="single" w:sz="12" w:space="0" w:color="000000"/>
                          <w:left w:val="single" w:sz="12" w:space="0" w:color="000000"/>
                          <w:bottom w:val="single" w:sz="12" w:space="0" w:color="000000"/>
                          <w:right w:val="single" w:sz="12" w:space="0" w:color="000000"/>
                        </w:tcBorders>
                      </w:tcPr>
                      <w:p>
                        <w:pPr>
                          <w:pStyle w:val="TableParagraph"/>
                          <w:jc w:val="left"/>
                          <w:rPr>
                            <w:rFonts w:ascii="Times New Roman"/>
                            <w:sz w:val="20"/>
                          </w:rPr>
                        </w:pPr>
                      </w:p>
                    </w:tc>
                    <w:tc>
                      <w:tcPr>
                        <w:tcW w:w="680" w:type="dxa"/>
                        <w:tcBorders>
                          <w:top w:val="single" w:sz="12" w:space="0" w:color="000000"/>
                          <w:left w:val="single" w:sz="12" w:space="0" w:color="000000"/>
                          <w:bottom w:val="single" w:sz="12" w:space="0" w:color="000000"/>
                          <w:right w:val="single" w:sz="12" w:space="0" w:color="000000"/>
                        </w:tcBorders>
                      </w:tcPr>
                      <w:p>
                        <w:pPr>
                          <w:pStyle w:val="TableParagraph"/>
                          <w:spacing w:line="238" w:lineRule="exact" w:before="14"/>
                          <w:ind w:left="27" w:right="4"/>
                          <w:rPr>
                            <w:rFonts w:ascii="Times New Roman"/>
                            <w:b/>
                            <w:sz w:val="21"/>
                          </w:rPr>
                        </w:pPr>
                        <w:r>
                          <w:rPr>
                            <w:rFonts w:ascii="Times New Roman"/>
                            <w:b/>
                            <w:sz w:val="21"/>
                          </w:rPr>
                          <w:t>9.927</w:t>
                        </w:r>
                      </w:p>
                    </w:tc>
                    <w:tc>
                      <w:tcPr>
                        <w:tcW w:w="718"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23"/>
                          <w:rPr>
                            <w:b/>
                            <w:sz w:val="21"/>
                          </w:rPr>
                        </w:pPr>
                        <w:r>
                          <w:rPr>
                            <w:b/>
                            <w:w w:val="100"/>
                            <w:sz w:val="21"/>
                          </w:rPr>
                          <w:t>－</w:t>
                        </w:r>
                      </w:p>
                    </w:tc>
                    <w:tc>
                      <w:tcPr>
                        <w:tcW w:w="543"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24"/>
                          <w:rPr>
                            <w:b/>
                            <w:sz w:val="21"/>
                          </w:rPr>
                        </w:pPr>
                        <w:r>
                          <w:rPr>
                            <w:b/>
                            <w:w w:val="100"/>
                            <w:sz w:val="21"/>
                          </w:rPr>
                          <w:t>－</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56"/>
                          <w:jc w:val="left"/>
                          <w:rPr>
                            <w:b/>
                            <w:sz w:val="21"/>
                          </w:rPr>
                        </w:pPr>
                        <w:r>
                          <w:rPr>
                            <w:b/>
                            <w:w w:val="100"/>
                            <w:sz w:val="21"/>
                          </w:rPr>
                          <w:t>－</w:t>
                        </w:r>
                      </w:p>
                    </w:tc>
                    <w:tc>
                      <w:tcPr>
                        <w:tcW w:w="617"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20"/>
                          <w:rPr>
                            <w:b/>
                            <w:sz w:val="21"/>
                          </w:rPr>
                        </w:pPr>
                        <w:r>
                          <w:rPr>
                            <w:b/>
                            <w:w w:val="100"/>
                            <w:sz w:val="21"/>
                          </w:rPr>
                          <w:t>－</w:t>
                        </w:r>
                      </w:p>
                    </w:tc>
                    <w:tc>
                      <w:tcPr>
                        <w:tcW w:w="546"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9"/>
                          <w:rPr>
                            <w:b/>
                            <w:sz w:val="21"/>
                          </w:rPr>
                        </w:pPr>
                        <w:r>
                          <w:rPr>
                            <w:b/>
                            <w:w w:val="100"/>
                            <w:sz w:val="21"/>
                          </w:rPr>
                          <w:t>－</w:t>
                        </w:r>
                      </w:p>
                    </w:tc>
                    <w:tc>
                      <w:tcPr>
                        <w:tcW w:w="334"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8"/>
                          <w:rPr>
                            <w:b/>
                            <w:sz w:val="21"/>
                          </w:rPr>
                        </w:pPr>
                        <w:r>
                          <w:rPr>
                            <w:b/>
                            <w:w w:val="100"/>
                            <w:sz w:val="21"/>
                          </w:rPr>
                          <w:t>－</w:t>
                        </w:r>
                      </w:p>
                    </w:tc>
                    <w:tc>
                      <w:tcPr>
                        <w:tcW w:w="605" w:type="dxa"/>
                        <w:tcBorders>
                          <w:top w:val="single" w:sz="12" w:space="0" w:color="000000"/>
                          <w:left w:val="single" w:sz="12" w:space="0" w:color="000000"/>
                          <w:bottom w:val="single" w:sz="12" w:space="0" w:color="000000"/>
                          <w:right w:val="single" w:sz="12" w:space="0" w:color="000000"/>
                        </w:tcBorders>
                      </w:tcPr>
                      <w:p>
                        <w:pPr>
                          <w:pStyle w:val="TableParagraph"/>
                          <w:spacing w:line="252" w:lineRule="exact"/>
                          <w:ind w:left="192"/>
                          <w:jc w:val="left"/>
                          <w:rPr>
                            <w:b/>
                            <w:sz w:val="21"/>
                          </w:rPr>
                        </w:pPr>
                        <w:r>
                          <w:rPr>
                            <w:b/>
                            <w:w w:val="100"/>
                            <w:sz w:val="21"/>
                          </w:rPr>
                          <w:t>－</w:t>
                        </w:r>
                      </w:p>
                    </w:tc>
                  </w:tr>
                </w:tbl>
                <w:p>
                  <w:pPr>
                    <w:pStyle w:val="BodyText"/>
                  </w:pPr>
                </w:p>
              </w:txbxContent>
            </v:textbox>
            <w10:wrap type="none"/>
          </v:shape>
        </w:pict>
      </w:r>
      <w:r>
        <w:rPr>
          <w:sz w:val="24"/>
        </w:rPr>
        <w:t>项目废水产生及排放情况汇总见下表，废水污染源强核算清单详见表</w:t>
      </w:r>
      <w:r>
        <w:rPr>
          <w:spacing w:val="-61"/>
          <w:sz w:val="24"/>
        </w:rPr>
        <w:t> </w:t>
      </w:r>
      <w:r>
        <w:rPr>
          <w:rFonts w:ascii="Times New Roman" w:eastAsia="Times New Roman"/>
          <w:sz w:val="24"/>
        </w:rPr>
        <w:t>4.4-4</w:t>
      </w:r>
      <w:r>
        <w:rPr>
          <w:spacing w:val="-15"/>
          <w:sz w:val="24"/>
        </w:rPr>
        <w:t>。</w:t>
      </w:r>
      <w:r>
        <w:rPr>
          <w:b/>
          <w:sz w:val="24"/>
        </w:rPr>
        <w:t>表</w:t>
      </w:r>
      <w:r>
        <w:rPr>
          <w:b/>
          <w:spacing w:val="-59"/>
          <w:sz w:val="24"/>
        </w:rPr>
        <w:t> </w:t>
      </w:r>
      <w:r>
        <w:rPr>
          <w:rFonts w:ascii="Times New Roman" w:eastAsia="Times New Roman"/>
          <w:b/>
          <w:sz w:val="24"/>
        </w:rPr>
        <w:t>4.4-2</w:t>
        <w:tab/>
      </w:r>
      <w:r>
        <w:rPr>
          <w:b/>
          <w:sz w:val="24"/>
        </w:rPr>
        <w:t>项目废水产生及排放情况汇总</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rPr>
      </w:pPr>
      <w:r>
        <w:rPr/>
        <w:pict>
          <v:line style="position:absolute;mso-position-horizontal-relative:page;mso-position-vertical-relative:paragraph;z-index:-251525120;mso-wrap-distance-left:0;mso-wrap-distance-right:0" from="69.503998pt,17.653120pt" to="527.253998pt,17.653120pt" stroked="true" strokeweight=".47998pt" strokecolor="#000000">
            <v:stroke dashstyle="solid"/>
            <w10:wrap type="topAndBottom"/>
          </v:line>
        </w:pict>
      </w:r>
    </w:p>
    <w:p>
      <w:pPr>
        <w:spacing w:after="0"/>
        <w:sectPr>
          <w:pgSz w:w="11910" w:h="16850"/>
          <w:pgMar w:header="730" w:footer="733" w:top="1340" w:bottom="920" w:left="1200" w:right="1180"/>
        </w:sectPr>
      </w:pPr>
    </w:p>
    <w:p>
      <w:pPr>
        <w:pStyle w:val="BodyText"/>
        <w:rPr>
          <w:b/>
        </w:rPr>
      </w:pPr>
    </w:p>
    <w:p>
      <w:pPr>
        <w:pStyle w:val="Heading4"/>
        <w:tabs>
          <w:tab w:pos="1042" w:val="left" w:leader="none"/>
        </w:tabs>
        <w:spacing w:before="74" w:after="29"/>
        <w:ind w:left="0"/>
        <w:jc w:val="center"/>
      </w:pPr>
      <w:r>
        <w:rPr/>
        <w:t>表</w:t>
      </w:r>
      <w:r>
        <w:rPr>
          <w:spacing w:val="-60"/>
        </w:rPr>
        <w:t> </w:t>
      </w:r>
      <w:r>
        <w:rPr>
          <w:rFonts w:ascii="Times New Roman" w:eastAsia="Times New Roman"/>
        </w:rPr>
        <w:t>4.4-3</w:t>
        <w:tab/>
      </w:r>
      <w:r>
        <w:rPr/>
        <w:t>项目废气污染源强核算结果</w:t>
      </w: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135"/>
        <w:gridCol w:w="1133"/>
        <w:gridCol w:w="1170"/>
        <w:gridCol w:w="973"/>
        <w:gridCol w:w="2538"/>
        <w:gridCol w:w="1249"/>
        <w:gridCol w:w="894"/>
        <w:gridCol w:w="1264"/>
        <w:gridCol w:w="1134"/>
        <w:gridCol w:w="1163"/>
      </w:tblGrid>
      <w:tr>
        <w:trPr>
          <w:trHeight w:val="282" w:hRule="atLeast"/>
        </w:trPr>
        <w:tc>
          <w:tcPr>
            <w:tcW w:w="1476" w:type="dxa"/>
            <w:vMerge w:val="restart"/>
          </w:tcPr>
          <w:p>
            <w:pPr>
              <w:pStyle w:val="TableParagraph"/>
              <w:spacing w:before="9"/>
              <w:jc w:val="left"/>
              <w:rPr>
                <w:b/>
                <w:sz w:val="28"/>
              </w:rPr>
            </w:pPr>
          </w:p>
          <w:p>
            <w:pPr>
              <w:pStyle w:val="TableParagraph"/>
              <w:ind w:left="422"/>
              <w:jc w:val="left"/>
              <w:rPr>
                <w:b/>
                <w:sz w:val="21"/>
              </w:rPr>
            </w:pPr>
            <w:r>
              <w:rPr>
                <w:b/>
                <w:sz w:val="21"/>
              </w:rPr>
              <w:t>排气筒</w:t>
            </w:r>
          </w:p>
        </w:tc>
        <w:tc>
          <w:tcPr>
            <w:tcW w:w="1135" w:type="dxa"/>
            <w:vMerge w:val="restart"/>
          </w:tcPr>
          <w:p>
            <w:pPr>
              <w:pStyle w:val="TableParagraph"/>
              <w:spacing w:before="9"/>
              <w:jc w:val="left"/>
              <w:rPr>
                <w:b/>
                <w:sz w:val="28"/>
              </w:rPr>
            </w:pPr>
          </w:p>
          <w:p>
            <w:pPr>
              <w:pStyle w:val="TableParagraph"/>
              <w:ind w:left="249"/>
              <w:jc w:val="left"/>
              <w:rPr>
                <w:b/>
                <w:sz w:val="21"/>
              </w:rPr>
            </w:pPr>
            <w:r>
              <w:rPr>
                <w:b/>
                <w:sz w:val="21"/>
              </w:rPr>
              <w:t>污染物</w:t>
            </w:r>
          </w:p>
        </w:tc>
        <w:tc>
          <w:tcPr>
            <w:tcW w:w="1133" w:type="dxa"/>
            <w:vMerge w:val="restart"/>
          </w:tcPr>
          <w:p>
            <w:pPr>
              <w:pStyle w:val="TableParagraph"/>
              <w:spacing w:before="2"/>
              <w:jc w:val="left"/>
              <w:rPr>
                <w:b/>
                <w:sz w:val="21"/>
              </w:rPr>
            </w:pPr>
          </w:p>
          <w:p>
            <w:pPr>
              <w:pStyle w:val="TableParagraph"/>
              <w:spacing w:line="213" w:lineRule="auto"/>
              <w:ind w:left="353" w:right="345"/>
              <w:jc w:val="left"/>
              <w:rPr>
                <w:b/>
                <w:sz w:val="21"/>
              </w:rPr>
            </w:pPr>
            <w:r>
              <w:rPr>
                <w:b/>
                <w:sz w:val="21"/>
              </w:rPr>
              <w:t>核算方法</w:t>
            </w:r>
          </w:p>
        </w:tc>
        <w:tc>
          <w:tcPr>
            <w:tcW w:w="2143" w:type="dxa"/>
            <w:gridSpan w:val="2"/>
          </w:tcPr>
          <w:p>
            <w:pPr>
              <w:pStyle w:val="TableParagraph"/>
              <w:spacing w:line="259" w:lineRule="exact" w:before="3"/>
              <w:ind w:left="543"/>
              <w:jc w:val="left"/>
              <w:rPr>
                <w:b/>
                <w:sz w:val="21"/>
              </w:rPr>
            </w:pPr>
            <w:r>
              <w:rPr>
                <w:b/>
                <w:sz w:val="21"/>
              </w:rPr>
              <w:t>污染物产生</w:t>
            </w:r>
          </w:p>
        </w:tc>
        <w:tc>
          <w:tcPr>
            <w:tcW w:w="2538" w:type="dxa"/>
          </w:tcPr>
          <w:p>
            <w:pPr>
              <w:pStyle w:val="TableParagraph"/>
              <w:spacing w:line="259" w:lineRule="exact" w:before="3"/>
              <w:ind w:left="32" w:right="24"/>
              <w:rPr>
                <w:b/>
                <w:sz w:val="21"/>
              </w:rPr>
            </w:pPr>
            <w:r>
              <w:rPr>
                <w:b/>
                <w:sz w:val="21"/>
              </w:rPr>
              <w:t>治理措施</w:t>
            </w:r>
          </w:p>
        </w:tc>
        <w:tc>
          <w:tcPr>
            <w:tcW w:w="3407" w:type="dxa"/>
            <w:gridSpan w:val="3"/>
          </w:tcPr>
          <w:p>
            <w:pPr>
              <w:pStyle w:val="TableParagraph"/>
              <w:spacing w:line="259" w:lineRule="exact" w:before="3"/>
              <w:ind w:left="1151" w:right="1150"/>
              <w:rPr>
                <w:b/>
                <w:sz w:val="21"/>
              </w:rPr>
            </w:pPr>
            <w:r>
              <w:rPr>
                <w:b/>
                <w:sz w:val="21"/>
              </w:rPr>
              <w:t>污染物排放</w:t>
            </w:r>
          </w:p>
        </w:tc>
        <w:tc>
          <w:tcPr>
            <w:tcW w:w="1134" w:type="dxa"/>
            <w:vMerge w:val="restart"/>
          </w:tcPr>
          <w:p>
            <w:pPr>
              <w:pStyle w:val="TableParagraph"/>
              <w:spacing w:before="2"/>
              <w:jc w:val="left"/>
              <w:rPr>
                <w:b/>
                <w:sz w:val="21"/>
              </w:rPr>
            </w:pPr>
          </w:p>
          <w:p>
            <w:pPr>
              <w:pStyle w:val="TableParagraph"/>
              <w:spacing w:line="213" w:lineRule="auto"/>
              <w:ind w:left="162" w:right="34" w:hanging="130"/>
              <w:jc w:val="left"/>
              <w:rPr>
                <w:rFonts w:ascii="Times New Roman" w:eastAsia="Times New Roman"/>
                <w:b/>
                <w:sz w:val="21"/>
              </w:rPr>
            </w:pPr>
            <w:r>
              <w:rPr>
                <w:b/>
                <w:sz w:val="21"/>
              </w:rPr>
              <w:t>污染物年排放量</w:t>
            </w:r>
            <w:r>
              <w:rPr>
                <w:rFonts w:ascii="Times New Roman" w:eastAsia="Times New Roman"/>
                <w:b/>
                <w:sz w:val="21"/>
              </w:rPr>
              <w:t>(t/a)</w:t>
            </w:r>
          </w:p>
        </w:tc>
        <w:tc>
          <w:tcPr>
            <w:tcW w:w="1163" w:type="dxa"/>
            <w:vMerge w:val="restart"/>
          </w:tcPr>
          <w:p>
            <w:pPr>
              <w:pStyle w:val="TableParagraph"/>
              <w:spacing w:line="218" w:lineRule="auto" w:before="147"/>
              <w:ind w:left="151" w:right="154"/>
              <w:rPr>
                <w:rFonts w:ascii="Times New Roman" w:eastAsia="Times New Roman"/>
                <w:b/>
                <w:sz w:val="21"/>
              </w:rPr>
            </w:pPr>
            <w:r>
              <w:rPr>
                <w:b/>
                <w:sz w:val="21"/>
              </w:rPr>
              <w:t>排放标准值  </w:t>
            </w:r>
            <w:r>
              <w:rPr>
                <w:rFonts w:ascii="Times New Roman" w:eastAsia="Times New Roman"/>
                <w:b/>
                <w:sz w:val="21"/>
              </w:rPr>
              <w:t>(mg/m</w:t>
            </w:r>
            <w:r>
              <w:rPr>
                <w:rFonts w:ascii="Times New Roman" w:eastAsia="Times New Roman"/>
                <w:b/>
                <w:position w:val="7"/>
                <w:sz w:val="14"/>
              </w:rPr>
              <w:t>3</w:t>
            </w:r>
            <w:r>
              <w:rPr>
                <w:rFonts w:ascii="Times New Roman" w:eastAsia="Times New Roman"/>
                <w:b/>
                <w:sz w:val="21"/>
              </w:rPr>
              <w:t>)</w:t>
            </w:r>
          </w:p>
        </w:tc>
      </w:tr>
      <w:tr>
        <w:trPr>
          <w:trHeight w:val="719" w:hRule="atLeast"/>
        </w:trPr>
        <w:tc>
          <w:tcPr>
            <w:tcW w:w="1476" w:type="dxa"/>
            <w:vMerge/>
            <w:tcBorders>
              <w:top w:val="nil"/>
            </w:tcBorders>
          </w:tcPr>
          <w:p>
            <w:pPr>
              <w:rPr>
                <w:sz w:val="2"/>
                <w:szCs w:val="2"/>
              </w:rPr>
            </w:pPr>
          </w:p>
        </w:tc>
        <w:tc>
          <w:tcPr>
            <w:tcW w:w="1135" w:type="dxa"/>
            <w:vMerge/>
            <w:tcBorders>
              <w:top w:val="nil"/>
            </w:tcBorders>
          </w:tcPr>
          <w:p>
            <w:pPr>
              <w:rPr>
                <w:sz w:val="2"/>
                <w:szCs w:val="2"/>
              </w:rPr>
            </w:pPr>
          </w:p>
        </w:tc>
        <w:tc>
          <w:tcPr>
            <w:tcW w:w="1133" w:type="dxa"/>
            <w:vMerge/>
            <w:tcBorders>
              <w:top w:val="nil"/>
            </w:tcBorders>
          </w:tcPr>
          <w:p>
            <w:pPr>
              <w:rPr>
                <w:sz w:val="2"/>
                <w:szCs w:val="2"/>
              </w:rPr>
            </w:pPr>
          </w:p>
        </w:tc>
        <w:tc>
          <w:tcPr>
            <w:tcW w:w="1170" w:type="dxa"/>
          </w:tcPr>
          <w:p>
            <w:pPr>
              <w:pStyle w:val="TableParagraph"/>
              <w:spacing w:line="213" w:lineRule="auto" w:before="125"/>
              <w:ind w:left="209" w:right="47" w:hanging="155"/>
              <w:jc w:val="left"/>
              <w:rPr>
                <w:rFonts w:ascii="Times New Roman" w:eastAsia="Times New Roman"/>
                <w:b/>
                <w:sz w:val="21"/>
              </w:rPr>
            </w:pPr>
            <w:r>
              <w:rPr>
                <w:b/>
                <w:sz w:val="21"/>
              </w:rPr>
              <w:t>最大产生速率</w:t>
            </w:r>
            <w:r>
              <w:rPr>
                <w:rFonts w:ascii="Times New Roman" w:eastAsia="Times New Roman"/>
                <w:b/>
                <w:sz w:val="21"/>
              </w:rPr>
              <w:t>(kg/h)</w:t>
            </w:r>
          </w:p>
        </w:tc>
        <w:tc>
          <w:tcPr>
            <w:tcW w:w="973" w:type="dxa"/>
          </w:tcPr>
          <w:p>
            <w:pPr>
              <w:pStyle w:val="TableParagraph"/>
              <w:spacing w:line="262" w:lineRule="exact" w:before="101"/>
              <w:ind w:left="147" w:right="142"/>
              <w:rPr>
                <w:b/>
                <w:sz w:val="21"/>
              </w:rPr>
            </w:pPr>
            <w:r>
              <w:rPr>
                <w:b/>
                <w:sz w:val="21"/>
              </w:rPr>
              <w:t>产生量</w:t>
            </w:r>
          </w:p>
          <w:p>
            <w:pPr>
              <w:pStyle w:val="TableParagraph"/>
              <w:spacing w:line="234" w:lineRule="exact"/>
              <w:ind w:left="146" w:right="142"/>
              <w:rPr>
                <w:rFonts w:ascii="Times New Roman"/>
                <w:b/>
                <w:sz w:val="21"/>
              </w:rPr>
            </w:pPr>
            <w:r>
              <w:rPr>
                <w:rFonts w:ascii="Times New Roman"/>
                <w:b/>
                <w:sz w:val="21"/>
              </w:rPr>
              <w:t>(t/a)</w:t>
            </w:r>
          </w:p>
        </w:tc>
        <w:tc>
          <w:tcPr>
            <w:tcW w:w="2538" w:type="dxa"/>
          </w:tcPr>
          <w:p>
            <w:pPr>
              <w:pStyle w:val="TableParagraph"/>
              <w:spacing w:before="3"/>
              <w:jc w:val="left"/>
              <w:rPr>
                <w:b/>
                <w:sz w:val="17"/>
              </w:rPr>
            </w:pPr>
          </w:p>
          <w:p>
            <w:pPr>
              <w:pStyle w:val="TableParagraph"/>
              <w:spacing w:before="1"/>
              <w:ind w:left="29" w:right="26"/>
              <w:rPr>
                <w:b/>
                <w:sz w:val="21"/>
              </w:rPr>
            </w:pPr>
            <w:r>
              <w:rPr>
                <w:b/>
                <w:sz w:val="21"/>
              </w:rPr>
              <w:t>工艺</w:t>
            </w:r>
          </w:p>
        </w:tc>
        <w:tc>
          <w:tcPr>
            <w:tcW w:w="1249" w:type="dxa"/>
            <w:tcBorders>
              <w:right w:val="single" w:sz="2" w:space="0" w:color="000000"/>
            </w:tcBorders>
          </w:tcPr>
          <w:p>
            <w:pPr>
              <w:pStyle w:val="TableParagraph"/>
              <w:spacing w:line="213" w:lineRule="auto" w:before="5"/>
              <w:ind w:left="199" w:right="195"/>
              <w:rPr>
                <w:b/>
                <w:sz w:val="21"/>
              </w:rPr>
            </w:pPr>
            <w:r>
              <w:rPr>
                <w:b/>
                <w:sz w:val="21"/>
              </w:rPr>
              <w:t>本项目最大排放速</w:t>
            </w:r>
          </w:p>
          <w:p>
            <w:pPr>
              <w:pStyle w:val="TableParagraph"/>
              <w:spacing w:line="216" w:lineRule="exact"/>
              <w:ind w:left="197" w:right="195"/>
              <w:rPr>
                <w:rFonts w:ascii="Times New Roman"/>
                <w:b/>
                <w:sz w:val="21"/>
              </w:rPr>
            </w:pPr>
            <w:r>
              <w:rPr>
                <w:rFonts w:ascii="Times New Roman"/>
                <w:b/>
                <w:sz w:val="21"/>
              </w:rPr>
              <w:t>(kg/h)</w:t>
            </w:r>
          </w:p>
        </w:tc>
        <w:tc>
          <w:tcPr>
            <w:tcW w:w="894" w:type="dxa"/>
            <w:tcBorders>
              <w:left w:val="single" w:sz="2" w:space="0" w:color="000000"/>
              <w:right w:val="single" w:sz="2" w:space="0" w:color="000000"/>
            </w:tcBorders>
          </w:tcPr>
          <w:p>
            <w:pPr>
              <w:pStyle w:val="TableParagraph"/>
              <w:spacing w:line="213" w:lineRule="auto" w:before="125"/>
              <w:ind w:left="59" w:right="18" w:hanging="36"/>
              <w:jc w:val="left"/>
              <w:rPr>
                <w:rFonts w:ascii="Times New Roman" w:eastAsia="Times New Roman"/>
                <w:b/>
                <w:sz w:val="21"/>
              </w:rPr>
            </w:pPr>
            <w:r>
              <w:rPr>
                <w:b/>
                <w:sz w:val="21"/>
              </w:rPr>
              <w:t>废气排放量</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/h)</w:t>
            </w:r>
          </w:p>
        </w:tc>
        <w:tc>
          <w:tcPr>
            <w:tcW w:w="1264" w:type="dxa"/>
            <w:tcBorders>
              <w:left w:val="single" w:sz="2" w:space="0" w:color="000000"/>
            </w:tcBorders>
          </w:tcPr>
          <w:p>
            <w:pPr>
              <w:pStyle w:val="TableParagraph"/>
              <w:spacing w:line="213" w:lineRule="auto" w:before="5"/>
              <w:ind w:left="101" w:right="97"/>
              <w:rPr>
                <w:b/>
                <w:sz w:val="21"/>
              </w:rPr>
            </w:pPr>
            <w:r>
              <w:rPr>
                <w:b/>
                <w:sz w:val="21"/>
              </w:rPr>
              <w:t>本项目实施后排放浓度</w:t>
            </w:r>
          </w:p>
          <w:p>
            <w:pPr>
              <w:pStyle w:val="TableParagraph"/>
              <w:spacing w:line="216" w:lineRule="exact"/>
              <w:ind w:left="100" w:right="97"/>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1134" w:type="dxa"/>
            <w:vMerge/>
            <w:tcBorders>
              <w:top w:val="nil"/>
            </w:tcBorders>
          </w:tcPr>
          <w:p>
            <w:pPr>
              <w:rPr>
                <w:sz w:val="2"/>
                <w:szCs w:val="2"/>
              </w:rPr>
            </w:pPr>
          </w:p>
        </w:tc>
        <w:tc>
          <w:tcPr>
            <w:tcW w:w="1163" w:type="dxa"/>
            <w:vMerge/>
            <w:tcBorders>
              <w:top w:val="nil"/>
            </w:tcBorders>
          </w:tcPr>
          <w:p>
            <w:pPr>
              <w:rPr>
                <w:sz w:val="2"/>
                <w:szCs w:val="2"/>
              </w:rPr>
            </w:pPr>
          </w:p>
        </w:tc>
      </w:tr>
      <w:tr>
        <w:trPr>
          <w:trHeight w:val="722" w:hRule="atLeast"/>
        </w:trPr>
        <w:tc>
          <w:tcPr>
            <w:tcW w:w="1476" w:type="dxa"/>
            <w:vMerge w:val="restart"/>
          </w:tcPr>
          <w:p>
            <w:pPr>
              <w:pStyle w:val="TableParagraph"/>
              <w:jc w:val="left"/>
              <w:rPr>
                <w:b/>
                <w:sz w:val="22"/>
              </w:rPr>
            </w:pPr>
          </w:p>
          <w:p>
            <w:pPr>
              <w:pStyle w:val="TableParagraph"/>
              <w:spacing w:before="12"/>
              <w:jc w:val="left"/>
              <w:rPr>
                <w:b/>
                <w:sz w:val="23"/>
              </w:rPr>
            </w:pPr>
          </w:p>
          <w:p>
            <w:pPr>
              <w:pStyle w:val="TableParagraph"/>
              <w:ind w:left="88"/>
              <w:jc w:val="left"/>
              <w:rPr>
                <w:rFonts w:ascii="Times New Roman" w:eastAsia="Times New Roman"/>
                <w:sz w:val="21"/>
              </w:rPr>
            </w:pPr>
            <w:r>
              <w:rPr>
                <w:sz w:val="21"/>
              </w:rPr>
              <w:t>排气筒 </w:t>
            </w:r>
            <w:r>
              <w:rPr>
                <w:rFonts w:ascii="Times New Roman" w:eastAsia="Times New Roman"/>
                <w:sz w:val="21"/>
              </w:rPr>
              <w:t>DA004</w:t>
            </w:r>
          </w:p>
        </w:tc>
        <w:tc>
          <w:tcPr>
            <w:tcW w:w="1135" w:type="dxa"/>
          </w:tcPr>
          <w:p>
            <w:pPr>
              <w:pStyle w:val="TableParagraph"/>
              <w:spacing w:before="6"/>
              <w:jc w:val="left"/>
              <w:rPr>
                <w:b/>
                <w:sz w:val="17"/>
              </w:rPr>
            </w:pPr>
          </w:p>
          <w:p>
            <w:pPr>
              <w:pStyle w:val="TableParagraph"/>
              <w:ind w:left="16" w:right="8"/>
              <w:rPr>
                <w:sz w:val="21"/>
              </w:rPr>
            </w:pPr>
            <w:r>
              <w:rPr>
                <w:sz w:val="21"/>
              </w:rPr>
              <w:t>甲酸</w:t>
            </w:r>
          </w:p>
        </w:tc>
        <w:tc>
          <w:tcPr>
            <w:tcW w:w="1133" w:type="dxa"/>
          </w:tcPr>
          <w:p>
            <w:pPr>
              <w:pStyle w:val="TableParagraph"/>
              <w:spacing w:before="6"/>
              <w:jc w:val="left"/>
              <w:rPr>
                <w:b/>
                <w:sz w:val="17"/>
              </w:rPr>
            </w:pPr>
          </w:p>
          <w:p>
            <w:pPr>
              <w:pStyle w:val="TableParagraph"/>
              <w:ind w:left="16" w:right="8"/>
              <w:rPr>
                <w:sz w:val="21"/>
              </w:rPr>
            </w:pPr>
            <w:r>
              <w:rPr>
                <w:sz w:val="21"/>
              </w:rPr>
              <w:t>产污系数法</w:t>
            </w:r>
          </w:p>
        </w:tc>
        <w:tc>
          <w:tcPr>
            <w:tcW w:w="1170" w:type="dxa"/>
          </w:tcPr>
          <w:p>
            <w:pPr>
              <w:pStyle w:val="TableParagraph"/>
              <w:spacing w:before="7"/>
              <w:jc w:val="left"/>
              <w:rPr>
                <w:b/>
                <w:sz w:val="18"/>
              </w:rPr>
            </w:pPr>
          </w:p>
          <w:p>
            <w:pPr>
              <w:pStyle w:val="TableParagraph"/>
              <w:ind w:left="136" w:right="128"/>
              <w:rPr>
                <w:rFonts w:ascii="Times New Roman"/>
                <w:sz w:val="21"/>
              </w:rPr>
            </w:pPr>
            <w:r>
              <w:rPr>
                <w:rFonts w:ascii="Times New Roman"/>
                <w:sz w:val="21"/>
              </w:rPr>
              <w:t>2.4</w:t>
            </w:r>
          </w:p>
        </w:tc>
        <w:tc>
          <w:tcPr>
            <w:tcW w:w="973" w:type="dxa"/>
          </w:tcPr>
          <w:p>
            <w:pPr>
              <w:pStyle w:val="TableParagraph"/>
              <w:spacing w:before="7"/>
              <w:jc w:val="left"/>
              <w:rPr>
                <w:b/>
                <w:sz w:val="18"/>
              </w:rPr>
            </w:pPr>
          </w:p>
          <w:p>
            <w:pPr>
              <w:pStyle w:val="TableParagraph"/>
              <w:ind w:left="147" w:right="142"/>
              <w:rPr>
                <w:rFonts w:ascii="Times New Roman"/>
                <w:sz w:val="21"/>
              </w:rPr>
            </w:pPr>
            <w:r>
              <w:rPr>
                <w:rFonts w:ascii="Times New Roman"/>
                <w:sz w:val="21"/>
              </w:rPr>
              <w:t>13.625</w:t>
            </w:r>
          </w:p>
        </w:tc>
        <w:tc>
          <w:tcPr>
            <w:tcW w:w="2538" w:type="dxa"/>
          </w:tcPr>
          <w:p>
            <w:pPr>
              <w:pStyle w:val="TableParagraph"/>
              <w:spacing w:line="239" w:lineRule="exact"/>
              <w:ind w:right="148"/>
              <w:jc w:val="right"/>
              <w:rPr>
                <w:sz w:val="21"/>
              </w:rPr>
            </w:pPr>
            <w:r>
              <w:rPr>
                <w:sz w:val="21"/>
              </w:rPr>
              <w:t>冷凝</w:t>
            </w:r>
            <w:r>
              <w:rPr>
                <w:rFonts w:ascii="Times New Roman" w:eastAsia="Times New Roman"/>
                <w:sz w:val="21"/>
              </w:rPr>
              <w:t>+</w:t>
            </w:r>
            <w:r>
              <w:rPr>
                <w:sz w:val="21"/>
              </w:rPr>
              <w:t>废气集中处理装置</w:t>
            </w:r>
          </w:p>
          <w:p>
            <w:pPr>
              <w:pStyle w:val="TableParagraph"/>
              <w:spacing w:line="240" w:lineRule="exact"/>
              <w:ind w:right="50"/>
              <w:jc w:val="right"/>
              <w:rPr>
                <w:sz w:val="21"/>
              </w:rPr>
            </w:pPr>
            <w:r>
              <w:rPr>
                <w:w w:val="100"/>
                <w:sz w:val="21"/>
              </w:rPr>
              <w:t>（</w:t>
            </w:r>
            <w:r>
              <w:rPr>
                <w:spacing w:val="-3"/>
                <w:w w:val="100"/>
                <w:sz w:val="21"/>
              </w:rPr>
              <w:t>两级碱喷淋</w:t>
            </w:r>
            <w:r>
              <w:rPr>
                <w:spacing w:val="-109"/>
                <w:w w:val="100"/>
                <w:sz w:val="21"/>
              </w:rPr>
              <w:t>）</w:t>
            </w:r>
            <w:r>
              <w:rPr>
                <w:spacing w:val="-3"/>
                <w:w w:val="100"/>
                <w:sz w:val="21"/>
              </w:rPr>
              <w:t>，冷凝效率</w:t>
            </w:r>
          </w:p>
          <w:p>
            <w:pPr>
              <w:pStyle w:val="TableParagraph"/>
              <w:spacing w:line="223" w:lineRule="exact"/>
              <w:ind w:right="6"/>
              <w:jc w:val="right"/>
              <w:rPr>
                <w:rFonts w:ascii="Times New Roman" w:eastAsia="Times New Roman"/>
                <w:sz w:val="21"/>
              </w:rPr>
            </w:pPr>
            <w:r>
              <w:rPr>
                <w:rFonts w:ascii="Times New Roman" w:eastAsia="Times New Roman"/>
                <w:sz w:val="21"/>
              </w:rPr>
              <w:t>65%</w:t>
            </w:r>
            <w:r>
              <w:rPr>
                <w:spacing w:val="-8"/>
                <w:sz w:val="21"/>
              </w:rPr>
              <w:t>，总喷淋处理效率 </w:t>
            </w:r>
            <w:r>
              <w:rPr>
                <w:rFonts w:ascii="Times New Roman" w:eastAsia="Times New Roman"/>
                <w:sz w:val="21"/>
              </w:rPr>
              <w:t>95%</w:t>
            </w:r>
          </w:p>
        </w:tc>
        <w:tc>
          <w:tcPr>
            <w:tcW w:w="1249" w:type="dxa"/>
          </w:tcPr>
          <w:p>
            <w:pPr>
              <w:pStyle w:val="TableParagraph"/>
              <w:spacing w:before="7"/>
              <w:jc w:val="left"/>
              <w:rPr>
                <w:b/>
                <w:sz w:val="18"/>
              </w:rPr>
            </w:pPr>
          </w:p>
          <w:p>
            <w:pPr>
              <w:pStyle w:val="TableParagraph"/>
              <w:ind w:right="377"/>
              <w:jc w:val="right"/>
              <w:rPr>
                <w:rFonts w:ascii="Times New Roman"/>
                <w:sz w:val="21"/>
              </w:rPr>
            </w:pPr>
            <w:r>
              <w:rPr>
                <w:rFonts w:ascii="Times New Roman"/>
                <w:sz w:val="21"/>
              </w:rPr>
              <w:t>0.042</w:t>
            </w:r>
          </w:p>
        </w:tc>
        <w:tc>
          <w:tcPr>
            <w:tcW w:w="894" w:type="dxa"/>
            <w:vMerge w:val="restart"/>
          </w:tcPr>
          <w:p>
            <w:pPr>
              <w:pStyle w:val="TableParagraph"/>
              <w:jc w:val="left"/>
              <w:rPr>
                <w:b/>
                <w:sz w:val="22"/>
              </w:rPr>
            </w:pPr>
          </w:p>
          <w:p>
            <w:pPr>
              <w:pStyle w:val="TableParagraph"/>
              <w:jc w:val="left"/>
              <w:rPr>
                <w:b/>
                <w:sz w:val="25"/>
              </w:rPr>
            </w:pPr>
          </w:p>
          <w:p>
            <w:pPr>
              <w:pStyle w:val="TableParagraph"/>
              <w:ind w:left="232"/>
              <w:jc w:val="left"/>
              <w:rPr>
                <w:rFonts w:ascii="Times New Roman"/>
                <w:sz w:val="21"/>
              </w:rPr>
            </w:pPr>
            <w:r>
              <w:rPr>
                <w:rFonts w:ascii="Times New Roman"/>
                <w:sz w:val="21"/>
              </w:rPr>
              <w:t>4500</w:t>
            </w:r>
          </w:p>
        </w:tc>
        <w:tc>
          <w:tcPr>
            <w:tcW w:w="1264" w:type="dxa"/>
          </w:tcPr>
          <w:p>
            <w:pPr>
              <w:pStyle w:val="TableParagraph"/>
              <w:spacing w:before="7"/>
              <w:jc w:val="left"/>
              <w:rPr>
                <w:b/>
                <w:sz w:val="18"/>
              </w:rPr>
            </w:pPr>
          </w:p>
          <w:p>
            <w:pPr>
              <w:pStyle w:val="TableParagraph"/>
              <w:ind w:left="79" w:right="79"/>
              <w:rPr>
                <w:rFonts w:ascii="Times New Roman"/>
                <w:sz w:val="21"/>
              </w:rPr>
            </w:pPr>
            <w:r>
              <w:rPr>
                <w:rFonts w:ascii="Times New Roman"/>
                <w:sz w:val="21"/>
              </w:rPr>
              <w:t>9.3</w:t>
            </w:r>
          </w:p>
        </w:tc>
        <w:tc>
          <w:tcPr>
            <w:tcW w:w="1134" w:type="dxa"/>
          </w:tcPr>
          <w:p>
            <w:pPr>
              <w:pStyle w:val="TableParagraph"/>
              <w:spacing w:before="7"/>
              <w:jc w:val="left"/>
              <w:rPr>
                <w:b/>
                <w:sz w:val="18"/>
              </w:rPr>
            </w:pPr>
          </w:p>
          <w:p>
            <w:pPr>
              <w:pStyle w:val="TableParagraph"/>
              <w:ind w:right="323"/>
              <w:jc w:val="right"/>
              <w:rPr>
                <w:rFonts w:ascii="Times New Roman"/>
                <w:sz w:val="21"/>
              </w:rPr>
            </w:pPr>
            <w:r>
              <w:rPr>
                <w:rFonts w:ascii="Times New Roman"/>
                <w:sz w:val="21"/>
              </w:rPr>
              <w:t>0.238</w:t>
            </w:r>
          </w:p>
        </w:tc>
        <w:tc>
          <w:tcPr>
            <w:tcW w:w="1163" w:type="dxa"/>
          </w:tcPr>
          <w:p>
            <w:pPr>
              <w:pStyle w:val="TableParagraph"/>
              <w:spacing w:before="7"/>
              <w:jc w:val="left"/>
              <w:rPr>
                <w:b/>
                <w:sz w:val="18"/>
              </w:rPr>
            </w:pPr>
          </w:p>
          <w:p>
            <w:pPr>
              <w:pStyle w:val="TableParagraph"/>
              <w:ind w:left="147" w:right="154"/>
              <w:rPr>
                <w:rFonts w:ascii="Times New Roman"/>
                <w:sz w:val="21"/>
              </w:rPr>
            </w:pPr>
            <w:r>
              <w:rPr>
                <w:rFonts w:ascii="Times New Roman"/>
                <w:sz w:val="21"/>
              </w:rPr>
              <w:t>10</w:t>
            </w:r>
          </w:p>
        </w:tc>
      </w:tr>
      <w:tr>
        <w:trPr>
          <w:trHeight w:val="720" w:hRule="atLeast"/>
        </w:trPr>
        <w:tc>
          <w:tcPr>
            <w:tcW w:w="1476" w:type="dxa"/>
            <w:vMerge/>
            <w:tcBorders>
              <w:top w:val="nil"/>
            </w:tcBorders>
          </w:tcPr>
          <w:p>
            <w:pPr>
              <w:rPr>
                <w:sz w:val="2"/>
                <w:szCs w:val="2"/>
              </w:rPr>
            </w:pPr>
          </w:p>
        </w:tc>
        <w:tc>
          <w:tcPr>
            <w:tcW w:w="1135" w:type="dxa"/>
          </w:tcPr>
          <w:p>
            <w:pPr>
              <w:pStyle w:val="TableParagraph"/>
              <w:spacing w:before="4"/>
              <w:jc w:val="left"/>
              <w:rPr>
                <w:b/>
                <w:sz w:val="17"/>
              </w:rPr>
            </w:pPr>
          </w:p>
          <w:p>
            <w:pPr>
              <w:pStyle w:val="TableParagraph"/>
              <w:ind w:left="16" w:right="8"/>
              <w:rPr>
                <w:sz w:val="21"/>
              </w:rPr>
            </w:pPr>
            <w:r>
              <w:rPr>
                <w:sz w:val="21"/>
              </w:rPr>
              <w:t>粉尘</w:t>
            </w:r>
          </w:p>
        </w:tc>
        <w:tc>
          <w:tcPr>
            <w:tcW w:w="1133" w:type="dxa"/>
          </w:tcPr>
          <w:p>
            <w:pPr>
              <w:pStyle w:val="TableParagraph"/>
              <w:spacing w:before="4"/>
              <w:jc w:val="left"/>
              <w:rPr>
                <w:b/>
                <w:sz w:val="17"/>
              </w:rPr>
            </w:pPr>
          </w:p>
          <w:p>
            <w:pPr>
              <w:pStyle w:val="TableParagraph"/>
              <w:ind w:left="16" w:right="8"/>
              <w:rPr>
                <w:sz w:val="21"/>
              </w:rPr>
            </w:pPr>
            <w:r>
              <w:rPr>
                <w:sz w:val="21"/>
              </w:rPr>
              <w:t>产污系数法</w:t>
            </w:r>
          </w:p>
        </w:tc>
        <w:tc>
          <w:tcPr>
            <w:tcW w:w="1170" w:type="dxa"/>
          </w:tcPr>
          <w:p>
            <w:pPr>
              <w:pStyle w:val="TableParagraph"/>
              <w:spacing w:before="5"/>
              <w:jc w:val="left"/>
              <w:rPr>
                <w:b/>
                <w:sz w:val="18"/>
              </w:rPr>
            </w:pPr>
          </w:p>
          <w:p>
            <w:pPr>
              <w:pStyle w:val="TableParagraph"/>
              <w:ind w:left="136" w:right="128"/>
              <w:rPr>
                <w:rFonts w:ascii="Times New Roman"/>
                <w:sz w:val="21"/>
              </w:rPr>
            </w:pPr>
            <w:r>
              <w:rPr>
                <w:rFonts w:ascii="Times New Roman"/>
                <w:sz w:val="21"/>
              </w:rPr>
              <w:t>1.532</w:t>
            </w:r>
          </w:p>
        </w:tc>
        <w:tc>
          <w:tcPr>
            <w:tcW w:w="973" w:type="dxa"/>
          </w:tcPr>
          <w:p>
            <w:pPr>
              <w:pStyle w:val="TableParagraph"/>
              <w:spacing w:before="5"/>
              <w:jc w:val="left"/>
              <w:rPr>
                <w:b/>
                <w:sz w:val="18"/>
              </w:rPr>
            </w:pPr>
          </w:p>
          <w:p>
            <w:pPr>
              <w:pStyle w:val="TableParagraph"/>
              <w:ind w:left="147" w:right="142"/>
              <w:rPr>
                <w:rFonts w:ascii="Times New Roman"/>
                <w:sz w:val="21"/>
              </w:rPr>
            </w:pPr>
            <w:r>
              <w:rPr>
                <w:rFonts w:ascii="Times New Roman"/>
                <w:sz w:val="21"/>
              </w:rPr>
              <w:t>1.834</w:t>
            </w:r>
          </w:p>
        </w:tc>
        <w:tc>
          <w:tcPr>
            <w:tcW w:w="2538" w:type="dxa"/>
          </w:tcPr>
          <w:p>
            <w:pPr>
              <w:pStyle w:val="TableParagraph"/>
              <w:spacing w:line="237" w:lineRule="exact"/>
              <w:ind w:left="3" w:right="-15" w:firstLine="48"/>
              <w:jc w:val="left"/>
              <w:rPr>
                <w:sz w:val="21"/>
              </w:rPr>
            </w:pPr>
            <w:r>
              <w:rPr>
                <w:spacing w:val="-2"/>
                <w:sz w:val="21"/>
              </w:rPr>
              <w:t>布袋除尘</w:t>
            </w:r>
            <w:r>
              <w:rPr>
                <w:rFonts w:ascii="Times New Roman" w:eastAsia="Times New Roman"/>
                <w:sz w:val="21"/>
              </w:rPr>
              <w:t>+</w:t>
            </w:r>
            <w:r>
              <w:rPr>
                <w:spacing w:val="-3"/>
                <w:sz w:val="21"/>
              </w:rPr>
              <w:t>废气集中处理装</w:t>
            </w:r>
          </w:p>
          <w:p>
            <w:pPr>
              <w:pStyle w:val="TableParagraph"/>
              <w:spacing w:line="240" w:lineRule="exact" w:before="3"/>
              <w:ind w:left="941" w:right="-15" w:hanging="939"/>
              <w:jc w:val="left"/>
              <w:rPr>
                <w:rFonts w:ascii="Times New Roman" w:eastAsia="Times New Roman"/>
                <w:sz w:val="21"/>
              </w:rPr>
            </w:pPr>
            <w:r>
              <w:rPr>
                <w:spacing w:val="-51"/>
                <w:sz w:val="21"/>
              </w:rPr>
              <w:t>置</w:t>
            </w:r>
            <w:r>
              <w:rPr>
                <w:sz w:val="21"/>
              </w:rPr>
              <w:t>（</w:t>
            </w:r>
            <w:r>
              <w:rPr>
                <w:spacing w:val="-3"/>
                <w:sz w:val="21"/>
              </w:rPr>
              <w:t>两级碱喷淋</w:t>
            </w:r>
            <w:r>
              <w:rPr>
                <w:spacing w:val="-80"/>
                <w:sz w:val="21"/>
              </w:rPr>
              <w:t>）</w:t>
            </w:r>
            <w:r>
              <w:rPr>
                <w:spacing w:val="-19"/>
                <w:sz w:val="21"/>
              </w:rPr>
              <w:t>，总处理效</w:t>
            </w:r>
            <w:r>
              <w:rPr>
                <w:spacing w:val="-27"/>
                <w:sz w:val="21"/>
              </w:rPr>
              <w:t>率 </w:t>
            </w:r>
            <w:r>
              <w:rPr>
                <w:rFonts w:ascii="Times New Roman" w:eastAsia="Times New Roman"/>
                <w:sz w:val="21"/>
              </w:rPr>
              <w:t>95%</w:t>
            </w:r>
          </w:p>
        </w:tc>
        <w:tc>
          <w:tcPr>
            <w:tcW w:w="1249" w:type="dxa"/>
          </w:tcPr>
          <w:p>
            <w:pPr>
              <w:pStyle w:val="TableParagraph"/>
              <w:spacing w:before="5"/>
              <w:jc w:val="left"/>
              <w:rPr>
                <w:b/>
                <w:sz w:val="18"/>
              </w:rPr>
            </w:pPr>
          </w:p>
          <w:p>
            <w:pPr>
              <w:pStyle w:val="TableParagraph"/>
              <w:ind w:right="377"/>
              <w:jc w:val="right"/>
              <w:rPr>
                <w:rFonts w:ascii="Times New Roman"/>
                <w:sz w:val="21"/>
              </w:rPr>
            </w:pPr>
            <w:r>
              <w:rPr>
                <w:rFonts w:ascii="Times New Roman"/>
                <w:sz w:val="21"/>
              </w:rPr>
              <w:t>0.076</w:t>
            </w:r>
          </w:p>
        </w:tc>
        <w:tc>
          <w:tcPr>
            <w:tcW w:w="894" w:type="dxa"/>
            <w:vMerge/>
            <w:tcBorders>
              <w:top w:val="nil"/>
            </w:tcBorders>
          </w:tcPr>
          <w:p>
            <w:pPr>
              <w:rPr>
                <w:sz w:val="2"/>
                <w:szCs w:val="2"/>
              </w:rPr>
            </w:pPr>
          </w:p>
        </w:tc>
        <w:tc>
          <w:tcPr>
            <w:tcW w:w="1264" w:type="dxa"/>
          </w:tcPr>
          <w:p>
            <w:pPr>
              <w:pStyle w:val="TableParagraph"/>
              <w:spacing w:before="5"/>
              <w:jc w:val="left"/>
              <w:rPr>
                <w:b/>
                <w:sz w:val="18"/>
              </w:rPr>
            </w:pPr>
          </w:p>
          <w:p>
            <w:pPr>
              <w:pStyle w:val="TableParagraph"/>
              <w:ind w:left="79" w:right="79"/>
              <w:rPr>
                <w:rFonts w:ascii="Times New Roman"/>
                <w:sz w:val="21"/>
              </w:rPr>
            </w:pPr>
            <w:r>
              <w:rPr>
                <w:rFonts w:ascii="Times New Roman"/>
                <w:sz w:val="21"/>
              </w:rPr>
              <w:t>16.9</w:t>
            </w:r>
          </w:p>
        </w:tc>
        <w:tc>
          <w:tcPr>
            <w:tcW w:w="1134" w:type="dxa"/>
          </w:tcPr>
          <w:p>
            <w:pPr>
              <w:pStyle w:val="TableParagraph"/>
              <w:spacing w:before="5"/>
              <w:jc w:val="left"/>
              <w:rPr>
                <w:b/>
                <w:sz w:val="18"/>
              </w:rPr>
            </w:pPr>
          </w:p>
          <w:p>
            <w:pPr>
              <w:pStyle w:val="TableParagraph"/>
              <w:ind w:right="323"/>
              <w:jc w:val="right"/>
              <w:rPr>
                <w:rFonts w:ascii="Times New Roman"/>
                <w:sz w:val="21"/>
              </w:rPr>
            </w:pPr>
            <w:r>
              <w:rPr>
                <w:rFonts w:ascii="Times New Roman"/>
                <w:sz w:val="21"/>
              </w:rPr>
              <w:t>0.091</w:t>
            </w:r>
          </w:p>
        </w:tc>
        <w:tc>
          <w:tcPr>
            <w:tcW w:w="1163" w:type="dxa"/>
          </w:tcPr>
          <w:p>
            <w:pPr>
              <w:pStyle w:val="TableParagraph"/>
              <w:spacing w:before="5"/>
              <w:jc w:val="left"/>
              <w:rPr>
                <w:b/>
                <w:sz w:val="18"/>
              </w:rPr>
            </w:pPr>
          </w:p>
          <w:p>
            <w:pPr>
              <w:pStyle w:val="TableParagraph"/>
              <w:ind w:left="147" w:right="154"/>
              <w:rPr>
                <w:rFonts w:ascii="Times New Roman"/>
                <w:sz w:val="21"/>
              </w:rPr>
            </w:pPr>
            <w:r>
              <w:rPr>
                <w:rFonts w:ascii="Times New Roman"/>
                <w:sz w:val="21"/>
              </w:rPr>
              <w:t>20</w:t>
            </w:r>
          </w:p>
        </w:tc>
      </w:tr>
      <w:tr>
        <w:trPr>
          <w:trHeight w:val="479" w:hRule="atLeast"/>
        </w:trPr>
        <w:tc>
          <w:tcPr>
            <w:tcW w:w="1476" w:type="dxa"/>
          </w:tcPr>
          <w:p>
            <w:pPr>
              <w:pStyle w:val="TableParagraph"/>
              <w:spacing w:before="101"/>
              <w:ind w:left="88"/>
              <w:jc w:val="left"/>
              <w:rPr>
                <w:rFonts w:ascii="Times New Roman" w:eastAsia="Times New Roman"/>
                <w:sz w:val="21"/>
              </w:rPr>
            </w:pPr>
            <w:r>
              <w:rPr>
                <w:sz w:val="21"/>
              </w:rPr>
              <w:t>排气筒 </w:t>
            </w:r>
            <w:r>
              <w:rPr>
                <w:rFonts w:ascii="Times New Roman" w:eastAsia="Times New Roman"/>
                <w:sz w:val="21"/>
              </w:rPr>
              <w:t>DA005</w:t>
            </w:r>
          </w:p>
        </w:tc>
        <w:tc>
          <w:tcPr>
            <w:tcW w:w="1135" w:type="dxa"/>
          </w:tcPr>
          <w:p>
            <w:pPr>
              <w:pStyle w:val="TableParagraph"/>
              <w:spacing w:before="101"/>
              <w:ind w:left="16" w:right="8"/>
              <w:rPr>
                <w:sz w:val="21"/>
              </w:rPr>
            </w:pPr>
            <w:r>
              <w:rPr>
                <w:sz w:val="21"/>
              </w:rPr>
              <w:t>甲酸</w:t>
            </w:r>
          </w:p>
        </w:tc>
        <w:tc>
          <w:tcPr>
            <w:tcW w:w="1133" w:type="dxa"/>
          </w:tcPr>
          <w:p>
            <w:pPr>
              <w:pStyle w:val="TableParagraph"/>
              <w:spacing w:before="101"/>
              <w:ind w:left="16" w:right="6"/>
              <w:rPr>
                <w:sz w:val="21"/>
              </w:rPr>
            </w:pPr>
            <w:r>
              <w:rPr>
                <w:sz w:val="21"/>
              </w:rPr>
              <w:t>公式法</w:t>
            </w:r>
          </w:p>
        </w:tc>
        <w:tc>
          <w:tcPr>
            <w:tcW w:w="1170" w:type="dxa"/>
          </w:tcPr>
          <w:p>
            <w:pPr>
              <w:pStyle w:val="TableParagraph"/>
              <w:spacing w:before="115"/>
              <w:ind w:left="136" w:right="128"/>
              <w:rPr>
                <w:rFonts w:ascii="Times New Roman"/>
                <w:sz w:val="21"/>
              </w:rPr>
            </w:pPr>
            <w:r>
              <w:rPr>
                <w:rFonts w:ascii="Times New Roman"/>
                <w:sz w:val="21"/>
              </w:rPr>
              <w:t>0.013</w:t>
            </w:r>
          </w:p>
        </w:tc>
        <w:tc>
          <w:tcPr>
            <w:tcW w:w="973" w:type="dxa"/>
          </w:tcPr>
          <w:p>
            <w:pPr>
              <w:pStyle w:val="TableParagraph"/>
              <w:spacing w:before="115"/>
              <w:ind w:left="147" w:right="142"/>
              <w:rPr>
                <w:rFonts w:ascii="Times New Roman"/>
                <w:sz w:val="21"/>
              </w:rPr>
            </w:pPr>
            <w:r>
              <w:rPr>
                <w:rFonts w:ascii="Times New Roman"/>
                <w:sz w:val="21"/>
              </w:rPr>
              <w:t>0.095</w:t>
            </w:r>
          </w:p>
        </w:tc>
        <w:tc>
          <w:tcPr>
            <w:tcW w:w="2538" w:type="dxa"/>
          </w:tcPr>
          <w:p>
            <w:pPr>
              <w:pStyle w:val="TableParagraph"/>
              <w:spacing w:line="236" w:lineRule="exact"/>
              <w:ind w:left="32" w:right="26"/>
              <w:rPr>
                <w:sz w:val="21"/>
              </w:rPr>
            </w:pPr>
            <w:r>
              <w:rPr>
                <w:sz w:val="21"/>
              </w:rPr>
              <w:t>一级氧化</w:t>
            </w:r>
            <w:r>
              <w:rPr>
                <w:rFonts w:ascii="Times New Roman" w:eastAsia="Times New Roman"/>
                <w:sz w:val="21"/>
              </w:rPr>
              <w:t>+</w:t>
            </w:r>
            <w:r>
              <w:rPr>
                <w:sz w:val="21"/>
              </w:rPr>
              <w:t>一级碱喷淋，处</w:t>
            </w:r>
          </w:p>
          <w:p>
            <w:pPr>
              <w:pStyle w:val="TableParagraph"/>
              <w:spacing w:line="223" w:lineRule="exact"/>
              <w:ind w:left="32" w:right="23"/>
              <w:rPr>
                <w:rFonts w:ascii="Times New Roman" w:eastAsia="Times New Roman"/>
                <w:sz w:val="21"/>
              </w:rPr>
            </w:pPr>
            <w:r>
              <w:rPr>
                <w:sz w:val="21"/>
              </w:rPr>
              <w:t>理效率 </w:t>
            </w:r>
            <w:r>
              <w:rPr>
                <w:rFonts w:ascii="Times New Roman" w:eastAsia="Times New Roman"/>
                <w:sz w:val="21"/>
              </w:rPr>
              <w:t>95%</w:t>
            </w:r>
          </w:p>
        </w:tc>
        <w:tc>
          <w:tcPr>
            <w:tcW w:w="1249" w:type="dxa"/>
          </w:tcPr>
          <w:p>
            <w:pPr>
              <w:pStyle w:val="TableParagraph"/>
              <w:spacing w:before="115"/>
              <w:ind w:right="324"/>
              <w:jc w:val="right"/>
              <w:rPr>
                <w:rFonts w:ascii="Times New Roman"/>
                <w:sz w:val="21"/>
              </w:rPr>
            </w:pPr>
            <w:r>
              <w:rPr>
                <w:rFonts w:ascii="Times New Roman"/>
                <w:sz w:val="21"/>
              </w:rPr>
              <w:t>0.0007</w:t>
            </w:r>
          </w:p>
        </w:tc>
        <w:tc>
          <w:tcPr>
            <w:tcW w:w="894" w:type="dxa"/>
          </w:tcPr>
          <w:p>
            <w:pPr>
              <w:pStyle w:val="TableParagraph"/>
              <w:spacing w:before="115"/>
              <w:ind w:left="213" w:right="211"/>
              <w:rPr>
                <w:rFonts w:ascii="Times New Roman"/>
                <w:sz w:val="21"/>
              </w:rPr>
            </w:pPr>
            <w:r>
              <w:rPr>
                <w:rFonts w:ascii="Times New Roman"/>
                <w:sz w:val="21"/>
              </w:rPr>
              <w:t>7000</w:t>
            </w:r>
          </w:p>
        </w:tc>
        <w:tc>
          <w:tcPr>
            <w:tcW w:w="1264" w:type="dxa"/>
          </w:tcPr>
          <w:p>
            <w:pPr>
              <w:pStyle w:val="TableParagraph"/>
              <w:spacing w:before="115"/>
              <w:ind w:left="79" w:right="79"/>
              <w:rPr>
                <w:rFonts w:ascii="Times New Roman"/>
                <w:sz w:val="21"/>
              </w:rPr>
            </w:pPr>
            <w:r>
              <w:rPr>
                <w:rFonts w:ascii="Times New Roman"/>
                <w:sz w:val="21"/>
              </w:rPr>
              <w:t>0.1</w:t>
            </w:r>
          </w:p>
        </w:tc>
        <w:tc>
          <w:tcPr>
            <w:tcW w:w="1134" w:type="dxa"/>
          </w:tcPr>
          <w:p>
            <w:pPr>
              <w:pStyle w:val="TableParagraph"/>
              <w:spacing w:before="115"/>
              <w:ind w:right="323"/>
              <w:jc w:val="right"/>
              <w:rPr>
                <w:rFonts w:ascii="Times New Roman"/>
                <w:sz w:val="21"/>
              </w:rPr>
            </w:pPr>
            <w:r>
              <w:rPr>
                <w:rFonts w:ascii="Times New Roman"/>
                <w:sz w:val="21"/>
              </w:rPr>
              <w:t>0.005</w:t>
            </w:r>
          </w:p>
        </w:tc>
        <w:tc>
          <w:tcPr>
            <w:tcW w:w="1163" w:type="dxa"/>
          </w:tcPr>
          <w:p>
            <w:pPr>
              <w:pStyle w:val="TableParagraph"/>
              <w:spacing w:before="115"/>
              <w:ind w:left="147" w:right="154"/>
              <w:rPr>
                <w:rFonts w:ascii="Times New Roman"/>
                <w:sz w:val="21"/>
              </w:rPr>
            </w:pPr>
            <w:r>
              <w:rPr>
                <w:rFonts w:ascii="Times New Roman"/>
                <w:sz w:val="21"/>
              </w:rPr>
              <w:t>10</w:t>
            </w:r>
          </w:p>
        </w:tc>
      </w:tr>
      <w:tr>
        <w:trPr>
          <w:trHeight w:val="282" w:hRule="atLeast"/>
        </w:trPr>
        <w:tc>
          <w:tcPr>
            <w:tcW w:w="1476" w:type="dxa"/>
            <w:vMerge w:val="restart"/>
          </w:tcPr>
          <w:p>
            <w:pPr>
              <w:pStyle w:val="TableParagraph"/>
              <w:spacing w:before="3"/>
              <w:jc w:val="left"/>
              <w:rPr>
                <w:b/>
                <w:sz w:val="17"/>
              </w:rPr>
            </w:pPr>
          </w:p>
          <w:p>
            <w:pPr>
              <w:pStyle w:val="TableParagraph"/>
              <w:spacing w:before="1"/>
              <w:ind w:left="422"/>
              <w:jc w:val="left"/>
              <w:rPr>
                <w:sz w:val="21"/>
              </w:rPr>
            </w:pPr>
            <w:r>
              <w:rPr>
                <w:sz w:val="21"/>
              </w:rPr>
              <w:t>车间一</w:t>
            </w:r>
          </w:p>
        </w:tc>
        <w:tc>
          <w:tcPr>
            <w:tcW w:w="1135" w:type="dxa"/>
          </w:tcPr>
          <w:p>
            <w:pPr>
              <w:pStyle w:val="TableParagraph"/>
              <w:spacing w:line="259" w:lineRule="exact" w:before="3"/>
              <w:ind w:left="16" w:right="8"/>
              <w:rPr>
                <w:sz w:val="21"/>
              </w:rPr>
            </w:pPr>
            <w:r>
              <w:rPr>
                <w:sz w:val="21"/>
              </w:rPr>
              <w:t>甲酸</w:t>
            </w:r>
          </w:p>
        </w:tc>
        <w:tc>
          <w:tcPr>
            <w:tcW w:w="1133" w:type="dxa"/>
          </w:tcPr>
          <w:p>
            <w:pPr>
              <w:pStyle w:val="TableParagraph"/>
              <w:spacing w:line="259" w:lineRule="exact" w:before="3"/>
              <w:ind w:left="16" w:right="8"/>
              <w:rPr>
                <w:sz w:val="21"/>
              </w:rPr>
            </w:pPr>
            <w:r>
              <w:rPr>
                <w:sz w:val="21"/>
              </w:rPr>
              <w:t>产污系数法</w:t>
            </w:r>
          </w:p>
        </w:tc>
        <w:tc>
          <w:tcPr>
            <w:tcW w:w="1170" w:type="dxa"/>
          </w:tcPr>
          <w:p>
            <w:pPr>
              <w:pStyle w:val="TableParagraph"/>
              <w:spacing w:before="17"/>
              <w:ind w:left="136" w:right="128"/>
              <w:rPr>
                <w:rFonts w:ascii="Times New Roman"/>
                <w:sz w:val="21"/>
              </w:rPr>
            </w:pPr>
            <w:r>
              <w:rPr>
                <w:rFonts w:ascii="Times New Roman"/>
                <w:sz w:val="21"/>
              </w:rPr>
              <w:t>0.013</w:t>
            </w:r>
          </w:p>
        </w:tc>
        <w:tc>
          <w:tcPr>
            <w:tcW w:w="973" w:type="dxa"/>
          </w:tcPr>
          <w:p>
            <w:pPr>
              <w:pStyle w:val="TableParagraph"/>
              <w:spacing w:before="17"/>
              <w:ind w:left="147" w:right="142"/>
              <w:rPr>
                <w:rFonts w:ascii="Times New Roman"/>
                <w:sz w:val="21"/>
              </w:rPr>
            </w:pPr>
            <w:r>
              <w:rPr>
                <w:rFonts w:ascii="Times New Roman"/>
                <w:sz w:val="21"/>
              </w:rPr>
              <w:t>0.09</w:t>
            </w:r>
          </w:p>
        </w:tc>
        <w:tc>
          <w:tcPr>
            <w:tcW w:w="2538" w:type="dxa"/>
          </w:tcPr>
          <w:p>
            <w:pPr>
              <w:pStyle w:val="TableParagraph"/>
              <w:spacing w:before="17"/>
              <w:ind w:left="4"/>
              <w:rPr>
                <w:rFonts w:ascii="Times New Roman"/>
                <w:sz w:val="21"/>
              </w:rPr>
            </w:pPr>
            <w:r>
              <w:rPr>
                <w:rFonts w:ascii="Times New Roman"/>
                <w:w w:val="100"/>
                <w:sz w:val="21"/>
              </w:rPr>
              <w:t>/</w:t>
            </w:r>
          </w:p>
        </w:tc>
        <w:tc>
          <w:tcPr>
            <w:tcW w:w="1249" w:type="dxa"/>
          </w:tcPr>
          <w:p>
            <w:pPr>
              <w:pStyle w:val="TableParagraph"/>
              <w:spacing w:before="17"/>
              <w:ind w:right="377"/>
              <w:jc w:val="right"/>
              <w:rPr>
                <w:rFonts w:ascii="Times New Roman"/>
                <w:sz w:val="21"/>
              </w:rPr>
            </w:pPr>
            <w:r>
              <w:rPr>
                <w:rFonts w:ascii="Times New Roman"/>
                <w:sz w:val="21"/>
              </w:rPr>
              <w:t>0.013</w:t>
            </w:r>
          </w:p>
        </w:tc>
        <w:tc>
          <w:tcPr>
            <w:tcW w:w="894" w:type="dxa"/>
          </w:tcPr>
          <w:p>
            <w:pPr>
              <w:pStyle w:val="TableParagraph"/>
              <w:spacing w:before="17"/>
              <w:ind w:right="1"/>
              <w:rPr>
                <w:rFonts w:ascii="Times New Roman"/>
                <w:sz w:val="21"/>
              </w:rPr>
            </w:pPr>
            <w:r>
              <w:rPr>
                <w:rFonts w:ascii="Times New Roman"/>
                <w:w w:val="100"/>
                <w:sz w:val="21"/>
              </w:rPr>
              <w:t>/</w:t>
            </w:r>
          </w:p>
        </w:tc>
        <w:tc>
          <w:tcPr>
            <w:tcW w:w="1264" w:type="dxa"/>
          </w:tcPr>
          <w:p>
            <w:pPr>
              <w:pStyle w:val="TableParagraph"/>
              <w:spacing w:before="17"/>
              <w:rPr>
                <w:rFonts w:ascii="Times New Roman"/>
                <w:sz w:val="21"/>
              </w:rPr>
            </w:pPr>
            <w:r>
              <w:rPr>
                <w:rFonts w:ascii="Times New Roman"/>
                <w:w w:val="100"/>
                <w:sz w:val="21"/>
              </w:rPr>
              <w:t>/</w:t>
            </w:r>
          </w:p>
        </w:tc>
        <w:tc>
          <w:tcPr>
            <w:tcW w:w="1134" w:type="dxa"/>
          </w:tcPr>
          <w:p>
            <w:pPr>
              <w:pStyle w:val="TableParagraph"/>
              <w:spacing w:before="17"/>
              <w:ind w:right="376"/>
              <w:jc w:val="right"/>
              <w:rPr>
                <w:rFonts w:ascii="Times New Roman"/>
                <w:sz w:val="21"/>
              </w:rPr>
            </w:pPr>
            <w:r>
              <w:rPr>
                <w:rFonts w:ascii="Times New Roman"/>
                <w:sz w:val="21"/>
              </w:rPr>
              <w:t>0.09</w:t>
            </w:r>
          </w:p>
        </w:tc>
        <w:tc>
          <w:tcPr>
            <w:tcW w:w="1163" w:type="dxa"/>
            <w:vMerge w:val="restart"/>
          </w:tcPr>
          <w:p>
            <w:pPr>
              <w:pStyle w:val="TableParagraph"/>
              <w:spacing w:line="240" w:lineRule="exact"/>
              <w:ind w:left="151" w:right="123" w:hanging="32"/>
              <w:jc w:val="both"/>
              <w:rPr>
                <w:sz w:val="21"/>
              </w:rPr>
            </w:pPr>
            <w:r>
              <w:rPr>
                <w:spacing w:val="-16"/>
                <w:sz w:val="21"/>
              </w:rPr>
              <w:t>执行 </w:t>
            </w:r>
            <w:r>
              <w:rPr>
                <w:rFonts w:ascii="Times New Roman" w:eastAsia="Times New Roman"/>
                <w:spacing w:val="-5"/>
                <w:sz w:val="21"/>
              </w:rPr>
              <w:t>Pg21 </w:t>
            </w:r>
            <w:r>
              <w:rPr>
                <w:spacing w:val="-1"/>
                <w:sz w:val="21"/>
              </w:rPr>
              <w:t>中无组织</w:t>
            </w:r>
            <w:r>
              <w:rPr>
                <w:spacing w:val="-2"/>
                <w:sz w:val="21"/>
              </w:rPr>
              <w:t>排放标准</w:t>
            </w:r>
          </w:p>
        </w:tc>
      </w:tr>
      <w:tr>
        <w:trPr>
          <w:trHeight w:val="426" w:hRule="atLeast"/>
        </w:trPr>
        <w:tc>
          <w:tcPr>
            <w:tcW w:w="1476" w:type="dxa"/>
            <w:vMerge/>
            <w:tcBorders>
              <w:top w:val="nil"/>
            </w:tcBorders>
          </w:tcPr>
          <w:p>
            <w:pPr>
              <w:rPr>
                <w:sz w:val="2"/>
                <w:szCs w:val="2"/>
              </w:rPr>
            </w:pPr>
          </w:p>
        </w:tc>
        <w:tc>
          <w:tcPr>
            <w:tcW w:w="1135" w:type="dxa"/>
          </w:tcPr>
          <w:p>
            <w:pPr>
              <w:pStyle w:val="TableParagraph"/>
              <w:spacing w:before="75"/>
              <w:ind w:left="16" w:right="8"/>
              <w:rPr>
                <w:sz w:val="21"/>
              </w:rPr>
            </w:pPr>
            <w:r>
              <w:rPr>
                <w:sz w:val="21"/>
              </w:rPr>
              <w:t>粉尘</w:t>
            </w:r>
          </w:p>
        </w:tc>
        <w:tc>
          <w:tcPr>
            <w:tcW w:w="1133" w:type="dxa"/>
          </w:tcPr>
          <w:p>
            <w:pPr>
              <w:pStyle w:val="TableParagraph"/>
              <w:spacing w:before="75"/>
              <w:ind w:left="16" w:right="8"/>
              <w:rPr>
                <w:sz w:val="21"/>
              </w:rPr>
            </w:pPr>
            <w:r>
              <w:rPr>
                <w:sz w:val="21"/>
              </w:rPr>
              <w:t>产污系数法</w:t>
            </w:r>
          </w:p>
        </w:tc>
        <w:tc>
          <w:tcPr>
            <w:tcW w:w="1170" w:type="dxa"/>
          </w:tcPr>
          <w:p>
            <w:pPr>
              <w:pStyle w:val="TableParagraph"/>
              <w:spacing w:before="89"/>
              <w:ind w:left="136" w:right="128"/>
              <w:rPr>
                <w:rFonts w:ascii="Times New Roman"/>
                <w:sz w:val="21"/>
              </w:rPr>
            </w:pPr>
            <w:r>
              <w:rPr>
                <w:rFonts w:ascii="Times New Roman"/>
                <w:sz w:val="21"/>
              </w:rPr>
              <w:t>0.085</w:t>
            </w:r>
          </w:p>
        </w:tc>
        <w:tc>
          <w:tcPr>
            <w:tcW w:w="973" w:type="dxa"/>
          </w:tcPr>
          <w:p>
            <w:pPr>
              <w:pStyle w:val="TableParagraph"/>
              <w:spacing w:before="89"/>
              <w:ind w:left="147" w:right="142"/>
              <w:rPr>
                <w:rFonts w:ascii="Times New Roman"/>
                <w:sz w:val="21"/>
              </w:rPr>
            </w:pPr>
            <w:r>
              <w:rPr>
                <w:rFonts w:ascii="Times New Roman"/>
                <w:sz w:val="21"/>
              </w:rPr>
              <w:t>0.106</w:t>
            </w:r>
          </w:p>
        </w:tc>
        <w:tc>
          <w:tcPr>
            <w:tcW w:w="2538" w:type="dxa"/>
          </w:tcPr>
          <w:p>
            <w:pPr>
              <w:pStyle w:val="TableParagraph"/>
              <w:spacing w:before="89"/>
              <w:ind w:left="4"/>
              <w:rPr>
                <w:rFonts w:ascii="Times New Roman"/>
                <w:sz w:val="21"/>
              </w:rPr>
            </w:pPr>
            <w:r>
              <w:rPr>
                <w:rFonts w:ascii="Times New Roman"/>
                <w:w w:val="100"/>
                <w:sz w:val="21"/>
              </w:rPr>
              <w:t>/</w:t>
            </w:r>
          </w:p>
        </w:tc>
        <w:tc>
          <w:tcPr>
            <w:tcW w:w="1249" w:type="dxa"/>
          </w:tcPr>
          <w:p>
            <w:pPr>
              <w:pStyle w:val="TableParagraph"/>
              <w:spacing w:before="89"/>
              <w:ind w:right="377"/>
              <w:jc w:val="right"/>
              <w:rPr>
                <w:rFonts w:ascii="Times New Roman"/>
                <w:sz w:val="21"/>
              </w:rPr>
            </w:pPr>
            <w:r>
              <w:rPr>
                <w:rFonts w:ascii="Times New Roman"/>
                <w:sz w:val="21"/>
              </w:rPr>
              <w:t>0.085</w:t>
            </w:r>
          </w:p>
        </w:tc>
        <w:tc>
          <w:tcPr>
            <w:tcW w:w="894" w:type="dxa"/>
          </w:tcPr>
          <w:p>
            <w:pPr>
              <w:pStyle w:val="TableParagraph"/>
              <w:spacing w:before="89"/>
              <w:ind w:right="1"/>
              <w:rPr>
                <w:rFonts w:ascii="Times New Roman"/>
                <w:sz w:val="21"/>
              </w:rPr>
            </w:pPr>
            <w:r>
              <w:rPr>
                <w:rFonts w:ascii="Times New Roman"/>
                <w:w w:val="100"/>
                <w:sz w:val="21"/>
              </w:rPr>
              <w:t>/</w:t>
            </w:r>
          </w:p>
        </w:tc>
        <w:tc>
          <w:tcPr>
            <w:tcW w:w="1264" w:type="dxa"/>
          </w:tcPr>
          <w:p>
            <w:pPr>
              <w:pStyle w:val="TableParagraph"/>
              <w:spacing w:before="89"/>
              <w:rPr>
                <w:rFonts w:ascii="Times New Roman"/>
                <w:sz w:val="21"/>
              </w:rPr>
            </w:pPr>
            <w:r>
              <w:rPr>
                <w:rFonts w:ascii="Times New Roman"/>
                <w:w w:val="100"/>
                <w:sz w:val="21"/>
              </w:rPr>
              <w:t>/</w:t>
            </w:r>
          </w:p>
        </w:tc>
        <w:tc>
          <w:tcPr>
            <w:tcW w:w="1134" w:type="dxa"/>
          </w:tcPr>
          <w:p>
            <w:pPr>
              <w:pStyle w:val="TableParagraph"/>
              <w:spacing w:before="89"/>
              <w:ind w:right="323"/>
              <w:jc w:val="right"/>
              <w:rPr>
                <w:rFonts w:ascii="Times New Roman"/>
                <w:sz w:val="21"/>
              </w:rPr>
            </w:pPr>
            <w:r>
              <w:rPr>
                <w:rFonts w:ascii="Times New Roman"/>
                <w:sz w:val="21"/>
              </w:rPr>
              <w:t>0.106</w:t>
            </w:r>
          </w:p>
        </w:tc>
        <w:tc>
          <w:tcPr>
            <w:tcW w:w="1163" w:type="dxa"/>
            <w:vMerge/>
            <w:tcBorders>
              <w:top w:val="nil"/>
            </w:tcBorders>
          </w:tcPr>
          <w:p>
            <w:pPr>
              <w:rPr>
                <w:sz w:val="2"/>
                <w:szCs w:val="2"/>
              </w:rPr>
            </w:pPr>
          </w:p>
        </w:tc>
      </w:tr>
      <w:tr>
        <w:trPr>
          <w:trHeight w:val="285" w:hRule="atLeast"/>
        </w:trPr>
        <w:tc>
          <w:tcPr>
            <w:tcW w:w="1476" w:type="dxa"/>
            <w:vMerge w:val="restart"/>
          </w:tcPr>
          <w:p>
            <w:pPr>
              <w:pStyle w:val="TableParagraph"/>
              <w:jc w:val="left"/>
              <w:rPr>
                <w:b/>
                <w:sz w:val="20"/>
              </w:rPr>
            </w:pPr>
          </w:p>
          <w:p>
            <w:pPr>
              <w:pStyle w:val="TableParagraph"/>
              <w:spacing w:before="8"/>
              <w:jc w:val="left"/>
              <w:rPr>
                <w:b/>
                <w:sz w:val="14"/>
              </w:rPr>
            </w:pPr>
          </w:p>
          <w:p>
            <w:pPr>
              <w:pStyle w:val="TableParagraph"/>
              <w:spacing w:before="1"/>
              <w:ind w:left="508" w:right="496"/>
              <w:rPr>
                <w:b/>
                <w:sz w:val="21"/>
              </w:rPr>
            </w:pPr>
            <w:r>
              <w:rPr>
                <w:b/>
                <w:sz w:val="21"/>
              </w:rPr>
              <w:t>合计</w:t>
            </w:r>
          </w:p>
        </w:tc>
        <w:tc>
          <w:tcPr>
            <w:tcW w:w="1135" w:type="dxa"/>
          </w:tcPr>
          <w:p>
            <w:pPr>
              <w:pStyle w:val="TableParagraph"/>
              <w:spacing w:line="262" w:lineRule="exact" w:before="3"/>
              <w:ind w:left="16" w:right="8"/>
              <w:rPr>
                <w:sz w:val="21"/>
              </w:rPr>
            </w:pPr>
            <w:r>
              <w:rPr>
                <w:sz w:val="21"/>
              </w:rPr>
              <w:t>甲酸</w:t>
            </w:r>
          </w:p>
        </w:tc>
        <w:tc>
          <w:tcPr>
            <w:tcW w:w="1133" w:type="dxa"/>
            <w:vMerge w:val="restart"/>
          </w:tcPr>
          <w:p>
            <w:pPr>
              <w:pStyle w:val="TableParagraph"/>
              <w:jc w:val="left"/>
              <w:rPr>
                <w:b/>
                <w:sz w:val="22"/>
              </w:rPr>
            </w:pPr>
          </w:p>
          <w:p>
            <w:pPr>
              <w:pStyle w:val="TableParagraph"/>
              <w:spacing w:before="176"/>
              <w:ind w:left="6"/>
              <w:rPr>
                <w:rFonts w:ascii="Times New Roman"/>
                <w:b/>
                <w:sz w:val="21"/>
              </w:rPr>
            </w:pPr>
            <w:r>
              <w:rPr>
                <w:rFonts w:ascii="Times New Roman"/>
                <w:b/>
                <w:w w:val="100"/>
                <w:sz w:val="21"/>
              </w:rPr>
              <w:t>/</w:t>
            </w:r>
          </w:p>
        </w:tc>
        <w:tc>
          <w:tcPr>
            <w:tcW w:w="1170" w:type="dxa"/>
          </w:tcPr>
          <w:p>
            <w:pPr>
              <w:pStyle w:val="TableParagraph"/>
              <w:spacing w:before="17"/>
              <w:ind w:left="9"/>
              <w:rPr>
                <w:rFonts w:ascii="Times New Roman"/>
                <w:sz w:val="21"/>
              </w:rPr>
            </w:pPr>
            <w:r>
              <w:rPr>
                <w:rFonts w:ascii="Times New Roman"/>
                <w:w w:val="100"/>
                <w:sz w:val="21"/>
              </w:rPr>
              <w:t>/</w:t>
            </w:r>
          </w:p>
        </w:tc>
        <w:tc>
          <w:tcPr>
            <w:tcW w:w="973" w:type="dxa"/>
          </w:tcPr>
          <w:p>
            <w:pPr>
              <w:pStyle w:val="TableParagraph"/>
              <w:spacing w:before="17"/>
              <w:ind w:left="147" w:right="142"/>
              <w:rPr>
                <w:rFonts w:ascii="Times New Roman"/>
                <w:sz w:val="21"/>
              </w:rPr>
            </w:pPr>
            <w:r>
              <w:rPr>
                <w:rFonts w:ascii="Times New Roman"/>
                <w:sz w:val="21"/>
              </w:rPr>
              <w:t>13.81</w:t>
            </w:r>
          </w:p>
        </w:tc>
        <w:tc>
          <w:tcPr>
            <w:tcW w:w="2538" w:type="dxa"/>
          </w:tcPr>
          <w:p>
            <w:pPr>
              <w:pStyle w:val="TableParagraph"/>
              <w:spacing w:before="17"/>
              <w:ind w:left="4"/>
              <w:rPr>
                <w:rFonts w:ascii="Times New Roman"/>
                <w:sz w:val="21"/>
              </w:rPr>
            </w:pPr>
            <w:r>
              <w:rPr>
                <w:rFonts w:ascii="Times New Roman"/>
                <w:w w:val="100"/>
                <w:sz w:val="21"/>
              </w:rPr>
              <w:t>/</w:t>
            </w:r>
          </w:p>
        </w:tc>
        <w:tc>
          <w:tcPr>
            <w:tcW w:w="1249" w:type="dxa"/>
          </w:tcPr>
          <w:p>
            <w:pPr>
              <w:pStyle w:val="TableParagraph"/>
              <w:spacing w:before="17"/>
              <w:ind w:left="5"/>
              <w:rPr>
                <w:rFonts w:ascii="Times New Roman"/>
                <w:sz w:val="21"/>
              </w:rPr>
            </w:pPr>
            <w:r>
              <w:rPr>
                <w:rFonts w:ascii="Times New Roman"/>
                <w:w w:val="100"/>
                <w:sz w:val="21"/>
              </w:rPr>
              <w:t>/</w:t>
            </w:r>
          </w:p>
        </w:tc>
        <w:tc>
          <w:tcPr>
            <w:tcW w:w="894" w:type="dxa"/>
          </w:tcPr>
          <w:p>
            <w:pPr>
              <w:pStyle w:val="TableParagraph"/>
              <w:spacing w:before="17"/>
              <w:ind w:right="1"/>
              <w:rPr>
                <w:rFonts w:ascii="Times New Roman"/>
                <w:sz w:val="21"/>
              </w:rPr>
            </w:pPr>
            <w:r>
              <w:rPr>
                <w:rFonts w:ascii="Times New Roman"/>
                <w:w w:val="100"/>
                <w:sz w:val="21"/>
              </w:rPr>
              <w:t>/</w:t>
            </w:r>
          </w:p>
        </w:tc>
        <w:tc>
          <w:tcPr>
            <w:tcW w:w="1264" w:type="dxa"/>
          </w:tcPr>
          <w:p>
            <w:pPr>
              <w:pStyle w:val="TableParagraph"/>
              <w:spacing w:before="17"/>
              <w:rPr>
                <w:rFonts w:ascii="Times New Roman"/>
                <w:sz w:val="21"/>
              </w:rPr>
            </w:pPr>
            <w:r>
              <w:rPr>
                <w:rFonts w:ascii="Times New Roman"/>
                <w:w w:val="100"/>
                <w:sz w:val="21"/>
              </w:rPr>
              <w:t>/</w:t>
            </w:r>
          </w:p>
        </w:tc>
        <w:tc>
          <w:tcPr>
            <w:tcW w:w="1134" w:type="dxa"/>
          </w:tcPr>
          <w:p>
            <w:pPr>
              <w:pStyle w:val="TableParagraph"/>
              <w:spacing w:before="17"/>
              <w:ind w:right="323"/>
              <w:jc w:val="right"/>
              <w:rPr>
                <w:rFonts w:ascii="Times New Roman"/>
                <w:sz w:val="21"/>
              </w:rPr>
            </w:pPr>
            <w:r>
              <w:rPr>
                <w:rFonts w:ascii="Times New Roman"/>
                <w:sz w:val="21"/>
              </w:rPr>
              <w:t>0.333</w:t>
            </w:r>
          </w:p>
        </w:tc>
        <w:tc>
          <w:tcPr>
            <w:tcW w:w="1163" w:type="dxa"/>
          </w:tcPr>
          <w:p>
            <w:pPr>
              <w:pStyle w:val="TableParagraph"/>
              <w:spacing w:before="17"/>
              <w:ind w:right="6"/>
              <w:rPr>
                <w:rFonts w:ascii="Times New Roman"/>
                <w:sz w:val="21"/>
              </w:rPr>
            </w:pPr>
            <w:r>
              <w:rPr>
                <w:rFonts w:ascii="Times New Roman"/>
                <w:w w:val="100"/>
                <w:sz w:val="21"/>
              </w:rPr>
              <w:t>/</w:t>
            </w:r>
          </w:p>
        </w:tc>
      </w:tr>
      <w:tr>
        <w:trPr>
          <w:trHeight w:val="282" w:hRule="atLeast"/>
        </w:trPr>
        <w:tc>
          <w:tcPr>
            <w:tcW w:w="1476" w:type="dxa"/>
            <w:vMerge/>
            <w:tcBorders>
              <w:top w:val="nil"/>
            </w:tcBorders>
          </w:tcPr>
          <w:p>
            <w:pPr>
              <w:rPr>
                <w:sz w:val="2"/>
                <w:szCs w:val="2"/>
              </w:rPr>
            </w:pPr>
          </w:p>
        </w:tc>
        <w:tc>
          <w:tcPr>
            <w:tcW w:w="1135" w:type="dxa"/>
          </w:tcPr>
          <w:p>
            <w:pPr>
              <w:pStyle w:val="TableParagraph"/>
              <w:spacing w:line="259" w:lineRule="exact" w:before="3"/>
              <w:ind w:left="16" w:right="8"/>
              <w:rPr>
                <w:sz w:val="21"/>
              </w:rPr>
            </w:pPr>
            <w:r>
              <w:rPr>
                <w:sz w:val="21"/>
              </w:rPr>
              <w:t>粉尘</w:t>
            </w:r>
          </w:p>
        </w:tc>
        <w:tc>
          <w:tcPr>
            <w:tcW w:w="1133" w:type="dxa"/>
            <w:vMerge/>
            <w:tcBorders>
              <w:top w:val="nil"/>
            </w:tcBorders>
          </w:tcPr>
          <w:p>
            <w:pPr>
              <w:rPr>
                <w:sz w:val="2"/>
                <w:szCs w:val="2"/>
              </w:rPr>
            </w:pPr>
          </w:p>
        </w:tc>
        <w:tc>
          <w:tcPr>
            <w:tcW w:w="1170" w:type="dxa"/>
          </w:tcPr>
          <w:p>
            <w:pPr>
              <w:pStyle w:val="TableParagraph"/>
              <w:spacing w:before="17"/>
              <w:ind w:left="9"/>
              <w:rPr>
                <w:rFonts w:ascii="Times New Roman"/>
                <w:sz w:val="21"/>
              </w:rPr>
            </w:pPr>
            <w:r>
              <w:rPr>
                <w:rFonts w:ascii="Times New Roman"/>
                <w:w w:val="100"/>
                <w:sz w:val="21"/>
              </w:rPr>
              <w:t>/</w:t>
            </w:r>
          </w:p>
        </w:tc>
        <w:tc>
          <w:tcPr>
            <w:tcW w:w="973" w:type="dxa"/>
          </w:tcPr>
          <w:p>
            <w:pPr>
              <w:pStyle w:val="TableParagraph"/>
              <w:spacing w:before="17"/>
              <w:ind w:left="147" w:right="142"/>
              <w:rPr>
                <w:rFonts w:ascii="Times New Roman"/>
                <w:sz w:val="21"/>
              </w:rPr>
            </w:pPr>
            <w:r>
              <w:rPr>
                <w:rFonts w:ascii="Times New Roman"/>
                <w:sz w:val="21"/>
              </w:rPr>
              <w:t>1.94</w:t>
            </w:r>
          </w:p>
        </w:tc>
        <w:tc>
          <w:tcPr>
            <w:tcW w:w="2538" w:type="dxa"/>
          </w:tcPr>
          <w:p>
            <w:pPr>
              <w:pStyle w:val="TableParagraph"/>
              <w:spacing w:before="17"/>
              <w:ind w:left="4"/>
              <w:rPr>
                <w:rFonts w:ascii="Times New Roman"/>
                <w:sz w:val="21"/>
              </w:rPr>
            </w:pPr>
            <w:r>
              <w:rPr>
                <w:rFonts w:ascii="Times New Roman"/>
                <w:w w:val="100"/>
                <w:sz w:val="21"/>
              </w:rPr>
              <w:t>/</w:t>
            </w:r>
          </w:p>
        </w:tc>
        <w:tc>
          <w:tcPr>
            <w:tcW w:w="1249" w:type="dxa"/>
          </w:tcPr>
          <w:p>
            <w:pPr>
              <w:pStyle w:val="TableParagraph"/>
              <w:spacing w:before="17"/>
              <w:ind w:left="5"/>
              <w:rPr>
                <w:rFonts w:ascii="Times New Roman"/>
                <w:sz w:val="21"/>
              </w:rPr>
            </w:pPr>
            <w:r>
              <w:rPr>
                <w:rFonts w:ascii="Times New Roman"/>
                <w:w w:val="100"/>
                <w:sz w:val="21"/>
              </w:rPr>
              <w:t>/</w:t>
            </w:r>
          </w:p>
        </w:tc>
        <w:tc>
          <w:tcPr>
            <w:tcW w:w="894" w:type="dxa"/>
          </w:tcPr>
          <w:p>
            <w:pPr>
              <w:pStyle w:val="TableParagraph"/>
              <w:spacing w:before="17"/>
              <w:ind w:right="1"/>
              <w:rPr>
                <w:rFonts w:ascii="Times New Roman"/>
                <w:sz w:val="21"/>
              </w:rPr>
            </w:pPr>
            <w:r>
              <w:rPr>
                <w:rFonts w:ascii="Times New Roman"/>
                <w:w w:val="100"/>
                <w:sz w:val="21"/>
              </w:rPr>
              <w:t>/</w:t>
            </w:r>
          </w:p>
        </w:tc>
        <w:tc>
          <w:tcPr>
            <w:tcW w:w="1264" w:type="dxa"/>
          </w:tcPr>
          <w:p>
            <w:pPr>
              <w:pStyle w:val="TableParagraph"/>
              <w:spacing w:before="17"/>
              <w:rPr>
                <w:rFonts w:ascii="Times New Roman"/>
                <w:sz w:val="21"/>
              </w:rPr>
            </w:pPr>
            <w:r>
              <w:rPr>
                <w:rFonts w:ascii="Times New Roman"/>
                <w:w w:val="100"/>
                <w:sz w:val="21"/>
              </w:rPr>
              <w:t>/</w:t>
            </w:r>
          </w:p>
        </w:tc>
        <w:tc>
          <w:tcPr>
            <w:tcW w:w="1134" w:type="dxa"/>
          </w:tcPr>
          <w:p>
            <w:pPr>
              <w:pStyle w:val="TableParagraph"/>
              <w:spacing w:before="17"/>
              <w:ind w:right="323"/>
              <w:jc w:val="right"/>
              <w:rPr>
                <w:rFonts w:ascii="Times New Roman"/>
                <w:sz w:val="21"/>
              </w:rPr>
            </w:pPr>
            <w:r>
              <w:rPr>
                <w:rFonts w:ascii="Times New Roman"/>
                <w:sz w:val="21"/>
              </w:rPr>
              <w:t>0.197</w:t>
            </w:r>
          </w:p>
        </w:tc>
        <w:tc>
          <w:tcPr>
            <w:tcW w:w="1163" w:type="dxa"/>
          </w:tcPr>
          <w:p>
            <w:pPr>
              <w:pStyle w:val="TableParagraph"/>
              <w:spacing w:before="17"/>
              <w:ind w:right="6"/>
              <w:rPr>
                <w:rFonts w:ascii="Times New Roman"/>
                <w:sz w:val="21"/>
              </w:rPr>
            </w:pPr>
            <w:r>
              <w:rPr>
                <w:rFonts w:ascii="Times New Roman"/>
                <w:w w:val="100"/>
                <w:sz w:val="21"/>
              </w:rPr>
              <w:t>/</w:t>
            </w:r>
          </w:p>
        </w:tc>
      </w:tr>
      <w:tr>
        <w:trPr>
          <w:trHeight w:val="285" w:hRule="atLeast"/>
        </w:trPr>
        <w:tc>
          <w:tcPr>
            <w:tcW w:w="1476" w:type="dxa"/>
            <w:vMerge/>
            <w:tcBorders>
              <w:top w:val="nil"/>
            </w:tcBorders>
          </w:tcPr>
          <w:p>
            <w:pPr>
              <w:rPr>
                <w:sz w:val="2"/>
                <w:szCs w:val="2"/>
              </w:rPr>
            </w:pPr>
          </w:p>
        </w:tc>
        <w:tc>
          <w:tcPr>
            <w:tcW w:w="1135" w:type="dxa"/>
          </w:tcPr>
          <w:p>
            <w:pPr>
              <w:pStyle w:val="TableParagraph"/>
              <w:spacing w:line="262" w:lineRule="exact" w:before="3"/>
              <w:ind w:left="16" w:right="8"/>
              <w:rPr>
                <w:b/>
                <w:sz w:val="21"/>
              </w:rPr>
            </w:pPr>
            <w:r>
              <w:rPr>
                <w:rFonts w:ascii="Times New Roman" w:eastAsia="Times New Roman"/>
                <w:b/>
                <w:sz w:val="21"/>
              </w:rPr>
              <w:t>VOCs </w:t>
            </w:r>
            <w:r>
              <w:rPr>
                <w:b/>
                <w:sz w:val="21"/>
              </w:rPr>
              <w:t>小计</w:t>
            </w:r>
          </w:p>
        </w:tc>
        <w:tc>
          <w:tcPr>
            <w:tcW w:w="1133" w:type="dxa"/>
            <w:vMerge/>
            <w:tcBorders>
              <w:top w:val="nil"/>
            </w:tcBorders>
          </w:tcPr>
          <w:p>
            <w:pPr>
              <w:rPr>
                <w:sz w:val="2"/>
                <w:szCs w:val="2"/>
              </w:rPr>
            </w:pPr>
          </w:p>
        </w:tc>
        <w:tc>
          <w:tcPr>
            <w:tcW w:w="1170" w:type="dxa"/>
          </w:tcPr>
          <w:p>
            <w:pPr>
              <w:pStyle w:val="TableParagraph"/>
              <w:spacing w:before="17"/>
              <w:ind w:left="9"/>
              <w:rPr>
                <w:rFonts w:ascii="Times New Roman"/>
                <w:b/>
                <w:sz w:val="21"/>
              </w:rPr>
            </w:pPr>
            <w:r>
              <w:rPr>
                <w:rFonts w:ascii="Times New Roman"/>
                <w:b/>
                <w:w w:val="100"/>
                <w:sz w:val="21"/>
              </w:rPr>
              <w:t>/</w:t>
            </w:r>
          </w:p>
        </w:tc>
        <w:tc>
          <w:tcPr>
            <w:tcW w:w="973" w:type="dxa"/>
          </w:tcPr>
          <w:p>
            <w:pPr>
              <w:pStyle w:val="TableParagraph"/>
              <w:spacing w:before="17"/>
              <w:ind w:left="147" w:right="142"/>
              <w:rPr>
                <w:rFonts w:ascii="Times New Roman"/>
                <w:b/>
                <w:sz w:val="21"/>
              </w:rPr>
            </w:pPr>
            <w:r>
              <w:rPr>
                <w:rFonts w:ascii="Times New Roman"/>
                <w:b/>
                <w:sz w:val="21"/>
              </w:rPr>
              <w:t>13.81</w:t>
            </w:r>
          </w:p>
        </w:tc>
        <w:tc>
          <w:tcPr>
            <w:tcW w:w="2538" w:type="dxa"/>
          </w:tcPr>
          <w:p>
            <w:pPr>
              <w:pStyle w:val="TableParagraph"/>
              <w:spacing w:before="17"/>
              <w:ind w:left="4"/>
              <w:rPr>
                <w:rFonts w:ascii="Times New Roman"/>
                <w:b/>
                <w:sz w:val="21"/>
              </w:rPr>
            </w:pPr>
            <w:r>
              <w:rPr>
                <w:rFonts w:ascii="Times New Roman"/>
                <w:b/>
                <w:w w:val="100"/>
                <w:sz w:val="21"/>
              </w:rPr>
              <w:t>/</w:t>
            </w:r>
          </w:p>
        </w:tc>
        <w:tc>
          <w:tcPr>
            <w:tcW w:w="1249" w:type="dxa"/>
          </w:tcPr>
          <w:p>
            <w:pPr>
              <w:pStyle w:val="TableParagraph"/>
              <w:spacing w:before="17"/>
              <w:ind w:left="5"/>
              <w:rPr>
                <w:rFonts w:ascii="Times New Roman"/>
                <w:b/>
                <w:sz w:val="21"/>
              </w:rPr>
            </w:pPr>
            <w:r>
              <w:rPr>
                <w:rFonts w:ascii="Times New Roman"/>
                <w:b/>
                <w:w w:val="100"/>
                <w:sz w:val="21"/>
              </w:rPr>
              <w:t>/</w:t>
            </w:r>
          </w:p>
        </w:tc>
        <w:tc>
          <w:tcPr>
            <w:tcW w:w="894" w:type="dxa"/>
          </w:tcPr>
          <w:p>
            <w:pPr>
              <w:pStyle w:val="TableParagraph"/>
              <w:spacing w:before="17"/>
              <w:ind w:right="1"/>
              <w:rPr>
                <w:rFonts w:ascii="Times New Roman"/>
                <w:b/>
                <w:sz w:val="21"/>
              </w:rPr>
            </w:pPr>
            <w:r>
              <w:rPr>
                <w:rFonts w:ascii="Times New Roman"/>
                <w:b/>
                <w:w w:val="100"/>
                <w:sz w:val="21"/>
              </w:rPr>
              <w:t>/</w:t>
            </w:r>
          </w:p>
        </w:tc>
        <w:tc>
          <w:tcPr>
            <w:tcW w:w="1264" w:type="dxa"/>
          </w:tcPr>
          <w:p>
            <w:pPr>
              <w:pStyle w:val="TableParagraph"/>
              <w:spacing w:before="17"/>
              <w:rPr>
                <w:rFonts w:ascii="Times New Roman"/>
                <w:b/>
                <w:sz w:val="21"/>
              </w:rPr>
            </w:pPr>
            <w:r>
              <w:rPr>
                <w:rFonts w:ascii="Times New Roman"/>
                <w:b/>
                <w:w w:val="100"/>
                <w:sz w:val="21"/>
              </w:rPr>
              <w:t>/</w:t>
            </w:r>
          </w:p>
        </w:tc>
        <w:tc>
          <w:tcPr>
            <w:tcW w:w="1134" w:type="dxa"/>
          </w:tcPr>
          <w:p>
            <w:pPr>
              <w:pStyle w:val="TableParagraph"/>
              <w:spacing w:before="17"/>
              <w:ind w:right="323"/>
              <w:jc w:val="right"/>
              <w:rPr>
                <w:rFonts w:ascii="Times New Roman"/>
                <w:b/>
                <w:sz w:val="21"/>
              </w:rPr>
            </w:pPr>
            <w:r>
              <w:rPr>
                <w:rFonts w:ascii="Times New Roman"/>
                <w:b/>
                <w:sz w:val="21"/>
              </w:rPr>
              <w:t>0.333</w:t>
            </w:r>
          </w:p>
        </w:tc>
        <w:tc>
          <w:tcPr>
            <w:tcW w:w="1163" w:type="dxa"/>
          </w:tcPr>
          <w:p>
            <w:pPr>
              <w:pStyle w:val="TableParagraph"/>
              <w:spacing w:before="17"/>
              <w:ind w:right="6"/>
              <w:rPr>
                <w:rFonts w:ascii="Times New Roman"/>
                <w:b/>
                <w:sz w:val="21"/>
              </w:rPr>
            </w:pPr>
            <w:r>
              <w:rPr>
                <w:rFonts w:ascii="Times New Roman"/>
                <w:b/>
                <w:w w:val="100"/>
                <w:sz w:val="21"/>
              </w:rPr>
              <w:t>/</w:t>
            </w:r>
          </w:p>
        </w:tc>
      </w:tr>
      <w:tr>
        <w:trPr>
          <w:trHeight w:val="283" w:hRule="atLeast"/>
        </w:trPr>
        <w:tc>
          <w:tcPr>
            <w:tcW w:w="1476" w:type="dxa"/>
            <w:vMerge/>
            <w:tcBorders>
              <w:top w:val="nil"/>
            </w:tcBorders>
          </w:tcPr>
          <w:p>
            <w:pPr>
              <w:rPr>
                <w:sz w:val="2"/>
                <w:szCs w:val="2"/>
              </w:rPr>
            </w:pPr>
          </w:p>
        </w:tc>
        <w:tc>
          <w:tcPr>
            <w:tcW w:w="1135" w:type="dxa"/>
          </w:tcPr>
          <w:p>
            <w:pPr>
              <w:pStyle w:val="TableParagraph"/>
              <w:spacing w:line="259" w:lineRule="exact" w:before="3"/>
              <w:ind w:left="16" w:right="8"/>
              <w:rPr>
                <w:b/>
                <w:sz w:val="21"/>
              </w:rPr>
            </w:pPr>
            <w:r>
              <w:rPr>
                <w:b/>
                <w:sz w:val="21"/>
              </w:rPr>
              <w:t>废气合计</w:t>
            </w:r>
          </w:p>
        </w:tc>
        <w:tc>
          <w:tcPr>
            <w:tcW w:w="1133" w:type="dxa"/>
            <w:vMerge/>
            <w:tcBorders>
              <w:top w:val="nil"/>
            </w:tcBorders>
          </w:tcPr>
          <w:p>
            <w:pPr>
              <w:rPr>
                <w:sz w:val="2"/>
                <w:szCs w:val="2"/>
              </w:rPr>
            </w:pPr>
          </w:p>
        </w:tc>
        <w:tc>
          <w:tcPr>
            <w:tcW w:w="1170" w:type="dxa"/>
          </w:tcPr>
          <w:p>
            <w:pPr>
              <w:pStyle w:val="TableParagraph"/>
              <w:spacing w:before="17"/>
              <w:ind w:left="9"/>
              <w:rPr>
                <w:rFonts w:ascii="Times New Roman"/>
                <w:b/>
                <w:sz w:val="21"/>
              </w:rPr>
            </w:pPr>
            <w:r>
              <w:rPr>
                <w:rFonts w:ascii="Times New Roman"/>
                <w:b/>
                <w:w w:val="100"/>
                <w:sz w:val="21"/>
              </w:rPr>
              <w:t>/</w:t>
            </w:r>
          </w:p>
        </w:tc>
        <w:tc>
          <w:tcPr>
            <w:tcW w:w="973" w:type="dxa"/>
          </w:tcPr>
          <w:p>
            <w:pPr>
              <w:pStyle w:val="TableParagraph"/>
              <w:spacing w:before="17"/>
              <w:ind w:left="147" w:right="142"/>
              <w:rPr>
                <w:rFonts w:ascii="Times New Roman"/>
                <w:b/>
                <w:sz w:val="21"/>
              </w:rPr>
            </w:pPr>
            <w:r>
              <w:rPr>
                <w:rFonts w:ascii="Times New Roman"/>
                <w:b/>
                <w:sz w:val="21"/>
              </w:rPr>
              <w:t>15.75</w:t>
            </w:r>
          </w:p>
        </w:tc>
        <w:tc>
          <w:tcPr>
            <w:tcW w:w="2538" w:type="dxa"/>
          </w:tcPr>
          <w:p>
            <w:pPr>
              <w:pStyle w:val="TableParagraph"/>
              <w:spacing w:before="17"/>
              <w:ind w:left="4"/>
              <w:rPr>
                <w:rFonts w:ascii="Times New Roman"/>
                <w:b/>
                <w:sz w:val="21"/>
              </w:rPr>
            </w:pPr>
            <w:r>
              <w:rPr>
                <w:rFonts w:ascii="Times New Roman"/>
                <w:b/>
                <w:w w:val="100"/>
                <w:sz w:val="21"/>
              </w:rPr>
              <w:t>/</w:t>
            </w:r>
          </w:p>
        </w:tc>
        <w:tc>
          <w:tcPr>
            <w:tcW w:w="1249" w:type="dxa"/>
          </w:tcPr>
          <w:p>
            <w:pPr>
              <w:pStyle w:val="TableParagraph"/>
              <w:spacing w:before="17"/>
              <w:ind w:left="5"/>
              <w:rPr>
                <w:rFonts w:ascii="Times New Roman"/>
                <w:b/>
                <w:sz w:val="21"/>
              </w:rPr>
            </w:pPr>
            <w:r>
              <w:rPr>
                <w:rFonts w:ascii="Times New Roman"/>
                <w:b/>
                <w:w w:val="100"/>
                <w:sz w:val="21"/>
              </w:rPr>
              <w:t>/</w:t>
            </w:r>
          </w:p>
        </w:tc>
        <w:tc>
          <w:tcPr>
            <w:tcW w:w="894" w:type="dxa"/>
          </w:tcPr>
          <w:p>
            <w:pPr>
              <w:pStyle w:val="TableParagraph"/>
              <w:spacing w:before="17"/>
              <w:ind w:right="1"/>
              <w:rPr>
                <w:rFonts w:ascii="Times New Roman"/>
                <w:b/>
                <w:sz w:val="21"/>
              </w:rPr>
            </w:pPr>
            <w:r>
              <w:rPr>
                <w:rFonts w:ascii="Times New Roman"/>
                <w:b/>
                <w:w w:val="100"/>
                <w:sz w:val="21"/>
              </w:rPr>
              <w:t>/</w:t>
            </w:r>
          </w:p>
        </w:tc>
        <w:tc>
          <w:tcPr>
            <w:tcW w:w="1264" w:type="dxa"/>
          </w:tcPr>
          <w:p>
            <w:pPr>
              <w:pStyle w:val="TableParagraph"/>
              <w:spacing w:before="17"/>
              <w:rPr>
                <w:rFonts w:ascii="Times New Roman"/>
                <w:b/>
                <w:sz w:val="21"/>
              </w:rPr>
            </w:pPr>
            <w:r>
              <w:rPr>
                <w:rFonts w:ascii="Times New Roman"/>
                <w:b/>
                <w:w w:val="100"/>
                <w:sz w:val="21"/>
              </w:rPr>
              <w:t>/</w:t>
            </w:r>
          </w:p>
        </w:tc>
        <w:tc>
          <w:tcPr>
            <w:tcW w:w="1134" w:type="dxa"/>
          </w:tcPr>
          <w:p>
            <w:pPr>
              <w:pStyle w:val="TableParagraph"/>
              <w:spacing w:before="17"/>
              <w:ind w:right="376"/>
              <w:jc w:val="right"/>
              <w:rPr>
                <w:rFonts w:ascii="Times New Roman"/>
                <w:b/>
                <w:sz w:val="21"/>
              </w:rPr>
            </w:pPr>
            <w:r>
              <w:rPr>
                <w:rFonts w:ascii="Times New Roman"/>
                <w:b/>
                <w:sz w:val="21"/>
              </w:rPr>
              <w:t>0.53</w:t>
            </w:r>
          </w:p>
        </w:tc>
        <w:tc>
          <w:tcPr>
            <w:tcW w:w="1163" w:type="dxa"/>
          </w:tcPr>
          <w:p>
            <w:pPr>
              <w:pStyle w:val="TableParagraph"/>
              <w:spacing w:before="17"/>
              <w:ind w:right="6"/>
              <w:rPr>
                <w:rFonts w:ascii="Times New Roman"/>
                <w:sz w:val="21"/>
              </w:rPr>
            </w:pPr>
            <w:r>
              <w:rPr>
                <w:rFonts w:ascii="Times New Roman"/>
                <w:w w:val="100"/>
                <w:sz w:val="21"/>
              </w:rPr>
              <w:t>/</w:t>
            </w:r>
          </w:p>
        </w:tc>
      </w:tr>
    </w:tbl>
    <w:p>
      <w:pPr>
        <w:spacing w:after="0"/>
        <w:rPr>
          <w:rFonts w:ascii="Times New Roman"/>
          <w:sz w:val="21"/>
        </w:rPr>
        <w:sectPr>
          <w:headerReference w:type="default" r:id="rId55"/>
          <w:footerReference w:type="default" r:id="rId56"/>
          <w:pgSz w:w="16850" w:h="11910" w:orient="landscape"/>
          <w:pgMar w:header="730" w:footer="834" w:top="1180" w:bottom="1020" w:left="1240" w:right="1240"/>
          <w:pgNumType w:start="97"/>
        </w:sectPr>
      </w:pPr>
    </w:p>
    <w:p>
      <w:pPr>
        <w:pStyle w:val="BodyText"/>
        <w:rPr>
          <w:b/>
        </w:rPr>
      </w:pPr>
    </w:p>
    <w:p>
      <w:pPr>
        <w:tabs>
          <w:tab w:pos="1043" w:val="left" w:leader="none"/>
        </w:tabs>
        <w:spacing w:before="74" w:after="29"/>
        <w:ind w:left="2" w:right="0" w:firstLine="0"/>
        <w:jc w:val="center"/>
        <w:rPr>
          <w:b/>
          <w:sz w:val="24"/>
        </w:rPr>
      </w:pPr>
      <w:r>
        <w:rPr>
          <w:b/>
          <w:sz w:val="24"/>
        </w:rPr>
        <w:t>表</w:t>
      </w:r>
      <w:r>
        <w:rPr>
          <w:b/>
          <w:spacing w:val="-60"/>
          <w:sz w:val="24"/>
        </w:rPr>
        <w:t> </w:t>
      </w:r>
      <w:r>
        <w:rPr>
          <w:rFonts w:ascii="Times New Roman" w:eastAsia="Times New Roman"/>
          <w:b/>
          <w:sz w:val="24"/>
        </w:rPr>
        <w:t>4.4-4</w:t>
        <w:tab/>
      </w:r>
      <w:r>
        <w:rPr>
          <w:b/>
          <w:sz w:val="24"/>
        </w:rPr>
        <w:t>项目废水污染物源强核算清单</w:t>
      </w: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1"/>
        <w:gridCol w:w="535"/>
        <w:gridCol w:w="1061"/>
        <w:gridCol w:w="447"/>
        <w:gridCol w:w="675"/>
        <w:gridCol w:w="916"/>
        <w:gridCol w:w="762"/>
        <w:gridCol w:w="452"/>
        <w:gridCol w:w="498"/>
        <w:gridCol w:w="496"/>
        <w:gridCol w:w="1704"/>
        <w:gridCol w:w="1624"/>
        <w:gridCol w:w="676"/>
        <w:gridCol w:w="917"/>
        <w:gridCol w:w="763"/>
        <w:gridCol w:w="554"/>
        <w:gridCol w:w="657"/>
        <w:gridCol w:w="659"/>
      </w:tblGrid>
      <w:tr>
        <w:trPr>
          <w:trHeight w:val="270" w:hRule="atLeast"/>
        </w:trPr>
        <w:tc>
          <w:tcPr>
            <w:tcW w:w="641" w:type="dxa"/>
            <w:vMerge w:val="restart"/>
          </w:tcPr>
          <w:p>
            <w:pPr>
              <w:pStyle w:val="TableParagraph"/>
              <w:spacing w:before="10"/>
              <w:jc w:val="left"/>
              <w:rPr>
                <w:b/>
                <w:sz w:val="21"/>
              </w:rPr>
            </w:pPr>
          </w:p>
          <w:p>
            <w:pPr>
              <w:pStyle w:val="TableParagraph"/>
              <w:ind w:left="107"/>
              <w:jc w:val="left"/>
              <w:rPr>
                <w:b/>
                <w:sz w:val="21"/>
              </w:rPr>
            </w:pPr>
            <w:r>
              <w:rPr>
                <w:b/>
                <w:sz w:val="21"/>
              </w:rPr>
              <w:t>产品</w:t>
            </w:r>
          </w:p>
        </w:tc>
        <w:tc>
          <w:tcPr>
            <w:tcW w:w="535" w:type="dxa"/>
            <w:vMerge w:val="restart"/>
          </w:tcPr>
          <w:p>
            <w:pPr>
              <w:pStyle w:val="TableParagraph"/>
              <w:spacing w:before="10"/>
              <w:jc w:val="left"/>
              <w:rPr>
                <w:b/>
                <w:sz w:val="21"/>
              </w:rPr>
            </w:pPr>
          </w:p>
          <w:p>
            <w:pPr>
              <w:pStyle w:val="TableParagraph"/>
              <w:ind w:left="55"/>
              <w:jc w:val="left"/>
              <w:rPr>
                <w:b/>
                <w:sz w:val="21"/>
              </w:rPr>
            </w:pPr>
            <w:r>
              <w:rPr>
                <w:b/>
                <w:sz w:val="21"/>
              </w:rPr>
              <w:t>编号</w:t>
            </w:r>
          </w:p>
        </w:tc>
        <w:tc>
          <w:tcPr>
            <w:tcW w:w="1061" w:type="dxa"/>
            <w:vMerge w:val="restart"/>
          </w:tcPr>
          <w:p>
            <w:pPr>
              <w:pStyle w:val="TableParagraph"/>
              <w:spacing w:before="10"/>
              <w:jc w:val="left"/>
              <w:rPr>
                <w:b/>
                <w:sz w:val="21"/>
              </w:rPr>
            </w:pPr>
          </w:p>
          <w:p>
            <w:pPr>
              <w:pStyle w:val="TableParagraph"/>
              <w:ind w:left="108"/>
              <w:jc w:val="left"/>
              <w:rPr>
                <w:b/>
                <w:sz w:val="21"/>
              </w:rPr>
            </w:pPr>
            <w:r>
              <w:rPr>
                <w:b/>
                <w:sz w:val="21"/>
              </w:rPr>
              <w:t>废水名称</w:t>
            </w:r>
          </w:p>
        </w:tc>
        <w:tc>
          <w:tcPr>
            <w:tcW w:w="4246" w:type="dxa"/>
            <w:gridSpan w:val="7"/>
          </w:tcPr>
          <w:p>
            <w:pPr>
              <w:pStyle w:val="TableParagraph"/>
              <w:spacing w:line="250" w:lineRule="exact" w:before="1"/>
              <w:ind w:left="1379"/>
              <w:jc w:val="left"/>
              <w:rPr>
                <w:b/>
                <w:sz w:val="21"/>
              </w:rPr>
            </w:pPr>
            <w:r>
              <w:rPr>
                <w:b/>
                <w:sz w:val="21"/>
              </w:rPr>
              <w:t>污染物产生情况</w:t>
            </w:r>
          </w:p>
        </w:tc>
        <w:tc>
          <w:tcPr>
            <w:tcW w:w="1704" w:type="dxa"/>
            <w:vMerge w:val="restart"/>
          </w:tcPr>
          <w:p>
            <w:pPr>
              <w:pStyle w:val="TableParagraph"/>
              <w:spacing w:before="10"/>
              <w:jc w:val="left"/>
              <w:rPr>
                <w:b/>
                <w:sz w:val="21"/>
              </w:rPr>
            </w:pPr>
          </w:p>
          <w:p>
            <w:pPr>
              <w:pStyle w:val="TableParagraph"/>
              <w:ind w:left="316"/>
              <w:jc w:val="left"/>
              <w:rPr>
                <w:b/>
                <w:sz w:val="21"/>
              </w:rPr>
            </w:pPr>
            <w:r>
              <w:rPr>
                <w:b/>
                <w:sz w:val="21"/>
              </w:rPr>
              <w:t>主要污染物</w:t>
            </w:r>
          </w:p>
        </w:tc>
        <w:tc>
          <w:tcPr>
            <w:tcW w:w="1624" w:type="dxa"/>
            <w:vMerge w:val="restart"/>
          </w:tcPr>
          <w:p>
            <w:pPr>
              <w:pStyle w:val="TableParagraph"/>
              <w:spacing w:before="10"/>
              <w:jc w:val="left"/>
              <w:rPr>
                <w:b/>
                <w:sz w:val="21"/>
              </w:rPr>
            </w:pPr>
          </w:p>
          <w:p>
            <w:pPr>
              <w:pStyle w:val="TableParagraph"/>
              <w:ind w:left="379"/>
              <w:jc w:val="left"/>
              <w:rPr>
                <w:b/>
                <w:sz w:val="21"/>
              </w:rPr>
            </w:pPr>
            <w:r>
              <w:rPr>
                <w:b/>
                <w:sz w:val="21"/>
              </w:rPr>
              <w:t>治理措施</w:t>
            </w:r>
          </w:p>
        </w:tc>
        <w:tc>
          <w:tcPr>
            <w:tcW w:w="4226" w:type="dxa"/>
            <w:gridSpan w:val="6"/>
            <w:tcBorders>
              <w:right w:val="single" w:sz="2" w:space="0" w:color="000000"/>
            </w:tcBorders>
          </w:tcPr>
          <w:p>
            <w:pPr>
              <w:pStyle w:val="TableParagraph"/>
              <w:spacing w:line="250" w:lineRule="exact" w:before="1"/>
              <w:ind w:left="515"/>
              <w:jc w:val="left"/>
              <w:rPr>
                <w:rFonts w:ascii="Times New Roman" w:eastAsia="Times New Roman"/>
                <w:b/>
                <w:sz w:val="21"/>
              </w:rPr>
            </w:pPr>
            <w:r>
              <w:rPr>
                <w:b/>
                <w:sz w:val="21"/>
              </w:rPr>
              <w:t>污染物纳管排放情况</w:t>
            </w:r>
            <w:r>
              <w:rPr>
                <w:rFonts w:ascii="Times New Roman" w:eastAsia="Times New Roman"/>
                <w:b/>
                <w:sz w:val="21"/>
              </w:rPr>
              <w:t>(</w:t>
            </w:r>
            <w:r>
              <w:rPr>
                <w:b/>
                <w:sz w:val="21"/>
              </w:rPr>
              <w:t>除注明外 </w:t>
            </w:r>
            <w:r>
              <w:rPr>
                <w:rFonts w:ascii="Times New Roman" w:eastAsia="Times New Roman"/>
                <w:b/>
                <w:sz w:val="21"/>
              </w:rPr>
              <w:t>t/a)</w:t>
            </w:r>
          </w:p>
        </w:tc>
      </w:tr>
      <w:tr>
        <w:trPr>
          <w:trHeight w:val="546" w:hRule="atLeast"/>
        </w:trPr>
        <w:tc>
          <w:tcPr>
            <w:tcW w:w="641" w:type="dxa"/>
            <w:vMerge/>
            <w:tcBorders>
              <w:top w:val="nil"/>
            </w:tcBorders>
          </w:tcPr>
          <w:p>
            <w:pPr>
              <w:rPr>
                <w:sz w:val="2"/>
                <w:szCs w:val="2"/>
              </w:rPr>
            </w:pPr>
          </w:p>
        </w:tc>
        <w:tc>
          <w:tcPr>
            <w:tcW w:w="535" w:type="dxa"/>
            <w:vMerge/>
            <w:tcBorders>
              <w:top w:val="nil"/>
            </w:tcBorders>
          </w:tcPr>
          <w:p>
            <w:pPr>
              <w:rPr>
                <w:sz w:val="2"/>
                <w:szCs w:val="2"/>
              </w:rPr>
            </w:pPr>
          </w:p>
        </w:tc>
        <w:tc>
          <w:tcPr>
            <w:tcW w:w="1061" w:type="dxa"/>
            <w:vMerge/>
            <w:tcBorders>
              <w:top w:val="nil"/>
            </w:tcBorders>
          </w:tcPr>
          <w:p>
            <w:pPr>
              <w:rPr>
                <w:sz w:val="2"/>
                <w:szCs w:val="2"/>
              </w:rPr>
            </w:pPr>
          </w:p>
        </w:tc>
        <w:tc>
          <w:tcPr>
            <w:tcW w:w="447" w:type="dxa"/>
          </w:tcPr>
          <w:p>
            <w:pPr>
              <w:pStyle w:val="TableParagraph"/>
              <w:spacing w:line="270" w:lineRule="atLeast" w:before="2"/>
              <w:ind w:left="11"/>
              <w:jc w:val="left"/>
              <w:rPr>
                <w:b/>
                <w:sz w:val="21"/>
              </w:rPr>
            </w:pPr>
            <w:r>
              <w:rPr>
                <w:b/>
                <w:sz w:val="21"/>
              </w:rPr>
              <w:t>核算方法</w:t>
            </w:r>
          </w:p>
        </w:tc>
        <w:tc>
          <w:tcPr>
            <w:tcW w:w="675" w:type="dxa"/>
          </w:tcPr>
          <w:p>
            <w:pPr>
              <w:pStyle w:val="TableParagraph"/>
              <w:spacing w:before="151"/>
              <w:ind w:left="78" w:right="73"/>
              <w:rPr>
                <w:rFonts w:ascii="Times New Roman"/>
                <w:b/>
                <w:sz w:val="21"/>
              </w:rPr>
            </w:pPr>
            <w:r>
              <w:rPr>
                <w:rFonts w:ascii="Times New Roman"/>
                <w:b/>
                <w:sz w:val="21"/>
              </w:rPr>
              <w:t>t/d</w:t>
            </w:r>
          </w:p>
        </w:tc>
        <w:tc>
          <w:tcPr>
            <w:tcW w:w="916" w:type="dxa"/>
          </w:tcPr>
          <w:p>
            <w:pPr>
              <w:pStyle w:val="TableParagraph"/>
              <w:spacing w:before="151"/>
              <w:ind w:left="172" w:right="166"/>
              <w:rPr>
                <w:rFonts w:ascii="Times New Roman"/>
                <w:b/>
                <w:sz w:val="21"/>
              </w:rPr>
            </w:pPr>
            <w:r>
              <w:rPr>
                <w:rFonts w:ascii="Times New Roman"/>
                <w:b/>
                <w:sz w:val="21"/>
              </w:rPr>
              <w:t>t/a</w:t>
            </w:r>
          </w:p>
        </w:tc>
        <w:tc>
          <w:tcPr>
            <w:tcW w:w="762" w:type="dxa"/>
          </w:tcPr>
          <w:p>
            <w:pPr>
              <w:pStyle w:val="TableParagraph"/>
              <w:spacing w:before="151"/>
              <w:ind w:right="46"/>
              <w:jc w:val="right"/>
              <w:rPr>
                <w:rFonts w:ascii="Times New Roman"/>
                <w:b/>
                <w:sz w:val="21"/>
              </w:rPr>
            </w:pPr>
            <w:r>
              <w:rPr>
                <w:rFonts w:ascii="Times New Roman"/>
                <w:b/>
                <w:sz w:val="21"/>
              </w:rPr>
              <w:t>CODcr</w:t>
            </w:r>
          </w:p>
        </w:tc>
        <w:tc>
          <w:tcPr>
            <w:tcW w:w="452" w:type="dxa"/>
          </w:tcPr>
          <w:p>
            <w:pPr>
              <w:pStyle w:val="TableParagraph"/>
              <w:spacing w:before="138"/>
              <w:ind w:left="2"/>
              <w:rPr>
                <w:b/>
                <w:sz w:val="21"/>
              </w:rPr>
            </w:pPr>
            <w:r>
              <w:rPr>
                <w:b/>
                <w:sz w:val="21"/>
              </w:rPr>
              <w:t>氨氮</w:t>
            </w:r>
          </w:p>
        </w:tc>
        <w:tc>
          <w:tcPr>
            <w:tcW w:w="498" w:type="dxa"/>
          </w:tcPr>
          <w:p>
            <w:pPr>
              <w:pStyle w:val="TableParagraph"/>
              <w:spacing w:before="151"/>
              <w:ind w:left="65" w:right="65"/>
              <w:rPr>
                <w:rFonts w:ascii="Times New Roman"/>
                <w:b/>
                <w:sz w:val="21"/>
              </w:rPr>
            </w:pPr>
            <w:r>
              <w:rPr>
                <w:rFonts w:ascii="Times New Roman"/>
                <w:b/>
                <w:sz w:val="21"/>
              </w:rPr>
              <w:t>TN</w:t>
            </w:r>
          </w:p>
        </w:tc>
        <w:tc>
          <w:tcPr>
            <w:tcW w:w="496" w:type="dxa"/>
          </w:tcPr>
          <w:p>
            <w:pPr>
              <w:pStyle w:val="TableParagraph"/>
              <w:spacing w:line="270" w:lineRule="atLeast" w:before="2"/>
              <w:ind w:left="133" w:right="33" w:hanging="106"/>
              <w:jc w:val="left"/>
              <w:rPr>
                <w:b/>
                <w:sz w:val="21"/>
              </w:rPr>
            </w:pPr>
            <w:r>
              <w:rPr>
                <w:b/>
                <w:sz w:val="21"/>
              </w:rPr>
              <w:t>三环唑</w:t>
            </w:r>
          </w:p>
        </w:tc>
        <w:tc>
          <w:tcPr>
            <w:tcW w:w="1704" w:type="dxa"/>
            <w:vMerge/>
            <w:tcBorders>
              <w:top w:val="nil"/>
            </w:tcBorders>
          </w:tcPr>
          <w:p>
            <w:pPr>
              <w:rPr>
                <w:sz w:val="2"/>
                <w:szCs w:val="2"/>
              </w:rPr>
            </w:pPr>
          </w:p>
        </w:tc>
        <w:tc>
          <w:tcPr>
            <w:tcW w:w="1624" w:type="dxa"/>
            <w:vMerge/>
            <w:tcBorders>
              <w:top w:val="nil"/>
            </w:tcBorders>
          </w:tcPr>
          <w:p>
            <w:pPr>
              <w:rPr>
                <w:sz w:val="2"/>
                <w:szCs w:val="2"/>
              </w:rPr>
            </w:pPr>
          </w:p>
        </w:tc>
        <w:tc>
          <w:tcPr>
            <w:tcW w:w="676" w:type="dxa"/>
          </w:tcPr>
          <w:p>
            <w:pPr>
              <w:pStyle w:val="TableParagraph"/>
              <w:spacing w:before="151"/>
              <w:ind w:right="216"/>
              <w:jc w:val="right"/>
              <w:rPr>
                <w:rFonts w:ascii="Times New Roman"/>
                <w:b/>
                <w:sz w:val="21"/>
              </w:rPr>
            </w:pPr>
            <w:r>
              <w:rPr>
                <w:rFonts w:ascii="Times New Roman"/>
                <w:b/>
                <w:sz w:val="21"/>
              </w:rPr>
              <w:t>t/d</w:t>
            </w:r>
          </w:p>
        </w:tc>
        <w:tc>
          <w:tcPr>
            <w:tcW w:w="917" w:type="dxa"/>
          </w:tcPr>
          <w:p>
            <w:pPr>
              <w:pStyle w:val="TableParagraph"/>
              <w:spacing w:before="151"/>
              <w:ind w:left="163" w:right="177"/>
              <w:rPr>
                <w:rFonts w:ascii="Times New Roman"/>
                <w:b/>
                <w:sz w:val="21"/>
              </w:rPr>
            </w:pPr>
            <w:r>
              <w:rPr>
                <w:rFonts w:ascii="Times New Roman"/>
                <w:b/>
                <w:sz w:val="21"/>
              </w:rPr>
              <w:t>t/a</w:t>
            </w:r>
          </w:p>
        </w:tc>
        <w:tc>
          <w:tcPr>
            <w:tcW w:w="763" w:type="dxa"/>
          </w:tcPr>
          <w:p>
            <w:pPr>
              <w:pStyle w:val="TableParagraph"/>
              <w:spacing w:before="151"/>
              <w:ind w:left="18" w:right="41"/>
              <w:rPr>
                <w:rFonts w:ascii="Times New Roman"/>
                <w:b/>
                <w:sz w:val="21"/>
              </w:rPr>
            </w:pPr>
            <w:r>
              <w:rPr>
                <w:rFonts w:ascii="Times New Roman"/>
                <w:b/>
                <w:sz w:val="21"/>
              </w:rPr>
              <w:t>CODcr</w:t>
            </w:r>
          </w:p>
        </w:tc>
        <w:tc>
          <w:tcPr>
            <w:tcW w:w="554" w:type="dxa"/>
          </w:tcPr>
          <w:p>
            <w:pPr>
              <w:pStyle w:val="TableParagraph"/>
              <w:spacing w:before="138"/>
              <w:ind w:left="4" w:right="26"/>
              <w:rPr>
                <w:b/>
                <w:sz w:val="21"/>
              </w:rPr>
            </w:pPr>
            <w:r>
              <w:rPr>
                <w:b/>
                <w:sz w:val="21"/>
              </w:rPr>
              <w:t>氨氮</w:t>
            </w:r>
          </w:p>
        </w:tc>
        <w:tc>
          <w:tcPr>
            <w:tcW w:w="657" w:type="dxa"/>
          </w:tcPr>
          <w:p>
            <w:pPr>
              <w:pStyle w:val="TableParagraph"/>
              <w:spacing w:before="151"/>
              <w:ind w:left="105" w:right="131"/>
              <w:rPr>
                <w:rFonts w:ascii="Times New Roman"/>
                <w:b/>
                <w:sz w:val="21"/>
              </w:rPr>
            </w:pPr>
            <w:r>
              <w:rPr>
                <w:rFonts w:ascii="Times New Roman"/>
                <w:b/>
                <w:sz w:val="21"/>
              </w:rPr>
              <w:t>TN</w:t>
            </w:r>
          </w:p>
        </w:tc>
        <w:tc>
          <w:tcPr>
            <w:tcW w:w="659" w:type="dxa"/>
            <w:tcBorders>
              <w:right w:val="single" w:sz="2" w:space="0" w:color="000000"/>
            </w:tcBorders>
          </w:tcPr>
          <w:p>
            <w:pPr>
              <w:pStyle w:val="TableParagraph"/>
              <w:spacing w:before="138"/>
              <w:ind w:left="-9" w:right="24"/>
              <w:rPr>
                <w:b/>
                <w:sz w:val="21"/>
              </w:rPr>
            </w:pPr>
            <w:r>
              <w:rPr>
                <w:b/>
                <w:spacing w:val="-7"/>
                <w:sz w:val="21"/>
              </w:rPr>
              <w:t>三环唑</w:t>
            </w:r>
          </w:p>
        </w:tc>
      </w:tr>
      <w:tr>
        <w:trPr>
          <w:trHeight w:val="544" w:hRule="atLeast"/>
        </w:trPr>
        <w:tc>
          <w:tcPr>
            <w:tcW w:w="641"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5"/>
              <w:jc w:val="left"/>
              <w:rPr>
                <w:b/>
                <w:sz w:val="27"/>
              </w:rPr>
            </w:pPr>
          </w:p>
          <w:p>
            <w:pPr>
              <w:pStyle w:val="TableParagraph"/>
              <w:spacing w:before="1"/>
              <w:ind w:left="4" w:right="-15"/>
              <w:jc w:val="left"/>
              <w:rPr>
                <w:sz w:val="21"/>
              </w:rPr>
            </w:pPr>
            <w:r>
              <w:rPr>
                <w:spacing w:val="-4"/>
                <w:sz w:val="21"/>
              </w:rPr>
              <w:t>三环唑</w:t>
            </w:r>
          </w:p>
        </w:tc>
        <w:tc>
          <w:tcPr>
            <w:tcW w:w="535" w:type="dxa"/>
          </w:tcPr>
          <w:p>
            <w:pPr>
              <w:pStyle w:val="TableParagraph"/>
              <w:spacing w:before="151"/>
              <w:ind w:left="15" w:right="3"/>
              <w:rPr>
                <w:rFonts w:ascii="Times New Roman"/>
                <w:sz w:val="21"/>
              </w:rPr>
            </w:pPr>
            <w:r>
              <w:rPr>
                <w:rFonts w:ascii="Times New Roman"/>
                <w:sz w:val="21"/>
              </w:rPr>
              <w:t>Wa-1</w:t>
            </w:r>
          </w:p>
        </w:tc>
        <w:tc>
          <w:tcPr>
            <w:tcW w:w="1061" w:type="dxa"/>
          </w:tcPr>
          <w:p>
            <w:pPr>
              <w:pStyle w:val="TableParagraph"/>
              <w:spacing w:before="1"/>
              <w:ind w:left="5" w:right="-15"/>
              <w:rPr>
                <w:sz w:val="21"/>
              </w:rPr>
            </w:pPr>
            <w:r>
              <w:rPr>
                <w:spacing w:val="-3"/>
                <w:sz w:val="21"/>
              </w:rPr>
              <w:t>甲酸回收废</w:t>
            </w:r>
          </w:p>
          <w:p>
            <w:pPr>
              <w:pStyle w:val="TableParagraph"/>
              <w:spacing w:line="252" w:lineRule="exact" w:before="2"/>
              <w:ind w:left="10"/>
              <w:rPr>
                <w:sz w:val="21"/>
              </w:rPr>
            </w:pPr>
            <w:r>
              <w:rPr>
                <w:w w:val="100"/>
                <w:sz w:val="21"/>
              </w:rPr>
              <w:t>水</w:t>
            </w:r>
          </w:p>
        </w:tc>
        <w:tc>
          <w:tcPr>
            <w:tcW w:w="447" w:type="dxa"/>
            <w:vMerge w:val="restart"/>
            <w:tcBorders>
              <w:bottom w:val="single" w:sz="2" w:space="0" w:color="000000"/>
            </w:tcBorders>
          </w:tcPr>
          <w:p>
            <w:pPr>
              <w:pStyle w:val="TableParagraph"/>
              <w:jc w:val="left"/>
              <w:rPr>
                <w:b/>
                <w:sz w:val="20"/>
              </w:rPr>
            </w:pPr>
          </w:p>
          <w:p>
            <w:pPr>
              <w:pStyle w:val="TableParagraph"/>
              <w:spacing w:before="12"/>
              <w:jc w:val="left"/>
              <w:rPr>
                <w:b/>
                <w:sz w:val="22"/>
              </w:rPr>
            </w:pPr>
          </w:p>
          <w:p>
            <w:pPr>
              <w:pStyle w:val="TableParagraph"/>
              <w:spacing w:line="242" w:lineRule="auto"/>
              <w:ind w:left="11"/>
              <w:jc w:val="both"/>
              <w:rPr>
                <w:sz w:val="21"/>
              </w:rPr>
            </w:pPr>
            <w:r>
              <w:rPr>
                <w:sz w:val="21"/>
              </w:rPr>
              <w:t>物料平衡法</w:t>
            </w:r>
          </w:p>
        </w:tc>
        <w:tc>
          <w:tcPr>
            <w:tcW w:w="675" w:type="dxa"/>
          </w:tcPr>
          <w:p>
            <w:pPr>
              <w:pStyle w:val="TableParagraph"/>
              <w:spacing w:before="151"/>
              <w:ind w:left="78" w:right="73"/>
              <w:rPr>
                <w:rFonts w:ascii="Times New Roman"/>
                <w:sz w:val="21"/>
              </w:rPr>
            </w:pPr>
            <w:r>
              <w:rPr>
                <w:rFonts w:ascii="Times New Roman"/>
                <w:sz w:val="21"/>
              </w:rPr>
              <w:t>0.5</w:t>
            </w:r>
          </w:p>
        </w:tc>
        <w:tc>
          <w:tcPr>
            <w:tcW w:w="916" w:type="dxa"/>
          </w:tcPr>
          <w:p>
            <w:pPr>
              <w:pStyle w:val="TableParagraph"/>
              <w:spacing w:before="151"/>
              <w:ind w:left="174" w:right="166"/>
              <w:rPr>
                <w:rFonts w:ascii="Times New Roman"/>
                <w:sz w:val="21"/>
              </w:rPr>
            </w:pPr>
            <w:r>
              <w:rPr>
                <w:rFonts w:ascii="Times New Roman"/>
                <w:sz w:val="21"/>
              </w:rPr>
              <w:t>144</w:t>
            </w:r>
          </w:p>
        </w:tc>
        <w:tc>
          <w:tcPr>
            <w:tcW w:w="762" w:type="dxa"/>
          </w:tcPr>
          <w:p>
            <w:pPr>
              <w:pStyle w:val="TableParagraph"/>
              <w:spacing w:before="151"/>
              <w:ind w:right="110"/>
              <w:jc w:val="right"/>
              <w:rPr>
                <w:rFonts w:ascii="Times New Roman"/>
                <w:sz w:val="21"/>
              </w:rPr>
            </w:pPr>
            <w:r>
              <w:rPr>
                <w:rFonts w:ascii="Times New Roman"/>
                <w:sz w:val="21"/>
              </w:rPr>
              <w:t>14000</w:t>
            </w:r>
          </w:p>
        </w:tc>
        <w:tc>
          <w:tcPr>
            <w:tcW w:w="452" w:type="dxa"/>
          </w:tcPr>
          <w:p>
            <w:pPr>
              <w:pStyle w:val="TableParagraph"/>
              <w:jc w:val="left"/>
              <w:rPr>
                <w:rFonts w:ascii="Times New Roman"/>
                <w:sz w:val="20"/>
              </w:rPr>
            </w:pPr>
          </w:p>
        </w:tc>
        <w:tc>
          <w:tcPr>
            <w:tcW w:w="498" w:type="dxa"/>
          </w:tcPr>
          <w:p>
            <w:pPr>
              <w:pStyle w:val="TableParagraph"/>
              <w:jc w:val="left"/>
              <w:rPr>
                <w:rFonts w:ascii="Times New Roman"/>
                <w:sz w:val="20"/>
              </w:rPr>
            </w:pPr>
          </w:p>
        </w:tc>
        <w:tc>
          <w:tcPr>
            <w:tcW w:w="496" w:type="dxa"/>
          </w:tcPr>
          <w:p>
            <w:pPr>
              <w:pStyle w:val="TableParagraph"/>
              <w:jc w:val="left"/>
              <w:rPr>
                <w:rFonts w:ascii="Times New Roman"/>
                <w:sz w:val="20"/>
              </w:rPr>
            </w:pPr>
          </w:p>
        </w:tc>
        <w:tc>
          <w:tcPr>
            <w:tcW w:w="1704" w:type="dxa"/>
          </w:tcPr>
          <w:p>
            <w:pPr>
              <w:pStyle w:val="TableParagraph"/>
              <w:spacing w:before="138"/>
              <w:ind w:right="3"/>
              <w:rPr>
                <w:sz w:val="21"/>
              </w:rPr>
            </w:pPr>
            <w:r>
              <w:rPr>
                <w:sz w:val="21"/>
              </w:rPr>
              <w:t>甲酸</w:t>
            </w:r>
          </w:p>
        </w:tc>
        <w:tc>
          <w:tcPr>
            <w:tcW w:w="1624" w:type="dxa"/>
          </w:tcPr>
          <w:p>
            <w:pPr>
              <w:pStyle w:val="TableParagraph"/>
              <w:spacing w:before="1"/>
              <w:ind w:left="48" w:right="55"/>
              <w:rPr>
                <w:sz w:val="21"/>
              </w:rPr>
            </w:pPr>
            <w:r>
              <w:rPr>
                <w:sz w:val="21"/>
              </w:rPr>
              <w:t>直接进入集中生</w:t>
            </w:r>
          </w:p>
          <w:p>
            <w:pPr>
              <w:pStyle w:val="TableParagraph"/>
              <w:spacing w:line="252" w:lineRule="exact" w:before="2"/>
              <w:ind w:left="48" w:right="53"/>
              <w:rPr>
                <w:sz w:val="21"/>
              </w:rPr>
            </w:pPr>
            <w:r>
              <w:rPr>
                <w:sz w:val="21"/>
              </w:rPr>
              <w:t>化处理设施</w:t>
            </w:r>
          </w:p>
        </w:tc>
        <w:tc>
          <w:tcPr>
            <w:tcW w:w="676" w:type="dxa"/>
          </w:tcPr>
          <w:p>
            <w:pPr>
              <w:pStyle w:val="TableParagraph"/>
              <w:spacing w:before="151"/>
              <w:ind w:right="206"/>
              <w:jc w:val="right"/>
              <w:rPr>
                <w:rFonts w:ascii="Times New Roman"/>
                <w:sz w:val="21"/>
              </w:rPr>
            </w:pPr>
            <w:r>
              <w:rPr>
                <w:rFonts w:ascii="Times New Roman"/>
                <w:sz w:val="21"/>
              </w:rPr>
              <w:t>0.5</w:t>
            </w:r>
          </w:p>
        </w:tc>
        <w:tc>
          <w:tcPr>
            <w:tcW w:w="917" w:type="dxa"/>
          </w:tcPr>
          <w:p>
            <w:pPr>
              <w:pStyle w:val="TableParagraph"/>
              <w:spacing w:before="151"/>
              <w:ind w:left="165" w:right="177"/>
              <w:rPr>
                <w:rFonts w:ascii="Times New Roman"/>
                <w:sz w:val="21"/>
              </w:rPr>
            </w:pPr>
            <w:r>
              <w:rPr>
                <w:rFonts w:ascii="Times New Roman"/>
                <w:sz w:val="21"/>
              </w:rPr>
              <w:t>144</w:t>
            </w:r>
          </w:p>
        </w:tc>
        <w:tc>
          <w:tcPr>
            <w:tcW w:w="763" w:type="dxa"/>
          </w:tcPr>
          <w:p>
            <w:pPr>
              <w:pStyle w:val="TableParagraph"/>
              <w:spacing w:before="151"/>
              <w:ind w:right="24"/>
              <w:rPr>
                <w:rFonts w:ascii="Times New Roman"/>
                <w:sz w:val="21"/>
              </w:rPr>
            </w:pPr>
            <w:r>
              <w:rPr>
                <w:rFonts w:ascii="Times New Roman"/>
                <w:w w:val="100"/>
                <w:sz w:val="21"/>
              </w:rPr>
              <w:t>/</w:t>
            </w:r>
          </w:p>
        </w:tc>
        <w:tc>
          <w:tcPr>
            <w:tcW w:w="554" w:type="dxa"/>
          </w:tcPr>
          <w:p>
            <w:pPr>
              <w:pStyle w:val="TableParagraph"/>
              <w:spacing w:before="151"/>
              <w:ind w:right="21"/>
              <w:rPr>
                <w:rFonts w:ascii="Times New Roman"/>
                <w:sz w:val="21"/>
              </w:rPr>
            </w:pPr>
            <w:r>
              <w:rPr>
                <w:rFonts w:ascii="Times New Roman"/>
                <w:w w:val="100"/>
                <w:sz w:val="21"/>
              </w:rPr>
              <w:t>/</w:t>
            </w:r>
          </w:p>
        </w:tc>
        <w:tc>
          <w:tcPr>
            <w:tcW w:w="657" w:type="dxa"/>
          </w:tcPr>
          <w:p>
            <w:pPr>
              <w:pStyle w:val="TableParagraph"/>
              <w:spacing w:before="151"/>
              <w:ind w:right="27"/>
              <w:rPr>
                <w:rFonts w:ascii="Times New Roman"/>
                <w:sz w:val="21"/>
              </w:rPr>
            </w:pPr>
            <w:r>
              <w:rPr>
                <w:rFonts w:ascii="Times New Roman"/>
                <w:w w:val="100"/>
                <w:sz w:val="21"/>
              </w:rPr>
              <w:t>/</w:t>
            </w:r>
          </w:p>
        </w:tc>
        <w:tc>
          <w:tcPr>
            <w:tcW w:w="659" w:type="dxa"/>
          </w:tcPr>
          <w:p>
            <w:pPr>
              <w:pStyle w:val="TableParagraph"/>
              <w:spacing w:before="151"/>
              <w:ind w:right="33"/>
              <w:rPr>
                <w:rFonts w:ascii="Times New Roman"/>
                <w:sz w:val="21"/>
              </w:rPr>
            </w:pPr>
            <w:r>
              <w:rPr>
                <w:rFonts w:ascii="Times New Roman"/>
                <w:w w:val="100"/>
                <w:sz w:val="21"/>
              </w:rPr>
              <w:t>/</w:t>
            </w:r>
          </w:p>
        </w:tc>
      </w:tr>
      <w:tr>
        <w:trPr>
          <w:trHeight w:val="1360" w:hRule="atLeast"/>
        </w:trPr>
        <w:tc>
          <w:tcPr>
            <w:tcW w:w="641" w:type="dxa"/>
            <w:vMerge/>
            <w:tcBorders>
              <w:top w:val="nil"/>
            </w:tcBorders>
          </w:tcPr>
          <w:p>
            <w:pPr>
              <w:rPr>
                <w:sz w:val="2"/>
                <w:szCs w:val="2"/>
              </w:rPr>
            </w:pPr>
          </w:p>
        </w:tc>
        <w:tc>
          <w:tcPr>
            <w:tcW w:w="535" w:type="dxa"/>
          </w:tcPr>
          <w:p>
            <w:pPr>
              <w:pStyle w:val="TableParagraph"/>
              <w:jc w:val="left"/>
              <w:rPr>
                <w:b/>
                <w:sz w:val="22"/>
              </w:rPr>
            </w:pPr>
          </w:p>
          <w:p>
            <w:pPr>
              <w:pStyle w:val="TableParagraph"/>
              <w:spacing w:before="9"/>
              <w:jc w:val="left"/>
              <w:rPr>
                <w:b/>
                <w:sz w:val="21"/>
              </w:rPr>
            </w:pPr>
          </w:p>
          <w:p>
            <w:pPr>
              <w:pStyle w:val="TableParagraph"/>
              <w:ind w:left="15" w:right="3"/>
              <w:rPr>
                <w:rFonts w:ascii="Times New Roman"/>
                <w:sz w:val="21"/>
              </w:rPr>
            </w:pPr>
            <w:r>
              <w:rPr>
                <w:rFonts w:ascii="Times New Roman"/>
                <w:sz w:val="21"/>
              </w:rPr>
              <w:t>Wa-2</w:t>
            </w:r>
          </w:p>
        </w:tc>
        <w:tc>
          <w:tcPr>
            <w:tcW w:w="1061" w:type="dxa"/>
          </w:tcPr>
          <w:p>
            <w:pPr>
              <w:pStyle w:val="TableParagraph"/>
              <w:jc w:val="left"/>
              <w:rPr>
                <w:b/>
                <w:sz w:val="20"/>
              </w:rPr>
            </w:pPr>
          </w:p>
          <w:p>
            <w:pPr>
              <w:pStyle w:val="TableParagraph"/>
              <w:spacing w:line="244" w:lineRule="auto" w:before="152"/>
              <w:ind w:left="425" w:right="-15" w:hanging="420"/>
              <w:jc w:val="left"/>
              <w:rPr>
                <w:sz w:val="21"/>
              </w:rPr>
            </w:pPr>
            <w:r>
              <w:rPr>
                <w:spacing w:val="-4"/>
                <w:sz w:val="21"/>
              </w:rPr>
              <w:t>离心洗涤废</w:t>
            </w:r>
            <w:r>
              <w:rPr>
                <w:sz w:val="21"/>
              </w:rPr>
              <w:t>水</w:t>
            </w:r>
          </w:p>
        </w:tc>
        <w:tc>
          <w:tcPr>
            <w:tcW w:w="447" w:type="dxa"/>
            <w:vMerge/>
            <w:tcBorders>
              <w:top w:val="nil"/>
              <w:bottom w:val="single" w:sz="2" w:space="0" w:color="000000"/>
            </w:tcBorders>
          </w:tcPr>
          <w:p>
            <w:pPr>
              <w:rPr>
                <w:sz w:val="2"/>
                <w:szCs w:val="2"/>
              </w:rPr>
            </w:pPr>
          </w:p>
        </w:tc>
        <w:tc>
          <w:tcPr>
            <w:tcW w:w="675" w:type="dxa"/>
          </w:tcPr>
          <w:p>
            <w:pPr>
              <w:pStyle w:val="TableParagraph"/>
              <w:jc w:val="left"/>
              <w:rPr>
                <w:b/>
                <w:sz w:val="22"/>
              </w:rPr>
            </w:pPr>
          </w:p>
          <w:p>
            <w:pPr>
              <w:pStyle w:val="TableParagraph"/>
              <w:spacing w:before="9"/>
              <w:jc w:val="left"/>
              <w:rPr>
                <w:b/>
                <w:sz w:val="21"/>
              </w:rPr>
            </w:pPr>
          </w:p>
          <w:p>
            <w:pPr>
              <w:pStyle w:val="TableParagraph"/>
              <w:ind w:left="78" w:right="73"/>
              <w:rPr>
                <w:rFonts w:ascii="Times New Roman"/>
                <w:sz w:val="21"/>
              </w:rPr>
            </w:pPr>
            <w:r>
              <w:rPr>
                <w:rFonts w:ascii="Times New Roman"/>
                <w:sz w:val="21"/>
              </w:rPr>
              <w:t>16.5</w:t>
            </w:r>
          </w:p>
        </w:tc>
        <w:tc>
          <w:tcPr>
            <w:tcW w:w="916" w:type="dxa"/>
          </w:tcPr>
          <w:p>
            <w:pPr>
              <w:pStyle w:val="TableParagraph"/>
              <w:jc w:val="left"/>
              <w:rPr>
                <w:b/>
                <w:sz w:val="22"/>
              </w:rPr>
            </w:pPr>
          </w:p>
          <w:p>
            <w:pPr>
              <w:pStyle w:val="TableParagraph"/>
              <w:spacing w:before="9"/>
              <w:jc w:val="left"/>
              <w:rPr>
                <w:b/>
                <w:sz w:val="21"/>
              </w:rPr>
            </w:pPr>
          </w:p>
          <w:p>
            <w:pPr>
              <w:pStyle w:val="TableParagraph"/>
              <w:ind w:left="174" w:right="166"/>
              <w:rPr>
                <w:rFonts w:ascii="Times New Roman"/>
                <w:sz w:val="21"/>
              </w:rPr>
            </w:pPr>
            <w:r>
              <w:rPr>
                <w:rFonts w:ascii="Times New Roman"/>
                <w:sz w:val="21"/>
              </w:rPr>
              <w:t>4947</w:t>
            </w:r>
          </w:p>
        </w:tc>
        <w:tc>
          <w:tcPr>
            <w:tcW w:w="762" w:type="dxa"/>
          </w:tcPr>
          <w:p>
            <w:pPr>
              <w:pStyle w:val="TableParagraph"/>
              <w:jc w:val="left"/>
              <w:rPr>
                <w:b/>
                <w:sz w:val="22"/>
              </w:rPr>
            </w:pPr>
          </w:p>
          <w:p>
            <w:pPr>
              <w:pStyle w:val="TableParagraph"/>
              <w:spacing w:before="9"/>
              <w:jc w:val="left"/>
              <w:rPr>
                <w:b/>
                <w:sz w:val="21"/>
              </w:rPr>
            </w:pPr>
          </w:p>
          <w:p>
            <w:pPr>
              <w:pStyle w:val="TableParagraph"/>
              <w:ind w:right="110"/>
              <w:jc w:val="right"/>
              <w:rPr>
                <w:rFonts w:ascii="Times New Roman"/>
                <w:sz w:val="21"/>
              </w:rPr>
            </w:pPr>
            <w:r>
              <w:rPr>
                <w:rFonts w:ascii="Times New Roman"/>
                <w:sz w:val="21"/>
              </w:rPr>
              <w:t>15000</w:t>
            </w:r>
          </w:p>
        </w:tc>
        <w:tc>
          <w:tcPr>
            <w:tcW w:w="452" w:type="dxa"/>
          </w:tcPr>
          <w:p>
            <w:pPr>
              <w:pStyle w:val="TableParagraph"/>
              <w:jc w:val="left"/>
              <w:rPr>
                <w:b/>
                <w:sz w:val="22"/>
              </w:rPr>
            </w:pPr>
          </w:p>
          <w:p>
            <w:pPr>
              <w:pStyle w:val="TableParagraph"/>
              <w:spacing w:before="9"/>
              <w:jc w:val="left"/>
              <w:rPr>
                <w:b/>
                <w:sz w:val="21"/>
              </w:rPr>
            </w:pPr>
          </w:p>
          <w:p>
            <w:pPr>
              <w:pStyle w:val="TableParagraph"/>
              <w:ind w:left="2"/>
              <w:rPr>
                <w:rFonts w:ascii="Times New Roman"/>
                <w:sz w:val="21"/>
              </w:rPr>
            </w:pPr>
            <w:r>
              <w:rPr>
                <w:rFonts w:ascii="Times New Roman"/>
                <w:sz w:val="21"/>
              </w:rPr>
              <w:t>70</w:t>
            </w:r>
          </w:p>
        </w:tc>
        <w:tc>
          <w:tcPr>
            <w:tcW w:w="498" w:type="dxa"/>
          </w:tcPr>
          <w:p>
            <w:pPr>
              <w:pStyle w:val="TableParagraph"/>
              <w:jc w:val="left"/>
              <w:rPr>
                <w:b/>
                <w:sz w:val="22"/>
              </w:rPr>
            </w:pPr>
          </w:p>
          <w:p>
            <w:pPr>
              <w:pStyle w:val="TableParagraph"/>
              <w:spacing w:before="9"/>
              <w:jc w:val="left"/>
              <w:rPr>
                <w:b/>
                <w:sz w:val="21"/>
              </w:rPr>
            </w:pPr>
          </w:p>
          <w:p>
            <w:pPr>
              <w:pStyle w:val="TableParagraph"/>
              <w:ind w:left="66" w:right="64"/>
              <w:rPr>
                <w:rFonts w:ascii="Times New Roman"/>
                <w:sz w:val="21"/>
              </w:rPr>
            </w:pPr>
            <w:r>
              <w:rPr>
                <w:rFonts w:ascii="Times New Roman"/>
                <w:sz w:val="21"/>
              </w:rPr>
              <w:t>700</w:t>
            </w:r>
          </w:p>
        </w:tc>
        <w:tc>
          <w:tcPr>
            <w:tcW w:w="496" w:type="dxa"/>
          </w:tcPr>
          <w:p>
            <w:pPr>
              <w:pStyle w:val="TableParagraph"/>
              <w:jc w:val="left"/>
              <w:rPr>
                <w:b/>
                <w:sz w:val="22"/>
              </w:rPr>
            </w:pPr>
          </w:p>
          <w:p>
            <w:pPr>
              <w:pStyle w:val="TableParagraph"/>
              <w:spacing w:before="9"/>
              <w:jc w:val="left"/>
              <w:rPr>
                <w:b/>
                <w:sz w:val="21"/>
              </w:rPr>
            </w:pPr>
          </w:p>
          <w:p>
            <w:pPr>
              <w:pStyle w:val="TableParagraph"/>
              <w:rPr>
                <w:rFonts w:ascii="Times New Roman"/>
                <w:sz w:val="21"/>
              </w:rPr>
            </w:pPr>
            <w:r>
              <w:rPr>
                <w:rFonts w:ascii="Times New Roman"/>
                <w:sz w:val="21"/>
              </w:rPr>
              <w:t>2000</w:t>
            </w:r>
          </w:p>
        </w:tc>
        <w:tc>
          <w:tcPr>
            <w:tcW w:w="1704" w:type="dxa"/>
          </w:tcPr>
          <w:p>
            <w:pPr>
              <w:pStyle w:val="TableParagraph"/>
              <w:jc w:val="left"/>
              <w:rPr>
                <w:b/>
                <w:sz w:val="20"/>
              </w:rPr>
            </w:pPr>
          </w:p>
          <w:p>
            <w:pPr>
              <w:pStyle w:val="TableParagraph"/>
              <w:spacing w:line="244" w:lineRule="auto" w:before="152"/>
              <w:ind w:left="736" w:right="6" w:hanging="735"/>
              <w:jc w:val="left"/>
              <w:rPr>
                <w:sz w:val="21"/>
              </w:rPr>
            </w:pPr>
            <w:r>
              <w:rPr>
                <w:sz w:val="21"/>
              </w:rPr>
              <w:t>三环唑、甲酸、杂质</w:t>
            </w:r>
          </w:p>
        </w:tc>
        <w:tc>
          <w:tcPr>
            <w:tcW w:w="1624" w:type="dxa"/>
          </w:tcPr>
          <w:p>
            <w:pPr>
              <w:pStyle w:val="TableParagraph"/>
              <w:spacing w:line="242" w:lineRule="auto" w:before="1"/>
              <w:ind w:left="65" w:right="74"/>
              <w:jc w:val="both"/>
              <w:rPr>
                <w:sz w:val="21"/>
              </w:rPr>
            </w:pPr>
            <w:r>
              <w:rPr>
                <w:spacing w:val="-5"/>
                <w:sz w:val="21"/>
              </w:rPr>
              <w:t>经废水预处理设</w:t>
            </w:r>
            <w:r>
              <w:rPr>
                <w:sz w:val="21"/>
              </w:rPr>
              <w:t>施</w:t>
            </w:r>
            <w:r>
              <w:rPr>
                <w:rFonts w:ascii="Times New Roman" w:eastAsia="Times New Roman"/>
                <w:sz w:val="21"/>
              </w:rPr>
              <w:t>(</w:t>
            </w:r>
            <w:r>
              <w:rPr>
                <w:spacing w:val="-2"/>
                <w:sz w:val="21"/>
              </w:rPr>
              <w:t>铁碳</w:t>
            </w:r>
            <w:r>
              <w:rPr>
                <w:rFonts w:ascii="Times New Roman" w:eastAsia="Times New Roman"/>
                <w:sz w:val="21"/>
              </w:rPr>
              <w:t>+</w:t>
            </w:r>
            <w:r>
              <w:rPr>
                <w:spacing w:val="-2"/>
                <w:sz w:val="21"/>
              </w:rPr>
              <w:t>芬顿氧化</w:t>
            </w:r>
            <w:r>
              <w:rPr>
                <w:rFonts w:ascii="Times New Roman" w:eastAsia="Times New Roman"/>
                <w:spacing w:val="-2"/>
                <w:sz w:val="21"/>
              </w:rPr>
              <w:t>+</w:t>
            </w:r>
            <w:r>
              <w:rPr>
                <w:spacing w:val="-2"/>
                <w:sz w:val="21"/>
              </w:rPr>
              <w:t>混凝沉淀</w:t>
            </w:r>
            <w:r>
              <w:rPr>
                <w:rFonts w:ascii="Times New Roman" w:eastAsia="Times New Roman"/>
                <w:sz w:val="21"/>
              </w:rPr>
              <w:t>)</w:t>
            </w:r>
            <w:r>
              <w:rPr>
                <w:sz w:val="21"/>
              </w:rPr>
              <w:t>预</w:t>
            </w:r>
            <w:r>
              <w:rPr>
                <w:spacing w:val="-5"/>
                <w:sz w:val="21"/>
              </w:rPr>
              <w:t>处理后进入集中</w:t>
            </w:r>
          </w:p>
          <w:p>
            <w:pPr>
              <w:pStyle w:val="TableParagraph"/>
              <w:spacing w:line="250" w:lineRule="exact" w:before="3"/>
              <w:ind w:left="170"/>
              <w:jc w:val="left"/>
              <w:rPr>
                <w:sz w:val="21"/>
              </w:rPr>
            </w:pPr>
            <w:r>
              <w:rPr>
                <w:spacing w:val="-3"/>
                <w:sz w:val="21"/>
              </w:rPr>
              <w:t>生化处理设施</w:t>
            </w:r>
          </w:p>
        </w:tc>
        <w:tc>
          <w:tcPr>
            <w:tcW w:w="676" w:type="dxa"/>
          </w:tcPr>
          <w:p>
            <w:pPr>
              <w:pStyle w:val="TableParagraph"/>
              <w:jc w:val="left"/>
              <w:rPr>
                <w:b/>
                <w:sz w:val="22"/>
              </w:rPr>
            </w:pPr>
          </w:p>
          <w:p>
            <w:pPr>
              <w:pStyle w:val="TableParagraph"/>
              <w:spacing w:before="9"/>
              <w:jc w:val="left"/>
              <w:rPr>
                <w:b/>
                <w:sz w:val="21"/>
              </w:rPr>
            </w:pPr>
          </w:p>
          <w:p>
            <w:pPr>
              <w:pStyle w:val="TableParagraph"/>
              <w:ind w:right="153"/>
              <w:jc w:val="right"/>
              <w:rPr>
                <w:rFonts w:ascii="Times New Roman"/>
                <w:sz w:val="21"/>
              </w:rPr>
            </w:pPr>
            <w:r>
              <w:rPr>
                <w:rFonts w:ascii="Times New Roman"/>
                <w:sz w:val="21"/>
              </w:rPr>
              <w:t>16.5</w:t>
            </w:r>
          </w:p>
        </w:tc>
        <w:tc>
          <w:tcPr>
            <w:tcW w:w="917" w:type="dxa"/>
          </w:tcPr>
          <w:p>
            <w:pPr>
              <w:pStyle w:val="TableParagraph"/>
              <w:jc w:val="left"/>
              <w:rPr>
                <w:b/>
                <w:sz w:val="22"/>
              </w:rPr>
            </w:pPr>
          </w:p>
          <w:p>
            <w:pPr>
              <w:pStyle w:val="TableParagraph"/>
              <w:spacing w:before="9"/>
              <w:jc w:val="left"/>
              <w:rPr>
                <w:b/>
                <w:sz w:val="21"/>
              </w:rPr>
            </w:pPr>
          </w:p>
          <w:p>
            <w:pPr>
              <w:pStyle w:val="TableParagraph"/>
              <w:ind w:left="165" w:right="177"/>
              <w:rPr>
                <w:rFonts w:ascii="Times New Roman"/>
                <w:sz w:val="21"/>
              </w:rPr>
            </w:pPr>
            <w:r>
              <w:rPr>
                <w:rFonts w:ascii="Times New Roman"/>
                <w:sz w:val="21"/>
              </w:rPr>
              <w:t>4947</w:t>
            </w:r>
          </w:p>
        </w:tc>
        <w:tc>
          <w:tcPr>
            <w:tcW w:w="763" w:type="dxa"/>
          </w:tcPr>
          <w:p>
            <w:pPr>
              <w:pStyle w:val="TableParagraph"/>
              <w:jc w:val="left"/>
              <w:rPr>
                <w:b/>
                <w:sz w:val="22"/>
              </w:rPr>
            </w:pPr>
          </w:p>
          <w:p>
            <w:pPr>
              <w:pStyle w:val="TableParagraph"/>
              <w:spacing w:before="9"/>
              <w:jc w:val="left"/>
              <w:rPr>
                <w:b/>
                <w:sz w:val="21"/>
              </w:rPr>
            </w:pPr>
          </w:p>
          <w:p>
            <w:pPr>
              <w:pStyle w:val="TableParagraph"/>
              <w:ind w:right="24"/>
              <w:rPr>
                <w:rFonts w:ascii="Times New Roman"/>
                <w:sz w:val="21"/>
              </w:rPr>
            </w:pPr>
            <w:r>
              <w:rPr>
                <w:rFonts w:ascii="Times New Roman"/>
                <w:w w:val="100"/>
                <w:sz w:val="21"/>
              </w:rPr>
              <w:t>/</w:t>
            </w:r>
          </w:p>
        </w:tc>
        <w:tc>
          <w:tcPr>
            <w:tcW w:w="554" w:type="dxa"/>
          </w:tcPr>
          <w:p>
            <w:pPr>
              <w:pStyle w:val="TableParagraph"/>
              <w:jc w:val="left"/>
              <w:rPr>
                <w:b/>
                <w:sz w:val="22"/>
              </w:rPr>
            </w:pPr>
          </w:p>
          <w:p>
            <w:pPr>
              <w:pStyle w:val="TableParagraph"/>
              <w:spacing w:before="9"/>
              <w:jc w:val="left"/>
              <w:rPr>
                <w:b/>
                <w:sz w:val="21"/>
              </w:rPr>
            </w:pPr>
          </w:p>
          <w:p>
            <w:pPr>
              <w:pStyle w:val="TableParagraph"/>
              <w:ind w:right="21"/>
              <w:rPr>
                <w:rFonts w:ascii="Times New Roman"/>
                <w:sz w:val="21"/>
              </w:rPr>
            </w:pPr>
            <w:r>
              <w:rPr>
                <w:rFonts w:ascii="Times New Roman"/>
                <w:w w:val="100"/>
                <w:sz w:val="21"/>
              </w:rPr>
              <w:t>/</w:t>
            </w:r>
          </w:p>
        </w:tc>
        <w:tc>
          <w:tcPr>
            <w:tcW w:w="657" w:type="dxa"/>
          </w:tcPr>
          <w:p>
            <w:pPr>
              <w:pStyle w:val="TableParagraph"/>
              <w:jc w:val="left"/>
              <w:rPr>
                <w:b/>
                <w:sz w:val="22"/>
              </w:rPr>
            </w:pPr>
          </w:p>
          <w:p>
            <w:pPr>
              <w:pStyle w:val="TableParagraph"/>
              <w:spacing w:before="9"/>
              <w:jc w:val="left"/>
              <w:rPr>
                <w:b/>
                <w:sz w:val="21"/>
              </w:rPr>
            </w:pPr>
          </w:p>
          <w:p>
            <w:pPr>
              <w:pStyle w:val="TableParagraph"/>
              <w:ind w:right="27"/>
              <w:rPr>
                <w:rFonts w:ascii="Times New Roman"/>
                <w:sz w:val="21"/>
              </w:rPr>
            </w:pPr>
            <w:r>
              <w:rPr>
                <w:rFonts w:ascii="Times New Roman"/>
                <w:w w:val="100"/>
                <w:sz w:val="21"/>
              </w:rPr>
              <w:t>/</w:t>
            </w:r>
          </w:p>
        </w:tc>
        <w:tc>
          <w:tcPr>
            <w:tcW w:w="659" w:type="dxa"/>
          </w:tcPr>
          <w:p>
            <w:pPr>
              <w:pStyle w:val="TableParagraph"/>
              <w:jc w:val="left"/>
              <w:rPr>
                <w:b/>
                <w:sz w:val="22"/>
              </w:rPr>
            </w:pPr>
          </w:p>
          <w:p>
            <w:pPr>
              <w:pStyle w:val="TableParagraph"/>
              <w:spacing w:before="9"/>
              <w:jc w:val="left"/>
              <w:rPr>
                <w:b/>
                <w:sz w:val="21"/>
              </w:rPr>
            </w:pPr>
          </w:p>
          <w:p>
            <w:pPr>
              <w:pStyle w:val="TableParagraph"/>
              <w:ind w:right="33"/>
              <w:rPr>
                <w:rFonts w:ascii="Times New Roman"/>
                <w:sz w:val="21"/>
              </w:rPr>
            </w:pPr>
            <w:r>
              <w:rPr>
                <w:rFonts w:ascii="Times New Roman"/>
                <w:w w:val="100"/>
                <w:sz w:val="21"/>
              </w:rPr>
              <w:t>/</w:t>
            </w:r>
          </w:p>
        </w:tc>
      </w:tr>
      <w:tr>
        <w:trPr>
          <w:trHeight w:val="544" w:hRule="atLeast"/>
        </w:trPr>
        <w:tc>
          <w:tcPr>
            <w:tcW w:w="641" w:type="dxa"/>
            <w:vMerge/>
            <w:tcBorders>
              <w:top w:val="nil"/>
            </w:tcBorders>
          </w:tcPr>
          <w:p>
            <w:pPr>
              <w:rPr>
                <w:sz w:val="2"/>
                <w:szCs w:val="2"/>
              </w:rPr>
            </w:pPr>
          </w:p>
        </w:tc>
        <w:tc>
          <w:tcPr>
            <w:tcW w:w="535" w:type="dxa"/>
          </w:tcPr>
          <w:p>
            <w:pPr>
              <w:pStyle w:val="TableParagraph"/>
              <w:spacing w:before="151"/>
              <w:ind w:left="8"/>
              <w:rPr>
                <w:rFonts w:ascii="Times New Roman"/>
                <w:sz w:val="21"/>
              </w:rPr>
            </w:pPr>
            <w:r>
              <w:rPr>
                <w:rFonts w:ascii="Times New Roman"/>
                <w:w w:val="100"/>
                <w:sz w:val="21"/>
              </w:rPr>
              <w:t>/</w:t>
            </w:r>
          </w:p>
        </w:tc>
        <w:tc>
          <w:tcPr>
            <w:tcW w:w="1061" w:type="dxa"/>
          </w:tcPr>
          <w:p>
            <w:pPr>
              <w:pStyle w:val="TableParagraph"/>
              <w:spacing w:before="137"/>
              <w:ind w:left="5" w:right="-15"/>
              <w:rPr>
                <w:sz w:val="21"/>
              </w:rPr>
            </w:pPr>
            <w:r>
              <w:rPr>
                <w:spacing w:val="-4"/>
                <w:sz w:val="21"/>
              </w:rPr>
              <w:t>水环泵废水</w:t>
            </w:r>
          </w:p>
        </w:tc>
        <w:tc>
          <w:tcPr>
            <w:tcW w:w="447" w:type="dxa"/>
            <w:vMerge w:val="restart"/>
            <w:tcBorders>
              <w:top w:val="single" w:sz="2" w:space="0" w:color="000000"/>
              <w:bottom w:val="single" w:sz="2" w:space="0" w:color="000000"/>
            </w:tcBorders>
          </w:tcPr>
          <w:p>
            <w:pPr>
              <w:pStyle w:val="TableParagraph"/>
              <w:spacing w:before="10"/>
              <w:jc w:val="left"/>
              <w:rPr>
                <w:b/>
                <w:sz w:val="21"/>
              </w:rPr>
            </w:pPr>
          </w:p>
          <w:p>
            <w:pPr>
              <w:pStyle w:val="TableParagraph"/>
              <w:spacing w:line="242" w:lineRule="auto"/>
              <w:ind w:left="11"/>
              <w:jc w:val="left"/>
              <w:rPr>
                <w:sz w:val="21"/>
              </w:rPr>
            </w:pPr>
            <w:r>
              <w:rPr>
                <w:sz w:val="21"/>
              </w:rPr>
              <w:t>类比调查</w:t>
            </w:r>
          </w:p>
        </w:tc>
        <w:tc>
          <w:tcPr>
            <w:tcW w:w="675" w:type="dxa"/>
          </w:tcPr>
          <w:p>
            <w:pPr>
              <w:pStyle w:val="TableParagraph"/>
              <w:spacing w:before="151"/>
              <w:ind w:left="5"/>
              <w:rPr>
                <w:rFonts w:ascii="Times New Roman"/>
                <w:sz w:val="21"/>
              </w:rPr>
            </w:pPr>
            <w:r>
              <w:rPr>
                <w:rFonts w:ascii="Times New Roman"/>
                <w:w w:val="100"/>
                <w:sz w:val="21"/>
              </w:rPr>
              <w:t>5</w:t>
            </w:r>
          </w:p>
        </w:tc>
        <w:tc>
          <w:tcPr>
            <w:tcW w:w="916" w:type="dxa"/>
          </w:tcPr>
          <w:p>
            <w:pPr>
              <w:pStyle w:val="TableParagraph"/>
              <w:spacing w:before="151"/>
              <w:ind w:left="174" w:right="166"/>
              <w:rPr>
                <w:rFonts w:ascii="Times New Roman"/>
                <w:sz w:val="21"/>
              </w:rPr>
            </w:pPr>
            <w:r>
              <w:rPr>
                <w:rFonts w:ascii="Times New Roman"/>
                <w:sz w:val="21"/>
              </w:rPr>
              <w:t>1500</w:t>
            </w:r>
          </w:p>
        </w:tc>
        <w:tc>
          <w:tcPr>
            <w:tcW w:w="762" w:type="dxa"/>
          </w:tcPr>
          <w:p>
            <w:pPr>
              <w:pStyle w:val="TableParagraph"/>
              <w:spacing w:before="151"/>
              <w:ind w:left="165"/>
              <w:jc w:val="left"/>
              <w:rPr>
                <w:rFonts w:ascii="Times New Roman"/>
                <w:sz w:val="21"/>
              </w:rPr>
            </w:pPr>
            <w:r>
              <w:rPr>
                <w:rFonts w:ascii="Times New Roman"/>
                <w:sz w:val="21"/>
              </w:rPr>
              <w:t>1000</w:t>
            </w:r>
          </w:p>
        </w:tc>
        <w:tc>
          <w:tcPr>
            <w:tcW w:w="452" w:type="dxa"/>
          </w:tcPr>
          <w:p>
            <w:pPr>
              <w:pStyle w:val="TableParagraph"/>
              <w:spacing w:before="151"/>
              <w:ind w:left="2"/>
              <w:rPr>
                <w:rFonts w:ascii="Times New Roman"/>
                <w:sz w:val="21"/>
              </w:rPr>
            </w:pPr>
            <w:r>
              <w:rPr>
                <w:rFonts w:ascii="Times New Roman"/>
                <w:w w:val="100"/>
                <w:sz w:val="21"/>
              </w:rPr>
              <w:t>5</w:t>
            </w:r>
          </w:p>
        </w:tc>
        <w:tc>
          <w:tcPr>
            <w:tcW w:w="498" w:type="dxa"/>
          </w:tcPr>
          <w:p>
            <w:pPr>
              <w:pStyle w:val="TableParagraph"/>
              <w:spacing w:before="151"/>
              <w:ind w:left="64" w:right="65"/>
              <w:rPr>
                <w:rFonts w:ascii="Times New Roman"/>
                <w:sz w:val="21"/>
              </w:rPr>
            </w:pPr>
            <w:r>
              <w:rPr>
                <w:rFonts w:ascii="Times New Roman"/>
                <w:sz w:val="21"/>
              </w:rPr>
              <w:t>10</w:t>
            </w:r>
          </w:p>
        </w:tc>
        <w:tc>
          <w:tcPr>
            <w:tcW w:w="496" w:type="dxa"/>
          </w:tcPr>
          <w:p>
            <w:pPr>
              <w:pStyle w:val="TableParagraph"/>
              <w:jc w:val="left"/>
              <w:rPr>
                <w:rFonts w:ascii="Times New Roman"/>
                <w:sz w:val="20"/>
              </w:rPr>
            </w:pPr>
          </w:p>
        </w:tc>
        <w:tc>
          <w:tcPr>
            <w:tcW w:w="1704" w:type="dxa"/>
          </w:tcPr>
          <w:p>
            <w:pPr>
              <w:pStyle w:val="TableParagraph"/>
              <w:spacing w:before="1"/>
              <w:ind w:right="4"/>
              <w:rPr>
                <w:sz w:val="21"/>
              </w:rPr>
            </w:pPr>
            <w:r>
              <w:rPr>
                <w:rFonts w:ascii="Times New Roman" w:eastAsia="Times New Roman"/>
                <w:sz w:val="21"/>
              </w:rPr>
              <w:t>CODcr</w:t>
            </w:r>
            <w:r>
              <w:rPr>
                <w:sz w:val="21"/>
              </w:rPr>
              <w:t>、总氮、氨</w:t>
            </w:r>
          </w:p>
          <w:p>
            <w:pPr>
              <w:pStyle w:val="TableParagraph"/>
              <w:spacing w:line="250" w:lineRule="exact" w:before="4"/>
              <w:ind w:right="6"/>
              <w:rPr>
                <w:sz w:val="21"/>
              </w:rPr>
            </w:pPr>
            <w:r>
              <w:rPr>
                <w:w w:val="100"/>
                <w:sz w:val="21"/>
              </w:rPr>
              <w:t>氮</w:t>
            </w:r>
          </w:p>
        </w:tc>
        <w:tc>
          <w:tcPr>
            <w:tcW w:w="1624" w:type="dxa"/>
          </w:tcPr>
          <w:p>
            <w:pPr>
              <w:pStyle w:val="TableParagraph"/>
              <w:spacing w:before="1"/>
              <w:ind w:left="48" w:right="55"/>
              <w:rPr>
                <w:sz w:val="21"/>
              </w:rPr>
            </w:pPr>
            <w:r>
              <w:rPr>
                <w:sz w:val="21"/>
              </w:rPr>
              <w:t>直接进入集中生</w:t>
            </w:r>
          </w:p>
          <w:p>
            <w:pPr>
              <w:pStyle w:val="TableParagraph"/>
              <w:spacing w:line="250" w:lineRule="exact" w:before="4"/>
              <w:ind w:left="48" w:right="53"/>
              <w:rPr>
                <w:sz w:val="21"/>
              </w:rPr>
            </w:pPr>
            <w:r>
              <w:rPr>
                <w:sz w:val="21"/>
              </w:rPr>
              <w:t>化处理设施</w:t>
            </w:r>
          </w:p>
        </w:tc>
        <w:tc>
          <w:tcPr>
            <w:tcW w:w="676" w:type="dxa"/>
          </w:tcPr>
          <w:p>
            <w:pPr>
              <w:pStyle w:val="TableParagraph"/>
              <w:spacing w:before="151"/>
              <w:ind w:right="13"/>
              <w:rPr>
                <w:rFonts w:ascii="Times New Roman"/>
                <w:sz w:val="21"/>
              </w:rPr>
            </w:pPr>
            <w:r>
              <w:rPr>
                <w:rFonts w:ascii="Times New Roman"/>
                <w:w w:val="100"/>
                <w:sz w:val="21"/>
              </w:rPr>
              <w:t>5</w:t>
            </w:r>
          </w:p>
        </w:tc>
        <w:tc>
          <w:tcPr>
            <w:tcW w:w="917" w:type="dxa"/>
          </w:tcPr>
          <w:p>
            <w:pPr>
              <w:pStyle w:val="TableParagraph"/>
              <w:spacing w:before="151"/>
              <w:ind w:left="165" w:right="177"/>
              <w:rPr>
                <w:rFonts w:ascii="Times New Roman"/>
                <w:sz w:val="21"/>
              </w:rPr>
            </w:pPr>
            <w:r>
              <w:rPr>
                <w:rFonts w:ascii="Times New Roman"/>
                <w:sz w:val="21"/>
              </w:rPr>
              <w:t>1500</w:t>
            </w:r>
          </w:p>
        </w:tc>
        <w:tc>
          <w:tcPr>
            <w:tcW w:w="763" w:type="dxa"/>
          </w:tcPr>
          <w:p>
            <w:pPr>
              <w:pStyle w:val="TableParagraph"/>
              <w:spacing w:before="151"/>
              <w:ind w:right="24"/>
              <w:rPr>
                <w:rFonts w:ascii="Times New Roman"/>
                <w:sz w:val="21"/>
              </w:rPr>
            </w:pPr>
            <w:r>
              <w:rPr>
                <w:rFonts w:ascii="Times New Roman"/>
                <w:w w:val="100"/>
                <w:sz w:val="21"/>
              </w:rPr>
              <w:t>/</w:t>
            </w:r>
          </w:p>
        </w:tc>
        <w:tc>
          <w:tcPr>
            <w:tcW w:w="554" w:type="dxa"/>
          </w:tcPr>
          <w:p>
            <w:pPr>
              <w:pStyle w:val="TableParagraph"/>
              <w:spacing w:before="151"/>
              <w:ind w:right="21"/>
              <w:rPr>
                <w:rFonts w:ascii="Times New Roman"/>
                <w:sz w:val="21"/>
              </w:rPr>
            </w:pPr>
            <w:r>
              <w:rPr>
                <w:rFonts w:ascii="Times New Roman"/>
                <w:w w:val="100"/>
                <w:sz w:val="21"/>
              </w:rPr>
              <w:t>/</w:t>
            </w:r>
          </w:p>
        </w:tc>
        <w:tc>
          <w:tcPr>
            <w:tcW w:w="657" w:type="dxa"/>
          </w:tcPr>
          <w:p>
            <w:pPr>
              <w:pStyle w:val="TableParagraph"/>
              <w:spacing w:before="151"/>
              <w:ind w:right="27"/>
              <w:rPr>
                <w:rFonts w:ascii="Times New Roman"/>
                <w:sz w:val="21"/>
              </w:rPr>
            </w:pPr>
            <w:r>
              <w:rPr>
                <w:rFonts w:ascii="Times New Roman"/>
                <w:w w:val="100"/>
                <w:sz w:val="21"/>
              </w:rPr>
              <w:t>/</w:t>
            </w:r>
          </w:p>
        </w:tc>
        <w:tc>
          <w:tcPr>
            <w:tcW w:w="659" w:type="dxa"/>
          </w:tcPr>
          <w:p>
            <w:pPr>
              <w:pStyle w:val="TableParagraph"/>
              <w:spacing w:before="151"/>
              <w:ind w:right="33"/>
              <w:rPr>
                <w:rFonts w:ascii="Times New Roman"/>
                <w:sz w:val="21"/>
              </w:rPr>
            </w:pPr>
            <w:r>
              <w:rPr>
                <w:rFonts w:ascii="Times New Roman"/>
                <w:w w:val="100"/>
                <w:sz w:val="21"/>
              </w:rPr>
              <w:t>/</w:t>
            </w:r>
          </w:p>
        </w:tc>
      </w:tr>
      <w:tr>
        <w:trPr>
          <w:trHeight w:val="546" w:hRule="atLeast"/>
        </w:trPr>
        <w:tc>
          <w:tcPr>
            <w:tcW w:w="641" w:type="dxa"/>
            <w:vMerge/>
            <w:tcBorders>
              <w:top w:val="nil"/>
            </w:tcBorders>
          </w:tcPr>
          <w:p>
            <w:pPr>
              <w:rPr>
                <w:sz w:val="2"/>
                <w:szCs w:val="2"/>
              </w:rPr>
            </w:pPr>
          </w:p>
        </w:tc>
        <w:tc>
          <w:tcPr>
            <w:tcW w:w="535" w:type="dxa"/>
          </w:tcPr>
          <w:p>
            <w:pPr>
              <w:pStyle w:val="TableParagraph"/>
              <w:spacing w:before="151"/>
              <w:ind w:left="8"/>
              <w:rPr>
                <w:rFonts w:ascii="Times New Roman"/>
                <w:sz w:val="21"/>
              </w:rPr>
            </w:pPr>
            <w:r>
              <w:rPr>
                <w:rFonts w:ascii="Times New Roman"/>
                <w:w w:val="100"/>
                <w:sz w:val="21"/>
              </w:rPr>
              <w:t>/</w:t>
            </w:r>
          </w:p>
        </w:tc>
        <w:tc>
          <w:tcPr>
            <w:tcW w:w="1061" w:type="dxa"/>
          </w:tcPr>
          <w:p>
            <w:pPr>
              <w:pStyle w:val="TableParagraph"/>
              <w:spacing w:line="270" w:lineRule="atLeast" w:before="2"/>
              <w:ind w:left="110" w:right="-15" w:hanging="106"/>
              <w:jc w:val="left"/>
              <w:rPr>
                <w:sz w:val="21"/>
              </w:rPr>
            </w:pPr>
            <w:r>
              <w:rPr>
                <w:spacing w:val="-3"/>
                <w:sz w:val="21"/>
              </w:rPr>
              <w:t>地面及设备</w:t>
            </w:r>
            <w:r>
              <w:rPr>
                <w:spacing w:val="-2"/>
                <w:sz w:val="21"/>
              </w:rPr>
              <w:t>清洗废水</w:t>
            </w:r>
          </w:p>
        </w:tc>
        <w:tc>
          <w:tcPr>
            <w:tcW w:w="447" w:type="dxa"/>
            <w:vMerge/>
            <w:tcBorders>
              <w:top w:val="nil"/>
              <w:bottom w:val="single" w:sz="2" w:space="0" w:color="000000"/>
            </w:tcBorders>
          </w:tcPr>
          <w:p>
            <w:pPr>
              <w:rPr>
                <w:sz w:val="2"/>
                <w:szCs w:val="2"/>
              </w:rPr>
            </w:pPr>
          </w:p>
        </w:tc>
        <w:tc>
          <w:tcPr>
            <w:tcW w:w="675" w:type="dxa"/>
          </w:tcPr>
          <w:p>
            <w:pPr>
              <w:pStyle w:val="TableParagraph"/>
              <w:spacing w:before="151"/>
              <w:ind w:left="5"/>
              <w:rPr>
                <w:rFonts w:ascii="Times New Roman"/>
                <w:sz w:val="21"/>
              </w:rPr>
            </w:pPr>
            <w:r>
              <w:rPr>
                <w:rFonts w:ascii="Times New Roman"/>
                <w:w w:val="100"/>
                <w:sz w:val="21"/>
              </w:rPr>
              <w:t>5</w:t>
            </w:r>
          </w:p>
        </w:tc>
        <w:tc>
          <w:tcPr>
            <w:tcW w:w="916" w:type="dxa"/>
          </w:tcPr>
          <w:p>
            <w:pPr>
              <w:pStyle w:val="TableParagraph"/>
              <w:spacing w:before="151"/>
              <w:ind w:left="174" w:right="166"/>
              <w:rPr>
                <w:rFonts w:ascii="Times New Roman"/>
                <w:sz w:val="21"/>
              </w:rPr>
            </w:pPr>
            <w:r>
              <w:rPr>
                <w:rFonts w:ascii="Times New Roman"/>
                <w:sz w:val="21"/>
              </w:rPr>
              <w:t>1500</w:t>
            </w:r>
          </w:p>
        </w:tc>
        <w:tc>
          <w:tcPr>
            <w:tcW w:w="762" w:type="dxa"/>
          </w:tcPr>
          <w:p>
            <w:pPr>
              <w:pStyle w:val="TableParagraph"/>
              <w:spacing w:before="151"/>
              <w:ind w:left="165"/>
              <w:jc w:val="left"/>
              <w:rPr>
                <w:rFonts w:ascii="Times New Roman"/>
                <w:sz w:val="21"/>
              </w:rPr>
            </w:pPr>
            <w:r>
              <w:rPr>
                <w:rFonts w:ascii="Times New Roman"/>
                <w:sz w:val="21"/>
              </w:rPr>
              <w:t>1000</w:t>
            </w:r>
          </w:p>
        </w:tc>
        <w:tc>
          <w:tcPr>
            <w:tcW w:w="452" w:type="dxa"/>
          </w:tcPr>
          <w:p>
            <w:pPr>
              <w:pStyle w:val="TableParagraph"/>
              <w:spacing w:before="151"/>
              <w:ind w:left="2"/>
              <w:rPr>
                <w:rFonts w:ascii="Times New Roman"/>
                <w:sz w:val="21"/>
              </w:rPr>
            </w:pPr>
            <w:r>
              <w:rPr>
                <w:rFonts w:ascii="Times New Roman"/>
                <w:w w:val="100"/>
                <w:sz w:val="21"/>
              </w:rPr>
              <w:t>5</w:t>
            </w:r>
          </w:p>
        </w:tc>
        <w:tc>
          <w:tcPr>
            <w:tcW w:w="498" w:type="dxa"/>
          </w:tcPr>
          <w:p>
            <w:pPr>
              <w:pStyle w:val="TableParagraph"/>
              <w:spacing w:before="151"/>
              <w:ind w:left="64" w:right="65"/>
              <w:rPr>
                <w:rFonts w:ascii="Times New Roman"/>
                <w:sz w:val="21"/>
              </w:rPr>
            </w:pPr>
            <w:r>
              <w:rPr>
                <w:rFonts w:ascii="Times New Roman"/>
                <w:sz w:val="21"/>
              </w:rPr>
              <w:t>10</w:t>
            </w:r>
          </w:p>
        </w:tc>
        <w:tc>
          <w:tcPr>
            <w:tcW w:w="496" w:type="dxa"/>
          </w:tcPr>
          <w:p>
            <w:pPr>
              <w:pStyle w:val="TableParagraph"/>
              <w:spacing w:before="151"/>
              <w:ind w:right="5"/>
              <w:rPr>
                <w:rFonts w:ascii="Times New Roman"/>
                <w:sz w:val="21"/>
              </w:rPr>
            </w:pPr>
            <w:r>
              <w:rPr>
                <w:rFonts w:ascii="Times New Roman"/>
                <w:sz w:val="21"/>
              </w:rPr>
              <w:t>10</w:t>
            </w:r>
          </w:p>
        </w:tc>
        <w:tc>
          <w:tcPr>
            <w:tcW w:w="1704" w:type="dxa"/>
          </w:tcPr>
          <w:p>
            <w:pPr>
              <w:pStyle w:val="TableParagraph"/>
              <w:spacing w:line="270" w:lineRule="atLeast" w:before="2"/>
              <w:ind w:left="316" w:right="18" w:hanging="303"/>
              <w:jc w:val="left"/>
              <w:rPr>
                <w:sz w:val="21"/>
              </w:rPr>
            </w:pPr>
            <w:r>
              <w:rPr>
                <w:rFonts w:ascii="Times New Roman" w:eastAsia="Times New Roman"/>
                <w:sz w:val="21"/>
              </w:rPr>
              <w:t>CODcr</w:t>
            </w:r>
            <w:r>
              <w:rPr>
                <w:sz w:val="21"/>
              </w:rPr>
              <w:t>、总氮、氨氮、三环唑</w:t>
            </w:r>
          </w:p>
        </w:tc>
        <w:tc>
          <w:tcPr>
            <w:tcW w:w="1624" w:type="dxa"/>
            <w:vMerge w:val="restart"/>
          </w:tcPr>
          <w:p>
            <w:pPr>
              <w:pStyle w:val="TableParagraph"/>
              <w:spacing w:line="242" w:lineRule="auto" w:before="8"/>
              <w:ind w:left="65" w:right="74"/>
              <w:jc w:val="both"/>
              <w:rPr>
                <w:sz w:val="21"/>
              </w:rPr>
            </w:pPr>
            <w:r>
              <w:rPr>
                <w:spacing w:val="-5"/>
                <w:sz w:val="21"/>
              </w:rPr>
              <w:t>经废水预处理设</w:t>
            </w:r>
            <w:r>
              <w:rPr>
                <w:sz w:val="21"/>
              </w:rPr>
              <w:t>施</w:t>
            </w:r>
            <w:r>
              <w:rPr>
                <w:rFonts w:ascii="Times New Roman" w:eastAsia="Times New Roman"/>
                <w:sz w:val="21"/>
              </w:rPr>
              <w:t>(</w:t>
            </w:r>
            <w:r>
              <w:rPr>
                <w:spacing w:val="-2"/>
                <w:sz w:val="21"/>
              </w:rPr>
              <w:t>铁碳</w:t>
            </w:r>
            <w:r>
              <w:rPr>
                <w:rFonts w:ascii="Times New Roman" w:eastAsia="Times New Roman"/>
                <w:sz w:val="21"/>
              </w:rPr>
              <w:t>+</w:t>
            </w:r>
            <w:r>
              <w:rPr>
                <w:spacing w:val="-2"/>
                <w:sz w:val="21"/>
              </w:rPr>
              <w:t>芬顿氧化</w:t>
            </w:r>
            <w:r>
              <w:rPr>
                <w:rFonts w:ascii="Times New Roman" w:eastAsia="Times New Roman"/>
                <w:spacing w:val="-2"/>
                <w:sz w:val="21"/>
              </w:rPr>
              <w:t>+</w:t>
            </w:r>
            <w:r>
              <w:rPr>
                <w:spacing w:val="-2"/>
                <w:sz w:val="21"/>
              </w:rPr>
              <w:t>混凝沉淀</w:t>
            </w:r>
            <w:r>
              <w:rPr>
                <w:rFonts w:ascii="Times New Roman" w:eastAsia="Times New Roman"/>
                <w:sz w:val="21"/>
              </w:rPr>
              <w:t>)</w:t>
            </w:r>
            <w:r>
              <w:rPr>
                <w:sz w:val="21"/>
              </w:rPr>
              <w:t>预</w:t>
            </w:r>
            <w:r>
              <w:rPr>
                <w:spacing w:val="-5"/>
                <w:sz w:val="21"/>
              </w:rPr>
              <w:t>处理后进入集中</w:t>
            </w:r>
          </w:p>
          <w:p>
            <w:pPr>
              <w:pStyle w:val="TableParagraph"/>
              <w:spacing w:line="255" w:lineRule="exact" w:before="2"/>
              <w:ind w:left="170"/>
              <w:jc w:val="left"/>
              <w:rPr>
                <w:sz w:val="21"/>
              </w:rPr>
            </w:pPr>
            <w:r>
              <w:rPr>
                <w:spacing w:val="-3"/>
                <w:sz w:val="21"/>
              </w:rPr>
              <w:t>生化处理设施</w:t>
            </w:r>
          </w:p>
        </w:tc>
        <w:tc>
          <w:tcPr>
            <w:tcW w:w="676" w:type="dxa"/>
          </w:tcPr>
          <w:p>
            <w:pPr>
              <w:pStyle w:val="TableParagraph"/>
              <w:spacing w:before="151"/>
              <w:ind w:right="13"/>
              <w:rPr>
                <w:rFonts w:ascii="Times New Roman"/>
                <w:sz w:val="21"/>
              </w:rPr>
            </w:pPr>
            <w:r>
              <w:rPr>
                <w:rFonts w:ascii="Times New Roman"/>
                <w:w w:val="100"/>
                <w:sz w:val="21"/>
              </w:rPr>
              <w:t>5</w:t>
            </w:r>
          </w:p>
        </w:tc>
        <w:tc>
          <w:tcPr>
            <w:tcW w:w="917" w:type="dxa"/>
          </w:tcPr>
          <w:p>
            <w:pPr>
              <w:pStyle w:val="TableParagraph"/>
              <w:spacing w:before="151"/>
              <w:ind w:left="165" w:right="177"/>
              <w:rPr>
                <w:rFonts w:ascii="Times New Roman"/>
                <w:sz w:val="21"/>
              </w:rPr>
            </w:pPr>
            <w:r>
              <w:rPr>
                <w:rFonts w:ascii="Times New Roman"/>
                <w:sz w:val="21"/>
              </w:rPr>
              <w:t>1500</w:t>
            </w:r>
          </w:p>
        </w:tc>
        <w:tc>
          <w:tcPr>
            <w:tcW w:w="763" w:type="dxa"/>
          </w:tcPr>
          <w:p>
            <w:pPr>
              <w:pStyle w:val="TableParagraph"/>
              <w:spacing w:before="151"/>
              <w:ind w:right="24"/>
              <w:rPr>
                <w:rFonts w:ascii="Times New Roman"/>
                <w:sz w:val="21"/>
              </w:rPr>
            </w:pPr>
            <w:r>
              <w:rPr>
                <w:rFonts w:ascii="Times New Roman"/>
                <w:w w:val="100"/>
                <w:sz w:val="21"/>
              </w:rPr>
              <w:t>/</w:t>
            </w:r>
          </w:p>
        </w:tc>
        <w:tc>
          <w:tcPr>
            <w:tcW w:w="554" w:type="dxa"/>
          </w:tcPr>
          <w:p>
            <w:pPr>
              <w:pStyle w:val="TableParagraph"/>
              <w:spacing w:before="151"/>
              <w:ind w:right="21"/>
              <w:rPr>
                <w:rFonts w:ascii="Times New Roman"/>
                <w:sz w:val="21"/>
              </w:rPr>
            </w:pPr>
            <w:r>
              <w:rPr>
                <w:rFonts w:ascii="Times New Roman"/>
                <w:w w:val="100"/>
                <w:sz w:val="21"/>
              </w:rPr>
              <w:t>/</w:t>
            </w:r>
          </w:p>
        </w:tc>
        <w:tc>
          <w:tcPr>
            <w:tcW w:w="657" w:type="dxa"/>
          </w:tcPr>
          <w:p>
            <w:pPr>
              <w:pStyle w:val="TableParagraph"/>
              <w:spacing w:before="151"/>
              <w:ind w:right="27"/>
              <w:rPr>
                <w:rFonts w:ascii="Times New Roman"/>
                <w:sz w:val="21"/>
              </w:rPr>
            </w:pPr>
            <w:r>
              <w:rPr>
                <w:rFonts w:ascii="Times New Roman"/>
                <w:w w:val="100"/>
                <w:sz w:val="21"/>
              </w:rPr>
              <w:t>/</w:t>
            </w:r>
          </w:p>
        </w:tc>
        <w:tc>
          <w:tcPr>
            <w:tcW w:w="659" w:type="dxa"/>
          </w:tcPr>
          <w:p>
            <w:pPr>
              <w:pStyle w:val="TableParagraph"/>
              <w:spacing w:before="151"/>
              <w:ind w:right="33"/>
              <w:rPr>
                <w:rFonts w:ascii="Times New Roman"/>
                <w:sz w:val="21"/>
              </w:rPr>
            </w:pPr>
            <w:r>
              <w:rPr>
                <w:rFonts w:ascii="Times New Roman"/>
                <w:w w:val="100"/>
                <w:sz w:val="21"/>
              </w:rPr>
              <w:t>/</w:t>
            </w:r>
          </w:p>
        </w:tc>
      </w:tr>
      <w:tr>
        <w:trPr>
          <w:trHeight w:val="815" w:hRule="atLeast"/>
        </w:trPr>
        <w:tc>
          <w:tcPr>
            <w:tcW w:w="641" w:type="dxa"/>
          </w:tcPr>
          <w:p>
            <w:pPr>
              <w:pStyle w:val="TableParagraph"/>
              <w:spacing w:line="242" w:lineRule="auto" w:before="1"/>
              <w:ind w:left="4" w:right="-15"/>
              <w:rPr>
                <w:sz w:val="21"/>
              </w:rPr>
            </w:pPr>
            <w:r>
              <w:rPr>
                <w:spacing w:val="-4"/>
                <w:sz w:val="21"/>
              </w:rPr>
              <w:t>三环唑可湿性</w:t>
            </w:r>
          </w:p>
          <w:p>
            <w:pPr>
              <w:pStyle w:val="TableParagraph"/>
              <w:spacing w:line="250" w:lineRule="exact" w:before="1"/>
              <w:ind w:left="91" w:right="80"/>
              <w:rPr>
                <w:sz w:val="21"/>
              </w:rPr>
            </w:pPr>
            <w:r>
              <w:rPr>
                <w:sz w:val="21"/>
              </w:rPr>
              <w:t>粉剂</w:t>
            </w:r>
          </w:p>
        </w:tc>
        <w:tc>
          <w:tcPr>
            <w:tcW w:w="535" w:type="dxa"/>
          </w:tcPr>
          <w:p>
            <w:pPr>
              <w:pStyle w:val="TableParagraph"/>
              <w:spacing w:before="4"/>
              <w:jc w:val="left"/>
              <w:rPr>
                <w:b/>
                <w:sz w:val="22"/>
              </w:rPr>
            </w:pPr>
          </w:p>
          <w:p>
            <w:pPr>
              <w:pStyle w:val="TableParagraph"/>
              <w:ind w:left="8"/>
              <w:rPr>
                <w:rFonts w:ascii="Times New Roman"/>
                <w:sz w:val="21"/>
              </w:rPr>
            </w:pPr>
            <w:r>
              <w:rPr>
                <w:rFonts w:ascii="Times New Roman"/>
                <w:w w:val="100"/>
                <w:sz w:val="21"/>
              </w:rPr>
              <w:t>/</w:t>
            </w:r>
          </w:p>
        </w:tc>
        <w:tc>
          <w:tcPr>
            <w:tcW w:w="1061" w:type="dxa"/>
          </w:tcPr>
          <w:p>
            <w:pPr>
              <w:pStyle w:val="TableParagraph"/>
              <w:spacing w:line="244" w:lineRule="auto" w:before="135"/>
              <w:ind w:left="425" w:right="-15" w:hanging="420"/>
              <w:jc w:val="left"/>
              <w:rPr>
                <w:sz w:val="21"/>
              </w:rPr>
            </w:pPr>
            <w:r>
              <w:rPr>
                <w:spacing w:val="-4"/>
                <w:sz w:val="21"/>
              </w:rPr>
              <w:t>设备清洗废</w:t>
            </w:r>
            <w:r>
              <w:rPr>
                <w:sz w:val="21"/>
              </w:rPr>
              <w:t>水</w:t>
            </w:r>
          </w:p>
        </w:tc>
        <w:tc>
          <w:tcPr>
            <w:tcW w:w="447" w:type="dxa"/>
            <w:tcBorders>
              <w:top w:val="single" w:sz="2" w:space="0" w:color="000000"/>
            </w:tcBorders>
          </w:tcPr>
          <w:p>
            <w:pPr>
              <w:pStyle w:val="TableParagraph"/>
              <w:spacing w:line="244" w:lineRule="auto" w:before="135"/>
              <w:ind w:left="11"/>
              <w:jc w:val="left"/>
              <w:rPr>
                <w:sz w:val="21"/>
              </w:rPr>
            </w:pPr>
            <w:r>
              <w:rPr>
                <w:sz w:val="21"/>
              </w:rPr>
              <w:t>类比调查</w:t>
            </w:r>
          </w:p>
        </w:tc>
        <w:tc>
          <w:tcPr>
            <w:tcW w:w="675" w:type="dxa"/>
          </w:tcPr>
          <w:p>
            <w:pPr>
              <w:pStyle w:val="TableParagraph"/>
              <w:spacing w:before="4"/>
              <w:jc w:val="left"/>
              <w:rPr>
                <w:b/>
                <w:sz w:val="22"/>
              </w:rPr>
            </w:pPr>
          </w:p>
          <w:p>
            <w:pPr>
              <w:pStyle w:val="TableParagraph"/>
              <w:ind w:left="5"/>
              <w:rPr>
                <w:rFonts w:ascii="Times New Roman"/>
                <w:sz w:val="21"/>
              </w:rPr>
            </w:pPr>
            <w:r>
              <w:rPr>
                <w:rFonts w:ascii="Times New Roman"/>
                <w:w w:val="100"/>
                <w:sz w:val="21"/>
              </w:rPr>
              <w:t>6</w:t>
            </w:r>
          </w:p>
        </w:tc>
        <w:tc>
          <w:tcPr>
            <w:tcW w:w="916" w:type="dxa"/>
          </w:tcPr>
          <w:p>
            <w:pPr>
              <w:pStyle w:val="TableParagraph"/>
              <w:spacing w:before="4"/>
              <w:jc w:val="left"/>
              <w:rPr>
                <w:b/>
                <w:sz w:val="22"/>
              </w:rPr>
            </w:pPr>
          </w:p>
          <w:p>
            <w:pPr>
              <w:pStyle w:val="TableParagraph"/>
              <w:ind w:left="174" w:right="166"/>
              <w:rPr>
                <w:rFonts w:ascii="Times New Roman"/>
                <w:sz w:val="21"/>
              </w:rPr>
            </w:pPr>
            <w:r>
              <w:rPr>
                <w:rFonts w:ascii="Times New Roman"/>
                <w:sz w:val="21"/>
              </w:rPr>
              <w:t>1800</w:t>
            </w:r>
          </w:p>
        </w:tc>
        <w:tc>
          <w:tcPr>
            <w:tcW w:w="762" w:type="dxa"/>
          </w:tcPr>
          <w:p>
            <w:pPr>
              <w:pStyle w:val="TableParagraph"/>
              <w:spacing w:before="4"/>
              <w:jc w:val="left"/>
              <w:rPr>
                <w:b/>
                <w:sz w:val="22"/>
              </w:rPr>
            </w:pPr>
          </w:p>
          <w:p>
            <w:pPr>
              <w:pStyle w:val="TableParagraph"/>
              <w:ind w:left="218"/>
              <w:jc w:val="left"/>
              <w:rPr>
                <w:rFonts w:ascii="Times New Roman"/>
                <w:sz w:val="21"/>
              </w:rPr>
            </w:pPr>
            <w:r>
              <w:rPr>
                <w:rFonts w:ascii="Times New Roman"/>
                <w:sz w:val="21"/>
              </w:rPr>
              <w:t>500</w:t>
            </w:r>
          </w:p>
        </w:tc>
        <w:tc>
          <w:tcPr>
            <w:tcW w:w="452" w:type="dxa"/>
          </w:tcPr>
          <w:p>
            <w:pPr>
              <w:pStyle w:val="TableParagraph"/>
              <w:spacing w:before="4"/>
              <w:jc w:val="left"/>
              <w:rPr>
                <w:b/>
                <w:sz w:val="22"/>
              </w:rPr>
            </w:pPr>
          </w:p>
          <w:p>
            <w:pPr>
              <w:pStyle w:val="TableParagraph"/>
              <w:ind w:left="2"/>
              <w:rPr>
                <w:rFonts w:ascii="Times New Roman"/>
                <w:sz w:val="21"/>
              </w:rPr>
            </w:pPr>
            <w:r>
              <w:rPr>
                <w:rFonts w:ascii="Times New Roman"/>
                <w:w w:val="100"/>
                <w:sz w:val="21"/>
              </w:rPr>
              <w:t>5</w:t>
            </w:r>
          </w:p>
        </w:tc>
        <w:tc>
          <w:tcPr>
            <w:tcW w:w="498" w:type="dxa"/>
          </w:tcPr>
          <w:p>
            <w:pPr>
              <w:pStyle w:val="TableParagraph"/>
              <w:spacing w:before="4"/>
              <w:jc w:val="left"/>
              <w:rPr>
                <w:b/>
                <w:sz w:val="22"/>
              </w:rPr>
            </w:pPr>
          </w:p>
          <w:p>
            <w:pPr>
              <w:pStyle w:val="TableParagraph"/>
              <w:ind w:left="64" w:right="65"/>
              <w:rPr>
                <w:rFonts w:ascii="Times New Roman"/>
                <w:sz w:val="21"/>
              </w:rPr>
            </w:pPr>
            <w:r>
              <w:rPr>
                <w:rFonts w:ascii="Times New Roman"/>
                <w:sz w:val="21"/>
              </w:rPr>
              <w:t>10</w:t>
            </w:r>
          </w:p>
        </w:tc>
        <w:tc>
          <w:tcPr>
            <w:tcW w:w="496" w:type="dxa"/>
          </w:tcPr>
          <w:p>
            <w:pPr>
              <w:pStyle w:val="TableParagraph"/>
              <w:spacing w:before="4"/>
              <w:jc w:val="left"/>
              <w:rPr>
                <w:b/>
                <w:sz w:val="22"/>
              </w:rPr>
            </w:pPr>
          </w:p>
          <w:p>
            <w:pPr>
              <w:pStyle w:val="TableParagraph"/>
              <w:ind w:right="5"/>
              <w:rPr>
                <w:rFonts w:ascii="Times New Roman"/>
                <w:sz w:val="21"/>
              </w:rPr>
            </w:pPr>
            <w:r>
              <w:rPr>
                <w:rFonts w:ascii="Times New Roman"/>
                <w:sz w:val="21"/>
              </w:rPr>
              <w:t>10</w:t>
            </w:r>
          </w:p>
        </w:tc>
        <w:tc>
          <w:tcPr>
            <w:tcW w:w="1704" w:type="dxa"/>
          </w:tcPr>
          <w:p>
            <w:pPr>
              <w:pStyle w:val="TableParagraph"/>
              <w:spacing w:line="244" w:lineRule="auto" w:before="135"/>
              <w:ind w:left="316" w:right="18" w:hanging="303"/>
              <w:jc w:val="left"/>
              <w:rPr>
                <w:sz w:val="21"/>
              </w:rPr>
            </w:pPr>
            <w:r>
              <w:rPr>
                <w:rFonts w:ascii="Times New Roman" w:eastAsia="Times New Roman"/>
                <w:sz w:val="21"/>
              </w:rPr>
              <w:t>CODcr</w:t>
            </w:r>
            <w:r>
              <w:rPr>
                <w:sz w:val="21"/>
              </w:rPr>
              <w:t>、总氮、氨氮、三环唑</w:t>
            </w:r>
          </w:p>
        </w:tc>
        <w:tc>
          <w:tcPr>
            <w:tcW w:w="1624" w:type="dxa"/>
            <w:vMerge/>
            <w:tcBorders>
              <w:top w:val="nil"/>
            </w:tcBorders>
          </w:tcPr>
          <w:p>
            <w:pPr>
              <w:rPr>
                <w:sz w:val="2"/>
                <w:szCs w:val="2"/>
              </w:rPr>
            </w:pPr>
          </w:p>
        </w:tc>
        <w:tc>
          <w:tcPr>
            <w:tcW w:w="676" w:type="dxa"/>
          </w:tcPr>
          <w:p>
            <w:pPr>
              <w:pStyle w:val="TableParagraph"/>
              <w:spacing w:before="4"/>
              <w:jc w:val="left"/>
              <w:rPr>
                <w:b/>
                <w:sz w:val="22"/>
              </w:rPr>
            </w:pPr>
          </w:p>
          <w:p>
            <w:pPr>
              <w:pStyle w:val="TableParagraph"/>
              <w:ind w:right="13"/>
              <w:rPr>
                <w:rFonts w:ascii="Times New Roman"/>
                <w:sz w:val="21"/>
              </w:rPr>
            </w:pPr>
            <w:r>
              <w:rPr>
                <w:rFonts w:ascii="Times New Roman"/>
                <w:w w:val="100"/>
                <w:sz w:val="21"/>
              </w:rPr>
              <w:t>6</w:t>
            </w:r>
          </w:p>
        </w:tc>
        <w:tc>
          <w:tcPr>
            <w:tcW w:w="917" w:type="dxa"/>
          </w:tcPr>
          <w:p>
            <w:pPr>
              <w:pStyle w:val="TableParagraph"/>
              <w:spacing w:before="4"/>
              <w:jc w:val="left"/>
              <w:rPr>
                <w:b/>
                <w:sz w:val="22"/>
              </w:rPr>
            </w:pPr>
          </w:p>
          <w:p>
            <w:pPr>
              <w:pStyle w:val="TableParagraph"/>
              <w:ind w:left="165" w:right="177"/>
              <w:rPr>
                <w:rFonts w:ascii="Times New Roman"/>
                <w:sz w:val="21"/>
              </w:rPr>
            </w:pPr>
            <w:r>
              <w:rPr>
                <w:rFonts w:ascii="Times New Roman"/>
                <w:sz w:val="21"/>
              </w:rPr>
              <w:t>1800</w:t>
            </w:r>
          </w:p>
        </w:tc>
        <w:tc>
          <w:tcPr>
            <w:tcW w:w="763" w:type="dxa"/>
          </w:tcPr>
          <w:p>
            <w:pPr>
              <w:pStyle w:val="TableParagraph"/>
              <w:spacing w:before="4"/>
              <w:jc w:val="left"/>
              <w:rPr>
                <w:b/>
                <w:sz w:val="22"/>
              </w:rPr>
            </w:pPr>
          </w:p>
          <w:p>
            <w:pPr>
              <w:pStyle w:val="TableParagraph"/>
              <w:ind w:right="24"/>
              <w:rPr>
                <w:rFonts w:ascii="Times New Roman"/>
                <w:sz w:val="21"/>
              </w:rPr>
            </w:pPr>
            <w:r>
              <w:rPr>
                <w:rFonts w:ascii="Times New Roman"/>
                <w:w w:val="100"/>
                <w:sz w:val="21"/>
              </w:rPr>
              <w:t>/</w:t>
            </w:r>
          </w:p>
        </w:tc>
        <w:tc>
          <w:tcPr>
            <w:tcW w:w="554" w:type="dxa"/>
          </w:tcPr>
          <w:p>
            <w:pPr>
              <w:pStyle w:val="TableParagraph"/>
              <w:spacing w:before="4"/>
              <w:jc w:val="left"/>
              <w:rPr>
                <w:b/>
                <w:sz w:val="22"/>
              </w:rPr>
            </w:pPr>
          </w:p>
          <w:p>
            <w:pPr>
              <w:pStyle w:val="TableParagraph"/>
              <w:ind w:right="21"/>
              <w:rPr>
                <w:rFonts w:ascii="Times New Roman"/>
                <w:sz w:val="21"/>
              </w:rPr>
            </w:pPr>
            <w:r>
              <w:rPr>
                <w:rFonts w:ascii="Times New Roman"/>
                <w:w w:val="100"/>
                <w:sz w:val="21"/>
              </w:rPr>
              <w:t>/</w:t>
            </w:r>
          </w:p>
        </w:tc>
        <w:tc>
          <w:tcPr>
            <w:tcW w:w="657" w:type="dxa"/>
          </w:tcPr>
          <w:p>
            <w:pPr>
              <w:pStyle w:val="TableParagraph"/>
              <w:spacing w:before="4"/>
              <w:jc w:val="left"/>
              <w:rPr>
                <w:b/>
                <w:sz w:val="22"/>
              </w:rPr>
            </w:pPr>
          </w:p>
          <w:p>
            <w:pPr>
              <w:pStyle w:val="TableParagraph"/>
              <w:ind w:right="27"/>
              <w:rPr>
                <w:rFonts w:ascii="Times New Roman"/>
                <w:sz w:val="21"/>
              </w:rPr>
            </w:pPr>
            <w:r>
              <w:rPr>
                <w:rFonts w:ascii="Times New Roman"/>
                <w:w w:val="100"/>
                <w:sz w:val="21"/>
              </w:rPr>
              <w:t>/</w:t>
            </w:r>
          </w:p>
        </w:tc>
        <w:tc>
          <w:tcPr>
            <w:tcW w:w="659" w:type="dxa"/>
          </w:tcPr>
          <w:p>
            <w:pPr>
              <w:pStyle w:val="TableParagraph"/>
              <w:spacing w:before="4"/>
              <w:jc w:val="left"/>
              <w:rPr>
                <w:b/>
                <w:sz w:val="22"/>
              </w:rPr>
            </w:pPr>
          </w:p>
          <w:p>
            <w:pPr>
              <w:pStyle w:val="TableParagraph"/>
              <w:ind w:right="33"/>
              <w:rPr>
                <w:rFonts w:ascii="Times New Roman"/>
                <w:sz w:val="21"/>
              </w:rPr>
            </w:pPr>
            <w:r>
              <w:rPr>
                <w:rFonts w:ascii="Times New Roman"/>
                <w:w w:val="100"/>
                <w:sz w:val="21"/>
              </w:rPr>
              <w:t>/</w:t>
            </w:r>
          </w:p>
        </w:tc>
      </w:tr>
      <w:tr>
        <w:trPr>
          <w:trHeight w:val="273" w:hRule="atLeast"/>
        </w:trPr>
        <w:tc>
          <w:tcPr>
            <w:tcW w:w="641" w:type="dxa"/>
            <w:vMerge w:val="restart"/>
          </w:tcPr>
          <w:p>
            <w:pPr>
              <w:pStyle w:val="TableParagraph"/>
              <w:spacing w:before="2"/>
              <w:jc w:val="left"/>
              <w:rPr>
                <w:b/>
                <w:sz w:val="22"/>
              </w:rPr>
            </w:pPr>
          </w:p>
          <w:p>
            <w:pPr>
              <w:pStyle w:val="TableParagraph"/>
              <w:spacing w:line="242" w:lineRule="auto"/>
              <w:ind w:left="213" w:right="-15" w:hanging="209"/>
              <w:jc w:val="left"/>
              <w:rPr>
                <w:sz w:val="21"/>
              </w:rPr>
            </w:pPr>
            <w:r>
              <w:rPr>
                <w:spacing w:val="-4"/>
                <w:sz w:val="21"/>
              </w:rPr>
              <w:t>公用工</w:t>
            </w:r>
            <w:r>
              <w:rPr>
                <w:sz w:val="21"/>
              </w:rPr>
              <w:t>程</w:t>
            </w:r>
          </w:p>
        </w:tc>
        <w:tc>
          <w:tcPr>
            <w:tcW w:w="535" w:type="dxa"/>
          </w:tcPr>
          <w:p>
            <w:pPr>
              <w:pStyle w:val="TableParagraph"/>
              <w:spacing w:line="238" w:lineRule="exact" w:before="15"/>
              <w:ind w:left="8"/>
              <w:rPr>
                <w:rFonts w:ascii="Times New Roman"/>
                <w:sz w:val="21"/>
              </w:rPr>
            </w:pPr>
            <w:r>
              <w:rPr>
                <w:rFonts w:ascii="Times New Roman"/>
                <w:w w:val="100"/>
                <w:sz w:val="21"/>
              </w:rPr>
              <w:t>/</w:t>
            </w:r>
          </w:p>
        </w:tc>
        <w:tc>
          <w:tcPr>
            <w:tcW w:w="1061" w:type="dxa"/>
          </w:tcPr>
          <w:p>
            <w:pPr>
              <w:pStyle w:val="TableParagraph"/>
              <w:spacing w:line="252" w:lineRule="exact" w:before="1"/>
              <w:ind w:left="91" w:right="79"/>
              <w:rPr>
                <w:sz w:val="21"/>
              </w:rPr>
            </w:pPr>
            <w:r>
              <w:rPr>
                <w:sz w:val="21"/>
              </w:rPr>
              <w:t>生活污水</w:t>
            </w:r>
          </w:p>
        </w:tc>
        <w:tc>
          <w:tcPr>
            <w:tcW w:w="447" w:type="dxa"/>
            <w:vMerge w:val="restart"/>
          </w:tcPr>
          <w:p>
            <w:pPr>
              <w:pStyle w:val="TableParagraph"/>
              <w:spacing w:before="2"/>
              <w:jc w:val="left"/>
              <w:rPr>
                <w:b/>
                <w:sz w:val="22"/>
              </w:rPr>
            </w:pPr>
          </w:p>
          <w:p>
            <w:pPr>
              <w:pStyle w:val="TableParagraph"/>
              <w:spacing w:line="242" w:lineRule="auto"/>
              <w:ind w:left="11"/>
              <w:jc w:val="left"/>
              <w:rPr>
                <w:sz w:val="21"/>
              </w:rPr>
            </w:pPr>
            <w:r>
              <w:rPr>
                <w:sz w:val="21"/>
              </w:rPr>
              <w:t>类比调查</w:t>
            </w:r>
          </w:p>
        </w:tc>
        <w:tc>
          <w:tcPr>
            <w:tcW w:w="675" w:type="dxa"/>
          </w:tcPr>
          <w:p>
            <w:pPr>
              <w:pStyle w:val="TableParagraph"/>
              <w:spacing w:line="238" w:lineRule="exact" w:before="15"/>
              <w:ind w:left="78" w:right="73"/>
              <w:rPr>
                <w:rFonts w:ascii="Times New Roman"/>
                <w:sz w:val="21"/>
              </w:rPr>
            </w:pPr>
            <w:r>
              <w:rPr>
                <w:rFonts w:ascii="Times New Roman"/>
                <w:sz w:val="21"/>
              </w:rPr>
              <w:t>4.5</w:t>
            </w:r>
          </w:p>
        </w:tc>
        <w:tc>
          <w:tcPr>
            <w:tcW w:w="916" w:type="dxa"/>
          </w:tcPr>
          <w:p>
            <w:pPr>
              <w:pStyle w:val="TableParagraph"/>
              <w:spacing w:line="238" w:lineRule="exact" w:before="15"/>
              <w:ind w:left="174" w:right="166"/>
              <w:rPr>
                <w:rFonts w:ascii="Times New Roman"/>
                <w:sz w:val="21"/>
              </w:rPr>
            </w:pPr>
            <w:r>
              <w:rPr>
                <w:rFonts w:ascii="Times New Roman"/>
                <w:sz w:val="21"/>
              </w:rPr>
              <w:t>1350</w:t>
            </w:r>
          </w:p>
        </w:tc>
        <w:tc>
          <w:tcPr>
            <w:tcW w:w="762" w:type="dxa"/>
          </w:tcPr>
          <w:p>
            <w:pPr>
              <w:pStyle w:val="TableParagraph"/>
              <w:spacing w:line="238" w:lineRule="exact" w:before="15"/>
              <w:ind w:left="218"/>
              <w:jc w:val="left"/>
              <w:rPr>
                <w:rFonts w:ascii="Times New Roman"/>
                <w:sz w:val="21"/>
              </w:rPr>
            </w:pPr>
            <w:r>
              <w:rPr>
                <w:rFonts w:ascii="Times New Roman"/>
                <w:sz w:val="21"/>
              </w:rPr>
              <w:t>350</w:t>
            </w:r>
          </w:p>
        </w:tc>
        <w:tc>
          <w:tcPr>
            <w:tcW w:w="452" w:type="dxa"/>
          </w:tcPr>
          <w:p>
            <w:pPr>
              <w:pStyle w:val="TableParagraph"/>
              <w:spacing w:line="238" w:lineRule="exact" w:before="15"/>
              <w:ind w:left="2"/>
              <w:rPr>
                <w:rFonts w:ascii="Times New Roman"/>
                <w:sz w:val="21"/>
              </w:rPr>
            </w:pPr>
            <w:r>
              <w:rPr>
                <w:rFonts w:ascii="Times New Roman"/>
                <w:sz w:val="21"/>
              </w:rPr>
              <w:t>35</w:t>
            </w:r>
          </w:p>
        </w:tc>
        <w:tc>
          <w:tcPr>
            <w:tcW w:w="498" w:type="dxa"/>
          </w:tcPr>
          <w:p>
            <w:pPr>
              <w:pStyle w:val="TableParagraph"/>
              <w:jc w:val="left"/>
              <w:rPr>
                <w:rFonts w:ascii="Times New Roman"/>
                <w:sz w:val="20"/>
              </w:rPr>
            </w:pPr>
          </w:p>
        </w:tc>
        <w:tc>
          <w:tcPr>
            <w:tcW w:w="496" w:type="dxa"/>
          </w:tcPr>
          <w:p>
            <w:pPr>
              <w:pStyle w:val="TableParagraph"/>
              <w:jc w:val="left"/>
              <w:rPr>
                <w:rFonts w:ascii="Times New Roman"/>
                <w:sz w:val="20"/>
              </w:rPr>
            </w:pPr>
          </w:p>
        </w:tc>
        <w:tc>
          <w:tcPr>
            <w:tcW w:w="1704" w:type="dxa"/>
          </w:tcPr>
          <w:p>
            <w:pPr>
              <w:pStyle w:val="TableParagraph"/>
              <w:spacing w:line="252" w:lineRule="exact" w:before="1"/>
              <w:ind w:right="1"/>
              <w:rPr>
                <w:sz w:val="21"/>
              </w:rPr>
            </w:pPr>
            <w:r>
              <w:rPr>
                <w:rFonts w:ascii="Times New Roman" w:eastAsia="Times New Roman"/>
                <w:sz w:val="21"/>
              </w:rPr>
              <w:t>CODcr</w:t>
            </w:r>
            <w:r>
              <w:rPr>
                <w:sz w:val="21"/>
              </w:rPr>
              <w:t>、氨氮</w:t>
            </w:r>
          </w:p>
        </w:tc>
        <w:tc>
          <w:tcPr>
            <w:tcW w:w="1624" w:type="dxa"/>
            <w:vMerge w:val="restart"/>
          </w:tcPr>
          <w:p>
            <w:pPr>
              <w:pStyle w:val="TableParagraph"/>
              <w:spacing w:before="2"/>
              <w:jc w:val="left"/>
              <w:rPr>
                <w:b/>
                <w:sz w:val="22"/>
              </w:rPr>
            </w:pPr>
          </w:p>
          <w:p>
            <w:pPr>
              <w:pStyle w:val="TableParagraph"/>
              <w:spacing w:line="242" w:lineRule="auto"/>
              <w:ind w:left="276" w:right="72" w:hanging="212"/>
              <w:jc w:val="left"/>
              <w:rPr>
                <w:sz w:val="21"/>
              </w:rPr>
            </w:pPr>
            <w:r>
              <w:rPr>
                <w:sz w:val="21"/>
              </w:rPr>
              <w:t>直接进入集中生化处理设施</w:t>
            </w:r>
          </w:p>
        </w:tc>
        <w:tc>
          <w:tcPr>
            <w:tcW w:w="676" w:type="dxa"/>
          </w:tcPr>
          <w:p>
            <w:pPr>
              <w:pStyle w:val="TableParagraph"/>
              <w:spacing w:line="238" w:lineRule="exact" w:before="15"/>
              <w:ind w:right="206"/>
              <w:jc w:val="right"/>
              <w:rPr>
                <w:rFonts w:ascii="Times New Roman"/>
                <w:sz w:val="21"/>
              </w:rPr>
            </w:pPr>
            <w:r>
              <w:rPr>
                <w:rFonts w:ascii="Times New Roman"/>
                <w:sz w:val="21"/>
              </w:rPr>
              <w:t>4.5</w:t>
            </w:r>
          </w:p>
        </w:tc>
        <w:tc>
          <w:tcPr>
            <w:tcW w:w="917" w:type="dxa"/>
          </w:tcPr>
          <w:p>
            <w:pPr>
              <w:pStyle w:val="TableParagraph"/>
              <w:spacing w:line="238" w:lineRule="exact" w:before="15"/>
              <w:ind w:left="165" w:right="177"/>
              <w:rPr>
                <w:rFonts w:ascii="Times New Roman"/>
                <w:sz w:val="21"/>
              </w:rPr>
            </w:pPr>
            <w:r>
              <w:rPr>
                <w:rFonts w:ascii="Times New Roman"/>
                <w:sz w:val="21"/>
              </w:rPr>
              <w:t>1350</w:t>
            </w:r>
          </w:p>
        </w:tc>
        <w:tc>
          <w:tcPr>
            <w:tcW w:w="763" w:type="dxa"/>
          </w:tcPr>
          <w:p>
            <w:pPr>
              <w:pStyle w:val="TableParagraph"/>
              <w:spacing w:line="238" w:lineRule="exact" w:before="15"/>
              <w:ind w:right="24"/>
              <w:rPr>
                <w:rFonts w:ascii="Times New Roman"/>
                <w:sz w:val="21"/>
              </w:rPr>
            </w:pPr>
            <w:r>
              <w:rPr>
                <w:rFonts w:ascii="Times New Roman"/>
                <w:w w:val="100"/>
                <w:sz w:val="21"/>
              </w:rPr>
              <w:t>/</w:t>
            </w:r>
          </w:p>
        </w:tc>
        <w:tc>
          <w:tcPr>
            <w:tcW w:w="554" w:type="dxa"/>
          </w:tcPr>
          <w:p>
            <w:pPr>
              <w:pStyle w:val="TableParagraph"/>
              <w:spacing w:line="238" w:lineRule="exact" w:before="15"/>
              <w:ind w:right="21"/>
              <w:rPr>
                <w:rFonts w:ascii="Times New Roman"/>
                <w:sz w:val="21"/>
              </w:rPr>
            </w:pPr>
            <w:r>
              <w:rPr>
                <w:rFonts w:ascii="Times New Roman"/>
                <w:w w:val="100"/>
                <w:sz w:val="21"/>
              </w:rPr>
              <w:t>/</w:t>
            </w:r>
          </w:p>
        </w:tc>
        <w:tc>
          <w:tcPr>
            <w:tcW w:w="657" w:type="dxa"/>
          </w:tcPr>
          <w:p>
            <w:pPr>
              <w:pStyle w:val="TableParagraph"/>
              <w:spacing w:line="238" w:lineRule="exact" w:before="15"/>
              <w:ind w:right="27"/>
              <w:rPr>
                <w:rFonts w:ascii="Times New Roman"/>
                <w:sz w:val="21"/>
              </w:rPr>
            </w:pPr>
            <w:r>
              <w:rPr>
                <w:rFonts w:ascii="Times New Roman"/>
                <w:w w:val="100"/>
                <w:sz w:val="21"/>
              </w:rPr>
              <w:t>/</w:t>
            </w:r>
          </w:p>
        </w:tc>
        <w:tc>
          <w:tcPr>
            <w:tcW w:w="659" w:type="dxa"/>
          </w:tcPr>
          <w:p>
            <w:pPr>
              <w:pStyle w:val="TableParagraph"/>
              <w:spacing w:line="238" w:lineRule="exact" w:before="15"/>
              <w:ind w:right="33"/>
              <w:rPr>
                <w:rFonts w:ascii="Times New Roman"/>
                <w:sz w:val="21"/>
              </w:rPr>
            </w:pPr>
            <w:r>
              <w:rPr>
                <w:rFonts w:ascii="Times New Roman"/>
                <w:w w:val="100"/>
                <w:sz w:val="21"/>
              </w:rPr>
              <w:t>/</w:t>
            </w:r>
          </w:p>
        </w:tc>
      </w:tr>
      <w:tr>
        <w:trPr>
          <w:trHeight w:val="270" w:hRule="atLeast"/>
        </w:trPr>
        <w:tc>
          <w:tcPr>
            <w:tcW w:w="641" w:type="dxa"/>
            <w:vMerge/>
            <w:tcBorders>
              <w:top w:val="nil"/>
            </w:tcBorders>
          </w:tcPr>
          <w:p>
            <w:pPr>
              <w:rPr>
                <w:sz w:val="2"/>
                <w:szCs w:val="2"/>
              </w:rPr>
            </w:pPr>
          </w:p>
        </w:tc>
        <w:tc>
          <w:tcPr>
            <w:tcW w:w="535" w:type="dxa"/>
          </w:tcPr>
          <w:p>
            <w:pPr>
              <w:pStyle w:val="TableParagraph"/>
              <w:spacing w:line="236" w:lineRule="exact" w:before="15"/>
              <w:ind w:left="8"/>
              <w:rPr>
                <w:rFonts w:ascii="Times New Roman"/>
                <w:sz w:val="21"/>
              </w:rPr>
            </w:pPr>
            <w:r>
              <w:rPr>
                <w:rFonts w:ascii="Times New Roman"/>
                <w:w w:val="100"/>
                <w:sz w:val="21"/>
              </w:rPr>
              <w:t>/</w:t>
            </w:r>
          </w:p>
        </w:tc>
        <w:tc>
          <w:tcPr>
            <w:tcW w:w="1061" w:type="dxa"/>
          </w:tcPr>
          <w:p>
            <w:pPr>
              <w:pStyle w:val="TableParagraph"/>
              <w:spacing w:line="250" w:lineRule="exact" w:before="1"/>
              <w:ind w:left="91" w:right="79"/>
              <w:rPr>
                <w:sz w:val="21"/>
              </w:rPr>
            </w:pPr>
            <w:r>
              <w:rPr>
                <w:sz w:val="21"/>
              </w:rPr>
              <w:t>初期雨水</w:t>
            </w:r>
          </w:p>
        </w:tc>
        <w:tc>
          <w:tcPr>
            <w:tcW w:w="447" w:type="dxa"/>
            <w:vMerge/>
            <w:tcBorders>
              <w:top w:val="nil"/>
            </w:tcBorders>
          </w:tcPr>
          <w:p>
            <w:pPr>
              <w:rPr>
                <w:sz w:val="2"/>
                <w:szCs w:val="2"/>
              </w:rPr>
            </w:pPr>
          </w:p>
        </w:tc>
        <w:tc>
          <w:tcPr>
            <w:tcW w:w="675" w:type="dxa"/>
          </w:tcPr>
          <w:p>
            <w:pPr>
              <w:pStyle w:val="TableParagraph"/>
              <w:spacing w:line="236" w:lineRule="exact" w:before="15"/>
              <w:ind w:left="78" w:right="73"/>
              <w:rPr>
                <w:rFonts w:ascii="Times New Roman"/>
                <w:sz w:val="21"/>
              </w:rPr>
            </w:pPr>
            <w:r>
              <w:rPr>
                <w:rFonts w:ascii="Times New Roman"/>
                <w:sz w:val="21"/>
              </w:rPr>
              <w:t>52.5</w:t>
            </w:r>
          </w:p>
        </w:tc>
        <w:tc>
          <w:tcPr>
            <w:tcW w:w="916" w:type="dxa"/>
          </w:tcPr>
          <w:p>
            <w:pPr>
              <w:pStyle w:val="TableParagraph"/>
              <w:spacing w:line="236" w:lineRule="exact" w:before="15"/>
              <w:ind w:left="174" w:right="166"/>
              <w:rPr>
                <w:rFonts w:ascii="Times New Roman"/>
                <w:sz w:val="21"/>
              </w:rPr>
            </w:pPr>
            <w:r>
              <w:rPr>
                <w:rFonts w:ascii="Times New Roman"/>
                <w:sz w:val="21"/>
              </w:rPr>
              <w:t>15759</w:t>
            </w:r>
          </w:p>
        </w:tc>
        <w:tc>
          <w:tcPr>
            <w:tcW w:w="762" w:type="dxa"/>
          </w:tcPr>
          <w:p>
            <w:pPr>
              <w:pStyle w:val="TableParagraph"/>
              <w:spacing w:line="236" w:lineRule="exact" w:before="15"/>
              <w:ind w:left="218"/>
              <w:jc w:val="left"/>
              <w:rPr>
                <w:rFonts w:ascii="Times New Roman"/>
                <w:sz w:val="21"/>
              </w:rPr>
            </w:pPr>
            <w:r>
              <w:rPr>
                <w:rFonts w:ascii="Times New Roman"/>
                <w:sz w:val="21"/>
              </w:rPr>
              <w:t>500</w:t>
            </w:r>
          </w:p>
        </w:tc>
        <w:tc>
          <w:tcPr>
            <w:tcW w:w="452" w:type="dxa"/>
          </w:tcPr>
          <w:p>
            <w:pPr>
              <w:pStyle w:val="TableParagraph"/>
              <w:jc w:val="left"/>
              <w:rPr>
                <w:rFonts w:ascii="Times New Roman"/>
                <w:sz w:val="20"/>
              </w:rPr>
            </w:pPr>
          </w:p>
        </w:tc>
        <w:tc>
          <w:tcPr>
            <w:tcW w:w="498" w:type="dxa"/>
          </w:tcPr>
          <w:p>
            <w:pPr>
              <w:pStyle w:val="TableParagraph"/>
              <w:jc w:val="left"/>
              <w:rPr>
                <w:rFonts w:ascii="Times New Roman"/>
                <w:sz w:val="20"/>
              </w:rPr>
            </w:pPr>
          </w:p>
        </w:tc>
        <w:tc>
          <w:tcPr>
            <w:tcW w:w="496" w:type="dxa"/>
          </w:tcPr>
          <w:p>
            <w:pPr>
              <w:pStyle w:val="TableParagraph"/>
              <w:jc w:val="left"/>
              <w:rPr>
                <w:rFonts w:ascii="Times New Roman"/>
                <w:sz w:val="20"/>
              </w:rPr>
            </w:pPr>
          </w:p>
        </w:tc>
        <w:tc>
          <w:tcPr>
            <w:tcW w:w="1704" w:type="dxa"/>
          </w:tcPr>
          <w:p>
            <w:pPr>
              <w:pStyle w:val="TableParagraph"/>
              <w:spacing w:line="236" w:lineRule="exact" w:before="15"/>
              <w:ind w:right="1"/>
              <w:rPr>
                <w:rFonts w:ascii="Times New Roman"/>
                <w:sz w:val="21"/>
              </w:rPr>
            </w:pPr>
            <w:r>
              <w:rPr>
                <w:rFonts w:ascii="Times New Roman"/>
                <w:sz w:val="21"/>
              </w:rPr>
              <w:t>CODcr</w:t>
            </w:r>
          </w:p>
        </w:tc>
        <w:tc>
          <w:tcPr>
            <w:tcW w:w="1624" w:type="dxa"/>
            <w:vMerge/>
            <w:tcBorders>
              <w:top w:val="nil"/>
            </w:tcBorders>
          </w:tcPr>
          <w:p>
            <w:pPr>
              <w:rPr>
                <w:sz w:val="2"/>
                <w:szCs w:val="2"/>
              </w:rPr>
            </w:pPr>
          </w:p>
        </w:tc>
        <w:tc>
          <w:tcPr>
            <w:tcW w:w="676" w:type="dxa"/>
          </w:tcPr>
          <w:p>
            <w:pPr>
              <w:pStyle w:val="TableParagraph"/>
              <w:spacing w:line="236" w:lineRule="exact" w:before="15"/>
              <w:ind w:right="153"/>
              <w:jc w:val="right"/>
              <w:rPr>
                <w:rFonts w:ascii="Times New Roman"/>
                <w:sz w:val="21"/>
              </w:rPr>
            </w:pPr>
            <w:r>
              <w:rPr>
                <w:rFonts w:ascii="Times New Roman"/>
                <w:sz w:val="21"/>
              </w:rPr>
              <w:t>52.5</w:t>
            </w:r>
          </w:p>
        </w:tc>
        <w:tc>
          <w:tcPr>
            <w:tcW w:w="917" w:type="dxa"/>
          </w:tcPr>
          <w:p>
            <w:pPr>
              <w:pStyle w:val="TableParagraph"/>
              <w:spacing w:line="236" w:lineRule="exact" w:before="15"/>
              <w:ind w:left="165" w:right="177"/>
              <w:rPr>
                <w:rFonts w:ascii="Times New Roman"/>
                <w:sz w:val="21"/>
              </w:rPr>
            </w:pPr>
            <w:r>
              <w:rPr>
                <w:rFonts w:ascii="Times New Roman"/>
                <w:sz w:val="21"/>
              </w:rPr>
              <w:t>15759</w:t>
            </w:r>
          </w:p>
        </w:tc>
        <w:tc>
          <w:tcPr>
            <w:tcW w:w="763" w:type="dxa"/>
          </w:tcPr>
          <w:p>
            <w:pPr>
              <w:pStyle w:val="TableParagraph"/>
              <w:spacing w:line="236" w:lineRule="exact" w:before="15"/>
              <w:ind w:right="24"/>
              <w:rPr>
                <w:rFonts w:ascii="Times New Roman"/>
                <w:sz w:val="21"/>
              </w:rPr>
            </w:pPr>
            <w:r>
              <w:rPr>
                <w:rFonts w:ascii="Times New Roman"/>
                <w:w w:val="100"/>
                <w:sz w:val="21"/>
              </w:rPr>
              <w:t>/</w:t>
            </w:r>
          </w:p>
        </w:tc>
        <w:tc>
          <w:tcPr>
            <w:tcW w:w="554" w:type="dxa"/>
          </w:tcPr>
          <w:p>
            <w:pPr>
              <w:pStyle w:val="TableParagraph"/>
              <w:spacing w:line="236" w:lineRule="exact" w:before="15"/>
              <w:ind w:right="21"/>
              <w:rPr>
                <w:rFonts w:ascii="Times New Roman"/>
                <w:sz w:val="21"/>
              </w:rPr>
            </w:pPr>
            <w:r>
              <w:rPr>
                <w:rFonts w:ascii="Times New Roman"/>
                <w:w w:val="100"/>
                <w:sz w:val="21"/>
              </w:rPr>
              <w:t>/</w:t>
            </w:r>
          </w:p>
        </w:tc>
        <w:tc>
          <w:tcPr>
            <w:tcW w:w="657" w:type="dxa"/>
          </w:tcPr>
          <w:p>
            <w:pPr>
              <w:pStyle w:val="TableParagraph"/>
              <w:spacing w:line="236" w:lineRule="exact" w:before="15"/>
              <w:ind w:right="27"/>
              <w:rPr>
                <w:rFonts w:ascii="Times New Roman"/>
                <w:sz w:val="21"/>
              </w:rPr>
            </w:pPr>
            <w:r>
              <w:rPr>
                <w:rFonts w:ascii="Times New Roman"/>
                <w:w w:val="100"/>
                <w:sz w:val="21"/>
              </w:rPr>
              <w:t>/</w:t>
            </w:r>
          </w:p>
        </w:tc>
        <w:tc>
          <w:tcPr>
            <w:tcW w:w="659" w:type="dxa"/>
          </w:tcPr>
          <w:p>
            <w:pPr>
              <w:pStyle w:val="TableParagraph"/>
              <w:spacing w:line="236" w:lineRule="exact" w:before="15"/>
              <w:ind w:right="33"/>
              <w:rPr>
                <w:rFonts w:ascii="Times New Roman"/>
                <w:sz w:val="21"/>
              </w:rPr>
            </w:pPr>
            <w:r>
              <w:rPr>
                <w:rFonts w:ascii="Times New Roman"/>
                <w:w w:val="100"/>
                <w:sz w:val="21"/>
              </w:rPr>
              <w:t>/</w:t>
            </w:r>
          </w:p>
        </w:tc>
      </w:tr>
      <w:tr>
        <w:trPr>
          <w:trHeight w:val="546" w:hRule="atLeast"/>
        </w:trPr>
        <w:tc>
          <w:tcPr>
            <w:tcW w:w="641" w:type="dxa"/>
            <w:vMerge/>
            <w:tcBorders>
              <w:top w:val="nil"/>
            </w:tcBorders>
          </w:tcPr>
          <w:p>
            <w:pPr>
              <w:rPr>
                <w:sz w:val="2"/>
                <w:szCs w:val="2"/>
              </w:rPr>
            </w:pPr>
          </w:p>
        </w:tc>
        <w:tc>
          <w:tcPr>
            <w:tcW w:w="535" w:type="dxa"/>
          </w:tcPr>
          <w:p>
            <w:pPr>
              <w:pStyle w:val="TableParagraph"/>
              <w:spacing w:before="151"/>
              <w:ind w:left="8"/>
              <w:rPr>
                <w:rFonts w:ascii="Times New Roman"/>
                <w:sz w:val="21"/>
              </w:rPr>
            </w:pPr>
            <w:r>
              <w:rPr>
                <w:rFonts w:ascii="Times New Roman"/>
                <w:w w:val="100"/>
                <w:sz w:val="21"/>
              </w:rPr>
              <w:t>/</w:t>
            </w:r>
          </w:p>
        </w:tc>
        <w:tc>
          <w:tcPr>
            <w:tcW w:w="1061" w:type="dxa"/>
          </w:tcPr>
          <w:p>
            <w:pPr>
              <w:pStyle w:val="TableParagraph"/>
              <w:spacing w:before="137"/>
              <w:ind w:left="91" w:right="79"/>
              <w:rPr>
                <w:sz w:val="21"/>
              </w:rPr>
            </w:pPr>
            <w:r>
              <w:rPr>
                <w:sz w:val="21"/>
              </w:rPr>
              <w:t>喷淋废水</w:t>
            </w:r>
          </w:p>
        </w:tc>
        <w:tc>
          <w:tcPr>
            <w:tcW w:w="447" w:type="dxa"/>
            <w:vMerge/>
            <w:tcBorders>
              <w:top w:val="nil"/>
            </w:tcBorders>
          </w:tcPr>
          <w:p>
            <w:pPr>
              <w:rPr>
                <w:sz w:val="2"/>
                <w:szCs w:val="2"/>
              </w:rPr>
            </w:pPr>
          </w:p>
        </w:tc>
        <w:tc>
          <w:tcPr>
            <w:tcW w:w="675" w:type="dxa"/>
          </w:tcPr>
          <w:p>
            <w:pPr>
              <w:pStyle w:val="TableParagraph"/>
              <w:spacing w:before="151"/>
              <w:ind w:left="78" w:right="73"/>
              <w:rPr>
                <w:rFonts w:ascii="Times New Roman"/>
                <w:sz w:val="21"/>
              </w:rPr>
            </w:pPr>
            <w:r>
              <w:rPr>
                <w:rFonts w:ascii="Times New Roman"/>
                <w:sz w:val="21"/>
              </w:rPr>
              <w:t>20</w:t>
            </w:r>
          </w:p>
        </w:tc>
        <w:tc>
          <w:tcPr>
            <w:tcW w:w="916" w:type="dxa"/>
          </w:tcPr>
          <w:p>
            <w:pPr>
              <w:pStyle w:val="TableParagraph"/>
              <w:spacing w:before="151"/>
              <w:ind w:left="174" w:right="166"/>
              <w:rPr>
                <w:rFonts w:ascii="Times New Roman"/>
                <w:sz w:val="21"/>
              </w:rPr>
            </w:pPr>
            <w:r>
              <w:rPr>
                <w:rFonts w:ascii="Times New Roman"/>
                <w:sz w:val="21"/>
              </w:rPr>
              <w:t>6000</w:t>
            </w:r>
          </w:p>
        </w:tc>
        <w:tc>
          <w:tcPr>
            <w:tcW w:w="762" w:type="dxa"/>
          </w:tcPr>
          <w:p>
            <w:pPr>
              <w:pStyle w:val="TableParagraph"/>
              <w:spacing w:before="151"/>
              <w:ind w:left="165"/>
              <w:jc w:val="left"/>
              <w:rPr>
                <w:rFonts w:ascii="Times New Roman"/>
                <w:sz w:val="21"/>
              </w:rPr>
            </w:pPr>
            <w:r>
              <w:rPr>
                <w:rFonts w:ascii="Times New Roman"/>
                <w:sz w:val="21"/>
              </w:rPr>
              <w:t>1500</w:t>
            </w:r>
          </w:p>
        </w:tc>
        <w:tc>
          <w:tcPr>
            <w:tcW w:w="452" w:type="dxa"/>
          </w:tcPr>
          <w:p>
            <w:pPr>
              <w:pStyle w:val="TableParagraph"/>
              <w:spacing w:before="151"/>
              <w:ind w:left="2"/>
              <w:rPr>
                <w:rFonts w:ascii="Times New Roman"/>
                <w:sz w:val="21"/>
              </w:rPr>
            </w:pPr>
            <w:r>
              <w:rPr>
                <w:rFonts w:ascii="Times New Roman"/>
                <w:sz w:val="21"/>
              </w:rPr>
              <w:t>10</w:t>
            </w:r>
          </w:p>
        </w:tc>
        <w:tc>
          <w:tcPr>
            <w:tcW w:w="498" w:type="dxa"/>
          </w:tcPr>
          <w:p>
            <w:pPr>
              <w:pStyle w:val="TableParagraph"/>
              <w:spacing w:before="151"/>
              <w:ind w:left="64" w:right="65"/>
              <w:rPr>
                <w:rFonts w:ascii="Times New Roman"/>
                <w:sz w:val="21"/>
              </w:rPr>
            </w:pPr>
            <w:r>
              <w:rPr>
                <w:rFonts w:ascii="Times New Roman"/>
                <w:sz w:val="21"/>
              </w:rPr>
              <w:t>20</w:t>
            </w:r>
          </w:p>
        </w:tc>
        <w:tc>
          <w:tcPr>
            <w:tcW w:w="496" w:type="dxa"/>
          </w:tcPr>
          <w:p>
            <w:pPr>
              <w:pStyle w:val="TableParagraph"/>
              <w:jc w:val="left"/>
              <w:rPr>
                <w:rFonts w:ascii="Times New Roman"/>
                <w:sz w:val="20"/>
              </w:rPr>
            </w:pPr>
          </w:p>
        </w:tc>
        <w:tc>
          <w:tcPr>
            <w:tcW w:w="1704" w:type="dxa"/>
          </w:tcPr>
          <w:p>
            <w:pPr>
              <w:pStyle w:val="TableParagraph"/>
              <w:spacing w:line="270" w:lineRule="atLeast" w:before="2"/>
              <w:ind w:left="736" w:right="18" w:hanging="723"/>
              <w:jc w:val="left"/>
              <w:rPr>
                <w:sz w:val="21"/>
              </w:rPr>
            </w:pPr>
            <w:r>
              <w:rPr>
                <w:rFonts w:ascii="Times New Roman" w:eastAsia="Times New Roman"/>
                <w:sz w:val="21"/>
              </w:rPr>
              <w:t>CODcr</w:t>
            </w:r>
            <w:r>
              <w:rPr>
                <w:sz w:val="21"/>
              </w:rPr>
              <w:t>、总氮、氨氮</w:t>
            </w:r>
          </w:p>
        </w:tc>
        <w:tc>
          <w:tcPr>
            <w:tcW w:w="1624" w:type="dxa"/>
            <w:vMerge/>
            <w:tcBorders>
              <w:top w:val="nil"/>
            </w:tcBorders>
          </w:tcPr>
          <w:p>
            <w:pPr>
              <w:rPr>
                <w:sz w:val="2"/>
                <w:szCs w:val="2"/>
              </w:rPr>
            </w:pPr>
          </w:p>
        </w:tc>
        <w:tc>
          <w:tcPr>
            <w:tcW w:w="676" w:type="dxa"/>
          </w:tcPr>
          <w:p>
            <w:pPr>
              <w:pStyle w:val="TableParagraph"/>
              <w:spacing w:before="151"/>
              <w:ind w:right="234"/>
              <w:jc w:val="right"/>
              <w:rPr>
                <w:rFonts w:ascii="Times New Roman"/>
                <w:sz w:val="21"/>
              </w:rPr>
            </w:pPr>
            <w:r>
              <w:rPr>
                <w:rFonts w:ascii="Times New Roman"/>
                <w:sz w:val="21"/>
              </w:rPr>
              <w:t>20</w:t>
            </w:r>
          </w:p>
        </w:tc>
        <w:tc>
          <w:tcPr>
            <w:tcW w:w="917" w:type="dxa"/>
          </w:tcPr>
          <w:p>
            <w:pPr>
              <w:pStyle w:val="TableParagraph"/>
              <w:spacing w:before="151"/>
              <w:ind w:left="165" w:right="177"/>
              <w:rPr>
                <w:rFonts w:ascii="Times New Roman"/>
                <w:sz w:val="21"/>
              </w:rPr>
            </w:pPr>
            <w:r>
              <w:rPr>
                <w:rFonts w:ascii="Times New Roman"/>
                <w:sz w:val="21"/>
              </w:rPr>
              <w:t>6000</w:t>
            </w:r>
          </w:p>
        </w:tc>
        <w:tc>
          <w:tcPr>
            <w:tcW w:w="763" w:type="dxa"/>
          </w:tcPr>
          <w:p>
            <w:pPr>
              <w:pStyle w:val="TableParagraph"/>
              <w:spacing w:before="151"/>
              <w:ind w:right="24"/>
              <w:rPr>
                <w:rFonts w:ascii="Times New Roman"/>
                <w:sz w:val="21"/>
              </w:rPr>
            </w:pPr>
            <w:r>
              <w:rPr>
                <w:rFonts w:ascii="Times New Roman"/>
                <w:w w:val="100"/>
                <w:sz w:val="21"/>
              </w:rPr>
              <w:t>/</w:t>
            </w:r>
          </w:p>
        </w:tc>
        <w:tc>
          <w:tcPr>
            <w:tcW w:w="554" w:type="dxa"/>
          </w:tcPr>
          <w:p>
            <w:pPr>
              <w:pStyle w:val="TableParagraph"/>
              <w:spacing w:before="151"/>
              <w:ind w:right="21"/>
              <w:rPr>
                <w:rFonts w:ascii="Times New Roman"/>
                <w:sz w:val="21"/>
              </w:rPr>
            </w:pPr>
            <w:r>
              <w:rPr>
                <w:rFonts w:ascii="Times New Roman"/>
                <w:w w:val="100"/>
                <w:sz w:val="21"/>
              </w:rPr>
              <w:t>/</w:t>
            </w:r>
          </w:p>
        </w:tc>
        <w:tc>
          <w:tcPr>
            <w:tcW w:w="657" w:type="dxa"/>
          </w:tcPr>
          <w:p>
            <w:pPr>
              <w:pStyle w:val="TableParagraph"/>
              <w:spacing w:before="151"/>
              <w:ind w:right="27"/>
              <w:rPr>
                <w:rFonts w:ascii="Times New Roman"/>
                <w:sz w:val="21"/>
              </w:rPr>
            </w:pPr>
            <w:r>
              <w:rPr>
                <w:rFonts w:ascii="Times New Roman"/>
                <w:w w:val="100"/>
                <w:sz w:val="21"/>
              </w:rPr>
              <w:t>/</w:t>
            </w:r>
          </w:p>
        </w:tc>
        <w:tc>
          <w:tcPr>
            <w:tcW w:w="659" w:type="dxa"/>
          </w:tcPr>
          <w:p>
            <w:pPr>
              <w:pStyle w:val="TableParagraph"/>
              <w:spacing w:before="151"/>
              <w:ind w:right="33"/>
              <w:rPr>
                <w:rFonts w:ascii="Times New Roman"/>
                <w:sz w:val="21"/>
              </w:rPr>
            </w:pPr>
            <w:r>
              <w:rPr>
                <w:rFonts w:ascii="Times New Roman"/>
                <w:w w:val="100"/>
                <w:sz w:val="21"/>
              </w:rPr>
              <w:t>/</w:t>
            </w:r>
          </w:p>
        </w:tc>
      </w:tr>
      <w:tr>
        <w:trPr>
          <w:trHeight w:val="270" w:hRule="atLeast"/>
        </w:trPr>
        <w:tc>
          <w:tcPr>
            <w:tcW w:w="2684" w:type="dxa"/>
            <w:gridSpan w:val="4"/>
            <w:vMerge w:val="restart"/>
          </w:tcPr>
          <w:p>
            <w:pPr>
              <w:pStyle w:val="TableParagraph"/>
              <w:spacing w:before="7"/>
              <w:jc w:val="left"/>
              <w:rPr>
                <w:b/>
                <w:sz w:val="21"/>
              </w:rPr>
            </w:pPr>
          </w:p>
          <w:p>
            <w:pPr>
              <w:pStyle w:val="TableParagraph"/>
              <w:spacing w:before="1"/>
              <w:ind w:left="1110" w:right="1101"/>
              <w:rPr>
                <w:b/>
                <w:sz w:val="21"/>
              </w:rPr>
            </w:pPr>
            <w:r>
              <w:rPr>
                <w:b/>
                <w:sz w:val="21"/>
              </w:rPr>
              <w:t>小计</w:t>
            </w:r>
          </w:p>
        </w:tc>
        <w:tc>
          <w:tcPr>
            <w:tcW w:w="675" w:type="dxa"/>
          </w:tcPr>
          <w:p>
            <w:pPr>
              <w:pStyle w:val="TableParagraph"/>
              <w:spacing w:line="236" w:lineRule="exact" w:before="15"/>
              <w:ind w:left="78" w:right="73"/>
              <w:rPr>
                <w:rFonts w:ascii="Times New Roman"/>
                <w:b/>
                <w:sz w:val="21"/>
              </w:rPr>
            </w:pPr>
            <w:r>
              <w:rPr>
                <w:rFonts w:ascii="Times New Roman"/>
                <w:b/>
                <w:sz w:val="21"/>
              </w:rPr>
              <w:t>110</w:t>
            </w:r>
          </w:p>
        </w:tc>
        <w:tc>
          <w:tcPr>
            <w:tcW w:w="916" w:type="dxa"/>
          </w:tcPr>
          <w:p>
            <w:pPr>
              <w:pStyle w:val="TableParagraph"/>
              <w:spacing w:line="236" w:lineRule="exact" w:before="15"/>
              <w:ind w:left="174" w:right="166"/>
              <w:rPr>
                <w:rFonts w:ascii="Times New Roman"/>
                <w:b/>
                <w:sz w:val="21"/>
              </w:rPr>
            </w:pPr>
            <w:r>
              <w:rPr>
                <w:rFonts w:ascii="Times New Roman"/>
                <w:b/>
                <w:sz w:val="21"/>
              </w:rPr>
              <w:t>33000</w:t>
            </w:r>
          </w:p>
        </w:tc>
        <w:tc>
          <w:tcPr>
            <w:tcW w:w="762" w:type="dxa"/>
          </w:tcPr>
          <w:p>
            <w:pPr>
              <w:pStyle w:val="TableParagraph"/>
              <w:spacing w:line="236" w:lineRule="exact" w:before="15"/>
              <w:ind w:right="82"/>
              <w:jc w:val="right"/>
              <w:rPr>
                <w:rFonts w:ascii="Times New Roman"/>
                <w:b/>
                <w:sz w:val="21"/>
              </w:rPr>
            </w:pPr>
            <w:r>
              <w:rPr>
                <w:rFonts w:ascii="Times New Roman"/>
                <w:b/>
                <w:sz w:val="21"/>
              </w:rPr>
              <w:t>2953.7</w:t>
            </w:r>
          </w:p>
        </w:tc>
        <w:tc>
          <w:tcPr>
            <w:tcW w:w="452" w:type="dxa"/>
          </w:tcPr>
          <w:p>
            <w:pPr>
              <w:pStyle w:val="TableParagraph"/>
              <w:spacing w:line="236" w:lineRule="exact" w:before="15"/>
              <w:ind w:left="2"/>
              <w:rPr>
                <w:rFonts w:ascii="Times New Roman"/>
                <w:b/>
                <w:sz w:val="21"/>
              </w:rPr>
            </w:pPr>
            <w:r>
              <w:rPr>
                <w:rFonts w:ascii="Times New Roman"/>
                <w:b/>
                <w:sz w:val="21"/>
              </w:rPr>
              <w:t>14.5</w:t>
            </w:r>
          </w:p>
        </w:tc>
        <w:tc>
          <w:tcPr>
            <w:tcW w:w="498" w:type="dxa"/>
          </w:tcPr>
          <w:p>
            <w:pPr>
              <w:pStyle w:val="TableParagraph"/>
              <w:spacing w:line="236" w:lineRule="exact" w:before="15"/>
              <w:ind w:left="65" w:right="65"/>
              <w:rPr>
                <w:rFonts w:ascii="Times New Roman"/>
                <w:b/>
                <w:sz w:val="21"/>
              </w:rPr>
            </w:pPr>
            <w:r>
              <w:rPr>
                <w:rFonts w:ascii="Times New Roman"/>
                <w:b/>
                <w:sz w:val="21"/>
              </w:rPr>
              <w:t>110</w:t>
            </w:r>
          </w:p>
        </w:tc>
        <w:tc>
          <w:tcPr>
            <w:tcW w:w="496" w:type="dxa"/>
          </w:tcPr>
          <w:p>
            <w:pPr>
              <w:pStyle w:val="TableParagraph"/>
              <w:spacing w:line="236" w:lineRule="exact" w:before="15"/>
              <w:rPr>
                <w:rFonts w:ascii="Times New Roman"/>
                <w:b/>
                <w:sz w:val="21"/>
              </w:rPr>
            </w:pPr>
            <w:r>
              <w:rPr>
                <w:rFonts w:ascii="Times New Roman"/>
                <w:b/>
                <w:sz w:val="21"/>
              </w:rPr>
              <w:t>300.8</w:t>
            </w:r>
          </w:p>
        </w:tc>
        <w:tc>
          <w:tcPr>
            <w:tcW w:w="1704" w:type="dxa"/>
          </w:tcPr>
          <w:p>
            <w:pPr>
              <w:pStyle w:val="TableParagraph"/>
              <w:spacing w:line="236" w:lineRule="exact" w:before="15"/>
              <w:ind w:right="5"/>
              <w:rPr>
                <w:rFonts w:ascii="Times New Roman"/>
                <w:sz w:val="21"/>
              </w:rPr>
            </w:pPr>
            <w:r>
              <w:rPr>
                <w:rFonts w:ascii="Times New Roman"/>
                <w:w w:val="100"/>
                <w:sz w:val="21"/>
              </w:rPr>
              <w:t>/</w:t>
            </w:r>
          </w:p>
        </w:tc>
        <w:tc>
          <w:tcPr>
            <w:tcW w:w="1624" w:type="dxa"/>
          </w:tcPr>
          <w:p>
            <w:pPr>
              <w:pStyle w:val="TableParagraph"/>
              <w:spacing w:line="250" w:lineRule="exact" w:before="1"/>
              <w:ind w:left="48" w:right="55"/>
              <w:rPr>
                <w:b/>
                <w:sz w:val="21"/>
              </w:rPr>
            </w:pPr>
            <w:r>
              <w:rPr>
                <w:b/>
                <w:sz w:val="21"/>
              </w:rPr>
              <w:t>纳管量</w:t>
            </w:r>
          </w:p>
        </w:tc>
        <w:tc>
          <w:tcPr>
            <w:tcW w:w="676" w:type="dxa"/>
          </w:tcPr>
          <w:p>
            <w:pPr>
              <w:pStyle w:val="TableParagraph"/>
              <w:spacing w:line="236" w:lineRule="exact" w:before="15"/>
              <w:ind w:right="180"/>
              <w:jc w:val="right"/>
              <w:rPr>
                <w:rFonts w:ascii="Times New Roman"/>
                <w:b/>
                <w:sz w:val="21"/>
              </w:rPr>
            </w:pPr>
            <w:r>
              <w:rPr>
                <w:rFonts w:ascii="Times New Roman"/>
                <w:b/>
                <w:sz w:val="21"/>
              </w:rPr>
              <w:t>110</w:t>
            </w:r>
          </w:p>
        </w:tc>
        <w:tc>
          <w:tcPr>
            <w:tcW w:w="917" w:type="dxa"/>
          </w:tcPr>
          <w:p>
            <w:pPr>
              <w:pStyle w:val="TableParagraph"/>
              <w:spacing w:line="236" w:lineRule="exact" w:before="15"/>
              <w:ind w:left="165" w:right="177"/>
              <w:rPr>
                <w:rFonts w:ascii="Times New Roman"/>
                <w:b/>
                <w:sz w:val="21"/>
              </w:rPr>
            </w:pPr>
            <w:r>
              <w:rPr>
                <w:rFonts w:ascii="Times New Roman"/>
                <w:b/>
                <w:sz w:val="21"/>
              </w:rPr>
              <w:t>33000</w:t>
            </w:r>
          </w:p>
        </w:tc>
        <w:tc>
          <w:tcPr>
            <w:tcW w:w="763" w:type="dxa"/>
          </w:tcPr>
          <w:p>
            <w:pPr>
              <w:pStyle w:val="TableParagraph"/>
              <w:spacing w:line="236" w:lineRule="exact" w:before="15"/>
              <w:ind w:left="18" w:right="40"/>
              <w:rPr>
                <w:rFonts w:ascii="Times New Roman"/>
                <w:b/>
                <w:sz w:val="21"/>
              </w:rPr>
            </w:pPr>
            <w:r>
              <w:rPr>
                <w:rFonts w:ascii="Times New Roman"/>
                <w:b/>
                <w:sz w:val="21"/>
              </w:rPr>
              <w:t>16.5</w:t>
            </w:r>
          </w:p>
        </w:tc>
        <w:tc>
          <w:tcPr>
            <w:tcW w:w="554" w:type="dxa"/>
          </w:tcPr>
          <w:p>
            <w:pPr>
              <w:pStyle w:val="TableParagraph"/>
              <w:spacing w:line="236" w:lineRule="exact" w:before="15"/>
              <w:ind w:left="4" w:right="26"/>
              <w:rPr>
                <w:rFonts w:ascii="Times New Roman"/>
                <w:b/>
                <w:sz w:val="21"/>
              </w:rPr>
            </w:pPr>
            <w:r>
              <w:rPr>
                <w:rFonts w:ascii="Times New Roman"/>
                <w:b/>
                <w:sz w:val="21"/>
              </w:rPr>
              <w:t>1.155</w:t>
            </w:r>
          </w:p>
        </w:tc>
        <w:tc>
          <w:tcPr>
            <w:tcW w:w="657" w:type="dxa"/>
          </w:tcPr>
          <w:p>
            <w:pPr>
              <w:pStyle w:val="TableParagraph"/>
              <w:spacing w:line="236" w:lineRule="exact" w:before="15"/>
              <w:ind w:left="107" w:right="131"/>
              <w:rPr>
                <w:rFonts w:ascii="Times New Roman"/>
                <w:b/>
                <w:sz w:val="21"/>
              </w:rPr>
            </w:pPr>
            <w:r>
              <w:rPr>
                <w:rFonts w:ascii="Times New Roman"/>
                <w:b/>
                <w:sz w:val="21"/>
              </w:rPr>
              <w:t>2.31</w:t>
            </w:r>
          </w:p>
        </w:tc>
        <w:tc>
          <w:tcPr>
            <w:tcW w:w="659" w:type="dxa"/>
          </w:tcPr>
          <w:p>
            <w:pPr>
              <w:pStyle w:val="TableParagraph"/>
              <w:spacing w:line="236" w:lineRule="exact" w:before="15"/>
              <w:ind w:right="33"/>
              <w:rPr>
                <w:rFonts w:ascii="Times New Roman"/>
                <w:b/>
                <w:sz w:val="21"/>
              </w:rPr>
            </w:pPr>
            <w:r>
              <w:rPr>
                <w:rFonts w:ascii="Times New Roman"/>
                <w:b/>
                <w:w w:val="100"/>
                <w:sz w:val="21"/>
              </w:rPr>
              <w:t>/</w:t>
            </w:r>
          </w:p>
        </w:tc>
      </w:tr>
      <w:tr>
        <w:trPr>
          <w:trHeight w:val="544" w:hRule="atLeast"/>
        </w:trPr>
        <w:tc>
          <w:tcPr>
            <w:tcW w:w="2684" w:type="dxa"/>
            <w:gridSpan w:val="4"/>
            <w:vMerge/>
            <w:tcBorders>
              <w:top w:val="nil"/>
            </w:tcBorders>
          </w:tcPr>
          <w:p>
            <w:pPr>
              <w:rPr>
                <w:sz w:val="2"/>
                <w:szCs w:val="2"/>
              </w:rPr>
            </w:pPr>
          </w:p>
        </w:tc>
        <w:tc>
          <w:tcPr>
            <w:tcW w:w="675" w:type="dxa"/>
          </w:tcPr>
          <w:p>
            <w:pPr>
              <w:pStyle w:val="TableParagraph"/>
              <w:spacing w:before="151"/>
              <w:ind w:left="78" w:right="73"/>
              <w:rPr>
                <w:rFonts w:ascii="Times New Roman"/>
                <w:b/>
                <w:sz w:val="21"/>
              </w:rPr>
            </w:pPr>
            <w:r>
              <w:rPr>
                <w:rFonts w:ascii="Times New Roman"/>
                <w:b/>
                <w:sz w:val="21"/>
              </w:rPr>
              <w:t>t/d</w:t>
            </w:r>
          </w:p>
        </w:tc>
        <w:tc>
          <w:tcPr>
            <w:tcW w:w="916" w:type="dxa"/>
          </w:tcPr>
          <w:p>
            <w:pPr>
              <w:pStyle w:val="TableParagraph"/>
              <w:spacing w:before="151"/>
              <w:ind w:left="172" w:right="166"/>
              <w:rPr>
                <w:rFonts w:ascii="Times New Roman"/>
                <w:b/>
                <w:sz w:val="21"/>
              </w:rPr>
            </w:pPr>
            <w:r>
              <w:rPr>
                <w:rFonts w:ascii="Times New Roman"/>
                <w:b/>
                <w:sz w:val="21"/>
              </w:rPr>
              <w:t>t/a</w:t>
            </w:r>
          </w:p>
        </w:tc>
        <w:tc>
          <w:tcPr>
            <w:tcW w:w="762" w:type="dxa"/>
          </w:tcPr>
          <w:p>
            <w:pPr>
              <w:pStyle w:val="TableParagraph"/>
              <w:spacing w:before="151"/>
              <w:ind w:right="46"/>
              <w:jc w:val="right"/>
              <w:rPr>
                <w:rFonts w:ascii="Times New Roman"/>
                <w:b/>
                <w:sz w:val="21"/>
              </w:rPr>
            </w:pPr>
            <w:r>
              <w:rPr>
                <w:rFonts w:ascii="Times New Roman"/>
                <w:b/>
                <w:sz w:val="21"/>
              </w:rPr>
              <w:t>CODcr</w:t>
            </w:r>
          </w:p>
        </w:tc>
        <w:tc>
          <w:tcPr>
            <w:tcW w:w="452" w:type="dxa"/>
          </w:tcPr>
          <w:p>
            <w:pPr>
              <w:pStyle w:val="TableParagraph"/>
              <w:spacing w:before="137"/>
              <w:ind w:left="2"/>
              <w:rPr>
                <w:b/>
                <w:sz w:val="21"/>
              </w:rPr>
            </w:pPr>
            <w:r>
              <w:rPr>
                <w:b/>
                <w:sz w:val="21"/>
              </w:rPr>
              <w:t>氨氮</w:t>
            </w:r>
          </w:p>
        </w:tc>
        <w:tc>
          <w:tcPr>
            <w:tcW w:w="498" w:type="dxa"/>
          </w:tcPr>
          <w:p>
            <w:pPr>
              <w:pStyle w:val="TableParagraph"/>
              <w:spacing w:before="151"/>
              <w:ind w:left="65" w:right="65"/>
              <w:rPr>
                <w:rFonts w:ascii="Times New Roman"/>
                <w:b/>
                <w:sz w:val="21"/>
              </w:rPr>
            </w:pPr>
            <w:r>
              <w:rPr>
                <w:rFonts w:ascii="Times New Roman"/>
                <w:b/>
                <w:sz w:val="21"/>
              </w:rPr>
              <w:t>TN</w:t>
            </w:r>
          </w:p>
        </w:tc>
        <w:tc>
          <w:tcPr>
            <w:tcW w:w="496" w:type="dxa"/>
          </w:tcPr>
          <w:p>
            <w:pPr>
              <w:pStyle w:val="TableParagraph"/>
              <w:spacing w:before="1"/>
              <w:ind w:right="5"/>
              <w:rPr>
                <w:b/>
                <w:sz w:val="21"/>
              </w:rPr>
            </w:pPr>
            <w:r>
              <w:rPr>
                <w:b/>
                <w:sz w:val="21"/>
              </w:rPr>
              <w:t>三环</w:t>
            </w:r>
          </w:p>
          <w:p>
            <w:pPr>
              <w:pStyle w:val="TableParagraph"/>
              <w:spacing w:line="250" w:lineRule="exact" w:before="4"/>
              <w:ind w:right="5"/>
              <w:rPr>
                <w:b/>
                <w:sz w:val="21"/>
              </w:rPr>
            </w:pPr>
            <w:r>
              <w:rPr>
                <w:b/>
                <w:w w:val="100"/>
                <w:sz w:val="21"/>
              </w:rPr>
              <w:t>唑</w:t>
            </w:r>
          </w:p>
        </w:tc>
        <w:tc>
          <w:tcPr>
            <w:tcW w:w="1704" w:type="dxa"/>
          </w:tcPr>
          <w:p>
            <w:pPr>
              <w:pStyle w:val="TableParagraph"/>
              <w:spacing w:before="151"/>
              <w:ind w:right="5"/>
              <w:rPr>
                <w:rFonts w:ascii="Times New Roman"/>
                <w:sz w:val="21"/>
              </w:rPr>
            </w:pPr>
            <w:r>
              <w:rPr>
                <w:rFonts w:ascii="Times New Roman"/>
                <w:w w:val="100"/>
                <w:sz w:val="21"/>
              </w:rPr>
              <w:t>/</w:t>
            </w:r>
          </w:p>
        </w:tc>
        <w:tc>
          <w:tcPr>
            <w:tcW w:w="1624" w:type="dxa"/>
          </w:tcPr>
          <w:p>
            <w:pPr>
              <w:pStyle w:val="TableParagraph"/>
              <w:spacing w:before="151"/>
              <w:ind w:right="6"/>
              <w:rPr>
                <w:rFonts w:ascii="Times New Roman"/>
                <w:sz w:val="21"/>
              </w:rPr>
            </w:pPr>
            <w:r>
              <w:rPr>
                <w:rFonts w:ascii="Times New Roman"/>
                <w:w w:val="100"/>
                <w:sz w:val="21"/>
              </w:rPr>
              <w:t>/</w:t>
            </w:r>
          </w:p>
        </w:tc>
        <w:tc>
          <w:tcPr>
            <w:tcW w:w="676" w:type="dxa"/>
          </w:tcPr>
          <w:p>
            <w:pPr>
              <w:pStyle w:val="TableParagraph"/>
              <w:spacing w:before="151"/>
              <w:ind w:right="216"/>
              <w:jc w:val="right"/>
              <w:rPr>
                <w:rFonts w:ascii="Times New Roman"/>
                <w:b/>
                <w:sz w:val="21"/>
              </w:rPr>
            </w:pPr>
            <w:r>
              <w:rPr>
                <w:rFonts w:ascii="Times New Roman"/>
                <w:b/>
                <w:sz w:val="21"/>
              </w:rPr>
              <w:t>t/d</w:t>
            </w:r>
          </w:p>
        </w:tc>
        <w:tc>
          <w:tcPr>
            <w:tcW w:w="917" w:type="dxa"/>
          </w:tcPr>
          <w:p>
            <w:pPr>
              <w:pStyle w:val="TableParagraph"/>
              <w:spacing w:before="151"/>
              <w:ind w:left="163" w:right="177"/>
              <w:rPr>
                <w:rFonts w:ascii="Times New Roman"/>
                <w:b/>
                <w:sz w:val="21"/>
              </w:rPr>
            </w:pPr>
            <w:r>
              <w:rPr>
                <w:rFonts w:ascii="Times New Roman"/>
                <w:b/>
                <w:sz w:val="21"/>
              </w:rPr>
              <w:t>t/a</w:t>
            </w:r>
          </w:p>
        </w:tc>
        <w:tc>
          <w:tcPr>
            <w:tcW w:w="763" w:type="dxa"/>
          </w:tcPr>
          <w:p>
            <w:pPr>
              <w:pStyle w:val="TableParagraph"/>
              <w:spacing w:before="151"/>
              <w:ind w:left="18" w:right="41"/>
              <w:rPr>
                <w:rFonts w:ascii="Times New Roman"/>
                <w:b/>
                <w:sz w:val="21"/>
              </w:rPr>
            </w:pPr>
            <w:r>
              <w:rPr>
                <w:rFonts w:ascii="Times New Roman"/>
                <w:b/>
                <w:sz w:val="21"/>
              </w:rPr>
              <w:t>CODcr</w:t>
            </w:r>
          </w:p>
        </w:tc>
        <w:tc>
          <w:tcPr>
            <w:tcW w:w="554" w:type="dxa"/>
          </w:tcPr>
          <w:p>
            <w:pPr>
              <w:pStyle w:val="TableParagraph"/>
              <w:spacing w:before="137"/>
              <w:ind w:left="4" w:right="26"/>
              <w:rPr>
                <w:b/>
                <w:sz w:val="21"/>
              </w:rPr>
            </w:pPr>
            <w:r>
              <w:rPr>
                <w:b/>
                <w:sz w:val="21"/>
              </w:rPr>
              <w:t>氨氮</w:t>
            </w:r>
          </w:p>
        </w:tc>
        <w:tc>
          <w:tcPr>
            <w:tcW w:w="657" w:type="dxa"/>
          </w:tcPr>
          <w:p>
            <w:pPr>
              <w:pStyle w:val="TableParagraph"/>
              <w:spacing w:before="151"/>
              <w:ind w:left="105" w:right="131"/>
              <w:rPr>
                <w:rFonts w:ascii="Times New Roman"/>
                <w:b/>
                <w:sz w:val="21"/>
              </w:rPr>
            </w:pPr>
            <w:r>
              <w:rPr>
                <w:rFonts w:ascii="Times New Roman"/>
                <w:b/>
                <w:sz w:val="21"/>
              </w:rPr>
              <w:t>TN</w:t>
            </w:r>
          </w:p>
        </w:tc>
        <w:tc>
          <w:tcPr>
            <w:tcW w:w="659" w:type="dxa"/>
          </w:tcPr>
          <w:p>
            <w:pPr>
              <w:pStyle w:val="TableParagraph"/>
              <w:spacing w:before="137"/>
              <w:ind w:left="-11" w:right="25"/>
              <w:rPr>
                <w:b/>
                <w:sz w:val="21"/>
              </w:rPr>
            </w:pPr>
            <w:r>
              <w:rPr>
                <w:b/>
                <w:spacing w:val="-7"/>
                <w:sz w:val="21"/>
              </w:rPr>
              <w:t>三环唑</w:t>
            </w:r>
          </w:p>
        </w:tc>
      </w:tr>
      <w:tr>
        <w:trPr>
          <w:trHeight w:val="273" w:hRule="atLeast"/>
        </w:trPr>
        <w:tc>
          <w:tcPr>
            <w:tcW w:w="2237" w:type="dxa"/>
            <w:gridSpan w:val="3"/>
          </w:tcPr>
          <w:p>
            <w:pPr>
              <w:pStyle w:val="TableParagraph"/>
              <w:spacing w:line="252" w:lineRule="exact" w:before="1"/>
              <w:ind w:left="593"/>
              <w:jc w:val="left"/>
              <w:rPr>
                <w:sz w:val="21"/>
              </w:rPr>
            </w:pPr>
            <w:r>
              <w:rPr>
                <w:sz w:val="21"/>
              </w:rPr>
              <w:t>蒸汽冷凝水</w:t>
            </w:r>
          </w:p>
        </w:tc>
        <w:tc>
          <w:tcPr>
            <w:tcW w:w="447" w:type="dxa"/>
            <w:vMerge w:val="restart"/>
          </w:tcPr>
          <w:p>
            <w:pPr>
              <w:pStyle w:val="TableParagraph"/>
              <w:spacing w:line="270" w:lineRule="atLeast" w:before="7"/>
              <w:ind w:left="11"/>
              <w:jc w:val="left"/>
              <w:rPr>
                <w:sz w:val="21"/>
              </w:rPr>
            </w:pPr>
            <w:r>
              <w:rPr>
                <w:sz w:val="21"/>
              </w:rPr>
              <w:t>类比调查</w:t>
            </w:r>
          </w:p>
        </w:tc>
        <w:tc>
          <w:tcPr>
            <w:tcW w:w="675" w:type="dxa"/>
          </w:tcPr>
          <w:p>
            <w:pPr>
              <w:pStyle w:val="TableParagraph"/>
              <w:spacing w:line="238" w:lineRule="exact" w:before="15"/>
              <w:ind w:left="78" w:right="73"/>
              <w:rPr>
                <w:rFonts w:ascii="Times New Roman"/>
                <w:sz w:val="21"/>
              </w:rPr>
            </w:pPr>
            <w:r>
              <w:rPr>
                <w:rFonts w:ascii="Times New Roman"/>
                <w:sz w:val="21"/>
              </w:rPr>
              <w:t>17.55</w:t>
            </w:r>
          </w:p>
        </w:tc>
        <w:tc>
          <w:tcPr>
            <w:tcW w:w="916" w:type="dxa"/>
          </w:tcPr>
          <w:p>
            <w:pPr>
              <w:pStyle w:val="TableParagraph"/>
              <w:spacing w:line="238" w:lineRule="exact" w:before="15"/>
              <w:ind w:left="174" w:right="166"/>
              <w:rPr>
                <w:rFonts w:ascii="Times New Roman"/>
                <w:sz w:val="21"/>
              </w:rPr>
            </w:pPr>
            <w:r>
              <w:rPr>
                <w:rFonts w:ascii="Times New Roman"/>
                <w:sz w:val="21"/>
              </w:rPr>
              <w:t>5266</w:t>
            </w:r>
          </w:p>
        </w:tc>
        <w:tc>
          <w:tcPr>
            <w:tcW w:w="762" w:type="dxa"/>
          </w:tcPr>
          <w:p>
            <w:pPr>
              <w:pStyle w:val="TableParagraph"/>
              <w:spacing w:line="238" w:lineRule="exact" w:before="15"/>
              <w:ind w:right="1"/>
              <w:rPr>
                <w:rFonts w:ascii="Times New Roman"/>
                <w:sz w:val="21"/>
              </w:rPr>
            </w:pPr>
            <w:r>
              <w:rPr>
                <w:rFonts w:ascii="Times New Roman"/>
                <w:w w:val="100"/>
                <w:sz w:val="21"/>
              </w:rPr>
              <w:t>/</w:t>
            </w:r>
          </w:p>
        </w:tc>
        <w:tc>
          <w:tcPr>
            <w:tcW w:w="452" w:type="dxa"/>
          </w:tcPr>
          <w:p>
            <w:pPr>
              <w:pStyle w:val="TableParagraph"/>
              <w:spacing w:line="238" w:lineRule="exact" w:before="15"/>
              <w:ind w:left="3"/>
              <w:rPr>
                <w:rFonts w:ascii="Times New Roman"/>
                <w:sz w:val="21"/>
              </w:rPr>
            </w:pPr>
            <w:r>
              <w:rPr>
                <w:rFonts w:ascii="Times New Roman"/>
                <w:w w:val="100"/>
                <w:sz w:val="21"/>
              </w:rPr>
              <w:t>/</w:t>
            </w:r>
          </w:p>
        </w:tc>
        <w:tc>
          <w:tcPr>
            <w:tcW w:w="498" w:type="dxa"/>
          </w:tcPr>
          <w:p>
            <w:pPr>
              <w:pStyle w:val="TableParagraph"/>
              <w:spacing w:line="238" w:lineRule="exact" w:before="15"/>
              <w:rPr>
                <w:rFonts w:ascii="Times New Roman"/>
                <w:sz w:val="21"/>
              </w:rPr>
            </w:pPr>
            <w:r>
              <w:rPr>
                <w:rFonts w:ascii="Times New Roman"/>
                <w:w w:val="100"/>
                <w:sz w:val="21"/>
              </w:rPr>
              <w:t>/</w:t>
            </w:r>
          </w:p>
        </w:tc>
        <w:tc>
          <w:tcPr>
            <w:tcW w:w="496" w:type="dxa"/>
          </w:tcPr>
          <w:p>
            <w:pPr>
              <w:pStyle w:val="TableParagraph"/>
              <w:spacing w:line="238" w:lineRule="exact" w:before="15"/>
              <w:ind w:right="4"/>
              <w:rPr>
                <w:rFonts w:ascii="Times New Roman"/>
                <w:sz w:val="21"/>
              </w:rPr>
            </w:pPr>
            <w:r>
              <w:rPr>
                <w:rFonts w:ascii="Times New Roman"/>
                <w:w w:val="100"/>
                <w:sz w:val="21"/>
              </w:rPr>
              <w:t>/</w:t>
            </w:r>
          </w:p>
        </w:tc>
        <w:tc>
          <w:tcPr>
            <w:tcW w:w="1704" w:type="dxa"/>
          </w:tcPr>
          <w:p>
            <w:pPr>
              <w:pStyle w:val="TableParagraph"/>
              <w:spacing w:line="238" w:lineRule="exact" w:before="15"/>
              <w:ind w:right="5"/>
              <w:rPr>
                <w:rFonts w:ascii="Times New Roman"/>
                <w:sz w:val="21"/>
              </w:rPr>
            </w:pPr>
            <w:r>
              <w:rPr>
                <w:rFonts w:ascii="Times New Roman"/>
                <w:w w:val="100"/>
                <w:sz w:val="21"/>
              </w:rPr>
              <w:t>/</w:t>
            </w:r>
          </w:p>
        </w:tc>
        <w:tc>
          <w:tcPr>
            <w:tcW w:w="1624" w:type="dxa"/>
            <w:vMerge w:val="restart"/>
          </w:tcPr>
          <w:p>
            <w:pPr>
              <w:pStyle w:val="TableParagraph"/>
              <w:spacing w:line="270" w:lineRule="atLeast" w:before="7"/>
              <w:ind w:left="276" w:right="74" w:hanging="212"/>
              <w:jc w:val="left"/>
              <w:rPr>
                <w:sz w:val="21"/>
              </w:rPr>
            </w:pPr>
            <w:r>
              <w:rPr>
                <w:sz w:val="21"/>
              </w:rPr>
              <w:t>冷却后回用于公用工程用水</w:t>
            </w:r>
          </w:p>
        </w:tc>
        <w:tc>
          <w:tcPr>
            <w:tcW w:w="676" w:type="dxa"/>
          </w:tcPr>
          <w:p>
            <w:pPr>
              <w:pStyle w:val="TableParagraph"/>
              <w:spacing w:line="238" w:lineRule="exact" w:before="15"/>
              <w:ind w:right="12"/>
              <w:rPr>
                <w:rFonts w:ascii="Times New Roman"/>
                <w:sz w:val="21"/>
              </w:rPr>
            </w:pPr>
            <w:r>
              <w:rPr>
                <w:rFonts w:ascii="Times New Roman"/>
                <w:w w:val="100"/>
                <w:sz w:val="21"/>
              </w:rPr>
              <w:t>/</w:t>
            </w:r>
          </w:p>
        </w:tc>
        <w:tc>
          <w:tcPr>
            <w:tcW w:w="917" w:type="dxa"/>
          </w:tcPr>
          <w:p>
            <w:pPr>
              <w:pStyle w:val="TableParagraph"/>
              <w:spacing w:line="238" w:lineRule="exact" w:before="15"/>
              <w:ind w:right="16"/>
              <w:rPr>
                <w:rFonts w:ascii="Times New Roman"/>
                <w:sz w:val="21"/>
              </w:rPr>
            </w:pPr>
            <w:r>
              <w:rPr>
                <w:rFonts w:ascii="Times New Roman"/>
                <w:w w:val="100"/>
                <w:sz w:val="21"/>
              </w:rPr>
              <w:t>/</w:t>
            </w:r>
          </w:p>
        </w:tc>
        <w:tc>
          <w:tcPr>
            <w:tcW w:w="763" w:type="dxa"/>
          </w:tcPr>
          <w:p>
            <w:pPr>
              <w:pStyle w:val="TableParagraph"/>
              <w:spacing w:line="238" w:lineRule="exact" w:before="15"/>
              <w:ind w:right="24"/>
              <w:rPr>
                <w:rFonts w:ascii="Times New Roman"/>
                <w:sz w:val="21"/>
              </w:rPr>
            </w:pPr>
            <w:r>
              <w:rPr>
                <w:rFonts w:ascii="Times New Roman"/>
                <w:w w:val="100"/>
                <w:sz w:val="21"/>
              </w:rPr>
              <w:t>/</w:t>
            </w:r>
          </w:p>
        </w:tc>
        <w:tc>
          <w:tcPr>
            <w:tcW w:w="554" w:type="dxa"/>
          </w:tcPr>
          <w:p>
            <w:pPr>
              <w:pStyle w:val="TableParagraph"/>
              <w:spacing w:line="238" w:lineRule="exact" w:before="15"/>
              <w:ind w:right="21"/>
              <w:rPr>
                <w:rFonts w:ascii="Times New Roman"/>
                <w:sz w:val="21"/>
              </w:rPr>
            </w:pPr>
            <w:r>
              <w:rPr>
                <w:rFonts w:ascii="Times New Roman"/>
                <w:w w:val="100"/>
                <w:sz w:val="21"/>
              </w:rPr>
              <w:t>/</w:t>
            </w:r>
          </w:p>
        </w:tc>
        <w:tc>
          <w:tcPr>
            <w:tcW w:w="657" w:type="dxa"/>
          </w:tcPr>
          <w:p>
            <w:pPr>
              <w:pStyle w:val="TableParagraph"/>
              <w:spacing w:line="238" w:lineRule="exact" w:before="15"/>
              <w:ind w:right="27"/>
              <w:rPr>
                <w:rFonts w:ascii="Times New Roman"/>
                <w:sz w:val="21"/>
              </w:rPr>
            </w:pPr>
            <w:r>
              <w:rPr>
                <w:rFonts w:ascii="Times New Roman"/>
                <w:w w:val="100"/>
                <w:sz w:val="21"/>
              </w:rPr>
              <w:t>/</w:t>
            </w:r>
          </w:p>
        </w:tc>
        <w:tc>
          <w:tcPr>
            <w:tcW w:w="659" w:type="dxa"/>
          </w:tcPr>
          <w:p>
            <w:pPr>
              <w:pStyle w:val="TableParagraph"/>
              <w:spacing w:line="238" w:lineRule="exact" w:before="15"/>
              <w:ind w:right="33"/>
              <w:rPr>
                <w:rFonts w:ascii="Times New Roman"/>
                <w:sz w:val="21"/>
              </w:rPr>
            </w:pPr>
            <w:r>
              <w:rPr>
                <w:rFonts w:ascii="Times New Roman"/>
                <w:w w:val="100"/>
                <w:sz w:val="21"/>
              </w:rPr>
              <w:t>/</w:t>
            </w:r>
          </w:p>
        </w:tc>
      </w:tr>
      <w:tr>
        <w:trPr>
          <w:trHeight w:val="273" w:hRule="atLeast"/>
        </w:trPr>
        <w:tc>
          <w:tcPr>
            <w:tcW w:w="2237" w:type="dxa"/>
            <w:gridSpan w:val="3"/>
          </w:tcPr>
          <w:p>
            <w:pPr>
              <w:pStyle w:val="TableParagraph"/>
              <w:spacing w:line="252" w:lineRule="exact" w:before="1"/>
              <w:ind w:left="487"/>
              <w:jc w:val="left"/>
              <w:rPr>
                <w:sz w:val="21"/>
              </w:rPr>
            </w:pPr>
            <w:r>
              <w:rPr>
                <w:sz w:val="21"/>
              </w:rPr>
              <w:t>冷却系统排污</w:t>
            </w:r>
          </w:p>
        </w:tc>
        <w:tc>
          <w:tcPr>
            <w:tcW w:w="447" w:type="dxa"/>
            <w:vMerge/>
            <w:tcBorders>
              <w:top w:val="nil"/>
            </w:tcBorders>
          </w:tcPr>
          <w:p>
            <w:pPr>
              <w:rPr>
                <w:sz w:val="2"/>
                <w:szCs w:val="2"/>
              </w:rPr>
            </w:pPr>
          </w:p>
        </w:tc>
        <w:tc>
          <w:tcPr>
            <w:tcW w:w="675" w:type="dxa"/>
          </w:tcPr>
          <w:p>
            <w:pPr>
              <w:pStyle w:val="TableParagraph"/>
              <w:spacing w:line="238" w:lineRule="exact" w:before="15"/>
              <w:ind w:left="78" w:right="73"/>
              <w:rPr>
                <w:rFonts w:ascii="Times New Roman"/>
                <w:sz w:val="21"/>
              </w:rPr>
            </w:pPr>
            <w:r>
              <w:rPr>
                <w:rFonts w:ascii="Times New Roman"/>
                <w:sz w:val="21"/>
              </w:rPr>
              <w:t>6.7</w:t>
            </w:r>
          </w:p>
        </w:tc>
        <w:tc>
          <w:tcPr>
            <w:tcW w:w="916" w:type="dxa"/>
          </w:tcPr>
          <w:p>
            <w:pPr>
              <w:pStyle w:val="TableParagraph"/>
              <w:spacing w:line="238" w:lineRule="exact" w:before="15"/>
              <w:ind w:left="174" w:right="166"/>
              <w:rPr>
                <w:rFonts w:ascii="Times New Roman"/>
                <w:sz w:val="21"/>
              </w:rPr>
            </w:pPr>
            <w:r>
              <w:rPr>
                <w:rFonts w:ascii="Times New Roman"/>
                <w:sz w:val="21"/>
              </w:rPr>
              <w:t>2000</w:t>
            </w:r>
          </w:p>
        </w:tc>
        <w:tc>
          <w:tcPr>
            <w:tcW w:w="762" w:type="dxa"/>
          </w:tcPr>
          <w:p>
            <w:pPr>
              <w:pStyle w:val="TableParagraph"/>
              <w:spacing w:line="238" w:lineRule="exact" w:before="15"/>
              <w:ind w:right="110"/>
              <w:jc w:val="right"/>
              <w:rPr>
                <w:rFonts w:ascii="Times New Roman"/>
                <w:sz w:val="21"/>
              </w:rPr>
            </w:pPr>
            <w:r>
              <w:rPr>
                <w:rFonts w:ascii="Times New Roman"/>
                <w:sz w:val="21"/>
              </w:rPr>
              <w:t>30~40</w:t>
            </w:r>
          </w:p>
        </w:tc>
        <w:tc>
          <w:tcPr>
            <w:tcW w:w="452" w:type="dxa"/>
          </w:tcPr>
          <w:p>
            <w:pPr>
              <w:pStyle w:val="TableParagraph"/>
              <w:spacing w:line="238" w:lineRule="exact" w:before="15"/>
              <w:ind w:left="3"/>
              <w:rPr>
                <w:rFonts w:ascii="Times New Roman"/>
                <w:sz w:val="21"/>
              </w:rPr>
            </w:pPr>
            <w:r>
              <w:rPr>
                <w:rFonts w:ascii="Times New Roman"/>
                <w:w w:val="100"/>
                <w:sz w:val="21"/>
              </w:rPr>
              <w:t>/</w:t>
            </w:r>
          </w:p>
        </w:tc>
        <w:tc>
          <w:tcPr>
            <w:tcW w:w="498" w:type="dxa"/>
          </w:tcPr>
          <w:p>
            <w:pPr>
              <w:pStyle w:val="TableParagraph"/>
              <w:spacing w:line="238" w:lineRule="exact" w:before="15"/>
              <w:rPr>
                <w:rFonts w:ascii="Times New Roman"/>
                <w:sz w:val="21"/>
              </w:rPr>
            </w:pPr>
            <w:r>
              <w:rPr>
                <w:rFonts w:ascii="Times New Roman"/>
                <w:w w:val="100"/>
                <w:sz w:val="21"/>
              </w:rPr>
              <w:t>/</w:t>
            </w:r>
          </w:p>
        </w:tc>
        <w:tc>
          <w:tcPr>
            <w:tcW w:w="496" w:type="dxa"/>
          </w:tcPr>
          <w:p>
            <w:pPr>
              <w:pStyle w:val="TableParagraph"/>
              <w:spacing w:line="238" w:lineRule="exact" w:before="15"/>
              <w:ind w:right="4"/>
              <w:rPr>
                <w:rFonts w:ascii="Times New Roman"/>
                <w:sz w:val="21"/>
              </w:rPr>
            </w:pPr>
            <w:r>
              <w:rPr>
                <w:rFonts w:ascii="Times New Roman"/>
                <w:w w:val="100"/>
                <w:sz w:val="21"/>
              </w:rPr>
              <w:t>/</w:t>
            </w:r>
          </w:p>
        </w:tc>
        <w:tc>
          <w:tcPr>
            <w:tcW w:w="1704" w:type="dxa"/>
          </w:tcPr>
          <w:p>
            <w:pPr>
              <w:pStyle w:val="TableParagraph"/>
              <w:spacing w:line="238" w:lineRule="exact" w:before="15"/>
              <w:ind w:right="5"/>
              <w:rPr>
                <w:rFonts w:ascii="Times New Roman"/>
                <w:sz w:val="21"/>
              </w:rPr>
            </w:pPr>
            <w:r>
              <w:rPr>
                <w:rFonts w:ascii="Times New Roman"/>
                <w:w w:val="100"/>
                <w:sz w:val="21"/>
              </w:rPr>
              <w:t>/</w:t>
            </w:r>
          </w:p>
        </w:tc>
        <w:tc>
          <w:tcPr>
            <w:tcW w:w="1624" w:type="dxa"/>
            <w:vMerge/>
            <w:tcBorders>
              <w:top w:val="nil"/>
            </w:tcBorders>
          </w:tcPr>
          <w:p>
            <w:pPr>
              <w:rPr>
                <w:sz w:val="2"/>
                <w:szCs w:val="2"/>
              </w:rPr>
            </w:pPr>
          </w:p>
        </w:tc>
        <w:tc>
          <w:tcPr>
            <w:tcW w:w="676" w:type="dxa"/>
          </w:tcPr>
          <w:p>
            <w:pPr>
              <w:pStyle w:val="TableParagraph"/>
              <w:spacing w:line="238" w:lineRule="exact" w:before="15"/>
              <w:ind w:right="12"/>
              <w:rPr>
                <w:rFonts w:ascii="Times New Roman"/>
                <w:sz w:val="21"/>
              </w:rPr>
            </w:pPr>
            <w:r>
              <w:rPr>
                <w:rFonts w:ascii="Times New Roman"/>
                <w:w w:val="100"/>
                <w:sz w:val="21"/>
              </w:rPr>
              <w:t>/</w:t>
            </w:r>
          </w:p>
        </w:tc>
        <w:tc>
          <w:tcPr>
            <w:tcW w:w="917" w:type="dxa"/>
          </w:tcPr>
          <w:p>
            <w:pPr>
              <w:pStyle w:val="TableParagraph"/>
              <w:spacing w:line="238" w:lineRule="exact" w:before="15"/>
              <w:ind w:right="16"/>
              <w:rPr>
                <w:rFonts w:ascii="Times New Roman"/>
                <w:sz w:val="21"/>
              </w:rPr>
            </w:pPr>
            <w:r>
              <w:rPr>
                <w:rFonts w:ascii="Times New Roman"/>
                <w:w w:val="100"/>
                <w:sz w:val="21"/>
              </w:rPr>
              <w:t>/</w:t>
            </w:r>
          </w:p>
        </w:tc>
        <w:tc>
          <w:tcPr>
            <w:tcW w:w="763" w:type="dxa"/>
          </w:tcPr>
          <w:p>
            <w:pPr>
              <w:pStyle w:val="TableParagraph"/>
              <w:spacing w:line="238" w:lineRule="exact" w:before="15"/>
              <w:ind w:right="24"/>
              <w:rPr>
                <w:rFonts w:ascii="Times New Roman"/>
                <w:sz w:val="21"/>
              </w:rPr>
            </w:pPr>
            <w:r>
              <w:rPr>
                <w:rFonts w:ascii="Times New Roman"/>
                <w:w w:val="100"/>
                <w:sz w:val="21"/>
              </w:rPr>
              <w:t>/</w:t>
            </w:r>
          </w:p>
        </w:tc>
        <w:tc>
          <w:tcPr>
            <w:tcW w:w="554" w:type="dxa"/>
          </w:tcPr>
          <w:p>
            <w:pPr>
              <w:pStyle w:val="TableParagraph"/>
              <w:spacing w:line="238" w:lineRule="exact" w:before="15"/>
              <w:ind w:right="21"/>
              <w:rPr>
                <w:rFonts w:ascii="Times New Roman"/>
                <w:sz w:val="21"/>
              </w:rPr>
            </w:pPr>
            <w:r>
              <w:rPr>
                <w:rFonts w:ascii="Times New Roman"/>
                <w:w w:val="100"/>
                <w:sz w:val="21"/>
              </w:rPr>
              <w:t>/</w:t>
            </w:r>
          </w:p>
        </w:tc>
        <w:tc>
          <w:tcPr>
            <w:tcW w:w="657" w:type="dxa"/>
          </w:tcPr>
          <w:p>
            <w:pPr>
              <w:pStyle w:val="TableParagraph"/>
              <w:spacing w:line="238" w:lineRule="exact" w:before="15"/>
              <w:ind w:right="27"/>
              <w:rPr>
                <w:rFonts w:ascii="Times New Roman"/>
                <w:sz w:val="21"/>
              </w:rPr>
            </w:pPr>
            <w:r>
              <w:rPr>
                <w:rFonts w:ascii="Times New Roman"/>
                <w:w w:val="100"/>
                <w:sz w:val="21"/>
              </w:rPr>
              <w:t>/</w:t>
            </w:r>
          </w:p>
        </w:tc>
        <w:tc>
          <w:tcPr>
            <w:tcW w:w="659" w:type="dxa"/>
          </w:tcPr>
          <w:p>
            <w:pPr>
              <w:pStyle w:val="TableParagraph"/>
              <w:spacing w:line="238" w:lineRule="exact" w:before="15"/>
              <w:ind w:right="33"/>
              <w:rPr>
                <w:rFonts w:ascii="Times New Roman"/>
                <w:sz w:val="21"/>
              </w:rPr>
            </w:pPr>
            <w:r>
              <w:rPr>
                <w:rFonts w:ascii="Times New Roman"/>
                <w:w w:val="100"/>
                <w:sz w:val="21"/>
              </w:rPr>
              <w:t>/</w:t>
            </w:r>
          </w:p>
        </w:tc>
      </w:tr>
    </w:tbl>
    <w:p>
      <w:pPr>
        <w:spacing w:after="0" w:line="238" w:lineRule="exact"/>
        <w:rPr>
          <w:rFonts w:ascii="Times New Roman"/>
          <w:sz w:val="21"/>
        </w:rPr>
        <w:sectPr>
          <w:pgSz w:w="16850" w:h="11910" w:orient="landscape"/>
          <w:pgMar w:header="730" w:footer="834" w:top="1180" w:bottom="1020" w:left="1240" w:right="1240"/>
        </w:sectPr>
      </w:pPr>
    </w:p>
    <w:p>
      <w:pPr>
        <w:pStyle w:val="BodyText"/>
        <w:spacing w:before="11"/>
        <w:rPr>
          <w:b/>
          <w:sz w:val="28"/>
        </w:rPr>
      </w:pPr>
    </w:p>
    <w:p>
      <w:pPr>
        <w:spacing w:before="74"/>
        <w:ind w:left="498" w:right="0" w:firstLine="0"/>
        <w:jc w:val="left"/>
        <w:rPr>
          <w:b/>
          <w:sz w:val="24"/>
        </w:rPr>
      </w:pPr>
      <w:r>
        <w:rPr>
          <w:rFonts w:ascii="Times New Roman" w:eastAsia="Times New Roman"/>
          <w:b/>
          <w:sz w:val="24"/>
        </w:rPr>
        <w:t>3</w:t>
      </w:r>
      <w:r>
        <w:rPr>
          <w:b/>
          <w:sz w:val="24"/>
        </w:rPr>
        <w:t>、固废</w:t>
      </w:r>
    </w:p>
    <w:p>
      <w:pPr>
        <w:pStyle w:val="BodyText"/>
        <w:spacing w:before="8"/>
        <w:rPr>
          <w:b/>
          <w:sz w:val="17"/>
        </w:rPr>
      </w:pPr>
    </w:p>
    <w:p>
      <w:pPr>
        <w:tabs>
          <w:tab w:pos="1041" w:val="left" w:leader="none"/>
        </w:tabs>
        <w:spacing w:before="74" w:after="29"/>
        <w:ind w:left="0" w:right="77" w:firstLine="0"/>
        <w:jc w:val="center"/>
        <w:rPr>
          <w:b/>
          <w:sz w:val="24"/>
        </w:rPr>
      </w:pPr>
      <w:r>
        <w:rPr>
          <w:b/>
          <w:sz w:val="24"/>
        </w:rPr>
        <w:t>表</w:t>
      </w:r>
      <w:r>
        <w:rPr>
          <w:b/>
          <w:spacing w:val="-60"/>
          <w:sz w:val="24"/>
        </w:rPr>
        <w:t> </w:t>
      </w:r>
      <w:r>
        <w:rPr>
          <w:rFonts w:ascii="Times New Roman" w:eastAsia="Times New Roman"/>
          <w:b/>
          <w:sz w:val="24"/>
        </w:rPr>
        <w:t>4.4-5</w:t>
        <w:tab/>
      </w:r>
      <w:r>
        <w:rPr>
          <w:b/>
          <w:w w:val="95"/>
          <w:sz w:val="24"/>
        </w:rPr>
        <w:t>项目固废产生及处置情况表</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
        <w:gridCol w:w="919"/>
        <w:gridCol w:w="909"/>
        <w:gridCol w:w="446"/>
        <w:gridCol w:w="928"/>
        <w:gridCol w:w="611"/>
        <w:gridCol w:w="827"/>
        <w:gridCol w:w="991"/>
        <w:gridCol w:w="643"/>
        <w:gridCol w:w="626"/>
        <w:gridCol w:w="797"/>
        <w:gridCol w:w="1080"/>
      </w:tblGrid>
      <w:tr>
        <w:trPr>
          <w:trHeight w:val="786" w:hRule="atLeast"/>
        </w:trPr>
        <w:tc>
          <w:tcPr>
            <w:tcW w:w="300" w:type="dxa"/>
          </w:tcPr>
          <w:p>
            <w:pPr>
              <w:pStyle w:val="TableParagraph"/>
              <w:spacing w:line="242" w:lineRule="auto" w:before="123"/>
              <w:ind w:left="43" w:right="33"/>
              <w:jc w:val="left"/>
              <w:rPr>
                <w:b/>
                <w:sz w:val="21"/>
              </w:rPr>
            </w:pPr>
            <w:r>
              <w:rPr>
                <w:b/>
                <w:sz w:val="21"/>
              </w:rPr>
              <w:t>序号</w:t>
            </w:r>
          </w:p>
        </w:tc>
        <w:tc>
          <w:tcPr>
            <w:tcW w:w="919" w:type="dxa"/>
          </w:tcPr>
          <w:p>
            <w:pPr>
              <w:pStyle w:val="TableParagraph"/>
              <w:spacing w:before="3"/>
              <w:jc w:val="left"/>
              <w:rPr>
                <w:b/>
                <w:sz w:val="20"/>
              </w:rPr>
            </w:pPr>
          </w:p>
          <w:p>
            <w:pPr>
              <w:pStyle w:val="TableParagraph"/>
              <w:spacing w:before="1"/>
              <w:ind w:left="16" w:right="9"/>
              <w:rPr>
                <w:b/>
                <w:sz w:val="21"/>
              </w:rPr>
            </w:pPr>
            <w:r>
              <w:rPr>
                <w:b/>
                <w:sz w:val="21"/>
              </w:rPr>
              <w:t>固废名称</w:t>
            </w:r>
          </w:p>
        </w:tc>
        <w:tc>
          <w:tcPr>
            <w:tcW w:w="909" w:type="dxa"/>
          </w:tcPr>
          <w:p>
            <w:pPr>
              <w:pStyle w:val="TableParagraph"/>
              <w:spacing w:line="242" w:lineRule="auto" w:before="123"/>
              <w:ind w:left="136" w:right="18" w:hanging="104"/>
              <w:jc w:val="left"/>
              <w:rPr>
                <w:b/>
                <w:sz w:val="21"/>
              </w:rPr>
            </w:pPr>
            <w:r>
              <w:rPr>
                <w:b/>
                <w:sz w:val="21"/>
              </w:rPr>
              <w:t>产生工序及装置</w:t>
            </w:r>
          </w:p>
        </w:tc>
        <w:tc>
          <w:tcPr>
            <w:tcW w:w="446" w:type="dxa"/>
          </w:tcPr>
          <w:p>
            <w:pPr>
              <w:pStyle w:val="TableParagraph"/>
              <w:spacing w:before="3"/>
              <w:jc w:val="left"/>
              <w:rPr>
                <w:b/>
                <w:sz w:val="20"/>
              </w:rPr>
            </w:pPr>
          </w:p>
          <w:p>
            <w:pPr>
              <w:pStyle w:val="TableParagraph"/>
              <w:spacing w:before="1"/>
              <w:ind w:left="6"/>
              <w:rPr>
                <w:b/>
                <w:sz w:val="21"/>
              </w:rPr>
            </w:pPr>
            <w:r>
              <w:rPr>
                <w:b/>
                <w:sz w:val="21"/>
              </w:rPr>
              <w:t>形态</w:t>
            </w:r>
          </w:p>
        </w:tc>
        <w:tc>
          <w:tcPr>
            <w:tcW w:w="928" w:type="dxa"/>
          </w:tcPr>
          <w:p>
            <w:pPr>
              <w:pStyle w:val="TableParagraph"/>
              <w:spacing w:before="3"/>
              <w:jc w:val="left"/>
              <w:rPr>
                <w:b/>
                <w:sz w:val="20"/>
              </w:rPr>
            </w:pPr>
          </w:p>
          <w:p>
            <w:pPr>
              <w:pStyle w:val="TableParagraph"/>
              <w:spacing w:before="1"/>
              <w:ind w:left="22" w:right="11"/>
              <w:rPr>
                <w:b/>
                <w:sz w:val="21"/>
              </w:rPr>
            </w:pPr>
            <w:r>
              <w:rPr>
                <w:b/>
                <w:sz w:val="21"/>
              </w:rPr>
              <w:t>主要成分</w:t>
            </w:r>
          </w:p>
        </w:tc>
        <w:tc>
          <w:tcPr>
            <w:tcW w:w="611" w:type="dxa"/>
          </w:tcPr>
          <w:p>
            <w:pPr>
              <w:pStyle w:val="TableParagraph"/>
              <w:spacing w:line="242" w:lineRule="auto" w:before="123"/>
              <w:ind w:left="95" w:right="80"/>
              <w:jc w:val="left"/>
              <w:rPr>
                <w:b/>
                <w:sz w:val="21"/>
              </w:rPr>
            </w:pPr>
            <w:r>
              <w:rPr>
                <w:b/>
                <w:sz w:val="21"/>
              </w:rPr>
              <w:t>有害成分</w:t>
            </w:r>
          </w:p>
        </w:tc>
        <w:tc>
          <w:tcPr>
            <w:tcW w:w="827" w:type="dxa"/>
          </w:tcPr>
          <w:p>
            <w:pPr>
              <w:pStyle w:val="TableParagraph"/>
              <w:spacing w:before="3"/>
              <w:jc w:val="left"/>
              <w:rPr>
                <w:b/>
                <w:sz w:val="20"/>
              </w:rPr>
            </w:pPr>
          </w:p>
          <w:p>
            <w:pPr>
              <w:pStyle w:val="TableParagraph"/>
              <w:spacing w:before="1"/>
              <w:ind w:left="77" w:right="62"/>
              <w:rPr>
                <w:b/>
                <w:sz w:val="21"/>
              </w:rPr>
            </w:pPr>
            <w:r>
              <w:rPr>
                <w:b/>
                <w:sz w:val="21"/>
              </w:rPr>
              <w:t>属性</w:t>
            </w:r>
          </w:p>
        </w:tc>
        <w:tc>
          <w:tcPr>
            <w:tcW w:w="991" w:type="dxa"/>
          </w:tcPr>
          <w:p>
            <w:pPr>
              <w:pStyle w:val="TableParagraph"/>
              <w:spacing w:line="242" w:lineRule="auto" w:before="123"/>
              <w:ind w:left="287" w:right="-29" w:hanging="279"/>
              <w:jc w:val="left"/>
              <w:rPr>
                <w:b/>
                <w:sz w:val="21"/>
              </w:rPr>
            </w:pPr>
            <w:r>
              <w:rPr>
                <w:b/>
                <w:spacing w:val="-13"/>
                <w:sz w:val="21"/>
              </w:rPr>
              <w:t>废物类别、</w:t>
            </w:r>
            <w:r>
              <w:rPr>
                <w:b/>
                <w:sz w:val="21"/>
              </w:rPr>
              <w:t>代码</w:t>
            </w:r>
          </w:p>
        </w:tc>
        <w:tc>
          <w:tcPr>
            <w:tcW w:w="643" w:type="dxa"/>
          </w:tcPr>
          <w:p>
            <w:pPr>
              <w:pStyle w:val="TableParagraph"/>
              <w:spacing w:line="242" w:lineRule="auto" w:before="123"/>
              <w:ind w:left="220" w:right="-15" w:hanging="212"/>
              <w:jc w:val="left"/>
              <w:rPr>
                <w:b/>
                <w:sz w:val="21"/>
              </w:rPr>
            </w:pPr>
            <w:r>
              <w:rPr>
                <w:b/>
                <w:spacing w:val="-5"/>
                <w:sz w:val="21"/>
              </w:rPr>
              <w:t>危险特</w:t>
            </w:r>
            <w:r>
              <w:rPr>
                <w:b/>
                <w:sz w:val="21"/>
              </w:rPr>
              <w:t>性</w:t>
            </w:r>
          </w:p>
        </w:tc>
        <w:tc>
          <w:tcPr>
            <w:tcW w:w="626" w:type="dxa"/>
          </w:tcPr>
          <w:p>
            <w:pPr>
              <w:pStyle w:val="TableParagraph"/>
              <w:spacing w:line="242" w:lineRule="auto" w:before="3"/>
              <w:ind w:left="211" w:right="85" w:hanging="106"/>
              <w:jc w:val="left"/>
              <w:rPr>
                <w:b/>
                <w:sz w:val="21"/>
              </w:rPr>
            </w:pPr>
            <w:r>
              <w:rPr>
                <w:b/>
                <w:spacing w:val="-9"/>
                <w:sz w:val="21"/>
              </w:rPr>
              <w:t>产生</w:t>
            </w:r>
            <w:r>
              <w:rPr>
                <w:b/>
                <w:sz w:val="21"/>
              </w:rPr>
              <w:t>量</w:t>
            </w:r>
          </w:p>
          <w:p>
            <w:pPr>
              <w:pStyle w:val="TableParagraph"/>
              <w:spacing w:line="220" w:lineRule="exact"/>
              <w:ind w:left="201"/>
              <w:jc w:val="left"/>
              <w:rPr>
                <w:rFonts w:ascii="Times New Roman"/>
                <w:b/>
                <w:sz w:val="21"/>
              </w:rPr>
            </w:pPr>
            <w:r>
              <w:rPr>
                <w:rFonts w:ascii="Times New Roman"/>
                <w:b/>
                <w:sz w:val="21"/>
              </w:rPr>
              <w:t>t/a</w:t>
            </w:r>
          </w:p>
        </w:tc>
        <w:tc>
          <w:tcPr>
            <w:tcW w:w="797" w:type="dxa"/>
          </w:tcPr>
          <w:p>
            <w:pPr>
              <w:pStyle w:val="TableParagraph"/>
              <w:spacing w:line="242" w:lineRule="auto" w:before="123"/>
              <w:ind w:left="298" w:right="64" w:hanging="212"/>
              <w:jc w:val="left"/>
              <w:rPr>
                <w:b/>
                <w:sz w:val="21"/>
              </w:rPr>
            </w:pPr>
            <w:r>
              <w:rPr>
                <w:b/>
                <w:sz w:val="21"/>
              </w:rPr>
              <w:t>产废周期</w:t>
            </w:r>
          </w:p>
        </w:tc>
        <w:tc>
          <w:tcPr>
            <w:tcW w:w="1080" w:type="dxa"/>
          </w:tcPr>
          <w:p>
            <w:pPr>
              <w:pStyle w:val="TableParagraph"/>
              <w:spacing w:line="242" w:lineRule="auto" w:before="123"/>
              <w:ind w:left="437" w:right="-15" w:hanging="420"/>
              <w:jc w:val="left"/>
              <w:rPr>
                <w:b/>
                <w:sz w:val="21"/>
              </w:rPr>
            </w:pPr>
            <w:r>
              <w:rPr>
                <w:b/>
                <w:sz w:val="21"/>
              </w:rPr>
              <w:t>污染防治措施</w:t>
            </w:r>
          </w:p>
        </w:tc>
      </w:tr>
      <w:tr>
        <w:trPr>
          <w:trHeight w:val="544" w:hRule="atLeast"/>
        </w:trPr>
        <w:tc>
          <w:tcPr>
            <w:tcW w:w="300" w:type="dxa"/>
          </w:tcPr>
          <w:p>
            <w:pPr>
              <w:pStyle w:val="TableParagraph"/>
              <w:spacing w:before="151"/>
              <w:ind w:left="7"/>
              <w:rPr>
                <w:rFonts w:ascii="Times New Roman"/>
                <w:sz w:val="21"/>
              </w:rPr>
            </w:pPr>
            <w:r>
              <w:rPr>
                <w:rFonts w:ascii="Times New Roman"/>
                <w:w w:val="100"/>
                <w:sz w:val="21"/>
              </w:rPr>
              <w:t>1</w:t>
            </w:r>
          </w:p>
        </w:tc>
        <w:tc>
          <w:tcPr>
            <w:tcW w:w="919" w:type="dxa"/>
          </w:tcPr>
          <w:p>
            <w:pPr>
              <w:pStyle w:val="TableParagraph"/>
              <w:spacing w:before="138"/>
              <w:ind w:left="16" w:right="9"/>
              <w:rPr>
                <w:sz w:val="21"/>
              </w:rPr>
            </w:pPr>
            <w:r>
              <w:rPr>
                <w:sz w:val="21"/>
              </w:rPr>
              <w:t>污泥</w:t>
            </w:r>
          </w:p>
        </w:tc>
        <w:tc>
          <w:tcPr>
            <w:tcW w:w="909" w:type="dxa"/>
          </w:tcPr>
          <w:p>
            <w:pPr>
              <w:pStyle w:val="TableParagraph"/>
              <w:spacing w:before="138"/>
              <w:ind w:left="14" w:right="4"/>
              <w:rPr>
                <w:sz w:val="21"/>
              </w:rPr>
            </w:pPr>
            <w:r>
              <w:rPr>
                <w:sz w:val="21"/>
              </w:rPr>
              <w:t>废水处理</w:t>
            </w:r>
          </w:p>
        </w:tc>
        <w:tc>
          <w:tcPr>
            <w:tcW w:w="446" w:type="dxa"/>
          </w:tcPr>
          <w:p>
            <w:pPr>
              <w:pStyle w:val="TableParagraph"/>
              <w:spacing w:before="1"/>
              <w:ind w:left="12"/>
              <w:jc w:val="left"/>
              <w:rPr>
                <w:sz w:val="21"/>
              </w:rPr>
            </w:pPr>
            <w:r>
              <w:rPr>
                <w:sz w:val="21"/>
              </w:rPr>
              <w:t>半固</w:t>
            </w:r>
          </w:p>
          <w:p>
            <w:pPr>
              <w:pStyle w:val="TableParagraph"/>
              <w:spacing w:line="250" w:lineRule="exact" w:before="4"/>
              <w:ind w:left="115"/>
              <w:jc w:val="left"/>
              <w:rPr>
                <w:sz w:val="21"/>
              </w:rPr>
            </w:pPr>
            <w:r>
              <w:rPr>
                <w:w w:val="100"/>
                <w:sz w:val="21"/>
              </w:rPr>
              <w:t>态</w:t>
            </w:r>
          </w:p>
        </w:tc>
        <w:tc>
          <w:tcPr>
            <w:tcW w:w="928" w:type="dxa"/>
          </w:tcPr>
          <w:p>
            <w:pPr>
              <w:pStyle w:val="TableParagraph"/>
              <w:spacing w:before="138"/>
              <w:ind w:left="22" w:right="11"/>
              <w:rPr>
                <w:sz w:val="21"/>
              </w:rPr>
            </w:pPr>
            <w:r>
              <w:rPr>
                <w:sz w:val="21"/>
              </w:rPr>
              <w:t>污泥</w:t>
            </w:r>
          </w:p>
        </w:tc>
        <w:tc>
          <w:tcPr>
            <w:tcW w:w="611" w:type="dxa"/>
          </w:tcPr>
          <w:p>
            <w:pPr>
              <w:pStyle w:val="TableParagraph"/>
              <w:spacing w:before="138"/>
              <w:ind w:left="77" w:right="64"/>
              <w:rPr>
                <w:sz w:val="21"/>
              </w:rPr>
            </w:pPr>
            <w:r>
              <w:rPr>
                <w:sz w:val="21"/>
              </w:rPr>
              <w:t>农药</w:t>
            </w:r>
          </w:p>
        </w:tc>
        <w:tc>
          <w:tcPr>
            <w:tcW w:w="827" w:type="dxa"/>
          </w:tcPr>
          <w:p>
            <w:pPr>
              <w:pStyle w:val="TableParagraph"/>
              <w:spacing w:before="1"/>
              <w:ind w:left="82" w:right="62"/>
              <w:rPr>
                <w:sz w:val="21"/>
              </w:rPr>
            </w:pPr>
            <w:r>
              <w:rPr>
                <w:sz w:val="21"/>
              </w:rPr>
              <w:t>危险废</w:t>
            </w:r>
          </w:p>
          <w:p>
            <w:pPr>
              <w:pStyle w:val="TableParagraph"/>
              <w:spacing w:line="250" w:lineRule="exact" w:before="4"/>
              <w:ind w:left="15"/>
              <w:rPr>
                <w:sz w:val="21"/>
              </w:rPr>
            </w:pPr>
            <w:r>
              <w:rPr>
                <w:w w:val="100"/>
                <w:sz w:val="21"/>
              </w:rPr>
              <w:t>物</w:t>
            </w:r>
          </w:p>
        </w:tc>
        <w:tc>
          <w:tcPr>
            <w:tcW w:w="991" w:type="dxa"/>
          </w:tcPr>
          <w:p>
            <w:pPr>
              <w:pStyle w:val="TableParagraph"/>
              <w:spacing w:before="31"/>
              <w:ind w:left="9" w:right="-15" w:firstLine="208"/>
              <w:jc w:val="left"/>
              <w:rPr>
                <w:rFonts w:ascii="Times New Roman"/>
                <w:sz w:val="21"/>
              </w:rPr>
            </w:pPr>
            <w:r>
              <w:rPr>
                <w:rFonts w:ascii="Times New Roman"/>
                <w:sz w:val="21"/>
              </w:rPr>
              <w:t>HW04 </w:t>
            </w:r>
            <w:r>
              <w:rPr>
                <w:rFonts w:ascii="Times New Roman"/>
                <w:spacing w:val="-1"/>
                <w:sz w:val="21"/>
              </w:rPr>
              <w:t>263-011-04</w:t>
            </w:r>
          </w:p>
        </w:tc>
        <w:tc>
          <w:tcPr>
            <w:tcW w:w="643" w:type="dxa"/>
          </w:tcPr>
          <w:p>
            <w:pPr>
              <w:pStyle w:val="TableParagraph"/>
              <w:spacing w:before="151"/>
              <w:ind w:left="261"/>
              <w:jc w:val="left"/>
              <w:rPr>
                <w:rFonts w:ascii="Times New Roman"/>
                <w:sz w:val="21"/>
              </w:rPr>
            </w:pPr>
            <w:r>
              <w:rPr>
                <w:rFonts w:ascii="Times New Roman"/>
                <w:w w:val="100"/>
                <w:sz w:val="21"/>
              </w:rPr>
              <w:t>T</w:t>
            </w:r>
          </w:p>
        </w:tc>
        <w:tc>
          <w:tcPr>
            <w:tcW w:w="626" w:type="dxa"/>
          </w:tcPr>
          <w:p>
            <w:pPr>
              <w:pStyle w:val="TableParagraph"/>
              <w:spacing w:before="151"/>
              <w:ind w:left="142" w:right="119"/>
              <w:rPr>
                <w:rFonts w:ascii="Times New Roman"/>
                <w:sz w:val="21"/>
              </w:rPr>
            </w:pPr>
            <w:r>
              <w:rPr>
                <w:rFonts w:ascii="Times New Roman"/>
                <w:sz w:val="21"/>
              </w:rPr>
              <w:t>100</w:t>
            </w:r>
          </w:p>
        </w:tc>
        <w:tc>
          <w:tcPr>
            <w:tcW w:w="797" w:type="dxa"/>
          </w:tcPr>
          <w:p>
            <w:pPr>
              <w:pStyle w:val="TableParagraph"/>
              <w:spacing w:before="138"/>
              <w:ind w:left="173" w:right="153"/>
              <w:rPr>
                <w:sz w:val="21"/>
              </w:rPr>
            </w:pPr>
            <w:r>
              <w:rPr>
                <w:sz w:val="21"/>
              </w:rPr>
              <w:t>每天</w:t>
            </w:r>
          </w:p>
        </w:tc>
        <w:tc>
          <w:tcPr>
            <w:tcW w:w="1080" w:type="dxa"/>
            <w:vMerge w:val="restart"/>
          </w:tcPr>
          <w:p>
            <w:pPr>
              <w:pStyle w:val="TableParagraph"/>
              <w:spacing w:before="10"/>
              <w:jc w:val="left"/>
              <w:rPr>
                <w:b/>
                <w:sz w:val="21"/>
              </w:rPr>
            </w:pPr>
          </w:p>
          <w:p>
            <w:pPr>
              <w:pStyle w:val="TableParagraph"/>
              <w:spacing w:line="242" w:lineRule="auto"/>
              <w:ind w:left="123" w:right="-15" w:hanging="106"/>
              <w:jc w:val="left"/>
              <w:rPr>
                <w:sz w:val="21"/>
              </w:rPr>
            </w:pPr>
            <w:r>
              <w:rPr>
                <w:spacing w:val="-1"/>
                <w:sz w:val="21"/>
              </w:rPr>
              <w:t>委托有资质</w:t>
            </w:r>
            <w:r>
              <w:rPr>
                <w:spacing w:val="-2"/>
                <w:sz w:val="21"/>
              </w:rPr>
              <w:t>单位处置</w:t>
            </w:r>
          </w:p>
        </w:tc>
      </w:tr>
      <w:tr>
        <w:trPr>
          <w:trHeight w:val="544" w:hRule="atLeast"/>
        </w:trPr>
        <w:tc>
          <w:tcPr>
            <w:tcW w:w="300" w:type="dxa"/>
          </w:tcPr>
          <w:p>
            <w:pPr>
              <w:pStyle w:val="TableParagraph"/>
              <w:spacing w:before="151"/>
              <w:ind w:left="7"/>
              <w:rPr>
                <w:rFonts w:ascii="Times New Roman"/>
                <w:sz w:val="21"/>
              </w:rPr>
            </w:pPr>
            <w:r>
              <w:rPr>
                <w:rFonts w:ascii="Times New Roman"/>
                <w:w w:val="100"/>
                <w:sz w:val="21"/>
              </w:rPr>
              <w:t>2</w:t>
            </w:r>
          </w:p>
        </w:tc>
        <w:tc>
          <w:tcPr>
            <w:tcW w:w="919" w:type="dxa"/>
          </w:tcPr>
          <w:p>
            <w:pPr>
              <w:pStyle w:val="TableParagraph"/>
              <w:spacing w:before="138"/>
              <w:ind w:left="16" w:right="7"/>
              <w:rPr>
                <w:sz w:val="21"/>
              </w:rPr>
            </w:pPr>
            <w:r>
              <w:rPr>
                <w:sz w:val="21"/>
              </w:rPr>
              <w:t>废包装袋</w:t>
            </w:r>
          </w:p>
        </w:tc>
        <w:tc>
          <w:tcPr>
            <w:tcW w:w="909" w:type="dxa"/>
          </w:tcPr>
          <w:p>
            <w:pPr>
              <w:pStyle w:val="TableParagraph"/>
              <w:spacing w:before="138"/>
              <w:ind w:left="14" w:right="4"/>
              <w:rPr>
                <w:sz w:val="21"/>
              </w:rPr>
            </w:pPr>
            <w:r>
              <w:rPr>
                <w:sz w:val="21"/>
              </w:rPr>
              <w:t>原料拆包</w:t>
            </w:r>
          </w:p>
        </w:tc>
        <w:tc>
          <w:tcPr>
            <w:tcW w:w="446" w:type="dxa"/>
          </w:tcPr>
          <w:p>
            <w:pPr>
              <w:pStyle w:val="TableParagraph"/>
              <w:spacing w:before="138"/>
              <w:ind w:left="11"/>
              <w:rPr>
                <w:sz w:val="21"/>
              </w:rPr>
            </w:pPr>
            <w:r>
              <w:rPr>
                <w:sz w:val="21"/>
              </w:rPr>
              <w:t>固态</w:t>
            </w:r>
          </w:p>
        </w:tc>
        <w:tc>
          <w:tcPr>
            <w:tcW w:w="928" w:type="dxa"/>
          </w:tcPr>
          <w:p>
            <w:pPr>
              <w:pStyle w:val="TableParagraph"/>
              <w:spacing w:before="1"/>
              <w:ind w:left="44"/>
              <w:jc w:val="left"/>
              <w:rPr>
                <w:sz w:val="21"/>
              </w:rPr>
            </w:pPr>
            <w:r>
              <w:rPr>
                <w:sz w:val="21"/>
              </w:rPr>
              <w:t>编织袋、</w:t>
            </w:r>
          </w:p>
          <w:p>
            <w:pPr>
              <w:pStyle w:val="TableParagraph"/>
              <w:spacing w:line="250" w:lineRule="exact" w:before="4"/>
              <w:ind w:left="147"/>
              <w:jc w:val="left"/>
              <w:rPr>
                <w:sz w:val="21"/>
              </w:rPr>
            </w:pPr>
            <w:r>
              <w:rPr>
                <w:sz w:val="21"/>
              </w:rPr>
              <w:t>内衬袋</w:t>
            </w:r>
          </w:p>
        </w:tc>
        <w:tc>
          <w:tcPr>
            <w:tcW w:w="611" w:type="dxa"/>
          </w:tcPr>
          <w:p>
            <w:pPr>
              <w:pStyle w:val="TableParagraph"/>
              <w:spacing w:before="138"/>
              <w:ind w:left="77" w:right="64"/>
              <w:rPr>
                <w:sz w:val="21"/>
              </w:rPr>
            </w:pPr>
            <w:r>
              <w:rPr>
                <w:sz w:val="21"/>
              </w:rPr>
              <w:t>农药</w:t>
            </w:r>
          </w:p>
        </w:tc>
        <w:tc>
          <w:tcPr>
            <w:tcW w:w="827" w:type="dxa"/>
          </w:tcPr>
          <w:p>
            <w:pPr>
              <w:pStyle w:val="TableParagraph"/>
              <w:spacing w:before="1"/>
              <w:ind w:left="82" w:right="62"/>
              <w:rPr>
                <w:sz w:val="21"/>
              </w:rPr>
            </w:pPr>
            <w:r>
              <w:rPr>
                <w:sz w:val="21"/>
              </w:rPr>
              <w:t>危险废</w:t>
            </w:r>
          </w:p>
          <w:p>
            <w:pPr>
              <w:pStyle w:val="TableParagraph"/>
              <w:spacing w:line="250" w:lineRule="exact" w:before="4"/>
              <w:ind w:left="15"/>
              <w:rPr>
                <w:sz w:val="21"/>
              </w:rPr>
            </w:pPr>
            <w:r>
              <w:rPr>
                <w:w w:val="100"/>
                <w:sz w:val="21"/>
              </w:rPr>
              <w:t>物</w:t>
            </w:r>
          </w:p>
        </w:tc>
        <w:tc>
          <w:tcPr>
            <w:tcW w:w="991" w:type="dxa"/>
          </w:tcPr>
          <w:p>
            <w:pPr>
              <w:pStyle w:val="TableParagraph"/>
              <w:spacing w:before="31"/>
              <w:ind w:left="9" w:right="-15" w:firstLine="208"/>
              <w:jc w:val="left"/>
              <w:rPr>
                <w:rFonts w:ascii="Times New Roman"/>
                <w:sz w:val="21"/>
              </w:rPr>
            </w:pPr>
            <w:r>
              <w:rPr>
                <w:rFonts w:ascii="Times New Roman"/>
                <w:sz w:val="21"/>
              </w:rPr>
              <w:t>HW49 </w:t>
            </w:r>
            <w:r>
              <w:rPr>
                <w:rFonts w:ascii="Times New Roman"/>
                <w:spacing w:val="-1"/>
                <w:sz w:val="21"/>
              </w:rPr>
              <w:t>900-041-49</w:t>
            </w:r>
          </w:p>
        </w:tc>
        <w:tc>
          <w:tcPr>
            <w:tcW w:w="643" w:type="dxa"/>
          </w:tcPr>
          <w:p>
            <w:pPr>
              <w:pStyle w:val="TableParagraph"/>
              <w:spacing w:before="151"/>
              <w:ind w:left="261"/>
              <w:jc w:val="left"/>
              <w:rPr>
                <w:rFonts w:ascii="Times New Roman"/>
                <w:sz w:val="21"/>
              </w:rPr>
            </w:pPr>
            <w:r>
              <w:rPr>
                <w:rFonts w:ascii="Times New Roman"/>
                <w:w w:val="100"/>
                <w:sz w:val="21"/>
              </w:rPr>
              <w:t>T</w:t>
            </w:r>
          </w:p>
        </w:tc>
        <w:tc>
          <w:tcPr>
            <w:tcW w:w="626" w:type="dxa"/>
          </w:tcPr>
          <w:p>
            <w:pPr>
              <w:pStyle w:val="TableParagraph"/>
              <w:spacing w:before="151"/>
              <w:ind w:left="18"/>
              <w:rPr>
                <w:rFonts w:ascii="Times New Roman"/>
                <w:sz w:val="21"/>
              </w:rPr>
            </w:pPr>
            <w:r>
              <w:rPr>
                <w:rFonts w:ascii="Times New Roman"/>
                <w:w w:val="100"/>
                <w:sz w:val="21"/>
              </w:rPr>
              <w:t>5</w:t>
            </w:r>
          </w:p>
        </w:tc>
        <w:tc>
          <w:tcPr>
            <w:tcW w:w="797" w:type="dxa"/>
          </w:tcPr>
          <w:p>
            <w:pPr>
              <w:pStyle w:val="TableParagraph"/>
              <w:spacing w:before="138"/>
              <w:ind w:left="173" w:right="153"/>
              <w:rPr>
                <w:sz w:val="21"/>
              </w:rPr>
            </w:pPr>
            <w:r>
              <w:rPr>
                <w:sz w:val="21"/>
              </w:rPr>
              <w:t>每天</w:t>
            </w:r>
          </w:p>
        </w:tc>
        <w:tc>
          <w:tcPr>
            <w:tcW w:w="1080" w:type="dxa"/>
            <w:vMerge/>
            <w:tcBorders>
              <w:top w:val="nil"/>
            </w:tcBorders>
          </w:tcPr>
          <w:p>
            <w:pPr>
              <w:rPr>
                <w:sz w:val="2"/>
                <w:szCs w:val="2"/>
              </w:rPr>
            </w:pPr>
          </w:p>
        </w:tc>
      </w:tr>
      <w:tr>
        <w:trPr>
          <w:trHeight w:val="544" w:hRule="atLeast"/>
        </w:trPr>
        <w:tc>
          <w:tcPr>
            <w:tcW w:w="300" w:type="dxa"/>
          </w:tcPr>
          <w:p>
            <w:pPr>
              <w:pStyle w:val="TableParagraph"/>
              <w:spacing w:before="151"/>
              <w:ind w:left="7"/>
              <w:rPr>
                <w:rFonts w:ascii="Times New Roman"/>
                <w:sz w:val="21"/>
              </w:rPr>
            </w:pPr>
            <w:r>
              <w:rPr>
                <w:rFonts w:ascii="Times New Roman"/>
                <w:w w:val="100"/>
                <w:sz w:val="21"/>
              </w:rPr>
              <w:t>4</w:t>
            </w:r>
          </w:p>
        </w:tc>
        <w:tc>
          <w:tcPr>
            <w:tcW w:w="919" w:type="dxa"/>
          </w:tcPr>
          <w:p>
            <w:pPr>
              <w:pStyle w:val="TableParagraph"/>
              <w:spacing w:before="138"/>
              <w:ind w:left="16" w:right="7"/>
              <w:rPr>
                <w:sz w:val="21"/>
              </w:rPr>
            </w:pPr>
            <w:r>
              <w:rPr>
                <w:sz w:val="21"/>
              </w:rPr>
              <w:t>生活垃圾</w:t>
            </w:r>
          </w:p>
        </w:tc>
        <w:tc>
          <w:tcPr>
            <w:tcW w:w="909" w:type="dxa"/>
          </w:tcPr>
          <w:p>
            <w:pPr>
              <w:pStyle w:val="TableParagraph"/>
              <w:spacing w:before="138"/>
              <w:ind w:left="14" w:right="4"/>
              <w:rPr>
                <w:sz w:val="21"/>
              </w:rPr>
            </w:pPr>
            <w:r>
              <w:rPr>
                <w:sz w:val="21"/>
              </w:rPr>
              <w:t>职工生活</w:t>
            </w:r>
          </w:p>
        </w:tc>
        <w:tc>
          <w:tcPr>
            <w:tcW w:w="446" w:type="dxa"/>
          </w:tcPr>
          <w:p>
            <w:pPr>
              <w:pStyle w:val="TableParagraph"/>
              <w:spacing w:before="138"/>
              <w:ind w:left="11"/>
              <w:rPr>
                <w:sz w:val="21"/>
              </w:rPr>
            </w:pPr>
            <w:r>
              <w:rPr>
                <w:sz w:val="21"/>
              </w:rPr>
              <w:t>固态</w:t>
            </w:r>
          </w:p>
        </w:tc>
        <w:tc>
          <w:tcPr>
            <w:tcW w:w="928" w:type="dxa"/>
          </w:tcPr>
          <w:p>
            <w:pPr>
              <w:pStyle w:val="TableParagraph"/>
              <w:spacing w:before="138"/>
              <w:ind w:left="22" w:right="9"/>
              <w:rPr>
                <w:sz w:val="21"/>
              </w:rPr>
            </w:pPr>
            <w:r>
              <w:rPr>
                <w:sz w:val="21"/>
              </w:rPr>
              <w:t>生活垃圾</w:t>
            </w:r>
          </w:p>
        </w:tc>
        <w:tc>
          <w:tcPr>
            <w:tcW w:w="611" w:type="dxa"/>
          </w:tcPr>
          <w:p>
            <w:pPr>
              <w:pStyle w:val="TableParagraph"/>
              <w:spacing w:before="151"/>
              <w:ind w:left="14"/>
              <w:rPr>
                <w:rFonts w:ascii="Times New Roman"/>
                <w:sz w:val="21"/>
              </w:rPr>
            </w:pPr>
            <w:r>
              <w:rPr>
                <w:rFonts w:ascii="Times New Roman"/>
                <w:w w:val="100"/>
                <w:sz w:val="21"/>
              </w:rPr>
              <w:t>/</w:t>
            </w:r>
          </w:p>
        </w:tc>
        <w:tc>
          <w:tcPr>
            <w:tcW w:w="827" w:type="dxa"/>
          </w:tcPr>
          <w:p>
            <w:pPr>
              <w:pStyle w:val="TableParagraph"/>
              <w:spacing w:before="151"/>
              <w:ind w:left="16"/>
              <w:rPr>
                <w:rFonts w:ascii="Times New Roman"/>
                <w:sz w:val="21"/>
              </w:rPr>
            </w:pPr>
            <w:r>
              <w:rPr>
                <w:rFonts w:ascii="Times New Roman"/>
                <w:w w:val="100"/>
                <w:sz w:val="21"/>
              </w:rPr>
              <w:t>/</w:t>
            </w:r>
          </w:p>
        </w:tc>
        <w:tc>
          <w:tcPr>
            <w:tcW w:w="991" w:type="dxa"/>
          </w:tcPr>
          <w:p>
            <w:pPr>
              <w:pStyle w:val="TableParagraph"/>
              <w:spacing w:before="151"/>
              <w:ind w:left="18"/>
              <w:rPr>
                <w:rFonts w:ascii="Times New Roman"/>
                <w:sz w:val="21"/>
              </w:rPr>
            </w:pPr>
            <w:r>
              <w:rPr>
                <w:rFonts w:ascii="Times New Roman"/>
                <w:w w:val="100"/>
                <w:sz w:val="21"/>
              </w:rPr>
              <w:t>/</w:t>
            </w:r>
          </w:p>
        </w:tc>
        <w:tc>
          <w:tcPr>
            <w:tcW w:w="643" w:type="dxa"/>
          </w:tcPr>
          <w:p>
            <w:pPr>
              <w:pStyle w:val="TableParagraph"/>
              <w:spacing w:before="151"/>
              <w:ind w:left="297"/>
              <w:jc w:val="left"/>
              <w:rPr>
                <w:rFonts w:ascii="Times New Roman"/>
                <w:sz w:val="21"/>
              </w:rPr>
            </w:pPr>
            <w:r>
              <w:rPr>
                <w:rFonts w:ascii="Times New Roman"/>
                <w:w w:val="100"/>
                <w:sz w:val="21"/>
              </w:rPr>
              <w:t>/</w:t>
            </w:r>
          </w:p>
        </w:tc>
        <w:tc>
          <w:tcPr>
            <w:tcW w:w="626" w:type="dxa"/>
          </w:tcPr>
          <w:p>
            <w:pPr>
              <w:pStyle w:val="TableParagraph"/>
              <w:spacing w:before="151"/>
              <w:ind w:left="142" w:right="119"/>
              <w:rPr>
                <w:rFonts w:ascii="Times New Roman"/>
                <w:sz w:val="21"/>
              </w:rPr>
            </w:pPr>
            <w:r>
              <w:rPr>
                <w:rFonts w:ascii="Times New Roman"/>
                <w:sz w:val="21"/>
              </w:rPr>
              <w:t>7.5</w:t>
            </w:r>
          </w:p>
        </w:tc>
        <w:tc>
          <w:tcPr>
            <w:tcW w:w="797" w:type="dxa"/>
          </w:tcPr>
          <w:p>
            <w:pPr>
              <w:pStyle w:val="TableParagraph"/>
              <w:spacing w:before="138"/>
              <w:ind w:left="173" w:right="153"/>
              <w:rPr>
                <w:sz w:val="21"/>
              </w:rPr>
            </w:pPr>
            <w:r>
              <w:rPr>
                <w:sz w:val="21"/>
              </w:rPr>
              <w:t>每天</w:t>
            </w:r>
          </w:p>
        </w:tc>
        <w:tc>
          <w:tcPr>
            <w:tcW w:w="1080" w:type="dxa"/>
          </w:tcPr>
          <w:p>
            <w:pPr>
              <w:pStyle w:val="TableParagraph"/>
              <w:spacing w:line="270" w:lineRule="atLeast" w:before="2"/>
              <w:ind w:left="437" w:right="-15" w:hanging="420"/>
              <w:jc w:val="left"/>
              <w:rPr>
                <w:sz w:val="21"/>
              </w:rPr>
            </w:pPr>
            <w:r>
              <w:rPr>
                <w:spacing w:val="-1"/>
                <w:sz w:val="21"/>
              </w:rPr>
              <w:t>环卫部门清运</w:t>
            </w:r>
          </w:p>
        </w:tc>
      </w:tr>
      <w:tr>
        <w:trPr>
          <w:trHeight w:val="273" w:hRule="atLeast"/>
        </w:trPr>
        <w:tc>
          <w:tcPr>
            <w:tcW w:w="300" w:type="dxa"/>
            <w:vMerge w:val="restart"/>
          </w:tcPr>
          <w:p>
            <w:pPr>
              <w:pStyle w:val="TableParagraph"/>
              <w:spacing w:line="270" w:lineRule="atLeast" w:before="7"/>
              <w:ind w:left="43" w:right="33"/>
              <w:jc w:val="left"/>
              <w:rPr>
                <w:b/>
                <w:sz w:val="21"/>
              </w:rPr>
            </w:pPr>
            <w:r>
              <w:rPr>
                <w:b/>
                <w:sz w:val="21"/>
              </w:rPr>
              <w:t>合计</w:t>
            </w:r>
          </w:p>
        </w:tc>
        <w:tc>
          <w:tcPr>
            <w:tcW w:w="6274" w:type="dxa"/>
            <w:gridSpan w:val="8"/>
          </w:tcPr>
          <w:p>
            <w:pPr>
              <w:pStyle w:val="TableParagraph"/>
              <w:spacing w:line="250" w:lineRule="exact" w:before="3"/>
              <w:ind w:left="2484" w:right="2474"/>
              <w:rPr>
                <w:b/>
                <w:sz w:val="21"/>
              </w:rPr>
            </w:pPr>
            <w:r>
              <w:rPr>
                <w:b/>
                <w:sz w:val="21"/>
              </w:rPr>
              <w:t>危险废物</w:t>
            </w:r>
          </w:p>
        </w:tc>
        <w:tc>
          <w:tcPr>
            <w:tcW w:w="626" w:type="dxa"/>
          </w:tcPr>
          <w:p>
            <w:pPr>
              <w:pStyle w:val="TableParagraph"/>
              <w:spacing w:line="236" w:lineRule="exact" w:before="17"/>
              <w:ind w:left="142" w:right="119"/>
              <w:rPr>
                <w:rFonts w:ascii="Times New Roman"/>
                <w:b/>
                <w:sz w:val="21"/>
              </w:rPr>
            </w:pPr>
            <w:r>
              <w:rPr>
                <w:rFonts w:ascii="Times New Roman"/>
                <w:b/>
                <w:sz w:val="21"/>
              </w:rPr>
              <w:t>105</w:t>
            </w:r>
          </w:p>
        </w:tc>
        <w:tc>
          <w:tcPr>
            <w:tcW w:w="797" w:type="dxa"/>
          </w:tcPr>
          <w:p>
            <w:pPr>
              <w:pStyle w:val="TableParagraph"/>
              <w:spacing w:line="236" w:lineRule="exact" w:before="17"/>
              <w:ind w:left="21"/>
              <w:rPr>
                <w:rFonts w:ascii="Times New Roman"/>
                <w:b/>
                <w:sz w:val="21"/>
              </w:rPr>
            </w:pPr>
            <w:r>
              <w:rPr>
                <w:rFonts w:ascii="Times New Roman"/>
                <w:b/>
                <w:w w:val="100"/>
                <w:sz w:val="21"/>
              </w:rPr>
              <w:t>/</w:t>
            </w:r>
          </w:p>
        </w:tc>
        <w:tc>
          <w:tcPr>
            <w:tcW w:w="1080" w:type="dxa"/>
          </w:tcPr>
          <w:p>
            <w:pPr>
              <w:pStyle w:val="TableParagraph"/>
              <w:spacing w:line="236" w:lineRule="exact" w:before="17"/>
              <w:ind w:left="18"/>
              <w:rPr>
                <w:rFonts w:ascii="Times New Roman"/>
                <w:b/>
                <w:sz w:val="21"/>
              </w:rPr>
            </w:pPr>
            <w:r>
              <w:rPr>
                <w:rFonts w:ascii="Times New Roman"/>
                <w:b/>
                <w:w w:val="100"/>
                <w:sz w:val="21"/>
              </w:rPr>
              <w:t>/</w:t>
            </w:r>
          </w:p>
        </w:tc>
      </w:tr>
      <w:tr>
        <w:trPr>
          <w:trHeight w:val="273" w:hRule="atLeast"/>
        </w:trPr>
        <w:tc>
          <w:tcPr>
            <w:tcW w:w="300" w:type="dxa"/>
            <w:vMerge/>
            <w:tcBorders>
              <w:top w:val="nil"/>
            </w:tcBorders>
          </w:tcPr>
          <w:p>
            <w:pPr>
              <w:rPr>
                <w:sz w:val="2"/>
                <w:szCs w:val="2"/>
              </w:rPr>
            </w:pPr>
          </w:p>
        </w:tc>
        <w:tc>
          <w:tcPr>
            <w:tcW w:w="6274" w:type="dxa"/>
            <w:gridSpan w:val="8"/>
          </w:tcPr>
          <w:p>
            <w:pPr>
              <w:pStyle w:val="TableParagraph"/>
              <w:spacing w:line="252" w:lineRule="exact" w:before="1"/>
              <w:ind w:left="2484" w:right="2474"/>
              <w:rPr>
                <w:b/>
                <w:sz w:val="21"/>
              </w:rPr>
            </w:pPr>
            <w:r>
              <w:rPr>
                <w:b/>
                <w:sz w:val="21"/>
              </w:rPr>
              <w:t>合计工业固废</w:t>
            </w:r>
          </w:p>
        </w:tc>
        <w:tc>
          <w:tcPr>
            <w:tcW w:w="626" w:type="dxa"/>
          </w:tcPr>
          <w:p>
            <w:pPr>
              <w:pStyle w:val="TableParagraph"/>
              <w:spacing w:line="238" w:lineRule="exact" w:before="15"/>
              <w:ind w:left="142" w:right="119"/>
              <w:rPr>
                <w:rFonts w:ascii="Times New Roman"/>
                <w:b/>
                <w:sz w:val="21"/>
              </w:rPr>
            </w:pPr>
            <w:r>
              <w:rPr>
                <w:rFonts w:ascii="Times New Roman"/>
                <w:b/>
                <w:sz w:val="21"/>
              </w:rPr>
              <w:t>105</w:t>
            </w:r>
          </w:p>
        </w:tc>
        <w:tc>
          <w:tcPr>
            <w:tcW w:w="797" w:type="dxa"/>
          </w:tcPr>
          <w:p>
            <w:pPr>
              <w:pStyle w:val="TableParagraph"/>
              <w:spacing w:line="238" w:lineRule="exact" w:before="15"/>
              <w:ind w:left="21"/>
              <w:rPr>
                <w:rFonts w:ascii="Times New Roman"/>
                <w:b/>
                <w:sz w:val="21"/>
              </w:rPr>
            </w:pPr>
            <w:r>
              <w:rPr>
                <w:rFonts w:ascii="Times New Roman"/>
                <w:b/>
                <w:w w:val="100"/>
                <w:sz w:val="21"/>
              </w:rPr>
              <w:t>/</w:t>
            </w:r>
          </w:p>
        </w:tc>
        <w:tc>
          <w:tcPr>
            <w:tcW w:w="1080" w:type="dxa"/>
          </w:tcPr>
          <w:p>
            <w:pPr>
              <w:pStyle w:val="TableParagraph"/>
              <w:spacing w:line="238" w:lineRule="exact" w:before="15"/>
              <w:ind w:left="18"/>
              <w:rPr>
                <w:rFonts w:ascii="Times New Roman"/>
                <w:b/>
                <w:sz w:val="21"/>
              </w:rPr>
            </w:pPr>
            <w:r>
              <w:rPr>
                <w:rFonts w:ascii="Times New Roman"/>
                <w:b/>
                <w:w w:val="100"/>
                <w:sz w:val="21"/>
              </w:rPr>
              <w:t>/</w:t>
            </w:r>
          </w:p>
        </w:tc>
      </w:tr>
    </w:tbl>
    <w:p>
      <w:pPr>
        <w:pStyle w:val="ListParagraph"/>
        <w:numPr>
          <w:ilvl w:val="1"/>
          <w:numId w:val="13"/>
        </w:numPr>
        <w:tabs>
          <w:tab w:pos="679" w:val="left" w:leader="none"/>
        </w:tabs>
        <w:spacing w:line="240" w:lineRule="auto" w:before="123" w:after="0"/>
        <w:ind w:left="678" w:right="0" w:hanging="421"/>
        <w:jc w:val="left"/>
        <w:rPr>
          <w:b/>
          <w:sz w:val="28"/>
        </w:rPr>
      </w:pPr>
      <w:bookmarkStart w:name="_bookmark28" w:id="57"/>
      <w:bookmarkEnd w:id="57"/>
      <w:r>
        <w:rPr/>
      </w:r>
      <w:bookmarkStart w:name="_bookmark28" w:id="58"/>
      <w:bookmarkEnd w:id="58"/>
      <w:r>
        <w:rPr>
          <w:b/>
          <w:sz w:val="28"/>
        </w:rPr>
        <w:t>项目实施后全厂污染物产生及排放变化情况</w:t>
      </w:r>
    </w:p>
    <w:p>
      <w:pPr>
        <w:pStyle w:val="BodyText"/>
        <w:spacing w:before="185"/>
        <w:ind w:left="738"/>
      </w:pPr>
      <w:r>
        <w:rPr/>
        <w:t>本项目实施后全厂污染物排放变化情况详见下表。</w:t>
      </w:r>
    </w:p>
    <w:p>
      <w:pPr>
        <w:pStyle w:val="BodyText"/>
        <w:spacing w:before="5"/>
        <w:rPr>
          <w:sz w:val="23"/>
        </w:rPr>
      </w:pPr>
    </w:p>
    <w:p>
      <w:pPr>
        <w:pStyle w:val="Heading4"/>
        <w:tabs>
          <w:tab w:pos="1041" w:val="left" w:leader="none"/>
          <w:tab w:pos="5381" w:val="left" w:leader="none"/>
        </w:tabs>
        <w:spacing w:after="29"/>
        <w:ind w:left="0" w:right="73"/>
        <w:jc w:val="center"/>
        <w:rPr>
          <w:rFonts w:ascii="Times New Roman" w:eastAsia="Times New Roman"/>
        </w:rPr>
      </w:pPr>
      <w:r>
        <w:rPr/>
        <w:t>表</w:t>
      </w:r>
      <w:r>
        <w:rPr>
          <w:spacing w:val="-60"/>
        </w:rPr>
        <w:t> </w:t>
      </w:r>
      <w:r>
        <w:rPr>
          <w:rFonts w:ascii="Times New Roman" w:eastAsia="Times New Roman"/>
        </w:rPr>
        <w:t>4.5-1</w:t>
        <w:tab/>
      </w:r>
      <w:r>
        <w:rPr/>
        <w:t>本项目实施</w:t>
      </w:r>
      <w:r>
        <w:rPr>
          <w:spacing w:val="3"/>
        </w:rPr>
        <w:t>后</w:t>
      </w:r>
      <w:r>
        <w:rPr/>
        <w:t>全厂污染物排放变化情况</w:t>
        <w:tab/>
        <w:t>单位：</w:t>
      </w:r>
      <w:r>
        <w:rPr>
          <w:rFonts w:ascii="Times New Roman" w:eastAsia="Times New Roman"/>
        </w:rPr>
        <w:t>t/a</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716"/>
        <w:gridCol w:w="754"/>
        <w:gridCol w:w="1602"/>
        <w:gridCol w:w="867"/>
        <w:gridCol w:w="1098"/>
        <w:gridCol w:w="961"/>
        <w:gridCol w:w="1617"/>
        <w:gridCol w:w="997"/>
      </w:tblGrid>
      <w:tr>
        <w:trPr>
          <w:trHeight w:val="273" w:hRule="atLeast"/>
        </w:trPr>
        <w:tc>
          <w:tcPr>
            <w:tcW w:w="1948" w:type="dxa"/>
            <w:gridSpan w:val="3"/>
            <w:vMerge w:val="restart"/>
          </w:tcPr>
          <w:p>
            <w:pPr>
              <w:pStyle w:val="TableParagraph"/>
              <w:spacing w:before="142"/>
              <w:ind w:left="446"/>
              <w:jc w:val="left"/>
              <w:rPr>
                <w:b/>
                <w:sz w:val="21"/>
              </w:rPr>
            </w:pPr>
            <w:r>
              <w:rPr>
                <w:b/>
                <w:sz w:val="21"/>
              </w:rPr>
              <w:t>污染源名称</w:t>
            </w:r>
          </w:p>
        </w:tc>
        <w:tc>
          <w:tcPr>
            <w:tcW w:w="1602" w:type="dxa"/>
            <w:vMerge w:val="restart"/>
          </w:tcPr>
          <w:p>
            <w:pPr>
              <w:pStyle w:val="TableParagraph"/>
              <w:spacing w:line="270" w:lineRule="atLeast" w:before="7"/>
              <w:ind w:left="60" w:right="50"/>
              <w:jc w:val="left"/>
              <w:rPr>
                <w:b/>
                <w:sz w:val="21"/>
              </w:rPr>
            </w:pPr>
            <w:r>
              <w:rPr>
                <w:b/>
                <w:sz w:val="21"/>
              </w:rPr>
              <w:t>现有企业已批装置满负荷排放量</w:t>
            </w:r>
          </w:p>
        </w:tc>
        <w:tc>
          <w:tcPr>
            <w:tcW w:w="2926" w:type="dxa"/>
            <w:gridSpan w:val="3"/>
          </w:tcPr>
          <w:p>
            <w:pPr>
              <w:pStyle w:val="TableParagraph"/>
              <w:spacing w:line="250" w:lineRule="exact" w:before="3"/>
              <w:ind w:left="1122" w:right="1120"/>
              <w:rPr>
                <w:b/>
                <w:sz w:val="21"/>
              </w:rPr>
            </w:pPr>
            <w:r>
              <w:rPr>
                <w:b/>
                <w:sz w:val="21"/>
              </w:rPr>
              <w:t>本项目</w:t>
            </w:r>
          </w:p>
        </w:tc>
        <w:tc>
          <w:tcPr>
            <w:tcW w:w="1617" w:type="dxa"/>
            <w:vMerge w:val="restart"/>
          </w:tcPr>
          <w:p>
            <w:pPr>
              <w:pStyle w:val="TableParagraph"/>
              <w:spacing w:line="270" w:lineRule="atLeast" w:before="7"/>
              <w:ind w:left="275" w:right="61" w:hanging="212"/>
              <w:jc w:val="left"/>
              <w:rPr>
                <w:b/>
                <w:sz w:val="21"/>
              </w:rPr>
            </w:pPr>
            <w:r>
              <w:rPr>
                <w:b/>
                <w:sz w:val="21"/>
              </w:rPr>
              <w:t>项目实施后全厂预测排放量</w:t>
            </w:r>
          </w:p>
        </w:tc>
        <w:tc>
          <w:tcPr>
            <w:tcW w:w="997" w:type="dxa"/>
            <w:vMerge w:val="restart"/>
          </w:tcPr>
          <w:p>
            <w:pPr>
              <w:pStyle w:val="TableParagraph"/>
              <w:spacing w:line="270" w:lineRule="atLeast" w:before="7"/>
              <w:ind w:left="173" w:right="71" w:hanging="106"/>
              <w:jc w:val="left"/>
              <w:rPr>
                <w:b/>
                <w:sz w:val="21"/>
              </w:rPr>
            </w:pPr>
            <w:r>
              <w:rPr>
                <w:b/>
                <w:sz w:val="21"/>
              </w:rPr>
              <w:t>实施前后增减量</w:t>
            </w:r>
          </w:p>
        </w:tc>
      </w:tr>
      <w:tr>
        <w:trPr>
          <w:trHeight w:val="273" w:hRule="atLeast"/>
        </w:trPr>
        <w:tc>
          <w:tcPr>
            <w:tcW w:w="1948" w:type="dxa"/>
            <w:gridSpan w:val="3"/>
            <w:vMerge/>
            <w:tcBorders>
              <w:top w:val="nil"/>
            </w:tcBorders>
          </w:tcPr>
          <w:p>
            <w:pPr>
              <w:rPr>
                <w:sz w:val="2"/>
                <w:szCs w:val="2"/>
              </w:rPr>
            </w:pPr>
          </w:p>
        </w:tc>
        <w:tc>
          <w:tcPr>
            <w:tcW w:w="1602" w:type="dxa"/>
            <w:vMerge/>
            <w:tcBorders>
              <w:top w:val="nil"/>
            </w:tcBorders>
          </w:tcPr>
          <w:p>
            <w:pPr>
              <w:rPr>
                <w:sz w:val="2"/>
                <w:szCs w:val="2"/>
              </w:rPr>
            </w:pPr>
          </w:p>
        </w:tc>
        <w:tc>
          <w:tcPr>
            <w:tcW w:w="867" w:type="dxa"/>
          </w:tcPr>
          <w:p>
            <w:pPr>
              <w:pStyle w:val="TableParagraph"/>
              <w:spacing w:line="252" w:lineRule="exact" w:before="1"/>
              <w:ind w:left="93" w:right="91"/>
              <w:rPr>
                <w:b/>
                <w:sz w:val="21"/>
              </w:rPr>
            </w:pPr>
            <w:r>
              <w:rPr>
                <w:b/>
                <w:sz w:val="21"/>
              </w:rPr>
              <w:t>产生量</w:t>
            </w:r>
          </w:p>
        </w:tc>
        <w:tc>
          <w:tcPr>
            <w:tcW w:w="1098" w:type="dxa"/>
          </w:tcPr>
          <w:p>
            <w:pPr>
              <w:pStyle w:val="TableParagraph"/>
              <w:spacing w:line="252" w:lineRule="exact" w:before="1"/>
              <w:ind w:left="128" w:right="128"/>
              <w:rPr>
                <w:b/>
                <w:sz w:val="21"/>
              </w:rPr>
            </w:pPr>
            <w:r>
              <w:rPr>
                <w:b/>
                <w:sz w:val="21"/>
              </w:rPr>
              <w:t>削减量</w:t>
            </w:r>
          </w:p>
        </w:tc>
        <w:tc>
          <w:tcPr>
            <w:tcW w:w="961" w:type="dxa"/>
          </w:tcPr>
          <w:p>
            <w:pPr>
              <w:pStyle w:val="TableParagraph"/>
              <w:spacing w:line="252" w:lineRule="exact" w:before="1"/>
              <w:ind w:left="139" w:right="138"/>
              <w:rPr>
                <w:b/>
                <w:sz w:val="21"/>
              </w:rPr>
            </w:pPr>
            <w:r>
              <w:rPr>
                <w:b/>
                <w:sz w:val="21"/>
              </w:rPr>
              <w:t>排放量</w:t>
            </w:r>
          </w:p>
        </w:tc>
        <w:tc>
          <w:tcPr>
            <w:tcW w:w="1617" w:type="dxa"/>
            <w:vMerge/>
            <w:tcBorders>
              <w:top w:val="nil"/>
            </w:tcBorders>
          </w:tcPr>
          <w:p>
            <w:pPr>
              <w:rPr>
                <w:sz w:val="2"/>
                <w:szCs w:val="2"/>
              </w:rPr>
            </w:pPr>
          </w:p>
        </w:tc>
        <w:tc>
          <w:tcPr>
            <w:tcW w:w="997" w:type="dxa"/>
            <w:vMerge/>
            <w:tcBorders>
              <w:top w:val="nil"/>
            </w:tcBorders>
          </w:tcPr>
          <w:p>
            <w:pPr>
              <w:rPr>
                <w:sz w:val="2"/>
                <w:szCs w:val="2"/>
              </w:rPr>
            </w:pPr>
          </w:p>
        </w:tc>
      </w:tr>
      <w:tr>
        <w:trPr>
          <w:trHeight w:val="239" w:hRule="atLeast"/>
        </w:trPr>
        <w:tc>
          <w:tcPr>
            <w:tcW w:w="478" w:type="dxa"/>
            <w:vMerge w:val="restart"/>
          </w:tcPr>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spacing w:before="127"/>
              <w:ind w:left="28"/>
              <w:jc w:val="left"/>
              <w:rPr>
                <w:sz w:val="21"/>
              </w:rPr>
            </w:pPr>
            <w:r>
              <w:rPr>
                <w:sz w:val="21"/>
              </w:rPr>
              <w:t>废水</w:t>
            </w:r>
          </w:p>
        </w:tc>
        <w:tc>
          <w:tcPr>
            <w:tcW w:w="716" w:type="dxa"/>
            <w:vMerge w:val="restart"/>
          </w:tcPr>
          <w:p>
            <w:pPr>
              <w:pStyle w:val="TableParagraph"/>
              <w:spacing w:before="111"/>
              <w:ind w:left="145"/>
              <w:jc w:val="left"/>
              <w:rPr>
                <w:sz w:val="21"/>
              </w:rPr>
            </w:pPr>
            <w:r>
              <w:rPr>
                <w:sz w:val="21"/>
              </w:rPr>
              <w:t>水量</w:t>
            </w:r>
          </w:p>
        </w:tc>
        <w:tc>
          <w:tcPr>
            <w:tcW w:w="754" w:type="dxa"/>
          </w:tcPr>
          <w:p>
            <w:pPr>
              <w:pStyle w:val="TableParagraph"/>
              <w:spacing w:line="220" w:lineRule="exact"/>
              <w:ind w:left="37" w:right="34"/>
              <w:rPr>
                <w:rFonts w:ascii="Times New Roman"/>
                <w:sz w:val="21"/>
              </w:rPr>
            </w:pPr>
            <w:r>
              <w:rPr>
                <w:rFonts w:ascii="Times New Roman"/>
                <w:sz w:val="21"/>
              </w:rPr>
              <w:t>t/a</w:t>
            </w:r>
          </w:p>
        </w:tc>
        <w:tc>
          <w:tcPr>
            <w:tcW w:w="1602" w:type="dxa"/>
          </w:tcPr>
          <w:p>
            <w:pPr>
              <w:pStyle w:val="TableParagraph"/>
              <w:spacing w:line="220" w:lineRule="exact"/>
              <w:ind w:left="437" w:right="429"/>
              <w:rPr>
                <w:rFonts w:ascii="Times New Roman"/>
                <w:sz w:val="21"/>
              </w:rPr>
            </w:pPr>
            <w:r>
              <w:rPr>
                <w:rFonts w:ascii="Times New Roman"/>
                <w:sz w:val="21"/>
              </w:rPr>
              <w:t>112953</w:t>
            </w:r>
          </w:p>
        </w:tc>
        <w:tc>
          <w:tcPr>
            <w:tcW w:w="867" w:type="dxa"/>
          </w:tcPr>
          <w:p>
            <w:pPr>
              <w:pStyle w:val="TableParagraph"/>
              <w:spacing w:line="220" w:lineRule="exact"/>
              <w:ind w:left="93" w:right="91"/>
              <w:rPr>
                <w:rFonts w:ascii="Times New Roman"/>
                <w:sz w:val="21"/>
              </w:rPr>
            </w:pPr>
            <w:r>
              <w:rPr>
                <w:rFonts w:ascii="Times New Roman"/>
                <w:sz w:val="21"/>
              </w:rPr>
              <w:t>33000</w:t>
            </w:r>
          </w:p>
        </w:tc>
        <w:tc>
          <w:tcPr>
            <w:tcW w:w="1098" w:type="dxa"/>
          </w:tcPr>
          <w:p>
            <w:pPr>
              <w:pStyle w:val="TableParagraph"/>
              <w:spacing w:line="220" w:lineRule="exact"/>
              <w:rPr>
                <w:rFonts w:ascii="Times New Roman"/>
                <w:sz w:val="21"/>
              </w:rPr>
            </w:pPr>
            <w:r>
              <w:rPr>
                <w:rFonts w:ascii="Times New Roman"/>
                <w:w w:val="100"/>
                <w:sz w:val="21"/>
              </w:rPr>
              <w:t>0</w:t>
            </w:r>
          </w:p>
        </w:tc>
        <w:tc>
          <w:tcPr>
            <w:tcW w:w="961" w:type="dxa"/>
          </w:tcPr>
          <w:p>
            <w:pPr>
              <w:pStyle w:val="TableParagraph"/>
              <w:spacing w:line="220" w:lineRule="exact"/>
              <w:ind w:left="139" w:right="138"/>
              <w:rPr>
                <w:rFonts w:ascii="Times New Roman"/>
                <w:sz w:val="21"/>
              </w:rPr>
            </w:pPr>
            <w:r>
              <w:rPr>
                <w:rFonts w:ascii="Times New Roman"/>
                <w:sz w:val="21"/>
              </w:rPr>
              <w:t>33000</w:t>
            </w:r>
          </w:p>
        </w:tc>
        <w:tc>
          <w:tcPr>
            <w:tcW w:w="1617" w:type="dxa"/>
          </w:tcPr>
          <w:p>
            <w:pPr>
              <w:pStyle w:val="TableParagraph"/>
              <w:spacing w:line="220" w:lineRule="exact"/>
              <w:ind w:right="484"/>
              <w:jc w:val="right"/>
              <w:rPr>
                <w:rFonts w:ascii="Times New Roman"/>
                <w:sz w:val="21"/>
              </w:rPr>
            </w:pPr>
            <w:r>
              <w:rPr>
                <w:rFonts w:ascii="Times New Roman"/>
                <w:sz w:val="21"/>
              </w:rPr>
              <w:t>145953</w:t>
            </w:r>
          </w:p>
        </w:tc>
        <w:tc>
          <w:tcPr>
            <w:tcW w:w="997" w:type="dxa"/>
          </w:tcPr>
          <w:p>
            <w:pPr>
              <w:pStyle w:val="TableParagraph"/>
              <w:spacing w:line="220" w:lineRule="exact"/>
              <w:ind w:left="142" w:right="143"/>
              <w:rPr>
                <w:rFonts w:ascii="Times New Roman"/>
                <w:sz w:val="21"/>
              </w:rPr>
            </w:pPr>
            <w:r>
              <w:rPr>
                <w:rFonts w:ascii="Times New Roman"/>
                <w:sz w:val="21"/>
              </w:rPr>
              <w:t>+33000</w:t>
            </w:r>
          </w:p>
        </w:tc>
      </w:tr>
      <w:tr>
        <w:trPr>
          <w:trHeight w:val="242" w:hRule="atLeast"/>
        </w:trPr>
        <w:tc>
          <w:tcPr>
            <w:tcW w:w="478" w:type="dxa"/>
            <w:vMerge/>
            <w:tcBorders>
              <w:top w:val="nil"/>
            </w:tcBorders>
          </w:tcPr>
          <w:p>
            <w:pPr>
              <w:rPr>
                <w:sz w:val="2"/>
                <w:szCs w:val="2"/>
              </w:rPr>
            </w:pPr>
          </w:p>
        </w:tc>
        <w:tc>
          <w:tcPr>
            <w:tcW w:w="716" w:type="dxa"/>
            <w:vMerge/>
            <w:tcBorders>
              <w:top w:val="nil"/>
            </w:tcBorders>
          </w:tcPr>
          <w:p>
            <w:pPr>
              <w:rPr>
                <w:sz w:val="2"/>
                <w:szCs w:val="2"/>
              </w:rPr>
            </w:pPr>
          </w:p>
        </w:tc>
        <w:tc>
          <w:tcPr>
            <w:tcW w:w="754" w:type="dxa"/>
          </w:tcPr>
          <w:p>
            <w:pPr>
              <w:pStyle w:val="TableParagraph"/>
              <w:spacing w:line="221" w:lineRule="exact"/>
              <w:ind w:left="34" w:right="34"/>
              <w:rPr>
                <w:rFonts w:ascii="Times New Roman"/>
                <w:sz w:val="21"/>
              </w:rPr>
            </w:pPr>
            <w:r>
              <w:rPr>
                <w:rFonts w:ascii="Times New Roman"/>
                <w:sz w:val="21"/>
              </w:rPr>
              <w:t>t/d</w:t>
            </w:r>
          </w:p>
        </w:tc>
        <w:tc>
          <w:tcPr>
            <w:tcW w:w="1602" w:type="dxa"/>
          </w:tcPr>
          <w:p>
            <w:pPr>
              <w:pStyle w:val="TableParagraph"/>
              <w:spacing w:line="221" w:lineRule="exact"/>
              <w:ind w:left="437" w:right="430"/>
              <w:rPr>
                <w:rFonts w:ascii="Times New Roman"/>
                <w:sz w:val="21"/>
              </w:rPr>
            </w:pPr>
            <w:r>
              <w:rPr>
                <w:rFonts w:ascii="Times New Roman"/>
                <w:sz w:val="21"/>
              </w:rPr>
              <w:t>376.5</w:t>
            </w:r>
          </w:p>
        </w:tc>
        <w:tc>
          <w:tcPr>
            <w:tcW w:w="867" w:type="dxa"/>
          </w:tcPr>
          <w:p>
            <w:pPr>
              <w:pStyle w:val="TableParagraph"/>
              <w:spacing w:line="221" w:lineRule="exact"/>
              <w:ind w:left="93" w:right="89"/>
              <w:rPr>
                <w:rFonts w:ascii="Times New Roman"/>
                <w:sz w:val="21"/>
              </w:rPr>
            </w:pPr>
            <w:r>
              <w:rPr>
                <w:rFonts w:ascii="Times New Roman"/>
                <w:sz w:val="21"/>
              </w:rPr>
              <w:t>110</w:t>
            </w:r>
          </w:p>
        </w:tc>
        <w:tc>
          <w:tcPr>
            <w:tcW w:w="1098" w:type="dxa"/>
          </w:tcPr>
          <w:p>
            <w:pPr>
              <w:pStyle w:val="TableParagraph"/>
              <w:spacing w:line="221" w:lineRule="exact"/>
              <w:rPr>
                <w:rFonts w:ascii="Times New Roman"/>
                <w:sz w:val="21"/>
              </w:rPr>
            </w:pPr>
            <w:r>
              <w:rPr>
                <w:rFonts w:ascii="Times New Roman"/>
                <w:w w:val="100"/>
                <w:sz w:val="21"/>
              </w:rPr>
              <w:t>0</w:t>
            </w:r>
          </w:p>
        </w:tc>
        <w:tc>
          <w:tcPr>
            <w:tcW w:w="961" w:type="dxa"/>
          </w:tcPr>
          <w:p>
            <w:pPr>
              <w:pStyle w:val="TableParagraph"/>
              <w:spacing w:line="221" w:lineRule="exact"/>
              <w:ind w:left="139" w:right="136"/>
              <w:rPr>
                <w:rFonts w:ascii="Times New Roman"/>
                <w:sz w:val="21"/>
              </w:rPr>
            </w:pPr>
            <w:r>
              <w:rPr>
                <w:rFonts w:ascii="Times New Roman"/>
                <w:sz w:val="21"/>
              </w:rPr>
              <w:t>110</w:t>
            </w:r>
          </w:p>
        </w:tc>
        <w:tc>
          <w:tcPr>
            <w:tcW w:w="1617" w:type="dxa"/>
          </w:tcPr>
          <w:p>
            <w:pPr>
              <w:pStyle w:val="TableParagraph"/>
              <w:spacing w:line="221" w:lineRule="exact"/>
              <w:ind w:right="563"/>
              <w:jc w:val="right"/>
              <w:rPr>
                <w:rFonts w:ascii="Times New Roman"/>
                <w:sz w:val="21"/>
              </w:rPr>
            </w:pPr>
            <w:r>
              <w:rPr>
                <w:rFonts w:ascii="Times New Roman"/>
                <w:sz w:val="21"/>
              </w:rPr>
              <w:t>486.5</w:t>
            </w:r>
          </w:p>
        </w:tc>
        <w:tc>
          <w:tcPr>
            <w:tcW w:w="997" w:type="dxa"/>
          </w:tcPr>
          <w:p>
            <w:pPr>
              <w:pStyle w:val="TableParagraph"/>
              <w:spacing w:line="221" w:lineRule="exact"/>
              <w:ind w:left="138" w:right="143"/>
              <w:rPr>
                <w:rFonts w:ascii="Times New Roman"/>
                <w:sz w:val="21"/>
              </w:rPr>
            </w:pPr>
            <w:r>
              <w:rPr>
                <w:rFonts w:ascii="Times New Roman"/>
                <w:sz w:val="21"/>
              </w:rPr>
              <w:t>+110</w:t>
            </w:r>
          </w:p>
        </w:tc>
      </w:tr>
      <w:tr>
        <w:trPr>
          <w:trHeight w:val="273" w:hRule="atLeast"/>
        </w:trPr>
        <w:tc>
          <w:tcPr>
            <w:tcW w:w="478" w:type="dxa"/>
            <w:vMerge/>
            <w:tcBorders>
              <w:top w:val="nil"/>
            </w:tcBorders>
          </w:tcPr>
          <w:p>
            <w:pPr>
              <w:rPr>
                <w:sz w:val="2"/>
                <w:szCs w:val="2"/>
              </w:rPr>
            </w:pPr>
          </w:p>
        </w:tc>
        <w:tc>
          <w:tcPr>
            <w:tcW w:w="716" w:type="dxa"/>
            <w:vMerge w:val="restart"/>
          </w:tcPr>
          <w:p>
            <w:pPr>
              <w:pStyle w:val="TableParagraph"/>
              <w:spacing w:before="156"/>
              <w:ind w:left="52"/>
              <w:jc w:val="left"/>
              <w:rPr>
                <w:rFonts w:ascii="Times New Roman"/>
                <w:sz w:val="21"/>
              </w:rPr>
            </w:pPr>
            <w:r>
              <w:rPr>
                <w:rFonts w:ascii="Times New Roman"/>
                <w:sz w:val="21"/>
              </w:rPr>
              <w:t>CODcr</w:t>
            </w:r>
          </w:p>
        </w:tc>
        <w:tc>
          <w:tcPr>
            <w:tcW w:w="754" w:type="dxa"/>
          </w:tcPr>
          <w:p>
            <w:pPr>
              <w:pStyle w:val="TableParagraph"/>
              <w:spacing w:line="252" w:lineRule="exact" w:before="1"/>
              <w:ind w:left="40" w:right="34"/>
              <w:rPr>
                <w:sz w:val="21"/>
              </w:rPr>
            </w:pPr>
            <w:r>
              <w:rPr>
                <w:sz w:val="21"/>
              </w:rPr>
              <w:t>纳管量</w:t>
            </w:r>
          </w:p>
        </w:tc>
        <w:tc>
          <w:tcPr>
            <w:tcW w:w="1602" w:type="dxa"/>
          </w:tcPr>
          <w:p>
            <w:pPr>
              <w:pStyle w:val="TableParagraph"/>
              <w:spacing w:line="238" w:lineRule="exact" w:before="15"/>
              <w:ind w:left="437" w:right="429"/>
              <w:rPr>
                <w:rFonts w:ascii="Times New Roman"/>
                <w:sz w:val="21"/>
              </w:rPr>
            </w:pPr>
            <w:r>
              <w:rPr>
                <w:rFonts w:ascii="Times New Roman"/>
                <w:sz w:val="21"/>
              </w:rPr>
              <w:t>56.477</w:t>
            </w:r>
          </w:p>
        </w:tc>
        <w:tc>
          <w:tcPr>
            <w:tcW w:w="867" w:type="dxa"/>
            <w:vMerge w:val="restart"/>
          </w:tcPr>
          <w:p>
            <w:pPr>
              <w:pStyle w:val="TableParagraph"/>
              <w:spacing w:before="156"/>
              <w:ind w:left="139"/>
              <w:jc w:val="left"/>
              <w:rPr>
                <w:rFonts w:ascii="Times New Roman"/>
                <w:sz w:val="21"/>
              </w:rPr>
            </w:pPr>
            <w:r>
              <w:rPr>
                <w:rFonts w:ascii="Times New Roman"/>
                <w:sz w:val="21"/>
              </w:rPr>
              <w:t>97.473</w:t>
            </w:r>
          </w:p>
        </w:tc>
        <w:tc>
          <w:tcPr>
            <w:tcW w:w="1098" w:type="dxa"/>
          </w:tcPr>
          <w:p>
            <w:pPr>
              <w:pStyle w:val="TableParagraph"/>
              <w:spacing w:line="238" w:lineRule="exact" w:before="15"/>
              <w:ind w:left="128" w:right="123"/>
              <w:rPr>
                <w:rFonts w:ascii="Times New Roman"/>
                <w:sz w:val="21"/>
              </w:rPr>
            </w:pPr>
            <w:r>
              <w:rPr>
                <w:rFonts w:ascii="Times New Roman"/>
                <w:sz w:val="21"/>
              </w:rPr>
              <w:t>80.973</w:t>
            </w:r>
          </w:p>
        </w:tc>
        <w:tc>
          <w:tcPr>
            <w:tcW w:w="961" w:type="dxa"/>
          </w:tcPr>
          <w:p>
            <w:pPr>
              <w:pStyle w:val="TableParagraph"/>
              <w:spacing w:line="238" w:lineRule="exact" w:before="15"/>
              <w:ind w:left="139" w:right="138"/>
              <w:rPr>
                <w:rFonts w:ascii="Times New Roman"/>
                <w:sz w:val="21"/>
              </w:rPr>
            </w:pPr>
            <w:r>
              <w:rPr>
                <w:rFonts w:ascii="Times New Roman"/>
                <w:sz w:val="21"/>
              </w:rPr>
              <w:t>16.5</w:t>
            </w:r>
          </w:p>
        </w:tc>
        <w:tc>
          <w:tcPr>
            <w:tcW w:w="1617" w:type="dxa"/>
          </w:tcPr>
          <w:p>
            <w:pPr>
              <w:pStyle w:val="TableParagraph"/>
              <w:spacing w:line="238" w:lineRule="exact" w:before="15"/>
              <w:ind w:right="510"/>
              <w:jc w:val="right"/>
              <w:rPr>
                <w:rFonts w:ascii="Times New Roman"/>
                <w:sz w:val="21"/>
              </w:rPr>
            </w:pPr>
            <w:r>
              <w:rPr>
                <w:rFonts w:ascii="Times New Roman"/>
                <w:sz w:val="21"/>
              </w:rPr>
              <w:t>72.977</w:t>
            </w:r>
          </w:p>
        </w:tc>
        <w:tc>
          <w:tcPr>
            <w:tcW w:w="997" w:type="dxa"/>
          </w:tcPr>
          <w:p>
            <w:pPr>
              <w:pStyle w:val="TableParagraph"/>
              <w:spacing w:line="238" w:lineRule="exact" w:before="15"/>
              <w:ind w:left="142" w:right="143"/>
              <w:rPr>
                <w:rFonts w:ascii="Times New Roman"/>
                <w:sz w:val="21"/>
              </w:rPr>
            </w:pPr>
            <w:r>
              <w:rPr>
                <w:rFonts w:ascii="Times New Roman"/>
                <w:sz w:val="21"/>
              </w:rPr>
              <w:t>+16.5</w:t>
            </w:r>
          </w:p>
        </w:tc>
      </w:tr>
      <w:tr>
        <w:trPr>
          <w:trHeight w:val="273" w:hRule="atLeast"/>
        </w:trPr>
        <w:tc>
          <w:tcPr>
            <w:tcW w:w="478" w:type="dxa"/>
            <w:vMerge/>
            <w:tcBorders>
              <w:top w:val="nil"/>
            </w:tcBorders>
          </w:tcPr>
          <w:p>
            <w:pPr>
              <w:rPr>
                <w:sz w:val="2"/>
                <w:szCs w:val="2"/>
              </w:rPr>
            </w:pPr>
          </w:p>
        </w:tc>
        <w:tc>
          <w:tcPr>
            <w:tcW w:w="716" w:type="dxa"/>
            <w:vMerge/>
            <w:tcBorders>
              <w:top w:val="nil"/>
            </w:tcBorders>
          </w:tcPr>
          <w:p>
            <w:pPr>
              <w:rPr>
                <w:sz w:val="2"/>
                <w:szCs w:val="2"/>
              </w:rPr>
            </w:pPr>
          </w:p>
        </w:tc>
        <w:tc>
          <w:tcPr>
            <w:tcW w:w="754" w:type="dxa"/>
          </w:tcPr>
          <w:p>
            <w:pPr>
              <w:pStyle w:val="TableParagraph"/>
              <w:spacing w:line="252" w:lineRule="exact" w:before="1"/>
              <w:ind w:left="40" w:right="34"/>
              <w:rPr>
                <w:sz w:val="21"/>
              </w:rPr>
            </w:pPr>
            <w:r>
              <w:rPr>
                <w:sz w:val="21"/>
              </w:rPr>
              <w:t>外排量</w:t>
            </w:r>
          </w:p>
        </w:tc>
        <w:tc>
          <w:tcPr>
            <w:tcW w:w="1602" w:type="dxa"/>
          </w:tcPr>
          <w:p>
            <w:pPr>
              <w:pStyle w:val="TableParagraph"/>
              <w:spacing w:line="238" w:lineRule="exact" w:before="15"/>
              <w:ind w:left="437" w:right="429"/>
              <w:rPr>
                <w:rFonts w:ascii="Times New Roman"/>
                <w:sz w:val="21"/>
              </w:rPr>
            </w:pPr>
            <w:r>
              <w:rPr>
                <w:rFonts w:ascii="Times New Roman"/>
                <w:sz w:val="21"/>
              </w:rPr>
              <w:t>9.036</w:t>
            </w:r>
          </w:p>
        </w:tc>
        <w:tc>
          <w:tcPr>
            <w:tcW w:w="867" w:type="dxa"/>
            <w:vMerge/>
            <w:tcBorders>
              <w:top w:val="nil"/>
            </w:tcBorders>
          </w:tcPr>
          <w:p>
            <w:pPr>
              <w:rPr>
                <w:sz w:val="2"/>
                <w:szCs w:val="2"/>
              </w:rPr>
            </w:pPr>
          </w:p>
        </w:tc>
        <w:tc>
          <w:tcPr>
            <w:tcW w:w="1098" w:type="dxa"/>
          </w:tcPr>
          <w:p>
            <w:pPr>
              <w:pStyle w:val="TableParagraph"/>
              <w:spacing w:line="238" w:lineRule="exact" w:before="15"/>
              <w:ind w:left="128" w:right="123"/>
              <w:rPr>
                <w:rFonts w:ascii="Times New Roman"/>
                <w:sz w:val="21"/>
              </w:rPr>
            </w:pPr>
            <w:r>
              <w:rPr>
                <w:rFonts w:ascii="Times New Roman"/>
                <w:sz w:val="21"/>
              </w:rPr>
              <w:t>94.833</w:t>
            </w:r>
          </w:p>
        </w:tc>
        <w:tc>
          <w:tcPr>
            <w:tcW w:w="961" w:type="dxa"/>
          </w:tcPr>
          <w:p>
            <w:pPr>
              <w:pStyle w:val="TableParagraph"/>
              <w:spacing w:line="238" w:lineRule="exact" w:before="15"/>
              <w:ind w:left="139" w:right="138"/>
              <w:rPr>
                <w:rFonts w:ascii="Times New Roman"/>
                <w:sz w:val="21"/>
              </w:rPr>
            </w:pPr>
            <w:r>
              <w:rPr>
                <w:rFonts w:ascii="Times New Roman"/>
                <w:sz w:val="21"/>
              </w:rPr>
              <w:t>2.64</w:t>
            </w:r>
          </w:p>
        </w:tc>
        <w:tc>
          <w:tcPr>
            <w:tcW w:w="1617" w:type="dxa"/>
          </w:tcPr>
          <w:p>
            <w:pPr>
              <w:pStyle w:val="TableParagraph"/>
              <w:spacing w:line="238" w:lineRule="exact" w:before="15"/>
              <w:ind w:right="515"/>
              <w:jc w:val="right"/>
              <w:rPr>
                <w:rFonts w:ascii="Times New Roman"/>
                <w:sz w:val="21"/>
              </w:rPr>
            </w:pPr>
            <w:r>
              <w:rPr>
                <w:rFonts w:ascii="Times New Roman"/>
                <w:sz w:val="21"/>
              </w:rPr>
              <w:t>11.676</w:t>
            </w:r>
          </w:p>
        </w:tc>
        <w:tc>
          <w:tcPr>
            <w:tcW w:w="997" w:type="dxa"/>
          </w:tcPr>
          <w:p>
            <w:pPr>
              <w:pStyle w:val="TableParagraph"/>
              <w:spacing w:line="238" w:lineRule="exact" w:before="15"/>
              <w:ind w:left="142" w:right="143"/>
              <w:rPr>
                <w:rFonts w:ascii="Times New Roman"/>
                <w:sz w:val="21"/>
              </w:rPr>
            </w:pPr>
            <w:r>
              <w:rPr>
                <w:rFonts w:ascii="Times New Roman"/>
                <w:sz w:val="21"/>
              </w:rPr>
              <w:t>+2.64</w:t>
            </w:r>
          </w:p>
        </w:tc>
      </w:tr>
      <w:tr>
        <w:trPr>
          <w:trHeight w:val="271" w:hRule="atLeast"/>
        </w:trPr>
        <w:tc>
          <w:tcPr>
            <w:tcW w:w="478" w:type="dxa"/>
            <w:vMerge/>
            <w:tcBorders>
              <w:top w:val="nil"/>
            </w:tcBorders>
          </w:tcPr>
          <w:p>
            <w:pPr>
              <w:rPr>
                <w:sz w:val="2"/>
                <w:szCs w:val="2"/>
              </w:rPr>
            </w:pPr>
          </w:p>
        </w:tc>
        <w:tc>
          <w:tcPr>
            <w:tcW w:w="716" w:type="dxa"/>
            <w:vMerge w:val="restart"/>
          </w:tcPr>
          <w:p>
            <w:pPr>
              <w:pStyle w:val="TableParagraph"/>
              <w:spacing w:before="143"/>
              <w:ind w:left="145"/>
              <w:jc w:val="left"/>
              <w:rPr>
                <w:sz w:val="21"/>
              </w:rPr>
            </w:pPr>
            <w:r>
              <w:rPr>
                <w:sz w:val="21"/>
              </w:rPr>
              <w:t>氨氮</w:t>
            </w:r>
          </w:p>
        </w:tc>
        <w:tc>
          <w:tcPr>
            <w:tcW w:w="754" w:type="dxa"/>
          </w:tcPr>
          <w:p>
            <w:pPr>
              <w:pStyle w:val="TableParagraph"/>
              <w:spacing w:line="250" w:lineRule="exact" w:before="1"/>
              <w:ind w:left="40" w:right="34"/>
              <w:rPr>
                <w:sz w:val="21"/>
              </w:rPr>
            </w:pPr>
            <w:r>
              <w:rPr>
                <w:sz w:val="21"/>
              </w:rPr>
              <w:t>纳管量</w:t>
            </w:r>
          </w:p>
        </w:tc>
        <w:tc>
          <w:tcPr>
            <w:tcW w:w="1602" w:type="dxa"/>
          </w:tcPr>
          <w:p>
            <w:pPr>
              <w:pStyle w:val="TableParagraph"/>
              <w:spacing w:line="236" w:lineRule="exact" w:before="15"/>
              <w:ind w:left="437" w:right="429"/>
              <w:rPr>
                <w:rFonts w:ascii="Times New Roman"/>
                <w:sz w:val="21"/>
              </w:rPr>
            </w:pPr>
            <w:r>
              <w:rPr>
                <w:rFonts w:ascii="Times New Roman"/>
                <w:sz w:val="21"/>
              </w:rPr>
              <w:t>3.953</w:t>
            </w:r>
          </w:p>
        </w:tc>
        <w:tc>
          <w:tcPr>
            <w:tcW w:w="867" w:type="dxa"/>
            <w:vMerge w:val="restart"/>
          </w:tcPr>
          <w:p>
            <w:pPr>
              <w:pStyle w:val="TableParagraph"/>
              <w:spacing w:before="157"/>
              <w:ind w:left="191"/>
              <w:jc w:val="left"/>
              <w:rPr>
                <w:rFonts w:ascii="Times New Roman"/>
                <w:sz w:val="21"/>
              </w:rPr>
            </w:pPr>
            <w:r>
              <w:rPr>
                <w:rFonts w:ascii="Times New Roman"/>
                <w:sz w:val="21"/>
              </w:rPr>
              <w:t>0.477</w:t>
            </w:r>
          </w:p>
        </w:tc>
        <w:tc>
          <w:tcPr>
            <w:tcW w:w="1098" w:type="dxa"/>
          </w:tcPr>
          <w:p>
            <w:pPr>
              <w:pStyle w:val="TableParagraph"/>
              <w:spacing w:line="236" w:lineRule="exact" w:before="15"/>
              <w:ind w:left="128" w:right="126"/>
              <w:rPr>
                <w:rFonts w:ascii="Times New Roman"/>
                <w:sz w:val="21"/>
              </w:rPr>
            </w:pPr>
            <w:r>
              <w:rPr>
                <w:rFonts w:ascii="Times New Roman"/>
                <w:sz w:val="21"/>
              </w:rPr>
              <w:t>-0.678</w:t>
            </w:r>
          </w:p>
        </w:tc>
        <w:tc>
          <w:tcPr>
            <w:tcW w:w="961" w:type="dxa"/>
          </w:tcPr>
          <w:p>
            <w:pPr>
              <w:pStyle w:val="TableParagraph"/>
              <w:spacing w:line="236" w:lineRule="exact" w:before="15"/>
              <w:ind w:left="139" w:right="138"/>
              <w:rPr>
                <w:rFonts w:ascii="Times New Roman"/>
                <w:sz w:val="21"/>
              </w:rPr>
            </w:pPr>
            <w:r>
              <w:rPr>
                <w:rFonts w:ascii="Times New Roman"/>
                <w:sz w:val="21"/>
              </w:rPr>
              <w:t>1.155</w:t>
            </w:r>
          </w:p>
        </w:tc>
        <w:tc>
          <w:tcPr>
            <w:tcW w:w="1617" w:type="dxa"/>
          </w:tcPr>
          <w:p>
            <w:pPr>
              <w:pStyle w:val="TableParagraph"/>
              <w:spacing w:line="236" w:lineRule="exact" w:before="15"/>
              <w:ind w:right="563"/>
              <w:jc w:val="right"/>
              <w:rPr>
                <w:rFonts w:ascii="Times New Roman"/>
                <w:sz w:val="21"/>
              </w:rPr>
            </w:pPr>
            <w:r>
              <w:rPr>
                <w:rFonts w:ascii="Times New Roman"/>
                <w:sz w:val="21"/>
              </w:rPr>
              <w:t>5.108</w:t>
            </w:r>
          </w:p>
        </w:tc>
        <w:tc>
          <w:tcPr>
            <w:tcW w:w="997" w:type="dxa"/>
          </w:tcPr>
          <w:p>
            <w:pPr>
              <w:pStyle w:val="TableParagraph"/>
              <w:spacing w:line="236" w:lineRule="exact" w:before="15"/>
              <w:ind w:left="142" w:right="143"/>
              <w:rPr>
                <w:rFonts w:ascii="Times New Roman"/>
                <w:sz w:val="21"/>
              </w:rPr>
            </w:pPr>
            <w:r>
              <w:rPr>
                <w:rFonts w:ascii="Times New Roman"/>
                <w:sz w:val="21"/>
              </w:rPr>
              <w:t>+1.155</w:t>
            </w:r>
          </w:p>
        </w:tc>
      </w:tr>
      <w:tr>
        <w:trPr>
          <w:trHeight w:val="273" w:hRule="atLeast"/>
        </w:trPr>
        <w:tc>
          <w:tcPr>
            <w:tcW w:w="478" w:type="dxa"/>
            <w:vMerge/>
            <w:tcBorders>
              <w:top w:val="nil"/>
            </w:tcBorders>
          </w:tcPr>
          <w:p>
            <w:pPr>
              <w:rPr>
                <w:sz w:val="2"/>
                <w:szCs w:val="2"/>
              </w:rPr>
            </w:pPr>
          </w:p>
        </w:tc>
        <w:tc>
          <w:tcPr>
            <w:tcW w:w="716" w:type="dxa"/>
            <w:vMerge/>
            <w:tcBorders>
              <w:top w:val="nil"/>
            </w:tcBorders>
          </w:tcPr>
          <w:p>
            <w:pPr>
              <w:rPr>
                <w:sz w:val="2"/>
                <w:szCs w:val="2"/>
              </w:rPr>
            </w:pPr>
          </w:p>
        </w:tc>
        <w:tc>
          <w:tcPr>
            <w:tcW w:w="754" w:type="dxa"/>
          </w:tcPr>
          <w:p>
            <w:pPr>
              <w:pStyle w:val="TableParagraph"/>
              <w:spacing w:line="252" w:lineRule="exact" w:before="1"/>
              <w:ind w:left="40" w:right="34"/>
              <w:rPr>
                <w:sz w:val="21"/>
              </w:rPr>
            </w:pPr>
            <w:r>
              <w:rPr>
                <w:sz w:val="21"/>
              </w:rPr>
              <w:t>外排量</w:t>
            </w:r>
          </w:p>
        </w:tc>
        <w:tc>
          <w:tcPr>
            <w:tcW w:w="1602" w:type="dxa"/>
          </w:tcPr>
          <w:p>
            <w:pPr>
              <w:pStyle w:val="TableParagraph"/>
              <w:spacing w:line="238" w:lineRule="exact" w:before="15"/>
              <w:ind w:left="437" w:right="429"/>
              <w:rPr>
                <w:rFonts w:ascii="Times New Roman"/>
                <w:sz w:val="21"/>
              </w:rPr>
            </w:pPr>
            <w:r>
              <w:rPr>
                <w:rFonts w:ascii="Times New Roman"/>
                <w:sz w:val="21"/>
              </w:rPr>
              <w:t>1.694</w:t>
            </w:r>
          </w:p>
        </w:tc>
        <w:tc>
          <w:tcPr>
            <w:tcW w:w="867" w:type="dxa"/>
            <w:vMerge/>
            <w:tcBorders>
              <w:top w:val="nil"/>
            </w:tcBorders>
          </w:tcPr>
          <w:p>
            <w:pPr>
              <w:rPr>
                <w:sz w:val="2"/>
                <w:szCs w:val="2"/>
              </w:rPr>
            </w:pPr>
          </w:p>
        </w:tc>
        <w:tc>
          <w:tcPr>
            <w:tcW w:w="1098" w:type="dxa"/>
          </w:tcPr>
          <w:p>
            <w:pPr>
              <w:pStyle w:val="TableParagraph"/>
              <w:spacing w:line="238" w:lineRule="exact" w:before="15"/>
              <w:ind w:left="128" w:right="126"/>
              <w:rPr>
                <w:rFonts w:ascii="Times New Roman"/>
                <w:sz w:val="21"/>
              </w:rPr>
            </w:pPr>
            <w:r>
              <w:rPr>
                <w:rFonts w:ascii="Times New Roman"/>
                <w:sz w:val="21"/>
              </w:rPr>
              <w:t>-0.018</w:t>
            </w:r>
          </w:p>
        </w:tc>
        <w:tc>
          <w:tcPr>
            <w:tcW w:w="961" w:type="dxa"/>
          </w:tcPr>
          <w:p>
            <w:pPr>
              <w:pStyle w:val="TableParagraph"/>
              <w:spacing w:line="238" w:lineRule="exact" w:before="15"/>
              <w:ind w:left="139" w:right="138"/>
              <w:rPr>
                <w:rFonts w:ascii="Times New Roman"/>
                <w:sz w:val="21"/>
              </w:rPr>
            </w:pPr>
            <w:r>
              <w:rPr>
                <w:rFonts w:ascii="Times New Roman"/>
                <w:sz w:val="21"/>
              </w:rPr>
              <w:t>0.495</w:t>
            </w:r>
          </w:p>
        </w:tc>
        <w:tc>
          <w:tcPr>
            <w:tcW w:w="1617" w:type="dxa"/>
          </w:tcPr>
          <w:p>
            <w:pPr>
              <w:pStyle w:val="TableParagraph"/>
              <w:spacing w:line="238" w:lineRule="exact" w:before="15"/>
              <w:ind w:right="563"/>
              <w:jc w:val="right"/>
              <w:rPr>
                <w:rFonts w:ascii="Times New Roman"/>
                <w:sz w:val="21"/>
              </w:rPr>
            </w:pPr>
            <w:r>
              <w:rPr>
                <w:rFonts w:ascii="Times New Roman"/>
                <w:sz w:val="21"/>
              </w:rPr>
              <w:t>2.189</w:t>
            </w:r>
          </w:p>
        </w:tc>
        <w:tc>
          <w:tcPr>
            <w:tcW w:w="997" w:type="dxa"/>
          </w:tcPr>
          <w:p>
            <w:pPr>
              <w:pStyle w:val="TableParagraph"/>
              <w:spacing w:line="238" w:lineRule="exact" w:before="15"/>
              <w:ind w:left="142" w:right="143"/>
              <w:rPr>
                <w:rFonts w:ascii="Times New Roman"/>
                <w:sz w:val="21"/>
              </w:rPr>
            </w:pPr>
            <w:r>
              <w:rPr>
                <w:rFonts w:ascii="Times New Roman"/>
                <w:sz w:val="21"/>
              </w:rPr>
              <w:t>+0.495</w:t>
            </w:r>
          </w:p>
        </w:tc>
      </w:tr>
      <w:tr>
        <w:trPr>
          <w:trHeight w:val="270" w:hRule="atLeast"/>
        </w:trPr>
        <w:tc>
          <w:tcPr>
            <w:tcW w:w="478" w:type="dxa"/>
            <w:vMerge/>
            <w:tcBorders>
              <w:top w:val="nil"/>
            </w:tcBorders>
          </w:tcPr>
          <w:p>
            <w:pPr>
              <w:rPr>
                <w:sz w:val="2"/>
                <w:szCs w:val="2"/>
              </w:rPr>
            </w:pPr>
          </w:p>
        </w:tc>
        <w:tc>
          <w:tcPr>
            <w:tcW w:w="716" w:type="dxa"/>
          </w:tcPr>
          <w:p>
            <w:pPr>
              <w:pStyle w:val="TableParagraph"/>
              <w:spacing w:line="250" w:lineRule="exact" w:before="1"/>
              <w:ind w:left="145"/>
              <w:jc w:val="left"/>
              <w:rPr>
                <w:sz w:val="21"/>
              </w:rPr>
            </w:pPr>
            <w:r>
              <w:rPr>
                <w:sz w:val="21"/>
              </w:rPr>
              <w:t>总氮</w:t>
            </w:r>
          </w:p>
        </w:tc>
        <w:tc>
          <w:tcPr>
            <w:tcW w:w="754" w:type="dxa"/>
          </w:tcPr>
          <w:p>
            <w:pPr>
              <w:pStyle w:val="TableParagraph"/>
              <w:spacing w:line="250" w:lineRule="exact" w:before="1"/>
              <w:ind w:left="40" w:right="34"/>
              <w:rPr>
                <w:sz w:val="21"/>
              </w:rPr>
            </w:pPr>
            <w:r>
              <w:rPr>
                <w:sz w:val="21"/>
              </w:rPr>
              <w:t>纳管量</w:t>
            </w:r>
          </w:p>
        </w:tc>
        <w:tc>
          <w:tcPr>
            <w:tcW w:w="1602" w:type="dxa"/>
          </w:tcPr>
          <w:p>
            <w:pPr>
              <w:pStyle w:val="TableParagraph"/>
              <w:spacing w:line="236" w:lineRule="exact" w:before="15"/>
              <w:ind w:left="437" w:right="429"/>
              <w:rPr>
                <w:rFonts w:ascii="Times New Roman"/>
                <w:sz w:val="21"/>
              </w:rPr>
            </w:pPr>
            <w:r>
              <w:rPr>
                <w:rFonts w:ascii="Times New Roman"/>
                <w:sz w:val="21"/>
              </w:rPr>
              <w:t>7.907</w:t>
            </w:r>
          </w:p>
        </w:tc>
        <w:tc>
          <w:tcPr>
            <w:tcW w:w="867" w:type="dxa"/>
          </w:tcPr>
          <w:p>
            <w:pPr>
              <w:pStyle w:val="TableParagraph"/>
              <w:spacing w:line="236" w:lineRule="exact" w:before="15"/>
              <w:ind w:left="93" w:right="91"/>
              <w:rPr>
                <w:rFonts w:ascii="Times New Roman"/>
                <w:sz w:val="21"/>
              </w:rPr>
            </w:pPr>
            <w:r>
              <w:rPr>
                <w:rFonts w:ascii="Times New Roman"/>
                <w:sz w:val="21"/>
              </w:rPr>
              <w:t>3.631</w:t>
            </w:r>
          </w:p>
        </w:tc>
        <w:tc>
          <w:tcPr>
            <w:tcW w:w="1098" w:type="dxa"/>
          </w:tcPr>
          <w:p>
            <w:pPr>
              <w:pStyle w:val="TableParagraph"/>
              <w:spacing w:line="236" w:lineRule="exact" w:before="15"/>
              <w:ind w:left="128" w:right="123"/>
              <w:rPr>
                <w:rFonts w:ascii="Times New Roman"/>
                <w:sz w:val="21"/>
              </w:rPr>
            </w:pPr>
            <w:r>
              <w:rPr>
                <w:rFonts w:ascii="Times New Roman"/>
                <w:sz w:val="21"/>
              </w:rPr>
              <w:t>1.321</w:t>
            </w:r>
          </w:p>
        </w:tc>
        <w:tc>
          <w:tcPr>
            <w:tcW w:w="961" w:type="dxa"/>
          </w:tcPr>
          <w:p>
            <w:pPr>
              <w:pStyle w:val="TableParagraph"/>
              <w:spacing w:line="236" w:lineRule="exact" w:before="15"/>
              <w:ind w:left="139" w:right="138"/>
              <w:rPr>
                <w:rFonts w:ascii="Times New Roman"/>
                <w:sz w:val="21"/>
              </w:rPr>
            </w:pPr>
            <w:r>
              <w:rPr>
                <w:rFonts w:ascii="Times New Roman"/>
                <w:sz w:val="21"/>
              </w:rPr>
              <w:t>2.31</w:t>
            </w:r>
          </w:p>
        </w:tc>
        <w:tc>
          <w:tcPr>
            <w:tcW w:w="1617" w:type="dxa"/>
          </w:tcPr>
          <w:p>
            <w:pPr>
              <w:pStyle w:val="TableParagraph"/>
              <w:spacing w:line="236" w:lineRule="exact" w:before="15"/>
              <w:ind w:right="510"/>
              <w:jc w:val="right"/>
              <w:rPr>
                <w:rFonts w:ascii="Times New Roman"/>
                <w:sz w:val="21"/>
              </w:rPr>
            </w:pPr>
            <w:r>
              <w:rPr>
                <w:rFonts w:ascii="Times New Roman"/>
                <w:sz w:val="21"/>
              </w:rPr>
              <w:t>10.217</w:t>
            </w:r>
          </w:p>
        </w:tc>
        <w:tc>
          <w:tcPr>
            <w:tcW w:w="997" w:type="dxa"/>
          </w:tcPr>
          <w:p>
            <w:pPr>
              <w:pStyle w:val="TableParagraph"/>
              <w:spacing w:line="236" w:lineRule="exact" w:before="15"/>
              <w:ind w:left="142" w:right="143"/>
              <w:rPr>
                <w:rFonts w:ascii="Times New Roman"/>
                <w:sz w:val="21"/>
              </w:rPr>
            </w:pPr>
            <w:r>
              <w:rPr>
                <w:rFonts w:ascii="Times New Roman"/>
                <w:sz w:val="21"/>
              </w:rPr>
              <w:t>+2.31</w:t>
            </w:r>
          </w:p>
        </w:tc>
      </w:tr>
      <w:tr>
        <w:trPr>
          <w:trHeight w:val="273" w:hRule="atLeast"/>
        </w:trPr>
        <w:tc>
          <w:tcPr>
            <w:tcW w:w="478" w:type="dxa"/>
            <w:vMerge w:val="restart"/>
          </w:tcPr>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spacing w:before="5"/>
              <w:jc w:val="left"/>
              <w:rPr>
                <w:rFonts w:ascii="Times New Roman"/>
                <w:b/>
                <w:sz w:val="27"/>
              </w:rPr>
            </w:pPr>
          </w:p>
          <w:p>
            <w:pPr>
              <w:pStyle w:val="TableParagraph"/>
              <w:ind w:left="28"/>
              <w:jc w:val="left"/>
              <w:rPr>
                <w:sz w:val="21"/>
              </w:rPr>
            </w:pPr>
            <w:r>
              <w:rPr>
                <w:sz w:val="21"/>
              </w:rPr>
              <w:t>废气</w:t>
            </w:r>
          </w:p>
        </w:tc>
        <w:tc>
          <w:tcPr>
            <w:tcW w:w="1470" w:type="dxa"/>
            <w:gridSpan w:val="2"/>
          </w:tcPr>
          <w:p>
            <w:pPr>
              <w:pStyle w:val="TableParagraph"/>
              <w:spacing w:line="250" w:lineRule="exact" w:before="3"/>
              <w:ind w:left="503" w:right="496"/>
              <w:rPr>
                <w:sz w:val="21"/>
              </w:rPr>
            </w:pPr>
            <w:r>
              <w:rPr>
                <w:sz w:val="21"/>
              </w:rPr>
              <w:t>甲酸</w:t>
            </w:r>
          </w:p>
        </w:tc>
        <w:tc>
          <w:tcPr>
            <w:tcW w:w="1602" w:type="dxa"/>
          </w:tcPr>
          <w:p>
            <w:pPr>
              <w:pStyle w:val="TableParagraph"/>
              <w:spacing w:line="236" w:lineRule="exact" w:before="17"/>
              <w:ind w:left="3"/>
              <w:rPr>
                <w:rFonts w:ascii="Times New Roman"/>
                <w:sz w:val="21"/>
              </w:rPr>
            </w:pPr>
            <w:r>
              <w:rPr>
                <w:rFonts w:ascii="Times New Roman"/>
                <w:w w:val="100"/>
                <w:sz w:val="21"/>
              </w:rPr>
              <w:t>0</w:t>
            </w:r>
          </w:p>
        </w:tc>
        <w:tc>
          <w:tcPr>
            <w:tcW w:w="867" w:type="dxa"/>
          </w:tcPr>
          <w:p>
            <w:pPr>
              <w:pStyle w:val="TableParagraph"/>
              <w:spacing w:line="236" w:lineRule="exact" w:before="17"/>
              <w:ind w:left="93" w:right="91"/>
              <w:rPr>
                <w:rFonts w:ascii="Times New Roman"/>
                <w:sz w:val="21"/>
              </w:rPr>
            </w:pPr>
            <w:r>
              <w:rPr>
                <w:rFonts w:ascii="Times New Roman"/>
                <w:sz w:val="21"/>
              </w:rPr>
              <w:t>13.81</w:t>
            </w:r>
          </w:p>
        </w:tc>
        <w:tc>
          <w:tcPr>
            <w:tcW w:w="1098" w:type="dxa"/>
          </w:tcPr>
          <w:p>
            <w:pPr>
              <w:pStyle w:val="TableParagraph"/>
              <w:spacing w:line="236" w:lineRule="exact" w:before="17"/>
              <w:ind w:left="128" w:right="123"/>
              <w:rPr>
                <w:rFonts w:ascii="Times New Roman"/>
                <w:sz w:val="21"/>
              </w:rPr>
            </w:pPr>
            <w:r>
              <w:rPr>
                <w:rFonts w:ascii="Times New Roman"/>
                <w:sz w:val="21"/>
              </w:rPr>
              <w:t>13.477</w:t>
            </w:r>
          </w:p>
        </w:tc>
        <w:tc>
          <w:tcPr>
            <w:tcW w:w="961" w:type="dxa"/>
          </w:tcPr>
          <w:p>
            <w:pPr>
              <w:pStyle w:val="TableParagraph"/>
              <w:spacing w:line="236" w:lineRule="exact" w:before="17"/>
              <w:ind w:left="139" w:right="138"/>
              <w:rPr>
                <w:rFonts w:ascii="Times New Roman"/>
                <w:sz w:val="21"/>
              </w:rPr>
            </w:pPr>
            <w:r>
              <w:rPr>
                <w:rFonts w:ascii="Times New Roman"/>
                <w:sz w:val="21"/>
              </w:rPr>
              <w:t>0.333</w:t>
            </w:r>
          </w:p>
        </w:tc>
        <w:tc>
          <w:tcPr>
            <w:tcW w:w="1617" w:type="dxa"/>
          </w:tcPr>
          <w:p>
            <w:pPr>
              <w:pStyle w:val="TableParagraph"/>
              <w:spacing w:line="236" w:lineRule="exact" w:before="17"/>
              <w:ind w:right="563"/>
              <w:jc w:val="right"/>
              <w:rPr>
                <w:rFonts w:ascii="Times New Roman"/>
                <w:sz w:val="21"/>
              </w:rPr>
            </w:pPr>
            <w:r>
              <w:rPr>
                <w:rFonts w:ascii="Times New Roman"/>
                <w:sz w:val="21"/>
              </w:rPr>
              <w:t>0.333</w:t>
            </w:r>
          </w:p>
        </w:tc>
        <w:tc>
          <w:tcPr>
            <w:tcW w:w="997" w:type="dxa"/>
          </w:tcPr>
          <w:p>
            <w:pPr>
              <w:pStyle w:val="TableParagraph"/>
              <w:spacing w:line="236" w:lineRule="exact" w:before="17"/>
              <w:ind w:left="142" w:right="143"/>
              <w:rPr>
                <w:rFonts w:ascii="Times New Roman"/>
                <w:sz w:val="21"/>
              </w:rPr>
            </w:pPr>
            <w:r>
              <w:rPr>
                <w:rFonts w:ascii="Times New Roman"/>
                <w:sz w:val="21"/>
              </w:rPr>
              <w:t>+0.333</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503" w:right="496"/>
              <w:rPr>
                <w:sz w:val="21"/>
              </w:rPr>
            </w:pPr>
            <w:r>
              <w:rPr>
                <w:sz w:val="21"/>
              </w:rPr>
              <w:t>粉尘</w:t>
            </w:r>
          </w:p>
        </w:tc>
        <w:tc>
          <w:tcPr>
            <w:tcW w:w="1602" w:type="dxa"/>
          </w:tcPr>
          <w:p>
            <w:pPr>
              <w:pStyle w:val="TableParagraph"/>
              <w:spacing w:line="238" w:lineRule="exact" w:before="15"/>
              <w:ind w:left="3"/>
              <w:rPr>
                <w:rFonts w:ascii="Times New Roman"/>
                <w:sz w:val="21"/>
              </w:rPr>
            </w:pPr>
            <w:r>
              <w:rPr>
                <w:rFonts w:ascii="Times New Roman"/>
                <w:w w:val="100"/>
                <w:sz w:val="21"/>
              </w:rPr>
              <w:t>0</w:t>
            </w:r>
          </w:p>
        </w:tc>
        <w:tc>
          <w:tcPr>
            <w:tcW w:w="867" w:type="dxa"/>
          </w:tcPr>
          <w:p>
            <w:pPr>
              <w:pStyle w:val="TableParagraph"/>
              <w:spacing w:line="238" w:lineRule="exact" w:before="15"/>
              <w:ind w:left="93" w:right="91"/>
              <w:rPr>
                <w:rFonts w:ascii="Times New Roman"/>
                <w:sz w:val="21"/>
              </w:rPr>
            </w:pPr>
            <w:r>
              <w:rPr>
                <w:rFonts w:ascii="Times New Roman"/>
                <w:sz w:val="21"/>
              </w:rPr>
              <w:t>1.94</w:t>
            </w:r>
          </w:p>
        </w:tc>
        <w:tc>
          <w:tcPr>
            <w:tcW w:w="1098" w:type="dxa"/>
          </w:tcPr>
          <w:p>
            <w:pPr>
              <w:pStyle w:val="TableParagraph"/>
              <w:spacing w:line="238" w:lineRule="exact" w:before="15"/>
              <w:ind w:left="128" w:right="123"/>
              <w:rPr>
                <w:rFonts w:ascii="Times New Roman"/>
                <w:sz w:val="21"/>
              </w:rPr>
            </w:pPr>
            <w:r>
              <w:rPr>
                <w:rFonts w:ascii="Times New Roman"/>
                <w:sz w:val="21"/>
              </w:rPr>
              <w:t>1.743</w:t>
            </w:r>
          </w:p>
        </w:tc>
        <w:tc>
          <w:tcPr>
            <w:tcW w:w="961" w:type="dxa"/>
          </w:tcPr>
          <w:p>
            <w:pPr>
              <w:pStyle w:val="TableParagraph"/>
              <w:spacing w:line="238" w:lineRule="exact" w:before="15"/>
              <w:ind w:left="139" w:right="138"/>
              <w:rPr>
                <w:rFonts w:ascii="Times New Roman"/>
                <w:sz w:val="21"/>
              </w:rPr>
            </w:pPr>
            <w:r>
              <w:rPr>
                <w:rFonts w:ascii="Times New Roman"/>
                <w:sz w:val="21"/>
              </w:rPr>
              <w:t>0.197</w:t>
            </w:r>
          </w:p>
        </w:tc>
        <w:tc>
          <w:tcPr>
            <w:tcW w:w="1617" w:type="dxa"/>
          </w:tcPr>
          <w:p>
            <w:pPr>
              <w:pStyle w:val="TableParagraph"/>
              <w:spacing w:line="238" w:lineRule="exact" w:before="15"/>
              <w:ind w:right="563"/>
              <w:jc w:val="right"/>
              <w:rPr>
                <w:rFonts w:ascii="Times New Roman"/>
                <w:sz w:val="21"/>
              </w:rPr>
            </w:pPr>
            <w:r>
              <w:rPr>
                <w:rFonts w:ascii="Times New Roman"/>
                <w:sz w:val="21"/>
              </w:rPr>
              <w:t>0.197</w:t>
            </w:r>
          </w:p>
        </w:tc>
        <w:tc>
          <w:tcPr>
            <w:tcW w:w="997" w:type="dxa"/>
          </w:tcPr>
          <w:p>
            <w:pPr>
              <w:pStyle w:val="TableParagraph"/>
              <w:spacing w:line="238" w:lineRule="exact" w:before="15"/>
              <w:ind w:left="142" w:right="143"/>
              <w:rPr>
                <w:rFonts w:ascii="Times New Roman"/>
                <w:sz w:val="21"/>
              </w:rPr>
            </w:pPr>
            <w:r>
              <w:rPr>
                <w:rFonts w:ascii="Times New Roman"/>
                <w:sz w:val="21"/>
              </w:rPr>
              <w:t>+0.197</w:t>
            </w:r>
          </w:p>
        </w:tc>
      </w:tr>
      <w:tr>
        <w:trPr>
          <w:trHeight w:val="270" w:hRule="atLeast"/>
        </w:trPr>
        <w:tc>
          <w:tcPr>
            <w:tcW w:w="478" w:type="dxa"/>
            <w:vMerge/>
            <w:tcBorders>
              <w:top w:val="nil"/>
            </w:tcBorders>
          </w:tcPr>
          <w:p>
            <w:pPr>
              <w:rPr>
                <w:sz w:val="2"/>
                <w:szCs w:val="2"/>
              </w:rPr>
            </w:pPr>
          </w:p>
        </w:tc>
        <w:tc>
          <w:tcPr>
            <w:tcW w:w="1470" w:type="dxa"/>
            <w:gridSpan w:val="2"/>
          </w:tcPr>
          <w:p>
            <w:pPr>
              <w:pStyle w:val="TableParagraph"/>
              <w:spacing w:line="250" w:lineRule="exact" w:before="1"/>
              <w:ind w:left="311"/>
              <w:jc w:val="left"/>
              <w:rPr>
                <w:sz w:val="21"/>
              </w:rPr>
            </w:pPr>
            <w:r>
              <w:rPr>
                <w:sz w:val="21"/>
              </w:rPr>
              <w:t>邻二甲苯</w:t>
            </w:r>
          </w:p>
        </w:tc>
        <w:tc>
          <w:tcPr>
            <w:tcW w:w="1602" w:type="dxa"/>
          </w:tcPr>
          <w:p>
            <w:pPr>
              <w:pStyle w:val="TableParagraph"/>
              <w:spacing w:line="236" w:lineRule="exact" w:before="15"/>
              <w:ind w:left="437" w:right="429"/>
              <w:rPr>
                <w:rFonts w:ascii="Times New Roman"/>
                <w:sz w:val="21"/>
              </w:rPr>
            </w:pPr>
            <w:r>
              <w:rPr>
                <w:rFonts w:ascii="Times New Roman"/>
                <w:sz w:val="21"/>
              </w:rPr>
              <w:t>3.324</w:t>
            </w:r>
          </w:p>
        </w:tc>
        <w:tc>
          <w:tcPr>
            <w:tcW w:w="867" w:type="dxa"/>
          </w:tcPr>
          <w:p>
            <w:pPr>
              <w:pStyle w:val="TableParagraph"/>
              <w:spacing w:line="236" w:lineRule="exact" w:before="15"/>
              <w:ind w:left="2"/>
              <w:rPr>
                <w:rFonts w:ascii="Times New Roman"/>
                <w:sz w:val="21"/>
              </w:rPr>
            </w:pPr>
            <w:r>
              <w:rPr>
                <w:rFonts w:ascii="Times New Roman"/>
                <w:w w:val="100"/>
                <w:sz w:val="21"/>
              </w:rPr>
              <w:t>0</w:t>
            </w:r>
          </w:p>
        </w:tc>
        <w:tc>
          <w:tcPr>
            <w:tcW w:w="1098" w:type="dxa"/>
          </w:tcPr>
          <w:p>
            <w:pPr>
              <w:pStyle w:val="TableParagraph"/>
              <w:spacing w:line="236" w:lineRule="exact" w:before="15"/>
              <w:rPr>
                <w:rFonts w:ascii="Times New Roman"/>
                <w:sz w:val="21"/>
              </w:rPr>
            </w:pPr>
            <w:r>
              <w:rPr>
                <w:rFonts w:ascii="Times New Roman"/>
                <w:w w:val="100"/>
                <w:sz w:val="21"/>
              </w:rPr>
              <w:t>0</w:t>
            </w:r>
          </w:p>
        </w:tc>
        <w:tc>
          <w:tcPr>
            <w:tcW w:w="961" w:type="dxa"/>
          </w:tcPr>
          <w:p>
            <w:pPr>
              <w:pStyle w:val="TableParagraph"/>
              <w:spacing w:line="236" w:lineRule="exact" w:before="15"/>
              <w:ind w:left="1"/>
              <w:rPr>
                <w:rFonts w:ascii="Times New Roman"/>
                <w:sz w:val="21"/>
              </w:rPr>
            </w:pPr>
            <w:r>
              <w:rPr>
                <w:rFonts w:ascii="Times New Roman"/>
                <w:w w:val="100"/>
                <w:sz w:val="21"/>
              </w:rPr>
              <w:t>0</w:t>
            </w:r>
          </w:p>
        </w:tc>
        <w:tc>
          <w:tcPr>
            <w:tcW w:w="1617" w:type="dxa"/>
          </w:tcPr>
          <w:p>
            <w:pPr>
              <w:pStyle w:val="TableParagraph"/>
              <w:spacing w:line="236" w:lineRule="exact" w:before="15"/>
              <w:ind w:right="563"/>
              <w:jc w:val="right"/>
              <w:rPr>
                <w:rFonts w:ascii="Times New Roman"/>
                <w:sz w:val="21"/>
              </w:rPr>
            </w:pPr>
            <w:r>
              <w:rPr>
                <w:rFonts w:ascii="Times New Roman"/>
                <w:sz w:val="21"/>
              </w:rPr>
              <w:t>3.324</w:t>
            </w:r>
          </w:p>
        </w:tc>
        <w:tc>
          <w:tcPr>
            <w:tcW w:w="997" w:type="dxa"/>
          </w:tcPr>
          <w:p>
            <w:pPr>
              <w:pStyle w:val="TableParagraph"/>
              <w:spacing w:line="236" w:lineRule="exact" w:before="15"/>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0" w:lineRule="exact" w:before="3"/>
              <w:ind w:left="311"/>
              <w:jc w:val="left"/>
              <w:rPr>
                <w:sz w:val="21"/>
              </w:rPr>
            </w:pPr>
            <w:r>
              <w:rPr>
                <w:sz w:val="21"/>
              </w:rPr>
              <w:t>硝基苯类</w:t>
            </w:r>
          </w:p>
        </w:tc>
        <w:tc>
          <w:tcPr>
            <w:tcW w:w="1602" w:type="dxa"/>
          </w:tcPr>
          <w:p>
            <w:pPr>
              <w:pStyle w:val="TableParagraph"/>
              <w:spacing w:line="236" w:lineRule="exact" w:before="17"/>
              <w:ind w:left="437" w:right="429"/>
              <w:rPr>
                <w:rFonts w:ascii="Times New Roman"/>
                <w:sz w:val="21"/>
              </w:rPr>
            </w:pPr>
            <w:r>
              <w:rPr>
                <w:rFonts w:ascii="Times New Roman"/>
                <w:sz w:val="21"/>
              </w:rPr>
              <w:t>0.738</w:t>
            </w:r>
          </w:p>
        </w:tc>
        <w:tc>
          <w:tcPr>
            <w:tcW w:w="867" w:type="dxa"/>
          </w:tcPr>
          <w:p>
            <w:pPr>
              <w:pStyle w:val="TableParagraph"/>
              <w:spacing w:line="236" w:lineRule="exact" w:before="17"/>
              <w:ind w:left="2"/>
              <w:rPr>
                <w:rFonts w:ascii="Times New Roman"/>
                <w:sz w:val="21"/>
              </w:rPr>
            </w:pPr>
            <w:r>
              <w:rPr>
                <w:rFonts w:ascii="Times New Roman"/>
                <w:w w:val="100"/>
                <w:sz w:val="21"/>
              </w:rPr>
              <w:t>0</w:t>
            </w:r>
          </w:p>
        </w:tc>
        <w:tc>
          <w:tcPr>
            <w:tcW w:w="1098" w:type="dxa"/>
          </w:tcPr>
          <w:p>
            <w:pPr>
              <w:pStyle w:val="TableParagraph"/>
              <w:spacing w:line="236" w:lineRule="exact" w:before="17"/>
              <w:rPr>
                <w:rFonts w:ascii="Times New Roman"/>
                <w:sz w:val="21"/>
              </w:rPr>
            </w:pPr>
            <w:r>
              <w:rPr>
                <w:rFonts w:ascii="Times New Roman"/>
                <w:w w:val="100"/>
                <w:sz w:val="21"/>
              </w:rPr>
              <w:t>0</w:t>
            </w:r>
          </w:p>
        </w:tc>
        <w:tc>
          <w:tcPr>
            <w:tcW w:w="961" w:type="dxa"/>
          </w:tcPr>
          <w:p>
            <w:pPr>
              <w:pStyle w:val="TableParagraph"/>
              <w:spacing w:line="236" w:lineRule="exact" w:before="17"/>
              <w:ind w:left="1"/>
              <w:rPr>
                <w:rFonts w:ascii="Times New Roman"/>
                <w:sz w:val="21"/>
              </w:rPr>
            </w:pPr>
            <w:r>
              <w:rPr>
                <w:rFonts w:ascii="Times New Roman"/>
                <w:w w:val="100"/>
                <w:sz w:val="21"/>
              </w:rPr>
              <w:t>0</w:t>
            </w:r>
          </w:p>
        </w:tc>
        <w:tc>
          <w:tcPr>
            <w:tcW w:w="1617" w:type="dxa"/>
          </w:tcPr>
          <w:p>
            <w:pPr>
              <w:pStyle w:val="TableParagraph"/>
              <w:spacing w:line="236" w:lineRule="exact" w:before="17"/>
              <w:ind w:right="563"/>
              <w:jc w:val="right"/>
              <w:rPr>
                <w:rFonts w:ascii="Times New Roman"/>
                <w:sz w:val="21"/>
              </w:rPr>
            </w:pPr>
            <w:r>
              <w:rPr>
                <w:rFonts w:ascii="Times New Roman"/>
                <w:sz w:val="21"/>
              </w:rPr>
              <w:t>0.738</w:t>
            </w:r>
          </w:p>
        </w:tc>
        <w:tc>
          <w:tcPr>
            <w:tcW w:w="997" w:type="dxa"/>
          </w:tcPr>
          <w:p>
            <w:pPr>
              <w:pStyle w:val="TableParagraph"/>
              <w:spacing w:line="236" w:lineRule="exact" w:before="17"/>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416"/>
              <w:jc w:val="left"/>
              <w:rPr>
                <w:sz w:val="21"/>
              </w:rPr>
            </w:pPr>
            <w:r>
              <w:rPr>
                <w:sz w:val="21"/>
              </w:rPr>
              <w:t>苯胺类</w:t>
            </w:r>
          </w:p>
        </w:tc>
        <w:tc>
          <w:tcPr>
            <w:tcW w:w="1602" w:type="dxa"/>
          </w:tcPr>
          <w:p>
            <w:pPr>
              <w:pStyle w:val="TableParagraph"/>
              <w:spacing w:line="238" w:lineRule="exact" w:before="15"/>
              <w:ind w:left="437" w:right="429"/>
              <w:rPr>
                <w:rFonts w:ascii="Times New Roman"/>
                <w:sz w:val="21"/>
              </w:rPr>
            </w:pPr>
            <w:r>
              <w:rPr>
                <w:rFonts w:ascii="Times New Roman"/>
                <w:sz w:val="21"/>
              </w:rPr>
              <w:t>1.391</w:t>
            </w:r>
          </w:p>
        </w:tc>
        <w:tc>
          <w:tcPr>
            <w:tcW w:w="867" w:type="dxa"/>
          </w:tcPr>
          <w:p>
            <w:pPr>
              <w:pStyle w:val="TableParagraph"/>
              <w:spacing w:line="238" w:lineRule="exact" w:before="15"/>
              <w:ind w:left="2"/>
              <w:rPr>
                <w:rFonts w:ascii="Times New Roman"/>
                <w:sz w:val="21"/>
              </w:rPr>
            </w:pPr>
            <w:r>
              <w:rPr>
                <w:rFonts w:ascii="Times New Roman"/>
                <w:w w:val="100"/>
                <w:sz w:val="21"/>
              </w:rPr>
              <w:t>0</w:t>
            </w:r>
          </w:p>
        </w:tc>
        <w:tc>
          <w:tcPr>
            <w:tcW w:w="1098" w:type="dxa"/>
          </w:tcPr>
          <w:p>
            <w:pPr>
              <w:pStyle w:val="TableParagraph"/>
              <w:spacing w:line="238" w:lineRule="exact" w:before="15"/>
              <w:rPr>
                <w:rFonts w:ascii="Times New Roman"/>
                <w:sz w:val="21"/>
              </w:rPr>
            </w:pPr>
            <w:r>
              <w:rPr>
                <w:rFonts w:ascii="Times New Roman"/>
                <w:w w:val="100"/>
                <w:sz w:val="21"/>
              </w:rPr>
              <w:t>0</w:t>
            </w:r>
          </w:p>
        </w:tc>
        <w:tc>
          <w:tcPr>
            <w:tcW w:w="961" w:type="dxa"/>
          </w:tcPr>
          <w:p>
            <w:pPr>
              <w:pStyle w:val="TableParagraph"/>
              <w:spacing w:line="238" w:lineRule="exact" w:before="15"/>
              <w:ind w:left="1"/>
              <w:rPr>
                <w:rFonts w:ascii="Times New Roman"/>
                <w:sz w:val="21"/>
              </w:rPr>
            </w:pPr>
            <w:r>
              <w:rPr>
                <w:rFonts w:ascii="Times New Roman"/>
                <w:w w:val="100"/>
                <w:sz w:val="21"/>
              </w:rPr>
              <w:t>0</w:t>
            </w:r>
          </w:p>
        </w:tc>
        <w:tc>
          <w:tcPr>
            <w:tcW w:w="1617" w:type="dxa"/>
          </w:tcPr>
          <w:p>
            <w:pPr>
              <w:pStyle w:val="TableParagraph"/>
              <w:spacing w:line="238" w:lineRule="exact" w:before="15"/>
              <w:ind w:right="563"/>
              <w:jc w:val="right"/>
              <w:rPr>
                <w:rFonts w:ascii="Times New Roman"/>
                <w:sz w:val="21"/>
              </w:rPr>
            </w:pPr>
            <w:r>
              <w:rPr>
                <w:rFonts w:ascii="Times New Roman"/>
                <w:sz w:val="21"/>
              </w:rPr>
              <w:t>1.391</w:t>
            </w:r>
          </w:p>
        </w:tc>
        <w:tc>
          <w:tcPr>
            <w:tcW w:w="997" w:type="dxa"/>
          </w:tcPr>
          <w:p>
            <w:pPr>
              <w:pStyle w:val="TableParagraph"/>
              <w:spacing w:line="238" w:lineRule="exact" w:before="15"/>
              <w:ind w:right="3"/>
              <w:rPr>
                <w:rFonts w:ascii="Times New Roman"/>
                <w:sz w:val="21"/>
              </w:rPr>
            </w:pPr>
            <w:r>
              <w:rPr>
                <w:rFonts w:ascii="Times New Roman"/>
                <w:w w:val="100"/>
                <w:sz w:val="21"/>
              </w:rPr>
              <w:t>0</w:t>
            </w:r>
          </w:p>
        </w:tc>
      </w:tr>
      <w:tr>
        <w:trPr>
          <w:trHeight w:val="270" w:hRule="atLeast"/>
        </w:trPr>
        <w:tc>
          <w:tcPr>
            <w:tcW w:w="478" w:type="dxa"/>
            <w:vMerge/>
            <w:tcBorders>
              <w:top w:val="nil"/>
            </w:tcBorders>
          </w:tcPr>
          <w:p>
            <w:pPr>
              <w:rPr>
                <w:sz w:val="2"/>
                <w:szCs w:val="2"/>
              </w:rPr>
            </w:pPr>
          </w:p>
        </w:tc>
        <w:tc>
          <w:tcPr>
            <w:tcW w:w="1470" w:type="dxa"/>
            <w:gridSpan w:val="2"/>
          </w:tcPr>
          <w:p>
            <w:pPr>
              <w:pStyle w:val="TableParagraph"/>
              <w:spacing w:line="250" w:lineRule="exact" w:before="1"/>
              <w:ind w:left="433"/>
              <w:jc w:val="left"/>
              <w:rPr>
                <w:sz w:val="21"/>
              </w:rPr>
            </w:pPr>
            <w:r>
              <w:rPr>
                <w:rFonts w:ascii="Times New Roman" w:eastAsia="Times New Roman"/>
                <w:sz w:val="21"/>
              </w:rPr>
              <w:t>3-</w:t>
            </w:r>
            <w:r>
              <w:rPr>
                <w:sz w:val="21"/>
              </w:rPr>
              <w:t>戊酮</w:t>
            </w:r>
          </w:p>
        </w:tc>
        <w:tc>
          <w:tcPr>
            <w:tcW w:w="1602" w:type="dxa"/>
          </w:tcPr>
          <w:p>
            <w:pPr>
              <w:pStyle w:val="TableParagraph"/>
              <w:spacing w:line="236" w:lineRule="exact" w:before="15"/>
              <w:ind w:left="437" w:right="429"/>
              <w:rPr>
                <w:rFonts w:ascii="Times New Roman"/>
                <w:sz w:val="21"/>
              </w:rPr>
            </w:pPr>
            <w:r>
              <w:rPr>
                <w:rFonts w:ascii="Times New Roman"/>
                <w:sz w:val="21"/>
              </w:rPr>
              <w:t>9.031</w:t>
            </w:r>
          </w:p>
        </w:tc>
        <w:tc>
          <w:tcPr>
            <w:tcW w:w="867" w:type="dxa"/>
          </w:tcPr>
          <w:p>
            <w:pPr>
              <w:pStyle w:val="TableParagraph"/>
              <w:spacing w:line="236" w:lineRule="exact" w:before="15"/>
              <w:ind w:left="2"/>
              <w:rPr>
                <w:rFonts w:ascii="Times New Roman"/>
                <w:sz w:val="21"/>
              </w:rPr>
            </w:pPr>
            <w:r>
              <w:rPr>
                <w:rFonts w:ascii="Times New Roman"/>
                <w:w w:val="100"/>
                <w:sz w:val="21"/>
              </w:rPr>
              <w:t>0</w:t>
            </w:r>
          </w:p>
        </w:tc>
        <w:tc>
          <w:tcPr>
            <w:tcW w:w="1098" w:type="dxa"/>
          </w:tcPr>
          <w:p>
            <w:pPr>
              <w:pStyle w:val="TableParagraph"/>
              <w:spacing w:line="236" w:lineRule="exact" w:before="15"/>
              <w:rPr>
                <w:rFonts w:ascii="Times New Roman"/>
                <w:sz w:val="21"/>
              </w:rPr>
            </w:pPr>
            <w:r>
              <w:rPr>
                <w:rFonts w:ascii="Times New Roman"/>
                <w:w w:val="100"/>
                <w:sz w:val="21"/>
              </w:rPr>
              <w:t>0</w:t>
            </w:r>
          </w:p>
        </w:tc>
        <w:tc>
          <w:tcPr>
            <w:tcW w:w="961" w:type="dxa"/>
          </w:tcPr>
          <w:p>
            <w:pPr>
              <w:pStyle w:val="TableParagraph"/>
              <w:spacing w:line="236" w:lineRule="exact" w:before="15"/>
              <w:ind w:left="1"/>
              <w:rPr>
                <w:rFonts w:ascii="Times New Roman"/>
                <w:sz w:val="21"/>
              </w:rPr>
            </w:pPr>
            <w:r>
              <w:rPr>
                <w:rFonts w:ascii="Times New Roman"/>
                <w:w w:val="100"/>
                <w:sz w:val="21"/>
              </w:rPr>
              <w:t>0</w:t>
            </w:r>
          </w:p>
        </w:tc>
        <w:tc>
          <w:tcPr>
            <w:tcW w:w="1617" w:type="dxa"/>
          </w:tcPr>
          <w:p>
            <w:pPr>
              <w:pStyle w:val="TableParagraph"/>
              <w:spacing w:line="236" w:lineRule="exact" w:before="15"/>
              <w:ind w:right="563"/>
              <w:jc w:val="right"/>
              <w:rPr>
                <w:rFonts w:ascii="Times New Roman"/>
                <w:sz w:val="21"/>
              </w:rPr>
            </w:pPr>
            <w:r>
              <w:rPr>
                <w:rFonts w:ascii="Times New Roman"/>
                <w:sz w:val="21"/>
              </w:rPr>
              <w:t>9.031</w:t>
            </w:r>
          </w:p>
        </w:tc>
        <w:tc>
          <w:tcPr>
            <w:tcW w:w="997" w:type="dxa"/>
          </w:tcPr>
          <w:p>
            <w:pPr>
              <w:pStyle w:val="TableParagraph"/>
              <w:spacing w:line="236" w:lineRule="exact" w:before="15"/>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503" w:right="496"/>
              <w:rPr>
                <w:sz w:val="21"/>
              </w:rPr>
            </w:pPr>
            <w:r>
              <w:rPr>
                <w:sz w:val="21"/>
              </w:rPr>
              <w:t>甲醇</w:t>
            </w:r>
          </w:p>
        </w:tc>
        <w:tc>
          <w:tcPr>
            <w:tcW w:w="1602" w:type="dxa"/>
          </w:tcPr>
          <w:p>
            <w:pPr>
              <w:pStyle w:val="TableParagraph"/>
              <w:spacing w:line="236" w:lineRule="exact" w:before="17"/>
              <w:ind w:left="437" w:right="430"/>
              <w:rPr>
                <w:rFonts w:ascii="Times New Roman"/>
                <w:sz w:val="21"/>
              </w:rPr>
            </w:pPr>
            <w:r>
              <w:rPr>
                <w:rFonts w:ascii="Times New Roman"/>
                <w:sz w:val="21"/>
              </w:rPr>
              <w:t>0.019</w:t>
            </w:r>
          </w:p>
        </w:tc>
        <w:tc>
          <w:tcPr>
            <w:tcW w:w="867" w:type="dxa"/>
          </w:tcPr>
          <w:p>
            <w:pPr>
              <w:pStyle w:val="TableParagraph"/>
              <w:spacing w:line="236" w:lineRule="exact" w:before="17"/>
              <w:ind w:left="2"/>
              <w:rPr>
                <w:rFonts w:ascii="Times New Roman"/>
                <w:sz w:val="21"/>
              </w:rPr>
            </w:pPr>
            <w:r>
              <w:rPr>
                <w:rFonts w:ascii="Times New Roman"/>
                <w:w w:val="100"/>
                <w:sz w:val="21"/>
              </w:rPr>
              <w:t>0</w:t>
            </w:r>
          </w:p>
        </w:tc>
        <w:tc>
          <w:tcPr>
            <w:tcW w:w="1098" w:type="dxa"/>
          </w:tcPr>
          <w:p>
            <w:pPr>
              <w:pStyle w:val="TableParagraph"/>
              <w:spacing w:line="236" w:lineRule="exact" w:before="17"/>
              <w:rPr>
                <w:rFonts w:ascii="Times New Roman"/>
                <w:sz w:val="21"/>
              </w:rPr>
            </w:pPr>
            <w:r>
              <w:rPr>
                <w:rFonts w:ascii="Times New Roman"/>
                <w:w w:val="100"/>
                <w:sz w:val="21"/>
              </w:rPr>
              <w:t>0</w:t>
            </w:r>
          </w:p>
        </w:tc>
        <w:tc>
          <w:tcPr>
            <w:tcW w:w="961" w:type="dxa"/>
          </w:tcPr>
          <w:p>
            <w:pPr>
              <w:pStyle w:val="TableParagraph"/>
              <w:spacing w:line="236" w:lineRule="exact" w:before="17"/>
              <w:ind w:left="1"/>
              <w:rPr>
                <w:rFonts w:ascii="Times New Roman"/>
                <w:sz w:val="21"/>
              </w:rPr>
            </w:pPr>
            <w:r>
              <w:rPr>
                <w:rFonts w:ascii="Times New Roman"/>
                <w:w w:val="100"/>
                <w:sz w:val="21"/>
              </w:rPr>
              <w:t>0</w:t>
            </w:r>
          </w:p>
        </w:tc>
        <w:tc>
          <w:tcPr>
            <w:tcW w:w="1617" w:type="dxa"/>
          </w:tcPr>
          <w:p>
            <w:pPr>
              <w:pStyle w:val="TableParagraph"/>
              <w:spacing w:line="236" w:lineRule="exact" w:before="17"/>
              <w:ind w:right="563"/>
              <w:jc w:val="right"/>
              <w:rPr>
                <w:rFonts w:ascii="Times New Roman"/>
                <w:sz w:val="21"/>
              </w:rPr>
            </w:pPr>
            <w:r>
              <w:rPr>
                <w:rFonts w:ascii="Times New Roman"/>
                <w:sz w:val="21"/>
              </w:rPr>
              <w:t>0.019</w:t>
            </w:r>
          </w:p>
        </w:tc>
        <w:tc>
          <w:tcPr>
            <w:tcW w:w="997" w:type="dxa"/>
          </w:tcPr>
          <w:p>
            <w:pPr>
              <w:pStyle w:val="TableParagraph"/>
              <w:spacing w:line="236" w:lineRule="exact" w:before="17"/>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503" w:right="496"/>
              <w:rPr>
                <w:sz w:val="21"/>
              </w:rPr>
            </w:pPr>
            <w:r>
              <w:rPr>
                <w:sz w:val="21"/>
              </w:rPr>
              <w:t>硝酸</w:t>
            </w:r>
          </w:p>
        </w:tc>
        <w:tc>
          <w:tcPr>
            <w:tcW w:w="1602" w:type="dxa"/>
          </w:tcPr>
          <w:p>
            <w:pPr>
              <w:pStyle w:val="TableParagraph"/>
              <w:spacing w:line="238" w:lineRule="exact" w:before="15"/>
              <w:ind w:left="437" w:right="430"/>
              <w:rPr>
                <w:rFonts w:ascii="Times New Roman"/>
                <w:sz w:val="21"/>
              </w:rPr>
            </w:pPr>
            <w:r>
              <w:rPr>
                <w:rFonts w:ascii="Times New Roman"/>
                <w:sz w:val="21"/>
              </w:rPr>
              <w:t>0.512</w:t>
            </w:r>
          </w:p>
        </w:tc>
        <w:tc>
          <w:tcPr>
            <w:tcW w:w="867" w:type="dxa"/>
          </w:tcPr>
          <w:p>
            <w:pPr>
              <w:pStyle w:val="TableParagraph"/>
              <w:spacing w:line="238" w:lineRule="exact" w:before="15"/>
              <w:ind w:left="2"/>
              <w:rPr>
                <w:rFonts w:ascii="Times New Roman"/>
                <w:sz w:val="21"/>
              </w:rPr>
            </w:pPr>
            <w:r>
              <w:rPr>
                <w:rFonts w:ascii="Times New Roman"/>
                <w:w w:val="100"/>
                <w:sz w:val="21"/>
              </w:rPr>
              <w:t>0</w:t>
            </w:r>
          </w:p>
        </w:tc>
        <w:tc>
          <w:tcPr>
            <w:tcW w:w="1098" w:type="dxa"/>
          </w:tcPr>
          <w:p>
            <w:pPr>
              <w:pStyle w:val="TableParagraph"/>
              <w:spacing w:line="238" w:lineRule="exact" w:before="15"/>
              <w:rPr>
                <w:rFonts w:ascii="Times New Roman"/>
                <w:sz w:val="21"/>
              </w:rPr>
            </w:pPr>
            <w:r>
              <w:rPr>
                <w:rFonts w:ascii="Times New Roman"/>
                <w:w w:val="100"/>
                <w:sz w:val="21"/>
              </w:rPr>
              <w:t>0</w:t>
            </w:r>
          </w:p>
        </w:tc>
        <w:tc>
          <w:tcPr>
            <w:tcW w:w="961" w:type="dxa"/>
          </w:tcPr>
          <w:p>
            <w:pPr>
              <w:pStyle w:val="TableParagraph"/>
              <w:spacing w:line="238" w:lineRule="exact" w:before="15"/>
              <w:ind w:left="1"/>
              <w:rPr>
                <w:rFonts w:ascii="Times New Roman"/>
                <w:sz w:val="21"/>
              </w:rPr>
            </w:pPr>
            <w:r>
              <w:rPr>
                <w:rFonts w:ascii="Times New Roman"/>
                <w:w w:val="100"/>
                <w:sz w:val="21"/>
              </w:rPr>
              <w:t>0</w:t>
            </w:r>
          </w:p>
        </w:tc>
        <w:tc>
          <w:tcPr>
            <w:tcW w:w="1617" w:type="dxa"/>
          </w:tcPr>
          <w:p>
            <w:pPr>
              <w:pStyle w:val="TableParagraph"/>
              <w:spacing w:line="238" w:lineRule="exact" w:before="15"/>
              <w:ind w:right="563"/>
              <w:jc w:val="right"/>
              <w:rPr>
                <w:rFonts w:ascii="Times New Roman"/>
                <w:sz w:val="21"/>
              </w:rPr>
            </w:pPr>
            <w:r>
              <w:rPr>
                <w:rFonts w:ascii="Times New Roman"/>
                <w:sz w:val="21"/>
              </w:rPr>
              <w:t>0.512</w:t>
            </w:r>
          </w:p>
        </w:tc>
        <w:tc>
          <w:tcPr>
            <w:tcW w:w="997" w:type="dxa"/>
          </w:tcPr>
          <w:p>
            <w:pPr>
              <w:pStyle w:val="TableParagraph"/>
              <w:spacing w:line="238" w:lineRule="exact" w:before="15"/>
              <w:ind w:right="3"/>
              <w:rPr>
                <w:rFonts w:ascii="Times New Roman"/>
                <w:sz w:val="21"/>
              </w:rPr>
            </w:pPr>
            <w:r>
              <w:rPr>
                <w:rFonts w:ascii="Times New Roman"/>
                <w:w w:val="100"/>
                <w:sz w:val="21"/>
              </w:rPr>
              <w:t>0</w:t>
            </w:r>
          </w:p>
        </w:tc>
      </w:tr>
      <w:tr>
        <w:trPr>
          <w:trHeight w:val="270" w:hRule="atLeast"/>
        </w:trPr>
        <w:tc>
          <w:tcPr>
            <w:tcW w:w="478" w:type="dxa"/>
            <w:vMerge/>
            <w:tcBorders>
              <w:top w:val="nil"/>
            </w:tcBorders>
          </w:tcPr>
          <w:p>
            <w:pPr>
              <w:rPr>
                <w:sz w:val="2"/>
                <w:szCs w:val="2"/>
              </w:rPr>
            </w:pPr>
          </w:p>
        </w:tc>
        <w:tc>
          <w:tcPr>
            <w:tcW w:w="1470" w:type="dxa"/>
            <w:gridSpan w:val="2"/>
          </w:tcPr>
          <w:p>
            <w:pPr>
              <w:pStyle w:val="TableParagraph"/>
              <w:spacing w:line="250" w:lineRule="exact" w:before="1"/>
              <w:ind w:left="416"/>
              <w:jc w:val="left"/>
              <w:rPr>
                <w:sz w:val="21"/>
              </w:rPr>
            </w:pPr>
            <w:r>
              <w:rPr>
                <w:sz w:val="21"/>
              </w:rPr>
              <w:t>硫酸雾</w:t>
            </w:r>
          </w:p>
        </w:tc>
        <w:tc>
          <w:tcPr>
            <w:tcW w:w="1602" w:type="dxa"/>
          </w:tcPr>
          <w:p>
            <w:pPr>
              <w:pStyle w:val="TableParagraph"/>
              <w:spacing w:line="236" w:lineRule="exact" w:before="15"/>
              <w:ind w:left="437" w:right="431"/>
              <w:rPr>
                <w:rFonts w:ascii="Times New Roman"/>
                <w:sz w:val="21"/>
              </w:rPr>
            </w:pPr>
            <w:r>
              <w:rPr>
                <w:rFonts w:ascii="Times New Roman"/>
                <w:sz w:val="21"/>
              </w:rPr>
              <w:t>0.811</w:t>
            </w:r>
          </w:p>
        </w:tc>
        <w:tc>
          <w:tcPr>
            <w:tcW w:w="867" w:type="dxa"/>
          </w:tcPr>
          <w:p>
            <w:pPr>
              <w:pStyle w:val="TableParagraph"/>
              <w:spacing w:line="236" w:lineRule="exact" w:before="15"/>
              <w:ind w:left="2"/>
              <w:rPr>
                <w:rFonts w:ascii="Times New Roman"/>
                <w:sz w:val="21"/>
              </w:rPr>
            </w:pPr>
            <w:r>
              <w:rPr>
                <w:rFonts w:ascii="Times New Roman"/>
                <w:w w:val="100"/>
                <w:sz w:val="21"/>
              </w:rPr>
              <w:t>0</w:t>
            </w:r>
          </w:p>
        </w:tc>
        <w:tc>
          <w:tcPr>
            <w:tcW w:w="1098" w:type="dxa"/>
          </w:tcPr>
          <w:p>
            <w:pPr>
              <w:pStyle w:val="TableParagraph"/>
              <w:spacing w:line="236" w:lineRule="exact" w:before="15"/>
              <w:rPr>
                <w:rFonts w:ascii="Times New Roman"/>
                <w:sz w:val="21"/>
              </w:rPr>
            </w:pPr>
            <w:r>
              <w:rPr>
                <w:rFonts w:ascii="Times New Roman"/>
                <w:w w:val="100"/>
                <w:sz w:val="21"/>
              </w:rPr>
              <w:t>0</w:t>
            </w:r>
          </w:p>
        </w:tc>
        <w:tc>
          <w:tcPr>
            <w:tcW w:w="961" w:type="dxa"/>
          </w:tcPr>
          <w:p>
            <w:pPr>
              <w:pStyle w:val="TableParagraph"/>
              <w:spacing w:line="236" w:lineRule="exact" w:before="15"/>
              <w:ind w:left="1"/>
              <w:rPr>
                <w:rFonts w:ascii="Times New Roman"/>
                <w:sz w:val="21"/>
              </w:rPr>
            </w:pPr>
            <w:r>
              <w:rPr>
                <w:rFonts w:ascii="Times New Roman"/>
                <w:w w:val="100"/>
                <w:sz w:val="21"/>
              </w:rPr>
              <w:t>0</w:t>
            </w:r>
          </w:p>
        </w:tc>
        <w:tc>
          <w:tcPr>
            <w:tcW w:w="1617" w:type="dxa"/>
          </w:tcPr>
          <w:p>
            <w:pPr>
              <w:pStyle w:val="TableParagraph"/>
              <w:spacing w:line="236" w:lineRule="exact" w:before="15"/>
              <w:ind w:right="568"/>
              <w:jc w:val="right"/>
              <w:rPr>
                <w:rFonts w:ascii="Times New Roman"/>
                <w:sz w:val="21"/>
              </w:rPr>
            </w:pPr>
            <w:r>
              <w:rPr>
                <w:rFonts w:ascii="Times New Roman"/>
                <w:sz w:val="21"/>
              </w:rPr>
              <w:t>0.811</w:t>
            </w:r>
          </w:p>
        </w:tc>
        <w:tc>
          <w:tcPr>
            <w:tcW w:w="997" w:type="dxa"/>
          </w:tcPr>
          <w:p>
            <w:pPr>
              <w:pStyle w:val="TableParagraph"/>
              <w:spacing w:line="236" w:lineRule="exact" w:before="15"/>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311"/>
              <w:jc w:val="left"/>
              <w:rPr>
                <w:sz w:val="21"/>
              </w:rPr>
            </w:pPr>
            <w:r>
              <w:rPr>
                <w:sz w:val="21"/>
              </w:rPr>
              <w:t>二氧化碳</w:t>
            </w:r>
          </w:p>
        </w:tc>
        <w:tc>
          <w:tcPr>
            <w:tcW w:w="1602" w:type="dxa"/>
          </w:tcPr>
          <w:p>
            <w:pPr>
              <w:pStyle w:val="TableParagraph"/>
              <w:spacing w:line="238" w:lineRule="exact" w:before="15"/>
              <w:ind w:left="437" w:right="429"/>
              <w:rPr>
                <w:rFonts w:ascii="Times New Roman"/>
                <w:sz w:val="21"/>
              </w:rPr>
            </w:pPr>
            <w:r>
              <w:rPr>
                <w:rFonts w:ascii="Times New Roman"/>
                <w:sz w:val="21"/>
              </w:rPr>
              <w:t>4.5</w:t>
            </w:r>
          </w:p>
        </w:tc>
        <w:tc>
          <w:tcPr>
            <w:tcW w:w="867" w:type="dxa"/>
          </w:tcPr>
          <w:p>
            <w:pPr>
              <w:pStyle w:val="TableParagraph"/>
              <w:spacing w:line="238" w:lineRule="exact" w:before="15"/>
              <w:ind w:left="2"/>
              <w:rPr>
                <w:rFonts w:ascii="Times New Roman"/>
                <w:sz w:val="21"/>
              </w:rPr>
            </w:pPr>
            <w:r>
              <w:rPr>
                <w:rFonts w:ascii="Times New Roman"/>
                <w:w w:val="100"/>
                <w:sz w:val="21"/>
              </w:rPr>
              <w:t>0</w:t>
            </w:r>
          </w:p>
        </w:tc>
        <w:tc>
          <w:tcPr>
            <w:tcW w:w="1098" w:type="dxa"/>
          </w:tcPr>
          <w:p>
            <w:pPr>
              <w:pStyle w:val="TableParagraph"/>
              <w:spacing w:line="238" w:lineRule="exact" w:before="15"/>
              <w:rPr>
                <w:rFonts w:ascii="Times New Roman"/>
                <w:sz w:val="21"/>
              </w:rPr>
            </w:pPr>
            <w:r>
              <w:rPr>
                <w:rFonts w:ascii="Times New Roman"/>
                <w:w w:val="100"/>
                <w:sz w:val="21"/>
              </w:rPr>
              <w:t>0</w:t>
            </w:r>
          </w:p>
        </w:tc>
        <w:tc>
          <w:tcPr>
            <w:tcW w:w="961" w:type="dxa"/>
          </w:tcPr>
          <w:p>
            <w:pPr>
              <w:pStyle w:val="TableParagraph"/>
              <w:spacing w:line="238" w:lineRule="exact" w:before="15"/>
              <w:ind w:left="1"/>
              <w:rPr>
                <w:rFonts w:ascii="Times New Roman"/>
                <w:sz w:val="21"/>
              </w:rPr>
            </w:pPr>
            <w:r>
              <w:rPr>
                <w:rFonts w:ascii="Times New Roman"/>
                <w:w w:val="100"/>
                <w:sz w:val="21"/>
              </w:rPr>
              <w:t>0</w:t>
            </w:r>
          </w:p>
        </w:tc>
        <w:tc>
          <w:tcPr>
            <w:tcW w:w="1617" w:type="dxa"/>
          </w:tcPr>
          <w:p>
            <w:pPr>
              <w:pStyle w:val="TableParagraph"/>
              <w:spacing w:line="238" w:lineRule="exact" w:before="15"/>
              <w:ind w:left="652" w:right="652"/>
              <w:rPr>
                <w:rFonts w:ascii="Times New Roman"/>
                <w:sz w:val="21"/>
              </w:rPr>
            </w:pPr>
            <w:r>
              <w:rPr>
                <w:rFonts w:ascii="Times New Roman"/>
                <w:sz w:val="21"/>
              </w:rPr>
              <w:t>4.5</w:t>
            </w:r>
          </w:p>
        </w:tc>
        <w:tc>
          <w:tcPr>
            <w:tcW w:w="997" w:type="dxa"/>
          </w:tcPr>
          <w:p>
            <w:pPr>
              <w:pStyle w:val="TableParagraph"/>
              <w:spacing w:line="238" w:lineRule="exact" w:before="15"/>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311"/>
              <w:jc w:val="left"/>
              <w:rPr>
                <w:sz w:val="21"/>
              </w:rPr>
            </w:pPr>
            <w:r>
              <w:rPr>
                <w:sz w:val="21"/>
              </w:rPr>
              <w:t>氮氧化物</w:t>
            </w:r>
          </w:p>
        </w:tc>
        <w:tc>
          <w:tcPr>
            <w:tcW w:w="1602" w:type="dxa"/>
          </w:tcPr>
          <w:p>
            <w:pPr>
              <w:pStyle w:val="TableParagraph"/>
              <w:spacing w:line="238" w:lineRule="exact" w:before="15"/>
              <w:ind w:left="437" w:right="430"/>
              <w:rPr>
                <w:rFonts w:ascii="Times New Roman"/>
                <w:sz w:val="21"/>
              </w:rPr>
            </w:pPr>
            <w:r>
              <w:rPr>
                <w:rFonts w:ascii="Times New Roman"/>
                <w:sz w:val="21"/>
              </w:rPr>
              <w:t>7.437</w:t>
            </w:r>
          </w:p>
        </w:tc>
        <w:tc>
          <w:tcPr>
            <w:tcW w:w="867" w:type="dxa"/>
          </w:tcPr>
          <w:p>
            <w:pPr>
              <w:pStyle w:val="TableParagraph"/>
              <w:spacing w:line="238" w:lineRule="exact" w:before="15"/>
              <w:ind w:left="2"/>
              <w:rPr>
                <w:rFonts w:ascii="Times New Roman"/>
                <w:sz w:val="21"/>
              </w:rPr>
            </w:pPr>
            <w:r>
              <w:rPr>
                <w:rFonts w:ascii="Times New Roman"/>
                <w:w w:val="100"/>
                <w:sz w:val="21"/>
              </w:rPr>
              <w:t>0</w:t>
            </w:r>
          </w:p>
        </w:tc>
        <w:tc>
          <w:tcPr>
            <w:tcW w:w="1098" w:type="dxa"/>
          </w:tcPr>
          <w:p>
            <w:pPr>
              <w:pStyle w:val="TableParagraph"/>
              <w:spacing w:line="238" w:lineRule="exact" w:before="15"/>
              <w:rPr>
                <w:rFonts w:ascii="Times New Roman"/>
                <w:sz w:val="21"/>
              </w:rPr>
            </w:pPr>
            <w:r>
              <w:rPr>
                <w:rFonts w:ascii="Times New Roman"/>
                <w:w w:val="100"/>
                <w:sz w:val="21"/>
              </w:rPr>
              <w:t>0</w:t>
            </w:r>
          </w:p>
        </w:tc>
        <w:tc>
          <w:tcPr>
            <w:tcW w:w="961" w:type="dxa"/>
          </w:tcPr>
          <w:p>
            <w:pPr>
              <w:pStyle w:val="TableParagraph"/>
              <w:spacing w:line="238" w:lineRule="exact" w:before="15"/>
              <w:ind w:left="1"/>
              <w:rPr>
                <w:rFonts w:ascii="Times New Roman"/>
                <w:sz w:val="21"/>
              </w:rPr>
            </w:pPr>
            <w:r>
              <w:rPr>
                <w:rFonts w:ascii="Times New Roman"/>
                <w:w w:val="100"/>
                <w:sz w:val="21"/>
              </w:rPr>
              <w:t>0</w:t>
            </w:r>
          </w:p>
        </w:tc>
        <w:tc>
          <w:tcPr>
            <w:tcW w:w="1617" w:type="dxa"/>
          </w:tcPr>
          <w:p>
            <w:pPr>
              <w:pStyle w:val="TableParagraph"/>
              <w:spacing w:line="238" w:lineRule="exact" w:before="15"/>
              <w:ind w:right="563"/>
              <w:jc w:val="right"/>
              <w:rPr>
                <w:rFonts w:ascii="Times New Roman"/>
                <w:sz w:val="21"/>
              </w:rPr>
            </w:pPr>
            <w:r>
              <w:rPr>
                <w:rFonts w:ascii="Times New Roman"/>
                <w:sz w:val="21"/>
              </w:rPr>
              <w:t>7.437</w:t>
            </w:r>
          </w:p>
        </w:tc>
        <w:tc>
          <w:tcPr>
            <w:tcW w:w="997" w:type="dxa"/>
          </w:tcPr>
          <w:p>
            <w:pPr>
              <w:pStyle w:val="TableParagraph"/>
              <w:spacing w:line="238" w:lineRule="exact" w:before="15"/>
              <w:ind w:right="3"/>
              <w:rPr>
                <w:rFonts w:ascii="Times New Roman"/>
                <w:sz w:val="21"/>
              </w:rPr>
            </w:pPr>
            <w:r>
              <w:rPr>
                <w:rFonts w:ascii="Times New Roman"/>
                <w:w w:val="100"/>
                <w:sz w:val="21"/>
              </w:rPr>
              <w:t>0</w:t>
            </w:r>
          </w:p>
        </w:tc>
      </w:tr>
      <w:tr>
        <w:trPr>
          <w:trHeight w:val="270" w:hRule="atLeast"/>
        </w:trPr>
        <w:tc>
          <w:tcPr>
            <w:tcW w:w="478" w:type="dxa"/>
            <w:vMerge/>
            <w:tcBorders>
              <w:top w:val="nil"/>
            </w:tcBorders>
          </w:tcPr>
          <w:p>
            <w:pPr>
              <w:rPr>
                <w:sz w:val="2"/>
                <w:szCs w:val="2"/>
              </w:rPr>
            </w:pPr>
          </w:p>
        </w:tc>
        <w:tc>
          <w:tcPr>
            <w:tcW w:w="1470" w:type="dxa"/>
            <w:gridSpan w:val="2"/>
          </w:tcPr>
          <w:p>
            <w:pPr>
              <w:pStyle w:val="TableParagraph"/>
              <w:spacing w:line="250" w:lineRule="exact" w:before="1"/>
              <w:ind w:left="222"/>
              <w:jc w:val="left"/>
              <w:rPr>
                <w:b/>
                <w:sz w:val="21"/>
              </w:rPr>
            </w:pPr>
            <w:r>
              <w:rPr>
                <w:rFonts w:ascii="Times New Roman" w:eastAsia="Times New Roman"/>
                <w:b/>
                <w:sz w:val="21"/>
              </w:rPr>
              <w:t>VOCs </w:t>
            </w:r>
            <w:r>
              <w:rPr>
                <w:b/>
                <w:sz w:val="21"/>
              </w:rPr>
              <w:t>小计</w:t>
            </w:r>
          </w:p>
        </w:tc>
        <w:tc>
          <w:tcPr>
            <w:tcW w:w="1602" w:type="dxa"/>
          </w:tcPr>
          <w:p>
            <w:pPr>
              <w:pStyle w:val="TableParagraph"/>
              <w:spacing w:line="236" w:lineRule="exact" w:before="15"/>
              <w:ind w:left="437" w:right="430"/>
              <w:rPr>
                <w:rFonts w:ascii="Times New Roman"/>
                <w:b/>
                <w:sz w:val="21"/>
              </w:rPr>
            </w:pPr>
            <w:r>
              <w:rPr>
                <w:rFonts w:ascii="Times New Roman"/>
                <w:b/>
                <w:sz w:val="21"/>
              </w:rPr>
              <w:t>14.503</w:t>
            </w:r>
          </w:p>
        </w:tc>
        <w:tc>
          <w:tcPr>
            <w:tcW w:w="867" w:type="dxa"/>
          </w:tcPr>
          <w:p>
            <w:pPr>
              <w:pStyle w:val="TableParagraph"/>
              <w:spacing w:line="236" w:lineRule="exact" w:before="15"/>
              <w:ind w:left="93" w:right="91"/>
              <w:rPr>
                <w:rFonts w:ascii="Times New Roman"/>
                <w:b/>
                <w:sz w:val="21"/>
              </w:rPr>
            </w:pPr>
            <w:r>
              <w:rPr>
                <w:rFonts w:ascii="Times New Roman"/>
                <w:b/>
                <w:sz w:val="21"/>
              </w:rPr>
              <w:t>13.81</w:t>
            </w:r>
          </w:p>
        </w:tc>
        <w:tc>
          <w:tcPr>
            <w:tcW w:w="1098" w:type="dxa"/>
          </w:tcPr>
          <w:p>
            <w:pPr>
              <w:pStyle w:val="TableParagraph"/>
              <w:spacing w:line="236" w:lineRule="exact" w:before="15"/>
              <w:ind w:left="128" w:right="123"/>
              <w:rPr>
                <w:rFonts w:ascii="Times New Roman"/>
                <w:b/>
                <w:sz w:val="21"/>
              </w:rPr>
            </w:pPr>
            <w:r>
              <w:rPr>
                <w:rFonts w:ascii="Times New Roman"/>
                <w:b/>
                <w:sz w:val="21"/>
              </w:rPr>
              <w:t>13.477</w:t>
            </w:r>
          </w:p>
        </w:tc>
        <w:tc>
          <w:tcPr>
            <w:tcW w:w="961" w:type="dxa"/>
          </w:tcPr>
          <w:p>
            <w:pPr>
              <w:pStyle w:val="TableParagraph"/>
              <w:spacing w:line="236" w:lineRule="exact" w:before="15"/>
              <w:ind w:left="139" w:right="138"/>
              <w:rPr>
                <w:rFonts w:ascii="Times New Roman"/>
                <w:b/>
                <w:sz w:val="21"/>
              </w:rPr>
            </w:pPr>
            <w:r>
              <w:rPr>
                <w:rFonts w:ascii="Times New Roman"/>
                <w:b/>
                <w:sz w:val="21"/>
              </w:rPr>
              <w:t>0.333</w:t>
            </w:r>
          </w:p>
        </w:tc>
        <w:tc>
          <w:tcPr>
            <w:tcW w:w="1617" w:type="dxa"/>
          </w:tcPr>
          <w:p>
            <w:pPr>
              <w:pStyle w:val="TableParagraph"/>
              <w:spacing w:line="236" w:lineRule="exact" w:before="15"/>
              <w:ind w:right="510"/>
              <w:jc w:val="right"/>
              <w:rPr>
                <w:rFonts w:ascii="Times New Roman"/>
                <w:b/>
                <w:sz w:val="21"/>
              </w:rPr>
            </w:pPr>
            <w:r>
              <w:rPr>
                <w:rFonts w:ascii="Times New Roman"/>
                <w:b/>
                <w:sz w:val="21"/>
              </w:rPr>
              <w:t>14.836</w:t>
            </w:r>
          </w:p>
        </w:tc>
        <w:tc>
          <w:tcPr>
            <w:tcW w:w="997" w:type="dxa"/>
          </w:tcPr>
          <w:p>
            <w:pPr>
              <w:pStyle w:val="TableParagraph"/>
              <w:spacing w:line="236" w:lineRule="exact" w:before="15"/>
              <w:ind w:left="140" w:right="143"/>
              <w:rPr>
                <w:rFonts w:ascii="Times New Roman"/>
                <w:b/>
                <w:sz w:val="21"/>
              </w:rPr>
            </w:pPr>
            <w:r>
              <w:rPr>
                <w:rFonts w:ascii="Times New Roman"/>
                <w:b/>
                <w:sz w:val="21"/>
              </w:rPr>
              <w:t>+0.333</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2" w:lineRule="exact" w:before="1"/>
              <w:ind w:left="311"/>
              <w:jc w:val="left"/>
              <w:rPr>
                <w:b/>
                <w:sz w:val="21"/>
              </w:rPr>
            </w:pPr>
            <w:r>
              <w:rPr>
                <w:b/>
                <w:sz w:val="21"/>
              </w:rPr>
              <w:t>废气合计</w:t>
            </w:r>
          </w:p>
        </w:tc>
        <w:tc>
          <w:tcPr>
            <w:tcW w:w="1602" w:type="dxa"/>
          </w:tcPr>
          <w:p>
            <w:pPr>
              <w:pStyle w:val="TableParagraph"/>
              <w:spacing w:line="221" w:lineRule="exact" w:before="31"/>
              <w:ind w:left="437" w:right="430"/>
              <w:rPr>
                <w:rFonts w:ascii="Times New Roman"/>
                <w:b/>
                <w:sz w:val="21"/>
              </w:rPr>
            </w:pPr>
            <w:r>
              <w:rPr>
                <w:rFonts w:ascii="Times New Roman"/>
                <w:b/>
                <w:sz w:val="21"/>
              </w:rPr>
              <w:t>27.763</w:t>
            </w:r>
          </w:p>
        </w:tc>
        <w:tc>
          <w:tcPr>
            <w:tcW w:w="867" w:type="dxa"/>
          </w:tcPr>
          <w:p>
            <w:pPr>
              <w:pStyle w:val="TableParagraph"/>
              <w:spacing w:line="221" w:lineRule="exact" w:before="31"/>
              <w:ind w:left="93" w:right="91"/>
              <w:rPr>
                <w:rFonts w:ascii="Times New Roman"/>
                <w:b/>
                <w:sz w:val="21"/>
              </w:rPr>
            </w:pPr>
            <w:r>
              <w:rPr>
                <w:rFonts w:ascii="Times New Roman"/>
                <w:b/>
                <w:sz w:val="21"/>
              </w:rPr>
              <w:t>15.75</w:t>
            </w:r>
          </w:p>
        </w:tc>
        <w:tc>
          <w:tcPr>
            <w:tcW w:w="1098" w:type="dxa"/>
          </w:tcPr>
          <w:p>
            <w:pPr>
              <w:pStyle w:val="TableParagraph"/>
              <w:spacing w:line="221" w:lineRule="exact" w:before="31"/>
              <w:ind w:left="128" w:right="123"/>
              <w:rPr>
                <w:rFonts w:ascii="Times New Roman"/>
                <w:b/>
                <w:sz w:val="21"/>
              </w:rPr>
            </w:pPr>
            <w:r>
              <w:rPr>
                <w:rFonts w:ascii="Times New Roman"/>
                <w:b/>
                <w:sz w:val="21"/>
              </w:rPr>
              <w:t>15.22</w:t>
            </w:r>
          </w:p>
        </w:tc>
        <w:tc>
          <w:tcPr>
            <w:tcW w:w="961" w:type="dxa"/>
          </w:tcPr>
          <w:p>
            <w:pPr>
              <w:pStyle w:val="TableParagraph"/>
              <w:spacing w:line="221" w:lineRule="exact" w:before="31"/>
              <w:ind w:left="139" w:right="138"/>
              <w:rPr>
                <w:rFonts w:ascii="Times New Roman"/>
                <w:b/>
                <w:sz w:val="21"/>
              </w:rPr>
            </w:pPr>
            <w:r>
              <w:rPr>
                <w:rFonts w:ascii="Times New Roman"/>
                <w:b/>
                <w:sz w:val="21"/>
              </w:rPr>
              <w:t>0.53</w:t>
            </w:r>
          </w:p>
        </w:tc>
        <w:tc>
          <w:tcPr>
            <w:tcW w:w="1617" w:type="dxa"/>
          </w:tcPr>
          <w:p>
            <w:pPr>
              <w:pStyle w:val="TableParagraph"/>
              <w:spacing w:line="221" w:lineRule="exact" w:before="31"/>
              <w:ind w:right="510"/>
              <w:jc w:val="right"/>
              <w:rPr>
                <w:rFonts w:ascii="Times New Roman"/>
                <w:b/>
                <w:sz w:val="21"/>
              </w:rPr>
            </w:pPr>
            <w:r>
              <w:rPr>
                <w:rFonts w:ascii="Times New Roman"/>
                <w:b/>
                <w:sz w:val="21"/>
              </w:rPr>
              <w:t>28.293</w:t>
            </w:r>
          </w:p>
        </w:tc>
        <w:tc>
          <w:tcPr>
            <w:tcW w:w="997" w:type="dxa"/>
          </w:tcPr>
          <w:p>
            <w:pPr>
              <w:pStyle w:val="TableParagraph"/>
              <w:spacing w:line="221" w:lineRule="exact" w:before="31"/>
              <w:ind w:left="140" w:right="143"/>
              <w:rPr>
                <w:rFonts w:ascii="Times New Roman"/>
                <w:b/>
                <w:sz w:val="21"/>
              </w:rPr>
            </w:pPr>
            <w:r>
              <w:rPr>
                <w:rFonts w:ascii="Times New Roman"/>
                <w:b/>
                <w:sz w:val="21"/>
              </w:rPr>
              <w:t>+0.53</w:t>
            </w:r>
          </w:p>
        </w:tc>
      </w:tr>
      <w:tr>
        <w:trPr>
          <w:trHeight w:val="270" w:hRule="atLeast"/>
        </w:trPr>
        <w:tc>
          <w:tcPr>
            <w:tcW w:w="478" w:type="dxa"/>
            <w:vMerge w:val="restart"/>
          </w:tcPr>
          <w:p>
            <w:pPr>
              <w:pStyle w:val="TableParagraph"/>
              <w:spacing w:line="242" w:lineRule="auto" w:before="1"/>
              <w:ind w:left="28" w:right="16"/>
              <w:rPr>
                <w:sz w:val="21"/>
              </w:rPr>
            </w:pPr>
            <w:r>
              <w:rPr>
                <w:spacing w:val="-10"/>
                <w:sz w:val="21"/>
              </w:rPr>
              <w:t>固废</w:t>
            </w:r>
            <w:r>
              <w:rPr>
                <w:rFonts w:ascii="Times New Roman" w:eastAsia="Times New Roman"/>
                <w:sz w:val="21"/>
              </w:rPr>
              <w:t>(</w:t>
            </w:r>
            <w:r>
              <w:rPr>
                <w:sz w:val="21"/>
              </w:rPr>
              <w:t>产生</w:t>
            </w:r>
          </w:p>
          <w:p>
            <w:pPr>
              <w:pStyle w:val="TableParagraph"/>
              <w:spacing w:line="252" w:lineRule="exact"/>
              <w:ind w:left="25" w:right="16"/>
              <w:rPr>
                <w:rFonts w:ascii="Times New Roman" w:eastAsia="Times New Roman"/>
                <w:sz w:val="21"/>
              </w:rPr>
            </w:pPr>
            <w:r>
              <w:rPr>
                <w:sz w:val="21"/>
              </w:rPr>
              <w:t>量</w:t>
            </w:r>
            <w:r>
              <w:rPr>
                <w:rFonts w:ascii="Times New Roman" w:eastAsia="Times New Roman"/>
                <w:sz w:val="21"/>
              </w:rPr>
              <w:t>)</w:t>
            </w:r>
          </w:p>
        </w:tc>
        <w:tc>
          <w:tcPr>
            <w:tcW w:w="1470" w:type="dxa"/>
            <w:gridSpan w:val="2"/>
          </w:tcPr>
          <w:p>
            <w:pPr>
              <w:pStyle w:val="TableParagraph"/>
              <w:spacing w:line="250" w:lineRule="exact" w:before="1"/>
              <w:ind w:left="102"/>
              <w:jc w:val="left"/>
              <w:rPr>
                <w:sz w:val="21"/>
              </w:rPr>
            </w:pPr>
            <w:r>
              <w:rPr>
                <w:sz w:val="21"/>
              </w:rPr>
              <w:t>一般工业固废</w:t>
            </w:r>
          </w:p>
        </w:tc>
        <w:tc>
          <w:tcPr>
            <w:tcW w:w="1602" w:type="dxa"/>
          </w:tcPr>
          <w:p>
            <w:pPr>
              <w:pStyle w:val="TableParagraph"/>
              <w:spacing w:line="236" w:lineRule="exact" w:before="15"/>
              <w:ind w:left="435" w:right="432"/>
              <w:rPr>
                <w:rFonts w:ascii="Times New Roman"/>
                <w:sz w:val="21"/>
              </w:rPr>
            </w:pPr>
            <w:r>
              <w:rPr>
                <w:rFonts w:ascii="Times New Roman"/>
                <w:sz w:val="21"/>
              </w:rPr>
              <w:t>80</w:t>
            </w:r>
          </w:p>
        </w:tc>
        <w:tc>
          <w:tcPr>
            <w:tcW w:w="867" w:type="dxa"/>
          </w:tcPr>
          <w:p>
            <w:pPr>
              <w:pStyle w:val="TableParagraph"/>
              <w:spacing w:line="236" w:lineRule="exact" w:before="15"/>
              <w:ind w:left="2"/>
              <w:rPr>
                <w:rFonts w:ascii="Times New Roman"/>
                <w:sz w:val="21"/>
              </w:rPr>
            </w:pPr>
            <w:r>
              <w:rPr>
                <w:rFonts w:ascii="Times New Roman"/>
                <w:w w:val="100"/>
                <w:sz w:val="21"/>
              </w:rPr>
              <w:t>0</w:t>
            </w:r>
          </w:p>
        </w:tc>
        <w:tc>
          <w:tcPr>
            <w:tcW w:w="1098" w:type="dxa"/>
          </w:tcPr>
          <w:p>
            <w:pPr>
              <w:pStyle w:val="TableParagraph"/>
              <w:spacing w:line="236" w:lineRule="exact" w:before="15"/>
              <w:rPr>
                <w:rFonts w:ascii="Times New Roman"/>
                <w:sz w:val="21"/>
              </w:rPr>
            </w:pPr>
            <w:r>
              <w:rPr>
                <w:rFonts w:ascii="Times New Roman"/>
                <w:w w:val="100"/>
                <w:sz w:val="21"/>
              </w:rPr>
              <w:t>0</w:t>
            </w:r>
          </w:p>
        </w:tc>
        <w:tc>
          <w:tcPr>
            <w:tcW w:w="961" w:type="dxa"/>
          </w:tcPr>
          <w:p>
            <w:pPr>
              <w:pStyle w:val="TableParagraph"/>
              <w:spacing w:line="236" w:lineRule="exact" w:before="15"/>
              <w:ind w:left="1"/>
              <w:rPr>
                <w:rFonts w:ascii="Times New Roman"/>
                <w:sz w:val="21"/>
              </w:rPr>
            </w:pPr>
            <w:r>
              <w:rPr>
                <w:rFonts w:ascii="Times New Roman"/>
                <w:w w:val="100"/>
                <w:sz w:val="21"/>
              </w:rPr>
              <w:t>0</w:t>
            </w:r>
          </w:p>
        </w:tc>
        <w:tc>
          <w:tcPr>
            <w:tcW w:w="1617" w:type="dxa"/>
          </w:tcPr>
          <w:p>
            <w:pPr>
              <w:pStyle w:val="TableParagraph"/>
              <w:spacing w:line="236" w:lineRule="exact" w:before="15"/>
              <w:ind w:left="651" w:right="652"/>
              <w:rPr>
                <w:rFonts w:ascii="Times New Roman"/>
                <w:sz w:val="21"/>
              </w:rPr>
            </w:pPr>
            <w:r>
              <w:rPr>
                <w:rFonts w:ascii="Times New Roman"/>
                <w:sz w:val="21"/>
              </w:rPr>
              <w:t>80</w:t>
            </w:r>
          </w:p>
        </w:tc>
        <w:tc>
          <w:tcPr>
            <w:tcW w:w="997" w:type="dxa"/>
          </w:tcPr>
          <w:p>
            <w:pPr>
              <w:pStyle w:val="TableParagraph"/>
              <w:spacing w:line="236" w:lineRule="exact" w:before="15"/>
              <w:ind w:right="3"/>
              <w:rPr>
                <w:rFonts w:ascii="Times New Roman"/>
                <w:sz w:val="21"/>
              </w:rPr>
            </w:pPr>
            <w:r>
              <w:rPr>
                <w:rFonts w:ascii="Times New Roman"/>
                <w:w w:val="100"/>
                <w:sz w:val="21"/>
              </w:rPr>
              <w:t>0</w:t>
            </w:r>
          </w:p>
        </w:tc>
      </w:tr>
      <w:tr>
        <w:trPr>
          <w:trHeight w:val="273" w:hRule="atLeast"/>
        </w:trPr>
        <w:tc>
          <w:tcPr>
            <w:tcW w:w="478" w:type="dxa"/>
            <w:vMerge/>
            <w:tcBorders>
              <w:top w:val="nil"/>
            </w:tcBorders>
          </w:tcPr>
          <w:p>
            <w:pPr>
              <w:rPr>
                <w:sz w:val="2"/>
                <w:szCs w:val="2"/>
              </w:rPr>
            </w:pPr>
          </w:p>
        </w:tc>
        <w:tc>
          <w:tcPr>
            <w:tcW w:w="1470" w:type="dxa"/>
            <w:gridSpan w:val="2"/>
          </w:tcPr>
          <w:p>
            <w:pPr>
              <w:pStyle w:val="TableParagraph"/>
              <w:spacing w:line="250" w:lineRule="exact" w:before="3"/>
              <w:ind w:left="311"/>
              <w:jc w:val="left"/>
              <w:rPr>
                <w:sz w:val="21"/>
              </w:rPr>
            </w:pPr>
            <w:r>
              <w:rPr>
                <w:sz w:val="21"/>
              </w:rPr>
              <w:t>危险废物</w:t>
            </w:r>
          </w:p>
        </w:tc>
        <w:tc>
          <w:tcPr>
            <w:tcW w:w="1602" w:type="dxa"/>
          </w:tcPr>
          <w:p>
            <w:pPr>
              <w:pStyle w:val="TableParagraph"/>
              <w:spacing w:line="236" w:lineRule="exact" w:before="17"/>
              <w:ind w:left="437" w:right="432"/>
              <w:rPr>
                <w:rFonts w:ascii="Times New Roman"/>
                <w:sz w:val="21"/>
              </w:rPr>
            </w:pPr>
            <w:r>
              <w:rPr>
                <w:rFonts w:ascii="Times New Roman"/>
                <w:sz w:val="21"/>
              </w:rPr>
              <w:t>2530.22</w:t>
            </w:r>
          </w:p>
        </w:tc>
        <w:tc>
          <w:tcPr>
            <w:tcW w:w="867" w:type="dxa"/>
          </w:tcPr>
          <w:p>
            <w:pPr>
              <w:pStyle w:val="TableParagraph"/>
              <w:spacing w:line="236" w:lineRule="exact" w:before="17"/>
              <w:ind w:left="93" w:right="91"/>
              <w:rPr>
                <w:rFonts w:ascii="Times New Roman"/>
                <w:sz w:val="21"/>
              </w:rPr>
            </w:pPr>
            <w:r>
              <w:rPr>
                <w:rFonts w:ascii="Times New Roman"/>
                <w:sz w:val="21"/>
              </w:rPr>
              <w:t>105</w:t>
            </w:r>
          </w:p>
        </w:tc>
        <w:tc>
          <w:tcPr>
            <w:tcW w:w="1098" w:type="dxa"/>
          </w:tcPr>
          <w:p>
            <w:pPr>
              <w:pStyle w:val="TableParagraph"/>
              <w:spacing w:line="236" w:lineRule="exact" w:before="17"/>
              <w:ind w:left="128" w:right="123"/>
              <w:rPr>
                <w:rFonts w:ascii="Times New Roman"/>
                <w:sz w:val="21"/>
              </w:rPr>
            </w:pPr>
            <w:r>
              <w:rPr>
                <w:rFonts w:ascii="Times New Roman"/>
                <w:sz w:val="21"/>
              </w:rPr>
              <w:t>105</w:t>
            </w:r>
          </w:p>
        </w:tc>
        <w:tc>
          <w:tcPr>
            <w:tcW w:w="961" w:type="dxa"/>
          </w:tcPr>
          <w:p>
            <w:pPr>
              <w:pStyle w:val="TableParagraph"/>
              <w:spacing w:line="236" w:lineRule="exact" w:before="17"/>
              <w:ind w:left="1"/>
              <w:rPr>
                <w:rFonts w:ascii="Times New Roman"/>
                <w:sz w:val="21"/>
              </w:rPr>
            </w:pPr>
            <w:r>
              <w:rPr>
                <w:rFonts w:ascii="Times New Roman"/>
                <w:w w:val="100"/>
                <w:sz w:val="21"/>
              </w:rPr>
              <w:t>0</w:t>
            </w:r>
          </w:p>
        </w:tc>
        <w:tc>
          <w:tcPr>
            <w:tcW w:w="1617" w:type="dxa"/>
          </w:tcPr>
          <w:p>
            <w:pPr>
              <w:pStyle w:val="TableParagraph"/>
              <w:spacing w:line="236" w:lineRule="exact" w:before="17"/>
              <w:ind w:right="460"/>
              <w:jc w:val="right"/>
              <w:rPr>
                <w:rFonts w:ascii="Times New Roman"/>
                <w:sz w:val="21"/>
              </w:rPr>
            </w:pPr>
            <w:r>
              <w:rPr>
                <w:rFonts w:ascii="Times New Roman"/>
                <w:sz w:val="21"/>
              </w:rPr>
              <w:t>2635.22</w:t>
            </w:r>
          </w:p>
        </w:tc>
        <w:tc>
          <w:tcPr>
            <w:tcW w:w="997" w:type="dxa"/>
          </w:tcPr>
          <w:p>
            <w:pPr>
              <w:pStyle w:val="TableParagraph"/>
              <w:spacing w:line="236" w:lineRule="exact" w:before="17"/>
              <w:ind w:left="140" w:right="143"/>
              <w:rPr>
                <w:rFonts w:ascii="Times New Roman"/>
                <w:sz w:val="21"/>
              </w:rPr>
            </w:pPr>
            <w:r>
              <w:rPr>
                <w:rFonts w:ascii="Times New Roman"/>
                <w:sz w:val="21"/>
              </w:rPr>
              <w:t>+105</w:t>
            </w:r>
          </w:p>
        </w:tc>
      </w:tr>
      <w:tr>
        <w:trPr>
          <w:trHeight w:val="525" w:hRule="atLeast"/>
        </w:trPr>
        <w:tc>
          <w:tcPr>
            <w:tcW w:w="478" w:type="dxa"/>
            <w:vMerge/>
            <w:tcBorders>
              <w:top w:val="nil"/>
            </w:tcBorders>
          </w:tcPr>
          <w:p>
            <w:pPr>
              <w:rPr>
                <w:sz w:val="2"/>
                <w:szCs w:val="2"/>
              </w:rPr>
            </w:pPr>
          </w:p>
        </w:tc>
        <w:tc>
          <w:tcPr>
            <w:tcW w:w="1470" w:type="dxa"/>
            <w:gridSpan w:val="2"/>
          </w:tcPr>
          <w:p>
            <w:pPr>
              <w:pStyle w:val="TableParagraph"/>
              <w:spacing w:before="128"/>
              <w:ind w:left="100"/>
              <w:jc w:val="left"/>
              <w:rPr>
                <w:b/>
                <w:sz w:val="21"/>
              </w:rPr>
            </w:pPr>
            <w:r>
              <w:rPr>
                <w:b/>
                <w:sz w:val="21"/>
              </w:rPr>
              <w:t>工业固废合计</w:t>
            </w:r>
          </w:p>
        </w:tc>
        <w:tc>
          <w:tcPr>
            <w:tcW w:w="1602" w:type="dxa"/>
          </w:tcPr>
          <w:p>
            <w:pPr>
              <w:pStyle w:val="TableParagraph"/>
              <w:spacing w:before="142"/>
              <w:ind w:left="437" w:right="432"/>
              <w:rPr>
                <w:rFonts w:ascii="Times New Roman"/>
                <w:sz w:val="21"/>
              </w:rPr>
            </w:pPr>
            <w:r>
              <w:rPr>
                <w:rFonts w:ascii="Times New Roman"/>
                <w:sz w:val="21"/>
              </w:rPr>
              <w:t>2610.22</w:t>
            </w:r>
          </w:p>
        </w:tc>
        <w:tc>
          <w:tcPr>
            <w:tcW w:w="867" w:type="dxa"/>
          </w:tcPr>
          <w:p>
            <w:pPr>
              <w:pStyle w:val="TableParagraph"/>
              <w:spacing w:before="142"/>
              <w:ind w:left="93" w:right="91"/>
              <w:rPr>
                <w:rFonts w:ascii="Times New Roman"/>
                <w:sz w:val="21"/>
              </w:rPr>
            </w:pPr>
            <w:r>
              <w:rPr>
                <w:rFonts w:ascii="Times New Roman"/>
                <w:sz w:val="21"/>
              </w:rPr>
              <w:t>105</w:t>
            </w:r>
          </w:p>
        </w:tc>
        <w:tc>
          <w:tcPr>
            <w:tcW w:w="1098" w:type="dxa"/>
          </w:tcPr>
          <w:p>
            <w:pPr>
              <w:pStyle w:val="TableParagraph"/>
              <w:spacing w:before="142"/>
              <w:ind w:left="128" w:right="123"/>
              <w:rPr>
                <w:rFonts w:ascii="Times New Roman"/>
                <w:sz w:val="21"/>
              </w:rPr>
            </w:pPr>
            <w:r>
              <w:rPr>
                <w:rFonts w:ascii="Times New Roman"/>
                <w:sz w:val="21"/>
              </w:rPr>
              <w:t>105</w:t>
            </w:r>
          </w:p>
        </w:tc>
        <w:tc>
          <w:tcPr>
            <w:tcW w:w="961" w:type="dxa"/>
          </w:tcPr>
          <w:p>
            <w:pPr>
              <w:pStyle w:val="TableParagraph"/>
              <w:spacing w:before="142"/>
              <w:ind w:left="1"/>
              <w:rPr>
                <w:rFonts w:ascii="Times New Roman"/>
                <w:sz w:val="21"/>
              </w:rPr>
            </w:pPr>
            <w:r>
              <w:rPr>
                <w:rFonts w:ascii="Times New Roman"/>
                <w:w w:val="100"/>
                <w:sz w:val="21"/>
              </w:rPr>
              <w:t>0</w:t>
            </w:r>
          </w:p>
        </w:tc>
        <w:tc>
          <w:tcPr>
            <w:tcW w:w="1617" w:type="dxa"/>
          </w:tcPr>
          <w:p>
            <w:pPr>
              <w:pStyle w:val="TableParagraph"/>
              <w:spacing w:before="142"/>
              <w:ind w:right="460"/>
              <w:jc w:val="right"/>
              <w:rPr>
                <w:rFonts w:ascii="Times New Roman"/>
                <w:sz w:val="21"/>
              </w:rPr>
            </w:pPr>
            <w:r>
              <w:rPr>
                <w:rFonts w:ascii="Times New Roman"/>
                <w:sz w:val="21"/>
              </w:rPr>
              <w:t>2715.22</w:t>
            </w:r>
          </w:p>
        </w:tc>
        <w:tc>
          <w:tcPr>
            <w:tcW w:w="997" w:type="dxa"/>
          </w:tcPr>
          <w:p>
            <w:pPr>
              <w:pStyle w:val="TableParagraph"/>
              <w:spacing w:before="142"/>
              <w:ind w:left="140" w:right="143"/>
              <w:rPr>
                <w:rFonts w:ascii="Times New Roman"/>
                <w:sz w:val="21"/>
              </w:rPr>
            </w:pPr>
            <w:r>
              <w:rPr>
                <w:rFonts w:ascii="Times New Roman"/>
                <w:sz w:val="21"/>
              </w:rPr>
              <w:t>+105</w:t>
            </w:r>
          </w:p>
        </w:tc>
      </w:tr>
    </w:tbl>
    <w:p>
      <w:pPr>
        <w:pStyle w:val="ListParagraph"/>
        <w:numPr>
          <w:ilvl w:val="1"/>
          <w:numId w:val="13"/>
        </w:numPr>
        <w:tabs>
          <w:tab w:pos="679" w:val="left" w:leader="none"/>
        </w:tabs>
        <w:spacing w:line="240" w:lineRule="auto" w:before="3" w:after="0"/>
        <w:ind w:left="678" w:right="0" w:hanging="421"/>
        <w:jc w:val="left"/>
        <w:rPr>
          <w:b/>
          <w:sz w:val="28"/>
        </w:rPr>
      </w:pPr>
      <w:bookmarkStart w:name="_bookmark29" w:id="59"/>
      <w:bookmarkEnd w:id="59"/>
      <w:r>
        <w:rPr/>
      </w:r>
      <w:bookmarkStart w:name="_bookmark29" w:id="60"/>
      <w:bookmarkEnd w:id="60"/>
      <w:r>
        <w:rPr>
          <w:b/>
          <w:sz w:val="28"/>
        </w:rPr>
        <w:t>非正常情况下污染因素分析</w:t>
      </w:r>
    </w:p>
    <w:p>
      <w:pPr>
        <w:pStyle w:val="BodyText"/>
        <w:spacing w:before="185"/>
        <w:ind w:left="738"/>
      </w:pPr>
      <w:r>
        <w:rPr/>
        <w:t>非正常情况指正常开停车或部分设备检修时排放的污染物及工艺设备或环保设备</w:t>
      </w:r>
    </w:p>
    <w:p>
      <w:pPr>
        <w:pStyle w:val="BodyText"/>
        <w:rPr>
          <w:sz w:val="20"/>
        </w:rPr>
      </w:pPr>
    </w:p>
    <w:p>
      <w:pPr>
        <w:pStyle w:val="BodyText"/>
        <w:spacing w:before="11"/>
        <w:rPr>
          <w:sz w:val="29"/>
        </w:rPr>
      </w:pPr>
      <w:r>
        <w:rPr/>
        <w:pict>
          <v:line style="position:absolute;mso-position-horizontal-relative:page;mso-position-vertical-relative:paragraph;z-index:-251522048;mso-wrap-distance-left:0;mso-wrap-distance-right:0" from="69.949997pt,21.504999pt" to="511.699997pt,21.504999pt" stroked="true" strokeweight=".75pt" strokecolor="#000000">
            <v:stroke dashstyle="solid"/>
            <w10:wrap type="topAndBottom"/>
          </v:line>
        </w:pict>
      </w:r>
    </w:p>
    <w:p>
      <w:pPr>
        <w:spacing w:after="0"/>
        <w:rPr>
          <w:sz w:val="29"/>
        </w:rPr>
        <w:sectPr>
          <w:headerReference w:type="default" r:id="rId57"/>
          <w:footerReference w:type="default" r:id="rId58"/>
          <w:pgSz w:w="11910" w:h="16850"/>
          <w:pgMar w:header="730" w:footer="736" w:top="960" w:bottom="920" w:left="1160" w:right="1080"/>
          <w:pgNumType w:start="99"/>
        </w:sectPr>
      </w:pPr>
    </w:p>
    <w:p>
      <w:pPr>
        <w:pStyle w:val="BodyText"/>
        <w:spacing w:before="6"/>
        <w:rPr>
          <w:sz w:val="29"/>
        </w:rPr>
      </w:pPr>
    </w:p>
    <w:p>
      <w:pPr>
        <w:pStyle w:val="BodyText"/>
        <w:spacing w:before="66"/>
        <w:ind w:left="258"/>
      </w:pPr>
      <w:r>
        <w:rPr/>
        <w:t>达不到设计规定指标要求或出现故障时排放的污染物。</w:t>
      </w:r>
    </w:p>
    <w:p>
      <w:pPr>
        <w:pStyle w:val="Heading4"/>
        <w:numPr>
          <w:ilvl w:val="2"/>
          <w:numId w:val="13"/>
        </w:numPr>
        <w:tabs>
          <w:tab w:pos="1039" w:val="left" w:leader="none"/>
        </w:tabs>
        <w:spacing w:line="240" w:lineRule="auto" w:before="159" w:after="0"/>
        <w:ind w:left="1038" w:right="0" w:hanging="541"/>
        <w:jc w:val="both"/>
      </w:pPr>
      <w:r>
        <w:rPr/>
        <w:t>非正常情况废气排放</w:t>
      </w:r>
    </w:p>
    <w:p>
      <w:pPr>
        <w:pStyle w:val="BodyText"/>
        <w:spacing w:line="364" w:lineRule="auto" w:before="160"/>
        <w:ind w:left="258" w:right="284" w:firstLine="480"/>
        <w:jc w:val="both"/>
      </w:pPr>
      <w:r>
        <w:rPr>
          <w:spacing w:val="-3"/>
        </w:rPr>
        <w:t>项目开停车及设备检修时各中间罐、反应釡及管道中废气通过加水排气，废气用泵</w:t>
      </w:r>
      <w:r>
        <w:rPr>
          <w:spacing w:val="-6"/>
        </w:rPr>
        <w:t>送往废气处理装置经相应处理系统处理后排放；本项目非正常情况下废气排放影响较大</w:t>
      </w:r>
      <w:r>
        <w:rPr>
          <w:spacing w:val="-7"/>
        </w:rPr>
        <w:t>的是废气处理装置出现故障，如：冷凝器故障或者喷淋液失效，对气体吸收效率降低。</w:t>
      </w:r>
      <w:r>
        <w:rPr>
          <w:spacing w:val="3"/>
        </w:rPr>
        <w:t>本环评要求企业对加强污染物处理装置的管理及日常检修维护，严防非正常工况的发</w:t>
      </w:r>
      <w:r>
        <w:rPr>
          <w:spacing w:val="-6"/>
        </w:rPr>
        <w:t>生，在非正常工况发生时应迅速组织力量进行排除，使非正常工况对周围环境及保护目标的影响减少到最低程度。</w:t>
      </w:r>
    </w:p>
    <w:p>
      <w:pPr>
        <w:pStyle w:val="Heading4"/>
        <w:numPr>
          <w:ilvl w:val="2"/>
          <w:numId w:val="13"/>
        </w:numPr>
        <w:tabs>
          <w:tab w:pos="1039" w:val="left" w:leader="none"/>
        </w:tabs>
        <w:spacing w:line="305" w:lineRule="exact" w:before="0" w:after="0"/>
        <w:ind w:left="1038" w:right="0" w:hanging="541"/>
        <w:jc w:val="both"/>
      </w:pPr>
      <w:r>
        <w:rPr/>
        <w:t>非正常情况废水排放</w:t>
      </w:r>
    </w:p>
    <w:p>
      <w:pPr>
        <w:pStyle w:val="BodyText"/>
        <w:spacing w:line="364" w:lineRule="auto" w:before="161"/>
        <w:ind w:left="258" w:right="332" w:firstLine="480"/>
        <w:jc w:val="both"/>
      </w:pPr>
      <w:r>
        <w:rPr>
          <w:spacing w:val="-4"/>
        </w:rPr>
        <w:t>项目废水非正常情况下主要是开停车、设备检修时，要排出大量清洗废水；或者厂内废水处理装置出现故障而造成废水不能及时处理，需临时贮存。东区厂区事故状态下</w:t>
      </w:r>
      <w:r>
        <w:rPr>
          <w:spacing w:val="-3"/>
        </w:rPr>
        <w:t>可以保证容纳 </w:t>
      </w:r>
      <w:r>
        <w:rPr>
          <w:rFonts w:ascii="Times New Roman" w:eastAsia="Times New Roman"/>
        </w:rPr>
        <w:t>2600m</w:t>
      </w:r>
      <w:r>
        <w:rPr>
          <w:rFonts w:ascii="Times New Roman" w:eastAsia="Times New Roman"/>
          <w:position w:val="9"/>
          <w:sz w:val="16"/>
        </w:rPr>
        <w:t>3 </w:t>
      </w:r>
      <w:r>
        <w:rPr>
          <w:spacing w:val="-1"/>
        </w:rPr>
        <w:t>的事故废水，可以接纳本项目非正常情况下的废水。废水经事故</w:t>
      </w:r>
      <w:r>
        <w:rPr/>
        <w:t>水池收集后送入厂内污水处理站处理后达标排放。</w:t>
      </w:r>
    </w:p>
    <w:p>
      <w:pPr>
        <w:pStyle w:val="Heading4"/>
        <w:numPr>
          <w:ilvl w:val="2"/>
          <w:numId w:val="13"/>
        </w:numPr>
        <w:tabs>
          <w:tab w:pos="1039" w:val="left" w:leader="none"/>
        </w:tabs>
        <w:spacing w:line="305" w:lineRule="exact" w:before="0" w:after="0"/>
        <w:ind w:left="1038" w:right="0" w:hanging="541"/>
        <w:jc w:val="both"/>
      </w:pPr>
      <w:r>
        <w:rPr/>
        <w:t>非常规固废</w:t>
      </w:r>
    </w:p>
    <w:p>
      <w:pPr>
        <w:pStyle w:val="BodyText"/>
        <w:spacing w:line="364" w:lineRule="auto" w:before="158"/>
        <w:ind w:left="258" w:right="272" w:firstLine="480"/>
      </w:pPr>
      <w:r>
        <w:rPr/>
        <w:t>企业在正常生产之外的非正常工况下会产生一些废物，该部分废物不定期产生，无法准确定量，主要情况见下表。</w:t>
      </w:r>
    </w:p>
    <w:p>
      <w:pPr>
        <w:pStyle w:val="Heading4"/>
        <w:tabs>
          <w:tab w:pos="3960" w:val="left" w:leader="none"/>
        </w:tabs>
        <w:spacing w:before="141" w:after="28"/>
        <w:ind w:left="2738"/>
      </w:pPr>
      <w:r>
        <w:rPr/>
        <w:t>表</w:t>
      </w:r>
      <w:r>
        <w:rPr>
          <w:spacing w:val="-59"/>
        </w:rPr>
        <w:t> </w:t>
      </w:r>
      <w:r>
        <w:rPr>
          <w:rFonts w:ascii="Times New Roman" w:eastAsia="Times New Roman"/>
        </w:rPr>
        <w:t>4.6.3-1</w:t>
        <w:tab/>
      </w:r>
      <w:r>
        <w:rPr/>
        <w:t>企业非常规废物属性判定表</w:t>
      </w:r>
    </w:p>
    <w:tbl>
      <w:tblPr>
        <w:tblW w:w="0" w:type="auto"/>
        <w:jc w:val="left"/>
        <w:tblInd w:w="2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54"/>
        <w:gridCol w:w="1623"/>
        <w:gridCol w:w="1357"/>
        <w:gridCol w:w="2127"/>
        <w:gridCol w:w="1275"/>
        <w:gridCol w:w="1136"/>
        <w:gridCol w:w="1159"/>
      </w:tblGrid>
      <w:tr>
        <w:trPr>
          <w:trHeight w:val="544" w:hRule="atLeast"/>
        </w:trPr>
        <w:tc>
          <w:tcPr>
            <w:tcW w:w="454" w:type="dxa"/>
          </w:tcPr>
          <w:p>
            <w:pPr>
              <w:pStyle w:val="TableParagraph"/>
              <w:spacing w:before="1"/>
              <w:ind w:left="119"/>
              <w:jc w:val="left"/>
              <w:rPr>
                <w:b/>
                <w:sz w:val="21"/>
              </w:rPr>
            </w:pPr>
            <w:r>
              <w:rPr>
                <w:b/>
                <w:w w:val="100"/>
                <w:sz w:val="21"/>
              </w:rPr>
              <w:t>序</w:t>
            </w:r>
          </w:p>
          <w:p>
            <w:pPr>
              <w:pStyle w:val="TableParagraph"/>
              <w:spacing w:line="250" w:lineRule="exact" w:before="4"/>
              <w:ind w:left="119"/>
              <w:jc w:val="left"/>
              <w:rPr>
                <w:b/>
                <w:sz w:val="21"/>
              </w:rPr>
            </w:pPr>
            <w:r>
              <w:rPr>
                <w:b/>
                <w:w w:val="100"/>
                <w:sz w:val="21"/>
              </w:rPr>
              <w:t>号</w:t>
            </w:r>
          </w:p>
        </w:tc>
        <w:tc>
          <w:tcPr>
            <w:tcW w:w="1623" w:type="dxa"/>
          </w:tcPr>
          <w:p>
            <w:pPr>
              <w:pStyle w:val="TableParagraph"/>
              <w:spacing w:before="138"/>
              <w:ind w:left="58" w:right="50"/>
              <w:rPr>
                <w:b/>
                <w:sz w:val="21"/>
              </w:rPr>
            </w:pPr>
            <w:r>
              <w:rPr>
                <w:b/>
                <w:sz w:val="21"/>
              </w:rPr>
              <w:t>危废名称</w:t>
            </w:r>
          </w:p>
        </w:tc>
        <w:tc>
          <w:tcPr>
            <w:tcW w:w="1357" w:type="dxa"/>
          </w:tcPr>
          <w:p>
            <w:pPr>
              <w:pStyle w:val="TableParagraph"/>
              <w:spacing w:before="138"/>
              <w:ind w:left="28" w:right="24"/>
              <w:rPr>
                <w:b/>
                <w:sz w:val="21"/>
              </w:rPr>
            </w:pPr>
            <w:r>
              <w:rPr>
                <w:b/>
                <w:sz w:val="21"/>
              </w:rPr>
              <w:t>产生工序</w:t>
            </w:r>
          </w:p>
        </w:tc>
        <w:tc>
          <w:tcPr>
            <w:tcW w:w="2127" w:type="dxa"/>
          </w:tcPr>
          <w:p>
            <w:pPr>
              <w:pStyle w:val="TableParagraph"/>
              <w:spacing w:before="1"/>
              <w:ind w:left="82"/>
              <w:jc w:val="left"/>
              <w:rPr>
                <w:rFonts w:ascii="Times New Roman" w:eastAsia="Times New Roman"/>
                <w:b/>
                <w:sz w:val="21"/>
              </w:rPr>
            </w:pPr>
            <w:r>
              <w:rPr>
                <w:b/>
                <w:sz w:val="21"/>
              </w:rPr>
              <w:t>属性判定（危险废物</w:t>
            </w:r>
            <w:r>
              <w:rPr>
                <w:rFonts w:ascii="Times New Roman" w:eastAsia="Times New Roman"/>
                <w:b/>
                <w:sz w:val="21"/>
              </w:rPr>
              <w:t>/</w:t>
            </w:r>
          </w:p>
          <w:p>
            <w:pPr>
              <w:pStyle w:val="TableParagraph"/>
              <w:spacing w:line="250" w:lineRule="exact" w:before="4"/>
              <w:ind w:left="24"/>
              <w:jc w:val="left"/>
              <w:rPr>
                <w:b/>
                <w:sz w:val="21"/>
              </w:rPr>
            </w:pPr>
            <w:r>
              <w:rPr>
                <w:b/>
                <w:sz w:val="21"/>
              </w:rPr>
              <w:t>一般工业固废</w:t>
            </w:r>
            <w:r>
              <w:rPr>
                <w:rFonts w:ascii="Times New Roman" w:eastAsia="Times New Roman"/>
                <w:b/>
                <w:sz w:val="21"/>
              </w:rPr>
              <w:t>/</w:t>
            </w:r>
            <w:r>
              <w:rPr>
                <w:b/>
                <w:sz w:val="21"/>
              </w:rPr>
              <w:t>待鉴别</w:t>
            </w:r>
          </w:p>
        </w:tc>
        <w:tc>
          <w:tcPr>
            <w:tcW w:w="1275" w:type="dxa"/>
          </w:tcPr>
          <w:p>
            <w:pPr>
              <w:pStyle w:val="TableParagraph"/>
              <w:spacing w:line="211" w:lineRule="auto" w:before="145"/>
              <w:ind w:left="-147" w:right="211"/>
              <w:jc w:val="right"/>
              <w:rPr>
                <w:b/>
                <w:sz w:val="21"/>
              </w:rPr>
            </w:pPr>
            <w:r>
              <w:rPr>
                <w:b/>
                <w:position w:val="-13"/>
                <w:sz w:val="21"/>
              </w:rPr>
              <w:t>）</w:t>
            </w:r>
            <w:r>
              <w:rPr>
                <w:b/>
                <w:spacing w:val="42"/>
                <w:position w:val="-13"/>
                <w:sz w:val="21"/>
              </w:rPr>
              <w:t> </w:t>
            </w:r>
            <w:r>
              <w:rPr>
                <w:b/>
                <w:spacing w:val="-4"/>
                <w:sz w:val="21"/>
              </w:rPr>
              <w:t>废物代码</w:t>
            </w:r>
          </w:p>
        </w:tc>
        <w:tc>
          <w:tcPr>
            <w:tcW w:w="1136" w:type="dxa"/>
          </w:tcPr>
          <w:p>
            <w:pPr>
              <w:pStyle w:val="TableParagraph"/>
              <w:spacing w:before="138"/>
              <w:ind w:left="102" w:right="101"/>
              <w:rPr>
                <w:b/>
                <w:sz w:val="21"/>
              </w:rPr>
            </w:pPr>
            <w:r>
              <w:rPr>
                <w:b/>
                <w:sz w:val="21"/>
              </w:rPr>
              <w:t>废物类别</w:t>
            </w:r>
          </w:p>
        </w:tc>
        <w:tc>
          <w:tcPr>
            <w:tcW w:w="1159" w:type="dxa"/>
          </w:tcPr>
          <w:p>
            <w:pPr>
              <w:pStyle w:val="TableParagraph"/>
              <w:spacing w:before="138"/>
              <w:ind w:left="24" w:right="24"/>
              <w:rPr>
                <w:b/>
                <w:sz w:val="21"/>
              </w:rPr>
            </w:pPr>
            <w:r>
              <w:rPr>
                <w:b/>
                <w:sz w:val="21"/>
              </w:rPr>
              <w:t>危险特性</w:t>
            </w:r>
          </w:p>
        </w:tc>
      </w:tr>
      <w:tr>
        <w:trPr>
          <w:trHeight w:val="273" w:hRule="atLeast"/>
        </w:trPr>
        <w:tc>
          <w:tcPr>
            <w:tcW w:w="454" w:type="dxa"/>
          </w:tcPr>
          <w:p>
            <w:pPr>
              <w:pStyle w:val="TableParagraph"/>
              <w:spacing w:line="238" w:lineRule="exact" w:before="15"/>
              <w:ind w:right="168"/>
              <w:jc w:val="right"/>
              <w:rPr>
                <w:rFonts w:ascii="Times New Roman"/>
                <w:sz w:val="21"/>
              </w:rPr>
            </w:pPr>
            <w:r>
              <w:rPr>
                <w:rFonts w:ascii="Times New Roman"/>
                <w:w w:val="100"/>
                <w:sz w:val="21"/>
              </w:rPr>
              <w:t>1</w:t>
            </w:r>
          </w:p>
        </w:tc>
        <w:tc>
          <w:tcPr>
            <w:tcW w:w="1623" w:type="dxa"/>
          </w:tcPr>
          <w:p>
            <w:pPr>
              <w:pStyle w:val="TableParagraph"/>
              <w:spacing w:line="252" w:lineRule="exact" w:before="1"/>
              <w:ind w:left="58" w:right="50"/>
              <w:rPr>
                <w:sz w:val="21"/>
              </w:rPr>
            </w:pPr>
            <w:r>
              <w:rPr>
                <w:sz w:val="21"/>
              </w:rPr>
              <w:t>劳保手套等用品</w:t>
            </w:r>
          </w:p>
        </w:tc>
        <w:tc>
          <w:tcPr>
            <w:tcW w:w="1357" w:type="dxa"/>
          </w:tcPr>
          <w:p>
            <w:pPr>
              <w:pStyle w:val="TableParagraph"/>
              <w:spacing w:line="252" w:lineRule="exact" w:before="1"/>
              <w:ind w:left="25" w:right="24"/>
              <w:rPr>
                <w:sz w:val="21"/>
              </w:rPr>
            </w:pPr>
            <w:r>
              <w:rPr>
                <w:sz w:val="21"/>
              </w:rPr>
              <w:t>生产过程</w:t>
            </w:r>
          </w:p>
        </w:tc>
        <w:tc>
          <w:tcPr>
            <w:tcW w:w="2127" w:type="dxa"/>
          </w:tcPr>
          <w:p>
            <w:pPr>
              <w:pStyle w:val="TableParagraph"/>
              <w:spacing w:line="252" w:lineRule="exact" w:before="1"/>
              <w:ind w:left="100" w:right="101"/>
              <w:rPr>
                <w:sz w:val="21"/>
              </w:rPr>
            </w:pPr>
            <w:r>
              <w:rPr>
                <w:sz w:val="21"/>
              </w:rPr>
              <w:t>危险废物</w:t>
            </w:r>
          </w:p>
        </w:tc>
        <w:tc>
          <w:tcPr>
            <w:tcW w:w="1275" w:type="dxa"/>
          </w:tcPr>
          <w:p>
            <w:pPr>
              <w:pStyle w:val="TableParagraph"/>
              <w:spacing w:line="238" w:lineRule="exact" w:before="15"/>
              <w:ind w:left="-147" w:right="144"/>
              <w:jc w:val="right"/>
              <w:rPr>
                <w:rFonts w:ascii="Times New Roman"/>
                <w:sz w:val="21"/>
              </w:rPr>
            </w:pPr>
            <w:r>
              <w:rPr>
                <w:rFonts w:ascii="Times New Roman"/>
                <w:sz w:val="21"/>
              </w:rPr>
              <w:t>900-041-49</w:t>
            </w:r>
          </w:p>
        </w:tc>
        <w:tc>
          <w:tcPr>
            <w:tcW w:w="1136" w:type="dxa"/>
          </w:tcPr>
          <w:p>
            <w:pPr>
              <w:pStyle w:val="TableParagraph"/>
              <w:spacing w:line="238" w:lineRule="exact" w:before="15"/>
              <w:ind w:left="102" w:right="101"/>
              <w:rPr>
                <w:rFonts w:ascii="Times New Roman"/>
                <w:sz w:val="21"/>
              </w:rPr>
            </w:pPr>
            <w:r>
              <w:rPr>
                <w:rFonts w:ascii="Times New Roman"/>
                <w:sz w:val="21"/>
              </w:rPr>
              <w:t>HW49</w:t>
            </w:r>
          </w:p>
        </w:tc>
        <w:tc>
          <w:tcPr>
            <w:tcW w:w="1159" w:type="dxa"/>
          </w:tcPr>
          <w:p>
            <w:pPr>
              <w:pStyle w:val="TableParagraph"/>
              <w:spacing w:line="238" w:lineRule="exact" w:before="15"/>
              <w:ind w:left="24" w:right="24"/>
              <w:rPr>
                <w:rFonts w:ascii="Times New Roman"/>
                <w:sz w:val="21"/>
              </w:rPr>
            </w:pPr>
            <w:r>
              <w:rPr>
                <w:rFonts w:ascii="Times New Roman"/>
                <w:sz w:val="21"/>
              </w:rPr>
              <w:t>T, In</w:t>
            </w:r>
          </w:p>
        </w:tc>
      </w:tr>
      <w:tr>
        <w:trPr>
          <w:trHeight w:val="271" w:hRule="atLeast"/>
        </w:trPr>
        <w:tc>
          <w:tcPr>
            <w:tcW w:w="454" w:type="dxa"/>
          </w:tcPr>
          <w:p>
            <w:pPr>
              <w:pStyle w:val="TableParagraph"/>
              <w:spacing w:line="236" w:lineRule="exact" w:before="15"/>
              <w:ind w:right="168"/>
              <w:jc w:val="right"/>
              <w:rPr>
                <w:rFonts w:ascii="Times New Roman"/>
                <w:sz w:val="21"/>
              </w:rPr>
            </w:pPr>
            <w:r>
              <w:rPr>
                <w:rFonts w:ascii="Times New Roman"/>
                <w:w w:val="100"/>
                <w:sz w:val="21"/>
              </w:rPr>
              <w:t>2</w:t>
            </w:r>
          </w:p>
        </w:tc>
        <w:tc>
          <w:tcPr>
            <w:tcW w:w="1623" w:type="dxa"/>
          </w:tcPr>
          <w:p>
            <w:pPr>
              <w:pStyle w:val="TableParagraph"/>
              <w:spacing w:line="250" w:lineRule="exact" w:before="1"/>
              <w:ind w:left="53" w:right="50"/>
              <w:rPr>
                <w:sz w:val="21"/>
              </w:rPr>
            </w:pPr>
            <w:r>
              <w:rPr>
                <w:sz w:val="21"/>
              </w:rPr>
              <w:t>废试剂瓶</w:t>
            </w:r>
          </w:p>
        </w:tc>
        <w:tc>
          <w:tcPr>
            <w:tcW w:w="1357" w:type="dxa"/>
          </w:tcPr>
          <w:p>
            <w:pPr>
              <w:pStyle w:val="TableParagraph"/>
              <w:spacing w:line="250" w:lineRule="exact" w:before="1"/>
              <w:ind w:left="28" w:right="23"/>
              <w:rPr>
                <w:sz w:val="21"/>
              </w:rPr>
            </w:pPr>
            <w:r>
              <w:rPr>
                <w:sz w:val="21"/>
              </w:rPr>
              <w:t>检测</w:t>
            </w:r>
          </w:p>
        </w:tc>
        <w:tc>
          <w:tcPr>
            <w:tcW w:w="2127" w:type="dxa"/>
          </w:tcPr>
          <w:p>
            <w:pPr>
              <w:pStyle w:val="TableParagraph"/>
              <w:spacing w:line="250" w:lineRule="exact" w:before="1"/>
              <w:ind w:left="100" w:right="101"/>
              <w:rPr>
                <w:sz w:val="21"/>
              </w:rPr>
            </w:pPr>
            <w:r>
              <w:rPr>
                <w:sz w:val="21"/>
              </w:rPr>
              <w:t>危险废物</w:t>
            </w:r>
          </w:p>
        </w:tc>
        <w:tc>
          <w:tcPr>
            <w:tcW w:w="1275" w:type="dxa"/>
          </w:tcPr>
          <w:p>
            <w:pPr>
              <w:pStyle w:val="TableParagraph"/>
              <w:spacing w:line="236" w:lineRule="exact" w:before="15"/>
              <w:ind w:left="-147" w:right="144"/>
              <w:jc w:val="right"/>
              <w:rPr>
                <w:rFonts w:ascii="Times New Roman"/>
                <w:sz w:val="21"/>
              </w:rPr>
            </w:pPr>
            <w:r>
              <w:rPr>
                <w:rFonts w:ascii="Times New Roman"/>
                <w:sz w:val="21"/>
              </w:rPr>
              <w:t>900-047-49</w:t>
            </w:r>
          </w:p>
        </w:tc>
        <w:tc>
          <w:tcPr>
            <w:tcW w:w="1136" w:type="dxa"/>
          </w:tcPr>
          <w:p>
            <w:pPr>
              <w:pStyle w:val="TableParagraph"/>
              <w:spacing w:line="236" w:lineRule="exact" w:before="15"/>
              <w:ind w:left="101" w:right="101"/>
              <w:rPr>
                <w:rFonts w:ascii="Times New Roman"/>
                <w:sz w:val="21"/>
              </w:rPr>
            </w:pPr>
            <w:r>
              <w:rPr>
                <w:rFonts w:ascii="Times New Roman"/>
                <w:sz w:val="21"/>
              </w:rPr>
              <w:t>HW49</w:t>
            </w:r>
          </w:p>
        </w:tc>
        <w:tc>
          <w:tcPr>
            <w:tcW w:w="1159" w:type="dxa"/>
          </w:tcPr>
          <w:p>
            <w:pPr>
              <w:pStyle w:val="TableParagraph"/>
              <w:spacing w:line="236" w:lineRule="exact" w:before="15"/>
              <w:ind w:left="24" w:right="24"/>
              <w:rPr>
                <w:rFonts w:ascii="Times New Roman"/>
                <w:sz w:val="21"/>
              </w:rPr>
            </w:pPr>
            <w:r>
              <w:rPr>
                <w:rFonts w:ascii="Times New Roman"/>
                <w:sz w:val="21"/>
              </w:rPr>
              <w:t>T, In</w:t>
            </w:r>
          </w:p>
        </w:tc>
      </w:tr>
      <w:tr>
        <w:trPr>
          <w:trHeight w:val="273" w:hRule="atLeast"/>
        </w:trPr>
        <w:tc>
          <w:tcPr>
            <w:tcW w:w="454" w:type="dxa"/>
          </w:tcPr>
          <w:p>
            <w:pPr>
              <w:pStyle w:val="TableParagraph"/>
              <w:spacing w:line="236" w:lineRule="exact" w:before="17"/>
              <w:ind w:right="168"/>
              <w:jc w:val="right"/>
              <w:rPr>
                <w:rFonts w:ascii="Times New Roman"/>
                <w:sz w:val="21"/>
              </w:rPr>
            </w:pPr>
            <w:r>
              <w:rPr>
                <w:rFonts w:ascii="Times New Roman"/>
                <w:w w:val="100"/>
                <w:sz w:val="21"/>
              </w:rPr>
              <w:t>3</w:t>
            </w:r>
          </w:p>
        </w:tc>
        <w:tc>
          <w:tcPr>
            <w:tcW w:w="1623" w:type="dxa"/>
          </w:tcPr>
          <w:p>
            <w:pPr>
              <w:pStyle w:val="TableParagraph"/>
              <w:spacing w:line="250" w:lineRule="exact" w:before="3"/>
              <w:ind w:left="55" w:right="50"/>
              <w:rPr>
                <w:sz w:val="21"/>
              </w:rPr>
            </w:pPr>
            <w:r>
              <w:rPr>
                <w:sz w:val="21"/>
              </w:rPr>
              <w:t>废矿物油</w:t>
            </w:r>
          </w:p>
        </w:tc>
        <w:tc>
          <w:tcPr>
            <w:tcW w:w="1357" w:type="dxa"/>
          </w:tcPr>
          <w:p>
            <w:pPr>
              <w:pStyle w:val="TableParagraph"/>
              <w:spacing w:line="250" w:lineRule="exact" w:before="3"/>
              <w:ind w:left="26" w:right="24"/>
              <w:rPr>
                <w:sz w:val="21"/>
              </w:rPr>
            </w:pPr>
            <w:r>
              <w:rPr>
                <w:sz w:val="21"/>
              </w:rPr>
              <w:t>设备保养</w:t>
            </w:r>
          </w:p>
        </w:tc>
        <w:tc>
          <w:tcPr>
            <w:tcW w:w="2127" w:type="dxa"/>
          </w:tcPr>
          <w:p>
            <w:pPr>
              <w:pStyle w:val="TableParagraph"/>
              <w:spacing w:line="250" w:lineRule="exact" w:before="3"/>
              <w:ind w:left="100" w:right="101"/>
              <w:rPr>
                <w:sz w:val="21"/>
              </w:rPr>
            </w:pPr>
            <w:r>
              <w:rPr>
                <w:sz w:val="21"/>
              </w:rPr>
              <w:t>危险废物</w:t>
            </w:r>
          </w:p>
        </w:tc>
        <w:tc>
          <w:tcPr>
            <w:tcW w:w="1275" w:type="dxa"/>
          </w:tcPr>
          <w:p>
            <w:pPr>
              <w:pStyle w:val="TableParagraph"/>
              <w:spacing w:line="236" w:lineRule="exact" w:before="17"/>
              <w:ind w:left="-147" w:right="144"/>
              <w:jc w:val="right"/>
              <w:rPr>
                <w:rFonts w:ascii="Times New Roman"/>
                <w:sz w:val="21"/>
              </w:rPr>
            </w:pPr>
            <w:r>
              <w:rPr>
                <w:rFonts w:ascii="Times New Roman"/>
                <w:sz w:val="21"/>
              </w:rPr>
              <w:t>900-249-08</w:t>
            </w:r>
          </w:p>
        </w:tc>
        <w:tc>
          <w:tcPr>
            <w:tcW w:w="1136" w:type="dxa"/>
          </w:tcPr>
          <w:p>
            <w:pPr>
              <w:pStyle w:val="TableParagraph"/>
              <w:spacing w:line="236" w:lineRule="exact" w:before="17"/>
              <w:ind w:left="102" w:right="101"/>
              <w:rPr>
                <w:rFonts w:ascii="Times New Roman"/>
                <w:sz w:val="21"/>
              </w:rPr>
            </w:pPr>
            <w:r>
              <w:rPr>
                <w:rFonts w:ascii="Times New Roman"/>
                <w:sz w:val="21"/>
              </w:rPr>
              <w:t>HW08</w:t>
            </w:r>
          </w:p>
        </w:tc>
        <w:tc>
          <w:tcPr>
            <w:tcW w:w="1159" w:type="dxa"/>
          </w:tcPr>
          <w:p>
            <w:pPr>
              <w:pStyle w:val="TableParagraph"/>
              <w:spacing w:line="236" w:lineRule="exact" w:before="17"/>
              <w:ind w:left="24" w:right="24"/>
              <w:rPr>
                <w:rFonts w:ascii="Times New Roman"/>
                <w:sz w:val="21"/>
              </w:rPr>
            </w:pPr>
            <w:r>
              <w:rPr>
                <w:rFonts w:ascii="Times New Roman"/>
                <w:sz w:val="21"/>
              </w:rPr>
              <w:t>T, I</w:t>
            </w:r>
          </w:p>
        </w:tc>
      </w:tr>
      <w:tr>
        <w:trPr>
          <w:trHeight w:val="273" w:hRule="atLeast"/>
        </w:trPr>
        <w:tc>
          <w:tcPr>
            <w:tcW w:w="454" w:type="dxa"/>
          </w:tcPr>
          <w:p>
            <w:pPr>
              <w:pStyle w:val="TableParagraph"/>
              <w:spacing w:line="238" w:lineRule="exact" w:before="15"/>
              <w:ind w:right="168"/>
              <w:jc w:val="right"/>
              <w:rPr>
                <w:rFonts w:ascii="Times New Roman"/>
                <w:sz w:val="21"/>
              </w:rPr>
            </w:pPr>
            <w:r>
              <w:rPr>
                <w:rFonts w:ascii="Times New Roman"/>
                <w:w w:val="100"/>
                <w:sz w:val="21"/>
              </w:rPr>
              <w:t>4</w:t>
            </w:r>
          </w:p>
        </w:tc>
        <w:tc>
          <w:tcPr>
            <w:tcW w:w="1623" w:type="dxa"/>
          </w:tcPr>
          <w:p>
            <w:pPr>
              <w:pStyle w:val="TableParagraph"/>
              <w:spacing w:line="252" w:lineRule="exact" w:before="1"/>
              <w:ind w:left="55" w:right="50"/>
              <w:rPr>
                <w:sz w:val="21"/>
              </w:rPr>
            </w:pPr>
            <w:r>
              <w:rPr>
                <w:sz w:val="21"/>
              </w:rPr>
              <w:t>事故危废</w:t>
            </w:r>
          </w:p>
        </w:tc>
        <w:tc>
          <w:tcPr>
            <w:tcW w:w="1357" w:type="dxa"/>
          </w:tcPr>
          <w:p>
            <w:pPr>
              <w:pStyle w:val="TableParagraph"/>
              <w:spacing w:line="252" w:lineRule="exact" w:before="1"/>
              <w:ind w:left="28" w:right="23"/>
              <w:rPr>
                <w:sz w:val="21"/>
              </w:rPr>
            </w:pPr>
            <w:r>
              <w:rPr>
                <w:sz w:val="21"/>
              </w:rPr>
              <w:t>事故</w:t>
            </w:r>
          </w:p>
        </w:tc>
        <w:tc>
          <w:tcPr>
            <w:tcW w:w="2127" w:type="dxa"/>
          </w:tcPr>
          <w:p>
            <w:pPr>
              <w:pStyle w:val="TableParagraph"/>
              <w:spacing w:line="252" w:lineRule="exact" w:before="1"/>
              <w:ind w:left="100" w:right="101"/>
              <w:rPr>
                <w:sz w:val="21"/>
              </w:rPr>
            </w:pPr>
            <w:r>
              <w:rPr>
                <w:sz w:val="21"/>
              </w:rPr>
              <w:t>危险废物</w:t>
            </w:r>
          </w:p>
        </w:tc>
        <w:tc>
          <w:tcPr>
            <w:tcW w:w="1275" w:type="dxa"/>
          </w:tcPr>
          <w:p>
            <w:pPr>
              <w:pStyle w:val="TableParagraph"/>
              <w:spacing w:line="238" w:lineRule="exact" w:before="15"/>
              <w:ind w:left="-147" w:right="144"/>
              <w:jc w:val="right"/>
              <w:rPr>
                <w:rFonts w:ascii="Times New Roman"/>
                <w:sz w:val="21"/>
              </w:rPr>
            </w:pPr>
            <w:r>
              <w:rPr>
                <w:rFonts w:ascii="Times New Roman"/>
                <w:sz w:val="21"/>
              </w:rPr>
              <w:t>900-042-49</w:t>
            </w:r>
          </w:p>
        </w:tc>
        <w:tc>
          <w:tcPr>
            <w:tcW w:w="1136" w:type="dxa"/>
          </w:tcPr>
          <w:p>
            <w:pPr>
              <w:pStyle w:val="TableParagraph"/>
              <w:spacing w:line="238" w:lineRule="exact" w:before="15"/>
              <w:ind w:left="102" w:right="101"/>
              <w:rPr>
                <w:rFonts w:ascii="Times New Roman"/>
                <w:sz w:val="21"/>
              </w:rPr>
            </w:pPr>
            <w:r>
              <w:rPr>
                <w:rFonts w:ascii="Times New Roman"/>
                <w:sz w:val="21"/>
              </w:rPr>
              <w:t>HW49</w:t>
            </w:r>
          </w:p>
        </w:tc>
        <w:tc>
          <w:tcPr>
            <w:tcW w:w="1159" w:type="dxa"/>
          </w:tcPr>
          <w:p>
            <w:pPr>
              <w:pStyle w:val="TableParagraph"/>
              <w:spacing w:line="238" w:lineRule="exact" w:before="15"/>
              <w:ind w:left="24" w:right="24"/>
              <w:rPr>
                <w:rFonts w:ascii="Times New Roman"/>
                <w:sz w:val="21"/>
              </w:rPr>
            </w:pPr>
            <w:r>
              <w:rPr>
                <w:rFonts w:ascii="Times New Roman"/>
                <w:sz w:val="21"/>
              </w:rPr>
              <w:t>T, In</w:t>
            </w:r>
          </w:p>
        </w:tc>
      </w:tr>
      <w:tr>
        <w:trPr>
          <w:trHeight w:val="270" w:hRule="atLeast"/>
        </w:trPr>
        <w:tc>
          <w:tcPr>
            <w:tcW w:w="454" w:type="dxa"/>
          </w:tcPr>
          <w:p>
            <w:pPr>
              <w:pStyle w:val="TableParagraph"/>
              <w:spacing w:line="236" w:lineRule="exact" w:before="15"/>
              <w:ind w:right="168"/>
              <w:jc w:val="right"/>
              <w:rPr>
                <w:rFonts w:ascii="Times New Roman"/>
                <w:sz w:val="21"/>
              </w:rPr>
            </w:pPr>
            <w:r>
              <w:rPr>
                <w:rFonts w:ascii="Times New Roman"/>
                <w:w w:val="100"/>
                <w:sz w:val="21"/>
              </w:rPr>
              <w:t>5</w:t>
            </w:r>
          </w:p>
        </w:tc>
        <w:tc>
          <w:tcPr>
            <w:tcW w:w="1623" w:type="dxa"/>
          </w:tcPr>
          <w:p>
            <w:pPr>
              <w:pStyle w:val="TableParagraph"/>
              <w:spacing w:line="250" w:lineRule="exact" w:before="1"/>
              <w:ind w:left="58" w:right="50"/>
              <w:rPr>
                <w:sz w:val="21"/>
              </w:rPr>
            </w:pPr>
            <w:r>
              <w:rPr>
                <w:sz w:val="21"/>
              </w:rPr>
              <w:t>车间污水池污泥</w:t>
            </w:r>
          </w:p>
        </w:tc>
        <w:tc>
          <w:tcPr>
            <w:tcW w:w="1357" w:type="dxa"/>
          </w:tcPr>
          <w:p>
            <w:pPr>
              <w:pStyle w:val="TableParagraph"/>
              <w:spacing w:line="250" w:lineRule="exact" w:before="1"/>
              <w:ind w:left="25" w:right="24"/>
              <w:rPr>
                <w:sz w:val="21"/>
              </w:rPr>
            </w:pPr>
            <w:r>
              <w:rPr>
                <w:sz w:val="21"/>
              </w:rPr>
              <w:t>污水池清理</w:t>
            </w:r>
          </w:p>
        </w:tc>
        <w:tc>
          <w:tcPr>
            <w:tcW w:w="2127" w:type="dxa"/>
          </w:tcPr>
          <w:p>
            <w:pPr>
              <w:pStyle w:val="TableParagraph"/>
              <w:spacing w:line="250" w:lineRule="exact" w:before="1"/>
              <w:ind w:left="100" w:right="101"/>
              <w:rPr>
                <w:sz w:val="21"/>
              </w:rPr>
            </w:pPr>
            <w:r>
              <w:rPr>
                <w:sz w:val="21"/>
              </w:rPr>
              <w:t>危险废物</w:t>
            </w:r>
          </w:p>
        </w:tc>
        <w:tc>
          <w:tcPr>
            <w:tcW w:w="1275" w:type="dxa"/>
          </w:tcPr>
          <w:p>
            <w:pPr>
              <w:pStyle w:val="TableParagraph"/>
              <w:spacing w:line="236" w:lineRule="exact" w:before="15"/>
              <w:ind w:left="-147" w:right="144"/>
              <w:jc w:val="right"/>
              <w:rPr>
                <w:rFonts w:ascii="Times New Roman"/>
                <w:sz w:val="21"/>
              </w:rPr>
            </w:pPr>
            <w:r>
              <w:rPr>
                <w:rFonts w:ascii="Times New Roman"/>
                <w:sz w:val="21"/>
              </w:rPr>
              <w:t>261-072-40</w:t>
            </w:r>
          </w:p>
        </w:tc>
        <w:tc>
          <w:tcPr>
            <w:tcW w:w="1136" w:type="dxa"/>
          </w:tcPr>
          <w:p>
            <w:pPr>
              <w:pStyle w:val="TableParagraph"/>
              <w:spacing w:line="236" w:lineRule="exact" w:before="15"/>
              <w:ind w:left="102" w:right="101"/>
              <w:rPr>
                <w:rFonts w:ascii="Times New Roman"/>
                <w:sz w:val="21"/>
              </w:rPr>
            </w:pPr>
            <w:r>
              <w:rPr>
                <w:rFonts w:ascii="Times New Roman"/>
                <w:sz w:val="21"/>
              </w:rPr>
              <w:t>HW40</w:t>
            </w:r>
          </w:p>
        </w:tc>
        <w:tc>
          <w:tcPr>
            <w:tcW w:w="1159" w:type="dxa"/>
          </w:tcPr>
          <w:p>
            <w:pPr>
              <w:pStyle w:val="TableParagraph"/>
              <w:spacing w:line="236" w:lineRule="exact" w:before="15"/>
              <w:rPr>
                <w:rFonts w:ascii="Times New Roman"/>
                <w:sz w:val="21"/>
              </w:rPr>
            </w:pPr>
            <w:r>
              <w:rPr>
                <w:rFonts w:ascii="Times New Roman"/>
                <w:w w:val="100"/>
                <w:sz w:val="21"/>
              </w:rPr>
              <w:t>T</w:t>
            </w:r>
          </w:p>
        </w:tc>
      </w:tr>
      <w:tr>
        <w:trPr>
          <w:trHeight w:val="273" w:hRule="atLeast"/>
        </w:trPr>
        <w:tc>
          <w:tcPr>
            <w:tcW w:w="454" w:type="dxa"/>
          </w:tcPr>
          <w:p>
            <w:pPr>
              <w:pStyle w:val="TableParagraph"/>
              <w:spacing w:line="238" w:lineRule="exact" w:before="15"/>
              <w:ind w:right="168"/>
              <w:jc w:val="right"/>
              <w:rPr>
                <w:rFonts w:ascii="Times New Roman"/>
                <w:sz w:val="21"/>
              </w:rPr>
            </w:pPr>
            <w:r>
              <w:rPr>
                <w:rFonts w:ascii="Times New Roman"/>
                <w:w w:val="100"/>
                <w:sz w:val="21"/>
              </w:rPr>
              <w:t>6</w:t>
            </w:r>
          </w:p>
        </w:tc>
        <w:tc>
          <w:tcPr>
            <w:tcW w:w="1623" w:type="dxa"/>
          </w:tcPr>
          <w:p>
            <w:pPr>
              <w:pStyle w:val="TableParagraph"/>
              <w:spacing w:line="252" w:lineRule="exact" w:before="1"/>
              <w:ind w:left="55" w:right="50"/>
              <w:rPr>
                <w:sz w:val="21"/>
              </w:rPr>
            </w:pPr>
            <w:r>
              <w:rPr>
                <w:sz w:val="21"/>
              </w:rPr>
              <w:t>废保温材料</w:t>
            </w:r>
          </w:p>
        </w:tc>
        <w:tc>
          <w:tcPr>
            <w:tcW w:w="1357" w:type="dxa"/>
          </w:tcPr>
          <w:p>
            <w:pPr>
              <w:pStyle w:val="TableParagraph"/>
              <w:spacing w:line="252" w:lineRule="exact" w:before="1"/>
              <w:ind w:left="28" w:right="24"/>
              <w:rPr>
                <w:sz w:val="21"/>
              </w:rPr>
            </w:pPr>
            <w:r>
              <w:rPr>
                <w:sz w:val="21"/>
              </w:rPr>
              <w:t>保温材料更换</w:t>
            </w:r>
          </w:p>
        </w:tc>
        <w:tc>
          <w:tcPr>
            <w:tcW w:w="2127" w:type="dxa"/>
          </w:tcPr>
          <w:p>
            <w:pPr>
              <w:pStyle w:val="TableParagraph"/>
              <w:spacing w:line="252" w:lineRule="exact" w:before="1"/>
              <w:ind w:left="100" w:right="101"/>
              <w:rPr>
                <w:sz w:val="21"/>
              </w:rPr>
            </w:pPr>
            <w:r>
              <w:rPr>
                <w:sz w:val="21"/>
              </w:rPr>
              <w:t>危险废物</w:t>
            </w:r>
          </w:p>
        </w:tc>
        <w:tc>
          <w:tcPr>
            <w:tcW w:w="1275" w:type="dxa"/>
          </w:tcPr>
          <w:p>
            <w:pPr>
              <w:pStyle w:val="TableParagraph"/>
              <w:spacing w:line="238" w:lineRule="exact" w:before="15"/>
              <w:ind w:left="-147" w:right="144"/>
              <w:jc w:val="right"/>
              <w:rPr>
                <w:rFonts w:ascii="Times New Roman"/>
                <w:sz w:val="21"/>
              </w:rPr>
            </w:pPr>
            <w:r>
              <w:rPr>
                <w:rFonts w:ascii="Times New Roman"/>
                <w:sz w:val="21"/>
              </w:rPr>
              <w:t>900-041-49</w:t>
            </w:r>
          </w:p>
        </w:tc>
        <w:tc>
          <w:tcPr>
            <w:tcW w:w="1136" w:type="dxa"/>
          </w:tcPr>
          <w:p>
            <w:pPr>
              <w:pStyle w:val="TableParagraph"/>
              <w:spacing w:line="238" w:lineRule="exact" w:before="15"/>
              <w:ind w:left="100" w:right="101"/>
              <w:rPr>
                <w:rFonts w:ascii="Times New Roman"/>
                <w:sz w:val="21"/>
              </w:rPr>
            </w:pPr>
            <w:r>
              <w:rPr>
                <w:rFonts w:ascii="Times New Roman"/>
                <w:sz w:val="21"/>
              </w:rPr>
              <w:t>HW49</w:t>
            </w:r>
          </w:p>
        </w:tc>
        <w:tc>
          <w:tcPr>
            <w:tcW w:w="1159" w:type="dxa"/>
          </w:tcPr>
          <w:p>
            <w:pPr>
              <w:pStyle w:val="TableParagraph"/>
              <w:spacing w:line="238" w:lineRule="exact" w:before="15"/>
              <w:ind w:left="24" w:right="24"/>
              <w:rPr>
                <w:rFonts w:ascii="Times New Roman"/>
                <w:sz w:val="21"/>
              </w:rPr>
            </w:pPr>
            <w:r>
              <w:rPr>
                <w:rFonts w:ascii="Times New Roman"/>
                <w:sz w:val="21"/>
              </w:rPr>
              <w:t>T, In</w:t>
            </w:r>
          </w:p>
        </w:tc>
      </w:tr>
      <w:tr>
        <w:trPr>
          <w:trHeight w:val="544" w:hRule="atLeast"/>
        </w:trPr>
        <w:tc>
          <w:tcPr>
            <w:tcW w:w="454" w:type="dxa"/>
          </w:tcPr>
          <w:p>
            <w:pPr>
              <w:pStyle w:val="TableParagraph"/>
              <w:spacing w:before="152"/>
              <w:ind w:right="168"/>
              <w:jc w:val="right"/>
              <w:rPr>
                <w:rFonts w:ascii="Times New Roman"/>
                <w:sz w:val="21"/>
              </w:rPr>
            </w:pPr>
            <w:r>
              <w:rPr>
                <w:rFonts w:ascii="Times New Roman"/>
                <w:w w:val="100"/>
                <w:sz w:val="21"/>
              </w:rPr>
              <w:t>7</w:t>
            </w:r>
          </w:p>
        </w:tc>
        <w:tc>
          <w:tcPr>
            <w:tcW w:w="1623" w:type="dxa"/>
          </w:tcPr>
          <w:p>
            <w:pPr>
              <w:pStyle w:val="TableParagraph"/>
              <w:spacing w:before="138"/>
              <w:ind w:left="55" w:right="50"/>
              <w:rPr>
                <w:sz w:val="21"/>
              </w:rPr>
            </w:pPr>
            <w:r>
              <w:rPr>
                <w:sz w:val="21"/>
              </w:rPr>
              <w:t>破损布袋</w:t>
            </w:r>
          </w:p>
        </w:tc>
        <w:tc>
          <w:tcPr>
            <w:tcW w:w="1357" w:type="dxa"/>
          </w:tcPr>
          <w:p>
            <w:pPr>
              <w:pStyle w:val="TableParagraph"/>
              <w:spacing w:before="1"/>
              <w:ind w:left="28" w:right="24"/>
              <w:rPr>
                <w:sz w:val="21"/>
              </w:rPr>
            </w:pPr>
            <w:r>
              <w:rPr>
                <w:sz w:val="21"/>
              </w:rPr>
              <w:t>布袋除尘器更</w:t>
            </w:r>
          </w:p>
          <w:p>
            <w:pPr>
              <w:pStyle w:val="TableParagraph"/>
              <w:spacing w:line="252" w:lineRule="exact" w:before="2"/>
              <w:ind w:left="28" w:right="24"/>
              <w:rPr>
                <w:sz w:val="21"/>
              </w:rPr>
            </w:pPr>
            <w:r>
              <w:rPr>
                <w:sz w:val="21"/>
              </w:rPr>
              <w:t>换布袋</w:t>
            </w:r>
          </w:p>
        </w:tc>
        <w:tc>
          <w:tcPr>
            <w:tcW w:w="2127" w:type="dxa"/>
          </w:tcPr>
          <w:p>
            <w:pPr>
              <w:pStyle w:val="TableParagraph"/>
              <w:spacing w:before="138"/>
              <w:ind w:left="100" w:right="101"/>
              <w:rPr>
                <w:sz w:val="21"/>
              </w:rPr>
            </w:pPr>
            <w:r>
              <w:rPr>
                <w:sz w:val="21"/>
              </w:rPr>
              <w:t>危险废物</w:t>
            </w:r>
          </w:p>
        </w:tc>
        <w:tc>
          <w:tcPr>
            <w:tcW w:w="1275" w:type="dxa"/>
          </w:tcPr>
          <w:p>
            <w:pPr>
              <w:pStyle w:val="TableParagraph"/>
              <w:spacing w:before="152"/>
              <w:ind w:left="-147" w:right="144"/>
              <w:jc w:val="right"/>
              <w:rPr>
                <w:rFonts w:ascii="Times New Roman"/>
                <w:sz w:val="21"/>
              </w:rPr>
            </w:pPr>
            <w:r>
              <w:rPr>
                <w:rFonts w:ascii="Times New Roman"/>
                <w:sz w:val="21"/>
              </w:rPr>
              <w:t>900-041-49</w:t>
            </w:r>
          </w:p>
        </w:tc>
        <w:tc>
          <w:tcPr>
            <w:tcW w:w="1136" w:type="dxa"/>
          </w:tcPr>
          <w:p>
            <w:pPr>
              <w:pStyle w:val="TableParagraph"/>
              <w:spacing w:before="152"/>
              <w:ind w:left="100" w:right="101"/>
              <w:rPr>
                <w:rFonts w:ascii="Times New Roman"/>
                <w:sz w:val="21"/>
              </w:rPr>
            </w:pPr>
            <w:r>
              <w:rPr>
                <w:rFonts w:ascii="Times New Roman"/>
                <w:sz w:val="21"/>
              </w:rPr>
              <w:t>HW49</w:t>
            </w:r>
          </w:p>
        </w:tc>
        <w:tc>
          <w:tcPr>
            <w:tcW w:w="1159" w:type="dxa"/>
          </w:tcPr>
          <w:p>
            <w:pPr>
              <w:pStyle w:val="TableParagraph"/>
              <w:spacing w:before="152"/>
              <w:ind w:left="24" w:right="24"/>
              <w:rPr>
                <w:rFonts w:ascii="Times New Roman"/>
                <w:sz w:val="21"/>
              </w:rPr>
            </w:pPr>
            <w:r>
              <w:rPr>
                <w:rFonts w:ascii="Times New Roman"/>
                <w:sz w:val="21"/>
              </w:rPr>
              <w:t>T, In</w:t>
            </w:r>
          </w:p>
        </w:tc>
      </w:tr>
      <w:tr>
        <w:trPr>
          <w:trHeight w:val="271" w:hRule="atLeast"/>
        </w:trPr>
        <w:tc>
          <w:tcPr>
            <w:tcW w:w="9131" w:type="dxa"/>
            <w:gridSpan w:val="7"/>
          </w:tcPr>
          <w:p>
            <w:pPr>
              <w:pStyle w:val="TableParagraph"/>
              <w:spacing w:line="250" w:lineRule="exact" w:before="1"/>
              <w:ind w:left="28"/>
              <w:jc w:val="left"/>
              <w:rPr>
                <w:b/>
                <w:sz w:val="21"/>
              </w:rPr>
            </w:pPr>
            <w:r>
              <w:rPr>
                <w:b/>
                <w:sz w:val="21"/>
              </w:rPr>
              <w:t>注：根据《国家危险废物名录》</w:t>
            </w:r>
            <w:r>
              <w:rPr>
                <w:rFonts w:ascii="Times New Roman" w:eastAsia="Times New Roman"/>
                <w:b/>
                <w:sz w:val="21"/>
              </w:rPr>
              <w:t>(2021)</w:t>
            </w:r>
            <w:r>
              <w:rPr>
                <w:b/>
                <w:sz w:val="21"/>
              </w:rPr>
              <w:t>含油抹布，劳保用品为豁免物质，全过程不按废物管理</w:t>
            </w:r>
          </w:p>
        </w:tc>
      </w:tr>
    </w:tbl>
    <w:p>
      <w:pPr>
        <w:pStyle w:val="BodyText"/>
        <w:spacing w:line="364" w:lineRule="auto" w:before="2"/>
        <w:ind w:left="258" w:right="284" w:firstLine="480"/>
      </w:pPr>
      <w:r>
        <w:rPr/>
        <w:t>非常规废物的产生量不可预估，非常规废物产生后，企业统计好废物种类、状态、数量等相关信息。非常规废物如为危险废物，委托处置之前先到环保局备案。</w:t>
      </w:r>
    </w:p>
    <w:p>
      <w:pPr>
        <w:pStyle w:val="Heading4"/>
        <w:numPr>
          <w:ilvl w:val="2"/>
          <w:numId w:val="13"/>
        </w:numPr>
        <w:tabs>
          <w:tab w:pos="799" w:val="left" w:leader="none"/>
        </w:tabs>
        <w:spacing w:line="306" w:lineRule="exact" w:before="0" w:after="0"/>
        <w:ind w:left="798" w:right="0" w:hanging="541"/>
        <w:jc w:val="left"/>
      </w:pPr>
      <w:r>
        <w:rPr/>
        <w:t>交通运输移动源调查</w:t>
      </w:r>
    </w:p>
    <w:p>
      <w:pPr>
        <w:pStyle w:val="BodyText"/>
        <w:spacing w:line="364" w:lineRule="auto" w:before="161"/>
        <w:ind w:left="258" w:right="212" w:firstLine="420"/>
        <w:jc w:val="both"/>
      </w:pPr>
      <w:r>
        <w:rPr>
          <w:spacing w:val="-4"/>
        </w:rPr>
        <w:t>本项目实施后主要新增原料运进和产品、固废运出，运输通过重型卡车</w:t>
      </w:r>
      <w:r>
        <w:rPr>
          <w:rFonts w:ascii="Times New Roman" w:eastAsia="Times New Roman"/>
        </w:rPr>
        <w:t>/</w:t>
      </w:r>
      <w:r>
        <w:rPr/>
        <w:t>槽车或者中</w:t>
      </w:r>
      <w:r>
        <w:rPr>
          <w:spacing w:val="-11"/>
        </w:rPr>
        <w:t>型卡车进行，连接道路以高速路网和城市主干道为主。主干道约新增重型卡车</w:t>
      </w:r>
      <w:r>
        <w:rPr>
          <w:rFonts w:ascii="Times New Roman" w:eastAsia="Times New Roman"/>
        </w:rPr>
        <w:t>/</w:t>
      </w:r>
      <w:r>
        <w:rPr/>
        <w:t>槽车或者</w:t>
      </w:r>
      <w:r>
        <w:rPr>
          <w:spacing w:val="-1"/>
        </w:rPr>
        <w:t>中型卡车各</w:t>
      </w:r>
      <w:r>
        <w:rPr>
          <w:rFonts w:ascii="Times New Roman" w:eastAsia="Times New Roman"/>
        </w:rPr>
        <w:t>2</w:t>
      </w:r>
      <w:r>
        <w:rPr/>
        <w:t>次</w:t>
      </w:r>
      <w:r>
        <w:rPr>
          <w:rFonts w:ascii="Times New Roman" w:eastAsia="Times New Roman"/>
        </w:rPr>
        <w:t>/</w:t>
      </w:r>
      <w:r>
        <w:rPr>
          <w:spacing w:val="-14"/>
        </w:rPr>
        <w:t>天，排放污染物主要为</w:t>
      </w:r>
      <w:r>
        <w:rPr>
          <w:rFonts w:ascii="Times New Roman" w:eastAsia="Times New Roman"/>
          <w:spacing w:val="-1"/>
          <w:w w:val="99"/>
        </w:rPr>
        <w:t>NO</w:t>
      </w:r>
      <w:r>
        <w:rPr>
          <w:rFonts w:ascii="Times New Roman" w:eastAsia="Times New Roman"/>
          <w:w w:val="99"/>
        </w:rPr>
        <w:t>x</w:t>
      </w:r>
      <w:r>
        <w:rPr>
          <w:spacing w:val="-108"/>
        </w:rPr>
        <w:t>、</w:t>
      </w:r>
      <w:r>
        <w:rPr>
          <w:rFonts w:ascii="Times New Roman" w:eastAsia="Times New Roman"/>
          <w:w w:val="99"/>
        </w:rPr>
        <w:t>C</w:t>
      </w:r>
      <w:r>
        <w:rPr>
          <w:rFonts w:ascii="Times New Roman" w:eastAsia="Times New Roman"/>
          <w:spacing w:val="-1"/>
          <w:w w:val="99"/>
        </w:rPr>
        <w:t>O</w:t>
      </w:r>
      <w:r>
        <w:rPr/>
        <w:t>和</w:t>
      </w:r>
      <w:r>
        <w:rPr>
          <w:rFonts w:ascii="Times New Roman" w:eastAsia="Times New Roman"/>
          <w:w w:val="99"/>
        </w:rPr>
        <w:t>T</w:t>
      </w:r>
      <w:r>
        <w:rPr>
          <w:rFonts w:ascii="Times New Roman" w:eastAsia="Times New Roman"/>
          <w:spacing w:val="-1"/>
          <w:w w:val="99"/>
        </w:rPr>
        <w:t>H</w:t>
      </w:r>
      <w:r>
        <w:rPr>
          <w:rFonts w:ascii="Times New Roman" w:eastAsia="Times New Roman"/>
          <w:spacing w:val="1"/>
        </w:rPr>
        <w:t>C</w:t>
      </w:r>
      <w:r>
        <w:rPr>
          <w:spacing w:val="-15"/>
        </w:rPr>
        <w:t>，年新增排放量约</w:t>
      </w:r>
      <w:r>
        <w:rPr>
          <w:rFonts w:ascii="Times New Roman" w:eastAsia="Times New Roman"/>
        </w:rPr>
        <w:t>1.52t/a</w:t>
      </w:r>
      <w:r>
        <w:rPr>
          <w:spacing w:val="-108"/>
        </w:rPr>
        <w:t>、</w:t>
      </w:r>
      <w:r>
        <w:rPr>
          <w:rFonts w:ascii="Times New Roman" w:eastAsia="Times New Roman"/>
        </w:rPr>
        <w:t>1.582t/</w:t>
      </w:r>
      <w:r>
        <w:rPr>
          <w:rFonts w:ascii="Times New Roman" w:eastAsia="Times New Roman"/>
          <w:spacing w:val="-1"/>
        </w:rPr>
        <w:t>a</w:t>
      </w:r>
      <w:r>
        <w:rPr/>
        <w:t>、</w:t>
      </w:r>
    </w:p>
    <w:p>
      <w:pPr>
        <w:spacing w:after="0" w:line="364" w:lineRule="auto"/>
        <w:jc w:val="both"/>
        <w:sectPr>
          <w:footerReference w:type="default" r:id="rId59"/>
          <w:pgSz w:w="11910" w:h="16850"/>
          <w:pgMar w:footer="673" w:header="730" w:top="960" w:bottom="860" w:left="1160" w:right="1080"/>
          <w:pgNumType w:start="100"/>
        </w:sectPr>
      </w:pPr>
    </w:p>
    <w:p>
      <w:pPr>
        <w:pStyle w:val="BodyText"/>
        <w:spacing w:before="11"/>
        <w:rPr>
          <w:sz w:val="28"/>
        </w:rPr>
      </w:pPr>
    </w:p>
    <w:p>
      <w:pPr>
        <w:pStyle w:val="BodyText"/>
        <w:spacing w:before="74"/>
        <w:ind w:left="258"/>
      </w:pPr>
      <w:r>
        <w:rPr>
          <w:rFonts w:ascii="Times New Roman" w:eastAsia="Times New Roman"/>
        </w:rPr>
        <w:t>0.492t/a</w:t>
      </w:r>
      <w:r>
        <w:rPr/>
        <w:t>。</w:t>
      </w:r>
    </w:p>
    <w:p>
      <w:pPr>
        <w:pStyle w:val="Heading3"/>
        <w:numPr>
          <w:ilvl w:val="1"/>
          <w:numId w:val="19"/>
        </w:numPr>
        <w:tabs>
          <w:tab w:pos="679" w:val="left" w:leader="none"/>
        </w:tabs>
        <w:spacing w:line="240" w:lineRule="auto" w:before="159" w:after="0"/>
        <w:ind w:left="678" w:right="0" w:hanging="421"/>
        <w:jc w:val="left"/>
      </w:pPr>
      <w:bookmarkStart w:name="_bookmark30" w:id="61"/>
      <w:bookmarkEnd w:id="61"/>
      <w:r>
        <w:rPr>
          <w:b w:val="0"/>
        </w:rPr>
      </w:r>
      <w:bookmarkStart w:name="_bookmark30" w:id="62"/>
      <w:bookmarkEnd w:id="62"/>
      <w:r>
        <w:rPr/>
        <w:t>总量控制情况</w:t>
      </w:r>
    </w:p>
    <w:p>
      <w:pPr>
        <w:pStyle w:val="BodyText"/>
        <w:spacing w:line="364" w:lineRule="auto" w:before="185"/>
        <w:ind w:left="258" w:right="272" w:firstLine="480"/>
      </w:pPr>
      <w:r>
        <w:rPr/>
        <w:t>污染物总量控制是执行环保管理目标责任制的基本原则之一，本项目总量控制污染因子考核 </w:t>
      </w:r>
      <w:r>
        <w:rPr>
          <w:rFonts w:ascii="Times New Roman" w:eastAsia="Times New Roman"/>
        </w:rPr>
        <w:t>CODcr</w:t>
      </w:r>
      <w:r>
        <w:rPr/>
        <w:t>、氨氮、</w:t>
      </w:r>
      <w:r>
        <w:rPr>
          <w:rFonts w:ascii="Times New Roman" w:eastAsia="Times New Roman"/>
        </w:rPr>
        <w:t>VOCs </w:t>
      </w:r>
      <w:r>
        <w:rPr/>
        <w:t>和工业烟粉尘。</w:t>
      </w:r>
    </w:p>
    <w:p>
      <w:pPr>
        <w:pStyle w:val="BodyText"/>
        <w:spacing w:line="306" w:lineRule="exact"/>
        <w:ind w:left="738"/>
      </w:pPr>
      <w:r>
        <w:rPr/>
        <w:t>企业分为两个厂区，现有企业已批项目均位于杭州湾上虞经济技术开发区经十一路</w:t>
      </w:r>
    </w:p>
    <w:p>
      <w:pPr>
        <w:pStyle w:val="BodyText"/>
        <w:spacing w:before="161"/>
        <w:ind w:left="258"/>
      </w:pPr>
      <w:r>
        <w:rPr/>
        <w:t>（简称“西区</w:t>
      </w:r>
      <w:r>
        <w:rPr>
          <w:spacing w:val="-120"/>
        </w:rPr>
        <w:t>”）</w:t>
      </w:r>
      <w:r>
        <w:rPr/>
        <w:t>，本项目位于杭州湾上虞经济技术开发区振兴大道（简称“东区</w:t>
      </w:r>
      <w:r>
        <w:rPr>
          <w:spacing w:val="-120"/>
        </w:rPr>
        <w:t>”）</w:t>
      </w:r>
      <w:r>
        <w:rPr/>
        <w:t>。</w:t>
      </w:r>
    </w:p>
    <w:p>
      <w:pPr>
        <w:pStyle w:val="Heading4"/>
        <w:spacing w:before="158"/>
        <w:ind w:left="741"/>
      </w:pPr>
      <w:r>
        <w:rPr>
          <w:rFonts w:ascii="Times New Roman" w:eastAsia="Times New Roman"/>
        </w:rPr>
        <w:t>1</w:t>
      </w:r>
      <w:r>
        <w:rPr/>
        <w:t>、现有企业已核定排污许可情况</w:t>
      </w:r>
    </w:p>
    <w:p>
      <w:pPr>
        <w:spacing w:line="364" w:lineRule="auto" w:before="161"/>
        <w:ind w:left="258" w:right="332" w:firstLine="482"/>
        <w:jc w:val="left"/>
        <w:rPr>
          <w:b/>
          <w:sz w:val="24"/>
        </w:rPr>
      </w:pPr>
      <w:r>
        <w:rPr>
          <w:b/>
          <w:spacing w:val="-6"/>
          <w:sz w:val="24"/>
        </w:rPr>
        <w:t>企业西区已申领排污许可证，根据绍兴贝斯美化工股份有限公司排污许可证</w:t>
      </w:r>
      <w:r>
        <w:rPr>
          <w:b/>
          <w:sz w:val="24"/>
        </w:rPr>
        <w:t>（</w:t>
      </w:r>
      <w:r>
        <w:rPr>
          <w:b/>
          <w:spacing w:val="-6"/>
          <w:sz w:val="24"/>
        </w:rPr>
        <w:t>证书</w:t>
      </w:r>
      <w:r>
        <w:rPr>
          <w:b/>
          <w:spacing w:val="1"/>
          <w:w w:val="99"/>
          <w:sz w:val="24"/>
        </w:rPr>
        <w:t>编号：</w:t>
      </w:r>
      <w:r>
        <w:rPr>
          <w:rFonts w:ascii="Times New Roman" w:eastAsia="Times New Roman"/>
          <w:b/>
          <w:sz w:val="24"/>
        </w:rPr>
        <w:t>9133060474773</w:t>
      </w:r>
      <w:r>
        <w:rPr>
          <w:rFonts w:ascii="Times New Roman" w:eastAsia="Times New Roman"/>
          <w:b/>
          <w:spacing w:val="-3"/>
          <w:sz w:val="24"/>
        </w:rPr>
        <w:t>5</w:t>
      </w:r>
      <w:r>
        <w:rPr>
          <w:rFonts w:ascii="Times New Roman" w:eastAsia="Times New Roman"/>
          <w:b/>
          <w:sz w:val="24"/>
        </w:rPr>
        <w:t>048A001</w:t>
      </w:r>
      <w:r>
        <w:rPr>
          <w:rFonts w:ascii="Times New Roman" w:eastAsia="Times New Roman"/>
          <w:b/>
          <w:spacing w:val="-1"/>
          <w:sz w:val="24"/>
        </w:rPr>
        <w:t>P</w:t>
      </w:r>
      <w:r>
        <w:rPr>
          <w:b/>
          <w:spacing w:val="-118"/>
          <w:w w:val="99"/>
          <w:sz w:val="24"/>
        </w:rPr>
        <w:t>）</w:t>
      </w:r>
      <w:r>
        <w:rPr>
          <w:b/>
          <w:w w:val="99"/>
          <w:sz w:val="24"/>
        </w:rPr>
        <w:t>，现有企业已核定总量控制指标如下表。</w:t>
      </w:r>
    </w:p>
    <w:p>
      <w:pPr>
        <w:tabs>
          <w:tab w:pos="2651" w:val="left" w:leader="none"/>
          <w:tab w:pos="6991" w:val="left" w:leader="none"/>
        </w:tabs>
        <w:spacing w:before="141" w:after="28"/>
        <w:ind w:left="1610" w:right="0" w:firstLine="0"/>
        <w:jc w:val="left"/>
        <w:rPr>
          <w:rFonts w:ascii="Times New Roman" w:eastAsia="Times New Roman"/>
          <w:b/>
          <w:sz w:val="24"/>
        </w:rPr>
      </w:pPr>
      <w:r>
        <w:rPr>
          <w:b/>
          <w:sz w:val="24"/>
        </w:rPr>
        <w:t>表</w:t>
      </w:r>
      <w:r>
        <w:rPr>
          <w:b/>
          <w:spacing w:val="-60"/>
          <w:sz w:val="24"/>
        </w:rPr>
        <w:t> </w:t>
      </w:r>
      <w:r>
        <w:rPr>
          <w:rFonts w:ascii="Times New Roman" w:eastAsia="Times New Roman"/>
          <w:b/>
          <w:sz w:val="24"/>
        </w:rPr>
        <w:t>4.7-1</w:t>
        <w:tab/>
      </w:r>
      <w:r>
        <w:rPr>
          <w:b/>
          <w:sz w:val="24"/>
        </w:rPr>
        <w:t>排污</w:t>
      </w:r>
      <w:r>
        <w:rPr>
          <w:b/>
          <w:spacing w:val="3"/>
          <w:sz w:val="24"/>
        </w:rPr>
        <w:t>许</w:t>
      </w:r>
      <w:r>
        <w:rPr>
          <w:b/>
          <w:sz w:val="24"/>
        </w:rPr>
        <w:t>可证登载总量控制指</w:t>
      </w:r>
      <w:r>
        <w:rPr>
          <w:b/>
          <w:spacing w:val="3"/>
          <w:sz w:val="24"/>
        </w:rPr>
        <w:t>标</w:t>
      </w:r>
      <w:r>
        <w:rPr>
          <w:b/>
          <w:sz w:val="24"/>
        </w:rPr>
        <w:t>（西区）</w:t>
        <w:tab/>
        <w:t>单位：</w:t>
      </w:r>
      <w:r>
        <w:rPr>
          <w:rFonts w:ascii="Times New Roman" w:eastAsia="Times New Roman"/>
          <w:b/>
          <w:sz w:val="24"/>
        </w:rPr>
        <w:t>t/a</w:t>
      </w:r>
    </w:p>
    <w:tbl>
      <w:tblPr>
        <w:tblW w:w="0" w:type="auto"/>
        <w:jc w:val="left"/>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3865"/>
        <w:gridCol w:w="3889"/>
      </w:tblGrid>
      <w:tr>
        <w:trPr>
          <w:trHeight w:val="285" w:hRule="atLeast"/>
        </w:trPr>
        <w:tc>
          <w:tcPr>
            <w:tcW w:w="5195" w:type="dxa"/>
            <w:gridSpan w:val="2"/>
            <w:tcBorders>
              <w:left w:val="single" w:sz="4" w:space="0" w:color="000000"/>
            </w:tcBorders>
          </w:tcPr>
          <w:p>
            <w:pPr>
              <w:pStyle w:val="TableParagraph"/>
              <w:spacing w:line="257" w:lineRule="exact" w:before="8"/>
              <w:ind w:left="2049" w:right="2038"/>
              <w:rPr>
                <w:b/>
                <w:sz w:val="21"/>
              </w:rPr>
            </w:pPr>
            <w:r>
              <w:rPr>
                <w:b/>
                <w:sz w:val="21"/>
              </w:rPr>
              <w:t>污染源名称</w:t>
            </w:r>
          </w:p>
        </w:tc>
        <w:tc>
          <w:tcPr>
            <w:tcW w:w="3889" w:type="dxa"/>
            <w:tcBorders>
              <w:right w:val="single" w:sz="4" w:space="0" w:color="000000"/>
            </w:tcBorders>
          </w:tcPr>
          <w:p>
            <w:pPr>
              <w:pStyle w:val="TableParagraph"/>
              <w:spacing w:line="257" w:lineRule="exact" w:before="8"/>
              <w:ind w:left="1498" w:right="1493"/>
              <w:rPr>
                <w:b/>
                <w:sz w:val="21"/>
              </w:rPr>
            </w:pPr>
            <w:r>
              <w:rPr>
                <w:b/>
                <w:sz w:val="21"/>
              </w:rPr>
              <w:t>登载总量</w:t>
            </w:r>
          </w:p>
        </w:tc>
      </w:tr>
      <w:tr>
        <w:trPr>
          <w:trHeight w:val="282" w:hRule="atLeast"/>
        </w:trPr>
        <w:tc>
          <w:tcPr>
            <w:tcW w:w="1330" w:type="dxa"/>
            <w:vMerge w:val="restart"/>
            <w:tcBorders>
              <w:left w:val="single" w:sz="4" w:space="0" w:color="000000"/>
            </w:tcBorders>
          </w:tcPr>
          <w:p>
            <w:pPr>
              <w:pStyle w:val="TableParagraph"/>
              <w:spacing w:before="157"/>
              <w:ind w:left="434" w:right="423"/>
              <w:rPr>
                <w:sz w:val="21"/>
              </w:rPr>
            </w:pPr>
            <w:r>
              <w:rPr>
                <w:sz w:val="21"/>
              </w:rPr>
              <w:t>废水</w:t>
            </w:r>
          </w:p>
        </w:tc>
        <w:tc>
          <w:tcPr>
            <w:tcW w:w="3865" w:type="dxa"/>
          </w:tcPr>
          <w:p>
            <w:pPr>
              <w:pStyle w:val="TableParagraph"/>
              <w:spacing w:line="257" w:lineRule="exact" w:before="5"/>
              <w:ind w:left="1079" w:right="1074"/>
              <w:rPr>
                <w:sz w:val="21"/>
              </w:rPr>
            </w:pPr>
            <w:r>
              <w:rPr>
                <w:rFonts w:ascii="Times New Roman" w:eastAsia="Times New Roman"/>
                <w:sz w:val="21"/>
              </w:rPr>
              <w:t>CODcr</w:t>
            </w:r>
            <w:r>
              <w:rPr>
                <w:sz w:val="21"/>
              </w:rPr>
              <w:t>（纳管量）</w:t>
            </w:r>
          </w:p>
        </w:tc>
        <w:tc>
          <w:tcPr>
            <w:tcW w:w="3889" w:type="dxa"/>
            <w:tcBorders>
              <w:right w:val="single" w:sz="4" w:space="0" w:color="000000"/>
            </w:tcBorders>
          </w:tcPr>
          <w:p>
            <w:pPr>
              <w:pStyle w:val="TableParagraph"/>
              <w:spacing w:before="19"/>
              <w:ind w:left="1494" w:right="1494"/>
              <w:rPr>
                <w:rFonts w:ascii="Times New Roman"/>
                <w:sz w:val="21"/>
              </w:rPr>
            </w:pPr>
            <w:r>
              <w:rPr>
                <w:rFonts w:ascii="Times New Roman"/>
                <w:sz w:val="21"/>
              </w:rPr>
              <w:t>57</w:t>
            </w:r>
          </w:p>
        </w:tc>
      </w:tr>
      <w:tr>
        <w:trPr>
          <w:trHeight w:val="285" w:hRule="atLeast"/>
        </w:trPr>
        <w:tc>
          <w:tcPr>
            <w:tcW w:w="1330" w:type="dxa"/>
            <w:vMerge/>
            <w:tcBorders>
              <w:top w:val="nil"/>
              <w:left w:val="single" w:sz="4" w:space="0" w:color="000000"/>
            </w:tcBorders>
          </w:tcPr>
          <w:p>
            <w:pPr>
              <w:rPr>
                <w:sz w:val="2"/>
                <w:szCs w:val="2"/>
              </w:rPr>
            </w:pPr>
          </w:p>
        </w:tc>
        <w:tc>
          <w:tcPr>
            <w:tcW w:w="3865" w:type="dxa"/>
          </w:tcPr>
          <w:p>
            <w:pPr>
              <w:pStyle w:val="TableParagraph"/>
              <w:spacing w:line="257" w:lineRule="exact" w:before="8"/>
              <w:ind w:left="1079" w:right="1071"/>
              <w:rPr>
                <w:sz w:val="21"/>
              </w:rPr>
            </w:pPr>
            <w:r>
              <w:rPr>
                <w:sz w:val="21"/>
              </w:rPr>
              <w:t>氨氮（纳管量）</w:t>
            </w:r>
          </w:p>
        </w:tc>
        <w:tc>
          <w:tcPr>
            <w:tcW w:w="3889" w:type="dxa"/>
            <w:tcBorders>
              <w:right w:val="single" w:sz="4" w:space="0" w:color="000000"/>
            </w:tcBorders>
          </w:tcPr>
          <w:p>
            <w:pPr>
              <w:pStyle w:val="TableParagraph"/>
              <w:spacing w:before="22"/>
              <w:ind w:left="1498" w:right="1493"/>
              <w:rPr>
                <w:rFonts w:ascii="Times New Roman"/>
                <w:sz w:val="21"/>
              </w:rPr>
            </w:pPr>
            <w:r>
              <w:rPr>
                <w:rFonts w:ascii="Times New Roman"/>
                <w:sz w:val="21"/>
              </w:rPr>
              <w:t>3.990</w:t>
            </w:r>
          </w:p>
        </w:tc>
      </w:tr>
      <w:tr>
        <w:trPr>
          <w:trHeight w:val="282" w:hRule="atLeast"/>
        </w:trPr>
        <w:tc>
          <w:tcPr>
            <w:tcW w:w="1330" w:type="dxa"/>
            <w:vMerge w:val="restart"/>
            <w:tcBorders>
              <w:left w:val="single" w:sz="4" w:space="0" w:color="000000"/>
            </w:tcBorders>
          </w:tcPr>
          <w:p>
            <w:pPr>
              <w:pStyle w:val="TableParagraph"/>
              <w:spacing w:before="157"/>
              <w:ind w:left="434" w:right="423"/>
              <w:rPr>
                <w:sz w:val="21"/>
              </w:rPr>
            </w:pPr>
            <w:r>
              <w:rPr>
                <w:sz w:val="21"/>
              </w:rPr>
              <w:t>废气</w:t>
            </w:r>
          </w:p>
        </w:tc>
        <w:tc>
          <w:tcPr>
            <w:tcW w:w="3865" w:type="dxa"/>
          </w:tcPr>
          <w:p>
            <w:pPr>
              <w:pStyle w:val="TableParagraph"/>
              <w:spacing w:line="241" w:lineRule="exact" w:before="22"/>
              <w:ind w:left="1079" w:right="1071"/>
              <w:rPr>
                <w:rFonts w:ascii="Times New Roman"/>
                <w:sz w:val="21"/>
              </w:rPr>
            </w:pPr>
            <w:r>
              <w:rPr>
                <w:rFonts w:ascii="Times New Roman"/>
                <w:sz w:val="21"/>
              </w:rPr>
              <w:t>VOCs</w:t>
            </w:r>
          </w:p>
        </w:tc>
        <w:tc>
          <w:tcPr>
            <w:tcW w:w="3889" w:type="dxa"/>
            <w:tcBorders>
              <w:right w:val="single" w:sz="4" w:space="0" w:color="000000"/>
            </w:tcBorders>
          </w:tcPr>
          <w:p>
            <w:pPr>
              <w:pStyle w:val="TableParagraph"/>
              <w:spacing w:line="241" w:lineRule="exact" w:before="22"/>
              <w:ind w:left="1498" w:right="1493"/>
              <w:rPr>
                <w:rFonts w:ascii="Times New Roman"/>
                <w:sz w:val="21"/>
              </w:rPr>
            </w:pPr>
            <w:r>
              <w:rPr>
                <w:rFonts w:ascii="Times New Roman"/>
                <w:sz w:val="21"/>
              </w:rPr>
              <w:t>14.503</w:t>
            </w:r>
          </w:p>
        </w:tc>
      </w:tr>
      <w:tr>
        <w:trPr>
          <w:trHeight w:val="285" w:hRule="atLeast"/>
        </w:trPr>
        <w:tc>
          <w:tcPr>
            <w:tcW w:w="1330" w:type="dxa"/>
            <w:vMerge/>
            <w:tcBorders>
              <w:top w:val="nil"/>
              <w:left w:val="single" w:sz="4" w:space="0" w:color="000000"/>
            </w:tcBorders>
          </w:tcPr>
          <w:p>
            <w:pPr>
              <w:rPr>
                <w:sz w:val="2"/>
                <w:szCs w:val="2"/>
              </w:rPr>
            </w:pPr>
          </w:p>
        </w:tc>
        <w:tc>
          <w:tcPr>
            <w:tcW w:w="3865" w:type="dxa"/>
          </w:tcPr>
          <w:p>
            <w:pPr>
              <w:pStyle w:val="TableParagraph"/>
              <w:spacing w:before="22"/>
              <w:ind w:left="1079" w:right="1073"/>
              <w:rPr>
                <w:rFonts w:ascii="Times New Roman"/>
                <w:sz w:val="21"/>
              </w:rPr>
            </w:pPr>
            <w:r>
              <w:rPr>
                <w:rFonts w:ascii="Times New Roman"/>
                <w:sz w:val="21"/>
              </w:rPr>
              <w:t>NOx</w:t>
            </w:r>
          </w:p>
        </w:tc>
        <w:tc>
          <w:tcPr>
            <w:tcW w:w="3889" w:type="dxa"/>
            <w:tcBorders>
              <w:right w:val="single" w:sz="4" w:space="0" w:color="000000"/>
            </w:tcBorders>
          </w:tcPr>
          <w:p>
            <w:pPr>
              <w:pStyle w:val="TableParagraph"/>
              <w:spacing w:before="22"/>
              <w:ind w:left="1498" w:right="1493"/>
              <w:rPr>
                <w:rFonts w:ascii="Times New Roman"/>
                <w:sz w:val="21"/>
              </w:rPr>
            </w:pPr>
            <w:r>
              <w:rPr>
                <w:rFonts w:ascii="Times New Roman"/>
                <w:sz w:val="21"/>
              </w:rPr>
              <w:t>7.456</w:t>
            </w:r>
          </w:p>
        </w:tc>
      </w:tr>
    </w:tbl>
    <w:p>
      <w:pPr>
        <w:spacing w:before="2"/>
        <w:ind w:left="741" w:right="0" w:firstLine="0"/>
        <w:jc w:val="left"/>
        <w:rPr>
          <w:b/>
          <w:sz w:val="24"/>
        </w:rPr>
      </w:pPr>
      <w:r>
        <w:rPr>
          <w:rFonts w:ascii="Times New Roman" w:eastAsia="Times New Roman"/>
          <w:b/>
          <w:sz w:val="24"/>
        </w:rPr>
        <w:t>2</w:t>
      </w:r>
      <w:r>
        <w:rPr>
          <w:b/>
          <w:sz w:val="24"/>
        </w:rPr>
        <w:t>、项目实施前后总量指标及 </w:t>
      </w:r>
      <w:r>
        <w:rPr>
          <w:rFonts w:ascii="Times New Roman" w:eastAsia="Times New Roman"/>
          <w:b/>
          <w:sz w:val="24"/>
        </w:rPr>
        <w:t>VOC </w:t>
      </w:r>
      <w:r>
        <w:rPr>
          <w:b/>
          <w:sz w:val="24"/>
        </w:rPr>
        <w:t>废气变化情况</w:t>
      </w:r>
    </w:p>
    <w:p>
      <w:pPr>
        <w:pStyle w:val="BodyText"/>
        <w:spacing w:line="364" w:lineRule="auto" w:before="161"/>
        <w:ind w:left="258" w:right="273" w:firstLine="480"/>
      </w:pPr>
      <w:r>
        <w:rPr/>
        <w:t>本项目位于企业东区，本项目核定的总量控制值为今后企业东区的总量控制值，具体如下：</w:t>
      </w:r>
    </w:p>
    <w:p>
      <w:pPr>
        <w:pStyle w:val="Heading4"/>
        <w:tabs>
          <w:tab w:pos="3134" w:val="left" w:leader="none"/>
          <w:tab w:pos="6509" w:val="left" w:leader="none"/>
        </w:tabs>
        <w:spacing w:before="140" w:after="29"/>
        <w:ind w:left="2092"/>
        <w:rPr>
          <w:rFonts w:ascii="Times New Roman" w:eastAsia="Times New Roman"/>
        </w:rPr>
      </w:pPr>
      <w:r>
        <w:rPr/>
        <w:t>表</w:t>
      </w:r>
      <w:r>
        <w:rPr>
          <w:spacing w:val="-60"/>
        </w:rPr>
        <w:t> </w:t>
      </w:r>
      <w:r>
        <w:rPr>
          <w:rFonts w:ascii="Times New Roman" w:eastAsia="Times New Roman"/>
        </w:rPr>
        <w:t>4.7-2</w:t>
        <w:tab/>
      </w:r>
      <w:r>
        <w:rPr/>
        <w:t>本项目总量控制指标（东区）</w:t>
        <w:tab/>
        <w:t>单位：</w:t>
      </w:r>
      <w:r>
        <w:rPr>
          <w:rFonts w:ascii="Times New Roman" w:eastAsia="Times New Roman"/>
        </w:rPr>
        <w:t>t/a</w:t>
      </w:r>
    </w:p>
    <w:tbl>
      <w:tblPr>
        <w:tblW w:w="0" w:type="auto"/>
        <w:jc w:val="left"/>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30"/>
        <w:gridCol w:w="1938"/>
        <w:gridCol w:w="1928"/>
        <w:gridCol w:w="3889"/>
      </w:tblGrid>
      <w:tr>
        <w:trPr>
          <w:trHeight w:val="282" w:hRule="atLeast"/>
        </w:trPr>
        <w:tc>
          <w:tcPr>
            <w:tcW w:w="5196" w:type="dxa"/>
            <w:gridSpan w:val="3"/>
            <w:tcBorders>
              <w:left w:val="single" w:sz="4" w:space="0" w:color="000000"/>
            </w:tcBorders>
          </w:tcPr>
          <w:p>
            <w:pPr>
              <w:pStyle w:val="TableParagraph"/>
              <w:spacing w:line="257" w:lineRule="exact" w:before="5"/>
              <w:ind w:left="2049" w:right="2040"/>
              <w:rPr>
                <w:b/>
                <w:sz w:val="21"/>
              </w:rPr>
            </w:pPr>
            <w:r>
              <w:rPr>
                <w:b/>
                <w:sz w:val="21"/>
              </w:rPr>
              <w:t>污染源名称</w:t>
            </w:r>
          </w:p>
        </w:tc>
        <w:tc>
          <w:tcPr>
            <w:tcW w:w="3889" w:type="dxa"/>
            <w:tcBorders>
              <w:right w:val="single" w:sz="4" w:space="0" w:color="000000"/>
            </w:tcBorders>
          </w:tcPr>
          <w:p>
            <w:pPr>
              <w:pStyle w:val="TableParagraph"/>
              <w:spacing w:line="257" w:lineRule="exact" w:before="5"/>
              <w:ind w:left="1497" w:right="1494"/>
              <w:rPr>
                <w:b/>
                <w:sz w:val="21"/>
              </w:rPr>
            </w:pPr>
            <w:r>
              <w:rPr>
                <w:b/>
                <w:sz w:val="21"/>
              </w:rPr>
              <w:t>登载总量</w:t>
            </w:r>
          </w:p>
        </w:tc>
      </w:tr>
      <w:tr>
        <w:trPr>
          <w:trHeight w:val="285" w:hRule="atLeast"/>
        </w:trPr>
        <w:tc>
          <w:tcPr>
            <w:tcW w:w="1330" w:type="dxa"/>
            <w:vMerge w:val="restart"/>
            <w:tcBorders>
              <w:left w:val="single" w:sz="4" w:space="0" w:color="000000"/>
            </w:tcBorders>
          </w:tcPr>
          <w:p>
            <w:pPr>
              <w:pStyle w:val="TableParagraph"/>
              <w:jc w:val="left"/>
              <w:rPr>
                <w:rFonts w:ascii="Times New Roman"/>
                <w:b/>
                <w:sz w:val="20"/>
              </w:rPr>
            </w:pPr>
          </w:p>
          <w:p>
            <w:pPr>
              <w:pStyle w:val="TableParagraph"/>
              <w:jc w:val="left"/>
              <w:rPr>
                <w:rFonts w:ascii="Times New Roman"/>
                <w:b/>
                <w:sz w:val="20"/>
              </w:rPr>
            </w:pPr>
          </w:p>
          <w:p>
            <w:pPr>
              <w:pStyle w:val="TableParagraph"/>
              <w:spacing w:before="9"/>
              <w:jc w:val="left"/>
              <w:rPr>
                <w:rFonts w:ascii="Times New Roman"/>
                <w:b/>
                <w:sz w:val="25"/>
              </w:rPr>
            </w:pPr>
          </w:p>
          <w:p>
            <w:pPr>
              <w:pStyle w:val="TableParagraph"/>
              <w:ind w:left="434" w:right="423"/>
              <w:rPr>
                <w:sz w:val="21"/>
              </w:rPr>
            </w:pPr>
            <w:r>
              <w:rPr>
                <w:sz w:val="21"/>
              </w:rPr>
              <w:t>废水</w:t>
            </w:r>
          </w:p>
        </w:tc>
        <w:tc>
          <w:tcPr>
            <w:tcW w:w="1938" w:type="dxa"/>
            <w:vMerge w:val="restart"/>
            <w:tcBorders>
              <w:right w:val="single" w:sz="2" w:space="0" w:color="000000"/>
            </w:tcBorders>
          </w:tcPr>
          <w:p>
            <w:pPr>
              <w:pStyle w:val="TableParagraph"/>
              <w:spacing w:before="157"/>
              <w:ind w:left="645" w:right="636"/>
              <w:rPr>
                <w:sz w:val="21"/>
              </w:rPr>
            </w:pPr>
            <w:r>
              <w:rPr>
                <w:sz w:val="21"/>
              </w:rPr>
              <w:t>水量</w:t>
            </w:r>
          </w:p>
        </w:tc>
        <w:tc>
          <w:tcPr>
            <w:tcW w:w="1928" w:type="dxa"/>
            <w:tcBorders>
              <w:left w:val="single" w:sz="2" w:space="0" w:color="000000"/>
            </w:tcBorders>
          </w:tcPr>
          <w:p>
            <w:pPr>
              <w:pStyle w:val="TableParagraph"/>
              <w:spacing w:before="22"/>
              <w:ind w:left="623" w:right="622"/>
              <w:rPr>
                <w:rFonts w:ascii="Times New Roman"/>
                <w:sz w:val="21"/>
              </w:rPr>
            </w:pPr>
            <w:r>
              <w:rPr>
                <w:rFonts w:ascii="Times New Roman"/>
                <w:sz w:val="21"/>
              </w:rPr>
              <w:t>t/a</w:t>
            </w:r>
          </w:p>
        </w:tc>
        <w:tc>
          <w:tcPr>
            <w:tcW w:w="3889" w:type="dxa"/>
            <w:tcBorders>
              <w:right w:val="single" w:sz="4" w:space="0" w:color="000000"/>
            </w:tcBorders>
          </w:tcPr>
          <w:p>
            <w:pPr>
              <w:pStyle w:val="TableParagraph"/>
              <w:spacing w:before="22"/>
              <w:ind w:left="1497" w:right="1494"/>
              <w:rPr>
                <w:rFonts w:ascii="Times New Roman"/>
                <w:sz w:val="21"/>
              </w:rPr>
            </w:pPr>
            <w:r>
              <w:rPr>
                <w:rFonts w:ascii="Times New Roman"/>
                <w:sz w:val="21"/>
              </w:rPr>
              <w:t>33000</w:t>
            </w:r>
          </w:p>
        </w:tc>
      </w:tr>
      <w:tr>
        <w:trPr>
          <w:trHeight w:val="285" w:hRule="atLeast"/>
        </w:trPr>
        <w:tc>
          <w:tcPr>
            <w:tcW w:w="1330" w:type="dxa"/>
            <w:vMerge/>
            <w:tcBorders>
              <w:top w:val="nil"/>
              <w:left w:val="single" w:sz="4" w:space="0" w:color="000000"/>
            </w:tcBorders>
          </w:tcPr>
          <w:p>
            <w:pPr>
              <w:rPr>
                <w:sz w:val="2"/>
                <w:szCs w:val="2"/>
              </w:rPr>
            </w:pPr>
          </w:p>
        </w:tc>
        <w:tc>
          <w:tcPr>
            <w:tcW w:w="1938" w:type="dxa"/>
            <w:vMerge/>
            <w:tcBorders>
              <w:top w:val="nil"/>
              <w:right w:val="single" w:sz="2" w:space="0" w:color="000000"/>
            </w:tcBorders>
          </w:tcPr>
          <w:p>
            <w:pPr>
              <w:rPr>
                <w:sz w:val="2"/>
                <w:szCs w:val="2"/>
              </w:rPr>
            </w:pPr>
          </w:p>
        </w:tc>
        <w:tc>
          <w:tcPr>
            <w:tcW w:w="1928" w:type="dxa"/>
            <w:tcBorders>
              <w:left w:val="single" w:sz="2" w:space="0" w:color="000000"/>
            </w:tcBorders>
          </w:tcPr>
          <w:p>
            <w:pPr>
              <w:pStyle w:val="TableParagraph"/>
              <w:spacing w:before="22"/>
              <w:ind w:left="621" w:right="622"/>
              <w:rPr>
                <w:rFonts w:ascii="Times New Roman"/>
                <w:sz w:val="21"/>
              </w:rPr>
            </w:pPr>
            <w:r>
              <w:rPr>
                <w:rFonts w:ascii="Times New Roman"/>
                <w:sz w:val="21"/>
              </w:rPr>
              <w:t>t/d</w:t>
            </w:r>
          </w:p>
        </w:tc>
        <w:tc>
          <w:tcPr>
            <w:tcW w:w="3889" w:type="dxa"/>
            <w:tcBorders>
              <w:right w:val="single" w:sz="4" w:space="0" w:color="000000"/>
            </w:tcBorders>
          </w:tcPr>
          <w:p>
            <w:pPr>
              <w:pStyle w:val="TableParagraph"/>
              <w:spacing w:before="22"/>
              <w:ind w:left="1494" w:right="1494"/>
              <w:rPr>
                <w:rFonts w:ascii="Times New Roman"/>
                <w:sz w:val="21"/>
              </w:rPr>
            </w:pPr>
            <w:r>
              <w:rPr>
                <w:rFonts w:ascii="Times New Roman"/>
                <w:sz w:val="21"/>
              </w:rPr>
              <w:t>110</w:t>
            </w:r>
          </w:p>
        </w:tc>
      </w:tr>
      <w:tr>
        <w:trPr>
          <w:trHeight w:val="282" w:hRule="atLeast"/>
        </w:trPr>
        <w:tc>
          <w:tcPr>
            <w:tcW w:w="1330" w:type="dxa"/>
            <w:vMerge/>
            <w:tcBorders>
              <w:top w:val="nil"/>
              <w:left w:val="single" w:sz="4" w:space="0" w:color="000000"/>
            </w:tcBorders>
          </w:tcPr>
          <w:p>
            <w:pPr>
              <w:rPr>
                <w:sz w:val="2"/>
                <w:szCs w:val="2"/>
              </w:rPr>
            </w:pPr>
          </w:p>
        </w:tc>
        <w:tc>
          <w:tcPr>
            <w:tcW w:w="1938" w:type="dxa"/>
            <w:vMerge w:val="restart"/>
            <w:tcBorders>
              <w:right w:val="single" w:sz="2" w:space="0" w:color="000000"/>
            </w:tcBorders>
          </w:tcPr>
          <w:p>
            <w:pPr>
              <w:pStyle w:val="TableParagraph"/>
              <w:spacing w:before="171"/>
              <w:ind w:left="645" w:right="636"/>
              <w:rPr>
                <w:rFonts w:ascii="Times New Roman"/>
                <w:sz w:val="21"/>
              </w:rPr>
            </w:pPr>
            <w:r>
              <w:rPr>
                <w:rFonts w:ascii="Times New Roman"/>
                <w:sz w:val="21"/>
              </w:rPr>
              <w:t>CODcr</w:t>
            </w:r>
          </w:p>
        </w:tc>
        <w:tc>
          <w:tcPr>
            <w:tcW w:w="1928" w:type="dxa"/>
            <w:tcBorders>
              <w:left w:val="single" w:sz="2" w:space="0" w:color="000000"/>
            </w:tcBorders>
          </w:tcPr>
          <w:p>
            <w:pPr>
              <w:pStyle w:val="TableParagraph"/>
              <w:spacing w:line="257" w:lineRule="exact" w:before="5"/>
              <w:ind w:left="626" w:right="622"/>
              <w:rPr>
                <w:sz w:val="21"/>
              </w:rPr>
            </w:pPr>
            <w:r>
              <w:rPr>
                <w:sz w:val="21"/>
              </w:rPr>
              <w:t>纳管量</w:t>
            </w:r>
          </w:p>
        </w:tc>
        <w:tc>
          <w:tcPr>
            <w:tcW w:w="3889" w:type="dxa"/>
            <w:tcBorders>
              <w:right w:val="single" w:sz="4" w:space="0" w:color="000000"/>
            </w:tcBorders>
          </w:tcPr>
          <w:p>
            <w:pPr>
              <w:pStyle w:val="TableParagraph"/>
              <w:spacing w:before="19"/>
              <w:ind w:left="1497" w:right="1494"/>
              <w:rPr>
                <w:rFonts w:ascii="Times New Roman"/>
                <w:sz w:val="21"/>
              </w:rPr>
            </w:pPr>
            <w:r>
              <w:rPr>
                <w:rFonts w:ascii="Times New Roman"/>
                <w:sz w:val="21"/>
              </w:rPr>
              <w:t>16.5</w:t>
            </w:r>
          </w:p>
        </w:tc>
      </w:tr>
      <w:tr>
        <w:trPr>
          <w:trHeight w:val="285" w:hRule="atLeast"/>
        </w:trPr>
        <w:tc>
          <w:tcPr>
            <w:tcW w:w="1330" w:type="dxa"/>
            <w:vMerge/>
            <w:tcBorders>
              <w:top w:val="nil"/>
              <w:left w:val="single" w:sz="4" w:space="0" w:color="000000"/>
            </w:tcBorders>
          </w:tcPr>
          <w:p>
            <w:pPr>
              <w:rPr>
                <w:sz w:val="2"/>
                <w:szCs w:val="2"/>
              </w:rPr>
            </w:pPr>
          </w:p>
        </w:tc>
        <w:tc>
          <w:tcPr>
            <w:tcW w:w="1938" w:type="dxa"/>
            <w:vMerge/>
            <w:tcBorders>
              <w:top w:val="nil"/>
              <w:right w:val="single" w:sz="2" w:space="0" w:color="000000"/>
            </w:tcBorders>
          </w:tcPr>
          <w:p>
            <w:pPr>
              <w:rPr>
                <w:sz w:val="2"/>
                <w:szCs w:val="2"/>
              </w:rPr>
            </w:pPr>
          </w:p>
        </w:tc>
        <w:tc>
          <w:tcPr>
            <w:tcW w:w="1928" w:type="dxa"/>
            <w:tcBorders>
              <w:left w:val="single" w:sz="2" w:space="0" w:color="000000"/>
            </w:tcBorders>
          </w:tcPr>
          <w:p>
            <w:pPr>
              <w:pStyle w:val="TableParagraph"/>
              <w:spacing w:line="257" w:lineRule="exact" w:before="8"/>
              <w:ind w:left="626" w:right="622"/>
              <w:rPr>
                <w:sz w:val="21"/>
              </w:rPr>
            </w:pPr>
            <w:r>
              <w:rPr>
                <w:sz w:val="21"/>
              </w:rPr>
              <w:t>环境量</w:t>
            </w:r>
          </w:p>
        </w:tc>
        <w:tc>
          <w:tcPr>
            <w:tcW w:w="3889" w:type="dxa"/>
            <w:tcBorders>
              <w:right w:val="single" w:sz="4" w:space="0" w:color="000000"/>
            </w:tcBorders>
          </w:tcPr>
          <w:p>
            <w:pPr>
              <w:pStyle w:val="TableParagraph"/>
              <w:spacing w:before="22"/>
              <w:ind w:left="1497" w:right="1494"/>
              <w:rPr>
                <w:rFonts w:ascii="Times New Roman"/>
                <w:sz w:val="21"/>
              </w:rPr>
            </w:pPr>
            <w:r>
              <w:rPr>
                <w:rFonts w:ascii="Times New Roman"/>
                <w:sz w:val="21"/>
              </w:rPr>
              <w:t>2.64</w:t>
            </w:r>
          </w:p>
        </w:tc>
      </w:tr>
      <w:tr>
        <w:trPr>
          <w:trHeight w:val="282" w:hRule="atLeast"/>
        </w:trPr>
        <w:tc>
          <w:tcPr>
            <w:tcW w:w="1330" w:type="dxa"/>
            <w:vMerge/>
            <w:tcBorders>
              <w:top w:val="nil"/>
              <w:left w:val="single" w:sz="4" w:space="0" w:color="000000"/>
            </w:tcBorders>
          </w:tcPr>
          <w:p>
            <w:pPr>
              <w:rPr>
                <w:sz w:val="2"/>
                <w:szCs w:val="2"/>
              </w:rPr>
            </w:pPr>
          </w:p>
        </w:tc>
        <w:tc>
          <w:tcPr>
            <w:tcW w:w="1938" w:type="dxa"/>
            <w:vMerge w:val="restart"/>
            <w:tcBorders>
              <w:right w:val="single" w:sz="2" w:space="0" w:color="000000"/>
            </w:tcBorders>
          </w:tcPr>
          <w:p>
            <w:pPr>
              <w:pStyle w:val="TableParagraph"/>
              <w:spacing w:before="157"/>
              <w:ind w:left="645" w:right="636"/>
              <w:rPr>
                <w:sz w:val="21"/>
              </w:rPr>
            </w:pPr>
            <w:r>
              <w:rPr>
                <w:sz w:val="21"/>
              </w:rPr>
              <w:t>氨氮</w:t>
            </w:r>
          </w:p>
        </w:tc>
        <w:tc>
          <w:tcPr>
            <w:tcW w:w="1928" w:type="dxa"/>
            <w:tcBorders>
              <w:left w:val="single" w:sz="2" w:space="0" w:color="000000"/>
            </w:tcBorders>
          </w:tcPr>
          <w:p>
            <w:pPr>
              <w:pStyle w:val="TableParagraph"/>
              <w:spacing w:line="257" w:lineRule="exact" w:before="5"/>
              <w:ind w:left="626" w:right="622"/>
              <w:rPr>
                <w:sz w:val="21"/>
              </w:rPr>
            </w:pPr>
            <w:r>
              <w:rPr>
                <w:sz w:val="21"/>
              </w:rPr>
              <w:t>纳管量</w:t>
            </w:r>
          </w:p>
        </w:tc>
        <w:tc>
          <w:tcPr>
            <w:tcW w:w="3889" w:type="dxa"/>
            <w:tcBorders>
              <w:right w:val="single" w:sz="4" w:space="0" w:color="000000"/>
            </w:tcBorders>
          </w:tcPr>
          <w:p>
            <w:pPr>
              <w:pStyle w:val="TableParagraph"/>
              <w:spacing w:before="19"/>
              <w:ind w:left="1497" w:right="1494"/>
              <w:rPr>
                <w:rFonts w:ascii="Times New Roman"/>
                <w:sz w:val="21"/>
              </w:rPr>
            </w:pPr>
            <w:r>
              <w:rPr>
                <w:rFonts w:ascii="Times New Roman"/>
                <w:sz w:val="21"/>
              </w:rPr>
              <w:t>1.155</w:t>
            </w:r>
          </w:p>
        </w:tc>
      </w:tr>
      <w:tr>
        <w:trPr>
          <w:trHeight w:val="285" w:hRule="atLeast"/>
        </w:trPr>
        <w:tc>
          <w:tcPr>
            <w:tcW w:w="1330" w:type="dxa"/>
            <w:vMerge/>
            <w:tcBorders>
              <w:top w:val="nil"/>
              <w:left w:val="single" w:sz="4" w:space="0" w:color="000000"/>
            </w:tcBorders>
          </w:tcPr>
          <w:p>
            <w:pPr>
              <w:rPr>
                <w:sz w:val="2"/>
                <w:szCs w:val="2"/>
              </w:rPr>
            </w:pPr>
          </w:p>
        </w:tc>
        <w:tc>
          <w:tcPr>
            <w:tcW w:w="1938" w:type="dxa"/>
            <w:vMerge/>
            <w:tcBorders>
              <w:top w:val="nil"/>
              <w:right w:val="single" w:sz="2" w:space="0" w:color="000000"/>
            </w:tcBorders>
          </w:tcPr>
          <w:p>
            <w:pPr>
              <w:rPr>
                <w:sz w:val="2"/>
                <w:szCs w:val="2"/>
              </w:rPr>
            </w:pPr>
          </w:p>
        </w:tc>
        <w:tc>
          <w:tcPr>
            <w:tcW w:w="1928" w:type="dxa"/>
            <w:tcBorders>
              <w:left w:val="single" w:sz="2" w:space="0" w:color="000000"/>
            </w:tcBorders>
          </w:tcPr>
          <w:p>
            <w:pPr>
              <w:pStyle w:val="TableParagraph"/>
              <w:spacing w:line="257" w:lineRule="exact" w:before="8"/>
              <w:ind w:left="626" w:right="622"/>
              <w:rPr>
                <w:sz w:val="21"/>
              </w:rPr>
            </w:pPr>
            <w:r>
              <w:rPr>
                <w:sz w:val="21"/>
              </w:rPr>
              <w:t>环境量</w:t>
            </w:r>
          </w:p>
        </w:tc>
        <w:tc>
          <w:tcPr>
            <w:tcW w:w="3889" w:type="dxa"/>
            <w:tcBorders>
              <w:right w:val="single" w:sz="4" w:space="0" w:color="000000"/>
            </w:tcBorders>
          </w:tcPr>
          <w:p>
            <w:pPr>
              <w:pStyle w:val="TableParagraph"/>
              <w:spacing w:before="22"/>
              <w:ind w:left="1497" w:right="1494"/>
              <w:rPr>
                <w:rFonts w:ascii="Times New Roman"/>
                <w:sz w:val="21"/>
              </w:rPr>
            </w:pPr>
            <w:r>
              <w:rPr>
                <w:rFonts w:ascii="Times New Roman"/>
                <w:sz w:val="21"/>
              </w:rPr>
              <w:t>0.495</w:t>
            </w:r>
          </w:p>
        </w:tc>
      </w:tr>
      <w:tr>
        <w:trPr>
          <w:trHeight w:val="282" w:hRule="atLeast"/>
        </w:trPr>
        <w:tc>
          <w:tcPr>
            <w:tcW w:w="1330" w:type="dxa"/>
            <w:vMerge w:val="restart"/>
            <w:tcBorders>
              <w:left w:val="single" w:sz="4" w:space="0" w:color="000000"/>
            </w:tcBorders>
          </w:tcPr>
          <w:p>
            <w:pPr>
              <w:pStyle w:val="TableParagraph"/>
              <w:spacing w:before="157"/>
              <w:ind w:left="434" w:right="423"/>
              <w:rPr>
                <w:sz w:val="21"/>
              </w:rPr>
            </w:pPr>
            <w:r>
              <w:rPr>
                <w:sz w:val="21"/>
              </w:rPr>
              <w:t>废气</w:t>
            </w:r>
          </w:p>
        </w:tc>
        <w:tc>
          <w:tcPr>
            <w:tcW w:w="3866" w:type="dxa"/>
            <w:gridSpan w:val="2"/>
          </w:tcPr>
          <w:p>
            <w:pPr>
              <w:pStyle w:val="TableParagraph"/>
              <w:spacing w:line="241" w:lineRule="exact" w:before="22"/>
              <w:ind w:left="1383" w:right="1376"/>
              <w:rPr>
                <w:rFonts w:ascii="Times New Roman"/>
                <w:sz w:val="21"/>
              </w:rPr>
            </w:pPr>
            <w:r>
              <w:rPr>
                <w:rFonts w:ascii="Times New Roman"/>
                <w:sz w:val="21"/>
              </w:rPr>
              <w:t>VOCs</w:t>
            </w:r>
          </w:p>
        </w:tc>
        <w:tc>
          <w:tcPr>
            <w:tcW w:w="3889" w:type="dxa"/>
            <w:tcBorders>
              <w:right w:val="single" w:sz="4" w:space="0" w:color="000000"/>
            </w:tcBorders>
          </w:tcPr>
          <w:p>
            <w:pPr>
              <w:pStyle w:val="TableParagraph"/>
              <w:spacing w:line="241" w:lineRule="exact" w:before="22"/>
              <w:ind w:left="1497" w:right="1494"/>
              <w:rPr>
                <w:rFonts w:ascii="Times New Roman"/>
                <w:sz w:val="21"/>
              </w:rPr>
            </w:pPr>
            <w:r>
              <w:rPr>
                <w:rFonts w:ascii="Times New Roman"/>
                <w:sz w:val="21"/>
              </w:rPr>
              <w:t>0.34</w:t>
            </w:r>
          </w:p>
        </w:tc>
      </w:tr>
      <w:tr>
        <w:trPr>
          <w:trHeight w:val="285" w:hRule="atLeast"/>
        </w:trPr>
        <w:tc>
          <w:tcPr>
            <w:tcW w:w="1330" w:type="dxa"/>
            <w:vMerge/>
            <w:tcBorders>
              <w:top w:val="nil"/>
              <w:left w:val="single" w:sz="4" w:space="0" w:color="000000"/>
            </w:tcBorders>
          </w:tcPr>
          <w:p>
            <w:pPr>
              <w:rPr>
                <w:sz w:val="2"/>
                <w:szCs w:val="2"/>
              </w:rPr>
            </w:pPr>
          </w:p>
        </w:tc>
        <w:tc>
          <w:tcPr>
            <w:tcW w:w="3866" w:type="dxa"/>
            <w:gridSpan w:val="2"/>
          </w:tcPr>
          <w:p>
            <w:pPr>
              <w:pStyle w:val="TableParagraph"/>
              <w:spacing w:line="257" w:lineRule="exact" w:before="8"/>
              <w:ind w:left="1383" w:right="1378"/>
              <w:rPr>
                <w:sz w:val="21"/>
              </w:rPr>
            </w:pPr>
            <w:r>
              <w:rPr>
                <w:sz w:val="21"/>
              </w:rPr>
              <w:t>工业烟粉尘</w:t>
            </w:r>
          </w:p>
        </w:tc>
        <w:tc>
          <w:tcPr>
            <w:tcW w:w="3889" w:type="dxa"/>
            <w:tcBorders>
              <w:right w:val="single" w:sz="4" w:space="0" w:color="000000"/>
            </w:tcBorders>
          </w:tcPr>
          <w:p>
            <w:pPr>
              <w:pStyle w:val="TableParagraph"/>
              <w:spacing w:before="22"/>
              <w:ind w:left="1497" w:right="1494"/>
              <w:rPr>
                <w:rFonts w:ascii="Times New Roman"/>
                <w:sz w:val="21"/>
              </w:rPr>
            </w:pPr>
            <w:r>
              <w:rPr>
                <w:rFonts w:ascii="Times New Roman"/>
                <w:sz w:val="21"/>
              </w:rPr>
              <w:t>0.2</w:t>
            </w:r>
          </w:p>
        </w:tc>
      </w:tr>
    </w:tbl>
    <w:p>
      <w:pPr>
        <w:pStyle w:val="BodyText"/>
        <w:spacing w:before="3"/>
        <w:ind w:left="738"/>
      </w:pPr>
      <w:r>
        <w:rPr/>
        <w:t>本项目实施后，企业全厂核定总量控制指标如下：</w:t>
      </w:r>
    </w:p>
    <w:p>
      <w:pPr>
        <w:pStyle w:val="BodyText"/>
        <w:spacing w:before="7"/>
        <w:rPr>
          <w:sz w:val="23"/>
        </w:rPr>
      </w:pPr>
    </w:p>
    <w:p>
      <w:pPr>
        <w:pStyle w:val="Heading4"/>
        <w:tabs>
          <w:tab w:pos="5741" w:val="left" w:leader="none"/>
        </w:tabs>
        <w:spacing w:after="29"/>
        <w:ind w:left="0" w:right="71"/>
        <w:jc w:val="center"/>
        <w:rPr>
          <w:rFonts w:ascii="Times New Roman" w:eastAsia="Times New Roman"/>
        </w:rPr>
      </w:pPr>
      <w:r>
        <w:rPr/>
        <w:t>表</w:t>
      </w:r>
      <w:r>
        <w:rPr>
          <w:spacing w:val="-61"/>
        </w:rPr>
        <w:t> </w:t>
      </w:r>
      <w:r>
        <w:rPr>
          <w:rFonts w:ascii="Times New Roman" w:eastAsia="Times New Roman"/>
        </w:rPr>
        <w:t>4.7-2</w:t>
      </w:r>
      <w:r>
        <w:rPr>
          <w:rFonts w:ascii="Times New Roman" w:eastAsia="Times New Roman"/>
          <w:spacing w:val="57"/>
        </w:rPr>
        <w:t> </w:t>
      </w:r>
      <w:r>
        <w:rPr/>
        <w:t>本项目实施前</w:t>
      </w:r>
      <w:r>
        <w:rPr>
          <w:spacing w:val="3"/>
        </w:rPr>
        <w:t>后</w:t>
      </w:r>
      <w:r>
        <w:rPr/>
        <w:t>全厂总量控制指标变化情况</w:t>
        <w:tab/>
        <w:t>单位：</w:t>
      </w:r>
      <w:r>
        <w:rPr>
          <w:rFonts w:ascii="Times New Roman" w:eastAsia="Times New Roman"/>
        </w:rPr>
        <w:t>t/a</w:t>
      </w:r>
    </w:p>
    <w:tbl>
      <w:tblPr>
        <w:tblW w:w="0" w:type="auto"/>
        <w:jc w:val="left"/>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88"/>
        <w:gridCol w:w="967"/>
        <w:gridCol w:w="994"/>
        <w:gridCol w:w="1699"/>
        <w:gridCol w:w="1714"/>
        <w:gridCol w:w="1560"/>
        <w:gridCol w:w="1563"/>
      </w:tblGrid>
      <w:tr>
        <w:trPr>
          <w:trHeight w:val="544" w:hRule="atLeast"/>
        </w:trPr>
        <w:tc>
          <w:tcPr>
            <w:tcW w:w="2549" w:type="dxa"/>
            <w:gridSpan w:val="3"/>
          </w:tcPr>
          <w:p>
            <w:pPr>
              <w:pStyle w:val="TableParagraph"/>
              <w:spacing w:before="137"/>
              <w:ind w:left="746"/>
              <w:jc w:val="left"/>
              <w:rPr>
                <w:b/>
                <w:sz w:val="21"/>
              </w:rPr>
            </w:pPr>
            <w:r>
              <w:rPr>
                <w:b/>
                <w:sz w:val="21"/>
              </w:rPr>
              <w:t>污染源名称</w:t>
            </w:r>
          </w:p>
        </w:tc>
        <w:tc>
          <w:tcPr>
            <w:tcW w:w="1699" w:type="dxa"/>
            <w:tcBorders>
              <w:right w:val="single" w:sz="4" w:space="0" w:color="000000"/>
            </w:tcBorders>
          </w:tcPr>
          <w:p>
            <w:pPr>
              <w:pStyle w:val="TableParagraph"/>
              <w:spacing w:before="1"/>
              <w:ind w:left="7" w:right="-15"/>
              <w:rPr>
                <w:b/>
                <w:sz w:val="21"/>
              </w:rPr>
            </w:pPr>
            <w:r>
              <w:rPr>
                <w:b/>
                <w:spacing w:val="-2"/>
                <w:sz w:val="21"/>
              </w:rPr>
              <w:t>现有企业核定总量</w:t>
            </w:r>
          </w:p>
          <w:p>
            <w:pPr>
              <w:pStyle w:val="TableParagraph"/>
              <w:spacing w:line="250" w:lineRule="exact" w:before="4"/>
              <w:ind w:left="199" w:right="182"/>
              <w:rPr>
                <w:b/>
                <w:sz w:val="21"/>
              </w:rPr>
            </w:pPr>
            <w:r>
              <w:rPr>
                <w:b/>
                <w:sz w:val="21"/>
              </w:rPr>
              <w:t>指标（西区）</w:t>
            </w:r>
          </w:p>
        </w:tc>
        <w:tc>
          <w:tcPr>
            <w:tcW w:w="1714" w:type="dxa"/>
            <w:tcBorders>
              <w:left w:val="single" w:sz="4" w:space="0" w:color="000000"/>
              <w:right w:val="single" w:sz="4" w:space="0" w:color="000000"/>
            </w:tcBorders>
          </w:tcPr>
          <w:p>
            <w:pPr>
              <w:pStyle w:val="TableParagraph"/>
              <w:spacing w:before="1"/>
              <w:ind w:left="14" w:right="-15"/>
              <w:rPr>
                <w:b/>
                <w:sz w:val="21"/>
              </w:rPr>
            </w:pPr>
            <w:r>
              <w:rPr>
                <w:b/>
                <w:sz w:val="21"/>
              </w:rPr>
              <w:t>本次项目达产排放</w:t>
            </w:r>
          </w:p>
          <w:p>
            <w:pPr>
              <w:pStyle w:val="TableParagraph"/>
              <w:spacing w:line="250" w:lineRule="exact" w:before="4"/>
              <w:ind w:left="312" w:right="297"/>
              <w:rPr>
                <w:b/>
                <w:sz w:val="21"/>
              </w:rPr>
            </w:pPr>
            <w:r>
              <w:rPr>
                <w:b/>
                <w:sz w:val="21"/>
              </w:rPr>
              <w:t>量（东区）</w:t>
            </w:r>
          </w:p>
        </w:tc>
        <w:tc>
          <w:tcPr>
            <w:tcW w:w="1560" w:type="dxa"/>
            <w:tcBorders>
              <w:left w:val="single" w:sz="4" w:space="0" w:color="000000"/>
              <w:right w:val="single" w:sz="4" w:space="0" w:color="000000"/>
            </w:tcBorders>
          </w:tcPr>
          <w:p>
            <w:pPr>
              <w:pStyle w:val="TableParagraph"/>
              <w:spacing w:before="1"/>
              <w:ind w:left="21" w:right="6"/>
              <w:rPr>
                <w:b/>
                <w:sz w:val="21"/>
              </w:rPr>
            </w:pPr>
            <w:r>
              <w:rPr>
                <w:b/>
                <w:sz w:val="21"/>
              </w:rPr>
              <w:t>项目实施后全厂</w:t>
            </w:r>
          </w:p>
          <w:p>
            <w:pPr>
              <w:pStyle w:val="TableParagraph"/>
              <w:spacing w:line="250" w:lineRule="exact" w:before="4"/>
              <w:ind w:left="21" w:right="6"/>
              <w:rPr>
                <w:b/>
                <w:sz w:val="21"/>
              </w:rPr>
            </w:pPr>
            <w:r>
              <w:rPr>
                <w:b/>
                <w:sz w:val="21"/>
              </w:rPr>
              <w:t>总量指标</w:t>
            </w:r>
          </w:p>
        </w:tc>
        <w:tc>
          <w:tcPr>
            <w:tcW w:w="1563" w:type="dxa"/>
            <w:tcBorders>
              <w:left w:val="single" w:sz="4" w:space="0" w:color="000000"/>
              <w:right w:val="single" w:sz="4" w:space="0" w:color="000000"/>
            </w:tcBorders>
          </w:tcPr>
          <w:p>
            <w:pPr>
              <w:pStyle w:val="TableParagraph"/>
              <w:spacing w:before="1"/>
              <w:ind w:left="45"/>
              <w:jc w:val="left"/>
              <w:rPr>
                <w:b/>
                <w:sz w:val="21"/>
              </w:rPr>
            </w:pPr>
            <w:r>
              <w:rPr>
                <w:b/>
                <w:sz w:val="21"/>
              </w:rPr>
              <w:t>项目实施前后控</w:t>
            </w:r>
          </w:p>
          <w:p>
            <w:pPr>
              <w:pStyle w:val="TableParagraph"/>
              <w:spacing w:line="250" w:lineRule="exact" w:before="4"/>
              <w:ind w:left="151"/>
              <w:jc w:val="left"/>
              <w:rPr>
                <w:b/>
                <w:sz w:val="21"/>
              </w:rPr>
            </w:pPr>
            <w:r>
              <w:rPr>
                <w:b/>
                <w:sz w:val="21"/>
              </w:rPr>
              <w:t>制指标增减量</w:t>
            </w:r>
          </w:p>
        </w:tc>
      </w:tr>
      <w:tr>
        <w:trPr>
          <w:trHeight w:val="241" w:hRule="atLeast"/>
        </w:trPr>
        <w:tc>
          <w:tcPr>
            <w:tcW w:w="588" w:type="dxa"/>
            <w:vMerge w:val="restart"/>
          </w:tcPr>
          <w:p>
            <w:pPr>
              <w:pStyle w:val="TableParagraph"/>
              <w:jc w:val="left"/>
              <w:rPr>
                <w:rFonts w:ascii="Times New Roman"/>
                <w:b/>
                <w:sz w:val="20"/>
              </w:rPr>
            </w:pPr>
          </w:p>
          <w:p>
            <w:pPr>
              <w:pStyle w:val="TableParagraph"/>
              <w:spacing w:before="5"/>
              <w:jc w:val="left"/>
              <w:rPr>
                <w:rFonts w:ascii="Times New Roman"/>
                <w:b/>
                <w:sz w:val="27"/>
              </w:rPr>
            </w:pPr>
          </w:p>
          <w:p>
            <w:pPr>
              <w:pStyle w:val="TableParagraph"/>
              <w:ind w:left="83"/>
              <w:jc w:val="left"/>
              <w:rPr>
                <w:sz w:val="21"/>
              </w:rPr>
            </w:pPr>
            <w:r>
              <w:rPr>
                <w:sz w:val="21"/>
              </w:rPr>
              <w:t>废水</w:t>
            </w:r>
          </w:p>
        </w:tc>
        <w:tc>
          <w:tcPr>
            <w:tcW w:w="967" w:type="dxa"/>
            <w:vMerge w:val="restart"/>
            <w:tcBorders>
              <w:right w:val="single" w:sz="2" w:space="0" w:color="000000"/>
            </w:tcBorders>
          </w:tcPr>
          <w:p>
            <w:pPr>
              <w:pStyle w:val="TableParagraph"/>
              <w:spacing w:before="113"/>
              <w:ind w:left="275"/>
              <w:jc w:val="left"/>
              <w:rPr>
                <w:sz w:val="21"/>
              </w:rPr>
            </w:pPr>
            <w:r>
              <w:rPr>
                <w:sz w:val="21"/>
              </w:rPr>
              <w:t>水量</w:t>
            </w:r>
          </w:p>
        </w:tc>
        <w:tc>
          <w:tcPr>
            <w:tcW w:w="994" w:type="dxa"/>
            <w:tcBorders>
              <w:left w:val="single" w:sz="2" w:space="0" w:color="000000"/>
            </w:tcBorders>
          </w:tcPr>
          <w:p>
            <w:pPr>
              <w:pStyle w:val="TableParagraph"/>
              <w:spacing w:line="221" w:lineRule="exact"/>
              <w:ind w:left="72" w:right="61"/>
              <w:rPr>
                <w:rFonts w:ascii="Times New Roman"/>
                <w:sz w:val="21"/>
              </w:rPr>
            </w:pPr>
            <w:r>
              <w:rPr>
                <w:rFonts w:ascii="Times New Roman"/>
                <w:sz w:val="21"/>
              </w:rPr>
              <w:t>t/a</w:t>
            </w:r>
          </w:p>
        </w:tc>
        <w:tc>
          <w:tcPr>
            <w:tcW w:w="1699" w:type="dxa"/>
            <w:tcBorders>
              <w:right w:val="single" w:sz="4" w:space="0" w:color="000000"/>
            </w:tcBorders>
          </w:tcPr>
          <w:p>
            <w:pPr>
              <w:pStyle w:val="TableParagraph"/>
              <w:spacing w:line="221" w:lineRule="exact"/>
              <w:ind w:left="197" w:right="182"/>
              <w:rPr>
                <w:rFonts w:ascii="Times New Roman"/>
                <w:sz w:val="21"/>
              </w:rPr>
            </w:pPr>
            <w:r>
              <w:rPr>
                <w:rFonts w:ascii="Times New Roman"/>
                <w:sz w:val="21"/>
              </w:rPr>
              <w:t>114000</w:t>
            </w:r>
          </w:p>
        </w:tc>
        <w:tc>
          <w:tcPr>
            <w:tcW w:w="1714" w:type="dxa"/>
            <w:tcBorders>
              <w:left w:val="single" w:sz="4" w:space="0" w:color="000000"/>
              <w:right w:val="single" w:sz="4" w:space="0" w:color="000000"/>
            </w:tcBorders>
          </w:tcPr>
          <w:p>
            <w:pPr>
              <w:pStyle w:val="TableParagraph"/>
              <w:spacing w:line="221" w:lineRule="exact"/>
              <w:ind w:right="578"/>
              <w:jc w:val="right"/>
              <w:rPr>
                <w:rFonts w:ascii="Times New Roman"/>
                <w:sz w:val="21"/>
              </w:rPr>
            </w:pPr>
            <w:r>
              <w:rPr>
                <w:rFonts w:ascii="Times New Roman"/>
                <w:sz w:val="21"/>
              </w:rPr>
              <w:t>33000</w:t>
            </w:r>
          </w:p>
        </w:tc>
        <w:tc>
          <w:tcPr>
            <w:tcW w:w="1560" w:type="dxa"/>
            <w:tcBorders>
              <w:left w:val="single" w:sz="4" w:space="0" w:color="000000"/>
              <w:right w:val="single" w:sz="4" w:space="0" w:color="000000"/>
            </w:tcBorders>
          </w:tcPr>
          <w:p>
            <w:pPr>
              <w:pStyle w:val="TableParagraph"/>
              <w:spacing w:line="221" w:lineRule="exact"/>
              <w:ind w:left="21" w:right="6"/>
              <w:rPr>
                <w:rFonts w:ascii="Times New Roman"/>
                <w:sz w:val="21"/>
              </w:rPr>
            </w:pPr>
            <w:r>
              <w:rPr>
                <w:rFonts w:ascii="Times New Roman"/>
                <w:sz w:val="21"/>
              </w:rPr>
              <w:t>147000</w:t>
            </w:r>
          </w:p>
        </w:tc>
        <w:tc>
          <w:tcPr>
            <w:tcW w:w="1563" w:type="dxa"/>
            <w:tcBorders>
              <w:left w:val="single" w:sz="4" w:space="0" w:color="000000"/>
              <w:right w:val="single" w:sz="4" w:space="0" w:color="000000"/>
            </w:tcBorders>
          </w:tcPr>
          <w:p>
            <w:pPr>
              <w:pStyle w:val="TableParagraph"/>
              <w:spacing w:line="221" w:lineRule="exact"/>
              <w:ind w:right="443"/>
              <w:jc w:val="right"/>
              <w:rPr>
                <w:rFonts w:ascii="Times New Roman"/>
                <w:sz w:val="21"/>
              </w:rPr>
            </w:pPr>
            <w:r>
              <w:rPr>
                <w:rFonts w:ascii="Times New Roman"/>
                <w:sz w:val="21"/>
              </w:rPr>
              <w:t>+33000</w:t>
            </w:r>
          </w:p>
        </w:tc>
      </w:tr>
      <w:tr>
        <w:trPr>
          <w:trHeight w:val="241" w:hRule="atLeast"/>
        </w:trPr>
        <w:tc>
          <w:tcPr>
            <w:tcW w:w="588" w:type="dxa"/>
            <w:vMerge/>
            <w:tcBorders>
              <w:top w:val="nil"/>
            </w:tcBorders>
          </w:tcPr>
          <w:p>
            <w:pPr>
              <w:rPr>
                <w:sz w:val="2"/>
                <w:szCs w:val="2"/>
              </w:rPr>
            </w:pPr>
          </w:p>
        </w:tc>
        <w:tc>
          <w:tcPr>
            <w:tcW w:w="967" w:type="dxa"/>
            <w:vMerge/>
            <w:tcBorders>
              <w:top w:val="nil"/>
              <w:right w:val="single" w:sz="2" w:space="0" w:color="000000"/>
            </w:tcBorders>
          </w:tcPr>
          <w:p>
            <w:pPr>
              <w:rPr>
                <w:sz w:val="2"/>
                <w:szCs w:val="2"/>
              </w:rPr>
            </w:pPr>
          </w:p>
        </w:tc>
        <w:tc>
          <w:tcPr>
            <w:tcW w:w="994" w:type="dxa"/>
            <w:tcBorders>
              <w:left w:val="single" w:sz="2" w:space="0" w:color="000000"/>
            </w:tcBorders>
          </w:tcPr>
          <w:p>
            <w:pPr>
              <w:pStyle w:val="TableParagraph"/>
              <w:spacing w:line="221" w:lineRule="exact"/>
              <w:ind w:left="72" w:right="59"/>
              <w:rPr>
                <w:rFonts w:ascii="Times New Roman"/>
                <w:sz w:val="21"/>
              </w:rPr>
            </w:pPr>
            <w:r>
              <w:rPr>
                <w:rFonts w:ascii="Times New Roman"/>
                <w:sz w:val="21"/>
              </w:rPr>
              <w:t>t/d</w:t>
            </w:r>
          </w:p>
        </w:tc>
        <w:tc>
          <w:tcPr>
            <w:tcW w:w="1699" w:type="dxa"/>
            <w:tcBorders>
              <w:right w:val="single" w:sz="4" w:space="0" w:color="000000"/>
            </w:tcBorders>
          </w:tcPr>
          <w:p>
            <w:pPr>
              <w:pStyle w:val="TableParagraph"/>
              <w:spacing w:line="221" w:lineRule="exact"/>
              <w:ind w:left="199" w:right="182"/>
              <w:rPr>
                <w:rFonts w:ascii="Times New Roman"/>
                <w:sz w:val="21"/>
              </w:rPr>
            </w:pPr>
            <w:r>
              <w:rPr>
                <w:rFonts w:ascii="Times New Roman"/>
                <w:sz w:val="21"/>
              </w:rPr>
              <w:t>380</w:t>
            </w:r>
          </w:p>
        </w:tc>
        <w:tc>
          <w:tcPr>
            <w:tcW w:w="1714" w:type="dxa"/>
            <w:tcBorders>
              <w:left w:val="single" w:sz="4" w:space="0" w:color="000000"/>
              <w:right w:val="single" w:sz="4" w:space="0" w:color="000000"/>
            </w:tcBorders>
          </w:tcPr>
          <w:p>
            <w:pPr>
              <w:pStyle w:val="TableParagraph"/>
              <w:spacing w:line="221" w:lineRule="exact"/>
              <w:ind w:left="312" w:right="295"/>
              <w:rPr>
                <w:rFonts w:ascii="Times New Roman"/>
                <w:sz w:val="21"/>
              </w:rPr>
            </w:pPr>
            <w:r>
              <w:rPr>
                <w:rFonts w:ascii="Times New Roman"/>
                <w:sz w:val="21"/>
              </w:rPr>
              <w:t>110</w:t>
            </w:r>
          </w:p>
        </w:tc>
        <w:tc>
          <w:tcPr>
            <w:tcW w:w="1560" w:type="dxa"/>
            <w:tcBorders>
              <w:left w:val="single" w:sz="4" w:space="0" w:color="000000"/>
              <w:right w:val="single" w:sz="4" w:space="0" w:color="000000"/>
            </w:tcBorders>
          </w:tcPr>
          <w:p>
            <w:pPr>
              <w:pStyle w:val="TableParagraph"/>
              <w:spacing w:line="221" w:lineRule="exact"/>
              <w:ind w:left="21" w:right="6"/>
              <w:rPr>
                <w:rFonts w:ascii="Times New Roman"/>
                <w:sz w:val="21"/>
              </w:rPr>
            </w:pPr>
            <w:r>
              <w:rPr>
                <w:rFonts w:ascii="Times New Roman"/>
                <w:sz w:val="21"/>
              </w:rPr>
              <w:t>490</w:t>
            </w:r>
          </w:p>
        </w:tc>
        <w:tc>
          <w:tcPr>
            <w:tcW w:w="1563" w:type="dxa"/>
            <w:tcBorders>
              <w:left w:val="single" w:sz="4" w:space="0" w:color="000000"/>
              <w:right w:val="single" w:sz="4" w:space="0" w:color="000000"/>
            </w:tcBorders>
          </w:tcPr>
          <w:p>
            <w:pPr>
              <w:pStyle w:val="TableParagraph"/>
              <w:spacing w:line="221" w:lineRule="exact"/>
              <w:ind w:left="469" w:right="453"/>
              <w:rPr>
                <w:rFonts w:ascii="Times New Roman"/>
                <w:sz w:val="21"/>
              </w:rPr>
            </w:pPr>
            <w:r>
              <w:rPr>
                <w:rFonts w:ascii="Times New Roman"/>
                <w:sz w:val="21"/>
              </w:rPr>
              <w:t>+110</w:t>
            </w:r>
          </w:p>
        </w:tc>
      </w:tr>
      <w:tr>
        <w:trPr>
          <w:trHeight w:val="270" w:hRule="atLeast"/>
        </w:trPr>
        <w:tc>
          <w:tcPr>
            <w:tcW w:w="588" w:type="dxa"/>
            <w:vMerge/>
            <w:tcBorders>
              <w:top w:val="nil"/>
            </w:tcBorders>
          </w:tcPr>
          <w:p>
            <w:pPr>
              <w:rPr>
                <w:sz w:val="2"/>
                <w:szCs w:val="2"/>
              </w:rPr>
            </w:pPr>
          </w:p>
        </w:tc>
        <w:tc>
          <w:tcPr>
            <w:tcW w:w="967" w:type="dxa"/>
            <w:vMerge w:val="restart"/>
            <w:tcBorders>
              <w:right w:val="single" w:sz="2" w:space="0" w:color="000000"/>
            </w:tcBorders>
          </w:tcPr>
          <w:p>
            <w:pPr>
              <w:pStyle w:val="TableParagraph"/>
              <w:spacing w:before="159"/>
              <w:ind w:left="182"/>
              <w:jc w:val="left"/>
              <w:rPr>
                <w:rFonts w:ascii="Times New Roman"/>
                <w:sz w:val="21"/>
              </w:rPr>
            </w:pPr>
            <w:r>
              <w:rPr>
                <w:rFonts w:ascii="Times New Roman"/>
                <w:sz w:val="21"/>
              </w:rPr>
              <w:t>CODcr</w:t>
            </w:r>
          </w:p>
        </w:tc>
        <w:tc>
          <w:tcPr>
            <w:tcW w:w="994" w:type="dxa"/>
            <w:tcBorders>
              <w:left w:val="single" w:sz="2" w:space="0" w:color="000000"/>
            </w:tcBorders>
          </w:tcPr>
          <w:p>
            <w:pPr>
              <w:pStyle w:val="TableParagraph"/>
              <w:spacing w:line="250" w:lineRule="exact" w:before="1"/>
              <w:ind w:left="72" w:right="58"/>
              <w:rPr>
                <w:sz w:val="21"/>
              </w:rPr>
            </w:pPr>
            <w:r>
              <w:rPr>
                <w:sz w:val="21"/>
              </w:rPr>
              <w:t>纳管量</w:t>
            </w:r>
          </w:p>
        </w:tc>
        <w:tc>
          <w:tcPr>
            <w:tcW w:w="1699" w:type="dxa"/>
            <w:tcBorders>
              <w:right w:val="single" w:sz="4" w:space="0" w:color="000000"/>
            </w:tcBorders>
          </w:tcPr>
          <w:p>
            <w:pPr>
              <w:pStyle w:val="TableParagraph"/>
              <w:spacing w:line="236" w:lineRule="exact" w:before="15"/>
              <w:ind w:left="194" w:right="182"/>
              <w:rPr>
                <w:rFonts w:ascii="Times New Roman"/>
                <w:sz w:val="21"/>
              </w:rPr>
            </w:pPr>
            <w:r>
              <w:rPr>
                <w:rFonts w:ascii="Times New Roman"/>
                <w:sz w:val="21"/>
              </w:rPr>
              <w:t>57</w:t>
            </w:r>
          </w:p>
        </w:tc>
        <w:tc>
          <w:tcPr>
            <w:tcW w:w="1714" w:type="dxa"/>
            <w:tcBorders>
              <w:left w:val="single" w:sz="4" w:space="0" w:color="000000"/>
              <w:right w:val="single" w:sz="4" w:space="0" w:color="000000"/>
            </w:tcBorders>
          </w:tcPr>
          <w:p>
            <w:pPr>
              <w:pStyle w:val="TableParagraph"/>
              <w:spacing w:line="236" w:lineRule="exact" w:before="15"/>
              <w:ind w:right="657"/>
              <w:jc w:val="right"/>
              <w:rPr>
                <w:rFonts w:ascii="Times New Roman"/>
                <w:sz w:val="21"/>
              </w:rPr>
            </w:pPr>
            <w:r>
              <w:rPr>
                <w:rFonts w:ascii="Times New Roman"/>
                <w:sz w:val="21"/>
              </w:rPr>
              <w:t>16.5</w:t>
            </w:r>
          </w:p>
        </w:tc>
        <w:tc>
          <w:tcPr>
            <w:tcW w:w="1560" w:type="dxa"/>
            <w:tcBorders>
              <w:left w:val="single" w:sz="4" w:space="0" w:color="000000"/>
              <w:right w:val="single" w:sz="4" w:space="0" w:color="000000"/>
            </w:tcBorders>
          </w:tcPr>
          <w:p>
            <w:pPr>
              <w:pStyle w:val="TableParagraph"/>
              <w:spacing w:line="236" w:lineRule="exact" w:before="15"/>
              <w:ind w:left="21" w:right="6"/>
              <w:rPr>
                <w:rFonts w:ascii="Times New Roman"/>
                <w:sz w:val="21"/>
              </w:rPr>
            </w:pPr>
            <w:r>
              <w:rPr>
                <w:rFonts w:ascii="Times New Roman"/>
                <w:sz w:val="21"/>
              </w:rPr>
              <w:t>73.5</w:t>
            </w:r>
          </w:p>
        </w:tc>
        <w:tc>
          <w:tcPr>
            <w:tcW w:w="1563" w:type="dxa"/>
            <w:tcBorders>
              <w:left w:val="single" w:sz="4" w:space="0" w:color="000000"/>
              <w:right w:val="single" w:sz="4" w:space="0" w:color="000000"/>
            </w:tcBorders>
          </w:tcPr>
          <w:p>
            <w:pPr>
              <w:pStyle w:val="TableParagraph"/>
              <w:spacing w:line="236" w:lineRule="exact" w:before="15"/>
              <w:ind w:left="468" w:right="453"/>
              <w:rPr>
                <w:rFonts w:ascii="Times New Roman"/>
                <w:sz w:val="21"/>
              </w:rPr>
            </w:pPr>
            <w:r>
              <w:rPr>
                <w:rFonts w:ascii="Times New Roman"/>
                <w:sz w:val="21"/>
              </w:rPr>
              <w:t>+16.5</w:t>
            </w:r>
          </w:p>
        </w:tc>
      </w:tr>
      <w:tr>
        <w:trPr>
          <w:trHeight w:val="272" w:hRule="atLeast"/>
        </w:trPr>
        <w:tc>
          <w:tcPr>
            <w:tcW w:w="588" w:type="dxa"/>
            <w:vMerge/>
            <w:tcBorders>
              <w:top w:val="nil"/>
            </w:tcBorders>
          </w:tcPr>
          <w:p>
            <w:pPr>
              <w:rPr>
                <w:sz w:val="2"/>
                <w:szCs w:val="2"/>
              </w:rPr>
            </w:pPr>
          </w:p>
        </w:tc>
        <w:tc>
          <w:tcPr>
            <w:tcW w:w="967" w:type="dxa"/>
            <w:vMerge/>
            <w:tcBorders>
              <w:top w:val="nil"/>
              <w:right w:val="single" w:sz="2" w:space="0" w:color="000000"/>
            </w:tcBorders>
          </w:tcPr>
          <w:p>
            <w:pPr>
              <w:rPr>
                <w:sz w:val="2"/>
                <w:szCs w:val="2"/>
              </w:rPr>
            </w:pPr>
          </w:p>
        </w:tc>
        <w:tc>
          <w:tcPr>
            <w:tcW w:w="994" w:type="dxa"/>
            <w:tcBorders>
              <w:left w:val="single" w:sz="2" w:space="0" w:color="000000"/>
            </w:tcBorders>
          </w:tcPr>
          <w:p>
            <w:pPr>
              <w:pStyle w:val="TableParagraph"/>
              <w:spacing w:line="250" w:lineRule="exact" w:before="3"/>
              <w:ind w:left="72" w:right="58"/>
              <w:rPr>
                <w:sz w:val="21"/>
              </w:rPr>
            </w:pPr>
            <w:r>
              <w:rPr>
                <w:sz w:val="21"/>
              </w:rPr>
              <w:t>外排量</w:t>
            </w:r>
          </w:p>
        </w:tc>
        <w:tc>
          <w:tcPr>
            <w:tcW w:w="1699" w:type="dxa"/>
            <w:tcBorders>
              <w:right w:val="single" w:sz="4" w:space="0" w:color="000000"/>
            </w:tcBorders>
          </w:tcPr>
          <w:p>
            <w:pPr>
              <w:pStyle w:val="TableParagraph"/>
              <w:spacing w:line="236" w:lineRule="exact" w:before="17"/>
              <w:ind w:left="199" w:right="182"/>
              <w:rPr>
                <w:rFonts w:ascii="Times New Roman"/>
                <w:sz w:val="21"/>
              </w:rPr>
            </w:pPr>
            <w:r>
              <w:rPr>
                <w:rFonts w:ascii="Times New Roman"/>
                <w:sz w:val="21"/>
              </w:rPr>
              <w:t>9.12</w:t>
            </w:r>
          </w:p>
        </w:tc>
        <w:tc>
          <w:tcPr>
            <w:tcW w:w="1714" w:type="dxa"/>
            <w:tcBorders>
              <w:left w:val="single" w:sz="4" w:space="0" w:color="000000"/>
              <w:right w:val="single" w:sz="4" w:space="0" w:color="000000"/>
            </w:tcBorders>
          </w:tcPr>
          <w:p>
            <w:pPr>
              <w:pStyle w:val="TableParagraph"/>
              <w:spacing w:line="236" w:lineRule="exact" w:before="17"/>
              <w:ind w:right="657"/>
              <w:jc w:val="right"/>
              <w:rPr>
                <w:rFonts w:ascii="Times New Roman"/>
                <w:sz w:val="21"/>
              </w:rPr>
            </w:pPr>
            <w:r>
              <w:rPr>
                <w:rFonts w:ascii="Times New Roman"/>
                <w:sz w:val="21"/>
              </w:rPr>
              <w:t>2.64</w:t>
            </w:r>
          </w:p>
        </w:tc>
        <w:tc>
          <w:tcPr>
            <w:tcW w:w="1560" w:type="dxa"/>
            <w:tcBorders>
              <w:left w:val="single" w:sz="4" w:space="0" w:color="000000"/>
              <w:right w:val="single" w:sz="4" w:space="0" w:color="000000"/>
            </w:tcBorders>
          </w:tcPr>
          <w:p>
            <w:pPr>
              <w:pStyle w:val="TableParagraph"/>
              <w:spacing w:line="236" w:lineRule="exact" w:before="17"/>
              <w:ind w:left="21" w:right="4"/>
              <w:rPr>
                <w:rFonts w:ascii="Times New Roman"/>
                <w:sz w:val="21"/>
              </w:rPr>
            </w:pPr>
            <w:r>
              <w:rPr>
                <w:rFonts w:ascii="Times New Roman"/>
                <w:sz w:val="21"/>
              </w:rPr>
              <w:t>11.76</w:t>
            </w:r>
          </w:p>
        </w:tc>
        <w:tc>
          <w:tcPr>
            <w:tcW w:w="1563" w:type="dxa"/>
            <w:tcBorders>
              <w:left w:val="single" w:sz="4" w:space="0" w:color="000000"/>
              <w:right w:val="single" w:sz="4" w:space="0" w:color="000000"/>
            </w:tcBorders>
          </w:tcPr>
          <w:p>
            <w:pPr>
              <w:pStyle w:val="TableParagraph"/>
              <w:spacing w:line="236" w:lineRule="exact" w:before="17"/>
              <w:ind w:left="469" w:right="453"/>
              <w:rPr>
                <w:rFonts w:ascii="Times New Roman"/>
                <w:sz w:val="21"/>
              </w:rPr>
            </w:pPr>
            <w:r>
              <w:rPr>
                <w:rFonts w:ascii="Times New Roman"/>
                <w:sz w:val="21"/>
              </w:rPr>
              <w:t>+2.64</w:t>
            </w:r>
          </w:p>
        </w:tc>
      </w:tr>
      <w:tr>
        <w:trPr>
          <w:trHeight w:val="272" w:hRule="atLeast"/>
        </w:trPr>
        <w:tc>
          <w:tcPr>
            <w:tcW w:w="588" w:type="dxa"/>
            <w:vMerge/>
            <w:tcBorders>
              <w:top w:val="nil"/>
            </w:tcBorders>
          </w:tcPr>
          <w:p>
            <w:pPr>
              <w:rPr>
                <w:sz w:val="2"/>
                <w:szCs w:val="2"/>
              </w:rPr>
            </w:pPr>
          </w:p>
        </w:tc>
        <w:tc>
          <w:tcPr>
            <w:tcW w:w="967" w:type="dxa"/>
            <w:tcBorders>
              <w:right w:val="single" w:sz="2" w:space="0" w:color="000000"/>
            </w:tcBorders>
          </w:tcPr>
          <w:p>
            <w:pPr>
              <w:pStyle w:val="TableParagraph"/>
              <w:spacing w:line="252" w:lineRule="exact" w:before="1"/>
              <w:ind w:left="275"/>
              <w:jc w:val="left"/>
              <w:rPr>
                <w:sz w:val="21"/>
              </w:rPr>
            </w:pPr>
            <w:r>
              <w:rPr>
                <w:sz w:val="21"/>
              </w:rPr>
              <w:t>氨氮</w:t>
            </w:r>
          </w:p>
        </w:tc>
        <w:tc>
          <w:tcPr>
            <w:tcW w:w="994" w:type="dxa"/>
            <w:tcBorders>
              <w:left w:val="single" w:sz="2" w:space="0" w:color="000000"/>
            </w:tcBorders>
          </w:tcPr>
          <w:p>
            <w:pPr>
              <w:pStyle w:val="TableParagraph"/>
              <w:spacing w:line="252" w:lineRule="exact" w:before="1"/>
              <w:ind w:left="72" w:right="58"/>
              <w:rPr>
                <w:sz w:val="21"/>
              </w:rPr>
            </w:pPr>
            <w:r>
              <w:rPr>
                <w:sz w:val="21"/>
              </w:rPr>
              <w:t>纳管量</w:t>
            </w:r>
          </w:p>
        </w:tc>
        <w:tc>
          <w:tcPr>
            <w:tcW w:w="1699" w:type="dxa"/>
            <w:tcBorders>
              <w:right w:val="single" w:sz="4" w:space="0" w:color="000000"/>
            </w:tcBorders>
          </w:tcPr>
          <w:p>
            <w:pPr>
              <w:pStyle w:val="TableParagraph"/>
              <w:spacing w:line="236" w:lineRule="exact" w:before="17"/>
              <w:ind w:left="199" w:right="182"/>
              <w:rPr>
                <w:rFonts w:ascii="Times New Roman"/>
                <w:sz w:val="21"/>
              </w:rPr>
            </w:pPr>
            <w:r>
              <w:rPr>
                <w:rFonts w:ascii="Times New Roman"/>
                <w:sz w:val="21"/>
              </w:rPr>
              <w:t>3.990</w:t>
            </w:r>
          </w:p>
        </w:tc>
        <w:tc>
          <w:tcPr>
            <w:tcW w:w="1714" w:type="dxa"/>
            <w:tcBorders>
              <w:left w:val="single" w:sz="4" w:space="0" w:color="000000"/>
              <w:right w:val="single" w:sz="4" w:space="0" w:color="000000"/>
            </w:tcBorders>
          </w:tcPr>
          <w:p>
            <w:pPr>
              <w:pStyle w:val="TableParagraph"/>
              <w:spacing w:line="236" w:lineRule="exact" w:before="17"/>
              <w:ind w:right="604"/>
              <w:jc w:val="right"/>
              <w:rPr>
                <w:rFonts w:ascii="Times New Roman"/>
                <w:sz w:val="21"/>
              </w:rPr>
            </w:pPr>
            <w:r>
              <w:rPr>
                <w:rFonts w:ascii="Times New Roman"/>
                <w:sz w:val="21"/>
              </w:rPr>
              <w:t>1.155</w:t>
            </w:r>
          </w:p>
        </w:tc>
        <w:tc>
          <w:tcPr>
            <w:tcW w:w="1560" w:type="dxa"/>
            <w:tcBorders>
              <w:left w:val="single" w:sz="4" w:space="0" w:color="000000"/>
              <w:right w:val="single" w:sz="4" w:space="0" w:color="000000"/>
            </w:tcBorders>
          </w:tcPr>
          <w:p>
            <w:pPr>
              <w:pStyle w:val="TableParagraph"/>
              <w:spacing w:line="236" w:lineRule="exact" w:before="17"/>
              <w:ind w:left="21" w:right="6"/>
              <w:rPr>
                <w:rFonts w:ascii="Times New Roman"/>
                <w:sz w:val="21"/>
              </w:rPr>
            </w:pPr>
            <w:r>
              <w:rPr>
                <w:rFonts w:ascii="Times New Roman"/>
                <w:sz w:val="21"/>
              </w:rPr>
              <w:t>5.145</w:t>
            </w:r>
          </w:p>
        </w:tc>
        <w:tc>
          <w:tcPr>
            <w:tcW w:w="1563" w:type="dxa"/>
            <w:tcBorders>
              <w:left w:val="single" w:sz="4" w:space="0" w:color="000000"/>
              <w:right w:val="single" w:sz="4" w:space="0" w:color="000000"/>
            </w:tcBorders>
          </w:tcPr>
          <w:p>
            <w:pPr>
              <w:pStyle w:val="TableParagraph"/>
              <w:spacing w:line="236" w:lineRule="exact" w:before="17"/>
              <w:ind w:right="470"/>
              <w:jc w:val="right"/>
              <w:rPr>
                <w:rFonts w:ascii="Times New Roman"/>
                <w:sz w:val="21"/>
              </w:rPr>
            </w:pPr>
            <w:r>
              <w:rPr>
                <w:rFonts w:ascii="Times New Roman"/>
                <w:sz w:val="21"/>
              </w:rPr>
              <w:t>+1.155</w:t>
            </w:r>
          </w:p>
        </w:tc>
      </w:tr>
    </w:tbl>
    <w:p>
      <w:pPr>
        <w:spacing w:after="0" w:line="236" w:lineRule="exact"/>
        <w:jc w:val="right"/>
        <w:rPr>
          <w:rFonts w:ascii="Times New Roman"/>
          <w:sz w:val="21"/>
        </w:rPr>
        <w:sectPr>
          <w:pgSz w:w="11910" w:h="16850"/>
          <w:pgMar w:header="730" w:footer="673" w:top="960" w:bottom="880" w:left="1160" w:right="1080"/>
        </w:sectPr>
      </w:pPr>
    </w:p>
    <w:p>
      <w:pPr>
        <w:pStyle w:val="BodyText"/>
        <w:rPr>
          <w:rFonts w:ascii="Times New Roman"/>
          <w:b/>
          <w:sz w:val="20"/>
        </w:rPr>
      </w:pPr>
    </w:p>
    <w:p>
      <w:pPr>
        <w:pStyle w:val="BodyText"/>
        <w:spacing w:before="4"/>
        <w:rPr>
          <w:rFonts w:ascii="Times New Roman"/>
          <w:b/>
          <w:sz w:val="18"/>
        </w:rPr>
      </w:pPr>
    </w:p>
    <w:tbl>
      <w:tblPr>
        <w:tblW w:w="0" w:type="auto"/>
        <w:jc w:val="left"/>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88"/>
        <w:gridCol w:w="967"/>
        <w:gridCol w:w="994"/>
        <w:gridCol w:w="1699"/>
        <w:gridCol w:w="1714"/>
        <w:gridCol w:w="1560"/>
        <w:gridCol w:w="1563"/>
      </w:tblGrid>
      <w:tr>
        <w:trPr>
          <w:trHeight w:val="544" w:hRule="atLeast"/>
        </w:trPr>
        <w:tc>
          <w:tcPr>
            <w:tcW w:w="2549" w:type="dxa"/>
            <w:gridSpan w:val="3"/>
          </w:tcPr>
          <w:p>
            <w:pPr>
              <w:pStyle w:val="TableParagraph"/>
              <w:spacing w:before="138"/>
              <w:ind w:left="746"/>
              <w:jc w:val="left"/>
              <w:rPr>
                <w:b/>
                <w:sz w:val="21"/>
              </w:rPr>
            </w:pPr>
            <w:r>
              <w:rPr>
                <w:b/>
                <w:sz w:val="21"/>
              </w:rPr>
              <w:t>污染源名称</w:t>
            </w:r>
          </w:p>
        </w:tc>
        <w:tc>
          <w:tcPr>
            <w:tcW w:w="1699" w:type="dxa"/>
            <w:tcBorders>
              <w:right w:val="single" w:sz="4" w:space="0" w:color="000000"/>
            </w:tcBorders>
          </w:tcPr>
          <w:p>
            <w:pPr>
              <w:pStyle w:val="TableParagraph"/>
              <w:spacing w:before="1"/>
              <w:ind w:left="7" w:right="-15"/>
              <w:rPr>
                <w:b/>
                <w:sz w:val="21"/>
              </w:rPr>
            </w:pPr>
            <w:r>
              <w:rPr>
                <w:b/>
                <w:spacing w:val="-2"/>
                <w:sz w:val="21"/>
              </w:rPr>
              <w:t>现有企业核定总量</w:t>
            </w:r>
          </w:p>
          <w:p>
            <w:pPr>
              <w:pStyle w:val="TableParagraph"/>
              <w:spacing w:line="250" w:lineRule="exact" w:before="5"/>
              <w:ind w:left="199" w:right="182"/>
              <w:rPr>
                <w:b/>
                <w:sz w:val="21"/>
              </w:rPr>
            </w:pPr>
            <w:r>
              <w:rPr>
                <w:b/>
                <w:sz w:val="21"/>
              </w:rPr>
              <w:t>指标（西区）</w:t>
            </w:r>
          </w:p>
        </w:tc>
        <w:tc>
          <w:tcPr>
            <w:tcW w:w="1714" w:type="dxa"/>
            <w:tcBorders>
              <w:left w:val="single" w:sz="4" w:space="0" w:color="000000"/>
              <w:right w:val="single" w:sz="4" w:space="0" w:color="000000"/>
            </w:tcBorders>
          </w:tcPr>
          <w:p>
            <w:pPr>
              <w:pStyle w:val="TableParagraph"/>
              <w:spacing w:before="1"/>
              <w:ind w:left="14" w:right="-15"/>
              <w:rPr>
                <w:b/>
                <w:sz w:val="21"/>
              </w:rPr>
            </w:pPr>
            <w:r>
              <w:rPr>
                <w:b/>
                <w:sz w:val="21"/>
              </w:rPr>
              <w:t>本次项目达产排放</w:t>
            </w:r>
          </w:p>
          <w:p>
            <w:pPr>
              <w:pStyle w:val="TableParagraph"/>
              <w:spacing w:line="250" w:lineRule="exact" w:before="5"/>
              <w:ind w:left="312" w:right="297"/>
              <w:rPr>
                <w:b/>
                <w:sz w:val="21"/>
              </w:rPr>
            </w:pPr>
            <w:r>
              <w:rPr>
                <w:b/>
                <w:sz w:val="21"/>
              </w:rPr>
              <w:t>量（东区）</w:t>
            </w:r>
          </w:p>
        </w:tc>
        <w:tc>
          <w:tcPr>
            <w:tcW w:w="1560" w:type="dxa"/>
            <w:tcBorders>
              <w:left w:val="single" w:sz="4" w:space="0" w:color="000000"/>
              <w:right w:val="single" w:sz="4" w:space="0" w:color="000000"/>
            </w:tcBorders>
          </w:tcPr>
          <w:p>
            <w:pPr>
              <w:pStyle w:val="TableParagraph"/>
              <w:spacing w:before="1"/>
              <w:ind w:left="21" w:right="6"/>
              <w:rPr>
                <w:b/>
                <w:sz w:val="21"/>
              </w:rPr>
            </w:pPr>
            <w:r>
              <w:rPr>
                <w:b/>
                <w:sz w:val="21"/>
              </w:rPr>
              <w:t>项目实施后全厂</w:t>
            </w:r>
          </w:p>
          <w:p>
            <w:pPr>
              <w:pStyle w:val="TableParagraph"/>
              <w:spacing w:line="250" w:lineRule="exact" w:before="5"/>
              <w:ind w:left="21" w:right="6"/>
              <w:rPr>
                <w:b/>
                <w:sz w:val="21"/>
              </w:rPr>
            </w:pPr>
            <w:r>
              <w:rPr>
                <w:b/>
                <w:sz w:val="21"/>
              </w:rPr>
              <w:t>总量指标</w:t>
            </w:r>
          </w:p>
        </w:tc>
        <w:tc>
          <w:tcPr>
            <w:tcW w:w="1563" w:type="dxa"/>
            <w:tcBorders>
              <w:left w:val="single" w:sz="4" w:space="0" w:color="000000"/>
              <w:right w:val="single" w:sz="4" w:space="0" w:color="000000"/>
            </w:tcBorders>
          </w:tcPr>
          <w:p>
            <w:pPr>
              <w:pStyle w:val="TableParagraph"/>
              <w:spacing w:before="1"/>
              <w:ind w:left="45"/>
              <w:jc w:val="left"/>
              <w:rPr>
                <w:b/>
                <w:sz w:val="21"/>
              </w:rPr>
            </w:pPr>
            <w:r>
              <w:rPr>
                <w:b/>
                <w:sz w:val="21"/>
              </w:rPr>
              <w:t>项目实施前后控</w:t>
            </w:r>
          </w:p>
          <w:p>
            <w:pPr>
              <w:pStyle w:val="TableParagraph"/>
              <w:spacing w:line="250" w:lineRule="exact" w:before="5"/>
              <w:ind w:left="151"/>
              <w:jc w:val="left"/>
              <w:rPr>
                <w:b/>
                <w:sz w:val="21"/>
              </w:rPr>
            </w:pPr>
            <w:r>
              <w:rPr>
                <w:b/>
                <w:sz w:val="21"/>
              </w:rPr>
              <w:t>制指标增减量</w:t>
            </w:r>
          </w:p>
        </w:tc>
      </w:tr>
      <w:tr>
        <w:trPr>
          <w:trHeight w:val="272" w:hRule="atLeast"/>
        </w:trPr>
        <w:tc>
          <w:tcPr>
            <w:tcW w:w="588" w:type="dxa"/>
          </w:tcPr>
          <w:p>
            <w:pPr>
              <w:pStyle w:val="TableParagraph"/>
              <w:jc w:val="left"/>
              <w:rPr>
                <w:rFonts w:ascii="Times New Roman"/>
                <w:sz w:val="20"/>
              </w:rPr>
            </w:pPr>
          </w:p>
        </w:tc>
        <w:tc>
          <w:tcPr>
            <w:tcW w:w="967" w:type="dxa"/>
            <w:tcBorders>
              <w:right w:val="single" w:sz="2" w:space="0" w:color="000000"/>
            </w:tcBorders>
          </w:tcPr>
          <w:p>
            <w:pPr>
              <w:pStyle w:val="TableParagraph"/>
              <w:jc w:val="left"/>
              <w:rPr>
                <w:rFonts w:ascii="Times New Roman"/>
                <w:sz w:val="20"/>
              </w:rPr>
            </w:pPr>
          </w:p>
        </w:tc>
        <w:tc>
          <w:tcPr>
            <w:tcW w:w="994" w:type="dxa"/>
            <w:tcBorders>
              <w:left w:val="single" w:sz="2" w:space="0" w:color="000000"/>
            </w:tcBorders>
          </w:tcPr>
          <w:p>
            <w:pPr>
              <w:pStyle w:val="TableParagraph"/>
              <w:spacing w:line="252" w:lineRule="exact" w:before="1"/>
              <w:ind w:left="182"/>
              <w:jc w:val="left"/>
              <w:rPr>
                <w:sz w:val="21"/>
              </w:rPr>
            </w:pPr>
            <w:r>
              <w:rPr>
                <w:sz w:val="21"/>
              </w:rPr>
              <w:t>外排量</w:t>
            </w:r>
          </w:p>
        </w:tc>
        <w:tc>
          <w:tcPr>
            <w:tcW w:w="1699" w:type="dxa"/>
            <w:tcBorders>
              <w:right w:val="single" w:sz="4" w:space="0" w:color="000000"/>
            </w:tcBorders>
          </w:tcPr>
          <w:p>
            <w:pPr>
              <w:pStyle w:val="TableParagraph"/>
              <w:spacing w:line="238" w:lineRule="exact" w:before="15"/>
              <w:ind w:left="614"/>
              <w:jc w:val="left"/>
              <w:rPr>
                <w:rFonts w:ascii="Times New Roman"/>
                <w:sz w:val="21"/>
              </w:rPr>
            </w:pPr>
            <w:r>
              <w:rPr>
                <w:rFonts w:ascii="Times New Roman"/>
                <w:sz w:val="21"/>
              </w:rPr>
              <w:t>1.710</w:t>
            </w:r>
          </w:p>
        </w:tc>
        <w:tc>
          <w:tcPr>
            <w:tcW w:w="1714" w:type="dxa"/>
            <w:tcBorders>
              <w:left w:val="single" w:sz="4" w:space="0" w:color="000000"/>
              <w:right w:val="single" w:sz="4" w:space="0" w:color="000000"/>
            </w:tcBorders>
          </w:tcPr>
          <w:p>
            <w:pPr>
              <w:pStyle w:val="TableParagraph"/>
              <w:spacing w:line="238" w:lineRule="exact" w:before="15"/>
              <w:ind w:right="604"/>
              <w:jc w:val="right"/>
              <w:rPr>
                <w:rFonts w:ascii="Times New Roman"/>
                <w:sz w:val="21"/>
              </w:rPr>
            </w:pPr>
            <w:r>
              <w:rPr>
                <w:rFonts w:ascii="Times New Roman"/>
                <w:sz w:val="21"/>
              </w:rPr>
              <w:t>0.495</w:t>
            </w:r>
          </w:p>
        </w:tc>
        <w:tc>
          <w:tcPr>
            <w:tcW w:w="1560" w:type="dxa"/>
            <w:tcBorders>
              <w:left w:val="single" w:sz="4" w:space="0" w:color="000000"/>
              <w:right w:val="single" w:sz="4" w:space="0" w:color="000000"/>
            </w:tcBorders>
          </w:tcPr>
          <w:p>
            <w:pPr>
              <w:pStyle w:val="TableParagraph"/>
              <w:spacing w:line="238" w:lineRule="exact" w:before="15"/>
              <w:ind w:right="527"/>
              <w:jc w:val="right"/>
              <w:rPr>
                <w:rFonts w:ascii="Times New Roman"/>
                <w:sz w:val="21"/>
              </w:rPr>
            </w:pPr>
            <w:r>
              <w:rPr>
                <w:rFonts w:ascii="Times New Roman"/>
                <w:sz w:val="21"/>
              </w:rPr>
              <w:t>2.205</w:t>
            </w:r>
          </w:p>
        </w:tc>
        <w:tc>
          <w:tcPr>
            <w:tcW w:w="1563" w:type="dxa"/>
            <w:tcBorders>
              <w:left w:val="single" w:sz="4" w:space="0" w:color="000000"/>
              <w:right w:val="single" w:sz="4" w:space="0" w:color="000000"/>
            </w:tcBorders>
          </w:tcPr>
          <w:p>
            <w:pPr>
              <w:pStyle w:val="TableParagraph"/>
              <w:spacing w:line="238" w:lineRule="exact" w:before="15"/>
              <w:ind w:left="469" w:right="453"/>
              <w:rPr>
                <w:rFonts w:ascii="Times New Roman"/>
                <w:sz w:val="21"/>
              </w:rPr>
            </w:pPr>
            <w:r>
              <w:rPr>
                <w:rFonts w:ascii="Times New Roman"/>
                <w:sz w:val="21"/>
              </w:rPr>
              <w:t>+0.495</w:t>
            </w:r>
          </w:p>
        </w:tc>
      </w:tr>
      <w:tr>
        <w:trPr>
          <w:trHeight w:val="241" w:hRule="atLeast"/>
        </w:trPr>
        <w:tc>
          <w:tcPr>
            <w:tcW w:w="588" w:type="dxa"/>
            <w:vMerge w:val="restart"/>
          </w:tcPr>
          <w:p>
            <w:pPr>
              <w:pStyle w:val="TableParagraph"/>
              <w:spacing w:before="4"/>
              <w:jc w:val="left"/>
              <w:rPr>
                <w:rFonts w:ascii="Times New Roman"/>
                <w:b/>
                <w:sz w:val="22"/>
              </w:rPr>
            </w:pPr>
          </w:p>
          <w:p>
            <w:pPr>
              <w:pStyle w:val="TableParagraph"/>
              <w:ind w:left="83"/>
              <w:jc w:val="left"/>
              <w:rPr>
                <w:sz w:val="21"/>
              </w:rPr>
            </w:pPr>
            <w:r>
              <w:rPr>
                <w:sz w:val="21"/>
              </w:rPr>
              <w:t>废气</w:t>
            </w:r>
          </w:p>
        </w:tc>
        <w:tc>
          <w:tcPr>
            <w:tcW w:w="1961" w:type="dxa"/>
            <w:gridSpan w:val="2"/>
          </w:tcPr>
          <w:p>
            <w:pPr>
              <w:pStyle w:val="TableParagraph"/>
              <w:spacing w:line="221" w:lineRule="exact"/>
              <w:ind w:left="532" w:right="516"/>
              <w:rPr>
                <w:rFonts w:ascii="Times New Roman"/>
                <w:sz w:val="21"/>
              </w:rPr>
            </w:pPr>
            <w:r>
              <w:rPr>
                <w:rFonts w:ascii="Times New Roman"/>
                <w:sz w:val="21"/>
              </w:rPr>
              <w:t>VOCs</w:t>
            </w:r>
          </w:p>
        </w:tc>
        <w:tc>
          <w:tcPr>
            <w:tcW w:w="1699" w:type="dxa"/>
            <w:tcBorders>
              <w:right w:val="single" w:sz="4" w:space="0" w:color="000000"/>
            </w:tcBorders>
          </w:tcPr>
          <w:p>
            <w:pPr>
              <w:pStyle w:val="TableParagraph"/>
              <w:spacing w:line="221" w:lineRule="exact"/>
              <w:ind w:left="614"/>
              <w:jc w:val="left"/>
              <w:rPr>
                <w:rFonts w:ascii="Times New Roman"/>
                <w:sz w:val="21"/>
              </w:rPr>
            </w:pPr>
            <w:r>
              <w:rPr>
                <w:rFonts w:ascii="Times New Roman"/>
                <w:sz w:val="21"/>
              </w:rPr>
              <w:t>14.51</w:t>
            </w:r>
          </w:p>
        </w:tc>
        <w:tc>
          <w:tcPr>
            <w:tcW w:w="1714" w:type="dxa"/>
            <w:tcBorders>
              <w:left w:val="single" w:sz="4" w:space="0" w:color="000000"/>
              <w:right w:val="single" w:sz="4" w:space="0" w:color="000000"/>
            </w:tcBorders>
          </w:tcPr>
          <w:p>
            <w:pPr>
              <w:pStyle w:val="TableParagraph"/>
              <w:spacing w:line="221" w:lineRule="exact"/>
              <w:ind w:right="657"/>
              <w:jc w:val="right"/>
              <w:rPr>
                <w:rFonts w:ascii="Times New Roman"/>
                <w:sz w:val="21"/>
              </w:rPr>
            </w:pPr>
            <w:r>
              <w:rPr>
                <w:rFonts w:ascii="Times New Roman"/>
                <w:sz w:val="21"/>
              </w:rPr>
              <w:t>0.34</w:t>
            </w:r>
          </w:p>
        </w:tc>
        <w:tc>
          <w:tcPr>
            <w:tcW w:w="1560" w:type="dxa"/>
            <w:tcBorders>
              <w:left w:val="single" w:sz="4" w:space="0" w:color="000000"/>
              <w:right w:val="single" w:sz="4" w:space="0" w:color="000000"/>
            </w:tcBorders>
          </w:tcPr>
          <w:p>
            <w:pPr>
              <w:pStyle w:val="TableParagraph"/>
              <w:spacing w:line="221" w:lineRule="exact"/>
              <w:ind w:right="527"/>
              <w:jc w:val="right"/>
              <w:rPr>
                <w:rFonts w:ascii="Times New Roman"/>
                <w:sz w:val="21"/>
              </w:rPr>
            </w:pPr>
            <w:r>
              <w:rPr>
                <w:rFonts w:ascii="Times New Roman"/>
                <w:sz w:val="21"/>
              </w:rPr>
              <w:t>14.85</w:t>
            </w:r>
          </w:p>
        </w:tc>
        <w:tc>
          <w:tcPr>
            <w:tcW w:w="1563" w:type="dxa"/>
            <w:tcBorders>
              <w:left w:val="single" w:sz="4" w:space="0" w:color="000000"/>
              <w:right w:val="single" w:sz="4" w:space="0" w:color="000000"/>
            </w:tcBorders>
          </w:tcPr>
          <w:p>
            <w:pPr>
              <w:pStyle w:val="TableParagraph"/>
              <w:spacing w:line="221" w:lineRule="exact"/>
              <w:ind w:left="468" w:right="453"/>
              <w:rPr>
                <w:rFonts w:ascii="Times New Roman"/>
                <w:sz w:val="21"/>
              </w:rPr>
            </w:pPr>
            <w:r>
              <w:rPr>
                <w:rFonts w:ascii="Times New Roman"/>
                <w:sz w:val="21"/>
              </w:rPr>
              <w:t>+0.34</w:t>
            </w:r>
          </w:p>
        </w:tc>
      </w:tr>
      <w:tr>
        <w:trPr>
          <w:trHeight w:val="270" w:hRule="atLeast"/>
        </w:trPr>
        <w:tc>
          <w:tcPr>
            <w:tcW w:w="588" w:type="dxa"/>
            <w:vMerge/>
            <w:tcBorders>
              <w:top w:val="nil"/>
            </w:tcBorders>
          </w:tcPr>
          <w:p>
            <w:pPr>
              <w:rPr>
                <w:sz w:val="2"/>
                <w:szCs w:val="2"/>
              </w:rPr>
            </w:pPr>
          </w:p>
        </w:tc>
        <w:tc>
          <w:tcPr>
            <w:tcW w:w="1961" w:type="dxa"/>
            <w:gridSpan w:val="2"/>
          </w:tcPr>
          <w:p>
            <w:pPr>
              <w:pStyle w:val="TableParagraph"/>
              <w:spacing w:line="250" w:lineRule="exact" w:before="1"/>
              <w:ind w:left="453"/>
              <w:jc w:val="left"/>
              <w:rPr>
                <w:sz w:val="21"/>
              </w:rPr>
            </w:pPr>
            <w:r>
              <w:rPr>
                <w:sz w:val="21"/>
              </w:rPr>
              <w:t>工业烟粉尘</w:t>
            </w:r>
          </w:p>
        </w:tc>
        <w:tc>
          <w:tcPr>
            <w:tcW w:w="1699" w:type="dxa"/>
            <w:tcBorders>
              <w:right w:val="single" w:sz="4" w:space="0" w:color="000000"/>
            </w:tcBorders>
          </w:tcPr>
          <w:p>
            <w:pPr>
              <w:pStyle w:val="TableParagraph"/>
              <w:spacing w:line="236" w:lineRule="exact" w:before="15"/>
              <w:ind w:left="13"/>
              <w:rPr>
                <w:rFonts w:ascii="Times New Roman"/>
                <w:sz w:val="21"/>
              </w:rPr>
            </w:pPr>
            <w:r>
              <w:rPr>
                <w:rFonts w:ascii="Times New Roman"/>
                <w:w w:val="100"/>
                <w:sz w:val="21"/>
              </w:rPr>
              <w:t>/</w:t>
            </w:r>
          </w:p>
        </w:tc>
        <w:tc>
          <w:tcPr>
            <w:tcW w:w="1714" w:type="dxa"/>
            <w:tcBorders>
              <w:left w:val="single" w:sz="4" w:space="0" w:color="000000"/>
              <w:right w:val="single" w:sz="4" w:space="0" w:color="000000"/>
            </w:tcBorders>
          </w:tcPr>
          <w:p>
            <w:pPr>
              <w:pStyle w:val="TableParagraph"/>
              <w:spacing w:line="236" w:lineRule="exact" w:before="15"/>
              <w:ind w:left="312" w:right="297"/>
              <w:rPr>
                <w:rFonts w:ascii="Times New Roman"/>
                <w:sz w:val="21"/>
              </w:rPr>
            </w:pPr>
            <w:r>
              <w:rPr>
                <w:rFonts w:ascii="Times New Roman"/>
                <w:sz w:val="21"/>
              </w:rPr>
              <w:t>0.2</w:t>
            </w:r>
          </w:p>
        </w:tc>
        <w:tc>
          <w:tcPr>
            <w:tcW w:w="1560" w:type="dxa"/>
            <w:tcBorders>
              <w:left w:val="single" w:sz="4" w:space="0" w:color="000000"/>
              <w:right w:val="single" w:sz="4" w:space="0" w:color="000000"/>
            </w:tcBorders>
          </w:tcPr>
          <w:p>
            <w:pPr>
              <w:pStyle w:val="TableParagraph"/>
              <w:spacing w:line="236" w:lineRule="exact" w:before="15"/>
              <w:ind w:right="633"/>
              <w:jc w:val="right"/>
              <w:rPr>
                <w:rFonts w:ascii="Times New Roman"/>
                <w:sz w:val="21"/>
              </w:rPr>
            </w:pPr>
            <w:r>
              <w:rPr>
                <w:rFonts w:ascii="Times New Roman"/>
                <w:sz w:val="21"/>
              </w:rPr>
              <w:t>0.2</w:t>
            </w:r>
          </w:p>
        </w:tc>
        <w:tc>
          <w:tcPr>
            <w:tcW w:w="1563" w:type="dxa"/>
            <w:tcBorders>
              <w:left w:val="single" w:sz="4" w:space="0" w:color="000000"/>
              <w:right w:val="single" w:sz="4" w:space="0" w:color="000000"/>
            </w:tcBorders>
          </w:tcPr>
          <w:p>
            <w:pPr>
              <w:pStyle w:val="TableParagraph"/>
              <w:spacing w:line="236" w:lineRule="exact" w:before="15"/>
              <w:ind w:left="469" w:right="451"/>
              <w:rPr>
                <w:rFonts w:ascii="Times New Roman"/>
                <w:sz w:val="21"/>
              </w:rPr>
            </w:pPr>
            <w:r>
              <w:rPr>
                <w:rFonts w:ascii="Times New Roman"/>
                <w:sz w:val="21"/>
              </w:rPr>
              <w:t>+0.2</w:t>
            </w:r>
          </w:p>
        </w:tc>
      </w:tr>
      <w:tr>
        <w:trPr>
          <w:trHeight w:val="241" w:hRule="atLeast"/>
        </w:trPr>
        <w:tc>
          <w:tcPr>
            <w:tcW w:w="588" w:type="dxa"/>
            <w:vMerge/>
            <w:tcBorders>
              <w:top w:val="nil"/>
            </w:tcBorders>
          </w:tcPr>
          <w:p>
            <w:pPr>
              <w:rPr>
                <w:sz w:val="2"/>
                <w:szCs w:val="2"/>
              </w:rPr>
            </w:pPr>
          </w:p>
        </w:tc>
        <w:tc>
          <w:tcPr>
            <w:tcW w:w="1961" w:type="dxa"/>
            <w:gridSpan w:val="2"/>
          </w:tcPr>
          <w:p>
            <w:pPr>
              <w:pStyle w:val="TableParagraph"/>
              <w:spacing w:line="221" w:lineRule="exact"/>
              <w:ind w:left="532" w:right="518"/>
              <w:rPr>
                <w:rFonts w:ascii="Times New Roman"/>
                <w:sz w:val="21"/>
              </w:rPr>
            </w:pPr>
            <w:r>
              <w:rPr>
                <w:rFonts w:ascii="Times New Roman"/>
                <w:sz w:val="21"/>
              </w:rPr>
              <w:t>NOx</w:t>
            </w:r>
          </w:p>
        </w:tc>
        <w:tc>
          <w:tcPr>
            <w:tcW w:w="1699" w:type="dxa"/>
            <w:tcBorders>
              <w:right w:val="single" w:sz="4" w:space="0" w:color="000000"/>
            </w:tcBorders>
          </w:tcPr>
          <w:p>
            <w:pPr>
              <w:pStyle w:val="TableParagraph"/>
              <w:spacing w:line="221" w:lineRule="exact"/>
              <w:ind w:left="667"/>
              <w:jc w:val="left"/>
              <w:rPr>
                <w:rFonts w:ascii="Times New Roman"/>
                <w:sz w:val="21"/>
              </w:rPr>
            </w:pPr>
            <w:r>
              <w:rPr>
                <w:rFonts w:ascii="Times New Roman"/>
                <w:sz w:val="21"/>
              </w:rPr>
              <w:t>7.46</w:t>
            </w:r>
          </w:p>
        </w:tc>
        <w:tc>
          <w:tcPr>
            <w:tcW w:w="1714" w:type="dxa"/>
            <w:tcBorders>
              <w:left w:val="single" w:sz="4" w:space="0" w:color="000000"/>
              <w:right w:val="single" w:sz="4" w:space="0" w:color="000000"/>
            </w:tcBorders>
          </w:tcPr>
          <w:p>
            <w:pPr>
              <w:pStyle w:val="TableParagraph"/>
              <w:spacing w:line="221" w:lineRule="exact"/>
              <w:ind w:left="15"/>
              <w:rPr>
                <w:rFonts w:ascii="Times New Roman"/>
                <w:sz w:val="21"/>
              </w:rPr>
            </w:pPr>
            <w:r>
              <w:rPr>
                <w:rFonts w:ascii="Times New Roman"/>
                <w:w w:val="100"/>
                <w:sz w:val="21"/>
              </w:rPr>
              <w:t>0</w:t>
            </w:r>
          </w:p>
        </w:tc>
        <w:tc>
          <w:tcPr>
            <w:tcW w:w="1560" w:type="dxa"/>
            <w:tcBorders>
              <w:left w:val="single" w:sz="4" w:space="0" w:color="000000"/>
              <w:right w:val="single" w:sz="4" w:space="0" w:color="000000"/>
            </w:tcBorders>
          </w:tcPr>
          <w:p>
            <w:pPr>
              <w:pStyle w:val="TableParagraph"/>
              <w:spacing w:line="221" w:lineRule="exact"/>
              <w:ind w:right="580"/>
              <w:jc w:val="right"/>
              <w:rPr>
                <w:rFonts w:ascii="Times New Roman"/>
                <w:sz w:val="21"/>
              </w:rPr>
            </w:pPr>
            <w:r>
              <w:rPr>
                <w:rFonts w:ascii="Times New Roman"/>
                <w:sz w:val="21"/>
              </w:rPr>
              <w:t>7.46</w:t>
            </w:r>
          </w:p>
        </w:tc>
        <w:tc>
          <w:tcPr>
            <w:tcW w:w="1563" w:type="dxa"/>
            <w:tcBorders>
              <w:left w:val="single" w:sz="4" w:space="0" w:color="000000"/>
              <w:right w:val="single" w:sz="4" w:space="0" w:color="000000"/>
            </w:tcBorders>
          </w:tcPr>
          <w:p>
            <w:pPr>
              <w:pStyle w:val="TableParagraph"/>
              <w:spacing w:line="221" w:lineRule="exact"/>
              <w:ind w:left="13"/>
              <w:rPr>
                <w:rFonts w:ascii="Times New Roman"/>
                <w:sz w:val="21"/>
              </w:rPr>
            </w:pPr>
            <w:r>
              <w:rPr>
                <w:rFonts w:ascii="Times New Roman"/>
                <w:w w:val="100"/>
                <w:sz w:val="21"/>
              </w:rPr>
              <w:t>0</w:t>
            </w:r>
          </w:p>
        </w:tc>
      </w:tr>
    </w:tbl>
    <w:p>
      <w:pPr>
        <w:spacing w:before="122"/>
        <w:ind w:left="741" w:right="0" w:firstLine="0"/>
        <w:jc w:val="left"/>
        <w:rPr>
          <w:b/>
          <w:sz w:val="24"/>
        </w:rPr>
      </w:pPr>
      <w:r>
        <w:rPr>
          <w:rFonts w:ascii="Times New Roman" w:eastAsia="Times New Roman"/>
          <w:b/>
          <w:sz w:val="24"/>
        </w:rPr>
        <w:t>3</w:t>
      </w:r>
      <w:r>
        <w:rPr>
          <w:b/>
          <w:sz w:val="24"/>
        </w:rPr>
        <w:t>、总量平衡方案</w:t>
      </w:r>
    </w:p>
    <w:p>
      <w:pPr>
        <w:pStyle w:val="BodyText"/>
        <w:spacing w:before="161"/>
        <w:ind w:left="738"/>
      </w:pPr>
      <w:r>
        <w:rPr/>
        <w:t>本项目总量控制污染因子考核 </w:t>
      </w:r>
      <w:r>
        <w:rPr>
          <w:rFonts w:ascii="Times New Roman" w:eastAsia="Times New Roman"/>
        </w:rPr>
        <w:t>CODcr</w:t>
      </w:r>
      <w:r>
        <w:rPr/>
        <w:t>、氨氮、工业烟粉尘和 </w:t>
      </w:r>
      <w:r>
        <w:rPr>
          <w:rFonts w:ascii="Times New Roman" w:eastAsia="Times New Roman"/>
        </w:rPr>
        <w:t>VOCs</w:t>
      </w:r>
      <w:r>
        <w:rPr/>
        <w:t>。</w:t>
      </w:r>
    </w:p>
    <w:p>
      <w:pPr>
        <w:pStyle w:val="ListParagraph"/>
        <w:numPr>
          <w:ilvl w:val="2"/>
          <w:numId w:val="19"/>
        </w:numPr>
        <w:tabs>
          <w:tab w:pos="1340" w:val="left" w:leader="none"/>
        </w:tabs>
        <w:spacing w:line="240" w:lineRule="auto" w:before="160" w:after="0"/>
        <w:ind w:left="1339" w:right="0" w:hanging="602"/>
        <w:jc w:val="left"/>
        <w:rPr>
          <w:sz w:val="24"/>
        </w:rPr>
      </w:pPr>
      <w:r>
        <w:rPr>
          <w:sz w:val="24"/>
        </w:rPr>
        <w:t>废水</w:t>
      </w:r>
    </w:p>
    <w:p>
      <w:pPr>
        <w:pStyle w:val="BodyText"/>
        <w:spacing w:line="364" w:lineRule="auto" w:before="158"/>
        <w:ind w:left="258" w:right="332" w:firstLine="480"/>
        <w:jc w:val="both"/>
      </w:pPr>
      <w:r>
        <w:rPr/>
        <w:t>根据《浙江省建设项目主要污染物总量准入审核办法</w:t>
      </w:r>
      <w:r>
        <w:rPr>
          <w:rFonts w:ascii="Times New Roman" w:eastAsia="Times New Roman"/>
        </w:rPr>
        <w:t>(</w:t>
      </w:r>
      <w:r>
        <w:rPr/>
        <w:t>试行</w:t>
      </w:r>
      <w:r>
        <w:rPr>
          <w:rFonts w:ascii="Times New Roman" w:eastAsia="Times New Roman"/>
        </w:rPr>
        <w:t>)</w:t>
      </w:r>
      <w:r>
        <w:rPr>
          <w:spacing w:val="-25"/>
        </w:rPr>
        <w:t>》、《绍兴市建设项目环</w:t>
      </w:r>
      <w:r>
        <w:rPr>
          <w:spacing w:val="-8"/>
        </w:rPr>
        <w:t>评审批污染物排放总量削减替代制度》</w:t>
      </w:r>
      <w:r>
        <w:rPr>
          <w:spacing w:val="-15"/>
        </w:rPr>
        <w:t>、《关于进一步明确建设项目污染物排放总量指标</w:t>
      </w:r>
      <w:r>
        <w:rPr>
          <w:spacing w:val="-6"/>
        </w:rPr>
        <w:t>审核有关事项的通知》的要求，本项目属于化工行业，故新增指标总量与削减替代量比</w:t>
      </w:r>
      <w:r>
        <w:rPr/>
        <w:t>例如下：</w:t>
      </w:r>
      <w:r>
        <w:rPr>
          <w:rFonts w:ascii="Times New Roman" w:eastAsia="Times New Roman"/>
        </w:rPr>
        <w:t>CODcr </w:t>
      </w:r>
      <w:r>
        <w:rPr>
          <w:spacing w:val="-30"/>
        </w:rPr>
        <w:t>以 </w:t>
      </w:r>
      <w:r>
        <w:rPr>
          <w:rFonts w:ascii="Times New Roman" w:eastAsia="Times New Roman"/>
        </w:rPr>
        <w:t>1:1.2 </w:t>
      </w:r>
      <w:r>
        <w:rPr>
          <w:spacing w:val="-6"/>
        </w:rPr>
        <w:t>进行总量申购；氨氮以 </w:t>
      </w:r>
      <w:r>
        <w:rPr>
          <w:rFonts w:ascii="Times New Roman" w:eastAsia="Times New Roman"/>
        </w:rPr>
        <w:t>1:1.5 </w:t>
      </w:r>
      <w:r>
        <w:rPr/>
        <w:t>进行总量申购。</w:t>
      </w:r>
    </w:p>
    <w:p>
      <w:pPr>
        <w:pStyle w:val="ListParagraph"/>
        <w:numPr>
          <w:ilvl w:val="2"/>
          <w:numId w:val="19"/>
        </w:numPr>
        <w:tabs>
          <w:tab w:pos="1340" w:val="left" w:leader="none"/>
        </w:tabs>
        <w:spacing w:line="306" w:lineRule="exact" w:before="0" w:after="0"/>
        <w:ind w:left="1339" w:right="0" w:hanging="602"/>
        <w:jc w:val="left"/>
        <w:rPr>
          <w:sz w:val="24"/>
        </w:rPr>
      </w:pPr>
      <w:r>
        <w:rPr>
          <w:sz w:val="24"/>
        </w:rPr>
        <w:t>废气</w:t>
      </w:r>
    </w:p>
    <w:p>
      <w:pPr>
        <w:pStyle w:val="BodyText"/>
        <w:spacing w:line="364" w:lineRule="auto" w:before="161"/>
        <w:ind w:left="258" w:right="327" w:firstLine="480"/>
        <w:jc w:val="both"/>
      </w:pPr>
      <w:r>
        <w:rPr>
          <w:spacing w:val="4"/>
        </w:rPr>
        <w:t>①根据《关于印发</w:t>
      </w:r>
      <w:r>
        <w:rPr>
          <w:rFonts w:ascii="Times New Roman" w:hAnsi="Times New Roman" w:eastAsia="Times New Roman"/>
          <w:spacing w:val="4"/>
        </w:rPr>
        <w:t>&lt;</w:t>
      </w:r>
      <w:r>
        <w:rPr>
          <w:spacing w:val="2"/>
        </w:rPr>
        <w:t>建设项目主要污染物排放总量指标审核及管理暂行办法</w:t>
      </w:r>
      <w:r>
        <w:rPr>
          <w:rFonts w:ascii="Times New Roman" w:hAnsi="Times New Roman" w:eastAsia="Times New Roman"/>
          <w:spacing w:val="3"/>
        </w:rPr>
        <w:t>&gt;</w:t>
      </w:r>
      <w:r>
        <w:rPr>
          <w:spacing w:val="4"/>
        </w:rPr>
        <w:t>的通</w:t>
      </w:r>
      <w:r>
        <w:rPr>
          <w:spacing w:val="-31"/>
        </w:rPr>
        <w:t>知》、《关于印发</w:t>
      </w:r>
      <w:r>
        <w:rPr>
          <w:rFonts w:ascii="Times New Roman" w:hAnsi="Times New Roman" w:eastAsia="Times New Roman"/>
        </w:rPr>
        <w:t>&lt;</w:t>
      </w:r>
      <w:r>
        <w:rPr/>
        <w:t>浙江省建设项目主要污染物总量准入审核办法</w:t>
      </w:r>
      <w:r>
        <w:rPr>
          <w:rFonts w:ascii="Times New Roman" w:hAnsi="Times New Roman" w:eastAsia="Times New Roman"/>
        </w:rPr>
        <w:t>(</w:t>
      </w:r>
      <w:r>
        <w:rPr/>
        <w:t>试行</w:t>
      </w:r>
      <w:r>
        <w:rPr>
          <w:rFonts w:ascii="Times New Roman" w:hAnsi="Times New Roman" w:eastAsia="Times New Roman"/>
        </w:rPr>
        <w:t>)&gt;</w:t>
      </w:r>
      <w:r>
        <w:rPr/>
        <w:t>的通知》等文件</w:t>
      </w:r>
      <w:r>
        <w:rPr>
          <w:spacing w:val="-3"/>
        </w:rPr>
        <w:t>及上虞现行相关政策要求：项目新增工业烟粉尘以 </w:t>
      </w:r>
      <w:r>
        <w:rPr>
          <w:rFonts w:ascii="Times New Roman" w:hAnsi="Times New Roman" w:eastAsia="Times New Roman"/>
        </w:rPr>
        <w:t>1:2 </w:t>
      </w:r>
      <w:r>
        <w:rPr/>
        <w:t>进行区域调剂。</w:t>
      </w:r>
    </w:p>
    <w:p>
      <w:pPr>
        <w:pStyle w:val="BodyText"/>
        <w:spacing w:line="364" w:lineRule="auto"/>
        <w:ind w:left="258" w:right="327" w:firstLine="480"/>
        <w:jc w:val="both"/>
      </w:pPr>
      <w:r>
        <w:rPr>
          <w:spacing w:val="-10"/>
        </w:rPr>
        <w:t>②根据《浙江省“十四五”挥发性有机物综合治理方案</w:t>
      </w:r>
      <w:r>
        <w:rPr>
          <w:spacing w:val="-149"/>
        </w:rPr>
        <w:t>》</w:t>
      </w:r>
      <w:r>
        <w:rPr/>
        <w:t>（浙环发</w:t>
      </w:r>
      <w:r>
        <w:rPr>
          <w:rFonts w:ascii="Times New Roman" w:hAnsi="Times New Roman" w:eastAsia="Times New Roman"/>
          <w:spacing w:val="-1"/>
        </w:rPr>
        <w:t>[</w:t>
      </w:r>
      <w:r>
        <w:rPr>
          <w:rFonts w:ascii="Times New Roman" w:hAnsi="Times New Roman" w:eastAsia="Times New Roman"/>
        </w:rPr>
        <w:t>2021</w:t>
      </w:r>
      <w:r>
        <w:rPr>
          <w:rFonts w:ascii="Times New Roman" w:hAnsi="Times New Roman" w:eastAsia="Times New Roman"/>
          <w:spacing w:val="-1"/>
        </w:rPr>
        <w:t>]</w:t>
      </w:r>
      <w:r>
        <w:rPr>
          <w:rFonts w:ascii="Times New Roman" w:hAnsi="Times New Roman" w:eastAsia="Times New Roman"/>
        </w:rPr>
        <w:t>10 </w:t>
      </w:r>
      <w:r>
        <w:rPr/>
        <w:t>号</w:t>
      </w:r>
      <w:r>
        <w:rPr>
          <w:spacing w:val="-120"/>
        </w:rPr>
        <w:t>）</w:t>
      </w:r>
      <w:r>
        <w:rPr>
          <w:spacing w:val="-50"/>
        </w:rPr>
        <w:t>：“上</w:t>
      </w:r>
      <w:r>
        <w:rPr>
          <w:spacing w:val="-39"/>
        </w:rPr>
        <w:t>一年度环境空气质量达标的区域，对石化等行业的建设项目 </w:t>
      </w:r>
      <w:r>
        <w:rPr>
          <w:rFonts w:ascii="Times New Roman" w:hAnsi="Times New Roman" w:eastAsia="Times New Roman"/>
        </w:rPr>
        <w:t>VOCs </w:t>
      </w:r>
      <w:r>
        <w:rPr/>
        <w:t>排放量实行等量削</w:t>
      </w:r>
      <w:r>
        <w:rPr>
          <w:spacing w:val="-18"/>
        </w:rPr>
        <w:t>减”。根据《绍兴市 </w:t>
      </w:r>
      <w:r>
        <w:rPr>
          <w:rFonts w:ascii="Times New Roman" w:hAnsi="Times New Roman" w:eastAsia="Times New Roman"/>
        </w:rPr>
        <w:t>2020 </w:t>
      </w:r>
      <w:r>
        <w:rPr>
          <w:spacing w:val="-4"/>
        </w:rPr>
        <w:t>年环境状况公报》中上虞区 </w:t>
      </w:r>
      <w:r>
        <w:rPr>
          <w:rFonts w:ascii="Times New Roman" w:hAnsi="Times New Roman" w:eastAsia="Times New Roman"/>
        </w:rPr>
        <w:t>2020 </w:t>
      </w:r>
      <w:r>
        <w:rPr/>
        <w:t>年环境空气相关数据，上虞</w:t>
      </w:r>
      <w:r>
        <w:rPr>
          <w:spacing w:val="-8"/>
        </w:rPr>
        <w:t>区为达标区，故 </w:t>
      </w:r>
      <w:r>
        <w:rPr>
          <w:rFonts w:ascii="Times New Roman" w:hAnsi="Times New Roman" w:eastAsia="Times New Roman"/>
        </w:rPr>
        <w:t>VOCs </w:t>
      </w:r>
      <w:r>
        <w:rPr/>
        <w:t>排放量实行等量削减。</w:t>
      </w:r>
    </w:p>
    <w:p>
      <w:pPr>
        <w:pStyle w:val="Heading4"/>
        <w:spacing w:before="136" w:after="29"/>
        <w:ind w:left="3309"/>
        <w:jc w:val="both"/>
      </w:pPr>
      <w:r>
        <w:rPr/>
        <w:t>表 </w:t>
      </w:r>
      <w:r>
        <w:rPr>
          <w:rFonts w:ascii="Times New Roman" w:eastAsia="Times New Roman"/>
        </w:rPr>
        <w:t>4.7-3  </w:t>
      </w:r>
      <w:r>
        <w:rPr/>
        <w:t>项目总量平衡方案</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3"/>
        <w:gridCol w:w="1457"/>
        <w:gridCol w:w="896"/>
        <w:gridCol w:w="1469"/>
        <w:gridCol w:w="1285"/>
        <w:gridCol w:w="1277"/>
        <w:gridCol w:w="1988"/>
      </w:tblGrid>
      <w:tr>
        <w:trPr>
          <w:trHeight w:val="280" w:hRule="atLeast"/>
        </w:trPr>
        <w:tc>
          <w:tcPr>
            <w:tcW w:w="2170" w:type="dxa"/>
            <w:gridSpan w:val="2"/>
            <w:vMerge w:val="restart"/>
          </w:tcPr>
          <w:p>
            <w:pPr>
              <w:pStyle w:val="TableParagraph"/>
              <w:spacing w:before="147"/>
              <w:ind w:left="853" w:right="844"/>
              <w:rPr>
                <w:b/>
                <w:sz w:val="21"/>
              </w:rPr>
            </w:pPr>
            <w:r>
              <w:rPr>
                <w:b/>
                <w:sz w:val="21"/>
              </w:rPr>
              <w:t>项目</w:t>
            </w:r>
          </w:p>
        </w:tc>
        <w:tc>
          <w:tcPr>
            <w:tcW w:w="896" w:type="dxa"/>
            <w:vMerge w:val="restart"/>
          </w:tcPr>
          <w:p>
            <w:pPr>
              <w:pStyle w:val="TableParagraph"/>
              <w:spacing w:before="147"/>
              <w:ind w:left="236"/>
              <w:jc w:val="left"/>
              <w:rPr>
                <w:b/>
                <w:sz w:val="21"/>
              </w:rPr>
            </w:pPr>
            <w:r>
              <w:rPr>
                <w:b/>
                <w:sz w:val="21"/>
              </w:rPr>
              <w:t>单位</w:t>
            </w:r>
          </w:p>
        </w:tc>
        <w:tc>
          <w:tcPr>
            <w:tcW w:w="1469" w:type="dxa"/>
            <w:vMerge w:val="restart"/>
          </w:tcPr>
          <w:p>
            <w:pPr>
              <w:pStyle w:val="TableParagraph"/>
              <w:spacing w:line="270" w:lineRule="atLeast" w:before="9"/>
              <w:ind w:left="205" w:right="89" w:hanging="106"/>
              <w:jc w:val="left"/>
              <w:rPr>
                <w:b/>
                <w:sz w:val="21"/>
              </w:rPr>
            </w:pPr>
            <w:r>
              <w:rPr>
                <w:b/>
                <w:sz w:val="21"/>
              </w:rPr>
              <w:t>本次项目实施后新增指标</w:t>
            </w:r>
          </w:p>
        </w:tc>
        <w:tc>
          <w:tcPr>
            <w:tcW w:w="2562" w:type="dxa"/>
            <w:gridSpan w:val="2"/>
          </w:tcPr>
          <w:p>
            <w:pPr>
              <w:pStyle w:val="TableParagraph"/>
              <w:spacing w:line="255" w:lineRule="exact" w:before="5"/>
              <w:ind w:left="858"/>
              <w:jc w:val="left"/>
              <w:rPr>
                <w:b/>
                <w:sz w:val="21"/>
              </w:rPr>
            </w:pPr>
            <w:r>
              <w:rPr>
                <w:b/>
                <w:sz w:val="21"/>
              </w:rPr>
              <w:t>平衡方案</w:t>
            </w:r>
          </w:p>
        </w:tc>
        <w:tc>
          <w:tcPr>
            <w:tcW w:w="1988" w:type="dxa"/>
            <w:vMerge w:val="restart"/>
          </w:tcPr>
          <w:p>
            <w:pPr>
              <w:pStyle w:val="TableParagraph"/>
              <w:spacing w:before="147"/>
              <w:ind w:left="128" w:right="122"/>
              <w:rPr>
                <w:b/>
                <w:sz w:val="21"/>
              </w:rPr>
            </w:pPr>
            <w:r>
              <w:rPr>
                <w:b/>
                <w:sz w:val="21"/>
              </w:rPr>
              <w:t>备注</w:t>
            </w:r>
          </w:p>
        </w:tc>
      </w:tr>
      <w:tr>
        <w:trPr>
          <w:trHeight w:val="270" w:hRule="atLeast"/>
        </w:trPr>
        <w:tc>
          <w:tcPr>
            <w:tcW w:w="2170" w:type="dxa"/>
            <w:gridSpan w:val="2"/>
            <w:vMerge/>
            <w:tcBorders>
              <w:top w:val="nil"/>
            </w:tcBorders>
          </w:tcPr>
          <w:p>
            <w:pPr>
              <w:rPr>
                <w:sz w:val="2"/>
                <w:szCs w:val="2"/>
              </w:rPr>
            </w:pPr>
          </w:p>
        </w:tc>
        <w:tc>
          <w:tcPr>
            <w:tcW w:w="896" w:type="dxa"/>
            <w:vMerge/>
            <w:tcBorders>
              <w:top w:val="nil"/>
            </w:tcBorders>
          </w:tcPr>
          <w:p>
            <w:pPr>
              <w:rPr>
                <w:sz w:val="2"/>
                <w:szCs w:val="2"/>
              </w:rPr>
            </w:pPr>
          </w:p>
        </w:tc>
        <w:tc>
          <w:tcPr>
            <w:tcW w:w="1469" w:type="dxa"/>
            <w:vMerge/>
            <w:tcBorders>
              <w:top w:val="nil"/>
            </w:tcBorders>
          </w:tcPr>
          <w:p>
            <w:pPr>
              <w:rPr>
                <w:sz w:val="2"/>
                <w:szCs w:val="2"/>
              </w:rPr>
            </w:pPr>
          </w:p>
        </w:tc>
        <w:tc>
          <w:tcPr>
            <w:tcW w:w="1285" w:type="dxa"/>
          </w:tcPr>
          <w:p>
            <w:pPr>
              <w:pStyle w:val="TableParagraph"/>
              <w:spacing w:line="250" w:lineRule="exact" w:before="1"/>
              <w:ind w:left="404" w:right="400"/>
              <w:rPr>
                <w:b/>
                <w:sz w:val="21"/>
              </w:rPr>
            </w:pPr>
            <w:r>
              <w:rPr>
                <w:b/>
                <w:sz w:val="21"/>
              </w:rPr>
              <w:t>比例</w:t>
            </w:r>
          </w:p>
        </w:tc>
        <w:tc>
          <w:tcPr>
            <w:tcW w:w="1277" w:type="dxa"/>
          </w:tcPr>
          <w:p>
            <w:pPr>
              <w:pStyle w:val="TableParagraph"/>
              <w:spacing w:line="250" w:lineRule="exact" w:before="1"/>
              <w:ind w:left="10" w:right="4"/>
              <w:rPr>
                <w:b/>
                <w:sz w:val="21"/>
              </w:rPr>
            </w:pPr>
            <w:r>
              <w:rPr>
                <w:b/>
                <w:sz w:val="21"/>
              </w:rPr>
              <w:t>平衡量</w:t>
            </w:r>
          </w:p>
        </w:tc>
        <w:tc>
          <w:tcPr>
            <w:tcW w:w="1988" w:type="dxa"/>
            <w:vMerge/>
            <w:tcBorders>
              <w:top w:val="nil"/>
            </w:tcBorders>
          </w:tcPr>
          <w:p>
            <w:pPr>
              <w:rPr>
                <w:sz w:val="2"/>
                <w:szCs w:val="2"/>
              </w:rPr>
            </w:pPr>
          </w:p>
        </w:tc>
      </w:tr>
      <w:tr>
        <w:trPr>
          <w:trHeight w:val="273" w:hRule="atLeast"/>
        </w:trPr>
        <w:tc>
          <w:tcPr>
            <w:tcW w:w="713" w:type="dxa"/>
            <w:vMerge w:val="restart"/>
          </w:tcPr>
          <w:p>
            <w:pPr>
              <w:pStyle w:val="TableParagraph"/>
              <w:spacing w:before="2"/>
              <w:jc w:val="left"/>
              <w:rPr>
                <w:b/>
                <w:sz w:val="22"/>
              </w:rPr>
            </w:pPr>
          </w:p>
          <w:p>
            <w:pPr>
              <w:pStyle w:val="TableParagraph"/>
              <w:ind w:left="146"/>
              <w:jc w:val="left"/>
              <w:rPr>
                <w:sz w:val="21"/>
              </w:rPr>
            </w:pPr>
            <w:r>
              <w:rPr>
                <w:sz w:val="21"/>
              </w:rPr>
              <w:t>废水</w:t>
            </w:r>
          </w:p>
        </w:tc>
        <w:tc>
          <w:tcPr>
            <w:tcW w:w="1457" w:type="dxa"/>
          </w:tcPr>
          <w:p>
            <w:pPr>
              <w:pStyle w:val="TableParagraph"/>
              <w:spacing w:line="250" w:lineRule="exact" w:before="3"/>
              <w:ind w:left="143" w:right="137"/>
              <w:rPr>
                <w:sz w:val="21"/>
              </w:rPr>
            </w:pPr>
            <w:r>
              <w:rPr>
                <w:sz w:val="21"/>
              </w:rPr>
              <w:t>水量</w:t>
            </w:r>
          </w:p>
        </w:tc>
        <w:tc>
          <w:tcPr>
            <w:tcW w:w="896" w:type="dxa"/>
          </w:tcPr>
          <w:p>
            <w:pPr>
              <w:pStyle w:val="TableParagraph"/>
              <w:spacing w:line="236" w:lineRule="exact" w:before="17"/>
              <w:ind w:left="316" w:right="307"/>
              <w:rPr>
                <w:rFonts w:ascii="Times New Roman"/>
                <w:sz w:val="21"/>
              </w:rPr>
            </w:pPr>
            <w:r>
              <w:rPr>
                <w:rFonts w:ascii="Times New Roman"/>
                <w:sz w:val="21"/>
              </w:rPr>
              <w:t>t/d</w:t>
            </w:r>
          </w:p>
        </w:tc>
        <w:tc>
          <w:tcPr>
            <w:tcW w:w="1469" w:type="dxa"/>
          </w:tcPr>
          <w:p>
            <w:pPr>
              <w:pStyle w:val="TableParagraph"/>
              <w:spacing w:line="236" w:lineRule="exact" w:before="17"/>
              <w:ind w:left="474" w:right="469"/>
              <w:rPr>
                <w:rFonts w:ascii="Times New Roman"/>
                <w:sz w:val="21"/>
              </w:rPr>
            </w:pPr>
            <w:r>
              <w:rPr>
                <w:rFonts w:ascii="Times New Roman"/>
                <w:sz w:val="21"/>
              </w:rPr>
              <w:t>110</w:t>
            </w:r>
          </w:p>
        </w:tc>
        <w:tc>
          <w:tcPr>
            <w:tcW w:w="1285" w:type="dxa"/>
          </w:tcPr>
          <w:p>
            <w:pPr>
              <w:pStyle w:val="TableParagraph"/>
              <w:spacing w:line="236" w:lineRule="exact" w:before="17"/>
              <w:ind w:left="408" w:right="399"/>
              <w:rPr>
                <w:rFonts w:ascii="Times New Roman"/>
                <w:sz w:val="21"/>
              </w:rPr>
            </w:pPr>
            <w:r>
              <w:rPr>
                <w:rFonts w:ascii="Times New Roman"/>
                <w:sz w:val="21"/>
              </w:rPr>
              <w:t>1:1.5</w:t>
            </w:r>
          </w:p>
        </w:tc>
        <w:tc>
          <w:tcPr>
            <w:tcW w:w="1277" w:type="dxa"/>
          </w:tcPr>
          <w:p>
            <w:pPr>
              <w:pStyle w:val="TableParagraph"/>
              <w:spacing w:line="236" w:lineRule="exact" w:before="17"/>
              <w:ind w:left="10" w:right="4"/>
              <w:rPr>
                <w:rFonts w:ascii="Times New Roman"/>
                <w:sz w:val="21"/>
              </w:rPr>
            </w:pPr>
            <w:r>
              <w:rPr>
                <w:rFonts w:ascii="Times New Roman"/>
                <w:sz w:val="21"/>
              </w:rPr>
              <w:t>165</w:t>
            </w:r>
          </w:p>
        </w:tc>
        <w:tc>
          <w:tcPr>
            <w:tcW w:w="1988" w:type="dxa"/>
            <w:vMerge w:val="restart"/>
          </w:tcPr>
          <w:p>
            <w:pPr>
              <w:pStyle w:val="TableParagraph"/>
              <w:spacing w:before="2"/>
              <w:jc w:val="left"/>
              <w:rPr>
                <w:b/>
                <w:sz w:val="22"/>
              </w:rPr>
            </w:pPr>
          </w:p>
          <w:p>
            <w:pPr>
              <w:pStyle w:val="TableParagraph"/>
              <w:ind w:left="466"/>
              <w:jc w:val="left"/>
              <w:rPr>
                <w:sz w:val="21"/>
              </w:rPr>
            </w:pPr>
            <w:r>
              <w:rPr>
                <w:sz w:val="21"/>
              </w:rPr>
              <w:t>排污权交易</w:t>
            </w:r>
          </w:p>
        </w:tc>
      </w:tr>
      <w:tr>
        <w:trPr>
          <w:trHeight w:val="273" w:hRule="atLeast"/>
        </w:trPr>
        <w:tc>
          <w:tcPr>
            <w:tcW w:w="713" w:type="dxa"/>
            <w:vMerge/>
            <w:tcBorders>
              <w:top w:val="nil"/>
            </w:tcBorders>
          </w:tcPr>
          <w:p>
            <w:pPr>
              <w:rPr>
                <w:sz w:val="2"/>
                <w:szCs w:val="2"/>
              </w:rPr>
            </w:pPr>
          </w:p>
        </w:tc>
        <w:tc>
          <w:tcPr>
            <w:tcW w:w="1457" w:type="dxa"/>
          </w:tcPr>
          <w:p>
            <w:pPr>
              <w:pStyle w:val="TableParagraph"/>
              <w:spacing w:line="252" w:lineRule="exact" w:before="1"/>
              <w:ind w:left="143" w:right="137"/>
              <w:rPr>
                <w:sz w:val="21"/>
              </w:rPr>
            </w:pPr>
            <w:r>
              <w:rPr>
                <w:rFonts w:ascii="Times New Roman" w:eastAsia="Times New Roman"/>
                <w:sz w:val="21"/>
              </w:rPr>
              <w:t>COD </w:t>
            </w:r>
            <w:r>
              <w:rPr>
                <w:sz w:val="21"/>
              </w:rPr>
              <w:t>环境量</w:t>
            </w:r>
          </w:p>
        </w:tc>
        <w:tc>
          <w:tcPr>
            <w:tcW w:w="896" w:type="dxa"/>
          </w:tcPr>
          <w:p>
            <w:pPr>
              <w:pStyle w:val="TableParagraph"/>
              <w:spacing w:line="238" w:lineRule="exact" w:before="15"/>
              <w:ind w:left="315" w:right="307"/>
              <w:rPr>
                <w:rFonts w:ascii="Times New Roman"/>
                <w:sz w:val="21"/>
              </w:rPr>
            </w:pPr>
            <w:r>
              <w:rPr>
                <w:rFonts w:ascii="Times New Roman"/>
                <w:sz w:val="21"/>
              </w:rPr>
              <w:t>t/a</w:t>
            </w:r>
          </w:p>
        </w:tc>
        <w:tc>
          <w:tcPr>
            <w:tcW w:w="1469" w:type="dxa"/>
          </w:tcPr>
          <w:p>
            <w:pPr>
              <w:pStyle w:val="TableParagraph"/>
              <w:spacing w:line="238" w:lineRule="exact" w:before="15"/>
              <w:ind w:left="477" w:right="469"/>
              <w:rPr>
                <w:rFonts w:ascii="Times New Roman"/>
                <w:sz w:val="21"/>
              </w:rPr>
            </w:pPr>
            <w:r>
              <w:rPr>
                <w:rFonts w:ascii="Times New Roman"/>
                <w:sz w:val="21"/>
              </w:rPr>
              <w:t>2.64</w:t>
            </w:r>
          </w:p>
        </w:tc>
        <w:tc>
          <w:tcPr>
            <w:tcW w:w="1285" w:type="dxa"/>
          </w:tcPr>
          <w:p>
            <w:pPr>
              <w:pStyle w:val="TableParagraph"/>
              <w:spacing w:line="238" w:lineRule="exact" w:before="15"/>
              <w:ind w:left="408" w:right="399"/>
              <w:rPr>
                <w:rFonts w:ascii="Times New Roman"/>
                <w:sz w:val="21"/>
              </w:rPr>
            </w:pPr>
            <w:r>
              <w:rPr>
                <w:rFonts w:ascii="Times New Roman"/>
                <w:sz w:val="21"/>
              </w:rPr>
              <w:t>1:1.2</w:t>
            </w:r>
          </w:p>
        </w:tc>
        <w:tc>
          <w:tcPr>
            <w:tcW w:w="1277" w:type="dxa"/>
          </w:tcPr>
          <w:p>
            <w:pPr>
              <w:pStyle w:val="TableParagraph"/>
              <w:spacing w:line="238" w:lineRule="exact" w:before="15"/>
              <w:ind w:left="10" w:right="4"/>
              <w:rPr>
                <w:rFonts w:ascii="Times New Roman"/>
                <w:sz w:val="21"/>
              </w:rPr>
            </w:pPr>
            <w:r>
              <w:rPr>
                <w:rFonts w:ascii="Times New Roman"/>
                <w:sz w:val="21"/>
              </w:rPr>
              <w:t>3.168</w:t>
            </w:r>
          </w:p>
        </w:tc>
        <w:tc>
          <w:tcPr>
            <w:tcW w:w="1988" w:type="dxa"/>
            <w:vMerge/>
            <w:tcBorders>
              <w:top w:val="nil"/>
            </w:tcBorders>
          </w:tcPr>
          <w:p>
            <w:pPr>
              <w:rPr>
                <w:sz w:val="2"/>
                <w:szCs w:val="2"/>
              </w:rPr>
            </w:pPr>
          </w:p>
        </w:tc>
      </w:tr>
      <w:tr>
        <w:trPr>
          <w:trHeight w:val="270" w:hRule="atLeast"/>
        </w:trPr>
        <w:tc>
          <w:tcPr>
            <w:tcW w:w="713" w:type="dxa"/>
            <w:vMerge/>
            <w:tcBorders>
              <w:top w:val="nil"/>
            </w:tcBorders>
          </w:tcPr>
          <w:p>
            <w:pPr>
              <w:rPr>
                <w:sz w:val="2"/>
                <w:szCs w:val="2"/>
              </w:rPr>
            </w:pPr>
          </w:p>
        </w:tc>
        <w:tc>
          <w:tcPr>
            <w:tcW w:w="1457" w:type="dxa"/>
          </w:tcPr>
          <w:p>
            <w:pPr>
              <w:pStyle w:val="TableParagraph"/>
              <w:spacing w:line="250" w:lineRule="exact" w:before="1"/>
              <w:ind w:left="143" w:right="135"/>
              <w:rPr>
                <w:sz w:val="21"/>
              </w:rPr>
            </w:pPr>
            <w:r>
              <w:rPr>
                <w:sz w:val="21"/>
              </w:rPr>
              <w:t>氨氮环境量</w:t>
            </w:r>
          </w:p>
        </w:tc>
        <w:tc>
          <w:tcPr>
            <w:tcW w:w="896" w:type="dxa"/>
          </w:tcPr>
          <w:p>
            <w:pPr>
              <w:pStyle w:val="TableParagraph"/>
              <w:spacing w:line="236" w:lineRule="exact" w:before="15"/>
              <w:ind w:left="316" w:right="307"/>
              <w:rPr>
                <w:rFonts w:ascii="Times New Roman"/>
                <w:sz w:val="21"/>
              </w:rPr>
            </w:pPr>
            <w:r>
              <w:rPr>
                <w:rFonts w:ascii="Times New Roman"/>
                <w:sz w:val="21"/>
              </w:rPr>
              <w:t>t/a</w:t>
            </w:r>
          </w:p>
        </w:tc>
        <w:tc>
          <w:tcPr>
            <w:tcW w:w="1469" w:type="dxa"/>
          </w:tcPr>
          <w:p>
            <w:pPr>
              <w:pStyle w:val="TableParagraph"/>
              <w:spacing w:line="236" w:lineRule="exact" w:before="15"/>
              <w:ind w:left="477" w:right="469"/>
              <w:rPr>
                <w:rFonts w:ascii="Times New Roman"/>
                <w:sz w:val="21"/>
              </w:rPr>
            </w:pPr>
            <w:r>
              <w:rPr>
                <w:rFonts w:ascii="Times New Roman"/>
                <w:sz w:val="21"/>
              </w:rPr>
              <w:t>0.495</w:t>
            </w:r>
          </w:p>
        </w:tc>
        <w:tc>
          <w:tcPr>
            <w:tcW w:w="1285" w:type="dxa"/>
          </w:tcPr>
          <w:p>
            <w:pPr>
              <w:pStyle w:val="TableParagraph"/>
              <w:spacing w:line="236" w:lineRule="exact" w:before="15"/>
              <w:ind w:left="408" w:right="399"/>
              <w:rPr>
                <w:rFonts w:ascii="Times New Roman"/>
                <w:sz w:val="21"/>
              </w:rPr>
            </w:pPr>
            <w:r>
              <w:rPr>
                <w:rFonts w:ascii="Times New Roman"/>
                <w:sz w:val="21"/>
              </w:rPr>
              <w:t>1:1.5</w:t>
            </w:r>
          </w:p>
        </w:tc>
        <w:tc>
          <w:tcPr>
            <w:tcW w:w="1277" w:type="dxa"/>
          </w:tcPr>
          <w:p>
            <w:pPr>
              <w:pStyle w:val="TableParagraph"/>
              <w:spacing w:line="236" w:lineRule="exact" w:before="15"/>
              <w:ind w:left="10" w:right="4"/>
              <w:rPr>
                <w:rFonts w:ascii="Times New Roman"/>
                <w:sz w:val="21"/>
              </w:rPr>
            </w:pPr>
            <w:r>
              <w:rPr>
                <w:rFonts w:ascii="Times New Roman"/>
                <w:sz w:val="21"/>
              </w:rPr>
              <w:t>0.743</w:t>
            </w:r>
          </w:p>
        </w:tc>
        <w:tc>
          <w:tcPr>
            <w:tcW w:w="1988" w:type="dxa"/>
            <w:vMerge/>
            <w:tcBorders>
              <w:top w:val="nil"/>
            </w:tcBorders>
          </w:tcPr>
          <w:p>
            <w:pPr>
              <w:rPr>
                <w:sz w:val="2"/>
                <w:szCs w:val="2"/>
              </w:rPr>
            </w:pPr>
          </w:p>
        </w:tc>
      </w:tr>
      <w:tr>
        <w:trPr>
          <w:trHeight w:val="273" w:hRule="atLeast"/>
        </w:trPr>
        <w:tc>
          <w:tcPr>
            <w:tcW w:w="713" w:type="dxa"/>
            <w:vMerge w:val="restart"/>
          </w:tcPr>
          <w:p>
            <w:pPr>
              <w:pStyle w:val="TableParagraph"/>
              <w:spacing w:before="131"/>
              <w:ind w:left="146"/>
              <w:jc w:val="left"/>
              <w:rPr>
                <w:sz w:val="21"/>
              </w:rPr>
            </w:pPr>
            <w:r>
              <w:rPr>
                <w:sz w:val="21"/>
              </w:rPr>
              <w:t>废气</w:t>
            </w:r>
          </w:p>
        </w:tc>
        <w:tc>
          <w:tcPr>
            <w:tcW w:w="1457" w:type="dxa"/>
          </w:tcPr>
          <w:p>
            <w:pPr>
              <w:pStyle w:val="TableParagraph"/>
              <w:spacing w:line="250" w:lineRule="exact" w:before="3"/>
              <w:ind w:left="143" w:right="135"/>
              <w:rPr>
                <w:sz w:val="21"/>
              </w:rPr>
            </w:pPr>
            <w:r>
              <w:rPr>
                <w:sz w:val="21"/>
              </w:rPr>
              <w:t>工业烟粉尘</w:t>
            </w:r>
          </w:p>
        </w:tc>
        <w:tc>
          <w:tcPr>
            <w:tcW w:w="896" w:type="dxa"/>
          </w:tcPr>
          <w:p>
            <w:pPr>
              <w:pStyle w:val="TableParagraph"/>
              <w:spacing w:line="236" w:lineRule="exact" w:before="17"/>
              <w:ind w:left="315" w:right="307"/>
              <w:rPr>
                <w:rFonts w:ascii="Times New Roman"/>
                <w:sz w:val="21"/>
              </w:rPr>
            </w:pPr>
            <w:r>
              <w:rPr>
                <w:rFonts w:ascii="Times New Roman"/>
                <w:sz w:val="21"/>
              </w:rPr>
              <w:t>t/a</w:t>
            </w:r>
          </w:p>
        </w:tc>
        <w:tc>
          <w:tcPr>
            <w:tcW w:w="1469" w:type="dxa"/>
          </w:tcPr>
          <w:p>
            <w:pPr>
              <w:pStyle w:val="TableParagraph"/>
              <w:spacing w:line="236" w:lineRule="exact" w:before="17"/>
              <w:ind w:left="477" w:right="469"/>
              <w:rPr>
                <w:rFonts w:ascii="Times New Roman"/>
                <w:sz w:val="21"/>
              </w:rPr>
            </w:pPr>
            <w:r>
              <w:rPr>
                <w:rFonts w:ascii="Times New Roman"/>
                <w:sz w:val="21"/>
              </w:rPr>
              <w:t>0.2</w:t>
            </w:r>
          </w:p>
        </w:tc>
        <w:tc>
          <w:tcPr>
            <w:tcW w:w="1285" w:type="dxa"/>
          </w:tcPr>
          <w:p>
            <w:pPr>
              <w:pStyle w:val="TableParagraph"/>
              <w:spacing w:line="236" w:lineRule="exact" w:before="17"/>
              <w:ind w:left="404" w:right="400"/>
              <w:rPr>
                <w:rFonts w:ascii="Times New Roman"/>
                <w:sz w:val="21"/>
              </w:rPr>
            </w:pPr>
            <w:r>
              <w:rPr>
                <w:rFonts w:ascii="Times New Roman"/>
                <w:sz w:val="21"/>
              </w:rPr>
              <w:t>1:2</w:t>
            </w:r>
          </w:p>
        </w:tc>
        <w:tc>
          <w:tcPr>
            <w:tcW w:w="1277" w:type="dxa"/>
          </w:tcPr>
          <w:p>
            <w:pPr>
              <w:pStyle w:val="TableParagraph"/>
              <w:spacing w:line="236" w:lineRule="exact" w:before="17"/>
              <w:ind w:left="10" w:right="4"/>
              <w:rPr>
                <w:rFonts w:ascii="Times New Roman"/>
                <w:sz w:val="21"/>
              </w:rPr>
            </w:pPr>
            <w:r>
              <w:rPr>
                <w:rFonts w:ascii="Times New Roman"/>
                <w:sz w:val="21"/>
              </w:rPr>
              <w:t>0.4</w:t>
            </w:r>
          </w:p>
        </w:tc>
        <w:tc>
          <w:tcPr>
            <w:tcW w:w="1988" w:type="dxa"/>
            <w:vMerge w:val="restart"/>
          </w:tcPr>
          <w:p>
            <w:pPr>
              <w:pStyle w:val="TableParagraph"/>
              <w:spacing w:before="131"/>
              <w:ind w:left="571"/>
              <w:jc w:val="left"/>
              <w:rPr>
                <w:sz w:val="21"/>
              </w:rPr>
            </w:pPr>
            <w:r>
              <w:rPr>
                <w:sz w:val="21"/>
              </w:rPr>
              <w:t>区域平衡</w:t>
            </w:r>
          </w:p>
        </w:tc>
      </w:tr>
      <w:tr>
        <w:trPr>
          <w:trHeight w:val="244" w:hRule="atLeast"/>
        </w:trPr>
        <w:tc>
          <w:tcPr>
            <w:tcW w:w="713" w:type="dxa"/>
            <w:vMerge/>
            <w:tcBorders>
              <w:top w:val="nil"/>
            </w:tcBorders>
          </w:tcPr>
          <w:p>
            <w:pPr>
              <w:rPr>
                <w:sz w:val="2"/>
                <w:szCs w:val="2"/>
              </w:rPr>
            </w:pPr>
          </w:p>
        </w:tc>
        <w:tc>
          <w:tcPr>
            <w:tcW w:w="1457" w:type="dxa"/>
          </w:tcPr>
          <w:p>
            <w:pPr>
              <w:pStyle w:val="TableParagraph"/>
              <w:spacing w:line="224" w:lineRule="exact"/>
              <w:ind w:left="143" w:right="137"/>
              <w:rPr>
                <w:rFonts w:ascii="Times New Roman"/>
                <w:sz w:val="21"/>
              </w:rPr>
            </w:pPr>
            <w:r>
              <w:rPr>
                <w:rFonts w:ascii="Times New Roman"/>
                <w:sz w:val="21"/>
              </w:rPr>
              <w:t>VOCs</w:t>
            </w:r>
          </w:p>
        </w:tc>
        <w:tc>
          <w:tcPr>
            <w:tcW w:w="896" w:type="dxa"/>
          </w:tcPr>
          <w:p>
            <w:pPr>
              <w:pStyle w:val="TableParagraph"/>
              <w:spacing w:line="224" w:lineRule="exact"/>
              <w:ind w:left="315" w:right="307"/>
              <w:rPr>
                <w:rFonts w:ascii="Times New Roman"/>
                <w:sz w:val="21"/>
              </w:rPr>
            </w:pPr>
            <w:r>
              <w:rPr>
                <w:rFonts w:ascii="Times New Roman"/>
                <w:sz w:val="21"/>
              </w:rPr>
              <w:t>t/a</w:t>
            </w:r>
          </w:p>
        </w:tc>
        <w:tc>
          <w:tcPr>
            <w:tcW w:w="1469" w:type="dxa"/>
          </w:tcPr>
          <w:p>
            <w:pPr>
              <w:pStyle w:val="TableParagraph"/>
              <w:spacing w:line="224" w:lineRule="exact"/>
              <w:ind w:left="477" w:right="469"/>
              <w:rPr>
                <w:rFonts w:ascii="Times New Roman"/>
                <w:sz w:val="21"/>
              </w:rPr>
            </w:pPr>
            <w:r>
              <w:rPr>
                <w:rFonts w:ascii="Times New Roman"/>
                <w:sz w:val="21"/>
              </w:rPr>
              <w:t>0.34</w:t>
            </w:r>
          </w:p>
        </w:tc>
        <w:tc>
          <w:tcPr>
            <w:tcW w:w="1285" w:type="dxa"/>
          </w:tcPr>
          <w:p>
            <w:pPr>
              <w:pStyle w:val="TableParagraph"/>
              <w:spacing w:line="224" w:lineRule="exact"/>
              <w:ind w:left="404" w:right="400"/>
              <w:rPr>
                <w:rFonts w:ascii="Times New Roman"/>
                <w:sz w:val="21"/>
              </w:rPr>
            </w:pPr>
            <w:r>
              <w:rPr>
                <w:rFonts w:ascii="Times New Roman"/>
                <w:sz w:val="21"/>
              </w:rPr>
              <w:t>1:1</w:t>
            </w:r>
          </w:p>
        </w:tc>
        <w:tc>
          <w:tcPr>
            <w:tcW w:w="1277" w:type="dxa"/>
          </w:tcPr>
          <w:p>
            <w:pPr>
              <w:pStyle w:val="TableParagraph"/>
              <w:spacing w:line="224" w:lineRule="exact"/>
              <w:ind w:left="10" w:right="4"/>
              <w:rPr>
                <w:rFonts w:ascii="Times New Roman"/>
                <w:sz w:val="21"/>
              </w:rPr>
            </w:pPr>
            <w:r>
              <w:rPr>
                <w:rFonts w:ascii="Times New Roman"/>
                <w:sz w:val="21"/>
              </w:rPr>
              <w:t>0.34</w:t>
            </w:r>
          </w:p>
        </w:tc>
        <w:tc>
          <w:tcPr>
            <w:tcW w:w="1988" w:type="dxa"/>
            <w:vMerge/>
            <w:tcBorders>
              <w:top w:val="nil"/>
            </w:tcBorders>
          </w:tcPr>
          <w:p>
            <w:pPr>
              <w:rPr>
                <w:sz w:val="2"/>
                <w:szCs w:val="2"/>
              </w:rPr>
            </w:pPr>
          </w:p>
        </w:tc>
      </w:tr>
    </w:tbl>
    <w:p>
      <w:pPr>
        <w:pStyle w:val="BodyText"/>
        <w:spacing w:line="364" w:lineRule="auto" w:before="2"/>
        <w:ind w:left="258" w:right="332" w:firstLine="480"/>
        <w:jc w:val="both"/>
      </w:pPr>
      <w:r>
        <w:rPr>
          <w:spacing w:val="-2"/>
        </w:rPr>
        <w:t>从上表可以看出，本项目实施后 </w:t>
      </w:r>
      <w:r>
        <w:rPr>
          <w:rFonts w:ascii="Times New Roman" w:eastAsia="Times New Roman"/>
        </w:rPr>
        <w:t>CODcr</w:t>
      </w:r>
      <w:r>
        <w:rPr/>
        <w:t>、氨氮、</w:t>
      </w:r>
      <w:r>
        <w:rPr>
          <w:rFonts w:ascii="Times New Roman" w:eastAsia="Times New Roman"/>
        </w:rPr>
        <w:t>VOCs</w:t>
      </w:r>
      <w:r>
        <w:rPr>
          <w:spacing w:val="-1"/>
        </w:rPr>
        <w:t>、工业烟粉尘总量控制指标</w:t>
      </w:r>
      <w:r>
        <w:rPr/>
        <w:t>通过排污权解决及区域平衡解决。</w:t>
      </w:r>
    </w:p>
    <w:p>
      <w:pPr>
        <w:spacing w:after="0" w:line="364" w:lineRule="auto"/>
        <w:jc w:val="both"/>
        <w:sectPr>
          <w:pgSz w:w="11910" w:h="16850"/>
          <w:pgMar w:header="730" w:footer="673" w:top="960" w:bottom="880" w:left="1160" w:right="1080"/>
        </w:sectPr>
      </w:pPr>
    </w:p>
    <w:p>
      <w:pPr>
        <w:pStyle w:val="BodyText"/>
        <w:spacing w:before="6"/>
        <w:rPr>
          <w:sz w:val="28"/>
        </w:rPr>
      </w:pPr>
    </w:p>
    <w:p>
      <w:pPr>
        <w:pStyle w:val="Heading2"/>
        <w:numPr>
          <w:ilvl w:val="0"/>
          <w:numId w:val="13"/>
        </w:numPr>
        <w:tabs>
          <w:tab w:pos="485" w:val="left" w:leader="none"/>
        </w:tabs>
        <w:spacing w:line="240" w:lineRule="auto" w:before="67" w:after="0"/>
        <w:ind w:left="484" w:right="0" w:hanging="227"/>
        <w:jc w:val="left"/>
      </w:pPr>
      <w:bookmarkStart w:name="_bookmark31" w:id="63"/>
      <w:bookmarkEnd w:id="63"/>
      <w:r>
        <w:rPr>
          <w:b w:val="0"/>
        </w:rPr>
      </w:r>
      <w:bookmarkStart w:name="_bookmark31" w:id="64"/>
      <w:bookmarkEnd w:id="64"/>
      <w:r>
        <w:rPr/>
        <w:t>污染防治对策</w:t>
      </w:r>
    </w:p>
    <w:p>
      <w:pPr>
        <w:pStyle w:val="Heading3"/>
        <w:numPr>
          <w:ilvl w:val="1"/>
          <w:numId w:val="13"/>
        </w:numPr>
        <w:tabs>
          <w:tab w:pos="821" w:val="left" w:leader="none"/>
        </w:tabs>
        <w:spacing w:line="240" w:lineRule="auto" w:before="200" w:after="0"/>
        <w:ind w:left="820" w:right="0" w:hanging="421"/>
        <w:jc w:val="left"/>
      </w:pPr>
      <w:bookmarkStart w:name="_bookmark32" w:id="65"/>
      <w:bookmarkEnd w:id="65"/>
      <w:r>
        <w:rPr>
          <w:b w:val="0"/>
        </w:rPr>
      </w:r>
      <w:bookmarkStart w:name="_bookmark32" w:id="66"/>
      <w:bookmarkEnd w:id="66"/>
      <w:r>
        <w:rPr/>
        <w:t>项目废水治理措施</w:t>
      </w:r>
    </w:p>
    <w:p>
      <w:pPr>
        <w:pStyle w:val="Heading4"/>
        <w:numPr>
          <w:ilvl w:val="2"/>
          <w:numId w:val="13"/>
        </w:numPr>
        <w:tabs>
          <w:tab w:pos="1039" w:val="left" w:leader="none"/>
        </w:tabs>
        <w:spacing w:line="240" w:lineRule="auto" w:before="185" w:after="0"/>
        <w:ind w:left="1038" w:right="0" w:hanging="541"/>
        <w:jc w:val="left"/>
      </w:pPr>
      <w:r>
        <w:rPr/>
        <w:t>项目废水特点</w:t>
      </w:r>
    </w:p>
    <w:p>
      <w:pPr>
        <w:pStyle w:val="BodyText"/>
        <w:spacing w:line="364" w:lineRule="auto" w:before="158"/>
        <w:ind w:left="258" w:right="214" w:firstLine="480"/>
      </w:pPr>
      <w:r>
        <w:rPr>
          <w:rFonts w:ascii="Times New Roman" w:eastAsia="Times New Roman"/>
        </w:rPr>
        <w:t>1</w:t>
      </w:r>
      <w:r>
        <w:rPr>
          <w:spacing w:val="-7"/>
        </w:rPr>
        <w:t>、本项目产品为主要为三环唑杀菌剂，仅为一步合成反应；可湿性粉剂仅为复配。</w:t>
      </w:r>
      <w:r>
        <w:rPr>
          <w:spacing w:val="-4"/>
        </w:rPr>
        <w:t>车间废水主要为甲酸回收废水、离心废水、水环泵废水、设备及地面清洗废水，产生量</w:t>
      </w:r>
      <w:r>
        <w:rPr>
          <w:rFonts w:ascii="Times New Roman" w:eastAsia="Times New Roman"/>
          <w:spacing w:val="-4"/>
        </w:rPr>
        <w:t>33t/d</w:t>
      </w:r>
      <w:r>
        <w:rPr>
          <w:spacing w:val="-7"/>
        </w:rPr>
        <w:t>；另外还有公用工程废水：生活污水、喷淋废水、初期雨水等，废水总量共 </w:t>
      </w:r>
      <w:r>
        <w:rPr>
          <w:rFonts w:ascii="Times New Roman" w:eastAsia="Times New Roman"/>
        </w:rPr>
        <w:t>77t/d</w:t>
      </w:r>
      <w:r>
        <w:rPr>
          <w:spacing w:val="-11"/>
        </w:rPr>
        <w:t>。</w:t>
      </w:r>
    </w:p>
    <w:p>
      <w:pPr>
        <w:pStyle w:val="BodyText"/>
        <w:spacing w:line="364" w:lineRule="auto"/>
        <w:ind w:left="258" w:right="285" w:firstLine="480"/>
        <w:jc w:val="both"/>
      </w:pPr>
      <w:r>
        <w:rPr>
          <w:rFonts w:ascii="Times New Roman" w:eastAsia="Times New Roman"/>
        </w:rPr>
        <w:t>2</w:t>
      </w:r>
      <w:r>
        <w:rPr/>
        <w:t>、废水中主要污染物为甲酸和反应杂质，工艺废水中主要因子为 </w:t>
      </w:r>
      <w:r>
        <w:rPr>
          <w:rFonts w:ascii="Times New Roman" w:eastAsia="Times New Roman"/>
        </w:rPr>
        <w:t>CODcr</w:t>
      </w:r>
      <w:r>
        <w:rPr/>
        <w:t>，</w:t>
      </w:r>
      <w:r>
        <w:rPr>
          <w:rFonts w:ascii="Times New Roman" w:eastAsia="Times New Roman"/>
        </w:rPr>
        <w:t>CODcr </w:t>
      </w:r>
      <w:r>
        <w:rPr>
          <w:spacing w:val="-9"/>
        </w:rPr>
        <w:t>最大可至 </w:t>
      </w:r>
      <w:r>
        <w:rPr>
          <w:rFonts w:ascii="Times New Roman" w:eastAsia="Times New Roman"/>
        </w:rPr>
        <w:t>15000mg/L</w:t>
      </w:r>
      <w:r>
        <w:rPr>
          <w:spacing w:val="-5"/>
        </w:rPr>
        <w:t>，所有废水混匀后 </w:t>
      </w:r>
      <w:r>
        <w:rPr>
          <w:rFonts w:ascii="Times New Roman" w:eastAsia="Times New Roman"/>
        </w:rPr>
        <w:t>CODcr </w:t>
      </w:r>
      <w:r>
        <w:rPr>
          <w:spacing w:val="-20"/>
        </w:rPr>
        <w:t>为 </w:t>
      </w:r>
      <w:r>
        <w:rPr>
          <w:rFonts w:ascii="Times New Roman" w:eastAsia="Times New Roman"/>
        </w:rPr>
        <w:t>2953.7mg/L</w:t>
      </w:r>
      <w:r>
        <w:rPr>
          <w:spacing w:val="-11"/>
        </w:rPr>
        <w:t>、总氮 </w:t>
      </w:r>
      <w:r>
        <w:rPr>
          <w:rFonts w:ascii="Times New Roman" w:eastAsia="Times New Roman"/>
        </w:rPr>
        <w:t>110mg/L</w:t>
      </w:r>
      <w:r>
        <w:rPr/>
        <w:t>；另外还</w:t>
      </w:r>
      <w:r>
        <w:rPr>
          <w:spacing w:val="-1"/>
        </w:rPr>
        <w:t>有少量氨氮，但项目产品为杀菌剂，生产废水中不可避免会含有杀菌剂，如不预处理， </w:t>
      </w:r>
      <w:r>
        <w:rPr/>
        <w:t>则会对生化处理造成一定影响。</w:t>
      </w:r>
    </w:p>
    <w:p>
      <w:pPr>
        <w:pStyle w:val="Heading4"/>
        <w:numPr>
          <w:ilvl w:val="2"/>
          <w:numId w:val="13"/>
        </w:numPr>
        <w:tabs>
          <w:tab w:pos="1039" w:val="left" w:leader="none"/>
        </w:tabs>
        <w:spacing w:line="306" w:lineRule="exact" w:before="0" w:after="0"/>
        <w:ind w:left="1038" w:right="0" w:hanging="541"/>
        <w:jc w:val="both"/>
      </w:pPr>
      <w:r>
        <w:rPr/>
        <w:t>项目废水处理思路</w:t>
      </w:r>
    </w:p>
    <w:p>
      <w:pPr>
        <w:pStyle w:val="BodyText"/>
        <w:spacing w:line="364" w:lineRule="auto" w:before="160"/>
        <w:ind w:left="258" w:right="215" w:firstLine="480"/>
      </w:pPr>
      <w:r>
        <w:rPr>
          <w:spacing w:val="-2"/>
        </w:rPr>
        <w:t>本项目位于企业新征用地</w:t>
      </w:r>
      <w:r>
        <w:rPr/>
        <w:t>（东区</w:t>
      </w:r>
      <w:r>
        <w:rPr>
          <w:spacing w:val="-120"/>
        </w:rPr>
        <w:t>）</w:t>
      </w:r>
      <w:r>
        <w:rPr>
          <w:spacing w:val="-12"/>
        </w:rPr>
        <w:t>，在东区新增 </w:t>
      </w:r>
      <w:r>
        <w:rPr>
          <w:rFonts w:ascii="Times New Roman" w:eastAsia="Times New Roman"/>
        </w:rPr>
        <w:t>1 </w:t>
      </w:r>
      <w:r>
        <w:rPr>
          <w:spacing w:val="-4"/>
        </w:rPr>
        <w:t>套废水处理设施。针对废水特点，</w:t>
      </w:r>
      <w:r>
        <w:rPr/>
        <w:t>结合实际情况，含农药成分废水（离心废水、地面及设备清洗废水）拟采用铁碳</w:t>
      </w:r>
      <w:r>
        <w:rPr>
          <w:rFonts w:ascii="Times New Roman" w:eastAsia="Times New Roman"/>
        </w:rPr>
        <w:t>+</w:t>
      </w:r>
      <w:r>
        <w:rPr/>
        <w:t>芬顿氧化</w:t>
      </w:r>
      <w:r>
        <w:rPr>
          <w:rFonts w:ascii="Times New Roman" w:eastAsia="Times New Roman"/>
        </w:rPr>
        <w:t>+</w:t>
      </w:r>
      <w:r>
        <w:rPr/>
        <w:t>混凝沉淀预处理后，再与其他废水一起经生化处理后通过东区标准排放口纳管进入上虞污水处理厂。</w:t>
      </w:r>
    </w:p>
    <w:p>
      <w:pPr>
        <w:pStyle w:val="Heading4"/>
        <w:spacing w:line="306" w:lineRule="exact"/>
        <w:ind w:left="741"/>
      </w:pPr>
      <w:r>
        <w:rPr>
          <w:rFonts w:ascii="Times New Roman" w:eastAsia="Times New Roman"/>
        </w:rPr>
        <w:t>1</w:t>
      </w:r>
      <w:r>
        <w:rPr/>
        <w:t>、控制工艺工程，减少污染</w:t>
      </w:r>
    </w:p>
    <w:p>
      <w:pPr>
        <w:pStyle w:val="BodyText"/>
        <w:spacing w:line="364" w:lineRule="auto" w:before="158"/>
        <w:ind w:left="258" w:right="272" w:firstLine="480"/>
      </w:pPr>
      <w:r>
        <w:rPr/>
        <w:t>增强生产工艺过程中的环保意识，不断改进技术及设备，选用无污染或少污染的清洁生产工艺、设备及原材料，最大限度的消减产生量及废水排放。</w:t>
      </w:r>
    </w:p>
    <w:p>
      <w:pPr>
        <w:pStyle w:val="Heading4"/>
        <w:spacing w:line="306" w:lineRule="exact"/>
        <w:ind w:left="741"/>
      </w:pPr>
      <w:r>
        <w:rPr>
          <w:rFonts w:ascii="Times New Roman" w:eastAsia="Times New Roman"/>
        </w:rPr>
        <w:t>2</w:t>
      </w:r>
      <w:r>
        <w:rPr/>
        <w:t>、加强分级控制，减少污染源强</w:t>
      </w:r>
    </w:p>
    <w:p>
      <w:pPr>
        <w:pStyle w:val="BodyText"/>
        <w:spacing w:line="364" w:lineRule="auto" w:before="161"/>
        <w:ind w:left="258" w:right="274" w:firstLine="480"/>
      </w:pPr>
      <w:r>
        <w:rPr/>
        <w:t>对于有机相分层加强控制，减少进入废水中的有机溶剂量；加强冷凝回收，减少进入后续尾气处理的废气，进而减少进入废气喷淋废水中废气污染因子。</w:t>
      </w:r>
    </w:p>
    <w:p>
      <w:pPr>
        <w:pStyle w:val="Heading4"/>
        <w:spacing w:line="306" w:lineRule="exact"/>
        <w:ind w:left="741"/>
      </w:pPr>
      <w:r>
        <w:rPr>
          <w:rFonts w:ascii="Times New Roman" w:eastAsia="Times New Roman"/>
        </w:rPr>
        <w:t>3</w:t>
      </w:r>
      <w:r>
        <w:rPr/>
        <w:t>、废水分质收集预处理，确保达标排放</w:t>
      </w:r>
    </w:p>
    <w:p>
      <w:pPr>
        <w:pStyle w:val="BodyText"/>
        <w:spacing w:line="364" w:lineRule="auto" w:before="160"/>
        <w:ind w:left="258" w:right="212" w:firstLine="480"/>
      </w:pPr>
      <w:r>
        <w:rPr>
          <w:spacing w:val="-3"/>
        </w:rPr>
        <w:t>车间设置含农药成分废水集水池，收集该车间产生的离心废水及清洗废水，上述废</w:t>
      </w:r>
      <w:r>
        <w:rPr>
          <w:spacing w:val="-7"/>
        </w:rPr>
        <w:t>水由于含有农药活性成分，进入废水预处理设施；经预处理后再与其他废水</w:t>
      </w:r>
      <w:r>
        <w:rPr/>
        <w:t>（水环泵废</w:t>
      </w:r>
      <w:r>
        <w:rPr>
          <w:spacing w:val="-12"/>
        </w:rPr>
        <w:t>水、生活污水、喷淋废水、初期雨水等</w:t>
      </w:r>
      <w:r>
        <w:rPr>
          <w:spacing w:val="-34"/>
        </w:rPr>
        <w:t>）</w:t>
      </w:r>
      <w:r>
        <w:rPr>
          <w:spacing w:val="-5"/>
        </w:rPr>
        <w:t>一起泵至生化处理。根据本项目废水水质情况， </w:t>
      </w:r>
      <w:r>
        <w:rPr/>
        <w:t>具体废水分类见下表。</w:t>
      </w:r>
    </w:p>
    <w:p>
      <w:pPr>
        <w:pStyle w:val="Heading4"/>
        <w:tabs>
          <w:tab w:pos="4742" w:val="left" w:leader="none"/>
        </w:tabs>
        <w:spacing w:before="140" w:after="29"/>
        <w:ind w:left="3521"/>
      </w:pPr>
      <w:r>
        <w:rPr/>
        <w:t>表</w:t>
      </w:r>
      <w:r>
        <w:rPr>
          <w:spacing w:val="-60"/>
        </w:rPr>
        <w:t> </w:t>
      </w:r>
      <w:r>
        <w:rPr>
          <w:rFonts w:ascii="Times New Roman" w:eastAsia="Times New Roman"/>
        </w:rPr>
        <w:t>5.1.2-1</w:t>
        <w:tab/>
      </w:r>
      <w:r>
        <w:rPr/>
        <w:t>废水分类情况表</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4"/>
        <w:gridCol w:w="1985"/>
        <w:gridCol w:w="5069"/>
      </w:tblGrid>
      <w:tr>
        <w:trPr>
          <w:trHeight w:val="282" w:hRule="atLeast"/>
        </w:trPr>
        <w:tc>
          <w:tcPr>
            <w:tcW w:w="2234" w:type="dxa"/>
          </w:tcPr>
          <w:p>
            <w:pPr>
              <w:pStyle w:val="TableParagraph"/>
              <w:spacing w:line="257" w:lineRule="exact" w:before="6"/>
              <w:ind w:left="151" w:right="139"/>
              <w:rPr>
                <w:b/>
                <w:sz w:val="21"/>
              </w:rPr>
            </w:pPr>
            <w:r>
              <w:rPr>
                <w:b/>
                <w:sz w:val="21"/>
              </w:rPr>
              <w:t>废水分类</w:t>
            </w:r>
          </w:p>
        </w:tc>
        <w:tc>
          <w:tcPr>
            <w:tcW w:w="1985" w:type="dxa"/>
          </w:tcPr>
          <w:p>
            <w:pPr>
              <w:pStyle w:val="TableParagraph"/>
              <w:spacing w:line="257" w:lineRule="exact" w:before="6"/>
              <w:ind w:left="43" w:right="33"/>
              <w:rPr>
                <w:b/>
                <w:sz w:val="21"/>
              </w:rPr>
            </w:pPr>
            <w:r>
              <w:rPr>
                <w:b/>
                <w:sz w:val="21"/>
              </w:rPr>
              <w:t>处理水量（</w:t>
            </w:r>
            <w:r>
              <w:rPr>
                <w:rFonts w:ascii="Times New Roman" w:eastAsia="Times New Roman"/>
                <w:b/>
                <w:sz w:val="21"/>
              </w:rPr>
              <w:t>t/d</w:t>
            </w:r>
            <w:r>
              <w:rPr>
                <w:b/>
                <w:sz w:val="21"/>
              </w:rPr>
              <w:t>）</w:t>
            </w:r>
          </w:p>
        </w:tc>
        <w:tc>
          <w:tcPr>
            <w:tcW w:w="5069" w:type="dxa"/>
          </w:tcPr>
          <w:p>
            <w:pPr>
              <w:pStyle w:val="TableParagraph"/>
              <w:spacing w:line="257" w:lineRule="exact" w:before="6"/>
              <w:ind w:left="2301" w:right="2295"/>
              <w:rPr>
                <w:b/>
                <w:sz w:val="21"/>
              </w:rPr>
            </w:pPr>
            <w:r>
              <w:rPr>
                <w:b/>
                <w:sz w:val="21"/>
              </w:rPr>
              <w:t>备注</w:t>
            </w:r>
          </w:p>
        </w:tc>
      </w:tr>
      <w:tr>
        <w:trPr>
          <w:trHeight w:val="285" w:hRule="atLeast"/>
        </w:trPr>
        <w:tc>
          <w:tcPr>
            <w:tcW w:w="2234" w:type="dxa"/>
          </w:tcPr>
          <w:p>
            <w:pPr>
              <w:pStyle w:val="TableParagraph"/>
              <w:spacing w:line="257" w:lineRule="exact" w:before="8"/>
              <w:ind w:left="151" w:right="142"/>
              <w:rPr>
                <w:sz w:val="21"/>
              </w:rPr>
            </w:pPr>
            <w:r>
              <w:rPr>
                <w:sz w:val="21"/>
              </w:rPr>
              <w:t>含农药活性成分废水</w:t>
            </w:r>
          </w:p>
        </w:tc>
        <w:tc>
          <w:tcPr>
            <w:tcW w:w="1985" w:type="dxa"/>
          </w:tcPr>
          <w:p>
            <w:pPr>
              <w:pStyle w:val="TableParagraph"/>
              <w:spacing w:before="22"/>
              <w:ind w:left="43" w:right="30"/>
              <w:rPr>
                <w:rFonts w:ascii="Times New Roman"/>
                <w:sz w:val="21"/>
              </w:rPr>
            </w:pPr>
            <w:r>
              <w:rPr>
                <w:rFonts w:ascii="Times New Roman"/>
                <w:sz w:val="21"/>
              </w:rPr>
              <w:t>27.5</w:t>
            </w:r>
          </w:p>
        </w:tc>
        <w:tc>
          <w:tcPr>
            <w:tcW w:w="5069" w:type="dxa"/>
          </w:tcPr>
          <w:p>
            <w:pPr>
              <w:pStyle w:val="TableParagraph"/>
              <w:spacing w:line="257" w:lineRule="exact" w:before="8"/>
              <w:ind w:left="108"/>
              <w:jc w:val="left"/>
              <w:rPr>
                <w:sz w:val="21"/>
              </w:rPr>
            </w:pPr>
            <w:r>
              <w:rPr>
                <w:sz w:val="21"/>
              </w:rPr>
              <w:t>离心废水、设备及地面清洗废水等</w:t>
            </w:r>
          </w:p>
        </w:tc>
      </w:tr>
      <w:tr>
        <w:trPr>
          <w:trHeight w:val="544" w:hRule="atLeast"/>
        </w:trPr>
        <w:tc>
          <w:tcPr>
            <w:tcW w:w="2234" w:type="dxa"/>
          </w:tcPr>
          <w:p>
            <w:pPr>
              <w:pStyle w:val="TableParagraph"/>
              <w:spacing w:before="137"/>
              <w:ind w:left="149" w:right="142"/>
              <w:rPr>
                <w:sz w:val="21"/>
              </w:rPr>
            </w:pPr>
            <w:r>
              <w:rPr>
                <w:sz w:val="21"/>
              </w:rPr>
              <w:t>其他废水</w:t>
            </w:r>
          </w:p>
        </w:tc>
        <w:tc>
          <w:tcPr>
            <w:tcW w:w="1985" w:type="dxa"/>
          </w:tcPr>
          <w:p>
            <w:pPr>
              <w:pStyle w:val="TableParagraph"/>
              <w:spacing w:before="151"/>
              <w:ind w:left="43" w:right="30"/>
              <w:rPr>
                <w:rFonts w:ascii="Times New Roman"/>
                <w:sz w:val="21"/>
              </w:rPr>
            </w:pPr>
            <w:r>
              <w:rPr>
                <w:rFonts w:ascii="Times New Roman"/>
                <w:sz w:val="21"/>
              </w:rPr>
              <w:t>82.5</w:t>
            </w:r>
          </w:p>
        </w:tc>
        <w:tc>
          <w:tcPr>
            <w:tcW w:w="5069" w:type="dxa"/>
          </w:tcPr>
          <w:p>
            <w:pPr>
              <w:pStyle w:val="TableParagraph"/>
              <w:spacing w:before="1"/>
              <w:ind w:left="108"/>
              <w:jc w:val="left"/>
              <w:rPr>
                <w:sz w:val="21"/>
              </w:rPr>
            </w:pPr>
            <w:r>
              <w:rPr>
                <w:sz w:val="21"/>
              </w:rPr>
              <w:t>甲酸回收废水、水环泵废水、生活污水、喷淋废水、</w:t>
            </w:r>
          </w:p>
          <w:p>
            <w:pPr>
              <w:pStyle w:val="TableParagraph"/>
              <w:spacing w:line="252" w:lineRule="exact" w:before="2"/>
              <w:ind w:left="108"/>
              <w:jc w:val="left"/>
              <w:rPr>
                <w:sz w:val="21"/>
              </w:rPr>
            </w:pPr>
            <w:r>
              <w:rPr>
                <w:sz w:val="21"/>
              </w:rPr>
              <w:t>初期雨水等</w:t>
            </w:r>
          </w:p>
        </w:tc>
      </w:tr>
    </w:tbl>
    <w:p>
      <w:pPr>
        <w:spacing w:after="0" w:line="252" w:lineRule="exact"/>
        <w:jc w:val="left"/>
        <w:rPr>
          <w:sz w:val="21"/>
        </w:rPr>
        <w:sectPr>
          <w:pgSz w:w="11910" w:h="16850"/>
          <w:pgMar w:header="730" w:footer="673" w:top="980" w:bottom="860" w:left="1160" w:right="1080"/>
        </w:sectPr>
      </w:pPr>
    </w:p>
    <w:p>
      <w:pPr>
        <w:pStyle w:val="BodyText"/>
        <w:rPr>
          <w:b/>
          <w:sz w:val="20"/>
        </w:rPr>
      </w:pPr>
    </w:p>
    <w:p>
      <w:pPr>
        <w:pStyle w:val="BodyText"/>
        <w:spacing w:before="6"/>
        <w:rPr>
          <w:b/>
          <w:sz w:val="13"/>
        </w:rPr>
      </w:pP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4"/>
        <w:gridCol w:w="1985"/>
        <w:gridCol w:w="5069"/>
      </w:tblGrid>
      <w:tr>
        <w:trPr>
          <w:trHeight w:val="283" w:hRule="atLeast"/>
        </w:trPr>
        <w:tc>
          <w:tcPr>
            <w:tcW w:w="2234" w:type="dxa"/>
          </w:tcPr>
          <w:p>
            <w:pPr>
              <w:pStyle w:val="TableParagraph"/>
              <w:spacing w:line="257" w:lineRule="exact" w:before="5"/>
              <w:ind w:left="151" w:right="139"/>
              <w:rPr>
                <w:b/>
                <w:sz w:val="21"/>
              </w:rPr>
            </w:pPr>
            <w:r>
              <w:rPr>
                <w:b/>
                <w:sz w:val="21"/>
              </w:rPr>
              <w:t>废水分类</w:t>
            </w:r>
          </w:p>
        </w:tc>
        <w:tc>
          <w:tcPr>
            <w:tcW w:w="1985" w:type="dxa"/>
          </w:tcPr>
          <w:p>
            <w:pPr>
              <w:pStyle w:val="TableParagraph"/>
              <w:spacing w:line="257" w:lineRule="exact" w:before="5"/>
              <w:ind w:left="43" w:right="33"/>
              <w:rPr>
                <w:b/>
                <w:sz w:val="21"/>
              </w:rPr>
            </w:pPr>
            <w:r>
              <w:rPr>
                <w:b/>
                <w:sz w:val="21"/>
              </w:rPr>
              <w:t>处理水量（</w:t>
            </w:r>
            <w:r>
              <w:rPr>
                <w:rFonts w:ascii="Times New Roman" w:eastAsia="Times New Roman"/>
                <w:b/>
                <w:sz w:val="21"/>
              </w:rPr>
              <w:t>t/d</w:t>
            </w:r>
            <w:r>
              <w:rPr>
                <w:b/>
                <w:sz w:val="21"/>
              </w:rPr>
              <w:t>）</w:t>
            </w:r>
          </w:p>
        </w:tc>
        <w:tc>
          <w:tcPr>
            <w:tcW w:w="5069" w:type="dxa"/>
          </w:tcPr>
          <w:p>
            <w:pPr>
              <w:pStyle w:val="TableParagraph"/>
              <w:spacing w:line="257" w:lineRule="exact" w:before="5"/>
              <w:ind w:left="2301" w:right="2295"/>
              <w:rPr>
                <w:b/>
                <w:sz w:val="21"/>
              </w:rPr>
            </w:pPr>
            <w:r>
              <w:rPr>
                <w:b/>
                <w:sz w:val="21"/>
              </w:rPr>
              <w:t>备注</w:t>
            </w:r>
          </w:p>
        </w:tc>
      </w:tr>
      <w:tr>
        <w:trPr>
          <w:trHeight w:val="285" w:hRule="atLeast"/>
        </w:trPr>
        <w:tc>
          <w:tcPr>
            <w:tcW w:w="2234" w:type="dxa"/>
          </w:tcPr>
          <w:p>
            <w:pPr>
              <w:pStyle w:val="TableParagraph"/>
              <w:spacing w:line="257" w:lineRule="exact" w:before="8"/>
              <w:ind w:left="151" w:right="139"/>
              <w:rPr>
                <w:sz w:val="21"/>
              </w:rPr>
            </w:pPr>
            <w:r>
              <w:rPr>
                <w:sz w:val="21"/>
              </w:rPr>
              <w:t>集中生化处理规模</w:t>
            </w:r>
          </w:p>
        </w:tc>
        <w:tc>
          <w:tcPr>
            <w:tcW w:w="1985" w:type="dxa"/>
          </w:tcPr>
          <w:p>
            <w:pPr>
              <w:pStyle w:val="TableParagraph"/>
              <w:spacing w:before="22"/>
              <w:ind w:left="43" w:right="27"/>
              <w:rPr>
                <w:rFonts w:ascii="Times New Roman"/>
                <w:sz w:val="21"/>
              </w:rPr>
            </w:pPr>
            <w:r>
              <w:rPr>
                <w:rFonts w:ascii="Times New Roman"/>
                <w:sz w:val="21"/>
              </w:rPr>
              <w:t>110</w:t>
            </w:r>
          </w:p>
        </w:tc>
        <w:tc>
          <w:tcPr>
            <w:tcW w:w="5069" w:type="dxa"/>
          </w:tcPr>
          <w:p>
            <w:pPr>
              <w:pStyle w:val="TableParagraph"/>
              <w:spacing w:before="22"/>
              <w:ind w:left="7"/>
              <w:rPr>
                <w:rFonts w:ascii="Times New Roman"/>
                <w:sz w:val="21"/>
              </w:rPr>
            </w:pPr>
            <w:r>
              <w:rPr>
                <w:rFonts w:ascii="Times New Roman"/>
                <w:w w:val="100"/>
                <w:sz w:val="21"/>
              </w:rPr>
              <w:t>/</w:t>
            </w:r>
          </w:p>
        </w:tc>
      </w:tr>
    </w:tbl>
    <w:p>
      <w:pPr>
        <w:pStyle w:val="ListParagraph"/>
        <w:numPr>
          <w:ilvl w:val="2"/>
          <w:numId w:val="13"/>
        </w:numPr>
        <w:tabs>
          <w:tab w:pos="1039" w:val="left" w:leader="none"/>
        </w:tabs>
        <w:spacing w:line="240" w:lineRule="auto" w:before="2" w:after="0"/>
        <w:ind w:left="1038" w:right="0" w:hanging="541"/>
        <w:jc w:val="left"/>
        <w:rPr>
          <w:b/>
          <w:sz w:val="24"/>
        </w:rPr>
      </w:pPr>
      <w:r>
        <w:rPr>
          <w:b/>
          <w:sz w:val="24"/>
        </w:rPr>
        <w:t>废水处理设施可行性分析</w:t>
      </w:r>
    </w:p>
    <w:p>
      <w:pPr>
        <w:pStyle w:val="ListParagraph"/>
        <w:numPr>
          <w:ilvl w:val="3"/>
          <w:numId w:val="13"/>
        </w:numPr>
        <w:tabs>
          <w:tab w:pos="1462" w:val="left" w:leader="none"/>
        </w:tabs>
        <w:spacing w:line="240" w:lineRule="auto" w:before="161" w:after="0"/>
        <w:ind w:left="1461" w:right="0" w:hanging="721"/>
        <w:jc w:val="left"/>
        <w:rPr>
          <w:b/>
          <w:sz w:val="24"/>
        </w:rPr>
      </w:pPr>
      <w:r>
        <w:rPr>
          <w:b/>
          <w:sz w:val="24"/>
        </w:rPr>
        <w:t>废水预处理设施</w:t>
      </w:r>
    </w:p>
    <w:p>
      <w:pPr>
        <w:spacing w:before="158"/>
        <w:ind w:left="741" w:right="0" w:firstLine="0"/>
        <w:jc w:val="left"/>
        <w:rPr>
          <w:b/>
          <w:sz w:val="24"/>
        </w:rPr>
      </w:pPr>
      <w:r>
        <w:rPr>
          <w:rFonts w:ascii="Times New Roman" w:eastAsia="Times New Roman"/>
          <w:b/>
          <w:sz w:val="24"/>
        </w:rPr>
        <w:t>1</w:t>
      </w:r>
      <w:r>
        <w:rPr>
          <w:b/>
          <w:sz w:val="24"/>
        </w:rPr>
        <w:t>、废水预处理工艺</w:t>
      </w:r>
    </w:p>
    <w:p>
      <w:pPr>
        <w:pStyle w:val="BodyText"/>
        <w:spacing w:before="7"/>
        <w:rPr>
          <w:b/>
          <w:sz w:val="17"/>
        </w:rPr>
      </w:pPr>
    </w:p>
    <w:p>
      <w:pPr>
        <w:tabs>
          <w:tab w:pos="4115" w:val="left" w:leader="none"/>
          <w:tab w:pos="6334" w:val="left" w:leader="none"/>
        </w:tabs>
        <w:spacing w:before="93"/>
        <w:ind w:left="2281" w:right="0" w:firstLine="0"/>
        <w:jc w:val="left"/>
        <w:rPr>
          <w:rFonts w:ascii="Times New Roman" w:eastAsia="Times New Roman"/>
          <w:sz w:val="22"/>
        </w:rPr>
      </w:pPr>
      <w:r>
        <w:rPr/>
        <w:pict>
          <v:group style="position:absolute;margin-left:229.293137pt;margin-top:55.345924pt;width:29.1pt;height:6.05pt;mso-position-horizontal-relative:page;mso-position-vertical-relative:paragraph;z-index:251795456" coordorigin="4586,1107" coordsize="582,121">
            <v:line style="position:absolute" from="4586,1167" to="4999,1167" stroked="true" strokeweight=".69342pt" strokecolor="#000000">
              <v:stroke dashstyle="solid"/>
            </v:line>
            <v:shape style="position:absolute;left:4984;top:1106;width:183;height:121" coordorigin="4984,1107" coordsize="183,121" path="m4984,1107l4984,1228,5167,1167,4984,1107xe" filled="true" fillcolor="#000000" stroked="false">
              <v:path arrowok="t"/>
              <v:fill type="solid"/>
            </v:shape>
            <w10:wrap type="none"/>
          </v:group>
        </w:pict>
      </w:r>
      <w:r>
        <w:rPr/>
        <w:pict>
          <v:group style="position:absolute;margin-left:324.386505pt;margin-top:55.345936pt;width:29.1pt;height:6.05pt;mso-position-horizontal-relative:page;mso-position-vertical-relative:paragraph;z-index:251796480" coordorigin="6488,1107" coordsize="582,121">
            <v:line style="position:absolute" from="6488,1167" to="6901,1167" stroked="true" strokeweight=".69342pt" strokecolor="#000000">
              <v:stroke dashstyle="solid"/>
            </v:line>
            <v:shape style="position:absolute;left:6886;top:1106;width:183;height:121" coordorigin="6886,1107" coordsize="183,121" path="m6886,1107l6886,1228,7069,1167,6886,1107xe" filled="true" fillcolor="#000000" stroked="false">
              <v:path arrowok="t"/>
              <v:fill type="solid"/>
            </v:shape>
            <w10:wrap type="none"/>
          </v:group>
        </w:pict>
      </w:r>
      <w:r>
        <w:rPr/>
        <w:pict>
          <v:group style="position:absolute;margin-left:199.828644pt;margin-top:24.063421pt;width:6.1pt;height:21.2pt;mso-position-horizontal-relative:page;mso-position-vertical-relative:paragraph;z-index:251801600" coordorigin="3997,481" coordsize="122,424">
            <v:line style="position:absolute" from="4058,481" to="4058,739" stroked="true" strokeweight=".698873pt" strokecolor="#000000">
              <v:stroke dashstyle="solid"/>
            </v:line>
            <v:shape style="position:absolute;left:3996;top:723;width:122;height:182" coordorigin="3997,724" coordsize="122,182" path="m4118,724l3997,724,4058,905,4118,724xe" filled="true" fillcolor="#000000" stroked="false">
              <v:path arrowok="t"/>
              <v:fill type="solid"/>
            </v:shape>
            <w10:wrap type="none"/>
          </v:group>
        </w:pict>
      </w:r>
      <w:r>
        <w:rPr/>
        <w:pict>
          <v:group style="position:absolute;margin-left:287.663055pt;margin-top:24.063433pt;width:6.1pt;height:21.2pt;mso-position-horizontal-relative:page;mso-position-vertical-relative:paragraph;z-index:251802624" coordorigin="5753,481" coordsize="122,424">
            <v:line style="position:absolute" from="5814,481" to="5814,739" stroked="true" strokeweight=".698873pt" strokecolor="#000000">
              <v:stroke dashstyle="solid"/>
            </v:line>
            <v:shape style="position:absolute;left:5753;top:723;width:122;height:182" coordorigin="5753,724" coordsize="122,182" path="m5875,724l5753,724,5814,905,5875,724xe" filled="true" fillcolor="#000000" stroked="false">
              <v:path arrowok="t"/>
              <v:fill type="solid"/>
            </v:shape>
            <w10:wrap type="none"/>
          </v:group>
        </w:pict>
      </w:r>
      <w:r>
        <w:rPr/>
        <w:pict>
          <v:group style="position:absolute;margin-left:384.731903pt;margin-top:24.063444pt;width:6.1pt;height:21.2pt;mso-position-horizontal-relative:page;mso-position-vertical-relative:paragraph;z-index:251803648" coordorigin="7695,481" coordsize="122,424">
            <v:line style="position:absolute" from="7756,481" to="7756,739" stroked="true" strokeweight=".698873pt" strokecolor="#000000">
              <v:stroke dashstyle="solid"/>
            </v:line>
            <v:shape style="position:absolute;left:7694;top:723;width:122;height:182" coordorigin="7695,724" coordsize="122,182" path="m7817,724l7695,724,7756,905,7817,724xe" filled="true" fillcolor="#000000" stroked="false">
              <v:path arrowok="t"/>
              <v:fill type="solid"/>
            </v:shape>
            <w10:wrap type="none"/>
          </v:group>
        </w:pict>
      </w:r>
      <w:r>
        <w:rPr/>
        <w:pict>
          <v:group style="position:absolute;margin-left:419.479858pt;margin-top:55.345947pt;width:29.1pt;height:6.05pt;mso-position-horizontal-relative:page;mso-position-vertical-relative:paragraph;z-index:251804672" coordorigin="8390,1107" coordsize="582,121">
            <v:line style="position:absolute" from="8390,1167" to="8803,1167" stroked="true" strokeweight=".69342pt" strokecolor="#000000">
              <v:stroke dashstyle="solid"/>
            </v:line>
            <v:shape style="position:absolute;left:8787;top:1106;width:183;height:121" coordorigin="8788,1107" coordsize="183,121" path="m8788,1107l8788,1228,8971,1167,8788,1107xe" filled="true" fillcolor="#000000" stroked="false">
              <v:path arrowok="t"/>
              <v:fill type="solid"/>
            </v:shape>
            <w10:wrap type="none"/>
          </v:group>
        </w:pict>
      </w:r>
      <w:r>
        <w:rPr>
          <w:position w:val="-1"/>
          <w:sz w:val="22"/>
        </w:rPr>
        <w:t>铁粉、消泡剂</w:t>
        <w:tab/>
      </w:r>
      <w:r>
        <w:rPr>
          <w:rFonts w:ascii="Times New Roman" w:eastAsia="Times New Roman"/>
          <w:sz w:val="22"/>
        </w:rPr>
        <w:t>H</w:t>
      </w:r>
      <w:r>
        <w:rPr>
          <w:rFonts w:ascii="Times New Roman" w:eastAsia="Times New Roman"/>
          <w:sz w:val="22"/>
          <w:vertAlign w:val="subscript"/>
        </w:rPr>
        <w:t>2</w:t>
      </w:r>
      <w:r>
        <w:rPr>
          <w:rFonts w:ascii="Times New Roman" w:eastAsia="Times New Roman"/>
          <w:sz w:val="22"/>
          <w:vertAlign w:val="baseline"/>
        </w:rPr>
        <w:t>O</w:t>
      </w:r>
      <w:r>
        <w:rPr>
          <w:rFonts w:ascii="Times New Roman" w:eastAsia="Times New Roman"/>
          <w:sz w:val="22"/>
          <w:vertAlign w:val="subscript"/>
        </w:rPr>
        <w:t>2</w:t>
      </w:r>
      <w:r>
        <w:rPr>
          <w:rFonts w:ascii="Times New Roman" w:eastAsia="Times New Roman"/>
          <w:sz w:val="22"/>
          <w:vertAlign w:val="baseline"/>
        </w:rPr>
        <w:t>/FeSO</w:t>
      </w:r>
      <w:r>
        <w:rPr>
          <w:rFonts w:ascii="Times New Roman" w:eastAsia="Times New Roman"/>
          <w:sz w:val="22"/>
          <w:vertAlign w:val="subscript"/>
        </w:rPr>
        <w:t>4</w:t>
      </w:r>
      <w:r>
        <w:rPr>
          <w:rFonts w:ascii="Times New Roman" w:eastAsia="Times New Roman"/>
          <w:sz w:val="22"/>
          <w:vertAlign w:val="baseline"/>
        </w:rPr>
        <w:tab/>
        <w:t>PAM</w:t>
      </w:r>
    </w:p>
    <w:p>
      <w:pPr>
        <w:pStyle w:val="BodyText"/>
        <w:spacing w:before="9"/>
        <w:rPr>
          <w:rFonts w:ascii="Times New Roman"/>
          <w:sz w:val="23"/>
        </w:rPr>
      </w:pPr>
    </w:p>
    <w:p>
      <w:pPr>
        <w:spacing w:after="0"/>
        <w:rPr>
          <w:rFonts w:ascii="Times New Roman"/>
          <w:sz w:val="23"/>
        </w:rPr>
        <w:sectPr>
          <w:pgSz w:w="11910" w:h="16850"/>
          <w:pgMar w:header="730" w:footer="673" w:top="980" w:bottom="860" w:left="1160" w:right="1080"/>
        </w:sectPr>
      </w:pPr>
    </w:p>
    <w:p>
      <w:pPr>
        <w:pStyle w:val="BodyText"/>
        <w:spacing w:before="2"/>
        <w:rPr>
          <w:rFonts w:ascii="Times New Roman"/>
          <w:sz w:val="20"/>
        </w:rPr>
      </w:pPr>
    </w:p>
    <w:p>
      <w:pPr>
        <w:tabs>
          <w:tab w:pos="2318" w:val="left" w:leader="none"/>
        </w:tabs>
        <w:spacing w:line="275" w:lineRule="exact" w:before="0"/>
        <w:ind w:left="634" w:right="0" w:firstLine="0"/>
        <w:jc w:val="center"/>
        <w:rPr>
          <w:rFonts w:ascii="Times New Roman" w:eastAsia="Times New Roman"/>
          <w:sz w:val="22"/>
        </w:rPr>
      </w:pPr>
      <w:r>
        <w:rPr/>
        <w:pict>
          <v:shape style="position:absolute;margin-left:172.607056pt;margin-top:11.071218pt;width:9.15pt;height:6.05pt;mso-position-horizontal-relative:page;mso-position-vertical-relative:paragraph;z-index:-317788160" coordorigin="3452,221" coordsize="183,121" path="m3452,221l3452,342,3635,282,3452,221xe" filled="true" fillcolor="#000000" stroked="false">
            <v:path arrowok="t"/>
            <v:fill type="solid"/>
            <w10:wrap type="none"/>
          </v:shape>
        </w:pict>
      </w:r>
      <w:r>
        <w:rPr/>
        <w:pict>
          <v:shape style="position:absolute;margin-left:181.751114pt;margin-top:.990745pt;width:47.55pt;height:26.25pt;mso-position-horizontal-relative:page;mso-position-vertical-relative:paragraph;z-index:251805696" type="#_x0000_t202" filled="false" stroked="true" strokeweight=".694708pt" strokecolor="#000000">
            <v:textbox inset="0,0,0,0">
              <w:txbxContent>
                <w:p>
                  <w:pPr>
                    <w:spacing w:before="107"/>
                    <w:ind w:left="135" w:right="0" w:firstLine="0"/>
                    <w:jc w:val="left"/>
                    <w:rPr>
                      <w:sz w:val="22"/>
                    </w:rPr>
                  </w:pPr>
                  <w:r>
                    <w:rPr>
                      <w:sz w:val="22"/>
                    </w:rPr>
                    <w:t>铁碳塔</w:t>
                  </w:r>
                </w:p>
              </w:txbxContent>
            </v:textbox>
            <v:stroke dashstyle="solid"/>
            <w10:wrap type="none"/>
          </v:shape>
        </w:pict>
      </w:r>
      <w:r>
        <w:rPr>
          <w:spacing w:val="-1"/>
          <w:sz w:val="22"/>
        </w:rPr>
        <w:t>需预处理</w:t>
      </w:r>
      <w:r>
        <w:rPr>
          <w:sz w:val="22"/>
        </w:rPr>
        <w:t>的</w:t>
      </w:r>
      <w:r>
        <w:rPr>
          <w:spacing w:val="-10"/>
          <w:sz w:val="22"/>
        </w:rPr>
        <w:t> </w:t>
      </w:r>
      <w:r>
        <w:rPr>
          <w:rFonts w:ascii="Times New Roman" w:eastAsia="Times New Roman"/>
          <w:w w:val="102"/>
          <w:sz w:val="22"/>
          <w:u w:val="single"/>
        </w:rPr>
        <w:t> </w:t>
      </w:r>
      <w:r>
        <w:rPr>
          <w:rFonts w:ascii="Times New Roman" w:eastAsia="Times New Roman"/>
          <w:sz w:val="22"/>
          <w:u w:val="single"/>
        </w:rPr>
        <w:tab/>
      </w:r>
    </w:p>
    <w:p>
      <w:pPr>
        <w:spacing w:line="275" w:lineRule="exact" w:before="0"/>
        <w:ind w:left="69" w:right="0" w:firstLine="0"/>
        <w:jc w:val="center"/>
        <w:rPr>
          <w:sz w:val="22"/>
        </w:rPr>
      </w:pPr>
      <w:r>
        <w:rPr>
          <w:sz w:val="22"/>
        </w:rPr>
        <w:t>废水</w:t>
      </w:r>
    </w:p>
    <w:p>
      <w:pPr>
        <w:spacing w:line="228" w:lineRule="auto" w:before="83"/>
        <w:ind w:left="674" w:right="727" w:firstLine="0"/>
        <w:jc w:val="center"/>
        <w:rPr>
          <w:sz w:val="22"/>
        </w:rPr>
      </w:pPr>
      <w:r>
        <w:rPr/>
        <w:br w:type="column"/>
      </w:r>
      <w:r>
        <w:rPr>
          <w:sz w:val="22"/>
        </w:rPr>
        <w:t>与其他废水进入生化处理</w:t>
      </w:r>
    </w:p>
    <w:p>
      <w:pPr>
        <w:spacing w:after="0" w:line="228" w:lineRule="auto"/>
        <w:jc w:val="center"/>
        <w:rPr>
          <w:sz w:val="22"/>
        </w:rPr>
        <w:sectPr>
          <w:type w:val="continuous"/>
          <w:pgSz w:w="11910" w:h="16850"/>
          <w:pgMar w:top="1420" w:bottom="280" w:left="1160" w:right="1080"/>
          <w:cols w:num="2" w:equalWidth="0">
            <w:col w:w="2399" w:space="4742"/>
            <w:col w:w="2529"/>
          </w:cols>
        </w:sectPr>
      </w:pPr>
    </w:p>
    <w:p>
      <w:pPr>
        <w:pStyle w:val="BodyText"/>
        <w:rPr>
          <w:sz w:val="20"/>
        </w:rPr>
      </w:pPr>
    </w:p>
    <w:p>
      <w:pPr>
        <w:pStyle w:val="BodyText"/>
        <w:rPr>
          <w:sz w:val="20"/>
        </w:rPr>
      </w:pPr>
    </w:p>
    <w:p>
      <w:pPr>
        <w:pStyle w:val="BodyText"/>
        <w:spacing w:before="6"/>
        <w:rPr>
          <w:sz w:val="16"/>
        </w:rPr>
      </w:pPr>
    </w:p>
    <w:p>
      <w:pPr>
        <w:spacing w:before="71"/>
        <w:ind w:left="1712" w:right="77" w:firstLine="0"/>
        <w:jc w:val="center"/>
        <w:rPr>
          <w:sz w:val="22"/>
        </w:rPr>
      </w:pPr>
      <w:r>
        <w:rPr/>
        <w:pict>
          <v:group style="position:absolute;margin-left:258.000549pt;margin-top:-68.268791pt;width:161.85pt;height:68.5pt;mso-position-horizontal-relative:page;mso-position-vertical-relative:paragraph;z-index:251800576" coordorigin="5160,-1365" coordsize="3237,1370">
            <v:line style="position:absolute" from="5854,-834" to="5854,-581" stroked="true" strokeweight=".698873pt" strokecolor="#000000">
              <v:stroke dashstyle="shortdash"/>
            </v:line>
            <v:shape style="position:absolute;left:5792;top:-597;width:122;height:182" coordorigin="5793,-596" coordsize="122,182" path="m5915,-596l5793,-596,5854,-415,5915,-596xe" filled="true" fillcolor="#000000" stroked="false">
              <v:path arrowok="t"/>
              <v:fill type="solid"/>
            </v:shape>
            <v:line style="position:absolute" from="7756,-834" to="7756,-581" stroked="true" strokeweight=".698873pt" strokecolor="#000000">
              <v:stroke dashstyle="shortdash"/>
            </v:line>
            <v:shape style="position:absolute;left:7694;top:-597;width:122;height:182" coordorigin="7695,-596" coordsize="122,182" path="m7817,-596l7695,-596,7756,-415,7817,-596xe" filled="true" fillcolor="#000000" stroked="false">
              <v:path arrowok="t"/>
              <v:fill type="solid"/>
            </v:shape>
            <v:shape style="position:absolute;left:4452;top:10103;width:2041;height:274" coordorigin="4452,10103" coordsize="2041,274" path="m5854,-415l7756,-415m6805,-415l6805,-162e" filled="false" stroked="true" strokeweight=".696147pt" strokecolor="#000000">
              <v:path arrowok="t"/>
              <v:stroke dashstyle="shortdash"/>
            </v:shape>
            <v:shape style="position:absolute;left:6743;top:-178;width:122;height:182" coordorigin="6744,-177" coordsize="122,182" path="m6866,-177l6744,-177,6805,4,6866,-177xe" filled="true" fillcolor="#000000" stroked="false">
              <v:path arrowok="t"/>
              <v:fill type="solid"/>
            </v:shape>
            <v:shape style="position:absolute;left:7068;top:-1359;width:1321;height:525" type="#_x0000_t202" filled="false" stroked="true" strokeweight=".694174pt" strokecolor="#000000">
              <v:textbox inset="0,0,0,0">
                <w:txbxContent>
                  <w:p>
                    <w:pPr>
                      <w:spacing w:before="107"/>
                      <w:ind w:left="101" w:right="0" w:firstLine="0"/>
                      <w:jc w:val="left"/>
                      <w:rPr>
                        <w:sz w:val="22"/>
                      </w:rPr>
                    </w:pPr>
                    <w:r>
                      <w:rPr>
                        <w:sz w:val="22"/>
                      </w:rPr>
                      <w:t>混凝沉淀池</w:t>
                    </w:r>
                  </w:p>
                </w:txbxContent>
              </v:textbox>
              <v:stroke dashstyle="solid"/>
              <w10:wrap type="none"/>
            </v:shape>
            <v:shape style="position:absolute;left:5166;top:-1359;width:1321;height:525" type="#_x0000_t202" filled="false" stroked="true" strokeweight=".694174pt" strokecolor="#000000">
              <v:textbox inset="0,0,0,0">
                <w:txbxContent>
                  <w:p>
                    <w:pPr>
                      <w:spacing w:before="107"/>
                      <w:ind w:left="99" w:right="0" w:firstLine="0"/>
                      <w:jc w:val="left"/>
                      <w:rPr>
                        <w:sz w:val="22"/>
                      </w:rPr>
                    </w:pPr>
                    <w:r>
                      <w:rPr>
                        <w:sz w:val="22"/>
                      </w:rPr>
                      <w:t>芬顿氧化池</w:t>
                    </w:r>
                  </w:p>
                </w:txbxContent>
              </v:textbox>
              <v:stroke dashstyle="solid"/>
              <w10:wrap type="none"/>
            </v:shape>
            <w10:wrap type="none"/>
          </v:group>
        </w:pict>
      </w:r>
      <w:r>
        <w:rPr>
          <w:sz w:val="22"/>
        </w:rPr>
        <w:t>污泥至污泥池</w:t>
      </w:r>
    </w:p>
    <w:p>
      <w:pPr>
        <w:pStyle w:val="BodyText"/>
        <w:spacing w:before="7"/>
        <w:rPr>
          <w:sz w:val="16"/>
        </w:rPr>
      </w:pPr>
    </w:p>
    <w:p>
      <w:pPr>
        <w:pStyle w:val="Heading4"/>
        <w:tabs>
          <w:tab w:pos="4200" w:val="left" w:leader="none"/>
        </w:tabs>
        <w:spacing w:line="364" w:lineRule="auto" w:before="74"/>
        <w:ind w:left="741" w:right="3055" w:firstLine="2237"/>
      </w:pPr>
      <w:r>
        <w:rPr/>
        <w:t>表</w:t>
      </w:r>
      <w:r>
        <w:rPr>
          <w:spacing w:val="-60"/>
        </w:rPr>
        <w:t> </w:t>
      </w:r>
      <w:r>
        <w:rPr>
          <w:rFonts w:ascii="Times New Roman" w:eastAsia="Times New Roman"/>
        </w:rPr>
        <w:t>5.1.3-1</w:t>
        <w:tab/>
      </w:r>
      <w:r>
        <w:rPr/>
        <w:t>废水预处理工艺流程</w:t>
      </w:r>
      <w:r>
        <w:rPr>
          <w:spacing w:val="-17"/>
        </w:rPr>
        <w:t>图</w:t>
      </w:r>
      <w:r>
        <w:rPr/>
        <w:t>废水预处理工艺流程说明：</w:t>
      </w:r>
    </w:p>
    <w:p>
      <w:pPr>
        <w:pStyle w:val="BodyText"/>
        <w:spacing w:line="364" w:lineRule="auto"/>
        <w:ind w:left="258" w:right="273" w:firstLine="480"/>
      </w:pPr>
      <w:r>
        <w:rPr/>
        <w:t>车间收集的废水（离心废水、地面及设备清洗废水）中含有的主要污染因子为农药活性成分三环唑，另外还有甲酸等，预处理采用铁碳</w:t>
      </w:r>
      <w:r>
        <w:rPr>
          <w:rFonts w:ascii="Times New Roman" w:eastAsia="Times New Roman"/>
        </w:rPr>
        <w:t>+</w:t>
      </w:r>
      <w:r>
        <w:rPr/>
        <w:t>芬顿氧化</w:t>
      </w:r>
      <w:r>
        <w:rPr>
          <w:rFonts w:ascii="Times New Roman" w:eastAsia="Times New Roman"/>
        </w:rPr>
        <w:t>+</w:t>
      </w:r>
      <w:r>
        <w:rPr/>
        <w:t>混凝沉淀工艺。</w:t>
      </w:r>
    </w:p>
    <w:p>
      <w:pPr>
        <w:pStyle w:val="BodyText"/>
        <w:spacing w:line="364" w:lineRule="auto"/>
        <w:ind w:left="258" w:right="332" w:firstLine="480"/>
        <w:jc w:val="both"/>
      </w:pPr>
      <w:r>
        <w:rPr>
          <w:spacing w:val="-3"/>
        </w:rPr>
        <w:t>该处理工艺利用二价铁离子和双氧水混合状态下的强氧化性，在常温常压下氧化废</w:t>
      </w:r>
      <w:r>
        <w:rPr>
          <w:spacing w:val="-5"/>
        </w:rPr>
        <w:t>水中的有机污染物，直接氧化有机污染物，提高废水的可生化性，较好的去除有机污染</w:t>
      </w:r>
      <w:r>
        <w:rPr/>
        <w:t>物。</w:t>
      </w:r>
    </w:p>
    <w:p>
      <w:pPr>
        <w:pStyle w:val="BodyText"/>
        <w:spacing w:line="364" w:lineRule="auto"/>
        <w:ind w:left="258" w:right="332" w:firstLine="480"/>
        <w:jc w:val="both"/>
      </w:pPr>
      <w:r>
        <w:rPr>
          <w:spacing w:val="-4"/>
        </w:rPr>
        <w:t>废水中有机污染物被氧化剂分解，苯环类大分子变成小分子，小分子再进一步被氧</w:t>
      </w:r>
      <w:r>
        <w:rPr>
          <w:spacing w:val="-7"/>
        </w:rPr>
        <w:t>化为二氧化碳和水，提高 </w:t>
      </w:r>
      <w:r>
        <w:rPr>
          <w:rFonts w:ascii="Times New Roman" w:eastAsia="Times New Roman"/>
        </w:rPr>
        <w:t>BOD/COD </w:t>
      </w:r>
      <w:r>
        <w:rPr>
          <w:spacing w:val="-5"/>
        </w:rPr>
        <w:t>的比值，提高废水的可生化性，为后续生化处理创造条件，使废水处理后达标排放。</w:t>
      </w:r>
    </w:p>
    <w:p>
      <w:pPr>
        <w:pStyle w:val="BodyText"/>
        <w:spacing w:line="364" w:lineRule="auto"/>
        <w:ind w:left="258" w:right="212" w:firstLine="480"/>
        <w:jc w:val="both"/>
      </w:pPr>
      <w:r>
        <w:rPr>
          <w:spacing w:val="-6"/>
        </w:rPr>
        <w:t>根据相关文献，甲酸、乙酸及丙酸可以用过氧化氢进行氧化。过氧化氢发生分解而</w:t>
      </w:r>
      <w:r>
        <w:rPr>
          <w:spacing w:val="-15"/>
        </w:rPr>
        <w:t>产生 </w:t>
      </w:r>
      <w:r>
        <w:rPr>
          <w:rFonts w:ascii="Times New Roman" w:hAnsi="Times New Roman" w:eastAsia="Times New Roman"/>
        </w:rPr>
        <w:t>OH</w:t>
      </w:r>
      <w:r>
        <w:rPr>
          <w:rFonts w:ascii="Times New Roman" w:hAnsi="Times New Roman" w:eastAsia="Times New Roman"/>
          <w:position w:val="9"/>
          <w:sz w:val="16"/>
        </w:rPr>
        <w:t>·</w:t>
      </w:r>
      <w:r>
        <w:rPr/>
        <w:t>游离基，然后取代这些酸中的氢原子</w:t>
      </w:r>
      <w:r>
        <w:rPr>
          <w:rFonts w:ascii="Times New Roman" w:hAnsi="Times New Roman" w:eastAsia="Times New Roman"/>
          <w:spacing w:val="29"/>
        </w:rPr>
        <w:t>, </w:t>
      </w:r>
      <w:r>
        <w:rPr/>
        <w:t>诱导了一系列的降解反应。在氧化反应中</w:t>
      </w:r>
      <w:r>
        <w:rPr>
          <w:rFonts w:ascii="Times New Roman" w:hAnsi="Times New Roman" w:eastAsia="Times New Roman"/>
          <w:spacing w:val="1"/>
        </w:rPr>
        <w:t>, </w:t>
      </w:r>
      <w:r>
        <w:rPr/>
        <w:t>酸降解成二氧化碳及水；另外氧化对于三环唑杀菌剂有去除活性的作用，可保证后</w:t>
      </w:r>
      <w:r>
        <w:rPr>
          <w:spacing w:val="-14"/>
        </w:rPr>
        <w:t>续生化细菌不受影响，高级氧化也是农药、医药企业用于破坏杀菌活性的主要方法之一。</w:t>
      </w:r>
    </w:p>
    <w:p>
      <w:pPr>
        <w:pStyle w:val="Heading4"/>
        <w:spacing w:line="306" w:lineRule="exact"/>
        <w:ind w:left="741"/>
      </w:pPr>
      <w:r>
        <w:rPr>
          <w:rFonts w:ascii="Times New Roman" w:eastAsia="Times New Roman"/>
        </w:rPr>
        <w:t>2</w:t>
      </w:r>
      <w:r>
        <w:rPr/>
        <w:t>、废水预处理设施可行性分析</w:t>
      </w:r>
    </w:p>
    <w:p>
      <w:pPr>
        <w:pStyle w:val="BodyText"/>
        <w:spacing w:line="364" w:lineRule="auto" w:before="155"/>
        <w:ind w:left="258" w:right="329" w:firstLine="480"/>
      </w:pPr>
      <w:r>
        <w:rPr/>
        <w:t>东区新建的废水预处理设施设计处理规模为 </w:t>
      </w:r>
      <w:r>
        <w:rPr>
          <w:rFonts w:ascii="Times New Roman" w:eastAsia="Times New Roman"/>
        </w:rPr>
        <w:t>30t/d</w:t>
      </w:r>
      <w:r>
        <w:rPr/>
        <w:t>，本项目需预处理的废水量为</w:t>
      </w:r>
      <w:r>
        <w:rPr>
          <w:rFonts w:ascii="Times New Roman" w:eastAsia="Times New Roman"/>
        </w:rPr>
        <w:t>27.5t/d</w:t>
      </w:r>
      <w:r>
        <w:rPr/>
        <w:t>，从水量上可以满足。</w:t>
      </w:r>
    </w:p>
    <w:p>
      <w:pPr>
        <w:pStyle w:val="BodyText"/>
        <w:spacing w:line="306" w:lineRule="exact"/>
        <w:ind w:left="738"/>
      </w:pPr>
      <w:r>
        <w:rPr/>
        <w:t>本项目需预处理废水进入预处理设施后，进出水水质如下：</w:t>
      </w:r>
    </w:p>
    <w:p>
      <w:pPr>
        <w:spacing w:after="0" w:line="306" w:lineRule="exact"/>
        <w:sectPr>
          <w:type w:val="continuous"/>
          <w:pgSz w:w="11910" w:h="16850"/>
          <w:pgMar w:top="1420" w:bottom="280" w:left="1160" w:right="1080"/>
        </w:sectPr>
      </w:pPr>
    </w:p>
    <w:p>
      <w:pPr>
        <w:pStyle w:val="BodyText"/>
        <w:rPr>
          <w:sz w:val="20"/>
        </w:rPr>
      </w:pPr>
    </w:p>
    <w:p>
      <w:pPr>
        <w:pStyle w:val="BodyText"/>
        <w:rPr>
          <w:sz w:val="19"/>
        </w:rPr>
      </w:pPr>
    </w:p>
    <w:p>
      <w:pPr>
        <w:pStyle w:val="Heading4"/>
        <w:tabs>
          <w:tab w:pos="1222" w:val="left" w:leader="none"/>
        </w:tabs>
        <w:spacing w:before="74" w:after="29"/>
        <w:ind w:left="0" w:right="71"/>
        <w:jc w:val="center"/>
        <w:rPr>
          <w:rFonts w:ascii="Times New Roman" w:eastAsia="Times New Roman"/>
        </w:rPr>
      </w:pPr>
      <w:r>
        <w:rPr/>
        <w:pict>
          <v:line style="position:absolute;mso-position-horizontal-relative:page;mso-position-vertical-relative:paragraph;z-index:-317776896" from="68.664001pt,20.980024pt" to="207.170001pt,48.940024pt" stroked="true" strokeweight=".48pt" strokecolor="#000000">
            <v:stroke dashstyle="solid"/>
            <w10:wrap type="none"/>
          </v:line>
        </w:pict>
      </w:r>
      <w:r>
        <w:rPr/>
        <w:t>表</w:t>
      </w:r>
      <w:r>
        <w:rPr>
          <w:spacing w:val="-60"/>
        </w:rPr>
        <w:t> </w:t>
      </w:r>
      <w:r>
        <w:rPr>
          <w:rFonts w:ascii="Times New Roman" w:eastAsia="Times New Roman"/>
        </w:rPr>
        <w:t>5.1.3-2</w:t>
        <w:tab/>
      </w:r>
      <w:r>
        <w:rPr/>
        <w:t>废水预处理设施进出水水质表</w:t>
      </w:r>
      <w:r>
        <w:rPr>
          <w:spacing w:val="1"/>
        </w:rPr>
        <w:t> </w:t>
      </w:r>
      <w:r>
        <w:rPr/>
        <w:t>单位</w:t>
      </w:r>
      <w:r>
        <w:rPr>
          <w:rFonts w:ascii="Times New Roman" w:eastAsia="Times New Roman"/>
        </w:rPr>
        <w:t>(mg/L)</w:t>
      </w:r>
    </w:p>
    <w:tbl>
      <w:tblPr>
        <w:tblW w:w="0" w:type="auto"/>
        <w:jc w:val="left"/>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0"/>
        <w:gridCol w:w="1391"/>
        <w:gridCol w:w="1302"/>
        <w:gridCol w:w="1823"/>
        <w:gridCol w:w="1635"/>
        <w:gridCol w:w="1638"/>
      </w:tblGrid>
      <w:tr>
        <w:trPr>
          <w:trHeight w:val="268" w:hRule="atLeast"/>
        </w:trPr>
        <w:tc>
          <w:tcPr>
            <w:tcW w:w="2781" w:type="dxa"/>
            <w:gridSpan w:val="2"/>
            <w:vMerge w:val="restart"/>
          </w:tcPr>
          <w:p>
            <w:pPr>
              <w:pStyle w:val="TableParagraph"/>
              <w:spacing w:before="8"/>
              <w:ind w:left="1650"/>
              <w:jc w:val="left"/>
              <w:rPr>
                <w:sz w:val="21"/>
              </w:rPr>
            </w:pPr>
            <w:r>
              <w:rPr>
                <w:sz w:val="21"/>
              </w:rPr>
              <w:t>项目</w:t>
            </w:r>
          </w:p>
          <w:p>
            <w:pPr>
              <w:pStyle w:val="TableParagraph"/>
              <w:spacing w:line="255" w:lineRule="exact" w:before="4"/>
              <w:ind w:left="50"/>
              <w:jc w:val="left"/>
              <w:rPr>
                <w:sz w:val="21"/>
              </w:rPr>
            </w:pPr>
            <w:r>
              <w:rPr>
                <w:sz w:val="21"/>
              </w:rPr>
              <w:t>处理单元</w:t>
            </w:r>
          </w:p>
        </w:tc>
        <w:tc>
          <w:tcPr>
            <w:tcW w:w="1302" w:type="dxa"/>
          </w:tcPr>
          <w:p>
            <w:pPr>
              <w:pStyle w:val="TableParagraph"/>
              <w:spacing w:line="247" w:lineRule="exact" w:before="1"/>
              <w:ind w:left="313" w:right="308"/>
              <w:rPr>
                <w:sz w:val="21"/>
              </w:rPr>
            </w:pPr>
            <w:r>
              <w:rPr>
                <w:sz w:val="21"/>
              </w:rPr>
              <w:t>废水量</w:t>
            </w:r>
          </w:p>
        </w:tc>
        <w:tc>
          <w:tcPr>
            <w:tcW w:w="3458" w:type="dxa"/>
            <w:gridSpan w:val="2"/>
          </w:tcPr>
          <w:p>
            <w:pPr>
              <w:pStyle w:val="TableParagraph"/>
              <w:spacing w:line="247" w:lineRule="exact" w:before="1"/>
              <w:ind w:left="585"/>
              <w:jc w:val="left"/>
              <w:rPr>
                <w:rFonts w:ascii="Times New Roman" w:eastAsia="Times New Roman"/>
                <w:sz w:val="21"/>
              </w:rPr>
            </w:pPr>
            <w:r>
              <w:rPr>
                <w:sz w:val="21"/>
              </w:rPr>
              <w:t>主要污染物及浓度</w:t>
            </w:r>
            <w:r>
              <w:rPr>
                <w:rFonts w:ascii="Times New Roman" w:eastAsia="Times New Roman"/>
                <w:sz w:val="21"/>
              </w:rPr>
              <w:t>(mg/L)</w:t>
            </w:r>
          </w:p>
        </w:tc>
        <w:tc>
          <w:tcPr>
            <w:tcW w:w="1638" w:type="dxa"/>
            <w:tcBorders>
              <w:bottom w:val="single" w:sz="6" w:space="0" w:color="000000"/>
            </w:tcBorders>
          </w:tcPr>
          <w:p>
            <w:pPr>
              <w:pStyle w:val="TableParagraph"/>
              <w:spacing w:line="247" w:lineRule="exact" w:before="1"/>
              <w:ind w:left="164" w:right="163"/>
              <w:rPr>
                <w:sz w:val="21"/>
              </w:rPr>
            </w:pPr>
            <w:r>
              <w:rPr>
                <w:sz w:val="21"/>
              </w:rPr>
              <w:t>备注</w:t>
            </w:r>
          </w:p>
        </w:tc>
      </w:tr>
      <w:tr>
        <w:trPr>
          <w:trHeight w:val="273" w:hRule="atLeast"/>
        </w:trPr>
        <w:tc>
          <w:tcPr>
            <w:tcW w:w="2781" w:type="dxa"/>
            <w:gridSpan w:val="2"/>
            <w:vMerge/>
            <w:tcBorders>
              <w:top w:val="nil"/>
            </w:tcBorders>
          </w:tcPr>
          <w:p>
            <w:pPr>
              <w:rPr>
                <w:sz w:val="2"/>
                <w:szCs w:val="2"/>
              </w:rPr>
            </w:pPr>
          </w:p>
        </w:tc>
        <w:tc>
          <w:tcPr>
            <w:tcW w:w="1302" w:type="dxa"/>
          </w:tcPr>
          <w:p>
            <w:pPr>
              <w:pStyle w:val="TableParagraph"/>
              <w:spacing w:line="238" w:lineRule="exact" w:before="15"/>
              <w:ind w:left="310" w:right="308"/>
              <w:rPr>
                <w:rFonts w:ascii="Times New Roman"/>
                <w:sz w:val="21"/>
              </w:rPr>
            </w:pPr>
            <w:r>
              <w:rPr>
                <w:rFonts w:ascii="Times New Roman"/>
                <w:sz w:val="21"/>
              </w:rPr>
              <w:t>m</w:t>
            </w:r>
            <w:r>
              <w:rPr>
                <w:rFonts w:ascii="Times New Roman"/>
                <w:position w:val="7"/>
                <w:sz w:val="14"/>
              </w:rPr>
              <w:t>3</w:t>
            </w:r>
            <w:r>
              <w:rPr>
                <w:rFonts w:ascii="Times New Roman"/>
                <w:sz w:val="21"/>
              </w:rPr>
              <w:t>/d</w:t>
            </w:r>
          </w:p>
        </w:tc>
        <w:tc>
          <w:tcPr>
            <w:tcW w:w="1823" w:type="dxa"/>
          </w:tcPr>
          <w:p>
            <w:pPr>
              <w:pStyle w:val="TableParagraph"/>
              <w:spacing w:line="233" w:lineRule="exact" w:before="19"/>
              <w:ind w:left="451" w:right="450"/>
              <w:rPr>
                <w:rFonts w:ascii="Times New Roman"/>
                <w:sz w:val="21"/>
              </w:rPr>
            </w:pPr>
            <w:r>
              <w:rPr>
                <w:rFonts w:ascii="Times New Roman"/>
                <w:sz w:val="21"/>
              </w:rPr>
              <w:t>CODcr</w:t>
            </w:r>
          </w:p>
        </w:tc>
        <w:tc>
          <w:tcPr>
            <w:tcW w:w="1635" w:type="dxa"/>
          </w:tcPr>
          <w:p>
            <w:pPr>
              <w:pStyle w:val="TableParagraph"/>
              <w:spacing w:line="247" w:lineRule="exact" w:before="5"/>
              <w:ind w:left="558" w:right="554"/>
              <w:rPr>
                <w:sz w:val="21"/>
              </w:rPr>
            </w:pPr>
            <w:r>
              <w:rPr>
                <w:sz w:val="21"/>
              </w:rPr>
              <w:t>总氮</w:t>
            </w:r>
          </w:p>
        </w:tc>
        <w:tc>
          <w:tcPr>
            <w:tcW w:w="1638" w:type="dxa"/>
            <w:tcBorders>
              <w:top w:val="single" w:sz="6" w:space="0" w:color="000000"/>
              <w:bottom w:val="single" w:sz="6" w:space="0" w:color="000000"/>
            </w:tcBorders>
          </w:tcPr>
          <w:p>
            <w:pPr>
              <w:pStyle w:val="TableParagraph"/>
              <w:spacing w:line="233" w:lineRule="exact" w:before="19"/>
              <w:rPr>
                <w:rFonts w:ascii="Times New Roman"/>
                <w:sz w:val="21"/>
              </w:rPr>
            </w:pPr>
            <w:r>
              <w:rPr>
                <w:rFonts w:ascii="Times New Roman"/>
                <w:w w:val="100"/>
                <w:sz w:val="21"/>
              </w:rPr>
              <w:t>/</w:t>
            </w:r>
          </w:p>
        </w:tc>
      </w:tr>
      <w:tr>
        <w:trPr>
          <w:trHeight w:val="272" w:hRule="atLeast"/>
        </w:trPr>
        <w:tc>
          <w:tcPr>
            <w:tcW w:w="1390" w:type="dxa"/>
            <w:vMerge w:val="restart"/>
          </w:tcPr>
          <w:p>
            <w:pPr>
              <w:pStyle w:val="TableParagraph"/>
              <w:spacing w:line="244" w:lineRule="auto" w:before="154"/>
              <w:ind w:left="587" w:right="53" w:hanging="526"/>
              <w:jc w:val="left"/>
              <w:rPr>
                <w:sz w:val="21"/>
              </w:rPr>
            </w:pPr>
            <w:r>
              <w:rPr>
                <w:sz w:val="21"/>
              </w:rPr>
              <w:t>工艺废水预处理</w:t>
            </w:r>
          </w:p>
        </w:tc>
        <w:tc>
          <w:tcPr>
            <w:tcW w:w="1391" w:type="dxa"/>
          </w:tcPr>
          <w:p>
            <w:pPr>
              <w:pStyle w:val="TableParagraph"/>
              <w:spacing w:line="250" w:lineRule="exact" w:before="3"/>
              <w:ind w:left="250" w:right="241"/>
              <w:rPr>
                <w:sz w:val="21"/>
              </w:rPr>
            </w:pPr>
            <w:r>
              <w:rPr>
                <w:sz w:val="21"/>
              </w:rPr>
              <w:t>进水</w:t>
            </w:r>
          </w:p>
        </w:tc>
        <w:tc>
          <w:tcPr>
            <w:tcW w:w="1302" w:type="dxa"/>
          </w:tcPr>
          <w:p>
            <w:pPr>
              <w:pStyle w:val="TableParagraph"/>
              <w:spacing w:line="236" w:lineRule="exact" w:before="17"/>
              <w:ind w:left="313" w:right="308"/>
              <w:rPr>
                <w:rFonts w:ascii="Times New Roman"/>
                <w:sz w:val="21"/>
              </w:rPr>
            </w:pPr>
            <w:r>
              <w:rPr>
                <w:rFonts w:ascii="Times New Roman"/>
                <w:sz w:val="21"/>
              </w:rPr>
              <w:t>27.5</w:t>
            </w:r>
          </w:p>
        </w:tc>
        <w:tc>
          <w:tcPr>
            <w:tcW w:w="1823" w:type="dxa"/>
          </w:tcPr>
          <w:p>
            <w:pPr>
              <w:pStyle w:val="TableParagraph"/>
              <w:spacing w:line="236" w:lineRule="exact" w:before="17"/>
              <w:ind w:left="450" w:right="450"/>
              <w:rPr>
                <w:rFonts w:ascii="Times New Roman"/>
                <w:sz w:val="21"/>
              </w:rPr>
            </w:pPr>
            <w:r>
              <w:rPr>
                <w:rFonts w:ascii="Times New Roman"/>
                <w:sz w:val="21"/>
              </w:rPr>
              <w:t>9289</w:t>
            </w:r>
          </w:p>
        </w:tc>
        <w:tc>
          <w:tcPr>
            <w:tcW w:w="1635" w:type="dxa"/>
          </w:tcPr>
          <w:p>
            <w:pPr>
              <w:pStyle w:val="TableParagraph"/>
              <w:spacing w:before="3"/>
              <w:ind w:left="558" w:right="554"/>
              <w:rPr>
                <w:rFonts w:ascii="Times New Roman"/>
                <w:sz w:val="21"/>
              </w:rPr>
            </w:pPr>
            <w:r>
              <w:rPr>
                <w:rFonts w:ascii="Times New Roman"/>
                <w:sz w:val="21"/>
              </w:rPr>
              <w:t>424</w:t>
            </w:r>
          </w:p>
        </w:tc>
        <w:tc>
          <w:tcPr>
            <w:tcW w:w="1638" w:type="dxa"/>
            <w:tcBorders>
              <w:top w:val="single" w:sz="6" w:space="0" w:color="000000"/>
              <w:bottom w:val="single" w:sz="6" w:space="0" w:color="000000"/>
            </w:tcBorders>
          </w:tcPr>
          <w:p>
            <w:pPr>
              <w:pStyle w:val="TableParagraph"/>
              <w:spacing w:line="236" w:lineRule="exact" w:before="17"/>
              <w:rPr>
                <w:rFonts w:ascii="Times New Roman"/>
                <w:sz w:val="21"/>
              </w:rPr>
            </w:pPr>
            <w:r>
              <w:rPr>
                <w:rFonts w:ascii="Times New Roman"/>
                <w:w w:val="100"/>
                <w:sz w:val="21"/>
              </w:rPr>
              <w:t>/</w:t>
            </w:r>
          </w:p>
        </w:tc>
      </w:tr>
      <w:tr>
        <w:trPr>
          <w:trHeight w:val="273" w:hRule="atLeast"/>
        </w:trPr>
        <w:tc>
          <w:tcPr>
            <w:tcW w:w="1390" w:type="dxa"/>
            <w:vMerge/>
            <w:tcBorders>
              <w:top w:val="nil"/>
            </w:tcBorders>
          </w:tcPr>
          <w:p>
            <w:pPr>
              <w:rPr>
                <w:sz w:val="2"/>
                <w:szCs w:val="2"/>
              </w:rPr>
            </w:pPr>
          </w:p>
        </w:tc>
        <w:tc>
          <w:tcPr>
            <w:tcW w:w="1391" w:type="dxa"/>
          </w:tcPr>
          <w:p>
            <w:pPr>
              <w:pStyle w:val="TableParagraph"/>
              <w:spacing w:line="250" w:lineRule="exact" w:before="3"/>
              <w:ind w:left="250" w:right="241"/>
              <w:rPr>
                <w:sz w:val="21"/>
              </w:rPr>
            </w:pPr>
            <w:r>
              <w:rPr>
                <w:sz w:val="21"/>
              </w:rPr>
              <w:t>出水</w:t>
            </w:r>
          </w:p>
        </w:tc>
        <w:tc>
          <w:tcPr>
            <w:tcW w:w="1302" w:type="dxa"/>
          </w:tcPr>
          <w:p>
            <w:pPr>
              <w:pStyle w:val="TableParagraph"/>
              <w:spacing w:line="236" w:lineRule="exact" w:before="17"/>
              <w:ind w:left="313" w:right="308"/>
              <w:rPr>
                <w:rFonts w:ascii="Times New Roman"/>
                <w:sz w:val="21"/>
              </w:rPr>
            </w:pPr>
            <w:r>
              <w:rPr>
                <w:rFonts w:ascii="Times New Roman"/>
                <w:sz w:val="21"/>
              </w:rPr>
              <w:t>27.5</w:t>
            </w:r>
          </w:p>
        </w:tc>
        <w:tc>
          <w:tcPr>
            <w:tcW w:w="1823" w:type="dxa"/>
          </w:tcPr>
          <w:p>
            <w:pPr>
              <w:pStyle w:val="TableParagraph"/>
              <w:spacing w:line="236" w:lineRule="exact" w:before="17"/>
              <w:ind w:left="450" w:right="450"/>
              <w:rPr>
                <w:rFonts w:ascii="Times New Roman"/>
                <w:sz w:val="21"/>
              </w:rPr>
            </w:pPr>
            <w:r>
              <w:rPr>
                <w:rFonts w:ascii="Times New Roman"/>
                <w:sz w:val="21"/>
              </w:rPr>
              <w:t>4644.5</w:t>
            </w:r>
          </w:p>
        </w:tc>
        <w:tc>
          <w:tcPr>
            <w:tcW w:w="1635" w:type="dxa"/>
          </w:tcPr>
          <w:p>
            <w:pPr>
              <w:pStyle w:val="TableParagraph"/>
              <w:spacing w:before="3"/>
              <w:ind w:left="558" w:right="554"/>
              <w:rPr>
                <w:rFonts w:ascii="Times New Roman"/>
                <w:sz w:val="21"/>
              </w:rPr>
            </w:pPr>
            <w:r>
              <w:rPr>
                <w:rFonts w:ascii="Times New Roman"/>
                <w:sz w:val="21"/>
              </w:rPr>
              <w:t>360.4</w:t>
            </w:r>
          </w:p>
        </w:tc>
        <w:tc>
          <w:tcPr>
            <w:tcW w:w="1638" w:type="dxa"/>
            <w:tcBorders>
              <w:top w:val="single" w:sz="6" w:space="0" w:color="000000"/>
              <w:bottom w:val="single" w:sz="6" w:space="0" w:color="000000"/>
            </w:tcBorders>
          </w:tcPr>
          <w:p>
            <w:pPr>
              <w:pStyle w:val="TableParagraph"/>
              <w:spacing w:line="236" w:lineRule="exact" w:before="17"/>
              <w:rPr>
                <w:rFonts w:ascii="Times New Roman"/>
                <w:sz w:val="21"/>
              </w:rPr>
            </w:pPr>
            <w:r>
              <w:rPr>
                <w:rFonts w:ascii="Times New Roman"/>
                <w:w w:val="100"/>
                <w:sz w:val="21"/>
              </w:rPr>
              <w:t>/</w:t>
            </w:r>
          </w:p>
        </w:tc>
      </w:tr>
      <w:tr>
        <w:trPr>
          <w:trHeight w:val="275" w:hRule="atLeast"/>
        </w:trPr>
        <w:tc>
          <w:tcPr>
            <w:tcW w:w="1390" w:type="dxa"/>
            <w:vMerge/>
            <w:tcBorders>
              <w:top w:val="nil"/>
            </w:tcBorders>
          </w:tcPr>
          <w:p>
            <w:pPr>
              <w:rPr>
                <w:sz w:val="2"/>
                <w:szCs w:val="2"/>
              </w:rPr>
            </w:pPr>
          </w:p>
        </w:tc>
        <w:tc>
          <w:tcPr>
            <w:tcW w:w="1391" w:type="dxa"/>
          </w:tcPr>
          <w:p>
            <w:pPr>
              <w:pStyle w:val="TableParagraph"/>
              <w:spacing w:line="252" w:lineRule="exact" w:before="3"/>
              <w:ind w:left="250" w:right="240"/>
              <w:rPr>
                <w:rFonts w:ascii="Times New Roman" w:eastAsia="Times New Roman"/>
                <w:sz w:val="21"/>
              </w:rPr>
            </w:pPr>
            <w:r>
              <w:rPr>
                <w:sz w:val="21"/>
              </w:rPr>
              <w:t>去除率</w:t>
            </w:r>
            <w:r>
              <w:rPr>
                <w:rFonts w:ascii="Times New Roman" w:eastAsia="Times New Roman"/>
                <w:sz w:val="21"/>
              </w:rPr>
              <w:t>%</w:t>
            </w:r>
          </w:p>
        </w:tc>
        <w:tc>
          <w:tcPr>
            <w:tcW w:w="1302" w:type="dxa"/>
          </w:tcPr>
          <w:p>
            <w:pPr>
              <w:pStyle w:val="TableParagraph"/>
              <w:spacing w:line="252" w:lineRule="exact" w:before="3"/>
              <w:ind w:left="5"/>
              <w:rPr>
                <w:sz w:val="21"/>
              </w:rPr>
            </w:pPr>
            <w:r>
              <w:rPr>
                <w:w w:val="100"/>
                <w:sz w:val="21"/>
              </w:rPr>
              <w:t>－</w:t>
            </w:r>
          </w:p>
        </w:tc>
        <w:tc>
          <w:tcPr>
            <w:tcW w:w="1823" w:type="dxa"/>
          </w:tcPr>
          <w:p>
            <w:pPr>
              <w:pStyle w:val="TableParagraph"/>
              <w:spacing w:line="238" w:lineRule="exact" w:before="17"/>
              <w:ind w:left="450" w:right="450"/>
              <w:rPr>
                <w:rFonts w:ascii="Times New Roman"/>
                <w:sz w:val="21"/>
              </w:rPr>
            </w:pPr>
            <w:r>
              <w:rPr>
                <w:rFonts w:ascii="Times New Roman"/>
                <w:sz w:val="21"/>
              </w:rPr>
              <w:t>50</w:t>
            </w:r>
          </w:p>
        </w:tc>
        <w:tc>
          <w:tcPr>
            <w:tcW w:w="1635" w:type="dxa"/>
          </w:tcPr>
          <w:p>
            <w:pPr>
              <w:pStyle w:val="TableParagraph"/>
              <w:spacing w:before="3"/>
              <w:ind w:left="554" w:right="554"/>
              <w:rPr>
                <w:rFonts w:ascii="Times New Roman"/>
                <w:sz w:val="21"/>
              </w:rPr>
            </w:pPr>
            <w:r>
              <w:rPr>
                <w:rFonts w:ascii="Times New Roman"/>
                <w:sz w:val="21"/>
              </w:rPr>
              <w:t>15</w:t>
            </w:r>
          </w:p>
        </w:tc>
        <w:tc>
          <w:tcPr>
            <w:tcW w:w="1638" w:type="dxa"/>
            <w:tcBorders>
              <w:top w:val="single" w:sz="6" w:space="0" w:color="000000"/>
            </w:tcBorders>
          </w:tcPr>
          <w:p>
            <w:pPr>
              <w:pStyle w:val="TableParagraph"/>
              <w:spacing w:line="252" w:lineRule="exact" w:before="3"/>
              <w:ind w:left="164" w:right="164"/>
              <w:rPr>
                <w:sz w:val="21"/>
              </w:rPr>
            </w:pPr>
            <w:r>
              <w:rPr>
                <w:sz w:val="21"/>
              </w:rPr>
              <w:t>设计去除效率</w:t>
            </w:r>
          </w:p>
        </w:tc>
      </w:tr>
    </w:tbl>
    <w:p>
      <w:pPr>
        <w:pStyle w:val="BodyText"/>
        <w:spacing w:line="362" w:lineRule="auto" w:before="2"/>
        <w:ind w:left="258" w:right="335" w:firstLine="480"/>
      </w:pPr>
      <w:r>
        <w:rPr/>
        <w:t>本项目高浓废水进入预处理设施后，出水 </w:t>
      </w:r>
      <w:r>
        <w:rPr>
          <w:rFonts w:ascii="Times New Roman" w:eastAsia="Times New Roman"/>
        </w:rPr>
        <w:t>COD </w:t>
      </w:r>
      <w:r>
        <w:rPr/>
        <w:t>浓度为 </w:t>
      </w:r>
      <w:r>
        <w:rPr>
          <w:rFonts w:ascii="Times New Roman" w:eastAsia="Times New Roman"/>
        </w:rPr>
        <w:t>4644.5 mg/L</w:t>
      </w:r>
      <w:r>
        <w:rPr/>
        <w:t>，总氮浓度为</w:t>
      </w:r>
      <w:r>
        <w:rPr>
          <w:rFonts w:ascii="Times New Roman" w:eastAsia="Times New Roman"/>
        </w:rPr>
        <w:t>360.4mg/L</w:t>
      </w:r>
      <w:r>
        <w:rPr/>
        <w:t>。</w:t>
      </w:r>
    </w:p>
    <w:p>
      <w:pPr>
        <w:pStyle w:val="Heading4"/>
        <w:numPr>
          <w:ilvl w:val="3"/>
          <w:numId w:val="13"/>
        </w:numPr>
        <w:tabs>
          <w:tab w:pos="1462" w:val="left" w:leader="none"/>
        </w:tabs>
        <w:spacing w:line="240" w:lineRule="auto" w:before="5" w:after="0"/>
        <w:ind w:left="1461" w:right="0" w:hanging="721"/>
        <w:jc w:val="left"/>
      </w:pPr>
      <w:r>
        <w:rPr/>
        <w:t>厂区综合废水处理设施</w:t>
      </w:r>
    </w:p>
    <w:p>
      <w:pPr>
        <w:pStyle w:val="BodyText"/>
        <w:spacing w:line="364" w:lineRule="auto" w:before="158"/>
        <w:ind w:left="258" w:right="272" w:firstLine="480"/>
      </w:pPr>
      <w:r>
        <w:rPr/>
        <w:t>本项目含农药成分废水经预处理后，再与其他废水一起经厂区综合废水处理设施处理后纳管。东区综合废水处理设施的处理工艺主要为生化处理，采用 </w:t>
      </w:r>
      <w:r>
        <w:rPr>
          <w:rFonts w:ascii="Times New Roman" w:eastAsia="Times New Roman"/>
        </w:rPr>
        <w:t>A2/O </w:t>
      </w:r>
      <w:r>
        <w:rPr/>
        <w:t>处理工艺。</w:t>
      </w:r>
    </w:p>
    <w:p>
      <w:pPr>
        <w:pStyle w:val="Heading4"/>
        <w:spacing w:line="307" w:lineRule="exact"/>
        <w:ind w:left="741"/>
      </w:pPr>
      <w:r>
        <w:rPr>
          <w:rFonts w:ascii="Times New Roman" w:eastAsia="Times New Roman"/>
        </w:rPr>
        <w:t>1</w:t>
      </w:r>
      <w:r>
        <w:rPr/>
        <w:t>、厂区综合废水处理设施处理工艺</w:t>
      </w:r>
    </w:p>
    <w:p>
      <w:pPr>
        <w:pStyle w:val="BodyText"/>
        <w:spacing w:before="6"/>
        <w:rPr>
          <w:b/>
          <w:sz w:val="17"/>
        </w:rPr>
      </w:pPr>
    </w:p>
    <w:p>
      <w:pPr>
        <w:spacing w:before="79"/>
        <w:ind w:left="2416" w:right="77" w:firstLine="0"/>
        <w:jc w:val="center"/>
        <w:rPr>
          <w:sz w:val="18"/>
        </w:rPr>
      </w:pPr>
      <w:r>
        <w:rPr>
          <w:w w:val="105"/>
          <w:sz w:val="18"/>
        </w:rPr>
        <w:t>离心出水</w:t>
      </w:r>
    </w:p>
    <w:p>
      <w:pPr>
        <w:pStyle w:val="BodyText"/>
        <w:rPr>
          <w:sz w:val="20"/>
        </w:rPr>
      </w:pPr>
    </w:p>
    <w:p>
      <w:pPr>
        <w:pStyle w:val="BodyText"/>
        <w:rPr>
          <w:sz w:val="20"/>
        </w:rPr>
      </w:pPr>
    </w:p>
    <w:p>
      <w:pPr>
        <w:pStyle w:val="BodyText"/>
        <w:rPr>
          <w:sz w:val="20"/>
        </w:rPr>
      </w:pPr>
    </w:p>
    <w:p>
      <w:pPr>
        <w:pStyle w:val="BodyText"/>
        <w:spacing w:before="8"/>
        <w:rPr>
          <w:sz w:val="19"/>
        </w:rPr>
      </w:pPr>
    </w:p>
    <w:p>
      <w:pPr>
        <w:spacing w:before="1"/>
        <w:ind w:left="0" w:right="114" w:firstLine="0"/>
        <w:jc w:val="right"/>
        <w:rPr>
          <w:sz w:val="18"/>
        </w:rPr>
      </w:pPr>
      <w:r>
        <w:rPr/>
        <w:pict>
          <v:group style="position:absolute;margin-left:442.661926pt;margin-top:3.586205pt;width:25.75pt;height:4.6pt;mso-position-horizontal-relative:page;mso-position-vertical-relative:paragraph;z-index:251809792" coordorigin="8853,72" coordsize="515,92">
            <v:line style="position:absolute" from="9368,117" to="8979,117" stroked="true" strokeweight=".650238pt" strokecolor="#000000">
              <v:stroke dashstyle="solid"/>
            </v:line>
            <v:shape style="position:absolute;left:8853;top:71;width:138;height:92" coordorigin="8853,72" coordsize="138,92" path="m8991,72l8853,117,8991,163,8991,72xe" filled="true" fillcolor="#000000" stroked="false">
              <v:path arrowok="t"/>
              <v:fill type="solid"/>
            </v:shape>
            <w10:wrap type="none"/>
          </v:group>
        </w:pict>
      </w:r>
      <w:r>
        <w:rPr/>
        <w:pict>
          <v:group style="position:absolute;margin-left:106.802681pt;margin-top:-51.75634pt;width:336.2pt;height:146.85pt;mso-position-horizontal-relative:page;mso-position-vertical-relative:paragraph;z-index:-317761536" coordorigin="2136,-1035" coordsize="6724,2937">
            <v:line style="position:absolute" from="8339,484" to="7949,484" stroked="true" strokeweight=".650238pt" strokecolor="#000000">
              <v:stroke dashstyle="solid"/>
            </v:line>
            <v:shape style="position:absolute;left:7823;top:438;width:138;height:92" coordorigin="7824,438" coordsize="138,92" path="m7961,438l7824,484,7961,529,7961,438xe" filled="true" fillcolor="#000000" stroked="false">
              <v:path arrowok="t"/>
              <v:fill type="solid"/>
            </v:shape>
            <v:rect style="position:absolute;left:7308;top:-351;width:515;height:1588" filled="false" stroked="true" strokeweight=".653502pt" strokecolor="#000000">
              <v:stroke dashstyle="solid"/>
            </v:rect>
            <v:shape style="position:absolute;left:6781;top:461;width:138;height:92" coordorigin="6781,462" coordsize="138,92" path="m6919,462l6781,507,6919,553,6919,462xe" filled="true" fillcolor="#000000" stroked="false">
              <v:path arrowok="t"/>
              <v:fill type="solid"/>
            </v:shape>
            <v:shape style="position:absolute;left:4909;top:6148;width:996;height:1815" coordorigin="4909,6149" coordsize="996,1815" path="m6266,1275l6781,1275,6781,-363,6266,-363,6266,1275xm6266,507l5878,507e" filled="false" stroked="true" strokeweight=".652042pt" strokecolor="#000000">
              <v:path arrowok="t"/>
              <v:stroke dashstyle="solid"/>
            </v:shape>
            <v:shape style="position:absolute;left:5751;top:461;width:138;height:92" coordorigin="5752,462" coordsize="138,92" path="m5889,462l5752,507,5889,553,5889,462xe" filled="true" fillcolor="#000000" stroked="false">
              <v:path arrowok="t"/>
              <v:fill type="solid"/>
            </v:shape>
            <v:shape style="position:absolute;left:5564;top:7963;width:1191;height:567" coordorigin="5564,7963" coordsize="1191,567" path="m6472,1275l6472,1787m6472,1787l7554,1787m7554,1787l7554,1436e" filled="false" stroked="true" strokeweight=".652042pt" strokecolor="#800000">
              <v:path arrowok="t"/>
              <v:stroke dashstyle="solid"/>
            </v:shape>
            <v:shape style="position:absolute;left:7494;top:1275;width:118;height:176" coordorigin="7495,1275" coordsize="118,176" path="m7554,1275l7495,1451,7612,1451,7554,1275xe" filled="true" fillcolor="#800000" stroked="false">
              <v:path arrowok="t"/>
              <v:fill type="solid"/>
            </v:shape>
            <v:shape style="position:absolute;left:1646;top:7977;width:3918;height:567" coordorigin="1647,7977" coordsize="3918,567" path="m6472,1787l2915,1800m4459,1288l4459,1639e" filled="false" stroked="true" strokeweight=".652042pt" strokecolor="#800000">
              <v:path arrowok="t"/>
              <v:stroke dashstyle="solid"/>
            </v:shape>
            <v:shape style="position:absolute;left:4400;top:1624;width:118;height:176" coordorigin="4401,1625" coordsize="118,176" path="m4518,1625l4401,1625,4459,1800,4518,1625xe" filled="true" fillcolor="#800000" stroked="false">
              <v:path arrowok="t"/>
              <v:fill type="solid"/>
            </v:shape>
            <v:shape style="position:absolute;left:2819;top:776;width:96;height:1024" coordorigin="2819,776" coordsize="96,1024" path="m2915,1800l2915,776,2819,776e" filled="false" stroked="true" strokeweight=".653814pt" strokecolor="#800000">
              <v:path arrowok="t"/>
              <v:stroke dashstyle="solid"/>
            </v:shape>
            <v:shape style="position:absolute;left:2657;top:717;width:177;height:118" coordorigin="2657,718" coordsize="177,118" path="m2834,718l2657,776,2834,835,2834,718xe" filled="true" fillcolor="#800000" stroked="false">
              <v:path arrowok="t"/>
              <v:fill type="solid"/>
            </v:shape>
            <v:line style="position:absolute" from="2341,-350" to="2341,-890" stroked="true" strokeweight=".653845pt" strokecolor="#000000">
              <v:stroke dashstyle="solid"/>
            </v:line>
            <v:shape style="position:absolute;left:2294;top:-1016;width:92;height:137" coordorigin="2295,-1016" coordsize="92,137" path="m2341,-1016l2295,-879,2386,-879,2341,-1016xe" filled="true" fillcolor="#000000" stroked="false">
              <v:path arrowok="t"/>
              <v:fill type="solid"/>
            </v:shape>
            <v:shape style="position:absolute;left:1014;top:5411;width:6889;height:606" coordorigin="1015,5412" coordsize="6889,606" path="m2341,-1029l8596,-1016m8596,-1016l8596,-482e" filled="false" stroked="true" strokeweight=".652042pt" strokecolor="#000000">
              <v:path arrowok="t"/>
              <v:stroke dashstyle="solid"/>
            </v:shape>
            <v:shape style="position:absolute;left:8550;top:-494;width:92;height:137" coordorigin="8550,-493" coordsize="92,137" path="m8642,-493l8550,-493,8596,-357,8642,-493xe" filled="true" fillcolor="#000000" stroked="false">
              <v:path arrowok="t"/>
              <v:fill type="solid"/>
            </v:shape>
            <v:line style="position:absolute" from="3430,-350" to="3832,-550" stroked="true" strokeweight=".650954pt" strokecolor="#000000">
              <v:stroke dashstyle="solid"/>
            </v:line>
            <v:shape style="position:absolute;left:3801;top:-607;width:144;height:102" coordorigin="3801,-606" coordsize="144,102" path="m3944,-606l3801,-586,3842,-504,3944,-606xe" filled="true" fillcolor="#000000" stroked="false">
              <v:path arrowok="t"/>
              <v:fill type="solid"/>
            </v:shape>
            <v:line style="position:absolute" from="8604,1392" to="8604,1640" stroked="true" strokeweight=".653845pt" strokecolor="#000000">
              <v:stroke dashstyle="solid"/>
            </v:line>
            <v:shape style="position:absolute;left:8545;top:1230;width:118;height:176" coordorigin="8545,1231" coordsize="118,176" path="m8604,1231l8545,1406,8663,1406,8604,1231xe" filled="true" fillcolor="#000000" stroked="false">
              <v:path arrowok="t"/>
              <v:fill type="solid"/>
            </v:shape>
            <v:shape style="position:absolute;left:3769;top:6163;width:1007;height:1815" coordorigin="3770,6163" coordsize="1007,1815" path="m5241,1288l5756,1288,5756,-350,5241,-350,5241,1288xm5232,502l4843,502e" filled="false" stroked="true" strokeweight=".652042pt" strokecolor="#000000">
              <v:path arrowok="t"/>
              <v:stroke dashstyle="solid"/>
            </v:shape>
            <v:shape style="position:absolute;left:4716;top:456;width:138;height:92" coordorigin="4717,456" coordsize="138,92" path="m4854,456l4717,502,4854,547,4854,456xe" filled="true" fillcolor="#000000" stroked="false">
              <v:path arrowok="t"/>
              <v:fill type="solid"/>
            </v:shape>
            <v:line style="position:absolute" from="5484,1288" to="5484,1800" stroked="true" strokeweight=".653845pt" strokecolor="#800000">
              <v:stroke dashstyle="solid"/>
            </v:line>
            <v:shape style="position:absolute;left:3973;top:-755;width:1113;height:185" type="#_x0000_t202" filled="false" stroked="false">
              <v:textbox inset="0,0,0,0">
                <w:txbxContent>
                  <w:p>
                    <w:pPr>
                      <w:spacing w:line="185" w:lineRule="exact" w:before="0"/>
                      <w:ind w:left="0" w:right="0" w:firstLine="0"/>
                      <w:jc w:val="left"/>
                      <w:rPr>
                        <w:sz w:val="18"/>
                      </w:rPr>
                    </w:pPr>
                    <w:r>
                      <w:rPr>
                        <w:sz w:val="18"/>
                      </w:rPr>
                      <w:t>废水达标纳管</w:t>
                    </w:r>
                  </w:p>
                </w:txbxContent>
              </v:textbox>
              <w10:wrap type="none"/>
            </v:shape>
            <v:shape style="position:absolute;left:5394;top:91;width:239;height:739" type="#_x0000_t202" filled="false" stroked="false">
              <v:textbox inset="0,0,0,0">
                <w:txbxContent>
                  <w:p>
                    <w:pPr>
                      <w:spacing w:line="242" w:lineRule="exact" w:before="0"/>
                      <w:ind w:left="0" w:right="0" w:firstLine="0"/>
                      <w:jc w:val="left"/>
                      <w:rPr>
                        <w:rFonts w:ascii="黑体" w:eastAsia="黑体" w:hint="eastAsia"/>
                        <w:sz w:val="21"/>
                      </w:rPr>
                    </w:pPr>
                    <w:r>
                      <w:rPr>
                        <w:rFonts w:ascii="黑体" w:eastAsia="黑体" w:hint="eastAsia"/>
                        <w:w w:val="104"/>
                        <w:sz w:val="21"/>
                      </w:rPr>
                      <w:t>好</w:t>
                    </w:r>
                  </w:p>
                  <w:p>
                    <w:pPr>
                      <w:spacing w:line="261" w:lineRule="exact" w:before="0"/>
                      <w:ind w:left="0" w:right="0" w:firstLine="0"/>
                      <w:jc w:val="left"/>
                      <w:rPr>
                        <w:rFonts w:ascii="黑体" w:eastAsia="黑体" w:hint="eastAsia"/>
                        <w:sz w:val="21"/>
                      </w:rPr>
                    </w:pPr>
                    <w:r>
                      <w:rPr>
                        <w:rFonts w:ascii="黑体" w:eastAsia="黑体" w:hint="eastAsia"/>
                        <w:w w:val="104"/>
                        <w:sz w:val="21"/>
                      </w:rPr>
                      <w:t>氧</w:t>
                    </w:r>
                  </w:p>
                  <w:p>
                    <w:pPr>
                      <w:spacing w:line="236" w:lineRule="exact" w:before="0"/>
                      <w:ind w:left="0" w:right="0" w:firstLine="0"/>
                      <w:jc w:val="left"/>
                      <w:rPr>
                        <w:rFonts w:ascii="黑体" w:eastAsia="黑体" w:hint="eastAsia"/>
                        <w:sz w:val="21"/>
                      </w:rPr>
                    </w:pPr>
                    <w:r>
                      <w:rPr>
                        <w:rFonts w:ascii="黑体" w:eastAsia="黑体" w:hint="eastAsia"/>
                        <w:w w:val="104"/>
                        <w:sz w:val="21"/>
                      </w:rPr>
                      <w:t>池</w:t>
                    </w:r>
                  </w:p>
                </w:txbxContent>
              </v:textbox>
              <w10:wrap type="none"/>
            </v:shape>
            <v:shape style="position:absolute;left:6420;top:78;width:239;height:218" type="#_x0000_t202" filled="false" stroked="false">
              <v:textbox inset="0,0,0,0">
                <w:txbxContent>
                  <w:p>
                    <w:pPr>
                      <w:spacing w:line="217" w:lineRule="exact" w:before="0"/>
                      <w:ind w:left="0" w:right="0" w:firstLine="0"/>
                      <w:jc w:val="left"/>
                      <w:rPr>
                        <w:rFonts w:ascii="黑体" w:eastAsia="黑体" w:hint="eastAsia"/>
                        <w:sz w:val="21"/>
                      </w:rPr>
                    </w:pPr>
                    <w:r>
                      <w:rPr>
                        <w:rFonts w:ascii="黑体" w:eastAsia="黑体" w:hint="eastAsia"/>
                        <w:w w:val="104"/>
                        <w:sz w:val="21"/>
                      </w:rPr>
                      <w:t>缺</w:t>
                    </w:r>
                  </w:p>
                </w:txbxContent>
              </v:textbox>
              <w10:wrap type="none"/>
            </v:shape>
            <v:shape style="position:absolute;left:7464;top:65;width:239;height:218" type="#_x0000_t202" filled="false" stroked="false">
              <v:textbox inset="0,0,0,0">
                <w:txbxContent>
                  <w:p>
                    <w:pPr>
                      <w:spacing w:line="218" w:lineRule="exact" w:before="0"/>
                      <w:ind w:left="0" w:right="0" w:firstLine="0"/>
                      <w:jc w:val="left"/>
                      <w:rPr>
                        <w:rFonts w:ascii="黑体" w:eastAsia="黑体" w:hint="eastAsia"/>
                        <w:sz w:val="21"/>
                      </w:rPr>
                    </w:pPr>
                    <w:r>
                      <w:rPr>
                        <w:rFonts w:ascii="黑体" w:eastAsia="黑体" w:hint="eastAsia"/>
                        <w:w w:val="104"/>
                        <w:sz w:val="21"/>
                      </w:rPr>
                      <w:t>厌</w:t>
                    </w:r>
                  </w:p>
                </w:txbxContent>
              </v:textbox>
              <w10:wrap type="none"/>
            </v:shape>
            <v:shape style="position:absolute;left:6420;top:327;width:1282;height:247" type="#_x0000_t202" filled="false" stroked="false">
              <v:textbox inset="0,0,0,0">
                <w:txbxContent>
                  <w:p>
                    <w:pPr>
                      <w:tabs>
                        <w:tab w:pos="486" w:val="left" w:leader="none"/>
                        <w:tab w:pos="925" w:val="left" w:leader="none"/>
                      </w:tabs>
                      <w:spacing w:line="246" w:lineRule="exact" w:before="0"/>
                      <w:ind w:left="0" w:right="0" w:firstLine="0"/>
                      <w:jc w:val="left"/>
                      <w:rPr>
                        <w:rFonts w:ascii="黑体" w:eastAsia="黑体" w:hint="eastAsia"/>
                        <w:sz w:val="21"/>
                      </w:rPr>
                    </w:pPr>
                    <w:r>
                      <w:rPr>
                        <w:rFonts w:ascii="黑体" w:eastAsia="黑体" w:hint="eastAsia"/>
                        <w:w w:val="105"/>
                        <w:sz w:val="21"/>
                      </w:rPr>
                      <w:t>氧</w:t>
                      <w:tab/>
                    </w:r>
                    <w:r>
                      <w:rPr>
                        <w:rFonts w:ascii="黑体" w:eastAsia="黑体" w:hint="eastAsia"/>
                        <w:w w:val="105"/>
                        <w:sz w:val="21"/>
                        <w:u w:val="single"/>
                      </w:rPr>
                      <w:t> </w:t>
                      <w:tab/>
                    </w:r>
                    <w:r>
                      <w:rPr>
                        <w:rFonts w:ascii="黑体" w:eastAsia="黑体" w:hint="eastAsia"/>
                        <w:w w:val="105"/>
                        <w:position w:val="1"/>
                        <w:sz w:val="21"/>
                      </w:rPr>
                      <w:t>氧</w:t>
                    </w:r>
                  </w:p>
                </w:txbxContent>
              </v:textbox>
              <w10:wrap type="none"/>
            </v:shape>
            <v:shape style="position:absolute;left:6420;top:600;width:239;height:218" type="#_x0000_t202" filled="false" stroked="false">
              <v:textbox inset="0,0,0,0">
                <w:txbxContent>
                  <w:p>
                    <w:pPr>
                      <w:spacing w:line="218" w:lineRule="exact" w:before="0"/>
                      <w:ind w:left="0" w:right="0" w:firstLine="0"/>
                      <w:jc w:val="left"/>
                      <w:rPr>
                        <w:rFonts w:ascii="黑体" w:eastAsia="黑体" w:hint="eastAsia"/>
                        <w:sz w:val="21"/>
                      </w:rPr>
                    </w:pPr>
                    <w:r>
                      <w:rPr>
                        <w:rFonts w:ascii="黑体" w:eastAsia="黑体" w:hint="eastAsia"/>
                        <w:w w:val="104"/>
                        <w:sz w:val="21"/>
                      </w:rPr>
                      <w:t>池</w:t>
                    </w:r>
                  </w:p>
                </w:txbxContent>
              </v:textbox>
              <w10:wrap type="none"/>
            </v:shape>
            <v:shape style="position:absolute;left:7464;top:587;width:239;height:218" type="#_x0000_t202" filled="false" stroked="false">
              <v:textbox inset="0,0,0,0">
                <w:txbxContent>
                  <w:p>
                    <w:pPr>
                      <w:spacing w:line="218" w:lineRule="exact" w:before="0"/>
                      <w:ind w:left="0" w:right="0" w:firstLine="0"/>
                      <w:jc w:val="left"/>
                      <w:rPr>
                        <w:rFonts w:ascii="黑体" w:eastAsia="黑体" w:hint="eastAsia"/>
                        <w:sz w:val="21"/>
                      </w:rPr>
                    </w:pPr>
                    <w:r>
                      <w:rPr>
                        <w:rFonts w:ascii="黑体" w:eastAsia="黑体" w:hint="eastAsia"/>
                        <w:w w:val="104"/>
                        <w:sz w:val="21"/>
                      </w:rPr>
                      <w:t>池</w:t>
                    </w:r>
                  </w:p>
                </w:txbxContent>
              </v:textbox>
              <w10:wrap type="none"/>
            </v:shape>
            <v:shape style="position:absolute;left:6733;top:1491;width:751;height:185" type="#_x0000_t202" filled="false" stroked="false">
              <v:textbox inset="0,0,0,0">
                <w:txbxContent>
                  <w:p>
                    <w:pPr>
                      <w:spacing w:line="185" w:lineRule="exact" w:before="0"/>
                      <w:ind w:left="0" w:right="0" w:firstLine="0"/>
                      <w:jc w:val="left"/>
                      <w:rPr>
                        <w:sz w:val="18"/>
                      </w:rPr>
                    </w:pPr>
                    <w:r>
                      <w:rPr>
                        <w:spacing w:val="-3"/>
                        <w:w w:val="105"/>
                        <w:sz w:val="18"/>
                      </w:rPr>
                      <w:t>污泥回流</w:t>
                    </w:r>
                  </w:p>
                </w:txbxContent>
              </v:textbox>
              <w10:wrap type="none"/>
            </v:shape>
            <v:shape style="position:absolute;left:8408;top:1716;width:392;height:185" type="#_x0000_t202" filled="false" stroked="false">
              <v:textbox inset="0,0,0,0">
                <w:txbxContent>
                  <w:p>
                    <w:pPr>
                      <w:spacing w:line="185" w:lineRule="exact" w:before="0"/>
                      <w:ind w:left="0" w:right="0" w:firstLine="0"/>
                      <w:jc w:val="left"/>
                      <w:rPr>
                        <w:sz w:val="18"/>
                      </w:rPr>
                    </w:pPr>
                    <w:r>
                      <w:rPr>
                        <w:w w:val="105"/>
                        <w:sz w:val="18"/>
                      </w:rPr>
                      <w:t>碳源</w:t>
                    </w:r>
                  </w:p>
                </w:txbxContent>
              </v:textbox>
              <w10:wrap type="none"/>
            </v:shape>
            <v:shape style="position:absolute;left:8338;top:-357;width:515;height:1588" type="#_x0000_t202" filled="false" stroked="true" strokeweight=".653508pt" strokecolor="#000000">
              <v:textbox inset="0,0,0,0">
                <w:txbxContent>
                  <w:p>
                    <w:pPr>
                      <w:spacing w:line="240" w:lineRule="auto" w:before="8"/>
                      <w:rPr>
                        <w:b/>
                        <w:sz w:val="30"/>
                      </w:rPr>
                    </w:pPr>
                  </w:p>
                  <w:p>
                    <w:pPr>
                      <w:spacing w:line="232" w:lineRule="auto" w:before="0"/>
                      <w:ind w:left="149" w:right="131" w:firstLine="0"/>
                      <w:jc w:val="both"/>
                      <w:rPr>
                        <w:rFonts w:ascii="黑体" w:eastAsia="黑体" w:hint="eastAsia"/>
                        <w:sz w:val="21"/>
                      </w:rPr>
                    </w:pPr>
                    <w:r>
                      <w:rPr>
                        <w:rFonts w:ascii="黑体" w:eastAsia="黑体" w:hint="eastAsia"/>
                        <w:w w:val="105"/>
                        <w:sz w:val="21"/>
                      </w:rPr>
                      <w:t>调节池</w:t>
                    </w:r>
                  </w:p>
                </w:txbxContent>
              </v:textbox>
              <v:stroke dashstyle="solid"/>
              <w10:wrap type="none"/>
            </v:shape>
            <v:shape style="position:absolute;left:4201;top:-351;width:515;height:1639" type="#_x0000_t202" filled="false" stroked="true" strokeweight=".653527pt" strokecolor="#000000">
              <v:textbox inset="0,0,0,0">
                <w:txbxContent>
                  <w:p>
                    <w:pPr>
                      <w:spacing w:line="240" w:lineRule="auto" w:before="8"/>
                      <w:rPr>
                        <w:b/>
                        <w:sz w:val="32"/>
                      </w:rPr>
                    </w:pPr>
                  </w:p>
                  <w:p>
                    <w:pPr>
                      <w:spacing w:line="232" w:lineRule="auto" w:before="0"/>
                      <w:ind w:left="145" w:right="135" w:firstLine="0"/>
                      <w:jc w:val="both"/>
                      <w:rPr>
                        <w:rFonts w:ascii="黑体" w:eastAsia="黑体" w:hint="eastAsia"/>
                        <w:sz w:val="21"/>
                      </w:rPr>
                    </w:pPr>
                    <w:r>
                      <w:rPr>
                        <w:rFonts w:ascii="黑体" w:eastAsia="黑体" w:hint="eastAsia"/>
                        <w:w w:val="105"/>
                        <w:sz w:val="21"/>
                      </w:rPr>
                      <w:t>沉淀池</w:t>
                    </w:r>
                  </w:p>
                </w:txbxContent>
              </v:textbox>
              <v:stroke dashstyle="solid"/>
              <w10:wrap type="none"/>
            </v:shape>
            <v:shape style="position:absolute;left:2142;top:-351;width:515;height:1639" type="#_x0000_t202" filled="false" stroked="true" strokeweight=".653527pt" strokecolor="#000000">
              <v:textbox inset="0,0,0,0">
                <w:txbxContent>
                  <w:p>
                    <w:pPr>
                      <w:spacing w:line="232" w:lineRule="auto" w:before="157"/>
                      <w:ind w:left="142" w:right="138" w:firstLine="0"/>
                      <w:jc w:val="both"/>
                      <w:rPr>
                        <w:rFonts w:ascii="黑体" w:eastAsia="黑体" w:hint="eastAsia"/>
                        <w:sz w:val="21"/>
                      </w:rPr>
                    </w:pPr>
                    <w:r>
                      <w:rPr>
                        <w:rFonts w:ascii="黑体" w:eastAsia="黑体" w:hint="eastAsia"/>
                        <w:w w:val="105"/>
                        <w:sz w:val="21"/>
                      </w:rPr>
                      <w:t>污泥离心机</w:t>
                    </w:r>
                  </w:p>
                </w:txbxContent>
              </v:textbox>
              <v:stroke dashstyle="solid"/>
              <w10:wrap type="none"/>
            </v:shape>
            <v:shape style="position:absolute;left:3172;top:-351;width:515;height:1639" type="#_x0000_t202" filled="false" stroked="true" strokeweight=".653527pt" strokecolor="#000000">
              <v:textbox inset="0,0,0,0">
                <w:txbxContent>
                  <w:p>
                    <w:pPr>
                      <w:spacing w:line="240" w:lineRule="auto" w:before="8"/>
                      <w:rPr>
                        <w:b/>
                        <w:sz w:val="32"/>
                      </w:rPr>
                    </w:pPr>
                  </w:p>
                  <w:p>
                    <w:pPr>
                      <w:spacing w:line="232" w:lineRule="auto" w:before="0"/>
                      <w:ind w:left="144" w:right="136" w:firstLine="0"/>
                      <w:jc w:val="both"/>
                      <w:rPr>
                        <w:rFonts w:ascii="黑体" w:eastAsia="黑体" w:hint="eastAsia"/>
                        <w:sz w:val="21"/>
                      </w:rPr>
                    </w:pPr>
                    <w:r>
                      <w:rPr>
                        <w:rFonts w:ascii="黑体" w:eastAsia="黑体" w:hint="eastAsia"/>
                        <w:w w:val="105"/>
                        <w:sz w:val="21"/>
                      </w:rPr>
                      <w:t>外排池</w:t>
                    </w:r>
                  </w:p>
                </w:txbxContent>
              </v:textbox>
              <v:stroke dashstyle="solid"/>
              <w10:wrap type="none"/>
            </v:shape>
            <w10:wrap type="none"/>
          </v:group>
        </w:pict>
      </w:r>
      <w:r>
        <w:rPr>
          <w:sz w:val="18"/>
        </w:rPr>
        <w:t>经预处理废水</w:t>
      </w:r>
    </w:p>
    <w:p>
      <w:pPr>
        <w:pStyle w:val="BodyText"/>
        <w:spacing w:before="11"/>
        <w:rPr>
          <w:sz w:val="15"/>
        </w:rPr>
      </w:pPr>
      <w:r>
        <w:rPr/>
        <w:pict>
          <v:group style="position:absolute;margin-left:184.356735pt;margin-top:12.151864pt;width:25.75pt;height:4.6pt;mso-position-horizontal-relative:page;mso-position-vertical-relative:paragraph;z-index:-251509760;mso-wrap-distance-left:0;mso-wrap-distance-right:0" coordorigin="3687,243" coordsize="515,92">
            <v:line style="position:absolute" from="4202,289" to="3813,289" stroked="true" strokeweight=".650238pt" strokecolor="#000000">
              <v:stroke dashstyle="solid"/>
            </v:line>
            <v:shape style="position:absolute;left:3687;top:243;width:138;height:92" coordorigin="3687,243" coordsize="138,92" path="m3824,243l3687,289,3824,334,3824,243xe" filled="true" fillcolor="#000000" stroked="false">
              <v:path arrowok="t"/>
              <v:fill type="solid"/>
            </v:shape>
            <w10:wrap type="topAndBottom"/>
          </v:group>
        </w:pict>
      </w:r>
    </w:p>
    <w:p>
      <w:pPr>
        <w:pStyle w:val="BodyText"/>
        <w:spacing w:before="7"/>
        <w:rPr>
          <w:sz w:val="7"/>
        </w:rPr>
      </w:pPr>
    </w:p>
    <w:p>
      <w:pPr>
        <w:spacing w:before="79"/>
        <w:ind w:left="0" w:right="294" w:firstLine="0"/>
        <w:jc w:val="right"/>
        <w:rPr>
          <w:sz w:val="18"/>
        </w:rPr>
      </w:pPr>
      <w:r>
        <w:rPr/>
        <w:pict>
          <v:group style="position:absolute;margin-left:442.661926pt;margin-top:7.385948pt;width:27.1pt;height:4.6pt;mso-position-horizontal-relative:page;mso-position-vertical-relative:paragraph;z-index:251825152" coordorigin="8853,148" coordsize="542,92">
            <v:line style="position:absolute" from="9394,193" to="8979,193" stroked="true" strokeweight=".650238pt" strokecolor="#000000">
              <v:stroke dashstyle="solid"/>
            </v:line>
            <v:shape style="position:absolute;left:8853;top:147;width:138;height:92" coordorigin="8853,148" coordsize="138,92" path="m8991,148l8853,193,8991,239,8991,148xe" filled="true" fillcolor="#000000" stroked="false">
              <v:path arrowok="t"/>
              <v:fill type="solid"/>
            </v:shape>
            <w10:wrap type="none"/>
          </v:group>
        </w:pict>
      </w:r>
      <w:r>
        <w:rPr>
          <w:sz w:val="18"/>
        </w:rPr>
        <w:t>其他废水</w:t>
      </w:r>
    </w:p>
    <w:p>
      <w:pPr>
        <w:pStyle w:val="BodyText"/>
        <w:spacing w:before="10"/>
        <w:rPr>
          <w:sz w:val="18"/>
        </w:rPr>
      </w:pPr>
      <w:r>
        <w:rPr/>
        <w:pict>
          <v:group style="position:absolute;margin-left:115.771103pt;margin-top:14.362339pt;width:5.9pt;height:25.6pt;mso-position-horizontal-relative:page;mso-position-vertical-relative:paragraph;z-index:-251508736;mso-wrap-distance-left:0;mso-wrap-distance-right:0" coordorigin="2315,287" coordsize="118,512">
            <v:line style="position:absolute" from="2374,287" to="2374,638" stroked="true" strokeweight=".653845pt" strokecolor="#800000">
              <v:stroke dashstyle="solid"/>
            </v:line>
            <v:shape style="position:absolute;left:2315;top:623;width:118;height:176" coordorigin="2315,624" coordsize="118,176" path="m2433,624l2315,624,2374,799,2433,624xe" filled="true" fillcolor="#800000" stroked="false">
              <v:path arrowok="t"/>
              <v:fill type="solid"/>
            </v:shape>
            <w10:wrap type="topAndBottom"/>
          </v:group>
        </w:pict>
      </w:r>
    </w:p>
    <w:p>
      <w:pPr>
        <w:spacing w:line="242" w:lineRule="auto" w:before="42"/>
        <w:ind w:left="994" w:right="7933" w:hanging="366"/>
        <w:jc w:val="left"/>
        <w:rPr>
          <w:b/>
          <w:sz w:val="18"/>
        </w:rPr>
      </w:pPr>
      <w:r>
        <w:rPr>
          <w:b/>
          <w:color w:val="800000"/>
          <w:sz w:val="18"/>
        </w:rPr>
        <w:t>生化污泥外运</w:t>
      </w:r>
      <w:r>
        <w:rPr>
          <w:b/>
          <w:color w:val="800000"/>
          <w:w w:val="105"/>
          <w:sz w:val="18"/>
        </w:rPr>
        <w:t>填埋</w:t>
      </w:r>
    </w:p>
    <w:p>
      <w:pPr>
        <w:pStyle w:val="Heading4"/>
        <w:tabs>
          <w:tab w:pos="1221" w:val="left" w:leader="none"/>
        </w:tabs>
        <w:spacing w:before="151"/>
        <w:ind w:left="0" w:right="76"/>
        <w:jc w:val="center"/>
      </w:pPr>
      <w:r>
        <w:rPr/>
        <w:t>图</w:t>
      </w:r>
      <w:r>
        <w:rPr>
          <w:spacing w:val="-60"/>
        </w:rPr>
        <w:t> </w:t>
      </w:r>
      <w:r>
        <w:rPr>
          <w:rFonts w:ascii="Times New Roman" w:eastAsia="Times New Roman"/>
        </w:rPr>
        <w:t>5.1.3-1</w:t>
        <w:tab/>
      </w:r>
      <w:r>
        <w:rPr/>
        <w:t>废水生化处理工艺流程图</w:t>
      </w:r>
    </w:p>
    <w:p>
      <w:pPr>
        <w:spacing w:before="161"/>
        <w:ind w:left="741" w:right="0" w:firstLine="0"/>
        <w:jc w:val="left"/>
        <w:rPr>
          <w:b/>
          <w:sz w:val="24"/>
        </w:rPr>
      </w:pPr>
      <w:r>
        <w:rPr>
          <w:b/>
          <w:sz w:val="24"/>
        </w:rPr>
        <w:t>生化处理工艺流程：</w:t>
      </w:r>
    </w:p>
    <w:p>
      <w:pPr>
        <w:pStyle w:val="BodyText"/>
        <w:spacing w:line="364" w:lineRule="auto" w:before="158"/>
        <w:ind w:left="258" w:right="332" w:firstLine="480"/>
        <w:jc w:val="both"/>
      </w:pPr>
      <w:r>
        <w:rPr>
          <w:spacing w:val="-4"/>
        </w:rPr>
        <w:t>经预处理后的废水与其它废水收集后，经泵输送至调节池。调节池中的废水经泵输</w:t>
      </w:r>
      <w:r>
        <w:rPr>
          <w:spacing w:val="-17"/>
        </w:rPr>
        <w:t>送至 </w:t>
      </w:r>
      <w:r>
        <w:rPr>
          <w:rFonts w:ascii="Times New Roman" w:eastAsia="Times New Roman"/>
        </w:rPr>
        <w:t>A2/O </w:t>
      </w:r>
      <w:r>
        <w:rPr>
          <w:spacing w:val="-1"/>
        </w:rPr>
        <w:t>生化处理，该工艺为当今最常用的生物脱氮工艺。厌氧池废水中的有机物被</w:t>
      </w:r>
      <w:r>
        <w:rPr>
          <w:spacing w:val="-7"/>
        </w:rPr>
        <w:t>微生物分解，使得高浓度、难降解的大分子有机物转换为小分子物质。缺氧池中的有机</w:t>
      </w:r>
      <w:r>
        <w:rPr>
          <w:spacing w:val="-5"/>
        </w:rPr>
        <w:t>物被微生物进一步分解去除，废水中的氨氮、硝基氮被反硝化细菌转变为氮气。缺氧池</w:t>
      </w:r>
      <w:r>
        <w:rPr>
          <w:spacing w:val="-6"/>
        </w:rPr>
        <w:t>出水流入好氧池，在好氧池中有机物被再次分解，氨氮、硝态氮进一步转换为氮气；好</w:t>
      </w:r>
      <w:r>
        <w:rPr>
          <w:spacing w:val="-5"/>
        </w:rPr>
        <w:t>氧池出水流入沉淀池，沉淀池下层污泥经泵回流，沉淀池上清液自流入外排池，外排池中的水经检测合格后，用泵输送至园区污水处理厂管网。沉淀池中的多余污泥泵入絮凝</w:t>
      </w:r>
      <w:r>
        <w:rPr/>
        <w:t>池经离心除泥，离心出水流入调节池。</w:t>
      </w:r>
    </w:p>
    <w:p>
      <w:pPr>
        <w:pStyle w:val="Heading4"/>
        <w:spacing w:line="303" w:lineRule="exact"/>
        <w:ind w:left="741"/>
      </w:pPr>
      <w:r>
        <w:rPr>
          <w:rFonts w:ascii="Times New Roman" w:eastAsia="Times New Roman"/>
        </w:rPr>
        <w:t>2</w:t>
      </w:r>
      <w:r>
        <w:rPr/>
        <w:t>、废水处理负荷可行性分析</w:t>
      </w:r>
    </w:p>
    <w:p>
      <w:pPr>
        <w:spacing w:after="0" w:line="303" w:lineRule="exact"/>
        <w:sectPr>
          <w:pgSz w:w="11910" w:h="16850"/>
          <w:pgMar w:header="730" w:footer="673" w:top="980" w:bottom="860" w:left="1160" w:right="1080"/>
        </w:sectPr>
      </w:pPr>
    </w:p>
    <w:p>
      <w:pPr>
        <w:pStyle w:val="BodyText"/>
        <w:spacing w:before="12"/>
        <w:rPr>
          <w:b/>
          <w:sz w:val="27"/>
        </w:rPr>
      </w:pPr>
    </w:p>
    <w:p>
      <w:pPr>
        <w:spacing w:before="74"/>
        <w:ind w:left="741" w:right="0" w:firstLine="0"/>
        <w:jc w:val="left"/>
        <w:rPr>
          <w:b/>
          <w:sz w:val="24"/>
        </w:rPr>
      </w:pPr>
      <w:r>
        <w:rPr>
          <w:b/>
          <w:sz w:val="24"/>
        </w:rPr>
        <w:t>（</w:t>
      </w:r>
      <w:r>
        <w:rPr>
          <w:rFonts w:ascii="Times New Roman" w:eastAsia="Times New Roman"/>
          <w:b/>
          <w:sz w:val="24"/>
        </w:rPr>
        <w:t>1</w:t>
      </w:r>
      <w:r>
        <w:rPr>
          <w:b/>
          <w:sz w:val="24"/>
        </w:rPr>
        <w:t>）水量</w:t>
      </w:r>
    </w:p>
    <w:p>
      <w:pPr>
        <w:pStyle w:val="BodyText"/>
        <w:spacing w:line="364" w:lineRule="auto" w:before="158"/>
        <w:ind w:left="258" w:right="332" w:firstLine="480"/>
      </w:pPr>
      <w:r>
        <w:rPr>
          <w:spacing w:val="-8"/>
        </w:rPr>
        <w:t>本项目总废水量为 </w:t>
      </w:r>
      <w:r>
        <w:rPr>
          <w:rFonts w:ascii="Times New Roman" w:eastAsia="Times New Roman"/>
        </w:rPr>
        <w:t>110t/d</w:t>
      </w:r>
      <w:r>
        <w:rPr>
          <w:spacing w:val="-6"/>
        </w:rPr>
        <w:t>，生化处理的设计规模在 </w:t>
      </w:r>
      <w:r>
        <w:rPr>
          <w:rFonts w:ascii="Times New Roman" w:eastAsia="Times New Roman"/>
        </w:rPr>
        <w:t>110t/d </w:t>
      </w:r>
      <w:r>
        <w:rPr>
          <w:spacing w:val="-2"/>
        </w:rPr>
        <w:t>以上，在生化处理设计处</w:t>
      </w:r>
      <w:r>
        <w:rPr/>
        <w:t>理水量之内，从水量上可以满足。</w:t>
      </w:r>
    </w:p>
    <w:p>
      <w:pPr>
        <w:pStyle w:val="Heading4"/>
        <w:spacing w:line="306" w:lineRule="exact"/>
        <w:ind w:left="741"/>
      </w:pPr>
      <w:r>
        <w:rPr/>
        <w:t>（</w:t>
      </w:r>
      <w:r>
        <w:rPr>
          <w:rFonts w:ascii="Times New Roman" w:eastAsia="Times New Roman"/>
        </w:rPr>
        <w:t>3</w:t>
      </w:r>
      <w:r>
        <w:rPr/>
        <w:t>）负荷</w:t>
      </w:r>
    </w:p>
    <w:p>
      <w:pPr>
        <w:pStyle w:val="BodyText"/>
        <w:spacing w:line="362" w:lineRule="auto" w:before="161"/>
        <w:ind w:left="258" w:right="272" w:firstLine="480"/>
      </w:pPr>
      <w:r>
        <w:rPr/>
        <w:t>本次项目经过预处理后的废水和其他废水混匀后一起进入后续生化处理。生化处理效果详见下表。</w:t>
      </w:r>
    </w:p>
    <w:p>
      <w:pPr>
        <w:pStyle w:val="Heading4"/>
        <w:tabs>
          <w:tab w:pos="4200" w:val="left" w:leader="none"/>
        </w:tabs>
        <w:spacing w:before="146" w:after="29"/>
        <w:ind w:left="2978"/>
      </w:pPr>
      <w:r>
        <w:rPr/>
        <w:t>表</w:t>
      </w:r>
      <w:r>
        <w:rPr>
          <w:spacing w:val="-60"/>
        </w:rPr>
        <w:t> </w:t>
      </w:r>
      <w:r>
        <w:rPr>
          <w:rFonts w:ascii="Times New Roman" w:eastAsia="Times New Roman"/>
        </w:rPr>
        <w:t>5.1.3-1</w:t>
        <w:tab/>
      </w:r>
      <w:r>
        <w:rPr/>
        <w:t>废水生化预期处理效果</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944"/>
        <w:gridCol w:w="1728"/>
        <w:gridCol w:w="1136"/>
        <w:gridCol w:w="1280"/>
        <w:gridCol w:w="1449"/>
        <w:gridCol w:w="1067"/>
      </w:tblGrid>
      <w:tr>
        <w:trPr>
          <w:trHeight w:val="239" w:hRule="atLeast"/>
        </w:trPr>
        <w:tc>
          <w:tcPr>
            <w:tcW w:w="1690" w:type="dxa"/>
            <w:vMerge w:val="restart"/>
          </w:tcPr>
          <w:p>
            <w:pPr>
              <w:pStyle w:val="TableParagraph"/>
              <w:spacing w:before="10"/>
              <w:jc w:val="left"/>
              <w:rPr>
                <w:b/>
                <w:sz w:val="15"/>
              </w:rPr>
            </w:pPr>
          </w:p>
          <w:p>
            <w:pPr>
              <w:pStyle w:val="TableParagraph"/>
              <w:ind w:left="521" w:right="512"/>
              <w:rPr>
                <w:b/>
                <w:sz w:val="21"/>
              </w:rPr>
            </w:pPr>
            <w:r>
              <w:rPr>
                <w:b/>
                <w:sz w:val="21"/>
              </w:rPr>
              <w:t>指标</w:t>
            </w:r>
          </w:p>
        </w:tc>
        <w:tc>
          <w:tcPr>
            <w:tcW w:w="944" w:type="dxa"/>
            <w:vMerge w:val="restart"/>
          </w:tcPr>
          <w:p>
            <w:pPr>
              <w:pStyle w:val="TableParagraph"/>
              <w:spacing w:before="10"/>
              <w:jc w:val="left"/>
              <w:rPr>
                <w:b/>
                <w:sz w:val="15"/>
              </w:rPr>
            </w:pPr>
          </w:p>
          <w:p>
            <w:pPr>
              <w:pStyle w:val="TableParagraph"/>
              <w:ind w:left="258"/>
              <w:jc w:val="left"/>
              <w:rPr>
                <w:b/>
                <w:sz w:val="21"/>
              </w:rPr>
            </w:pPr>
            <w:r>
              <w:rPr>
                <w:b/>
                <w:sz w:val="21"/>
              </w:rPr>
              <w:t>单位</w:t>
            </w:r>
          </w:p>
        </w:tc>
        <w:tc>
          <w:tcPr>
            <w:tcW w:w="1728" w:type="dxa"/>
            <w:vMerge w:val="restart"/>
          </w:tcPr>
          <w:p>
            <w:pPr>
              <w:pStyle w:val="TableParagraph"/>
              <w:spacing w:before="10"/>
              <w:jc w:val="left"/>
              <w:rPr>
                <w:b/>
                <w:sz w:val="15"/>
              </w:rPr>
            </w:pPr>
          </w:p>
          <w:p>
            <w:pPr>
              <w:pStyle w:val="TableParagraph"/>
              <w:ind w:left="121"/>
              <w:jc w:val="left"/>
              <w:rPr>
                <w:b/>
                <w:sz w:val="21"/>
              </w:rPr>
            </w:pPr>
            <w:r>
              <w:rPr>
                <w:b/>
                <w:sz w:val="21"/>
              </w:rPr>
              <w:t>项目混匀后废水</w:t>
            </w:r>
          </w:p>
        </w:tc>
        <w:tc>
          <w:tcPr>
            <w:tcW w:w="3865" w:type="dxa"/>
            <w:gridSpan w:val="3"/>
          </w:tcPr>
          <w:p>
            <w:pPr>
              <w:pStyle w:val="TableParagraph"/>
              <w:spacing w:line="220" w:lineRule="exact"/>
              <w:ind w:left="1433" w:right="1428"/>
              <w:rPr>
                <w:b/>
                <w:sz w:val="21"/>
              </w:rPr>
            </w:pPr>
            <w:r>
              <w:rPr>
                <w:rFonts w:ascii="Times New Roman" w:eastAsia="Times New Roman"/>
                <w:b/>
                <w:sz w:val="21"/>
              </w:rPr>
              <w:t>A2/O </w:t>
            </w:r>
            <w:r>
              <w:rPr>
                <w:b/>
                <w:sz w:val="21"/>
              </w:rPr>
              <w:t>生化</w:t>
            </w:r>
          </w:p>
        </w:tc>
        <w:tc>
          <w:tcPr>
            <w:tcW w:w="1067" w:type="dxa"/>
            <w:vMerge w:val="restart"/>
          </w:tcPr>
          <w:p>
            <w:pPr>
              <w:pStyle w:val="TableParagraph"/>
              <w:spacing w:before="10"/>
              <w:jc w:val="left"/>
              <w:rPr>
                <w:b/>
                <w:sz w:val="15"/>
              </w:rPr>
            </w:pPr>
          </w:p>
          <w:p>
            <w:pPr>
              <w:pStyle w:val="TableParagraph"/>
              <w:ind w:left="107"/>
              <w:jc w:val="left"/>
              <w:rPr>
                <w:b/>
                <w:sz w:val="21"/>
              </w:rPr>
            </w:pPr>
            <w:r>
              <w:rPr>
                <w:b/>
                <w:sz w:val="21"/>
              </w:rPr>
              <w:t>纳管标准</w:t>
            </w:r>
          </w:p>
        </w:tc>
      </w:tr>
      <w:tr>
        <w:trPr>
          <w:trHeight w:val="432" w:hRule="atLeast"/>
        </w:trPr>
        <w:tc>
          <w:tcPr>
            <w:tcW w:w="1690" w:type="dxa"/>
            <w:vMerge/>
            <w:tcBorders>
              <w:top w:val="nil"/>
            </w:tcBorders>
          </w:tcPr>
          <w:p>
            <w:pPr>
              <w:rPr>
                <w:sz w:val="2"/>
                <w:szCs w:val="2"/>
              </w:rPr>
            </w:pPr>
          </w:p>
        </w:tc>
        <w:tc>
          <w:tcPr>
            <w:tcW w:w="944" w:type="dxa"/>
            <w:vMerge/>
            <w:tcBorders>
              <w:top w:val="nil"/>
            </w:tcBorders>
          </w:tcPr>
          <w:p>
            <w:pPr>
              <w:rPr>
                <w:sz w:val="2"/>
                <w:szCs w:val="2"/>
              </w:rPr>
            </w:pPr>
          </w:p>
        </w:tc>
        <w:tc>
          <w:tcPr>
            <w:tcW w:w="1728" w:type="dxa"/>
            <w:vMerge/>
            <w:tcBorders>
              <w:top w:val="nil"/>
            </w:tcBorders>
          </w:tcPr>
          <w:p>
            <w:pPr>
              <w:rPr>
                <w:sz w:val="2"/>
                <w:szCs w:val="2"/>
              </w:rPr>
            </w:pPr>
          </w:p>
        </w:tc>
        <w:tc>
          <w:tcPr>
            <w:tcW w:w="1136" w:type="dxa"/>
          </w:tcPr>
          <w:p>
            <w:pPr>
              <w:pStyle w:val="TableParagraph"/>
              <w:spacing w:before="78"/>
              <w:rPr>
                <w:b/>
                <w:sz w:val="21"/>
              </w:rPr>
            </w:pPr>
            <w:r>
              <w:rPr>
                <w:b/>
                <w:w w:val="100"/>
                <w:sz w:val="21"/>
              </w:rPr>
              <w:t>进</w:t>
            </w:r>
          </w:p>
        </w:tc>
        <w:tc>
          <w:tcPr>
            <w:tcW w:w="1280" w:type="dxa"/>
          </w:tcPr>
          <w:p>
            <w:pPr>
              <w:pStyle w:val="TableParagraph"/>
              <w:spacing w:before="78"/>
              <w:ind w:left="4"/>
              <w:rPr>
                <w:b/>
                <w:sz w:val="21"/>
              </w:rPr>
            </w:pPr>
            <w:r>
              <w:rPr>
                <w:b/>
                <w:w w:val="100"/>
                <w:sz w:val="21"/>
              </w:rPr>
              <w:t>出</w:t>
            </w:r>
          </w:p>
        </w:tc>
        <w:tc>
          <w:tcPr>
            <w:tcW w:w="1449" w:type="dxa"/>
          </w:tcPr>
          <w:p>
            <w:pPr>
              <w:pStyle w:val="TableParagraph"/>
              <w:spacing w:before="78"/>
              <w:ind w:left="277" w:right="278"/>
              <w:rPr>
                <w:b/>
                <w:sz w:val="21"/>
              </w:rPr>
            </w:pPr>
            <w:r>
              <w:rPr>
                <w:b/>
                <w:sz w:val="21"/>
              </w:rPr>
              <w:t>去除率％</w:t>
            </w:r>
          </w:p>
        </w:tc>
        <w:tc>
          <w:tcPr>
            <w:tcW w:w="1067" w:type="dxa"/>
            <w:vMerge/>
            <w:tcBorders>
              <w:top w:val="nil"/>
            </w:tcBorders>
          </w:tcPr>
          <w:p>
            <w:pPr>
              <w:rPr>
                <w:sz w:val="2"/>
                <w:szCs w:val="2"/>
              </w:rPr>
            </w:pPr>
          </w:p>
        </w:tc>
      </w:tr>
      <w:tr>
        <w:trPr>
          <w:trHeight w:val="239" w:hRule="atLeast"/>
        </w:trPr>
        <w:tc>
          <w:tcPr>
            <w:tcW w:w="1690" w:type="dxa"/>
          </w:tcPr>
          <w:p>
            <w:pPr>
              <w:pStyle w:val="TableParagraph"/>
              <w:spacing w:line="220" w:lineRule="exact"/>
              <w:ind w:left="521" w:right="512"/>
              <w:rPr>
                <w:rFonts w:ascii="Times New Roman"/>
                <w:sz w:val="21"/>
              </w:rPr>
            </w:pPr>
            <w:r>
              <w:rPr>
                <w:rFonts w:ascii="Times New Roman"/>
                <w:sz w:val="21"/>
              </w:rPr>
              <w:t>CODcr</w:t>
            </w:r>
          </w:p>
        </w:tc>
        <w:tc>
          <w:tcPr>
            <w:tcW w:w="944" w:type="dxa"/>
          </w:tcPr>
          <w:p>
            <w:pPr>
              <w:pStyle w:val="TableParagraph"/>
              <w:spacing w:line="220" w:lineRule="exact"/>
              <w:ind w:left="221" w:right="217"/>
              <w:rPr>
                <w:rFonts w:ascii="Times New Roman"/>
                <w:sz w:val="21"/>
              </w:rPr>
            </w:pPr>
            <w:r>
              <w:rPr>
                <w:rFonts w:ascii="Times New Roman"/>
                <w:sz w:val="21"/>
              </w:rPr>
              <w:t>mg/L</w:t>
            </w:r>
          </w:p>
        </w:tc>
        <w:tc>
          <w:tcPr>
            <w:tcW w:w="1728" w:type="dxa"/>
          </w:tcPr>
          <w:p>
            <w:pPr>
              <w:pStyle w:val="TableParagraph"/>
              <w:spacing w:line="220" w:lineRule="exact"/>
              <w:ind w:left="649"/>
              <w:jc w:val="left"/>
              <w:rPr>
                <w:rFonts w:ascii="Times New Roman"/>
                <w:sz w:val="21"/>
              </w:rPr>
            </w:pPr>
            <w:r>
              <w:rPr>
                <w:rFonts w:ascii="Times New Roman"/>
                <w:sz w:val="21"/>
              </w:rPr>
              <w:t>1793</w:t>
            </w:r>
          </w:p>
        </w:tc>
        <w:tc>
          <w:tcPr>
            <w:tcW w:w="1136" w:type="dxa"/>
          </w:tcPr>
          <w:p>
            <w:pPr>
              <w:pStyle w:val="TableParagraph"/>
              <w:spacing w:line="220" w:lineRule="exact"/>
              <w:ind w:left="93" w:right="84"/>
              <w:rPr>
                <w:rFonts w:ascii="Times New Roman"/>
                <w:sz w:val="21"/>
              </w:rPr>
            </w:pPr>
            <w:r>
              <w:rPr>
                <w:rFonts w:ascii="Times New Roman"/>
                <w:sz w:val="21"/>
              </w:rPr>
              <w:t>1793</w:t>
            </w:r>
          </w:p>
        </w:tc>
        <w:tc>
          <w:tcPr>
            <w:tcW w:w="1280" w:type="dxa"/>
          </w:tcPr>
          <w:p>
            <w:pPr>
              <w:pStyle w:val="TableParagraph"/>
              <w:spacing w:line="220" w:lineRule="exact"/>
              <w:ind w:left="9"/>
              <w:rPr>
                <w:rFonts w:ascii="Times New Roman"/>
                <w:sz w:val="21"/>
              </w:rPr>
            </w:pPr>
            <w:r>
              <w:rPr>
                <w:rFonts w:ascii="Times New Roman"/>
                <w:sz w:val="21"/>
              </w:rPr>
              <w:t>448.3</w:t>
            </w:r>
          </w:p>
        </w:tc>
        <w:tc>
          <w:tcPr>
            <w:tcW w:w="1449" w:type="dxa"/>
          </w:tcPr>
          <w:p>
            <w:pPr>
              <w:pStyle w:val="TableParagraph"/>
              <w:spacing w:line="220" w:lineRule="exact"/>
              <w:ind w:left="277" w:right="276"/>
              <w:rPr>
                <w:rFonts w:ascii="Times New Roman"/>
                <w:sz w:val="21"/>
              </w:rPr>
            </w:pPr>
            <w:r>
              <w:rPr>
                <w:rFonts w:ascii="Times New Roman"/>
                <w:sz w:val="21"/>
              </w:rPr>
              <w:t>75</w:t>
            </w:r>
          </w:p>
        </w:tc>
        <w:tc>
          <w:tcPr>
            <w:tcW w:w="1067" w:type="dxa"/>
          </w:tcPr>
          <w:p>
            <w:pPr>
              <w:pStyle w:val="TableParagraph"/>
              <w:spacing w:line="220" w:lineRule="exact"/>
              <w:ind w:left="371"/>
              <w:jc w:val="left"/>
              <w:rPr>
                <w:rFonts w:ascii="Times New Roman"/>
                <w:sz w:val="21"/>
              </w:rPr>
            </w:pPr>
            <w:r>
              <w:rPr>
                <w:rFonts w:ascii="Times New Roman"/>
                <w:sz w:val="21"/>
              </w:rPr>
              <w:t>500</w:t>
            </w:r>
          </w:p>
        </w:tc>
      </w:tr>
      <w:tr>
        <w:trPr>
          <w:trHeight w:val="239" w:hRule="atLeast"/>
        </w:trPr>
        <w:tc>
          <w:tcPr>
            <w:tcW w:w="1690" w:type="dxa"/>
          </w:tcPr>
          <w:p>
            <w:pPr>
              <w:pStyle w:val="TableParagraph"/>
              <w:spacing w:line="220" w:lineRule="exact"/>
              <w:ind w:left="521" w:right="512"/>
              <w:rPr>
                <w:sz w:val="21"/>
              </w:rPr>
            </w:pPr>
            <w:r>
              <w:rPr>
                <w:sz w:val="21"/>
              </w:rPr>
              <w:t>氨氮</w:t>
            </w:r>
          </w:p>
        </w:tc>
        <w:tc>
          <w:tcPr>
            <w:tcW w:w="944" w:type="dxa"/>
          </w:tcPr>
          <w:p>
            <w:pPr>
              <w:pStyle w:val="TableParagraph"/>
              <w:spacing w:line="220" w:lineRule="exact"/>
              <w:ind w:left="221" w:right="217"/>
              <w:rPr>
                <w:rFonts w:ascii="Times New Roman"/>
                <w:sz w:val="21"/>
              </w:rPr>
            </w:pPr>
            <w:r>
              <w:rPr>
                <w:rFonts w:ascii="Times New Roman"/>
                <w:sz w:val="21"/>
              </w:rPr>
              <w:t>mg/L</w:t>
            </w:r>
          </w:p>
        </w:tc>
        <w:tc>
          <w:tcPr>
            <w:tcW w:w="1728" w:type="dxa"/>
          </w:tcPr>
          <w:p>
            <w:pPr>
              <w:pStyle w:val="TableParagraph"/>
              <w:spacing w:line="220" w:lineRule="exact"/>
              <w:ind w:left="675"/>
              <w:jc w:val="left"/>
              <w:rPr>
                <w:rFonts w:ascii="Times New Roman"/>
                <w:sz w:val="21"/>
              </w:rPr>
            </w:pPr>
            <w:r>
              <w:rPr>
                <w:rFonts w:ascii="Times New Roman"/>
                <w:sz w:val="21"/>
              </w:rPr>
              <w:t>14.5</w:t>
            </w:r>
          </w:p>
        </w:tc>
        <w:tc>
          <w:tcPr>
            <w:tcW w:w="1136" w:type="dxa"/>
          </w:tcPr>
          <w:p>
            <w:pPr>
              <w:pStyle w:val="TableParagraph"/>
              <w:spacing w:line="220" w:lineRule="exact"/>
              <w:ind w:left="93" w:right="84"/>
              <w:rPr>
                <w:rFonts w:ascii="Times New Roman"/>
                <w:sz w:val="21"/>
              </w:rPr>
            </w:pPr>
            <w:r>
              <w:rPr>
                <w:rFonts w:ascii="Times New Roman"/>
                <w:sz w:val="21"/>
              </w:rPr>
              <w:t>14.5</w:t>
            </w:r>
          </w:p>
        </w:tc>
        <w:tc>
          <w:tcPr>
            <w:tcW w:w="1280" w:type="dxa"/>
          </w:tcPr>
          <w:p>
            <w:pPr>
              <w:pStyle w:val="TableParagraph"/>
              <w:spacing w:line="220" w:lineRule="exact"/>
              <w:ind w:left="9"/>
              <w:rPr>
                <w:rFonts w:ascii="Times New Roman"/>
                <w:sz w:val="21"/>
              </w:rPr>
            </w:pPr>
            <w:r>
              <w:rPr>
                <w:rFonts w:ascii="Times New Roman"/>
                <w:sz w:val="21"/>
              </w:rPr>
              <w:t>8.7</w:t>
            </w:r>
          </w:p>
        </w:tc>
        <w:tc>
          <w:tcPr>
            <w:tcW w:w="1449" w:type="dxa"/>
          </w:tcPr>
          <w:p>
            <w:pPr>
              <w:pStyle w:val="TableParagraph"/>
              <w:spacing w:line="220" w:lineRule="exact"/>
              <w:ind w:left="277" w:right="276"/>
              <w:rPr>
                <w:rFonts w:ascii="Times New Roman"/>
                <w:sz w:val="21"/>
              </w:rPr>
            </w:pPr>
            <w:r>
              <w:rPr>
                <w:rFonts w:ascii="Times New Roman"/>
                <w:sz w:val="21"/>
              </w:rPr>
              <w:t>40</w:t>
            </w:r>
          </w:p>
        </w:tc>
        <w:tc>
          <w:tcPr>
            <w:tcW w:w="1067" w:type="dxa"/>
          </w:tcPr>
          <w:p>
            <w:pPr>
              <w:pStyle w:val="TableParagraph"/>
              <w:spacing w:line="220" w:lineRule="exact"/>
              <w:ind w:left="421"/>
              <w:jc w:val="left"/>
              <w:rPr>
                <w:rFonts w:ascii="Times New Roman"/>
                <w:sz w:val="21"/>
              </w:rPr>
            </w:pPr>
            <w:r>
              <w:rPr>
                <w:rFonts w:ascii="Times New Roman"/>
                <w:sz w:val="21"/>
              </w:rPr>
              <w:t>35</w:t>
            </w:r>
          </w:p>
        </w:tc>
      </w:tr>
      <w:tr>
        <w:trPr>
          <w:trHeight w:val="241" w:hRule="atLeast"/>
        </w:trPr>
        <w:tc>
          <w:tcPr>
            <w:tcW w:w="1690" w:type="dxa"/>
          </w:tcPr>
          <w:p>
            <w:pPr>
              <w:pStyle w:val="TableParagraph"/>
              <w:spacing w:line="222" w:lineRule="exact"/>
              <w:ind w:left="521" w:right="512"/>
              <w:rPr>
                <w:sz w:val="21"/>
              </w:rPr>
            </w:pPr>
            <w:r>
              <w:rPr>
                <w:sz w:val="21"/>
              </w:rPr>
              <w:t>总氮</w:t>
            </w:r>
          </w:p>
        </w:tc>
        <w:tc>
          <w:tcPr>
            <w:tcW w:w="944" w:type="dxa"/>
          </w:tcPr>
          <w:p>
            <w:pPr>
              <w:pStyle w:val="TableParagraph"/>
              <w:spacing w:line="222" w:lineRule="exact"/>
              <w:ind w:left="221" w:right="217"/>
              <w:rPr>
                <w:rFonts w:ascii="Times New Roman"/>
                <w:sz w:val="21"/>
              </w:rPr>
            </w:pPr>
            <w:r>
              <w:rPr>
                <w:rFonts w:ascii="Times New Roman"/>
                <w:sz w:val="21"/>
              </w:rPr>
              <w:t>mg/L</w:t>
            </w:r>
          </w:p>
        </w:tc>
        <w:tc>
          <w:tcPr>
            <w:tcW w:w="1728" w:type="dxa"/>
          </w:tcPr>
          <w:p>
            <w:pPr>
              <w:pStyle w:val="TableParagraph"/>
              <w:spacing w:line="222" w:lineRule="exact"/>
              <w:ind w:left="675"/>
              <w:jc w:val="left"/>
              <w:rPr>
                <w:rFonts w:ascii="Times New Roman"/>
                <w:sz w:val="21"/>
              </w:rPr>
            </w:pPr>
            <w:r>
              <w:rPr>
                <w:rFonts w:ascii="Times New Roman"/>
                <w:sz w:val="21"/>
              </w:rPr>
              <w:t>94.1</w:t>
            </w:r>
          </w:p>
        </w:tc>
        <w:tc>
          <w:tcPr>
            <w:tcW w:w="1136" w:type="dxa"/>
          </w:tcPr>
          <w:p>
            <w:pPr>
              <w:pStyle w:val="TableParagraph"/>
              <w:spacing w:line="222" w:lineRule="exact"/>
              <w:ind w:left="93" w:right="84"/>
              <w:rPr>
                <w:rFonts w:ascii="Times New Roman"/>
                <w:sz w:val="21"/>
              </w:rPr>
            </w:pPr>
            <w:r>
              <w:rPr>
                <w:rFonts w:ascii="Times New Roman"/>
                <w:sz w:val="21"/>
              </w:rPr>
              <w:t>94.1</w:t>
            </w:r>
          </w:p>
        </w:tc>
        <w:tc>
          <w:tcPr>
            <w:tcW w:w="1280" w:type="dxa"/>
          </w:tcPr>
          <w:p>
            <w:pPr>
              <w:pStyle w:val="TableParagraph"/>
              <w:spacing w:line="222" w:lineRule="exact"/>
              <w:ind w:left="9"/>
              <w:rPr>
                <w:rFonts w:ascii="Times New Roman"/>
                <w:sz w:val="21"/>
              </w:rPr>
            </w:pPr>
            <w:r>
              <w:rPr>
                <w:rFonts w:ascii="Times New Roman"/>
                <w:sz w:val="21"/>
              </w:rPr>
              <w:t>56.5</w:t>
            </w:r>
          </w:p>
        </w:tc>
        <w:tc>
          <w:tcPr>
            <w:tcW w:w="1449" w:type="dxa"/>
          </w:tcPr>
          <w:p>
            <w:pPr>
              <w:pStyle w:val="TableParagraph"/>
              <w:spacing w:line="222" w:lineRule="exact"/>
              <w:ind w:left="277" w:right="276"/>
              <w:rPr>
                <w:rFonts w:ascii="Times New Roman"/>
                <w:sz w:val="21"/>
              </w:rPr>
            </w:pPr>
            <w:r>
              <w:rPr>
                <w:rFonts w:ascii="Times New Roman"/>
                <w:sz w:val="21"/>
              </w:rPr>
              <w:t>40</w:t>
            </w:r>
          </w:p>
        </w:tc>
        <w:tc>
          <w:tcPr>
            <w:tcW w:w="1067" w:type="dxa"/>
          </w:tcPr>
          <w:p>
            <w:pPr>
              <w:pStyle w:val="TableParagraph"/>
              <w:spacing w:line="222" w:lineRule="exact"/>
              <w:ind w:left="421"/>
              <w:jc w:val="left"/>
              <w:rPr>
                <w:rFonts w:ascii="Times New Roman"/>
                <w:sz w:val="21"/>
              </w:rPr>
            </w:pPr>
            <w:r>
              <w:rPr>
                <w:rFonts w:ascii="Times New Roman"/>
                <w:sz w:val="21"/>
              </w:rPr>
              <w:t>70</w:t>
            </w:r>
          </w:p>
        </w:tc>
      </w:tr>
    </w:tbl>
    <w:p>
      <w:pPr>
        <w:pStyle w:val="BodyText"/>
        <w:spacing w:line="362" w:lineRule="auto" w:before="2"/>
        <w:ind w:left="258" w:right="332" w:firstLine="480"/>
      </w:pPr>
      <w:r>
        <w:rPr>
          <w:spacing w:val="-7"/>
        </w:rPr>
        <w:t>从上表分析可知，项目废水水质中主要污染因子经厂区污水处理站处理后能够达到</w:t>
      </w:r>
      <w:r>
        <w:rPr/>
        <w:t>纳管标准要求。</w:t>
      </w:r>
    </w:p>
    <w:p>
      <w:pPr>
        <w:pStyle w:val="Heading4"/>
        <w:spacing w:before="5"/>
        <w:ind w:left="741"/>
      </w:pPr>
      <w:r>
        <w:rPr>
          <w:rFonts w:ascii="Times New Roman" w:eastAsia="Times New Roman"/>
        </w:rPr>
        <w:t>3</w:t>
      </w:r>
      <w:r>
        <w:rPr/>
        <w:t>、处理工艺可行性分析</w:t>
      </w:r>
    </w:p>
    <w:p>
      <w:pPr>
        <w:pStyle w:val="BodyText"/>
        <w:spacing w:line="364" w:lineRule="auto" w:before="158"/>
        <w:ind w:left="258" w:right="212" w:firstLine="480"/>
      </w:pPr>
      <w:r>
        <w:rPr/>
        <w:t>本项目采用</w:t>
      </w:r>
      <w:r>
        <w:rPr>
          <w:rFonts w:ascii="Times New Roman" w:hAnsi="Times New Roman" w:eastAsia="Times New Roman"/>
        </w:rPr>
        <w:t>“</w:t>
      </w:r>
      <w:r>
        <w:rPr/>
        <w:t>铁碳</w:t>
      </w:r>
      <w:r>
        <w:rPr>
          <w:rFonts w:ascii="Times New Roman" w:hAnsi="Times New Roman" w:eastAsia="Times New Roman"/>
        </w:rPr>
        <w:t>+</w:t>
      </w:r>
      <w:r>
        <w:rPr/>
        <w:t>芬顿氧化</w:t>
      </w:r>
      <w:r>
        <w:rPr>
          <w:rFonts w:ascii="Times New Roman" w:hAnsi="Times New Roman" w:eastAsia="Times New Roman"/>
        </w:rPr>
        <w:t>+</w:t>
      </w:r>
      <w:r>
        <w:rPr/>
        <w:t>混凝沉淀</w:t>
      </w:r>
      <w:r>
        <w:rPr>
          <w:rFonts w:ascii="Times New Roman" w:hAnsi="Times New Roman" w:eastAsia="Times New Roman"/>
        </w:rPr>
        <w:t>”</w:t>
      </w:r>
      <w:r>
        <w:rPr>
          <w:spacing w:val="-16"/>
        </w:rPr>
        <w:t>工艺进行预处理，再采用 </w:t>
      </w:r>
      <w:r>
        <w:rPr>
          <w:rFonts w:ascii="Times New Roman" w:hAnsi="Times New Roman" w:eastAsia="Times New Roman"/>
        </w:rPr>
        <w:t>A2/O </w:t>
      </w:r>
      <w:r>
        <w:rPr>
          <w:spacing w:val="-3"/>
        </w:rPr>
        <w:t>处理后纳管。</w:t>
      </w:r>
      <w:r>
        <w:rPr/>
        <w:t>本项目主要污染因子为甲酸、农药活性及总氮。</w:t>
      </w:r>
    </w:p>
    <w:p>
      <w:pPr>
        <w:pStyle w:val="BodyText"/>
        <w:spacing w:line="306" w:lineRule="exact"/>
        <w:ind w:left="738"/>
      </w:pPr>
      <w:r>
        <w:rPr/>
        <w:t>①甲酸 </w:t>
      </w:r>
    </w:p>
    <w:p>
      <w:pPr>
        <w:pStyle w:val="BodyText"/>
        <w:spacing w:line="364" w:lineRule="auto" w:before="161"/>
        <w:ind w:left="258" w:right="303" w:firstLine="480"/>
        <w:jc w:val="both"/>
      </w:pPr>
      <w:r>
        <w:rPr>
          <w:spacing w:val="-7"/>
        </w:rPr>
        <w:t>根据相关文献，甲酸 </w:t>
      </w:r>
      <w:r>
        <w:rPr>
          <w:rFonts w:ascii="Times New Roman" w:hAnsi="Times New Roman" w:eastAsia="Times New Roman"/>
        </w:rPr>
        <w:t>COD 0.35g/g</w:t>
      </w:r>
      <w:r>
        <w:rPr/>
        <w:t>，</w:t>
      </w:r>
      <w:r>
        <w:rPr>
          <w:rFonts w:ascii="Times New Roman" w:hAnsi="Times New Roman" w:eastAsia="Times New Roman"/>
        </w:rPr>
        <w:t>BOD 0.15</w:t>
      </w:r>
      <w:r>
        <w:rPr/>
        <w:t>～</w:t>
      </w:r>
      <w:r>
        <w:rPr>
          <w:rFonts w:ascii="Times New Roman" w:hAnsi="Times New Roman" w:eastAsia="Times New Roman"/>
        </w:rPr>
        <w:t>0.19g/g</w:t>
      </w:r>
      <w:r>
        <w:rPr/>
        <w:t>，在用生化法处理甲酸或甲酸钠的废水中，凡活性污泥经甲酸钠驯化后</w:t>
      </w:r>
      <w:r>
        <w:rPr>
          <w:rFonts w:ascii="Times New Roman" w:hAnsi="Times New Roman" w:eastAsia="Times New Roman"/>
          <w:spacing w:val="12"/>
        </w:rPr>
        <w:t>, </w:t>
      </w:r>
      <w:r>
        <w:rPr/>
        <w:t>对降解甲酸仍是非常有效的</w:t>
      </w:r>
      <w:r>
        <w:rPr>
          <w:rFonts w:ascii="Times New Roman" w:hAnsi="Times New Roman" w:eastAsia="Times New Roman"/>
          <w:spacing w:val="14"/>
        </w:rPr>
        <w:t>, </w:t>
      </w:r>
      <w:r>
        <w:rPr/>
        <w:t>甲酸在这种污泥作用下</w:t>
      </w:r>
      <w:r>
        <w:rPr>
          <w:rFonts w:ascii="Times New Roman" w:hAnsi="Times New Roman" w:eastAsia="Times New Roman"/>
          <w:spacing w:val="29"/>
        </w:rPr>
        <w:t>, </w:t>
      </w:r>
      <w:r>
        <w:rPr/>
        <w:t>生化降解很快，废水中的甲酸盐在 </w:t>
      </w:r>
      <w:r>
        <w:rPr>
          <w:rFonts w:ascii="Times New Roman" w:hAnsi="Times New Roman" w:eastAsia="Times New Roman"/>
        </w:rPr>
        <w:t>37</w:t>
      </w:r>
      <w:r>
        <w:rPr>
          <w:spacing w:val="-1"/>
        </w:rPr>
        <w:t>℃下能很快被 </w:t>
      </w:r>
      <w:r>
        <w:rPr>
          <w:rFonts w:ascii="Times New Roman" w:hAnsi="Times New Roman" w:eastAsia="Times New Roman"/>
        </w:rPr>
        <w:t>UASB  </w:t>
      </w:r>
      <w:r>
        <w:rPr>
          <w:spacing w:val="-3"/>
        </w:rPr>
        <w:t>系统所去除， </w:t>
      </w:r>
      <w:r>
        <w:rPr>
          <w:spacing w:val="-1"/>
        </w:rPr>
        <w:t>其回流比为 </w:t>
      </w:r>
      <w:r>
        <w:rPr>
          <w:rFonts w:ascii="Times New Roman" w:hAnsi="Times New Roman" w:eastAsia="Times New Roman"/>
          <w:spacing w:val="-8"/>
        </w:rPr>
        <w:t>3.0</w:t>
      </w:r>
      <w:r>
        <w:rPr>
          <w:spacing w:val="-18"/>
        </w:rPr>
        <w:t>，进水 </w:t>
      </w:r>
      <w:r>
        <w:rPr>
          <w:rFonts w:ascii="Times New Roman" w:hAnsi="Times New Roman" w:eastAsia="Times New Roman"/>
        </w:rPr>
        <w:t>pH </w:t>
      </w:r>
      <w:r>
        <w:rPr/>
        <w:t>使降为 </w:t>
      </w:r>
      <w:r>
        <w:rPr>
          <w:rFonts w:ascii="Times New Roman" w:hAnsi="Times New Roman" w:eastAsia="Times New Roman"/>
          <w:spacing w:val="-8"/>
        </w:rPr>
        <w:t>3.8</w:t>
      </w:r>
      <w:r>
        <w:rPr>
          <w:spacing w:val="-3"/>
        </w:rPr>
        <w:t>，当负荷为 </w:t>
      </w:r>
      <w:r>
        <w:rPr>
          <w:rFonts w:ascii="Times New Roman" w:hAnsi="Times New Roman" w:eastAsia="Times New Roman"/>
        </w:rPr>
        <w:t>10</w:t>
      </w:r>
      <w:r>
        <w:rPr/>
        <w:t>～</w:t>
      </w:r>
      <w:r>
        <w:rPr>
          <w:rFonts w:ascii="Times New Roman" w:hAnsi="Times New Roman" w:eastAsia="Times New Roman"/>
        </w:rPr>
        <w:t>20  </w:t>
      </w:r>
      <w:r>
        <w:rPr>
          <w:spacing w:val="-31"/>
        </w:rPr>
        <w:t>克 </w:t>
      </w:r>
      <w:r>
        <w:rPr>
          <w:rFonts w:ascii="Times New Roman" w:hAnsi="Times New Roman" w:eastAsia="Times New Roman"/>
        </w:rPr>
        <w:t>COD/</w:t>
      </w:r>
      <w:r>
        <w:rPr>
          <w:spacing w:val="4"/>
        </w:rPr>
        <w:t>升</w:t>
      </w:r>
      <w:r>
        <w:rPr>
          <w:rFonts w:ascii="Times New Roman" w:hAnsi="Times New Roman" w:eastAsia="Times New Roman"/>
          <w:spacing w:val="-6"/>
        </w:rPr>
        <w:t>·</w:t>
      </w:r>
      <w:r>
        <w:rPr>
          <w:spacing w:val="-6"/>
        </w:rPr>
        <w:t>天时，其去除率为</w:t>
      </w:r>
      <w:r>
        <w:rPr>
          <w:rFonts w:ascii="Times New Roman" w:hAnsi="Times New Roman" w:eastAsia="Times New Roman"/>
          <w:spacing w:val="-4"/>
        </w:rPr>
        <w:t>97</w:t>
      </w:r>
      <w:r>
        <w:rPr>
          <w:spacing w:val="-4"/>
        </w:rPr>
        <w:t>～</w:t>
      </w:r>
      <w:r>
        <w:rPr>
          <w:rFonts w:ascii="Times New Roman" w:hAnsi="Times New Roman" w:eastAsia="Times New Roman"/>
          <w:spacing w:val="-4"/>
        </w:rPr>
        <w:t>98%</w:t>
      </w:r>
      <w:r>
        <w:rPr>
          <w:spacing w:val="-2"/>
        </w:rPr>
        <w:t>；如负荷提高到 </w:t>
      </w:r>
      <w:r>
        <w:rPr>
          <w:rFonts w:ascii="Times New Roman" w:hAnsi="Times New Roman" w:eastAsia="Times New Roman"/>
        </w:rPr>
        <w:t>29</w:t>
      </w:r>
      <w:r>
        <w:rPr/>
        <w:t>～</w:t>
      </w:r>
      <w:r>
        <w:rPr>
          <w:rFonts w:ascii="Times New Roman" w:hAnsi="Times New Roman" w:eastAsia="Times New Roman"/>
        </w:rPr>
        <w:t>65 </w:t>
      </w:r>
      <w:r>
        <w:rPr>
          <w:spacing w:val="-30"/>
        </w:rPr>
        <w:t>克 </w:t>
      </w:r>
      <w:r>
        <w:rPr>
          <w:rFonts w:ascii="Times New Roman" w:hAnsi="Times New Roman" w:eastAsia="Times New Roman"/>
        </w:rPr>
        <w:t>COD/</w:t>
      </w:r>
      <w:r>
        <w:rPr>
          <w:spacing w:val="4"/>
        </w:rPr>
        <w:t>升</w:t>
      </w:r>
      <w:r>
        <w:rPr>
          <w:rFonts w:ascii="Times New Roman" w:hAnsi="Times New Roman" w:eastAsia="Times New Roman"/>
          <w:spacing w:val="-6"/>
        </w:rPr>
        <w:t>·</w:t>
      </w:r>
      <w:r>
        <w:rPr/>
        <w:t>天时</w:t>
      </w:r>
      <w:r>
        <w:rPr>
          <w:rFonts w:ascii="Times New Roman" w:hAnsi="Times New Roman" w:eastAsia="Times New Roman"/>
        </w:rPr>
        <w:t>, </w:t>
      </w:r>
      <w:r>
        <w:rPr>
          <w:spacing w:val="-30"/>
        </w:rPr>
        <w:t>则 </w:t>
      </w:r>
      <w:r>
        <w:rPr>
          <w:rFonts w:ascii="Times New Roman" w:hAnsi="Times New Roman" w:eastAsia="Times New Roman"/>
        </w:rPr>
        <w:t>COD </w:t>
      </w:r>
      <w:r>
        <w:rPr/>
        <w:t>去除率降到 </w:t>
      </w:r>
      <w:r>
        <w:rPr>
          <w:rFonts w:ascii="Times New Roman" w:hAnsi="Times New Roman" w:eastAsia="Times New Roman"/>
        </w:rPr>
        <w:t>86</w:t>
      </w:r>
      <w:r>
        <w:rPr/>
        <w:t>～</w:t>
      </w:r>
      <w:r>
        <w:rPr>
          <w:rFonts w:ascii="Times New Roman" w:hAnsi="Times New Roman" w:eastAsia="Times New Roman"/>
        </w:rPr>
        <w:t>90%</w:t>
      </w:r>
      <w:r>
        <w:rPr>
          <w:spacing w:val="-8"/>
        </w:rPr>
        <w:t>， 如</w:t>
      </w:r>
      <w:r>
        <w:rPr>
          <w:spacing w:val="-7"/>
        </w:rPr>
        <w:t>再提高到 </w:t>
      </w:r>
      <w:r>
        <w:rPr>
          <w:rFonts w:ascii="Times New Roman" w:hAnsi="Times New Roman" w:eastAsia="Times New Roman"/>
        </w:rPr>
        <w:t>77  </w:t>
      </w:r>
      <w:r>
        <w:rPr>
          <w:spacing w:val="-26"/>
        </w:rPr>
        <w:t>克 </w:t>
      </w:r>
      <w:r>
        <w:rPr>
          <w:rFonts w:ascii="Times New Roman" w:hAnsi="Times New Roman" w:eastAsia="Times New Roman"/>
        </w:rPr>
        <w:t>COD/</w:t>
      </w:r>
      <w:r>
        <w:rPr>
          <w:spacing w:val="5"/>
        </w:rPr>
        <w:t>升</w:t>
      </w:r>
      <w:r>
        <w:rPr>
          <w:rFonts w:ascii="Times New Roman" w:hAnsi="Times New Roman" w:eastAsia="Times New Roman"/>
          <w:spacing w:val="-6"/>
        </w:rPr>
        <w:t>·</w:t>
      </w:r>
      <w:r>
        <w:rPr/>
        <w:t>天时</w:t>
      </w:r>
      <w:r>
        <w:rPr>
          <w:rFonts w:ascii="Times New Roman" w:hAnsi="Times New Roman" w:eastAsia="Times New Roman"/>
        </w:rPr>
        <w:t>,  </w:t>
      </w:r>
      <w:r>
        <w:rPr>
          <w:spacing w:val="-13"/>
        </w:rPr>
        <w:t>则由于 </w:t>
      </w:r>
      <w:r>
        <w:rPr>
          <w:rFonts w:ascii="Times New Roman" w:hAnsi="Times New Roman" w:eastAsia="Times New Roman"/>
        </w:rPr>
        <w:t>pH </w:t>
      </w:r>
      <w:r>
        <w:rPr>
          <w:spacing w:val="-1"/>
        </w:rPr>
        <w:t>急速下降而使过程中断。约有 </w:t>
      </w:r>
      <w:r>
        <w:rPr>
          <w:rFonts w:ascii="Times New Roman" w:hAnsi="Times New Roman" w:eastAsia="Times New Roman"/>
        </w:rPr>
        <w:t>94%</w:t>
      </w:r>
      <w:r>
        <w:rPr>
          <w:rFonts w:ascii="Times New Roman" w:hAnsi="Times New Roman" w:eastAsia="Times New Roman"/>
          <w:spacing w:val="59"/>
        </w:rPr>
        <w:t> </w:t>
      </w:r>
      <w:r>
        <w:rPr>
          <w:spacing w:val="-26"/>
        </w:rPr>
        <w:t>的 </w:t>
      </w:r>
      <w:r>
        <w:rPr>
          <w:rFonts w:ascii="Times New Roman" w:hAnsi="Times New Roman" w:eastAsia="Times New Roman"/>
        </w:rPr>
        <w:t>COD </w:t>
      </w:r>
      <w:r>
        <w:rPr/>
        <w:t>转化为甲烷。</w:t>
      </w:r>
    </w:p>
    <w:p>
      <w:pPr>
        <w:pStyle w:val="Heading4"/>
        <w:spacing w:line="305" w:lineRule="exact"/>
        <w:ind w:left="738"/>
      </w:pPr>
      <w:r>
        <w:rPr/>
        <w:t>因此本项目采用的工艺用于处理含甲酸的废水是可行。</w:t>
      </w:r>
    </w:p>
    <w:p>
      <w:pPr>
        <w:pStyle w:val="BodyText"/>
        <w:spacing w:before="158"/>
        <w:ind w:left="738"/>
      </w:pPr>
      <w:r>
        <w:rPr/>
        <w:t>②农药活性</w:t>
      </w:r>
    </w:p>
    <w:p>
      <w:pPr>
        <w:pStyle w:val="BodyText"/>
        <w:spacing w:line="364" w:lineRule="auto" w:before="161"/>
        <w:ind w:left="258" w:right="332" w:firstLine="480"/>
        <w:jc w:val="both"/>
      </w:pPr>
      <w:r>
        <w:rPr>
          <w:spacing w:val="-8"/>
        </w:rPr>
        <w:t>本项目产品为杀菌剂，设置铁碳</w:t>
      </w:r>
      <w:r>
        <w:rPr>
          <w:rFonts w:ascii="Times New Roman" w:eastAsia="Times New Roman"/>
        </w:rPr>
        <w:t>+</w:t>
      </w:r>
      <w:r>
        <w:rPr/>
        <w:t>芬顿氧化</w:t>
      </w:r>
      <w:r>
        <w:rPr>
          <w:rFonts w:ascii="Times New Roman" w:eastAsia="Times New Roman"/>
        </w:rPr>
        <w:t>+</w:t>
      </w:r>
      <w:r>
        <w:rPr>
          <w:spacing w:val="-1"/>
        </w:rPr>
        <w:t>混凝沉淀设施等预处理进行氧化灭活处</w:t>
      </w:r>
      <w:r>
        <w:rPr>
          <w:spacing w:val="-7"/>
        </w:rPr>
        <w:t>理，该装置也是目前省内农药行业普遍采用的灭活方法，经预处理后废水进入后续生化</w:t>
      </w:r>
      <w:r>
        <w:rPr/>
        <w:t>处理不会对生化造成影响。</w:t>
      </w:r>
    </w:p>
    <w:p>
      <w:pPr>
        <w:pStyle w:val="BodyText"/>
        <w:spacing w:line="305" w:lineRule="exact"/>
        <w:ind w:left="738"/>
      </w:pPr>
      <w:r>
        <w:rPr/>
        <w:t>③总氮及氨氮</w:t>
      </w:r>
    </w:p>
    <w:p>
      <w:pPr>
        <w:pStyle w:val="BodyText"/>
        <w:spacing w:before="160"/>
        <w:ind w:left="738"/>
      </w:pPr>
      <w:r>
        <w:rPr/>
        <w:t>本项目采用 </w:t>
      </w:r>
      <w:r>
        <w:rPr>
          <w:rFonts w:ascii="Times New Roman" w:eastAsia="Times New Roman"/>
        </w:rPr>
        <w:t>A2/O </w:t>
      </w:r>
      <w:r>
        <w:rPr/>
        <w:t>生化处理， </w:t>
      </w:r>
      <w:r>
        <w:rPr>
          <w:rFonts w:ascii="Times New Roman" w:eastAsia="Times New Roman"/>
        </w:rPr>
        <w:t>A2/O </w:t>
      </w:r>
      <w:r>
        <w:rPr/>
        <w:t>工艺是一种成熟的生化处理工艺，厌氧段有利</w:t>
      </w:r>
    </w:p>
    <w:p>
      <w:pPr>
        <w:spacing w:after="0"/>
        <w:sectPr>
          <w:pgSz w:w="11910" w:h="16850"/>
          <w:pgMar w:header="730" w:footer="673" w:top="980" w:bottom="860" w:left="1160" w:right="1080"/>
        </w:sectPr>
      </w:pPr>
    </w:p>
    <w:p>
      <w:pPr>
        <w:pStyle w:val="BodyText"/>
        <w:spacing w:before="7"/>
        <w:rPr>
          <w:sz w:val="28"/>
        </w:rPr>
      </w:pPr>
    </w:p>
    <w:p>
      <w:pPr>
        <w:pStyle w:val="BodyText"/>
        <w:spacing w:line="364" w:lineRule="auto" w:before="66"/>
        <w:ind w:left="258" w:right="212"/>
      </w:pPr>
      <w:r>
        <w:rPr>
          <w:spacing w:val="-14"/>
        </w:rPr>
        <w:t>于分解难降解有机物，缺氧段有利于脱氮，好氧段有利于生化方法去除废水中的有机物， </w:t>
      </w:r>
      <w:r>
        <w:rPr>
          <w:spacing w:val="-3"/>
        </w:rPr>
        <w:t>同时好氧条件利于硝化作用将氮元素转化为硝酸盐，再通过污泥回流至缺氧段实现反硝化脱氮，有效去除废水中的氨氮、总氮。</w:t>
      </w:r>
    </w:p>
    <w:p>
      <w:pPr>
        <w:pStyle w:val="Heading4"/>
        <w:spacing w:line="305" w:lineRule="exact"/>
        <w:ind w:left="741"/>
      </w:pPr>
      <w:r>
        <w:rPr>
          <w:rFonts w:ascii="Times New Roman" w:eastAsia="Times New Roman"/>
        </w:rPr>
        <w:t>3</w:t>
      </w:r>
      <w:r>
        <w:rPr/>
        <w:t>、总结论</w:t>
      </w:r>
    </w:p>
    <w:p>
      <w:pPr>
        <w:spacing w:line="364" w:lineRule="auto" w:before="160"/>
        <w:ind w:left="258" w:right="329" w:firstLine="451"/>
        <w:jc w:val="both"/>
        <w:rPr>
          <w:b/>
          <w:sz w:val="24"/>
        </w:rPr>
      </w:pPr>
      <w:r>
        <w:rPr>
          <w:b/>
          <w:sz w:val="24"/>
        </w:rPr>
        <w:t>综上所述，本环评认为本项目含农药成分废水经东区新增</w:t>
      </w:r>
      <w:r>
        <w:rPr>
          <w:rFonts w:ascii="Times New Roman" w:hAnsi="Times New Roman" w:eastAsia="Times New Roman"/>
          <w:b/>
          <w:sz w:val="24"/>
        </w:rPr>
        <w:t>“</w:t>
      </w:r>
      <w:r>
        <w:rPr>
          <w:b/>
          <w:sz w:val="24"/>
        </w:rPr>
        <w:t>铁碳</w:t>
      </w:r>
      <w:r>
        <w:rPr>
          <w:rFonts w:ascii="Times New Roman" w:hAnsi="Times New Roman" w:eastAsia="Times New Roman"/>
          <w:b/>
          <w:sz w:val="24"/>
        </w:rPr>
        <w:t>+</w:t>
      </w:r>
      <w:r>
        <w:rPr>
          <w:b/>
          <w:sz w:val="24"/>
        </w:rPr>
        <w:t>芬顿氧化</w:t>
      </w:r>
      <w:r>
        <w:rPr>
          <w:rFonts w:ascii="Times New Roman" w:hAnsi="Times New Roman" w:eastAsia="Times New Roman"/>
          <w:b/>
          <w:sz w:val="24"/>
        </w:rPr>
        <w:t>+</w:t>
      </w:r>
      <w:r>
        <w:rPr>
          <w:b/>
          <w:sz w:val="24"/>
        </w:rPr>
        <w:t>混凝沉淀</w:t>
      </w:r>
      <w:r>
        <w:rPr>
          <w:rFonts w:ascii="Times New Roman" w:hAnsi="Times New Roman" w:eastAsia="Times New Roman"/>
          <w:b/>
          <w:sz w:val="24"/>
        </w:rPr>
        <w:t>”</w:t>
      </w:r>
      <w:r>
        <w:rPr>
          <w:b/>
          <w:sz w:val="24"/>
        </w:rPr>
        <w:t>预处理后再与其他废水一起进生化处理后可满足达标纳管排放要求，本项目废水处理思路可行。</w:t>
      </w:r>
    </w:p>
    <w:p>
      <w:pPr>
        <w:pStyle w:val="ListParagraph"/>
        <w:numPr>
          <w:ilvl w:val="2"/>
          <w:numId w:val="13"/>
        </w:numPr>
        <w:tabs>
          <w:tab w:pos="1039" w:val="left" w:leader="none"/>
        </w:tabs>
        <w:spacing w:line="307" w:lineRule="exact" w:before="0" w:after="0"/>
        <w:ind w:left="1038" w:right="0" w:hanging="541"/>
        <w:jc w:val="both"/>
        <w:rPr>
          <w:b/>
          <w:sz w:val="24"/>
        </w:rPr>
      </w:pPr>
      <w:r>
        <w:rPr>
          <w:b/>
          <w:sz w:val="24"/>
        </w:rPr>
        <w:t>其他废水治理措施</w:t>
      </w:r>
    </w:p>
    <w:p>
      <w:pPr>
        <w:pStyle w:val="BodyText"/>
        <w:spacing w:line="364" w:lineRule="auto" w:before="159"/>
        <w:ind w:left="258" w:right="215" w:firstLine="480"/>
      </w:pPr>
      <w:r>
        <w:rPr>
          <w:rFonts w:ascii="Times New Roman" w:eastAsia="Times New Roman"/>
        </w:rPr>
        <w:t>1</w:t>
      </w:r>
      <w:r>
        <w:rPr/>
        <w:t>、应加强清污分流、雨污分流。初期雨水收集后进入厂区污水处理站；后期雨水</w:t>
      </w:r>
      <w:r>
        <w:rPr>
          <w:spacing w:val="-13"/>
        </w:rPr>
        <w:t>通过雨水口外排，雨水口设明显的标志，并安装雨水应急闸门、应急泵，当雨水超标时， </w:t>
      </w:r>
      <w:r>
        <w:rPr>
          <w:spacing w:val="-4"/>
        </w:rPr>
        <w:t>通过关闭雨水沟阀门，启动水泵可将不达标的雨水送污水处理站处理，雨水排放口需安装雨水智能化控制系统。</w:t>
      </w:r>
    </w:p>
    <w:p>
      <w:pPr>
        <w:pStyle w:val="BodyText"/>
        <w:spacing w:line="364" w:lineRule="auto"/>
        <w:ind w:left="258" w:right="209" w:firstLine="480"/>
      </w:pPr>
      <w:r>
        <w:rPr>
          <w:rFonts w:ascii="Times New Roman" w:eastAsia="Times New Roman"/>
        </w:rPr>
        <w:t>2</w:t>
      </w:r>
      <w:r>
        <w:rPr>
          <w:spacing w:val="-6"/>
        </w:rPr>
        <w:t>、要求企业在东区设置 </w:t>
      </w:r>
      <w:r>
        <w:rPr>
          <w:rFonts w:ascii="Times New Roman" w:eastAsia="Times New Roman"/>
        </w:rPr>
        <w:t>1 </w:t>
      </w:r>
      <w:r>
        <w:rPr/>
        <w:t>个规范化的废水标准排放口，设有专门的废水采样口并</w:t>
      </w:r>
      <w:r>
        <w:rPr>
          <w:spacing w:val="-14"/>
        </w:rPr>
        <w:t>设有明显的标志牌；按照规范设置、安装流量计、在线监控系统并与生态环境分局联网， </w:t>
      </w:r>
      <w:r>
        <w:rPr>
          <w:position w:val="2"/>
        </w:rPr>
        <w:t>在线监测系统对水量、</w:t>
      </w:r>
      <w:r>
        <w:rPr>
          <w:rFonts w:ascii="Times New Roman" w:eastAsia="Times New Roman"/>
          <w:position w:val="2"/>
        </w:rPr>
        <w:t>pH</w:t>
      </w:r>
      <w:r>
        <w:rPr>
          <w:position w:val="2"/>
        </w:rPr>
        <w:t>、</w:t>
      </w:r>
      <w:r>
        <w:rPr>
          <w:rFonts w:ascii="Times New Roman" w:eastAsia="Times New Roman"/>
          <w:position w:val="2"/>
        </w:rPr>
        <w:t>COD</w:t>
      </w:r>
      <w:r>
        <w:rPr>
          <w:rFonts w:ascii="Times New Roman" w:eastAsia="Times New Roman"/>
          <w:sz w:val="16"/>
        </w:rPr>
        <w:t>Cr </w:t>
      </w:r>
      <w:r>
        <w:rPr>
          <w:position w:val="2"/>
        </w:rPr>
        <w:t>进行在线监测。</w:t>
      </w:r>
    </w:p>
    <w:p>
      <w:pPr>
        <w:pStyle w:val="BodyText"/>
        <w:spacing w:line="307" w:lineRule="exact"/>
        <w:ind w:left="738"/>
      </w:pPr>
      <w:r>
        <w:rPr>
          <w:rFonts w:ascii="Times New Roman" w:eastAsia="Times New Roman"/>
        </w:rPr>
        <w:t>3</w:t>
      </w:r>
      <w:r>
        <w:rPr/>
        <w:t>、项目蒸汽为夹套使用，蒸汽冷凝水属于清洁水，经冷凝换热后收集回用。</w:t>
      </w:r>
    </w:p>
    <w:p>
      <w:pPr>
        <w:pStyle w:val="BodyText"/>
        <w:spacing w:before="156"/>
        <w:ind w:left="738"/>
        <w:rPr>
          <w:rFonts w:ascii="Times New Roman" w:eastAsia="Times New Roman"/>
        </w:rPr>
      </w:pPr>
      <w:r>
        <w:rPr>
          <w:rFonts w:ascii="Times New Roman" w:eastAsia="Times New Roman"/>
        </w:rPr>
        <w:t>4</w:t>
      </w:r>
      <w:r>
        <w:rPr/>
        <w:t>、根据 </w:t>
      </w:r>
      <w:r>
        <w:rPr>
          <w:rFonts w:ascii="Times New Roman" w:eastAsia="Times New Roman"/>
        </w:rPr>
        <w:t>Pg222 </w:t>
      </w:r>
      <w:r>
        <w:rPr/>
        <w:t>计算项目建设企业需要新增应急事故池 </w:t>
      </w:r>
      <w:r>
        <w:rPr>
          <w:rFonts w:ascii="Times New Roman" w:eastAsia="Times New Roman"/>
        </w:rPr>
        <w:t>550m</w:t>
      </w:r>
      <w:r>
        <w:rPr>
          <w:rFonts w:ascii="Times New Roman" w:eastAsia="Times New Roman"/>
          <w:position w:val="9"/>
          <w:sz w:val="16"/>
        </w:rPr>
        <w:t>3 </w:t>
      </w:r>
      <w:r>
        <w:rPr/>
        <w:t>以上，企业拟设置 </w:t>
      </w:r>
      <w:r>
        <w:rPr>
          <w:rFonts w:ascii="Times New Roman" w:eastAsia="Times New Roman"/>
        </w:rPr>
        <w:t>1</w:t>
      </w:r>
    </w:p>
    <w:p>
      <w:pPr>
        <w:pStyle w:val="BodyText"/>
        <w:spacing w:before="161"/>
        <w:ind w:left="258"/>
      </w:pPr>
      <w:r>
        <w:rPr/>
        <w:t>个容积为 </w:t>
      </w:r>
      <w:r>
        <w:rPr>
          <w:rFonts w:ascii="Times New Roman" w:eastAsia="Times New Roman"/>
        </w:rPr>
        <w:t>2600m</w:t>
      </w:r>
      <w:r>
        <w:rPr>
          <w:rFonts w:ascii="Times New Roman" w:eastAsia="Times New Roman"/>
          <w:position w:val="9"/>
          <w:sz w:val="16"/>
        </w:rPr>
        <w:t>3 </w:t>
      </w:r>
      <w:r>
        <w:rPr/>
        <w:t>的事故应急池，可以满足环境风险事故应急的要求。</w:t>
      </w:r>
    </w:p>
    <w:p>
      <w:pPr>
        <w:pStyle w:val="Heading3"/>
        <w:numPr>
          <w:ilvl w:val="1"/>
          <w:numId w:val="13"/>
        </w:numPr>
        <w:tabs>
          <w:tab w:pos="821" w:val="left" w:leader="none"/>
        </w:tabs>
        <w:spacing w:line="240" w:lineRule="auto" w:before="159" w:after="0"/>
        <w:ind w:left="820" w:right="0" w:hanging="421"/>
        <w:jc w:val="both"/>
      </w:pPr>
      <w:bookmarkStart w:name="_bookmark33" w:id="67"/>
      <w:bookmarkEnd w:id="67"/>
      <w:r>
        <w:rPr>
          <w:b w:val="0"/>
        </w:rPr>
      </w:r>
      <w:bookmarkStart w:name="_bookmark33" w:id="68"/>
      <w:bookmarkEnd w:id="68"/>
      <w:r>
        <w:rPr/>
        <w:t>项目废气治理措施及可行性分析</w:t>
      </w:r>
    </w:p>
    <w:p>
      <w:pPr>
        <w:pStyle w:val="Heading4"/>
        <w:numPr>
          <w:ilvl w:val="2"/>
          <w:numId w:val="13"/>
        </w:numPr>
        <w:tabs>
          <w:tab w:pos="1039" w:val="left" w:leader="none"/>
        </w:tabs>
        <w:spacing w:line="240" w:lineRule="auto" w:before="185" w:after="0"/>
        <w:ind w:left="1038" w:right="0" w:hanging="541"/>
        <w:jc w:val="both"/>
      </w:pPr>
      <w:r>
        <w:rPr/>
        <w:t>项目废气治理措施</w:t>
      </w:r>
    </w:p>
    <w:p>
      <w:pPr>
        <w:spacing w:before="160"/>
        <w:ind w:left="741" w:right="0" w:firstLine="0"/>
        <w:jc w:val="left"/>
        <w:rPr>
          <w:b/>
          <w:sz w:val="24"/>
        </w:rPr>
      </w:pPr>
      <w:r>
        <w:rPr>
          <w:rFonts w:ascii="Times New Roman" w:eastAsia="Times New Roman"/>
          <w:b/>
          <w:sz w:val="24"/>
        </w:rPr>
        <w:t>1</w:t>
      </w:r>
      <w:r>
        <w:rPr>
          <w:b/>
          <w:sz w:val="24"/>
        </w:rPr>
        <w:t>、废气收集系统</w:t>
      </w:r>
    </w:p>
    <w:p>
      <w:pPr>
        <w:pStyle w:val="BodyText"/>
        <w:spacing w:before="159"/>
        <w:ind w:left="738"/>
      </w:pPr>
      <w:r>
        <w:rPr/>
        <w:t>项目产生的废气主要为甲酸和粉尘，主要产生于输送、生产、贮存等。</w:t>
      </w:r>
    </w:p>
    <w:p>
      <w:pPr>
        <w:pStyle w:val="ListParagraph"/>
        <w:numPr>
          <w:ilvl w:val="0"/>
          <w:numId w:val="20"/>
        </w:numPr>
        <w:tabs>
          <w:tab w:pos="1020" w:val="left" w:leader="none"/>
        </w:tabs>
        <w:spacing w:line="240" w:lineRule="auto" w:before="160" w:after="0"/>
        <w:ind w:left="1019" w:right="0" w:hanging="282"/>
        <w:jc w:val="left"/>
        <w:rPr>
          <w:sz w:val="24"/>
        </w:rPr>
      </w:pPr>
      <w:r>
        <w:rPr>
          <w:sz w:val="24"/>
        </w:rPr>
        <w:t>项目产生的废气主要从呼吸口引风直接接入废气处理装置。</w:t>
      </w:r>
    </w:p>
    <w:p>
      <w:pPr>
        <w:pStyle w:val="ListParagraph"/>
        <w:numPr>
          <w:ilvl w:val="0"/>
          <w:numId w:val="20"/>
        </w:numPr>
        <w:tabs>
          <w:tab w:pos="1020" w:val="left" w:leader="none"/>
        </w:tabs>
        <w:spacing w:line="364" w:lineRule="auto" w:before="159" w:after="0"/>
        <w:ind w:left="258" w:right="212" w:firstLine="480"/>
        <w:jc w:val="left"/>
        <w:rPr>
          <w:sz w:val="24"/>
        </w:rPr>
      </w:pPr>
      <w:r>
        <w:rPr>
          <w:spacing w:val="-4"/>
          <w:sz w:val="24"/>
        </w:rPr>
        <w:t>项目不涉及桶装物料上料，新鲜甲酸从储罐区通过计量泵</w:t>
      </w:r>
      <w:r>
        <w:rPr>
          <w:rFonts w:ascii="Times New Roman" w:eastAsia="Times New Roman"/>
          <w:sz w:val="24"/>
        </w:rPr>
        <w:t>/</w:t>
      </w:r>
      <w:r>
        <w:rPr>
          <w:spacing w:val="-2"/>
          <w:sz w:val="24"/>
        </w:rPr>
        <w:t>计量模块泵入反应釜， </w:t>
      </w:r>
      <w:r>
        <w:rPr>
          <w:spacing w:val="-9"/>
          <w:sz w:val="24"/>
        </w:rPr>
        <w:t>废气直接从反应釜呼吸口接入废气处理系统，减少了中间罐的设置，减少了废气排放点； </w:t>
      </w:r>
      <w:r>
        <w:rPr>
          <w:spacing w:val="-3"/>
          <w:sz w:val="24"/>
        </w:rPr>
        <w:t>对于回收物料直接从回收槽通过输送泵泵入反应釜，废气从反应釜呼吸口接入废气处理系统。</w:t>
      </w:r>
    </w:p>
    <w:p>
      <w:pPr>
        <w:pStyle w:val="ListParagraph"/>
        <w:numPr>
          <w:ilvl w:val="0"/>
          <w:numId w:val="20"/>
        </w:numPr>
        <w:tabs>
          <w:tab w:pos="1019" w:val="left" w:leader="none"/>
        </w:tabs>
        <w:spacing w:line="362" w:lineRule="auto" w:before="0" w:after="0"/>
        <w:ind w:left="258" w:right="332" w:firstLine="480"/>
        <w:jc w:val="left"/>
        <w:rPr>
          <w:sz w:val="24"/>
        </w:rPr>
      </w:pPr>
      <w:r>
        <w:rPr>
          <w:spacing w:val="-9"/>
          <w:sz w:val="24"/>
        </w:rPr>
        <w:t>滤饼采用下出料，全自动密闭下出料离心机置于二楼及以上，离心滤饼直接通过</w:t>
      </w:r>
      <w:r>
        <w:rPr>
          <w:sz w:val="24"/>
        </w:rPr>
        <w:t>管道进入下一工序，可实现管道化、密闭化。</w:t>
      </w:r>
    </w:p>
    <w:p>
      <w:pPr>
        <w:pStyle w:val="ListParagraph"/>
        <w:numPr>
          <w:ilvl w:val="0"/>
          <w:numId w:val="20"/>
        </w:numPr>
        <w:tabs>
          <w:tab w:pos="1020" w:val="left" w:leader="none"/>
        </w:tabs>
        <w:spacing w:line="240" w:lineRule="auto" w:before="5" w:after="0"/>
        <w:ind w:left="1019" w:right="0" w:hanging="282"/>
        <w:jc w:val="left"/>
        <w:rPr>
          <w:sz w:val="24"/>
        </w:rPr>
      </w:pPr>
      <w:r>
        <w:rPr>
          <w:sz w:val="24"/>
        </w:rPr>
        <w:t>固体投料要求采用真空上料装置进行投料，对投料废气进行收集处理。</w:t>
      </w:r>
    </w:p>
    <w:p>
      <w:pPr>
        <w:spacing w:after="0" w:line="240" w:lineRule="auto"/>
        <w:jc w:val="left"/>
        <w:rPr>
          <w:sz w:val="24"/>
        </w:rPr>
        <w:sectPr>
          <w:pgSz w:w="11910" w:h="16850"/>
          <w:pgMar w:header="730" w:footer="673" w:top="980" w:bottom="860" w:left="1160" w:right="1080"/>
        </w:sectPr>
      </w:pPr>
    </w:p>
    <w:p>
      <w:pPr>
        <w:pStyle w:val="BodyText"/>
        <w:spacing w:before="12"/>
        <w:rPr>
          <w:sz w:val="27"/>
        </w:rPr>
      </w:pPr>
    </w:p>
    <w:p>
      <w:pPr>
        <w:pStyle w:val="ListParagraph"/>
        <w:numPr>
          <w:ilvl w:val="0"/>
          <w:numId w:val="20"/>
        </w:numPr>
        <w:tabs>
          <w:tab w:pos="1019" w:val="left" w:leader="none"/>
        </w:tabs>
        <w:spacing w:line="364" w:lineRule="auto" w:before="74" w:after="0"/>
        <w:ind w:left="738" w:right="3123" w:firstLine="0"/>
        <w:jc w:val="left"/>
        <w:rPr>
          <w:sz w:val="24"/>
        </w:rPr>
      </w:pPr>
      <w:r>
        <w:rPr>
          <w:spacing w:val="-1"/>
          <w:sz w:val="24"/>
        </w:rPr>
        <w:t>包装采用全自动包装机，包装废气也进行收集处理。</w:t>
      </w:r>
      <w:r>
        <w:rPr>
          <w:rFonts w:ascii="Times New Roman" w:eastAsia="Times New Roman"/>
          <w:sz w:val="24"/>
        </w:rPr>
        <w:t>(6)</w:t>
      </w:r>
      <w:r>
        <w:rPr>
          <w:sz w:val="24"/>
        </w:rPr>
        <w:t>项目废气污染源种类及集气方式见下表</w:t>
      </w:r>
    </w:p>
    <w:p>
      <w:pPr>
        <w:pStyle w:val="Heading4"/>
        <w:tabs>
          <w:tab w:pos="3960" w:val="left" w:leader="none"/>
        </w:tabs>
        <w:spacing w:before="141" w:after="28"/>
        <w:ind w:left="2738"/>
      </w:pPr>
      <w:r>
        <w:rPr/>
        <w:t>表</w:t>
      </w:r>
      <w:r>
        <w:rPr>
          <w:spacing w:val="-59"/>
        </w:rPr>
        <w:t> </w:t>
      </w:r>
      <w:r>
        <w:rPr>
          <w:rFonts w:ascii="Times New Roman" w:eastAsia="Times New Roman"/>
        </w:rPr>
        <w:t>5.2.1-1</w:t>
        <w:tab/>
      </w:r>
      <w:r>
        <w:rPr/>
        <w:t>废气污染源种类及集气方式</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5"/>
        <w:gridCol w:w="1561"/>
        <w:gridCol w:w="1560"/>
        <w:gridCol w:w="4398"/>
      </w:tblGrid>
      <w:tr>
        <w:trPr>
          <w:trHeight w:val="273" w:hRule="atLeast"/>
        </w:trPr>
        <w:tc>
          <w:tcPr>
            <w:tcW w:w="1565" w:type="dxa"/>
          </w:tcPr>
          <w:p>
            <w:pPr>
              <w:pStyle w:val="TableParagraph"/>
              <w:spacing w:line="252" w:lineRule="exact" w:before="1"/>
              <w:ind w:left="27" w:right="18"/>
              <w:rPr>
                <w:b/>
                <w:sz w:val="21"/>
              </w:rPr>
            </w:pPr>
            <w:r>
              <w:rPr>
                <w:b/>
                <w:sz w:val="21"/>
              </w:rPr>
              <w:t>工艺过程</w:t>
            </w:r>
          </w:p>
        </w:tc>
        <w:tc>
          <w:tcPr>
            <w:tcW w:w="1561" w:type="dxa"/>
          </w:tcPr>
          <w:p>
            <w:pPr>
              <w:pStyle w:val="TableParagraph"/>
              <w:spacing w:line="252" w:lineRule="exact" w:before="1"/>
              <w:ind w:left="20" w:right="12"/>
              <w:rPr>
                <w:b/>
                <w:sz w:val="21"/>
              </w:rPr>
            </w:pPr>
            <w:r>
              <w:rPr>
                <w:b/>
                <w:sz w:val="21"/>
              </w:rPr>
              <w:t>方式</w:t>
            </w:r>
          </w:p>
        </w:tc>
        <w:tc>
          <w:tcPr>
            <w:tcW w:w="1560" w:type="dxa"/>
          </w:tcPr>
          <w:p>
            <w:pPr>
              <w:pStyle w:val="TableParagraph"/>
              <w:spacing w:line="252" w:lineRule="exact" w:before="1"/>
              <w:ind w:left="17" w:right="9"/>
              <w:rPr>
                <w:b/>
                <w:sz w:val="21"/>
              </w:rPr>
            </w:pPr>
            <w:r>
              <w:rPr>
                <w:b/>
                <w:sz w:val="21"/>
              </w:rPr>
              <w:t>污染物排放方式</w:t>
            </w:r>
          </w:p>
        </w:tc>
        <w:tc>
          <w:tcPr>
            <w:tcW w:w="4398" w:type="dxa"/>
          </w:tcPr>
          <w:p>
            <w:pPr>
              <w:pStyle w:val="TableParagraph"/>
              <w:spacing w:line="252" w:lineRule="exact" w:before="1"/>
              <w:ind w:left="16" w:right="13"/>
              <w:rPr>
                <w:b/>
                <w:sz w:val="21"/>
              </w:rPr>
            </w:pPr>
            <w:r>
              <w:rPr>
                <w:b/>
                <w:sz w:val="21"/>
              </w:rPr>
              <w:t>集气方式</w:t>
            </w:r>
          </w:p>
        </w:tc>
      </w:tr>
      <w:tr>
        <w:trPr>
          <w:trHeight w:val="270" w:hRule="atLeast"/>
        </w:trPr>
        <w:tc>
          <w:tcPr>
            <w:tcW w:w="1565" w:type="dxa"/>
          </w:tcPr>
          <w:p>
            <w:pPr>
              <w:pStyle w:val="TableParagraph"/>
              <w:spacing w:line="250" w:lineRule="exact" w:before="1"/>
              <w:ind w:left="27" w:right="16"/>
              <w:rPr>
                <w:sz w:val="21"/>
              </w:rPr>
            </w:pPr>
            <w:r>
              <w:rPr>
                <w:sz w:val="21"/>
              </w:rPr>
              <w:t>槽车卸料</w:t>
            </w:r>
          </w:p>
        </w:tc>
        <w:tc>
          <w:tcPr>
            <w:tcW w:w="1561" w:type="dxa"/>
          </w:tcPr>
          <w:p>
            <w:pPr>
              <w:pStyle w:val="TableParagraph"/>
              <w:spacing w:line="250" w:lineRule="exact" w:before="1"/>
              <w:ind w:left="20" w:right="12"/>
              <w:rPr>
                <w:sz w:val="21"/>
              </w:rPr>
            </w:pPr>
            <w:r>
              <w:rPr>
                <w:sz w:val="21"/>
              </w:rPr>
              <w:t>储槽</w:t>
            </w:r>
          </w:p>
        </w:tc>
        <w:tc>
          <w:tcPr>
            <w:tcW w:w="1560" w:type="dxa"/>
          </w:tcPr>
          <w:p>
            <w:pPr>
              <w:pStyle w:val="TableParagraph"/>
              <w:spacing w:line="250" w:lineRule="exact" w:before="1"/>
              <w:ind w:left="17" w:right="9"/>
              <w:rPr>
                <w:sz w:val="21"/>
              </w:rPr>
            </w:pPr>
            <w:r>
              <w:rPr>
                <w:sz w:val="21"/>
              </w:rPr>
              <w:t>连续</w:t>
            </w:r>
          </w:p>
        </w:tc>
        <w:tc>
          <w:tcPr>
            <w:tcW w:w="4398" w:type="dxa"/>
          </w:tcPr>
          <w:p>
            <w:pPr>
              <w:pStyle w:val="TableParagraph"/>
              <w:spacing w:line="250" w:lineRule="exact" w:before="1"/>
              <w:ind w:left="29" w:right="13"/>
              <w:rPr>
                <w:sz w:val="21"/>
              </w:rPr>
            </w:pPr>
            <w:r>
              <w:rPr>
                <w:spacing w:val="-6"/>
                <w:sz w:val="21"/>
              </w:rPr>
              <w:t>采用平衡管技术，呼吸口引出接入废气处理系统</w:t>
            </w:r>
          </w:p>
        </w:tc>
      </w:tr>
      <w:tr>
        <w:trPr>
          <w:trHeight w:val="273" w:hRule="atLeast"/>
        </w:trPr>
        <w:tc>
          <w:tcPr>
            <w:tcW w:w="1565" w:type="dxa"/>
          </w:tcPr>
          <w:p>
            <w:pPr>
              <w:pStyle w:val="TableParagraph"/>
              <w:spacing w:line="252" w:lineRule="exact" w:before="1"/>
              <w:ind w:left="27" w:right="16"/>
              <w:rPr>
                <w:sz w:val="21"/>
              </w:rPr>
            </w:pPr>
            <w:r>
              <w:rPr>
                <w:sz w:val="21"/>
              </w:rPr>
              <w:t>物料贮存</w:t>
            </w:r>
          </w:p>
        </w:tc>
        <w:tc>
          <w:tcPr>
            <w:tcW w:w="1561" w:type="dxa"/>
          </w:tcPr>
          <w:p>
            <w:pPr>
              <w:pStyle w:val="TableParagraph"/>
              <w:spacing w:line="252" w:lineRule="exact" w:before="1"/>
              <w:ind w:left="20" w:right="10"/>
              <w:rPr>
                <w:sz w:val="21"/>
              </w:rPr>
            </w:pPr>
            <w:r>
              <w:rPr>
                <w:sz w:val="21"/>
              </w:rPr>
              <w:t>储罐、储槽</w:t>
            </w:r>
          </w:p>
        </w:tc>
        <w:tc>
          <w:tcPr>
            <w:tcW w:w="1560" w:type="dxa"/>
          </w:tcPr>
          <w:p>
            <w:pPr>
              <w:pStyle w:val="TableParagraph"/>
              <w:spacing w:line="252" w:lineRule="exact" w:before="1"/>
              <w:ind w:left="17" w:right="9"/>
              <w:rPr>
                <w:sz w:val="21"/>
              </w:rPr>
            </w:pPr>
            <w:r>
              <w:rPr>
                <w:sz w:val="21"/>
              </w:rPr>
              <w:t>连续</w:t>
            </w:r>
          </w:p>
        </w:tc>
        <w:tc>
          <w:tcPr>
            <w:tcW w:w="4398" w:type="dxa"/>
          </w:tcPr>
          <w:p>
            <w:pPr>
              <w:pStyle w:val="TableParagraph"/>
              <w:spacing w:line="252" w:lineRule="exact" w:before="1"/>
              <w:ind w:left="18" w:right="13"/>
              <w:rPr>
                <w:sz w:val="21"/>
              </w:rPr>
            </w:pPr>
            <w:r>
              <w:rPr>
                <w:sz w:val="21"/>
              </w:rPr>
              <w:t>呼吸口引出接入废气处理系统</w:t>
            </w:r>
          </w:p>
        </w:tc>
      </w:tr>
      <w:tr>
        <w:trPr>
          <w:trHeight w:val="815" w:hRule="atLeast"/>
        </w:trPr>
        <w:tc>
          <w:tcPr>
            <w:tcW w:w="1565" w:type="dxa"/>
          </w:tcPr>
          <w:p>
            <w:pPr>
              <w:pStyle w:val="TableParagraph"/>
              <w:spacing w:line="242" w:lineRule="auto" w:before="138"/>
              <w:ind w:left="676" w:right="33" w:hanging="632"/>
              <w:jc w:val="left"/>
              <w:rPr>
                <w:sz w:val="21"/>
              </w:rPr>
            </w:pPr>
            <w:r>
              <w:rPr>
                <w:sz w:val="21"/>
              </w:rPr>
              <w:t>液体储罐物料输送</w:t>
            </w:r>
          </w:p>
        </w:tc>
        <w:tc>
          <w:tcPr>
            <w:tcW w:w="1561" w:type="dxa"/>
          </w:tcPr>
          <w:p>
            <w:pPr>
              <w:pStyle w:val="TableParagraph"/>
              <w:spacing w:line="242" w:lineRule="auto" w:before="1"/>
              <w:ind w:left="30" w:right="17"/>
              <w:rPr>
                <w:sz w:val="21"/>
              </w:rPr>
            </w:pPr>
            <w:r>
              <w:rPr>
                <w:sz w:val="21"/>
              </w:rPr>
              <w:t>储罐</w:t>
            </w:r>
            <w:r>
              <w:rPr>
                <w:rFonts w:ascii="Times New Roman" w:eastAsia="Times New Roman"/>
                <w:sz w:val="21"/>
              </w:rPr>
              <w:t>+</w:t>
            </w:r>
            <w:r>
              <w:rPr>
                <w:sz w:val="21"/>
              </w:rPr>
              <w:t>输送泵</w:t>
            </w:r>
            <w:r>
              <w:rPr>
                <w:rFonts w:ascii="Times New Roman" w:eastAsia="Times New Roman"/>
                <w:sz w:val="21"/>
              </w:rPr>
              <w:t>+</w:t>
            </w:r>
            <w:r>
              <w:rPr>
                <w:sz w:val="21"/>
              </w:rPr>
              <w:t>计量槽</w:t>
            </w:r>
            <w:r>
              <w:rPr>
                <w:rFonts w:ascii="Times New Roman" w:eastAsia="Times New Roman"/>
                <w:sz w:val="21"/>
              </w:rPr>
              <w:t>/</w:t>
            </w:r>
            <w:r>
              <w:rPr>
                <w:sz w:val="21"/>
              </w:rPr>
              <w:t>计量泵</w:t>
            </w:r>
            <w:r>
              <w:rPr>
                <w:rFonts w:ascii="Times New Roman" w:eastAsia="Times New Roman"/>
                <w:sz w:val="21"/>
              </w:rPr>
              <w:t>+</w:t>
            </w:r>
            <w:r>
              <w:rPr>
                <w:sz w:val="21"/>
              </w:rPr>
              <w:t>反</w:t>
            </w:r>
          </w:p>
          <w:p>
            <w:pPr>
              <w:pStyle w:val="TableParagraph"/>
              <w:spacing w:line="250" w:lineRule="exact" w:before="1"/>
              <w:ind w:left="20" w:right="12"/>
              <w:rPr>
                <w:sz w:val="21"/>
              </w:rPr>
            </w:pPr>
            <w:r>
              <w:rPr>
                <w:sz w:val="21"/>
              </w:rPr>
              <w:t>应釜</w:t>
            </w:r>
          </w:p>
        </w:tc>
        <w:tc>
          <w:tcPr>
            <w:tcW w:w="1560" w:type="dxa"/>
          </w:tcPr>
          <w:p>
            <w:pPr>
              <w:pStyle w:val="TableParagraph"/>
              <w:spacing w:line="242" w:lineRule="auto" w:before="138"/>
              <w:ind w:left="356" w:right="3" w:hanging="344"/>
              <w:jc w:val="left"/>
              <w:rPr>
                <w:sz w:val="21"/>
              </w:rPr>
            </w:pPr>
            <w:r>
              <w:rPr>
                <w:sz w:val="21"/>
              </w:rPr>
              <w:t>计量槽</w:t>
            </w:r>
            <w:r>
              <w:rPr>
                <w:rFonts w:ascii="Times New Roman" w:eastAsia="Times New Roman"/>
                <w:sz w:val="21"/>
              </w:rPr>
              <w:t>/</w:t>
            </w:r>
            <w:r>
              <w:rPr>
                <w:sz w:val="21"/>
              </w:rPr>
              <w:t>反应釜呼吸口连续</w:t>
            </w:r>
          </w:p>
        </w:tc>
        <w:tc>
          <w:tcPr>
            <w:tcW w:w="4398" w:type="dxa"/>
          </w:tcPr>
          <w:p>
            <w:pPr>
              <w:pStyle w:val="TableParagraph"/>
              <w:spacing w:before="3"/>
              <w:jc w:val="left"/>
              <w:rPr>
                <w:b/>
                <w:sz w:val="21"/>
              </w:rPr>
            </w:pPr>
          </w:p>
          <w:p>
            <w:pPr>
              <w:pStyle w:val="TableParagraph"/>
              <w:ind w:left="18" w:right="13"/>
              <w:rPr>
                <w:sz w:val="21"/>
              </w:rPr>
            </w:pPr>
            <w:r>
              <w:rPr>
                <w:sz w:val="21"/>
              </w:rPr>
              <w:t>计量槽</w:t>
            </w:r>
            <w:r>
              <w:rPr>
                <w:rFonts w:ascii="Times New Roman" w:eastAsia="Times New Roman"/>
                <w:sz w:val="21"/>
              </w:rPr>
              <w:t>/</w:t>
            </w:r>
            <w:r>
              <w:rPr>
                <w:sz w:val="21"/>
              </w:rPr>
              <w:t>反应釜呼吸口接入废气处理系统</w:t>
            </w:r>
          </w:p>
        </w:tc>
      </w:tr>
      <w:tr>
        <w:trPr>
          <w:trHeight w:val="546" w:hRule="atLeast"/>
        </w:trPr>
        <w:tc>
          <w:tcPr>
            <w:tcW w:w="1565" w:type="dxa"/>
            <w:vMerge w:val="restart"/>
          </w:tcPr>
          <w:p>
            <w:pPr>
              <w:pStyle w:val="TableParagraph"/>
              <w:jc w:val="left"/>
              <w:rPr>
                <w:b/>
                <w:sz w:val="20"/>
              </w:rPr>
            </w:pPr>
          </w:p>
          <w:p>
            <w:pPr>
              <w:pStyle w:val="TableParagraph"/>
              <w:spacing w:before="160"/>
              <w:ind w:left="27" w:right="18"/>
              <w:rPr>
                <w:sz w:val="21"/>
              </w:rPr>
            </w:pPr>
            <w:r>
              <w:rPr>
                <w:sz w:val="21"/>
              </w:rPr>
              <w:t>投料</w:t>
            </w:r>
          </w:p>
        </w:tc>
        <w:tc>
          <w:tcPr>
            <w:tcW w:w="1561" w:type="dxa"/>
          </w:tcPr>
          <w:p>
            <w:pPr>
              <w:pStyle w:val="TableParagraph"/>
              <w:spacing w:before="137"/>
              <w:ind w:left="20" w:right="10"/>
              <w:rPr>
                <w:sz w:val="21"/>
              </w:rPr>
            </w:pPr>
            <w:r>
              <w:rPr>
                <w:sz w:val="21"/>
              </w:rPr>
              <w:t>计量槽投料</w:t>
            </w:r>
          </w:p>
        </w:tc>
        <w:tc>
          <w:tcPr>
            <w:tcW w:w="1560" w:type="dxa"/>
          </w:tcPr>
          <w:p>
            <w:pPr>
              <w:pStyle w:val="TableParagraph"/>
              <w:spacing w:line="270" w:lineRule="atLeast" w:before="2"/>
              <w:ind w:left="462" w:right="32" w:hanging="420"/>
              <w:jc w:val="left"/>
              <w:rPr>
                <w:sz w:val="21"/>
              </w:rPr>
            </w:pPr>
            <w:r>
              <w:rPr>
                <w:sz w:val="21"/>
              </w:rPr>
              <w:t>反应釜中物料连续排放</w:t>
            </w:r>
          </w:p>
        </w:tc>
        <w:tc>
          <w:tcPr>
            <w:tcW w:w="4398" w:type="dxa"/>
          </w:tcPr>
          <w:p>
            <w:pPr>
              <w:pStyle w:val="TableParagraph"/>
              <w:spacing w:before="137"/>
              <w:ind w:left="18" w:right="13"/>
              <w:rPr>
                <w:sz w:val="21"/>
              </w:rPr>
            </w:pPr>
            <w:r>
              <w:rPr>
                <w:sz w:val="21"/>
              </w:rPr>
              <w:t>反应釜呼吸口接废气处理系统</w:t>
            </w:r>
          </w:p>
        </w:tc>
      </w:tr>
      <w:tr>
        <w:trPr>
          <w:trHeight w:val="544" w:hRule="atLeast"/>
        </w:trPr>
        <w:tc>
          <w:tcPr>
            <w:tcW w:w="1565" w:type="dxa"/>
            <w:vMerge/>
            <w:tcBorders>
              <w:top w:val="nil"/>
            </w:tcBorders>
          </w:tcPr>
          <w:p>
            <w:pPr>
              <w:rPr>
                <w:sz w:val="2"/>
                <w:szCs w:val="2"/>
              </w:rPr>
            </w:pPr>
          </w:p>
        </w:tc>
        <w:tc>
          <w:tcPr>
            <w:tcW w:w="1561" w:type="dxa"/>
          </w:tcPr>
          <w:p>
            <w:pPr>
              <w:pStyle w:val="TableParagraph"/>
              <w:spacing w:before="136"/>
              <w:ind w:left="20" w:right="10"/>
              <w:rPr>
                <w:sz w:val="21"/>
              </w:rPr>
            </w:pPr>
            <w:r>
              <w:rPr>
                <w:sz w:val="21"/>
              </w:rPr>
              <w:t>泵转移物料</w:t>
            </w:r>
          </w:p>
        </w:tc>
        <w:tc>
          <w:tcPr>
            <w:tcW w:w="1560" w:type="dxa"/>
          </w:tcPr>
          <w:p>
            <w:pPr>
              <w:pStyle w:val="TableParagraph"/>
              <w:spacing w:before="1"/>
              <w:ind w:left="17" w:right="9"/>
              <w:rPr>
                <w:sz w:val="21"/>
              </w:rPr>
            </w:pPr>
            <w:r>
              <w:rPr>
                <w:sz w:val="21"/>
              </w:rPr>
              <w:t>反应釜中物料连</w:t>
            </w:r>
          </w:p>
          <w:p>
            <w:pPr>
              <w:pStyle w:val="TableParagraph"/>
              <w:spacing w:line="252" w:lineRule="exact" w:before="2"/>
              <w:ind w:left="17" w:right="9"/>
              <w:rPr>
                <w:sz w:val="21"/>
              </w:rPr>
            </w:pPr>
            <w:r>
              <w:rPr>
                <w:sz w:val="21"/>
              </w:rPr>
              <w:t>续排放</w:t>
            </w:r>
          </w:p>
        </w:tc>
        <w:tc>
          <w:tcPr>
            <w:tcW w:w="4398" w:type="dxa"/>
          </w:tcPr>
          <w:p>
            <w:pPr>
              <w:pStyle w:val="TableParagraph"/>
              <w:spacing w:before="136"/>
              <w:ind w:left="18" w:right="13"/>
              <w:rPr>
                <w:sz w:val="21"/>
              </w:rPr>
            </w:pPr>
            <w:r>
              <w:rPr>
                <w:sz w:val="21"/>
              </w:rPr>
              <w:t>反应釜呼吸口接废气处理系统</w:t>
            </w:r>
          </w:p>
        </w:tc>
      </w:tr>
      <w:tr>
        <w:trPr>
          <w:trHeight w:val="270" w:hRule="atLeast"/>
        </w:trPr>
        <w:tc>
          <w:tcPr>
            <w:tcW w:w="1565" w:type="dxa"/>
          </w:tcPr>
          <w:p>
            <w:pPr>
              <w:pStyle w:val="TableParagraph"/>
              <w:spacing w:line="250" w:lineRule="exact" w:before="1"/>
              <w:ind w:left="27" w:right="16"/>
              <w:rPr>
                <w:sz w:val="21"/>
              </w:rPr>
            </w:pPr>
            <w:r>
              <w:rPr>
                <w:sz w:val="21"/>
              </w:rPr>
              <w:t>反应过程</w:t>
            </w:r>
          </w:p>
        </w:tc>
        <w:tc>
          <w:tcPr>
            <w:tcW w:w="1561" w:type="dxa"/>
          </w:tcPr>
          <w:p>
            <w:pPr>
              <w:pStyle w:val="TableParagraph"/>
              <w:spacing w:line="250" w:lineRule="exact" w:before="1"/>
              <w:ind w:left="20" w:right="12"/>
              <w:rPr>
                <w:sz w:val="21"/>
              </w:rPr>
            </w:pPr>
            <w:r>
              <w:rPr>
                <w:sz w:val="21"/>
              </w:rPr>
              <w:t>反应等</w:t>
            </w:r>
          </w:p>
        </w:tc>
        <w:tc>
          <w:tcPr>
            <w:tcW w:w="1560" w:type="dxa"/>
          </w:tcPr>
          <w:p>
            <w:pPr>
              <w:pStyle w:val="TableParagraph"/>
              <w:spacing w:line="250" w:lineRule="exact" w:before="1"/>
              <w:ind w:left="17" w:right="9"/>
              <w:rPr>
                <w:sz w:val="21"/>
              </w:rPr>
            </w:pPr>
            <w:r>
              <w:rPr>
                <w:sz w:val="21"/>
              </w:rPr>
              <w:t>间歇</w:t>
            </w:r>
          </w:p>
        </w:tc>
        <w:tc>
          <w:tcPr>
            <w:tcW w:w="4398" w:type="dxa"/>
          </w:tcPr>
          <w:p>
            <w:pPr>
              <w:pStyle w:val="TableParagraph"/>
              <w:spacing w:line="250" w:lineRule="exact" w:before="1"/>
              <w:ind w:left="16" w:right="13"/>
              <w:rPr>
                <w:sz w:val="21"/>
              </w:rPr>
            </w:pPr>
            <w:r>
              <w:rPr>
                <w:sz w:val="21"/>
              </w:rPr>
              <w:t>呼吸口接废气处理系统</w:t>
            </w:r>
          </w:p>
        </w:tc>
      </w:tr>
      <w:tr>
        <w:trPr>
          <w:trHeight w:val="544" w:hRule="atLeast"/>
        </w:trPr>
        <w:tc>
          <w:tcPr>
            <w:tcW w:w="1565" w:type="dxa"/>
          </w:tcPr>
          <w:p>
            <w:pPr>
              <w:pStyle w:val="TableParagraph"/>
              <w:spacing w:before="137"/>
              <w:ind w:left="27" w:right="16"/>
              <w:rPr>
                <w:sz w:val="21"/>
              </w:rPr>
            </w:pPr>
            <w:r>
              <w:rPr>
                <w:sz w:val="21"/>
              </w:rPr>
              <w:t>减压回收</w:t>
            </w:r>
          </w:p>
        </w:tc>
        <w:tc>
          <w:tcPr>
            <w:tcW w:w="1561" w:type="dxa"/>
          </w:tcPr>
          <w:p>
            <w:pPr>
              <w:pStyle w:val="TableParagraph"/>
              <w:spacing w:before="137"/>
              <w:ind w:left="20" w:right="9"/>
              <w:rPr>
                <w:sz w:val="21"/>
              </w:rPr>
            </w:pPr>
            <w:r>
              <w:rPr>
                <w:sz w:val="21"/>
              </w:rPr>
              <w:t>真空泵抽气</w:t>
            </w:r>
          </w:p>
        </w:tc>
        <w:tc>
          <w:tcPr>
            <w:tcW w:w="1560" w:type="dxa"/>
          </w:tcPr>
          <w:p>
            <w:pPr>
              <w:pStyle w:val="TableParagraph"/>
              <w:spacing w:before="137"/>
              <w:ind w:left="17" w:right="9"/>
              <w:rPr>
                <w:sz w:val="21"/>
              </w:rPr>
            </w:pPr>
            <w:r>
              <w:rPr>
                <w:sz w:val="21"/>
              </w:rPr>
              <w:t>间歇</w:t>
            </w:r>
          </w:p>
        </w:tc>
        <w:tc>
          <w:tcPr>
            <w:tcW w:w="4398" w:type="dxa"/>
          </w:tcPr>
          <w:p>
            <w:pPr>
              <w:pStyle w:val="TableParagraph"/>
              <w:spacing w:before="1"/>
              <w:ind w:left="29" w:right="13"/>
              <w:rPr>
                <w:sz w:val="21"/>
              </w:rPr>
            </w:pPr>
            <w:r>
              <w:rPr>
                <w:spacing w:val="-5"/>
                <w:sz w:val="21"/>
              </w:rPr>
              <w:t>真空泵后加冷凝回收装置，排气口接入废气处理</w:t>
            </w:r>
          </w:p>
          <w:p>
            <w:pPr>
              <w:pStyle w:val="TableParagraph"/>
              <w:spacing w:line="250" w:lineRule="exact" w:before="4"/>
              <w:ind w:left="16" w:right="13"/>
              <w:rPr>
                <w:sz w:val="21"/>
              </w:rPr>
            </w:pPr>
            <w:r>
              <w:rPr>
                <w:sz w:val="21"/>
              </w:rPr>
              <w:t>系统</w:t>
            </w:r>
          </w:p>
        </w:tc>
      </w:tr>
      <w:tr>
        <w:trPr>
          <w:trHeight w:val="546" w:hRule="atLeast"/>
        </w:trPr>
        <w:tc>
          <w:tcPr>
            <w:tcW w:w="1565" w:type="dxa"/>
          </w:tcPr>
          <w:p>
            <w:pPr>
              <w:pStyle w:val="TableParagraph"/>
              <w:spacing w:before="138"/>
              <w:ind w:left="27" w:right="16"/>
              <w:rPr>
                <w:sz w:val="21"/>
              </w:rPr>
            </w:pPr>
            <w:r>
              <w:rPr>
                <w:sz w:val="21"/>
              </w:rPr>
              <w:t>固液分离</w:t>
            </w:r>
          </w:p>
        </w:tc>
        <w:tc>
          <w:tcPr>
            <w:tcW w:w="1561" w:type="dxa"/>
          </w:tcPr>
          <w:p>
            <w:pPr>
              <w:pStyle w:val="TableParagraph"/>
              <w:spacing w:line="270" w:lineRule="atLeast" w:before="2"/>
              <w:ind w:left="568" w:right="32" w:hanging="526"/>
              <w:jc w:val="left"/>
              <w:rPr>
                <w:sz w:val="21"/>
              </w:rPr>
            </w:pPr>
            <w:r>
              <w:rPr>
                <w:sz w:val="21"/>
              </w:rPr>
              <w:t>全自动下料式离心机</w:t>
            </w:r>
          </w:p>
        </w:tc>
        <w:tc>
          <w:tcPr>
            <w:tcW w:w="1560" w:type="dxa"/>
          </w:tcPr>
          <w:p>
            <w:pPr>
              <w:pStyle w:val="TableParagraph"/>
              <w:spacing w:before="138"/>
              <w:ind w:left="17" w:right="9"/>
              <w:rPr>
                <w:sz w:val="21"/>
              </w:rPr>
            </w:pPr>
            <w:r>
              <w:rPr>
                <w:sz w:val="21"/>
              </w:rPr>
              <w:t>间歇</w:t>
            </w:r>
          </w:p>
        </w:tc>
        <w:tc>
          <w:tcPr>
            <w:tcW w:w="4398" w:type="dxa"/>
          </w:tcPr>
          <w:p>
            <w:pPr>
              <w:pStyle w:val="TableParagraph"/>
              <w:spacing w:before="138"/>
              <w:ind w:left="14" w:right="13"/>
              <w:rPr>
                <w:sz w:val="21"/>
              </w:rPr>
            </w:pPr>
            <w:r>
              <w:rPr>
                <w:sz w:val="21"/>
              </w:rPr>
              <w:t>呼吸口收集后接废气处理系统</w:t>
            </w:r>
          </w:p>
        </w:tc>
      </w:tr>
      <w:tr>
        <w:trPr>
          <w:trHeight w:val="544" w:hRule="atLeast"/>
        </w:trPr>
        <w:tc>
          <w:tcPr>
            <w:tcW w:w="1565" w:type="dxa"/>
          </w:tcPr>
          <w:p>
            <w:pPr>
              <w:pStyle w:val="TableParagraph"/>
              <w:spacing w:before="1"/>
              <w:ind w:left="27" w:right="18"/>
              <w:rPr>
                <w:sz w:val="21"/>
              </w:rPr>
            </w:pPr>
            <w:r>
              <w:rPr>
                <w:sz w:val="21"/>
              </w:rPr>
              <w:t>废水收集及处理</w:t>
            </w:r>
          </w:p>
          <w:p>
            <w:pPr>
              <w:pStyle w:val="TableParagraph"/>
              <w:spacing w:line="252" w:lineRule="exact" w:before="2"/>
              <w:ind w:left="27" w:right="18"/>
              <w:rPr>
                <w:sz w:val="21"/>
              </w:rPr>
            </w:pPr>
            <w:r>
              <w:rPr>
                <w:sz w:val="21"/>
              </w:rPr>
              <w:t>设施</w:t>
            </w:r>
          </w:p>
        </w:tc>
        <w:tc>
          <w:tcPr>
            <w:tcW w:w="1561" w:type="dxa"/>
          </w:tcPr>
          <w:p>
            <w:pPr>
              <w:pStyle w:val="TableParagraph"/>
              <w:spacing w:before="135"/>
              <w:ind w:left="20" w:right="12"/>
              <w:rPr>
                <w:sz w:val="21"/>
              </w:rPr>
            </w:pPr>
            <w:r>
              <w:rPr>
                <w:sz w:val="21"/>
              </w:rPr>
              <w:t>挥发</w:t>
            </w:r>
          </w:p>
        </w:tc>
        <w:tc>
          <w:tcPr>
            <w:tcW w:w="1560" w:type="dxa"/>
          </w:tcPr>
          <w:p>
            <w:pPr>
              <w:pStyle w:val="TableParagraph"/>
              <w:spacing w:before="135"/>
              <w:ind w:left="17" w:right="9"/>
              <w:rPr>
                <w:sz w:val="21"/>
              </w:rPr>
            </w:pPr>
            <w:r>
              <w:rPr>
                <w:sz w:val="21"/>
              </w:rPr>
              <w:t>连续</w:t>
            </w:r>
          </w:p>
        </w:tc>
        <w:tc>
          <w:tcPr>
            <w:tcW w:w="4398" w:type="dxa"/>
          </w:tcPr>
          <w:p>
            <w:pPr>
              <w:pStyle w:val="TableParagraph"/>
              <w:spacing w:before="1"/>
              <w:ind w:left="1" w:right="-15"/>
              <w:jc w:val="left"/>
              <w:rPr>
                <w:sz w:val="21"/>
              </w:rPr>
            </w:pPr>
            <w:r>
              <w:rPr>
                <w:spacing w:val="-6"/>
                <w:sz w:val="21"/>
              </w:rPr>
              <w:t>集水池、预处理设施和集中处理设施等污水站相</w:t>
            </w:r>
          </w:p>
          <w:p>
            <w:pPr>
              <w:pStyle w:val="TableParagraph"/>
              <w:spacing w:line="252" w:lineRule="exact" w:before="2"/>
              <w:ind w:left="92"/>
              <w:jc w:val="left"/>
              <w:rPr>
                <w:sz w:val="21"/>
              </w:rPr>
            </w:pPr>
            <w:r>
              <w:rPr>
                <w:sz w:val="21"/>
              </w:rPr>
              <w:t>应单元废气加盖密封从呼吸口接废气处理系统</w:t>
            </w:r>
          </w:p>
        </w:tc>
      </w:tr>
      <w:tr>
        <w:trPr>
          <w:trHeight w:val="270" w:hRule="atLeast"/>
        </w:trPr>
        <w:tc>
          <w:tcPr>
            <w:tcW w:w="1565" w:type="dxa"/>
          </w:tcPr>
          <w:p>
            <w:pPr>
              <w:pStyle w:val="TableParagraph"/>
              <w:spacing w:line="250" w:lineRule="exact" w:before="1"/>
              <w:ind w:left="27" w:right="18"/>
              <w:rPr>
                <w:sz w:val="21"/>
              </w:rPr>
            </w:pPr>
            <w:r>
              <w:rPr>
                <w:sz w:val="21"/>
              </w:rPr>
              <w:t>包装</w:t>
            </w:r>
          </w:p>
        </w:tc>
        <w:tc>
          <w:tcPr>
            <w:tcW w:w="1561" w:type="dxa"/>
          </w:tcPr>
          <w:p>
            <w:pPr>
              <w:pStyle w:val="TableParagraph"/>
              <w:spacing w:line="250" w:lineRule="exact" w:before="1"/>
              <w:ind w:left="20" w:right="10"/>
              <w:rPr>
                <w:sz w:val="21"/>
              </w:rPr>
            </w:pPr>
            <w:r>
              <w:rPr>
                <w:sz w:val="21"/>
              </w:rPr>
              <w:t>无组织散发</w:t>
            </w:r>
          </w:p>
        </w:tc>
        <w:tc>
          <w:tcPr>
            <w:tcW w:w="1560" w:type="dxa"/>
          </w:tcPr>
          <w:p>
            <w:pPr>
              <w:pStyle w:val="TableParagraph"/>
              <w:spacing w:line="250" w:lineRule="exact" w:before="1"/>
              <w:ind w:left="17" w:right="9"/>
              <w:rPr>
                <w:sz w:val="21"/>
              </w:rPr>
            </w:pPr>
            <w:r>
              <w:rPr>
                <w:sz w:val="21"/>
              </w:rPr>
              <w:t>间歇</w:t>
            </w:r>
          </w:p>
        </w:tc>
        <w:tc>
          <w:tcPr>
            <w:tcW w:w="4398" w:type="dxa"/>
          </w:tcPr>
          <w:p>
            <w:pPr>
              <w:pStyle w:val="TableParagraph"/>
              <w:spacing w:line="250" w:lineRule="exact" w:before="1"/>
              <w:ind w:left="16" w:right="13"/>
              <w:rPr>
                <w:sz w:val="21"/>
              </w:rPr>
            </w:pPr>
            <w:r>
              <w:rPr>
                <w:sz w:val="21"/>
              </w:rPr>
              <w:t>集气后接入废气处理系统</w:t>
            </w:r>
          </w:p>
        </w:tc>
      </w:tr>
    </w:tbl>
    <w:p>
      <w:pPr>
        <w:pStyle w:val="BodyText"/>
        <w:spacing w:line="364" w:lineRule="auto" w:before="2"/>
        <w:ind w:left="258" w:right="280" w:firstLine="480"/>
      </w:pPr>
      <w:r>
        <w:rPr/>
        <w:t>由上可以看出，项目对于有条件进行收集的废气排放口均进行了收集，极大的减少了废气无组织排放。</w:t>
      </w:r>
    </w:p>
    <w:p>
      <w:pPr>
        <w:pStyle w:val="Heading4"/>
        <w:spacing w:before="2"/>
        <w:ind w:left="741"/>
      </w:pPr>
      <w:r>
        <w:rPr>
          <w:rFonts w:ascii="Times New Roman" w:eastAsia="Times New Roman"/>
        </w:rPr>
        <w:t>2</w:t>
      </w:r>
      <w:r>
        <w:rPr/>
        <w:t>、风量估算</w:t>
      </w:r>
    </w:p>
    <w:p>
      <w:pPr>
        <w:pStyle w:val="BodyText"/>
        <w:spacing w:before="158"/>
        <w:ind w:left="738"/>
      </w:pPr>
      <w:r>
        <w:rPr/>
        <w:t>①三环唑原药生产装置废气</w:t>
      </w:r>
    </w:p>
    <w:p>
      <w:pPr>
        <w:pStyle w:val="Heading4"/>
        <w:tabs>
          <w:tab w:pos="1221" w:val="left" w:leader="none"/>
        </w:tabs>
        <w:spacing w:before="158" w:after="2"/>
        <w:ind w:left="0" w:right="74"/>
        <w:jc w:val="center"/>
      </w:pPr>
      <w:r>
        <w:rPr/>
        <w:t>表</w:t>
      </w:r>
      <w:r>
        <w:rPr>
          <w:spacing w:val="-60"/>
        </w:rPr>
        <w:t> </w:t>
      </w:r>
      <w:r>
        <w:rPr>
          <w:rFonts w:ascii="Times New Roman" w:eastAsia="Times New Roman"/>
        </w:rPr>
        <w:t>5.2.1-2</w:t>
        <w:tab/>
      </w:r>
      <w:r>
        <w:rPr/>
        <w:t>三环唑生产线风量</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1"/>
        <w:gridCol w:w="1767"/>
        <w:gridCol w:w="3356"/>
        <w:gridCol w:w="1100"/>
        <w:gridCol w:w="1931"/>
      </w:tblGrid>
      <w:tr>
        <w:trPr>
          <w:trHeight w:val="285" w:hRule="atLeast"/>
        </w:trPr>
        <w:tc>
          <w:tcPr>
            <w:tcW w:w="931" w:type="dxa"/>
          </w:tcPr>
          <w:p>
            <w:pPr>
              <w:pStyle w:val="TableParagraph"/>
              <w:spacing w:line="257" w:lineRule="exact" w:before="8"/>
              <w:ind w:left="23" w:right="14"/>
              <w:rPr>
                <w:b/>
                <w:sz w:val="21"/>
              </w:rPr>
            </w:pPr>
            <w:r>
              <w:rPr>
                <w:b/>
                <w:sz w:val="21"/>
              </w:rPr>
              <w:t>序号</w:t>
            </w:r>
          </w:p>
        </w:tc>
        <w:tc>
          <w:tcPr>
            <w:tcW w:w="1767" w:type="dxa"/>
          </w:tcPr>
          <w:p>
            <w:pPr>
              <w:pStyle w:val="TableParagraph"/>
              <w:spacing w:line="257" w:lineRule="exact" w:before="8"/>
              <w:ind w:left="460"/>
              <w:jc w:val="left"/>
              <w:rPr>
                <w:b/>
                <w:sz w:val="21"/>
              </w:rPr>
            </w:pPr>
            <w:r>
              <w:rPr>
                <w:b/>
                <w:sz w:val="21"/>
              </w:rPr>
              <w:t>设备名称</w:t>
            </w:r>
          </w:p>
        </w:tc>
        <w:tc>
          <w:tcPr>
            <w:tcW w:w="3356" w:type="dxa"/>
          </w:tcPr>
          <w:p>
            <w:pPr>
              <w:pStyle w:val="TableParagraph"/>
              <w:spacing w:line="257" w:lineRule="exact" w:before="8"/>
              <w:ind w:left="1446" w:right="1437"/>
              <w:rPr>
                <w:b/>
                <w:sz w:val="21"/>
              </w:rPr>
            </w:pPr>
            <w:r>
              <w:rPr>
                <w:b/>
                <w:sz w:val="21"/>
              </w:rPr>
              <w:t>规格</w:t>
            </w:r>
          </w:p>
        </w:tc>
        <w:tc>
          <w:tcPr>
            <w:tcW w:w="1100" w:type="dxa"/>
          </w:tcPr>
          <w:p>
            <w:pPr>
              <w:pStyle w:val="TableParagraph"/>
              <w:spacing w:line="257" w:lineRule="exact" w:before="8"/>
              <w:ind w:left="28"/>
              <w:jc w:val="left"/>
              <w:rPr>
                <w:rFonts w:ascii="Times New Roman" w:eastAsia="Times New Roman"/>
                <w:b/>
                <w:sz w:val="21"/>
              </w:rPr>
            </w:pPr>
            <w:r>
              <w:rPr>
                <w:b/>
                <w:sz w:val="21"/>
              </w:rPr>
              <w:t>数量</w:t>
            </w:r>
            <w:r>
              <w:rPr>
                <w:rFonts w:ascii="Times New Roman" w:eastAsia="Times New Roman"/>
                <w:b/>
                <w:sz w:val="21"/>
              </w:rPr>
              <w:t>(</w:t>
            </w:r>
            <w:r>
              <w:rPr>
                <w:b/>
                <w:sz w:val="21"/>
              </w:rPr>
              <w:t>台</w:t>
            </w:r>
            <w:r>
              <w:rPr>
                <w:rFonts w:ascii="Times New Roman" w:eastAsia="Times New Roman"/>
                <w:b/>
                <w:sz w:val="21"/>
              </w:rPr>
              <w:t>/</w:t>
            </w:r>
            <w:r>
              <w:rPr>
                <w:b/>
                <w:sz w:val="21"/>
              </w:rPr>
              <w:t>套</w:t>
            </w:r>
            <w:r>
              <w:rPr>
                <w:rFonts w:ascii="Times New Roman" w:eastAsia="Times New Roman"/>
                <w:b/>
                <w:sz w:val="21"/>
              </w:rPr>
              <w:t>)</w:t>
            </w:r>
          </w:p>
        </w:tc>
        <w:tc>
          <w:tcPr>
            <w:tcW w:w="1931" w:type="dxa"/>
          </w:tcPr>
          <w:p>
            <w:pPr>
              <w:pStyle w:val="TableParagraph"/>
              <w:spacing w:line="257" w:lineRule="exact" w:before="8"/>
              <w:ind w:left="312" w:right="305"/>
              <w:rPr>
                <w:rFonts w:ascii="Times New Roman" w:eastAsia="Times New Roman"/>
                <w:b/>
                <w:sz w:val="21"/>
              </w:rPr>
            </w:pPr>
            <w:r>
              <w:rPr>
                <w:b/>
                <w:sz w:val="21"/>
              </w:rPr>
              <w:t>集气量，</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/h</w:t>
            </w:r>
          </w:p>
        </w:tc>
      </w:tr>
      <w:tr>
        <w:trPr>
          <w:trHeight w:val="282" w:hRule="atLeast"/>
        </w:trPr>
        <w:tc>
          <w:tcPr>
            <w:tcW w:w="931" w:type="dxa"/>
          </w:tcPr>
          <w:p>
            <w:pPr>
              <w:pStyle w:val="TableParagraph"/>
              <w:spacing w:line="257" w:lineRule="exact" w:before="6"/>
              <w:ind w:left="23" w:right="14"/>
              <w:rPr>
                <w:b/>
                <w:sz w:val="21"/>
              </w:rPr>
            </w:pPr>
            <w:r>
              <w:rPr>
                <w:b/>
                <w:color w:val="FF0000"/>
                <w:sz w:val="21"/>
              </w:rPr>
              <w:t>涉密删除</w:t>
            </w: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2"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2"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3"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2"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2"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2"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5" w:hRule="atLeast"/>
        </w:trPr>
        <w:tc>
          <w:tcPr>
            <w:tcW w:w="931" w:type="dxa"/>
          </w:tcPr>
          <w:p>
            <w:pPr>
              <w:pStyle w:val="TableParagraph"/>
              <w:jc w:val="left"/>
              <w:rPr>
                <w:rFonts w:ascii="Times New Roman"/>
                <w:sz w:val="20"/>
              </w:rPr>
            </w:pPr>
          </w:p>
        </w:tc>
        <w:tc>
          <w:tcPr>
            <w:tcW w:w="1767" w:type="dxa"/>
          </w:tcPr>
          <w:p>
            <w:pPr>
              <w:pStyle w:val="TableParagraph"/>
              <w:jc w:val="left"/>
              <w:rPr>
                <w:rFonts w:ascii="Times New Roman"/>
                <w:sz w:val="20"/>
              </w:rPr>
            </w:pPr>
          </w:p>
        </w:tc>
        <w:tc>
          <w:tcPr>
            <w:tcW w:w="3356" w:type="dxa"/>
          </w:tcPr>
          <w:p>
            <w:pPr>
              <w:pStyle w:val="TableParagraph"/>
              <w:jc w:val="left"/>
              <w:rPr>
                <w:rFonts w:ascii="Times New Roman"/>
                <w:sz w:val="20"/>
              </w:rPr>
            </w:pPr>
          </w:p>
        </w:tc>
        <w:tc>
          <w:tcPr>
            <w:tcW w:w="1100" w:type="dxa"/>
          </w:tcPr>
          <w:p>
            <w:pPr>
              <w:pStyle w:val="TableParagraph"/>
              <w:jc w:val="left"/>
              <w:rPr>
                <w:rFonts w:ascii="Times New Roman"/>
                <w:sz w:val="20"/>
              </w:rPr>
            </w:pPr>
          </w:p>
        </w:tc>
        <w:tc>
          <w:tcPr>
            <w:tcW w:w="1931" w:type="dxa"/>
          </w:tcPr>
          <w:p>
            <w:pPr>
              <w:pStyle w:val="TableParagraph"/>
              <w:jc w:val="left"/>
              <w:rPr>
                <w:rFonts w:ascii="Times New Roman"/>
                <w:sz w:val="20"/>
              </w:rPr>
            </w:pPr>
          </w:p>
        </w:tc>
      </w:tr>
      <w:tr>
        <w:trPr>
          <w:trHeight w:val="282" w:hRule="atLeast"/>
        </w:trPr>
        <w:tc>
          <w:tcPr>
            <w:tcW w:w="7154" w:type="dxa"/>
            <w:gridSpan w:val="4"/>
          </w:tcPr>
          <w:p>
            <w:pPr>
              <w:pStyle w:val="TableParagraph"/>
              <w:spacing w:line="257" w:lineRule="exact" w:before="6"/>
              <w:ind w:left="3346" w:right="3338"/>
              <w:rPr>
                <w:sz w:val="21"/>
              </w:rPr>
            </w:pPr>
            <w:r>
              <w:rPr>
                <w:sz w:val="21"/>
              </w:rPr>
              <w:t>合计</w:t>
            </w:r>
          </w:p>
        </w:tc>
        <w:tc>
          <w:tcPr>
            <w:tcW w:w="1931" w:type="dxa"/>
          </w:tcPr>
          <w:p>
            <w:pPr>
              <w:pStyle w:val="TableParagraph"/>
              <w:spacing w:before="19"/>
              <w:ind w:left="312" w:right="305"/>
              <w:rPr>
                <w:rFonts w:ascii="Times New Roman"/>
                <w:sz w:val="21"/>
              </w:rPr>
            </w:pPr>
            <w:r>
              <w:rPr>
                <w:rFonts w:ascii="Times New Roman"/>
                <w:sz w:val="21"/>
              </w:rPr>
              <w:t>1970</w:t>
            </w:r>
          </w:p>
        </w:tc>
      </w:tr>
    </w:tbl>
    <w:p>
      <w:pPr>
        <w:pStyle w:val="BodyText"/>
        <w:spacing w:before="2"/>
        <w:ind w:left="738"/>
      </w:pPr>
      <w:r>
        <w:rPr/>
        <w:t>②三环唑可湿性粉剂生产线废气</w:t>
      </w:r>
    </w:p>
    <w:p>
      <w:pPr>
        <w:spacing w:after="0"/>
        <w:sectPr>
          <w:pgSz w:w="11910" w:h="16850"/>
          <w:pgMar w:header="730" w:footer="673" w:top="980" w:bottom="860" w:left="1160" w:right="1080"/>
        </w:sectPr>
      </w:pPr>
    </w:p>
    <w:p>
      <w:pPr>
        <w:pStyle w:val="BodyText"/>
        <w:spacing w:before="12"/>
        <w:rPr>
          <w:sz w:val="27"/>
        </w:rPr>
      </w:pPr>
    </w:p>
    <w:p>
      <w:pPr>
        <w:pStyle w:val="Heading4"/>
        <w:tabs>
          <w:tab w:pos="1222" w:val="left" w:leader="none"/>
        </w:tabs>
        <w:spacing w:before="74" w:after="3"/>
        <w:ind w:left="0" w:right="74"/>
        <w:jc w:val="center"/>
      </w:pPr>
      <w:r>
        <w:rPr/>
        <w:t>表</w:t>
      </w:r>
      <w:r>
        <w:rPr>
          <w:spacing w:val="-59"/>
        </w:rPr>
        <w:t> </w:t>
      </w:r>
      <w:r>
        <w:rPr>
          <w:rFonts w:ascii="Times New Roman" w:eastAsia="Times New Roman"/>
        </w:rPr>
        <w:t>5.2.1-3</w:t>
        <w:tab/>
      </w:r>
      <w:r>
        <w:rPr/>
        <w:t>三环唑可湿性粉剂生产线风量</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264"/>
        <w:gridCol w:w="2943"/>
        <w:gridCol w:w="1236"/>
        <w:gridCol w:w="1647"/>
      </w:tblGrid>
      <w:tr>
        <w:trPr>
          <w:trHeight w:val="282" w:hRule="atLeast"/>
        </w:trPr>
        <w:tc>
          <w:tcPr>
            <w:tcW w:w="994" w:type="dxa"/>
          </w:tcPr>
          <w:p>
            <w:pPr>
              <w:pStyle w:val="TableParagraph"/>
              <w:spacing w:line="257" w:lineRule="exact" w:before="6"/>
              <w:ind w:left="285"/>
              <w:jc w:val="left"/>
              <w:rPr>
                <w:b/>
                <w:sz w:val="21"/>
              </w:rPr>
            </w:pPr>
            <w:r>
              <w:rPr>
                <w:b/>
                <w:sz w:val="21"/>
              </w:rPr>
              <w:t>序号</w:t>
            </w:r>
          </w:p>
        </w:tc>
        <w:tc>
          <w:tcPr>
            <w:tcW w:w="2264" w:type="dxa"/>
          </w:tcPr>
          <w:p>
            <w:pPr>
              <w:pStyle w:val="TableParagraph"/>
              <w:spacing w:line="257" w:lineRule="exact" w:before="6"/>
              <w:ind w:right="697"/>
              <w:jc w:val="right"/>
              <w:rPr>
                <w:b/>
                <w:sz w:val="21"/>
              </w:rPr>
            </w:pPr>
            <w:r>
              <w:rPr>
                <w:b/>
                <w:sz w:val="21"/>
              </w:rPr>
              <w:t>设备名称</w:t>
            </w:r>
          </w:p>
        </w:tc>
        <w:tc>
          <w:tcPr>
            <w:tcW w:w="2943" w:type="dxa"/>
          </w:tcPr>
          <w:p>
            <w:pPr>
              <w:pStyle w:val="TableParagraph"/>
              <w:spacing w:line="257" w:lineRule="exact" w:before="6"/>
              <w:ind w:left="80" w:right="73"/>
              <w:rPr>
                <w:b/>
                <w:sz w:val="21"/>
              </w:rPr>
            </w:pPr>
            <w:r>
              <w:rPr>
                <w:b/>
                <w:sz w:val="21"/>
              </w:rPr>
              <w:t>规格</w:t>
            </w:r>
          </w:p>
        </w:tc>
        <w:tc>
          <w:tcPr>
            <w:tcW w:w="1236" w:type="dxa"/>
          </w:tcPr>
          <w:p>
            <w:pPr>
              <w:pStyle w:val="TableParagraph"/>
              <w:spacing w:line="257" w:lineRule="exact" w:before="6"/>
              <w:ind w:left="404"/>
              <w:jc w:val="left"/>
              <w:rPr>
                <w:b/>
                <w:sz w:val="21"/>
              </w:rPr>
            </w:pPr>
            <w:r>
              <w:rPr>
                <w:b/>
                <w:sz w:val="21"/>
              </w:rPr>
              <w:t>数量</w:t>
            </w:r>
          </w:p>
        </w:tc>
        <w:tc>
          <w:tcPr>
            <w:tcW w:w="1647" w:type="dxa"/>
          </w:tcPr>
          <w:p>
            <w:pPr>
              <w:pStyle w:val="TableParagraph"/>
              <w:spacing w:line="257" w:lineRule="exact" w:before="6"/>
              <w:ind w:left="241"/>
              <w:jc w:val="left"/>
              <w:rPr>
                <w:rFonts w:ascii="Times New Roman" w:eastAsia="Times New Roman"/>
                <w:b/>
                <w:sz w:val="21"/>
              </w:rPr>
            </w:pPr>
            <w:r>
              <w:rPr>
                <w:b/>
                <w:sz w:val="21"/>
              </w:rPr>
              <w:t>集气量 </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/h</w:t>
            </w:r>
          </w:p>
        </w:tc>
      </w:tr>
      <w:tr>
        <w:trPr>
          <w:trHeight w:val="285" w:hRule="atLeast"/>
        </w:trPr>
        <w:tc>
          <w:tcPr>
            <w:tcW w:w="994" w:type="dxa"/>
          </w:tcPr>
          <w:p>
            <w:pPr>
              <w:pStyle w:val="TableParagraph"/>
              <w:jc w:val="left"/>
              <w:rPr>
                <w:rFonts w:ascii="Times New Roman"/>
                <w:sz w:val="20"/>
              </w:rPr>
            </w:pPr>
          </w:p>
        </w:tc>
        <w:tc>
          <w:tcPr>
            <w:tcW w:w="2264" w:type="dxa"/>
          </w:tcPr>
          <w:p>
            <w:pPr>
              <w:pStyle w:val="TableParagraph"/>
              <w:spacing w:line="257" w:lineRule="exact" w:before="8"/>
              <w:ind w:right="697"/>
              <w:jc w:val="right"/>
              <w:rPr>
                <w:b/>
                <w:sz w:val="21"/>
              </w:rPr>
            </w:pPr>
            <w:r>
              <w:rPr>
                <w:b/>
                <w:color w:val="FF0000"/>
                <w:sz w:val="21"/>
              </w:rPr>
              <w:t>涉密删除</w:t>
            </w:r>
          </w:p>
        </w:tc>
        <w:tc>
          <w:tcPr>
            <w:tcW w:w="2943" w:type="dxa"/>
          </w:tcPr>
          <w:p>
            <w:pPr>
              <w:pStyle w:val="TableParagraph"/>
              <w:jc w:val="left"/>
              <w:rPr>
                <w:rFonts w:ascii="Times New Roman"/>
                <w:sz w:val="20"/>
              </w:rPr>
            </w:pPr>
          </w:p>
        </w:tc>
        <w:tc>
          <w:tcPr>
            <w:tcW w:w="1236" w:type="dxa"/>
          </w:tcPr>
          <w:p>
            <w:pPr>
              <w:pStyle w:val="TableParagraph"/>
              <w:jc w:val="left"/>
              <w:rPr>
                <w:rFonts w:ascii="Times New Roman"/>
                <w:sz w:val="20"/>
              </w:rPr>
            </w:pPr>
          </w:p>
        </w:tc>
        <w:tc>
          <w:tcPr>
            <w:tcW w:w="1647" w:type="dxa"/>
          </w:tcPr>
          <w:p>
            <w:pPr>
              <w:pStyle w:val="TableParagraph"/>
              <w:jc w:val="left"/>
              <w:rPr>
                <w:rFonts w:ascii="Times New Roman"/>
                <w:sz w:val="20"/>
              </w:rPr>
            </w:pPr>
          </w:p>
        </w:tc>
      </w:tr>
      <w:tr>
        <w:trPr>
          <w:trHeight w:val="282" w:hRule="atLeast"/>
        </w:trPr>
        <w:tc>
          <w:tcPr>
            <w:tcW w:w="994"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2943" w:type="dxa"/>
          </w:tcPr>
          <w:p>
            <w:pPr>
              <w:pStyle w:val="TableParagraph"/>
              <w:jc w:val="left"/>
              <w:rPr>
                <w:rFonts w:ascii="Times New Roman"/>
                <w:sz w:val="20"/>
              </w:rPr>
            </w:pPr>
          </w:p>
        </w:tc>
        <w:tc>
          <w:tcPr>
            <w:tcW w:w="1236" w:type="dxa"/>
          </w:tcPr>
          <w:p>
            <w:pPr>
              <w:pStyle w:val="TableParagraph"/>
              <w:jc w:val="left"/>
              <w:rPr>
                <w:rFonts w:ascii="Times New Roman"/>
                <w:sz w:val="20"/>
              </w:rPr>
            </w:pPr>
          </w:p>
        </w:tc>
        <w:tc>
          <w:tcPr>
            <w:tcW w:w="1647" w:type="dxa"/>
          </w:tcPr>
          <w:p>
            <w:pPr>
              <w:pStyle w:val="TableParagraph"/>
              <w:jc w:val="left"/>
              <w:rPr>
                <w:rFonts w:ascii="Times New Roman"/>
                <w:sz w:val="20"/>
              </w:rPr>
            </w:pPr>
          </w:p>
        </w:tc>
      </w:tr>
      <w:tr>
        <w:trPr>
          <w:trHeight w:val="285" w:hRule="atLeast"/>
        </w:trPr>
        <w:tc>
          <w:tcPr>
            <w:tcW w:w="994"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2943" w:type="dxa"/>
          </w:tcPr>
          <w:p>
            <w:pPr>
              <w:pStyle w:val="TableParagraph"/>
              <w:jc w:val="left"/>
              <w:rPr>
                <w:rFonts w:ascii="Times New Roman"/>
                <w:sz w:val="20"/>
              </w:rPr>
            </w:pPr>
          </w:p>
        </w:tc>
        <w:tc>
          <w:tcPr>
            <w:tcW w:w="1236" w:type="dxa"/>
          </w:tcPr>
          <w:p>
            <w:pPr>
              <w:pStyle w:val="TableParagraph"/>
              <w:jc w:val="left"/>
              <w:rPr>
                <w:rFonts w:ascii="Times New Roman"/>
                <w:sz w:val="20"/>
              </w:rPr>
            </w:pPr>
          </w:p>
        </w:tc>
        <w:tc>
          <w:tcPr>
            <w:tcW w:w="1647" w:type="dxa"/>
          </w:tcPr>
          <w:p>
            <w:pPr>
              <w:pStyle w:val="TableParagraph"/>
              <w:jc w:val="left"/>
              <w:rPr>
                <w:rFonts w:ascii="Times New Roman"/>
                <w:sz w:val="20"/>
              </w:rPr>
            </w:pPr>
          </w:p>
        </w:tc>
      </w:tr>
      <w:tr>
        <w:trPr>
          <w:trHeight w:val="282" w:hRule="atLeast"/>
        </w:trPr>
        <w:tc>
          <w:tcPr>
            <w:tcW w:w="994"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2943" w:type="dxa"/>
          </w:tcPr>
          <w:p>
            <w:pPr>
              <w:pStyle w:val="TableParagraph"/>
              <w:jc w:val="left"/>
              <w:rPr>
                <w:rFonts w:ascii="Times New Roman"/>
                <w:sz w:val="20"/>
              </w:rPr>
            </w:pPr>
          </w:p>
        </w:tc>
        <w:tc>
          <w:tcPr>
            <w:tcW w:w="1236" w:type="dxa"/>
          </w:tcPr>
          <w:p>
            <w:pPr>
              <w:pStyle w:val="TableParagraph"/>
              <w:jc w:val="left"/>
              <w:rPr>
                <w:rFonts w:ascii="Times New Roman"/>
                <w:sz w:val="20"/>
              </w:rPr>
            </w:pPr>
          </w:p>
        </w:tc>
        <w:tc>
          <w:tcPr>
            <w:tcW w:w="1647" w:type="dxa"/>
          </w:tcPr>
          <w:p>
            <w:pPr>
              <w:pStyle w:val="TableParagraph"/>
              <w:jc w:val="left"/>
              <w:rPr>
                <w:rFonts w:ascii="Times New Roman"/>
                <w:sz w:val="20"/>
              </w:rPr>
            </w:pPr>
          </w:p>
        </w:tc>
      </w:tr>
      <w:tr>
        <w:trPr>
          <w:trHeight w:val="285" w:hRule="atLeast"/>
        </w:trPr>
        <w:tc>
          <w:tcPr>
            <w:tcW w:w="994"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2943" w:type="dxa"/>
          </w:tcPr>
          <w:p>
            <w:pPr>
              <w:pStyle w:val="TableParagraph"/>
              <w:jc w:val="left"/>
              <w:rPr>
                <w:rFonts w:ascii="Times New Roman"/>
                <w:sz w:val="20"/>
              </w:rPr>
            </w:pPr>
          </w:p>
        </w:tc>
        <w:tc>
          <w:tcPr>
            <w:tcW w:w="1236" w:type="dxa"/>
          </w:tcPr>
          <w:p>
            <w:pPr>
              <w:pStyle w:val="TableParagraph"/>
              <w:jc w:val="left"/>
              <w:rPr>
                <w:rFonts w:ascii="Times New Roman"/>
                <w:sz w:val="20"/>
              </w:rPr>
            </w:pPr>
          </w:p>
        </w:tc>
        <w:tc>
          <w:tcPr>
            <w:tcW w:w="1647" w:type="dxa"/>
          </w:tcPr>
          <w:p>
            <w:pPr>
              <w:pStyle w:val="TableParagraph"/>
              <w:jc w:val="left"/>
              <w:rPr>
                <w:rFonts w:ascii="Times New Roman"/>
                <w:sz w:val="20"/>
              </w:rPr>
            </w:pPr>
          </w:p>
        </w:tc>
      </w:tr>
      <w:tr>
        <w:trPr>
          <w:trHeight w:val="282" w:hRule="atLeast"/>
        </w:trPr>
        <w:tc>
          <w:tcPr>
            <w:tcW w:w="994" w:type="dxa"/>
          </w:tcPr>
          <w:p>
            <w:pPr>
              <w:pStyle w:val="TableParagraph"/>
              <w:jc w:val="left"/>
              <w:rPr>
                <w:rFonts w:ascii="Times New Roman"/>
                <w:sz w:val="20"/>
              </w:rPr>
            </w:pPr>
          </w:p>
        </w:tc>
        <w:tc>
          <w:tcPr>
            <w:tcW w:w="2264" w:type="dxa"/>
          </w:tcPr>
          <w:p>
            <w:pPr>
              <w:pStyle w:val="TableParagraph"/>
              <w:jc w:val="left"/>
              <w:rPr>
                <w:rFonts w:ascii="Times New Roman"/>
                <w:sz w:val="20"/>
              </w:rPr>
            </w:pPr>
          </w:p>
        </w:tc>
        <w:tc>
          <w:tcPr>
            <w:tcW w:w="2943" w:type="dxa"/>
          </w:tcPr>
          <w:p>
            <w:pPr>
              <w:pStyle w:val="TableParagraph"/>
              <w:jc w:val="left"/>
              <w:rPr>
                <w:rFonts w:ascii="Times New Roman"/>
                <w:sz w:val="20"/>
              </w:rPr>
            </w:pPr>
          </w:p>
        </w:tc>
        <w:tc>
          <w:tcPr>
            <w:tcW w:w="1236" w:type="dxa"/>
          </w:tcPr>
          <w:p>
            <w:pPr>
              <w:pStyle w:val="TableParagraph"/>
              <w:jc w:val="left"/>
              <w:rPr>
                <w:rFonts w:ascii="Times New Roman"/>
                <w:sz w:val="20"/>
              </w:rPr>
            </w:pPr>
          </w:p>
        </w:tc>
        <w:tc>
          <w:tcPr>
            <w:tcW w:w="1647" w:type="dxa"/>
          </w:tcPr>
          <w:p>
            <w:pPr>
              <w:pStyle w:val="TableParagraph"/>
              <w:jc w:val="left"/>
              <w:rPr>
                <w:rFonts w:ascii="Times New Roman"/>
                <w:sz w:val="20"/>
              </w:rPr>
            </w:pPr>
          </w:p>
        </w:tc>
      </w:tr>
      <w:tr>
        <w:trPr>
          <w:trHeight w:val="285" w:hRule="atLeast"/>
        </w:trPr>
        <w:tc>
          <w:tcPr>
            <w:tcW w:w="994" w:type="dxa"/>
          </w:tcPr>
          <w:p>
            <w:pPr>
              <w:pStyle w:val="TableParagraph"/>
              <w:jc w:val="left"/>
              <w:rPr>
                <w:rFonts w:ascii="Times New Roman"/>
                <w:sz w:val="20"/>
              </w:rPr>
            </w:pPr>
          </w:p>
        </w:tc>
        <w:tc>
          <w:tcPr>
            <w:tcW w:w="6443" w:type="dxa"/>
            <w:gridSpan w:val="3"/>
          </w:tcPr>
          <w:p>
            <w:pPr>
              <w:pStyle w:val="TableParagraph"/>
              <w:jc w:val="left"/>
              <w:rPr>
                <w:rFonts w:ascii="Times New Roman"/>
                <w:sz w:val="20"/>
              </w:rPr>
            </w:pPr>
          </w:p>
        </w:tc>
        <w:tc>
          <w:tcPr>
            <w:tcW w:w="1647" w:type="dxa"/>
          </w:tcPr>
          <w:p>
            <w:pPr>
              <w:pStyle w:val="TableParagraph"/>
              <w:jc w:val="left"/>
              <w:rPr>
                <w:rFonts w:ascii="Times New Roman"/>
                <w:sz w:val="20"/>
              </w:rPr>
            </w:pPr>
          </w:p>
        </w:tc>
      </w:tr>
    </w:tbl>
    <w:p>
      <w:pPr>
        <w:pStyle w:val="BodyText"/>
        <w:spacing w:before="2"/>
        <w:ind w:left="738"/>
      </w:pPr>
      <w:r>
        <w:rPr/>
        <w:t>③污水站废气</w:t>
      </w:r>
    </w:p>
    <w:p>
      <w:pPr>
        <w:pStyle w:val="BodyText"/>
        <w:spacing w:line="364" w:lineRule="auto" w:before="158"/>
        <w:ind w:left="258" w:right="280" w:firstLine="480"/>
      </w:pPr>
      <w:r>
        <w:rPr/>
        <w:t>本项目涉及的污水站构筑物面积约为 </w:t>
      </w:r>
      <w:r>
        <w:rPr>
          <w:rFonts w:ascii="Times New Roman" w:eastAsia="Times New Roman"/>
        </w:rPr>
        <w:t>850m</w:t>
      </w:r>
      <w:r>
        <w:rPr>
          <w:rFonts w:ascii="Times New Roman" w:eastAsia="Times New Roman"/>
          <w:position w:val="9"/>
          <w:sz w:val="16"/>
        </w:rPr>
        <w:t>2</w:t>
      </w:r>
      <w:r>
        <w:rPr/>
        <w:t>，加盖高度 </w:t>
      </w:r>
      <w:r>
        <w:rPr>
          <w:rFonts w:ascii="Times New Roman" w:eastAsia="Times New Roman"/>
        </w:rPr>
        <w:t>1m</w:t>
      </w:r>
      <w:r>
        <w:rPr/>
        <w:t>，换气次数按照 </w:t>
      </w:r>
      <w:r>
        <w:rPr>
          <w:rFonts w:ascii="Times New Roman" w:eastAsia="Times New Roman"/>
        </w:rPr>
        <w:t>4 </w:t>
      </w:r>
      <w:r>
        <w:rPr/>
        <w:t>次</w:t>
      </w:r>
      <w:r>
        <w:rPr>
          <w:rFonts w:ascii="Times New Roman" w:eastAsia="Times New Roman"/>
        </w:rPr>
        <w:t>/h </w:t>
      </w:r>
      <w:r>
        <w:rPr/>
        <w:t>计算，所需集气量约为 </w:t>
      </w:r>
      <w:r>
        <w:rPr>
          <w:rFonts w:ascii="Times New Roman" w:eastAsia="Times New Roman"/>
        </w:rPr>
        <w:t>3400m</w:t>
      </w:r>
      <w:r>
        <w:rPr>
          <w:rFonts w:ascii="Times New Roman" w:eastAsia="Times New Roman"/>
          <w:position w:val="9"/>
          <w:sz w:val="16"/>
        </w:rPr>
        <w:t>3</w:t>
      </w:r>
      <w:r>
        <w:rPr>
          <w:rFonts w:ascii="Times New Roman" w:eastAsia="Times New Roman"/>
        </w:rPr>
        <w:t>/h</w:t>
      </w:r>
      <w:r>
        <w:rPr/>
        <w:t>，设计集气量按照 </w:t>
      </w:r>
      <w:r>
        <w:rPr>
          <w:rFonts w:ascii="Times New Roman" w:eastAsia="Times New Roman"/>
        </w:rPr>
        <w:t>3400m</w:t>
      </w:r>
      <w:r>
        <w:rPr>
          <w:rFonts w:ascii="Times New Roman" w:eastAsia="Times New Roman"/>
          <w:position w:val="9"/>
          <w:sz w:val="16"/>
        </w:rPr>
        <w:t>3</w:t>
      </w:r>
      <w:r>
        <w:rPr>
          <w:rFonts w:ascii="Times New Roman" w:eastAsia="Times New Roman"/>
        </w:rPr>
        <w:t>/h </w:t>
      </w:r>
      <w:r>
        <w:rPr/>
        <w:t>的气量。</w:t>
      </w:r>
    </w:p>
    <w:p>
      <w:pPr>
        <w:pStyle w:val="BodyText"/>
        <w:spacing w:line="307" w:lineRule="exact"/>
        <w:ind w:left="738"/>
      </w:pPr>
      <w:r>
        <w:rPr/>
        <w:t>④危废间废气</w:t>
      </w:r>
    </w:p>
    <w:p>
      <w:pPr>
        <w:pStyle w:val="BodyText"/>
        <w:spacing w:line="364" w:lineRule="auto" w:before="161"/>
        <w:ind w:left="258" w:right="332" w:firstLine="480"/>
        <w:jc w:val="both"/>
      </w:pPr>
      <w:r>
        <w:rPr>
          <w:spacing w:val="-5"/>
        </w:rPr>
        <w:t>根据企业提供的资料，企业危废间尺寸为 </w:t>
      </w:r>
      <w:r>
        <w:rPr>
          <w:rFonts w:ascii="Times New Roman" w:hAnsi="Times New Roman" w:eastAsia="Times New Roman"/>
          <w:spacing w:val="-5"/>
        </w:rPr>
        <w:t>36m×18m×3.5m </w:t>
      </w:r>
      <w:r>
        <w:rPr>
          <w:spacing w:val="-6"/>
        </w:rPr>
        <w:t>，本项目在危废间内设置</w:t>
      </w:r>
      <w:r>
        <w:rPr>
          <w:spacing w:val="-10"/>
        </w:rPr>
        <w:t>隔间，隔间占地面积为 </w:t>
      </w:r>
      <w:r>
        <w:rPr>
          <w:rFonts w:ascii="Times New Roman" w:hAnsi="Times New Roman" w:eastAsia="Times New Roman"/>
          <w:spacing w:val="-3"/>
        </w:rPr>
        <w:t>90m</w:t>
      </w:r>
      <w:r>
        <w:rPr>
          <w:rFonts w:ascii="Times New Roman" w:hAnsi="Times New Roman" w:eastAsia="Times New Roman"/>
          <w:spacing w:val="-3"/>
          <w:position w:val="9"/>
          <w:sz w:val="16"/>
        </w:rPr>
        <w:t>2</w:t>
      </w:r>
      <w:r>
        <w:rPr>
          <w:spacing w:val="-10"/>
        </w:rPr>
        <w:t>，换气次数按照 </w:t>
      </w:r>
      <w:r>
        <w:rPr>
          <w:rFonts w:ascii="Times New Roman" w:hAnsi="Times New Roman" w:eastAsia="Times New Roman"/>
        </w:rPr>
        <w:t>10 </w:t>
      </w:r>
      <w:r>
        <w:rPr/>
        <w:t>次</w:t>
      </w:r>
      <w:r>
        <w:rPr>
          <w:rFonts w:ascii="Times New Roman" w:hAnsi="Times New Roman" w:eastAsia="Times New Roman"/>
        </w:rPr>
        <w:t>/h </w:t>
      </w:r>
      <w:r>
        <w:rPr>
          <w:spacing w:val="-11"/>
        </w:rPr>
        <w:t>计算，所需集气量 </w:t>
      </w:r>
      <w:r>
        <w:rPr>
          <w:rFonts w:ascii="Times New Roman" w:hAnsi="Times New Roman" w:eastAsia="Times New Roman"/>
        </w:rPr>
        <w:t>3150m</w:t>
      </w:r>
      <w:r>
        <w:rPr>
          <w:rFonts w:ascii="Times New Roman" w:hAnsi="Times New Roman" w:eastAsia="Times New Roman"/>
          <w:position w:val="9"/>
          <w:sz w:val="16"/>
        </w:rPr>
        <w:t>3</w:t>
      </w:r>
      <w:r>
        <w:rPr>
          <w:rFonts w:ascii="Times New Roman" w:hAnsi="Times New Roman" w:eastAsia="Times New Roman"/>
        </w:rPr>
        <w:t>/h</w:t>
      </w:r>
      <w:r>
        <w:rPr>
          <w:spacing w:val="-4"/>
        </w:rPr>
        <w:t>，设计</w:t>
      </w:r>
      <w:r>
        <w:rPr>
          <w:spacing w:val="-11"/>
        </w:rPr>
        <w:t>集气量按照 </w:t>
      </w:r>
      <w:r>
        <w:rPr>
          <w:rFonts w:ascii="Times New Roman" w:hAnsi="Times New Roman" w:eastAsia="Times New Roman"/>
        </w:rPr>
        <w:t>3150m</w:t>
      </w:r>
      <w:r>
        <w:rPr>
          <w:rFonts w:ascii="Times New Roman" w:hAnsi="Times New Roman" w:eastAsia="Times New Roman"/>
          <w:position w:val="9"/>
          <w:sz w:val="16"/>
        </w:rPr>
        <w:t>3</w:t>
      </w:r>
      <w:r>
        <w:rPr>
          <w:rFonts w:ascii="Times New Roman" w:hAnsi="Times New Roman" w:eastAsia="Times New Roman"/>
        </w:rPr>
        <w:t>/h </w:t>
      </w:r>
      <w:r>
        <w:rPr/>
        <w:t>的气量。</w:t>
      </w:r>
    </w:p>
    <w:p>
      <w:pPr>
        <w:pStyle w:val="BodyText"/>
        <w:spacing w:line="304" w:lineRule="exact"/>
        <w:ind w:left="738"/>
      </w:pPr>
      <w:r>
        <w:rPr/>
        <w:t>根据估算，工艺废气进入废气集中处理装置最大风量为新增风量加上管道损失</w:t>
      </w:r>
    </w:p>
    <w:p>
      <w:pPr>
        <w:pStyle w:val="BodyText"/>
        <w:spacing w:line="362" w:lineRule="auto" w:before="160"/>
        <w:ind w:left="258" w:right="334"/>
      </w:pPr>
      <w:r>
        <w:rPr>
          <w:rFonts w:ascii="Times New Roman" w:eastAsia="Times New Roman"/>
        </w:rPr>
        <w:t>~4500 </w:t>
      </w:r>
      <w:r>
        <w:rPr>
          <w:rFonts w:ascii="Times New Roman" w:eastAsia="Times New Roman"/>
          <w:spacing w:val="-11"/>
        </w:rPr>
        <w:t>m</w:t>
      </w:r>
      <w:r>
        <w:rPr>
          <w:rFonts w:ascii="Times New Roman" w:eastAsia="Times New Roman"/>
          <w:spacing w:val="-11"/>
          <w:position w:val="9"/>
          <w:sz w:val="16"/>
        </w:rPr>
        <w:t>3</w:t>
      </w:r>
      <w:r>
        <w:rPr>
          <w:rFonts w:ascii="Times New Roman" w:eastAsia="Times New Roman"/>
          <w:spacing w:val="-11"/>
        </w:rPr>
        <w:t>/h</w:t>
      </w:r>
      <w:r>
        <w:rPr>
          <w:spacing w:val="-9"/>
        </w:rPr>
        <w:t>，污水站、危废间及储罐废气进入一级次钠</w:t>
      </w:r>
      <w:r>
        <w:rPr>
          <w:rFonts w:ascii="Times New Roman" w:eastAsia="Times New Roman"/>
        </w:rPr>
        <w:t>+</w:t>
      </w:r>
      <w:r>
        <w:rPr>
          <w:spacing w:val="-1"/>
        </w:rPr>
        <w:t>一级喷淋装置最大风量新增风量</w:t>
      </w:r>
      <w:r>
        <w:rPr/>
        <w:t>加上管道损失</w:t>
      </w:r>
      <w:r>
        <w:rPr>
          <w:rFonts w:ascii="Times New Roman" w:eastAsia="Times New Roman"/>
        </w:rPr>
        <w:t>~7000 m</w:t>
      </w:r>
      <w:r>
        <w:rPr>
          <w:rFonts w:ascii="Times New Roman" w:eastAsia="Times New Roman"/>
          <w:position w:val="9"/>
          <w:sz w:val="16"/>
        </w:rPr>
        <w:t>3</w:t>
      </w:r>
      <w:r>
        <w:rPr>
          <w:rFonts w:ascii="Times New Roman" w:eastAsia="Times New Roman"/>
        </w:rPr>
        <w:t>/h</w:t>
      </w:r>
      <w:r>
        <w:rPr/>
        <w:t>。</w:t>
      </w:r>
    </w:p>
    <w:p>
      <w:pPr>
        <w:pStyle w:val="Heading4"/>
        <w:spacing w:before="6"/>
        <w:ind w:left="741"/>
      </w:pPr>
      <w:r>
        <w:rPr>
          <w:rFonts w:ascii="Times New Roman" w:eastAsia="Times New Roman"/>
        </w:rPr>
        <w:t>3</w:t>
      </w:r>
      <w:r>
        <w:rPr/>
        <w:t>、废气处理措施</w:t>
      </w:r>
    </w:p>
    <w:p>
      <w:pPr>
        <w:pStyle w:val="BodyText"/>
        <w:spacing w:before="7"/>
        <w:rPr>
          <w:b/>
          <w:sz w:val="23"/>
        </w:rPr>
      </w:pPr>
    </w:p>
    <w:p>
      <w:pPr>
        <w:tabs>
          <w:tab w:pos="1221" w:val="left" w:leader="none"/>
        </w:tabs>
        <w:spacing w:before="0" w:after="29"/>
        <w:ind w:left="0" w:right="74" w:firstLine="0"/>
        <w:jc w:val="center"/>
        <w:rPr>
          <w:b/>
          <w:sz w:val="24"/>
        </w:rPr>
      </w:pPr>
      <w:r>
        <w:rPr>
          <w:b/>
          <w:sz w:val="24"/>
        </w:rPr>
        <w:t>表</w:t>
      </w:r>
      <w:r>
        <w:rPr>
          <w:b/>
          <w:spacing w:val="-60"/>
          <w:sz w:val="24"/>
        </w:rPr>
        <w:t> </w:t>
      </w:r>
      <w:r>
        <w:rPr>
          <w:rFonts w:ascii="Times New Roman" w:eastAsia="Times New Roman"/>
          <w:b/>
          <w:sz w:val="24"/>
        </w:rPr>
        <w:t>5.2.1-4</w:t>
        <w:tab/>
      </w:r>
      <w:r>
        <w:rPr>
          <w:b/>
          <w:sz w:val="24"/>
        </w:rPr>
        <w:t>项目废气处理措施</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6"/>
        <w:gridCol w:w="991"/>
        <w:gridCol w:w="1702"/>
        <w:gridCol w:w="1418"/>
        <w:gridCol w:w="3975"/>
      </w:tblGrid>
      <w:tr>
        <w:trPr>
          <w:trHeight w:val="282" w:hRule="atLeast"/>
        </w:trPr>
        <w:tc>
          <w:tcPr>
            <w:tcW w:w="996" w:type="dxa"/>
          </w:tcPr>
          <w:p>
            <w:pPr>
              <w:pStyle w:val="TableParagraph"/>
              <w:spacing w:line="257" w:lineRule="exact" w:before="5"/>
              <w:ind w:left="53" w:right="46"/>
              <w:rPr>
                <w:b/>
                <w:sz w:val="21"/>
              </w:rPr>
            </w:pPr>
            <w:r>
              <w:rPr>
                <w:b/>
                <w:sz w:val="21"/>
              </w:rPr>
              <w:t>来源</w:t>
            </w:r>
          </w:p>
        </w:tc>
        <w:tc>
          <w:tcPr>
            <w:tcW w:w="991" w:type="dxa"/>
          </w:tcPr>
          <w:p>
            <w:pPr>
              <w:pStyle w:val="TableParagraph"/>
              <w:spacing w:line="257" w:lineRule="exact" w:before="5"/>
              <w:ind w:left="7"/>
              <w:rPr>
                <w:b/>
                <w:sz w:val="21"/>
              </w:rPr>
            </w:pPr>
            <w:r>
              <w:rPr>
                <w:b/>
                <w:sz w:val="21"/>
              </w:rPr>
              <w:t>编号</w:t>
            </w:r>
          </w:p>
        </w:tc>
        <w:tc>
          <w:tcPr>
            <w:tcW w:w="1702" w:type="dxa"/>
          </w:tcPr>
          <w:p>
            <w:pPr>
              <w:pStyle w:val="TableParagraph"/>
              <w:spacing w:line="257" w:lineRule="exact" w:before="5"/>
              <w:ind w:left="11"/>
              <w:rPr>
                <w:b/>
                <w:sz w:val="21"/>
              </w:rPr>
            </w:pPr>
            <w:r>
              <w:rPr>
                <w:b/>
                <w:sz w:val="21"/>
              </w:rPr>
              <w:t>产生工序</w:t>
            </w:r>
          </w:p>
        </w:tc>
        <w:tc>
          <w:tcPr>
            <w:tcW w:w="1418" w:type="dxa"/>
          </w:tcPr>
          <w:p>
            <w:pPr>
              <w:pStyle w:val="TableParagraph"/>
              <w:spacing w:line="257" w:lineRule="exact" w:before="5"/>
              <w:ind w:left="8"/>
              <w:rPr>
                <w:b/>
                <w:sz w:val="21"/>
              </w:rPr>
            </w:pPr>
            <w:r>
              <w:rPr>
                <w:b/>
                <w:sz w:val="21"/>
              </w:rPr>
              <w:t>废气名称</w:t>
            </w:r>
          </w:p>
        </w:tc>
        <w:tc>
          <w:tcPr>
            <w:tcW w:w="3975" w:type="dxa"/>
          </w:tcPr>
          <w:p>
            <w:pPr>
              <w:pStyle w:val="TableParagraph"/>
              <w:spacing w:line="257" w:lineRule="exact" w:before="5"/>
              <w:ind w:left="13" w:right="2"/>
              <w:rPr>
                <w:b/>
                <w:sz w:val="21"/>
              </w:rPr>
            </w:pPr>
            <w:r>
              <w:rPr>
                <w:b/>
                <w:sz w:val="21"/>
              </w:rPr>
              <w:t>处置方式</w:t>
            </w:r>
          </w:p>
        </w:tc>
      </w:tr>
      <w:tr>
        <w:trPr>
          <w:trHeight w:val="513" w:hRule="atLeast"/>
        </w:trPr>
        <w:tc>
          <w:tcPr>
            <w:tcW w:w="996"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31"/>
              <w:ind w:left="179"/>
              <w:jc w:val="left"/>
              <w:rPr>
                <w:sz w:val="21"/>
              </w:rPr>
            </w:pPr>
            <w:r>
              <w:rPr>
                <w:sz w:val="21"/>
              </w:rPr>
              <w:t>三环唑</w:t>
            </w:r>
          </w:p>
        </w:tc>
        <w:tc>
          <w:tcPr>
            <w:tcW w:w="991" w:type="dxa"/>
          </w:tcPr>
          <w:p>
            <w:pPr>
              <w:pStyle w:val="TableParagraph"/>
              <w:spacing w:before="137"/>
              <w:ind w:left="7"/>
              <w:rPr>
                <w:rFonts w:ascii="Times New Roman"/>
                <w:sz w:val="21"/>
              </w:rPr>
            </w:pPr>
            <w:r>
              <w:rPr>
                <w:rFonts w:ascii="Times New Roman"/>
                <w:sz w:val="21"/>
              </w:rPr>
              <w:t>Ga-1</w:t>
            </w:r>
          </w:p>
        </w:tc>
        <w:tc>
          <w:tcPr>
            <w:tcW w:w="1702" w:type="dxa"/>
          </w:tcPr>
          <w:p>
            <w:pPr>
              <w:pStyle w:val="TableParagraph"/>
              <w:spacing w:before="123"/>
              <w:ind w:left="13"/>
              <w:rPr>
                <w:sz w:val="21"/>
              </w:rPr>
            </w:pPr>
            <w:r>
              <w:rPr>
                <w:sz w:val="21"/>
              </w:rPr>
              <w:t>包装</w:t>
            </w:r>
          </w:p>
        </w:tc>
        <w:tc>
          <w:tcPr>
            <w:tcW w:w="1418" w:type="dxa"/>
          </w:tcPr>
          <w:p>
            <w:pPr>
              <w:pStyle w:val="TableParagraph"/>
              <w:spacing w:before="123"/>
              <w:ind w:left="8"/>
              <w:rPr>
                <w:sz w:val="21"/>
              </w:rPr>
            </w:pPr>
            <w:r>
              <w:rPr>
                <w:sz w:val="21"/>
              </w:rPr>
              <w:t>粉尘</w:t>
            </w:r>
          </w:p>
        </w:tc>
        <w:tc>
          <w:tcPr>
            <w:tcW w:w="3975" w:type="dxa"/>
          </w:tcPr>
          <w:p>
            <w:pPr>
              <w:pStyle w:val="TableParagraph"/>
              <w:spacing w:before="1"/>
              <w:ind w:left="13" w:right="2"/>
              <w:rPr>
                <w:sz w:val="21"/>
              </w:rPr>
            </w:pPr>
            <w:r>
              <w:rPr>
                <w:sz w:val="21"/>
              </w:rPr>
              <w:t>布袋除尘</w:t>
            </w:r>
            <w:r>
              <w:rPr>
                <w:rFonts w:ascii="Times New Roman" w:eastAsia="Times New Roman"/>
                <w:sz w:val="21"/>
              </w:rPr>
              <w:t>+</w:t>
            </w:r>
            <w:r>
              <w:rPr>
                <w:sz w:val="21"/>
              </w:rPr>
              <w:t>废气集中处理装置</w:t>
            </w:r>
            <w:r>
              <w:rPr>
                <w:rFonts w:ascii="Times New Roman" w:eastAsia="Times New Roman"/>
                <w:sz w:val="21"/>
              </w:rPr>
              <w:t>+</w:t>
            </w:r>
            <w:r>
              <w:rPr>
                <w:sz w:val="21"/>
              </w:rPr>
              <w:t>排气筒</w:t>
            </w:r>
          </w:p>
          <w:p>
            <w:pPr>
              <w:pStyle w:val="TableParagraph"/>
              <w:spacing w:line="221" w:lineRule="exact" w:before="1"/>
              <w:ind w:left="15" w:right="2"/>
              <w:rPr>
                <w:rFonts w:ascii="Times New Roman"/>
                <w:sz w:val="21"/>
              </w:rPr>
            </w:pPr>
            <w:r>
              <w:rPr>
                <w:rFonts w:ascii="Times New Roman"/>
                <w:sz w:val="21"/>
              </w:rPr>
              <w:t>DA004</w:t>
            </w:r>
          </w:p>
        </w:tc>
      </w:tr>
      <w:tr>
        <w:trPr>
          <w:trHeight w:val="285" w:hRule="atLeast"/>
        </w:trPr>
        <w:tc>
          <w:tcPr>
            <w:tcW w:w="996" w:type="dxa"/>
            <w:vMerge/>
            <w:tcBorders>
              <w:top w:val="nil"/>
            </w:tcBorders>
          </w:tcPr>
          <w:p>
            <w:pPr>
              <w:rPr>
                <w:sz w:val="2"/>
                <w:szCs w:val="2"/>
              </w:rPr>
            </w:pPr>
          </w:p>
        </w:tc>
        <w:tc>
          <w:tcPr>
            <w:tcW w:w="991" w:type="dxa"/>
          </w:tcPr>
          <w:p>
            <w:pPr>
              <w:pStyle w:val="TableParagraph"/>
              <w:spacing w:before="22"/>
              <w:ind w:left="7"/>
              <w:rPr>
                <w:rFonts w:ascii="Times New Roman"/>
                <w:sz w:val="21"/>
              </w:rPr>
            </w:pPr>
            <w:r>
              <w:rPr>
                <w:rFonts w:ascii="Times New Roman"/>
                <w:sz w:val="21"/>
              </w:rPr>
              <w:t>Ga-2</w:t>
            </w:r>
          </w:p>
        </w:tc>
        <w:tc>
          <w:tcPr>
            <w:tcW w:w="1702" w:type="dxa"/>
          </w:tcPr>
          <w:p>
            <w:pPr>
              <w:pStyle w:val="TableParagraph"/>
              <w:spacing w:line="257" w:lineRule="exact" w:before="8"/>
              <w:ind w:left="13"/>
              <w:rPr>
                <w:sz w:val="21"/>
              </w:rPr>
            </w:pPr>
            <w:r>
              <w:rPr>
                <w:sz w:val="21"/>
              </w:rPr>
              <w:t>配酸</w:t>
            </w:r>
          </w:p>
        </w:tc>
        <w:tc>
          <w:tcPr>
            <w:tcW w:w="1418" w:type="dxa"/>
          </w:tcPr>
          <w:p>
            <w:pPr>
              <w:pStyle w:val="TableParagraph"/>
              <w:spacing w:line="257" w:lineRule="exact" w:before="8"/>
              <w:ind w:left="8"/>
              <w:rPr>
                <w:sz w:val="21"/>
              </w:rPr>
            </w:pPr>
            <w:r>
              <w:rPr>
                <w:sz w:val="21"/>
              </w:rPr>
              <w:t>甲酸</w:t>
            </w:r>
          </w:p>
        </w:tc>
        <w:tc>
          <w:tcPr>
            <w:tcW w:w="3975" w:type="dxa"/>
            <w:vMerge w:val="restart"/>
          </w:tcPr>
          <w:p>
            <w:pPr>
              <w:pStyle w:val="TableParagraph"/>
              <w:jc w:val="left"/>
              <w:rPr>
                <w:b/>
                <w:sz w:val="22"/>
              </w:rPr>
            </w:pPr>
          </w:p>
          <w:p>
            <w:pPr>
              <w:pStyle w:val="TableParagraph"/>
              <w:jc w:val="left"/>
              <w:rPr>
                <w:b/>
                <w:sz w:val="22"/>
              </w:rPr>
            </w:pPr>
          </w:p>
          <w:p>
            <w:pPr>
              <w:pStyle w:val="TableParagraph"/>
              <w:spacing w:before="4"/>
              <w:jc w:val="left"/>
              <w:rPr>
                <w:b/>
                <w:sz w:val="25"/>
              </w:rPr>
            </w:pPr>
          </w:p>
          <w:p>
            <w:pPr>
              <w:pStyle w:val="TableParagraph"/>
              <w:spacing w:before="1"/>
              <w:ind w:left="168"/>
              <w:jc w:val="left"/>
              <w:rPr>
                <w:rFonts w:ascii="Times New Roman" w:eastAsia="Times New Roman"/>
                <w:sz w:val="21"/>
              </w:rPr>
            </w:pPr>
            <w:r>
              <w:rPr>
                <w:sz w:val="21"/>
              </w:rPr>
              <w:t>冷凝</w:t>
            </w:r>
            <w:r>
              <w:rPr>
                <w:rFonts w:ascii="Times New Roman" w:eastAsia="Times New Roman"/>
                <w:sz w:val="21"/>
              </w:rPr>
              <w:t>+</w:t>
            </w:r>
            <w:r>
              <w:rPr>
                <w:sz w:val="21"/>
              </w:rPr>
              <w:t>废气集中处理装置</w:t>
            </w:r>
            <w:r>
              <w:rPr>
                <w:rFonts w:ascii="Times New Roman" w:eastAsia="Times New Roman"/>
                <w:sz w:val="21"/>
              </w:rPr>
              <w:t>+</w:t>
            </w:r>
            <w:r>
              <w:rPr>
                <w:sz w:val="21"/>
              </w:rPr>
              <w:t>排气筒 </w:t>
            </w:r>
            <w:r>
              <w:rPr>
                <w:rFonts w:ascii="Times New Roman" w:eastAsia="Times New Roman"/>
                <w:sz w:val="21"/>
              </w:rPr>
              <w:t>DA004</w:t>
            </w:r>
          </w:p>
        </w:tc>
      </w:tr>
      <w:tr>
        <w:trPr>
          <w:trHeight w:val="282" w:hRule="atLeast"/>
        </w:trPr>
        <w:tc>
          <w:tcPr>
            <w:tcW w:w="996" w:type="dxa"/>
            <w:vMerge/>
            <w:tcBorders>
              <w:top w:val="nil"/>
            </w:tcBorders>
          </w:tcPr>
          <w:p>
            <w:pPr>
              <w:rPr>
                <w:sz w:val="2"/>
                <w:szCs w:val="2"/>
              </w:rPr>
            </w:pPr>
          </w:p>
        </w:tc>
        <w:tc>
          <w:tcPr>
            <w:tcW w:w="991" w:type="dxa"/>
          </w:tcPr>
          <w:p>
            <w:pPr>
              <w:pStyle w:val="TableParagraph"/>
              <w:spacing w:before="19"/>
              <w:ind w:left="7"/>
              <w:rPr>
                <w:rFonts w:ascii="Times New Roman"/>
                <w:sz w:val="21"/>
              </w:rPr>
            </w:pPr>
            <w:r>
              <w:rPr>
                <w:rFonts w:ascii="Times New Roman"/>
                <w:sz w:val="21"/>
              </w:rPr>
              <w:t>Ga-3</w:t>
            </w:r>
          </w:p>
        </w:tc>
        <w:tc>
          <w:tcPr>
            <w:tcW w:w="1702" w:type="dxa"/>
          </w:tcPr>
          <w:p>
            <w:pPr>
              <w:pStyle w:val="TableParagraph"/>
              <w:spacing w:line="257" w:lineRule="exact" w:before="6"/>
              <w:ind w:left="9"/>
              <w:rPr>
                <w:sz w:val="21"/>
              </w:rPr>
            </w:pPr>
            <w:r>
              <w:rPr>
                <w:sz w:val="21"/>
              </w:rPr>
              <w:t>扩环反应</w:t>
            </w:r>
          </w:p>
        </w:tc>
        <w:tc>
          <w:tcPr>
            <w:tcW w:w="1418" w:type="dxa"/>
          </w:tcPr>
          <w:p>
            <w:pPr>
              <w:pStyle w:val="TableParagraph"/>
              <w:spacing w:line="257" w:lineRule="exact" w:before="6"/>
              <w:ind w:left="10"/>
              <w:rPr>
                <w:sz w:val="21"/>
              </w:rPr>
            </w:pPr>
            <w:r>
              <w:rPr>
                <w:sz w:val="21"/>
              </w:rPr>
              <w:t>甲酸、水汽</w:t>
            </w:r>
          </w:p>
        </w:tc>
        <w:tc>
          <w:tcPr>
            <w:tcW w:w="3975" w:type="dxa"/>
            <w:vMerge/>
            <w:tcBorders>
              <w:top w:val="nil"/>
            </w:tcBorders>
          </w:tcPr>
          <w:p>
            <w:pPr>
              <w:rPr>
                <w:sz w:val="2"/>
                <w:szCs w:val="2"/>
              </w:rPr>
            </w:pPr>
          </w:p>
        </w:tc>
      </w:tr>
      <w:tr>
        <w:trPr>
          <w:trHeight w:val="285" w:hRule="atLeast"/>
        </w:trPr>
        <w:tc>
          <w:tcPr>
            <w:tcW w:w="996" w:type="dxa"/>
            <w:vMerge/>
            <w:tcBorders>
              <w:top w:val="nil"/>
            </w:tcBorders>
          </w:tcPr>
          <w:p>
            <w:pPr>
              <w:rPr>
                <w:sz w:val="2"/>
                <w:szCs w:val="2"/>
              </w:rPr>
            </w:pPr>
          </w:p>
        </w:tc>
        <w:tc>
          <w:tcPr>
            <w:tcW w:w="991" w:type="dxa"/>
          </w:tcPr>
          <w:p>
            <w:pPr>
              <w:pStyle w:val="TableParagraph"/>
              <w:spacing w:before="22"/>
              <w:ind w:left="7"/>
              <w:rPr>
                <w:rFonts w:ascii="Times New Roman"/>
                <w:sz w:val="21"/>
              </w:rPr>
            </w:pPr>
            <w:r>
              <w:rPr>
                <w:rFonts w:ascii="Times New Roman"/>
                <w:sz w:val="21"/>
              </w:rPr>
              <w:t>Ga-4</w:t>
            </w:r>
          </w:p>
        </w:tc>
        <w:tc>
          <w:tcPr>
            <w:tcW w:w="1702" w:type="dxa"/>
          </w:tcPr>
          <w:p>
            <w:pPr>
              <w:pStyle w:val="TableParagraph"/>
              <w:spacing w:line="257" w:lineRule="exact" w:before="8"/>
              <w:ind w:left="9"/>
              <w:rPr>
                <w:sz w:val="21"/>
              </w:rPr>
            </w:pPr>
            <w:r>
              <w:rPr>
                <w:sz w:val="21"/>
              </w:rPr>
              <w:t>蒸馏回收</w:t>
            </w:r>
          </w:p>
        </w:tc>
        <w:tc>
          <w:tcPr>
            <w:tcW w:w="1418" w:type="dxa"/>
          </w:tcPr>
          <w:p>
            <w:pPr>
              <w:pStyle w:val="TableParagraph"/>
              <w:spacing w:line="257" w:lineRule="exact" w:before="8"/>
              <w:ind w:left="10"/>
              <w:rPr>
                <w:sz w:val="21"/>
              </w:rPr>
            </w:pPr>
            <w:r>
              <w:rPr>
                <w:sz w:val="21"/>
              </w:rPr>
              <w:t>甲酸、水汽</w:t>
            </w:r>
          </w:p>
        </w:tc>
        <w:tc>
          <w:tcPr>
            <w:tcW w:w="3975" w:type="dxa"/>
            <w:vMerge/>
            <w:tcBorders>
              <w:top w:val="nil"/>
            </w:tcBorders>
          </w:tcPr>
          <w:p>
            <w:pPr>
              <w:rPr>
                <w:sz w:val="2"/>
                <w:szCs w:val="2"/>
              </w:rPr>
            </w:pPr>
          </w:p>
        </w:tc>
      </w:tr>
      <w:tr>
        <w:trPr>
          <w:trHeight w:val="282" w:hRule="atLeast"/>
        </w:trPr>
        <w:tc>
          <w:tcPr>
            <w:tcW w:w="996" w:type="dxa"/>
            <w:vMerge/>
            <w:tcBorders>
              <w:top w:val="nil"/>
            </w:tcBorders>
          </w:tcPr>
          <w:p>
            <w:pPr>
              <w:rPr>
                <w:sz w:val="2"/>
                <w:szCs w:val="2"/>
              </w:rPr>
            </w:pPr>
          </w:p>
        </w:tc>
        <w:tc>
          <w:tcPr>
            <w:tcW w:w="991" w:type="dxa"/>
          </w:tcPr>
          <w:p>
            <w:pPr>
              <w:pStyle w:val="TableParagraph"/>
              <w:spacing w:before="19"/>
              <w:ind w:left="7"/>
              <w:rPr>
                <w:rFonts w:ascii="Times New Roman"/>
                <w:sz w:val="21"/>
              </w:rPr>
            </w:pPr>
            <w:r>
              <w:rPr>
                <w:rFonts w:ascii="Times New Roman"/>
                <w:sz w:val="21"/>
              </w:rPr>
              <w:t>Ga-5</w:t>
            </w:r>
          </w:p>
        </w:tc>
        <w:tc>
          <w:tcPr>
            <w:tcW w:w="1702" w:type="dxa"/>
          </w:tcPr>
          <w:p>
            <w:pPr>
              <w:pStyle w:val="TableParagraph"/>
              <w:spacing w:line="257" w:lineRule="exact" w:before="6"/>
              <w:ind w:left="13"/>
              <w:rPr>
                <w:sz w:val="21"/>
              </w:rPr>
            </w:pPr>
            <w:r>
              <w:rPr>
                <w:sz w:val="21"/>
              </w:rPr>
              <w:t>精馏</w:t>
            </w:r>
          </w:p>
        </w:tc>
        <w:tc>
          <w:tcPr>
            <w:tcW w:w="1418" w:type="dxa"/>
          </w:tcPr>
          <w:p>
            <w:pPr>
              <w:pStyle w:val="TableParagraph"/>
              <w:spacing w:line="257" w:lineRule="exact" w:before="6"/>
              <w:ind w:left="10"/>
              <w:rPr>
                <w:sz w:val="21"/>
              </w:rPr>
            </w:pPr>
            <w:r>
              <w:rPr>
                <w:sz w:val="21"/>
              </w:rPr>
              <w:t>甲酸、水汽</w:t>
            </w:r>
          </w:p>
        </w:tc>
        <w:tc>
          <w:tcPr>
            <w:tcW w:w="3975" w:type="dxa"/>
            <w:vMerge/>
            <w:tcBorders>
              <w:top w:val="nil"/>
            </w:tcBorders>
          </w:tcPr>
          <w:p>
            <w:pPr>
              <w:rPr>
                <w:sz w:val="2"/>
                <w:szCs w:val="2"/>
              </w:rPr>
            </w:pPr>
          </w:p>
        </w:tc>
      </w:tr>
      <w:tr>
        <w:trPr>
          <w:trHeight w:val="285" w:hRule="atLeast"/>
        </w:trPr>
        <w:tc>
          <w:tcPr>
            <w:tcW w:w="996" w:type="dxa"/>
            <w:vMerge/>
            <w:tcBorders>
              <w:top w:val="nil"/>
            </w:tcBorders>
          </w:tcPr>
          <w:p>
            <w:pPr>
              <w:rPr>
                <w:sz w:val="2"/>
                <w:szCs w:val="2"/>
              </w:rPr>
            </w:pPr>
          </w:p>
        </w:tc>
        <w:tc>
          <w:tcPr>
            <w:tcW w:w="991" w:type="dxa"/>
          </w:tcPr>
          <w:p>
            <w:pPr>
              <w:pStyle w:val="TableParagraph"/>
              <w:spacing w:before="22"/>
              <w:ind w:left="7"/>
              <w:rPr>
                <w:rFonts w:ascii="Times New Roman"/>
                <w:sz w:val="21"/>
              </w:rPr>
            </w:pPr>
            <w:r>
              <w:rPr>
                <w:rFonts w:ascii="Times New Roman"/>
                <w:sz w:val="21"/>
              </w:rPr>
              <w:t>Ga-6</w:t>
            </w:r>
          </w:p>
        </w:tc>
        <w:tc>
          <w:tcPr>
            <w:tcW w:w="1702" w:type="dxa"/>
          </w:tcPr>
          <w:p>
            <w:pPr>
              <w:pStyle w:val="TableParagraph"/>
              <w:spacing w:line="257" w:lineRule="exact" w:before="8"/>
              <w:ind w:left="13"/>
              <w:rPr>
                <w:sz w:val="21"/>
              </w:rPr>
            </w:pPr>
            <w:r>
              <w:rPr>
                <w:sz w:val="21"/>
              </w:rPr>
              <w:t>结晶</w:t>
            </w:r>
          </w:p>
        </w:tc>
        <w:tc>
          <w:tcPr>
            <w:tcW w:w="1418" w:type="dxa"/>
          </w:tcPr>
          <w:p>
            <w:pPr>
              <w:pStyle w:val="TableParagraph"/>
              <w:spacing w:line="257" w:lineRule="exact" w:before="8"/>
              <w:ind w:left="10"/>
              <w:rPr>
                <w:sz w:val="21"/>
              </w:rPr>
            </w:pPr>
            <w:r>
              <w:rPr>
                <w:sz w:val="21"/>
              </w:rPr>
              <w:t>甲酸、水汽</w:t>
            </w:r>
          </w:p>
        </w:tc>
        <w:tc>
          <w:tcPr>
            <w:tcW w:w="3975" w:type="dxa"/>
            <w:vMerge/>
            <w:tcBorders>
              <w:top w:val="nil"/>
            </w:tcBorders>
          </w:tcPr>
          <w:p>
            <w:pPr>
              <w:rPr>
                <w:sz w:val="2"/>
                <w:szCs w:val="2"/>
              </w:rPr>
            </w:pPr>
          </w:p>
        </w:tc>
      </w:tr>
      <w:tr>
        <w:trPr>
          <w:trHeight w:val="282" w:hRule="atLeast"/>
        </w:trPr>
        <w:tc>
          <w:tcPr>
            <w:tcW w:w="996" w:type="dxa"/>
            <w:vMerge/>
            <w:tcBorders>
              <w:top w:val="nil"/>
            </w:tcBorders>
          </w:tcPr>
          <w:p>
            <w:pPr>
              <w:rPr>
                <w:sz w:val="2"/>
                <w:szCs w:val="2"/>
              </w:rPr>
            </w:pPr>
          </w:p>
        </w:tc>
        <w:tc>
          <w:tcPr>
            <w:tcW w:w="991" w:type="dxa"/>
          </w:tcPr>
          <w:p>
            <w:pPr>
              <w:pStyle w:val="TableParagraph"/>
              <w:spacing w:before="19"/>
              <w:ind w:left="7"/>
              <w:rPr>
                <w:rFonts w:ascii="Times New Roman"/>
                <w:sz w:val="21"/>
              </w:rPr>
            </w:pPr>
            <w:r>
              <w:rPr>
                <w:rFonts w:ascii="Times New Roman"/>
                <w:sz w:val="21"/>
              </w:rPr>
              <w:t>Ga-7</w:t>
            </w:r>
          </w:p>
        </w:tc>
        <w:tc>
          <w:tcPr>
            <w:tcW w:w="1702" w:type="dxa"/>
          </w:tcPr>
          <w:p>
            <w:pPr>
              <w:pStyle w:val="TableParagraph"/>
              <w:spacing w:line="257" w:lineRule="exact" w:before="5"/>
              <w:ind w:left="13"/>
              <w:rPr>
                <w:sz w:val="21"/>
              </w:rPr>
            </w:pPr>
            <w:r>
              <w:rPr>
                <w:sz w:val="21"/>
              </w:rPr>
              <w:t>离心</w:t>
            </w:r>
          </w:p>
        </w:tc>
        <w:tc>
          <w:tcPr>
            <w:tcW w:w="1418" w:type="dxa"/>
          </w:tcPr>
          <w:p>
            <w:pPr>
              <w:pStyle w:val="TableParagraph"/>
              <w:spacing w:line="257" w:lineRule="exact" w:before="5"/>
              <w:ind w:left="10"/>
              <w:rPr>
                <w:sz w:val="21"/>
              </w:rPr>
            </w:pPr>
            <w:r>
              <w:rPr>
                <w:sz w:val="21"/>
              </w:rPr>
              <w:t>甲酸、水汽</w:t>
            </w:r>
          </w:p>
        </w:tc>
        <w:tc>
          <w:tcPr>
            <w:tcW w:w="3975" w:type="dxa"/>
            <w:vMerge/>
            <w:tcBorders>
              <w:top w:val="nil"/>
            </w:tcBorders>
          </w:tcPr>
          <w:p>
            <w:pPr>
              <w:rPr>
                <w:sz w:val="2"/>
                <w:szCs w:val="2"/>
              </w:rPr>
            </w:pPr>
          </w:p>
        </w:tc>
      </w:tr>
      <w:tr>
        <w:trPr>
          <w:trHeight w:val="285" w:hRule="atLeast"/>
        </w:trPr>
        <w:tc>
          <w:tcPr>
            <w:tcW w:w="996" w:type="dxa"/>
            <w:vMerge/>
            <w:tcBorders>
              <w:top w:val="nil"/>
            </w:tcBorders>
          </w:tcPr>
          <w:p>
            <w:pPr>
              <w:rPr>
                <w:sz w:val="2"/>
                <w:szCs w:val="2"/>
              </w:rPr>
            </w:pPr>
          </w:p>
        </w:tc>
        <w:tc>
          <w:tcPr>
            <w:tcW w:w="991" w:type="dxa"/>
          </w:tcPr>
          <w:p>
            <w:pPr>
              <w:pStyle w:val="TableParagraph"/>
              <w:spacing w:before="22"/>
              <w:ind w:left="7"/>
              <w:rPr>
                <w:rFonts w:ascii="Times New Roman"/>
                <w:sz w:val="21"/>
              </w:rPr>
            </w:pPr>
            <w:r>
              <w:rPr>
                <w:rFonts w:ascii="Times New Roman"/>
                <w:sz w:val="21"/>
              </w:rPr>
              <w:t>Ga-8</w:t>
            </w:r>
          </w:p>
        </w:tc>
        <w:tc>
          <w:tcPr>
            <w:tcW w:w="1702" w:type="dxa"/>
          </w:tcPr>
          <w:p>
            <w:pPr>
              <w:pStyle w:val="TableParagraph"/>
              <w:spacing w:line="257" w:lineRule="exact" w:before="9"/>
              <w:ind w:left="13"/>
              <w:rPr>
                <w:sz w:val="21"/>
              </w:rPr>
            </w:pPr>
            <w:r>
              <w:rPr>
                <w:sz w:val="21"/>
              </w:rPr>
              <w:t>干燥</w:t>
            </w:r>
          </w:p>
        </w:tc>
        <w:tc>
          <w:tcPr>
            <w:tcW w:w="1418" w:type="dxa"/>
          </w:tcPr>
          <w:p>
            <w:pPr>
              <w:pStyle w:val="TableParagraph"/>
              <w:spacing w:line="257" w:lineRule="exact" w:before="9"/>
              <w:ind w:left="10"/>
              <w:rPr>
                <w:sz w:val="21"/>
              </w:rPr>
            </w:pPr>
            <w:r>
              <w:rPr>
                <w:sz w:val="21"/>
              </w:rPr>
              <w:t>甲酸、水汽</w:t>
            </w:r>
          </w:p>
        </w:tc>
        <w:tc>
          <w:tcPr>
            <w:tcW w:w="3975" w:type="dxa"/>
            <w:vMerge/>
            <w:tcBorders>
              <w:top w:val="nil"/>
            </w:tcBorders>
          </w:tcPr>
          <w:p>
            <w:pPr>
              <w:rPr>
                <w:sz w:val="2"/>
                <w:szCs w:val="2"/>
              </w:rPr>
            </w:pPr>
          </w:p>
        </w:tc>
      </w:tr>
      <w:tr>
        <w:trPr>
          <w:trHeight w:val="513" w:hRule="atLeast"/>
        </w:trPr>
        <w:tc>
          <w:tcPr>
            <w:tcW w:w="996" w:type="dxa"/>
            <w:vMerge/>
            <w:tcBorders>
              <w:top w:val="nil"/>
            </w:tcBorders>
          </w:tcPr>
          <w:p>
            <w:pPr>
              <w:rPr>
                <w:sz w:val="2"/>
                <w:szCs w:val="2"/>
              </w:rPr>
            </w:pPr>
          </w:p>
        </w:tc>
        <w:tc>
          <w:tcPr>
            <w:tcW w:w="991" w:type="dxa"/>
          </w:tcPr>
          <w:p>
            <w:pPr>
              <w:pStyle w:val="TableParagraph"/>
              <w:spacing w:before="135"/>
              <w:ind w:left="7"/>
              <w:rPr>
                <w:rFonts w:ascii="Times New Roman"/>
                <w:sz w:val="21"/>
              </w:rPr>
            </w:pPr>
            <w:r>
              <w:rPr>
                <w:rFonts w:ascii="Times New Roman"/>
                <w:sz w:val="21"/>
              </w:rPr>
              <w:t>Ga-9</w:t>
            </w:r>
          </w:p>
        </w:tc>
        <w:tc>
          <w:tcPr>
            <w:tcW w:w="1702" w:type="dxa"/>
          </w:tcPr>
          <w:p>
            <w:pPr>
              <w:pStyle w:val="TableParagraph"/>
              <w:spacing w:before="121"/>
              <w:ind w:left="13"/>
              <w:rPr>
                <w:sz w:val="21"/>
              </w:rPr>
            </w:pPr>
            <w:r>
              <w:rPr>
                <w:sz w:val="21"/>
              </w:rPr>
              <w:t>包装</w:t>
            </w:r>
          </w:p>
        </w:tc>
        <w:tc>
          <w:tcPr>
            <w:tcW w:w="1418" w:type="dxa"/>
          </w:tcPr>
          <w:p>
            <w:pPr>
              <w:pStyle w:val="TableParagraph"/>
              <w:spacing w:before="121"/>
              <w:ind w:left="8"/>
              <w:rPr>
                <w:sz w:val="21"/>
              </w:rPr>
            </w:pPr>
            <w:r>
              <w:rPr>
                <w:sz w:val="21"/>
              </w:rPr>
              <w:t>粉尘</w:t>
            </w:r>
          </w:p>
        </w:tc>
        <w:tc>
          <w:tcPr>
            <w:tcW w:w="3975" w:type="dxa"/>
          </w:tcPr>
          <w:p>
            <w:pPr>
              <w:pStyle w:val="TableParagraph"/>
              <w:spacing w:before="1"/>
              <w:ind w:left="13" w:right="2"/>
              <w:rPr>
                <w:sz w:val="21"/>
              </w:rPr>
            </w:pPr>
            <w:r>
              <w:rPr>
                <w:sz w:val="21"/>
              </w:rPr>
              <w:t>布袋除尘</w:t>
            </w:r>
            <w:r>
              <w:rPr>
                <w:rFonts w:ascii="Times New Roman" w:eastAsia="Times New Roman"/>
                <w:sz w:val="21"/>
              </w:rPr>
              <w:t>+</w:t>
            </w:r>
            <w:r>
              <w:rPr>
                <w:sz w:val="21"/>
              </w:rPr>
              <w:t>废气集中处理装置</w:t>
            </w:r>
            <w:r>
              <w:rPr>
                <w:rFonts w:ascii="Times New Roman" w:eastAsia="Times New Roman"/>
                <w:sz w:val="21"/>
              </w:rPr>
              <w:t>+</w:t>
            </w:r>
            <w:r>
              <w:rPr>
                <w:sz w:val="21"/>
              </w:rPr>
              <w:t>排气筒</w:t>
            </w:r>
          </w:p>
          <w:p>
            <w:pPr>
              <w:pStyle w:val="TableParagraph"/>
              <w:spacing w:line="221" w:lineRule="exact" w:before="1"/>
              <w:ind w:left="15" w:right="2"/>
              <w:rPr>
                <w:rFonts w:ascii="Times New Roman"/>
                <w:sz w:val="21"/>
              </w:rPr>
            </w:pPr>
            <w:r>
              <w:rPr>
                <w:rFonts w:ascii="Times New Roman"/>
                <w:sz w:val="21"/>
              </w:rPr>
              <w:t>DA004</w:t>
            </w:r>
          </w:p>
        </w:tc>
      </w:tr>
      <w:tr>
        <w:trPr>
          <w:trHeight w:val="285" w:hRule="atLeast"/>
        </w:trPr>
        <w:tc>
          <w:tcPr>
            <w:tcW w:w="996" w:type="dxa"/>
            <w:vMerge w:val="restart"/>
          </w:tcPr>
          <w:p>
            <w:pPr>
              <w:pStyle w:val="TableParagraph"/>
              <w:jc w:val="left"/>
              <w:rPr>
                <w:b/>
                <w:sz w:val="20"/>
              </w:rPr>
            </w:pPr>
          </w:p>
          <w:p>
            <w:pPr>
              <w:pStyle w:val="TableParagraph"/>
              <w:spacing w:before="10"/>
              <w:jc w:val="left"/>
              <w:rPr>
                <w:b/>
                <w:sz w:val="15"/>
              </w:rPr>
            </w:pPr>
          </w:p>
          <w:p>
            <w:pPr>
              <w:pStyle w:val="TableParagraph"/>
              <w:spacing w:line="242" w:lineRule="auto" w:before="1"/>
              <w:ind w:left="76" w:right="64"/>
              <w:jc w:val="left"/>
              <w:rPr>
                <w:sz w:val="21"/>
              </w:rPr>
            </w:pPr>
            <w:r>
              <w:rPr>
                <w:sz w:val="21"/>
              </w:rPr>
              <w:t>三环唑可湿性粉剂</w:t>
            </w:r>
          </w:p>
        </w:tc>
        <w:tc>
          <w:tcPr>
            <w:tcW w:w="991" w:type="dxa"/>
          </w:tcPr>
          <w:p>
            <w:pPr>
              <w:pStyle w:val="TableParagraph"/>
              <w:spacing w:before="22"/>
              <w:ind w:left="9"/>
              <w:rPr>
                <w:rFonts w:ascii="Times New Roman"/>
                <w:sz w:val="21"/>
              </w:rPr>
            </w:pPr>
            <w:r>
              <w:rPr>
                <w:rFonts w:ascii="Times New Roman"/>
                <w:sz w:val="21"/>
              </w:rPr>
              <w:t>Gb-1</w:t>
            </w:r>
          </w:p>
        </w:tc>
        <w:tc>
          <w:tcPr>
            <w:tcW w:w="1702" w:type="dxa"/>
          </w:tcPr>
          <w:p>
            <w:pPr>
              <w:pStyle w:val="TableParagraph"/>
              <w:spacing w:line="257" w:lineRule="exact" w:before="8"/>
              <w:ind w:left="13"/>
              <w:rPr>
                <w:sz w:val="21"/>
              </w:rPr>
            </w:pPr>
            <w:r>
              <w:rPr>
                <w:sz w:val="21"/>
              </w:rPr>
              <w:t>投料</w:t>
            </w:r>
          </w:p>
        </w:tc>
        <w:tc>
          <w:tcPr>
            <w:tcW w:w="1418" w:type="dxa"/>
          </w:tcPr>
          <w:p>
            <w:pPr>
              <w:pStyle w:val="TableParagraph"/>
              <w:spacing w:line="257" w:lineRule="exact" w:before="8"/>
              <w:ind w:left="8"/>
              <w:rPr>
                <w:sz w:val="21"/>
              </w:rPr>
            </w:pPr>
            <w:r>
              <w:rPr>
                <w:sz w:val="21"/>
              </w:rPr>
              <w:t>粉尘</w:t>
            </w:r>
          </w:p>
        </w:tc>
        <w:tc>
          <w:tcPr>
            <w:tcW w:w="3975" w:type="dxa"/>
            <w:vMerge w:val="restart"/>
          </w:tcPr>
          <w:p>
            <w:pPr>
              <w:pStyle w:val="TableParagraph"/>
              <w:jc w:val="left"/>
              <w:rPr>
                <w:b/>
                <w:sz w:val="22"/>
              </w:rPr>
            </w:pPr>
          </w:p>
          <w:p>
            <w:pPr>
              <w:pStyle w:val="TableParagraph"/>
              <w:spacing w:before="192"/>
              <w:ind w:left="13" w:right="2"/>
              <w:rPr>
                <w:sz w:val="21"/>
              </w:rPr>
            </w:pPr>
            <w:r>
              <w:rPr>
                <w:sz w:val="21"/>
              </w:rPr>
              <w:t>布袋除尘</w:t>
            </w:r>
            <w:r>
              <w:rPr>
                <w:rFonts w:ascii="Times New Roman" w:eastAsia="Times New Roman"/>
                <w:sz w:val="21"/>
              </w:rPr>
              <w:t>+</w:t>
            </w:r>
            <w:r>
              <w:rPr>
                <w:sz w:val="21"/>
              </w:rPr>
              <w:t>废气集中处理装置</w:t>
            </w:r>
            <w:r>
              <w:rPr>
                <w:rFonts w:ascii="Times New Roman" w:eastAsia="Times New Roman"/>
                <w:sz w:val="21"/>
              </w:rPr>
              <w:t>+</w:t>
            </w:r>
            <w:r>
              <w:rPr>
                <w:sz w:val="21"/>
              </w:rPr>
              <w:t>排气筒</w:t>
            </w:r>
          </w:p>
          <w:p>
            <w:pPr>
              <w:pStyle w:val="TableParagraph"/>
              <w:spacing w:before="1"/>
              <w:ind w:left="15" w:right="2"/>
              <w:rPr>
                <w:rFonts w:ascii="Times New Roman"/>
                <w:sz w:val="21"/>
              </w:rPr>
            </w:pPr>
            <w:r>
              <w:rPr>
                <w:rFonts w:ascii="Times New Roman"/>
                <w:sz w:val="21"/>
              </w:rPr>
              <w:t>DA004</w:t>
            </w:r>
          </w:p>
        </w:tc>
      </w:tr>
      <w:tr>
        <w:trPr>
          <w:trHeight w:val="282" w:hRule="atLeast"/>
        </w:trPr>
        <w:tc>
          <w:tcPr>
            <w:tcW w:w="996" w:type="dxa"/>
            <w:vMerge/>
            <w:tcBorders>
              <w:top w:val="nil"/>
            </w:tcBorders>
          </w:tcPr>
          <w:p>
            <w:pPr>
              <w:rPr>
                <w:sz w:val="2"/>
                <w:szCs w:val="2"/>
              </w:rPr>
            </w:pPr>
          </w:p>
        </w:tc>
        <w:tc>
          <w:tcPr>
            <w:tcW w:w="991" w:type="dxa"/>
          </w:tcPr>
          <w:p>
            <w:pPr>
              <w:pStyle w:val="TableParagraph"/>
              <w:spacing w:before="19"/>
              <w:ind w:left="9"/>
              <w:rPr>
                <w:rFonts w:ascii="Times New Roman"/>
                <w:sz w:val="21"/>
              </w:rPr>
            </w:pPr>
            <w:r>
              <w:rPr>
                <w:rFonts w:ascii="Times New Roman"/>
                <w:sz w:val="21"/>
              </w:rPr>
              <w:t>Gb-2</w:t>
            </w:r>
          </w:p>
        </w:tc>
        <w:tc>
          <w:tcPr>
            <w:tcW w:w="1702" w:type="dxa"/>
          </w:tcPr>
          <w:p>
            <w:pPr>
              <w:pStyle w:val="TableParagraph"/>
              <w:spacing w:line="257" w:lineRule="exact" w:before="5"/>
              <w:ind w:left="13"/>
              <w:rPr>
                <w:sz w:val="21"/>
              </w:rPr>
            </w:pPr>
            <w:r>
              <w:rPr>
                <w:sz w:val="21"/>
              </w:rPr>
              <w:t>混合</w:t>
            </w:r>
          </w:p>
        </w:tc>
        <w:tc>
          <w:tcPr>
            <w:tcW w:w="1418" w:type="dxa"/>
          </w:tcPr>
          <w:p>
            <w:pPr>
              <w:pStyle w:val="TableParagraph"/>
              <w:spacing w:line="257" w:lineRule="exact" w:before="5"/>
              <w:ind w:left="8"/>
              <w:rPr>
                <w:sz w:val="21"/>
              </w:rPr>
            </w:pPr>
            <w:r>
              <w:rPr>
                <w:sz w:val="21"/>
              </w:rPr>
              <w:t>粉尘</w:t>
            </w:r>
          </w:p>
        </w:tc>
        <w:tc>
          <w:tcPr>
            <w:tcW w:w="3975" w:type="dxa"/>
            <w:vMerge/>
            <w:tcBorders>
              <w:top w:val="nil"/>
            </w:tcBorders>
          </w:tcPr>
          <w:p>
            <w:pPr>
              <w:rPr>
                <w:sz w:val="2"/>
                <w:szCs w:val="2"/>
              </w:rPr>
            </w:pPr>
          </w:p>
        </w:tc>
      </w:tr>
      <w:tr>
        <w:trPr>
          <w:trHeight w:val="285" w:hRule="atLeast"/>
        </w:trPr>
        <w:tc>
          <w:tcPr>
            <w:tcW w:w="996" w:type="dxa"/>
            <w:vMerge/>
            <w:tcBorders>
              <w:top w:val="nil"/>
            </w:tcBorders>
          </w:tcPr>
          <w:p>
            <w:pPr>
              <w:rPr>
                <w:sz w:val="2"/>
                <w:szCs w:val="2"/>
              </w:rPr>
            </w:pPr>
          </w:p>
        </w:tc>
        <w:tc>
          <w:tcPr>
            <w:tcW w:w="991" w:type="dxa"/>
          </w:tcPr>
          <w:p>
            <w:pPr>
              <w:pStyle w:val="TableParagraph"/>
              <w:spacing w:before="22"/>
              <w:ind w:left="9"/>
              <w:rPr>
                <w:rFonts w:ascii="Times New Roman"/>
                <w:sz w:val="21"/>
              </w:rPr>
            </w:pPr>
            <w:r>
              <w:rPr>
                <w:rFonts w:ascii="Times New Roman"/>
                <w:sz w:val="21"/>
              </w:rPr>
              <w:t>Gb-3</w:t>
            </w:r>
          </w:p>
        </w:tc>
        <w:tc>
          <w:tcPr>
            <w:tcW w:w="1702" w:type="dxa"/>
          </w:tcPr>
          <w:p>
            <w:pPr>
              <w:pStyle w:val="TableParagraph"/>
              <w:spacing w:line="257" w:lineRule="exact" w:before="8"/>
              <w:ind w:left="13"/>
              <w:rPr>
                <w:sz w:val="21"/>
              </w:rPr>
            </w:pPr>
            <w:r>
              <w:rPr>
                <w:sz w:val="21"/>
              </w:rPr>
              <w:t>粉碎</w:t>
            </w:r>
          </w:p>
        </w:tc>
        <w:tc>
          <w:tcPr>
            <w:tcW w:w="1418" w:type="dxa"/>
          </w:tcPr>
          <w:p>
            <w:pPr>
              <w:pStyle w:val="TableParagraph"/>
              <w:spacing w:line="257" w:lineRule="exact" w:before="8"/>
              <w:ind w:left="8"/>
              <w:rPr>
                <w:sz w:val="21"/>
              </w:rPr>
            </w:pPr>
            <w:r>
              <w:rPr>
                <w:sz w:val="21"/>
              </w:rPr>
              <w:t>粉尘</w:t>
            </w:r>
          </w:p>
        </w:tc>
        <w:tc>
          <w:tcPr>
            <w:tcW w:w="3975" w:type="dxa"/>
            <w:vMerge/>
            <w:tcBorders>
              <w:top w:val="nil"/>
            </w:tcBorders>
          </w:tcPr>
          <w:p>
            <w:pPr>
              <w:rPr>
                <w:sz w:val="2"/>
                <w:szCs w:val="2"/>
              </w:rPr>
            </w:pPr>
          </w:p>
        </w:tc>
      </w:tr>
      <w:tr>
        <w:trPr>
          <w:trHeight w:val="282" w:hRule="atLeast"/>
        </w:trPr>
        <w:tc>
          <w:tcPr>
            <w:tcW w:w="996" w:type="dxa"/>
            <w:vMerge/>
            <w:tcBorders>
              <w:top w:val="nil"/>
            </w:tcBorders>
          </w:tcPr>
          <w:p>
            <w:pPr>
              <w:rPr>
                <w:sz w:val="2"/>
                <w:szCs w:val="2"/>
              </w:rPr>
            </w:pPr>
          </w:p>
        </w:tc>
        <w:tc>
          <w:tcPr>
            <w:tcW w:w="991" w:type="dxa"/>
          </w:tcPr>
          <w:p>
            <w:pPr>
              <w:pStyle w:val="TableParagraph"/>
              <w:spacing w:before="19"/>
              <w:ind w:left="9"/>
              <w:rPr>
                <w:rFonts w:ascii="Times New Roman"/>
                <w:sz w:val="21"/>
              </w:rPr>
            </w:pPr>
            <w:r>
              <w:rPr>
                <w:rFonts w:ascii="Times New Roman"/>
                <w:sz w:val="21"/>
              </w:rPr>
              <w:t>Gb-4</w:t>
            </w:r>
          </w:p>
        </w:tc>
        <w:tc>
          <w:tcPr>
            <w:tcW w:w="1702" w:type="dxa"/>
          </w:tcPr>
          <w:p>
            <w:pPr>
              <w:pStyle w:val="TableParagraph"/>
              <w:spacing w:line="257" w:lineRule="exact" w:before="6"/>
              <w:ind w:left="13"/>
              <w:rPr>
                <w:sz w:val="21"/>
              </w:rPr>
            </w:pPr>
            <w:r>
              <w:rPr>
                <w:sz w:val="21"/>
              </w:rPr>
              <w:t>再混合</w:t>
            </w:r>
          </w:p>
        </w:tc>
        <w:tc>
          <w:tcPr>
            <w:tcW w:w="1418" w:type="dxa"/>
          </w:tcPr>
          <w:p>
            <w:pPr>
              <w:pStyle w:val="TableParagraph"/>
              <w:spacing w:line="257" w:lineRule="exact" w:before="6"/>
              <w:ind w:left="8"/>
              <w:rPr>
                <w:sz w:val="21"/>
              </w:rPr>
            </w:pPr>
            <w:r>
              <w:rPr>
                <w:sz w:val="21"/>
              </w:rPr>
              <w:t>粉尘</w:t>
            </w:r>
          </w:p>
        </w:tc>
        <w:tc>
          <w:tcPr>
            <w:tcW w:w="3975" w:type="dxa"/>
            <w:vMerge/>
            <w:tcBorders>
              <w:top w:val="nil"/>
            </w:tcBorders>
          </w:tcPr>
          <w:p>
            <w:pPr>
              <w:rPr>
                <w:sz w:val="2"/>
                <w:szCs w:val="2"/>
              </w:rPr>
            </w:pPr>
          </w:p>
        </w:tc>
      </w:tr>
      <w:tr>
        <w:trPr>
          <w:trHeight w:val="285" w:hRule="atLeast"/>
        </w:trPr>
        <w:tc>
          <w:tcPr>
            <w:tcW w:w="996" w:type="dxa"/>
            <w:vMerge/>
            <w:tcBorders>
              <w:top w:val="nil"/>
            </w:tcBorders>
          </w:tcPr>
          <w:p>
            <w:pPr>
              <w:rPr>
                <w:sz w:val="2"/>
                <w:szCs w:val="2"/>
              </w:rPr>
            </w:pPr>
          </w:p>
        </w:tc>
        <w:tc>
          <w:tcPr>
            <w:tcW w:w="991" w:type="dxa"/>
          </w:tcPr>
          <w:p>
            <w:pPr>
              <w:pStyle w:val="TableParagraph"/>
              <w:spacing w:before="22"/>
              <w:ind w:left="9"/>
              <w:rPr>
                <w:rFonts w:ascii="Times New Roman"/>
                <w:sz w:val="21"/>
              </w:rPr>
            </w:pPr>
            <w:r>
              <w:rPr>
                <w:rFonts w:ascii="Times New Roman"/>
                <w:sz w:val="21"/>
              </w:rPr>
              <w:t>Gb-5</w:t>
            </w:r>
          </w:p>
        </w:tc>
        <w:tc>
          <w:tcPr>
            <w:tcW w:w="1702" w:type="dxa"/>
          </w:tcPr>
          <w:p>
            <w:pPr>
              <w:pStyle w:val="TableParagraph"/>
              <w:spacing w:line="257" w:lineRule="exact" w:before="8"/>
              <w:ind w:left="13"/>
              <w:rPr>
                <w:sz w:val="21"/>
              </w:rPr>
            </w:pPr>
            <w:r>
              <w:rPr>
                <w:sz w:val="21"/>
              </w:rPr>
              <w:t>包装</w:t>
            </w:r>
          </w:p>
        </w:tc>
        <w:tc>
          <w:tcPr>
            <w:tcW w:w="1418" w:type="dxa"/>
          </w:tcPr>
          <w:p>
            <w:pPr>
              <w:pStyle w:val="TableParagraph"/>
              <w:spacing w:line="257" w:lineRule="exact" w:before="8"/>
              <w:ind w:left="8"/>
              <w:rPr>
                <w:sz w:val="21"/>
              </w:rPr>
            </w:pPr>
            <w:r>
              <w:rPr>
                <w:sz w:val="21"/>
              </w:rPr>
              <w:t>粉尘</w:t>
            </w:r>
          </w:p>
        </w:tc>
        <w:tc>
          <w:tcPr>
            <w:tcW w:w="3975" w:type="dxa"/>
            <w:vMerge/>
            <w:tcBorders>
              <w:top w:val="nil"/>
            </w:tcBorders>
          </w:tcPr>
          <w:p>
            <w:pPr>
              <w:rPr>
                <w:sz w:val="2"/>
                <w:szCs w:val="2"/>
              </w:rPr>
            </w:pPr>
          </w:p>
        </w:tc>
      </w:tr>
      <w:tr>
        <w:trPr>
          <w:trHeight w:val="544" w:hRule="atLeast"/>
        </w:trPr>
        <w:tc>
          <w:tcPr>
            <w:tcW w:w="996" w:type="dxa"/>
          </w:tcPr>
          <w:p>
            <w:pPr>
              <w:pStyle w:val="TableParagraph"/>
              <w:spacing w:before="135"/>
              <w:ind w:left="55" w:right="46"/>
              <w:rPr>
                <w:sz w:val="21"/>
              </w:rPr>
            </w:pPr>
            <w:r>
              <w:rPr>
                <w:sz w:val="21"/>
              </w:rPr>
              <w:t>公用工程</w:t>
            </w:r>
          </w:p>
        </w:tc>
        <w:tc>
          <w:tcPr>
            <w:tcW w:w="991" w:type="dxa"/>
          </w:tcPr>
          <w:p>
            <w:pPr>
              <w:pStyle w:val="TableParagraph"/>
              <w:spacing w:before="149"/>
              <w:ind w:left="8"/>
              <w:rPr>
                <w:rFonts w:ascii="Times New Roman"/>
                <w:sz w:val="21"/>
              </w:rPr>
            </w:pPr>
            <w:r>
              <w:rPr>
                <w:rFonts w:ascii="Times New Roman"/>
                <w:w w:val="100"/>
                <w:sz w:val="21"/>
              </w:rPr>
              <w:t>/</w:t>
            </w:r>
          </w:p>
        </w:tc>
        <w:tc>
          <w:tcPr>
            <w:tcW w:w="1702" w:type="dxa"/>
          </w:tcPr>
          <w:p>
            <w:pPr>
              <w:pStyle w:val="TableParagraph"/>
              <w:spacing w:before="1"/>
              <w:ind w:left="9" w:right="-15"/>
              <w:rPr>
                <w:sz w:val="21"/>
              </w:rPr>
            </w:pPr>
            <w:r>
              <w:rPr>
                <w:spacing w:val="-3"/>
                <w:sz w:val="21"/>
              </w:rPr>
              <w:t>废水处理设施、危</w:t>
            </w:r>
          </w:p>
          <w:p>
            <w:pPr>
              <w:pStyle w:val="TableParagraph"/>
              <w:spacing w:line="252" w:lineRule="exact" w:before="2"/>
              <w:ind w:left="10"/>
              <w:rPr>
                <w:sz w:val="21"/>
              </w:rPr>
            </w:pPr>
            <w:r>
              <w:rPr>
                <w:sz w:val="21"/>
              </w:rPr>
              <w:t>废暂存场所</w:t>
            </w:r>
          </w:p>
        </w:tc>
        <w:tc>
          <w:tcPr>
            <w:tcW w:w="1418" w:type="dxa"/>
          </w:tcPr>
          <w:p>
            <w:pPr>
              <w:pStyle w:val="TableParagraph"/>
              <w:spacing w:before="1"/>
              <w:ind w:left="8"/>
              <w:rPr>
                <w:sz w:val="21"/>
              </w:rPr>
            </w:pPr>
            <w:r>
              <w:rPr>
                <w:rFonts w:ascii="Times New Roman" w:eastAsia="Times New Roman"/>
                <w:sz w:val="21"/>
              </w:rPr>
              <w:t>VOCs</w:t>
            </w:r>
            <w:r>
              <w:rPr>
                <w:sz w:val="21"/>
              </w:rPr>
              <w:t>、臭气浓</w:t>
            </w:r>
          </w:p>
          <w:p>
            <w:pPr>
              <w:pStyle w:val="TableParagraph"/>
              <w:spacing w:line="252" w:lineRule="exact" w:before="2"/>
              <w:ind w:left="8"/>
              <w:rPr>
                <w:sz w:val="21"/>
              </w:rPr>
            </w:pPr>
            <w:r>
              <w:rPr>
                <w:w w:val="100"/>
                <w:sz w:val="21"/>
              </w:rPr>
              <w:t>度</w:t>
            </w:r>
          </w:p>
        </w:tc>
        <w:tc>
          <w:tcPr>
            <w:tcW w:w="3975" w:type="dxa"/>
          </w:tcPr>
          <w:p>
            <w:pPr>
              <w:pStyle w:val="TableParagraph"/>
              <w:spacing w:before="135"/>
              <w:ind w:left="13" w:right="2"/>
              <w:rPr>
                <w:rFonts w:ascii="Times New Roman" w:eastAsia="Times New Roman"/>
                <w:sz w:val="21"/>
              </w:rPr>
            </w:pPr>
            <w:r>
              <w:rPr>
                <w:sz w:val="21"/>
              </w:rPr>
              <w:t>一级次钠</w:t>
            </w:r>
            <w:r>
              <w:rPr>
                <w:rFonts w:ascii="Times New Roman" w:eastAsia="Times New Roman"/>
                <w:sz w:val="21"/>
              </w:rPr>
              <w:t>+</w:t>
            </w:r>
            <w:r>
              <w:rPr>
                <w:sz w:val="21"/>
              </w:rPr>
              <w:t>一级碱喷淋</w:t>
            </w:r>
            <w:r>
              <w:rPr>
                <w:rFonts w:ascii="Times New Roman" w:eastAsia="Times New Roman"/>
                <w:sz w:val="21"/>
              </w:rPr>
              <w:t>+</w:t>
            </w:r>
            <w:r>
              <w:rPr>
                <w:sz w:val="21"/>
              </w:rPr>
              <w:t>排气筒 </w:t>
            </w:r>
            <w:r>
              <w:rPr>
                <w:rFonts w:ascii="Times New Roman" w:eastAsia="Times New Roman"/>
                <w:sz w:val="21"/>
              </w:rPr>
              <w:t>DA005</w:t>
            </w:r>
          </w:p>
        </w:tc>
      </w:tr>
    </w:tbl>
    <w:p>
      <w:pPr>
        <w:spacing w:after="0"/>
        <w:rPr>
          <w:rFonts w:ascii="Times New Roman" w:eastAsia="Times New Roman"/>
          <w:sz w:val="21"/>
        </w:rPr>
        <w:sectPr>
          <w:pgSz w:w="11910" w:h="16850"/>
          <w:pgMar w:header="730" w:footer="673" w:top="980" w:bottom="860" w:left="1160" w:right="1080"/>
        </w:sectPr>
      </w:pPr>
    </w:p>
    <w:p>
      <w:pPr>
        <w:pStyle w:val="BodyText"/>
        <w:rPr>
          <w:b/>
          <w:sz w:val="20"/>
        </w:rPr>
      </w:pPr>
    </w:p>
    <w:p>
      <w:pPr>
        <w:pStyle w:val="BodyText"/>
        <w:spacing w:before="6"/>
        <w:rPr>
          <w:b/>
          <w:sz w:val="13"/>
        </w:rPr>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6"/>
        <w:gridCol w:w="991"/>
        <w:gridCol w:w="1702"/>
        <w:gridCol w:w="1418"/>
        <w:gridCol w:w="3975"/>
      </w:tblGrid>
      <w:tr>
        <w:trPr>
          <w:trHeight w:val="283" w:hRule="atLeast"/>
        </w:trPr>
        <w:tc>
          <w:tcPr>
            <w:tcW w:w="996" w:type="dxa"/>
          </w:tcPr>
          <w:p>
            <w:pPr>
              <w:pStyle w:val="TableParagraph"/>
              <w:spacing w:line="257" w:lineRule="exact" w:before="5"/>
              <w:ind w:left="285"/>
              <w:jc w:val="left"/>
              <w:rPr>
                <w:b/>
                <w:sz w:val="21"/>
              </w:rPr>
            </w:pPr>
            <w:r>
              <w:rPr>
                <w:b/>
                <w:sz w:val="21"/>
              </w:rPr>
              <w:t>来源</w:t>
            </w:r>
          </w:p>
        </w:tc>
        <w:tc>
          <w:tcPr>
            <w:tcW w:w="991" w:type="dxa"/>
          </w:tcPr>
          <w:p>
            <w:pPr>
              <w:pStyle w:val="TableParagraph"/>
              <w:spacing w:line="257" w:lineRule="exact" w:before="5"/>
              <w:ind w:left="7"/>
              <w:rPr>
                <w:b/>
                <w:sz w:val="21"/>
              </w:rPr>
            </w:pPr>
            <w:r>
              <w:rPr>
                <w:b/>
                <w:sz w:val="21"/>
              </w:rPr>
              <w:t>编号</w:t>
            </w:r>
          </w:p>
        </w:tc>
        <w:tc>
          <w:tcPr>
            <w:tcW w:w="1702" w:type="dxa"/>
          </w:tcPr>
          <w:p>
            <w:pPr>
              <w:pStyle w:val="TableParagraph"/>
              <w:spacing w:line="257" w:lineRule="exact" w:before="5"/>
              <w:ind w:left="429"/>
              <w:jc w:val="left"/>
              <w:rPr>
                <w:b/>
                <w:sz w:val="21"/>
              </w:rPr>
            </w:pPr>
            <w:r>
              <w:rPr>
                <w:b/>
                <w:sz w:val="21"/>
              </w:rPr>
              <w:t>产生工序</w:t>
            </w:r>
          </w:p>
        </w:tc>
        <w:tc>
          <w:tcPr>
            <w:tcW w:w="1418" w:type="dxa"/>
          </w:tcPr>
          <w:p>
            <w:pPr>
              <w:pStyle w:val="TableParagraph"/>
              <w:spacing w:line="257" w:lineRule="exact" w:before="5"/>
              <w:ind w:left="8"/>
              <w:rPr>
                <w:b/>
                <w:sz w:val="21"/>
              </w:rPr>
            </w:pPr>
            <w:r>
              <w:rPr>
                <w:b/>
                <w:sz w:val="21"/>
              </w:rPr>
              <w:t>废气名称</w:t>
            </w:r>
          </w:p>
        </w:tc>
        <w:tc>
          <w:tcPr>
            <w:tcW w:w="3975" w:type="dxa"/>
          </w:tcPr>
          <w:p>
            <w:pPr>
              <w:pStyle w:val="TableParagraph"/>
              <w:spacing w:line="257" w:lineRule="exact" w:before="5"/>
              <w:ind w:left="13" w:right="2"/>
              <w:rPr>
                <w:b/>
                <w:sz w:val="21"/>
              </w:rPr>
            </w:pPr>
            <w:r>
              <w:rPr>
                <w:b/>
                <w:sz w:val="21"/>
              </w:rPr>
              <w:t>处置方式</w:t>
            </w:r>
          </w:p>
        </w:tc>
      </w:tr>
      <w:tr>
        <w:trPr>
          <w:trHeight w:val="544" w:hRule="atLeast"/>
        </w:trPr>
        <w:tc>
          <w:tcPr>
            <w:tcW w:w="996" w:type="dxa"/>
          </w:tcPr>
          <w:p>
            <w:pPr>
              <w:pStyle w:val="TableParagraph"/>
              <w:jc w:val="left"/>
              <w:rPr>
                <w:rFonts w:ascii="Times New Roman"/>
                <w:sz w:val="22"/>
              </w:rPr>
            </w:pPr>
          </w:p>
        </w:tc>
        <w:tc>
          <w:tcPr>
            <w:tcW w:w="991" w:type="dxa"/>
          </w:tcPr>
          <w:p>
            <w:pPr>
              <w:pStyle w:val="TableParagraph"/>
              <w:spacing w:before="151"/>
              <w:ind w:left="8"/>
              <w:rPr>
                <w:rFonts w:ascii="Times New Roman"/>
                <w:sz w:val="21"/>
              </w:rPr>
            </w:pPr>
            <w:r>
              <w:rPr>
                <w:rFonts w:ascii="Times New Roman"/>
                <w:w w:val="100"/>
                <w:sz w:val="21"/>
              </w:rPr>
              <w:t>/</w:t>
            </w:r>
          </w:p>
        </w:tc>
        <w:tc>
          <w:tcPr>
            <w:tcW w:w="1702" w:type="dxa"/>
          </w:tcPr>
          <w:p>
            <w:pPr>
              <w:pStyle w:val="TableParagraph"/>
              <w:spacing w:before="137"/>
              <w:ind w:left="429"/>
              <w:jc w:val="left"/>
              <w:rPr>
                <w:sz w:val="21"/>
              </w:rPr>
            </w:pPr>
            <w:r>
              <w:rPr>
                <w:sz w:val="21"/>
              </w:rPr>
              <w:t>甲酸储罐</w:t>
            </w:r>
          </w:p>
        </w:tc>
        <w:tc>
          <w:tcPr>
            <w:tcW w:w="1418" w:type="dxa"/>
          </w:tcPr>
          <w:p>
            <w:pPr>
              <w:pStyle w:val="TableParagraph"/>
              <w:spacing w:before="137"/>
              <w:ind w:left="8"/>
              <w:rPr>
                <w:sz w:val="21"/>
              </w:rPr>
            </w:pPr>
            <w:r>
              <w:rPr>
                <w:sz w:val="21"/>
              </w:rPr>
              <w:t>甲酸</w:t>
            </w:r>
          </w:p>
        </w:tc>
        <w:tc>
          <w:tcPr>
            <w:tcW w:w="3975" w:type="dxa"/>
          </w:tcPr>
          <w:p>
            <w:pPr>
              <w:pStyle w:val="TableParagraph"/>
              <w:spacing w:before="1"/>
              <w:ind w:left="22" w:right="2"/>
              <w:rPr>
                <w:sz w:val="21"/>
              </w:rPr>
            </w:pPr>
            <w:r>
              <w:rPr>
                <w:spacing w:val="-1"/>
                <w:sz w:val="21"/>
              </w:rPr>
              <w:t>呼吸阀</w:t>
            </w:r>
            <w:r>
              <w:rPr>
                <w:rFonts w:ascii="Times New Roman" w:eastAsia="Times New Roman"/>
                <w:sz w:val="21"/>
              </w:rPr>
              <w:t>+</w:t>
            </w:r>
            <w:r>
              <w:rPr>
                <w:spacing w:val="-9"/>
                <w:sz w:val="21"/>
              </w:rPr>
              <w:t>碱水水封，再接入一级次钠</w:t>
            </w:r>
            <w:r>
              <w:rPr>
                <w:rFonts w:ascii="Times New Roman" w:eastAsia="Times New Roman"/>
                <w:sz w:val="21"/>
              </w:rPr>
              <w:t>+</w:t>
            </w:r>
            <w:r>
              <w:rPr>
                <w:spacing w:val="-2"/>
                <w:sz w:val="21"/>
              </w:rPr>
              <w:t>一级碱</w:t>
            </w:r>
          </w:p>
          <w:p>
            <w:pPr>
              <w:pStyle w:val="TableParagraph"/>
              <w:spacing w:line="250" w:lineRule="exact" w:before="4"/>
              <w:ind w:left="15" w:right="2"/>
              <w:rPr>
                <w:sz w:val="21"/>
              </w:rPr>
            </w:pPr>
            <w:r>
              <w:rPr>
                <w:sz w:val="21"/>
              </w:rPr>
              <w:t>喷淋</w:t>
            </w:r>
            <w:r>
              <w:rPr>
                <w:rFonts w:ascii="Times New Roman" w:eastAsia="Times New Roman"/>
                <w:sz w:val="21"/>
              </w:rPr>
              <w:t>+</w:t>
            </w:r>
            <w:r>
              <w:rPr>
                <w:sz w:val="21"/>
              </w:rPr>
              <w:t>排气筒</w:t>
            </w:r>
            <w:r>
              <w:rPr>
                <w:rFonts w:ascii="Times New Roman" w:eastAsia="Times New Roman"/>
                <w:sz w:val="21"/>
              </w:rPr>
              <w:t>DA005</w:t>
            </w:r>
            <w:r>
              <w:rPr>
                <w:sz w:val="21"/>
              </w:rPr>
              <w:t>；卸料时设置平衡管</w:t>
            </w:r>
          </w:p>
        </w:tc>
      </w:tr>
      <w:tr>
        <w:trPr>
          <w:trHeight w:val="285" w:hRule="atLeast"/>
        </w:trPr>
        <w:tc>
          <w:tcPr>
            <w:tcW w:w="9082" w:type="dxa"/>
            <w:gridSpan w:val="5"/>
          </w:tcPr>
          <w:p>
            <w:pPr>
              <w:pStyle w:val="TableParagraph"/>
              <w:spacing w:line="257" w:lineRule="exact" w:before="8"/>
              <w:ind w:left="4"/>
              <w:jc w:val="left"/>
              <w:rPr>
                <w:sz w:val="21"/>
              </w:rPr>
            </w:pPr>
            <w:r>
              <w:rPr>
                <w:sz w:val="21"/>
              </w:rPr>
              <w:t>注：废气集中处理装置为二级碱喷淋塔</w:t>
            </w:r>
          </w:p>
        </w:tc>
      </w:tr>
    </w:tbl>
    <w:p>
      <w:pPr>
        <w:spacing w:line="225" w:lineRule="auto" w:before="67" w:after="60"/>
        <w:ind w:left="3576" w:right="4883" w:firstLine="0"/>
        <w:jc w:val="center"/>
        <w:rPr>
          <w:sz w:val="20"/>
        </w:rPr>
      </w:pPr>
      <w:r>
        <w:rPr/>
        <w:pict>
          <v:shape style="position:absolute;margin-left:237.537918pt;margin-top:54.388668pt;width:59.15pt;height:29.55pt;mso-position-horizontal-relative:page;mso-position-vertical-relative:paragraph;z-index:251840512" type="#_x0000_t202" filled="false" stroked="true" strokeweight=".625073pt" strokecolor="#000000">
            <v:textbox inset="0,0,0,0">
              <w:txbxContent>
                <w:p>
                  <w:pPr>
                    <w:spacing w:before="146"/>
                    <w:ind w:left="180" w:right="0" w:firstLine="0"/>
                    <w:jc w:val="left"/>
                    <w:rPr>
                      <w:sz w:val="20"/>
                    </w:rPr>
                  </w:pPr>
                  <w:r>
                    <w:rPr>
                      <w:sz w:val="20"/>
                    </w:rPr>
                    <w:t>两级冷凝</w:t>
                  </w:r>
                </w:p>
              </w:txbxContent>
            </v:textbox>
            <v:stroke dashstyle="solid"/>
            <w10:wrap type="none"/>
          </v:shape>
        </w:pict>
      </w:r>
      <w:r>
        <w:rPr>
          <w:sz w:val="20"/>
        </w:rPr>
        <w:t>三环唑生产线废气</w:t>
      </w:r>
    </w:p>
    <w:p>
      <w:pPr>
        <w:pStyle w:val="BodyText"/>
        <w:ind w:left="4124"/>
        <w:rPr>
          <w:sz w:val="20"/>
        </w:rPr>
      </w:pPr>
      <w:r>
        <w:rPr>
          <w:sz w:val="20"/>
        </w:rPr>
        <w:pict>
          <v:group style="width:5.5pt;height:23.65pt;mso-position-horizontal-relative:char;mso-position-vertical-relative:line" coordorigin="0,0" coordsize="110,473">
            <v:line style="position:absolute" from="55,0" to="55,322" stroked="true" strokeweight=".625887pt" strokecolor="#000000">
              <v:stroke dashstyle="solid"/>
            </v:line>
            <v:shape style="position:absolute;left:0;top:308;width:110;height:164" coordorigin="0,309" coordsize="110,164" path="m109,309l0,309,55,472,109,309xe" filled="true" fillcolor="#000000" stroked="false">
              <v:path arrowok="t"/>
              <v:fill type="solid"/>
            </v:shape>
          </v:group>
        </w:pict>
      </w:r>
      <w:r>
        <w:rPr>
          <w:sz w:val="20"/>
        </w:rPr>
      </w:r>
    </w:p>
    <w:p>
      <w:pPr>
        <w:spacing w:after="0"/>
        <w:rPr>
          <w:sz w:val="20"/>
        </w:rPr>
        <w:sectPr>
          <w:footerReference w:type="default" r:id="rId60"/>
          <w:pgSz w:w="11910" w:h="16850"/>
          <w:pgMar w:footer="673" w:header="730" w:top="980" w:bottom="860" w:left="1160" w:right="1080"/>
          <w:pgNumType w:start="110"/>
        </w:sectPr>
      </w:pPr>
    </w:p>
    <w:p>
      <w:pPr>
        <w:spacing w:line="225" w:lineRule="auto" w:before="21"/>
        <w:ind w:left="1850" w:right="38" w:hanging="201"/>
        <w:jc w:val="left"/>
        <w:rPr>
          <w:sz w:val="20"/>
        </w:rPr>
      </w:pPr>
      <w:r>
        <w:rPr/>
        <w:pict>
          <v:shape style="position:absolute;margin-left:145.950592pt;margin-top:52.271919pt;width:59.15pt;height:29.55pt;mso-position-horizontal-relative:page;mso-position-vertical-relative:paragraph;z-index:251839488" type="#_x0000_t202" filled="false" stroked="true" strokeweight=".625073pt" strokecolor="#000000">
            <v:textbox inset="0,0,0,0">
              <w:txbxContent>
                <w:p>
                  <w:pPr>
                    <w:spacing w:before="148"/>
                    <w:ind w:left="179" w:right="0" w:firstLine="0"/>
                    <w:jc w:val="left"/>
                    <w:rPr>
                      <w:sz w:val="20"/>
                    </w:rPr>
                  </w:pPr>
                  <w:r>
                    <w:rPr>
                      <w:sz w:val="20"/>
                    </w:rPr>
                    <w:t>布袋除尘</w:t>
                  </w:r>
                </w:p>
              </w:txbxContent>
            </v:textbox>
            <v:stroke dashstyle="solid"/>
            <w10:wrap type="none"/>
          </v:shape>
        </w:pict>
      </w:r>
      <w:r>
        <w:rPr>
          <w:sz w:val="20"/>
        </w:rPr>
        <w:t>三环唑投料、包装废气</w:t>
      </w:r>
    </w:p>
    <w:p>
      <w:pPr>
        <w:spacing w:line="225" w:lineRule="auto" w:before="27"/>
        <w:ind w:left="1950" w:right="2928" w:hanging="301"/>
        <w:jc w:val="left"/>
        <w:rPr>
          <w:sz w:val="20"/>
        </w:rPr>
      </w:pPr>
      <w:r>
        <w:rPr/>
        <w:br w:type="column"/>
      </w:r>
      <w:r>
        <w:rPr>
          <w:sz w:val="20"/>
        </w:rPr>
        <w:t>三环唑可湿性粉剂生产线</w:t>
      </w:r>
    </w:p>
    <w:p>
      <w:pPr>
        <w:spacing w:after="0" w:line="225" w:lineRule="auto"/>
        <w:jc w:val="left"/>
        <w:rPr>
          <w:sz w:val="20"/>
        </w:rPr>
        <w:sectPr>
          <w:type w:val="continuous"/>
          <w:pgSz w:w="11910" w:h="16850"/>
          <w:pgMar w:top="1420" w:bottom="280" w:left="1160" w:right="1080"/>
          <w:cols w:num="2" w:equalWidth="0">
            <w:col w:w="2894" w:space="787"/>
            <w:col w:w="5989"/>
          </w:cols>
        </w:sectPr>
      </w:pPr>
    </w:p>
    <w:p>
      <w:pPr>
        <w:pStyle w:val="BodyText"/>
        <w:spacing w:before="6"/>
        <w:rPr>
          <w:sz w:val="4"/>
        </w:rPr>
      </w:pPr>
    </w:p>
    <w:p>
      <w:pPr>
        <w:tabs>
          <w:tab w:pos="5952" w:val="left" w:leader="none"/>
        </w:tabs>
        <w:spacing w:line="240" w:lineRule="auto"/>
        <w:ind w:left="2302" w:right="0" w:firstLine="0"/>
        <w:rPr>
          <w:sz w:val="20"/>
        </w:rPr>
      </w:pPr>
      <w:r>
        <w:rPr>
          <w:sz w:val="20"/>
        </w:rPr>
        <w:pict>
          <v:group style="width:5.5pt;height:23.65pt;mso-position-horizontal-relative:char;mso-position-vertical-relative:line" coordorigin="0,0" coordsize="110,473">
            <v:line style="position:absolute" from="55,0" to="55,322" stroked="true" strokeweight=".625887pt" strokecolor="#000000">
              <v:stroke dashstyle="solid"/>
            </v:line>
            <v:shape style="position:absolute;left:0;top:308;width:110;height:164" coordorigin="0,309" coordsize="110,164" path="m109,309l0,309,55,472,109,309xe" filled="true" fillcolor="#000000" stroked="false">
              <v:path arrowok="t"/>
              <v:fill type="solid"/>
            </v:shape>
          </v:group>
        </w:pict>
      </w:r>
      <w:r>
        <w:rPr>
          <w:sz w:val="20"/>
        </w:rPr>
      </w:r>
      <w:r>
        <w:rPr>
          <w:sz w:val="20"/>
        </w:rPr>
        <w:tab/>
      </w:r>
      <w:r>
        <w:rPr>
          <w:sz w:val="20"/>
        </w:rPr>
        <w:pict>
          <v:group style="width:5.5pt;height:23.65pt;mso-position-horizontal-relative:char;mso-position-vertical-relative:line" coordorigin="0,0" coordsize="110,473">
            <v:line style="position:absolute" from="55,0" to="55,322" stroked="true" strokeweight=".625887pt" strokecolor="#000000">
              <v:stroke dashstyle="solid"/>
            </v:line>
            <v:shape style="position:absolute;left:0;top:308;width:110;height:164" coordorigin="0,309" coordsize="110,164" path="m109,309l0,309,55,472,109,309xe" filled="true" fillcolor="#000000" stroked="false">
              <v:path arrowok="t"/>
              <v:fill type="solid"/>
            </v:shape>
          </v:group>
        </w:pict>
      </w:r>
      <w:r>
        <w:rPr>
          <w:sz w:val="20"/>
        </w:rPr>
      </w: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72"/>
        <w:ind w:left="5623" w:right="0" w:firstLine="0"/>
        <w:jc w:val="left"/>
        <w:rPr>
          <w:sz w:val="20"/>
        </w:rPr>
      </w:pPr>
      <w:r>
        <w:rPr/>
        <w:pict>
          <v:group style="position:absolute;margin-left:205.089417pt;margin-top:-81.021553pt;width:184.35pt;height:125.5pt;mso-position-horizontal-relative:page;mso-position-vertical-relative:paragraph;z-index:-317751296" coordorigin="4102,-1620" coordsize="3687,2510">
            <v:line style="position:absolute" from="5345,-1620" to="5345,-1298" stroked="true" strokeweight=".625887pt" strokecolor="#000000">
              <v:stroke dashstyle="solid"/>
            </v:line>
            <v:shape style="position:absolute;left:5290;top:-1312;width:110;height:164" coordorigin="5291,-1312" coordsize="110,164" path="m5400,-1312l5291,-1312,5345,-1148,5400,-1312xe" filled="true" fillcolor="#000000" stroked="false">
              <v:path arrowok="t"/>
              <v:fill type="solid"/>
            </v:shape>
            <v:line style="position:absolute" from="5345,-558" to="5345,-235" stroked="true" strokeweight=".625887pt" strokecolor="#000000">
              <v:stroke dashstyle="solid"/>
            </v:line>
            <v:shape style="position:absolute;left:5290;top:-249;width:110;height:164" coordorigin="5291,-249" coordsize="110,164" path="m5400,-249l5291,-249,5345,-85,5400,-249xe" filled="true" fillcolor="#000000" stroked="false">
              <v:path arrowok="t"/>
              <v:fill type="solid"/>
            </v:shape>
            <v:rect style="position:absolute;left:4493;top:-1444;width:1680;height:2327" filled="false" stroked="true" strokeweight=".625538pt" strokecolor="#ff0000">
              <v:stroke dashstyle="shortdash"/>
            </v:rect>
            <v:line style="position:absolute" from="6599,-841" to="6087,-841" stroked="true" strokeweight=".624867pt" strokecolor="#000000">
              <v:stroke dashstyle="solid"/>
            </v:line>
            <v:shape style="position:absolute;left:5936;top:-896;width:164;height:109" coordorigin="5937,-896" coordsize="164,109" path="m6100,-896l5937,-841,6100,-787,6100,-896xe" filled="true" fillcolor="#000000" stroked="false">
              <v:path arrowok="t"/>
              <v:fill type="solid"/>
            </v:shape>
            <v:line style="position:absolute" from="6449,222" to="5937,222" stroked="true" strokeweight=".624867pt" strokecolor="#000000">
              <v:stroke dashstyle="solid"/>
            </v:line>
            <v:shape style="position:absolute;left:6435;top:167;width:164;height:109" coordorigin="6435,167" coordsize="164,109" path="m6435,167l6435,276,6599,222,6435,167xe" filled="true" fillcolor="#000000" stroked="false">
              <v:path arrowok="t"/>
              <v:fill type="solid"/>
            </v:shape>
            <v:line style="position:absolute" from="4614,-824" to="4102,-824" stroked="true" strokeweight=".624867pt" strokecolor="#000000">
              <v:stroke dashstyle="solid"/>
            </v:line>
            <v:shape style="position:absolute;left:4600;top:-879;width:164;height:109" coordorigin="4600,-878" coordsize="164,109" path="m4600,-878l4600,-769,4764,-824,4600,-878xe" filled="true" fillcolor="#000000" stroked="false">
              <v:path arrowok="t"/>
              <v:fill type="solid"/>
            </v:shape>
            <v:shape style="position:absolute;left:4653;top:684;width:1024;height:163" type="#_x0000_t202" filled="false" stroked="false">
              <v:textbox inset="0,0,0,0">
                <w:txbxContent>
                  <w:p>
                    <w:pPr>
                      <w:spacing w:line="163" w:lineRule="exact" w:before="0"/>
                      <w:ind w:left="0" w:right="0" w:firstLine="0"/>
                      <w:jc w:val="left"/>
                      <w:rPr>
                        <w:sz w:val="16"/>
                      </w:rPr>
                    </w:pPr>
                    <w:r>
                      <w:rPr>
                        <w:color w:val="FF0000"/>
                        <w:sz w:val="16"/>
                      </w:rPr>
                      <w:t>废气集中处理</w:t>
                    </w:r>
                  </w:p>
                </w:txbxContent>
              </v:textbox>
              <w10:wrap type="none"/>
            </v:shape>
            <v:shape style="position:absolute;left:4750;top:-86;width:1183;height:591" type="#_x0000_t202" filled="false" stroked="true" strokeweight=".625073pt" strokecolor="#000000">
              <v:textbox inset="0,0,0,0">
                <w:txbxContent>
                  <w:p>
                    <w:pPr>
                      <w:spacing w:before="151"/>
                      <w:ind w:left="286" w:right="0" w:firstLine="0"/>
                      <w:jc w:val="left"/>
                      <w:rPr>
                        <w:sz w:val="20"/>
                      </w:rPr>
                    </w:pPr>
                    <w:r>
                      <w:rPr>
                        <w:sz w:val="20"/>
                      </w:rPr>
                      <w:t>碱喷淋</w:t>
                    </w:r>
                  </w:p>
                </w:txbxContent>
              </v:textbox>
              <v:stroke dashstyle="solid"/>
              <w10:wrap type="none"/>
            </v:shape>
            <v:shape style="position:absolute;left:6599;top:-1149;width:1183;height:591" type="#_x0000_t202" filled="false" stroked="true" strokeweight=".625073pt" strokecolor="#000000">
              <v:textbox inset="0,0,0,0">
                <w:txbxContent>
                  <w:p>
                    <w:pPr>
                      <w:spacing w:before="148"/>
                      <w:ind w:left="186" w:right="0" w:firstLine="0"/>
                      <w:jc w:val="left"/>
                      <w:rPr>
                        <w:sz w:val="20"/>
                      </w:rPr>
                    </w:pPr>
                    <w:r>
                      <w:rPr>
                        <w:sz w:val="20"/>
                      </w:rPr>
                      <w:t>布袋除尘</w:t>
                    </w:r>
                  </w:p>
                </w:txbxContent>
              </v:textbox>
              <v:stroke dashstyle="solid"/>
              <w10:wrap type="none"/>
            </v:shape>
            <v:shape style="position:absolute;left:4753;top:-1149;width:1183;height:591" type="#_x0000_t202" filled="false" stroked="true" strokeweight=".625073pt" strokecolor="#000000">
              <v:textbox inset="0,0,0,0">
                <w:txbxContent>
                  <w:p>
                    <w:pPr>
                      <w:spacing w:before="148"/>
                      <w:ind w:left="283" w:right="0" w:firstLine="0"/>
                      <w:jc w:val="left"/>
                      <w:rPr>
                        <w:sz w:val="20"/>
                      </w:rPr>
                    </w:pPr>
                    <w:r>
                      <w:rPr>
                        <w:sz w:val="20"/>
                      </w:rPr>
                      <w:t>碱喷淋</w:t>
                    </w:r>
                  </w:p>
                </w:txbxContent>
              </v:textbox>
              <v:stroke dashstyle="solid"/>
              <w10:wrap type="none"/>
            </v:shape>
            <w10:wrap type="none"/>
          </v:group>
        </w:pict>
      </w:r>
      <w:r>
        <w:rPr>
          <w:sz w:val="20"/>
        </w:rPr>
        <w:t>排气筒DA004</w:t>
      </w:r>
    </w:p>
    <w:p>
      <w:pPr>
        <w:pStyle w:val="BodyText"/>
        <w:rPr>
          <w:sz w:val="20"/>
        </w:rPr>
      </w:pPr>
    </w:p>
    <w:p>
      <w:pPr>
        <w:pStyle w:val="BodyText"/>
        <w:rPr>
          <w:sz w:val="20"/>
        </w:rPr>
      </w:pPr>
    </w:p>
    <w:p>
      <w:pPr>
        <w:pStyle w:val="BodyText"/>
        <w:rPr>
          <w:sz w:val="20"/>
        </w:rPr>
      </w:pPr>
    </w:p>
    <w:p>
      <w:pPr>
        <w:pStyle w:val="BodyText"/>
        <w:spacing w:before="9"/>
        <w:rPr>
          <w:sz w:val="15"/>
        </w:rPr>
      </w:pPr>
    </w:p>
    <w:p>
      <w:pPr>
        <w:spacing w:after="0"/>
        <w:rPr>
          <w:sz w:val="15"/>
        </w:rPr>
        <w:sectPr>
          <w:type w:val="continuous"/>
          <w:pgSz w:w="11910" w:h="16850"/>
          <w:pgMar w:top="1420" w:bottom="280" w:left="1160" w:right="1080"/>
        </w:sectPr>
      </w:pPr>
    </w:p>
    <w:p>
      <w:pPr>
        <w:spacing w:line="225" w:lineRule="auto" w:before="84"/>
        <w:ind w:left="1591" w:right="409" w:firstLine="0"/>
        <w:jc w:val="center"/>
        <w:rPr>
          <w:sz w:val="20"/>
        </w:rPr>
      </w:pPr>
      <w:r>
        <w:rPr/>
        <w:pict>
          <v:group style="position:absolute;margin-left:201.380829pt;margin-top:19.620399pt;width:33.15pt;height:5.45pt;mso-position-horizontal-relative:page;mso-position-vertical-relative:paragraph;z-index:251837440" coordorigin="4028,392" coordsize="663,109">
            <v:line style="position:absolute" from="4540,447" to="4028,447" stroked="true" strokeweight=".624867pt" strokecolor="#000000">
              <v:stroke dashstyle="solid"/>
            </v:line>
            <v:shape style="position:absolute;left:4526;top:392;width:164;height:109" coordorigin="4526,392" coordsize="164,109" path="m4526,392l4526,501,4690,447,4526,392xe" filled="true" fillcolor="#000000" stroked="false">
              <v:path arrowok="t"/>
              <v:fill type="solid"/>
            </v:shape>
            <w10:wrap type="none"/>
          </v:group>
        </w:pict>
      </w:r>
      <w:r>
        <w:rPr>
          <w:sz w:val="20"/>
        </w:rPr>
        <w:t>污水处理设施危废暂存场所甲酸储罐</w:t>
      </w:r>
    </w:p>
    <w:p>
      <w:pPr>
        <w:pStyle w:val="BodyText"/>
        <w:rPr>
          <w:sz w:val="20"/>
        </w:rPr>
      </w:pPr>
    </w:p>
    <w:p>
      <w:pPr>
        <w:pStyle w:val="BodyText"/>
        <w:spacing w:before="1"/>
      </w:pPr>
    </w:p>
    <w:p>
      <w:pPr>
        <w:pStyle w:val="Heading4"/>
        <w:numPr>
          <w:ilvl w:val="2"/>
          <w:numId w:val="13"/>
        </w:numPr>
        <w:tabs>
          <w:tab w:pos="1039" w:val="left" w:leader="none"/>
        </w:tabs>
        <w:spacing w:line="240" w:lineRule="auto" w:before="0" w:after="0"/>
        <w:ind w:left="1038" w:right="0" w:hanging="541"/>
        <w:jc w:val="left"/>
      </w:pPr>
      <w:r>
        <w:rPr>
          <w:spacing w:val="-2"/>
        </w:rPr>
        <w:t>废气处理可行性分析</w:t>
      </w:r>
    </w:p>
    <w:p>
      <w:pPr>
        <w:pStyle w:val="BodyText"/>
        <w:spacing w:before="158"/>
        <w:ind w:left="738"/>
      </w:pPr>
      <w:r>
        <w:rPr>
          <w:rFonts w:ascii="Times New Roman" w:eastAsia="Times New Roman"/>
        </w:rPr>
        <w:t>1</w:t>
      </w:r>
      <w:r>
        <w:rPr/>
        <w:t>、冷凝可行性分析</w:t>
      </w:r>
    </w:p>
    <w:p>
      <w:pPr>
        <w:pStyle w:val="BodyText"/>
        <w:spacing w:before="3" w:after="40"/>
        <w:rPr>
          <w:sz w:val="8"/>
        </w:rPr>
      </w:pPr>
      <w:r>
        <w:rPr/>
        <w:br w:type="column"/>
      </w:r>
      <w:r>
        <w:rPr>
          <w:sz w:val="8"/>
        </w:rPr>
      </w:r>
    </w:p>
    <w:p>
      <w:pPr>
        <w:pStyle w:val="BodyText"/>
        <w:ind w:left="275"/>
        <w:rPr>
          <w:sz w:val="20"/>
        </w:rPr>
      </w:pPr>
      <w:r>
        <w:rPr>
          <w:position w:val="0"/>
          <w:sz w:val="20"/>
        </w:rPr>
        <w:pict>
          <v:shape style="width:49.7pt;height:29.55pt;mso-position-horizontal-relative:char;mso-position-vertical-relative:line" type="#_x0000_t202" filled="false" stroked="true" strokeweight=".625136pt" strokecolor="#000000">
            <w10:anchorlock/>
            <v:textbox inset="0,0,0,0">
              <w:txbxContent>
                <w:p>
                  <w:pPr>
                    <w:spacing w:before="155"/>
                    <w:ind w:left="87" w:right="0" w:firstLine="0"/>
                    <w:jc w:val="left"/>
                    <w:rPr>
                      <w:sz w:val="20"/>
                    </w:rPr>
                  </w:pPr>
                  <w:r>
                    <w:rPr>
                      <w:sz w:val="20"/>
                    </w:rPr>
                    <w:t>次钠氧化</w:t>
                  </w:r>
                </w:p>
              </w:txbxContent>
            </v:textbox>
            <v:stroke dashstyle="solid"/>
          </v:shape>
        </w:pict>
      </w:r>
      <w:r>
        <w:rPr>
          <w:position w:val="0"/>
          <w:sz w:val="20"/>
        </w:rPr>
      </w:r>
    </w:p>
    <w:p>
      <w:pPr>
        <w:tabs>
          <w:tab w:pos="1132" w:val="left" w:leader="none"/>
        </w:tabs>
        <w:spacing w:before="177"/>
        <w:ind w:left="62" w:right="0" w:firstLine="0"/>
        <w:jc w:val="left"/>
        <w:rPr>
          <w:b/>
          <w:sz w:val="24"/>
        </w:rPr>
      </w:pPr>
      <w:r>
        <w:rPr/>
        <w:pict>
          <v:group style="position:absolute;margin-left:366.971405pt;margin-top:-18.893080pt;width:28.4pt;height:5.45pt;mso-position-horizontal-relative:page;mso-position-vertical-relative:paragraph;z-index:251835392" coordorigin="7339,-378" coordsize="568,109">
            <v:line style="position:absolute" from="7757,-323" to="7339,-323" stroked="true" strokeweight=".624867pt" strokecolor="#000000">
              <v:stroke dashstyle="solid"/>
            </v:line>
            <v:shape style="position:absolute;left:7743;top:-378;width:164;height:109" coordorigin="7743,-378" coordsize="164,109" path="m7743,-378l7743,-269,7907,-323,7743,-378xe" filled="true" fillcolor="#000000" stroked="false">
              <v:path arrowok="t"/>
              <v:fill type="solid"/>
            </v:shape>
            <w10:wrap type="none"/>
          </v:group>
        </w:pict>
      </w:r>
      <w:r>
        <w:rPr/>
        <w:pict>
          <v:group style="position:absolute;margin-left:284.179047pt;margin-top:-18.893080pt;width:33.15pt;height:5.45pt;mso-position-horizontal-relative:page;mso-position-vertical-relative:paragraph;z-index:251836416" coordorigin="5684,-378" coordsize="663,109">
            <v:line style="position:absolute" from="6196,-323" to="5684,-323" stroked="true" strokeweight=".624867pt" strokecolor="#000000">
              <v:stroke dashstyle="solid"/>
            </v:line>
            <v:shape style="position:absolute;left:6182;top:-378;width:164;height:109" coordorigin="6182,-378" coordsize="164,109" path="m6182,-378l6182,-269,6346,-323,6182,-378xe" filled="true" fillcolor="#000000" stroked="false">
              <v:path arrowok="t"/>
              <v:fill type="solid"/>
            </v:shape>
            <w10:wrap type="none"/>
          </v:group>
        </w:pict>
      </w:r>
      <w:r>
        <w:rPr/>
        <w:pict>
          <v:shape style="position:absolute;margin-left:317.292633pt;margin-top:-31.519733pt;width:49.7pt;height:29.55pt;mso-position-horizontal-relative:page;mso-position-vertical-relative:paragraph;z-index:251838464" type="#_x0000_t202" filled="false" stroked="true" strokeweight=".625136pt" strokecolor="#000000">
            <v:textbox inset="0,0,0,0">
              <w:txbxContent>
                <w:p>
                  <w:pPr>
                    <w:spacing w:before="155"/>
                    <w:ind w:left="191" w:right="0" w:firstLine="0"/>
                    <w:jc w:val="left"/>
                    <w:rPr>
                      <w:sz w:val="20"/>
                    </w:rPr>
                  </w:pPr>
                  <w:r>
                    <w:rPr>
                      <w:sz w:val="20"/>
                    </w:rPr>
                    <w:t>碱喷淋</w:t>
                  </w:r>
                </w:p>
              </w:txbxContent>
            </v:textbox>
            <v:stroke dashstyle="solid"/>
            <w10:wrap type="none"/>
          </v:shape>
        </w:pict>
      </w:r>
      <w:r>
        <w:rPr>
          <w:b/>
          <w:sz w:val="21"/>
        </w:rPr>
        <w:t>图</w:t>
      </w:r>
      <w:r>
        <w:rPr>
          <w:b/>
          <w:spacing w:val="-52"/>
          <w:sz w:val="21"/>
        </w:rPr>
        <w:t> </w:t>
      </w:r>
      <w:r>
        <w:rPr>
          <w:rFonts w:ascii="Times New Roman" w:eastAsia="Times New Roman"/>
          <w:b/>
          <w:sz w:val="21"/>
        </w:rPr>
        <w:t>5.2.1-1</w:t>
        <w:tab/>
      </w:r>
      <w:r>
        <w:rPr>
          <w:b/>
          <w:sz w:val="21"/>
        </w:rPr>
        <w:t>项目废气处理流程图</w:t>
      </w:r>
      <w:r>
        <w:rPr>
          <w:b/>
          <w:w w:val="99"/>
          <w:sz w:val="24"/>
        </w:rPr>
        <w:t> </w:t>
      </w:r>
    </w:p>
    <w:p>
      <w:pPr>
        <w:pStyle w:val="BodyText"/>
        <w:spacing w:before="5"/>
        <w:rPr>
          <w:b/>
        </w:rPr>
      </w:pPr>
      <w:r>
        <w:rPr/>
        <w:br w:type="column"/>
      </w:r>
      <w:r>
        <w:rPr>
          <w:b/>
        </w:rPr>
      </w:r>
    </w:p>
    <w:p>
      <w:pPr>
        <w:spacing w:before="1"/>
        <w:ind w:left="416" w:right="0" w:firstLine="0"/>
        <w:jc w:val="left"/>
        <w:rPr>
          <w:sz w:val="20"/>
        </w:rPr>
      </w:pPr>
      <w:r>
        <w:rPr>
          <w:sz w:val="20"/>
        </w:rPr>
        <w:t>排气筒DA005</w:t>
      </w:r>
    </w:p>
    <w:p>
      <w:pPr>
        <w:spacing w:after="0"/>
        <w:jc w:val="left"/>
        <w:rPr>
          <w:sz w:val="20"/>
        </w:rPr>
        <w:sectPr>
          <w:type w:val="continuous"/>
          <w:pgSz w:w="11910" w:h="16850"/>
          <w:pgMar w:top="1420" w:bottom="280" w:left="1160" w:right="1080"/>
          <w:cols w:num="3" w:equalWidth="0">
            <w:col w:w="3208" w:space="40"/>
            <w:col w:w="3152" w:space="39"/>
            <w:col w:w="3231"/>
          </w:cols>
        </w:sectPr>
      </w:pPr>
    </w:p>
    <w:p>
      <w:pPr>
        <w:pStyle w:val="BodyText"/>
        <w:spacing w:line="364" w:lineRule="auto" w:before="161"/>
        <w:ind w:left="258" w:right="332" w:firstLine="480"/>
        <w:jc w:val="both"/>
      </w:pPr>
      <w:r>
        <w:rPr>
          <w:spacing w:val="-3"/>
        </w:rPr>
        <w:t>本项目甲酸废气主要采用冷凝回收预处理，甲酸废气沸点 </w:t>
      </w:r>
      <w:r>
        <w:rPr>
          <w:rFonts w:ascii="Times New Roman" w:eastAsia="Times New Roman"/>
        </w:rPr>
        <w:t>100.8 </w:t>
      </w:r>
      <w:r>
        <w:rPr>
          <w:spacing w:val="-2"/>
        </w:rPr>
        <w:t>度，冷媒温度最低</w:t>
      </w:r>
      <w:r>
        <w:rPr/>
        <w:t>为</w:t>
      </w:r>
      <w:r>
        <w:rPr>
          <w:rFonts w:ascii="Times New Roman" w:eastAsia="Times New Roman"/>
        </w:rPr>
        <w:t>-10~-15 </w:t>
      </w:r>
      <w:r>
        <w:rPr>
          <w:spacing w:val="-1"/>
        </w:rPr>
        <w:t>度。冷媒温度与沸点的温差越大，冷凝效果越好，冷却面积越大，冷凝效果</w:t>
      </w:r>
      <w:r>
        <w:rPr>
          <w:spacing w:val="-3"/>
        </w:rPr>
        <w:t>越好，根据经验，本项目冷凝回收设计处理效率在 </w:t>
      </w:r>
      <w:r>
        <w:rPr>
          <w:rFonts w:ascii="Times New Roman" w:eastAsia="Times New Roman"/>
        </w:rPr>
        <w:t>60</w:t>
      </w:r>
      <w:r>
        <w:rPr/>
        <w:t>％～</w:t>
      </w:r>
      <w:r>
        <w:rPr>
          <w:rFonts w:ascii="Times New Roman" w:eastAsia="Times New Roman"/>
        </w:rPr>
        <w:t>70</w:t>
      </w:r>
      <w:r>
        <w:rPr/>
        <w:t>％之间完全可行。</w:t>
      </w:r>
    </w:p>
    <w:p>
      <w:pPr>
        <w:pStyle w:val="BodyText"/>
        <w:spacing w:line="304" w:lineRule="exact"/>
        <w:ind w:left="738"/>
      </w:pPr>
      <w:r>
        <w:rPr>
          <w:rFonts w:ascii="Times New Roman" w:eastAsia="Times New Roman"/>
        </w:rPr>
        <w:t>2</w:t>
      </w:r>
      <w:r>
        <w:rPr/>
        <w:t>、喷淋处理可行性分析</w:t>
      </w:r>
    </w:p>
    <w:p>
      <w:pPr>
        <w:pStyle w:val="BodyText"/>
        <w:spacing w:line="362" w:lineRule="auto" w:before="160"/>
        <w:ind w:left="258" w:right="272" w:firstLine="480"/>
      </w:pPr>
      <w:r>
        <w:rPr/>
        <w:t>本项目甲酸废气经冷凝预处理后接入废气集中处理装置吸收，甲酸与水混溶，与碱液充分接触反应以达到去除的目的。</w:t>
      </w:r>
    </w:p>
    <w:p>
      <w:pPr>
        <w:pStyle w:val="BodyText"/>
        <w:spacing w:line="362" w:lineRule="auto" w:before="6"/>
        <w:ind w:left="258" w:right="337" w:firstLine="480"/>
      </w:pPr>
      <w:r>
        <w:rPr/>
        <w:t>可湿性粉剂生产过程产生的粉尘收集后经覆膜式布袋除尘处理后进入废气集中处理装置处理，选用的处理措施均为同类企业目前使用较为成熟可靠地技术。</w:t>
      </w:r>
    </w:p>
    <w:p>
      <w:pPr>
        <w:pStyle w:val="BodyText"/>
        <w:spacing w:before="5"/>
        <w:ind w:left="738"/>
      </w:pPr>
      <w:r>
        <w:rPr>
          <w:rFonts w:ascii="Times New Roman" w:eastAsia="Times New Roman"/>
        </w:rPr>
        <w:t>3</w:t>
      </w:r>
      <w:r>
        <w:rPr/>
        <w:t>、排气筒排放情况</w:t>
      </w:r>
    </w:p>
    <w:p>
      <w:pPr>
        <w:pStyle w:val="BodyText"/>
        <w:spacing w:before="160"/>
        <w:ind w:left="738"/>
      </w:pPr>
      <w:r>
        <w:rPr/>
        <w:t>项目实施后排气筒排放情况如下表所示：</w:t>
      </w:r>
    </w:p>
    <w:p>
      <w:pPr>
        <w:pStyle w:val="Heading4"/>
        <w:tabs>
          <w:tab w:pos="1221" w:val="left" w:leader="none"/>
        </w:tabs>
        <w:spacing w:before="158" w:after="3"/>
        <w:ind w:left="0" w:right="76"/>
        <w:jc w:val="center"/>
      </w:pPr>
      <w:r>
        <w:rPr/>
        <w:t>表</w:t>
      </w:r>
      <w:r>
        <w:rPr>
          <w:spacing w:val="-60"/>
        </w:rPr>
        <w:t> </w:t>
      </w:r>
      <w:r>
        <w:rPr>
          <w:rFonts w:ascii="Times New Roman" w:eastAsia="Times New Roman"/>
        </w:rPr>
        <w:t>5.2.2-1</w:t>
        <w:tab/>
      </w:r>
      <w:r>
        <w:rPr/>
        <w:t>项目排气筒废气排放情况</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3"/>
        <w:gridCol w:w="1035"/>
        <w:gridCol w:w="2246"/>
        <w:gridCol w:w="1277"/>
        <w:gridCol w:w="1844"/>
        <w:gridCol w:w="1135"/>
      </w:tblGrid>
      <w:tr>
        <w:trPr>
          <w:trHeight w:val="282" w:hRule="atLeast"/>
        </w:trPr>
        <w:tc>
          <w:tcPr>
            <w:tcW w:w="1543" w:type="dxa"/>
          </w:tcPr>
          <w:p>
            <w:pPr>
              <w:pStyle w:val="TableParagraph"/>
              <w:spacing w:line="257" w:lineRule="exact" w:before="5"/>
              <w:ind w:left="453"/>
              <w:jc w:val="left"/>
              <w:rPr>
                <w:b/>
                <w:sz w:val="21"/>
              </w:rPr>
            </w:pPr>
            <w:r>
              <w:rPr>
                <w:b/>
                <w:sz w:val="21"/>
              </w:rPr>
              <w:t>排放源</w:t>
            </w:r>
          </w:p>
        </w:tc>
        <w:tc>
          <w:tcPr>
            <w:tcW w:w="1035" w:type="dxa"/>
          </w:tcPr>
          <w:p>
            <w:pPr>
              <w:pStyle w:val="TableParagraph"/>
              <w:spacing w:line="257" w:lineRule="exact" w:before="5"/>
              <w:ind w:left="72" w:right="66"/>
              <w:rPr>
                <w:b/>
                <w:sz w:val="21"/>
              </w:rPr>
            </w:pPr>
            <w:r>
              <w:rPr>
                <w:b/>
                <w:sz w:val="21"/>
              </w:rPr>
              <w:t>废气因子</w:t>
            </w:r>
          </w:p>
        </w:tc>
        <w:tc>
          <w:tcPr>
            <w:tcW w:w="2246" w:type="dxa"/>
          </w:tcPr>
          <w:p>
            <w:pPr>
              <w:pStyle w:val="TableParagraph"/>
              <w:spacing w:line="257" w:lineRule="exact" w:before="5"/>
              <w:ind w:left="220" w:right="208"/>
              <w:rPr>
                <w:rFonts w:ascii="Times New Roman" w:eastAsia="Times New Roman"/>
                <w:b/>
                <w:sz w:val="21"/>
              </w:rPr>
            </w:pPr>
            <w:r>
              <w:rPr>
                <w:b/>
                <w:sz w:val="21"/>
              </w:rPr>
              <w:t>最大排放速率 </w:t>
            </w:r>
            <w:r>
              <w:rPr>
                <w:rFonts w:ascii="Times New Roman" w:eastAsia="Times New Roman"/>
                <w:b/>
                <w:sz w:val="21"/>
              </w:rPr>
              <w:t>kg/h</w:t>
            </w:r>
          </w:p>
        </w:tc>
        <w:tc>
          <w:tcPr>
            <w:tcW w:w="1277" w:type="dxa"/>
          </w:tcPr>
          <w:p>
            <w:pPr>
              <w:pStyle w:val="TableParagraph"/>
              <w:spacing w:line="257" w:lineRule="exact" w:before="5"/>
              <w:ind w:left="189"/>
              <w:jc w:val="left"/>
              <w:rPr>
                <w:rFonts w:ascii="Times New Roman" w:eastAsia="Times New Roman"/>
                <w:b/>
                <w:sz w:val="21"/>
              </w:rPr>
            </w:pPr>
            <w:r>
              <w:rPr>
                <w:b/>
                <w:sz w:val="21"/>
              </w:rPr>
              <w:t>风量 </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/h</w:t>
            </w:r>
          </w:p>
        </w:tc>
        <w:tc>
          <w:tcPr>
            <w:tcW w:w="1844" w:type="dxa"/>
          </w:tcPr>
          <w:p>
            <w:pPr>
              <w:pStyle w:val="TableParagraph"/>
              <w:spacing w:line="257" w:lineRule="exact" w:before="5"/>
              <w:ind w:left="134" w:right="127"/>
              <w:rPr>
                <w:rFonts w:ascii="Times New Roman" w:eastAsia="Times New Roman"/>
                <w:b/>
                <w:sz w:val="14"/>
              </w:rPr>
            </w:pPr>
            <w:r>
              <w:rPr>
                <w:b/>
                <w:sz w:val="21"/>
              </w:rPr>
              <w:t>排放浓度 </w:t>
            </w:r>
            <w:r>
              <w:rPr>
                <w:rFonts w:ascii="Times New Roman" w:eastAsia="Times New Roman"/>
                <w:b/>
                <w:sz w:val="21"/>
              </w:rPr>
              <w:t>mg/m</w:t>
            </w:r>
            <w:r>
              <w:rPr>
                <w:rFonts w:ascii="Times New Roman" w:eastAsia="Times New Roman"/>
                <w:b/>
                <w:position w:val="7"/>
                <w:sz w:val="14"/>
              </w:rPr>
              <w:t>3</w:t>
            </w:r>
          </w:p>
        </w:tc>
        <w:tc>
          <w:tcPr>
            <w:tcW w:w="1135" w:type="dxa"/>
            <w:tcBorders>
              <w:right w:val="single" w:sz="2" w:space="0" w:color="000000"/>
            </w:tcBorders>
          </w:tcPr>
          <w:p>
            <w:pPr>
              <w:pStyle w:val="TableParagraph"/>
              <w:spacing w:line="257" w:lineRule="exact" w:before="5"/>
              <w:ind w:left="335" w:right="330"/>
              <w:rPr>
                <w:b/>
                <w:sz w:val="21"/>
              </w:rPr>
            </w:pPr>
            <w:r>
              <w:rPr>
                <w:b/>
                <w:sz w:val="21"/>
              </w:rPr>
              <w:t>标准</w:t>
            </w:r>
          </w:p>
        </w:tc>
      </w:tr>
      <w:tr>
        <w:trPr>
          <w:trHeight w:val="285" w:hRule="atLeast"/>
        </w:trPr>
        <w:tc>
          <w:tcPr>
            <w:tcW w:w="1543" w:type="dxa"/>
            <w:vMerge w:val="restart"/>
          </w:tcPr>
          <w:p>
            <w:pPr>
              <w:pStyle w:val="TableParagraph"/>
              <w:spacing w:before="154"/>
              <w:ind w:left="119"/>
              <w:jc w:val="left"/>
              <w:rPr>
                <w:rFonts w:ascii="Times New Roman" w:eastAsia="Times New Roman"/>
                <w:sz w:val="21"/>
              </w:rPr>
            </w:pPr>
            <w:r>
              <w:rPr>
                <w:sz w:val="21"/>
              </w:rPr>
              <w:t>排气筒 </w:t>
            </w:r>
            <w:r>
              <w:rPr>
                <w:rFonts w:ascii="Times New Roman" w:eastAsia="Times New Roman"/>
                <w:sz w:val="21"/>
              </w:rPr>
              <w:t>DA004</w:t>
            </w:r>
          </w:p>
        </w:tc>
        <w:tc>
          <w:tcPr>
            <w:tcW w:w="1035" w:type="dxa"/>
          </w:tcPr>
          <w:p>
            <w:pPr>
              <w:pStyle w:val="TableParagraph"/>
              <w:spacing w:line="257" w:lineRule="exact" w:before="8"/>
              <w:ind w:left="72" w:right="66"/>
              <w:rPr>
                <w:sz w:val="21"/>
              </w:rPr>
            </w:pPr>
            <w:r>
              <w:rPr>
                <w:sz w:val="21"/>
              </w:rPr>
              <w:t>甲酸</w:t>
            </w:r>
          </w:p>
        </w:tc>
        <w:tc>
          <w:tcPr>
            <w:tcW w:w="2246" w:type="dxa"/>
          </w:tcPr>
          <w:p>
            <w:pPr>
              <w:pStyle w:val="TableParagraph"/>
              <w:spacing w:before="22"/>
              <w:ind w:left="218" w:right="208"/>
              <w:rPr>
                <w:rFonts w:ascii="Times New Roman"/>
                <w:sz w:val="21"/>
              </w:rPr>
            </w:pPr>
            <w:r>
              <w:rPr>
                <w:rFonts w:ascii="Times New Roman"/>
                <w:sz w:val="21"/>
              </w:rPr>
              <w:t>0.042</w:t>
            </w:r>
          </w:p>
        </w:tc>
        <w:tc>
          <w:tcPr>
            <w:tcW w:w="1277" w:type="dxa"/>
            <w:vMerge w:val="restart"/>
          </w:tcPr>
          <w:p>
            <w:pPr>
              <w:pStyle w:val="TableParagraph"/>
              <w:spacing w:before="168"/>
              <w:ind w:left="427"/>
              <w:jc w:val="left"/>
              <w:rPr>
                <w:rFonts w:ascii="Times New Roman"/>
                <w:sz w:val="21"/>
              </w:rPr>
            </w:pPr>
            <w:r>
              <w:rPr>
                <w:rFonts w:ascii="Times New Roman"/>
                <w:sz w:val="21"/>
              </w:rPr>
              <w:t>4500</w:t>
            </w:r>
          </w:p>
        </w:tc>
        <w:tc>
          <w:tcPr>
            <w:tcW w:w="1844" w:type="dxa"/>
          </w:tcPr>
          <w:p>
            <w:pPr>
              <w:pStyle w:val="TableParagraph"/>
              <w:spacing w:before="22"/>
              <w:ind w:left="134" w:right="124"/>
              <w:rPr>
                <w:rFonts w:ascii="Times New Roman"/>
                <w:sz w:val="21"/>
              </w:rPr>
            </w:pPr>
            <w:r>
              <w:rPr>
                <w:rFonts w:ascii="Times New Roman"/>
                <w:sz w:val="21"/>
              </w:rPr>
              <w:t>9.3</w:t>
            </w:r>
          </w:p>
        </w:tc>
        <w:tc>
          <w:tcPr>
            <w:tcW w:w="1135" w:type="dxa"/>
            <w:tcBorders>
              <w:right w:val="single" w:sz="2" w:space="0" w:color="000000"/>
            </w:tcBorders>
          </w:tcPr>
          <w:p>
            <w:pPr>
              <w:pStyle w:val="TableParagraph"/>
              <w:spacing w:before="22"/>
              <w:ind w:left="335" w:right="330"/>
              <w:rPr>
                <w:rFonts w:ascii="Times New Roman"/>
                <w:sz w:val="21"/>
              </w:rPr>
            </w:pPr>
            <w:r>
              <w:rPr>
                <w:rFonts w:ascii="Times New Roman"/>
                <w:sz w:val="21"/>
              </w:rPr>
              <w:t>10</w:t>
            </w:r>
          </w:p>
        </w:tc>
      </w:tr>
      <w:tr>
        <w:trPr>
          <w:trHeight w:val="282" w:hRule="atLeast"/>
        </w:trPr>
        <w:tc>
          <w:tcPr>
            <w:tcW w:w="1543" w:type="dxa"/>
            <w:vMerge/>
            <w:tcBorders>
              <w:top w:val="nil"/>
            </w:tcBorders>
          </w:tcPr>
          <w:p>
            <w:pPr>
              <w:rPr>
                <w:sz w:val="2"/>
                <w:szCs w:val="2"/>
              </w:rPr>
            </w:pPr>
          </w:p>
        </w:tc>
        <w:tc>
          <w:tcPr>
            <w:tcW w:w="1035" w:type="dxa"/>
          </w:tcPr>
          <w:p>
            <w:pPr>
              <w:pStyle w:val="TableParagraph"/>
              <w:spacing w:line="257" w:lineRule="exact" w:before="6"/>
              <w:ind w:left="72" w:right="66"/>
              <w:rPr>
                <w:sz w:val="21"/>
              </w:rPr>
            </w:pPr>
            <w:r>
              <w:rPr>
                <w:sz w:val="21"/>
              </w:rPr>
              <w:t>粉尘</w:t>
            </w:r>
          </w:p>
        </w:tc>
        <w:tc>
          <w:tcPr>
            <w:tcW w:w="2246" w:type="dxa"/>
          </w:tcPr>
          <w:p>
            <w:pPr>
              <w:pStyle w:val="TableParagraph"/>
              <w:spacing w:before="19"/>
              <w:ind w:left="218" w:right="208"/>
              <w:rPr>
                <w:rFonts w:ascii="Times New Roman"/>
                <w:sz w:val="21"/>
              </w:rPr>
            </w:pPr>
            <w:r>
              <w:rPr>
                <w:rFonts w:ascii="Times New Roman"/>
                <w:sz w:val="21"/>
              </w:rPr>
              <w:t>0.076</w:t>
            </w:r>
          </w:p>
        </w:tc>
        <w:tc>
          <w:tcPr>
            <w:tcW w:w="1277" w:type="dxa"/>
            <w:vMerge/>
            <w:tcBorders>
              <w:top w:val="nil"/>
            </w:tcBorders>
          </w:tcPr>
          <w:p>
            <w:pPr>
              <w:rPr>
                <w:sz w:val="2"/>
                <w:szCs w:val="2"/>
              </w:rPr>
            </w:pPr>
          </w:p>
        </w:tc>
        <w:tc>
          <w:tcPr>
            <w:tcW w:w="1844" w:type="dxa"/>
          </w:tcPr>
          <w:p>
            <w:pPr>
              <w:pStyle w:val="TableParagraph"/>
              <w:spacing w:before="19"/>
              <w:ind w:left="134" w:right="124"/>
              <w:rPr>
                <w:rFonts w:ascii="Times New Roman"/>
                <w:sz w:val="21"/>
              </w:rPr>
            </w:pPr>
            <w:r>
              <w:rPr>
                <w:rFonts w:ascii="Times New Roman"/>
                <w:sz w:val="21"/>
              </w:rPr>
              <w:t>16.9</w:t>
            </w:r>
          </w:p>
        </w:tc>
        <w:tc>
          <w:tcPr>
            <w:tcW w:w="1135" w:type="dxa"/>
            <w:tcBorders>
              <w:right w:val="single" w:sz="2" w:space="0" w:color="000000"/>
            </w:tcBorders>
          </w:tcPr>
          <w:p>
            <w:pPr>
              <w:pStyle w:val="TableParagraph"/>
              <w:spacing w:before="19"/>
              <w:ind w:left="335" w:right="330"/>
              <w:rPr>
                <w:rFonts w:ascii="Times New Roman"/>
                <w:sz w:val="21"/>
              </w:rPr>
            </w:pPr>
            <w:r>
              <w:rPr>
                <w:rFonts w:ascii="Times New Roman"/>
                <w:sz w:val="21"/>
              </w:rPr>
              <w:t>20</w:t>
            </w:r>
          </w:p>
        </w:tc>
      </w:tr>
    </w:tbl>
    <w:p>
      <w:pPr>
        <w:spacing w:after="0"/>
        <w:rPr>
          <w:rFonts w:ascii="Times New Roman"/>
          <w:sz w:val="21"/>
        </w:rPr>
        <w:sectPr>
          <w:type w:val="continuous"/>
          <w:pgSz w:w="11910" w:h="16850"/>
          <w:pgMar w:top="1420" w:bottom="280" w:left="1160" w:right="1080"/>
        </w:sectPr>
      </w:pPr>
    </w:p>
    <w:p>
      <w:pPr>
        <w:pStyle w:val="BodyText"/>
        <w:rPr>
          <w:b/>
          <w:sz w:val="20"/>
        </w:rPr>
      </w:pPr>
    </w:p>
    <w:p>
      <w:pPr>
        <w:pStyle w:val="BodyText"/>
        <w:spacing w:before="6"/>
        <w:rPr>
          <w:b/>
          <w:sz w:val="13"/>
        </w:rPr>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3"/>
        <w:gridCol w:w="1035"/>
        <w:gridCol w:w="2246"/>
        <w:gridCol w:w="1277"/>
        <w:gridCol w:w="1844"/>
        <w:gridCol w:w="1135"/>
      </w:tblGrid>
      <w:tr>
        <w:trPr>
          <w:trHeight w:val="283" w:hRule="atLeast"/>
        </w:trPr>
        <w:tc>
          <w:tcPr>
            <w:tcW w:w="1543" w:type="dxa"/>
          </w:tcPr>
          <w:p>
            <w:pPr>
              <w:pStyle w:val="TableParagraph"/>
              <w:spacing w:line="257" w:lineRule="exact" w:before="5"/>
              <w:ind w:left="72" w:right="65"/>
              <w:rPr>
                <w:b/>
                <w:sz w:val="21"/>
              </w:rPr>
            </w:pPr>
            <w:r>
              <w:rPr>
                <w:b/>
                <w:sz w:val="21"/>
              </w:rPr>
              <w:t>排放源</w:t>
            </w:r>
          </w:p>
        </w:tc>
        <w:tc>
          <w:tcPr>
            <w:tcW w:w="1035" w:type="dxa"/>
          </w:tcPr>
          <w:p>
            <w:pPr>
              <w:pStyle w:val="TableParagraph"/>
              <w:spacing w:line="257" w:lineRule="exact" w:before="5"/>
              <w:ind w:left="72" w:right="66"/>
              <w:rPr>
                <w:b/>
                <w:sz w:val="21"/>
              </w:rPr>
            </w:pPr>
            <w:r>
              <w:rPr>
                <w:b/>
                <w:sz w:val="21"/>
              </w:rPr>
              <w:t>废气因子</w:t>
            </w:r>
          </w:p>
        </w:tc>
        <w:tc>
          <w:tcPr>
            <w:tcW w:w="2246" w:type="dxa"/>
          </w:tcPr>
          <w:p>
            <w:pPr>
              <w:pStyle w:val="TableParagraph"/>
              <w:spacing w:line="257" w:lineRule="exact" w:before="5"/>
              <w:ind w:left="220" w:right="208"/>
              <w:rPr>
                <w:rFonts w:ascii="Times New Roman" w:eastAsia="Times New Roman"/>
                <w:b/>
                <w:sz w:val="21"/>
              </w:rPr>
            </w:pPr>
            <w:r>
              <w:rPr>
                <w:b/>
                <w:sz w:val="21"/>
              </w:rPr>
              <w:t>最大排放速率 </w:t>
            </w:r>
            <w:r>
              <w:rPr>
                <w:rFonts w:ascii="Times New Roman" w:eastAsia="Times New Roman"/>
                <w:b/>
                <w:sz w:val="21"/>
              </w:rPr>
              <w:t>kg/h</w:t>
            </w:r>
          </w:p>
        </w:tc>
        <w:tc>
          <w:tcPr>
            <w:tcW w:w="1277" w:type="dxa"/>
          </w:tcPr>
          <w:p>
            <w:pPr>
              <w:pStyle w:val="TableParagraph"/>
              <w:spacing w:line="257" w:lineRule="exact" w:before="5"/>
              <w:ind w:left="11" w:right="2"/>
              <w:rPr>
                <w:rFonts w:ascii="Times New Roman" w:eastAsia="Times New Roman"/>
                <w:b/>
                <w:sz w:val="21"/>
              </w:rPr>
            </w:pPr>
            <w:r>
              <w:rPr>
                <w:b/>
                <w:sz w:val="21"/>
              </w:rPr>
              <w:t>风量 </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/h</w:t>
            </w:r>
          </w:p>
        </w:tc>
        <w:tc>
          <w:tcPr>
            <w:tcW w:w="1844" w:type="dxa"/>
          </w:tcPr>
          <w:p>
            <w:pPr>
              <w:pStyle w:val="TableParagraph"/>
              <w:spacing w:line="257" w:lineRule="exact" w:before="5"/>
              <w:ind w:left="134" w:right="127"/>
              <w:rPr>
                <w:rFonts w:ascii="Times New Roman" w:eastAsia="Times New Roman"/>
                <w:b/>
                <w:sz w:val="14"/>
              </w:rPr>
            </w:pPr>
            <w:r>
              <w:rPr>
                <w:b/>
                <w:sz w:val="21"/>
              </w:rPr>
              <w:t>排放浓度 </w:t>
            </w:r>
            <w:r>
              <w:rPr>
                <w:rFonts w:ascii="Times New Roman" w:eastAsia="Times New Roman"/>
                <w:b/>
                <w:sz w:val="21"/>
              </w:rPr>
              <w:t>mg/m</w:t>
            </w:r>
            <w:r>
              <w:rPr>
                <w:rFonts w:ascii="Times New Roman" w:eastAsia="Times New Roman"/>
                <w:b/>
                <w:position w:val="7"/>
                <w:sz w:val="14"/>
              </w:rPr>
              <w:t>3</w:t>
            </w:r>
          </w:p>
        </w:tc>
        <w:tc>
          <w:tcPr>
            <w:tcW w:w="1135" w:type="dxa"/>
            <w:tcBorders>
              <w:right w:val="single" w:sz="2" w:space="0" w:color="000000"/>
            </w:tcBorders>
          </w:tcPr>
          <w:p>
            <w:pPr>
              <w:pStyle w:val="TableParagraph"/>
              <w:spacing w:line="257" w:lineRule="exact" w:before="5"/>
              <w:ind w:left="335" w:right="330"/>
              <w:rPr>
                <w:b/>
                <w:sz w:val="21"/>
              </w:rPr>
            </w:pPr>
            <w:r>
              <w:rPr>
                <w:b/>
                <w:sz w:val="21"/>
              </w:rPr>
              <w:t>标准</w:t>
            </w:r>
          </w:p>
        </w:tc>
      </w:tr>
      <w:tr>
        <w:trPr>
          <w:trHeight w:val="285" w:hRule="atLeast"/>
        </w:trPr>
        <w:tc>
          <w:tcPr>
            <w:tcW w:w="1543" w:type="dxa"/>
          </w:tcPr>
          <w:p>
            <w:pPr>
              <w:pStyle w:val="TableParagraph"/>
              <w:spacing w:line="257" w:lineRule="exact" w:before="8"/>
              <w:ind w:left="74" w:right="65"/>
              <w:rPr>
                <w:rFonts w:ascii="Times New Roman" w:eastAsia="Times New Roman"/>
                <w:sz w:val="21"/>
              </w:rPr>
            </w:pPr>
            <w:r>
              <w:rPr>
                <w:sz w:val="21"/>
              </w:rPr>
              <w:t>排气筒 </w:t>
            </w:r>
            <w:r>
              <w:rPr>
                <w:rFonts w:ascii="Times New Roman" w:eastAsia="Times New Roman"/>
                <w:sz w:val="21"/>
              </w:rPr>
              <w:t>DA005</w:t>
            </w:r>
          </w:p>
        </w:tc>
        <w:tc>
          <w:tcPr>
            <w:tcW w:w="1035" w:type="dxa"/>
          </w:tcPr>
          <w:p>
            <w:pPr>
              <w:pStyle w:val="TableParagraph"/>
              <w:spacing w:line="257" w:lineRule="exact" w:before="8"/>
              <w:ind w:left="72" w:right="66"/>
              <w:rPr>
                <w:sz w:val="21"/>
              </w:rPr>
            </w:pPr>
            <w:r>
              <w:rPr>
                <w:sz w:val="21"/>
              </w:rPr>
              <w:t>甲酸</w:t>
            </w:r>
          </w:p>
        </w:tc>
        <w:tc>
          <w:tcPr>
            <w:tcW w:w="2246" w:type="dxa"/>
          </w:tcPr>
          <w:p>
            <w:pPr>
              <w:pStyle w:val="TableParagraph"/>
              <w:spacing w:before="22"/>
              <w:ind w:left="218" w:right="208"/>
              <w:rPr>
                <w:rFonts w:ascii="Times New Roman"/>
                <w:sz w:val="21"/>
              </w:rPr>
            </w:pPr>
            <w:r>
              <w:rPr>
                <w:rFonts w:ascii="Times New Roman"/>
                <w:sz w:val="21"/>
              </w:rPr>
              <w:t>0.0007</w:t>
            </w:r>
          </w:p>
        </w:tc>
        <w:tc>
          <w:tcPr>
            <w:tcW w:w="1277" w:type="dxa"/>
          </w:tcPr>
          <w:p>
            <w:pPr>
              <w:pStyle w:val="TableParagraph"/>
              <w:spacing w:before="22"/>
              <w:ind w:left="11"/>
              <w:rPr>
                <w:rFonts w:ascii="Times New Roman"/>
                <w:sz w:val="21"/>
              </w:rPr>
            </w:pPr>
            <w:r>
              <w:rPr>
                <w:rFonts w:ascii="Times New Roman"/>
                <w:sz w:val="21"/>
              </w:rPr>
              <w:t>7000</w:t>
            </w:r>
          </w:p>
        </w:tc>
        <w:tc>
          <w:tcPr>
            <w:tcW w:w="1844" w:type="dxa"/>
          </w:tcPr>
          <w:p>
            <w:pPr>
              <w:pStyle w:val="TableParagraph"/>
              <w:spacing w:before="22"/>
              <w:ind w:left="134" w:right="124"/>
              <w:rPr>
                <w:rFonts w:ascii="Times New Roman"/>
                <w:sz w:val="21"/>
              </w:rPr>
            </w:pPr>
            <w:r>
              <w:rPr>
                <w:rFonts w:ascii="Times New Roman"/>
                <w:sz w:val="21"/>
              </w:rPr>
              <w:t>0.1</w:t>
            </w:r>
          </w:p>
        </w:tc>
        <w:tc>
          <w:tcPr>
            <w:tcW w:w="1135" w:type="dxa"/>
            <w:tcBorders>
              <w:right w:val="single" w:sz="2" w:space="0" w:color="000000"/>
            </w:tcBorders>
          </w:tcPr>
          <w:p>
            <w:pPr>
              <w:pStyle w:val="TableParagraph"/>
              <w:spacing w:before="22"/>
              <w:ind w:left="335" w:right="330"/>
              <w:rPr>
                <w:rFonts w:ascii="Times New Roman"/>
                <w:sz w:val="21"/>
              </w:rPr>
            </w:pPr>
            <w:r>
              <w:rPr>
                <w:rFonts w:ascii="Times New Roman"/>
                <w:sz w:val="21"/>
              </w:rPr>
              <w:t>10</w:t>
            </w:r>
          </w:p>
        </w:tc>
      </w:tr>
    </w:tbl>
    <w:p>
      <w:pPr>
        <w:pStyle w:val="BodyText"/>
        <w:spacing w:line="364" w:lineRule="auto" w:before="2"/>
        <w:ind w:left="258" w:right="272" w:firstLine="480"/>
      </w:pPr>
      <w:r>
        <w:rPr/>
        <w:t>由上表计算结果可以看出，本项目实施后各废气经过处理后排放的废气可以通过相应排气筒达标排放。</w:t>
      </w:r>
    </w:p>
    <w:p>
      <w:pPr>
        <w:pStyle w:val="Heading4"/>
        <w:numPr>
          <w:ilvl w:val="2"/>
          <w:numId w:val="13"/>
        </w:numPr>
        <w:tabs>
          <w:tab w:pos="799" w:val="left" w:leader="none"/>
        </w:tabs>
        <w:spacing w:line="306" w:lineRule="exact" w:before="0" w:after="0"/>
        <w:ind w:left="798" w:right="0" w:hanging="541"/>
        <w:jc w:val="left"/>
      </w:pPr>
      <w:r>
        <w:rPr/>
        <w:t>其他废气处理措施要求</w:t>
      </w:r>
    </w:p>
    <w:p>
      <w:pPr>
        <w:pStyle w:val="BodyText"/>
        <w:spacing w:line="364" w:lineRule="auto" w:before="161"/>
        <w:ind w:left="258" w:right="284" w:firstLine="480"/>
        <w:jc w:val="right"/>
      </w:pPr>
      <w:r>
        <w:rPr>
          <w:rFonts w:ascii="Times New Roman" w:eastAsia="Times New Roman"/>
        </w:rPr>
        <w:t>1</w:t>
      </w:r>
      <w:r>
        <w:rPr/>
        <w:t>、我国化工企业不太重视设备的日常跑冒滴漏问题，而许多小规模的泄漏事实上不易被发现，企业应配备手持式 </w:t>
      </w:r>
      <w:r>
        <w:rPr>
          <w:rFonts w:ascii="Times New Roman" w:eastAsia="Times New Roman"/>
        </w:rPr>
        <w:t>VOC </w:t>
      </w:r>
      <w:r>
        <w:rPr/>
        <w:t>气体检测仪器，环评要求企业日常开展泄漏巡检并成为制度，及时查漏、堵漏，减少此类泄漏量不大、但排放点极多的小型泄漏问题。 </w:t>
      </w:r>
      <w:r>
        <w:rPr>
          <w:rFonts w:ascii="Times New Roman" w:eastAsia="Times New Roman"/>
        </w:rPr>
        <w:t>2</w:t>
      </w:r>
      <w:r>
        <w:rPr/>
        <w:t>、项目废气在保证收集效率的前提下，处理后可达标排放。但是喷淋塔吸收效率</w:t>
      </w:r>
    </w:p>
    <w:p>
      <w:pPr>
        <w:pStyle w:val="BodyText"/>
        <w:spacing w:line="362" w:lineRule="auto"/>
        <w:ind w:left="258" w:right="275"/>
      </w:pPr>
      <w:r>
        <w:rPr/>
        <w:t>与吸收液中物料浓度有直接关系。企业应加强喷淋液的监测，安装在线 </w:t>
      </w:r>
      <w:r>
        <w:rPr>
          <w:rFonts w:ascii="Times New Roman" w:eastAsia="Times New Roman"/>
        </w:rPr>
        <w:t>pH </w:t>
      </w:r>
      <w:r>
        <w:rPr/>
        <w:t>监测装置及在线碱液添加装置，以保证喷淋塔的吸收效率。</w:t>
      </w:r>
    </w:p>
    <w:p>
      <w:pPr>
        <w:pStyle w:val="BodyText"/>
        <w:spacing w:before="3"/>
        <w:ind w:left="738"/>
      </w:pPr>
      <w:r>
        <w:rPr>
          <w:rFonts w:ascii="Times New Roman" w:eastAsia="Times New Roman"/>
        </w:rPr>
        <w:t>3</w:t>
      </w:r>
      <w:r>
        <w:rPr/>
        <w:t>、企业宜采用 </w:t>
      </w:r>
      <w:r>
        <w:rPr>
          <w:rFonts w:ascii="Times New Roman" w:eastAsia="Times New Roman"/>
        </w:rPr>
        <w:t>LDAR </w:t>
      </w:r>
      <w:r>
        <w:rPr/>
        <w:t>技术进行挥发性有机物泄漏监测与修复管理。</w:t>
      </w:r>
    </w:p>
    <w:p>
      <w:pPr>
        <w:pStyle w:val="Heading3"/>
        <w:numPr>
          <w:ilvl w:val="1"/>
          <w:numId w:val="13"/>
        </w:numPr>
        <w:tabs>
          <w:tab w:pos="821" w:val="left" w:leader="none"/>
        </w:tabs>
        <w:spacing w:line="240" w:lineRule="auto" w:before="159" w:after="0"/>
        <w:ind w:left="820" w:right="0" w:hanging="421"/>
        <w:jc w:val="left"/>
      </w:pPr>
      <w:bookmarkStart w:name="_bookmark34" w:id="69"/>
      <w:bookmarkEnd w:id="69"/>
      <w:r>
        <w:rPr>
          <w:b w:val="0"/>
        </w:rPr>
      </w:r>
      <w:bookmarkStart w:name="_bookmark34" w:id="70"/>
      <w:bookmarkEnd w:id="70"/>
      <w:r>
        <w:rPr/>
        <w:t>地下水防治措施</w:t>
      </w:r>
    </w:p>
    <w:p>
      <w:pPr>
        <w:pStyle w:val="BodyText"/>
        <w:spacing w:line="364" w:lineRule="auto" w:before="185"/>
        <w:ind w:left="258" w:right="332" w:firstLine="480"/>
        <w:jc w:val="both"/>
      </w:pPr>
      <w:r>
        <w:rPr>
          <w:spacing w:val="-3"/>
        </w:rPr>
        <w:t>本项目对地下水的保护主要是防止有害污染物渗入地下水。影响地下水渗入的因素</w:t>
      </w:r>
      <w:r>
        <w:rPr/>
        <w:t>主要分为人为因素和环境因素两大类</w:t>
      </w:r>
      <w:r>
        <w:rPr>
          <w:rFonts w:ascii="Times New Roman" w:eastAsia="Times New Roman"/>
        </w:rPr>
        <w:t>(</w:t>
      </w:r>
      <w:r>
        <w:rPr/>
        <w:t>人为因素：设计、施工、维护管理、管龄；环境因素：地质、地形、降雨、城市化程度</w:t>
      </w:r>
      <w:r>
        <w:rPr>
          <w:rFonts w:ascii="Times New Roman" w:eastAsia="Times New Roman"/>
        </w:rPr>
        <w:t>)</w:t>
      </w:r>
      <w:r>
        <w:rPr/>
        <w:t>等。</w:t>
      </w:r>
    </w:p>
    <w:p>
      <w:pPr>
        <w:pStyle w:val="Heading4"/>
        <w:numPr>
          <w:ilvl w:val="2"/>
          <w:numId w:val="13"/>
        </w:numPr>
        <w:tabs>
          <w:tab w:pos="799" w:val="left" w:leader="none"/>
        </w:tabs>
        <w:spacing w:line="240" w:lineRule="auto" w:before="0" w:after="0"/>
        <w:ind w:left="798" w:right="0" w:hanging="541"/>
        <w:jc w:val="left"/>
      </w:pPr>
      <w:r>
        <w:rPr/>
        <w:t>防渗原则</w:t>
      </w:r>
    </w:p>
    <w:p>
      <w:pPr>
        <w:pStyle w:val="BodyText"/>
        <w:spacing w:line="364" w:lineRule="auto" w:before="158"/>
        <w:ind w:left="258" w:right="272" w:firstLine="480"/>
        <w:jc w:val="both"/>
      </w:pPr>
      <w:r>
        <w:rPr/>
        <w:t>依据《地下工程防水技术规范》</w:t>
      </w:r>
      <w:r>
        <w:rPr>
          <w:rFonts w:ascii="Times New Roman" w:hAnsi="Times New Roman" w:eastAsia="Times New Roman"/>
        </w:rPr>
        <w:t>(GB50108</w:t>
      </w:r>
      <w:r>
        <w:rPr/>
        <w:t>－</w:t>
      </w:r>
      <w:r>
        <w:rPr>
          <w:rFonts w:ascii="Times New Roman" w:hAnsi="Times New Roman" w:eastAsia="Times New Roman"/>
        </w:rPr>
        <w:t>2008)</w:t>
      </w:r>
      <w:r>
        <w:rPr>
          <w:spacing w:val="-13"/>
        </w:rPr>
        <w:t>、《石油化工企业防渗设计通则》</w:t>
      </w:r>
      <w:r>
        <w:rPr>
          <w:rFonts w:ascii="Times New Roman" w:hAnsi="Times New Roman" w:eastAsia="Times New Roman"/>
        </w:rPr>
        <w:t>A/SY1303-2010 </w:t>
      </w:r>
      <w:r>
        <w:rPr/>
        <w:t>的要求，地下水污染防治措施按照</w:t>
      </w:r>
      <w:r>
        <w:rPr>
          <w:rFonts w:ascii="Times New Roman" w:hAnsi="Times New Roman" w:eastAsia="Times New Roman"/>
        </w:rPr>
        <w:t>“</w:t>
      </w:r>
      <w:r>
        <w:rPr/>
        <w:t>源头控制、末端防治、污染监控、应急响应</w:t>
      </w:r>
      <w:r>
        <w:rPr>
          <w:rFonts w:ascii="Times New Roman" w:hAnsi="Times New Roman" w:eastAsia="Times New Roman"/>
        </w:rPr>
        <w:t>”</w:t>
      </w:r>
      <w:r>
        <w:rPr/>
        <w:t>相结合的原则，从污染物的产生、入渗、扩散、应急响应全阶段进行控制。</w:t>
      </w:r>
    </w:p>
    <w:p>
      <w:pPr>
        <w:pStyle w:val="BodyText"/>
        <w:spacing w:line="307" w:lineRule="exact"/>
        <w:ind w:left="738"/>
      </w:pPr>
      <w:r>
        <w:rPr>
          <w:rFonts w:ascii="Times New Roman" w:eastAsia="Times New Roman"/>
        </w:rPr>
        <w:t>1</w:t>
      </w:r>
      <w:r>
        <w:rPr/>
        <w:t>、源头控制措施</w:t>
      </w:r>
    </w:p>
    <w:p>
      <w:pPr>
        <w:pStyle w:val="BodyText"/>
        <w:spacing w:line="364" w:lineRule="auto" w:before="160"/>
        <w:ind w:left="258" w:right="332" w:firstLine="480"/>
        <w:jc w:val="both"/>
      </w:pPr>
      <w:r>
        <w:rPr>
          <w:spacing w:val="-6"/>
        </w:rPr>
        <w:t>主要包括在工艺、管道、设备、污水储存及处理构筑物采取相应措施，防止和降低</w:t>
      </w:r>
      <w:r>
        <w:rPr>
          <w:spacing w:val="-8"/>
        </w:rPr>
        <w:t>污染物跑、冒、滴、漏，将污染物泄漏的环境风险事故降到最低程度；管线敷设尽量采</w:t>
      </w:r>
      <w:r>
        <w:rPr/>
        <w:t>用</w:t>
      </w:r>
      <w:r>
        <w:rPr>
          <w:rFonts w:ascii="Times New Roman" w:hAnsi="Times New Roman" w:eastAsia="Times New Roman"/>
        </w:rPr>
        <w:t>“</w:t>
      </w:r>
      <w:r>
        <w:rPr/>
        <w:t>可视化</w:t>
      </w:r>
      <w:r>
        <w:rPr>
          <w:rFonts w:ascii="Times New Roman" w:hAnsi="Times New Roman" w:eastAsia="Times New Roman"/>
        </w:rPr>
        <w:t>”</w:t>
      </w:r>
      <w:r>
        <w:rPr/>
        <w:t>原则，即管道尽可能地上或架空敷设，做到污染物</w:t>
      </w:r>
      <w:r>
        <w:rPr>
          <w:rFonts w:ascii="Times New Roman" w:hAnsi="Times New Roman" w:eastAsia="Times New Roman"/>
        </w:rPr>
        <w:t>“</w:t>
      </w:r>
      <w:r>
        <w:rPr/>
        <w:t>早发现、早处理</w:t>
      </w:r>
      <w:r>
        <w:rPr>
          <w:rFonts w:ascii="Times New Roman" w:hAnsi="Times New Roman" w:eastAsia="Times New Roman"/>
        </w:rPr>
        <w:t>”</w:t>
      </w:r>
      <w:r>
        <w:rPr>
          <w:spacing w:val="-4"/>
        </w:rPr>
        <w:t>，减少</w:t>
      </w:r>
      <w:r>
        <w:rPr/>
        <w:t>由于埋地管道泄漏而造成的地下水污染。</w:t>
      </w:r>
    </w:p>
    <w:p>
      <w:pPr>
        <w:pStyle w:val="BodyText"/>
        <w:spacing w:line="306" w:lineRule="exact"/>
        <w:ind w:left="738"/>
      </w:pPr>
      <w:r>
        <w:rPr>
          <w:rFonts w:ascii="Times New Roman" w:eastAsia="Times New Roman"/>
        </w:rPr>
        <w:t>2</w:t>
      </w:r>
      <w:r>
        <w:rPr/>
        <w:t>、末端控制措施</w:t>
      </w:r>
    </w:p>
    <w:p>
      <w:pPr>
        <w:pStyle w:val="BodyText"/>
        <w:spacing w:line="364" w:lineRule="auto" w:before="158"/>
        <w:ind w:left="258" w:right="212" w:firstLine="480"/>
      </w:pPr>
      <w:r>
        <w:rPr>
          <w:spacing w:val="-3"/>
        </w:rPr>
        <w:t>主要包括厂内污染区地面的防渗措施和泄漏、渗漏污染物收集措施，即在污染区地</w:t>
      </w:r>
      <w:r>
        <w:rPr>
          <w:spacing w:val="-16"/>
        </w:rPr>
        <w:t>面进行防渗处理，防止洒落地面的污染物渗入地下，并把滞留在地面的污染物收集起来， </w:t>
      </w:r>
      <w:r>
        <w:rPr>
          <w:spacing w:val="-4"/>
        </w:rPr>
        <w:t>集中送至综合污水处理厂处理；末端控制采取分区防渗，重点污染防治区、一般污染防治区和非污染防治区防渗措施有区别的防渗原则。</w:t>
      </w:r>
    </w:p>
    <w:p>
      <w:pPr>
        <w:spacing w:after="0" w:line="364" w:lineRule="auto"/>
        <w:sectPr>
          <w:pgSz w:w="11910" w:h="16850"/>
          <w:pgMar w:header="730" w:footer="673" w:top="980" w:bottom="860" w:left="1160" w:right="1080"/>
        </w:sectPr>
      </w:pPr>
    </w:p>
    <w:p>
      <w:pPr>
        <w:pStyle w:val="BodyText"/>
        <w:spacing w:before="12"/>
        <w:rPr>
          <w:sz w:val="27"/>
        </w:rPr>
      </w:pPr>
    </w:p>
    <w:p>
      <w:pPr>
        <w:pStyle w:val="BodyText"/>
        <w:spacing w:before="74"/>
        <w:ind w:left="738"/>
      </w:pPr>
      <w:r>
        <w:rPr>
          <w:rFonts w:ascii="Times New Roman" w:eastAsia="Times New Roman"/>
        </w:rPr>
        <w:t>3</w:t>
      </w:r>
      <w:r>
        <w:rPr/>
        <w:t>、污染监控体系</w:t>
      </w:r>
    </w:p>
    <w:p>
      <w:pPr>
        <w:pStyle w:val="BodyText"/>
        <w:spacing w:line="364" w:lineRule="auto" w:before="158"/>
        <w:ind w:left="258" w:right="272" w:firstLine="480"/>
      </w:pPr>
      <w:r>
        <w:rPr/>
        <w:t>实施覆盖生产区的地下水污染监控系统，包括建立完善的监测制度、配备检测仪器和设备、科学、合理设置地下水污染监控井，及时发现污染、及时控制。</w:t>
      </w:r>
    </w:p>
    <w:p>
      <w:pPr>
        <w:pStyle w:val="BodyText"/>
        <w:spacing w:line="306" w:lineRule="exact"/>
        <w:ind w:left="738"/>
      </w:pPr>
      <w:r>
        <w:rPr>
          <w:rFonts w:ascii="Times New Roman" w:eastAsia="Times New Roman"/>
        </w:rPr>
        <w:t>4</w:t>
      </w:r>
      <w:r>
        <w:rPr/>
        <w:t>、应急响应措施</w:t>
      </w:r>
    </w:p>
    <w:p>
      <w:pPr>
        <w:pStyle w:val="BodyText"/>
        <w:spacing w:line="362" w:lineRule="auto" w:before="161"/>
        <w:ind w:left="258" w:right="212" w:firstLine="480"/>
      </w:pPr>
      <w:r>
        <w:rPr>
          <w:spacing w:val="-11"/>
        </w:rPr>
        <w:t>包括一旦发现地下水污染事故，立即启动应急预案、采取应急措施控制地下水污染， </w:t>
      </w:r>
      <w:r>
        <w:rPr/>
        <w:t>并使污染得到治理。</w:t>
      </w:r>
    </w:p>
    <w:p>
      <w:pPr>
        <w:pStyle w:val="Heading4"/>
        <w:numPr>
          <w:ilvl w:val="2"/>
          <w:numId w:val="13"/>
        </w:numPr>
        <w:tabs>
          <w:tab w:pos="799" w:val="left" w:leader="none"/>
        </w:tabs>
        <w:spacing w:line="240" w:lineRule="auto" w:before="5" w:after="0"/>
        <w:ind w:left="798" w:right="0" w:hanging="541"/>
        <w:jc w:val="left"/>
      </w:pPr>
      <w:r>
        <w:rPr/>
        <w:t>防渗方案及设计</w:t>
      </w:r>
    </w:p>
    <w:p>
      <w:pPr>
        <w:pStyle w:val="BodyText"/>
        <w:spacing w:before="160"/>
        <w:ind w:left="738"/>
      </w:pPr>
      <w:r>
        <w:rPr>
          <w:rFonts w:ascii="Times New Roman" w:eastAsia="Times New Roman"/>
        </w:rPr>
        <w:t>1</w:t>
      </w:r>
      <w:r>
        <w:rPr/>
        <w:t>、防渗区域划分及防渗要求</w:t>
      </w:r>
    </w:p>
    <w:p>
      <w:pPr>
        <w:pStyle w:val="BodyText"/>
        <w:spacing w:line="364" w:lineRule="auto" w:before="159"/>
        <w:ind w:left="258" w:right="272" w:firstLine="480"/>
      </w:pPr>
      <w:r>
        <w:rPr/>
        <w:t>根据各厂区可能泄漏至地面区域污染物的性质和生产单元的构筑方式，将厂区划分为非污染防治区、一般污染防治区和重点污染防治区。</w:t>
      </w:r>
    </w:p>
    <w:p>
      <w:pPr>
        <w:pStyle w:val="BodyText"/>
        <w:spacing w:line="364" w:lineRule="auto"/>
        <w:ind w:left="258" w:right="286" w:firstLine="480"/>
      </w:pPr>
      <w:r>
        <w:rPr/>
        <w:t>非污染防治区：指不会对地下水环境造成污染的区域。主要包括控制室、绿化区、管理区、厂前区等。</w:t>
      </w:r>
    </w:p>
    <w:p>
      <w:pPr>
        <w:pStyle w:val="BodyText"/>
        <w:spacing w:line="364" w:lineRule="auto"/>
        <w:ind w:left="258" w:right="332" w:firstLine="480"/>
        <w:jc w:val="both"/>
      </w:pPr>
      <w:r>
        <w:rPr>
          <w:spacing w:val="-5"/>
        </w:rPr>
        <w:t>一般污染防治区：指裸露地面的生产功能单元，污染地下水环境的物料泄漏容易及</w:t>
      </w:r>
      <w:r>
        <w:rPr/>
        <w:t>时发现和处理的区域。主要包括生产装置</w:t>
      </w:r>
      <w:r>
        <w:rPr>
          <w:rFonts w:ascii="Times New Roman" w:eastAsia="Times New Roman"/>
        </w:rPr>
        <w:t>(</w:t>
      </w:r>
      <w:r>
        <w:rPr/>
        <w:t>单元</w:t>
      </w:r>
      <w:r>
        <w:rPr>
          <w:rFonts w:ascii="Times New Roman" w:eastAsia="Times New Roman"/>
        </w:rPr>
        <w:t>)</w:t>
      </w:r>
      <w:r>
        <w:rPr/>
        <w:t>区的塔、反应器、换热器、压缩机、泵区、管廊区、污水管道、道路、循环水站、化验室、化学品库等。</w:t>
      </w:r>
    </w:p>
    <w:p>
      <w:pPr>
        <w:pStyle w:val="BodyText"/>
        <w:spacing w:line="364" w:lineRule="auto"/>
        <w:ind w:left="258" w:right="332" w:firstLine="480"/>
        <w:jc w:val="both"/>
      </w:pPr>
      <w:r>
        <w:rPr>
          <w:spacing w:val="-10"/>
        </w:rPr>
        <w:t>一般污染区防渗要求：操作条件下的单位面积渗透量不大于厚度为 </w:t>
      </w:r>
      <w:r>
        <w:rPr>
          <w:rFonts w:ascii="Times New Roman" w:hAnsi="Times New Roman" w:eastAsia="Times New Roman"/>
        </w:rPr>
        <w:t>1m </w:t>
      </w:r>
      <w:r>
        <w:rPr/>
        <w:t>粘土层</w:t>
      </w:r>
      <w:r>
        <w:rPr>
          <w:rFonts w:ascii="Times New Roman" w:hAnsi="Times New Roman" w:eastAsia="Times New Roman"/>
        </w:rPr>
        <w:t>(</w:t>
      </w:r>
      <w:r>
        <w:rPr>
          <w:spacing w:val="-7"/>
        </w:rPr>
        <w:t>渗透</w:t>
      </w:r>
      <w:r>
        <w:rPr/>
        <w:t>系数</w:t>
      </w:r>
      <w:r>
        <w:rPr>
          <w:rFonts w:ascii="Times New Roman" w:hAnsi="Times New Roman" w:eastAsia="Times New Roman"/>
        </w:rPr>
        <w:t>≤10</w:t>
      </w:r>
      <w:r>
        <w:rPr>
          <w:rFonts w:ascii="Times New Roman" w:hAnsi="Times New Roman" w:eastAsia="Times New Roman"/>
          <w:position w:val="9"/>
          <w:sz w:val="16"/>
        </w:rPr>
        <w:t>-7</w:t>
      </w:r>
      <w:r>
        <w:rPr>
          <w:rFonts w:ascii="Times New Roman" w:hAnsi="Times New Roman" w:eastAsia="Times New Roman"/>
        </w:rPr>
        <w:t>cm/s)</w:t>
      </w:r>
      <w:r>
        <w:rPr>
          <w:spacing w:val="-21"/>
        </w:rPr>
        <w:t>，或 </w:t>
      </w:r>
      <w:r>
        <w:rPr>
          <w:rFonts w:ascii="Times New Roman" w:hAnsi="Times New Roman" w:eastAsia="Times New Roman"/>
        </w:rPr>
        <w:t>2mm </w:t>
      </w:r>
      <w:r>
        <w:rPr>
          <w:spacing w:val="-30"/>
        </w:rPr>
        <w:t>厚 </w:t>
      </w:r>
      <w:r>
        <w:rPr>
          <w:rFonts w:ascii="Times New Roman" w:hAnsi="Times New Roman" w:eastAsia="Times New Roman"/>
        </w:rPr>
        <w:t>HDPE </w:t>
      </w:r>
      <w:r>
        <w:rPr>
          <w:spacing w:val="-10"/>
        </w:rPr>
        <w:t>膜渗透系数 </w:t>
      </w:r>
      <w:r>
        <w:rPr>
          <w:rFonts w:ascii="Times New Roman" w:hAnsi="Times New Roman" w:eastAsia="Times New Roman"/>
          <w:spacing w:val="-5"/>
        </w:rPr>
        <w:t>K=1×10 </w:t>
      </w:r>
      <w:r>
        <w:rPr>
          <w:rFonts w:ascii="Times New Roman" w:hAnsi="Times New Roman" w:eastAsia="Times New Roman"/>
          <w:position w:val="9"/>
          <w:sz w:val="16"/>
        </w:rPr>
        <w:t>-10</w:t>
      </w:r>
      <w:r>
        <w:rPr>
          <w:rFonts w:ascii="Times New Roman" w:hAnsi="Times New Roman" w:eastAsia="Times New Roman"/>
        </w:rPr>
        <w:t>cm/s </w:t>
      </w:r>
      <w:r>
        <w:rPr/>
        <w:t>防渗层的渗透量。</w:t>
      </w:r>
    </w:p>
    <w:p>
      <w:pPr>
        <w:pStyle w:val="BodyText"/>
        <w:spacing w:line="364" w:lineRule="auto"/>
        <w:ind w:left="258" w:right="212" w:firstLine="480"/>
      </w:pPr>
      <w:r>
        <w:rPr>
          <w:spacing w:val="-4"/>
        </w:rPr>
        <w:t>重点污染防治区：指位于地下或半地下的生产功能单元，污染地下水环境的物料长</w:t>
      </w:r>
      <w:r>
        <w:rPr>
          <w:spacing w:val="-12"/>
        </w:rPr>
        <w:t>期贮存或泄漏不容易及时发现和处理的区域。主要包括污水收集管道和池、危废暂存库、</w:t>
      </w:r>
      <w:r>
        <w:rPr/>
        <w:t>储罐区等。</w:t>
      </w:r>
    </w:p>
    <w:p>
      <w:pPr>
        <w:pStyle w:val="BodyText"/>
        <w:spacing w:line="364" w:lineRule="auto"/>
        <w:ind w:left="258" w:right="329" w:firstLine="480"/>
      </w:pPr>
      <w:r>
        <w:rPr/>
        <w:t>重点污染区防渗要求：操作条件下的单位面积渗透量不大于厚度为 </w:t>
      </w:r>
      <w:r>
        <w:rPr>
          <w:rFonts w:ascii="Times New Roman" w:hAnsi="Times New Roman" w:eastAsia="Times New Roman"/>
        </w:rPr>
        <w:t>6m</w:t>
      </w:r>
      <w:r>
        <w:rPr/>
        <w:t>，饱和渗透系数</w:t>
      </w:r>
      <w:r>
        <w:rPr>
          <w:rFonts w:ascii="Times New Roman" w:hAnsi="Times New Roman" w:eastAsia="Times New Roman"/>
        </w:rPr>
        <w:t>≤10</w:t>
      </w:r>
      <w:r>
        <w:rPr>
          <w:rFonts w:ascii="Times New Roman" w:hAnsi="Times New Roman" w:eastAsia="Times New Roman"/>
          <w:position w:val="9"/>
          <w:sz w:val="16"/>
        </w:rPr>
        <w:t>-7</w:t>
      </w:r>
      <w:r>
        <w:rPr>
          <w:rFonts w:ascii="Times New Roman" w:hAnsi="Times New Roman" w:eastAsia="Times New Roman"/>
        </w:rPr>
        <w:t>cm/s</w:t>
      </w:r>
      <w:r>
        <w:rPr/>
        <w:t>，或 </w:t>
      </w:r>
      <w:r>
        <w:rPr>
          <w:rFonts w:ascii="Times New Roman" w:hAnsi="Times New Roman" w:eastAsia="Times New Roman"/>
        </w:rPr>
        <w:t>3mm </w:t>
      </w:r>
      <w:r>
        <w:rPr/>
        <w:t>厚 </w:t>
      </w:r>
      <w:r>
        <w:rPr>
          <w:rFonts w:ascii="Times New Roman" w:hAnsi="Times New Roman" w:eastAsia="Times New Roman"/>
        </w:rPr>
        <w:t>HDPE </w:t>
      </w:r>
      <w:r>
        <w:rPr/>
        <w:t>膜渗透系数 </w:t>
      </w:r>
      <w:r>
        <w:rPr>
          <w:rFonts w:ascii="Times New Roman" w:hAnsi="Times New Roman" w:eastAsia="Times New Roman"/>
        </w:rPr>
        <w:t>K=1×10 </w:t>
      </w:r>
      <w:r>
        <w:rPr>
          <w:rFonts w:ascii="Times New Roman" w:hAnsi="Times New Roman" w:eastAsia="Times New Roman"/>
          <w:position w:val="9"/>
          <w:sz w:val="16"/>
        </w:rPr>
        <w:t>-12</w:t>
      </w:r>
      <w:r>
        <w:rPr>
          <w:rFonts w:ascii="Times New Roman" w:hAnsi="Times New Roman" w:eastAsia="Times New Roman"/>
        </w:rPr>
        <w:t>cm/s </w:t>
      </w:r>
      <w:r>
        <w:rPr/>
        <w:t>防渗层的参透量。</w:t>
      </w:r>
    </w:p>
    <w:p>
      <w:pPr>
        <w:pStyle w:val="BodyText"/>
        <w:ind w:left="738"/>
      </w:pPr>
      <w:r>
        <w:rPr>
          <w:rFonts w:ascii="Times New Roman" w:eastAsia="Times New Roman"/>
        </w:rPr>
        <w:t>2</w:t>
      </w:r>
      <w:r>
        <w:rPr/>
        <w:t>、防渗措施</w:t>
      </w:r>
    </w:p>
    <w:p>
      <w:pPr>
        <w:pStyle w:val="BodyText"/>
        <w:spacing w:line="364" w:lineRule="auto" w:before="153"/>
        <w:ind w:left="258" w:right="329" w:firstLine="480"/>
        <w:jc w:val="both"/>
      </w:pPr>
      <w:r>
        <w:rPr>
          <w:spacing w:val="-5"/>
        </w:rPr>
        <w:t>本项目主要污染防渗区为生产车间、储罐区、污水管道、污水收集设施等，其中生</w:t>
      </w:r>
      <w:r>
        <w:rPr>
          <w:spacing w:val="4"/>
        </w:rPr>
        <w:t>产车间、储罐区、仓库等一般污染防治区防渗应参照《危险废物贮存污染控制标准》</w:t>
      </w:r>
      <w:r>
        <w:rPr>
          <w:rFonts w:ascii="Times New Roman" w:hAnsi="Times New Roman" w:eastAsia="Times New Roman"/>
        </w:rPr>
        <w:t>(GB18597-2001)</w:t>
      </w:r>
      <w:r>
        <w:rPr>
          <w:spacing w:val="-12"/>
        </w:rPr>
        <w:t>的要求，即达到渗透系数 </w:t>
      </w:r>
      <w:r>
        <w:rPr>
          <w:rFonts w:ascii="Times New Roman" w:hAnsi="Times New Roman" w:eastAsia="Times New Roman"/>
          <w:spacing w:val="-6"/>
        </w:rPr>
        <w:t>K=1×1</w:t>
      </w:r>
      <w:r>
        <w:rPr>
          <w:rFonts w:ascii="Times New Roman" w:hAnsi="Times New Roman" w:eastAsia="Times New Roman"/>
          <w:spacing w:val="-34"/>
        </w:rPr>
        <w:t> </w:t>
      </w:r>
      <w:r>
        <w:rPr>
          <w:rFonts w:ascii="Times New Roman" w:hAnsi="Times New Roman" w:eastAsia="Times New Roman"/>
          <w:spacing w:val="-6"/>
        </w:rPr>
        <w:t>0</w:t>
      </w:r>
      <w:r>
        <w:rPr>
          <w:rFonts w:ascii="Times New Roman" w:hAnsi="Times New Roman" w:eastAsia="Times New Roman"/>
          <w:spacing w:val="-6"/>
          <w:position w:val="9"/>
          <w:sz w:val="16"/>
        </w:rPr>
        <w:t>-7</w:t>
      </w:r>
      <w:r>
        <w:rPr>
          <w:rFonts w:ascii="Times New Roman" w:hAnsi="Times New Roman" w:eastAsia="Times New Roman"/>
          <w:spacing w:val="-6"/>
        </w:rPr>
        <w:t>cm/s</w:t>
      </w:r>
      <w:r>
        <w:rPr>
          <w:spacing w:val="-22"/>
        </w:rPr>
        <w:t>，且 </w:t>
      </w:r>
      <w:r>
        <w:rPr>
          <w:rFonts w:ascii="Times New Roman" w:hAnsi="Times New Roman" w:eastAsia="Times New Roman"/>
        </w:rPr>
        <w:t>1m</w:t>
      </w:r>
      <w:r>
        <w:rPr>
          <w:rFonts w:ascii="Times New Roman" w:hAnsi="Times New Roman" w:eastAsia="Times New Roman"/>
          <w:spacing w:val="1"/>
        </w:rPr>
        <w:t> </w:t>
      </w:r>
      <w:r>
        <w:rPr>
          <w:spacing w:val="-12"/>
        </w:rPr>
        <w:t>厚粘土或 </w:t>
      </w:r>
      <w:r>
        <w:rPr>
          <w:rFonts w:ascii="Times New Roman" w:hAnsi="Times New Roman" w:eastAsia="Times New Roman"/>
        </w:rPr>
        <w:t>2mm</w:t>
      </w:r>
      <w:r>
        <w:rPr>
          <w:rFonts w:ascii="Times New Roman" w:hAnsi="Times New Roman" w:eastAsia="Times New Roman"/>
          <w:spacing w:val="2"/>
        </w:rPr>
        <w:t> </w:t>
      </w:r>
      <w:r>
        <w:rPr>
          <w:spacing w:val="-30"/>
        </w:rPr>
        <w:t>厚 </w:t>
      </w:r>
      <w:r>
        <w:rPr>
          <w:rFonts w:ascii="Times New Roman" w:hAnsi="Times New Roman" w:eastAsia="Times New Roman"/>
        </w:rPr>
        <w:t>HDPE </w:t>
      </w:r>
      <w:r>
        <w:rPr>
          <w:spacing w:val="25"/>
        </w:rPr>
        <w:t>膜渗透系数 </w:t>
      </w:r>
      <w:r>
        <w:rPr>
          <w:rFonts w:ascii="Times New Roman" w:hAnsi="Times New Roman" w:eastAsia="Times New Roman"/>
          <w:spacing w:val="-5"/>
        </w:rPr>
        <w:t>K=1×10</w:t>
      </w:r>
      <w:r>
        <w:rPr>
          <w:rFonts w:ascii="Times New Roman" w:hAnsi="Times New Roman" w:eastAsia="Times New Roman"/>
          <w:spacing w:val="-35"/>
        </w:rPr>
        <w:t> </w:t>
      </w:r>
      <w:r>
        <w:rPr>
          <w:rFonts w:ascii="Times New Roman" w:hAnsi="Times New Roman" w:eastAsia="Times New Roman"/>
          <w:position w:val="9"/>
          <w:sz w:val="16"/>
        </w:rPr>
        <w:t>-10</w:t>
      </w:r>
      <w:r>
        <w:rPr>
          <w:rFonts w:ascii="Times New Roman" w:hAnsi="Times New Roman" w:eastAsia="Times New Roman"/>
        </w:rPr>
        <w:t>cm/s</w:t>
      </w:r>
      <w:r>
        <w:rPr>
          <w:rFonts w:ascii="Times New Roman" w:hAnsi="Times New Roman" w:eastAsia="Times New Roman"/>
          <w:spacing w:val="33"/>
        </w:rPr>
        <w:t> </w:t>
      </w:r>
      <w:r>
        <w:rPr>
          <w:spacing w:val="20"/>
        </w:rPr>
        <w:t>的渗透量要求。由于要求的粘土较厚， 且渗透系数</w:t>
      </w:r>
      <w:r>
        <w:rPr>
          <w:rFonts w:ascii="Times New Roman" w:hAnsi="Times New Roman" w:eastAsia="Times New Roman"/>
          <w:spacing w:val="-6"/>
        </w:rPr>
        <w:t>K=1×1</w:t>
      </w:r>
      <w:r>
        <w:rPr>
          <w:rFonts w:ascii="Times New Roman" w:hAnsi="Times New Roman" w:eastAsia="Times New Roman"/>
          <w:spacing w:val="-34"/>
        </w:rPr>
        <w:t> </w:t>
      </w:r>
      <w:r>
        <w:rPr>
          <w:rFonts w:ascii="Times New Roman" w:hAnsi="Times New Roman" w:eastAsia="Times New Roman"/>
        </w:rPr>
        <w:t>0</w:t>
      </w:r>
      <w:r>
        <w:rPr>
          <w:rFonts w:ascii="Times New Roman" w:hAnsi="Times New Roman" w:eastAsia="Times New Roman"/>
          <w:position w:val="9"/>
          <w:sz w:val="16"/>
        </w:rPr>
        <w:t>-7</w:t>
      </w:r>
      <w:r>
        <w:rPr>
          <w:rFonts w:ascii="Times New Roman" w:hAnsi="Times New Roman" w:eastAsia="Times New Roman"/>
        </w:rPr>
        <w:t>cm/s</w:t>
      </w:r>
      <w:r>
        <w:rPr/>
        <w:t>，在实际工程中较难满足，可将粘土或土工膜用钢筋混凝土等效替代，材</w:t>
      </w:r>
      <w:r>
        <w:rPr>
          <w:spacing w:val="-2"/>
        </w:rPr>
        <w:t>料等效换算时，根据渗透时间相等的原则，据渗透深度法相对渗透系数公式，把 </w:t>
      </w:r>
      <w:r>
        <w:rPr>
          <w:rFonts w:ascii="Times New Roman" w:hAnsi="Times New Roman" w:eastAsia="Times New Roman"/>
        </w:rPr>
        <w:t>1m</w:t>
      </w:r>
      <w:r>
        <w:rPr>
          <w:rFonts w:ascii="Times New Roman" w:hAnsi="Times New Roman" w:eastAsia="Times New Roman"/>
          <w:spacing w:val="2"/>
        </w:rPr>
        <w:t> </w:t>
      </w:r>
      <w:r>
        <w:rPr>
          <w:spacing w:val="-13"/>
        </w:rPr>
        <w:t>厚</w:t>
      </w:r>
      <w:r>
        <w:rPr>
          <w:spacing w:val="-7"/>
        </w:rPr>
        <w:t>粘土，渗透系数 </w:t>
      </w:r>
      <w:r>
        <w:rPr>
          <w:rFonts w:ascii="Times New Roman" w:hAnsi="Times New Roman" w:eastAsia="Times New Roman"/>
          <w:spacing w:val="-5"/>
        </w:rPr>
        <w:t>K=1×10</w:t>
      </w:r>
      <w:r>
        <w:rPr>
          <w:rFonts w:ascii="Times New Roman" w:hAnsi="Times New Roman" w:eastAsia="Times New Roman"/>
          <w:spacing w:val="-34"/>
        </w:rPr>
        <w:t> </w:t>
      </w:r>
      <w:r>
        <w:rPr>
          <w:rFonts w:ascii="Times New Roman" w:hAnsi="Times New Roman" w:eastAsia="Times New Roman"/>
          <w:position w:val="9"/>
          <w:sz w:val="16"/>
        </w:rPr>
        <w:t>-7</w:t>
      </w:r>
      <w:r>
        <w:rPr>
          <w:rFonts w:ascii="Times New Roman" w:hAnsi="Times New Roman" w:eastAsia="Times New Roman"/>
        </w:rPr>
        <w:t>cm/s</w:t>
      </w:r>
      <w:r>
        <w:rPr>
          <w:rFonts w:ascii="Times New Roman" w:hAnsi="Times New Roman" w:eastAsia="Times New Roman"/>
          <w:spacing w:val="7"/>
        </w:rPr>
        <w:t> </w:t>
      </w:r>
      <w:r>
        <w:rPr>
          <w:spacing w:val="-27"/>
        </w:rPr>
        <w:t>或 </w:t>
      </w:r>
      <w:r>
        <w:rPr>
          <w:rFonts w:ascii="Times New Roman" w:hAnsi="Times New Roman" w:eastAsia="Times New Roman"/>
        </w:rPr>
        <w:t>2mm</w:t>
      </w:r>
      <w:r>
        <w:rPr>
          <w:rFonts w:ascii="Times New Roman" w:hAnsi="Times New Roman" w:eastAsia="Times New Roman"/>
          <w:spacing w:val="4"/>
        </w:rPr>
        <w:t> </w:t>
      </w:r>
      <w:r>
        <w:rPr>
          <w:spacing w:val="-27"/>
        </w:rPr>
        <w:t>厚 </w:t>
      </w:r>
      <w:r>
        <w:rPr>
          <w:rFonts w:ascii="Times New Roman" w:hAnsi="Times New Roman" w:eastAsia="Times New Roman"/>
        </w:rPr>
        <w:t>HDPE</w:t>
      </w:r>
      <w:r>
        <w:rPr>
          <w:rFonts w:ascii="Times New Roman" w:hAnsi="Times New Roman" w:eastAsia="Times New Roman"/>
          <w:spacing w:val="7"/>
        </w:rPr>
        <w:t> </w:t>
      </w:r>
      <w:r>
        <w:rPr>
          <w:spacing w:val="-9"/>
        </w:rPr>
        <w:t>膜渗透系数 </w:t>
      </w:r>
      <w:r>
        <w:rPr>
          <w:rFonts w:ascii="Times New Roman" w:hAnsi="Times New Roman" w:eastAsia="Times New Roman"/>
          <w:spacing w:val="-5"/>
        </w:rPr>
        <w:t>K=1×10</w:t>
      </w:r>
      <w:r>
        <w:rPr>
          <w:rFonts w:ascii="Times New Roman" w:hAnsi="Times New Roman" w:eastAsia="Times New Roman"/>
          <w:spacing w:val="-35"/>
        </w:rPr>
        <w:t> </w:t>
      </w:r>
      <w:r>
        <w:rPr>
          <w:rFonts w:ascii="Times New Roman" w:hAnsi="Times New Roman" w:eastAsia="Times New Roman"/>
          <w:position w:val="9"/>
          <w:sz w:val="16"/>
        </w:rPr>
        <w:t>-10</w:t>
      </w:r>
      <w:r>
        <w:rPr>
          <w:rFonts w:ascii="Times New Roman" w:hAnsi="Times New Roman" w:eastAsia="Times New Roman"/>
        </w:rPr>
        <w:t>cm/s</w:t>
      </w:r>
      <w:r>
        <w:rPr>
          <w:rFonts w:ascii="Times New Roman" w:hAnsi="Times New Roman" w:eastAsia="Times New Roman"/>
          <w:spacing w:val="8"/>
        </w:rPr>
        <w:t> </w:t>
      </w:r>
      <w:r>
        <w:rPr/>
        <w:t>等效换算成</w:t>
      </w:r>
    </w:p>
    <w:p>
      <w:pPr>
        <w:spacing w:after="0" w:line="364" w:lineRule="auto"/>
        <w:jc w:val="both"/>
        <w:sectPr>
          <w:pgSz w:w="11910" w:h="16850"/>
          <w:pgMar w:header="730" w:footer="673" w:top="980" w:bottom="860" w:left="1160" w:right="1080"/>
        </w:sectPr>
      </w:pPr>
    </w:p>
    <w:p>
      <w:pPr>
        <w:pStyle w:val="BodyText"/>
        <w:spacing w:before="4"/>
        <w:rPr>
          <w:sz w:val="26"/>
        </w:rPr>
      </w:pPr>
    </w:p>
    <w:p>
      <w:pPr>
        <w:pStyle w:val="BodyText"/>
        <w:spacing w:line="364" w:lineRule="auto" w:before="95"/>
        <w:ind w:left="258" w:right="212"/>
      </w:pPr>
      <w:r>
        <w:rPr>
          <w:spacing w:val="-16"/>
        </w:rPr>
        <w:t>厚度为 </w:t>
      </w:r>
      <w:r>
        <w:rPr>
          <w:rFonts w:ascii="Times New Roman" w:hAnsi="Times New Roman" w:eastAsia="Times New Roman"/>
        </w:rPr>
        <w:t>100mm </w:t>
      </w:r>
      <w:r>
        <w:rPr>
          <w:spacing w:val="-15"/>
        </w:rPr>
        <w:t>防水钢筋混凝土，</w:t>
      </w:r>
      <w:r>
        <w:rPr>
          <w:rFonts w:ascii="Times New Roman" w:hAnsi="Times New Roman" w:eastAsia="Times New Roman"/>
          <w:spacing w:val="-1"/>
        </w:rPr>
        <w:t>(</w:t>
      </w:r>
      <w:r>
        <w:rPr>
          <w:spacing w:val="-12"/>
        </w:rPr>
        <w:t>渗透系数 </w:t>
      </w:r>
      <w:r>
        <w:rPr>
          <w:rFonts w:ascii="Times New Roman" w:hAnsi="Times New Roman" w:eastAsia="Times New Roman"/>
          <w:spacing w:val="1"/>
        </w:rPr>
        <w:t>K</w:t>
      </w:r>
      <w:r>
        <w:rPr>
          <w:rFonts w:ascii="Times New Roman" w:hAnsi="Times New Roman" w:eastAsia="Times New Roman"/>
        </w:rPr>
        <w:t>≤</w:t>
      </w:r>
      <w:r>
        <w:rPr>
          <w:rFonts w:ascii="Times New Roman" w:hAnsi="Times New Roman" w:eastAsia="Times New Roman"/>
          <w:spacing w:val="2"/>
        </w:rPr>
        <w:t>1</w:t>
      </w:r>
      <w:r>
        <w:rPr>
          <w:rFonts w:ascii="Times New Roman" w:hAnsi="Times New Roman" w:eastAsia="Times New Roman"/>
          <w:spacing w:val="-29"/>
        </w:rPr>
        <w:t>×</w:t>
      </w:r>
      <w:r>
        <w:rPr>
          <w:rFonts w:ascii="Times New Roman" w:hAnsi="Times New Roman" w:eastAsia="Times New Roman"/>
        </w:rPr>
        <w:t>10 </w:t>
      </w:r>
      <w:r>
        <w:rPr>
          <w:rFonts w:ascii="Times New Roman" w:hAnsi="Times New Roman" w:eastAsia="Times New Roman"/>
          <w:spacing w:val="-1"/>
          <w:w w:val="100"/>
          <w:position w:val="9"/>
          <w:sz w:val="16"/>
        </w:rPr>
        <w:t>-</w:t>
      </w:r>
      <w:r>
        <w:rPr>
          <w:rFonts w:ascii="Times New Roman" w:hAnsi="Times New Roman" w:eastAsia="Times New Roman"/>
          <w:spacing w:val="1"/>
          <w:w w:val="100"/>
          <w:position w:val="9"/>
          <w:sz w:val="16"/>
        </w:rPr>
        <w:t>9</w:t>
      </w:r>
      <w:r>
        <w:rPr>
          <w:rFonts w:ascii="Times New Roman" w:hAnsi="Times New Roman" w:eastAsia="Times New Roman"/>
          <w:spacing w:val="-1"/>
        </w:rPr>
        <w:t>c</w:t>
      </w:r>
      <w:r>
        <w:rPr>
          <w:rFonts w:ascii="Times New Roman" w:hAnsi="Times New Roman" w:eastAsia="Times New Roman"/>
        </w:rPr>
        <w:t>m/</w:t>
      </w:r>
      <w:r>
        <w:rPr>
          <w:rFonts w:ascii="Times New Roman" w:hAnsi="Times New Roman" w:eastAsia="Times New Roman"/>
          <w:w w:val="99"/>
        </w:rPr>
        <w:t>s</w:t>
      </w:r>
      <w:r>
        <w:rPr>
          <w:rFonts w:ascii="Times New Roman" w:hAnsi="Times New Roman" w:eastAsia="Times New Roman"/>
          <w:spacing w:val="-1"/>
          <w:w w:val="99"/>
        </w:rPr>
        <w:t>)</w:t>
      </w:r>
      <w:r>
        <w:rPr>
          <w:spacing w:val="-12"/>
        </w:rPr>
        <w:t>。考虑到对钢筋保护层的要求，</w:t>
      </w:r>
      <w:r>
        <w:rPr>
          <w:spacing w:val="-6"/>
        </w:rPr>
        <w:t>可采用 </w:t>
      </w:r>
      <w:r>
        <w:rPr>
          <w:rFonts w:ascii="Times New Roman" w:hAnsi="Times New Roman" w:eastAsia="Times New Roman"/>
        </w:rPr>
        <w:t>150mm </w:t>
      </w:r>
      <w:r>
        <w:rPr/>
        <w:t>厚防水钢筋混凝土面层</w:t>
      </w:r>
      <w:r>
        <w:rPr>
          <w:rFonts w:ascii="Times New Roman" w:hAnsi="Times New Roman" w:eastAsia="Times New Roman"/>
        </w:rPr>
        <w:t>(</w:t>
      </w:r>
      <w:r>
        <w:rPr>
          <w:spacing w:val="-5"/>
        </w:rPr>
        <w:t>渗透系数 </w:t>
      </w:r>
      <w:r>
        <w:rPr>
          <w:rFonts w:ascii="Times New Roman" w:hAnsi="Times New Roman" w:eastAsia="Times New Roman"/>
        </w:rPr>
        <w:t>K≤1×10</w:t>
      </w:r>
      <w:r>
        <w:rPr>
          <w:rFonts w:ascii="Times New Roman" w:hAnsi="Times New Roman" w:eastAsia="Times New Roman"/>
          <w:position w:val="9"/>
          <w:sz w:val="16"/>
        </w:rPr>
        <w:t>-9</w:t>
      </w:r>
      <w:r>
        <w:rPr>
          <w:rFonts w:ascii="Times New Roman" w:hAnsi="Times New Roman" w:eastAsia="Times New Roman"/>
        </w:rPr>
        <w:t>cm/s)</w:t>
      </w:r>
      <w:r>
        <w:rPr>
          <w:spacing w:val="-6"/>
        </w:rPr>
        <w:t>，下垫 </w:t>
      </w:r>
      <w:r>
        <w:rPr>
          <w:rFonts w:ascii="Times New Roman" w:hAnsi="Times New Roman" w:eastAsia="Times New Roman"/>
        </w:rPr>
        <w:t>300mm~500mm </w:t>
      </w:r>
      <w:r>
        <w:rPr/>
        <w:t>厚天然材料衬层或人工材料垫层</w:t>
      </w:r>
      <w:r>
        <w:rPr>
          <w:rFonts w:ascii="Times New Roman" w:hAnsi="Times New Roman" w:eastAsia="Times New Roman"/>
        </w:rPr>
        <w:t>(</w:t>
      </w:r>
      <w:r>
        <w:rPr>
          <w:spacing w:val="-31"/>
        </w:rPr>
        <w:t>如 </w:t>
      </w:r>
      <w:r>
        <w:rPr>
          <w:rFonts w:ascii="Times New Roman" w:hAnsi="Times New Roman" w:eastAsia="Times New Roman"/>
        </w:rPr>
        <w:t>3</w:t>
      </w:r>
      <w:r>
        <w:rPr/>
        <w:t>：</w:t>
      </w:r>
      <w:r>
        <w:rPr>
          <w:rFonts w:ascii="Times New Roman" w:hAnsi="Times New Roman" w:eastAsia="Times New Roman"/>
        </w:rPr>
        <w:t>7 </w:t>
      </w:r>
      <w:r>
        <w:rPr/>
        <w:t>灰土垫层等</w:t>
      </w:r>
      <w:r>
        <w:rPr>
          <w:rFonts w:ascii="Times New Roman" w:hAnsi="Times New Roman" w:eastAsia="Times New Roman"/>
        </w:rPr>
        <w:t>)</w:t>
      </w:r>
      <w:r>
        <w:rPr/>
        <w:t>。</w:t>
      </w:r>
    </w:p>
    <w:p>
      <w:pPr>
        <w:pStyle w:val="BodyText"/>
        <w:spacing w:line="364" w:lineRule="auto"/>
        <w:ind w:left="258" w:right="332" w:firstLine="480"/>
        <w:jc w:val="both"/>
      </w:pPr>
      <w:r>
        <w:rPr>
          <w:spacing w:val="-7"/>
        </w:rPr>
        <w:t>污水收集池、废气处理设施区域、危废暂存场所等重点污染防治区池体可采用防水</w:t>
      </w:r>
      <w:r>
        <w:rPr>
          <w:spacing w:val="13"/>
        </w:rPr>
        <w:t>钢筋混凝土， 混凝土渗透系数 </w:t>
      </w:r>
      <w:r>
        <w:rPr>
          <w:rFonts w:ascii="Times New Roman" w:hAnsi="Times New Roman" w:eastAsia="Times New Roman"/>
        </w:rPr>
        <w:t>K≤1×10</w:t>
      </w:r>
      <w:r>
        <w:rPr>
          <w:rFonts w:ascii="Times New Roman" w:hAnsi="Times New Roman" w:eastAsia="Times New Roman"/>
          <w:position w:val="9"/>
          <w:sz w:val="16"/>
        </w:rPr>
        <w:t>-10</w:t>
      </w:r>
      <w:r>
        <w:rPr>
          <w:rFonts w:ascii="Times New Roman" w:hAnsi="Times New Roman" w:eastAsia="Times New Roman"/>
        </w:rPr>
        <w:t>cm/s </w:t>
      </w:r>
      <w:r>
        <w:rPr>
          <w:spacing w:val="13"/>
        </w:rPr>
        <w:t>， 根据《地下工程防水技术规范》</w:t>
      </w:r>
      <w:r>
        <w:rPr>
          <w:rFonts w:ascii="Times New Roman" w:hAnsi="Times New Roman" w:eastAsia="Times New Roman"/>
          <w:spacing w:val="13"/>
        </w:rPr>
        <w:t>(GB50108-2008)</w:t>
      </w:r>
      <w:r>
        <w:rPr>
          <w:spacing w:val="6"/>
        </w:rPr>
        <w:t>要求，壁厚</w:t>
      </w:r>
      <w:r>
        <w:rPr>
          <w:rFonts w:ascii="Times New Roman" w:hAnsi="Times New Roman" w:eastAsia="Times New Roman"/>
        </w:rPr>
        <w:t>≥250mm</w:t>
      </w:r>
      <w:r>
        <w:rPr/>
        <w:t>；池壁内表面刷防水砂浆或水泥基防渗涂层；机泵</w:t>
      </w:r>
      <w:r>
        <w:rPr>
          <w:spacing w:val="-3"/>
        </w:rPr>
        <w:t>边沟可采用防水钢筋混凝土，混凝土渗透系数 </w:t>
      </w:r>
      <w:r>
        <w:rPr>
          <w:rFonts w:ascii="Times New Roman" w:hAnsi="Times New Roman" w:eastAsia="Times New Roman"/>
        </w:rPr>
        <w:t>K≤1×10</w:t>
      </w:r>
      <w:r>
        <w:rPr>
          <w:rFonts w:ascii="Times New Roman" w:hAnsi="Times New Roman" w:eastAsia="Times New Roman"/>
          <w:position w:val="9"/>
          <w:sz w:val="16"/>
        </w:rPr>
        <w:t>-10</w:t>
      </w:r>
      <w:r>
        <w:rPr>
          <w:rFonts w:ascii="Times New Roman" w:hAnsi="Times New Roman" w:eastAsia="Times New Roman"/>
        </w:rPr>
        <w:t>cm/s</w:t>
      </w:r>
      <w:r>
        <w:rPr/>
        <w:t>。</w:t>
      </w:r>
    </w:p>
    <w:p>
      <w:pPr>
        <w:pStyle w:val="BodyText"/>
        <w:ind w:left="738"/>
      </w:pPr>
      <w:r>
        <w:rPr>
          <w:rFonts w:ascii="Times New Roman" w:eastAsia="Times New Roman"/>
        </w:rPr>
        <w:t>3</w:t>
      </w:r>
      <w:r>
        <w:rPr/>
        <w:t>、防渗方案设计方案</w:t>
      </w:r>
    </w:p>
    <w:p>
      <w:pPr>
        <w:pStyle w:val="BodyText"/>
        <w:spacing w:line="364" w:lineRule="auto" w:before="156"/>
        <w:ind w:left="258" w:right="332" w:firstLine="480"/>
        <w:jc w:val="both"/>
      </w:pPr>
      <w:r>
        <w:rPr>
          <w:spacing w:val="-4"/>
        </w:rPr>
        <w:t>根据防渗参照的标准和规范，结合目前施工过程中的可操作性和和技术水平，不同</w:t>
      </w:r>
      <w:r>
        <w:rPr>
          <w:spacing w:val="-3"/>
        </w:rPr>
        <w:t>的防渗区域采用在满足防渗标准要求前提下的防渗措施。厂区内各区域的防渗要求详见</w:t>
      </w:r>
      <w:r>
        <w:rPr/>
        <w:t>下表，分区防渗图如下图。</w:t>
      </w:r>
    </w:p>
    <w:p>
      <w:pPr>
        <w:pStyle w:val="Heading4"/>
        <w:spacing w:before="141" w:after="28"/>
        <w:ind w:left="2495"/>
        <w:jc w:val="both"/>
      </w:pPr>
      <w:r>
        <w:rPr/>
        <w:t>表 </w:t>
      </w:r>
      <w:r>
        <w:rPr>
          <w:rFonts w:ascii="Times New Roman" w:eastAsia="Times New Roman"/>
        </w:rPr>
        <w:t>5.3.2-1  </w:t>
      </w:r>
      <w:r>
        <w:rPr/>
        <w:t>项目各区域地下水污染防治要求</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6770"/>
      </w:tblGrid>
      <w:tr>
        <w:trPr>
          <w:trHeight w:val="270" w:hRule="atLeast"/>
        </w:trPr>
        <w:tc>
          <w:tcPr>
            <w:tcW w:w="2520" w:type="dxa"/>
          </w:tcPr>
          <w:p>
            <w:pPr>
              <w:pStyle w:val="TableParagraph"/>
              <w:spacing w:line="250" w:lineRule="exact" w:before="1"/>
              <w:ind w:left="501" w:right="492"/>
              <w:rPr>
                <w:b/>
                <w:sz w:val="21"/>
              </w:rPr>
            </w:pPr>
            <w:r>
              <w:rPr>
                <w:b/>
                <w:sz w:val="21"/>
              </w:rPr>
              <w:t>污染防治区类别</w:t>
            </w:r>
          </w:p>
        </w:tc>
        <w:tc>
          <w:tcPr>
            <w:tcW w:w="6770" w:type="dxa"/>
          </w:tcPr>
          <w:p>
            <w:pPr>
              <w:pStyle w:val="TableParagraph"/>
              <w:spacing w:line="250" w:lineRule="exact" w:before="1"/>
              <w:ind w:left="526" w:right="522"/>
              <w:rPr>
                <w:b/>
                <w:sz w:val="21"/>
              </w:rPr>
            </w:pPr>
            <w:r>
              <w:rPr>
                <w:b/>
                <w:sz w:val="21"/>
              </w:rPr>
              <w:t>分区位置</w:t>
            </w:r>
          </w:p>
        </w:tc>
      </w:tr>
      <w:tr>
        <w:trPr>
          <w:trHeight w:val="273" w:hRule="atLeast"/>
        </w:trPr>
        <w:tc>
          <w:tcPr>
            <w:tcW w:w="2520" w:type="dxa"/>
          </w:tcPr>
          <w:p>
            <w:pPr>
              <w:pStyle w:val="TableParagraph"/>
              <w:spacing w:line="252" w:lineRule="exact" w:before="1"/>
              <w:ind w:left="501" w:right="490"/>
              <w:rPr>
                <w:sz w:val="21"/>
              </w:rPr>
            </w:pPr>
            <w:r>
              <w:rPr>
                <w:sz w:val="21"/>
              </w:rPr>
              <w:t>非污染区</w:t>
            </w:r>
          </w:p>
        </w:tc>
        <w:tc>
          <w:tcPr>
            <w:tcW w:w="6770" w:type="dxa"/>
          </w:tcPr>
          <w:p>
            <w:pPr>
              <w:pStyle w:val="TableParagraph"/>
              <w:spacing w:line="252" w:lineRule="exact" w:before="1"/>
              <w:ind w:left="526" w:right="522"/>
              <w:rPr>
                <w:sz w:val="21"/>
              </w:rPr>
            </w:pPr>
            <w:r>
              <w:rPr>
                <w:sz w:val="21"/>
              </w:rPr>
              <w:t>绿化区、管理区等区域</w:t>
            </w:r>
          </w:p>
        </w:tc>
      </w:tr>
      <w:tr>
        <w:trPr>
          <w:trHeight w:val="273" w:hRule="atLeast"/>
        </w:trPr>
        <w:tc>
          <w:tcPr>
            <w:tcW w:w="2520" w:type="dxa"/>
          </w:tcPr>
          <w:p>
            <w:pPr>
              <w:pStyle w:val="TableParagraph"/>
              <w:spacing w:line="252" w:lineRule="exact" w:before="1"/>
              <w:ind w:left="501" w:right="492"/>
              <w:rPr>
                <w:sz w:val="21"/>
              </w:rPr>
            </w:pPr>
            <w:r>
              <w:rPr>
                <w:sz w:val="21"/>
              </w:rPr>
              <w:t>一般污染防治区</w:t>
            </w:r>
          </w:p>
        </w:tc>
        <w:tc>
          <w:tcPr>
            <w:tcW w:w="6770" w:type="dxa"/>
          </w:tcPr>
          <w:p>
            <w:pPr>
              <w:pStyle w:val="TableParagraph"/>
              <w:spacing w:line="252" w:lineRule="exact" w:before="1"/>
              <w:ind w:left="528" w:right="522"/>
              <w:rPr>
                <w:sz w:val="21"/>
              </w:rPr>
            </w:pPr>
            <w:r>
              <w:rPr>
                <w:sz w:val="21"/>
              </w:rPr>
              <w:t>储罐区、生产车间、仓库等区域</w:t>
            </w:r>
          </w:p>
        </w:tc>
      </w:tr>
      <w:tr>
        <w:trPr>
          <w:trHeight w:val="270" w:hRule="atLeast"/>
        </w:trPr>
        <w:tc>
          <w:tcPr>
            <w:tcW w:w="2520" w:type="dxa"/>
          </w:tcPr>
          <w:p>
            <w:pPr>
              <w:pStyle w:val="TableParagraph"/>
              <w:spacing w:line="250" w:lineRule="exact" w:before="1"/>
              <w:ind w:left="501" w:right="492"/>
              <w:rPr>
                <w:sz w:val="21"/>
              </w:rPr>
            </w:pPr>
            <w:r>
              <w:rPr>
                <w:sz w:val="21"/>
              </w:rPr>
              <w:t>重点污染防治区</w:t>
            </w:r>
          </w:p>
        </w:tc>
        <w:tc>
          <w:tcPr>
            <w:tcW w:w="6770" w:type="dxa"/>
          </w:tcPr>
          <w:p>
            <w:pPr>
              <w:pStyle w:val="TableParagraph"/>
              <w:spacing w:line="250" w:lineRule="exact" w:before="1"/>
              <w:ind w:left="528" w:right="522"/>
              <w:rPr>
                <w:sz w:val="21"/>
              </w:rPr>
            </w:pPr>
            <w:r>
              <w:rPr>
                <w:sz w:val="21"/>
              </w:rPr>
              <w:t>危险废物暂存场所、污水站各处置单元、废气处理设施等区域</w:t>
            </w:r>
          </w:p>
        </w:tc>
      </w:tr>
    </w:tbl>
    <w:p>
      <w:pPr>
        <w:spacing w:after="0" w:line="250" w:lineRule="exact"/>
        <w:rPr>
          <w:sz w:val="21"/>
        </w:rPr>
        <w:sectPr>
          <w:pgSz w:w="11910" w:h="16850"/>
          <w:pgMar w:header="730" w:footer="673" w:top="980" w:bottom="860" w:left="1160" w:right="10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9"/>
        </w:rPr>
      </w:pPr>
    </w:p>
    <w:p>
      <w:pPr>
        <w:spacing w:before="79"/>
        <w:ind w:left="1221" w:right="0" w:firstLine="0"/>
        <w:jc w:val="left"/>
        <w:rPr>
          <w:b/>
          <w:sz w:val="15"/>
        </w:rPr>
      </w:pPr>
      <w:r>
        <w:rPr/>
        <w:pict>
          <v:group style="position:absolute;margin-left:71.998329pt;margin-top:-527.727844pt;width:450.2pt;height:588.550pt;mso-position-horizontal-relative:page;mso-position-vertical-relative:paragraph;z-index:-317744128" coordorigin="1440,-10555" coordsize="9004,11771">
            <v:shape style="position:absolute;left:1439;top:-10555;width:9004;height:11771" type="#_x0000_t75" stroked="false">
              <v:imagedata r:id="rId61" o:title=""/>
            </v:shape>
            <v:shape style="position:absolute;left:5258;top:-7408;width:1599;height:1194" coordorigin="5258,-7407" coordsize="1599,1194" path="m6579,-7407l5258,-6946,5536,-6213,6857,-6675,6579,-7407xe" filled="true" fillcolor="#ffff00" stroked="false">
              <v:path arrowok="t"/>
              <v:fill opacity="32639f" type="solid"/>
            </v:shape>
            <v:shape style="position:absolute;left:5258;top:-7408;width:1599;height:1194" coordorigin="5258,-7407" coordsize="1599,1194" path="m5536,-6213l6857,-6675,6579,-7407,5258,-6946,5536,-6213xe" filled="false" stroked="true" strokeweight=".800243pt" strokecolor="#ffff00">
              <v:path arrowok="t"/>
              <v:stroke dashstyle="solid"/>
            </v:shape>
            <v:shape style="position:absolute;left:5837;top:-6905;width:422;height:202" coordorigin="5837,-6904" coordsize="422,202" path="m5929,-6736l5916,-6736,5919,-6728,5923,-6717,5928,-6703,5940,-6711,5936,-6720,5932,-6730,5929,-6736xm5918,-6765l5905,-6765,5914,-6742,5853,-6721,5862,-6716,5866,-6718,5870,-6720,5916,-6736,5929,-6736,5928,-6740,5945,-6746,5926,-6746,5918,-6765xm5983,-6847l5986,-6840,5990,-6829,5996,-6813,6012,-6771,6017,-6757,6021,-6746,6024,-6739,6035,-6747,6032,-6753,6029,-6759,6027,-6765,5999,-6839,6002,-6845,5983,-6847xm5969,-6771l5963,-6759,5926,-6746,5945,-6746,5987,-6761,5969,-6771xm5883,-6796l5871,-6796,5870,-6787,5868,-6779,5866,-6771,5865,-6764,5863,-6758,5859,-6754,5873,-6748,5877,-6756,5895,-6762,5876,-6762,5883,-6796xm5891,-6800l5898,-6784,5903,-6771,5876,-6762,5895,-6762,5905,-6765,5918,-6765,5917,-6769,5934,-6775,5915,-6775,5908,-6793,5911,-6799,5891,-6800xm6127,-6779l6105,-6779,6113,-6777,6119,-6771,6124,-6776,6127,-6779xm6020,-6842l6025,-6829,6029,-6818,6042,-6785,6046,-6772,6056,-6780,6054,-6785,6071,-6791,6052,-6791,6044,-6811,6061,-6817,6042,-6817,6035,-6835,6051,-6840,6032,-6840,6020,-6842xm5943,-6795l5937,-6783,5915,-6775,5934,-6775,5960,-6785,5943,-6795xm6095,-6879l6082,-6879,6116,-6790,6116,-6788,6115,-6788,6115,-6787,6107,-6785,6094,-6783,6096,-6778,6105,-6779,6127,-6779,6128,-6780,6129,-6783,6129,-6785,6129,-6788,6129,-6790,6127,-6795,6095,-6879xm5871,-6828l5871,-6825,5871,-6822,5871,-6813,5870,-6803,5837,-6791,5846,-6786,5850,-6788,5854,-6790,5857,-6791,5871,-6796,5883,-6796,5883,-6801,5902,-6807,5883,-6807,5884,-6816,5887,-6822,5889,-6824,5871,-6828xm6091,-6794l6079,-6794,6082,-6786,6091,-6794xm6081,-6820l6069,-6820,6077,-6800,6052,-6791,6071,-6791,6079,-6794,6091,-6794,6091,-6795,6088,-6804,6083,-6816,6081,-6820xm5935,-6834l5929,-6823,5883,-6807,5902,-6807,5953,-6825,5935,-6834xm6072,-6843l6060,-6843,6067,-6826,6042,-6817,6061,-6817,6069,-6820,6081,-6820,6072,-6843xm6062,-6857l6058,-6849,6032,-6840,6051,-6840,6060,-6843,6072,-6843,6071,-6846,6074,-6852,6062,-6857xm5989,-6868l5988,-6864,5996,-6858,6001,-6854,6005,-6849,6008,-6845,6011,-6843,6013,-6844,6014,-6844,6015,-6846,6016,-6852,6016,-6855,6015,-6857,6015,-6858,6013,-6860,6008,-6863,6001,-6866,5989,-6868xm6239,-6904l6231,-6891,6127,-6855,6136,-6849,6140,-6852,6145,-6854,6151,-6856,6259,-6894,6239,-6904xm6084,-6893l6080,-6885,6018,-6863,6027,-6858,6031,-6861,6035,-6863,6040,-6864,6082,-6879,6095,-6879,6094,-6882,6097,-6887,6084,-6893xe" filled="true" fillcolor="#000000" stroked="false">
              <v:path arrowok="t"/>
              <v:fill type="solid"/>
            </v:shape>
            <v:shape style="position:absolute;left:7362;top:-2275;width:1162;height:705" type="#_x0000_t75" stroked="false">
              <v:imagedata r:id="rId62" o:title=""/>
            </v:shape>
            <v:shape style="position:absolute;left:6519;top:-1283;width:2782;height:1667" type="#_x0000_t75" stroked="false">
              <v:imagedata r:id="rId63" o:title=""/>
            </v:shape>
            <v:shape style="position:absolute;left:6242;top:-1870;width:736;height:531" type="#_x0000_t75" stroked="false">
              <v:imagedata r:id="rId64" o:title=""/>
            </v:shape>
            <v:shape style="position:absolute;left:5062;top:-4695;width:1045;height:1133" coordorigin="5063,-4695" coordsize="1045,1133" path="m5772,-4695l5063,-4447,5398,-3563,6108,-3811,5772,-4695xe" filled="true" fillcolor="#ffff00" stroked="false">
              <v:path arrowok="t"/>
              <v:fill opacity="32639f" type="solid"/>
            </v:shape>
            <v:shape style="position:absolute;left:5062;top:-4695;width:1045;height:1133" coordorigin="5063,-4695" coordsize="1045,1133" path="m5398,-3563l6108,-3811,5772,-4695,5063,-4447,5398,-3563xe" filled="false" stroked="true" strokeweight=".806246pt" strokecolor="#ffff00">
              <v:path arrowok="t"/>
              <v:stroke dashstyle="solid"/>
            </v:shape>
            <v:shape style="position:absolute;left:5402;top:-4229;width:374;height:195" type="#_x0000_t75" stroked="false">
              <v:imagedata r:id="rId65" o:title=""/>
            </v:shape>
            <v:rect style="position:absolute;left:1901;top:96;width:322;height:162" filled="true" fillcolor="#ff0000" stroked="false">
              <v:fill opacity="32639f" type="solid"/>
            </v:rect>
            <v:rect style="position:absolute;left:1895;top:394;width:322;height:162" filled="true" fillcolor="#ffff00" stroked="false">
              <v:fill opacity="32639f" type="solid"/>
            </v:rect>
            <w10:wrap type="none"/>
          </v:group>
        </w:pict>
      </w:r>
      <w:r>
        <w:rPr>
          <w:b/>
          <w:color w:val="FF0000"/>
          <w:spacing w:val="-3"/>
          <w:sz w:val="15"/>
        </w:rPr>
        <w:t>重点防渗区域</w:t>
      </w:r>
    </w:p>
    <w:p>
      <w:pPr>
        <w:spacing w:before="101"/>
        <w:ind w:left="1221" w:right="0" w:firstLine="0"/>
        <w:jc w:val="left"/>
        <w:rPr>
          <w:b/>
          <w:sz w:val="15"/>
        </w:rPr>
      </w:pPr>
      <w:r>
        <w:rPr>
          <w:b/>
          <w:color w:val="FFFF00"/>
          <w:spacing w:val="-3"/>
          <w:sz w:val="15"/>
        </w:rPr>
        <w:t>一般防渗区域</w:t>
      </w:r>
    </w:p>
    <w:p>
      <w:pPr>
        <w:pStyle w:val="BodyText"/>
        <w:spacing w:before="11"/>
        <w:rPr>
          <w:b/>
          <w:sz w:val="11"/>
        </w:rPr>
      </w:pPr>
    </w:p>
    <w:p>
      <w:pPr>
        <w:spacing w:before="0"/>
        <w:ind w:left="713" w:right="0" w:firstLine="0"/>
        <w:jc w:val="left"/>
        <w:rPr>
          <w:sz w:val="16"/>
        </w:rPr>
      </w:pPr>
      <w:r>
        <w:rPr>
          <w:color w:val="FF0000"/>
          <w:w w:val="110"/>
          <w:sz w:val="16"/>
        </w:rPr>
        <w:t>注：防渗分区仅涉及本项目所涉及构筑物</w:t>
      </w:r>
    </w:p>
    <w:p>
      <w:pPr>
        <w:pStyle w:val="BodyText"/>
        <w:spacing w:before="1"/>
        <w:rPr>
          <w:sz w:val="29"/>
        </w:rPr>
      </w:pPr>
    </w:p>
    <w:p>
      <w:pPr>
        <w:pStyle w:val="Heading4"/>
        <w:numPr>
          <w:ilvl w:val="2"/>
          <w:numId w:val="13"/>
        </w:numPr>
        <w:tabs>
          <w:tab w:pos="1039" w:val="left" w:leader="none"/>
        </w:tabs>
        <w:spacing w:line="240" w:lineRule="auto" w:before="74" w:after="0"/>
        <w:ind w:left="1038" w:right="0" w:hanging="541"/>
        <w:jc w:val="left"/>
      </w:pPr>
      <w:r>
        <w:rPr/>
        <w:t>地下水监控</w:t>
      </w:r>
    </w:p>
    <w:p>
      <w:pPr>
        <w:pStyle w:val="BodyText"/>
        <w:spacing w:line="364" w:lineRule="auto" w:before="158"/>
        <w:ind w:left="258" w:right="332" w:firstLine="480"/>
        <w:jc w:val="both"/>
      </w:pPr>
      <w:r>
        <w:rPr>
          <w:spacing w:val="-3"/>
        </w:rPr>
        <w:t>为了掌握本工程周围地下水环境质量状况和地下水体中污染物的动态变化，对本项</w:t>
      </w:r>
      <w:r>
        <w:rPr>
          <w:spacing w:val="-4"/>
        </w:rPr>
        <w:t>目所在地周围的地下水水质进行定期监测，以便及时准确地反馈工程建设区域地下水水</w:t>
      </w:r>
      <w:r>
        <w:rPr/>
        <w:t>质状况，为防止本工程对地下水的事故污染采取相应的措施提供重要的依据。</w:t>
      </w:r>
    </w:p>
    <w:p>
      <w:pPr>
        <w:spacing w:after="0" w:line="364" w:lineRule="auto"/>
        <w:jc w:val="both"/>
        <w:sectPr>
          <w:pgSz w:w="11910" w:h="16850"/>
          <w:pgMar w:header="730" w:footer="673" w:top="980" w:bottom="860" w:left="1160" w:right="1080"/>
        </w:sectPr>
      </w:pPr>
    </w:p>
    <w:p>
      <w:pPr>
        <w:pStyle w:val="BodyText"/>
        <w:spacing w:before="7"/>
        <w:rPr>
          <w:sz w:val="28"/>
        </w:rPr>
      </w:pPr>
    </w:p>
    <w:p>
      <w:pPr>
        <w:pStyle w:val="BodyText"/>
        <w:spacing w:line="364" w:lineRule="auto" w:before="66"/>
        <w:ind w:left="258" w:right="345" w:firstLine="480"/>
        <w:jc w:val="both"/>
      </w:pPr>
      <w:r>
        <w:rPr/>
        <w:t>根据地下水流向、污染源分布情况及污染物在地下水中的扩散形式， 以及</w:t>
      </w:r>
      <w:r>
        <w:rPr>
          <w:rFonts w:ascii="Times New Roman" w:eastAsia="Times New Roman"/>
        </w:rPr>
        <w:t>HJ610-2016 </w:t>
      </w:r>
      <w:r>
        <w:rPr/>
        <w:t>的要求，企业应在厂区及其周边区域布设 </w:t>
      </w:r>
      <w:r>
        <w:rPr>
          <w:rFonts w:ascii="Times New Roman" w:eastAsia="Times New Roman"/>
        </w:rPr>
        <w:t>3 </w:t>
      </w:r>
      <w:r>
        <w:rPr/>
        <w:t>个以上的地下水污染监控井，建立地下水污染监控、预警体系。具体跟踪监测计划如下：</w:t>
      </w:r>
    </w:p>
    <w:p>
      <w:pPr>
        <w:pStyle w:val="Heading4"/>
        <w:spacing w:before="139" w:after="29"/>
        <w:ind w:left="2858"/>
        <w:jc w:val="both"/>
      </w:pPr>
      <w:r>
        <w:rPr/>
        <w:t>表 </w:t>
      </w:r>
      <w:r>
        <w:rPr>
          <w:rFonts w:ascii="Times New Roman" w:eastAsia="Times New Roman"/>
        </w:rPr>
        <w:t>5.3.3-1  </w:t>
      </w:r>
      <w:r>
        <w:rPr/>
        <w:t>项目地下水跟踪监测计划</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6"/>
        <w:gridCol w:w="2412"/>
        <w:gridCol w:w="3968"/>
        <w:gridCol w:w="996"/>
      </w:tblGrid>
      <w:tr>
        <w:trPr>
          <w:trHeight w:val="285" w:hRule="atLeast"/>
        </w:trPr>
        <w:tc>
          <w:tcPr>
            <w:tcW w:w="1706" w:type="dxa"/>
          </w:tcPr>
          <w:p>
            <w:pPr>
              <w:pStyle w:val="TableParagraph"/>
              <w:spacing w:line="257" w:lineRule="exact" w:before="8"/>
              <w:ind w:left="514" w:right="507"/>
              <w:rPr>
                <w:b/>
                <w:sz w:val="21"/>
              </w:rPr>
            </w:pPr>
            <w:r>
              <w:rPr>
                <w:b/>
                <w:sz w:val="21"/>
              </w:rPr>
              <w:t>项目</w:t>
            </w:r>
          </w:p>
        </w:tc>
        <w:tc>
          <w:tcPr>
            <w:tcW w:w="2412" w:type="dxa"/>
          </w:tcPr>
          <w:p>
            <w:pPr>
              <w:pStyle w:val="TableParagraph"/>
              <w:spacing w:line="257" w:lineRule="exact" w:before="8"/>
              <w:ind w:left="322" w:right="309"/>
              <w:rPr>
                <w:b/>
                <w:sz w:val="21"/>
              </w:rPr>
            </w:pPr>
            <w:r>
              <w:rPr>
                <w:b/>
                <w:sz w:val="21"/>
              </w:rPr>
              <w:t>监测因子</w:t>
            </w:r>
          </w:p>
        </w:tc>
        <w:tc>
          <w:tcPr>
            <w:tcW w:w="3968" w:type="dxa"/>
          </w:tcPr>
          <w:p>
            <w:pPr>
              <w:pStyle w:val="TableParagraph"/>
              <w:spacing w:line="257" w:lineRule="exact" w:before="8"/>
              <w:ind w:left="259" w:right="246"/>
              <w:rPr>
                <w:b/>
                <w:sz w:val="21"/>
              </w:rPr>
            </w:pPr>
            <w:r>
              <w:rPr>
                <w:b/>
                <w:sz w:val="21"/>
              </w:rPr>
              <w:t>监测地点（东区）</w:t>
            </w:r>
          </w:p>
        </w:tc>
        <w:tc>
          <w:tcPr>
            <w:tcW w:w="996" w:type="dxa"/>
          </w:tcPr>
          <w:p>
            <w:pPr>
              <w:pStyle w:val="TableParagraph"/>
              <w:spacing w:line="257" w:lineRule="exact" w:before="8"/>
              <w:ind w:left="55" w:right="46"/>
              <w:rPr>
                <w:b/>
                <w:sz w:val="21"/>
              </w:rPr>
            </w:pPr>
            <w:r>
              <w:rPr>
                <w:b/>
                <w:sz w:val="21"/>
              </w:rPr>
              <w:t>监测频次</w:t>
            </w:r>
          </w:p>
        </w:tc>
      </w:tr>
      <w:tr>
        <w:trPr>
          <w:trHeight w:val="285" w:hRule="atLeast"/>
        </w:trPr>
        <w:tc>
          <w:tcPr>
            <w:tcW w:w="1706" w:type="dxa"/>
          </w:tcPr>
          <w:p>
            <w:pPr>
              <w:pStyle w:val="TableParagraph"/>
              <w:spacing w:line="257" w:lineRule="exact" w:before="8"/>
              <w:ind w:left="519" w:right="507"/>
              <w:rPr>
                <w:sz w:val="21"/>
              </w:rPr>
            </w:pPr>
            <w:r>
              <w:rPr>
                <w:sz w:val="21"/>
              </w:rPr>
              <w:t>地下水</w:t>
            </w:r>
          </w:p>
        </w:tc>
        <w:tc>
          <w:tcPr>
            <w:tcW w:w="2412" w:type="dxa"/>
          </w:tcPr>
          <w:p>
            <w:pPr>
              <w:pStyle w:val="TableParagraph"/>
              <w:spacing w:line="257" w:lineRule="exact" w:before="8"/>
              <w:ind w:left="322" w:right="312"/>
              <w:rPr>
                <w:sz w:val="21"/>
              </w:rPr>
            </w:pPr>
            <w:r>
              <w:rPr>
                <w:rFonts w:ascii="Times New Roman" w:eastAsia="Times New Roman"/>
                <w:sz w:val="21"/>
              </w:rPr>
              <w:t>pH</w:t>
            </w:r>
            <w:r>
              <w:rPr>
                <w:sz w:val="21"/>
              </w:rPr>
              <w:t>、耗氧量、氨氮</w:t>
            </w:r>
          </w:p>
        </w:tc>
        <w:tc>
          <w:tcPr>
            <w:tcW w:w="3968" w:type="dxa"/>
          </w:tcPr>
          <w:p>
            <w:pPr>
              <w:pStyle w:val="TableParagraph"/>
              <w:spacing w:line="257" w:lineRule="exact" w:before="8"/>
              <w:ind w:left="259" w:right="246"/>
              <w:rPr>
                <w:sz w:val="21"/>
              </w:rPr>
            </w:pPr>
            <w:r>
              <w:rPr>
                <w:sz w:val="21"/>
              </w:rPr>
              <w:t>厂区内、厂区上下游各设置 </w:t>
            </w:r>
            <w:r>
              <w:rPr>
                <w:rFonts w:ascii="Times New Roman" w:eastAsia="Times New Roman"/>
                <w:sz w:val="21"/>
              </w:rPr>
              <w:t>1 </w:t>
            </w:r>
            <w:r>
              <w:rPr>
                <w:sz w:val="21"/>
              </w:rPr>
              <w:t>监测井</w:t>
            </w:r>
          </w:p>
        </w:tc>
        <w:tc>
          <w:tcPr>
            <w:tcW w:w="996" w:type="dxa"/>
          </w:tcPr>
          <w:p>
            <w:pPr>
              <w:pStyle w:val="TableParagraph"/>
              <w:spacing w:line="257" w:lineRule="exact" w:before="8"/>
              <w:ind w:left="55" w:right="46"/>
              <w:rPr>
                <w:sz w:val="21"/>
              </w:rPr>
            </w:pPr>
            <w:r>
              <w:rPr>
                <w:rFonts w:ascii="Times New Roman" w:eastAsia="Times New Roman"/>
                <w:sz w:val="21"/>
              </w:rPr>
              <w:t>1 </w:t>
            </w:r>
            <w:r>
              <w:rPr>
                <w:sz w:val="21"/>
              </w:rPr>
              <w:t>次</w:t>
            </w:r>
            <w:r>
              <w:rPr>
                <w:rFonts w:ascii="Times New Roman" w:eastAsia="Times New Roman"/>
                <w:sz w:val="21"/>
              </w:rPr>
              <w:t>/</w:t>
            </w:r>
            <w:r>
              <w:rPr>
                <w:sz w:val="21"/>
              </w:rPr>
              <w:t>年</w:t>
            </w:r>
          </w:p>
        </w:tc>
      </w:tr>
    </w:tbl>
    <w:p>
      <w:pPr>
        <w:pStyle w:val="ListParagraph"/>
        <w:numPr>
          <w:ilvl w:val="1"/>
          <w:numId w:val="13"/>
        </w:numPr>
        <w:tabs>
          <w:tab w:pos="821" w:val="left" w:leader="none"/>
        </w:tabs>
        <w:spacing w:line="240" w:lineRule="auto" w:before="3" w:after="0"/>
        <w:ind w:left="820" w:right="0" w:hanging="421"/>
        <w:jc w:val="left"/>
        <w:rPr>
          <w:b/>
          <w:sz w:val="28"/>
        </w:rPr>
      </w:pPr>
      <w:bookmarkStart w:name="_bookmark35" w:id="71"/>
      <w:bookmarkEnd w:id="71"/>
      <w:r>
        <w:rPr/>
      </w:r>
      <w:bookmarkStart w:name="_bookmark35" w:id="72"/>
      <w:bookmarkEnd w:id="72"/>
      <w:r>
        <w:rPr>
          <w:b/>
          <w:sz w:val="28"/>
        </w:rPr>
        <w:t>固废防治措施及可行性分析</w:t>
      </w:r>
    </w:p>
    <w:p>
      <w:pPr>
        <w:pStyle w:val="ListParagraph"/>
        <w:numPr>
          <w:ilvl w:val="2"/>
          <w:numId w:val="13"/>
        </w:numPr>
        <w:tabs>
          <w:tab w:pos="1039" w:val="left" w:leader="none"/>
        </w:tabs>
        <w:spacing w:line="240" w:lineRule="auto" w:before="185" w:after="0"/>
        <w:ind w:left="1038" w:right="0" w:hanging="541"/>
        <w:jc w:val="left"/>
        <w:rPr>
          <w:b/>
          <w:sz w:val="24"/>
        </w:rPr>
      </w:pPr>
      <w:r>
        <w:rPr>
          <w:b/>
          <w:sz w:val="24"/>
        </w:rPr>
        <w:t>项目固废收集、暂存措施</w:t>
      </w:r>
    </w:p>
    <w:p>
      <w:pPr>
        <w:spacing w:before="158"/>
        <w:ind w:left="618" w:right="0" w:firstLine="0"/>
        <w:jc w:val="left"/>
        <w:rPr>
          <w:b/>
          <w:sz w:val="24"/>
        </w:rPr>
      </w:pPr>
      <w:r>
        <w:rPr>
          <w:rFonts w:ascii="Times New Roman" w:eastAsia="Times New Roman"/>
          <w:b/>
          <w:sz w:val="24"/>
        </w:rPr>
        <w:t>1</w:t>
      </w:r>
      <w:r>
        <w:rPr>
          <w:b/>
          <w:sz w:val="24"/>
        </w:rPr>
        <w:t>、固废收集及暂存措施</w:t>
      </w:r>
    </w:p>
    <w:p>
      <w:pPr>
        <w:pStyle w:val="ListParagraph"/>
        <w:numPr>
          <w:ilvl w:val="0"/>
          <w:numId w:val="21"/>
        </w:numPr>
        <w:tabs>
          <w:tab w:pos="1346" w:val="left" w:leader="none"/>
        </w:tabs>
        <w:spacing w:line="364" w:lineRule="auto" w:before="161" w:after="0"/>
        <w:ind w:left="258" w:right="324" w:firstLine="480"/>
        <w:jc w:val="both"/>
        <w:rPr>
          <w:sz w:val="24"/>
        </w:rPr>
      </w:pPr>
      <w:r>
        <w:rPr>
          <w:sz w:val="24"/>
        </w:rPr>
        <w:t>项目生产过程中产生部分危险废物。对于危险废物，在厂内暂存期间，企业</w:t>
      </w:r>
      <w:r>
        <w:rPr>
          <w:spacing w:val="-3"/>
          <w:sz w:val="24"/>
        </w:rPr>
        <w:t>应该严格按照《危险废物储存污染控制标准》</w:t>
      </w:r>
      <w:r>
        <w:rPr>
          <w:rFonts w:ascii="Times New Roman" w:eastAsia="Times New Roman"/>
          <w:sz w:val="24"/>
        </w:rPr>
        <w:t>(GB18597-2001)</w:t>
      </w:r>
      <w:r>
        <w:rPr>
          <w:sz w:val="24"/>
        </w:rPr>
        <w:t>建造专用的危险废物暂存</w:t>
      </w:r>
      <w:r>
        <w:rPr>
          <w:spacing w:val="-6"/>
          <w:sz w:val="24"/>
        </w:rPr>
        <w:t>场所，将危险废物分类转入容器内，并粘贴危险废物标签，并做好相应的纪录。相应暂存场所要求满足以下要求：</w:t>
      </w:r>
    </w:p>
    <w:p>
      <w:pPr>
        <w:pStyle w:val="BodyText"/>
        <w:spacing w:line="362" w:lineRule="auto"/>
        <w:ind w:left="258" w:right="272" w:firstLine="480"/>
      </w:pPr>
      <w:r>
        <w:rPr/>
        <w:t>①项目区域内建设的临时储存室，配备工作人员负责管理。危险废物暂存场所要求建设基础防渗、防风、防雨、防晒并配备照明设施。</w:t>
      </w:r>
    </w:p>
    <w:p>
      <w:pPr>
        <w:pStyle w:val="BodyText"/>
        <w:spacing w:line="364" w:lineRule="auto" w:before="3"/>
        <w:ind w:left="258" w:right="212" w:firstLine="480"/>
      </w:pPr>
      <w:r>
        <w:rPr>
          <w:spacing w:val="-8"/>
        </w:rPr>
        <w:t>②贮存设施场地硬化采用耐酸碱水泥混凝土多层浇注，层间铺设土工布、聚酯材料、</w:t>
      </w:r>
      <w:r>
        <w:rPr/>
        <w:t>防渗膜等防渗材料以保护场地周围地下水环境。</w:t>
      </w:r>
    </w:p>
    <w:p>
      <w:pPr>
        <w:pStyle w:val="BodyText"/>
        <w:spacing w:line="362" w:lineRule="auto"/>
        <w:ind w:left="258" w:right="272" w:firstLine="480"/>
      </w:pPr>
      <w:r>
        <w:rPr/>
        <w:t>③确定危险废物贮存设施需要贮存的危险废物种类及属性，不相容的危险废物分开贮存并设有隔离间隔断。</w:t>
      </w:r>
    </w:p>
    <w:p>
      <w:pPr>
        <w:pStyle w:val="BodyText"/>
        <w:spacing w:line="364" w:lineRule="auto" w:before="4"/>
        <w:ind w:left="258" w:right="334" w:firstLine="480"/>
        <w:jc w:val="both"/>
      </w:pPr>
      <w:r>
        <w:rPr>
          <w:spacing w:val="-5"/>
        </w:rPr>
        <w:t>④地面与裙脚要用坚固、防渗的材料建造，建筑材料必须与危险废物相容。可采用</w:t>
      </w:r>
      <w:r>
        <w:rPr>
          <w:spacing w:val="-4"/>
        </w:rPr>
        <w:t>水泥混凝土材料作贮存池外层，池内防渗层地面和侧面衬里可考虑用聚乙烯塑料，厚度</w:t>
      </w:r>
      <w:r>
        <w:rPr>
          <w:spacing w:val="-30"/>
        </w:rPr>
        <w:t>在 </w:t>
      </w:r>
      <w:r>
        <w:rPr>
          <w:rFonts w:ascii="Times New Roman" w:hAnsi="Times New Roman" w:eastAsia="Times New Roman"/>
        </w:rPr>
        <w:t>2 </w:t>
      </w:r>
      <w:r>
        <w:rPr>
          <w:spacing w:val="-11"/>
        </w:rPr>
        <w:t>毫米以上即可。应设计堵截泄漏的裙脚，地面与裙脚所围建的容积不低于堵截最大</w:t>
      </w:r>
      <w:r>
        <w:rPr>
          <w:spacing w:val="-5"/>
        </w:rPr>
        <w:t>容器的最大储量或总储量的 </w:t>
      </w:r>
      <w:r>
        <w:rPr>
          <w:rFonts w:ascii="Times New Roman" w:hAnsi="Times New Roman" w:eastAsia="Times New Roman"/>
        </w:rPr>
        <w:t>1/5</w:t>
      </w:r>
      <w:r>
        <w:rPr/>
        <w:t>。</w:t>
      </w:r>
    </w:p>
    <w:p>
      <w:pPr>
        <w:pStyle w:val="BodyText"/>
        <w:spacing w:line="305" w:lineRule="exact"/>
        <w:ind w:left="738"/>
        <w:jc w:val="both"/>
      </w:pPr>
      <w:r>
        <w:rPr/>
        <w:t>⑤贮存池地面防渗层应高于周围地表 </w:t>
      </w:r>
      <w:r>
        <w:rPr>
          <w:rFonts w:ascii="Times New Roman" w:hAnsi="Times New Roman" w:eastAsia="Times New Roman"/>
        </w:rPr>
        <w:t>15cm  </w:t>
      </w:r>
      <w:r>
        <w:rPr/>
        <w:t>以上。</w:t>
      </w:r>
    </w:p>
    <w:p>
      <w:pPr>
        <w:pStyle w:val="BodyText"/>
        <w:spacing w:line="364" w:lineRule="auto" w:before="161"/>
        <w:ind w:left="258" w:right="333" w:firstLine="480"/>
        <w:jc w:val="both"/>
      </w:pPr>
      <w:r>
        <w:rPr/>
        <w:t>⑥对于盛装危险物品的容器和包装物、以及收集、贮存、储运的场所必须按</w:t>
      </w:r>
      <w:r>
        <w:rPr>
          <w:rFonts w:ascii="Times New Roman" w:hAnsi="Times New Roman" w:eastAsia="Times New Roman"/>
        </w:rPr>
        <w:t>GB15562.2</w:t>
      </w:r>
      <w:r>
        <w:rPr/>
        <w:t>《环境保护图形标志</w:t>
      </w:r>
      <w:r>
        <w:rPr>
          <w:rFonts w:ascii="Times New Roman" w:hAnsi="Times New Roman" w:eastAsia="Times New Roman"/>
        </w:rPr>
        <w:t>(</w:t>
      </w:r>
      <w:r>
        <w:rPr/>
        <w:t>固体废物贮存场</w:t>
      </w:r>
      <w:r>
        <w:rPr>
          <w:rFonts w:ascii="Times New Roman" w:hAnsi="Times New Roman" w:eastAsia="Times New Roman"/>
        </w:rPr>
        <w:t>)</w:t>
      </w:r>
      <w:r>
        <w:rPr/>
        <w:t>》的规定设置警示标志。要有安全照明设施和观察窗口。</w:t>
      </w:r>
    </w:p>
    <w:p>
      <w:pPr>
        <w:pStyle w:val="BodyText"/>
        <w:spacing w:line="364" w:lineRule="auto"/>
        <w:ind w:left="258" w:right="332" w:firstLine="480"/>
        <w:jc w:val="both"/>
      </w:pPr>
      <w:r>
        <w:rPr>
          <w:spacing w:val="-5"/>
        </w:rPr>
        <w:t>⑦要求在危废产生点位、危废暂存场所均建立台账登记制度，对产生、转移的危废</w:t>
      </w:r>
      <w:r>
        <w:rPr>
          <w:spacing w:val="-7"/>
        </w:rPr>
        <w:t>量进行登记。此外，危险废物外运采用专门密闭车辆，防止散落和流洒。对危险废物的</w:t>
      </w:r>
      <w:r>
        <w:rPr>
          <w:spacing w:val="-4"/>
        </w:rPr>
        <w:t>转移处理须严格按照国家环保总局第 </w:t>
      </w:r>
      <w:r>
        <w:rPr>
          <w:rFonts w:ascii="Times New Roman" w:hAnsi="Times New Roman" w:eastAsia="Times New Roman"/>
        </w:rPr>
        <w:t>5 </w:t>
      </w:r>
      <w:r>
        <w:rPr/>
        <w:t>号令《危险废物转移联单管理办法》执行。</w:t>
      </w:r>
    </w:p>
    <w:p>
      <w:pPr>
        <w:spacing w:after="0" w:line="364" w:lineRule="auto"/>
        <w:jc w:val="both"/>
        <w:sectPr>
          <w:pgSz w:w="11910" w:h="16850"/>
          <w:pgMar w:header="730" w:footer="673" w:top="980" w:bottom="860" w:left="1160" w:right="1080"/>
        </w:sectPr>
      </w:pPr>
    </w:p>
    <w:p>
      <w:pPr>
        <w:pStyle w:val="BodyText"/>
        <w:spacing w:before="7"/>
        <w:rPr>
          <w:sz w:val="28"/>
        </w:rPr>
      </w:pPr>
    </w:p>
    <w:p>
      <w:pPr>
        <w:pStyle w:val="BodyText"/>
        <w:spacing w:line="364" w:lineRule="auto" w:before="66"/>
        <w:ind w:left="258" w:right="272" w:firstLine="480"/>
      </w:pPr>
      <w:r>
        <w:rPr/>
        <w:t>⑧妥善收集危险废物后，将其及时交由有资质的处理单位进行集中处理。危险废物桶集中放置，临时贮存时间小于 </w:t>
      </w:r>
      <w:r>
        <w:rPr>
          <w:rFonts w:ascii="Times New Roman" w:hAnsi="Times New Roman" w:eastAsia="Times New Roman"/>
        </w:rPr>
        <w:t>1  </w:t>
      </w:r>
      <w:r>
        <w:rPr/>
        <w:t>年。</w:t>
      </w:r>
    </w:p>
    <w:p>
      <w:pPr>
        <w:pStyle w:val="BodyText"/>
        <w:spacing w:line="307" w:lineRule="exact"/>
        <w:ind w:left="738"/>
      </w:pPr>
      <w:r>
        <w:rPr/>
        <w:t>⑨须设置泄漏液体收集装置、气体导出口及废气净化装置。</w:t>
      </w:r>
    </w:p>
    <w:p>
      <w:pPr>
        <w:pStyle w:val="BodyText"/>
        <w:spacing w:before="158"/>
        <w:ind w:left="738"/>
      </w:pPr>
      <w:r>
        <w:rPr/>
        <w:t>上述可满足本工程固体废物厂内临时储存的环境保护要求，技术经济合理可行。</w:t>
      </w:r>
    </w:p>
    <w:p>
      <w:pPr>
        <w:pStyle w:val="ListParagraph"/>
        <w:numPr>
          <w:ilvl w:val="0"/>
          <w:numId w:val="21"/>
        </w:numPr>
        <w:tabs>
          <w:tab w:pos="1346" w:val="left" w:leader="none"/>
        </w:tabs>
        <w:spacing w:line="362" w:lineRule="auto" w:before="161" w:after="0"/>
        <w:ind w:left="258" w:right="209" w:firstLine="480"/>
        <w:jc w:val="left"/>
        <w:rPr>
          <w:sz w:val="24"/>
        </w:rPr>
      </w:pPr>
      <w:r>
        <w:rPr>
          <w:sz w:val="24"/>
        </w:rPr>
        <w:t>生活垃圾由企业收集装袋后存放于固定场所，由环卫部门定期清运处理，厂</w:t>
      </w:r>
      <w:r>
        <w:rPr>
          <w:spacing w:val="-14"/>
          <w:sz w:val="24"/>
        </w:rPr>
        <w:t>区应设防雨淋堆场，并及时清运，做到每日一清，以免因为雨水冲刷造成二次污染问题。</w:t>
      </w:r>
    </w:p>
    <w:p>
      <w:pPr>
        <w:pStyle w:val="BodyText"/>
        <w:spacing w:before="4"/>
        <w:ind w:left="738"/>
      </w:pPr>
      <w:r>
        <w:rPr>
          <w:rFonts w:ascii="Times New Roman" w:eastAsia="Times New Roman"/>
        </w:rPr>
        <w:t>2</w:t>
      </w:r>
      <w:r>
        <w:rPr/>
        <w:t>、固废处置措施</w:t>
      </w:r>
    </w:p>
    <w:p>
      <w:pPr>
        <w:pStyle w:val="BodyText"/>
        <w:spacing w:before="8"/>
        <w:rPr>
          <w:sz w:val="23"/>
        </w:rPr>
      </w:pPr>
    </w:p>
    <w:p>
      <w:pPr>
        <w:pStyle w:val="Heading4"/>
        <w:tabs>
          <w:tab w:pos="1222" w:val="left" w:leader="none"/>
        </w:tabs>
        <w:spacing w:after="29"/>
        <w:ind w:left="0" w:right="76"/>
        <w:jc w:val="center"/>
      </w:pPr>
      <w:r>
        <w:rPr/>
        <w:t>表</w:t>
      </w:r>
      <w:r>
        <w:rPr>
          <w:spacing w:val="-60"/>
        </w:rPr>
        <w:t> </w:t>
      </w:r>
      <w:r>
        <w:rPr>
          <w:rFonts w:ascii="Times New Roman" w:eastAsia="Times New Roman"/>
        </w:rPr>
        <w:t>5.4.1-1</w:t>
        <w:tab/>
      </w:r>
      <w:r>
        <w:rPr/>
        <w:t>项目危险废物贮存场所基本情况表</w:t>
      </w:r>
    </w:p>
    <w:tbl>
      <w:tblPr>
        <w:tblW w:w="0" w:type="auto"/>
        <w:jc w:val="left"/>
        <w:tblInd w:w="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98"/>
        <w:gridCol w:w="442"/>
        <w:gridCol w:w="1364"/>
        <w:gridCol w:w="1038"/>
        <w:gridCol w:w="1133"/>
        <w:gridCol w:w="411"/>
        <w:gridCol w:w="810"/>
        <w:gridCol w:w="524"/>
        <w:gridCol w:w="730"/>
        <w:gridCol w:w="677"/>
        <w:gridCol w:w="1162"/>
        <w:gridCol w:w="528"/>
      </w:tblGrid>
      <w:tr>
        <w:trPr>
          <w:trHeight w:val="698" w:hRule="atLeast"/>
        </w:trPr>
        <w:tc>
          <w:tcPr>
            <w:tcW w:w="298" w:type="dxa"/>
          </w:tcPr>
          <w:p>
            <w:pPr>
              <w:pStyle w:val="TableParagraph"/>
              <w:spacing w:line="244" w:lineRule="auto" w:before="115"/>
              <w:ind w:left="57" w:right="53"/>
              <w:jc w:val="left"/>
              <w:rPr>
                <w:b/>
                <w:sz w:val="18"/>
              </w:rPr>
            </w:pPr>
            <w:r>
              <w:rPr>
                <w:b/>
                <w:sz w:val="18"/>
              </w:rPr>
              <w:t>序号</w:t>
            </w:r>
          </w:p>
        </w:tc>
        <w:tc>
          <w:tcPr>
            <w:tcW w:w="442" w:type="dxa"/>
          </w:tcPr>
          <w:p>
            <w:pPr>
              <w:pStyle w:val="TableParagraph"/>
              <w:spacing w:line="242" w:lineRule="auto"/>
              <w:ind w:left="37" w:right="32"/>
              <w:jc w:val="left"/>
              <w:rPr>
                <w:b/>
                <w:sz w:val="18"/>
              </w:rPr>
            </w:pPr>
            <w:r>
              <w:rPr>
                <w:b/>
                <w:spacing w:val="-7"/>
                <w:sz w:val="18"/>
              </w:rPr>
              <w:t>贮存场所</w:t>
            </w:r>
          </w:p>
          <w:p>
            <w:pPr>
              <w:pStyle w:val="TableParagraph"/>
              <w:spacing w:line="212" w:lineRule="exact"/>
              <w:ind w:left="37"/>
              <w:jc w:val="left"/>
              <w:rPr>
                <w:b/>
                <w:sz w:val="18"/>
              </w:rPr>
            </w:pPr>
            <w:r>
              <w:rPr>
                <w:b/>
                <w:sz w:val="18"/>
              </w:rPr>
              <w:t>名称</w:t>
            </w:r>
          </w:p>
        </w:tc>
        <w:tc>
          <w:tcPr>
            <w:tcW w:w="1364" w:type="dxa"/>
          </w:tcPr>
          <w:p>
            <w:pPr>
              <w:pStyle w:val="TableParagraph"/>
              <w:spacing w:before="2"/>
              <w:jc w:val="left"/>
              <w:rPr>
                <w:b/>
                <w:sz w:val="18"/>
              </w:rPr>
            </w:pPr>
          </w:p>
          <w:p>
            <w:pPr>
              <w:pStyle w:val="TableParagraph"/>
              <w:ind w:left="117" w:right="116"/>
              <w:rPr>
                <w:b/>
                <w:sz w:val="18"/>
              </w:rPr>
            </w:pPr>
            <w:r>
              <w:rPr>
                <w:b/>
                <w:sz w:val="18"/>
              </w:rPr>
              <w:t>危险废物名称</w:t>
            </w:r>
          </w:p>
        </w:tc>
        <w:tc>
          <w:tcPr>
            <w:tcW w:w="1038" w:type="dxa"/>
          </w:tcPr>
          <w:p>
            <w:pPr>
              <w:pStyle w:val="TableParagraph"/>
              <w:spacing w:line="244" w:lineRule="auto" w:before="115"/>
              <w:ind w:left="426" w:right="63" w:hanging="361"/>
              <w:jc w:val="left"/>
              <w:rPr>
                <w:b/>
                <w:sz w:val="18"/>
              </w:rPr>
            </w:pPr>
            <w:r>
              <w:rPr>
                <w:b/>
                <w:sz w:val="18"/>
              </w:rPr>
              <w:t>危险废物类别</w:t>
            </w:r>
          </w:p>
        </w:tc>
        <w:tc>
          <w:tcPr>
            <w:tcW w:w="1133" w:type="dxa"/>
          </w:tcPr>
          <w:p>
            <w:pPr>
              <w:pStyle w:val="TableParagraph"/>
              <w:spacing w:before="2"/>
              <w:jc w:val="left"/>
              <w:rPr>
                <w:b/>
                <w:sz w:val="18"/>
              </w:rPr>
            </w:pPr>
          </w:p>
          <w:p>
            <w:pPr>
              <w:pStyle w:val="TableParagraph"/>
              <w:ind w:right="3"/>
              <w:rPr>
                <w:b/>
                <w:sz w:val="18"/>
              </w:rPr>
            </w:pPr>
            <w:r>
              <w:rPr>
                <w:b/>
                <w:sz w:val="18"/>
              </w:rPr>
              <w:t>危险废物代码</w:t>
            </w:r>
          </w:p>
        </w:tc>
        <w:tc>
          <w:tcPr>
            <w:tcW w:w="411" w:type="dxa"/>
          </w:tcPr>
          <w:p>
            <w:pPr>
              <w:pStyle w:val="TableParagraph"/>
              <w:spacing w:before="2"/>
              <w:jc w:val="left"/>
              <w:rPr>
                <w:b/>
                <w:sz w:val="18"/>
              </w:rPr>
            </w:pPr>
          </w:p>
          <w:p>
            <w:pPr>
              <w:pStyle w:val="TableParagraph"/>
              <w:ind w:left="21"/>
              <w:jc w:val="left"/>
              <w:rPr>
                <w:b/>
                <w:sz w:val="18"/>
              </w:rPr>
            </w:pPr>
            <w:r>
              <w:rPr>
                <w:b/>
                <w:sz w:val="18"/>
              </w:rPr>
              <w:t>位置</w:t>
            </w:r>
          </w:p>
        </w:tc>
        <w:tc>
          <w:tcPr>
            <w:tcW w:w="810" w:type="dxa"/>
          </w:tcPr>
          <w:p>
            <w:pPr>
              <w:pStyle w:val="TableParagraph"/>
              <w:spacing w:before="2"/>
              <w:jc w:val="left"/>
              <w:rPr>
                <w:b/>
                <w:sz w:val="18"/>
              </w:rPr>
            </w:pPr>
          </w:p>
          <w:p>
            <w:pPr>
              <w:pStyle w:val="TableParagraph"/>
              <w:ind w:left="40"/>
              <w:jc w:val="left"/>
              <w:rPr>
                <w:b/>
                <w:sz w:val="18"/>
              </w:rPr>
            </w:pPr>
            <w:r>
              <w:rPr>
                <w:b/>
                <w:sz w:val="18"/>
              </w:rPr>
              <w:t>占地面积</w:t>
            </w:r>
          </w:p>
        </w:tc>
        <w:tc>
          <w:tcPr>
            <w:tcW w:w="524" w:type="dxa"/>
          </w:tcPr>
          <w:p>
            <w:pPr>
              <w:pStyle w:val="TableParagraph"/>
              <w:spacing w:line="244" w:lineRule="auto" w:before="115"/>
              <w:ind w:left="75" w:right="76"/>
              <w:jc w:val="left"/>
              <w:rPr>
                <w:b/>
                <w:sz w:val="18"/>
              </w:rPr>
            </w:pPr>
            <w:r>
              <w:rPr>
                <w:b/>
                <w:sz w:val="18"/>
              </w:rPr>
              <w:t>贮存方式</w:t>
            </w:r>
          </w:p>
        </w:tc>
        <w:tc>
          <w:tcPr>
            <w:tcW w:w="730" w:type="dxa"/>
          </w:tcPr>
          <w:p>
            <w:pPr>
              <w:pStyle w:val="TableParagraph"/>
              <w:spacing w:before="115"/>
              <w:ind w:left="86"/>
              <w:jc w:val="left"/>
              <w:rPr>
                <w:b/>
                <w:sz w:val="18"/>
              </w:rPr>
            </w:pPr>
            <w:r>
              <w:rPr>
                <w:b/>
                <w:w w:val="95"/>
                <w:sz w:val="18"/>
              </w:rPr>
              <w:t>产生量</w:t>
            </w:r>
          </w:p>
          <w:p>
            <w:pPr>
              <w:pStyle w:val="TableParagraph"/>
              <w:spacing w:before="5"/>
              <w:ind w:left="76"/>
              <w:jc w:val="left"/>
              <w:rPr>
                <w:b/>
                <w:sz w:val="18"/>
              </w:rPr>
            </w:pPr>
            <w:r>
              <w:rPr>
                <w:b/>
                <w:sz w:val="18"/>
              </w:rPr>
              <w:t>（</w:t>
            </w:r>
            <w:r>
              <w:rPr>
                <w:rFonts w:ascii="Times New Roman" w:eastAsia="Times New Roman"/>
                <w:b/>
                <w:sz w:val="18"/>
              </w:rPr>
              <w:t>t/a</w:t>
            </w:r>
            <w:r>
              <w:rPr>
                <w:b/>
                <w:sz w:val="18"/>
              </w:rPr>
              <w:t>）</w:t>
            </w:r>
          </w:p>
        </w:tc>
        <w:tc>
          <w:tcPr>
            <w:tcW w:w="677" w:type="dxa"/>
          </w:tcPr>
          <w:p>
            <w:pPr>
              <w:pStyle w:val="TableParagraph"/>
              <w:spacing w:line="244" w:lineRule="auto" w:before="115"/>
              <w:ind w:left="153" w:right="65" w:hanging="92"/>
              <w:jc w:val="left"/>
              <w:rPr>
                <w:rFonts w:ascii="Times New Roman" w:eastAsia="Times New Roman"/>
                <w:b/>
                <w:sz w:val="18"/>
              </w:rPr>
            </w:pPr>
            <w:r>
              <w:rPr>
                <w:b/>
                <w:sz w:val="18"/>
              </w:rPr>
              <w:t>贮存能力</w:t>
            </w:r>
            <w:r>
              <w:rPr>
                <w:rFonts w:ascii="Times New Roman" w:eastAsia="Times New Roman"/>
                <w:b/>
                <w:sz w:val="18"/>
              </w:rPr>
              <w:t>(t)</w:t>
            </w:r>
          </w:p>
        </w:tc>
        <w:tc>
          <w:tcPr>
            <w:tcW w:w="1162" w:type="dxa"/>
          </w:tcPr>
          <w:p>
            <w:pPr>
              <w:pStyle w:val="TableParagraph"/>
              <w:spacing w:line="244" w:lineRule="auto" w:before="115"/>
              <w:ind w:left="45" w:right="53" w:firstLine="165"/>
              <w:jc w:val="left"/>
              <w:rPr>
                <w:rFonts w:ascii="Times New Roman" w:eastAsia="Times New Roman"/>
                <w:b/>
                <w:sz w:val="18"/>
              </w:rPr>
            </w:pPr>
            <w:r>
              <w:rPr>
                <w:b/>
                <w:sz w:val="18"/>
              </w:rPr>
              <w:t>贮存能力占地面积</w:t>
            </w:r>
            <w:r>
              <w:rPr>
                <w:rFonts w:ascii="Times New Roman" w:eastAsia="Times New Roman"/>
                <w:b/>
                <w:sz w:val="18"/>
              </w:rPr>
              <w:t>(m</w:t>
            </w:r>
            <w:r>
              <w:rPr>
                <w:rFonts w:ascii="Times New Roman" w:eastAsia="Times New Roman"/>
                <w:b/>
                <w:position w:val="6"/>
                <w:sz w:val="12"/>
              </w:rPr>
              <w:t>2</w:t>
            </w:r>
            <w:r>
              <w:rPr>
                <w:rFonts w:ascii="Times New Roman" w:eastAsia="Times New Roman"/>
                <w:b/>
                <w:sz w:val="18"/>
              </w:rPr>
              <w:t>)</w:t>
            </w:r>
          </w:p>
        </w:tc>
        <w:tc>
          <w:tcPr>
            <w:tcW w:w="528" w:type="dxa"/>
          </w:tcPr>
          <w:p>
            <w:pPr>
              <w:pStyle w:val="TableParagraph"/>
              <w:spacing w:line="244" w:lineRule="auto" w:before="115"/>
              <w:ind w:left="76" w:right="79"/>
              <w:jc w:val="left"/>
              <w:rPr>
                <w:b/>
                <w:sz w:val="18"/>
              </w:rPr>
            </w:pPr>
            <w:r>
              <w:rPr>
                <w:b/>
                <w:sz w:val="18"/>
              </w:rPr>
              <w:t>贮存周期</w:t>
            </w:r>
          </w:p>
        </w:tc>
      </w:tr>
      <w:tr>
        <w:trPr>
          <w:trHeight w:val="235" w:hRule="atLeast"/>
        </w:trPr>
        <w:tc>
          <w:tcPr>
            <w:tcW w:w="298" w:type="dxa"/>
          </w:tcPr>
          <w:p>
            <w:pPr>
              <w:pStyle w:val="TableParagraph"/>
              <w:spacing w:line="201" w:lineRule="exact" w:before="14"/>
              <w:ind w:right="100"/>
              <w:jc w:val="right"/>
              <w:rPr>
                <w:rFonts w:ascii="Times New Roman"/>
                <w:sz w:val="18"/>
              </w:rPr>
            </w:pPr>
            <w:r>
              <w:rPr>
                <w:rFonts w:ascii="Times New Roman"/>
                <w:sz w:val="18"/>
              </w:rPr>
              <w:t>1</w:t>
            </w:r>
          </w:p>
        </w:tc>
        <w:tc>
          <w:tcPr>
            <w:tcW w:w="442" w:type="dxa"/>
            <w:vMerge w:val="restart"/>
          </w:tcPr>
          <w:p>
            <w:pPr>
              <w:pStyle w:val="TableParagraph"/>
              <w:spacing w:line="242" w:lineRule="auto" w:before="117"/>
              <w:ind w:left="37" w:right="37"/>
              <w:jc w:val="both"/>
              <w:rPr>
                <w:sz w:val="18"/>
              </w:rPr>
            </w:pPr>
            <w:r>
              <w:rPr>
                <w:sz w:val="18"/>
              </w:rPr>
              <w:t>危废暂存场所</w:t>
            </w:r>
          </w:p>
        </w:tc>
        <w:tc>
          <w:tcPr>
            <w:tcW w:w="1364" w:type="dxa"/>
          </w:tcPr>
          <w:p>
            <w:pPr>
              <w:pStyle w:val="TableParagraph"/>
              <w:spacing w:line="213" w:lineRule="exact" w:before="2"/>
              <w:ind w:left="117" w:right="115"/>
              <w:rPr>
                <w:sz w:val="18"/>
              </w:rPr>
            </w:pPr>
            <w:r>
              <w:rPr>
                <w:sz w:val="18"/>
              </w:rPr>
              <w:t>污泥</w:t>
            </w:r>
          </w:p>
        </w:tc>
        <w:tc>
          <w:tcPr>
            <w:tcW w:w="1038" w:type="dxa"/>
          </w:tcPr>
          <w:p>
            <w:pPr>
              <w:pStyle w:val="TableParagraph"/>
              <w:spacing w:line="213" w:lineRule="exact" w:before="2"/>
              <w:ind w:left="136" w:right="136"/>
              <w:rPr>
                <w:sz w:val="18"/>
              </w:rPr>
            </w:pPr>
            <w:r>
              <w:rPr>
                <w:sz w:val="18"/>
              </w:rPr>
              <w:t>危险废物</w:t>
            </w:r>
          </w:p>
        </w:tc>
        <w:tc>
          <w:tcPr>
            <w:tcW w:w="1133" w:type="dxa"/>
          </w:tcPr>
          <w:p>
            <w:pPr>
              <w:pStyle w:val="TableParagraph"/>
              <w:spacing w:line="201" w:lineRule="exact" w:before="14"/>
              <w:ind w:left="3" w:right="3"/>
              <w:rPr>
                <w:rFonts w:ascii="Times New Roman"/>
                <w:sz w:val="18"/>
              </w:rPr>
            </w:pPr>
            <w:r>
              <w:rPr>
                <w:rFonts w:ascii="Times New Roman"/>
                <w:sz w:val="18"/>
              </w:rPr>
              <w:t>263-011-04</w:t>
            </w:r>
          </w:p>
        </w:tc>
        <w:tc>
          <w:tcPr>
            <w:tcW w:w="411" w:type="dxa"/>
            <w:vMerge w:val="restart"/>
          </w:tcPr>
          <w:p>
            <w:pPr>
              <w:pStyle w:val="TableParagraph"/>
              <w:spacing w:line="242" w:lineRule="auto" w:before="117"/>
              <w:ind w:left="21" w:right="22"/>
              <w:jc w:val="both"/>
              <w:rPr>
                <w:sz w:val="18"/>
              </w:rPr>
            </w:pPr>
            <w:r>
              <w:rPr>
                <w:sz w:val="18"/>
              </w:rPr>
              <w:t>厂区西南侧</w:t>
            </w:r>
          </w:p>
        </w:tc>
        <w:tc>
          <w:tcPr>
            <w:tcW w:w="810" w:type="dxa"/>
            <w:vMerge w:val="restart"/>
          </w:tcPr>
          <w:p>
            <w:pPr>
              <w:pStyle w:val="TableParagraph"/>
              <w:spacing w:line="230" w:lineRule="atLeast" w:before="2"/>
              <w:ind w:left="32" w:right="28"/>
              <w:rPr>
                <w:sz w:val="18"/>
              </w:rPr>
            </w:pPr>
            <w:r>
              <w:rPr>
                <w:rFonts w:ascii="Times New Roman" w:eastAsia="Times New Roman"/>
                <w:sz w:val="18"/>
              </w:rPr>
              <w:t>90m</w:t>
            </w:r>
            <w:r>
              <w:rPr>
                <w:rFonts w:ascii="Times New Roman" w:eastAsia="Times New Roman"/>
                <w:position w:val="6"/>
                <w:sz w:val="12"/>
              </w:rPr>
              <w:t>2</w:t>
            </w:r>
            <w:r>
              <w:rPr>
                <w:sz w:val="18"/>
              </w:rPr>
              <w:t>，各危废根据代码分区暂存</w:t>
            </w:r>
          </w:p>
        </w:tc>
        <w:tc>
          <w:tcPr>
            <w:tcW w:w="524" w:type="dxa"/>
          </w:tcPr>
          <w:p>
            <w:pPr>
              <w:pStyle w:val="TableParagraph"/>
              <w:spacing w:line="213" w:lineRule="exact" w:before="2"/>
              <w:ind w:left="59" w:right="60"/>
              <w:rPr>
                <w:sz w:val="18"/>
              </w:rPr>
            </w:pPr>
            <w:r>
              <w:rPr>
                <w:sz w:val="18"/>
              </w:rPr>
              <w:t>袋装</w:t>
            </w:r>
          </w:p>
        </w:tc>
        <w:tc>
          <w:tcPr>
            <w:tcW w:w="730" w:type="dxa"/>
          </w:tcPr>
          <w:p>
            <w:pPr>
              <w:pStyle w:val="TableParagraph"/>
              <w:spacing w:line="201" w:lineRule="exact" w:before="14"/>
              <w:ind w:left="22" w:right="26"/>
              <w:rPr>
                <w:rFonts w:ascii="Times New Roman"/>
                <w:sz w:val="18"/>
              </w:rPr>
            </w:pPr>
            <w:r>
              <w:rPr>
                <w:rFonts w:ascii="Times New Roman"/>
                <w:sz w:val="18"/>
              </w:rPr>
              <w:t>100</w:t>
            </w:r>
          </w:p>
        </w:tc>
        <w:tc>
          <w:tcPr>
            <w:tcW w:w="677" w:type="dxa"/>
          </w:tcPr>
          <w:p>
            <w:pPr>
              <w:pStyle w:val="TableParagraph"/>
              <w:spacing w:line="201" w:lineRule="exact" w:before="14"/>
              <w:ind w:left="201" w:right="204"/>
              <w:rPr>
                <w:rFonts w:ascii="Times New Roman"/>
                <w:sz w:val="18"/>
              </w:rPr>
            </w:pPr>
            <w:r>
              <w:rPr>
                <w:rFonts w:ascii="Times New Roman"/>
                <w:sz w:val="18"/>
              </w:rPr>
              <w:t>10</w:t>
            </w:r>
          </w:p>
        </w:tc>
        <w:tc>
          <w:tcPr>
            <w:tcW w:w="1162" w:type="dxa"/>
          </w:tcPr>
          <w:p>
            <w:pPr>
              <w:pStyle w:val="TableParagraph"/>
              <w:spacing w:line="201" w:lineRule="exact" w:before="14"/>
              <w:ind w:left="465" w:right="472"/>
              <w:rPr>
                <w:rFonts w:ascii="Times New Roman"/>
                <w:sz w:val="18"/>
              </w:rPr>
            </w:pPr>
            <w:r>
              <w:rPr>
                <w:rFonts w:ascii="Times New Roman"/>
                <w:sz w:val="18"/>
              </w:rPr>
              <w:t>10</w:t>
            </w:r>
          </w:p>
        </w:tc>
        <w:tc>
          <w:tcPr>
            <w:tcW w:w="528" w:type="dxa"/>
          </w:tcPr>
          <w:p>
            <w:pPr>
              <w:pStyle w:val="TableParagraph"/>
              <w:spacing w:line="213" w:lineRule="exact" w:before="2"/>
              <w:ind w:right="58"/>
              <w:jc w:val="right"/>
              <w:rPr>
                <w:sz w:val="18"/>
              </w:rPr>
            </w:pPr>
            <w:r>
              <w:rPr>
                <w:rFonts w:ascii="Times New Roman" w:eastAsia="Times New Roman"/>
                <w:sz w:val="18"/>
              </w:rPr>
              <w:t>30 </w:t>
            </w:r>
            <w:r>
              <w:rPr>
                <w:sz w:val="18"/>
              </w:rPr>
              <w:t>天</w:t>
            </w:r>
          </w:p>
        </w:tc>
      </w:tr>
      <w:tr>
        <w:trPr>
          <w:trHeight w:val="695" w:hRule="atLeast"/>
        </w:trPr>
        <w:tc>
          <w:tcPr>
            <w:tcW w:w="298" w:type="dxa"/>
          </w:tcPr>
          <w:p>
            <w:pPr>
              <w:pStyle w:val="TableParagraph"/>
              <w:spacing w:before="1"/>
              <w:jc w:val="left"/>
              <w:rPr>
                <w:b/>
                <w:sz w:val="19"/>
              </w:rPr>
            </w:pPr>
          </w:p>
          <w:p>
            <w:pPr>
              <w:pStyle w:val="TableParagraph"/>
              <w:ind w:right="100"/>
              <w:jc w:val="right"/>
              <w:rPr>
                <w:rFonts w:ascii="Times New Roman"/>
                <w:sz w:val="18"/>
              </w:rPr>
            </w:pPr>
            <w:r>
              <w:rPr>
                <w:rFonts w:ascii="Times New Roman"/>
                <w:sz w:val="18"/>
              </w:rPr>
              <w:t>2</w:t>
            </w:r>
          </w:p>
        </w:tc>
        <w:tc>
          <w:tcPr>
            <w:tcW w:w="442" w:type="dxa"/>
            <w:vMerge/>
            <w:tcBorders>
              <w:top w:val="nil"/>
            </w:tcBorders>
          </w:tcPr>
          <w:p>
            <w:pPr>
              <w:rPr>
                <w:sz w:val="2"/>
                <w:szCs w:val="2"/>
              </w:rPr>
            </w:pPr>
          </w:p>
        </w:tc>
        <w:tc>
          <w:tcPr>
            <w:tcW w:w="1364" w:type="dxa"/>
          </w:tcPr>
          <w:p>
            <w:pPr>
              <w:pStyle w:val="TableParagraph"/>
              <w:spacing w:line="244" w:lineRule="auto" w:before="112"/>
              <w:ind w:left="500" w:right="47" w:hanging="452"/>
              <w:jc w:val="left"/>
              <w:rPr>
                <w:sz w:val="18"/>
              </w:rPr>
            </w:pPr>
            <w:r>
              <w:rPr>
                <w:sz w:val="18"/>
              </w:rPr>
              <w:t>危险化学品废包装袋</w:t>
            </w:r>
          </w:p>
        </w:tc>
        <w:tc>
          <w:tcPr>
            <w:tcW w:w="1038" w:type="dxa"/>
          </w:tcPr>
          <w:p>
            <w:pPr>
              <w:pStyle w:val="TableParagraph"/>
              <w:spacing w:before="12"/>
              <w:jc w:val="left"/>
              <w:rPr>
                <w:b/>
                <w:sz w:val="17"/>
              </w:rPr>
            </w:pPr>
          </w:p>
          <w:p>
            <w:pPr>
              <w:pStyle w:val="TableParagraph"/>
              <w:ind w:left="136" w:right="136"/>
              <w:rPr>
                <w:sz w:val="18"/>
              </w:rPr>
            </w:pPr>
            <w:r>
              <w:rPr>
                <w:sz w:val="18"/>
              </w:rPr>
              <w:t>危险废物</w:t>
            </w:r>
          </w:p>
        </w:tc>
        <w:tc>
          <w:tcPr>
            <w:tcW w:w="1133" w:type="dxa"/>
          </w:tcPr>
          <w:p>
            <w:pPr>
              <w:pStyle w:val="TableParagraph"/>
              <w:spacing w:before="1"/>
              <w:jc w:val="left"/>
              <w:rPr>
                <w:b/>
                <w:sz w:val="19"/>
              </w:rPr>
            </w:pPr>
          </w:p>
          <w:p>
            <w:pPr>
              <w:pStyle w:val="TableParagraph"/>
              <w:ind w:left="3" w:right="3"/>
              <w:rPr>
                <w:rFonts w:ascii="Times New Roman"/>
                <w:sz w:val="18"/>
              </w:rPr>
            </w:pPr>
            <w:r>
              <w:rPr>
                <w:rFonts w:ascii="Times New Roman"/>
                <w:sz w:val="18"/>
              </w:rPr>
              <w:t>900-041-49</w:t>
            </w:r>
          </w:p>
        </w:tc>
        <w:tc>
          <w:tcPr>
            <w:tcW w:w="411" w:type="dxa"/>
            <w:vMerge/>
            <w:tcBorders>
              <w:top w:val="nil"/>
            </w:tcBorders>
          </w:tcPr>
          <w:p>
            <w:pPr>
              <w:rPr>
                <w:sz w:val="2"/>
                <w:szCs w:val="2"/>
              </w:rPr>
            </w:pPr>
          </w:p>
        </w:tc>
        <w:tc>
          <w:tcPr>
            <w:tcW w:w="810" w:type="dxa"/>
            <w:vMerge/>
            <w:tcBorders>
              <w:top w:val="nil"/>
            </w:tcBorders>
          </w:tcPr>
          <w:p>
            <w:pPr>
              <w:rPr>
                <w:sz w:val="2"/>
                <w:szCs w:val="2"/>
              </w:rPr>
            </w:pPr>
          </w:p>
        </w:tc>
        <w:tc>
          <w:tcPr>
            <w:tcW w:w="524" w:type="dxa"/>
          </w:tcPr>
          <w:p>
            <w:pPr>
              <w:pStyle w:val="TableParagraph"/>
              <w:spacing w:before="12"/>
              <w:jc w:val="left"/>
              <w:rPr>
                <w:b/>
                <w:sz w:val="17"/>
              </w:rPr>
            </w:pPr>
          </w:p>
          <w:p>
            <w:pPr>
              <w:pStyle w:val="TableParagraph"/>
              <w:ind w:left="59" w:right="60"/>
              <w:rPr>
                <w:sz w:val="18"/>
              </w:rPr>
            </w:pPr>
            <w:r>
              <w:rPr>
                <w:sz w:val="18"/>
              </w:rPr>
              <w:t>捆扎</w:t>
            </w:r>
          </w:p>
        </w:tc>
        <w:tc>
          <w:tcPr>
            <w:tcW w:w="730" w:type="dxa"/>
          </w:tcPr>
          <w:p>
            <w:pPr>
              <w:pStyle w:val="TableParagraph"/>
              <w:spacing w:before="1"/>
              <w:jc w:val="left"/>
              <w:rPr>
                <w:b/>
                <w:sz w:val="19"/>
              </w:rPr>
            </w:pPr>
          </w:p>
          <w:p>
            <w:pPr>
              <w:pStyle w:val="TableParagraph"/>
              <w:ind w:right="8"/>
              <w:rPr>
                <w:rFonts w:ascii="Times New Roman"/>
                <w:sz w:val="18"/>
              </w:rPr>
            </w:pPr>
            <w:r>
              <w:rPr>
                <w:rFonts w:ascii="Times New Roman"/>
                <w:sz w:val="18"/>
              </w:rPr>
              <w:t>5</w:t>
            </w:r>
          </w:p>
        </w:tc>
        <w:tc>
          <w:tcPr>
            <w:tcW w:w="677" w:type="dxa"/>
          </w:tcPr>
          <w:p>
            <w:pPr>
              <w:pStyle w:val="TableParagraph"/>
              <w:spacing w:before="1"/>
              <w:jc w:val="left"/>
              <w:rPr>
                <w:b/>
                <w:sz w:val="19"/>
              </w:rPr>
            </w:pPr>
          </w:p>
          <w:p>
            <w:pPr>
              <w:pStyle w:val="TableParagraph"/>
              <w:ind w:left="203" w:right="204"/>
              <w:rPr>
                <w:rFonts w:ascii="Times New Roman"/>
                <w:sz w:val="18"/>
              </w:rPr>
            </w:pPr>
            <w:r>
              <w:rPr>
                <w:rFonts w:ascii="Times New Roman"/>
                <w:sz w:val="18"/>
              </w:rPr>
              <w:t>0.5</w:t>
            </w:r>
          </w:p>
        </w:tc>
        <w:tc>
          <w:tcPr>
            <w:tcW w:w="1162" w:type="dxa"/>
          </w:tcPr>
          <w:p>
            <w:pPr>
              <w:pStyle w:val="TableParagraph"/>
              <w:spacing w:before="1"/>
              <w:jc w:val="left"/>
              <w:rPr>
                <w:b/>
                <w:sz w:val="19"/>
              </w:rPr>
            </w:pPr>
          </w:p>
          <w:p>
            <w:pPr>
              <w:pStyle w:val="TableParagraph"/>
              <w:ind w:left="465" w:right="472"/>
              <w:rPr>
                <w:rFonts w:ascii="Times New Roman"/>
                <w:sz w:val="18"/>
              </w:rPr>
            </w:pPr>
            <w:r>
              <w:rPr>
                <w:rFonts w:ascii="Times New Roman"/>
                <w:sz w:val="18"/>
              </w:rPr>
              <w:t>20</w:t>
            </w:r>
          </w:p>
        </w:tc>
        <w:tc>
          <w:tcPr>
            <w:tcW w:w="528" w:type="dxa"/>
          </w:tcPr>
          <w:p>
            <w:pPr>
              <w:pStyle w:val="TableParagraph"/>
              <w:spacing w:before="12"/>
              <w:jc w:val="left"/>
              <w:rPr>
                <w:b/>
                <w:sz w:val="17"/>
              </w:rPr>
            </w:pPr>
          </w:p>
          <w:p>
            <w:pPr>
              <w:pStyle w:val="TableParagraph"/>
              <w:ind w:right="58"/>
              <w:jc w:val="right"/>
              <w:rPr>
                <w:sz w:val="18"/>
              </w:rPr>
            </w:pPr>
            <w:r>
              <w:rPr>
                <w:rFonts w:ascii="Times New Roman" w:eastAsia="Times New Roman"/>
                <w:sz w:val="18"/>
              </w:rPr>
              <w:t>30 </w:t>
            </w:r>
            <w:r>
              <w:rPr>
                <w:sz w:val="18"/>
              </w:rPr>
              <w:t>天</w:t>
            </w:r>
          </w:p>
        </w:tc>
      </w:tr>
      <w:tr>
        <w:trPr>
          <w:trHeight w:val="465" w:hRule="atLeast"/>
        </w:trPr>
        <w:tc>
          <w:tcPr>
            <w:tcW w:w="9117" w:type="dxa"/>
            <w:gridSpan w:val="12"/>
          </w:tcPr>
          <w:p>
            <w:pPr>
              <w:pStyle w:val="TableParagraph"/>
              <w:ind w:left="9"/>
              <w:jc w:val="left"/>
              <w:rPr>
                <w:sz w:val="18"/>
              </w:rPr>
            </w:pPr>
            <w:r>
              <w:rPr>
                <w:sz w:val="18"/>
              </w:rPr>
              <w:t>注：贮存能力占地面积</w:t>
            </w:r>
            <w:r>
              <w:rPr>
                <w:rFonts w:ascii="Times New Roman" w:eastAsia="Times New Roman"/>
                <w:sz w:val="18"/>
              </w:rPr>
              <w:t>(m</w:t>
            </w:r>
            <w:r>
              <w:rPr>
                <w:rFonts w:ascii="Times New Roman" w:eastAsia="Times New Roman"/>
                <w:position w:val="6"/>
                <w:sz w:val="12"/>
              </w:rPr>
              <w:t>2</w:t>
            </w:r>
            <w:r>
              <w:rPr>
                <w:rFonts w:ascii="Times New Roman" w:eastAsia="Times New Roman"/>
                <w:sz w:val="18"/>
              </w:rPr>
              <w:t>)=</w:t>
            </w:r>
            <w:r>
              <w:rPr>
                <w:sz w:val="18"/>
              </w:rPr>
              <w:t>贮存能力</w:t>
            </w:r>
            <w:r>
              <w:rPr>
                <w:rFonts w:ascii="Times New Roman" w:eastAsia="Times New Roman"/>
                <w:sz w:val="18"/>
              </w:rPr>
              <w:t>/</w:t>
            </w:r>
            <w:r>
              <w:rPr>
                <w:sz w:val="18"/>
              </w:rPr>
              <w:t>密度</w:t>
            </w:r>
            <w:r>
              <w:rPr>
                <w:rFonts w:ascii="Times New Roman" w:eastAsia="Times New Roman"/>
                <w:sz w:val="18"/>
              </w:rPr>
              <w:t>/1m*(1.2~2)</w:t>
            </w:r>
            <w:r>
              <w:rPr>
                <w:spacing w:val="-10"/>
                <w:sz w:val="18"/>
              </w:rPr>
              <w:t>。其中 </w:t>
            </w:r>
            <w:r>
              <w:rPr>
                <w:rFonts w:ascii="Times New Roman" w:eastAsia="Times New Roman"/>
                <w:sz w:val="18"/>
              </w:rPr>
              <w:t>1m </w:t>
            </w:r>
            <w:r>
              <w:rPr>
                <w:sz w:val="18"/>
              </w:rPr>
              <w:t>指的是堆放高度，</w:t>
            </w:r>
            <w:r>
              <w:rPr>
                <w:rFonts w:ascii="Times New Roman" w:eastAsia="Times New Roman"/>
                <w:sz w:val="18"/>
              </w:rPr>
              <w:t>(1.2~2)</w:t>
            </w:r>
            <w:r>
              <w:rPr>
                <w:spacing w:val="-2"/>
                <w:sz w:val="18"/>
              </w:rPr>
              <w:t>为袋与袋或者桶与桶之间</w:t>
            </w:r>
          </w:p>
          <w:p>
            <w:pPr>
              <w:pStyle w:val="TableParagraph"/>
              <w:spacing w:line="213" w:lineRule="exact" w:before="2"/>
              <w:ind w:left="9"/>
              <w:jc w:val="left"/>
              <w:rPr>
                <w:sz w:val="18"/>
              </w:rPr>
            </w:pPr>
            <w:r>
              <w:rPr>
                <w:sz w:val="18"/>
              </w:rPr>
              <w:t>的堆放间隙系数</w:t>
            </w:r>
          </w:p>
        </w:tc>
      </w:tr>
    </w:tbl>
    <w:p>
      <w:pPr>
        <w:pStyle w:val="BodyText"/>
        <w:spacing w:before="2"/>
        <w:ind w:left="738"/>
      </w:pPr>
      <w:r>
        <w:rPr/>
        <w:t>根据上述计算，本项目新增危险废物 </w:t>
      </w:r>
      <w:r>
        <w:rPr>
          <w:rFonts w:ascii="Times New Roman" w:eastAsia="Times New Roman"/>
        </w:rPr>
        <w:t>105 </w:t>
      </w:r>
      <w:r>
        <w:rPr/>
        <w:t>吨</w:t>
      </w:r>
      <w:r>
        <w:rPr>
          <w:rFonts w:ascii="Times New Roman" w:eastAsia="Times New Roman"/>
        </w:rPr>
        <w:t>/</w:t>
      </w:r>
      <w:r>
        <w:rPr/>
        <w:t>年，配套所需要的危废暂存场所为约</w:t>
      </w:r>
    </w:p>
    <w:p>
      <w:pPr>
        <w:pStyle w:val="BodyText"/>
        <w:spacing w:line="362" w:lineRule="auto" w:before="161"/>
        <w:ind w:left="258" w:right="272"/>
      </w:pPr>
      <w:r>
        <w:rPr>
          <w:rFonts w:ascii="Times New Roman" w:eastAsia="Times New Roman"/>
        </w:rPr>
        <w:t>30 </w:t>
      </w:r>
      <w:r>
        <w:rPr/>
        <w:t>平方米，本项目涉及危废暂存场所占地面积 </w:t>
      </w:r>
      <w:r>
        <w:rPr>
          <w:rFonts w:ascii="Times New Roman" w:eastAsia="Times New Roman"/>
        </w:rPr>
        <w:t>90 </w:t>
      </w:r>
      <w:r>
        <w:rPr/>
        <w:t>平方米，故可以满足要求本项目的贮存需求。</w:t>
      </w:r>
    </w:p>
    <w:p>
      <w:pPr>
        <w:pStyle w:val="Heading4"/>
        <w:numPr>
          <w:ilvl w:val="2"/>
          <w:numId w:val="13"/>
        </w:numPr>
        <w:tabs>
          <w:tab w:pos="799" w:val="left" w:leader="none"/>
        </w:tabs>
        <w:spacing w:line="240" w:lineRule="auto" w:before="5" w:after="0"/>
        <w:ind w:left="798" w:right="0" w:hanging="541"/>
        <w:jc w:val="left"/>
      </w:pPr>
      <w:r>
        <w:rPr/>
        <w:t>固废处置措施</w:t>
      </w:r>
    </w:p>
    <w:p>
      <w:pPr>
        <w:pStyle w:val="BodyText"/>
        <w:spacing w:line="364" w:lineRule="auto" w:before="158"/>
        <w:ind w:left="258" w:right="262" w:firstLine="480"/>
      </w:pPr>
      <w:r>
        <w:rPr/>
        <w:t>本次项目涉及固体废物危废代码包括 </w:t>
      </w:r>
      <w:r>
        <w:rPr>
          <w:rFonts w:ascii="Times New Roman" w:eastAsia="Times New Roman"/>
        </w:rPr>
        <w:t>900-041-49</w:t>
      </w:r>
      <w:r>
        <w:rPr/>
        <w:t>、</w:t>
      </w:r>
      <w:r>
        <w:rPr>
          <w:rFonts w:ascii="Times New Roman" w:eastAsia="Times New Roman"/>
        </w:rPr>
        <w:t>263-011-04 </w:t>
      </w:r>
      <w:r>
        <w:rPr/>
        <w:t>等代码，危险废物委托有资质单位处理，主要为绍兴市上虞众联环保有限公司等单位。</w:t>
      </w:r>
    </w:p>
    <w:p>
      <w:pPr>
        <w:pStyle w:val="Heading4"/>
        <w:numPr>
          <w:ilvl w:val="2"/>
          <w:numId w:val="13"/>
        </w:numPr>
        <w:tabs>
          <w:tab w:pos="799" w:val="left" w:leader="none"/>
        </w:tabs>
        <w:spacing w:line="306" w:lineRule="exact" w:before="0" w:after="0"/>
        <w:ind w:left="798" w:right="0" w:hanging="541"/>
        <w:jc w:val="left"/>
      </w:pPr>
      <w:r>
        <w:rPr/>
        <w:t>固废处置可行性</w:t>
      </w:r>
    </w:p>
    <w:p>
      <w:pPr>
        <w:pStyle w:val="BodyText"/>
        <w:spacing w:line="364" w:lineRule="auto" w:before="161"/>
        <w:ind w:left="258" w:right="212" w:firstLine="480"/>
      </w:pPr>
      <w:r>
        <w:rPr>
          <w:spacing w:val="16"/>
        </w:rPr>
        <w:t>根据调查，建设单位主要委托处置的绍兴市上虞众联环保有限公司</w:t>
      </w:r>
      <w:r>
        <w:rPr>
          <w:rFonts w:ascii="Times New Roman" w:eastAsia="Times New Roman"/>
          <w:spacing w:val="16"/>
        </w:rPr>
        <w:t>(</w:t>
      </w:r>
      <w:r>
        <w:rPr>
          <w:spacing w:val="12"/>
        </w:rPr>
        <w:t>包含类别</w:t>
      </w:r>
      <w:r>
        <w:rPr>
          <w:rFonts w:ascii="Times New Roman" w:eastAsia="Times New Roman"/>
          <w:spacing w:val="12"/>
        </w:rPr>
        <w:t>HW02</w:t>
      </w:r>
      <w:r>
        <w:rPr>
          <w:spacing w:val="9"/>
        </w:rPr>
        <w:t>、</w:t>
      </w:r>
      <w:r>
        <w:rPr>
          <w:rFonts w:ascii="Times New Roman" w:eastAsia="Times New Roman"/>
        </w:rPr>
        <w:t>HW03</w:t>
      </w:r>
      <w:r>
        <w:rPr>
          <w:spacing w:val="9"/>
        </w:rPr>
        <w:t>、</w:t>
      </w:r>
      <w:r>
        <w:rPr>
          <w:rFonts w:ascii="Times New Roman" w:eastAsia="Times New Roman"/>
        </w:rPr>
        <w:t>HW04</w:t>
      </w:r>
      <w:r>
        <w:rPr>
          <w:spacing w:val="10"/>
        </w:rPr>
        <w:t>、</w:t>
      </w:r>
      <w:r>
        <w:rPr>
          <w:rFonts w:ascii="Times New Roman" w:eastAsia="Times New Roman"/>
        </w:rPr>
        <w:t>HW05</w:t>
      </w:r>
      <w:r>
        <w:rPr>
          <w:spacing w:val="9"/>
        </w:rPr>
        <w:t>、</w:t>
      </w:r>
      <w:r>
        <w:rPr>
          <w:rFonts w:ascii="Times New Roman" w:eastAsia="Times New Roman"/>
        </w:rPr>
        <w:t>HW06</w:t>
      </w:r>
      <w:r>
        <w:rPr>
          <w:spacing w:val="9"/>
        </w:rPr>
        <w:t>、</w:t>
      </w:r>
      <w:r>
        <w:rPr>
          <w:rFonts w:ascii="Times New Roman" w:eastAsia="Times New Roman"/>
        </w:rPr>
        <w:t>HW08</w:t>
      </w:r>
      <w:r>
        <w:rPr>
          <w:spacing w:val="10"/>
        </w:rPr>
        <w:t>、</w:t>
      </w:r>
      <w:r>
        <w:rPr>
          <w:rFonts w:ascii="Times New Roman" w:eastAsia="Times New Roman"/>
        </w:rPr>
        <w:t>HW09 </w:t>
      </w:r>
      <w:r>
        <w:rPr>
          <w:spacing w:val="9"/>
        </w:rPr>
        <w:t>、</w:t>
      </w:r>
      <w:r>
        <w:rPr>
          <w:rFonts w:ascii="Times New Roman" w:eastAsia="Times New Roman"/>
        </w:rPr>
        <w:t>HW11</w:t>
      </w:r>
      <w:r>
        <w:rPr>
          <w:spacing w:val="7"/>
        </w:rPr>
        <w:t>、</w:t>
      </w:r>
      <w:r>
        <w:rPr>
          <w:rFonts w:ascii="Times New Roman" w:eastAsia="Times New Roman"/>
        </w:rPr>
        <w:t>HW12</w:t>
      </w:r>
      <w:r>
        <w:rPr>
          <w:spacing w:val="9"/>
        </w:rPr>
        <w:t>、</w:t>
      </w:r>
      <w:r>
        <w:rPr>
          <w:rFonts w:ascii="Times New Roman" w:eastAsia="Times New Roman"/>
        </w:rPr>
        <w:t>HW13</w:t>
      </w:r>
      <w:r>
        <w:rPr/>
        <w:t>、</w:t>
      </w:r>
      <w:r>
        <w:rPr>
          <w:rFonts w:ascii="Times New Roman" w:eastAsia="Times New Roman"/>
          <w:spacing w:val="-1"/>
        </w:rPr>
        <w:t>HW14</w:t>
      </w:r>
      <w:r>
        <w:rPr>
          <w:spacing w:val="-48"/>
        </w:rPr>
        <w:t>、</w:t>
      </w:r>
      <w:r>
        <w:rPr>
          <w:rFonts w:ascii="Times New Roman" w:eastAsia="Times New Roman"/>
          <w:spacing w:val="-1"/>
        </w:rPr>
        <w:t>HW16</w:t>
      </w:r>
      <w:r>
        <w:rPr>
          <w:spacing w:val="-48"/>
        </w:rPr>
        <w:t>、</w:t>
      </w:r>
      <w:r>
        <w:rPr>
          <w:rFonts w:ascii="Times New Roman" w:eastAsia="Times New Roman"/>
        </w:rPr>
        <w:t>HW17</w:t>
      </w:r>
      <w:r>
        <w:rPr>
          <w:spacing w:val="-48"/>
        </w:rPr>
        <w:t>、</w:t>
      </w:r>
      <w:r>
        <w:rPr>
          <w:rFonts w:ascii="Times New Roman" w:eastAsia="Times New Roman"/>
        </w:rPr>
        <w:t>HW18</w:t>
      </w:r>
      <w:r>
        <w:rPr>
          <w:spacing w:val="-48"/>
        </w:rPr>
        <w:t>、</w:t>
      </w:r>
      <w:r>
        <w:rPr>
          <w:rFonts w:ascii="Times New Roman" w:eastAsia="Times New Roman"/>
        </w:rPr>
        <w:t>HW19</w:t>
      </w:r>
      <w:r>
        <w:rPr>
          <w:spacing w:val="-48"/>
        </w:rPr>
        <w:t>、</w:t>
      </w:r>
      <w:r>
        <w:rPr>
          <w:rFonts w:ascii="Times New Roman" w:eastAsia="Times New Roman"/>
        </w:rPr>
        <w:t>HW20</w:t>
      </w:r>
      <w:r>
        <w:rPr>
          <w:spacing w:val="-48"/>
        </w:rPr>
        <w:t>、</w:t>
      </w:r>
      <w:r>
        <w:rPr>
          <w:rFonts w:ascii="Times New Roman" w:eastAsia="Times New Roman"/>
        </w:rPr>
        <w:t>HW21</w:t>
      </w:r>
      <w:r>
        <w:rPr>
          <w:spacing w:val="-48"/>
        </w:rPr>
        <w:t>、</w:t>
      </w:r>
      <w:r>
        <w:rPr>
          <w:rFonts w:ascii="Times New Roman" w:eastAsia="Times New Roman"/>
        </w:rPr>
        <w:t>HW22</w:t>
      </w:r>
      <w:r>
        <w:rPr>
          <w:spacing w:val="-48"/>
        </w:rPr>
        <w:t>、</w:t>
      </w:r>
      <w:r>
        <w:rPr>
          <w:rFonts w:ascii="Times New Roman" w:eastAsia="Times New Roman"/>
        </w:rPr>
        <w:t>HW23</w:t>
      </w:r>
      <w:r>
        <w:rPr>
          <w:spacing w:val="-48"/>
        </w:rPr>
        <w:t>、</w:t>
      </w:r>
      <w:r>
        <w:rPr>
          <w:rFonts w:ascii="Times New Roman" w:eastAsia="Times New Roman"/>
        </w:rPr>
        <w:t>HW24</w:t>
      </w:r>
      <w:r>
        <w:rPr>
          <w:spacing w:val="-48"/>
        </w:rPr>
        <w:t>、</w:t>
      </w:r>
      <w:r>
        <w:rPr>
          <w:rFonts w:ascii="Times New Roman" w:eastAsia="Times New Roman"/>
        </w:rPr>
        <w:t>HW25</w:t>
      </w:r>
      <w:r>
        <w:rPr/>
        <w:t>、</w:t>
      </w:r>
      <w:r>
        <w:rPr>
          <w:rFonts w:ascii="Times New Roman" w:eastAsia="Times New Roman"/>
        </w:rPr>
        <w:t>HW26</w:t>
      </w:r>
      <w:r>
        <w:rPr>
          <w:spacing w:val="9"/>
        </w:rPr>
        <w:t>、</w:t>
      </w:r>
      <w:r>
        <w:rPr>
          <w:rFonts w:ascii="Times New Roman" w:eastAsia="Times New Roman"/>
        </w:rPr>
        <w:t>HW27</w:t>
      </w:r>
      <w:r>
        <w:rPr>
          <w:spacing w:val="7"/>
        </w:rPr>
        <w:t>、</w:t>
      </w:r>
      <w:r>
        <w:rPr>
          <w:rFonts w:ascii="Times New Roman" w:eastAsia="Times New Roman"/>
          <w:spacing w:val="2"/>
        </w:rPr>
        <w:t>HW28</w:t>
      </w:r>
      <w:r>
        <w:rPr>
          <w:spacing w:val="7"/>
        </w:rPr>
        <w:t>、</w:t>
      </w:r>
      <w:r>
        <w:rPr>
          <w:rFonts w:ascii="Times New Roman" w:eastAsia="Times New Roman"/>
        </w:rPr>
        <w:t>HW30</w:t>
      </w:r>
      <w:r>
        <w:rPr>
          <w:spacing w:val="7"/>
        </w:rPr>
        <w:t>、</w:t>
      </w:r>
      <w:r>
        <w:rPr>
          <w:rFonts w:ascii="Times New Roman" w:eastAsia="Times New Roman"/>
        </w:rPr>
        <w:t>HW31</w:t>
      </w:r>
      <w:r>
        <w:rPr>
          <w:spacing w:val="7"/>
        </w:rPr>
        <w:t>、</w:t>
      </w:r>
      <w:r>
        <w:rPr>
          <w:rFonts w:ascii="Times New Roman" w:eastAsia="Times New Roman"/>
          <w:spacing w:val="2"/>
        </w:rPr>
        <w:t>HW32</w:t>
      </w:r>
      <w:r>
        <w:rPr>
          <w:spacing w:val="7"/>
        </w:rPr>
        <w:t>、</w:t>
      </w:r>
      <w:r>
        <w:rPr>
          <w:rFonts w:ascii="Times New Roman" w:eastAsia="Times New Roman"/>
        </w:rPr>
        <w:t>HW33</w:t>
      </w:r>
      <w:r>
        <w:rPr>
          <w:spacing w:val="7"/>
        </w:rPr>
        <w:t>、</w:t>
      </w:r>
      <w:r>
        <w:rPr>
          <w:rFonts w:ascii="Times New Roman" w:eastAsia="Times New Roman"/>
        </w:rPr>
        <w:t>HW34 </w:t>
      </w:r>
      <w:r>
        <w:rPr>
          <w:spacing w:val="9"/>
        </w:rPr>
        <w:t>、</w:t>
      </w:r>
      <w:r>
        <w:rPr>
          <w:rFonts w:ascii="Times New Roman" w:eastAsia="Times New Roman"/>
        </w:rPr>
        <w:t>HW35</w:t>
      </w:r>
      <w:r>
        <w:rPr>
          <w:spacing w:val="9"/>
        </w:rPr>
        <w:t>、</w:t>
      </w:r>
      <w:r>
        <w:rPr>
          <w:rFonts w:ascii="Times New Roman" w:eastAsia="Times New Roman"/>
        </w:rPr>
        <w:t>HW36</w:t>
      </w:r>
      <w:r>
        <w:rPr/>
        <w:t>、</w:t>
      </w:r>
      <w:r>
        <w:rPr>
          <w:rFonts w:ascii="Times New Roman" w:eastAsia="Times New Roman"/>
        </w:rPr>
        <w:t>HW37</w:t>
      </w:r>
      <w:r>
        <w:rPr>
          <w:spacing w:val="-20"/>
        </w:rPr>
        <w:t>、</w:t>
      </w:r>
      <w:r>
        <w:rPr>
          <w:rFonts w:ascii="Times New Roman" w:eastAsia="Times New Roman"/>
        </w:rPr>
        <w:t>HW38</w:t>
      </w:r>
      <w:r>
        <w:rPr>
          <w:spacing w:val="-20"/>
        </w:rPr>
        <w:t>、</w:t>
      </w:r>
      <w:r>
        <w:rPr>
          <w:rFonts w:ascii="Times New Roman" w:eastAsia="Times New Roman"/>
        </w:rPr>
        <w:t>HW39</w:t>
      </w:r>
      <w:r>
        <w:rPr>
          <w:spacing w:val="-19"/>
        </w:rPr>
        <w:t>、</w:t>
      </w:r>
      <w:r>
        <w:rPr>
          <w:rFonts w:ascii="Times New Roman" w:eastAsia="Times New Roman"/>
        </w:rPr>
        <w:t>HW40</w:t>
      </w:r>
      <w:r>
        <w:rPr>
          <w:spacing w:val="-20"/>
        </w:rPr>
        <w:t>、</w:t>
      </w:r>
      <w:r>
        <w:rPr>
          <w:rFonts w:ascii="Times New Roman" w:eastAsia="Times New Roman"/>
        </w:rPr>
        <w:t>HW45</w:t>
      </w:r>
      <w:r>
        <w:rPr>
          <w:spacing w:val="-20"/>
        </w:rPr>
        <w:t>、</w:t>
      </w:r>
      <w:r>
        <w:rPr>
          <w:rFonts w:ascii="Times New Roman" w:eastAsia="Times New Roman"/>
        </w:rPr>
        <w:t>HW46</w:t>
      </w:r>
      <w:r>
        <w:rPr>
          <w:spacing w:val="-20"/>
        </w:rPr>
        <w:t>、</w:t>
      </w:r>
      <w:r>
        <w:rPr>
          <w:rFonts w:ascii="Times New Roman" w:eastAsia="Times New Roman"/>
        </w:rPr>
        <w:t>HW48</w:t>
      </w:r>
      <w:r>
        <w:rPr>
          <w:spacing w:val="-20"/>
        </w:rPr>
        <w:t>、</w:t>
      </w:r>
      <w:r>
        <w:rPr>
          <w:rFonts w:ascii="Times New Roman" w:eastAsia="Times New Roman"/>
        </w:rPr>
        <w:t>HW49</w:t>
      </w:r>
      <w:r>
        <w:rPr>
          <w:spacing w:val="-15"/>
        </w:rPr>
        <w:t>、总处理量 </w:t>
      </w:r>
      <w:r>
        <w:rPr>
          <w:rFonts w:ascii="Times New Roman" w:eastAsia="Times New Roman"/>
        </w:rPr>
        <w:t>120000t/a)</w:t>
      </w:r>
      <w:r>
        <w:rPr/>
        <w:t>、</w:t>
      </w:r>
    </w:p>
    <w:p>
      <w:pPr>
        <w:pStyle w:val="BodyText"/>
        <w:spacing w:line="362" w:lineRule="auto"/>
        <w:ind w:left="258" w:right="214"/>
      </w:pPr>
      <w:r>
        <w:rPr/>
        <w:t>浙江春晖固废处理有限公司</w:t>
      </w:r>
      <w:r>
        <w:rPr>
          <w:rFonts w:ascii="Times New Roman" w:eastAsia="Times New Roman"/>
        </w:rPr>
        <w:t>(</w:t>
      </w:r>
      <w:r>
        <w:rPr>
          <w:spacing w:val="-14"/>
        </w:rPr>
        <w:t>包含类别 </w:t>
      </w:r>
      <w:r>
        <w:rPr>
          <w:rFonts w:ascii="Times New Roman" w:eastAsia="Times New Roman"/>
        </w:rPr>
        <w:t>HW02</w:t>
      </w:r>
      <w:r>
        <w:rPr>
          <w:spacing w:val="-10"/>
        </w:rPr>
        <w:t>、</w:t>
      </w:r>
      <w:r>
        <w:rPr>
          <w:rFonts w:ascii="Times New Roman" w:eastAsia="Times New Roman"/>
        </w:rPr>
        <w:t>HW04</w:t>
      </w:r>
      <w:r>
        <w:rPr>
          <w:spacing w:val="-12"/>
        </w:rPr>
        <w:t>、</w:t>
      </w:r>
      <w:r>
        <w:rPr>
          <w:rFonts w:ascii="Times New Roman" w:eastAsia="Times New Roman"/>
        </w:rPr>
        <w:t>HW06</w:t>
      </w:r>
      <w:r>
        <w:rPr>
          <w:spacing w:val="-10"/>
        </w:rPr>
        <w:t>、</w:t>
      </w:r>
      <w:r>
        <w:rPr>
          <w:rFonts w:ascii="Times New Roman" w:eastAsia="Times New Roman"/>
        </w:rPr>
        <w:t>HW08</w:t>
      </w:r>
      <w:r>
        <w:rPr>
          <w:spacing w:val="-12"/>
        </w:rPr>
        <w:t>、</w:t>
      </w:r>
      <w:r>
        <w:rPr>
          <w:rFonts w:ascii="Times New Roman" w:eastAsia="Times New Roman"/>
        </w:rPr>
        <w:t>HW09</w:t>
      </w:r>
      <w:r>
        <w:rPr>
          <w:spacing w:val="-12"/>
        </w:rPr>
        <w:t>、</w:t>
      </w:r>
      <w:r>
        <w:rPr>
          <w:rFonts w:ascii="Times New Roman" w:eastAsia="Times New Roman"/>
          <w:spacing w:val="-3"/>
        </w:rPr>
        <w:t>HW11</w:t>
      </w:r>
      <w:r>
        <w:rPr/>
        <w:t>、</w:t>
      </w:r>
      <w:r>
        <w:rPr>
          <w:rFonts w:ascii="Times New Roman" w:eastAsia="Times New Roman"/>
        </w:rPr>
        <w:t>HW12</w:t>
      </w:r>
      <w:r>
        <w:rPr/>
        <w:t>、</w:t>
      </w:r>
      <w:r>
        <w:rPr>
          <w:rFonts w:ascii="Times New Roman" w:eastAsia="Times New Roman"/>
        </w:rPr>
        <w:t>HW13</w:t>
      </w:r>
      <w:r>
        <w:rPr/>
        <w:t>、</w:t>
      </w:r>
      <w:r>
        <w:rPr>
          <w:rFonts w:ascii="Times New Roman" w:eastAsia="Times New Roman"/>
        </w:rPr>
        <w:t>HW49</w:t>
      </w:r>
      <w:r>
        <w:rPr>
          <w:spacing w:val="-11"/>
        </w:rPr>
        <w:t>、总处理量 </w:t>
      </w:r>
      <w:r>
        <w:rPr>
          <w:rFonts w:ascii="Times New Roman" w:eastAsia="Times New Roman"/>
        </w:rPr>
        <w:t>15000t/a)</w:t>
      </w:r>
      <w:r>
        <w:rPr/>
        <w:t>等单位。</w:t>
      </w:r>
    </w:p>
    <w:p>
      <w:pPr>
        <w:pStyle w:val="BodyText"/>
        <w:spacing w:line="362" w:lineRule="auto" w:before="3"/>
        <w:ind w:left="258" w:right="272" w:firstLine="480"/>
      </w:pPr>
      <w:r>
        <w:rPr/>
        <w:t>本次项目需委托处置的危险废物总量 </w:t>
      </w:r>
      <w:r>
        <w:rPr>
          <w:rFonts w:ascii="Times New Roman" w:eastAsia="Times New Roman"/>
        </w:rPr>
        <w:t>105t/a</w:t>
      </w:r>
      <w:r>
        <w:rPr/>
        <w:t>，而建设单位主要委托处置的危废处置单位处理能力在 </w:t>
      </w:r>
      <w:r>
        <w:rPr>
          <w:rFonts w:ascii="Times New Roman" w:eastAsia="Times New Roman"/>
        </w:rPr>
        <w:t>12 </w:t>
      </w:r>
      <w:r>
        <w:rPr/>
        <w:t>万 </w:t>
      </w:r>
      <w:r>
        <w:rPr>
          <w:rFonts w:ascii="Times New Roman" w:eastAsia="Times New Roman"/>
        </w:rPr>
        <w:t>t/a </w:t>
      </w:r>
      <w:r>
        <w:rPr/>
        <w:t>左右，另可满足本次项目新增危废处置量的需要。</w:t>
      </w:r>
    </w:p>
    <w:p>
      <w:pPr>
        <w:pStyle w:val="Heading4"/>
        <w:numPr>
          <w:ilvl w:val="2"/>
          <w:numId w:val="13"/>
        </w:numPr>
        <w:tabs>
          <w:tab w:pos="799" w:val="left" w:leader="none"/>
        </w:tabs>
        <w:spacing w:line="240" w:lineRule="auto" w:before="5" w:after="0"/>
        <w:ind w:left="798" w:right="0" w:hanging="541"/>
        <w:jc w:val="left"/>
      </w:pPr>
      <w:r>
        <w:rPr/>
        <w:t>其他措施及建议</w:t>
      </w:r>
    </w:p>
    <w:p>
      <w:pPr>
        <w:spacing w:after="0" w:line="240" w:lineRule="auto"/>
        <w:jc w:val="left"/>
        <w:sectPr>
          <w:pgSz w:w="11910" w:h="16850"/>
          <w:pgMar w:header="730" w:footer="673" w:top="980" w:bottom="860" w:left="1160" w:right="1080"/>
        </w:sectPr>
      </w:pPr>
    </w:p>
    <w:p>
      <w:pPr>
        <w:pStyle w:val="BodyText"/>
        <w:spacing w:before="7"/>
        <w:rPr>
          <w:b/>
          <w:sz w:val="28"/>
        </w:rPr>
      </w:pPr>
    </w:p>
    <w:p>
      <w:pPr>
        <w:pStyle w:val="BodyText"/>
        <w:spacing w:before="66"/>
        <w:ind w:left="738"/>
      </w:pPr>
      <w:r>
        <w:rPr/>
        <w:t>根据项目固废情况，环评提出如下几条措施：</w:t>
      </w:r>
    </w:p>
    <w:p>
      <w:pPr>
        <w:pStyle w:val="BodyText"/>
        <w:spacing w:line="364" w:lineRule="auto" w:before="158"/>
        <w:ind w:left="258" w:right="330" w:firstLine="480"/>
        <w:jc w:val="both"/>
      </w:pPr>
      <w:r>
        <w:rPr>
          <w:rFonts w:ascii="Times New Roman" w:eastAsia="Times New Roman"/>
        </w:rPr>
        <w:t>1</w:t>
      </w:r>
      <w:r>
        <w:rPr>
          <w:spacing w:val="-17"/>
        </w:rPr>
        <w:t>、应按照 </w:t>
      </w:r>
      <w:r>
        <w:rPr>
          <w:rFonts w:ascii="Times New Roman" w:eastAsia="Times New Roman"/>
        </w:rPr>
        <w:t>GB18597-2001</w:t>
      </w:r>
      <w:r>
        <w:rPr>
          <w:spacing w:val="-3"/>
        </w:rPr>
        <w:t>《危险废物贮存污染控制标准》执行分类收集和暂存，本</w:t>
      </w:r>
      <w:r>
        <w:rPr>
          <w:spacing w:val="-4"/>
        </w:rPr>
        <w:t>项目所有废物都必须储存于容器中，容器应加盖密闭，存放地面必须硬化且可收集地面</w:t>
      </w:r>
      <w:r>
        <w:rPr/>
        <w:t>冲洗水。</w:t>
      </w:r>
    </w:p>
    <w:p>
      <w:pPr>
        <w:pStyle w:val="BodyText"/>
        <w:spacing w:line="364" w:lineRule="auto"/>
        <w:ind w:left="258" w:right="334" w:firstLine="480"/>
        <w:jc w:val="both"/>
      </w:pPr>
      <w:r>
        <w:rPr>
          <w:rFonts w:ascii="Times New Roman" w:eastAsia="Times New Roman"/>
        </w:rPr>
        <w:t>2</w:t>
      </w:r>
      <w:r>
        <w:rPr/>
        <w:t>、根据环发</w:t>
      </w:r>
      <w:r>
        <w:rPr>
          <w:rFonts w:ascii="Times New Roman" w:eastAsia="Times New Roman"/>
        </w:rPr>
        <w:t>[2001]199 </w:t>
      </w:r>
      <w:r>
        <w:rPr>
          <w:spacing w:val="-9"/>
        </w:rPr>
        <w:t>号《危险废物污染防治技术政策》，国家技术政策总原则是</w:t>
      </w:r>
      <w:r>
        <w:rPr>
          <w:spacing w:val="-5"/>
        </w:rPr>
        <w:t>危险废物的减量化、资源化和无害化。首先通过清洁生产减少固体废物的产生，在无法</w:t>
      </w:r>
      <w:r>
        <w:rPr/>
        <w:t>减量化的情况下优先进行废物资源化利用，最终对不可利用废物进行无害化处置。</w:t>
      </w:r>
    </w:p>
    <w:p>
      <w:pPr>
        <w:pStyle w:val="BodyText"/>
        <w:spacing w:line="364" w:lineRule="auto"/>
        <w:ind w:left="258" w:right="329" w:firstLine="480"/>
        <w:jc w:val="both"/>
      </w:pPr>
      <w:r>
        <w:rPr>
          <w:rFonts w:ascii="Times New Roman" w:eastAsia="Times New Roman"/>
        </w:rPr>
        <w:t>3</w:t>
      </w:r>
      <w:r>
        <w:rPr/>
        <w:t>、国家对危险废物的处理采取严格的管理制度，应遵从《危险废物转移联单管理</w:t>
      </w:r>
      <w:r>
        <w:rPr>
          <w:spacing w:val="-6"/>
        </w:rPr>
        <w:t>办法》及其他有关规定的要求，同时建立危险废物台账制度及申报制度，以便管理部门对危险废物的流向进行有效控制，防止在转移过程中将危险废物排放至环境中。</w:t>
      </w:r>
    </w:p>
    <w:p>
      <w:pPr>
        <w:pStyle w:val="BodyText"/>
        <w:spacing w:line="364" w:lineRule="auto"/>
        <w:ind w:left="258" w:right="326" w:firstLine="480"/>
        <w:jc w:val="both"/>
      </w:pPr>
      <w:r>
        <w:rPr>
          <w:rFonts w:ascii="Times New Roman" w:eastAsia="Times New Roman"/>
        </w:rPr>
        <w:t>4</w:t>
      </w:r>
      <w:r>
        <w:rPr/>
        <w:t>、要求在固废产生点位、固废暂存场所各放一本台账，分别记录产生点位的固废</w:t>
      </w:r>
      <w:r>
        <w:rPr>
          <w:spacing w:val="-7"/>
        </w:rPr>
        <w:t>产生量、转移量，固废暂存场所固废的暂存量、转移量。设置专职管理人员对固体废物档案及固废场所进行管理。</w:t>
      </w:r>
    </w:p>
    <w:p>
      <w:pPr>
        <w:pStyle w:val="Heading3"/>
        <w:numPr>
          <w:ilvl w:val="1"/>
          <w:numId w:val="13"/>
        </w:numPr>
        <w:tabs>
          <w:tab w:pos="821" w:val="left" w:leader="none"/>
        </w:tabs>
        <w:spacing w:line="240" w:lineRule="auto" w:before="0" w:after="0"/>
        <w:ind w:left="820" w:right="0" w:hanging="421"/>
        <w:jc w:val="left"/>
      </w:pPr>
      <w:bookmarkStart w:name="_bookmark36" w:id="73"/>
      <w:bookmarkEnd w:id="73"/>
      <w:r>
        <w:rPr>
          <w:b w:val="0"/>
        </w:rPr>
      </w:r>
      <w:bookmarkStart w:name="_bookmark36" w:id="74"/>
      <w:bookmarkEnd w:id="74"/>
      <w:r>
        <w:rPr/>
        <w:t>噪声防治措施</w:t>
      </w:r>
    </w:p>
    <w:p>
      <w:pPr>
        <w:pStyle w:val="BodyText"/>
        <w:spacing w:line="362" w:lineRule="auto" w:before="182"/>
        <w:ind w:left="258" w:right="272" w:firstLine="480"/>
      </w:pPr>
      <w:r>
        <w:rPr/>
        <w:t>本项目主要噪声源为各类泵、风机、冷却塔等，噪声源强不大。环评建议噪声防治对策应该从声源上降低噪声和从噪声传播途径上降低噪声两个环节着手：</w:t>
      </w:r>
    </w:p>
    <w:p>
      <w:pPr>
        <w:pStyle w:val="BodyText"/>
        <w:spacing w:line="362" w:lineRule="auto" w:before="6"/>
        <w:ind w:left="258" w:right="215" w:firstLine="480"/>
      </w:pPr>
      <w:r>
        <w:rPr>
          <w:rFonts w:ascii="Times New Roman" w:eastAsia="Times New Roman"/>
        </w:rPr>
        <w:t>1</w:t>
      </w:r>
      <w:r>
        <w:rPr>
          <w:spacing w:val="-8"/>
        </w:rPr>
        <w:t>、根据项目噪声源特征，要求在设计和设备采购阶段，充分选用先进的低噪设备， </w:t>
      </w:r>
      <w:r>
        <w:rPr/>
        <w:t>如选用低噪风机、空压机等，以从声源上降低设备本身噪声；</w:t>
      </w:r>
    </w:p>
    <w:p>
      <w:pPr>
        <w:pStyle w:val="BodyText"/>
        <w:spacing w:before="5"/>
        <w:ind w:left="738"/>
      </w:pPr>
      <w:r>
        <w:rPr>
          <w:rFonts w:ascii="Times New Roman" w:eastAsia="Times New Roman"/>
        </w:rPr>
        <w:t>2</w:t>
      </w:r>
      <w:r>
        <w:rPr/>
        <w:t>、厂区内合理布局，将高噪音设备尽量置于车间中部位置；</w:t>
      </w:r>
    </w:p>
    <w:p>
      <w:pPr>
        <w:pStyle w:val="BodyText"/>
        <w:spacing w:line="364" w:lineRule="auto" w:before="158"/>
        <w:ind w:left="258" w:right="326" w:firstLine="480"/>
        <w:jc w:val="both"/>
      </w:pPr>
      <w:r>
        <w:rPr>
          <w:rFonts w:ascii="Times New Roman" w:eastAsia="Times New Roman"/>
        </w:rPr>
        <w:t>3</w:t>
      </w:r>
      <w:r>
        <w:rPr/>
        <w:t>、采取隔声措施切断噪声传播途径。电机除采用低噪机型外可在其外壳涂覆隔声</w:t>
      </w:r>
      <w:r>
        <w:rPr>
          <w:spacing w:val="-6"/>
        </w:rPr>
        <w:t>材料，并要严格按照规程操作，防止电机进入不稳定区工作；各类泵可采用内涂吸声材</w:t>
      </w:r>
      <w:r>
        <w:rPr>
          <w:spacing w:val="-7"/>
        </w:rPr>
        <w:t>料，外覆隔声材料方式处理，并视条件进行减振和隔声处理，对风机、泵等高噪声设备设置隔声房，墙体采用中空砖混结构并加设双层隔声门窗；</w:t>
      </w:r>
    </w:p>
    <w:p>
      <w:pPr>
        <w:pStyle w:val="BodyText"/>
        <w:spacing w:line="364" w:lineRule="auto"/>
        <w:ind w:left="258" w:right="324" w:firstLine="480"/>
      </w:pPr>
      <w:r>
        <w:rPr>
          <w:rFonts w:ascii="Times New Roman" w:eastAsia="Times New Roman"/>
        </w:rPr>
        <w:t>4</w:t>
      </w:r>
      <w:r>
        <w:rPr/>
        <w:t>、采取防震减振措施降低噪声源强。高噪声设备安装时采用减振垫，或在其四周挖设防震沟以增加缓冲作用。</w:t>
      </w:r>
    </w:p>
    <w:p>
      <w:pPr>
        <w:pStyle w:val="BodyText"/>
        <w:spacing w:line="364" w:lineRule="auto"/>
        <w:ind w:left="258" w:right="324" w:firstLine="480"/>
        <w:jc w:val="both"/>
      </w:pPr>
      <w:r>
        <w:rPr>
          <w:rFonts w:ascii="Times New Roman" w:eastAsia="Times New Roman"/>
        </w:rPr>
        <w:t>5</w:t>
      </w:r>
      <w:r>
        <w:rPr/>
        <w:t>、对于厂区内进出的大型车辆要加强管理，厂区内及出入口附近禁止鸣笛，限制</w:t>
      </w:r>
      <w:r>
        <w:rPr>
          <w:spacing w:val="-12"/>
        </w:rPr>
        <w:t>车速；加强厂区绿化，在厂界四周围墙内侧种植不小于 </w:t>
      </w:r>
      <w:r>
        <w:rPr>
          <w:rFonts w:ascii="Times New Roman" w:eastAsia="Times New Roman"/>
        </w:rPr>
        <w:t>10m </w:t>
      </w:r>
      <w:r>
        <w:rPr>
          <w:spacing w:val="-6"/>
        </w:rPr>
        <w:t>宽绿化带，采用乔灌结合的立体绿化系统。</w:t>
      </w:r>
    </w:p>
    <w:p>
      <w:pPr>
        <w:pStyle w:val="Heading3"/>
        <w:numPr>
          <w:ilvl w:val="1"/>
          <w:numId w:val="13"/>
        </w:numPr>
        <w:tabs>
          <w:tab w:pos="821" w:val="left" w:leader="none"/>
        </w:tabs>
        <w:spacing w:line="356" w:lineRule="exact" w:before="0" w:after="0"/>
        <w:ind w:left="820" w:right="0" w:hanging="421"/>
        <w:jc w:val="left"/>
      </w:pPr>
      <w:bookmarkStart w:name="_bookmark37" w:id="75"/>
      <w:bookmarkEnd w:id="75"/>
      <w:r>
        <w:rPr>
          <w:b w:val="0"/>
        </w:rPr>
      </w:r>
      <w:bookmarkStart w:name="_bookmark37" w:id="76"/>
      <w:bookmarkEnd w:id="76"/>
      <w:r>
        <w:rPr/>
        <w:t>土壤防治措施</w:t>
      </w:r>
    </w:p>
    <w:p>
      <w:pPr>
        <w:spacing w:after="0" w:line="356" w:lineRule="exact"/>
        <w:jc w:val="left"/>
        <w:sectPr>
          <w:pgSz w:w="11910" w:h="16850"/>
          <w:pgMar w:header="730" w:footer="673" w:top="980" w:bottom="860" w:left="1160" w:right="1080"/>
        </w:sectPr>
      </w:pPr>
    </w:p>
    <w:p>
      <w:pPr>
        <w:pStyle w:val="BodyText"/>
        <w:spacing w:before="12"/>
        <w:rPr>
          <w:b/>
          <w:sz w:val="27"/>
        </w:rPr>
      </w:pPr>
    </w:p>
    <w:p>
      <w:pPr>
        <w:pStyle w:val="Heading4"/>
        <w:spacing w:before="74"/>
        <w:ind w:left="741"/>
      </w:pPr>
      <w:r>
        <w:rPr>
          <w:rFonts w:ascii="Times New Roman" w:eastAsia="Times New Roman"/>
        </w:rPr>
        <w:t>1</w:t>
      </w:r>
      <w:r>
        <w:rPr/>
        <w:t>、源头控制措施</w:t>
      </w:r>
    </w:p>
    <w:p>
      <w:pPr>
        <w:pStyle w:val="BodyText"/>
        <w:spacing w:line="364" w:lineRule="auto" w:before="158"/>
        <w:ind w:left="258" w:right="212" w:firstLine="480"/>
      </w:pPr>
      <w:r>
        <w:rPr>
          <w:spacing w:val="-5"/>
        </w:rPr>
        <w:t>建设单位应在车间设计、建设阶段高度重视土壤污染防控工作，从工艺、管道、设</w:t>
      </w:r>
      <w:r>
        <w:rPr>
          <w:spacing w:val="-13"/>
        </w:rPr>
        <w:t>备、原料储存运输、污水储存输送处理等采取相应措施，防止和降低污染物跑、冒、滴、</w:t>
      </w:r>
      <w:r>
        <w:rPr/>
        <w:t>漏，将污染物泄漏的环境风险事故降到最低程度；管线敷设尽量采用“可视化”原则， </w:t>
      </w:r>
      <w:r>
        <w:rPr>
          <w:spacing w:val="-5"/>
        </w:rPr>
        <w:t>即管道尽可能地上或架空敷设，做到污染物“早发现、早处理”，减少由于埋地管道泄</w:t>
      </w:r>
      <w:r>
        <w:rPr/>
        <w:t>漏而造成的土壤污染。</w:t>
      </w:r>
    </w:p>
    <w:p>
      <w:pPr>
        <w:pStyle w:val="BodyText"/>
        <w:spacing w:line="364" w:lineRule="auto"/>
        <w:ind w:left="258" w:right="210" w:firstLine="480"/>
      </w:pPr>
      <w:r>
        <w:rPr>
          <w:spacing w:val="-5"/>
        </w:rPr>
        <w:t>企业需要加强对厂区“跑冒滴漏”检查，加强设备的日常维护，尽量杜绝事故性泄</w:t>
      </w:r>
      <w:r>
        <w:rPr>
          <w:spacing w:val="-14"/>
        </w:rPr>
        <w:t>漏与排放。同时做好厂区的防渗防漏措施，加强地面硬化率，一旦发生泄漏能迅速收集， </w:t>
      </w:r>
      <w:r>
        <w:rPr/>
        <w:t>且不会使泄漏物料渗透至土壤环境。</w:t>
      </w:r>
    </w:p>
    <w:p>
      <w:pPr>
        <w:pStyle w:val="Heading4"/>
        <w:ind w:left="741"/>
      </w:pPr>
      <w:r>
        <w:rPr>
          <w:rFonts w:ascii="Times New Roman" w:eastAsia="Times New Roman"/>
        </w:rPr>
        <w:t>2</w:t>
      </w:r>
      <w:r>
        <w:rPr/>
        <w:t>、过程控制措施</w:t>
      </w:r>
    </w:p>
    <w:p>
      <w:pPr>
        <w:pStyle w:val="BodyText"/>
        <w:spacing w:before="157"/>
        <w:ind w:left="738"/>
      </w:pPr>
      <w:r>
        <w:rPr/>
        <w:t>过程控制主要从大气沉降、入渗、地面漫流等途径进行控制。</w:t>
      </w:r>
    </w:p>
    <w:p>
      <w:pPr>
        <w:pStyle w:val="ListParagraph"/>
        <w:numPr>
          <w:ilvl w:val="0"/>
          <w:numId w:val="22"/>
        </w:numPr>
        <w:tabs>
          <w:tab w:pos="1340" w:val="left" w:leader="none"/>
        </w:tabs>
        <w:spacing w:line="240" w:lineRule="auto" w:before="160" w:after="0"/>
        <w:ind w:left="1339" w:right="0" w:hanging="602"/>
        <w:jc w:val="left"/>
        <w:rPr>
          <w:sz w:val="24"/>
        </w:rPr>
      </w:pPr>
      <w:r>
        <w:rPr>
          <w:sz w:val="24"/>
        </w:rPr>
        <w:t>涉及大气沉降途径影响</w:t>
      </w:r>
    </w:p>
    <w:p>
      <w:pPr>
        <w:pStyle w:val="BodyText"/>
        <w:spacing w:line="364" w:lineRule="auto" w:before="158"/>
        <w:ind w:left="258" w:right="214" w:firstLine="480"/>
      </w:pPr>
      <w:r>
        <w:rPr>
          <w:spacing w:val="-3"/>
        </w:rPr>
        <w:t>合理设计废气收集和处理设施，确保废气处理效率和稳定达标排放，减少因大气沉</w:t>
      </w:r>
      <w:r>
        <w:rPr>
          <w:spacing w:val="-16"/>
        </w:rPr>
        <w:t>降带来的土壤污染。占地范围内应采取绿化措施，以种植具有较强吸附能力的植物为主。</w:t>
      </w:r>
    </w:p>
    <w:p>
      <w:pPr>
        <w:pStyle w:val="ListParagraph"/>
        <w:numPr>
          <w:ilvl w:val="0"/>
          <w:numId w:val="22"/>
        </w:numPr>
        <w:tabs>
          <w:tab w:pos="1340" w:val="left" w:leader="none"/>
        </w:tabs>
        <w:spacing w:line="306" w:lineRule="exact" w:before="0" w:after="0"/>
        <w:ind w:left="1339" w:right="0" w:hanging="602"/>
        <w:jc w:val="left"/>
        <w:rPr>
          <w:sz w:val="24"/>
        </w:rPr>
      </w:pPr>
      <w:r>
        <w:rPr>
          <w:sz w:val="24"/>
        </w:rPr>
        <w:t>涉及入渗途径影响</w:t>
      </w:r>
    </w:p>
    <w:p>
      <w:pPr>
        <w:pStyle w:val="BodyText"/>
        <w:spacing w:line="364" w:lineRule="auto" w:before="161"/>
        <w:ind w:left="258" w:right="272" w:firstLine="480"/>
      </w:pPr>
      <w:r>
        <w:rPr/>
        <w:t>根据防渗参照的标准和规范，结合目前施工过程中的可操作性和和技术水平，不同的防渗区域采用在满足防渗标准要求前提下的防渗措施，详见 </w:t>
      </w:r>
      <w:r>
        <w:rPr>
          <w:rFonts w:ascii="Times New Roman" w:eastAsia="Times New Roman"/>
        </w:rPr>
        <w:t>Pg114</w:t>
      </w:r>
      <w:r>
        <w:rPr/>
        <w:t>。</w:t>
      </w:r>
    </w:p>
    <w:p>
      <w:pPr>
        <w:pStyle w:val="ListParagraph"/>
        <w:numPr>
          <w:ilvl w:val="0"/>
          <w:numId w:val="22"/>
        </w:numPr>
        <w:tabs>
          <w:tab w:pos="1340" w:val="left" w:leader="none"/>
        </w:tabs>
        <w:spacing w:line="307" w:lineRule="exact" w:before="0" w:after="0"/>
        <w:ind w:left="1339" w:right="0" w:hanging="602"/>
        <w:jc w:val="left"/>
        <w:rPr>
          <w:sz w:val="24"/>
        </w:rPr>
      </w:pPr>
      <w:r>
        <w:rPr>
          <w:sz w:val="24"/>
        </w:rPr>
        <w:t>涉及地面漫流影响</w:t>
      </w:r>
    </w:p>
    <w:p>
      <w:pPr>
        <w:pStyle w:val="BodyText"/>
        <w:spacing w:line="364" w:lineRule="auto" w:before="158"/>
        <w:ind w:left="258" w:right="212" w:firstLine="480"/>
      </w:pPr>
      <w:r>
        <w:rPr>
          <w:spacing w:val="-8"/>
        </w:rPr>
        <w:t>根据建设项目所在地的地形特点优化地面布局，必要时设置地面硬化、围堰或围墙， </w:t>
      </w:r>
      <w:r>
        <w:rPr/>
        <w:t>以防止土壤环境污染。</w:t>
      </w:r>
    </w:p>
    <w:p>
      <w:pPr>
        <w:pStyle w:val="Heading4"/>
        <w:spacing w:line="306" w:lineRule="exact"/>
        <w:ind w:left="741"/>
      </w:pPr>
      <w:r>
        <w:rPr>
          <w:rFonts w:ascii="Times New Roman" w:eastAsia="Times New Roman"/>
        </w:rPr>
        <w:t>3</w:t>
      </w:r>
      <w:r>
        <w:rPr/>
        <w:t>、跟踪监测</w:t>
      </w:r>
    </w:p>
    <w:p>
      <w:pPr>
        <w:pStyle w:val="BodyText"/>
        <w:spacing w:before="7"/>
        <w:rPr>
          <w:b/>
          <w:sz w:val="23"/>
        </w:rPr>
      </w:pPr>
    </w:p>
    <w:p>
      <w:pPr>
        <w:spacing w:before="0" w:after="29"/>
        <w:ind w:left="0" w:right="2964" w:firstLine="0"/>
        <w:jc w:val="right"/>
        <w:rPr>
          <w:b/>
          <w:sz w:val="24"/>
        </w:rPr>
      </w:pPr>
      <w:r>
        <w:rPr>
          <w:b/>
          <w:spacing w:val="-31"/>
          <w:sz w:val="24"/>
        </w:rPr>
        <w:t>表 </w:t>
      </w:r>
      <w:r>
        <w:rPr>
          <w:rFonts w:ascii="Times New Roman" w:eastAsia="Times New Roman"/>
          <w:b/>
          <w:sz w:val="24"/>
        </w:rPr>
        <w:t>5.6-1</w:t>
      </w:r>
      <w:r>
        <w:rPr>
          <w:rFonts w:ascii="Times New Roman" w:eastAsia="Times New Roman"/>
          <w:b/>
          <w:spacing w:val="56"/>
          <w:sz w:val="24"/>
        </w:rPr>
        <w:t> </w:t>
      </w:r>
      <w:r>
        <w:rPr>
          <w:b/>
          <w:sz w:val="24"/>
        </w:rPr>
        <w:t>项目土壤环境跟踪监测计划</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703"/>
        <w:gridCol w:w="4681"/>
        <w:gridCol w:w="1564"/>
      </w:tblGrid>
      <w:tr>
        <w:trPr>
          <w:trHeight w:val="282" w:hRule="atLeast"/>
        </w:trPr>
        <w:tc>
          <w:tcPr>
            <w:tcW w:w="1138" w:type="dxa"/>
          </w:tcPr>
          <w:p>
            <w:pPr>
              <w:pStyle w:val="TableParagraph"/>
              <w:spacing w:line="255" w:lineRule="exact" w:before="8"/>
              <w:ind w:left="357"/>
              <w:jc w:val="left"/>
              <w:rPr>
                <w:b/>
                <w:sz w:val="21"/>
              </w:rPr>
            </w:pPr>
            <w:r>
              <w:rPr>
                <w:b/>
                <w:sz w:val="21"/>
              </w:rPr>
              <w:t>项目</w:t>
            </w:r>
          </w:p>
        </w:tc>
        <w:tc>
          <w:tcPr>
            <w:tcW w:w="1703" w:type="dxa"/>
          </w:tcPr>
          <w:p>
            <w:pPr>
              <w:pStyle w:val="TableParagraph"/>
              <w:spacing w:line="255" w:lineRule="exact" w:before="8"/>
              <w:ind w:left="386" w:right="377"/>
              <w:rPr>
                <w:b/>
                <w:sz w:val="21"/>
              </w:rPr>
            </w:pPr>
            <w:r>
              <w:rPr>
                <w:b/>
                <w:sz w:val="21"/>
              </w:rPr>
              <w:t>监测因子</w:t>
            </w:r>
          </w:p>
        </w:tc>
        <w:tc>
          <w:tcPr>
            <w:tcW w:w="4681" w:type="dxa"/>
          </w:tcPr>
          <w:p>
            <w:pPr>
              <w:pStyle w:val="TableParagraph"/>
              <w:spacing w:line="255" w:lineRule="exact" w:before="8"/>
              <w:ind w:left="427" w:right="421"/>
              <w:rPr>
                <w:b/>
                <w:sz w:val="21"/>
              </w:rPr>
            </w:pPr>
            <w:r>
              <w:rPr>
                <w:b/>
                <w:sz w:val="21"/>
              </w:rPr>
              <w:t>监测地点（东区）</w:t>
            </w:r>
          </w:p>
        </w:tc>
        <w:tc>
          <w:tcPr>
            <w:tcW w:w="1564" w:type="dxa"/>
          </w:tcPr>
          <w:p>
            <w:pPr>
              <w:pStyle w:val="TableParagraph"/>
              <w:spacing w:line="255" w:lineRule="exact" w:before="8"/>
              <w:ind w:left="338" w:right="331"/>
              <w:rPr>
                <w:b/>
                <w:sz w:val="21"/>
              </w:rPr>
            </w:pPr>
            <w:r>
              <w:rPr>
                <w:b/>
                <w:sz w:val="21"/>
              </w:rPr>
              <w:t>监测频次</w:t>
            </w:r>
          </w:p>
        </w:tc>
      </w:tr>
      <w:tr>
        <w:trPr>
          <w:trHeight w:val="285" w:hRule="atLeast"/>
        </w:trPr>
        <w:tc>
          <w:tcPr>
            <w:tcW w:w="1138" w:type="dxa"/>
          </w:tcPr>
          <w:p>
            <w:pPr>
              <w:pStyle w:val="TableParagraph"/>
              <w:spacing w:line="257" w:lineRule="exact" w:before="8"/>
              <w:ind w:left="357"/>
              <w:jc w:val="left"/>
              <w:rPr>
                <w:sz w:val="21"/>
              </w:rPr>
            </w:pPr>
            <w:r>
              <w:rPr>
                <w:sz w:val="21"/>
              </w:rPr>
              <w:t>土壤</w:t>
            </w:r>
          </w:p>
        </w:tc>
        <w:tc>
          <w:tcPr>
            <w:tcW w:w="1703" w:type="dxa"/>
          </w:tcPr>
          <w:p>
            <w:pPr>
              <w:pStyle w:val="TableParagraph"/>
              <w:spacing w:line="257" w:lineRule="exact" w:before="8"/>
              <w:ind w:left="386" w:right="379"/>
              <w:rPr>
                <w:sz w:val="21"/>
              </w:rPr>
            </w:pPr>
            <w:r>
              <w:rPr>
                <w:rFonts w:ascii="Times New Roman" w:eastAsia="Times New Roman"/>
                <w:sz w:val="21"/>
              </w:rPr>
              <w:t>pH</w:t>
            </w:r>
            <w:r>
              <w:rPr>
                <w:sz w:val="21"/>
              </w:rPr>
              <w:t>、甲酸</w:t>
            </w:r>
          </w:p>
        </w:tc>
        <w:tc>
          <w:tcPr>
            <w:tcW w:w="4681" w:type="dxa"/>
          </w:tcPr>
          <w:p>
            <w:pPr>
              <w:pStyle w:val="TableParagraph"/>
              <w:spacing w:line="257" w:lineRule="exact" w:before="8"/>
              <w:ind w:left="427" w:right="423"/>
              <w:rPr>
                <w:sz w:val="21"/>
              </w:rPr>
            </w:pPr>
            <w:r>
              <w:rPr>
                <w:sz w:val="21"/>
              </w:rPr>
              <w:t>废水处理设施、生产区域、固废暂存场所</w:t>
            </w:r>
          </w:p>
        </w:tc>
        <w:tc>
          <w:tcPr>
            <w:tcW w:w="1564" w:type="dxa"/>
          </w:tcPr>
          <w:p>
            <w:pPr>
              <w:pStyle w:val="TableParagraph"/>
              <w:spacing w:line="257" w:lineRule="exact" w:before="8"/>
              <w:ind w:left="338" w:right="331"/>
              <w:rPr>
                <w:sz w:val="21"/>
              </w:rPr>
            </w:pPr>
            <w:r>
              <w:rPr>
                <w:rFonts w:ascii="Times New Roman" w:eastAsia="Times New Roman"/>
                <w:sz w:val="21"/>
              </w:rPr>
              <w:t>5 </w:t>
            </w:r>
            <w:r>
              <w:rPr>
                <w:sz w:val="21"/>
              </w:rPr>
              <w:t>年</w:t>
            </w:r>
            <w:r>
              <w:rPr>
                <w:rFonts w:ascii="Times New Roman" w:eastAsia="Times New Roman"/>
                <w:sz w:val="21"/>
              </w:rPr>
              <w:t>/</w:t>
            </w:r>
            <w:r>
              <w:rPr>
                <w:sz w:val="21"/>
              </w:rPr>
              <w:t>次</w:t>
            </w:r>
          </w:p>
        </w:tc>
      </w:tr>
    </w:tbl>
    <w:p>
      <w:pPr>
        <w:pStyle w:val="ListParagraph"/>
        <w:numPr>
          <w:ilvl w:val="1"/>
          <w:numId w:val="13"/>
        </w:numPr>
        <w:tabs>
          <w:tab w:pos="821" w:val="left" w:leader="none"/>
        </w:tabs>
        <w:spacing w:line="240" w:lineRule="auto" w:before="4" w:after="0"/>
        <w:ind w:left="820" w:right="0" w:hanging="421"/>
        <w:jc w:val="left"/>
        <w:rPr>
          <w:b/>
          <w:sz w:val="28"/>
        </w:rPr>
      </w:pPr>
      <w:bookmarkStart w:name="_bookmark38" w:id="77"/>
      <w:bookmarkEnd w:id="77"/>
      <w:r>
        <w:rPr/>
      </w:r>
      <w:bookmarkStart w:name="_bookmark38" w:id="78"/>
      <w:bookmarkEnd w:id="78"/>
      <w:r>
        <w:rPr>
          <w:b/>
          <w:sz w:val="28"/>
        </w:rPr>
        <w:t>环保投资估算及污染治理措施运行费用估算</w:t>
      </w:r>
    </w:p>
    <w:p>
      <w:pPr>
        <w:pStyle w:val="ListParagraph"/>
        <w:numPr>
          <w:ilvl w:val="2"/>
          <w:numId w:val="13"/>
        </w:numPr>
        <w:tabs>
          <w:tab w:pos="1039" w:val="left" w:leader="none"/>
        </w:tabs>
        <w:spacing w:line="240" w:lineRule="auto" w:before="185" w:after="0"/>
        <w:ind w:left="1038" w:right="0" w:hanging="541"/>
        <w:jc w:val="left"/>
        <w:rPr>
          <w:b/>
          <w:sz w:val="24"/>
        </w:rPr>
      </w:pPr>
      <w:r>
        <w:rPr>
          <w:b/>
          <w:sz w:val="24"/>
        </w:rPr>
        <w:t>环保投资估算</w:t>
      </w:r>
    </w:p>
    <w:p>
      <w:pPr>
        <w:pStyle w:val="BodyText"/>
        <w:spacing w:before="160"/>
        <w:ind w:right="2922"/>
        <w:jc w:val="right"/>
      </w:pPr>
      <w:r>
        <w:rPr/>
        <w:t>根据本项目采用的污染治理措施，环保投资估算见下表。</w:t>
      </w:r>
    </w:p>
    <w:p>
      <w:pPr>
        <w:pStyle w:val="BodyText"/>
        <w:spacing w:before="5"/>
        <w:rPr>
          <w:sz w:val="23"/>
        </w:rPr>
      </w:pPr>
    </w:p>
    <w:p>
      <w:pPr>
        <w:pStyle w:val="Heading4"/>
        <w:tabs>
          <w:tab w:pos="1041" w:val="left" w:leader="none"/>
        </w:tabs>
        <w:spacing w:after="29"/>
        <w:ind w:left="0" w:right="76"/>
        <w:jc w:val="center"/>
      </w:pPr>
      <w:r>
        <w:rPr/>
        <w:t>表</w:t>
      </w:r>
      <w:r>
        <w:rPr>
          <w:spacing w:val="-60"/>
        </w:rPr>
        <w:t> </w:t>
      </w:r>
      <w:r>
        <w:rPr>
          <w:rFonts w:ascii="Times New Roman" w:eastAsia="Times New Roman"/>
        </w:rPr>
        <w:t>5.7-1</w:t>
        <w:tab/>
      </w:r>
      <w:r>
        <w:rPr/>
        <w:t>项目环保投资估算</w:t>
      </w:r>
    </w:p>
    <w:tbl>
      <w:tblPr>
        <w:tblW w:w="0" w:type="auto"/>
        <w:jc w:val="left"/>
        <w:tblInd w:w="2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02"/>
        <w:gridCol w:w="1536"/>
        <w:gridCol w:w="3915"/>
        <w:gridCol w:w="1788"/>
        <w:gridCol w:w="986"/>
      </w:tblGrid>
      <w:tr>
        <w:trPr>
          <w:trHeight w:val="285" w:hRule="atLeast"/>
        </w:trPr>
        <w:tc>
          <w:tcPr>
            <w:tcW w:w="902" w:type="dxa"/>
          </w:tcPr>
          <w:p>
            <w:pPr>
              <w:pStyle w:val="TableParagraph"/>
              <w:spacing w:line="257" w:lineRule="exact" w:before="8"/>
              <w:ind w:left="239"/>
              <w:jc w:val="left"/>
              <w:rPr>
                <w:b/>
                <w:sz w:val="21"/>
              </w:rPr>
            </w:pPr>
            <w:r>
              <w:rPr>
                <w:b/>
                <w:sz w:val="21"/>
              </w:rPr>
              <w:t>来源</w:t>
            </w:r>
          </w:p>
        </w:tc>
        <w:tc>
          <w:tcPr>
            <w:tcW w:w="1536" w:type="dxa"/>
          </w:tcPr>
          <w:p>
            <w:pPr>
              <w:pStyle w:val="TableParagraph"/>
              <w:spacing w:line="257" w:lineRule="exact" w:before="8"/>
              <w:ind w:left="13" w:right="8"/>
              <w:rPr>
                <w:b/>
                <w:sz w:val="21"/>
              </w:rPr>
            </w:pPr>
            <w:r>
              <w:rPr>
                <w:b/>
                <w:sz w:val="21"/>
              </w:rPr>
              <w:t>污染因子</w:t>
            </w:r>
          </w:p>
        </w:tc>
        <w:tc>
          <w:tcPr>
            <w:tcW w:w="3915" w:type="dxa"/>
          </w:tcPr>
          <w:p>
            <w:pPr>
              <w:pStyle w:val="TableParagraph"/>
              <w:spacing w:line="257" w:lineRule="exact" w:before="8"/>
              <w:ind w:left="65" w:right="57"/>
              <w:rPr>
                <w:b/>
                <w:sz w:val="21"/>
              </w:rPr>
            </w:pPr>
            <w:r>
              <w:rPr>
                <w:b/>
                <w:sz w:val="21"/>
              </w:rPr>
              <w:t>环保设施</w:t>
            </w:r>
          </w:p>
        </w:tc>
        <w:tc>
          <w:tcPr>
            <w:tcW w:w="1788" w:type="dxa"/>
          </w:tcPr>
          <w:p>
            <w:pPr>
              <w:pStyle w:val="TableParagraph"/>
              <w:spacing w:line="257" w:lineRule="exact" w:before="8"/>
              <w:ind w:left="19" w:right="16"/>
              <w:rPr>
                <w:b/>
                <w:sz w:val="21"/>
              </w:rPr>
            </w:pPr>
            <w:r>
              <w:rPr>
                <w:b/>
                <w:sz w:val="21"/>
              </w:rPr>
              <w:t>位置</w:t>
            </w:r>
          </w:p>
        </w:tc>
        <w:tc>
          <w:tcPr>
            <w:tcW w:w="986" w:type="dxa"/>
          </w:tcPr>
          <w:p>
            <w:pPr>
              <w:pStyle w:val="TableParagraph"/>
              <w:spacing w:line="257" w:lineRule="exact" w:before="8"/>
              <w:ind w:left="70"/>
              <w:jc w:val="left"/>
              <w:rPr>
                <w:b/>
                <w:sz w:val="21"/>
              </w:rPr>
            </w:pPr>
            <w:r>
              <w:rPr>
                <w:b/>
                <w:sz w:val="21"/>
              </w:rPr>
              <w:t>环保投资</w:t>
            </w:r>
          </w:p>
        </w:tc>
      </w:tr>
      <w:tr>
        <w:trPr>
          <w:trHeight w:val="282" w:hRule="atLeast"/>
        </w:trPr>
        <w:tc>
          <w:tcPr>
            <w:tcW w:w="902" w:type="dxa"/>
            <w:vMerge w:val="restart"/>
          </w:tcPr>
          <w:p>
            <w:pPr>
              <w:pStyle w:val="TableParagraph"/>
              <w:spacing w:line="242" w:lineRule="auto" w:before="159"/>
              <w:ind w:left="239" w:right="232"/>
              <w:jc w:val="left"/>
              <w:rPr>
                <w:sz w:val="21"/>
              </w:rPr>
            </w:pPr>
            <w:r>
              <w:rPr>
                <w:sz w:val="21"/>
              </w:rPr>
              <w:t>废气治理</w:t>
            </w:r>
          </w:p>
        </w:tc>
        <w:tc>
          <w:tcPr>
            <w:tcW w:w="1536" w:type="dxa"/>
          </w:tcPr>
          <w:p>
            <w:pPr>
              <w:pStyle w:val="TableParagraph"/>
              <w:spacing w:line="257" w:lineRule="exact" w:before="6"/>
              <w:ind w:left="11" w:right="8"/>
              <w:rPr>
                <w:sz w:val="21"/>
              </w:rPr>
            </w:pPr>
            <w:r>
              <w:rPr>
                <w:sz w:val="21"/>
              </w:rPr>
              <w:t>甲酸废气</w:t>
            </w:r>
          </w:p>
        </w:tc>
        <w:tc>
          <w:tcPr>
            <w:tcW w:w="3915" w:type="dxa"/>
          </w:tcPr>
          <w:p>
            <w:pPr>
              <w:pStyle w:val="TableParagraph"/>
              <w:spacing w:line="257" w:lineRule="exact" w:before="6"/>
              <w:ind w:left="63" w:right="57"/>
              <w:rPr>
                <w:sz w:val="21"/>
              </w:rPr>
            </w:pPr>
            <w:r>
              <w:rPr>
                <w:sz w:val="21"/>
              </w:rPr>
              <w:t>冷凝</w:t>
            </w:r>
            <w:r>
              <w:rPr>
                <w:rFonts w:ascii="Times New Roman" w:eastAsia="Times New Roman"/>
                <w:sz w:val="21"/>
              </w:rPr>
              <w:t>+</w:t>
            </w:r>
            <w:r>
              <w:rPr>
                <w:sz w:val="21"/>
              </w:rPr>
              <w:t>废气集中处理装置</w:t>
            </w:r>
          </w:p>
        </w:tc>
        <w:tc>
          <w:tcPr>
            <w:tcW w:w="1788" w:type="dxa"/>
          </w:tcPr>
          <w:p>
            <w:pPr>
              <w:pStyle w:val="TableParagraph"/>
              <w:spacing w:line="257" w:lineRule="exact" w:before="6"/>
              <w:ind w:left="24" w:right="16"/>
              <w:rPr>
                <w:sz w:val="21"/>
              </w:rPr>
            </w:pPr>
            <w:r>
              <w:rPr>
                <w:sz w:val="21"/>
              </w:rPr>
              <w:t>车间一</w:t>
            </w:r>
          </w:p>
        </w:tc>
        <w:tc>
          <w:tcPr>
            <w:tcW w:w="986" w:type="dxa"/>
            <w:vMerge w:val="restart"/>
          </w:tcPr>
          <w:p>
            <w:pPr>
              <w:pStyle w:val="TableParagraph"/>
              <w:spacing w:before="1"/>
              <w:jc w:val="left"/>
              <w:rPr>
                <w:b/>
                <w:sz w:val="23"/>
              </w:rPr>
            </w:pPr>
          </w:p>
          <w:p>
            <w:pPr>
              <w:pStyle w:val="TableParagraph"/>
              <w:ind w:left="99"/>
              <w:jc w:val="left"/>
              <w:rPr>
                <w:sz w:val="21"/>
              </w:rPr>
            </w:pPr>
            <w:r>
              <w:rPr>
                <w:rFonts w:ascii="Times New Roman" w:eastAsia="Times New Roman"/>
                <w:sz w:val="21"/>
              </w:rPr>
              <w:t>150 </w:t>
            </w:r>
            <w:r>
              <w:rPr>
                <w:sz w:val="21"/>
              </w:rPr>
              <w:t>万元</w:t>
            </w:r>
          </w:p>
        </w:tc>
      </w:tr>
      <w:tr>
        <w:trPr>
          <w:trHeight w:val="283" w:hRule="atLeast"/>
        </w:trPr>
        <w:tc>
          <w:tcPr>
            <w:tcW w:w="902" w:type="dxa"/>
            <w:vMerge/>
            <w:tcBorders>
              <w:top w:val="nil"/>
            </w:tcBorders>
          </w:tcPr>
          <w:p>
            <w:pPr>
              <w:rPr>
                <w:sz w:val="2"/>
                <w:szCs w:val="2"/>
              </w:rPr>
            </w:pPr>
          </w:p>
        </w:tc>
        <w:tc>
          <w:tcPr>
            <w:tcW w:w="1536" w:type="dxa"/>
          </w:tcPr>
          <w:p>
            <w:pPr>
              <w:pStyle w:val="TableParagraph"/>
              <w:spacing w:line="255" w:lineRule="exact" w:before="8"/>
              <w:ind w:left="11" w:right="8"/>
              <w:rPr>
                <w:sz w:val="21"/>
              </w:rPr>
            </w:pPr>
            <w:r>
              <w:rPr>
                <w:sz w:val="21"/>
              </w:rPr>
              <w:t>甲酸储罐</w:t>
            </w:r>
          </w:p>
        </w:tc>
        <w:tc>
          <w:tcPr>
            <w:tcW w:w="3915" w:type="dxa"/>
          </w:tcPr>
          <w:p>
            <w:pPr>
              <w:pStyle w:val="TableParagraph"/>
              <w:spacing w:line="255" w:lineRule="exact" w:before="8"/>
              <w:ind w:left="63" w:right="57"/>
              <w:rPr>
                <w:sz w:val="21"/>
              </w:rPr>
            </w:pPr>
            <w:r>
              <w:rPr>
                <w:sz w:val="21"/>
              </w:rPr>
              <w:t>呼吸阀</w:t>
            </w:r>
            <w:r>
              <w:rPr>
                <w:rFonts w:ascii="Times New Roman" w:eastAsia="Times New Roman"/>
                <w:sz w:val="21"/>
              </w:rPr>
              <w:t>+</w:t>
            </w:r>
            <w:r>
              <w:rPr>
                <w:sz w:val="21"/>
              </w:rPr>
              <w:t>碱水水封</w:t>
            </w:r>
          </w:p>
        </w:tc>
        <w:tc>
          <w:tcPr>
            <w:tcW w:w="1788" w:type="dxa"/>
          </w:tcPr>
          <w:p>
            <w:pPr>
              <w:pStyle w:val="TableParagraph"/>
              <w:spacing w:line="255" w:lineRule="exact" w:before="8"/>
              <w:ind w:left="24" w:right="16"/>
              <w:rPr>
                <w:sz w:val="21"/>
              </w:rPr>
            </w:pPr>
            <w:r>
              <w:rPr>
                <w:sz w:val="21"/>
              </w:rPr>
              <w:t>储罐区</w:t>
            </w:r>
          </w:p>
        </w:tc>
        <w:tc>
          <w:tcPr>
            <w:tcW w:w="986" w:type="dxa"/>
            <w:vMerge/>
            <w:tcBorders>
              <w:top w:val="nil"/>
            </w:tcBorders>
          </w:tcPr>
          <w:p>
            <w:pPr>
              <w:rPr>
                <w:sz w:val="2"/>
                <w:szCs w:val="2"/>
              </w:rPr>
            </w:pPr>
          </w:p>
        </w:tc>
      </w:tr>
      <w:tr>
        <w:trPr>
          <w:trHeight w:val="285" w:hRule="atLeast"/>
        </w:trPr>
        <w:tc>
          <w:tcPr>
            <w:tcW w:w="902" w:type="dxa"/>
            <w:vMerge/>
            <w:tcBorders>
              <w:top w:val="nil"/>
            </w:tcBorders>
          </w:tcPr>
          <w:p>
            <w:pPr>
              <w:rPr>
                <w:sz w:val="2"/>
                <w:szCs w:val="2"/>
              </w:rPr>
            </w:pPr>
          </w:p>
        </w:tc>
        <w:tc>
          <w:tcPr>
            <w:tcW w:w="1536" w:type="dxa"/>
          </w:tcPr>
          <w:p>
            <w:pPr>
              <w:pStyle w:val="TableParagraph"/>
              <w:spacing w:line="257" w:lineRule="exact" w:before="8"/>
              <w:ind w:left="13" w:right="8"/>
              <w:rPr>
                <w:sz w:val="21"/>
              </w:rPr>
            </w:pPr>
            <w:r>
              <w:rPr>
                <w:sz w:val="21"/>
              </w:rPr>
              <w:t>粉尘</w:t>
            </w:r>
          </w:p>
        </w:tc>
        <w:tc>
          <w:tcPr>
            <w:tcW w:w="3915" w:type="dxa"/>
          </w:tcPr>
          <w:p>
            <w:pPr>
              <w:pStyle w:val="TableParagraph"/>
              <w:spacing w:line="257" w:lineRule="exact" w:before="8"/>
              <w:ind w:left="63" w:right="57"/>
              <w:rPr>
                <w:sz w:val="21"/>
              </w:rPr>
            </w:pPr>
            <w:r>
              <w:rPr>
                <w:sz w:val="21"/>
              </w:rPr>
              <w:t>覆膜布袋除尘器</w:t>
            </w:r>
            <w:r>
              <w:rPr>
                <w:rFonts w:ascii="Times New Roman" w:eastAsia="Times New Roman"/>
                <w:sz w:val="21"/>
              </w:rPr>
              <w:t>+</w:t>
            </w:r>
            <w:r>
              <w:rPr>
                <w:sz w:val="21"/>
              </w:rPr>
              <w:t>废气集中处理装置</w:t>
            </w:r>
          </w:p>
        </w:tc>
        <w:tc>
          <w:tcPr>
            <w:tcW w:w="1788" w:type="dxa"/>
          </w:tcPr>
          <w:p>
            <w:pPr>
              <w:pStyle w:val="TableParagraph"/>
              <w:spacing w:line="257" w:lineRule="exact" w:before="8"/>
              <w:ind w:left="24" w:right="16"/>
              <w:rPr>
                <w:sz w:val="21"/>
              </w:rPr>
            </w:pPr>
            <w:r>
              <w:rPr>
                <w:sz w:val="21"/>
              </w:rPr>
              <w:t>车间一</w:t>
            </w:r>
          </w:p>
        </w:tc>
        <w:tc>
          <w:tcPr>
            <w:tcW w:w="986" w:type="dxa"/>
            <w:vMerge/>
            <w:tcBorders>
              <w:top w:val="nil"/>
            </w:tcBorders>
          </w:tcPr>
          <w:p>
            <w:pPr>
              <w:rPr>
                <w:sz w:val="2"/>
                <w:szCs w:val="2"/>
              </w:rPr>
            </w:pPr>
          </w:p>
        </w:tc>
      </w:tr>
    </w:tbl>
    <w:p>
      <w:pPr>
        <w:spacing w:after="0"/>
        <w:rPr>
          <w:sz w:val="2"/>
          <w:szCs w:val="2"/>
        </w:rPr>
        <w:sectPr>
          <w:pgSz w:w="11910" w:h="16850"/>
          <w:pgMar w:header="730" w:footer="673" w:top="980" w:bottom="860" w:left="1160" w:right="1080"/>
        </w:sectPr>
      </w:pPr>
    </w:p>
    <w:p>
      <w:pPr>
        <w:pStyle w:val="BodyText"/>
        <w:rPr>
          <w:b/>
          <w:sz w:val="20"/>
        </w:rPr>
      </w:pPr>
    </w:p>
    <w:p>
      <w:pPr>
        <w:pStyle w:val="BodyText"/>
        <w:spacing w:before="6"/>
        <w:rPr>
          <w:b/>
          <w:sz w:val="13"/>
        </w:rPr>
      </w:pPr>
    </w:p>
    <w:tbl>
      <w:tblPr>
        <w:tblW w:w="0" w:type="auto"/>
        <w:jc w:val="left"/>
        <w:tblInd w:w="2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02"/>
        <w:gridCol w:w="1536"/>
        <w:gridCol w:w="3915"/>
        <w:gridCol w:w="1788"/>
        <w:gridCol w:w="986"/>
      </w:tblGrid>
      <w:tr>
        <w:trPr>
          <w:trHeight w:val="283" w:hRule="atLeast"/>
        </w:trPr>
        <w:tc>
          <w:tcPr>
            <w:tcW w:w="902" w:type="dxa"/>
          </w:tcPr>
          <w:p>
            <w:pPr>
              <w:pStyle w:val="TableParagraph"/>
              <w:spacing w:line="258" w:lineRule="exact" w:before="6"/>
              <w:ind w:left="239"/>
              <w:jc w:val="left"/>
              <w:rPr>
                <w:b/>
                <w:sz w:val="21"/>
              </w:rPr>
            </w:pPr>
            <w:r>
              <w:rPr>
                <w:b/>
                <w:sz w:val="21"/>
              </w:rPr>
              <w:t>来源</w:t>
            </w:r>
          </w:p>
        </w:tc>
        <w:tc>
          <w:tcPr>
            <w:tcW w:w="1536" w:type="dxa"/>
          </w:tcPr>
          <w:p>
            <w:pPr>
              <w:pStyle w:val="TableParagraph"/>
              <w:spacing w:line="258" w:lineRule="exact" w:before="6"/>
              <w:ind w:left="13" w:right="8"/>
              <w:rPr>
                <w:b/>
                <w:sz w:val="21"/>
              </w:rPr>
            </w:pPr>
            <w:r>
              <w:rPr>
                <w:b/>
                <w:sz w:val="21"/>
              </w:rPr>
              <w:t>污染因子</w:t>
            </w:r>
          </w:p>
        </w:tc>
        <w:tc>
          <w:tcPr>
            <w:tcW w:w="3915" w:type="dxa"/>
          </w:tcPr>
          <w:p>
            <w:pPr>
              <w:pStyle w:val="TableParagraph"/>
              <w:spacing w:line="258" w:lineRule="exact" w:before="6"/>
              <w:ind w:left="65" w:right="57"/>
              <w:rPr>
                <w:b/>
                <w:sz w:val="21"/>
              </w:rPr>
            </w:pPr>
            <w:r>
              <w:rPr>
                <w:b/>
                <w:sz w:val="21"/>
              </w:rPr>
              <w:t>环保设施</w:t>
            </w:r>
          </w:p>
        </w:tc>
        <w:tc>
          <w:tcPr>
            <w:tcW w:w="1788" w:type="dxa"/>
          </w:tcPr>
          <w:p>
            <w:pPr>
              <w:pStyle w:val="TableParagraph"/>
              <w:spacing w:line="258" w:lineRule="exact" w:before="6"/>
              <w:ind w:left="19" w:right="16"/>
              <w:rPr>
                <w:b/>
                <w:sz w:val="21"/>
              </w:rPr>
            </w:pPr>
            <w:r>
              <w:rPr>
                <w:b/>
                <w:sz w:val="21"/>
              </w:rPr>
              <w:t>位置</w:t>
            </w:r>
          </w:p>
        </w:tc>
        <w:tc>
          <w:tcPr>
            <w:tcW w:w="986" w:type="dxa"/>
          </w:tcPr>
          <w:p>
            <w:pPr>
              <w:pStyle w:val="TableParagraph"/>
              <w:spacing w:line="258" w:lineRule="exact" w:before="6"/>
              <w:ind w:left="5"/>
              <w:rPr>
                <w:b/>
                <w:sz w:val="21"/>
              </w:rPr>
            </w:pPr>
            <w:r>
              <w:rPr>
                <w:b/>
                <w:sz w:val="21"/>
              </w:rPr>
              <w:t>环保投资</w:t>
            </w:r>
          </w:p>
        </w:tc>
      </w:tr>
      <w:tr>
        <w:trPr>
          <w:trHeight w:val="544" w:hRule="atLeast"/>
        </w:trPr>
        <w:tc>
          <w:tcPr>
            <w:tcW w:w="902" w:type="dxa"/>
            <w:vMerge w:val="restart"/>
          </w:tcPr>
          <w:p>
            <w:pPr>
              <w:pStyle w:val="TableParagraph"/>
              <w:jc w:val="left"/>
              <w:rPr>
                <w:rFonts w:ascii="Times New Roman"/>
                <w:sz w:val="22"/>
              </w:rPr>
            </w:pPr>
          </w:p>
        </w:tc>
        <w:tc>
          <w:tcPr>
            <w:tcW w:w="1536" w:type="dxa"/>
          </w:tcPr>
          <w:p>
            <w:pPr>
              <w:pStyle w:val="TableParagraph"/>
              <w:spacing w:before="1"/>
              <w:ind w:left="13" w:right="8"/>
              <w:rPr>
                <w:sz w:val="21"/>
              </w:rPr>
            </w:pPr>
            <w:r>
              <w:rPr>
                <w:sz w:val="21"/>
              </w:rPr>
              <w:t>污水站废气、固</w:t>
            </w:r>
          </w:p>
          <w:p>
            <w:pPr>
              <w:pStyle w:val="TableParagraph"/>
              <w:spacing w:line="250" w:lineRule="exact" w:before="4"/>
              <w:ind w:left="11" w:right="8"/>
              <w:rPr>
                <w:sz w:val="21"/>
              </w:rPr>
            </w:pPr>
            <w:r>
              <w:rPr>
                <w:sz w:val="21"/>
              </w:rPr>
              <w:t>废暂存废气</w:t>
            </w:r>
          </w:p>
        </w:tc>
        <w:tc>
          <w:tcPr>
            <w:tcW w:w="3915" w:type="dxa"/>
          </w:tcPr>
          <w:p>
            <w:pPr>
              <w:pStyle w:val="TableParagraph"/>
              <w:spacing w:before="138"/>
              <w:ind w:left="65" w:right="57"/>
              <w:rPr>
                <w:sz w:val="21"/>
              </w:rPr>
            </w:pPr>
            <w:r>
              <w:rPr>
                <w:sz w:val="21"/>
              </w:rPr>
              <w:t>一级次钠</w:t>
            </w:r>
            <w:r>
              <w:rPr>
                <w:rFonts w:ascii="Times New Roman" w:eastAsia="Times New Roman"/>
                <w:sz w:val="21"/>
              </w:rPr>
              <w:t>+</w:t>
            </w:r>
            <w:r>
              <w:rPr>
                <w:sz w:val="21"/>
              </w:rPr>
              <w:t>一级碱喷淋</w:t>
            </w:r>
          </w:p>
        </w:tc>
        <w:tc>
          <w:tcPr>
            <w:tcW w:w="1788" w:type="dxa"/>
          </w:tcPr>
          <w:p>
            <w:pPr>
              <w:pStyle w:val="TableParagraph"/>
              <w:spacing w:before="138"/>
              <w:ind w:left="24" w:right="16"/>
              <w:rPr>
                <w:sz w:val="21"/>
              </w:rPr>
            </w:pPr>
            <w:r>
              <w:rPr>
                <w:sz w:val="21"/>
              </w:rPr>
              <w:t>污水站</w:t>
            </w:r>
          </w:p>
        </w:tc>
        <w:tc>
          <w:tcPr>
            <w:tcW w:w="986" w:type="dxa"/>
            <w:vMerge w:val="restart"/>
          </w:tcPr>
          <w:p>
            <w:pPr>
              <w:pStyle w:val="TableParagraph"/>
              <w:jc w:val="left"/>
              <w:rPr>
                <w:rFonts w:ascii="Times New Roman"/>
                <w:sz w:val="22"/>
              </w:rPr>
            </w:pPr>
          </w:p>
        </w:tc>
      </w:tr>
      <w:tr>
        <w:trPr>
          <w:trHeight w:val="285" w:hRule="atLeast"/>
        </w:trPr>
        <w:tc>
          <w:tcPr>
            <w:tcW w:w="902" w:type="dxa"/>
            <w:vMerge/>
            <w:tcBorders>
              <w:top w:val="nil"/>
            </w:tcBorders>
          </w:tcPr>
          <w:p>
            <w:pPr>
              <w:rPr>
                <w:sz w:val="2"/>
                <w:szCs w:val="2"/>
              </w:rPr>
            </w:pPr>
          </w:p>
        </w:tc>
        <w:tc>
          <w:tcPr>
            <w:tcW w:w="1536" w:type="dxa"/>
          </w:tcPr>
          <w:p>
            <w:pPr>
              <w:pStyle w:val="TableParagraph"/>
              <w:spacing w:line="257" w:lineRule="exact" w:before="8"/>
              <w:ind w:left="11" w:right="8"/>
              <w:rPr>
                <w:sz w:val="21"/>
              </w:rPr>
            </w:pPr>
            <w:r>
              <w:rPr>
                <w:sz w:val="21"/>
              </w:rPr>
              <w:t>各类废气</w:t>
            </w:r>
          </w:p>
        </w:tc>
        <w:tc>
          <w:tcPr>
            <w:tcW w:w="3915" w:type="dxa"/>
          </w:tcPr>
          <w:p>
            <w:pPr>
              <w:pStyle w:val="TableParagraph"/>
              <w:spacing w:line="257" w:lineRule="exact" w:before="8"/>
              <w:ind w:left="65" w:right="57"/>
              <w:rPr>
                <w:sz w:val="21"/>
              </w:rPr>
            </w:pPr>
            <w:r>
              <w:rPr>
                <w:sz w:val="21"/>
              </w:rPr>
              <w:t>废气收集系统</w:t>
            </w:r>
          </w:p>
        </w:tc>
        <w:tc>
          <w:tcPr>
            <w:tcW w:w="1788" w:type="dxa"/>
          </w:tcPr>
          <w:p>
            <w:pPr>
              <w:pStyle w:val="TableParagraph"/>
              <w:spacing w:line="257" w:lineRule="exact" w:before="8"/>
              <w:ind w:left="24" w:right="16"/>
              <w:rPr>
                <w:sz w:val="21"/>
              </w:rPr>
            </w:pPr>
            <w:r>
              <w:rPr>
                <w:sz w:val="21"/>
              </w:rPr>
              <w:t>各废气产生点位</w:t>
            </w:r>
          </w:p>
        </w:tc>
        <w:tc>
          <w:tcPr>
            <w:tcW w:w="986" w:type="dxa"/>
            <w:vMerge/>
            <w:tcBorders>
              <w:top w:val="nil"/>
            </w:tcBorders>
          </w:tcPr>
          <w:p>
            <w:pPr>
              <w:rPr>
                <w:sz w:val="2"/>
                <w:szCs w:val="2"/>
              </w:rPr>
            </w:pPr>
          </w:p>
        </w:tc>
      </w:tr>
      <w:tr>
        <w:trPr>
          <w:trHeight w:val="282" w:hRule="atLeast"/>
        </w:trPr>
        <w:tc>
          <w:tcPr>
            <w:tcW w:w="902" w:type="dxa"/>
            <w:vMerge w:val="restart"/>
          </w:tcPr>
          <w:p>
            <w:pPr>
              <w:pStyle w:val="TableParagraph"/>
              <w:spacing w:before="7"/>
              <w:jc w:val="left"/>
              <w:rPr>
                <w:b/>
                <w:sz w:val="22"/>
              </w:rPr>
            </w:pPr>
          </w:p>
          <w:p>
            <w:pPr>
              <w:pStyle w:val="TableParagraph"/>
              <w:spacing w:line="244" w:lineRule="auto"/>
              <w:ind w:left="239" w:right="232"/>
              <w:jc w:val="left"/>
              <w:rPr>
                <w:sz w:val="21"/>
              </w:rPr>
            </w:pPr>
            <w:r>
              <w:rPr>
                <w:sz w:val="21"/>
              </w:rPr>
              <w:t>废水治理</w:t>
            </w:r>
          </w:p>
        </w:tc>
        <w:tc>
          <w:tcPr>
            <w:tcW w:w="1536" w:type="dxa"/>
          </w:tcPr>
          <w:p>
            <w:pPr>
              <w:pStyle w:val="TableParagraph"/>
              <w:spacing w:line="257" w:lineRule="exact" w:before="6"/>
              <w:ind w:left="11" w:right="8"/>
              <w:rPr>
                <w:sz w:val="21"/>
              </w:rPr>
            </w:pPr>
            <w:r>
              <w:rPr>
                <w:sz w:val="21"/>
              </w:rPr>
              <w:t>收集系统</w:t>
            </w:r>
          </w:p>
        </w:tc>
        <w:tc>
          <w:tcPr>
            <w:tcW w:w="3915" w:type="dxa"/>
          </w:tcPr>
          <w:p>
            <w:pPr>
              <w:pStyle w:val="TableParagraph"/>
              <w:spacing w:line="257" w:lineRule="exact" w:before="6"/>
              <w:ind w:left="65" w:right="57"/>
              <w:rPr>
                <w:sz w:val="21"/>
              </w:rPr>
            </w:pPr>
            <w:r>
              <w:rPr>
                <w:sz w:val="21"/>
              </w:rPr>
              <w:t>清污分流、雨污分流改造</w:t>
            </w:r>
          </w:p>
        </w:tc>
        <w:tc>
          <w:tcPr>
            <w:tcW w:w="1788" w:type="dxa"/>
          </w:tcPr>
          <w:p>
            <w:pPr>
              <w:pStyle w:val="TableParagraph"/>
              <w:spacing w:line="257" w:lineRule="exact" w:before="6"/>
              <w:ind w:left="24" w:right="16"/>
              <w:rPr>
                <w:sz w:val="21"/>
              </w:rPr>
            </w:pPr>
            <w:r>
              <w:rPr>
                <w:sz w:val="21"/>
              </w:rPr>
              <w:t>全厂</w:t>
            </w:r>
          </w:p>
        </w:tc>
        <w:tc>
          <w:tcPr>
            <w:tcW w:w="986" w:type="dxa"/>
          </w:tcPr>
          <w:p>
            <w:pPr>
              <w:pStyle w:val="TableParagraph"/>
              <w:spacing w:line="257" w:lineRule="exact" w:before="6"/>
              <w:ind w:left="5"/>
              <w:rPr>
                <w:sz w:val="21"/>
              </w:rPr>
            </w:pPr>
            <w:r>
              <w:rPr>
                <w:rFonts w:ascii="Times New Roman" w:eastAsia="Times New Roman"/>
                <w:sz w:val="21"/>
              </w:rPr>
              <w:t>150 </w:t>
            </w:r>
            <w:r>
              <w:rPr>
                <w:sz w:val="21"/>
              </w:rPr>
              <w:t>万元</w:t>
            </w:r>
          </w:p>
        </w:tc>
      </w:tr>
      <w:tr>
        <w:trPr>
          <w:trHeight w:val="544" w:hRule="atLeast"/>
        </w:trPr>
        <w:tc>
          <w:tcPr>
            <w:tcW w:w="902" w:type="dxa"/>
            <w:vMerge/>
            <w:tcBorders>
              <w:top w:val="nil"/>
            </w:tcBorders>
          </w:tcPr>
          <w:p>
            <w:pPr>
              <w:rPr>
                <w:sz w:val="2"/>
                <w:szCs w:val="2"/>
              </w:rPr>
            </w:pPr>
          </w:p>
        </w:tc>
        <w:tc>
          <w:tcPr>
            <w:tcW w:w="1536" w:type="dxa"/>
          </w:tcPr>
          <w:p>
            <w:pPr>
              <w:pStyle w:val="TableParagraph"/>
              <w:spacing w:before="138"/>
              <w:ind w:left="8" w:right="8"/>
              <w:rPr>
                <w:sz w:val="21"/>
              </w:rPr>
            </w:pPr>
            <w:r>
              <w:rPr>
                <w:sz w:val="21"/>
              </w:rPr>
              <w:t>车间废水</w:t>
            </w:r>
          </w:p>
        </w:tc>
        <w:tc>
          <w:tcPr>
            <w:tcW w:w="3915" w:type="dxa"/>
          </w:tcPr>
          <w:p>
            <w:pPr>
              <w:pStyle w:val="TableParagraph"/>
              <w:spacing w:before="138"/>
              <w:ind w:left="63" w:right="57"/>
              <w:rPr>
                <w:sz w:val="21"/>
              </w:rPr>
            </w:pPr>
            <w:r>
              <w:rPr>
                <w:sz w:val="21"/>
              </w:rPr>
              <w:t>废水收集系统</w:t>
            </w:r>
            <w:r>
              <w:rPr>
                <w:rFonts w:ascii="Times New Roman" w:eastAsia="Times New Roman"/>
                <w:sz w:val="21"/>
              </w:rPr>
              <w:t>+</w:t>
            </w:r>
            <w:r>
              <w:rPr>
                <w:sz w:val="21"/>
              </w:rPr>
              <w:t>预处理设施</w:t>
            </w:r>
          </w:p>
        </w:tc>
        <w:tc>
          <w:tcPr>
            <w:tcW w:w="1788" w:type="dxa"/>
          </w:tcPr>
          <w:p>
            <w:pPr>
              <w:pStyle w:val="TableParagraph"/>
              <w:spacing w:before="1"/>
              <w:ind w:left="22" w:right="16"/>
              <w:rPr>
                <w:sz w:val="21"/>
              </w:rPr>
            </w:pPr>
            <w:r>
              <w:rPr>
                <w:sz w:val="21"/>
              </w:rPr>
              <w:t>车间一、物化处理</w:t>
            </w:r>
          </w:p>
          <w:p>
            <w:pPr>
              <w:pStyle w:val="TableParagraph"/>
              <w:spacing w:line="250" w:lineRule="exact" w:before="4"/>
              <w:ind w:left="3"/>
              <w:rPr>
                <w:sz w:val="21"/>
              </w:rPr>
            </w:pPr>
            <w:r>
              <w:rPr>
                <w:w w:val="100"/>
                <w:sz w:val="21"/>
              </w:rPr>
              <w:t>区</w:t>
            </w:r>
          </w:p>
        </w:tc>
        <w:tc>
          <w:tcPr>
            <w:tcW w:w="986" w:type="dxa"/>
          </w:tcPr>
          <w:p>
            <w:pPr>
              <w:pStyle w:val="TableParagraph"/>
              <w:spacing w:before="138"/>
              <w:ind w:left="5"/>
              <w:rPr>
                <w:sz w:val="21"/>
              </w:rPr>
            </w:pPr>
            <w:r>
              <w:rPr>
                <w:rFonts w:ascii="Times New Roman" w:eastAsia="Times New Roman"/>
                <w:sz w:val="21"/>
              </w:rPr>
              <w:t>100 </w:t>
            </w:r>
            <w:r>
              <w:rPr>
                <w:sz w:val="21"/>
              </w:rPr>
              <w:t>万元</w:t>
            </w:r>
          </w:p>
        </w:tc>
      </w:tr>
      <w:tr>
        <w:trPr>
          <w:trHeight w:val="285" w:hRule="atLeast"/>
        </w:trPr>
        <w:tc>
          <w:tcPr>
            <w:tcW w:w="902" w:type="dxa"/>
            <w:vMerge/>
            <w:tcBorders>
              <w:top w:val="nil"/>
            </w:tcBorders>
          </w:tcPr>
          <w:p>
            <w:pPr>
              <w:rPr>
                <w:sz w:val="2"/>
                <w:szCs w:val="2"/>
              </w:rPr>
            </w:pPr>
          </w:p>
        </w:tc>
        <w:tc>
          <w:tcPr>
            <w:tcW w:w="1536" w:type="dxa"/>
          </w:tcPr>
          <w:p>
            <w:pPr>
              <w:pStyle w:val="TableParagraph"/>
              <w:spacing w:line="257" w:lineRule="exact" w:before="8"/>
              <w:ind w:left="8" w:right="8"/>
              <w:rPr>
                <w:sz w:val="21"/>
              </w:rPr>
            </w:pPr>
            <w:r>
              <w:rPr>
                <w:sz w:val="21"/>
              </w:rPr>
              <w:t>生化处理</w:t>
            </w:r>
          </w:p>
        </w:tc>
        <w:tc>
          <w:tcPr>
            <w:tcW w:w="3915" w:type="dxa"/>
          </w:tcPr>
          <w:p>
            <w:pPr>
              <w:pStyle w:val="TableParagraph"/>
              <w:spacing w:line="257" w:lineRule="exact" w:before="8"/>
              <w:ind w:left="65" w:right="57"/>
              <w:rPr>
                <w:sz w:val="21"/>
              </w:rPr>
            </w:pPr>
            <w:r>
              <w:rPr>
                <w:sz w:val="21"/>
              </w:rPr>
              <w:t>生化处理设施</w:t>
            </w:r>
          </w:p>
        </w:tc>
        <w:tc>
          <w:tcPr>
            <w:tcW w:w="1788" w:type="dxa"/>
          </w:tcPr>
          <w:p>
            <w:pPr>
              <w:pStyle w:val="TableParagraph"/>
              <w:spacing w:line="257" w:lineRule="exact" w:before="8"/>
              <w:ind w:left="22" w:right="16"/>
              <w:rPr>
                <w:sz w:val="21"/>
              </w:rPr>
            </w:pPr>
            <w:r>
              <w:rPr>
                <w:sz w:val="21"/>
              </w:rPr>
              <w:t>生化处理区</w:t>
            </w:r>
          </w:p>
        </w:tc>
        <w:tc>
          <w:tcPr>
            <w:tcW w:w="986" w:type="dxa"/>
          </w:tcPr>
          <w:p>
            <w:pPr>
              <w:pStyle w:val="TableParagraph"/>
              <w:spacing w:line="257" w:lineRule="exact" w:before="8"/>
              <w:ind w:left="5"/>
              <w:rPr>
                <w:sz w:val="21"/>
              </w:rPr>
            </w:pPr>
            <w:r>
              <w:rPr>
                <w:rFonts w:ascii="Times New Roman" w:eastAsia="Times New Roman"/>
                <w:sz w:val="21"/>
              </w:rPr>
              <w:t>220 </w:t>
            </w:r>
            <w:r>
              <w:rPr>
                <w:sz w:val="21"/>
              </w:rPr>
              <w:t>万元</w:t>
            </w:r>
          </w:p>
        </w:tc>
      </w:tr>
      <w:tr>
        <w:trPr>
          <w:trHeight w:val="815" w:hRule="atLeast"/>
        </w:trPr>
        <w:tc>
          <w:tcPr>
            <w:tcW w:w="902" w:type="dxa"/>
          </w:tcPr>
          <w:p>
            <w:pPr>
              <w:pStyle w:val="TableParagraph"/>
              <w:spacing w:line="244" w:lineRule="auto" w:before="135"/>
              <w:ind w:left="239" w:right="232"/>
              <w:jc w:val="left"/>
              <w:rPr>
                <w:sz w:val="21"/>
              </w:rPr>
            </w:pPr>
            <w:r>
              <w:rPr>
                <w:sz w:val="21"/>
              </w:rPr>
              <w:t>噪声治理</w:t>
            </w:r>
          </w:p>
        </w:tc>
        <w:tc>
          <w:tcPr>
            <w:tcW w:w="1536" w:type="dxa"/>
          </w:tcPr>
          <w:p>
            <w:pPr>
              <w:pStyle w:val="TableParagraph"/>
              <w:spacing w:before="3"/>
              <w:jc w:val="left"/>
              <w:rPr>
                <w:b/>
                <w:sz w:val="21"/>
              </w:rPr>
            </w:pPr>
          </w:p>
          <w:p>
            <w:pPr>
              <w:pStyle w:val="TableParagraph"/>
              <w:ind w:left="13" w:right="8"/>
              <w:rPr>
                <w:sz w:val="21"/>
              </w:rPr>
            </w:pPr>
            <w:r>
              <w:rPr>
                <w:sz w:val="21"/>
              </w:rPr>
              <w:t>车间</w:t>
            </w:r>
          </w:p>
        </w:tc>
        <w:tc>
          <w:tcPr>
            <w:tcW w:w="3915" w:type="dxa"/>
          </w:tcPr>
          <w:p>
            <w:pPr>
              <w:pStyle w:val="TableParagraph"/>
              <w:spacing w:line="242" w:lineRule="auto" w:before="1"/>
              <w:ind w:left="65" w:right="57"/>
              <w:rPr>
                <w:sz w:val="21"/>
              </w:rPr>
            </w:pPr>
            <w:r>
              <w:rPr>
                <w:sz w:val="21"/>
              </w:rPr>
              <w:t>单独设置隔声房、安装消音隔声设备，选用低噪声设备，合理布局，基础防震降噪</w:t>
            </w:r>
          </w:p>
          <w:p>
            <w:pPr>
              <w:pStyle w:val="TableParagraph"/>
              <w:spacing w:line="250" w:lineRule="exact" w:before="1"/>
              <w:ind w:left="3"/>
              <w:rPr>
                <w:sz w:val="21"/>
              </w:rPr>
            </w:pPr>
            <w:r>
              <w:rPr>
                <w:w w:val="100"/>
                <w:sz w:val="21"/>
              </w:rPr>
              <w:t>等</w:t>
            </w:r>
          </w:p>
        </w:tc>
        <w:tc>
          <w:tcPr>
            <w:tcW w:w="1788" w:type="dxa"/>
          </w:tcPr>
          <w:p>
            <w:pPr>
              <w:pStyle w:val="TableParagraph"/>
              <w:spacing w:before="3"/>
              <w:jc w:val="left"/>
              <w:rPr>
                <w:b/>
                <w:sz w:val="21"/>
              </w:rPr>
            </w:pPr>
          </w:p>
          <w:p>
            <w:pPr>
              <w:pStyle w:val="TableParagraph"/>
              <w:ind w:left="24" w:right="16"/>
              <w:rPr>
                <w:sz w:val="21"/>
              </w:rPr>
            </w:pPr>
            <w:r>
              <w:rPr>
                <w:sz w:val="21"/>
              </w:rPr>
              <w:t>装置区</w:t>
            </w:r>
          </w:p>
        </w:tc>
        <w:tc>
          <w:tcPr>
            <w:tcW w:w="986" w:type="dxa"/>
          </w:tcPr>
          <w:p>
            <w:pPr>
              <w:pStyle w:val="TableParagraph"/>
              <w:spacing w:before="3"/>
              <w:jc w:val="left"/>
              <w:rPr>
                <w:b/>
                <w:sz w:val="21"/>
              </w:rPr>
            </w:pPr>
          </w:p>
          <w:p>
            <w:pPr>
              <w:pStyle w:val="TableParagraph"/>
              <w:ind w:left="5"/>
              <w:rPr>
                <w:sz w:val="21"/>
              </w:rPr>
            </w:pPr>
            <w:r>
              <w:rPr>
                <w:rFonts w:ascii="Times New Roman" w:eastAsia="Times New Roman"/>
                <w:sz w:val="21"/>
              </w:rPr>
              <w:t>30 </w:t>
            </w:r>
            <w:r>
              <w:rPr>
                <w:sz w:val="21"/>
              </w:rPr>
              <w:t>万元</w:t>
            </w:r>
          </w:p>
        </w:tc>
      </w:tr>
      <w:tr>
        <w:trPr>
          <w:trHeight w:val="544" w:hRule="atLeast"/>
        </w:trPr>
        <w:tc>
          <w:tcPr>
            <w:tcW w:w="902" w:type="dxa"/>
          </w:tcPr>
          <w:p>
            <w:pPr>
              <w:pStyle w:val="TableParagraph"/>
              <w:spacing w:before="1"/>
              <w:ind w:left="11" w:right="6"/>
              <w:rPr>
                <w:sz w:val="21"/>
              </w:rPr>
            </w:pPr>
            <w:r>
              <w:rPr>
                <w:sz w:val="21"/>
              </w:rPr>
              <w:t>固废暂存</w:t>
            </w:r>
          </w:p>
          <w:p>
            <w:pPr>
              <w:pStyle w:val="TableParagraph"/>
              <w:spacing w:line="250" w:lineRule="exact" w:before="4"/>
              <w:ind w:left="11" w:right="6"/>
              <w:rPr>
                <w:sz w:val="21"/>
              </w:rPr>
            </w:pPr>
            <w:r>
              <w:rPr>
                <w:sz w:val="21"/>
              </w:rPr>
              <w:t>处理</w:t>
            </w:r>
          </w:p>
        </w:tc>
        <w:tc>
          <w:tcPr>
            <w:tcW w:w="1536" w:type="dxa"/>
          </w:tcPr>
          <w:p>
            <w:pPr>
              <w:pStyle w:val="TableParagraph"/>
              <w:spacing w:before="138"/>
              <w:ind w:left="13" w:right="8"/>
              <w:rPr>
                <w:sz w:val="21"/>
              </w:rPr>
            </w:pPr>
            <w:r>
              <w:rPr>
                <w:sz w:val="21"/>
              </w:rPr>
              <w:t>固废</w:t>
            </w:r>
          </w:p>
        </w:tc>
        <w:tc>
          <w:tcPr>
            <w:tcW w:w="3915" w:type="dxa"/>
          </w:tcPr>
          <w:p>
            <w:pPr>
              <w:pStyle w:val="TableParagraph"/>
              <w:spacing w:before="138"/>
              <w:ind w:left="65" w:right="57"/>
              <w:rPr>
                <w:sz w:val="21"/>
              </w:rPr>
            </w:pPr>
            <w:r>
              <w:rPr>
                <w:sz w:val="21"/>
              </w:rPr>
              <w:t>设置危险废物暂存场所</w:t>
            </w:r>
          </w:p>
        </w:tc>
        <w:tc>
          <w:tcPr>
            <w:tcW w:w="1788" w:type="dxa"/>
          </w:tcPr>
          <w:p>
            <w:pPr>
              <w:pStyle w:val="TableParagraph"/>
              <w:spacing w:before="138"/>
              <w:ind w:left="22" w:right="16"/>
              <w:rPr>
                <w:sz w:val="21"/>
              </w:rPr>
            </w:pPr>
            <w:r>
              <w:rPr>
                <w:sz w:val="21"/>
              </w:rPr>
              <w:t>厂区西南侧</w:t>
            </w:r>
          </w:p>
        </w:tc>
        <w:tc>
          <w:tcPr>
            <w:tcW w:w="986" w:type="dxa"/>
          </w:tcPr>
          <w:p>
            <w:pPr>
              <w:pStyle w:val="TableParagraph"/>
              <w:spacing w:before="138"/>
              <w:ind w:left="5"/>
              <w:rPr>
                <w:sz w:val="21"/>
              </w:rPr>
            </w:pPr>
            <w:r>
              <w:rPr>
                <w:rFonts w:ascii="Times New Roman" w:eastAsia="Times New Roman"/>
                <w:sz w:val="21"/>
              </w:rPr>
              <w:t>50 </w:t>
            </w:r>
            <w:r>
              <w:rPr>
                <w:sz w:val="21"/>
              </w:rPr>
              <w:t>万元</w:t>
            </w:r>
          </w:p>
        </w:tc>
      </w:tr>
      <w:tr>
        <w:trPr>
          <w:trHeight w:val="285" w:hRule="atLeast"/>
        </w:trPr>
        <w:tc>
          <w:tcPr>
            <w:tcW w:w="2438" w:type="dxa"/>
            <w:gridSpan w:val="2"/>
          </w:tcPr>
          <w:p>
            <w:pPr>
              <w:pStyle w:val="TableParagraph"/>
              <w:spacing w:line="257" w:lineRule="exact" w:before="9"/>
              <w:ind w:left="484"/>
              <w:jc w:val="left"/>
              <w:rPr>
                <w:sz w:val="21"/>
              </w:rPr>
            </w:pPr>
            <w:r>
              <w:rPr>
                <w:sz w:val="21"/>
              </w:rPr>
              <w:t>环保分析实验室</w:t>
            </w:r>
          </w:p>
        </w:tc>
        <w:tc>
          <w:tcPr>
            <w:tcW w:w="3915" w:type="dxa"/>
          </w:tcPr>
          <w:p>
            <w:pPr>
              <w:pStyle w:val="TableParagraph"/>
              <w:spacing w:line="257" w:lineRule="exact" w:before="9"/>
              <w:ind w:left="63" w:right="57"/>
              <w:rPr>
                <w:sz w:val="21"/>
              </w:rPr>
            </w:pPr>
            <w:r>
              <w:rPr>
                <w:sz w:val="21"/>
              </w:rPr>
              <w:t>分析仪器等</w:t>
            </w:r>
          </w:p>
        </w:tc>
        <w:tc>
          <w:tcPr>
            <w:tcW w:w="1788" w:type="dxa"/>
          </w:tcPr>
          <w:p>
            <w:pPr>
              <w:pStyle w:val="TableParagraph"/>
              <w:spacing w:line="257" w:lineRule="exact" w:before="9"/>
              <w:ind w:left="24" w:right="16"/>
              <w:rPr>
                <w:sz w:val="21"/>
              </w:rPr>
            </w:pPr>
            <w:r>
              <w:rPr>
                <w:sz w:val="21"/>
              </w:rPr>
              <w:t>辅助楼</w:t>
            </w:r>
          </w:p>
        </w:tc>
        <w:tc>
          <w:tcPr>
            <w:tcW w:w="986" w:type="dxa"/>
          </w:tcPr>
          <w:p>
            <w:pPr>
              <w:pStyle w:val="TableParagraph"/>
              <w:spacing w:line="257" w:lineRule="exact" w:before="9"/>
              <w:ind w:left="5"/>
              <w:rPr>
                <w:sz w:val="21"/>
              </w:rPr>
            </w:pPr>
            <w:r>
              <w:rPr>
                <w:rFonts w:ascii="Times New Roman" w:eastAsia="Times New Roman"/>
                <w:sz w:val="21"/>
              </w:rPr>
              <w:t>50 </w:t>
            </w:r>
            <w:r>
              <w:rPr>
                <w:sz w:val="21"/>
              </w:rPr>
              <w:t>万元</w:t>
            </w:r>
          </w:p>
        </w:tc>
      </w:tr>
      <w:tr>
        <w:trPr>
          <w:trHeight w:val="282" w:hRule="atLeast"/>
        </w:trPr>
        <w:tc>
          <w:tcPr>
            <w:tcW w:w="2438" w:type="dxa"/>
            <w:gridSpan w:val="2"/>
          </w:tcPr>
          <w:p>
            <w:pPr>
              <w:pStyle w:val="TableParagraph"/>
              <w:spacing w:line="257" w:lineRule="exact" w:before="6"/>
              <w:ind w:left="379"/>
              <w:jc w:val="left"/>
              <w:rPr>
                <w:sz w:val="21"/>
              </w:rPr>
            </w:pPr>
            <w:r>
              <w:rPr>
                <w:sz w:val="21"/>
              </w:rPr>
              <w:t>环境风险应急设备</w:t>
            </w:r>
          </w:p>
        </w:tc>
        <w:tc>
          <w:tcPr>
            <w:tcW w:w="3915" w:type="dxa"/>
          </w:tcPr>
          <w:p>
            <w:pPr>
              <w:pStyle w:val="TableParagraph"/>
              <w:spacing w:line="257" w:lineRule="exact" w:before="6"/>
              <w:ind w:left="65" w:right="57"/>
              <w:rPr>
                <w:sz w:val="21"/>
              </w:rPr>
            </w:pPr>
            <w:r>
              <w:rPr>
                <w:sz w:val="21"/>
              </w:rPr>
              <w:t>各类应急设备等</w:t>
            </w:r>
          </w:p>
        </w:tc>
        <w:tc>
          <w:tcPr>
            <w:tcW w:w="1788" w:type="dxa"/>
          </w:tcPr>
          <w:p>
            <w:pPr>
              <w:pStyle w:val="TableParagraph"/>
              <w:spacing w:line="257" w:lineRule="exact" w:before="6"/>
              <w:ind w:left="22" w:right="16"/>
              <w:rPr>
                <w:sz w:val="21"/>
              </w:rPr>
            </w:pPr>
            <w:r>
              <w:rPr>
                <w:sz w:val="21"/>
              </w:rPr>
              <w:t>应急救援站</w:t>
            </w:r>
          </w:p>
        </w:tc>
        <w:tc>
          <w:tcPr>
            <w:tcW w:w="986" w:type="dxa"/>
          </w:tcPr>
          <w:p>
            <w:pPr>
              <w:pStyle w:val="TableParagraph"/>
              <w:spacing w:line="257" w:lineRule="exact" w:before="6"/>
              <w:ind w:left="5"/>
              <w:rPr>
                <w:sz w:val="21"/>
              </w:rPr>
            </w:pPr>
            <w:r>
              <w:rPr>
                <w:rFonts w:ascii="Times New Roman" w:eastAsia="Times New Roman"/>
                <w:sz w:val="21"/>
              </w:rPr>
              <w:t>100 </w:t>
            </w:r>
            <w:r>
              <w:rPr>
                <w:sz w:val="21"/>
              </w:rPr>
              <w:t>万元</w:t>
            </w:r>
          </w:p>
        </w:tc>
      </w:tr>
      <w:tr>
        <w:trPr>
          <w:trHeight w:val="282" w:hRule="atLeast"/>
        </w:trPr>
        <w:tc>
          <w:tcPr>
            <w:tcW w:w="8141" w:type="dxa"/>
            <w:gridSpan w:val="4"/>
          </w:tcPr>
          <w:p>
            <w:pPr>
              <w:pStyle w:val="TableParagraph"/>
              <w:spacing w:line="257" w:lineRule="exact" w:before="6"/>
              <w:ind w:left="3840" w:right="3835"/>
              <w:rPr>
                <w:sz w:val="21"/>
              </w:rPr>
            </w:pPr>
            <w:r>
              <w:rPr>
                <w:sz w:val="21"/>
              </w:rPr>
              <w:t>合计</w:t>
            </w:r>
          </w:p>
        </w:tc>
        <w:tc>
          <w:tcPr>
            <w:tcW w:w="986" w:type="dxa"/>
          </w:tcPr>
          <w:p>
            <w:pPr>
              <w:pStyle w:val="TableParagraph"/>
              <w:spacing w:line="257" w:lineRule="exact" w:before="6"/>
              <w:ind w:left="5"/>
              <w:rPr>
                <w:sz w:val="21"/>
              </w:rPr>
            </w:pPr>
            <w:r>
              <w:rPr>
                <w:rFonts w:ascii="Times New Roman" w:eastAsia="Times New Roman"/>
                <w:sz w:val="21"/>
              </w:rPr>
              <w:t>850 </w:t>
            </w:r>
            <w:r>
              <w:rPr>
                <w:sz w:val="21"/>
              </w:rPr>
              <w:t>万元</w:t>
            </w:r>
          </w:p>
        </w:tc>
      </w:tr>
    </w:tbl>
    <w:p>
      <w:pPr>
        <w:pStyle w:val="BodyText"/>
        <w:spacing w:line="364" w:lineRule="auto" w:before="2"/>
        <w:ind w:left="258" w:right="332" w:firstLine="480"/>
        <w:jc w:val="both"/>
      </w:pPr>
      <w:r>
        <w:rPr>
          <w:spacing w:val="-6"/>
        </w:rPr>
        <w:t>项目环保投资 </w:t>
      </w:r>
      <w:r>
        <w:rPr>
          <w:rFonts w:ascii="Times New Roman" w:eastAsia="Times New Roman"/>
        </w:rPr>
        <w:t>850 </w:t>
      </w:r>
      <w:r>
        <w:rPr>
          <w:spacing w:val="-6"/>
        </w:rPr>
        <w:t>万元，总投资 </w:t>
      </w:r>
      <w:r>
        <w:rPr>
          <w:rFonts w:ascii="Times New Roman" w:eastAsia="Times New Roman"/>
        </w:rPr>
        <w:t>8100 </w:t>
      </w:r>
      <w:r>
        <w:rPr>
          <w:spacing w:val="-3"/>
        </w:rPr>
        <w:t>万元，环保投资占总投资的 </w:t>
      </w:r>
      <w:r>
        <w:rPr>
          <w:rFonts w:ascii="Times New Roman" w:eastAsia="Times New Roman"/>
        </w:rPr>
        <w:t>10.5%</w:t>
      </w:r>
      <w:r>
        <w:rPr>
          <w:spacing w:val="-3"/>
        </w:rPr>
        <w:t>。企业需</w:t>
      </w:r>
      <w:r>
        <w:rPr>
          <w:spacing w:val="-5"/>
        </w:rPr>
        <w:t>建立较为完善的污染治理设施，有效地控制和避免有机废气及粉尘、废水、固废和噪声等对环境的污染，可使本项目产生巨大潜在的环境和经济效益，同时可有效保护周围环</w:t>
      </w:r>
      <w:r>
        <w:rPr/>
        <w:t>境。</w:t>
      </w:r>
    </w:p>
    <w:p>
      <w:pPr>
        <w:pStyle w:val="Heading4"/>
        <w:numPr>
          <w:ilvl w:val="2"/>
          <w:numId w:val="13"/>
        </w:numPr>
        <w:tabs>
          <w:tab w:pos="1039" w:val="left" w:leader="none"/>
        </w:tabs>
        <w:spacing w:line="240" w:lineRule="auto" w:before="0" w:after="0"/>
        <w:ind w:left="1038" w:right="0" w:hanging="541"/>
        <w:jc w:val="both"/>
      </w:pPr>
      <w:r>
        <w:rPr/>
        <w:t>运行费用估算</w:t>
      </w:r>
    </w:p>
    <w:p>
      <w:pPr>
        <w:spacing w:before="158"/>
        <w:ind w:left="741" w:right="0" w:firstLine="0"/>
        <w:jc w:val="left"/>
        <w:rPr>
          <w:b/>
          <w:sz w:val="24"/>
        </w:rPr>
      </w:pPr>
      <w:r>
        <w:rPr>
          <w:rFonts w:ascii="Times New Roman" w:eastAsia="Times New Roman"/>
          <w:b/>
          <w:sz w:val="24"/>
        </w:rPr>
        <w:t>1</w:t>
      </w:r>
      <w:r>
        <w:rPr>
          <w:b/>
          <w:sz w:val="24"/>
        </w:rPr>
        <w:t>、废水处理设施运行费用估算</w:t>
      </w:r>
    </w:p>
    <w:p>
      <w:pPr>
        <w:pStyle w:val="BodyText"/>
        <w:spacing w:line="362" w:lineRule="auto" w:before="161"/>
        <w:ind w:left="258" w:right="276" w:firstLine="465"/>
      </w:pPr>
      <w:r>
        <w:rPr/>
        <w:t>本项目废水处理量 </w:t>
      </w:r>
      <w:r>
        <w:rPr>
          <w:rFonts w:ascii="Times New Roman" w:eastAsia="Times New Roman"/>
        </w:rPr>
        <w:t>33000t/a</w:t>
      </w:r>
      <w:r>
        <w:rPr/>
        <w:t>，根据设计单位提供数据，废水处理运行成本约 </w:t>
      </w:r>
      <w:r>
        <w:rPr>
          <w:rFonts w:ascii="Times New Roman" w:eastAsia="Times New Roman"/>
        </w:rPr>
        <w:t>30 </w:t>
      </w:r>
      <w:r>
        <w:rPr/>
        <w:t>万</w:t>
      </w:r>
      <w:r>
        <w:rPr>
          <w:rFonts w:ascii="Times New Roman" w:eastAsia="Times New Roman"/>
        </w:rPr>
        <w:t>/ </w:t>
      </w:r>
      <w:r>
        <w:rPr/>
        <w:t>年左右。</w:t>
      </w:r>
    </w:p>
    <w:p>
      <w:pPr>
        <w:pStyle w:val="Heading4"/>
        <w:spacing w:before="5"/>
        <w:ind w:left="741"/>
      </w:pPr>
      <w:r>
        <w:rPr>
          <w:rFonts w:ascii="Times New Roman" w:eastAsia="Times New Roman"/>
        </w:rPr>
        <w:t>2</w:t>
      </w:r>
      <w:r>
        <w:rPr/>
        <w:t>、废气处理设施运行费用估算</w:t>
      </w:r>
    </w:p>
    <w:p>
      <w:pPr>
        <w:pStyle w:val="BodyText"/>
        <w:spacing w:line="364" w:lineRule="auto" w:before="158"/>
        <w:ind w:left="258" w:right="274" w:firstLine="480"/>
      </w:pPr>
      <w:r>
        <w:rPr/>
        <w:t>项目废气运行费用包括冷凝回收、碱喷淋、布袋除尘等装置所产生的费用，包括电费、人工及药剂费用，项目废气处理运行费用在 </w:t>
      </w:r>
      <w:r>
        <w:rPr>
          <w:rFonts w:ascii="Times New Roman" w:eastAsia="Times New Roman"/>
        </w:rPr>
        <w:t>10 </w:t>
      </w:r>
      <w:r>
        <w:rPr/>
        <w:t>万</w:t>
      </w:r>
      <w:r>
        <w:rPr>
          <w:rFonts w:ascii="Times New Roman" w:eastAsia="Times New Roman"/>
        </w:rPr>
        <w:t>/</w:t>
      </w:r>
      <w:r>
        <w:rPr/>
        <w:t>年左右。</w:t>
      </w:r>
    </w:p>
    <w:p>
      <w:pPr>
        <w:pStyle w:val="Heading4"/>
        <w:spacing w:line="306" w:lineRule="exact"/>
        <w:ind w:left="741"/>
      </w:pPr>
      <w:r>
        <w:rPr>
          <w:rFonts w:ascii="Times New Roman" w:eastAsia="Times New Roman"/>
        </w:rPr>
        <w:t>3</w:t>
      </w:r>
      <w:r>
        <w:rPr/>
        <w:t>、固废处理费用估算</w:t>
      </w:r>
    </w:p>
    <w:p>
      <w:pPr>
        <w:pStyle w:val="BodyText"/>
        <w:spacing w:before="161"/>
        <w:ind w:left="738"/>
      </w:pPr>
      <w:r>
        <w:rPr/>
        <w:t>项目需要委托处理危废的费用共需 </w:t>
      </w:r>
      <w:r>
        <w:rPr>
          <w:rFonts w:ascii="Times New Roman" w:eastAsia="Times New Roman"/>
        </w:rPr>
        <w:t>50 </w:t>
      </w:r>
      <w:r>
        <w:rPr/>
        <w:t>万元。</w:t>
      </w:r>
    </w:p>
    <w:p>
      <w:pPr>
        <w:pStyle w:val="Heading4"/>
        <w:spacing w:before="158"/>
        <w:ind w:left="741"/>
      </w:pPr>
      <w:r>
        <w:rPr>
          <w:rFonts w:ascii="Times New Roman" w:eastAsia="Times New Roman"/>
        </w:rPr>
        <w:t>4</w:t>
      </w:r>
      <w:r>
        <w:rPr/>
        <w:t>、环保运行费用占销售收入的比例</w:t>
      </w:r>
    </w:p>
    <w:p>
      <w:pPr>
        <w:pStyle w:val="BodyText"/>
        <w:spacing w:line="362" w:lineRule="auto" w:before="161"/>
        <w:ind w:left="258" w:right="332" w:firstLine="480"/>
      </w:pPr>
      <w:r>
        <w:rPr>
          <w:spacing w:val="-5"/>
        </w:rPr>
        <w:t>本项目环保运行费用共约 </w:t>
      </w:r>
      <w:r>
        <w:rPr>
          <w:rFonts w:ascii="Times New Roman" w:hAnsi="Times New Roman" w:eastAsia="Times New Roman"/>
        </w:rPr>
        <w:t>90 </w:t>
      </w:r>
      <w:r>
        <w:rPr>
          <w:spacing w:val="-9"/>
        </w:rPr>
        <w:t>万元，本项目实施后年销售收入 </w:t>
      </w:r>
      <w:r>
        <w:rPr>
          <w:rFonts w:ascii="Times New Roman" w:hAnsi="Times New Roman" w:eastAsia="Times New Roman"/>
        </w:rPr>
        <w:t>8000 </w:t>
      </w:r>
      <w:r>
        <w:rPr>
          <w:spacing w:val="-7"/>
        </w:rPr>
        <w:t>万元，环保运行费用占销售收入的 </w:t>
      </w:r>
      <w:r>
        <w:rPr>
          <w:rFonts w:ascii="Times New Roman" w:hAnsi="Times New Roman" w:eastAsia="Times New Roman"/>
        </w:rPr>
        <w:t>1.1%</w:t>
      </w:r>
      <w:r>
        <w:rPr/>
        <w:t>，处于可承受范围内，</w:t>
      </w:r>
      <w:r>
        <w:rPr>
          <w:rFonts w:ascii="Times New Roman" w:hAnsi="Times New Roman" w:eastAsia="Times New Roman"/>
        </w:rPr>
        <w:t>“</w:t>
      </w:r>
      <w:r>
        <w:rPr/>
        <w:t>三废</w:t>
      </w:r>
      <w:r>
        <w:rPr>
          <w:rFonts w:ascii="Times New Roman" w:hAnsi="Times New Roman" w:eastAsia="Times New Roman"/>
        </w:rPr>
        <w:t>”</w:t>
      </w:r>
      <w:r>
        <w:rPr/>
        <w:t>处理措施经济可行。</w:t>
      </w:r>
    </w:p>
    <w:p>
      <w:pPr>
        <w:spacing w:after="0" w:line="362" w:lineRule="auto"/>
        <w:sectPr>
          <w:pgSz w:w="11910" w:h="16850"/>
          <w:pgMar w:header="730" w:footer="673" w:top="980" w:bottom="860" w:left="1160" w:right="1080"/>
        </w:sectPr>
      </w:pPr>
    </w:p>
    <w:p>
      <w:pPr>
        <w:pStyle w:val="BodyText"/>
        <w:spacing w:before="8"/>
        <w:rPr>
          <w:sz w:val="8"/>
        </w:rPr>
      </w:pPr>
    </w:p>
    <w:p>
      <w:pPr>
        <w:pStyle w:val="Heading2"/>
        <w:numPr>
          <w:ilvl w:val="0"/>
          <w:numId w:val="23"/>
        </w:numPr>
        <w:tabs>
          <w:tab w:pos="485" w:val="left" w:leader="none"/>
        </w:tabs>
        <w:spacing w:line="240" w:lineRule="auto" w:before="67" w:after="0"/>
        <w:ind w:left="484" w:right="0" w:hanging="227"/>
        <w:jc w:val="left"/>
        <w:rPr>
          <w:rFonts w:ascii="Times New Roman" w:eastAsia="Times New Roman"/>
        </w:rPr>
      </w:pPr>
      <w:bookmarkStart w:name="_bookmark39" w:id="79"/>
      <w:bookmarkEnd w:id="79"/>
      <w:r>
        <w:rPr>
          <w:b w:val="0"/>
        </w:rPr>
      </w:r>
      <w:bookmarkStart w:name="_bookmark39" w:id="80"/>
      <w:bookmarkEnd w:id="80"/>
      <w:r>
        <w:rPr/>
        <w:t>环境现状监测与评价</w:t>
      </w:r>
    </w:p>
    <w:p>
      <w:pPr>
        <w:pStyle w:val="Heading3"/>
        <w:numPr>
          <w:ilvl w:val="1"/>
          <w:numId w:val="23"/>
        </w:numPr>
        <w:tabs>
          <w:tab w:pos="821" w:val="left" w:leader="none"/>
        </w:tabs>
        <w:spacing w:line="240" w:lineRule="auto" w:before="200" w:after="0"/>
        <w:ind w:left="820" w:right="0" w:hanging="421"/>
        <w:jc w:val="left"/>
      </w:pPr>
      <w:bookmarkStart w:name="_bookmark40" w:id="81"/>
      <w:bookmarkEnd w:id="81"/>
      <w:r>
        <w:rPr>
          <w:b w:val="0"/>
        </w:rPr>
      </w:r>
      <w:bookmarkStart w:name="_bookmark40" w:id="82"/>
      <w:bookmarkEnd w:id="82"/>
      <w:r>
        <w:rPr/>
        <w:t>自然环境现状调查与评价</w:t>
      </w:r>
    </w:p>
    <w:p>
      <w:pPr>
        <w:pStyle w:val="Heading4"/>
        <w:numPr>
          <w:ilvl w:val="2"/>
          <w:numId w:val="23"/>
        </w:numPr>
        <w:tabs>
          <w:tab w:pos="1039" w:val="left" w:leader="none"/>
        </w:tabs>
        <w:spacing w:line="240" w:lineRule="auto" w:before="185" w:after="0"/>
        <w:ind w:left="1038" w:right="0" w:hanging="541"/>
        <w:jc w:val="left"/>
      </w:pPr>
      <w:r>
        <w:rPr/>
        <w:t>地理位置</w:t>
      </w:r>
    </w:p>
    <w:p>
      <w:pPr>
        <w:pStyle w:val="BodyText"/>
        <w:spacing w:line="364" w:lineRule="auto" w:before="158"/>
        <w:ind w:left="258" w:right="332" w:firstLine="480"/>
        <w:jc w:val="both"/>
      </w:pPr>
      <w:r>
        <w:rPr>
          <w:spacing w:val="-3"/>
        </w:rPr>
        <w:t>绍兴市上虞区位于浙江省东北部，东经 </w:t>
      </w:r>
      <w:r>
        <w:rPr>
          <w:rFonts w:ascii="Times New Roman" w:eastAsia="Times New Roman"/>
        </w:rPr>
        <w:t>120 </w:t>
      </w:r>
      <w:r>
        <w:rPr>
          <w:spacing w:val="-21"/>
        </w:rPr>
        <w:t>度 </w:t>
      </w:r>
      <w:r>
        <w:rPr>
          <w:rFonts w:ascii="Times New Roman" w:eastAsia="Times New Roman"/>
        </w:rPr>
        <w:t>36 </w:t>
      </w:r>
      <w:r>
        <w:rPr/>
        <w:t>分～</w:t>
      </w:r>
      <w:r>
        <w:rPr>
          <w:rFonts w:ascii="Times New Roman" w:eastAsia="Times New Roman"/>
        </w:rPr>
        <w:t>121 </w:t>
      </w:r>
      <w:r>
        <w:rPr>
          <w:spacing w:val="-21"/>
        </w:rPr>
        <w:t>度 </w:t>
      </w:r>
      <w:r>
        <w:rPr>
          <w:rFonts w:ascii="Times New Roman" w:eastAsia="Times New Roman"/>
        </w:rPr>
        <w:t>6 </w:t>
      </w:r>
      <w:r>
        <w:rPr>
          <w:spacing w:val="-9"/>
        </w:rPr>
        <w:t>分，北纬 </w:t>
      </w:r>
      <w:r>
        <w:rPr>
          <w:rFonts w:ascii="Times New Roman" w:eastAsia="Times New Roman"/>
        </w:rPr>
        <w:t>29 </w:t>
      </w:r>
      <w:r>
        <w:rPr>
          <w:spacing w:val="-21"/>
        </w:rPr>
        <w:t>度 </w:t>
      </w:r>
      <w:r>
        <w:rPr>
          <w:rFonts w:ascii="Times New Roman" w:eastAsia="Times New Roman"/>
          <w:spacing w:val="-7"/>
        </w:rPr>
        <w:t>43 </w:t>
      </w:r>
      <w:r>
        <w:rPr/>
        <w:t>分～</w:t>
      </w:r>
      <w:r>
        <w:rPr>
          <w:rFonts w:ascii="Times New Roman" w:eastAsia="Times New Roman"/>
        </w:rPr>
        <w:t>30 </w:t>
      </w:r>
      <w:r>
        <w:rPr>
          <w:spacing w:val="-28"/>
        </w:rPr>
        <w:t>度 </w:t>
      </w:r>
      <w:r>
        <w:rPr>
          <w:rFonts w:ascii="Times New Roman" w:eastAsia="Times New Roman"/>
        </w:rPr>
        <w:t>16 </w:t>
      </w:r>
      <w:r>
        <w:rPr>
          <w:spacing w:val="-2"/>
        </w:rPr>
        <w:t>分。杭州湾上虞经济技术开发区位于绍兴市上虞区北端曹娥江以东，钱塘</w:t>
      </w:r>
      <w:r>
        <w:rPr/>
        <w:t>江出海口的围垦海涂滩地上。开发区北濒杭州湾，南临盖北镇，紧邻上虞港区。</w:t>
      </w:r>
    </w:p>
    <w:p>
      <w:pPr>
        <w:pStyle w:val="Heading4"/>
        <w:spacing w:line="364" w:lineRule="auto"/>
        <w:ind w:left="258" w:right="214" w:firstLine="482"/>
      </w:pPr>
      <w:r>
        <w:rPr>
          <w:spacing w:val="-3"/>
        </w:rPr>
        <w:t>绍兴贝斯美化工股份有限公司新征用地</w:t>
      </w:r>
      <w:r>
        <w:rPr/>
        <w:t>（东区</w:t>
      </w:r>
      <w:r>
        <w:rPr>
          <w:spacing w:val="-41"/>
        </w:rPr>
        <w:t>）</w:t>
      </w:r>
      <w:r>
        <w:rPr/>
        <w:t>位于杭州湾上虞经济技术开发区振</w:t>
      </w:r>
      <w:r>
        <w:rPr>
          <w:spacing w:val="3"/>
        </w:rPr>
        <w:t>兴大道；公司厂区东侧隔纵二路为浙江瑞亨电子材料有限公司和浙江智鑫化工有限公</w:t>
      </w:r>
      <w:r>
        <w:rPr>
          <w:spacing w:val="-16"/>
        </w:rPr>
        <w:t>司，南侧隔振兴大道为园区规划用地，西侧隔经七东路为浙江皇马尚宜新材料有限公司， </w:t>
      </w:r>
      <w:r>
        <w:rPr/>
        <w:t>北侧隔北塘东路为绍兴市上虞众联环保有限公司填埋项目所在地。</w:t>
      </w:r>
    </w:p>
    <w:p>
      <w:pPr>
        <w:spacing w:line="364" w:lineRule="auto" w:before="0"/>
        <w:ind w:left="258" w:right="268" w:firstLine="480"/>
        <w:jc w:val="left"/>
        <w:rPr>
          <w:sz w:val="24"/>
        </w:rPr>
      </w:pPr>
      <w:r>
        <w:rPr>
          <w:sz w:val="24"/>
        </w:rPr>
        <w:t>项目建设地地理位置见</w:t>
      </w:r>
      <w:r>
        <w:rPr>
          <w:b/>
          <w:sz w:val="24"/>
          <w:u w:val="single"/>
        </w:rPr>
        <w:t>附图 </w:t>
      </w:r>
      <w:r>
        <w:rPr>
          <w:rFonts w:ascii="Times New Roman" w:eastAsia="Times New Roman"/>
          <w:b/>
          <w:sz w:val="24"/>
          <w:u w:val="single"/>
        </w:rPr>
        <w:t>1</w:t>
      </w:r>
      <w:r>
        <w:rPr>
          <w:sz w:val="24"/>
        </w:rPr>
        <w:t>，周围环境示意图见</w:t>
      </w:r>
      <w:r>
        <w:rPr>
          <w:b/>
          <w:sz w:val="24"/>
          <w:u w:val="single"/>
        </w:rPr>
        <w:t>附图 </w:t>
      </w:r>
      <w:r>
        <w:rPr>
          <w:rFonts w:ascii="Times New Roman" w:eastAsia="Times New Roman"/>
          <w:b/>
          <w:sz w:val="24"/>
          <w:u w:val="single"/>
        </w:rPr>
        <w:t>2</w:t>
      </w:r>
      <w:r>
        <w:rPr>
          <w:sz w:val="24"/>
        </w:rPr>
        <w:t>，周围环境概况照片见</w:t>
      </w:r>
      <w:r>
        <w:rPr>
          <w:b/>
          <w:sz w:val="24"/>
          <w:u w:val="single"/>
        </w:rPr>
        <w:t>附图 </w:t>
      </w:r>
      <w:r>
        <w:rPr>
          <w:rFonts w:ascii="Times New Roman" w:eastAsia="Times New Roman"/>
          <w:b/>
          <w:sz w:val="24"/>
          <w:u w:val="single"/>
        </w:rPr>
        <w:t>3</w:t>
      </w:r>
      <w:r>
        <w:rPr>
          <w:sz w:val="24"/>
        </w:rPr>
        <w:t>。</w:t>
      </w:r>
    </w:p>
    <w:p>
      <w:pPr>
        <w:pStyle w:val="Heading4"/>
        <w:numPr>
          <w:ilvl w:val="2"/>
          <w:numId w:val="23"/>
        </w:numPr>
        <w:tabs>
          <w:tab w:pos="1039" w:val="left" w:leader="none"/>
        </w:tabs>
        <w:spacing w:line="306" w:lineRule="exact" w:before="0" w:after="0"/>
        <w:ind w:left="1038" w:right="0" w:hanging="541"/>
        <w:jc w:val="left"/>
      </w:pPr>
      <w:r>
        <w:rPr/>
        <w:t>地形、地貌、地质</w:t>
      </w:r>
    </w:p>
    <w:p>
      <w:pPr>
        <w:spacing w:before="158"/>
        <w:ind w:left="731" w:right="0" w:firstLine="0"/>
        <w:jc w:val="left"/>
        <w:rPr>
          <w:b/>
          <w:sz w:val="24"/>
        </w:rPr>
      </w:pPr>
      <w:r>
        <w:rPr>
          <w:rFonts w:ascii="Times New Roman" w:eastAsia="Times New Roman"/>
          <w:b/>
          <w:sz w:val="24"/>
        </w:rPr>
        <w:t>1</w:t>
      </w:r>
      <w:r>
        <w:rPr>
          <w:b/>
          <w:sz w:val="24"/>
        </w:rPr>
        <w:t>、地形与地貌</w:t>
      </w:r>
    </w:p>
    <w:p>
      <w:pPr>
        <w:pStyle w:val="BodyText"/>
        <w:spacing w:line="364" w:lineRule="auto" w:before="158"/>
        <w:ind w:left="258" w:right="214" w:firstLine="480"/>
      </w:pPr>
      <w:r>
        <w:rPr>
          <w:spacing w:val="-3"/>
        </w:rPr>
        <w:t>绍兴市上虞区地形南高北低，南部低山丘陵与北部水网面积参半。南部低山丘陵分</w:t>
      </w:r>
      <w:r>
        <w:rPr>
          <w:spacing w:val="-11"/>
        </w:rPr>
        <w:t>属两支，东南系四明山余脉，覆卮山海拔 </w:t>
      </w:r>
      <w:r>
        <w:rPr>
          <w:rFonts w:ascii="Times New Roman" w:eastAsia="Times New Roman"/>
        </w:rPr>
        <w:t>861.3 </w:t>
      </w:r>
      <w:r>
        <w:rPr>
          <w:spacing w:val="-10"/>
        </w:rPr>
        <w:t>米，是上虞最高点；西南属会稽山余脉，</w:t>
      </w:r>
    </w:p>
    <w:p>
      <w:pPr>
        <w:pStyle w:val="BodyText"/>
        <w:spacing w:line="307" w:lineRule="exact"/>
        <w:ind w:left="258"/>
      </w:pPr>
      <w:r>
        <w:rPr/>
        <w:t>最高点罗村山海拔 </w:t>
      </w:r>
      <w:r>
        <w:rPr>
          <w:rFonts w:ascii="Times New Roman" w:eastAsia="Times New Roman"/>
        </w:rPr>
        <w:t>390.7 </w:t>
      </w:r>
      <w:r>
        <w:rPr/>
        <w:t>米。北部为水网滨海堆积平原，平均海拔 </w:t>
      </w:r>
      <w:r>
        <w:rPr>
          <w:rFonts w:ascii="Times New Roman" w:eastAsia="Times New Roman"/>
        </w:rPr>
        <w:t>5-6 </w:t>
      </w:r>
      <w:r>
        <w:rPr/>
        <w:t>米。</w:t>
      </w:r>
    </w:p>
    <w:p>
      <w:pPr>
        <w:pStyle w:val="Heading4"/>
        <w:spacing w:before="161"/>
        <w:ind w:left="741"/>
      </w:pPr>
      <w:r>
        <w:rPr>
          <w:rFonts w:ascii="Times New Roman" w:eastAsia="Times New Roman"/>
        </w:rPr>
        <w:t>2</w:t>
      </w:r>
      <w:r>
        <w:rPr/>
        <w:t>、地质</w:t>
      </w:r>
    </w:p>
    <w:p>
      <w:pPr>
        <w:pStyle w:val="BodyText"/>
        <w:spacing w:line="364" w:lineRule="auto" w:before="158"/>
        <w:ind w:left="258" w:right="334" w:firstLine="480"/>
        <w:jc w:val="both"/>
      </w:pPr>
      <w:r>
        <w:rPr>
          <w:spacing w:val="-4"/>
        </w:rPr>
        <w:t>杭州湾上虞经济技术开发区北侧有海堤围护，中间有东西走向的中心河分隔，自然</w:t>
      </w:r>
      <w:r>
        <w:rPr/>
        <w:t>地形标高</w:t>
      </w:r>
      <w:r>
        <w:rPr>
          <w:rFonts w:ascii="Times New Roman" w:eastAsia="Times New Roman"/>
        </w:rPr>
        <w:t>(1985 </w:t>
      </w:r>
      <w:r>
        <w:rPr/>
        <w:t>年国家高程</w:t>
      </w:r>
      <w:r>
        <w:rPr>
          <w:rFonts w:ascii="Times New Roman" w:eastAsia="Times New Roman"/>
        </w:rPr>
        <w:t>)3.40</w:t>
      </w:r>
      <w:r>
        <w:rPr/>
        <w:t>～</w:t>
      </w:r>
      <w:r>
        <w:rPr>
          <w:rFonts w:ascii="Times New Roman" w:eastAsia="Times New Roman"/>
        </w:rPr>
        <w:t>4.40m</w:t>
      </w:r>
      <w:r>
        <w:rPr>
          <w:spacing w:val="-12"/>
        </w:rPr>
        <w:t>。土地系盖北镇、小越镇、崧厦镇、沥东镇围垦</w:t>
      </w:r>
      <w:r>
        <w:rPr>
          <w:spacing w:val="-9"/>
        </w:rPr>
        <w:t>区，多为经济作物耕地，没有居民住宅建筑。地质情况根据浙江省工程勘察对港区 </w:t>
      </w:r>
      <w:r>
        <w:rPr>
          <w:rFonts w:ascii="Times New Roman" w:eastAsia="Times New Roman"/>
        </w:rPr>
        <w:t>8 </w:t>
      </w:r>
      <w:r>
        <w:rPr>
          <w:spacing w:val="-15"/>
        </w:rPr>
        <w:t>个</w:t>
      </w:r>
      <w:r>
        <w:rPr/>
        <w:t>测点钻孔取样、试验取得的数据，自上而下依次描述如下：</w:t>
      </w:r>
    </w:p>
    <w:p>
      <w:pPr>
        <w:pStyle w:val="BodyText"/>
        <w:spacing w:line="364" w:lineRule="auto"/>
        <w:ind w:left="741" w:right="3500"/>
        <w:jc w:val="both"/>
      </w:pPr>
      <w:r>
        <w:rPr>
          <w:spacing w:val="-30"/>
        </w:rPr>
        <w:t>第 </w:t>
      </w:r>
      <w:r>
        <w:rPr>
          <w:rFonts w:ascii="Times New Roman" w:eastAsia="Times New Roman"/>
        </w:rPr>
        <w:t>1 </w:t>
      </w:r>
      <w:r>
        <w:rPr>
          <w:spacing w:val="-6"/>
        </w:rPr>
        <w:t>层：填土，层平均厚 </w:t>
      </w:r>
      <w:r>
        <w:rPr>
          <w:rFonts w:ascii="Times New Roman" w:eastAsia="Times New Roman"/>
        </w:rPr>
        <w:t>1.5m</w:t>
      </w:r>
      <w:r>
        <w:rPr>
          <w:spacing w:val="-12"/>
        </w:rPr>
        <w:t>，承载力 </w:t>
      </w:r>
      <w:r>
        <w:rPr>
          <w:rFonts w:ascii="Times New Roman" w:eastAsia="Times New Roman"/>
          <w:spacing w:val="-3"/>
        </w:rPr>
        <w:t>fk=30Kpa</w:t>
      </w:r>
      <w:r>
        <w:rPr>
          <w:spacing w:val="-3"/>
        </w:rPr>
        <w:t>； </w:t>
      </w:r>
      <w:r>
        <w:rPr>
          <w:spacing w:val="-31"/>
        </w:rPr>
        <w:t>第 </w:t>
      </w:r>
      <w:r>
        <w:rPr>
          <w:rFonts w:ascii="Times New Roman" w:eastAsia="Times New Roman"/>
        </w:rPr>
        <w:t>2-1 </w:t>
      </w:r>
      <w:r>
        <w:rPr/>
        <w:t>层：淤泥质亚粘土；</w:t>
      </w:r>
    </w:p>
    <w:p>
      <w:pPr>
        <w:pStyle w:val="BodyText"/>
        <w:spacing w:line="307" w:lineRule="exact"/>
        <w:ind w:left="741"/>
        <w:jc w:val="both"/>
      </w:pPr>
      <w:r>
        <w:rPr/>
        <w:t>第 </w:t>
      </w:r>
      <w:r>
        <w:rPr>
          <w:rFonts w:ascii="Times New Roman" w:eastAsia="Times New Roman"/>
        </w:rPr>
        <w:t>2-2 </w:t>
      </w:r>
      <w:r>
        <w:rPr/>
        <w:t>层：粘土夹淤泥质土；</w:t>
      </w:r>
    </w:p>
    <w:p>
      <w:pPr>
        <w:pStyle w:val="BodyText"/>
        <w:spacing w:before="158"/>
        <w:ind w:left="741"/>
      </w:pPr>
      <w:r>
        <w:rPr/>
        <w:t>第 </w:t>
      </w:r>
      <w:r>
        <w:rPr>
          <w:rFonts w:ascii="Times New Roman" w:eastAsia="Times New Roman"/>
        </w:rPr>
        <w:t>3 </w:t>
      </w:r>
      <w:r>
        <w:rPr/>
        <w:t>层：粘土夹淤泥质土；</w:t>
      </w:r>
    </w:p>
    <w:p>
      <w:pPr>
        <w:pStyle w:val="BodyText"/>
        <w:spacing w:line="362" w:lineRule="auto" w:before="161"/>
        <w:ind w:left="741" w:right="5397"/>
      </w:pPr>
      <w:r>
        <w:rPr>
          <w:spacing w:val="-29"/>
        </w:rPr>
        <w:t>第 </w:t>
      </w:r>
      <w:r>
        <w:rPr>
          <w:rFonts w:ascii="Times New Roman" w:eastAsia="Times New Roman"/>
        </w:rPr>
        <w:t>4-1 </w:t>
      </w:r>
      <w:r>
        <w:rPr>
          <w:spacing w:val="-8"/>
        </w:rPr>
        <w:t>层：粘土，厚 </w:t>
      </w:r>
      <w:r>
        <w:rPr>
          <w:rFonts w:ascii="Times New Roman" w:eastAsia="Times New Roman"/>
          <w:spacing w:val="-3"/>
        </w:rPr>
        <w:t>1.90-3.90m</w:t>
      </w:r>
      <w:r>
        <w:rPr>
          <w:spacing w:val="-3"/>
        </w:rPr>
        <w:t>； </w:t>
      </w:r>
      <w:r>
        <w:rPr>
          <w:spacing w:val="-31"/>
        </w:rPr>
        <w:t>第 </w:t>
      </w:r>
      <w:r>
        <w:rPr>
          <w:rFonts w:ascii="Times New Roman" w:eastAsia="Times New Roman"/>
        </w:rPr>
        <w:t>4-2a </w:t>
      </w:r>
      <w:r>
        <w:rPr/>
        <w:t>层：砾砂混粘土；</w:t>
      </w:r>
    </w:p>
    <w:p>
      <w:pPr>
        <w:pStyle w:val="BodyText"/>
        <w:spacing w:before="4"/>
        <w:ind w:left="741"/>
      </w:pPr>
      <w:r>
        <w:rPr/>
        <w:t>第 </w:t>
      </w:r>
      <w:r>
        <w:rPr>
          <w:rFonts w:ascii="Times New Roman" w:eastAsia="Times New Roman"/>
        </w:rPr>
        <w:t>4-2 </w:t>
      </w:r>
      <w:r>
        <w:rPr/>
        <w:t>层：圆砾。</w:t>
      </w:r>
    </w:p>
    <w:p>
      <w:pPr>
        <w:pStyle w:val="BodyText"/>
        <w:rPr>
          <w:sz w:val="29"/>
        </w:rPr>
      </w:pPr>
      <w:r>
        <w:rPr/>
        <w:pict>
          <v:line style="position:absolute;mso-position-horizontal-relative:page;mso-position-vertical-relative:paragraph;z-index:-251473920;mso-wrap-distance-left:0;mso-wrap-distance-right:0" from="69.949997pt,20.966208pt" to="511.699997pt,20.966208pt" stroked="true" strokeweight=".75pt" strokecolor="#000000">
            <v:stroke dashstyle="solid"/>
            <w10:wrap type="topAndBottom"/>
          </v:line>
        </w:pict>
      </w:r>
    </w:p>
    <w:p>
      <w:pPr>
        <w:spacing w:after="0"/>
        <w:rPr>
          <w:sz w:val="29"/>
        </w:rPr>
        <w:sectPr>
          <w:headerReference w:type="default" r:id="rId66"/>
          <w:footerReference w:type="default" r:id="rId67"/>
          <w:pgSz w:w="11910" w:h="16850"/>
          <w:pgMar w:header="1004" w:footer="1132" w:top="1240" w:bottom="1320" w:left="1160" w:right="1080"/>
          <w:pgNumType w:start="120"/>
        </w:sectPr>
      </w:pPr>
    </w:p>
    <w:p>
      <w:pPr>
        <w:pStyle w:val="BodyText"/>
        <w:spacing w:before="1"/>
        <w:rPr>
          <w:sz w:val="8"/>
        </w:rPr>
      </w:pPr>
    </w:p>
    <w:p>
      <w:pPr>
        <w:pStyle w:val="BodyText"/>
        <w:spacing w:before="67"/>
        <w:ind w:left="741"/>
      </w:pPr>
      <w:r>
        <w:rPr/>
        <w:t>本地区的地震烈度为Ⅵ度。</w:t>
      </w:r>
    </w:p>
    <w:p>
      <w:pPr>
        <w:pStyle w:val="Heading4"/>
        <w:numPr>
          <w:ilvl w:val="2"/>
          <w:numId w:val="23"/>
        </w:numPr>
        <w:tabs>
          <w:tab w:pos="1039" w:val="left" w:leader="none"/>
        </w:tabs>
        <w:spacing w:line="240" w:lineRule="auto" w:before="158" w:after="0"/>
        <w:ind w:left="1038" w:right="0" w:hanging="541"/>
        <w:jc w:val="left"/>
      </w:pPr>
      <w:r>
        <w:rPr/>
        <w:t>气候特征</w:t>
      </w:r>
    </w:p>
    <w:p>
      <w:pPr>
        <w:pStyle w:val="BodyText"/>
        <w:spacing w:line="364" w:lineRule="auto" w:before="161" w:after="23"/>
        <w:ind w:left="258" w:right="332" w:firstLine="480"/>
        <w:jc w:val="both"/>
      </w:pPr>
      <w:r>
        <w:rPr>
          <w:spacing w:val="-6"/>
        </w:rPr>
        <w:t>上虞属亚热带边缘，是东亚季风盛行的滨海地带，亚热带季风气候。四季分明，雨</w:t>
      </w:r>
      <w:r>
        <w:rPr>
          <w:spacing w:val="-8"/>
        </w:rPr>
        <w:t>水充沛，光照充足，气候温暖湿润。年平均气温 </w:t>
      </w:r>
      <w:r>
        <w:rPr>
          <w:rFonts w:ascii="Times New Roman" w:hAnsi="Times New Roman" w:eastAsia="Times New Roman"/>
        </w:rPr>
        <w:t>17.4</w:t>
      </w:r>
      <w:r>
        <w:rPr>
          <w:spacing w:val="-7"/>
        </w:rPr>
        <w:t>℃，年平均无霜期 </w:t>
      </w:r>
      <w:r>
        <w:rPr>
          <w:rFonts w:ascii="Times New Roman" w:hAnsi="Times New Roman" w:eastAsia="Times New Roman"/>
        </w:rPr>
        <w:t>251 </w:t>
      </w:r>
      <w:r>
        <w:rPr>
          <w:spacing w:val="-5"/>
        </w:rPr>
        <w:t>天，相对湿</w:t>
      </w:r>
      <w:r>
        <w:rPr>
          <w:spacing w:val="-31"/>
        </w:rPr>
        <w:t>度 </w:t>
      </w:r>
      <w:r>
        <w:rPr>
          <w:rFonts w:ascii="Times New Roman" w:hAnsi="Times New Roman" w:eastAsia="Times New Roman"/>
        </w:rPr>
        <w:t>78%</w:t>
      </w:r>
      <w:r>
        <w:rPr/>
        <w:t>，夏季盛行东南风及偏南风，冬季盛行偏北及西北风</w:t>
      </w:r>
      <w:r>
        <w:rPr>
          <w:sz w:val="20"/>
        </w:rPr>
        <w:t>。</w:t>
      </w:r>
      <w:r>
        <w:rPr/>
        <w:t>主要气象参数如下：</w:t>
      </w:r>
    </w:p>
    <w:tbl>
      <w:tblPr>
        <w:tblW w:w="0" w:type="auto"/>
        <w:jc w:val="left"/>
        <w:tblInd w:w="2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8"/>
        <w:gridCol w:w="1631"/>
      </w:tblGrid>
      <w:tr>
        <w:trPr>
          <w:trHeight w:val="366" w:hRule="atLeast"/>
        </w:trPr>
        <w:tc>
          <w:tcPr>
            <w:tcW w:w="2228" w:type="dxa"/>
          </w:tcPr>
          <w:p>
            <w:pPr>
              <w:pStyle w:val="TableParagraph"/>
              <w:spacing w:line="281" w:lineRule="exact"/>
              <w:ind w:left="180" w:right="88"/>
              <w:rPr>
                <w:sz w:val="24"/>
              </w:rPr>
            </w:pPr>
            <w:r>
              <w:rPr>
                <w:sz w:val="24"/>
              </w:rPr>
              <w:t>多年平均气温</w:t>
            </w:r>
          </w:p>
        </w:tc>
        <w:tc>
          <w:tcPr>
            <w:tcW w:w="1631" w:type="dxa"/>
          </w:tcPr>
          <w:p>
            <w:pPr>
              <w:pStyle w:val="TableParagraph"/>
              <w:spacing w:line="281" w:lineRule="exact"/>
              <w:ind w:left="73" w:right="162"/>
              <w:rPr>
                <w:sz w:val="24"/>
              </w:rPr>
            </w:pPr>
            <w:r>
              <w:rPr>
                <w:rFonts w:ascii="Times New Roman" w:hAnsi="Times New Roman"/>
                <w:sz w:val="24"/>
              </w:rPr>
              <w:t>17.4</w:t>
            </w:r>
            <w:r>
              <w:rPr>
                <w:sz w:val="24"/>
              </w:rPr>
              <w:t>℃</w:t>
            </w:r>
          </w:p>
        </w:tc>
      </w:tr>
      <w:tr>
        <w:trPr>
          <w:trHeight w:val="468" w:hRule="atLeast"/>
        </w:trPr>
        <w:tc>
          <w:tcPr>
            <w:tcW w:w="2228" w:type="dxa"/>
          </w:tcPr>
          <w:p>
            <w:pPr>
              <w:pStyle w:val="TableParagraph"/>
              <w:spacing w:before="75"/>
              <w:ind w:left="180" w:right="88"/>
              <w:rPr>
                <w:sz w:val="24"/>
              </w:rPr>
            </w:pPr>
            <w:r>
              <w:rPr>
                <w:sz w:val="24"/>
              </w:rPr>
              <w:t>历年极端最高气温</w:t>
            </w:r>
          </w:p>
        </w:tc>
        <w:tc>
          <w:tcPr>
            <w:tcW w:w="1631" w:type="dxa"/>
          </w:tcPr>
          <w:p>
            <w:pPr>
              <w:pStyle w:val="TableParagraph"/>
              <w:spacing w:before="75"/>
              <w:ind w:left="73" w:right="162"/>
              <w:rPr>
                <w:sz w:val="24"/>
              </w:rPr>
            </w:pPr>
            <w:r>
              <w:rPr>
                <w:rFonts w:ascii="Times New Roman" w:hAnsi="Times New Roman"/>
                <w:sz w:val="24"/>
              </w:rPr>
              <w:t>40.2</w:t>
            </w:r>
            <w:r>
              <w:rPr>
                <w:sz w:val="24"/>
              </w:rPr>
              <w:t>℃</w:t>
            </w:r>
          </w:p>
        </w:tc>
      </w:tr>
      <w:tr>
        <w:trPr>
          <w:trHeight w:val="470" w:hRule="atLeast"/>
        </w:trPr>
        <w:tc>
          <w:tcPr>
            <w:tcW w:w="2228" w:type="dxa"/>
          </w:tcPr>
          <w:p>
            <w:pPr>
              <w:pStyle w:val="TableParagraph"/>
              <w:spacing w:before="75"/>
              <w:ind w:left="180" w:right="88"/>
              <w:rPr>
                <w:sz w:val="24"/>
              </w:rPr>
            </w:pPr>
            <w:r>
              <w:rPr>
                <w:sz w:val="24"/>
              </w:rPr>
              <w:t>历年极端最低气温</w:t>
            </w:r>
          </w:p>
        </w:tc>
        <w:tc>
          <w:tcPr>
            <w:tcW w:w="1631" w:type="dxa"/>
          </w:tcPr>
          <w:p>
            <w:pPr>
              <w:pStyle w:val="TableParagraph"/>
              <w:spacing w:before="75"/>
              <w:ind w:left="71" w:right="163"/>
              <w:rPr>
                <w:sz w:val="24"/>
              </w:rPr>
            </w:pPr>
            <w:r>
              <w:rPr>
                <w:rFonts w:ascii="Times New Roman" w:hAnsi="Times New Roman"/>
                <w:sz w:val="24"/>
              </w:rPr>
              <w:t>-5.9</w:t>
            </w:r>
            <w:r>
              <w:rPr>
                <w:sz w:val="24"/>
              </w:rPr>
              <w:t>℃</w:t>
            </w:r>
          </w:p>
        </w:tc>
      </w:tr>
      <w:tr>
        <w:trPr>
          <w:trHeight w:val="470" w:hRule="atLeast"/>
        </w:trPr>
        <w:tc>
          <w:tcPr>
            <w:tcW w:w="2228" w:type="dxa"/>
          </w:tcPr>
          <w:p>
            <w:pPr>
              <w:pStyle w:val="TableParagraph"/>
              <w:spacing w:before="70"/>
              <w:ind w:left="180" w:right="88"/>
              <w:rPr>
                <w:sz w:val="24"/>
              </w:rPr>
            </w:pPr>
            <w:r>
              <w:rPr>
                <w:sz w:val="24"/>
              </w:rPr>
              <w:t>年平均降水量</w:t>
            </w:r>
          </w:p>
        </w:tc>
        <w:tc>
          <w:tcPr>
            <w:tcW w:w="1631" w:type="dxa"/>
          </w:tcPr>
          <w:p>
            <w:pPr>
              <w:pStyle w:val="TableParagraph"/>
              <w:spacing w:before="93"/>
              <w:ind w:left="72" w:right="163"/>
              <w:rPr>
                <w:rFonts w:ascii="Times New Roman"/>
                <w:sz w:val="24"/>
              </w:rPr>
            </w:pPr>
            <w:r>
              <w:rPr>
                <w:rFonts w:ascii="Times New Roman"/>
                <w:sz w:val="24"/>
              </w:rPr>
              <w:t>1395 mm</w:t>
            </w:r>
          </w:p>
        </w:tc>
      </w:tr>
      <w:tr>
        <w:trPr>
          <w:trHeight w:val="466" w:hRule="atLeast"/>
        </w:trPr>
        <w:tc>
          <w:tcPr>
            <w:tcW w:w="2228" w:type="dxa"/>
          </w:tcPr>
          <w:p>
            <w:pPr>
              <w:pStyle w:val="TableParagraph"/>
              <w:spacing w:before="67"/>
              <w:ind w:left="180" w:right="88"/>
              <w:rPr>
                <w:sz w:val="24"/>
              </w:rPr>
            </w:pPr>
            <w:r>
              <w:rPr>
                <w:sz w:val="24"/>
              </w:rPr>
              <w:t>年最大降水量</w:t>
            </w:r>
          </w:p>
        </w:tc>
        <w:tc>
          <w:tcPr>
            <w:tcW w:w="1631" w:type="dxa"/>
          </w:tcPr>
          <w:p>
            <w:pPr>
              <w:pStyle w:val="TableParagraph"/>
              <w:spacing w:before="91"/>
              <w:ind w:left="71" w:right="163"/>
              <w:rPr>
                <w:rFonts w:ascii="Times New Roman"/>
                <w:sz w:val="24"/>
              </w:rPr>
            </w:pPr>
            <w:r>
              <w:rPr>
                <w:rFonts w:ascii="Times New Roman"/>
                <w:sz w:val="24"/>
              </w:rPr>
              <w:t>1728mm</w:t>
            </w:r>
          </w:p>
        </w:tc>
      </w:tr>
      <w:tr>
        <w:trPr>
          <w:trHeight w:val="463" w:hRule="atLeast"/>
        </w:trPr>
        <w:tc>
          <w:tcPr>
            <w:tcW w:w="2228" w:type="dxa"/>
          </w:tcPr>
          <w:p>
            <w:pPr>
              <w:pStyle w:val="TableParagraph"/>
              <w:spacing w:before="66"/>
              <w:ind w:left="180" w:right="88"/>
              <w:rPr>
                <w:sz w:val="24"/>
              </w:rPr>
            </w:pPr>
            <w:r>
              <w:rPr>
                <w:sz w:val="24"/>
              </w:rPr>
              <w:t>日最大降水量</w:t>
            </w:r>
          </w:p>
        </w:tc>
        <w:tc>
          <w:tcPr>
            <w:tcW w:w="1631" w:type="dxa"/>
          </w:tcPr>
          <w:p>
            <w:pPr>
              <w:pStyle w:val="TableParagraph"/>
              <w:spacing w:before="89"/>
              <w:ind w:left="70" w:right="163"/>
              <w:rPr>
                <w:rFonts w:ascii="Times New Roman"/>
                <w:sz w:val="24"/>
              </w:rPr>
            </w:pPr>
            <w:r>
              <w:rPr>
                <w:rFonts w:ascii="Times New Roman"/>
                <w:sz w:val="24"/>
              </w:rPr>
              <w:t>89mm</w:t>
            </w:r>
          </w:p>
        </w:tc>
      </w:tr>
      <w:tr>
        <w:trPr>
          <w:trHeight w:val="470" w:hRule="atLeast"/>
        </w:trPr>
        <w:tc>
          <w:tcPr>
            <w:tcW w:w="2228" w:type="dxa"/>
          </w:tcPr>
          <w:p>
            <w:pPr>
              <w:pStyle w:val="TableParagraph"/>
              <w:spacing w:before="71"/>
              <w:ind w:left="177" w:right="88"/>
              <w:rPr>
                <w:sz w:val="24"/>
              </w:rPr>
            </w:pPr>
            <w:r>
              <w:rPr>
                <w:rFonts w:ascii="Times New Roman" w:eastAsia="Times New Roman"/>
                <w:sz w:val="24"/>
              </w:rPr>
              <w:t>&gt;25mm </w:t>
            </w:r>
            <w:r>
              <w:rPr>
                <w:sz w:val="24"/>
              </w:rPr>
              <w:t>降水日数</w:t>
            </w:r>
          </w:p>
        </w:tc>
        <w:tc>
          <w:tcPr>
            <w:tcW w:w="1631" w:type="dxa"/>
          </w:tcPr>
          <w:p>
            <w:pPr>
              <w:pStyle w:val="TableParagraph"/>
              <w:spacing w:before="94"/>
              <w:ind w:left="73" w:right="162"/>
              <w:rPr>
                <w:rFonts w:ascii="Times New Roman"/>
                <w:sz w:val="24"/>
              </w:rPr>
            </w:pPr>
            <w:r>
              <w:rPr>
                <w:rFonts w:ascii="Times New Roman"/>
                <w:sz w:val="24"/>
              </w:rPr>
              <w:t>15.5d</w:t>
            </w:r>
          </w:p>
        </w:tc>
      </w:tr>
      <w:tr>
        <w:trPr>
          <w:trHeight w:val="466" w:hRule="atLeast"/>
        </w:trPr>
        <w:tc>
          <w:tcPr>
            <w:tcW w:w="2228" w:type="dxa"/>
          </w:tcPr>
          <w:p>
            <w:pPr>
              <w:pStyle w:val="TableParagraph"/>
              <w:spacing w:before="66"/>
              <w:ind w:left="180" w:right="88"/>
              <w:rPr>
                <w:sz w:val="24"/>
              </w:rPr>
            </w:pPr>
            <w:r>
              <w:rPr>
                <w:sz w:val="24"/>
              </w:rPr>
              <w:t>主导风向</w:t>
            </w:r>
          </w:p>
        </w:tc>
        <w:tc>
          <w:tcPr>
            <w:tcW w:w="1631" w:type="dxa"/>
          </w:tcPr>
          <w:p>
            <w:pPr>
              <w:pStyle w:val="TableParagraph"/>
              <w:spacing w:before="89"/>
              <w:ind w:left="72" w:right="163"/>
              <w:rPr>
                <w:rFonts w:ascii="Times New Roman"/>
                <w:sz w:val="24"/>
              </w:rPr>
            </w:pPr>
            <w:r>
              <w:rPr>
                <w:rFonts w:ascii="Times New Roman"/>
                <w:sz w:val="24"/>
              </w:rPr>
              <w:t>S, 13.78%</w:t>
            </w:r>
          </w:p>
        </w:tc>
      </w:tr>
      <w:tr>
        <w:trPr>
          <w:trHeight w:val="466" w:hRule="atLeast"/>
        </w:trPr>
        <w:tc>
          <w:tcPr>
            <w:tcW w:w="2228" w:type="dxa"/>
          </w:tcPr>
          <w:p>
            <w:pPr>
              <w:pStyle w:val="TableParagraph"/>
              <w:spacing w:before="67"/>
              <w:ind w:left="180" w:right="88"/>
              <w:rPr>
                <w:sz w:val="24"/>
              </w:rPr>
            </w:pPr>
            <w:r>
              <w:rPr>
                <w:sz w:val="24"/>
              </w:rPr>
              <w:t>次主导风向</w:t>
            </w:r>
          </w:p>
        </w:tc>
        <w:tc>
          <w:tcPr>
            <w:tcW w:w="1631" w:type="dxa"/>
          </w:tcPr>
          <w:p>
            <w:pPr>
              <w:pStyle w:val="TableParagraph"/>
              <w:spacing w:before="91"/>
              <w:ind w:left="73" w:right="163"/>
              <w:rPr>
                <w:rFonts w:ascii="Times New Roman"/>
                <w:sz w:val="24"/>
              </w:rPr>
            </w:pPr>
            <w:r>
              <w:rPr>
                <w:rFonts w:ascii="Times New Roman"/>
                <w:sz w:val="24"/>
              </w:rPr>
              <w:t>SSW, 11.38%</w:t>
            </w:r>
          </w:p>
        </w:tc>
      </w:tr>
      <w:tr>
        <w:trPr>
          <w:trHeight w:val="466" w:hRule="atLeast"/>
        </w:trPr>
        <w:tc>
          <w:tcPr>
            <w:tcW w:w="2228" w:type="dxa"/>
          </w:tcPr>
          <w:p>
            <w:pPr>
              <w:pStyle w:val="TableParagraph"/>
              <w:spacing w:before="66"/>
              <w:ind w:left="180" w:right="88"/>
              <w:rPr>
                <w:sz w:val="24"/>
              </w:rPr>
            </w:pPr>
            <w:r>
              <w:rPr>
                <w:sz w:val="24"/>
              </w:rPr>
              <w:t>夏季主导风向</w:t>
            </w:r>
          </w:p>
        </w:tc>
        <w:tc>
          <w:tcPr>
            <w:tcW w:w="1631" w:type="dxa"/>
          </w:tcPr>
          <w:p>
            <w:pPr>
              <w:pStyle w:val="TableParagraph"/>
              <w:spacing w:before="89"/>
              <w:ind w:left="71" w:right="163"/>
              <w:rPr>
                <w:rFonts w:ascii="Times New Roman"/>
                <w:sz w:val="24"/>
              </w:rPr>
            </w:pPr>
            <w:r>
              <w:rPr>
                <w:rFonts w:ascii="Times New Roman"/>
                <w:sz w:val="24"/>
              </w:rPr>
              <w:t>S, 21.45%</w:t>
            </w:r>
          </w:p>
        </w:tc>
      </w:tr>
      <w:tr>
        <w:trPr>
          <w:trHeight w:val="467" w:hRule="atLeast"/>
        </w:trPr>
        <w:tc>
          <w:tcPr>
            <w:tcW w:w="2228" w:type="dxa"/>
          </w:tcPr>
          <w:p>
            <w:pPr>
              <w:pStyle w:val="TableParagraph"/>
              <w:spacing w:before="67"/>
              <w:ind w:left="180" w:right="88"/>
              <w:rPr>
                <w:sz w:val="24"/>
              </w:rPr>
            </w:pPr>
            <w:r>
              <w:rPr>
                <w:sz w:val="24"/>
              </w:rPr>
              <w:t>冬季主导风向</w:t>
            </w:r>
          </w:p>
        </w:tc>
        <w:tc>
          <w:tcPr>
            <w:tcW w:w="1631" w:type="dxa"/>
          </w:tcPr>
          <w:p>
            <w:pPr>
              <w:pStyle w:val="TableParagraph"/>
              <w:spacing w:before="91"/>
              <w:ind w:left="69" w:right="163"/>
              <w:rPr>
                <w:rFonts w:ascii="Times New Roman"/>
                <w:sz w:val="24"/>
              </w:rPr>
            </w:pPr>
            <w:r>
              <w:rPr>
                <w:rFonts w:ascii="Times New Roman"/>
                <w:sz w:val="24"/>
              </w:rPr>
              <w:t>NNW, 9.19%</w:t>
            </w:r>
          </w:p>
        </w:tc>
      </w:tr>
      <w:tr>
        <w:trPr>
          <w:trHeight w:val="466" w:hRule="atLeast"/>
        </w:trPr>
        <w:tc>
          <w:tcPr>
            <w:tcW w:w="2228" w:type="dxa"/>
          </w:tcPr>
          <w:p>
            <w:pPr>
              <w:pStyle w:val="TableParagraph"/>
              <w:spacing w:before="66"/>
              <w:ind w:left="180" w:right="88"/>
              <w:rPr>
                <w:sz w:val="24"/>
              </w:rPr>
            </w:pPr>
            <w:r>
              <w:rPr>
                <w:sz w:val="24"/>
              </w:rPr>
              <w:t>多年平均风速</w:t>
            </w:r>
          </w:p>
        </w:tc>
        <w:tc>
          <w:tcPr>
            <w:tcW w:w="1631" w:type="dxa"/>
          </w:tcPr>
          <w:p>
            <w:pPr>
              <w:pStyle w:val="TableParagraph"/>
              <w:spacing w:before="90"/>
              <w:ind w:left="71" w:right="163"/>
              <w:rPr>
                <w:rFonts w:ascii="Times New Roman"/>
                <w:sz w:val="24"/>
              </w:rPr>
            </w:pPr>
            <w:r>
              <w:rPr>
                <w:rFonts w:ascii="Times New Roman"/>
                <w:sz w:val="24"/>
              </w:rPr>
              <w:t>2.59m/s</w:t>
            </w:r>
          </w:p>
        </w:tc>
      </w:tr>
      <w:tr>
        <w:trPr>
          <w:trHeight w:val="466" w:hRule="atLeast"/>
        </w:trPr>
        <w:tc>
          <w:tcPr>
            <w:tcW w:w="2228" w:type="dxa"/>
          </w:tcPr>
          <w:p>
            <w:pPr>
              <w:pStyle w:val="TableParagraph"/>
              <w:spacing w:before="67"/>
              <w:ind w:left="180" w:right="88"/>
              <w:rPr>
                <w:sz w:val="24"/>
              </w:rPr>
            </w:pPr>
            <w:r>
              <w:rPr>
                <w:sz w:val="24"/>
              </w:rPr>
              <w:t>年平均台风影响</w:t>
            </w:r>
          </w:p>
        </w:tc>
        <w:tc>
          <w:tcPr>
            <w:tcW w:w="1631" w:type="dxa"/>
          </w:tcPr>
          <w:p>
            <w:pPr>
              <w:pStyle w:val="TableParagraph"/>
              <w:spacing w:before="91"/>
              <w:ind w:left="73" w:right="162"/>
              <w:rPr>
                <w:rFonts w:ascii="Times New Roman"/>
                <w:sz w:val="24"/>
              </w:rPr>
            </w:pPr>
            <w:r>
              <w:rPr>
                <w:rFonts w:ascii="Times New Roman"/>
                <w:sz w:val="24"/>
              </w:rPr>
              <w:t>1.5d</w:t>
            </w:r>
          </w:p>
        </w:tc>
      </w:tr>
      <w:tr>
        <w:trPr>
          <w:trHeight w:val="466" w:hRule="atLeast"/>
        </w:trPr>
        <w:tc>
          <w:tcPr>
            <w:tcW w:w="2228" w:type="dxa"/>
          </w:tcPr>
          <w:p>
            <w:pPr>
              <w:pStyle w:val="TableParagraph"/>
              <w:spacing w:before="66"/>
              <w:ind w:left="180" w:right="88"/>
              <w:rPr>
                <w:sz w:val="24"/>
              </w:rPr>
            </w:pPr>
            <w:r>
              <w:rPr>
                <w:sz w:val="24"/>
              </w:rPr>
              <w:t>台风持续时间</w:t>
            </w:r>
          </w:p>
        </w:tc>
        <w:tc>
          <w:tcPr>
            <w:tcW w:w="1631" w:type="dxa"/>
          </w:tcPr>
          <w:p>
            <w:pPr>
              <w:pStyle w:val="TableParagraph"/>
              <w:spacing w:before="89"/>
              <w:ind w:left="73" w:right="162"/>
              <w:rPr>
                <w:rFonts w:ascii="Times New Roman"/>
                <w:sz w:val="24"/>
              </w:rPr>
            </w:pPr>
            <w:r>
              <w:rPr>
                <w:rFonts w:ascii="Times New Roman"/>
                <w:sz w:val="24"/>
              </w:rPr>
              <w:t>2-3d</w:t>
            </w:r>
          </w:p>
        </w:tc>
      </w:tr>
      <w:tr>
        <w:trPr>
          <w:trHeight w:val="366" w:hRule="atLeast"/>
        </w:trPr>
        <w:tc>
          <w:tcPr>
            <w:tcW w:w="2228" w:type="dxa"/>
          </w:tcPr>
          <w:p>
            <w:pPr>
              <w:pStyle w:val="TableParagraph"/>
              <w:spacing w:line="279" w:lineRule="exact" w:before="67"/>
              <w:ind w:left="180" w:right="88"/>
              <w:rPr>
                <w:sz w:val="24"/>
              </w:rPr>
            </w:pPr>
            <w:r>
              <w:rPr>
                <w:sz w:val="24"/>
              </w:rPr>
              <w:t>历年相对湿度</w:t>
            </w:r>
          </w:p>
        </w:tc>
        <w:tc>
          <w:tcPr>
            <w:tcW w:w="1631" w:type="dxa"/>
          </w:tcPr>
          <w:p>
            <w:pPr>
              <w:pStyle w:val="TableParagraph"/>
              <w:spacing w:line="256" w:lineRule="exact" w:before="91"/>
              <w:ind w:left="73" w:right="162"/>
              <w:rPr>
                <w:rFonts w:ascii="Times New Roman"/>
                <w:sz w:val="24"/>
              </w:rPr>
            </w:pPr>
            <w:r>
              <w:rPr>
                <w:rFonts w:ascii="Times New Roman"/>
                <w:sz w:val="24"/>
              </w:rPr>
              <w:t>78%</w:t>
            </w:r>
          </w:p>
        </w:tc>
      </w:tr>
    </w:tbl>
    <w:p>
      <w:pPr>
        <w:pStyle w:val="BodyText"/>
        <w:spacing w:line="364" w:lineRule="auto" w:before="166"/>
        <w:ind w:left="258" w:right="274" w:firstLine="480"/>
        <w:jc w:val="both"/>
      </w:pPr>
      <w:r>
        <w:rPr>
          <w:spacing w:val="-2"/>
        </w:rPr>
        <w:t>本区域灾害性天气四季皆有可能发生，较为特殊的是台风，常发生在每年 </w:t>
      </w:r>
      <w:r>
        <w:rPr>
          <w:rFonts w:ascii="Times New Roman" w:eastAsia="Times New Roman"/>
        </w:rPr>
        <w:t>7~9 </w:t>
      </w:r>
      <w:r>
        <w:rPr>
          <w:spacing w:val="-8"/>
        </w:rPr>
        <w:t>月， </w:t>
      </w:r>
      <w:r>
        <w:rPr/>
        <w:t>因台风季节常伴有狂风暴雨，短期内的暴雨造成局部区域水患。</w:t>
      </w:r>
    </w:p>
    <w:p>
      <w:pPr>
        <w:pStyle w:val="Heading4"/>
        <w:numPr>
          <w:ilvl w:val="2"/>
          <w:numId w:val="23"/>
        </w:numPr>
        <w:tabs>
          <w:tab w:pos="1039" w:val="left" w:leader="none"/>
        </w:tabs>
        <w:spacing w:line="240" w:lineRule="auto" w:before="1" w:after="0"/>
        <w:ind w:left="1038" w:right="0" w:hanging="541"/>
        <w:jc w:val="left"/>
      </w:pPr>
      <w:r>
        <w:rPr/>
        <w:t>水文特征</w:t>
      </w:r>
    </w:p>
    <w:p>
      <w:pPr>
        <w:spacing w:before="159"/>
        <w:ind w:left="731" w:right="0" w:firstLine="0"/>
        <w:jc w:val="left"/>
        <w:rPr>
          <w:b/>
          <w:sz w:val="24"/>
        </w:rPr>
      </w:pPr>
      <w:r>
        <w:rPr>
          <w:rFonts w:ascii="Times New Roman" w:eastAsia="Times New Roman"/>
          <w:b/>
          <w:sz w:val="24"/>
        </w:rPr>
        <w:t>1</w:t>
      </w:r>
      <w:r>
        <w:rPr>
          <w:b/>
          <w:sz w:val="24"/>
        </w:rPr>
        <w:t>、海域</w:t>
      </w:r>
    </w:p>
    <w:p>
      <w:pPr>
        <w:pStyle w:val="BodyText"/>
        <w:spacing w:line="364" w:lineRule="auto" w:before="161"/>
        <w:ind w:left="258" w:right="212" w:firstLine="480"/>
      </w:pPr>
      <w:r>
        <w:rPr>
          <w:spacing w:val="-12"/>
        </w:rPr>
        <w:t>北侧海堤外属钱塘江河口区，杭州湾尖山河段南侧，潮流类型属非正规半日海潮流。</w:t>
      </w:r>
      <w:r>
        <w:rPr>
          <w:spacing w:val="-3"/>
        </w:rPr>
        <w:t>流向基本上为往复流，涨潮流向 </w:t>
      </w:r>
      <w:r>
        <w:rPr>
          <w:rFonts w:ascii="Times New Roman" w:eastAsia="Times New Roman"/>
        </w:rPr>
        <w:t>250</w:t>
      </w:r>
      <w:r>
        <w:rPr>
          <w:rFonts w:ascii="Times New Roman" w:eastAsia="Times New Roman"/>
          <w:spacing w:val="17"/>
        </w:rPr>
        <w:t> </w:t>
      </w:r>
      <w:r>
        <w:rPr>
          <w:spacing w:val="-5"/>
        </w:rPr>
        <w:t>度左右，落潮流向 </w:t>
      </w:r>
      <w:r>
        <w:rPr>
          <w:rFonts w:ascii="Times New Roman" w:eastAsia="Times New Roman"/>
        </w:rPr>
        <w:t>75</w:t>
      </w:r>
      <w:r>
        <w:rPr>
          <w:rFonts w:ascii="Times New Roman" w:eastAsia="Times New Roman"/>
          <w:spacing w:val="17"/>
        </w:rPr>
        <w:t> </w:t>
      </w:r>
      <w:r>
        <w:rPr/>
        <w:t>度左右。根据浙江交通设计</w:t>
      </w:r>
      <w:r>
        <w:rPr>
          <w:spacing w:val="-7"/>
        </w:rPr>
        <w:t>院航测队 </w:t>
      </w:r>
      <w:r>
        <w:rPr>
          <w:rFonts w:ascii="Times New Roman" w:eastAsia="Times New Roman"/>
        </w:rPr>
        <w:t>1993</w:t>
      </w:r>
      <w:r>
        <w:rPr>
          <w:rFonts w:ascii="Times New Roman" w:eastAsia="Times New Roman"/>
          <w:spacing w:val="28"/>
        </w:rPr>
        <w:t> </w:t>
      </w:r>
      <w:r>
        <w:rPr>
          <w:spacing w:val="-3"/>
        </w:rPr>
        <w:t>年实测，盖北码头前，涨潮测点最大流速为 </w:t>
      </w:r>
      <w:r>
        <w:rPr>
          <w:rFonts w:ascii="Times New Roman" w:eastAsia="Times New Roman"/>
        </w:rPr>
        <w:t>4.087m/s</w:t>
      </w:r>
      <w:r>
        <w:rPr/>
        <w:t>，落潮测点最大流</w:t>
      </w:r>
      <w:r>
        <w:rPr>
          <w:spacing w:val="-20"/>
        </w:rPr>
        <w:t>速为 </w:t>
      </w:r>
      <w:r>
        <w:rPr>
          <w:rFonts w:ascii="Times New Roman" w:eastAsia="Times New Roman"/>
        </w:rPr>
        <w:t>1.261m/s</w:t>
      </w:r>
      <w:r>
        <w:rPr>
          <w:spacing w:val="-13"/>
        </w:rPr>
        <w:t>。波浪以风浪为主，外海波浪除东或北东风有涌浪传入外，一般为浅水波， </w:t>
      </w:r>
      <w:r>
        <w:rPr>
          <w:spacing w:val="-8"/>
        </w:rPr>
        <w:t>目测最大风浪高 </w:t>
      </w:r>
      <w:r>
        <w:rPr>
          <w:rFonts w:ascii="Times New Roman" w:eastAsia="Times New Roman"/>
        </w:rPr>
        <w:t>2m </w:t>
      </w:r>
      <w:r>
        <w:rPr>
          <w:spacing w:val="-9"/>
        </w:rPr>
        <w:t>左右，该地区 </w:t>
      </w:r>
      <w:r>
        <w:rPr>
          <w:rFonts w:ascii="Times New Roman" w:eastAsia="Times New Roman"/>
        </w:rPr>
        <w:t>50 </w:t>
      </w:r>
      <w:r>
        <w:rPr>
          <w:spacing w:val="-9"/>
        </w:rPr>
        <w:t>年一遇高潮位 </w:t>
      </w:r>
      <w:r>
        <w:rPr>
          <w:rFonts w:ascii="Times New Roman" w:eastAsia="Times New Roman"/>
        </w:rPr>
        <w:t>7.10m</w:t>
      </w:r>
      <w:r>
        <w:rPr/>
        <w:t>。本河段河槽近期变化不大， 处于即冲亦於动态平衡之中，澉浦站潮汐特征值统计如下：</w:t>
      </w:r>
    </w:p>
    <w:p>
      <w:pPr>
        <w:spacing w:after="0" w:line="364" w:lineRule="auto"/>
        <w:sectPr>
          <w:footerReference w:type="default" r:id="rId68"/>
          <w:pgSz w:w="11910" w:h="16850"/>
          <w:pgMar w:footer="1088" w:header="1004" w:top="1240" w:bottom="1280" w:left="1160" w:right="1080"/>
          <w:pgNumType w:start="121"/>
        </w:sectPr>
      </w:pPr>
    </w:p>
    <w:tbl>
      <w:tblPr>
        <w:tblW w:w="0" w:type="auto"/>
        <w:jc w:val="left"/>
        <w:tblInd w:w="2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8"/>
        <w:gridCol w:w="2234"/>
      </w:tblGrid>
      <w:tr>
        <w:trPr>
          <w:trHeight w:val="577" w:hRule="atLeast"/>
        </w:trPr>
        <w:tc>
          <w:tcPr>
            <w:tcW w:w="1748" w:type="dxa"/>
          </w:tcPr>
          <w:p>
            <w:pPr>
              <w:pStyle w:val="TableParagraph"/>
              <w:spacing w:before="177"/>
              <w:ind w:left="180" w:right="88"/>
              <w:rPr>
                <w:sz w:val="24"/>
              </w:rPr>
            </w:pPr>
            <w:r>
              <w:rPr>
                <w:sz w:val="24"/>
              </w:rPr>
              <w:t>历年最高潮位</w:t>
            </w:r>
          </w:p>
        </w:tc>
        <w:tc>
          <w:tcPr>
            <w:tcW w:w="2234" w:type="dxa"/>
          </w:tcPr>
          <w:p>
            <w:pPr>
              <w:pStyle w:val="TableParagraph"/>
              <w:spacing w:before="201"/>
              <w:ind w:left="88" w:right="176"/>
              <w:rPr>
                <w:rFonts w:ascii="Times New Roman"/>
                <w:sz w:val="24"/>
              </w:rPr>
            </w:pPr>
            <w:r>
              <w:rPr>
                <w:rFonts w:ascii="Times New Roman"/>
                <w:sz w:val="24"/>
              </w:rPr>
              <w:t>8.05m(1974,08,20)</w:t>
            </w:r>
          </w:p>
        </w:tc>
      </w:tr>
      <w:tr>
        <w:trPr>
          <w:trHeight w:val="466" w:hRule="atLeast"/>
        </w:trPr>
        <w:tc>
          <w:tcPr>
            <w:tcW w:w="1748" w:type="dxa"/>
          </w:tcPr>
          <w:p>
            <w:pPr>
              <w:pStyle w:val="TableParagraph"/>
              <w:spacing w:before="66"/>
              <w:ind w:left="180" w:right="88"/>
              <w:rPr>
                <w:sz w:val="24"/>
              </w:rPr>
            </w:pPr>
            <w:r>
              <w:rPr>
                <w:sz w:val="24"/>
              </w:rPr>
              <w:t>历史最低潮位</w:t>
            </w:r>
          </w:p>
        </w:tc>
        <w:tc>
          <w:tcPr>
            <w:tcW w:w="2234" w:type="dxa"/>
          </w:tcPr>
          <w:p>
            <w:pPr>
              <w:pStyle w:val="TableParagraph"/>
              <w:spacing w:before="89"/>
              <w:ind w:left="88" w:right="178"/>
              <w:rPr>
                <w:rFonts w:ascii="Times New Roman"/>
                <w:sz w:val="24"/>
              </w:rPr>
            </w:pPr>
            <w:r>
              <w:rPr>
                <w:rFonts w:ascii="Times New Roman"/>
                <w:sz w:val="24"/>
              </w:rPr>
              <w:t>-2.28m(1961,05,03)</w:t>
            </w:r>
          </w:p>
        </w:tc>
      </w:tr>
      <w:tr>
        <w:trPr>
          <w:trHeight w:val="366" w:hRule="atLeast"/>
        </w:trPr>
        <w:tc>
          <w:tcPr>
            <w:tcW w:w="1748" w:type="dxa"/>
          </w:tcPr>
          <w:p>
            <w:pPr>
              <w:pStyle w:val="TableParagraph"/>
              <w:spacing w:line="279" w:lineRule="exact" w:before="67"/>
              <w:ind w:left="180" w:right="88"/>
              <w:rPr>
                <w:sz w:val="24"/>
              </w:rPr>
            </w:pPr>
            <w:r>
              <w:rPr>
                <w:sz w:val="24"/>
              </w:rPr>
              <w:t>平均高潮位</w:t>
            </w:r>
          </w:p>
        </w:tc>
        <w:tc>
          <w:tcPr>
            <w:tcW w:w="2234" w:type="dxa"/>
          </w:tcPr>
          <w:p>
            <w:pPr>
              <w:pStyle w:val="TableParagraph"/>
              <w:spacing w:line="256" w:lineRule="exact" w:before="91"/>
              <w:ind w:left="88" w:right="176"/>
              <w:rPr>
                <w:rFonts w:ascii="Times New Roman"/>
                <w:sz w:val="24"/>
              </w:rPr>
            </w:pPr>
            <w:r>
              <w:rPr>
                <w:rFonts w:ascii="Times New Roman"/>
                <w:sz w:val="24"/>
              </w:rPr>
              <w:t>4.91m</w:t>
            </w:r>
          </w:p>
        </w:tc>
      </w:tr>
    </w:tbl>
    <w:p>
      <w:pPr>
        <w:pStyle w:val="BodyText"/>
        <w:spacing w:before="2"/>
        <w:rPr>
          <w:sz w:val="7"/>
        </w:rPr>
      </w:pPr>
    </w:p>
    <w:p>
      <w:pPr>
        <w:pStyle w:val="Heading4"/>
        <w:spacing w:before="74"/>
        <w:ind w:left="731"/>
      </w:pPr>
      <w:r>
        <w:rPr>
          <w:rFonts w:ascii="Times New Roman" w:eastAsia="Times New Roman"/>
        </w:rPr>
        <w:t>2</w:t>
      </w:r>
      <w:r>
        <w:rPr/>
        <w:t>、曹娥江</w:t>
      </w:r>
    </w:p>
    <w:p>
      <w:pPr>
        <w:pStyle w:val="BodyText"/>
        <w:spacing w:line="364" w:lineRule="auto" w:before="161"/>
        <w:ind w:left="258" w:right="212" w:firstLine="480"/>
      </w:pPr>
      <w:r>
        <w:rPr>
          <w:spacing w:val="-4"/>
        </w:rPr>
        <w:t>为钱塘江河口段主要支流，其上游属山溪性河流，下游属潮汐性河道。曹娥江主流</w:t>
      </w:r>
      <w:r>
        <w:rPr>
          <w:spacing w:val="-32"/>
        </w:rPr>
        <w:t>长 </w:t>
      </w:r>
      <w:r>
        <w:rPr>
          <w:rFonts w:ascii="Times New Roman" w:eastAsia="Times New Roman"/>
          <w:spacing w:val="-8"/>
        </w:rPr>
        <w:t>197km</w:t>
      </w:r>
      <w:r>
        <w:rPr>
          <w:spacing w:val="-10"/>
        </w:rPr>
        <w:t>，主河道平均坡降 </w:t>
      </w:r>
      <w:r>
        <w:rPr>
          <w:rFonts w:ascii="Times New Roman" w:eastAsia="Times New Roman"/>
          <w:spacing w:val="-9"/>
        </w:rPr>
        <w:t>3.0%</w:t>
      </w:r>
      <w:r>
        <w:rPr>
          <w:spacing w:val="-13"/>
        </w:rPr>
        <w:t>，流域面积 </w:t>
      </w:r>
      <w:r>
        <w:rPr>
          <w:rFonts w:ascii="Times New Roman" w:eastAsia="Times New Roman"/>
          <w:spacing w:val="-6"/>
        </w:rPr>
        <w:t>6080km</w:t>
      </w:r>
      <w:r>
        <w:rPr>
          <w:rFonts w:ascii="Times New Roman" w:eastAsia="Times New Roman"/>
          <w:spacing w:val="-6"/>
          <w:position w:val="9"/>
          <w:sz w:val="16"/>
        </w:rPr>
        <w:t>2</w:t>
      </w:r>
      <w:r>
        <w:rPr>
          <w:spacing w:val="-8"/>
        </w:rPr>
        <w:t>，河口多年平均流量为 </w:t>
      </w:r>
      <w:r>
        <w:rPr>
          <w:rFonts w:ascii="Times New Roman" w:eastAsia="Times New Roman"/>
        </w:rPr>
        <w:t>38.7 </w:t>
      </w:r>
      <w:r>
        <w:rPr>
          <w:spacing w:val="-29"/>
        </w:rPr>
        <w:t>亿 </w:t>
      </w:r>
      <w:r>
        <w:rPr>
          <w:rFonts w:ascii="Times New Roman" w:eastAsia="Times New Roman"/>
        </w:rPr>
        <w:t>m</w:t>
      </w:r>
      <w:r>
        <w:rPr>
          <w:rFonts w:ascii="Times New Roman" w:eastAsia="Times New Roman"/>
          <w:position w:val="9"/>
          <w:sz w:val="16"/>
        </w:rPr>
        <w:t>3</w:t>
      </w:r>
      <w:r>
        <w:rPr>
          <w:spacing w:val="-11"/>
        </w:rPr>
        <w:t>。</w:t>
      </w:r>
      <w:r>
        <w:rPr>
          <w:spacing w:val="-3"/>
        </w:rPr>
        <w:t>随着上游水库建设和用水量的增加，河口平均径流量为 </w:t>
      </w:r>
      <w:r>
        <w:rPr>
          <w:rFonts w:ascii="Times New Roman" w:eastAsia="Times New Roman"/>
        </w:rPr>
        <w:t>34.8 </w:t>
      </w:r>
      <w:r>
        <w:rPr>
          <w:spacing w:val="-30"/>
        </w:rPr>
        <w:t>亿 </w:t>
      </w:r>
      <w:r>
        <w:rPr>
          <w:rFonts w:ascii="Times New Roman" w:eastAsia="Times New Roman"/>
        </w:rPr>
        <w:t>m</w:t>
      </w:r>
      <w:r>
        <w:rPr>
          <w:rFonts w:ascii="Times New Roman" w:eastAsia="Times New Roman"/>
          <w:position w:val="9"/>
          <w:sz w:val="16"/>
        </w:rPr>
        <w:t>3</w:t>
      </w:r>
      <w:r>
        <w:rPr/>
        <w:t>。</w:t>
      </w:r>
    </w:p>
    <w:p>
      <w:pPr>
        <w:pStyle w:val="Heading4"/>
        <w:spacing w:line="307" w:lineRule="exact"/>
        <w:ind w:left="741"/>
      </w:pPr>
      <w:r>
        <w:rPr>
          <w:rFonts w:ascii="Times New Roman" w:eastAsia="Times New Roman"/>
        </w:rPr>
        <w:t>3</w:t>
      </w:r>
      <w:r>
        <w:rPr/>
        <w:t>、东进闸总干河</w:t>
      </w:r>
    </w:p>
    <w:p>
      <w:pPr>
        <w:pStyle w:val="BodyText"/>
        <w:spacing w:line="364" w:lineRule="auto" w:before="159"/>
        <w:ind w:left="258" w:right="332" w:firstLine="482"/>
        <w:jc w:val="both"/>
      </w:pPr>
      <w:r>
        <w:rPr>
          <w:spacing w:val="-4"/>
        </w:rPr>
        <w:t>开发区的东进闸总干河是虞北地区的排涝河。总干河与其西侧地块中部东西走向的</w:t>
      </w:r>
      <w:r>
        <w:rPr>
          <w:spacing w:val="-2"/>
        </w:rPr>
        <w:t>中心河相接。常年水位为 </w:t>
      </w:r>
      <w:r>
        <w:rPr>
          <w:rFonts w:ascii="Times New Roman" w:eastAsia="Times New Roman"/>
        </w:rPr>
        <w:t>2.70m</w:t>
      </w:r>
      <w:r>
        <w:rPr>
          <w:spacing w:val="-4"/>
        </w:rPr>
        <w:t>，低水位为 </w:t>
      </w:r>
      <w:r>
        <w:rPr>
          <w:rFonts w:ascii="Times New Roman" w:eastAsia="Times New Roman"/>
        </w:rPr>
        <w:t>2.50m</w:t>
      </w:r>
      <w:r>
        <w:rPr>
          <w:spacing w:val="-4"/>
        </w:rPr>
        <w:t>，高水位为 </w:t>
      </w:r>
      <w:r>
        <w:rPr>
          <w:rFonts w:ascii="Times New Roman" w:eastAsia="Times New Roman"/>
        </w:rPr>
        <w:t>3.10m</w:t>
      </w:r>
      <w:r>
        <w:rPr>
          <w:spacing w:val="-2"/>
        </w:rPr>
        <w:t>。总干河经东进闸</w:t>
      </w:r>
      <w:r>
        <w:rPr>
          <w:spacing w:val="-4"/>
        </w:rPr>
        <w:t>与外海相通，东进河水位超过 </w:t>
      </w:r>
      <w:r>
        <w:rPr>
          <w:rFonts w:ascii="Times New Roman" w:eastAsia="Times New Roman"/>
        </w:rPr>
        <w:t>3.1m </w:t>
      </w:r>
      <w:r>
        <w:rPr>
          <w:spacing w:val="-4"/>
        </w:rPr>
        <w:t>时，东进河开闸排涝；水位低于 </w:t>
      </w:r>
      <w:r>
        <w:rPr>
          <w:rFonts w:ascii="Times New Roman" w:eastAsia="Times New Roman"/>
        </w:rPr>
        <w:t>2.50m </w:t>
      </w:r>
      <w:r>
        <w:rPr>
          <w:spacing w:val="-3"/>
        </w:rPr>
        <w:t>时，引曹娥</w:t>
      </w:r>
      <w:r>
        <w:rPr/>
        <w:t>江水补给。</w:t>
      </w:r>
    </w:p>
    <w:p>
      <w:pPr>
        <w:pStyle w:val="BodyText"/>
        <w:spacing w:line="364" w:lineRule="auto"/>
        <w:ind w:left="258" w:right="332" w:firstLine="482"/>
        <w:jc w:val="both"/>
      </w:pPr>
      <w:r>
        <w:rPr>
          <w:spacing w:val="-5"/>
        </w:rPr>
        <w:t>开发区中心河横穿开发区中心，中间被东进闸总干河隔开，分东西两部分，总干河以西部分全长 </w:t>
      </w:r>
      <w:r>
        <w:rPr>
          <w:rFonts w:ascii="Times New Roman" w:eastAsia="Times New Roman"/>
        </w:rPr>
        <w:t>4.77km</w:t>
      </w:r>
      <w:r>
        <w:rPr>
          <w:spacing w:val="-3"/>
        </w:rPr>
        <w:t>，总干河以东部分全长 </w:t>
      </w:r>
      <w:r>
        <w:rPr>
          <w:rFonts w:ascii="Times New Roman" w:eastAsia="Times New Roman"/>
        </w:rPr>
        <w:t>4.48km</w:t>
      </w:r>
      <w:r>
        <w:rPr>
          <w:spacing w:val="-1"/>
        </w:rPr>
        <w:t>，主要接纳开发区企业雨水，中心</w:t>
      </w:r>
      <w:r>
        <w:rPr/>
        <w:t>河水最终汇入东进闸总干河，经东进闸与杭州湾相通。</w:t>
      </w:r>
    </w:p>
    <w:p>
      <w:pPr>
        <w:pStyle w:val="Heading4"/>
        <w:numPr>
          <w:ilvl w:val="2"/>
          <w:numId w:val="23"/>
        </w:numPr>
        <w:tabs>
          <w:tab w:pos="1039" w:val="left" w:leader="none"/>
        </w:tabs>
        <w:spacing w:line="307" w:lineRule="exact" w:before="0" w:after="0"/>
        <w:ind w:left="1038" w:right="0" w:hanging="541"/>
        <w:jc w:val="left"/>
      </w:pPr>
      <w:r>
        <w:rPr/>
        <w:t>土壤和植被</w:t>
      </w:r>
    </w:p>
    <w:p>
      <w:pPr>
        <w:pStyle w:val="BodyText"/>
        <w:spacing w:line="364" w:lineRule="auto" w:before="156"/>
        <w:ind w:left="258" w:right="332" w:firstLine="480"/>
        <w:jc w:val="both"/>
      </w:pPr>
      <w:r>
        <w:rPr>
          <w:spacing w:val="-10"/>
        </w:rPr>
        <w:t>上虞土壤有 </w:t>
      </w:r>
      <w:r>
        <w:rPr>
          <w:rFonts w:ascii="Times New Roman" w:eastAsia="Times New Roman"/>
        </w:rPr>
        <w:t>6</w:t>
      </w:r>
      <w:r>
        <w:rPr>
          <w:rFonts w:ascii="Times New Roman" w:eastAsia="Times New Roman"/>
          <w:spacing w:val="2"/>
        </w:rPr>
        <w:t> </w:t>
      </w:r>
      <w:r>
        <w:rPr/>
        <w:t>个土类，</w:t>
      </w:r>
      <w:r>
        <w:rPr>
          <w:rFonts w:ascii="Times New Roman" w:eastAsia="Times New Roman"/>
        </w:rPr>
        <w:t>15</w:t>
      </w:r>
      <w:r>
        <w:rPr>
          <w:rFonts w:ascii="Times New Roman" w:eastAsia="Times New Roman"/>
          <w:spacing w:val="2"/>
        </w:rPr>
        <w:t> </w:t>
      </w:r>
      <w:r>
        <w:rPr/>
        <w:t>个亚类、</w:t>
      </w:r>
      <w:r>
        <w:rPr>
          <w:rFonts w:ascii="Times New Roman" w:eastAsia="Times New Roman"/>
        </w:rPr>
        <w:t>47</w:t>
      </w:r>
      <w:r>
        <w:rPr>
          <w:rFonts w:ascii="Times New Roman" w:eastAsia="Times New Roman"/>
          <w:spacing w:val="2"/>
        </w:rPr>
        <w:t> </w:t>
      </w:r>
      <w:r>
        <w:rPr/>
        <w:t>个土属、</w:t>
      </w:r>
      <w:r>
        <w:rPr>
          <w:rFonts w:ascii="Times New Roman" w:eastAsia="Times New Roman"/>
        </w:rPr>
        <w:t>84</w:t>
      </w:r>
      <w:r>
        <w:rPr>
          <w:rFonts w:ascii="Times New Roman" w:eastAsia="Times New Roman"/>
          <w:spacing w:val="2"/>
        </w:rPr>
        <w:t> </w:t>
      </w:r>
      <w:r>
        <w:rPr>
          <w:spacing w:val="-1"/>
        </w:rPr>
        <w:t>个土种。红壤土类是上虞分布最</w:t>
      </w:r>
      <w:r>
        <w:rPr>
          <w:spacing w:val="-6"/>
        </w:rPr>
        <w:t>广的一种土类，面积约 </w:t>
      </w:r>
      <w:r>
        <w:rPr>
          <w:rFonts w:ascii="Times New Roman" w:eastAsia="Times New Roman"/>
        </w:rPr>
        <w:t>69.76</w:t>
      </w:r>
      <w:r>
        <w:rPr>
          <w:rFonts w:ascii="Times New Roman" w:eastAsia="Times New Roman"/>
          <w:spacing w:val="3"/>
        </w:rPr>
        <w:t> </w:t>
      </w:r>
      <w:r>
        <w:rPr>
          <w:spacing w:val="-5"/>
        </w:rPr>
        <w:t>万亩；黄壤土类分布在海拔 </w:t>
      </w:r>
      <w:r>
        <w:rPr>
          <w:rFonts w:ascii="Times New Roman" w:eastAsia="Times New Roman"/>
        </w:rPr>
        <w:t>500</w:t>
      </w:r>
      <w:r>
        <w:rPr>
          <w:rFonts w:ascii="Times New Roman" w:eastAsia="Times New Roman"/>
          <w:spacing w:val="2"/>
        </w:rPr>
        <w:t> </w:t>
      </w:r>
      <w:r>
        <w:rPr>
          <w:spacing w:val="-2"/>
        </w:rPr>
        <w:t>米以上的低山地区，面积</w:t>
      </w:r>
    </w:p>
    <w:p>
      <w:pPr>
        <w:pStyle w:val="BodyText"/>
        <w:spacing w:line="364" w:lineRule="auto"/>
        <w:ind w:left="738" w:right="214" w:hanging="480"/>
        <w:jc w:val="both"/>
      </w:pPr>
      <w:r>
        <w:rPr>
          <w:spacing w:val="-30"/>
        </w:rPr>
        <w:t>约 </w:t>
      </w:r>
      <w:r>
        <w:rPr>
          <w:rFonts w:ascii="Times New Roman" w:eastAsia="Times New Roman"/>
        </w:rPr>
        <w:t>0.72</w:t>
      </w:r>
      <w:r>
        <w:rPr>
          <w:rFonts w:ascii="Times New Roman" w:eastAsia="Times New Roman"/>
          <w:spacing w:val="-1"/>
        </w:rPr>
        <w:t> </w:t>
      </w:r>
      <w:r>
        <w:rPr>
          <w:spacing w:val="-11"/>
        </w:rPr>
        <w:t>万亩；岩性土类约 </w:t>
      </w:r>
      <w:r>
        <w:rPr>
          <w:rFonts w:ascii="Times New Roman" w:eastAsia="Times New Roman"/>
        </w:rPr>
        <w:t>4.9 </w:t>
      </w:r>
      <w:r>
        <w:rPr>
          <w:spacing w:val="-10"/>
        </w:rPr>
        <w:t>万亩；潮土土类面积约 </w:t>
      </w:r>
      <w:r>
        <w:rPr>
          <w:rFonts w:ascii="Times New Roman" w:eastAsia="Times New Roman"/>
        </w:rPr>
        <w:t>18.56 </w:t>
      </w:r>
      <w:r>
        <w:rPr>
          <w:spacing w:val="-11"/>
        </w:rPr>
        <w:t>万亩；盐土土类 </w:t>
      </w:r>
      <w:r>
        <w:rPr>
          <w:rFonts w:ascii="Times New Roman" w:eastAsia="Times New Roman"/>
        </w:rPr>
        <w:t>15.71 </w:t>
      </w:r>
      <w:r>
        <w:rPr>
          <w:spacing w:val="-5"/>
        </w:rPr>
        <w:t>万亩。</w:t>
      </w:r>
      <w:r>
        <w:rPr>
          <w:spacing w:val="-4"/>
        </w:rPr>
        <w:t>绍兴市上虞区属亚热带常绿阔叶林区，在长期的人为活动和自然灾害的影响下，常</w:t>
      </w:r>
    </w:p>
    <w:p>
      <w:pPr>
        <w:pStyle w:val="BodyText"/>
        <w:spacing w:line="364" w:lineRule="auto"/>
        <w:ind w:left="258" w:right="332"/>
        <w:jc w:val="both"/>
      </w:pPr>
      <w:r>
        <w:rPr>
          <w:spacing w:val="-4"/>
        </w:rPr>
        <w:t>绿阔叶林逐渐演替为常绿针叶林和竹林，天然植被被次生或人工植被所取代。上虞境内</w:t>
      </w:r>
      <w:r>
        <w:rPr>
          <w:spacing w:val="-6"/>
        </w:rPr>
        <w:t>基本无原始植被，多为次生草木植物群落、灌木丛、稀疏乔木和部分薪炭林，或由人工</w:t>
      </w:r>
      <w:r>
        <w:rPr>
          <w:spacing w:val="-1"/>
        </w:rPr>
        <w:t>栽培的用材林、经济林、防护林。人工植被分布较广，作物资源品种近 </w:t>
      </w:r>
      <w:r>
        <w:rPr>
          <w:rFonts w:ascii="Times New Roman" w:eastAsia="Times New Roman"/>
        </w:rPr>
        <w:t>1000 </w:t>
      </w:r>
      <w:r>
        <w:rPr>
          <w:spacing w:val="-4"/>
        </w:rPr>
        <w:t>个。低山</w:t>
      </w:r>
      <w:r>
        <w:rPr>
          <w:spacing w:val="-7"/>
        </w:rPr>
        <w:t>丘陵人工植被用材林以松、杉树为主，经济林有茶、桑、竹、板栗、水果等。平原地区主要为谷、豆、薯等粮食作物及蔬菜、油菜、棉花等。</w:t>
      </w:r>
    </w:p>
    <w:p>
      <w:pPr>
        <w:pStyle w:val="Heading3"/>
        <w:numPr>
          <w:ilvl w:val="1"/>
          <w:numId w:val="23"/>
        </w:numPr>
        <w:tabs>
          <w:tab w:pos="821" w:val="left" w:leader="none"/>
        </w:tabs>
        <w:spacing w:line="358" w:lineRule="exact" w:before="0" w:after="0"/>
        <w:ind w:left="820" w:right="0" w:hanging="421"/>
        <w:jc w:val="left"/>
      </w:pPr>
      <w:bookmarkStart w:name="_bookmark41" w:id="83"/>
      <w:bookmarkEnd w:id="83"/>
      <w:r>
        <w:rPr>
          <w:b w:val="0"/>
        </w:rPr>
      </w:r>
      <w:bookmarkStart w:name="_bookmark41" w:id="84"/>
      <w:bookmarkEnd w:id="84"/>
      <w:r>
        <w:rPr/>
        <w:t>环境质量现状调查与评价</w:t>
      </w:r>
    </w:p>
    <w:p>
      <w:pPr>
        <w:pStyle w:val="Heading4"/>
        <w:numPr>
          <w:ilvl w:val="2"/>
          <w:numId w:val="23"/>
        </w:numPr>
        <w:tabs>
          <w:tab w:pos="1039" w:val="left" w:leader="none"/>
        </w:tabs>
        <w:spacing w:line="240" w:lineRule="auto" w:before="183" w:after="0"/>
        <w:ind w:left="1038" w:right="0" w:hanging="541"/>
        <w:jc w:val="left"/>
      </w:pPr>
      <w:r>
        <w:rPr/>
        <w:t>环境空气质量现状评价</w:t>
      </w:r>
    </w:p>
    <w:p>
      <w:pPr>
        <w:spacing w:before="160"/>
        <w:ind w:left="741" w:right="0" w:firstLine="0"/>
        <w:jc w:val="left"/>
        <w:rPr>
          <w:b/>
          <w:sz w:val="24"/>
        </w:rPr>
      </w:pPr>
      <w:r>
        <w:rPr>
          <w:rFonts w:ascii="Times New Roman" w:eastAsia="Times New Roman"/>
          <w:b/>
          <w:sz w:val="24"/>
        </w:rPr>
        <w:t>1</w:t>
      </w:r>
      <w:r>
        <w:rPr>
          <w:b/>
          <w:sz w:val="24"/>
        </w:rPr>
        <w:t>、基本污染物达标区判定</w:t>
      </w:r>
    </w:p>
    <w:p>
      <w:pPr>
        <w:pStyle w:val="BodyText"/>
        <w:spacing w:line="364" w:lineRule="auto" w:before="158"/>
        <w:ind w:left="258" w:right="334" w:firstLine="480"/>
      </w:pPr>
      <w:r>
        <w:rPr>
          <w:spacing w:val="-7"/>
        </w:rPr>
        <w:t>根据《环境影响评价技术导则大气环境》</w:t>
      </w:r>
      <w:r>
        <w:rPr/>
        <w:t>（</w:t>
      </w:r>
      <w:r>
        <w:rPr>
          <w:rFonts w:ascii="Times New Roman" w:eastAsia="Times New Roman"/>
          <w:spacing w:val="-1"/>
          <w:w w:val="99"/>
        </w:rPr>
        <w:t>H</w:t>
      </w:r>
      <w:r>
        <w:rPr>
          <w:rFonts w:ascii="Times New Roman" w:eastAsia="Times New Roman"/>
          <w:w w:val="99"/>
        </w:rPr>
        <w:t>J</w:t>
      </w:r>
      <w:r>
        <w:rPr>
          <w:rFonts w:ascii="Times New Roman" w:eastAsia="Times New Roman"/>
          <w:spacing w:val="2"/>
        </w:rPr>
        <w:t>2</w:t>
      </w:r>
      <w:r>
        <w:rPr>
          <w:rFonts w:ascii="Times New Roman" w:eastAsia="Times New Roman"/>
        </w:rPr>
        <w:t>.2</w:t>
      </w:r>
      <w:r>
        <w:rPr>
          <w:rFonts w:ascii="Times New Roman" w:eastAsia="Times New Roman"/>
          <w:spacing w:val="-1"/>
        </w:rPr>
        <w:t>-</w:t>
      </w:r>
      <w:r>
        <w:rPr>
          <w:rFonts w:ascii="Times New Roman" w:eastAsia="Times New Roman"/>
        </w:rPr>
        <w:t>2018</w:t>
      </w:r>
      <w:r>
        <w:rPr>
          <w:spacing w:val="-120"/>
        </w:rPr>
        <w:t>）</w:t>
      </w:r>
      <w:r>
        <w:rPr>
          <w:spacing w:val="-2"/>
        </w:rPr>
        <w:t>，判断项目所在地区域是否</w:t>
      </w:r>
      <w:r>
        <w:rPr>
          <w:spacing w:val="-8"/>
        </w:rPr>
        <w:t>达标，优先采用国家或地方生态环境主管部门公开发布的评价基准年环境质量公告或环</w:t>
      </w:r>
    </w:p>
    <w:p>
      <w:pPr>
        <w:spacing w:after="0" w:line="364" w:lineRule="auto"/>
        <w:sectPr>
          <w:pgSz w:w="11910" w:h="16850"/>
          <w:pgMar w:header="1004" w:footer="1088" w:top="1240" w:bottom="1280" w:left="1160" w:right="1080"/>
        </w:sectPr>
      </w:pPr>
    </w:p>
    <w:p>
      <w:pPr>
        <w:pStyle w:val="BodyText"/>
        <w:spacing w:before="1"/>
        <w:rPr>
          <w:sz w:val="8"/>
        </w:rPr>
      </w:pPr>
    </w:p>
    <w:p>
      <w:pPr>
        <w:pStyle w:val="BodyText"/>
        <w:spacing w:line="364" w:lineRule="auto" w:before="67"/>
        <w:ind w:left="258" w:right="332"/>
        <w:jc w:val="both"/>
      </w:pPr>
      <w:r>
        <w:rPr>
          <w:spacing w:val="-5"/>
        </w:rPr>
        <w:t>境质量报告中的数据或结论。本项目评价范围涉及绍兴市上虞区及宁波市余姚区两个行</w:t>
      </w:r>
      <w:r>
        <w:rPr>
          <w:spacing w:val="-10"/>
        </w:rPr>
        <w:t>政区，因此本环评收集《绍兴市 </w:t>
      </w:r>
      <w:r>
        <w:rPr>
          <w:rFonts w:ascii="Times New Roman" w:eastAsia="Times New Roman"/>
        </w:rPr>
        <w:t>2020 </w:t>
      </w:r>
      <w:r>
        <w:rPr>
          <w:spacing w:val="-8"/>
        </w:rPr>
        <w:t>年环境状况公报》中上虞区 </w:t>
      </w:r>
      <w:r>
        <w:rPr>
          <w:rFonts w:ascii="Times New Roman" w:eastAsia="Times New Roman"/>
        </w:rPr>
        <w:t>2020 </w:t>
      </w:r>
      <w:r>
        <w:rPr>
          <w:spacing w:val="-2"/>
        </w:rPr>
        <w:t>年环境空气相关</w:t>
      </w:r>
      <w:r>
        <w:rPr/>
        <w:t>数据及《余姚市环境质量报告书（</w:t>
      </w:r>
      <w:r>
        <w:rPr>
          <w:rFonts w:ascii="Times New Roman" w:eastAsia="Times New Roman"/>
        </w:rPr>
        <w:t>2016~2020 </w:t>
      </w:r>
      <w:r>
        <w:rPr/>
        <w:t>年</w:t>
      </w:r>
      <w:r>
        <w:rPr>
          <w:spacing w:val="-120"/>
        </w:rPr>
        <w:t>）</w:t>
      </w:r>
      <w:r>
        <w:rPr>
          <w:spacing w:val="-20"/>
        </w:rPr>
        <w:t>》中 </w:t>
      </w:r>
      <w:r>
        <w:rPr>
          <w:rFonts w:ascii="Times New Roman" w:eastAsia="Times New Roman"/>
        </w:rPr>
        <w:t>2020 </w:t>
      </w:r>
      <w:r>
        <w:rPr>
          <w:spacing w:val="-1"/>
        </w:rPr>
        <w:t>年余姚环境空气相关数据进</w:t>
      </w:r>
      <w:r>
        <w:rPr/>
        <w:t>行说明，具体如下。</w:t>
      </w:r>
    </w:p>
    <w:p>
      <w:pPr>
        <w:pStyle w:val="Heading4"/>
        <w:spacing w:before="139" w:after="29"/>
        <w:ind w:left="901"/>
        <w:jc w:val="both"/>
        <w:rPr>
          <w:rFonts w:ascii="Times New Roman" w:hAnsi="Times New Roman" w:eastAsia="Times New Roman"/>
          <w:sz w:val="16"/>
        </w:rPr>
      </w:pPr>
      <w:r>
        <w:rPr>
          <w:spacing w:val="-30"/>
        </w:rPr>
        <w:t>表 </w:t>
      </w:r>
      <w:r>
        <w:rPr>
          <w:rFonts w:ascii="Times New Roman" w:hAnsi="Times New Roman" w:eastAsia="Times New Roman"/>
        </w:rPr>
        <w:t>6.2.1-1</w:t>
      </w:r>
      <w:r>
        <w:rPr>
          <w:rFonts w:ascii="Times New Roman" w:hAnsi="Times New Roman" w:eastAsia="Times New Roman"/>
          <w:spacing w:val="59"/>
        </w:rPr>
        <w:t> </w:t>
      </w:r>
      <w:r>
        <w:rPr/>
        <w:t>区域环境质量评价表（上虞区，</w:t>
      </w:r>
      <w:r>
        <w:rPr>
          <w:rFonts w:ascii="Times New Roman" w:hAnsi="Times New Roman" w:eastAsia="Times New Roman"/>
        </w:rPr>
        <w:t>2020</w:t>
      </w:r>
      <w:r>
        <w:rPr/>
        <w:t>）</w:t>
      </w:r>
      <w:r>
        <w:rPr>
          <w:spacing w:val="-7"/>
        </w:rPr>
        <w:t> 单位：除注明外 </w:t>
      </w:r>
      <w:r>
        <w:rPr>
          <w:rFonts w:ascii="Times New Roman" w:hAnsi="Times New Roman" w:eastAsia="Times New Roman"/>
        </w:rPr>
        <w:t>μg/m</w:t>
      </w:r>
      <w:r>
        <w:rPr>
          <w:rFonts w:ascii="Times New Roman" w:hAnsi="Times New Roman" w:eastAsia="Times New Roman"/>
          <w:position w:val="8"/>
          <w:sz w:val="16"/>
        </w:rPr>
        <w:t>3</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7"/>
        <w:gridCol w:w="2832"/>
        <w:gridCol w:w="1274"/>
        <w:gridCol w:w="1278"/>
        <w:gridCol w:w="1274"/>
        <w:gridCol w:w="1240"/>
      </w:tblGrid>
      <w:tr>
        <w:trPr>
          <w:trHeight w:val="513" w:hRule="atLeast"/>
        </w:trPr>
        <w:tc>
          <w:tcPr>
            <w:tcW w:w="1387" w:type="dxa"/>
          </w:tcPr>
          <w:p>
            <w:pPr>
              <w:pStyle w:val="TableParagraph"/>
              <w:spacing w:before="121"/>
              <w:ind w:left="176" w:right="167"/>
              <w:rPr>
                <w:b/>
                <w:sz w:val="21"/>
              </w:rPr>
            </w:pPr>
            <w:r>
              <w:rPr>
                <w:b/>
                <w:sz w:val="21"/>
              </w:rPr>
              <w:t>污染物</w:t>
            </w:r>
          </w:p>
        </w:tc>
        <w:tc>
          <w:tcPr>
            <w:tcW w:w="2832" w:type="dxa"/>
          </w:tcPr>
          <w:p>
            <w:pPr>
              <w:pStyle w:val="TableParagraph"/>
              <w:spacing w:before="121"/>
              <w:ind w:left="30" w:right="21"/>
              <w:rPr>
                <w:b/>
                <w:sz w:val="21"/>
              </w:rPr>
            </w:pPr>
            <w:r>
              <w:rPr>
                <w:b/>
                <w:sz w:val="21"/>
              </w:rPr>
              <w:t>年评价指标</w:t>
            </w:r>
          </w:p>
        </w:tc>
        <w:tc>
          <w:tcPr>
            <w:tcW w:w="1274" w:type="dxa"/>
          </w:tcPr>
          <w:p>
            <w:pPr>
              <w:pStyle w:val="TableParagraph"/>
              <w:spacing w:line="268" w:lineRule="exact" w:before="1"/>
              <w:ind w:left="216"/>
              <w:jc w:val="left"/>
              <w:rPr>
                <w:b/>
                <w:sz w:val="21"/>
              </w:rPr>
            </w:pPr>
            <w:r>
              <w:rPr>
                <w:b/>
                <w:sz w:val="21"/>
              </w:rPr>
              <w:t>现状浓度</w:t>
            </w:r>
          </w:p>
          <w:p>
            <w:pPr>
              <w:pStyle w:val="TableParagraph"/>
              <w:spacing w:line="225" w:lineRule="exact"/>
              <w:ind w:left="274"/>
              <w:jc w:val="left"/>
              <w:rPr>
                <w:rFonts w:ascii="Times New Roman" w:hAnsi="Times New Roman"/>
                <w:b/>
                <w:sz w:val="21"/>
              </w:rPr>
            </w:pPr>
            <w:r>
              <w:rPr>
                <w:rFonts w:ascii="Times New Roman" w:hAnsi="Times New Roman"/>
                <w:b/>
                <w:sz w:val="21"/>
              </w:rPr>
              <w:t>/(μg/m</w:t>
            </w:r>
            <w:r>
              <w:rPr>
                <w:rFonts w:ascii="Times New Roman" w:hAnsi="Times New Roman"/>
                <w:b/>
                <w:position w:val="7"/>
                <w:sz w:val="14"/>
              </w:rPr>
              <w:t>3</w:t>
            </w:r>
            <w:r>
              <w:rPr>
                <w:rFonts w:ascii="Times New Roman" w:hAnsi="Times New Roman"/>
                <w:b/>
                <w:sz w:val="21"/>
              </w:rPr>
              <w:t>)</w:t>
            </w:r>
          </w:p>
        </w:tc>
        <w:tc>
          <w:tcPr>
            <w:tcW w:w="1278" w:type="dxa"/>
          </w:tcPr>
          <w:p>
            <w:pPr>
              <w:pStyle w:val="TableParagraph"/>
              <w:spacing w:line="268" w:lineRule="exact" w:before="1"/>
              <w:ind w:left="322"/>
              <w:jc w:val="left"/>
              <w:rPr>
                <w:b/>
                <w:sz w:val="21"/>
              </w:rPr>
            </w:pPr>
            <w:r>
              <w:rPr>
                <w:b/>
                <w:sz w:val="21"/>
              </w:rPr>
              <w:t>标准值</w:t>
            </w:r>
          </w:p>
          <w:p>
            <w:pPr>
              <w:pStyle w:val="TableParagraph"/>
              <w:spacing w:line="225" w:lineRule="exact"/>
              <w:ind w:left="277"/>
              <w:jc w:val="left"/>
              <w:rPr>
                <w:rFonts w:ascii="Times New Roman" w:hAnsi="Times New Roman"/>
                <w:b/>
                <w:sz w:val="21"/>
              </w:rPr>
            </w:pPr>
            <w:r>
              <w:rPr>
                <w:rFonts w:ascii="Times New Roman" w:hAnsi="Times New Roman"/>
                <w:b/>
                <w:sz w:val="21"/>
              </w:rPr>
              <w:t>/(μg/m</w:t>
            </w:r>
            <w:r>
              <w:rPr>
                <w:rFonts w:ascii="Times New Roman" w:hAnsi="Times New Roman"/>
                <w:b/>
                <w:position w:val="7"/>
                <w:sz w:val="14"/>
              </w:rPr>
              <w:t>3</w:t>
            </w:r>
            <w:r>
              <w:rPr>
                <w:rFonts w:ascii="Times New Roman" w:hAnsi="Times New Roman"/>
                <w:b/>
                <w:sz w:val="21"/>
              </w:rPr>
              <w:t>)</w:t>
            </w:r>
          </w:p>
        </w:tc>
        <w:tc>
          <w:tcPr>
            <w:tcW w:w="1274" w:type="dxa"/>
          </w:tcPr>
          <w:p>
            <w:pPr>
              <w:pStyle w:val="TableParagraph"/>
              <w:spacing w:before="121"/>
              <w:ind w:left="87" w:right="79"/>
              <w:rPr>
                <w:b/>
                <w:sz w:val="21"/>
              </w:rPr>
            </w:pPr>
            <w:r>
              <w:rPr>
                <w:b/>
                <w:sz w:val="21"/>
              </w:rPr>
              <w:t>占标率</w:t>
            </w:r>
          </w:p>
        </w:tc>
        <w:tc>
          <w:tcPr>
            <w:tcW w:w="1240" w:type="dxa"/>
          </w:tcPr>
          <w:p>
            <w:pPr>
              <w:pStyle w:val="TableParagraph"/>
              <w:spacing w:before="121"/>
              <w:ind w:left="180" w:right="165"/>
              <w:rPr>
                <w:b/>
                <w:sz w:val="21"/>
              </w:rPr>
            </w:pPr>
            <w:r>
              <w:rPr>
                <w:b/>
                <w:sz w:val="21"/>
              </w:rPr>
              <w:t>达标情况</w:t>
            </w:r>
          </w:p>
        </w:tc>
      </w:tr>
      <w:tr>
        <w:trPr>
          <w:trHeight w:val="285" w:hRule="atLeast"/>
        </w:trPr>
        <w:tc>
          <w:tcPr>
            <w:tcW w:w="1387" w:type="dxa"/>
            <w:vMerge w:val="restart"/>
          </w:tcPr>
          <w:p>
            <w:pPr>
              <w:pStyle w:val="TableParagraph"/>
              <w:spacing w:before="167"/>
              <w:ind w:left="176" w:right="167"/>
              <w:rPr>
                <w:rFonts w:ascii="Times New Roman"/>
                <w:sz w:val="14"/>
              </w:rPr>
            </w:pPr>
            <w:r>
              <w:rPr>
                <w:rFonts w:ascii="Times New Roman"/>
                <w:position w:val="2"/>
                <w:sz w:val="21"/>
              </w:rPr>
              <w:t>SO</w:t>
            </w:r>
            <w:r>
              <w:rPr>
                <w:rFonts w:ascii="Times New Roman"/>
                <w:sz w:val="14"/>
              </w:rPr>
              <w:t>2</w:t>
            </w:r>
          </w:p>
        </w:tc>
        <w:tc>
          <w:tcPr>
            <w:tcW w:w="2832" w:type="dxa"/>
          </w:tcPr>
          <w:p>
            <w:pPr>
              <w:pStyle w:val="TableParagraph"/>
              <w:spacing w:line="257" w:lineRule="exact" w:before="8"/>
              <w:ind w:left="30" w:right="21"/>
              <w:rPr>
                <w:sz w:val="21"/>
              </w:rPr>
            </w:pPr>
            <w:r>
              <w:rPr>
                <w:sz w:val="21"/>
              </w:rPr>
              <w:t>年平均</w:t>
            </w:r>
          </w:p>
        </w:tc>
        <w:tc>
          <w:tcPr>
            <w:tcW w:w="1274" w:type="dxa"/>
          </w:tcPr>
          <w:p>
            <w:pPr>
              <w:pStyle w:val="TableParagraph"/>
              <w:spacing w:before="22"/>
              <w:ind w:left="9"/>
              <w:rPr>
                <w:rFonts w:ascii="Times New Roman"/>
                <w:sz w:val="21"/>
              </w:rPr>
            </w:pPr>
            <w:r>
              <w:rPr>
                <w:rFonts w:ascii="Times New Roman"/>
                <w:w w:val="100"/>
                <w:sz w:val="21"/>
              </w:rPr>
              <w:t>5</w:t>
            </w:r>
          </w:p>
        </w:tc>
        <w:tc>
          <w:tcPr>
            <w:tcW w:w="1278" w:type="dxa"/>
          </w:tcPr>
          <w:p>
            <w:pPr>
              <w:pStyle w:val="TableParagraph"/>
              <w:spacing w:before="22"/>
              <w:ind w:left="88" w:right="77"/>
              <w:rPr>
                <w:rFonts w:ascii="Times New Roman"/>
                <w:sz w:val="21"/>
              </w:rPr>
            </w:pPr>
            <w:r>
              <w:rPr>
                <w:rFonts w:ascii="Times New Roman"/>
                <w:sz w:val="21"/>
              </w:rPr>
              <w:t>60</w:t>
            </w:r>
          </w:p>
        </w:tc>
        <w:tc>
          <w:tcPr>
            <w:tcW w:w="1274" w:type="dxa"/>
          </w:tcPr>
          <w:p>
            <w:pPr>
              <w:pStyle w:val="TableParagraph"/>
              <w:spacing w:before="22"/>
              <w:ind w:left="89" w:right="78"/>
              <w:rPr>
                <w:rFonts w:ascii="Times New Roman"/>
                <w:sz w:val="21"/>
              </w:rPr>
            </w:pPr>
            <w:r>
              <w:rPr>
                <w:rFonts w:ascii="Times New Roman"/>
                <w:sz w:val="21"/>
              </w:rPr>
              <w:t>8.33%</w:t>
            </w:r>
          </w:p>
        </w:tc>
        <w:tc>
          <w:tcPr>
            <w:tcW w:w="1240" w:type="dxa"/>
          </w:tcPr>
          <w:p>
            <w:pPr>
              <w:pStyle w:val="TableParagraph"/>
              <w:spacing w:line="257" w:lineRule="exact" w:before="8"/>
              <w:ind w:left="180" w:right="165"/>
              <w:rPr>
                <w:sz w:val="21"/>
              </w:rPr>
            </w:pPr>
            <w:r>
              <w:rPr>
                <w:sz w:val="21"/>
              </w:rPr>
              <w:t>达标</w:t>
            </w:r>
          </w:p>
        </w:tc>
      </w:tr>
      <w:tr>
        <w:trPr>
          <w:trHeight w:val="282" w:hRule="atLeast"/>
        </w:trPr>
        <w:tc>
          <w:tcPr>
            <w:tcW w:w="1387" w:type="dxa"/>
            <w:vMerge/>
            <w:tcBorders>
              <w:top w:val="nil"/>
            </w:tcBorders>
          </w:tcPr>
          <w:p>
            <w:pPr>
              <w:rPr>
                <w:sz w:val="2"/>
                <w:szCs w:val="2"/>
              </w:rPr>
            </w:pPr>
          </w:p>
        </w:tc>
        <w:tc>
          <w:tcPr>
            <w:tcW w:w="2832" w:type="dxa"/>
          </w:tcPr>
          <w:p>
            <w:pPr>
              <w:pStyle w:val="TableParagraph"/>
              <w:spacing w:line="257" w:lineRule="exact" w:before="6"/>
              <w:ind w:left="29" w:right="21"/>
              <w:rPr>
                <w:sz w:val="21"/>
              </w:rPr>
            </w:pPr>
            <w:r>
              <w:rPr>
                <w:rFonts w:ascii="Times New Roman" w:eastAsia="Times New Roman"/>
                <w:sz w:val="21"/>
              </w:rPr>
              <w:t>24 </w:t>
            </w:r>
            <w:r>
              <w:rPr>
                <w:sz w:val="21"/>
              </w:rPr>
              <w:t>小时平均第 </w:t>
            </w:r>
            <w:r>
              <w:rPr>
                <w:rFonts w:ascii="Times New Roman" w:eastAsia="Times New Roman"/>
                <w:sz w:val="21"/>
              </w:rPr>
              <w:t>98 </w:t>
            </w:r>
            <w:r>
              <w:rPr>
                <w:sz w:val="21"/>
              </w:rPr>
              <w:t>百分位数</w:t>
            </w:r>
          </w:p>
        </w:tc>
        <w:tc>
          <w:tcPr>
            <w:tcW w:w="1274" w:type="dxa"/>
          </w:tcPr>
          <w:p>
            <w:pPr>
              <w:pStyle w:val="TableParagraph"/>
              <w:spacing w:before="19"/>
              <w:ind w:left="9"/>
              <w:rPr>
                <w:rFonts w:ascii="Times New Roman"/>
                <w:sz w:val="21"/>
              </w:rPr>
            </w:pPr>
            <w:r>
              <w:rPr>
                <w:rFonts w:ascii="Times New Roman"/>
                <w:w w:val="100"/>
                <w:sz w:val="21"/>
              </w:rPr>
              <w:t>9</w:t>
            </w:r>
          </w:p>
        </w:tc>
        <w:tc>
          <w:tcPr>
            <w:tcW w:w="1278" w:type="dxa"/>
          </w:tcPr>
          <w:p>
            <w:pPr>
              <w:pStyle w:val="TableParagraph"/>
              <w:spacing w:before="19"/>
              <w:ind w:left="88" w:right="72"/>
              <w:rPr>
                <w:rFonts w:ascii="Times New Roman"/>
                <w:sz w:val="21"/>
              </w:rPr>
            </w:pPr>
            <w:r>
              <w:rPr>
                <w:rFonts w:ascii="Times New Roman"/>
                <w:sz w:val="21"/>
              </w:rPr>
              <w:t>150</w:t>
            </w:r>
          </w:p>
        </w:tc>
        <w:tc>
          <w:tcPr>
            <w:tcW w:w="1274" w:type="dxa"/>
          </w:tcPr>
          <w:p>
            <w:pPr>
              <w:pStyle w:val="TableParagraph"/>
              <w:spacing w:before="19"/>
              <w:ind w:left="89" w:right="78"/>
              <w:rPr>
                <w:rFonts w:ascii="Times New Roman"/>
                <w:sz w:val="21"/>
              </w:rPr>
            </w:pPr>
            <w:r>
              <w:rPr>
                <w:rFonts w:ascii="Times New Roman"/>
                <w:sz w:val="21"/>
              </w:rPr>
              <w:t>6.0%</w:t>
            </w:r>
          </w:p>
        </w:tc>
        <w:tc>
          <w:tcPr>
            <w:tcW w:w="1240" w:type="dxa"/>
          </w:tcPr>
          <w:p>
            <w:pPr>
              <w:pStyle w:val="TableParagraph"/>
              <w:spacing w:line="257" w:lineRule="exact" w:before="6"/>
              <w:ind w:left="180" w:right="165"/>
              <w:rPr>
                <w:sz w:val="21"/>
              </w:rPr>
            </w:pPr>
            <w:r>
              <w:rPr>
                <w:sz w:val="21"/>
              </w:rPr>
              <w:t>达标</w:t>
            </w:r>
          </w:p>
        </w:tc>
      </w:tr>
      <w:tr>
        <w:trPr>
          <w:trHeight w:val="285" w:hRule="atLeast"/>
        </w:trPr>
        <w:tc>
          <w:tcPr>
            <w:tcW w:w="1387" w:type="dxa"/>
            <w:vMerge w:val="restart"/>
          </w:tcPr>
          <w:p>
            <w:pPr>
              <w:pStyle w:val="TableParagraph"/>
              <w:spacing w:before="168"/>
              <w:ind w:left="176" w:right="167"/>
              <w:rPr>
                <w:rFonts w:ascii="Times New Roman"/>
                <w:sz w:val="14"/>
              </w:rPr>
            </w:pPr>
            <w:r>
              <w:rPr>
                <w:rFonts w:ascii="Times New Roman"/>
                <w:position w:val="2"/>
                <w:sz w:val="21"/>
              </w:rPr>
              <w:t>NO</w:t>
            </w:r>
            <w:r>
              <w:rPr>
                <w:rFonts w:ascii="Times New Roman"/>
                <w:sz w:val="14"/>
              </w:rPr>
              <w:t>2</w:t>
            </w:r>
          </w:p>
        </w:tc>
        <w:tc>
          <w:tcPr>
            <w:tcW w:w="2832" w:type="dxa"/>
          </w:tcPr>
          <w:p>
            <w:pPr>
              <w:pStyle w:val="TableParagraph"/>
              <w:spacing w:line="257" w:lineRule="exact" w:before="8"/>
              <w:ind w:left="30" w:right="21"/>
              <w:rPr>
                <w:sz w:val="21"/>
              </w:rPr>
            </w:pPr>
            <w:r>
              <w:rPr>
                <w:sz w:val="21"/>
              </w:rPr>
              <w:t>年平均</w:t>
            </w:r>
          </w:p>
        </w:tc>
        <w:tc>
          <w:tcPr>
            <w:tcW w:w="1274" w:type="dxa"/>
          </w:tcPr>
          <w:p>
            <w:pPr>
              <w:pStyle w:val="TableParagraph"/>
              <w:spacing w:before="22"/>
              <w:ind w:left="88" w:right="79"/>
              <w:rPr>
                <w:rFonts w:ascii="Times New Roman"/>
                <w:sz w:val="21"/>
              </w:rPr>
            </w:pPr>
            <w:r>
              <w:rPr>
                <w:rFonts w:ascii="Times New Roman"/>
                <w:sz w:val="21"/>
              </w:rPr>
              <w:t>22</w:t>
            </w:r>
          </w:p>
        </w:tc>
        <w:tc>
          <w:tcPr>
            <w:tcW w:w="1278" w:type="dxa"/>
          </w:tcPr>
          <w:p>
            <w:pPr>
              <w:pStyle w:val="TableParagraph"/>
              <w:spacing w:before="22"/>
              <w:ind w:left="88" w:right="77"/>
              <w:rPr>
                <w:rFonts w:ascii="Times New Roman"/>
                <w:sz w:val="21"/>
              </w:rPr>
            </w:pPr>
            <w:r>
              <w:rPr>
                <w:rFonts w:ascii="Times New Roman"/>
                <w:sz w:val="21"/>
              </w:rPr>
              <w:t>40</w:t>
            </w:r>
          </w:p>
        </w:tc>
        <w:tc>
          <w:tcPr>
            <w:tcW w:w="1274" w:type="dxa"/>
          </w:tcPr>
          <w:p>
            <w:pPr>
              <w:pStyle w:val="TableParagraph"/>
              <w:spacing w:before="22"/>
              <w:ind w:left="89" w:right="78"/>
              <w:rPr>
                <w:rFonts w:ascii="Times New Roman"/>
                <w:sz w:val="21"/>
              </w:rPr>
            </w:pPr>
            <w:r>
              <w:rPr>
                <w:rFonts w:ascii="Times New Roman"/>
                <w:sz w:val="21"/>
              </w:rPr>
              <w:t>55.00%</w:t>
            </w:r>
          </w:p>
        </w:tc>
        <w:tc>
          <w:tcPr>
            <w:tcW w:w="1240" w:type="dxa"/>
          </w:tcPr>
          <w:p>
            <w:pPr>
              <w:pStyle w:val="TableParagraph"/>
              <w:spacing w:line="257" w:lineRule="exact" w:before="8"/>
              <w:ind w:left="180" w:right="165"/>
              <w:rPr>
                <w:sz w:val="21"/>
              </w:rPr>
            </w:pPr>
            <w:r>
              <w:rPr>
                <w:sz w:val="21"/>
              </w:rPr>
              <w:t>达标</w:t>
            </w:r>
          </w:p>
        </w:tc>
      </w:tr>
      <w:tr>
        <w:trPr>
          <w:trHeight w:val="283" w:hRule="atLeast"/>
        </w:trPr>
        <w:tc>
          <w:tcPr>
            <w:tcW w:w="1387" w:type="dxa"/>
            <w:vMerge/>
            <w:tcBorders>
              <w:top w:val="nil"/>
            </w:tcBorders>
          </w:tcPr>
          <w:p>
            <w:pPr>
              <w:rPr>
                <w:sz w:val="2"/>
                <w:szCs w:val="2"/>
              </w:rPr>
            </w:pPr>
          </w:p>
        </w:tc>
        <w:tc>
          <w:tcPr>
            <w:tcW w:w="2832" w:type="dxa"/>
          </w:tcPr>
          <w:p>
            <w:pPr>
              <w:pStyle w:val="TableParagraph"/>
              <w:spacing w:line="257" w:lineRule="exact" w:before="6"/>
              <w:ind w:left="29" w:right="21"/>
              <w:rPr>
                <w:sz w:val="21"/>
              </w:rPr>
            </w:pPr>
            <w:r>
              <w:rPr>
                <w:rFonts w:ascii="Times New Roman" w:eastAsia="Times New Roman"/>
                <w:sz w:val="21"/>
              </w:rPr>
              <w:t>24 </w:t>
            </w:r>
            <w:r>
              <w:rPr>
                <w:sz w:val="21"/>
              </w:rPr>
              <w:t>小时平均第 </w:t>
            </w:r>
            <w:r>
              <w:rPr>
                <w:rFonts w:ascii="Times New Roman" w:eastAsia="Times New Roman"/>
                <w:sz w:val="21"/>
              </w:rPr>
              <w:t>98 </w:t>
            </w:r>
            <w:r>
              <w:rPr>
                <w:sz w:val="21"/>
              </w:rPr>
              <w:t>百分位数</w:t>
            </w:r>
          </w:p>
        </w:tc>
        <w:tc>
          <w:tcPr>
            <w:tcW w:w="1274" w:type="dxa"/>
          </w:tcPr>
          <w:p>
            <w:pPr>
              <w:pStyle w:val="TableParagraph"/>
              <w:spacing w:before="20"/>
              <w:ind w:left="88" w:right="79"/>
              <w:rPr>
                <w:rFonts w:ascii="Times New Roman"/>
                <w:sz w:val="21"/>
              </w:rPr>
            </w:pPr>
            <w:r>
              <w:rPr>
                <w:rFonts w:ascii="Times New Roman"/>
                <w:sz w:val="21"/>
              </w:rPr>
              <w:t>58</w:t>
            </w:r>
          </w:p>
        </w:tc>
        <w:tc>
          <w:tcPr>
            <w:tcW w:w="1278" w:type="dxa"/>
          </w:tcPr>
          <w:p>
            <w:pPr>
              <w:pStyle w:val="TableParagraph"/>
              <w:spacing w:before="20"/>
              <w:ind w:left="88" w:right="77"/>
              <w:rPr>
                <w:rFonts w:ascii="Times New Roman"/>
                <w:sz w:val="21"/>
              </w:rPr>
            </w:pPr>
            <w:r>
              <w:rPr>
                <w:rFonts w:ascii="Times New Roman"/>
                <w:sz w:val="21"/>
              </w:rPr>
              <w:t>80</w:t>
            </w:r>
          </w:p>
        </w:tc>
        <w:tc>
          <w:tcPr>
            <w:tcW w:w="1274" w:type="dxa"/>
          </w:tcPr>
          <w:p>
            <w:pPr>
              <w:pStyle w:val="TableParagraph"/>
              <w:spacing w:before="20"/>
              <w:ind w:left="89" w:right="78"/>
              <w:rPr>
                <w:rFonts w:ascii="Times New Roman"/>
                <w:sz w:val="21"/>
              </w:rPr>
            </w:pPr>
            <w:r>
              <w:rPr>
                <w:rFonts w:ascii="Times New Roman"/>
                <w:sz w:val="21"/>
              </w:rPr>
              <w:t>72.5%</w:t>
            </w:r>
          </w:p>
        </w:tc>
        <w:tc>
          <w:tcPr>
            <w:tcW w:w="1240" w:type="dxa"/>
          </w:tcPr>
          <w:p>
            <w:pPr>
              <w:pStyle w:val="TableParagraph"/>
              <w:spacing w:line="257" w:lineRule="exact" w:before="6"/>
              <w:ind w:left="180" w:right="165"/>
              <w:rPr>
                <w:sz w:val="21"/>
              </w:rPr>
            </w:pPr>
            <w:r>
              <w:rPr>
                <w:sz w:val="21"/>
              </w:rPr>
              <w:t>达标</w:t>
            </w:r>
          </w:p>
        </w:tc>
      </w:tr>
      <w:tr>
        <w:trPr>
          <w:trHeight w:val="285" w:hRule="atLeast"/>
        </w:trPr>
        <w:tc>
          <w:tcPr>
            <w:tcW w:w="1387" w:type="dxa"/>
          </w:tcPr>
          <w:p>
            <w:pPr>
              <w:pStyle w:val="TableParagraph"/>
              <w:spacing w:before="17"/>
              <w:ind w:left="177" w:right="167"/>
              <w:rPr>
                <w:rFonts w:ascii="Times New Roman"/>
                <w:sz w:val="21"/>
              </w:rPr>
            </w:pPr>
            <w:r>
              <w:rPr>
                <w:rFonts w:ascii="Times New Roman"/>
                <w:sz w:val="21"/>
              </w:rPr>
              <w:t>CO(mg/m</w:t>
            </w:r>
            <w:r>
              <w:rPr>
                <w:rFonts w:ascii="Times New Roman"/>
                <w:position w:val="7"/>
                <w:sz w:val="14"/>
              </w:rPr>
              <w:t>3</w:t>
            </w:r>
            <w:r>
              <w:rPr>
                <w:rFonts w:ascii="Times New Roman"/>
                <w:sz w:val="21"/>
              </w:rPr>
              <w:t>)</w:t>
            </w:r>
          </w:p>
        </w:tc>
        <w:tc>
          <w:tcPr>
            <w:tcW w:w="2832" w:type="dxa"/>
          </w:tcPr>
          <w:p>
            <w:pPr>
              <w:pStyle w:val="TableParagraph"/>
              <w:spacing w:line="257" w:lineRule="exact" w:before="8"/>
              <w:ind w:left="29" w:right="21"/>
              <w:rPr>
                <w:sz w:val="21"/>
              </w:rPr>
            </w:pPr>
            <w:r>
              <w:rPr>
                <w:rFonts w:ascii="Times New Roman" w:eastAsia="Times New Roman"/>
                <w:sz w:val="21"/>
              </w:rPr>
              <w:t>24 </w:t>
            </w:r>
            <w:r>
              <w:rPr>
                <w:sz w:val="21"/>
              </w:rPr>
              <w:t>小时平均第 </w:t>
            </w:r>
            <w:r>
              <w:rPr>
                <w:rFonts w:ascii="Times New Roman" w:eastAsia="Times New Roman"/>
                <w:sz w:val="21"/>
              </w:rPr>
              <w:t>95 </w:t>
            </w:r>
            <w:r>
              <w:rPr>
                <w:sz w:val="21"/>
              </w:rPr>
              <w:t>百分位数</w:t>
            </w:r>
          </w:p>
        </w:tc>
        <w:tc>
          <w:tcPr>
            <w:tcW w:w="1274" w:type="dxa"/>
          </w:tcPr>
          <w:p>
            <w:pPr>
              <w:pStyle w:val="TableParagraph"/>
              <w:spacing w:before="22"/>
              <w:ind w:left="89" w:right="76"/>
              <w:rPr>
                <w:rFonts w:ascii="Times New Roman"/>
                <w:sz w:val="21"/>
              </w:rPr>
            </w:pPr>
            <w:r>
              <w:rPr>
                <w:rFonts w:ascii="Times New Roman"/>
                <w:sz w:val="21"/>
              </w:rPr>
              <w:t>1.2</w:t>
            </w:r>
          </w:p>
        </w:tc>
        <w:tc>
          <w:tcPr>
            <w:tcW w:w="1278" w:type="dxa"/>
          </w:tcPr>
          <w:p>
            <w:pPr>
              <w:pStyle w:val="TableParagraph"/>
              <w:spacing w:before="22"/>
              <w:ind w:left="11"/>
              <w:rPr>
                <w:rFonts w:ascii="Times New Roman"/>
                <w:sz w:val="21"/>
              </w:rPr>
            </w:pPr>
            <w:r>
              <w:rPr>
                <w:rFonts w:ascii="Times New Roman"/>
                <w:w w:val="100"/>
                <w:sz w:val="21"/>
              </w:rPr>
              <w:t>4</w:t>
            </w:r>
          </w:p>
        </w:tc>
        <w:tc>
          <w:tcPr>
            <w:tcW w:w="1274" w:type="dxa"/>
          </w:tcPr>
          <w:p>
            <w:pPr>
              <w:pStyle w:val="TableParagraph"/>
              <w:spacing w:before="22"/>
              <w:ind w:left="89" w:right="78"/>
              <w:rPr>
                <w:rFonts w:ascii="Times New Roman"/>
                <w:sz w:val="21"/>
              </w:rPr>
            </w:pPr>
            <w:r>
              <w:rPr>
                <w:rFonts w:ascii="Times New Roman"/>
                <w:sz w:val="21"/>
              </w:rPr>
              <w:t>30.00%</w:t>
            </w:r>
          </w:p>
        </w:tc>
        <w:tc>
          <w:tcPr>
            <w:tcW w:w="1240" w:type="dxa"/>
          </w:tcPr>
          <w:p>
            <w:pPr>
              <w:pStyle w:val="TableParagraph"/>
              <w:spacing w:line="257" w:lineRule="exact" w:before="8"/>
              <w:ind w:left="180" w:right="165"/>
              <w:rPr>
                <w:sz w:val="21"/>
              </w:rPr>
            </w:pPr>
            <w:r>
              <w:rPr>
                <w:sz w:val="21"/>
              </w:rPr>
              <w:t>达标</w:t>
            </w:r>
          </w:p>
        </w:tc>
      </w:tr>
      <w:tr>
        <w:trPr>
          <w:trHeight w:val="544" w:hRule="atLeast"/>
        </w:trPr>
        <w:tc>
          <w:tcPr>
            <w:tcW w:w="1387" w:type="dxa"/>
          </w:tcPr>
          <w:p>
            <w:pPr>
              <w:pStyle w:val="TableParagraph"/>
              <w:spacing w:before="151"/>
              <w:ind w:left="177" w:right="165"/>
              <w:rPr>
                <w:rFonts w:ascii="Times New Roman"/>
                <w:sz w:val="14"/>
              </w:rPr>
            </w:pPr>
            <w:r>
              <w:rPr>
                <w:rFonts w:ascii="Times New Roman"/>
                <w:position w:val="2"/>
                <w:sz w:val="21"/>
              </w:rPr>
              <w:t>O</w:t>
            </w:r>
            <w:r>
              <w:rPr>
                <w:rFonts w:ascii="Times New Roman"/>
                <w:sz w:val="14"/>
              </w:rPr>
              <w:t>3</w:t>
            </w:r>
          </w:p>
        </w:tc>
        <w:tc>
          <w:tcPr>
            <w:tcW w:w="2832" w:type="dxa"/>
          </w:tcPr>
          <w:p>
            <w:pPr>
              <w:pStyle w:val="TableParagraph"/>
              <w:spacing w:before="1"/>
              <w:ind w:left="31" w:right="21"/>
              <w:rPr>
                <w:sz w:val="21"/>
              </w:rPr>
            </w:pPr>
            <w:r>
              <w:rPr>
                <w:sz w:val="21"/>
              </w:rPr>
              <w:t>最大 </w:t>
            </w:r>
            <w:r>
              <w:rPr>
                <w:rFonts w:ascii="Times New Roman" w:eastAsia="Times New Roman"/>
                <w:sz w:val="21"/>
              </w:rPr>
              <w:t>8 </w:t>
            </w:r>
            <w:r>
              <w:rPr>
                <w:sz w:val="21"/>
              </w:rPr>
              <w:t>小时平均值第 </w:t>
            </w:r>
            <w:r>
              <w:rPr>
                <w:rFonts w:ascii="Times New Roman" w:eastAsia="Times New Roman"/>
                <w:sz w:val="21"/>
              </w:rPr>
              <w:t>95 </w:t>
            </w:r>
            <w:r>
              <w:rPr>
                <w:sz w:val="21"/>
              </w:rPr>
              <w:t>百分</w:t>
            </w:r>
          </w:p>
          <w:p>
            <w:pPr>
              <w:pStyle w:val="TableParagraph"/>
              <w:spacing w:line="252" w:lineRule="exact" w:before="2"/>
              <w:ind w:left="30" w:right="21"/>
              <w:rPr>
                <w:sz w:val="21"/>
              </w:rPr>
            </w:pPr>
            <w:r>
              <w:rPr>
                <w:sz w:val="21"/>
              </w:rPr>
              <w:t>位数</w:t>
            </w:r>
          </w:p>
        </w:tc>
        <w:tc>
          <w:tcPr>
            <w:tcW w:w="1274" w:type="dxa"/>
          </w:tcPr>
          <w:p>
            <w:pPr>
              <w:pStyle w:val="TableParagraph"/>
              <w:spacing w:before="151"/>
              <w:ind w:left="89" w:right="76"/>
              <w:rPr>
                <w:rFonts w:ascii="Times New Roman"/>
                <w:sz w:val="21"/>
              </w:rPr>
            </w:pPr>
            <w:r>
              <w:rPr>
                <w:rFonts w:ascii="Times New Roman"/>
                <w:sz w:val="21"/>
              </w:rPr>
              <w:t>138</w:t>
            </w:r>
          </w:p>
        </w:tc>
        <w:tc>
          <w:tcPr>
            <w:tcW w:w="1278" w:type="dxa"/>
          </w:tcPr>
          <w:p>
            <w:pPr>
              <w:pStyle w:val="TableParagraph"/>
              <w:spacing w:before="151"/>
              <w:ind w:left="88" w:right="72"/>
              <w:rPr>
                <w:rFonts w:ascii="Times New Roman"/>
                <w:sz w:val="21"/>
              </w:rPr>
            </w:pPr>
            <w:r>
              <w:rPr>
                <w:rFonts w:ascii="Times New Roman"/>
                <w:sz w:val="21"/>
              </w:rPr>
              <w:t>160</w:t>
            </w:r>
          </w:p>
        </w:tc>
        <w:tc>
          <w:tcPr>
            <w:tcW w:w="1274" w:type="dxa"/>
          </w:tcPr>
          <w:p>
            <w:pPr>
              <w:pStyle w:val="TableParagraph"/>
              <w:spacing w:before="151"/>
              <w:ind w:left="89" w:right="78"/>
              <w:rPr>
                <w:rFonts w:ascii="Times New Roman"/>
                <w:sz w:val="21"/>
              </w:rPr>
            </w:pPr>
            <w:r>
              <w:rPr>
                <w:rFonts w:ascii="Times New Roman"/>
                <w:sz w:val="21"/>
              </w:rPr>
              <w:t>86.25%</w:t>
            </w:r>
          </w:p>
        </w:tc>
        <w:tc>
          <w:tcPr>
            <w:tcW w:w="1240" w:type="dxa"/>
          </w:tcPr>
          <w:p>
            <w:pPr>
              <w:pStyle w:val="TableParagraph"/>
              <w:spacing w:before="138"/>
              <w:ind w:left="180" w:right="165"/>
              <w:rPr>
                <w:sz w:val="21"/>
              </w:rPr>
            </w:pPr>
            <w:r>
              <w:rPr>
                <w:sz w:val="21"/>
              </w:rPr>
              <w:t>达标</w:t>
            </w:r>
          </w:p>
        </w:tc>
      </w:tr>
      <w:tr>
        <w:trPr>
          <w:trHeight w:val="282" w:hRule="atLeast"/>
        </w:trPr>
        <w:tc>
          <w:tcPr>
            <w:tcW w:w="1387" w:type="dxa"/>
            <w:vMerge w:val="restart"/>
          </w:tcPr>
          <w:p>
            <w:pPr>
              <w:pStyle w:val="TableParagraph"/>
              <w:spacing w:before="167"/>
              <w:ind w:left="174" w:right="167"/>
              <w:rPr>
                <w:rFonts w:ascii="Times New Roman"/>
                <w:sz w:val="14"/>
              </w:rPr>
            </w:pPr>
            <w:r>
              <w:rPr>
                <w:rFonts w:ascii="Times New Roman"/>
                <w:position w:val="2"/>
                <w:sz w:val="21"/>
              </w:rPr>
              <w:t>PM</w:t>
            </w:r>
            <w:r>
              <w:rPr>
                <w:rFonts w:ascii="Times New Roman"/>
                <w:sz w:val="14"/>
              </w:rPr>
              <w:t>10</w:t>
            </w:r>
          </w:p>
        </w:tc>
        <w:tc>
          <w:tcPr>
            <w:tcW w:w="2832" w:type="dxa"/>
          </w:tcPr>
          <w:p>
            <w:pPr>
              <w:pStyle w:val="TableParagraph"/>
              <w:spacing w:line="257" w:lineRule="exact" w:before="6"/>
              <w:ind w:left="31" w:right="21"/>
              <w:rPr>
                <w:sz w:val="21"/>
              </w:rPr>
            </w:pPr>
            <w:r>
              <w:rPr>
                <w:sz w:val="21"/>
              </w:rPr>
              <w:t>年平均</w:t>
            </w:r>
          </w:p>
        </w:tc>
        <w:tc>
          <w:tcPr>
            <w:tcW w:w="1274" w:type="dxa"/>
          </w:tcPr>
          <w:p>
            <w:pPr>
              <w:pStyle w:val="TableParagraph"/>
              <w:spacing w:before="19"/>
              <w:ind w:left="88" w:right="79"/>
              <w:rPr>
                <w:rFonts w:ascii="Times New Roman"/>
                <w:sz w:val="21"/>
              </w:rPr>
            </w:pPr>
            <w:r>
              <w:rPr>
                <w:rFonts w:ascii="Times New Roman"/>
                <w:sz w:val="21"/>
              </w:rPr>
              <w:t>45</w:t>
            </w:r>
          </w:p>
        </w:tc>
        <w:tc>
          <w:tcPr>
            <w:tcW w:w="1278" w:type="dxa"/>
          </w:tcPr>
          <w:p>
            <w:pPr>
              <w:pStyle w:val="TableParagraph"/>
              <w:spacing w:before="19"/>
              <w:ind w:left="88" w:right="77"/>
              <w:rPr>
                <w:rFonts w:ascii="Times New Roman"/>
                <w:sz w:val="21"/>
              </w:rPr>
            </w:pPr>
            <w:r>
              <w:rPr>
                <w:rFonts w:ascii="Times New Roman"/>
                <w:sz w:val="21"/>
              </w:rPr>
              <w:t>70</w:t>
            </w:r>
          </w:p>
        </w:tc>
        <w:tc>
          <w:tcPr>
            <w:tcW w:w="1274" w:type="dxa"/>
          </w:tcPr>
          <w:p>
            <w:pPr>
              <w:pStyle w:val="TableParagraph"/>
              <w:spacing w:before="19"/>
              <w:ind w:left="89" w:right="78"/>
              <w:rPr>
                <w:rFonts w:ascii="Times New Roman"/>
                <w:sz w:val="21"/>
              </w:rPr>
            </w:pPr>
            <w:r>
              <w:rPr>
                <w:rFonts w:ascii="Times New Roman"/>
                <w:sz w:val="21"/>
              </w:rPr>
              <w:t>64.29%</w:t>
            </w:r>
          </w:p>
        </w:tc>
        <w:tc>
          <w:tcPr>
            <w:tcW w:w="1240" w:type="dxa"/>
          </w:tcPr>
          <w:p>
            <w:pPr>
              <w:pStyle w:val="TableParagraph"/>
              <w:spacing w:line="257" w:lineRule="exact" w:before="6"/>
              <w:ind w:left="180" w:right="165"/>
              <w:rPr>
                <w:sz w:val="21"/>
              </w:rPr>
            </w:pPr>
            <w:r>
              <w:rPr>
                <w:sz w:val="21"/>
              </w:rPr>
              <w:t>达标</w:t>
            </w:r>
          </w:p>
        </w:tc>
      </w:tr>
      <w:tr>
        <w:trPr>
          <w:trHeight w:val="285" w:hRule="atLeast"/>
        </w:trPr>
        <w:tc>
          <w:tcPr>
            <w:tcW w:w="1387" w:type="dxa"/>
            <w:vMerge/>
            <w:tcBorders>
              <w:top w:val="nil"/>
            </w:tcBorders>
          </w:tcPr>
          <w:p>
            <w:pPr>
              <w:rPr>
                <w:sz w:val="2"/>
                <w:szCs w:val="2"/>
              </w:rPr>
            </w:pPr>
          </w:p>
        </w:tc>
        <w:tc>
          <w:tcPr>
            <w:tcW w:w="2832" w:type="dxa"/>
          </w:tcPr>
          <w:p>
            <w:pPr>
              <w:pStyle w:val="TableParagraph"/>
              <w:spacing w:line="257" w:lineRule="exact" w:before="8"/>
              <w:ind w:left="29" w:right="21"/>
              <w:rPr>
                <w:sz w:val="21"/>
              </w:rPr>
            </w:pPr>
            <w:r>
              <w:rPr>
                <w:rFonts w:ascii="Times New Roman" w:eastAsia="Times New Roman"/>
                <w:sz w:val="21"/>
              </w:rPr>
              <w:t>24 </w:t>
            </w:r>
            <w:r>
              <w:rPr>
                <w:sz w:val="21"/>
              </w:rPr>
              <w:t>小时平均第 </w:t>
            </w:r>
            <w:r>
              <w:rPr>
                <w:rFonts w:ascii="Times New Roman" w:eastAsia="Times New Roman"/>
                <w:sz w:val="21"/>
              </w:rPr>
              <w:t>95 </w:t>
            </w:r>
            <w:r>
              <w:rPr>
                <w:sz w:val="21"/>
              </w:rPr>
              <w:t>百分位数</w:t>
            </w:r>
          </w:p>
        </w:tc>
        <w:tc>
          <w:tcPr>
            <w:tcW w:w="1274" w:type="dxa"/>
          </w:tcPr>
          <w:p>
            <w:pPr>
              <w:pStyle w:val="TableParagraph"/>
              <w:spacing w:before="22"/>
              <w:ind w:left="88" w:right="79"/>
              <w:rPr>
                <w:rFonts w:ascii="Times New Roman"/>
                <w:sz w:val="21"/>
              </w:rPr>
            </w:pPr>
            <w:r>
              <w:rPr>
                <w:rFonts w:ascii="Times New Roman"/>
                <w:sz w:val="21"/>
              </w:rPr>
              <w:t>94</w:t>
            </w:r>
          </w:p>
        </w:tc>
        <w:tc>
          <w:tcPr>
            <w:tcW w:w="1278" w:type="dxa"/>
          </w:tcPr>
          <w:p>
            <w:pPr>
              <w:pStyle w:val="TableParagraph"/>
              <w:spacing w:before="22"/>
              <w:ind w:left="88" w:right="72"/>
              <w:rPr>
                <w:rFonts w:ascii="Times New Roman"/>
                <w:sz w:val="21"/>
              </w:rPr>
            </w:pPr>
            <w:r>
              <w:rPr>
                <w:rFonts w:ascii="Times New Roman"/>
                <w:sz w:val="21"/>
              </w:rPr>
              <w:t>150</w:t>
            </w:r>
          </w:p>
        </w:tc>
        <w:tc>
          <w:tcPr>
            <w:tcW w:w="1274" w:type="dxa"/>
          </w:tcPr>
          <w:p>
            <w:pPr>
              <w:pStyle w:val="TableParagraph"/>
              <w:spacing w:before="22"/>
              <w:ind w:left="89" w:right="78"/>
              <w:rPr>
                <w:rFonts w:ascii="Times New Roman"/>
                <w:sz w:val="21"/>
              </w:rPr>
            </w:pPr>
            <w:r>
              <w:rPr>
                <w:rFonts w:ascii="Times New Roman"/>
                <w:sz w:val="21"/>
              </w:rPr>
              <w:t>62.7%</w:t>
            </w:r>
          </w:p>
        </w:tc>
        <w:tc>
          <w:tcPr>
            <w:tcW w:w="1240" w:type="dxa"/>
          </w:tcPr>
          <w:p>
            <w:pPr>
              <w:pStyle w:val="TableParagraph"/>
              <w:spacing w:line="257" w:lineRule="exact" w:before="8"/>
              <w:ind w:left="180" w:right="165"/>
              <w:rPr>
                <w:sz w:val="21"/>
              </w:rPr>
            </w:pPr>
            <w:r>
              <w:rPr>
                <w:sz w:val="21"/>
              </w:rPr>
              <w:t>达标</w:t>
            </w:r>
          </w:p>
        </w:tc>
      </w:tr>
      <w:tr>
        <w:trPr>
          <w:trHeight w:val="282" w:hRule="atLeast"/>
        </w:trPr>
        <w:tc>
          <w:tcPr>
            <w:tcW w:w="1387" w:type="dxa"/>
            <w:vMerge w:val="restart"/>
          </w:tcPr>
          <w:p>
            <w:pPr>
              <w:pStyle w:val="TableParagraph"/>
              <w:spacing w:before="167"/>
              <w:ind w:left="453"/>
              <w:jc w:val="left"/>
              <w:rPr>
                <w:rFonts w:ascii="Times New Roman"/>
                <w:sz w:val="14"/>
              </w:rPr>
            </w:pPr>
            <w:r>
              <w:rPr>
                <w:rFonts w:ascii="Times New Roman"/>
                <w:position w:val="2"/>
                <w:sz w:val="21"/>
              </w:rPr>
              <w:t>PM</w:t>
            </w:r>
            <w:r>
              <w:rPr>
                <w:rFonts w:ascii="Times New Roman"/>
                <w:sz w:val="14"/>
              </w:rPr>
              <w:t>2.5</w:t>
            </w:r>
          </w:p>
        </w:tc>
        <w:tc>
          <w:tcPr>
            <w:tcW w:w="2832" w:type="dxa"/>
          </w:tcPr>
          <w:p>
            <w:pPr>
              <w:pStyle w:val="TableParagraph"/>
              <w:spacing w:line="257" w:lineRule="exact" w:before="6"/>
              <w:ind w:left="30" w:right="21"/>
              <w:rPr>
                <w:sz w:val="21"/>
              </w:rPr>
            </w:pPr>
            <w:r>
              <w:rPr>
                <w:sz w:val="21"/>
              </w:rPr>
              <w:t>年平均</w:t>
            </w:r>
          </w:p>
        </w:tc>
        <w:tc>
          <w:tcPr>
            <w:tcW w:w="1274" w:type="dxa"/>
          </w:tcPr>
          <w:p>
            <w:pPr>
              <w:pStyle w:val="TableParagraph"/>
              <w:spacing w:before="19"/>
              <w:ind w:left="88" w:right="79"/>
              <w:rPr>
                <w:rFonts w:ascii="Times New Roman"/>
                <w:sz w:val="21"/>
              </w:rPr>
            </w:pPr>
            <w:r>
              <w:rPr>
                <w:rFonts w:ascii="Times New Roman"/>
                <w:sz w:val="21"/>
              </w:rPr>
              <w:t>26</w:t>
            </w:r>
          </w:p>
        </w:tc>
        <w:tc>
          <w:tcPr>
            <w:tcW w:w="1278" w:type="dxa"/>
          </w:tcPr>
          <w:p>
            <w:pPr>
              <w:pStyle w:val="TableParagraph"/>
              <w:spacing w:before="19"/>
              <w:ind w:left="88" w:right="77"/>
              <w:rPr>
                <w:rFonts w:ascii="Times New Roman"/>
                <w:sz w:val="21"/>
              </w:rPr>
            </w:pPr>
            <w:r>
              <w:rPr>
                <w:rFonts w:ascii="Times New Roman"/>
                <w:sz w:val="21"/>
              </w:rPr>
              <w:t>35</w:t>
            </w:r>
          </w:p>
        </w:tc>
        <w:tc>
          <w:tcPr>
            <w:tcW w:w="1274" w:type="dxa"/>
          </w:tcPr>
          <w:p>
            <w:pPr>
              <w:pStyle w:val="TableParagraph"/>
              <w:spacing w:before="19"/>
              <w:ind w:left="89" w:right="78"/>
              <w:rPr>
                <w:rFonts w:ascii="Times New Roman"/>
                <w:sz w:val="21"/>
              </w:rPr>
            </w:pPr>
            <w:r>
              <w:rPr>
                <w:rFonts w:ascii="Times New Roman"/>
                <w:sz w:val="21"/>
              </w:rPr>
              <w:t>74.29%</w:t>
            </w:r>
          </w:p>
        </w:tc>
        <w:tc>
          <w:tcPr>
            <w:tcW w:w="1240" w:type="dxa"/>
          </w:tcPr>
          <w:p>
            <w:pPr>
              <w:pStyle w:val="TableParagraph"/>
              <w:spacing w:line="257" w:lineRule="exact" w:before="6"/>
              <w:ind w:left="180" w:right="165"/>
              <w:rPr>
                <w:sz w:val="21"/>
              </w:rPr>
            </w:pPr>
            <w:r>
              <w:rPr>
                <w:sz w:val="21"/>
              </w:rPr>
              <w:t>达标</w:t>
            </w:r>
          </w:p>
        </w:tc>
      </w:tr>
      <w:tr>
        <w:trPr>
          <w:trHeight w:val="285" w:hRule="atLeast"/>
        </w:trPr>
        <w:tc>
          <w:tcPr>
            <w:tcW w:w="1387" w:type="dxa"/>
            <w:vMerge/>
            <w:tcBorders>
              <w:top w:val="nil"/>
            </w:tcBorders>
          </w:tcPr>
          <w:p>
            <w:pPr>
              <w:rPr>
                <w:sz w:val="2"/>
                <w:szCs w:val="2"/>
              </w:rPr>
            </w:pPr>
          </w:p>
        </w:tc>
        <w:tc>
          <w:tcPr>
            <w:tcW w:w="2832" w:type="dxa"/>
          </w:tcPr>
          <w:p>
            <w:pPr>
              <w:pStyle w:val="TableParagraph"/>
              <w:spacing w:line="257" w:lineRule="exact" w:before="8"/>
              <w:ind w:left="29" w:right="21"/>
              <w:rPr>
                <w:sz w:val="21"/>
              </w:rPr>
            </w:pPr>
            <w:r>
              <w:rPr>
                <w:rFonts w:ascii="Times New Roman" w:eastAsia="Times New Roman"/>
                <w:sz w:val="21"/>
              </w:rPr>
              <w:t>24 </w:t>
            </w:r>
            <w:r>
              <w:rPr>
                <w:sz w:val="21"/>
              </w:rPr>
              <w:t>小时平均第 </w:t>
            </w:r>
            <w:r>
              <w:rPr>
                <w:rFonts w:ascii="Times New Roman" w:eastAsia="Times New Roman"/>
                <w:sz w:val="21"/>
              </w:rPr>
              <w:t>95 </w:t>
            </w:r>
            <w:r>
              <w:rPr>
                <w:sz w:val="21"/>
              </w:rPr>
              <w:t>百分位数</w:t>
            </w:r>
          </w:p>
        </w:tc>
        <w:tc>
          <w:tcPr>
            <w:tcW w:w="1274" w:type="dxa"/>
          </w:tcPr>
          <w:p>
            <w:pPr>
              <w:pStyle w:val="TableParagraph"/>
              <w:spacing w:before="22"/>
              <w:ind w:left="88" w:right="79"/>
              <w:rPr>
                <w:rFonts w:ascii="Times New Roman"/>
                <w:sz w:val="21"/>
              </w:rPr>
            </w:pPr>
            <w:r>
              <w:rPr>
                <w:rFonts w:ascii="Times New Roman"/>
                <w:sz w:val="21"/>
              </w:rPr>
              <w:t>58</w:t>
            </w:r>
          </w:p>
        </w:tc>
        <w:tc>
          <w:tcPr>
            <w:tcW w:w="1278" w:type="dxa"/>
          </w:tcPr>
          <w:p>
            <w:pPr>
              <w:pStyle w:val="TableParagraph"/>
              <w:spacing w:before="22"/>
              <w:ind w:left="88" w:right="77"/>
              <w:rPr>
                <w:rFonts w:ascii="Times New Roman"/>
                <w:sz w:val="21"/>
              </w:rPr>
            </w:pPr>
            <w:r>
              <w:rPr>
                <w:rFonts w:ascii="Times New Roman"/>
                <w:sz w:val="21"/>
              </w:rPr>
              <w:t>75</w:t>
            </w:r>
          </w:p>
        </w:tc>
        <w:tc>
          <w:tcPr>
            <w:tcW w:w="1274" w:type="dxa"/>
          </w:tcPr>
          <w:p>
            <w:pPr>
              <w:pStyle w:val="TableParagraph"/>
              <w:spacing w:before="22"/>
              <w:ind w:left="89" w:right="78"/>
              <w:rPr>
                <w:rFonts w:ascii="Times New Roman"/>
                <w:sz w:val="21"/>
              </w:rPr>
            </w:pPr>
            <w:r>
              <w:rPr>
                <w:rFonts w:ascii="Times New Roman"/>
                <w:sz w:val="21"/>
              </w:rPr>
              <w:t>77.3%</w:t>
            </w:r>
          </w:p>
        </w:tc>
        <w:tc>
          <w:tcPr>
            <w:tcW w:w="1240" w:type="dxa"/>
          </w:tcPr>
          <w:p>
            <w:pPr>
              <w:pStyle w:val="TableParagraph"/>
              <w:spacing w:line="257" w:lineRule="exact" w:before="8"/>
              <w:ind w:left="180" w:right="165"/>
              <w:rPr>
                <w:sz w:val="21"/>
              </w:rPr>
            </w:pPr>
            <w:r>
              <w:rPr>
                <w:sz w:val="21"/>
              </w:rPr>
              <w:t>达标</w:t>
            </w:r>
          </w:p>
        </w:tc>
      </w:tr>
    </w:tbl>
    <w:p>
      <w:pPr>
        <w:pStyle w:val="BodyText"/>
        <w:spacing w:line="364" w:lineRule="auto" w:before="1"/>
        <w:ind w:left="258" w:right="327" w:firstLine="480"/>
      </w:pPr>
      <w:r>
        <w:rPr>
          <w:position w:val="2"/>
        </w:rPr>
        <w:t>根据上表数据可知，</w:t>
      </w:r>
      <w:r>
        <w:rPr>
          <w:rFonts w:ascii="Times New Roman" w:eastAsia="Times New Roman"/>
          <w:position w:val="2"/>
        </w:rPr>
        <w:t>SO</w:t>
      </w:r>
      <w:r>
        <w:rPr>
          <w:rFonts w:ascii="Times New Roman" w:eastAsia="Times New Roman"/>
          <w:sz w:val="16"/>
        </w:rPr>
        <w:t>2</w:t>
      </w:r>
      <w:r>
        <w:rPr>
          <w:position w:val="2"/>
        </w:rPr>
        <w:t>、</w:t>
      </w:r>
      <w:r>
        <w:rPr>
          <w:rFonts w:ascii="Times New Roman" w:eastAsia="Times New Roman"/>
          <w:position w:val="2"/>
        </w:rPr>
        <w:t>NO</w:t>
      </w:r>
      <w:r>
        <w:rPr>
          <w:rFonts w:ascii="Times New Roman" w:eastAsia="Times New Roman"/>
          <w:sz w:val="16"/>
        </w:rPr>
        <w:t>2</w:t>
      </w:r>
      <w:r>
        <w:rPr>
          <w:position w:val="2"/>
        </w:rPr>
        <w:t>、</w:t>
      </w:r>
      <w:r>
        <w:rPr>
          <w:rFonts w:ascii="Times New Roman" w:eastAsia="Times New Roman"/>
          <w:position w:val="2"/>
        </w:rPr>
        <w:t>PM</w:t>
      </w:r>
      <w:r>
        <w:rPr>
          <w:rFonts w:ascii="Times New Roman" w:eastAsia="Times New Roman"/>
          <w:sz w:val="16"/>
        </w:rPr>
        <w:t>10</w:t>
      </w:r>
      <w:r>
        <w:rPr>
          <w:position w:val="2"/>
        </w:rPr>
        <w:t>、</w:t>
      </w:r>
      <w:r>
        <w:rPr>
          <w:rFonts w:ascii="Times New Roman" w:eastAsia="Times New Roman"/>
          <w:position w:val="2"/>
        </w:rPr>
        <w:t>PM</w:t>
      </w:r>
      <w:r>
        <w:rPr>
          <w:rFonts w:ascii="Times New Roman" w:eastAsia="Times New Roman"/>
          <w:sz w:val="16"/>
        </w:rPr>
        <w:t>2.5</w:t>
      </w:r>
      <w:r>
        <w:rPr>
          <w:position w:val="2"/>
        </w:rPr>
        <w:t>、</w:t>
      </w:r>
      <w:r>
        <w:rPr>
          <w:rFonts w:ascii="Times New Roman" w:eastAsia="Times New Roman"/>
          <w:position w:val="2"/>
        </w:rPr>
        <w:t>CO</w:t>
      </w:r>
      <w:r>
        <w:rPr>
          <w:position w:val="2"/>
        </w:rPr>
        <w:t>、</w:t>
      </w:r>
      <w:r>
        <w:rPr>
          <w:rFonts w:ascii="Times New Roman" w:eastAsia="Times New Roman"/>
          <w:position w:val="2"/>
        </w:rPr>
        <w:t>O</w:t>
      </w:r>
      <w:r>
        <w:rPr>
          <w:rFonts w:ascii="Times New Roman" w:eastAsia="Times New Roman"/>
          <w:sz w:val="16"/>
        </w:rPr>
        <w:t>3 </w:t>
      </w:r>
      <w:r>
        <w:rPr>
          <w:position w:val="2"/>
        </w:rPr>
        <w:t>评价指标均能达到《环境</w:t>
      </w:r>
      <w:r>
        <w:rPr/>
        <w:t>空气质量标准》（</w:t>
      </w:r>
      <w:r>
        <w:rPr>
          <w:rFonts w:ascii="Times New Roman" w:eastAsia="Times New Roman"/>
        </w:rPr>
        <w:t>GB3095-2012</w:t>
      </w:r>
      <w:r>
        <w:rPr/>
        <w:t>）二级标准，上虞区属于达标区。</w:t>
      </w:r>
    </w:p>
    <w:p>
      <w:pPr>
        <w:pStyle w:val="Heading4"/>
        <w:spacing w:before="142" w:after="29"/>
        <w:ind w:left="1021"/>
        <w:jc w:val="both"/>
        <w:rPr>
          <w:rFonts w:ascii="Times New Roman" w:hAnsi="Times New Roman" w:eastAsia="Times New Roman"/>
          <w:sz w:val="16"/>
        </w:rPr>
      </w:pPr>
      <w:r>
        <w:rPr>
          <w:spacing w:val="-30"/>
        </w:rPr>
        <w:t>表 </w:t>
      </w:r>
      <w:r>
        <w:rPr>
          <w:rFonts w:ascii="Times New Roman" w:hAnsi="Times New Roman" w:eastAsia="Times New Roman"/>
        </w:rPr>
        <w:t>6.2.1-2</w:t>
      </w:r>
      <w:r>
        <w:rPr>
          <w:rFonts w:ascii="Times New Roman" w:hAnsi="Times New Roman" w:eastAsia="Times New Roman"/>
          <w:spacing w:val="59"/>
        </w:rPr>
        <w:t> </w:t>
      </w:r>
      <w:r>
        <w:rPr/>
        <w:t>区域环境质量评价表（余姚，</w:t>
      </w:r>
      <w:r>
        <w:rPr>
          <w:rFonts w:ascii="Times New Roman" w:hAnsi="Times New Roman" w:eastAsia="Times New Roman"/>
        </w:rPr>
        <w:t>2020</w:t>
      </w:r>
      <w:r>
        <w:rPr/>
        <w:t>）</w:t>
      </w:r>
      <w:r>
        <w:rPr>
          <w:spacing w:val="-7"/>
        </w:rPr>
        <w:t> 单位：除注明外 </w:t>
      </w:r>
      <w:r>
        <w:rPr>
          <w:rFonts w:ascii="Times New Roman" w:hAnsi="Times New Roman" w:eastAsia="Times New Roman"/>
        </w:rPr>
        <w:t>μg/m</w:t>
      </w:r>
      <w:r>
        <w:rPr>
          <w:rFonts w:ascii="Times New Roman" w:hAnsi="Times New Roman" w:eastAsia="Times New Roman"/>
          <w:position w:val="8"/>
          <w:sz w:val="16"/>
        </w:rPr>
        <w:t>3</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7"/>
        <w:gridCol w:w="2832"/>
        <w:gridCol w:w="1274"/>
        <w:gridCol w:w="1278"/>
        <w:gridCol w:w="1274"/>
        <w:gridCol w:w="1240"/>
      </w:tblGrid>
      <w:tr>
        <w:trPr>
          <w:trHeight w:val="513" w:hRule="atLeast"/>
        </w:trPr>
        <w:tc>
          <w:tcPr>
            <w:tcW w:w="1387" w:type="dxa"/>
          </w:tcPr>
          <w:p>
            <w:pPr>
              <w:pStyle w:val="TableParagraph"/>
              <w:spacing w:before="123"/>
              <w:ind w:left="176" w:right="167"/>
              <w:rPr>
                <w:b/>
                <w:sz w:val="21"/>
              </w:rPr>
            </w:pPr>
            <w:r>
              <w:rPr>
                <w:b/>
                <w:sz w:val="21"/>
              </w:rPr>
              <w:t>污染物</w:t>
            </w:r>
          </w:p>
        </w:tc>
        <w:tc>
          <w:tcPr>
            <w:tcW w:w="2832" w:type="dxa"/>
          </w:tcPr>
          <w:p>
            <w:pPr>
              <w:pStyle w:val="TableParagraph"/>
              <w:spacing w:before="123"/>
              <w:ind w:left="30" w:right="21"/>
              <w:rPr>
                <w:b/>
                <w:sz w:val="21"/>
              </w:rPr>
            </w:pPr>
            <w:r>
              <w:rPr>
                <w:b/>
                <w:sz w:val="21"/>
              </w:rPr>
              <w:t>年评价指标</w:t>
            </w:r>
          </w:p>
        </w:tc>
        <w:tc>
          <w:tcPr>
            <w:tcW w:w="1274" w:type="dxa"/>
          </w:tcPr>
          <w:p>
            <w:pPr>
              <w:pStyle w:val="TableParagraph"/>
              <w:spacing w:line="268" w:lineRule="exact" w:before="1"/>
              <w:ind w:left="216"/>
              <w:jc w:val="left"/>
              <w:rPr>
                <w:b/>
                <w:sz w:val="21"/>
              </w:rPr>
            </w:pPr>
            <w:r>
              <w:rPr>
                <w:b/>
                <w:sz w:val="21"/>
              </w:rPr>
              <w:t>现状浓度</w:t>
            </w:r>
          </w:p>
          <w:p>
            <w:pPr>
              <w:pStyle w:val="TableParagraph"/>
              <w:spacing w:line="225" w:lineRule="exact"/>
              <w:ind w:left="274"/>
              <w:jc w:val="left"/>
              <w:rPr>
                <w:rFonts w:ascii="Times New Roman" w:hAnsi="Times New Roman"/>
                <w:b/>
                <w:sz w:val="21"/>
              </w:rPr>
            </w:pPr>
            <w:r>
              <w:rPr>
                <w:rFonts w:ascii="Times New Roman" w:hAnsi="Times New Roman"/>
                <w:b/>
                <w:sz w:val="21"/>
              </w:rPr>
              <w:t>/(μg/m</w:t>
            </w:r>
            <w:r>
              <w:rPr>
                <w:rFonts w:ascii="Times New Roman" w:hAnsi="Times New Roman"/>
                <w:b/>
                <w:position w:val="7"/>
                <w:sz w:val="14"/>
              </w:rPr>
              <w:t>3</w:t>
            </w:r>
            <w:r>
              <w:rPr>
                <w:rFonts w:ascii="Times New Roman" w:hAnsi="Times New Roman"/>
                <w:b/>
                <w:sz w:val="21"/>
              </w:rPr>
              <w:t>)</w:t>
            </w:r>
          </w:p>
        </w:tc>
        <w:tc>
          <w:tcPr>
            <w:tcW w:w="1278" w:type="dxa"/>
          </w:tcPr>
          <w:p>
            <w:pPr>
              <w:pStyle w:val="TableParagraph"/>
              <w:spacing w:line="268" w:lineRule="exact" w:before="1"/>
              <w:ind w:left="322"/>
              <w:jc w:val="left"/>
              <w:rPr>
                <w:b/>
                <w:sz w:val="21"/>
              </w:rPr>
            </w:pPr>
            <w:r>
              <w:rPr>
                <w:b/>
                <w:sz w:val="21"/>
              </w:rPr>
              <w:t>标准值</w:t>
            </w:r>
          </w:p>
          <w:p>
            <w:pPr>
              <w:pStyle w:val="TableParagraph"/>
              <w:spacing w:line="225" w:lineRule="exact"/>
              <w:ind w:left="277"/>
              <w:jc w:val="left"/>
              <w:rPr>
                <w:rFonts w:ascii="Times New Roman" w:hAnsi="Times New Roman"/>
                <w:b/>
                <w:sz w:val="21"/>
              </w:rPr>
            </w:pPr>
            <w:r>
              <w:rPr>
                <w:rFonts w:ascii="Times New Roman" w:hAnsi="Times New Roman"/>
                <w:b/>
                <w:sz w:val="21"/>
              </w:rPr>
              <w:t>/(μg/m</w:t>
            </w:r>
            <w:r>
              <w:rPr>
                <w:rFonts w:ascii="Times New Roman" w:hAnsi="Times New Roman"/>
                <w:b/>
                <w:position w:val="7"/>
                <w:sz w:val="14"/>
              </w:rPr>
              <w:t>3</w:t>
            </w:r>
            <w:r>
              <w:rPr>
                <w:rFonts w:ascii="Times New Roman" w:hAnsi="Times New Roman"/>
                <w:b/>
                <w:sz w:val="21"/>
              </w:rPr>
              <w:t>)</w:t>
            </w:r>
          </w:p>
        </w:tc>
        <w:tc>
          <w:tcPr>
            <w:tcW w:w="1274" w:type="dxa"/>
          </w:tcPr>
          <w:p>
            <w:pPr>
              <w:pStyle w:val="TableParagraph"/>
              <w:spacing w:before="123"/>
              <w:ind w:left="319"/>
              <w:jc w:val="left"/>
              <w:rPr>
                <w:b/>
                <w:sz w:val="21"/>
              </w:rPr>
            </w:pPr>
            <w:r>
              <w:rPr>
                <w:b/>
                <w:sz w:val="21"/>
              </w:rPr>
              <w:t>占标率</w:t>
            </w:r>
          </w:p>
        </w:tc>
        <w:tc>
          <w:tcPr>
            <w:tcW w:w="1240" w:type="dxa"/>
          </w:tcPr>
          <w:p>
            <w:pPr>
              <w:pStyle w:val="TableParagraph"/>
              <w:spacing w:before="123"/>
              <w:ind w:left="180" w:right="165"/>
              <w:rPr>
                <w:b/>
                <w:sz w:val="21"/>
              </w:rPr>
            </w:pPr>
            <w:r>
              <w:rPr>
                <w:b/>
                <w:sz w:val="21"/>
              </w:rPr>
              <w:t>达标情况</w:t>
            </w:r>
          </w:p>
        </w:tc>
      </w:tr>
      <w:tr>
        <w:trPr>
          <w:trHeight w:val="285" w:hRule="atLeast"/>
        </w:trPr>
        <w:tc>
          <w:tcPr>
            <w:tcW w:w="1387" w:type="dxa"/>
          </w:tcPr>
          <w:p>
            <w:pPr>
              <w:pStyle w:val="TableParagraph"/>
              <w:spacing w:line="244" w:lineRule="exact" w:before="21"/>
              <w:ind w:left="176" w:right="167"/>
              <w:rPr>
                <w:rFonts w:ascii="Times New Roman"/>
                <w:sz w:val="14"/>
              </w:rPr>
            </w:pPr>
            <w:r>
              <w:rPr>
                <w:rFonts w:ascii="Times New Roman"/>
                <w:position w:val="2"/>
                <w:sz w:val="21"/>
              </w:rPr>
              <w:t>SO</w:t>
            </w:r>
            <w:r>
              <w:rPr>
                <w:rFonts w:ascii="Times New Roman"/>
                <w:sz w:val="14"/>
              </w:rPr>
              <w:t>2</w:t>
            </w:r>
          </w:p>
        </w:tc>
        <w:tc>
          <w:tcPr>
            <w:tcW w:w="2832" w:type="dxa"/>
          </w:tcPr>
          <w:p>
            <w:pPr>
              <w:pStyle w:val="TableParagraph"/>
              <w:spacing w:line="257" w:lineRule="exact" w:before="8"/>
              <w:ind w:left="30" w:right="21"/>
              <w:rPr>
                <w:sz w:val="21"/>
              </w:rPr>
            </w:pPr>
            <w:r>
              <w:rPr>
                <w:sz w:val="21"/>
              </w:rPr>
              <w:t>年平均</w:t>
            </w:r>
          </w:p>
        </w:tc>
        <w:tc>
          <w:tcPr>
            <w:tcW w:w="1274" w:type="dxa"/>
          </w:tcPr>
          <w:p>
            <w:pPr>
              <w:pStyle w:val="TableParagraph"/>
              <w:spacing w:before="22"/>
              <w:ind w:left="9"/>
              <w:rPr>
                <w:rFonts w:ascii="Times New Roman"/>
                <w:sz w:val="21"/>
              </w:rPr>
            </w:pPr>
            <w:r>
              <w:rPr>
                <w:rFonts w:ascii="Times New Roman"/>
                <w:w w:val="100"/>
                <w:sz w:val="21"/>
              </w:rPr>
              <w:t>8</w:t>
            </w:r>
          </w:p>
        </w:tc>
        <w:tc>
          <w:tcPr>
            <w:tcW w:w="1278" w:type="dxa"/>
          </w:tcPr>
          <w:p>
            <w:pPr>
              <w:pStyle w:val="TableParagraph"/>
              <w:spacing w:before="22"/>
              <w:ind w:left="88" w:right="77"/>
              <w:rPr>
                <w:rFonts w:ascii="Times New Roman"/>
                <w:sz w:val="21"/>
              </w:rPr>
            </w:pPr>
            <w:r>
              <w:rPr>
                <w:rFonts w:ascii="Times New Roman"/>
                <w:sz w:val="21"/>
              </w:rPr>
              <w:t>60</w:t>
            </w:r>
          </w:p>
        </w:tc>
        <w:tc>
          <w:tcPr>
            <w:tcW w:w="1274" w:type="dxa"/>
          </w:tcPr>
          <w:p>
            <w:pPr>
              <w:pStyle w:val="TableParagraph"/>
              <w:spacing w:before="22"/>
              <w:ind w:left="364"/>
              <w:jc w:val="left"/>
              <w:rPr>
                <w:rFonts w:ascii="Times New Roman"/>
                <w:sz w:val="21"/>
              </w:rPr>
            </w:pPr>
            <w:r>
              <w:rPr>
                <w:rFonts w:ascii="Times New Roman"/>
                <w:sz w:val="21"/>
              </w:rPr>
              <w:t>13.3%</w:t>
            </w:r>
          </w:p>
        </w:tc>
        <w:tc>
          <w:tcPr>
            <w:tcW w:w="1240" w:type="dxa"/>
          </w:tcPr>
          <w:p>
            <w:pPr>
              <w:pStyle w:val="TableParagraph"/>
              <w:spacing w:line="257" w:lineRule="exact" w:before="8"/>
              <w:ind w:left="180" w:right="165"/>
              <w:rPr>
                <w:sz w:val="21"/>
              </w:rPr>
            </w:pPr>
            <w:r>
              <w:rPr>
                <w:sz w:val="21"/>
              </w:rPr>
              <w:t>达标</w:t>
            </w:r>
          </w:p>
        </w:tc>
      </w:tr>
      <w:tr>
        <w:trPr>
          <w:trHeight w:val="282" w:hRule="atLeast"/>
        </w:trPr>
        <w:tc>
          <w:tcPr>
            <w:tcW w:w="1387" w:type="dxa"/>
          </w:tcPr>
          <w:p>
            <w:pPr>
              <w:pStyle w:val="TableParagraph"/>
              <w:spacing w:line="244" w:lineRule="exact" w:before="19"/>
              <w:ind w:left="176" w:right="167"/>
              <w:rPr>
                <w:rFonts w:ascii="Times New Roman"/>
                <w:sz w:val="14"/>
              </w:rPr>
            </w:pPr>
            <w:r>
              <w:rPr>
                <w:rFonts w:ascii="Times New Roman"/>
                <w:position w:val="2"/>
                <w:sz w:val="21"/>
              </w:rPr>
              <w:t>NO</w:t>
            </w:r>
            <w:r>
              <w:rPr>
                <w:rFonts w:ascii="Times New Roman"/>
                <w:sz w:val="14"/>
              </w:rPr>
              <w:t>2</w:t>
            </w:r>
          </w:p>
        </w:tc>
        <w:tc>
          <w:tcPr>
            <w:tcW w:w="2832" w:type="dxa"/>
          </w:tcPr>
          <w:p>
            <w:pPr>
              <w:pStyle w:val="TableParagraph"/>
              <w:spacing w:line="257" w:lineRule="exact" w:before="6"/>
              <w:ind w:left="31" w:right="21"/>
              <w:rPr>
                <w:sz w:val="21"/>
              </w:rPr>
            </w:pPr>
            <w:r>
              <w:rPr>
                <w:sz w:val="21"/>
              </w:rPr>
              <w:t>年平均</w:t>
            </w:r>
          </w:p>
        </w:tc>
        <w:tc>
          <w:tcPr>
            <w:tcW w:w="1274" w:type="dxa"/>
          </w:tcPr>
          <w:p>
            <w:pPr>
              <w:pStyle w:val="TableParagraph"/>
              <w:spacing w:before="19"/>
              <w:ind w:left="88" w:right="79"/>
              <w:rPr>
                <w:rFonts w:ascii="Times New Roman"/>
                <w:sz w:val="21"/>
              </w:rPr>
            </w:pPr>
            <w:r>
              <w:rPr>
                <w:rFonts w:ascii="Times New Roman"/>
                <w:sz w:val="21"/>
              </w:rPr>
              <w:t>25</w:t>
            </w:r>
          </w:p>
        </w:tc>
        <w:tc>
          <w:tcPr>
            <w:tcW w:w="1278" w:type="dxa"/>
          </w:tcPr>
          <w:p>
            <w:pPr>
              <w:pStyle w:val="TableParagraph"/>
              <w:spacing w:before="19"/>
              <w:ind w:left="88" w:right="77"/>
              <w:rPr>
                <w:rFonts w:ascii="Times New Roman"/>
                <w:sz w:val="21"/>
              </w:rPr>
            </w:pPr>
            <w:r>
              <w:rPr>
                <w:rFonts w:ascii="Times New Roman"/>
                <w:sz w:val="21"/>
              </w:rPr>
              <w:t>40</w:t>
            </w:r>
          </w:p>
        </w:tc>
        <w:tc>
          <w:tcPr>
            <w:tcW w:w="1274" w:type="dxa"/>
          </w:tcPr>
          <w:p>
            <w:pPr>
              <w:pStyle w:val="TableParagraph"/>
              <w:spacing w:before="19"/>
              <w:ind w:left="364"/>
              <w:jc w:val="left"/>
              <w:rPr>
                <w:rFonts w:ascii="Times New Roman"/>
                <w:sz w:val="21"/>
              </w:rPr>
            </w:pPr>
            <w:r>
              <w:rPr>
                <w:rFonts w:ascii="Times New Roman"/>
                <w:sz w:val="21"/>
              </w:rPr>
              <w:t>62.5%</w:t>
            </w:r>
          </w:p>
        </w:tc>
        <w:tc>
          <w:tcPr>
            <w:tcW w:w="1240" w:type="dxa"/>
          </w:tcPr>
          <w:p>
            <w:pPr>
              <w:pStyle w:val="TableParagraph"/>
              <w:spacing w:line="257" w:lineRule="exact" w:before="6"/>
              <w:ind w:left="180" w:right="165"/>
              <w:rPr>
                <w:sz w:val="21"/>
              </w:rPr>
            </w:pPr>
            <w:r>
              <w:rPr>
                <w:sz w:val="21"/>
              </w:rPr>
              <w:t>达标</w:t>
            </w:r>
          </w:p>
        </w:tc>
      </w:tr>
      <w:tr>
        <w:trPr>
          <w:trHeight w:val="285" w:hRule="atLeast"/>
        </w:trPr>
        <w:tc>
          <w:tcPr>
            <w:tcW w:w="1387" w:type="dxa"/>
          </w:tcPr>
          <w:p>
            <w:pPr>
              <w:pStyle w:val="TableParagraph"/>
              <w:spacing w:before="17"/>
              <w:ind w:left="177" w:right="167"/>
              <w:rPr>
                <w:rFonts w:ascii="Times New Roman"/>
                <w:sz w:val="21"/>
              </w:rPr>
            </w:pPr>
            <w:r>
              <w:rPr>
                <w:rFonts w:ascii="Times New Roman"/>
                <w:sz w:val="21"/>
              </w:rPr>
              <w:t>CO(mg/m</w:t>
            </w:r>
            <w:r>
              <w:rPr>
                <w:rFonts w:ascii="Times New Roman"/>
                <w:position w:val="7"/>
                <w:sz w:val="14"/>
              </w:rPr>
              <w:t>3</w:t>
            </w:r>
            <w:r>
              <w:rPr>
                <w:rFonts w:ascii="Times New Roman"/>
                <w:sz w:val="21"/>
              </w:rPr>
              <w:t>)</w:t>
            </w:r>
          </w:p>
        </w:tc>
        <w:tc>
          <w:tcPr>
            <w:tcW w:w="2832" w:type="dxa"/>
          </w:tcPr>
          <w:p>
            <w:pPr>
              <w:pStyle w:val="TableParagraph"/>
              <w:spacing w:line="257" w:lineRule="exact" w:before="8"/>
              <w:ind w:left="29" w:right="21"/>
              <w:rPr>
                <w:sz w:val="21"/>
              </w:rPr>
            </w:pPr>
            <w:r>
              <w:rPr>
                <w:rFonts w:ascii="Times New Roman" w:eastAsia="Times New Roman"/>
                <w:sz w:val="21"/>
              </w:rPr>
              <w:t>24 </w:t>
            </w:r>
            <w:r>
              <w:rPr>
                <w:sz w:val="21"/>
              </w:rPr>
              <w:t>小时平均第 </w:t>
            </w:r>
            <w:r>
              <w:rPr>
                <w:rFonts w:ascii="Times New Roman" w:eastAsia="Times New Roman"/>
                <w:sz w:val="21"/>
              </w:rPr>
              <w:t>95 </w:t>
            </w:r>
            <w:r>
              <w:rPr>
                <w:sz w:val="21"/>
              </w:rPr>
              <w:t>百分位数</w:t>
            </w:r>
          </w:p>
        </w:tc>
        <w:tc>
          <w:tcPr>
            <w:tcW w:w="1274" w:type="dxa"/>
          </w:tcPr>
          <w:p>
            <w:pPr>
              <w:pStyle w:val="TableParagraph"/>
              <w:spacing w:before="22"/>
              <w:ind w:left="9"/>
              <w:rPr>
                <w:rFonts w:ascii="Times New Roman"/>
                <w:sz w:val="21"/>
              </w:rPr>
            </w:pPr>
            <w:r>
              <w:rPr>
                <w:rFonts w:ascii="Times New Roman"/>
                <w:w w:val="100"/>
                <w:sz w:val="21"/>
              </w:rPr>
              <w:t>1</w:t>
            </w:r>
          </w:p>
        </w:tc>
        <w:tc>
          <w:tcPr>
            <w:tcW w:w="1278" w:type="dxa"/>
          </w:tcPr>
          <w:p>
            <w:pPr>
              <w:pStyle w:val="TableParagraph"/>
              <w:spacing w:before="22"/>
              <w:ind w:left="11"/>
              <w:rPr>
                <w:rFonts w:ascii="Times New Roman"/>
                <w:sz w:val="21"/>
              </w:rPr>
            </w:pPr>
            <w:r>
              <w:rPr>
                <w:rFonts w:ascii="Times New Roman"/>
                <w:w w:val="100"/>
                <w:sz w:val="21"/>
              </w:rPr>
              <w:t>4</w:t>
            </w:r>
          </w:p>
        </w:tc>
        <w:tc>
          <w:tcPr>
            <w:tcW w:w="1274" w:type="dxa"/>
          </w:tcPr>
          <w:p>
            <w:pPr>
              <w:pStyle w:val="TableParagraph"/>
              <w:spacing w:before="22"/>
              <w:ind w:left="364"/>
              <w:jc w:val="left"/>
              <w:rPr>
                <w:rFonts w:ascii="Times New Roman"/>
                <w:sz w:val="21"/>
              </w:rPr>
            </w:pPr>
            <w:r>
              <w:rPr>
                <w:rFonts w:ascii="Times New Roman"/>
                <w:sz w:val="21"/>
              </w:rPr>
              <w:t>25.0%</w:t>
            </w:r>
          </w:p>
        </w:tc>
        <w:tc>
          <w:tcPr>
            <w:tcW w:w="1240" w:type="dxa"/>
          </w:tcPr>
          <w:p>
            <w:pPr>
              <w:pStyle w:val="TableParagraph"/>
              <w:spacing w:line="257" w:lineRule="exact" w:before="8"/>
              <w:ind w:left="180" w:right="165"/>
              <w:rPr>
                <w:sz w:val="21"/>
              </w:rPr>
            </w:pPr>
            <w:r>
              <w:rPr>
                <w:sz w:val="21"/>
              </w:rPr>
              <w:t>达标</w:t>
            </w:r>
          </w:p>
        </w:tc>
      </w:tr>
      <w:tr>
        <w:trPr>
          <w:trHeight w:val="544" w:hRule="atLeast"/>
        </w:trPr>
        <w:tc>
          <w:tcPr>
            <w:tcW w:w="1387" w:type="dxa"/>
          </w:tcPr>
          <w:p>
            <w:pPr>
              <w:pStyle w:val="TableParagraph"/>
              <w:spacing w:before="151"/>
              <w:ind w:left="177" w:right="165"/>
              <w:rPr>
                <w:rFonts w:ascii="Times New Roman"/>
                <w:sz w:val="14"/>
              </w:rPr>
            </w:pPr>
            <w:r>
              <w:rPr>
                <w:rFonts w:ascii="Times New Roman"/>
                <w:position w:val="2"/>
                <w:sz w:val="21"/>
              </w:rPr>
              <w:t>O</w:t>
            </w:r>
            <w:r>
              <w:rPr>
                <w:rFonts w:ascii="Times New Roman"/>
                <w:sz w:val="14"/>
              </w:rPr>
              <w:t>3</w:t>
            </w:r>
          </w:p>
        </w:tc>
        <w:tc>
          <w:tcPr>
            <w:tcW w:w="2832" w:type="dxa"/>
          </w:tcPr>
          <w:p>
            <w:pPr>
              <w:pStyle w:val="TableParagraph"/>
              <w:spacing w:before="1"/>
              <w:ind w:left="31" w:right="21"/>
              <w:rPr>
                <w:sz w:val="21"/>
              </w:rPr>
            </w:pPr>
            <w:r>
              <w:rPr>
                <w:sz w:val="21"/>
              </w:rPr>
              <w:t>最大 </w:t>
            </w:r>
            <w:r>
              <w:rPr>
                <w:rFonts w:ascii="Times New Roman" w:eastAsia="Times New Roman"/>
                <w:sz w:val="21"/>
              </w:rPr>
              <w:t>8 </w:t>
            </w:r>
            <w:r>
              <w:rPr>
                <w:sz w:val="21"/>
              </w:rPr>
              <w:t>小时平均值第 </w:t>
            </w:r>
            <w:r>
              <w:rPr>
                <w:rFonts w:ascii="Times New Roman" w:eastAsia="Times New Roman"/>
                <w:sz w:val="21"/>
              </w:rPr>
              <w:t>95 </w:t>
            </w:r>
            <w:r>
              <w:rPr>
                <w:sz w:val="21"/>
              </w:rPr>
              <w:t>百分</w:t>
            </w:r>
          </w:p>
          <w:p>
            <w:pPr>
              <w:pStyle w:val="TableParagraph"/>
              <w:spacing w:line="252" w:lineRule="exact" w:before="2"/>
              <w:ind w:left="30" w:right="21"/>
              <w:rPr>
                <w:sz w:val="21"/>
              </w:rPr>
            </w:pPr>
            <w:r>
              <w:rPr>
                <w:sz w:val="21"/>
              </w:rPr>
              <w:t>位数</w:t>
            </w:r>
          </w:p>
        </w:tc>
        <w:tc>
          <w:tcPr>
            <w:tcW w:w="1274" w:type="dxa"/>
          </w:tcPr>
          <w:p>
            <w:pPr>
              <w:pStyle w:val="TableParagraph"/>
              <w:spacing w:before="151"/>
              <w:ind w:left="89" w:right="76"/>
              <w:rPr>
                <w:rFonts w:ascii="Times New Roman"/>
                <w:sz w:val="21"/>
              </w:rPr>
            </w:pPr>
            <w:r>
              <w:rPr>
                <w:rFonts w:ascii="Times New Roman"/>
                <w:sz w:val="21"/>
              </w:rPr>
              <w:t>152</w:t>
            </w:r>
          </w:p>
        </w:tc>
        <w:tc>
          <w:tcPr>
            <w:tcW w:w="1278" w:type="dxa"/>
          </w:tcPr>
          <w:p>
            <w:pPr>
              <w:pStyle w:val="TableParagraph"/>
              <w:spacing w:before="151"/>
              <w:ind w:left="88" w:right="72"/>
              <w:rPr>
                <w:rFonts w:ascii="Times New Roman"/>
                <w:sz w:val="21"/>
              </w:rPr>
            </w:pPr>
            <w:r>
              <w:rPr>
                <w:rFonts w:ascii="Times New Roman"/>
                <w:sz w:val="21"/>
              </w:rPr>
              <w:t>160</w:t>
            </w:r>
          </w:p>
        </w:tc>
        <w:tc>
          <w:tcPr>
            <w:tcW w:w="1274" w:type="dxa"/>
          </w:tcPr>
          <w:p>
            <w:pPr>
              <w:pStyle w:val="TableParagraph"/>
              <w:spacing w:before="151"/>
              <w:ind w:left="364"/>
              <w:jc w:val="left"/>
              <w:rPr>
                <w:rFonts w:ascii="Times New Roman"/>
                <w:sz w:val="21"/>
              </w:rPr>
            </w:pPr>
            <w:r>
              <w:rPr>
                <w:rFonts w:ascii="Times New Roman"/>
                <w:sz w:val="21"/>
              </w:rPr>
              <w:t>95.0%</w:t>
            </w:r>
          </w:p>
        </w:tc>
        <w:tc>
          <w:tcPr>
            <w:tcW w:w="1240" w:type="dxa"/>
          </w:tcPr>
          <w:p>
            <w:pPr>
              <w:pStyle w:val="TableParagraph"/>
              <w:spacing w:before="137"/>
              <w:ind w:left="180" w:right="165"/>
              <w:rPr>
                <w:sz w:val="21"/>
              </w:rPr>
            </w:pPr>
            <w:r>
              <w:rPr>
                <w:sz w:val="21"/>
              </w:rPr>
              <w:t>达标</w:t>
            </w:r>
          </w:p>
        </w:tc>
      </w:tr>
      <w:tr>
        <w:trPr>
          <w:trHeight w:val="282" w:hRule="atLeast"/>
        </w:trPr>
        <w:tc>
          <w:tcPr>
            <w:tcW w:w="1387" w:type="dxa"/>
          </w:tcPr>
          <w:p>
            <w:pPr>
              <w:pStyle w:val="TableParagraph"/>
              <w:spacing w:line="241" w:lineRule="exact" w:before="21"/>
              <w:ind w:left="174" w:right="167"/>
              <w:rPr>
                <w:rFonts w:ascii="Times New Roman"/>
                <w:sz w:val="14"/>
              </w:rPr>
            </w:pPr>
            <w:r>
              <w:rPr>
                <w:rFonts w:ascii="Times New Roman"/>
                <w:position w:val="2"/>
                <w:sz w:val="21"/>
              </w:rPr>
              <w:t>PM</w:t>
            </w:r>
            <w:r>
              <w:rPr>
                <w:rFonts w:ascii="Times New Roman"/>
                <w:sz w:val="14"/>
              </w:rPr>
              <w:t>10</w:t>
            </w:r>
          </w:p>
        </w:tc>
        <w:tc>
          <w:tcPr>
            <w:tcW w:w="2832" w:type="dxa"/>
          </w:tcPr>
          <w:p>
            <w:pPr>
              <w:pStyle w:val="TableParagraph"/>
              <w:spacing w:line="255" w:lineRule="exact" w:before="8"/>
              <w:ind w:left="30" w:right="21"/>
              <w:rPr>
                <w:sz w:val="21"/>
              </w:rPr>
            </w:pPr>
            <w:r>
              <w:rPr>
                <w:sz w:val="21"/>
              </w:rPr>
              <w:t>年平均</w:t>
            </w:r>
          </w:p>
        </w:tc>
        <w:tc>
          <w:tcPr>
            <w:tcW w:w="1274" w:type="dxa"/>
          </w:tcPr>
          <w:p>
            <w:pPr>
              <w:pStyle w:val="TableParagraph"/>
              <w:spacing w:line="241" w:lineRule="exact" w:before="22"/>
              <w:ind w:left="88" w:right="79"/>
              <w:rPr>
                <w:rFonts w:ascii="Times New Roman"/>
                <w:sz w:val="21"/>
              </w:rPr>
            </w:pPr>
            <w:r>
              <w:rPr>
                <w:rFonts w:ascii="Times New Roman"/>
                <w:sz w:val="21"/>
              </w:rPr>
              <w:t>48</w:t>
            </w:r>
          </w:p>
        </w:tc>
        <w:tc>
          <w:tcPr>
            <w:tcW w:w="1278" w:type="dxa"/>
          </w:tcPr>
          <w:p>
            <w:pPr>
              <w:pStyle w:val="TableParagraph"/>
              <w:spacing w:line="241" w:lineRule="exact" w:before="22"/>
              <w:ind w:left="88" w:right="77"/>
              <w:rPr>
                <w:rFonts w:ascii="Times New Roman"/>
                <w:sz w:val="21"/>
              </w:rPr>
            </w:pPr>
            <w:r>
              <w:rPr>
                <w:rFonts w:ascii="Times New Roman"/>
                <w:sz w:val="21"/>
              </w:rPr>
              <w:t>70</w:t>
            </w:r>
          </w:p>
        </w:tc>
        <w:tc>
          <w:tcPr>
            <w:tcW w:w="1274" w:type="dxa"/>
          </w:tcPr>
          <w:p>
            <w:pPr>
              <w:pStyle w:val="TableParagraph"/>
              <w:spacing w:line="241" w:lineRule="exact" w:before="22"/>
              <w:ind w:left="364"/>
              <w:jc w:val="left"/>
              <w:rPr>
                <w:rFonts w:ascii="Times New Roman"/>
                <w:sz w:val="21"/>
              </w:rPr>
            </w:pPr>
            <w:r>
              <w:rPr>
                <w:rFonts w:ascii="Times New Roman"/>
                <w:sz w:val="21"/>
              </w:rPr>
              <w:t>68.6%</w:t>
            </w:r>
          </w:p>
        </w:tc>
        <w:tc>
          <w:tcPr>
            <w:tcW w:w="1240" w:type="dxa"/>
          </w:tcPr>
          <w:p>
            <w:pPr>
              <w:pStyle w:val="TableParagraph"/>
              <w:spacing w:line="255" w:lineRule="exact" w:before="8"/>
              <w:ind w:left="180" w:right="165"/>
              <w:rPr>
                <w:sz w:val="21"/>
              </w:rPr>
            </w:pPr>
            <w:r>
              <w:rPr>
                <w:sz w:val="21"/>
              </w:rPr>
              <w:t>达标</w:t>
            </w:r>
          </w:p>
        </w:tc>
      </w:tr>
      <w:tr>
        <w:trPr>
          <w:trHeight w:val="285" w:hRule="atLeast"/>
        </w:trPr>
        <w:tc>
          <w:tcPr>
            <w:tcW w:w="1387" w:type="dxa"/>
          </w:tcPr>
          <w:p>
            <w:pPr>
              <w:pStyle w:val="TableParagraph"/>
              <w:spacing w:line="244" w:lineRule="exact" w:before="21"/>
              <w:ind w:left="176" w:right="167"/>
              <w:rPr>
                <w:rFonts w:ascii="Times New Roman"/>
                <w:sz w:val="14"/>
              </w:rPr>
            </w:pPr>
            <w:r>
              <w:rPr>
                <w:rFonts w:ascii="Times New Roman"/>
                <w:position w:val="2"/>
                <w:sz w:val="21"/>
              </w:rPr>
              <w:t>PM</w:t>
            </w:r>
            <w:r>
              <w:rPr>
                <w:rFonts w:ascii="Times New Roman"/>
                <w:sz w:val="14"/>
              </w:rPr>
              <w:t>2.5</w:t>
            </w:r>
          </w:p>
        </w:tc>
        <w:tc>
          <w:tcPr>
            <w:tcW w:w="2832" w:type="dxa"/>
          </w:tcPr>
          <w:p>
            <w:pPr>
              <w:pStyle w:val="TableParagraph"/>
              <w:spacing w:line="257" w:lineRule="exact" w:before="8"/>
              <w:ind w:left="30" w:right="21"/>
              <w:rPr>
                <w:sz w:val="21"/>
              </w:rPr>
            </w:pPr>
            <w:r>
              <w:rPr>
                <w:sz w:val="21"/>
              </w:rPr>
              <w:t>年平均</w:t>
            </w:r>
          </w:p>
        </w:tc>
        <w:tc>
          <w:tcPr>
            <w:tcW w:w="1274" w:type="dxa"/>
          </w:tcPr>
          <w:p>
            <w:pPr>
              <w:pStyle w:val="TableParagraph"/>
              <w:spacing w:before="22"/>
              <w:ind w:left="88" w:right="79"/>
              <w:rPr>
                <w:rFonts w:ascii="Times New Roman"/>
                <w:sz w:val="21"/>
              </w:rPr>
            </w:pPr>
            <w:r>
              <w:rPr>
                <w:rFonts w:ascii="Times New Roman"/>
                <w:sz w:val="21"/>
              </w:rPr>
              <w:t>28</w:t>
            </w:r>
          </w:p>
        </w:tc>
        <w:tc>
          <w:tcPr>
            <w:tcW w:w="1278" w:type="dxa"/>
          </w:tcPr>
          <w:p>
            <w:pPr>
              <w:pStyle w:val="TableParagraph"/>
              <w:spacing w:before="22"/>
              <w:ind w:left="88" w:right="77"/>
              <w:rPr>
                <w:rFonts w:ascii="Times New Roman"/>
                <w:sz w:val="21"/>
              </w:rPr>
            </w:pPr>
            <w:r>
              <w:rPr>
                <w:rFonts w:ascii="Times New Roman"/>
                <w:sz w:val="21"/>
              </w:rPr>
              <w:t>35</w:t>
            </w:r>
          </w:p>
        </w:tc>
        <w:tc>
          <w:tcPr>
            <w:tcW w:w="1274" w:type="dxa"/>
          </w:tcPr>
          <w:p>
            <w:pPr>
              <w:pStyle w:val="TableParagraph"/>
              <w:spacing w:before="22"/>
              <w:ind w:left="364"/>
              <w:jc w:val="left"/>
              <w:rPr>
                <w:rFonts w:ascii="Times New Roman"/>
                <w:sz w:val="21"/>
              </w:rPr>
            </w:pPr>
            <w:r>
              <w:rPr>
                <w:rFonts w:ascii="Times New Roman"/>
                <w:sz w:val="21"/>
              </w:rPr>
              <w:t>80.0%</w:t>
            </w:r>
          </w:p>
        </w:tc>
        <w:tc>
          <w:tcPr>
            <w:tcW w:w="1240" w:type="dxa"/>
          </w:tcPr>
          <w:p>
            <w:pPr>
              <w:pStyle w:val="TableParagraph"/>
              <w:spacing w:line="257" w:lineRule="exact" w:before="8"/>
              <w:ind w:left="180" w:right="165"/>
              <w:rPr>
                <w:sz w:val="21"/>
              </w:rPr>
            </w:pPr>
            <w:r>
              <w:rPr>
                <w:sz w:val="21"/>
              </w:rPr>
              <w:t>达标</w:t>
            </w:r>
          </w:p>
        </w:tc>
      </w:tr>
    </w:tbl>
    <w:p>
      <w:pPr>
        <w:pStyle w:val="BodyText"/>
        <w:spacing w:line="364" w:lineRule="auto" w:before="1"/>
        <w:ind w:left="258" w:right="327" w:firstLine="480"/>
      </w:pPr>
      <w:r>
        <w:rPr>
          <w:position w:val="2"/>
        </w:rPr>
        <w:t>根据上表数据可知，</w:t>
      </w:r>
      <w:r>
        <w:rPr>
          <w:rFonts w:ascii="Times New Roman" w:eastAsia="Times New Roman"/>
          <w:position w:val="2"/>
        </w:rPr>
        <w:t>SO</w:t>
      </w:r>
      <w:r>
        <w:rPr>
          <w:rFonts w:ascii="Times New Roman" w:eastAsia="Times New Roman"/>
          <w:sz w:val="16"/>
        </w:rPr>
        <w:t>2</w:t>
      </w:r>
      <w:r>
        <w:rPr>
          <w:position w:val="2"/>
        </w:rPr>
        <w:t>、</w:t>
      </w:r>
      <w:r>
        <w:rPr>
          <w:rFonts w:ascii="Times New Roman" w:eastAsia="Times New Roman"/>
          <w:position w:val="2"/>
        </w:rPr>
        <w:t>NO</w:t>
      </w:r>
      <w:r>
        <w:rPr>
          <w:rFonts w:ascii="Times New Roman" w:eastAsia="Times New Roman"/>
          <w:sz w:val="16"/>
        </w:rPr>
        <w:t>2</w:t>
      </w:r>
      <w:r>
        <w:rPr>
          <w:position w:val="2"/>
        </w:rPr>
        <w:t>、</w:t>
      </w:r>
      <w:r>
        <w:rPr>
          <w:rFonts w:ascii="Times New Roman" w:eastAsia="Times New Roman"/>
          <w:position w:val="2"/>
        </w:rPr>
        <w:t>PM</w:t>
      </w:r>
      <w:r>
        <w:rPr>
          <w:rFonts w:ascii="Times New Roman" w:eastAsia="Times New Roman"/>
          <w:sz w:val="16"/>
        </w:rPr>
        <w:t>10</w:t>
      </w:r>
      <w:r>
        <w:rPr>
          <w:position w:val="2"/>
        </w:rPr>
        <w:t>、</w:t>
      </w:r>
      <w:r>
        <w:rPr>
          <w:rFonts w:ascii="Times New Roman" w:eastAsia="Times New Roman"/>
          <w:position w:val="2"/>
        </w:rPr>
        <w:t>PM</w:t>
      </w:r>
      <w:r>
        <w:rPr>
          <w:rFonts w:ascii="Times New Roman" w:eastAsia="Times New Roman"/>
          <w:sz w:val="16"/>
        </w:rPr>
        <w:t>2.5</w:t>
      </w:r>
      <w:r>
        <w:rPr>
          <w:position w:val="2"/>
        </w:rPr>
        <w:t>、</w:t>
      </w:r>
      <w:r>
        <w:rPr>
          <w:rFonts w:ascii="Times New Roman" w:eastAsia="Times New Roman"/>
          <w:position w:val="2"/>
        </w:rPr>
        <w:t>CO</w:t>
      </w:r>
      <w:r>
        <w:rPr>
          <w:position w:val="2"/>
        </w:rPr>
        <w:t>、</w:t>
      </w:r>
      <w:r>
        <w:rPr>
          <w:rFonts w:ascii="Times New Roman" w:eastAsia="Times New Roman"/>
          <w:position w:val="2"/>
        </w:rPr>
        <w:t>O</w:t>
      </w:r>
      <w:r>
        <w:rPr>
          <w:rFonts w:ascii="Times New Roman" w:eastAsia="Times New Roman"/>
          <w:sz w:val="16"/>
        </w:rPr>
        <w:t>3 </w:t>
      </w:r>
      <w:r>
        <w:rPr>
          <w:position w:val="2"/>
        </w:rPr>
        <w:t>评价指标均能达到《环境</w:t>
      </w:r>
      <w:r>
        <w:rPr/>
        <w:t>空气质量标准》（</w:t>
      </w:r>
      <w:r>
        <w:rPr>
          <w:rFonts w:ascii="Times New Roman" w:eastAsia="Times New Roman"/>
        </w:rPr>
        <w:t>GB3095-2012</w:t>
      </w:r>
      <w:r>
        <w:rPr/>
        <w:t>）二级标准，余姚市属于达标区。</w:t>
      </w:r>
    </w:p>
    <w:p>
      <w:pPr>
        <w:pStyle w:val="Heading4"/>
        <w:spacing w:before="1"/>
        <w:ind w:left="741"/>
      </w:pPr>
      <w:r>
        <w:rPr/>
        <w:t>综上，判定本项目所在评价区域为达标区。</w:t>
      </w:r>
    </w:p>
    <w:p>
      <w:pPr>
        <w:spacing w:before="160"/>
        <w:ind w:left="741" w:right="0" w:firstLine="0"/>
        <w:jc w:val="left"/>
        <w:rPr>
          <w:b/>
          <w:sz w:val="24"/>
        </w:rPr>
      </w:pPr>
      <w:r>
        <w:rPr>
          <w:rFonts w:ascii="Times New Roman" w:eastAsia="Times New Roman"/>
          <w:b/>
          <w:sz w:val="24"/>
        </w:rPr>
        <w:t>2</w:t>
      </w:r>
      <w:r>
        <w:rPr>
          <w:b/>
          <w:sz w:val="24"/>
        </w:rPr>
        <w:t>、引用及补充监测</w:t>
      </w:r>
    </w:p>
    <w:p>
      <w:pPr>
        <w:pStyle w:val="BodyText"/>
        <w:spacing w:line="364" w:lineRule="auto" w:before="158"/>
        <w:ind w:left="258" w:right="272" w:firstLine="480"/>
      </w:pPr>
      <w:r>
        <w:rPr/>
        <w:t>为了解建设项目所在地特征因子环境空气质量现状，本环评引用浙江春晖固废处理有限公司环评项目对项目拟建地周边的监测数据进行说明。</w:t>
      </w:r>
    </w:p>
    <w:p>
      <w:pPr>
        <w:pStyle w:val="Heading4"/>
        <w:spacing w:line="306" w:lineRule="exact"/>
        <w:ind w:left="741"/>
      </w:pPr>
      <w:r>
        <w:rPr/>
        <w:t>（</w:t>
      </w:r>
      <w:r>
        <w:rPr>
          <w:rFonts w:ascii="Times New Roman" w:eastAsia="Times New Roman"/>
        </w:rPr>
        <w:t>1</w:t>
      </w:r>
      <w:r>
        <w:rPr/>
        <w:t>）监测布点</w:t>
      </w:r>
    </w:p>
    <w:p>
      <w:pPr>
        <w:pStyle w:val="BodyText"/>
        <w:spacing w:before="161"/>
        <w:ind w:left="738"/>
      </w:pPr>
      <w:r>
        <w:rPr/>
        <w:t>本次监测共布设 </w:t>
      </w:r>
      <w:r>
        <w:rPr>
          <w:rFonts w:ascii="Times New Roman" w:eastAsia="Times New Roman"/>
        </w:rPr>
        <w:t>2 </w:t>
      </w:r>
      <w:r>
        <w:rPr/>
        <w:t>个监测点位，具体见</w:t>
      </w:r>
      <w:r>
        <w:rPr>
          <w:b/>
          <w:u w:val="single"/>
        </w:rPr>
        <w:t>附图 </w:t>
      </w:r>
      <w:r>
        <w:rPr>
          <w:rFonts w:ascii="Times New Roman" w:eastAsia="Times New Roman"/>
          <w:b/>
          <w:u w:val="single"/>
        </w:rPr>
        <w:t>8 </w:t>
      </w:r>
      <w:r>
        <w:rPr/>
        <w:t>及下表。</w:t>
      </w:r>
    </w:p>
    <w:p>
      <w:pPr>
        <w:spacing w:after="0"/>
        <w:sectPr>
          <w:pgSz w:w="11910" w:h="16850"/>
          <w:pgMar w:header="1004" w:footer="1088" w:top="1240" w:bottom="1280" w:left="1160" w:right="1080"/>
        </w:sectPr>
      </w:pPr>
    </w:p>
    <w:p>
      <w:pPr>
        <w:pStyle w:val="BodyText"/>
        <w:spacing w:before="7"/>
        <w:rPr>
          <w:sz w:val="18"/>
        </w:rPr>
      </w:pPr>
    </w:p>
    <w:p>
      <w:pPr>
        <w:pStyle w:val="Heading4"/>
        <w:tabs>
          <w:tab w:pos="1221" w:val="left" w:leader="none"/>
        </w:tabs>
        <w:spacing w:before="74" w:after="29"/>
        <w:ind w:left="0" w:right="76"/>
        <w:jc w:val="center"/>
      </w:pPr>
      <w:r>
        <w:rPr/>
        <w:t>表</w:t>
      </w:r>
      <w:r>
        <w:rPr>
          <w:spacing w:val="-60"/>
        </w:rPr>
        <w:t> </w:t>
      </w:r>
      <w:r>
        <w:rPr>
          <w:rFonts w:ascii="Times New Roman" w:eastAsia="Times New Roman"/>
        </w:rPr>
        <w:t>6.2.1-2</w:t>
        <w:tab/>
      </w:r>
      <w:r>
        <w:rPr/>
        <w:t>监测点位布置一览表</w:t>
      </w: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0"/>
        <w:gridCol w:w="3308"/>
        <w:gridCol w:w="1618"/>
        <w:gridCol w:w="3101"/>
      </w:tblGrid>
      <w:tr>
        <w:trPr>
          <w:trHeight w:val="282" w:hRule="atLeast"/>
        </w:trPr>
        <w:tc>
          <w:tcPr>
            <w:tcW w:w="1320" w:type="dxa"/>
            <w:vMerge w:val="restart"/>
          </w:tcPr>
          <w:p>
            <w:pPr>
              <w:pStyle w:val="TableParagraph"/>
              <w:spacing w:before="154"/>
              <w:ind w:left="428" w:right="419"/>
              <w:rPr>
                <w:b/>
                <w:sz w:val="21"/>
              </w:rPr>
            </w:pPr>
            <w:r>
              <w:rPr>
                <w:b/>
                <w:sz w:val="21"/>
              </w:rPr>
              <w:t>编号</w:t>
            </w:r>
          </w:p>
        </w:tc>
        <w:tc>
          <w:tcPr>
            <w:tcW w:w="3308" w:type="dxa"/>
            <w:vMerge w:val="restart"/>
          </w:tcPr>
          <w:p>
            <w:pPr>
              <w:pStyle w:val="TableParagraph"/>
              <w:spacing w:before="154"/>
              <w:ind w:left="895" w:right="892"/>
              <w:rPr>
                <w:b/>
                <w:sz w:val="21"/>
              </w:rPr>
            </w:pPr>
            <w:r>
              <w:rPr>
                <w:b/>
                <w:sz w:val="21"/>
              </w:rPr>
              <w:t>监测点位</w:t>
            </w:r>
          </w:p>
        </w:tc>
        <w:tc>
          <w:tcPr>
            <w:tcW w:w="4719" w:type="dxa"/>
            <w:gridSpan w:val="2"/>
          </w:tcPr>
          <w:p>
            <w:pPr>
              <w:pStyle w:val="TableParagraph"/>
              <w:spacing w:line="257" w:lineRule="exact" w:before="5"/>
              <w:ind w:left="1408"/>
              <w:jc w:val="left"/>
              <w:rPr>
                <w:b/>
                <w:sz w:val="21"/>
              </w:rPr>
            </w:pPr>
            <w:r>
              <w:rPr>
                <w:b/>
                <w:sz w:val="21"/>
              </w:rPr>
              <w:t>相对项目位置及距离</w:t>
            </w:r>
          </w:p>
        </w:tc>
      </w:tr>
      <w:tr>
        <w:trPr>
          <w:trHeight w:val="285" w:hRule="atLeast"/>
        </w:trPr>
        <w:tc>
          <w:tcPr>
            <w:tcW w:w="1320" w:type="dxa"/>
            <w:vMerge/>
            <w:tcBorders>
              <w:top w:val="nil"/>
            </w:tcBorders>
          </w:tcPr>
          <w:p>
            <w:pPr>
              <w:rPr>
                <w:sz w:val="2"/>
                <w:szCs w:val="2"/>
              </w:rPr>
            </w:pPr>
          </w:p>
        </w:tc>
        <w:tc>
          <w:tcPr>
            <w:tcW w:w="3308" w:type="dxa"/>
            <w:vMerge/>
            <w:tcBorders>
              <w:top w:val="nil"/>
            </w:tcBorders>
          </w:tcPr>
          <w:p>
            <w:pPr>
              <w:rPr>
                <w:sz w:val="2"/>
                <w:szCs w:val="2"/>
              </w:rPr>
            </w:pPr>
          </w:p>
        </w:tc>
        <w:tc>
          <w:tcPr>
            <w:tcW w:w="1618" w:type="dxa"/>
          </w:tcPr>
          <w:p>
            <w:pPr>
              <w:pStyle w:val="TableParagraph"/>
              <w:spacing w:line="257" w:lineRule="exact" w:before="8"/>
              <w:ind w:left="366" w:right="358"/>
              <w:rPr>
                <w:b/>
                <w:sz w:val="21"/>
              </w:rPr>
            </w:pPr>
            <w:r>
              <w:rPr>
                <w:b/>
                <w:sz w:val="21"/>
              </w:rPr>
              <w:t>方位</w:t>
            </w:r>
          </w:p>
        </w:tc>
        <w:tc>
          <w:tcPr>
            <w:tcW w:w="3101" w:type="dxa"/>
          </w:tcPr>
          <w:p>
            <w:pPr>
              <w:pStyle w:val="TableParagraph"/>
              <w:spacing w:line="257" w:lineRule="exact" w:before="8"/>
              <w:ind w:left="1019" w:right="1012"/>
              <w:rPr>
                <w:b/>
                <w:sz w:val="21"/>
              </w:rPr>
            </w:pPr>
            <w:r>
              <w:rPr>
                <w:b/>
                <w:sz w:val="21"/>
              </w:rPr>
              <w:t>距离（</w:t>
            </w:r>
            <w:r>
              <w:rPr>
                <w:rFonts w:ascii="Times New Roman" w:eastAsia="Times New Roman"/>
                <w:b/>
                <w:sz w:val="21"/>
              </w:rPr>
              <w:t>m</w:t>
            </w:r>
            <w:r>
              <w:rPr>
                <w:b/>
                <w:sz w:val="21"/>
              </w:rPr>
              <w:t>）</w:t>
            </w:r>
          </w:p>
        </w:tc>
      </w:tr>
      <w:tr>
        <w:trPr>
          <w:trHeight w:val="282" w:hRule="atLeast"/>
        </w:trPr>
        <w:tc>
          <w:tcPr>
            <w:tcW w:w="1320" w:type="dxa"/>
          </w:tcPr>
          <w:p>
            <w:pPr>
              <w:pStyle w:val="TableParagraph"/>
              <w:spacing w:before="19"/>
              <w:ind w:left="428" w:right="419"/>
              <w:rPr>
                <w:rFonts w:ascii="Times New Roman"/>
                <w:sz w:val="21"/>
              </w:rPr>
            </w:pPr>
            <w:r>
              <w:rPr>
                <w:rFonts w:ascii="Times New Roman"/>
                <w:sz w:val="21"/>
              </w:rPr>
              <w:t>1#</w:t>
            </w:r>
          </w:p>
        </w:tc>
        <w:tc>
          <w:tcPr>
            <w:tcW w:w="3308" w:type="dxa"/>
          </w:tcPr>
          <w:p>
            <w:pPr>
              <w:pStyle w:val="TableParagraph"/>
              <w:spacing w:line="257" w:lineRule="exact" w:before="6"/>
              <w:ind w:left="895" w:right="892"/>
              <w:rPr>
                <w:sz w:val="21"/>
              </w:rPr>
            </w:pPr>
            <w:r>
              <w:rPr>
                <w:sz w:val="21"/>
              </w:rPr>
              <w:t>春晖固废厂址</w:t>
            </w:r>
          </w:p>
        </w:tc>
        <w:tc>
          <w:tcPr>
            <w:tcW w:w="1618" w:type="dxa"/>
          </w:tcPr>
          <w:p>
            <w:pPr>
              <w:pStyle w:val="TableParagraph"/>
              <w:spacing w:line="257" w:lineRule="exact" w:before="6"/>
              <w:ind w:left="369" w:right="356"/>
              <w:rPr>
                <w:sz w:val="21"/>
              </w:rPr>
            </w:pPr>
            <w:r>
              <w:rPr>
                <w:sz w:val="21"/>
              </w:rPr>
              <w:t>西北</w:t>
            </w:r>
          </w:p>
        </w:tc>
        <w:tc>
          <w:tcPr>
            <w:tcW w:w="3101" w:type="dxa"/>
          </w:tcPr>
          <w:p>
            <w:pPr>
              <w:pStyle w:val="TableParagraph"/>
              <w:spacing w:before="19"/>
              <w:ind w:left="1019" w:right="1011"/>
              <w:rPr>
                <w:rFonts w:ascii="Times New Roman"/>
                <w:sz w:val="21"/>
              </w:rPr>
            </w:pPr>
            <w:r>
              <w:rPr>
                <w:rFonts w:ascii="Times New Roman"/>
                <w:sz w:val="21"/>
              </w:rPr>
              <w:t>240</w:t>
            </w:r>
          </w:p>
        </w:tc>
      </w:tr>
      <w:tr>
        <w:trPr>
          <w:trHeight w:val="285" w:hRule="atLeast"/>
        </w:trPr>
        <w:tc>
          <w:tcPr>
            <w:tcW w:w="1320" w:type="dxa"/>
          </w:tcPr>
          <w:p>
            <w:pPr>
              <w:pStyle w:val="TableParagraph"/>
              <w:spacing w:before="22"/>
              <w:ind w:left="428" w:right="419"/>
              <w:rPr>
                <w:rFonts w:ascii="Times New Roman"/>
                <w:sz w:val="21"/>
              </w:rPr>
            </w:pPr>
            <w:r>
              <w:rPr>
                <w:rFonts w:ascii="Times New Roman"/>
                <w:sz w:val="21"/>
              </w:rPr>
              <w:t>2#</w:t>
            </w:r>
          </w:p>
        </w:tc>
        <w:tc>
          <w:tcPr>
            <w:tcW w:w="3308" w:type="dxa"/>
          </w:tcPr>
          <w:p>
            <w:pPr>
              <w:pStyle w:val="TableParagraph"/>
              <w:spacing w:line="257" w:lineRule="exact" w:before="8"/>
              <w:ind w:left="896" w:right="892"/>
              <w:rPr>
                <w:sz w:val="21"/>
              </w:rPr>
            </w:pPr>
            <w:r>
              <w:rPr>
                <w:sz w:val="21"/>
              </w:rPr>
              <w:t>项目厂区西南侧</w:t>
            </w:r>
          </w:p>
        </w:tc>
        <w:tc>
          <w:tcPr>
            <w:tcW w:w="1618" w:type="dxa"/>
          </w:tcPr>
          <w:p>
            <w:pPr>
              <w:pStyle w:val="TableParagraph"/>
              <w:spacing w:line="257" w:lineRule="exact" w:before="8"/>
              <w:ind w:left="369" w:right="356"/>
              <w:rPr>
                <w:sz w:val="21"/>
              </w:rPr>
            </w:pPr>
            <w:r>
              <w:rPr>
                <w:sz w:val="21"/>
              </w:rPr>
              <w:t>西南</w:t>
            </w:r>
          </w:p>
        </w:tc>
        <w:tc>
          <w:tcPr>
            <w:tcW w:w="3101" w:type="dxa"/>
          </w:tcPr>
          <w:p>
            <w:pPr>
              <w:pStyle w:val="TableParagraph"/>
              <w:spacing w:before="22"/>
              <w:ind w:left="1019" w:right="1011"/>
              <w:rPr>
                <w:rFonts w:ascii="Times New Roman"/>
                <w:sz w:val="21"/>
              </w:rPr>
            </w:pPr>
            <w:r>
              <w:rPr>
                <w:rFonts w:ascii="Times New Roman"/>
                <w:sz w:val="21"/>
              </w:rPr>
              <w:t>450</w:t>
            </w:r>
          </w:p>
        </w:tc>
      </w:tr>
    </w:tbl>
    <w:p>
      <w:pPr>
        <w:spacing w:before="2"/>
        <w:ind w:left="741" w:right="0" w:firstLine="0"/>
        <w:jc w:val="left"/>
        <w:rPr>
          <w:b/>
          <w:sz w:val="24"/>
        </w:rPr>
      </w:pPr>
      <w:r>
        <w:rPr>
          <w:rFonts w:ascii="Times New Roman" w:eastAsia="Times New Roman"/>
          <w:b/>
          <w:sz w:val="24"/>
        </w:rPr>
        <w:t>2</w:t>
      </w:r>
      <w:r>
        <w:rPr>
          <w:b/>
          <w:sz w:val="24"/>
        </w:rPr>
        <w:t>、监测因子</w:t>
      </w:r>
    </w:p>
    <w:p>
      <w:pPr>
        <w:pStyle w:val="BodyText"/>
        <w:spacing w:before="161"/>
        <w:ind w:left="738"/>
        <w:rPr>
          <w:rFonts w:ascii="Times New Roman" w:eastAsia="Times New Roman"/>
        </w:rPr>
      </w:pPr>
      <w:r>
        <w:rPr/>
        <w:t>特征监测因子：非甲烷总烃、</w:t>
      </w:r>
      <w:r>
        <w:rPr>
          <w:rFonts w:ascii="Times New Roman" w:eastAsia="Times New Roman"/>
        </w:rPr>
        <w:t>TSP</w:t>
      </w:r>
    </w:p>
    <w:p>
      <w:pPr>
        <w:pStyle w:val="Heading4"/>
        <w:spacing w:before="158"/>
        <w:ind w:left="741"/>
      </w:pPr>
      <w:r>
        <w:rPr>
          <w:rFonts w:ascii="Times New Roman" w:eastAsia="Times New Roman"/>
        </w:rPr>
        <w:t>3</w:t>
      </w:r>
      <w:r>
        <w:rPr/>
        <w:t>、监测日期及频次</w:t>
      </w:r>
    </w:p>
    <w:p>
      <w:pPr>
        <w:pStyle w:val="BodyText"/>
        <w:spacing w:before="7"/>
        <w:rPr>
          <w:b/>
          <w:sz w:val="23"/>
        </w:rPr>
      </w:pPr>
    </w:p>
    <w:p>
      <w:pPr>
        <w:tabs>
          <w:tab w:pos="1221" w:val="left" w:leader="none"/>
        </w:tabs>
        <w:spacing w:before="0" w:after="29"/>
        <w:ind w:left="0" w:right="73" w:firstLine="0"/>
        <w:jc w:val="center"/>
        <w:rPr>
          <w:b/>
          <w:sz w:val="24"/>
        </w:rPr>
      </w:pPr>
      <w:r>
        <w:rPr>
          <w:b/>
          <w:sz w:val="24"/>
        </w:rPr>
        <w:t>表</w:t>
      </w:r>
      <w:r>
        <w:rPr>
          <w:b/>
          <w:spacing w:val="-60"/>
          <w:sz w:val="24"/>
        </w:rPr>
        <w:t> </w:t>
      </w:r>
      <w:r>
        <w:rPr>
          <w:rFonts w:ascii="Times New Roman" w:eastAsia="Times New Roman"/>
          <w:b/>
          <w:sz w:val="24"/>
        </w:rPr>
        <w:t>6.2.1-3</w:t>
        <w:tab/>
      </w:r>
      <w:r>
        <w:rPr>
          <w:b/>
          <w:sz w:val="24"/>
        </w:rPr>
        <w:t>监测日期及频次</w:t>
      </w: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6"/>
        <w:gridCol w:w="1368"/>
        <w:gridCol w:w="2552"/>
        <w:gridCol w:w="4398"/>
      </w:tblGrid>
      <w:tr>
        <w:trPr>
          <w:trHeight w:val="271" w:hRule="atLeast"/>
        </w:trPr>
        <w:tc>
          <w:tcPr>
            <w:tcW w:w="766" w:type="dxa"/>
          </w:tcPr>
          <w:p>
            <w:pPr>
              <w:pStyle w:val="TableParagraph"/>
              <w:spacing w:line="250" w:lineRule="exact" w:before="1"/>
              <w:ind w:right="55"/>
              <w:jc w:val="right"/>
              <w:rPr>
                <w:b/>
                <w:sz w:val="21"/>
              </w:rPr>
            </w:pPr>
            <w:r>
              <w:rPr>
                <w:b/>
                <w:sz w:val="21"/>
              </w:rPr>
              <w:t>监测点</w:t>
            </w:r>
          </w:p>
        </w:tc>
        <w:tc>
          <w:tcPr>
            <w:tcW w:w="1368" w:type="dxa"/>
          </w:tcPr>
          <w:p>
            <w:pPr>
              <w:pStyle w:val="TableParagraph"/>
              <w:spacing w:line="250" w:lineRule="exact" w:before="1"/>
              <w:ind w:left="136" w:right="128"/>
              <w:rPr>
                <w:b/>
                <w:sz w:val="21"/>
              </w:rPr>
            </w:pPr>
            <w:r>
              <w:rPr>
                <w:b/>
                <w:sz w:val="21"/>
              </w:rPr>
              <w:t>监测项目</w:t>
            </w:r>
          </w:p>
        </w:tc>
        <w:tc>
          <w:tcPr>
            <w:tcW w:w="2552" w:type="dxa"/>
          </w:tcPr>
          <w:p>
            <w:pPr>
              <w:pStyle w:val="TableParagraph"/>
              <w:spacing w:line="250" w:lineRule="exact" w:before="1"/>
              <w:ind w:left="412" w:right="406"/>
              <w:rPr>
                <w:b/>
                <w:sz w:val="21"/>
              </w:rPr>
            </w:pPr>
            <w:r>
              <w:rPr>
                <w:b/>
                <w:sz w:val="21"/>
              </w:rPr>
              <w:t>监测日期</w:t>
            </w:r>
          </w:p>
        </w:tc>
        <w:tc>
          <w:tcPr>
            <w:tcW w:w="4398" w:type="dxa"/>
          </w:tcPr>
          <w:p>
            <w:pPr>
              <w:pStyle w:val="TableParagraph"/>
              <w:spacing w:line="250" w:lineRule="exact" w:before="1"/>
              <w:ind w:left="16" w:right="13"/>
              <w:rPr>
                <w:b/>
                <w:sz w:val="21"/>
              </w:rPr>
            </w:pPr>
            <w:r>
              <w:rPr>
                <w:b/>
                <w:sz w:val="21"/>
              </w:rPr>
              <w:t>监测频次</w:t>
            </w:r>
          </w:p>
        </w:tc>
      </w:tr>
      <w:tr>
        <w:trPr>
          <w:trHeight w:val="817" w:hRule="atLeast"/>
        </w:trPr>
        <w:tc>
          <w:tcPr>
            <w:tcW w:w="766" w:type="dxa"/>
          </w:tcPr>
          <w:p>
            <w:pPr>
              <w:pStyle w:val="TableParagraph"/>
              <w:spacing w:before="6"/>
              <w:jc w:val="left"/>
              <w:rPr>
                <w:b/>
                <w:sz w:val="22"/>
              </w:rPr>
            </w:pPr>
          </w:p>
          <w:p>
            <w:pPr>
              <w:pStyle w:val="TableParagraph"/>
              <w:ind w:right="104"/>
              <w:jc w:val="right"/>
              <w:rPr>
                <w:rFonts w:ascii="Times New Roman"/>
                <w:sz w:val="21"/>
              </w:rPr>
            </w:pPr>
            <w:r>
              <w:rPr>
                <w:rFonts w:ascii="Times New Roman"/>
                <w:sz w:val="21"/>
              </w:rPr>
              <w:t>1#~2#</w:t>
            </w:r>
          </w:p>
        </w:tc>
        <w:tc>
          <w:tcPr>
            <w:tcW w:w="1368" w:type="dxa"/>
          </w:tcPr>
          <w:p>
            <w:pPr>
              <w:pStyle w:val="TableParagraph"/>
              <w:spacing w:before="5"/>
              <w:jc w:val="left"/>
              <w:rPr>
                <w:b/>
                <w:sz w:val="21"/>
              </w:rPr>
            </w:pPr>
          </w:p>
          <w:p>
            <w:pPr>
              <w:pStyle w:val="TableParagraph"/>
              <w:ind w:left="139" w:right="128"/>
              <w:rPr>
                <w:sz w:val="21"/>
              </w:rPr>
            </w:pPr>
            <w:r>
              <w:rPr>
                <w:sz w:val="21"/>
              </w:rPr>
              <w:t>非甲烷总烃</w:t>
            </w:r>
          </w:p>
        </w:tc>
        <w:tc>
          <w:tcPr>
            <w:tcW w:w="2552" w:type="dxa"/>
          </w:tcPr>
          <w:p>
            <w:pPr>
              <w:pStyle w:val="TableParagraph"/>
              <w:spacing w:before="6"/>
              <w:jc w:val="left"/>
              <w:rPr>
                <w:b/>
                <w:sz w:val="22"/>
              </w:rPr>
            </w:pPr>
          </w:p>
          <w:p>
            <w:pPr>
              <w:pStyle w:val="TableParagraph"/>
              <w:ind w:left="415" w:right="406"/>
              <w:rPr>
                <w:rFonts w:ascii="Times New Roman"/>
                <w:sz w:val="21"/>
              </w:rPr>
            </w:pPr>
            <w:r>
              <w:rPr>
                <w:rFonts w:ascii="Times New Roman"/>
                <w:sz w:val="21"/>
              </w:rPr>
              <w:t>2021.6.2~2021.6.8</w:t>
            </w:r>
          </w:p>
        </w:tc>
        <w:tc>
          <w:tcPr>
            <w:tcW w:w="4398" w:type="dxa"/>
          </w:tcPr>
          <w:p>
            <w:pPr>
              <w:pStyle w:val="TableParagraph"/>
              <w:spacing w:before="1"/>
              <w:ind w:left="16" w:right="13"/>
              <w:rPr>
                <w:sz w:val="21"/>
              </w:rPr>
            </w:pPr>
            <w:r>
              <w:rPr>
                <w:spacing w:val="-11"/>
                <w:sz w:val="21"/>
              </w:rPr>
              <w:t>连续监测 </w:t>
            </w:r>
            <w:r>
              <w:rPr>
                <w:rFonts w:ascii="Times New Roman" w:eastAsia="Times New Roman"/>
                <w:sz w:val="21"/>
              </w:rPr>
              <w:t>7</w:t>
            </w:r>
            <w:r>
              <w:rPr>
                <w:rFonts w:ascii="Times New Roman" w:eastAsia="Times New Roman"/>
                <w:spacing w:val="1"/>
                <w:sz w:val="21"/>
              </w:rPr>
              <w:t> </w:t>
            </w:r>
            <w:r>
              <w:rPr>
                <w:spacing w:val="-10"/>
                <w:sz w:val="21"/>
              </w:rPr>
              <w:t>天，每天监测 </w:t>
            </w:r>
            <w:r>
              <w:rPr>
                <w:rFonts w:ascii="Times New Roman" w:eastAsia="Times New Roman"/>
                <w:sz w:val="21"/>
              </w:rPr>
              <w:t>4</w:t>
            </w:r>
            <w:r>
              <w:rPr>
                <w:rFonts w:ascii="Times New Roman" w:eastAsia="Times New Roman"/>
                <w:spacing w:val="4"/>
                <w:sz w:val="21"/>
              </w:rPr>
              <w:t> </w:t>
            </w:r>
            <w:r>
              <w:rPr>
                <w:sz w:val="21"/>
              </w:rPr>
              <w:t>次。</w:t>
            </w:r>
          </w:p>
          <w:p>
            <w:pPr>
              <w:pStyle w:val="TableParagraph"/>
              <w:spacing w:line="270" w:lineRule="atLeast" w:before="3"/>
              <w:ind w:left="21" w:right="13"/>
              <w:rPr>
                <w:rFonts w:ascii="Times New Roman" w:eastAsia="Times New Roman"/>
                <w:sz w:val="21"/>
              </w:rPr>
            </w:pPr>
            <w:r>
              <w:rPr>
                <w:spacing w:val="-15"/>
                <w:sz w:val="21"/>
              </w:rPr>
              <w:t>分别为 </w:t>
            </w:r>
            <w:r>
              <w:rPr>
                <w:rFonts w:ascii="Times New Roman" w:eastAsia="Times New Roman"/>
                <w:sz w:val="21"/>
              </w:rPr>
              <w:t>02</w:t>
            </w:r>
            <w:r>
              <w:rPr>
                <w:sz w:val="21"/>
              </w:rPr>
              <w:t>：</w:t>
            </w:r>
            <w:r>
              <w:rPr>
                <w:rFonts w:ascii="Times New Roman" w:eastAsia="Times New Roman"/>
                <w:sz w:val="21"/>
              </w:rPr>
              <w:t>00~03</w:t>
            </w:r>
            <w:r>
              <w:rPr>
                <w:sz w:val="21"/>
              </w:rPr>
              <w:t>：</w:t>
            </w:r>
            <w:r>
              <w:rPr>
                <w:rFonts w:ascii="Times New Roman" w:eastAsia="Times New Roman"/>
                <w:sz w:val="21"/>
              </w:rPr>
              <w:t>00</w:t>
            </w:r>
            <w:r>
              <w:rPr>
                <w:sz w:val="21"/>
              </w:rPr>
              <w:t>、</w:t>
            </w:r>
            <w:r>
              <w:rPr>
                <w:rFonts w:ascii="Times New Roman" w:eastAsia="Times New Roman"/>
                <w:sz w:val="21"/>
              </w:rPr>
              <w:t>08</w:t>
            </w:r>
            <w:r>
              <w:rPr>
                <w:sz w:val="21"/>
              </w:rPr>
              <w:t>：</w:t>
            </w:r>
            <w:r>
              <w:rPr>
                <w:rFonts w:ascii="Times New Roman" w:eastAsia="Times New Roman"/>
                <w:sz w:val="21"/>
              </w:rPr>
              <w:t>00~09</w:t>
            </w:r>
            <w:r>
              <w:rPr>
                <w:sz w:val="21"/>
              </w:rPr>
              <w:t>：</w:t>
            </w:r>
            <w:r>
              <w:rPr>
                <w:rFonts w:ascii="Times New Roman" w:eastAsia="Times New Roman"/>
                <w:sz w:val="21"/>
              </w:rPr>
              <w:t>00</w:t>
            </w:r>
            <w:r>
              <w:rPr>
                <w:sz w:val="21"/>
              </w:rPr>
              <w:t>、</w:t>
            </w:r>
            <w:r>
              <w:rPr>
                <w:rFonts w:ascii="Times New Roman" w:eastAsia="Times New Roman"/>
                <w:sz w:val="21"/>
              </w:rPr>
              <w:t>14</w:t>
            </w:r>
            <w:r>
              <w:rPr>
                <w:sz w:val="21"/>
              </w:rPr>
              <w:t>：</w:t>
            </w:r>
            <w:r>
              <w:rPr>
                <w:rFonts w:ascii="Times New Roman" w:eastAsia="Times New Roman"/>
                <w:sz w:val="21"/>
              </w:rPr>
              <w:t>00~15</w:t>
            </w:r>
            <w:r>
              <w:rPr>
                <w:sz w:val="21"/>
              </w:rPr>
              <w:t>：</w:t>
            </w:r>
            <w:r>
              <w:rPr>
                <w:rFonts w:ascii="Times New Roman" w:eastAsia="Times New Roman"/>
                <w:sz w:val="21"/>
              </w:rPr>
              <w:t>00</w:t>
            </w:r>
            <w:r>
              <w:rPr>
                <w:sz w:val="21"/>
              </w:rPr>
              <w:t>、</w:t>
            </w:r>
            <w:r>
              <w:rPr>
                <w:rFonts w:ascii="Times New Roman" w:eastAsia="Times New Roman"/>
                <w:sz w:val="21"/>
              </w:rPr>
              <w:t>20</w:t>
            </w:r>
            <w:r>
              <w:rPr>
                <w:sz w:val="21"/>
              </w:rPr>
              <w:t>：</w:t>
            </w:r>
            <w:r>
              <w:rPr>
                <w:rFonts w:ascii="Times New Roman" w:eastAsia="Times New Roman"/>
                <w:sz w:val="21"/>
              </w:rPr>
              <w:t>00~21</w:t>
            </w:r>
            <w:r>
              <w:rPr>
                <w:sz w:val="21"/>
              </w:rPr>
              <w:t>：</w:t>
            </w:r>
            <w:r>
              <w:rPr>
                <w:rFonts w:ascii="Times New Roman" w:eastAsia="Times New Roman"/>
                <w:sz w:val="21"/>
              </w:rPr>
              <w:t>00</w:t>
            </w:r>
          </w:p>
        </w:tc>
      </w:tr>
      <w:tr>
        <w:trPr>
          <w:trHeight w:val="273" w:hRule="atLeast"/>
        </w:trPr>
        <w:tc>
          <w:tcPr>
            <w:tcW w:w="766" w:type="dxa"/>
          </w:tcPr>
          <w:p>
            <w:pPr>
              <w:pStyle w:val="TableParagraph"/>
              <w:spacing w:line="238" w:lineRule="exact" w:before="15"/>
              <w:ind w:right="104"/>
              <w:jc w:val="right"/>
              <w:rPr>
                <w:rFonts w:ascii="Times New Roman"/>
                <w:sz w:val="21"/>
              </w:rPr>
            </w:pPr>
            <w:r>
              <w:rPr>
                <w:rFonts w:ascii="Times New Roman"/>
                <w:sz w:val="21"/>
              </w:rPr>
              <w:t>1#~2#</w:t>
            </w:r>
          </w:p>
        </w:tc>
        <w:tc>
          <w:tcPr>
            <w:tcW w:w="1368" w:type="dxa"/>
          </w:tcPr>
          <w:p>
            <w:pPr>
              <w:pStyle w:val="TableParagraph"/>
              <w:spacing w:line="238" w:lineRule="exact" w:before="15"/>
              <w:ind w:left="136" w:right="128"/>
              <w:rPr>
                <w:rFonts w:ascii="Times New Roman"/>
                <w:sz w:val="21"/>
              </w:rPr>
            </w:pPr>
            <w:r>
              <w:rPr>
                <w:rFonts w:ascii="Times New Roman"/>
                <w:sz w:val="21"/>
              </w:rPr>
              <w:t>TSP</w:t>
            </w:r>
          </w:p>
        </w:tc>
        <w:tc>
          <w:tcPr>
            <w:tcW w:w="2552" w:type="dxa"/>
          </w:tcPr>
          <w:p>
            <w:pPr>
              <w:pStyle w:val="TableParagraph"/>
              <w:spacing w:line="238" w:lineRule="exact" w:before="15"/>
              <w:ind w:left="415" w:right="406"/>
              <w:rPr>
                <w:rFonts w:ascii="Times New Roman"/>
                <w:sz w:val="21"/>
              </w:rPr>
            </w:pPr>
            <w:r>
              <w:rPr>
                <w:rFonts w:ascii="Times New Roman"/>
                <w:sz w:val="21"/>
              </w:rPr>
              <w:t>2021.6.2~2021.6.8</w:t>
            </w:r>
          </w:p>
        </w:tc>
        <w:tc>
          <w:tcPr>
            <w:tcW w:w="4398" w:type="dxa"/>
          </w:tcPr>
          <w:p>
            <w:pPr>
              <w:pStyle w:val="TableParagraph"/>
              <w:spacing w:line="252" w:lineRule="exact" w:before="1"/>
              <w:ind w:left="16" w:right="13"/>
              <w:rPr>
                <w:sz w:val="21"/>
              </w:rPr>
            </w:pPr>
            <w:r>
              <w:rPr>
                <w:sz w:val="21"/>
              </w:rPr>
              <w:t>日均值连续监测 </w:t>
            </w:r>
            <w:r>
              <w:rPr>
                <w:rFonts w:ascii="Times New Roman" w:eastAsia="Times New Roman"/>
                <w:sz w:val="21"/>
              </w:rPr>
              <w:t>7 </w:t>
            </w:r>
            <w:r>
              <w:rPr>
                <w:sz w:val="21"/>
              </w:rPr>
              <w:t>天， 每天监测 </w:t>
            </w:r>
            <w:r>
              <w:rPr>
                <w:rFonts w:ascii="Times New Roman" w:eastAsia="Times New Roman"/>
                <w:sz w:val="21"/>
              </w:rPr>
              <w:t>24 </w:t>
            </w:r>
            <w:r>
              <w:rPr>
                <w:sz w:val="21"/>
              </w:rPr>
              <w:t>小时</w:t>
            </w:r>
          </w:p>
        </w:tc>
      </w:tr>
    </w:tbl>
    <w:p>
      <w:pPr>
        <w:spacing w:before="2"/>
        <w:ind w:left="741" w:right="0" w:firstLine="0"/>
        <w:jc w:val="left"/>
        <w:rPr>
          <w:b/>
          <w:sz w:val="24"/>
        </w:rPr>
      </w:pPr>
      <w:r>
        <w:rPr>
          <w:rFonts w:ascii="Times New Roman" w:eastAsia="Times New Roman"/>
          <w:b/>
          <w:sz w:val="24"/>
        </w:rPr>
        <w:t>4</w:t>
      </w:r>
      <w:r>
        <w:rPr>
          <w:b/>
          <w:sz w:val="24"/>
        </w:rPr>
        <w:t>、监测结果统计与评价</w:t>
      </w:r>
    </w:p>
    <w:p>
      <w:pPr>
        <w:pStyle w:val="BodyText"/>
        <w:spacing w:line="364" w:lineRule="auto" w:before="158"/>
        <w:ind w:left="258" w:right="332" w:firstLine="480"/>
        <w:jc w:val="both"/>
      </w:pPr>
      <w:r>
        <w:rPr>
          <w:spacing w:val="-31"/>
        </w:rPr>
        <w:t>以 </w:t>
      </w:r>
      <w:r>
        <w:rPr>
          <w:rFonts w:ascii="Times New Roman" w:eastAsia="Times New Roman"/>
        </w:rPr>
        <w:t>GB3095-2012 </w:t>
      </w:r>
      <w:r>
        <w:rPr>
          <w:spacing w:val="-12"/>
        </w:rPr>
        <w:t>中污染物的浓度限值为依据，对表 </w:t>
      </w:r>
      <w:r>
        <w:rPr>
          <w:rFonts w:ascii="Times New Roman" w:eastAsia="Times New Roman"/>
        </w:rPr>
        <w:t>1 </w:t>
      </w:r>
      <w:r>
        <w:rPr>
          <w:spacing w:val="-20"/>
        </w:rPr>
        <w:t>和表 </w:t>
      </w:r>
      <w:r>
        <w:rPr>
          <w:rFonts w:ascii="Times New Roman" w:eastAsia="Times New Roman"/>
        </w:rPr>
        <w:t>2 </w:t>
      </w:r>
      <w:r>
        <w:rPr/>
        <w:t>中各评价项目的评价指</w:t>
      </w:r>
      <w:r>
        <w:rPr>
          <w:spacing w:val="-5"/>
        </w:rPr>
        <w:t>标进行达标情况判断，超标的评价项目计算其超标倍数。污染物年评价达标是指污染物</w:t>
      </w:r>
      <w:r>
        <w:rPr>
          <w:spacing w:val="-4"/>
          <w:position w:val="2"/>
        </w:rPr>
        <w:t>年平均浓度</w:t>
      </w:r>
      <w:r>
        <w:rPr>
          <w:position w:val="2"/>
        </w:rPr>
        <w:t>（</w:t>
      </w:r>
      <w:r>
        <w:rPr>
          <w:rFonts w:ascii="Times New Roman" w:eastAsia="Times New Roman"/>
          <w:position w:val="2"/>
        </w:rPr>
        <w:t>CO </w:t>
      </w:r>
      <w:r>
        <w:rPr>
          <w:spacing w:val="-31"/>
          <w:position w:val="2"/>
        </w:rPr>
        <w:t>和 </w:t>
      </w:r>
      <w:r>
        <w:rPr>
          <w:rFonts w:ascii="Times New Roman" w:eastAsia="Times New Roman"/>
          <w:position w:val="2"/>
        </w:rPr>
        <w:t>O</w:t>
      </w:r>
      <w:r>
        <w:rPr>
          <w:rFonts w:ascii="Times New Roman" w:eastAsia="Times New Roman"/>
          <w:sz w:val="16"/>
        </w:rPr>
        <w:t>3 </w:t>
      </w:r>
      <w:r>
        <w:rPr>
          <w:position w:val="2"/>
        </w:rPr>
        <w:t>除外</w:t>
      </w:r>
      <w:r>
        <w:rPr>
          <w:spacing w:val="-20"/>
          <w:position w:val="2"/>
        </w:rPr>
        <w:t>）</w:t>
      </w:r>
      <w:r>
        <w:rPr>
          <w:spacing w:val="-3"/>
          <w:position w:val="2"/>
        </w:rPr>
        <w:t>和特定的百分位数浓度同时达标。进行年评价时，同时统</w:t>
      </w:r>
      <w:r>
        <w:rPr>
          <w:spacing w:val="-3"/>
        </w:rPr>
        <w:t>计日评价达标率。</w:t>
      </w:r>
    </w:p>
    <w:p>
      <w:pPr>
        <w:pStyle w:val="BodyText"/>
        <w:spacing w:line="306" w:lineRule="exact"/>
        <w:ind w:left="738"/>
      </w:pPr>
      <w:r>
        <w:rPr/>
        <w:t>①比标值的计算方法</w:t>
      </w:r>
    </w:p>
    <w:p>
      <w:pPr>
        <w:pStyle w:val="BodyText"/>
        <w:spacing w:before="157"/>
        <w:ind w:left="738"/>
        <w:rPr>
          <w:rFonts w:ascii="Times New Roman"/>
        </w:rPr>
      </w:pPr>
      <w:r>
        <w:rPr>
          <w:rFonts w:ascii="Times New Roman"/>
        </w:rPr>
        <w:t>Ii = Ci / Coi</w:t>
      </w:r>
    </w:p>
    <w:p>
      <w:pPr>
        <w:pStyle w:val="BodyText"/>
        <w:spacing w:before="141"/>
        <w:ind w:left="738"/>
      </w:pPr>
      <w:r>
        <w:rPr/>
        <w:t>式中：</w:t>
      </w:r>
      <w:r>
        <w:rPr>
          <w:rFonts w:ascii="Times New Roman" w:hAnsi="Times New Roman" w:eastAsia="Times New Roman"/>
        </w:rPr>
        <w:t>Ci—</w:t>
      </w:r>
      <w:r>
        <w:rPr/>
        <w:t>某种污染因子的现状监测浓度；</w:t>
      </w:r>
    </w:p>
    <w:p>
      <w:pPr>
        <w:pStyle w:val="BodyText"/>
        <w:spacing w:before="160"/>
        <w:ind w:left="1458"/>
      </w:pPr>
      <w:r>
        <w:rPr>
          <w:rFonts w:ascii="Times New Roman" w:hAnsi="Times New Roman" w:eastAsia="Times New Roman"/>
        </w:rPr>
        <w:t>Coi—</w:t>
      </w:r>
      <w:r>
        <w:rPr/>
        <w:t>某种污染因子评价标准值。</w:t>
      </w:r>
    </w:p>
    <w:p>
      <w:pPr>
        <w:pStyle w:val="BodyText"/>
        <w:spacing w:before="158"/>
        <w:ind w:left="738"/>
      </w:pPr>
      <w:r>
        <w:rPr/>
        <w:t>②超标项目 </w:t>
      </w:r>
      <w:r>
        <w:rPr>
          <w:rFonts w:ascii="Times New Roman" w:hAnsi="Times New Roman" w:eastAsia="Times New Roman"/>
        </w:rPr>
        <w:t>i </w:t>
      </w:r>
      <w:r>
        <w:rPr/>
        <w:t>的超标倍数计算</w:t>
      </w:r>
    </w:p>
    <w:p>
      <w:pPr>
        <w:pStyle w:val="BodyText"/>
        <w:spacing w:before="157"/>
        <w:ind w:left="738"/>
        <w:rPr>
          <w:rFonts w:ascii="Times New Roman"/>
        </w:rPr>
      </w:pPr>
      <w:r>
        <w:rPr>
          <w:rFonts w:ascii="Times New Roman"/>
        </w:rPr>
        <w:t>Bi = (Ci-Coi) / Coi</w:t>
      </w:r>
    </w:p>
    <w:p>
      <w:pPr>
        <w:pStyle w:val="BodyText"/>
        <w:spacing w:before="140"/>
        <w:ind w:left="738"/>
      </w:pPr>
      <w:r>
        <w:rPr/>
        <w:t>式中：</w:t>
      </w:r>
      <w:r>
        <w:rPr>
          <w:rFonts w:ascii="Times New Roman" w:hAnsi="Times New Roman" w:eastAsia="Times New Roman"/>
        </w:rPr>
        <w:t>Bi—</w:t>
      </w:r>
      <w:r>
        <w:rPr/>
        <w:t>超标项目的超标倍数；</w:t>
      </w:r>
    </w:p>
    <w:p>
      <w:pPr>
        <w:pStyle w:val="BodyText"/>
        <w:spacing w:before="161"/>
        <w:ind w:left="1458"/>
      </w:pPr>
      <w:r>
        <w:rPr>
          <w:rFonts w:ascii="Times New Roman" w:hAnsi="Times New Roman" w:eastAsia="Times New Roman"/>
        </w:rPr>
        <w:t>Ci—</w:t>
      </w:r>
      <w:r>
        <w:rPr/>
        <w:t>超标项目 </w:t>
      </w:r>
      <w:r>
        <w:rPr>
          <w:rFonts w:ascii="Times New Roman" w:hAnsi="Times New Roman" w:eastAsia="Times New Roman"/>
        </w:rPr>
        <w:t>i </w:t>
      </w:r>
      <w:r>
        <w:rPr/>
        <w:t>的浓度值；</w:t>
      </w:r>
    </w:p>
    <w:p>
      <w:pPr>
        <w:pStyle w:val="BodyText"/>
        <w:spacing w:before="159"/>
        <w:ind w:left="1458"/>
      </w:pPr>
      <w:r>
        <w:rPr>
          <w:rFonts w:ascii="Times New Roman" w:hAnsi="Times New Roman" w:eastAsia="Times New Roman"/>
        </w:rPr>
        <w:t>Coi—</w:t>
      </w:r>
      <w:r>
        <w:rPr/>
        <w:t>超标项目 </w:t>
      </w:r>
      <w:r>
        <w:rPr>
          <w:rFonts w:ascii="Times New Roman" w:hAnsi="Times New Roman" w:eastAsia="Times New Roman"/>
        </w:rPr>
        <w:t>i </w:t>
      </w:r>
      <w:r>
        <w:rPr/>
        <w:t>的浓度标准限值。</w:t>
      </w:r>
    </w:p>
    <w:p>
      <w:pPr>
        <w:pStyle w:val="ListParagraph"/>
        <w:numPr>
          <w:ilvl w:val="1"/>
          <w:numId w:val="20"/>
        </w:numPr>
        <w:tabs>
          <w:tab w:pos="1140" w:val="left" w:leader="none"/>
        </w:tabs>
        <w:spacing w:line="240" w:lineRule="auto" w:before="160" w:after="0"/>
        <w:ind w:left="1139" w:right="0" w:hanging="282"/>
        <w:jc w:val="left"/>
        <w:rPr>
          <w:sz w:val="24"/>
        </w:rPr>
      </w:pPr>
      <w:r>
        <w:rPr>
          <w:sz w:val="24"/>
        </w:rPr>
        <w:t>监测结果统计</w:t>
      </w:r>
    </w:p>
    <w:p>
      <w:pPr>
        <w:pStyle w:val="BodyText"/>
        <w:spacing w:before="7"/>
        <w:rPr>
          <w:sz w:val="23"/>
        </w:rPr>
      </w:pPr>
    </w:p>
    <w:p>
      <w:pPr>
        <w:pStyle w:val="Heading4"/>
        <w:tabs>
          <w:tab w:pos="1222" w:val="left" w:leader="none"/>
        </w:tabs>
        <w:spacing w:before="1" w:after="28"/>
        <w:ind w:left="0" w:right="76"/>
        <w:jc w:val="center"/>
      </w:pPr>
      <w:r>
        <w:rPr/>
        <w:t>表</w:t>
      </w:r>
      <w:r>
        <w:rPr>
          <w:spacing w:val="-60"/>
        </w:rPr>
        <w:t> </w:t>
      </w:r>
      <w:r>
        <w:rPr>
          <w:rFonts w:ascii="Times New Roman" w:eastAsia="Times New Roman"/>
        </w:rPr>
        <w:t>6.2.1-4</w:t>
        <w:tab/>
      </w:r>
      <w:r>
        <w:rPr/>
        <w:t>环境空气常规污染物现</w:t>
      </w:r>
      <w:r>
        <w:rPr>
          <w:spacing w:val="3"/>
        </w:rPr>
        <w:t>状</w:t>
      </w:r>
      <w:r>
        <w:rPr/>
        <w:t>监测结果统计汇总</w:t>
      </w:r>
    </w:p>
    <w:tbl>
      <w:tblPr>
        <w:tblW w:w="0" w:type="auto"/>
        <w:jc w:val="left"/>
        <w:tblInd w:w="2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00"/>
        <w:gridCol w:w="847"/>
        <w:gridCol w:w="703"/>
        <w:gridCol w:w="1136"/>
        <w:gridCol w:w="1159"/>
        <w:gridCol w:w="960"/>
        <w:gridCol w:w="878"/>
        <w:gridCol w:w="878"/>
        <w:gridCol w:w="857"/>
        <w:gridCol w:w="854"/>
      </w:tblGrid>
      <w:tr>
        <w:trPr>
          <w:trHeight w:val="282" w:hRule="atLeast"/>
        </w:trPr>
        <w:tc>
          <w:tcPr>
            <w:tcW w:w="900" w:type="dxa"/>
            <w:vMerge w:val="restart"/>
          </w:tcPr>
          <w:p>
            <w:pPr>
              <w:pStyle w:val="TableParagraph"/>
              <w:spacing w:before="150"/>
              <w:ind w:left="131"/>
              <w:jc w:val="left"/>
              <w:rPr>
                <w:b/>
                <w:sz w:val="21"/>
              </w:rPr>
            </w:pPr>
            <w:r>
              <w:rPr>
                <w:b/>
                <w:sz w:val="21"/>
              </w:rPr>
              <w:t>污染物</w:t>
            </w:r>
          </w:p>
        </w:tc>
        <w:tc>
          <w:tcPr>
            <w:tcW w:w="847" w:type="dxa"/>
            <w:vMerge w:val="restart"/>
          </w:tcPr>
          <w:p>
            <w:pPr>
              <w:pStyle w:val="TableParagraph"/>
              <w:spacing w:before="150"/>
              <w:ind w:left="105"/>
              <w:jc w:val="left"/>
              <w:rPr>
                <w:b/>
                <w:sz w:val="21"/>
              </w:rPr>
            </w:pPr>
            <w:r>
              <w:rPr>
                <w:b/>
                <w:sz w:val="21"/>
              </w:rPr>
              <w:t>监测点</w:t>
            </w:r>
          </w:p>
        </w:tc>
        <w:tc>
          <w:tcPr>
            <w:tcW w:w="703" w:type="dxa"/>
            <w:vMerge w:val="restart"/>
          </w:tcPr>
          <w:p>
            <w:pPr>
              <w:pStyle w:val="TableParagraph"/>
              <w:spacing w:line="270" w:lineRule="atLeast" w:before="12"/>
              <w:ind w:left="139" w:right="134"/>
              <w:jc w:val="left"/>
              <w:rPr>
                <w:b/>
                <w:sz w:val="21"/>
              </w:rPr>
            </w:pPr>
            <w:r>
              <w:rPr>
                <w:b/>
                <w:sz w:val="21"/>
              </w:rPr>
              <w:t>数据个数</w:t>
            </w:r>
          </w:p>
        </w:tc>
        <w:tc>
          <w:tcPr>
            <w:tcW w:w="2295" w:type="dxa"/>
            <w:gridSpan w:val="2"/>
          </w:tcPr>
          <w:p>
            <w:pPr>
              <w:pStyle w:val="TableParagraph"/>
              <w:spacing w:line="257" w:lineRule="exact" w:before="6"/>
              <w:ind w:left="154"/>
              <w:jc w:val="left"/>
              <w:rPr>
                <w:rFonts w:ascii="Times New Roman" w:eastAsia="Times New Roman"/>
                <w:b/>
                <w:sz w:val="21"/>
              </w:rPr>
            </w:pPr>
            <w:r>
              <w:rPr>
                <w:b/>
                <w:sz w:val="21"/>
              </w:rPr>
              <w:t>监测浓度范围</w:t>
            </w:r>
            <w:r>
              <w:rPr>
                <w:rFonts w:ascii="Times New Roman" w:eastAsia="Times New Roman"/>
                <w:b/>
                <w:sz w:val="21"/>
              </w:rPr>
              <w:t>(mg/m</w:t>
            </w:r>
            <w:r>
              <w:rPr>
                <w:rFonts w:ascii="Times New Roman" w:eastAsia="Times New Roman"/>
                <w:b/>
                <w:position w:val="7"/>
                <w:sz w:val="14"/>
              </w:rPr>
              <w:t>3</w:t>
            </w:r>
            <w:r>
              <w:rPr>
                <w:rFonts w:ascii="Times New Roman" w:eastAsia="Times New Roman"/>
                <w:b/>
                <w:sz w:val="21"/>
              </w:rPr>
              <w:t>)</w:t>
            </w:r>
          </w:p>
        </w:tc>
        <w:tc>
          <w:tcPr>
            <w:tcW w:w="1838" w:type="dxa"/>
            <w:gridSpan w:val="2"/>
          </w:tcPr>
          <w:p>
            <w:pPr>
              <w:pStyle w:val="TableParagraph"/>
              <w:spacing w:line="257" w:lineRule="exact" w:before="6"/>
              <w:ind w:left="240"/>
              <w:jc w:val="left"/>
              <w:rPr>
                <w:rFonts w:ascii="Times New Roman" w:eastAsia="Times New Roman"/>
                <w:b/>
                <w:sz w:val="21"/>
              </w:rPr>
            </w:pPr>
            <w:r>
              <w:rPr>
                <w:b/>
                <w:sz w:val="21"/>
              </w:rPr>
              <w:t>标准值</w:t>
            </w:r>
            <w:r>
              <w:rPr>
                <w:rFonts w:ascii="Times New Roman" w:eastAsia="Times New Roman"/>
                <w:b/>
                <w:sz w:val="21"/>
              </w:rPr>
              <w:t>(mg/m</w:t>
            </w:r>
            <w:r>
              <w:rPr>
                <w:rFonts w:ascii="Times New Roman" w:eastAsia="Times New Roman"/>
                <w:b/>
                <w:position w:val="7"/>
                <w:sz w:val="14"/>
              </w:rPr>
              <w:t>3</w:t>
            </w:r>
            <w:r>
              <w:rPr>
                <w:rFonts w:ascii="Times New Roman" w:eastAsia="Times New Roman"/>
                <w:b/>
                <w:sz w:val="21"/>
              </w:rPr>
              <w:t>)</w:t>
            </w:r>
          </w:p>
        </w:tc>
        <w:tc>
          <w:tcPr>
            <w:tcW w:w="1735" w:type="dxa"/>
            <w:gridSpan w:val="2"/>
          </w:tcPr>
          <w:p>
            <w:pPr>
              <w:pStyle w:val="TableParagraph"/>
              <w:spacing w:line="257" w:lineRule="exact" w:before="6"/>
              <w:ind w:left="341"/>
              <w:jc w:val="left"/>
              <w:rPr>
                <w:b/>
                <w:sz w:val="21"/>
              </w:rPr>
            </w:pPr>
            <w:r>
              <w:rPr>
                <w:b/>
                <w:sz w:val="21"/>
              </w:rPr>
              <w:t>最大比标值</w:t>
            </w:r>
          </w:p>
        </w:tc>
        <w:tc>
          <w:tcPr>
            <w:tcW w:w="854" w:type="dxa"/>
            <w:vMerge w:val="restart"/>
          </w:tcPr>
          <w:p>
            <w:pPr>
              <w:pStyle w:val="TableParagraph"/>
              <w:spacing w:before="13"/>
              <w:ind w:left="109"/>
              <w:jc w:val="left"/>
              <w:rPr>
                <w:b/>
                <w:sz w:val="21"/>
              </w:rPr>
            </w:pPr>
            <w:r>
              <w:rPr>
                <w:b/>
                <w:sz w:val="21"/>
              </w:rPr>
              <w:t>超标率</w:t>
            </w:r>
          </w:p>
          <w:p>
            <w:pPr>
              <w:pStyle w:val="TableParagraph"/>
              <w:spacing w:line="264" w:lineRule="exact" w:before="4"/>
              <w:ind w:left="112"/>
              <w:jc w:val="left"/>
              <w:rPr>
                <w:b/>
                <w:sz w:val="21"/>
              </w:rPr>
            </w:pPr>
            <w:r>
              <w:rPr>
                <w:b/>
                <w:sz w:val="21"/>
              </w:rPr>
              <w:t>（</w:t>
            </w:r>
            <w:r>
              <w:rPr>
                <w:rFonts w:ascii="Times New Roman" w:eastAsia="Times New Roman"/>
                <w:b/>
                <w:sz w:val="21"/>
              </w:rPr>
              <w:t>%</w:t>
            </w:r>
            <w:r>
              <w:rPr>
                <w:b/>
                <w:sz w:val="21"/>
              </w:rPr>
              <w:t>）</w:t>
            </w:r>
          </w:p>
        </w:tc>
      </w:tr>
      <w:tr>
        <w:trPr>
          <w:trHeight w:val="283" w:hRule="atLeast"/>
        </w:trPr>
        <w:tc>
          <w:tcPr>
            <w:tcW w:w="900" w:type="dxa"/>
            <w:vMerge/>
            <w:tcBorders>
              <w:top w:val="nil"/>
            </w:tcBorders>
          </w:tcPr>
          <w:p>
            <w:pPr>
              <w:rPr>
                <w:sz w:val="2"/>
                <w:szCs w:val="2"/>
              </w:rPr>
            </w:pPr>
          </w:p>
        </w:tc>
        <w:tc>
          <w:tcPr>
            <w:tcW w:w="847" w:type="dxa"/>
            <w:vMerge/>
            <w:tcBorders>
              <w:top w:val="nil"/>
            </w:tcBorders>
          </w:tcPr>
          <w:p>
            <w:pPr>
              <w:rPr>
                <w:sz w:val="2"/>
                <w:szCs w:val="2"/>
              </w:rPr>
            </w:pPr>
          </w:p>
        </w:tc>
        <w:tc>
          <w:tcPr>
            <w:tcW w:w="703" w:type="dxa"/>
            <w:vMerge/>
            <w:tcBorders>
              <w:top w:val="nil"/>
            </w:tcBorders>
          </w:tcPr>
          <w:p>
            <w:pPr>
              <w:rPr>
                <w:sz w:val="2"/>
                <w:szCs w:val="2"/>
              </w:rPr>
            </w:pPr>
          </w:p>
        </w:tc>
        <w:tc>
          <w:tcPr>
            <w:tcW w:w="1136" w:type="dxa"/>
          </w:tcPr>
          <w:p>
            <w:pPr>
              <w:pStyle w:val="TableParagraph"/>
              <w:spacing w:line="257" w:lineRule="exact" w:before="6"/>
              <w:ind w:left="104" w:right="101"/>
              <w:rPr>
                <w:b/>
                <w:sz w:val="21"/>
              </w:rPr>
            </w:pPr>
            <w:r>
              <w:rPr>
                <w:b/>
                <w:sz w:val="21"/>
              </w:rPr>
              <w:t>小时值</w:t>
            </w:r>
          </w:p>
        </w:tc>
        <w:tc>
          <w:tcPr>
            <w:tcW w:w="1159" w:type="dxa"/>
          </w:tcPr>
          <w:p>
            <w:pPr>
              <w:pStyle w:val="TableParagraph"/>
              <w:spacing w:line="257" w:lineRule="exact" w:before="6"/>
              <w:ind w:left="26" w:right="24"/>
              <w:rPr>
                <w:b/>
                <w:sz w:val="21"/>
              </w:rPr>
            </w:pPr>
            <w:r>
              <w:rPr>
                <w:b/>
                <w:sz w:val="21"/>
              </w:rPr>
              <w:t>日均值</w:t>
            </w:r>
          </w:p>
        </w:tc>
        <w:tc>
          <w:tcPr>
            <w:tcW w:w="960" w:type="dxa"/>
          </w:tcPr>
          <w:p>
            <w:pPr>
              <w:pStyle w:val="TableParagraph"/>
              <w:spacing w:line="257" w:lineRule="exact" w:before="6"/>
              <w:ind w:left="141" w:right="141"/>
              <w:rPr>
                <w:b/>
                <w:sz w:val="21"/>
              </w:rPr>
            </w:pPr>
            <w:r>
              <w:rPr>
                <w:b/>
                <w:sz w:val="21"/>
              </w:rPr>
              <w:t>小时值</w:t>
            </w:r>
          </w:p>
        </w:tc>
        <w:tc>
          <w:tcPr>
            <w:tcW w:w="878" w:type="dxa"/>
          </w:tcPr>
          <w:p>
            <w:pPr>
              <w:pStyle w:val="TableParagraph"/>
              <w:spacing w:line="257" w:lineRule="exact" w:before="6"/>
              <w:ind w:left="75" w:right="69"/>
              <w:rPr>
                <w:b/>
                <w:sz w:val="21"/>
              </w:rPr>
            </w:pPr>
            <w:r>
              <w:rPr>
                <w:b/>
                <w:sz w:val="21"/>
              </w:rPr>
              <w:t>日均值</w:t>
            </w:r>
          </w:p>
        </w:tc>
        <w:tc>
          <w:tcPr>
            <w:tcW w:w="878" w:type="dxa"/>
          </w:tcPr>
          <w:p>
            <w:pPr>
              <w:pStyle w:val="TableParagraph"/>
              <w:spacing w:line="257" w:lineRule="exact" w:before="6"/>
              <w:ind w:left="76" w:right="69"/>
              <w:rPr>
                <w:b/>
                <w:sz w:val="21"/>
              </w:rPr>
            </w:pPr>
            <w:r>
              <w:rPr>
                <w:b/>
                <w:sz w:val="21"/>
              </w:rPr>
              <w:t>小时值</w:t>
            </w:r>
          </w:p>
        </w:tc>
        <w:tc>
          <w:tcPr>
            <w:tcW w:w="857" w:type="dxa"/>
          </w:tcPr>
          <w:p>
            <w:pPr>
              <w:pStyle w:val="TableParagraph"/>
              <w:spacing w:line="257" w:lineRule="exact" w:before="6"/>
              <w:ind w:left="92" w:right="87"/>
              <w:rPr>
                <w:b/>
                <w:sz w:val="21"/>
              </w:rPr>
            </w:pPr>
            <w:r>
              <w:rPr>
                <w:b/>
                <w:sz w:val="21"/>
              </w:rPr>
              <w:t>日均值</w:t>
            </w:r>
          </w:p>
        </w:tc>
        <w:tc>
          <w:tcPr>
            <w:tcW w:w="854" w:type="dxa"/>
            <w:vMerge/>
            <w:tcBorders>
              <w:top w:val="nil"/>
            </w:tcBorders>
          </w:tcPr>
          <w:p>
            <w:pPr>
              <w:rPr>
                <w:sz w:val="2"/>
                <w:szCs w:val="2"/>
              </w:rPr>
            </w:pPr>
          </w:p>
        </w:tc>
      </w:tr>
      <w:tr>
        <w:trPr>
          <w:trHeight w:val="285" w:hRule="atLeast"/>
        </w:trPr>
        <w:tc>
          <w:tcPr>
            <w:tcW w:w="900" w:type="dxa"/>
            <w:vMerge w:val="restart"/>
          </w:tcPr>
          <w:p>
            <w:pPr>
              <w:pStyle w:val="TableParagraph"/>
              <w:spacing w:line="270" w:lineRule="atLeast" w:before="14"/>
              <w:ind w:left="239" w:right="125" w:hanging="106"/>
              <w:jc w:val="left"/>
              <w:rPr>
                <w:sz w:val="21"/>
              </w:rPr>
            </w:pPr>
            <w:r>
              <w:rPr>
                <w:sz w:val="21"/>
              </w:rPr>
              <w:t>非甲烷总烃</w:t>
            </w:r>
          </w:p>
        </w:tc>
        <w:tc>
          <w:tcPr>
            <w:tcW w:w="847" w:type="dxa"/>
          </w:tcPr>
          <w:p>
            <w:pPr>
              <w:pStyle w:val="TableParagraph"/>
              <w:spacing w:before="22"/>
              <w:ind w:left="31" w:right="29"/>
              <w:rPr>
                <w:rFonts w:ascii="Times New Roman"/>
                <w:sz w:val="21"/>
              </w:rPr>
            </w:pPr>
            <w:r>
              <w:rPr>
                <w:rFonts w:ascii="Times New Roman"/>
                <w:sz w:val="21"/>
              </w:rPr>
              <w:t>1#</w:t>
            </w:r>
          </w:p>
        </w:tc>
        <w:tc>
          <w:tcPr>
            <w:tcW w:w="703" w:type="dxa"/>
          </w:tcPr>
          <w:p>
            <w:pPr>
              <w:pStyle w:val="TableParagraph"/>
              <w:spacing w:before="22"/>
              <w:ind w:left="11" w:right="9"/>
              <w:rPr>
                <w:rFonts w:ascii="Times New Roman"/>
                <w:sz w:val="21"/>
              </w:rPr>
            </w:pPr>
            <w:r>
              <w:rPr>
                <w:rFonts w:ascii="Times New Roman"/>
                <w:sz w:val="21"/>
              </w:rPr>
              <w:t>28</w:t>
            </w:r>
          </w:p>
        </w:tc>
        <w:tc>
          <w:tcPr>
            <w:tcW w:w="1136" w:type="dxa"/>
          </w:tcPr>
          <w:p>
            <w:pPr>
              <w:pStyle w:val="TableParagraph"/>
              <w:spacing w:before="22"/>
              <w:ind w:left="106" w:right="101"/>
              <w:rPr>
                <w:rFonts w:ascii="Times New Roman"/>
                <w:sz w:val="21"/>
              </w:rPr>
            </w:pPr>
            <w:r>
              <w:rPr>
                <w:rFonts w:ascii="Times New Roman"/>
                <w:sz w:val="21"/>
              </w:rPr>
              <w:t>0.8~0.98</w:t>
            </w:r>
          </w:p>
        </w:tc>
        <w:tc>
          <w:tcPr>
            <w:tcW w:w="1159" w:type="dxa"/>
          </w:tcPr>
          <w:p>
            <w:pPr>
              <w:pStyle w:val="TableParagraph"/>
              <w:spacing w:before="22"/>
              <w:ind w:left="3"/>
              <w:rPr>
                <w:rFonts w:ascii="Times New Roman"/>
                <w:sz w:val="21"/>
              </w:rPr>
            </w:pPr>
            <w:r>
              <w:rPr>
                <w:rFonts w:ascii="Times New Roman"/>
                <w:w w:val="100"/>
                <w:sz w:val="21"/>
              </w:rPr>
              <w:t>/</w:t>
            </w:r>
          </w:p>
        </w:tc>
        <w:tc>
          <w:tcPr>
            <w:tcW w:w="960" w:type="dxa"/>
            <w:vMerge w:val="restart"/>
          </w:tcPr>
          <w:p>
            <w:pPr>
              <w:pStyle w:val="TableParagraph"/>
              <w:spacing w:before="166"/>
              <w:rPr>
                <w:rFonts w:ascii="Times New Roman"/>
                <w:sz w:val="21"/>
              </w:rPr>
            </w:pPr>
            <w:r>
              <w:rPr>
                <w:rFonts w:ascii="Times New Roman"/>
                <w:w w:val="100"/>
                <w:sz w:val="21"/>
              </w:rPr>
              <w:t>2</w:t>
            </w:r>
          </w:p>
        </w:tc>
        <w:tc>
          <w:tcPr>
            <w:tcW w:w="878" w:type="dxa"/>
            <w:vMerge w:val="restart"/>
          </w:tcPr>
          <w:p>
            <w:pPr>
              <w:pStyle w:val="TableParagraph"/>
              <w:spacing w:before="166"/>
              <w:ind w:left="7"/>
              <w:rPr>
                <w:rFonts w:ascii="Times New Roman"/>
                <w:sz w:val="21"/>
              </w:rPr>
            </w:pPr>
            <w:r>
              <w:rPr>
                <w:rFonts w:ascii="Times New Roman"/>
                <w:w w:val="100"/>
                <w:sz w:val="21"/>
              </w:rPr>
              <w:t>/</w:t>
            </w:r>
          </w:p>
        </w:tc>
        <w:tc>
          <w:tcPr>
            <w:tcW w:w="878" w:type="dxa"/>
          </w:tcPr>
          <w:p>
            <w:pPr>
              <w:pStyle w:val="TableParagraph"/>
              <w:spacing w:before="22"/>
              <w:ind w:left="76" w:right="69"/>
              <w:rPr>
                <w:rFonts w:ascii="Times New Roman"/>
                <w:sz w:val="21"/>
              </w:rPr>
            </w:pPr>
            <w:r>
              <w:rPr>
                <w:rFonts w:ascii="Times New Roman"/>
                <w:sz w:val="21"/>
              </w:rPr>
              <w:t>0.49</w:t>
            </w:r>
          </w:p>
        </w:tc>
        <w:tc>
          <w:tcPr>
            <w:tcW w:w="857" w:type="dxa"/>
          </w:tcPr>
          <w:p>
            <w:pPr>
              <w:pStyle w:val="TableParagraph"/>
              <w:spacing w:before="22"/>
              <w:ind w:left="6"/>
              <w:rPr>
                <w:rFonts w:ascii="Times New Roman"/>
                <w:sz w:val="21"/>
              </w:rPr>
            </w:pPr>
            <w:r>
              <w:rPr>
                <w:rFonts w:ascii="Times New Roman"/>
                <w:w w:val="100"/>
                <w:sz w:val="21"/>
              </w:rPr>
              <w:t>/</w:t>
            </w:r>
          </w:p>
        </w:tc>
        <w:tc>
          <w:tcPr>
            <w:tcW w:w="854" w:type="dxa"/>
          </w:tcPr>
          <w:p>
            <w:pPr>
              <w:pStyle w:val="TableParagraph"/>
              <w:spacing w:before="22"/>
              <w:ind w:left="4"/>
              <w:rPr>
                <w:rFonts w:ascii="Times New Roman"/>
                <w:sz w:val="21"/>
              </w:rPr>
            </w:pPr>
            <w:r>
              <w:rPr>
                <w:rFonts w:ascii="Times New Roman"/>
                <w:w w:val="100"/>
                <w:sz w:val="21"/>
              </w:rPr>
              <w:t>0</w:t>
            </w:r>
          </w:p>
        </w:tc>
      </w:tr>
      <w:tr>
        <w:trPr>
          <w:trHeight w:val="282" w:hRule="atLeast"/>
        </w:trPr>
        <w:tc>
          <w:tcPr>
            <w:tcW w:w="900" w:type="dxa"/>
            <w:vMerge/>
            <w:tcBorders>
              <w:top w:val="nil"/>
            </w:tcBorders>
          </w:tcPr>
          <w:p>
            <w:pPr>
              <w:rPr>
                <w:sz w:val="2"/>
                <w:szCs w:val="2"/>
              </w:rPr>
            </w:pPr>
          </w:p>
        </w:tc>
        <w:tc>
          <w:tcPr>
            <w:tcW w:w="847" w:type="dxa"/>
          </w:tcPr>
          <w:p>
            <w:pPr>
              <w:pStyle w:val="TableParagraph"/>
              <w:spacing w:before="20"/>
              <w:ind w:left="31" w:right="29"/>
              <w:rPr>
                <w:rFonts w:ascii="Times New Roman"/>
                <w:sz w:val="21"/>
              </w:rPr>
            </w:pPr>
            <w:r>
              <w:rPr>
                <w:rFonts w:ascii="Times New Roman"/>
                <w:sz w:val="21"/>
              </w:rPr>
              <w:t>2#</w:t>
            </w:r>
          </w:p>
        </w:tc>
        <w:tc>
          <w:tcPr>
            <w:tcW w:w="703" w:type="dxa"/>
          </w:tcPr>
          <w:p>
            <w:pPr>
              <w:pStyle w:val="TableParagraph"/>
              <w:spacing w:before="20"/>
              <w:ind w:left="11" w:right="9"/>
              <w:rPr>
                <w:rFonts w:ascii="Times New Roman"/>
                <w:sz w:val="21"/>
              </w:rPr>
            </w:pPr>
            <w:r>
              <w:rPr>
                <w:rFonts w:ascii="Times New Roman"/>
                <w:sz w:val="21"/>
              </w:rPr>
              <w:t>28</w:t>
            </w:r>
          </w:p>
        </w:tc>
        <w:tc>
          <w:tcPr>
            <w:tcW w:w="1136" w:type="dxa"/>
          </w:tcPr>
          <w:p>
            <w:pPr>
              <w:pStyle w:val="TableParagraph"/>
              <w:spacing w:before="20"/>
              <w:ind w:left="106" w:right="101"/>
              <w:rPr>
                <w:rFonts w:ascii="Times New Roman"/>
                <w:sz w:val="21"/>
              </w:rPr>
            </w:pPr>
            <w:r>
              <w:rPr>
                <w:rFonts w:ascii="Times New Roman"/>
                <w:sz w:val="21"/>
              </w:rPr>
              <w:t>0.81~0.99</w:t>
            </w:r>
          </w:p>
        </w:tc>
        <w:tc>
          <w:tcPr>
            <w:tcW w:w="1159" w:type="dxa"/>
          </w:tcPr>
          <w:p>
            <w:pPr>
              <w:pStyle w:val="TableParagraph"/>
              <w:spacing w:before="20"/>
              <w:ind w:left="3"/>
              <w:rPr>
                <w:rFonts w:ascii="Times New Roman"/>
                <w:sz w:val="21"/>
              </w:rPr>
            </w:pPr>
            <w:r>
              <w:rPr>
                <w:rFonts w:ascii="Times New Roman"/>
                <w:w w:val="100"/>
                <w:sz w:val="21"/>
              </w:rPr>
              <w:t>/</w:t>
            </w:r>
          </w:p>
        </w:tc>
        <w:tc>
          <w:tcPr>
            <w:tcW w:w="960" w:type="dxa"/>
            <w:vMerge/>
            <w:tcBorders>
              <w:top w:val="nil"/>
            </w:tcBorders>
          </w:tcPr>
          <w:p>
            <w:pPr>
              <w:rPr>
                <w:sz w:val="2"/>
                <w:szCs w:val="2"/>
              </w:rPr>
            </w:pPr>
          </w:p>
        </w:tc>
        <w:tc>
          <w:tcPr>
            <w:tcW w:w="878" w:type="dxa"/>
            <w:vMerge/>
            <w:tcBorders>
              <w:top w:val="nil"/>
            </w:tcBorders>
          </w:tcPr>
          <w:p>
            <w:pPr>
              <w:rPr>
                <w:sz w:val="2"/>
                <w:szCs w:val="2"/>
              </w:rPr>
            </w:pPr>
          </w:p>
        </w:tc>
        <w:tc>
          <w:tcPr>
            <w:tcW w:w="878" w:type="dxa"/>
          </w:tcPr>
          <w:p>
            <w:pPr>
              <w:pStyle w:val="TableParagraph"/>
              <w:spacing w:before="20"/>
              <w:ind w:left="76" w:right="69"/>
              <w:rPr>
                <w:rFonts w:ascii="Times New Roman"/>
                <w:sz w:val="21"/>
              </w:rPr>
            </w:pPr>
            <w:r>
              <w:rPr>
                <w:rFonts w:ascii="Times New Roman"/>
                <w:sz w:val="21"/>
              </w:rPr>
              <w:t>0.495</w:t>
            </w:r>
          </w:p>
        </w:tc>
        <w:tc>
          <w:tcPr>
            <w:tcW w:w="857" w:type="dxa"/>
          </w:tcPr>
          <w:p>
            <w:pPr>
              <w:pStyle w:val="TableParagraph"/>
              <w:spacing w:before="20"/>
              <w:ind w:left="6"/>
              <w:rPr>
                <w:rFonts w:ascii="Times New Roman"/>
                <w:sz w:val="21"/>
              </w:rPr>
            </w:pPr>
            <w:r>
              <w:rPr>
                <w:rFonts w:ascii="Times New Roman"/>
                <w:w w:val="100"/>
                <w:sz w:val="21"/>
              </w:rPr>
              <w:t>/</w:t>
            </w:r>
          </w:p>
        </w:tc>
        <w:tc>
          <w:tcPr>
            <w:tcW w:w="854" w:type="dxa"/>
          </w:tcPr>
          <w:p>
            <w:pPr>
              <w:pStyle w:val="TableParagraph"/>
              <w:spacing w:before="20"/>
              <w:ind w:left="4"/>
              <w:rPr>
                <w:rFonts w:ascii="Times New Roman"/>
                <w:sz w:val="21"/>
              </w:rPr>
            </w:pPr>
            <w:r>
              <w:rPr>
                <w:rFonts w:ascii="Times New Roman"/>
                <w:w w:val="100"/>
                <w:sz w:val="21"/>
              </w:rPr>
              <w:t>0</w:t>
            </w:r>
          </w:p>
        </w:tc>
      </w:tr>
      <w:tr>
        <w:trPr>
          <w:trHeight w:val="285" w:hRule="atLeast"/>
        </w:trPr>
        <w:tc>
          <w:tcPr>
            <w:tcW w:w="900" w:type="dxa"/>
          </w:tcPr>
          <w:p>
            <w:pPr>
              <w:pStyle w:val="TableParagraph"/>
              <w:spacing w:before="22"/>
              <w:ind w:left="268"/>
              <w:jc w:val="left"/>
              <w:rPr>
                <w:rFonts w:ascii="Times New Roman"/>
                <w:sz w:val="21"/>
              </w:rPr>
            </w:pPr>
            <w:r>
              <w:rPr>
                <w:rFonts w:ascii="Times New Roman"/>
                <w:sz w:val="21"/>
              </w:rPr>
              <w:t>TSP</w:t>
            </w:r>
          </w:p>
        </w:tc>
        <w:tc>
          <w:tcPr>
            <w:tcW w:w="847" w:type="dxa"/>
          </w:tcPr>
          <w:p>
            <w:pPr>
              <w:pStyle w:val="TableParagraph"/>
              <w:spacing w:before="22"/>
              <w:ind w:left="31" w:right="29"/>
              <w:rPr>
                <w:rFonts w:ascii="Times New Roman"/>
                <w:sz w:val="21"/>
              </w:rPr>
            </w:pPr>
            <w:r>
              <w:rPr>
                <w:rFonts w:ascii="Times New Roman"/>
                <w:sz w:val="21"/>
              </w:rPr>
              <w:t>1#</w:t>
            </w:r>
          </w:p>
        </w:tc>
        <w:tc>
          <w:tcPr>
            <w:tcW w:w="703" w:type="dxa"/>
          </w:tcPr>
          <w:p>
            <w:pPr>
              <w:pStyle w:val="TableParagraph"/>
              <w:spacing w:before="22"/>
              <w:ind w:left="2"/>
              <w:rPr>
                <w:rFonts w:ascii="Times New Roman"/>
                <w:sz w:val="21"/>
              </w:rPr>
            </w:pPr>
            <w:r>
              <w:rPr>
                <w:rFonts w:ascii="Times New Roman"/>
                <w:w w:val="100"/>
                <w:sz w:val="21"/>
              </w:rPr>
              <w:t>7</w:t>
            </w:r>
          </w:p>
        </w:tc>
        <w:tc>
          <w:tcPr>
            <w:tcW w:w="1136" w:type="dxa"/>
          </w:tcPr>
          <w:p>
            <w:pPr>
              <w:pStyle w:val="TableParagraph"/>
              <w:spacing w:before="22"/>
              <w:ind w:left="4"/>
              <w:rPr>
                <w:rFonts w:ascii="Times New Roman"/>
                <w:sz w:val="21"/>
              </w:rPr>
            </w:pPr>
            <w:r>
              <w:rPr>
                <w:rFonts w:ascii="Times New Roman"/>
                <w:w w:val="100"/>
                <w:sz w:val="21"/>
              </w:rPr>
              <w:t>/</w:t>
            </w:r>
          </w:p>
        </w:tc>
        <w:tc>
          <w:tcPr>
            <w:tcW w:w="1159" w:type="dxa"/>
          </w:tcPr>
          <w:p>
            <w:pPr>
              <w:pStyle w:val="TableParagraph"/>
              <w:spacing w:before="22"/>
              <w:ind w:left="31" w:right="24"/>
              <w:rPr>
                <w:rFonts w:ascii="Times New Roman"/>
                <w:sz w:val="21"/>
              </w:rPr>
            </w:pPr>
            <w:r>
              <w:rPr>
                <w:rFonts w:ascii="Times New Roman"/>
                <w:sz w:val="21"/>
              </w:rPr>
              <w:t>0.148~0.163</w:t>
            </w:r>
          </w:p>
        </w:tc>
        <w:tc>
          <w:tcPr>
            <w:tcW w:w="960" w:type="dxa"/>
          </w:tcPr>
          <w:p>
            <w:pPr>
              <w:pStyle w:val="TableParagraph"/>
              <w:spacing w:before="22"/>
              <w:ind w:left="1"/>
              <w:rPr>
                <w:rFonts w:ascii="Times New Roman"/>
                <w:sz w:val="21"/>
              </w:rPr>
            </w:pPr>
            <w:r>
              <w:rPr>
                <w:rFonts w:ascii="Times New Roman"/>
                <w:w w:val="100"/>
                <w:sz w:val="21"/>
              </w:rPr>
              <w:t>/</w:t>
            </w:r>
          </w:p>
        </w:tc>
        <w:tc>
          <w:tcPr>
            <w:tcW w:w="878" w:type="dxa"/>
          </w:tcPr>
          <w:p>
            <w:pPr>
              <w:pStyle w:val="TableParagraph"/>
              <w:spacing w:before="22"/>
              <w:ind w:left="75" w:right="69"/>
              <w:rPr>
                <w:rFonts w:ascii="Times New Roman"/>
                <w:sz w:val="21"/>
              </w:rPr>
            </w:pPr>
            <w:r>
              <w:rPr>
                <w:rFonts w:ascii="Times New Roman"/>
                <w:sz w:val="21"/>
              </w:rPr>
              <w:t>0.3</w:t>
            </w:r>
          </w:p>
        </w:tc>
        <w:tc>
          <w:tcPr>
            <w:tcW w:w="878" w:type="dxa"/>
          </w:tcPr>
          <w:p>
            <w:pPr>
              <w:pStyle w:val="TableParagraph"/>
              <w:spacing w:before="22"/>
              <w:ind w:left="8"/>
              <w:rPr>
                <w:rFonts w:ascii="Times New Roman"/>
                <w:sz w:val="21"/>
              </w:rPr>
            </w:pPr>
            <w:r>
              <w:rPr>
                <w:rFonts w:ascii="Times New Roman"/>
                <w:w w:val="100"/>
                <w:sz w:val="21"/>
              </w:rPr>
              <w:t>/</w:t>
            </w:r>
          </w:p>
        </w:tc>
        <w:tc>
          <w:tcPr>
            <w:tcW w:w="857" w:type="dxa"/>
          </w:tcPr>
          <w:p>
            <w:pPr>
              <w:pStyle w:val="TableParagraph"/>
              <w:spacing w:before="22"/>
              <w:ind w:left="92" w:right="82"/>
              <w:rPr>
                <w:rFonts w:ascii="Times New Roman"/>
                <w:sz w:val="21"/>
              </w:rPr>
            </w:pPr>
            <w:r>
              <w:rPr>
                <w:rFonts w:ascii="Times New Roman"/>
                <w:sz w:val="21"/>
              </w:rPr>
              <w:t>0.543</w:t>
            </w:r>
          </w:p>
        </w:tc>
        <w:tc>
          <w:tcPr>
            <w:tcW w:w="854" w:type="dxa"/>
          </w:tcPr>
          <w:p>
            <w:pPr>
              <w:pStyle w:val="TableParagraph"/>
              <w:spacing w:before="22"/>
              <w:ind w:left="4"/>
              <w:rPr>
                <w:rFonts w:ascii="Times New Roman"/>
                <w:sz w:val="21"/>
              </w:rPr>
            </w:pPr>
            <w:r>
              <w:rPr>
                <w:rFonts w:ascii="Times New Roman"/>
                <w:w w:val="100"/>
                <w:sz w:val="21"/>
              </w:rPr>
              <w:t>0</w:t>
            </w:r>
          </w:p>
        </w:tc>
      </w:tr>
    </w:tbl>
    <w:p>
      <w:pPr>
        <w:spacing w:after="0"/>
        <w:rPr>
          <w:rFonts w:ascii="Times New Roman"/>
          <w:sz w:val="21"/>
        </w:rPr>
        <w:sectPr>
          <w:pgSz w:w="11910" w:h="16850"/>
          <w:pgMar w:header="1004" w:footer="1088" w:top="1240" w:bottom="1280" w:left="1160" w:right="1080"/>
        </w:sectPr>
      </w:pPr>
    </w:p>
    <w:p>
      <w:pPr>
        <w:pStyle w:val="BodyText"/>
        <w:spacing w:before="1"/>
        <w:rPr>
          <w:b/>
          <w:sz w:val="13"/>
        </w:rPr>
      </w:pPr>
    </w:p>
    <w:tbl>
      <w:tblPr>
        <w:tblW w:w="0" w:type="auto"/>
        <w:jc w:val="left"/>
        <w:tblInd w:w="2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00"/>
        <w:gridCol w:w="847"/>
        <w:gridCol w:w="703"/>
        <w:gridCol w:w="1136"/>
        <w:gridCol w:w="1159"/>
        <w:gridCol w:w="960"/>
        <w:gridCol w:w="878"/>
        <w:gridCol w:w="878"/>
        <w:gridCol w:w="857"/>
        <w:gridCol w:w="854"/>
      </w:tblGrid>
      <w:tr>
        <w:trPr>
          <w:trHeight w:val="283" w:hRule="atLeast"/>
        </w:trPr>
        <w:tc>
          <w:tcPr>
            <w:tcW w:w="900" w:type="dxa"/>
            <w:vMerge w:val="restart"/>
          </w:tcPr>
          <w:p>
            <w:pPr>
              <w:pStyle w:val="TableParagraph"/>
              <w:spacing w:before="152"/>
              <w:ind w:left="131"/>
              <w:jc w:val="left"/>
              <w:rPr>
                <w:b/>
                <w:sz w:val="21"/>
              </w:rPr>
            </w:pPr>
            <w:r>
              <w:rPr>
                <w:b/>
                <w:sz w:val="21"/>
              </w:rPr>
              <w:t>污染物</w:t>
            </w:r>
          </w:p>
        </w:tc>
        <w:tc>
          <w:tcPr>
            <w:tcW w:w="847" w:type="dxa"/>
            <w:vMerge w:val="restart"/>
          </w:tcPr>
          <w:p>
            <w:pPr>
              <w:pStyle w:val="TableParagraph"/>
              <w:spacing w:before="152"/>
              <w:ind w:left="105"/>
              <w:jc w:val="left"/>
              <w:rPr>
                <w:b/>
                <w:sz w:val="21"/>
              </w:rPr>
            </w:pPr>
            <w:r>
              <w:rPr>
                <w:b/>
                <w:sz w:val="21"/>
              </w:rPr>
              <w:t>监测点</w:t>
            </w:r>
          </w:p>
        </w:tc>
        <w:tc>
          <w:tcPr>
            <w:tcW w:w="703" w:type="dxa"/>
            <w:vMerge w:val="restart"/>
          </w:tcPr>
          <w:p>
            <w:pPr>
              <w:pStyle w:val="TableParagraph"/>
              <w:spacing w:line="270" w:lineRule="atLeast" w:before="14"/>
              <w:ind w:left="139" w:right="134"/>
              <w:jc w:val="left"/>
              <w:rPr>
                <w:b/>
                <w:sz w:val="21"/>
              </w:rPr>
            </w:pPr>
            <w:r>
              <w:rPr>
                <w:b/>
                <w:sz w:val="21"/>
              </w:rPr>
              <w:t>数据个数</w:t>
            </w:r>
          </w:p>
        </w:tc>
        <w:tc>
          <w:tcPr>
            <w:tcW w:w="2295" w:type="dxa"/>
            <w:gridSpan w:val="2"/>
          </w:tcPr>
          <w:p>
            <w:pPr>
              <w:pStyle w:val="TableParagraph"/>
              <w:spacing w:line="258" w:lineRule="exact" w:before="6"/>
              <w:ind w:left="154"/>
              <w:jc w:val="left"/>
              <w:rPr>
                <w:rFonts w:ascii="Times New Roman" w:eastAsia="Times New Roman"/>
                <w:b/>
                <w:sz w:val="21"/>
              </w:rPr>
            </w:pPr>
            <w:r>
              <w:rPr>
                <w:b/>
                <w:sz w:val="21"/>
              </w:rPr>
              <w:t>监测浓度范围</w:t>
            </w:r>
            <w:r>
              <w:rPr>
                <w:rFonts w:ascii="Times New Roman" w:eastAsia="Times New Roman"/>
                <w:b/>
                <w:sz w:val="21"/>
              </w:rPr>
              <w:t>(mg/m</w:t>
            </w:r>
            <w:r>
              <w:rPr>
                <w:rFonts w:ascii="Times New Roman" w:eastAsia="Times New Roman"/>
                <w:b/>
                <w:position w:val="7"/>
                <w:sz w:val="14"/>
              </w:rPr>
              <w:t>3</w:t>
            </w:r>
            <w:r>
              <w:rPr>
                <w:rFonts w:ascii="Times New Roman" w:eastAsia="Times New Roman"/>
                <w:b/>
                <w:sz w:val="21"/>
              </w:rPr>
              <w:t>)</w:t>
            </w:r>
          </w:p>
        </w:tc>
        <w:tc>
          <w:tcPr>
            <w:tcW w:w="1838" w:type="dxa"/>
            <w:gridSpan w:val="2"/>
          </w:tcPr>
          <w:p>
            <w:pPr>
              <w:pStyle w:val="TableParagraph"/>
              <w:spacing w:line="258" w:lineRule="exact" w:before="6"/>
              <w:ind w:left="240"/>
              <w:jc w:val="left"/>
              <w:rPr>
                <w:rFonts w:ascii="Times New Roman" w:eastAsia="Times New Roman"/>
                <w:b/>
                <w:sz w:val="21"/>
              </w:rPr>
            </w:pPr>
            <w:r>
              <w:rPr>
                <w:b/>
                <w:sz w:val="21"/>
              </w:rPr>
              <w:t>标准值</w:t>
            </w:r>
            <w:r>
              <w:rPr>
                <w:rFonts w:ascii="Times New Roman" w:eastAsia="Times New Roman"/>
                <w:b/>
                <w:sz w:val="21"/>
              </w:rPr>
              <w:t>(mg/m</w:t>
            </w:r>
            <w:r>
              <w:rPr>
                <w:rFonts w:ascii="Times New Roman" w:eastAsia="Times New Roman"/>
                <w:b/>
                <w:position w:val="7"/>
                <w:sz w:val="14"/>
              </w:rPr>
              <w:t>3</w:t>
            </w:r>
            <w:r>
              <w:rPr>
                <w:rFonts w:ascii="Times New Roman" w:eastAsia="Times New Roman"/>
                <w:b/>
                <w:sz w:val="21"/>
              </w:rPr>
              <w:t>)</w:t>
            </w:r>
          </w:p>
        </w:tc>
        <w:tc>
          <w:tcPr>
            <w:tcW w:w="1735" w:type="dxa"/>
            <w:gridSpan w:val="2"/>
          </w:tcPr>
          <w:p>
            <w:pPr>
              <w:pStyle w:val="TableParagraph"/>
              <w:spacing w:line="258" w:lineRule="exact" w:before="6"/>
              <w:ind w:left="341"/>
              <w:jc w:val="left"/>
              <w:rPr>
                <w:b/>
                <w:sz w:val="21"/>
              </w:rPr>
            </w:pPr>
            <w:r>
              <w:rPr>
                <w:b/>
                <w:sz w:val="21"/>
              </w:rPr>
              <w:t>最大比标值</w:t>
            </w:r>
          </w:p>
        </w:tc>
        <w:tc>
          <w:tcPr>
            <w:tcW w:w="854" w:type="dxa"/>
            <w:vMerge w:val="restart"/>
          </w:tcPr>
          <w:p>
            <w:pPr>
              <w:pStyle w:val="TableParagraph"/>
              <w:spacing w:before="15"/>
              <w:ind w:left="109"/>
              <w:jc w:val="left"/>
              <w:rPr>
                <w:b/>
                <w:sz w:val="21"/>
              </w:rPr>
            </w:pPr>
            <w:r>
              <w:rPr>
                <w:b/>
                <w:sz w:val="21"/>
              </w:rPr>
              <w:t>超标率</w:t>
            </w:r>
          </w:p>
          <w:p>
            <w:pPr>
              <w:pStyle w:val="TableParagraph"/>
              <w:spacing w:line="267" w:lineRule="exact" w:before="3"/>
              <w:ind w:left="112"/>
              <w:jc w:val="left"/>
              <w:rPr>
                <w:b/>
                <w:sz w:val="21"/>
              </w:rPr>
            </w:pPr>
            <w:r>
              <w:rPr>
                <w:b/>
                <w:sz w:val="21"/>
              </w:rPr>
              <w:t>（</w:t>
            </w:r>
            <w:r>
              <w:rPr>
                <w:rFonts w:ascii="Times New Roman" w:eastAsia="Times New Roman"/>
                <w:b/>
                <w:sz w:val="21"/>
              </w:rPr>
              <w:t>%</w:t>
            </w:r>
            <w:r>
              <w:rPr>
                <w:b/>
                <w:sz w:val="21"/>
              </w:rPr>
              <w:t>）</w:t>
            </w:r>
          </w:p>
        </w:tc>
      </w:tr>
      <w:tr>
        <w:trPr>
          <w:trHeight w:val="285" w:hRule="atLeast"/>
        </w:trPr>
        <w:tc>
          <w:tcPr>
            <w:tcW w:w="900" w:type="dxa"/>
            <w:vMerge/>
            <w:tcBorders>
              <w:top w:val="nil"/>
            </w:tcBorders>
          </w:tcPr>
          <w:p>
            <w:pPr>
              <w:rPr>
                <w:sz w:val="2"/>
                <w:szCs w:val="2"/>
              </w:rPr>
            </w:pPr>
          </w:p>
        </w:tc>
        <w:tc>
          <w:tcPr>
            <w:tcW w:w="847" w:type="dxa"/>
            <w:vMerge/>
            <w:tcBorders>
              <w:top w:val="nil"/>
            </w:tcBorders>
          </w:tcPr>
          <w:p>
            <w:pPr>
              <w:rPr>
                <w:sz w:val="2"/>
                <w:szCs w:val="2"/>
              </w:rPr>
            </w:pPr>
          </w:p>
        </w:tc>
        <w:tc>
          <w:tcPr>
            <w:tcW w:w="703" w:type="dxa"/>
            <w:vMerge/>
            <w:tcBorders>
              <w:top w:val="nil"/>
            </w:tcBorders>
          </w:tcPr>
          <w:p>
            <w:pPr>
              <w:rPr>
                <w:sz w:val="2"/>
                <w:szCs w:val="2"/>
              </w:rPr>
            </w:pPr>
          </w:p>
        </w:tc>
        <w:tc>
          <w:tcPr>
            <w:tcW w:w="1136" w:type="dxa"/>
          </w:tcPr>
          <w:p>
            <w:pPr>
              <w:pStyle w:val="TableParagraph"/>
              <w:spacing w:line="257" w:lineRule="exact" w:before="8"/>
              <w:ind w:left="104" w:right="101"/>
              <w:rPr>
                <w:b/>
                <w:sz w:val="21"/>
              </w:rPr>
            </w:pPr>
            <w:r>
              <w:rPr>
                <w:b/>
                <w:sz w:val="21"/>
              </w:rPr>
              <w:t>小时值</w:t>
            </w:r>
          </w:p>
        </w:tc>
        <w:tc>
          <w:tcPr>
            <w:tcW w:w="1159" w:type="dxa"/>
          </w:tcPr>
          <w:p>
            <w:pPr>
              <w:pStyle w:val="TableParagraph"/>
              <w:spacing w:line="257" w:lineRule="exact" w:before="8"/>
              <w:ind w:left="26" w:right="24"/>
              <w:rPr>
                <w:b/>
                <w:sz w:val="21"/>
              </w:rPr>
            </w:pPr>
            <w:r>
              <w:rPr>
                <w:b/>
                <w:sz w:val="21"/>
              </w:rPr>
              <w:t>日均值</w:t>
            </w:r>
          </w:p>
        </w:tc>
        <w:tc>
          <w:tcPr>
            <w:tcW w:w="960" w:type="dxa"/>
          </w:tcPr>
          <w:p>
            <w:pPr>
              <w:pStyle w:val="TableParagraph"/>
              <w:spacing w:line="257" w:lineRule="exact" w:before="8"/>
              <w:ind w:left="161"/>
              <w:jc w:val="left"/>
              <w:rPr>
                <w:b/>
                <w:sz w:val="21"/>
              </w:rPr>
            </w:pPr>
            <w:r>
              <w:rPr>
                <w:b/>
                <w:sz w:val="21"/>
              </w:rPr>
              <w:t>小时值</w:t>
            </w:r>
          </w:p>
        </w:tc>
        <w:tc>
          <w:tcPr>
            <w:tcW w:w="878" w:type="dxa"/>
          </w:tcPr>
          <w:p>
            <w:pPr>
              <w:pStyle w:val="TableParagraph"/>
              <w:spacing w:line="257" w:lineRule="exact" w:before="8"/>
              <w:ind w:left="123"/>
              <w:jc w:val="left"/>
              <w:rPr>
                <w:b/>
                <w:sz w:val="21"/>
              </w:rPr>
            </w:pPr>
            <w:r>
              <w:rPr>
                <w:b/>
                <w:sz w:val="21"/>
              </w:rPr>
              <w:t>日均值</w:t>
            </w:r>
          </w:p>
        </w:tc>
        <w:tc>
          <w:tcPr>
            <w:tcW w:w="878" w:type="dxa"/>
          </w:tcPr>
          <w:p>
            <w:pPr>
              <w:pStyle w:val="TableParagraph"/>
              <w:spacing w:line="257" w:lineRule="exact" w:before="8"/>
              <w:ind w:left="76" w:right="69"/>
              <w:rPr>
                <w:b/>
                <w:sz w:val="21"/>
              </w:rPr>
            </w:pPr>
            <w:r>
              <w:rPr>
                <w:b/>
                <w:sz w:val="21"/>
              </w:rPr>
              <w:t>小时值</w:t>
            </w:r>
          </w:p>
        </w:tc>
        <w:tc>
          <w:tcPr>
            <w:tcW w:w="857" w:type="dxa"/>
          </w:tcPr>
          <w:p>
            <w:pPr>
              <w:pStyle w:val="TableParagraph"/>
              <w:spacing w:line="257" w:lineRule="exact" w:before="8"/>
              <w:ind w:left="92" w:right="87"/>
              <w:rPr>
                <w:b/>
                <w:sz w:val="21"/>
              </w:rPr>
            </w:pPr>
            <w:r>
              <w:rPr>
                <w:b/>
                <w:sz w:val="21"/>
              </w:rPr>
              <w:t>日均值</w:t>
            </w:r>
          </w:p>
        </w:tc>
        <w:tc>
          <w:tcPr>
            <w:tcW w:w="854" w:type="dxa"/>
            <w:vMerge/>
            <w:tcBorders>
              <w:top w:val="nil"/>
            </w:tcBorders>
          </w:tcPr>
          <w:p>
            <w:pPr>
              <w:rPr>
                <w:sz w:val="2"/>
                <w:szCs w:val="2"/>
              </w:rPr>
            </w:pPr>
          </w:p>
        </w:tc>
      </w:tr>
      <w:tr>
        <w:trPr>
          <w:trHeight w:val="283" w:hRule="atLeast"/>
        </w:trPr>
        <w:tc>
          <w:tcPr>
            <w:tcW w:w="900" w:type="dxa"/>
            <w:vMerge/>
            <w:tcBorders>
              <w:top w:val="nil"/>
            </w:tcBorders>
          </w:tcPr>
          <w:p>
            <w:pPr>
              <w:rPr>
                <w:sz w:val="2"/>
                <w:szCs w:val="2"/>
              </w:rPr>
            </w:pPr>
          </w:p>
        </w:tc>
        <w:tc>
          <w:tcPr>
            <w:tcW w:w="847" w:type="dxa"/>
          </w:tcPr>
          <w:p>
            <w:pPr>
              <w:pStyle w:val="TableParagraph"/>
              <w:spacing w:before="20"/>
              <w:ind w:left="31" w:right="29"/>
              <w:rPr>
                <w:rFonts w:ascii="Times New Roman"/>
                <w:sz w:val="21"/>
              </w:rPr>
            </w:pPr>
            <w:r>
              <w:rPr>
                <w:rFonts w:ascii="Times New Roman"/>
                <w:sz w:val="21"/>
              </w:rPr>
              <w:t>2#</w:t>
            </w:r>
          </w:p>
        </w:tc>
        <w:tc>
          <w:tcPr>
            <w:tcW w:w="703" w:type="dxa"/>
          </w:tcPr>
          <w:p>
            <w:pPr>
              <w:pStyle w:val="TableParagraph"/>
              <w:spacing w:before="20"/>
              <w:ind w:left="2"/>
              <w:rPr>
                <w:rFonts w:ascii="Times New Roman"/>
                <w:sz w:val="21"/>
              </w:rPr>
            </w:pPr>
            <w:r>
              <w:rPr>
                <w:rFonts w:ascii="Times New Roman"/>
                <w:w w:val="100"/>
                <w:sz w:val="21"/>
              </w:rPr>
              <w:t>7</w:t>
            </w:r>
          </w:p>
        </w:tc>
        <w:tc>
          <w:tcPr>
            <w:tcW w:w="1136" w:type="dxa"/>
          </w:tcPr>
          <w:p>
            <w:pPr>
              <w:pStyle w:val="TableParagraph"/>
              <w:spacing w:before="20"/>
              <w:ind w:left="4"/>
              <w:rPr>
                <w:rFonts w:ascii="Times New Roman"/>
                <w:sz w:val="21"/>
              </w:rPr>
            </w:pPr>
            <w:r>
              <w:rPr>
                <w:rFonts w:ascii="Times New Roman"/>
                <w:w w:val="100"/>
                <w:sz w:val="21"/>
              </w:rPr>
              <w:t>/</w:t>
            </w:r>
          </w:p>
        </w:tc>
        <w:tc>
          <w:tcPr>
            <w:tcW w:w="1159" w:type="dxa"/>
          </w:tcPr>
          <w:p>
            <w:pPr>
              <w:pStyle w:val="TableParagraph"/>
              <w:spacing w:before="20"/>
              <w:ind w:left="31" w:right="24"/>
              <w:rPr>
                <w:rFonts w:ascii="Times New Roman"/>
                <w:sz w:val="21"/>
              </w:rPr>
            </w:pPr>
            <w:r>
              <w:rPr>
                <w:rFonts w:ascii="Times New Roman"/>
                <w:sz w:val="21"/>
              </w:rPr>
              <w:t>0.144~0.163</w:t>
            </w:r>
          </w:p>
        </w:tc>
        <w:tc>
          <w:tcPr>
            <w:tcW w:w="960" w:type="dxa"/>
          </w:tcPr>
          <w:p>
            <w:pPr>
              <w:pStyle w:val="TableParagraph"/>
              <w:jc w:val="left"/>
              <w:rPr>
                <w:rFonts w:ascii="Times New Roman"/>
                <w:sz w:val="20"/>
              </w:rPr>
            </w:pPr>
          </w:p>
        </w:tc>
        <w:tc>
          <w:tcPr>
            <w:tcW w:w="878" w:type="dxa"/>
          </w:tcPr>
          <w:p>
            <w:pPr>
              <w:pStyle w:val="TableParagraph"/>
              <w:jc w:val="left"/>
              <w:rPr>
                <w:rFonts w:ascii="Times New Roman"/>
                <w:sz w:val="20"/>
              </w:rPr>
            </w:pPr>
          </w:p>
        </w:tc>
        <w:tc>
          <w:tcPr>
            <w:tcW w:w="878" w:type="dxa"/>
          </w:tcPr>
          <w:p>
            <w:pPr>
              <w:pStyle w:val="TableParagraph"/>
              <w:spacing w:before="20"/>
              <w:ind w:left="8"/>
              <w:rPr>
                <w:rFonts w:ascii="Times New Roman"/>
                <w:sz w:val="21"/>
              </w:rPr>
            </w:pPr>
            <w:r>
              <w:rPr>
                <w:rFonts w:ascii="Times New Roman"/>
                <w:w w:val="100"/>
                <w:sz w:val="21"/>
              </w:rPr>
              <w:t>/</w:t>
            </w:r>
          </w:p>
        </w:tc>
        <w:tc>
          <w:tcPr>
            <w:tcW w:w="857" w:type="dxa"/>
          </w:tcPr>
          <w:p>
            <w:pPr>
              <w:pStyle w:val="TableParagraph"/>
              <w:spacing w:before="20"/>
              <w:ind w:left="92" w:right="82"/>
              <w:rPr>
                <w:rFonts w:ascii="Times New Roman"/>
                <w:sz w:val="21"/>
              </w:rPr>
            </w:pPr>
            <w:r>
              <w:rPr>
                <w:rFonts w:ascii="Times New Roman"/>
                <w:sz w:val="21"/>
              </w:rPr>
              <w:t>0.543</w:t>
            </w:r>
          </w:p>
        </w:tc>
        <w:tc>
          <w:tcPr>
            <w:tcW w:w="854" w:type="dxa"/>
          </w:tcPr>
          <w:p>
            <w:pPr>
              <w:pStyle w:val="TableParagraph"/>
              <w:spacing w:before="20"/>
              <w:ind w:left="4"/>
              <w:rPr>
                <w:rFonts w:ascii="Times New Roman"/>
                <w:sz w:val="21"/>
              </w:rPr>
            </w:pPr>
            <w:r>
              <w:rPr>
                <w:rFonts w:ascii="Times New Roman"/>
                <w:w w:val="100"/>
                <w:sz w:val="21"/>
              </w:rPr>
              <w:t>0</w:t>
            </w:r>
          </w:p>
        </w:tc>
      </w:tr>
    </w:tbl>
    <w:p>
      <w:pPr>
        <w:pStyle w:val="ListParagraph"/>
        <w:numPr>
          <w:ilvl w:val="1"/>
          <w:numId w:val="20"/>
        </w:numPr>
        <w:tabs>
          <w:tab w:pos="1020" w:val="left" w:leader="none"/>
        </w:tabs>
        <w:spacing w:line="240" w:lineRule="auto" w:before="2" w:after="0"/>
        <w:ind w:left="1019" w:right="0" w:hanging="282"/>
        <w:jc w:val="left"/>
        <w:rPr>
          <w:sz w:val="24"/>
        </w:rPr>
      </w:pPr>
      <w:r>
        <w:rPr>
          <w:sz w:val="24"/>
        </w:rPr>
        <w:t>评价结果</w:t>
      </w:r>
    </w:p>
    <w:p>
      <w:pPr>
        <w:pStyle w:val="BodyText"/>
        <w:spacing w:line="362" w:lineRule="auto" w:before="161"/>
        <w:ind w:left="258" w:right="272" w:firstLine="480"/>
      </w:pPr>
      <w:r>
        <w:rPr/>
        <w:t>从上述监测统计结果可以看出，项目所在区域特征污染因子环境空气质量均能满足相应标准要求，评价区内的环境空气质量状况良好。</w:t>
      </w:r>
    </w:p>
    <w:p>
      <w:pPr>
        <w:pStyle w:val="Heading4"/>
        <w:numPr>
          <w:ilvl w:val="2"/>
          <w:numId w:val="23"/>
        </w:numPr>
        <w:tabs>
          <w:tab w:pos="1039" w:val="left" w:leader="none"/>
        </w:tabs>
        <w:spacing w:line="240" w:lineRule="auto" w:before="5" w:after="0"/>
        <w:ind w:left="1038" w:right="0" w:hanging="541"/>
        <w:jc w:val="left"/>
      </w:pPr>
      <w:r>
        <w:rPr/>
        <w:t>水环境质量现状监测与评价</w:t>
      </w:r>
    </w:p>
    <w:p>
      <w:pPr>
        <w:pStyle w:val="BodyText"/>
        <w:spacing w:before="158"/>
        <w:ind w:left="738"/>
      </w:pPr>
      <w:r>
        <w:rPr/>
        <w:t>为了解本项目附近地表水环境质量现状，本次环评引用绍兴市上虞区环境监测年鉴</w:t>
      </w:r>
    </w:p>
    <w:p>
      <w:pPr>
        <w:pStyle w:val="BodyText"/>
        <w:spacing w:before="160"/>
        <w:ind w:left="258"/>
      </w:pPr>
      <w:r>
        <w:rPr/>
        <w:t>（</w:t>
      </w:r>
      <w:r>
        <w:rPr>
          <w:rFonts w:ascii="Times New Roman" w:eastAsia="Times New Roman"/>
        </w:rPr>
        <w:t>2020 </w:t>
      </w:r>
      <w:r>
        <w:rPr/>
        <w:t>年度）中相关数据，具体监测内容如下。</w:t>
      </w:r>
    </w:p>
    <w:p>
      <w:pPr>
        <w:pStyle w:val="Heading4"/>
        <w:spacing w:before="159"/>
        <w:ind w:left="741"/>
      </w:pPr>
      <w:r>
        <w:rPr>
          <w:rFonts w:ascii="Times New Roman" w:eastAsia="Times New Roman"/>
        </w:rPr>
        <w:t>1</w:t>
      </w:r>
      <w:r>
        <w:rPr/>
        <w:t>、地表水环境质量现状评价</w:t>
      </w:r>
    </w:p>
    <w:p>
      <w:pPr>
        <w:spacing w:before="160"/>
        <w:ind w:left="741" w:right="0" w:firstLine="0"/>
        <w:jc w:val="left"/>
        <w:rPr>
          <w:b/>
          <w:sz w:val="24"/>
        </w:rPr>
      </w:pPr>
      <w:r>
        <w:rPr>
          <w:b/>
          <w:sz w:val="24"/>
        </w:rPr>
        <w:t>⑴监测项目</w:t>
      </w:r>
    </w:p>
    <w:p>
      <w:pPr>
        <w:pStyle w:val="BodyText"/>
        <w:spacing w:line="364" w:lineRule="auto" w:before="158"/>
        <w:ind w:left="258" w:right="348" w:firstLine="480"/>
      </w:pPr>
      <w:r>
        <w:rPr>
          <w:position w:val="2"/>
        </w:rPr>
        <w:t>水温、</w:t>
      </w:r>
      <w:r>
        <w:rPr>
          <w:rFonts w:ascii="Times New Roman" w:eastAsia="Times New Roman"/>
          <w:position w:val="2"/>
        </w:rPr>
        <w:t>pH</w:t>
      </w:r>
      <w:r>
        <w:rPr>
          <w:position w:val="2"/>
        </w:rPr>
        <w:t>、</w:t>
      </w:r>
      <w:r>
        <w:rPr>
          <w:rFonts w:ascii="Times New Roman" w:eastAsia="Times New Roman"/>
          <w:position w:val="2"/>
        </w:rPr>
        <w:t>DO</w:t>
      </w:r>
      <w:r>
        <w:rPr>
          <w:position w:val="2"/>
        </w:rPr>
        <w:t>、高锰酸盐指数、</w:t>
      </w:r>
      <w:r>
        <w:rPr>
          <w:rFonts w:ascii="Times New Roman" w:eastAsia="Times New Roman"/>
          <w:position w:val="2"/>
        </w:rPr>
        <w:t>BOD</w:t>
      </w:r>
      <w:r>
        <w:rPr>
          <w:rFonts w:ascii="Times New Roman" w:eastAsia="Times New Roman"/>
          <w:sz w:val="16"/>
        </w:rPr>
        <w:t>5</w:t>
      </w:r>
      <w:r>
        <w:rPr>
          <w:position w:val="2"/>
        </w:rPr>
        <w:t>、</w:t>
      </w:r>
      <w:r>
        <w:rPr>
          <w:rFonts w:ascii="Times New Roman" w:eastAsia="Times New Roman"/>
          <w:position w:val="2"/>
        </w:rPr>
        <w:t>COD</w:t>
      </w:r>
      <w:r>
        <w:rPr>
          <w:rFonts w:ascii="Times New Roman" w:eastAsia="Times New Roman"/>
          <w:sz w:val="16"/>
        </w:rPr>
        <w:t>cr</w:t>
      </w:r>
      <w:r>
        <w:rPr>
          <w:position w:val="2"/>
        </w:rPr>
        <w:t>、氨氮、石油类、总磷、挥发酚、</w:t>
      </w:r>
      <w:r>
        <w:rPr/>
        <w:t>汞、铅、铜、锌、氟化物、砷、镉、六价铬、氰化物、</w:t>
      </w:r>
      <w:r>
        <w:rPr>
          <w:rFonts w:ascii="Times New Roman" w:eastAsia="Times New Roman"/>
        </w:rPr>
        <w:t>LAS</w:t>
      </w:r>
      <w:r>
        <w:rPr/>
        <w:t>、硫化物、硒。</w:t>
      </w:r>
    </w:p>
    <w:p>
      <w:pPr>
        <w:pStyle w:val="Heading4"/>
        <w:spacing w:line="307" w:lineRule="exact"/>
        <w:ind w:left="741"/>
      </w:pPr>
      <w:r>
        <w:rPr/>
        <w:t>⑵监测分析方法</w:t>
      </w:r>
    </w:p>
    <w:p>
      <w:pPr>
        <w:pStyle w:val="BodyText"/>
        <w:spacing w:line="364" w:lineRule="auto" w:before="160"/>
        <w:ind w:left="258" w:right="132" w:firstLine="480"/>
      </w:pPr>
      <w:r>
        <w:rPr/>
        <w:t>按国家有关标准和环保部颁布的《水和废水监测分析方法》</w:t>
      </w:r>
      <w:r>
        <w:rPr>
          <w:rFonts w:ascii="Times New Roman" w:eastAsia="Times New Roman"/>
        </w:rPr>
        <w:t>(</w:t>
      </w:r>
      <w:r>
        <w:rPr/>
        <w:t>第四版</w:t>
      </w:r>
      <w:r>
        <w:rPr>
          <w:rFonts w:ascii="Times New Roman" w:eastAsia="Times New Roman"/>
        </w:rPr>
        <w:t>)</w:t>
      </w:r>
      <w:r>
        <w:rPr/>
        <w:t>有关规定执行。质量保证措施按《浙江省环境监测质量保证技术规定》执行。</w:t>
      </w:r>
    </w:p>
    <w:p>
      <w:pPr>
        <w:pStyle w:val="Heading4"/>
        <w:spacing w:line="306" w:lineRule="exact"/>
        <w:ind w:left="741"/>
      </w:pPr>
      <w:r>
        <w:rPr/>
        <w:t>⑶监测时间、频率及断面</w:t>
      </w:r>
    </w:p>
    <w:p>
      <w:pPr>
        <w:pStyle w:val="BodyText"/>
        <w:spacing w:line="362" w:lineRule="auto" w:before="161"/>
        <w:ind w:left="258" w:right="348" w:firstLine="480"/>
      </w:pPr>
      <w:r>
        <w:rPr>
          <w:spacing w:val="-11"/>
        </w:rPr>
        <w:t>监测时间为 </w:t>
      </w:r>
      <w:r>
        <w:rPr>
          <w:rFonts w:ascii="Times New Roman" w:eastAsia="Times New Roman"/>
        </w:rPr>
        <w:t>2020 </w:t>
      </w:r>
      <w:r>
        <w:rPr>
          <w:spacing w:val="-30"/>
        </w:rPr>
        <w:t>年 </w:t>
      </w:r>
      <w:r>
        <w:rPr>
          <w:rFonts w:ascii="Times New Roman" w:eastAsia="Times New Roman"/>
        </w:rPr>
        <w:t>1 </w:t>
      </w:r>
      <w:r>
        <w:rPr/>
        <w:t>月</w:t>
      </w:r>
      <w:r>
        <w:rPr>
          <w:rFonts w:ascii="Times New Roman" w:eastAsia="Times New Roman"/>
        </w:rPr>
        <w:t>~5 </w:t>
      </w:r>
      <w:r>
        <w:rPr>
          <w:spacing w:val="-3"/>
        </w:rPr>
        <w:t>月，每月监测一次。监测点位为东进河一号桥 </w:t>
      </w:r>
      <w:r>
        <w:rPr>
          <w:rFonts w:ascii="Times New Roman" w:eastAsia="Times New Roman"/>
        </w:rPr>
        <w:t>W1 </w:t>
      </w:r>
      <w:r>
        <w:rPr>
          <w:spacing w:val="-7"/>
        </w:rPr>
        <w:t>监测</w:t>
      </w:r>
      <w:r>
        <w:rPr/>
        <w:t>断面，具体见</w:t>
      </w:r>
      <w:r>
        <w:rPr>
          <w:b/>
          <w:spacing w:val="-20"/>
          <w:u w:val="single"/>
        </w:rPr>
        <w:t>附图 </w:t>
      </w:r>
      <w:r>
        <w:rPr>
          <w:rFonts w:ascii="Times New Roman" w:eastAsia="Times New Roman"/>
          <w:b/>
          <w:u w:val="single"/>
        </w:rPr>
        <w:t>8</w:t>
      </w:r>
      <w:r>
        <w:rPr/>
        <w:t>。</w:t>
      </w:r>
    </w:p>
    <w:p>
      <w:pPr>
        <w:pStyle w:val="Heading4"/>
        <w:spacing w:before="5"/>
        <w:ind w:left="741"/>
      </w:pPr>
      <w:r>
        <w:rPr/>
        <w:t>⑷监测结果及评价</w:t>
      </w:r>
    </w:p>
    <w:p>
      <w:pPr>
        <w:spacing w:after="0"/>
        <w:sectPr>
          <w:pgSz w:w="11910" w:h="16850"/>
          <w:pgMar w:header="1004" w:footer="1088" w:top="1240" w:bottom="1280" w:left="1160" w:right="1080"/>
        </w:sectPr>
      </w:pPr>
    </w:p>
    <w:p>
      <w:pPr>
        <w:spacing w:before="57" w:after="21"/>
        <w:ind w:left="0" w:right="13" w:firstLine="0"/>
        <w:jc w:val="center"/>
        <w:rPr>
          <w:sz w:val="18"/>
        </w:rPr>
      </w:pPr>
      <w:r>
        <w:rPr>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p>
      <w:pPr>
        <w:pStyle w:val="BodyText"/>
        <w:spacing w:line="20" w:lineRule="exact"/>
        <w:ind w:left="181"/>
        <w:rPr>
          <w:sz w:val="2"/>
        </w:rPr>
      </w:pPr>
      <w:r>
        <w:rPr>
          <w:sz w:val="2"/>
        </w:rPr>
        <w:pict>
          <v:group style="width:703.2pt;height:.75pt;mso-position-horizontal-relative:char;mso-position-vertical-relative:line" coordorigin="0,0" coordsize="14064,15">
            <v:line style="position:absolute" from="0,7" to="14064,7" stroked="true" strokeweight=".72pt" strokecolor="#000000">
              <v:stroke dashstyle="solid"/>
            </v:line>
          </v:group>
        </w:pict>
      </w:r>
      <w:r>
        <w:rPr>
          <w:sz w:val="2"/>
        </w:rPr>
      </w:r>
    </w:p>
    <w:p>
      <w:pPr>
        <w:pStyle w:val="BodyText"/>
        <w:spacing w:before="3"/>
        <w:rPr>
          <w:sz w:val="20"/>
        </w:rPr>
      </w:pPr>
    </w:p>
    <w:p>
      <w:pPr>
        <w:tabs>
          <w:tab w:pos="1279" w:val="left" w:leader="none"/>
          <w:tab w:pos="3547" w:val="left" w:leader="none"/>
        </w:tabs>
        <w:spacing w:before="78" w:after="37"/>
        <w:ind w:left="0" w:right="19" w:firstLine="0"/>
        <w:jc w:val="center"/>
        <w:rPr>
          <w:b/>
          <w:sz w:val="21"/>
        </w:rPr>
      </w:pPr>
      <w:r>
        <w:rPr>
          <w:b/>
          <w:sz w:val="21"/>
        </w:rPr>
        <w:t>表</w:t>
      </w:r>
      <w:r>
        <w:rPr>
          <w:b/>
          <w:spacing w:val="-52"/>
          <w:sz w:val="21"/>
        </w:rPr>
        <w:t> </w:t>
      </w:r>
      <w:r>
        <w:rPr>
          <w:rFonts w:ascii="Times New Roman" w:eastAsia="Times New Roman"/>
          <w:b/>
          <w:sz w:val="21"/>
        </w:rPr>
        <w:t>6.2.2-1</w:t>
        <w:tab/>
      </w:r>
      <w:r>
        <w:rPr>
          <w:b/>
          <w:sz w:val="21"/>
        </w:rPr>
        <w:t>地表水水质监测结果</w:t>
      </w:r>
      <w:r>
        <w:rPr>
          <w:b/>
          <w:spacing w:val="-52"/>
          <w:sz w:val="21"/>
        </w:rPr>
        <w:t> </w:t>
      </w:r>
      <w:r>
        <w:rPr>
          <w:rFonts w:ascii="Times New Roman" w:eastAsia="Times New Roman"/>
          <w:b/>
          <w:sz w:val="21"/>
        </w:rPr>
        <w:t>1</w:t>
        <w:tab/>
      </w:r>
      <w:r>
        <w:rPr>
          <w:b/>
          <w:sz w:val="21"/>
        </w:rPr>
        <w:t>（单位：</w:t>
      </w:r>
      <w:r>
        <w:rPr>
          <w:rFonts w:ascii="Times New Roman" w:eastAsia="Times New Roman"/>
          <w:b/>
          <w:sz w:val="21"/>
        </w:rPr>
        <w:t>mg/L</w:t>
      </w:r>
      <w:r>
        <w:rPr>
          <w:b/>
          <w:sz w:val="21"/>
        </w:rPr>
        <w:t>）</w:t>
      </w: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1"/>
        <w:gridCol w:w="773"/>
        <w:gridCol w:w="1455"/>
        <w:gridCol w:w="802"/>
        <w:gridCol w:w="848"/>
        <w:gridCol w:w="958"/>
        <w:gridCol w:w="1042"/>
        <w:gridCol w:w="1095"/>
        <w:gridCol w:w="994"/>
        <w:gridCol w:w="1121"/>
        <w:gridCol w:w="1121"/>
        <w:gridCol w:w="1122"/>
        <w:gridCol w:w="1121"/>
        <w:gridCol w:w="1121"/>
      </w:tblGrid>
      <w:tr>
        <w:trPr>
          <w:trHeight w:val="544" w:hRule="atLeast"/>
        </w:trPr>
        <w:tc>
          <w:tcPr>
            <w:tcW w:w="651" w:type="dxa"/>
          </w:tcPr>
          <w:p>
            <w:pPr>
              <w:pStyle w:val="TableParagraph"/>
              <w:spacing w:before="1"/>
              <w:ind w:left="112"/>
              <w:jc w:val="left"/>
              <w:rPr>
                <w:b/>
                <w:sz w:val="21"/>
              </w:rPr>
            </w:pPr>
            <w:r>
              <w:rPr>
                <w:b/>
                <w:sz w:val="21"/>
              </w:rPr>
              <w:t>点位</w:t>
            </w:r>
          </w:p>
          <w:p>
            <w:pPr>
              <w:pStyle w:val="TableParagraph"/>
              <w:spacing w:line="252" w:lineRule="exact" w:before="2"/>
              <w:ind w:left="112"/>
              <w:jc w:val="left"/>
              <w:rPr>
                <w:b/>
                <w:sz w:val="21"/>
              </w:rPr>
            </w:pPr>
            <w:r>
              <w:rPr>
                <w:b/>
                <w:sz w:val="21"/>
              </w:rPr>
              <w:t>名称</w:t>
            </w:r>
          </w:p>
        </w:tc>
        <w:tc>
          <w:tcPr>
            <w:tcW w:w="773" w:type="dxa"/>
          </w:tcPr>
          <w:p>
            <w:pPr>
              <w:pStyle w:val="TableParagraph"/>
              <w:spacing w:before="1"/>
              <w:ind w:left="172"/>
              <w:jc w:val="left"/>
              <w:rPr>
                <w:b/>
                <w:sz w:val="21"/>
              </w:rPr>
            </w:pPr>
            <w:r>
              <w:rPr>
                <w:b/>
                <w:sz w:val="21"/>
              </w:rPr>
              <w:t>采样</w:t>
            </w:r>
          </w:p>
          <w:p>
            <w:pPr>
              <w:pStyle w:val="TableParagraph"/>
              <w:spacing w:line="252" w:lineRule="exact" w:before="2"/>
              <w:ind w:left="172"/>
              <w:jc w:val="left"/>
              <w:rPr>
                <w:b/>
                <w:sz w:val="21"/>
              </w:rPr>
            </w:pPr>
            <w:r>
              <w:rPr>
                <w:b/>
                <w:sz w:val="21"/>
              </w:rPr>
              <w:t>地点</w:t>
            </w:r>
          </w:p>
        </w:tc>
        <w:tc>
          <w:tcPr>
            <w:tcW w:w="1455" w:type="dxa"/>
          </w:tcPr>
          <w:p>
            <w:pPr>
              <w:pStyle w:val="TableParagraph"/>
              <w:spacing w:before="137"/>
              <w:ind w:left="335" w:right="332"/>
              <w:rPr>
                <w:b/>
                <w:sz w:val="21"/>
              </w:rPr>
            </w:pPr>
            <w:r>
              <w:rPr>
                <w:b/>
                <w:sz w:val="21"/>
              </w:rPr>
              <w:t>日期</w:t>
            </w:r>
          </w:p>
        </w:tc>
        <w:tc>
          <w:tcPr>
            <w:tcW w:w="802" w:type="dxa"/>
          </w:tcPr>
          <w:p>
            <w:pPr>
              <w:pStyle w:val="TableParagraph"/>
              <w:spacing w:before="15"/>
              <w:ind w:left="188"/>
              <w:jc w:val="left"/>
              <w:rPr>
                <w:b/>
                <w:sz w:val="21"/>
              </w:rPr>
            </w:pPr>
            <w:r>
              <w:rPr>
                <w:b/>
                <w:sz w:val="21"/>
              </w:rPr>
              <w:t>水温</w:t>
            </w:r>
          </w:p>
          <w:p>
            <w:pPr>
              <w:pStyle w:val="TableParagraph"/>
              <w:spacing w:line="236" w:lineRule="exact" w:before="4"/>
              <w:ind w:left="217"/>
              <w:jc w:val="left"/>
              <w:rPr>
                <w:rFonts w:ascii="Times New Roman" w:hAnsi="Times New Roman"/>
                <w:b/>
                <w:sz w:val="21"/>
              </w:rPr>
            </w:pPr>
            <w:r>
              <w:rPr>
                <w:rFonts w:ascii="Times New Roman" w:hAnsi="Times New Roman"/>
                <w:b/>
                <w:sz w:val="21"/>
              </w:rPr>
              <w:t>(℃)</w:t>
            </w:r>
          </w:p>
        </w:tc>
        <w:tc>
          <w:tcPr>
            <w:tcW w:w="848" w:type="dxa"/>
          </w:tcPr>
          <w:p>
            <w:pPr>
              <w:pStyle w:val="TableParagraph"/>
              <w:spacing w:before="151"/>
              <w:ind w:left="114" w:right="106"/>
              <w:rPr>
                <w:rFonts w:ascii="Times New Roman"/>
                <w:b/>
                <w:sz w:val="21"/>
              </w:rPr>
            </w:pPr>
            <w:r>
              <w:rPr>
                <w:rFonts w:ascii="Times New Roman"/>
                <w:b/>
                <w:sz w:val="21"/>
              </w:rPr>
              <w:t>pH</w:t>
            </w:r>
          </w:p>
        </w:tc>
        <w:tc>
          <w:tcPr>
            <w:tcW w:w="958" w:type="dxa"/>
          </w:tcPr>
          <w:p>
            <w:pPr>
              <w:pStyle w:val="TableParagraph"/>
              <w:spacing w:before="137"/>
              <w:ind w:left="111" w:right="108"/>
              <w:rPr>
                <w:b/>
                <w:sz w:val="21"/>
              </w:rPr>
            </w:pPr>
            <w:r>
              <w:rPr>
                <w:b/>
                <w:sz w:val="21"/>
              </w:rPr>
              <w:t>溶解氧</w:t>
            </w:r>
          </w:p>
        </w:tc>
        <w:tc>
          <w:tcPr>
            <w:tcW w:w="1042" w:type="dxa"/>
          </w:tcPr>
          <w:p>
            <w:pPr>
              <w:pStyle w:val="TableParagraph"/>
              <w:spacing w:before="1"/>
              <w:ind w:left="199"/>
              <w:jc w:val="left"/>
              <w:rPr>
                <w:b/>
                <w:sz w:val="21"/>
              </w:rPr>
            </w:pPr>
            <w:r>
              <w:rPr>
                <w:b/>
                <w:sz w:val="21"/>
              </w:rPr>
              <w:t>高锰酸</w:t>
            </w:r>
          </w:p>
          <w:p>
            <w:pPr>
              <w:pStyle w:val="TableParagraph"/>
              <w:spacing w:line="252" w:lineRule="exact" w:before="2"/>
              <w:ind w:left="199"/>
              <w:jc w:val="left"/>
              <w:rPr>
                <w:b/>
                <w:sz w:val="21"/>
              </w:rPr>
            </w:pPr>
            <w:r>
              <w:rPr>
                <w:b/>
                <w:sz w:val="21"/>
              </w:rPr>
              <w:t>盐指数</w:t>
            </w:r>
          </w:p>
        </w:tc>
        <w:tc>
          <w:tcPr>
            <w:tcW w:w="1095" w:type="dxa"/>
          </w:tcPr>
          <w:p>
            <w:pPr>
              <w:pStyle w:val="TableParagraph"/>
              <w:spacing w:before="1"/>
              <w:ind w:left="124"/>
              <w:jc w:val="left"/>
              <w:rPr>
                <w:b/>
                <w:sz w:val="21"/>
              </w:rPr>
            </w:pPr>
            <w:r>
              <w:rPr>
                <w:b/>
                <w:sz w:val="21"/>
              </w:rPr>
              <w:t>五日生化</w:t>
            </w:r>
          </w:p>
          <w:p>
            <w:pPr>
              <w:pStyle w:val="TableParagraph"/>
              <w:spacing w:line="252" w:lineRule="exact" w:before="2"/>
              <w:ind w:left="227"/>
              <w:jc w:val="left"/>
              <w:rPr>
                <w:b/>
                <w:sz w:val="21"/>
              </w:rPr>
            </w:pPr>
            <w:r>
              <w:rPr>
                <w:b/>
                <w:sz w:val="21"/>
              </w:rPr>
              <w:t>需氧量</w:t>
            </w:r>
          </w:p>
        </w:tc>
        <w:tc>
          <w:tcPr>
            <w:tcW w:w="994" w:type="dxa"/>
          </w:tcPr>
          <w:p>
            <w:pPr>
              <w:pStyle w:val="TableParagraph"/>
              <w:spacing w:before="137"/>
              <w:ind w:left="65" w:right="65"/>
              <w:rPr>
                <w:b/>
                <w:sz w:val="21"/>
              </w:rPr>
            </w:pPr>
            <w:r>
              <w:rPr>
                <w:b/>
                <w:sz w:val="21"/>
              </w:rPr>
              <w:t>氨氮</w:t>
            </w:r>
          </w:p>
        </w:tc>
        <w:tc>
          <w:tcPr>
            <w:tcW w:w="1121" w:type="dxa"/>
          </w:tcPr>
          <w:p>
            <w:pPr>
              <w:pStyle w:val="TableParagraph"/>
              <w:spacing w:before="137"/>
              <w:ind w:left="113" w:right="112"/>
              <w:rPr>
                <w:b/>
                <w:sz w:val="21"/>
              </w:rPr>
            </w:pPr>
            <w:r>
              <w:rPr>
                <w:b/>
                <w:sz w:val="21"/>
              </w:rPr>
              <w:t>石油类</w:t>
            </w:r>
          </w:p>
        </w:tc>
        <w:tc>
          <w:tcPr>
            <w:tcW w:w="1121" w:type="dxa"/>
          </w:tcPr>
          <w:p>
            <w:pPr>
              <w:pStyle w:val="TableParagraph"/>
              <w:spacing w:before="137"/>
              <w:ind w:left="112" w:right="112"/>
              <w:rPr>
                <w:b/>
                <w:sz w:val="21"/>
              </w:rPr>
            </w:pPr>
            <w:r>
              <w:rPr>
                <w:b/>
                <w:sz w:val="21"/>
              </w:rPr>
              <w:t>挥发酚</w:t>
            </w:r>
          </w:p>
        </w:tc>
        <w:tc>
          <w:tcPr>
            <w:tcW w:w="1122" w:type="dxa"/>
          </w:tcPr>
          <w:p>
            <w:pPr>
              <w:pStyle w:val="TableParagraph"/>
              <w:spacing w:before="137"/>
              <w:rPr>
                <w:b/>
                <w:sz w:val="21"/>
              </w:rPr>
            </w:pPr>
            <w:r>
              <w:rPr>
                <w:b/>
                <w:w w:val="100"/>
                <w:sz w:val="21"/>
              </w:rPr>
              <w:t>汞</w:t>
            </w:r>
          </w:p>
        </w:tc>
        <w:tc>
          <w:tcPr>
            <w:tcW w:w="1121" w:type="dxa"/>
          </w:tcPr>
          <w:p>
            <w:pPr>
              <w:pStyle w:val="TableParagraph"/>
              <w:spacing w:before="137"/>
              <w:rPr>
                <w:b/>
                <w:sz w:val="21"/>
              </w:rPr>
            </w:pPr>
            <w:r>
              <w:rPr>
                <w:b/>
                <w:w w:val="100"/>
                <w:sz w:val="21"/>
              </w:rPr>
              <w:t>铅</w:t>
            </w:r>
          </w:p>
        </w:tc>
        <w:tc>
          <w:tcPr>
            <w:tcW w:w="1121" w:type="dxa"/>
          </w:tcPr>
          <w:p>
            <w:pPr>
              <w:pStyle w:val="TableParagraph"/>
              <w:spacing w:before="1"/>
              <w:ind w:left="115" w:right="112"/>
              <w:rPr>
                <w:b/>
                <w:sz w:val="21"/>
              </w:rPr>
            </w:pPr>
            <w:r>
              <w:rPr>
                <w:b/>
                <w:sz w:val="21"/>
              </w:rPr>
              <w:t>化学需氧</w:t>
            </w:r>
          </w:p>
          <w:p>
            <w:pPr>
              <w:pStyle w:val="TableParagraph"/>
              <w:spacing w:line="252" w:lineRule="exact" w:before="2"/>
              <w:ind w:right="1"/>
              <w:rPr>
                <w:b/>
                <w:sz w:val="21"/>
              </w:rPr>
            </w:pPr>
            <w:r>
              <w:rPr>
                <w:b/>
                <w:w w:val="100"/>
                <w:sz w:val="21"/>
              </w:rPr>
              <w:t>量</w:t>
            </w:r>
          </w:p>
        </w:tc>
      </w:tr>
      <w:tr>
        <w:trPr>
          <w:trHeight w:val="280" w:hRule="atLeast"/>
        </w:trPr>
        <w:tc>
          <w:tcPr>
            <w:tcW w:w="651" w:type="dxa"/>
            <w:vMerge w:val="restart"/>
            <w:tcBorders>
              <w:bottom w:val="single" w:sz="6" w:space="0" w:color="000000"/>
            </w:tcBorders>
          </w:tcPr>
          <w:p>
            <w:pPr>
              <w:pStyle w:val="TableParagraph"/>
              <w:jc w:val="left"/>
              <w:rPr>
                <w:b/>
                <w:sz w:val="22"/>
              </w:rPr>
            </w:pPr>
          </w:p>
          <w:p>
            <w:pPr>
              <w:pStyle w:val="TableParagraph"/>
              <w:spacing w:before="7"/>
              <w:jc w:val="left"/>
              <w:rPr>
                <w:b/>
                <w:sz w:val="25"/>
              </w:rPr>
            </w:pPr>
          </w:p>
          <w:p>
            <w:pPr>
              <w:pStyle w:val="TableParagraph"/>
              <w:spacing w:before="1"/>
              <w:ind w:left="172"/>
              <w:jc w:val="left"/>
              <w:rPr>
                <w:rFonts w:ascii="Times New Roman"/>
                <w:sz w:val="21"/>
              </w:rPr>
            </w:pPr>
            <w:r>
              <w:rPr>
                <w:rFonts w:ascii="Times New Roman"/>
                <w:sz w:val="21"/>
              </w:rPr>
              <w:t>W1</w:t>
            </w:r>
          </w:p>
        </w:tc>
        <w:tc>
          <w:tcPr>
            <w:tcW w:w="773" w:type="dxa"/>
            <w:vMerge w:val="restart"/>
            <w:tcBorders>
              <w:bottom w:val="single" w:sz="6" w:space="0" w:color="000000"/>
            </w:tcBorders>
          </w:tcPr>
          <w:p>
            <w:pPr>
              <w:pStyle w:val="TableParagraph"/>
              <w:spacing w:before="2"/>
              <w:jc w:val="left"/>
              <w:rPr>
                <w:b/>
                <w:sz w:val="25"/>
              </w:rPr>
            </w:pPr>
          </w:p>
          <w:p>
            <w:pPr>
              <w:pStyle w:val="TableParagraph"/>
              <w:spacing w:line="242" w:lineRule="auto"/>
              <w:ind w:left="174" w:right="163"/>
              <w:jc w:val="both"/>
              <w:rPr>
                <w:sz w:val="21"/>
              </w:rPr>
            </w:pPr>
            <w:r>
              <w:rPr>
                <w:sz w:val="21"/>
              </w:rPr>
              <w:t>东进河一号桥</w:t>
            </w:r>
          </w:p>
        </w:tc>
        <w:tc>
          <w:tcPr>
            <w:tcW w:w="1455" w:type="dxa"/>
          </w:tcPr>
          <w:p>
            <w:pPr>
              <w:pStyle w:val="TableParagraph"/>
              <w:spacing w:line="238" w:lineRule="exact" w:before="22"/>
              <w:ind w:left="336" w:right="331"/>
              <w:rPr>
                <w:rFonts w:ascii="Times New Roman"/>
                <w:sz w:val="21"/>
              </w:rPr>
            </w:pPr>
            <w:r>
              <w:rPr>
                <w:rFonts w:ascii="Times New Roman"/>
                <w:sz w:val="21"/>
              </w:rPr>
              <w:t>2020.1.2</w:t>
            </w:r>
          </w:p>
        </w:tc>
        <w:tc>
          <w:tcPr>
            <w:tcW w:w="802" w:type="dxa"/>
          </w:tcPr>
          <w:p>
            <w:pPr>
              <w:pStyle w:val="TableParagraph"/>
              <w:spacing w:line="238" w:lineRule="exact" w:before="22"/>
              <w:ind w:left="142" w:right="133"/>
              <w:rPr>
                <w:rFonts w:ascii="Times New Roman"/>
                <w:sz w:val="21"/>
              </w:rPr>
            </w:pPr>
            <w:r>
              <w:rPr>
                <w:rFonts w:ascii="Times New Roman"/>
                <w:sz w:val="21"/>
              </w:rPr>
              <w:t>11.6</w:t>
            </w:r>
          </w:p>
        </w:tc>
        <w:tc>
          <w:tcPr>
            <w:tcW w:w="848" w:type="dxa"/>
          </w:tcPr>
          <w:p>
            <w:pPr>
              <w:pStyle w:val="TableParagraph"/>
              <w:spacing w:line="238" w:lineRule="exact" w:before="22"/>
              <w:ind w:left="110" w:right="106"/>
              <w:rPr>
                <w:rFonts w:ascii="Times New Roman"/>
                <w:sz w:val="21"/>
              </w:rPr>
            </w:pPr>
            <w:r>
              <w:rPr>
                <w:rFonts w:ascii="Times New Roman"/>
                <w:sz w:val="21"/>
              </w:rPr>
              <w:t>7.80</w:t>
            </w:r>
          </w:p>
        </w:tc>
        <w:tc>
          <w:tcPr>
            <w:tcW w:w="958" w:type="dxa"/>
          </w:tcPr>
          <w:p>
            <w:pPr>
              <w:pStyle w:val="TableParagraph"/>
              <w:spacing w:line="238" w:lineRule="exact" w:before="22"/>
              <w:ind w:left="111" w:right="108"/>
              <w:rPr>
                <w:rFonts w:ascii="Times New Roman"/>
                <w:sz w:val="21"/>
              </w:rPr>
            </w:pPr>
            <w:r>
              <w:rPr>
                <w:rFonts w:ascii="Times New Roman"/>
                <w:sz w:val="21"/>
              </w:rPr>
              <w:t>5.6</w:t>
            </w:r>
          </w:p>
        </w:tc>
        <w:tc>
          <w:tcPr>
            <w:tcW w:w="1042" w:type="dxa"/>
          </w:tcPr>
          <w:p>
            <w:pPr>
              <w:pStyle w:val="TableParagraph"/>
              <w:spacing w:line="238" w:lineRule="exact" w:before="22"/>
              <w:ind w:left="179" w:right="179"/>
              <w:rPr>
                <w:rFonts w:ascii="Times New Roman"/>
                <w:sz w:val="21"/>
              </w:rPr>
            </w:pPr>
            <w:r>
              <w:rPr>
                <w:rFonts w:ascii="Times New Roman"/>
                <w:sz w:val="21"/>
              </w:rPr>
              <w:t>5.0</w:t>
            </w:r>
          </w:p>
        </w:tc>
        <w:tc>
          <w:tcPr>
            <w:tcW w:w="1095" w:type="dxa"/>
          </w:tcPr>
          <w:p>
            <w:pPr>
              <w:pStyle w:val="TableParagraph"/>
              <w:spacing w:line="238" w:lineRule="exact" w:before="22"/>
              <w:ind w:left="233" w:right="229"/>
              <w:rPr>
                <w:rFonts w:ascii="Times New Roman"/>
                <w:sz w:val="21"/>
              </w:rPr>
            </w:pPr>
            <w:r>
              <w:rPr>
                <w:rFonts w:ascii="Times New Roman"/>
                <w:sz w:val="21"/>
              </w:rPr>
              <w:t>3.8</w:t>
            </w:r>
          </w:p>
        </w:tc>
        <w:tc>
          <w:tcPr>
            <w:tcW w:w="994" w:type="dxa"/>
          </w:tcPr>
          <w:p>
            <w:pPr>
              <w:pStyle w:val="TableParagraph"/>
              <w:spacing w:line="238" w:lineRule="exact" w:before="22"/>
              <w:ind w:left="69" w:right="65"/>
              <w:rPr>
                <w:rFonts w:ascii="Times New Roman"/>
                <w:sz w:val="21"/>
              </w:rPr>
            </w:pPr>
            <w:r>
              <w:rPr>
                <w:rFonts w:ascii="Times New Roman"/>
                <w:sz w:val="21"/>
              </w:rPr>
              <w:t>0.99</w:t>
            </w:r>
          </w:p>
        </w:tc>
        <w:tc>
          <w:tcPr>
            <w:tcW w:w="1121" w:type="dxa"/>
          </w:tcPr>
          <w:p>
            <w:pPr>
              <w:pStyle w:val="TableParagraph"/>
              <w:spacing w:line="238" w:lineRule="exact" w:before="22"/>
              <w:ind w:left="115" w:right="110"/>
              <w:rPr>
                <w:rFonts w:ascii="Times New Roman"/>
                <w:sz w:val="21"/>
              </w:rPr>
            </w:pPr>
            <w:r>
              <w:rPr>
                <w:rFonts w:ascii="Times New Roman"/>
                <w:sz w:val="21"/>
              </w:rPr>
              <w:t>0.01</w:t>
            </w:r>
          </w:p>
        </w:tc>
        <w:tc>
          <w:tcPr>
            <w:tcW w:w="1121" w:type="dxa"/>
          </w:tcPr>
          <w:p>
            <w:pPr>
              <w:pStyle w:val="TableParagraph"/>
              <w:spacing w:line="238" w:lineRule="exact" w:before="22"/>
              <w:ind w:left="115" w:right="110"/>
              <w:rPr>
                <w:rFonts w:ascii="Times New Roman"/>
                <w:sz w:val="21"/>
              </w:rPr>
            </w:pPr>
            <w:r>
              <w:rPr>
                <w:rFonts w:ascii="Times New Roman"/>
                <w:sz w:val="21"/>
              </w:rPr>
              <w:t>0.0003</w:t>
            </w:r>
          </w:p>
        </w:tc>
        <w:tc>
          <w:tcPr>
            <w:tcW w:w="1122" w:type="dxa"/>
          </w:tcPr>
          <w:p>
            <w:pPr>
              <w:pStyle w:val="TableParagraph"/>
              <w:spacing w:line="238" w:lineRule="exact" w:before="22"/>
              <w:ind w:left="194" w:right="192"/>
              <w:rPr>
                <w:rFonts w:ascii="Times New Roman"/>
                <w:sz w:val="21"/>
              </w:rPr>
            </w:pPr>
            <w:r>
              <w:rPr>
                <w:rFonts w:ascii="Times New Roman"/>
                <w:sz w:val="21"/>
              </w:rPr>
              <w:t>0.00004</w:t>
            </w:r>
          </w:p>
        </w:tc>
        <w:tc>
          <w:tcPr>
            <w:tcW w:w="1121" w:type="dxa"/>
          </w:tcPr>
          <w:p>
            <w:pPr>
              <w:pStyle w:val="TableParagraph"/>
              <w:spacing w:line="238" w:lineRule="exact" w:before="22"/>
              <w:ind w:right="315"/>
              <w:jc w:val="right"/>
              <w:rPr>
                <w:rFonts w:ascii="Times New Roman"/>
                <w:sz w:val="21"/>
              </w:rPr>
            </w:pPr>
            <w:r>
              <w:rPr>
                <w:rFonts w:ascii="Times New Roman"/>
                <w:sz w:val="21"/>
              </w:rPr>
              <w:t>0.004</w:t>
            </w:r>
          </w:p>
        </w:tc>
        <w:tc>
          <w:tcPr>
            <w:tcW w:w="1121" w:type="dxa"/>
          </w:tcPr>
          <w:p>
            <w:pPr>
              <w:pStyle w:val="TableParagraph"/>
              <w:spacing w:line="238" w:lineRule="exact" w:before="22"/>
              <w:ind w:left="111" w:right="112"/>
              <w:rPr>
                <w:rFonts w:ascii="Times New Roman"/>
                <w:sz w:val="21"/>
              </w:rPr>
            </w:pPr>
            <w:r>
              <w:rPr>
                <w:rFonts w:ascii="Times New Roman"/>
                <w:sz w:val="21"/>
              </w:rPr>
              <w:t>17</w:t>
            </w:r>
          </w:p>
        </w:tc>
      </w:tr>
      <w:tr>
        <w:trPr>
          <w:trHeight w:val="280" w:hRule="atLeast"/>
        </w:trPr>
        <w:tc>
          <w:tcPr>
            <w:tcW w:w="651" w:type="dxa"/>
            <w:vMerge/>
            <w:tcBorders>
              <w:top w:val="nil"/>
              <w:bottom w:val="single" w:sz="6" w:space="0" w:color="000000"/>
            </w:tcBorders>
          </w:tcPr>
          <w:p>
            <w:pPr>
              <w:rPr>
                <w:sz w:val="2"/>
                <w:szCs w:val="2"/>
              </w:rPr>
            </w:pPr>
          </w:p>
        </w:tc>
        <w:tc>
          <w:tcPr>
            <w:tcW w:w="773" w:type="dxa"/>
            <w:vMerge/>
            <w:tcBorders>
              <w:top w:val="nil"/>
              <w:bottom w:val="single" w:sz="6" w:space="0" w:color="000000"/>
            </w:tcBorders>
          </w:tcPr>
          <w:p>
            <w:pPr>
              <w:rPr>
                <w:sz w:val="2"/>
                <w:szCs w:val="2"/>
              </w:rPr>
            </w:pPr>
          </w:p>
        </w:tc>
        <w:tc>
          <w:tcPr>
            <w:tcW w:w="1455" w:type="dxa"/>
          </w:tcPr>
          <w:p>
            <w:pPr>
              <w:pStyle w:val="TableParagraph"/>
              <w:spacing w:line="241" w:lineRule="exact" w:before="19"/>
              <w:ind w:left="336" w:right="331"/>
              <w:rPr>
                <w:rFonts w:ascii="Times New Roman"/>
                <w:sz w:val="21"/>
              </w:rPr>
            </w:pPr>
            <w:r>
              <w:rPr>
                <w:rFonts w:ascii="Times New Roman"/>
                <w:sz w:val="21"/>
              </w:rPr>
              <w:t>2020.2.4</w:t>
            </w:r>
          </w:p>
        </w:tc>
        <w:tc>
          <w:tcPr>
            <w:tcW w:w="802" w:type="dxa"/>
          </w:tcPr>
          <w:p>
            <w:pPr>
              <w:pStyle w:val="TableParagraph"/>
              <w:spacing w:line="241" w:lineRule="exact" w:before="19"/>
              <w:ind w:left="145" w:right="133"/>
              <w:rPr>
                <w:rFonts w:ascii="Times New Roman"/>
                <w:sz w:val="21"/>
              </w:rPr>
            </w:pPr>
            <w:r>
              <w:rPr>
                <w:rFonts w:ascii="Times New Roman"/>
                <w:sz w:val="21"/>
              </w:rPr>
              <w:t>7.5</w:t>
            </w:r>
          </w:p>
        </w:tc>
        <w:tc>
          <w:tcPr>
            <w:tcW w:w="848" w:type="dxa"/>
          </w:tcPr>
          <w:p>
            <w:pPr>
              <w:pStyle w:val="TableParagraph"/>
              <w:spacing w:line="241" w:lineRule="exact" w:before="19"/>
              <w:ind w:left="114" w:right="105"/>
              <w:rPr>
                <w:rFonts w:ascii="Times New Roman"/>
                <w:sz w:val="21"/>
              </w:rPr>
            </w:pPr>
            <w:r>
              <w:rPr>
                <w:rFonts w:ascii="Times New Roman"/>
                <w:sz w:val="21"/>
              </w:rPr>
              <w:t>7.91</w:t>
            </w:r>
          </w:p>
        </w:tc>
        <w:tc>
          <w:tcPr>
            <w:tcW w:w="958" w:type="dxa"/>
          </w:tcPr>
          <w:p>
            <w:pPr>
              <w:pStyle w:val="TableParagraph"/>
              <w:spacing w:line="241" w:lineRule="exact" w:before="19"/>
              <w:ind w:left="109" w:right="108"/>
              <w:rPr>
                <w:rFonts w:ascii="Times New Roman"/>
                <w:sz w:val="21"/>
              </w:rPr>
            </w:pPr>
            <w:r>
              <w:rPr>
                <w:rFonts w:ascii="Times New Roman"/>
                <w:sz w:val="21"/>
              </w:rPr>
              <w:t>11.1</w:t>
            </w:r>
          </w:p>
        </w:tc>
        <w:tc>
          <w:tcPr>
            <w:tcW w:w="1042" w:type="dxa"/>
          </w:tcPr>
          <w:p>
            <w:pPr>
              <w:pStyle w:val="TableParagraph"/>
              <w:spacing w:line="241" w:lineRule="exact" w:before="19"/>
              <w:ind w:left="179" w:right="179"/>
              <w:rPr>
                <w:rFonts w:ascii="Times New Roman"/>
                <w:sz w:val="21"/>
              </w:rPr>
            </w:pPr>
            <w:r>
              <w:rPr>
                <w:rFonts w:ascii="Times New Roman"/>
                <w:sz w:val="21"/>
              </w:rPr>
              <w:t>3.4</w:t>
            </w:r>
          </w:p>
        </w:tc>
        <w:tc>
          <w:tcPr>
            <w:tcW w:w="1095" w:type="dxa"/>
          </w:tcPr>
          <w:p>
            <w:pPr>
              <w:pStyle w:val="TableParagraph"/>
              <w:spacing w:line="241" w:lineRule="exact" w:before="19"/>
              <w:ind w:left="233" w:right="229"/>
              <w:rPr>
                <w:rFonts w:ascii="Times New Roman"/>
                <w:sz w:val="21"/>
              </w:rPr>
            </w:pPr>
            <w:r>
              <w:rPr>
                <w:rFonts w:ascii="Times New Roman"/>
                <w:sz w:val="21"/>
              </w:rPr>
              <w:t>2.8</w:t>
            </w:r>
          </w:p>
        </w:tc>
        <w:tc>
          <w:tcPr>
            <w:tcW w:w="994" w:type="dxa"/>
          </w:tcPr>
          <w:p>
            <w:pPr>
              <w:pStyle w:val="TableParagraph"/>
              <w:spacing w:line="241" w:lineRule="exact" w:before="19"/>
              <w:ind w:left="65" w:right="65"/>
              <w:rPr>
                <w:rFonts w:ascii="Times New Roman"/>
                <w:sz w:val="21"/>
              </w:rPr>
            </w:pPr>
            <w:r>
              <w:rPr>
                <w:rFonts w:ascii="Times New Roman"/>
                <w:sz w:val="21"/>
              </w:rPr>
              <w:t>0.36</w:t>
            </w:r>
          </w:p>
        </w:tc>
        <w:tc>
          <w:tcPr>
            <w:tcW w:w="1121" w:type="dxa"/>
          </w:tcPr>
          <w:p>
            <w:pPr>
              <w:pStyle w:val="TableParagraph"/>
              <w:spacing w:line="241" w:lineRule="exact" w:before="19"/>
              <w:ind w:left="115" w:right="110"/>
              <w:rPr>
                <w:rFonts w:ascii="Times New Roman"/>
                <w:sz w:val="21"/>
              </w:rPr>
            </w:pPr>
            <w:r>
              <w:rPr>
                <w:rFonts w:ascii="Times New Roman"/>
                <w:sz w:val="21"/>
              </w:rPr>
              <w:t>0.02</w:t>
            </w:r>
          </w:p>
        </w:tc>
        <w:tc>
          <w:tcPr>
            <w:tcW w:w="1121" w:type="dxa"/>
          </w:tcPr>
          <w:p>
            <w:pPr>
              <w:pStyle w:val="TableParagraph"/>
              <w:spacing w:line="241" w:lineRule="exact" w:before="19"/>
              <w:ind w:left="115" w:right="110"/>
              <w:rPr>
                <w:rFonts w:ascii="Times New Roman"/>
                <w:sz w:val="21"/>
              </w:rPr>
            </w:pPr>
            <w:r>
              <w:rPr>
                <w:rFonts w:ascii="Times New Roman"/>
                <w:sz w:val="21"/>
              </w:rPr>
              <w:t>0.0003</w:t>
            </w:r>
          </w:p>
        </w:tc>
        <w:tc>
          <w:tcPr>
            <w:tcW w:w="1122" w:type="dxa"/>
          </w:tcPr>
          <w:p>
            <w:pPr>
              <w:pStyle w:val="TableParagraph"/>
              <w:spacing w:line="241" w:lineRule="exact" w:before="19"/>
              <w:ind w:left="194" w:right="192"/>
              <w:rPr>
                <w:rFonts w:ascii="Times New Roman"/>
                <w:sz w:val="21"/>
              </w:rPr>
            </w:pPr>
            <w:r>
              <w:rPr>
                <w:rFonts w:ascii="Times New Roman"/>
                <w:sz w:val="21"/>
              </w:rPr>
              <w:t>0.00004</w:t>
            </w:r>
          </w:p>
        </w:tc>
        <w:tc>
          <w:tcPr>
            <w:tcW w:w="1121" w:type="dxa"/>
          </w:tcPr>
          <w:p>
            <w:pPr>
              <w:pStyle w:val="TableParagraph"/>
              <w:spacing w:line="241" w:lineRule="exact" w:before="19"/>
              <w:ind w:right="315"/>
              <w:jc w:val="right"/>
              <w:rPr>
                <w:rFonts w:ascii="Times New Roman"/>
                <w:sz w:val="21"/>
              </w:rPr>
            </w:pPr>
            <w:r>
              <w:rPr>
                <w:rFonts w:ascii="Times New Roman"/>
                <w:sz w:val="21"/>
              </w:rPr>
              <w:t>0.002</w:t>
            </w:r>
          </w:p>
        </w:tc>
        <w:tc>
          <w:tcPr>
            <w:tcW w:w="1121" w:type="dxa"/>
          </w:tcPr>
          <w:p>
            <w:pPr>
              <w:pStyle w:val="TableParagraph"/>
              <w:spacing w:line="241" w:lineRule="exact" w:before="19"/>
              <w:ind w:left="111" w:right="112"/>
              <w:rPr>
                <w:rFonts w:ascii="Times New Roman"/>
                <w:sz w:val="21"/>
              </w:rPr>
            </w:pPr>
            <w:r>
              <w:rPr>
                <w:rFonts w:ascii="Times New Roman"/>
                <w:sz w:val="21"/>
              </w:rPr>
              <w:t>18</w:t>
            </w:r>
          </w:p>
        </w:tc>
      </w:tr>
      <w:tr>
        <w:trPr>
          <w:trHeight w:val="277" w:hRule="atLeast"/>
        </w:trPr>
        <w:tc>
          <w:tcPr>
            <w:tcW w:w="651" w:type="dxa"/>
            <w:vMerge/>
            <w:tcBorders>
              <w:top w:val="nil"/>
              <w:bottom w:val="single" w:sz="6" w:space="0" w:color="000000"/>
            </w:tcBorders>
          </w:tcPr>
          <w:p>
            <w:pPr>
              <w:rPr>
                <w:sz w:val="2"/>
                <w:szCs w:val="2"/>
              </w:rPr>
            </w:pPr>
          </w:p>
        </w:tc>
        <w:tc>
          <w:tcPr>
            <w:tcW w:w="773" w:type="dxa"/>
            <w:vMerge/>
            <w:tcBorders>
              <w:top w:val="nil"/>
              <w:bottom w:val="single" w:sz="6" w:space="0" w:color="000000"/>
            </w:tcBorders>
          </w:tcPr>
          <w:p>
            <w:pPr>
              <w:rPr>
                <w:sz w:val="2"/>
                <w:szCs w:val="2"/>
              </w:rPr>
            </w:pPr>
          </w:p>
        </w:tc>
        <w:tc>
          <w:tcPr>
            <w:tcW w:w="1455" w:type="dxa"/>
          </w:tcPr>
          <w:p>
            <w:pPr>
              <w:pStyle w:val="TableParagraph"/>
              <w:spacing w:line="238" w:lineRule="exact" w:before="19"/>
              <w:ind w:left="336" w:right="331"/>
              <w:rPr>
                <w:rFonts w:ascii="Times New Roman"/>
                <w:sz w:val="21"/>
              </w:rPr>
            </w:pPr>
            <w:r>
              <w:rPr>
                <w:rFonts w:ascii="Times New Roman"/>
                <w:sz w:val="21"/>
              </w:rPr>
              <w:t>2020.3.3</w:t>
            </w:r>
          </w:p>
        </w:tc>
        <w:tc>
          <w:tcPr>
            <w:tcW w:w="802" w:type="dxa"/>
          </w:tcPr>
          <w:p>
            <w:pPr>
              <w:pStyle w:val="TableParagraph"/>
              <w:spacing w:line="238" w:lineRule="exact" w:before="19"/>
              <w:ind w:left="145" w:right="133"/>
              <w:rPr>
                <w:rFonts w:ascii="Times New Roman"/>
                <w:sz w:val="21"/>
              </w:rPr>
            </w:pPr>
            <w:r>
              <w:rPr>
                <w:rFonts w:ascii="Times New Roman"/>
                <w:sz w:val="21"/>
              </w:rPr>
              <w:t>9.7</w:t>
            </w:r>
          </w:p>
        </w:tc>
        <w:tc>
          <w:tcPr>
            <w:tcW w:w="848" w:type="dxa"/>
          </w:tcPr>
          <w:p>
            <w:pPr>
              <w:pStyle w:val="TableParagraph"/>
              <w:spacing w:line="238" w:lineRule="exact" w:before="19"/>
              <w:ind w:left="110" w:right="106"/>
              <w:rPr>
                <w:rFonts w:ascii="Times New Roman"/>
                <w:sz w:val="21"/>
              </w:rPr>
            </w:pPr>
            <w:r>
              <w:rPr>
                <w:rFonts w:ascii="Times New Roman"/>
                <w:sz w:val="21"/>
              </w:rPr>
              <w:t>7.62</w:t>
            </w:r>
          </w:p>
        </w:tc>
        <w:tc>
          <w:tcPr>
            <w:tcW w:w="958" w:type="dxa"/>
          </w:tcPr>
          <w:p>
            <w:pPr>
              <w:pStyle w:val="TableParagraph"/>
              <w:spacing w:line="238" w:lineRule="exact" w:before="19"/>
              <w:ind w:left="111" w:right="108"/>
              <w:rPr>
                <w:rFonts w:ascii="Times New Roman"/>
                <w:sz w:val="21"/>
              </w:rPr>
            </w:pPr>
            <w:r>
              <w:rPr>
                <w:rFonts w:ascii="Times New Roman"/>
                <w:sz w:val="21"/>
              </w:rPr>
              <w:t>7.0</w:t>
            </w:r>
          </w:p>
        </w:tc>
        <w:tc>
          <w:tcPr>
            <w:tcW w:w="1042" w:type="dxa"/>
          </w:tcPr>
          <w:p>
            <w:pPr>
              <w:pStyle w:val="TableParagraph"/>
              <w:spacing w:line="238" w:lineRule="exact" w:before="19"/>
              <w:ind w:left="179" w:right="179"/>
              <w:rPr>
                <w:rFonts w:ascii="Times New Roman"/>
                <w:sz w:val="21"/>
              </w:rPr>
            </w:pPr>
            <w:r>
              <w:rPr>
                <w:rFonts w:ascii="Times New Roman"/>
                <w:sz w:val="21"/>
              </w:rPr>
              <w:t>3.9</w:t>
            </w:r>
          </w:p>
        </w:tc>
        <w:tc>
          <w:tcPr>
            <w:tcW w:w="1095" w:type="dxa"/>
          </w:tcPr>
          <w:p>
            <w:pPr>
              <w:pStyle w:val="TableParagraph"/>
              <w:spacing w:line="238" w:lineRule="exact" w:before="19"/>
              <w:ind w:left="238" w:right="229"/>
              <w:rPr>
                <w:rFonts w:ascii="Times New Roman"/>
                <w:sz w:val="21"/>
              </w:rPr>
            </w:pPr>
            <w:r>
              <w:rPr>
                <w:rFonts w:ascii="Times New Roman"/>
                <w:sz w:val="21"/>
              </w:rPr>
              <w:t>3.7</w:t>
            </w:r>
          </w:p>
        </w:tc>
        <w:tc>
          <w:tcPr>
            <w:tcW w:w="994" w:type="dxa"/>
          </w:tcPr>
          <w:p>
            <w:pPr>
              <w:pStyle w:val="TableParagraph"/>
              <w:spacing w:line="238" w:lineRule="exact" w:before="19"/>
              <w:ind w:left="65" w:right="65"/>
              <w:rPr>
                <w:rFonts w:ascii="Times New Roman"/>
                <w:sz w:val="21"/>
              </w:rPr>
            </w:pPr>
            <w:r>
              <w:rPr>
                <w:rFonts w:ascii="Times New Roman"/>
                <w:sz w:val="21"/>
              </w:rPr>
              <w:t>0.99</w:t>
            </w:r>
          </w:p>
        </w:tc>
        <w:tc>
          <w:tcPr>
            <w:tcW w:w="1121" w:type="dxa"/>
          </w:tcPr>
          <w:p>
            <w:pPr>
              <w:pStyle w:val="TableParagraph"/>
              <w:spacing w:line="238" w:lineRule="exact" w:before="19"/>
              <w:ind w:left="115" w:right="110"/>
              <w:rPr>
                <w:rFonts w:ascii="Times New Roman"/>
                <w:sz w:val="21"/>
              </w:rPr>
            </w:pPr>
            <w:r>
              <w:rPr>
                <w:rFonts w:ascii="Times New Roman"/>
                <w:sz w:val="21"/>
              </w:rPr>
              <w:t>0.01</w:t>
            </w:r>
          </w:p>
        </w:tc>
        <w:tc>
          <w:tcPr>
            <w:tcW w:w="1121" w:type="dxa"/>
          </w:tcPr>
          <w:p>
            <w:pPr>
              <w:pStyle w:val="TableParagraph"/>
              <w:spacing w:line="238" w:lineRule="exact" w:before="19"/>
              <w:ind w:left="115" w:right="110"/>
              <w:rPr>
                <w:rFonts w:ascii="Times New Roman"/>
                <w:sz w:val="21"/>
              </w:rPr>
            </w:pPr>
            <w:r>
              <w:rPr>
                <w:rFonts w:ascii="Times New Roman"/>
                <w:sz w:val="21"/>
              </w:rPr>
              <w:t>0.0003</w:t>
            </w:r>
          </w:p>
        </w:tc>
        <w:tc>
          <w:tcPr>
            <w:tcW w:w="1122" w:type="dxa"/>
          </w:tcPr>
          <w:p>
            <w:pPr>
              <w:pStyle w:val="TableParagraph"/>
              <w:spacing w:line="238" w:lineRule="exact" w:before="19"/>
              <w:ind w:left="194" w:right="192"/>
              <w:rPr>
                <w:rFonts w:ascii="Times New Roman"/>
                <w:sz w:val="21"/>
              </w:rPr>
            </w:pPr>
            <w:r>
              <w:rPr>
                <w:rFonts w:ascii="Times New Roman"/>
                <w:sz w:val="21"/>
              </w:rPr>
              <w:t>0.00004</w:t>
            </w:r>
          </w:p>
        </w:tc>
        <w:tc>
          <w:tcPr>
            <w:tcW w:w="1121" w:type="dxa"/>
          </w:tcPr>
          <w:p>
            <w:pPr>
              <w:pStyle w:val="TableParagraph"/>
              <w:spacing w:line="238" w:lineRule="exact" w:before="19"/>
              <w:ind w:right="315"/>
              <w:jc w:val="right"/>
              <w:rPr>
                <w:rFonts w:ascii="Times New Roman"/>
                <w:sz w:val="21"/>
              </w:rPr>
            </w:pPr>
            <w:r>
              <w:rPr>
                <w:rFonts w:ascii="Times New Roman"/>
                <w:sz w:val="21"/>
              </w:rPr>
              <w:t>0.005</w:t>
            </w:r>
          </w:p>
        </w:tc>
        <w:tc>
          <w:tcPr>
            <w:tcW w:w="1121" w:type="dxa"/>
          </w:tcPr>
          <w:p>
            <w:pPr>
              <w:pStyle w:val="TableParagraph"/>
              <w:spacing w:line="238" w:lineRule="exact" w:before="19"/>
              <w:ind w:left="111" w:right="112"/>
              <w:rPr>
                <w:rFonts w:ascii="Times New Roman"/>
                <w:sz w:val="21"/>
              </w:rPr>
            </w:pPr>
            <w:r>
              <w:rPr>
                <w:rFonts w:ascii="Times New Roman"/>
                <w:sz w:val="21"/>
              </w:rPr>
              <w:t>17</w:t>
            </w:r>
          </w:p>
        </w:tc>
      </w:tr>
      <w:tr>
        <w:trPr>
          <w:trHeight w:val="280" w:hRule="atLeast"/>
        </w:trPr>
        <w:tc>
          <w:tcPr>
            <w:tcW w:w="651" w:type="dxa"/>
            <w:vMerge/>
            <w:tcBorders>
              <w:top w:val="nil"/>
              <w:bottom w:val="single" w:sz="6" w:space="0" w:color="000000"/>
            </w:tcBorders>
          </w:tcPr>
          <w:p>
            <w:pPr>
              <w:rPr>
                <w:sz w:val="2"/>
                <w:szCs w:val="2"/>
              </w:rPr>
            </w:pPr>
          </w:p>
        </w:tc>
        <w:tc>
          <w:tcPr>
            <w:tcW w:w="773" w:type="dxa"/>
            <w:vMerge/>
            <w:tcBorders>
              <w:top w:val="nil"/>
              <w:bottom w:val="single" w:sz="6" w:space="0" w:color="000000"/>
            </w:tcBorders>
          </w:tcPr>
          <w:p>
            <w:pPr>
              <w:rPr>
                <w:sz w:val="2"/>
                <w:szCs w:val="2"/>
              </w:rPr>
            </w:pPr>
          </w:p>
        </w:tc>
        <w:tc>
          <w:tcPr>
            <w:tcW w:w="1455" w:type="dxa"/>
          </w:tcPr>
          <w:p>
            <w:pPr>
              <w:pStyle w:val="TableParagraph"/>
              <w:spacing w:line="241" w:lineRule="exact" w:before="19"/>
              <w:ind w:left="335" w:right="332"/>
              <w:rPr>
                <w:rFonts w:ascii="Times New Roman"/>
                <w:sz w:val="21"/>
              </w:rPr>
            </w:pPr>
            <w:r>
              <w:rPr>
                <w:rFonts w:ascii="Times New Roman"/>
                <w:sz w:val="21"/>
              </w:rPr>
              <w:t>2020.4.1</w:t>
            </w:r>
          </w:p>
        </w:tc>
        <w:tc>
          <w:tcPr>
            <w:tcW w:w="802" w:type="dxa"/>
          </w:tcPr>
          <w:p>
            <w:pPr>
              <w:pStyle w:val="TableParagraph"/>
              <w:spacing w:line="241" w:lineRule="exact" w:before="19"/>
              <w:ind w:left="140" w:right="133"/>
              <w:rPr>
                <w:rFonts w:ascii="Times New Roman"/>
                <w:sz w:val="21"/>
              </w:rPr>
            </w:pPr>
            <w:r>
              <w:rPr>
                <w:rFonts w:ascii="Times New Roman"/>
                <w:sz w:val="21"/>
              </w:rPr>
              <w:t>13.5</w:t>
            </w:r>
          </w:p>
        </w:tc>
        <w:tc>
          <w:tcPr>
            <w:tcW w:w="848" w:type="dxa"/>
          </w:tcPr>
          <w:p>
            <w:pPr>
              <w:pStyle w:val="TableParagraph"/>
              <w:spacing w:line="241" w:lineRule="exact" w:before="19"/>
              <w:ind w:left="114" w:right="105"/>
              <w:rPr>
                <w:rFonts w:ascii="Times New Roman"/>
                <w:sz w:val="21"/>
              </w:rPr>
            </w:pPr>
            <w:r>
              <w:rPr>
                <w:rFonts w:ascii="Times New Roman"/>
                <w:sz w:val="21"/>
              </w:rPr>
              <w:t>7.41</w:t>
            </w:r>
          </w:p>
        </w:tc>
        <w:tc>
          <w:tcPr>
            <w:tcW w:w="958" w:type="dxa"/>
          </w:tcPr>
          <w:p>
            <w:pPr>
              <w:pStyle w:val="TableParagraph"/>
              <w:spacing w:line="241" w:lineRule="exact" w:before="19"/>
              <w:ind w:left="111" w:right="108"/>
              <w:rPr>
                <w:rFonts w:ascii="Times New Roman"/>
                <w:sz w:val="21"/>
              </w:rPr>
            </w:pPr>
            <w:r>
              <w:rPr>
                <w:rFonts w:ascii="Times New Roman"/>
                <w:sz w:val="21"/>
              </w:rPr>
              <w:t>5.5</w:t>
            </w:r>
          </w:p>
        </w:tc>
        <w:tc>
          <w:tcPr>
            <w:tcW w:w="1042" w:type="dxa"/>
          </w:tcPr>
          <w:p>
            <w:pPr>
              <w:pStyle w:val="TableParagraph"/>
              <w:spacing w:line="241" w:lineRule="exact" w:before="19"/>
              <w:ind w:left="179" w:right="179"/>
              <w:rPr>
                <w:rFonts w:ascii="Times New Roman"/>
                <w:sz w:val="21"/>
              </w:rPr>
            </w:pPr>
            <w:r>
              <w:rPr>
                <w:rFonts w:ascii="Times New Roman"/>
                <w:sz w:val="21"/>
              </w:rPr>
              <w:t>4.2</w:t>
            </w:r>
          </w:p>
        </w:tc>
        <w:tc>
          <w:tcPr>
            <w:tcW w:w="1095" w:type="dxa"/>
          </w:tcPr>
          <w:p>
            <w:pPr>
              <w:pStyle w:val="TableParagraph"/>
              <w:spacing w:line="241" w:lineRule="exact" w:before="19"/>
              <w:ind w:left="233" w:right="229"/>
              <w:rPr>
                <w:rFonts w:ascii="Times New Roman"/>
                <w:sz w:val="21"/>
              </w:rPr>
            </w:pPr>
            <w:r>
              <w:rPr>
                <w:rFonts w:ascii="Times New Roman"/>
                <w:sz w:val="21"/>
              </w:rPr>
              <w:t>3.5</w:t>
            </w:r>
          </w:p>
        </w:tc>
        <w:tc>
          <w:tcPr>
            <w:tcW w:w="994" w:type="dxa"/>
          </w:tcPr>
          <w:p>
            <w:pPr>
              <w:pStyle w:val="TableParagraph"/>
              <w:spacing w:line="241" w:lineRule="exact" w:before="19"/>
              <w:ind w:left="69" w:right="65"/>
              <w:rPr>
                <w:rFonts w:ascii="Times New Roman"/>
                <w:sz w:val="21"/>
              </w:rPr>
            </w:pPr>
            <w:r>
              <w:rPr>
                <w:rFonts w:ascii="Times New Roman"/>
                <w:sz w:val="21"/>
              </w:rPr>
              <w:t>0.96</w:t>
            </w:r>
          </w:p>
        </w:tc>
        <w:tc>
          <w:tcPr>
            <w:tcW w:w="1121" w:type="dxa"/>
          </w:tcPr>
          <w:p>
            <w:pPr>
              <w:pStyle w:val="TableParagraph"/>
              <w:spacing w:line="241" w:lineRule="exact" w:before="19"/>
              <w:ind w:left="115" w:right="110"/>
              <w:rPr>
                <w:rFonts w:ascii="Times New Roman"/>
                <w:sz w:val="21"/>
              </w:rPr>
            </w:pPr>
            <w:r>
              <w:rPr>
                <w:rFonts w:ascii="Times New Roman"/>
                <w:sz w:val="21"/>
              </w:rPr>
              <w:t>0.01</w:t>
            </w:r>
          </w:p>
        </w:tc>
        <w:tc>
          <w:tcPr>
            <w:tcW w:w="1121" w:type="dxa"/>
          </w:tcPr>
          <w:p>
            <w:pPr>
              <w:pStyle w:val="TableParagraph"/>
              <w:spacing w:line="241" w:lineRule="exact" w:before="19"/>
              <w:ind w:left="115" w:right="110"/>
              <w:rPr>
                <w:rFonts w:ascii="Times New Roman"/>
                <w:sz w:val="21"/>
              </w:rPr>
            </w:pPr>
            <w:r>
              <w:rPr>
                <w:rFonts w:ascii="Times New Roman"/>
                <w:sz w:val="21"/>
              </w:rPr>
              <w:t>0.0003</w:t>
            </w:r>
          </w:p>
        </w:tc>
        <w:tc>
          <w:tcPr>
            <w:tcW w:w="1122" w:type="dxa"/>
          </w:tcPr>
          <w:p>
            <w:pPr>
              <w:pStyle w:val="TableParagraph"/>
              <w:spacing w:line="241" w:lineRule="exact" w:before="19"/>
              <w:ind w:left="194" w:right="192"/>
              <w:rPr>
                <w:rFonts w:ascii="Times New Roman"/>
                <w:sz w:val="21"/>
              </w:rPr>
            </w:pPr>
            <w:r>
              <w:rPr>
                <w:rFonts w:ascii="Times New Roman"/>
                <w:sz w:val="21"/>
              </w:rPr>
              <w:t>0.00004</w:t>
            </w:r>
          </w:p>
        </w:tc>
        <w:tc>
          <w:tcPr>
            <w:tcW w:w="1121" w:type="dxa"/>
          </w:tcPr>
          <w:p>
            <w:pPr>
              <w:pStyle w:val="TableParagraph"/>
              <w:spacing w:line="241" w:lineRule="exact" w:before="19"/>
              <w:ind w:right="315"/>
              <w:jc w:val="right"/>
              <w:rPr>
                <w:rFonts w:ascii="Times New Roman"/>
                <w:sz w:val="21"/>
              </w:rPr>
            </w:pPr>
            <w:r>
              <w:rPr>
                <w:rFonts w:ascii="Times New Roman"/>
                <w:sz w:val="21"/>
              </w:rPr>
              <w:t>0.006</w:t>
            </w:r>
          </w:p>
        </w:tc>
        <w:tc>
          <w:tcPr>
            <w:tcW w:w="1121" w:type="dxa"/>
          </w:tcPr>
          <w:p>
            <w:pPr>
              <w:pStyle w:val="TableParagraph"/>
              <w:spacing w:line="241" w:lineRule="exact" w:before="19"/>
              <w:ind w:left="111" w:right="112"/>
              <w:rPr>
                <w:rFonts w:ascii="Times New Roman"/>
                <w:sz w:val="21"/>
              </w:rPr>
            </w:pPr>
            <w:r>
              <w:rPr>
                <w:rFonts w:ascii="Times New Roman"/>
                <w:sz w:val="21"/>
              </w:rPr>
              <w:t>17</w:t>
            </w:r>
          </w:p>
        </w:tc>
      </w:tr>
      <w:tr>
        <w:trPr>
          <w:trHeight w:val="278" w:hRule="atLeast"/>
        </w:trPr>
        <w:tc>
          <w:tcPr>
            <w:tcW w:w="651" w:type="dxa"/>
            <w:vMerge/>
            <w:tcBorders>
              <w:top w:val="nil"/>
              <w:bottom w:val="single" w:sz="6" w:space="0" w:color="000000"/>
            </w:tcBorders>
          </w:tcPr>
          <w:p>
            <w:pPr>
              <w:rPr>
                <w:sz w:val="2"/>
                <w:szCs w:val="2"/>
              </w:rPr>
            </w:pPr>
          </w:p>
        </w:tc>
        <w:tc>
          <w:tcPr>
            <w:tcW w:w="773" w:type="dxa"/>
            <w:vMerge/>
            <w:tcBorders>
              <w:top w:val="nil"/>
              <w:bottom w:val="single" w:sz="6" w:space="0" w:color="000000"/>
            </w:tcBorders>
          </w:tcPr>
          <w:p>
            <w:pPr>
              <w:rPr>
                <w:sz w:val="2"/>
                <w:szCs w:val="2"/>
              </w:rPr>
            </w:pPr>
          </w:p>
        </w:tc>
        <w:tc>
          <w:tcPr>
            <w:tcW w:w="1455" w:type="dxa"/>
            <w:tcBorders>
              <w:bottom w:val="single" w:sz="6" w:space="0" w:color="000000"/>
            </w:tcBorders>
          </w:tcPr>
          <w:p>
            <w:pPr>
              <w:pStyle w:val="TableParagraph"/>
              <w:spacing w:line="239" w:lineRule="exact" w:before="19"/>
              <w:ind w:left="336" w:right="331"/>
              <w:rPr>
                <w:rFonts w:ascii="Times New Roman"/>
                <w:sz w:val="21"/>
              </w:rPr>
            </w:pPr>
            <w:r>
              <w:rPr>
                <w:rFonts w:ascii="Times New Roman"/>
                <w:sz w:val="21"/>
              </w:rPr>
              <w:t>2020.5.7</w:t>
            </w:r>
          </w:p>
        </w:tc>
        <w:tc>
          <w:tcPr>
            <w:tcW w:w="802" w:type="dxa"/>
            <w:tcBorders>
              <w:bottom w:val="single" w:sz="6" w:space="0" w:color="000000"/>
            </w:tcBorders>
          </w:tcPr>
          <w:p>
            <w:pPr>
              <w:pStyle w:val="TableParagraph"/>
              <w:spacing w:line="239" w:lineRule="exact" w:before="19"/>
              <w:ind w:left="140" w:right="133"/>
              <w:rPr>
                <w:rFonts w:ascii="Times New Roman"/>
                <w:sz w:val="21"/>
              </w:rPr>
            </w:pPr>
            <w:r>
              <w:rPr>
                <w:rFonts w:ascii="Times New Roman"/>
                <w:sz w:val="21"/>
              </w:rPr>
              <w:t>23.0</w:t>
            </w:r>
          </w:p>
        </w:tc>
        <w:tc>
          <w:tcPr>
            <w:tcW w:w="848" w:type="dxa"/>
            <w:tcBorders>
              <w:bottom w:val="single" w:sz="6" w:space="0" w:color="000000"/>
            </w:tcBorders>
          </w:tcPr>
          <w:p>
            <w:pPr>
              <w:pStyle w:val="TableParagraph"/>
              <w:spacing w:line="239" w:lineRule="exact" w:before="19"/>
              <w:ind w:left="110" w:right="106"/>
              <w:rPr>
                <w:rFonts w:ascii="Times New Roman"/>
                <w:sz w:val="21"/>
              </w:rPr>
            </w:pPr>
            <w:r>
              <w:rPr>
                <w:rFonts w:ascii="Times New Roman"/>
                <w:sz w:val="21"/>
              </w:rPr>
              <w:t>7.50</w:t>
            </w:r>
          </w:p>
        </w:tc>
        <w:tc>
          <w:tcPr>
            <w:tcW w:w="958" w:type="dxa"/>
            <w:tcBorders>
              <w:bottom w:val="single" w:sz="6" w:space="0" w:color="000000"/>
            </w:tcBorders>
          </w:tcPr>
          <w:p>
            <w:pPr>
              <w:pStyle w:val="TableParagraph"/>
              <w:spacing w:line="239" w:lineRule="exact" w:before="19"/>
              <w:ind w:left="111" w:right="108"/>
              <w:rPr>
                <w:rFonts w:ascii="Times New Roman"/>
                <w:sz w:val="21"/>
              </w:rPr>
            </w:pPr>
            <w:r>
              <w:rPr>
                <w:rFonts w:ascii="Times New Roman"/>
                <w:sz w:val="21"/>
              </w:rPr>
              <w:t>5.3</w:t>
            </w:r>
          </w:p>
        </w:tc>
        <w:tc>
          <w:tcPr>
            <w:tcW w:w="1042" w:type="dxa"/>
            <w:tcBorders>
              <w:bottom w:val="single" w:sz="6" w:space="0" w:color="000000"/>
            </w:tcBorders>
          </w:tcPr>
          <w:p>
            <w:pPr>
              <w:pStyle w:val="TableParagraph"/>
              <w:spacing w:line="239" w:lineRule="exact" w:before="19"/>
              <w:ind w:left="179" w:right="179"/>
              <w:rPr>
                <w:rFonts w:ascii="Times New Roman"/>
                <w:sz w:val="21"/>
              </w:rPr>
            </w:pPr>
            <w:r>
              <w:rPr>
                <w:rFonts w:ascii="Times New Roman"/>
                <w:sz w:val="21"/>
              </w:rPr>
              <w:t>4.1</w:t>
            </w:r>
          </w:p>
        </w:tc>
        <w:tc>
          <w:tcPr>
            <w:tcW w:w="1095" w:type="dxa"/>
            <w:tcBorders>
              <w:bottom w:val="single" w:sz="6" w:space="0" w:color="000000"/>
            </w:tcBorders>
          </w:tcPr>
          <w:p>
            <w:pPr>
              <w:pStyle w:val="TableParagraph"/>
              <w:spacing w:line="239" w:lineRule="exact" w:before="19"/>
              <w:ind w:left="238" w:right="229"/>
              <w:rPr>
                <w:rFonts w:ascii="Times New Roman"/>
                <w:sz w:val="21"/>
              </w:rPr>
            </w:pPr>
            <w:r>
              <w:rPr>
                <w:rFonts w:ascii="Times New Roman"/>
                <w:sz w:val="21"/>
              </w:rPr>
              <w:t>2.7</w:t>
            </w:r>
          </w:p>
        </w:tc>
        <w:tc>
          <w:tcPr>
            <w:tcW w:w="994" w:type="dxa"/>
            <w:tcBorders>
              <w:bottom w:val="single" w:sz="6" w:space="0" w:color="000000"/>
            </w:tcBorders>
          </w:tcPr>
          <w:p>
            <w:pPr>
              <w:pStyle w:val="TableParagraph"/>
              <w:spacing w:line="239" w:lineRule="exact" w:before="19"/>
              <w:ind w:left="69" w:right="65"/>
              <w:rPr>
                <w:rFonts w:ascii="Times New Roman"/>
                <w:sz w:val="21"/>
              </w:rPr>
            </w:pPr>
            <w:r>
              <w:rPr>
                <w:rFonts w:ascii="Times New Roman"/>
                <w:sz w:val="21"/>
              </w:rPr>
              <w:t>0.34</w:t>
            </w:r>
          </w:p>
        </w:tc>
        <w:tc>
          <w:tcPr>
            <w:tcW w:w="1121" w:type="dxa"/>
            <w:tcBorders>
              <w:bottom w:val="single" w:sz="6" w:space="0" w:color="000000"/>
            </w:tcBorders>
          </w:tcPr>
          <w:p>
            <w:pPr>
              <w:pStyle w:val="TableParagraph"/>
              <w:spacing w:line="239" w:lineRule="exact" w:before="19"/>
              <w:ind w:left="115" w:right="110"/>
              <w:rPr>
                <w:rFonts w:ascii="Times New Roman"/>
                <w:sz w:val="21"/>
              </w:rPr>
            </w:pPr>
            <w:r>
              <w:rPr>
                <w:rFonts w:ascii="Times New Roman"/>
                <w:sz w:val="21"/>
              </w:rPr>
              <w:t>0.01</w:t>
            </w:r>
          </w:p>
        </w:tc>
        <w:tc>
          <w:tcPr>
            <w:tcW w:w="1121" w:type="dxa"/>
            <w:tcBorders>
              <w:bottom w:val="single" w:sz="6" w:space="0" w:color="000000"/>
            </w:tcBorders>
          </w:tcPr>
          <w:p>
            <w:pPr>
              <w:pStyle w:val="TableParagraph"/>
              <w:spacing w:line="239" w:lineRule="exact" w:before="19"/>
              <w:ind w:left="115" w:right="110"/>
              <w:rPr>
                <w:rFonts w:ascii="Times New Roman"/>
                <w:sz w:val="21"/>
              </w:rPr>
            </w:pPr>
            <w:r>
              <w:rPr>
                <w:rFonts w:ascii="Times New Roman"/>
                <w:sz w:val="21"/>
              </w:rPr>
              <w:t>0.0002</w:t>
            </w:r>
          </w:p>
        </w:tc>
        <w:tc>
          <w:tcPr>
            <w:tcW w:w="1122" w:type="dxa"/>
            <w:tcBorders>
              <w:bottom w:val="single" w:sz="6" w:space="0" w:color="000000"/>
            </w:tcBorders>
          </w:tcPr>
          <w:p>
            <w:pPr>
              <w:pStyle w:val="TableParagraph"/>
              <w:spacing w:line="239" w:lineRule="exact" w:before="19"/>
              <w:ind w:left="193" w:right="193"/>
              <w:rPr>
                <w:rFonts w:ascii="Times New Roman"/>
                <w:sz w:val="21"/>
              </w:rPr>
            </w:pPr>
            <w:r>
              <w:rPr>
                <w:rFonts w:ascii="Times New Roman"/>
                <w:sz w:val="21"/>
              </w:rPr>
              <w:t>0.00004</w:t>
            </w:r>
          </w:p>
        </w:tc>
        <w:tc>
          <w:tcPr>
            <w:tcW w:w="1121" w:type="dxa"/>
            <w:tcBorders>
              <w:bottom w:val="single" w:sz="6" w:space="0" w:color="000000"/>
            </w:tcBorders>
          </w:tcPr>
          <w:p>
            <w:pPr>
              <w:pStyle w:val="TableParagraph"/>
              <w:spacing w:line="239" w:lineRule="exact" w:before="19"/>
              <w:ind w:right="261"/>
              <w:jc w:val="right"/>
              <w:rPr>
                <w:rFonts w:ascii="Times New Roman"/>
                <w:sz w:val="21"/>
              </w:rPr>
            </w:pPr>
            <w:r>
              <w:rPr>
                <w:rFonts w:ascii="Times New Roman"/>
                <w:sz w:val="21"/>
              </w:rPr>
              <w:t>0.0025</w:t>
            </w:r>
          </w:p>
        </w:tc>
        <w:tc>
          <w:tcPr>
            <w:tcW w:w="1121" w:type="dxa"/>
            <w:tcBorders>
              <w:bottom w:val="single" w:sz="6" w:space="0" w:color="000000"/>
            </w:tcBorders>
          </w:tcPr>
          <w:p>
            <w:pPr>
              <w:pStyle w:val="TableParagraph"/>
              <w:spacing w:line="239" w:lineRule="exact" w:before="19"/>
              <w:ind w:left="111" w:right="112"/>
              <w:rPr>
                <w:rFonts w:ascii="Times New Roman"/>
                <w:sz w:val="21"/>
              </w:rPr>
            </w:pPr>
            <w:r>
              <w:rPr>
                <w:rFonts w:ascii="Times New Roman"/>
                <w:sz w:val="21"/>
              </w:rPr>
              <w:t>10</w:t>
            </w:r>
          </w:p>
        </w:tc>
      </w:tr>
      <w:tr>
        <w:trPr>
          <w:trHeight w:val="282" w:hRule="atLeast"/>
        </w:trPr>
        <w:tc>
          <w:tcPr>
            <w:tcW w:w="2879" w:type="dxa"/>
            <w:gridSpan w:val="3"/>
            <w:tcBorders>
              <w:top w:val="single" w:sz="6" w:space="0" w:color="000000"/>
            </w:tcBorders>
          </w:tcPr>
          <w:p>
            <w:pPr>
              <w:pStyle w:val="TableParagraph"/>
              <w:spacing w:line="257" w:lineRule="exact" w:before="6"/>
              <w:ind w:left="999" w:right="988"/>
              <w:rPr>
                <w:sz w:val="21"/>
              </w:rPr>
            </w:pPr>
            <w:r>
              <w:rPr>
                <w:sz w:val="21"/>
              </w:rPr>
              <w:t>平均值</w:t>
            </w:r>
          </w:p>
        </w:tc>
        <w:tc>
          <w:tcPr>
            <w:tcW w:w="802" w:type="dxa"/>
            <w:tcBorders>
              <w:top w:val="single" w:sz="6" w:space="0" w:color="000000"/>
            </w:tcBorders>
          </w:tcPr>
          <w:p>
            <w:pPr>
              <w:pStyle w:val="TableParagraph"/>
              <w:spacing w:before="20"/>
              <w:ind w:left="140" w:right="133"/>
              <w:rPr>
                <w:rFonts w:ascii="Times New Roman"/>
                <w:sz w:val="21"/>
              </w:rPr>
            </w:pPr>
            <w:r>
              <w:rPr>
                <w:rFonts w:ascii="Times New Roman"/>
                <w:sz w:val="21"/>
              </w:rPr>
              <w:t>--</w:t>
            </w:r>
          </w:p>
        </w:tc>
        <w:tc>
          <w:tcPr>
            <w:tcW w:w="848" w:type="dxa"/>
            <w:tcBorders>
              <w:top w:val="single" w:sz="6" w:space="0" w:color="000000"/>
            </w:tcBorders>
          </w:tcPr>
          <w:p>
            <w:pPr>
              <w:pStyle w:val="TableParagraph"/>
              <w:spacing w:before="20"/>
              <w:ind w:left="110" w:right="106"/>
              <w:rPr>
                <w:rFonts w:ascii="Times New Roman"/>
                <w:sz w:val="21"/>
              </w:rPr>
            </w:pPr>
            <w:r>
              <w:rPr>
                <w:rFonts w:ascii="Times New Roman"/>
                <w:sz w:val="21"/>
              </w:rPr>
              <w:t>--</w:t>
            </w:r>
          </w:p>
        </w:tc>
        <w:tc>
          <w:tcPr>
            <w:tcW w:w="958" w:type="dxa"/>
            <w:tcBorders>
              <w:top w:val="single" w:sz="6" w:space="0" w:color="000000"/>
            </w:tcBorders>
          </w:tcPr>
          <w:p>
            <w:pPr>
              <w:pStyle w:val="TableParagraph"/>
              <w:spacing w:before="20"/>
              <w:ind w:left="111" w:right="108"/>
              <w:rPr>
                <w:rFonts w:ascii="Times New Roman"/>
                <w:sz w:val="21"/>
              </w:rPr>
            </w:pPr>
            <w:r>
              <w:rPr>
                <w:rFonts w:ascii="Times New Roman"/>
                <w:sz w:val="21"/>
              </w:rPr>
              <w:t>6.9</w:t>
            </w:r>
          </w:p>
        </w:tc>
        <w:tc>
          <w:tcPr>
            <w:tcW w:w="1042" w:type="dxa"/>
            <w:tcBorders>
              <w:top w:val="single" w:sz="6" w:space="0" w:color="000000"/>
            </w:tcBorders>
          </w:tcPr>
          <w:p>
            <w:pPr>
              <w:pStyle w:val="TableParagraph"/>
              <w:spacing w:before="20"/>
              <w:ind w:left="179" w:right="179"/>
              <w:rPr>
                <w:rFonts w:ascii="Times New Roman"/>
                <w:sz w:val="21"/>
              </w:rPr>
            </w:pPr>
            <w:r>
              <w:rPr>
                <w:rFonts w:ascii="Times New Roman"/>
                <w:sz w:val="21"/>
              </w:rPr>
              <w:t>4.12</w:t>
            </w:r>
          </w:p>
        </w:tc>
        <w:tc>
          <w:tcPr>
            <w:tcW w:w="1095" w:type="dxa"/>
            <w:tcBorders>
              <w:top w:val="single" w:sz="6" w:space="0" w:color="000000"/>
            </w:tcBorders>
          </w:tcPr>
          <w:p>
            <w:pPr>
              <w:pStyle w:val="TableParagraph"/>
              <w:spacing w:before="20"/>
              <w:ind w:left="238" w:right="229"/>
              <w:rPr>
                <w:rFonts w:ascii="Times New Roman"/>
                <w:sz w:val="21"/>
              </w:rPr>
            </w:pPr>
            <w:r>
              <w:rPr>
                <w:rFonts w:ascii="Times New Roman"/>
                <w:sz w:val="21"/>
              </w:rPr>
              <w:t>3.3</w:t>
            </w:r>
          </w:p>
        </w:tc>
        <w:tc>
          <w:tcPr>
            <w:tcW w:w="994" w:type="dxa"/>
            <w:tcBorders>
              <w:top w:val="single" w:sz="6" w:space="0" w:color="000000"/>
            </w:tcBorders>
          </w:tcPr>
          <w:p>
            <w:pPr>
              <w:pStyle w:val="TableParagraph"/>
              <w:spacing w:before="20"/>
              <w:ind w:left="69" w:right="65"/>
              <w:rPr>
                <w:rFonts w:ascii="Times New Roman"/>
                <w:sz w:val="21"/>
              </w:rPr>
            </w:pPr>
            <w:r>
              <w:rPr>
                <w:rFonts w:ascii="Times New Roman"/>
                <w:sz w:val="21"/>
              </w:rPr>
              <w:t>0.728</w:t>
            </w:r>
          </w:p>
        </w:tc>
        <w:tc>
          <w:tcPr>
            <w:tcW w:w="1121" w:type="dxa"/>
            <w:tcBorders>
              <w:top w:val="single" w:sz="6" w:space="0" w:color="000000"/>
            </w:tcBorders>
          </w:tcPr>
          <w:p>
            <w:pPr>
              <w:pStyle w:val="TableParagraph"/>
              <w:spacing w:before="20"/>
              <w:ind w:left="115" w:right="110"/>
              <w:rPr>
                <w:rFonts w:ascii="Times New Roman"/>
                <w:sz w:val="21"/>
              </w:rPr>
            </w:pPr>
            <w:r>
              <w:rPr>
                <w:rFonts w:ascii="Times New Roman"/>
                <w:sz w:val="21"/>
              </w:rPr>
              <w:t>0.012</w:t>
            </w:r>
          </w:p>
        </w:tc>
        <w:tc>
          <w:tcPr>
            <w:tcW w:w="1121" w:type="dxa"/>
            <w:tcBorders>
              <w:top w:val="single" w:sz="6" w:space="0" w:color="000000"/>
            </w:tcBorders>
          </w:tcPr>
          <w:p>
            <w:pPr>
              <w:pStyle w:val="TableParagraph"/>
              <w:spacing w:before="20"/>
              <w:ind w:left="115" w:right="112"/>
              <w:rPr>
                <w:rFonts w:ascii="Times New Roman"/>
                <w:sz w:val="21"/>
              </w:rPr>
            </w:pPr>
            <w:r>
              <w:rPr>
                <w:rFonts w:ascii="Times New Roman"/>
                <w:sz w:val="21"/>
              </w:rPr>
              <w:t>0.00028</w:t>
            </w:r>
          </w:p>
        </w:tc>
        <w:tc>
          <w:tcPr>
            <w:tcW w:w="1122" w:type="dxa"/>
            <w:tcBorders>
              <w:top w:val="single" w:sz="6" w:space="0" w:color="000000"/>
            </w:tcBorders>
          </w:tcPr>
          <w:p>
            <w:pPr>
              <w:pStyle w:val="TableParagraph"/>
              <w:spacing w:before="20"/>
              <w:ind w:left="194" w:right="192"/>
              <w:rPr>
                <w:rFonts w:ascii="Times New Roman"/>
                <w:sz w:val="21"/>
              </w:rPr>
            </w:pPr>
            <w:r>
              <w:rPr>
                <w:rFonts w:ascii="Times New Roman"/>
                <w:sz w:val="21"/>
              </w:rPr>
              <w:t>0.00004</w:t>
            </w:r>
          </w:p>
        </w:tc>
        <w:tc>
          <w:tcPr>
            <w:tcW w:w="1121" w:type="dxa"/>
            <w:tcBorders>
              <w:top w:val="single" w:sz="6" w:space="0" w:color="000000"/>
            </w:tcBorders>
          </w:tcPr>
          <w:p>
            <w:pPr>
              <w:pStyle w:val="TableParagraph"/>
              <w:spacing w:before="20"/>
              <w:ind w:right="261"/>
              <w:jc w:val="right"/>
              <w:rPr>
                <w:rFonts w:ascii="Times New Roman"/>
                <w:sz w:val="21"/>
              </w:rPr>
            </w:pPr>
            <w:r>
              <w:rPr>
                <w:rFonts w:ascii="Times New Roman"/>
                <w:sz w:val="21"/>
              </w:rPr>
              <w:t>0.0039</w:t>
            </w:r>
          </w:p>
        </w:tc>
        <w:tc>
          <w:tcPr>
            <w:tcW w:w="1121" w:type="dxa"/>
            <w:tcBorders>
              <w:top w:val="single" w:sz="6" w:space="0" w:color="000000"/>
            </w:tcBorders>
          </w:tcPr>
          <w:p>
            <w:pPr>
              <w:pStyle w:val="TableParagraph"/>
              <w:spacing w:before="20"/>
              <w:ind w:left="115" w:right="112"/>
              <w:rPr>
                <w:rFonts w:ascii="Times New Roman"/>
                <w:sz w:val="21"/>
              </w:rPr>
            </w:pPr>
            <w:r>
              <w:rPr>
                <w:rFonts w:ascii="Times New Roman"/>
                <w:sz w:val="21"/>
              </w:rPr>
              <w:t>15.8</w:t>
            </w:r>
          </w:p>
        </w:tc>
      </w:tr>
      <w:tr>
        <w:trPr>
          <w:trHeight w:val="282" w:hRule="atLeast"/>
        </w:trPr>
        <w:tc>
          <w:tcPr>
            <w:tcW w:w="2879" w:type="dxa"/>
            <w:gridSpan w:val="3"/>
          </w:tcPr>
          <w:p>
            <w:pPr>
              <w:pStyle w:val="TableParagraph"/>
              <w:spacing w:line="255" w:lineRule="exact" w:before="8"/>
              <w:ind w:left="999" w:right="988"/>
              <w:rPr>
                <w:sz w:val="21"/>
              </w:rPr>
            </w:pPr>
            <w:r>
              <w:rPr>
                <w:sz w:val="21"/>
              </w:rPr>
              <w:t>最大值</w:t>
            </w:r>
          </w:p>
        </w:tc>
        <w:tc>
          <w:tcPr>
            <w:tcW w:w="802" w:type="dxa"/>
          </w:tcPr>
          <w:p>
            <w:pPr>
              <w:pStyle w:val="TableParagraph"/>
              <w:spacing w:line="241" w:lineRule="exact" w:before="22"/>
              <w:ind w:left="140" w:right="133"/>
              <w:rPr>
                <w:rFonts w:ascii="Times New Roman"/>
                <w:sz w:val="21"/>
              </w:rPr>
            </w:pPr>
            <w:r>
              <w:rPr>
                <w:rFonts w:ascii="Times New Roman"/>
                <w:sz w:val="21"/>
              </w:rPr>
              <w:t>--</w:t>
            </w:r>
          </w:p>
        </w:tc>
        <w:tc>
          <w:tcPr>
            <w:tcW w:w="848" w:type="dxa"/>
          </w:tcPr>
          <w:p>
            <w:pPr>
              <w:pStyle w:val="TableParagraph"/>
              <w:spacing w:line="241" w:lineRule="exact" w:before="22"/>
              <w:ind w:left="110" w:right="106"/>
              <w:rPr>
                <w:rFonts w:ascii="Times New Roman"/>
                <w:sz w:val="21"/>
              </w:rPr>
            </w:pPr>
            <w:r>
              <w:rPr>
                <w:rFonts w:ascii="Times New Roman"/>
                <w:sz w:val="21"/>
              </w:rPr>
              <w:t>--</w:t>
            </w:r>
          </w:p>
        </w:tc>
        <w:tc>
          <w:tcPr>
            <w:tcW w:w="958" w:type="dxa"/>
          </w:tcPr>
          <w:p>
            <w:pPr>
              <w:pStyle w:val="TableParagraph"/>
              <w:spacing w:line="241" w:lineRule="exact" w:before="22"/>
              <w:ind w:left="114" w:right="108"/>
              <w:rPr>
                <w:rFonts w:ascii="Times New Roman"/>
                <w:sz w:val="21"/>
              </w:rPr>
            </w:pPr>
            <w:r>
              <w:rPr>
                <w:rFonts w:ascii="Times New Roman"/>
                <w:sz w:val="21"/>
              </w:rPr>
              <w:t>11.1</w:t>
            </w:r>
          </w:p>
        </w:tc>
        <w:tc>
          <w:tcPr>
            <w:tcW w:w="1042" w:type="dxa"/>
          </w:tcPr>
          <w:p>
            <w:pPr>
              <w:pStyle w:val="TableParagraph"/>
              <w:spacing w:line="241" w:lineRule="exact" w:before="22"/>
              <w:rPr>
                <w:rFonts w:ascii="Times New Roman"/>
                <w:sz w:val="21"/>
              </w:rPr>
            </w:pPr>
            <w:r>
              <w:rPr>
                <w:rFonts w:ascii="Times New Roman"/>
                <w:w w:val="100"/>
                <w:sz w:val="21"/>
              </w:rPr>
              <w:t>5</w:t>
            </w:r>
          </w:p>
        </w:tc>
        <w:tc>
          <w:tcPr>
            <w:tcW w:w="1095" w:type="dxa"/>
          </w:tcPr>
          <w:p>
            <w:pPr>
              <w:pStyle w:val="TableParagraph"/>
              <w:spacing w:line="241" w:lineRule="exact" w:before="22"/>
              <w:ind w:left="238" w:right="229"/>
              <w:rPr>
                <w:rFonts w:ascii="Times New Roman"/>
                <w:sz w:val="21"/>
              </w:rPr>
            </w:pPr>
            <w:r>
              <w:rPr>
                <w:rFonts w:ascii="Times New Roman"/>
                <w:sz w:val="21"/>
              </w:rPr>
              <w:t>3.8</w:t>
            </w:r>
          </w:p>
        </w:tc>
        <w:tc>
          <w:tcPr>
            <w:tcW w:w="994" w:type="dxa"/>
          </w:tcPr>
          <w:p>
            <w:pPr>
              <w:pStyle w:val="TableParagraph"/>
              <w:spacing w:line="241" w:lineRule="exact" w:before="22"/>
              <w:ind w:left="69" w:right="65"/>
              <w:rPr>
                <w:rFonts w:ascii="Times New Roman"/>
                <w:sz w:val="21"/>
              </w:rPr>
            </w:pPr>
            <w:r>
              <w:rPr>
                <w:rFonts w:ascii="Times New Roman"/>
                <w:sz w:val="21"/>
              </w:rPr>
              <w:t>0.99</w:t>
            </w:r>
          </w:p>
        </w:tc>
        <w:tc>
          <w:tcPr>
            <w:tcW w:w="1121" w:type="dxa"/>
          </w:tcPr>
          <w:p>
            <w:pPr>
              <w:pStyle w:val="TableParagraph"/>
              <w:spacing w:line="241" w:lineRule="exact" w:before="22"/>
              <w:ind w:left="115" w:right="110"/>
              <w:rPr>
                <w:rFonts w:ascii="Times New Roman"/>
                <w:sz w:val="21"/>
              </w:rPr>
            </w:pPr>
            <w:r>
              <w:rPr>
                <w:rFonts w:ascii="Times New Roman"/>
                <w:sz w:val="21"/>
              </w:rPr>
              <w:t>0.02</w:t>
            </w:r>
          </w:p>
        </w:tc>
        <w:tc>
          <w:tcPr>
            <w:tcW w:w="1121" w:type="dxa"/>
          </w:tcPr>
          <w:p>
            <w:pPr>
              <w:pStyle w:val="TableParagraph"/>
              <w:spacing w:line="241" w:lineRule="exact" w:before="22"/>
              <w:ind w:left="115" w:right="110"/>
              <w:rPr>
                <w:rFonts w:ascii="Times New Roman"/>
                <w:sz w:val="21"/>
              </w:rPr>
            </w:pPr>
            <w:r>
              <w:rPr>
                <w:rFonts w:ascii="Times New Roman"/>
                <w:sz w:val="21"/>
              </w:rPr>
              <w:t>0.0003</w:t>
            </w:r>
          </w:p>
        </w:tc>
        <w:tc>
          <w:tcPr>
            <w:tcW w:w="1122" w:type="dxa"/>
          </w:tcPr>
          <w:p>
            <w:pPr>
              <w:pStyle w:val="TableParagraph"/>
              <w:spacing w:line="241" w:lineRule="exact" w:before="22"/>
              <w:ind w:left="194" w:right="192"/>
              <w:rPr>
                <w:rFonts w:ascii="Times New Roman"/>
                <w:sz w:val="21"/>
              </w:rPr>
            </w:pPr>
            <w:r>
              <w:rPr>
                <w:rFonts w:ascii="Times New Roman"/>
                <w:sz w:val="21"/>
              </w:rPr>
              <w:t>0.00004</w:t>
            </w:r>
          </w:p>
        </w:tc>
        <w:tc>
          <w:tcPr>
            <w:tcW w:w="1121" w:type="dxa"/>
          </w:tcPr>
          <w:p>
            <w:pPr>
              <w:pStyle w:val="TableParagraph"/>
              <w:spacing w:line="241" w:lineRule="exact" w:before="22"/>
              <w:ind w:right="315"/>
              <w:jc w:val="right"/>
              <w:rPr>
                <w:rFonts w:ascii="Times New Roman"/>
                <w:sz w:val="21"/>
              </w:rPr>
            </w:pPr>
            <w:r>
              <w:rPr>
                <w:rFonts w:ascii="Times New Roman"/>
                <w:sz w:val="21"/>
              </w:rPr>
              <w:t>0.006</w:t>
            </w:r>
          </w:p>
        </w:tc>
        <w:tc>
          <w:tcPr>
            <w:tcW w:w="1121" w:type="dxa"/>
          </w:tcPr>
          <w:p>
            <w:pPr>
              <w:pStyle w:val="TableParagraph"/>
              <w:spacing w:line="241" w:lineRule="exact" w:before="22"/>
              <w:ind w:left="111" w:right="112"/>
              <w:rPr>
                <w:rFonts w:ascii="Times New Roman"/>
                <w:sz w:val="21"/>
              </w:rPr>
            </w:pPr>
            <w:r>
              <w:rPr>
                <w:rFonts w:ascii="Times New Roman"/>
                <w:sz w:val="21"/>
              </w:rPr>
              <w:t>18</w:t>
            </w:r>
          </w:p>
        </w:tc>
      </w:tr>
      <w:tr>
        <w:trPr>
          <w:trHeight w:val="285" w:hRule="atLeast"/>
        </w:trPr>
        <w:tc>
          <w:tcPr>
            <w:tcW w:w="2879" w:type="dxa"/>
            <w:gridSpan w:val="3"/>
          </w:tcPr>
          <w:p>
            <w:pPr>
              <w:pStyle w:val="TableParagraph"/>
              <w:spacing w:line="257" w:lineRule="exact" w:before="8"/>
              <w:ind w:left="804"/>
              <w:jc w:val="left"/>
              <w:rPr>
                <w:rFonts w:ascii="Times New Roman" w:hAnsi="Times New Roman" w:eastAsia="Times New Roman"/>
                <w:sz w:val="21"/>
              </w:rPr>
            </w:pPr>
            <w:r>
              <w:rPr>
                <w:rFonts w:ascii="Times New Roman" w:hAnsi="Times New Roman" w:eastAsia="Times New Roman"/>
                <w:sz w:val="21"/>
              </w:rPr>
              <w:t>III</w:t>
            </w:r>
            <w:r>
              <w:rPr>
                <w:rFonts w:ascii="Times New Roman" w:hAnsi="Times New Roman" w:eastAsia="Times New Roman"/>
                <w:spacing w:val="51"/>
                <w:sz w:val="21"/>
              </w:rPr>
              <w:t> </w:t>
            </w:r>
            <w:r>
              <w:rPr>
                <w:spacing w:val="-1"/>
                <w:sz w:val="21"/>
              </w:rPr>
              <w:t>类标准值</w:t>
            </w:r>
            <w:r>
              <w:rPr>
                <w:rFonts w:ascii="Times New Roman" w:hAnsi="Times New Roman" w:eastAsia="Times New Roman"/>
                <w:sz w:val="21"/>
              </w:rPr>
              <w:t>≤</w:t>
            </w:r>
          </w:p>
        </w:tc>
        <w:tc>
          <w:tcPr>
            <w:tcW w:w="802" w:type="dxa"/>
          </w:tcPr>
          <w:p>
            <w:pPr>
              <w:pStyle w:val="TableParagraph"/>
              <w:spacing w:before="22"/>
              <w:ind w:left="140" w:right="133"/>
              <w:rPr>
                <w:rFonts w:ascii="Times New Roman"/>
                <w:sz w:val="21"/>
              </w:rPr>
            </w:pPr>
            <w:r>
              <w:rPr>
                <w:rFonts w:ascii="Times New Roman"/>
                <w:sz w:val="21"/>
              </w:rPr>
              <w:t>--</w:t>
            </w:r>
          </w:p>
        </w:tc>
        <w:tc>
          <w:tcPr>
            <w:tcW w:w="848" w:type="dxa"/>
          </w:tcPr>
          <w:p>
            <w:pPr>
              <w:pStyle w:val="TableParagraph"/>
              <w:spacing w:before="22"/>
              <w:ind w:left="114" w:right="105"/>
              <w:rPr>
                <w:rFonts w:ascii="Times New Roman"/>
                <w:sz w:val="21"/>
              </w:rPr>
            </w:pPr>
            <w:r>
              <w:rPr>
                <w:rFonts w:ascii="Times New Roman"/>
                <w:sz w:val="21"/>
              </w:rPr>
              <w:t>6~9</w:t>
            </w:r>
          </w:p>
        </w:tc>
        <w:tc>
          <w:tcPr>
            <w:tcW w:w="958" w:type="dxa"/>
          </w:tcPr>
          <w:p>
            <w:pPr>
              <w:pStyle w:val="TableParagraph"/>
              <w:spacing w:before="22"/>
              <w:ind w:left="110" w:right="108"/>
              <w:rPr>
                <w:rFonts w:ascii="Times New Roman" w:hAnsi="Times New Roman"/>
                <w:sz w:val="21"/>
              </w:rPr>
            </w:pPr>
            <w:r>
              <w:rPr>
                <w:rFonts w:ascii="Times New Roman" w:hAnsi="Times New Roman"/>
                <w:sz w:val="21"/>
              </w:rPr>
              <w:t>≥5</w:t>
            </w:r>
          </w:p>
        </w:tc>
        <w:tc>
          <w:tcPr>
            <w:tcW w:w="1042" w:type="dxa"/>
          </w:tcPr>
          <w:p>
            <w:pPr>
              <w:pStyle w:val="TableParagraph"/>
              <w:spacing w:before="22"/>
              <w:rPr>
                <w:rFonts w:ascii="Times New Roman"/>
                <w:sz w:val="21"/>
              </w:rPr>
            </w:pPr>
            <w:r>
              <w:rPr>
                <w:rFonts w:ascii="Times New Roman"/>
                <w:w w:val="100"/>
                <w:sz w:val="21"/>
              </w:rPr>
              <w:t>6</w:t>
            </w:r>
          </w:p>
        </w:tc>
        <w:tc>
          <w:tcPr>
            <w:tcW w:w="1095" w:type="dxa"/>
          </w:tcPr>
          <w:p>
            <w:pPr>
              <w:pStyle w:val="TableParagraph"/>
              <w:spacing w:before="22"/>
              <w:ind w:left="4"/>
              <w:rPr>
                <w:rFonts w:ascii="Times New Roman"/>
                <w:sz w:val="21"/>
              </w:rPr>
            </w:pPr>
            <w:r>
              <w:rPr>
                <w:rFonts w:ascii="Times New Roman"/>
                <w:w w:val="100"/>
                <w:sz w:val="21"/>
              </w:rPr>
              <w:t>4</w:t>
            </w:r>
          </w:p>
        </w:tc>
        <w:tc>
          <w:tcPr>
            <w:tcW w:w="994" w:type="dxa"/>
          </w:tcPr>
          <w:p>
            <w:pPr>
              <w:pStyle w:val="TableParagraph"/>
              <w:spacing w:before="22"/>
              <w:rPr>
                <w:rFonts w:ascii="Times New Roman"/>
                <w:sz w:val="21"/>
              </w:rPr>
            </w:pPr>
            <w:r>
              <w:rPr>
                <w:rFonts w:ascii="Times New Roman"/>
                <w:w w:val="100"/>
                <w:sz w:val="21"/>
              </w:rPr>
              <w:t>1</w:t>
            </w:r>
          </w:p>
        </w:tc>
        <w:tc>
          <w:tcPr>
            <w:tcW w:w="1121" w:type="dxa"/>
          </w:tcPr>
          <w:p>
            <w:pPr>
              <w:pStyle w:val="TableParagraph"/>
              <w:spacing w:before="22"/>
              <w:ind w:left="115" w:right="110"/>
              <w:rPr>
                <w:rFonts w:ascii="Times New Roman"/>
                <w:sz w:val="21"/>
              </w:rPr>
            </w:pPr>
            <w:r>
              <w:rPr>
                <w:rFonts w:ascii="Times New Roman"/>
                <w:sz w:val="21"/>
              </w:rPr>
              <w:t>0.05</w:t>
            </w:r>
          </w:p>
        </w:tc>
        <w:tc>
          <w:tcPr>
            <w:tcW w:w="1121" w:type="dxa"/>
          </w:tcPr>
          <w:p>
            <w:pPr>
              <w:pStyle w:val="TableParagraph"/>
              <w:spacing w:before="22"/>
              <w:ind w:left="115" w:right="110"/>
              <w:rPr>
                <w:rFonts w:ascii="Times New Roman"/>
                <w:sz w:val="21"/>
              </w:rPr>
            </w:pPr>
            <w:r>
              <w:rPr>
                <w:rFonts w:ascii="Times New Roman"/>
                <w:sz w:val="21"/>
              </w:rPr>
              <w:t>0.005</w:t>
            </w:r>
          </w:p>
        </w:tc>
        <w:tc>
          <w:tcPr>
            <w:tcW w:w="1122" w:type="dxa"/>
          </w:tcPr>
          <w:p>
            <w:pPr>
              <w:pStyle w:val="TableParagraph"/>
              <w:spacing w:before="22"/>
              <w:ind w:left="194" w:right="189"/>
              <w:rPr>
                <w:rFonts w:ascii="Times New Roman"/>
                <w:sz w:val="21"/>
              </w:rPr>
            </w:pPr>
            <w:r>
              <w:rPr>
                <w:rFonts w:ascii="Times New Roman"/>
                <w:sz w:val="21"/>
              </w:rPr>
              <w:t>0.0001</w:t>
            </w:r>
          </w:p>
        </w:tc>
        <w:tc>
          <w:tcPr>
            <w:tcW w:w="1121" w:type="dxa"/>
          </w:tcPr>
          <w:p>
            <w:pPr>
              <w:pStyle w:val="TableParagraph"/>
              <w:spacing w:before="22"/>
              <w:ind w:left="372"/>
              <w:jc w:val="left"/>
              <w:rPr>
                <w:rFonts w:ascii="Times New Roman"/>
                <w:sz w:val="21"/>
              </w:rPr>
            </w:pPr>
            <w:r>
              <w:rPr>
                <w:rFonts w:ascii="Times New Roman"/>
                <w:sz w:val="21"/>
              </w:rPr>
              <w:t>0.05</w:t>
            </w:r>
          </w:p>
        </w:tc>
        <w:tc>
          <w:tcPr>
            <w:tcW w:w="1121" w:type="dxa"/>
          </w:tcPr>
          <w:p>
            <w:pPr>
              <w:pStyle w:val="TableParagraph"/>
              <w:spacing w:before="22"/>
              <w:ind w:left="111" w:right="112"/>
              <w:rPr>
                <w:rFonts w:ascii="Times New Roman"/>
                <w:sz w:val="21"/>
              </w:rPr>
            </w:pPr>
            <w:r>
              <w:rPr>
                <w:rFonts w:ascii="Times New Roman"/>
                <w:sz w:val="21"/>
              </w:rPr>
              <w:t>20</w:t>
            </w:r>
          </w:p>
        </w:tc>
      </w:tr>
      <w:tr>
        <w:trPr>
          <w:trHeight w:val="282" w:hRule="atLeast"/>
        </w:trPr>
        <w:tc>
          <w:tcPr>
            <w:tcW w:w="2879" w:type="dxa"/>
            <w:gridSpan w:val="3"/>
          </w:tcPr>
          <w:p>
            <w:pPr>
              <w:pStyle w:val="TableParagraph"/>
              <w:spacing w:line="255" w:lineRule="exact" w:before="8"/>
              <w:ind w:left="999" w:right="990"/>
              <w:rPr>
                <w:sz w:val="21"/>
              </w:rPr>
            </w:pPr>
            <w:r>
              <w:rPr>
                <w:sz w:val="21"/>
              </w:rPr>
              <w:t>达标情况</w:t>
            </w:r>
          </w:p>
        </w:tc>
        <w:tc>
          <w:tcPr>
            <w:tcW w:w="802" w:type="dxa"/>
          </w:tcPr>
          <w:p>
            <w:pPr>
              <w:pStyle w:val="TableParagraph"/>
              <w:spacing w:line="241" w:lineRule="exact" w:before="22"/>
              <w:ind w:left="140" w:right="133"/>
              <w:rPr>
                <w:rFonts w:ascii="Times New Roman"/>
                <w:sz w:val="21"/>
              </w:rPr>
            </w:pPr>
            <w:r>
              <w:rPr>
                <w:rFonts w:ascii="Times New Roman"/>
                <w:sz w:val="21"/>
              </w:rPr>
              <w:t>--</w:t>
            </w:r>
          </w:p>
        </w:tc>
        <w:tc>
          <w:tcPr>
            <w:tcW w:w="848" w:type="dxa"/>
          </w:tcPr>
          <w:p>
            <w:pPr>
              <w:pStyle w:val="TableParagraph"/>
              <w:spacing w:line="255" w:lineRule="exact" w:before="8"/>
              <w:ind w:left="114" w:right="106"/>
              <w:rPr>
                <w:sz w:val="21"/>
              </w:rPr>
            </w:pPr>
            <w:r>
              <w:rPr>
                <w:sz w:val="21"/>
              </w:rPr>
              <w:t>达标</w:t>
            </w:r>
          </w:p>
        </w:tc>
        <w:tc>
          <w:tcPr>
            <w:tcW w:w="958" w:type="dxa"/>
          </w:tcPr>
          <w:p>
            <w:pPr>
              <w:pStyle w:val="TableParagraph"/>
              <w:spacing w:line="255" w:lineRule="exact" w:before="8"/>
              <w:ind w:left="111" w:right="108"/>
              <w:rPr>
                <w:sz w:val="21"/>
              </w:rPr>
            </w:pPr>
            <w:r>
              <w:rPr>
                <w:sz w:val="21"/>
              </w:rPr>
              <w:t>达标</w:t>
            </w:r>
          </w:p>
        </w:tc>
        <w:tc>
          <w:tcPr>
            <w:tcW w:w="1042" w:type="dxa"/>
          </w:tcPr>
          <w:p>
            <w:pPr>
              <w:pStyle w:val="TableParagraph"/>
              <w:spacing w:line="255" w:lineRule="exact" w:before="8"/>
              <w:ind w:left="179" w:right="179"/>
              <w:rPr>
                <w:sz w:val="21"/>
              </w:rPr>
            </w:pPr>
            <w:r>
              <w:rPr>
                <w:sz w:val="21"/>
              </w:rPr>
              <w:t>达标</w:t>
            </w:r>
          </w:p>
        </w:tc>
        <w:tc>
          <w:tcPr>
            <w:tcW w:w="1095" w:type="dxa"/>
          </w:tcPr>
          <w:p>
            <w:pPr>
              <w:pStyle w:val="TableParagraph"/>
              <w:spacing w:line="255" w:lineRule="exact" w:before="8"/>
              <w:ind w:left="238" w:right="229"/>
              <w:rPr>
                <w:sz w:val="21"/>
              </w:rPr>
            </w:pPr>
            <w:r>
              <w:rPr>
                <w:sz w:val="21"/>
              </w:rPr>
              <w:t>达标</w:t>
            </w:r>
          </w:p>
        </w:tc>
        <w:tc>
          <w:tcPr>
            <w:tcW w:w="994" w:type="dxa"/>
          </w:tcPr>
          <w:p>
            <w:pPr>
              <w:pStyle w:val="TableParagraph"/>
              <w:spacing w:line="255" w:lineRule="exact" w:before="8"/>
              <w:ind w:left="69" w:right="65"/>
              <w:rPr>
                <w:sz w:val="21"/>
              </w:rPr>
            </w:pPr>
            <w:r>
              <w:rPr>
                <w:sz w:val="21"/>
              </w:rPr>
              <w:t>达标</w:t>
            </w:r>
          </w:p>
        </w:tc>
        <w:tc>
          <w:tcPr>
            <w:tcW w:w="1121" w:type="dxa"/>
          </w:tcPr>
          <w:p>
            <w:pPr>
              <w:pStyle w:val="TableParagraph"/>
              <w:spacing w:line="255" w:lineRule="exact" w:before="8"/>
              <w:ind w:left="115" w:right="110"/>
              <w:rPr>
                <w:sz w:val="21"/>
              </w:rPr>
            </w:pPr>
            <w:r>
              <w:rPr>
                <w:sz w:val="21"/>
              </w:rPr>
              <w:t>达标</w:t>
            </w:r>
          </w:p>
        </w:tc>
        <w:tc>
          <w:tcPr>
            <w:tcW w:w="1121" w:type="dxa"/>
          </w:tcPr>
          <w:p>
            <w:pPr>
              <w:pStyle w:val="TableParagraph"/>
              <w:spacing w:line="255" w:lineRule="exact" w:before="8"/>
              <w:ind w:left="115" w:right="110"/>
              <w:rPr>
                <w:sz w:val="21"/>
              </w:rPr>
            </w:pPr>
            <w:r>
              <w:rPr>
                <w:sz w:val="21"/>
              </w:rPr>
              <w:t>达标</w:t>
            </w:r>
          </w:p>
        </w:tc>
        <w:tc>
          <w:tcPr>
            <w:tcW w:w="1122" w:type="dxa"/>
          </w:tcPr>
          <w:p>
            <w:pPr>
              <w:pStyle w:val="TableParagraph"/>
              <w:spacing w:line="255" w:lineRule="exact" w:before="8"/>
              <w:ind w:left="194" w:right="189"/>
              <w:rPr>
                <w:sz w:val="21"/>
              </w:rPr>
            </w:pPr>
            <w:r>
              <w:rPr>
                <w:sz w:val="21"/>
              </w:rPr>
              <w:t>达标</w:t>
            </w:r>
          </w:p>
        </w:tc>
        <w:tc>
          <w:tcPr>
            <w:tcW w:w="1121" w:type="dxa"/>
          </w:tcPr>
          <w:p>
            <w:pPr>
              <w:pStyle w:val="TableParagraph"/>
              <w:spacing w:line="255" w:lineRule="exact" w:before="8"/>
              <w:ind w:left="346"/>
              <w:jc w:val="left"/>
              <w:rPr>
                <w:sz w:val="21"/>
              </w:rPr>
            </w:pPr>
            <w:r>
              <w:rPr>
                <w:sz w:val="21"/>
              </w:rPr>
              <w:t>达标</w:t>
            </w:r>
          </w:p>
        </w:tc>
        <w:tc>
          <w:tcPr>
            <w:tcW w:w="1121" w:type="dxa"/>
          </w:tcPr>
          <w:p>
            <w:pPr>
              <w:pStyle w:val="TableParagraph"/>
              <w:spacing w:line="255" w:lineRule="exact" w:before="8"/>
              <w:ind w:left="115" w:right="112"/>
              <w:rPr>
                <w:sz w:val="21"/>
              </w:rPr>
            </w:pPr>
            <w:r>
              <w:rPr>
                <w:sz w:val="21"/>
              </w:rPr>
              <w:t>达标</w:t>
            </w:r>
          </w:p>
        </w:tc>
      </w:tr>
      <w:tr>
        <w:trPr>
          <w:trHeight w:val="546" w:hRule="atLeast"/>
        </w:trPr>
        <w:tc>
          <w:tcPr>
            <w:tcW w:w="651" w:type="dxa"/>
          </w:tcPr>
          <w:p>
            <w:pPr>
              <w:pStyle w:val="TableParagraph"/>
              <w:spacing w:line="270" w:lineRule="atLeast" w:before="2"/>
              <w:ind w:left="112" w:right="105"/>
              <w:jc w:val="left"/>
              <w:rPr>
                <w:b/>
                <w:sz w:val="21"/>
              </w:rPr>
            </w:pPr>
            <w:r>
              <w:rPr>
                <w:b/>
                <w:sz w:val="21"/>
              </w:rPr>
              <w:t>点位名称</w:t>
            </w:r>
          </w:p>
        </w:tc>
        <w:tc>
          <w:tcPr>
            <w:tcW w:w="773" w:type="dxa"/>
          </w:tcPr>
          <w:p>
            <w:pPr>
              <w:pStyle w:val="TableParagraph"/>
              <w:spacing w:line="270" w:lineRule="atLeast" w:before="2"/>
              <w:ind w:left="172" w:right="166"/>
              <w:jc w:val="left"/>
              <w:rPr>
                <w:b/>
                <w:sz w:val="21"/>
              </w:rPr>
            </w:pPr>
            <w:r>
              <w:rPr>
                <w:b/>
                <w:sz w:val="21"/>
              </w:rPr>
              <w:t>采样地点</w:t>
            </w:r>
          </w:p>
        </w:tc>
        <w:tc>
          <w:tcPr>
            <w:tcW w:w="1455" w:type="dxa"/>
          </w:tcPr>
          <w:p>
            <w:pPr>
              <w:pStyle w:val="TableParagraph"/>
              <w:spacing w:before="137"/>
              <w:ind w:left="335" w:right="332"/>
              <w:rPr>
                <w:b/>
                <w:sz w:val="21"/>
              </w:rPr>
            </w:pPr>
            <w:r>
              <w:rPr>
                <w:b/>
                <w:sz w:val="21"/>
              </w:rPr>
              <w:t>日期</w:t>
            </w:r>
          </w:p>
        </w:tc>
        <w:tc>
          <w:tcPr>
            <w:tcW w:w="802" w:type="dxa"/>
          </w:tcPr>
          <w:p>
            <w:pPr>
              <w:pStyle w:val="TableParagraph"/>
              <w:spacing w:before="137"/>
              <w:ind w:left="140" w:right="133"/>
              <w:rPr>
                <w:b/>
                <w:sz w:val="21"/>
              </w:rPr>
            </w:pPr>
            <w:r>
              <w:rPr>
                <w:b/>
                <w:sz w:val="21"/>
              </w:rPr>
              <w:t>总磷</w:t>
            </w:r>
          </w:p>
        </w:tc>
        <w:tc>
          <w:tcPr>
            <w:tcW w:w="848" w:type="dxa"/>
          </w:tcPr>
          <w:p>
            <w:pPr>
              <w:pStyle w:val="TableParagraph"/>
              <w:spacing w:before="137"/>
              <w:ind w:left="4"/>
              <w:rPr>
                <w:b/>
                <w:sz w:val="21"/>
              </w:rPr>
            </w:pPr>
            <w:r>
              <w:rPr>
                <w:b/>
                <w:w w:val="100"/>
                <w:sz w:val="21"/>
              </w:rPr>
              <w:t>铜</w:t>
            </w:r>
          </w:p>
        </w:tc>
        <w:tc>
          <w:tcPr>
            <w:tcW w:w="958" w:type="dxa"/>
          </w:tcPr>
          <w:p>
            <w:pPr>
              <w:pStyle w:val="TableParagraph"/>
              <w:spacing w:before="137"/>
              <w:ind w:left="3"/>
              <w:rPr>
                <w:b/>
                <w:sz w:val="21"/>
              </w:rPr>
            </w:pPr>
            <w:r>
              <w:rPr>
                <w:b/>
                <w:w w:val="100"/>
                <w:sz w:val="21"/>
              </w:rPr>
              <w:t>锌</w:t>
            </w:r>
          </w:p>
        </w:tc>
        <w:tc>
          <w:tcPr>
            <w:tcW w:w="1042" w:type="dxa"/>
          </w:tcPr>
          <w:p>
            <w:pPr>
              <w:pStyle w:val="TableParagraph"/>
              <w:spacing w:before="137"/>
              <w:ind w:left="179" w:right="179"/>
              <w:rPr>
                <w:b/>
                <w:sz w:val="21"/>
              </w:rPr>
            </w:pPr>
            <w:r>
              <w:rPr>
                <w:b/>
                <w:sz w:val="21"/>
              </w:rPr>
              <w:t>氟化物</w:t>
            </w:r>
          </w:p>
        </w:tc>
        <w:tc>
          <w:tcPr>
            <w:tcW w:w="1095" w:type="dxa"/>
          </w:tcPr>
          <w:p>
            <w:pPr>
              <w:pStyle w:val="TableParagraph"/>
              <w:spacing w:before="137"/>
              <w:ind w:left="4"/>
              <w:rPr>
                <w:b/>
                <w:sz w:val="21"/>
              </w:rPr>
            </w:pPr>
            <w:r>
              <w:rPr>
                <w:b/>
                <w:w w:val="100"/>
                <w:sz w:val="21"/>
              </w:rPr>
              <w:t>硒</w:t>
            </w:r>
          </w:p>
        </w:tc>
        <w:tc>
          <w:tcPr>
            <w:tcW w:w="994" w:type="dxa"/>
          </w:tcPr>
          <w:p>
            <w:pPr>
              <w:pStyle w:val="TableParagraph"/>
              <w:spacing w:before="137"/>
              <w:rPr>
                <w:b/>
                <w:sz w:val="21"/>
              </w:rPr>
            </w:pPr>
            <w:r>
              <w:rPr>
                <w:b/>
                <w:w w:val="100"/>
                <w:sz w:val="21"/>
              </w:rPr>
              <w:t>砷</w:t>
            </w:r>
          </w:p>
        </w:tc>
        <w:tc>
          <w:tcPr>
            <w:tcW w:w="1121" w:type="dxa"/>
          </w:tcPr>
          <w:p>
            <w:pPr>
              <w:pStyle w:val="TableParagraph"/>
              <w:spacing w:before="137"/>
              <w:ind w:left="1"/>
              <w:rPr>
                <w:b/>
                <w:sz w:val="21"/>
              </w:rPr>
            </w:pPr>
            <w:r>
              <w:rPr>
                <w:b/>
                <w:w w:val="100"/>
                <w:sz w:val="21"/>
              </w:rPr>
              <w:t>镉</w:t>
            </w:r>
          </w:p>
        </w:tc>
        <w:tc>
          <w:tcPr>
            <w:tcW w:w="1121" w:type="dxa"/>
          </w:tcPr>
          <w:p>
            <w:pPr>
              <w:pStyle w:val="TableParagraph"/>
              <w:spacing w:before="137"/>
              <w:ind w:left="112" w:right="112"/>
              <w:rPr>
                <w:b/>
                <w:sz w:val="21"/>
              </w:rPr>
            </w:pPr>
            <w:r>
              <w:rPr>
                <w:b/>
                <w:sz w:val="21"/>
              </w:rPr>
              <w:t>六价铬</w:t>
            </w:r>
          </w:p>
        </w:tc>
        <w:tc>
          <w:tcPr>
            <w:tcW w:w="1122" w:type="dxa"/>
          </w:tcPr>
          <w:p>
            <w:pPr>
              <w:pStyle w:val="TableParagraph"/>
              <w:spacing w:before="137"/>
              <w:ind w:left="193" w:right="193"/>
              <w:rPr>
                <w:b/>
                <w:sz w:val="21"/>
              </w:rPr>
            </w:pPr>
            <w:r>
              <w:rPr>
                <w:b/>
                <w:sz w:val="21"/>
              </w:rPr>
              <w:t>氰化物</w:t>
            </w:r>
          </w:p>
        </w:tc>
        <w:tc>
          <w:tcPr>
            <w:tcW w:w="1121" w:type="dxa"/>
          </w:tcPr>
          <w:p>
            <w:pPr>
              <w:pStyle w:val="TableParagraph"/>
              <w:spacing w:line="270" w:lineRule="atLeast" w:before="2"/>
              <w:ind w:left="135" w:right="129"/>
              <w:jc w:val="left"/>
              <w:rPr>
                <w:b/>
                <w:sz w:val="21"/>
              </w:rPr>
            </w:pPr>
            <w:r>
              <w:rPr>
                <w:b/>
                <w:sz w:val="21"/>
              </w:rPr>
              <w:t>阴离子表面活性剂</w:t>
            </w:r>
          </w:p>
        </w:tc>
        <w:tc>
          <w:tcPr>
            <w:tcW w:w="1121" w:type="dxa"/>
          </w:tcPr>
          <w:p>
            <w:pPr>
              <w:pStyle w:val="TableParagraph"/>
              <w:spacing w:before="137"/>
              <w:ind w:left="111" w:right="112"/>
              <w:rPr>
                <w:b/>
                <w:sz w:val="21"/>
              </w:rPr>
            </w:pPr>
            <w:r>
              <w:rPr>
                <w:b/>
                <w:sz w:val="21"/>
              </w:rPr>
              <w:t>硫化物</w:t>
            </w:r>
          </w:p>
        </w:tc>
      </w:tr>
      <w:tr>
        <w:trPr>
          <w:trHeight w:val="282" w:hRule="atLeast"/>
        </w:trPr>
        <w:tc>
          <w:tcPr>
            <w:tcW w:w="651" w:type="dxa"/>
            <w:vMerge w:val="restart"/>
          </w:tcPr>
          <w:p>
            <w:pPr>
              <w:pStyle w:val="TableParagraph"/>
              <w:jc w:val="left"/>
              <w:rPr>
                <w:b/>
                <w:sz w:val="22"/>
              </w:rPr>
            </w:pPr>
          </w:p>
          <w:p>
            <w:pPr>
              <w:pStyle w:val="TableParagraph"/>
              <w:spacing w:before="5"/>
              <w:jc w:val="left"/>
              <w:rPr>
                <w:b/>
                <w:sz w:val="25"/>
              </w:rPr>
            </w:pPr>
          </w:p>
          <w:p>
            <w:pPr>
              <w:pStyle w:val="TableParagraph"/>
              <w:ind w:left="172"/>
              <w:jc w:val="left"/>
              <w:rPr>
                <w:rFonts w:ascii="Times New Roman"/>
                <w:sz w:val="21"/>
              </w:rPr>
            </w:pPr>
            <w:r>
              <w:rPr>
                <w:rFonts w:ascii="Times New Roman"/>
                <w:sz w:val="21"/>
              </w:rPr>
              <w:t>W1</w:t>
            </w:r>
          </w:p>
        </w:tc>
        <w:tc>
          <w:tcPr>
            <w:tcW w:w="773" w:type="dxa"/>
            <w:vMerge w:val="restart"/>
          </w:tcPr>
          <w:p>
            <w:pPr>
              <w:pStyle w:val="TableParagraph"/>
              <w:spacing w:before="2"/>
              <w:jc w:val="left"/>
              <w:rPr>
                <w:b/>
                <w:sz w:val="25"/>
              </w:rPr>
            </w:pPr>
          </w:p>
          <w:p>
            <w:pPr>
              <w:pStyle w:val="TableParagraph"/>
              <w:spacing w:line="242" w:lineRule="auto"/>
              <w:ind w:left="174" w:right="163"/>
              <w:jc w:val="both"/>
              <w:rPr>
                <w:sz w:val="21"/>
              </w:rPr>
            </w:pPr>
            <w:r>
              <w:rPr>
                <w:sz w:val="21"/>
              </w:rPr>
              <w:t>东进河一号桥</w:t>
            </w:r>
          </w:p>
        </w:tc>
        <w:tc>
          <w:tcPr>
            <w:tcW w:w="1455" w:type="dxa"/>
          </w:tcPr>
          <w:p>
            <w:pPr>
              <w:pStyle w:val="TableParagraph"/>
              <w:spacing w:before="19"/>
              <w:ind w:left="336" w:right="331"/>
              <w:rPr>
                <w:rFonts w:ascii="Times New Roman"/>
                <w:sz w:val="21"/>
              </w:rPr>
            </w:pPr>
            <w:r>
              <w:rPr>
                <w:rFonts w:ascii="Times New Roman"/>
                <w:sz w:val="21"/>
              </w:rPr>
              <w:t>2020.1.2</w:t>
            </w:r>
          </w:p>
        </w:tc>
        <w:tc>
          <w:tcPr>
            <w:tcW w:w="802" w:type="dxa"/>
          </w:tcPr>
          <w:p>
            <w:pPr>
              <w:pStyle w:val="TableParagraph"/>
              <w:spacing w:before="19"/>
              <w:ind w:left="140" w:right="133"/>
              <w:rPr>
                <w:rFonts w:ascii="Times New Roman"/>
                <w:sz w:val="21"/>
              </w:rPr>
            </w:pPr>
            <w:r>
              <w:rPr>
                <w:rFonts w:ascii="Times New Roman"/>
                <w:sz w:val="21"/>
              </w:rPr>
              <w:t>0.20</w:t>
            </w:r>
          </w:p>
        </w:tc>
        <w:tc>
          <w:tcPr>
            <w:tcW w:w="848" w:type="dxa"/>
          </w:tcPr>
          <w:p>
            <w:pPr>
              <w:pStyle w:val="TableParagraph"/>
              <w:spacing w:before="19"/>
              <w:ind w:left="114" w:right="105"/>
              <w:rPr>
                <w:rFonts w:ascii="Times New Roman"/>
                <w:sz w:val="21"/>
              </w:rPr>
            </w:pPr>
            <w:r>
              <w:rPr>
                <w:rFonts w:ascii="Times New Roman"/>
                <w:sz w:val="21"/>
              </w:rPr>
              <w:t>0.004</w:t>
            </w:r>
          </w:p>
        </w:tc>
        <w:tc>
          <w:tcPr>
            <w:tcW w:w="958" w:type="dxa"/>
          </w:tcPr>
          <w:p>
            <w:pPr>
              <w:pStyle w:val="TableParagraph"/>
              <w:spacing w:before="19"/>
              <w:ind w:left="111" w:right="108"/>
              <w:rPr>
                <w:rFonts w:ascii="Times New Roman"/>
                <w:sz w:val="21"/>
              </w:rPr>
            </w:pPr>
            <w:r>
              <w:rPr>
                <w:rFonts w:ascii="Times New Roman"/>
                <w:sz w:val="21"/>
              </w:rPr>
              <w:t>0.005</w:t>
            </w:r>
          </w:p>
        </w:tc>
        <w:tc>
          <w:tcPr>
            <w:tcW w:w="1042" w:type="dxa"/>
          </w:tcPr>
          <w:p>
            <w:pPr>
              <w:pStyle w:val="TableParagraph"/>
              <w:spacing w:before="19"/>
              <w:ind w:left="179" w:right="179"/>
              <w:rPr>
                <w:rFonts w:ascii="Times New Roman"/>
                <w:sz w:val="21"/>
              </w:rPr>
            </w:pPr>
            <w:r>
              <w:rPr>
                <w:rFonts w:ascii="Times New Roman"/>
                <w:sz w:val="21"/>
              </w:rPr>
              <w:t>0.288</w:t>
            </w:r>
          </w:p>
        </w:tc>
        <w:tc>
          <w:tcPr>
            <w:tcW w:w="1095" w:type="dxa"/>
          </w:tcPr>
          <w:p>
            <w:pPr>
              <w:pStyle w:val="TableParagraph"/>
              <w:spacing w:before="19"/>
              <w:ind w:left="238" w:right="229"/>
              <w:rPr>
                <w:rFonts w:ascii="Times New Roman"/>
                <w:sz w:val="21"/>
              </w:rPr>
            </w:pPr>
            <w:r>
              <w:rPr>
                <w:rFonts w:ascii="Times New Roman"/>
                <w:sz w:val="21"/>
              </w:rPr>
              <w:t>0.0004</w:t>
            </w:r>
          </w:p>
        </w:tc>
        <w:tc>
          <w:tcPr>
            <w:tcW w:w="994" w:type="dxa"/>
          </w:tcPr>
          <w:p>
            <w:pPr>
              <w:pStyle w:val="TableParagraph"/>
              <w:spacing w:before="19"/>
              <w:ind w:left="69" w:right="65"/>
              <w:rPr>
                <w:rFonts w:ascii="Times New Roman"/>
                <w:sz w:val="21"/>
              </w:rPr>
            </w:pPr>
            <w:r>
              <w:rPr>
                <w:rFonts w:ascii="Times New Roman"/>
                <w:sz w:val="21"/>
              </w:rPr>
              <w:t>0.005</w:t>
            </w:r>
          </w:p>
        </w:tc>
        <w:tc>
          <w:tcPr>
            <w:tcW w:w="1121" w:type="dxa"/>
          </w:tcPr>
          <w:p>
            <w:pPr>
              <w:pStyle w:val="TableParagraph"/>
              <w:spacing w:before="19"/>
              <w:ind w:left="115" w:right="110"/>
              <w:rPr>
                <w:rFonts w:ascii="Times New Roman"/>
                <w:sz w:val="21"/>
              </w:rPr>
            </w:pPr>
            <w:r>
              <w:rPr>
                <w:rFonts w:ascii="Times New Roman"/>
                <w:sz w:val="21"/>
              </w:rPr>
              <w:t>0.0002</w:t>
            </w:r>
          </w:p>
        </w:tc>
        <w:tc>
          <w:tcPr>
            <w:tcW w:w="1121" w:type="dxa"/>
          </w:tcPr>
          <w:p>
            <w:pPr>
              <w:pStyle w:val="TableParagraph"/>
              <w:spacing w:before="19"/>
              <w:ind w:left="115" w:right="110"/>
              <w:rPr>
                <w:rFonts w:ascii="Times New Roman"/>
                <w:sz w:val="21"/>
              </w:rPr>
            </w:pPr>
            <w:r>
              <w:rPr>
                <w:rFonts w:ascii="Times New Roman"/>
                <w:sz w:val="21"/>
              </w:rPr>
              <w:t>0.004</w:t>
            </w:r>
          </w:p>
        </w:tc>
        <w:tc>
          <w:tcPr>
            <w:tcW w:w="1122" w:type="dxa"/>
          </w:tcPr>
          <w:p>
            <w:pPr>
              <w:pStyle w:val="TableParagraph"/>
              <w:spacing w:before="19"/>
              <w:ind w:left="194" w:right="189"/>
              <w:rPr>
                <w:rFonts w:ascii="Times New Roman"/>
                <w:sz w:val="21"/>
              </w:rPr>
            </w:pPr>
            <w:r>
              <w:rPr>
                <w:rFonts w:ascii="Times New Roman"/>
                <w:sz w:val="21"/>
              </w:rPr>
              <w:t>0.004</w:t>
            </w:r>
          </w:p>
        </w:tc>
        <w:tc>
          <w:tcPr>
            <w:tcW w:w="1121" w:type="dxa"/>
          </w:tcPr>
          <w:p>
            <w:pPr>
              <w:pStyle w:val="TableParagraph"/>
              <w:spacing w:before="19"/>
              <w:ind w:left="372"/>
              <w:jc w:val="left"/>
              <w:rPr>
                <w:rFonts w:ascii="Times New Roman"/>
                <w:sz w:val="21"/>
              </w:rPr>
            </w:pPr>
            <w:r>
              <w:rPr>
                <w:rFonts w:ascii="Times New Roman"/>
                <w:sz w:val="21"/>
              </w:rPr>
              <w:t>0.05</w:t>
            </w:r>
          </w:p>
        </w:tc>
        <w:tc>
          <w:tcPr>
            <w:tcW w:w="1121" w:type="dxa"/>
          </w:tcPr>
          <w:p>
            <w:pPr>
              <w:pStyle w:val="TableParagraph"/>
              <w:spacing w:before="19"/>
              <w:ind w:left="115" w:right="112"/>
              <w:rPr>
                <w:rFonts w:ascii="Times New Roman"/>
                <w:sz w:val="21"/>
              </w:rPr>
            </w:pPr>
            <w:r>
              <w:rPr>
                <w:rFonts w:ascii="Times New Roman"/>
                <w:sz w:val="21"/>
              </w:rPr>
              <w:t>0.005</w:t>
            </w:r>
          </w:p>
        </w:tc>
      </w:tr>
      <w:tr>
        <w:trPr>
          <w:trHeight w:val="285" w:hRule="atLeast"/>
        </w:trPr>
        <w:tc>
          <w:tcPr>
            <w:tcW w:w="651" w:type="dxa"/>
            <w:vMerge/>
            <w:tcBorders>
              <w:top w:val="nil"/>
            </w:tcBorders>
          </w:tcPr>
          <w:p>
            <w:pPr>
              <w:rPr>
                <w:sz w:val="2"/>
                <w:szCs w:val="2"/>
              </w:rPr>
            </w:pPr>
          </w:p>
        </w:tc>
        <w:tc>
          <w:tcPr>
            <w:tcW w:w="773" w:type="dxa"/>
            <w:vMerge/>
            <w:tcBorders>
              <w:top w:val="nil"/>
            </w:tcBorders>
          </w:tcPr>
          <w:p>
            <w:pPr>
              <w:rPr>
                <w:sz w:val="2"/>
                <w:szCs w:val="2"/>
              </w:rPr>
            </w:pPr>
          </w:p>
        </w:tc>
        <w:tc>
          <w:tcPr>
            <w:tcW w:w="1455" w:type="dxa"/>
          </w:tcPr>
          <w:p>
            <w:pPr>
              <w:pStyle w:val="TableParagraph"/>
              <w:spacing w:before="22"/>
              <w:ind w:left="336" w:right="331"/>
              <w:rPr>
                <w:rFonts w:ascii="Times New Roman"/>
                <w:sz w:val="21"/>
              </w:rPr>
            </w:pPr>
            <w:r>
              <w:rPr>
                <w:rFonts w:ascii="Times New Roman"/>
                <w:sz w:val="21"/>
              </w:rPr>
              <w:t>2020.2.4</w:t>
            </w:r>
          </w:p>
        </w:tc>
        <w:tc>
          <w:tcPr>
            <w:tcW w:w="802" w:type="dxa"/>
          </w:tcPr>
          <w:p>
            <w:pPr>
              <w:pStyle w:val="TableParagraph"/>
              <w:spacing w:before="22"/>
              <w:ind w:left="140" w:right="133"/>
              <w:rPr>
                <w:rFonts w:ascii="Times New Roman"/>
                <w:sz w:val="21"/>
              </w:rPr>
            </w:pPr>
            <w:r>
              <w:rPr>
                <w:rFonts w:ascii="Times New Roman"/>
                <w:sz w:val="21"/>
              </w:rPr>
              <w:t>0.20</w:t>
            </w:r>
          </w:p>
        </w:tc>
        <w:tc>
          <w:tcPr>
            <w:tcW w:w="848" w:type="dxa"/>
          </w:tcPr>
          <w:p>
            <w:pPr>
              <w:pStyle w:val="TableParagraph"/>
              <w:spacing w:before="22"/>
              <w:ind w:left="114" w:right="106"/>
              <w:rPr>
                <w:rFonts w:ascii="Times New Roman"/>
                <w:sz w:val="21"/>
              </w:rPr>
            </w:pPr>
            <w:r>
              <w:rPr>
                <w:rFonts w:ascii="Times New Roman"/>
                <w:sz w:val="21"/>
              </w:rPr>
              <w:t>0.003</w:t>
            </w:r>
          </w:p>
        </w:tc>
        <w:tc>
          <w:tcPr>
            <w:tcW w:w="958" w:type="dxa"/>
          </w:tcPr>
          <w:p>
            <w:pPr>
              <w:pStyle w:val="TableParagraph"/>
              <w:spacing w:before="22"/>
              <w:ind w:left="111" w:right="108"/>
              <w:rPr>
                <w:rFonts w:ascii="Times New Roman"/>
                <w:sz w:val="21"/>
              </w:rPr>
            </w:pPr>
            <w:r>
              <w:rPr>
                <w:rFonts w:ascii="Times New Roman"/>
                <w:sz w:val="21"/>
              </w:rPr>
              <w:t>0.008</w:t>
            </w:r>
          </w:p>
        </w:tc>
        <w:tc>
          <w:tcPr>
            <w:tcW w:w="1042" w:type="dxa"/>
          </w:tcPr>
          <w:p>
            <w:pPr>
              <w:pStyle w:val="TableParagraph"/>
              <w:spacing w:before="22"/>
              <w:ind w:left="179" w:right="179"/>
              <w:rPr>
                <w:rFonts w:ascii="Times New Roman"/>
                <w:sz w:val="21"/>
              </w:rPr>
            </w:pPr>
            <w:r>
              <w:rPr>
                <w:rFonts w:ascii="Times New Roman"/>
                <w:sz w:val="21"/>
              </w:rPr>
              <w:t>0.208</w:t>
            </w:r>
          </w:p>
        </w:tc>
        <w:tc>
          <w:tcPr>
            <w:tcW w:w="1095" w:type="dxa"/>
          </w:tcPr>
          <w:p>
            <w:pPr>
              <w:pStyle w:val="TableParagraph"/>
              <w:spacing w:before="22"/>
              <w:ind w:left="238" w:right="229"/>
              <w:rPr>
                <w:rFonts w:ascii="Times New Roman"/>
                <w:sz w:val="21"/>
              </w:rPr>
            </w:pPr>
            <w:r>
              <w:rPr>
                <w:rFonts w:ascii="Times New Roman"/>
                <w:sz w:val="21"/>
              </w:rPr>
              <w:t>0.0004</w:t>
            </w:r>
          </w:p>
        </w:tc>
        <w:tc>
          <w:tcPr>
            <w:tcW w:w="994" w:type="dxa"/>
          </w:tcPr>
          <w:p>
            <w:pPr>
              <w:pStyle w:val="TableParagraph"/>
              <w:spacing w:before="22"/>
              <w:ind w:left="69" w:right="65"/>
              <w:rPr>
                <w:rFonts w:ascii="Times New Roman"/>
                <w:sz w:val="21"/>
              </w:rPr>
            </w:pPr>
            <w:r>
              <w:rPr>
                <w:rFonts w:ascii="Times New Roman"/>
                <w:sz w:val="21"/>
              </w:rPr>
              <w:t>0.002</w:t>
            </w:r>
          </w:p>
        </w:tc>
        <w:tc>
          <w:tcPr>
            <w:tcW w:w="1121" w:type="dxa"/>
          </w:tcPr>
          <w:p>
            <w:pPr>
              <w:pStyle w:val="TableParagraph"/>
              <w:spacing w:before="22"/>
              <w:ind w:left="115" w:right="110"/>
              <w:rPr>
                <w:rFonts w:ascii="Times New Roman"/>
                <w:sz w:val="21"/>
              </w:rPr>
            </w:pPr>
            <w:r>
              <w:rPr>
                <w:rFonts w:ascii="Times New Roman"/>
                <w:sz w:val="21"/>
              </w:rPr>
              <w:t>0.0002</w:t>
            </w:r>
          </w:p>
        </w:tc>
        <w:tc>
          <w:tcPr>
            <w:tcW w:w="1121" w:type="dxa"/>
          </w:tcPr>
          <w:p>
            <w:pPr>
              <w:pStyle w:val="TableParagraph"/>
              <w:spacing w:before="22"/>
              <w:ind w:left="115" w:right="110"/>
              <w:rPr>
                <w:rFonts w:ascii="Times New Roman"/>
                <w:sz w:val="21"/>
              </w:rPr>
            </w:pPr>
            <w:r>
              <w:rPr>
                <w:rFonts w:ascii="Times New Roman"/>
                <w:sz w:val="21"/>
              </w:rPr>
              <w:t>0.004</w:t>
            </w:r>
          </w:p>
        </w:tc>
        <w:tc>
          <w:tcPr>
            <w:tcW w:w="1122" w:type="dxa"/>
          </w:tcPr>
          <w:p>
            <w:pPr>
              <w:pStyle w:val="TableParagraph"/>
              <w:spacing w:before="22"/>
              <w:ind w:left="194" w:right="189"/>
              <w:rPr>
                <w:rFonts w:ascii="Times New Roman"/>
                <w:sz w:val="21"/>
              </w:rPr>
            </w:pPr>
            <w:r>
              <w:rPr>
                <w:rFonts w:ascii="Times New Roman"/>
                <w:sz w:val="21"/>
              </w:rPr>
              <w:t>0.004</w:t>
            </w:r>
          </w:p>
        </w:tc>
        <w:tc>
          <w:tcPr>
            <w:tcW w:w="1121" w:type="dxa"/>
          </w:tcPr>
          <w:p>
            <w:pPr>
              <w:pStyle w:val="TableParagraph"/>
              <w:spacing w:before="22"/>
              <w:ind w:left="372"/>
              <w:jc w:val="left"/>
              <w:rPr>
                <w:rFonts w:ascii="Times New Roman"/>
                <w:sz w:val="21"/>
              </w:rPr>
            </w:pPr>
            <w:r>
              <w:rPr>
                <w:rFonts w:ascii="Times New Roman"/>
                <w:sz w:val="21"/>
              </w:rPr>
              <w:t>0.05</w:t>
            </w:r>
          </w:p>
        </w:tc>
        <w:tc>
          <w:tcPr>
            <w:tcW w:w="1121" w:type="dxa"/>
          </w:tcPr>
          <w:p>
            <w:pPr>
              <w:pStyle w:val="TableParagraph"/>
              <w:spacing w:before="22"/>
              <w:ind w:left="115" w:right="112"/>
              <w:rPr>
                <w:rFonts w:ascii="Times New Roman"/>
                <w:sz w:val="21"/>
              </w:rPr>
            </w:pPr>
            <w:r>
              <w:rPr>
                <w:rFonts w:ascii="Times New Roman"/>
                <w:sz w:val="21"/>
              </w:rPr>
              <w:t>0.005</w:t>
            </w:r>
          </w:p>
        </w:tc>
      </w:tr>
      <w:tr>
        <w:trPr>
          <w:trHeight w:val="282" w:hRule="atLeast"/>
        </w:trPr>
        <w:tc>
          <w:tcPr>
            <w:tcW w:w="651" w:type="dxa"/>
            <w:vMerge/>
            <w:tcBorders>
              <w:top w:val="nil"/>
            </w:tcBorders>
          </w:tcPr>
          <w:p>
            <w:pPr>
              <w:rPr>
                <w:sz w:val="2"/>
                <w:szCs w:val="2"/>
              </w:rPr>
            </w:pPr>
          </w:p>
        </w:tc>
        <w:tc>
          <w:tcPr>
            <w:tcW w:w="773" w:type="dxa"/>
            <w:vMerge/>
            <w:tcBorders>
              <w:top w:val="nil"/>
            </w:tcBorders>
          </w:tcPr>
          <w:p>
            <w:pPr>
              <w:rPr>
                <w:sz w:val="2"/>
                <w:szCs w:val="2"/>
              </w:rPr>
            </w:pPr>
          </w:p>
        </w:tc>
        <w:tc>
          <w:tcPr>
            <w:tcW w:w="1455" w:type="dxa"/>
          </w:tcPr>
          <w:p>
            <w:pPr>
              <w:pStyle w:val="TableParagraph"/>
              <w:spacing w:before="19"/>
              <w:ind w:left="336" w:right="331"/>
              <w:rPr>
                <w:rFonts w:ascii="Times New Roman"/>
                <w:sz w:val="21"/>
              </w:rPr>
            </w:pPr>
            <w:r>
              <w:rPr>
                <w:rFonts w:ascii="Times New Roman"/>
                <w:sz w:val="21"/>
              </w:rPr>
              <w:t>2020.3.3</w:t>
            </w:r>
          </w:p>
        </w:tc>
        <w:tc>
          <w:tcPr>
            <w:tcW w:w="802" w:type="dxa"/>
          </w:tcPr>
          <w:p>
            <w:pPr>
              <w:pStyle w:val="TableParagraph"/>
              <w:spacing w:before="19"/>
              <w:ind w:left="145" w:right="133"/>
              <w:rPr>
                <w:rFonts w:ascii="Times New Roman"/>
                <w:sz w:val="21"/>
              </w:rPr>
            </w:pPr>
            <w:r>
              <w:rPr>
                <w:rFonts w:ascii="Times New Roman"/>
                <w:sz w:val="21"/>
              </w:rPr>
              <w:t>0.19</w:t>
            </w:r>
          </w:p>
        </w:tc>
        <w:tc>
          <w:tcPr>
            <w:tcW w:w="848" w:type="dxa"/>
          </w:tcPr>
          <w:p>
            <w:pPr>
              <w:pStyle w:val="TableParagraph"/>
              <w:spacing w:before="19"/>
              <w:ind w:left="114" w:right="106"/>
              <w:rPr>
                <w:rFonts w:ascii="Times New Roman"/>
                <w:sz w:val="21"/>
              </w:rPr>
            </w:pPr>
            <w:r>
              <w:rPr>
                <w:rFonts w:ascii="Times New Roman"/>
                <w:sz w:val="21"/>
              </w:rPr>
              <w:t>0.003</w:t>
            </w:r>
          </w:p>
        </w:tc>
        <w:tc>
          <w:tcPr>
            <w:tcW w:w="958" w:type="dxa"/>
          </w:tcPr>
          <w:p>
            <w:pPr>
              <w:pStyle w:val="TableParagraph"/>
              <w:spacing w:before="19"/>
              <w:ind w:left="111" w:right="108"/>
              <w:rPr>
                <w:rFonts w:ascii="Times New Roman"/>
                <w:sz w:val="21"/>
              </w:rPr>
            </w:pPr>
            <w:r>
              <w:rPr>
                <w:rFonts w:ascii="Times New Roman"/>
                <w:sz w:val="21"/>
              </w:rPr>
              <w:t>0.004</w:t>
            </w:r>
          </w:p>
        </w:tc>
        <w:tc>
          <w:tcPr>
            <w:tcW w:w="1042" w:type="dxa"/>
          </w:tcPr>
          <w:p>
            <w:pPr>
              <w:pStyle w:val="TableParagraph"/>
              <w:spacing w:before="19"/>
              <w:ind w:left="179" w:right="179"/>
              <w:rPr>
                <w:rFonts w:ascii="Times New Roman"/>
                <w:sz w:val="21"/>
              </w:rPr>
            </w:pPr>
            <w:r>
              <w:rPr>
                <w:rFonts w:ascii="Times New Roman"/>
                <w:sz w:val="21"/>
              </w:rPr>
              <w:t>0.254</w:t>
            </w:r>
          </w:p>
        </w:tc>
        <w:tc>
          <w:tcPr>
            <w:tcW w:w="1095" w:type="dxa"/>
          </w:tcPr>
          <w:p>
            <w:pPr>
              <w:pStyle w:val="TableParagraph"/>
              <w:spacing w:before="19"/>
              <w:ind w:left="238" w:right="229"/>
              <w:rPr>
                <w:rFonts w:ascii="Times New Roman"/>
                <w:sz w:val="21"/>
              </w:rPr>
            </w:pPr>
            <w:r>
              <w:rPr>
                <w:rFonts w:ascii="Times New Roman"/>
                <w:sz w:val="21"/>
              </w:rPr>
              <w:t>0.0004</w:t>
            </w:r>
          </w:p>
        </w:tc>
        <w:tc>
          <w:tcPr>
            <w:tcW w:w="994" w:type="dxa"/>
          </w:tcPr>
          <w:p>
            <w:pPr>
              <w:pStyle w:val="TableParagraph"/>
              <w:spacing w:before="19"/>
              <w:ind w:left="69" w:right="65"/>
              <w:rPr>
                <w:rFonts w:ascii="Times New Roman"/>
                <w:sz w:val="21"/>
              </w:rPr>
            </w:pPr>
            <w:r>
              <w:rPr>
                <w:rFonts w:ascii="Times New Roman"/>
                <w:sz w:val="21"/>
              </w:rPr>
              <w:t>0.006</w:t>
            </w:r>
          </w:p>
        </w:tc>
        <w:tc>
          <w:tcPr>
            <w:tcW w:w="1121" w:type="dxa"/>
          </w:tcPr>
          <w:p>
            <w:pPr>
              <w:pStyle w:val="TableParagraph"/>
              <w:spacing w:before="19"/>
              <w:ind w:left="115" w:right="110"/>
              <w:rPr>
                <w:rFonts w:ascii="Times New Roman"/>
                <w:sz w:val="21"/>
              </w:rPr>
            </w:pPr>
            <w:r>
              <w:rPr>
                <w:rFonts w:ascii="Times New Roman"/>
                <w:sz w:val="21"/>
              </w:rPr>
              <w:t>0.0002</w:t>
            </w:r>
          </w:p>
        </w:tc>
        <w:tc>
          <w:tcPr>
            <w:tcW w:w="1121" w:type="dxa"/>
          </w:tcPr>
          <w:p>
            <w:pPr>
              <w:pStyle w:val="TableParagraph"/>
              <w:spacing w:before="19"/>
              <w:ind w:left="115" w:right="110"/>
              <w:rPr>
                <w:rFonts w:ascii="Times New Roman"/>
                <w:sz w:val="21"/>
              </w:rPr>
            </w:pPr>
            <w:r>
              <w:rPr>
                <w:rFonts w:ascii="Times New Roman"/>
                <w:sz w:val="21"/>
              </w:rPr>
              <w:t>0.004</w:t>
            </w:r>
          </w:p>
        </w:tc>
        <w:tc>
          <w:tcPr>
            <w:tcW w:w="1122" w:type="dxa"/>
          </w:tcPr>
          <w:p>
            <w:pPr>
              <w:pStyle w:val="TableParagraph"/>
              <w:spacing w:before="19"/>
              <w:ind w:left="194" w:right="189"/>
              <w:rPr>
                <w:rFonts w:ascii="Times New Roman"/>
                <w:sz w:val="21"/>
              </w:rPr>
            </w:pPr>
            <w:r>
              <w:rPr>
                <w:rFonts w:ascii="Times New Roman"/>
                <w:sz w:val="21"/>
              </w:rPr>
              <w:t>0.004</w:t>
            </w:r>
          </w:p>
        </w:tc>
        <w:tc>
          <w:tcPr>
            <w:tcW w:w="1121" w:type="dxa"/>
          </w:tcPr>
          <w:p>
            <w:pPr>
              <w:pStyle w:val="TableParagraph"/>
              <w:spacing w:before="19"/>
              <w:ind w:left="372"/>
              <w:jc w:val="left"/>
              <w:rPr>
                <w:rFonts w:ascii="Times New Roman"/>
                <w:sz w:val="21"/>
              </w:rPr>
            </w:pPr>
            <w:r>
              <w:rPr>
                <w:rFonts w:ascii="Times New Roman"/>
                <w:sz w:val="21"/>
              </w:rPr>
              <w:t>0.05</w:t>
            </w:r>
          </w:p>
        </w:tc>
        <w:tc>
          <w:tcPr>
            <w:tcW w:w="1121" w:type="dxa"/>
          </w:tcPr>
          <w:p>
            <w:pPr>
              <w:pStyle w:val="TableParagraph"/>
              <w:spacing w:before="19"/>
              <w:ind w:left="115" w:right="112"/>
              <w:rPr>
                <w:rFonts w:ascii="Times New Roman"/>
                <w:sz w:val="21"/>
              </w:rPr>
            </w:pPr>
            <w:r>
              <w:rPr>
                <w:rFonts w:ascii="Times New Roman"/>
                <w:sz w:val="21"/>
              </w:rPr>
              <w:t>0.005</w:t>
            </w:r>
          </w:p>
        </w:tc>
      </w:tr>
      <w:tr>
        <w:trPr>
          <w:trHeight w:val="285" w:hRule="atLeast"/>
        </w:trPr>
        <w:tc>
          <w:tcPr>
            <w:tcW w:w="651" w:type="dxa"/>
            <w:vMerge/>
            <w:tcBorders>
              <w:top w:val="nil"/>
            </w:tcBorders>
          </w:tcPr>
          <w:p>
            <w:pPr>
              <w:rPr>
                <w:sz w:val="2"/>
                <w:szCs w:val="2"/>
              </w:rPr>
            </w:pPr>
          </w:p>
        </w:tc>
        <w:tc>
          <w:tcPr>
            <w:tcW w:w="773" w:type="dxa"/>
            <w:vMerge/>
            <w:tcBorders>
              <w:top w:val="nil"/>
            </w:tcBorders>
          </w:tcPr>
          <w:p>
            <w:pPr>
              <w:rPr>
                <w:sz w:val="2"/>
                <w:szCs w:val="2"/>
              </w:rPr>
            </w:pPr>
          </w:p>
        </w:tc>
        <w:tc>
          <w:tcPr>
            <w:tcW w:w="1455" w:type="dxa"/>
          </w:tcPr>
          <w:p>
            <w:pPr>
              <w:pStyle w:val="TableParagraph"/>
              <w:spacing w:before="22"/>
              <w:ind w:left="336" w:right="331"/>
              <w:rPr>
                <w:rFonts w:ascii="Times New Roman"/>
                <w:sz w:val="21"/>
              </w:rPr>
            </w:pPr>
            <w:r>
              <w:rPr>
                <w:rFonts w:ascii="Times New Roman"/>
                <w:sz w:val="21"/>
              </w:rPr>
              <w:t>2020.4.1</w:t>
            </w:r>
          </w:p>
        </w:tc>
        <w:tc>
          <w:tcPr>
            <w:tcW w:w="802" w:type="dxa"/>
          </w:tcPr>
          <w:p>
            <w:pPr>
              <w:pStyle w:val="TableParagraph"/>
              <w:spacing w:before="22"/>
              <w:ind w:left="140" w:right="133"/>
              <w:rPr>
                <w:rFonts w:ascii="Times New Roman"/>
                <w:sz w:val="21"/>
              </w:rPr>
            </w:pPr>
            <w:r>
              <w:rPr>
                <w:rFonts w:ascii="Times New Roman"/>
                <w:sz w:val="21"/>
              </w:rPr>
              <w:t>0.20</w:t>
            </w:r>
          </w:p>
        </w:tc>
        <w:tc>
          <w:tcPr>
            <w:tcW w:w="848" w:type="dxa"/>
          </w:tcPr>
          <w:p>
            <w:pPr>
              <w:pStyle w:val="TableParagraph"/>
              <w:spacing w:before="22"/>
              <w:ind w:left="109" w:right="106"/>
              <w:rPr>
                <w:rFonts w:ascii="Times New Roman"/>
                <w:sz w:val="21"/>
              </w:rPr>
            </w:pPr>
            <w:r>
              <w:rPr>
                <w:rFonts w:ascii="Times New Roman"/>
                <w:sz w:val="21"/>
              </w:rPr>
              <w:t>0.006</w:t>
            </w:r>
          </w:p>
        </w:tc>
        <w:tc>
          <w:tcPr>
            <w:tcW w:w="958" w:type="dxa"/>
          </w:tcPr>
          <w:p>
            <w:pPr>
              <w:pStyle w:val="TableParagraph"/>
              <w:spacing w:before="22"/>
              <w:ind w:left="111" w:right="108"/>
              <w:rPr>
                <w:rFonts w:ascii="Times New Roman"/>
                <w:sz w:val="21"/>
              </w:rPr>
            </w:pPr>
            <w:r>
              <w:rPr>
                <w:rFonts w:ascii="Times New Roman"/>
                <w:sz w:val="21"/>
              </w:rPr>
              <w:t>0.005</w:t>
            </w:r>
          </w:p>
        </w:tc>
        <w:tc>
          <w:tcPr>
            <w:tcW w:w="1042" w:type="dxa"/>
          </w:tcPr>
          <w:p>
            <w:pPr>
              <w:pStyle w:val="TableParagraph"/>
              <w:spacing w:before="22"/>
              <w:ind w:left="179" w:right="179"/>
              <w:rPr>
                <w:rFonts w:ascii="Times New Roman"/>
                <w:sz w:val="21"/>
              </w:rPr>
            </w:pPr>
            <w:r>
              <w:rPr>
                <w:rFonts w:ascii="Times New Roman"/>
                <w:sz w:val="21"/>
              </w:rPr>
              <w:t>0.240</w:t>
            </w:r>
          </w:p>
        </w:tc>
        <w:tc>
          <w:tcPr>
            <w:tcW w:w="1095" w:type="dxa"/>
          </w:tcPr>
          <w:p>
            <w:pPr>
              <w:pStyle w:val="TableParagraph"/>
              <w:spacing w:before="22"/>
              <w:ind w:left="238" w:right="229"/>
              <w:rPr>
                <w:rFonts w:ascii="Times New Roman"/>
                <w:sz w:val="21"/>
              </w:rPr>
            </w:pPr>
            <w:r>
              <w:rPr>
                <w:rFonts w:ascii="Times New Roman"/>
                <w:sz w:val="21"/>
              </w:rPr>
              <w:t>0.0004</w:t>
            </w:r>
          </w:p>
        </w:tc>
        <w:tc>
          <w:tcPr>
            <w:tcW w:w="994" w:type="dxa"/>
          </w:tcPr>
          <w:p>
            <w:pPr>
              <w:pStyle w:val="TableParagraph"/>
              <w:spacing w:before="22"/>
              <w:ind w:left="69" w:right="65"/>
              <w:rPr>
                <w:rFonts w:ascii="Times New Roman"/>
                <w:sz w:val="21"/>
              </w:rPr>
            </w:pPr>
            <w:r>
              <w:rPr>
                <w:rFonts w:ascii="Times New Roman"/>
                <w:sz w:val="21"/>
              </w:rPr>
              <w:t>0.005</w:t>
            </w:r>
          </w:p>
        </w:tc>
        <w:tc>
          <w:tcPr>
            <w:tcW w:w="1121" w:type="dxa"/>
          </w:tcPr>
          <w:p>
            <w:pPr>
              <w:pStyle w:val="TableParagraph"/>
              <w:spacing w:before="22"/>
              <w:ind w:left="115" w:right="110"/>
              <w:rPr>
                <w:rFonts w:ascii="Times New Roman"/>
                <w:sz w:val="21"/>
              </w:rPr>
            </w:pPr>
            <w:r>
              <w:rPr>
                <w:rFonts w:ascii="Times New Roman"/>
                <w:sz w:val="21"/>
              </w:rPr>
              <w:t>0.0002</w:t>
            </w:r>
          </w:p>
        </w:tc>
        <w:tc>
          <w:tcPr>
            <w:tcW w:w="1121" w:type="dxa"/>
          </w:tcPr>
          <w:p>
            <w:pPr>
              <w:pStyle w:val="TableParagraph"/>
              <w:spacing w:before="22"/>
              <w:ind w:left="115" w:right="110"/>
              <w:rPr>
                <w:rFonts w:ascii="Times New Roman"/>
                <w:sz w:val="21"/>
              </w:rPr>
            </w:pPr>
            <w:r>
              <w:rPr>
                <w:rFonts w:ascii="Times New Roman"/>
                <w:sz w:val="21"/>
              </w:rPr>
              <w:t>0.004</w:t>
            </w:r>
          </w:p>
        </w:tc>
        <w:tc>
          <w:tcPr>
            <w:tcW w:w="1122" w:type="dxa"/>
          </w:tcPr>
          <w:p>
            <w:pPr>
              <w:pStyle w:val="TableParagraph"/>
              <w:spacing w:before="22"/>
              <w:ind w:left="194" w:right="189"/>
              <w:rPr>
                <w:rFonts w:ascii="Times New Roman"/>
                <w:sz w:val="21"/>
              </w:rPr>
            </w:pPr>
            <w:r>
              <w:rPr>
                <w:rFonts w:ascii="Times New Roman"/>
                <w:sz w:val="21"/>
              </w:rPr>
              <w:t>0.004</w:t>
            </w:r>
          </w:p>
        </w:tc>
        <w:tc>
          <w:tcPr>
            <w:tcW w:w="1121" w:type="dxa"/>
          </w:tcPr>
          <w:p>
            <w:pPr>
              <w:pStyle w:val="TableParagraph"/>
              <w:spacing w:before="22"/>
              <w:ind w:left="372"/>
              <w:jc w:val="left"/>
              <w:rPr>
                <w:rFonts w:ascii="Times New Roman"/>
                <w:sz w:val="21"/>
              </w:rPr>
            </w:pPr>
            <w:r>
              <w:rPr>
                <w:rFonts w:ascii="Times New Roman"/>
                <w:sz w:val="21"/>
              </w:rPr>
              <w:t>0.05</w:t>
            </w:r>
          </w:p>
        </w:tc>
        <w:tc>
          <w:tcPr>
            <w:tcW w:w="1121" w:type="dxa"/>
          </w:tcPr>
          <w:p>
            <w:pPr>
              <w:pStyle w:val="TableParagraph"/>
              <w:spacing w:before="22"/>
              <w:ind w:left="115" w:right="112"/>
              <w:rPr>
                <w:rFonts w:ascii="Times New Roman"/>
                <w:sz w:val="21"/>
              </w:rPr>
            </w:pPr>
            <w:r>
              <w:rPr>
                <w:rFonts w:ascii="Times New Roman"/>
                <w:sz w:val="21"/>
              </w:rPr>
              <w:t>0.005</w:t>
            </w:r>
          </w:p>
        </w:tc>
      </w:tr>
      <w:tr>
        <w:trPr>
          <w:trHeight w:val="282" w:hRule="atLeast"/>
        </w:trPr>
        <w:tc>
          <w:tcPr>
            <w:tcW w:w="651" w:type="dxa"/>
            <w:vMerge/>
            <w:tcBorders>
              <w:top w:val="nil"/>
            </w:tcBorders>
          </w:tcPr>
          <w:p>
            <w:pPr>
              <w:rPr>
                <w:sz w:val="2"/>
                <w:szCs w:val="2"/>
              </w:rPr>
            </w:pPr>
          </w:p>
        </w:tc>
        <w:tc>
          <w:tcPr>
            <w:tcW w:w="773" w:type="dxa"/>
            <w:vMerge/>
            <w:tcBorders>
              <w:top w:val="nil"/>
            </w:tcBorders>
          </w:tcPr>
          <w:p>
            <w:pPr>
              <w:rPr>
                <w:sz w:val="2"/>
                <w:szCs w:val="2"/>
              </w:rPr>
            </w:pPr>
          </w:p>
        </w:tc>
        <w:tc>
          <w:tcPr>
            <w:tcW w:w="1455" w:type="dxa"/>
          </w:tcPr>
          <w:p>
            <w:pPr>
              <w:pStyle w:val="TableParagraph"/>
              <w:spacing w:before="19"/>
              <w:ind w:left="336" w:right="331"/>
              <w:rPr>
                <w:rFonts w:ascii="Times New Roman"/>
                <w:sz w:val="21"/>
              </w:rPr>
            </w:pPr>
            <w:r>
              <w:rPr>
                <w:rFonts w:ascii="Times New Roman"/>
                <w:sz w:val="21"/>
              </w:rPr>
              <w:t>2020.5.7</w:t>
            </w:r>
          </w:p>
        </w:tc>
        <w:tc>
          <w:tcPr>
            <w:tcW w:w="802" w:type="dxa"/>
          </w:tcPr>
          <w:p>
            <w:pPr>
              <w:pStyle w:val="TableParagraph"/>
              <w:spacing w:before="19"/>
              <w:ind w:left="145" w:right="133"/>
              <w:rPr>
                <w:rFonts w:ascii="Times New Roman"/>
                <w:sz w:val="21"/>
              </w:rPr>
            </w:pPr>
            <w:r>
              <w:rPr>
                <w:rFonts w:ascii="Times New Roman"/>
                <w:sz w:val="21"/>
              </w:rPr>
              <w:t>0.08</w:t>
            </w:r>
          </w:p>
        </w:tc>
        <w:tc>
          <w:tcPr>
            <w:tcW w:w="848" w:type="dxa"/>
          </w:tcPr>
          <w:p>
            <w:pPr>
              <w:pStyle w:val="TableParagraph"/>
              <w:spacing w:before="19"/>
              <w:ind w:left="114" w:right="106"/>
              <w:rPr>
                <w:rFonts w:ascii="Times New Roman"/>
                <w:sz w:val="21"/>
              </w:rPr>
            </w:pPr>
            <w:r>
              <w:rPr>
                <w:rFonts w:ascii="Times New Roman"/>
                <w:sz w:val="21"/>
              </w:rPr>
              <w:t>0.006</w:t>
            </w:r>
          </w:p>
        </w:tc>
        <w:tc>
          <w:tcPr>
            <w:tcW w:w="958" w:type="dxa"/>
          </w:tcPr>
          <w:p>
            <w:pPr>
              <w:pStyle w:val="TableParagraph"/>
              <w:spacing w:before="19"/>
              <w:ind w:left="111" w:right="108"/>
              <w:rPr>
                <w:rFonts w:ascii="Times New Roman"/>
                <w:sz w:val="21"/>
              </w:rPr>
            </w:pPr>
            <w:r>
              <w:rPr>
                <w:rFonts w:ascii="Times New Roman"/>
                <w:sz w:val="21"/>
              </w:rPr>
              <w:t>0.004</w:t>
            </w:r>
          </w:p>
        </w:tc>
        <w:tc>
          <w:tcPr>
            <w:tcW w:w="1042" w:type="dxa"/>
          </w:tcPr>
          <w:p>
            <w:pPr>
              <w:pStyle w:val="TableParagraph"/>
              <w:spacing w:before="19"/>
              <w:ind w:left="179" w:right="179"/>
              <w:rPr>
                <w:rFonts w:ascii="Times New Roman"/>
                <w:sz w:val="21"/>
              </w:rPr>
            </w:pPr>
            <w:r>
              <w:rPr>
                <w:rFonts w:ascii="Times New Roman"/>
                <w:sz w:val="21"/>
              </w:rPr>
              <w:t>0.350</w:t>
            </w:r>
          </w:p>
        </w:tc>
        <w:tc>
          <w:tcPr>
            <w:tcW w:w="1095" w:type="dxa"/>
          </w:tcPr>
          <w:p>
            <w:pPr>
              <w:pStyle w:val="TableParagraph"/>
              <w:spacing w:before="19"/>
              <w:ind w:left="238" w:right="229"/>
              <w:rPr>
                <w:rFonts w:ascii="Times New Roman"/>
                <w:sz w:val="21"/>
              </w:rPr>
            </w:pPr>
            <w:r>
              <w:rPr>
                <w:rFonts w:ascii="Times New Roman"/>
                <w:sz w:val="21"/>
              </w:rPr>
              <w:t>0.0004</w:t>
            </w:r>
          </w:p>
        </w:tc>
        <w:tc>
          <w:tcPr>
            <w:tcW w:w="994" w:type="dxa"/>
          </w:tcPr>
          <w:p>
            <w:pPr>
              <w:pStyle w:val="TableParagraph"/>
              <w:spacing w:before="19"/>
              <w:ind w:left="69" w:right="65"/>
              <w:rPr>
                <w:rFonts w:ascii="Times New Roman"/>
                <w:sz w:val="21"/>
              </w:rPr>
            </w:pPr>
            <w:r>
              <w:rPr>
                <w:rFonts w:ascii="Times New Roman"/>
                <w:sz w:val="21"/>
              </w:rPr>
              <w:t>0.0027</w:t>
            </w:r>
          </w:p>
        </w:tc>
        <w:tc>
          <w:tcPr>
            <w:tcW w:w="1121" w:type="dxa"/>
          </w:tcPr>
          <w:p>
            <w:pPr>
              <w:pStyle w:val="TableParagraph"/>
              <w:spacing w:before="19"/>
              <w:ind w:left="115" w:right="110"/>
              <w:rPr>
                <w:rFonts w:ascii="Times New Roman"/>
                <w:sz w:val="21"/>
              </w:rPr>
            </w:pPr>
            <w:r>
              <w:rPr>
                <w:rFonts w:ascii="Times New Roman"/>
                <w:sz w:val="21"/>
              </w:rPr>
              <w:t>0.005</w:t>
            </w:r>
          </w:p>
        </w:tc>
        <w:tc>
          <w:tcPr>
            <w:tcW w:w="1121" w:type="dxa"/>
          </w:tcPr>
          <w:p>
            <w:pPr>
              <w:pStyle w:val="TableParagraph"/>
              <w:spacing w:before="19"/>
              <w:ind w:left="115" w:right="110"/>
              <w:rPr>
                <w:rFonts w:ascii="Times New Roman"/>
                <w:sz w:val="21"/>
              </w:rPr>
            </w:pPr>
            <w:r>
              <w:rPr>
                <w:rFonts w:ascii="Times New Roman"/>
                <w:sz w:val="21"/>
              </w:rPr>
              <w:t>0.004</w:t>
            </w:r>
          </w:p>
        </w:tc>
        <w:tc>
          <w:tcPr>
            <w:tcW w:w="1122" w:type="dxa"/>
          </w:tcPr>
          <w:p>
            <w:pPr>
              <w:pStyle w:val="TableParagraph"/>
              <w:spacing w:before="19"/>
              <w:ind w:left="194" w:right="189"/>
              <w:rPr>
                <w:rFonts w:ascii="Times New Roman"/>
                <w:sz w:val="21"/>
              </w:rPr>
            </w:pPr>
            <w:r>
              <w:rPr>
                <w:rFonts w:ascii="Times New Roman"/>
                <w:sz w:val="21"/>
              </w:rPr>
              <w:t>0.004</w:t>
            </w:r>
          </w:p>
        </w:tc>
        <w:tc>
          <w:tcPr>
            <w:tcW w:w="1121" w:type="dxa"/>
          </w:tcPr>
          <w:p>
            <w:pPr>
              <w:pStyle w:val="TableParagraph"/>
              <w:spacing w:before="19"/>
              <w:ind w:left="372"/>
              <w:jc w:val="left"/>
              <w:rPr>
                <w:rFonts w:ascii="Times New Roman"/>
                <w:sz w:val="21"/>
              </w:rPr>
            </w:pPr>
            <w:r>
              <w:rPr>
                <w:rFonts w:ascii="Times New Roman"/>
                <w:sz w:val="21"/>
              </w:rPr>
              <w:t>0.05</w:t>
            </w:r>
          </w:p>
        </w:tc>
        <w:tc>
          <w:tcPr>
            <w:tcW w:w="1121" w:type="dxa"/>
          </w:tcPr>
          <w:p>
            <w:pPr>
              <w:pStyle w:val="TableParagraph"/>
              <w:spacing w:before="19"/>
              <w:ind w:left="115" w:right="112"/>
              <w:rPr>
                <w:rFonts w:ascii="Times New Roman"/>
                <w:sz w:val="21"/>
              </w:rPr>
            </w:pPr>
            <w:r>
              <w:rPr>
                <w:rFonts w:ascii="Times New Roman"/>
                <w:sz w:val="21"/>
              </w:rPr>
              <w:t>0.023</w:t>
            </w:r>
          </w:p>
        </w:tc>
      </w:tr>
      <w:tr>
        <w:trPr>
          <w:trHeight w:val="285" w:hRule="atLeast"/>
        </w:trPr>
        <w:tc>
          <w:tcPr>
            <w:tcW w:w="2879" w:type="dxa"/>
            <w:gridSpan w:val="3"/>
          </w:tcPr>
          <w:p>
            <w:pPr>
              <w:pStyle w:val="TableParagraph"/>
              <w:spacing w:line="257" w:lineRule="exact" w:before="8"/>
              <w:ind w:left="999" w:right="988"/>
              <w:rPr>
                <w:sz w:val="21"/>
              </w:rPr>
            </w:pPr>
            <w:r>
              <w:rPr>
                <w:sz w:val="21"/>
              </w:rPr>
              <w:t>平均值</w:t>
            </w:r>
          </w:p>
        </w:tc>
        <w:tc>
          <w:tcPr>
            <w:tcW w:w="802" w:type="dxa"/>
          </w:tcPr>
          <w:p>
            <w:pPr>
              <w:pStyle w:val="TableParagraph"/>
              <w:spacing w:before="22"/>
              <w:ind w:left="145" w:right="133"/>
              <w:rPr>
                <w:rFonts w:ascii="Times New Roman"/>
                <w:sz w:val="21"/>
              </w:rPr>
            </w:pPr>
            <w:r>
              <w:rPr>
                <w:rFonts w:ascii="Times New Roman"/>
                <w:sz w:val="21"/>
              </w:rPr>
              <w:t>0.174</w:t>
            </w:r>
          </w:p>
        </w:tc>
        <w:tc>
          <w:tcPr>
            <w:tcW w:w="848" w:type="dxa"/>
          </w:tcPr>
          <w:p>
            <w:pPr>
              <w:pStyle w:val="TableParagraph"/>
              <w:spacing w:before="22"/>
              <w:ind w:left="114" w:right="106"/>
              <w:rPr>
                <w:rFonts w:ascii="Times New Roman"/>
                <w:sz w:val="21"/>
              </w:rPr>
            </w:pPr>
            <w:r>
              <w:rPr>
                <w:rFonts w:ascii="Times New Roman"/>
                <w:sz w:val="21"/>
              </w:rPr>
              <w:t>0.0044</w:t>
            </w:r>
          </w:p>
        </w:tc>
        <w:tc>
          <w:tcPr>
            <w:tcW w:w="958" w:type="dxa"/>
          </w:tcPr>
          <w:p>
            <w:pPr>
              <w:pStyle w:val="TableParagraph"/>
              <w:spacing w:before="22"/>
              <w:ind w:left="111" w:right="108"/>
              <w:rPr>
                <w:rFonts w:ascii="Times New Roman"/>
                <w:sz w:val="21"/>
              </w:rPr>
            </w:pPr>
            <w:r>
              <w:rPr>
                <w:rFonts w:ascii="Times New Roman"/>
                <w:sz w:val="21"/>
              </w:rPr>
              <w:t>0.0052</w:t>
            </w:r>
          </w:p>
        </w:tc>
        <w:tc>
          <w:tcPr>
            <w:tcW w:w="1042" w:type="dxa"/>
          </w:tcPr>
          <w:p>
            <w:pPr>
              <w:pStyle w:val="TableParagraph"/>
              <w:spacing w:before="22"/>
              <w:ind w:left="179" w:right="179"/>
              <w:rPr>
                <w:rFonts w:ascii="Times New Roman"/>
                <w:sz w:val="21"/>
              </w:rPr>
            </w:pPr>
            <w:r>
              <w:rPr>
                <w:rFonts w:ascii="Times New Roman"/>
                <w:sz w:val="21"/>
              </w:rPr>
              <w:t>0.268</w:t>
            </w:r>
          </w:p>
        </w:tc>
        <w:tc>
          <w:tcPr>
            <w:tcW w:w="1095" w:type="dxa"/>
          </w:tcPr>
          <w:p>
            <w:pPr>
              <w:pStyle w:val="TableParagraph"/>
              <w:spacing w:before="22"/>
              <w:ind w:left="238" w:right="229"/>
              <w:rPr>
                <w:rFonts w:ascii="Times New Roman"/>
                <w:sz w:val="21"/>
              </w:rPr>
            </w:pPr>
            <w:r>
              <w:rPr>
                <w:rFonts w:ascii="Times New Roman"/>
                <w:sz w:val="21"/>
              </w:rPr>
              <w:t>0.0004</w:t>
            </w:r>
          </w:p>
        </w:tc>
        <w:tc>
          <w:tcPr>
            <w:tcW w:w="994" w:type="dxa"/>
          </w:tcPr>
          <w:p>
            <w:pPr>
              <w:pStyle w:val="TableParagraph"/>
              <w:spacing w:before="22"/>
              <w:ind w:left="66" w:right="65"/>
              <w:rPr>
                <w:rFonts w:ascii="Times New Roman"/>
                <w:sz w:val="21"/>
              </w:rPr>
            </w:pPr>
            <w:r>
              <w:rPr>
                <w:rFonts w:ascii="Times New Roman"/>
                <w:sz w:val="21"/>
              </w:rPr>
              <w:t>0.00414</w:t>
            </w:r>
          </w:p>
        </w:tc>
        <w:tc>
          <w:tcPr>
            <w:tcW w:w="1121" w:type="dxa"/>
          </w:tcPr>
          <w:p>
            <w:pPr>
              <w:pStyle w:val="TableParagraph"/>
              <w:spacing w:before="22"/>
              <w:ind w:left="115" w:right="110"/>
              <w:rPr>
                <w:rFonts w:ascii="Times New Roman"/>
                <w:sz w:val="21"/>
              </w:rPr>
            </w:pPr>
            <w:r>
              <w:rPr>
                <w:rFonts w:ascii="Times New Roman"/>
                <w:sz w:val="21"/>
              </w:rPr>
              <w:t>0.00116</w:t>
            </w:r>
          </w:p>
        </w:tc>
        <w:tc>
          <w:tcPr>
            <w:tcW w:w="1121" w:type="dxa"/>
          </w:tcPr>
          <w:p>
            <w:pPr>
              <w:pStyle w:val="TableParagraph"/>
              <w:spacing w:before="22"/>
              <w:ind w:left="115" w:right="110"/>
              <w:rPr>
                <w:rFonts w:ascii="Times New Roman"/>
                <w:sz w:val="21"/>
              </w:rPr>
            </w:pPr>
            <w:r>
              <w:rPr>
                <w:rFonts w:ascii="Times New Roman"/>
                <w:sz w:val="21"/>
              </w:rPr>
              <w:t>0.004</w:t>
            </w:r>
          </w:p>
        </w:tc>
        <w:tc>
          <w:tcPr>
            <w:tcW w:w="1122" w:type="dxa"/>
          </w:tcPr>
          <w:p>
            <w:pPr>
              <w:pStyle w:val="TableParagraph"/>
              <w:spacing w:before="22"/>
              <w:ind w:left="194" w:right="189"/>
              <w:rPr>
                <w:rFonts w:ascii="Times New Roman"/>
                <w:sz w:val="21"/>
              </w:rPr>
            </w:pPr>
            <w:r>
              <w:rPr>
                <w:rFonts w:ascii="Times New Roman"/>
                <w:sz w:val="21"/>
              </w:rPr>
              <w:t>0.004</w:t>
            </w:r>
          </w:p>
        </w:tc>
        <w:tc>
          <w:tcPr>
            <w:tcW w:w="1121" w:type="dxa"/>
          </w:tcPr>
          <w:p>
            <w:pPr>
              <w:pStyle w:val="TableParagraph"/>
              <w:spacing w:before="22"/>
              <w:ind w:left="372"/>
              <w:jc w:val="left"/>
              <w:rPr>
                <w:rFonts w:ascii="Times New Roman"/>
                <w:sz w:val="21"/>
              </w:rPr>
            </w:pPr>
            <w:r>
              <w:rPr>
                <w:rFonts w:ascii="Times New Roman"/>
                <w:sz w:val="21"/>
              </w:rPr>
              <w:t>0.05</w:t>
            </w:r>
          </w:p>
        </w:tc>
        <w:tc>
          <w:tcPr>
            <w:tcW w:w="1121" w:type="dxa"/>
          </w:tcPr>
          <w:p>
            <w:pPr>
              <w:pStyle w:val="TableParagraph"/>
              <w:spacing w:before="22"/>
              <w:ind w:left="115" w:right="112"/>
              <w:rPr>
                <w:rFonts w:ascii="Times New Roman"/>
                <w:sz w:val="21"/>
              </w:rPr>
            </w:pPr>
            <w:r>
              <w:rPr>
                <w:rFonts w:ascii="Times New Roman"/>
                <w:sz w:val="21"/>
              </w:rPr>
              <w:t>0.0086</w:t>
            </w:r>
          </w:p>
        </w:tc>
      </w:tr>
      <w:tr>
        <w:trPr>
          <w:trHeight w:val="282" w:hRule="atLeast"/>
        </w:trPr>
        <w:tc>
          <w:tcPr>
            <w:tcW w:w="2879" w:type="dxa"/>
            <w:gridSpan w:val="3"/>
          </w:tcPr>
          <w:p>
            <w:pPr>
              <w:pStyle w:val="TableParagraph"/>
              <w:spacing w:line="257" w:lineRule="exact" w:before="6"/>
              <w:ind w:left="999" w:right="988"/>
              <w:rPr>
                <w:sz w:val="21"/>
              </w:rPr>
            </w:pPr>
            <w:r>
              <w:rPr>
                <w:sz w:val="21"/>
              </w:rPr>
              <w:t>最大值</w:t>
            </w:r>
          </w:p>
        </w:tc>
        <w:tc>
          <w:tcPr>
            <w:tcW w:w="802" w:type="dxa"/>
          </w:tcPr>
          <w:p>
            <w:pPr>
              <w:pStyle w:val="TableParagraph"/>
              <w:spacing w:before="19"/>
              <w:ind w:left="145" w:right="133"/>
              <w:rPr>
                <w:rFonts w:ascii="Times New Roman"/>
                <w:sz w:val="21"/>
              </w:rPr>
            </w:pPr>
            <w:r>
              <w:rPr>
                <w:rFonts w:ascii="Times New Roman"/>
                <w:sz w:val="21"/>
              </w:rPr>
              <w:t>0.2</w:t>
            </w:r>
          </w:p>
        </w:tc>
        <w:tc>
          <w:tcPr>
            <w:tcW w:w="848" w:type="dxa"/>
          </w:tcPr>
          <w:p>
            <w:pPr>
              <w:pStyle w:val="TableParagraph"/>
              <w:spacing w:before="19"/>
              <w:ind w:left="114" w:right="106"/>
              <w:rPr>
                <w:rFonts w:ascii="Times New Roman"/>
                <w:sz w:val="21"/>
              </w:rPr>
            </w:pPr>
            <w:r>
              <w:rPr>
                <w:rFonts w:ascii="Times New Roman"/>
                <w:sz w:val="21"/>
              </w:rPr>
              <w:t>0.006</w:t>
            </w:r>
          </w:p>
        </w:tc>
        <w:tc>
          <w:tcPr>
            <w:tcW w:w="958" w:type="dxa"/>
          </w:tcPr>
          <w:p>
            <w:pPr>
              <w:pStyle w:val="TableParagraph"/>
              <w:spacing w:before="19"/>
              <w:ind w:left="111" w:right="108"/>
              <w:rPr>
                <w:rFonts w:ascii="Times New Roman"/>
                <w:sz w:val="21"/>
              </w:rPr>
            </w:pPr>
            <w:r>
              <w:rPr>
                <w:rFonts w:ascii="Times New Roman"/>
                <w:sz w:val="21"/>
              </w:rPr>
              <w:t>0.008</w:t>
            </w:r>
          </w:p>
        </w:tc>
        <w:tc>
          <w:tcPr>
            <w:tcW w:w="1042" w:type="dxa"/>
          </w:tcPr>
          <w:p>
            <w:pPr>
              <w:pStyle w:val="TableParagraph"/>
              <w:spacing w:before="19"/>
              <w:ind w:left="179" w:right="179"/>
              <w:rPr>
                <w:rFonts w:ascii="Times New Roman"/>
                <w:sz w:val="21"/>
              </w:rPr>
            </w:pPr>
            <w:r>
              <w:rPr>
                <w:rFonts w:ascii="Times New Roman"/>
                <w:sz w:val="21"/>
              </w:rPr>
              <w:t>0.35</w:t>
            </w:r>
          </w:p>
        </w:tc>
        <w:tc>
          <w:tcPr>
            <w:tcW w:w="1095" w:type="dxa"/>
          </w:tcPr>
          <w:p>
            <w:pPr>
              <w:pStyle w:val="TableParagraph"/>
              <w:spacing w:before="19"/>
              <w:ind w:left="238" w:right="229"/>
              <w:rPr>
                <w:rFonts w:ascii="Times New Roman"/>
                <w:sz w:val="21"/>
              </w:rPr>
            </w:pPr>
            <w:r>
              <w:rPr>
                <w:rFonts w:ascii="Times New Roman"/>
                <w:sz w:val="21"/>
              </w:rPr>
              <w:t>0.0004</w:t>
            </w:r>
          </w:p>
        </w:tc>
        <w:tc>
          <w:tcPr>
            <w:tcW w:w="994" w:type="dxa"/>
          </w:tcPr>
          <w:p>
            <w:pPr>
              <w:pStyle w:val="TableParagraph"/>
              <w:spacing w:before="19"/>
              <w:ind w:left="69" w:right="65"/>
              <w:rPr>
                <w:rFonts w:ascii="Times New Roman"/>
                <w:sz w:val="21"/>
              </w:rPr>
            </w:pPr>
            <w:r>
              <w:rPr>
                <w:rFonts w:ascii="Times New Roman"/>
                <w:sz w:val="21"/>
              </w:rPr>
              <w:t>0.006</w:t>
            </w:r>
          </w:p>
        </w:tc>
        <w:tc>
          <w:tcPr>
            <w:tcW w:w="1121" w:type="dxa"/>
          </w:tcPr>
          <w:p>
            <w:pPr>
              <w:pStyle w:val="TableParagraph"/>
              <w:spacing w:before="19"/>
              <w:ind w:left="115" w:right="110"/>
              <w:rPr>
                <w:rFonts w:ascii="Times New Roman"/>
                <w:sz w:val="21"/>
              </w:rPr>
            </w:pPr>
            <w:r>
              <w:rPr>
                <w:rFonts w:ascii="Times New Roman"/>
                <w:sz w:val="21"/>
              </w:rPr>
              <w:t>0.005</w:t>
            </w:r>
          </w:p>
        </w:tc>
        <w:tc>
          <w:tcPr>
            <w:tcW w:w="1121" w:type="dxa"/>
          </w:tcPr>
          <w:p>
            <w:pPr>
              <w:pStyle w:val="TableParagraph"/>
              <w:spacing w:before="19"/>
              <w:ind w:left="115" w:right="110"/>
              <w:rPr>
                <w:rFonts w:ascii="Times New Roman"/>
                <w:sz w:val="21"/>
              </w:rPr>
            </w:pPr>
            <w:r>
              <w:rPr>
                <w:rFonts w:ascii="Times New Roman"/>
                <w:sz w:val="21"/>
              </w:rPr>
              <w:t>0.004</w:t>
            </w:r>
          </w:p>
        </w:tc>
        <w:tc>
          <w:tcPr>
            <w:tcW w:w="1122" w:type="dxa"/>
          </w:tcPr>
          <w:p>
            <w:pPr>
              <w:pStyle w:val="TableParagraph"/>
              <w:spacing w:before="19"/>
              <w:ind w:left="194" w:right="189"/>
              <w:rPr>
                <w:rFonts w:ascii="Times New Roman"/>
                <w:sz w:val="21"/>
              </w:rPr>
            </w:pPr>
            <w:r>
              <w:rPr>
                <w:rFonts w:ascii="Times New Roman"/>
                <w:sz w:val="21"/>
              </w:rPr>
              <w:t>0.004</w:t>
            </w:r>
          </w:p>
        </w:tc>
        <w:tc>
          <w:tcPr>
            <w:tcW w:w="1121" w:type="dxa"/>
          </w:tcPr>
          <w:p>
            <w:pPr>
              <w:pStyle w:val="TableParagraph"/>
              <w:spacing w:before="19"/>
              <w:ind w:left="372"/>
              <w:jc w:val="left"/>
              <w:rPr>
                <w:rFonts w:ascii="Times New Roman"/>
                <w:sz w:val="21"/>
              </w:rPr>
            </w:pPr>
            <w:r>
              <w:rPr>
                <w:rFonts w:ascii="Times New Roman"/>
                <w:sz w:val="21"/>
              </w:rPr>
              <w:t>0.05</w:t>
            </w:r>
          </w:p>
        </w:tc>
        <w:tc>
          <w:tcPr>
            <w:tcW w:w="1121" w:type="dxa"/>
          </w:tcPr>
          <w:p>
            <w:pPr>
              <w:pStyle w:val="TableParagraph"/>
              <w:spacing w:before="19"/>
              <w:ind w:left="115" w:right="112"/>
              <w:rPr>
                <w:rFonts w:ascii="Times New Roman"/>
                <w:sz w:val="21"/>
              </w:rPr>
            </w:pPr>
            <w:r>
              <w:rPr>
                <w:rFonts w:ascii="Times New Roman"/>
                <w:sz w:val="21"/>
              </w:rPr>
              <w:t>0.023</w:t>
            </w:r>
          </w:p>
        </w:tc>
      </w:tr>
      <w:tr>
        <w:trPr>
          <w:trHeight w:val="285" w:hRule="atLeast"/>
        </w:trPr>
        <w:tc>
          <w:tcPr>
            <w:tcW w:w="2879" w:type="dxa"/>
            <w:gridSpan w:val="3"/>
          </w:tcPr>
          <w:p>
            <w:pPr>
              <w:pStyle w:val="TableParagraph"/>
              <w:spacing w:line="257" w:lineRule="exact" w:before="8"/>
              <w:ind w:left="804"/>
              <w:jc w:val="left"/>
              <w:rPr>
                <w:rFonts w:ascii="Times New Roman" w:hAnsi="Times New Roman" w:eastAsia="Times New Roman"/>
                <w:sz w:val="21"/>
              </w:rPr>
            </w:pPr>
            <w:r>
              <w:rPr>
                <w:rFonts w:ascii="Times New Roman" w:hAnsi="Times New Roman" w:eastAsia="Times New Roman"/>
                <w:sz w:val="21"/>
              </w:rPr>
              <w:t>III</w:t>
            </w:r>
            <w:r>
              <w:rPr>
                <w:rFonts w:ascii="Times New Roman" w:hAnsi="Times New Roman" w:eastAsia="Times New Roman"/>
                <w:spacing w:val="51"/>
                <w:sz w:val="21"/>
              </w:rPr>
              <w:t> </w:t>
            </w:r>
            <w:r>
              <w:rPr>
                <w:spacing w:val="-1"/>
                <w:sz w:val="21"/>
              </w:rPr>
              <w:t>类标准值</w:t>
            </w:r>
            <w:r>
              <w:rPr>
                <w:rFonts w:ascii="Times New Roman" w:hAnsi="Times New Roman" w:eastAsia="Times New Roman"/>
                <w:sz w:val="21"/>
              </w:rPr>
              <w:t>≤</w:t>
            </w:r>
          </w:p>
        </w:tc>
        <w:tc>
          <w:tcPr>
            <w:tcW w:w="802" w:type="dxa"/>
          </w:tcPr>
          <w:p>
            <w:pPr>
              <w:pStyle w:val="TableParagraph"/>
              <w:spacing w:before="22"/>
              <w:ind w:left="145" w:right="133"/>
              <w:rPr>
                <w:rFonts w:ascii="Times New Roman"/>
                <w:sz w:val="21"/>
              </w:rPr>
            </w:pPr>
            <w:r>
              <w:rPr>
                <w:rFonts w:ascii="Times New Roman"/>
                <w:sz w:val="21"/>
              </w:rPr>
              <w:t>0.2</w:t>
            </w:r>
          </w:p>
        </w:tc>
        <w:tc>
          <w:tcPr>
            <w:tcW w:w="848" w:type="dxa"/>
          </w:tcPr>
          <w:p>
            <w:pPr>
              <w:pStyle w:val="TableParagraph"/>
              <w:spacing w:before="22"/>
              <w:ind w:left="4"/>
              <w:rPr>
                <w:rFonts w:ascii="Times New Roman"/>
                <w:sz w:val="21"/>
              </w:rPr>
            </w:pPr>
            <w:r>
              <w:rPr>
                <w:rFonts w:ascii="Times New Roman"/>
                <w:w w:val="100"/>
                <w:sz w:val="21"/>
              </w:rPr>
              <w:t>1</w:t>
            </w:r>
          </w:p>
        </w:tc>
        <w:tc>
          <w:tcPr>
            <w:tcW w:w="958" w:type="dxa"/>
          </w:tcPr>
          <w:p>
            <w:pPr>
              <w:pStyle w:val="TableParagraph"/>
              <w:spacing w:before="22"/>
              <w:ind w:left="3"/>
              <w:rPr>
                <w:rFonts w:ascii="Times New Roman"/>
                <w:sz w:val="21"/>
              </w:rPr>
            </w:pPr>
            <w:r>
              <w:rPr>
                <w:rFonts w:ascii="Times New Roman"/>
                <w:w w:val="100"/>
                <w:sz w:val="21"/>
              </w:rPr>
              <w:t>1</w:t>
            </w:r>
          </w:p>
        </w:tc>
        <w:tc>
          <w:tcPr>
            <w:tcW w:w="1042" w:type="dxa"/>
          </w:tcPr>
          <w:p>
            <w:pPr>
              <w:pStyle w:val="TableParagraph"/>
              <w:spacing w:before="22"/>
              <w:rPr>
                <w:rFonts w:ascii="Times New Roman"/>
                <w:sz w:val="21"/>
              </w:rPr>
            </w:pPr>
            <w:r>
              <w:rPr>
                <w:rFonts w:ascii="Times New Roman"/>
                <w:w w:val="100"/>
                <w:sz w:val="21"/>
              </w:rPr>
              <w:t>1</w:t>
            </w:r>
          </w:p>
        </w:tc>
        <w:tc>
          <w:tcPr>
            <w:tcW w:w="1095" w:type="dxa"/>
          </w:tcPr>
          <w:p>
            <w:pPr>
              <w:pStyle w:val="TableParagraph"/>
              <w:spacing w:before="22"/>
              <w:ind w:left="238" w:right="229"/>
              <w:rPr>
                <w:rFonts w:ascii="Times New Roman"/>
                <w:sz w:val="21"/>
              </w:rPr>
            </w:pPr>
            <w:r>
              <w:rPr>
                <w:rFonts w:ascii="Times New Roman"/>
                <w:sz w:val="21"/>
              </w:rPr>
              <w:t>0.01</w:t>
            </w:r>
          </w:p>
        </w:tc>
        <w:tc>
          <w:tcPr>
            <w:tcW w:w="994" w:type="dxa"/>
          </w:tcPr>
          <w:p>
            <w:pPr>
              <w:pStyle w:val="TableParagraph"/>
              <w:spacing w:before="22"/>
              <w:ind w:left="69" w:right="65"/>
              <w:rPr>
                <w:rFonts w:ascii="Times New Roman"/>
                <w:sz w:val="21"/>
              </w:rPr>
            </w:pPr>
            <w:r>
              <w:rPr>
                <w:rFonts w:ascii="Times New Roman"/>
                <w:sz w:val="21"/>
              </w:rPr>
              <w:t>0.05</w:t>
            </w:r>
          </w:p>
        </w:tc>
        <w:tc>
          <w:tcPr>
            <w:tcW w:w="1121" w:type="dxa"/>
          </w:tcPr>
          <w:p>
            <w:pPr>
              <w:pStyle w:val="TableParagraph"/>
              <w:spacing w:before="22"/>
              <w:ind w:left="115" w:right="110"/>
              <w:rPr>
                <w:rFonts w:ascii="Times New Roman"/>
                <w:sz w:val="21"/>
              </w:rPr>
            </w:pPr>
            <w:r>
              <w:rPr>
                <w:rFonts w:ascii="Times New Roman"/>
                <w:sz w:val="21"/>
              </w:rPr>
              <w:t>0.005</w:t>
            </w:r>
          </w:p>
        </w:tc>
        <w:tc>
          <w:tcPr>
            <w:tcW w:w="1121" w:type="dxa"/>
          </w:tcPr>
          <w:p>
            <w:pPr>
              <w:pStyle w:val="TableParagraph"/>
              <w:spacing w:before="22"/>
              <w:ind w:left="115" w:right="110"/>
              <w:rPr>
                <w:rFonts w:ascii="Times New Roman"/>
                <w:sz w:val="21"/>
              </w:rPr>
            </w:pPr>
            <w:r>
              <w:rPr>
                <w:rFonts w:ascii="Times New Roman"/>
                <w:sz w:val="21"/>
              </w:rPr>
              <w:t>0.05</w:t>
            </w:r>
          </w:p>
        </w:tc>
        <w:tc>
          <w:tcPr>
            <w:tcW w:w="1122" w:type="dxa"/>
          </w:tcPr>
          <w:p>
            <w:pPr>
              <w:pStyle w:val="TableParagraph"/>
              <w:spacing w:before="22"/>
              <w:ind w:left="194" w:right="189"/>
              <w:rPr>
                <w:rFonts w:ascii="Times New Roman"/>
                <w:sz w:val="21"/>
              </w:rPr>
            </w:pPr>
            <w:r>
              <w:rPr>
                <w:rFonts w:ascii="Times New Roman"/>
                <w:sz w:val="21"/>
              </w:rPr>
              <w:t>0.2</w:t>
            </w:r>
          </w:p>
        </w:tc>
        <w:tc>
          <w:tcPr>
            <w:tcW w:w="1121" w:type="dxa"/>
          </w:tcPr>
          <w:p>
            <w:pPr>
              <w:pStyle w:val="TableParagraph"/>
              <w:spacing w:before="22"/>
              <w:ind w:left="115" w:right="112"/>
              <w:rPr>
                <w:rFonts w:ascii="Times New Roman"/>
                <w:sz w:val="21"/>
              </w:rPr>
            </w:pPr>
            <w:r>
              <w:rPr>
                <w:rFonts w:ascii="Times New Roman"/>
                <w:sz w:val="21"/>
              </w:rPr>
              <w:t>0.2</w:t>
            </w:r>
          </w:p>
        </w:tc>
        <w:tc>
          <w:tcPr>
            <w:tcW w:w="1121" w:type="dxa"/>
          </w:tcPr>
          <w:p>
            <w:pPr>
              <w:pStyle w:val="TableParagraph"/>
              <w:spacing w:before="22"/>
              <w:ind w:left="115" w:right="112"/>
              <w:rPr>
                <w:rFonts w:ascii="Times New Roman"/>
                <w:sz w:val="21"/>
              </w:rPr>
            </w:pPr>
            <w:r>
              <w:rPr>
                <w:rFonts w:ascii="Times New Roman"/>
                <w:sz w:val="21"/>
              </w:rPr>
              <w:t>0.2</w:t>
            </w:r>
          </w:p>
        </w:tc>
      </w:tr>
      <w:tr>
        <w:trPr>
          <w:trHeight w:val="282" w:hRule="atLeast"/>
        </w:trPr>
        <w:tc>
          <w:tcPr>
            <w:tcW w:w="2879" w:type="dxa"/>
            <w:gridSpan w:val="3"/>
          </w:tcPr>
          <w:p>
            <w:pPr>
              <w:pStyle w:val="TableParagraph"/>
              <w:spacing w:line="257" w:lineRule="exact" w:before="6"/>
              <w:ind w:left="999" w:right="990"/>
              <w:rPr>
                <w:sz w:val="21"/>
              </w:rPr>
            </w:pPr>
            <w:r>
              <w:rPr>
                <w:sz w:val="21"/>
              </w:rPr>
              <w:t>达标情况</w:t>
            </w:r>
          </w:p>
        </w:tc>
        <w:tc>
          <w:tcPr>
            <w:tcW w:w="802" w:type="dxa"/>
          </w:tcPr>
          <w:p>
            <w:pPr>
              <w:pStyle w:val="TableParagraph"/>
              <w:spacing w:line="257" w:lineRule="exact" w:before="6"/>
              <w:ind w:left="145" w:right="133"/>
              <w:rPr>
                <w:sz w:val="21"/>
              </w:rPr>
            </w:pPr>
            <w:r>
              <w:rPr>
                <w:sz w:val="21"/>
              </w:rPr>
              <w:t>达标</w:t>
            </w:r>
          </w:p>
        </w:tc>
        <w:tc>
          <w:tcPr>
            <w:tcW w:w="848" w:type="dxa"/>
          </w:tcPr>
          <w:p>
            <w:pPr>
              <w:pStyle w:val="TableParagraph"/>
              <w:spacing w:line="257" w:lineRule="exact" w:before="6"/>
              <w:ind w:left="114" w:right="106"/>
              <w:rPr>
                <w:sz w:val="21"/>
              </w:rPr>
            </w:pPr>
            <w:r>
              <w:rPr>
                <w:sz w:val="21"/>
              </w:rPr>
              <w:t>达标</w:t>
            </w:r>
          </w:p>
        </w:tc>
        <w:tc>
          <w:tcPr>
            <w:tcW w:w="958" w:type="dxa"/>
          </w:tcPr>
          <w:p>
            <w:pPr>
              <w:pStyle w:val="TableParagraph"/>
              <w:spacing w:line="257" w:lineRule="exact" w:before="6"/>
              <w:ind w:left="111" w:right="108"/>
              <w:rPr>
                <w:sz w:val="21"/>
              </w:rPr>
            </w:pPr>
            <w:r>
              <w:rPr>
                <w:sz w:val="21"/>
              </w:rPr>
              <w:t>达标</w:t>
            </w:r>
          </w:p>
        </w:tc>
        <w:tc>
          <w:tcPr>
            <w:tcW w:w="1042" w:type="dxa"/>
          </w:tcPr>
          <w:p>
            <w:pPr>
              <w:pStyle w:val="TableParagraph"/>
              <w:spacing w:line="257" w:lineRule="exact" w:before="6"/>
              <w:ind w:left="179" w:right="179"/>
              <w:rPr>
                <w:sz w:val="21"/>
              </w:rPr>
            </w:pPr>
            <w:r>
              <w:rPr>
                <w:sz w:val="21"/>
              </w:rPr>
              <w:t>达标</w:t>
            </w:r>
          </w:p>
        </w:tc>
        <w:tc>
          <w:tcPr>
            <w:tcW w:w="1095" w:type="dxa"/>
          </w:tcPr>
          <w:p>
            <w:pPr>
              <w:pStyle w:val="TableParagraph"/>
              <w:spacing w:line="257" w:lineRule="exact" w:before="6"/>
              <w:ind w:left="238" w:right="229"/>
              <w:rPr>
                <w:sz w:val="21"/>
              </w:rPr>
            </w:pPr>
            <w:r>
              <w:rPr>
                <w:sz w:val="21"/>
              </w:rPr>
              <w:t>达标</w:t>
            </w:r>
          </w:p>
        </w:tc>
        <w:tc>
          <w:tcPr>
            <w:tcW w:w="994" w:type="dxa"/>
          </w:tcPr>
          <w:p>
            <w:pPr>
              <w:pStyle w:val="TableParagraph"/>
              <w:spacing w:line="257" w:lineRule="exact" w:before="6"/>
              <w:ind w:left="69" w:right="65"/>
              <w:rPr>
                <w:sz w:val="21"/>
              </w:rPr>
            </w:pPr>
            <w:r>
              <w:rPr>
                <w:sz w:val="21"/>
              </w:rPr>
              <w:t>达标</w:t>
            </w:r>
          </w:p>
        </w:tc>
        <w:tc>
          <w:tcPr>
            <w:tcW w:w="1121" w:type="dxa"/>
          </w:tcPr>
          <w:p>
            <w:pPr>
              <w:pStyle w:val="TableParagraph"/>
              <w:spacing w:line="257" w:lineRule="exact" w:before="6"/>
              <w:ind w:left="115" w:right="110"/>
              <w:rPr>
                <w:sz w:val="21"/>
              </w:rPr>
            </w:pPr>
            <w:r>
              <w:rPr>
                <w:sz w:val="21"/>
              </w:rPr>
              <w:t>达标</w:t>
            </w:r>
          </w:p>
        </w:tc>
        <w:tc>
          <w:tcPr>
            <w:tcW w:w="1121" w:type="dxa"/>
          </w:tcPr>
          <w:p>
            <w:pPr>
              <w:pStyle w:val="TableParagraph"/>
              <w:spacing w:line="257" w:lineRule="exact" w:before="6"/>
              <w:ind w:left="115" w:right="110"/>
              <w:rPr>
                <w:sz w:val="21"/>
              </w:rPr>
            </w:pPr>
            <w:r>
              <w:rPr>
                <w:sz w:val="21"/>
              </w:rPr>
              <w:t>达标</w:t>
            </w:r>
          </w:p>
        </w:tc>
        <w:tc>
          <w:tcPr>
            <w:tcW w:w="1122" w:type="dxa"/>
          </w:tcPr>
          <w:p>
            <w:pPr>
              <w:pStyle w:val="TableParagraph"/>
              <w:spacing w:line="257" w:lineRule="exact" w:before="6"/>
              <w:ind w:left="194" w:right="189"/>
              <w:rPr>
                <w:sz w:val="21"/>
              </w:rPr>
            </w:pPr>
            <w:r>
              <w:rPr>
                <w:sz w:val="21"/>
              </w:rPr>
              <w:t>达标</w:t>
            </w:r>
          </w:p>
        </w:tc>
        <w:tc>
          <w:tcPr>
            <w:tcW w:w="1121" w:type="dxa"/>
          </w:tcPr>
          <w:p>
            <w:pPr>
              <w:pStyle w:val="TableParagraph"/>
              <w:spacing w:line="257" w:lineRule="exact" w:before="6"/>
              <w:ind w:left="346"/>
              <w:jc w:val="left"/>
              <w:rPr>
                <w:sz w:val="21"/>
              </w:rPr>
            </w:pPr>
            <w:r>
              <w:rPr>
                <w:sz w:val="21"/>
              </w:rPr>
              <w:t>达标</w:t>
            </w:r>
          </w:p>
        </w:tc>
        <w:tc>
          <w:tcPr>
            <w:tcW w:w="1121" w:type="dxa"/>
          </w:tcPr>
          <w:p>
            <w:pPr>
              <w:pStyle w:val="TableParagraph"/>
              <w:spacing w:line="257" w:lineRule="exact" w:before="6"/>
              <w:ind w:left="115" w:right="112"/>
              <w:rPr>
                <w:sz w:val="21"/>
              </w:rPr>
            </w:pPr>
            <w:r>
              <w:rPr>
                <w:sz w:val="21"/>
              </w:rPr>
              <w:t>达标</w:t>
            </w:r>
          </w:p>
        </w:tc>
      </w:tr>
    </w:tbl>
    <w:p>
      <w:pPr>
        <w:pStyle w:val="BodyText"/>
        <w:spacing w:line="364" w:lineRule="auto" w:before="2"/>
        <w:ind w:left="218" w:right="116" w:firstLine="480"/>
      </w:pPr>
      <w:r>
        <w:rPr>
          <w:spacing w:val="-5"/>
        </w:rPr>
        <w:t>根据绍兴市上虞区环境监测年鉴</w:t>
      </w:r>
      <w:r>
        <w:rPr/>
        <w:t>（</w:t>
      </w:r>
      <w:r>
        <w:rPr>
          <w:rFonts w:ascii="Times New Roman" w:eastAsia="Times New Roman"/>
        </w:rPr>
        <w:t>2020 </w:t>
      </w:r>
      <w:r>
        <w:rPr/>
        <w:t>年度</w:t>
      </w:r>
      <w:r>
        <w:rPr>
          <w:spacing w:val="-65"/>
        </w:rPr>
        <w:t>）</w:t>
      </w:r>
      <w:r>
        <w:rPr>
          <w:spacing w:val="-14"/>
        </w:rPr>
        <w:t>中相关数据</w:t>
      </w:r>
      <w:r>
        <w:rPr/>
        <w:t>（</w:t>
      </w:r>
      <w:r>
        <w:rPr>
          <w:spacing w:val="-9"/>
        </w:rPr>
        <w:t>东进河一号桥 </w:t>
      </w:r>
      <w:r>
        <w:rPr>
          <w:rFonts w:ascii="Times New Roman" w:eastAsia="Times New Roman"/>
        </w:rPr>
        <w:t>W1 </w:t>
      </w:r>
      <w:r>
        <w:rPr>
          <w:spacing w:val="-13"/>
        </w:rPr>
        <w:t>监测断面 </w:t>
      </w:r>
      <w:r>
        <w:rPr>
          <w:rFonts w:ascii="Times New Roman" w:eastAsia="Times New Roman"/>
        </w:rPr>
        <w:t>2020 </w:t>
      </w:r>
      <w:r>
        <w:rPr>
          <w:spacing w:val="-30"/>
        </w:rPr>
        <w:t>年 </w:t>
      </w:r>
      <w:r>
        <w:rPr>
          <w:rFonts w:ascii="Times New Roman" w:eastAsia="Times New Roman"/>
        </w:rPr>
        <w:t>1 </w:t>
      </w:r>
      <w:r>
        <w:rPr/>
        <w:t>月</w:t>
      </w:r>
      <w:r>
        <w:rPr>
          <w:rFonts w:ascii="Times New Roman" w:eastAsia="Times New Roman"/>
        </w:rPr>
        <w:t>~5 </w:t>
      </w:r>
      <w:r>
        <w:rPr/>
        <w:t>月</w:t>
      </w:r>
      <w:r>
        <w:rPr>
          <w:spacing w:val="-94"/>
        </w:rPr>
        <w:t>）</w:t>
      </w:r>
      <w:r>
        <w:rPr>
          <w:spacing w:val="-18"/>
        </w:rPr>
        <w:t>，地表水各污染因子 </w:t>
      </w:r>
      <w:r>
        <w:rPr>
          <w:rFonts w:ascii="Times New Roman" w:eastAsia="Times New Roman"/>
        </w:rPr>
        <w:t>pH</w:t>
      </w:r>
      <w:r>
        <w:rPr>
          <w:spacing w:val="-11"/>
        </w:rPr>
        <w:t>、</w:t>
      </w:r>
      <w:r>
        <w:rPr>
          <w:position w:val="2"/>
        </w:rPr>
        <w:t>溶解氧、化学需氧量、高锰酸盐指数、</w:t>
      </w:r>
      <w:r>
        <w:rPr>
          <w:rFonts w:ascii="Times New Roman" w:eastAsia="Times New Roman"/>
          <w:position w:val="2"/>
        </w:rPr>
        <w:t>BOD</w:t>
      </w:r>
      <w:r>
        <w:rPr>
          <w:rFonts w:ascii="Times New Roman" w:eastAsia="Times New Roman"/>
          <w:sz w:val="16"/>
        </w:rPr>
        <w:t>5</w:t>
      </w:r>
      <w:r>
        <w:rPr>
          <w:spacing w:val="-3"/>
          <w:position w:val="2"/>
        </w:rPr>
        <w:t>、氨氮、石油类、总磷、挥发酚、氟化物、汞、铅、铜、锌、硒、砷、镉、六价铬、氰化</w:t>
      </w:r>
      <w:r>
        <w:rPr>
          <w:spacing w:val="-7"/>
        </w:rPr>
        <w:t>物、阴离子表面活性剂、硫化物均能满足 </w:t>
      </w:r>
      <w:r>
        <w:rPr>
          <w:rFonts w:ascii="Times New Roman" w:eastAsia="Times New Roman"/>
        </w:rPr>
        <w:t>GB3838-2002</w:t>
      </w:r>
      <w:r>
        <w:rPr>
          <w:spacing w:val="-6"/>
        </w:rPr>
        <w:t>《地表水环境质量标准》中 </w:t>
      </w:r>
      <w:r>
        <w:rPr>
          <w:rFonts w:ascii="Times New Roman" w:eastAsia="Times New Roman"/>
        </w:rPr>
        <w:t>III </w:t>
      </w:r>
      <w:r>
        <w:rPr>
          <w:spacing w:val="-2"/>
        </w:rPr>
        <w:t>类标准的要求。本项目生产废水经收集后排入绍兴市上虞区污水处理厂，经污水处理厂处理达标后外排杭州湾，对内河水质无影响。</w:t>
      </w:r>
    </w:p>
    <w:p>
      <w:pPr>
        <w:pStyle w:val="BodyText"/>
        <w:spacing w:before="10"/>
        <w:rPr>
          <w:sz w:val="19"/>
        </w:rPr>
      </w:pPr>
      <w:r>
        <w:rPr/>
        <w:pict>
          <v:line style="position:absolute;mso-position-horizontal-relative:page;mso-position-vertical-relative:paragraph;z-index:-251471872;mso-wrap-distance-left:0;mso-wrap-distance-right:0" from="69.949997pt,15.06pt" to="511.699997pt,15.06pt" stroked="true" strokeweight=".75pt" strokecolor="#000000">
            <v:stroke dashstyle="solid"/>
            <w10:wrap type="topAndBottom"/>
          </v:line>
        </w:pict>
      </w:r>
    </w:p>
    <w:p>
      <w:pPr>
        <w:spacing w:after="0"/>
        <w:rPr>
          <w:sz w:val="19"/>
        </w:rPr>
        <w:sectPr>
          <w:headerReference w:type="default" r:id="rId69"/>
          <w:footerReference w:type="default" r:id="rId70"/>
          <w:pgSz w:w="16850" w:h="11910" w:orient="landscape"/>
          <w:pgMar w:header="0" w:footer="1130" w:top="920" w:bottom="1320" w:left="1200" w:right="1180"/>
        </w:sectPr>
      </w:pPr>
    </w:p>
    <w:p>
      <w:pPr>
        <w:pStyle w:val="Heading4"/>
        <w:spacing w:before="64"/>
      </w:pPr>
      <w:r>
        <w:rPr>
          <w:rFonts w:ascii="Times New Roman" w:eastAsia="Times New Roman"/>
        </w:rPr>
        <w:t>2</w:t>
      </w:r>
      <w:r>
        <w:rPr/>
        <w:t>、地下水水质状况</w:t>
      </w:r>
    </w:p>
    <w:p>
      <w:pPr>
        <w:pStyle w:val="ListParagraph"/>
        <w:numPr>
          <w:ilvl w:val="0"/>
          <w:numId w:val="24"/>
        </w:numPr>
        <w:tabs>
          <w:tab w:pos="983" w:val="left" w:leader="none"/>
        </w:tabs>
        <w:spacing w:line="240" w:lineRule="auto" w:before="158" w:after="0"/>
        <w:ind w:left="982" w:right="0" w:hanging="282"/>
        <w:jc w:val="left"/>
        <w:rPr>
          <w:rFonts w:ascii="Times New Roman" w:eastAsia="Times New Roman"/>
          <w:b/>
          <w:sz w:val="24"/>
        </w:rPr>
      </w:pPr>
      <w:r>
        <w:rPr>
          <w:b/>
          <w:sz w:val="24"/>
        </w:rPr>
        <w:t>地下水水质类型监测</w:t>
      </w:r>
      <w:r>
        <w:rPr>
          <w:rFonts w:ascii="Times New Roman" w:eastAsia="Times New Roman"/>
          <w:b/>
          <w:sz w:val="24"/>
        </w:rPr>
        <w:t>(</w:t>
      </w:r>
      <w:r>
        <w:rPr>
          <w:b/>
          <w:sz w:val="24"/>
        </w:rPr>
        <w:t>包气带污染现状</w:t>
      </w:r>
      <w:r>
        <w:rPr>
          <w:rFonts w:ascii="Times New Roman" w:eastAsia="Times New Roman"/>
          <w:b/>
          <w:sz w:val="24"/>
        </w:rPr>
        <w:t>)</w:t>
      </w:r>
    </w:p>
    <w:p>
      <w:pPr>
        <w:pStyle w:val="BodyText"/>
        <w:spacing w:before="161"/>
        <w:ind w:left="698"/>
      </w:pPr>
      <w:r>
        <w:rPr/>
        <w:t>①监测时间</w:t>
      </w:r>
    </w:p>
    <w:p>
      <w:pPr>
        <w:pStyle w:val="BodyText"/>
        <w:spacing w:before="158"/>
        <w:ind w:left="698"/>
      </w:pPr>
      <w:r>
        <w:rPr>
          <w:rFonts w:ascii="Times New Roman" w:eastAsia="Times New Roman"/>
        </w:rPr>
        <w:t>2022 </w:t>
      </w:r>
      <w:r>
        <w:rPr/>
        <w:t>年 </w:t>
      </w:r>
      <w:r>
        <w:rPr>
          <w:rFonts w:ascii="Times New Roman" w:eastAsia="Times New Roman"/>
        </w:rPr>
        <w:t>2 </w:t>
      </w:r>
      <w:r>
        <w:rPr/>
        <w:t>月 </w:t>
      </w:r>
      <w:r>
        <w:rPr>
          <w:rFonts w:ascii="Times New Roman" w:eastAsia="Times New Roman"/>
        </w:rPr>
        <w:t>22 </w:t>
      </w:r>
      <w:r>
        <w:rPr/>
        <w:t>日，监测一次。</w:t>
      </w:r>
    </w:p>
    <w:p>
      <w:pPr>
        <w:pStyle w:val="Heading4"/>
        <w:spacing w:before="160"/>
      </w:pPr>
      <w:r>
        <w:rPr/>
        <w:t>②监测点位</w:t>
      </w:r>
    </w:p>
    <w:p>
      <w:pPr>
        <w:pStyle w:val="BodyText"/>
        <w:spacing w:before="158"/>
        <w:ind w:left="698"/>
      </w:pPr>
      <w:r>
        <w:rPr/>
        <w:t>本次监测于：</w:t>
      </w:r>
      <w:r>
        <w:rPr>
          <w:rFonts w:ascii="Times New Roman" w:eastAsia="Times New Roman"/>
        </w:rPr>
        <w:t>1#</w:t>
      </w:r>
      <w:r>
        <w:rPr/>
        <w:t>厂区污水处理站、</w:t>
      </w:r>
      <w:r>
        <w:rPr>
          <w:rFonts w:ascii="Times New Roman" w:eastAsia="Times New Roman"/>
        </w:rPr>
        <w:t>2#</w:t>
      </w:r>
      <w:r>
        <w:rPr/>
        <w:t>硝化车间、</w:t>
      </w:r>
      <w:r>
        <w:rPr>
          <w:rFonts w:ascii="Times New Roman" w:eastAsia="Times New Roman"/>
        </w:rPr>
        <w:t>3#</w:t>
      </w:r>
      <w:r>
        <w:rPr/>
        <w:t>兴海村各设置 </w:t>
      </w:r>
      <w:r>
        <w:rPr>
          <w:rFonts w:ascii="Times New Roman" w:eastAsia="Times New Roman"/>
        </w:rPr>
        <w:t>1 </w:t>
      </w:r>
      <w:r>
        <w:rPr/>
        <w:t>个监测点位。</w:t>
      </w:r>
    </w:p>
    <w:p>
      <w:pPr>
        <w:pStyle w:val="Heading4"/>
        <w:spacing w:before="161"/>
      </w:pPr>
      <w:r>
        <w:rPr/>
        <w:t>③监测项目</w:t>
      </w:r>
    </w:p>
    <w:p>
      <w:pPr>
        <w:pStyle w:val="BodyText"/>
        <w:spacing w:before="160"/>
        <w:ind w:left="698"/>
      </w:pPr>
      <w:r>
        <w:rPr>
          <w:rFonts w:ascii="Times New Roman" w:eastAsia="Times New Roman"/>
        </w:rPr>
        <w:t>pH</w:t>
      </w:r>
      <w:r>
        <w:rPr/>
        <w:t>、高锰酸盐指数、氨氮、苯胺类、硝基苯类、邻二甲苯</w:t>
      </w:r>
    </w:p>
    <w:p>
      <w:pPr>
        <w:pStyle w:val="Heading4"/>
        <w:spacing w:before="158"/>
      </w:pPr>
      <w:r>
        <w:rPr/>
        <w:t>④监测结果及评价</w:t>
      </w:r>
    </w:p>
    <w:p>
      <w:pPr>
        <w:pStyle w:val="BodyText"/>
        <w:spacing w:before="161"/>
        <w:ind w:left="698"/>
      </w:pPr>
      <w:r>
        <w:rPr/>
        <w:t>包气带监测数据见下表。</w:t>
      </w:r>
    </w:p>
    <w:p>
      <w:pPr>
        <w:pStyle w:val="BodyText"/>
        <w:spacing w:before="5"/>
        <w:rPr>
          <w:sz w:val="23"/>
        </w:rPr>
      </w:pPr>
    </w:p>
    <w:p>
      <w:pPr>
        <w:pStyle w:val="Heading4"/>
        <w:spacing w:after="29"/>
        <w:ind w:left="0" w:right="201"/>
        <w:jc w:val="center"/>
      </w:pPr>
      <w:r>
        <w:rPr/>
        <w:pict>
          <v:line style="position:absolute;mso-position-horizontal-relative:page;mso-position-vertical-relative:paragraph;z-index:-317740032" from="65.664001pt,17.039976pt" to="212.450001pt,45.719976pt" stroked="true" strokeweight=".72pt" strokecolor="#000000">
            <v:stroke dashstyle="solid"/>
            <w10:wrap type="none"/>
          </v:line>
        </w:pict>
      </w:r>
      <w:r>
        <w:rPr/>
        <w:t>表 </w:t>
      </w:r>
      <w:r>
        <w:rPr>
          <w:rFonts w:ascii="Times New Roman" w:eastAsia="Times New Roman"/>
        </w:rPr>
        <w:t>6.2.2-2  </w:t>
      </w:r>
      <w:r>
        <w:rPr/>
        <w:t>包气带现状监测数据</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941"/>
        <w:gridCol w:w="1484"/>
        <w:gridCol w:w="985"/>
        <w:gridCol w:w="953"/>
        <w:gridCol w:w="987"/>
        <w:gridCol w:w="954"/>
        <w:gridCol w:w="987"/>
      </w:tblGrid>
      <w:tr>
        <w:trPr>
          <w:trHeight w:val="285" w:hRule="atLeast"/>
        </w:trPr>
        <w:tc>
          <w:tcPr>
            <w:tcW w:w="2941" w:type="dxa"/>
            <w:vMerge w:val="restart"/>
          </w:tcPr>
          <w:p>
            <w:pPr>
              <w:pStyle w:val="TableParagraph"/>
              <w:spacing w:before="15"/>
              <w:ind w:left="1984"/>
              <w:jc w:val="left"/>
              <w:rPr>
                <w:b/>
                <w:sz w:val="21"/>
              </w:rPr>
            </w:pPr>
            <w:r>
              <w:rPr>
                <w:b/>
                <w:sz w:val="21"/>
              </w:rPr>
              <w:t>采样点位</w:t>
            </w:r>
          </w:p>
          <w:p>
            <w:pPr>
              <w:pStyle w:val="TableParagraph"/>
              <w:spacing w:line="264" w:lineRule="exact" w:before="5"/>
              <w:ind w:left="107"/>
              <w:jc w:val="left"/>
              <w:rPr>
                <w:b/>
                <w:sz w:val="21"/>
              </w:rPr>
            </w:pPr>
            <w:r>
              <w:rPr>
                <w:b/>
                <w:sz w:val="21"/>
              </w:rPr>
              <w:t>项目名称及单位</w:t>
            </w:r>
          </w:p>
        </w:tc>
        <w:tc>
          <w:tcPr>
            <w:tcW w:w="2469" w:type="dxa"/>
            <w:gridSpan w:val="2"/>
          </w:tcPr>
          <w:p>
            <w:pPr>
              <w:pStyle w:val="TableParagraph"/>
              <w:spacing w:line="257" w:lineRule="exact" w:before="8"/>
              <w:ind w:left="390"/>
              <w:jc w:val="left"/>
              <w:rPr>
                <w:b/>
                <w:sz w:val="21"/>
              </w:rPr>
            </w:pPr>
            <w:r>
              <w:rPr>
                <w:rFonts w:ascii="Times New Roman" w:eastAsia="Times New Roman"/>
                <w:b/>
                <w:sz w:val="21"/>
              </w:rPr>
              <w:t>1#</w:t>
            </w:r>
            <w:r>
              <w:rPr>
                <w:b/>
                <w:sz w:val="21"/>
              </w:rPr>
              <w:t>厂区污水处理站</w:t>
            </w:r>
          </w:p>
        </w:tc>
        <w:tc>
          <w:tcPr>
            <w:tcW w:w="1940" w:type="dxa"/>
            <w:gridSpan w:val="2"/>
          </w:tcPr>
          <w:p>
            <w:pPr>
              <w:pStyle w:val="TableParagraph"/>
              <w:spacing w:line="257" w:lineRule="exact" w:before="8"/>
              <w:ind w:left="439"/>
              <w:jc w:val="left"/>
              <w:rPr>
                <w:b/>
                <w:sz w:val="21"/>
              </w:rPr>
            </w:pPr>
            <w:r>
              <w:rPr>
                <w:rFonts w:ascii="Times New Roman" w:eastAsia="Times New Roman"/>
                <w:b/>
                <w:sz w:val="21"/>
              </w:rPr>
              <w:t>2#</w:t>
            </w:r>
            <w:r>
              <w:rPr>
                <w:b/>
                <w:sz w:val="21"/>
              </w:rPr>
              <w:t>硝化车间</w:t>
            </w:r>
          </w:p>
        </w:tc>
        <w:tc>
          <w:tcPr>
            <w:tcW w:w="1941" w:type="dxa"/>
            <w:gridSpan w:val="2"/>
          </w:tcPr>
          <w:p>
            <w:pPr>
              <w:pStyle w:val="TableParagraph"/>
              <w:spacing w:line="257" w:lineRule="exact" w:before="8"/>
              <w:ind w:left="544"/>
              <w:jc w:val="left"/>
              <w:rPr>
                <w:b/>
                <w:sz w:val="21"/>
              </w:rPr>
            </w:pPr>
            <w:r>
              <w:rPr>
                <w:rFonts w:ascii="Times New Roman" w:eastAsia="Times New Roman"/>
                <w:b/>
                <w:sz w:val="21"/>
              </w:rPr>
              <w:t>3#</w:t>
            </w:r>
            <w:r>
              <w:rPr>
                <w:b/>
                <w:sz w:val="21"/>
              </w:rPr>
              <w:t>兴海村</w:t>
            </w:r>
          </w:p>
        </w:tc>
      </w:tr>
      <w:tr>
        <w:trPr>
          <w:trHeight w:val="282" w:hRule="atLeast"/>
        </w:trPr>
        <w:tc>
          <w:tcPr>
            <w:tcW w:w="2941" w:type="dxa"/>
            <w:vMerge/>
            <w:tcBorders>
              <w:top w:val="nil"/>
            </w:tcBorders>
          </w:tcPr>
          <w:p>
            <w:pPr>
              <w:rPr>
                <w:sz w:val="2"/>
                <w:szCs w:val="2"/>
              </w:rPr>
            </w:pPr>
          </w:p>
        </w:tc>
        <w:tc>
          <w:tcPr>
            <w:tcW w:w="1484" w:type="dxa"/>
          </w:tcPr>
          <w:p>
            <w:pPr>
              <w:pStyle w:val="TableParagraph"/>
              <w:spacing w:before="20"/>
              <w:ind w:left="413" w:right="412"/>
              <w:rPr>
                <w:rFonts w:ascii="Times New Roman"/>
                <w:b/>
                <w:sz w:val="21"/>
              </w:rPr>
            </w:pPr>
            <w:r>
              <w:rPr>
                <w:rFonts w:ascii="Times New Roman"/>
                <w:b/>
                <w:sz w:val="21"/>
              </w:rPr>
              <w:t>0-0.2m</w:t>
            </w:r>
          </w:p>
        </w:tc>
        <w:tc>
          <w:tcPr>
            <w:tcW w:w="985" w:type="dxa"/>
          </w:tcPr>
          <w:p>
            <w:pPr>
              <w:pStyle w:val="TableParagraph"/>
              <w:spacing w:before="20"/>
              <w:ind w:left="70" w:right="70"/>
              <w:rPr>
                <w:rFonts w:ascii="Times New Roman"/>
                <w:b/>
                <w:sz w:val="21"/>
              </w:rPr>
            </w:pPr>
            <w:r>
              <w:rPr>
                <w:rFonts w:ascii="Times New Roman"/>
                <w:b/>
                <w:sz w:val="21"/>
              </w:rPr>
              <w:t>0.2-0.8m</w:t>
            </w:r>
          </w:p>
        </w:tc>
        <w:tc>
          <w:tcPr>
            <w:tcW w:w="953" w:type="dxa"/>
          </w:tcPr>
          <w:p>
            <w:pPr>
              <w:pStyle w:val="TableParagraph"/>
              <w:spacing w:before="20"/>
              <w:ind w:left="109" w:right="108"/>
              <w:rPr>
                <w:rFonts w:ascii="Times New Roman"/>
                <w:b/>
                <w:sz w:val="21"/>
              </w:rPr>
            </w:pPr>
            <w:r>
              <w:rPr>
                <w:rFonts w:ascii="Times New Roman"/>
                <w:b/>
                <w:sz w:val="21"/>
              </w:rPr>
              <w:t>0-0.2m</w:t>
            </w:r>
          </w:p>
        </w:tc>
        <w:tc>
          <w:tcPr>
            <w:tcW w:w="987" w:type="dxa"/>
          </w:tcPr>
          <w:p>
            <w:pPr>
              <w:pStyle w:val="TableParagraph"/>
              <w:spacing w:before="20"/>
              <w:ind w:left="85" w:right="85"/>
              <w:rPr>
                <w:rFonts w:ascii="Times New Roman"/>
                <w:b/>
                <w:sz w:val="21"/>
              </w:rPr>
            </w:pPr>
            <w:r>
              <w:rPr>
                <w:rFonts w:ascii="Times New Roman"/>
                <w:b/>
                <w:sz w:val="21"/>
              </w:rPr>
              <w:t>0.2-0.8m</w:t>
            </w:r>
          </w:p>
        </w:tc>
        <w:tc>
          <w:tcPr>
            <w:tcW w:w="954" w:type="dxa"/>
          </w:tcPr>
          <w:p>
            <w:pPr>
              <w:pStyle w:val="TableParagraph"/>
              <w:spacing w:before="20"/>
              <w:ind w:left="148" w:right="148"/>
              <w:rPr>
                <w:rFonts w:ascii="Times New Roman"/>
                <w:b/>
                <w:sz w:val="21"/>
              </w:rPr>
            </w:pPr>
            <w:r>
              <w:rPr>
                <w:rFonts w:ascii="Times New Roman"/>
                <w:b/>
                <w:sz w:val="21"/>
              </w:rPr>
              <w:t>0-0.2m</w:t>
            </w:r>
          </w:p>
        </w:tc>
        <w:tc>
          <w:tcPr>
            <w:tcW w:w="987" w:type="dxa"/>
          </w:tcPr>
          <w:p>
            <w:pPr>
              <w:pStyle w:val="TableParagraph"/>
              <w:spacing w:before="20"/>
              <w:ind w:left="85" w:right="86"/>
              <w:rPr>
                <w:rFonts w:ascii="Times New Roman"/>
                <w:b/>
                <w:sz w:val="21"/>
              </w:rPr>
            </w:pPr>
            <w:r>
              <w:rPr>
                <w:rFonts w:ascii="Times New Roman"/>
                <w:b/>
                <w:sz w:val="21"/>
              </w:rPr>
              <w:t>0.2-0.8m</w:t>
            </w:r>
          </w:p>
        </w:tc>
      </w:tr>
      <w:tr>
        <w:trPr>
          <w:trHeight w:val="282" w:hRule="atLeast"/>
        </w:trPr>
        <w:tc>
          <w:tcPr>
            <w:tcW w:w="2941" w:type="dxa"/>
          </w:tcPr>
          <w:p>
            <w:pPr>
              <w:pStyle w:val="TableParagraph"/>
              <w:spacing w:line="257" w:lineRule="exact" w:before="6"/>
              <w:ind w:left="460" w:right="454"/>
              <w:rPr>
                <w:sz w:val="21"/>
              </w:rPr>
            </w:pPr>
            <w:r>
              <w:rPr>
                <w:rFonts w:ascii="Times New Roman" w:eastAsia="Times New Roman"/>
                <w:sz w:val="21"/>
              </w:rPr>
              <w:t>pH </w:t>
            </w:r>
            <w:r>
              <w:rPr>
                <w:sz w:val="21"/>
              </w:rPr>
              <w:t>值 无量纲</w:t>
            </w:r>
          </w:p>
        </w:tc>
        <w:tc>
          <w:tcPr>
            <w:tcW w:w="1484" w:type="dxa"/>
          </w:tcPr>
          <w:p>
            <w:pPr>
              <w:pStyle w:val="TableParagraph"/>
              <w:spacing w:line="241" w:lineRule="exact" w:before="22"/>
              <w:ind w:left="413" w:right="410"/>
              <w:rPr>
                <w:rFonts w:ascii="Times New Roman"/>
                <w:sz w:val="21"/>
              </w:rPr>
            </w:pPr>
            <w:r>
              <w:rPr>
                <w:rFonts w:ascii="Times New Roman"/>
                <w:sz w:val="21"/>
              </w:rPr>
              <w:t>7.2</w:t>
            </w:r>
          </w:p>
        </w:tc>
        <w:tc>
          <w:tcPr>
            <w:tcW w:w="985" w:type="dxa"/>
          </w:tcPr>
          <w:p>
            <w:pPr>
              <w:pStyle w:val="TableParagraph"/>
              <w:spacing w:line="241" w:lineRule="exact" w:before="22"/>
              <w:ind w:left="71" w:right="70"/>
              <w:rPr>
                <w:rFonts w:ascii="Times New Roman"/>
                <w:sz w:val="21"/>
              </w:rPr>
            </w:pPr>
            <w:r>
              <w:rPr>
                <w:rFonts w:ascii="Times New Roman"/>
                <w:sz w:val="21"/>
              </w:rPr>
              <w:t>7.3</w:t>
            </w:r>
          </w:p>
        </w:tc>
        <w:tc>
          <w:tcPr>
            <w:tcW w:w="953" w:type="dxa"/>
          </w:tcPr>
          <w:p>
            <w:pPr>
              <w:pStyle w:val="TableParagraph"/>
              <w:spacing w:line="241" w:lineRule="exact" w:before="22"/>
              <w:ind w:left="111" w:right="108"/>
              <w:rPr>
                <w:rFonts w:ascii="Times New Roman"/>
                <w:sz w:val="21"/>
              </w:rPr>
            </w:pPr>
            <w:r>
              <w:rPr>
                <w:rFonts w:ascii="Times New Roman"/>
                <w:sz w:val="21"/>
              </w:rPr>
              <w:t>6.9</w:t>
            </w:r>
          </w:p>
        </w:tc>
        <w:tc>
          <w:tcPr>
            <w:tcW w:w="987" w:type="dxa"/>
          </w:tcPr>
          <w:p>
            <w:pPr>
              <w:pStyle w:val="TableParagraph"/>
              <w:spacing w:line="241" w:lineRule="exact" w:before="22"/>
              <w:ind w:left="85" w:right="83"/>
              <w:rPr>
                <w:rFonts w:ascii="Times New Roman"/>
                <w:sz w:val="21"/>
              </w:rPr>
            </w:pPr>
            <w:r>
              <w:rPr>
                <w:rFonts w:ascii="Times New Roman"/>
                <w:sz w:val="21"/>
              </w:rPr>
              <w:t>7.1</w:t>
            </w:r>
          </w:p>
        </w:tc>
        <w:tc>
          <w:tcPr>
            <w:tcW w:w="954" w:type="dxa"/>
          </w:tcPr>
          <w:p>
            <w:pPr>
              <w:pStyle w:val="TableParagraph"/>
              <w:spacing w:line="241" w:lineRule="exact" w:before="22"/>
              <w:ind w:left="148" w:right="148"/>
              <w:rPr>
                <w:rFonts w:ascii="Times New Roman"/>
                <w:sz w:val="21"/>
              </w:rPr>
            </w:pPr>
            <w:r>
              <w:rPr>
                <w:rFonts w:ascii="Times New Roman"/>
                <w:sz w:val="21"/>
              </w:rPr>
              <w:t>6.7</w:t>
            </w:r>
          </w:p>
        </w:tc>
        <w:tc>
          <w:tcPr>
            <w:tcW w:w="987" w:type="dxa"/>
          </w:tcPr>
          <w:p>
            <w:pPr>
              <w:pStyle w:val="TableParagraph"/>
              <w:spacing w:line="241" w:lineRule="exact" w:before="22"/>
              <w:ind w:left="85" w:right="85"/>
              <w:rPr>
                <w:rFonts w:ascii="Times New Roman"/>
                <w:sz w:val="21"/>
              </w:rPr>
            </w:pPr>
            <w:r>
              <w:rPr>
                <w:rFonts w:ascii="Times New Roman"/>
                <w:sz w:val="21"/>
              </w:rPr>
              <w:t>6.7</w:t>
            </w:r>
          </w:p>
        </w:tc>
      </w:tr>
      <w:tr>
        <w:trPr>
          <w:trHeight w:val="285" w:hRule="atLeast"/>
        </w:trPr>
        <w:tc>
          <w:tcPr>
            <w:tcW w:w="2941" w:type="dxa"/>
          </w:tcPr>
          <w:p>
            <w:pPr>
              <w:pStyle w:val="TableParagraph"/>
              <w:spacing w:line="257" w:lineRule="exact" w:before="8"/>
              <w:ind w:left="460" w:right="455"/>
              <w:rPr>
                <w:rFonts w:ascii="Times New Roman" w:eastAsia="Times New Roman"/>
                <w:sz w:val="21"/>
              </w:rPr>
            </w:pPr>
            <w:r>
              <w:rPr>
                <w:sz w:val="21"/>
              </w:rPr>
              <w:t>高锰酸盐指数</w:t>
            </w:r>
            <w:r>
              <w:rPr>
                <w:rFonts w:ascii="Times New Roman" w:eastAsia="Times New Roman"/>
                <w:sz w:val="21"/>
              </w:rPr>
              <w:t>mg/L</w:t>
            </w:r>
          </w:p>
        </w:tc>
        <w:tc>
          <w:tcPr>
            <w:tcW w:w="1484" w:type="dxa"/>
          </w:tcPr>
          <w:p>
            <w:pPr>
              <w:pStyle w:val="TableParagraph"/>
              <w:spacing w:before="22"/>
              <w:ind w:left="413" w:right="410"/>
              <w:rPr>
                <w:rFonts w:ascii="Times New Roman"/>
                <w:sz w:val="21"/>
              </w:rPr>
            </w:pPr>
            <w:r>
              <w:rPr>
                <w:rFonts w:ascii="Times New Roman"/>
                <w:sz w:val="21"/>
              </w:rPr>
              <w:t>5.1</w:t>
            </w:r>
          </w:p>
        </w:tc>
        <w:tc>
          <w:tcPr>
            <w:tcW w:w="985" w:type="dxa"/>
          </w:tcPr>
          <w:p>
            <w:pPr>
              <w:pStyle w:val="TableParagraph"/>
              <w:spacing w:before="22"/>
              <w:ind w:left="71" w:right="70"/>
              <w:rPr>
                <w:rFonts w:ascii="Times New Roman"/>
                <w:sz w:val="21"/>
              </w:rPr>
            </w:pPr>
            <w:r>
              <w:rPr>
                <w:rFonts w:ascii="Times New Roman"/>
                <w:sz w:val="21"/>
              </w:rPr>
              <w:t>5.0</w:t>
            </w:r>
          </w:p>
        </w:tc>
        <w:tc>
          <w:tcPr>
            <w:tcW w:w="953" w:type="dxa"/>
          </w:tcPr>
          <w:p>
            <w:pPr>
              <w:pStyle w:val="TableParagraph"/>
              <w:spacing w:before="22"/>
              <w:ind w:left="111" w:right="108"/>
              <w:rPr>
                <w:rFonts w:ascii="Times New Roman"/>
                <w:sz w:val="21"/>
              </w:rPr>
            </w:pPr>
            <w:r>
              <w:rPr>
                <w:rFonts w:ascii="Times New Roman"/>
                <w:sz w:val="21"/>
              </w:rPr>
              <w:t>5.3</w:t>
            </w:r>
          </w:p>
        </w:tc>
        <w:tc>
          <w:tcPr>
            <w:tcW w:w="987" w:type="dxa"/>
          </w:tcPr>
          <w:p>
            <w:pPr>
              <w:pStyle w:val="TableParagraph"/>
              <w:spacing w:before="22"/>
              <w:ind w:left="85" w:right="83"/>
              <w:rPr>
                <w:rFonts w:ascii="Times New Roman"/>
                <w:sz w:val="21"/>
              </w:rPr>
            </w:pPr>
            <w:r>
              <w:rPr>
                <w:rFonts w:ascii="Times New Roman"/>
                <w:sz w:val="21"/>
              </w:rPr>
              <w:t>5.4</w:t>
            </w:r>
          </w:p>
        </w:tc>
        <w:tc>
          <w:tcPr>
            <w:tcW w:w="954" w:type="dxa"/>
          </w:tcPr>
          <w:p>
            <w:pPr>
              <w:pStyle w:val="TableParagraph"/>
              <w:spacing w:before="22"/>
              <w:ind w:left="148" w:right="148"/>
              <w:rPr>
                <w:rFonts w:ascii="Times New Roman"/>
                <w:sz w:val="21"/>
              </w:rPr>
            </w:pPr>
            <w:r>
              <w:rPr>
                <w:rFonts w:ascii="Times New Roman"/>
                <w:sz w:val="21"/>
              </w:rPr>
              <w:t>4.8</w:t>
            </w:r>
          </w:p>
        </w:tc>
        <w:tc>
          <w:tcPr>
            <w:tcW w:w="987" w:type="dxa"/>
          </w:tcPr>
          <w:p>
            <w:pPr>
              <w:pStyle w:val="TableParagraph"/>
              <w:spacing w:before="22"/>
              <w:ind w:left="85" w:right="85"/>
              <w:rPr>
                <w:rFonts w:ascii="Times New Roman"/>
                <w:sz w:val="21"/>
              </w:rPr>
            </w:pPr>
            <w:r>
              <w:rPr>
                <w:rFonts w:ascii="Times New Roman"/>
                <w:sz w:val="21"/>
              </w:rPr>
              <w:t>4.9</w:t>
            </w:r>
          </w:p>
        </w:tc>
      </w:tr>
      <w:tr>
        <w:trPr>
          <w:trHeight w:val="283" w:hRule="atLeast"/>
        </w:trPr>
        <w:tc>
          <w:tcPr>
            <w:tcW w:w="2941" w:type="dxa"/>
          </w:tcPr>
          <w:p>
            <w:pPr>
              <w:pStyle w:val="TableParagraph"/>
              <w:spacing w:line="257" w:lineRule="exact" w:before="6"/>
              <w:ind w:left="457" w:right="455"/>
              <w:rPr>
                <w:rFonts w:ascii="Times New Roman" w:eastAsia="Times New Roman"/>
                <w:sz w:val="21"/>
              </w:rPr>
            </w:pPr>
            <w:r>
              <w:rPr>
                <w:sz w:val="21"/>
              </w:rPr>
              <w:t>氨氮 </w:t>
            </w:r>
            <w:r>
              <w:rPr>
                <w:rFonts w:ascii="Times New Roman" w:eastAsia="Times New Roman"/>
                <w:sz w:val="21"/>
              </w:rPr>
              <w:t>mg/L</w:t>
            </w:r>
          </w:p>
        </w:tc>
        <w:tc>
          <w:tcPr>
            <w:tcW w:w="1484" w:type="dxa"/>
          </w:tcPr>
          <w:p>
            <w:pPr>
              <w:pStyle w:val="TableParagraph"/>
              <w:spacing w:before="20"/>
              <w:ind w:left="413" w:right="410"/>
              <w:rPr>
                <w:rFonts w:ascii="Times New Roman"/>
                <w:sz w:val="21"/>
              </w:rPr>
            </w:pPr>
            <w:r>
              <w:rPr>
                <w:rFonts w:ascii="Times New Roman"/>
                <w:sz w:val="21"/>
              </w:rPr>
              <w:t>0.486</w:t>
            </w:r>
          </w:p>
        </w:tc>
        <w:tc>
          <w:tcPr>
            <w:tcW w:w="985" w:type="dxa"/>
          </w:tcPr>
          <w:p>
            <w:pPr>
              <w:pStyle w:val="TableParagraph"/>
              <w:spacing w:before="20"/>
              <w:ind w:left="71" w:right="70"/>
              <w:rPr>
                <w:rFonts w:ascii="Times New Roman"/>
                <w:sz w:val="21"/>
              </w:rPr>
            </w:pPr>
            <w:r>
              <w:rPr>
                <w:rFonts w:ascii="Times New Roman"/>
                <w:sz w:val="21"/>
              </w:rPr>
              <w:t>0.459</w:t>
            </w:r>
          </w:p>
        </w:tc>
        <w:tc>
          <w:tcPr>
            <w:tcW w:w="953" w:type="dxa"/>
          </w:tcPr>
          <w:p>
            <w:pPr>
              <w:pStyle w:val="TableParagraph"/>
              <w:spacing w:before="20"/>
              <w:ind w:left="111" w:right="108"/>
              <w:rPr>
                <w:rFonts w:ascii="Times New Roman"/>
                <w:sz w:val="21"/>
              </w:rPr>
            </w:pPr>
            <w:r>
              <w:rPr>
                <w:rFonts w:ascii="Times New Roman"/>
                <w:sz w:val="21"/>
              </w:rPr>
              <w:t>0.533</w:t>
            </w:r>
          </w:p>
        </w:tc>
        <w:tc>
          <w:tcPr>
            <w:tcW w:w="987" w:type="dxa"/>
          </w:tcPr>
          <w:p>
            <w:pPr>
              <w:pStyle w:val="TableParagraph"/>
              <w:spacing w:before="20"/>
              <w:ind w:left="85" w:right="83"/>
              <w:rPr>
                <w:rFonts w:ascii="Times New Roman"/>
                <w:sz w:val="21"/>
              </w:rPr>
            </w:pPr>
            <w:r>
              <w:rPr>
                <w:rFonts w:ascii="Times New Roman"/>
                <w:sz w:val="21"/>
              </w:rPr>
              <w:t>0.521</w:t>
            </w:r>
          </w:p>
        </w:tc>
        <w:tc>
          <w:tcPr>
            <w:tcW w:w="954" w:type="dxa"/>
          </w:tcPr>
          <w:p>
            <w:pPr>
              <w:pStyle w:val="TableParagraph"/>
              <w:spacing w:before="20"/>
              <w:ind w:left="148" w:right="148"/>
              <w:rPr>
                <w:rFonts w:ascii="Times New Roman"/>
                <w:sz w:val="21"/>
              </w:rPr>
            </w:pPr>
            <w:r>
              <w:rPr>
                <w:rFonts w:ascii="Times New Roman"/>
                <w:sz w:val="21"/>
              </w:rPr>
              <w:t>0.441</w:t>
            </w:r>
          </w:p>
        </w:tc>
        <w:tc>
          <w:tcPr>
            <w:tcW w:w="987" w:type="dxa"/>
          </w:tcPr>
          <w:p>
            <w:pPr>
              <w:pStyle w:val="TableParagraph"/>
              <w:spacing w:before="20"/>
              <w:ind w:left="85" w:right="85"/>
              <w:rPr>
                <w:rFonts w:ascii="Times New Roman"/>
                <w:sz w:val="21"/>
              </w:rPr>
            </w:pPr>
            <w:r>
              <w:rPr>
                <w:rFonts w:ascii="Times New Roman"/>
                <w:sz w:val="21"/>
              </w:rPr>
              <w:t>0.435</w:t>
            </w:r>
          </w:p>
        </w:tc>
      </w:tr>
      <w:tr>
        <w:trPr>
          <w:trHeight w:val="285" w:hRule="atLeast"/>
        </w:trPr>
        <w:tc>
          <w:tcPr>
            <w:tcW w:w="2941" w:type="dxa"/>
          </w:tcPr>
          <w:p>
            <w:pPr>
              <w:pStyle w:val="TableParagraph"/>
              <w:spacing w:line="257" w:lineRule="exact" w:before="8"/>
              <w:ind w:left="458" w:right="455"/>
              <w:rPr>
                <w:rFonts w:ascii="Times New Roman" w:eastAsia="Times New Roman"/>
                <w:sz w:val="21"/>
              </w:rPr>
            </w:pPr>
            <w:r>
              <w:rPr>
                <w:sz w:val="21"/>
              </w:rPr>
              <w:t>苯胺类化合物 </w:t>
            </w:r>
            <w:r>
              <w:rPr>
                <w:rFonts w:ascii="Times New Roman" w:eastAsia="Times New Roman"/>
                <w:sz w:val="21"/>
              </w:rPr>
              <w:t>mg/L</w:t>
            </w:r>
          </w:p>
        </w:tc>
        <w:tc>
          <w:tcPr>
            <w:tcW w:w="1484" w:type="dxa"/>
          </w:tcPr>
          <w:p>
            <w:pPr>
              <w:pStyle w:val="TableParagraph"/>
              <w:spacing w:before="22"/>
              <w:ind w:left="413" w:right="408"/>
              <w:rPr>
                <w:rFonts w:ascii="Times New Roman"/>
                <w:sz w:val="21"/>
              </w:rPr>
            </w:pPr>
            <w:r>
              <w:rPr>
                <w:rFonts w:ascii="Times New Roman"/>
                <w:sz w:val="21"/>
              </w:rPr>
              <w:t>&lt;0.03</w:t>
            </w:r>
          </w:p>
        </w:tc>
        <w:tc>
          <w:tcPr>
            <w:tcW w:w="985" w:type="dxa"/>
          </w:tcPr>
          <w:p>
            <w:pPr>
              <w:pStyle w:val="TableParagraph"/>
              <w:spacing w:before="22"/>
              <w:ind w:left="69" w:right="70"/>
              <w:rPr>
                <w:rFonts w:ascii="Times New Roman"/>
                <w:sz w:val="21"/>
              </w:rPr>
            </w:pPr>
            <w:r>
              <w:rPr>
                <w:rFonts w:ascii="Times New Roman"/>
                <w:sz w:val="21"/>
              </w:rPr>
              <w:t>&lt;0.03</w:t>
            </w:r>
          </w:p>
        </w:tc>
        <w:tc>
          <w:tcPr>
            <w:tcW w:w="953" w:type="dxa"/>
          </w:tcPr>
          <w:p>
            <w:pPr>
              <w:pStyle w:val="TableParagraph"/>
              <w:spacing w:before="22"/>
              <w:ind w:left="108" w:right="108"/>
              <w:rPr>
                <w:rFonts w:ascii="Times New Roman"/>
                <w:sz w:val="21"/>
              </w:rPr>
            </w:pPr>
            <w:r>
              <w:rPr>
                <w:rFonts w:ascii="Times New Roman"/>
                <w:sz w:val="21"/>
              </w:rPr>
              <w:t>&lt;0.03</w:t>
            </w:r>
          </w:p>
        </w:tc>
        <w:tc>
          <w:tcPr>
            <w:tcW w:w="987" w:type="dxa"/>
          </w:tcPr>
          <w:p>
            <w:pPr>
              <w:pStyle w:val="TableParagraph"/>
              <w:spacing w:before="22"/>
              <w:ind w:left="85" w:right="85"/>
              <w:rPr>
                <w:rFonts w:ascii="Times New Roman"/>
                <w:sz w:val="21"/>
              </w:rPr>
            </w:pPr>
            <w:r>
              <w:rPr>
                <w:rFonts w:ascii="Times New Roman"/>
                <w:sz w:val="21"/>
              </w:rPr>
              <w:t>&lt;0.03</w:t>
            </w:r>
          </w:p>
        </w:tc>
        <w:tc>
          <w:tcPr>
            <w:tcW w:w="954" w:type="dxa"/>
          </w:tcPr>
          <w:p>
            <w:pPr>
              <w:pStyle w:val="TableParagraph"/>
              <w:spacing w:before="22"/>
              <w:ind w:left="147" w:right="148"/>
              <w:rPr>
                <w:rFonts w:ascii="Times New Roman"/>
                <w:sz w:val="21"/>
              </w:rPr>
            </w:pPr>
            <w:r>
              <w:rPr>
                <w:rFonts w:ascii="Times New Roman"/>
                <w:sz w:val="21"/>
              </w:rPr>
              <w:t>&lt;0.03</w:t>
            </w:r>
          </w:p>
        </w:tc>
        <w:tc>
          <w:tcPr>
            <w:tcW w:w="987" w:type="dxa"/>
          </w:tcPr>
          <w:p>
            <w:pPr>
              <w:pStyle w:val="TableParagraph"/>
              <w:spacing w:before="22"/>
              <w:ind w:left="85" w:right="85"/>
              <w:rPr>
                <w:rFonts w:ascii="Times New Roman"/>
                <w:sz w:val="21"/>
              </w:rPr>
            </w:pPr>
            <w:r>
              <w:rPr>
                <w:rFonts w:ascii="Times New Roman"/>
                <w:sz w:val="21"/>
              </w:rPr>
              <w:t>&lt;0.03</w:t>
            </w:r>
          </w:p>
        </w:tc>
      </w:tr>
      <w:tr>
        <w:trPr>
          <w:trHeight w:val="283" w:hRule="atLeast"/>
        </w:trPr>
        <w:tc>
          <w:tcPr>
            <w:tcW w:w="2941" w:type="dxa"/>
          </w:tcPr>
          <w:p>
            <w:pPr>
              <w:pStyle w:val="TableParagraph"/>
              <w:spacing w:line="257" w:lineRule="exact" w:before="6"/>
              <w:ind w:left="460" w:right="455"/>
              <w:rPr>
                <w:rFonts w:ascii="Times New Roman" w:hAnsi="Times New Roman" w:eastAsia="Times New Roman"/>
                <w:sz w:val="21"/>
              </w:rPr>
            </w:pPr>
            <w:r>
              <w:rPr>
                <w:sz w:val="21"/>
              </w:rPr>
              <w:t>硝基苯类化合物 </w:t>
            </w:r>
            <w:r>
              <w:rPr>
                <w:rFonts w:ascii="Times New Roman" w:hAnsi="Times New Roman" w:eastAsia="Times New Roman"/>
                <w:sz w:val="21"/>
              </w:rPr>
              <w:t>μg/L</w:t>
            </w:r>
          </w:p>
        </w:tc>
        <w:tc>
          <w:tcPr>
            <w:tcW w:w="1484" w:type="dxa"/>
          </w:tcPr>
          <w:p>
            <w:pPr>
              <w:pStyle w:val="TableParagraph"/>
              <w:spacing w:before="20"/>
              <w:ind w:left="413" w:right="408"/>
              <w:rPr>
                <w:rFonts w:ascii="Times New Roman"/>
                <w:sz w:val="21"/>
              </w:rPr>
            </w:pPr>
            <w:r>
              <w:rPr>
                <w:rFonts w:ascii="Times New Roman"/>
                <w:sz w:val="21"/>
              </w:rPr>
              <w:t>&lt;0.17</w:t>
            </w:r>
          </w:p>
        </w:tc>
        <w:tc>
          <w:tcPr>
            <w:tcW w:w="985" w:type="dxa"/>
          </w:tcPr>
          <w:p>
            <w:pPr>
              <w:pStyle w:val="TableParagraph"/>
              <w:spacing w:before="20"/>
              <w:ind w:left="69" w:right="70"/>
              <w:rPr>
                <w:rFonts w:ascii="Times New Roman"/>
                <w:sz w:val="21"/>
              </w:rPr>
            </w:pPr>
            <w:r>
              <w:rPr>
                <w:rFonts w:ascii="Times New Roman"/>
                <w:sz w:val="21"/>
              </w:rPr>
              <w:t>&lt;0.17</w:t>
            </w:r>
          </w:p>
        </w:tc>
        <w:tc>
          <w:tcPr>
            <w:tcW w:w="953" w:type="dxa"/>
          </w:tcPr>
          <w:p>
            <w:pPr>
              <w:pStyle w:val="TableParagraph"/>
              <w:spacing w:before="20"/>
              <w:ind w:left="108" w:right="108"/>
              <w:rPr>
                <w:rFonts w:ascii="Times New Roman"/>
                <w:sz w:val="21"/>
              </w:rPr>
            </w:pPr>
            <w:r>
              <w:rPr>
                <w:rFonts w:ascii="Times New Roman"/>
                <w:sz w:val="21"/>
              </w:rPr>
              <w:t>&lt;0.17</w:t>
            </w:r>
          </w:p>
        </w:tc>
        <w:tc>
          <w:tcPr>
            <w:tcW w:w="987" w:type="dxa"/>
          </w:tcPr>
          <w:p>
            <w:pPr>
              <w:pStyle w:val="TableParagraph"/>
              <w:spacing w:before="20"/>
              <w:ind w:left="85" w:right="85"/>
              <w:rPr>
                <w:rFonts w:ascii="Times New Roman"/>
                <w:sz w:val="21"/>
              </w:rPr>
            </w:pPr>
            <w:r>
              <w:rPr>
                <w:rFonts w:ascii="Times New Roman"/>
                <w:sz w:val="21"/>
              </w:rPr>
              <w:t>&lt;0.17</w:t>
            </w:r>
          </w:p>
        </w:tc>
        <w:tc>
          <w:tcPr>
            <w:tcW w:w="954" w:type="dxa"/>
          </w:tcPr>
          <w:p>
            <w:pPr>
              <w:pStyle w:val="TableParagraph"/>
              <w:spacing w:before="20"/>
              <w:ind w:left="147" w:right="148"/>
              <w:rPr>
                <w:rFonts w:ascii="Times New Roman"/>
                <w:sz w:val="21"/>
              </w:rPr>
            </w:pPr>
            <w:r>
              <w:rPr>
                <w:rFonts w:ascii="Times New Roman"/>
                <w:sz w:val="21"/>
              </w:rPr>
              <w:t>&lt;0.17</w:t>
            </w:r>
          </w:p>
        </w:tc>
        <w:tc>
          <w:tcPr>
            <w:tcW w:w="987" w:type="dxa"/>
          </w:tcPr>
          <w:p>
            <w:pPr>
              <w:pStyle w:val="TableParagraph"/>
              <w:spacing w:before="20"/>
              <w:ind w:left="85" w:right="85"/>
              <w:rPr>
                <w:rFonts w:ascii="Times New Roman"/>
                <w:sz w:val="21"/>
              </w:rPr>
            </w:pPr>
            <w:r>
              <w:rPr>
                <w:rFonts w:ascii="Times New Roman"/>
                <w:sz w:val="21"/>
              </w:rPr>
              <w:t>&lt;0.17</w:t>
            </w:r>
          </w:p>
        </w:tc>
      </w:tr>
      <w:tr>
        <w:trPr>
          <w:trHeight w:val="285" w:hRule="atLeast"/>
        </w:trPr>
        <w:tc>
          <w:tcPr>
            <w:tcW w:w="2941" w:type="dxa"/>
          </w:tcPr>
          <w:p>
            <w:pPr>
              <w:pStyle w:val="TableParagraph"/>
              <w:spacing w:line="257" w:lineRule="exact" w:before="8"/>
              <w:ind w:left="439" w:right="455"/>
              <w:rPr>
                <w:rFonts w:ascii="Times New Roman" w:hAnsi="Times New Roman" w:eastAsia="Times New Roman"/>
                <w:sz w:val="21"/>
              </w:rPr>
            </w:pPr>
            <w:r>
              <w:rPr>
                <w:sz w:val="21"/>
              </w:rPr>
              <w:t>邻二甲苯 </w:t>
            </w:r>
            <w:r>
              <w:rPr>
                <w:rFonts w:ascii="Times New Roman" w:hAnsi="Times New Roman" w:eastAsia="Times New Roman"/>
                <w:sz w:val="21"/>
              </w:rPr>
              <w:t>µg/L</w:t>
            </w:r>
          </w:p>
        </w:tc>
        <w:tc>
          <w:tcPr>
            <w:tcW w:w="1484" w:type="dxa"/>
          </w:tcPr>
          <w:p>
            <w:pPr>
              <w:pStyle w:val="TableParagraph"/>
              <w:spacing w:line="252" w:lineRule="exact" w:before="13"/>
              <w:ind w:left="413" w:right="410"/>
              <w:rPr>
                <w:rFonts w:ascii="Times New Roman" w:eastAsia="Times New Roman"/>
                <w:sz w:val="21"/>
              </w:rPr>
            </w:pPr>
            <w:r>
              <w:rPr>
                <w:sz w:val="21"/>
              </w:rPr>
              <w:t>＜</w:t>
            </w:r>
            <w:r>
              <w:rPr>
                <w:rFonts w:ascii="Times New Roman" w:eastAsia="Times New Roman"/>
                <w:sz w:val="21"/>
              </w:rPr>
              <w:t>0.2</w:t>
            </w:r>
          </w:p>
        </w:tc>
        <w:tc>
          <w:tcPr>
            <w:tcW w:w="985" w:type="dxa"/>
          </w:tcPr>
          <w:p>
            <w:pPr>
              <w:pStyle w:val="TableParagraph"/>
              <w:spacing w:line="257" w:lineRule="exact" w:before="8"/>
              <w:ind w:left="71" w:right="70"/>
              <w:rPr>
                <w:rFonts w:ascii="Times New Roman" w:eastAsia="Times New Roman"/>
                <w:sz w:val="21"/>
              </w:rPr>
            </w:pPr>
            <w:r>
              <w:rPr>
                <w:sz w:val="21"/>
              </w:rPr>
              <w:t>＜</w:t>
            </w:r>
            <w:r>
              <w:rPr>
                <w:rFonts w:ascii="Times New Roman" w:eastAsia="Times New Roman"/>
                <w:sz w:val="21"/>
              </w:rPr>
              <w:t>0.2</w:t>
            </w:r>
          </w:p>
        </w:tc>
        <w:tc>
          <w:tcPr>
            <w:tcW w:w="953" w:type="dxa"/>
          </w:tcPr>
          <w:p>
            <w:pPr>
              <w:pStyle w:val="TableParagraph"/>
              <w:spacing w:line="257" w:lineRule="exact" w:before="8"/>
              <w:ind w:left="111" w:right="108"/>
              <w:rPr>
                <w:rFonts w:ascii="Times New Roman" w:eastAsia="Times New Roman"/>
                <w:sz w:val="21"/>
              </w:rPr>
            </w:pPr>
            <w:r>
              <w:rPr>
                <w:sz w:val="21"/>
              </w:rPr>
              <w:t>＜</w:t>
            </w:r>
            <w:r>
              <w:rPr>
                <w:rFonts w:ascii="Times New Roman" w:eastAsia="Times New Roman"/>
                <w:sz w:val="21"/>
              </w:rPr>
              <w:t>0.2</w:t>
            </w:r>
          </w:p>
        </w:tc>
        <w:tc>
          <w:tcPr>
            <w:tcW w:w="987" w:type="dxa"/>
          </w:tcPr>
          <w:p>
            <w:pPr>
              <w:pStyle w:val="TableParagraph"/>
              <w:spacing w:line="252" w:lineRule="exact" w:before="13"/>
              <w:ind w:left="85" w:right="83"/>
              <w:rPr>
                <w:rFonts w:ascii="Times New Roman" w:eastAsia="Times New Roman"/>
                <w:sz w:val="21"/>
              </w:rPr>
            </w:pPr>
            <w:r>
              <w:rPr>
                <w:sz w:val="21"/>
              </w:rPr>
              <w:t>＜</w:t>
            </w:r>
            <w:r>
              <w:rPr>
                <w:rFonts w:ascii="Times New Roman" w:eastAsia="Times New Roman"/>
                <w:sz w:val="21"/>
              </w:rPr>
              <w:t>0.2</w:t>
            </w:r>
          </w:p>
        </w:tc>
        <w:tc>
          <w:tcPr>
            <w:tcW w:w="954" w:type="dxa"/>
          </w:tcPr>
          <w:p>
            <w:pPr>
              <w:pStyle w:val="TableParagraph"/>
              <w:spacing w:line="252" w:lineRule="exact" w:before="13"/>
              <w:ind w:left="148" w:right="148"/>
              <w:rPr>
                <w:rFonts w:ascii="Times New Roman" w:eastAsia="Times New Roman"/>
                <w:sz w:val="21"/>
              </w:rPr>
            </w:pPr>
            <w:r>
              <w:rPr>
                <w:sz w:val="21"/>
              </w:rPr>
              <w:t>＜</w:t>
            </w:r>
            <w:r>
              <w:rPr>
                <w:rFonts w:ascii="Times New Roman" w:eastAsia="Times New Roman"/>
                <w:sz w:val="21"/>
              </w:rPr>
              <w:t>0.2</w:t>
            </w:r>
          </w:p>
        </w:tc>
        <w:tc>
          <w:tcPr>
            <w:tcW w:w="987" w:type="dxa"/>
          </w:tcPr>
          <w:p>
            <w:pPr>
              <w:pStyle w:val="TableParagraph"/>
              <w:spacing w:line="252" w:lineRule="exact" w:before="13"/>
              <w:ind w:left="85" w:right="85"/>
              <w:rPr>
                <w:rFonts w:ascii="Times New Roman" w:eastAsia="Times New Roman"/>
                <w:sz w:val="21"/>
              </w:rPr>
            </w:pPr>
            <w:r>
              <w:rPr>
                <w:sz w:val="21"/>
              </w:rPr>
              <w:t>＜</w:t>
            </w:r>
            <w:r>
              <w:rPr>
                <w:rFonts w:ascii="Times New Roman" w:eastAsia="Times New Roman"/>
                <w:sz w:val="21"/>
              </w:rPr>
              <w:t>0.2</w:t>
            </w:r>
          </w:p>
        </w:tc>
      </w:tr>
    </w:tbl>
    <w:p>
      <w:pPr>
        <w:pStyle w:val="BodyText"/>
        <w:spacing w:before="2"/>
        <w:ind w:left="698"/>
      </w:pPr>
      <w:r>
        <w:rPr/>
        <w:t>根据上表监测结果：各测点包气带中其他监测指标相差不大。</w:t>
      </w:r>
    </w:p>
    <w:p>
      <w:pPr>
        <w:pStyle w:val="Heading4"/>
        <w:numPr>
          <w:ilvl w:val="0"/>
          <w:numId w:val="24"/>
        </w:numPr>
        <w:tabs>
          <w:tab w:pos="983" w:val="left" w:leader="none"/>
        </w:tabs>
        <w:spacing w:line="240" w:lineRule="auto" w:before="159" w:after="0"/>
        <w:ind w:left="982" w:right="0" w:hanging="282"/>
        <w:jc w:val="left"/>
      </w:pPr>
      <w:r>
        <w:rPr/>
        <w:t>地下水常规水质因子监测与评价</w:t>
      </w:r>
    </w:p>
    <w:p>
      <w:pPr>
        <w:pStyle w:val="BodyText"/>
        <w:spacing w:before="160"/>
        <w:ind w:left="698"/>
      </w:pPr>
      <w:r>
        <w:rPr/>
        <w:t>①地下水水位</w:t>
      </w:r>
    </w:p>
    <w:p>
      <w:pPr>
        <w:pStyle w:val="BodyText"/>
        <w:spacing w:before="5"/>
        <w:rPr>
          <w:sz w:val="23"/>
        </w:rPr>
      </w:pPr>
    </w:p>
    <w:p>
      <w:pPr>
        <w:pStyle w:val="Heading4"/>
        <w:tabs>
          <w:tab w:pos="1221" w:val="left" w:leader="none"/>
        </w:tabs>
        <w:spacing w:after="29"/>
        <w:ind w:left="0" w:right="196"/>
        <w:jc w:val="center"/>
      </w:pPr>
      <w:r>
        <w:rPr/>
        <w:pict>
          <v:line style="position:absolute;mso-position-horizontal-relative:page;mso-position-vertical-relative:paragraph;z-index:-317739008" from="65.664001pt,17.040012pt" to="311.450001pt,44.280012pt" stroked="true" strokeweight=".24pt" strokecolor="#000000">
            <v:stroke dashstyle="solid"/>
            <w10:wrap type="none"/>
          </v:line>
        </w:pict>
      </w:r>
      <w:r>
        <w:rPr/>
        <w:t>表</w:t>
      </w:r>
      <w:r>
        <w:rPr>
          <w:spacing w:val="-60"/>
        </w:rPr>
        <w:t> </w:t>
      </w:r>
      <w:r>
        <w:rPr>
          <w:rFonts w:ascii="Times New Roman" w:eastAsia="Times New Roman"/>
        </w:rPr>
        <w:t>6.2.2-3</w:t>
        <w:tab/>
      </w:r>
      <w:r>
        <w:rPr/>
        <w:t>地下水水位监测结果</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921"/>
        <w:gridCol w:w="4367"/>
      </w:tblGrid>
      <w:tr>
        <w:trPr>
          <w:trHeight w:val="544" w:hRule="atLeast"/>
        </w:trPr>
        <w:tc>
          <w:tcPr>
            <w:tcW w:w="4921" w:type="dxa"/>
          </w:tcPr>
          <w:p>
            <w:pPr>
              <w:pStyle w:val="TableParagraph"/>
              <w:spacing w:before="1"/>
              <w:ind w:left="3334"/>
              <w:jc w:val="left"/>
              <w:rPr>
                <w:b/>
                <w:sz w:val="21"/>
              </w:rPr>
            </w:pPr>
            <w:r>
              <w:rPr>
                <w:b/>
                <w:sz w:val="21"/>
              </w:rPr>
              <w:t>项目名称及单位</w:t>
            </w:r>
          </w:p>
          <w:p>
            <w:pPr>
              <w:pStyle w:val="TableParagraph"/>
              <w:spacing w:line="250" w:lineRule="exact" w:before="4"/>
              <w:ind w:left="107"/>
              <w:jc w:val="left"/>
              <w:rPr>
                <w:b/>
                <w:sz w:val="21"/>
              </w:rPr>
            </w:pPr>
            <w:r>
              <w:rPr>
                <w:b/>
                <w:sz w:val="21"/>
              </w:rPr>
              <w:t>采样点位</w:t>
            </w:r>
          </w:p>
        </w:tc>
        <w:tc>
          <w:tcPr>
            <w:tcW w:w="4367" w:type="dxa"/>
          </w:tcPr>
          <w:p>
            <w:pPr>
              <w:pStyle w:val="TableParagraph"/>
              <w:spacing w:before="138"/>
              <w:ind w:left="1811" w:right="1808"/>
              <w:rPr>
                <w:rFonts w:ascii="Times New Roman" w:eastAsia="Times New Roman"/>
                <w:b/>
                <w:sz w:val="21"/>
              </w:rPr>
            </w:pPr>
            <w:r>
              <w:rPr>
                <w:b/>
                <w:sz w:val="21"/>
              </w:rPr>
              <w:t>水位 </w:t>
            </w:r>
            <w:r>
              <w:rPr>
                <w:rFonts w:ascii="Times New Roman" w:eastAsia="Times New Roman"/>
                <w:b/>
                <w:sz w:val="21"/>
              </w:rPr>
              <w:t>m</w:t>
            </w:r>
          </w:p>
        </w:tc>
      </w:tr>
      <w:tr>
        <w:trPr>
          <w:trHeight w:val="285" w:hRule="atLeast"/>
        </w:trPr>
        <w:tc>
          <w:tcPr>
            <w:tcW w:w="4921" w:type="dxa"/>
          </w:tcPr>
          <w:p>
            <w:pPr>
              <w:pStyle w:val="TableParagraph"/>
              <w:spacing w:line="257" w:lineRule="exact" w:before="8"/>
              <w:ind w:left="542" w:right="536"/>
              <w:rPr>
                <w:b/>
                <w:sz w:val="21"/>
              </w:rPr>
            </w:pPr>
            <w:r>
              <w:rPr>
                <w:rFonts w:ascii="Times New Roman" w:eastAsia="Times New Roman"/>
                <w:b/>
                <w:sz w:val="21"/>
              </w:rPr>
              <w:t>1#</w:t>
            </w:r>
            <w:r>
              <w:rPr>
                <w:b/>
                <w:sz w:val="21"/>
              </w:rPr>
              <w:t>拟建车间一南面</w:t>
            </w:r>
          </w:p>
        </w:tc>
        <w:tc>
          <w:tcPr>
            <w:tcW w:w="4367" w:type="dxa"/>
          </w:tcPr>
          <w:p>
            <w:pPr>
              <w:pStyle w:val="TableParagraph"/>
              <w:spacing w:before="22"/>
              <w:ind w:left="1811" w:right="1806"/>
              <w:rPr>
                <w:rFonts w:ascii="Times New Roman"/>
                <w:sz w:val="21"/>
              </w:rPr>
            </w:pPr>
            <w:r>
              <w:rPr>
                <w:rFonts w:ascii="Times New Roman"/>
                <w:sz w:val="21"/>
              </w:rPr>
              <w:t>4.9</w:t>
            </w:r>
          </w:p>
        </w:tc>
      </w:tr>
      <w:tr>
        <w:trPr>
          <w:trHeight w:val="282" w:hRule="atLeast"/>
        </w:trPr>
        <w:tc>
          <w:tcPr>
            <w:tcW w:w="4921" w:type="dxa"/>
          </w:tcPr>
          <w:p>
            <w:pPr>
              <w:pStyle w:val="TableParagraph"/>
              <w:spacing w:line="257" w:lineRule="exact" w:before="6"/>
              <w:ind w:left="542" w:right="536"/>
              <w:rPr>
                <w:b/>
                <w:sz w:val="21"/>
              </w:rPr>
            </w:pPr>
            <w:r>
              <w:rPr>
                <w:rFonts w:ascii="Times New Roman" w:eastAsia="Times New Roman"/>
                <w:b/>
                <w:sz w:val="21"/>
              </w:rPr>
              <w:t>2#</w:t>
            </w:r>
            <w:r>
              <w:rPr>
                <w:b/>
                <w:sz w:val="21"/>
              </w:rPr>
              <w:t>预留车间七北面</w:t>
            </w:r>
          </w:p>
        </w:tc>
        <w:tc>
          <w:tcPr>
            <w:tcW w:w="4367" w:type="dxa"/>
          </w:tcPr>
          <w:p>
            <w:pPr>
              <w:pStyle w:val="TableParagraph"/>
              <w:spacing w:before="20"/>
              <w:ind w:left="1811" w:right="1806"/>
              <w:rPr>
                <w:rFonts w:ascii="Times New Roman"/>
                <w:sz w:val="21"/>
              </w:rPr>
            </w:pPr>
            <w:r>
              <w:rPr>
                <w:rFonts w:ascii="Times New Roman"/>
                <w:sz w:val="21"/>
              </w:rPr>
              <w:t>4.1</w:t>
            </w:r>
          </w:p>
        </w:tc>
      </w:tr>
      <w:tr>
        <w:trPr>
          <w:trHeight w:val="282" w:hRule="atLeast"/>
        </w:trPr>
        <w:tc>
          <w:tcPr>
            <w:tcW w:w="4921" w:type="dxa"/>
          </w:tcPr>
          <w:p>
            <w:pPr>
              <w:pStyle w:val="TableParagraph"/>
              <w:spacing w:line="255" w:lineRule="exact" w:before="8"/>
              <w:ind w:left="542" w:right="539"/>
              <w:rPr>
                <w:b/>
                <w:sz w:val="21"/>
              </w:rPr>
            </w:pPr>
            <w:r>
              <w:rPr>
                <w:rFonts w:ascii="Times New Roman" w:eastAsia="Times New Roman"/>
                <w:b/>
                <w:sz w:val="21"/>
              </w:rPr>
              <w:t>3#</w:t>
            </w:r>
            <w:r>
              <w:rPr>
                <w:b/>
                <w:sz w:val="21"/>
              </w:rPr>
              <w:t>拟建废水物化处理及生化处理区域之间</w:t>
            </w:r>
          </w:p>
        </w:tc>
        <w:tc>
          <w:tcPr>
            <w:tcW w:w="4367" w:type="dxa"/>
          </w:tcPr>
          <w:p>
            <w:pPr>
              <w:pStyle w:val="TableParagraph"/>
              <w:spacing w:line="241" w:lineRule="exact" w:before="22"/>
              <w:ind w:left="1811" w:right="1806"/>
              <w:rPr>
                <w:rFonts w:ascii="Times New Roman"/>
                <w:sz w:val="21"/>
              </w:rPr>
            </w:pPr>
            <w:r>
              <w:rPr>
                <w:rFonts w:ascii="Times New Roman"/>
                <w:sz w:val="21"/>
              </w:rPr>
              <w:t>3.7</w:t>
            </w:r>
          </w:p>
        </w:tc>
      </w:tr>
      <w:tr>
        <w:trPr>
          <w:trHeight w:val="285" w:hRule="atLeast"/>
        </w:trPr>
        <w:tc>
          <w:tcPr>
            <w:tcW w:w="4921" w:type="dxa"/>
          </w:tcPr>
          <w:p>
            <w:pPr>
              <w:pStyle w:val="TableParagraph"/>
              <w:spacing w:line="257" w:lineRule="exact" w:before="8"/>
              <w:ind w:left="540" w:right="539"/>
              <w:rPr>
                <w:b/>
                <w:sz w:val="21"/>
              </w:rPr>
            </w:pPr>
            <w:r>
              <w:rPr>
                <w:rFonts w:ascii="Times New Roman" w:eastAsia="Times New Roman"/>
                <w:b/>
                <w:sz w:val="21"/>
              </w:rPr>
              <w:t>4#</w:t>
            </w:r>
            <w:r>
              <w:rPr>
                <w:b/>
                <w:sz w:val="21"/>
              </w:rPr>
              <w:t>厂区北面 </w:t>
            </w:r>
            <w:r>
              <w:rPr>
                <w:rFonts w:ascii="Times New Roman" w:eastAsia="Times New Roman"/>
                <w:b/>
                <w:sz w:val="21"/>
              </w:rPr>
              <w:t>400m </w:t>
            </w:r>
            <w:r>
              <w:rPr>
                <w:b/>
                <w:sz w:val="21"/>
              </w:rPr>
              <w:t>空地</w:t>
            </w:r>
          </w:p>
        </w:tc>
        <w:tc>
          <w:tcPr>
            <w:tcW w:w="4367" w:type="dxa"/>
          </w:tcPr>
          <w:p>
            <w:pPr>
              <w:pStyle w:val="TableParagraph"/>
              <w:spacing w:before="22"/>
              <w:ind w:left="1811" w:right="1806"/>
              <w:rPr>
                <w:rFonts w:ascii="Times New Roman"/>
                <w:sz w:val="21"/>
              </w:rPr>
            </w:pPr>
            <w:r>
              <w:rPr>
                <w:rFonts w:ascii="Times New Roman"/>
                <w:sz w:val="21"/>
              </w:rPr>
              <w:t>3.4</w:t>
            </w:r>
          </w:p>
        </w:tc>
      </w:tr>
      <w:tr>
        <w:trPr>
          <w:trHeight w:val="283" w:hRule="atLeast"/>
        </w:trPr>
        <w:tc>
          <w:tcPr>
            <w:tcW w:w="4921" w:type="dxa"/>
          </w:tcPr>
          <w:p>
            <w:pPr>
              <w:pStyle w:val="TableParagraph"/>
              <w:spacing w:line="257" w:lineRule="exact" w:before="6"/>
              <w:ind w:left="540" w:right="539"/>
              <w:rPr>
                <w:b/>
                <w:sz w:val="21"/>
              </w:rPr>
            </w:pPr>
            <w:r>
              <w:rPr>
                <w:rFonts w:ascii="Times New Roman" w:eastAsia="Times New Roman"/>
                <w:b/>
                <w:sz w:val="21"/>
              </w:rPr>
              <w:t>5#</w:t>
            </w:r>
            <w:r>
              <w:rPr>
                <w:b/>
                <w:sz w:val="21"/>
              </w:rPr>
              <w:t>珠海村</w:t>
            </w:r>
          </w:p>
        </w:tc>
        <w:tc>
          <w:tcPr>
            <w:tcW w:w="4367" w:type="dxa"/>
          </w:tcPr>
          <w:p>
            <w:pPr>
              <w:pStyle w:val="TableParagraph"/>
              <w:spacing w:before="20"/>
              <w:ind w:left="1811" w:right="1806"/>
              <w:rPr>
                <w:rFonts w:ascii="Times New Roman"/>
                <w:sz w:val="21"/>
              </w:rPr>
            </w:pPr>
            <w:r>
              <w:rPr>
                <w:rFonts w:ascii="Times New Roman"/>
                <w:sz w:val="21"/>
              </w:rPr>
              <w:t>3.5</w:t>
            </w:r>
          </w:p>
        </w:tc>
      </w:tr>
      <w:tr>
        <w:trPr>
          <w:trHeight w:val="285" w:hRule="atLeast"/>
        </w:trPr>
        <w:tc>
          <w:tcPr>
            <w:tcW w:w="4921" w:type="dxa"/>
          </w:tcPr>
          <w:p>
            <w:pPr>
              <w:pStyle w:val="TableParagraph"/>
              <w:spacing w:line="257" w:lineRule="exact" w:before="8"/>
              <w:ind w:left="542" w:right="539"/>
              <w:rPr>
                <w:b/>
                <w:sz w:val="21"/>
              </w:rPr>
            </w:pPr>
            <w:r>
              <w:rPr>
                <w:b/>
                <w:sz w:val="21"/>
              </w:rPr>
              <w:t>彰庆丘</w:t>
            </w:r>
          </w:p>
        </w:tc>
        <w:tc>
          <w:tcPr>
            <w:tcW w:w="4367" w:type="dxa"/>
          </w:tcPr>
          <w:p>
            <w:pPr>
              <w:pStyle w:val="TableParagraph"/>
              <w:spacing w:before="22"/>
              <w:ind w:left="1811" w:right="1806"/>
              <w:rPr>
                <w:rFonts w:ascii="Times New Roman"/>
                <w:sz w:val="21"/>
              </w:rPr>
            </w:pPr>
            <w:r>
              <w:rPr>
                <w:rFonts w:ascii="Times New Roman"/>
                <w:sz w:val="21"/>
              </w:rPr>
              <w:t>3.7</w:t>
            </w:r>
          </w:p>
        </w:tc>
      </w:tr>
      <w:tr>
        <w:trPr>
          <w:trHeight w:val="283" w:hRule="atLeast"/>
        </w:trPr>
        <w:tc>
          <w:tcPr>
            <w:tcW w:w="4921" w:type="dxa"/>
          </w:tcPr>
          <w:p>
            <w:pPr>
              <w:pStyle w:val="TableParagraph"/>
              <w:spacing w:line="257" w:lineRule="exact" w:before="6"/>
              <w:ind w:left="542" w:right="539"/>
              <w:rPr>
                <w:b/>
                <w:sz w:val="21"/>
              </w:rPr>
            </w:pPr>
            <w:r>
              <w:rPr>
                <w:b/>
                <w:sz w:val="21"/>
              </w:rPr>
              <w:t>陈家丘</w:t>
            </w:r>
          </w:p>
        </w:tc>
        <w:tc>
          <w:tcPr>
            <w:tcW w:w="4367" w:type="dxa"/>
          </w:tcPr>
          <w:p>
            <w:pPr>
              <w:pStyle w:val="TableParagraph"/>
              <w:spacing w:before="20"/>
              <w:ind w:left="1811" w:right="1806"/>
              <w:rPr>
                <w:rFonts w:ascii="Times New Roman"/>
                <w:sz w:val="21"/>
              </w:rPr>
            </w:pPr>
            <w:r>
              <w:rPr>
                <w:rFonts w:ascii="Times New Roman"/>
                <w:sz w:val="21"/>
              </w:rPr>
              <w:t>2.9</w:t>
            </w:r>
          </w:p>
        </w:tc>
      </w:tr>
      <w:tr>
        <w:trPr>
          <w:trHeight w:val="285" w:hRule="atLeast"/>
        </w:trPr>
        <w:tc>
          <w:tcPr>
            <w:tcW w:w="4921" w:type="dxa"/>
          </w:tcPr>
          <w:p>
            <w:pPr>
              <w:pStyle w:val="TableParagraph"/>
              <w:spacing w:line="257" w:lineRule="exact" w:before="8"/>
              <w:ind w:left="542" w:right="539"/>
              <w:rPr>
                <w:b/>
                <w:sz w:val="21"/>
              </w:rPr>
            </w:pPr>
            <w:r>
              <w:rPr>
                <w:b/>
                <w:sz w:val="21"/>
              </w:rPr>
              <w:t>诸丁五丘</w:t>
            </w:r>
          </w:p>
        </w:tc>
        <w:tc>
          <w:tcPr>
            <w:tcW w:w="4367" w:type="dxa"/>
          </w:tcPr>
          <w:p>
            <w:pPr>
              <w:pStyle w:val="TableParagraph"/>
              <w:spacing w:before="22"/>
              <w:ind w:left="1811" w:right="1806"/>
              <w:rPr>
                <w:rFonts w:ascii="Times New Roman"/>
                <w:sz w:val="21"/>
              </w:rPr>
            </w:pPr>
            <w:r>
              <w:rPr>
                <w:rFonts w:ascii="Times New Roman"/>
                <w:sz w:val="21"/>
              </w:rPr>
              <w:t>2.8</w:t>
            </w:r>
          </w:p>
        </w:tc>
      </w:tr>
      <w:tr>
        <w:trPr>
          <w:trHeight w:val="282" w:hRule="atLeast"/>
        </w:trPr>
        <w:tc>
          <w:tcPr>
            <w:tcW w:w="4921" w:type="dxa"/>
          </w:tcPr>
          <w:p>
            <w:pPr>
              <w:pStyle w:val="TableParagraph"/>
              <w:spacing w:line="257" w:lineRule="exact" w:before="6"/>
              <w:ind w:left="542" w:right="539"/>
              <w:rPr>
                <w:b/>
                <w:sz w:val="21"/>
              </w:rPr>
            </w:pPr>
            <w:r>
              <w:rPr>
                <w:b/>
                <w:sz w:val="21"/>
              </w:rPr>
              <w:t>林泰丘</w:t>
            </w:r>
          </w:p>
        </w:tc>
        <w:tc>
          <w:tcPr>
            <w:tcW w:w="4367" w:type="dxa"/>
          </w:tcPr>
          <w:p>
            <w:pPr>
              <w:pStyle w:val="TableParagraph"/>
              <w:spacing w:before="20"/>
              <w:ind w:left="1811" w:right="1806"/>
              <w:rPr>
                <w:rFonts w:ascii="Times New Roman"/>
                <w:sz w:val="21"/>
              </w:rPr>
            </w:pPr>
            <w:r>
              <w:rPr>
                <w:rFonts w:ascii="Times New Roman"/>
                <w:sz w:val="21"/>
              </w:rPr>
              <w:t>3.4</w:t>
            </w:r>
          </w:p>
        </w:tc>
      </w:tr>
      <w:tr>
        <w:trPr>
          <w:trHeight w:val="282" w:hRule="atLeast"/>
        </w:trPr>
        <w:tc>
          <w:tcPr>
            <w:tcW w:w="4921" w:type="dxa"/>
          </w:tcPr>
          <w:p>
            <w:pPr>
              <w:pStyle w:val="TableParagraph"/>
              <w:spacing w:line="257" w:lineRule="exact" w:before="6"/>
              <w:ind w:left="542" w:right="536"/>
              <w:rPr>
                <w:rFonts w:ascii="Times New Roman" w:eastAsia="Times New Roman"/>
                <w:b/>
                <w:sz w:val="21"/>
              </w:rPr>
            </w:pPr>
            <w:r>
              <w:rPr>
                <w:b/>
                <w:sz w:val="21"/>
              </w:rPr>
              <w:t>黄家埠六丘 </w:t>
            </w:r>
            <w:r>
              <w:rPr>
                <w:rFonts w:ascii="Times New Roman" w:eastAsia="Times New Roman"/>
                <w:b/>
                <w:sz w:val="21"/>
              </w:rPr>
              <w:t>M</w:t>
            </w:r>
          </w:p>
        </w:tc>
        <w:tc>
          <w:tcPr>
            <w:tcW w:w="4367" w:type="dxa"/>
          </w:tcPr>
          <w:p>
            <w:pPr>
              <w:pStyle w:val="TableParagraph"/>
              <w:spacing w:before="20"/>
              <w:ind w:left="1811" w:right="1806"/>
              <w:rPr>
                <w:rFonts w:ascii="Times New Roman"/>
                <w:sz w:val="21"/>
              </w:rPr>
            </w:pPr>
            <w:r>
              <w:rPr>
                <w:rFonts w:ascii="Times New Roman"/>
                <w:sz w:val="21"/>
              </w:rPr>
              <w:t>3.5</w:t>
            </w:r>
          </w:p>
        </w:tc>
      </w:tr>
    </w:tbl>
    <w:p>
      <w:pPr>
        <w:spacing w:before="2"/>
        <w:ind w:left="701" w:right="0" w:firstLine="0"/>
        <w:jc w:val="left"/>
        <w:rPr>
          <w:b/>
          <w:sz w:val="24"/>
        </w:rPr>
      </w:pPr>
      <w:r>
        <w:rPr>
          <w:b/>
          <w:sz w:val="24"/>
        </w:rPr>
        <w:t>②监测时间、监测点位及监测项目</w:t>
      </w:r>
    </w:p>
    <w:p>
      <w:pPr>
        <w:pStyle w:val="BodyText"/>
        <w:spacing w:before="161"/>
        <w:ind w:left="698"/>
      </w:pPr>
      <w:r>
        <w:rPr>
          <w:spacing w:val="-20"/>
        </w:rPr>
        <w:t>监测点位、监测时间、监测项目见下表，监测点位示意图见</w:t>
      </w:r>
      <w:r>
        <w:rPr>
          <w:b/>
          <w:spacing w:val="-26"/>
          <w:u w:val="single"/>
        </w:rPr>
        <w:t>附图 </w:t>
      </w:r>
      <w:r>
        <w:rPr>
          <w:rFonts w:ascii="Times New Roman" w:eastAsia="Times New Roman"/>
          <w:b/>
          <w:u w:val="single"/>
        </w:rPr>
        <w:t>8</w:t>
      </w:r>
      <w:r>
        <w:rPr>
          <w:rFonts w:ascii="Times New Roman" w:eastAsia="Times New Roman"/>
          <w:b/>
        </w:rPr>
        <w:t> </w:t>
      </w:r>
      <w:r>
        <w:rPr>
          <w:spacing w:val="40"/>
        </w:rPr>
        <w:t>及</w:t>
      </w:r>
      <w:r>
        <w:rPr>
          <w:rFonts w:ascii="Times New Roman" w:eastAsia="Times New Roman"/>
        </w:rPr>
        <w:t>Pg145 </w:t>
      </w:r>
      <w:r>
        <w:rPr>
          <w:spacing w:val="-39"/>
        </w:rPr>
        <w:t>图 </w:t>
      </w:r>
      <w:r>
        <w:rPr>
          <w:rFonts w:ascii="Times New Roman" w:eastAsia="Times New Roman"/>
        </w:rPr>
        <w:t>6.2.4-2</w:t>
      </w:r>
      <w:r>
        <w:rPr/>
        <w:t>。</w:t>
      </w:r>
    </w:p>
    <w:p>
      <w:pPr>
        <w:spacing w:after="0"/>
        <w:sectPr>
          <w:headerReference w:type="default" r:id="rId71"/>
          <w:footerReference w:type="default" r:id="rId72"/>
          <w:pgSz w:w="11910" w:h="16840"/>
          <w:pgMar w:header="874" w:footer="944" w:top="1340" w:bottom="1140" w:left="1200" w:right="1000"/>
          <w:pgNumType w:start="127"/>
        </w:sectPr>
      </w:pPr>
    </w:p>
    <w:p>
      <w:pPr>
        <w:pStyle w:val="BodyText"/>
        <w:spacing w:before="3"/>
        <w:rPr>
          <w:sz w:val="10"/>
        </w:rPr>
      </w:pPr>
    </w:p>
    <w:p>
      <w:pPr>
        <w:pStyle w:val="Heading4"/>
        <w:tabs>
          <w:tab w:pos="1222" w:val="left" w:leader="none"/>
        </w:tabs>
        <w:spacing w:before="74" w:after="29"/>
        <w:ind w:left="0" w:right="196"/>
        <w:jc w:val="center"/>
      </w:pPr>
      <w:r>
        <w:rPr/>
        <w:t>表</w:t>
      </w:r>
      <w:r>
        <w:rPr>
          <w:spacing w:val="-60"/>
        </w:rPr>
        <w:t> </w:t>
      </w:r>
      <w:r>
        <w:rPr>
          <w:rFonts w:ascii="Times New Roman" w:eastAsia="Times New Roman"/>
        </w:rPr>
        <w:t>6.2.2-4</w:t>
        <w:tab/>
      </w:r>
      <w:r>
        <w:rPr/>
        <w:t>地下水监测点位、监测</w:t>
      </w:r>
      <w:r>
        <w:rPr>
          <w:spacing w:val="3"/>
        </w:rPr>
        <w:t>时</w:t>
      </w:r>
      <w:r>
        <w:rPr/>
        <w:t>间及监测数据来源</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1"/>
        <w:gridCol w:w="1841"/>
        <w:gridCol w:w="5108"/>
      </w:tblGrid>
      <w:tr>
        <w:trPr>
          <w:trHeight w:val="270" w:hRule="atLeast"/>
        </w:trPr>
        <w:tc>
          <w:tcPr>
            <w:tcW w:w="2131" w:type="dxa"/>
          </w:tcPr>
          <w:p>
            <w:pPr>
              <w:pStyle w:val="TableParagraph"/>
              <w:spacing w:line="250" w:lineRule="exact" w:before="1"/>
              <w:ind w:left="19"/>
              <w:rPr>
                <w:b/>
                <w:sz w:val="21"/>
              </w:rPr>
            </w:pPr>
            <w:r>
              <w:rPr>
                <w:b/>
                <w:sz w:val="21"/>
              </w:rPr>
              <w:t>监测点位</w:t>
            </w:r>
          </w:p>
        </w:tc>
        <w:tc>
          <w:tcPr>
            <w:tcW w:w="1841" w:type="dxa"/>
          </w:tcPr>
          <w:p>
            <w:pPr>
              <w:pStyle w:val="TableParagraph"/>
              <w:spacing w:line="250" w:lineRule="exact" w:before="1"/>
              <w:ind w:left="514"/>
              <w:jc w:val="left"/>
              <w:rPr>
                <w:b/>
                <w:sz w:val="21"/>
              </w:rPr>
            </w:pPr>
            <w:r>
              <w:rPr>
                <w:b/>
                <w:sz w:val="21"/>
              </w:rPr>
              <w:t>监测时间</w:t>
            </w:r>
          </w:p>
        </w:tc>
        <w:tc>
          <w:tcPr>
            <w:tcW w:w="5108" w:type="dxa"/>
          </w:tcPr>
          <w:p>
            <w:pPr>
              <w:pStyle w:val="TableParagraph"/>
              <w:spacing w:line="250" w:lineRule="exact" w:before="1"/>
              <w:ind w:left="2117" w:right="2097"/>
              <w:rPr>
                <w:b/>
                <w:sz w:val="21"/>
              </w:rPr>
            </w:pPr>
            <w:r>
              <w:rPr>
                <w:b/>
                <w:sz w:val="21"/>
              </w:rPr>
              <w:t>监测项目</w:t>
            </w:r>
          </w:p>
        </w:tc>
      </w:tr>
      <w:tr>
        <w:trPr>
          <w:trHeight w:val="273" w:hRule="atLeast"/>
        </w:trPr>
        <w:tc>
          <w:tcPr>
            <w:tcW w:w="2131" w:type="dxa"/>
          </w:tcPr>
          <w:p>
            <w:pPr>
              <w:pStyle w:val="TableParagraph"/>
              <w:spacing w:line="250" w:lineRule="exact" w:before="3"/>
              <w:ind w:left="12"/>
              <w:rPr>
                <w:sz w:val="21"/>
              </w:rPr>
            </w:pPr>
            <w:r>
              <w:rPr>
                <w:rFonts w:ascii="Times New Roman" w:eastAsia="Times New Roman"/>
                <w:sz w:val="21"/>
              </w:rPr>
              <w:t>1#</w:t>
            </w:r>
            <w:r>
              <w:rPr>
                <w:sz w:val="21"/>
              </w:rPr>
              <w:t>拟建车间一南面</w:t>
            </w:r>
          </w:p>
        </w:tc>
        <w:tc>
          <w:tcPr>
            <w:tcW w:w="1841" w:type="dxa"/>
            <w:vMerge w:val="restart"/>
          </w:tcPr>
          <w:p>
            <w:pPr>
              <w:pStyle w:val="TableParagraph"/>
              <w:jc w:val="left"/>
              <w:rPr>
                <w:b/>
                <w:sz w:val="22"/>
              </w:rPr>
            </w:pPr>
          </w:p>
          <w:p>
            <w:pPr>
              <w:pStyle w:val="TableParagraph"/>
              <w:spacing w:before="12"/>
              <w:jc w:val="left"/>
              <w:rPr>
                <w:b/>
                <w:sz w:val="32"/>
              </w:rPr>
            </w:pPr>
          </w:p>
          <w:p>
            <w:pPr>
              <w:pStyle w:val="TableParagraph"/>
              <w:ind w:left="4" w:right="-15"/>
              <w:jc w:val="left"/>
              <w:rPr>
                <w:sz w:val="21"/>
              </w:rPr>
            </w:pPr>
            <w:r>
              <w:rPr>
                <w:rFonts w:ascii="Times New Roman" w:eastAsia="Times New Roman"/>
                <w:spacing w:val="-7"/>
                <w:sz w:val="21"/>
              </w:rPr>
              <w:t>2022.2.22</w:t>
            </w:r>
            <w:r>
              <w:rPr>
                <w:spacing w:val="-3"/>
                <w:sz w:val="21"/>
              </w:rPr>
              <w:t>，监测一次</w:t>
            </w:r>
          </w:p>
        </w:tc>
        <w:tc>
          <w:tcPr>
            <w:tcW w:w="5108" w:type="dxa"/>
            <w:vMerge w:val="restart"/>
          </w:tcPr>
          <w:p>
            <w:pPr>
              <w:pStyle w:val="TableParagraph"/>
              <w:spacing w:line="242" w:lineRule="auto" w:before="159"/>
              <w:ind w:left="5" w:right="-15"/>
              <w:rPr>
                <w:sz w:val="21"/>
              </w:rPr>
            </w:pPr>
            <w:r>
              <w:rPr>
                <w:spacing w:val="-7"/>
                <w:sz w:val="21"/>
              </w:rPr>
              <w:t>水位、色度、嗅和味、浑浊度、肉眼可见物、</w:t>
            </w:r>
            <w:r>
              <w:rPr>
                <w:rFonts w:ascii="Times New Roman" w:eastAsia="Times New Roman"/>
                <w:sz w:val="21"/>
              </w:rPr>
              <w:t>pH</w:t>
            </w:r>
            <w:r>
              <w:rPr>
                <w:rFonts w:ascii="Times New Roman" w:eastAsia="Times New Roman"/>
                <w:spacing w:val="24"/>
                <w:sz w:val="21"/>
              </w:rPr>
              <w:t> </w:t>
            </w:r>
            <w:r>
              <w:rPr>
                <w:spacing w:val="-4"/>
                <w:sz w:val="21"/>
              </w:rPr>
              <w:t>值、总</w:t>
            </w:r>
            <w:r>
              <w:rPr>
                <w:spacing w:val="-3"/>
                <w:sz w:val="21"/>
              </w:rPr>
              <w:t>硬度、溶解性总固体、硫酸盐、氯化物、砷、汞、镉、六价铬、铅、铁、锰、锌、铝、挥发性酚类、阴离子表面活性剂、耗氧量、氨氮、硫化物、总大肠菌群、菌落总数、硝酸盐、亚硝酸盐、氰化物、氟化物</w:t>
            </w:r>
          </w:p>
        </w:tc>
      </w:tr>
      <w:tr>
        <w:trPr>
          <w:trHeight w:val="273" w:hRule="atLeast"/>
        </w:trPr>
        <w:tc>
          <w:tcPr>
            <w:tcW w:w="2131" w:type="dxa"/>
          </w:tcPr>
          <w:p>
            <w:pPr>
              <w:pStyle w:val="TableParagraph"/>
              <w:spacing w:line="252" w:lineRule="exact" w:before="1"/>
              <w:ind w:left="12"/>
              <w:rPr>
                <w:sz w:val="21"/>
              </w:rPr>
            </w:pPr>
            <w:r>
              <w:rPr>
                <w:rFonts w:ascii="Times New Roman" w:eastAsia="Times New Roman"/>
                <w:sz w:val="21"/>
              </w:rPr>
              <w:t>2#</w:t>
            </w:r>
            <w:r>
              <w:rPr>
                <w:sz w:val="21"/>
              </w:rPr>
              <w:t>预留车间七北面</w:t>
            </w:r>
          </w:p>
        </w:tc>
        <w:tc>
          <w:tcPr>
            <w:tcW w:w="1841" w:type="dxa"/>
            <w:vMerge/>
            <w:tcBorders>
              <w:top w:val="nil"/>
            </w:tcBorders>
          </w:tcPr>
          <w:p>
            <w:pPr>
              <w:rPr>
                <w:sz w:val="2"/>
                <w:szCs w:val="2"/>
              </w:rPr>
            </w:pPr>
          </w:p>
        </w:tc>
        <w:tc>
          <w:tcPr>
            <w:tcW w:w="5108" w:type="dxa"/>
            <w:vMerge/>
            <w:tcBorders>
              <w:top w:val="nil"/>
            </w:tcBorders>
          </w:tcPr>
          <w:p>
            <w:pPr>
              <w:rPr>
                <w:sz w:val="2"/>
                <w:szCs w:val="2"/>
              </w:rPr>
            </w:pPr>
          </w:p>
        </w:tc>
      </w:tr>
      <w:tr>
        <w:trPr>
          <w:trHeight w:val="544" w:hRule="atLeast"/>
        </w:trPr>
        <w:tc>
          <w:tcPr>
            <w:tcW w:w="2131" w:type="dxa"/>
          </w:tcPr>
          <w:p>
            <w:pPr>
              <w:pStyle w:val="TableParagraph"/>
              <w:spacing w:before="1"/>
              <w:ind w:left="10"/>
              <w:rPr>
                <w:sz w:val="21"/>
              </w:rPr>
            </w:pPr>
            <w:r>
              <w:rPr>
                <w:rFonts w:ascii="Times New Roman" w:eastAsia="Times New Roman"/>
                <w:sz w:val="21"/>
              </w:rPr>
              <w:t>3#</w:t>
            </w:r>
            <w:r>
              <w:rPr>
                <w:sz w:val="21"/>
              </w:rPr>
              <w:t>拟建废水物化处理及</w:t>
            </w:r>
          </w:p>
          <w:p>
            <w:pPr>
              <w:pStyle w:val="TableParagraph"/>
              <w:spacing w:line="252" w:lineRule="exact" w:before="2"/>
              <w:ind w:left="12"/>
              <w:rPr>
                <w:sz w:val="21"/>
              </w:rPr>
            </w:pPr>
            <w:r>
              <w:rPr>
                <w:sz w:val="21"/>
              </w:rPr>
              <w:t>生化处理区域之间</w:t>
            </w:r>
          </w:p>
        </w:tc>
        <w:tc>
          <w:tcPr>
            <w:tcW w:w="1841" w:type="dxa"/>
            <w:vMerge/>
            <w:tcBorders>
              <w:top w:val="nil"/>
            </w:tcBorders>
          </w:tcPr>
          <w:p>
            <w:pPr>
              <w:rPr>
                <w:sz w:val="2"/>
                <w:szCs w:val="2"/>
              </w:rPr>
            </w:pPr>
          </w:p>
        </w:tc>
        <w:tc>
          <w:tcPr>
            <w:tcW w:w="5108" w:type="dxa"/>
            <w:vMerge/>
            <w:tcBorders>
              <w:top w:val="nil"/>
            </w:tcBorders>
          </w:tcPr>
          <w:p>
            <w:pPr>
              <w:rPr>
                <w:sz w:val="2"/>
                <w:szCs w:val="2"/>
              </w:rPr>
            </w:pPr>
          </w:p>
        </w:tc>
      </w:tr>
      <w:tr>
        <w:trPr>
          <w:trHeight w:val="273" w:hRule="atLeast"/>
        </w:trPr>
        <w:tc>
          <w:tcPr>
            <w:tcW w:w="2131" w:type="dxa"/>
          </w:tcPr>
          <w:p>
            <w:pPr>
              <w:pStyle w:val="TableParagraph"/>
              <w:spacing w:line="252" w:lineRule="exact" w:before="1"/>
              <w:ind w:left="12"/>
              <w:rPr>
                <w:sz w:val="21"/>
              </w:rPr>
            </w:pPr>
            <w:r>
              <w:rPr>
                <w:rFonts w:ascii="Times New Roman" w:eastAsia="Times New Roman"/>
                <w:sz w:val="21"/>
              </w:rPr>
              <w:t>4#</w:t>
            </w:r>
            <w:r>
              <w:rPr>
                <w:sz w:val="21"/>
              </w:rPr>
              <w:t>厂区北面 </w:t>
            </w:r>
            <w:r>
              <w:rPr>
                <w:rFonts w:ascii="Times New Roman" w:eastAsia="Times New Roman"/>
                <w:sz w:val="21"/>
              </w:rPr>
              <w:t>400m </w:t>
            </w:r>
            <w:r>
              <w:rPr>
                <w:sz w:val="21"/>
              </w:rPr>
              <w:t>空地</w:t>
            </w:r>
          </w:p>
        </w:tc>
        <w:tc>
          <w:tcPr>
            <w:tcW w:w="1841" w:type="dxa"/>
            <w:vMerge/>
            <w:tcBorders>
              <w:top w:val="nil"/>
            </w:tcBorders>
          </w:tcPr>
          <w:p>
            <w:pPr>
              <w:rPr>
                <w:sz w:val="2"/>
                <w:szCs w:val="2"/>
              </w:rPr>
            </w:pPr>
          </w:p>
        </w:tc>
        <w:tc>
          <w:tcPr>
            <w:tcW w:w="5108" w:type="dxa"/>
            <w:vMerge/>
            <w:tcBorders>
              <w:top w:val="nil"/>
            </w:tcBorders>
          </w:tcPr>
          <w:p>
            <w:pPr>
              <w:rPr>
                <w:sz w:val="2"/>
                <w:szCs w:val="2"/>
              </w:rPr>
            </w:pPr>
          </w:p>
        </w:tc>
      </w:tr>
      <w:tr>
        <w:trPr>
          <w:trHeight w:val="270" w:hRule="atLeast"/>
        </w:trPr>
        <w:tc>
          <w:tcPr>
            <w:tcW w:w="2131" w:type="dxa"/>
          </w:tcPr>
          <w:p>
            <w:pPr>
              <w:pStyle w:val="TableParagraph"/>
              <w:spacing w:line="250" w:lineRule="exact" w:before="1"/>
              <w:ind w:left="12"/>
              <w:rPr>
                <w:sz w:val="21"/>
              </w:rPr>
            </w:pPr>
            <w:r>
              <w:rPr>
                <w:rFonts w:ascii="Times New Roman" w:eastAsia="Times New Roman"/>
                <w:sz w:val="21"/>
              </w:rPr>
              <w:t>5#</w:t>
            </w:r>
            <w:r>
              <w:rPr>
                <w:sz w:val="21"/>
              </w:rPr>
              <w:t>珠海村</w:t>
            </w:r>
          </w:p>
        </w:tc>
        <w:tc>
          <w:tcPr>
            <w:tcW w:w="1841" w:type="dxa"/>
            <w:vMerge/>
            <w:tcBorders>
              <w:top w:val="nil"/>
            </w:tcBorders>
          </w:tcPr>
          <w:p>
            <w:pPr>
              <w:rPr>
                <w:sz w:val="2"/>
                <w:szCs w:val="2"/>
              </w:rPr>
            </w:pPr>
          </w:p>
        </w:tc>
        <w:tc>
          <w:tcPr>
            <w:tcW w:w="5108" w:type="dxa"/>
            <w:vMerge/>
            <w:tcBorders>
              <w:top w:val="nil"/>
            </w:tcBorders>
          </w:tcPr>
          <w:p>
            <w:pPr>
              <w:rPr>
                <w:sz w:val="2"/>
                <w:szCs w:val="2"/>
              </w:rPr>
            </w:pPr>
          </w:p>
        </w:tc>
      </w:tr>
    </w:tbl>
    <w:p>
      <w:pPr>
        <w:spacing w:before="2"/>
        <w:ind w:left="701" w:right="0" w:firstLine="0"/>
        <w:jc w:val="left"/>
        <w:rPr>
          <w:b/>
          <w:sz w:val="24"/>
        </w:rPr>
      </w:pPr>
      <w:r>
        <w:rPr>
          <w:b/>
          <w:sz w:val="24"/>
        </w:rPr>
        <w:t>③监测结果与评价</w:t>
      </w:r>
    </w:p>
    <w:p>
      <w:pPr>
        <w:tabs>
          <w:tab w:pos="3557" w:val="left" w:leader="none"/>
        </w:tabs>
        <w:spacing w:line="472" w:lineRule="auto" w:before="161"/>
        <w:ind w:left="2335" w:right="2285" w:hanging="1637"/>
        <w:jc w:val="left"/>
        <w:rPr>
          <w:b/>
          <w:sz w:val="24"/>
        </w:rPr>
      </w:pPr>
      <w:r>
        <w:rPr/>
        <w:pict>
          <v:line style="position:absolute;mso-position-horizontal-relative:page;mso-position-vertical-relative:paragraph;z-index:-317737984" from="65.664001pt,55.450012pt" to="169.220001pt,109.960012pt" stroked="true" strokeweight=".72pt" strokecolor="#000000">
            <v:stroke dashstyle="solid"/>
            <w10:wrap type="none"/>
          </v:line>
        </w:pict>
      </w:r>
      <w:r>
        <w:rPr/>
        <w:pict>
          <v:shape style="position:absolute;margin-left:65.424004pt;margin-top:55.210022pt;width:464.75pt;height:505.65pt;mso-position-horizontal-relative:page;mso-position-vertical-relative:paragraph;z-index:251848704" type="#_x0000_t202" filled="false" stroked="false">
            <v:textbox inset="0,0,0,0">
              <w:txbxContent>
                <w:tbl>
                  <w:tblPr>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076"/>
                    <w:gridCol w:w="1201"/>
                    <w:gridCol w:w="908"/>
                    <w:gridCol w:w="1312"/>
                    <w:gridCol w:w="1136"/>
                    <w:gridCol w:w="994"/>
                    <w:gridCol w:w="995"/>
                    <w:gridCol w:w="670"/>
                  </w:tblGrid>
                  <w:tr>
                    <w:trPr>
                      <w:trHeight w:val="1089" w:hRule="atLeast"/>
                    </w:trPr>
                    <w:tc>
                      <w:tcPr>
                        <w:tcW w:w="2076" w:type="dxa"/>
                      </w:tcPr>
                      <w:p>
                        <w:pPr>
                          <w:pStyle w:val="TableParagraph"/>
                          <w:spacing w:before="138"/>
                          <w:ind w:left="1089"/>
                          <w:jc w:val="left"/>
                          <w:rPr>
                            <w:b/>
                            <w:sz w:val="21"/>
                          </w:rPr>
                        </w:pPr>
                        <w:r>
                          <w:rPr>
                            <w:b/>
                            <w:sz w:val="21"/>
                          </w:rPr>
                          <w:t>采样点位</w:t>
                        </w:r>
                      </w:p>
                      <w:p>
                        <w:pPr>
                          <w:pStyle w:val="TableParagraph"/>
                          <w:spacing w:line="242" w:lineRule="auto" w:before="5"/>
                          <w:ind w:left="107" w:right="1116"/>
                          <w:jc w:val="left"/>
                          <w:rPr>
                            <w:b/>
                            <w:sz w:val="21"/>
                          </w:rPr>
                        </w:pPr>
                        <w:r>
                          <w:rPr>
                            <w:b/>
                            <w:sz w:val="21"/>
                          </w:rPr>
                          <w:t>项目名称及单位</w:t>
                        </w:r>
                      </w:p>
                    </w:tc>
                    <w:tc>
                      <w:tcPr>
                        <w:tcW w:w="1201" w:type="dxa"/>
                      </w:tcPr>
                      <w:p>
                        <w:pPr>
                          <w:pStyle w:val="TableParagraph"/>
                          <w:spacing w:before="6"/>
                          <w:jc w:val="left"/>
                          <w:rPr>
                            <w:b/>
                            <w:sz w:val="21"/>
                          </w:rPr>
                        </w:pPr>
                      </w:p>
                      <w:p>
                        <w:pPr>
                          <w:pStyle w:val="TableParagraph"/>
                          <w:spacing w:line="242" w:lineRule="auto"/>
                          <w:ind w:left="177" w:right="171"/>
                          <w:jc w:val="left"/>
                          <w:rPr>
                            <w:b/>
                            <w:sz w:val="21"/>
                          </w:rPr>
                        </w:pPr>
                        <w:r>
                          <w:rPr>
                            <w:rFonts w:ascii="Times New Roman" w:eastAsia="Times New Roman"/>
                            <w:b/>
                            <w:sz w:val="21"/>
                          </w:rPr>
                          <w:t>1#</w:t>
                        </w:r>
                        <w:r>
                          <w:rPr>
                            <w:b/>
                            <w:sz w:val="21"/>
                          </w:rPr>
                          <w:t>拟建车间一南面</w:t>
                        </w:r>
                      </w:p>
                    </w:tc>
                    <w:tc>
                      <w:tcPr>
                        <w:tcW w:w="908" w:type="dxa"/>
                      </w:tcPr>
                      <w:p>
                        <w:pPr>
                          <w:pStyle w:val="TableParagraph"/>
                          <w:spacing w:line="242" w:lineRule="auto" w:before="138"/>
                          <w:ind w:left="136" w:right="131"/>
                          <w:jc w:val="both"/>
                          <w:rPr>
                            <w:b/>
                            <w:sz w:val="21"/>
                          </w:rPr>
                        </w:pPr>
                        <w:r>
                          <w:rPr>
                            <w:rFonts w:ascii="Times New Roman" w:eastAsia="Times New Roman"/>
                            <w:b/>
                            <w:sz w:val="21"/>
                          </w:rPr>
                          <w:t>2#</w:t>
                        </w:r>
                        <w:r>
                          <w:rPr>
                            <w:b/>
                            <w:sz w:val="21"/>
                          </w:rPr>
                          <w:t>预留车间七北面</w:t>
                        </w:r>
                      </w:p>
                    </w:tc>
                    <w:tc>
                      <w:tcPr>
                        <w:tcW w:w="1312" w:type="dxa"/>
                      </w:tcPr>
                      <w:p>
                        <w:pPr>
                          <w:pStyle w:val="TableParagraph"/>
                          <w:spacing w:line="242" w:lineRule="auto" w:before="1"/>
                          <w:ind w:left="125" w:right="123"/>
                          <w:jc w:val="both"/>
                          <w:rPr>
                            <w:b/>
                            <w:sz w:val="21"/>
                          </w:rPr>
                        </w:pPr>
                        <w:r>
                          <w:rPr>
                            <w:rFonts w:ascii="Times New Roman" w:eastAsia="Times New Roman"/>
                            <w:b/>
                            <w:sz w:val="21"/>
                          </w:rPr>
                          <w:t>3#</w:t>
                        </w:r>
                        <w:r>
                          <w:rPr>
                            <w:b/>
                            <w:sz w:val="21"/>
                          </w:rPr>
                          <w:t>拟建废水物化处理及生化处理区</w:t>
                        </w:r>
                      </w:p>
                      <w:p>
                        <w:pPr>
                          <w:pStyle w:val="TableParagraph"/>
                          <w:spacing w:line="250" w:lineRule="exact" w:before="4"/>
                          <w:ind w:left="337"/>
                          <w:jc w:val="left"/>
                          <w:rPr>
                            <w:b/>
                            <w:sz w:val="21"/>
                          </w:rPr>
                        </w:pPr>
                        <w:r>
                          <w:rPr>
                            <w:b/>
                            <w:sz w:val="21"/>
                          </w:rPr>
                          <w:t>域之间</w:t>
                        </w:r>
                      </w:p>
                    </w:tc>
                    <w:tc>
                      <w:tcPr>
                        <w:tcW w:w="1136" w:type="dxa"/>
                      </w:tcPr>
                      <w:p>
                        <w:pPr>
                          <w:pStyle w:val="TableParagraph"/>
                          <w:spacing w:line="242" w:lineRule="auto" w:before="138"/>
                          <w:ind w:left="143" w:right="142"/>
                          <w:rPr>
                            <w:b/>
                            <w:sz w:val="21"/>
                          </w:rPr>
                        </w:pPr>
                        <w:r>
                          <w:rPr>
                            <w:rFonts w:ascii="Times New Roman" w:eastAsia="Times New Roman"/>
                            <w:b/>
                            <w:sz w:val="21"/>
                          </w:rPr>
                          <w:t>4#</w:t>
                        </w:r>
                        <w:r>
                          <w:rPr>
                            <w:b/>
                            <w:sz w:val="21"/>
                          </w:rPr>
                          <w:t>厂区北面 </w:t>
                        </w:r>
                        <w:r>
                          <w:rPr>
                            <w:rFonts w:ascii="Times New Roman" w:eastAsia="Times New Roman"/>
                            <w:b/>
                            <w:sz w:val="21"/>
                          </w:rPr>
                          <w:t>400m </w:t>
                        </w:r>
                        <w:r>
                          <w:rPr>
                            <w:b/>
                            <w:sz w:val="21"/>
                          </w:rPr>
                          <w:t>空地</w:t>
                        </w:r>
                      </w:p>
                    </w:tc>
                    <w:tc>
                      <w:tcPr>
                        <w:tcW w:w="994" w:type="dxa"/>
                      </w:tcPr>
                      <w:p>
                        <w:pPr>
                          <w:pStyle w:val="TableParagraph"/>
                          <w:spacing w:before="6"/>
                          <w:jc w:val="left"/>
                          <w:rPr>
                            <w:b/>
                            <w:sz w:val="21"/>
                          </w:rPr>
                        </w:pPr>
                      </w:p>
                      <w:p>
                        <w:pPr>
                          <w:pStyle w:val="TableParagraph"/>
                          <w:spacing w:line="242" w:lineRule="auto"/>
                          <w:ind w:left="279" w:right="179" w:hanging="104"/>
                          <w:jc w:val="left"/>
                          <w:rPr>
                            <w:rFonts w:ascii="Times New Roman" w:eastAsia="Times New Roman"/>
                            <w:b/>
                            <w:sz w:val="21"/>
                          </w:rPr>
                        </w:pPr>
                        <w:r>
                          <w:rPr>
                            <w:rFonts w:ascii="Times New Roman" w:eastAsia="Times New Roman"/>
                            <w:b/>
                            <w:sz w:val="21"/>
                          </w:rPr>
                          <w:t>5#</w:t>
                        </w:r>
                        <w:r>
                          <w:rPr>
                            <w:b/>
                            <w:sz w:val="21"/>
                          </w:rPr>
                          <w:t>珠海村 </w:t>
                        </w:r>
                        <w:r>
                          <w:rPr>
                            <w:rFonts w:ascii="Times New Roman" w:eastAsia="Times New Roman"/>
                            <w:b/>
                            <w:sz w:val="21"/>
                          </w:rPr>
                          <w:t>H</w:t>
                        </w:r>
                      </w:p>
                    </w:tc>
                    <w:tc>
                      <w:tcPr>
                        <w:tcW w:w="995" w:type="dxa"/>
                      </w:tcPr>
                      <w:p>
                        <w:pPr>
                          <w:pStyle w:val="TableParagraph"/>
                          <w:spacing w:before="6"/>
                          <w:jc w:val="left"/>
                          <w:rPr>
                            <w:b/>
                            <w:sz w:val="21"/>
                          </w:rPr>
                        </w:pPr>
                      </w:p>
                      <w:p>
                        <w:pPr>
                          <w:pStyle w:val="TableParagraph"/>
                          <w:spacing w:line="242" w:lineRule="auto"/>
                          <w:ind w:left="388" w:right="178" w:hanging="212"/>
                          <w:jc w:val="left"/>
                          <w:rPr>
                            <w:b/>
                            <w:sz w:val="21"/>
                          </w:rPr>
                        </w:pPr>
                        <w:r>
                          <w:rPr>
                            <w:b/>
                            <w:sz w:val="21"/>
                          </w:rPr>
                          <w:t>标准限值</w:t>
                        </w:r>
                      </w:p>
                    </w:tc>
                    <w:tc>
                      <w:tcPr>
                        <w:tcW w:w="670" w:type="dxa"/>
                      </w:tcPr>
                      <w:p>
                        <w:pPr>
                          <w:pStyle w:val="TableParagraph"/>
                          <w:spacing w:before="6"/>
                          <w:jc w:val="left"/>
                          <w:rPr>
                            <w:b/>
                            <w:sz w:val="21"/>
                          </w:rPr>
                        </w:pPr>
                      </w:p>
                      <w:p>
                        <w:pPr>
                          <w:pStyle w:val="TableParagraph"/>
                          <w:spacing w:line="242" w:lineRule="auto"/>
                          <w:ind w:left="223" w:right="122" w:hanging="106"/>
                          <w:jc w:val="left"/>
                          <w:rPr>
                            <w:b/>
                            <w:sz w:val="21"/>
                          </w:rPr>
                        </w:pPr>
                        <w:r>
                          <w:rPr>
                            <w:b/>
                            <w:sz w:val="21"/>
                          </w:rPr>
                          <w:t>达标性</w:t>
                        </w:r>
                      </w:p>
                    </w:tc>
                  </w:tr>
                  <w:tr>
                    <w:trPr>
                      <w:trHeight w:val="285" w:hRule="atLeast"/>
                    </w:trPr>
                    <w:tc>
                      <w:tcPr>
                        <w:tcW w:w="2076" w:type="dxa"/>
                      </w:tcPr>
                      <w:p>
                        <w:pPr>
                          <w:pStyle w:val="TableParagraph"/>
                          <w:spacing w:line="257" w:lineRule="exact" w:before="8"/>
                          <w:ind w:left="14" w:right="10"/>
                          <w:rPr>
                            <w:sz w:val="21"/>
                          </w:rPr>
                        </w:pPr>
                        <w:r>
                          <w:rPr>
                            <w:rFonts w:ascii="Times New Roman" w:eastAsia="Times New Roman"/>
                            <w:sz w:val="21"/>
                          </w:rPr>
                          <w:t>pH </w:t>
                        </w:r>
                        <w:r>
                          <w:rPr>
                            <w:sz w:val="21"/>
                          </w:rPr>
                          <w:t>值</w:t>
                        </w:r>
                        <w:r>
                          <w:rPr>
                            <w:rFonts w:ascii="Times New Roman" w:eastAsia="Times New Roman"/>
                            <w:sz w:val="21"/>
                          </w:rPr>
                          <w:t>*</w:t>
                        </w:r>
                        <w:r>
                          <w:rPr>
                            <w:rFonts w:ascii="Times New Roman" w:eastAsia="Times New Roman"/>
                            <w:spacing w:val="52"/>
                            <w:sz w:val="21"/>
                          </w:rPr>
                          <w:t> </w:t>
                        </w:r>
                        <w:r>
                          <w:rPr>
                            <w:spacing w:val="-2"/>
                            <w:sz w:val="21"/>
                          </w:rPr>
                          <w:t>无量纲</w:t>
                        </w:r>
                      </w:p>
                    </w:tc>
                    <w:tc>
                      <w:tcPr>
                        <w:tcW w:w="1201" w:type="dxa"/>
                      </w:tcPr>
                      <w:p>
                        <w:pPr>
                          <w:pStyle w:val="TableParagraph"/>
                          <w:spacing w:before="22"/>
                          <w:ind w:left="184" w:right="181"/>
                          <w:rPr>
                            <w:rFonts w:ascii="Times New Roman"/>
                            <w:sz w:val="21"/>
                          </w:rPr>
                        </w:pPr>
                        <w:r>
                          <w:rPr>
                            <w:rFonts w:ascii="Times New Roman"/>
                            <w:sz w:val="21"/>
                          </w:rPr>
                          <w:t>7.0</w:t>
                        </w:r>
                      </w:p>
                    </w:tc>
                    <w:tc>
                      <w:tcPr>
                        <w:tcW w:w="908" w:type="dxa"/>
                      </w:tcPr>
                      <w:p>
                        <w:pPr>
                          <w:pStyle w:val="TableParagraph"/>
                          <w:spacing w:before="22"/>
                          <w:ind w:left="90" w:right="87"/>
                          <w:rPr>
                            <w:rFonts w:ascii="Times New Roman"/>
                            <w:sz w:val="21"/>
                          </w:rPr>
                        </w:pPr>
                        <w:r>
                          <w:rPr>
                            <w:rFonts w:ascii="Times New Roman"/>
                            <w:sz w:val="21"/>
                          </w:rPr>
                          <w:t>7.1</w:t>
                        </w:r>
                      </w:p>
                    </w:tc>
                    <w:tc>
                      <w:tcPr>
                        <w:tcW w:w="1312" w:type="dxa"/>
                      </w:tcPr>
                      <w:p>
                        <w:pPr>
                          <w:pStyle w:val="TableParagraph"/>
                          <w:spacing w:before="22"/>
                          <w:ind w:left="423" w:right="423"/>
                          <w:rPr>
                            <w:rFonts w:ascii="Times New Roman"/>
                            <w:sz w:val="21"/>
                          </w:rPr>
                        </w:pPr>
                        <w:r>
                          <w:rPr>
                            <w:rFonts w:ascii="Times New Roman"/>
                            <w:sz w:val="21"/>
                          </w:rPr>
                          <w:t>7.1</w:t>
                        </w:r>
                      </w:p>
                    </w:tc>
                    <w:tc>
                      <w:tcPr>
                        <w:tcW w:w="1136" w:type="dxa"/>
                      </w:tcPr>
                      <w:p>
                        <w:pPr>
                          <w:pStyle w:val="TableParagraph"/>
                          <w:spacing w:before="22"/>
                          <w:ind w:left="102" w:right="101"/>
                          <w:rPr>
                            <w:rFonts w:ascii="Times New Roman"/>
                            <w:sz w:val="21"/>
                          </w:rPr>
                        </w:pPr>
                        <w:r>
                          <w:rPr>
                            <w:rFonts w:ascii="Times New Roman"/>
                            <w:sz w:val="21"/>
                          </w:rPr>
                          <w:t>7.2</w:t>
                        </w:r>
                      </w:p>
                    </w:tc>
                    <w:tc>
                      <w:tcPr>
                        <w:tcW w:w="994" w:type="dxa"/>
                      </w:tcPr>
                      <w:p>
                        <w:pPr>
                          <w:pStyle w:val="TableParagraph"/>
                          <w:spacing w:before="22"/>
                          <w:ind w:left="133" w:right="133"/>
                          <w:rPr>
                            <w:rFonts w:ascii="Times New Roman"/>
                            <w:sz w:val="21"/>
                          </w:rPr>
                        </w:pPr>
                        <w:r>
                          <w:rPr>
                            <w:rFonts w:ascii="Times New Roman"/>
                            <w:sz w:val="21"/>
                          </w:rPr>
                          <w:t>7.0</w:t>
                        </w:r>
                      </w:p>
                    </w:tc>
                    <w:tc>
                      <w:tcPr>
                        <w:tcW w:w="995" w:type="dxa"/>
                      </w:tcPr>
                      <w:p>
                        <w:pPr>
                          <w:pStyle w:val="TableParagraph"/>
                          <w:spacing w:before="22"/>
                          <w:ind w:left="155" w:right="155"/>
                          <w:rPr>
                            <w:rFonts w:ascii="Times New Roman"/>
                            <w:sz w:val="21"/>
                          </w:rPr>
                        </w:pPr>
                        <w:r>
                          <w:rPr>
                            <w:rFonts w:ascii="Times New Roman"/>
                            <w:sz w:val="21"/>
                          </w:rPr>
                          <w:t>6.5~8.5</w:t>
                        </w:r>
                      </w:p>
                    </w:tc>
                    <w:tc>
                      <w:tcPr>
                        <w:tcW w:w="670" w:type="dxa"/>
                      </w:tcPr>
                      <w:p>
                        <w:pPr>
                          <w:pStyle w:val="TableParagraph"/>
                          <w:spacing w:line="257" w:lineRule="exact" w:before="8"/>
                          <w:ind w:right="120"/>
                          <w:jc w:val="right"/>
                          <w:rPr>
                            <w:sz w:val="21"/>
                          </w:rPr>
                        </w:pPr>
                        <w:r>
                          <w:rPr>
                            <w:sz w:val="21"/>
                          </w:rPr>
                          <w:t>达标</w:t>
                        </w:r>
                      </w:p>
                    </w:tc>
                  </w:tr>
                  <w:tr>
                    <w:trPr>
                      <w:trHeight w:val="282" w:hRule="atLeast"/>
                    </w:trPr>
                    <w:tc>
                      <w:tcPr>
                        <w:tcW w:w="2076" w:type="dxa"/>
                      </w:tcPr>
                      <w:p>
                        <w:pPr>
                          <w:pStyle w:val="TableParagraph"/>
                          <w:spacing w:line="257" w:lineRule="exact" w:before="6"/>
                          <w:ind w:left="14" w:right="10"/>
                          <w:rPr>
                            <w:sz w:val="21"/>
                          </w:rPr>
                        </w:pPr>
                        <w:r>
                          <w:rPr>
                            <w:sz w:val="21"/>
                          </w:rPr>
                          <w:t>色度 度</w:t>
                        </w:r>
                      </w:p>
                    </w:tc>
                    <w:tc>
                      <w:tcPr>
                        <w:tcW w:w="1201" w:type="dxa"/>
                      </w:tcPr>
                      <w:p>
                        <w:pPr>
                          <w:pStyle w:val="TableParagraph"/>
                          <w:spacing w:before="20"/>
                          <w:rPr>
                            <w:rFonts w:ascii="Times New Roman"/>
                            <w:sz w:val="21"/>
                          </w:rPr>
                        </w:pPr>
                        <w:r>
                          <w:rPr>
                            <w:rFonts w:ascii="Times New Roman"/>
                            <w:w w:val="100"/>
                            <w:sz w:val="21"/>
                          </w:rPr>
                          <w:t>5</w:t>
                        </w:r>
                      </w:p>
                    </w:tc>
                    <w:tc>
                      <w:tcPr>
                        <w:tcW w:w="908" w:type="dxa"/>
                      </w:tcPr>
                      <w:p>
                        <w:pPr>
                          <w:pStyle w:val="TableParagraph"/>
                          <w:spacing w:before="20"/>
                          <w:ind w:left="3"/>
                          <w:rPr>
                            <w:rFonts w:ascii="Times New Roman"/>
                            <w:sz w:val="21"/>
                          </w:rPr>
                        </w:pPr>
                        <w:r>
                          <w:rPr>
                            <w:rFonts w:ascii="Times New Roman"/>
                            <w:w w:val="100"/>
                            <w:sz w:val="21"/>
                          </w:rPr>
                          <w:t>5</w:t>
                        </w:r>
                      </w:p>
                    </w:tc>
                    <w:tc>
                      <w:tcPr>
                        <w:tcW w:w="1312" w:type="dxa"/>
                      </w:tcPr>
                      <w:p>
                        <w:pPr>
                          <w:pStyle w:val="TableParagraph"/>
                          <w:spacing w:before="20"/>
                          <w:rPr>
                            <w:rFonts w:ascii="Times New Roman"/>
                            <w:sz w:val="21"/>
                          </w:rPr>
                        </w:pPr>
                        <w:r>
                          <w:rPr>
                            <w:rFonts w:ascii="Times New Roman"/>
                            <w:w w:val="100"/>
                            <w:sz w:val="21"/>
                          </w:rPr>
                          <w:t>5</w:t>
                        </w:r>
                      </w:p>
                    </w:tc>
                    <w:tc>
                      <w:tcPr>
                        <w:tcW w:w="1136" w:type="dxa"/>
                      </w:tcPr>
                      <w:p>
                        <w:pPr>
                          <w:pStyle w:val="TableParagraph"/>
                          <w:spacing w:before="20"/>
                          <w:ind w:right="1"/>
                          <w:rPr>
                            <w:rFonts w:ascii="Times New Roman"/>
                            <w:sz w:val="21"/>
                          </w:rPr>
                        </w:pPr>
                        <w:r>
                          <w:rPr>
                            <w:rFonts w:ascii="Times New Roman"/>
                            <w:w w:val="100"/>
                            <w:sz w:val="21"/>
                          </w:rPr>
                          <w:t>5</w:t>
                        </w:r>
                      </w:p>
                    </w:tc>
                    <w:tc>
                      <w:tcPr>
                        <w:tcW w:w="994" w:type="dxa"/>
                      </w:tcPr>
                      <w:p>
                        <w:pPr>
                          <w:pStyle w:val="TableParagraph"/>
                          <w:spacing w:before="20"/>
                          <w:rPr>
                            <w:rFonts w:ascii="Times New Roman"/>
                            <w:sz w:val="21"/>
                          </w:rPr>
                        </w:pPr>
                        <w:r>
                          <w:rPr>
                            <w:rFonts w:ascii="Times New Roman"/>
                            <w:w w:val="100"/>
                            <w:sz w:val="21"/>
                          </w:rPr>
                          <w:t>5</w:t>
                        </w:r>
                      </w:p>
                    </w:tc>
                    <w:tc>
                      <w:tcPr>
                        <w:tcW w:w="995" w:type="dxa"/>
                      </w:tcPr>
                      <w:p>
                        <w:pPr>
                          <w:pStyle w:val="TableParagraph"/>
                          <w:spacing w:before="20"/>
                          <w:ind w:left="155" w:right="155"/>
                          <w:rPr>
                            <w:rFonts w:ascii="Times New Roman"/>
                            <w:sz w:val="21"/>
                          </w:rPr>
                        </w:pPr>
                        <w:r>
                          <w:rPr>
                            <w:rFonts w:ascii="Times New Roman"/>
                            <w:sz w:val="21"/>
                          </w:rPr>
                          <w:t>15</w:t>
                        </w:r>
                      </w:p>
                    </w:tc>
                    <w:tc>
                      <w:tcPr>
                        <w:tcW w:w="670" w:type="dxa"/>
                      </w:tcPr>
                      <w:p>
                        <w:pPr>
                          <w:pStyle w:val="TableParagraph"/>
                          <w:spacing w:line="257" w:lineRule="exact" w:before="6"/>
                          <w:ind w:right="120"/>
                          <w:jc w:val="right"/>
                          <w:rPr>
                            <w:sz w:val="21"/>
                          </w:rPr>
                        </w:pPr>
                        <w:r>
                          <w:rPr>
                            <w:sz w:val="21"/>
                          </w:rPr>
                          <w:t>达标</w:t>
                        </w:r>
                      </w:p>
                    </w:tc>
                  </w:tr>
                  <w:tr>
                    <w:trPr>
                      <w:trHeight w:val="285" w:hRule="atLeast"/>
                    </w:trPr>
                    <w:tc>
                      <w:tcPr>
                        <w:tcW w:w="2076" w:type="dxa"/>
                      </w:tcPr>
                      <w:p>
                        <w:pPr>
                          <w:pStyle w:val="TableParagraph"/>
                          <w:spacing w:line="257" w:lineRule="exact" w:before="8"/>
                          <w:ind w:left="17" w:right="10"/>
                          <w:rPr>
                            <w:sz w:val="21"/>
                          </w:rPr>
                        </w:pPr>
                        <w:r>
                          <w:rPr>
                            <w:sz w:val="21"/>
                          </w:rPr>
                          <w:t>臭和味 无量纲</w:t>
                        </w:r>
                      </w:p>
                    </w:tc>
                    <w:tc>
                      <w:tcPr>
                        <w:tcW w:w="1201" w:type="dxa"/>
                      </w:tcPr>
                      <w:p>
                        <w:pPr>
                          <w:pStyle w:val="TableParagraph"/>
                          <w:spacing w:line="257" w:lineRule="exact" w:before="8"/>
                          <w:ind w:right="1"/>
                          <w:rPr>
                            <w:sz w:val="21"/>
                          </w:rPr>
                        </w:pPr>
                        <w:r>
                          <w:rPr>
                            <w:w w:val="100"/>
                            <w:sz w:val="21"/>
                          </w:rPr>
                          <w:t>无</w:t>
                        </w:r>
                      </w:p>
                    </w:tc>
                    <w:tc>
                      <w:tcPr>
                        <w:tcW w:w="908" w:type="dxa"/>
                      </w:tcPr>
                      <w:p>
                        <w:pPr>
                          <w:pStyle w:val="TableParagraph"/>
                          <w:spacing w:line="257" w:lineRule="exact" w:before="8"/>
                          <w:ind w:left="3"/>
                          <w:rPr>
                            <w:sz w:val="21"/>
                          </w:rPr>
                        </w:pPr>
                        <w:r>
                          <w:rPr>
                            <w:w w:val="100"/>
                            <w:sz w:val="21"/>
                          </w:rPr>
                          <w:t>无</w:t>
                        </w:r>
                      </w:p>
                    </w:tc>
                    <w:tc>
                      <w:tcPr>
                        <w:tcW w:w="1312" w:type="dxa"/>
                      </w:tcPr>
                      <w:p>
                        <w:pPr>
                          <w:pStyle w:val="TableParagraph"/>
                          <w:spacing w:line="257" w:lineRule="exact" w:before="8"/>
                          <w:rPr>
                            <w:sz w:val="21"/>
                          </w:rPr>
                        </w:pPr>
                        <w:r>
                          <w:rPr>
                            <w:w w:val="100"/>
                            <w:sz w:val="21"/>
                          </w:rPr>
                          <w:t>无</w:t>
                        </w:r>
                      </w:p>
                    </w:tc>
                    <w:tc>
                      <w:tcPr>
                        <w:tcW w:w="1136" w:type="dxa"/>
                      </w:tcPr>
                      <w:p>
                        <w:pPr>
                          <w:pStyle w:val="TableParagraph"/>
                          <w:spacing w:line="257" w:lineRule="exact" w:before="8"/>
                          <w:ind w:right="1"/>
                          <w:rPr>
                            <w:sz w:val="21"/>
                          </w:rPr>
                        </w:pPr>
                        <w:r>
                          <w:rPr>
                            <w:w w:val="100"/>
                            <w:sz w:val="21"/>
                          </w:rPr>
                          <w:t>无</w:t>
                        </w:r>
                      </w:p>
                    </w:tc>
                    <w:tc>
                      <w:tcPr>
                        <w:tcW w:w="994" w:type="dxa"/>
                      </w:tcPr>
                      <w:p>
                        <w:pPr>
                          <w:pStyle w:val="TableParagraph"/>
                          <w:spacing w:line="257" w:lineRule="exact" w:before="8"/>
                          <w:rPr>
                            <w:sz w:val="21"/>
                          </w:rPr>
                        </w:pPr>
                        <w:r>
                          <w:rPr>
                            <w:w w:val="100"/>
                            <w:sz w:val="21"/>
                          </w:rPr>
                          <w:t>无</w:t>
                        </w:r>
                      </w:p>
                    </w:tc>
                    <w:tc>
                      <w:tcPr>
                        <w:tcW w:w="995" w:type="dxa"/>
                      </w:tcPr>
                      <w:p>
                        <w:pPr>
                          <w:pStyle w:val="TableParagraph"/>
                          <w:spacing w:line="257" w:lineRule="exact" w:before="8"/>
                          <w:rPr>
                            <w:sz w:val="21"/>
                          </w:rPr>
                        </w:pPr>
                        <w:r>
                          <w:rPr>
                            <w:w w:val="100"/>
                            <w:sz w:val="21"/>
                          </w:rPr>
                          <w:t>无</w:t>
                        </w:r>
                      </w:p>
                    </w:tc>
                    <w:tc>
                      <w:tcPr>
                        <w:tcW w:w="670" w:type="dxa"/>
                      </w:tcPr>
                      <w:p>
                        <w:pPr>
                          <w:pStyle w:val="TableParagraph"/>
                          <w:spacing w:line="257" w:lineRule="exact" w:before="8"/>
                          <w:ind w:right="120"/>
                          <w:jc w:val="right"/>
                          <w:rPr>
                            <w:sz w:val="21"/>
                          </w:rPr>
                        </w:pPr>
                        <w:r>
                          <w:rPr>
                            <w:sz w:val="21"/>
                          </w:rPr>
                          <w:t>达标</w:t>
                        </w:r>
                      </w:p>
                    </w:tc>
                  </w:tr>
                  <w:tr>
                    <w:trPr>
                      <w:trHeight w:val="283" w:hRule="atLeast"/>
                    </w:trPr>
                    <w:tc>
                      <w:tcPr>
                        <w:tcW w:w="2076" w:type="dxa"/>
                      </w:tcPr>
                      <w:p>
                        <w:pPr>
                          <w:pStyle w:val="TableParagraph"/>
                          <w:spacing w:line="257" w:lineRule="exact" w:before="6"/>
                          <w:ind w:left="15" w:right="10"/>
                          <w:rPr>
                            <w:rFonts w:ascii="Times New Roman" w:eastAsia="Times New Roman"/>
                            <w:sz w:val="21"/>
                          </w:rPr>
                        </w:pPr>
                        <w:r>
                          <w:rPr>
                            <w:sz w:val="21"/>
                          </w:rPr>
                          <w:t>浊度 </w:t>
                        </w:r>
                        <w:r>
                          <w:rPr>
                            <w:rFonts w:ascii="Times New Roman" w:eastAsia="Times New Roman"/>
                            <w:sz w:val="21"/>
                          </w:rPr>
                          <w:t>NTU</w:t>
                        </w:r>
                      </w:p>
                    </w:tc>
                    <w:tc>
                      <w:tcPr>
                        <w:tcW w:w="1201" w:type="dxa"/>
                      </w:tcPr>
                      <w:p>
                        <w:pPr>
                          <w:pStyle w:val="TableParagraph"/>
                          <w:spacing w:before="20"/>
                          <w:ind w:left="184" w:right="181"/>
                          <w:rPr>
                            <w:rFonts w:ascii="Times New Roman"/>
                            <w:sz w:val="21"/>
                          </w:rPr>
                        </w:pPr>
                        <w:r>
                          <w:rPr>
                            <w:rFonts w:ascii="Times New Roman"/>
                            <w:sz w:val="21"/>
                          </w:rPr>
                          <w:t>2.0</w:t>
                        </w:r>
                      </w:p>
                    </w:tc>
                    <w:tc>
                      <w:tcPr>
                        <w:tcW w:w="908" w:type="dxa"/>
                      </w:tcPr>
                      <w:p>
                        <w:pPr>
                          <w:pStyle w:val="TableParagraph"/>
                          <w:spacing w:before="20"/>
                          <w:ind w:left="90" w:right="87"/>
                          <w:rPr>
                            <w:rFonts w:ascii="Times New Roman"/>
                            <w:sz w:val="21"/>
                          </w:rPr>
                        </w:pPr>
                        <w:r>
                          <w:rPr>
                            <w:rFonts w:ascii="Times New Roman"/>
                            <w:sz w:val="21"/>
                          </w:rPr>
                          <w:t>2.3</w:t>
                        </w:r>
                      </w:p>
                    </w:tc>
                    <w:tc>
                      <w:tcPr>
                        <w:tcW w:w="1312" w:type="dxa"/>
                      </w:tcPr>
                      <w:p>
                        <w:pPr>
                          <w:pStyle w:val="TableParagraph"/>
                          <w:spacing w:before="20"/>
                          <w:ind w:left="423" w:right="423"/>
                          <w:rPr>
                            <w:rFonts w:ascii="Times New Roman"/>
                            <w:sz w:val="21"/>
                          </w:rPr>
                        </w:pPr>
                        <w:r>
                          <w:rPr>
                            <w:rFonts w:ascii="Times New Roman"/>
                            <w:sz w:val="21"/>
                          </w:rPr>
                          <w:t>2.1</w:t>
                        </w:r>
                      </w:p>
                    </w:tc>
                    <w:tc>
                      <w:tcPr>
                        <w:tcW w:w="1136" w:type="dxa"/>
                      </w:tcPr>
                      <w:p>
                        <w:pPr>
                          <w:pStyle w:val="TableParagraph"/>
                          <w:spacing w:before="20"/>
                          <w:ind w:left="102" w:right="101"/>
                          <w:rPr>
                            <w:rFonts w:ascii="Times New Roman"/>
                            <w:sz w:val="21"/>
                          </w:rPr>
                        </w:pPr>
                        <w:r>
                          <w:rPr>
                            <w:rFonts w:ascii="Times New Roman"/>
                            <w:sz w:val="21"/>
                          </w:rPr>
                          <w:t>1.9</w:t>
                        </w:r>
                      </w:p>
                    </w:tc>
                    <w:tc>
                      <w:tcPr>
                        <w:tcW w:w="994" w:type="dxa"/>
                      </w:tcPr>
                      <w:p>
                        <w:pPr>
                          <w:pStyle w:val="TableParagraph"/>
                          <w:spacing w:before="20"/>
                          <w:ind w:left="133" w:right="133"/>
                          <w:rPr>
                            <w:rFonts w:ascii="Times New Roman"/>
                            <w:sz w:val="21"/>
                          </w:rPr>
                        </w:pPr>
                        <w:r>
                          <w:rPr>
                            <w:rFonts w:ascii="Times New Roman"/>
                            <w:sz w:val="21"/>
                          </w:rPr>
                          <w:t>2.1</w:t>
                        </w:r>
                      </w:p>
                    </w:tc>
                    <w:tc>
                      <w:tcPr>
                        <w:tcW w:w="995" w:type="dxa"/>
                      </w:tcPr>
                      <w:p>
                        <w:pPr>
                          <w:pStyle w:val="TableParagraph"/>
                          <w:spacing w:before="20"/>
                          <w:rPr>
                            <w:rFonts w:ascii="Times New Roman"/>
                            <w:sz w:val="21"/>
                          </w:rPr>
                        </w:pPr>
                        <w:r>
                          <w:rPr>
                            <w:rFonts w:ascii="Times New Roman"/>
                            <w:w w:val="100"/>
                            <w:sz w:val="21"/>
                          </w:rPr>
                          <w:t>3</w:t>
                        </w:r>
                      </w:p>
                    </w:tc>
                    <w:tc>
                      <w:tcPr>
                        <w:tcW w:w="670" w:type="dxa"/>
                      </w:tcPr>
                      <w:p>
                        <w:pPr>
                          <w:pStyle w:val="TableParagraph"/>
                          <w:spacing w:line="257" w:lineRule="exact" w:before="6"/>
                          <w:ind w:right="120"/>
                          <w:jc w:val="right"/>
                          <w:rPr>
                            <w:sz w:val="21"/>
                          </w:rPr>
                        </w:pPr>
                        <w:r>
                          <w:rPr>
                            <w:sz w:val="21"/>
                          </w:rPr>
                          <w:t>达标</w:t>
                        </w:r>
                      </w:p>
                    </w:tc>
                  </w:tr>
                  <w:tr>
                    <w:trPr>
                      <w:trHeight w:val="282" w:hRule="atLeast"/>
                    </w:trPr>
                    <w:tc>
                      <w:tcPr>
                        <w:tcW w:w="2076" w:type="dxa"/>
                      </w:tcPr>
                      <w:p>
                        <w:pPr>
                          <w:pStyle w:val="TableParagraph"/>
                          <w:spacing w:line="255" w:lineRule="exact" w:before="8"/>
                          <w:ind w:left="14" w:right="10"/>
                          <w:rPr>
                            <w:sz w:val="21"/>
                          </w:rPr>
                        </w:pPr>
                        <w:r>
                          <w:rPr>
                            <w:sz w:val="21"/>
                          </w:rPr>
                          <w:t>肉眼可见物 无量纲</w:t>
                        </w:r>
                      </w:p>
                    </w:tc>
                    <w:tc>
                      <w:tcPr>
                        <w:tcW w:w="1201" w:type="dxa"/>
                      </w:tcPr>
                      <w:p>
                        <w:pPr>
                          <w:pStyle w:val="TableParagraph"/>
                          <w:spacing w:line="255" w:lineRule="exact" w:before="8"/>
                          <w:ind w:right="1"/>
                          <w:rPr>
                            <w:sz w:val="21"/>
                          </w:rPr>
                        </w:pPr>
                        <w:r>
                          <w:rPr>
                            <w:w w:val="100"/>
                            <w:sz w:val="21"/>
                          </w:rPr>
                          <w:t>无</w:t>
                        </w:r>
                      </w:p>
                    </w:tc>
                    <w:tc>
                      <w:tcPr>
                        <w:tcW w:w="908" w:type="dxa"/>
                      </w:tcPr>
                      <w:p>
                        <w:pPr>
                          <w:pStyle w:val="TableParagraph"/>
                          <w:spacing w:line="255" w:lineRule="exact" w:before="8"/>
                          <w:ind w:left="3"/>
                          <w:rPr>
                            <w:sz w:val="21"/>
                          </w:rPr>
                        </w:pPr>
                        <w:r>
                          <w:rPr>
                            <w:w w:val="100"/>
                            <w:sz w:val="21"/>
                          </w:rPr>
                          <w:t>无</w:t>
                        </w:r>
                      </w:p>
                    </w:tc>
                    <w:tc>
                      <w:tcPr>
                        <w:tcW w:w="1312" w:type="dxa"/>
                      </w:tcPr>
                      <w:p>
                        <w:pPr>
                          <w:pStyle w:val="TableParagraph"/>
                          <w:spacing w:line="255" w:lineRule="exact" w:before="8"/>
                          <w:rPr>
                            <w:sz w:val="21"/>
                          </w:rPr>
                        </w:pPr>
                        <w:r>
                          <w:rPr>
                            <w:w w:val="100"/>
                            <w:sz w:val="21"/>
                          </w:rPr>
                          <w:t>无</w:t>
                        </w:r>
                      </w:p>
                    </w:tc>
                    <w:tc>
                      <w:tcPr>
                        <w:tcW w:w="1136" w:type="dxa"/>
                      </w:tcPr>
                      <w:p>
                        <w:pPr>
                          <w:pStyle w:val="TableParagraph"/>
                          <w:spacing w:line="255" w:lineRule="exact" w:before="8"/>
                          <w:ind w:right="1"/>
                          <w:rPr>
                            <w:sz w:val="21"/>
                          </w:rPr>
                        </w:pPr>
                        <w:r>
                          <w:rPr>
                            <w:w w:val="100"/>
                            <w:sz w:val="21"/>
                          </w:rPr>
                          <w:t>无</w:t>
                        </w:r>
                      </w:p>
                    </w:tc>
                    <w:tc>
                      <w:tcPr>
                        <w:tcW w:w="994" w:type="dxa"/>
                      </w:tcPr>
                      <w:p>
                        <w:pPr>
                          <w:pStyle w:val="TableParagraph"/>
                          <w:spacing w:line="255" w:lineRule="exact" w:before="8"/>
                          <w:rPr>
                            <w:sz w:val="21"/>
                          </w:rPr>
                        </w:pPr>
                        <w:r>
                          <w:rPr>
                            <w:w w:val="100"/>
                            <w:sz w:val="21"/>
                          </w:rPr>
                          <w:t>无</w:t>
                        </w:r>
                      </w:p>
                    </w:tc>
                    <w:tc>
                      <w:tcPr>
                        <w:tcW w:w="995" w:type="dxa"/>
                      </w:tcPr>
                      <w:p>
                        <w:pPr>
                          <w:pStyle w:val="TableParagraph"/>
                          <w:spacing w:line="255" w:lineRule="exact" w:before="8"/>
                          <w:rPr>
                            <w:sz w:val="21"/>
                          </w:rPr>
                        </w:pPr>
                        <w:r>
                          <w:rPr>
                            <w:w w:val="100"/>
                            <w:sz w:val="21"/>
                          </w:rPr>
                          <w:t>无</w:t>
                        </w:r>
                      </w:p>
                    </w:tc>
                    <w:tc>
                      <w:tcPr>
                        <w:tcW w:w="670" w:type="dxa"/>
                      </w:tcPr>
                      <w:p>
                        <w:pPr>
                          <w:pStyle w:val="TableParagraph"/>
                          <w:spacing w:line="255" w:lineRule="exact" w:before="8"/>
                          <w:ind w:right="120"/>
                          <w:jc w:val="right"/>
                          <w:rPr>
                            <w:sz w:val="21"/>
                          </w:rPr>
                        </w:pPr>
                        <w:r>
                          <w:rPr>
                            <w:sz w:val="21"/>
                          </w:rPr>
                          <w:t>达标</w:t>
                        </w:r>
                      </w:p>
                    </w:tc>
                  </w:tr>
                  <w:tr>
                    <w:trPr>
                      <w:trHeight w:val="285" w:hRule="atLeast"/>
                    </w:trPr>
                    <w:tc>
                      <w:tcPr>
                        <w:tcW w:w="2076" w:type="dxa"/>
                      </w:tcPr>
                      <w:p>
                        <w:pPr>
                          <w:pStyle w:val="TableParagraph"/>
                          <w:spacing w:line="257" w:lineRule="exact" w:before="8"/>
                          <w:ind w:left="14" w:right="10"/>
                          <w:rPr>
                            <w:rFonts w:ascii="Times New Roman" w:eastAsia="Times New Roman"/>
                            <w:sz w:val="21"/>
                          </w:rPr>
                        </w:pPr>
                        <w:r>
                          <w:rPr>
                            <w:sz w:val="21"/>
                          </w:rPr>
                          <w:t>总硬度 </w:t>
                        </w:r>
                        <w:r>
                          <w:rPr>
                            <w:rFonts w:ascii="Times New Roman" w:eastAsia="Times New Roman"/>
                            <w:sz w:val="21"/>
                          </w:rPr>
                          <w:t>mg/L</w:t>
                        </w:r>
                      </w:p>
                    </w:tc>
                    <w:tc>
                      <w:tcPr>
                        <w:tcW w:w="1201" w:type="dxa"/>
                      </w:tcPr>
                      <w:p>
                        <w:pPr>
                          <w:pStyle w:val="TableParagraph"/>
                          <w:spacing w:before="22"/>
                          <w:ind w:left="184" w:right="181"/>
                          <w:rPr>
                            <w:rFonts w:ascii="Times New Roman"/>
                            <w:b/>
                            <w:sz w:val="21"/>
                          </w:rPr>
                        </w:pPr>
                        <w:r>
                          <w:rPr>
                            <w:rFonts w:ascii="Times New Roman"/>
                            <w:b/>
                            <w:sz w:val="21"/>
                          </w:rPr>
                          <w:t>560</w:t>
                        </w:r>
                      </w:p>
                    </w:tc>
                    <w:tc>
                      <w:tcPr>
                        <w:tcW w:w="908" w:type="dxa"/>
                      </w:tcPr>
                      <w:p>
                        <w:pPr>
                          <w:pStyle w:val="TableParagraph"/>
                          <w:spacing w:before="22"/>
                          <w:ind w:left="90" w:right="87"/>
                          <w:rPr>
                            <w:rFonts w:ascii="Times New Roman"/>
                            <w:b/>
                            <w:sz w:val="21"/>
                          </w:rPr>
                        </w:pPr>
                        <w:r>
                          <w:rPr>
                            <w:rFonts w:ascii="Times New Roman"/>
                            <w:b/>
                            <w:sz w:val="21"/>
                          </w:rPr>
                          <w:t>503</w:t>
                        </w:r>
                      </w:p>
                    </w:tc>
                    <w:tc>
                      <w:tcPr>
                        <w:tcW w:w="1312" w:type="dxa"/>
                      </w:tcPr>
                      <w:p>
                        <w:pPr>
                          <w:pStyle w:val="TableParagraph"/>
                          <w:spacing w:before="22"/>
                          <w:ind w:left="423" w:right="423"/>
                          <w:rPr>
                            <w:rFonts w:ascii="Times New Roman"/>
                            <w:b/>
                            <w:sz w:val="21"/>
                          </w:rPr>
                        </w:pPr>
                        <w:r>
                          <w:rPr>
                            <w:rFonts w:ascii="Times New Roman"/>
                            <w:b/>
                            <w:sz w:val="21"/>
                          </w:rPr>
                          <w:t>495</w:t>
                        </w:r>
                      </w:p>
                    </w:tc>
                    <w:tc>
                      <w:tcPr>
                        <w:tcW w:w="1136" w:type="dxa"/>
                      </w:tcPr>
                      <w:p>
                        <w:pPr>
                          <w:pStyle w:val="TableParagraph"/>
                          <w:spacing w:before="22"/>
                          <w:ind w:left="102" w:right="101"/>
                          <w:rPr>
                            <w:rFonts w:ascii="Times New Roman"/>
                            <w:b/>
                            <w:sz w:val="21"/>
                          </w:rPr>
                        </w:pPr>
                        <w:r>
                          <w:rPr>
                            <w:rFonts w:ascii="Times New Roman"/>
                            <w:b/>
                            <w:sz w:val="21"/>
                          </w:rPr>
                          <w:t>456</w:t>
                        </w:r>
                      </w:p>
                    </w:tc>
                    <w:tc>
                      <w:tcPr>
                        <w:tcW w:w="994" w:type="dxa"/>
                      </w:tcPr>
                      <w:p>
                        <w:pPr>
                          <w:pStyle w:val="TableParagraph"/>
                          <w:spacing w:before="22"/>
                          <w:ind w:left="133" w:right="133"/>
                          <w:rPr>
                            <w:rFonts w:ascii="Times New Roman"/>
                            <w:b/>
                            <w:sz w:val="21"/>
                          </w:rPr>
                        </w:pPr>
                        <w:r>
                          <w:rPr>
                            <w:rFonts w:ascii="Times New Roman"/>
                            <w:b/>
                            <w:sz w:val="21"/>
                          </w:rPr>
                          <w:t>475</w:t>
                        </w:r>
                      </w:p>
                    </w:tc>
                    <w:tc>
                      <w:tcPr>
                        <w:tcW w:w="995" w:type="dxa"/>
                      </w:tcPr>
                      <w:p>
                        <w:pPr>
                          <w:pStyle w:val="TableParagraph"/>
                          <w:spacing w:before="22"/>
                          <w:ind w:left="155" w:right="155"/>
                          <w:rPr>
                            <w:rFonts w:ascii="Times New Roman"/>
                            <w:sz w:val="21"/>
                          </w:rPr>
                        </w:pPr>
                        <w:r>
                          <w:rPr>
                            <w:rFonts w:ascii="Times New Roman"/>
                            <w:sz w:val="21"/>
                          </w:rPr>
                          <w:t>450</w:t>
                        </w:r>
                      </w:p>
                    </w:tc>
                    <w:tc>
                      <w:tcPr>
                        <w:tcW w:w="670" w:type="dxa"/>
                      </w:tcPr>
                      <w:p>
                        <w:pPr>
                          <w:pStyle w:val="TableParagraph"/>
                          <w:spacing w:line="257" w:lineRule="exact" w:before="8"/>
                          <w:ind w:right="122"/>
                          <w:jc w:val="right"/>
                          <w:rPr>
                            <w:b/>
                            <w:sz w:val="21"/>
                          </w:rPr>
                        </w:pPr>
                        <w:r>
                          <w:rPr>
                            <w:b/>
                            <w:sz w:val="21"/>
                          </w:rPr>
                          <w:t>超标</w:t>
                        </w:r>
                      </w:p>
                    </w:tc>
                  </w:tr>
                  <w:tr>
                    <w:trPr>
                      <w:trHeight w:val="282" w:hRule="atLeast"/>
                    </w:trPr>
                    <w:tc>
                      <w:tcPr>
                        <w:tcW w:w="2076" w:type="dxa"/>
                      </w:tcPr>
                      <w:p>
                        <w:pPr>
                          <w:pStyle w:val="TableParagraph"/>
                          <w:spacing w:line="257" w:lineRule="exact" w:before="6"/>
                          <w:ind w:left="14" w:right="10"/>
                          <w:rPr>
                            <w:rFonts w:ascii="Times New Roman" w:eastAsia="Times New Roman"/>
                            <w:sz w:val="21"/>
                          </w:rPr>
                        </w:pPr>
                        <w:r>
                          <w:rPr>
                            <w:sz w:val="21"/>
                          </w:rPr>
                          <w:t>溶解性总固体 </w:t>
                        </w:r>
                        <w:r>
                          <w:rPr>
                            <w:rFonts w:ascii="Times New Roman" w:eastAsia="Times New Roman"/>
                            <w:sz w:val="21"/>
                          </w:rPr>
                          <w:t>mg/L</w:t>
                        </w:r>
                      </w:p>
                    </w:tc>
                    <w:tc>
                      <w:tcPr>
                        <w:tcW w:w="1201" w:type="dxa"/>
                      </w:tcPr>
                      <w:p>
                        <w:pPr>
                          <w:pStyle w:val="TableParagraph"/>
                          <w:spacing w:before="20"/>
                          <w:ind w:left="184" w:right="181"/>
                          <w:rPr>
                            <w:rFonts w:ascii="Times New Roman"/>
                            <w:b/>
                            <w:sz w:val="21"/>
                          </w:rPr>
                        </w:pPr>
                        <w:r>
                          <w:rPr>
                            <w:rFonts w:ascii="Times New Roman"/>
                            <w:b/>
                            <w:sz w:val="21"/>
                          </w:rPr>
                          <w:t>2358</w:t>
                        </w:r>
                      </w:p>
                    </w:tc>
                    <w:tc>
                      <w:tcPr>
                        <w:tcW w:w="908" w:type="dxa"/>
                      </w:tcPr>
                      <w:p>
                        <w:pPr>
                          <w:pStyle w:val="TableParagraph"/>
                          <w:spacing w:before="20"/>
                          <w:ind w:left="90" w:right="87"/>
                          <w:rPr>
                            <w:rFonts w:ascii="Times New Roman"/>
                            <w:b/>
                            <w:sz w:val="21"/>
                          </w:rPr>
                        </w:pPr>
                        <w:r>
                          <w:rPr>
                            <w:rFonts w:ascii="Times New Roman"/>
                            <w:b/>
                            <w:sz w:val="21"/>
                          </w:rPr>
                          <w:t>2344</w:t>
                        </w:r>
                      </w:p>
                    </w:tc>
                    <w:tc>
                      <w:tcPr>
                        <w:tcW w:w="1312" w:type="dxa"/>
                      </w:tcPr>
                      <w:p>
                        <w:pPr>
                          <w:pStyle w:val="TableParagraph"/>
                          <w:spacing w:before="20"/>
                          <w:ind w:left="423" w:right="423"/>
                          <w:rPr>
                            <w:rFonts w:ascii="Times New Roman"/>
                            <w:b/>
                            <w:sz w:val="21"/>
                          </w:rPr>
                        </w:pPr>
                        <w:r>
                          <w:rPr>
                            <w:rFonts w:ascii="Times New Roman"/>
                            <w:b/>
                            <w:sz w:val="21"/>
                          </w:rPr>
                          <w:t>1998</w:t>
                        </w:r>
                      </w:p>
                    </w:tc>
                    <w:tc>
                      <w:tcPr>
                        <w:tcW w:w="1136" w:type="dxa"/>
                      </w:tcPr>
                      <w:p>
                        <w:pPr>
                          <w:pStyle w:val="TableParagraph"/>
                          <w:spacing w:before="20"/>
                          <w:ind w:left="102" w:right="101"/>
                          <w:rPr>
                            <w:rFonts w:ascii="Times New Roman"/>
                            <w:b/>
                            <w:sz w:val="21"/>
                          </w:rPr>
                        </w:pPr>
                        <w:r>
                          <w:rPr>
                            <w:rFonts w:ascii="Times New Roman"/>
                            <w:b/>
                            <w:sz w:val="21"/>
                          </w:rPr>
                          <w:t>2496</w:t>
                        </w:r>
                      </w:p>
                    </w:tc>
                    <w:tc>
                      <w:tcPr>
                        <w:tcW w:w="994" w:type="dxa"/>
                      </w:tcPr>
                      <w:p>
                        <w:pPr>
                          <w:pStyle w:val="TableParagraph"/>
                          <w:spacing w:before="20"/>
                          <w:ind w:left="133" w:right="133"/>
                          <w:rPr>
                            <w:rFonts w:ascii="Times New Roman"/>
                            <w:b/>
                            <w:sz w:val="21"/>
                          </w:rPr>
                        </w:pPr>
                        <w:r>
                          <w:rPr>
                            <w:rFonts w:ascii="Times New Roman"/>
                            <w:b/>
                            <w:sz w:val="21"/>
                          </w:rPr>
                          <w:t>1900</w:t>
                        </w:r>
                      </w:p>
                    </w:tc>
                    <w:tc>
                      <w:tcPr>
                        <w:tcW w:w="995" w:type="dxa"/>
                      </w:tcPr>
                      <w:p>
                        <w:pPr>
                          <w:pStyle w:val="TableParagraph"/>
                          <w:spacing w:before="20"/>
                          <w:ind w:left="154" w:right="155"/>
                          <w:rPr>
                            <w:rFonts w:ascii="Times New Roman"/>
                            <w:sz w:val="21"/>
                          </w:rPr>
                        </w:pPr>
                        <w:r>
                          <w:rPr>
                            <w:rFonts w:ascii="Times New Roman"/>
                            <w:sz w:val="21"/>
                          </w:rPr>
                          <w:t>1000</w:t>
                        </w:r>
                      </w:p>
                    </w:tc>
                    <w:tc>
                      <w:tcPr>
                        <w:tcW w:w="670" w:type="dxa"/>
                      </w:tcPr>
                      <w:p>
                        <w:pPr>
                          <w:pStyle w:val="TableParagraph"/>
                          <w:spacing w:line="257" w:lineRule="exact" w:before="6"/>
                          <w:ind w:right="122"/>
                          <w:jc w:val="right"/>
                          <w:rPr>
                            <w:b/>
                            <w:sz w:val="21"/>
                          </w:rPr>
                        </w:pPr>
                        <w:r>
                          <w:rPr>
                            <w:b/>
                            <w:sz w:val="21"/>
                          </w:rPr>
                          <w:t>超标</w:t>
                        </w:r>
                      </w:p>
                    </w:tc>
                  </w:tr>
                  <w:tr>
                    <w:trPr>
                      <w:trHeight w:val="285" w:hRule="atLeast"/>
                    </w:trPr>
                    <w:tc>
                      <w:tcPr>
                        <w:tcW w:w="2076" w:type="dxa"/>
                      </w:tcPr>
                      <w:p>
                        <w:pPr>
                          <w:pStyle w:val="TableParagraph"/>
                          <w:spacing w:line="257" w:lineRule="exact" w:before="8"/>
                          <w:ind w:left="14" w:right="10"/>
                          <w:rPr>
                            <w:rFonts w:ascii="Times New Roman" w:eastAsia="Times New Roman"/>
                            <w:sz w:val="21"/>
                          </w:rPr>
                        </w:pPr>
                        <w:r>
                          <w:rPr>
                            <w:sz w:val="21"/>
                          </w:rPr>
                          <w:t>硫酸盐 </w:t>
                        </w:r>
                        <w:r>
                          <w:rPr>
                            <w:rFonts w:ascii="Times New Roman" w:eastAsia="Times New Roman"/>
                            <w:sz w:val="21"/>
                          </w:rPr>
                          <w:t>mg/L</w:t>
                        </w:r>
                      </w:p>
                    </w:tc>
                    <w:tc>
                      <w:tcPr>
                        <w:tcW w:w="1201" w:type="dxa"/>
                      </w:tcPr>
                      <w:p>
                        <w:pPr>
                          <w:pStyle w:val="TableParagraph"/>
                          <w:spacing w:before="22"/>
                          <w:ind w:left="184" w:right="181"/>
                          <w:rPr>
                            <w:rFonts w:ascii="Times New Roman"/>
                            <w:sz w:val="21"/>
                          </w:rPr>
                        </w:pPr>
                        <w:r>
                          <w:rPr>
                            <w:rFonts w:ascii="Times New Roman"/>
                            <w:sz w:val="21"/>
                          </w:rPr>
                          <w:t>138</w:t>
                        </w:r>
                      </w:p>
                    </w:tc>
                    <w:tc>
                      <w:tcPr>
                        <w:tcW w:w="908" w:type="dxa"/>
                      </w:tcPr>
                      <w:p>
                        <w:pPr>
                          <w:pStyle w:val="TableParagraph"/>
                          <w:spacing w:before="22"/>
                          <w:ind w:left="92" w:right="87"/>
                          <w:rPr>
                            <w:rFonts w:ascii="Times New Roman"/>
                            <w:sz w:val="21"/>
                          </w:rPr>
                        </w:pPr>
                        <w:r>
                          <w:rPr>
                            <w:rFonts w:ascii="Times New Roman"/>
                            <w:sz w:val="21"/>
                          </w:rPr>
                          <w:t>118</w:t>
                        </w:r>
                      </w:p>
                    </w:tc>
                    <w:tc>
                      <w:tcPr>
                        <w:tcW w:w="1312" w:type="dxa"/>
                      </w:tcPr>
                      <w:p>
                        <w:pPr>
                          <w:pStyle w:val="TableParagraph"/>
                          <w:spacing w:before="22"/>
                          <w:ind w:left="423" w:right="423"/>
                          <w:rPr>
                            <w:rFonts w:ascii="Times New Roman"/>
                            <w:sz w:val="21"/>
                          </w:rPr>
                        </w:pPr>
                        <w:r>
                          <w:rPr>
                            <w:rFonts w:ascii="Times New Roman"/>
                            <w:sz w:val="21"/>
                          </w:rPr>
                          <w:t>176</w:t>
                        </w:r>
                      </w:p>
                    </w:tc>
                    <w:tc>
                      <w:tcPr>
                        <w:tcW w:w="1136" w:type="dxa"/>
                      </w:tcPr>
                      <w:p>
                        <w:pPr>
                          <w:pStyle w:val="TableParagraph"/>
                          <w:spacing w:before="22"/>
                          <w:ind w:left="102" w:right="101"/>
                          <w:rPr>
                            <w:rFonts w:ascii="Times New Roman"/>
                            <w:sz w:val="21"/>
                          </w:rPr>
                        </w:pPr>
                        <w:r>
                          <w:rPr>
                            <w:rFonts w:ascii="Times New Roman"/>
                            <w:sz w:val="21"/>
                          </w:rPr>
                          <w:t>195</w:t>
                        </w:r>
                      </w:p>
                    </w:tc>
                    <w:tc>
                      <w:tcPr>
                        <w:tcW w:w="994" w:type="dxa"/>
                      </w:tcPr>
                      <w:p>
                        <w:pPr>
                          <w:pStyle w:val="TableParagraph"/>
                          <w:spacing w:before="22"/>
                          <w:ind w:left="133" w:right="133"/>
                          <w:rPr>
                            <w:rFonts w:ascii="Times New Roman"/>
                            <w:sz w:val="21"/>
                          </w:rPr>
                        </w:pPr>
                        <w:r>
                          <w:rPr>
                            <w:rFonts w:ascii="Times New Roman"/>
                            <w:sz w:val="21"/>
                          </w:rPr>
                          <w:t>134</w:t>
                        </w:r>
                      </w:p>
                    </w:tc>
                    <w:tc>
                      <w:tcPr>
                        <w:tcW w:w="995" w:type="dxa"/>
                      </w:tcPr>
                      <w:p>
                        <w:pPr>
                          <w:pStyle w:val="TableParagraph"/>
                          <w:spacing w:before="22"/>
                          <w:ind w:left="155" w:right="155"/>
                          <w:rPr>
                            <w:rFonts w:ascii="Times New Roman"/>
                            <w:sz w:val="21"/>
                          </w:rPr>
                        </w:pPr>
                        <w:r>
                          <w:rPr>
                            <w:rFonts w:ascii="Times New Roman"/>
                            <w:sz w:val="21"/>
                          </w:rPr>
                          <w:t>250</w:t>
                        </w:r>
                      </w:p>
                    </w:tc>
                    <w:tc>
                      <w:tcPr>
                        <w:tcW w:w="670" w:type="dxa"/>
                      </w:tcPr>
                      <w:p>
                        <w:pPr>
                          <w:pStyle w:val="TableParagraph"/>
                          <w:spacing w:line="257" w:lineRule="exact" w:before="8"/>
                          <w:ind w:right="120"/>
                          <w:jc w:val="right"/>
                          <w:rPr>
                            <w:sz w:val="21"/>
                          </w:rPr>
                        </w:pPr>
                        <w:r>
                          <w:rPr>
                            <w:sz w:val="21"/>
                          </w:rPr>
                          <w:t>达标</w:t>
                        </w:r>
                      </w:p>
                    </w:tc>
                  </w:tr>
                  <w:tr>
                    <w:trPr>
                      <w:trHeight w:val="282" w:hRule="atLeast"/>
                    </w:trPr>
                    <w:tc>
                      <w:tcPr>
                        <w:tcW w:w="2076" w:type="dxa"/>
                      </w:tcPr>
                      <w:p>
                        <w:pPr>
                          <w:pStyle w:val="TableParagraph"/>
                          <w:spacing w:line="257" w:lineRule="exact" w:before="6"/>
                          <w:ind w:left="14" w:right="10"/>
                          <w:rPr>
                            <w:rFonts w:ascii="Times New Roman" w:eastAsia="Times New Roman"/>
                            <w:sz w:val="21"/>
                          </w:rPr>
                        </w:pPr>
                        <w:r>
                          <w:rPr>
                            <w:sz w:val="21"/>
                          </w:rPr>
                          <w:t>氯化物 </w:t>
                        </w:r>
                        <w:r>
                          <w:rPr>
                            <w:rFonts w:ascii="Times New Roman" w:eastAsia="Times New Roman"/>
                            <w:sz w:val="21"/>
                          </w:rPr>
                          <w:t>mg/L</w:t>
                        </w:r>
                      </w:p>
                    </w:tc>
                    <w:tc>
                      <w:tcPr>
                        <w:tcW w:w="1201" w:type="dxa"/>
                      </w:tcPr>
                      <w:p>
                        <w:pPr>
                          <w:pStyle w:val="TableParagraph"/>
                          <w:spacing w:before="20"/>
                          <w:ind w:left="184" w:right="181"/>
                          <w:rPr>
                            <w:rFonts w:ascii="Times New Roman"/>
                            <w:b/>
                            <w:sz w:val="21"/>
                          </w:rPr>
                        </w:pPr>
                        <w:r>
                          <w:rPr>
                            <w:rFonts w:ascii="Times New Roman"/>
                            <w:b/>
                            <w:sz w:val="21"/>
                          </w:rPr>
                          <w:t>768</w:t>
                        </w:r>
                      </w:p>
                    </w:tc>
                    <w:tc>
                      <w:tcPr>
                        <w:tcW w:w="908" w:type="dxa"/>
                      </w:tcPr>
                      <w:p>
                        <w:pPr>
                          <w:pStyle w:val="TableParagraph"/>
                          <w:spacing w:before="20"/>
                          <w:ind w:left="90" w:right="87"/>
                          <w:rPr>
                            <w:rFonts w:ascii="Times New Roman"/>
                            <w:b/>
                            <w:sz w:val="21"/>
                          </w:rPr>
                        </w:pPr>
                        <w:r>
                          <w:rPr>
                            <w:rFonts w:ascii="Times New Roman"/>
                            <w:b/>
                            <w:sz w:val="21"/>
                          </w:rPr>
                          <w:t>630</w:t>
                        </w:r>
                      </w:p>
                    </w:tc>
                    <w:tc>
                      <w:tcPr>
                        <w:tcW w:w="1312" w:type="dxa"/>
                      </w:tcPr>
                      <w:p>
                        <w:pPr>
                          <w:pStyle w:val="TableParagraph"/>
                          <w:spacing w:before="20"/>
                          <w:ind w:left="423" w:right="423"/>
                          <w:rPr>
                            <w:rFonts w:ascii="Times New Roman"/>
                            <w:b/>
                            <w:sz w:val="21"/>
                          </w:rPr>
                        </w:pPr>
                        <w:r>
                          <w:rPr>
                            <w:rFonts w:ascii="Times New Roman"/>
                            <w:b/>
                            <w:sz w:val="21"/>
                          </w:rPr>
                          <w:t>535</w:t>
                        </w:r>
                      </w:p>
                    </w:tc>
                    <w:tc>
                      <w:tcPr>
                        <w:tcW w:w="1136" w:type="dxa"/>
                      </w:tcPr>
                      <w:p>
                        <w:pPr>
                          <w:pStyle w:val="TableParagraph"/>
                          <w:spacing w:before="20"/>
                          <w:ind w:left="102" w:right="101"/>
                          <w:rPr>
                            <w:rFonts w:ascii="Times New Roman"/>
                            <w:b/>
                            <w:sz w:val="21"/>
                          </w:rPr>
                        </w:pPr>
                        <w:r>
                          <w:rPr>
                            <w:rFonts w:ascii="Times New Roman"/>
                            <w:b/>
                            <w:sz w:val="21"/>
                          </w:rPr>
                          <w:t>722</w:t>
                        </w:r>
                      </w:p>
                    </w:tc>
                    <w:tc>
                      <w:tcPr>
                        <w:tcW w:w="994" w:type="dxa"/>
                      </w:tcPr>
                      <w:p>
                        <w:pPr>
                          <w:pStyle w:val="TableParagraph"/>
                          <w:spacing w:before="20"/>
                          <w:ind w:left="133" w:right="133"/>
                          <w:rPr>
                            <w:rFonts w:ascii="Times New Roman"/>
                            <w:b/>
                            <w:sz w:val="21"/>
                          </w:rPr>
                        </w:pPr>
                        <w:r>
                          <w:rPr>
                            <w:rFonts w:ascii="Times New Roman"/>
                            <w:b/>
                            <w:sz w:val="21"/>
                          </w:rPr>
                          <w:t>752</w:t>
                        </w:r>
                      </w:p>
                    </w:tc>
                    <w:tc>
                      <w:tcPr>
                        <w:tcW w:w="995" w:type="dxa"/>
                      </w:tcPr>
                      <w:p>
                        <w:pPr>
                          <w:pStyle w:val="TableParagraph"/>
                          <w:spacing w:before="20"/>
                          <w:ind w:left="155" w:right="155"/>
                          <w:rPr>
                            <w:rFonts w:ascii="Times New Roman"/>
                            <w:sz w:val="21"/>
                          </w:rPr>
                        </w:pPr>
                        <w:r>
                          <w:rPr>
                            <w:rFonts w:ascii="Times New Roman"/>
                            <w:sz w:val="21"/>
                          </w:rPr>
                          <w:t>250</w:t>
                        </w:r>
                      </w:p>
                    </w:tc>
                    <w:tc>
                      <w:tcPr>
                        <w:tcW w:w="670" w:type="dxa"/>
                      </w:tcPr>
                      <w:p>
                        <w:pPr>
                          <w:pStyle w:val="TableParagraph"/>
                          <w:spacing w:line="257" w:lineRule="exact" w:before="6"/>
                          <w:ind w:right="122"/>
                          <w:jc w:val="right"/>
                          <w:rPr>
                            <w:b/>
                            <w:sz w:val="21"/>
                          </w:rPr>
                        </w:pPr>
                        <w:r>
                          <w:rPr>
                            <w:b/>
                            <w:sz w:val="21"/>
                          </w:rPr>
                          <w:t>超标</w:t>
                        </w:r>
                      </w:p>
                    </w:tc>
                  </w:tr>
                  <w:tr>
                    <w:trPr>
                      <w:trHeight w:val="285" w:hRule="atLeast"/>
                    </w:trPr>
                    <w:tc>
                      <w:tcPr>
                        <w:tcW w:w="2076" w:type="dxa"/>
                      </w:tcPr>
                      <w:p>
                        <w:pPr>
                          <w:pStyle w:val="TableParagraph"/>
                          <w:spacing w:line="257" w:lineRule="exact" w:before="8"/>
                          <w:ind w:left="14" w:right="10"/>
                          <w:rPr>
                            <w:rFonts w:ascii="Times New Roman" w:hAnsi="Times New Roman" w:eastAsia="Times New Roman"/>
                            <w:sz w:val="21"/>
                          </w:rPr>
                        </w:pPr>
                        <w:r>
                          <w:rPr>
                            <w:sz w:val="21"/>
                          </w:rPr>
                          <w:t>砷 </w:t>
                        </w:r>
                        <w:r>
                          <w:rPr>
                            <w:rFonts w:ascii="Times New Roman" w:hAnsi="Times New Roman" w:eastAsia="Times New Roman"/>
                            <w:sz w:val="21"/>
                          </w:rPr>
                          <w:t>μg/L</w:t>
                        </w:r>
                      </w:p>
                    </w:tc>
                    <w:tc>
                      <w:tcPr>
                        <w:tcW w:w="1201" w:type="dxa"/>
                      </w:tcPr>
                      <w:p>
                        <w:pPr>
                          <w:pStyle w:val="TableParagraph"/>
                          <w:spacing w:before="22"/>
                          <w:ind w:left="184" w:right="181"/>
                          <w:rPr>
                            <w:rFonts w:ascii="Times New Roman"/>
                            <w:sz w:val="21"/>
                          </w:rPr>
                        </w:pPr>
                        <w:r>
                          <w:rPr>
                            <w:rFonts w:ascii="Times New Roman"/>
                            <w:sz w:val="21"/>
                          </w:rPr>
                          <w:t>0.96</w:t>
                        </w:r>
                      </w:p>
                    </w:tc>
                    <w:tc>
                      <w:tcPr>
                        <w:tcW w:w="908" w:type="dxa"/>
                      </w:tcPr>
                      <w:p>
                        <w:pPr>
                          <w:pStyle w:val="TableParagraph"/>
                          <w:spacing w:before="22"/>
                          <w:ind w:left="90" w:right="87"/>
                          <w:rPr>
                            <w:rFonts w:ascii="Times New Roman"/>
                            <w:sz w:val="21"/>
                          </w:rPr>
                        </w:pPr>
                        <w:r>
                          <w:rPr>
                            <w:rFonts w:ascii="Times New Roman"/>
                            <w:sz w:val="21"/>
                          </w:rPr>
                          <w:t>1.03</w:t>
                        </w:r>
                      </w:p>
                    </w:tc>
                    <w:tc>
                      <w:tcPr>
                        <w:tcW w:w="1312" w:type="dxa"/>
                      </w:tcPr>
                      <w:p>
                        <w:pPr>
                          <w:pStyle w:val="TableParagraph"/>
                          <w:spacing w:before="22"/>
                          <w:ind w:left="423" w:right="423"/>
                          <w:rPr>
                            <w:rFonts w:ascii="Times New Roman"/>
                            <w:sz w:val="21"/>
                          </w:rPr>
                        </w:pPr>
                        <w:r>
                          <w:rPr>
                            <w:rFonts w:ascii="Times New Roman"/>
                            <w:sz w:val="21"/>
                          </w:rPr>
                          <w:t>0.69</w:t>
                        </w:r>
                      </w:p>
                    </w:tc>
                    <w:tc>
                      <w:tcPr>
                        <w:tcW w:w="1136" w:type="dxa"/>
                      </w:tcPr>
                      <w:p>
                        <w:pPr>
                          <w:pStyle w:val="TableParagraph"/>
                          <w:spacing w:before="22"/>
                          <w:ind w:left="102" w:right="101"/>
                          <w:rPr>
                            <w:rFonts w:ascii="Times New Roman"/>
                            <w:sz w:val="21"/>
                          </w:rPr>
                        </w:pPr>
                        <w:r>
                          <w:rPr>
                            <w:rFonts w:ascii="Times New Roman"/>
                            <w:sz w:val="21"/>
                          </w:rPr>
                          <w:t>0.91</w:t>
                        </w:r>
                      </w:p>
                    </w:tc>
                    <w:tc>
                      <w:tcPr>
                        <w:tcW w:w="994" w:type="dxa"/>
                      </w:tcPr>
                      <w:p>
                        <w:pPr>
                          <w:pStyle w:val="TableParagraph"/>
                          <w:spacing w:before="22"/>
                          <w:ind w:left="133" w:right="133"/>
                          <w:rPr>
                            <w:rFonts w:ascii="Times New Roman"/>
                            <w:sz w:val="21"/>
                          </w:rPr>
                        </w:pPr>
                        <w:r>
                          <w:rPr>
                            <w:rFonts w:ascii="Times New Roman"/>
                            <w:sz w:val="21"/>
                          </w:rPr>
                          <w:t>1.07</w:t>
                        </w:r>
                      </w:p>
                    </w:tc>
                    <w:tc>
                      <w:tcPr>
                        <w:tcW w:w="995" w:type="dxa"/>
                      </w:tcPr>
                      <w:p>
                        <w:pPr>
                          <w:pStyle w:val="TableParagraph"/>
                          <w:spacing w:before="22"/>
                          <w:ind w:left="155" w:right="155"/>
                          <w:rPr>
                            <w:rFonts w:ascii="Times New Roman"/>
                            <w:sz w:val="21"/>
                          </w:rPr>
                        </w:pPr>
                        <w:r>
                          <w:rPr>
                            <w:rFonts w:ascii="Times New Roman"/>
                            <w:sz w:val="21"/>
                          </w:rPr>
                          <w:t>10</w:t>
                        </w:r>
                      </w:p>
                    </w:tc>
                    <w:tc>
                      <w:tcPr>
                        <w:tcW w:w="670" w:type="dxa"/>
                      </w:tcPr>
                      <w:p>
                        <w:pPr>
                          <w:pStyle w:val="TableParagraph"/>
                          <w:spacing w:line="257" w:lineRule="exact" w:before="8"/>
                          <w:ind w:right="120"/>
                          <w:jc w:val="right"/>
                          <w:rPr>
                            <w:sz w:val="21"/>
                          </w:rPr>
                        </w:pPr>
                        <w:r>
                          <w:rPr>
                            <w:sz w:val="21"/>
                          </w:rPr>
                          <w:t>达标</w:t>
                        </w:r>
                      </w:p>
                    </w:tc>
                  </w:tr>
                  <w:tr>
                    <w:trPr>
                      <w:trHeight w:val="283" w:hRule="atLeast"/>
                    </w:trPr>
                    <w:tc>
                      <w:tcPr>
                        <w:tcW w:w="2076" w:type="dxa"/>
                      </w:tcPr>
                      <w:p>
                        <w:pPr>
                          <w:pStyle w:val="TableParagraph"/>
                          <w:spacing w:line="257" w:lineRule="exact" w:before="6"/>
                          <w:ind w:left="14" w:right="10"/>
                          <w:rPr>
                            <w:rFonts w:ascii="Times New Roman" w:hAnsi="Times New Roman" w:eastAsia="Times New Roman"/>
                            <w:sz w:val="21"/>
                          </w:rPr>
                        </w:pPr>
                        <w:r>
                          <w:rPr>
                            <w:sz w:val="21"/>
                          </w:rPr>
                          <w:t>汞 </w:t>
                        </w:r>
                        <w:r>
                          <w:rPr>
                            <w:rFonts w:ascii="Times New Roman" w:hAnsi="Times New Roman" w:eastAsia="Times New Roman"/>
                            <w:sz w:val="21"/>
                          </w:rPr>
                          <w:t>μg/L</w:t>
                        </w:r>
                      </w:p>
                    </w:tc>
                    <w:tc>
                      <w:tcPr>
                        <w:tcW w:w="1201" w:type="dxa"/>
                      </w:tcPr>
                      <w:p>
                        <w:pPr>
                          <w:pStyle w:val="TableParagraph"/>
                          <w:spacing w:line="257" w:lineRule="exact" w:before="6"/>
                          <w:ind w:left="184" w:right="183"/>
                          <w:rPr>
                            <w:rFonts w:ascii="Times New Roman" w:eastAsia="Times New Roman"/>
                            <w:sz w:val="21"/>
                          </w:rPr>
                        </w:pPr>
                        <w:r>
                          <w:rPr>
                            <w:sz w:val="21"/>
                          </w:rPr>
                          <w:t>＜</w:t>
                        </w:r>
                        <w:r>
                          <w:rPr>
                            <w:rFonts w:ascii="Times New Roman" w:eastAsia="Times New Roman"/>
                            <w:sz w:val="21"/>
                          </w:rPr>
                          <w:t>0.025</w:t>
                        </w:r>
                      </w:p>
                    </w:tc>
                    <w:tc>
                      <w:tcPr>
                        <w:tcW w:w="908" w:type="dxa"/>
                      </w:tcPr>
                      <w:p>
                        <w:pPr>
                          <w:pStyle w:val="TableParagraph"/>
                          <w:spacing w:line="257" w:lineRule="exact" w:before="6"/>
                          <w:ind w:left="92" w:right="87"/>
                          <w:rPr>
                            <w:rFonts w:ascii="Times New Roman" w:eastAsia="Times New Roman"/>
                            <w:sz w:val="21"/>
                          </w:rPr>
                        </w:pPr>
                        <w:r>
                          <w:rPr>
                            <w:sz w:val="21"/>
                          </w:rPr>
                          <w:t>＜</w:t>
                        </w:r>
                        <w:r>
                          <w:rPr>
                            <w:rFonts w:ascii="Times New Roman" w:eastAsia="Times New Roman"/>
                            <w:sz w:val="21"/>
                          </w:rPr>
                          <w:t>0.025</w:t>
                        </w:r>
                      </w:p>
                    </w:tc>
                    <w:tc>
                      <w:tcPr>
                        <w:tcW w:w="1312" w:type="dxa"/>
                      </w:tcPr>
                      <w:p>
                        <w:pPr>
                          <w:pStyle w:val="TableParagraph"/>
                          <w:spacing w:line="257" w:lineRule="exact" w:before="6"/>
                          <w:ind w:right="307"/>
                          <w:jc w:val="right"/>
                          <w:rPr>
                            <w:rFonts w:ascii="Times New Roman" w:eastAsia="Times New Roman"/>
                            <w:sz w:val="21"/>
                          </w:rPr>
                        </w:pPr>
                        <w:r>
                          <w:rPr>
                            <w:sz w:val="21"/>
                          </w:rPr>
                          <w:t>＜</w:t>
                        </w:r>
                        <w:r>
                          <w:rPr>
                            <w:rFonts w:ascii="Times New Roman" w:eastAsia="Times New Roman"/>
                            <w:sz w:val="21"/>
                          </w:rPr>
                          <w:t>0.025</w:t>
                        </w:r>
                      </w:p>
                    </w:tc>
                    <w:tc>
                      <w:tcPr>
                        <w:tcW w:w="1136" w:type="dxa"/>
                      </w:tcPr>
                      <w:p>
                        <w:pPr>
                          <w:pStyle w:val="TableParagraph"/>
                          <w:spacing w:line="257" w:lineRule="exact" w:before="6"/>
                          <w:ind w:left="101" w:right="101"/>
                          <w:rPr>
                            <w:rFonts w:ascii="Times New Roman" w:eastAsia="Times New Roman"/>
                            <w:sz w:val="21"/>
                          </w:rPr>
                        </w:pPr>
                        <w:r>
                          <w:rPr>
                            <w:sz w:val="21"/>
                          </w:rPr>
                          <w:t>＜</w:t>
                        </w:r>
                        <w:r>
                          <w:rPr>
                            <w:rFonts w:ascii="Times New Roman" w:eastAsia="Times New Roman"/>
                            <w:sz w:val="21"/>
                          </w:rPr>
                          <w:t>0.025</w:t>
                        </w:r>
                      </w:p>
                    </w:tc>
                    <w:tc>
                      <w:tcPr>
                        <w:tcW w:w="994" w:type="dxa"/>
                      </w:tcPr>
                      <w:p>
                        <w:pPr>
                          <w:pStyle w:val="TableParagraph"/>
                          <w:spacing w:line="257" w:lineRule="exact" w:before="6"/>
                          <w:ind w:left="133" w:right="133"/>
                          <w:rPr>
                            <w:rFonts w:ascii="Times New Roman" w:eastAsia="Times New Roman"/>
                            <w:sz w:val="21"/>
                          </w:rPr>
                        </w:pPr>
                        <w:r>
                          <w:rPr>
                            <w:sz w:val="21"/>
                          </w:rPr>
                          <w:t>＜</w:t>
                        </w:r>
                        <w:r>
                          <w:rPr>
                            <w:rFonts w:ascii="Times New Roman" w:eastAsia="Times New Roman"/>
                            <w:sz w:val="21"/>
                          </w:rPr>
                          <w:t>0.025</w:t>
                        </w:r>
                      </w:p>
                    </w:tc>
                    <w:tc>
                      <w:tcPr>
                        <w:tcW w:w="995" w:type="dxa"/>
                      </w:tcPr>
                      <w:p>
                        <w:pPr>
                          <w:pStyle w:val="TableParagraph"/>
                          <w:spacing w:before="20"/>
                          <w:rPr>
                            <w:rFonts w:ascii="Times New Roman"/>
                            <w:sz w:val="21"/>
                          </w:rPr>
                        </w:pPr>
                        <w:r>
                          <w:rPr>
                            <w:rFonts w:ascii="Times New Roman"/>
                            <w:w w:val="100"/>
                            <w:sz w:val="21"/>
                          </w:rPr>
                          <w:t>1</w:t>
                        </w:r>
                      </w:p>
                    </w:tc>
                    <w:tc>
                      <w:tcPr>
                        <w:tcW w:w="670" w:type="dxa"/>
                      </w:tcPr>
                      <w:p>
                        <w:pPr>
                          <w:pStyle w:val="TableParagraph"/>
                          <w:spacing w:line="257" w:lineRule="exact" w:before="6"/>
                          <w:ind w:right="120"/>
                          <w:jc w:val="right"/>
                          <w:rPr>
                            <w:sz w:val="21"/>
                          </w:rPr>
                        </w:pPr>
                        <w:r>
                          <w:rPr>
                            <w:sz w:val="21"/>
                          </w:rPr>
                          <w:t>达标</w:t>
                        </w:r>
                      </w:p>
                    </w:tc>
                  </w:tr>
                  <w:tr>
                    <w:trPr>
                      <w:trHeight w:val="282" w:hRule="atLeast"/>
                    </w:trPr>
                    <w:tc>
                      <w:tcPr>
                        <w:tcW w:w="2076" w:type="dxa"/>
                      </w:tcPr>
                      <w:p>
                        <w:pPr>
                          <w:pStyle w:val="TableParagraph"/>
                          <w:spacing w:line="257" w:lineRule="exact" w:before="6"/>
                          <w:ind w:left="14" w:right="10"/>
                          <w:rPr>
                            <w:rFonts w:ascii="Times New Roman" w:hAnsi="Times New Roman" w:eastAsia="Times New Roman"/>
                            <w:sz w:val="21"/>
                          </w:rPr>
                        </w:pPr>
                        <w:r>
                          <w:rPr>
                            <w:sz w:val="21"/>
                          </w:rPr>
                          <w:t>镉 </w:t>
                        </w:r>
                        <w:r>
                          <w:rPr>
                            <w:rFonts w:ascii="Times New Roman" w:hAnsi="Times New Roman" w:eastAsia="Times New Roman"/>
                            <w:sz w:val="21"/>
                          </w:rPr>
                          <w:t>μg/L</w:t>
                        </w:r>
                      </w:p>
                    </w:tc>
                    <w:tc>
                      <w:tcPr>
                        <w:tcW w:w="1201" w:type="dxa"/>
                      </w:tcPr>
                      <w:p>
                        <w:pPr>
                          <w:pStyle w:val="TableParagraph"/>
                          <w:spacing w:line="257" w:lineRule="exact" w:before="6"/>
                          <w:ind w:left="184" w:right="181"/>
                          <w:rPr>
                            <w:rFonts w:ascii="Times New Roman" w:eastAsia="Times New Roman"/>
                            <w:sz w:val="21"/>
                          </w:rPr>
                        </w:pPr>
                        <w:r>
                          <w:rPr>
                            <w:sz w:val="21"/>
                          </w:rPr>
                          <w:t>＜</w:t>
                        </w:r>
                        <w:r>
                          <w:rPr>
                            <w:rFonts w:ascii="Times New Roman" w:eastAsia="Times New Roman"/>
                            <w:sz w:val="21"/>
                          </w:rPr>
                          <w:t>0.17</w:t>
                        </w:r>
                      </w:p>
                    </w:tc>
                    <w:tc>
                      <w:tcPr>
                        <w:tcW w:w="908" w:type="dxa"/>
                      </w:tcPr>
                      <w:p>
                        <w:pPr>
                          <w:pStyle w:val="TableParagraph"/>
                          <w:spacing w:line="257" w:lineRule="exact" w:before="6"/>
                          <w:ind w:left="90" w:right="87"/>
                          <w:rPr>
                            <w:rFonts w:ascii="Times New Roman" w:eastAsia="Times New Roman"/>
                            <w:sz w:val="21"/>
                          </w:rPr>
                        </w:pPr>
                        <w:r>
                          <w:rPr>
                            <w:sz w:val="21"/>
                          </w:rPr>
                          <w:t>＜</w:t>
                        </w:r>
                        <w:r>
                          <w:rPr>
                            <w:rFonts w:ascii="Times New Roman" w:eastAsia="Times New Roman"/>
                            <w:sz w:val="21"/>
                          </w:rPr>
                          <w:t>0.17</w:t>
                        </w:r>
                      </w:p>
                    </w:tc>
                    <w:tc>
                      <w:tcPr>
                        <w:tcW w:w="1312" w:type="dxa"/>
                      </w:tcPr>
                      <w:p>
                        <w:pPr>
                          <w:pStyle w:val="TableParagraph"/>
                          <w:spacing w:line="257" w:lineRule="exact" w:before="6"/>
                          <w:ind w:right="360"/>
                          <w:jc w:val="right"/>
                          <w:rPr>
                            <w:rFonts w:ascii="Times New Roman" w:eastAsia="Times New Roman"/>
                            <w:sz w:val="21"/>
                          </w:rPr>
                        </w:pPr>
                        <w:r>
                          <w:rPr>
                            <w:sz w:val="21"/>
                          </w:rPr>
                          <w:t>＜</w:t>
                        </w:r>
                        <w:r>
                          <w:rPr>
                            <w:rFonts w:ascii="Times New Roman" w:eastAsia="Times New Roman"/>
                            <w:sz w:val="21"/>
                          </w:rPr>
                          <w:t>0.17</w:t>
                        </w:r>
                      </w:p>
                    </w:tc>
                    <w:tc>
                      <w:tcPr>
                        <w:tcW w:w="1136" w:type="dxa"/>
                      </w:tcPr>
                      <w:p>
                        <w:pPr>
                          <w:pStyle w:val="TableParagraph"/>
                          <w:spacing w:line="257" w:lineRule="exact" w:before="6"/>
                          <w:ind w:left="102" w:right="101"/>
                          <w:rPr>
                            <w:rFonts w:ascii="Times New Roman" w:eastAsia="Times New Roman"/>
                            <w:sz w:val="21"/>
                          </w:rPr>
                        </w:pPr>
                        <w:r>
                          <w:rPr>
                            <w:sz w:val="21"/>
                          </w:rPr>
                          <w:t>＜</w:t>
                        </w:r>
                        <w:r>
                          <w:rPr>
                            <w:rFonts w:ascii="Times New Roman" w:eastAsia="Times New Roman"/>
                            <w:sz w:val="21"/>
                          </w:rPr>
                          <w:t>0.17</w:t>
                        </w:r>
                      </w:p>
                    </w:tc>
                    <w:tc>
                      <w:tcPr>
                        <w:tcW w:w="994" w:type="dxa"/>
                      </w:tcPr>
                      <w:p>
                        <w:pPr>
                          <w:pStyle w:val="TableParagraph"/>
                          <w:spacing w:line="257" w:lineRule="exact" w:before="6"/>
                          <w:ind w:left="133" w:right="133"/>
                          <w:rPr>
                            <w:rFonts w:ascii="Times New Roman" w:eastAsia="Times New Roman"/>
                            <w:sz w:val="21"/>
                          </w:rPr>
                        </w:pPr>
                        <w:r>
                          <w:rPr>
                            <w:sz w:val="21"/>
                          </w:rPr>
                          <w:t>＜</w:t>
                        </w:r>
                        <w:r>
                          <w:rPr>
                            <w:rFonts w:ascii="Times New Roman" w:eastAsia="Times New Roman"/>
                            <w:sz w:val="21"/>
                          </w:rPr>
                          <w:t>0.17</w:t>
                        </w:r>
                      </w:p>
                    </w:tc>
                    <w:tc>
                      <w:tcPr>
                        <w:tcW w:w="995" w:type="dxa"/>
                      </w:tcPr>
                      <w:p>
                        <w:pPr>
                          <w:pStyle w:val="TableParagraph"/>
                          <w:spacing w:line="241" w:lineRule="exact" w:before="22"/>
                          <w:rPr>
                            <w:rFonts w:ascii="Times New Roman"/>
                            <w:sz w:val="21"/>
                          </w:rPr>
                        </w:pPr>
                        <w:r>
                          <w:rPr>
                            <w:rFonts w:ascii="Times New Roman"/>
                            <w:w w:val="100"/>
                            <w:sz w:val="21"/>
                          </w:rPr>
                          <w:t>5</w:t>
                        </w:r>
                      </w:p>
                    </w:tc>
                    <w:tc>
                      <w:tcPr>
                        <w:tcW w:w="670" w:type="dxa"/>
                      </w:tcPr>
                      <w:p>
                        <w:pPr>
                          <w:pStyle w:val="TableParagraph"/>
                          <w:spacing w:line="257" w:lineRule="exact" w:before="6"/>
                          <w:ind w:right="120"/>
                          <w:jc w:val="right"/>
                          <w:rPr>
                            <w:sz w:val="21"/>
                          </w:rPr>
                        </w:pPr>
                        <w:r>
                          <w:rPr>
                            <w:sz w:val="21"/>
                          </w:rPr>
                          <w:t>达标</w:t>
                        </w:r>
                      </w:p>
                    </w:tc>
                  </w:tr>
                  <w:tr>
                    <w:trPr>
                      <w:trHeight w:val="285" w:hRule="atLeast"/>
                    </w:trPr>
                    <w:tc>
                      <w:tcPr>
                        <w:tcW w:w="2076" w:type="dxa"/>
                      </w:tcPr>
                      <w:p>
                        <w:pPr>
                          <w:pStyle w:val="TableParagraph"/>
                          <w:spacing w:line="257" w:lineRule="exact" w:before="8"/>
                          <w:ind w:left="14" w:right="10"/>
                          <w:rPr>
                            <w:rFonts w:ascii="Times New Roman" w:eastAsia="Times New Roman"/>
                            <w:sz w:val="21"/>
                          </w:rPr>
                        </w:pPr>
                        <w:r>
                          <w:rPr>
                            <w:sz w:val="21"/>
                          </w:rPr>
                          <w:t>六价铬 </w:t>
                        </w:r>
                        <w:r>
                          <w:rPr>
                            <w:rFonts w:ascii="Times New Roman" w:eastAsia="Times New Roman"/>
                            <w:sz w:val="21"/>
                          </w:rPr>
                          <w:t>mg/L</w:t>
                        </w:r>
                      </w:p>
                    </w:tc>
                    <w:tc>
                      <w:tcPr>
                        <w:tcW w:w="1201" w:type="dxa"/>
                      </w:tcPr>
                      <w:p>
                        <w:pPr>
                          <w:pStyle w:val="TableParagraph"/>
                          <w:spacing w:line="257" w:lineRule="exact" w:before="8"/>
                          <w:ind w:left="184" w:right="183"/>
                          <w:rPr>
                            <w:rFonts w:ascii="Times New Roman" w:eastAsia="Times New Roman"/>
                            <w:sz w:val="21"/>
                          </w:rPr>
                        </w:pPr>
                        <w:r>
                          <w:rPr>
                            <w:sz w:val="21"/>
                          </w:rPr>
                          <w:t>＜</w:t>
                        </w:r>
                        <w:r>
                          <w:rPr>
                            <w:rFonts w:ascii="Times New Roman" w:eastAsia="Times New Roman"/>
                            <w:sz w:val="21"/>
                          </w:rPr>
                          <w:t>0.004</w:t>
                        </w:r>
                      </w:p>
                    </w:tc>
                    <w:tc>
                      <w:tcPr>
                        <w:tcW w:w="908" w:type="dxa"/>
                      </w:tcPr>
                      <w:p>
                        <w:pPr>
                          <w:pStyle w:val="TableParagraph"/>
                          <w:spacing w:line="257" w:lineRule="exact" w:before="8"/>
                          <w:ind w:left="92" w:right="87"/>
                          <w:rPr>
                            <w:rFonts w:ascii="Times New Roman" w:eastAsia="Times New Roman"/>
                            <w:sz w:val="21"/>
                          </w:rPr>
                        </w:pPr>
                        <w:r>
                          <w:rPr>
                            <w:sz w:val="21"/>
                          </w:rPr>
                          <w:t>＜</w:t>
                        </w:r>
                        <w:r>
                          <w:rPr>
                            <w:rFonts w:ascii="Times New Roman" w:eastAsia="Times New Roman"/>
                            <w:sz w:val="21"/>
                          </w:rPr>
                          <w:t>0.004</w:t>
                        </w:r>
                      </w:p>
                    </w:tc>
                    <w:tc>
                      <w:tcPr>
                        <w:tcW w:w="1312" w:type="dxa"/>
                      </w:tcPr>
                      <w:p>
                        <w:pPr>
                          <w:pStyle w:val="TableParagraph"/>
                          <w:spacing w:line="257" w:lineRule="exact" w:before="8"/>
                          <w:ind w:right="307"/>
                          <w:jc w:val="right"/>
                          <w:rPr>
                            <w:rFonts w:ascii="Times New Roman" w:eastAsia="Times New Roman"/>
                            <w:sz w:val="21"/>
                          </w:rPr>
                        </w:pPr>
                        <w:r>
                          <w:rPr>
                            <w:sz w:val="21"/>
                          </w:rPr>
                          <w:t>＜</w:t>
                        </w:r>
                        <w:r>
                          <w:rPr>
                            <w:rFonts w:ascii="Times New Roman" w:eastAsia="Times New Roman"/>
                            <w:sz w:val="21"/>
                          </w:rPr>
                          <w:t>0.004</w:t>
                        </w:r>
                      </w:p>
                    </w:tc>
                    <w:tc>
                      <w:tcPr>
                        <w:tcW w:w="1136" w:type="dxa"/>
                      </w:tcPr>
                      <w:p>
                        <w:pPr>
                          <w:pStyle w:val="TableParagraph"/>
                          <w:spacing w:line="257" w:lineRule="exact" w:before="8"/>
                          <w:ind w:left="101" w:right="101"/>
                          <w:rPr>
                            <w:rFonts w:ascii="Times New Roman" w:eastAsia="Times New Roman"/>
                            <w:sz w:val="21"/>
                          </w:rPr>
                        </w:pPr>
                        <w:r>
                          <w:rPr>
                            <w:sz w:val="21"/>
                          </w:rPr>
                          <w:t>＜</w:t>
                        </w:r>
                        <w:r>
                          <w:rPr>
                            <w:rFonts w:ascii="Times New Roman" w:eastAsia="Times New Roman"/>
                            <w:sz w:val="21"/>
                          </w:rPr>
                          <w:t>0.004</w:t>
                        </w:r>
                      </w:p>
                    </w:tc>
                    <w:tc>
                      <w:tcPr>
                        <w:tcW w:w="994" w:type="dxa"/>
                      </w:tcPr>
                      <w:p>
                        <w:pPr>
                          <w:pStyle w:val="TableParagraph"/>
                          <w:spacing w:line="257" w:lineRule="exact" w:before="8"/>
                          <w:ind w:left="133" w:right="133"/>
                          <w:rPr>
                            <w:rFonts w:ascii="Times New Roman" w:eastAsia="Times New Roman"/>
                            <w:sz w:val="21"/>
                          </w:rPr>
                        </w:pPr>
                        <w:r>
                          <w:rPr>
                            <w:sz w:val="21"/>
                          </w:rPr>
                          <w:t>＜</w:t>
                        </w:r>
                        <w:r>
                          <w:rPr>
                            <w:rFonts w:ascii="Times New Roman" w:eastAsia="Times New Roman"/>
                            <w:sz w:val="21"/>
                          </w:rPr>
                          <w:t>0.004</w:t>
                        </w:r>
                      </w:p>
                    </w:tc>
                    <w:tc>
                      <w:tcPr>
                        <w:tcW w:w="995" w:type="dxa"/>
                      </w:tcPr>
                      <w:p>
                        <w:pPr>
                          <w:pStyle w:val="TableParagraph"/>
                          <w:spacing w:before="22"/>
                          <w:ind w:left="154" w:right="155"/>
                          <w:rPr>
                            <w:rFonts w:ascii="Times New Roman"/>
                            <w:sz w:val="21"/>
                          </w:rPr>
                        </w:pPr>
                        <w:r>
                          <w:rPr>
                            <w:rFonts w:ascii="Times New Roman"/>
                            <w:sz w:val="21"/>
                          </w:rPr>
                          <w:t>0.05</w:t>
                        </w:r>
                      </w:p>
                    </w:tc>
                    <w:tc>
                      <w:tcPr>
                        <w:tcW w:w="670" w:type="dxa"/>
                      </w:tcPr>
                      <w:p>
                        <w:pPr>
                          <w:pStyle w:val="TableParagraph"/>
                          <w:spacing w:line="257" w:lineRule="exact" w:before="8"/>
                          <w:ind w:right="120"/>
                          <w:jc w:val="right"/>
                          <w:rPr>
                            <w:sz w:val="21"/>
                          </w:rPr>
                        </w:pPr>
                        <w:r>
                          <w:rPr>
                            <w:sz w:val="21"/>
                          </w:rPr>
                          <w:t>达标</w:t>
                        </w:r>
                      </w:p>
                    </w:tc>
                  </w:tr>
                  <w:tr>
                    <w:trPr>
                      <w:trHeight w:val="283" w:hRule="atLeast"/>
                    </w:trPr>
                    <w:tc>
                      <w:tcPr>
                        <w:tcW w:w="2076" w:type="dxa"/>
                      </w:tcPr>
                      <w:p>
                        <w:pPr>
                          <w:pStyle w:val="TableParagraph"/>
                          <w:spacing w:line="257" w:lineRule="exact" w:before="6"/>
                          <w:ind w:left="14" w:right="10"/>
                          <w:rPr>
                            <w:rFonts w:ascii="Times New Roman" w:hAnsi="Times New Roman" w:eastAsia="Times New Roman"/>
                            <w:sz w:val="21"/>
                          </w:rPr>
                        </w:pPr>
                        <w:r>
                          <w:rPr>
                            <w:sz w:val="21"/>
                          </w:rPr>
                          <w:t>铅 </w:t>
                        </w:r>
                        <w:r>
                          <w:rPr>
                            <w:rFonts w:ascii="Times New Roman" w:hAnsi="Times New Roman" w:eastAsia="Times New Roman"/>
                            <w:sz w:val="21"/>
                          </w:rPr>
                          <w:t>μg/L</w:t>
                        </w:r>
                      </w:p>
                    </w:tc>
                    <w:tc>
                      <w:tcPr>
                        <w:tcW w:w="1201" w:type="dxa"/>
                      </w:tcPr>
                      <w:p>
                        <w:pPr>
                          <w:pStyle w:val="TableParagraph"/>
                          <w:spacing w:line="257" w:lineRule="exact" w:before="6"/>
                          <w:ind w:left="184" w:right="181"/>
                          <w:rPr>
                            <w:rFonts w:ascii="Times New Roman" w:eastAsia="Times New Roman"/>
                            <w:sz w:val="21"/>
                          </w:rPr>
                        </w:pPr>
                        <w:r>
                          <w:rPr>
                            <w:sz w:val="21"/>
                          </w:rPr>
                          <w:t>＜</w:t>
                        </w:r>
                        <w:r>
                          <w:rPr>
                            <w:rFonts w:ascii="Times New Roman" w:eastAsia="Times New Roman"/>
                            <w:sz w:val="21"/>
                          </w:rPr>
                          <w:t>1.24</w:t>
                        </w:r>
                      </w:p>
                    </w:tc>
                    <w:tc>
                      <w:tcPr>
                        <w:tcW w:w="908" w:type="dxa"/>
                      </w:tcPr>
                      <w:p>
                        <w:pPr>
                          <w:pStyle w:val="TableParagraph"/>
                          <w:spacing w:line="257" w:lineRule="exact" w:before="6"/>
                          <w:ind w:left="90" w:right="87"/>
                          <w:rPr>
                            <w:rFonts w:ascii="Times New Roman" w:eastAsia="Times New Roman"/>
                            <w:sz w:val="21"/>
                          </w:rPr>
                        </w:pPr>
                        <w:r>
                          <w:rPr>
                            <w:sz w:val="21"/>
                          </w:rPr>
                          <w:t>＜</w:t>
                        </w:r>
                        <w:r>
                          <w:rPr>
                            <w:rFonts w:ascii="Times New Roman" w:eastAsia="Times New Roman"/>
                            <w:sz w:val="21"/>
                          </w:rPr>
                          <w:t>1.24</w:t>
                        </w:r>
                      </w:p>
                    </w:tc>
                    <w:tc>
                      <w:tcPr>
                        <w:tcW w:w="1312" w:type="dxa"/>
                      </w:tcPr>
                      <w:p>
                        <w:pPr>
                          <w:pStyle w:val="TableParagraph"/>
                          <w:spacing w:line="257" w:lineRule="exact" w:before="6"/>
                          <w:ind w:right="360"/>
                          <w:jc w:val="right"/>
                          <w:rPr>
                            <w:rFonts w:ascii="Times New Roman" w:eastAsia="Times New Roman"/>
                            <w:sz w:val="21"/>
                          </w:rPr>
                        </w:pPr>
                        <w:r>
                          <w:rPr>
                            <w:sz w:val="21"/>
                          </w:rPr>
                          <w:t>＜</w:t>
                        </w:r>
                        <w:r>
                          <w:rPr>
                            <w:rFonts w:ascii="Times New Roman" w:eastAsia="Times New Roman"/>
                            <w:sz w:val="21"/>
                          </w:rPr>
                          <w:t>1.24</w:t>
                        </w:r>
                      </w:p>
                    </w:tc>
                    <w:tc>
                      <w:tcPr>
                        <w:tcW w:w="1136" w:type="dxa"/>
                      </w:tcPr>
                      <w:p>
                        <w:pPr>
                          <w:pStyle w:val="TableParagraph"/>
                          <w:spacing w:line="257" w:lineRule="exact" w:before="6"/>
                          <w:ind w:left="102" w:right="101"/>
                          <w:rPr>
                            <w:rFonts w:ascii="Times New Roman" w:eastAsia="Times New Roman"/>
                            <w:sz w:val="21"/>
                          </w:rPr>
                        </w:pPr>
                        <w:r>
                          <w:rPr>
                            <w:sz w:val="21"/>
                          </w:rPr>
                          <w:t>＜</w:t>
                        </w:r>
                        <w:r>
                          <w:rPr>
                            <w:rFonts w:ascii="Times New Roman" w:eastAsia="Times New Roman"/>
                            <w:sz w:val="21"/>
                          </w:rPr>
                          <w:t>1.24</w:t>
                        </w:r>
                      </w:p>
                    </w:tc>
                    <w:tc>
                      <w:tcPr>
                        <w:tcW w:w="994" w:type="dxa"/>
                      </w:tcPr>
                      <w:p>
                        <w:pPr>
                          <w:pStyle w:val="TableParagraph"/>
                          <w:spacing w:line="257" w:lineRule="exact" w:before="6"/>
                          <w:ind w:left="133" w:right="133"/>
                          <w:rPr>
                            <w:rFonts w:ascii="Times New Roman" w:eastAsia="Times New Roman"/>
                            <w:sz w:val="21"/>
                          </w:rPr>
                        </w:pPr>
                        <w:r>
                          <w:rPr>
                            <w:sz w:val="21"/>
                          </w:rPr>
                          <w:t>＜</w:t>
                        </w:r>
                        <w:r>
                          <w:rPr>
                            <w:rFonts w:ascii="Times New Roman" w:eastAsia="Times New Roman"/>
                            <w:sz w:val="21"/>
                          </w:rPr>
                          <w:t>1.24</w:t>
                        </w:r>
                      </w:p>
                    </w:tc>
                    <w:tc>
                      <w:tcPr>
                        <w:tcW w:w="995" w:type="dxa"/>
                      </w:tcPr>
                      <w:p>
                        <w:pPr>
                          <w:pStyle w:val="TableParagraph"/>
                          <w:spacing w:before="20"/>
                          <w:ind w:left="155" w:right="155"/>
                          <w:rPr>
                            <w:rFonts w:ascii="Times New Roman"/>
                            <w:sz w:val="21"/>
                          </w:rPr>
                        </w:pPr>
                        <w:r>
                          <w:rPr>
                            <w:rFonts w:ascii="Times New Roman"/>
                            <w:sz w:val="21"/>
                          </w:rPr>
                          <w:t>10</w:t>
                        </w:r>
                      </w:p>
                    </w:tc>
                    <w:tc>
                      <w:tcPr>
                        <w:tcW w:w="670" w:type="dxa"/>
                      </w:tcPr>
                      <w:p>
                        <w:pPr>
                          <w:pStyle w:val="TableParagraph"/>
                          <w:spacing w:line="257" w:lineRule="exact" w:before="6"/>
                          <w:ind w:right="120"/>
                          <w:jc w:val="right"/>
                          <w:rPr>
                            <w:sz w:val="21"/>
                          </w:rPr>
                        </w:pPr>
                        <w:r>
                          <w:rPr>
                            <w:sz w:val="21"/>
                          </w:rPr>
                          <w:t>达标</w:t>
                        </w:r>
                      </w:p>
                    </w:tc>
                  </w:tr>
                  <w:tr>
                    <w:trPr>
                      <w:trHeight w:val="285" w:hRule="atLeast"/>
                    </w:trPr>
                    <w:tc>
                      <w:tcPr>
                        <w:tcW w:w="2076" w:type="dxa"/>
                      </w:tcPr>
                      <w:p>
                        <w:pPr>
                          <w:pStyle w:val="TableParagraph"/>
                          <w:spacing w:line="257" w:lineRule="exact" w:before="8"/>
                          <w:ind w:left="16" w:right="10"/>
                          <w:rPr>
                            <w:rFonts w:ascii="Times New Roman" w:eastAsia="Times New Roman"/>
                            <w:sz w:val="21"/>
                          </w:rPr>
                        </w:pPr>
                        <w:r>
                          <w:rPr>
                            <w:sz w:val="21"/>
                          </w:rPr>
                          <w:t>铁 </w:t>
                        </w:r>
                        <w:r>
                          <w:rPr>
                            <w:rFonts w:ascii="Times New Roman" w:eastAsia="Times New Roman"/>
                            <w:sz w:val="21"/>
                          </w:rPr>
                          <w:t>mg/L</w:t>
                        </w:r>
                      </w:p>
                    </w:tc>
                    <w:tc>
                      <w:tcPr>
                        <w:tcW w:w="1201" w:type="dxa"/>
                      </w:tcPr>
                      <w:p>
                        <w:pPr>
                          <w:pStyle w:val="TableParagraph"/>
                          <w:spacing w:before="22"/>
                          <w:ind w:left="184" w:right="181"/>
                          <w:rPr>
                            <w:rFonts w:ascii="Times New Roman"/>
                            <w:sz w:val="21"/>
                          </w:rPr>
                        </w:pPr>
                        <w:r>
                          <w:rPr>
                            <w:rFonts w:ascii="Times New Roman"/>
                            <w:sz w:val="21"/>
                          </w:rPr>
                          <w:t>0.02</w:t>
                        </w:r>
                      </w:p>
                    </w:tc>
                    <w:tc>
                      <w:tcPr>
                        <w:tcW w:w="908" w:type="dxa"/>
                      </w:tcPr>
                      <w:p>
                        <w:pPr>
                          <w:pStyle w:val="TableParagraph"/>
                          <w:spacing w:before="22"/>
                          <w:ind w:left="90" w:right="87"/>
                          <w:rPr>
                            <w:rFonts w:ascii="Times New Roman"/>
                            <w:sz w:val="21"/>
                          </w:rPr>
                        </w:pPr>
                        <w:r>
                          <w:rPr>
                            <w:rFonts w:ascii="Times New Roman"/>
                            <w:sz w:val="21"/>
                          </w:rPr>
                          <w:t>0.01</w:t>
                        </w:r>
                      </w:p>
                    </w:tc>
                    <w:tc>
                      <w:tcPr>
                        <w:tcW w:w="1312" w:type="dxa"/>
                      </w:tcPr>
                      <w:p>
                        <w:pPr>
                          <w:pStyle w:val="TableParagraph"/>
                          <w:spacing w:before="22"/>
                          <w:ind w:left="423" w:right="423"/>
                          <w:rPr>
                            <w:rFonts w:ascii="Times New Roman"/>
                            <w:sz w:val="21"/>
                          </w:rPr>
                        </w:pPr>
                        <w:r>
                          <w:rPr>
                            <w:rFonts w:ascii="Times New Roman"/>
                            <w:sz w:val="21"/>
                          </w:rPr>
                          <w:t>0.01</w:t>
                        </w:r>
                      </w:p>
                    </w:tc>
                    <w:tc>
                      <w:tcPr>
                        <w:tcW w:w="1136" w:type="dxa"/>
                      </w:tcPr>
                      <w:p>
                        <w:pPr>
                          <w:pStyle w:val="TableParagraph"/>
                          <w:spacing w:before="22"/>
                          <w:ind w:left="102" w:right="101"/>
                          <w:rPr>
                            <w:rFonts w:ascii="Times New Roman"/>
                            <w:sz w:val="21"/>
                          </w:rPr>
                        </w:pPr>
                        <w:r>
                          <w:rPr>
                            <w:rFonts w:ascii="Times New Roman"/>
                            <w:sz w:val="21"/>
                          </w:rPr>
                          <w:t>0.01</w:t>
                        </w:r>
                      </w:p>
                    </w:tc>
                    <w:tc>
                      <w:tcPr>
                        <w:tcW w:w="994" w:type="dxa"/>
                      </w:tcPr>
                      <w:p>
                        <w:pPr>
                          <w:pStyle w:val="TableParagraph"/>
                          <w:spacing w:before="22"/>
                          <w:ind w:left="133" w:right="133"/>
                          <w:rPr>
                            <w:rFonts w:ascii="Times New Roman"/>
                            <w:sz w:val="21"/>
                          </w:rPr>
                        </w:pPr>
                        <w:r>
                          <w:rPr>
                            <w:rFonts w:ascii="Times New Roman"/>
                            <w:sz w:val="21"/>
                          </w:rPr>
                          <w:t>0.01</w:t>
                        </w:r>
                      </w:p>
                    </w:tc>
                    <w:tc>
                      <w:tcPr>
                        <w:tcW w:w="995" w:type="dxa"/>
                      </w:tcPr>
                      <w:p>
                        <w:pPr>
                          <w:pStyle w:val="TableParagraph"/>
                          <w:spacing w:before="22"/>
                          <w:ind w:left="155" w:right="155"/>
                          <w:rPr>
                            <w:rFonts w:ascii="Times New Roman"/>
                            <w:sz w:val="21"/>
                          </w:rPr>
                        </w:pPr>
                        <w:r>
                          <w:rPr>
                            <w:rFonts w:ascii="Times New Roman"/>
                            <w:sz w:val="21"/>
                          </w:rPr>
                          <w:t>0.3</w:t>
                        </w:r>
                      </w:p>
                    </w:tc>
                    <w:tc>
                      <w:tcPr>
                        <w:tcW w:w="670" w:type="dxa"/>
                      </w:tcPr>
                      <w:p>
                        <w:pPr>
                          <w:pStyle w:val="TableParagraph"/>
                          <w:spacing w:line="257" w:lineRule="exact" w:before="8"/>
                          <w:ind w:right="120"/>
                          <w:jc w:val="right"/>
                          <w:rPr>
                            <w:sz w:val="21"/>
                          </w:rPr>
                        </w:pPr>
                        <w:r>
                          <w:rPr>
                            <w:sz w:val="21"/>
                          </w:rPr>
                          <w:t>达标</w:t>
                        </w:r>
                      </w:p>
                    </w:tc>
                  </w:tr>
                  <w:tr>
                    <w:trPr>
                      <w:trHeight w:val="282" w:hRule="atLeast"/>
                    </w:trPr>
                    <w:tc>
                      <w:tcPr>
                        <w:tcW w:w="2076" w:type="dxa"/>
                      </w:tcPr>
                      <w:p>
                        <w:pPr>
                          <w:pStyle w:val="TableParagraph"/>
                          <w:spacing w:line="257" w:lineRule="exact" w:before="6"/>
                          <w:ind w:left="16" w:right="10"/>
                          <w:rPr>
                            <w:rFonts w:ascii="Times New Roman" w:eastAsia="Times New Roman"/>
                            <w:sz w:val="21"/>
                          </w:rPr>
                        </w:pPr>
                        <w:r>
                          <w:rPr>
                            <w:sz w:val="21"/>
                          </w:rPr>
                          <w:t>锰 </w:t>
                        </w:r>
                        <w:r>
                          <w:rPr>
                            <w:rFonts w:ascii="Times New Roman" w:eastAsia="Times New Roman"/>
                            <w:sz w:val="21"/>
                          </w:rPr>
                          <w:t>mg/L</w:t>
                        </w:r>
                      </w:p>
                    </w:tc>
                    <w:tc>
                      <w:tcPr>
                        <w:tcW w:w="1201" w:type="dxa"/>
                      </w:tcPr>
                      <w:p>
                        <w:pPr>
                          <w:pStyle w:val="TableParagraph"/>
                          <w:spacing w:before="20"/>
                          <w:ind w:left="184" w:right="181"/>
                          <w:rPr>
                            <w:rFonts w:ascii="Times New Roman"/>
                            <w:sz w:val="21"/>
                          </w:rPr>
                        </w:pPr>
                        <w:r>
                          <w:rPr>
                            <w:rFonts w:ascii="Times New Roman"/>
                            <w:sz w:val="21"/>
                          </w:rPr>
                          <w:t>0.05</w:t>
                        </w:r>
                      </w:p>
                    </w:tc>
                    <w:tc>
                      <w:tcPr>
                        <w:tcW w:w="908" w:type="dxa"/>
                      </w:tcPr>
                      <w:p>
                        <w:pPr>
                          <w:pStyle w:val="TableParagraph"/>
                          <w:spacing w:before="20"/>
                          <w:ind w:left="90" w:right="87"/>
                          <w:rPr>
                            <w:rFonts w:ascii="Times New Roman"/>
                            <w:sz w:val="21"/>
                          </w:rPr>
                        </w:pPr>
                        <w:r>
                          <w:rPr>
                            <w:rFonts w:ascii="Times New Roman"/>
                            <w:sz w:val="21"/>
                          </w:rPr>
                          <w:t>0.05</w:t>
                        </w:r>
                      </w:p>
                    </w:tc>
                    <w:tc>
                      <w:tcPr>
                        <w:tcW w:w="1312" w:type="dxa"/>
                      </w:tcPr>
                      <w:p>
                        <w:pPr>
                          <w:pStyle w:val="TableParagraph"/>
                          <w:spacing w:before="20"/>
                          <w:ind w:left="423" w:right="423"/>
                          <w:rPr>
                            <w:rFonts w:ascii="Times New Roman"/>
                            <w:sz w:val="21"/>
                          </w:rPr>
                        </w:pPr>
                        <w:r>
                          <w:rPr>
                            <w:rFonts w:ascii="Times New Roman"/>
                            <w:sz w:val="21"/>
                          </w:rPr>
                          <w:t>0.05</w:t>
                        </w:r>
                      </w:p>
                    </w:tc>
                    <w:tc>
                      <w:tcPr>
                        <w:tcW w:w="1136" w:type="dxa"/>
                      </w:tcPr>
                      <w:p>
                        <w:pPr>
                          <w:pStyle w:val="TableParagraph"/>
                          <w:spacing w:before="20"/>
                          <w:ind w:left="102" w:right="101"/>
                          <w:rPr>
                            <w:rFonts w:ascii="Times New Roman"/>
                            <w:sz w:val="21"/>
                          </w:rPr>
                        </w:pPr>
                        <w:r>
                          <w:rPr>
                            <w:rFonts w:ascii="Times New Roman"/>
                            <w:sz w:val="21"/>
                          </w:rPr>
                          <w:t>0.03</w:t>
                        </w:r>
                      </w:p>
                    </w:tc>
                    <w:tc>
                      <w:tcPr>
                        <w:tcW w:w="994" w:type="dxa"/>
                      </w:tcPr>
                      <w:p>
                        <w:pPr>
                          <w:pStyle w:val="TableParagraph"/>
                          <w:spacing w:before="20"/>
                          <w:ind w:left="133" w:right="133"/>
                          <w:rPr>
                            <w:rFonts w:ascii="Times New Roman"/>
                            <w:sz w:val="21"/>
                          </w:rPr>
                        </w:pPr>
                        <w:r>
                          <w:rPr>
                            <w:rFonts w:ascii="Times New Roman"/>
                            <w:sz w:val="21"/>
                          </w:rPr>
                          <w:t>0.03</w:t>
                        </w:r>
                      </w:p>
                    </w:tc>
                    <w:tc>
                      <w:tcPr>
                        <w:tcW w:w="995" w:type="dxa"/>
                      </w:tcPr>
                      <w:p>
                        <w:pPr>
                          <w:pStyle w:val="TableParagraph"/>
                          <w:spacing w:before="20"/>
                          <w:ind w:left="154" w:right="155"/>
                          <w:rPr>
                            <w:rFonts w:ascii="Times New Roman"/>
                            <w:sz w:val="21"/>
                          </w:rPr>
                        </w:pPr>
                        <w:r>
                          <w:rPr>
                            <w:rFonts w:ascii="Times New Roman"/>
                            <w:sz w:val="21"/>
                          </w:rPr>
                          <w:t>0.10</w:t>
                        </w:r>
                      </w:p>
                    </w:tc>
                    <w:tc>
                      <w:tcPr>
                        <w:tcW w:w="670" w:type="dxa"/>
                      </w:tcPr>
                      <w:p>
                        <w:pPr>
                          <w:pStyle w:val="TableParagraph"/>
                          <w:spacing w:line="257" w:lineRule="exact" w:before="6"/>
                          <w:ind w:right="120"/>
                          <w:jc w:val="right"/>
                          <w:rPr>
                            <w:sz w:val="21"/>
                          </w:rPr>
                        </w:pPr>
                        <w:r>
                          <w:rPr>
                            <w:sz w:val="21"/>
                          </w:rPr>
                          <w:t>达标</w:t>
                        </w:r>
                      </w:p>
                    </w:tc>
                  </w:tr>
                  <w:tr>
                    <w:trPr>
                      <w:trHeight w:val="282" w:hRule="atLeast"/>
                    </w:trPr>
                    <w:tc>
                      <w:tcPr>
                        <w:tcW w:w="2076" w:type="dxa"/>
                      </w:tcPr>
                      <w:p>
                        <w:pPr>
                          <w:pStyle w:val="TableParagraph"/>
                          <w:spacing w:line="255" w:lineRule="exact" w:before="8"/>
                          <w:ind w:left="16" w:right="10"/>
                          <w:rPr>
                            <w:rFonts w:ascii="Times New Roman" w:eastAsia="Times New Roman"/>
                            <w:sz w:val="21"/>
                          </w:rPr>
                        </w:pPr>
                        <w:r>
                          <w:rPr>
                            <w:sz w:val="21"/>
                          </w:rPr>
                          <w:t>锌 </w:t>
                        </w:r>
                        <w:r>
                          <w:rPr>
                            <w:rFonts w:ascii="Times New Roman" w:eastAsia="Times New Roman"/>
                            <w:sz w:val="21"/>
                          </w:rPr>
                          <w:t>mg/L</w:t>
                        </w:r>
                      </w:p>
                    </w:tc>
                    <w:tc>
                      <w:tcPr>
                        <w:tcW w:w="1201" w:type="dxa"/>
                      </w:tcPr>
                      <w:p>
                        <w:pPr>
                          <w:pStyle w:val="TableParagraph"/>
                          <w:spacing w:line="241" w:lineRule="exact" w:before="22"/>
                          <w:ind w:left="184" w:right="181"/>
                          <w:rPr>
                            <w:rFonts w:ascii="Times New Roman"/>
                            <w:sz w:val="21"/>
                          </w:rPr>
                        </w:pPr>
                        <w:r>
                          <w:rPr>
                            <w:rFonts w:ascii="Times New Roman"/>
                            <w:sz w:val="21"/>
                          </w:rPr>
                          <w:t>0.21</w:t>
                        </w:r>
                      </w:p>
                    </w:tc>
                    <w:tc>
                      <w:tcPr>
                        <w:tcW w:w="908" w:type="dxa"/>
                      </w:tcPr>
                      <w:p>
                        <w:pPr>
                          <w:pStyle w:val="TableParagraph"/>
                          <w:spacing w:line="241" w:lineRule="exact" w:before="22"/>
                          <w:ind w:left="90" w:right="87"/>
                          <w:rPr>
                            <w:rFonts w:ascii="Times New Roman"/>
                            <w:sz w:val="21"/>
                          </w:rPr>
                        </w:pPr>
                        <w:r>
                          <w:rPr>
                            <w:rFonts w:ascii="Times New Roman"/>
                            <w:sz w:val="21"/>
                          </w:rPr>
                          <w:t>0.20</w:t>
                        </w:r>
                      </w:p>
                    </w:tc>
                    <w:tc>
                      <w:tcPr>
                        <w:tcW w:w="1312" w:type="dxa"/>
                      </w:tcPr>
                      <w:p>
                        <w:pPr>
                          <w:pStyle w:val="TableParagraph"/>
                          <w:spacing w:line="241" w:lineRule="exact" w:before="22"/>
                          <w:ind w:left="423" w:right="423"/>
                          <w:rPr>
                            <w:rFonts w:ascii="Times New Roman"/>
                            <w:sz w:val="21"/>
                          </w:rPr>
                        </w:pPr>
                        <w:r>
                          <w:rPr>
                            <w:rFonts w:ascii="Times New Roman"/>
                            <w:sz w:val="21"/>
                          </w:rPr>
                          <w:t>0.21</w:t>
                        </w:r>
                      </w:p>
                    </w:tc>
                    <w:tc>
                      <w:tcPr>
                        <w:tcW w:w="1136" w:type="dxa"/>
                      </w:tcPr>
                      <w:p>
                        <w:pPr>
                          <w:pStyle w:val="TableParagraph"/>
                          <w:spacing w:line="241" w:lineRule="exact" w:before="22"/>
                          <w:ind w:left="102" w:right="101"/>
                          <w:rPr>
                            <w:rFonts w:ascii="Times New Roman"/>
                            <w:sz w:val="21"/>
                          </w:rPr>
                        </w:pPr>
                        <w:r>
                          <w:rPr>
                            <w:rFonts w:ascii="Times New Roman"/>
                            <w:sz w:val="21"/>
                          </w:rPr>
                          <w:t>0.34</w:t>
                        </w:r>
                      </w:p>
                    </w:tc>
                    <w:tc>
                      <w:tcPr>
                        <w:tcW w:w="994" w:type="dxa"/>
                      </w:tcPr>
                      <w:p>
                        <w:pPr>
                          <w:pStyle w:val="TableParagraph"/>
                          <w:spacing w:line="241" w:lineRule="exact" w:before="22"/>
                          <w:ind w:left="133" w:right="133"/>
                          <w:rPr>
                            <w:rFonts w:ascii="Times New Roman"/>
                            <w:sz w:val="21"/>
                          </w:rPr>
                        </w:pPr>
                        <w:r>
                          <w:rPr>
                            <w:rFonts w:ascii="Times New Roman"/>
                            <w:sz w:val="21"/>
                          </w:rPr>
                          <w:t>0.31</w:t>
                        </w:r>
                      </w:p>
                    </w:tc>
                    <w:tc>
                      <w:tcPr>
                        <w:tcW w:w="995" w:type="dxa"/>
                      </w:tcPr>
                      <w:p>
                        <w:pPr>
                          <w:pStyle w:val="TableParagraph"/>
                          <w:spacing w:line="241" w:lineRule="exact" w:before="22"/>
                          <w:ind w:left="154" w:right="155"/>
                          <w:rPr>
                            <w:rFonts w:ascii="Times New Roman"/>
                            <w:sz w:val="21"/>
                          </w:rPr>
                        </w:pPr>
                        <w:r>
                          <w:rPr>
                            <w:rFonts w:ascii="Times New Roman"/>
                            <w:sz w:val="21"/>
                          </w:rPr>
                          <w:t>1.00</w:t>
                        </w:r>
                      </w:p>
                    </w:tc>
                    <w:tc>
                      <w:tcPr>
                        <w:tcW w:w="670" w:type="dxa"/>
                      </w:tcPr>
                      <w:p>
                        <w:pPr>
                          <w:pStyle w:val="TableParagraph"/>
                          <w:spacing w:line="255" w:lineRule="exact" w:before="8"/>
                          <w:ind w:right="120"/>
                          <w:jc w:val="right"/>
                          <w:rPr>
                            <w:sz w:val="21"/>
                          </w:rPr>
                        </w:pPr>
                        <w:r>
                          <w:rPr>
                            <w:sz w:val="21"/>
                          </w:rPr>
                          <w:t>达标</w:t>
                        </w:r>
                      </w:p>
                    </w:tc>
                  </w:tr>
                  <w:tr>
                    <w:trPr>
                      <w:trHeight w:val="285" w:hRule="atLeast"/>
                    </w:trPr>
                    <w:tc>
                      <w:tcPr>
                        <w:tcW w:w="2076" w:type="dxa"/>
                      </w:tcPr>
                      <w:p>
                        <w:pPr>
                          <w:pStyle w:val="TableParagraph"/>
                          <w:spacing w:line="257" w:lineRule="exact" w:before="8"/>
                          <w:ind w:left="14" w:right="10"/>
                          <w:rPr>
                            <w:rFonts w:ascii="Times New Roman" w:hAnsi="Times New Roman" w:eastAsia="Times New Roman"/>
                            <w:sz w:val="21"/>
                          </w:rPr>
                        </w:pPr>
                        <w:r>
                          <w:rPr>
                            <w:sz w:val="21"/>
                          </w:rPr>
                          <w:t>铝 </w:t>
                        </w:r>
                        <w:r>
                          <w:rPr>
                            <w:rFonts w:ascii="Times New Roman" w:hAnsi="Times New Roman" w:eastAsia="Times New Roman"/>
                            <w:sz w:val="21"/>
                          </w:rPr>
                          <w:t>μg/L</w:t>
                        </w:r>
                      </w:p>
                    </w:tc>
                    <w:tc>
                      <w:tcPr>
                        <w:tcW w:w="1201" w:type="dxa"/>
                      </w:tcPr>
                      <w:p>
                        <w:pPr>
                          <w:pStyle w:val="TableParagraph"/>
                          <w:spacing w:line="257" w:lineRule="exact" w:before="8"/>
                          <w:ind w:left="184" w:right="180"/>
                          <w:rPr>
                            <w:rFonts w:ascii="Times New Roman" w:eastAsia="Times New Roman"/>
                            <w:sz w:val="21"/>
                          </w:rPr>
                        </w:pPr>
                        <w:r>
                          <w:rPr>
                            <w:sz w:val="21"/>
                          </w:rPr>
                          <w:t>＜</w:t>
                        </w:r>
                        <w:r>
                          <w:rPr>
                            <w:rFonts w:ascii="Times New Roman" w:eastAsia="Times New Roman"/>
                            <w:sz w:val="21"/>
                          </w:rPr>
                          <w:t>2.5</w:t>
                        </w:r>
                      </w:p>
                    </w:tc>
                    <w:tc>
                      <w:tcPr>
                        <w:tcW w:w="908" w:type="dxa"/>
                      </w:tcPr>
                      <w:p>
                        <w:pPr>
                          <w:pStyle w:val="TableParagraph"/>
                          <w:spacing w:line="257" w:lineRule="exact" w:before="8"/>
                          <w:ind w:left="90" w:right="87"/>
                          <w:rPr>
                            <w:rFonts w:ascii="Times New Roman" w:eastAsia="Times New Roman"/>
                            <w:sz w:val="21"/>
                          </w:rPr>
                        </w:pPr>
                        <w:r>
                          <w:rPr>
                            <w:sz w:val="21"/>
                          </w:rPr>
                          <w:t>＜</w:t>
                        </w:r>
                        <w:r>
                          <w:rPr>
                            <w:rFonts w:ascii="Times New Roman" w:eastAsia="Times New Roman"/>
                            <w:sz w:val="21"/>
                          </w:rPr>
                          <w:t>2.5</w:t>
                        </w:r>
                      </w:p>
                    </w:tc>
                    <w:tc>
                      <w:tcPr>
                        <w:tcW w:w="1312" w:type="dxa"/>
                      </w:tcPr>
                      <w:p>
                        <w:pPr>
                          <w:pStyle w:val="TableParagraph"/>
                          <w:spacing w:line="257" w:lineRule="exact" w:before="8"/>
                          <w:ind w:left="416"/>
                          <w:jc w:val="left"/>
                          <w:rPr>
                            <w:rFonts w:ascii="Times New Roman" w:eastAsia="Times New Roman"/>
                            <w:sz w:val="21"/>
                          </w:rPr>
                        </w:pPr>
                        <w:r>
                          <w:rPr>
                            <w:sz w:val="21"/>
                          </w:rPr>
                          <w:t>＜</w:t>
                        </w:r>
                        <w:r>
                          <w:rPr>
                            <w:rFonts w:ascii="Times New Roman" w:eastAsia="Times New Roman"/>
                            <w:sz w:val="21"/>
                          </w:rPr>
                          <w:t>2.5</w:t>
                        </w:r>
                      </w:p>
                    </w:tc>
                    <w:tc>
                      <w:tcPr>
                        <w:tcW w:w="1136" w:type="dxa"/>
                      </w:tcPr>
                      <w:p>
                        <w:pPr>
                          <w:pStyle w:val="TableParagraph"/>
                          <w:spacing w:line="257" w:lineRule="exact" w:before="8"/>
                          <w:ind w:left="102" w:right="101"/>
                          <w:rPr>
                            <w:rFonts w:ascii="Times New Roman" w:eastAsia="Times New Roman"/>
                            <w:sz w:val="21"/>
                          </w:rPr>
                        </w:pPr>
                        <w:r>
                          <w:rPr>
                            <w:sz w:val="21"/>
                          </w:rPr>
                          <w:t>＜</w:t>
                        </w:r>
                        <w:r>
                          <w:rPr>
                            <w:rFonts w:ascii="Times New Roman" w:eastAsia="Times New Roman"/>
                            <w:sz w:val="21"/>
                          </w:rPr>
                          <w:t>2.5</w:t>
                        </w:r>
                      </w:p>
                    </w:tc>
                    <w:tc>
                      <w:tcPr>
                        <w:tcW w:w="994" w:type="dxa"/>
                      </w:tcPr>
                      <w:p>
                        <w:pPr>
                          <w:pStyle w:val="TableParagraph"/>
                          <w:spacing w:line="257" w:lineRule="exact" w:before="8"/>
                          <w:ind w:left="133" w:right="133"/>
                          <w:rPr>
                            <w:rFonts w:ascii="Times New Roman" w:eastAsia="Times New Roman"/>
                            <w:sz w:val="21"/>
                          </w:rPr>
                        </w:pPr>
                        <w:r>
                          <w:rPr>
                            <w:sz w:val="21"/>
                          </w:rPr>
                          <w:t>＜</w:t>
                        </w:r>
                        <w:r>
                          <w:rPr>
                            <w:rFonts w:ascii="Times New Roman" w:eastAsia="Times New Roman"/>
                            <w:sz w:val="21"/>
                          </w:rPr>
                          <w:t>2.5</w:t>
                        </w:r>
                      </w:p>
                    </w:tc>
                    <w:tc>
                      <w:tcPr>
                        <w:tcW w:w="995" w:type="dxa"/>
                      </w:tcPr>
                      <w:p>
                        <w:pPr>
                          <w:pStyle w:val="TableParagraph"/>
                          <w:spacing w:before="22"/>
                          <w:ind w:left="155" w:right="155"/>
                          <w:rPr>
                            <w:rFonts w:ascii="Times New Roman"/>
                            <w:sz w:val="21"/>
                          </w:rPr>
                        </w:pPr>
                        <w:r>
                          <w:rPr>
                            <w:rFonts w:ascii="Times New Roman"/>
                            <w:sz w:val="21"/>
                          </w:rPr>
                          <w:t>20</w:t>
                        </w:r>
                      </w:p>
                    </w:tc>
                    <w:tc>
                      <w:tcPr>
                        <w:tcW w:w="670" w:type="dxa"/>
                      </w:tcPr>
                      <w:p>
                        <w:pPr>
                          <w:pStyle w:val="TableParagraph"/>
                          <w:spacing w:line="257" w:lineRule="exact" w:before="8"/>
                          <w:ind w:right="120"/>
                          <w:jc w:val="right"/>
                          <w:rPr>
                            <w:sz w:val="21"/>
                          </w:rPr>
                        </w:pPr>
                        <w:r>
                          <w:rPr>
                            <w:sz w:val="21"/>
                          </w:rPr>
                          <w:t>达标</w:t>
                        </w:r>
                      </w:p>
                    </w:tc>
                  </w:tr>
                  <w:tr>
                    <w:trPr>
                      <w:trHeight w:val="513" w:hRule="atLeast"/>
                    </w:trPr>
                    <w:tc>
                      <w:tcPr>
                        <w:tcW w:w="2076" w:type="dxa"/>
                      </w:tcPr>
                      <w:p>
                        <w:pPr>
                          <w:pStyle w:val="TableParagraph"/>
                          <w:spacing w:before="121"/>
                          <w:ind w:left="14" w:right="10"/>
                          <w:rPr>
                            <w:rFonts w:ascii="Times New Roman" w:eastAsia="Times New Roman"/>
                            <w:sz w:val="21"/>
                          </w:rPr>
                        </w:pPr>
                        <w:r>
                          <w:rPr>
                            <w:sz w:val="21"/>
                          </w:rPr>
                          <w:t>挥发酚 </w:t>
                        </w:r>
                        <w:r>
                          <w:rPr>
                            <w:rFonts w:ascii="Times New Roman" w:eastAsia="Times New Roman"/>
                            <w:sz w:val="21"/>
                          </w:rPr>
                          <w:t>mg/L</w:t>
                        </w:r>
                      </w:p>
                    </w:tc>
                    <w:tc>
                      <w:tcPr>
                        <w:tcW w:w="1201" w:type="dxa"/>
                      </w:tcPr>
                      <w:p>
                        <w:pPr>
                          <w:pStyle w:val="TableParagraph"/>
                          <w:spacing w:before="121"/>
                          <w:ind w:left="184" w:right="183"/>
                          <w:rPr>
                            <w:rFonts w:ascii="Times New Roman" w:eastAsia="Times New Roman"/>
                            <w:sz w:val="21"/>
                          </w:rPr>
                        </w:pPr>
                        <w:r>
                          <w:rPr>
                            <w:sz w:val="21"/>
                          </w:rPr>
                          <w:t>＜</w:t>
                        </w:r>
                        <w:r>
                          <w:rPr>
                            <w:rFonts w:ascii="Times New Roman" w:eastAsia="Times New Roman"/>
                            <w:sz w:val="21"/>
                          </w:rPr>
                          <w:t>0.0003</w:t>
                        </w:r>
                      </w:p>
                    </w:tc>
                    <w:tc>
                      <w:tcPr>
                        <w:tcW w:w="908" w:type="dxa"/>
                      </w:tcPr>
                      <w:p>
                        <w:pPr>
                          <w:pStyle w:val="TableParagraph"/>
                          <w:spacing w:before="1"/>
                          <w:ind w:left="3"/>
                          <w:rPr>
                            <w:sz w:val="21"/>
                          </w:rPr>
                        </w:pPr>
                        <w:r>
                          <w:rPr>
                            <w:w w:val="100"/>
                            <w:sz w:val="21"/>
                          </w:rPr>
                          <w:t>＜</w:t>
                        </w:r>
                      </w:p>
                      <w:p>
                        <w:pPr>
                          <w:pStyle w:val="TableParagraph"/>
                          <w:spacing w:line="222" w:lineRule="exact" w:before="1"/>
                          <w:ind w:left="90" w:right="87"/>
                          <w:rPr>
                            <w:rFonts w:ascii="Times New Roman"/>
                            <w:sz w:val="21"/>
                          </w:rPr>
                        </w:pPr>
                        <w:r>
                          <w:rPr>
                            <w:rFonts w:ascii="Times New Roman"/>
                            <w:sz w:val="21"/>
                          </w:rPr>
                          <w:t>0.0003</w:t>
                        </w:r>
                      </w:p>
                    </w:tc>
                    <w:tc>
                      <w:tcPr>
                        <w:tcW w:w="1312" w:type="dxa"/>
                      </w:tcPr>
                      <w:p>
                        <w:pPr>
                          <w:pStyle w:val="TableParagraph"/>
                          <w:spacing w:before="121"/>
                          <w:ind w:right="255"/>
                          <w:jc w:val="right"/>
                          <w:rPr>
                            <w:rFonts w:ascii="Times New Roman" w:eastAsia="Times New Roman"/>
                            <w:sz w:val="21"/>
                          </w:rPr>
                        </w:pPr>
                        <w:r>
                          <w:rPr>
                            <w:sz w:val="21"/>
                          </w:rPr>
                          <w:t>＜</w:t>
                        </w:r>
                        <w:r>
                          <w:rPr>
                            <w:rFonts w:ascii="Times New Roman" w:eastAsia="Times New Roman"/>
                            <w:sz w:val="21"/>
                          </w:rPr>
                          <w:t>0.0003</w:t>
                        </w:r>
                      </w:p>
                    </w:tc>
                    <w:tc>
                      <w:tcPr>
                        <w:tcW w:w="1136" w:type="dxa"/>
                      </w:tcPr>
                      <w:p>
                        <w:pPr>
                          <w:pStyle w:val="TableParagraph"/>
                          <w:spacing w:before="121"/>
                          <w:ind w:left="101" w:right="101"/>
                          <w:rPr>
                            <w:rFonts w:ascii="Times New Roman" w:eastAsia="Times New Roman"/>
                            <w:sz w:val="21"/>
                          </w:rPr>
                        </w:pPr>
                        <w:r>
                          <w:rPr>
                            <w:sz w:val="21"/>
                          </w:rPr>
                          <w:t>＜</w:t>
                        </w:r>
                        <w:r>
                          <w:rPr>
                            <w:rFonts w:ascii="Times New Roman" w:eastAsia="Times New Roman"/>
                            <w:sz w:val="21"/>
                          </w:rPr>
                          <w:t>0.0003</w:t>
                        </w:r>
                      </w:p>
                    </w:tc>
                    <w:tc>
                      <w:tcPr>
                        <w:tcW w:w="994" w:type="dxa"/>
                      </w:tcPr>
                      <w:p>
                        <w:pPr>
                          <w:pStyle w:val="TableParagraph"/>
                          <w:spacing w:before="1"/>
                          <w:rPr>
                            <w:sz w:val="21"/>
                          </w:rPr>
                        </w:pPr>
                        <w:r>
                          <w:rPr>
                            <w:w w:val="100"/>
                            <w:sz w:val="21"/>
                          </w:rPr>
                          <w:t>＜</w:t>
                        </w:r>
                      </w:p>
                      <w:p>
                        <w:pPr>
                          <w:pStyle w:val="TableParagraph"/>
                          <w:spacing w:line="222" w:lineRule="exact" w:before="1"/>
                          <w:ind w:left="133" w:right="133"/>
                          <w:rPr>
                            <w:rFonts w:ascii="Times New Roman"/>
                            <w:sz w:val="21"/>
                          </w:rPr>
                        </w:pPr>
                        <w:r>
                          <w:rPr>
                            <w:rFonts w:ascii="Times New Roman"/>
                            <w:sz w:val="21"/>
                          </w:rPr>
                          <w:t>0.0003</w:t>
                        </w:r>
                      </w:p>
                    </w:tc>
                    <w:tc>
                      <w:tcPr>
                        <w:tcW w:w="995" w:type="dxa"/>
                      </w:tcPr>
                      <w:p>
                        <w:pPr>
                          <w:pStyle w:val="TableParagraph"/>
                          <w:spacing w:before="135"/>
                          <w:ind w:left="154" w:right="155"/>
                          <w:rPr>
                            <w:rFonts w:ascii="Times New Roman"/>
                            <w:sz w:val="21"/>
                          </w:rPr>
                        </w:pPr>
                        <w:r>
                          <w:rPr>
                            <w:rFonts w:ascii="Times New Roman"/>
                            <w:sz w:val="21"/>
                          </w:rPr>
                          <w:t>0.002</w:t>
                        </w:r>
                      </w:p>
                    </w:tc>
                    <w:tc>
                      <w:tcPr>
                        <w:tcW w:w="670" w:type="dxa"/>
                      </w:tcPr>
                      <w:p>
                        <w:pPr>
                          <w:pStyle w:val="TableParagraph"/>
                          <w:spacing w:before="121"/>
                          <w:ind w:right="120"/>
                          <w:jc w:val="right"/>
                          <w:rPr>
                            <w:sz w:val="21"/>
                          </w:rPr>
                        </w:pPr>
                        <w:r>
                          <w:rPr>
                            <w:sz w:val="21"/>
                          </w:rPr>
                          <w:t>达标</w:t>
                        </w:r>
                      </w:p>
                    </w:tc>
                  </w:tr>
                  <w:tr>
                    <w:trPr>
                      <w:trHeight w:val="282" w:hRule="atLeast"/>
                    </w:trPr>
                    <w:tc>
                      <w:tcPr>
                        <w:tcW w:w="2076" w:type="dxa"/>
                      </w:tcPr>
                      <w:p>
                        <w:pPr>
                          <w:pStyle w:val="TableParagraph"/>
                          <w:spacing w:line="255" w:lineRule="exact" w:before="8"/>
                          <w:ind w:left="15" w:right="10"/>
                          <w:rPr>
                            <w:sz w:val="21"/>
                          </w:rPr>
                        </w:pPr>
                        <w:r>
                          <w:rPr>
                            <w:sz w:val="21"/>
                          </w:rPr>
                          <w:t>阴离子表面活性剂</w:t>
                        </w:r>
                      </w:p>
                    </w:tc>
                    <w:tc>
                      <w:tcPr>
                        <w:tcW w:w="1201" w:type="dxa"/>
                      </w:tcPr>
                      <w:p>
                        <w:pPr>
                          <w:pStyle w:val="TableParagraph"/>
                          <w:spacing w:line="255" w:lineRule="exact" w:before="8"/>
                          <w:ind w:left="184" w:right="181"/>
                          <w:rPr>
                            <w:rFonts w:ascii="Times New Roman" w:eastAsia="Times New Roman"/>
                            <w:sz w:val="21"/>
                          </w:rPr>
                        </w:pPr>
                        <w:r>
                          <w:rPr>
                            <w:sz w:val="21"/>
                          </w:rPr>
                          <w:t>＜</w:t>
                        </w:r>
                        <w:r>
                          <w:rPr>
                            <w:rFonts w:ascii="Times New Roman" w:eastAsia="Times New Roman"/>
                            <w:sz w:val="21"/>
                          </w:rPr>
                          <w:t>0.05</w:t>
                        </w:r>
                      </w:p>
                    </w:tc>
                    <w:tc>
                      <w:tcPr>
                        <w:tcW w:w="908" w:type="dxa"/>
                      </w:tcPr>
                      <w:p>
                        <w:pPr>
                          <w:pStyle w:val="TableParagraph"/>
                          <w:spacing w:line="255" w:lineRule="exact" w:before="8"/>
                          <w:ind w:left="90" w:right="87"/>
                          <w:rPr>
                            <w:rFonts w:ascii="Times New Roman" w:eastAsia="Times New Roman"/>
                            <w:sz w:val="21"/>
                          </w:rPr>
                        </w:pPr>
                        <w:r>
                          <w:rPr>
                            <w:sz w:val="21"/>
                          </w:rPr>
                          <w:t>＜</w:t>
                        </w:r>
                        <w:r>
                          <w:rPr>
                            <w:rFonts w:ascii="Times New Roman" w:eastAsia="Times New Roman"/>
                            <w:sz w:val="21"/>
                          </w:rPr>
                          <w:t>0.05</w:t>
                        </w:r>
                      </w:p>
                    </w:tc>
                    <w:tc>
                      <w:tcPr>
                        <w:tcW w:w="1312" w:type="dxa"/>
                      </w:tcPr>
                      <w:p>
                        <w:pPr>
                          <w:pStyle w:val="TableParagraph"/>
                          <w:spacing w:line="255" w:lineRule="exact" w:before="8"/>
                          <w:ind w:right="360"/>
                          <w:jc w:val="right"/>
                          <w:rPr>
                            <w:rFonts w:ascii="Times New Roman" w:eastAsia="Times New Roman"/>
                            <w:sz w:val="21"/>
                          </w:rPr>
                        </w:pPr>
                        <w:r>
                          <w:rPr>
                            <w:sz w:val="21"/>
                          </w:rPr>
                          <w:t>＜</w:t>
                        </w:r>
                        <w:r>
                          <w:rPr>
                            <w:rFonts w:ascii="Times New Roman" w:eastAsia="Times New Roman"/>
                            <w:sz w:val="21"/>
                          </w:rPr>
                          <w:t>0.05</w:t>
                        </w:r>
                      </w:p>
                    </w:tc>
                    <w:tc>
                      <w:tcPr>
                        <w:tcW w:w="1136" w:type="dxa"/>
                      </w:tcPr>
                      <w:p>
                        <w:pPr>
                          <w:pStyle w:val="TableParagraph"/>
                          <w:spacing w:line="255" w:lineRule="exact" w:before="8"/>
                          <w:ind w:left="102" w:right="101"/>
                          <w:rPr>
                            <w:rFonts w:ascii="Times New Roman" w:eastAsia="Times New Roman"/>
                            <w:sz w:val="21"/>
                          </w:rPr>
                        </w:pPr>
                        <w:r>
                          <w:rPr>
                            <w:sz w:val="21"/>
                          </w:rPr>
                          <w:t>＜</w:t>
                        </w:r>
                        <w:r>
                          <w:rPr>
                            <w:rFonts w:ascii="Times New Roman" w:eastAsia="Times New Roman"/>
                            <w:sz w:val="21"/>
                          </w:rPr>
                          <w:t>0.05</w:t>
                        </w:r>
                      </w:p>
                    </w:tc>
                    <w:tc>
                      <w:tcPr>
                        <w:tcW w:w="994" w:type="dxa"/>
                      </w:tcPr>
                      <w:p>
                        <w:pPr>
                          <w:pStyle w:val="TableParagraph"/>
                          <w:spacing w:line="255" w:lineRule="exact" w:before="8"/>
                          <w:ind w:left="133" w:right="133"/>
                          <w:rPr>
                            <w:rFonts w:ascii="Times New Roman" w:eastAsia="Times New Roman"/>
                            <w:sz w:val="21"/>
                          </w:rPr>
                        </w:pPr>
                        <w:r>
                          <w:rPr>
                            <w:sz w:val="21"/>
                          </w:rPr>
                          <w:t>＜</w:t>
                        </w:r>
                        <w:r>
                          <w:rPr>
                            <w:rFonts w:ascii="Times New Roman" w:eastAsia="Times New Roman"/>
                            <w:sz w:val="21"/>
                          </w:rPr>
                          <w:t>0.05</w:t>
                        </w:r>
                      </w:p>
                    </w:tc>
                    <w:tc>
                      <w:tcPr>
                        <w:tcW w:w="995" w:type="dxa"/>
                      </w:tcPr>
                      <w:p>
                        <w:pPr>
                          <w:pStyle w:val="TableParagraph"/>
                          <w:spacing w:line="241" w:lineRule="exact" w:before="22"/>
                          <w:ind w:left="155" w:right="155"/>
                          <w:rPr>
                            <w:rFonts w:ascii="Times New Roman"/>
                            <w:sz w:val="21"/>
                          </w:rPr>
                        </w:pPr>
                        <w:r>
                          <w:rPr>
                            <w:rFonts w:ascii="Times New Roman"/>
                            <w:sz w:val="21"/>
                          </w:rPr>
                          <w:t>0.3</w:t>
                        </w:r>
                      </w:p>
                    </w:tc>
                    <w:tc>
                      <w:tcPr>
                        <w:tcW w:w="670" w:type="dxa"/>
                      </w:tcPr>
                      <w:p>
                        <w:pPr>
                          <w:pStyle w:val="TableParagraph"/>
                          <w:spacing w:line="255" w:lineRule="exact" w:before="8"/>
                          <w:ind w:right="120"/>
                          <w:jc w:val="right"/>
                          <w:rPr>
                            <w:sz w:val="21"/>
                          </w:rPr>
                        </w:pPr>
                        <w:r>
                          <w:rPr>
                            <w:sz w:val="21"/>
                          </w:rPr>
                          <w:t>达标</w:t>
                        </w:r>
                      </w:p>
                    </w:tc>
                  </w:tr>
                  <w:tr>
                    <w:trPr>
                      <w:trHeight w:val="285" w:hRule="atLeast"/>
                    </w:trPr>
                    <w:tc>
                      <w:tcPr>
                        <w:tcW w:w="2076" w:type="dxa"/>
                      </w:tcPr>
                      <w:p>
                        <w:pPr>
                          <w:pStyle w:val="TableParagraph"/>
                          <w:spacing w:line="257" w:lineRule="exact" w:before="8"/>
                          <w:ind w:left="14" w:right="10"/>
                          <w:rPr>
                            <w:rFonts w:ascii="Times New Roman" w:eastAsia="Times New Roman"/>
                            <w:sz w:val="21"/>
                          </w:rPr>
                        </w:pPr>
                        <w:r>
                          <w:rPr>
                            <w:sz w:val="21"/>
                          </w:rPr>
                          <w:t>耗氧量 </w:t>
                        </w:r>
                        <w:r>
                          <w:rPr>
                            <w:rFonts w:ascii="Times New Roman" w:eastAsia="Times New Roman"/>
                            <w:sz w:val="21"/>
                          </w:rPr>
                          <w:t>mg/L</w:t>
                        </w:r>
                      </w:p>
                    </w:tc>
                    <w:tc>
                      <w:tcPr>
                        <w:tcW w:w="1201" w:type="dxa"/>
                      </w:tcPr>
                      <w:p>
                        <w:pPr>
                          <w:pStyle w:val="TableParagraph"/>
                          <w:spacing w:before="22"/>
                          <w:ind w:left="184" w:right="181"/>
                          <w:rPr>
                            <w:rFonts w:ascii="Times New Roman"/>
                            <w:sz w:val="21"/>
                          </w:rPr>
                        </w:pPr>
                        <w:r>
                          <w:rPr>
                            <w:rFonts w:ascii="Times New Roman"/>
                            <w:sz w:val="21"/>
                          </w:rPr>
                          <w:t>2.3</w:t>
                        </w:r>
                      </w:p>
                    </w:tc>
                    <w:tc>
                      <w:tcPr>
                        <w:tcW w:w="908" w:type="dxa"/>
                      </w:tcPr>
                      <w:p>
                        <w:pPr>
                          <w:pStyle w:val="TableParagraph"/>
                          <w:spacing w:before="22"/>
                          <w:ind w:left="90" w:right="87"/>
                          <w:rPr>
                            <w:rFonts w:ascii="Times New Roman"/>
                            <w:sz w:val="21"/>
                          </w:rPr>
                        </w:pPr>
                        <w:r>
                          <w:rPr>
                            <w:rFonts w:ascii="Times New Roman"/>
                            <w:sz w:val="21"/>
                          </w:rPr>
                          <w:t>2.7</w:t>
                        </w:r>
                      </w:p>
                    </w:tc>
                    <w:tc>
                      <w:tcPr>
                        <w:tcW w:w="1312" w:type="dxa"/>
                      </w:tcPr>
                      <w:p>
                        <w:pPr>
                          <w:pStyle w:val="TableParagraph"/>
                          <w:spacing w:before="22"/>
                          <w:ind w:left="423" w:right="423"/>
                          <w:rPr>
                            <w:rFonts w:ascii="Times New Roman"/>
                            <w:sz w:val="21"/>
                          </w:rPr>
                        </w:pPr>
                        <w:r>
                          <w:rPr>
                            <w:rFonts w:ascii="Times New Roman"/>
                            <w:sz w:val="21"/>
                          </w:rPr>
                          <w:t>2.6</w:t>
                        </w:r>
                      </w:p>
                    </w:tc>
                    <w:tc>
                      <w:tcPr>
                        <w:tcW w:w="1136" w:type="dxa"/>
                      </w:tcPr>
                      <w:p>
                        <w:pPr>
                          <w:pStyle w:val="TableParagraph"/>
                          <w:spacing w:before="22"/>
                          <w:ind w:left="102" w:right="101"/>
                          <w:rPr>
                            <w:rFonts w:ascii="Times New Roman"/>
                            <w:sz w:val="21"/>
                          </w:rPr>
                        </w:pPr>
                        <w:r>
                          <w:rPr>
                            <w:rFonts w:ascii="Times New Roman"/>
                            <w:sz w:val="21"/>
                          </w:rPr>
                          <w:t>2.4</w:t>
                        </w:r>
                      </w:p>
                    </w:tc>
                    <w:tc>
                      <w:tcPr>
                        <w:tcW w:w="994" w:type="dxa"/>
                      </w:tcPr>
                      <w:p>
                        <w:pPr>
                          <w:pStyle w:val="TableParagraph"/>
                          <w:spacing w:before="22"/>
                          <w:ind w:left="133" w:right="133"/>
                          <w:rPr>
                            <w:rFonts w:ascii="Times New Roman"/>
                            <w:sz w:val="21"/>
                          </w:rPr>
                        </w:pPr>
                        <w:r>
                          <w:rPr>
                            <w:rFonts w:ascii="Times New Roman"/>
                            <w:sz w:val="21"/>
                          </w:rPr>
                          <w:t>2.5</w:t>
                        </w:r>
                      </w:p>
                    </w:tc>
                    <w:tc>
                      <w:tcPr>
                        <w:tcW w:w="995" w:type="dxa"/>
                      </w:tcPr>
                      <w:p>
                        <w:pPr>
                          <w:pStyle w:val="TableParagraph"/>
                          <w:spacing w:before="22"/>
                          <w:ind w:left="155" w:right="155"/>
                          <w:rPr>
                            <w:rFonts w:ascii="Times New Roman"/>
                            <w:sz w:val="21"/>
                          </w:rPr>
                        </w:pPr>
                        <w:r>
                          <w:rPr>
                            <w:rFonts w:ascii="Times New Roman"/>
                            <w:sz w:val="21"/>
                          </w:rPr>
                          <w:t>3.0</w:t>
                        </w:r>
                      </w:p>
                    </w:tc>
                    <w:tc>
                      <w:tcPr>
                        <w:tcW w:w="670" w:type="dxa"/>
                      </w:tcPr>
                      <w:p>
                        <w:pPr>
                          <w:pStyle w:val="TableParagraph"/>
                          <w:spacing w:line="257" w:lineRule="exact" w:before="8"/>
                          <w:ind w:right="120"/>
                          <w:jc w:val="right"/>
                          <w:rPr>
                            <w:sz w:val="21"/>
                          </w:rPr>
                        </w:pPr>
                        <w:r>
                          <w:rPr>
                            <w:sz w:val="21"/>
                          </w:rPr>
                          <w:t>达标</w:t>
                        </w:r>
                      </w:p>
                    </w:tc>
                  </w:tr>
                  <w:tr>
                    <w:trPr>
                      <w:trHeight w:val="283" w:hRule="atLeast"/>
                    </w:trPr>
                    <w:tc>
                      <w:tcPr>
                        <w:tcW w:w="2076" w:type="dxa"/>
                      </w:tcPr>
                      <w:p>
                        <w:pPr>
                          <w:pStyle w:val="TableParagraph"/>
                          <w:spacing w:line="257" w:lineRule="exact" w:before="6"/>
                          <w:ind w:left="14" w:right="10"/>
                          <w:rPr>
                            <w:rFonts w:ascii="Times New Roman" w:eastAsia="Times New Roman"/>
                            <w:sz w:val="21"/>
                          </w:rPr>
                        </w:pPr>
                        <w:r>
                          <w:rPr>
                            <w:sz w:val="21"/>
                          </w:rPr>
                          <w:t>氨氮 </w:t>
                        </w:r>
                        <w:r>
                          <w:rPr>
                            <w:rFonts w:ascii="Times New Roman" w:eastAsia="Times New Roman"/>
                            <w:sz w:val="21"/>
                          </w:rPr>
                          <w:t>mg/L</w:t>
                        </w:r>
                      </w:p>
                    </w:tc>
                    <w:tc>
                      <w:tcPr>
                        <w:tcW w:w="1201" w:type="dxa"/>
                      </w:tcPr>
                      <w:p>
                        <w:pPr>
                          <w:pStyle w:val="TableParagraph"/>
                          <w:spacing w:before="20"/>
                          <w:ind w:left="184" w:right="181"/>
                          <w:rPr>
                            <w:rFonts w:ascii="Times New Roman"/>
                            <w:sz w:val="21"/>
                          </w:rPr>
                        </w:pPr>
                        <w:r>
                          <w:rPr>
                            <w:rFonts w:ascii="Times New Roman"/>
                            <w:sz w:val="21"/>
                          </w:rPr>
                          <w:t>0.393</w:t>
                        </w:r>
                      </w:p>
                    </w:tc>
                    <w:tc>
                      <w:tcPr>
                        <w:tcW w:w="908" w:type="dxa"/>
                      </w:tcPr>
                      <w:p>
                        <w:pPr>
                          <w:pStyle w:val="TableParagraph"/>
                          <w:spacing w:before="20"/>
                          <w:ind w:left="90" w:right="87"/>
                          <w:rPr>
                            <w:rFonts w:ascii="Times New Roman"/>
                            <w:sz w:val="21"/>
                          </w:rPr>
                        </w:pPr>
                        <w:r>
                          <w:rPr>
                            <w:rFonts w:ascii="Times New Roman"/>
                            <w:sz w:val="21"/>
                          </w:rPr>
                          <w:t>0.348</w:t>
                        </w:r>
                      </w:p>
                    </w:tc>
                    <w:tc>
                      <w:tcPr>
                        <w:tcW w:w="1312" w:type="dxa"/>
                      </w:tcPr>
                      <w:p>
                        <w:pPr>
                          <w:pStyle w:val="TableParagraph"/>
                          <w:spacing w:before="20"/>
                          <w:ind w:left="416"/>
                          <w:jc w:val="left"/>
                          <w:rPr>
                            <w:rFonts w:ascii="Times New Roman"/>
                            <w:sz w:val="21"/>
                          </w:rPr>
                        </w:pPr>
                        <w:r>
                          <w:rPr>
                            <w:rFonts w:ascii="Times New Roman"/>
                            <w:sz w:val="21"/>
                          </w:rPr>
                          <w:t>0.465</w:t>
                        </w:r>
                      </w:p>
                    </w:tc>
                    <w:tc>
                      <w:tcPr>
                        <w:tcW w:w="1136" w:type="dxa"/>
                      </w:tcPr>
                      <w:p>
                        <w:pPr>
                          <w:pStyle w:val="TableParagraph"/>
                          <w:spacing w:before="20"/>
                          <w:ind w:left="102" w:right="101"/>
                          <w:rPr>
                            <w:rFonts w:ascii="Times New Roman"/>
                            <w:sz w:val="21"/>
                          </w:rPr>
                        </w:pPr>
                        <w:r>
                          <w:rPr>
                            <w:rFonts w:ascii="Times New Roman"/>
                            <w:sz w:val="21"/>
                          </w:rPr>
                          <w:t>0.360</w:t>
                        </w:r>
                      </w:p>
                    </w:tc>
                    <w:tc>
                      <w:tcPr>
                        <w:tcW w:w="994" w:type="dxa"/>
                      </w:tcPr>
                      <w:p>
                        <w:pPr>
                          <w:pStyle w:val="TableParagraph"/>
                          <w:spacing w:before="20"/>
                          <w:ind w:left="133" w:right="133"/>
                          <w:rPr>
                            <w:rFonts w:ascii="Times New Roman"/>
                            <w:sz w:val="21"/>
                          </w:rPr>
                        </w:pPr>
                        <w:r>
                          <w:rPr>
                            <w:rFonts w:ascii="Times New Roman"/>
                            <w:sz w:val="21"/>
                          </w:rPr>
                          <w:t>0.420</w:t>
                        </w:r>
                      </w:p>
                    </w:tc>
                    <w:tc>
                      <w:tcPr>
                        <w:tcW w:w="995" w:type="dxa"/>
                      </w:tcPr>
                      <w:p>
                        <w:pPr>
                          <w:pStyle w:val="TableParagraph"/>
                          <w:spacing w:before="20"/>
                          <w:ind w:left="154" w:right="155"/>
                          <w:rPr>
                            <w:rFonts w:ascii="Times New Roman"/>
                            <w:sz w:val="21"/>
                          </w:rPr>
                        </w:pPr>
                        <w:r>
                          <w:rPr>
                            <w:rFonts w:ascii="Times New Roman"/>
                            <w:sz w:val="21"/>
                          </w:rPr>
                          <w:t>0.50</w:t>
                        </w:r>
                      </w:p>
                    </w:tc>
                    <w:tc>
                      <w:tcPr>
                        <w:tcW w:w="670" w:type="dxa"/>
                      </w:tcPr>
                      <w:p>
                        <w:pPr>
                          <w:pStyle w:val="TableParagraph"/>
                          <w:spacing w:line="257" w:lineRule="exact" w:before="6"/>
                          <w:ind w:right="120"/>
                          <w:jc w:val="right"/>
                          <w:rPr>
                            <w:sz w:val="21"/>
                          </w:rPr>
                        </w:pPr>
                        <w:r>
                          <w:rPr>
                            <w:sz w:val="21"/>
                          </w:rPr>
                          <w:t>达标</w:t>
                        </w:r>
                      </w:p>
                    </w:tc>
                  </w:tr>
                  <w:tr>
                    <w:trPr>
                      <w:trHeight w:val="286" w:hRule="atLeast"/>
                    </w:trPr>
                    <w:tc>
                      <w:tcPr>
                        <w:tcW w:w="2076" w:type="dxa"/>
                      </w:tcPr>
                      <w:p>
                        <w:pPr>
                          <w:pStyle w:val="TableParagraph"/>
                          <w:spacing w:line="257" w:lineRule="exact" w:before="9"/>
                          <w:ind w:left="14" w:right="10"/>
                          <w:rPr>
                            <w:rFonts w:ascii="Times New Roman" w:eastAsia="Times New Roman"/>
                            <w:sz w:val="21"/>
                          </w:rPr>
                        </w:pPr>
                        <w:r>
                          <w:rPr>
                            <w:sz w:val="21"/>
                          </w:rPr>
                          <w:t>硫化物 </w:t>
                        </w:r>
                        <w:r>
                          <w:rPr>
                            <w:rFonts w:ascii="Times New Roman" w:eastAsia="Times New Roman"/>
                            <w:sz w:val="21"/>
                          </w:rPr>
                          <w:t>mg/L</w:t>
                        </w:r>
                      </w:p>
                    </w:tc>
                    <w:tc>
                      <w:tcPr>
                        <w:tcW w:w="1201" w:type="dxa"/>
                      </w:tcPr>
                      <w:p>
                        <w:pPr>
                          <w:pStyle w:val="TableParagraph"/>
                          <w:spacing w:line="257" w:lineRule="exact" w:before="9"/>
                          <w:ind w:left="184" w:right="183"/>
                          <w:rPr>
                            <w:rFonts w:ascii="Times New Roman" w:eastAsia="Times New Roman"/>
                            <w:sz w:val="21"/>
                          </w:rPr>
                        </w:pPr>
                        <w:r>
                          <w:rPr>
                            <w:sz w:val="21"/>
                          </w:rPr>
                          <w:t>＜</w:t>
                        </w:r>
                        <w:r>
                          <w:rPr>
                            <w:rFonts w:ascii="Times New Roman" w:eastAsia="Times New Roman"/>
                            <w:sz w:val="21"/>
                          </w:rPr>
                          <w:t>0.005</w:t>
                        </w:r>
                      </w:p>
                    </w:tc>
                    <w:tc>
                      <w:tcPr>
                        <w:tcW w:w="908" w:type="dxa"/>
                      </w:tcPr>
                      <w:p>
                        <w:pPr>
                          <w:pStyle w:val="TableParagraph"/>
                          <w:spacing w:line="257" w:lineRule="exact" w:before="9"/>
                          <w:ind w:left="92" w:right="87"/>
                          <w:rPr>
                            <w:rFonts w:ascii="Times New Roman" w:eastAsia="Times New Roman"/>
                            <w:sz w:val="21"/>
                          </w:rPr>
                        </w:pPr>
                        <w:r>
                          <w:rPr>
                            <w:sz w:val="21"/>
                          </w:rPr>
                          <w:t>＜</w:t>
                        </w:r>
                        <w:r>
                          <w:rPr>
                            <w:rFonts w:ascii="Times New Roman" w:eastAsia="Times New Roman"/>
                            <w:sz w:val="21"/>
                          </w:rPr>
                          <w:t>0.005</w:t>
                        </w:r>
                      </w:p>
                    </w:tc>
                    <w:tc>
                      <w:tcPr>
                        <w:tcW w:w="1312" w:type="dxa"/>
                      </w:tcPr>
                      <w:p>
                        <w:pPr>
                          <w:pStyle w:val="TableParagraph"/>
                          <w:spacing w:line="257" w:lineRule="exact" w:before="9"/>
                          <w:ind w:right="307"/>
                          <w:jc w:val="right"/>
                          <w:rPr>
                            <w:rFonts w:ascii="Times New Roman" w:eastAsia="Times New Roman"/>
                            <w:sz w:val="21"/>
                          </w:rPr>
                        </w:pPr>
                        <w:r>
                          <w:rPr>
                            <w:sz w:val="21"/>
                          </w:rPr>
                          <w:t>＜</w:t>
                        </w:r>
                        <w:r>
                          <w:rPr>
                            <w:rFonts w:ascii="Times New Roman" w:eastAsia="Times New Roman"/>
                            <w:sz w:val="21"/>
                          </w:rPr>
                          <w:t>0.005</w:t>
                        </w:r>
                      </w:p>
                    </w:tc>
                    <w:tc>
                      <w:tcPr>
                        <w:tcW w:w="1136" w:type="dxa"/>
                      </w:tcPr>
                      <w:p>
                        <w:pPr>
                          <w:pStyle w:val="TableParagraph"/>
                          <w:spacing w:line="257" w:lineRule="exact" w:before="9"/>
                          <w:ind w:left="101" w:right="101"/>
                          <w:rPr>
                            <w:rFonts w:ascii="Times New Roman" w:eastAsia="Times New Roman"/>
                            <w:sz w:val="21"/>
                          </w:rPr>
                        </w:pPr>
                        <w:r>
                          <w:rPr>
                            <w:sz w:val="21"/>
                          </w:rPr>
                          <w:t>＜</w:t>
                        </w:r>
                        <w:r>
                          <w:rPr>
                            <w:rFonts w:ascii="Times New Roman" w:eastAsia="Times New Roman"/>
                            <w:sz w:val="21"/>
                          </w:rPr>
                          <w:t>0.005</w:t>
                        </w:r>
                      </w:p>
                    </w:tc>
                    <w:tc>
                      <w:tcPr>
                        <w:tcW w:w="994" w:type="dxa"/>
                      </w:tcPr>
                      <w:p>
                        <w:pPr>
                          <w:pStyle w:val="TableParagraph"/>
                          <w:spacing w:line="257" w:lineRule="exact" w:before="9"/>
                          <w:ind w:left="133" w:right="133"/>
                          <w:rPr>
                            <w:rFonts w:ascii="Times New Roman" w:eastAsia="Times New Roman"/>
                            <w:sz w:val="21"/>
                          </w:rPr>
                        </w:pPr>
                        <w:r>
                          <w:rPr>
                            <w:sz w:val="21"/>
                          </w:rPr>
                          <w:t>＜</w:t>
                        </w:r>
                        <w:r>
                          <w:rPr>
                            <w:rFonts w:ascii="Times New Roman" w:eastAsia="Times New Roman"/>
                            <w:sz w:val="21"/>
                          </w:rPr>
                          <w:t>0.005</w:t>
                        </w:r>
                      </w:p>
                    </w:tc>
                    <w:tc>
                      <w:tcPr>
                        <w:tcW w:w="995" w:type="dxa"/>
                      </w:tcPr>
                      <w:p>
                        <w:pPr>
                          <w:pStyle w:val="TableParagraph"/>
                          <w:spacing w:before="23"/>
                          <w:ind w:left="154" w:right="155"/>
                          <w:rPr>
                            <w:rFonts w:ascii="Times New Roman"/>
                            <w:sz w:val="21"/>
                          </w:rPr>
                        </w:pPr>
                        <w:r>
                          <w:rPr>
                            <w:rFonts w:ascii="Times New Roman"/>
                            <w:sz w:val="21"/>
                          </w:rPr>
                          <w:t>0.02</w:t>
                        </w:r>
                      </w:p>
                    </w:tc>
                    <w:tc>
                      <w:tcPr>
                        <w:tcW w:w="670" w:type="dxa"/>
                      </w:tcPr>
                      <w:p>
                        <w:pPr>
                          <w:pStyle w:val="TableParagraph"/>
                          <w:spacing w:line="257" w:lineRule="exact" w:before="9"/>
                          <w:ind w:right="120"/>
                          <w:jc w:val="right"/>
                          <w:rPr>
                            <w:sz w:val="21"/>
                          </w:rPr>
                        </w:pPr>
                        <w:r>
                          <w:rPr>
                            <w:sz w:val="21"/>
                          </w:rPr>
                          <w:t>达标</w:t>
                        </w:r>
                      </w:p>
                    </w:tc>
                  </w:tr>
                  <w:tr>
                    <w:trPr>
                      <w:trHeight w:val="513" w:hRule="atLeast"/>
                    </w:trPr>
                    <w:tc>
                      <w:tcPr>
                        <w:tcW w:w="2076" w:type="dxa"/>
                      </w:tcPr>
                      <w:p>
                        <w:pPr>
                          <w:pStyle w:val="TableParagraph"/>
                          <w:spacing w:before="1"/>
                          <w:ind w:left="511"/>
                          <w:jc w:val="left"/>
                          <w:rPr>
                            <w:sz w:val="21"/>
                          </w:rPr>
                        </w:pPr>
                        <w:r>
                          <w:rPr>
                            <w:spacing w:val="-1"/>
                            <w:sz w:val="21"/>
                          </w:rPr>
                          <w:t>总大肠菌群</w:t>
                        </w:r>
                      </w:p>
                      <w:p>
                        <w:pPr>
                          <w:pStyle w:val="TableParagraph"/>
                          <w:spacing w:line="222" w:lineRule="exact" w:before="1"/>
                          <w:ind w:left="477"/>
                          <w:jc w:val="left"/>
                          <w:rPr>
                            <w:rFonts w:ascii="Times New Roman"/>
                            <w:sz w:val="21"/>
                          </w:rPr>
                        </w:pPr>
                        <w:r>
                          <w:rPr>
                            <w:rFonts w:ascii="Times New Roman"/>
                            <w:sz w:val="21"/>
                          </w:rPr>
                          <w:t>MPN/100mL</w:t>
                        </w:r>
                      </w:p>
                    </w:tc>
                    <w:tc>
                      <w:tcPr>
                        <w:tcW w:w="1201" w:type="dxa"/>
                      </w:tcPr>
                      <w:p>
                        <w:pPr>
                          <w:pStyle w:val="TableParagraph"/>
                          <w:spacing w:before="121"/>
                          <w:ind w:left="184" w:right="180"/>
                          <w:rPr>
                            <w:rFonts w:ascii="Times New Roman" w:eastAsia="Times New Roman"/>
                            <w:sz w:val="21"/>
                          </w:rPr>
                        </w:pPr>
                        <w:r>
                          <w:rPr>
                            <w:sz w:val="21"/>
                          </w:rPr>
                          <w:t>＜</w:t>
                        </w:r>
                        <w:r>
                          <w:rPr>
                            <w:rFonts w:ascii="Times New Roman" w:eastAsia="Times New Roman"/>
                            <w:sz w:val="21"/>
                          </w:rPr>
                          <w:t>1.0</w:t>
                        </w:r>
                      </w:p>
                    </w:tc>
                    <w:tc>
                      <w:tcPr>
                        <w:tcW w:w="908" w:type="dxa"/>
                      </w:tcPr>
                      <w:p>
                        <w:pPr>
                          <w:pStyle w:val="TableParagraph"/>
                          <w:spacing w:before="121"/>
                          <w:ind w:left="90" w:right="87"/>
                          <w:rPr>
                            <w:rFonts w:ascii="Times New Roman" w:eastAsia="Times New Roman"/>
                            <w:sz w:val="21"/>
                          </w:rPr>
                        </w:pPr>
                        <w:r>
                          <w:rPr>
                            <w:sz w:val="21"/>
                          </w:rPr>
                          <w:t>＜</w:t>
                        </w:r>
                        <w:r>
                          <w:rPr>
                            <w:rFonts w:ascii="Times New Roman" w:eastAsia="Times New Roman"/>
                            <w:sz w:val="21"/>
                          </w:rPr>
                          <w:t>1.0</w:t>
                        </w:r>
                      </w:p>
                    </w:tc>
                    <w:tc>
                      <w:tcPr>
                        <w:tcW w:w="1312" w:type="dxa"/>
                      </w:tcPr>
                      <w:p>
                        <w:pPr>
                          <w:pStyle w:val="TableParagraph"/>
                          <w:spacing w:before="121"/>
                          <w:ind w:left="416"/>
                          <w:jc w:val="left"/>
                          <w:rPr>
                            <w:rFonts w:ascii="Times New Roman" w:eastAsia="Times New Roman"/>
                            <w:sz w:val="21"/>
                          </w:rPr>
                        </w:pPr>
                        <w:r>
                          <w:rPr>
                            <w:sz w:val="21"/>
                          </w:rPr>
                          <w:t>＜</w:t>
                        </w:r>
                        <w:r>
                          <w:rPr>
                            <w:rFonts w:ascii="Times New Roman" w:eastAsia="Times New Roman"/>
                            <w:sz w:val="21"/>
                          </w:rPr>
                          <w:t>1.0</w:t>
                        </w:r>
                      </w:p>
                    </w:tc>
                    <w:tc>
                      <w:tcPr>
                        <w:tcW w:w="1136" w:type="dxa"/>
                      </w:tcPr>
                      <w:p>
                        <w:pPr>
                          <w:pStyle w:val="TableParagraph"/>
                          <w:spacing w:before="121"/>
                          <w:ind w:left="102" w:right="101"/>
                          <w:rPr>
                            <w:rFonts w:ascii="Times New Roman" w:eastAsia="Times New Roman"/>
                            <w:sz w:val="21"/>
                          </w:rPr>
                        </w:pPr>
                        <w:r>
                          <w:rPr>
                            <w:sz w:val="21"/>
                          </w:rPr>
                          <w:t>＜</w:t>
                        </w:r>
                        <w:r>
                          <w:rPr>
                            <w:rFonts w:ascii="Times New Roman" w:eastAsia="Times New Roman"/>
                            <w:sz w:val="21"/>
                          </w:rPr>
                          <w:t>1.0</w:t>
                        </w:r>
                      </w:p>
                    </w:tc>
                    <w:tc>
                      <w:tcPr>
                        <w:tcW w:w="994" w:type="dxa"/>
                      </w:tcPr>
                      <w:p>
                        <w:pPr>
                          <w:pStyle w:val="TableParagraph"/>
                          <w:spacing w:before="121"/>
                          <w:ind w:left="133" w:right="133"/>
                          <w:rPr>
                            <w:rFonts w:ascii="Times New Roman" w:eastAsia="Times New Roman"/>
                            <w:sz w:val="21"/>
                          </w:rPr>
                        </w:pPr>
                        <w:r>
                          <w:rPr>
                            <w:sz w:val="21"/>
                          </w:rPr>
                          <w:t>＜</w:t>
                        </w:r>
                        <w:r>
                          <w:rPr>
                            <w:rFonts w:ascii="Times New Roman" w:eastAsia="Times New Roman"/>
                            <w:sz w:val="21"/>
                          </w:rPr>
                          <w:t>1.0</w:t>
                        </w:r>
                      </w:p>
                    </w:tc>
                    <w:tc>
                      <w:tcPr>
                        <w:tcW w:w="995" w:type="dxa"/>
                      </w:tcPr>
                      <w:p>
                        <w:pPr>
                          <w:pStyle w:val="TableParagraph"/>
                          <w:spacing w:before="135"/>
                          <w:ind w:left="155" w:right="155"/>
                          <w:rPr>
                            <w:rFonts w:ascii="Times New Roman"/>
                            <w:sz w:val="21"/>
                          </w:rPr>
                        </w:pPr>
                        <w:r>
                          <w:rPr>
                            <w:rFonts w:ascii="Times New Roman"/>
                            <w:sz w:val="21"/>
                          </w:rPr>
                          <w:t>3.0</w:t>
                        </w:r>
                      </w:p>
                    </w:tc>
                    <w:tc>
                      <w:tcPr>
                        <w:tcW w:w="670" w:type="dxa"/>
                      </w:tcPr>
                      <w:p>
                        <w:pPr>
                          <w:pStyle w:val="TableParagraph"/>
                          <w:spacing w:before="121"/>
                          <w:ind w:right="120"/>
                          <w:jc w:val="right"/>
                          <w:rPr>
                            <w:sz w:val="21"/>
                          </w:rPr>
                        </w:pPr>
                        <w:r>
                          <w:rPr>
                            <w:sz w:val="21"/>
                          </w:rPr>
                          <w:t>达标</w:t>
                        </w:r>
                      </w:p>
                    </w:tc>
                  </w:tr>
                  <w:tr>
                    <w:trPr>
                      <w:trHeight w:val="282" w:hRule="atLeast"/>
                    </w:trPr>
                    <w:tc>
                      <w:tcPr>
                        <w:tcW w:w="2076" w:type="dxa"/>
                      </w:tcPr>
                      <w:p>
                        <w:pPr>
                          <w:pStyle w:val="TableParagraph"/>
                          <w:spacing w:line="257" w:lineRule="exact" w:before="6"/>
                          <w:ind w:left="13" w:right="10"/>
                          <w:rPr>
                            <w:rFonts w:ascii="Times New Roman" w:eastAsia="Times New Roman"/>
                            <w:sz w:val="21"/>
                          </w:rPr>
                        </w:pPr>
                        <w:r>
                          <w:rPr>
                            <w:sz w:val="21"/>
                          </w:rPr>
                          <w:t>菌落总数</w:t>
                        </w:r>
                        <w:r>
                          <w:rPr>
                            <w:rFonts w:ascii="Times New Roman" w:eastAsia="Times New Roman"/>
                            <w:sz w:val="21"/>
                          </w:rPr>
                          <w:t>CFU/mL</w:t>
                        </w:r>
                      </w:p>
                    </w:tc>
                    <w:tc>
                      <w:tcPr>
                        <w:tcW w:w="1201" w:type="dxa"/>
                      </w:tcPr>
                      <w:p>
                        <w:pPr>
                          <w:pStyle w:val="TableParagraph"/>
                          <w:spacing w:before="20"/>
                          <w:ind w:left="182" w:right="183"/>
                          <w:rPr>
                            <w:rFonts w:ascii="Times New Roman"/>
                            <w:sz w:val="21"/>
                          </w:rPr>
                        </w:pPr>
                        <w:r>
                          <w:rPr>
                            <w:rFonts w:ascii="Times New Roman"/>
                            <w:sz w:val="21"/>
                          </w:rPr>
                          <w:t>22</w:t>
                        </w:r>
                      </w:p>
                    </w:tc>
                    <w:tc>
                      <w:tcPr>
                        <w:tcW w:w="908" w:type="dxa"/>
                      </w:tcPr>
                      <w:p>
                        <w:pPr>
                          <w:pStyle w:val="TableParagraph"/>
                          <w:spacing w:before="20"/>
                          <w:ind w:left="90" w:right="87"/>
                          <w:rPr>
                            <w:rFonts w:ascii="Times New Roman"/>
                            <w:sz w:val="21"/>
                          </w:rPr>
                        </w:pPr>
                        <w:r>
                          <w:rPr>
                            <w:rFonts w:ascii="Times New Roman"/>
                            <w:sz w:val="21"/>
                          </w:rPr>
                          <w:t>35</w:t>
                        </w:r>
                      </w:p>
                    </w:tc>
                    <w:tc>
                      <w:tcPr>
                        <w:tcW w:w="1312" w:type="dxa"/>
                      </w:tcPr>
                      <w:p>
                        <w:pPr>
                          <w:pStyle w:val="TableParagraph"/>
                          <w:spacing w:before="20"/>
                          <w:ind w:left="423" w:right="423"/>
                          <w:rPr>
                            <w:rFonts w:ascii="Times New Roman"/>
                            <w:sz w:val="21"/>
                          </w:rPr>
                        </w:pPr>
                        <w:r>
                          <w:rPr>
                            <w:rFonts w:ascii="Times New Roman"/>
                            <w:sz w:val="21"/>
                          </w:rPr>
                          <w:t>27</w:t>
                        </w:r>
                      </w:p>
                    </w:tc>
                    <w:tc>
                      <w:tcPr>
                        <w:tcW w:w="1136" w:type="dxa"/>
                      </w:tcPr>
                      <w:p>
                        <w:pPr>
                          <w:pStyle w:val="TableParagraph"/>
                          <w:spacing w:before="20"/>
                          <w:ind w:left="100" w:right="101"/>
                          <w:rPr>
                            <w:rFonts w:ascii="Times New Roman"/>
                            <w:sz w:val="21"/>
                          </w:rPr>
                        </w:pPr>
                        <w:r>
                          <w:rPr>
                            <w:rFonts w:ascii="Times New Roman"/>
                            <w:sz w:val="21"/>
                          </w:rPr>
                          <w:t>30</w:t>
                        </w:r>
                      </w:p>
                    </w:tc>
                    <w:tc>
                      <w:tcPr>
                        <w:tcW w:w="994" w:type="dxa"/>
                      </w:tcPr>
                      <w:p>
                        <w:pPr>
                          <w:pStyle w:val="TableParagraph"/>
                          <w:spacing w:before="20"/>
                          <w:ind w:left="133" w:right="133"/>
                          <w:rPr>
                            <w:rFonts w:ascii="Times New Roman"/>
                            <w:sz w:val="21"/>
                          </w:rPr>
                        </w:pPr>
                        <w:r>
                          <w:rPr>
                            <w:rFonts w:ascii="Times New Roman"/>
                            <w:sz w:val="21"/>
                          </w:rPr>
                          <w:t>17</w:t>
                        </w:r>
                      </w:p>
                    </w:tc>
                    <w:tc>
                      <w:tcPr>
                        <w:tcW w:w="995" w:type="dxa"/>
                      </w:tcPr>
                      <w:p>
                        <w:pPr>
                          <w:pStyle w:val="TableParagraph"/>
                          <w:spacing w:before="20"/>
                          <w:ind w:left="155" w:right="155"/>
                          <w:rPr>
                            <w:rFonts w:ascii="Times New Roman"/>
                            <w:sz w:val="21"/>
                          </w:rPr>
                        </w:pPr>
                        <w:r>
                          <w:rPr>
                            <w:rFonts w:ascii="Times New Roman"/>
                            <w:sz w:val="21"/>
                          </w:rPr>
                          <w:t>100</w:t>
                        </w:r>
                      </w:p>
                    </w:tc>
                    <w:tc>
                      <w:tcPr>
                        <w:tcW w:w="670" w:type="dxa"/>
                      </w:tcPr>
                      <w:p>
                        <w:pPr>
                          <w:pStyle w:val="TableParagraph"/>
                          <w:spacing w:line="257" w:lineRule="exact" w:before="6"/>
                          <w:ind w:right="120"/>
                          <w:jc w:val="right"/>
                          <w:rPr>
                            <w:sz w:val="21"/>
                          </w:rPr>
                        </w:pPr>
                        <w:r>
                          <w:rPr>
                            <w:sz w:val="21"/>
                          </w:rPr>
                          <w:t>达标</w:t>
                        </w:r>
                      </w:p>
                    </w:tc>
                  </w:tr>
                  <w:tr>
                    <w:trPr>
                      <w:trHeight w:val="513" w:hRule="atLeast"/>
                    </w:trPr>
                    <w:tc>
                      <w:tcPr>
                        <w:tcW w:w="2076" w:type="dxa"/>
                      </w:tcPr>
                      <w:p>
                        <w:pPr>
                          <w:pStyle w:val="TableParagraph"/>
                          <w:spacing w:before="1"/>
                          <w:ind w:left="10" w:right="10"/>
                          <w:rPr>
                            <w:sz w:val="21"/>
                          </w:rPr>
                        </w:pPr>
                        <w:r>
                          <w:rPr>
                            <w:spacing w:val="-1"/>
                            <w:sz w:val="21"/>
                          </w:rPr>
                          <w:t>硝酸盐</w:t>
                        </w:r>
                        <w:r>
                          <w:rPr>
                            <w:spacing w:val="-3"/>
                            <w:sz w:val="21"/>
                          </w:rPr>
                          <w:t>（</w:t>
                        </w:r>
                        <w:r>
                          <w:rPr>
                            <w:spacing w:val="50"/>
                            <w:sz w:val="21"/>
                          </w:rPr>
                          <w:t>以</w:t>
                        </w:r>
                        <w:r>
                          <w:rPr>
                            <w:rFonts w:ascii="Times New Roman" w:eastAsia="Times New Roman"/>
                            <w:sz w:val="21"/>
                          </w:rPr>
                          <w:t>N </w:t>
                        </w:r>
                        <w:r>
                          <w:rPr>
                            <w:spacing w:val="-3"/>
                            <w:sz w:val="21"/>
                          </w:rPr>
                          <w:t>计）</w:t>
                        </w:r>
                      </w:p>
                      <w:p>
                        <w:pPr>
                          <w:pStyle w:val="TableParagraph"/>
                          <w:spacing w:line="222" w:lineRule="exact" w:before="1"/>
                          <w:ind w:left="11" w:right="10"/>
                          <w:rPr>
                            <w:rFonts w:ascii="Times New Roman"/>
                            <w:sz w:val="21"/>
                          </w:rPr>
                        </w:pPr>
                        <w:r>
                          <w:rPr>
                            <w:rFonts w:ascii="Times New Roman"/>
                            <w:sz w:val="21"/>
                          </w:rPr>
                          <w:t>mg/L</w:t>
                        </w:r>
                      </w:p>
                    </w:tc>
                    <w:tc>
                      <w:tcPr>
                        <w:tcW w:w="1201" w:type="dxa"/>
                      </w:tcPr>
                      <w:p>
                        <w:pPr>
                          <w:pStyle w:val="TableParagraph"/>
                          <w:spacing w:before="137"/>
                          <w:ind w:left="184" w:right="181"/>
                          <w:rPr>
                            <w:rFonts w:ascii="Times New Roman"/>
                            <w:sz w:val="21"/>
                          </w:rPr>
                        </w:pPr>
                        <w:r>
                          <w:rPr>
                            <w:rFonts w:ascii="Times New Roman"/>
                            <w:sz w:val="21"/>
                          </w:rPr>
                          <w:t>1.89</w:t>
                        </w:r>
                      </w:p>
                    </w:tc>
                    <w:tc>
                      <w:tcPr>
                        <w:tcW w:w="908" w:type="dxa"/>
                      </w:tcPr>
                      <w:p>
                        <w:pPr>
                          <w:pStyle w:val="TableParagraph"/>
                          <w:spacing w:before="137"/>
                          <w:ind w:left="90" w:right="87"/>
                          <w:rPr>
                            <w:rFonts w:ascii="Times New Roman"/>
                            <w:sz w:val="21"/>
                          </w:rPr>
                        </w:pPr>
                        <w:r>
                          <w:rPr>
                            <w:rFonts w:ascii="Times New Roman"/>
                            <w:sz w:val="21"/>
                          </w:rPr>
                          <w:t>1.44</w:t>
                        </w:r>
                      </w:p>
                    </w:tc>
                    <w:tc>
                      <w:tcPr>
                        <w:tcW w:w="1312" w:type="dxa"/>
                      </w:tcPr>
                      <w:p>
                        <w:pPr>
                          <w:pStyle w:val="TableParagraph"/>
                          <w:spacing w:before="137"/>
                          <w:ind w:left="423" w:right="423"/>
                          <w:rPr>
                            <w:rFonts w:ascii="Times New Roman"/>
                            <w:sz w:val="21"/>
                          </w:rPr>
                        </w:pPr>
                        <w:r>
                          <w:rPr>
                            <w:rFonts w:ascii="Times New Roman"/>
                            <w:sz w:val="21"/>
                          </w:rPr>
                          <w:t>1.15</w:t>
                        </w:r>
                      </w:p>
                    </w:tc>
                    <w:tc>
                      <w:tcPr>
                        <w:tcW w:w="1136" w:type="dxa"/>
                      </w:tcPr>
                      <w:p>
                        <w:pPr>
                          <w:pStyle w:val="TableParagraph"/>
                          <w:spacing w:before="137"/>
                          <w:ind w:left="102" w:right="101"/>
                          <w:rPr>
                            <w:rFonts w:ascii="Times New Roman"/>
                            <w:sz w:val="21"/>
                          </w:rPr>
                        </w:pPr>
                        <w:r>
                          <w:rPr>
                            <w:rFonts w:ascii="Times New Roman"/>
                            <w:sz w:val="21"/>
                          </w:rPr>
                          <w:t>1.29</w:t>
                        </w:r>
                      </w:p>
                    </w:tc>
                    <w:tc>
                      <w:tcPr>
                        <w:tcW w:w="994" w:type="dxa"/>
                      </w:tcPr>
                      <w:p>
                        <w:pPr>
                          <w:pStyle w:val="TableParagraph"/>
                          <w:spacing w:before="137"/>
                          <w:ind w:left="133" w:right="133"/>
                          <w:rPr>
                            <w:rFonts w:ascii="Times New Roman"/>
                            <w:sz w:val="21"/>
                          </w:rPr>
                        </w:pPr>
                        <w:r>
                          <w:rPr>
                            <w:rFonts w:ascii="Times New Roman"/>
                            <w:sz w:val="21"/>
                          </w:rPr>
                          <w:t>1.66</w:t>
                        </w:r>
                      </w:p>
                    </w:tc>
                    <w:tc>
                      <w:tcPr>
                        <w:tcW w:w="995" w:type="dxa"/>
                      </w:tcPr>
                      <w:p>
                        <w:pPr>
                          <w:pStyle w:val="TableParagraph"/>
                          <w:spacing w:before="137"/>
                          <w:ind w:left="155" w:right="155"/>
                          <w:rPr>
                            <w:rFonts w:ascii="Times New Roman"/>
                            <w:sz w:val="21"/>
                          </w:rPr>
                        </w:pPr>
                        <w:r>
                          <w:rPr>
                            <w:rFonts w:ascii="Times New Roman"/>
                            <w:sz w:val="21"/>
                          </w:rPr>
                          <w:t>20</w:t>
                        </w:r>
                      </w:p>
                    </w:tc>
                    <w:tc>
                      <w:tcPr>
                        <w:tcW w:w="670" w:type="dxa"/>
                      </w:tcPr>
                      <w:p>
                        <w:pPr>
                          <w:pStyle w:val="TableParagraph"/>
                          <w:spacing w:before="123"/>
                          <w:ind w:right="120"/>
                          <w:jc w:val="right"/>
                          <w:rPr>
                            <w:sz w:val="21"/>
                          </w:rPr>
                        </w:pPr>
                        <w:r>
                          <w:rPr>
                            <w:sz w:val="21"/>
                          </w:rPr>
                          <w:t>达标</w:t>
                        </w:r>
                      </w:p>
                    </w:tc>
                  </w:tr>
                  <w:tr>
                    <w:trPr>
                      <w:trHeight w:val="515" w:hRule="atLeast"/>
                    </w:trPr>
                    <w:tc>
                      <w:tcPr>
                        <w:tcW w:w="2076" w:type="dxa"/>
                      </w:tcPr>
                      <w:p>
                        <w:pPr>
                          <w:pStyle w:val="TableParagraph"/>
                          <w:spacing w:before="3"/>
                          <w:ind w:left="93" w:right="10"/>
                          <w:rPr>
                            <w:sz w:val="21"/>
                          </w:rPr>
                        </w:pPr>
                        <w:r>
                          <w:rPr>
                            <w:spacing w:val="-1"/>
                            <w:sz w:val="21"/>
                          </w:rPr>
                          <w:t>亚硝酸盐</w:t>
                        </w:r>
                        <w:r>
                          <w:rPr>
                            <w:spacing w:val="-3"/>
                            <w:sz w:val="21"/>
                          </w:rPr>
                          <w:t>（</w:t>
                        </w:r>
                        <w:r>
                          <w:rPr>
                            <w:spacing w:val="50"/>
                            <w:sz w:val="21"/>
                          </w:rPr>
                          <w:t>以</w:t>
                        </w:r>
                        <w:r>
                          <w:rPr>
                            <w:rFonts w:ascii="Times New Roman" w:eastAsia="Times New Roman"/>
                            <w:sz w:val="21"/>
                          </w:rPr>
                          <w:t>N </w:t>
                        </w:r>
                        <w:r>
                          <w:rPr>
                            <w:sz w:val="21"/>
                          </w:rPr>
                          <w:t>计）</w:t>
                        </w:r>
                      </w:p>
                      <w:p>
                        <w:pPr>
                          <w:pStyle w:val="TableParagraph"/>
                          <w:spacing w:line="222" w:lineRule="exact" w:before="2"/>
                          <w:ind w:left="11" w:right="10"/>
                          <w:rPr>
                            <w:rFonts w:ascii="Times New Roman"/>
                            <w:sz w:val="21"/>
                          </w:rPr>
                        </w:pPr>
                        <w:r>
                          <w:rPr>
                            <w:rFonts w:ascii="Times New Roman"/>
                            <w:sz w:val="21"/>
                          </w:rPr>
                          <w:t>mg/L</w:t>
                        </w:r>
                      </w:p>
                    </w:tc>
                    <w:tc>
                      <w:tcPr>
                        <w:tcW w:w="1201" w:type="dxa"/>
                      </w:tcPr>
                      <w:p>
                        <w:pPr>
                          <w:pStyle w:val="TableParagraph"/>
                          <w:spacing w:before="123"/>
                          <w:ind w:left="184" w:right="183"/>
                          <w:rPr>
                            <w:rFonts w:ascii="Times New Roman" w:eastAsia="Times New Roman"/>
                            <w:sz w:val="21"/>
                          </w:rPr>
                        </w:pPr>
                        <w:r>
                          <w:rPr>
                            <w:sz w:val="21"/>
                          </w:rPr>
                          <w:t>＜</w:t>
                        </w:r>
                        <w:r>
                          <w:rPr>
                            <w:rFonts w:ascii="Times New Roman" w:eastAsia="Times New Roman"/>
                            <w:sz w:val="21"/>
                          </w:rPr>
                          <w:t>0.005</w:t>
                        </w:r>
                      </w:p>
                    </w:tc>
                    <w:tc>
                      <w:tcPr>
                        <w:tcW w:w="908" w:type="dxa"/>
                      </w:tcPr>
                      <w:p>
                        <w:pPr>
                          <w:pStyle w:val="TableParagraph"/>
                          <w:spacing w:before="123"/>
                          <w:ind w:left="92" w:right="87"/>
                          <w:rPr>
                            <w:rFonts w:ascii="Times New Roman" w:eastAsia="Times New Roman"/>
                            <w:sz w:val="21"/>
                          </w:rPr>
                        </w:pPr>
                        <w:r>
                          <w:rPr>
                            <w:sz w:val="21"/>
                          </w:rPr>
                          <w:t>＜</w:t>
                        </w:r>
                        <w:r>
                          <w:rPr>
                            <w:rFonts w:ascii="Times New Roman" w:eastAsia="Times New Roman"/>
                            <w:sz w:val="21"/>
                          </w:rPr>
                          <w:t>0.005</w:t>
                        </w:r>
                      </w:p>
                    </w:tc>
                    <w:tc>
                      <w:tcPr>
                        <w:tcW w:w="1312" w:type="dxa"/>
                      </w:tcPr>
                      <w:p>
                        <w:pPr>
                          <w:pStyle w:val="TableParagraph"/>
                          <w:spacing w:before="123"/>
                          <w:ind w:right="307"/>
                          <w:jc w:val="right"/>
                          <w:rPr>
                            <w:rFonts w:ascii="Times New Roman" w:eastAsia="Times New Roman"/>
                            <w:sz w:val="21"/>
                          </w:rPr>
                        </w:pPr>
                        <w:r>
                          <w:rPr>
                            <w:sz w:val="21"/>
                          </w:rPr>
                          <w:t>＜</w:t>
                        </w:r>
                        <w:r>
                          <w:rPr>
                            <w:rFonts w:ascii="Times New Roman" w:eastAsia="Times New Roman"/>
                            <w:sz w:val="21"/>
                          </w:rPr>
                          <w:t>0.005</w:t>
                        </w:r>
                      </w:p>
                    </w:tc>
                    <w:tc>
                      <w:tcPr>
                        <w:tcW w:w="1136" w:type="dxa"/>
                      </w:tcPr>
                      <w:p>
                        <w:pPr>
                          <w:pStyle w:val="TableParagraph"/>
                          <w:spacing w:before="123"/>
                          <w:ind w:left="101" w:right="101"/>
                          <w:rPr>
                            <w:rFonts w:ascii="Times New Roman" w:eastAsia="Times New Roman"/>
                            <w:sz w:val="21"/>
                          </w:rPr>
                        </w:pPr>
                        <w:r>
                          <w:rPr>
                            <w:sz w:val="21"/>
                          </w:rPr>
                          <w:t>＜</w:t>
                        </w:r>
                        <w:r>
                          <w:rPr>
                            <w:rFonts w:ascii="Times New Roman" w:eastAsia="Times New Roman"/>
                            <w:sz w:val="21"/>
                          </w:rPr>
                          <w:t>0.005</w:t>
                        </w:r>
                      </w:p>
                    </w:tc>
                    <w:tc>
                      <w:tcPr>
                        <w:tcW w:w="994" w:type="dxa"/>
                      </w:tcPr>
                      <w:p>
                        <w:pPr>
                          <w:pStyle w:val="TableParagraph"/>
                          <w:spacing w:before="123"/>
                          <w:ind w:left="133" w:right="133"/>
                          <w:rPr>
                            <w:rFonts w:ascii="Times New Roman" w:eastAsia="Times New Roman"/>
                            <w:sz w:val="21"/>
                          </w:rPr>
                        </w:pPr>
                        <w:r>
                          <w:rPr>
                            <w:sz w:val="21"/>
                          </w:rPr>
                          <w:t>＜</w:t>
                        </w:r>
                        <w:r>
                          <w:rPr>
                            <w:rFonts w:ascii="Times New Roman" w:eastAsia="Times New Roman"/>
                            <w:sz w:val="21"/>
                          </w:rPr>
                          <w:t>0.005</w:t>
                        </w:r>
                      </w:p>
                    </w:tc>
                    <w:tc>
                      <w:tcPr>
                        <w:tcW w:w="995" w:type="dxa"/>
                      </w:tcPr>
                      <w:p>
                        <w:pPr>
                          <w:pStyle w:val="TableParagraph"/>
                          <w:spacing w:before="137"/>
                          <w:ind w:left="154" w:right="155"/>
                          <w:rPr>
                            <w:rFonts w:ascii="Times New Roman"/>
                            <w:sz w:val="21"/>
                          </w:rPr>
                        </w:pPr>
                        <w:r>
                          <w:rPr>
                            <w:rFonts w:ascii="Times New Roman"/>
                            <w:sz w:val="21"/>
                          </w:rPr>
                          <w:t>1.00</w:t>
                        </w:r>
                      </w:p>
                    </w:tc>
                    <w:tc>
                      <w:tcPr>
                        <w:tcW w:w="670" w:type="dxa"/>
                      </w:tcPr>
                      <w:p>
                        <w:pPr>
                          <w:pStyle w:val="TableParagraph"/>
                          <w:spacing w:before="123"/>
                          <w:ind w:right="120"/>
                          <w:jc w:val="right"/>
                          <w:rPr>
                            <w:sz w:val="21"/>
                          </w:rPr>
                        </w:pPr>
                        <w:r>
                          <w:rPr>
                            <w:sz w:val="21"/>
                          </w:rPr>
                          <w:t>达标</w:t>
                        </w:r>
                      </w:p>
                    </w:tc>
                  </w:tr>
                  <w:tr>
                    <w:trPr>
                      <w:trHeight w:val="283" w:hRule="atLeast"/>
                    </w:trPr>
                    <w:tc>
                      <w:tcPr>
                        <w:tcW w:w="2076" w:type="dxa"/>
                      </w:tcPr>
                      <w:p>
                        <w:pPr>
                          <w:pStyle w:val="TableParagraph"/>
                          <w:spacing w:line="257" w:lineRule="exact" w:before="6"/>
                          <w:ind w:left="14" w:right="10"/>
                          <w:rPr>
                            <w:rFonts w:ascii="Times New Roman" w:eastAsia="Times New Roman"/>
                            <w:sz w:val="21"/>
                          </w:rPr>
                        </w:pPr>
                        <w:r>
                          <w:rPr>
                            <w:sz w:val="21"/>
                          </w:rPr>
                          <w:t>氰化物 </w:t>
                        </w:r>
                        <w:r>
                          <w:rPr>
                            <w:rFonts w:ascii="Times New Roman" w:eastAsia="Times New Roman"/>
                            <w:sz w:val="21"/>
                          </w:rPr>
                          <w:t>mg/L</w:t>
                        </w:r>
                      </w:p>
                    </w:tc>
                    <w:tc>
                      <w:tcPr>
                        <w:tcW w:w="1201" w:type="dxa"/>
                      </w:tcPr>
                      <w:p>
                        <w:pPr>
                          <w:pStyle w:val="TableParagraph"/>
                          <w:spacing w:line="257" w:lineRule="exact" w:before="6"/>
                          <w:ind w:left="184" w:right="183"/>
                          <w:rPr>
                            <w:rFonts w:ascii="Times New Roman" w:eastAsia="Times New Roman"/>
                            <w:sz w:val="21"/>
                          </w:rPr>
                        </w:pPr>
                        <w:r>
                          <w:rPr>
                            <w:sz w:val="21"/>
                          </w:rPr>
                          <w:t>＜</w:t>
                        </w:r>
                        <w:r>
                          <w:rPr>
                            <w:rFonts w:ascii="Times New Roman" w:eastAsia="Times New Roman"/>
                            <w:sz w:val="21"/>
                          </w:rPr>
                          <w:t>0.004</w:t>
                        </w:r>
                      </w:p>
                    </w:tc>
                    <w:tc>
                      <w:tcPr>
                        <w:tcW w:w="908" w:type="dxa"/>
                      </w:tcPr>
                      <w:p>
                        <w:pPr>
                          <w:pStyle w:val="TableParagraph"/>
                          <w:spacing w:line="257" w:lineRule="exact" w:before="6"/>
                          <w:ind w:left="92" w:right="87"/>
                          <w:rPr>
                            <w:rFonts w:ascii="Times New Roman" w:eastAsia="Times New Roman"/>
                            <w:sz w:val="21"/>
                          </w:rPr>
                        </w:pPr>
                        <w:r>
                          <w:rPr>
                            <w:sz w:val="21"/>
                          </w:rPr>
                          <w:t>＜</w:t>
                        </w:r>
                        <w:r>
                          <w:rPr>
                            <w:rFonts w:ascii="Times New Roman" w:eastAsia="Times New Roman"/>
                            <w:sz w:val="21"/>
                          </w:rPr>
                          <w:t>0.004</w:t>
                        </w:r>
                      </w:p>
                    </w:tc>
                    <w:tc>
                      <w:tcPr>
                        <w:tcW w:w="1312" w:type="dxa"/>
                      </w:tcPr>
                      <w:p>
                        <w:pPr>
                          <w:pStyle w:val="TableParagraph"/>
                          <w:spacing w:line="257" w:lineRule="exact" w:before="6"/>
                          <w:ind w:right="307"/>
                          <w:jc w:val="right"/>
                          <w:rPr>
                            <w:rFonts w:ascii="Times New Roman" w:eastAsia="Times New Roman"/>
                            <w:sz w:val="21"/>
                          </w:rPr>
                        </w:pPr>
                        <w:r>
                          <w:rPr>
                            <w:sz w:val="21"/>
                          </w:rPr>
                          <w:t>＜</w:t>
                        </w:r>
                        <w:r>
                          <w:rPr>
                            <w:rFonts w:ascii="Times New Roman" w:eastAsia="Times New Roman"/>
                            <w:sz w:val="21"/>
                          </w:rPr>
                          <w:t>0.004</w:t>
                        </w:r>
                      </w:p>
                    </w:tc>
                    <w:tc>
                      <w:tcPr>
                        <w:tcW w:w="1136" w:type="dxa"/>
                      </w:tcPr>
                      <w:p>
                        <w:pPr>
                          <w:pStyle w:val="TableParagraph"/>
                          <w:spacing w:line="257" w:lineRule="exact" w:before="6"/>
                          <w:ind w:left="101" w:right="101"/>
                          <w:rPr>
                            <w:rFonts w:ascii="Times New Roman" w:eastAsia="Times New Roman"/>
                            <w:sz w:val="21"/>
                          </w:rPr>
                        </w:pPr>
                        <w:r>
                          <w:rPr>
                            <w:sz w:val="21"/>
                          </w:rPr>
                          <w:t>＜</w:t>
                        </w:r>
                        <w:r>
                          <w:rPr>
                            <w:rFonts w:ascii="Times New Roman" w:eastAsia="Times New Roman"/>
                            <w:sz w:val="21"/>
                          </w:rPr>
                          <w:t>0.004</w:t>
                        </w:r>
                      </w:p>
                    </w:tc>
                    <w:tc>
                      <w:tcPr>
                        <w:tcW w:w="994" w:type="dxa"/>
                      </w:tcPr>
                      <w:p>
                        <w:pPr>
                          <w:pStyle w:val="TableParagraph"/>
                          <w:spacing w:line="257" w:lineRule="exact" w:before="6"/>
                          <w:ind w:left="133" w:right="133"/>
                          <w:rPr>
                            <w:rFonts w:ascii="Times New Roman" w:eastAsia="Times New Roman"/>
                            <w:sz w:val="21"/>
                          </w:rPr>
                        </w:pPr>
                        <w:r>
                          <w:rPr>
                            <w:sz w:val="21"/>
                          </w:rPr>
                          <w:t>＜</w:t>
                        </w:r>
                        <w:r>
                          <w:rPr>
                            <w:rFonts w:ascii="Times New Roman" w:eastAsia="Times New Roman"/>
                            <w:sz w:val="21"/>
                          </w:rPr>
                          <w:t>0.004</w:t>
                        </w:r>
                      </w:p>
                    </w:tc>
                    <w:tc>
                      <w:tcPr>
                        <w:tcW w:w="995" w:type="dxa"/>
                      </w:tcPr>
                      <w:p>
                        <w:pPr>
                          <w:pStyle w:val="TableParagraph"/>
                          <w:spacing w:before="20"/>
                          <w:ind w:left="154" w:right="155"/>
                          <w:rPr>
                            <w:rFonts w:ascii="Times New Roman"/>
                            <w:sz w:val="21"/>
                          </w:rPr>
                        </w:pPr>
                        <w:r>
                          <w:rPr>
                            <w:rFonts w:ascii="Times New Roman"/>
                            <w:sz w:val="21"/>
                          </w:rPr>
                          <w:t>0.05</w:t>
                        </w:r>
                      </w:p>
                    </w:tc>
                    <w:tc>
                      <w:tcPr>
                        <w:tcW w:w="670" w:type="dxa"/>
                      </w:tcPr>
                      <w:p>
                        <w:pPr>
                          <w:pStyle w:val="TableParagraph"/>
                          <w:spacing w:line="257" w:lineRule="exact" w:before="6"/>
                          <w:ind w:right="120"/>
                          <w:jc w:val="right"/>
                          <w:rPr>
                            <w:sz w:val="21"/>
                          </w:rPr>
                        </w:pPr>
                        <w:r>
                          <w:rPr>
                            <w:sz w:val="21"/>
                          </w:rPr>
                          <w:t>达标</w:t>
                        </w:r>
                      </w:p>
                    </w:tc>
                  </w:tr>
                </w:tbl>
                <w:p>
                  <w:pPr>
                    <w:pStyle w:val="BodyText"/>
                  </w:pPr>
                </w:p>
              </w:txbxContent>
            </v:textbox>
            <w10:wrap type="none"/>
          </v:shape>
        </w:pict>
      </w:r>
      <w:r>
        <w:rPr>
          <w:sz w:val="24"/>
        </w:rPr>
        <w:t>本次地下水环境常规水质指标现状监测结果及评价如下表所示</w:t>
      </w:r>
      <w:r>
        <w:rPr>
          <w:spacing w:val="-17"/>
          <w:sz w:val="24"/>
        </w:rPr>
        <w:t>。</w:t>
      </w:r>
      <w:r>
        <w:rPr>
          <w:b/>
          <w:sz w:val="24"/>
        </w:rPr>
        <w:t>表</w:t>
      </w:r>
      <w:r>
        <w:rPr>
          <w:b/>
          <w:spacing w:val="-60"/>
          <w:sz w:val="24"/>
        </w:rPr>
        <w:t> </w:t>
      </w:r>
      <w:r>
        <w:rPr>
          <w:rFonts w:ascii="Times New Roman" w:eastAsia="Times New Roman"/>
          <w:b/>
          <w:sz w:val="24"/>
        </w:rPr>
        <w:t>6.2.2-5</w:t>
        <w:tab/>
      </w:r>
      <w:r>
        <w:rPr>
          <w:b/>
          <w:sz w:val="24"/>
        </w:rPr>
        <w:t>地下水常规水质指标现状评价结果</w:t>
      </w:r>
    </w:p>
    <w:p>
      <w:pPr>
        <w:spacing w:after="0" w:line="472" w:lineRule="auto"/>
        <w:jc w:val="left"/>
        <w:rPr>
          <w:sz w:val="24"/>
        </w:rPr>
        <w:sectPr>
          <w:pgSz w:w="11910" w:h="16840"/>
          <w:pgMar w:header="874" w:footer="944" w:top="1340" w:bottom="1140" w:left="1200" w:right="1000"/>
        </w:sectPr>
      </w:pPr>
    </w:p>
    <w:p>
      <w:pPr>
        <w:pStyle w:val="BodyText"/>
        <w:spacing w:before="10"/>
        <w:rPr>
          <w:b/>
          <w:sz w:val="4"/>
        </w:rPr>
      </w:pP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076"/>
        <w:gridCol w:w="1201"/>
        <w:gridCol w:w="908"/>
        <w:gridCol w:w="1312"/>
        <w:gridCol w:w="1136"/>
        <w:gridCol w:w="994"/>
        <w:gridCol w:w="995"/>
        <w:gridCol w:w="670"/>
      </w:tblGrid>
      <w:tr>
        <w:trPr>
          <w:trHeight w:val="1089" w:hRule="atLeast"/>
        </w:trPr>
        <w:tc>
          <w:tcPr>
            <w:tcW w:w="2076" w:type="dxa"/>
          </w:tcPr>
          <w:p>
            <w:pPr>
              <w:pStyle w:val="TableParagraph"/>
              <w:spacing w:before="138"/>
              <w:ind w:left="1089"/>
              <w:jc w:val="left"/>
              <w:rPr>
                <w:b/>
                <w:sz w:val="21"/>
              </w:rPr>
            </w:pPr>
            <w:r>
              <w:rPr>
                <w:b/>
                <w:sz w:val="21"/>
              </w:rPr>
              <w:t>采样点位</w:t>
            </w:r>
          </w:p>
          <w:p>
            <w:pPr>
              <w:pStyle w:val="TableParagraph"/>
              <w:spacing w:line="244" w:lineRule="auto" w:before="2"/>
              <w:ind w:left="107" w:right="1116"/>
              <w:jc w:val="left"/>
              <w:rPr>
                <w:b/>
                <w:sz w:val="21"/>
              </w:rPr>
            </w:pPr>
            <w:r>
              <w:rPr>
                <w:b/>
                <w:sz w:val="21"/>
              </w:rPr>
              <w:t>项目名称及单位</w:t>
            </w:r>
          </w:p>
        </w:tc>
        <w:tc>
          <w:tcPr>
            <w:tcW w:w="1201" w:type="dxa"/>
          </w:tcPr>
          <w:p>
            <w:pPr>
              <w:pStyle w:val="TableParagraph"/>
              <w:spacing w:before="3"/>
              <w:jc w:val="left"/>
              <w:rPr>
                <w:b/>
                <w:sz w:val="21"/>
              </w:rPr>
            </w:pPr>
          </w:p>
          <w:p>
            <w:pPr>
              <w:pStyle w:val="TableParagraph"/>
              <w:spacing w:line="244" w:lineRule="auto"/>
              <w:ind w:left="177" w:right="171"/>
              <w:jc w:val="left"/>
              <w:rPr>
                <w:b/>
                <w:sz w:val="21"/>
              </w:rPr>
            </w:pPr>
            <w:r>
              <w:rPr>
                <w:rFonts w:ascii="Times New Roman" w:eastAsia="Times New Roman"/>
                <w:b/>
                <w:sz w:val="21"/>
              </w:rPr>
              <w:t>1#</w:t>
            </w:r>
            <w:r>
              <w:rPr>
                <w:b/>
                <w:sz w:val="21"/>
              </w:rPr>
              <w:t>拟建车间一南面</w:t>
            </w:r>
          </w:p>
        </w:tc>
        <w:tc>
          <w:tcPr>
            <w:tcW w:w="908" w:type="dxa"/>
          </w:tcPr>
          <w:p>
            <w:pPr>
              <w:pStyle w:val="TableParagraph"/>
              <w:spacing w:line="242" w:lineRule="auto" w:before="138"/>
              <w:ind w:left="136" w:right="131"/>
              <w:jc w:val="both"/>
              <w:rPr>
                <w:b/>
                <w:sz w:val="21"/>
              </w:rPr>
            </w:pPr>
            <w:r>
              <w:rPr>
                <w:rFonts w:ascii="Times New Roman" w:eastAsia="Times New Roman"/>
                <w:b/>
                <w:sz w:val="21"/>
              </w:rPr>
              <w:t>2#</w:t>
            </w:r>
            <w:r>
              <w:rPr>
                <w:b/>
                <w:sz w:val="21"/>
              </w:rPr>
              <w:t>预留车间七北面</w:t>
            </w:r>
          </w:p>
        </w:tc>
        <w:tc>
          <w:tcPr>
            <w:tcW w:w="1312" w:type="dxa"/>
          </w:tcPr>
          <w:p>
            <w:pPr>
              <w:pStyle w:val="TableParagraph"/>
              <w:spacing w:line="242" w:lineRule="auto" w:before="1"/>
              <w:ind w:left="125" w:right="123"/>
              <w:jc w:val="both"/>
              <w:rPr>
                <w:b/>
                <w:sz w:val="21"/>
              </w:rPr>
            </w:pPr>
            <w:r>
              <w:rPr>
                <w:rFonts w:ascii="Times New Roman" w:eastAsia="Times New Roman"/>
                <w:b/>
                <w:sz w:val="21"/>
              </w:rPr>
              <w:t>3#</w:t>
            </w:r>
            <w:r>
              <w:rPr>
                <w:b/>
                <w:sz w:val="21"/>
              </w:rPr>
              <w:t>拟建废水物化处理及生化处理区</w:t>
            </w:r>
          </w:p>
          <w:p>
            <w:pPr>
              <w:pStyle w:val="TableParagraph"/>
              <w:spacing w:line="252" w:lineRule="exact" w:before="1"/>
              <w:ind w:left="337"/>
              <w:jc w:val="left"/>
              <w:rPr>
                <w:b/>
                <w:sz w:val="21"/>
              </w:rPr>
            </w:pPr>
            <w:r>
              <w:rPr>
                <w:b/>
                <w:sz w:val="21"/>
              </w:rPr>
              <w:t>域之间</w:t>
            </w:r>
          </w:p>
        </w:tc>
        <w:tc>
          <w:tcPr>
            <w:tcW w:w="1136" w:type="dxa"/>
          </w:tcPr>
          <w:p>
            <w:pPr>
              <w:pStyle w:val="TableParagraph"/>
              <w:spacing w:line="242" w:lineRule="auto" w:before="138"/>
              <w:ind w:left="143" w:right="142"/>
              <w:rPr>
                <w:b/>
                <w:sz w:val="21"/>
              </w:rPr>
            </w:pPr>
            <w:r>
              <w:rPr>
                <w:rFonts w:ascii="Times New Roman" w:eastAsia="Times New Roman"/>
                <w:b/>
                <w:sz w:val="21"/>
              </w:rPr>
              <w:t>4#</w:t>
            </w:r>
            <w:r>
              <w:rPr>
                <w:b/>
                <w:sz w:val="21"/>
              </w:rPr>
              <w:t>厂区北面 </w:t>
            </w:r>
            <w:r>
              <w:rPr>
                <w:rFonts w:ascii="Times New Roman" w:eastAsia="Times New Roman"/>
                <w:b/>
                <w:sz w:val="21"/>
              </w:rPr>
              <w:t>400m </w:t>
            </w:r>
            <w:r>
              <w:rPr>
                <w:b/>
                <w:sz w:val="21"/>
              </w:rPr>
              <w:t>空地</w:t>
            </w:r>
          </w:p>
        </w:tc>
        <w:tc>
          <w:tcPr>
            <w:tcW w:w="994" w:type="dxa"/>
          </w:tcPr>
          <w:p>
            <w:pPr>
              <w:pStyle w:val="TableParagraph"/>
              <w:spacing w:before="3"/>
              <w:jc w:val="left"/>
              <w:rPr>
                <w:b/>
                <w:sz w:val="21"/>
              </w:rPr>
            </w:pPr>
          </w:p>
          <w:p>
            <w:pPr>
              <w:pStyle w:val="TableParagraph"/>
              <w:spacing w:line="244" w:lineRule="auto"/>
              <w:ind w:left="279" w:right="179" w:hanging="104"/>
              <w:jc w:val="left"/>
              <w:rPr>
                <w:rFonts w:ascii="Times New Roman" w:eastAsia="Times New Roman"/>
                <w:b/>
                <w:sz w:val="21"/>
              </w:rPr>
            </w:pPr>
            <w:r>
              <w:rPr>
                <w:rFonts w:ascii="Times New Roman" w:eastAsia="Times New Roman"/>
                <w:b/>
                <w:sz w:val="21"/>
              </w:rPr>
              <w:t>5#</w:t>
            </w:r>
            <w:r>
              <w:rPr>
                <w:b/>
                <w:sz w:val="21"/>
              </w:rPr>
              <w:t>珠海村 </w:t>
            </w:r>
            <w:r>
              <w:rPr>
                <w:rFonts w:ascii="Times New Roman" w:eastAsia="Times New Roman"/>
                <w:b/>
                <w:sz w:val="21"/>
              </w:rPr>
              <w:t>H</w:t>
            </w:r>
          </w:p>
        </w:tc>
        <w:tc>
          <w:tcPr>
            <w:tcW w:w="995" w:type="dxa"/>
          </w:tcPr>
          <w:p>
            <w:pPr>
              <w:pStyle w:val="TableParagraph"/>
              <w:spacing w:before="3"/>
              <w:jc w:val="left"/>
              <w:rPr>
                <w:b/>
                <w:sz w:val="21"/>
              </w:rPr>
            </w:pPr>
          </w:p>
          <w:p>
            <w:pPr>
              <w:pStyle w:val="TableParagraph"/>
              <w:spacing w:line="244" w:lineRule="auto"/>
              <w:ind w:left="388" w:right="178" w:hanging="212"/>
              <w:jc w:val="left"/>
              <w:rPr>
                <w:b/>
                <w:sz w:val="21"/>
              </w:rPr>
            </w:pPr>
            <w:r>
              <w:rPr>
                <w:b/>
                <w:sz w:val="21"/>
              </w:rPr>
              <w:t>标准限值</w:t>
            </w:r>
          </w:p>
        </w:tc>
        <w:tc>
          <w:tcPr>
            <w:tcW w:w="670" w:type="dxa"/>
          </w:tcPr>
          <w:p>
            <w:pPr>
              <w:pStyle w:val="TableParagraph"/>
              <w:spacing w:before="3"/>
              <w:jc w:val="left"/>
              <w:rPr>
                <w:b/>
                <w:sz w:val="21"/>
              </w:rPr>
            </w:pPr>
          </w:p>
          <w:p>
            <w:pPr>
              <w:pStyle w:val="TableParagraph"/>
              <w:spacing w:line="244" w:lineRule="auto"/>
              <w:ind w:left="223" w:right="122" w:hanging="106"/>
              <w:jc w:val="left"/>
              <w:rPr>
                <w:b/>
                <w:sz w:val="21"/>
              </w:rPr>
            </w:pPr>
            <w:r>
              <w:rPr>
                <w:b/>
                <w:sz w:val="21"/>
              </w:rPr>
              <w:t>达标性</w:t>
            </w:r>
          </w:p>
        </w:tc>
      </w:tr>
      <w:tr>
        <w:trPr>
          <w:trHeight w:val="282" w:hRule="atLeast"/>
        </w:trPr>
        <w:tc>
          <w:tcPr>
            <w:tcW w:w="2076" w:type="dxa"/>
          </w:tcPr>
          <w:p>
            <w:pPr>
              <w:pStyle w:val="TableParagraph"/>
              <w:spacing w:line="257" w:lineRule="exact" w:before="6"/>
              <w:ind w:left="441"/>
              <w:jc w:val="left"/>
              <w:rPr>
                <w:rFonts w:ascii="Times New Roman" w:eastAsia="Times New Roman"/>
                <w:sz w:val="21"/>
              </w:rPr>
            </w:pPr>
            <w:r>
              <w:rPr>
                <w:sz w:val="21"/>
              </w:rPr>
              <w:t>氟离子 </w:t>
            </w:r>
            <w:r>
              <w:rPr>
                <w:rFonts w:ascii="Times New Roman" w:eastAsia="Times New Roman"/>
                <w:sz w:val="21"/>
              </w:rPr>
              <w:t>mg/L</w:t>
            </w:r>
          </w:p>
        </w:tc>
        <w:tc>
          <w:tcPr>
            <w:tcW w:w="1201" w:type="dxa"/>
          </w:tcPr>
          <w:p>
            <w:pPr>
              <w:pStyle w:val="TableParagraph"/>
              <w:spacing w:before="20"/>
              <w:ind w:left="362"/>
              <w:jc w:val="left"/>
              <w:rPr>
                <w:rFonts w:ascii="Times New Roman"/>
                <w:sz w:val="21"/>
              </w:rPr>
            </w:pPr>
            <w:r>
              <w:rPr>
                <w:rFonts w:ascii="Times New Roman"/>
                <w:sz w:val="21"/>
              </w:rPr>
              <w:t>0.315</w:t>
            </w:r>
          </w:p>
        </w:tc>
        <w:tc>
          <w:tcPr>
            <w:tcW w:w="908" w:type="dxa"/>
          </w:tcPr>
          <w:p>
            <w:pPr>
              <w:pStyle w:val="TableParagraph"/>
              <w:spacing w:before="20"/>
              <w:ind w:left="215"/>
              <w:jc w:val="left"/>
              <w:rPr>
                <w:rFonts w:ascii="Times New Roman"/>
                <w:sz w:val="21"/>
              </w:rPr>
            </w:pPr>
            <w:r>
              <w:rPr>
                <w:rFonts w:ascii="Times New Roman"/>
                <w:sz w:val="21"/>
              </w:rPr>
              <w:t>0.179</w:t>
            </w:r>
          </w:p>
        </w:tc>
        <w:tc>
          <w:tcPr>
            <w:tcW w:w="1312" w:type="dxa"/>
          </w:tcPr>
          <w:p>
            <w:pPr>
              <w:pStyle w:val="TableParagraph"/>
              <w:spacing w:before="20"/>
              <w:ind w:left="416"/>
              <w:jc w:val="left"/>
              <w:rPr>
                <w:rFonts w:ascii="Times New Roman"/>
                <w:sz w:val="21"/>
              </w:rPr>
            </w:pPr>
            <w:r>
              <w:rPr>
                <w:rFonts w:ascii="Times New Roman"/>
                <w:sz w:val="21"/>
              </w:rPr>
              <w:t>0.277</w:t>
            </w:r>
          </w:p>
        </w:tc>
        <w:tc>
          <w:tcPr>
            <w:tcW w:w="1136" w:type="dxa"/>
          </w:tcPr>
          <w:p>
            <w:pPr>
              <w:pStyle w:val="TableParagraph"/>
              <w:spacing w:before="20"/>
              <w:ind w:left="328"/>
              <w:jc w:val="left"/>
              <w:rPr>
                <w:rFonts w:ascii="Times New Roman"/>
                <w:sz w:val="21"/>
              </w:rPr>
            </w:pPr>
            <w:r>
              <w:rPr>
                <w:rFonts w:ascii="Times New Roman"/>
                <w:sz w:val="21"/>
              </w:rPr>
              <w:t>0.176</w:t>
            </w:r>
          </w:p>
        </w:tc>
        <w:tc>
          <w:tcPr>
            <w:tcW w:w="994" w:type="dxa"/>
          </w:tcPr>
          <w:p>
            <w:pPr>
              <w:pStyle w:val="TableParagraph"/>
              <w:spacing w:before="20"/>
              <w:ind w:left="255"/>
              <w:jc w:val="left"/>
              <w:rPr>
                <w:rFonts w:ascii="Times New Roman"/>
                <w:sz w:val="21"/>
              </w:rPr>
            </w:pPr>
            <w:r>
              <w:rPr>
                <w:rFonts w:ascii="Times New Roman"/>
                <w:sz w:val="21"/>
              </w:rPr>
              <w:t>0.260</w:t>
            </w:r>
          </w:p>
        </w:tc>
        <w:tc>
          <w:tcPr>
            <w:tcW w:w="995" w:type="dxa"/>
          </w:tcPr>
          <w:p>
            <w:pPr>
              <w:pStyle w:val="TableParagraph"/>
              <w:spacing w:before="20"/>
              <w:ind w:left="155" w:right="155"/>
              <w:rPr>
                <w:rFonts w:ascii="Times New Roman"/>
                <w:sz w:val="21"/>
              </w:rPr>
            </w:pPr>
            <w:r>
              <w:rPr>
                <w:rFonts w:ascii="Times New Roman"/>
                <w:sz w:val="21"/>
              </w:rPr>
              <w:t>1.0</w:t>
            </w:r>
          </w:p>
        </w:tc>
        <w:tc>
          <w:tcPr>
            <w:tcW w:w="670" w:type="dxa"/>
          </w:tcPr>
          <w:p>
            <w:pPr>
              <w:pStyle w:val="TableParagraph"/>
              <w:spacing w:line="257" w:lineRule="exact" w:before="6"/>
              <w:ind w:left="120"/>
              <w:jc w:val="left"/>
              <w:rPr>
                <w:sz w:val="21"/>
              </w:rPr>
            </w:pPr>
            <w:r>
              <w:rPr>
                <w:sz w:val="21"/>
              </w:rPr>
              <w:t>达标</w:t>
            </w:r>
          </w:p>
        </w:tc>
      </w:tr>
    </w:tbl>
    <w:p>
      <w:pPr>
        <w:pStyle w:val="BodyText"/>
        <w:spacing w:before="2"/>
        <w:ind w:left="698"/>
      </w:pPr>
      <w:r>
        <w:rPr/>
        <w:pict>
          <v:line style="position:absolute;mso-position-horizontal-relative:page;mso-position-vertical-relative:paragraph;z-index:-317735936" from="65.664001pt,-69.160004pt" to="169.220001pt,-14.660004pt" stroked="true" strokeweight=".72pt" strokecolor="#000000">
            <v:stroke dashstyle="solid"/>
            <w10:wrap type="none"/>
          </v:line>
        </w:pict>
      </w:r>
      <w:r>
        <w:rPr/>
        <w:t>④结论</w:t>
      </w:r>
    </w:p>
    <w:p>
      <w:pPr>
        <w:pStyle w:val="BodyText"/>
        <w:spacing w:line="364" w:lineRule="auto" w:before="161"/>
        <w:ind w:left="218" w:right="366" w:firstLine="480"/>
        <w:jc w:val="both"/>
      </w:pPr>
      <w:r>
        <w:rPr/>
        <w:t>根据监测统计结果显示，本项目区域内地下水监测因子中溶解性总固体、氯化物， 总硬度指标出现超标现象，不能达到《地下水质量标准》</w:t>
      </w:r>
      <w:r>
        <w:rPr>
          <w:rFonts w:ascii="Times New Roman" w:hAnsi="Times New Roman" w:eastAsia="Times New Roman"/>
        </w:rPr>
        <w:t>(GB/T14848-2017)</w:t>
      </w:r>
      <w:r>
        <w:rPr/>
        <w:t>中的</w:t>
      </w:r>
      <w:r>
        <w:rPr>
          <w:rFonts w:ascii="Times New Roman" w:hAnsi="Times New Roman" w:eastAsia="Times New Roman"/>
        </w:rPr>
        <w:t>Ⅲ</w:t>
      </w:r>
      <w:r>
        <w:rPr/>
        <w:t>类标准要求，其余指标均能达到《地下水质量标准》</w:t>
      </w:r>
      <w:r>
        <w:rPr>
          <w:rFonts w:ascii="Times New Roman" w:hAnsi="Times New Roman" w:eastAsia="Times New Roman"/>
        </w:rPr>
        <w:t>(GB/T14848-2017)</w:t>
      </w:r>
      <w:r>
        <w:rPr/>
        <w:t>中的</w:t>
      </w:r>
      <w:r>
        <w:rPr>
          <w:rFonts w:ascii="Times New Roman" w:hAnsi="Times New Roman" w:eastAsia="Times New Roman"/>
        </w:rPr>
        <w:t>Ⅲ</w:t>
      </w:r>
      <w:r>
        <w:rPr/>
        <w:t>类标准要求。结合周围环境特征，分析认为溶解性总固体、总硬度和 </w:t>
      </w:r>
      <w:r>
        <w:rPr>
          <w:rFonts w:ascii="Times New Roman" w:hAnsi="Times New Roman" w:eastAsia="Times New Roman"/>
        </w:rPr>
        <w:t>Cl</w:t>
      </w:r>
      <w:r>
        <w:rPr>
          <w:rFonts w:ascii="Times New Roman" w:hAnsi="Times New Roman" w:eastAsia="Times New Roman"/>
          <w:position w:val="9"/>
          <w:sz w:val="16"/>
        </w:rPr>
        <w:t>-</w:t>
      </w:r>
      <w:r>
        <w:rPr/>
        <w:t>超标原因最有可能是该地块位于围垦海涂滩地上，该区域盐分较高引起的。目前该区域地下水无开发利用计划。</w:t>
      </w:r>
    </w:p>
    <w:p>
      <w:pPr>
        <w:pStyle w:val="Heading4"/>
        <w:numPr>
          <w:ilvl w:val="0"/>
          <w:numId w:val="24"/>
        </w:numPr>
        <w:tabs>
          <w:tab w:pos="983" w:val="left" w:leader="none"/>
        </w:tabs>
        <w:spacing w:line="306" w:lineRule="exact" w:before="0" w:after="0"/>
        <w:ind w:left="982" w:right="0" w:hanging="282"/>
        <w:jc w:val="left"/>
      </w:pPr>
      <w:r>
        <w:rPr/>
        <w:t>八大离子监测与评价</w:t>
      </w:r>
    </w:p>
    <w:p>
      <w:pPr>
        <w:spacing w:before="158"/>
        <w:ind w:left="701" w:right="0" w:firstLine="0"/>
        <w:jc w:val="left"/>
        <w:rPr>
          <w:b/>
          <w:sz w:val="24"/>
        </w:rPr>
      </w:pPr>
      <w:r>
        <w:rPr>
          <w:b/>
          <w:sz w:val="24"/>
        </w:rPr>
        <w:t>①监测时间和监测点位</w:t>
      </w:r>
    </w:p>
    <w:p>
      <w:pPr>
        <w:pStyle w:val="BodyText"/>
        <w:spacing w:line="360" w:lineRule="auto" w:before="160"/>
        <w:ind w:left="218" w:right="412" w:firstLine="480"/>
      </w:pPr>
      <w:r>
        <w:rPr/>
        <w:pict>
          <v:shape style="position:absolute;margin-left:400.75pt;margin-top:13.835463pt;width:4.05pt;height:8.950pt;mso-position-horizontal-relative:page;mso-position-vertical-relative:paragraph;z-index:-317733888" type="#_x0000_t202" filled="false" stroked="false">
            <v:textbox inset="0,0,0,0">
              <w:txbxContent>
                <w:p>
                  <w:pPr>
                    <w:spacing w:line="178" w:lineRule="exact" w:before="0"/>
                    <w:ind w:left="0" w:right="0" w:firstLine="0"/>
                    <w:jc w:val="left"/>
                    <w:rPr>
                      <w:rFonts w:ascii="Times New Roman"/>
                      <w:sz w:val="16"/>
                    </w:rPr>
                  </w:pPr>
                  <w:r>
                    <w:rPr>
                      <w:rFonts w:ascii="Times New Roman"/>
                      <w:w w:val="100"/>
                      <w:sz w:val="16"/>
                    </w:rPr>
                    <w:t>4</w:t>
                  </w:r>
                </w:p>
              </w:txbxContent>
            </v:textbox>
            <w10:wrap type="none"/>
          </v:shape>
        </w:pict>
      </w:r>
      <w:r>
        <w:rPr>
          <w:position w:val="2"/>
        </w:rPr>
        <w:t>八大离子</w:t>
      </w:r>
      <w:r>
        <w:rPr>
          <w:rFonts w:ascii="Times New Roman" w:eastAsia="Times New Roman"/>
          <w:position w:val="2"/>
        </w:rPr>
        <w:t>(K</w:t>
      </w:r>
      <w:r>
        <w:rPr>
          <w:rFonts w:ascii="Times New Roman" w:eastAsia="Times New Roman"/>
          <w:position w:val="2"/>
          <w:vertAlign w:val="superscript"/>
        </w:rPr>
        <w:t>+</w:t>
      </w:r>
      <w:r>
        <w:rPr>
          <w:position w:val="2"/>
          <w:vertAlign w:val="baseline"/>
        </w:rPr>
        <w:t>、</w:t>
      </w:r>
      <w:r>
        <w:rPr>
          <w:rFonts w:ascii="Times New Roman" w:eastAsia="Times New Roman"/>
          <w:position w:val="2"/>
          <w:vertAlign w:val="baseline"/>
        </w:rPr>
        <w:t>Na</w:t>
      </w:r>
      <w:r>
        <w:rPr>
          <w:rFonts w:ascii="Times New Roman" w:eastAsia="Times New Roman"/>
          <w:position w:val="2"/>
          <w:vertAlign w:val="superscript"/>
        </w:rPr>
        <w:t>+</w:t>
      </w:r>
      <w:r>
        <w:rPr>
          <w:position w:val="2"/>
          <w:vertAlign w:val="baseline"/>
        </w:rPr>
        <w:t>、</w:t>
      </w:r>
      <w:r>
        <w:rPr>
          <w:rFonts w:ascii="Times New Roman" w:eastAsia="Times New Roman"/>
          <w:position w:val="2"/>
          <w:vertAlign w:val="baseline"/>
        </w:rPr>
        <w:t>Ca</w:t>
      </w:r>
      <w:r>
        <w:rPr>
          <w:rFonts w:ascii="Times New Roman" w:eastAsia="Times New Roman"/>
          <w:position w:val="2"/>
          <w:vertAlign w:val="superscript"/>
        </w:rPr>
        <w:t>2+</w:t>
      </w:r>
      <w:r>
        <w:rPr>
          <w:position w:val="2"/>
          <w:vertAlign w:val="baseline"/>
        </w:rPr>
        <w:t>、</w:t>
      </w:r>
      <w:r>
        <w:rPr>
          <w:rFonts w:ascii="Times New Roman" w:eastAsia="Times New Roman"/>
          <w:position w:val="2"/>
          <w:vertAlign w:val="baseline"/>
        </w:rPr>
        <w:t>Mg</w:t>
      </w:r>
      <w:r>
        <w:rPr>
          <w:rFonts w:ascii="Times New Roman" w:eastAsia="Times New Roman"/>
          <w:position w:val="2"/>
          <w:vertAlign w:val="superscript"/>
        </w:rPr>
        <w:t>2+</w:t>
      </w:r>
      <w:r>
        <w:rPr>
          <w:position w:val="2"/>
          <w:vertAlign w:val="baseline"/>
        </w:rPr>
        <w:t>、</w:t>
      </w:r>
      <w:r>
        <w:rPr>
          <w:rFonts w:ascii="Times New Roman" w:eastAsia="Times New Roman"/>
          <w:position w:val="2"/>
          <w:vertAlign w:val="baseline"/>
        </w:rPr>
        <w:t>CO</w:t>
      </w:r>
      <w:r>
        <w:rPr>
          <w:rFonts w:ascii="Times New Roman" w:eastAsia="Times New Roman"/>
          <w:sz w:val="16"/>
          <w:vertAlign w:val="baseline"/>
        </w:rPr>
        <w:t>3</w:t>
      </w:r>
      <w:r>
        <w:rPr>
          <w:rFonts w:ascii="Times New Roman" w:eastAsia="Times New Roman"/>
          <w:position w:val="11"/>
          <w:sz w:val="16"/>
          <w:vertAlign w:val="baseline"/>
        </w:rPr>
        <w:t>2-</w:t>
      </w:r>
      <w:r>
        <w:rPr>
          <w:position w:val="2"/>
          <w:vertAlign w:val="baseline"/>
        </w:rPr>
        <w:t>、</w:t>
      </w:r>
      <w:r>
        <w:rPr>
          <w:rFonts w:ascii="Times New Roman" w:eastAsia="Times New Roman"/>
          <w:position w:val="2"/>
          <w:vertAlign w:val="baseline"/>
        </w:rPr>
        <w:t>HCO</w:t>
      </w:r>
      <w:r>
        <w:rPr>
          <w:rFonts w:ascii="Times New Roman" w:eastAsia="Times New Roman"/>
          <w:sz w:val="16"/>
          <w:vertAlign w:val="baseline"/>
        </w:rPr>
        <w:t>3</w:t>
      </w:r>
      <w:r>
        <w:rPr>
          <w:rFonts w:ascii="Times New Roman" w:eastAsia="Times New Roman"/>
          <w:position w:val="11"/>
          <w:sz w:val="16"/>
          <w:vertAlign w:val="baseline"/>
        </w:rPr>
        <w:t>-</w:t>
      </w:r>
      <w:r>
        <w:rPr>
          <w:position w:val="2"/>
          <w:vertAlign w:val="baseline"/>
        </w:rPr>
        <w:t>、</w:t>
      </w:r>
      <w:r>
        <w:rPr>
          <w:rFonts w:ascii="Times New Roman" w:eastAsia="Times New Roman"/>
          <w:position w:val="2"/>
          <w:vertAlign w:val="baseline"/>
        </w:rPr>
        <w:t>Cl</w:t>
      </w:r>
      <w:r>
        <w:rPr>
          <w:rFonts w:ascii="Times New Roman" w:eastAsia="Times New Roman"/>
          <w:position w:val="2"/>
          <w:vertAlign w:val="superscript"/>
        </w:rPr>
        <w:t>-</w:t>
      </w:r>
      <w:r>
        <w:rPr>
          <w:position w:val="2"/>
          <w:vertAlign w:val="baseline"/>
        </w:rPr>
        <w:t>、</w:t>
      </w:r>
      <w:r>
        <w:rPr>
          <w:rFonts w:ascii="Times New Roman" w:eastAsia="Times New Roman"/>
          <w:position w:val="2"/>
          <w:vertAlign w:val="baseline"/>
        </w:rPr>
        <w:t>SO </w:t>
      </w:r>
      <w:r>
        <w:rPr>
          <w:rFonts w:ascii="Times New Roman" w:eastAsia="Times New Roman"/>
          <w:position w:val="2"/>
          <w:vertAlign w:val="superscript"/>
        </w:rPr>
        <w:t>2-)</w:t>
      </w:r>
      <w:r>
        <w:rPr>
          <w:position w:val="2"/>
          <w:vertAlign w:val="superscript"/>
        </w:rPr>
        <w:t>监测点位、监测时间</w:t>
      </w:r>
      <w:r>
        <w:rPr>
          <w:vertAlign w:val="superscript"/>
        </w:rPr>
        <w:t>与地下水常规水质指标一致。</w:t>
      </w:r>
    </w:p>
    <w:p>
      <w:pPr>
        <w:pStyle w:val="Heading4"/>
        <w:spacing w:before="7"/>
      </w:pPr>
      <w:r>
        <w:rPr/>
        <w:t>②监测结果与评价</w:t>
      </w:r>
    </w:p>
    <w:p>
      <w:pPr>
        <w:pStyle w:val="BodyText"/>
        <w:spacing w:before="5"/>
        <w:rPr>
          <w:b/>
          <w:sz w:val="23"/>
        </w:rPr>
      </w:pPr>
    </w:p>
    <w:p>
      <w:pPr>
        <w:tabs>
          <w:tab w:pos="1221" w:val="left" w:leader="none"/>
          <w:tab w:pos="5319" w:val="left" w:leader="none"/>
        </w:tabs>
        <w:spacing w:before="0" w:after="29"/>
        <w:ind w:left="0" w:right="195" w:firstLine="0"/>
        <w:jc w:val="center"/>
        <w:rPr>
          <w:rFonts w:ascii="Times New Roman" w:eastAsia="Times New Roman"/>
          <w:b/>
          <w:sz w:val="24"/>
        </w:rPr>
      </w:pPr>
      <w:r>
        <w:rPr/>
        <w:pict>
          <v:line style="position:absolute;mso-position-horizontal-relative:page;mso-position-vertical-relative:paragraph;z-index:-317734912" from="65.664001pt,17.039997pt" to="241.010001pt,57.959997pt" stroked="true" strokeweight=".48pt" strokecolor="#000000">
            <v:stroke dashstyle="solid"/>
            <w10:wrap type="none"/>
          </v:line>
        </w:pict>
      </w:r>
      <w:r>
        <w:rPr>
          <w:b/>
          <w:sz w:val="24"/>
        </w:rPr>
        <w:t>表</w:t>
      </w:r>
      <w:r>
        <w:rPr>
          <w:b/>
          <w:spacing w:val="-60"/>
          <w:sz w:val="24"/>
        </w:rPr>
        <w:t> </w:t>
      </w:r>
      <w:r>
        <w:rPr>
          <w:rFonts w:ascii="Times New Roman" w:eastAsia="Times New Roman"/>
          <w:b/>
          <w:sz w:val="24"/>
        </w:rPr>
        <w:t>6.2.2-6</w:t>
        <w:tab/>
      </w:r>
      <w:r>
        <w:rPr>
          <w:b/>
          <w:sz w:val="24"/>
        </w:rPr>
        <w:t>区域地下水地下水八大离子监测结果</w:t>
        <w:tab/>
        <w:t>单位：</w:t>
      </w:r>
      <w:r>
        <w:rPr>
          <w:rFonts w:ascii="Times New Roman" w:eastAsia="Times New Roman"/>
          <w:b/>
          <w:sz w:val="24"/>
        </w:rPr>
        <w:t>mg/L</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61"/>
        <w:gridCol w:w="2751"/>
        <w:gridCol w:w="1133"/>
        <w:gridCol w:w="1136"/>
        <w:gridCol w:w="1520"/>
        <w:gridCol w:w="1175"/>
        <w:gridCol w:w="814"/>
      </w:tblGrid>
      <w:tr>
        <w:trPr>
          <w:trHeight w:val="818" w:hRule="atLeast"/>
        </w:trPr>
        <w:tc>
          <w:tcPr>
            <w:tcW w:w="3512" w:type="dxa"/>
            <w:gridSpan w:val="2"/>
          </w:tcPr>
          <w:p>
            <w:pPr>
              <w:pStyle w:val="TableParagraph"/>
              <w:spacing w:before="138"/>
              <w:ind w:left="2558"/>
              <w:jc w:val="left"/>
              <w:rPr>
                <w:b/>
                <w:sz w:val="21"/>
              </w:rPr>
            </w:pPr>
            <w:r>
              <w:rPr>
                <w:b/>
                <w:sz w:val="21"/>
              </w:rPr>
              <w:t>采样点位</w:t>
            </w:r>
          </w:p>
          <w:p>
            <w:pPr>
              <w:pStyle w:val="TableParagraph"/>
              <w:spacing w:before="2"/>
              <w:ind w:left="107"/>
              <w:jc w:val="left"/>
              <w:rPr>
                <w:b/>
                <w:sz w:val="21"/>
              </w:rPr>
            </w:pPr>
            <w:r>
              <w:rPr>
                <w:b/>
                <w:sz w:val="21"/>
              </w:rPr>
              <w:t>项目名称及单位</w:t>
            </w:r>
          </w:p>
        </w:tc>
        <w:tc>
          <w:tcPr>
            <w:tcW w:w="1133" w:type="dxa"/>
          </w:tcPr>
          <w:p>
            <w:pPr>
              <w:pStyle w:val="TableParagraph"/>
              <w:spacing w:line="242" w:lineRule="auto" w:before="138"/>
              <w:ind w:left="143" w:right="137"/>
              <w:jc w:val="left"/>
              <w:rPr>
                <w:b/>
                <w:sz w:val="21"/>
              </w:rPr>
            </w:pPr>
            <w:r>
              <w:rPr>
                <w:rFonts w:ascii="Times New Roman" w:eastAsia="Times New Roman"/>
                <w:b/>
                <w:sz w:val="21"/>
              </w:rPr>
              <w:t>1#</w:t>
            </w:r>
            <w:r>
              <w:rPr>
                <w:b/>
                <w:sz w:val="21"/>
              </w:rPr>
              <w:t>拟建车间一南面</w:t>
            </w:r>
          </w:p>
        </w:tc>
        <w:tc>
          <w:tcPr>
            <w:tcW w:w="1136" w:type="dxa"/>
          </w:tcPr>
          <w:p>
            <w:pPr>
              <w:pStyle w:val="TableParagraph"/>
              <w:spacing w:line="242" w:lineRule="auto" w:before="138"/>
              <w:ind w:left="143" w:right="140"/>
              <w:jc w:val="left"/>
              <w:rPr>
                <w:b/>
                <w:sz w:val="21"/>
              </w:rPr>
            </w:pPr>
            <w:r>
              <w:rPr>
                <w:rFonts w:ascii="Times New Roman" w:eastAsia="Times New Roman"/>
                <w:b/>
                <w:sz w:val="21"/>
              </w:rPr>
              <w:t>2#</w:t>
            </w:r>
            <w:r>
              <w:rPr>
                <w:b/>
                <w:sz w:val="21"/>
              </w:rPr>
              <w:t>预留车间七北面</w:t>
            </w:r>
          </w:p>
        </w:tc>
        <w:tc>
          <w:tcPr>
            <w:tcW w:w="1520" w:type="dxa"/>
          </w:tcPr>
          <w:p>
            <w:pPr>
              <w:pStyle w:val="TableParagraph"/>
              <w:spacing w:before="1"/>
              <w:ind w:left="123"/>
              <w:jc w:val="left"/>
              <w:rPr>
                <w:b/>
                <w:sz w:val="21"/>
              </w:rPr>
            </w:pPr>
            <w:r>
              <w:rPr>
                <w:rFonts w:ascii="Times New Roman" w:eastAsia="Times New Roman"/>
                <w:b/>
                <w:spacing w:val="-1"/>
                <w:sz w:val="21"/>
              </w:rPr>
              <w:t>3#</w:t>
            </w:r>
            <w:r>
              <w:rPr>
                <w:b/>
                <w:spacing w:val="-1"/>
                <w:sz w:val="21"/>
              </w:rPr>
              <w:t>拟建废水物</w:t>
            </w:r>
          </w:p>
          <w:p>
            <w:pPr>
              <w:pStyle w:val="TableParagraph"/>
              <w:spacing w:line="270" w:lineRule="atLeast" w:before="3"/>
              <w:ind w:left="123" w:right="121"/>
              <w:jc w:val="left"/>
              <w:rPr>
                <w:b/>
                <w:sz w:val="21"/>
              </w:rPr>
            </w:pPr>
            <w:r>
              <w:rPr>
                <w:b/>
                <w:spacing w:val="-3"/>
                <w:sz w:val="21"/>
              </w:rPr>
              <w:t>化处理及生化处理区域之间</w:t>
            </w:r>
          </w:p>
        </w:tc>
        <w:tc>
          <w:tcPr>
            <w:tcW w:w="1175" w:type="dxa"/>
          </w:tcPr>
          <w:p>
            <w:pPr>
              <w:pStyle w:val="TableParagraph"/>
              <w:spacing w:line="244" w:lineRule="auto" w:before="1"/>
              <w:ind w:left="163" w:right="161"/>
              <w:rPr>
                <w:rFonts w:ascii="Times New Roman" w:eastAsia="Times New Roman"/>
                <w:b/>
                <w:sz w:val="21"/>
              </w:rPr>
            </w:pPr>
            <w:r>
              <w:rPr>
                <w:rFonts w:ascii="Times New Roman" w:eastAsia="Times New Roman"/>
                <w:b/>
                <w:sz w:val="21"/>
              </w:rPr>
              <w:t>4#</w:t>
            </w:r>
            <w:r>
              <w:rPr>
                <w:b/>
                <w:sz w:val="21"/>
              </w:rPr>
              <w:t>厂区北面 </w:t>
            </w:r>
            <w:r>
              <w:rPr>
                <w:rFonts w:ascii="Times New Roman" w:eastAsia="Times New Roman"/>
                <w:b/>
                <w:sz w:val="21"/>
              </w:rPr>
              <w:t>400m</w:t>
            </w:r>
          </w:p>
          <w:p>
            <w:pPr>
              <w:pStyle w:val="TableParagraph"/>
              <w:spacing w:line="248" w:lineRule="exact"/>
              <w:ind w:left="161" w:right="161"/>
              <w:rPr>
                <w:b/>
                <w:sz w:val="21"/>
              </w:rPr>
            </w:pPr>
            <w:r>
              <w:rPr>
                <w:b/>
                <w:sz w:val="21"/>
              </w:rPr>
              <w:t>空地</w:t>
            </w:r>
          </w:p>
        </w:tc>
        <w:tc>
          <w:tcPr>
            <w:tcW w:w="814" w:type="dxa"/>
          </w:tcPr>
          <w:p>
            <w:pPr>
              <w:pStyle w:val="TableParagraph"/>
              <w:spacing w:line="242" w:lineRule="auto" w:before="138"/>
              <w:ind w:left="191" w:right="192" w:firstLine="2"/>
              <w:jc w:val="left"/>
              <w:rPr>
                <w:b/>
                <w:sz w:val="21"/>
              </w:rPr>
            </w:pPr>
            <w:r>
              <w:rPr>
                <w:rFonts w:ascii="Times New Roman" w:eastAsia="Times New Roman"/>
                <w:b/>
                <w:sz w:val="21"/>
              </w:rPr>
              <w:t>5#</w:t>
            </w:r>
            <w:r>
              <w:rPr>
                <w:b/>
                <w:sz w:val="21"/>
              </w:rPr>
              <w:t>珠海村</w:t>
            </w:r>
          </w:p>
        </w:tc>
      </w:tr>
      <w:tr>
        <w:trPr>
          <w:trHeight w:val="283" w:hRule="atLeast"/>
        </w:trPr>
        <w:tc>
          <w:tcPr>
            <w:tcW w:w="761" w:type="dxa"/>
            <w:vMerge w:val="restart"/>
          </w:tcPr>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spacing w:before="8"/>
              <w:jc w:val="left"/>
              <w:rPr>
                <w:rFonts w:ascii="Times New Roman"/>
                <w:b/>
                <w:sz w:val="16"/>
              </w:rPr>
            </w:pPr>
          </w:p>
          <w:p>
            <w:pPr>
              <w:pStyle w:val="TableParagraph"/>
              <w:spacing w:line="242" w:lineRule="auto"/>
              <w:ind w:left="273" w:right="161" w:hanging="104"/>
              <w:jc w:val="left"/>
              <w:rPr>
                <w:sz w:val="21"/>
              </w:rPr>
            </w:pPr>
            <w:r>
              <w:rPr>
                <w:sz w:val="21"/>
              </w:rPr>
              <w:t>阳离子</w:t>
            </w:r>
          </w:p>
        </w:tc>
        <w:tc>
          <w:tcPr>
            <w:tcW w:w="2751" w:type="dxa"/>
          </w:tcPr>
          <w:p>
            <w:pPr>
              <w:pStyle w:val="TableParagraph"/>
              <w:spacing w:line="257" w:lineRule="exact" w:before="6"/>
              <w:ind w:left="3"/>
              <w:rPr>
                <w:rFonts w:ascii="Times New Roman" w:eastAsia="Times New Roman"/>
                <w:sz w:val="21"/>
              </w:rPr>
            </w:pPr>
            <w:r>
              <w:rPr>
                <w:sz w:val="21"/>
              </w:rPr>
              <w:t>钾 </w:t>
            </w:r>
            <w:r>
              <w:rPr>
                <w:rFonts w:ascii="Times New Roman" w:eastAsia="Times New Roman"/>
                <w:sz w:val="21"/>
              </w:rPr>
              <w:t>mg/L</w:t>
            </w:r>
          </w:p>
        </w:tc>
        <w:tc>
          <w:tcPr>
            <w:tcW w:w="1133" w:type="dxa"/>
          </w:tcPr>
          <w:p>
            <w:pPr>
              <w:pStyle w:val="TableParagraph"/>
              <w:spacing w:before="20"/>
              <w:ind w:left="7" w:right="3"/>
              <w:rPr>
                <w:rFonts w:ascii="Times New Roman"/>
                <w:sz w:val="21"/>
              </w:rPr>
            </w:pPr>
            <w:r>
              <w:rPr>
                <w:rFonts w:ascii="Times New Roman"/>
                <w:sz w:val="21"/>
              </w:rPr>
              <w:t>36.9</w:t>
            </w:r>
          </w:p>
        </w:tc>
        <w:tc>
          <w:tcPr>
            <w:tcW w:w="1136" w:type="dxa"/>
          </w:tcPr>
          <w:p>
            <w:pPr>
              <w:pStyle w:val="TableParagraph"/>
              <w:spacing w:before="20"/>
              <w:ind w:left="101" w:right="101"/>
              <w:rPr>
                <w:rFonts w:ascii="Times New Roman"/>
                <w:sz w:val="21"/>
              </w:rPr>
            </w:pPr>
            <w:r>
              <w:rPr>
                <w:rFonts w:ascii="Times New Roman"/>
                <w:sz w:val="21"/>
              </w:rPr>
              <w:t>36.7</w:t>
            </w:r>
          </w:p>
        </w:tc>
        <w:tc>
          <w:tcPr>
            <w:tcW w:w="1520" w:type="dxa"/>
          </w:tcPr>
          <w:p>
            <w:pPr>
              <w:pStyle w:val="TableParagraph"/>
              <w:spacing w:before="20"/>
              <w:ind w:left="448" w:right="448"/>
              <w:rPr>
                <w:rFonts w:ascii="Times New Roman"/>
                <w:sz w:val="21"/>
              </w:rPr>
            </w:pPr>
            <w:r>
              <w:rPr>
                <w:rFonts w:ascii="Times New Roman"/>
                <w:sz w:val="21"/>
              </w:rPr>
              <w:t>40.8</w:t>
            </w:r>
          </w:p>
        </w:tc>
        <w:tc>
          <w:tcPr>
            <w:tcW w:w="1175" w:type="dxa"/>
          </w:tcPr>
          <w:p>
            <w:pPr>
              <w:pStyle w:val="TableParagraph"/>
              <w:spacing w:before="20"/>
              <w:ind w:left="163" w:right="161"/>
              <w:rPr>
                <w:rFonts w:ascii="Times New Roman"/>
                <w:sz w:val="21"/>
              </w:rPr>
            </w:pPr>
            <w:r>
              <w:rPr>
                <w:rFonts w:ascii="Times New Roman"/>
                <w:sz w:val="21"/>
              </w:rPr>
              <w:t>34.4</w:t>
            </w:r>
          </w:p>
        </w:tc>
        <w:tc>
          <w:tcPr>
            <w:tcW w:w="814" w:type="dxa"/>
          </w:tcPr>
          <w:p>
            <w:pPr>
              <w:pStyle w:val="TableParagraph"/>
              <w:spacing w:before="20"/>
              <w:ind w:left="96" w:right="95"/>
              <w:rPr>
                <w:rFonts w:ascii="Times New Roman"/>
                <w:sz w:val="21"/>
              </w:rPr>
            </w:pPr>
            <w:r>
              <w:rPr>
                <w:rFonts w:ascii="Times New Roman"/>
                <w:sz w:val="21"/>
              </w:rPr>
              <w:t>37.2</w:t>
            </w:r>
          </w:p>
        </w:tc>
      </w:tr>
      <w:tr>
        <w:trPr>
          <w:trHeight w:val="285" w:hRule="atLeast"/>
        </w:trPr>
        <w:tc>
          <w:tcPr>
            <w:tcW w:w="761" w:type="dxa"/>
            <w:vMerge/>
            <w:tcBorders>
              <w:top w:val="nil"/>
            </w:tcBorders>
          </w:tcPr>
          <w:p>
            <w:pPr>
              <w:rPr>
                <w:sz w:val="2"/>
                <w:szCs w:val="2"/>
              </w:rPr>
            </w:pPr>
          </w:p>
        </w:tc>
        <w:tc>
          <w:tcPr>
            <w:tcW w:w="2751" w:type="dxa"/>
          </w:tcPr>
          <w:p>
            <w:pPr>
              <w:pStyle w:val="TableParagraph"/>
              <w:spacing w:line="257" w:lineRule="exact" w:before="8"/>
              <w:ind w:left="7"/>
              <w:rPr>
                <w:rFonts w:ascii="Times New Roman" w:hAnsi="Times New Roman" w:eastAsia="Times New Roman"/>
                <w:sz w:val="21"/>
              </w:rPr>
            </w:pPr>
            <w:r>
              <w:rPr>
                <w:sz w:val="21"/>
              </w:rPr>
              <w:t>钾</w:t>
            </w:r>
            <w:r>
              <w:rPr>
                <w:rFonts w:ascii="Times New Roman" w:hAnsi="Times New Roman" w:eastAsia="Times New Roman"/>
                <w:sz w:val="21"/>
              </w:rPr>
              <w:t>×1</w:t>
            </w:r>
            <w:r>
              <w:rPr>
                <w:sz w:val="21"/>
              </w:rPr>
              <w:t>（价态）</w:t>
            </w:r>
            <w:r>
              <w:rPr>
                <w:rFonts w:ascii="Times New Roman" w:hAnsi="Times New Roman" w:eastAsia="Times New Roman"/>
                <w:sz w:val="21"/>
              </w:rPr>
              <w:t>mEq/L</w:t>
            </w:r>
          </w:p>
        </w:tc>
        <w:tc>
          <w:tcPr>
            <w:tcW w:w="1133" w:type="dxa"/>
          </w:tcPr>
          <w:p>
            <w:pPr>
              <w:pStyle w:val="TableParagraph"/>
              <w:spacing w:before="22"/>
              <w:ind w:left="3" w:right="3"/>
              <w:rPr>
                <w:rFonts w:ascii="Times New Roman"/>
                <w:sz w:val="21"/>
              </w:rPr>
            </w:pPr>
            <w:r>
              <w:rPr>
                <w:rFonts w:ascii="Times New Roman"/>
                <w:sz w:val="21"/>
              </w:rPr>
              <w:t>0.95</w:t>
            </w:r>
          </w:p>
        </w:tc>
        <w:tc>
          <w:tcPr>
            <w:tcW w:w="1136" w:type="dxa"/>
          </w:tcPr>
          <w:p>
            <w:pPr>
              <w:pStyle w:val="TableParagraph"/>
              <w:spacing w:before="22"/>
              <w:ind w:left="101" w:right="101"/>
              <w:rPr>
                <w:rFonts w:ascii="Times New Roman"/>
                <w:sz w:val="21"/>
              </w:rPr>
            </w:pPr>
            <w:r>
              <w:rPr>
                <w:rFonts w:ascii="Times New Roman"/>
                <w:sz w:val="21"/>
              </w:rPr>
              <w:t>0.94</w:t>
            </w:r>
          </w:p>
        </w:tc>
        <w:tc>
          <w:tcPr>
            <w:tcW w:w="1520" w:type="dxa"/>
          </w:tcPr>
          <w:p>
            <w:pPr>
              <w:pStyle w:val="TableParagraph"/>
              <w:spacing w:before="22"/>
              <w:ind w:left="448" w:right="448"/>
              <w:rPr>
                <w:rFonts w:ascii="Times New Roman"/>
                <w:sz w:val="21"/>
              </w:rPr>
            </w:pPr>
            <w:r>
              <w:rPr>
                <w:rFonts w:ascii="Times New Roman"/>
                <w:sz w:val="21"/>
              </w:rPr>
              <w:t>1.05</w:t>
            </w:r>
          </w:p>
        </w:tc>
        <w:tc>
          <w:tcPr>
            <w:tcW w:w="1175" w:type="dxa"/>
          </w:tcPr>
          <w:p>
            <w:pPr>
              <w:pStyle w:val="TableParagraph"/>
              <w:spacing w:before="22"/>
              <w:ind w:left="161" w:right="161"/>
              <w:rPr>
                <w:rFonts w:ascii="Times New Roman"/>
                <w:sz w:val="21"/>
              </w:rPr>
            </w:pPr>
            <w:r>
              <w:rPr>
                <w:rFonts w:ascii="Times New Roman"/>
                <w:sz w:val="21"/>
              </w:rPr>
              <w:t>0.88</w:t>
            </w:r>
          </w:p>
        </w:tc>
        <w:tc>
          <w:tcPr>
            <w:tcW w:w="814" w:type="dxa"/>
          </w:tcPr>
          <w:p>
            <w:pPr>
              <w:pStyle w:val="TableParagraph"/>
              <w:spacing w:before="22"/>
              <w:ind w:left="95" w:right="95"/>
              <w:rPr>
                <w:rFonts w:ascii="Times New Roman"/>
                <w:sz w:val="21"/>
              </w:rPr>
            </w:pPr>
            <w:r>
              <w:rPr>
                <w:rFonts w:ascii="Times New Roman"/>
                <w:sz w:val="21"/>
              </w:rPr>
              <w:t>0.95</w:t>
            </w:r>
          </w:p>
        </w:tc>
      </w:tr>
      <w:tr>
        <w:trPr>
          <w:trHeight w:val="283" w:hRule="atLeast"/>
        </w:trPr>
        <w:tc>
          <w:tcPr>
            <w:tcW w:w="761" w:type="dxa"/>
            <w:vMerge/>
            <w:tcBorders>
              <w:top w:val="nil"/>
            </w:tcBorders>
          </w:tcPr>
          <w:p>
            <w:pPr>
              <w:rPr>
                <w:sz w:val="2"/>
                <w:szCs w:val="2"/>
              </w:rPr>
            </w:pPr>
          </w:p>
        </w:tc>
        <w:tc>
          <w:tcPr>
            <w:tcW w:w="2751" w:type="dxa"/>
          </w:tcPr>
          <w:p>
            <w:pPr>
              <w:pStyle w:val="TableParagraph"/>
              <w:spacing w:line="257" w:lineRule="exact" w:before="6"/>
              <w:ind w:left="3"/>
              <w:rPr>
                <w:rFonts w:ascii="Times New Roman" w:eastAsia="Times New Roman"/>
                <w:sz w:val="21"/>
              </w:rPr>
            </w:pPr>
            <w:r>
              <w:rPr>
                <w:sz w:val="21"/>
              </w:rPr>
              <w:t>钠 </w:t>
            </w:r>
            <w:r>
              <w:rPr>
                <w:rFonts w:ascii="Times New Roman" w:eastAsia="Times New Roman"/>
                <w:sz w:val="21"/>
              </w:rPr>
              <w:t>mg/L</w:t>
            </w:r>
          </w:p>
        </w:tc>
        <w:tc>
          <w:tcPr>
            <w:tcW w:w="1133" w:type="dxa"/>
          </w:tcPr>
          <w:p>
            <w:pPr>
              <w:pStyle w:val="TableParagraph"/>
              <w:spacing w:before="20"/>
              <w:ind w:left="7" w:right="3"/>
              <w:rPr>
                <w:rFonts w:ascii="Times New Roman"/>
                <w:sz w:val="21"/>
              </w:rPr>
            </w:pPr>
            <w:r>
              <w:rPr>
                <w:rFonts w:ascii="Times New Roman"/>
                <w:sz w:val="21"/>
              </w:rPr>
              <w:t>610</w:t>
            </w:r>
          </w:p>
        </w:tc>
        <w:tc>
          <w:tcPr>
            <w:tcW w:w="1136" w:type="dxa"/>
          </w:tcPr>
          <w:p>
            <w:pPr>
              <w:pStyle w:val="TableParagraph"/>
              <w:spacing w:before="20"/>
              <w:ind w:left="101" w:right="101"/>
              <w:rPr>
                <w:rFonts w:ascii="Times New Roman"/>
                <w:sz w:val="21"/>
              </w:rPr>
            </w:pPr>
            <w:r>
              <w:rPr>
                <w:rFonts w:ascii="Times New Roman"/>
                <w:sz w:val="21"/>
              </w:rPr>
              <w:t>594</w:t>
            </w:r>
          </w:p>
        </w:tc>
        <w:tc>
          <w:tcPr>
            <w:tcW w:w="1520" w:type="dxa"/>
          </w:tcPr>
          <w:p>
            <w:pPr>
              <w:pStyle w:val="TableParagraph"/>
              <w:spacing w:before="20"/>
              <w:ind w:left="448" w:right="448"/>
              <w:rPr>
                <w:rFonts w:ascii="Times New Roman"/>
                <w:sz w:val="21"/>
              </w:rPr>
            </w:pPr>
            <w:r>
              <w:rPr>
                <w:rFonts w:ascii="Times New Roman"/>
                <w:sz w:val="21"/>
              </w:rPr>
              <w:t>458</w:t>
            </w:r>
          </w:p>
        </w:tc>
        <w:tc>
          <w:tcPr>
            <w:tcW w:w="1175" w:type="dxa"/>
          </w:tcPr>
          <w:p>
            <w:pPr>
              <w:pStyle w:val="TableParagraph"/>
              <w:spacing w:before="20"/>
              <w:ind w:left="163" w:right="161"/>
              <w:rPr>
                <w:rFonts w:ascii="Times New Roman"/>
                <w:sz w:val="21"/>
              </w:rPr>
            </w:pPr>
            <w:r>
              <w:rPr>
                <w:rFonts w:ascii="Times New Roman"/>
                <w:sz w:val="21"/>
              </w:rPr>
              <w:t>680</w:t>
            </w:r>
          </w:p>
        </w:tc>
        <w:tc>
          <w:tcPr>
            <w:tcW w:w="814" w:type="dxa"/>
          </w:tcPr>
          <w:p>
            <w:pPr>
              <w:pStyle w:val="TableParagraph"/>
              <w:spacing w:before="20"/>
              <w:ind w:left="96" w:right="95"/>
              <w:rPr>
                <w:rFonts w:ascii="Times New Roman"/>
                <w:sz w:val="21"/>
              </w:rPr>
            </w:pPr>
            <w:r>
              <w:rPr>
                <w:rFonts w:ascii="Times New Roman"/>
                <w:sz w:val="21"/>
              </w:rPr>
              <w:t>483</w:t>
            </w:r>
          </w:p>
        </w:tc>
      </w:tr>
      <w:tr>
        <w:trPr>
          <w:trHeight w:val="282" w:hRule="atLeast"/>
        </w:trPr>
        <w:tc>
          <w:tcPr>
            <w:tcW w:w="761" w:type="dxa"/>
            <w:vMerge/>
            <w:tcBorders>
              <w:top w:val="nil"/>
            </w:tcBorders>
          </w:tcPr>
          <w:p>
            <w:pPr>
              <w:rPr>
                <w:sz w:val="2"/>
                <w:szCs w:val="2"/>
              </w:rPr>
            </w:pPr>
          </w:p>
        </w:tc>
        <w:tc>
          <w:tcPr>
            <w:tcW w:w="2751" w:type="dxa"/>
          </w:tcPr>
          <w:p>
            <w:pPr>
              <w:pStyle w:val="TableParagraph"/>
              <w:spacing w:line="257" w:lineRule="exact" w:before="6"/>
              <w:ind w:left="7"/>
              <w:rPr>
                <w:rFonts w:ascii="Times New Roman" w:hAnsi="Times New Roman" w:eastAsia="Times New Roman"/>
                <w:sz w:val="21"/>
              </w:rPr>
            </w:pPr>
            <w:r>
              <w:rPr>
                <w:sz w:val="21"/>
              </w:rPr>
              <w:t>钠</w:t>
            </w:r>
            <w:r>
              <w:rPr>
                <w:rFonts w:ascii="Times New Roman" w:hAnsi="Times New Roman" w:eastAsia="Times New Roman"/>
                <w:sz w:val="21"/>
              </w:rPr>
              <w:t>×1</w:t>
            </w:r>
            <w:r>
              <w:rPr>
                <w:sz w:val="21"/>
              </w:rPr>
              <w:t>（价态）</w:t>
            </w:r>
            <w:r>
              <w:rPr>
                <w:rFonts w:ascii="Times New Roman" w:hAnsi="Times New Roman" w:eastAsia="Times New Roman"/>
                <w:sz w:val="21"/>
              </w:rPr>
              <w:t>mEq/L</w:t>
            </w:r>
          </w:p>
        </w:tc>
        <w:tc>
          <w:tcPr>
            <w:tcW w:w="1133" w:type="dxa"/>
          </w:tcPr>
          <w:p>
            <w:pPr>
              <w:pStyle w:val="TableParagraph"/>
              <w:spacing w:before="20"/>
              <w:ind w:left="7" w:right="3"/>
              <w:rPr>
                <w:rFonts w:ascii="Times New Roman"/>
                <w:sz w:val="21"/>
              </w:rPr>
            </w:pPr>
            <w:r>
              <w:rPr>
                <w:rFonts w:ascii="Times New Roman"/>
                <w:sz w:val="21"/>
              </w:rPr>
              <w:t>26.5</w:t>
            </w:r>
          </w:p>
        </w:tc>
        <w:tc>
          <w:tcPr>
            <w:tcW w:w="1136" w:type="dxa"/>
          </w:tcPr>
          <w:p>
            <w:pPr>
              <w:pStyle w:val="TableParagraph"/>
              <w:spacing w:before="20"/>
              <w:ind w:left="101" w:right="101"/>
              <w:rPr>
                <w:rFonts w:ascii="Times New Roman"/>
                <w:sz w:val="21"/>
              </w:rPr>
            </w:pPr>
            <w:r>
              <w:rPr>
                <w:rFonts w:ascii="Times New Roman"/>
                <w:sz w:val="21"/>
              </w:rPr>
              <w:t>25.8</w:t>
            </w:r>
          </w:p>
        </w:tc>
        <w:tc>
          <w:tcPr>
            <w:tcW w:w="1520" w:type="dxa"/>
          </w:tcPr>
          <w:p>
            <w:pPr>
              <w:pStyle w:val="TableParagraph"/>
              <w:spacing w:before="20"/>
              <w:ind w:left="448" w:right="448"/>
              <w:rPr>
                <w:rFonts w:ascii="Times New Roman"/>
                <w:sz w:val="21"/>
              </w:rPr>
            </w:pPr>
            <w:r>
              <w:rPr>
                <w:rFonts w:ascii="Times New Roman"/>
                <w:sz w:val="21"/>
              </w:rPr>
              <w:t>19.9</w:t>
            </w:r>
          </w:p>
        </w:tc>
        <w:tc>
          <w:tcPr>
            <w:tcW w:w="1175" w:type="dxa"/>
          </w:tcPr>
          <w:p>
            <w:pPr>
              <w:pStyle w:val="TableParagraph"/>
              <w:spacing w:before="20"/>
              <w:ind w:left="161" w:right="161"/>
              <w:rPr>
                <w:rFonts w:ascii="Times New Roman"/>
                <w:sz w:val="21"/>
              </w:rPr>
            </w:pPr>
            <w:r>
              <w:rPr>
                <w:rFonts w:ascii="Times New Roman"/>
                <w:sz w:val="21"/>
              </w:rPr>
              <w:t>29.6</w:t>
            </w:r>
          </w:p>
        </w:tc>
        <w:tc>
          <w:tcPr>
            <w:tcW w:w="814" w:type="dxa"/>
          </w:tcPr>
          <w:p>
            <w:pPr>
              <w:pStyle w:val="TableParagraph"/>
              <w:spacing w:before="20"/>
              <w:ind w:left="95" w:right="95"/>
              <w:rPr>
                <w:rFonts w:ascii="Times New Roman"/>
                <w:sz w:val="21"/>
              </w:rPr>
            </w:pPr>
            <w:r>
              <w:rPr>
                <w:rFonts w:ascii="Times New Roman"/>
                <w:sz w:val="21"/>
              </w:rPr>
              <w:t>21.0</w:t>
            </w:r>
          </w:p>
        </w:tc>
      </w:tr>
      <w:tr>
        <w:trPr>
          <w:trHeight w:val="285" w:hRule="atLeast"/>
        </w:trPr>
        <w:tc>
          <w:tcPr>
            <w:tcW w:w="761" w:type="dxa"/>
            <w:vMerge/>
            <w:tcBorders>
              <w:top w:val="nil"/>
            </w:tcBorders>
          </w:tcPr>
          <w:p>
            <w:pPr>
              <w:rPr>
                <w:sz w:val="2"/>
                <w:szCs w:val="2"/>
              </w:rPr>
            </w:pPr>
          </w:p>
        </w:tc>
        <w:tc>
          <w:tcPr>
            <w:tcW w:w="2751" w:type="dxa"/>
          </w:tcPr>
          <w:p>
            <w:pPr>
              <w:pStyle w:val="TableParagraph"/>
              <w:spacing w:line="257" w:lineRule="exact" w:before="8"/>
              <w:ind w:left="3"/>
              <w:rPr>
                <w:rFonts w:ascii="Times New Roman" w:eastAsia="Times New Roman"/>
                <w:sz w:val="21"/>
              </w:rPr>
            </w:pPr>
            <w:r>
              <w:rPr>
                <w:sz w:val="21"/>
              </w:rPr>
              <w:t>钙 </w:t>
            </w:r>
            <w:r>
              <w:rPr>
                <w:rFonts w:ascii="Times New Roman" w:eastAsia="Times New Roman"/>
                <w:sz w:val="21"/>
              </w:rPr>
              <w:t>mg/L</w:t>
            </w:r>
          </w:p>
        </w:tc>
        <w:tc>
          <w:tcPr>
            <w:tcW w:w="1133" w:type="dxa"/>
          </w:tcPr>
          <w:p>
            <w:pPr>
              <w:pStyle w:val="TableParagraph"/>
              <w:spacing w:before="22"/>
              <w:ind w:left="7" w:right="3"/>
              <w:rPr>
                <w:rFonts w:ascii="Times New Roman"/>
                <w:sz w:val="21"/>
              </w:rPr>
            </w:pPr>
            <w:r>
              <w:rPr>
                <w:rFonts w:ascii="Times New Roman"/>
                <w:sz w:val="21"/>
              </w:rPr>
              <w:t>82.2</w:t>
            </w:r>
          </w:p>
        </w:tc>
        <w:tc>
          <w:tcPr>
            <w:tcW w:w="1136" w:type="dxa"/>
          </w:tcPr>
          <w:p>
            <w:pPr>
              <w:pStyle w:val="TableParagraph"/>
              <w:spacing w:before="22"/>
              <w:ind w:left="101" w:right="101"/>
              <w:rPr>
                <w:rFonts w:ascii="Times New Roman"/>
                <w:sz w:val="21"/>
              </w:rPr>
            </w:pPr>
            <w:r>
              <w:rPr>
                <w:rFonts w:ascii="Times New Roman"/>
                <w:sz w:val="21"/>
              </w:rPr>
              <w:t>66.2</w:t>
            </w:r>
          </w:p>
        </w:tc>
        <w:tc>
          <w:tcPr>
            <w:tcW w:w="1520" w:type="dxa"/>
          </w:tcPr>
          <w:p>
            <w:pPr>
              <w:pStyle w:val="TableParagraph"/>
              <w:spacing w:before="22"/>
              <w:ind w:left="448" w:right="448"/>
              <w:rPr>
                <w:rFonts w:ascii="Times New Roman"/>
                <w:sz w:val="21"/>
              </w:rPr>
            </w:pPr>
            <w:r>
              <w:rPr>
                <w:rFonts w:ascii="Times New Roman"/>
                <w:sz w:val="21"/>
              </w:rPr>
              <w:t>83.2</w:t>
            </w:r>
          </w:p>
        </w:tc>
        <w:tc>
          <w:tcPr>
            <w:tcW w:w="1175" w:type="dxa"/>
          </w:tcPr>
          <w:p>
            <w:pPr>
              <w:pStyle w:val="TableParagraph"/>
              <w:spacing w:before="22"/>
              <w:ind w:left="163" w:right="161"/>
              <w:rPr>
                <w:rFonts w:ascii="Times New Roman"/>
                <w:sz w:val="21"/>
              </w:rPr>
            </w:pPr>
            <w:r>
              <w:rPr>
                <w:rFonts w:ascii="Times New Roman"/>
                <w:sz w:val="21"/>
              </w:rPr>
              <w:t>61.2</w:t>
            </w:r>
          </w:p>
        </w:tc>
        <w:tc>
          <w:tcPr>
            <w:tcW w:w="814" w:type="dxa"/>
          </w:tcPr>
          <w:p>
            <w:pPr>
              <w:pStyle w:val="TableParagraph"/>
              <w:spacing w:before="22"/>
              <w:ind w:left="96" w:right="95"/>
              <w:rPr>
                <w:rFonts w:ascii="Times New Roman"/>
                <w:sz w:val="21"/>
              </w:rPr>
            </w:pPr>
            <w:r>
              <w:rPr>
                <w:rFonts w:ascii="Times New Roman"/>
                <w:sz w:val="21"/>
              </w:rPr>
              <w:t>92.7</w:t>
            </w:r>
          </w:p>
        </w:tc>
      </w:tr>
      <w:tr>
        <w:trPr>
          <w:trHeight w:val="282" w:hRule="atLeast"/>
        </w:trPr>
        <w:tc>
          <w:tcPr>
            <w:tcW w:w="761" w:type="dxa"/>
            <w:vMerge/>
            <w:tcBorders>
              <w:top w:val="nil"/>
            </w:tcBorders>
          </w:tcPr>
          <w:p>
            <w:pPr>
              <w:rPr>
                <w:sz w:val="2"/>
                <w:szCs w:val="2"/>
              </w:rPr>
            </w:pPr>
          </w:p>
        </w:tc>
        <w:tc>
          <w:tcPr>
            <w:tcW w:w="2751" w:type="dxa"/>
          </w:tcPr>
          <w:p>
            <w:pPr>
              <w:pStyle w:val="TableParagraph"/>
              <w:spacing w:line="257" w:lineRule="exact" w:before="6"/>
              <w:ind w:left="7"/>
              <w:rPr>
                <w:rFonts w:ascii="Times New Roman" w:hAnsi="Times New Roman" w:eastAsia="Times New Roman"/>
                <w:sz w:val="21"/>
              </w:rPr>
            </w:pPr>
            <w:r>
              <w:rPr>
                <w:sz w:val="21"/>
              </w:rPr>
              <w:t>钙</w:t>
            </w:r>
            <w:r>
              <w:rPr>
                <w:rFonts w:ascii="Times New Roman" w:hAnsi="Times New Roman" w:eastAsia="Times New Roman"/>
                <w:sz w:val="21"/>
              </w:rPr>
              <w:t>×2</w:t>
            </w:r>
            <w:r>
              <w:rPr>
                <w:sz w:val="21"/>
              </w:rPr>
              <w:t>（价态）</w:t>
            </w:r>
            <w:r>
              <w:rPr>
                <w:rFonts w:ascii="Times New Roman" w:hAnsi="Times New Roman" w:eastAsia="Times New Roman"/>
                <w:sz w:val="21"/>
              </w:rPr>
              <w:t>mEq/L</w:t>
            </w:r>
          </w:p>
        </w:tc>
        <w:tc>
          <w:tcPr>
            <w:tcW w:w="1133" w:type="dxa"/>
          </w:tcPr>
          <w:p>
            <w:pPr>
              <w:pStyle w:val="TableParagraph"/>
              <w:spacing w:before="20"/>
              <w:ind w:left="4" w:right="3"/>
              <w:rPr>
                <w:rFonts w:ascii="Times New Roman"/>
                <w:sz w:val="21"/>
              </w:rPr>
            </w:pPr>
            <w:r>
              <w:rPr>
                <w:rFonts w:ascii="Times New Roman"/>
                <w:sz w:val="21"/>
              </w:rPr>
              <w:t>4.11</w:t>
            </w:r>
          </w:p>
        </w:tc>
        <w:tc>
          <w:tcPr>
            <w:tcW w:w="1136" w:type="dxa"/>
          </w:tcPr>
          <w:p>
            <w:pPr>
              <w:pStyle w:val="TableParagraph"/>
              <w:spacing w:before="20"/>
              <w:ind w:left="101" w:right="101"/>
              <w:rPr>
                <w:rFonts w:ascii="Times New Roman"/>
                <w:sz w:val="21"/>
              </w:rPr>
            </w:pPr>
            <w:r>
              <w:rPr>
                <w:rFonts w:ascii="Times New Roman"/>
                <w:sz w:val="21"/>
              </w:rPr>
              <w:t>3.31</w:t>
            </w:r>
          </w:p>
        </w:tc>
        <w:tc>
          <w:tcPr>
            <w:tcW w:w="1520" w:type="dxa"/>
          </w:tcPr>
          <w:p>
            <w:pPr>
              <w:pStyle w:val="TableParagraph"/>
              <w:spacing w:before="20"/>
              <w:ind w:left="448" w:right="448"/>
              <w:rPr>
                <w:rFonts w:ascii="Times New Roman"/>
                <w:sz w:val="21"/>
              </w:rPr>
            </w:pPr>
            <w:r>
              <w:rPr>
                <w:rFonts w:ascii="Times New Roman"/>
                <w:sz w:val="21"/>
              </w:rPr>
              <w:t>4.16</w:t>
            </w:r>
          </w:p>
        </w:tc>
        <w:tc>
          <w:tcPr>
            <w:tcW w:w="1175" w:type="dxa"/>
          </w:tcPr>
          <w:p>
            <w:pPr>
              <w:pStyle w:val="TableParagraph"/>
              <w:spacing w:before="20"/>
              <w:ind w:left="161" w:right="161"/>
              <w:rPr>
                <w:rFonts w:ascii="Times New Roman"/>
                <w:sz w:val="21"/>
              </w:rPr>
            </w:pPr>
            <w:r>
              <w:rPr>
                <w:rFonts w:ascii="Times New Roman"/>
                <w:sz w:val="21"/>
              </w:rPr>
              <w:t>3.06</w:t>
            </w:r>
          </w:p>
        </w:tc>
        <w:tc>
          <w:tcPr>
            <w:tcW w:w="814" w:type="dxa"/>
          </w:tcPr>
          <w:p>
            <w:pPr>
              <w:pStyle w:val="TableParagraph"/>
              <w:spacing w:before="20"/>
              <w:ind w:left="95" w:right="95"/>
              <w:rPr>
                <w:rFonts w:ascii="Times New Roman"/>
                <w:sz w:val="21"/>
              </w:rPr>
            </w:pPr>
            <w:r>
              <w:rPr>
                <w:rFonts w:ascii="Times New Roman"/>
                <w:sz w:val="21"/>
              </w:rPr>
              <w:t>4.64</w:t>
            </w:r>
          </w:p>
        </w:tc>
      </w:tr>
      <w:tr>
        <w:trPr>
          <w:trHeight w:val="285" w:hRule="atLeast"/>
        </w:trPr>
        <w:tc>
          <w:tcPr>
            <w:tcW w:w="761" w:type="dxa"/>
            <w:vMerge/>
            <w:tcBorders>
              <w:top w:val="nil"/>
            </w:tcBorders>
          </w:tcPr>
          <w:p>
            <w:pPr>
              <w:rPr>
                <w:sz w:val="2"/>
                <w:szCs w:val="2"/>
              </w:rPr>
            </w:pPr>
          </w:p>
        </w:tc>
        <w:tc>
          <w:tcPr>
            <w:tcW w:w="2751" w:type="dxa"/>
          </w:tcPr>
          <w:p>
            <w:pPr>
              <w:pStyle w:val="TableParagraph"/>
              <w:spacing w:line="257" w:lineRule="exact" w:before="8"/>
              <w:ind w:left="3"/>
              <w:rPr>
                <w:rFonts w:ascii="Times New Roman" w:eastAsia="Times New Roman"/>
                <w:sz w:val="21"/>
              </w:rPr>
            </w:pPr>
            <w:r>
              <w:rPr>
                <w:sz w:val="21"/>
              </w:rPr>
              <w:t>镁 </w:t>
            </w:r>
            <w:r>
              <w:rPr>
                <w:rFonts w:ascii="Times New Roman" w:eastAsia="Times New Roman"/>
                <w:sz w:val="21"/>
              </w:rPr>
              <w:t>mg/L</w:t>
            </w:r>
          </w:p>
        </w:tc>
        <w:tc>
          <w:tcPr>
            <w:tcW w:w="1133" w:type="dxa"/>
          </w:tcPr>
          <w:p>
            <w:pPr>
              <w:pStyle w:val="TableParagraph"/>
              <w:spacing w:before="22"/>
              <w:ind w:left="7" w:right="3"/>
              <w:rPr>
                <w:rFonts w:ascii="Times New Roman"/>
                <w:sz w:val="21"/>
              </w:rPr>
            </w:pPr>
            <w:r>
              <w:rPr>
                <w:rFonts w:ascii="Times New Roman"/>
                <w:sz w:val="21"/>
              </w:rPr>
              <w:t>94.6</w:t>
            </w:r>
          </w:p>
        </w:tc>
        <w:tc>
          <w:tcPr>
            <w:tcW w:w="1136" w:type="dxa"/>
          </w:tcPr>
          <w:p>
            <w:pPr>
              <w:pStyle w:val="TableParagraph"/>
              <w:spacing w:before="22"/>
              <w:ind w:left="101" w:right="101"/>
              <w:rPr>
                <w:rFonts w:ascii="Times New Roman"/>
                <w:sz w:val="21"/>
              </w:rPr>
            </w:pPr>
            <w:r>
              <w:rPr>
                <w:rFonts w:ascii="Times New Roman"/>
                <w:sz w:val="21"/>
              </w:rPr>
              <w:t>94.2</w:t>
            </w:r>
          </w:p>
        </w:tc>
        <w:tc>
          <w:tcPr>
            <w:tcW w:w="1520" w:type="dxa"/>
          </w:tcPr>
          <w:p>
            <w:pPr>
              <w:pStyle w:val="TableParagraph"/>
              <w:spacing w:before="22"/>
              <w:ind w:left="448" w:right="448"/>
              <w:rPr>
                <w:rFonts w:ascii="Times New Roman"/>
                <w:sz w:val="21"/>
              </w:rPr>
            </w:pPr>
            <w:r>
              <w:rPr>
                <w:rFonts w:ascii="Times New Roman"/>
                <w:sz w:val="21"/>
              </w:rPr>
              <w:t>78.7</w:t>
            </w:r>
          </w:p>
        </w:tc>
        <w:tc>
          <w:tcPr>
            <w:tcW w:w="1175" w:type="dxa"/>
          </w:tcPr>
          <w:p>
            <w:pPr>
              <w:pStyle w:val="TableParagraph"/>
              <w:spacing w:before="22"/>
              <w:ind w:left="163" w:right="161"/>
              <w:rPr>
                <w:rFonts w:ascii="Times New Roman"/>
                <w:sz w:val="21"/>
              </w:rPr>
            </w:pPr>
            <w:r>
              <w:rPr>
                <w:rFonts w:ascii="Times New Roman"/>
                <w:sz w:val="21"/>
              </w:rPr>
              <w:t>83.0</w:t>
            </w:r>
          </w:p>
        </w:tc>
        <w:tc>
          <w:tcPr>
            <w:tcW w:w="814" w:type="dxa"/>
          </w:tcPr>
          <w:p>
            <w:pPr>
              <w:pStyle w:val="TableParagraph"/>
              <w:spacing w:before="22"/>
              <w:ind w:left="96" w:right="95"/>
              <w:rPr>
                <w:rFonts w:ascii="Times New Roman"/>
                <w:sz w:val="21"/>
              </w:rPr>
            </w:pPr>
            <w:r>
              <w:rPr>
                <w:rFonts w:ascii="Times New Roman"/>
                <w:sz w:val="21"/>
              </w:rPr>
              <w:t>68.0</w:t>
            </w:r>
          </w:p>
        </w:tc>
      </w:tr>
      <w:tr>
        <w:trPr>
          <w:trHeight w:val="282" w:hRule="atLeast"/>
        </w:trPr>
        <w:tc>
          <w:tcPr>
            <w:tcW w:w="761" w:type="dxa"/>
            <w:vMerge/>
            <w:tcBorders>
              <w:top w:val="nil"/>
            </w:tcBorders>
          </w:tcPr>
          <w:p>
            <w:pPr>
              <w:rPr>
                <w:sz w:val="2"/>
                <w:szCs w:val="2"/>
              </w:rPr>
            </w:pPr>
          </w:p>
        </w:tc>
        <w:tc>
          <w:tcPr>
            <w:tcW w:w="2751" w:type="dxa"/>
          </w:tcPr>
          <w:p>
            <w:pPr>
              <w:pStyle w:val="TableParagraph"/>
              <w:spacing w:line="257" w:lineRule="exact" w:before="6"/>
              <w:ind w:left="7"/>
              <w:rPr>
                <w:rFonts w:ascii="Times New Roman" w:hAnsi="Times New Roman" w:eastAsia="Times New Roman"/>
                <w:sz w:val="21"/>
              </w:rPr>
            </w:pPr>
            <w:r>
              <w:rPr>
                <w:sz w:val="21"/>
              </w:rPr>
              <w:t>镁</w:t>
            </w:r>
            <w:r>
              <w:rPr>
                <w:rFonts w:ascii="Times New Roman" w:hAnsi="Times New Roman" w:eastAsia="Times New Roman"/>
                <w:sz w:val="21"/>
              </w:rPr>
              <w:t>×2</w:t>
            </w:r>
            <w:r>
              <w:rPr>
                <w:sz w:val="21"/>
              </w:rPr>
              <w:t>（价态）</w:t>
            </w:r>
            <w:r>
              <w:rPr>
                <w:rFonts w:ascii="Times New Roman" w:hAnsi="Times New Roman" w:eastAsia="Times New Roman"/>
                <w:sz w:val="21"/>
              </w:rPr>
              <w:t>mEq/L</w:t>
            </w:r>
          </w:p>
        </w:tc>
        <w:tc>
          <w:tcPr>
            <w:tcW w:w="1133" w:type="dxa"/>
          </w:tcPr>
          <w:p>
            <w:pPr>
              <w:pStyle w:val="TableParagraph"/>
              <w:spacing w:before="20"/>
              <w:ind w:left="3" w:right="3"/>
              <w:rPr>
                <w:rFonts w:ascii="Times New Roman"/>
                <w:sz w:val="21"/>
              </w:rPr>
            </w:pPr>
            <w:r>
              <w:rPr>
                <w:rFonts w:ascii="Times New Roman"/>
                <w:sz w:val="21"/>
              </w:rPr>
              <w:t>7.88</w:t>
            </w:r>
          </w:p>
        </w:tc>
        <w:tc>
          <w:tcPr>
            <w:tcW w:w="1136" w:type="dxa"/>
          </w:tcPr>
          <w:p>
            <w:pPr>
              <w:pStyle w:val="TableParagraph"/>
              <w:spacing w:before="20"/>
              <w:ind w:left="101" w:right="101"/>
              <w:rPr>
                <w:rFonts w:ascii="Times New Roman"/>
                <w:sz w:val="21"/>
              </w:rPr>
            </w:pPr>
            <w:r>
              <w:rPr>
                <w:rFonts w:ascii="Times New Roman"/>
                <w:sz w:val="21"/>
              </w:rPr>
              <w:t>7.85</w:t>
            </w:r>
          </w:p>
        </w:tc>
        <w:tc>
          <w:tcPr>
            <w:tcW w:w="1520" w:type="dxa"/>
          </w:tcPr>
          <w:p>
            <w:pPr>
              <w:pStyle w:val="TableParagraph"/>
              <w:spacing w:before="20"/>
              <w:ind w:left="448" w:right="448"/>
              <w:rPr>
                <w:rFonts w:ascii="Times New Roman"/>
                <w:sz w:val="21"/>
              </w:rPr>
            </w:pPr>
            <w:r>
              <w:rPr>
                <w:rFonts w:ascii="Times New Roman"/>
                <w:sz w:val="21"/>
              </w:rPr>
              <w:t>6.56</w:t>
            </w:r>
          </w:p>
        </w:tc>
        <w:tc>
          <w:tcPr>
            <w:tcW w:w="1175" w:type="dxa"/>
          </w:tcPr>
          <w:p>
            <w:pPr>
              <w:pStyle w:val="TableParagraph"/>
              <w:spacing w:before="20"/>
              <w:ind w:left="161" w:right="161"/>
              <w:rPr>
                <w:rFonts w:ascii="Times New Roman"/>
                <w:sz w:val="21"/>
              </w:rPr>
            </w:pPr>
            <w:r>
              <w:rPr>
                <w:rFonts w:ascii="Times New Roman"/>
                <w:sz w:val="21"/>
              </w:rPr>
              <w:t>6.92</w:t>
            </w:r>
          </w:p>
        </w:tc>
        <w:tc>
          <w:tcPr>
            <w:tcW w:w="814" w:type="dxa"/>
          </w:tcPr>
          <w:p>
            <w:pPr>
              <w:pStyle w:val="TableParagraph"/>
              <w:spacing w:before="20"/>
              <w:ind w:left="95" w:right="95"/>
              <w:rPr>
                <w:rFonts w:ascii="Times New Roman"/>
                <w:sz w:val="21"/>
              </w:rPr>
            </w:pPr>
            <w:r>
              <w:rPr>
                <w:rFonts w:ascii="Times New Roman"/>
                <w:sz w:val="21"/>
              </w:rPr>
              <w:t>5.67</w:t>
            </w:r>
          </w:p>
        </w:tc>
      </w:tr>
      <w:tr>
        <w:trPr>
          <w:trHeight w:val="282" w:hRule="atLeast"/>
        </w:trPr>
        <w:tc>
          <w:tcPr>
            <w:tcW w:w="3512" w:type="dxa"/>
            <w:gridSpan w:val="2"/>
          </w:tcPr>
          <w:p>
            <w:pPr>
              <w:pStyle w:val="TableParagraph"/>
              <w:spacing w:line="255" w:lineRule="exact" w:before="8"/>
              <w:ind w:left="887"/>
              <w:jc w:val="left"/>
              <w:rPr>
                <w:rFonts w:ascii="Times New Roman" w:eastAsia="Times New Roman"/>
                <w:sz w:val="21"/>
              </w:rPr>
            </w:pPr>
            <w:r>
              <w:rPr>
                <w:sz w:val="21"/>
              </w:rPr>
              <w:t>阳离子合计 </w:t>
            </w:r>
            <w:r>
              <w:rPr>
                <w:rFonts w:ascii="Times New Roman" w:eastAsia="Times New Roman"/>
                <w:sz w:val="21"/>
              </w:rPr>
              <w:t>mEq/L</w:t>
            </w:r>
          </w:p>
        </w:tc>
        <w:tc>
          <w:tcPr>
            <w:tcW w:w="1133" w:type="dxa"/>
          </w:tcPr>
          <w:p>
            <w:pPr>
              <w:pStyle w:val="TableParagraph"/>
              <w:spacing w:line="241" w:lineRule="exact" w:before="22"/>
              <w:ind w:left="3" w:right="3"/>
              <w:rPr>
                <w:rFonts w:ascii="Times New Roman"/>
                <w:sz w:val="21"/>
              </w:rPr>
            </w:pPr>
            <w:r>
              <w:rPr>
                <w:rFonts w:ascii="Times New Roman"/>
                <w:sz w:val="21"/>
              </w:rPr>
              <w:t>39.4</w:t>
            </w:r>
          </w:p>
        </w:tc>
        <w:tc>
          <w:tcPr>
            <w:tcW w:w="1136" w:type="dxa"/>
          </w:tcPr>
          <w:p>
            <w:pPr>
              <w:pStyle w:val="TableParagraph"/>
              <w:spacing w:line="241" w:lineRule="exact" w:before="22"/>
              <w:ind w:left="101" w:right="101"/>
              <w:rPr>
                <w:rFonts w:ascii="Times New Roman"/>
                <w:sz w:val="21"/>
              </w:rPr>
            </w:pPr>
            <w:r>
              <w:rPr>
                <w:rFonts w:ascii="Times New Roman"/>
                <w:sz w:val="21"/>
              </w:rPr>
              <w:t>37.9</w:t>
            </w:r>
          </w:p>
        </w:tc>
        <w:tc>
          <w:tcPr>
            <w:tcW w:w="1520" w:type="dxa"/>
          </w:tcPr>
          <w:p>
            <w:pPr>
              <w:pStyle w:val="TableParagraph"/>
              <w:spacing w:line="241" w:lineRule="exact" w:before="22"/>
              <w:ind w:left="448" w:right="448"/>
              <w:rPr>
                <w:rFonts w:ascii="Times New Roman"/>
                <w:sz w:val="21"/>
              </w:rPr>
            </w:pPr>
            <w:r>
              <w:rPr>
                <w:rFonts w:ascii="Times New Roman"/>
                <w:sz w:val="21"/>
              </w:rPr>
              <w:t>31.7</w:t>
            </w:r>
          </w:p>
        </w:tc>
        <w:tc>
          <w:tcPr>
            <w:tcW w:w="1175" w:type="dxa"/>
          </w:tcPr>
          <w:p>
            <w:pPr>
              <w:pStyle w:val="TableParagraph"/>
              <w:spacing w:line="241" w:lineRule="exact" w:before="22"/>
              <w:ind w:left="161" w:right="161"/>
              <w:rPr>
                <w:rFonts w:ascii="Times New Roman"/>
                <w:sz w:val="21"/>
              </w:rPr>
            </w:pPr>
            <w:r>
              <w:rPr>
                <w:rFonts w:ascii="Times New Roman"/>
                <w:sz w:val="21"/>
              </w:rPr>
              <w:t>40.5</w:t>
            </w:r>
          </w:p>
        </w:tc>
        <w:tc>
          <w:tcPr>
            <w:tcW w:w="814" w:type="dxa"/>
          </w:tcPr>
          <w:p>
            <w:pPr>
              <w:pStyle w:val="TableParagraph"/>
              <w:spacing w:line="241" w:lineRule="exact" w:before="22"/>
              <w:ind w:left="95" w:right="95"/>
              <w:rPr>
                <w:rFonts w:ascii="Times New Roman"/>
                <w:sz w:val="21"/>
              </w:rPr>
            </w:pPr>
            <w:r>
              <w:rPr>
                <w:rFonts w:ascii="Times New Roman"/>
                <w:sz w:val="21"/>
              </w:rPr>
              <w:t>32.3</w:t>
            </w:r>
          </w:p>
        </w:tc>
      </w:tr>
      <w:tr>
        <w:trPr>
          <w:trHeight w:val="285" w:hRule="atLeast"/>
        </w:trPr>
        <w:tc>
          <w:tcPr>
            <w:tcW w:w="761" w:type="dxa"/>
            <w:vMerge w:val="restart"/>
          </w:tcPr>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spacing w:before="10"/>
              <w:jc w:val="left"/>
              <w:rPr>
                <w:rFonts w:ascii="Times New Roman"/>
                <w:b/>
                <w:sz w:val="16"/>
              </w:rPr>
            </w:pPr>
          </w:p>
          <w:p>
            <w:pPr>
              <w:pStyle w:val="TableParagraph"/>
              <w:spacing w:line="242" w:lineRule="auto"/>
              <w:ind w:left="273" w:right="161" w:hanging="104"/>
              <w:jc w:val="left"/>
              <w:rPr>
                <w:sz w:val="21"/>
              </w:rPr>
            </w:pPr>
            <w:r>
              <w:rPr>
                <w:sz w:val="21"/>
              </w:rPr>
              <w:t>阴离子</w:t>
            </w:r>
          </w:p>
        </w:tc>
        <w:tc>
          <w:tcPr>
            <w:tcW w:w="2751" w:type="dxa"/>
          </w:tcPr>
          <w:p>
            <w:pPr>
              <w:pStyle w:val="TableParagraph"/>
              <w:spacing w:line="257" w:lineRule="exact" w:before="8"/>
              <w:rPr>
                <w:rFonts w:ascii="Times New Roman" w:eastAsia="Times New Roman"/>
                <w:sz w:val="21"/>
              </w:rPr>
            </w:pPr>
            <w:r>
              <w:rPr>
                <w:sz w:val="21"/>
              </w:rPr>
              <w:t>碳酸盐 </w:t>
            </w:r>
            <w:r>
              <w:rPr>
                <w:rFonts w:ascii="Times New Roman" w:eastAsia="Times New Roman"/>
                <w:sz w:val="21"/>
              </w:rPr>
              <w:t>mg/L</w:t>
            </w:r>
          </w:p>
        </w:tc>
        <w:tc>
          <w:tcPr>
            <w:tcW w:w="1133" w:type="dxa"/>
          </w:tcPr>
          <w:p>
            <w:pPr>
              <w:pStyle w:val="TableParagraph"/>
              <w:spacing w:line="257" w:lineRule="exact" w:before="8"/>
              <w:ind w:left="7" w:right="3"/>
              <w:rPr>
                <w:rFonts w:ascii="Times New Roman" w:eastAsia="Times New Roman"/>
                <w:sz w:val="21"/>
              </w:rPr>
            </w:pPr>
            <w:r>
              <w:rPr>
                <w:sz w:val="21"/>
              </w:rPr>
              <w:t>＜</w:t>
            </w:r>
            <w:r>
              <w:rPr>
                <w:rFonts w:ascii="Times New Roman" w:eastAsia="Times New Roman"/>
                <w:sz w:val="21"/>
              </w:rPr>
              <w:t>1.00</w:t>
            </w:r>
          </w:p>
        </w:tc>
        <w:tc>
          <w:tcPr>
            <w:tcW w:w="1136" w:type="dxa"/>
          </w:tcPr>
          <w:p>
            <w:pPr>
              <w:pStyle w:val="TableParagraph"/>
              <w:spacing w:line="257" w:lineRule="exact" w:before="8"/>
              <w:ind w:left="101" w:right="101"/>
              <w:rPr>
                <w:rFonts w:ascii="Times New Roman" w:eastAsia="Times New Roman"/>
                <w:sz w:val="21"/>
              </w:rPr>
            </w:pPr>
            <w:r>
              <w:rPr>
                <w:sz w:val="21"/>
              </w:rPr>
              <w:t>＜</w:t>
            </w:r>
            <w:r>
              <w:rPr>
                <w:rFonts w:ascii="Times New Roman" w:eastAsia="Times New Roman"/>
                <w:sz w:val="21"/>
              </w:rPr>
              <w:t>1.00</w:t>
            </w:r>
          </w:p>
        </w:tc>
        <w:tc>
          <w:tcPr>
            <w:tcW w:w="1520" w:type="dxa"/>
          </w:tcPr>
          <w:p>
            <w:pPr>
              <w:pStyle w:val="TableParagraph"/>
              <w:spacing w:line="257" w:lineRule="exact" w:before="8"/>
              <w:ind w:left="448" w:right="448"/>
              <w:rPr>
                <w:rFonts w:ascii="Times New Roman" w:eastAsia="Times New Roman"/>
                <w:sz w:val="21"/>
              </w:rPr>
            </w:pPr>
            <w:r>
              <w:rPr>
                <w:sz w:val="21"/>
              </w:rPr>
              <w:t>＜</w:t>
            </w:r>
            <w:r>
              <w:rPr>
                <w:rFonts w:ascii="Times New Roman" w:eastAsia="Times New Roman"/>
                <w:sz w:val="21"/>
              </w:rPr>
              <w:t>1.00</w:t>
            </w:r>
          </w:p>
        </w:tc>
        <w:tc>
          <w:tcPr>
            <w:tcW w:w="1175" w:type="dxa"/>
          </w:tcPr>
          <w:p>
            <w:pPr>
              <w:pStyle w:val="TableParagraph"/>
              <w:spacing w:line="257" w:lineRule="exact" w:before="8"/>
              <w:ind w:left="163" w:right="160"/>
              <w:rPr>
                <w:rFonts w:ascii="Times New Roman" w:eastAsia="Times New Roman"/>
                <w:sz w:val="21"/>
              </w:rPr>
            </w:pPr>
            <w:r>
              <w:rPr>
                <w:sz w:val="21"/>
              </w:rPr>
              <w:t>＜</w:t>
            </w:r>
            <w:r>
              <w:rPr>
                <w:rFonts w:ascii="Times New Roman" w:eastAsia="Times New Roman"/>
                <w:sz w:val="21"/>
              </w:rPr>
              <w:t>1.00</w:t>
            </w:r>
          </w:p>
        </w:tc>
        <w:tc>
          <w:tcPr>
            <w:tcW w:w="814" w:type="dxa"/>
          </w:tcPr>
          <w:p>
            <w:pPr>
              <w:pStyle w:val="TableParagraph"/>
              <w:spacing w:line="257" w:lineRule="exact" w:before="8"/>
              <w:ind w:left="96" w:right="95"/>
              <w:rPr>
                <w:rFonts w:ascii="Times New Roman" w:eastAsia="Times New Roman"/>
                <w:sz w:val="21"/>
              </w:rPr>
            </w:pPr>
            <w:r>
              <w:rPr>
                <w:sz w:val="21"/>
              </w:rPr>
              <w:t>＜</w:t>
            </w:r>
            <w:r>
              <w:rPr>
                <w:rFonts w:ascii="Times New Roman" w:eastAsia="Times New Roman"/>
                <w:sz w:val="21"/>
              </w:rPr>
              <w:t>1.00</w:t>
            </w:r>
          </w:p>
        </w:tc>
      </w:tr>
      <w:tr>
        <w:trPr>
          <w:trHeight w:val="282" w:hRule="atLeast"/>
        </w:trPr>
        <w:tc>
          <w:tcPr>
            <w:tcW w:w="761" w:type="dxa"/>
            <w:vMerge/>
            <w:tcBorders>
              <w:top w:val="nil"/>
            </w:tcBorders>
          </w:tcPr>
          <w:p>
            <w:pPr>
              <w:rPr>
                <w:sz w:val="2"/>
                <w:szCs w:val="2"/>
              </w:rPr>
            </w:pPr>
          </w:p>
        </w:tc>
        <w:tc>
          <w:tcPr>
            <w:tcW w:w="2751" w:type="dxa"/>
          </w:tcPr>
          <w:p>
            <w:pPr>
              <w:pStyle w:val="TableParagraph"/>
              <w:spacing w:line="257" w:lineRule="exact" w:before="6"/>
              <w:ind w:left="5"/>
              <w:rPr>
                <w:rFonts w:ascii="Times New Roman" w:hAnsi="Times New Roman" w:eastAsia="Times New Roman"/>
                <w:sz w:val="21"/>
              </w:rPr>
            </w:pPr>
            <w:r>
              <w:rPr>
                <w:sz w:val="21"/>
              </w:rPr>
              <w:t>碳酸盐</w:t>
            </w:r>
            <w:r>
              <w:rPr>
                <w:rFonts w:ascii="Times New Roman" w:hAnsi="Times New Roman" w:eastAsia="Times New Roman"/>
                <w:sz w:val="21"/>
              </w:rPr>
              <w:t>×2</w:t>
            </w:r>
            <w:r>
              <w:rPr>
                <w:sz w:val="21"/>
              </w:rPr>
              <w:t>（价态）</w:t>
            </w:r>
            <w:r>
              <w:rPr>
                <w:rFonts w:ascii="Times New Roman" w:hAnsi="Times New Roman" w:eastAsia="Times New Roman"/>
                <w:sz w:val="21"/>
              </w:rPr>
              <w:t>mEq/L</w:t>
            </w:r>
          </w:p>
        </w:tc>
        <w:tc>
          <w:tcPr>
            <w:tcW w:w="1133" w:type="dxa"/>
          </w:tcPr>
          <w:p>
            <w:pPr>
              <w:pStyle w:val="TableParagraph"/>
              <w:spacing w:line="257" w:lineRule="exact" w:before="6"/>
              <w:ind w:left="7" w:right="3"/>
              <w:rPr>
                <w:rFonts w:ascii="Times New Roman" w:eastAsia="Times New Roman"/>
                <w:sz w:val="21"/>
              </w:rPr>
            </w:pPr>
            <w:r>
              <w:rPr>
                <w:sz w:val="21"/>
              </w:rPr>
              <w:t>＜</w:t>
            </w:r>
            <w:r>
              <w:rPr>
                <w:rFonts w:ascii="Times New Roman" w:eastAsia="Times New Roman"/>
                <w:sz w:val="21"/>
              </w:rPr>
              <w:t>0.02</w:t>
            </w:r>
          </w:p>
        </w:tc>
        <w:tc>
          <w:tcPr>
            <w:tcW w:w="1136" w:type="dxa"/>
          </w:tcPr>
          <w:p>
            <w:pPr>
              <w:pStyle w:val="TableParagraph"/>
              <w:spacing w:line="257" w:lineRule="exact" w:before="6"/>
              <w:ind w:left="101" w:right="101"/>
              <w:rPr>
                <w:rFonts w:ascii="Times New Roman" w:eastAsia="Times New Roman"/>
                <w:sz w:val="21"/>
              </w:rPr>
            </w:pPr>
            <w:r>
              <w:rPr>
                <w:sz w:val="21"/>
              </w:rPr>
              <w:t>＜</w:t>
            </w:r>
            <w:r>
              <w:rPr>
                <w:rFonts w:ascii="Times New Roman" w:eastAsia="Times New Roman"/>
                <w:sz w:val="21"/>
              </w:rPr>
              <w:t>0.02</w:t>
            </w:r>
          </w:p>
        </w:tc>
        <w:tc>
          <w:tcPr>
            <w:tcW w:w="1520" w:type="dxa"/>
          </w:tcPr>
          <w:p>
            <w:pPr>
              <w:pStyle w:val="TableParagraph"/>
              <w:spacing w:line="257" w:lineRule="exact" w:before="6"/>
              <w:ind w:left="448" w:right="448"/>
              <w:rPr>
                <w:rFonts w:ascii="Times New Roman" w:eastAsia="Times New Roman"/>
                <w:sz w:val="21"/>
              </w:rPr>
            </w:pPr>
            <w:r>
              <w:rPr>
                <w:sz w:val="21"/>
              </w:rPr>
              <w:t>＜</w:t>
            </w:r>
            <w:r>
              <w:rPr>
                <w:rFonts w:ascii="Times New Roman" w:eastAsia="Times New Roman"/>
                <w:sz w:val="21"/>
              </w:rPr>
              <w:t>0.02</w:t>
            </w:r>
          </w:p>
        </w:tc>
        <w:tc>
          <w:tcPr>
            <w:tcW w:w="1175" w:type="dxa"/>
          </w:tcPr>
          <w:p>
            <w:pPr>
              <w:pStyle w:val="TableParagraph"/>
              <w:spacing w:line="257" w:lineRule="exact" w:before="6"/>
              <w:ind w:left="163" w:right="161"/>
              <w:rPr>
                <w:rFonts w:ascii="Times New Roman" w:eastAsia="Times New Roman"/>
                <w:sz w:val="21"/>
              </w:rPr>
            </w:pPr>
            <w:r>
              <w:rPr>
                <w:sz w:val="21"/>
              </w:rPr>
              <w:t>＜</w:t>
            </w:r>
            <w:r>
              <w:rPr>
                <w:rFonts w:ascii="Times New Roman" w:eastAsia="Times New Roman"/>
                <w:sz w:val="21"/>
              </w:rPr>
              <w:t>0.02</w:t>
            </w:r>
          </w:p>
        </w:tc>
        <w:tc>
          <w:tcPr>
            <w:tcW w:w="814" w:type="dxa"/>
          </w:tcPr>
          <w:p>
            <w:pPr>
              <w:pStyle w:val="TableParagraph"/>
              <w:spacing w:line="257" w:lineRule="exact" w:before="6"/>
              <w:ind w:left="96" w:right="95"/>
              <w:rPr>
                <w:rFonts w:ascii="Times New Roman" w:eastAsia="Times New Roman"/>
                <w:sz w:val="21"/>
              </w:rPr>
            </w:pPr>
            <w:r>
              <w:rPr>
                <w:sz w:val="21"/>
              </w:rPr>
              <w:t>＜</w:t>
            </w:r>
            <w:r>
              <w:rPr>
                <w:rFonts w:ascii="Times New Roman" w:eastAsia="Times New Roman"/>
                <w:sz w:val="21"/>
              </w:rPr>
              <w:t>0.02</w:t>
            </w:r>
          </w:p>
        </w:tc>
      </w:tr>
      <w:tr>
        <w:trPr>
          <w:trHeight w:val="285" w:hRule="atLeast"/>
        </w:trPr>
        <w:tc>
          <w:tcPr>
            <w:tcW w:w="761" w:type="dxa"/>
            <w:vMerge/>
            <w:tcBorders>
              <w:top w:val="nil"/>
            </w:tcBorders>
          </w:tcPr>
          <w:p>
            <w:pPr>
              <w:rPr>
                <w:sz w:val="2"/>
                <w:szCs w:val="2"/>
              </w:rPr>
            </w:pPr>
          </w:p>
        </w:tc>
        <w:tc>
          <w:tcPr>
            <w:tcW w:w="2751" w:type="dxa"/>
          </w:tcPr>
          <w:p>
            <w:pPr>
              <w:pStyle w:val="TableParagraph"/>
              <w:spacing w:line="257" w:lineRule="exact" w:before="8"/>
              <w:ind w:left="2"/>
              <w:rPr>
                <w:rFonts w:ascii="Times New Roman" w:eastAsia="Times New Roman"/>
                <w:sz w:val="21"/>
              </w:rPr>
            </w:pPr>
            <w:r>
              <w:rPr>
                <w:sz w:val="21"/>
              </w:rPr>
              <w:t>重碳酸盐 </w:t>
            </w:r>
            <w:r>
              <w:rPr>
                <w:rFonts w:ascii="Times New Roman" w:eastAsia="Times New Roman"/>
                <w:sz w:val="21"/>
              </w:rPr>
              <w:t>mg/L</w:t>
            </w:r>
          </w:p>
        </w:tc>
        <w:tc>
          <w:tcPr>
            <w:tcW w:w="1133" w:type="dxa"/>
          </w:tcPr>
          <w:p>
            <w:pPr>
              <w:pStyle w:val="TableParagraph"/>
              <w:spacing w:before="22"/>
              <w:ind w:left="7" w:right="3"/>
              <w:rPr>
                <w:rFonts w:ascii="Times New Roman"/>
                <w:sz w:val="21"/>
              </w:rPr>
            </w:pPr>
            <w:r>
              <w:rPr>
                <w:rFonts w:ascii="Times New Roman"/>
                <w:sz w:val="21"/>
              </w:rPr>
              <w:t>800</w:t>
            </w:r>
          </w:p>
        </w:tc>
        <w:tc>
          <w:tcPr>
            <w:tcW w:w="1136" w:type="dxa"/>
          </w:tcPr>
          <w:p>
            <w:pPr>
              <w:pStyle w:val="TableParagraph"/>
              <w:spacing w:before="22"/>
              <w:ind w:left="101" w:right="101"/>
              <w:rPr>
                <w:rFonts w:ascii="Times New Roman"/>
                <w:sz w:val="21"/>
              </w:rPr>
            </w:pPr>
            <w:r>
              <w:rPr>
                <w:rFonts w:ascii="Times New Roman"/>
                <w:sz w:val="21"/>
              </w:rPr>
              <w:t>961</w:t>
            </w:r>
          </w:p>
        </w:tc>
        <w:tc>
          <w:tcPr>
            <w:tcW w:w="1520" w:type="dxa"/>
          </w:tcPr>
          <w:p>
            <w:pPr>
              <w:pStyle w:val="TableParagraph"/>
              <w:spacing w:before="22"/>
              <w:ind w:left="448" w:right="448"/>
              <w:rPr>
                <w:rFonts w:ascii="Times New Roman"/>
                <w:sz w:val="21"/>
              </w:rPr>
            </w:pPr>
            <w:r>
              <w:rPr>
                <w:rFonts w:ascii="Times New Roman"/>
                <w:sz w:val="21"/>
              </w:rPr>
              <w:t>722</w:t>
            </w:r>
          </w:p>
        </w:tc>
        <w:tc>
          <w:tcPr>
            <w:tcW w:w="1175" w:type="dxa"/>
          </w:tcPr>
          <w:p>
            <w:pPr>
              <w:pStyle w:val="TableParagraph"/>
              <w:spacing w:before="22"/>
              <w:ind w:left="163" w:right="161"/>
              <w:rPr>
                <w:rFonts w:ascii="Times New Roman"/>
                <w:sz w:val="21"/>
              </w:rPr>
            </w:pPr>
            <w:r>
              <w:rPr>
                <w:rFonts w:ascii="Times New Roman"/>
                <w:sz w:val="21"/>
              </w:rPr>
              <w:t>856</w:t>
            </w:r>
          </w:p>
        </w:tc>
        <w:tc>
          <w:tcPr>
            <w:tcW w:w="814" w:type="dxa"/>
          </w:tcPr>
          <w:p>
            <w:pPr>
              <w:pStyle w:val="TableParagraph"/>
              <w:spacing w:before="22"/>
              <w:ind w:left="96" w:right="95"/>
              <w:rPr>
                <w:rFonts w:ascii="Times New Roman"/>
                <w:sz w:val="21"/>
              </w:rPr>
            </w:pPr>
            <w:r>
              <w:rPr>
                <w:rFonts w:ascii="Times New Roman"/>
                <w:sz w:val="21"/>
              </w:rPr>
              <w:t>503</w:t>
            </w:r>
          </w:p>
        </w:tc>
      </w:tr>
      <w:tr>
        <w:trPr>
          <w:trHeight w:val="283" w:hRule="atLeast"/>
        </w:trPr>
        <w:tc>
          <w:tcPr>
            <w:tcW w:w="761" w:type="dxa"/>
            <w:vMerge/>
            <w:tcBorders>
              <w:top w:val="nil"/>
            </w:tcBorders>
          </w:tcPr>
          <w:p>
            <w:pPr>
              <w:rPr>
                <w:sz w:val="2"/>
                <w:szCs w:val="2"/>
              </w:rPr>
            </w:pPr>
          </w:p>
        </w:tc>
        <w:tc>
          <w:tcPr>
            <w:tcW w:w="2751" w:type="dxa"/>
          </w:tcPr>
          <w:p>
            <w:pPr>
              <w:pStyle w:val="TableParagraph"/>
              <w:spacing w:line="257" w:lineRule="exact" w:before="6"/>
              <w:ind w:left="6"/>
              <w:rPr>
                <w:rFonts w:ascii="Times New Roman" w:hAnsi="Times New Roman" w:eastAsia="Times New Roman"/>
                <w:sz w:val="21"/>
              </w:rPr>
            </w:pPr>
            <w:r>
              <w:rPr>
                <w:sz w:val="21"/>
              </w:rPr>
              <w:t>重碳酸盐</w:t>
            </w:r>
            <w:r>
              <w:rPr>
                <w:rFonts w:ascii="Times New Roman" w:hAnsi="Times New Roman" w:eastAsia="Times New Roman"/>
                <w:sz w:val="21"/>
              </w:rPr>
              <w:t>×1 </w:t>
            </w:r>
            <w:r>
              <w:rPr>
                <w:sz w:val="21"/>
              </w:rPr>
              <w:t>（价态）</w:t>
            </w:r>
            <w:r>
              <w:rPr>
                <w:rFonts w:ascii="Times New Roman" w:hAnsi="Times New Roman" w:eastAsia="Times New Roman"/>
                <w:sz w:val="21"/>
              </w:rPr>
              <w:t>mEq/L</w:t>
            </w:r>
          </w:p>
        </w:tc>
        <w:tc>
          <w:tcPr>
            <w:tcW w:w="1133" w:type="dxa"/>
          </w:tcPr>
          <w:p>
            <w:pPr>
              <w:pStyle w:val="TableParagraph"/>
              <w:spacing w:before="20"/>
              <w:ind w:left="7" w:right="3"/>
              <w:rPr>
                <w:rFonts w:ascii="Times New Roman"/>
                <w:sz w:val="21"/>
              </w:rPr>
            </w:pPr>
            <w:r>
              <w:rPr>
                <w:rFonts w:ascii="Times New Roman"/>
                <w:sz w:val="21"/>
              </w:rPr>
              <w:t>13.1</w:t>
            </w:r>
          </w:p>
        </w:tc>
        <w:tc>
          <w:tcPr>
            <w:tcW w:w="1136" w:type="dxa"/>
          </w:tcPr>
          <w:p>
            <w:pPr>
              <w:pStyle w:val="TableParagraph"/>
              <w:spacing w:before="20"/>
              <w:ind w:left="101" w:right="101"/>
              <w:rPr>
                <w:rFonts w:ascii="Times New Roman"/>
                <w:sz w:val="21"/>
              </w:rPr>
            </w:pPr>
            <w:r>
              <w:rPr>
                <w:rFonts w:ascii="Times New Roman"/>
                <w:sz w:val="21"/>
              </w:rPr>
              <w:t>15.8</w:t>
            </w:r>
          </w:p>
        </w:tc>
        <w:tc>
          <w:tcPr>
            <w:tcW w:w="1520" w:type="dxa"/>
          </w:tcPr>
          <w:p>
            <w:pPr>
              <w:pStyle w:val="TableParagraph"/>
              <w:spacing w:before="20"/>
              <w:ind w:left="448" w:right="446"/>
              <w:rPr>
                <w:rFonts w:ascii="Times New Roman"/>
                <w:sz w:val="21"/>
              </w:rPr>
            </w:pPr>
            <w:r>
              <w:rPr>
                <w:rFonts w:ascii="Times New Roman"/>
                <w:sz w:val="21"/>
              </w:rPr>
              <w:t>11.8</w:t>
            </w:r>
          </w:p>
        </w:tc>
        <w:tc>
          <w:tcPr>
            <w:tcW w:w="1175" w:type="dxa"/>
          </w:tcPr>
          <w:p>
            <w:pPr>
              <w:pStyle w:val="TableParagraph"/>
              <w:spacing w:before="20"/>
              <w:ind w:left="163" w:right="161"/>
              <w:rPr>
                <w:rFonts w:ascii="Times New Roman"/>
                <w:sz w:val="21"/>
              </w:rPr>
            </w:pPr>
            <w:r>
              <w:rPr>
                <w:rFonts w:ascii="Times New Roman"/>
                <w:sz w:val="21"/>
              </w:rPr>
              <w:t>14.0</w:t>
            </w:r>
          </w:p>
        </w:tc>
        <w:tc>
          <w:tcPr>
            <w:tcW w:w="814" w:type="dxa"/>
          </w:tcPr>
          <w:p>
            <w:pPr>
              <w:pStyle w:val="TableParagraph"/>
              <w:spacing w:before="20"/>
              <w:ind w:left="96" w:right="95"/>
              <w:rPr>
                <w:rFonts w:ascii="Times New Roman"/>
                <w:sz w:val="21"/>
              </w:rPr>
            </w:pPr>
            <w:r>
              <w:rPr>
                <w:rFonts w:ascii="Times New Roman"/>
                <w:sz w:val="21"/>
              </w:rPr>
              <w:t>8.25</w:t>
            </w:r>
          </w:p>
        </w:tc>
      </w:tr>
      <w:tr>
        <w:trPr>
          <w:trHeight w:val="286" w:hRule="atLeast"/>
        </w:trPr>
        <w:tc>
          <w:tcPr>
            <w:tcW w:w="761" w:type="dxa"/>
            <w:vMerge/>
            <w:tcBorders>
              <w:top w:val="nil"/>
            </w:tcBorders>
          </w:tcPr>
          <w:p>
            <w:pPr>
              <w:rPr>
                <w:sz w:val="2"/>
                <w:szCs w:val="2"/>
              </w:rPr>
            </w:pPr>
          </w:p>
        </w:tc>
        <w:tc>
          <w:tcPr>
            <w:tcW w:w="2751" w:type="dxa"/>
          </w:tcPr>
          <w:p>
            <w:pPr>
              <w:pStyle w:val="TableParagraph"/>
              <w:spacing w:line="257" w:lineRule="exact" w:before="9"/>
              <w:rPr>
                <w:rFonts w:ascii="Times New Roman" w:eastAsia="Times New Roman"/>
                <w:sz w:val="21"/>
              </w:rPr>
            </w:pPr>
            <w:r>
              <w:rPr>
                <w:sz w:val="21"/>
              </w:rPr>
              <w:t>氯离子 </w:t>
            </w:r>
            <w:r>
              <w:rPr>
                <w:rFonts w:ascii="Times New Roman" w:eastAsia="Times New Roman"/>
                <w:sz w:val="21"/>
              </w:rPr>
              <w:t>mg/L</w:t>
            </w:r>
          </w:p>
        </w:tc>
        <w:tc>
          <w:tcPr>
            <w:tcW w:w="1133" w:type="dxa"/>
          </w:tcPr>
          <w:p>
            <w:pPr>
              <w:pStyle w:val="TableParagraph"/>
              <w:spacing w:before="23"/>
              <w:ind w:left="7" w:right="3"/>
              <w:rPr>
                <w:rFonts w:ascii="Times New Roman"/>
                <w:sz w:val="21"/>
              </w:rPr>
            </w:pPr>
            <w:r>
              <w:rPr>
                <w:rFonts w:ascii="Times New Roman"/>
                <w:sz w:val="21"/>
              </w:rPr>
              <w:t>768</w:t>
            </w:r>
          </w:p>
        </w:tc>
        <w:tc>
          <w:tcPr>
            <w:tcW w:w="1136" w:type="dxa"/>
          </w:tcPr>
          <w:p>
            <w:pPr>
              <w:pStyle w:val="TableParagraph"/>
              <w:spacing w:before="23"/>
              <w:ind w:left="101" w:right="101"/>
              <w:rPr>
                <w:rFonts w:ascii="Times New Roman"/>
                <w:sz w:val="21"/>
              </w:rPr>
            </w:pPr>
            <w:r>
              <w:rPr>
                <w:rFonts w:ascii="Times New Roman"/>
                <w:sz w:val="21"/>
              </w:rPr>
              <w:t>630</w:t>
            </w:r>
          </w:p>
        </w:tc>
        <w:tc>
          <w:tcPr>
            <w:tcW w:w="1520" w:type="dxa"/>
          </w:tcPr>
          <w:p>
            <w:pPr>
              <w:pStyle w:val="TableParagraph"/>
              <w:spacing w:before="23"/>
              <w:ind w:left="448" w:right="448"/>
              <w:rPr>
                <w:rFonts w:ascii="Times New Roman"/>
                <w:sz w:val="21"/>
              </w:rPr>
            </w:pPr>
            <w:r>
              <w:rPr>
                <w:rFonts w:ascii="Times New Roman"/>
                <w:sz w:val="21"/>
              </w:rPr>
              <w:t>535</w:t>
            </w:r>
          </w:p>
        </w:tc>
        <w:tc>
          <w:tcPr>
            <w:tcW w:w="1175" w:type="dxa"/>
          </w:tcPr>
          <w:p>
            <w:pPr>
              <w:pStyle w:val="TableParagraph"/>
              <w:spacing w:before="23"/>
              <w:ind w:left="163" w:right="161"/>
              <w:rPr>
                <w:rFonts w:ascii="Times New Roman"/>
                <w:sz w:val="21"/>
              </w:rPr>
            </w:pPr>
            <w:r>
              <w:rPr>
                <w:rFonts w:ascii="Times New Roman"/>
                <w:sz w:val="21"/>
              </w:rPr>
              <w:t>722</w:t>
            </w:r>
          </w:p>
        </w:tc>
        <w:tc>
          <w:tcPr>
            <w:tcW w:w="814" w:type="dxa"/>
          </w:tcPr>
          <w:p>
            <w:pPr>
              <w:pStyle w:val="TableParagraph"/>
              <w:spacing w:before="23"/>
              <w:ind w:left="96" w:right="95"/>
              <w:rPr>
                <w:rFonts w:ascii="Times New Roman"/>
                <w:sz w:val="21"/>
              </w:rPr>
            </w:pPr>
            <w:r>
              <w:rPr>
                <w:rFonts w:ascii="Times New Roman"/>
                <w:sz w:val="21"/>
              </w:rPr>
              <w:t>752</w:t>
            </w:r>
          </w:p>
        </w:tc>
      </w:tr>
      <w:tr>
        <w:trPr>
          <w:trHeight w:val="282" w:hRule="atLeast"/>
        </w:trPr>
        <w:tc>
          <w:tcPr>
            <w:tcW w:w="761" w:type="dxa"/>
            <w:vMerge/>
            <w:tcBorders>
              <w:top w:val="nil"/>
            </w:tcBorders>
          </w:tcPr>
          <w:p>
            <w:pPr>
              <w:rPr>
                <w:sz w:val="2"/>
                <w:szCs w:val="2"/>
              </w:rPr>
            </w:pPr>
          </w:p>
        </w:tc>
        <w:tc>
          <w:tcPr>
            <w:tcW w:w="2751" w:type="dxa"/>
          </w:tcPr>
          <w:p>
            <w:pPr>
              <w:pStyle w:val="TableParagraph"/>
              <w:spacing w:line="257" w:lineRule="exact" w:before="6"/>
              <w:ind w:left="5"/>
              <w:rPr>
                <w:rFonts w:ascii="Times New Roman" w:hAnsi="Times New Roman" w:eastAsia="Times New Roman"/>
                <w:sz w:val="21"/>
              </w:rPr>
            </w:pPr>
            <w:r>
              <w:rPr>
                <w:sz w:val="21"/>
              </w:rPr>
              <w:t>氯离子</w:t>
            </w:r>
            <w:r>
              <w:rPr>
                <w:rFonts w:ascii="Times New Roman" w:hAnsi="Times New Roman" w:eastAsia="Times New Roman"/>
                <w:sz w:val="21"/>
              </w:rPr>
              <w:t>×1</w:t>
            </w:r>
            <w:r>
              <w:rPr>
                <w:sz w:val="21"/>
              </w:rPr>
              <w:t>（价态）</w:t>
            </w:r>
            <w:r>
              <w:rPr>
                <w:rFonts w:ascii="Times New Roman" w:hAnsi="Times New Roman" w:eastAsia="Times New Roman"/>
                <w:sz w:val="21"/>
              </w:rPr>
              <w:t>mEq/L</w:t>
            </w:r>
          </w:p>
        </w:tc>
        <w:tc>
          <w:tcPr>
            <w:tcW w:w="1133" w:type="dxa"/>
          </w:tcPr>
          <w:p>
            <w:pPr>
              <w:pStyle w:val="TableParagraph"/>
              <w:spacing w:before="20"/>
              <w:ind w:left="7" w:right="3"/>
              <w:rPr>
                <w:rFonts w:ascii="Times New Roman"/>
                <w:sz w:val="21"/>
              </w:rPr>
            </w:pPr>
            <w:r>
              <w:rPr>
                <w:rFonts w:ascii="Times New Roman"/>
                <w:sz w:val="21"/>
              </w:rPr>
              <w:t>21.6</w:t>
            </w:r>
          </w:p>
        </w:tc>
        <w:tc>
          <w:tcPr>
            <w:tcW w:w="1136" w:type="dxa"/>
          </w:tcPr>
          <w:p>
            <w:pPr>
              <w:pStyle w:val="TableParagraph"/>
              <w:spacing w:before="20"/>
              <w:ind w:left="101" w:right="101"/>
              <w:rPr>
                <w:rFonts w:ascii="Times New Roman"/>
                <w:sz w:val="21"/>
              </w:rPr>
            </w:pPr>
            <w:r>
              <w:rPr>
                <w:rFonts w:ascii="Times New Roman"/>
                <w:sz w:val="21"/>
              </w:rPr>
              <w:t>17.8</w:t>
            </w:r>
          </w:p>
        </w:tc>
        <w:tc>
          <w:tcPr>
            <w:tcW w:w="1520" w:type="dxa"/>
          </w:tcPr>
          <w:p>
            <w:pPr>
              <w:pStyle w:val="TableParagraph"/>
              <w:spacing w:before="20"/>
              <w:ind w:left="448" w:right="448"/>
              <w:rPr>
                <w:rFonts w:ascii="Times New Roman"/>
                <w:sz w:val="21"/>
              </w:rPr>
            </w:pPr>
            <w:r>
              <w:rPr>
                <w:rFonts w:ascii="Times New Roman"/>
                <w:sz w:val="21"/>
              </w:rPr>
              <w:t>15.1</w:t>
            </w:r>
          </w:p>
        </w:tc>
        <w:tc>
          <w:tcPr>
            <w:tcW w:w="1175" w:type="dxa"/>
          </w:tcPr>
          <w:p>
            <w:pPr>
              <w:pStyle w:val="TableParagraph"/>
              <w:spacing w:before="20"/>
              <w:ind w:left="163" w:right="161"/>
              <w:rPr>
                <w:rFonts w:ascii="Times New Roman"/>
                <w:sz w:val="21"/>
              </w:rPr>
            </w:pPr>
            <w:r>
              <w:rPr>
                <w:rFonts w:ascii="Times New Roman"/>
                <w:sz w:val="21"/>
              </w:rPr>
              <w:t>20.3</w:t>
            </w:r>
          </w:p>
        </w:tc>
        <w:tc>
          <w:tcPr>
            <w:tcW w:w="814" w:type="dxa"/>
          </w:tcPr>
          <w:p>
            <w:pPr>
              <w:pStyle w:val="TableParagraph"/>
              <w:spacing w:before="20"/>
              <w:ind w:left="96" w:right="95"/>
              <w:rPr>
                <w:rFonts w:ascii="Times New Roman"/>
                <w:sz w:val="21"/>
              </w:rPr>
            </w:pPr>
            <w:r>
              <w:rPr>
                <w:rFonts w:ascii="Times New Roman"/>
                <w:sz w:val="21"/>
              </w:rPr>
              <w:t>21.2</w:t>
            </w:r>
          </w:p>
        </w:tc>
      </w:tr>
      <w:tr>
        <w:trPr>
          <w:trHeight w:val="283" w:hRule="atLeast"/>
        </w:trPr>
        <w:tc>
          <w:tcPr>
            <w:tcW w:w="761" w:type="dxa"/>
            <w:vMerge/>
            <w:tcBorders>
              <w:top w:val="nil"/>
            </w:tcBorders>
          </w:tcPr>
          <w:p>
            <w:pPr>
              <w:rPr>
                <w:sz w:val="2"/>
                <w:szCs w:val="2"/>
              </w:rPr>
            </w:pPr>
          </w:p>
        </w:tc>
        <w:tc>
          <w:tcPr>
            <w:tcW w:w="2751" w:type="dxa"/>
          </w:tcPr>
          <w:p>
            <w:pPr>
              <w:pStyle w:val="TableParagraph"/>
              <w:spacing w:line="257" w:lineRule="exact" w:before="6"/>
              <w:ind w:left="3"/>
              <w:rPr>
                <w:rFonts w:ascii="Times New Roman" w:eastAsia="Times New Roman"/>
                <w:sz w:val="21"/>
              </w:rPr>
            </w:pPr>
            <w:r>
              <w:rPr>
                <w:sz w:val="21"/>
              </w:rPr>
              <w:t>硫酸根离子 </w:t>
            </w:r>
            <w:r>
              <w:rPr>
                <w:rFonts w:ascii="Times New Roman" w:eastAsia="Times New Roman"/>
                <w:sz w:val="21"/>
              </w:rPr>
              <w:t>mg/L</w:t>
            </w:r>
          </w:p>
        </w:tc>
        <w:tc>
          <w:tcPr>
            <w:tcW w:w="1133" w:type="dxa"/>
          </w:tcPr>
          <w:p>
            <w:pPr>
              <w:pStyle w:val="TableParagraph"/>
              <w:spacing w:before="20"/>
              <w:ind w:left="7" w:right="3"/>
              <w:rPr>
                <w:rFonts w:ascii="Times New Roman"/>
                <w:sz w:val="21"/>
              </w:rPr>
            </w:pPr>
            <w:r>
              <w:rPr>
                <w:rFonts w:ascii="Times New Roman"/>
                <w:sz w:val="21"/>
              </w:rPr>
              <w:t>138</w:t>
            </w:r>
          </w:p>
        </w:tc>
        <w:tc>
          <w:tcPr>
            <w:tcW w:w="1136" w:type="dxa"/>
          </w:tcPr>
          <w:p>
            <w:pPr>
              <w:pStyle w:val="TableParagraph"/>
              <w:spacing w:before="20"/>
              <w:ind w:left="104" w:right="101"/>
              <w:rPr>
                <w:rFonts w:ascii="Times New Roman"/>
                <w:sz w:val="21"/>
              </w:rPr>
            </w:pPr>
            <w:r>
              <w:rPr>
                <w:rFonts w:ascii="Times New Roman"/>
                <w:sz w:val="21"/>
              </w:rPr>
              <w:t>118</w:t>
            </w:r>
          </w:p>
        </w:tc>
        <w:tc>
          <w:tcPr>
            <w:tcW w:w="1520" w:type="dxa"/>
          </w:tcPr>
          <w:p>
            <w:pPr>
              <w:pStyle w:val="TableParagraph"/>
              <w:spacing w:before="20"/>
              <w:ind w:left="448" w:right="448"/>
              <w:rPr>
                <w:rFonts w:ascii="Times New Roman"/>
                <w:sz w:val="21"/>
              </w:rPr>
            </w:pPr>
            <w:r>
              <w:rPr>
                <w:rFonts w:ascii="Times New Roman"/>
                <w:sz w:val="21"/>
              </w:rPr>
              <w:t>176</w:t>
            </w:r>
          </w:p>
        </w:tc>
        <w:tc>
          <w:tcPr>
            <w:tcW w:w="1175" w:type="dxa"/>
          </w:tcPr>
          <w:p>
            <w:pPr>
              <w:pStyle w:val="TableParagraph"/>
              <w:spacing w:before="20"/>
              <w:ind w:left="163" w:right="161"/>
              <w:rPr>
                <w:rFonts w:ascii="Times New Roman"/>
                <w:sz w:val="21"/>
              </w:rPr>
            </w:pPr>
            <w:r>
              <w:rPr>
                <w:rFonts w:ascii="Times New Roman"/>
                <w:sz w:val="21"/>
              </w:rPr>
              <w:t>195</w:t>
            </w:r>
          </w:p>
        </w:tc>
        <w:tc>
          <w:tcPr>
            <w:tcW w:w="814" w:type="dxa"/>
          </w:tcPr>
          <w:p>
            <w:pPr>
              <w:pStyle w:val="TableParagraph"/>
              <w:spacing w:before="20"/>
              <w:ind w:left="96" w:right="95"/>
              <w:rPr>
                <w:rFonts w:ascii="Times New Roman"/>
                <w:sz w:val="21"/>
              </w:rPr>
            </w:pPr>
            <w:r>
              <w:rPr>
                <w:rFonts w:ascii="Times New Roman"/>
                <w:sz w:val="21"/>
              </w:rPr>
              <w:t>134</w:t>
            </w:r>
          </w:p>
        </w:tc>
      </w:tr>
      <w:tr>
        <w:trPr>
          <w:trHeight w:val="285" w:hRule="atLeast"/>
        </w:trPr>
        <w:tc>
          <w:tcPr>
            <w:tcW w:w="761" w:type="dxa"/>
            <w:vMerge/>
            <w:tcBorders>
              <w:top w:val="nil"/>
            </w:tcBorders>
          </w:tcPr>
          <w:p>
            <w:pPr>
              <w:rPr>
                <w:sz w:val="2"/>
                <w:szCs w:val="2"/>
              </w:rPr>
            </w:pPr>
          </w:p>
        </w:tc>
        <w:tc>
          <w:tcPr>
            <w:tcW w:w="2751" w:type="dxa"/>
          </w:tcPr>
          <w:p>
            <w:pPr>
              <w:pStyle w:val="TableParagraph"/>
              <w:spacing w:line="257" w:lineRule="exact" w:before="8"/>
              <w:ind w:left="10"/>
              <w:rPr>
                <w:rFonts w:ascii="Times New Roman" w:hAnsi="Times New Roman" w:eastAsia="Times New Roman"/>
                <w:sz w:val="21"/>
              </w:rPr>
            </w:pPr>
            <w:r>
              <w:rPr>
                <w:sz w:val="21"/>
              </w:rPr>
              <w:t>硫酸根离子</w:t>
            </w:r>
            <w:r>
              <w:rPr>
                <w:rFonts w:ascii="Times New Roman" w:hAnsi="Times New Roman" w:eastAsia="Times New Roman"/>
                <w:sz w:val="21"/>
              </w:rPr>
              <w:t>×2</w:t>
            </w:r>
            <w:r>
              <w:rPr>
                <w:sz w:val="21"/>
              </w:rPr>
              <w:t>（价态）</w:t>
            </w:r>
            <w:r>
              <w:rPr>
                <w:rFonts w:ascii="Times New Roman" w:hAnsi="Times New Roman" w:eastAsia="Times New Roman"/>
                <w:sz w:val="21"/>
              </w:rPr>
              <w:t>mEq/L</w:t>
            </w:r>
          </w:p>
        </w:tc>
        <w:tc>
          <w:tcPr>
            <w:tcW w:w="1133" w:type="dxa"/>
          </w:tcPr>
          <w:p>
            <w:pPr>
              <w:pStyle w:val="TableParagraph"/>
              <w:spacing w:before="22"/>
              <w:ind w:left="7" w:right="3"/>
              <w:rPr>
                <w:rFonts w:ascii="Times New Roman"/>
                <w:sz w:val="21"/>
              </w:rPr>
            </w:pPr>
            <w:r>
              <w:rPr>
                <w:rFonts w:ascii="Times New Roman"/>
                <w:sz w:val="21"/>
              </w:rPr>
              <w:t>2.88</w:t>
            </w:r>
          </w:p>
        </w:tc>
        <w:tc>
          <w:tcPr>
            <w:tcW w:w="1136" w:type="dxa"/>
          </w:tcPr>
          <w:p>
            <w:pPr>
              <w:pStyle w:val="TableParagraph"/>
              <w:spacing w:before="22"/>
              <w:ind w:left="101" w:right="101"/>
              <w:rPr>
                <w:rFonts w:ascii="Times New Roman"/>
                <w:sz w:val="21"/>
              </w:rPr>
            </w:pPr>
            <w:r>
              <w:rPr>
                <w:rFonts w:ascii="Times New Roman"/>
                <w:sz w:val="21"/>
              </w:rPr>
              <w:t>2.46</w:t>
            </w:r>
          </w:p>
        </w:tc>
        <w:tc>
          <w:tcPr>
            <w:tcW w:w="1520" w:type="dxa"/>
          </w:tcPr>
          <w:p>
            <w:pPr>
              <w:pStyle w:val="TableParagraph"/>
              <w:spacing w:before="22"/>
              <w:ind w:left="448" w:right="448"/>
              <w:rPr>
                <w:rFonts w:ascii="Times New Roman"/>
                <w:sz w:val="21"/>
              </w:rPr>
            </w:pPr>
            <w:r>
              <w:rPr>
                <w:rFonts w:ascii="Times New Roman"/>
                <w:sz w:val="21"/>
              </w:rPr>
              <w:t>3.67</w:t>
            </w:r>
          </w:p>
        </w:tc>
        <w:tc>
          <w:tcPr>
            <w:tcW w:w="1175" w:type="dxa"/>
          </w:tcPr>
          <w:p>
            <w:pPr>
              <w:pStyle w:val="TableParagraph"/>
              <w:spacing w:before="22"/>
              <w:ind w:left="163" w:right="161"/>
              <w:rPr>
                <w:rFonts w:ascii="Times New Roman"/>
                <w:sz w:val="21"/>
              </w:rPr>
            </w:pPr>
            <w:r>
              <w:rPr>
                <w:rFonts w:ascii="Times New Roman"/>
                <w:sz w:val="21"/>
              </w:rPr>
              <w:t>4.06</w:t>
            </w:r>
          </w:p>
        </w:tc>
        <w:tc>
          <w:tcPr>
            <w:tcW w:w="814" w:type="dxa"/>
          </w:tcPr>
          <w:p>
            <w:pPr>
              <w:pStyle w:val="TableParagraph"/>
              <w:spacing w:before="22"/>
              <w:ind w:left="96" w:right="95"/>
              <w:rPr>
                <w:rFonts w:ascii="Times New Roman"/>
                <w:sz w:val="21"/>
              </w:rPr>
            </w:pPr>
            <w:r>
              <w:rPr>
                <w:rFonts w:ascii="Times New Roman"/>
                <w:sz w:val="21"/>
              </w:rPr>
              <w:t>2.79</w:t>
            </w:r>
          </w:p>
        </w:tc>
      </w:tr>
      <w:tr>
        <w:trPr>
          <w:trHeight w:val="282" w:hRule="atLeast"/>
        </w:trPr>
        <w:tc>
          <w:tcPr>
            <w:tcW w:w="3512" w:type="dxa"/>
            <w:gridSpan w:val="2"/>
          </w:tcPr>
          <w:p>
            <w:pPr>
              <w:pStyle w:val="TableParagraph"/>
              <w:spacing w:line="257" w:lineRule="exact" w:before="6"/>
              <w:ind w:left="887"/>
              <w:jc w:val="left"/>
              <w:rPr>
                <w:rFonts w:ascii="Times New Roman" w:eastAsia="Times New Roman"/>
                <w:sz w:val="21"/>
              </w:rPr>
            </w:pPr>
            <w:r>
              <w:rPr>
                <w:sz w:val="21"/>
              </w:rPr>
              <w:t>阴离子合计 </w:t>
            </w:r>
            <w:r>
              <w:rPr>
                <w:rFonts w:ascii="Times New Roman" w:eastAsia="Times New Roman"/>
                <w:sz w:val="21"/>
              </w:rPr>
              <w:t>mEq/L</w:t>
            </w:r>
          </w:p>
        </w:tc>
        <w:tc>
          <w:tcPr>
            <w:tcW w:w="1133" w:type="dxa"/>
          </w:tcPr>
          <w:p>
            <w:pPr>
              <w:pStyle w:val="TableParagraph"/>
              <w:spacing w:before="20"/>
              <w:ind w:left="7" w:right="3"/>
              <w:rPr>
                <w:rFonts w:ascii="Times New Roman"/>
                <w:sz w:val="21"/>
              </w:rPr>
            </w:pPr>
            <w:r>
              <w:rPr>
                <w:rFonts w:ascii="Times New Roman"/>
                <w:sz w:val="21"/>
              </w:rPr>
              <w:t>37.6</w:t>
            </w:r>
          </w:p>
        </w:tc>
        <w:tc>
          <w:tcPr>
            <w:tcW w:w="1136" w:type="dxa"/>
          </w:tcPr>
          <w:p>
            <w:pPr>
              <w:pStyle w:val="TableParagraph"/>
              <w:spacing w:before="20"/>
              <w:ind w:left="101" w:right="101"/>
              <w:rPr>
                <w:rFonts w:ascii="Times New Roman"/>
                <w:sz w:val="21"/>
              </w:rPr>
            </w:pPr>
            <w:r>
              <w:rPr>
                <w:rFonts w:ascii="Times New Roman"/>
                <w:sz w:val="21"/>
              </w:rPr>
              <w:t>36.1</w:t>
            </w:r>
          </w:p>
        </w:tc>
        <w:tc>
          <w:tcPr>
            <w:tcW w:w="1520" w:type="dxa"/>
          </w:tcPr>
          <w:p>
            <w:pPr>
              <w:pStyle w:val="TableParagraph"/>
              <w:spacing w:before="20"/>
              <w:ind w:left="448" w:right="448"/>
              <w:rPr>
                <w:rFonts w:ascii="Times New Roman"/>
                <w:sz w:val="21"/>
              </w:rPr>
            </w:pPr>
            <w:r>
              <w:rPr>
                <w:rFonts w:ascii="Times New Roman"/>
                <w:sz w:val="21"/>
              </w:rPr>
              <w:t>30.6</w:t>
            </w:r>
          </w:p>
        </w:tc>
        <w:tc>
          <w:tcPr>
            <w:tcW w:w="1175" w:type="dxa"/>
          </w:tcPr>
          <w:p>
            <w:pPr>
              <w:pStyle w:val="TableParagraph"/>
              <w:spacing w:before="20"/>
              <w:ind w:left="163" w:right="161"/>
              <w:rPr>
                <w:rFonts w:ascii="Times New Roman"/>
                <w:sz w:val="21"/>
              </w:rPr>
            </w:pPr>
            <w:r>
              <w:rPr>
                <w:rFonts w:ascii="Times New Roman"/>
                <w:sz w:val="21"/>
              </w:rPr>
              <w:t>38.4</w:t>
            </w:r>
          </w:p>
        </w:tc>
        <w:tc>
          <w:tcPr>
            <w:tcW w:w="814" w:type="dxa"/>
          </w:tcPr>
          <w:p>
            <w:pPr>
              <w:pStyle w:val="TableParagraph"/>
              <w:spacing w:before="20"/>
              <w:ind w:left="96" w:right="95"/>
              <w:rPr>
                <w:rFonts w:ascii="Times New Roman"/>
                <w:sz w:val="21"/>
              </w:rPr>
            </w:pPr>
            <w:r>
              <w:rPr>
                <w:rFonts w:ascii="Times New Roman"/>
                <w:sz w:val="21"/>
              </w:rPr>
              <w:t>32.3</w:t>
            </w:r>
          </w:p>
        </w:tc>
      </w:tr>
      <w:tr>
        <w:trPr>
          <w:trHeight w:val="285" w:hRule="atLeast"/>
        </w:trPr>
        <w:tc>
          <w:tcPr>
            <w:tcW w:w="3512" w:type="dxa"/>
            <w:gridSpan w:val="2"/>
          </w:tcPr>
          <w:p>
            <w:pPr>
              <w:pStyle w:val="TableParagraph"/>
              <w:spacing w:line="257" w:lineRule="exact" w:before="8"/>
              <w:ind w:left="1015"/>
              <w:jc w:val="left"/>
              <w:rPr>
                <w:rFonts w:ascii="Times New Roman" w:eastAsia="Times New Roman"/>
                <w:b/>
                <w:sz w:val="21"/>
              </w:rPr>
            </w:pPr>
            <w:r>
              <w:rPr>
                <w:b/>
                <w:sz w:val="21"/>
              </w:rPr>
              <w:t>最大允许误差</w:t>
            </w:r>
            <w:r>
              <w:rPr>
                <w:rFonts w:ascii="Times New Roman" w:eastAsia="Times New Roman"/>
                <w:b/>
                <w:sz w:val="21"/>
              </w:rPr>
              <w:t>%</w:t>
            </w:r>
          </w:p>
        </w:tc>
        <w:tc>
          <w:tcPr>
            <w:tcW w:w="1133" w:type="dxa"/>
          </w:tcPr>
          <w:p>
            <w:pPr>
              <w:pStyle w:val="TableParagraph"/>
              <w:spacing w:before="22"/>
              <w:ind w:left="7" w:right="3"/>
              <w:rPr>
                <w:rFonts w:ascii="Times New Roman"/>
                <w:b/>
                <w:sz w:val="21"/>
              </w:rPr>
            </w:pPr>
            <w:r>
              <w:rPr>
                <w:rFonts w:ascii="Times New Roman"/>
                <w:b/>
                <w:sz w:val="21"/>
              </w:rPr>
              <w:t>2.34</w:t>
            </w:r>
          </w:p>
        </w:tc>
        <w:tc>
          <w:tcPr>
            <w:tcW w:w="1136" w:type="dxa"/>
          </w:tcPr>
          <w:p>
            <w:pPr>
              <w:pStyle w:val="TableParagraph"/>
              <w:spacing w:before="22"/>
              <w:ind w:left="101" w:right="101"/>
              <w:rPr>
                <w:rFonts w:ascii="Times New Roman"/>
                <w:b/>
                <w:sz w:val="21"/>
              </w:rPr>
            </w:pPr>
            <w:r>
              <w:rPr>
                <w:rFonts w:ascii="Times New Roman"/>
                <w:b/>
                <w:sz w:val="21"/>
              </w:rPr>
              <w:t>2.43</w:t>
            </w:r>
          </w:p>
        </w:tc>
        <w:tc>
          <w:tcPr>
            <w:tcW w:w="1520" w:type="dxa"/>
          </w:tcPr>
          <w:p>
            <w:pPr>
              <w:pStyle w:val="TableParagraph"/>
              <w:spacing w:before="22"/>
              <w:ind w:left="448" w:right="448"/>
              <w:rPr>
                <w:rFonts w:ascii="Times New Roman"/>
                <w:b/>
                <w:sz w:val="21"/>
              </w:rPr>
            </w:pPr>
            <w:r>
              <w:rPr>
                <w:rFonts w:ascii="Times New Roman"/>
                <w:b/>
                <w:sz w:val="21"/>
              </w:rPr>
              <w:t>1.77</w:t>
            </w:r>
          </w:p>
        </w:tc>
        <w:tc>
          <w:tcPr>
            <w:tcW w:w="1175" w:type="dxa"/>
          </w:tcPr>
          <w:p>
            <w:pPr>
              <w:pStyle w:val="TableParagraph"/>
              <w:spacing w:before="22"/>
              <w:ind w:left="163" w:right="161"/>
              <w:rPr>
                <w:rFonts w:ascii="Times New Roman"/>
                <w:b/>
                <w:sz w:val="21"/>
              </w:rPr>
            </w:pPr>
            <w:r>
              <w:rPr>
                <w:rFonts w:ascii="Times New Roman"/>
                <w:b/>
                <w:sz w:val="21"/>
              </w:rPr>
              <w:t>2.66</w:t>
            </w:r>
          </w:p>
        </w:tc>
        <w:tc>
          <w:tcPr>
            <w:tcW w:w="814" w:type="dxa"/>
          </w:tcPr>
          <w:p>
            <w:pPr>
              <w:pStyle w:val="TableParagraph"/>
              <w:spacing w:before="22"/>
              <w:rPr>
                <w:rFonts w:ascii="Times New Roman"/>
                <w:b/>
                <w:sz w:val="21"/>
              </w:rPr>
            </w:pPr>
            <w:r>
              <w:rPr>
                <w:rFonts w:ascii="Times New Roman"/>
                <w:b/>
                <w:w w:val="100"/>
                <w:sz w:val="21"/>
              </w:rPr>
              <w:t>0</w:t>
            </w:r>
          </w:p>
        </w:tc>
      </w:tr>
    </w:tbl>
    <w:p>
      <w:pPr>
        <w:spacing w:before="2"/>
        <w:ind w:left="701" w:right="0" w:firstLine="0"/>
        <w:jc w:val="left"/>
        <w:rPr>
          <w:b/>
          <w:sz w:val="24"/>
        </w:rPr>
      </w:pPr>
      <w:r>
        <w:rPr>
          <w:b/>
          <w:sz w:val="24"/>
        </w:rPr>
        <w:t>据监测资料：项目地下水阴阳离子最大允许差的绝对值小于 </w:t>
      </w:r>
      <w:r>
        <w:rPr>
          <w:rFonts w:ascii="Times New Roman" w:eastAsia="Times New Roman"/>
          <w:b/>
          <w:sz w:val="24"/>
        </w:rPr>
        <w:t>4%</w:t>
      </w:r>
      <w:r>
        <w:rPr>
          <w:b/>
          <w:sz w:val="24"/>
        </w:rPr>
        <w:t>。</w:t>
      </w:r>
    </w:p>
    <w:p>
      <w:pPr>
        <w:spacing w:after="0"/>
        <w:jc w:val="left"/>
        <w:rPr>
          <w:sz w:val="24"/>
        </w:rPr>
        <w:sectPr>
          <w:pgSz w:w="11910" w:h="16840"/>
          <w:pgMar w:header="874" w:footer="944" w:top="1340" w:bottom="1140" w:left="1200" w:right="1000"/>
        </w:sectPr>
      </w:pPr>
    </w:p>
    <w:p>
      <w:pPr>
        <w:pStyle w:val="ListParagraph"/>
        <w:numPr>
          <w:ilvl w:val="2"/>
          <w:numId w:val="23"/>
        </w:numPr>
        <w:tabs>
          <w:tab w:pos="1112" w:val="left" w:leader="none"/>
        </w:tabs>
        <w:spacing w:line="240" w:lineRule="auto" w:before="83" w:after="0"/>
        <w:ind w:left="1111" w:right="0" w:hanging="541"/>
        <w:jc w:val="left"/>
        <w:rPr>
          <w:b/>
          <w:sz w:val="24"/>
        </w:rPr>
      </w:pPr>
      <w:r>
        <w:rPr>
          <w:b/>
          <w:sz w:val="24"/>
        </w:rPr>
        <w:t>声环境质量现状监测与评价</w:t>
      </w:r>
    </w:p>
    <w:p>
      <w:pPr>
        <w:pStyle w:val="BodyText"/>
        <w:spacing w:line="362" w:lineRule="auto" w:before="161"/>
        <w:ind w:left="331" w:right="233" w:firstLine="479"/>
      </w:pPr>
      <w:r>
        <w:rPr/>
        <w:t>环评期间企业委托第三方有资质监测单位对项目拟建地厂界声环境进行了实地监测。监测期间，企业及周边企业正常进行生产。</w:t>
      </w:r>
    </w:p>
    <w:p>
      <w:pPr>
        <w:pStyle w:val="Heading4"/>
        <w:numPr>
          <w:ilvl w:val="0"/>
          <w:numId w:val="25"/>
        </w:numPr>
        <w:tabs>
          <w:tab w:pos="1095" w:val="left" w:leader="none"/>
        </w:tabs>
        <w:spacing w:line="240" w:lineRule="auto" w:before="5" w:after="0"/>
        <w:ind w:left="1094" w:right="0" w:hanging="281"/>
        <w:jc w:val="left"/>
      </w:pPr>
      <w:r>
        <w:rPr/>
        <w:t>监测点布设</w:t>
      </w:r>
    </w:p>
    <w:p>
      <w:pPr>
        <w:pStyle w:val="BodyText"/>
        <w:spacing w:before="158"/>
        <w:ind w:left="811"/>
        <w:rPr>
          <w:b/>
        </w:rPr>
      </w:pPr>
      <w:r>
        <w:rPr/>
        <w:t>企业共布设 </w:t>
      </w:r>
      <w:r>
        <w:rPr>
          <w:rFonts w:ascii="Times New Roman" w:eastAsia="Times New Roman"/>
        </w:rPr>
        <w:t>4 </w:t>
      </w:r>
      <w:r>
        <w:rPr/>
        <w:t>个监测点。声环境监测点位见</w:t>
      </w:r>
      <w:r>
        <w:rPr>
          <w:b/>
          <w:u w:val="single"/>
        </w:rPr>
        <w:t>附图 </w:t>
      </w:r>
      <w:r>
        <w:rPr>
          <w:rFonts w:ascii="Times New Roman" w:eastAsia="Times New Roman"/>
          <w:b/>
          <w:u w:val="single"/>
        </w:rPr>
        <w:t>8</w:t>
      </w:r>
      <w:r>
        <w:rPr>
          <w:b/>
        </w:rPr>
        <w:t>。</w:t>
      </w:r>
    </w:p>
    <w:p>
      <w:pPr>
        <w:pStyle w:val="Heading4"/>
        <w:numPr>
          <w:ilvl w:val="0"/>
          <w:numId w:val="25"/>
        </w:numPr>
        <w:tabs>
          <w:tab w:pos="1095" w:val="left" w:leader="none"/>
        </w:tabs>
        <w:spacing w:line="240" w:lineRule="auto" w:before="160" w:after="0"/>
        <w:ind w:left="1094" w:right="0" w:hanging="281"/>
        <w:jc w:val="left"/>
      </w:pPr>
      <w:r>
        <w:rPr/>
        <w:t>监测频率</w:t>
      </w:r>
    </w:p>
    <w:p>
      <w:pPr>
        <w:pStyle w:val="BodyText"/>
        <w:spacing w:line="364" w:lineRule="auto" w:before="158"/>
        <w:ind w:left="331" w:right="239" w:firstLine="479"/>
      </w:pPr>
      <w:r>
        <w:rPr>
          <w:spacing w:val="-3"/>
        </w:rPr>
        <w:t>共监测一天</w:t>
      </w:r>
      <w:r>
        <w:rPr/>
        <w:t>（</w:t>
      </w:r>
      <w:r>
        <w:rPr>
          <w:rFonts w:ascii="Times New Roman" w:eastAsia="Times New Roman"/>
        </w:rPr>
        <w:t>2022.2.22</w:t>
      </w:r>
      <w:r>
        <w:rPr>
          <w:spacing w:val="-120"/>
        </w:rPr>
        <w:t>）</w:t>
      </w:r>
      <w:r>
        <w:rPr>
          <w:spacing w:val="-9"/>
        </w:rPr>
        <w:t>，昼间、夜间各两次，每个点位每次监测 </w:t>
      </w:r>
      <w:r>
        <w:rPr>
          <w:rFonts w:ascii="Times New Roman" w:eastAsia="Times New Roman"/>
        </w:rPr>
        <w:t>10min</w:t>
      </w:r>
      <w:r>
        <w:rPr>
          <w:spacing w:val="-5"/>
        </w:rPr>
        <w:t>，监测期间无雨雪、无雷电天气，风速 </w:t>
      </w:r>
      <w:r>
        <w:rPr>
          <w:rFonts w:ascii="Times New Roman" w:eastAsia="Times New Roman"/>
        </w:rPr>
        <w:t>1m/s</w:t>
      </w:r>
      <w:r>
        <w:rPr>
          <w:rFonts w:ascii="Times New Roman" w:eastAsia="Times New Roman"/>
          <w:spacing w:val="60"/>
        </w:rPr>
        <w:t> </w:t>
      </w:r>
      <w:r>
        <w:rPr/>
        <w:t>以下，气象条件满足要求。</w:t>
      </w:r>
    </w:p>
    <w:p>
      <w:pPr>
        <w:pStyle w:val="Heading4"/>
        <w:numPr>
          <w:ilvl w:val="0"/>
          <w:numId w:val="25"/>
        </w:numPr>
        <w:tabs>
          <w:tab w:pos="1095" w:val="left" w:leader="none"/>
        </w:tabs>
        <w:spacing w:line="307" w:lineRule="exact" w:before="0" w:after="0"/>
        <w:ind w:left="1094" w:right="0" w:hanging="281"/>
        <w:jc w:val="left"/>
      </w:pPr>
      <w:r>
        <w:rPr/>
        <w:t>监测内容及测量仪器</w:t>
      </w:r>
    </w:p>
    <w:p>
      <w:pPr>
        <w:pStyle w:val="BodyText"/>
        <w:spacing w:before="161"/>
        <w:ind w:left="811"/>
      </w:pPr>
      <w:r>
        <w:rPr/>
        <w:t>本次监测内容为 </w:t>
      </w:r>
      <w:r>
        <w:rPr>
          <w:rFonts w:ascii="Times New Roman" w:eastAsia="Times New Roman"/>
        </w:rPr>
        <w:t>Leq(A)</w:t>
      </w:r>
      <w:r>
        <w:rPr/>
        <w:t>，采用 </w:t>
      </w:r>
      <w:r>
        <w:rPr>
          <w:rFonts w:ascii="Times New Roman" w:eastAsia="Times New Roman"/>
        </w:rPr>
        <w:t>AWA5610D </w:t>
      </w:r>
      <w:r>
        <w:rPr/>
        <w:t>型积分声级计测量，测量前进行校准。</w:t>
      </w:r>
    </w:p>
    <w:p>
      <w:pPr>
        <w:pStyle w:val="Heading4"/>
        <w:numPr>
          <w:ilvl w:val="0"/>
          <w:numId w:val="25"/>
        </w:numPr>
        <w:tabs>
          <w:tab w:pos="1095" w:val="left" w:leader="none"/>
        </w:tabs>
        <w:spacing w:line="240" w:lineRule="auto" w:before="158" w:after="0"/>
        <w:ind w:left="1094" w:right="0" w:hanging="281"/>
        <w:jc w:val="left"/>
      </w:pPr>
      <w:r>
        <w:rPr/>
        <w:t>监测方法</w:t>
      </w:r>
    </w:p>
    <w:p>
      <w:pPr>
        <w:pStyle w:val="BodyText"/>
        <w:spacing w:before="160"/>
        <w:ind w:left="811"/>
      </w:pPr>
      <w:hyperlink r:id="rId75">
        <w:r>
          <w:rPr/>
          <w:t>按《声环境质量标准</w:t>
        </w:r>
      </w:hyperlink>
      <w:r>
        <w:rPr/>
        <w:t>》</w:t>
      </w:r>
      <w:r>
        <w:rPr>
          <w:rFonts w:ascii="Times New Roman" w:eastAsia="Times New Roman"/>
        </w:rPr>
        <w:t>(GB3096-2008)</w:t>
      </w:r>
      <w:r>
        <w:rPr/>
        <w:t>及《环境监测技术规范》</w:t>
      </w:r>
      <w:r>
        <w:rPr>
          <w:rFonts w:ascii="Times New Roman" w:eastAsia="Times New Roman"/>
        </w:rPr>
        <w:t>(</w:t>
      </w:r>
      <w:r>
        <w:rPr/>
        <w:t>噪声部分</w:t>
      </w:r>
      <w:r>
        <w:rPr>
          <w:rFonts w:ascii="Times New Roman" w:eastAsia="Times New Roman"/>
        </w:rPr>
        <w:t>)</w:t>
      </w:r>
      <w:r>
        <w:rPr/>
        <w:t>执行。</w:t>
      </w:r>
    </w:p>
    <w:p>
      <w:pPr>
        <w:pStyle w:val="Heading4"/>
        <w:numPr>
          <w:ilvl w:val="0"/>
          <w:numId w:val="25"/>
        </w:numPr>
        <w:tabs>
          <w:tab w:pos="1095" w:val="left" w:leader="none"/>
        </w:tabs>
        <w:spacing w:line="240" w:lineRule="auto" w:before="159" w:after="0"/>
        <w:ind w:left="1094" w:right="0" w:hanging="281"/>
        <w:jc w:val="left"/>
      </w:pPr>
      <w:r>
        <w:rPr/>
        <w:t>监测结果及评价</w:t>
      </w:r>
    </w:p>
    <w:p>
      <w:pPr>
        <w:pStyle w:val="BodyText"/>
        <w:spacing w:before="160"/>
        <w:ind w:left="811"/>
      </w:pPr>
      <w:r>
        <w:rPr/>
        <w:t>本次声环境现状监测结果详见下表。</w:t>
      </w:r>
    </w:p>
    <w:p>
      <w:pPr>
        <w:pStyle w:val="BodyText"/>
        <w:spacing w:before="5"/>
        <w:rPr>
          <w:sz w:val="23"/>
        </w:rPr>
      </w:pPr>
    </w:p>
    <w:p>
      <w:pPr>
        <w:pStyle w:val="Heading4"/>
        <w:tabs>
          <w:tab w:pos="1309" w:val="left" w:leader="none"/>
          <w:tab w:pos="3719" w:val="left" w:leader="none"/>
        </w:tabs>
        <w:spacing w:after="29"/>
        <w:ind w:left="87"/>
        <w:jc w:val="center"/>
        <w:rPr>
          <w:rFonts w:ascii="Times New Roman" w:eastAsia="Times New Roman"/>
        </w:rPr>
      </w:pPr>
      <w:r>
        <w:rPr/>
        <w:t>表</w:t>
      </w:r>
      <w:r>
        <w:rPr>
          <w:spacing w:val="-59"/>
        </w:rPr>
        <w:t> </w:t>
      </w:r>
      <w:r>
        <w:rPr>
          <w:rFonts w:ascii="Times New Roman" w:eastAsia="Times New Roman"/>
        </w:rPr>
        <w:t>6.2.3-1</w:t>
        <w:tab/>
      </w:r>
      <w:r>
        <w:rPr/>
        <w:t>声环境现状监测结果</w:t>
        <w:tab/>
        <w:t>单位</w:t>
      </w:r>
      <w:r>
        <w:rPr>
          <w:rFonts w:ascii="Times New Roman" w:eastAsia="Times New Roman"/>
        </w:rPr>
        <w:t>:dB(A)</w:t>
      </w: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3"/>
        <w:gridCol w:w="2028"/>
        <w:gridCol w:w="3437"/>
        <w:gridCol w:w="2338"/>
      </w:tblGrid>
      <w:tr>
        <w:trPr>
          <w:trHeight w:val="273" w:hRule="atLeast"/>
        </w:trPr>
        <w:tc>
          <w:tcPr>
            <w:tcW w:w="1543" w:type="dxa"/>
            <w:vMerge w:val="restart"/>
          </w:tcPr>
          <w:p>
            <w:pPr>
              <w:pStyle w:val="TableParagraph"/>
              <w:spacing w:line="270" w:lineRule="atLeast" w:before="7"/>
              <w:ind w:left="559" w:right="549"/>
              <w:rPr>
                <w:b/>
                <w:sz w:val="21"/>
              </w:rPr>
            </w:pPr>
            <w:r>
              <w:rPr>
                <w:b/>
                <w:sz w:val="21"/>
              </w:rPr>
              <w:t>测点编号</w:t>
            </w:r>
          </w:p>
        </w:tc>
        <w:tc>
          <w:tcPr>
            <w:tcW w:w="2028" w:type="dxa"/>
            <w:vMerge w:val="restart"/>
          </w:tcPr>
          <w:p>
            <w:pPr>
              <w:pStyle w:val="TableParagraph"/>
              <w:spacing w:before="143"/>
              <w:ind w:left="487"/>
              <w:jc w:val="left"/>
              <w:rPr>
                <w:b/>
                <w:sz w:val="21"/>
              </w:rPr>
            </w:pPr>
            <w:r>
              <w:rPr>
                <w:b/>
                <w:sz w:val="21"/>
              </w:rPr>
              <w:t>检测点位置</w:t>
            </w:r>
          </w:p>
        </w:tc>
        <w:tc>
          <w:tcPr>
            <w:tcW w:w="5775" w:type="dxa"/>
            <w:gridSpan w:val="2"/>
          </w:tcPr>
          <w:p>
            <w:pPr>
              <w:pStyle w:val="TableParagraph"/>
              <w:spacing w:line="250" w:lineRule="exact" w:before="3"/>
              <w:ind w:left="2446" w:right="2435"/>
              <w:rPr>
                <w:b/>
                <w:sz w:val="21"/>
              </w:rPr>
            </w:pPr>
            <w:r>
              <w:rPr>
                <w:b/>
                <w:sz w:val="21"/>
              </w:rPr>
              <w:t>监测结果</w:t>
            </w:r>
          </w:p>
        </w:tc>
      </w:tr>
      <w:tr>
        <w:trPr>
          <w:trHeight w:val="273" w:hRule="atLeast"/>
        </w:trPr>
        <w:tc>
          <w:tcPr>
            <w:tcW w:w="1543" w:type="dxa"/>
            <w:vMerge/>
            <w:tcBorders>
              <w:top w:val="nil"/>
            </w:tcBorders>
          </w:tcPr>
          <w:p>
            <w:pPr>
              <w:rPr>
                <w:sz w:val="2"/>
                <w:szCs w:val="2"/>
              </w:rPr>
            </w:pPr>
          </w:p>
        </w:tc>
        <w:tc>
          <w:tcPr>
            <w:tcW w:w="2028" w:type="dxa"/>
            <w:vMerge/>
            <w:tcBorders>
              <w:top w:val="nil"/>
            </w:tcBorders>
          </w:tcPr>
          <w:p>
            <w:pPr>
              <w:rPr>
                <w:sz w:val="2"/>
                <w:szCs w:val="2"/>
              </w:rPr>
            </w:pPr>
          </w:p>
        </w:tc>
        <w:tc>
          <w:tcPr>
            <w:tcW w:w="3437" w:type="dxa"/>
          </w:tcPr>
          <w:p>
            <w:pPr>
              <w:pStyle w:val="TableParagraph"/>
              <w:spacing w:line="252" w:lineRule="exact" w:before="1"/>
              <w:ind w:left="647" w:right="637"/>
              <w:rPr>
                <w:b/>
                <w:sz w:val="21"/>
              </w:rPr>
            </w:pPr>
            <w:r>
              <w:rPr>
                <w:b/>
                <w:sz w:val="21"/>
              </w:rPr>
              <w:t>昼间</w:t>
            </w:r>
          </w:p>
        </w:tc>
        <w:tc>
          <w:tcPr>
            <w:tcW w:w="2338" w:type="dxa"/>
          </w:tcPr>
          <w:p>
            <w:pPr>
              <w:pStyle w:val="TableParagraph"/>
              <w:spacing w:line="252" w:lineRule="exact" w:before="1"/>
              <w:ind w:left="935" w:right="928"/>
              <w:rPr>
                <w:b/>
                <w:sz w:val="21"/>
              </w:rPr>
            </w:pPr>
            <w:r>
              <w:rPr>
                <w:b/>
                <w:sz w:val="21"/>
              </w:rPr>
              <w:t>夜间</w:t>
            </w:r>
          </w:p>
        </w:tc>
      </w:tr>
      <w:tr>
        <w:trPr>
          <w:trHeight w:val="270" w:hRule="atLeast"/>
        </w:trPr>
        <w:tc>
          <w:tcPr>
            <w:tcW w:w="1543" w:type="dxa"/>
          </w:tcPr>
          <w:p>
            <w:pPr>
              <w:pStyle w:val="TableParagraph"/>
              <w:spacing w:line="236" w:lineRule="exact" w:before="15"/>
              <w:ind w:left="72" w:right="65"/>
              <w:rPr>
                <w:rFonts w:ascii="Times New Roman"/>
                <w:sz w:val="21"/>
              </w:rPr>
            </w:pPr>
            <w:r>
              <w:rPr>
                <w:rFonts w:ascii="Times New Roman"/>
                <w:sz w:val="21"/>
              </w:rPr>
              <w:t>1#</w:t>
            </w:r>
          </w:p>
        </w:tc>
        <w:tc>
          <w:tcPr>
            <w:tcW w:w="2028" w:type="dxa"/>
          </w:tcPr>
          <w:p>
            <w:pPr>
              <w:pStyle w:val="TableParagraph"/>
              <w:spacing w:line="250" w:lineRule="exact" w:before="1"/>
              <w:ind w:left="573" w:right="564"/>
              <w:rPr>
                <w:sz w:val="21"/>
              </w:rPr>
            </w:pPr>
            <w:r>
              <w:rPr>
                <w:sz w:val="21"/>
              </w:rPr>
              <w:t>厂界东侧</w:t>
            </w:r>
          </w:p>
        </w:tc>
        <w:tc>
          <w:tcPr>
            <w:tcW w:w="3437" w:type="dxa"/>
          </w:tcPr>
          <w:p>
            <w:pPr>
              <w:pStyle w:val="TableParagraph"/>
              <w:spacing w:line="236" w:lineRule="exact" w:before="15"/>
              <w:ind w:left="648" w:right="637"/>
              <w:rPr>
                <w:rFonts w:ascii="Times New Roman"/>
                <w:sz w:val="21"/>
              </w:rPr>
            </w:pPr>
            <w:r>
              <w:rPr>
                <w:rFonts w:ascii="Times New Roman"/>
                <w:sz w:val="21"/>
              </w:rPr>
              <w:t>56</w:t>
            </w:r>
          </w:p>
        </w:tc>
        <w:tc>
          <w:tcPr>
            <w:tcW w:w="2338" w:type="dxa"/>
          </w:tcPr>
          <w:p>
            <w:pPr>
              <w:pStyle w:val="TableParagraph"/>
              <w:spacing w:line="236" w:lineRule="exact" w:before="15"/>
              <w:ind w:left="935" w:right="928"/>
              <w:rPr>
                <w:rFonts w:ascii="Times New Roman"/>
                <w:sz w:val="21"/>
              </w:rPr>
            </w:pPr>
            <w:r>
              <w:rPr>
                <w:rFonts w:ascii="Times New Roman"/>
                <w:sz w:val="21"/>
              </w:rPr>
              <w:t>47</w:t>
            </w:r>
          </w:p>
        </w:tc>
      </w:tr>
      <w:tr>
        <w:trPr>
          <w:trHeight w:val="273" w:hRule="atLeast"/>
        </w:trPr>
        <w:tc>
          <w:tcPr>
            <w:tcW w:w="1543" w:type="dxa"/>
          </w:tcPr>
          <w:p>
            <w:pPr>
              <w:pStyle w:val="TableParagraph"/>
              <w:spacing w:line="236" w:lineRule="exact" w:before="17"/>
              <w:ind w:left="72" w:right="65"/>
              <w:rPr>
                <w:rFonts w:ascii="Times New Roman"/>
                <w:sz w:val="21"/>
              </w:rPr>
            </w:pPr>
            <w:r>
              <w:rPr>
                <w:rFonts w:ascii="Times New Roman"/>
                <w:sz w:val="21"/>
              </w:rPr>
              <w:t>2#</w:t>
            </w:r>
          </w:p>
        </w:tc>
        <w:tc>
          <w:tcPr>
            <w:tcW w:w="2028" w:type="dxa"/>
          </w:tcPr>
          <w:p>
            <w:pPr>
              <w:pStyle w:val="TableParagraph"/>
              <w:spacing w:line="250" w:lineRule="exact" w:before="3"/>
              <w:ind w:left="573" w:right="564"/>
              <w:rPr>
                <w:sz w:val="21"/>
              </w:rPr>
            </w:pPr>
            <w:r>
              <w:rPr>
                <w:sz w:val="21"/>
              </w:rPr>
              <w:t>厂界南侧</w:t>
            </w:r>
          </w:p>
        </w:tc>
        <w:tc>
          <w:tcPr>
            <w:tcW w:w="3437" w:type="dxa"/>
          </w:tcPr>
          <w:p>
            <w:pPr>
              <w:pStyle w:val="TableParagraph"/>
              <w:spacing w:line="236" w:lineRule="exact" w:before="17"/>
              <w:ind w:left="648" w:right="637"/>
              <w:rPr>
                <w:rFonts w:ascii="Times New Roman"/>
                <w:sz w:val="21"/>
              </w:rPr>
            </w:pPr>
            <w:r>
              <w:rPr>
                <w:rFonts w:ascii="Times New Roman"/>
                <w:sz w:val="21"/>
              </w:rPr>
              <w:t>57</w:t>
            </w:r>
          </w:p>
        </w:tc>
        <w:tc>
          <w:tcPr>
            <w:tcW w:w="2338" w:type="dxa"/>
          </w:tcPr>
          <w:p>
            <w:pPr>
              <w:pStyle w:val="TableParagraph"/>
              <w:spacing w:line="236" w:lineRule="exact" w:before="17"/>
              <w:ind w:left="935" w:right="928"/>
              <w:rPr>
                <w:rFonts w:ascii="Times New Roman"/>
                <w:sz w:val="21"/>
              </w:rPr>
            </w:pPr>
            <w:r>
              <w:rPr>
                <w:rFonts w:ascii="Times New Roman"/>
                <w:sz w:val="21"/>
              </w:rPr>
              <w:t>46</w:t>
            </w:r>
          </w:p>
        </w:tc>
      </w:tr>
      <w:tr>
        <w:trPr>
          <w:trHeight w:val="273" w:hRule="atLeast"/>
        </w:trPr>
        <w:tc>
          <w:tcPr>
            <w:tcW w:w="1543" w:type="dxa"/>
          </w:tcPr>
          <w:p>
            <w:pPr>
              <w:pStyle w:val="TableParagraph"/>
              <w:spacing w:line="238" w:lineRule="exact" w:before="15"/>
              <w:ind w:left="72" w:right="65"/>
              <w:rPr>
                <w:rFonts w:ascii="Times New Roman"/>
                <w:sz w:val="21"/>
              </w:rPr>
            </w:pPr>
            <w:r>
              <w:rPr>
                <w:rFonts w:ascii="Times New Roman"/>
                <w:sz w:val="21"/>
              </w:rPr>
              <w:t>3#</w:t>
            </w:r>
          </w:p>
        </w:tc>
        <w:tc>
          <w:tcPr>
            <w:tcW w:w="2028" w:type="dxa"/>
          </w:tcPr>
          <w:p>
            <w:pPr>
              <w:pStyle w:val="TableParagraph"/>
              <w:spacing w:line="252" w:lineRule="exact" w:before="1"/>
              <w:ind w:left="573" w:right="564"/>
              <w:rPr>
                <w:sz w:val="21"/>
              </w:rPr>
            </w:pPr>
            <w:r>
              <w:rPr>
                <w:sz w:val="21"/>
              </w:rPr>
              <w:t>厂界西侧</w:t>
            </w:r>
          </w:p>
        </w:tc>
        <w:tc>
          <w:tcPr>
            <w:tcW w:w="3437" w:type="dxa"/>
          </w:tcPr>
          <w:p>
            <w:pPr>
              <w:pStyle w:val="TableParagraph"/>
              <w:spacing w:line="238" w:lineRule="exact" w:before="15"/>
              <w:ind w:left="648" w:right="637"/>
              <w:rPr>
                <w:rFonts w:ascii="Times New Roman"/>
                <w:sz w:val="21"/>
              </w:rPr>
            </w:pPr>
            <w:r>
              <w:rPr>
                <w:rFonts w:ascii="Times New Roman"/>
                <w:sz w:val="21"/>
              </w:rPr>
              <w:t>57</w:t>
            </w:r>
          </w:p>
        </w:tc>
        <w:tc>
          <w:tcPr>
            <w:tcW w:w="2338" w:type="dxa"/>
          </w:tcPr>
          <w:p>
            <w:pPr>
              <w:pStyle w:val="TableParagraph"/>
              <w:spacing w:line="238" w:lineRule="exact" w:before="15"/>
              <w:ind w:left="935" w:right="928"/>
              <w:rPr>
                <w:rFonts w:ascii="Times New Roman"/>
                <w:sz w:val="21"/>
              </w:rPr>
            </w:pPr>
            <w:r>
              <w:rPr>
                <w:rFonts w:ascii="Times New Roman"/>
                <w:sz w:val="21"/>
              </w:rPr>
              <w:t>46</w:t>
            </w:r>
          </w:p>
        </w:tc>
      </w:tr>
      <w:tr>
        <w:trPr>
          <w:trHeight w:val="270" w:hRule="atLeast"/>
        </w:trPr>
        <w:tc>
          <w:tcPr>
            <w:tcW w:w="1543" w:type="dxa"/>
          </w:tcPr>
          <w:p>
            <w:pPr>
              <w:pStyle w:val="TableParagraph"/>
              <w:spacing w:line="236" w:lineRule="exact" w:before="15"/>
              <w:ind w:left="72" w:right="65"/>
              <w:rPr>
                <w:rFonts w:ascii="Times New Roman"/>
                <w:sz w:val="21"/>
              </w:rPr>
            </w:pPr>
            <w:r>
              <w:rPr>
                <w:rFonts w:ascii="Times New Roman"/>
                <w:sz w:val="21"/>
              </w:rPr>
              <w:t>4#</w:t>
            </w:r>
          </w:p>
        </w:tc>
        <w:tc>
          <w:tcPr>
            <w:tcW w:w="2028" w:type="dxa"/>
          </w:tcPr>
          <w:p>
            <w:pPr>
              <w:pStyle w:val="TableParagraph"/>
              <w:spacing w:line="250" w:lineRule="exact" w:before="1"/>
              <w:ind w:left="573" w:right="564"/>
              <w:rPr>
                <w:sz w:val="21"/>
              </w:rPr>
            </w:pPr>
            <w:r>
              <w:rPr>
                <w:sz w:val="21"/>
              </w:rPr>
              <w:t>厂界北侧</w:t>
            </w:r>
          </w:p>
        </w:tc>
        <w:tc>
          <w:tcPr>
            <w:tcW w:w="3437" w:type="dxa"/>
          </w:tcPr>
          <w:p>
            <w:pPr>
              <w:pStyle w:val="TableParagraph"/>
              <w:spacing w:line="236" w:lineRule="exact" w:before="15"/>
              <w:ind w:left="648" w:right="637"/>
              <w:rPr>
                <w:rFonts w:ascii="Times New Roman"/>
                <w:sz w:val="21"/>
              </w:rPr>
            </w:pPr>
            <w:r>
              <w:rPr>
                <w:rFonts w:ascii="Times New Roman"/>
                <w:sz w:val="21"/>
              </w:rPr>
              <w:t>56</w:t>
            </w:r>
          </w:p>
        </w:tc>
        <w:tc>
          <w:tcPr>
            <w:tcW w:w="2338" w:type="dxa"/>
          </w:tcPr>
          <w:p>
            <w:pPr>
              <w:pStyle w:val="TableParagraph"/>
              <w:spacing w:line="236" w:lineRule="exact" w:before="15"/>
              <w:ind w:left="935" w:right="928"/>
              <w:rPr>
                <w:rFonts w:ascii="Times New Roman"/>
                <w:sz w:val="21"/>
              </w:rPr>
            </w:pPr>
            <w:r>
              <w:rPr>
                <w:rFonts w:ascii="Times New Roman"/>
                <w:sz w:val="21"/>
              </w:rPr>
              <w:t>47</w:t>
            </w:r>
          </w:p>
        </w:tc>
      </w:tr>
      <w:tr>
        <w:trPr>
          <w:trHeight w:val="273" w:hRule="atLeast"/>
        </w:trPr>
        <w:tc>
          <w:tcPr>
            <w:tcW w:w="3571" w:type="dxa"/>
            <w:gridSpan w:val="2"/>
          </w:tcPr>
          <w:p>
            <w:pPr>
              <w:pStyle w:val="TableParagraph"/>
              <w:spacing w:line="252" w:lineRule="exact" w:before="1"/>
              <w:ind w:left="1346" w:right="1334"/>
              <w:rPr>
                <w:sz w:val="21"/>
              </w:rPr>
            </w:pPr>
            <w:r>
              <w:rPr>
                <w:sz w:val="21"/>
              </w:rPr>
              <w:t>执行标准</w:t>
            </w:r>
          </w:p>
        </w:tc>
        <w:tc>
          <w:tcPr>
            <w:tcW w:w="3437" w:type="dxa"/>
          </w:tcPr>
          <w:p>
            <w:pPr>
              <w:pStyle w:val="TableParagraph"/>
              <w:spacing w:line="236" w:lineRule="exact" w:before="17"/>
              <w:ind w:left="648" w:right="637"/>
              <w:rPr>
                <w:rFonts w:ascii="Times New Roman"/>
                <w:sz w:val="21"/>
              </w:rPr>
            </w:pPr>
            <w:r>
              <w:rPr>
                <w:rFonts w:ascii="Times New Roman"/>
                <w:sz w:val="21"/>
              </w:rPr>
              <w:t>65</w:t>
            </w:r>
          </w:p>
        </w:tc>
        <w:tc>
          <w:tcPr>
            <w:tcW w:w="2338" w:type="dxa"/>
          </w:tcPr>
          <w:p>
            <w:pPr>
              <w:pStyle w:val="TableParagraph"/>
              <w:spacing w:line="236" w:lineRule="exact" w:before="17"/>
              <w:ind w:left="935" w:right="928"/>
              <w:rPr>
                <w:rFonts w:ascii="Times New Roman"/>
                <w:sz w:val="21"/>
              </w:rPr>
            </w:pPr>
            <w:r>
              <w:rPr>
                <w:rFonts w:ascii="Times New Roman"/>
                <w:sz w:val="21"/>
              </w:rPr>
              <w:t>55</w:t>
            </w:r>
          </w:p>
        </w:tc>
      </w:tr>
      <w:tr>
        <w:trPr>
          <w:trHeight w:val="273" w:hRule="atLeast"/>
        </w:trPr>
        <w:tc>
          <w:tcPr>
            <w:tcW w:w="3571" w:type="dxa"/>
            <w:gridSpan w:val="2"/>
          </w:tcPr>
          <w:p>
            <w:pPr>
              <w:pStyle w:val="TableParagraph"/>
              <w:spacing w:line="252" w:lineRule="exact" w:before="1"/>
              <w:ind w:left="1346" w:right="1334"/>
              <w:rPr>
                <w:sz w:val="21"/>
              </w:rPr>
            </w:pPr>
            <w:r>
              <w:rPr>
                <w:sz w:val="21"/>
              </w:rPr>
              <w:t>评价结果</w:t>
            </w:r>
          </w:p>
        </w:tc>
        <w:tc>
          <w:tcPr>
            <w:tcW w:w="3437" w:type="dxa"/>
          </w:tcPr>
          <w:p>
            <w:pPr>
              <w:pStyle w:val="TableParagraph"/>
              <w:spacing w:line="252" w:lineRule="exact" w:before="1"/>
              <w:ind w:left="647" w:right="637"/>
              <w:rPr>
                <w:sz w:val="21"/>
              </w:rPr>
            </w:pPr>
            <w:r>
              <w:rPr>
                <w:sz w:val="21"/>
              </w:rPr>
              <w:t>达标</w:t>
            </w:r>
          </w:p>
        </w:tc>
        <w:tc>
          <w:tcPr>
            <w:tcW w:w="2338" w:type="dxa"/>
          </w:tcPr>
          <w:p>
            <w:pPr>
              <w:pStyle w:val="TableParagraph"/>
              <w:spacing w:line="252" w:lineRule="exact" w:before="1"/>
              <w:ind w:left="936" w:right="924"/>
              <w:rPr>
                <w:sz w:val="21"/>
              </w:rPr>
            </w:pPr>
            <w:r>
              <w:rPr>
                <w:sz w:val="21"/>
              </w:rPr>
              <w:t>达标</w:t>
            </w:r>
          </w:p>
        </w:tc>
      </w:tr>
    </w:tbl>
    <w:p>
      <w:pPr>
        <w:pStyle w:val="BodyText"/>
        <w:spacing w:line="362" w:lineRule="auto" w:before="2"/>
        <w:ind w:left="331" w:right="244" w:firstLine="479"/>
      </w:pPr>
      <w:r>
        <w:rPr>
          <w:spacing w:val="-7"/>
        </w:rPr>
        <w:t>由监测结果可知，厂界各监测点符合《声环境质量标准》</w:t>
      </w:r>
      <w:r>
        <w:rPr>
          <w:rFonts w:ascii="Times New Roman" w:eastAsia="Times New Roman"/>
        </w:rPr>
        <w:t>(GB3096-2008)</w:t>
      </w:r>
      <w:r>
        <w:rPr>
          <w:spacing w:val="-31"/>
        </w:rPr>
        <w:t>中 </w:t>
      </w:r>
      <w:r>
        <w:rPr>
          <w:rFonts w:ascii="Times New Roman" w:eastAsia="Times New Roman"/>
        </w:rPr>
        <w:t>3 </w:t>
      </w:r>
      <w:r>
        <w:rPr>
          <w:spacing w:val="-5"/>
        </w:rPr>
        <w:t>类标准</w:t>
      </w:r>
      <w:r>
        <w:rPr/>
        <w:t>要求。</w:t>
      </w:r>
    </w:p>
    <w:p>
      <w:pPr>
        <w:pStyle w:val="Heading4"/>
        <w:numPr>
          <w:ilvl w:val="2"/>
          <w:numId w:val="23"/>
        </w:numPr>
        <w:tabs>
          <w:tab w:pos="872" w:val="left" w:leader="none"/>
        </w:tabs>
        <w:spacing w:line="240" w:lineRule="auto" w:before="125" w:after="0"/>
        <w:ind w:left="871" w:right="0" w:hanging="541"/>
        <w:jc w:val="left"/>
      </w:pPr>
      <w:r>
        <w:rPr/>
        <w:t>土壤环境质量现状调查</w:t>
      </w:r>
    </w:p>
    <w:p>
      <w:pPr>
        <w:pStyle w:val="ListParagraph"/>
        <w:numPr>
          <w:ilvl w:val="3"/>
          <w:numId w:val="23"/>
        </w:numPr>
        <w:tabs>
          <w:tab w:pos="1052" w:val="left" w:leader="none"/>
        </w:tabs>
        <w:spacing w:line="240" w:lineRule="auto" w:before="159" w:after="0"/>
        <w:ind w:left="1051" w:right="0" w:hanging="721"/>
        <w:jc w:val="left"/>
        <w:rPr>
          <w:b/>
          <w:sz w:val="24"/>
        </w:rPr>
      </w:pPr>
      <w:r>
        <w:rPr>
          <w:b/>
          <w:sz w:val="24"/>
        </w:rPr>
        <w:t>土壤类型</w:t>
      </w:r>
    </w:p>
    <w:p>
      <w:pPr>
        <w:pStyle w:val="BodyText"/>
        <w:spacing w:before="160"/>
        <w:ind w:left="751"/>
      </w:pPr>
      <w:r>
        <w:rPr>
          <w:rFonts w:ascii="Times New Roman" w:eastAsia="Times New Roman"/>
        </w:rPr>
        <w:t>1</w:t>
      </w:r>
      <w:r>
        <w:rPr/>
        <w:t>、区域土壤类型</w:t>
      </w:r>
    </w:p>
    <w:p>
      <w:pPr>
        <w:pStyle w:val="BodyText"/>
        <w:spacing w:line="364" w:lineRule="auto" w:before="158"/>
        <w:ind w:left="331" w:right="241" w:firstLine="420"/>
        <w:jc w:val="both"/>
      </w:pPr>
      <w:r>
        <w:rPr>
          <w:spacing w:val="-2"/>
        </w:rPr>
        <w:t>上虞地区地处曹娥江下游，东西宽 </w:t>
      </w:r>
      <w:r>
        <w:rPr>
          <w:rFonts w:ascii="Times New Roman" w:hAnsi="Times New Roman" w:eastAsia="Times New Roman"/>
        </w:rPr>
        <w:t>42km</w:t>
      </w:r>
      <w:r>
        <w:rPr>
          <w:spacing w:val="-6"/>
        </w:rPr>
        <w:t>、南北长 </w:t>
      </w:r>
      <w:r>
        <w:rPr>
          <w:rFonts w:ascii="Times New Roman" w:hAnsi="Times New Roman" w:eastAsia="Times New Roman"/>
        </w:rPr>
        <w:t>48km</w:t>
      </w:r>
      <w:r>
        <w:rPr>
          <w:spacing w:val="-4"/>
        </w:rPr>
        <w:t>，梯度总面积约 </w:t>
      </w:r>
      <w:r>
        <w:rPr>
          <w:rFonts w:ascii="Times New Roman" w:hAnsi="Times New Roman" w:eastAsia="Times New Roman"/>
        </w:rPr>
        <w:t>1172km</w:t>
      </w:r>
      <w:r>
        <w:rPr>
          <w:rFonts w:ascii="Times New Roman" w:hAnsi="Times New Roman" w:eastAsia="Times New Roman"/>
          <w:position w:val="9"/>
          <w:sz w:val="16"/>
        </w:rPr>
        <w:t>2</w:t>
      </w:r>
      <w:r>
        <w:rPr>
          <w:spacing w:val="-15"/>
        </w:rPr>
        <w:t>。</w:t>
      </w:r>
      <w:r>
        <w:rPr>
          <w:spacing w:val="-9"/>
        </w:rPr>
        <w:t>其中丘陵地区占 </w:t>
      </w:r>
      <w:r>
        <w:rPr>
          <w:rFonts w:ascii="Times New Roman" w:hAnsi="Times New Roman" w:eastAsia="Times New Roman"/>
          <w:spacing w:val="-3"/>
        </w:rPr>
        <w:t>50%</w:t>
      </w:r>
      <w:r>
        <w:rPr>
          <w:spacing w:val="-15"/>
        </w:rPr>
        <w:t>，平原占 </w:t>
      </w:r>
      <w:r>
        <w:rPr>
          <w:rFonts w:ascii="Times New Roman" w:hAnsi="Times New Roman" w:eastAsia="Times New Roman"/>
        </w:rPr>
        <w:t>41.7%</w:t>
      </w:r>
      <w:r>
        <w:rPr>
          <w:spacing w:val="-10"/>
        </w:rPr>
        <w:t>，河流水域占 </w:t>
      </w:r>
      <w:r>
        <w:rPr>
          <w:rFonts w:ascii="Times New Roman" w:hAnsi="Times New Roman" w:eastAsia="Times New Roman"/>
        </w:rPr>
        <w:t>8.3%</w:t>
      </w:r>
      <w:r>
        <w:rPr/>
        <w:t>，具有</w:t>
      </w:r>
      <w:r>
        <w:rPr>
          <w:rFonts w:ascii="Times New Roman" w:hAnsi="Times New Roman" w:eastAsia="Times New Roman"/>
        </w:rPr>
        <w:t>“</w:t>
      </w:r>
      <w:r>
        <w:rPr/>
        <w:t>五山一水四分田</w:t>
      </w:r>
      <w:r>
        <w:rPr>
          <w:rFonts w:ascii="Times New Roman" w:hAnsi="Times New Roman" w:eastAsia="Times New Roman"/>
        </w:rPr>
        <w:t>”</w:t>
      </w:r>
      <w:r>
        <w:rPr/>
        <w:t>的自然景观。</w:t>
      </w:r>
    </w:p>
    <w:p>
      <w:pPr>
        <w:pStyle w:val="BodyText"/>
        <w:spacing w:line="364" w:lineRule="auto"/>
        <w:ind w:left="331" w:right="240" w:firstLine="420"/>
      </w:pPr>
      <w:r>
        <w:rPr/>
        <w:t>水网平原是上虞区的主要农产品生产基地，主要土壤为水稻土和潮土，从溪边到山脚一般依次分布清水砂、培泥沙、培泥沙田和泥质田，与河岸平行成带状分布。丘陵山</w:t>
      </w:r>
    </w:p>
    <w:p>
      <w:pPr>
        <w:spacing w:after="0" w:line="364" w:lineRule="auto"/>
        <w:sectPr>
          <w:headerReference w:type="default" r:id="rId73"/>
          <w:footerReference w:type="default" r:id="rId74"/>
          <w:pgSz w:w="11910" w:h="16850"/>
          <w:pgMar w:header="1004" w:footer="1088" w:top="1340" w:bottom="1280" w:left="1200" w:right="1000"/>
          <w:pgNumType w:start="130"/>
        </w:sectPr>
      </w:pPr>
    </w:p>
    <w:p>
      <w:pPr>
        <w:pStyle w:val="BodyText"/>
        <w:spacing w:line="364" w:lineRule="auto" w:before="83"/>
        <w:ind w:left="331" w:right="120"/>
      </w:pPr>
      <w:r>
        <w:rPr>
          <w:spacing w:val="-8"/>
        </w:rPr>
        <w:t>地局部的地貌和植被差异，以及利用和改良的影响，土壤的分布复杂，主要土壤有红壤、</w:t>
      </w:r>
      <w:r>
        <w:rPr/>
        <w:t>黄壤和水稻田。其中水稻土主要分布在山地岗地、坡脚和山垄凹陷地段。</w:t>
      </w:r>
    </w:p>
    <w:p>
      <w:pPr>
        <w:pStyle w:val="BodyText"/>
        <w:spacing w:line="364" w:lineRule="auto"/>
        <w:ind w:left="331" w:right="242" w:firstLine="420"/>
        <w:jc w:val="both"/>
      </w:pPr>
      <w:r>
        <w:rPr/>
        <w:t>本次项目所在的滨海地区土壤形成的年代一般仅 </w:t>
      </w:r>
      <w:r>
        <w:rPr>
          <w:rFonts w:ascii="Times New Roman" w:eastAsia="Times New Roman"/>
        </w:rPr>
        <w:t>300 </w:t>
      </w:r>
      <w:r>
        <w:rPr/>
        <w:t>年，最新的涂地则只有几十年或几年的历史，靠近海边的一部分涂地，仅在低潮位时才露出海面，土壤形成的特征为历史短，或多或少有盐分，极大多数呈碱性或微碱性反应。愈接近海岸线，所发育的土壤愈年轻，其含盐量愈高。土壤类型主要由潮土和滨海盐土。</w:t>
      </w:r>
    </w:p>
    <w:p>
      <w:pPr>
        <w:pStyle w:val="BodyText"/>
        <w:spacing w:line="305" w:lineRule="exact"/>
        <w:ind w:left="751"/>
      </w:pPr>
      <w:r>
        <w:rPr>
          <w:rFonts w:ascii="Times New Roman" w:eastAsia="Times New Roman"/>
        </w:rPr>
        <w:t>2</w:t>
      </w:r>
      <w:r>
        <w:rPr/>
        <w:t>、项目厂址土壤类型</w:t>
      </w:r>
    </w:p>
    <w:p>
      <w:pPr>
        <w:pStyle w:val="BodyText"/>
        <w:spacing w:line="364" w:lineRule="auto" w:before="159"/>
        <w:ind w:left="331" w:right="240" w:firstLine="420"/>
        <w:jc w:val="both"/>
      </w:pPr>
      <w:r>
        <w:rPr>
          <w:spacing w:val="16"/>
        </w:rPr>
        <w:t>项目厂区土壤类型查阅</w:t>
      </w:r>
      <w:r>
        <w:rPr>
          <w:rFonts w:ascii="Times New Roman" w:hAnsi="Times New Roman" w:eastAsia="Times New Roman"/>
          <w:spacing w:val="15"/>
        </w:rPr>
        <w:t>“</w:t>
      </w:r>
      <w:r>
        <w:rPr>
          <w:spacing w:val="16"/>
        </w:rPr>
        <w:t>国家土壤信息服务平台</w:t>
      </w:r>
      <w:r>
        <w:rPr>
          <w:rFonts w:ascii="Times New Roman" w:hAnsi="Times New Roman" w:eastAsia="Times New Roman"/>
          <w:spacing w:val="15"/>
        </w:rPr>
        <w:t>”</w:t>
      </w:r>
      <w:r>
        <w:rPr>
          <w:spacing w:val="14"/>
        </w:rPr>
        <w:t>。本项目厂址中心坐标为东经</w:t>
      </w:r>
      <w:r>
        <w:rPr>
          <w:rFonts w:ascii="Times New Roman" w:hAnsi="Times New Roman" w:eastAsia="Times New Roman"/>
          <w:spacing w:val="14"/>
        </w:rPr>
        <w:t>120.893°</w:t>
      </w:r>
      <w:r>
        <w:rPr>
          <w:spacing w:val="4"/>
        </w:rPr>
        <w:t>，北纬 </w:t>
      </w:r>
      <w:r>
        <w:rPr>
          <w:rFonts w:ascii="Times New Roman" w:hAnsi="Times New Roman" w:eastAsia="Times New Roman"/>
        </w:rPr>
        <w:t>30.167°</w:t>
      </w:r>
      <w:r>
        <w:rPr>
          <w:spacing w:val="-5"/>
        </w:rPr>
        <w:t>，根据查询结果，项目厂址土壤类型为滨海盐土。根据《中国土</w:t>
      </w:r>
      <w:r>
        <w:rPr>
          <w:spacing w:val="-6"/>
        </w:rPr>
        <w:t>壤分类与代码》</w:t>
      </w:r>
      <w:r>
        <w:rPr>
          <w:rFonts w:ascii="Times New Roman" w:hAnsi="Times New Roman" w:eastAsia="Times New Roman"/>
          <w:spacing w:val="-3"/>
        </w:rPr>
        <w:t>(GB/T17296-2009)</w:t>
      </w:r>
      <w:r>
        <w:rPr>
          <w:spacing w:val="-12"/>
        </w:rPr>
        <w:t>，其土纲为 </w:t>
      </w:r>
      <w:r>
        <w:rPr>
          <w:rFonts w:ascii="Times New Roman" w:hAnsi="Times New Roman" w:eastAsia="Times New Roman"/>
        </w:rPr>
        <w:t>K </w:t>
      </w:r>
      <w:r>
        <w:rPr>
          <w:spacing w:val="-12"/>
        </w:rPr>
        <w:t>盐碱土，土亚纲为 </w:t>
      </w:r>
      <w:r>
        <w:rPr>
          <w:rFonts w:ascii="Times New Roman" w:hAnsi="Times New Roman" w:eastAsia="Times New Roman"/>
        </w:rPr>
        <w:t>K1 </w:t>
      </w:r>
      <w:r>
        <w:rPr>
          <w:spacing w:val="-15"/>
        </w:rPr>
        <w:t>盐土，土类为 </w:t>
      </w:r>
      <w:r>
        <w:rPr>
          <w:rFonts w:ascii="Times New Roman" w:hAnsi="Times New Roman" w:eastAsia="Times New Roman"/>
        </w:rPr>
        <w:t>K12 </w:t>
      </w:r>
      <w:r>
        <w:rPr/>
        <w:t>滨海盐土。项目区域土壤类型见下图。</w:t>
      </w:r>
    </w:p>
    <w:p>
      <w:pPr>
        <w:pStyle w:val="BodyText"/>
        <w:ind w:left="331"/>
        <w:rPr>
          <w:sz w:val="20"/>
        </w:rPr>
      </w:pPr>
      <w:r>
        <w:rPr>
          <w:sz w:val="20"/>
        </w:rPr>
        <w:drawing>
          <wp:inline distT="0" distB="0" distL="0" distR="0">
            <wp:extent cx="5824855" cy="3776853"/>
            <wp:effectExtent l="0" t="0" r="0" b="0"/>
            <wp:docPr id="31" name="image26.jpeg"/>
            <wp:cNvGraphicFramePr>
              <a:graphicFrameLocks noChangeAspect="1"/>
            </wp:cNvGraphicFramePr>
            <a:graphic>
              <a:graphicData uri="http://schemas.openxmlformats.org/drawingml/2006/picture">
                <pic:pic>
                  <pic:nvPicPr>
                    <pic:cNvPr id="32" name="image26.jpeg"/>
                    <pic:cNvPicPr/>
                  </pic:nvPicPr>
                  <pic:blipFill>
                    <a:blip r:embed="rId76" cstate="print"/>
                    <a:stretch>
                      <a:fillRect/>
                    </a:stretch>
                  </pic:blipFill>
                  <pic:spPr>
                    <a:xfrm>
                      <a:off x="0" y="0"/>
                      <a:ext cx="5824855" cy="3776853"/>
                    </a:xfrm>
                    <a:prstGeom prst="rect">
                      <a:avLst/>
                    </a:prstGeom>
                  </pic:spPr>
                </pic:pic>
              </a:graphicData>
            </a:graphic>
          </wp:inline>
        </w:drawing>
      </w:r>
      <w:r>
        <w:rPr>
          <w:sz w:val="20"/>
        </w:rPr>
      </w:r>
    </w:p>
    <w:p>
      <w:pPr>
        <w:pStyle w:val="BodyText"/>
        <w:spacing w:before="7"/>
        <w:rPr>
          <w:sz w:val="29"/>
        </w:rPr>
      </w:pPr>
    </w:p>
    <w:p>
      <w:pPr>
        <w:pStyle w:val="Heading4"/>
        <w:tabs>
          <w:tab w:pos="1305" w:val="left" w:leader="none"/>
        </w:tabs>
        <w:spacing w:before="74"/>
        <w:ind w:left="84"/>
        <w:jc w:val="center"/>
      </w:pPr>
      <w:r>
        <w:rPr/>
        <w:t>图</w:t>
      </w:r>
      <w:r>
        <w:rPr>
          <w:spacing w:val="-60"/>
        </w:rPr>
        <w:t> </w:t>
      </w:r>
      <w:r>
        <w:rPr>
          <w:rFonts w:ascii="Times New Roman" w:eastAsia="Times New Roman"/>
        </w:rPr>
        <w:t>6.2.4-1</w:t>
        <w:tab/>
      </w:r>
      <w:r>
        <w:rPr/>
        <w:t>项目所在地土壤类型图</w:t>
      </w:r>
    </w:p>
    <w:p>
      <w:pPr>
        <w:pStyle w:val="ListParagraph"/>
        <w:numPr>
          <w:ilvl w:val="3"/>
          <w:numId w:val="23"/>
        </w:numPr>
        <w:tabs>
          <w:tab w:pos="1052" w:val="left" w:leader="none"/>
        </w:tabs>
        <w:spacing w:line="240" w:lineRule="auto" w:before="160" w:after="0"/>
        <w:ind w:left="1051" w:right="0" w:hanging="721"/>
        <w:jc w:val="left"/>
        <w:rPr>
          <w:b/>
          <w:sz w:val="24"/>
        </w:rPr>
      </w:pPr>
      <w:r>
        <w:rPr>
          <w:b/>
          <w:sz w:val="24"/>
        </w:rPr>
        <w:t>土壤理化性质</w:t>
      </w:r>
    </w:p>
    <w:p>
      <w:pPr>
        <w:pStyle w:val="BodyText"/>
        <w:spacing w:before="159"/>
        <w:ind w:left="691"/>
      </w:pPr>
      <w:r>
        <w:rPr/>
        <w:t>土壤理化性质如下表。</w:t>
      </w:r>
    </w:p>
    <w:p>
      <w:pPr>
        <w:spacing w:after="0"/>
        <w:sectPr>
          <w:pgSz w:w="11910" w:h="16850"/>
          <w:pgMar w:header="1004" w:footer="1088" w:top="1340" w:bottom="1280" w:left="1200" w:right="1000"/>
        </w:sectPr>
      </w:pPr>
    </w:p>
    <w:p>
      <w:pPr>
        <w:pStyle w:val="BodyText"/>
        <w:spacing w:before="10"/>
        <w:rPr>
          <w:sz w:val="11"/>
        </w:rPr>
      </w:pPr>
    </w:p>
    <w:p>
      <w:pPr>
        <w:pStyle w:val="Heading4"/>
        <w:tabs>
          <w:tab w:pos="1305" w:val="left" w:leader="none"/>
        </w:tabs>
        <w:spacing w:before="74" w:after="29"/>
        <w:ind w:left="84"/>
        <w:jc w:val="center"/>
      </w:pPr>
      <w:r>
        <w:rPr/>
        <w:t>表</w:t>
      </w:r>
      <w:r>
        <w:rPr>
          <w:spacing w:val="-60"/>
        </w:rPr>
        <w:t> </w:t>
      </w:r>
      <w:r>
        <w:rPr>
          <w:rFonts w:ascii="Times New Roman" w:eastAsia="Times New Roman"/>
        </w:rPr>
        <w:t>6.2.4-1</w:t>
        <w:tab/>
      </w:r>
      <w:r>
        <w:rPr/>
        <w:t>项目土壤理化特性调查表</w:t>
      </w:r>
    </w:p>
    <w:tbl>
      <w:tblPr>
        <w:tblW w:w="0" w:type="auto"/>
        <w:jc w:val="left"/>
        <w:tblInd w:w="2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26"/>
        <w:gridCol w:w="2432"/>
        <w:gridCol w:w="1519"/>
        <w:gridCol w:w="1522"/>
        <w:gridCol w:w="1522"/>
        <w:gridCol w:w="1527"/>
      </w:tblGrid>
      <w:tr>
        <w:trPr>
          <w:trHeight w:val="272" w:hRule="atLeast"/>
        </w:trPr>
        <w:tc>
          <w:tcPr>
            <w:tcW w:w="3258" w:type="dxa"/>
            <w:gridSpan w:val="2"/>
            <w:tcBorders>
              <w:bottom w:val="single" w:sz="4" w:space="0" w:color="000000"/>
              <w:right w:val="single" w:sz="4" w:space="0" w:color="000000"/>
            </w:tcBorders>
          </w:tcPr>
          <w:p>
            <w:pPr>
              <w:pStyle w:val="TableParagraph"/>
              <w:spacing w:line="250" w:lineRule="exact" w:before="3"/>
              <w:ind w:left="1398" w:right="1379"/>
              <w:rPr>
                <w:sz w:val="21"/>
              </w:rPr>
            </w:pPr>
            <w:r>
              <w:rPr>
                <w:sz w:val="21"/>
              </w:rPr>
              <w:t>点位</w:t>
            </w:r>
          </w:p>
        </w:tc>
        <w:tc>
          <w:tcPr>
            <w:tcW w:w="6090" w:type="dxa"/>
            <w:gridSpan w:val="4"/>
            <w:tcBorders>
              <w:left w:val="single" w:sz="4" w:space="0" w:color="000000"/>
              <w:bottom w:val="single" w:sz="4" w:space="0" w:color="000000"/>
            </w:tcBorders>
          </w:tcPr>
          <w:p>
            <w:pPr>
              <w:pStyle w:val="TableParagraph"/>
              <w:spacing w:line="250" w:lineRule="exact" w:before="3"/>
              <w:ind w:left="2299" w:right="2260"/>
              <w:rPr>
                <w:sz w:val="21"/>
              </w:rPr>
            </w:pPr>
            <w:r>
              <w:rPr>
                <w:sz w:val="21"/>
              </w:rPr>
              <w:t>拟建车间一南面</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日期</w:t>
            </w:r>
          </w:p>
        </w:tc>
        <w:tc>
          <w:tcPr>
            <w:tcW w:w="6090" w:type="dxa"/>
            <w:gridSpan w:val="4"/>
            <w:tcBorders>
              <w:top w:val="single" w:sz="4" w:space="0" w:color="000000"/>
              <w:left w:val="single" w:sz="4" w:space="0" w:color="000000"/>
              <w:bottom w:val="single" w:sz="4" w:space="0" w:color="000000"/>
            </w:tcBorders>
          </w:tcPr>
          <w:p>
            <w:pPr>
              <w:pStyle w:val="TableParagraph"/>
              <w:spacing w:line="238" w:lineRule="exact" w:before="15"/>
              <w:ind w:left="2297" w:right="2260"/>
              <w:rPr>
                <w:rFonts w:ascii="Times New Roman"/>
                <w:sz w:val="21"/>
              </w:rPr>
            </w:pPr>
            <w:r>
              <w:rPr>
                <w:rFonts w:ascii="Times New Roman"/>
                <w:sz w:val="21"/>
              </w:rPr>
              <w:t>2022.02.22</w:t>
            </w:r>
          </w:p>
        </w:tc>
      </w:tr>
      <w:tr>
        <w:trPr>
          <w:trHeight w:val="270"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1"/>
              <w:ind w:left="1398" w:right="1379"/>
              <w:rPr>
                <w:sz w:val="21"/>
              </w:rPr>
            </w:pPr>
            <w:r>
              <w:rPr>
                <w:sz w:val="21"/>
              </w:rPr>
              <w:t>经度</w:t>
            </w:r>
          </w:p>
        </w:tc>
        <w:tc>
          <w:tcPr>
            <w:tcW w:w="6090" w:type="dxa"/>
            <w:gridSpan w:val="4"/>
            <w:tcBorders>
              <w:top w:val="single" w:sz="4" w:space="0" w:color="000000"/>
              <w:left w:val="single" w:sz="4" w:space="0" w:color="000000"/>
              <w:bottom w:val="single" w:sz="4" w:space="0" w:color="000000"/>
            </w:tcBorders>
          </w:tcPr>
          <w:p>
            <w:pPr>
              <w:pStyle w:val="TableParagraph"/>
              <w:spacing w:line="236" w:lineRule="exact" w:before="15"/>
              <w:ind w:left="2296" w:right="2260"/>
              <w:rPr>
                <w:rFonts w:ascii="Times New Roman" w:hAnsi="Times New Roman"/>
                <w:sz w:val="21"/>
              </w:rPr>
            </w:pPr>
            <w:r>
              <w:rPr>
                <w:rFonts w:ascii="Times New Roman" w:hAnsi="Times New Roman"/>
                <w:sz w:val="21"/>
              </w:rPr>
              <w:t>120°53′51.36″</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纬度</w:t>
            </w:r>
          </w:p>
        </w:tc>
        <w:tc>
          <w:tcPr>
            <w:tcW w:w="6090" w:type="dxa"/>
            <w:gridSpan w:val="4"/>
            <w:tcBorders>
              <w:top w:val="single" w:sz="4" w:space="0" w:color="000000"/>
              <w:left w:val="single" w:sz="4" w:space="0" w:color="000000"/>
              <w:bottom w:val="single" w:sz="4" w:space="0" w:color="000000"/>
            </w:tcBorders>
          </w:tcPr>
          <w:p>
            <w:pPr>
              <w:pStyle w:val="TableParagraph"/>
              <w:spacing w:line="238" w:lineRule="exact" w:before="15"/>
              <w:ind w:left="2296" w:right="2260"/>
              <w:rPr>
                <w:rFonts w:ascii="Times New Roman" w:hAnsi="Times New Roman"/>
                <w:sz w:val="21"/>
              </w:rPr>
            </w:pPr>
            <w:r>
              <w:rPr>
                <w:rFonts w:ascii="Times New Roman" w:hAnsi="Times New Roman"/>
                <w:sz w:val="21"/>
              </w:rPr>
              <w:t>30°10′19.82″</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层次</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50" w:right="417"/>
              <w:rPr>
                <w:rFonts w:ascii="Times New Roman"/>
                <w:sz w:val="21"/>
              </w:rPr>
            </w:pPr>
            <w:r>
              <w:rPr>
                <w:rFonts w:ascii="Times New Roman"/>
                <w:sz w:val="21"/>
              </w:rPr>
              <w:t>0-0.5m</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72" w:right="341"/>
              <w:rPr>
                <w:rFonts w:ascii="Times New Roman"/>
                <w:sz w:val="21"/>
              </w:rPr>
            </w:pPr>
            <w:r>
              <w:rPr>
                <w:rFonts w:ascii="Times New Roman"/>
                <w:sz w:val="21"/>
              </w:rPr>
              <w:t>0.5-1.5m</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right="436"/>
              <w:jc w:val="right"/>
              <w:rPr>
                <w:rFonts w:ascii="Times New Roman"/>
                <w:sz w:val="21"/>
              </w:rPr>
            </w:pPr>
            <w:r>
              <w:rPr>
                <w:rFonts w:ascii="Times New Roman"/>
                <w:sz w:val="21"/>
              </w:rPr>
              <w:t>1.5-3m</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left="529" w:right="493"/>
              <w:rPr>
                <w:rFonts w:ascii="Times New Roman"/>
                <w:sz w:val="21"/>
              </w:rPr>
            </w:pPr>
            <w:r>
              <w:rPr>
                <w:rFonts w:ascii="Times New Roman"/>
                <w:sz w:val="21"/>
              </w:rPr>
              <w:t>3-6m</w:t>
            </w:r>
          </w:p>
        </w:tc>
      </w:tr>
      <w:tr>
        <w:trPr>
          <w:trHeight w:val="270" w:hRule="atLeast"/>
        </w:trPr>
        <w:tc>
          <w:tcPr>
            <w:tcW w:w="826"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spacing w:line="244" w:lineRule="auto" w:before="172"/>
              <w:ind w:left="200" w:right="180"/>
              <w:jc w:val="left"/>
              <w:rPr>
                <w:sz w:val="21"/>
              </w:rPr>
            </w:pPr>
            <w:r>
              <w:rPr>
                <w:sz w:val="21"/>
              </w:rPr>
              <w:t>现场记录</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4" w:right="150"/>
              <w:rPr>
                <w:sz w:val="21"/>
              </w:rPr>
            </w:pPr>
            <w:r>
              <w:rPr>
                <w:sz w:val="21"/>
              </w:rPr>
              <w:t>颜色</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447" w:right="417"/>
              <w:rPr>
                <w:sz w:val="21"/>
              </w:rPr>
            </w:pPr>
            <w:r>
              <w:rPr>
                <w:sz w:val="21"/>
              </w:rPr>
              <w:t>棕色</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9" w:right="341"/>
              <w:rPr>
                <w:sz w:val="21"/>
              </w:rPr>
            </w:pPr>
            <w:r>
              <w:rPr>
                <w:sz w:val="21"/>
              </w:rPr>
              <w:t>棕色</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8" w:right="341"/>
              <w:rPr>
                <w:sz w:val="21"/>
              </w:rPr>
            </w:pPr>
            <w:r>
              <w:rPr>
                <w:sz w:val="21"/>
              </w:rPr>
              <w:t>棕色</w:t>
            </w:r>
          </w:p>
        </w:tc>
        <w:tc>
          <w:tcPr>
            <w:tcW w:w="1527" w:type="dxa"/>
            <w:tcBorders>
              <w:top w:val="single" w:sz="4" w:space="0" w:color="000000"/>
              <w:left w:val="single" w:sz="4" w:space="0" w:color="000000"/>
              <w:bottom w:val="single" w:sz="4" w:space="0" w:color="000000"/>
            </w:tcBorders>
          </w:tcPr>
          <w:p>
            <w:pPr>
              <w:pStyle w:val="TableParagraph"/>
              <w:spacing w:line="250" w:lineRule="exact" w:before="1"/>
              <w:ind w:left="529" w:right="492"/>
              <w:rPr>
                <w:sz w:val="21"/>
              </w:rPr>
            </w:pPr>
            <w:r>
              <w:rPr>
                <w:sz w:val="21"/>
              </w:rPr>
              <w:t>棕色</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4" w:right="150"/>
              <w:rPr>
                <w:sz w:val="21"/>
              </w:rPr>
            </w:pPr>
            <w:r>
              <w:rPr>
                <w:sz w:val="21"/>
              </w:rPr>
              <w:t>结构</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447" w:right="417"/>
              <w:rPr>
                <w:sz w:val="21"/>
              </w:rPr>
            </w:pPr>
            <w:r>
              <w:rPr>
                <w:sz w:val="21"/>
              </w:rPr>
              <w:t>团粒</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369" w:right="341"/>
              <w:rPr>
                <w:sz w:val="21"/>
              </w:rPr>
            </w:pPr>
            <w:r>
              <w:rPr>
                <w:sz w:val="21"/>
              </w:rPr>
              <w:t>团粒</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368" w:right="341"/>
              <w:rPr>
                <w:sz w:val="21"/>
              </w:rPr>
            </w:pPr>
            <w:r>
              <w:rPr>
                <w:sz w:val="21"/>
              </w:rPr>
              <w:t>团粒</w:t>
            </w:r>
          </w:p>
        </w:tc>
        <w:tc>
          <w:tcPr>
            <w:tcW w:w="1527" w:type="dxa"/>
            <w:tcBorders>
              <w:top w:val="single" w:sz="4" w:space="0" w:color="000000"/>
              <w:left w:val="single" w:sz="4" w:space="0" w:color="000000"/>
              <w:bottom w:val="single" w:sz="4" w:space="0" w:color="000000"/>
            </w:tcBorders>
          </w:tcPr>
          <w:p>
            <w:pPr>
              <w:pStyle w:val="TableParagraph"/>
              <w:spacing w:line="252" w:lineRule="exact" w:before="1"/>
              <w:ind w:left="529" w:right="492"/>
              <w:rPr>
                <w:sz w:val="21"/>
              </w:rPr>
            </w:pPr>
            <w:r>
              <w:rPr>
                <w:sz w:val="21"/>
              </w:rPr>
              <w:t>团粒</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4" w:right="150"/>
              <w:rPr>
                <w:sz w:val="21"/>
              </w:rPr>
            </w:pPr>
            <w:r>
              <w:rPr>
                <w:sz w:val="21"/>
              </w:rPr>
              <w:t>质地</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447" w:right="417"/>
              <w:rPr>
                <w:sz w:val="21"/>
              </w:rPr>
            </w:pPr>
            <w:r>
              <w:rPr>
                <w:sz w:val="21"/>
              </w:rPr>
              <w:t>壤土</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9" w:right="341"/>
              <w:rPr>
                <w:sz w:val="21"/>
              </w:rPr>
            </w:pPr>
            <w:r>
              <w:rPr>
                <w:sz w:val="21"/>
              </w:rPr>
              <w:t>壤土</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8" w:right="341"/>
              <w:rPr>
                <w:sz w:val="21"/>
              </w:rPr>
            </w:pPr>
            <w:r>
              <w:rPr>
                <w:sz w:val="21"/>
              </w:rPr>
              <w:t>壤土</w:t>
            </w:r>
          </w:p>
        </w:tc>
        <w:tc>
          <w:tcPr>
            <w:tcW w:w="1527" w:type="dxa"/>
            <w:tcBorders>
              <w:top w:val="single" w:sz="4" w:space="0" w:color="000000"/>
              <w:left w:val="single" w:sz="4" w:space="0" w:color="000000"/>
              <w:bottom w:val="single" w:sz="4" w:space="0" w:color="000000"/>
            </w:tcBorders>
          </w:tcPr>
          <w:p>
            <w:pPr>
              <w:pStyle w:val="TableParagraph"/>
              <w:spacing w:line="250" w:lineRule="exact" w:before="1"/>
              <w:ind w:left="529" w:right="492"/>
              <w:rPr>
                <w:sz w:val="21"/>
              </w:rPr>
            </w:pPr>
            <w:r>
              <w:rPr>
                <w:sz w:val="21"/>
              </w:rPr>
              <w:t>壤土</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75" w:right="150"/>
              <w:rPr>
                <w:rFonts w:ascii="Times New Roman" w:eastAsia="Times New Roman"/>
                <w:sz w:val="21"/>
              </w:rPr>
            </w:pPr>
            <w:r>
              <w:rPr>
                <w:sz w:val="21"/>
              </w:rPr>
              <w:t>砂砾含量</w:t>
            </w:r>
            <w:r>
              <w:rPr>
                <w:rFonts w:ascii="Times New Roman" w:eastAsia="Times New Roman"/>
                <w:sz w:val="21"/>
              </w:rPr>
              <w:t>%</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47" w:right="417"/>
              <w:rPr>
                <w:rFonts w:ascii="Times New Roman"/>
                <w:sz w:val="21"/>
              </w:rPr>
            </w:pPr>
            <w:r>
              <w:rPr>
                <w:rFonts w:ascii="Times New Roman"/>
                <w:sz w:val="21"/>
              </w:rPr>
              <w:t>14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69" w:right="341"/>
              <w:rPr>
                <w:rFonts w:ascii="Times New Roman"/>
                <w:sz w:val="21"/>
              </w:rPr>
            </w:pPr>
            <w:r>
              <w:rPr>
                <w:rFonts w:ascii="Times New Roman"/>
                <w:sz w:val="21"/>
              </w:rPr>
              <w:t>14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68" w:right="341"/>
              <w:rPr>
                <w:rFonts w:ascii="Times New Roman"/>
                <w:sz w:val="21"/>
              </w:rPr>
            </w:pPr>
            <w:r>
              <w:rPr>
                <w:rFonts w:ascii="Times New Roman"/>
                <w:sz w:val="21"/>
              </w:rPr>
              <w:t>16</w:t>
            </w:r>
          </w:p>
        </w:tc>
        <w:tc>
          <w:tcPr>
            <w:tcW w:w="1527" w:type="dxa"/>
            <w:tcBorders>
              <w:top w:val="single" w:sz="4" w:space="0" w:color="000000"/>
              <w:left w:val="single" w:sz="4" w:space="0" w:color="000000"/>
              <w:bottom w:val="single" w:sz="4" w:space="0" w:color="000000"/>
            </w:tcBorders>
          </w:tcPr>
          <w:p>
            <w:pPr>
              <w:pStyle w:val="TableParagraph"/>
              <w:spacing w:line="236" w:lineRule="exact" w:before="17"/>
              <w:ind w:left="525" w:right="493"/>
              <w:rPr>
                <w:rFonts w:ascii="Times New Roman"/>
                <w:sz w:val="21"/>
              </w:rPr>
            </w:pPr>
            <w:r>
              <w:rPr>
                <w:rFonts w:ascii="Times New Roman"/>
                <w:sz w:val="21"/>
              </w:rPr>
              <w:t>16</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7" w:right="150"/>
              <w:rPr>
                <w:sz w:val="21"/>
              </w:rPr>
            </w:pPr>
            <w:r>
              <w:rPr>
                <w:sz w:val="21"/>
              </w:rPr>
              <w:t>其他异物</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1"/>
              <w:rPr>
                <w:rFonts w:ascii="Times New Roman"/>
                <w:sz w:val="21"/>
              </w:rPr>
            </w:pPr>
            <w:r>
              <w:rPr>
                <w:rFonts w:ascii="Times New Roman"/>
                <w:w w:val="100"/>
                <w:sz w:val="21"/>
              </w:rPr>
              <w:t>/</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29"/>
              <w:rPr>
                <w:rFonts w:ascii="Times New Roman"/>
                <w:sz w:val="21"/>
              </w:rPr>
            </w:pPr>
            <w:r>
              <w:rPr>
                <w:rFonts w:ascii="Times New Roman"/>
                <w:w w:val="100"/>
                <w:sz w:val="21"/>
              </w:rPr>
              <w:t>/</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28"/>
              <w:rPr>
                <w:rFonts w:ascii="Times New Roman"/>
                <w:sz w:val="21"/>
              </w:rPr>
            </w:pPr>
            <w:r>
              <w:rPr>
                <w:rFonts w:ascii="Times New Roman"/>
                <w:w w:val="100"/>
                <w:sz w:val="21"/>
              </w:rPr>
              <w:t>/</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left="33"/>
              <w:rPr>
                <w:rFonts w:ascii="Times New Roman"/>
                <w:sz w:val="21"/>
              </w:rPr>
            </w:pPr>
            <w:r>
              <w:rPr>
                <w:rFonts w:ascii="Times New Roman"/>
                <w:w w:val="100"/>
                <w:sz w:val="21"/>
              </w:rPr>
              <w:t>/</w:t>
            </w:r>
          </w:p>
        </w:tc>
      </w:tr>
      <w:tr>
        <w:trPr>
          <w:trHeight w:val="270" w:hRule="atLeast"/>
        </w:trPr>
        <w:tc>
          <w:tcPr>
            <w:tcW w:w="826"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spacing w:line="242" w:lineRule="auto" w:before="179"/>
              <w:ind w:left="200" w:right="180"/>
              <w:jc w:val="both"/>
              <w:rPr>
                <w:sz w:val="21"/>
              </w:rPr>
            </w:pPr>
            <w:r>
              <w:rPr>
                <w:sz w:val="21"/>
              </w:rPr>
              <w:t>实验室测定</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4" w:right="150"/>
              <w:rPr>
                <w:sz w:val="21"/>
              </w:rPr>
            </w:pPr>
            <w:r>
              <w:rPr>
                <w:rFonts w:ascii="Times New Roman" w:eastAsia="Times New Roman"/>
                <w:sz w:val="21"/>
              </w:rPr>
              <w:t>pH</w:t>
            </w:r>
            <w:r>
              <w:rPr>
                <w:rFonts w:ascii="Times New Roman" w:eastAsia="Times New Roman"/>
                <w:spacing w:val="52"/>
                <w:sz w:val="21"/>
              </w:rPr>
              <w:t> </w:t>
            </w:r>
            <w:r>
              <w:rPr>
                <w:spacing w:val="-2"/>
                <w:sz w:val="21"/>
              </w:rPr>
              <w:t>无量纲</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47" w:right="417"/>
              <w:rPr>
                <w:rFonts w:ascii="Times New Roman"/>
                <w:sz w:val="21"/>
              </w:rPr>
            </w:pPr>
            <w:r>
              <w:rPr>
                <w:rFonts w:ascii="Times New Roman"/>
                <w:sz w:val="21"/>
              </w:rPr>
              <w:t>6.81</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9" w:right="341"/>
              <w:rPr>
                <w:rFonts w:ascii="Times New Roman"/>
                <w:sz w:val="21"/>
              </w:rPr>
            </w:pPr>
            <w:r>
              <w:rPr>
                <w:rFonts w:ascii="Times New Roman"/>
                <w:sz w:val="21"/>
              </w:rPr>
              <w:t>6.64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8" w:right="341"/>
              <w:rPr>
                <w:rFonts w:ascii="Times New Roman"/>
                <w:sz w:val="21"/>
              </w:rPr>
            </w:pPr>
            <w:r>
              <w:rPr>
                <w:rFonts w:ascii="Times New Roman"/>
                <w:sz w:val="21"/>
              </w:rPr>
              <w:t>6.69</w:t>
            </w:r>
          </w:p>
        </w:tc>
        <w:tc>
          <w:tcPr>
            <w:tcW w:w="1527" w:type="dxa"/>
            <w:tcBorders>
              <w:top w:val="single" w:sz="4" w:space="0" w:color="000000"/>
              <w:left w:val="single" w:sz="4" w:space="0" w:color="000000"/>
              <w:bottom w:val="single" w:sz="4" w:space="0" w:color="000000"/>
            </w:tcBorders>
          </w:tcPr>
          <w:p>
            <w:pPr>
              <w:pStyle w:val="TableParagraph"/>
              <w:spacing w:line="236" w:lineRule="exact" w:before="15"/>
              <w:ind w:left="529" w:right="492"/>
              <w:rPr>
                <w:rFonts w:ascii="Times New Roman"/>
                <w:sz w:val="21"/>
              </w:rPr>
            </w:pPr>
            <w:r>
              <w:rPr>
                <w:rFonts w:ascii="Times New Roman"/>
                <w:sz w:val="21"/>
              </w:rPr>
              <w:t>6.60</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4"/>
              <w:ind w:left="177" w:right="150"/>
              <w:rPr>
                <w:rFonts w:ascii="Times New Roman" w:eastAsia="Times New Roman"/>
                <w:sz w:val="21"/>
              </w:rPr>
            </w:pPr>
            <w:r>
              <w:rPr>
                <w:sz w:val="21"/>
              </w:rPr>
              <w:t>阳离子交换量 </w:t>
            </w:r>
            <w:r>
              <w:rPr>
                <w:rFonts w:ascii="Times New Roman" w:eastAsia="Times New Roman"/>
                <w:sz w:val="21"/>
              </w:rPr>
              <w:t>cmol/kg</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8"/>
              <w:ind w:left="447" w:right="417"/>
              <w:rPr>
                <w:rFonts w:ascii="Times New Roman"/>
                <w:sz w:val="21"/>
              </w:rPr>
            </w:pPr>
            <w:r>
              <w:rPr>
                <w:rFonts w:ascii="Times New Roman"/>
                <w:sz w:val="21"/>
              </w:rPr>
              <w:t>22.3</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8"/>
              <w:ind w:left="369" w:right="341"/>
              <w:rPr>
                <w:rFonts w:ascii="Times New Roman"/>
                <w:sz w:val="21"/>
              </w:rPr>
            </w:pPr>
            <w:r>
              <w:rPr>
                <w:rFonts w:ascii="Times New Roman"/>
                <w:sz w:val="21"/>
              </w:rPr>
              <w:t>21.9</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8"/>
              <w:ind w:left="368" w:right="341"/>
              <w:rPr>
                <w:rFonts w:ascii="Times New Roman"/>
                <w:sz w:val="21"/>
              </w:rPr>
            </w:pPr>
            <w:r>
              <w:rPr>
                <w:rFonts w:ascii="Times New Roman"/>
                <w:sz w:val="21"/>
              </w:rPr>
              <w:t>21.4</w:t>
            </w:r>
          </w:p>
        </w:tc>
        <w:tc>
          <w:tcPr>
            <w:tcW w:w="1527" w:type="dxa"/>
            <w:tcBorders>
              <w:top w:val="single" w:sz="4" w:space="0" w:color="000000"/>
              <w:left w:val="single" w:sz="4" w:space="0" w:color="000000"/>
              <w:bottom w:val="single" w:sz="4" w:space="0" w:color="000000"/>
            </w:tcBorders>
          </w:tcPr>
          <w:p>
            <w:pPr>
              <w:pStyle w:val="TableParagraph"/>
              <w:spacing w:line="236" w:lineRule="exact" w:before="18"/>
              <w:ind w:left="529" w:right="492"/>
              <w:rPr>
                <w:rFonts w:ascii="Times New Roman"/>
                <w:sz w:val="21"/>
              </w:rPr>
            </w:pPr>
            <w:r>
              <w:rPr>
                <w:rFonts w:ascii="Times New Roman"/>
                <w:sz w:val="21"/>
              </w:rPr>
              <w:t>21.6</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3" w:right="150"/>
              <w:rPr>
                <w:rFonts w:ascii="Times New Roman" w:eastAsia="Times New Roman"/>
                <w:sz w:val="21"/>
              </w:rPr>
            </w:pPr>
            <w:r>
              <w:rPr>
                <w:sz w:val="21"/>
              </w:rPr>
              <w:t>氧化还原电位 </w:t>
            </w:r>
            <w:r>
              <w:rPr>
                <w:rFonts w:ascii="Times New Roman" w:eastAsia="Times New Roman"/>
                <w:sz w:val="21"/>
              </w:rPr>
              <w:t>mV</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47" w:right="417"/>
              <w:rPr>
                <w:rFonts w:ascii="Times New Roman"/>
                <w:sz w:val="21"/>
              </w:rPr>
            </w:pPr>
            <w:r>
              <w:rPr>
                <w:rFonts w:ascii="Times New Roman"/>
                <w:sz w:val="21"/>
              </w:rPr>
              <w:t>416</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9" w:right="341"/>
              <w:rPr>
                <w:rFonts w:ascii="Times New Roman"/>
                <w:sz w:val="21"/>
              </w:rPr>
            </w:pPr>
            <w:r>
              <w:rPr>
                <w:rFonts w:ascii="Times New Roman"/>
                <w:sz w:val="21"/>
              </w:rPr>
              <w:t>408</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8" w:right="341"/>
              <w:rPr>
                <w:rFonts w:ascii="Times New Roman"/>
                <w:sz w:val="21"/>
              </w:rPr>
            </w:pPr>
            <w:r>
              <w:rPr>
                <w:rFonts w:ascii="Times New Roman"/>
                <w:sz w:val="21"/>
              </w:rPr>
              <w:t>403</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left="529" w:right="492"/>
              <w:rPr>
                <w:rFonts w:ascii="Times New Roman"/>
                <w:sz w:val="21"/>
              </w:rPr>
            </w:pPr>
            <w:r>
              <w:rPr>
                <w:rFonts w:ascii="Times New Roman"/>
                <w:sz w:val="21"/>
              </w:rPr>
              <w:t>398</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2" w:right="150"/>
              <w:rPr>
                <w:rFonts w:ascii="Times New Roman" w:eastAsia="Times New Roman"/>
                <w:sz w:val="21"/>
              </w:rPr>
            </w:pPr>
            <w:r>
              <w:rPr>
                <w:sz w:val="21"/>
              </w:rPr>
              <w:t>饱和导水率 </w:t>
            </w:r>
            <w:r>
              <w:rPr>
                <w:rFonts w:ascii="Times New Roman" w:eastAsia="Times New Roman"/>
                <w:sz w:val="21"/>
              </w:rPr>
              <w:t>cm/s</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47" w:right="417"/>
              <w:rPr>
                <w:rFonts w:ascii="Times New Roman"/>
                <w:sz w:val="21"/>
              </w:rPr>
            </w:pPr>
            <w:r>
              <w:rPr>
                <w:rFonts w:ascii="Times New Roman"/>
                <w:sz w:val="21"/>
              </w:rPr>
              <w:t>0.0005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9" w:right="341"/>
              <w:rPr>
                <w:rFonts w:ascii="Times New Roman"/>
                <w:sz w:val="21"/>
              </w:rPr>
            </w:pPr>
            <w:r>
              <w:rPr>
                <w:rFonts w:ascii="Times New Roman"/>
                <w:sz w:val="21"/>
              </w:rPr>
              <w:t>0.0005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right="449"/>
              <w:jc w:val="right"/>
              <w:rPr>
                <w:rFonts w:ascii="Times New Roman"/>
                <w:sz w:val="21"/>
              </w:rPr>
            </w:pPr>
            <w:r>
              <w:rPr>
                <w:rFonts w:ascii="Times New Roman"/>
                <w:sz w:val="21"/>
              </w:rPr>
              <w:t>0.0005</w:t>
            </w:r>
          </w:p>
        </w:tc>
        <w:tc>
          <w:tcPr>
            <w:tcW w:w="1527" w:type="dxa"/>
            <w:tcBorders>
              <w:top w:val="single" w:sz="4" w:space="0" w:color="000000"/>
              <w:left w:val="single" w:sz="4" w:space="0" w:color="000000"/>
              <w:bottom w:val="single" w:sz="4" w:space="0" w:color="000000"/>
            </w:tcBorders>
          </w:tcPr>
          <w:p>
            <w:pPr>
              <w:pStyle w:val="TableParagraph"/>
              <w:spacing w:line="236" w:lineRule="exact" w:before="15"/>
              <w:ind w:right="442"/>
              <w:jc w:val="right"/>
              <w:rPr>
                <w:rFonts w:ascii="Times New Roman"/>
                <w:sz w:val="21"/>
              </w:rPr>
            </w:pPr>
            <w:r>
              <w:rPr>
                <w:rFonts w:ascii="Times New Roman"/>
                <w:sz w:val="21"/>
              </w:rPr>
              <w:t>0.0004</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77" w:right="147"/>
              <w:rPr>
                <w:rFonts w:ascii="Times New Roman" w:hAnsi="Times New Roman" w:eastAsia="Times New Roman"/>
                <w:sz w:val="21"/>
              </w:rPr>
            </w:pPr>
            <w:r>
              <w:rPr>
                <w:sz w:val="21"/>
              </w:rPr>
              <w:t>土壤容重 </w:t>
            </w:r>
            <w:r>
              <w:rPr>
                <w:rFonts w:ascii="Times New Roman" w:hAnsi="Times New Roman" w:eastAsia="Times New Roman"/>
                <w:sz w:val="21"/>
              </w:rPr>
              <w:t>g/cm³</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47" w:right="417"/>
              <w:rPr>
                <w:rFonts w:ascii="Times New Roman"/>
                <w:sz w:val="21"/>
              </w:rPr>
            </w:pPr>
            <w:r>
              <w:rPr>
                <w:rFonts w:ascii="Times New Roman"/>
                <w:sz w:val="21"/>
              </w:rPr>
              <w:t>1.24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69" w:right="341"/>
              <w:rPr>
                <w:rFonts w:ascii="Times New Roman"/>
                <w:sz w:val="21"/>
              </w:rPr>
            </w:pPr>
            <w:r>
              <w:rPr>
                <w:rFonts w:ascii="Times New Roman"/>
                <w:sz w:val="21"/>
              </w:rPr>
              <w:t>1.27</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68" w:right="341"/>
              <w:rPr>
                <w:rFonts w:ascii="Times New Roman"/>
                <w:sz w:val="21"/>
              </w:rPr>
            </w:pPr>
            <w:r>
              <w:rPr>
                <w:rFonts w:ascii="Times New Roman"/>
                <w:sz w:val="21"/>
              </w:rPr>
              <w:t>1.32</w:t>
            </w:r>
          </w:p>
        </w:tc>
        <w:tc>
          <w:tcPr>
            <w:tcW w:w="1527" w:type="dxa"/>
            <w:tcBorders>
              <w:top w:val="single" w:sz="4" w:space="0" w:color="000000"/>
              <w:left w:val="single" w:sz="4" w:space="0" w:color="000000"/>
              <w:bottom w:val="single" w:sz="4" w:space="0" w:color="000000"/>
            </w:tcBorders>
          </w:tcPr>
          <w:p>
            <w:pPr>
              <w:pStyle w:val="TableParagraph"/>
              <w:spacing w:line="236" w:lineRule="exact" w:before="17"/>
              <w:ind w:left="529" w:right="492"/>
              <w:rPr>
                <w:rFonts w:ascii="Times New Roman"/>
                <w:sz w:val="21"/>
              </w:rPr>
            </w:pPr>
            <w:r>
              <w:rPr>
                <w:rFonts w:ascii="Times New Roman"/>
                <w:sz w:val="21"/>
              </w:rPr>
              <w:t>1.33</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5" w:right="150"/>
              <w:rPr>
                <w:rFonts w:ascii="Times New Roman" w:eastAsia="Times New Roman"/>
                <w:sz w:val="21"/>
              </w:rPr>
            </w:pPr>
            <w:r>
              <w:rPr>
                <w:sz w:val="21"/>
              </w:rPr>
              <w:t>总孔隙度</w:t>
            </w:r>
            <w:r>
              <w:rPr>
                <w:rFonts w:ascii="Times New Roman" w:eastAsia="Times New Roman"/>
                <w:sz w:val="21"/>
              </w:rPr>
              <w:t>%</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49" w:right="417"/>
              <w:rPr>
                <w:rFonts w:ascii="Times New Roman"/>
                <w:sz w:val="21"/>
              </w:rPr>
            </w:pPr>
            <w:r>
              <w:rPr>
                <w:rFonts w:ascii="Times New Roman"/>
                <w:sz w:val="21"/>
              </w:rPr>
              <w:t>53.11</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71" w:right="341"/>
              <w:rPr>
                <w:rFonts w:ascii="Times New Roman"/>
                <w:sz w:val="21"/>
              </w:rPr>
            </w:pPr>
            <w:r>
              <w:rPr>
                <w:rFonts w:ascii="Times New Roman"/>
                <w:sz w:val="21"/>
              </w:rPr>
              <w:t>52.11</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right="502"/>
              <w:jc w:val="right"/>
              <w:rPr>
                <w:rFonts w:ascii="Times New Roman"/>
                <w:sz w:val="21"/>
              </w:rPr>
            </w:pPr>
            <w:r>
              <w:rPr>
                <w:rFonts w:ascii="Times New Roman"/>
                <w:sz w:val="21"/>
              </w:rPr>
              <w:t>50.36</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right="499"/>
              <w:jc w:val="right"/>
              <w:rPr>
                <w:rFonts w:ascii="Times New Roman"/>
                <w:sz w:val="21"/>
              </w:rPr>
            </w:pPr>
            <w:r>
              <w:rPr>
                <w:rFonts w:ascii="Times New Roman"/>
                <w:sz w:val="21"/>
              </w:rPr>
              <w:t>50.11</w:t>
            </w:r>
          </w:p>
        </w:tc>
      </w:tr>
      <w:tr>
        <w:trPr>
          <w:trHeight w:val="270"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1"/>
              <w:ind w:left="1398" w:right="1379"/>
              <w:rPr>
                <w:sz w:val="21"/>
              </w:rPr>
            </w:pPr>
            <w:r>
              <w:rPr>
                <w:sz w:val="21"/>
              </w:rPr>
              <w:t>点位</w:t>
            </w:r>
          </w:p>
        </w:tc>
        <w:tc>
          <w:tcPr>
            <w:tcW w:w="6090" w:type="dxa"/>
            <w:gridSpan w:val="4"/>
            <w:tcBorders>
              <w:top w:val="single" w:sz="4" w:space="0" w:color="000000"/>
              <w:left w:val="single" w:sz="4" w:space="0" w:color="000000"/>
              <w:bottom w:val="single" w:sz="4" w:space="0" w:color="000000"/>
            </w:tcBorders>
          </w:tcPr>
          <w:p>
            <w:pPr>
              <w:pStyle w:val="TableParagraph"/>
              <w:spacing w:line="250" w:lineRule="exact" w:before="1"/>
              <w:ind w:left="2299" w:right="2260"/>
              <w:rPr>
                <w:sz w:val="21"/>
              </w:rPr>
            </w:pPr>
            <w:r>
              <w:rPr>
                <w:sz w:val="21"/>
              </w:rPr>
              <w:t>预留车间七北面</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日期</w:t>
            </w:r>
          </w:p>
        </w:tc>
        <w:tc>
          <w:tcPr>
            <w:tcW w:w="6090" w:type="dxa"/>
            <w:gridSpan w:val="4"/>
            <w:tcBorders>
              <w:top w:val="single" w:sz="4" w:space="0" w:color="000000"/>
              <w:left w:val="single" w:sz="4" w:space="0" w:color="000000"/>
              <w:bottom w:val="single" w:sz="4" w:space="0" w:color="000000"/>
            </w:tcBorders>
          </w:tcPr>
          <w:p>
            <w:pPr>
              <w:pStyle w:val="TableParagraph"/>
              <w:spacing w:line="238" w:lineRule="exact" w:before="15"/>
              <w:ind w:left="2297" w:right="2260"/>
              <w:rPr>
                <w:rFonts w:ascii="Times New Roman"/>
                <w:sz w:val="21"/>
              </w:rPr>
            </w:pPr>
            <w:r>
              <w:rPr>
                <w:rFonts w:ascii="Times New Roman"/>
                <w:sz w:val="21"/>
              </w:rPr>
              <w:t>2022.02.22</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经度</w:t>
            </w:r>
          </w:p>
        </w:tc>
        <w:tc>
          <w:tcPr>
            <w:tcW w:w="6090" w:type="dxa"/>
            <w:gridSpan w:val="4"/>
            <w:tcBorders>
              <w:top w:val="single" w:sz="4" w:space="0" w:color="000000"/>
              <w:left w:val="single" w:sz="4" w:space="0" w:color="000000"/>
              <w:bottom w:val="single" w:sz="4" w:space="0" w:color="000000"/>
            </w:tcBorders>
          </w:tcPr>
          <w:p>
            <w:pPr>
              <w:pStyle w:val="TableParagraph"/>
              <w:spacing w:line="238" w:lineRule="exact" w:before="15"/>
              <w:ind w:left="2296" w:right="2260"/>
              <w:rPr>
                <w:rFonts w:ascii="Times New Roman" w:hAnsi="Times New Roman"/>
                <w:sz w:val="21"/>
              </w:rPr>
            </w:pPr>
            <w:r>
              <w:rPr>
                <w:rFonts w:ascii="Times New Roman" w:hAnsi="Times New Roman"/>
                <w:sz w:val="21"/>
              </w:rPr>
              <w:t>120°53′51.09″</w:t>
            </w:r>
          </w:p>
        </w:tc>
      </w:tr>
      <w:tr>
        <w:trPr>
          <w:trHeight w:val="270"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1"/>
              <w:ind w:left="1398" w:right="1379"/>
              <w:rPr>
                <w:sz w:val="21"/>
              </w:rPr>
            </w:pPr>
            <w:r>
              <w:rPr>
                <w:sz w:val="21"/>
              </w:rPr>
              <w:t>纬度</w:t>
            </w:r>
          </w:p>
        </w:tc>
        <w:tc>
          <w:tcPr>
            <w:tcW w:w="6090" w:type="dxa"/>
            <w:gridSpan w:val="4"/>
            <w:tcBorders>
              <w:top w:val="single" w:sz="4" w:space="0" w:color="000000"/>
              <w:left w:val="single" w:sz="4" w:space="0" w:color="000000"/>
              <w:bottom w:val="single" w:sz="4" w:space="0" w:color="000000"/>
            </w:tcBorders>
          </w:tcPr>
          <w:p>
            <w:pPr>
              <w:pStyle w:val="TableParagraph"/>
              <w:spacing w:line="236" w:lineRule="exact" w:before="15"/>
              <w:ind w:left="2296" w:right="2260"/>
              <w:rPr>
                <w:rFonts w:ascii="Times New Roman" w:hAnsi="Times New Roman"/>
                <w:sz w:val="21"/>
              </w:rPr>
            </w:pPr>
            <w:r>
              <w:rPr>
                <w:rFonts w:ascii="Times New Roman" w:hAnsi="Times New Roman"/>
                <w:sz w:val="21"/>
              </w:rPr>
              <w:t>30°10′13.06″</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层次</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50" w:right="417"/>
              <w:rPr>
                <w:rFonts w:ascii="Times New Roman"/>
                <w:sz w:val="21"/>
              </w:rPr>
            </w:pPr>
            <w:r>
              <w:rPr>
                <w:rFonts w:ascii="Times New Roman"/>
                <w:sz w:val="21"/>
              </w:rPr>
              <w:t>0-0.5m</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72" w:right="341"/>
              <w:rPr>
                <w:rFonts w:ascii="Times New Roman"/>
                <w:sz w:val="21"/>
              </w:rPr>
            </w:pPr>
            <w:r>
              <w:rPr>
                <w:rFonts w:ascii="Times New Roman"/>
                <w:sz w:val="21"/>
              </w:rPr>
              <w:t>0.5-1.5m</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right="436"/>
              <w:jc w:val="right"/>
              <w:rPr>
                <w:rFonts w:ascii="Times New Roman"/>
                <w:sz w:val="21"/>
              </w:rPr>
            </w:pPr>
            <w:r>
              <w:rPr>
                <w:rFonts w:ascii="Times New Roman"/>
                <w:sz w:val="21"/>
              </w:rPr>
              <w:t>1.5-3m</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left="529" w:right="493"/>
              <w:rPr>
                <w:rFonts w:ascii="Times New Roman"/>
                <w:sz w:val="21"/>
              </w:rPr>
            </w:pPr>
            <w:r>
              <w:rPr>
                <w:rFonts w:ascii="Times New Roman"/>
                <w:sz w:val="21"/>
              </w:rPr>
              <w:t>3-6m</w:t>
            </w:r>
          </w:p>
        </w:tc>
      </w:tr>
      <w:tr>
        <w:trPr>
          <w:trHeight w:val="270" w:hRule="atLeast"/>
        </w:trPr>
        <w:tc>
          <w:tcPr>
            <w:tcW w:w="826"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spacing w:line="242" w:lineRule="auto" w:before="174"/>
              <w:ind w:left="200" w:right="180"/>
              <w:jc w:val="left"/>
              <w:rPr>
                <w:sz w:val="21"/>
              </w:rPr>
            </w:pPr>
            <w:r>
              <w:rPr>
                <w:sz w:val="21"/>
              </w:rPr>
              <w:t>现场记录</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4" w:right="150"/>
              <w:rPr>
                <w:sz w:val="21"/>
              </w:rPr>
            </w:pPr>
            <w:r>
              <w:rPr>
                <w:sz w:val="21"/>
              </w:rPr>
              <w:t>颜色</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447" w:right="417"/>
              <w:rPr>
                <w:sz w:val="21"/>
              </w:rPr>
            </w:pPr>
            <w:r>
              <w:rPr>
                <w:sz w:val="21"/>
              </w:rPr>
              <w:t>棕色</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9" w:right="341"/>
              <w:rPr>
                <w:sz w:val="21"/>
              </w:rPr>
            </w:pPr>
            <w:r>
              <w:rPr>
                <w:sz w:val="21"/>
              </w:rPr>
              <w:t>棕色</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8" w:right="341"/>
              <w:rPr>
                <w:sz w:val="21"/>
              </w:rPr>
            </w:pPr>
            <w:r>
              <w:rPr>
                <w:sz w:val="21"/>
              </w:rPr>
              <w:t>棕色</w:t>
            </w:r>
          </w:p>
        </w:tc>
        <w:tc>
          <w:tcPr>
            <w:tcW w:w="1527" w:type="dxa"/>
            <w:tcBorders>
              <w:top w:val="single" w:sz="4" w:space="0" w:color="000000"/>
              <w:left w:val="single" w:sz="4" w:space="0" w:color="000000"/>
              <w:bottom w:val="single" w:sz="4" w:space="0" w:color="000000"/>
            </w:tcBorders>
          </w:tcPr>
          <w:p>
            <w:pPr>
              <w:pStyle w:val="TableParagraph"/>
              <w:spacing w:line="250" w:lineRule="exact" w:before="1"/>
              <w:ind w:left="529" w:right="492"/>
              <w:rPr>
                <w:sz w:val="21"/>
              </w:rPr>
            </w:pPr>
            <w:r>
              <w:rPr>
                <w:sz w:val="21"/>
              </w:rPr>
              <w:t>棕色</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74" w:right="150"/>
              <w:rPr>
                <w:sz w:val="21"/>
              </w:rPr>
            </w:pPr>
            <w:r>
              <w:rPr>
                <w:sz w:val="21"/>
              </w:rPr>
              <w:t>结构</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447" w:right="417"/>
              <w:rPr>
                <w:sz w:val="21"/>
              </w:rPr>
            </w:pPr>
            <w:r>
              <w:rPr>
                <w:sz w:val="21"/>
              </w:rPr>
              <w:t>团粒</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369" w:right="341"/>
              <w:rPr>
                <w:sz w:val="21"/>
              </w:rPr>
            </w:pPr>
            <w:r>
              <w:rPr>
                <w:sz w:val="21"/>
              </w:rPr>
              <w:t>团粒</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368" w:right="341"/>
              <w:rPr>
                <w:sz w:val="21"/>
              </w:rPr>
            </w:pPr>
            <w:r>
              <w:rPr>
                <w:sz w:val="21"/>
              </w:rPr>
              <w:t>团粒</w:t>
            </w:r>
          </w:p>
        </w:tc>
        <w:tc>
          <w:tcPr>
            <w:tcW w:w="1527" w:type="dxa"/>
            <w:tcBorders>
              <w:top w:val="single" w:sz="4" w:space="0" w:color="000000"/>
              <w:left w:val="single" w:sz="4" w:space="0" w:color="000000"/>
              <w:bottom w:val="single" w:sz="4" w:space="0" w:color="000000"/>
            </w:tcBorders>
          </w:tcPr>
          <w:p>
            <w:pPr>
              <w:pStyle w:val="TableParagraph"/>
              <w:spacing w:line="250" w:lineRule="exact" w:before="3"/>
              <w:ind w:left="529" w:right="492"/>
              <w:rPr>
                <w:sz w:val="21"/>
              </w:rPr>
            </w:pPr>
            <w:r>
              <w:rPr>
                <w:sz w:val="21"/>
              </w:rPr>
              <w:t>团粒</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4" w:right="150"/>
              <w:rPr>
                <w:sz w:val="21"/>
              </w:rPr>
            </w:pPr>
            <w:r>
              <w:rPr>
                <w:sz w:val="21"/>
              </w:rPr>
              <w:t>质地</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447" w:right="417"/>
              <w:rPr>
                <w:sz w:val="21"/>
              </w:rPr>
            </w:pPr>
            <w:r>
              <w:rPr>
                <w:sz w:val="21"/>
              </w:rPr>
              <w:t>壤土</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369" w:right="341"/>
              <w:rPr>
                <w:sz w:val="21"/>
              </w:rPr>
            </w:pPr>
            <w:r>
              <w:rPr>
                <w:sz w:val="21"/>
              </w:rPr>
              <w:t>壤土</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368" w:right="341"/>
              <w:rPr>
                <w:sz w:val="21"/>
              </w:rPr>
            </w:pPr>
            <w:r>
              <w:rPr>
                <w:sz w:val="21"/>
              </w:rPr>
              <w:t>壤土</w:t>
            </w:r>
          </w:p>
        </w:tc>
        <w:tc>
          <w:tcPr>
            <w:tcW w:w="1527" w:type="dxa"/>
            <w:tcBorders>
              <w:top w:val="single" w:sz="4" w:space="0" w:color="000000"/>
              <w:left w:val="single" w:sz="4" w:space="0" w:color="000000"/>
              <w:bottom w:val="single" w:sz="4" w:space="0" w:color="000000"/>
            </w:tcBorders>
          </w:tcPr>
          <w:p>
            <w:pPr>
              <w:pStyle w:val="TableParagraph"/>
              <w:spacing w:line="252" w:lineRule="exact" w:before="1"/>
              <w:ind w:left="529" w:right="492"/>
              <w:rPr>
                <w:sz w:val="21"/>
              </w:rPr>
            </w:pPr>
            <w:r>
              <w:rPr>
                <w:sz w:val="21"/>
              </w:rPr>
              <w:t>壤土</w:t>
            </w:r>
          </w:p>
        </w:tc>
      </w:tr>
      <w:tr>
        <w:trPr>
          <w:trHeight w:val="271"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5" w:right="150"/>
              <w:rPr>
                <w:rFonts w:ascii="Times New Roman" w:eastAsia="Times New Roman"/>
                <w:sz w:val="21"/>
              </w:rPr>
            </w:pPr>
            <w:r>
              <w:rPr>
                <w:sz w:val="21"/>
              </w:rPr>
              <w:t>砂砾含量</w:t>
            </w:r>
            <w:r>
              <w:rPr>
                <w:rFonts w:ascii="Times New Roman" w:eastAsia="Times New Roman"/>
                <w:sz w:val="21"/>
              </w:rPr>
              <w:t>%</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47" w:right="417"/>
              <w:rPr>
                <w:rFonts w:ascii="Times New Roman"/>
                <w:sz w:val="21"/>
              </w:rPr>
            </w:pPr>
            <w:r>
              <w:rPr>
                <w:rFonts w:ascii="Times New Roman"/>
                <w:sz w:val="21"/>
              </w:rPr>
              <w:t>15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9" w:right="341"/>
              <w:rPr>
                <w:rFonts w:ascii="Times New Roman"/>
                <w:sz w:val="21"/>
              </w:rPr>
            </w:pPr>
            <w:r>
              <w:rPr>
                <w:rFonts w:ascii="Times New Roman"/>
                <w:sz w:val="21"/>
              </w:rPr>
              <w:t>15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8" w:right="341"/>
              <w:rPr>
                <w:rFonts w:ascii="Times New Roman"/>
                <w:sz w:val="21"/>
              </w:rPr>
            </w:pPr>
            <w:r>
              <w:rPr>
                <w:rFonts w:ascii="Times New Roman"/>
                <w:sz w:val="21"/>
              </w:rPr>
              <w:t>16</w:t>
            </w:r>
          </w:p>
        </w:tc>
        <w:tc>
          <w:tcPr>
            <w:tcW w:w="1527" w:type="dxa"/>
            <w:tcBorders>
              <w:top w:val="single" w:sz="4" w:space="0" w:color="000000"/>
              <w:left w:val="single" w:sz="4" w:space="0" w:color="000000"/>
              <w:bottom w:val="single" w:sz="4" w:space="0" w:color="000000"/>
            </w:tcBorders>
          </w:tcPr>
          <w:p>
            <w:pPr>
              <w:pStyle w:val="TableParagraph"/>
              <w:spacing w:line="236" w:lineRule="exact" w:before="15"/>
              <w:ind w:left="525" w:right="493"/>
              <w:rPr>
                <w:rFonts w:ascii="Times New Roman"/>
                <w:sz w:val="21"/>
              </w:rPr>
            </w:pPr>
            <w:r>
              <w:rPr>
                <w:rFonts w:ascii="Times New Roman"/>
                <w:sz w:val="21"/>
              </w:rPr>
              <w:t>15</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77" w:right="150"/>
              <w:rPr>
                <w:sz w:val="21"/>
              </w:rPr>
            </w:pPr>
            <w:r>
              <w:rPr>
                <w:sz w:val="21"/>
              </w:rPr>
              <w:t>其他异物</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1"/>
              <w:rPr>
                <w:rFonts w:ascii="Times New Roman"/>
                <w:sz w:val="21"/>
              </w:rPr>
            </w:pPr>
            <w:r>
              <w:rPr>
                <w:rFonts w:ascii="Times New Roman"/>
                <w:w w:val="100"/>
                <w:sz w:val="21"/>
              </w:rPr>
              <w:t>/</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29"/>
              <w:rPr>
                <w:rFonts w:ascii="Times New Roman"/>
                <w:sz w:val="21"/>
              </w:rPr>
            </w:pPr>
            <w:r>
              <w:rPr>
                <w:rFonts w:ascii="Times New Roman"/>
                <w:w w:val="100"/>
                <w:sz w:val="21"/>
              </w:rPr>
              <w:t>/</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28"/>
              <w:rPr>
                <w:rFonts w:ascii="Times New Roman"/>
                <w:sz w:val="21"/>
              </w:rPr>
            </w:pPr>
            <w:r>
              <w:rPr>
                <w:rFonts w:ascii="Times New Roman"/>
                <w:w w:val="100"/>
                <w:sz w:val="21"/>
              </w:rPr>
              <w:t>/</w:t>
            </w:r>
          </w:p>
        </w:tc>
        <w:tc>
          <w:tcPr>
            <w:tcW w:w="1527" w:type="dxa"/>
            <w:tcBorders>
              <w:top w:val="single" w:sz="4" w:space="0" w:color="000000"/>
              <w:left w:val="single" w:sz="4" w:space="0" w:color="000000"/>
              <w:bottom w:val="single" w:sz="4" w:space="0" w:color="000000"/>
            </w:tcBorders>
          </w:tcPr>
          <w:p>
            <w:pPr>
              <w:pStyle w:val="TableParagraph"/>
              <w:spacing w:line="236" w:lineRule="exact" w:before="17"/>
              <w:ind w:left="33"/>
              <w:rPr>
                <w:rFonts w:ascii="Times New Roman"/>
                <w:sz w:val="21"/>
              </w:rPr>
            </w:pPr>
            <w:r>
              <w:rPr>
                <w:rFonts w:ascii="Times New Roman"/>
                <w:w w:val="100"/>
                <w:sz w:val="21"/>
              </w:rPr>
              <w:t>/</w:t>
            </w:r>
          </w:p>
        </w:tc>
      </w:tr>
      <w:tr>
        <w:trPr>
          <w:trHeight w:val="273" w:hRule="atLeast"/>
        </w:trPr>
        <w:tc>
          <w:tcPr>
            <w:tcW w:w="826"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spacing w:line="242" w:lineRule="auto" w:before="179"/>
              <w:ind w:left="200" w:right="180"/>
              <w:jc w:val="both"/>
              <w:rPr>
                <w:sz w:val="21"/>
              </w:rPr>
            </w:pPr>
            <w:r>
              <w:rPr>
                <w:sz w:val="21"/>
              </w:rPr>
              <w:t>实验室测定</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4" w:right="150"/>
              <w:rPr>
                <w:sz w:val="21"/>
              </w:rPr>
            </w:pPr>
            <w:r>
              <w:rPr>
                <w:rFonts w:ascii="Times New Roman" w:eastAsia="Times New Roman"/>
                <w:sz w:val="21"/>
              </w:rPr>
              <w:t>pH</w:t>
            </w:r>
            <w:r>
              <w:rPr>
                <w:rFonts w:ascii="Times New Roman" w:eastAsia="Times New Roman"/>
                <w:spacing w:val="52"/>
                <w:sz w:val="21"/>
              </w:rPr>
              <w:t> </w:t>
            </w:r>
            <w:r>
              <w:rPr>
                <w:spacing w:val="-2"/>
                <w:sz w:val="21"/>
              </w:rPr>
              <w:t>无量纲</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47" w:right="417"/>
              <w:rPr>
                <w:rFonts w:ascii="Times New Roman"/>
                <w:sz w:val="21"/>
              </w:rPr>
            </w:pPr>
            <w:r>
              <w:rPr>
                <w:rFonts w:ascii="Times New Roman"/>
                <w:sz w:val="21"/>
              </w:rPr>
              <w:t>7.26</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9" w:right="341"/>
              <w:rPr>
                <w:rFonts w:ascii="Times New Roman"/>
                <w:sz w:val="21"/>
              </w:rPr>
            </w:pPr>
            <w:r>
              <w:rPr>
                <w:rFonts w:ascii="Times New Roman"/>
                <w:sz w:val="21"/>
              </w:rPr>
              <w:t>6.94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8" w:right="341"/>
              <w:rPr>
                <w:rFonts w:ascii="Times New Roman"/>
                <w:sz w:val="21"/>
              </w:rPr>
            </w:pPr>
            <w:r>
              <w:rPr>
                <w:rFonts w:ascii="Times New Roman"/>
                <w:sz w:val="21"/>
              </w:rPr>
              <w:t>6.78</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left="529" w:right="492"/>
              <w:rPr>
                <w:rFonts w:ascii="Times New Roman"/>
                <w:sz w:val="21"/>
              </w:rPr>
            </w:pPr>
            <w:r>
              <w:rPr>
                <w:rFonts w:ascii="Times New Roman"/>
                <w:sz w:val="21"/>
              </w:rPr>
              <w:t>6.74</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7" w:right="150"/>
              <w:rPr>
                <w:rFonts w:ascii="Times New Roman" w:eastAsia="Times New Roman"/>
                <w:sz w:val="21"/>
              </w:rPr>
            </w:pPr>
            <w:r>
              <w:rPr>
                <w:sz w:val="21"/>
              </w:rPr>
              <w:t>阳离子交换量 </w:t>
            </w:r>
            <w:r>
              <w:rPr>
                <w:rFonts w:ascii="Times New Roman" w:eastAsia="Times New Roman"/>
                <w:sz w:val="21"/>
              </w:rPr>
              <w:t>cmol/kg</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47" w:right="417"/>
              <w:rPr>
                <w:rFonts w:ascii="Times New Roman"/>
                <w:sz w:val="21"/>
              </w:rPr>
            </w:pPr>
            <w:r>
              <w:rPr>
                <w:rFonts w:ascii="Times New Roman"/>
                <w:sz w:val="21"/>
              </w:rPr>
              <w:t>21.5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9" w:right="341"/>
              <w:rPr>
                <w:rFonts w:ascii="Times New Roman"/>
                <w:sz w:val="21"/>
              </w:rPr>
            </w:pPr>
            <w:r>
              <w:rPr>
                <w:rFonts w:ascii="Times New Roman"/>
                <w:sz w:val="21"/>
              </w:rPr>
              <w:t>20.8</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8" w:right="341"/>
              <w:rPr>
                <w:rFonts w:ascii="Times New Roman"/>
                <w:sz w:val="21"/>
              </w:rPr>
            </w:pPr>
            <w:r>
              <w:rPr>
                <w:rFonts w:ascii="Times New Roman"/>
                <w:sz w:val="21"/>
              </w:rPr>
              <w:t>20.2</w:t>
            </w:r>
          </w:p>
        </w:tc>
        <w:tc>
          <w:tcPr>
            <w:tcW w:w="1527" w:type="dxa"/>
            <w:tcBorders>
              <w:top w:val="single" w:sz="4" w:space="0" w:color="000000"/>
              <w:left w:val="single" w:sz="4" w:space="0" w:color="000000"/>
              <w:bottom w:val="single" w:sz="4" w:space="0" w:color="000000"/>
            </w:tcBorders>
          </w:tcPr>
          <w:p>
            <w:pPr>
              <w:pStyle w:val="TableParagraph"/>
              <w:spacing w:line="236" w:lineRule="exact" w:before="15"/>
              <w:ind w:left="529" w:right="492"/>
              <w:rPr>
                <w:rFonts w:ascii="Times New Roman"/>
                <w:sz w:val="21"/>
              </w:rPr>
            </w:pPr>
            <w:r>
              <w:rPr>
                <w:rFonts w:ascii="Times New Roman"/>
                <w:sz w:val="21"/>
              </w:rPr>
              <w:t>19.6</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73" w:right="150"/>
              <w:rPr>
                <w:rFonts w:ascii="Times New Roman" w:eastAsia="Times New Roman"/>
                <w:sz w:val="21"/>
              </w:rPr>
            </w:pPr>
            <w:r>
              <w:rPr>
                <w:sz w:val="21"/>
              </w:rPr>
              <w:t>氧化还原电位 </w:t>
            </w:r>
            <w:r>
              <w:rPr>
                <w:rFonts w:ascii="Times New Roman" w:eastAsia="Times New Roman"/>
                <w:sz w:val="21"/>
              </w:rPr>
              <w:t>mV</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47" w:right="417"/>
              <w:rPr>
                <w:rFonts w:ascii="Times New Roman"/>
                <w:sz w:val="21"/>
              </w:rPr>
            </w:pPr>
            <w:r>
              <w:rPr>
                <w:rFonts w:ascii="Times New Roman"/>
                <w:sz w:val="21"/>
              </w:rPr>
              <w:t>415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69" w:right="341"/>
              <w:rPr>
                <w:rFonts w:ascii="Times New Roman"/>
                <w:sz w:val="21"/>
              </w:rPr>
            </w:pPr>
            <w:r>
              <w:rPr>
                <w:rFonts w:ascii="Times New Roman"/>
                <w:sz w:val="21"/>
              </w:rPr>
              <w:t>406</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68" w:right="341"/>
              <w:rPr>
                <w:rFonts w:ascii="Times New Roman"/>
                <w:sz w:val="21"/>
              </w:rPr>
            </w:pPr>
            <w:r>
              <w:rPr>
                <w:rFonts w:ascii="Times New Roman"/>
                <w:sz w:val="21"/>
              </w:rPr>
              <w:t>404</w:t>
            </w:r>
          </w:p>
        </w:tc>
        <w:tc>
          <w:tcPr>
            <w:tcW w:w="1527" w:type="dxa"/>
            <w:tcBorders>
              <w:top w:val="single" w:sz="4" w:space="0" w:color="000000"/>
              <w:left w:val="single" w:sz="4" w:space="0" w:color="000000"/>
              <w:bottom w:val="single" w:sz="4" w:space="0" w:color="000000"/>
            </w:tcBorders>
          </w:tcPr>
          <w:p>
            <w:pPr>
              <w:pStyle w:val="TableParagraph"/>
              <w:spacing w:line="236" w:lineRule="exact" w:before="17"/>
              <w:ind w:left="529" w:right="492"/>
              <w:rPr>
                <w:rFonts w:ascii="Times New Roman"/>
                <w:sz w:val="21"/>
              </w:rPr>
            </w:pPr>
            <w:r>
              <w:rPr>
                <w:rFonts w:ascii="Times New Roman"/>
                <w:sz w:val="21"/>
              </w:rPr>
              <w:t>396</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2" w:right="150"/>
              <w:rPr>
                <w:rFonts w:ascii="Times New Roman" w:eastAsia="Times New Roman"/>
                <w:sz w:val="21"/>
              </w:rPr>
            </w:pPr>
            <w:r>
              <w:rPr>
                <w:sz w:val="21"/>
              </w:rPr>
              <w:t>饱和导水率 </w:t>
            </w:r>
            <w:r>
              <w:rPr>
                <w:rFonts w:ascii="Times New Roman" w:eastAsia="Times New Roman"/>
                <w:sz w:val="21"/>
              </w:rPr>
              <w:t>cm/s</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47" w:right="417"/>
              <w:rPr>
                <w:rFonts w:ascii="Times New Roman"/>
                <w:sz w:val="21"/>
              </w:rPr>
            </w:pPr>
            <w:r>
              <w:rPr>
                <w:rFonts w:ascii="Times New Roman"/>
                <w:sz w:val="21"/>
              </w:rPr>
              <w:t>0.0005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9" w:right="341"/>
              <w:rPr>
                <w:rFonts w:ascii="Times New Roman"/>
                <w:sz w:val="21"/>
              </w:rPr>
            </w:pPr>
            <w:r>
              <w:rPr>
                <w:rFonts w:ascii="Times New Roman"/>
                <w:sz w:val="21"/>
              </w:rPr>
              <w:t>0.0005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right="449"/>
              <w:jc w:val="right"/>
              <w:rPr>
                <w:rFonts w:ascii="Times New Roman"/>
                <w:sz w:val="21"/>
              </w:rPr>
            </w:pPr>
            <w:r>
              <w:rPr>
                <w:rFonts w:ascii="Times New Roman"/>
                <w:sz w:val="21"/>
              </w:rPr>
              <w:t>0.0005</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right="442"/>
              <w:jc w:val="right"/>
              <w:rPr>
                <w:rFonts w:ascii="Times New Roman"/>
                <w:sz w:val="21"/>
              </w:rPr>
            </w:pPr>
            <w:r>
              <w:rPr>
                <w:rFonts w:ascii="Times New Roman"/>
                <w:sz w:val="21"/>
              </w:rPr>
              <w:t>0.0005</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7" w:right="147"/>
              <w:rPr>
                <w:rFonts w:ascii="Times New Roman" w:hAnsi="Times New Roman" w:eastAsia="Times New Roman"/>
                <w:sz w:val="21"/>
              </w:rPr>
            </w:pPr>
            <w:r>
              <w:rPr>
                <w:sz w:val="21"/>
              </w:rPr>
              <w:t>土壤容重 </w:t>
            </w:r>
            <w:r>
              <w:rPr>
                <w:rFonts w:ascii="Times New Roman" w:hAnsi="Times New Roman" w:eastAsia="Times New Roman"/>
                <w:sz w:val="21"/>
              </w:rPr>
              <w:t>g/cm³</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47" w:right="417"/>
              <w:rPr>
                <w:rFonts w:ascii="Times New Roman"/>
                <w:sz w:val="21"/>
              </w:rPr>
            </w:pPr>
            <w:r>
              <w:rPr>
                <w:rFonts w:ascii="Times New Roman"/>
                <w:sz w:val="21"/>
              </w:rPr>
              <w:t>1.29</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9" w:right="341"/>
              <w:rPr>
                <w:rFonts w:ascii="Times New Roman"/>
                <w:sz w:val="21"/>
              </w:rPr>
            </w:pPr>
            <w:r>
              <w:rPr>
                <w:rFonts w:ascii="Times New Roman"/>
                <w:sz w:val="21"/>
              </w:rPr>
              <w:t>1.31</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68" w:right="341"/>
              <w:rPr>
                <w:rFonts w:ascii="Times New Roman"/>
                <w:sz w:val="21"/>
              </w:rPr>
            </w:pPr>
            <w:r>
              <w:rPr>
                <w:rFonts w:ascii="Times New Roman"/>
                <w:sz w:val="21"/>
              </w:rPr>
              <w:t>1.33</w:t>
            </w:r>
          </w:p>
        </w:tc>
        <w:tc>
          <w:tcPr>
            <w:tcW w:w="1527" w:type="dxa"/>
            <w:tcBorders>
              <w:top w:val="single" w:sz="4" w:space="0" w:color="000000"/>
              <w:left w:val="single" w:sz="4" w:space="0" w:color="000000"/>
              <w:bottom w:val="single" w:sz="4" w:space="0" w:color="000000"/>
            </w:tcBorders>
          </w:tcPr>
          <w:p>
            <w:pPr>
              <w:pStyle w:val="TableParagraph"/>
              <w:spacing w:line="236" w:lineRule="exact" w:before="15"/>
              <w:ind w:left="529" w:right="492"/>
              <w:rPr>
                <w:rFonts w:ascii="Times New Roman"/>
                <w:sz w:val="21"/>
              </w:rPr>
            </w:pPr>
            <w:r>
              <w:rPr>
                <w:rFonts w:ascii="Times New Roman"/>
                <w:sz w:val="21"/>
              </w:rPr>
              <w:t>1.34</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5" w:right="150"/>
              <w:rPr>
                <w:rFonts w:ascii="Times New Roman" w:eastAsia="Times New Roman"/>
                <w:sz w:val="21"/>
              </w:rPr>
            </w:pPr>
            <w:r>
              <w:rPr>
                <w:sz w:val="21"/>
              </w:rPr>
              <w:t>总孔隙度</w:t>
            </w:r>
            <w:r>
              <w:rPr>
                <w:rFonts w:ascii="Times New Roman" w:eastAsia="Times New Roman"/>
                <w:sz w:val="21"/>
              </w:rPr>
              <w:t>%</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47" w:right="417"/>
              <w:rPr>
                <w:rFonts w:ascii="Times New Roman"/>
                <w:sz w:val="21"/>
              </w:rPr>
            </w:pPr>
            <w:r>
              <w:rPr>
                <w:rFonts w:ascii="Times New Roman"/>
                <w:sz w:val="21"/>
              </w:rPr>
              <w:t>51.32</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9" w:right="341"/>
              <w:rPr>
                <w:rFonts w:ascii="Times New Roman"/>
                <w:sz w:val="21"/>
              </w:rPr>
            </w:pPr>
            <w:r>
              <w:rPr>
                <w:rFonts w:ascii="Times New Roman"/>
                <w:sz w:val="21"/>
              </w:rPr>
              <w:t>50.67</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70" w:right="341"/>
              <w:rPr>
                <w:rFonts w:ascii="Times New Roman"/>
                <w:sz w:val="21"/>
              </w:rPr>
            </w:pPr>
            <w:r>
              <w:rPr>
                <w:rFonts w:ascii="Times New Roman"/>
                <w:sz w:val="21"/>
              </w:rPr>
              <w:t>50.11</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right="495"/>
              <w:jc w:val="right"/>
              <w:rPr>
                <w:rFonts w:ascii="Times New Roman"/>
                <w:sz w:val="21"/>
              </w:rPr>
            </w:pPr>
            <w:r>
              <w:rPr>
                <w:rFonts w:ascii="Times New Roman"/>
                <w:sz w:val="21"/>
              </w:rPr>
              <w:t>47.70</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点位</w:t>
            </w:r>
          </w:p>
        </w:tc>
        <w:tc>
          <w:tcPr>
            <w:tcW w:w="6090" w:type="dxa"/>
            <w:gridSpan w:val="4"/>
            <w:tcBorders>
              <w:top w:val="single" w:sz="4" w:space="0" w:color="000000"/>
              <w:left w:val="single" w:sz="4" w:space="0" w:color="000000"/>
              <w:bottom w:val="single" w:sz="4" w:space="0" w:color="000000"/>
            </w:tcBorders>
          </w:tcPr>
          <w:p>
            <w:pPr>
              <w:pStyle w:val="TableParagraph"/>
              <w:spacing w:line="252" w:lineRule="exact" w:before="1"/>
              <w:ind w:left="1266"/>
              <w:jc w:val="left"/>
              <w:rPr>
                <w:sz w:val="21"/>
              </w:rPr>
            </w:pPr>
            <w:r>
              <w:rPr>
                <w:sz w:val="21"/>
              </w:rPr>
              <w:t>拟建废水物化处理及生化处理区域之间</w:t>
            </w:r>
          </w:p>
        </w:tc>
      </w:tr>
      <w:tr>
        <w:trPr>
          <w:trHeight w:val="270"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1"/>
              <w:ind w:left="1398" w:right="1379"/>
              <w:rPr>
                <w:sz w:val="21"/>
              </w:rPr>
            </w:pPr>
            <w:r>
              <w:rPr>
                <w:sz w:val="21"/>
              </w:rPr>
              <w:t>日期</w:t>
            </w:r>
          </w:p>
        </w:tc>
        <w:tc>
          <w:tcPr>
            <w:tcW w:w="6090" w:type="dxa"/>
            <w:gridSpan w:val="4"/>
            <w:tcBorders>
              <w:top w:val="single" w:sz="4" w:space="0" w:color="000000"/>
              <w:left w:val="single" w:sz="4" w:space="0" w:color="000000"/>
              <w:bottom w:val="single" w:sz="4" w:space="0" w:color="000000"/>
            </w:tcBorders>
          </w:tcPr>
          <w:p>
            <w:pPr>
              <w:pStyle w:val="TableParagraph"/>
              <w:spacing w:line="236" w:lineRule="exact" w:before="15"/>
              <w:ind w:left="2297" w:right="2260"/>
              <w:rPr>
                <w:rFonts w:ascii="Times New Roman"/>
                <w:sz w:val="21"/>
              </w:rPr>
            </w:pPr>
            <w:r>
              <w:rPr>
                <w:rFonts w:ascii="Times New Roman"/>
                <w:sz w:val="21"/>
              </w:rPr>
              <w:t>2022.02.22</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经度</w:t>
            </w:r>
          </w:p>
        </w:tc>
        <w:tc>
          <w:tcPr>
            <w:tcW w:w="6090" w:type="dxa"/>
            <w:gridSpan w:val="4"/>
            <w:tcBorders>
              <w:top w:val="single" w:sz="4" w:space="0" w:color="000000"/>
              <w:left w:val="single" w:sz="4" w:space="0" w:color="000000"/>
              <w:bottom w:val="single" w:sz="4" w:space="0" w:color="000000"/>
            </w:tcBorders>
          </w:tcPr>
          <w:p>
            <w:pPr>
              <w:pStyle w:val="TableParagraph"/>
              <w:spacing w:line="238" w:lineRule="exact" w:before="15"/>
              <w:ind w:left="2296" w:right="2260"/>
              <w:rPr>
                <w:rFonts w:ascii="Times New Roman" w:hAnsi="Times New Roman"/>
                <w:sz w:val="21"/>
              </w:rPr>
            </w:pPr>
            <w:r>
              <w:rPr>
                <w:rFonts w:ascii="Times New Roman" w:hAnsi="Times New Roman"/>
                <w:sz w:val="21"/>
              </w:rPr>
              <w:t>120°53′56.49″</w:t>
            </w:r>
          </w:p>
        </w:tc>
      </w:tr>
      <w:tr>
        <w:trPr>
          <w:trHeight w:val="270"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1"/>
              <w:ind w:left="1398" w:right="1379"/>
              <w:rPr>
                <w:sz w:val="21"/>
              </w:rPr>
            </w:pPr>
            <w:r>
              <w:rPr>
                <w:sz w:val="21"/>
              </w:rPr>
              <w:t>纬度</w:t>
            </w:r>
          </w:p>
        </w:tc>
        <w:tc>
          <w:tcPr>
            <w:tcW w:w="6090" w:type="dxa"/>
            <w:gridSpan w:val="4"/>
            <w:tcBorders>
              <w:top w:val="single" w:sz="4" w:space="0" w:color="000000"/>
              <w:left w:val="single" w:sz="4" w:space="0" w:color="000000"/>
              <w:bottom w:val="single" w:sz="4" w:space="0" w:color="000000"/>
            </w:tcBorders>
          </w:tcPr>
          <w:p>
            <w:pPr>
              <w:pStyle w:val="TableParagraph"/>
              <w:spacing w:line="236" w:lineRule="exact" w:before="15"/>
              <w:ind w:left="2296" w:right="2260"/>
              <w:rPr>
                <w:rFonts w:ascii="Times New Roman" w:hAnsi="Times New Roman"/>
                <w:sz w:val="21"/>
              </w:rPr>
            </w:pPr>
            <w:r>
              <w:rPr>
                <w:rFonts w:ascii="Times New Roman" w:hAnsi="Times New Roman"/>
                <w:sz w:val="21"/>
              </w:rPr>
              <w:t>30°10′07.60″</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3"/>
              <w:ind w:left="1398" w:right="1379"/>
              <w:rPr>
                <w:sz w:val="21"/>
              </w:rPr>
            </w:pPr>
            <w:r>
              <w:rPr>
                <w:sz w:val="21"/>
              </w:rPr>
              <w:t>层次</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50" w:right="417"/>
              <w:rPr>
                <w:rFonts w:ascii="Times New Roman"/>
                <w:sz w:val="21"/>
              </w:rPr>
            </w:pPr>
            <w:r>
              <w:rPr>
                <w:rFonts w:ascii="Times New Roman"/>
                <w:sz w:val="21"/>
              </w:rPr>
              <w:t>0-0.5m</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372" w:right="341"/>
              <w:rPr>
                <w:rFonts w:ascii="Times New Roman"/>
                <w:sz w:val="21"/>
              </w:rPr>
            </w:pPr>
            <w:r>
              <w:rPr>
                <w:rFonts w:ascii="Times New Roman"/>
                <w:sz w:val="21"/>
              </w:rPr>
              <w:t>0.5-1.5m</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right="436"/>
              <w:jc w:val="right"/>
              <w:rPr>
                <w:rFonts w:ascii="Times New Roman"/>
                <w:sz w:val="21"/>
              </w:rPr>
            </w:pPr>
            <w:r>
              <w:rPr>
                <w:rFonts w:ascii="Times New Roman"/>
                <w:sz w:val="21"/>
              </w:rPr>
              <w:t>1.5-3m</w:t>
            </w:r>
          </w:p>
        </w:tc>
        <w:tc>
          <w:tcPr>
            <w:tcW w:w="1527" w:type="dxa"/>
            <w:tcBorders>
              <w:top w:val="single" w:sz="4" w:space="0" w:color="000000"/>
              <w:left w:val="single" w:sz="4" w:space="0" w:color="000000"/>
              <w:bottom w:val="single" w:sz="4" w:space="0" w:color="000000"/>
            </w:tcBorders>
          </w:tcPr>
          <w:p>
            <w:pPr>
              <w:pStyle w:val="TableParagraph"/>
              <w:spacing w:line="236" w:lineRule="exact" w:before="17"/>
              <w:ind w:left="529" w:right="493"/>
              <w:rPr>
                <w:rFonts w:ascii="Times New Roman"/>
                <w:sz w:val="21"/>
              </w:rPr>
            </w:pPr>
            <w:r>
              <w:rPr>
                <w:rFonts w:ascii="Times New Roman"/>
                <w:sz w:val="21"/>
              </w:rPr>
              <w:t>3-6m</w:t>
            </w:r>
          </w:p>
        </w:tc>
      </w:tr>
      <w:tr>
        <w:trPr>
          <w:trHeight w:val="273" w:hRule="atLeast"/>
        </w:trPr>
        <w:tc>
          <w:tcPr>
            <w:tcW w:w="826"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spacing w:line="242" w:lineRule="auto" w:before="174"/>
              <w:ind w:left="200" w:right="180"/>
              <w:jc w:val="left"/>
              <w:rPr>
                <w:sz w:val="21"/>
              </w:rPr>
            </w:pPr>
            <w:r>
              <w:rPr>
                <w:sz w:val="21"/>
              </w:rPr>
              <w:t>现场记录</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4" w:right="150"/>
              <w:rPr>
                <w:sz w:val="21"/>
              </w:rPr>
            </w:pPr>
            <w:r>
              <w:rPr>
                <w:sz w:val="21"/>
              </w:rPr>
              <w:t>颜色</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447" w:right="417"/>
              <w:rPr>
                <w:sz w:val="21"/>
              </w:rPr>
            </w:pPr>
            <w:r>
              <w:rPr>
                <w:sz w:val="21"/>
              </w:rPr>
              <w:t>棕色</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369" w:right="341"/>
              <w:rPr>
                <w:sz w:val="21"/>
              </w:rPr>
            </w:pPr>
            <w:r>
              <w:rPr>
                <w:sz w:val="21"/>
              </w:rPr>
              <w:t>棕色</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368" w:right="341"/>
              <w:rPr>
                <w:sz w:val="21"/>
              </w:rPr>
            </w:pPr>
            <w:r>
              <w:rPr>
                <w:sz w:val="21"/>
              </w:rPr>
              <w:t>棕色</w:t>
            </w:r>
          </w:p>
        </w:tc>
        <w:tc>
          <w:tcPr>
            <w:tcW w:w="1527" w:type="dxa"/>
            <w:tcBorders>
              <w:top w:val="single" w:sz="4" w:space="0" w:color="000000"/>
              <w:left w:val="single" w:sz="4" w:space="0" w:color="000000"/>
              <w:bottom w:val="single" w:sz="4" w:space="0" w:color="000000"/>
            </w:tcBorders>
          </w:tcPr>
          <w:p>
            <w:pPr>
              <w:pStyle w:val="TableParagraph"/>
              <w:spacing w:line="252" w:lineRule="exact" w:before="1"/>
              <w:ind w:left="529" w:right="492"/>
              <w:rPr>
                <w:sz w:val="21"/>
              </w:rPr>
            </w:pPr>
            <w:r>
              <w:rPr>
                <w:sz w:val="21"/>
              </w:rPr>
              <w:t>棕色</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4" w:right="150"/>
              <w:rPr>
                <w:sz w:val="21"/>
              </w:rPr>
            </w:pPr>
            <w:r>
              <w:rPr>
                <w:sz w:val="21"/>
              </w:rPr>
              <w:t>结构</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447" w:right="417"/>
              <w:rPr>
                <w:sz w:val="21"/>
              </w:rPr>
            </w:pPr>
            <w:r>
              <w:rPr>
                <w:sz w:val="21"/>
              </w:rPr>
              <w:t>团粒</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9" w:right="341"/>
              <w:rPr>
                <w:sz w:val="21"/>
              </w:rPr>
            </w:pPr>
            <w:r>
              <w:rPr>
                <w:sz w:val="21"/>
              </w:rPr>
              <w:t>团粒</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368" w:right="341"/>
              <w:rPr>
                <w:sz w:val="21"/>
              </w:rPr>
            </w:pPr>
            <w:r>
              <w:rPr>
                <w:sz w:val="21"/>
              </w:rPr>
              <w:t>团粒</w:t>
            </w:r>
          </w:p>
        </w:tc>
        <w:tc>
          <w:tcPr>
            <w:tcW w:w="1527" w:type="dxa"/>
            <w:tcBorders>
              <w:top w:val="single" w:sz="4" w:space="0" w:color="000000"/>
              <w:left w:val="single" w:sz="4" w:space="0" w:color="000000"/>
              <w:bottom w:val="single" w:sz="4" w:space="0" w:color="000000"/>
            </w:tcBorders>
          </w:tcPr>
          <w:p>
            <w:pPr>
              <w:pStyle w:val="TableParagraph"/>
              <w:spacing w:line="250" w:lineRule="exact" w:before="1"/>
              <w:ind w:left="529" w:right="492"/>
              <w:rPr>
                <w:sz w:val="21"/>
              </w:rPr>
            </w:pPr>
            <w:r>
              <w:rPr>
                <w:sz w:val="21"/>
              </w:rPr>
              <w:t>团粒</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174" w:right="150"/>
              <w:rPr>
                <w:sz w:val="21"/>
              </w:rPr>
            </w:pPr>
            <w:r>
              <w:rPr>
                <w:sz w:val="21"/>
              </w:rPr>
              <w:t>质地</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447" w:right="417"/>
              <w:rPr>
                <w:sz w:val="21"/>
              </w:rPr>
            </w:pPr>
            <w:r>
              <w:rPr>
                <w:sz w:val="21"/>
              </w:rPr>
              <w:t>壤土</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369" w:right="341"/>
              <w:rPr>
                <w:sz w:val="21"/>
              </w:rPr>
            </w:pPr>
            <w:r>
              <w:rPr>
                <w:sz w:val="21"/>
              </w:rPr>
              <w:t>壤土</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3"/>
              <w:ind w:left="368" w:right="341"/>
              <w:rPr>
                <w:sz w:val="21"/>
              </w:rPr>
            </w:pPr>
            <w:r>
              <w:rPr>
                <w:sz w:val="21"/>
              </w:rPr>
              <w:t>壤土</w:t>
            </w:r>
          </w:p>
        </w:tc>
        <w:tc>
          <w:tcPr>
            <w:tcW w:w="1527" w:type="dxa"/>
            <w:tcBorders>
              <w:top w:val="single" w:sz="4" w:space="0" w:color="000000"/>
              <w:left w:val="single" w:sz="4" w:space="0" w:color="000000"/>
              <w:bottom w:val="single" w:sz="4" w:space="0" w:color="000000"/>
            </w:tcBorders>
          </w:tcPr>
          <w:p>
            <w:pPr>
              <w:pStyle w:val="TableParagraph"/>
              <w:spacing w:line="250" w:lineRule="exact" w:before="3"/>
              <w:ind w:left="529" w:right="492"/>
              <w:rPr>
                <w:sz w:val="21"/>
              </w:rPr>
            </w:pPr>
            <w:r>
              <w:rPr>
                <w:sz w:val="21"/>
              </w:rPr>
              <w:t>壤土</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5" w:right="150"/>
              <w:rPr>
                <w:rFonts w:ascii="Times New Roman" w:eastAsia="Times New Roman"/>
                <w:sz w:val="21"/>
              </w:rPr>
            </w:pPr>
            <w:r>
              <w:rPr>
                <w:sz w:val="21"/>
              </w:rPr>
              <w:t>砂砾含量</w:t>
            </w:r>
            <w:r>
              <w:rPr>
                <w:rFonts w:ascii="Times New Roman" w:eastAsia="Times New Roman"/>
                <w:sz w:val="21"/>
              </w:rPr>
              <w:t>%</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447" w:right="417"/>
              <w:rPr>
                <w:rFonts w:ascii="Times New Roman"/>
                <w:sz w:val="21"/>
              </w:rPr>
            </w:pPr>
            <w:r>
              <w:rPr>
                <w:rFonts w:ascii="Times New Roman"/>
                <w:sz w:val="21"/>
              </w:rPr>
              <w:t>14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9" w:right="341"/>
              <w:rPr>
                <w:rFonts w:ascii="Times New Roman"/>
                <w:sz w:val="21"/>
              </w:rPr>
            </w:pPr>
            <w:r>
              <w:rPr>
                <w:rFonts w:ascii="Times New Roman"/>
                <w:sz w:val="21"/>
              </w:rPr>
              <w:t>15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368" w:right="341"/>
              <w:rPr>
                <w:rFonts w:ascii="Times New Roman"/>
                <w:sz w:val="21"/>
              </w:rPr>
            </w:pPr>
            <w:r>
              <w:rPr>
                <w:rFonts w:ascii="Times New Roman"/>
                <w:sz w:val="21"/>
              </w:rPr>
              <w:t>15</w:t>
            </w:r>
          </w:p>
        </w:tc>
        <w:tc>
          <w:tcPr>
            <w:tcW w:w="1527" w:type="dxa"/>
            <w:tcBorders>
              <w:top w:val="single" w:sz="4" w:space="0" w:color="000000"/>
              <w:left w:val="single" w:sz="4" w:space="0" w:color="000000"/>
              <w:bottom w:val="single" w:sz="4" w:space="0" w:color="000000"/>
            </w:tcBorders>
          </w:tcPr>
          <w:p>
            <w:pPr>
              <w:pStyle w:val="TableParagraph"/>
              <w:spacing w:line="238" w:lineRule="exact" w:before="15"/>
              <w:ind w:left="525" w:right="493"/>
              <w:rPr>
                <w:rFonts w:ascii="Times New Roman"/>
                <w:sz w:val="21"/>
              </w:rPr>
            </w:pPr>
            <w:r>
              <w:rPr>
                <w:rFonts w:ascii="Times New Roman"/>
                <w:sz w:val="21"/>
              </w:rPr>
              <w:t>16</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7" w:right="150"/>
              <w:rPr>
                <w:sz w:val="21"/>
              </w:rPr>
            </w:pPr>
            <w:r>
              <w:rPr>
                <w:sz w:val="21"/>
              </w:rPr>
              <w:t>其他异物</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31"/>
              <w:rPr>
                <w:rFonts w:ascii="Times New Roman"/>
                <w:sz w:val="21"/>
              </w:rPr>
            </w:pPr>
            <w:r>
              <w:rPr>
                <w:rFonts w:ascii="Times New Roman"/>
                <w:w w:val="100"/>
                <w:sz w:val="21"/>
              </w:rPr>
              <w:t>/</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29"/>
              <w:rPr>
                <w:rFonts w:ascii="Times New Roman"/>
                <w:sz w:val="21"/>
              </w:rPr>
            </w:pPr>
            <w:r>
              <w:rPr>
                <w:rFonts w:ascii="Times New Roman"/>
                <w:w w:val="100"/>
                <w:sz w:val="21"/>
              </w:rPr>
              <w:t>/</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28"/>
              <w:rPr>
                <w:rFonts w:ascii="Times New Roman"/>
                <w:sz w:val="21"/>
              </w:rPr>
            </w:pPr>
            <w:r>
              <w:rPr>
                <w:rFonts w:ascii="Times New Roman"/>
                <w:w w:val="100"/>
                <w:sz w:val="21"/>
              </w:rPr>
              <w:t>/</w:t>
            </w:r>
          </w:p>
        </w:tc>
        <w:tc>
          <w:tcPr>
            <w:tcW w:w="1527" w:type="dxa"/>
            <w:tcBorders>
              <w:top w:val="single" w:sz="4" w:space="0" w:color="000000"/>
              <w:left w:val="single" w:sz="4" w:space="0" w:color="000000"/>
              <w:bottom w:val="single" w:sz="4" w:space="0" w:color="000000"/>
            </w:tcBorders>
          </w:tcPr>
          <w:p>
            <w:pPr>
              <w:pStyle w:val="TableParagraph"/>
              <w:spacing w:line="236" w:lineRule="exact" w:before="15"/>
              <w:ind w:left="33"/>
              <w:rPr>
                <w:rFonts w:ascii="Times New Roman"/>
                <w:sz w:val="21"/>
              </w:rPr>
            </w:pPr>
            <w:r>
              <w:rPr>
                <w:rFonts w:ascii="Times New Roman"/>
                <w:w w:val="100"/>
                <w:sz w:val="21"/>
              </w:rPr>
              <w:t>/</w:t>
            </w:r>
          </w:p>
        </w:tc>
      </w:tr>
      <w:tr>
        <w:trPr>
          <w:trHeight w:val="263" w:hRule="atLeast"/>
        </w:trPr>
        <w:tc>
          <w:tcPr>
            <w:tcW w:w="826" w:type="dxa"/>
            <w:vMerge w:val="restart"/>
            <w:tcBorders>
              <w:top w:val="single" w:sz="4" w:space="0" w:color="000000"/>
              <w:right w:val="single" w:sz="4" w:space="0" w:color="000000"/>
            </w:tcBorders>
          </w:tcPr>
          <w:p>
            <w:pPr>
              <w:pStyle w:val="TableParagraph"/>
              <w:spacing w:before="11"/>
              <w:jc w:val="left"/>
              <w:rPr>
                <w:b/>
                <w:sz w:val="22"/>
              </w:rPr>
            </w:pPr>
          </w:p>
          <w:p>
            <w:pPr>
              <w:pStyle w:val="TableParagraph"/>
              <w:spacing w:line="242" w:lineRule="auto" w:before="1"/>
              <w:ind w:left="200" w:right="180"/>
              <w:jc w:val="both"/>
              <w:rPr>
                <w:sz w:val="21"/>
              </w:rPr>
            </w:pPr>
            <w:r>
              <w:rPr>
                <w:sz w:val="21"/>
              </w:rPr>
              <w:t>实验室测定</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40" w:lineRule="exact" w:before="3"/>
              <w:ind w:left="174" w:right="150"/>
              <w:rPr>
                <w:sz w:val="21"/>
              </w:rPr>
            </w:pPr>
            <w:r>
              <w:rPr>
                <w:rFonts w:ascii="Times New Roman" w:eastAsia="Times New Roman"/>
                <w:sz w:val="21"/>
              </w:rPr>
              <w:t>pH</w:t>
            </w:r>
            <w:r>
              <w:rPr>
                <w:rFonts w:ascii="Times New Roman" w:eastAsia="Times New Roman"/>
                <w:spacing w:val="52"/>
                <w:sz w:val="21"/>
              </w:rPr>
              <w:t> </w:t>
            </w:r>
            <w:r>
              <w:rPr>
                <w:spacing w:val="-2"/>
                <w:sz w:val="21"/>
              </w:rPr>
              <w:t>无量纲</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17"/>
              <w:ind w:left="447" w:right="417"/>
              <w:rPr>
                <w:rFonts w:ascii="Times New Roman"/>
                <w:sz w:val="21"/>
              </w:rPr>
            </w:pPr>
            <w:r>
              <w:rPr>
                <w:rFonts w:ascii="Times New Roman"/>
                <w:sz w:val="21"/>
              </w:rPr>
              <w:t>6.98</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17"/>
              <w:ind w:left="369" w:right="341"/>
              <w:rPr>
                <w:rFonts w:ascii="Times New Roman"/>
                <w:sz w:val="21"/>
              </w:rPr>
            </w:pPr>
            <w:r>
              <w:rPr>
                <w:rFonts w:ascii="Times New Roman"/>
                <w:sz w:val="21"/>
              </w:rPr>
              <w:t>6.81</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17"/>
              <w:ind w:left="368" w:right="341"/>
              <w:rPr>
                <w:rFonts w:ascii="Times New Roman"/>
                <w:sz w:val="21"/>
              </w:rPr>
            </w:pPr>
            <w:r>
              <w:rPr>
                <w:rFonts w:ascii="Times New Roman"/>
                <w:sz w:val="21"/>
              </w:rPr>
              <w:t>6.66</w:t>
            </w:r>
          </w:p>
        </w:tc>
        <w:tc>
          <w:tcPr>
            <w:tcW w:w="1527" w:type="dxa"/>
            <w:tcBorders>
              <w:top w:val="single" w:sz="4" w:space="0" w:color="000000"/>
              <w:left w:val="single" w:sz="4" w:space="0" w:color="000000"/>
              <w:bottom w:val="single" w:sz="4" w:space="0" w:color="000000"/>
            </w:tcBorders>
          </w:tcPr>
          <w:p>
            <w:pPr>
              <w:pStyle w:val="TableParagraph"/>
              <w:spacing w:line="226" w:lineRule="exact" w:before="17"/>
              <w:ind w:left="529" w:right="492"/>
              <w:rPr>
                <w:rFonts w:ascii="Times New Roman"/>
                <w:sz w:val="21"/>
              </w:rPr>
            </w:pPr>
            <w:r>
              <w:rPr>
                <w:rFonts w:ascii="Times New Roman"/>
                <w:sz w:val="21"/>
              </w:rPr>
              <w:t>6.69</w:t>
            </w:r>
          </w:p>
        </w:tc>
      </w:tr>
      <w:tr>
        <w:trPr>
          <w:trHeight w:val="253"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177" w:right="150"/>
              <w:rPr>
                <w:rFonts w:ascii="Times New Roman" w:eastAsia="Times New Roman"/>
                <w:sz w:val="21"/>
              </w:rPr>
            </w:pPr>
            <w:r>
              <w:rPr>
                <w:sz w:val="21"/>
              </w:rPr>
              <w:t>阳离子交换量 </w:t>
            </w:r>
            <w:r>
              <w:rPr>
                <w:rFonts w:ascii="Times New Roman" w:eastAsia="Times New Roman"/>
                <w:sz w:val="21"/>
              </w:rPr>
              <w:t>cmol/kg</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447" w:right="417"/>
              <w:rPr>
                <w:rFonts w:ascii="Times New Roman"/>
                <w:sz w:val="21"/>
              </w:rPr>
            </w:pPr>
            <w:r>
              <w:rPr>
                <w:rFonts w:ascii="Times New Roman"/>
                <w:sz w:val="21"/>
              </w:rPr>
              <w:t>22.3</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369" w:right="341"/>
              <w:rPr>
                <w:rFonts w:ascii="Times New Roman"/>
                <w:sz w:val="21"/>
              </w:rPr>
            </w:pPr>
            <w:r>
              <w:rPr>
                <w:rFonts w:ascii="Times New Roman"/>
                <w:sz w:val="21"/>
              </w:rPr>
              <w:t>20.9</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368" w:right="341"/>
              <w:rPr>
                <w:rFonts w:ascii="Times New Roman"/>
                <w:sz w:val="21"/>
              </w:rPr>
            </w:pPr>
            <w:r>
              <w:rPr>
                <w:rFonts w:ascii="Times New Roman"/>
                <w:sz w:val="21"/>
              </w:rPr>
              <w:t>21.4</w:t>
            </w:r>
          </w:p>
        </w:tc>
        <w:tc>
          <w:tcPr>
            <w:tcW w:w="1527" w:type="dxa"/>
            <w:tcBorders>
              <w:top w:val="single" w:sz="4" w:space="0" w:color="000000"/>
              <w:left w:val="single" w:sz="4" w:space="0" w:color="000000"/>
              <w:bottom w:val="single" w:sz="4" w:space="0" w:color="000000"/>
            </w:tcBorders>
          </w:tcPr>
          <w:p>
            <w:pPr>
              <w:pStyle w:val="TableParagraph"/>
              <w:spacing w:line="228" w:lineRule="exact" w:before="5"/>
              <w:ind w:left="529" w:right="492"/>
              <w:rPr>
                <w:rFonts w:ascii="Times New Roman"/>
                <w:sz w:val="21"/>
              </w:rPr>
            </w:pPr>
            <w:r>
              <w:rPr>
                <w:rFonts w:ascii="Times New Roman"/>
                <w:sz w:val="21"/>
              </w:rPr>
              <w:t>20.0</w:t>
            </w:r>
          </w:p>
        </w:tc>
      </w:tr>
      <w:tr>
        <w:trPr>
          <w:trHeight w:val="250"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173" w:right="150"/>
              <w:rPr>
                <w:rFonts w:ascii="Times New Roman" w:eastAsia="Times New Roman"/>
                <w:sz w:val="21"/>
              </w:rPr>
            </w:pPr>
            <w:r>
              <w:rPr>
                <w:sz w:val="21"/>
              </w:rPr>
              <w:t>氧化还原电位 </w:t>
            </w:r>
            <w:r>
              <w:rPr>
                <w:rFonts w:ascii="Times New Roman" w:eastAsia="Times New Roman"/>
                <w:sz w:val="21"/>
              </w:rPr>
              <w:t>mV</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447" w:right="417"/>
              <w:rPr>
                <w:rFonts w:ascii="Times New Roman"/>
                <w:sz w:val="21"/>
              </w:rPr>
            </w:pPr>
            <w:r>
              <w:rPr>
                <w:rFonts w:ascii="Times New Roman"/>
                <w:sz w:val="21"/>
              </w:rPr>
              <w:t>414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369" w:right="341"/>
              <w:rPr>
                <w:rFonts w:ascii="Times New Roman"/>
                <w:sz w:val="21"/>
              </w:rPr>
            </w:pPr>
            <w:r>
              <w:rPr>
                <w:rFonts w:ascii="Times New Roman"/>
                <w:sz w:val="21"/>
              </w:rPr>
              <w:t>408</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368" w:right="341"/>
              <w:rPr>
                <w:rFonts w:ascii="Times New Roman"/>
                <w:sz w:val="21"/>
              </w:rPr>
            </w:pPr>
            <w:r>
              <w:rPr>
                <w:rFonts w:ascii="Times New Roman"/>
                <w:sz w:val="21"/>
              </w:rPr>
              <w:t>402</w:t>
            </w:r>
          </w:p>
        </w:tc>
        <w:tc>
          <w:tcPr>
            <w:tcW w:w="1527" w:type="dxa"/>
            <w:tcBorders>
              <w:top w:val="single" w:sz="4" w:space="0" w:color="000000"/>
              <w:left w:val="single" w:sz="4" w:space="0" w:color="000000"/>
              <w:bottom w:val="single" w:sz="4" w:space="0" w:color="000000"/>
            </w:tcBorders>
          </w:tcPr>
          <w:p>
            <w:pPr>
              <w:pStyle w:val="TableParagraph"/>
              <w:spacing w:line="226" w:lineRule="exact" w:before="5"/>
              <w:ind w:left="529" w:right="492"/>
              <w:rPr>
                <w:rFonts w:ascii="Times New Roman"/>
                <w:sz w:val="21"/>
              </w:rPr>
            </w:pPr>
            <w:r>
              <w:rPr>
                <w:rFonts w:ascii="Times New Roman"/>
                <w:sz w:val="21"/>
              </w:rPr>
              <w:t>396</w:t>
            </w:r>
          </w:p>
        </w:tc>
      </w:tr>
      <w:tr>
        <w:trPr>
          <w:trHeight w:val="253"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172" w:right="150"/>
              <w:rPr>
                <w:rFonts w:ascii="Times New Roman" w:eastAsia="Times New Roman"/>
                <w:sz w:val="21"/>
              </w:rPr>
            </w:pPr>
            <w:r>
              <w:rPr>
                <w:sz w:val="21"/>
              </w:rPr>
              <w:t>饱和导水率 </w:t>
            </w:r>
            <w:r>
              <w:rPr>
                <w:rFonts w:ascii="Times New Roman" w:eastAsia="Times New Roman"/>
                <w:sz w:val="21"/>
              </w:rPr>
              <w:t>cm/s</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447" w:right="417"/>
              <w:rPr>
                <w:rFonts w:ascii="Times New Roman"/>
                <w:sz w:val="21"/>
              </w:rPr>
            </w:pPr>
            <w:r>
              <w:rPr>
                <w:rFonts w:ascii="Times New Roman"/>
                <w:sz w:val="21"/>
              </w:rPr>
              <w:t>0.0005</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369" w:right="341"/>
              <w:rPr>
                <w:rFonts w:ascii="Times New Roman"/>
                <w:sz w:val="21"/>
              </w:rPr>
            </w:pPr>
            <w:r>
              <w:rPr>
                <w:rFonts w:ascii="Times New Roman"/>
                <w:sz w:val="21"/>
              </w:rPr>
              <w:t>0.0004</w:t>
            </w:r>
          </w:p>
        </w:tc>
        <w:tc>
          <w:tcPr>
            <w:tcW w:w="1522"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right="449"/>
              <w:jc w:val="right"/>
              <w:rPr>
                <w:rFonts w:ascii="Times New Roman"/>
                <w:sz w:val="21"/>
              </w:rPr>
            </w:pPr>
            <w:r>
              <w:rPr>
                <w:rFonts w:ascii="Times New Roman"/>
                <w:sz w:val="21"/>
              </w:rPr>
              <w:t>0.0005</w:t>
            </w:r>
          </w:p>
        </w:tc>
        <w:tc>
          <w:tcPr>
            <w:tcW w:w="1527" w:type="dxa"/>
            <w:tcBorders>
              <w:top w:val="single" w:sz="4" w:space="0" w:color="000000"/>
              <w:left w:val="single" w:sz="4" w:space="0" w:color="000000"/>
              <w:bottom w:val="single" w:sz="4" w:space="0" w:color="000000"/>
            </w:tcBorders>
          </w:tcPr>
          <w:p>
            <w:pPr>
              <w:pStyle w:val="TableParagraph"/>
              <w:spacing w:line="228" w:lineRule="exact" w:before="5"/>
              <w:ind w:right="442"/>
              <w:jc w:val="right"/>
              <w:rPr>
                <w:rFonts w:ascii="Times New Roman"/>
                <w:sz w:val="21"/>
              </w:rPr>
            </w:pPr>
            <w:r>
              <w:rPr>
                <w:rFonts w:ascii="Times New Roman"/>
                <w:sz w:val="21"/>
              </w:rPr>
              <w:t>0.0004</w:t>
            </w:r>
          </w:p>
        </w:tc>
      </w:tr>
      <w:tr>
        <w:trPr>
          <w:trHeight w:val="260"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right w:val="single" w:sz="4" w:space="0" w:color="000000"/>
            </w:tcBorders>
          </w:tcPr>
          <w:p>
            <w:pPr>
              <w:pStyle w:val="TableParagraph"/>
              <w:spacing w:line="240" w:lineRule="exact"/>
              <w:ind w:left="177" w:right="147"/>
              <w:rPr>
                <w:rFonts w:ascii="Times New Roman" w:hAnsi="Times New Roman" w:eastAsia="Times New Roman"/>
                <w:sz w:val="21"/>
              </w:rPr>
            </w:pPr>
            <w:r>
              <w:rPr>
                <w:sz w:val="21"/>
              </w:rPr>
              <w:t>土壤容重 </w:t>
            </w:r>
            <w:r>
              <w:rPr>
                <w:rFonts w:ascii="Times New Roman" w:hAnsi="Times New Roman" w:eastAsia="Times New Roman"/>
                <w:sz w:val="21"/>
              </w:rPr>
              <w:t>g/cm³</w:t>
            </w:r>
          </w:p>
        </w:tc>
        <w:tc>
          <w:tcPr>
            <w:tcW w:w="1519" w:type="dxa"/>
            <w:tcBorders>
              <w:top w:val="single" w:sz="4" w:space="0" w:color="000000"/>
              <w:left w:val="single" w:sz="4" w:space="0" w:color="000000"/>
              <w:right w:val="single" w:sz="4" w:space="0" w:color="000000"/>
            </w:tcBorders>
          </w:tcPr>
          <w:p>
            <w:pPr>
              <w:pStyle w:val="TableParagraph"/>
              <w:spacing w:line="235" w:lineRule="exact" w:before="5"/>
              <w:ind w:left="447" w:right="417"/>
              <w:rPr>
                <w:rFonts w:ascii="Times New Roman"/>
                <w:sz w:val="21"/>
              </w:rPr>
            </w:pPr>
            <w:r>
              <w:rPr>
                <w:rFonts w:ascii="Times New Roman"/>
                <w:sz w:val="21"/>
              </w:rPr>
              <w:t>1.28</w:t>
            </w:r>
          </w:p>
        </w:tc>
        <w:tc>
          <w:tcPr>
            <w:tcW w:w="1522" w:type="dxa"/>
            <w:tcBorders>
              <w:top w:val="single" w:sz="4" w:space="0" w:color="000000"/>
              <w:left w:val="single" w:sz="4" w:space="0" w:color="000000"/>
              <w:right w:val="single" w:sz="4" w:space="0" w:color="000000"/>
            </w:tcBorders>
          </w:tcPr>
          <w:p>
            <w:pPr>
              <w:pStyle w:val="TableParagraph"/>
              <w:spacing w:line="235" w:lineRule="exact" w:before="5"/>
              <w:ind w:left="369" w:right="341"/>
              <w:rPr>
                <w:rFonts w:ascii="Times New Roman"/>
                <w:sz w:val="21"/>
              </w:rPr>
            </w:pPr>
            <w:r>
              <w:rPr>
                <w:rFonts w:ascii="Times New Roman"/>
                <w:sz w:val="21"/>
              </w:rPr>
              <w:t>1.30</w:t>
            </w:r>
          </w:p>
        </w:tc>
        <w:tc>
          <w:tcPr>
            <w:tcW w:w="1522" w:type="dxa"/>
            <w:tcBorders>
              <w:top w:val="single" w:sz="4" w:space="0" w:color="000000"/>
              <w:left w:val="single" w:sz="4" w:space="0" w:color="000000"/>
              <w:right w:val="single" w:sz="4" w:space="0" w:color="000000"/>
            </w:tcBorders>
          </w:tcPr>
          <w:p>
            <w:pPr>
              <w:pStyle w:val="TableParagraph"/>
              <w:spacing w:line="235" w:lineRule="exact" w:before="5"/>
              <w:ind w:left="368" w:right="341"/>
              <w:rPr>
                <w:rFonts w:ascii="Times New Roman"/>
                <w:sz w:val="21"/>
              </w:rPr>
            </w:pPr>
            <w:r>
              <w:rPr>
                <w:rFonts w:ascii="Times New Roman"/>
                <w:sz w:val="21"/>
              </w:rPr>
              <w:t>1.30</w:t>
            </w:r>
          </w:p>
        </w:tc>
        <w:tc>
          <w:tcPr>
            <w:tcW w:w="1527" w:type="dxa"/>
            <w:tcBorders>
              <w:top w:val="single" w:sz="4" w:space="0" w:color="000000"/>
              <w:left w:val="single" w:sz="4" w:space="0" w:color="000000"/>
            </w:tcBorders>
          </w:tcPr>
          <w:p>
            <w:pPr>
              <w:pStyle w:val="TableParagraph"/>
              <w:spacing w:line="235" w:lineRule="exact" w:before="5"/>
              <w:ind w:left="529" w:right="492"/>
              <w:rPr>
                <w:rFonts w:ascii="Times New Roman"/>
                <w:sz w:val="21"/>
              </w:rPr>
            </w:pPr>
            <w:r>
              <w:rPr>
                <w:rFonts w:ascii="Times New Roman"/>
                <w:sz w:val="21"/>
              </w:rPr>
              <w:t>1.32</w:t>
            </w:r>
          </w:p>
        </w:tc>
      </w:tr>
    </w:tbl>
    <w:p>
      <w:pPr>
        <w:spacing w:after="0" w:line="235" w:lineRule="exact"/>
        <w:rPr>
          <w:rFonts w:ascii="Times New Roman"/>
          <w:sz w:val="21"/>
        </w:rPr>
        <w:sectPr>
          <w:pgSz w:w="11910" w:h="16850"/>
          <w:pgMar w:header="1004" w:footer="1088" w:top="1340" w:bottom="1280" w:left="1200" w:right="1000"/>
        </w:sectPr>
      </w:pPr>
    </w:p>
    <w:p>
      <w:pPr>
        <w:pStyle w:val="BodyText"/>
        <w:spacing w:before="3"/>
        <w:rPr>
          <w:b/>
          <w:sz w:val="6"/>
        </w:rPr>
      </w:pPr>
    </w:p>
    <w:tbl>
      <w:tblPr>
        <w:tblW w:w="0" w:type="auto"/>
        <w:jc w:val="left"/>
        <w:tblInd w:w="2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26"/>
        <w:gridCol w:w="2432"/>
        <w:gridCol w:w="1519"/>
        <w:gridCol w:w="509"/>
        <w:gridCol w:w="1013"/>
        <w:gridCol w:w="1018"/>
        <w:gridCol w:w="504"/>
        <w:gridCol w:w="1527"/>
      </w:tblGrid>
      <w:tr>
        <w:trPr>
          <w:trHeight w:val="273" w:hRule="atLeast"/>
        </w:trPr>
        <w:tc>
          <w:tcPr>
            <w:tcW w:w="826" w:type="dxa"/>
            <w:tcBorders>
              <w:bottom w:val="single" w:sz="4" w:space="0" w:color="000000"/>
              <w:right w:val="single" w:sz="4" w:space="0" w:color="000000"/>
            </w:tcBorders>
          </w:tcPr>
          <w:p>
            <w:pPr>
              <w:pStyle w:val="TableParagraph"/>
              <w:jc w:val="left"/>
              <w:rPr>
                <w:rFonts w:ascii="Times New Roman"/>
                <w:sz w:val="20"/>
              </w:rPr>
            </w:pPr>
          </w:p>
        </w:tc>
        <w:tc>
          <w:tcPr>
            <w:tcW w:w="2432" w:type="dxa"/>
            <w:tcBorders>
              <w:left w:val="single" w:sz="4" w:space="0" w:color="000000"/>
              <w:bottom w:val="single" w:sz="4" w:space="0" w:color="000000"/>
              <w:right w:val="single" w:sz="4" w:space="0" w:color="000000"/>
            </w:tcBorders>
          </w:tcPr>
          <w:p>
            <w:pPr>
              <w:pStyle w:val="TableParagraph"/>
              <w:spacing w:line="250" w:lineRule="exact" w:before="3"/>
              <w:ind w:left="175" w:right="150"/>
              <w:rPr>
                <w:rFonts w:ascii="Times New Roman" w:eastAsia="Times New Roman"/>
                <w:sz w:val="21"/>
              </w:rPr>
            </w:pPr>
            <w:r>
              <w:rPr>
                <w:sz w:val="21"/>
              </w:rPr>
              <w:t>总孔隙度</w:t>
            </w:r>
            <w:r>
              <w:rPr>
                <w:rFonts w:ascii="Times New Roman" w:eastAsia="Times New Roman"/>
                <w:sz w:val="21"/>
              </w:rPr>
              <w:t>%</w:t>
            </w:r>
          </w:p>
        </w:tc>
        <w:tc>
          <w:tcPr>
            <w:tcW w:w="1519" w:type="dxa"/>
            <w:tcBorders>
              <w:left w:val="single" w:sz="4" w:space="0" w:color="000000"/>
              <w:bottom w:val="single" w:sz="4" w:space="0" w:color="000000"/>
              <w:right w:val="single" w:sz="4" w:space="0" w:color="000000"/>
            </w:tcBorders>
          </w:tcPr>
          <w:p>
            <w:pPr>
              <w:pStyle w:val="TableParagraph"/>
              <w:spacing w:line="236" w:lineRule="exact" w:before="17"/>
              <w:ind w:left="531"/>
              <w:jc w:val="left"/>
              <w:rPr>
                <w:rFonts w:ascii="Times New Roman"/>
                <w:sz w:val="21"/>
              </w:rPr>
            </w:pPr>
            <w:r>
              <w:rPr>
                <w:rFonts w:ascii="Times New Roman"/>
                <w:sz w:val="21"/>
              </w:rPr>
              <w:t>51.62</w:t>
            </w:r>
          </w:p>
        </w:tc>
        <w:tc>
          <w:tcPr>
            <w:tcW w:w="1522" w:type="dxa"/>
            <w:gridSpan w:val="2"/>
            <w:tcBorders>
              <w:left w:val="single" w:sz="4" w:space="0" w:color="000000"/>
              <w:bottom w:val="single" w:sz="4" w:space="0" w:color="000000"/>
              <w:right w:val="single" w:sz="4" w:space="0" w:color="000000"/>
            </w:tcBorders>
          </w:tcPr>
          <w:p>
            <w:pPr>
              <w:pStyle w:val="TableParagraph"/>
              <w:spacing w:line="236" w:lineRule="exact" w:before="17"/>
              <w:ind w:left="369" w:right="341"/>
              <w:rPr>
                <w:rFonts w:ascii="Times New Roman"/>
                <w:sz w:val="21"/>
              </w:rPr>
            </w:pPr>
            <w:r>
              <w:rPr>
                <w:rFonts w:ascii="Times New Roman"/>
                <w:sz w:val="21"/>
              </w:rPr>
              <w:t>51.13</w:t>
            </w:r>
          </w:p>
        </w:tc>
        <w:tc>
          <w:tcPr>
            <w:tcW w:w="1522" w:type="dxa"/>
            <w:gridSpan w:val="2"/>
            <w:tcBorders>
              <w:left w:val="single" w:sz="4" w:space="0" w:color="000000"/>
              <w:bottom w:val="single" w:sz="4" w:space="0" w:color="000000"/>
              <w:right w:val="single" w:sz="4" w:space="0" w:color="000000"/>
            </w:tcBorders>
          </w:tcPr>
          <w:p>
            <w:pPr>
              <w:pStyle w:val="TableParagraph"/>
              <w:spacing w:line="236" w:lineRule="exact" w:before="17"/>
              <w:ind w:left="370" w:right="341"/>
              <w:rPr>
                <w:rFonts w:ascii="Times New Roman"/>
                <w:sz w:val="21"/>
              </w:rPr>
            </w:pPr>
            <w:r>
              <w:rPr>
                <w:rFonts w:ascii="Times New Roman"/>
                <w:sz w:val="21"/>
              </w:rPr>
              <w:t>51.11</w:t>
            </w:r>
          </w:p>
        </w:tc>
        <w:tc>
          <w:tcPr>
            <w:tcW w:w="1527" w:type="dxa"/>
            <w:tcBorders>
              <w:left w:val="single" w:sz="4" w:space="0" w:color="000000"/>
              <w:bottom w:val="single" w:sz="4" w:space="0" w:color="000000"/>
            </w:tcBorders>
          </w:tcPr>
          <w:p>
            <w:pPr>
              <w:pStyle w:val="TableParagraph"/>
              <w:spacing w:line="236" w:lineRule="exact" w:before="17"/>
              <w:ind w:left="534"/>
              <w:jc w:val="left"/>
              <w:rPr>
                <w:rFonts w:ascii="Times New Roman"/>
                <w:sz w:val="21"/>
              </w:rPr>
            </w:pPr>
            <w:r>
              <w:rPr>
                <w:rFonts w:ascii="Times New Roman"/>
                <w:sz w:val="21"/>
              </w:rPr>
              <w:t>50.30</w:t>
            </w:r>
          </w:p>
        </w:tc>
      </w:tr>
      <w:tr>
        <w:trPr>
          <w:trHeight w:val="544" w:hRule="atLeast"/>
        </w:trPr>
        <w:tc>
          <w:tcPr>
            <w:tcW w:w="3258" w:type="dxa"/>
            <w:gridSpan w:val="2"/>
            <w:tcBorders>
              <w:top w:val="single" w:sz="4" w:space="0" w:color="000000"/>
              <w:bottom w:val="single" w:sz="4" w:space="0" w:color="000000"/>
              <w:right w:val="single" w:sz="4" w:space="0" w:color="000000"/>
            </w:tcBorders>
          </w:tcPr>
          <w:p>
            <w:pPr>
              <w:pStyle w:val="TableParagraph"/>
              <w:spacing w:before="137"/>
              <w:ind w:left="1398" w:right="1379"/>
              <w:rPr>
                <w:sz w:val="21"/>
              </w:rPr>
            </w:pPr>
            <w:r>
              <w:rPr>
                <w:sz w:val="21"/>
              </w:rPr>
              <w:t>点位</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7"/>
              <w:ind w:left="287"/>
              <w:jc w:val="left"/>
              <w:rPr>
                <w:sz w:val="21"/>
              </w:rPr>
            </w:pPr>
            <w:r>
              <w:rPr>
                <w:sz w:val="21"/>
              </w:rPr>
              <w:t>拟建综合楼北面</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ind w:left="269" w:right="242"/>
              <w:rPr>
                <w:sz w:val="21"/>
              </w:rPr>
            </w:pPr>
            <w:r>
              <w:rPr>
                <w:sz w:val="21"/>
              </w:rPr>
              <w:t>厂区西面围墙外</w:t>
            </w:r>
          </w:p>
          <w:p>
            <w:pPr>
              <w:pStyle w:val="TableParagraph"/>
              <w:spacing w:line="250" w:lineRule="exact" w:before="4"/>
              <w:ind w:left="269" w:right="242"/>
              <w:rPr>
                <w:sz w:val="21"/>
              </w:rPr>
            </w:pPr>
            <w:r>
              <w:rPr>
                <w:rFonts w:ascii="Times New Roman" w:eastAsia="Times New Roman"/>
                <w:sz w:val="21"/>
              </w:rPr>
              <w:t>20m </w:t>
            </w:r>
            <w:r>
              <w:rPr>
                <w:sz w:val="21"/>
              </w:rPr>
              <w:t>处</w:t>
            </w:r>
          </w:p>
        </w:tc>
        <w:tc>
          <w:tcPr>
            <w:tcW w:w="2031" w:type="dxa"/>
            <w:gridSpan w:val="2"/>
            <w:tcBorders>
              <w:top w:val="single" w:sz="4" w:space="0" w:color="000000"/>
              <w:left w:val="single" w:sz="4" w:space="0" w:color="000000"/>
              <w:bottom w:val="single" w:sz="4" w:space="0" w:color="000000"/>
            </w:tcBorders>
          </w:tcPr>
          <w:p>
            <w:pPr>
              <w:pStyle w:val="TableParagraph"/>
              <w:spacing w:before="1"/>
              <w:ind w:left="268" w:right="232"/>
              <w:rPr>
                <w:sz w:val="21"/>
              </w:rPr>
            </w:pPr>
            <w:r>
              <w:rPr>
                <w:sz w:val="21"/>
              </w:rPr>
              <w:t>厂区东面围墙外</w:t>
            </w:r>
          </w:p>
          <w:p>
            <w:pPr>
              <w:pStyle w:val="TableParagraph"/>
              <w:spacing w:line="250" w:lineRule="exact" w:before="4"/>
              <w:ind w:left="268" w:right="231"/>
              <w:rPr>
                <w:sz w:val="21"/>
              </w:rPr>
            </w:pPr>
            <w:r>
              <w:rPr>
                <w:rFonts w:ascii="Times New Roman" w:eastAsia="Times New Roman"/>
                <w:sz w:val="21"/>
              </w:rPr>
              <w:t>20m </w:t>
            </w:r>
            <w:r>
              <w:rPr>
                <w:sz w:val="21"/>
              </w:rPr>
              <w:t>处</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日期</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548"/>
              <w:jc w:val="left"/>
              <w:rPr>
                <w:rFonts w:ascii="Times New Roman"/>
                <w:sz w:val="21"/>
              </w:rPr>
            </w:pPr>
            <w:r>
              <w:rPr>
                <w:rFonts w:ascii="Times New Roman"/>
                <w:sz w:val="21"/>
              </w:rPr>
              <w:t>2022.02.22</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551"/>
              <w:jc w:val="left"/>
              <w:rPr>
                <w:rFonts w:ascii="Times New Roman"/>
                <w:sz w:val="21"/>
              </w:rPr>
            </w:pPr>
            <w:r>
              <w:rPr>
                <w:rFonts w:ascii="Times New Roman"/>
                <w:sz w:val="21"/>
              </w:rPr>
              <w:t>2022.02.22</w:t>
            </w:r>
          </w:p>
        </w:tc>
        <w:tc>
          <w:tcPr>
            <w:tcW w:w="2031" w:type="dxa"/>
            <w:gridSpan w:val="2"/>
            <w:tcBorders>
              <w:top w:val="single" w:sz="4" w:space="0" w:color="000000"/>
              <w:left w:val="single" w:sz="4" w:space="0" w:color="000000"/>
              <w:bottom w:val="single" w:sz="4" w:space="0" w:color="000000"/>
            </w:tcBorders>
          </w:tcPr>
          <w:p>
            <w:pPr>
              <w:pStyle w:val="TableParagraph"/>
              <w:spacing w:line="238" w:lineRule="exact" w:before="15"/>
              <w:ind w:left="551"/>
              <w:jc w:val="left"/>
              <w:rPr>
                <w:rFonts w:ascii="Times New Roman"/>
                <w:sz w:val="21"/>
              </w:rPr>
            </w:pPr>
            <w:r>
              <w:rPr>
                <w:rFonts w:ascii="Times New Roman"/>
                <w:sz w:val="21"/>
              </w:rPr>
              <w:t>2022.02.22</w:t>
            </w:r>
          </w:p>
        </w:tc>
      </w:tr>
      <w:tr>
        <w:trPr>
          <w:trHeight w:val="270"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1"/>
              <w:ind w:left="1398" w:right="1379"/>
              <w:rPr>
                <w:sz w:val="21"/>
              </w:rPr>
            </w:pPr>
            <w:r>
              <w:rPr>
                <w:sz w:val="21"/>
              </w:rPr>
              <w:t>经度</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14"/>
              <w:jc w:val="left"/>
              <w:rPr>
                <w:rFonts w:ascii="Times New Roman" w:hAnsi="Times New Roman"/>
                <w:sz w:val="21"/>
              </w:rPr>
            </w:pPr>
            <w:r>
              <w:rPr>
                <w:rFonts w:ascii="Times New Roman" w:hAnsi="Times New Roman"/>
                <w:sz w:val="21"/>
              </w:rPr>
              <w:t>120°53′47.88″</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417"/>
              <w:jc w:val="left"/>
              <w:rPr>
                <w:rFonts w:ascii="Times New Roman" w:hAnsi="Times New Roman"/>
                <w:sz w:val="21"/>
              </w:rPr>
            </w:pPr>
            <w:r>
              <w:rPr>
                <w:rFonts w:ascii="Times New Roman" w:hAnsi="Times New Roman"/>
                <w:sz w:val="21"/>
              </w:rPr>
              <w:t>120°53′47.82″</w:t>
            </w:r>
          </w:p>
        </w:tc>
        <w:tc>
          <w:tcPr>
            <w:tcW w:w="2031" w:type="dxa"/>
            <w:gridSpan w:val="2"/>
            <w:tcBorders>
              <w:top w:val="single" w:sz="4" w:space="0" w:color="000000"/>
              <w:left w:val="single" w:sz="4" w:space="0" w:color="000000"/>
              <w:bottom w:val="single" w:sz="4" w:space="0" w:color="000000"/>
            </w:tcBorders>
          </w:tcPr>
          <w:p>
            <w:pPr>
              <w:pStyle w:val="TableParagraph"/>
              <w:spacing w:line="236" w:lineRule="exact" w:before="15"/>
              <w:ind w:left="416"/>
              <w:jc w:val="left"/>
              <w:rPr>
                <w:rFonts w:ascii="Times New Roman" w:hAnsi="Times New Roman"/>
                <w:sz w:val="21"/>
              </w:rPr>
            </w:pPr>
            <w:r>
              <w:rPr>
                <w:rFonts w:ascii="Times New Roman" w:hAnsi="Times New Roman"/>
                <w:sz w:val="21"/>
              </w:rPr>
              <w:t>120°53′54.91″</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0" w:lineRule="exact" w:before="3"/>
              <w:ind w:left="1398" w:right="1379"/>
              <w:rPr>
                <w:sz w:val="21"/>
              </w:rPr>
            </w:pPr>
            <w:r>
              <w:rPr>
                <w:sz w:val="21"/>
              </w:rPr>
              <w:t>纬度</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67"/>
              <w:jc w:val="left"/>
              <w:rPr>
                <w:rFonts w:ascii="Times New Roman" w:hAnsi="Times New Roman"/>
                <w:sz w:val="21"/>
              </w:rPr>
            </w:pPr>
            <w:r>
              <w:rPr>
                <w:rFonts w:ascii="Times New Roman" w:hAnsi="Times New Roman"/>
                <w:sz w:val="21"/>
              </w:rPr>
              <w:t>30°10′21.96″</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36" w:lineRule="exact" w:before="17"/>
              <w:ind w:left="469"/>
              <w:jc w:val="left"/>
              <w:rPr>
                <w:rFonts w:ascii="Times New Roman" w:hAnsi="Times New Roman"/>
                <w:sz w:val="21"/>
              </w:rPr>
            </w:pPr>
            <w:r>
              <w:rPr>
                <w:rFonts w:ascii="Times New Roman" w:hAnsi="Times New Roman"/>
                <w:sz w:val="21"/>
              </w:rPr>
              <w:t>30°10′15.55″</w:t>
            </w:r>
          </w:p>
        </w:tc>
        <w:tc>
          <w:tcPr>
            <w:tcW w:w="2031" w:type="dxa"/>
            <w:gridSpan w:val="2"/>
            <w:tcBorders>
              <w:top w:val="single" w:sz="4" w:space="0" w:color="000000"/>
              <w:left w:val="single" w:sz="4" w:space="0" w:color="000000"/>
              <w:bottom w:val="single" w:sz="4" w:space="0" w:color="000000"/>
            </w:tcBorders>
          </w:tcPr>
          <w:p>
            <w:pPr>
              <w:pStyle w:val="TableParagraph"/>
              <w:spacing w:line="236" w:lineRule="exact" w:before="17"/>
              <w:ind w:left="469"/>
              <w:jc w:val="left"/>
              <w:rPr>
                <w:rFonts w:ascii="Times New Roman" w:hAnsi="Times New Roman"/>
                <w:sz w:val="21"/>
              </w:rPr>
            </w:pPr>
            <w:r>
              <w:rPr>
                <w:rFonts w:ascii="Times New Roman" w:hAnsi="Times New Roman"/>
                <w:sz w:val="21"/>
              </w:rPr>
              <w:t>30°10′16.73″</w:t>
            </w:r>
          </w:p>
        </w:tc>
      </w:tr>
      <w:tr>
        <w:trPr>
          <w:trHeight w:val="273" w:hRule="atLeast"/>
        </w:trPr>
        <w:tc>
          <w:tcPr>
            <w:tcW w:w="3258" w:type="dxa"/>
            <w:gridSpan w:val="2"/>
            <w:tcBorders>
              <w:top w:val="single" w:sz="4" w:space="0" w:color="000000"/>
              <w:bottom w:val="single" w:sz="4" w:space="0" w:color="000000"/>
              <w:right w:val="single" w:sz="4" w:space="0" w:color="000000"/>
            </w:tcBorders>
          </w:tcPr>
          <w:p>
            <w:pPr>
              <w:pStyle w:val="TableParagraph"/>
              <w:spacing w:line="252" w:lineRule="exact" w:before="1"/>
              <w:ind w:left="1398" w:right="1379"/>
              <w:rPr>
                <w:sz w:val="21"/>
              </w:rPr>
            </w:pPr>
            <w:r>
              <w:rPr>
                <w:sz w:val="21"/>
              </w:rPr>
              <w:t>层次</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573" w:right="545"/>
              <w:rPr>
                <w:rFonts w:ascii="Times New Roman"/>
                <w:sz w:val="21"/>
              </w:rPr>
            </w:pPr>
            <w:r>
              <w:rPr>
                <w:rFonts w:ascii="Times New Roman"/>
                <w:sz w:val="21"/>
              </w:rPr>
              <w:t>0-0.2m</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269" w:right="238"/>
              <w:rPr>
                <w:rFonts w:ascii="Times New Roman"/>
                <w:sz w:val="21"/>
              </w:rPr>
            </w:pPr>
            <w:r>
              <w:rPr>
                <w:rFonts w:ascii="Times New Roman"/>
                <w:sz w:val="21"/>
              </w:rPr>
              <w:t>0-0.2m</w:t>
            </w:r>
          </w:p>
        </w:tc>
        <w:tc>
          <w:tcPr>
            <w:tcW w:w="2031" w:type="dxa"/>
            <w:gridSpan w:val="2"/>
            <w:tcBorders>
              <w:top w:val="single" w:sz="4" w:space="0" w:color="000000"/>
              <w:left w:val="single" w:sz="4" w:space="0" w:color="000000"/>
              <w:bottom w:val="single" w:sz="4" w:space="0" w:color="000000"/>
            </w:tcBorders>
          </w:tcPr>
          <w:p>
            <w:pPr>
              <w:pStyle w:val="TableParagraph"/>
              <w:spacing w:line="238" w:lineRule="exact" w:before="15"/>
              <w:ind w:left="268" w:right="227"/>
              <w:rPr>
                <w:rFonts w:ascii="Times New Roman"/>
                <w:sz w:val="21"/>
              </w:rPr>
            </w:pPr>
            <w:r>
              <w:rPr>
                <w:rFonts w:ascii="Times New Roman"/>
                <w:sz w:val="21"/>
              </w:rPr>
              <w:t>0-0.2m</w:t>
            </w:r>
          </w:p>
        </w:tc>
      </w:tr>
      <w:tr>
        <w:trPr>
          <w:trHeight w:val="270" w:hRule="atLeast"/>
        </w:trPr>
        <w:tc>
          <w:tcPr>
            <w:tcW w:w="826" w:type="dxa"/>
            <w:vMerge w:val="restart"/>
            <w:tcBorders>
              <w:top w:val="single" w:sz="4" w:space="0" w:color="000000"/>
              <w:bottom w:val="single" w:sz="4" w:space="0" w:color="000000"/>
              <w:right w:val="single" w:sz="4" w:space="0" w:color="000000"/>
            </w:tcBorders>
          </w:tcPr>
          <w:p>
            <w:pPr>
              <w:pStyle w:val="TableParagraph"/>
              <w:jc w:val="left"/>
              <w:rPr>
                <w:b/>
                <w:sz w:val="20"/>
              </w:rPr>
            </w:pPr>
          </w:p>
          <w:p>
            <w:pPr>
              <w:pStyle w:val="TableParagraph"/>
              <w:spacing w:line="244" w:lineRule="auto" w:before="172"/>
              <w:ind w:left="200" w:right="180"/>
              <w:jc w:val="left"/>
              <w:rPr>
                <w:sz w:val="21"/>
              </w:rPr>
            </w:pPr>
            <w:r>
              <w:rPr>
                <w:sz w:val="21"/>
              </w:rPr>
              <w:t>现场记录</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4" w:right="150"/>
              <w:rPr>
                <w:sz w:val="21"/>
              </w:rPr>
            </w:pPr>
            <w:r>
              <w:rPr>
                <w:sz w:val="21"/>
              </w:rPr>
              <w:t>颜色</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573" w:right="544"/>
              <w:rPr>
                <w:sz w:val="21"/>
              </w:rPr>
            </w:pPr>
            <w:r>
              <w:rPr>
                <w:sz w:val="21"/>
              </w:rPr>
              <w:t>棕色</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269" w:right="242"/>
              <w:rPr>
                <w:sz w:val="21"/>
              </w:rPr>
            </w:pPr>
            <w:r>
              <w:rPr>
                <w:sz w:val="21"/>
              </w:rPr>
              <w:t>棕色</w:t>
            </w:r>
          </w:p>
        </w:tc>
        <w:tc>
          <w:tcPr>
            <w:tcW w:w="2031" w:type="dxa"/>
            <w:gridSpan w:val="2"/>
            <w:tcBorders>
              <w:top w:val="single" w:sz="4" w:space="0" w:color="000000"/>
              <w:left w:val="single" w:sz="4" w:space="0" w:color="000000"/>
              <w:bottom w:val="single" w:sz="4" w:space="0" w:color="000000"/>
            </w:tcBorders>
          </w:tcPr>
          <w:p>
            <w:pPr>
              <w:pStyle w:val="TableParagraph"/>
              <w:spacing w:line="250" w:lineRule="exact" w:before="1"/>
              <w:ind w:left="268" w:right="231"/>
              <w:rPr>
                <w:sz w:val="21"/>
              </w:rPr>
            </w:pPr>
            <w:r>
              <w:rPr>
                <w:sz w:val="21"/>
              </w:rPr>
              <w:t>棕色</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4" w:right="150"/>
              <w:rPr>
                <w:sz w:val="21"/>
              </w:rPr>
            </w:pPr>
            <w:r>
              <w:rPr>
                <w:sz w:val="21"/>
              </w:rPr>
              <w:t>结构</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573" w:right="544"/>
              <w:rPr>
                <w:sz w:val="21"/>
              </w:rPr>
            </w:pPr>
            <w:r>
              <w:rPr>
                <w:sz w:val="21"/>
              </w:rPr>
              <w:t>团粒</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69" w:right="242"/>
              <w:rPr>
                <w:sz w:val="21"/>
              </w:rPr>
            </w:pPr>
            <w:r>
              <w:rPr>
                <w:sz w:val="21"/>
              </w:rPr>
              <w:t>团粒</w:t>
            </w:r>
          </w:p>
        </w:tc>
        <w:tc>
          <w:tcPr>
            <w:tcW w:w="2031" w:type="dxa"/>
            <w:gridSpan w:val="2"/>
            <w:tcBorders>
              <w:top w:val="single" w:sz="4" w:space="0" w:color="000000"/>
              <w:left w:val="single" w:sz="4" w:space="0" w:color="000000"/>
              <w:bottom w:val="single" w:sz="4" w:space="0" w:color="000000"/>
            </w:tcBorders>
          </w:tcPr>
          <w:p>
            <w:pPr>
              <w:pStyle w:val="TableParagraph"/>
              <w:spacing w:line="252" w:lineRule="exact" w:before="1"/>
              <w:ind w:left="268" w:right="231"/>
              <w:rPr>
                <w:sz w:val="21"/>
              </w:rPr>
            </w:pPr>
            <w:r>
              <w:rPr>
                <w:sz w:val="21"/>
              </w:rPr>
              <w:t>团粒</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4" w:right="150"/>
              <w:rPr>
                <w:sz w:val="21"/>
              </w:rPr>
            </w:pPr>
            <w:r>
              <w:rPr>
                <w:sz w:val="21"/>
              </w:rPr>
              <w:t>质地</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573" w:right="544"/>
              <w:rPr>
                <w:sz w:val="21"/>
              </w:rPr>
            </w:pPr>
            <w:r>
              <w:rPr>
                <w:sz w:val="21"/>
              </w:rPr>
              <w:t>壤土</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269" w:right="242"/>
              <w:rPr>
                <w:sz w:val="21"/>
              </w:rPr>
            </w:pPr>
            <w:r>
              <w:rPr>
                <w:sz w:val="21"/>
              </w:rPr>
              <w:t>壤土</w:t>
            </w:r>
          </w:p>
        </w:tc>
        <w:tc>
          <w:tcPr>
            <w:tcW w:w="2031" w:type="dxa"/>
            <w:gridSpan w:val="2"/>
            <w:tcBorders>
              <w:top w:val="single" w:sz="4" w:space="0" w:color="000000"/>
              <w:left w:val="single" w:sz="4" w:space="0" w:color="000000"/>
              <w:bottom w:val="single" w:sz="4" w:space="0" w:color="000000"/>
            </w:tcBorders>
          </w:tcPr>
          <w:p>
            <w:pPr>
              <w:pStyle w:val="TableParagraph"/>
              <w:spacing w:line="252" w:lineRule="exact" w:before="1"/>
              <w:ind w:left="268" w:right="231"/>
              <w:rPr>
                <w:sz w:val="21"/>
              </w:rPr>
            </w:pPr>
            <w:r>
              <w:rPr>
                <w:sz w:val="21"/>
              </w:rPr>
              <w:t>壤土</w:t>
            </w:r>
          </w:p>
        </w:tc>
      </w:tr>
      <w:tr>
        <w:trPr>
          <w:trHeight w:val="270"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
              <w:ind w:left="175" w:right="150"/>
              <w:rPr>
                <w:rFonts w:ascii="Times New Roman" w:eastAsia="Times New Roman"/>
                <w:sz w:val="21"/>
              </w:rPr>
            </w:pPr>
            <w:r>
              <w:rPr>
                <w:sz w:val="21"/>
              </w:rPr>
              <w:t>砂砾含量</w:t>
            </w:r>
            <w:r>
              <w:rPr>
                <w:rFonts w:ascii="Times New Roman" w:eastAsia="Times New Roman"/>
                <w:sz w:val="21"/>
              </w:rPr>
              <w:t>%</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573" w:right="548"/>
              <w:rPr>
                <w:rFonts w:ascii="Times New Roman"/>
                <w:sz w:val="21"/>
              </w:rPr>
            </w:pPr>
            <w:r>
              <w:rPr>
                <w:rFonts w:ascii="Times New Roman"/>
                <w:sz w:val="21"/>
              </w:rPr>
              <w:t>16</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36" w:lineRule="exact" w:before="15"/>
              <w:ind w:left="269" w:right="242"/>
              <w:rPr>
                <w:rFonts w:ascii="Times New Roman"/>
                <w:sz w:val="21"/>
              </w:rPr>
            </w:pPr>
            <w:r>
              <w:rPr>
                <w:rFonts w:ascii="Times New Roman"/>
                <w:sz w:val="21"/>
              </w:rPr>
              <w:t>17</w:t>
            </w:r>
          </w:p>
        </w:tc>
        <w:tc>
          <w:tcPr>
            <w:tcW w:w="2031" w:type="dxa"/>
            <w:gridSpan w:val="2"/>
            <w:tcBorders>
              <w:top w:val="single" w:sz="4" w:space="0" w:color="000000"/>
              <w:left w:val="single" w:sz="4" w:space="0" w:color="000000"/>
              <w:bottom w:val="single" w:sz="4" w:space="0" w:color="000000"/>
            </w:tcBorders>
          </w:tcPr>
          <w:p>
            <w:pPr>
              <w:pStyle w:val="TableParagraph"/>
              <w:spacing w:line="236" w:lineRule="exact" w:before="15"/>
              <w:ind w:left="268" w:right="231"/>
              <w:rPr>
                <w:rFonts w:ascii="Times New Roman"/>
                <w:sz w:val="21"/>
              </w:rPr>
            </w:pPr>
            <w:r>
              <w:rPr>
                <w:rFonts w:ascii="Times New Roman"/>
                <w:sz w:val="21"/>
              </w:rPr>
              <w:t>16</w:t>
            </w:r>
          </w:p>
        </w:tc>
      </w:tr>
      <w:tr>
        <w:trPr>
          <w:trHeight w:val="273" w:hRule="atLeast"/>
        </w:trPr>
        <w:tc>
          <w:tcPr>
            <w:tcW w:w="826" w:type="dxa"/>
            <w:vMerge/>
            <w:tcBorders>
              <w:top w:val="nil"/>
              <w:bottom w:val="single" w:sz="4" w:space="0" w:color="000000"/>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
              <w:ind w:left="177" w:right="150"/>
              <w:rPr>
                <w:sz w:val="21"/>
              </w:rPr>
            </w:pPr>
            <w:r>
              <w:rPr>
                <w:sz w:val="21"/>
              </w:rPr>
              <w:t>其他异物</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26"/>
              <w:rPr>
                <w:rFonts w:ascii="Times New Roman"/>
                <w:sz w:val="21"/>
              </w:rPr>
            </w:pPr>
            <w:r>
              <w:rPr>
                <w:rFonts w:ascii="Times New Roman"/>
                <w:w w:val="100"/>
                <w:sz w:val="21"/>
              </w:rPr>
              <w:t>/</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38" w:lineRule="exact" w:before="15"/>
              <w:ind w:left="28"/>
              <w:rPr>
                <w:rFonts w:ascii="Times New Roman"/>
                <w:sz w:val="21"/>
              </w:rPr>
            </w:pPr>
            <w:r>
              <w:rPr>
                <w:rFonts w:ascii="Times New Roman"/>
                <w:w w:val="100"/>
                <w:sz w:val="21"/>
              </w:rPr>
              <w:t>/</w:t>
            </w:r>
          </w:p>
        </w:tc>
        <w:tc>
          <w:tcPr>
            <w:tcW w:w="2031" w:type="dxa"/>
            <w:gridSpan w:val="2"/>
            <w:tcBorders>
              <w:top w:val="single" w:sz="4" w:space="0" w:color="000000"/>
              <w:left w:val="single" w:sz="4" w:space="0" w:color="000000"/>
              <w:bottom w:val="single" w:sz="4" w:space="0" w:color="000000"/>
            </w:tcBorders>
          </w:tcPr>
          <w:p>
            <w:pPr>
              <w:pStyle w:val="TableParagraph"/>
              <w:spacing w:line="238" w:lineRule="exact" w:before="15"/>
              <w:ind w:left="38"/>
              <w:rPr>
                <w:rFonts w:ascii="Times New Roman"/>
                <w:sz w:val="21"/>
              </w:rPr>
            </w:pPr>
            <w:r>
              <w:rPr>
                <w:rFonts w:ascii="Times New Roman"/>
                <w:w w:val="100"/>
                <w:sz w:val="21"/>
              </w:rPr>
              <w:t>/</w:t>
            </w:r>
          </w:p>
        </w:tc>
      </w:tr>
      <w:tr>
        <w:trPr>
          <w:trHeight w:val="263" w:hRule="atLeast"/>
        </w:trPr>
        <w:tc>
          <w:tcPr>
            <w:tcW w:w="826" w:type="dxa"/>
            <w:vMerge w:val="restart"/>
            <w:tcBorders>
              <w:top w:val="single" w:sz="4" w:space="0" w:color="000000"/>
              <w:right w:val="single" w:sz="4" w:space="0" w:color="000000"/>
            </w:tcBorders>
          </w:tcPr>
          <w:p>
            <w:pPr>
              <w:pStyle w:val="TableParagraph"/>
              <w:jc w:val="left"/>
              <w:rPr>
                <w:b/>
                <w:sz w:val="20"/>
              </w:rPr>
            </w:pPr>
          </w:p>
          <w:p>
            <w:pPr>
              <w:pStyle w:val="TableParagraph"/>
              <w:spacing w:line="242" w:lineRule="auto" w:before="179"/>
              <w:ind w:left="200" w:right="180"/>
              <w:jc w:val="both"/>
              <w:rPr>
                <w:sz w:val="21"/>
              </w:rPr>
            </w:pPr>
            <w:r>
              <w:rPr>
                <w:sz w:val="21"/>
              </w:rPr>
              <w:t>实验室测定</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1"/>
              <w:ind w:left="174" w:right="150"/>
              <w:rPr>
                <w:sz w:val="21"/>
              </w:rPr>
            </w:pPr>
            <w:r>
              <w:rPr>
                <w:rFonts w:ascii="Times New Roman" w:eastAsia="Times New Roman"/>
                <w:sz w:val="21"/>
              </w:rPr>
              <w:t>pH</w:t>
            </w:r>
            <w:r>
              <w:rPr>
                <w:rFonts w:ascii="Times New Roman" w:eastAsia="Times New Roman"/>
                <w:spacing w:val="52"/>
                <w:sz w:val="21"/>
              </w:rPr>
              <w:t> </w:t>
            </w:r>
            <w:r>
              <w:rPr>
                <w:spacing w:val="-2"/>
                <w:sz w:val="21"/>
              </w:rPr>
              <w:t>无量纲</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28" w:lineRule="exact" w:before="15"/>
              <w:ind w:left="573" w:right="544"/>
              <w:rPr>
                <w:rFonts w:ascii="Times New Roman"/>
                <w:sz w:val="21"/>
              </w:rPr>
            </w:pPr>
            <w:r>
              <w:rPr>
                <w:rFonts w:ascii="Times New Roman"/>
                <w:sz w:val="21"/>
              </w:rPr>
              <w:t>7.05</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28" w:lineRule="exact" w:before="15"/>
              <w:ind w:left="269" w:right="242"/>
              <w:rPr>
                <w:rFonts w:ascii="Times New Roman"/>
                <w:sz w:val="21"/>
              </w:rPr>
            </w:pPr>
            <w:r>
              <w:rPr>
                <w:rFonts w:ascii="Times New Roman"/>
                <w:sz w:val="21"/>
              </w:rPr>
              <w:t>6.62</w:t>
            </w:r>
          </w:p>
        </w:tc>
        <w:tc>
          <w:tcPr>
            <w:tcW w:w="2031" w:type="dxa"/>
            <w:gridSpan w:val="2"/>
            <w:tcBorders>
              <w:top w:val="single" w:sz="4" w:space="0" w:color="000000"/>
              <w:left w:val="single" w:sz="4" w:space="0" w:color="000000"/>
              <w:bottom w:val="single" w:sz="4" w:space="0" w:color="000000"/>
            </w:tcBorders>
          </w:tcPr>
          <w:p>
            <w:pPr>
              <w:pStyle w:val="TableParagraph"/>
              <w:spacing w:line="228" w:lineRule="exact" w:before="15"/>
              <w:ind w:left="268" w:right="231"/>
              <w:rPr>
                <w:rFonts w:ascii="Times New Roman"/>
                <w:sz w:val="21"/>
              </w:rPr>
            </w:pPr>
            <w:r>
              <w:rPr>
                <w:rFonts w:ascii="Times New Roman"/>
                <w:sz w:val="21"/>
              </w:rPr>
              <w:t>6.84</w:t>
            </w:r>
          </w:p>
        </w:tc>
      </w:tr>
      <w:tr>
        <w:trPr>
          <w:trHeight w:val="251"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177" w:right="150"/>
              <w:rPr>
                <w:rFonts w:ascii="Times New Roman" w:eastAsia="Times New Roman"/>
                <w:sz w:val="21"/>
              </w:rPr>
            </w:pPr>
            <w:r>
              <w:rPr>
                <w:sz w:val="21"/>
              </w:rPr>
              <w:t>阳离子交换量 </w:t>
            </w:r>
            <w:r>
              <w:rPr>
                <w:rFonts w:ascii="Times New Roman" w:eastAsia="Times New Roman"/>
                <w:sz w:val="21"/>
              </w:rPr>
              <w:t>cmol/kg</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573" w:right="544"/>
              <w:rPr>
                <w:rFonts w:ascii="Times New Roman"/>
                <w:sz w:val="21"/>
              </w:rPr>
            </w:pPr>
            <w:r>
              <w:rPr>
                <w:rFonts w:ascii="Times New Roman"/>
                <w:sz w:val="21"/>
              </w:rPr>
              <w:t>23.1</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269" w:right="242"/>
              <w:rPr>
                <w:rFonts w:ascii="Times New Roman"/>
                <w:sz w:val="21"/>
              </w:rPr>
            </w:pPr>
            <w:r>
              <w:rPr>
                <w:rFonts w:ascii="Times New Roman"/>
                <w:sz w:val="21"/>
              </w:rPr>
              <w:t>20.6</w:t>
            </w:r>
          </w:p>
        </w:tc>
        <w:tc>
          <w:tcPr>
            <w:tcW w:w="2031" w:type="dxa"/>
            <w:gridSpan w:val="2"/>
            <w:tcBorders>
              <w:top w:val="single" w:sz="4" w:space="0" w:color="000000"/>
              <w:left w:val="single" w:sz="4" w:space="0" w:color="000000"/>
              <w:bottom w:val="single" w:sz="4" w:space="0" w:color="000000"/>
            </w:tcBorders>
          </w:tcPr>
          <w:p>
            <w:pPr>
              <w:pStyle w:val="TableParagraph"/>
              <w:spacing w:line="226" w:lineRule="exact" w:before="5"/>
              <w:ind w:left="268" w:right="231"/>
              <w:rPr>
                <w:rFonts w:ascii="Times New Roman"/>
                <w:sz w:val="21"/>
              </w:rPr>
            </w:pPr>
            <w:r>
              <w:rPr>
                <w:rFonts w:ascii="Times New Roman"/>
                <w:sz w:val="21"/>
              </w:rPr>
              <w:t>20.2</w:t>
            </w:r>
          </w:p>
        </w:tc>
      </w:tr>
      <w:tr>
        <w:trPr>
          <w:trHeight w:val="253"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173" w:right="150"/>
              <w:rPr>
                <w:rFonts w:ascii="Times New Roman" w:eastAsia="Times New Roman"/>
                <w:sz w:val="21"/>
              </w:rPr>
            </w:pPr>
            <w:r>
              <w:rPr>
                <w:sz w:val="21"/>
              </w:rPr>
              <w:t>氧化还原电位 </w:t>
            </w:r>
            <w:r>
              <w:rPr>
                <w:rFonts w:ascii="Times New Roman" w:eastAsia="Times New Roman"/>
                <w:sz w:val="21"/>
              </w:rPr>
              <w:t>mV</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573" w:right="544"/>
              <w:rPr>
                <w:rFonts w:ascii="Times New Roman"/>
                <w:sz w:val="21"/>
              </w:rPr>
            </w:pPr>
            <w:r>
              <w:rPr>
                <w:rFonts w:ascii="Times New Roman"/>
                <w:sz w:val="21"/>
              </w:rPr>
              <w:t>416</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28" w:lineRule="exact" w:before="5"/>
              <w:ind w:left="269" w:right="242"/>
              <w:rPr>
                <w:rFonts w:ascii="Times New Roman"/>
                <w:sz w:val="21"/>
              </w:rPr>
            </w:pPr>
            <w:r>
              <w:rPr>
                <w:rFonts w:ascii="Times New Roman"/>
                <w:sz w:val="21"/>
              </w:rPr>
              <w:t>418</w:t>
            </w:r>
          </w:p>
        </w:tc>
        <w:tc>
          <w:tcPr>
            <w:tcW w:w="2031" w:type="dxa"/>
            <w:gridSpan w:val="2"/>
            <w:tcBorders>
              <w:top w:val="single" w:sz="4" w:space="0" w:color="000000"/>
              <w:left w:val="single" w:sz="4" w:space="0" w:color="000000"/>
              <w:bottom w:val="single" w:sz="4" w:space="0" w:color="000000"/>
            </w:tcBorders>
          </w:tcPr>
          <w:p>
            <w:pPr>
              <w:pStyle w:val="TableParagraph"/>
              <w:spacing w:line="228" w:lineRule="exact" w:before="5"/>
              <w:ind w:left="268" w:right="231"/>
              <w:rPr>
                <w:rFonts w:ascii="Times New Roman"/>
                <w:sz w:val="21"/>
              </w:rPr>
            </w:pPr>
            <w:r>
              <w:rPr>
                <w:rFonts w:ascii="Times New Roman"/>
                <w:sz w:val="21"/>
              </w:rPr>
              <w:t>415</w:t>
            </w:r>
          </w:p>
        </w:tc>
      </w:tr>
      <w:tr>
        <w:trPr>
          <w:trHeight w:val="250"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172" w:right="150"/>
              <w:rPr>
                <w:rFonts w:ascii="Times New Roman" w:eastAsia="Times New Roman"/>
                <w:sz w:val="21"/>
              </w:rPr>
            </w:pPr>
            <w:r>
              <w:rPr>
                <w:sz w:val="21"/>
              </w:rPr>
              <w:t>饱和导水率 </w:t>
            </w:r>
            <w:r>
              <w:rPr>
                <w:rFonts w:ascii="Times New Roman" w:eastAsia="Times New Roman"/>
                <w:sz w:val="21"/>
              </w:rPr>
              <w:t>cm/s</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573" w:right="544"/>
              <w:rPr>
                <w:rFonts w:ascii="Times New Roman"/>
                <w:sz w:val="21"/>
              </w:rPr>
            </w:pPr>
            <w:r>
              <w:rPr>
                <w:rFonts w:ascii="Times New Roman"/>
                <w:sz w:val="21"/>
              </w:rPr>
              <w:t>0.0005</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26" w:lineRule="exact" w:before="5"/>
              <w:ind w:left="269" w:right="242"/>
              <w:rPr>
                <w:rFonts w:ascii="Times New Roman"/>
                <w:sz w:val="21"/>
              </w:rPr>
            </w:pPr>
            <w:r>
              <w:rPr>
                <w:rFonts w:ascii="Times New Roman"/>
                <w:sz w:val="21"/>
              </w:rPr>
              <w:t>0.0004</w:t>
            </w:r>
          </w:p>
        </w:tc>
        <w:tc>
          <w:tcPr>
            <w:tcW w:w="2031" w:type="dxa"/>
            <w:gridSpan w:val="2"/>
            <w:tcBorders>
              <w:top w:val="single" w:sz="4" w:space="0" w:color="000000"/>
              <w:left w:val="single" w:sz="4" w:space="0" w:color="000000"/>
              <w:bottom w:val="single" w:sz="4" w:space="0" w:color="000000"/>
            </w:tcBorders>
          </w:tcPr>
          <w:p>
            <w:pPr>
              <w:pStyle w:val="TableParagraph"/>
              <w:spacing w:line="226" w:lineRule="exact" w:before="5"/>
              <w:ind w:left="268" w:right="231"/>
              <w:rPr>
                <w:rFonts w:ascii="Times New Roman"/>
                <w:sz w:val="21"/>
              </w:rPr>
            </w:pPr>
            <w:r>
              <w:rPr>
                <w:rFonts w:ascii="Times New Roman"/>
                <w:sz w:val="21"/>
              </w:rPr>
              <w:t>0.0004</w:t>
            </w:r>
          </w:p>
        </w:tc>
      </w:tr>
      <w:tr>
        <w:trPr>
          <w:trHeight w:val="253"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177" w:right="147"/>
              <w:rPr>
                <w:rFonts w:ascii="Times New Roman" w:hAnsi="Times New Roman" w:eastAsia="Times New Roman"/>
                <w:sz w:val="21"/>
              </w:rPr>
            </w:pPr>
            <w:r>
              <w:rPr>
                <w:sz w:val="21"/>
              </w:rPr>
              <w:t>土壤容重 </w:t>
            </w:r>
            <w:r>
              <w:rPr>
                <w:rFonts w:ascii="Times New Roman" w:hAnsi="Times New Roman" w:eastAsia="Times New Roman"/>
                <w:sz w:val="21"/>
              </w:rPr>
              <w:t>g/cm³</w:t>
            </w:r>
          </w:p>
        </w:tc>
        <w:tc>
          <w:tcPr>
            <w:tcW w:w="2028" w:type="dxa"/>
            <w:gridSpan w:val="2"/>
            <w:tcBorders>
              <w:top w:val="single" w:sz="4" w:space="0" w:color="000000"/>
              <w:left w:val="single" w:sz="4" w:space="0" w:color="000000"/>
              <w:bottom w:val="single" w:sz="4" w:space="0" w:color="000000"/>
              <w:right w:val="single" w:sz="4" w:space="0" w:color="000000"/>
            </w:tcBorders>
          </w:tcPr>
          <w:p>
            <w:pPr>
              <w:pStyle w:val="TableParagraph"/>
              <w:spacing w:line="226" w:lineRule="exact" w:before="7"/>
              <w:ind w:left="573" w:right="544"/>
              <w:rPr>
                <w:rFonts w:ascii="Times New Roman"/>
                <w:sz w:val="21"/>
              </w:rPr>
            </w:pPr>
            <w:r>
              <w:rPr>
                <w:rFonts w:ascii="Times New Roman"/>
                <w:sz w:val="21"/>
              </w:rPr>
              <w:t>1.27</w:t>
            </w:r>
          </w:p>
        </w:tc>
        <w:tc>
          <w:tcPr>
            <w:tcW w:w="2031" w:type="dxa"/>
            <w:gridSpan w:val="2"/>
            <w:tcBorders>
              <w:top w:val="single" w:sz="4" w:space="0" w:color="000000"/>
              <w:left w:val="single" w:sz="4" w:space="0" w:color="000000"/>
              <w:bottom w:val="single" w:sz="4" w:space="0" w:color="000000"/>
              <w:right w:val="single" w:sz="4" w:space="0" w:color="000000"/>
            </w:tcBorders>
          </w:tcPr>
          <w:p>
            <w:pPr>
              <w:pStyle w:val="TableParagraph"/>
              <w:spacing w:line="226" w:lineRule="exact" w:before="7"/>
              <w:ind w:left="269" w:right="242"/>
              <w:rPr>
                <w:rFonts w:ascii="Times New Roman"/>
                <w:sz w:val="21"/>
              </w:rPr>
            </w:pPr>
            <w:r>
              <w:rPr>
                <w:rFonts w:ascii="Times New Roman"/>
                <w:sz w:val="21"/>
              </w:rPr>
              <w:t>1.26</w:t>
            </w:r>
          </w:p>
        </w:tc>
        <w:tc>
          <w:tcPr>
            <w:tcW w:w="2031" w:type="dxa"/>
            <w:gridSpan w:val="2"/>
            <w:tcBorders>
              <w:top w:val="single" w:sz="4" w:space="0" w:color="000000"/>
              <w:left w:val="single" w:sz="4" w:space="0" w:color="000000"/>
              <w:bottom w:val="single" w:sz="4" w:space="0" w:color="000000"/>
            </w:tcBorders>
          </w:tcPr>
          <w:p>
            <w:pPr>
              <w:pStyle w:val="TableParagraph"/>
              <w:spacing w:line="226" w:lineRule="exact" w:before="7"/>
              <w:ind w:left="268" w:right="231"/>
              <w:rPr>
                <w:rFonts w:ascii="Times New Roman"/>
                <w:sz w:val="21"/>
              </w:rPr>
            </w:pPr>
            <w:r>
              <w:rPr>
                <w:rFonts w:ascii="Times New Roman"/>
                <w:sz w:val="21"/>
              </w:rPr>
              <w:t>1.30</w:t>
            </w:r>
          </w:p>
        </w:tc>
      </w:tr>
      <w:tr>
        <w:trPr>
          <w:trHeight w:val="260" w:hRule="atLeast"/>
        </w:trPr>
        <w:tc>
          <w:tcPr>
            <w:tcW w:w="826" w:type="dxa"/>
            <w:vMerge/>
            <w:tcBorders>
              <w:top w:val="nil"/>
              <w:right w:val="single" w:sz="4" w:space="0" w:color="000000"/>
            </w:tcBorders>
          </w:tcPr>
          <w:p>
            <w:pPr>
              <w:rPr>
                <w:sz w:val="2"/>
                <w:szCs w:val="2"/>
              </w:rPr>
            </w:pPr>
          </w:p>
        </w:tc>
        <w:tc>
          <w:tcPr>
            <w:tcW w:w="2432" w:type="dxa"/>
            <w:tcBorders>
              <w:top w:val="single" w:sz="4" w:space="0" w:color="000000"/>
              <w:left w:val="single" w:sz="4" w:space="0" w:color="000000"/>
              <w:right w:val="single" w:sz="4" w:space="0" w:color="000000"/>
            </w:tcBorders>
          </w:tcPr>
          <w:p>
            <w:pPr>
              <w:pStyle w:val="TableParagraph"/>
              <w:spacing w:line="240" w:lineRule="exact"/>
              <w:ind w:left="175" w:right="150"/>
              <w:rPr>
                <w:rFonts w:ascii="Times New Roman" w:eastAsia="Times New Roman"/>
                <w:sz w:val="21"/>
              </w:rPr>
            </w:pPr>
            <w:r>
              <w:rPr>
                <w:sz w:val="21"/>
              </w:rPr>
              <w:t>总孔隙度</w:t>
            </w:r>
            <w:r>
              <w:rPr>
                <w:rFonts w:ascii="Times New Roman" w:eastAsia="Times New Roman"/>
                <w:sz w:val="21"/>
              </w:rPr>
              <w:t>%</w:t>
            </w:r>
          </w:p>
        </w:tc>
        <w:tc>
          <w:tcPr>
            <w:tcW w:w="2028" w:type="dxa"/>
            <w:gridSpan w:val="2"/>
            <w:tcBorders>
              <w:top w:val="single" w:sz="4" w:space="0" w:color="000000"/>
              <w:left w:val="single" w:sz="4" w:space="0" w:color="000000"/>
              <w:right w:val="single" w:sz="4" w:space="0" w:color="000000"/>
            </w:tcBorders>
          </w:tcPr>
          <w:p>
            <w:pPr>
              <w:pStyle w:val="TableParagraph"/>
              <w:spacing w:line="235" w:lineRule="exact" w:before="5"/>
              <w:ind w:left="573" w:right="544"/>
              <w:rPr>
                <w:rFonts w:ascii="Times New Roman"/>
                <w:sz w:val="21"/>
              </w:rPr>
            </w:pPr>
            <w:r>
              <w:rPr>
                <w:rFonts w:ascii="Times New Roman"/>
                <w:sz w:val="21"/>
              </w:rPr>
              <w:t>51.93</w:t>
            </w:r>
          </w:p>
        </w:tc>
        <w:tc>
          <w:tcPr>
            <w:tcW w:w="2031" w:type="dxa"/>
            <w:gridSpan w:val="2"/>
            <w:tcBorders>
              <w:top w:val="single" w:sz="4" w:space="0" w:color="000000"/>
              <w:left w:val="single" w:sz="4" w:space="0" w:color="000000"/>
              <w:right w:val="single" w:sz="4" w:space="0" w:color="000000"/>
            </w:tcBorders>
          </w:tcPr>
          <w:p>
            <w:pPr>
              <w:pStyle w:val="TableParagraph"/>
              <w:spacing w:line="235" w:lineRule="exact" w:before="5"/>
              <w:ind w:left="269" w:right="242"/>
              <w:rPr>
                <w:rFonts w:ascii="Times New Roman"/>
                <w:sz w:val="21"/>
              </w:rPr>
            </w:pPr>
            <w:r>
              <w:rPr>
                <w:rFonts w:ascii="Times New Roman"/>
                <w:sz w:val="21"/>
              </w:rPr>
              <w:t>52.42</w:t>
            </w:r>
          </w:p>
        </w:tc>
        <w:tc>
          <w:tcPr>
            <w:tcW w:w="2031" w:type="dxa"/>
            <w:gridSpan w:val="2"/>
            <w:tcBorders>
              <w:top w:val="single" w:sz="4" w:space="0" w:color="000000"/>
              <w:left w:val="single" w:sz="4" w:space="0" w:color="000000"/>
            </w:tcBorders>
          </w:tcPr>
          <w:p>
            <w:pPr>
              <w:pStyle w:val="TableParagraph"/>
              <w:spacing w:line="235" w:lineRule="exact" w:before="5"/>
              <w:ind w:left="268" w:right="231"/>
              <w:rPr>
                <w:rFonts w:ascii="Times New Roman"/>
                <w:sz w:val="21"/>
              </w:rPr>
            </w:pPr>
            <w:r>
              <w:rPr>
                <w:rFonts w:ascii="Times New Roman"/>
                <w:sz w:val="21"/>
              </w:rPr>
              <w:t>51.17</w:t>
            </w:r>
          </w:p>
        </w:tc>
      </w:tr>
    </w:tbl>
    <w:p>
      <w:pPr>
        <w:pStyle w:val="BodyText"/>
        <w:spacing w:line="364" w:lineRule="auto" w:before="5"/>
        <w:ind w:left="331" w:right="242" w:firstLine="420"/>
      </w:pPr>
      <w:r>
        <w:rPr>
          <w:spacing w:val="-9"/>
        </w:rPr>
        <w:t>项目所在区域 </w:t>
      </w:r>
      <w:r>
        <w:rPr>
          <w:rFonts w:ascii="Times New Roman" w:eastAsia="Times New Roman"/>
        </w:rPr>
        <w:t>PH </w:t>
      </w:r>
      <w:r>
        <w:rPr>
          <w:spacing w:val="-30"/>
        </w:rPr>
        <w:t>在 </w:t>
      </w:r>
      <w:r>
        <w:rPr>
          <w:rFonts w:ascii="Times New Roman" w:eastAsia="Times New Roman"/>
        </w:rPr>
        <w:t>6.60~7.26 </w:t>
      </w:r>
      <w:r>
        <w:rPr>
          <w:spacing w:val="-5"/>
        </w:rPr>
        <w:t>之间，对照土壤导则附录 </w:t>
      </w:r>
      <w:r>
        <w:rPr>
          <w:rFonts w:ascii="Times New Roman" w:eastAsia="Times New Roman"/>
        </w:rPr>
        <w:t>D</w:t>
      </w:r>
      <w:r>
        <w:rPr>
          <w:spacing w:val="-2"/>
        </w:rPr>
        <w:t>，各监测点部分土层无酸</w:t>
      </w:r>
      <w:r>
        <w:rPr/>
        <w:t>化或者碱化。</w:t>
      </w:r>
    </w:p>
    <w:p>
      <w:pPr>
        <w:pStyle w:val="Heading4"/>
        <w:numPr>
          <w:ilvl w:val="3"/>
          <w:numId w:val="23"/>
        </w:numPr>
        <w:tabs>
          <w:tab w:pos="1052" w:val="left" w:leader="none"/>
        </w:tabs>
        <w:spacing w:line="306" w:lineRule="exact" w:before="0" w:after="0"/>
        <w:ind w:left="1051" w:right="0" w:hanging="721"/>
        <w:jc w:val="left"/>
      </w:pPr>
      <w:r>
        <w:rPr/>
        <w:t>土壤环境质量现状调查</w:t>
      </w:r>
    </w:p>
    <w:p>
      <w:pPr>
        <w:spacing w:before="161"/>
        <w:ind w:left="814" w:right="0" w:firstLine="0"/>
        <w:jc w:val="left"/>
        <w:rPr>
          <w:b/>
          <w:sz w:val="24"/>
        </w:rPr>
      </w:pPr>
      <w:r>
        <w:rPr>
          <w:rFonts w:ascii="Times New Roman" w:eastAsia="Times New Roman"/>
          <w:b/>
          <w:sz w:val="24"/>
        </w:rPr>
        <w:t>1</w:t>
      </w:r>
      <w:r>
        <w:rPr>
          <w:b/>
          <w:sz w:val="24"/>
        </w:rPr>
        <w:t>、企业西区土壤环境现状调查</w:t>
      </w:r>
    </w:p>
    <w:p>
      <w:pPr>
        <w:pStyle w:val="BodyText"/>
        <w:spacing w:before="158"/>
        <w:ind w:left="811"/>
        <w:jc w:val="both"/>
      </w:pPr>
      <w:r>
        <w:rPr/>
        <w:t>企业已批项目均位于企业西区，根据《环境影响评价技术导则 土壤环境</w:t>
      </w:r>
      <w:r>
        <w:rPr>
          <w:spacing w:val="4"/>
        </w:rPr>
        <w:t>（</w:t>
      </w:r>
      <w:r>
        <w:rPr>
          <w:spacing w:val="2"/>
        </w:rPr>
        <w:t>试行</w:t>
      </w:r>
      <w:r>
        <w:rPr>
          <w:spacing w:val="-118"/>
        </w:rPr>
        <w:t>）</w:t>
      </w:r>
      <w:r>
        <w:rPr/>
        <w:t>》</w:t>
      </w:r>
    </w:p>
    <w:p>
      <w:pPr>
        <w:pStyle w:val="BodyText"/>
        <w:spacing w:line="364" w:lineRule="auto" w:before="161"/>
        <w:ind w:left="331" w:right="246"/>
        <w:jc w:val="both"/>
      </w:pPr>
      <w:r>
        <w:rPr/>
        <w:t>（</w:t>
      </w:r>
      <w:r>
        <w:rPr>
          <w:rFonts w:ascii="Times New Roman" w:hAnsi="Times New Roman" w:eastAsia="Times New Roman"/>
          <w:w w:val="99"/>
        </w:rPr>
        <w:t>HJ96</w:t>
      </w:r>
      <w:r>
        <w:rPr>
          <w:rFonts w:ascii="Times New Roman" w:hAnsi="Times New Roman" w:eastAsia="Times New Roman"/>
          <w:spacing w:val="-1"/>
          <w:w w:val="99"/>
        </w:rPr>
        <w:t>4</w:t>
      </w:r>
      <w:r>
        <w:rPr>
          <w:rFonts w:ascii="Times New Roman" w:hAnsi="Times New Roman" w:eastAsia="Times New Roman"/>
          <w:spacing w:val="-1"/>
          <w:w w:val="99"/>
        </w:rPr>
        <w:t>-</w:t>
      </w:r>
      <w:r>
        <w:rPr>
          <w:rFonts w:ascii="Times New Roman" w:hAnsi="Times New Roman" w:eastAsia="Times New Roman"/>
          <w:w w:val="99"/>
        </w:rPr>
        <w:t>2018</w:t>
      </w:r>
      <w:r>
        <w:rPr>
          <w:spacing w:val="-118"/>
          <w:w w:val="99"/>
        </w:rPr>
        <w:t>）</w:t>
      </w:r>
      <w:r>
        <w:rPr>
          <w:spacing w:val="-12"/>
          <w:w w:val="99"/>
        </w:rPr>
        <w:t>：“改、扩建的污染影响型建设项目，其评价工作等级为一级、二级的，</w:t>
      </w:r>
      <w:r>
        <w:rPr>
          <w:spacing w:val="-1"/>
        </w:rPr>
        <w:t>应对现有工程的土壤环境保护措施情况进行调查，并重点调查主要装置或设施附近的土</w:t>
      </w:r>
      <w:r>
        <w:rPr>
          <w:spacing w:val="-12"/>
        </w:rPr>
        <w:t>壤污染现状。” 本环评引用企业对西区已有的土壤环境现状监测数据进行说明。</w:t>
      </w:r>
    </w:p>
    <w:p>
      <w:pPr>
        <w:pStyle w:val="Heading4"/>
        <w:spacing w:before="138" w:after="29"/>
        <w:ind w:left="2960"/>
        <w:jc w:val="both"/>
      </w:pPr>
      <w:r>
        <w:rPr/>
        <w:pict>
          <v:line style="position:absolute;mso-position-horizontal-relative:page;mso-position-vertical-relative:paragraph;z-index:-317732864" from="71.304001pt,24.060001pt" to="215.810001pt,64.380001pt" stroked="true" strokeweight=".72pt" strokecolor="#000000">
            <v:stroke dashstyle="solid"/>
            <w10:wrap type="none"/>
          </v:line>
        </w:pict>
      </w:r>
      <w:r>
        <w:rPr/>
        <w:t>表 </w:t>
      </w:r>
      <w:r>
        <w:rPr>
          <w:rFonts w:ascii="Times New Roman" w:eastAsia="Times New Roman"/>
        </w:rPr>
        <w:t>6.2.4-2  </w:t>
      </w:r>
      <w:r>
        <w:rPr/>
        <w:t>西区土壤现状监测结果（</w:t>
      </w:r>
      <w:r>
        <w:rPr>
          <w:rFonts w:ascii="Times New Roman" w:eastAsia="Times New Roman"/>
        </w:rPr>
        <w:t>1</w:t>
      </w:r>
      <w:r>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95"/>
        <w:gridCol w:w="1303"/>
        <w:gridCol w:w="1303"/>
        <w:gridCol w:w="1135"/>
        <w:gridCol w:w="1546"/>
        <w:gridCol w:w="1164"/>
      </w:tblGrid>
      <w:tr>
        <w:trPr>
          <w:trHeight w:val="515" w:hRule="atLeast"/>
        </w:trPr>
        <w:tc>
          <w:tcPr>
            <w:tcW w:w="2895" w:type="dxa"/>
            <w:vMerge w:val="restart"/>
          </w:tcPr>
          <w:p>
            <w:pPr>
              <w:pStyle w:val="TableParagraph"/>
              <w:spacing w:before="133"/>
              <w:ind w:left="1943"/>
              <w:jc w:val="left"/>
              <w:rPr>
                <w:b/>
                <w:sz w:val="21"/>
              </w:rPr>
            </w:pPr>
            <w:r>
              <w:rPr>
                <w:b/>
                <w:sz w:val="21"/>
              </w:rPr>
              <w:t>采样点位</w:t>
            </w:r>
          </w:p>
          <w:p>
            <w:pPr>
              <w:pStyle w:val="TableParagraph"/>
              <w:spacing w:before="4"/>
              <w:ind w:left="107"/>
              <w:jc w:val="left"/>
              <w:rPr>
                <w:b/>
                <w:sz w:val="21"/>
              </w:rPr>
            </w:pPr>
            <w:r>
              <w:rPr>
                <w:b/>
                <w:sz w:val="21"/>
              </w:rPr>
              <w:t>项目名称及单位</w:t>
            </w:r>
          </w:p>
        </w:tc>
        <w:tc>
          <w:tcPr>
            <w:tcW w:w="3741" w:type="dxa"/>
            <w:gridSpan w:val="3"/>
          </w:tcPr>
          <w:p>
            <w:pPr>
              <w:pStyle w:val="TableParagraph"/>
              <w:spacing w:before="3"/>
              <w:ind w:left="57" w:right="52"/>
              <w:rPr>
                <w:b/>
                <w:sz w:val="21"/>
              </w:rPr>
            </w:pPr>
            <w:r>
              <w:rPr>
                <w:b/>
                <w:sz w:val="21"/>
              </w:rPr>
              <w:t>还原车间西侧，距离还原车间约 </w:t>
            </w:r>
            <w:r>
              <w:rPr>
                <w:rFonts w:ascii="Times New Roman" w:eastAsia="Times New Roman"/>
                <w:b/>
                <w:sz w:val="21"/>
              </w:rPr>
              <w:t>3 </w:t>
            </w:r>
            <w:r>
              <w:rPr>
                <w:b/>
                <w:sz w:val="21"/>
              </w:rPr>
              <w:t>米</w:t>
            </w:r>
          </w:p>
          <w:p>
            <w:pPr>
              <w:pStyle w:val="TableParagraph"/>
              <w:spacing w:line="222" w:lineRule="exact" w:before="2"/>
              <w:ind w:left="57" w:right="52"/>
              <w:rPr>
                <w:rFonts w:ascii="Times New Roman"/>
                <w:b/>
                <w:sz w:val="21"/>
              </w:rPr>
            </w:pPr>
            <w:r>
              <w:rPr>
                <w:rFonts w:ascii="Times New Roman"/>
                <w:b/>
                <w:sz w:val="21"/>
              </w:rPr>
              <w:t>1C01</w:t>
            </w:r>
          </w:p>
        </w:tc>
        <w:tc>
          <w:tcPr>
            <w:tcW w:w="1546" w:type="dxa"/>
            <w:vMerge w:val="restart"/>
          </w:tcPr>
          <w:p>
            <w:pPr>
              <w:pStyle w:val="TableParagraph"/>
              <w:spacing w:line="244" w:lineRule="auto" w:before="133"/>
              <w:ind w:left="351" w:right="131" w:hanging="212"/>
              <w:jc w:val="left"/>
              <w:rPr>
                <w:b/>
                <w:sz w:val="21"/>
              </w:rPr>
            </w:pPr>
            <w:r>
              <w:rPr>
                <w:b/>
                <w:sz w:val="21"/>
              </w:rPr>
              <w:t>第二类用地筛选值标准</w:t>
            </w:r>
          </w:p>
        </w:tc>
        <w:tc>
          <w:tcPr>
            <w:tcW w:w="1164" w:type="dxa"/>
            <w:vMerge w:val="restart"/>
          </w:tcPr>
          <w:p>
            <w:pPr>
              <w:pStyle w:val="TableParagraph"/>
              <w:jc w:val="left"/>
              <w:rPr>
                <w:b/>
                <w:sz w:val="21"/>
              </w:rPr>
            </w:pPr>
          </w:p>
          <w:p>
            <w:pPr>
              <w:pStyle w:val="TableParagraph"/>
              <w:spacing w:before="1"/>
              <w:ind w:left="161"/>
              <w:jc w:val="left"/>
              <w:rPr>
                <w:b/>
                <w:sz w:val="21"/>
              </w:rPr>
            </w:pPr>
            <w:r>
              <w:rPr>
                <w:b/>
                <w:sz w:val="21"/>
              </w:rPr>
              <w:t>达标情况</w:t>
            </w:r>
          </w:p>
        </w:tc>
      </w:tr>
      <w:tr>
        <w:trPr>
          <w:trHeight w:val="287" w:hRule="atLeast"/>
        </w:trPr>
        <w:tc>
          <w:tcPr>
            <w:tcW w:w="2895" w:type="dxa"/>
            <w:vMerge/>
            <w:tcBorders>
              <w:top w:val="nil"/>
            </w:tcBorders>
          </w:tcPr>
          <w:p>
            <w:pPr>
              <w:rPr>
                <w:sz w:val="2"/>
                <w:szCs w:val="2"/>
              </w:rPr>
            </w:pPr>
          </w:p>
        </w:tc>
        <w:tc>
          <w:tcPr>
            <w:tcW w:w="1303" w:type="dxa"/>
          </w:tcPr>
          <w:p>
            <w:pPr>
              <w:pStyle w:val="TableParagraph"/>
              <w:spacing w:before="24"/>
              <w:ind w:right="337"/>
              <w:jc w:val="right"/>
              <w:rPr>
                <w:rFonts w:ascii="Times New Roman"/>
                <w:b/>
                <w:sz w:val="21"/>
              </w:rPr>
            </w:pPr>
            <w:r>
              <w:rPr>
                <w:rFonts w:ascii="Times New Roman"/>
                <w:b/>
                <w:sz w:val="21"/>
              </w:rPr>
              <w:t>0-0.5m</w:t>
            </w:r>
          </w:p>
        </w:tc>
        <w:tc>
          <w:tcPr>
            <w:tcW w:w="1303" w:type="dxa"/>
          </w:tcPr>
          <w:p>
            <w:pPr>
              <w:pStyle w:val="TableParagraph"/>
              <w:spacing w:before="24"/>
              <w:ind w:left="247" w:right="241"/>
              <w:rPr>
                <w:rFonts w:ascii="Times New Roman"/>
                <w:b/>
                <w:sz w:val="21"/>
              </w:rPr>
            </w:pPr>
            <w:r>
              <w:rPr>
                <w:rFonts w:ascii="Times New Roman"/>
                <w:b/>
                <w:sz w:val="21"/>
              </w:rPr>
              <w:t>0.6-1.2m</w:t>
            </w:r>
          </w:p>
        </w:tc>
        <w:tc>
          <w:tcPr>
            <w:tcW w:w="1135" w:type="dxa"/>
          </w:tcPr>
          <w:p>
            <w:pPr>
              <w:pStyle w:val="TableParagraph"/>
              <w:spacing w:before="24"/>
              <w:ind w:left="22" w:right="15"/>
              <w:rPr>
                <w:rFonts w:ascii="Times New Roman"/>
                <w:b/>
                <w:sz w:val="21"/>
              </w:rPr>
            </w:pPr>
            <w:r>
              <w:rPr>
                <w:rFonts w:ascii="Times New Roman"/>
                <w:b/>
                <w:sz w:val="21"/>
              </w:rPr>
              <w:t>2.0-4.5m</w:t>
            </w:r>
          </w:p>
        </w:tc>
        <w:tc>
          <w:tcPr>
            <w:tcW w:w="1546" w:type="dxa"/>
            <w:vMerge/>
            <w:tcBorders>
              <w:top w:val="nil"/>
            </w:tcBorders>
          </w:tcPr>
          <w:p>
            <w:pPr>
              <w:rPr>
                <w:sz w:val="2"/>
                <w:szCs w:val="2"/>
              </w:rPr>
            </w:pPr>
          </w:p>
        </w:tc>
        <w:tc>
          <w:tcPr>
            <w:tcW w:w="1164" w:type="dxa"/>
            <w:vMerge/>
            <w:tcBorders>
              <w:top w:val="nil"/>
            </w:tcBorders>
          </w:tcPr>
          <w:p>
            <w:pPr>
              <w:rPr>
                <w:sz w:val="2"/>
                <w:szCs w:val="2"/>
              </w:rPr>
            </w:pP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铜 </w:t>
            </w:r>
            <w:r>
              <w:rPr>
                <w:rFonts w:ascii="Times New Roman" w:eastAsia="Times New Roman"/>
                <w:sz w:val="21"/>
              </w:rPr>
              <w:t>mg/kg</w:t>
            </w:r>
          </w:p>
        </w:tc>
        <w:tc>
          <w:tcPr>
            <w:tcW w:w="1303" w:type="dxa"/>
          </w:tcPr>
          <w:p>
            <w:pPr>
              <w:pStyle w:val="TableParagraph"/>
              <w:spacing w:before="22"/>
              <w:ind w:left="247" w:right="240"/>
              <w:rPr>
                <w:rFonts w:ascii="Times New Roman"/>
                <w:sz w:val="21"/>
              </w:rPr>
            </w:pPr>
            <w:r>
              <w:rPr>
                <w:rFonts w:ascii="Times New Roman"/>
                <w:sz w:val="21"/>
              </w:rPr>
              <w:t>24.9</w:t>
            </w:r>
          </w:p>
        </w:tc>
        <w:tc>
          <w:tcPr>
            <w:tcW w:w="1303" w:type="dxa"/>
          </w:tcPr>
          <w:p>
            <w:pPr>
              <w:pStyle w:val="TableParagraph"/>
              <w:spacing w:before="22"/>
              <w:ind w:left="247" w:right="240"/>
              <w:rPr>
                <w:rFonts w:ascii="Times New Roman"/>
                <w:sz w:val="21"/>
              </w:rPr>
            </w:pPr>
            <w:r>
              <w:rPr>
                <w:rFonts w:ascii="Times New Roman"/>
                <w:sz w:val="21"/>
              </w:rPr>
              <w:t>27.2</w:t>
            </w:r>
          </w:p>
        </w:tc>
        <w:tc>
          <w:tcPr>
            <w:tcW w:w="1135" w:type="dxa"/>
          </w:tcPr>
          <w:p>
            <w:pPr>
              <w:pStyle w:val="TableParagraph"/>
              <w:spacing w:before="22"/>
              <w:ind w:left="23" w:right="15"/>
              <w:rPr>
                <w:rFonts w:ascii="Times New Roman"/>
                <w:sz w:val="21"/>
              </w:rPr>
            </w:pPr>
            <w:r>
              <w:rPr>
                <w:rFonts w:ascii="Times New Roman"/>
                <w:sz w:val="21"/>
              </w:rPr>
              <w:t>17.0</w:t>
            </w:r>
          </w:p>
        </w:tc>
        <w:tc>
          <w:tcPr>
            <w:tcW w:w="1546" w:type="dxa"/>
          </w:tcPr>
          <w:p>
            <w:pPr>
              <w:pStyle w:val="TableParagraph"/>
              <w:spacing w:before="22"/>
              <w:ind w:right="501"/>
              <w:jc w:val="right"/>
              <w:rPr>
                <w:rFonts w:ascii="Times New Roman"/>
                <w:sz w:val="21"/>
              </w:rPr>
            </w:pPr>
            <w:r>
              <w:rPr>
                <w:rFonts w:ascii="Times New Roman"/>
                <w:sz w:val="21"/>
              </w:rPr>
              <w:t>18000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铅 </w:t>
            </w:r>
            <w:r>
              <w:rPr>
                <w:rFonts w:ascii="Times New Roman" w:eastAsia="Times New Roman"/>
                <w:sz w:val="21"/>
              </w:rPr>
              <w:t>mg/kg</w:t>
            </w:r>
          </w:p>
        </w:tc>
        <w:tc>
          <w:tcPr>
            <w:tcW w:w="1303" w:type="dxa"/>
          </w:tcPr>
          <w:p>
            <w:pPr>
              <w:pStyle w:val="TableParagraph"/>
              <w:spacing w:before="20"/>
              <w:ind w:left="243" w:right="241"/>
              <w:rPr>
                <w:rFonts w:ascii="Times New Roman"/>
                <w:sz w:val="21"/>
              </w:rPr>
            </w:pPr>
            <w:r>
              <w:rPr>
                <w:rFonts w:ascii="Times New Roman"/>
                <w:sz w:val="21"/>
              </w:rPr>
              <w:t>29</w:t>
            </w:r>
          </w:p>
        </w:tc>
        <w:tc>
          <w:tcPr>
            <w:tcW w:w="1303" w:type="dxa"/>
          </w:tcPr>
          <w:p>
            <w:pPr>
              <w:pStyle w:val="TableParagraph"/>
              <w:spacing w:before="20"/>
              <w:ind w:left="243" w:right="241"/>
              <w:rPr>
                <w:rFonts w:ascii="Times New Roman"/>
                <w:sz w:val="21"/>
              </w:rPr>
            </w:pPr>
            <w:r>
              <w:rPr>
                <w:rFonts w:ascii="Times New Roman"/>
                <w:sz w:val="21"/>
              </w:rPr>
              <w:t>12</w:t>
            </w:r>
          </w:p>
        </w:tc>
        <w:tc>
          <w:tcPr>
            <w:tcW w:w="1135" w:type="dxa"/>
          </w:tcPr>
          <w:p>
            <w:pPr>
              <w:pStyle w:val="TableParagraph"/>
              <w:spacing w:before="20"/>
              <w:ind w:left="19" w:right="15"/>
              <w:rPr>
                <w:rFonts w:ascii="Times New Roman"/>
                <w:sz w:val="21"/>
              </w:rPr>
            </w:pPr>
            <w:r>
              <w:rPr>
                <w:rFonts w:ascii="Times New Roman"/>
                <w:sz w:val="21"/>
              </w:rPr>
              <w:t>12</w:t>
            </w:r>
          </w:p>
        </w:tc>
        <w:tc>
          <w:tcPr>
            <w:tcW w:w="1546" w:type="dxa"/>
          </w:tcPr>
          <w:p>
            <w:pPr>
              <w:pStyle w:val="TableParagraph"/>
              <w:spacing w:before="20"/>
              <w:ind w:left="385" w:right="379"/>
              <w:rPr>
                <w:rFonts w:ascii="Times New Roman"/>
                <w:sz w:val="21"/>
              </w:rPr>
            </w:pPr>
            <w:r>
              <w:rPr>
                <w:rFonts w:ascii="Times New Roman"/>
                <w:sz w:val="21"/>
              </w:rPr>
              <w:t>800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5" w:lineRule="exact" w:before="9"/>
              <w:ind w:left="545" w:right="539"/>
              <w:rPr>
                <w:rFonts w:ascii="Times New Roman" w:eastAsia="Times New Roman"/>
                <w:sz w:val="21"/>
              </w:rPr>
            </w:pPr>
            <w:r>
              <w:rPr>
                <w:sz w:val="21"/>
              </w:rPr>
              <w:t>六价铬 </w:t>
            </w:r>
            <w:r>
              <w:rPr>
                <w:rFonts w:ascii="Times New Roman" w:eastAsia="Times New Roman"/>
                <w:sz w:val="21"/>
              </w:rPr>
              <w:t>mg/kg</w:t>
            </w:r>
          </w:p>
        </w:tc>
        <w:tc>
          <w:tcPr>
            <w:tcW w:w="1303" w:type="dxa"/>
          </w:tcPr>
          <w:p>
            <w:pPr>
              <w:pStyle w:val="TableParagraph"/>
              <w:spacing w:line="255" w:lineRule="exact" w:before="9"/>
              <w:ind w:right="405"/>
              <w:jc w:val="right"/>
              <w:rPr>
                <w:rFonts w:ascii="Times New Roman" w:eastAsia="Times New Roman"/>
                <w:sz w:val="21"/>
              </w:rPr>
            </w:pPr>
            <w:r>
              <w:rPr>
                <w:sz w:val="21"/>
              </w:rPr>
              <w:t>＜</w:t>
            </w:r>
            <w:r>
              <w:rPr>
                <w:rFonts w:ascii="Times New Roman" w:eastAsia="Times New Roman"/>
                <w:sz w:val="21"/>
              </w:rPr>
              <w:t>0.5</w:t>
            </w:r>
          </w:p>
        </w:tc>
        <w:tc>
          <w:tcPr>
            <w:tcW w:w="1303" w:type="dxa"/>
          </w:tcPr>
          <w:p>
            <w:pPr>
              <w:pStyle w:val="TableParagraph"/>
              <w:spacing w:line="255" w:lineRule="exact" w:before="9"/>
              <w:ind w:left="247" w:right="240"/>
              <w:rPr>
                <w:rFonts w:ascii="Times New Roman" w:eastAsia="Times New Roman"/>
                <w:sz w:val="21"/>
              </w:rPr>
            </w:pPr>
            <w:r>
              <w:rPr>
                <w:sz w:val="21"/>
              </w:rPr>
              <w:t>＜</w:t>
            </w:r>
            <w:r>
              <w:rPr>
                <w:rFonts w:ascii="Times New Roman" w:eastAsia="Times New Roman"/>
                <w:sz w:val="21"/>
              </w:rPr>
              <w:t>0.5</w:t>
            </w:r>
          </w:p>
        </w:tc>
        <w:tc>
          <w:tcPr>
            <w:tcW w:w="1135" w:type="dxa"/>
          </w:tcPr>
          <w:p>
            <w:pPr>
              <w:pStyle w:val="TableParagraph"/>
              <w:spacing w:line="255" w:lineRule="exact" w:before="9"/>
              <w:ind w:left="23" w:right="15"/>
              <w:rPr>
                <w:rFonts w:ascii="Times New Roman" w:eastAsia="Times New Roman"/>
                <w:sz w:val="21"/>
              </w:rPr>
            </w:pPr>
            <w:r>
              <w:rPr>
                <w:sz w:val="21"/>
              </w:rPr>
              <w:t>＜</w:t>
            </w:r>
            <w:r>
              <w:rPr>
                <w:rFonts w:ascii="Times New Roman" w:eastAsia="Times New Roman"/>
                <w:sz w:val="21"/>
              </w:rPr>
              <w:t>0.5</w:t>
            </w:r>
          </w:p>
        </w:tc>
        <w:tc>
          <w:tcPr>
            <w:tcW w:w="1546" w:type="dxa"/>
          </w:tcPr>
          <w:p>
            <w:pPr>
              <w:pStyle w:val="TableParagraph"/>
              <w:spacing w:line="241" w:lineRule="exact" w:before="23"/>
              <w:ind w:left="385" w:right="379"/>
              <w:rPr>
                <w:rFonts w:ascii="Times New Roman"/>
                <w:sz w:val="21"/>
              </w:rPr>
            </w:pPr>
            <w:r>
              <w:rPr>
                <w:rFonts w:ascii="Times New Roman"/>
                <w:sz w:val="21"/>
              </w:rPr>
              <w:t>5.7</w:t>
            </w:r>
          </w:p>
        </w:tc>
        <w:tc>
          <w:tcPr>
            <w:tcW w:w="1164" w:type="dxa"/>
          </w:tcPr>
          <w:p>
            <w:pPr>
              <w:pStyle w:val="TableParagraph"/>
              <w:spacing w:line="255" w:lineRule="exact" w:before="9"/>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砷 </w:t>
            </w:r>
            <w:r>
              <w:rPr>
                <w:rFonts w:ascii="Times New Roman" w:eastAsia="Times New Roman"/>
                <w:sz w:val="21"/>
              </w:rPr>
              <w:t>mg/kg</w:t>
            </w:r>
          </w:p>
        </w:tc>
        <w:tc>
          <w:tcPr>
            <w:tcW w:w="1303" w:type="dxa"/>
          </w:tcPr>
          <w:p>
            <w:pPr>
              <w:pStyle w:val="TableParagraph"/>
              <w:spacing w:before="22"/>
              <w:ind w:left="247" w:right="240"/>
              <w:rPr>
                <w:rFonts w:ascii="Times New Roman"/>
                <w:sz w:val="21"/>
              </w:rPr>
            </w:pPr>
            <w:r>
              <w:rPr>
                <w:rFonts w:ascii="Times New Roman"/>
                <w:sz w:val="21"/>
              </w:rPr>
              <w:t>15.8</w:t>
            </w:r>
          </w:p>
        </w:tc>
        <w:tc>
          <w:tcPr>
            <w:tcW w:w="1303" w:type="dxa"/>
          </w:tcPr>
          <w:p>
            <w:pPr>
              <w:pStyle w:val="TableParagraph"/>
              <w:spacing w:before="22"/>
              <w:ind w:left="247" w:right="240"/>
              <w:rPr>
                <w:rFonts w:ascii="Times New Roman"/>
                <w:sz w:val="21"/>
              </w:rPr>
            </w:pPr>
            <w:r>
              <w:rPr>
                <w:rFonts w:ascii="Times New Roman"/>
                <w:sz w:val="21"/>
              </w:rPr>
              <w:t>10.4</w:t>
            </w:r>
          </w:p>
        </w:tc>
        <w:tc>
          <w:tcPr>
            <w:tcW w:w="1135" w:type="dxa"/>
          </w:tcPr>
          <w:p>
            <w:pPr>
              <w:pStyle w:val="TableParagraph"/>
              <w:spacing w:before="22"/>
              <w:ind w:left="23" w:right="15"/>
              <w:rPr>
                <w:rFonts w:ascii="Times New Roman"/>
                <w:sz w:val="21"/>
              </w:rPr>
            </w:pPr>
            <w:r>
              <w:rPr>
                <w:rFonts w:ascii="Times New Roman"/>
                <w:sz w:val="21"/>
              </w:rPr>
              <w:t>10.5</w:t>
            </w:r>
          </w:p>
        </w:tc>
        <w:tc>
          <w:tcPr>
            <w:tcW w:w="1546" w:type="dxa"/>
          </w:tcPr>
          <w:p>
            <w:pPr>
              <w:pStyle w:val="TableParagraph"/>
              <w:spacing w:before="22"/>
              <w:ind w:left="385" w:right="379"/>
              <w:rPr>
                <w:rFonts w:ascii="Times New Roman"/>
                <w:sz w:val="21"/>
              </w:rPr>
            </w:pPr>
            <w:r>
              <w:rPr>
                <w:rFonts w:ascii="Times New Roman"/>
                <w:sz w:val="21"/>
              </w:rPr>
              <w:t>60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汞 </w:t>
            </w:r>
            <w:r>
              <w:rPr>
                <w:rFonts w:ascii="Times New Roman" w:eastAsia="Times New Roman"/>
                <w:sz w:val="21"/>
              </w:rPr>
              <w:t>mg/kg</w:t>
            </w:r>
          </w:p>
        </w:tc>
        <w:tc>
          <w:tcPr>
            <w:tcW w:w="1303" w:type="dxa"/>
          </w:tcPr>
          <w:p>
            <w:pPr>
              <w:pStyle w:val="TableParagraph"/>
              <w:spacing w:before="20"/>
              <w:ind w:right="405"/>
              <w:jc w:val="right"/>
              <w:rPr>
                <w:rFonts w:ascii="Times New Roman"/>
                <w:sz w:val="21"/>
              </w:rPr>
            </w:pPr>
            <w:r>
              <w:rPr>
                <w:rFonts w:ascii="Times New Roman"/>
                <w:sz w:val="21"/>
              </w:rPr>
              <w:t>0.066</w:t>
            </w:r>
          </w:p>
        </w:tc>
        <w:tc>
          <w:tcPr>
            <w:tcW w:w="1303" w:type="dxa"/>
          </w:tcPr>
          <w:p>
            <w:pPr>
              <w:pStyle w:val="TableParagraph"/>
              <w:spacing w:before="20"/>
              <w:ind w:left="247" w:right="240"/>
              <w:rPr>
                <w:rFonts w:ascii="Times New Roman"/>
                <w:sz w:val="21"/>
              </w:rPr>
            </w:pPr>
            <w:r>
              <w:rPr>
                <w:rFonts w:ascii="Times New Roman"/>
                <w:sz w:val="21"/>
              </w:rPr>
              <w:t>0.074</w:t>
            </w:r>
          </w:p>
        </w:tc>
        <w:tc>
          <w:tcPr>
            <w:tcW w:w="1135" w:type="dxa"/>
          </w:tcPr>
          <w:p>
            <w:pPr>
              <w:pStyle w:val="TableParagraph"/>
              <w:spacing w:before="20"/>
              <w:ind w:left="23" w:right="15"/>
              <w:rPr>
                <w:rFonts w:ascii="Times New Roman"/>
                <w:sz w:val="21"/>
              </w:rPr>
            </w:pPr>
            <w:r>
              <w:rPr>
                <w:rFonts w:ascii="Times New Roman"/>
                <w:sz w:val="21"/>
              </w:rPr>
              <w:t>0.071</w:t>
            </w:r>
          </w:p>
        </w:tc>
        <w:tc>
          <w:tcPr>
            <w:tcW w:w="1546" w:type="dxa"/>
          </w:tcPr>
          <w:p>
            <w:pPr>
              <w:pStyle w:val="TableParagraph"/>
              <w:spacing w:before="20"/>
              <w:ind w:left="385" w:right="379"/>
              <w:rPr>
                <w:rFonts w:ascii="Times New Roman"/>
                <w:sz w:val="21"/>
              </w:rPr>
            </w:pPr>
            <w:r>
              <w:rPr>
                <w:rFonts w:ascii="Times New Roman"/>
                <w:sz w:val="21"/>
              </w:rPr>
              <w:t>38</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镍 </w:t>
            </w:r>
            <w:r>
              <w:rPr>
                <w:rFonts w:ascii="Times New Roman" w:eastAsia="Times New Roman"/>
                <w:sz w:val="21"/>
              </w:rPr>
              <w:t>mg/kg</w:t>
            </w:r>
          </w:p>
        </w:tc>
        <w:tc>
          <w:tcPr>
            <w:tcW w:w="1303" w:type="dxa"/>
          </w:tcPr>
          <w:p>
            <w:pPr>
              <w:pStyle w:val="TableParagraph"/>
              <w:spacing w:before="22"/>
              <w:ind w:left="243" w:right="241"/>
              <w:rPr>
                <w:rFonts w:ascii="Times New Roman"/>
                <w:sz w:val="21"/>
              </w:rPr>
            </w:pPr>
            <w:r>
              <w:rPr>
                <w:rFonts w:ascii="Times New Roman"/>
                <w:sz w:val="21"/>
              </w:rPr>
              <w:t>35</w:t>
            </w:r>
          </w:p>
        </w:tc>
        <w:tc>
          <w:tcPr>
            <w:tcW w:w="1303" w:type="dxa"/>
          </w:tcPr>
          <w:p>
            <w:pPr>
              <w:pStyle w:val="TableParagraph"/>
              <w:spacing w:before="22"/>
              <w:ind w:left="243" w:right="241"/>
              <w:rPr>
                <w:rFonts w:ascii="Times New Roman"/>
                <w:sz w:val="21"/>
              </w:rPr>
            </w:pPr>
            <w:r>
              <w:rPr>
                <w:rFonts w:ascii="Times New Roman"/>
                <w:sz w:val="21"/>
              </w:rPr>
              <w:t>21</w:t>
            </w:r>
          </w:p>
        </w:tc>
        <w:tc>
          <w:tcPr>
            <w:tcW w:w="1135" w:type="dxa"/>
          </w:tcPr>
          <w:p>
            <w:pPr>
              <w:pStyle w:val="TableParagraph"/>
              <w:spacing w:before="22"/>
              <w:ind w:left="19" w:right="15"/>
              <w:rPr>
                <w:rFonts w:ascii="Times New Roman"/>
                <w:sz w:val="21"/>
              </w:rPr>
            </w:pPr>
            <w:r>
              <w:rPr>
                <w:rFonts w:ascii="Times New Roman"/>
                <w:sz w:val="21"/>
              </w:rPr>
              <w:t>29</w:t>
            </w:r>
          </w:p>
        </w:tc>
        <w:tc>
          <w:tcPr>
            <w:tcW w:w="1546" w:type="dxa"/>
          </w:tcPr>
          <w:p>
            <w:pPr>
              <w:pStyle w:val="TableParagraph"/>
              <w:spacing w:before="22"/>
              <w:ind w:left="385" w:right="379"/>
              <w:rPr>
                <w:rFonts w:ascii="Times New Roman"/>
                <w:sz w:val="21"/>
              </w:rPr>
            </w:pPr>
            <w:r>
              <w:rPr>
                <w:rFonts w:ascii="Times New Roman"/>
                <w:sz w:val="21"/>
              </w:rPr>
              <w:t>900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镉 </w:t>
            </w:r>
            <w:r>
              <w:rPr>
                <w:rFonts w:ascii="Times New Roman" w:eastAsia="Times New Roman"/>
                <w:sz w:val="21"/>
              </w:rPr>
              <w:t>mg/kg</w:t>
            </w:r>
          </w:p>
        </w:tc>
        <w:tc>
          <w:tcPr>
            <w:tcW w:w="1303" w:type="dxa"/>
          </w:tcPr>
          <w:p>
            <w:pPr>
              <w:pStyle w:val="TableParagraph"/>
              <w:spacing w:before="20"/>
              <w:ind w:left="247" w:right="240"/>
              <w:rPr>
                <w:rFonts w:ascii="Times New Roman"/>
                <w:sz w:val="21"/>
              </w:rPr>
            </w:pPr>
            <w:r>
              <w:rPr>
                <w:rFonts w:ascii="Times New Roman"/>
                <w:sz w:val="21"/>
              </w:rPr>
              <w:t>0.43</w:t>
            </w:r>
          </w:p>
        </w:tc>
        <w:tc>
          <w:tcPr>
            <w:tcW w:w="1303" w:type="dxa"/>
          </w:tcPr>
          <w:p>
            <w:pPr>
              <w:pStyle w:val="TableParagraph"/>
              <w:spacing w:before="20"/>
              <w:ind w:left="247" w:right="240"/>
              <w:rPr>
                <w:rFonts w:ascii="Times New Roman"/>
                <w:sz w:val="21"/>
              </w:rPr>
            </w:pPr>
            <w:r>
              <w:rPr>
                <w:rFonts w:ascii="Times New Roman"/>
                <w:sz w:val="21"/>
              </w:rPr>
              <w:t>0.16</w:t>
            </w:r>
          </w:p>
        </w:tc>
        <w:tc>
          <w:tcPr>
            <w:tcW w:w="1135" w:type="dxa"/>
          </w:tcPr>
          <w:p>
            <w:pPr>
              <w:pStyle w:val="TableParagraph"/>
              <w:spacing w:before="20"/>
              <w:ind w:left="23" w:right="15"/>
              <w:rPr>
                <w:rFonts w:ascii="Times New Roman"/>
                <w:sz w:val="21"/>
              </w:rPr>
            </w:pPr>
            <w:r>
              <w:rPr>
                <w:rFonts w:ascii="Times New Roman"/>
                <w:sz w:val="21"/>
              </w:rPr>
              <w:t>0.15</w:t>
            </w:r>
          </w:p>
        </w:tc>
        <w:tc>
          <w:tcPr>
            <w:tcW w:w="1546" w:type="dxa"/>
          </w:tcPr>
          <w:p>
            <w:pPr>
              <w:pStyle w:val="TableParagraph"/>
              <w:spacing w:before="20"/>
              <w:ind w:left="385" w:right="379"/>
              <w:rPr>
                <w:rFonts w:ascii="Times New Roman"/>
                <w:sz w:val="21"/>
              </w:rPr>
            </w:pPr>
            <w:r>
              <w:rPr>
                <w:rFonts w:ascii="Times New Roman"/>
                <w:sz w:val="21"/>
              </w:rPr>
              <w:t>65</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39"/>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303" w:type="dxa"/>
          </w:tcPr>
          <w:p>
            <w:pPr>
              <w:pStyle w:val="TableParagraph"/>
              <w:spacing w:before="22"/>
              <w:ind w:left="247" w:right="241"/>
              <w:rPr>
                <w:rFonts w:ascii="Times New Roman"/>
                <w:sz w:val="21"/>
              </w:rPr>
            </w:pPr>
            <w:r>
              <w:rPr>
                <w:rFonts w:ascii="Times New Roman"/>
                <w:sz w:val="21"/>
              </w:rPr>
              <w:t>&lt;1.3</w:t>
            </w:r>
          </w:p>
        </w:tc>
        <w:tc>
          <w:tcPr>
            <w:tcW w:w="1303" w:type="dxa"/>
          </w:tcPr>
          <w:p>
            <w:pPr>
              <w:pStyle w:val="TableParagraph"/>
              <w:spacing w:before="22"/>
              <w:ind w:left="247" w:right="240"/>
              <w:rPr>
                <w:rFonts w:ascii="Times New Roman"/>
                <w:sz w:val="21"/>
              </w:rPr>
            </w:pPr>
            <w:r>
              <w:rPr>
                <w:rFonts w:ascii="Times New Roman"/>
                <w:sz w:val="21"/>
              </w:rPr>
              <w:t>&lt;1.3</w:t>
            </w:r>
          </w:p>
        </w:tc>
        <w:tc>
          <w:tcPr>
            <w:tcW w:w="1135" w:type="dxa"/>
          </w:tcPr>
          <w:p>
            <w:pPr>
              <w:pStyle w:val="TableParagraph"/>
              <w:spacing w:before="22"/>
              <w:ind w:left="23" w:right="15"/>
              <w:rPr>
                <w:rFonts w:ascii="Times New Roman"/>
                <w:sz w:val="21"/>
              </w:rPr>
            </w:pPr>
            <w:r>
              <w:rPr>
                <w:rFonts w:ascii="Times New Roman"/>
                <w:sz w:val="21"/>
              </w:rPr>
              <w:t>&lt;1.3</w:t>
            </w:r>
          </w:p>
        </w:tc>
        <w:tc>
          <w:tcPr>
            <w:tcW w:w="1546" w:type="dxa"/>
          </w:tcPr>
          <w:p>
            <w:pPr>
              <w:pStyle w:val="TableParagraph"/>
              <w:spacing w:before="22"/>
              <w:ind w:right="554"/>
              <w:jc w:val="right"/>
              <w:rPr>
                <w:rFonts w:ascii="Times New Roman"/>
                <w:sz w:val="21"/>
              </w:rPr>
            </w:pPr>
            <w:r>
              <w:rPr>
                <w:rFonts w:ascii="Times New Roman"/>
                <w:sz w:val="21"/>
              </w:rPr>
              <w:t>2800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45" w:right="541"/>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303" w:type="dxa"/>
          </w:tcPr>
          <w:p>
            <w:pPr>
              <w:pStyle w:val="TableParagraph"/>
              <w:spacing w:before="20"/>
              <w:ind w:left="247" w:right="241"/>
              <w:rPr>
                <w:rFonts w:ascii="Times New Roman"/>
                <w:sz w:val="21"/>
              </w:rPr>
            </w:pPr>
            <w:r>
              <w:rPr>
                <w:rFonts w:ascii="Times New Roman"/>
                <w:sz w:val="21"/>
              </w:rPr>
              <w:t>&lt;1.1</w:t>
            </w:r>
          </w:p>
        </w:tc>
        <w:tc>
          <w:tcPr>
            <w:tcW w:w="1303" w:type="dxa"/>
          </w:tcPr>
          <w:p>
            <w:pPr>
              <w:pStyle w:val="TableParagraph"/>
              <w:spacing w:before="20"/>
              <w:ind w:left="247" w:right="240"/>
              <w:rPr>
                <w:rFonts w:ascii="Times New Roman"/>
                <w:sz w:val="21"/>
              </w:rPr>
            </w:pPr>
            <w:r>
              <w:rPr>
                <w:rFonts w:ascii="Times New Roman"/>
                <w:sz w:val="21"/>
              </w:rPr>
              <w:t>&lt;1.1</w:t>
            </w:r>
          </w:p>
        </w:tc>
        <w:tc>
          <w:tcPr>
            <w:tcW w:w="1135" w:type="dxa"/>
          </w:tcPr>
          <w:p>
            <w:pPr>
              <w:pStyle w:val="TableParagraph"/>
              <w:spacing w:before="20"/>
              <w:ind w:left="23" w:right="15"/>
              <w:rPr>
                <w:rFonts w:ascii="Times New Roman"/>
                <w:sz w:val="21"/>
              </w:rPr>
            </w:pPr>
            <w:r>
              <w:rPr>
                <w:rFonts w:ascii="Times New Roman"/>
                <w:sz w:val="21"/>
              </w:rPr>
              <w:t>&lt;1.1</w:t>
            </w:r>
          </w:p>
        </w:tc>
        <w:tc>
          <w:tcPr>
            <w:tcW w:w="1546" w:type="dxa"/>
          </w:tcPr>
          <w:p>
            <w:pPr>
              <w:pStyle w:val="TableParagraph"/>
              <w:spacing w:before="20"/>
              <w:ind w:left="385" w:right="379"/>
              <w:rPr>
                <w:rFonts w:ascii="Times New Roman"/>
                <w:sz w:val="21"/>
              </w:rPr>
            </w:pPr>
            <w:r>
              <w:rPr>
                <w:rFonts w:ascii="Times New Roman"/>
                <w:sz w:val="21"/>
              </w:rPr>
              <w:t>900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7" w:lineRule="exact" w:before="6"/>
              <w:ind w:left="544" w:right="541"/>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303" w:type="dxa"/>
          </w:tcPr>
          <w:p>
            <w:pPr>
              <w:pStyle w:val="TableParagraph"/>
              <w:spacing w:before="20"/>
              <w:ind w:left="247" w:right="241"/>
              <w:rPr>
                <w:rFonts w:ascii="Times New Roman"/>
                <w:sz w:val="21"/>
              </w:rPr>
            </w:pPr>
            <w:r>
              <w:rPr>
                <w:rFonts w:ascii="Times New Roman"/>
                <w:sz w:val="21"/>
              </w:rPr>
              <w:t>&lt;1.0</w:t>
            </w:r>
          </w:p>
        </w:tc>
        <w:tc>
          <w:tcPr>
            <w:tcW w:w="1303" w:type="dxa"/>
          </w:tcPr>
          <w:p>
            <w:pPr>
              <w:pStyle w:val="TableParagraph"/>
              <w:spacing w:before="20"/>
              <w:ind w:left="247" w:right="240"/>
              <w:rPr>
                <w:rFonts w:ascii="Times New Roman"/>
                <w:sz w:val="21"/>
              </w:rPr>
            </w:pPr>
            <w:r>
              <w:rPr>
                <w:rFonts w:ascii="Times New Roman"/>
                <w:sz w:val="21"/>
              </w:rPr>
              <w:t>&lt;1.0</w:t>
            </w:r>
          </w:p>
        </w:tc>
        <w:tc>
          <w:tcPr>
            <w:tcW w:w="1135" w:type="dxa"/>
          </w:tcPr>
          <w:p>
            <w:pPr>
              <w:pStyle w:val="TableParagraph"/>
              <w:spacing w:before="20"/>
              <w:ind w:left="23" w:right="15"/>
              <w:rPr>
                <w:rFonts w:ascii="Times New Roman"/>
                <w:sz w:val="21"/>
              </w:rPr>
            </w:pPr>
            <w:r>
              <w:rPr>
                <w:rFonts w:ascii="Times New Roman"/>
                <w:sz w:val="21"/>
              </w:rPr>
              <w:t>&lt;1.0</w:t>
            </w:r>
          </w:p>
        </w:tc>
        <w:tc>
          <w:tcPr>
            <w:tcW w:w="1546" w:type="dxa"/>
          </w:tcPr>
          <w:p>
            <w:pPr>
              <w:pStyle w:val="TableParagraph"/>
              <w:spacing w:before="20"/>
              <w:ind w:right="501"/>
              <w:jc w:val="right"/>
              <w:rPr>
                <w:rFonts w:ascii="Times New Roman"/>
                <w:sz w:val="21"/>
              </w:rPr>
            </w:pPr>
            <w:r>
              <w:rPr>
                <w:rFonts w:ascii="Times New Roman"/>
                <w:sz w:val="21"/>
              </w:rPr>
              <w:t>37000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303" w:type="dxa"/>
          </w:tcPr>
          <w:p>
            <w:pPr>
              <w:pStyle w:val="TableParagraph"/>
              <w:spacing w:before="22"/>
              <w:ind w:left="247" w:right="241"/>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right="554"/>
              <w:jc w:val="right"/>
              <w:rPr>
                <w:rFonts w:ascii="Times New Roman"/>
                <w:sz w:val="21"/>
              </w:rPr>
            </w:pPr>
            <w:r>
              <w:rPr>
                <w:rFonts w:ascii="Times New Roman"/>
                <w:sz w:val="21"/>
              </w:rPr>
              <w:t>9000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303" w:type="dxa"/>
          </w:tcPr>
          <w:p>
            <w:pPr>
              <w:pStyle w:val="TableParagraph"/>
              <w:spacing w:before="19"/>
              <w:ind w:left="247" w:right="241"/>
              <w:rPr>
                <w:rFonts w:ascii="Times New Roman"/>
                <w:sz w:val="21"/>
              </w:rPr>
            </w:pPr>
            <w:r>
              <w:rPr>
                <w:rFonts w:ascii="Times New Roman"/>
                <w:sz w:val="21"/>
              </w:rPr>
              <w:t>&lt;1.3</w:t>
            </w:r>
          </w:p>
        </w:tc>
        <w:tc>
          <w:tcPr>
            <w:tcW w:w="1303" w:type="dxa"/>
          </w:tcPr>
          <w:p>
            <w:pPr>
              <w:pStyle w:val="TableParagraph"/>
              <w:spacing w:before="19"/>
              <w:ind w:left="247" w:right="240"/>
              <w:rPr>
                <w:rFonts w:ascii="Times New Roman"/>
                <w:sz w:val="21"/>
              </w:rPr>
            </w:pPr>
            <w:r>
              <w:rPr>
                <w:rFonts w:ascii="Times New Roman"/>
                <w:sz w:val="21"/>
              </w:rPr>
              <w:t>&lt;1.3</w:t>
            </w:r>
          </w:p>
        </w:tc>
        <w:tc>
          <w:tcPr>
            <w:tcW w:w="1135" w:type="dxa"/>
          </w:tcPr>
          <w:p>
            <w:pPr>
              <w:pStyle w:val="TableParagraph"/>
              <w:spacing w:before="19"/>
              <w:ind w:left="23" w:right="15"/>
              <w:rPr>
                <w:rFonts w:ascii="Times New Roman"/>
                <w:sz w:val="21"/>
              </w:rPr>
            </w:pPr>
            <w:r>
              <w:rPr>
                <w:rFonts w:ascii="Times New Roman"/>
                <w:sz w:val="21"/>
              </w:rPr>
              <w:t>&lt;1.3</w:t>
            </w:r>
          </w:p>
        </w:tc>
        <w:tc>
          <w:tcPr>
            <w:tcW w:w="1546" w:type="dxa"/>
          </w:tcPr>
          <w:p>
            <w:pPr>
              <w:pStyle w:val="TableParagraph"/>
              <w:spacing w:before="19"/>
              <w:ind w:right="554"/>
              <w:jc w:val="right"/>
              <w:rPr>
                <w:rFonts w:ascii="Times New Roman"/>
                <w:sz w:val="21"/>
              </w:rPr>
            </w:pPr>
            <w:r>
              <w:rPr>
                <w:rFonts w:ascii="Times New Roman"/>
                <w:sz w:val="21"/>
              </w:rPr>
              <w:t>5000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303" w:type="dxa"/>
          </w:tcPr>
          <w:p>
            <w:pPr>
              <w:pStyle w:val="TableParagraph"/>
              <w:spacing w:before="22"/>
              <w:ind w:left="247" w:right="241"/>
              <w:rPr>
                <w:rFonts w:ascii="Times New Roman"/>
                <w:sz w:val="21"/>
              </w:rPr>
            </w:pPr>
            <w:r>
              <w:rPr>
                <w:rFonts w:ascii="Times New Roman"/>
                <w:sz w:val="21"/>
              </w:rPr>
              <w:t>&lt;1.0</w:t>
            </w:r>
          </w:p>
        </w:tc>
        <w:tc>
          <w:tcPr>
            <w:tcW w:w="1303" w:type="dxa"/>
          </w:tcPr>
          <w:p>
            <w:pPr>
              <w:pStyle w:val="TableParagraph"/>
              <w:spacing w:before="22"/>
              <w:ind w:left="247" w:right="240"/>
              <w:rPr>
                <w:rFonts w:ascii="Times New Roman"/>
                <w:sz w:val="21"/>
              </w:rPr>
            </w:pPr>
            <w:r>
              <w:rPr>
                <w:rFonts w:ascii="Times New Roman"/>
                <w:sz w:val="21"/>
              </w:rPr>
              <w:t>&lt;1.0</w:t>
            </w:r>
          </w:p>
        </w:tc>
        <w:tc>
          <w:tcPr>
            <w:tcW w:w="1135" w:type="dxa"/>
          </w:tcPr>
          <w:p>
            <w:pPr>
              <w:pStyle w:val="TableParagraph"/>
              <w:spacing w:before="22"/>
              <w:ind w:left="23" w:right="15"/>
              <w:rPr>
                <w:rFonts w:ascii="Times New Roman"/>
                <w:sz w:val="21"/>
              </w:rPr>
            </w:pPr>
            <w:r>
              <w:rPr>
                <w:rFonts w:ascii="Times New Roman"/>
                <w:sz w:val="21"/>
              </w:rPr>
              <w:t>&lt;1.0</w:t>
            </w:r>
          </w:p>
        </w:tc>
        <w:tc>
          <w:tcPr>
            <w:tcW w:w="1546" w:type="dxa"/>
          </w:tcPr>
          <w:p>
            <w:pPr>
              <w:pStyle w:val="TableParagraph"/>
              <w:spacing w:before="22"/>
              <w:ind w:right="501"/>
              <w:jc w:val="right"/>
              <w:rPr>
                <w:rFonts w:ascii="Times New Roman"/>
                <w:sz w:val="21"/>
              </w:rPr>
            </w:pPr>
            <w:r>
              <w:rPr>
                <w:rFonts w:ascii="Times New Roman"/>
                <w:sz w:val="21"/>
              </w:rPr>
              <w:t>66000</w:t>
            </w:r>
          </w:p>
        </w:tc>
        <w:tc>
          <w:tcPr>
            <w:tcW w:w="1164" w:type="dxa"/>
          </w:tcPr>
          <w:p>
            <w:pPr>
              <w:pStyle w:val="TableParagraph"/>
              <w:spacing w:line="257" w:lineRule="exact" w:before="8"/>
              <w:ind w:left="141" w:right="132"/>
              <w:rPr>
                <w:sz w:val="21"/>
              </w:rPr>
            </w:pPr>
            <w:r>
              <w:rPr>
                <w:sz w:val="21"/>
              </w:rPr>
              <w:t>达标</w:t>
            </w:r>
          </w:p>
        </w:tc>
      </w:tr>
    </w:tbl>
    <w:p>
      <w:pPr>
        <w:spacing w:after="0" w:line="257" w:lineRule="exact"/>
        <w:rPr>
          <w:sz w:val="21"/>
        </w:rPr>
        <w:sectPr>
          <w:pgSz w:w="11910" w:h="16850"/>
          <w:pgMar w:header="1004" w:footer="1088" w:top="1340" w:bottom="1280" w:left="1200" w:right="1000"/>
        </w:sectPr>
      </w:pPr>
    </w:p>
    <w:p>
      <w:pPr>
        <w:pStyle w:val="BodyText"/>
        <w:spacing w:before="3"/>
        <w:rPr>
          <w:b/>
          <w:sz w:val="6"/>
        </w:rPr>
      </w:pPr>
      <w:r>
        <w:rPr/>
        <w:pict>
          <v:line style="position:absolute;mso-position-horizontal-relative:page;mso-position-vertical-relative:page;z-index:-317731840" from="71.304001pt,72.239975pt" to="215.810001pt,112.699975pt" stroked="true" strokeweight=".72pt" strokecolor="#000000">
            <v:stroke dashstyle="solid"/>
            <w10:wrap type="none"/>
          </v:line>
        </w:pic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95"/>
        <w:gridCol w:w="1303"/>
        <w:gridCol w:w="1303"/>
        <w:gridCol w:w="1135"/>
        <w:gridCol w:w="1546"/>
        <w:gridCol w:w="1164"/>
      </w:tblGrid>
      <w:tr>
        <w:trPr>
          <w:trHeight w:val="513" w:hRule="atLeast"/>
        </w:trPr>
        <w:tc>
          <w:tcPr>
            <w:tcW w:w="2895" w:type="dxa"/>
            <w:vMerge w:val="restart"/>
          </w:tcPr>
          <w:p>
            <w:pPr>
              <w:pStyle w:val="TableParagraph"/>
              <w:spacing w:before="133"/>
              <w:ind w:left="1943"/>
              <w:jc w:val="left"/>
              <w:rPr>
                <w:b/>
                <w:sz w:val="21"/>
              </w:rPr>
            </w:pPr>
            <w:r>
              <w:rPr>
                <w:b/>
                <w:sz w:val="21"/>
              </w:rPr>
              <w:t>采样点位</w:t>
            </w:r>
          </w:p>
          <w:p>
            <w:pPr>
              <w:pStyle w:val="TableParagraph"/>
              <w:spacing w:before="2"/>
              <w:ind w:left="107"/>
              <w:jc w:val="left"/>
              <w:rPr>
                <w:b/>
                <w:sz w:val="21"/>
              </w:rPr>
            </w:pPr>
            <w:r>
              <w:rPr>
                <w:b/>
                <w:sz w:val="21"/>
              </w:rPr>
              <w:t>项目名称及单位</w:t>
            </w:r>
          </w:p>
        </w:tc>
        <w:tc>
          <w:tcPr>
            <w:tcW w:w="3741" w:type="dxa"/>
            <w:gridSpan w:val="3"/>
          </w:tcPr>
          <w:p>
            <w:pPr>
              <w:pStyle w:val="TableParagraph"/>
              <w:spacing w:before="1"/>
              <w:ind w:left="57" w:right="52"/>
              <w:rPr>
                <w:b/>
                <w:sz w:val="21"/>
              </w:rPr>
            </w:pPr>
            <w:r>
              <w:rPr>
                <w:b/>
                <w:sz w:val="21"/>
              </w:rPr>
              <w:t>还原车间西侧，距离还原车间约 </w:t>
            </w:r>
            <w:r>
              <w:rPr>
                <w:rFonts w:ascii="Times New Roman" w:eastAsia="Times New Roman"/>
                <w:b/>
                <w:sz w:val="21"/>
              </w:rPr>
              <w:t>3 </w:t>
            </w:r>
            <w:r>
              <w:rPr>
                <w:b/>
                <w:sz w:val="21"/>
              </w:rPr>
              <w:t>米</w:t>
            </w:r>
          </w:p>
          <w:p>
            <w:pPr>
              <w:pStyle w:val="TableParagraph"/>
              <w:spacing w:line="222" w:lineRule="exact" w:before="2"/>
              <w:ind w:left="57" w:right="52"/>
              <w:rPr>
                <w:rFonts w:ascii="Times New Roman"/>
                <w:b/>
                <w:sz w:val="21"/>
              </w:rPr>
            </w:pPr>
            <w:r>
              <w:rPr>
                <w:rFonts w:ascii="Times New Roman"/>
                <w:b/>
                <w:sz w:val="21"/>
              </w:rPr>
              <w:t>1C01</w:t>
            </w:r>
          </w:p>
        </w:tc>
        <w:tc>
          <w:tcPr>
            <w:tcW w:w="1546" w:type="dxa"/>
            <w:vMerge w:val="restart"/>
          </w:tcPr>
          <w:p>
            <w:pPr>
              <w:pStyle w:val="TableParagraph"/>
              <w:spacing w:line="242" w:lineRule="auto" w:before="133"/>
              <w:ind w:left="351" w:right="131" w:hanging="212"/>
              <w:jc w:val="left"/>
              <w:rPr>
                <w:b/>
                <w:sz w:val="21"/>
              </w:rPr>
            </w:pPr>
            <w:r>
              <w:rPr>
                <w:b/>
                <w:sz w:val="21"/>
              </w:rPr>
              <w:t>第二类用地筛选值标准</w:t>
            </w:r>
          </w:p>
        </w:tc>
        <w:tc>
          <w:tcPr>
            <w:tcW w:w="1164" w:type="dxa"/>
            <w:vMerge w:val="restart"/>
          </w:tcPr>
          <w:p>
            <w:pPr>
              <w:pStyle w:val="TableParagraph"/>
              <w:spacing w:before="1"/>
              <w:jc w:val="left"/>
              <w:rPr>
                <w:b/>
                <w:sz w:val="21"/>
              </w:rPr>
            </w:pPr>
          </w:p>
          <w:p>
            <w:pPr>
              <w:pStyle w:val="TableParagraph"/>
              <w:ind w:left="161"/>
              <w:jc w:val="left"/>
              <w:rPr>
                <w:b/>
                <w:sz w:val="21"/>
              </w:rPr>
            </w:pPr>
            <w:r>
              <w:rPr>
                <w:b/>
                <w:sz w:val="21"/>
              </w:rPr>
              <w:t>达标情况</w:t>
            </w:r>
          </w:p>
        </w:tc>
      </w:tr>
      <w:tr>
        <w:trPr>
          <w:trHeight w:val="290" w:hRule="atLeast"/>
        </w:trPr>
        <w:tc>
          <w:tcPr>
            <w:tcW w:w="2895" w:type="dxa"/>
            <w:vMerge/>
            <w:tcBorders>
              <w:top w:val="nil"/>
            </w:tcBorders>
          </w:tcPr>
          <w:p>
            <w:pPr>
              <w:rPr>
                <w:sz w:val="2"/>
                <w:szCs w:val="2"/>
              </w:rPr>
            </w:pPr>
          </w:p>
        </w:tc>
        <w:tc>
          <w:tcPr>
            <w:tcW w:w="1303" w:type="dxa"/>
          </w:tcPr>
          <w:p>
            <w:pPr>
              <w:pStyle w:val="TableParagraph"/>
              <w:spacing w:before="27"/>
              <w:ind w:right="337"/>
              <w:jc w:val="right"/>
              <w:rPr>
                <w:rFonts w:ascii="Times New Roman"/>
                <w:b/>
                <w:sz w:val="21"/>
              </w:rPr>
            </w:pPr>
            <w:r>
              <w:rPr>
                <w:rFonts w:ascii="Times New Roman"/>
                <w:b/>
                <w:sz w:val="21"/>
              </w:rPr>
              <w:t>0-0.5m</w:t>
            </w:r>
          </w:p>
        </w:tc>
        <w:tc>
          <w:tcPr>
            <w:tcW w:w="1303" w:type="dxa"/>
          </w:tcPr>
          <w:p>
            <w:pPr>
              <w:pStyle w:val="TableParagraph"/>
              <w:spacing w:before="27"/>
              <w:ind w:left="247" w:right="241"/>
              <w:rPr>
                <w:rFonts w:ascii="Times New Roman"/>
                <w:b/>
                <w:sz w:val="21"/>
              </w:rPr>
            </w:pPr>
            <w:r>
              <w:rPr>
                <w:rFonts w:ascii="Times New Roman"/>
                <w:b/>
                <w:sz w:val="21"/>
              </w:rPr>
              <w:t>0.6-1.2m</w:t>
            </w:r>
          </w:p>
        </w:tc>
        <w:tc>
          <w:tcPr>
            <w:tcW w:w="1135" w:type="dxa"/>
          </w:tcPr>
          <w:p>
            <w:pPr>
              <w:pStyle w:val="TableParagraph"/>
              <w:spacing w:before="27"/>
              <w:ind w:left="22" w:right="15"/>
              <w:rPr>
                <w:rFonts w:ascii="Times New Roman"/>
                <w:b/>
                <w:sz w:val="21"/>
              </w:rPr>
            </w:pPr>
            <w:r>
              <w:rPr>
                <w:rFonts w:ascii="Times New Roman"/>
                <w:b/>
                <w:sz w:val="21"/>
              </w:rPr>
              <w:t>2.0-4.5m</w:t>
            </w:r>
          </w:p>
        </w:tc>
        <w:tc>
          <w:tcPr>
            <w:tcW w:w="1546" w:type="dxa"/>
            <w:vMerge/>
            <w:tcBorders>
              <w:top w:val="nil"/>
            </w:tcBorders>
          </w:tcPr>
          <w:p>
            <w:pPr>
              <w:rPr>
                <w:sz w:val="2"/>
                <w:szCs w:val="2"/>
              </w:rPr>
            </w:pPr>
          </w:p>
        </w:tc>
        <w:tc>
          <w:tcPr>
            <w:tcW w:w="1164" w:type="dxa"/>
            <w:vMerge/>
            <w:tcBorders>
              <w:top w:val="nil"/>
            </w:tcBorders>
          </w:tcPr>
          <w:p>
            <w:pPr>
              <w:rPr>
                <w:sz w:val="2"/>
                <w:szCs w:val="2"/>
              </w:rPr>
            </w:pPr>
          </w:p>
        </w:tc>
      </w:tr>
      <w:tr>
        <w:trPr>
          <w:trHeight w:val="282" w:hRule="atLeast"/>
        </w:trPr>
        <w:tc>
          <w:tcPr>
            <w:tcW w:w="2895" w:type="dxa"/>
          </w:tcPr>
          <w:p>
            <w:pPr>
              <w:pStyle w:val="TableParagraph"/>
              <w:spacing w:line="257" w:lineRule="exact" w:before="6"/>
              <w:ind w:left="424"/>
              <w:jc w:val="left"/>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&lt;1.3</w:t>
            </w:r>
          </w:p>
        </w:tc>
        <w:tc>
          <w:tcPr>
            <w:tcW w:w="1303" w:type="dxa"/>
          </w:tcPr>
          <w:p>
            <w:pPr>
              <w:pStyle w:val="TableParagraph"/>
              <w:spacing w:before="20"/>
              <w:ind w:left="247" w:right="240"/>
              <w:rPr>
                <w:rFonts w:ascii="Times New Roman"/>
                <w:sz w:val="21"/>
              </w:rPr>
            </w:pPr>
            <w:r>
              <w:rPr>
                <w:rFonts w:ascii="Times New Roman"/>
                <w:sz w:val="21"/>
              </w:rPr>
              <w:t>&lt;1.3</w:t>
            </w:r>
          </w:p>
        </w:tc>
        <w:tc>
          <w:tcPr>
            <w:tcW w:w="1135" w:type="dxa"/>
          </w:tcPr>
          <w:p>
            <w:pPr>
              <w:pStyle w:val="TableParagraph"/>
              <w:spacing w:before="20"/>
              <w:ind w:left="23" w:right="15"/>
              <w:rPr>
                <w:rFonts w:ascii="Times New Roman"/>
                <w:sz w:val="21"/>
              </w:rPr>
            </w:pPr>
            <w:r>
              <w:rPr>
                <w:rFonts w:ascii="Times New Roman"/>
                <w:sz w:val="21"/>
              </w:rPr>
              <w:t>&lt;1.3</w:t>
            </w:r>
          </w:p>
        </w:tc>
        <w:tc>
          <w:tcPr>
            <w:tcW w:w="1546" w:type="dxa"/>
          </w:tcPr>
          <w:p>
            <w:pPr>
              <w:pStyle w:val="TableParagraph"/>
              <w:spacing w:before="20"/>
              <w:ind w:left="385" w:right="379"/>
              <w:rPr>
                <w:rFonts w:ascii="Times New Roman"/>
                <w:sz w:val="21"/>
              </w:rPr>
            </w:pPr>
            <w:r>
              <w:rPr>
                <w:rFonts w:ascii="Times New Roman"/>
                <w:sz w:val="21"/>
              </w:rPr>
              <w:t>596000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24"/>
              <w:jc w:val="left"/>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&lt;1.4</w:t>
            </w:r>
          </w:p>
        </w:tc>
        <w:tc>
          <w:tcPr>
            <w:tcW w:w="1303" w:type="dxa"/>
          </w:tcPr>
          <w:p>
            <w:pPr>
              <w:pStyle w:val="TableParagraph"/>
              <w:spacing w:before="22"/>
              <w:ind w:left="247" w:right="240"/>
              <w:rPr>
                <w:rFonts w:ascii="Times New Roman"/>
                <w:sz w:val="21"/>
              </w:rPr>
            </w:pPr>
            <w:r>
              <w:rPr>
                <w:rFonts w:ascii="Times New Roman"/>
                <w:sz w:val="21"/>
              </w:rPr>
              <w:t>&lt;1.4</w:t>
            </w:r>
          </w:p>
        </w:tc>
        <w:tc>
          <w:tcPr>
            <w:tcW w:w="1135" w:type="dxa"/>
          </w:tcPr>
          <w:p>
            <w:pPr>
              <w:pStyle w:val="TableParagraph"/>
              <w:spacing w:before="22"/>
              <w:ind w:left="23" w:right="15"/>
              <w:rPr>
                <w:rFonts w:ascii="Times New Roman"/>
                <w:sz w:val="21"/>
              </w:rPr>
            </w:pPr>
            <w:r>
              <w:rPr>
                <w:rFonts w:ascii="Times New Roman"/>
                <w:sz w:val="21"/>
              </w:rPr>
              <w:t>&lt;1.4</w:t>
            </w:r>
          </w:p>
        </w:tc>
        <w:tc>
          <w:tcPr>
            <w:tcW w:w="1546" w:type="dxa"/>
          </w:tcPr>
          <w:p>
            <w:pPr>
              <w:pStyle w:val="TableParagraph"/>
              <w:spacing w:before="22"/>
              <w:ind w:left="385" w:right="379"/>
              <w:rPr>
                <w:rFonts w:ascii="Times New Roman"/>
                <w:sz w:val="21"/>
              </w:rPr>
            </w:pPr>
            <w:r>
              <w:rPr>
                <w:rFonts w:ascii="Times New Roman"/>
                <w:sz w:val="21"/>
              </w:rPr>
              <w:t>54000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731"/>
              <w:jc w:val="left"/>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303" w:type="dxa"/>
          </w:tcPr>
          <w:p>
            <w:pPr>
              <w:pStyle w:val="TableParagraph"/>
              <w:spacing w:before="20"/>
              <w:ind w:left="247" w:right="240"/>
              <w:rPr>
                <w:rFonts w:ascii="Times New Roman"/>
                <w:sz w:val="21"/>
              </w:rPr>
            </w:pPr>
            <w:r>
              <w:rPr>
                <w:rFonts w:ascii="Times New Roman"/>
                <w:sz w:val="21"/>
              </w:rPr>
              <w:t>2.2</w:t>
            </w:r>
          </w:p>
        </w:tc>
        <w:tc>
          <w:tcPr>
            <w:tcW w:w="1303" w:type="dxa"/>
          </w:tcPr>
          <w:p>
            <w:pPr>
              <w:pStyle w:val="TableParagraph"/>
              <w:spacing w:before="20"/>
              <w:ind w:left="247" w:right="240"/>
              <w:rPr>
                <w:rFonts w:ascii="Times New Roman"/>
                <w:sz w:val="21"/>
              </w:rPr>
            </w:pPr>
            <w:r>
              <w:rPr>
                <w:rFonts w:ascii="Times New Roman"/>
                <w:sz w:val="21"/>
              </w:rPr>
              <w:t>2.4</w:t>
            </w:r>
          </w:p>
        </w:tc>
        <w:tc>
          <w:tcPr>
            <w:tcW w:w="1135" w:type="dxa"/>
          </w:tcPr>
          <w:p>
            <w:pPr>
              <w:pStyle w:val="TableParagraph"/>
              <w:spacing w:before="20"/>
              <w:ind w:left="23" w:right="15"/>
              <w:rPr>
                <w:rFonts w:ascii="Times New Roman"/>
                <w:sz w:val="21"/>
              </w:rPr>
            </w:pPr>
            <w:r>
              <w:rPr>
                <w:rFonts w:ascii="Times New Roman"/>
                <w:sz w:val="21"/>
              </w:rPr>
              <w:t>1.8</w:t>
            </w:r>
          </w:p>
        </w:tc>
        <w:tc>
          <w:tcPr>
            <w:tcW w:w="1546" w:type="dxa"/>
          </w:tcPr>
          <w:p>
            <w:pPr>
              <w:pStyle w:val="TableParagraph"/>
              <w:spacing w:before="20"/>
              <w:ind w:left="385" w:right="379"/>
              <w:rPr>
                <w:rFonts w:ascii="Times New Roman"/>
                <w:sz w:val="21"/>
              </w:rPr>
            </w:pPr>
            <w:r>
              <w:rPr>
                <w:rFonts w:ascii="Times New Roman"/>
                <w:sz w:val="21"/>
              </w:rPr>
              <w:t>616000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7" w:lineRule="exact" w:before="6"/>
              <w:ind w:left="563"/>
              <w:jc w:val="left"/>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&lt;1.1</w:t>
            </w:r>
          </w:p>
        </w:tc>
        <w:tc>
          <w:tcPr>
            <w:tcW w:w="1303" w:type="dxa"/>
          </w:tcPr>
          <w:p>
            <w:pPr>
              <w:pStyle w:val="TableParagraph"/>
              <w:spacing w:before="20"/>
              <w:ind w:left="247" w:right="240"/>
              <w:rPr>
                <w:rFonts w:ascii="Times New Roman"/>
                <w:sz w:val="21"/>
              </w:rPr>
            </w:pPr>
            <w:r>
              <w:rPr>
                <w:rFonts w:ascii="Times New Roman"/>
                <w:sz w:val="21"/>
              </w:rPr>
              <w:t>&lt;1.1</w:t>
            </w:r>
          </w:p>
        </w:tc>
        <w:tc>
          <w:tcPr>
            <w:tcW w:w="1135" w:type="dxa"/>
          </w:tcPr>
          <w:p>
            <w:pPr>
              <w:pStyle w:val="TableParagraph"/>
              <w:spacing w:before="20"/>
              <w:ind w:left="23" w:right="15"/>
              <w:rPr>
                <w:rFonts w:ascii="Times New Roman"/>
                <w:sz w:val="21"/>
              </w:rPr>
            </w:pPr>
            <w:r>
              <w:rPr>
                <w:rFonts w:ascii="Times New Roman"/>
                <w:sz w:val="21"/>
              </w:rPr>
              <w:t>&lt;1.1</w:t>
            </w:r>
          </w:p>
        </w:tc>
        <w:tc>
          <w:tcPr>
            <w:tcW w:w="1546" w:type="dxa"/>
          </w:tcPr>
          <w:p>
            <w:pPr>
              <w:pStyle w:val="TableParagraph"/>
              <w:spacing w:before="20"/>
              <w:ind w:left="385" w:right="379"/>
              <w:rPr>
                <w:rFonts w:ascii="Times New Roman"/>
                <w:sz w:val="21"/>
              </w:rPr>
            </w:pPr>
            <w:r>
              <w:rPr>
                <w:rFonts w:ascii="Times New Roman"/>
                <w:sz w:val="21"/>
              </w:rPr>
              <w:t>5000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07"/>
              <w:jc w:val="left"/>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10000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407"/>
              <w:jc w:val="left"/>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6800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731"/>
              <w:jc w:val="left"/>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303" w:type="dxa"/>
          </w:tcPr>
          <w:p>
            <w:pPr>
              <w:pStyle w:val="TableParagraph"/>
              <w:spacing w:before="22"/>
              <w:ind w:left="247" w:right="240"/>
              <w:rPr>
                <w:rFonts w:ascii="Times New Roman"/>
                <w:sz w:val="21"/>
              </w:rPr>
            </w:pPr>
            <w:r>
              <w:rPr>
                <w:rFonts w:ascii="Times New Roman"/>
                <w:sz w:val="21"/>
              </w:rPr>
              <w:t>5.0</w:t>
            </w:r>
          </w:p>
        </w:tc>
        <w:tc>
          <w:tcPr>
            <w:tcW w:w="1303" w:type="dxa"/>
          </w:tcPr>
          <w:p>
            <w:pPr>
              <w:pStyle w:val="TableParagraph"/>
              <w:spacing w:before="22"/>
              <w:ind w:left="247" w:right="240"/>
              <w:rPr>
                <w:rFonts w:ascii="Times New Roman"/>
                <w:sz w:val="21"/>
              </w:rPr>
            </w:pPr>
            <w:r>
              <w:rPr>
                <w:rFonts w:ascii="Times New Roman"/>
                <w:sz w:val="21"/>
              </w:rPr>
              <w:t>4.9</w:t>
            </w:r>
          </w:p>
        </w:tc>
        <w:tc>
          <w:tcPr>
            <w:tcW w:w="1135" w:type="dxa"/>
          </w:tcPr>
          <w:p>
            <w:pPr>
              <w:pStyle w:val="TableParagraph"/>
              <w:spacing w:before="22"/>
              <w:ind w:left="23" w:right="15"/>
              <w:rPr>
                <w:rFonts w:ascii="Times New Roman"/>
                <w:sz w:val="21"/>
              </w:rPr>
            </w:pPr>
            <w:r>
              <w:rPr>
                <w:rFonts w:ascii="Times New Roman"/>
                <w:sz w:val="21"/>
              </w:rPr>
              <w:t>3.7</w:t>
            </w:r>
          </w:p>
        </w:tc>
        <w:tc>
          <w:tcPr>
            <w:tcW w:w="1546" w:type="dxa"/>
          </w:tcPr>
          <w:p>
            <w:pPr>
              <w:pStyle w:val="TableParagraph"/>
              <w:spacing w:before="22"/>
              <w:ind w:left="385" w:right="379"/>
              <w:rPr>
                <w:rFonts w:ascii="Times New Roman"/>
                <w:sz w:val="21"/>
              </w:rPr>
            </w:pPr>
            <w:r>
              <w:rPr>
                <w:rFonts w:ascii="Times New Roman"/>
                <w:sz w:val="21"/>
              </w:rPr>
              <w:t>53000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487"/>
              <w:jc w:val="left"/>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&lt;1.3</w:t>
            </w:r>
          </w:p>
        </w:tc>
        <w:tc>
          <w:tcPr>
            <w:tcW w:w="1303" w:type="dxa"/>
          </w:tcPr>
          <w:p>
            <w:pPr>
              <w:pStyle w:val="TableParagraph"/>
              <w:spacing w:before="20"/>
              <w:ind w:left="247" w:right="240"/>
              <w:rPr>
                <w:rFonts w:ascii="Times New Roman"/>
                <w:sz w:val="21"/>
              </w:rPr>
            </w:pPr>
            <w:r>
              <w:rPr>
                <w:rFonts w:ascii="Times New Roman"/>
                <w:sz w:val="21"/>
              </w:rPr>
              <w:t>&lt;1.3</w:t>
            </w:r>
          </w:p>
        </w:tc>
        <w:tc>
          <w:tcPr>
            <w:tcW w:w="1135" w:type="dxa"/>
          </w:tcPr>
          <w:p>
            <w:pPr>
              <w:pStyle w:val="TableParagraph"/>
              <w:spacing w:before="20"/>
              <w:ind w:left="23" w:right="15"/>
              <w:rPr>
                <w:rFonts w:ascii="Times New Roman"/>
                <w:sz w:val="21"/>
              </w:rPr>
            </w:pPr>
            <w:r>
              <w:rPr>
                <w:rFonts w:ascii="Times New Roman"/>
                <w:sz w:val="21"/>
              </w:rPr>
              <w:t>&lt;1.3</w:t>
            </w:r>
          </w:p>
        </w:tc>
        <w:tc>
          <w:tcPr>
            <w:tcW w:w="1546" w:type="dxa"/>
          </w:tcPr>
          <w:p>
            <w:pPr>
              <w:pStyle w:val="TableParagraph"/>
              <w:spacing w:before="20"/>
              <w:ind w:left="385" w:right="379"/>
              <w:rPr>
                <w:rFonts w:ascii="Times New Roman"/>
                <w:sz w:val="21"/>
              </w:rPr>
            </w:pPr>
            <w:r>
              <w:rPr>
                <w:rFonts w:ascii="Times New Roman"/>
                <w:sz w:val="21"/>
              </w:rPr>
              <w:t>840000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487"/>
              <w:jc w:val="left"/>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303" w:type="dxa"/>
          </w:tcPr>
          <w:p>
            <w:pPr>
              <w:pStyle w:val="TableParagraph"/>
              <w:spacing w:line="241" w:lineRule="exact" w:before="22"/>
              <w:ind w:right="451"/>
              <w:jc w:val="right"/>
              <w:rPr>
                <w:rFonts w:ascii="Times New Roman"/>
                <w:sz w:val="21"/>
              </w:rPr>
            </w:pPr>
            <w:r>
              <w:rPr>
                <w:rFonts w:ascii="Times New Roman"/>
                <w:sz w:val="21"/>
              </w:rPr>
              <w:t>&lt;1.2</w:t>
            </w:r>
          </w:p>
        </w:tc>
        <w:tc>
          <w:tcPr>
            <w:tcW w:w="1303" w:type="dxa"/>
          </w:tcPr>
          <w:p>
            <w:pPr>
              <w:pStyle w:val="TableParagraph"/>
              <w:spacing w:line="241" w:lineRule="exact" w:before="22"/>
              <w:ind w:left="247" w:right="240"/>
              <w:rPr>
                <w:rFonts w:ascii="Times New Roman"/>
                <w:sz w:val="21"/>
              </w:rPr>
            </w:pPr>
            <w:r>
              <w:rPr>
                <w:rFonts w:ascii="Times New Roman"/>
                <w:sz w:val="21"/>
              </w:rPr>
              <w:t>&lt;1.2</w:t>
            </w:r>
          </w:p>
        </w:tc>
        <w:tc>
          <w:tcPr>
            <w:tcW w:w="1135" w:type="dxa"/>
          </w:tcPr>
          <w:p>
            <w:pPr>
              <w:pStyle w:val="TableParagraph"/>
              <w:spacing w:line="241" w:lineRule="exact" w:before="22"/>
              <w:ind w:left="23" w:right="15"/>
              <w:rPr>
                <w:rFonts w:ascii="Times New Roman"/>
                <w:sz w:val="21"/>
              </w:rPr>
            </w:pPr>
            <w:r>
              <w:rPr>
                <w:rFonts w:ascii="Times New Roman"/>
                <w:sz w:val="21"/>
              </w:rPr>
              <w:t>&lt;1.2</w:t>
            </w:r>
          </w:p>
        </w:tc>
        <w:tc>
          <w:tcPr>
            <w:tcW w:w="1546" w:type="dxa"/>
          </w:tcPr>
          <w:p>
            <w:pPr>
              <w:pStyle w:val="TableParagraph"/>
              <w:spacing w:line="241" w:lineRule="exact" w:before="22"/>
              <w:ind w:left="385" w:right="379"/>
              <w:rPr>
                <w:rFonts w:ascii="Times New Roman"/>
                <w:sz w:val="21"/>
              </w:rPr>
            </w:pPr>
            <w:r>
              <w:rPr>
                <w:rFonts w:ascii="Times New Roman"/>
                <w:sz w:val="21"/>
              </w:rPr>
              <w:t>2800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731"/>
              <w:jc w:val="left"/>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2800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487"/>
              <w:jc w:val="left"/>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500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835"/>
              <w:jc w:val="left"/>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&lt;1.0</w:t>
            </w:r>
          </w:p>
        </w:tc>
        <w:tc>
          <w:tcPr>
            <w:tcW w:w="1303" w:type="dxa"/>
          </w:tcPr>
          <w:p>
            <w:pPr>
              <w:pStyle w:val="TableParagraph"/>
              <w:spacing w:before="22"/>
              <w:ind w:left="247" w:right="240"/>
              <w:rPr>
                <w:rFonts w:ascii="Times New Roman"/>
                <w:sz w:val="21"/>
              </w:rPr>
            </w:pPr>
            <w:r>
              <w:rPr>
                <w:rFonts w:ascii="Times New Roman"/>
                <w:sz w:val="21"/>
              </w:rPr>
              <w:t>&lt;1.0</w:t>
            </w:r>
          </w:p>
        </w:tc>
        <w:tc>
          <w:tcPr>
            <w:tcW w:w="1135" w:type="dxa"/>
          </w:tcPr>
          <w:p>
            <w:pPr>
              <w:pStyle w:val="TableParagraph"/>
              <w:spacing w:before="22"/>
              <w:ind w:left="23" w:right="15"/>
              <w:rPr>
                <w:rFonts w:ascii="Times New Roman"/>
                <w:sz w:val="21"/>
              </w:rPr>
            </w:pPr>
            <w:r>
              <w:rPr>
                <w:rFonts w:ascii="Times New Roman"/>
                <w:sz w:val="21"/>
              </w:rPr>
              <w:t>&lt;1.0</w:t>
            </w:r>
          </w:p>
        </w:tc>
        <w:tc>
          <w:tcPr>
            <w:tcW w:w="1546" w:type="dxa"/>
          </w:tcPr>
          <w:p>
            <w:pPr>
              <w:pStyle w:val="TableParagraph"/>
              <w:spacing w:before="22"/>
              <w:ind w:left="385" w:right="379"/>
              <w:rPr>
                <w:rFonts w:ascii="Times New Roman"/>
                <w:sz w:val="21"/>
              </w:rPr>
            </w:pPr>
            <w:r>
              <w:rPr>
                <w:rFonts w:ascii="Times New Roman"/>
                <w:sz w:val="21"/>
              </w:rPr>
              <w:t>430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45" w:right="539"/>
              <w:rPr>
                <w:rFonts w:ascii="Times New Roman" w:hAnsi="Times New Roman" w:eastAsia="Times New Roman"/>
                <w:sz w:val="21"/>
              </w:rPr>
            </w:pPr>
            <w:r>
              <w:rPr>
                <w:sz w:val="21"/>
              </w:rPr>
              <w:t>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&lt;1.9</w:t>
            </w:r>
          </w:p>
        </w:tc>
        <w:tc>
          <w:tcPr>
            <w:tcW w:w="1303" w:type="dxa"/>
          </w:tcPr>
          <w:p>
            <w:pPr>
              <w:pStyle w:val="TableParagraph"/>
              <w:spacing w:before="20"/>
              <w:ind w:left="247" w:right="240"/>
              <w:rPr>
                <w:rFonts w:ascii="Times New Roman"/>
                <w:sz w:val="21"/>
              </w:rPr>
            </w:pPr>
            <w:r>
              <w:rPr>
                <w:rFonts w:ascii="Times New Roman"/>
                <w:sz w:val="21"/>
              </w:rPr>
              <w:t>&lt;1.9</w:t>
            </w:r>
          </w:p>
        </w:tc>
        <w:tc>
          <w:tcPr>
            <w:tcW w:w="1135" w:type="dxa"/>
          </w:tcPr>
          <w:p>
            <w:pPr>
              <w:pStyle w:val="TableParagraph"/>
              <w:spacing w:before="20"/>
              <w:ind w:left="23" w:right="15"/>
              <w:rPr>
                <w:rFonts w:ascii="Times New Roman"/>
                <w:sz w:val="21"/>
              </w:rPr>
            </w:pPr>
            <w:r>
              <w:rPr>
                <w:rFonts w:ascii="Times New Roman"/>
                <w:sz w:val="21"/>
              </w:rPr>
              <w:t>&lt;1.9</w:t>
            </w:r>
          </w:p>
        </w:tc>
        <w:tc>
          <w:tcPr>
            <w:tcW w:w="1546" w:type="dxa"/>
          </w:tcPr>
          <w:p>
            <w:pPr>
              <w:pStyle w:val="TableParagraph"/>
              <w:spacing w:before="20"/>
              <w:ind w:left="385" w:right="379"/>
              <w:rPr>
                <w:rFonts w:ascii="Times New Roman"/>
                <w:sz w:val="21"/>
              </w:rPr>
            </w:pPr>
            <w:r>
              <w:rPr>
                <w:rFonts w:ascii="Times New Roman"/>
                <w:sz w:val="21"/>
              </w:rPr>
              <w:t>4000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940"/>
              <w:jc w:val="left"/>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270000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669"/>
              <w:jc w:val="left"/>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&lt;1.5</w:t>
            </w:r>
          </w:p>
        </w:tc>
        <w:tc>
          <w:tcPr>
            <w:tcW w:w="1303" w:type="dxa"/>
          </w:tcPr>
          <w:p>
            <w:pPr>
              <w:pStyle w:val="TableParagraph"/>
              <w:spacing w:before="20"/>
              <w:ind w:left="247" w:right="240"/>
              <w:rPr>
                <w:rFonts w:ascii="Times New Roman"/>
                <w:sz w:val="21"/>
              </w:rPr>
            </w:pPr>
            <w:r>
              <w:rPr>
                <w:rFonts w:ascii="Times New Roman"/>
                <w:sz w:val="21"/>
              </w:rPr>
              <w:t>&lt;1.5</w:t>
            </w:r>
          </w:p>
        </w:tc>
        <w:tc>
          <w:tcPr>
            <w:tcW w:w="1135" w:type="dxa"/>
          </w:tcPr>
          <w:p>
            <w:pPr>
              <w:pStyle w:val="TableParagraph"/>
              <w:spacing w:before="20"/>
              <w:ind w:left="23" w:right="15"/>
              <w:rPr>
                <w:rFonts w:ascii="Times New Roman"/>
                <w:sz w:val="21"/>
              </w:rPr>
            </w:pPr>
            <w:r>
              <w:rPr>
                <w:rFonts w:ascii="Times New Roman"/>
                <w:sz w:val="21"/>
              </w:rPr>
              <w:t>&lt;1.5</w:t>
            </w:r>
          </w:p>
        </w:tc>
        <w:tc>
          <w:tcPr>
            <w:tcW w:w="1546" w:type="dxa"/>
          </w:tcPr>
          <w:p>
            <w:pPr>
              <w:pStyle w:val="TableParagraph"/>
              <w:spacing w:before="20"/>
              <w:ind w:left="385" w:right="379"/>
              <w:rPr>
                <w:rFonts w:ascii="Times New Roman"/>
                <w:sz w:val="21"/>
              </w:rPr>
            </w:pPr>
            <w:r>
              <w:rPr>
                <w:rFonts w:ascii="Times New Roman"/>
                <w:sz w:val="21"/>
              </w:rPr>
              <w:t>560000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7" w:lineRule="exact" w:before="6"/>
              <w:ind w:left="669"/>
              <w:jc w:val="left"/>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&lt;1.5</w:t>
            </w:r>
          </w:p>
        </w:tc>
        <w:tc>
          <w:tcPr>
            <w:tcW w:w="1303" w:type="dxa"/>
          </w:tcPr>
          <w:p>
            <w:pPr>
              <w:pStyle w:val="TableParagraph"/>
              <w:spacing w:before="20"/>
              <w:ind w:left="247" w:right="240"/>
              <w:rPr>
                <w:rFonts w:ascii="Times New Roman"/>
                <w:sz w:val="21"/>
              </w:rPr>
            </w:pPr>
            <w:r>
              <w:rPr>
                <w:rFonts w:ascii="Times New Roman"/>
                <w:sz w:val="21"/>
              </w:rPr>
              <w:t>&lt;1.5</w:t>
            </w:r>
          </w:p>
        </w:tc>
        <w:tc>
          <w:tcPr>
            <w:tcW w:w="1135" w:type="dxa"/>
          </w:tcPr>
          <w:p>
            <w:pPr>
              <w:pStyle w:val="TableParagraph"/>
              <w:spacing w:before="20"/>
              <w:ind w:left="23" w:right="15"/>
              <w:rPr>
                <w:rFonts w:ascii="Times New Roman"/>
                <w:sz w:val="21"/>
              </w:rPr>
            </w:pPr>
            <w:r>
              <w:rPr>
                <w:rFonts w:ascii="Times New Roman"/>
                <w:sz w:val="21"/>
              </w:rPr>
              <w:t>&lt;1.5</w:t>
            </w:r>
          </w:p>
        </w:tc>
        <w:tc>
          <w:tcPr>
            <w:tcW w:w="1546" w:type="dxa"/>
          </w:tcPr>
          <w:p>
            <w:pPr>
              <w:pStyle w:val="TableParagraph"/>
              <w:spacing w:before="20"/>
              <w:ind w:left="385" w:right="379"/>
              <w:rPr>
                <w:rFonts w:ascii="Times New Roman"/>
                <w:sz w:val="21"/>
              </w:rPr>
            </w:pPr>
            <w:r>
              <w:rPr>
                <w:rFonts w:ascii="Times New Roman"/>
                <w:sz w:val="21"/>
              </w:rPr>
              <w:t>20000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940"/>
              <w:jc w:val="left"/>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28000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835"/>
              <w:jc w:val="left"/>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&lt;1.1</w:t>
            </w:r>
          </w:p>
        </w:tc>
        <w:tc>
          <w:tcPr>
            <w:tcW w:w="1303" w:type="dxa"/>
          </w:tcPr>
          <w:p>
            <w:pPr>
              <w:pStyle w:val="TableParagraph"/>
              <w:spacing w:before="20"/>
              <w:ind w:left="247" w:right="240"/>
              <w:rPr>
                <w:rFonts w:ascii="Times New Roman"/>
                <w:sz w:val="21"/>
              </w:rPr>
            </w:pPr>
            <w:r>
              <w:rPr>
                <w:rFonts w:ascii="Times New Roman"/>
                <w:sz w:val="21"/>
              </w:rPr>
              <w:t>&lt;1.1</w:t>
            </w:r>
          </w:p>
        </w:tc>
        <w:tc>
          <w:tcPr>
            <w:tcW w:w="1135" w:type="dxa"/>
          </w:tcPr>
          <w:p>
            <w:pPr>
              <w:pStyle w:val="TableParagraph"/>
              <w:spacing w:before="20"/>
              <w:ind w:left="23" w:right="15"/>
              <w:rPr>
                <w:rFonts w:ascii="Times New Roman"/>
                <w:sz w:val="21"/>
              </w:rPr>
            </w:pPr>
            <w:r>
              <w:rPr>
                <w:rFonts w:ascii="Times New Roman"/>
                <w:sz w:val="21"/>
              </w:rPr>
              <w:t>&lt;1.1</w:t>
            </w:r>
          </w:p>
        </w:tc>
        <w:tc>
          <w:tcPr>
            <w:tcW w:w="1546" w:type="dxa"/>
          </w:tcPr>
          <w:p>
            <w:pPr>
              <w:pStyle w:val="TableParagraph"/>
              <w:spacing w:before="20"/>
              <w:ind w:left="387" w:right="379"/>
              <w:rPr>
                <w:rFonts w:ascii="Times New Roman"/>
                <w:sz w:val="21"/>
              </w:rPr>
            </w:pPr>
            <w:r>
              <w:rPr>
                <w:rFonts w:ascii="Times New Roman"/>
                <w:sz w:val="21"/>
              </w:rPr>
              <w:t>1290000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940"/>
              <w:jc w:val="left"/>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&lt;1.3</w:t>
            </w:r>
          </w:p>
        </w:tc>
        <w:tc>
          <w:tcPr>
            <w:tcW w:w="1303" w:type="dxa"/>
          </w:tcPr>
          <w:p>
            <w:pPr>
              <w:pStyle w:val="TableParagraph"/>
              <w:spacing w:before="22"/>
              <w:ind w:left="247" w:right="240"/>
              <w:rPr>
                <w:rFonts w:ascii="Times New Roman"/>
                <w:sz w:val="21"/>
              </w:rPr>
            </w:pPr>
            <w:r>
              <w:rPr>
                <w:rFonts w:ascii="Times New Roman"/>
                <w:sz w:val="21"/>
              </w:rPr>
              <w:t>&lt;1.3</w:t>
            </w:r>
          </w:p>
        </w:tc>
        <w:tc>
          <w:tcPr>
            <w:tcW w:w="1135" w:type="dxa"/>
          </w:tcPr>
          <w:p>
            <w:pPr>
              <w:pStyle w:val="TableParagraph"/>
              <w:spacing w:before="22"/>
              <w:ind w:left="23" w:right="15"/>
              <w:rPr>
                <w:rFonts w:ascii="Times New Roman"/>
                <w:sz w:val="21"/>
              </w:rPr>
            </w:pPr>
            <w:r>
              <w:rPr>
                <w:rFonts w:ascii="Times New Roman"/>
                <w:sz w:val="21"/>
              </w:rPr>
              <w:t>&lt;1.3</w:t>
            </w:r>
          </w:p>
        </w:tc>
        <w:tc>
          <w:tcPr>
            <w:tcW w:w="1546" w:type="dxa"/>
          </w:tcPr>
          <w:p>
            <w:pPr>
              <w:pStyle w:val="TableParagraph"/>
              <w:spacing w:before="22"/>
              <w:ind w:left="387" w:right="379"/>
              <w:rPr>
                <w:rFonts w:ascii="Times New Roman"/>
                <w:sz w:val="21"/>
              </w:rPr>
            </w:pPr>
            <w:r>
              <w:rPr>
                <w:rFonts w:ascii="Times New Roman"/>
                <w:sz w:val="21"/>
              </w:rPr>
              <w:t>1200000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right="243"/>
              <w:jc w:val="right"/>
              <w:rPr>
                <w:rFonts w:ascii="Times New Roman" w:hAnsi="Times New Roman" w:eastAsia="Times New Roman"/>
                <w:sz w:val="21"/>
              </w:rPr>
            </w:pPr>
            <w:r>
              <w:rPr>
                <w:sz w:val="21"/>
              </w:rPr>
              <w:t>间二甲苯</w:t>
            </w:r>
            <w:r>
              <w:rPr>
                <w:rFonts w:ascii="Times New Roman" w:hAnsi="Times New Roman" w:eastAsia="Times New Roman"/>
                <w:sz w:val="21"/>
              </w:rPr>
              <w:t>+</w:t>
            </w:r>
            <w:r>
              <w:rPr>
                <w:sz w:val="21"/>
              </w:rPr>
              <w:t>对二甲苯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2.3</w:t>
            </w:r>
          </w:p>
        </w:tc>
        <w:tc>
          <w:tcPr>
            <w:tcW w:w="1135" w:type="dxa"/>
          </w:tcPr>
          <w:p>
            <w:pPr>
              <w:pStyle w:val="TableParagraph"/>
              <w:spacing w:before="20"/>
              <w:ind w:left="23" w:right="15"/>
              <w:rPr>
                <w:rFonts w:ascii="Times New Roman"/>
                <w:sz w:val="21"/>
              </w:rPr>
            </w:pPr>
            <w:r>
              <w:rPr>
                <w:rFonts w:ascii="Times New Roman"/>
                <w:sz w:val="21"/>
              </w:rPr>
              <w:t>2.4</w:t>
            </w:r>
          </w:p>
        </w:tc>
        <w:tc>
          <w:tcPr>
            <w:tcW w:w="1546" w:type="dxa"/>
          </w:tcPr>
          <w:p>
            <w:pPr>
              <w:pStyle w:val="TableParagraph"/>
              <w:spacing w:before="20"/>
              <w:ind w:left="385" w:right="379"/>
              <w:rPr>
                <w:rFonts w:ascii="Times New Roman"/>
                <w:sz w:val="21"/>
              </w:rPr>
            </w:pPr>
            <w:r>
              <w:rPr>
                <w:rFonts w:ascii="Times New Roman"/>
                <w:sz w:val="21"/>
              </w:rPr>
              <w:t>570000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5" w:lineRule="exact" w:before="8"/>
              <w:ind w:left="731"/>
              <w:jc w:val="left"/>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303" w:type="dxa"/>
          </w:tcPr>
          <w:p>
            <w:pPr>
              <w:pStyle w:val="TableParagraph"/>
              <w:spacing w:line="241" w:lineRule="exact" w:before="22"/>
              <w:ind w:left="247" w:right="240"/>
              <w:rPr>
                <w:rFonts w:ascii="Times New Roman"/>
                <w:sz w:val="21"/>
              </w:rPr>
            </w:pPr>
            <w:r>
              <w:rPr>
                <w:rFonts w:ascii="Times New Roman"/>
                <w:sz w:val="21"/>
              </w:rPr>
              <w:t>2.6</w:t>
            </w:r>
          </w:p>
        </w:tc>
        <w:tc>
          <w:tcPr>
            <w:tcW w:w="1303" w:type="dxa"/>
          </w:tcPr>
          <w:p>
            <w:pPr>
              <w:pStyle w:val="TableParagraph"/>
              <w:spacing w:line="241" w:lineRule="exact" w:before="22"/>
              <w:ind w:left="247" w:right="240"/>
              <w:rPr>
                <w:rFonts w:ascii="Times New Roman"/>
                <w:sz w:val="21"/>
              </w:rPr>
            </w:pPr>
            <w:r>
              <w:rPr>
                <w:rFonts w:ascii="Times New Roman"/>
                <w:sz w:val="21"/>
              </w:rPr>
              <w:t>3.0</w:t>
            </w:r>
          </w:p>
        </w:tc>
        <w:tc>
          <w:tcPr>
            <w:tcW w:w="1135" w:type="dxa"/>
          </w:tcPr>
          <w:p>
            <w:pPr>
              <w:pStyle w:val="TableParagraph"/>
              <w:spacing w:line="241" w:lineRule="exact" w:before="22"/>
              <w:ind w:left="23" w:right="15"/>
              <w:rPr>
                <w:rFonts w:ascii="Times New Roman"/>
                <w:sz w:val="21"/>
              </w:rPr>
            </w:pPr>
            <w:r>
              <w:rPr>
                <w:rFonts w:ascii="Times New Roman"/>
                <w:sz w:val="21"/>
              </w:rPr>
              <w:t>6.3</w:t>
            </w:r>
          </w:p>
        </w:tc>
        <w:tc>
          <w:tcPr>
            <w:tcW w:w="1546" w:type="dxa"/>
          </w:tcPr>
          <w:p>
            <w:pPr>
              <w:pStyle w:val="TableParagraph"/>
              <w:spacing w:line="241" w:lineRule="exact" w:before="22"/>
              <w:ind w:left="385" w:right="379"/>
              <w:rPr>
                <w:rFonts w:ascii="Times New Roman"/>
                <w:sz w:val="21"/>
              </w:rPr>
            </w:pPr>
            <w:r>
              <w:rPr>
                <w:rFonts w:ascii="Times New Roman"/>
                <w:sz w:val="21"/>
              </w:rPr>
              <w:t>640000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811"/>
              <w:jc w:val="left"/>
              <w:rPr>
                <w:rFonts w:ascii="Times New Roman" w:eastAsia="Times New Roman"/>
                <w:sz w:val="21"/>
              </w:rPr>
            </w:pPr>
            <w:r>
              <w:rPr>
                <w:sz w:val="21"/>
              </w:rPr>
              <w:t>硝基苯 </w:t>
            </w:r>
            <w:r>
              <w:rPr>
                <w:rFonts w:ascii="Times New Roman" w:eastAsia="Times New Roman"/>
                <w:sz w:val="21"/>
              </w:rPr>
              <w:t>mg/kg</w:t>
            </w:r>
          </w:p>
        </w:tc>
        <w:tc>
          <w:tcPr>
            <w:tcW w:w="1303" w:type="dxa"/>
          </w:tcPr>
          <w:p>
            <w:pPr>
              <w:pStyle w:val="TableParagraph"/>
              <w:spacing w:before="22"/>
              <w:ind w:right="401"/>
              <w:jc w:val="right"/>
              <w:rPr>
                <w:rFonts w:ascii="Times New Roman"/>
                <w:sz w:val="21"/>
              </w:rPr>
            </w:pPr>
            <w:r>
              <w:rPr>
                <w:rFonts w:ascii="Times New Roman"/>
                <w:sz w:val="21"/>
              </w:rPr>
              <w:t>&lt;0.09</w:t>
            </w:r>
          </w:p>
        </w:tc>
        <w:tc>
          <w:tcPr>
            <w:tcW w:w="1303" w:type="dxa"/>
          </w:tcPr>
          <w:p>
            <w:pPr>
              <w:pStyle w:val="TableParagraph"/>
              <w:spacing w:before="22"/>
              <w:ind w:left="246" w:right="241"/>
              <w:rPr>
                <w:rFonts w:ascii="Times New Roman"/>
                <w:sz w:val="21"/>
              </w:rPr>
            </w:pPr>
            <w:r>
              <w:rPr>
                <w:rFonts w:ascii="Times New Roman"/>
                <w:sz w:val="21"/>
              </w:rPr>
              <w:t>&lt;0.09</w:t>
            </w:r>
          </w:p>
        </w:tc>
        <w:tc>
          <w:tcPr>
            <w:tcW w:w="1135" w:type="dxa"/>
          </w:tcPr>
          <w:p>
            <w:pPr>
              <w:pStyle w:val="TableParagraph"/>
              <w:spacing w:before="22"/>
              <w:ind w:left="21" w:right="15"/>
              <w:rPr>
                <w:rFonts w:ascii="Times New Roman"/>
                <w:sz w:val="21"/>
              </w:rPr>
            </w:pPr>
            <w:r>
              <w:rPr>
                <w:rFonts w:ascii="Times New Roman"/>
                <w:sz w:val="21"/>
              </w:rPr>
              <w:t>&lt;0.09</w:t>
            </w:r>
          </w:p>
        </w:tc>
        <w:tc>
          <w:tcPr>
            <w:tcW w:w="1546" w:type="dxa"/>
          </w:tcPr>
          <w:p>
            <w:pPr>
              <w:pStyle w:val="TableParagraph"/>
              <w:spacing w:before="22"/>
              <w:ind w:left="385" w:right="379"/>
              <w:rPr>
                <w:rFonts w:ascii="Times New Roman"/>
                <w:sz w:val="21"/>
              </w:rPr>
            </w:pPr>
            <w:r>
              <w:rPr>
                <w:rFonts w:ascii="Times New Roman"/>
                <w:sz w:val="21"/>
              </w:rPr>
              <w:t>76</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916"/>
              <w:jc w:val="left"/>
              <w:rPr>
                <w:rFonts w:ascii="Times New Roman" w:eastAsia="Times New Roman"/>
                <w:sz w:val="21"/>
              </w:rPr>
            </w:pPr>
            <w:r>
              <w:rPr>
                <w:sz w:val="21"/>
              </w:rPr>
              <w:t>苯胺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260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722"/>
              <w:jc w:val="left"/>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303" w:type="dxa"/>
          </w:tcPr>
          <w:p>
            <w:pPr>
              <w:pStyle w:val="TableParagraph"/>
              <w:spacing w:before="22"/>
              <w:ind w:right="401"/>
              <w:jc w:val="right"/>
              <w:rPr>
                <w:rFonts w:ascii="Times New Roman"/>
                <w:sz w:val="21"/>
              </w:rPr>
            </w:pPr>
            <w:r>
              <w:rPr>
                <w:rFonts w:ascii="Times New Roman"/>
                <w:sz w:val="21"/>
              </w:rPr>
              <w:t>&lt;0.06</w:t>
            </w:r>
          </w:p>
        </w:tc>
        <w:tc>
          <w:tcPr>
            <w:tcW w:w="1303" w:type="dxa"/>
          </w:tcPr>
          <w:p>
            <w:pPr>
              <w:pStyle w:val="TableParagraph"/>
              <w:spacing w:before="22"/>
              <w:ind w:left="246" w:right="241"/>
              <w:rPr>
                <w:rFonts w:ascii="Times New Roman"/>
                <w:sz w:val="21"/>
              </w:rPr>
            </w:pPr>
            <w:r>
              <w:rPr>
                <w:rFonts w:ascii="Times New Roman"/>
                <w:sz w:val="21"/>
              </w:rPr>
              <w:t>&lt;0.06</w:t>
            </w:r>
          </w:p>
        </w:tc>
        <w:tc>
          <w:tcPr>
            <w:tcW w:w="1135" w:type="dxa"/>
          </w:tcPr>
          <w:p>
            <w:pPr>
              <w:pStyle w:val="TableParagraph"/>
              <w:spacing w:before="22"/>
              <w:ind w:left="21" w:right="15"/>
              <w:rPr>
                <w:rFonts w:ascii="Times New Roman"/>
                <w:sz w:val="21"/>
              </w:rPr>
            </w:pPr>
            <w:r>
              <w:rPr>
                <w:rFonts w:ascii="Times New Roman"/>
                <w:sz w:val="21"/>
              </w:rPr>
              <w:t>&lt;0.06</w:t>
            </w:r>
          </w:p>
        </w:tc>
        <w:tc>
          <w:tcPr>
            <w:tcW w:w="1546" w:type="dxa"/>
          </w:tcPr>
          <w:p>
            <w:pPr>
              <w:pStyle w:val="TableParagraph"/>
              <w:spacing w:before="22"/>
              <w:ind w:left="385" w:right="379"/>
              <w:rPr>
                <w:rFonts w:ascii="Times New Roman"/>
                <w:sz w:val="21"/>
              </w:rPr>
            </w:pPr>
            <w:r>
              <w:rPr>
                <w:rFonts w:ascii="Times New Roman"/>
                <w:sz w:val="21"/>
              </w:rPr>
              <w:t>2256</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693"/>
              <w:jc w:val="left"/>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693"/>
              <w:jc w:val="left"/>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303" w:type="dxa"/>
          </w:tcPr>
          <w:p>
            <w:pPr>
              <w:pStyle w:val="TableParagraph"/>
              <w:spacing w:line="241" w:lineRule="exact" w:before="22"/>
              <w:ind w:right="451"/>
              <w:jc w:val="right"/>
              <w:rPr>
                <w:rFonts w:ascii="Times New Roman"/>
                <w:sz w:val="21"/>
              </w:rPr>
            </w:pPr>
            <w:r>
              <w:rPr>
                <w:rFonts w:ascii="Times New Roman"/>
                <w:sz w:val="21"/>
              </w:rPr>
              <w:t>&lt;0.1</w:t>
            </w:r>
          </w:p>
        </w:tc>
        <w:tc>
          <w:tcPr>
            <w:tcW w:w="1303" w:type="dxa"/>
          </w:tcPr>
          <w:p>
            <w:pPr>
              <w:pStyle w:val="TableParagraph"/>
              <w:spacing w:line="241" w:lineRule="exact" w:before="22"/>
              <w:ind w:left="247" w:right="240"/>
              <w:rPr>
                <w:rFonts w:ascii="Times New Roman"/>
                <w:sz w:val="21"/>
              </w:rPr>
            </w:pPr>
            <w:r>
              <w:rPr>
                <w:rFonts w:ascii="Times New Roman"/>
                <w:sz w:val="21"/>
              </w:rPr>
              <w:t>&lt;0.1</w:t>
            </w:r>
          </w:p>
        </w:tc>
        <w:tc>
          <w:tcPr>
            <w:tcW w:w="1135" w:type="dxa"/>
          </w:tcPr>
          <w:p>
            <w:pPr>
              <w:pStyle w:val="TableParagraph"/>
              <w:spacing w:line="241" w:lineRule="exact" w:before="22"/>
              <w:ind w:left="23" w:right="15"/>
              <w:rPr>
                <w:rFonts w:ascii="Times New Roman"/>
                <w:sz w:val="21"/>
              </w:rPr>
            </w:pPr>
            <w:r>
              <w:rPr>
                <w:rFonts w:ascii="Times New Roman"/>
                <w:sz w:val="21"/>
              </w:rPr>
              <w:t>&lt;0.1</w:t>
            </w:r>
          </w:p>
        </w:tc>
        <w:tc>
          <w:tcPr>
            <w:tcW w:w="1546" w:type="dxa"/>
          </w:tcPr>
          <w:p>
            <w:pPr>
              <w:pStyle w:val="TableParagraph"/>
              <w:spacing w:line="241" w:lineRule="exact" w:before="22"/>
              <w:ind w:left="385" w:right="379"/>
              <w:rPr>
                <w:rFonts w:ascii="Times New Roman"/>
                <w:sz w:val="21"/>
              </w:rPr>
            </w:pPr>
            <w:r>
              <w:rPr>
                <w:rFonts w:ascii="Times New Roman"/>
                <w:sz w:val="21"/>
              </w:rPr>
              <w:t>1.5</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583"/>
              <w:jc w:val="left"/>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&lt;0.2</w:t>
            </w:r>
          </w:p>
        </w:tc>
        <w:tc>
          <w:tcPr>
            <w:tcW w:w="1303" w:type="dxa"/>
          </w:tcPr>
          <w:p>
            <w:pPr>
              <w:pStyle w:val="TableParagraph"/>
              <w:spacing w:before="22"/>
              <w:ind w:left="247" w:right="240"/>
              <w:rPr>
                <w:rFonts w:ascii="Times New Roman"/>
                <w:sz w:val="21"/>
              </w:rPr>
            </w:pPr>
            <w:r>
              <w:rPr>
                <w:rFonts w:ascii="Times New Roman"/>
                <w:sz w:val="21"/>
              </w:rPr>
              <w:t>&lt;0.2</w:t>
            </w:r>
          </w:p>
        </w:tc>
        <w:tc>
          <w:tcPr>
            <w:tcW w:w="1135" w:type="dxa"/>
          </w:tcPr>
          <w:p>
            <w:pPr>
              <w:pStyle w:val="TableParagraph"/>
              <w:spacing w:before="22"/>
              <w:ind w:left="23" w:right="15"/>
              <w:rPr>
                <w:rFonts w:ascii="Times New Roman"/>
                <w:sz w:val="21"/>
              </w:rPr>
            </w:pPr>
            <w:r>
              <w:rPr>
                <w:rFonts w:ascii="Times New Roman"/>
                <w:sz w:val="21"/>
              </w:rPr>
              <w:t>&lt;0.2</w:t>
            </w:r>
          </w:p>
        </w:tc>
        <w:tc>
          <w:tcPr>
            <w:tcW w:w="1546" w:type="dxa"/>
          </w:tcPr>
          <w:p>
            <w:pPr>
              <w:pStyle w:val="TableParagraph"/>
              <w:spacing w:before="22"/>
              <w:ind w:left="385" w:right="379"/>
              <w:rPr>
                <w:rFonts w:ascii="Times New Roman"/>
                <w:sz w:val="21"/>
              </w:rPr>
            </w:pPr>
            <w:r>
              <w:rPr>
                <w:rFonts w:ascii="Times New Roman"/>
                <w:sz w:val="21"/>
              </w:rPr>
              <w:t>15</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83"/>
              <w:jc w:val="left"/>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151</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䓛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1293</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484"/>
              <w:jc w:val="left"/>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395"/>
              <w:jc w:val="left"/>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15</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45" w:right="541"/>
              <w:rPr>
                <w:rFonts w:ascii="Times New Roman" w:eastAsia="Times New Roman"/>
                <w:sz w:val="21"/>
              </w:rPr>
            </w:pPr>
            <w:r>
              <w:rPr>
                <w:sz w:val="21"/>
              </w:rPr>
              <w:t>萘 </w:t>
            </w:r>
            <w:r>
              <w:rPr>
                <w:rFonts w:ascii="Times New Roman" w:eastAsia="Times New Roman"/>
                <w:sz w:val="21"/>
              </w:rPr>
              <w:t>mg/kg</w:t>
            </w:r>
          </w:p>
        </w:tc>
        <w:tc>
          <w:tcPr>
            <w:tcW w:w="1303" w:type="dxa"/>
          </w:tcPr>
          <w:p>
            <w:pPr>
              <w:pStyle w:val="TableParagraph"/>
              <w:spacing w:before="20"/>
              <w:ind w:right="401"/>
              <w:jc w:val="right"/>
              <w:rPr>
                <w:rFonts w:ascii="Times New Roman"/>
                <w:sz w:val="21"/>
              </w:rPr>
            </w:pPr>
            <w:r>
              <w:rPr>
                <w:rFonts w:ascii="Times New Roman"/>
                <w:sz w:val="21"/>
              </w:rPr>
              <w:t>&lt;0.09</w:t>
            </w:r>
          </w:p>
        </w:tc>
        <w:tc>
          <w:tcPr>
            <w:tcW w:w="1303" w:type="dxa"/>
          </w:tcPr>
          <w:p>
            <w:pPr>
              <w:pStyle w:val="TableParagraph"/>
              <w:spacing w:before="20"/>
              <w:ind w:left="246" w:right="241"/>
              <w:rPr>
                <w:rFonts w:ascii="Times New Roman"/>
                <w:sz w:val="21"/>
              </w:rPr>
            </w:pPr>
            <w:r>
              <w:rPr>
                <w:rFonts w:ascii="Times New Roman"/>
                <w:sz w:val="21"/>
              </w:rPr>
              <w:t>&lt;0.09</w:t>
            </w:r>
          </w:p>
        </w:tc>
        <w:tc>
          <w:tcPr>
            <w:tcW w:w="1135" w:type="dxa"/>
          </w:tcPr>
          <w:p>
            <w:pPr>
              <w:pStyle w:val="TableParagraph"/>
              <w:spacing w:before="20"/>
              <w:ind w:left="21" w:right="15"/>
              <w:rPr>
                <w:rFonts w:ascii="Times New Roman"/>
                <w:sz w:val="21"/>
              </w:rPr>
            </w:pPr>
            <w:r>
              <w:rPr>
                <w:rFonts w:ascii="Times New Roman"/>
                <w:sz w:val="21"/>
              </w:rPr>
              <w:t>&lt;0.09</w:t>
            </w:r>
          </w:p>
        </w:tc>
        <w:tc>
          <w:tcPr>
            <w:tcW w:w="1546" w:type="dxa"/>
          </w:tcPr>
          <w:p>
            <w:pPr>
              <w:pStyle w:val="TableParagraph"/>
              <w:spacing w:before="20"/>
              <w:ind w:left="385" w:right="379"/>
              <w:rPr>
                <w:rFonts w:ascii="Times New Roman"/>
                <w:sz w:val="21"/>
              </w:rPr>
            </w:pPr>
            <w:r>
              <w:rPr>
                <w:rFonts w:ascii="Times New Roman"/>
                <w:sz w:val="21"/>
              </w:rPr>
              <w:t>70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6" w:lineRule="exact" w:before="7"/>
              <w:ind w:right="308"/>
              <w:jc w:val="right"/>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303" w:type="dxa"/>
          </w:tcPr>
          <w:p>
            <w:pPr>
              <w:pStyle w:val="TableParagraph"/>
              <w:spacing w:line="241" w:lineRule="exact" w:before="22"/>
              <w:ind w:left="247" w:right="239"/>
              <w:rPr>
                <w:rFonts w:ascii="Times New Roman"/>
                <w:sz w:val="21"/>
              </w:rPr>
            </w:pPr>
            <w:r>
              <w:rPr>
                <w:rFonts w:ascii="Times New Roman"/>
                <w:sz w:val="21"/>
              </w:rPr>
              <w:t>&lt;6</w:t>
            </w:r>
          </w:p>
        </w:tc>
        <w:tc>
          <w:tcPr>
            <w:tcW w:w="1303" w:type="dxa"/>
          </w:tcPr>
          <w:p>
            <w:pPr>
              <w:pStyle w:val="TableParagraph"/>
              <w:spacing w:line="241" w:lineRule="exact" w:before="22"/>
              <w:ind w:left="247" w:right="239"/>
              <w:rPr>
                <w:rFonts w:ascii="Times New Roman"/>
                <w:sz w:val="21"/>
              </w:rPr>
            </w:pPr>
            <w:r>
              <w:rPr>
                <w:rFonts w:ascii="Times New Roman"/>
                <w:sz w:val="21"/>
              </w:rPr>
              <w:t>&lt;6</w:t>
            </w:r>
          </w:p>
        </w:tc>
        <w:tc>
          <w:tcPr>
            <w:tcW w:w="1135" w:type="dxa"/>
          </w:tcPr>
          <w:p>
            <w:pPr>
              <w:pStyle w:val="TableParagraph"/>
              <w:spacing w:line="241" w:lineRule="exact" w:before="22"/>
              <w:ind w:left="24" w:right="15"/>
              <w:rPr>
                <w:rFonts w:ascii="Times New Roman"/>
                <w:sz w:val="21"/>
              </w:rPr>
            </w:pPr>
            <w:r>
              <w:rPr>
                <w:rFonts w:ascii="Times New Roman"/>
                <w:sz w:val="21"/>
              </w:rPr>
              <w:t>&lt;6</w:t>
            </w:r>
          </w:p>
        </w:tc>
        <w:tc>
          <w:tcPr>
            <w:tcW w:w="1546" w:type="dxa"/>
          </w:tcPr>
          <w:p>
            <w:pPr>
              <w:pStyle w:val="TableParagraph"/>
              <w:spacing w:line="241" w:lineRule="exact" w:before="22"/>
              <w:ind w:left="385" w:right="379"/>
              <w:rPr>
                <w:rFonts w:ascii="Times New Roman"/>
                <w:sz w:val="21"/>
              </w:rPr>
            </w:pPr>
            <w:r>
              <w:rPr>
                <w:rFonts w:ascii="Times New Roman"/>
                <w:sz w:val="21"/>
              </w:rPr>
              <w:t>4500</w:t>
            </w:r>
          </w:p>
        </w:tc>
        <w:tc>
          <w:tcPr>
            <w:tcW w:w="1164" w:type="dxa"/>
          </w:tcPr>
          <w:p>
            <w:pPr>
              <w:pStyle w:val="TableParagraph"/>
              <w:spacing w:line="255" w:lineRule="exact" w:before="8"/>
              <w:ind w:left="141" w:right="132"/>
              <w:rPr>
                <w:sz w:val="21"/>
              </w:rPr>
            </w:pPr>
            <w:r>
              <w:rPr>
                <w:sz w:val="21"/>
              </w:rPr>
              <w:t>达标</w:t>
            </w:r>
          </w:p>
        </w:tc>
      </w:tr>
    </w:tbl>
    <w:p>
      <w:pPr>
        <w:pStyle w:val="BodyText"/>
        <w:spacing w:before="6"/>
        <w:rPr>
          <w:b/>
          <w:sz w:val="5"/>
        </w:rPr>
      </w:pPr>
    </w:p>
    <w:p>
      <w:pPr>
        <w:tabs>
          <w:tab w:pos="1669" w:val="left" w:leader="none"/>
        </w:tabs>
        <w:spacing w:before="74" w:after="29"/>
        <w:ind w:left="447" w:right="0" w:firstLine="0"/>
        <w:jc w:val="center"/>
        <w:rPr>
          <w:b/>
          <w:sz w:val="24"/>
        </w:rPr>
      </w:pPr>
      <w:r>
        <w:rPr/>
        <w:pict>
          <v:line style="position:absolute;mso-position-horizontal-relative:page;mso-position-vertical-relative:paragraph;z-index:-317730816" from="71.304001pt,20.859997pt" to="215.810001pt,61.209997pt" stroked="true" strokeweight=".72pt" strokecolor="#000000">
            <v:stroke dashstyle="solid"/>
            <w10:wrap type="none"/>
          </v:line>
        </w:pict>
      </w:r>
      <w:r>
        <w:rPr>
          <w:b/>
          <w:sz w:val="24"/>
        </w:rPr>
        <w:t>表</w:t>
      </w:r>
      <w:r>
        <w:rPr>
          <w:b/>
          <w:spacing w:val="-60"/>
          <w:sz w:val="24"/>
        </w:rPr>
        <w:t> </w:t>
      </w:r>
      <w:r>
        <w:rPr>
          <w:rFonts w:ascii="Times New Roman" w:eastAsia="Times New Roman"/>
          <w:b/>
          <w:sz w:val="24"/>
        </w:rPr>
        <w:t>6.2.4-3</w:t>
        <w:tab/>
      </w:r>
      <w:r>
        <w:rPr>
          <w:b/>
          <w:sz w:val="24"/>
        </w:rPr>
        <w:t>西区土壤现状监测结果（</w:t>
      </w:r>
      <w:r>
        <w:rPr>
          <w:rFonts w:ascii="Times New Roman" w:eastAsia="Times New Roman"/>
          <w:b/>
          <w:sz w:val="24"/>
        </w:rPr>
        <w:t>2</w:t>
      </w:r>
      <w:r>
        <w:rPr>
          <w:b/>
          <w:sz w:val="24"/>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95"/>
        <w:gridCol w:w="1303"/>
        <w:gridCol w:w="1303"/>
        <w:gridCol w:w="1135"/>
        <w:gridCol w:w="1546"/>
        <w:gridCol w:w="1164"/>
      </w:tblGrid>
      <w:tr>
        <w:trPr>
          <w:trHeight w:val="516" w:hRule="atLeast"/>
        </w:trPr>
        <w:tc>
          <w:tcPr>
            <w:tcW w:w="2895" w:type="dxa"/>
            <w:vMerge w:val="restart"/>
          </w:tcPr>
          <w:p>
            <w:pPr>
              <w:pStyle w:val="TableParagraph"/>
              <w:spacing w:before="133"/>
              <w:ind w:left="1943"/>
              <w:jc w:val="left"/>
              <w:rPr>
                <w:b/>
                <w:sz w:val="21"/>
              </w:rPr>
            </w:pPr>
            <w:r>
              <w:rPr>
                <w:b/>
                <w:sz w:val="21"/>
              </w:rPr>
              <w:t>采样点位</w:t>
            </w:r>
          </w:p>
          <w:p>
            <w:pPr>
              <w:pStyle w:val="TableParagraph"/>
              <w:spacing w:before="5"/>
              <w:ind w:left="107"/>
              <w:jc w:val="left"/>
              <w:rPr>
                <w:b/>
                <w:sz w:val="21"/>
              </w:rPr>
            </w:pPr>
            <w:r>
              <w:rPr>
                <w:b/>
                <w:sz w:val="21"/>
              </w:rPr>
              <w:t>项目名称及单位</w:t>
            </w:r>
          </w:p>
        </w:tc>
        <w:tc>
          <w:tcPr>
            <w:tcW w:w="3741" w:type="dxa"/>
            <w:gridSpan w:val="3"/>
          </w:tcPr>
          <w:p>
            <w:pPr>
              <w:pStyle w:val="TableParagraph"/>
              <w:spacing w:before="4"/>
              <w:ind w:left="57" w:right="52"/>
              <w:rPr>
                <w:b/>
                <w:sz w:val="21"/>
              </w:rPr>
            </w:pPr>
            <w:r>
              <w:rPr>
                <w:b/>
                <w:sz w:val="21"/>
              </w:rPr>
              <w:t>危废仓库南侧，距离危废仓库 </w:t>
            </w:r>
            <w:r>
              <w:rPr>
                <w:rFonts w:ascii="Times New Roman" w:eastAsia="Times New Roman"/>
                <w:b/>
                <w:sz w:val="21"/>
              </w:rPr>
              <w:t>3  </w:t>
            </w:r>
            <w:r>
              <w:rPr>
                <w:b/>
                <w:sz w:val="21"/>
              </w:rPr>
              <w:t>米</w:t>
            </w:r>
          </w:p>
          <w:p>
            <w:pPr>
              <w:pStyle w:val="TableParagraph"/>
              <w:spacing w:line="222" w:lineRule="exact" w:before="1"/>
              <w:ind w:left="59" w:right="52"/>
              <w:rPr>
                <w:rFonts w:ascii="Times New Roman"/>
                <w:b/>
                <w:sz w:val="21"/>
              </w:rPr>
            </w:pPr>
            <w:r>
              <w:rPr>
                <w:rFonts w:ascii="Times New Roman"/>
                <w:b/>
                <w:sz w:val="21"/>
              </w:rPr>
              <w:t>1H01</w:t>
            </w:r>
          </w:p>
        </w:tc>
        <w:tc>
          <w:tcPr>
            <w:tcW w:w="1546" w:type="dxa"/>
            <w:vMerge w:val="restart"/>
          </w:tcPr>
          <w:p>
            <w:pPr>
              <w:pStyle w:val="TableParagraph"/>
              <w:spacing w:line="244" w:lineRule="auto" w:before="133"/>
              <w:ind w:left="351" w:right="131" w:hanging="212"/>
              <w:jc w:val="left"/>
              <w:rPr>
                <w:b/>
                <w:sz w:val="21"/>
              </w:rPr>
            </w:pPr>
            <w:r>
              <w:rPr>
                <w:b/>
                <w:sz w:val="21"/>
              </w:rPr>
              <w:t>第二类用地筛选值标准</w:t>
            </w:r>
          </w:p>
        </w:tc>
        <w:tc>
          <w:tcPr>
            <w:tcW w:w="1164" w:type="dxa"/>
            <w:vMerge w:val="restart"/>
          </w:tcPr>
          <w:p>
            <w:pPr>
              <w:pStyle w:val="TableParagraph"/>
              <w:spacing w:before="1"/>
              <w:jc w:val="left"/>
              <w:rPr>
                <w:b/>
                <w:sz w:val="21"/>
              </w:rPr>
            </w:pPr>
          </w:p>
          <w:p>
            <w:pPr>
              <w:pStyle w:val="TableParagraph"/>
              <w:ind w:left="161"/>
              <w:jc w:val="left"/>
              <w:rPr>
                <w:b/>
                <w:sz w:val="21"/>
              </w:rPr>
            </w:pPr>
            <w:r>
              <w:rPr>
                <w:b/>
                <w:sz w:val="21"/>
              </w:rPr>
              <w:t>达标情况</w:t>
            </w:r>
          </w:p>
        </w:tc>
      </w:tr>
      <w:tr>
        <w:trPr>
          <w:trHeight w:val="287" w:hRule="atLeast"/>
        </w:trPr>
        <w:tc>
          <w:tcPr>
            <w:tcW w:w="2895" w:type="dxa"/>
            <w:vMerge/>
            <w:tcBorders>
              <w:top w:val="nil"/>
            </w:tcBorders>
          </w:tcPr>
          <w:p>
            <w:pPr>
              <w:rPr>
                <w:sz w:val="2"/>
                <w:szCs w:val="2"/>
              </w:rPr>
            </w:pPr>
          </w:p>
        </w:tc>
        <w:tc>
          <w:tcPr>
            <w:tcW w:w="1303" w:type="dxa"/>
          </w:tcPr>
          <w:p>
            <w:pPr>
              <w:pStyle w:val="TableParagraph"/>
              <w:spacing w:before="24"/>
              <w:ind w:right="337"/>
              <w:jc w:val="right"/>
              <w:rPr>
                <w:rFonts w:ascii="Times New Roman"/>
                <w:b/>
                <w:sz w:val="21"/>
              </w:rPr>
            </w:pPr>
            <w:r>
              <w:rPr>
                <w:rFonts w:ascii="Times New Roman"/>
                <w:b/>
                <w:sz w:val="21"/>
              </w:rPr>
              <w:t>0-0.5m</w:t>
            </w:r>
          </w:p>
        </w:tc>
        <w:tc>
          <w:tcPr>
            <w:tcW w:w="1303" w:type="dxa"/>
          </w:tcPr>
          <w:p>
            <w:pPr>
              <w:pStyle w:val="TableParagraph"/>
              <w:spacing w:before="24"/>
              <w:ind w:left="247" w:right="241"/>
              <w:rPr>
                <w:rFonts w:ascii="Times New Roman"/>
                <w:b/>
                <w:sz w:val="21"/>
              </w:rPr>
            </w:pPr>
            <w:r>
              <w:rPr>
                <w:rFonts w:ascii="Times New Roman"/>
                <w:b/>
                <w:sz w:val="21"/>
              </w:rPr>
              <w:t>0.6-1.2m</w:t>
            </w:r>
          </w:p>
        </w:tc>
        <w:tc>
          <w:tcPr>
            <w:tcW w:w="1135" w:type="dxa"/>
          </w:tcPr>
          <w:p>
            <w:pPr>
              <w:pStyle w:val="TableParagraph"/>
              <w:spacing w:before="24"/>
              <w:ind w:left="22" w:right="15"/>
              <w:rPr>
                <w:rFonts w:ascii="Times New Roman"/>
                <w:b/>
                <w:sz w:val="21"/>
              </w:rPr>
            </w:pPr>
            <w:r>
              <w:rPr>
                <w:rFonts w:ascii="Times New Roman"/>
                <w:b/>
                <w:sz w:val="21"/>
              </w:rPr>
              <w:t>2.0-4.5m</w:t>
            </w:r>
          </w:p>
        </w:tc>
        <w:tc>
          <w:tcPr>
            <w:tcW w:w="1546" w:type="dxa"/>
            <w:vMerge/>
            <w:tcBorders>
              <w:top w:val="nil"/>
            </w:tcBorders>
          </w:tcPr>
          <w:p>
            <w:pPr>
              <w:rPr>
                <w:sz w:val="2"/>
                <w:szCs w:val="2"/>
              </w:rPr>
            </w:pPr>
          </w:p>
        </w:tc>
        <w:tc>
          <w:tcPr>
            <w:tcW w:w="1164" w:type="dxa"/>
            <w:vMerge/>
            <w:tcBorders>
              <w:top w:val="nil"/>
            </w:tcBorders>
          </w:tcPr>
          <w:p>
            <w:pPr>
              <w:rPr>
                <w:sz w:val="2"/>
                <w:szCs w:val="2"/>
              </w:rPr>
            </w:pP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铜 </w:t>
            </w:r>
            <w:r>
              <w:rPr>
                <w:rFonts w:ascii="Times New Roman" w:eastAsia="Times New Roman"/>
                <w:sz w:val="21"/>
              </w:rPr>
              <w:t>mg/kg</w:t>
            </w:r>
          </w:p>
        </w:tc>
        <w:tc>
          <w:tcPr>
            <w:tcW w:w="1303" w:type="dxa"/>
          </w:tcPr>
          <w:p>
            <w:pPr>
              <w:pStyle w:val="TableParagraph"/>
              <w:spacing w:before="22"/>
              <w:ind w:left="247" w:right="240"/>
              <w:rPr>
                <w:rFonts w:ascii="Times New Roman"/>
                <w:sz w:val="21"/>
              </w:rPr>
            </w:pPr>
            <w:r>
              <w:rPr>
                <w:rFonts w:ascii="Times New Roman"/>
                <w:sz w:val="21"/>
              </w:rPr>
              <w:t>39.8</w:t>
            </w:r>
          </w:p>
        </w:tc>
        <w:tc>
          <w:tcPr>
            <w:tcW w:w="1303" w:type="dxa"/>
          </w:tcPr>
          <w:p>
            <w:pPr>
              <w:pStyle w:val="TableParagraph"/>
              <w:spacing w:before="22"/>
              <w:ind w:left="247" w:right="240"/>
              <w:rPr>
                <w:rFonts w:ascii="Times New Roman"/>
                <w:sz w:val="21"/>
              </w:rPr>
            </w:pPr>
            <w:r>
              <w:rPr>
                <w:rFonts w:ascii="Times New Roman"/>
                <w:sz w:val="21"/>
              </w:rPr>
              <w:t>29.6</w:t>
            </w:r>
          </w:p>
        </w:tc>
        <w:tc>
          <w:tcPr>
            <w:tcW w:w="1135" w:type="dxa"/>
          </w:tcPr>
          <w:p>
            <w:pPr>
              <w:pStyle w:val="TableParagraph"/>
              <w:spacing w:before="22"/>
              <w:ind w:left="23" w:right="15"/>
              <w:rPr>
                <w:rFonts w:ascii="Times New Roman"/>
                <w:sz w:val="21"/>
              </w:rPr>
            </w:pPr>
            <w:r>
              <w:rPr>
                <w:rFonts w:ascii="Times New Roman"/>
                <w:sz w:val="21"/>
              </w:rPr>
              <w:t>29.4</w:t>
            </w:r>
          </w:p>
        </w:tc>
        <w:tc>
          <w:tcPr>
            <w:tcW w:w="1546" w:type="dxa"/>
          </w:tcPr>
          <w:p>
            <w:pPr>
              <w:pStyle w:val="TableParagraph"/>
              <w:spacing w:before="22"/>
              <w:ind w:left="385" w:right="379"/>
              <w:rPr>
                <w:rFonts w:ascii="Times New Roman"/>
                <w:sz w:val="21"/>
              </w:rPr>
            </w:pPr>
            <w:r>
              <w:rPr>
                <w:rFonts w:ascii="Times New Roman"/>
                <w:sz w:val="21"/>
              </w:rPr>
              <w:t>18000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铅 </w:t>
            </w:r>
            <w:r>
              <w:rPr>
                <w:rFonts w:ascii="Times New Roman" w:eastAsia="Times New Roman"/>
                <w:sz w:val="21"/>
              </w:rPr>
              <w:t>mg/kg</w:t>
            </w:r>
          </w:p>
        </w:tc>
        <w:tc>
          <w:tcPr>
            <w:tcW w:w="1303" w:type="dxa"/>
          </w:tcPr>
          <w:p>
            <w:pPr>
              <w:pStyle w:val="TableParagraph"/>
              <w:spacing w:before="20"/>
              <w:ind w:left="245" w:right="241"/>
              <w:rPr>
                <w:rFonts w:ascii="Times New Roman"/>
                <w:sz w:val="21"/>
              </w:rPr>
            </w:pPr>
            <w:r>
              <w:rPr>
                <w:rFonts w:ascii="Times New Roman"/>
                <w:sz w:val="21"/>
              </w:rPr>
              <w:t>119</w:t>
            </w:r>
          </w:p>
        </w:tc>
        <w:tc>
          <w:tcPr>
            <w:tcW w:w="1303" w:type="dxa"/>
          </w:tcPr>
          <w:p>
            <w:pPr>
              <w:pStyle w:val="TableParagraph"/>
              <w:spacing w:before="20"/>
              <w:ind w:left="243" w:right="241"/>
              <w:rPr>
                <w:rFonts w:ascii="Times New Roman"/>
                <w:sz w:val="21"/>
              </w:rPr>
            </w:pPr>
            <w:r>
              <w:rPr>
                <w:rFonts w:ascii="Times New Roman"/>
                <w:sz w:val="21"/>
              </w:rPr>
              <w:t>23</w:t>
            </w:r>
          </w:p>
        </w:tc>
        <w:tc>
          <w:tcPr>
            <w:tcW w:w="1135" w:type="dxa"/>
          </w:tcPr>
          <w:p>
            <w:pPr>
              <w:pStyle w:val="TableParagraph"/>
              <w:spacing w:before="20"/>
              <w:ind w:left="19" w:right="15"/>
              <w:rPr>
                <w:rFonts w:ascii="Times New Roman"/>
                <w:sz w:val="21"/>
              </w:rPr>
            </w:pPr>
            <w:r>
              <w:rPr>
                <w:rFonts w:ascii="Times New Roman"/>
                <w:sz w:val="21"/>
              </w:rPr>
              <w:t>50</w:t>
            </w:r>
          </w:p>
        </w:tc>
        <w:tc>
          <w:tcPr>
            <w:tcW w:w="1546" w:type="dxa"/>
          </w:tcPr>
          <w:p>
            <w:pPr>
              <w:pStyle w:val="TableParagraph"/>
              <w:spacing w:before="20"/>
              <w:ind w:left="385" w:right="379"/>
              <w:rPr>
                <w:rFonts w:ascii="Times New Roman"/>
                <w:sz w:val="21"/>
              </w:rPr>
            </w:pPr>
            <w:r>
              <w:rPr>
                <w:rFonts w:ascii="Times New Roman"/>
                <w:sz w:val="21"/>
              </w:rPr>
              <w:t>800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5" w:lineRule="exact" w:before="8"/>
              <w:ind w:left="545" w:right="539"/>
              <w:rPr>
                <w:rFonts w:ascii="Times New Roman" w:eastAsia="Times New Roman"/>
                <w:sz w:val="21"/>
              </w:rPr>
            </w:pPr>
            <w:r>
              <w:rPr>
                <w:sz w:val="21"/>
              </w:rPr>
              <w:t>六价铬 </w:t>
            </w:r>
            <w:r>
              <w:rPr>
                <w:rFonts w:ascii="Times New Roman" w:eastAsia="Times New Roman"/>
                <w:sz w:val="21"/>
              </w:rPr>
              <w:t>mg/kg</w:t>
            </w:r>
          </w:p>
        </w:tc>
        <w:tc>
          <w:tcPr>
            <w:tcW w:w="1303" w:type="dxa"/>
          </w:tcPr>
          <w:p>
            <w:pPr>
              <w:pStyle w:val="TableParagraph"/>
              <w:spacing w:line="255" w:lineRule="exact" w:before="8"/>
              <w:ind w:right="405"/>
              <w:jc w:val="right"/>
              <w:rPr>
                <w:rFonts w:ascii="Times New Roman" w:eastAsia="Times New Roman"/>
                <w:sz w:val="21"/>
              </w:rPr>
            </w:pPr>
            <w:r>
              <w:rPr>
                <w:sz w:val="21"/>
              </w:rPr>
              <w:t>＜</w:t>
            </w:r>
            <w:r>
              <w:rPr>
                <w:rFonts w:ascii="Times New Roman" w:eastAsia="Times New Roman"/>
                <w:sz w:val="21"/>
              </w:rPr>
              <w:t>0.5</w:t>
            </w:r>
          </w:p>
        </w:tc>
        <w:tc>
          <w:tcPr>
            <w:tcW w:w="1303" w:type="dxa"/>
          </w:tcPr>
          <w:p>
            <w:pPr>
              <w:pStyle w:val="TableParagraph"/>
              <w:spacing w:line="255" w:lineRule="exact" w:before="8"/>
              <w:ind w:left="247" w:right="240"/>
              <w:rPr>
                <w:rFonts w:ascii="Times New Roman" w:eastAsia="Times New Roman"/>
                <w:sz w:val="21"/>
              </w:rPr>
            </w:pPr>
            <w:r>
              <w:rPr>
                <w:sz w:val="21"/>
              </w:rPr>
              <w:t>＜</w:t>
            </w:r>
            <w:r>
              <w:rPr>
                <w:rFonts w:ascii="Times New Roman" w:eastAsia="Times New Roman"/>
                <w:sz w:val="21"/>
              </w:rPr>
              <w:t>0.5</w:t>
            </w:r>
          </w:p>
        </w:tc>
        <w:tc>
          <w:tcPr>
            <w:tcW w:w="1135" w:type="dxa"/>
          </w:tcPr>
          <w:p>
            <w:pPr>
              <w:pStyle w:val="TableParagraph"/>
              <w:spacing w:line="255" w:lineRule="exact" w:before="8"/>
              <w:ind w:left="23" w:right="15"/>
              <w:rPr>
                <w:rFonts w:ascii="Times New Roman" w:eastAsia="Times New Roman"/>
                <w:sz w:val="21"/>
              </w:rPr>
            </w:pPr>
            <w:r>
              <w:rPr>
                <w:sz w:val="21"/>
              </w:rPr>
              <w:t>＜</w:t>
            </w:r>
            <w:r>
              <w:rPr>
                <w:rFonts w:ascii="Times New Roman" w:eastAsia="Times New Roman"/>
                <w:sz w:val="21"/>
              </w:rPr>
              <w:t>0.5</w:t>
            </w:r>
          </w:p>
        </w:tc>
        <w:tc>
          <w:tcPr>
            <w:tcW w:w="1546" w:type="dxa"/>
          </w:tcPr>
          <w:p>
            <w:pPr>
              <w:pStyle w:val="TableParagraph"/>
              <w:spacing w:line="241" w:lineRule="exact" w:before="22"/>
              <w:ind w:left="385" w:right="379"/>
              <w:rPr>
                <w:rFonts w:ascii="Times New Roman"/>
                <w:sz w:val="21"/>
              </w:rPr>
            </w:pPr>
            <w:r>
              <w:rPr>
                <w:rFonts w:ascii="Times New Roman"/>
                <w:sz w:val="21"/>
              </w:rPr>
              <w:t>5.7</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砷 </w:t>
            </w:r>
            <w:r>
              <w:rPr>
                <w:rFonts w:ascii="Times New Roman" w:eastAsia="Times New Roman"/>
                <w:sz w:val="21"/>
              </w:rPr>
              <w:t>mg/kg</w:t>
            </w:r>
          </w:p>
        </w:tc>
        <w:tc>
          <w:tcPr>
            <w:tcW w:w="1303" w:type="dxa"/>
          </w:tcPr>
          <w:p>
            <w:pPr>
              <w:pStyle w:val="TableParagraph"/>
              <w:spacing w:before="22"/>
              <w:ind w:left="247" w:right="240"/>
              <w:rPr>
                <w:rFonts w:ascii="Times New Roman"/>
                <w:sz w:val="21"/>
              </w:rPr>
            </w:pPr>
            <w:r>
              <w:rPr>
                <w:rFonts w:ascii="Times New Roman"/>
                <w:sz w:val="21"/>
              </w:rPr>
              <w:t>34.7</w:t>
            </w:r>
          </w:p>
        </w:tc>
        <w:tc>
          <w:tcPr>
            <w:tcW w:w="1303" w:type="dxa"/>
          </w:tcPr>
          <w:p>
            <w:pPr>
              <w:pStyle w:val="TableParagraph"/>
              <w:spacing w:before="22"/>
              <w:ind w:left="247" w:right="240"/>
              <w:rPr>
                <w:rFonts w:ascii="Times New Roman"/>
                <w:sz w:val="21"/>
              </w:rPr>
            </w:pPr>
            <w:r>
              <w:rPr>
                <w:rFonts w:ascii="Times New Roman"/>
                <w:sz w:val="21"/>
              </w:rPr>
              <w:t>15.2</w:t>
            </w:r>
          </w:p>
        </w:tc>
        <w:tc>
          <w:tcPr>
            <w:tcW w:w="1135" w:type="dxa"/>
          </w:tcPr>
          <w:p>
            <w:pPr>
              <w:pStyle w:val="TableParagraph"/>
              <w:spacing w:before="22"/>
              <w:ind w:left="23" w:right="15"/>
              <w:rPr>
                <w:rFonts w:ascii="Times New Roman"/>
                <w:sz w:val="21"/>
              </w:rPr>
            </w:pPr>
            <w:r>
              <w:rPr>
                <w:rFonts w:ascii="Times New Roman"/>
                <w:sz w:val="21"/>
              </w:rPr>
              <w:t>12.1</w:t>
            </w:r>
          </w:p>
        </w:tc>
        <w:tc>
          <w:tcPr>
            <w:tcW w:w="1546" w:type="dxa"/>
          </w:tcPr>
          <w:p>
            <w:pPr>
              <w:pStyle w:val="TableParagraph"/>
              <w:spacing w:before="22"/>
              <w:ind w:left="385" w:right="379"/>
              <w:rPr>
                <w:rFonts w:ascii="Times New Roman"/>
                <w:sz w:val="21"/>
              </w:rPr>
            </w:pPr>
            <w:r>
              <w:rPr>
                <w:rFonts w:ascii="Times New Roman"/>
                <w:sz w:val="21"/>
              </w:rPr>
              <w:t>60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汞 </w:t>
            </w:r>
            <w:r>
              <w:rPr>
                <w:rFonts w:ascii="Times New Roman" w:eastAsia="Times New Roman"/>
                <w:sz w:val="21"/>
              </w:rPr>
              <w:t>mg/kg</w:t>
            </w:r>
          </w:p>
        </w:tc>
        <w:tc>
          <w:tcPr>
            <w:tcW w:w="1303" w:type="dxa"/>
          </w:tcPr>
          <w:p>
            <w:pPr>
              <w:pStyle w:val="TableParagraph"/>
              <w:spacing w:before="20"/>
              <w:ind w:right="405"/>
              <w:jc w:val="right"/>
              <w:rPr>
                <w:rFonts w:ascii="Times New Roman"/>
                <w:sz w:val="21"/>
              </w:rPr>
            </w:pPr>
            <w:r>
              <w:rPr>
                <w:rFonts w:ascii="Times New Roman"/>
                <w:sz w:val="21"/>
              </w:rPr>
              <w:t>0.058</w:t>
            </w:r>
          </w:p>
        </w:tc>
        <w:tc>
          <w:tcPr>
            <w:tcW w:w="1303" w:type="dxa"/>
          </w:tcPr>
          <w:p>
            <w:pPr>
              <w:pStyle w:val="TableParagraph"/>
              <w:spacing w:before="20"/>
              <w:ind w:left="247" w:right="240"/>
              <w:rPr>
                <w:rFonts w:ascii="Times New Roman"/>
                <w:sz w:val="21"/>
              </w:rPr>
            </w:pPr>
            <w:r>
              <w:rPr>
                <w:rFonts w:ascii="Times New Roman"/>
                <w:sz w:val="21"/>
              </w:rPr>
              <w:t>0.065</w:t>
            </w:r>
          </w:p>
        </w:tc>
        <w:tc>
          <w:tcPr>
            <w:tcW w:w="1135" w:type="dxa"/>
          </w:tcPr>
          <w:p>
            <w:pPr>
              <w:pStyle w:val="TableParagraph"/>
              <w:spacing w:before="20"/>
              <w:ind w:left="23" w:right="15"/>
              <w:rPr>
                <w:rFonts w:ascii="Times New Roman"/>
                <w:sz w:val="21"/>
              </w:rPr>
            </w:pPr>
            <w:r>
              <w:rPr>
                <w:rFonts w:ascii="Times New Roman"/>
                <w:sz w:val="21"/>
              </w:rPr>
              <w:t>0.057</w:t>
            </w:r>
          </w:p>
        </w:tc>
        <w:tc>
          <w:tcPr>
            <w:tcW w:w="1546" w:type="dxa"/>
          </w:tcPr>
          <w:p>
            <w:pPr>
              <w:pStyle w:val="TableParagraph"/>
              <w:spacing w:before="20"/>
              <w:ind w:left="385" w:right="379"/>
              <w:rPr>
                <w:rFonts w:ascii="Times New Roman"/>
                <w:sz w:val="21"/>
              </w:rPr>
            </w:pPr>
            <w:r>
              <w:rPr>
                <w:rFonts w:ascii="Times New Roman"/>
                <w:sz w:val="21"/>
              </w:rPr>
              <w:t>38</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镍 </w:t>
            </w:r>
            <w:r>
              <w:rPr>
                <w:rFonts w:ascii="Times New Roman" w:eastAsia="Times New Roman"/>
                <w:sz w:val="21"/>
              </w:rPr>
              <w:t>mg/kg</w:t>
            </w:r>
          </w:p>
        </w:tc>
        <w:tc>
          <w:tcPr>
            <w:tcW w:w="1303" w:type="dxa"/>
          </w:tcPr>
          <w:p>
            <w:pPr>
              <w:pStyle w:val="TableParagraph"/>
              <w:spacing w:before="22"/>
              <w:ind w:left="243" w:right="241"/>
              <w:rPr>
                <w:rFonts w:ascii="Times New Roman"/>
                <w:sz w:val="21"/>
              </w:rPr>
            </w:pPr>
            <w:r>
              <w:rPr>
                <w:rFonts w:ascii="Times New Roman"/>
                <w:sz w:val="21"/>
              </w:rPr>
              <w:t>86</w:t>
            </w:r>
          </w:p>
        </w:tc>
        <w:tc>
          <w:tcPr>
            <w:tcW w:w="1303" w:type="dxa"/>
          </w:tcPr>
          <w:p>
            <w:pPr>
              <w:pStyle w:val="TableParagraph"/>
              <w:spacing w:before="22"/>
              <w:ind w:left="243" w:right="241"/>
              <w:rPr>
                <w:rFonts w:ascii="Times New Roman"/>
                <w:sz w:val="21"/>
              </w:rPr>
            </w:pPr>
            <w:r>
              <w:rPr>
                <w:rFonts w:ascii="Times New Roman"/>
                <w:sz w:val="21"/>
              </w:rPr>
              <w:t>41</w:t>
            </w:r>
          </w:p>
        </w:tc>
        <w:tc>
          <w:tcPr>
            <w:tcW w:w="1135" w:type="dxa"/>
          </w:tcPr>
          <w:p>
            <w:pPr>
              <w:pStyle w:val="TableParagraph"/>
              <w:spacing w:before="22"/>
              <w:ind w:left="19" w:right="15"/>
              <w:rPr>
                <w:rFonts w:ascii="Times New Roman"/>
                <w:sz w:val="21"/>
              </w:rPr>
            </w:pPr>
            <w:r>
              <w:rPr>
                <w:rFonts w:ascii="Times New Roman"/>
                <w:sz w:val="21"/>
              </w:rPr>
              <w:t>43</w:t>
            </w:r>
          </w:p>
        </w:tc>
        <w:tc>
          <w:tcPr>
            <w:tcW w:w="1546" w:type="dxa"/>
          </w:tcPr>
          <w:p>
            <w:pPr>
              <w:pStyle w:val="TableParagraph"/>
              <w:spacing w:before="22"/>
              <w:ind w:left="385" w:right="379"/>
              <w:rPr>
                <w:rFonts w:ascii="Times New Roman"/>
                <w:sz w:val="21"/>
              </w:rPr>
            </w:pPr>
            <w:r>
              <w:rPr>
                <w:rFonts w:ascii="Times New Roman"/>
                <w:sz w:val="21"/>
              </w:rPr>
              <w:t>900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镉 </w:t>
            </w:r>
            <w:r>
              <w:rPr>
                <w:rFonts w:ascii="Times New Roman" w:eastAsia="Times New Roman"/>
                <w:sz w:val="21"/>
              </w:rPr>
              <w:t>mg/kg</w:t>
            </w:r>
          </w:p>
        </w:tc>
        <w:tc>
          <w:tcPr>
            <w:tcW w:w="1303" w:type="dxa"/>
          </w:tcPr>
          <w:p>
            <w:pPr>
              <w:pStyle w:val="TableParagraph"/>
              <w:spacing w:before="19"/>
              <w:ind w:left="247" w:right="240"/>
              <w:rPr>
                <w:rFonts w:ascii="Times New Roman"/>
                <w:sz w:val="21"/>
              </w:rPr>
            </w:pPr>
            <w:r>
              <w:rPr>
                <w:rFonts w:ascii="Times New Roman"/>
                <w:sz w:val="21"/>
              </w:rPr>
              <w:t>0.72</w:t>
            </w:r>
          </w:p>
        </w:tc>
        <w:tc>
          <w:tcPr>
            <w:tcW w:w="1303" w:type="dxa"/>
          </w:tcPr>
          <w:p>
            <w:pPr>
              <w:pStyle w:val="TableParagraph"/>
              <w:spacing w:before="19"/>
              <w:ind w:left="247" w:right="240"/>
              <w:rPr>
                <w:rFonts w:ascii="Times New Roman"/>
                <w:sz w:val="21"/>
              </w:rPr>
            </w:pPr>
            <w:r>
              <w:rPr>
                <w:rFonts w:ascii="Times New Roman"/>
                <w:sz w:val="21"/>
              </w:rPr>
              <w:t>0.20</w:t>
            </w:r>
          </w:p>
        </w:tc>
        <w:tc>
          <w:tcPr>
            <w:tcW w:w="1135" w:type="dxa"/>
          </w:tcPr>
          <w:p>
            <w:pPr>
              <w:pStyle w:val="TableParagraph"/>
              <w:spacing w:before="19"/>
              <w:ind w:left="23" w:right="15"/>
              <w:rPr>
                <w:rFonts w:ascii="Times New Roman"/>
                <w:sz w:val="21"/>
              </w:rPr>
            </w:pPr>
            <w:r>
              <w:rPr>
                <w:rFonts w:ascii="Times New Roman"/>
                <w:sz w:val="21"/>
              </w:rPr>
              <w:t>0.46</w:t>
            </w:r>
          </w:p>
        </w:tc>
        <w:tc>
          <w:tcPr>
            <w:tcW w:w="1546" w:type="dxa"/>
          </w:tcPr>
          <w:p>
            <w:pPr>
              <w:pStyle w:val="TableParagraph"/>
              <w:spacing w:before="19"/>
              <w:ind w:left="385" w:right="379"/>
              <w:rPr>
                <w:rFonts w:ascii="Times New Roman"/>
                <w:sz w:val="21"/>
              </w:rPr>
            </w:pPr>
            <w:r>
              <w:rPr>
                <w:rFonts w:ascii="Times New Roman"/>
                <w:sz w:val="21"/>
              </w:rPr>
              <w:t>65</w:t>
            </w:r>
          </w:p>
        </w:tc>
        <w:tc>
          <w:tcPr>
            <w:tcW w:w="1164" w:type="dxa"/>
          </w:tcPr>
          <w:p>
            <w:pPr>
              <w:pStyle w:val="TableParagraph"/>
              <w:spacing w:line="257" w:lineRule="exact" w:before="6"/>
              <w:ind w:left="141" w:right="132"/>
              <w:rPr>
                <w:sz w:val="21"/>
              </w:rPr>
            </w:pPr>
            <w:r>
              <w:rPr>
                <w:sz w:val="21"/>
              </w:rPr>
              <w:t>达标</w:t>
            </w:r>
          </w:p>
        </w:tc>
      </w:tr>
    </w:tbl>
    <w:p>
      <w:pPr>
        <w:spacing w:after="0" w:line="257" w:lineRule="exact"/>
        <w:rPr>
          <w:sz w:val="21"/>
        </w:rPr>
        <w:sectPr>
          <w:pgSz w:w="11910" w:h="16850"/>
          <w:pgMar w:header="1004" w:footer="1088" w:top="1340" w:bottom="1280" w:left="1200" w:right="1000"/>
        </w:sectPr>
      </w:pPr>
    </w:p>
    <w:p>
      <w:pPr>
        <w:pStyle w:val="BodyText"/>
        <w:spacing w:before="3"/>
        <w:rPr>
          <w:b/>
          <w:sz w:val="6"/>
        </w:rPr>
      </w:pPr>
      <w:r>
        <w:rPr/>
        <w:pict>
          <v:line style="position:absolute;mso-position-horizontal-relative:page;mso-position-vertical-relative:page;z-index:-317729792" from="71.304001pt,72.239975pt" to="215.810001pt,112.699975pt" stroked="true" strokeweight=".72pt" strokecolor="#000000">
            <v:stroke dashstyle="solid"/>
            <w10:wrap type="none"/>
          </v:line>
        </w:pic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95"/>
        <w:gridCol w:w="1303"/>
        <w:gridCol w:w="1303"/>
        <w:gridCol w:w="1135"/>
        <w:gridCol w:w="1546"/>
        <w:gridCol w:w="1164"/>
      </w:tblGrid>
      <w:tr>
        <w:trPr>
          <w:trHeight w:val="513" w:hRule="atLeast"/>
        </w:trPr>
        <w:tc>
          <w:tcPr>
            <w:tcW w:w="2895" w:type="dxa"/>
            <w:vMerge w:val="restart"/>
          </w:tcPr>
          <w:p>
            <w:pPr>
              <w:pStyle w:val="TableParagraph"/>
              <w:spacing w:before="133"/>
              <w:ind w:left="1943"/>
              <w:jc w:val="left"/>
              <w:rPr>
                <w:b/>
                <w:sz w:val="21"/>
              </w:rPr>
            </w:pPr>
            <w:r>
              <w:rPr>
                <w:b/>
                <w:sz w:val="21"/>
              </w:rPr>
              <w:t>采样点位</w:t>
            </w:r>
          </w:p>
          <w:p>
            <w:pPr>
              <w:pStyle w:val="TableParagraph"/>
              <w:spacing w:before="2"/>
              <w:ind w:left="107"/>
              <w:jc w:val="left"/>
              <w:rPr>
                <w:b/>
                <w:sz w:val="21"/>
              </w:rPr>
            </w:pPr>
            <w:r>
              <w:rPr>
                <w:b/>
                <w:sz w:val="21"/>
              </w:rPr>
              <w:t>项目名称及单位</w:t>
            </w:r>
          </w:p>
        </w:tc>
        <w:tc>
          <w:tcPr>
            <w:tcW w:w="3741" w:type="dxa"/>
            <w:gridSpan w:val="3"/>
          </w:tcPr>
          <w:p>
            <w:pPr>
              <w:pStyle w:val="TableParagraph"/>
              <w:spacing w:before="1"/>
              <w:ind w:left="57" w:right="52"/>
              <w:rPr>
                <w:b/>
                <w:sz w:val="21"/>
              </w:rPr>
            </w:pPr>
            <w:r>
              <w:rPr>
                <w:b/>
                <w:sz w:val="21"/>
              </w:rPr>
              <w:t>危废仓库南侧，距离危废仓库 </w:t>
            </w:r>
            <w:r>
              <w:rPr>
                <w:rFonts w:ascii="Times New Roman" w:eastAsia="Times New Roman"/>
                <w:b/>
                <w:sz w:val="21"/>
              </w:rPr>
              <w:t>3  </w:t>
            </w:r>
            <w:r>
              <w:rPr>
                <w:b/>
                <w:sz w:val="21"/>
              </w:rPr>
              <w:t>米</w:t>
            </w:r>
          </w:p>
          <w:p>
            <w:pPr>
              <w:pStyle w:val="TableParagraph"/>
              <w:spacing w:line="222" w:lineRule="exact" w:before="2"/>
              <w:ind w:left="59" w:right="52"/>
              <w:rPr>
                <w:rFonts w:ascii="Times New Roman"/>
                <w:b/>
                <w:sz w:val="21"/>
              </w:rPr>
            </w:pPr>
            <w:r>
              <w:rPr>
                <w:rFonts w:ascii="Times New Roman"/>
                <w:b/>
                <w:sz w:val="21"/>
              </w:rPr>
              <w:t>1H01</w:t>
            </w:r>
          </w:p>
        </w:tc>
        <w:tc>
          <w:tcPr>
            <w:tcW w:w="1546" w:type="dxa"/>
            <w:vMerge w:val="restart"/>
          </w:tcPr>
          <w:p>
            <w:pPr>
              <w:pStyle w:val="TableParagraph"/>
              <w:spacing w:line="242" w:lineRule="auto" w:before="133"/>
              <w:ind w:left="351" w:right="131" w:hanging="212"/>
              <w:jc w:val="left"/>
              <w:rPr>
                <w:b/>
                <w:sz w:val="21"/>
              </w:rPr>
            </w:pPr>
            <w:r>
              <w:rPr>
                <w:b/>
                <w:sz w:val="21"/>
              </w:rPr>
              <w:t>第二类用地筛选值标准</w:t>
            </w:r>
          </w:p>
        </w:tc>
        <w:tc>
          <w:tcPr>
            <w:tcW w:w="1164" w:type="dxa"/>
            <w:vMerge w:val="restart"/>
          </w:tcPr>
          <w:p>
            <w:pPr>
              <w:pStyle w:val="TableParagraph"/>
              <w:spacing w:before="1"/>
              <w:jc w:val="left"/>
              <w:rPr>
                <w:b/>
                <w:sz w:val="21"/>
              </w:rPr>
            </w:pPr>
          </w:p>
          <w:p>
            <w:pPr>
              <w:pStyle w:val="TableParagraph"/>
              <w:ind w:left="161"/>
              <w:jc w:val="left"/>
              <w:rPr>
                <w:b/>
                <w:sz w:val="21"/>
              </w:rPr>
            </w:pPr>
            <w:r>
              <w:rPr>
                <w:b/>
                <w:sz w:val="21"/>
              </w:rPr>
              <w:t>达标情况</w:t>
            </w:r>
          </w:p>
        </w:tc>
      </w:tr>
      <w:tr>
        <w:trPr>
          <w:trHeight w:val="290" w:hRule="atLeast"/>
        </w:trPr>
        <w:tc>
          <w:tcPr>
            <w:tcW w:w="2895" w:type="dxa"/>
            <w:vMerge/>
            <w:tcBorders>
              <w:top w:val="nil"/>
            </w:tcBorders>
          </w:tcPr>
          <w:p>
            <w:pPr>
              <w:rPr>
                <w:sz w:val="2"/>
                <w:szCs w:val="2"/>
              </w:rPr>
            </w:pPr>
          </w:p>
        </w:tc>
        <w:tc>
          <w:tcPr>
            <w:tcW w:w="1303" w:type="dxa"/>
          </w:tcPr>
          <w:p>
            <w:pPr>
              <w:pStyle w:val="TableParagraph"/>
              <w:spacing w:before="27"/>
              <w:ind w:right="337"/>
              <w:jc w:val="right"/>
              <w:rPr>
                <w:rFonts w:ascii="Times New Roman"/>
                <w:b/>
                <w:sz w:val="21"/>
              </w:rPr>
            </w:pPr>
            <w:r>
              <w:rPr>
                <w:rFonts w:ascii="Times New Roman"/>
                <w:b/>
                <w:sz w:val="21"/>
              </w:rPr>
              <w:t>0-0.5m</w:t>
            </w:r>
          </w:p>
        </w:tc>
        <w:tc>
          <w:tcPr>
            <w:tcW w:w="1303" w:type="dxa"/>
          </w:tcPr>
          <w:p>
            <w:pPr>
              <w:pStyle w:val="TableParagraph"/>
              <w:spacing w:before="27"/>
              <w:ind w:left="247" w:right="241"/>
              <w:rPr>
                <w:rFonts w:ascii="Times New Roman"/>
                <w:b/>
                <w:sz w:val="21"/>
              </w:rPr>
            </w:pPr>
            <w:r>
              <w:rPr>
                <w:rFonts w:ascii="Times New Roman"/>
                <w:b/>
                <w:sz w:val="21"/>
              </w:rPr>
              <w:t>0.6-1.2m</w:t>
            </w:r>
          </w:p>
        </w:tc>
        <w:tc>
          <w:tcPr>
            <w:tcW w:w="1135" w:type="dxa"/>
          </w:tcPr>
          <w:p>
            <w:pPr>
              <w:pStyle w:val="TableParagraph"/>
              <w:spacing w:before="27"/>
              <w:ind w:left="22" w:right="15"/>
              <w:rPr>
                <w:rFonts w:ascii="Times New Roman"/>
                <w:b/>
                <w:sz w:val="21"/>
              </w:rPr>
            </w:pPr>
            <w:r>
              <w:rPr>
                <w:rFonts w:ascii="Times New Roman"/>
                <w:b/>
                <w:sz w:val="21"/>
              </w:rPr>
              <w:t>2.0-4.5m</w:t>
            </w:r>
          </w:p>
        </w:tc>
        <w:tc>
          <w:tcPr>
            <w:tcW w:w="1546" w:type="dxa"/>
            <w:vMerge/>
            <w:tcBorders>
              <w:top w:val="nil"/>
            </w:tcBorders>
          </w:tcPr>
          <w:p>
            <w:pPr>
              <w:rPr>
                <w:sz w:val="2"/>
                <w:szCs w:val="2"/>
              </w:rPr>
            </w:pPr>
          </w:p>
        </w:tc>
        <w:tc>
          <w:tcPr>
            <w:tcW w:w="1164" w:type="dxa"/>
            <w:vMerge/>
            <w:tcBorders>
              <w:top w:val="nil"/>
            </w:tcBorders>
          </w:tcPr>
          <w:p>
            <w:pPr>
              <w:rPr>
                <w:sz w:val="2"/>
                <w:szCs w:val="2"/>
              </w:rPr>
            </w:pPr>
          </w:p>
        </w:tc>
      </w:tr>
      <w:tr>
        <w:trPr>
          <w:trHeight w:val="282" w:hRule="atLeast"/>
        </w:trPr>
        <w:tc>
          <w:tcPr>
            <w:tcW w:w="2895" w:type="dxa"/>
          </w:tcPr>
          <w:p>
            <w:pPr>
              <w:pStyle w:val="TableParagraph"/>
              <w:spacing w:line="257" w:lineRule="exact" w:before="6"/>
              <w:ind w:left="731"/>
              <w:jc w:val="left"/>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&lt;1.3</w:t>
            </w:r>
          </w:p>
        </w:tc>
        <w:tc>
          <w:tcPr>
            <w:tcW w:w="1303" w:type="dxa"/>
          </w:tcPr>
          <w:p>
            <w:pPr>
              <w:pStyle w:val="TableParagraph"/>
              <w:spacing w:before="20"/>
              <w:ind w:left="247" w:right="240"/>
              <w:rPr>
                <w:rFonts w:ascii="Times New Roman"/>
                <w:sz w:val="21"/>
              </w:rPr>
            </w:pPr>
            <w:r>
              <w:rPr>
                <w:rFonts w:ascii="Times New Roman"/>
                <w:sz w:val="21"/>
              </w:rPr>
              <w:t>&lt;1.3</w:t>
            </w:r>
          </w:p>
        </w:tc>
        <w:tc>
          <w:tcPr>
            <w:tcW w:w="1135" w:type="dxa"/>
          </w:tcPr>
          <w:p>
            <w:pPr>
              <w:pStyle w:val="TableParagraph"/>
              <w:spacing w:before="20"/>
              <w:ind w:left="23" w:right="15"/>
              <w:rPr>
                <w:rFonts w:ascii="Times New Roman"/>
                <w:sz w:val="21"/>
              </w:rPr>
            </w:pPr>
            <w:r>
              <w:rPr>
                <w:rFonts w:ascii="Times New Roman"/>
                <w:sz w:val="21"/>
              </w:rPr>
              <w:t>&lt;1.3</w:t>
            </w:r>
          </w:p>
        </w:tc>
        <w:tc>
          <w:tcPr>
            <w:tcW w:w="1546" w:type="dxa"/>
          </w:tcPr>
          <w:p>
            <w:pPr>
              <w:pStyle w:val="TableParagraph"/>
              <w:spacing w:before="20"/>
              <w:ind w:left="385" w:right="379"/>
              <w:rPr>
                <w:rFonts w:ascii="Times New Roman"/>
                <w:sz w:val="21"/>
              </w:rPr>
            </w:pPr>
            <w:r>
              <w:rPr>
                <w:rFonts w:ascii="Times New Roman"/>
                <w:sz w:val="21"/>
              </w:rPr>
              <w:t>2800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940"/>
              <w:jc w:val="left"/>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&lt;1.1</w:t>
            </w:r>
          </w:p>
        </w:tc>
        <w:tc>
          <w:tcPr>
            <w:tcW w:w="1303" w:type="dxa"/>
          </w:tcPr>
          <w:p>
            <w:pPr>
              <w:pStyle w:val="TableParagraph"/>
              <w:spacing w:before="22"/>
              <w:ind w:left="247" w:right="240"/>
              <w:rPr>
                <w:rFonts w:ascii="Times New Roman"/>
                <w:sz w:val="21"/>
              </w:rPr>
            </w:pPr>
            <w:r>
              <w:rPr>
                <w:rFonts w:ascii="Times New Roman"/>
                <w:sz w:val="21"/>
              </w:rPr>
              <w:t>&lt;1.1</w:t>
            </w:r>
          </w:p>
        </w:tc>
        <w:tc>
          <w:tcPr>
            <w:tcW w:w="1135" w:type="dxa"/>
          </w:tcPr>
          <w:p>
            <w:pPr>
              <w:pStyle w:val="TableParagraph"/>
              <w:spacing w:before="22"/>
              <w:ind w:left="23" w:right="15"/>
              <w:rPr>
                <w:rFonts w:ascii="Times New Roman"/>
                <w:sz w:val="21"/>
              </w:rPr>
            </w:pPr>
            <w:r>
              <w:rPr>
                <w:rFonts w:ascii="Times New Roman"/>
                <w:sz w:val="21"/>
              </w:rPr>
              <w:t>&lt;1.1</w:t>
            </w:r>
          </w:p>
        </w:tc>
        <w:tc>
          <w:tcPr>
            <w:tcW w:w="1546" w:type="dxa"/>
          </w:tcPr>
          <w:p>
            <w:pPr>
              <w:pStyle w:val="TableParagraph"/>
              <w:spacing w:before="22"/>
              <w:ind w:left="385" w:right="379"/>
              <w:rPr>
                <w:rFonts w:ascii="Times New Roman"/>
                <w:sz w:val="21"/>
              </w:rPr>
            </w:pPr>
            <w:r>
              <w:rPr>
                <w:rFonts w:ascii="Times New Roman"/>
                <w:sz w:val="21"/>
              </w:rPr>
              <w:t>900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835"/>
              <w:jc w:val="left"/>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&lt;1.0</w:t>
            </w:r>
          </w:p>
        </w:tc>
        <w:tc>
          <w:tcPr>
            <w:tcW w:w="1303" w:type="dxa"/>
          </w:tcPr>
          <w:p>
            <w:pPr>
              <w:pStyle w:val="TableParagraph"/>
              <w:spacing w:before="20"/>
              <w:ind w:left="247" w:right="240"/>
              <w:rPr>
                <w:rFonts w:ascii="Times New Roman"/>
                <w:sz w:val="21"/>
              </w:rPr>
            </w:pPr>
            <w:r>
              <w:rPr>
                <w:rFonts w:ascii="Times New Roman"/>
                <w:sz w:val="21"/>
              </w:rPr>
              <w:t>&lt;1.0</w:t>
            </w:r>
          </w:p>
        </w:tc>
        <w:tc>
          <w:tcPr>
            <w:tcW w:w="1135" w:type="dxa"/>
          </w:tcPr>
          <w:p>
            <w:pPr>
              <w:pStyle w:val="TableParagraph"/>
              <w:spacing w:before="20"/>
              <w:ind w:left="23" w:right="15"/>
              <w:rPr>
                <w:rFonts w:ascii="Times New Roman"/>
                <w:sz w:val="21"/>
              </w:rPr>
            </w:pPr>
            <w:r>
              <w:rPr>
                <w:rFonts w:ascii="Times New Roman"/>
                <w:sz w:val="21"/>
              </w:rPr>
              <w:t>&lt;1.0</w:t>
            </w:r>
          </w:p>
        </w:tc>
        <w:tc>
          <w:tcPr>
            <w:tcW w:w="1546" w:type="dxa"/>
          </w:tcPr>
          <w:p>
            <w:pPr>
              <w:pStyle w:val="TableParagraph"/>
              <w:spacing w:before="20"/>
              <w:ind w:left="385" w:right="379"/>
              <w:rPr>
                <w:rFonts w:ascii="Times New Roman"/>
                <w:sz w:val="21"/>
              </w:rPr>
            </w:pPr>
            <w:r>
              <w:rPr>
                <w:rFonts w:ascii="Times New Roman"/>
                <w:sz w:val="21"/>
              </w:rPr>
              <w:t>37000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7" w:lineRule="exact" w:before="6"/>
              <w:ind w:left="563"/>
              <w:jc w:val="left"/>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9000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63"/>
              <w:jc w:val="left"/>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&lt;1.3</w:t>
            </w:r>
          </w:p>
        </w:tc>
        <w:tc>
          <w:tcPr>
            <w:tcW w:w="1303" w:type="dxa"/>
          </w:tcPr>
          <w:p>
            <w:pPr>
              <w:pStyle w:val="TableParagraph"/>
              <w:spacing w:before="22"/>
              <w:ind w:left="247" w:right="240"/>
              <w:rPr>
                <w:rFonts w:ascii="Times New Roman"/>
                <w:sz w:val="21"/>
              </w:rPr>
            </w:pPr>
            <w:r>
              <w:rPr>
                <w:rFonts w:ascii="Times New Roman"/>
                <w:sz w:val="21"/>
              </w:rPr>
              <w:t>&lt;1.3</w:t>
            </w:r>
          </w:p>
        </w:tc>
        <w:tc>
          <w:tcPr>
            <w:tcW w:w="1135" w:type="dxa"/>
          </w:tcPr>
          <w:p>
            <w:pPr>
              <w:pStyle w:val="TableParagraph"/>
              <w:spacing w:before="22"/>
              <w:ind w:left="23" w:right="15"/>
              <w:rPr>
                <w:rFonts w:ascii="Times New Roman"/>
                <w:sz w:val="21"/>
              </w:rPr>
            </w:pPr>
            <w:r>
              <w:rPr>
                <w:rFonts w:ascii="Times New Roman"/>
                <w:sz w:val="21"/>
              </w:rPr>
              <w:t>&lt;1.3</w:t>
            </w:r>
          </w:p>
        </w:tc>
        <w:tc>
          <w:tcPr>
            <w:tcW w:w="1546" w:type="dxa"/>
          </w:tcPr>
          <w:p>
            <w:pPr>
              <w:pStyle w:val="TableParagraph"/>
              <w:spacing w:before="22"/>
              <w:ind w:left="385" w:right="379"/>
              <w:rPr>
                <w:rFonts w:ascii="Times New Roman"/>
                <w:sz w:val="21"/>
              </w:rPr>
            </w:pPr>
            <w:r>
              <w:rPr>
                <w:rFonts w:ascii="Times New Roman"/>
                <w:sz w:val="21"/>
              </w:rPr>
              <w:t>5000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63"/>
              <w:jc w:val="left"/>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&lt;1.0</w:t>
            </w:r>
          </w:p>
        </w:tc>
        <w:tc>
          <w:tcPr>
            <w:tcW w:w="1303" w:type="dxa"/>
          </w:tcPr>
          <w:p>
            <w:pPr>
              <w:pStyle w:val="TableParagraph"/>
              <w:spacing w:before="20"/>
              <w:ind w:left="247" w:right="240"/>
              <w:rPr>
                <w:rFonts w:ascii="Times New Roman"/>
                <w:sz w:val="21"/>
              </w:rPr>
            </w:pPr>
            <w:r>
              <w:rPr>
                <w:rFonts w:ascii="Times New Roman"/>
                <w:sz w:val="21"/>
              </w:rPr>
              <w:t>&lt;1.0</w:t>
            </w:r>
          </w:p>
        </w:tc>
        <w:tc>
          <w:tcPr>
            <w:tcW w:w="1135" w:type="dxa"/>
          </w:tcPr>
          <w:p>
            <w:pPr>
              <w:pStyle w:val="TableParagraph"/>
              <w:spacing w:before="20"/>
              <w:ind w:left="23" w:right="15"/>
              <w:rPr>
                <w:rFonts w:ascii="Times New Roman"/>
                <w:sz w:val="21"/>
              </w:rPr>
            </w:pPr>
            <w:r>
              <w:rPr>
                <w:rFonts w:ascii="Times New Roman"/>
                <w:sz w:val="21"/>
              </w:rPr>
              <w:t>&lt;1.0</w:t>
            </w:r>
          </w:p>
        </w:tc>
        <w:tc>
          <w:tcPr>
            <w:tcW w:w="1546" w:type="dxa"/>
          </w:tcPr>
          <w:p>
            <w:pPr>
              <w:pStyle w:val="TableParagraph"/>
              <w:spacing w:before="20"/>
              <w:ind w:left="385" w:right="379"/>
              <w:rPr>
                <w:rFonts w:ascii="Times New Roman"/>
                <w:sz w:val="21"/>
              </w:rPr>
            </w:pPr>
            <w:r>
              <w:rPr>
                <w:rFonts w:ascii="Times New Roman"/>
                <w:sz w:val="21"/>
              </w:rPr>
              <w:t>66000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24"/>
              <w:jc w:val="left"/>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&lt;1.3</w:t>
            </w:r>
          </w:p>
        </w:tc>
        <w:tc>
          <w:tcPr>
            <w:tcW w:w="1303" w:type="dxa"/>
          </w:tcPr>
          <w:p>
            <w:pPr>
              <w:pStyle w:val="TableParagraph"/>
              <w:spacing w:before="22"/>
              <w:ind w:left="247" w:right="240"/>
              <w:rPr>
                <w:rFonts w:ascii="Times New Roman"/>
                <w:sz w:val="21"/>
              </w:rPr>
            </w:pPr>
            <w:r>
              <w:rPr>
                <w:rFonts w:ascii="Times New Roman"/>
                <w:sz w:val="21"/>
              </w:rPr>
              <w:t>&lt;1.3</w:t>
            </w:r>
          </w:p>
        </w:tc>
        <w:tc>
          <w:tcPr>
            <w:tcW w:w="1135" w:type="dxa"/>
          </w:tcPr>
          <w:p>
            <w:pPr>
              <w:pStyle w:val="TableParagraph"/>
              <w:spacing w:before="22"/>
              <w:ind w:left="23" w:right="15"/>
              <w:rPr>
                <w:rFonts w:ascii="Times New Roman"/>
                <w:sz w:val="21"/>
              </w:rPr>
            </w:pPr>
            <w:r>
              <w:rPr>
                <w:rFonts w:ascii="Times New Roman"/>
                <w:sz w:val="21"/>
              </w:rPr>
              <w:t>&lt;1.3</w:t>
            </w:r>
          </w:p>
        </w:tc>
        <w:tc>
          <w:tcPr>
            <w:tcW w:w="1546" w:type="dxa"/>
          </w:tcPr>
          <w:p>
            <w:pPr>
              <w:pStyle w:val="TableParagraph"/>
              <w:spacing w:before="22"/>
              <w:ind w:left="385" w:right="379"/>
              <w:rPr>
                <w:rFonts w:ascii="Times New Roman"/>
                <w:sz w:val="21"/>
              </w:rPr>
            </w:pPr>
            <w:r>
              <w:rPr>
                <w:rFonts w:ascii="Times New Roman"/>
                <w:sz w:val="21"/>
              </w:rPr>
              <w:t>596000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424"/>
              <w:jc w:val="left"/>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&lt;1.4</w:t>
            </w:r>
          </w:p>
        </w:tc>
        <w:tc>
          <w:tcPr>
            <w:tcW w:w="1303" w:type="dxa"/>
          </w:tcPr>
          <w:p>
            <w:pPr>
              <w:pStyle w:val="TableParagraph"/>
              <w:spacing w:before="20"/>
              <w:ind w:left="247" w:right="240"/>
              <w:rPr>
                <w:rFonts w:ascii="Times New Roman"/>
                <w:sz w:val="21"/>
              </w:rPr>
            </w:pPr>
            <w:r>
              <w:rPr>
                <w:rFonts w:ascii="Times New Roman"/>
                <w:sz w:val="21"/>
              </w:rPr>
              <w:t>&lt;1.4</w:t>
            </w:r>
          </w:p>
        </w:tc>
        <w:tc>
          <w:tcPr>
            <w:tcW w:w="1135" w:type="dxa"/>
          </w:tcPr>
          <w:p>
            <w:pPr>
              <w:pStyle w:val="TableParagraph"/>
              <w:spacing w:before="20"/>
              <w:ind w:left="23" w:right="15"/>
              <w:rPr>
                <w:rFonts w:ascii="Times New Roman"/>
                <w:sz w:val="21"/>
              </w:rPr>
            </w:pPr>
            <w:r>
              <w:rPr>
                <w:rFonts w:ascii="Times New Roman"/>
                <w:sz w:val="21"/>
              </w:rPr>
              <w:t>&lt;1.4</w:t>
            </w:r>
          </w:p>
        </w:tc>
        <w:tc>
          <w:tcPr>
            <w:tcW w:w="1546" w:type="dxa"/>
          </w:tcPr>
          <w:p>
            <w:pPr>
              <w:pStyle w:val="TableParagraph"/>
              <w:spacing w:before="20"/>
              <w:ind w:left="385" w:right="379"/>
              <w:rPr>
                <w:rFonts w:ascii="Times New Roman"/>
                <w:sz w:val="21"/>
              </w:rPr>
            </w:pPr>
            <w:r>
              <w:rPr>
                <w:rFonts w:ascii="Times New Roman"/>
                <w:sz w:val="21"/>
              </w:rPr>
              <w:t>54000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731"/>
              <w:jc w:val="left"/>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303" w:type="dxa"/>
          </w:tcPr>
          <w:p>
            <w:pPr>
              <w:pStyle w:val="TableParagraph"/>
              <w:spacing w:line="241" w:lineRule="exact" w:before="22"/>
              <w:ind w:left="247" w:right="240"/>
              <w:rPr>
                <w:rFonts w:ascii="Times New Roman"/>
                <w:sz w:val="21"/>
              </w:rPr>
            </w:pPr>
            <w:r>
              <w:rPr>
                <w:rFonts w:ascii="Times New Roman"/>
                <w:sz w:val="21"/>
              </w:rPr>
              <w:t>3.9</w:t>
            </w:r>
          </w:p>
        </w:tc>
        <w:tc>
          <w:tcPr>
            <w:tcW w:w="1303" w:type="dxa"/>
          </w:tcPr>
          <w:p>
            <w:pPr>
              <w:pStyle w:val="TableParagraph"/>
              <w:spacing w:line="241" w:lineRule="exact" w:before="22"/>
              <w:ind w:left="247" w:right="240"/>
              <w:rPr>
                <w:rFonts w:ascii="Times New Roman"/>
                <w:sz w:val="21"/>
              </w:rPr>
            </w:pPr>
            <w:r>
              <w:rPr>
                <w:rFonts w:ascii="Times New Roman"/>
                <w:sz w:val="21"/>
              </w:rPr>
              <w:t>5.5</w:t>
            </w:r>
          </w:p>
        </w:tc>
        <w:tc>
          <w:tcPr>
            <w:tcW w:w="1135" w:type="dxa"/>
          </w:tcPr>
          <w:p>
            <w:pPr>
              <w:pStyle w:val="TableParagraph"/>
              <w:spacing w:line="241" w:lineRule="exact" w:before="22"/>
              <w:ind w:left="23" w:right="15"/>
              <w:rPr>
                <w:rFonts w:ascii="Times New Roman"/>
                <w:sz w:val="21"/>
              </w:rPr>
            </w:pPr>
            <w:r>
              <w:rPr>
                <w:rFonts w:ascii="Times New Roman"/>
                <w:sz w:val="21"/>
              </w:rPr>
              <w:t>3.5</w:t>
            </w:r>
          </w:p>
        </w:tc>
        <w:tc>
          <w:tcPr>
            <w:tcW w:w="1546" w:type="dxa"/>
          </w:tcPr>
          <w:p>
            <w:pPr>
              <w:pStyle w:val="TableParagraph"/>
              <w:spacing w:line="241" w:lineRule="exact" w:before="22"/>
              <w:ind w:left="385" w:right="379"/>
              <w:rPr>
                <w:rFonts w:ascii="Times New Roman"/>
                <w:sz w:val="21"/>
              </w:rPr>
            </w:pPr>
            <w:r>
              <w:rPr>
                <w:rFonts w:ascii="Times New Roman"/>
                <w:sz w:val="21"/>
              </w:rPr>
              <w:t>616000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563"/>
              <w:jc w:val="left"/>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&lt;1.1</w:t>
            </w:r>
          </w:p>
        </w:tc>
        <w:tc>
          <w:tcPr>
            <w:tcW w:w="1303" w:type="dxa"/>
          </w:tcPr>
          <w:p>
            <w:pPr>
              <w:pStyle w:val="TableParagraph"/>
              <w:spacing w:before="22"/>
              <w:ind w:left="247" w:right="240"/>
              <w:rPr>
                <w:rFonts w:ascii="Times New Roman"/>
                <w:sz w:val="21"/>
              </w:rPr>
            </w:pPr>
            <w:r>
              <w:rPr>
                <w:rFonts w:ascii="Times New Roman"/>
                <w:sz w:val="21"/>
              </w:rPr>
              <w:t>&lt;1.1</w:t>
            </w:r>
          </w:p>
        </w:tc>
        <w:tc>
          <w:tcPr>
            <w:tcW w:w="1135" w:type="dxa"/>
          </w:tcPr>
          <w:p>
            <w:pPr>
              <w:pStyle w:val="TableParagraph"/>
              <w:spacing w:before="22"/>
              <w:ind w:left="23" w:right="15"/>
              <w:rPr>
                <w:rFonts w:ascii="Times New Roman"/>
                <w:sz w:val="21"/>
              </w:rPr>
            </w:pPr>
            <w:r>
              <w:rPr>
                <w:rFonts w:ascii="Times New Roman"/>
                <w:sz w:val="21"/>
              </w:rPr>
              <w:t>&lt;1.1</w:t>
            </w:r>
          </w:p>
        </w:tc>
        <w:tc>
          <w:tcPr>
            <w:tcW w:w="1546" w:type="dxa"/>
          </w:tcPr>
          <w:p>
            <w:pPr>
              <w:pStyle w:val="TableParagraph"/>
              <w:spacing w:before="22"/>
              <w:ind w:left="385" w:right="379"/>
              <w:rPr>
                <w:rFonts w:ascii="Times New Roman"/>
                <w:sz w:val="21"/>
              </w:rPr>
            </w:pPr>
            <w:r>
              <w:rPr>
                <w:rFonts w:ascii="Times New Roman"/>
                <w:sz w:val="21"/>
              </w:rPr>
              <w:t>5000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407"/>
              <w:jc w:val="left"/>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10000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07"/>
              <w:jc w:val="left"/>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6800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731"/>
              <w:jc w:val="left"/>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303" w:type="dxa"/>
          </w:tcPr>
          <w:p>
            <w:pPr>
              <w:pStyle w:val="TableParagraph"/>
              <w:spacing w:before="20"/>
              <w:ind w:left="247" w:right="240"/>
              <w:rPr>
                <w:rFonts w:ascii="Times New Roman"/>
                <w:sz w:val="21"/>
              </w:rPr>
            </w:pPr>
            <w:r>
              <w:rPr>
                <w:rFonts w:ascii="Times New Roman"/>
                <w:sz w:val="21"/>
              </w:rPr>
              <w:t>2.6</w:t>
            </w:r>
          </w:p>
        </w:tc>
        <w:tc>
          <w:tcPr>
            <w:tcW w:w="1303" w:type="dxa"/>
          </w:tcPr>
          <w:p>
            <w:pPr>
              <w:pStyle w:val="TableParagraph"/>
              <w:spacing w:before="20"/>
              <w:ind w:left="247" w:right="240"/>
              <w:rPr>
                <w:rFonts w:ascii="Times New Roman"/>
                <w:sz w:val="21"/>
              </w:rPr>
            </w:pPr>
            <w:r>
              <w:rPr>
                <w:rFonts w:ascii="Times New Roman"/>
                <w:sz w:val="21"/>
              </w:rPr>
              <w:t>&lt;1.4</w:t>
            </w:r>
          </w:p>
        </w:tc>
        <w:tc>
          <w:tcPr>
            <w:tcW w:w="1135" w:type="dxa"/>
          </w:tcPr>
          <w:p>
            <w:pPr>
              <w:pStyle w:val="TableParagraph"/>
              <w:spacing w:before="20"/>
              <w:ind w:left="23" w:right="15"/>
              <w:rPr>
                <w:rFonts w:ascii="Times New Roman"/>
                <w:sz w:val="21"/>
              </w:rPr>
            </w:pPr>
            <w:r>
              <w:rPr>
                <w:rFonts w:ascii="Times New Roman"/>
                <w:sz w:val="21"/>
              </w:rPr>
              <w:t>1.8</w:t>
            </w:r>
          </w:p>
        </w:tc>
        <w:tc>
          <w:tcPr>
            <w:tcW w:w="1546" w:type="dxa"/>
          </w:tcPr>
          <w:p>
            <w:pPr>
              <w:pStyle w:val="TableParagraph"/>
              <w:spacing w:before="20"/>
              <w:ind w:left="385" w:right="379"/>
              <w:rPr>
                <w:rFonts w:ascii="Times New Roman"/>
                <w:sz w:val="21"/>
              </w:rPr>
            </w:pPr>
            <w:r>
              <w:rPr>
                <w:rFonts w:ascii="Times New Roman"/>
                <w:sz w:val="21"/>
              </w:rPr>
              <w:t>53000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87"/>
              <w:jc w:val="left"/>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&lt;1.3</w:t>
            </w:r>
          </w:p>
        </w:tc>
        <w:tc>
          <w:tcPr>
            <w:tcW w:w="1303" w:type="dxa"/>
          </w:tcPr>
          <w:p>
            <w:pPr>
              <w:pStyle w:val="TableParagraph"/>
              <w:spacing w:before="22"/>
              <w:ind w:left="247" w:right="240"/>
              <w:rPr>
                <w:rFonts w:ascii="Times New Roman"/>
                <w:sz w:val="21"/>
              </w:rPr>
            </w:pPr>
            <w:r>
              <w:rPr>
                <w:rFonts w:ascii="Times New Roman"/>
                <w:sz w:val="21"/>
              </w:rPr>
              <w:t>&lt;1.3</w:t>
            </w:r>
          </w:p>
        </w:tc>
        <w:tc>
          <w:tcPr>
            <w:tcW w:w="1135" w:type="dxa"/>
          </w:tcPr>
          <w:p>
            <w:pPr>
              <w:pStyle w:val="TableParagraph"/>
              <w:spacing w:before="22"/>
              <w:ind w:left="23" w:right="15"/>
              <w:rPr>
                <w:rFonts w:ascii="Times New Roman"/>
                <w:sz w:val="21"/>
              </w:rPr>
            </w:pPr>
            <w:r>
              <w:rPr>
                <w:rFonts w:ascii="Times New Roman"/>
                <w:sz w:val="21"/>
              </w:rPr>
              <w:t>&lt;1.3</w:t>
            </w:r>
          </w:p>
        </w:tc>
        <w:tc>
          <w:tcPr>
            <w:tcW w:w="1546" w:type="dxa"/>
          </w:tcPr>
          <w:p>
            <w:pPr>
              <w:pStyle w:val="TableParagraph"/>
              <w:spacing w:before="22"/>
              <w:ind w:left="385" w:right="379"/>
              <w:rPr>
                <w:rFonts w:ascii="Times New Roman"/>
                <w:sz w:val="21"/>
              </w:rPr>
            </w:pPr>
            <w:r>
              <w:rPr>
                <w:rFonts w:ascii="Times New Roman"/>
                <w:sz w:val="21"/>
              </w:rPr>
              <w:t>840000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487"/>
              <w:jc w:val="left"/>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2800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7" w:lineRule="exact" w:before="6"/>
              <w:ind w:left="731"/>
              <w:jc w:val="left"/>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2800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87"/>
              <w:jc w:val="left"/>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500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835"/>
              <w:jc w:val="left"/>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&lt;1.0</w:t>
            </w:r>
          </w:p>
        </w:tc>
        <w:tc>
          <w:tcPr>
            <w:tcW w:w="1303" w:type="dxa"/>
          </w:tcPr>
          <w:p>
            <w:pPr>
              <w:pStyle w:val="TableParagraph"/>
              <w:spacing w:before="20"/>
              <w:ind w:left="247" w:right="240"/>
              <w:rPr>
                <w:rFonts w:ascii="Times New Roman"/>
                <w:sz w:val="21"/>
              </w:rPr>
            </w:pPr>
            <w:r>
              <w:rPr>
                <w:rFonts w:ascii="Times New Roman"/>
                <w:sz w:val="21"/>
              </w:rPr>
              <w:t>&lt;1.0</w:t>
            </w:r>
          </w:p>
        </w:tc>
        <w:tc>
          <w:tcPr>
            <w:tcW w:w="1135" w:type="dxa"/>
          </w:tcPr>
          <w:p>
            <w:pPr>
              <w:pStyle w:val="TableParagraph"/>
              <w:spacing w:before="20"/>
              <w:ind w:left="23" w:right="15"/>
              <w:rPr>
                <w:rFonts w:ascii="Times New Roman"/>
                <w:sz w:val="21"/>
              </w:rPr>
            </w:pPr>
            <w:r>
              <w:rPr>
                <w:rFonts w:ascii="Times New Roman"/>
                <w:sz w:val="21"/>
              </w:rPr>
              <w:t>&lt;1.0</w:t>
            </w:r>
          </w:p>
        </w:tc>
        <w:tc>
          <w:tcPr>
            <w:tcW w:w="1546" w:type="dxa"/>
          </w:tcPr>
          <w:p>
            <w:pPr>
              <w:pStyle w:val="TableParagraph"/>
              <w:spacing w:before="20"/>
              <w:ind w:left="385" w:right="379"/>
              <w:rPr>
                <w:rFonts w:ascii="Times New Roman"/>
                <w:sz w:val="21"/>
              </w:rPr>
            </w:pPr>
            <w:r>
              <w:rPr>
                <w:rFonts w:ascii="Times New Roman"/>
                <w:sz w:val="21"/>
              </w:rPr>
              <w:t>430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39"/>
              <w:rPr>
                <w:rFonts w:ascii="Times New Roman" w:hAnsi="Times New Roman" w:eastAsia="Times New Roman"/>
                <w:sz w:val="21"/>
              </w:rPr>
            </w:pPr>
            <w:r>
              <w:rPr>
                <w:sz w:val="21"/>
              </w:rPr>
              <w:t>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&lt;1.9</w:t>
            </w:r>
          </w:p>
        </w:tc>
        <w:tc>
          <w:tcPr>
            <w:tcW w:w="1303" w:type="dxa"/>
          </w:tcPr>
          <w:p>
            <w:pPr>
              <w:pStyle w:val="TableParagraph"/>
              <w:spacing w:before="22"/>
              <w:ind w:left="247" w:right="240"/>
              <w:rPr>
                <w:rFonts w:ascii="Times New Roman"/>
                <w:sz w:val="21"/>
              </w:rPr>
            </w:pPr>
            <w:r>
              <w:rPr>
                <w:rFonts w:ascii="Times New Roman"/>
                <w:sz w:val="21"/>
              </w:rPr>
              <w:t>&lt;1.9</w:t>
            </w:r>
          </w:p>
        </w:tc>
        <w:tc>
          <w:tcPr>
            <w:tcW w:w="1135" w:type="dxa"/>
          </w:tcPr>
          <w:p>
            <w:pPr>
              <w:pStyle w:val="TableParagraph"/>
              <w:spacing w:before="22"/>
              <w:ind w:left="23" w:right="15"/>
              <w:rPr>
                <w:rFonts w:ascii="Times New Roman"/>
                <w:sz w:val="21"/>
              </w:rPr>
            </w:pPr>
            <w:r>
              <w:rPr>
                <w:rFonts w:ascii="Times New Roman"/>
                <w:sz w:val="21"/>
              </w:rPr>
              <w:t>&lt;1.9</w:t>
            </w:r>
          </w:p>
        </w:tc>
        <w:tc>
          <w:tcPr>
            <w:tcW w:w="1546" w:type="dxa"/>
          </w:tcPr>
          <w:p>
            <w:pPr>
              <w:pStyle w:val="TableParagraph"/>
              <w:spacing w:before="22"/>
              <w:ind w:left="385" w:right="379"/>
              <w:rPr>
                <w:rFonts w:ascii="Times New Roman"/>
                <w:sz w:val="21"/>
              </w:rPr>
            </w:pPr>
            <w:r>
              <w:rPr>
                <w:rFonts w:ascii="Times New Roman"/>
                <w:sz w:val="21"/>
              </w:rPr>
              <w:t>4000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940"/>
              <w:jc w:val="left"/>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270000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5" w:lineRule="exact" w:before="8"/>
              <w:ind w:left="669"/>
              <w:jc w:val="left"/>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303" w:type="dxa"/>
          </w:tcPr>
          <w:p>
            <w:pPr>
              <w:pStyle w:val="TableParagraph"/>
              <w:spacing w:line="241" w:lineRule="exact" w:before="22"/>
              <w:ind w:right="451"/>
              <w:jc w:val="right"/>
              <w:rPr>
                <w:rFonts w:ascii="Times New Roman"/>
                <w:sz w:val="21"/>
              </w:rPr>
            </w:pPr>
            <w:r>
              <w:rPr>
                <w:rFonts w:ascii="Times New Roman"/>
                <w:sz w:val="21"/>
              </w:rPr>
              <w:t>&lt;1.5</w:t>
            </w:r>
          </w:p>
        </w:tc>
        <w:tc>
          <w:tcPr>
            <w:tcW w:w="1303" w:type="dxa"/>
          </w:tcPr>
          <w:p>
            <w:pPr>
              <w:pStyle w:val="TableParagraph"/>
              <w:spacing w:line="241" w:lineRule="exact" w:before="22"/>
              <w:ind w:left="247" w:right="240"/>
              <w:rPr>
                <w:rFonts w:ascii="Times New Roman"/>
                <w:sz w:val="21"/>
              </w:rPr>
            </w:pPr>
            <w:r>
              <w:rPr>
                <w:rFonts w:ascii="Times New Roman"/>
                <w:sz w:val="21"/>
              </w:rPr>
              <w:t>&lt;1.5</w:t>
            </w:r>
          </w:p>
        </w:tc>
        <w:tc>
          <w:tcPr>
            <w:tcW w:w="1135" w:type="dxa"/>
          </w:tcPr>
          <w:p>
            <w:pPr>
              <w:pStyle w:val="TableParagraph"/>
              <w:spacing w:line="241" w:lineRule="exact" w:before="22"/>
              <w:ind w:left="23" w:right="15"/>
              <w:rPr>
                <w:rFonts w:ascii="Times New Roman"/>
                <w:sz w:val="21"/>
              </w:rPr>
            </w:pPr>
            <w:r>
              <w:rPr>
                <w:rFonts w:ascii="Times New Roman"/>
                <w:sz w:val="21"/>
              </w:rPr>
              <w:t>&lt;1.5</w:t>
            </w:r>
          </w:p>
        </w:tc>
        <w:tc>
          <w:tcPr>
            <w:tcW w:w="1546" w:type="dxa"/>
          </w:tcPr>
          <w:p>
            <w:pPr>
              <w:pStyle w:val="TableParagraph"/>
              <w:spacing w:line="241" w:lineRule="exact" w:before="22"/>
              <w:ind w:left="385" w:right="379"/>
              <w:rPr>
                <w:rFonts w:ascii="Times New Roman"/>
                <w:sz w:val="21"/>
              </w:rPr>
            </w:pPr>
            <w:r>
              <w:rPr>
                <w:rFonts w:ascii="Times New Roman"/>
                <w:sz w:val="21"/>
              </w:rPr>
              <w:t>560000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669"/>
              <w:jc w:val="left"/>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&lt;1.5</w:t>
            </w:r>
          </w:p>
        </w:tc>
        <w:tc>
          <w:tcPr>
            <w:tcW w:w="1303" w:type="dxa"/>
          </w:tcPr>
          <w:p>
            <w:pPr>
              <w:pStyle w:val="TableParagraph"/>
              <w:spacing w:before="22"/>
              <w:ind w:left="247" w:right="240"/>
              <w:rPr>
                <w:rFonts w:ascii="Times New Roman"/>
                <w:sz w:val="21"/>
              </w:rPr>
            </w:pPr>
            <w:r>
              <w:rPr>
                <w:rFonts w:ascii="Times New Roman"/>
                <w:sz w:val="21"/>
              </w:rPr>
              <w:t>&lt;1.5</w:t>
            </w:r>
          </w:p>
        </w:tc>
        <w:tc>
          <w:tcPr>
            <w:tcW w:w="1135" w:type="dxa"/>
          </w:tcPr>
          <w:p>
            <w:pPr>
              <w:pStyle w:val="TableParagraph"/>
              <w:spacing w:before="22"/>
              <w:ind w:left="23" w:right="15"/>
              <w:rPr>
                <w:rFonts w:ascii="Times New Roman"/>
                <w:sz w:val="21"/>
              </w:rPr>
            </w:pPr>
            <w:r>
              <w:rPr>
                <w:rFonts w:ascii="Times New Roman"/>
                <w:sz w:val="21"/>
              </w:rPr>
              <w:t>&lt;1.5</w:t>
            </w:r>
          </w:p>
        </w:tc>
        <w:tc>
          <w:tcPr>
            <w:tcW w:w="1546" w:type="dxa"/>
          </w:tcPr>
          <w:p>
            <w:pPr>
              <w:pStyle w:val="TableParagraph"/>
              <w:spacing w:before="22"/>
              <w:ind w:left="385" w:right="379"/>
              <w:rPr>
                <w:rFonts w:ascii="Times New Roman"/>
                <w:sz w:val="21"/>
              </w:rPr>
            </w:pPr>
            <w:r>
              <w:rPr>
                <w:rFonts w:ascii="Times New Roman"/>
                <w:sz w:val="21"/>
              </w:rPr>
              <w:t>20000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940"/>
              <w:jc w:val="left"/>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28000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835"/>
              <w:jc w:val="left"/>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&lt;1.1</w:t>
            </w:r>
          </w:p>
        </w:tc>
        <w:tc>
          <w:tcPr>
            <w:tcW w:w="1303" w:type="dxa"/>
          </w:tcPr>
          <w:p>
            <w:pPr>
              <w:pStyle w:val="TableParagraph"/>
              <w:spacing w:before="22"/>
              <w:ind w:left="247" w:right="240"/>
              <w:rPr>
                <w:rFonts w:ascii="Times New Roman"/>
                <w:sz w:val="21"/>
              </w:rPr>
            </w:pPr>
            <w:r>
              <w:rPr>
                <w:rFonts w:ascii="Times New Roman"/>
                <w:sz w:val="21"/>
              </w:rPr>
              <w:t>&lt;1.1</w:t>
            </w:r>
          </w:p>
        </w:tc>
        <w:tc>
          <w:tcPr>
            <w:tcW w:w="1135" w:type="dxa"/>
          </w:tcPr>
          <w:p>
            <w:pPr>
              <w:pStyle w:val="TableParagraph"/>
              <w:spacing w:before="22"/>
              <w:ind w:left="23" w:right="15"/>
              <w:rPr>
                <w:rFonts w:ascii="Times New Roman"/>
                <w:sz w:val="21"/>
              </w:rPr>
            </w:pPr>
            <w:r>
              <w:rPr>
                <w:rFonts w:ascii="Times New Roman"/>
                <w:sz w:val="21"/>
              </w:rPr>
              <w:t>&lt;1.1</w:t>
            </w:r>
          </w:p>
        </w:tc>
        <w:tc>
          <w:tcPr>
            <w:tcW w:w="1546" w:type="dxa"/>
          </w:tcPr>
          <w:p>
            <w:pPr>
              <w:pStyle w:val="TableParagraph"/>
              <w:spacing w:before="22"/>
              <w:ind w:left="387" w:right="379"/>
              <w:rPr>
                <w:rFonts w:ascii="Times New Roman"/>
                <w:sz w:val="21"/>
              </w:rPr>
            </w:pPr>
            <w:r>
              <w:rPr>
                <w:rFonts w:ascii="Times New Roman"/>
                <w:sz w:val="21"/>
              </w:rPr>
              <w:t>1290000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940"/>
              <w:jc w:val="left"/>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&lt;1.3</w:t>
            </w:r>
          </w:p>
        </w:tc>
        <w:tc>
          <w:tcPr>
            <w:tcW w:w="1303" w:type="dxa"/>
          </w:tcPr>
          <w:p>
            <w:pPr>
              <w:pStyle w:val="TableParagraph"/>
              <w:spacing w:before="20"/>
              <w:ind w:left="247" w:right="240"/>
              <w:rPr>
                <w:rFonts w:ascii="Times New Roman"/>
                <w:sz w:val="21"/>
              </w:rPr>
            </w:pPr>
            <w:r>
              <w:rPr>
                <w:rFonts w:ascii="Times New Roman"/>
                <w:sz w:val="21"/>
              </w:rPr>
              <w:t>&lt;1.3</w:t>
            </w:r>
          </w:p>
        </w:tc>
        <w:tc>
          <w:tcPr>
            <w:tcW w:w="1135" w:type="dxa"/>
          </w:tcPr>
          <w:p>
            <w:pPr>
              <w:pStyle w:val="TableParagraph"/>
              <w:spacing w:before="20"/>
              <w:ind w:left="23" w:right="15"/>
              <w:rPr>
                <w:rFonts w:ascii="Times New Roman"/>
                <w:sz w:val="21"/>
              </w:rPr>
            </w:pPr>
            <w:r>
              <w:rPr>
                <w:rFonts w:ascii="Times New Roman"/>
                <w:sz w:val="21"/>
              </w:rPr>
              <w:t>&lt;1.3</w:t>
            </w:r>
          </w:p>
        </w:tc>
        <w:tc>
          <w:tcPr>
            <w:tcW w:w="1546" w:type="dxa"/>
          </w:tcPr>
          <w:p>
            <w:pPr>
              <w:pStyle w:val="TableParagraph"/>
              <w:spacing w:before="20"/>
              <w:ind w:left="387" w:right="379"/>
              <w:rPr>
                <w:rFonts w:ascii="Times New Roman"/>
                <w:sz w:val="21"/>
              </w:rPr>
            </w:pPr>
            <w:r>
              <w:rPr>
                <w:rFonts w:ascii="Times New Roman"/>
                <w:sz w:val="21"/>
              </w:rPr>
              <w:t>1200000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right="243"/>
              <w:jc w:val="right"/>
              <w:rPr>
                <w:rFonts w:ascii="Times New Roman" w:hAnsi="Times New Roman" w:eastAsia="Times New Roman"/>
                <w:sz w:val="21"/>
              </w:rPr>
            </w:pPr>
            <w:r>
              <w:rPr>
                <w:sz w:val="21"/>
              </w:rPr>
              <w:t>间二甲苯</w:t>
            </w:r>
            <w:r>
              <w:rPr>
                <w:rFonts w:ascii="Times New Roman" w:hAnsi="Times New Roman" w:eastAsia="Times New Roman"/>
                <w:sz w:val="21"/>
              </w:rPr>
              <w:t>+</w:t>
            </w:r>
            <w:r>
              <w:rPr>
                <w:sz w:val="21"/>
              </w:rPr>
              <w:t>对二甲苯 </w:t>
            </w:r>
            <w:r>
              <w:rPr>
                <w:rFonts w:ascii="Times New Roman" w:hAnsi="Times New Roman" w:eastAsia="Times New Roman"/>
                <w:sz w:val="21"/>
              </w:rPr>
              <w:t>μg/kg</w:t>
            </w:r>
          </w:p>
        </w:tc>
        <w:tc>
          <w:tcPr>
            <w:tcW w:w="1303" w:type="dxa"/>
          </w:tcPr>
          <w:p>
            <w:pPr>
              <w:pStyle w:val="TableParagraph"/>
              <w:spacing w:line="241" w:lineRule="exact" w:before="22"/>
              <w:ind w:right="451"/>
              <w:jc w:val="right"/>
              <w:rPr>
                <w:rFonts w:ascii="Times New Roman"/>
                <w:sz w:val="21"/>
              </w:rPr>
            </w:pPr>
            <w:r>
              <w:rPr>
                <w:rFonts w:ascii="Times New Roman"/>
                <w:sz w:val="21"/>
              </w:rPr>
              <w:t>&lt;1.2</w:t>
            </w:r>
          </w:p>
        </w:tc>
        <w:tc>
          <w:tcPr>
            <w:tcW w:w="1303" w:type="dxa"/>
          </w:tcPr>
          <w:p>
            <w:pPr>
              <w:pStyle w:val="TableParagraph"/>
              <w:spacing w:line="241" w:lineRule="exact" w:before="22"/>
              <w:ind w:left="247" w:right="240"/>
              <w:rPr>
                <w:rFonts w:ascii="Times New Roman"/>
                <w:sz w:val="21"/>
              </w:rPr>
            </w:pPr>
            <w:r>
              <w:rPr>
                <w:rFonts w:ascii="Times New Roman"/>
                <w:sz w:val="21"/>
              </w:rPr>
              <w:t>72.7</w:t>
            </w:r>
          </w:p>
        </w:tc>
        <w:tc>
          <w:tcPr>
            <w:tcW w:w="1135" w:type="dxa"/>
          </w:tcPr>
          <w:p>
            <w:pPr>
              <w:pStyle w:val="TableParagraph"/>
              <w:spacing w:line="241" w:lineRule="exact" w:before="22"/>
              <w:ind w:left="23" w:right="15"/>
              <w:rPr>
                <w:rFonts w:ascii="Times New Roman"/>
                <w:sz w:val="21"/>
              </w:rPr>
            </w:pPr>
            <w:r>
              <w:rPr>
                <w:rFonts w:ascii="Times New Roman"/>
                <w:sz w:val="21"/>
              </w:rPr>
              <w:t>6.8</w:t>
            </w:r>
          </w:p>
        </w:tc>
        <w:tc>
          <w:tcPr>
            <w:tcW w:w="1546" w:type="dxa"/>
          </w:tcPr>
          <w:p>
            <w:pPr>
              <w:pStyle w:val="TableParagraph"/>
              <w:spacing w:line="241" w:lineRule="exact" w:before="22"/>
              <w:ind w:left="385" w:right="379"/>
              <w:rPr>
                <w:rFonts w:ascii="Times New Roman"/>
                <w:sz w:val="21"/>
              </w:rPr>
            </w:pPr>
            <w:r>
              <w:rPr>
                <w:rFonts w:ascii="Times New Roman"/>
                <w:sz w:val="21"/>
              </w:rPr>
              <w:t>570000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731"/>
              <w:jc w:val="left"/>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149</w:t>
            </w:r>
          </w:p>
        </w:tc>
        <w:tc>
          <w:tcPr>
            <w:tcW w:w="1135" w:type="dxa"/>
          </w:tcPr>
          <w:p>
            <w:pPr>
              <w:pStyle w:val="TableParagraph"/>
              <w:spacing w:before="22"/>
              <w:ind w:left="23" w:right="15"/>
              <w:rPr>
                <w:rFonts w:ascii="Times New Roman"/>
                <w:sz w:val="21"/>
              </w:rPr>
            </w:pPr>
            <w:r>
              <w:rPr>
                <w:rFonts w:ascii="Times New Roman"/>
                <w:sz w:val="21"/>
              </w:rPr>
              <w:t>108</w:t>
            </w:r>
          </w:p>
        </w:tc>
        <w:tc>
          <w:tcPr>
            <w:tcW w:w="1546" w:type="dxa"/>
          </w:tcPr>
          <w:p>
            <w:pPr>
              <w:pStyle w:val="TableParagraph"/>
              <w:spacing w:before="22"/>
              <w:ind w:left="385" w:right="379"/>
              <w:rPr>
                <w:rFonts w:ascii="Times New Roman"/>
                <w:sz w:val="21"/>
              </w:rPr>
            </w:pPr>
            <w:r>
              <w:rPr>
                <w:rFonts w:ascii="Times New Roman"/>
                <w:sz w:val="21"/>
              </w:rPr>
              <w:t>640000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811"/>
              <w:jc w:val="left"/>
              <w:rPr>
                <w:rFonts w:ascii="Times New Roman" w:eastAsia="Times New Roman"/>
                <w:sz w:val="21"/>
              </w:rPr>
            </w:pPr>
            <w:r>
              <w:rPr>
                <w:sz w:val="21"/>
              </w:rPr>
              <w:t>硝基苯 </w:t>
            </w:r>
            <w:r>
              <w:rPr>
                <w:rFonts w:ascii="Times New Roman" w:eastAsia="Times New Roman"/>
                <w:sz w:val="21"/>
              </w:rPr>
              <w:t>mg/kg</w:t>
            </w:r>
          </w:p>
        </w:tc>
        <w:tc>
          <w:tcPr>
            <w:tcW w:w="1303" w:type="dxa"/>
          </w:tcPr>
          <w:p>
            <w:pPr>
              <w:pStyle w:val="TableParagraph"/>
              <w:spacing w:before="20"/>
              <w:ind w:right="401"/>
              <w:jc w:val="right"/>
              <w:rPr>
                <w:rFonts w:ascii="Times New Roman"/>
                <w:sz w:val="21"/>
              </w:rPr>
            </w:pPr>
            <w:r>
              <w:rPr>
                <w:rFonts w:ascii="Times New Roman"/>
                <w:sz w:val="21"/>
              </w:rPr>
              <w:t>&lt;0.09</w:t>
            </w:r>
          </w:p>
        </w:tc>
        <w:tc>
          <w:tcPr>
            <w:tcW w:w="1303" w:type="dxa"/>
          </w:tcPr>
          <w:p>
            <w:pPr>
              <w:pStyle w:val="TableParagraph"/>
              <w:spacing w:before="20"/>
              <w:ind w:left="246" w:right="241"/>
              <w:rPr>
                <w:rFonts w:ascii="Times New Roman"/>
                <w:sz w:val="21"/>
              </w:rPr>
            </w:pPr>
            <w:r>
              <w:rPr>
                <w:rFonts w:ascii="Times New Roman"/>
                <w:sz w:val="21"/>
              </w:rPr>
              <w:t>&lt;0.09</w:t>
            </w:r>
          </w:p>
        </w:tc>
        <w:tc>
          <w:tcPr>
            <w:tcW w:w="1135" w:type="dxa"/>
          </w:tcPr>
          <w:p>
            <w:pPr>
              <w:pStyle w:val="TableParagraph"/>
              <w:spacing w:before="20"/>
              <w:ind w:left="21" w:right="15"/>
              <w:rPr>
                <w:rFonts w:ascii="Times New Roman"/>
                <w:sz w:val="21"/>
              </w:rPr>
            </w:pPr>
            <w:r>
              <w:rPr>
                <w:rFonts w:ascii="Times New Roman"/>
                <w:sz w:val="21"/>
              </w:rPr>
              <w:t>&lt;0.09</w:t>
            </w:r>
          </w:p>
        </w:tc>
        <w:tc>
          <w:tcPr>
            <w:tcW w:w="1546" w:type="dxa"/>
          </w:tcPr>
          <w:p>
            <w:pPr>
              <w:pStyle w:val="TableParagraph"/>
              <w:spacing w:before="20"/>
              <w:ind w:left="385" w:right="379"/>
              <w:rPr>
                <w:rFonts w:ascii="Times New Roman"/>
                <w:sz w:val="21"/>
              </w:rPr>
            </w:pPr>
            <w:r>
              <w:rPr>
                <w:rFonts w:ascii="Times New Roman"/>
                <w:sz w:val="21"/>
              </w:rPr>
              <w:t>76</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916"/>
              <w:jc w:val="left"/>
              <w:rPr>
                <w:rFonts w:ascii="Times New Roman" w:eastAsia="Times New Roman"/>
                <w:sz w:val="21"/>
              </w:rPr>
            </w:pPr>
            <w:r>
              <w:rPr>
                <w:sz w:val="21"/>
              </w:rPr>
              <w:t>苯胺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260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722"/>
              <w:jc w:val="left"/>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303" w:type="dxa"/>
          </w:tcPr>
          <w:p>
            <w:pPr>
              <w:pStyle w:val="TableParagraph"/>
              <w:spacing w:before="20"/>
              <w:ind w:right="401"/>
              <w:jc w:val="right"/>
              <w:rPr>
                <w:rFonts w:ascii="Times New Roman"/>
                <w:sz w:val="21"/>
              </w:rPr>
            </w:pPr>
            <w:r>
              <w:rPr>
                <w:rFonts w:ascii="Times New Roman"/>
                <w:sz w:val="21"/>
              </w:rPr>
              <w:t>&lt;0.06</w:t>
            </w:r>
          </w:p>
        </w:tc>
        <w:tc>
          <w:tcPr>
            <w:tcW w:w="1303" w:type="dxa"/>
          </w:tcPr>
          <w:p>
            <w:pPr>
              <w:pStyle w:val="TableParagraph"/>
              <w:spacing w:before="20"/>
              <w:ind w:left="246" w:right="241"/>
              <w:rPr>
                <w:rFonts w:ascii="Times New Roman"/>
                <w:sz w:val="21"/>
              </w:rPr>
            </w:pPr>
            <w:r>
              <w:rPr>
                <w:rFonts w:ascii="Times New Roman"/>
                <w:sz w:val="21"/>
              </w:rPr>
              <w:t>&lt;0.06</w:t>
            </w:r>
          </w:p>
        </w:tc>
        <w:tc>
          <w:tcPr>
            <w:tcW w:w="1135" w:type="dxa"/>
          </w:tcPr>
          <w:p>
            <w:pPr>
              <w:pStyle w:val="TableParagraph"/>
              <w:spacing w:before="20"/>
              <w:ind w:left="21" w:right="15"/>
              <w:rPr>
                <w:rFonts w:ascii="Times New Roman"/>
                <w:sz w:val="21"/>
              </w:rPr>
            </w:pPr>
            <w:r>
              <w:rPr>
                <w:rFonts w:ascii="Times New Roman"/>
                <w:sz w:val="21"/>
              </w:rPr>
              <w:t>&lt;0.06</w:t>
            </w:r>
          </w:p>
        </w:tc>
        <w:tc>
          <w:tcPr>
            <w:tcW w:w="1546" w:type="dxa"/>
          </w:tcPr>
          <w:p>
            <w:pPr>
              <w:pStyle w:val="TableParagraph"/>
              <w:spacing w:before="20"/>
              <w:ind w:left="385" w:right="379"/>
              <w:rPr>
                <w:rFonts w:ascii="Times New Roman"/>
                <w:sz w:val="21"/>
              </w:rPr>
            </w:pPr>
            <w:r>
              <w:rPr>
                <w:rFonts w:ascii="Times New Roman"/>
                <w:sz w:val="21"/>
              </w:rPr>
              <w:t>2256</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693"/>
              <w:jc w:val="left"/>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15</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693"/>
              <w:jc w:val="left"/>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583"/>
              <w:jc w:val="left"/>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303" w:type="dxa"/>
          </w:tcPr>
          <w:p>
            <w:pPr>
              <w:pStyle w:val="TableParagraph"/>
              <w:spacing w:line="241" w:lineRule="exact" w:before="22"/>
              <w:ind w:right="451"/>
              <w:jc w:val="right"/>
              <w:rPr>
                <w:rFonts w:ascii="Times New Roman"/>
                <w:sz w:val="21"/>
              </w:rPr>
            </w:pPr>
            <w:r>
              <w:rPr>
                <w:rFonts w:ascii="Times New Roman"/>
                <w:sz w:val="21"/>
              </w:rPr>
              <w:t>&lt;0.2</w:t>
            </w:r>
          </w:p>
        </w:tc>
        <w:tc>
          <w:tcPr>
            <w:tcW w:w="1303" w:type="dxa"/>
          </w:tcPr>
          <w:p>
            <w:pPr>
              <w:pStyle w:val="TableParagraph"/>
              <w:spacing w:line="241" w:lineRule="exact" w:before="22"/>
              <w:ind w:left="247" w:right="240"/>
              <w:rPr>
                <w:rFonts w:ascii="Times New Roman"/>
                <w:sz w:val="21"/>
              </w:rPr>
            </w:pPr>
            <w:r>
              <w:rPr>
                <w:rFonts w:ascii="Times New Roman"/>
                <w:sz w:val="21"/>
              </w:rPr>
              <w:t>&lt;0.2</w:t>
            </w:r>
          </w:p>
        </w:tc>
        <w:tc>
          <w:tcPr>
            <w:tcW w:w="1135" w:type="dxa"/>
          </w:tcPr>
          <w:p>
            <w:pPr>
              <w:pStyle w:val="TableParagraph"/>
              <w:spacing w:line="241" w:lineRule="exact" w:before="22"/>
              <w:ind w:left="23" w:right="15"/>
              <w:rPr>
                <w:rFonts w:ascii="Times New Roman"/>
                <w:sz w:val="21"/>
              </w:rPr>
            </w:pPr>
            <w:r>
              <w:rPr>
                <w:rFonts w:ascii="Times New Roman"/>
                <w:sz w:val="21"/>
              </w:rPr>
              <w:t>&lt;0.2</w:t>
            </w:r>
          </w:p>
        </w:tc>
        <w:tc>
          <w:tcPr>
            <w:tcW w:w="1546" w:type="dxa"/>
          </w:tcPr>
          <w:p>
            <w:pPr>
              <w:pStyle w:val="TableParagraph"/>
              <w:spacing w:line="241" w:lineRule="exact" w:before="22"/>
              <w:ind w:left="385" w:right="379"/>
              <w:rPr>
                <w:rFonts w:ascii="Times New Roman"/>
                <w:sz w:val="21"/>
              </w:rPr>
            </w:pPr>
            <w:r>
              <w:rPr>
                <w:rFonts w:ascii="Times New Roman"/>
                <w:sz w:val="21"/>
              </w:rPr>
              <w:t>15</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583"/>
              <w:jc w:val="left"/>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151</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8" w:lineRule="exact" w:before="6"/>
              <w:ind w:left="545" w:right="541"/>
              <w:rPr>
                <w:rFonts w:ascii="Times New Roman" w:eastAsia="Times New Roman"/>
                <w:sz w:val="21"/>
              </w:rPr>
            </w:pPr>
            <w:r>
              <w:rPr>
                <w:sz w:val="21"/>
              </w:rPr>
              <w:t>䓛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1293</w:t>
            </w:r>
          </w:p>
        </w:tc>
        <w:tc>
          <w:tcPr>
            <w:tcW w:w="1164" w:type="dxa"/>
          </w:tcPr>
          <w:p>
            <w:pPr>
              <w:pStyle w:val="TableParagraph"/>
              <w:spacing w:line="258"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84"/>
              <w:jc w:val="left"/>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1.5</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395"/>
              <w:jc w:val="left"/>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5" w:lineRule="exact" w:before="8"/>
              <w:ind w:left="545" w:right="541"/>
              <w:rPr>
                <w:rFonts w:ascii="Times New Roman" w:eastAsia="Times New Roman"/>
                <w:sz w:val="21"/>
              </w:rPr>
            </w:pPr>
            <w:r>
              <w:rPr>
                <w:sz w:val="21"/>
              </w:rPr>
              <w:t>萘 </w:t>
            </w:r>
            <w:r>
              <w:rPr>
                <w:rFonts w:ascii="Times New Roman" w:eastAsia="Times New Roman"/>
                <w:sz w:val="21"/>
              </w:rPr>
              <w:t>mg/kg</w:t>
            </w:r>
          </w:p>
        </w:tc>
        <w:tc>
          <w:tcPr>
            <w:tcW w:w="1303" w:type="dxa"/>
          </w:tcPr>
          <w:p>
            <w:pPr>
              <w:pStyle w:val="TableParagraph"/>
              <w:spacing w:line="241" w:lineRule="exact" w:before="22"/>
              <w:ind w:right="401"/>
              <w:jc w:val="right"/>
              <w:rPr>
                <w:rFonts w:ascii="Times New Roman"/>
                <w:sz w:val="21"/>
              </w:rPr>
            </w:pPr>
            <w:r>
              <w:rPr>
                <w:rFonts w:ascii="Times New Roman"/>
                <w:sz w:val="21"/>
              </w:rPr>
              <w:t>&lt;0.09</w:t>
            </w:r>
          </w:p>
        </w:tc>
        <w:tc>
          <w:tcPr>
            <w:tcW w:w="1303" w:type="dxa"/>
          </w:tcPr>
          <w:p>
            <w:pPr>
              <w:pStyle w:val="TableParagraph"/>
              <w:spacing w:line="241" w:lineRule="exact" w:before="22"/>
              <w:ind w:left="246" w:right="241"/>
              <w:rPr>
                <w:rFonts w:ascii="Times New Roman"/>
                <w:sz w:val="21"/>
              </w:rPr>
            </w:pPr>
            <w:r>
              <w:rPr>
                <w:rFonts w:ascii="Times New Roman"/>
                <w:sz w:val="21"/>
              </w:rPr>
              <w:t>&lt;0.09</w:t>
            </w:r>
          </w:p>
        </w:tc>
        <w:tc>
          <w:tcPr>
            <w:tcW w:w="1135" w:type="dxa"/>
          </w:tcPr>
          <w:p>
            <w:pPr>
              <w:pStyle w:val="TableParagraph"/>
              <w:spacing w:line="241" w:lineRule="exact" w:before="22"/>
              <w:ind w:left="21" w:right="15"/>
              <w:rPr>
                <w:rFonts w:ascii="Times New Roman"/>
                <w:sz w:val="21"/>
              </w:rPr>
            </w:pPr>
            <w:r>
              <w:rPr>
                <w:rFonts w:ascii="Times New Roman"/>
                <w:sz w:val="21"/>
              </w:rPr>
              <w:t>&lt;0.09</w:t>
            </w:r>
          </w:p>
        </w:tc>
        <w:tc>
          <w:tcPr>
            <w:tcW w:w="1546" w:type="dxa"/>
          </w:tcPr>
          <w:p>
            <w:pPr>
              <w:pStyle w:val="TableParagraph"/>
              <w:spacing w:line="241" w:lineRule="exact" w:before="22"/>
              <w:ind w:left="385" w:right="379"/>
              <w:rPr>
                <w:rFonts w:ascii="Times New Roman"/>
                <w:sz w:val="21"/>
              </w:rPr>
            </w:pPr>
            <w:r>
              <w:rPr>
                <w:rFonts w:ascii="Times New Roman"/>
                <w:sz w:val="21"/>
              </w:rPr>
              <w:t>70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8" w:lineRule="exact" w:before="7"/>
              <w:ind w:right="308"/>
              <w:jc w:val="right"/>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303" w:type="dxa"/>
          </w:tcPr>
          <w:p>
            <w:pPr>
              <w:pStyle w:val="TableParagraph"/>
              <w:spacing w:before="22"/>
              <w:ind w:left="247" w:right="239"/>
              <w:rPr>
                <w:rFonts w:ascii="Times New Roman"/>
                <w:sz w:val="21"/>
              </w:rPr>
            </w:pPr>
            <w:r>
              <w:rPr>
                <w:rFonts w:ascii="Times New Roman"/>
                <w:sz w:val="21"/>
              </w:rPr>
              <w:t>&lt;6</w:t>
            </w:r>
          </w:p>
        </w:tc>
        <w:tc>
          <w:tcPr>
            <w:tcW w:w="1303" w:type="dxa"/>
          </w:tcPr>
          <w:p>
            <w:pPr>
              <w:pStyle w:val="TableParagraph"/>
              <w:spacing w:before="22"/>
              <w:ind w:left="247" w:right="239"/>
              <w:rPr>
                <w:rFonts w:ascii="Times New Roman"/>
                <w:sz w:val="21"/>
              </w:rPr>
            </w:pPr>
            <w:r>
              <w:rPr>
                <w:rFonts w:ascii="Times New Roman"/>
                <w:sz w:val="21"/>
              </w:rPr>
              <w:t>&lt;6</w:t>
            </w:r>
          </w:p>
        </w:tc>
        <w:tc>
          <w:tcPr>
            <w:tcW w:w="1135" w:type="dxa"/>
          </w:tcPr>
          <w:p>
            <w:pPr>
              <w:pStyle w:val="TableParagraph"/>
              <w:spacing w:before="22"/>
              <w:ind w:left="24" w:right="15"/>
              <w:rPr>
                <w:rFonts w:ascii="Times New Roman"/>
                <w:sz w:val="21"/>
              </w:rPr>
            </w:pPr>
            <w:r>
              <w:rPr>
                <w:rFonts w:ascii="Times New Roman"/>
                <w:sz w:val="21"/>
              </w:rPr>
              <w:t>&lt;6</w:t>
            </w:r>
          </w:p>
        </w:tc>
        <w:tc>
          <w:tcPr>
            <w:tcW w:w="1546" w:type="dxa"/>
          </w:tcPr>
          <w:p>
            <w:pPr>
              <w:pStyle w:val="TableParagraph"/>
              <w:spacing w:before="22"/>
              <w:ind w:left="385" w:right="379"/>
              <w:rPr>
                <w:rFonts w:ascii="Times New Roman"/>
                <w:sz w:val="21"/>
              </w:rPr>
            </w:pPr>
            <w:r>
              <w:rPr>
                <w:rFonts w:ascii="Times New Roman"/>
                <w:sz w:val="21"/>
              </w:rPr>
              <w:t>4500</w:t>
            </w:r>
          </w:p>
        </w:tc>
        <w:tc>
          <w:tcPr>
            <w:tcW w:w="1164" w:type="dxa"/>
          </w:tcPr>
          <w:p>
            <w:pPr>
              <w:pStyle w:val="TableParagraph"/>
              <w:spacing w:line="257" w:lineRule="exact" w:before="8"/>
              <w:ind w:left="141" w:right="132"/>
              <w:rPr>
                <w:sz w:val="21"/>
              </w:rPr>
            </w:pPr>
            <w:r>
              <w:rPr>
                <w:sz w:val="21"/>
              </w:rPr>
              <w:t>达标</w:t>
            </w:r>
          </w:p>
        </w:tc>
      </w:tr>
    </w:tbl>
    <w:p>
      <w:pPr>
        <w:pStyle w:val="BodyText"/>
        <w:spacing w:before="6"/>
        <w:rPr>
          <w:b/>
          <w:sz w:val="5"/>
        </w:rPr>
      </w:pPr>
    </w:p>
    <w:p>
      <w:pPr>
        <w:tabs>
          <w:tab w:pos="1669" w:val="left" w:leader="none"/>
        </w:tabs>
        <w:spacing w:before="74" w:after="29"/>
        <w:ind w:left="447" w:right="0" w:firstLine="0"/>
        <w:jc w:val="center"/>
        <w:rPr>
          <w:b/>
          <w:sz w:val="24"/>
        </w:rPr>
      </w:pPr>
      <w:r>
        <w:rPr/>
        <w:pict>
          <v:line style="position:absolute;mso-position-horizontal-relative:page;mso-position-vertical-relative:paragraph;z-index:-317728768" from="71.304001pt,20.740004pt" to="215.810001pt,62.736004pt" stroked="true" strokeweight=".72pt" strokecolor="#000000">
            <v:stroke dashstyle="solid"/>
            <w10:wrap type="none"/>
          </v:line>
        </w:pict>
      </w:r>
      <w:r>
        <w:rPr>
          <w:b/>
          <w:sz w:val="24"/>
        </w:rPr>
        <w:t>表</w:t>
      </w:r>
      <w:r>
        <w:rPr>
          <w:b/>
          <w:spacing w:val="-60"/>
          <w:sz w:val="24"/>
        </w:rPr>
        <w:t> </w:t>
      </w:r>
      <w:r>
        <w:rPr>
          <w:rFonts w:ascii="Times New Roman" w:eastAsia="Times New Roman"/>
          <w:b/>
          <w:sz w:val="24"/>
        </w:rPr>
        <w:t>6.2.4-4</w:t>
        <w:tab/>
      </w:r>
      <w:r>
        <w:rPr>
          <w:b/>
          <w:sz w:val="24"/>
        </w:rPr>
        <w:t>西区土壤现状监测结果（</w:t>
      </w:r>
      <w:r>
        <w:rPr>
          <w:rFonts w:ascii="Times New Roman" w:eastAsia="Times New Roman"/>
          <w:b/>
          <w:sz w:val="24"/>
        </w:rPr>
        <w:t>3</w:t>
      </w:r>
      <w:r>
        <w:rPr>
          <w:b/>
          <w:sz w:val="24"/>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95"/>
        <w:gridCol w:w="1303"/>
        <w:gridCol w:w="1303"/>
        <w:gridCol w:w="1135"/>
        <w:gridCol w:w="1546"/>
        <w:gridCol w:w="1164"/>
      </w:tblGrid>
      <w:tr>
        <w:trPr>
          <w:trHeight w:val="544" w:hRule="atLeast"/>
        </w:trPr>
        <w:tc>
          <w:tcPr>
            <w:tcW w:w="2895" w:type="dxa"/>
            <w:vMerge w:val="restart"/>
          </w:tcPr>
          <w:p>
            <w:pPr>
              <w:pStyle w:val="TableParagraph"/>
              <w:spacing w:before="147"/>
              <w:ind w:left="1943"/>
              <w:jc w:val="left"/>
              <w:rPr>
                <w:b/>
                <w:sz w:val="21"/>
              </w:rPr>
            </w:pPr>
            <w:r>
              <w:rPr>
                <w:b/>
                <w:sz w:val="21"/>
              </w:rPr>
              <w:t>采样点位</w:t>
            </w:r>
          </w:p>
          <w:p>
            <w:pPr>
              <w:pStyle w:val="TableParagraph"/>
              <w:spacing w:before="5"/>
              <w:ind w:left="107"/>
              <w:jc w:val="left"/>
              <w:rPr>
                <w:b/>
                <w:sz w:val="21"/>
              </w:rPr>
            </w:pPr>
            <w:r>
              <w:rPr>
                <w:b/>
                <w:sz w:val="21"/>
              </w:rPr>
              <w:t>项目名称及单位</w:t>
            </w:r>
          </w:p>
        </w:tc>
        <w:tc>
          <w:tcPr>
            <w:tcW w:w="3741" w:type="dxa"/>
            <w:gridSpan w:val="3"/>
          </w:tcPr>
          <w:p>
            <w:pPr>
              <w:pStyle w:val="TableParagraph"/>
              <w:spacing w:before="1"/>
              <w:ind w:left="59" w:right="52"/>
              <w:rPr>
                <w:b/>
                <w:sz w:val="21"/>
              </w:rPr>
            </w:pPr>
            <w:r>
              <w:rPr>
                <w:b/>
                <w:sz w:val="21"/>
              </w:rPr>
              <w:t>污水站污水处理区西侧，距离污水处理</w:t>
            </w:r>
          </w:p>
          <w:p>
            <w:pPr>
              <w:pStyle w:val="TableParagraph"/>
              <w:spacing w:line="250" w:lineRule="exact" w:before="4"/>
              <w:ind w:left="57" w:right="52"/>
              <w:rPr>
                <w:rFonts w:ascii="Times New Roman" w:eastAsia="Times New Roman"/>
                <w:b/>
                <w:sz w:val="21"/>
              </w:rPr>
            </w:pPr>
            <w:r>
              <w:rPr>
                <w:b/>
                <w:sz w:val="21"/>
              </w:rPr>
              <w:t>区 </w:t>
            </w:r>
            <w:r>
              <w:rPr>
                <w:rFonts w:ascii="Times New Roman" w:eastAsia="Times New Roman"/>
                <w:b/>
                <w:sz w:val="21"/>
              </w:rPr>
              <w:t>6 </w:t>
            </w:r>
            <w:r>
              <w:rPr>
                <w:b/>
                <w:sz w:val="21"/>
              </w:rPr>
              <w:t>米 </w:t>
            </w:r>
            <w:r>
              <w:rPr>
                <w:rFonts w:ascii="Times New Roman" w:eastAsia="Times New Roman"/>
                <w:b/>
                <w:sz w:val="21"/>
              </w:rPr>
              <w:t>1J01</w:t>
            </w:r>
          </w:p>
        </w:tc>
        <w:tc>
          <w:tcPr>
            <w:tcW w:w="1546" w:type="dxa"/>
            <w:vMerge w:val="restart"/>
          </w:tcPr>
          <w:p>
            <w:pPr>
              <w:pStyle w:val="TableParagraph"/>
              <w:spacing w:line="244" w:lineRule="auto" w:before="147"/>
              <w:ind w:left="351" w:right="131" w:hanging="212"/>
              <w:jc w:val="left"/>
              <w:rPr>
                <w:b/>
                <w:sz w:val="21"/>
              </w:rPr>
            </w:pPr>
            <w:r>
              <w:rPr>
                <w:b/>
                <w:sz w:val="21"/>
              </w:rPr>
              <w:t>第二类用地筛选值标准</w:t>
            </w:r>
          </w:p>
        </w:tc>
        <w:tc>
          <w:tcPr>
            <w:tcW w:w="1164" w:type="dxa"/>
            <w:vMerge w:val="restart"/>
          </w:tcPr>
          <w:p>
            <w:pPr>
              <w:pStyle w:val="TableParagraph"/>
              <w:spacing w:before="2"/>
              <w:jc w:val="left"/>
              <w:rPr>
                <w:b/>
                <w:sz w:val="22"/>
              </w:rPr>
            </w:pPr>
          </w:p>
          <w:p>
            <w:pPr>
              <w:pStyle w:val="TableParagraph"/>
              <w:ind w:left="161"/>
              <w:jc w:val="left"/>
              <w:rPr>
                <w:b/>
                <w:sz w:val="21"/>
              </w:rPr>
            </w:pPr>
            <w:r>
              <w:rPr>
                <w:b/>
                <w:sz w:val="21"/>
              </w:rPr>
              <w:t>达标情况</w:t>
            </w:r>
          </w:p>
        </w:tc>
      </w:tr>
      <w:tr>
        <w:trPr>
          <w:trHeight w:val="290" w:hRule="atLeast"/>
        </w:trPr>
        <w:tc>
          <w:tcPr>
            <w:tcW w:w="2895" w:type="dxa"/>
            <w:vMerge/>
            <w:tcBorders>
              <w:top w:val="nil"/>
            </w:tcBorders>
          </w:tcPr>
          <w:p>
            <w:pPr>
              <w:rPr>
                <w:sz w:val="2"/>
                <w:szCs w:val="2"/>
              </w:rPr>
            </w:pPr>
          </w:p>
        </w:tc>
        <w:tc>
          <w:tcPr>
            <w:tcW w:w="1303" w:type="dxa"/>
          </w:tcPr>
          <w:p>
            <w:pPr>
              <w:pStyle w:val="TableParagraph"/>
              <w:spacing w:before="27"/>
              <w:ind w:left="246" w:right="241"/>
              <w:rPr>
                <w:rFonts w:ascii="Times New Roman"/>
                <w:b/>
                <w:sz w:val="21"/>
              </w:rPr>
            </w:pPr>
            <w:r>
              <w:rPr>
                <w:rFonts w:ascii="Times New Roman"/>
                <w:b/>
                <w:sz w:val="21"/>
              </w:rPr>
              <w:t>0-0.5m</w:t>
            </w:r>
          </w:p>
        </w:tc>
        <w:tc>
          <w:tcPr>
            <w:tcW w:w="1303" w:type="dxa"/>
          </w:tcPr>
          <w:p>
            <w:pPr>
              <w:pStyle w:val="TableParagraph"/>
              <w:spacing w:before="27"/>
              <w:ind w:left="247" w:right="241"/>
              <w:rPr>
                <w:rFonts w:ascii="Times New Roman"/>
                <w:b/>
                <w:sz w:val="21"/>
              </w:rPr>
            </w:pPr>
            <w:r>
              <w:rPr>
                <w:rFonts w:ascii="Times New Roman"/>
                <w:b/>
                <w:sz w:val="21"/>
              </w:rPr>
              <w:t>0.6-1.2m</w:t>
            </w:r>
          </w:p>
        </w:tc>
        <w:tc>
          <w:tcPr>
            <w:tcW w:w="1135" w:type="dxa"/>
          </w:tcPr>
          <w:p>
            <w:pPr>
              <w:pStyle w:val="TableParagraph"/>
              <w:spacing w:before="27"/>
              <w:ind w:left="22" w:right="15"/>
              <w:rPr>
                <w:rFonts w:ascii="Times New Roman"/>
                <w:b/>
                <w:sz w:val="21"/>
              </w:rPr>
            </w:pPr>
            <w:r>
              <w:rPr>
                <w:rFonts w:ascii="Times New Roman"/>
                <w:b/>
                <w:sz w:val="21"/>
              </w:rPr>
              <w:t>2.0-4.5m</w:t>
            </w:r>
          </w:p>
        </w:tc>
        <w:tc>
          <w:tcPr>
            <w:tcW w:w="1546" w:type="dxa"/>
            <w:vMerge/>
            <w:tcBorders>
              <w:top w:val="nil"/>
            </w:tcBorders>
          </w:tcPr>
          <w:p>
            <w:pPr>
              <w:rPr>
                <w:sz w:val="2"/>
                <w:szCs w:val="2"/>
              </w:rPr>
            </w:pPr>
          </w:p>
        </w:tc>
        <w:tc>
          <w:tcPr>
            <w:tcW w:w="1164" w:type="dxa"/>
            <w:vMerge/>
            <w:tcBorders>
              <w:top w:val="nil"/>
            </w:tcBorders>
          </w:tcPr>
          <w:p>
            <w:pPr>
              <w:rPr>
                <w:sz w:val="2"/>
                <w:szCs w:val="2"/>
              </w:rPr>
            </w:pPr>
          </w:p>
        </w:tc>
      </w:tr>
      <w:tr>
        <w:trPr>
          <w:trHeight w:val="283" w:hRule="atLeast"/>
        </w:trPr>
        <w:tc>
          <w:tcPr>
            <w:tcW w:w="2895" w:type="dxa"/>
          </w:tcPr>
          <w:p>
            <w:pPr>
              <w:pStyle w:val="TableParagraph"/>
              <w:spacing w:line="257" w:lineRule="exact" w:before="6"/>
              <w:ind w:left="545" w:right="541"/>
              <w:rPr>
                <w:rFonts w:ascii="Times New Roman" w:eastAsia="Times New Roman"/>
                <w:sz w:val="21"/>
              </w:rPr>
            </w:pPr>
            <w:r>
              <w:rPr>
                <w:sz w:val="21"/>
              </w:rPr>
              <w:t>铜 </w:t>
            </w:r>
            <w:r>
              <w:rPr>
                <w:rFonts w:ascii="Times New Roman" w:eastAsia="Times New Roman"/>
                <w:sz w:val="21"/>
              </w:rPr>
              <w:t>mg/kg</w:t>
            </w:r>
          </w:p>
        </w:tc>
        <w:tc>
          <w:tcPr>
            <w:tcW w:w="1303" w:type="dxa"/>
          </w:tcPr>
          <w:p>
            <w:pPr>
              <w:pStyle w:val="TableParagraph"/>
              <w:spacing w:before="20"/>
              <w:ind w:left="247" w:right="240"/>
              <w:rPr>
                <w:rFonts w:ascii="Times New Roman"/>
                <w:sz w:val="21"/>
              </w:rPr>
            </w:pPr>
            <w:r>
              <w:rPr>
                <w:rFonts w:ascii="Times New Roman"/>
                <w:sz w:val="21"/>
              </w:rPr>
              <w:t>21.8</w:t>
            </w:r>
          </w:p>
        </w:tc>
        <w:tc>
          <w:tcPr>
            <w:tcW w:w="1303" w:type="dxa"/>
          </w:tcPr>
          <w:p>
            <w:pPr>
              <w:pStyle w:val="TableParagraph"/>
              <w:spacing w:before="20"/>
              <w:ind w:left="246" w:right="241"/>
              <w:rPr>
                <w:rFonts w:ascii="Times New Roman"/>
                <w:sz w:val="21"/>
              </w:rPr>
            </w:pPr>
            <w:r>
              <w:rPr>
                <w:rFonts w:ascii="Times New Roman"/>
                <w:sz w:val="21"/>
              </w:rPr>
              <w:t>11.4</w:t>
            </w:r>
          </w:p>
        </w:tc>
        <w:tc>
          <w:tcPr>
            <w:tcW w:w="1135" w:type="dxa"/>
          </w:tcPr>
          <w:p>
            <w:pPr>
              <w:pStyle w:val="TableParagraph"/>
              <w:spacing w:before="20"/>
              <w:ind w:left="23" w:right="15"/>
              <w:rPr>
                <w:rFonts w:ascii="Times New Roman"/>
                <w:sz w:val="21"/>
              </w:rPr>
            </w:pPr>
            <w:r>
              <w:rPr>
                <w:rFonts w:ascii="Times New Roman"/>
                <w:sz w:val="21"/>
              </w:rPr>
              <w:t>14.4</w:t>
            </w:r>
          </w:p>
        </w:tc>
        <w:tc>
          <w:tcPr>
            <w:tcW w:w="1546" w:type="dxa"/>
          </w:tcPr>
          <w:p>
            <w:pPr>
              <w:pStyle w:val="TableParagraph"/>
              <w:spacing w:before="20"/>
              <w:ind w:left="509"/>
              <w:jc w:val="left"/>
              <w:rPr>
                <w:rFonts w:ascii="Times New Roman"/>
                <w:sz w:val="21"/>
              </w:rPr>
            </w:pPr>
            <w:r>
              <w:rPr>
                <w:rFonts w:ascii="Times New Roman"/>
                <w:sz w:val="21"/>
              </w:rPr>
              <w:t>18000</w:t>
            </w:r>
          </w:p>
        </w:tc>
        <w:tc>
          <w:tcPr>
            <w:tcW w:w="1164" w:type="dxa"/>
          </w:tcPr>
          <w:p>
            <w:pPr>
              <w:pStyle w:val="TableParagraph"/>
              <w:spacing w:line="257" w:lineRule="exact" w:before="6"/>
              <w:ind w:left="373"/>
              <w:jc w:val="left"/>
              <w:rPr>
                <w:sz w:val="21"/>
              </w:rPr>
            </w:pPr>
            <w:r>
              <w:rPr>
                <w:sz w:val="21"/>
              </w:rPr>
              <w:t>达标</w:t>
            </w:r>
          </w:p>
        </w:tc>
      </w:tr>
    </w:tbl>
    <w:p>
      <w:pPr>
        <w:spacing w:after="0" w:line="257" w:lineRule="exact"/>
        <w:jc w:val="left"/>
        <w:rPr>
          <w:sz w:val="21"/>
        </w:rPr>
        <w:sectPr>
          <w:pgSz w:w="11910" w:h="16850"/>
          <w:pgMar w:header="1004" w:footer="1088" w:top="1340" w:bottom="1280" w:left="1200" w:right="1000"/>
        </w:sectPr>
      </w:pPr>
    </w:p>
    <w:p>
      <w:pPr>
        <w:pStyle w:val="BodyText"/>
        <w:rPr>
          <w:rFonts w:ascii="Times New Roman"/>
          <w:sz w:val="7"/>
        </w:rPr>
      </w:pPr>
      <w:r>
        <w:rPr/>
        <w:pict>
          <v:line style="position:absolute;mso-position-horizontal-relative:page;mso-position-vertical-relative:page;z-index:-317727744" from="71.304001pt,72.239975pt" to="215.810001pt,114.259975pt" stroked="true" strokeweight=".72pt" strokecolor="#000000">
            <v:stroke dashstyle="solid"/>
            <w10:wrap type="none"/>
          </v:line>
        </w:pic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95"/>
        <w:gridCol w:w="1303"/>
        <w:gridCol w:w="1303"/>
        <w:gridCol w:w="1135"/>
        <w:gridCol w:w="1546"/>
        <w:gridCol w:w="1164"/>
      </w:tblGrid>
      <w:tr>
        <w:trPr>
          <w:trHeight w:val="544" w:hRule="atLeast"/>
        </w:trPr>
        <w:tc>
          <w:tcPr>
            <w:tcW w:w="2895" w:type="dxa"/>
            <w:vMerge w:val="restart"/>
          </w:tcPr>
          <w:p>
            <w:pPr>
              <w:pStyle w:val="TableParagraph"/>
              <w:spacing w:before="148"/>
              <w:ind w:left="1943"/>
              <w:jc w:val="left"/>
              <w:rPr>
                <w:b/>
                <w:sz w:val="21"/>
              </w:rPr>
            </w:pPr>
            <w:r>
              <w:rPr>
                <w:b/>
                <w:sz w:val="21"/>
              </w:rPr>
              <w:t>采样点位</w:t>
            </w:r>
          </w:p>
          <w:p>
            <w:pPr>
              <w:pStyle w:val="TableParagraph"/>
              <w:spacing w:before="4"/>
              <w:ind w:left="107"/>
              <w:jc w:val="left"/>
              <w:rPr>
                <w:b/>
                <w:sz w:val="21"/>
              </w:rPr>
            </w:pPr>
            <w:r>
              <w:rPr>
                <w:b/>
                <w:sz w:val="21"/>
              </w:rPr>
              <w:t>项目名称及单位</w:t>
            </w:r>
          </w:p>
        </w:tc>
        <w:tc>
          <w:tcPr>
            <w:tcW w:w="3741" w:type="dxa"/>
            <w:gridSpan w:val="3"/>
          </w:tcPr>
          <w:p>
            <w:pPr>
              <w:pStyle w:val="TableParagraph"/>
              <w:spacing w:before="1"/>
              <w:ind w:left="59" w:right="52"/>
              <w:rPr>
                <w:b/>
                <w:sz w:val="21"/>
              </w:rPr>
            </w:pPr>
            <w:r>
              <w:rPr>
                <w:b/>
                <w:sz w:val="21"/>
              </w:rPr>
              <w:t>污水站污水处理区西侧，距离污水处理</w:t>
            </w:r>
          </w:p>
          <w:p>
            <w:pPr>
              <w:pStyle w:val="TableParagraph"/>
              <w:spacing w:line="250" w:lineRule="exact" w:before="5"/>
              <w:ind w:left="57" w:right="52"/>
              <w:rPr>
                <w:rFonts w:ascii="Times New Roman" w:eastAsia="Times New Roman"/>
                <w:b/>
                <w:sz w:val="21"/>
              </w:rPr>
            </w:pPr>
            <w:r>
              <w:rPr>
                <w:b/>
                <w:sz w:val="21"/>
              </w:rPr>
              <w:t>区 </w:t>
            </w:r>
            <w:r>
              <w:rPr>
                <w:rFonts w:ascii="Times New Roman" w:eastAsia="Times New Roman"/>
                <w:b/>
                <w:sz w:val="21"/>
              </w:rPr>
              <w:t>6 </w:t>
            </w:r>
            <w:r>
              <w:rPr>
                <w:b/>
                <w:sz w:val="21"/>
              </w:rPr>
              <w:t>米 </w:t>
            </w:r>
            <w:r>
              <w:rPr>
                <w:rFonts w:ascii="Times New Roman" w:eastAsia="Times New Roman"/>
                <w:b/>
                <w:sz w:val="21"/>
              </w:rPr>
              <w:t>1J01</w:t>
            </w:r>
          </w:p>
        </w:tc>
        <w:tc>
          <w:tcPr>
            <w:tcW w:w="1546" w:type="dxa"/>
            <w:vMerge w:val="restart"/>
          </w:tcPr>
          <w:p>
            <w:pPr>
              <w:pStyle w:val="TableParagraph"/>
              <w:spacing w:line="244" w:lineRule="auto" w:before="148"/>
              <w:ind w:left="351" w:right="131" w:hanging="212"/>
              <w:jc w:val="left"/>
              <w:rPr>
                <w:b/>
                <w:sz w:val="21"/>
              </w:rPr>
            </w:pPr>
            <w:r>
              <w:rPr>
                <w:b/>
                <w:sz w:val="21"/>
              </w:rPr>
              <w:t>第二类用地筛选值标准</w:t>
            </w:r>
          </w:p>
        </w:tc>
        <w:tc>
          <w:tcPr>
            <w:tcW w:w="1164" w:type="dxa"/>
            <w:vMerge w:val="restart"/>
          </w:tcPr>
          <w:p>
            <w:pPr>
              <w:pStyle w:val="TableParagraph"/>
              <w:spacing w:before="8"/>
              <w:jc w:val="left"/>
              <w:rPr>
                <w:rFonts w:ascii="Times New Roman"/>
                <w:sz w:val="24"/>
              </w:rPr>
            </w:pPr>
          </w:p>
          <w:p>
            <w:pPr>
              <w:pStyle w:val="TableParagraph"/>
              <w:ind w:left="161"/>
              <w:jc w:val="left"/>
              <w:rPr>
                <w:b/>
                <w:sz w:val="21"/>
              </w:rPr>
            </w:pPr>
            <w:r>
              <w:rPr>
                <w:b/>
                <w:sz w:val="21"/>
              </w:rPr>
              <w:t>达标情况</w:t>
            </w:r>
          </w:p>
        </w:tc>
      </w:tr>
      <w:tr>
        <w:trPr>
          <w:trHeight w:val="290" w:hRule="atLeast"/>
        </w:trPr>
        <w:tc>
          <w:tcPr>
            <w:tcW w:w="2895" w:type="dxa"/>
            <w:vMerge/>
            <w:tcBorders>
              <w:top w:val="nil"/>
            </w:tcBorders>
          </w:tcPr>
          <w:p>
            <w:pPr>
              <w:rPr>
                <w:sz w:val="2"/>
                <w:szCs w:val="2"/>
              </w:rPr>
            </w:pPr>
          </w:p>
        </w:tc>
        <w:tc>
          <w:tcPr>
            <w:tcW w:w="1303" w:type="dxa"/>
          </w:tcPr>
          <w:p>
            <w:pPr>
              <w:pStyle w:val="TableParagraph"/>
              <w:spacing w:before="27"/>
              <w:ind w:right="337"/>
              <w:jc w:val="right"/>
              <w:rPr>
                <w:rFonts w:ascii="Times New Roman"/>
                <w:b/>
                <w:sz w:val="21"/>
              </w:rPr>
            </w:pPr>
            <w:r>
              <w:rPr>
                <w:rFonts w:ascii="Times New Roman"/>
                <w:b/>
                <w:sz w:val="21"/>
              </w:rPr>
              <w:t>0-0.5m</w:t>
            </w:r>
          </w:p>
        </w:tc>
        <w:tc>
          <w:tcPr>
            <w:tcW w:w="1303" w:type="dxa"/>
          </w:tcPr>
          <w:p>
            <w:pPr>
              <w:pStyle w:val="TableParagraph"/>
              <w:spacing w:before="27"/>
              <w:ind w:left="247" w:right="241"/>
              <w:rPr>
                <w:rFonts w:ascii="Times New Roman"/>
                <w:b/>
                <w:sz w:val="21"/>
              </w:rPr>
            </w:pPr>
            <w:r>
              <w:rPr>
                <w:rFonts w:ascii="Times New Roman"/>
                <w:b/>
                <w:sz w:val="21"/>
              </w:rPr>
              <w:t>0.6-1.2m</w:t>
            </w:r>
          </w:p>
        </w:tc>
        <w:tc>
          <w:tcPr>
            <w:tcW w:w="1135" w:type="dxa"/>
          </w:tcPr>
          <w:p>
            <w:pPr>
              <w:pStyle w:val="TableParagraph"/>
              <w:spacing w:before="27"/>
              <w:ind w:left="22" w:right="15"/>
              <w:rPr>
                <w:rFonts w:ascii="Times New Roman"/>
                <w:b/>
                <w:sz w:val="21"/>
              </w:rPr>
            </w:pPr>
            <w:r>
              <w:rPr>
                <w:rFonts w:ascii="Times New Roman"/>
                <w:b/>
                <w:sz w:val="21"/>
              </w:rPr>
              <w:t>2.0-4.5m</w:t>
            </w:r>
          </w:p>
        </w:tc>
        <w:tc>
          <w:tcPr>
            <w:tcW w:w="1546" w:type="dxa"/>
            <w:vMerge/>
            <w:tcBorders>
              <w:top w:val="nil"/>
            </w:tcBorders>
          </w:tcPr>
          <w:p>
            <w:pPr>
              <w:rPr>
                <w:sz w:val="2"/>
                <w:szCs w:val="2"/>
              </w:rPr>
            </w:pPr>
          </w:p>
        </w:tc>
        <w:tc>
          <w:tcPr>
            <w:tcW w:w="1164" w:type="dxa"/>
            <w:vMerge/>
            <w:tcBorders>
              <w:top w:val="nil"/>
            </w:tcBorders>
          </w:tcPr>
          <w:p>
            <w:pPr>
              <w:rPr>
                <w:sz w:val="2"/>
                <w:szCs w:val="2"/>
              </w:rPr>
            </w:pPr>
          </w:p>
        </w:tc>
      </w:tr>
      <w:tr>
        <w:trPr>
          <w:trHeight w:val="282" w:hRule="atLeast"/>
        </w:trPr>
        <w:tc>
          <w:tcPr>
            <w:tcW w:w="2895" w:type="dxa"/>
          </w:tcPr>
          <w:p>
            <w:pPr>
              <w:pStyle w:val="TableParagraph"/>
              <w:spacing w:line="257" w:lineRule="exact" w:before="6"/>
              <w:ind w:left="545" w:right="541"/>
              <w:rPr>
                <w:rFonts w:ascii="Times New Roman" w:eastAsia="Times New Roman"/>
                <w:sz w:val="21"/>
              </w:rPr>
            </w:pPr>
            <w:r>
              <w:rPr>
                <w:sz w:val="21"/>
              </w:rPr>
              <w:t>铅 </w:t>
            </w:r>
            <w:r>
              <w:rPr>
                <w:rFonts w:ascii="Times New Roman" w:eastAsia="Times New Roman"/>
                <w:sz w:val="21"/>
              </w:rPr>
              <w:t>mg/kg</w:t>
            </w:r>
          </w:p>
        </w:tc>
        <w:tc>
          <w:tcPr>
            <w:tcW w:w="1303" w:type="dxa"/>
          </w:tcPr>
          <w:p>
            <w:pPr>
              <w:pStyle w:val="TableParagraph"/>
              <w:spacing w:before="20"/>
              <w:ind w:left="243" w:right="241"/>
              <w:rPr>
                <w:rFonts w:ascii="Times New Roman"/>
                <w:sz w:val="21"/>
              </w:rPr>
            </w:pPr>
            <w:r>
              <w:rPr>
                <w:rFonts w:ascii="Times New Roman"/>
                <w:sz w:val="21"/>
              </w:rPr>
              <w:t>26</w:t>
            </w:r>
          </w:p>
        </w:tc>
        <w:tc>
          <w:tcPr>
            <w:tcW w:w="1303" w:type="dxa"/>
          </w:tcPr>
          <w:p>
            <w:pPr>
              <w:pStyle w:val="TableParagraph"/>
              <w:spacing w:before="20"/>
              <w:ind w:left="243" w:right="241"/>
              <w:rPr>
                <w:rFonts w:ascii="Times New Roman"/>
                <w:sz w:val="21"/>
              </w:rPr>
            </w:pPr>
            <w:r>
              <w:rPr>
                <w:rFonts w:ascii="Times New Roman"/>
                <w:sz w:val="21"/>
              </w:rPr>
              <w:t>13</w:t>
            </w:r>
          </w:p>
        </w:tc>
        <w:tc>
          <w:tcPr>
            <w:tcW w:w="1135" w:type="dxa"/>
          </w:tcPr>
          <w:p>
            <w:pPr>
              <w:pStyle w:val="TableParagraph"/>
              <w:spacing w:before="20"/>
              <w:ind w:left="19" w:right="15"/>
              <w:rPr>
                <w:rFonts w:ascii="Times New Roman"/>
                <w:sz w:val="21"/>
              </w:rPr>
            </w:pPr>
            <w:r>
              <w:rPr>
                <w:rFonts w:ascii="Times New Roman"/>
                <w:sz w:val="21"/>
              </w:rPr>
              <w:t>29</w:t>
            </w:r>
          </w:p>
        </w:tc>
        <w:tc>
          <w:tcPr>
            <w:tcW w:w="1546" w:type="dxa"/>
          </w:tcPr>
          <w:p>
            <w:pPr>
              <w:pStyle w:val="TableParagraph"/>
              <w:spacing w:before="20"/>
              <w:ind w:left="385" w:right="379"/>
              <w:rPr>
                <w:rFonts w:ascii="Times New Roman"/>
                <w:sz w:val="21"/>
              </w:rPr>
            </w:pPr>
            <w:r>
              <w:rPr>
                <w:rFonts w:ascii="Times New Roman"/>
                <w:sz w:val="21"/>
              </w:rPr>
              <w:t>800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7" w:lineRule="exact" w:before="6"/>
              <w:ind w:left="811"/>
              <w:jc w:val="left"/>
              <w:rPr>
                <w:rFonts w:ascii="Times New Roman" w:eastAsia="Times New Roman"/>
                <w:sz w:val="21"/>
              </w:rPr>
            </w:pPr>
            <w:r>
              <w:rPr>
                <w:sz w:val="21"/>
              </w:rPr>
              <w:t>六价铬 </w:t>
            </w:r>
            <w:r>
              <w:rPr>
                <w:rFonts w:ascii="Times New Roman" w:eastAsia="Times New Roman"/>
                <w:sz w:val="21"/>
              </w:rPr>
              <w:t>mg/kg</w:t>
            </w:r>
          </w:p>
        </w:tc>
        <w:tc>
          <w:tcPr>
            <w:tcW w:w="1303" w:type="dxa"/>
          </w:tcPr>
          <w:p>
            <w:pPr>
              <w:pStyle w:val="TableParagraph"/>
              <w:spacing w:line="257" w:lineRule="exact" w:before="6"/>
              <w:ind w:right="405"/>
              <w:jc w:val="right"/>
              <w:rPr>
                <w:rFonts w:ascii="Times New Roman" w:eastAsia="Times New Roman"/>
                <w:sz w:val="21"/>
              </w:rPr>
            </w:pPr>
            <w:r>
              <w:rPr>
                <w:sz w:val="21"/>
              </w:rPr>
              <w:t>＜</w:t>
            </w:r>
            <w:r>
              <w:rPr>
                <w:rFonts w:ascii="Times New Roman" w:eastAsia="Times New Roman"/>
                <w:sz w:val="21"/>
              </w:rPr>
              <w:t>0.5</w:t>
            </w:r>
          </w:p>
        </w:tc>
        <w:tc>
          <w:tcPr>
            <w:tcW w:w="1303" w:type="dxa"/>
          </w:tcPr>
          <w:p>
            <w:pPr>
              <w:pStyle w:val="TableParagraph"/>
              <w:spacing w:line="257" w:lineRule="exact" w:before="6"/>
              <w:ind w:left="247" w:right="240"/>
              <w:rPr>
                <w:rFonts w:ascii="Times New Roman" w:eastAsia="Times New Roman"/>
                <w:sz w:val="21"/>
              </w:rPr>
            </w:pPr>
            <w:r>
              <w:rPr>
                <w:sz w:val="21"/>
              </w:rPr>
              <w:t>＜</w:t>
            </w:r>
            <w:r>
              <w:rPr>
                <w:rFonts w:ascii="Times New Roman" w:eastAsia="Times New Roman"/>
                <w:sz w:val="21"/>
              </w:rPr>
              <w:t>0.5</w:t>
            </w:r>
          </w:p>
        </w:tc>
        <w:tc>
          <w:tcPr>
            <w:tcW w:w="1135" w:type="dxa"/>
          </w:tcPr>
          <w:p>
            <w:pPr>
              <w:pStyle w:val="TableParagraph"/>
              <w:spacing w:line="257" w:lineRule="exact" w:before="6"/>
              <w:ind w:left="23" w:right="15"/>
              <w:rPr>
                <w:rFonts w:ascii="Times New Roman" w:eastAsia="Times New Roman"/>
                <w:sz w:val="21"/>
              </w:rPr>
            </w:pPr>
            <w:r>
              <w:rPr>
                <w:sz w:val="21"/>
              </w:rPr>
              <w:t>＜</w:t>
            </w:r>
            <w:r>
              <w:rPr>
                <w:rFonts w:ascii="Times New Roman" w:eastAsia="Times New Roman"/>
                <w:sz w:val="21"/>
              </w:rPr>
              <w:t>0.5</w:t>
            </w:r>
          </w:p>
        </w:tc>
        <w:tc>
          <w:tcPr>
            <w:tcW w:w="1546" w:type="dxa"/>
          </w:tcPr>
          <w:p>
            <w:pPr>
              <w:pStyle w:val="TableParagraph"/>
              <w:spacing w:line="241" w:lineRule="exact" w:before="22"/>
              <w:ind w:left="385" w:right="379"/>
              <w:rPr>
                <w:rFonts w:ascii="Times New Roman"/>
                <w:sz w:val="21"/>
              </w:rPr>
            </w:pPr>
            <w:r>
              <w:rPr>
                <w:rFonts w:ascii="Times New Roman"/>
                <w:sz w:val="21"/>
              </w:rPr>
              <w:t>5.7</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砷 </w:t>
            </w:r>
            <w:r>
              <w:rPr>
                <w:rFonts w:ascii="Times New Roman" w:eastAsia="Times New Roman"/>
                <w:sz w:val="21"/>
              </w:rPr>
              <w:t>mg/kg</w:t>
            </w:r>
          </w:p>
        </w:tc>
        <w:tc>
          <w:tcPr>
            <w:tcW w:w="1303" w:type="dxa"/>
          </w:tcPr>
          <w:p>
            <w:pPr>
              <w:pStyle w:val="TableParagraph"/>
              <w:spacing w:before="22"/>
              <w:ind w:left="247" w:right="240"/>
              <w:rPr>
                <w:rFonts w:ascii="Times New Roman"/>
                <w:sz w:val="21"/>
              </w:rPr>
            </w:pPr>
            <w:r>
              <w:rPr>
                <w:rFonts w:ascii="Times New Roman"/>
                <w:sz w:val="21"/>
              </w:rPr>
              <w:t>14.9</w:t>
            </w:r>
          </w:p>
        </w:tc>
        <w:tc>
          <w:tcPr>
            <w:tcW w:w="1303" w:type="dxa"/>
          </w:tcPr>
          <w:p>
            <w:pPr>
              <w:pStyle w:val="TableParagraph"/>
              <w:spacing w:before="22"/>
              <w:ind w:left="246" w:right="241"/>
              <w:rPr>
                <w:rFonts w:ascii="Times New Roman"/>
                <w:sz w:val="21"/>
              </w:rPr>
            </w:pPr>
            <w:r>
              <w:rPr>
                <w:rFonts w:ascii="Times New Roman"/>
                <w:sz w:val="21"/>
              </w:rPr>
              <w:t>11.4</w:t>
            </w:r>
          </w:p>
        </w:tc>
        <w:tc>
          <w:tcPr>
            <w:tcW w:w="1135" w:type="dxa"/>
          </w:tcPr>
          <w:p>
            <w:pPr>
              <w:pStyle w:val="TableParagraph"/>
              <w:spacing w:before="22"/>
              <w:ind w:left="23" w:right="15"/>
              <w:rPr>
                <w:rFonts w:ascii="Times New Roman"/>
                <w:sz w:val="21"/>
              </w:rPr>
            </w:pPr>
            <w:r>
              <w:rPr>
                <w:rFonts w:ascii="Times New Roman"/>
                <w:sz w:val="21"/>
              </w:rPr>
              <w:t>13.3</w:t>
            </w:r>
          </w:p>
        </w:tc>
        <w:tc>
          <w:tcPr>
            <w:tcW w:w="1546" w:type="dxa"/>
          </w:tcPr>
          <w:p>
            <w:pPr>
              <w:pStyle w:val="TableParagraph"/>
              <w:spacing w:before="22"/>
              <w:ind w:left="385" w:right="379"/>
              <w:rPr>
                <w:rFonts w:ascii="Times New Roman"/>
                <w:sz w:val="21"/>
              </w:rPr>
            </w:pPr>
            <w:r>
              <w:rPr>
                <w:rFonts w:ascii="Times New Roman"/>
                <w:sz w:val="21"/>
              </w:rPr>
              <w:t>60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45" w:right="541"/>
              <w:rPr>
                <w:rFonts w:ascii="Times New Roman" w:eastAsia="Times New Roman"/>
                <w:sz w:val="21"/>
              </w:rPr>
            </w:pPr>
            <w:r>
              <w:rPr>
                <w:sz w:val="21"/>
              </w:rPr>
              <w:t>汞 </w:t>
            </w:r>
            <w:r>
              <w:rPr>
                <w:rFonts w:ascii="Times New Roman" w:eastAsia="Times New Roman"/>
                <w:sz w:val="21"/>
              </w:rPr>
              <w:t>mg/kg</w:t>
            </w:r>
          </w:p>
        </w:tc>
        <w:tc>
          <w:tcPr>
            <w:tcW w:w="1303" w:type="dxa"/>
          </w:tcPr>
          <w:p>
            <w:pPr>
              <w:pStyle w:val="TableParagraph"/>
              <w:spacing w:before="20"/>
              <w:ind w:right="405"/>
              <w:jc w:val="right"/>
              <w:rPr>
                <w:rFonts w:ascii="Times New Roman"/>
                <w:sz w:val="21"/>
              </w:rPr>
            </w:pPr>
            <w:r>
              <w:rPr>
                <w:rFonts w:ascii="Times New Roman"/>
                <w:sz w:val="21"/>
              </w:rPr>
              <w:t>0.060</w:t>
            </w:r>
          </w:p>
        </w:tc>
        <w:tc>
          <w:tcPr>
            <w:tcW w:w="1303" w:type="dxa"/>
          </w:tcPr>
          <w:p>
            <w:pPr>
              <w:pStyle w:val="TableParagraph"/>
              <w:spacing w:before="20"/>
              <w:ind w:left="247" w:right="240"/>
              <w:rPr>
                <w:rFonts w:ascii="Times New Roman"/>
                <w:sz w:val="21"/>
              </w:rPr>
            </w:pPr>
            <w:r>
              <w:rPr>
                <w:rFonts w:ascii="Times New Roman"/>
                <w:sz w:val="21"/>
              </w:rPr>
              <w:t>0.071</w:t>
            </w:r>
          </w:p>
        </w:tc>
        <w:tc>
          <w:tcPr>
            <w:tcW w:w="1135" w:type="dxa"/>
          </w:tcPr>
          <w:p>
            <w:pPr>
              <w:pStyle w:val="TableParagraph"/>
              <w:spacing w:before="20"/>
              <w:ind w:left="23" w:right="15"/>
              <w:rPr>
                <w:rFonts w:ascii="Times New Roman"/>
                <w:sz w:val="21"/>
              </w:rPr>
            </w:pPr>
            <w:r>
              <w:rPr>
                <w:rFonts w:ascii="Times New Roman"/>
                <w:sz w:val="21"/>
              </w:rPr>
              <w:t>0.066</w:t>
            </w:r>
          </w:p>
        </w:tc>
        <w:tc>
          <w:tcPr>
            <w:tcW w:w="1546" w:type="dxa"/>
          </w:tcPr>
          <w:p>
            <w:pPr>
              <w:pStyle w:val="TableParagraph"/>
              <w:spacing w:before="20"/>
              <w:ind w:left="385" w:right="379"/>
              <w:rPr>
                <w:rFonts w:ascii="Times New Roman"/>
                <w:sz w:val="21"/>
              </w:rPr>
            </w:pPr>
            <w:r>
              <w:rPr>
                <w:rFonts w:ascii="Times New Roman"/>
                <w:sz w:val="21"/>
              </w:rPr>
              <w:t>38</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镍 </w:t>
            </w:r>
            <w:r>
              <w:rPr>
                <w:rFonts w:ascii="Times New Roman" w:eastAsia="Times New Roman"/>
                <w:sz w:val="21"/>
              </w:rPr>
              <w:t>mg/kg</w:t>
            </w:r>
          </w:p>
        </w:tc>
        <w:tc>
          <w:tcPr>
            <w:tcW w:w="1303" w:type="dxa"/>
          </w:tcPr>
          <w:p>
            <w:pPr>
              <w:pStyle w:val="TableParagraph"/>
              <w:spacing w:before="22"/>
              <w:ind w:left="243" w:right="241"/>
              <w:rPr>
                <w:rFonts w:ascii="Times New Roman"/>
                <w:sz w:val="21"/>
              </w:rPr>
            </w:pPr>
            <w:r>
              <w:rPr>
                <w:rFonts w:ascii="Times New Roman"/>
                <w:sz w:val="21"/>
              </w:rPr>
              <w:t>36</w:t>
            </w:r>
          </w:p>
        </w:tc>
        <w:tc>
          <w:tcPr>
            <w:tcW w:w="1303" w:type="dxa"/>
          </w:tcPr>
          <w:p>
            <w:pPr>
              <w:pStyle w:val="TableParagraph"/>
              <w:spacing w:before="22"/>
              <w:ind w:left="243" w:right="241"/>
              <w:rPr>
                <w:rFonts w:ascii="Times New Roman"/>
                <w:sz w:val="21"/>
              </w:rPr>
            </w:pPr>
            <w:r>
              <w:rPr>
                <w:rFonts w:ascii="Times New Roman"/>
                <w:sz w:val="21"/>
              </w:rPr>
              <w:t>19</w:t>
            </w:r>
          </w:p>
        </w:tc>
        <w:tc>
          <w:tcPr>
            <w:tcW w:w="1135" w:type="dxa"/>
          </w:tcPr>
          <w:p>
            <w:pPr>
              <w:pStyle w:val="TableParagraph"/>
              <w:spacing w:before="22"/>
              <w:ind w:left="19" w:right="15"/>
              <w:rPr>
                <w:rFonts w:ascii="Times New Roman"/>
                <w:sz w:val="21"/>
              </w:rPr>
            </w:pPr>
            <w:r>
              <w:rPr>
                <w:rFonts w:ascii="Times New Roman"/>
                <w:sz w:val="21"/>
              </w:rPr>
              <w:t>26</w:t>
            </w:r>
          </w:p>
        </w:tc>
        <w:tc>
          <w:tcPr>
            <w:tcW w:w="1546" w:type="dxa"/>
          </w:tcPr>
          <w:p>
            <w:pPr>
              <w:pStyle w:val="TableParagraph"/>
              <w:spacing w:before="22"/>
              <w:ind w:left="385" w:right="379"/>
              <w:rPr>
                <w:rFonts w:ascii="Times New Roman"/>
                <w:sz w:val="21"/>
              </w:rPr>
            </w:pPr>
            <w:r>
              <w:rPr>
                <w:rFonts w:ascii="Times New Roman"/>
                <w:sz w:val="21"/>
              </w:rPr>
              <w:t>900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45" w:right="541"/>
              <w:rPr>
                <w:rFonts w:ascii="Times New Roman" w:eastAsia="Times New Roman"/>
                <w:sz w:val="21"/>
              </w:rPr>
            </w:pPr>
            <w:r>
              <w:rPr>
                <w:sz w:val="21"/>
              </w:rPr>
              <w:t>镉 </w:t>
            </w:r>
            <w:r>
              <w:rPr>
                <w:rFonts w:ascii="Times New Roman" w:eastAsia="Times New Roman"/>
                <w:sz w:val="21"/>
              </w:rPr>
              <w:t>mg/kg</w:t>
            </w:r>
          </w:p>
        </w:tc>
        <w:tc>
          <w:tcPr>
            <w:tcW w:w="1303" w:type="dxa"/>
          </w:tcPr>
          <w:p>
            <w:pPr>
              <w:pStyle w:val="TableParagraph"/>
              <w:spacing w:before="20"/>
              <w:ind w:left="247" w:right="240"/>
              <w:rPr>
                <w:rFonts w:ascii="Times New Roman"/>
                <w:sz w:val="21"/>
              </w:rPr>
            </w:pPr>
            <w:r>
              <w:rPr>
                <w:rFonts w:ascii="Times New Roman"/>
                <w:sz w:val="21"/>
              </w:rPr>
              <w:t>0.30</w:t>
            </w:r>
          </w:p>
        </w:tc>
        <w:tc>
          <w:tcPr>
            <w:tcW w:w="1303" w:type="dxa"/>
          </w:tcPr>
          <w:p>
            <w:pPr>
              <w:pStyle w:val="TableParagraph"/>
              <w:spacing w:before="20"/>
              <w:ind w:left="247" w:right="240"/>
              <w:rPr>
                <w:rFonts w:ascii="Times New Roman"/>
                <w:sz w:val="21"/>
              </w:rPr>
            </w:pPr>
            <w:r>
              <w:rPr>
                <w:rFonts w:ascii="Times New Roman"/>
                <w:sz w:val="21"/>
              </w:rPr>
              <w:t>0.16</w:t>
            </w:r>
          </w:p>
        </w:tc>
        <w:tc>
          <w:tcPr>
            <w:tcW w:w="1135" w:type="dxa"/>
          </w:tcPr>
          <w:p>
            <w:pPr>
              <w:pStyle w:val="TableParagraph"/>
              <w:spacing w:before="20"/>
              <w:ind w:left="23" w:right="15"/>
              <w:rPr>
                <w:rFonts w:ascii="Times New Roman"/>
                <w:sz w:val="21"/>
              </w:rPr>
            </w:pPr>
            <w:r>
              <w:rPr>
                <w:rFonts w:ascii="Times New Roman"/>
                <w:sz w:val="21"/>
              </w:rPr>
              <w:t>0.39</w:t>
            </w:r>
          </w:p>
        </w:tc>
        <w:tc>
          <w:tcPr>
            <w:tcW w:w="1546" w:type="dxa"/>
          </w:tcPr>
          <w:p>
            <w:pPr>
              <w:pStyle w:val="TableParagraph"/>
              <w:spacing w:before="20"/>
              <w:ind w:left="385" w:right="379"/>
              <w:rPr>
                <w:rFonts w:ascii="Times New Roman"/>
                <w:sz w:val="21"/>
              </w:rPr>
            </w:pPr>
            <w:r>
              <w:rPr>
                <w:rFonts w:ascii="Times New Roman"/>
                <w:sz w:val="21"/>
              </w:rPr>
              <w:t>65</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731"/>
              <w:jc w:val="left"/>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303" w:type="dxa"/>
          </w:tcPr>
          <w:p>
            <w:pPr>
              <w:pStyle w:val="TableParagraph"/>
              <w:spacing w:line="241" w:lineRule="exact" w:before="22"/>
              <w:ind w:right="451"/>
              <w:jc w:val="right"/>
              <w:rPr>
                <w:rFonts w:ascii="Times New Roman"/>
                <w:sz w:val="21"/>
              </w:rPr>
            </w:pPr>
            <w:r>
              <w:rPr>
                <w:rFonts w:ascii="Times New Roman"/>
                <w:sz w:val="21"/>
              </w:rPr>
              <w:t>&lt;1.3</w:t>
            </w:r>
          </w:p>
        </w:tc>
        <w:tc>
          <w:tcPr>
            <w:tcW w:w="1303" w:type="dxa"/>
          </w:tcPr>
          <w:p>
            <w:pPr>
              <w:pStyle w:val="TableParagraph"/>
              <w:spacing w:line="241" w:lineRule="exact" w:before="22"/>
              <w:ind w:left="247" w:right="240"/>
              <w:rPr>
                <w:rFonts w:ascii="Times New Roman"/>
                <w:sz w:val="21"/>
              </w:rPr>
            </w:pPr>
            <w:r>
              <w:rPr>
                <w:rFonts w:ascii="Times New Roman"/>
                <w:sz w:val="21"/>
              </w:rPr>
              <w:t>&lt;1.3</w:t>
            </w:r>
          </w:p>
        </w:tc>
        <w:tc>
          <w:tcPr>
            <w:tcW w:w="1135" w:type="dxa"/>
          </w:tcPr>
          <w:p>
            <w:pPr>
              <w:pStyle w:val="TableParagraph"/>
              <w:spacing w:line="241" w:lineRule="exact" w:before="22"/>
              <w:ind w:left="23" w:right="15"/>
              <w:rPr>
                <w:rFonts w:ascii="Times New Roman"/>
                <w:sz w:val="21"/>
              </w:rPr>
            </w:pPr>
            <w:r>
              <w:rPr>
                <w:rFonts w:ascii="Times New Roman"/>
                <w:sz w:val="21"/>
              </w:rPr>
              <w:t>&lt;1.3</w:t>
            </w:r>
          </w:p>
        </w:tc>
        <w:tc>
          <w:tcPr>
            <w:tcW w:w="1546" w:type="dxa"/>
          </w:tcPr>
          <w:p>
            <w:pPr>
              <w:pStyle w:val="TableParagraph"/>
              <w:spacing w:line="241" w:lineRule="exact" w:before="22"/>
              <w:ind w:left="385" w:right="379"/>
              <w:rPr>
                <w:rFonts w:ascii="Times New Roman"/>
                <w:sz w:val="21"/>
              </w:rPr>
            </w:pPr>
            <w:r>
              <w:rPr>
                <w:rFonts w:ascii="Times New Roman"/>
                <w:sz w:val="21"/>
              </w:rPr>
              <w:t>2800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940"/>
              <w:jc w:val="left"/>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&lt;1.1</w:t>
            </w:r>
          </w:p>
        </w:tc>
        <w:tc>
          <w:tcPr>
            <w:tcW w:w="1303" w:type="dxa"/>
          </w:tcPr>
          <w:p>
            <w:pPr>
              <w:pStyle w:val="TableParagraph"/>
              <w:spacing w:before="22"/>
              <w:ind w:left="247" w:right="240"/>
              <w:rPr>
                <w:rFonts w:ascii="Times New Roman"/>
                <w:sz w:val="21"/>
              </w:rPr>
            </w:pPr>
            <w:r>
              <w:rPr>
                <w:rFonts w:ascii="Times New Roman"/>
                <w:sz w:val="21"/>
              </w:rPr>
              <w:t>&lt;1.1</w:t>
            </w:r>
          </w:p>
        </w:tc>
        <w:tc>
          <w:tcPr>
            <w:tcW w:w="1135" w:type="dxa"/>
          </w:tcPr>
          <w:p>
            <w:pPr>
              <w:pStyle w:val="TableParagraph"/>
              <w:spacing w:before="22"/>
              <w:ind w:left="23" w:right="15"/>
              <w:rPr>
                <w:rFonts w:ascii="Times New Roman"/>
                <w:sz w:val="21"/>
              </w:rPr>
            </w:pPr>
            <w:r>
              <w:rPr>
                <w:rFonts w:ascii="Times New Roman"/>
                <w:sz w:val="21"/>
              </w:rPr>
              <w:t>&lt;1.1</w:t>
            </w:r>
          </w:p>
        </w:tc>
        <w:tc>
          <w:tcPr>
            <w:tcW w:w="1546" w:type="dxa"/>
          </w:tcPr>
          <w:p>
            <w:pPr>
              <w:pStyle w:val="TableParagraph"/>
              <w:spacing w:before="22"/>
              <w:ind w:left="385" w:right="379"/>
              <w:rPr>
                <w:rFonts w:ascii="Times New Roman"/>
                <w:sz w:val="21"/>
              </w:rPr>
            </w:pPr>
            <w:r>
              <w:rPr>
                <w:rFonts w:ascii="Times New Roman"/>
                <w:sz w:val="21"/>
              </w:rPr>
              <w:t>900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835"/>
              <w:jc w:val="left"/>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&lt;1.0</w:t>
            </w:r>
          </w:p>
        </w:tc>
        <w:tc>
          <w:tcPr>
            <w:tcW w:w="1303" w:type="dxa"/>
          </w:tcPr>
          <w:p>
            <w:pPr>
              <w:pStyle w:val="TableParagraph"/>
              <w:spacing w:before="20"/>
              <w:ind w:left="247" w:right="240"/>
              <w:rPr>
                <w:rFonts w:ascii="Times New Roman"/>
                <w:sz w:val="21"/>
              </w:rPr>
            </w:pPr>
            <w:r>
              <w:rPr>
                <w:rFonts w:ascii="Times New Roman"/>
                <w:sz w:val="21"/>
              </w:rPr>
              <w:t>&lt;1.0</w:t>
            </w:r>
          </w:p>
        </w:tc>
        <w:tc>
          <w:tcPr>
            <w:tcW w:w="1135" w:type="dxa"/>
          </w:tcPr>
          <w:p>
            <w:pPr>
              <w:pStyle w:val="TableParagraph"/>
              <w:spacing w:before="20"/>
              <w:ind w:left="23" w:right="15"/>
              <w:rPr>
                <w:rFonts w:ascii="Times New Roman"/>
                <w:sz w:val="21"/>
              </w:rPr>
            </w:pPr>
            <w:r>
              <w:rPr>
                <w:rFonts w:ascii="Times New Roman"/>
                <w:sz w:val="21"/>
              </w:rPr>
              <w:t>&lt;1.0</w:t>
            </w:r>
          </w:p>
        </w:tc>
        <w:tc>
          <w:tcPr>
            <w:tcW w:w="1546" w:type="dxa"/>
          </w:tcPr>
          <w:p>
            <w:pPr>
              <w:pStyle w:val="TableParagraph"/>
              <w:spacing w:before="20"/>
              <w:ind w:left="385" w:right="379"/>
              <w:rPr>
                <w:rFonts w:ascii="Times New Roman"/>
                <w:sz w:val="21"/>
              </w:rPr>
            </w:pPr>
            <w:r>
              <w:rPr>
                <w:rFonts w:ascii="Times New Roman"/>
                <w:sz w:val="21"/>
              </w:rPr>
              <w:t>37000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63"/>
              <w:jc w:val="left"/>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9000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63"/>
              <w:jc w:val="left"/>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&lt;1.3</w:t>
            </w:r>
          </w:p>
        </w:tc>
        <w:tc>
          <w:tcPr>
            <w:tcW w:w="1303" w:type="dxa"/>
          </w:tcPr>
          <w:p>
            <w:pPr>
              <w:pStyle w:val="TableParagraph"/>
              <w:spacing w:before="20"/>
              <w:ind w:left="247" w:right="240"/>
              <w:rPr>
                <w:rFonts w:ascii="Times New Roman"/>
                <w:sz w:val="21"/>
              </w:rPr>
            </w:pPr>
            <w:r>
              <w:rPr>
                <w:rFonts w:ascii="Times New Roman"/>
                <w:sz w:val="21"/>
              </w:rPr>
              <w:t>&lt;1.3</w:t>
            </w:r>
          </w:p>
        </w:tc>
        <w:tc>
          <w:tcPr>
            <w:tcW w:w="1135" w:type="dxa"/>
          </w:tcPr>
          <w:p>
            <w:pPr>
              <w:pStyle w:val="TableParagraph"/>
              <w:spacing w:before="20"/>
              <w:ind w:left="23" w:right="15"/>
              <w:rPr>
                <w:rFonts w:ascii="Times New Roman"/>
                <w:sz w:val="21"/>
              </w:rPr>
            </w:pPr>
            <w:r>
              <w:rPr>
                <w:rFonts w:ascii="Times New Roman"/>
                <w:sz w:val="21"/>
              </w:rPr>
              <w:t>&lt;1.3</w:t>
            </w:r>
          </w:p>
        </w:tc>
        <w:tc>
          <w:tcPr>
            <w:tcW w:w="1546" w:type="dxa"/>
          </w:tcPr>
          <w:p>
            <w:pPr>
              <w:pStyle w:val="TableParagraph"/>
              <w:spacing w:before="20"/>
              <w:ind w:left="385" w:right="379"/>
              <w:rPr>
                <w:rFonts w:ascii="Times New Roman"/>
                <w:sz w:val="21"/>
              </w:rPr>
            </w:pPr>
            <w:r>
              <w:rPr>
                <w:rFonts w:ascii="Times New Roman"/>
                <w:sz w:val="21"/>
              </w:rPr>
              <w:t>5000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63"/>
              <w:jc w:val="left"/>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&lt;1.0</w:t>
            </w:r>
          </w:p>
        </w:tc>
        <w:tc>
          <w:tcPr>
            <w:tcW w:w="1303" w:type="dxa"/>
          </w:tcPr>
          <w:p>
            <w:pPr>
              <w:pStyle w:val="TableParagraph"/>
              <w:spacing w:before="22"/>
              <w:ind w:left="247" w:right="240"/>
              <w:rPr>
                <w:rFonts w:ascii="Times New Roman"/>
                <w:sz w:val="21"/>
              </w:rPr>
            </w:pPr>
            <w:r>
              <w:rPr>
                <w:rFonts w:ascii="Times New Roman"/>
                <w:sz w:val="21"/>
              </w:rPr>
              <w:t>&lt;1.0</w:t>
            </w:r>
          </w:p>
        </w:tc>
        <w:tc>
          <w:tcPr>
            <w:tcW w:w="1135" w:type="dxa"/>
          </w:tcPr>
          <w:p>
            <w:pPr>
              <w:pStyle w:val="TableParagraph"/>
              <w:spacing w:before="22"/>
              <w:ind w:left="23" w:right="15"/>
              <w:rPr>
                <w:rFonts w:ascii="Times New Roman"/>
                <w:sz w:val="21"/>
              </w:rPr>
            </w:pPr>
            <w:r>
              <w:rPr>
                <w:rFonts w:ascii="Times New Roman"/>
                <w:sz w:val="21"/>
              </w:rPr>
              <w:t>&lt;1.0</w:t>
            </w:r>
          </w:p>
        </w:tc>
        <w:tc>
          <w:tcPr>
            <w:tcW w:w="1546" w:type="dxa"/>
          </w:tcPr>
          <w:p>
            <w:pPr>
              <w:pStyle w:val="TableParagraph"/>
              <w:spacing w:before="22"/>
              <w:ind w:left="385" w:right="379"/>
              <w:rPr>
                <w:rFonts w:ascii="Times New Roman"/>
                <w:sz w:val="21"/>
              </w:rPr>
            </w:pPr>
            <w:r>
              <w:rPr>
                <w:rFonts w:ascii="Times New Roman"/>
                <w:sz w:val="21"/>
              </w:rPr>
              <w:t>66000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424"/>
              <w:jc w:val="left"/>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&lt;1.3</w:t>
            </w:r>
          </w:p>
        </w:tc>
        <w:tc>
          <w:tcPr>
            <w:tcW w:w="1303" w:type="dxa"/>
          </w:tcPr>
          <w:p>
            <w:pPr>
              <w:pStyle w:val="TableParagraph"/>
              <w:spacing w:before="20"/>
              <w:ind w:left="247" w:right="240"/>
              <w:rPr>
                <w:rFonts w:ascii="Times New Roman"/>
                <w:sz w:val="21"/>
              </w:rPr>
            </w:pPr>
            <w:r>
              <w:rPr>
                <w:rFonts w:ascii="Times New Roman"/>
                <w:sz w:val="21"/>
              </w:rPr>
              <w:t>&lt;1.3</w:t>
            </w:r>
          </w:p>
        </w:tc>
        <w:tc>
          <w:tcPr>
            <w:tcW w:w="1135" w:type="dxa"/>
          </w:tcPr>
          <w:p>
            <w:pPr>
              <w:pStyle w:val="TableParagraph"/>
              <w:spacing w:before="20"/>
              <w:ind w:left="23" w:right="15"/>
              <w:rPr>
                <w:rFonts w:ascii="Times New Roman"/>
                <w:sz w:val="21"/>
              </w:rPr>
            </w:pPr>
            <w:r>
              <w:rPr>
                <w:rFonts w:ascii="Times New Roman"/>
                <w:sz w:val="21"/>
              </w:rPr>
              <w:t>&lt;1.3</w:t>
            </w:r>
          </w:p>
        </w:tc>
        <w:tc>
          <w:tcPr>
            <w:tcW w:w="1546" w:type="dxa"/>
          </w:tcPr>
          <w:p>
            <w:pPr>
              <w:pStyle w:val="TableParagraph"/>
              <w:spacing w:before="20"/>
              <w:ind w:left="385" w:right="379"/>
              <w:rPr>
                <w:rFonts w:ascii="Times New Roman"/>
                <w:sz w:val="21"/>
              </w:rPr>
            </w:pPr>
            <w:r>
              <w:rPr>
                <w:rFonts w:ascii="Times New Roman"/>
                <w:sz w:val="21"/>
              </w:rPr>
              <w:t>596000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7" w:lineRule="exact" w:before="6"/>
              <w:ind w:left="424"/>
              <w:jc w:val="left"/>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303" w:type="dxa"/>
          </w:tcPr>
          <w:p>
            <w:pPr>
              <w:pStyle w:val="TableParagraph"/>
              <w:spacing w:line="241" w:lineRule="exact" w:before="22"/>
              <w:ind w:right="451"/>
              <w:jc w:val="right"/>
              <w:rPr>
                <w:rFonts w:ascii="Times New Roman"/>
                <w:sz w:val="21"/>
              </w:rPr>
            </w:pPr>
            <w:r>
              <w:rPr>
                <w:rFonts w:ascii="Times New Roman"/>
                <w:sz w:val="21"/>
              </w:rPr>
              <w:t>&lt;1.4</w:t>
            </w:r>
          </w:p>
        </w:tc>
        <w:tc>
          <w:tcPr>
            <w:tcW w:w="1303" w:type="dxa"/>
          </w:tcPr>
          <w:p>
            <w:pPr>
              <w:pStyle w:val="TableParagraph"/>
              <w:spacing w:line="241" w:lineRule="exact" w:before="22"/>
              <w:ind w:left="247" w:right="240"/>
              <w:rPr>
                <w:rFonts w:ascii="Times New Roman"/>
                <w:sz w:val="21"/>
              </w:rPr>
            </w:pPr>
            <w:r>
              <w:rPr>
                <w:rFonts w:ascii="Times New Roman"/>
                <w:sz w:val="21"/>
              </w:rPr>
              <w:t>&lt;1.4</w:t>
            </w:r>
          </w:p>
        </w:tc>
        <w:tc>
          <w:tcPr>
            <w:tcW w:w="1135" w:type="dxa"/>
          </w:tcPr>
          <w:p>
            <w:pPr>
              <w:pStyle w:val="TableParagraph"/>
              <w:spacing w:line="241" w:lineRule="exact" w:before="22"/>
              <w:ind w:left="23" w:right="15"/>
              <w:rPr>
                <w:rFonts w:ascii="Times New Roman"/>
                <w:sz w:val="21"/>
              </w:rPr>
            </w:pPr>
            <w:r>
              <w:rPr>
                <w:rFonts w:ascii="Times New Roman"/>
                <w:sz w:val="21"/>
              </w:rPr>
              <w:t>&lt;1.4</w:t>
            </w:r>
          </w:p>
        </w:tc>
        <w:tc>
          <w:tcPr>
            <w:tcW w:w="1546" w:type="dxa"/>
          </w:tcPr>
          <w:p>
            <w:pPr>
              <w:pStyle w:val="TableParagraph"/>
              <w:spacing w:line="241" w:lineRule="exact" w:before="22"/>
              <w:ind w:left="385" w:right="379"/>
              <w:rPr>
                <w:rFonts w:ascii="Times New Roman"/>
                <w:sz w:val="21"/>
              </w:rPr>
            </w:pPr>
            <w:r>
              <w:rPr>
                <w:rFonts w:ascii="Times New Roman"/>
                <w:sz w:val="21"/>
              </w:rPr>
              <w:t>54000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731"/>
              <w:jc w:val="left"/>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303" w:type="dxa"/>
          </w:tcPr>
          <w:p>
            <w:pPr>
              <w:pStyle w:val="TableParagraph"/>
              <w:spacing w:before="22"/>
              <w:ind w:left="247" w:right="240"/>
              <w:rPr>
                <w:rFonts w:ascii="Times New Roman"/>
                <w:sz w:val="21"/>
              </w:rPr>
            </w:pPr>
            <w:r>
              <w:rPr>
                <w:rFonts w:ascii="Times New Roman"/>
                <w:sz w:val="21"/>
              </w:rPr>
              <w:t>2.8</w:t>
            </w:r>
          </w:p>
        </w:tc>
        <w:tc>
          <w:tcPr>
            <w:tcW w:w="1303" w:type="dxa"/>
          </w:tcPr>
          <w:p>
            <w:pPr>
              <w:pStyle w:val="TableParagraph"/>
              <w:spacing w:before="22"/>
              <w:ind w:left="247" w:right="240"/>
              <w:rPr>
                <w:rFonts w:ascii="Times New Roman"/>
                <w:sz w:val="21"/>
              </w:rPr>
            </w:pPr>
            <w:r>
              <w:rPr>
                <w:rFonts w:ascii="Times New Roman"/>
                <w:sz w:val="21"/>
              </w:rPr>
              <w:t>2.3</w:t>
            </w:r>
          </w:p>
        </w:tc>
        <w:tc>
          <w:tcPr>
            <w:tcW w:w="1135" w:type="dxa"/>
          </w:tcPr>
          <w:p>
            <w:pPr>
              <w:pStyle w:val="TableParagraph"/>
              <w:spacing w:before="22"/>
              <w:ind w:left="23" w:right="15"/>
              <w:rPr>
                <w:rFonts w:ascii="Times New Roman"/>
                <w:sz w:val="21"/>
              </w:rPr>
            </w:pPr>
            <w:r>
              <w:rPr>
                <w:rFonts w:ascii="Times New Roman"/>
                <w:sz w:val="21"/>
              </w:rPr>
              <w:t>3.7</w:t>
            </w:r>
          </w:p>
        </w:tc>
        <w:tc>
          <w:tcPr>
            <w:tcW w:w="1546" w:type="dxa"/>
          </w:tcPr>
          <w:p>
            <w:pPr>
              <w:pStyle w:val="TableParagraph"/>
              <w:spacing w:before="22"/>
              <w:ind w:left="385" w:right="379"/>
              <w:rPr>
                <w:rFonts w:ascii="Times New Roman"/>
                <w:sz w:val="21"/>
              </w:rPr>
            </w:pPr>
            <w:r>
              <w:rPr>
                <w:rFonts w:ascii="Times New Roman"/>
                <w:sz w:val="21"/>
              </w:rPr>
              <w:t>616000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563"/>
              <w:jc w:val="left"/>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&lt;1.1</w:t>
            </w:r>
          </w:p>
        </w:tc>
        <w:tc>
          <w:tcPr>
            <w:tcW w:w="1303" w:type="dxa"/>
          </w:tcPr>
          <w:p>
            <w:pPr>
              <w:pStyle w:val="TableParagraph"/>
              <w:spacing w:before="20"/>
              <w:ind w:left="247" w:right="240"/>
              <w:rPr>
                <w:rFonts w:ascii="Times New Roman"/>
                <w:sz w:val="21"/>
              </w:rPr>
            </w:pPr>
            <w:r>
              <w:rPr>
                <w:rFonts w:ascii="Times New Roman"/>
                <w:sz w:val="21"/>
              </w:rPr>
              <w:t>&lt;1.1</w:t>
            </w:r>
          </w:p>
        </w:tc>
        <w:tc>
          <w:tcPr>
            <w:tcW w:w="1135" w:type="dxa"/>
          </w:tcPr>
          <w:p>
            <w:pPr>
              <w:pStyle w:val="TableParagraph"/>
              <w:spacing w:before="20"/>
              <w:ind w:left="23" w:right="15"/>
              <w:rPr>
                <w:rFonts w:ascii="Times New Roman"/>
                <w:sz w:val="21"/>
              </w:rPr>
            </w:pPr>
            <w:r>
              <w:rPr>
                <w:rFonts w:ascii="Times New Roman"/>
                <w:sz w:val="21"/>
              </w:rPr>
              <w:t>&lt;1.1</w:t>
            </w:r>
          </w:p>
        </w:tc>
        <w:tc>
          <w:tcPr>
            <w:tcW w:w="1546" w:type="dxa"/>
          </w:tcPr>
          <w:p>
            <w:pPr>
              <w:pStyle w:val="TableParagraph"/>
              <w:spacing w:before="20"/>
              <w:ind w:left="385" w:right="379"/>
              <w:rPr>
                <w:rFonts w:ascii="Times New Roman"/>
                <w:sz w:val="21"/>
              </w:rPr>
            </w:pPr>
            <w:r>
              <w:rPr>
                <w:rFonts w:ascii="Times New Roman"/>
                <w:sz w:val="21"/>
              </w:rPr>
              <w:t>5000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407"/>
              <w:jc w:val="left"/>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10000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407"/>
              <w:jc w:val="left"/>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6800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731"/>
              <w:jc w:val="left"/>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303" w:type="dxa"/>
          </w:tcPr>
          <w:p>
            <w:pPr>
              <w:pStyle w:val="TableParagraph"/>
              <w:spacing w:line="241" w:lineRule="exact" w:before="22"/>
              <w:ind w:left="247" w:right="240"/>
              <w:rPr>
                <w:rFonts w:ascii="Times New Roman"/>
                <w:sz w:val="21"/>
              </w:rPr>
            </w:pPr>
            <w:r>
              <w:rPr>
                <w:rFonts w:ascii="Times New Roman"/>
                <w:sz w:val="21"/>
              </w:rPr>
              <w:t>2.2</w:t>
            </w:r>
          </w:p>
        </w:tc>
        <w:tc>
          <w:tcPr>
            <w:tcW w:w="1303" w:type="dxa"/>
          </w:tcPr>
          <w:p>
            <w:pPr>
              <w:pStyle w:val="TableParagraph"/>
              <w:spacing w:line="241" w:lineRule="exact" w:before="22"/>
              <w:ind w:left="247" w:right="240"/>
              <w:rPr>
                <w:rFonts w:ascii="Times New Roman"/>
                <w:sz w:val="21"/>
              </w:rPr>
            </w:pPr>
            <w:r>
              <w:rPr>
                <w:rFonts w:ascii="Times New Roman"/>
                <w:sz w:val="21"/>
              </w:rPr>
              <w:t>2.1</w:t>
            </w:r>
          </w:p>
        </w:tc>
        <w:tc>
          <w:tcPr>
            <w:tcW w:w="1135" w:type="dxa"/>
          </w:tcPr>
          <w:p>
            <w:pPr>
              <w:pStyle w:val="TableParagraph"/>
              <w:spacing w:line="241" w:lineRule="exact" w:before="22"/>
              <w:ind w:left="23" w:right="15"/>
              <w:rPr>
                <w:rFonts w:ascii="Times New Roman"/>
                <w:sz w:val="21"/>
              </w:rPr>
            </w:pPr>
            <w:r>
              <w:rPr>
                <w:rFonts w:ascii="Times New Roman"/>
                <w:sz w:val="21"/>
              </w:rPr>
              <w:t>3.9</w:t>
            </w:r>
          </w:p>
        </w:tc>
        <w:tc>
          <w:tcPr>
            <w:tcW w:w="1546" w:type="dxa"/>
          </w:tcPr>
          <w:p>
            <w:pPr>
              <w:pStyle w:val="TableParagraph"/>
              <w:spacing w:line="241" w:lineRule="exact" w:before="22"/>
              <w:ind w:left="385" w:right="379"/>
              <w:rPr>
                <w:rFonts w:ascii="Times New Roman"/>
                <w:sz w:val="21"/>
              </w:rPr>
            </w:pPr>
            <w:r>
              <w:rPr>
                <w:rFonts w:ascii="Times New Roman"/>
                <w:sz w:val="21"/>
              </w:rPr>
              <w:t>53000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487"/>
              <w:jc w:val="left"/>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&lt;1.3</w:t>
            </w:r>
          </w:p>
        </w:tc>
        <w:tc>
          <w:tcPr>
            <w:tcW w:w="1303" w:type="dxa"/>
          </w:tcPr>
          <w:p>
            <w:pPr>
              <w:pStyle w:val="TableParagraph"/>
              <w:spacing w:before="22"/>
              <w:ind w:left="247" w:right="240"/>
              <w:rPr>
                <w:rFonts w:ascii="Times New Roman"/>
                <w:sz w:val="21"/>
              </w:rPr>
            </w:pPr>
            <w:r>
              <w:rPr>
                <w:rFonts w:ascii="Times New Roman"/>
                <w:sz w:val="21"/>
              </w:rPr>
              <w:t>&lt;1.3</w:t>
            </w:r>
          </w:p>
        </w:tc>
        <w:tc>
          <w:tcPr>
            <w:tcW w:w="1135" w:type="dxa"/>
          </w:tcPr>
          <w:p>
            <w:pPr>
              <w:pStyle w:val="TableParagraph"/>
              <w:spacing w:before="22"/>
              <w:ind w:left="23" w:right="15"/>
              <w:rPr>
                <w:rFonts w:ascii="Times New Roman"/>
                <w:sz w:val="21"/>
              </w:rPr>
            </w:pPr>
            <w:r>
              <w:rPr>
                <w:rFonts w:ascii="Times New Roman"/>
                <w:sz w:val="21"/>
              </w:rPr>
              <w:t>&lt;1.3</w:t>
            </w:r>
          </w:p>
        </w:tc>
        <w:tc>
          <w:tcPr>
            <w:tcW w:w="1546" w:type="dxa"/>
          </w:tcPr>
          <w:p>
            <w:pPr>
              <w:pStyle w:val="TableParagraph"/>
              <w:spacing w:before="22"/>
              <w:ind w:left="385" w:right="379"/>
              <w:rPr>
                <w:rFonts w:ascii="Times New Roman"/>
                <w:sz w:val="21"/>
              </w:rPr>
            </w:pPr>
            <w:r>
              <w:rPr>
                <w:rFonts w:ascii="Times New Roman"/>
                <w:sz w:val="21"/>
              </w:rPr>
              <w:t>840000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487"/>
              <w:jc w:val="left"/>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2800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731"/>
              <w:jc w:val="left"/>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2800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487"/>
              <w:jc w:val="left"/>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&lt;1.2</w:t>
            </w:r>
          </w:p>
        </w:tc>
        <w:tc>
          <w:tcPr>
            <w:tcW w:w="1546" w:type="dxa"/>
          </w:tcPr>
          <w:p>
            <w:pPr>
              <w:pStyle w:val="TableParagraph"/>
              <w:spacing w:before="20"/>
              <w:ind w:left="385" w:right="379"/>
              <w:rPr>
                <w:rFonts w:ascii="Times New Roman"/>
                <w:sz w:val="21"/>
              </w:rPr>
            </w:pPr>
            <w:r>
              <w:rPr>
                <w:rFonts w:ascii="Times New Roman"/>
                <w:sz w:val="21"/>
              </w:rPr>
              <w:t>500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835"/>
              <w:jc w:val="left"/>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&lt;1.0</w:t>
            </w:r>
          </w:p>
        </w:tc>
        <w:tc>
          <w:tcPr>
            <w:tcW w:w="1303" w:type="dxa"/>
          </w:tcPr>
          <w:p>
            <w:pPr>
              <w:pStyle w:val="TableParagraph"/>
              <w:spacing w:before="22"/>
              <w:ind w:left="247" w:right="240"/>
              <w:rPr>
                <w:rFonts w:ascii="Times New Roman"/>
                <w:sz w:val="21"/>
              </w:rPr>
            </w:pPr>
            <w:r>
              <w:rPr>
                <w:rFonts w:ascii="Times New Roman"/>
                <w:sz w:val="21"/>
              </w:rPr>
              <w:t>&lt;1.0</w:t>
            </w:r>
          </w:p>
        </w:tc>
        <w:tc>
          <w:tcPr>
            <w:tcW w:w="1135" w:type="dxa"/>
          </w:tcPr>
          <w:p>
            <w:pPr>
              <w:pStyle w:val="TableParagraph"/>
              <w:spacing w:before="22"/>
              <w:ind w:left="23" w:right="15"/>
              <w:rPr>
                <w:rFonts w:ascii="Times New Roman"/>
                <w:sz w:val="21"/>
              </w:rPr>
            </w:pPr>
            <w:r>
              <w:rPr>
                <w:rFonts w:ascii="Times New Roman"/>
                <w:sz w:val="21"/>
              </w:rPr>
              <w:t>&lt;1.0</w:t>
            </w:r>
          </w:p>
        </w:tc>
        <w:tc>
          <w:tcPr>
            <w:tcW w:w="1546" w:type="dxa"/>
          </w:tcPr>
          <w:p>
            <w:pPr>
              <w:pStyle w:val="TableParagraph"/>
              <w:spacing w:before="22"/>
              <w:ind w:left="385" w:right="379"/>
              <w:rPr>
                <w:rFonts w:ascii="Times New Roman"/>
                <w:sz w:val="21"/>
              </w:rPr>
            </w:pPr>
            <w:r>
              <w:rPr>
                <w:rFonts w:ascii="Times New Roman"/>
                <w:sz w:val="21"/>
              </w:rPr>
              <w:t>430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45" w:right="539"/>
              <w:rPr>
                <w:rFonts w:ascii="Times New Roman" w:hAnsi="Times New Roman" w:eastAsia="Times New Roman"/>
                <w:sz w:val="21"/>
              </w:rPr>
            </w:pPr>
            <w:r>
              <w:rPr>
                <w:sz w:val="21"/>
              </w:rPr>
              <w:t>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&lt;1.9</w:t>
            </w:r>
          </w:p>
        </w:tc>
        <w:tc>
          <w:tcPr>
            <w:tcW w:w="1303" w:type="dxa"/>
          </w:tcPr>
          <w:p>
            <w:pPr>
              <w:pStyle w:val="TableParagraph"/>
              <w:spacing w:before="20"/>
              <w:ind w:left="247" w:right="240"/>
              <w:rPr>
                <w:rFonts w:ascii="Times New Roman"/>
                <w:sz w:val="21"/>
              </w:rPr>
            </w:pPr>
            <w:r>
              <w:rPr>
                <w:rFonts w:ascii="Times New Roman"/>
                <w:sz w:val="21"/>
              </w:rPr>
              <w:t>&lt;1.9</w:t>
            </w:r>
          </w:p>
        </w:tc>
        <w:tc>
          <w:tcPr>
            <w:tcW w:w="1135" w:type="dxa"/>
          </w:tcPr>
          <w:p>
            <w:pPr>
              <w:pStyle w:val="TableParagraph"/>
              <w:spacing w:before="20"/>
              <w:ind w:left="23" w:right="15"/>
              <w:rPr>
                <w:rFonts w:ascii="Times New Roman"/>
                <w:sz w:val="21"/>
              </w:rPr>
            </w:pPr>
            <w:r>
              <w:rPr>
                <w:rFonts w:ascii="Times New Roman"/>
                <w:sz w:val="21"/>
              </w:rPr>
              <w:t>&lt;1.9</w:t>
            </w:r>
          </w:p>
        </w:tc>
        <w:tc>
          <w:tcPr>
            <w:tcW w:w="1546" w:type="dxa"/>
          </w:tcPr>
          <w:p>
            <w:pPr>
              <w:pStyle w:val="TableParagraph"/>
              <w:spacing w:before="20"/>
              <w:ind w:left="385" w:right="379"/>
              <w:rPr>
                <w:rFonts w:ascii="Times New Roman"/>
                <w:sz w:val="21"/>
              </w:rPr>
            </w:pPr>
            <w:r>
              <w:rPr>
                <w:rFonts w:ascii="Times New Roman"/>
                <w:sz w:val="21"/>
              </w:rPr>
              <w:t>4000</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7" w:lineRule="exact" w:before="6"/>
              <w:ind w:left="940"/>
              <w:jc w:val="left"/>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303" w:type="dxa"/>
          </w:tcPr>
          <w:p>
            <w:pPr>
              <w:pStyle w:val="TableParagraph"/>
              <w:spacing w:line="241" w:lineRule="exact" w:before="22"/>
              <w:ind w:left="247" w:right="240"/>
              <w:rPr>
                <w:rFonts w:ascii="Times New Roman"/>
                <w:sz w:val="21"/>
              </w:rPr>
            </w:pPr>
            <w:r>
              <w:rPr>
                <w:rFonts w:ascii="Times New Roman"/>
                <w:sz w:val="21"/>
              </w:rPr>
              <w:t>4.3</w:t>
            </w:r>
          </w:p>
        </w:tc>
        <w:tc>
          <w:tcPr>
            <w:tcW w:w="1303" w:type="dxa"/>
          </w:tcPr>
          <w:p>
            <w:pPr>
              <w:pStyle w:val="TableParagraph"/>
              <w:spacing w:line="241" w:lineRule="exact" w:before="22"/>
              <w:ind w:left="247" w:right="240"/>
              <w:rPr>
                <w:rFonts w:ascii="Times New Roman"/>
                <w:sz w:val="21"/>
              </w:rPr>
            </w:pPr>
            <w:r>
              <w:rPr>
                <w:rFonts w:ascii="Times New Roman"/>
                <w:sz w:val="21"/>
              </w:rPr>
              <w:t>193</w:t>
            </w:r>
          </w:p>
        </w:tc>
        <w:tc>
          <w:tcPr>
            <w:tcW w:w="1135" w:type="dxa"/>
          </w:tcPr>
          <w:p>
            <w:pPr>
              <w:pStyle w:val="TableParagraph"/>
              <w:spacing w:line="241" w:lineRule="exact" w:before="22"/>
              <w:ind w:left="23" w:right="15"/>
              <w:rPr>
                <w:rFonts w:ascii="Times New Roman"/>
                <w:sz w:val="21"/>
              </w:rPr>
            </w:pPr>
            <w:r>
              <w:rPr>
                <w:rFonts w:ascii="Times New Roman"/>
                <w:sz w:val="21"/>
              </w:rPr>
              <w:t>1.5</w:t>
            </w:r>
          </w:p>
        </w:tc>
        <w:tc>
          <w:tcPr>
            <w:tcW w:w="1546" w:type="dxa"/>
          </w:tcPr>
          <w:p>
            <w:pPr>
              <w:pStyle w:val="TableParagraph"/>
              <w:spacing w:line="241" w:lineRule="exact" w:before="22"/>
              <w:ind w:left="385" w:right="379"/>
              <w:rPr>
                <w:rFonts w:ascii="Times New Roman"/>
                <w:sz w:val="21"/>
              </w:rPr>
            </w:pPr>
            <w:r>
              <w:rPr>
                <w:rFonts w:ascii="Times New Roman"/>
                <w:sz w:val="21"/>
              </w:rPr>
              <w:t>270000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669"/>
              <w:jc w:val="left"/>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&lt;1.5</w:t>
            </w:r>
          </w:p>
        </w:tc>
        <w:tc>
          <w:tcPr>
            <w:tcW w:w="1303" w:type="dxa"/>
          </w:tcPr>
          <w:p>
            <w:pPr>
              <w:pStyle w:val="TableParagraph"/>
              <w:spacing w:before="22"/>
              <w:ind w:left="247" w:right="240"/>
              <w:rPr>
                <w:rFonts w:ascii="Times New Roman"/>
                <w:sz w:val="21"/>
              </w:rPr>
            </w:pPr>
            <w:r>
              <w:rPr>
                <w:rFonts w:ascii="Times New Roman"/>
                <w:sz w:val="21"/>
              </w:rPr>
              <w:t>&lt;1.5</w:t>
            </w:r>
          </w:p>
        </w:tc>
        <w:tc>
          <w:tcPr>
            <w:tcW w:w="1135" w:type="dxa"/>
          </w:tcPr>
          <w:p>
            <w:pPr>
              <w:pStyle w:val="TableParagraph"/>
              <w:spacing w:before="22"/>
              <w:ind w:left="23" w:right="15"/>
              <w:rPr>
                <w:rFonts w:ascii="Times New Roman"/>
                <w:sz w:val="21"/>
              </w:rPr>
            </w:pPr>
            <w:r>
              <w:rPr>
                <w:rFonts w:ascii="Times New Roman"/>
                <w:sz w:val="21"/>
              </w:rPr>
              <w:t>&lt;1.5</w:t>
            </w:r>
          </w:p>
        </w:tc>
        <w:tc>
          <w:tcPr>
            <w:tcW w:w="1546" w:type="dxa"/>
          </w:tcPr>
          <w:p>
            <w:pPr>
              <w:pStyle w:val="TableParagraph"/>
              <w:spacing w:before="22"/>
              <w:ind w:left="385" w:right="379"/>
              <w:rPr>
                <w:rFonts w:ascii="Times New Roman"/>
                <w:sz w:val="21"/>
              </w:rPr>
            </w:pPr>
            <w:r>
              <w:rPr>
                <w:rFonts w:ascii="Times New Roman"/>
                <w:sz w:val="21"/>
              </w:rPr>
              <w:t>560000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669"/>
              <w:jc w:val="left"/>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&lt;1.5</w:t>
            </w:r>
          </w:p>
        </w:tc>
        <w:tc>
          <w:tcPr>
            <w:tcW w:w="1303" w:type="dxa"/>
          </w:tcPr>
          <w:p>
            <w:pPr>
              <w:pStyle w:val="TableParagraph"/>
              <w:spacing w:before="20"/>
              <w:ind w:left="247" w:right="240"/>
              <w:rPr>
                <w:rFonts w:ascii="Times New Roman"/>
                <w:sz w:val="21"/>
              </w:rPr>
            </w:pPr>
            <w:r>
              <w:rPr>
                <w:rFonts w:ascii="Times New Roman"/>
                <w:sz w:val="21"/>
              </w:rPr>
              <w:t>&lt;1.5</w:t>
            </w:r>
          </w:p>
        </w:tc>
        <w:tc>
          <w:tcPr>
            <w:tcW w:w="1135" w:type="dxa"/>
          </w:tcPr>
          <w:p>
            <w:pPr>
              <w:pStyle w:val="TableParagraph"/>
              <w:spacing w:before="20"/>
              <w:ind w:left="23" w:right="15"/>
              <w:rPr>
                <w:rFonts w:ascii="Times New Roman"/>
                <w:sz w:val="21"/>
              </w:rPr>
            </w:pPr>
            <w:r>
              <w:rPr>
                <w:rFonts w:ascii="Times New Roman"/>
                <w:sz w:val="21"/>
              </w:rPr>
              <w:t>&lt;1.5</w:t>
            </w:r>
          </w:p>
        </w:tc>
        <w:tc>
          <w:tcPr>
            <w:tcW w:w="1546" w:type="dxa"/>
          </w:tcPr>
          <w:p>
            <w:pPr>
              <w:pStyle w:val="TableParagraph"/>
              <w:spacing w:before="20"/>
              <w:ind w:left="385" w:right="379"/>
              <w:rPr>
                <w:rFonts w:ascii="Times New Roman"/>
                <w:sz w:val="21"/>
              </w:rPr>
            </w:pPr>
            <w:r>
              <w:rPr>
                <w:rFonts w:ascii="Times New Roman"/>
                <w:sz w:val="21"/>
              </w:rPr>
              <w:t>20000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940"/>
              <w:jc w:val="left"/>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28000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835"/>
              <w:jc w:val="left"/>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&lt;1.1</w:t>
            </w:r>
          </w:p>
        </w:tc>
        <w:tc>
          <w:tcPr>
            <w:tcW w:w="1303" w:type="dxa"/>
          </w:tcPr>
          <w:p>
            <w:pPr>
              <w:pStyle w:val="TableParagraph"/>
              <w:spacing w:before="20"/>
              <w:ind w:left="247" w:right="240"/>
              <w:rPr>
                <w:rFonts w:ascii="Times New Roman"/>
                <w:sz w:val="21"/>
              </w:rPr>
            </w:pPr>
            <w:r>
              <w:rPr>
                <w:rFonts w:ascii="Times New Roman"/>
                <w:sz w:val="21"/>
              </w:rPr>
              <w:t>&lt;1.1</w:t>
            </w:r>
          </w:p>
        </w:tc>
        <w:tc>
          <w:tcPr>
            <w:tcW w:w="1135" w:type="dxa"/>
          </w:tcPr>
          <w:p>
            <w:pPr>
              <w:pStyle w:val="TableParagraph"/>
              <w:spacing w:before="20"/>
              <w:ind w:left="23" w:right="15"/>
              <w:rPr>
                <w:rFonts w:ascii="Times New Roman"/>
                <w:sz w:val="21"/>
              </w:rPr>
            </w:pPr>
            <w:r>
              <w:rPr>
                <w:rFonts w:ascii="Times New Roman"/>
                <w:sz w:val="21"/>
              </w:rPr>
              <w:t>&lt;1.1</w:t>
            </w:r>
          </w:p>
        </w:tc>
        <w:tc>
          <w:tcPr>
            <w:tcW w:w="1546" w:type="dxa"/>
          </w:tcPr>
          <w:p>
            <w:pPr>
              <w:pStyle w:val="TableParagraph"/>
              <w:spacing w:before="20"/>
              <w:ind w:left="387" w:right="379"/>
              <w:rPr>
                <w:rFonts w:ascii="Times New Roman"/>
                <w:sz w:val="21"/>
              </w:rPr>
            </w:pPr>
            <w:r>
              <w:rPr>
                <w:rFonts w:ascii="Times New Roman"/>
                <w:sz w:val="21"/>
              </w:rPr>
              <w:t>1290000</w:t>
            </w:r>
          </w:p>
        </w:tc>
        <w:tc>
          <w:tcPr>
            <w:tcW w:w="1164" w:type="dxa"/>
          </w:tcPr>
          <w:p>
            <w:pPr>
              <w:pStyle w:val="TableParagraph"/>
              <w:spacing w:line="257" w:lineRule="exact" w:before="6"/>
              <w:ind w:left="141" w:right="132"/>
              <w:rPr>
                <w:sz w:val="21"/>
              </w:rPr>
            </w:pPr>
            <w:r>
              <w:rPr>
                <w:sz w:val="21"/>
              </w:rPr>
              <w:t>达标</w:t>
            </w:r>
          </w:p>
        </w:tc>
      </w:tr>
      <w:tr>
        <w:trPr>
          <w:trHeight w:val="282" w:hRule="atLeast"/>
        </w:trPr>
        <w:tc>
          <w:tcPr>
            <w:tcW w:w="2895" w:type="dxa"/>
          </w:tcPr>
          <w:p>
            <w:pPr>
              <w:pStyle w:val="TableParagraph"/>
              <w:spacing w:line="255" w:lineRule="exact" w:before="8"/>
              <w:ind w:left="940"/>
              <w:jc w:val="left"/>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303" w:type="dxa"/>
          </w:tcPr>
          <w:p>
            <w:pPr>
              <w:pStyle w:val="TableParagraph"/>
              <w:spacing w:line="241" w:lineRule="exact" w:before="22"/>
              <w:ind w:right="451"/>
              <w:jc w:val="right"/>
              <w:rPr>
                <w:rFonts w:ascii="Times New Roman"/>
                <w:sz w:val="21"/>
              </w:rPr>
            </w:pPr>
            <w:r>
              <w:rPr>
                <w:rFonts w:ascii="Times New Roman"/>
                <w:sz w:val="21"/>
              </w:rPr>
              <w:t>&lt;1.3</w:t>
            </w:r>
          </w:p>
        </w:tc>
        <w:tc>
          <w:tcPr>
            <w:tcW w:w="1303" w:type="dxa"/>
          </w:tcPr>
          <w:p>
            <w:pPr>
              <w:pStyle w:val="TableParagraph"/>
              <w:spacing w:line="241" w:lineRule="exact" w:before="22"/>
              <w:ind w:left="247" w:right="240"/>
              <w:rPr>
                <w:rFonts w:ascii="Times New Roman"/>
                <w:sz w:val="21"/>
              </w:rPr>
            </w:pPr>
            <w:r>
              <w:rPr>
                <w:rFonts w:ascii="Times New Roman"/>
                <w:sz w:val="21"/>
              </w:rPr>
              <w:t>&lt;1.3</w:t>
            </w:r>
          </w:p>
        </w:tc>
        <w:tc>
          <w:tcPr>
            <w:tcW w:w="1135" w:type="dxa"/>
          </w:tcPr>
          <w:p>
            <w:pPr>
              <w:pStyle w:val="TableParagraph"/>
              <w:spacing w:line="241" w:lineRule="exact" w:before="22"/>
              <w:ind w:left="23" w:right="15"/>
              <w:rPr>
                <w:rFonts w:ascii="Times New Roman"/>
                <w:sz w:val="21"/>
              </w:rPr>
            </w:pPr>
            <w:r>
              <w:rPr>
                <w:rFonts w:ascii="Times New Roman"/>
                <w:sz w:val="21"/>
              </w:rPr>
              <w:t>&lt;1.3</w:t>
            </w:r>
          </w:p>
        </w:tc>
        <w:tc>
          <w:tcPr>
            <w:tcW w:w="1546" w:type="dxa"/>
          </w:tcPr>
          <w:p>
            <w:pPr>
              <w:pStyle w:val="TableParagraph"/>
              <w:spacing w:line="241" w:lineRule="exact" w:before="22"/>
              <w:ind w:left="387" w:right="379"/>
              <w:rPr>
                <w:rFonts w:ascii="Times New Roman"/>
                <w:sz w:val="21"/>
              </w:rPr>
            </w:pPr>
            <w:r>
              <w:rPr>
                <w:rFonts w:ascii="Times New Roman"/>
                <w:sz w:val="21"/>
              </w:rPr>
              <w:t>1200000</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right="243"/>
              <w:jc w:val="right"/>
              <w:rPr>
                <w:rFonts w:ascii="Times New Roman" w:hAnsi="Times New Roman" w:eastAsia="Times New Roman"/>
                <w:sz w:val="21"/>
              </w:rPr>
            </w:pPr>
            <w:r>
              <w:rPr>
                <w:sz w:val="21"/>
              </w:rPr>
              <w:t>间二甲苯</w:t>
            </w:r>
            <w:r>
              <w:rPr>
                <w:rFonts w:ascii="Times New Roman" w:hAnsi="Times New Roman" w:eastAsia="Times New Roman"/>
                <w:sz w:val="21"/>
              </w:rPr>
              <w:t>+</w:t>
            </w:r>
            <w:r>
              <w:rPr>
                <w:sz w:val="21"/>
              </w:rPr>
              <w:t>对二甲苯 </w:t>
            </w:r>
            <w:r>
              <w:rPr>
                <w:rFonts w:ascii="Times New Roman" w:hAnsi="Times New Roman" w:eastAsia="Times New Roman"/>
                <w:sz w:val="21"/>
              </w:rPr>
              <w:t>μg/kg</w:t>
            </w:r>
          </w:p>
        </w:tc>
        <w:tc>
          <w:tcPr>
            <w:tcW w:w="1303" w:type="dxa"/>
          </w:tcPr>
          <w:p>
            <w:pPr>
              <w:pStyle w:val="TableParagraph"/>
              <w:spacing w:before="22"/>
              <w:ind w:right="451"/>
              <w:jc w:val="right"/>
              <w:rPr>
                <w:rFonts w:ascii="Times New Roman"/>
                <w:sz w:val="21"/>
              </w:rPr>
            </w:pPr>
            <w:r>
              <w:rPr>
                <w:rFonts w:ascii="Times New Roman"/>
                <w:sz w:val="21"/>
              </w:rPr>
              <w:t>&lt;1.2</w:t>
            </w:r>
          </w:p>
        </w:tc>
        <w:tc>
          <w:tcPr>
            <w:tcW w:w="1303" w:type="dxa"/>
          </w:tcPr>
          <w:p>
            <w:pPr>
              <w:pStyle w:val="TableParagraph"/>
              <w:spacing w:before="22"/>
              <w:ind w:left="247" w:right="240"/>
              <w:rPr>
                <w:rFonts w:ascii="Times New Roman"/>
                <w:sz w:val="21"/>
              </w:rPr>
            </w:pPr>
            <w:r>
              <w:rPr>
                <w:rFonts w:ascii="Times New Roman"/>
                <w:sz w:val="21"/>
              </w:rPr>
              <w:t>&lt;1.2</w:t>
            </w:r>
          </w:p>
        </w:tc>
        <w:tc>
          <w:tcPr>
            <w:tcW w:w="1135" w:type="dxa"/>
          </w:tcPr>
          <w:p>
            <w:pPr>
              <w:pStyle w:val="TableParagraph"/>
              <w:spacing w:before="22"/>
              <w:ind w:left="23" w:right="15"/>
              <w:rPr>
                <w:rFonts w:ascii="Times New Roman"/>
                <w:sz w:val="21"/>
              </w:rPr>
            </w:pPr>
            <w:r>
              <w:rPr>
                <w:rFonts w:ascii="Times New Roman"/>
                <w:sz w:val="21"/>
              </w:rPr>
              <w:t>&lt;1.2</w:t>
            </w:r>
          </w:p>
        </w:tc>
        <w:tc>
          <w:tcPr>
            <w:tcW w:w="1546" w:type="dxa"/>
          </w:tcPr>
          <w:p>
            <w:pPr>
              <w:pStyle w:val="TableParagraph"/>
              <w:spacing w:before="22"/>
              <w:ind w:left="385" w:right="379"/>
              <w:rPr>
                <w:rFonts w:ascii="Times New Roman"/>
                <w:sz w:val="21"/>
              </w:rPr>
            </w:pPr>
            <w:r>
              <w:rPr>
                <w:rFonts w:ascii="Times New Roman"/>
                <w:sz w:val="21"/>
              </w:rPr>
              <w:t>570000</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7" w:lineRule="exact" w:before="6"/>
              <w:ind w:left="731"/>
              <w:jc w:val="left"/>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303" w:type="dxa"/>
          </w:tcPr>
          <w:p>
            <w:pPr>
              <w:pStyle w:val="TableParagraph"/>
              <w:spacing w:before="20"/>
              <w:ind w:right="451"/>
              <w:jc w:val="right"/>
              <w:rPr>
                <w:rFonts w:ascii="Times New Roman"/>
                <w:sz w:val="21"/>
              </w:rPr>
            </w:pPr>
            <w:r>
              <w:rPr>
                <w:rFonts w:ascii="Times New Roman"/>
                <w:sz w:val="21"/>
              </w:rPr>
              <w:t>&lt;1.2</w:t>
            </w:r>
          </w:p>
        </w:tc>
        <w:tc>
          <w:tcPr>
            <w:tcW w:w="1303" w:type="dxa"/>
          </w:tcPr>
          <w:p>
            <w:pPr>
              <w:pStyle w:val="TableParagraph"/>
              <w:spacing w:before="20"/>
              <w:ind w:left="247" w:right="240"/>
              <w:rPr>
                <w:rFonts w:ascii="Times New Roman"/>
                <w:sz w:val="21"/>
              </w:rPr>
            </w:pPr>
            <w:r>
              <w:rPr>
                <w:rFonts w:ascii="Times New Roman"/>
                <w:sz w:val="21"/>
              </w:rPr>
              <w:t>&lt;1.2</w:t>
            </w:r>
          </w:p>
        </w:tc>
        <w:tc>
          <w:tcPr>
            <w:tcW w:w="1135" w:type="dxa"/>
          </w:tcPr>
          <w:p>
            <w:pPr>
              <w:pStyle w:val="TableParagraph"/>
              <w:spacing w:before="20"/>
              <w:ind w:left="23" w:right="15"/>
              <w:rPr>
                <w:rFonts w:ascii="Times New Roman"/>
                <w:sz w:val="21"/>
              </w:rPr>
            </w:pPr>
            <w:r>
              <w:rPr>
                <w:rFonts w:ascii="Times New Roman"/>
                <w:sz w:val="21"/>
              </w:rPr>
              <w:t>4.8</w:t>
            </w:r>
          </w:p>
        </w:tc>
        <w:tc>
          <w:tcPr>
            <w:tcW w:w="1546" w:type="dxa"/>
          </w:tcPr>
          <w:p>
            <w:pPr>
              <w:pStyle w:val="TableParagraph"/>
              <w:spacing w:before="20"/>
              <w:ind w:left="385" w:right="379"/>
              <w:rPr>
                <w:rFonts w:ascii="Times New Roman"/>
                <w:sz w:val="21"/>
              </w:rPr>
            </w:pPr>
            <w:r>
              <w:rPr>
                <w:rFonts w:ascii="Times New Roman"/>
                <w:sz w:val="21"/>
              </w:rPr>
              <w:t>640000</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811"/>
              <w:jc w:val="left"/>
              <w:rPr>
                <w:rFonts w:ascii="Times New Roman" w:eastAsia="Times New Roman"/>
                <w:sz w:val="21"/>
              </w:rPr>
            </w:pPr>
            <w:r>
              <w:rPr>
                <w:sz w:val="21"/>
              </w:rPr>
              <w:t>硝基苯 </w:t>
            </w:r>
            <w:r>
              <w:rPr>
                <w:rFonts w:ascii="Times New Roman" w:eastAsia="Times New Roman"/>
                <w:sz w:val="21"/>
              </w:rPr>
              <w:t>mg/kg</w:t>
            </w:r>
          </w:p>
        </w:tc>
        <w:tc>
          <w:tcPr>
            <w:tcW w:w="1303" w:type="dxa"/>
          </w:tcPr>
          <w:p>
            <w:pPr>
              <w:pStyle w:val="TableParagraph"/>
              <w:spacing w:before="22"/>
              <w:ind w:right="401"/>
              <w:jc w:val="right"/>
              <w:rPr>
                <w:rFonts w:ascii="Times New Roman"/>
                <w:sz w:val="21"/>
              </w:rPr>
            </w:pPr>
            <w:r>
              <w:rPr>
                <w:rFonts w:ascii="Times New Roman"/>
                <w:sz w:val="21"/>
              </w:rPr>
              <w:t>&lt;0.09</w:t>
            </w:r>
          </w:p>
        </w:tc>
        <w:tc>
          <w:tcPr>
            <w:tcW w:w="1303" w:type="dxa"/>
          </w:tcPr>
          <w:p>
            <w:pPr>
              <w:pStyle w:val="TableParagraph"/>
              <w:spacing w:before="22"/>
              <w:ind w:left="246" w:right="241"/>
              <w:rPr>
                <w:rFonts w:ascii="Times New Roman"/>
                <w:sz w:val="21"/>
              </w:rPr>
            </w:pPr>
            <w:r>
              <w:rPr>
                <w:rFonts w:ascii="Times New Roman"/>
                <w:sz w:val="21"/>
              </w:rPr>
              <w:t>&lt;0.09</w:t>
            </w:r>
          </w:p>
        </w:tc>
        <w:tc>
          <w:tcPr>
            <w:tcW w:w="1135" w:type="dxa"/>
          </w:tcPr>
          <w:p>
            <w:pPr>
              <w:pStyle w:val="TableParagraph"/>
              <w:spacing w:before="22"/>
              <w:ind w:left="21" w:right="15"/>
              <w:rPr>
                <w:rFonts w:ascii="Times New Roman"/>
                <w:sz w:val="21"/>
              </w:rPr>
            </w:pPr>
            <w:r>
              <w:rPr>
                <w:rFonts w:ascii="Times New Roman"/>
                <w:sz w:val="21"/>
              </w:rPr>
              <w:t>&lt;0.09</w:t>
            </w:r>
          </w:p>
        </w:tc>
        <w:tc>
          <w:tcPr>
            <w:tcW w:w="1546" w:type="dxa"/>
          </w:tcPr>
          <w:p>
            <w:pPr>
              <w:pStyle w:val="TableParagraph"/>
              <w:spacing w:before="22"/>
              <w:ind w:left="385" w:right="379"/>
              <w:rPr>
                <w:rFonts w:ascii="Times New Roman"/>
                <w:sz w:val="21"/>
              </w:rPr>
            </w:pPr>
            <w:r>
              <w:rPr>
                <w:rFonts w:ascii="Times New Roman"/>
                <w:sz w:val="21"/>
              </w:rPr>
              <w:t>76</w:t>
            </w:r>
          </w:p>
        </w:tc>
        <w:tc>
          <w:tcPr>
            <w:tcW w:w="1164" w:type="dxa"/>
          </w:tcPr>
          <w:p>
            <w:pPr>
              <w:pStyle w:val="TableParagraph"/>
              <w:spacing w:line="257" w:lineRule="exact" w:before="8"/>
              <w:ind w:left="141" w:right="132"/>
              <w:rPr>
                <w:sz w:val="21"/>
              </w:rPr>
            </w:pPr>
            <w:r>
              <w:rPr>
                <w:sz w:val="21"/>
              </w:rPr>
              <w:t>达标</w:t>
            </w:r>
          </w:p>
        </w:tc>
      </w:tr>
      <w:tr>
        <w:trPr>
          <w:trHeight w:val="283" w:hRule="atLeast"/>
        </w:trPr>
        <w:tc>
          <w:tcPr>
            <w:tcW w:w="2895" w:type="dxa"/>
          </w:tcPr>
          <w:p>
            <w:pPr>
              <w:pStyle w:val="TableParagraph"/>
              <w:spacing w:line="258" w:lineRule="exact" w:before="6"/>
              <w:ind w:left="916"/>
              <w:jc w:val="left"/>
              <w:rPr>
                <w:rFonts w:ascii="Times New Roman" w:eastAsia="Times New Roman"/>
                <w:sz w:val="21"/>
              </w:rPr>
            </w:pPr>
            <w:r>
              <w:rPr>
                <w:sz w:val="21"/>
              </w:rPr>
              <w:t>苯胺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260</w:t>
            </w:r>
          </w:p>
        </w:tc>
        <w:tc>
          <w:tcPr>
            <w:tcW w:w="1164" w:type="dxa"/>
          </w:tcPr>
          <w:p>
            <w:pPr>
              <w:pStyle w:val="TableParagraph"/>
              <w:spacing w:line="258"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722"/>
              <w:jc w:val="left"/>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303" w:type="dxa"/>
          </w:tcPr>
          <w:p>
            <w:pPr>
              <w:pStyle w:val="TableParagraph"/>
              <w:spacing w:before="22"/>
              <w:ind w:right="401"/>
              <w:jc w:val="right"/>
              <w:rPr>
                <w:rFonts w:ascii="Times New Roman"/>
                <w:sz w:val="21"/>
              </w:rPr>
            </w:pPr>
            <w:r>
              <w:rPr>
                <w:rFonts w:ascii="Times New Roman"/>
                <w:sz w:val="21"/>
              </w:rPr>
              <w:t>&lt;0.06</w:t>
            </w:r>
          </w:p>
        </w:tc>
        <w:tc>
          <w:tcPr>
            <w:tcW w:w="1303" w:type="dxa"/>
          </w:tcPr>
          <w:p>
            <w:pPr>
              <w:pStyle w:val="TableParagraph"/>
              <w:spacing w:before="22"/>
              <w:ind w:left="246" w:right="241"/>
              <w:rPr>
                <w:rFonts w:ascii="Times New Roman"/>
                <w:sz w:val="21"/>
              </w:rPr>
            </w:pPr>
            <w:r>
              <w:rPr>
                <w:rFonts w:ascii="Times New Roman"/>
                <w:sz w:val="21"/>
              </w:rPr>
              <w:t>&lt;0.06</w:t>
            </w:r>
          </w:p>
        </w:tc>
        <w:tc>
          <w:tcPr>
            <w:tcW w:w="1135" w:type="dxa"/>
          </w:tcPr>
          <w:p>
            <w:pPr>
              <w:pStyle w:val="TableParagraph"/>
              <w:spacing w:before="22"/>
              <w:ind w:left="21" w:right="15"/>
              <w:rPr>
                <w:rFonts w:ascii="Times New Roman"/>
                <w:sz w:val="21"/>
              </w:rPr>
            </w:pPr>
            <w:r>
              <w:rPr>
                <w:rFonts w:ascii="Times New Roman"/>
                <w:sz w:val="21"/>
              </w:rPr>
              <w:t>&lt;0.06</w:t>
            </w:r>
          </w:p>
        </w:tc>
        <w:tc>
          <w:tcPr>
            <w:tcW w:w="1546" w:type="dxa"/>
          </w:tcPr>
          <w:p>
            <w:pPr>
              <w:pStyle w:val="TableParagraph"/>
              <w:spacing w:before="22"/>
              <w:ind w:left="385" w:right="379"/>
              <w:rPr>
                <w:rFonts w:ascii="Times New Roman"/>
                <w:sz w:val="21"/>
              </w:rPr>
            </w:pPr>
            <w:r>
              <w:rPr>
                <w:rFonts w:ascii="Times New Roman"/>
                <w:sz w:val="21"/>
              </w:rPr>
              <w:t>2256</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693"/>
              <w:jc w:val="left"/>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7" w:lineRule="exact" w:before="6"/>
              <w:ind w:left="693"/>
              <w:jc w:val="left"/>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83"/>
              <w:jc w:val="left"/>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&lt;0.2</w:t>
            </w:r>
          </w:p>
        </w:tc>
        <w:tc>
          <w:tcPr>
            <w:tcW w:w="1303" w:type="dxa"/>
          </w:tcPr>
          <w:p>
            <w:pPr>
              <w:pStyle w:val="TableParagraph"/>
              <w:spacing w:before="22"/>
              <w:ind w:left="247" w:right="240"/>
              <w:rPr>
                <w:rFonts w:ascii="Times New Roman"/>
                <w:sz w:val="21"/>
              </w:rPr>
            </w:pPr>
            <w:r>
              <w:rPr>
                <w:rFonts w:ascii="Times New Roman"/>
                <w:sz w:val="21"/>
              </w:rPr>
              <w:t>&lt;0.2</w:t>
            </w:r>
          </w:p>
        </w:tc>
        <w:tc>
          <w:tcPr>
            <w:tcW w:w="1135" w:type="dxa"/>
          </w:tcPr>
          <w:p>
            <w:pPr>
              <w:pStyle w:val="TableParagraph"/>
              <w:spacing w:before="22"/>
              <w:ind w:left="23" w:right="15"/>
              <w:rPr>
                <w:rFonts w:ascii="Times New Roman"/>
                <w:sz w:val="21"/>
              </w:rPr>
            </w:pPr>
            <w:r>
              <w:rPr>
                <w:rFonts w:ascii="Times New Roman"/>
                <w:sz w:val="21"/>
              </w:rPr>
              <w:t>&lt;0.2</w:t>
            </w:r>
          </w:p>
        </w:tc>
        <w:tc>
          <w:tcPr>
            <w:tcW w:w="1546" w:type="dxa"/>
          </w:tcPr>
          <w:p>
            <w:pPr>
              <w:pStyle w:val="TableParagraph"/>
              <w:spacing w:before="22"/>
              <w:ind w:left="385" w:right="379"/>
              <w:rPr>
                <w:rFonts w:ascii="Times New Roman"/>
                <w:sz w:val="21"/>
              </w:rPr>
            </w:pPr>
            <w:r>
              <w:rPr>
                <w:rFonts w:ascii="Times New Roman"/>
                <w:sz w:val="21"/>
              </w:rPr>
              <w:t>15</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583"/>
              <w:jc w:val="left"/>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151</w:t>
            </w:r>
          </w:p>
        </w:tc>
        <w:tc>
          <w:tcPr>
            <w:tcW w:w="1164" w:type="dxa"/>
          </w:tcPr>
          <w:p>
            <w:pPr>
              <w:pStyle w:val="TableParagraph"/>
              <w:spacing w:line="257" w:lineRule="exact" w:before="6"/>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䓛 </w:t>
            </w:r>
            <w:r>
              <w:rPr>
                <w:rFonts w:ascii="Times New Roman" w:eastAsia="Times New Roman"/>
                <w:sz w:val="21"/>
              </w:rPr>
              <w:t>mg/kg</w:t>
            </w:r>
          </w:p>
        </w:tc>
        <w:tc>
          <w:tcPr>
            <w:tcW w:w="1303" w:type="dxa"/>
          </w:tcPr>
          <w:p>
            <w:pPr>
              <w:pStyle w:val="TableParagraph"/>
              <w:spacing w:before="22"/>
              <w:ind w:right="451"/>
              <w:jc w:val="right"/>
              <w:rPr>
                <w:rFonts w:ascii="Times New Roman"/>
                <w:sz w:val="21"/>
              </w:rPr>
            </w:pPr>
            <w:r>
              <w:rPr>
                <w:rFonts w:ascii="Times New Roman"/>
                <w:sz w:val="21"/>
              </w:rPr>
              <w:t>&lt;0.1</w:t>
            </w:r>
          </w:p>
        </w:tc>
        <w:tc>
          <w:tcPr>
            <w:tcW w:w="1303" w:type="dxa"/>
          </w:tcPr>
          <w:p>
            <w:pPr>
              <w:pStyle w:val="TableParagraph"/>
              <w:spacing w:before="22"/>
              <w:ind w:left="247" w:right="240"/>
              <w:rPr>
                <w:rFonts w:ascii="Times New Roman"/>
                <w:sz w:val="21"/>
              </w:rPr>
            </w:pPr>
            <w:r>
              <w:rPr>
                <w:rFonts w:ascii="Times New Roman"/>
                <w:sz w:val="21"/>
              </w:rPr>
              <w:t>&lt;0.1</w:t>
            </w:r>
          </w:p>
        </w:tc>
        <w:tc>
          <w:tcPr>
            <w:tcW w:w="1135" w:type="dxa"/>
          </w:tcPr>
          <w:p>
            <w:pPr>
              <w:pStyle w:val="TableParagraph"/>
              <w:spacing w:before="22"/>
              <w:ind w:left="23" w:right="15"/>
              <w:rPr>
                <w:rFonts w:ascii="Times New Roman"/>
                <w:sz w:val="21"/>
              </w:rPr>
            </w:pPr>
            <w:r>
              <w:rPr>
                <w:rFonts w:ascii="Times New Roman"/>
                <w:sz w:val="21"/>
              </w:rPr>
              <w:t>&lt;0.1</w:t>
            </w:r>
          </w:p>
        </w:tc>
        <w:tc>
          <w:tcPr>
            <w:tcW w:w="1546" w:type="dxa"/>
          </w:tcPr>
          <w:p>
            <w:pPr>
              <w:pStyle w:val="TableParagraph"/>
              <w:spacing w:before="22"/>
              <w:ind w:left="385" w:right="379"/>
              <w:rPr>
                <w:rFonts w:ascii="Times New Roman"/>
                <w:sz w:val="21"/>
              </w:rPr>
            </w:pPr>
            <w:r>
              <w:rPr>
                <w:rFonts w:ascii="Times New Roman"/>
                <w:sz w:val="21"/>
              </w:rPr>
              <w:t>1293</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7" w:lineRule="exact" w:before="6"/>
              <w:ind w:left="484"/>
              <w:jc w:val="left"/>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303" w:type="dxa"/>
          </w:tcPr>
          <w:p>
            <w:pPr>
              <w:pStyle w:val="TableParagraph"/>
              <w:spacing w:before="20"/>
              <w:ind w:right="451"/>
              <w:jc w:val="right"/>
              <w:rPr>
                <w:rFonts w:ascii="Times New Roman"/>
                <w:sz w:val="21"/>
              </w:rPr>
            </w:pPr>
            <w:r>
              <w:rPr>
                <w:rFonts w:ascii="Times New Roman"/>
                <w:sz w:val="21"/>
              </w:rPr>
              <w:t>&lt;0.1</w:t>
            </w:r>
          </w:p>
        </w:tc>
        <w:tc>
          <w:tcPr>
            <w:tcW w:w="1303" w:type="dxa"/>
          </w:tcPr>
          <w:p>
            <w:pPr>
              <w:pStyle w:val="TableParagraph"/>
              <w:spacing w:before="20"/>
              <w:ind w:left="247" w:right="240"/>
              <w:rPr>
                <w:rFonts w:ascii="Times New Roman"/>
                <w:sz w:val="21"/>
              </w:rPr>
            </w:pPr>
            <w:r>
              <w:rPr>
                <w:rFonts w:ascii="Times New Roman"/>
                <w:sz w:val="21"/>
              </w:rPr>
              <w:t>&lt;0.1</w:t>
            </w:r>
          </w:p>
        </w:tc>
        <w:tc>
          <w:tcPr>
            <w:tcW w:w="1135" w:type="dxa"/>
          </w:tcPr>
          <w:p>
            <w:pPr>
              <w:pStyle w:val="TableParagraph"/>
              <w:spacing w:before="20"/>
              <w:ind w:left="23" w:right="15"/>
              <w:rPr>
                <w:rFonts w:ascii="Times New Roman"/>
                <w:sz w:val="21"/>
              </w:rPr>
            </w:pPr>
            <w:r>
              <w:rPr>
                <w:rFonts w:ascii="Times New Roman"/>
                <w:sz w:val="21"/>
              </w:rPr>
              <w:t>&lt;0.1</w:t>
            </w:r>
          </w:p>
        </w:tc>
        <w:tc>
          <w:tcPr>
            <w:tcW w:w="1546" w:type="dxa"/>
          </w:tcPr>
          <w:p>
            <w:pPr>
              <w:pStyle w:val="TableParagraph"/>
              <w:spacing w:before="20"/>
              <w:ind w:left="385" w:right="379"/>
              <w:rPr>
                <w:rFonts w:ascii="Times New Roman"/>
                <w:sz w:val="21"/>
              </w:rPr>
            </w:pPr>
            <w:r>
              <w:rPr>
                <w:rFonts w:ascii="Times New Roman"/>
                <w:sz w:val="21"/>
              </w:rPr>
              <w:t>1.5</w:t>
            </w:r>
          </w:p>
        </w:tc>
        <w:tc>
          <w:tcPr>
            <w:tcW w:w="1164" w:type="dxa"/>
          </w:tcPr>
          <w:p>
            <w:pPr>
              <w:pStyle w:val="TableParagraph"/>
              <w:spacing w:line="257" w:lineRule="exact" w:before="6"/>
              <w:ind w:left="141" w:right="132"/>
              <w:rPr>
                <w:sz w:val="21"/>
              </w:rPr>
            </w:pPr>
            <w:r>
              <w:rPr>
                <w:sz w:val="21"/>
              </w:rPr>
              <w:t>达标</w:t>
            </w:r>
          </w:p>
        </w:tc>
      </w:tr>
      <w:tr>
        <w:trPr>
          <w:trHeight w:val="283" w:hRule="atLeast"/>
        </w:trPr>
        <w:tc>
          <w:tcPr>
            <w:tcW w:w="2895" w:type="dxa"/>
          </w:tcPr>
          <w:p>
            <w:pPr>
              <w:pStyle w:val="TableParagraph"/>
              <w:spacing w:line="255" w:lineRule="exact" w:before="8"/>
              <w:ind w:left="395"/>
              <w:jc w:val="left"/>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303" w:type="dxa"/>
          </w:tcPr>
          <w:p>
            <w:pPr>
              <w:pStyle w:val="TableParagraph"/>
              <w:spacing w:line="241" w:lineRule="exact" w:before="22"/>
              <w:ind w:right="451"/>
              <w:jc w:val="right"/>
              <w:rPr>
                <w:rFonts w:ascii="Times New Roman"/>
                <w:sz w:val="21"/>
              </w:rPr>
            </w:pPr>
            <w:r>
              <w:rPr>
                <w:rFonts w:ascii="Times New Roman"/>
                <w:sz w:val="21"/>
              </w:rPr>
              <w:t>&lt;0.1</w:t>
            </w:r>
          </w:p>
        </w:tc>
        <w:tc>
          <w:tcPr>
            <w:tcW w:w="1303" w:type="dxa"/>
          </w:tcPr>
          <w:p>
            <w:pPr>
              <w:pStyle w:val="TableParagraph"/>
              <w:spacing w:line="241" w:lineRule="exact" w:before="22"/>
              <w:ind w:left="247" w:right="240"/>
              <w:rPr>
                <w:rFonts w:ascii="Times New Roman"/>
                <w:sz w:val="21"/>
              </w:rPr>
            </w:pPr>
            <w:r>
              <w:rPr>
                <w:rFonts w:ascii="Times New Roman"/>
                <w:sz w:val="21"/>
              </w:rPr>
              <w:t>&lt;0.1</w:t>
            </w:r>
          </w:p>
        </w:tc>
        <w:tc>
          <w:tcPr>
            <w:tcW w:w="1135" w:type="dxa"/>
          </w:tcPr>
          <w:p>
            <w:pPr>
              <w:pStyle w:val="TableParagraph"/>
              <w:spacing w:line="241" w:lineRule="exact" w:before="22"/>
              <w:ind w:left="23" w:right="15"/>
              <w:rPr>
                <w:rFonts w:ascii="Times New Roman"/>
                <w:sz w:val="21"/>
              </w:rPr>
            </w:pPr>
            <w:r>
              <w:rPr>
                <w:rFonts w:ascii="Times New Roman"/>
                <w:sz w:val="21"/>
              </w:rPr>
              <w:t>&lt;0.1</w:t>
            </w:r>
          </w:p>
        </w:tc>
        <w:tc>
          <w:tcPr>
            <w:tcW w:w="1546" w:type="dxa"/>
          </w:tcPr>
          <w:p>
            <w:pPr>
              <w:pStyle w:val="TableParagraph"/>
              <w:spacing w:line="241" w:lineRule="exact" w:before="22"/>
              <w:ind w:left="385" w:right="379"/>
              <w:rPr>
                <w:rFonts w:ascii="Times New Roman"/>
                <w:sz w:val="21"/>
              </w:rPr>
            </w:pPr>
            <w:r>
              <w:rPr>
                <w:rFonts w:ascii="Times New Roman"/>
                <w:sz w:val="21"/>
              </w:rPr>
              <w:t>15</w:t>
            </w:r>
          </w:p>
        </w:tc>
        <w:tc>
          <w:tcPr>
            <w:tcW w:w="1164" w:type="dxa"/>
          </w:tcPr>
          <w:p>
            <w:pPr>
              <w:pStyle w:val="TableParagraph"/>
              <w:spacing w:line="255" w:lineRule="exact" w:before="8"/>
              <w:ind w:left="141" w:right="132"/>
              <w:rPr>
                <w:sz w:val="21"/>
              </w:rPr>
            </w:pPr>
            <w:r>
              <w:rPr>
                <w:sz w:val="21"/>
              </w:rPr>
              <w:t>达标</w:t>
            </w:r>
          </w:p>
        </w:tc>
      </w:tr>
      <w:tr>
        <w:trPr>
          <w:trHeight w:val="285" w:hRule="atLeast"/>
        </w:trPr>
        <w:tc>
          <w:tcPr>
            <w:tcW w:w="2895" w:type="dxa"/>
          </w:tcPr>
          <w:p>
            <w:pPr>
              <w:pStyle w:val="TableParagraph"/>
              <w:spacing w:line="257" w:lineRule="exact" w:before="8"/>
              <w:ind w:left="545" w:right="541"/>
              <w:rPr>
                <w:rFonts w:ascii="Times New Roman" w:eastAsia="Times New Roman"/>
                <w:sz w:val="21"/>
              </w:rPr>
            </w:pPr>
            <w:r>
              <w:rPr>
                <w:sz w:val="21"/>
              </w:rPr>
              <w:t>萘 </w:t>
            </w:r>
            <w:r>
              <w:rPr>
                <w:rFonts w:ascii="Times New Roman" w:eastAsia="Times New Roman"/>
                <w:sz w:val="21"/>
              </w:rPr>
              <w:t>mg/kg</w:t>
            </w:r>
          </w:p>
        </w:tc>
        <w:tc>
          <w:tcPr>
            <w:tcW w:w="1303" w:type="dxa"/>
          </w:tcPr>
          <w:p>
            <w:pPr>
              <w:pStyle w:val="TableParagraph"/>
              <w:spacing w:before="22"/>
              <w:ind w:right="401"/>
              <w:jc w:val="right"/>
              <w:rPr>
                <w:rFonts w:ascii="Times New Roman"/>
                <w:sz w:val="21"/>
              </w:rPr>
            </w:pPr>
            <w:r>
              <w:rPr>
                <w:rFonts w:ascii="Times New Roman"/>
                <w:sz w:val="21"/>
              </w:rPr>
              <w:t>&lt;0.09</w:t>
            </w:r>
          </w:p>
        </w:tc>
        <w:tc>
          <w:tcPr>
            <w:tcW w:w="1303" w:type="dxa"/>
          </w:tcPr>
          <w:p>
            <w:pPr>
              <w:pStyle w:val="TableParagraph"/>
              <w:spacing w:before="22"/>
              <w:ind w:left="246" w:right="241"/>
              <w:rPr>
                <w:rFonts w:ascii="Times New Roman"/>
                <w:sz w:val="21"/>
              </w:rPr>
            </w:pPr>
            <w:r>
              <w:rPr>
                <w:rFonts w:ascii="Times New Roman"/>
                <w:sz w:val="21"/>
              </w:rPr>
              <w:t>&lt;0.09</w:t>
            </w:r>
          </w:p>
        </w:tc>
        <w:tc>
          <w:tcPr>
            <w:tcW w:w="1135" w:type="dxa"/>
          </w:tcPr>
          <w:p>
            <w:pPr>
              <w:pStyle w:val="TableParagraph"/>
              <w:spacing w:before="22"/>
              <w:ind w:left="21" w:right="15"/>
              <w:rPr>
                <w:rFonts w:ascii="Times New Roman"/>
                <w:sz w:val="21"/>
              </w:rPr>
            </w:pPr>
            <w:r>
              <w:rPr>
                <w:rFonts w:ascii="Times New Roman"/>
                <w:sz w:val="21"/>
              </w:rPr>
              <w:t>&lt;0.09</w:t>
            </w:r>
          </w:p>
        </w:tc>
        <w:tc>
          <w:tcPr>
            <w:tcW w:w="1546" w:type="dxa"/>
          </w:tcPr>
          <w:p>
            <w:pPr>
              <w:pStyle w:val="TableParagraph"/>
              <w:spacing w:before="22"/>
              <w:ind w:left="385" w:right="379"/>
              <w:rPr>
                <w:rFonts w:ascii="Times New Roman"/>
                <w:sz w:val="21"/>
              </w:rPr>
            </w:pPr>
            <w:r>
              <w:rPr>
                <w:rFonts w:ascii="Times New Roman"/>
                <w:sz w:val="21"/>
              </w:rPr>
              <w:t>70</w:t>
            </w:r>
          </w:p>
        </w:tc>
        <w:tc>
          <w:tcPr>
            <w:tcW w:w="1164" w:type="dxa"/>
          </w:tcPr>
          <w:p>
            <w:pPr>
              <w:pStyle w:val="TableParagraph"/>
              <w:spacing w:line="257" w:lineRule="exact" w:before="8"/>
              <w:ind w:left="141" w:right="132"/>
              <w:rPr>
                <w:sz w:val="21"/>
              </w:rPr>
            </w:pPr>
            <w:r>
              <w:rPr>
                <w:sz w:val="21"/>
              </w:rPr>
              <w:t>达标</w:t>
            </w:r>
          </w:p>
        </w:tc>
      </w:tr>
      <w:tr>
        <w:trPr>
          <w:trHeight w:val="282" w:hRule="atLeast"/>
        </w:trPr>
        <w:tc>
          <w:tcPr>
            <w:tcW w:w="2895" w:type="dxa"/>
          </w:tcPr>
          <w:p>
            <w:pPr>
              <w:pStyle w:val="TableParagraph"/>
              <w:spacing w:line="258" w:lineRule="exact" w:before="5"/>
              <w:ind w:right="308"/>
              <w:jc w:val="right"/>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303" w:type="dxa"/>
          </w:tcPr>
          <w:p>
            <w:pPr>
              <w:pStyle w:val="TableParagraph"/>
              <w:spacing w:before="20"/>
              <w:ind w:left="247" w:right="239"/>
              <w:rPr>
                <w:rFonts w:ascii="Times New Roman"/>
                <w:sz w:val="21"/>
              </w:rPr>
            </w:pPr>
            <w:r>
              <w:rPr>
                <w:rFonts w:ascii="Times New Roman"/>
                <w:sz w:val="21"/>
              </w:rPr>
              <w:t>&lt;6</w:t>
            </w:r>
          </w:p>
        </w:tc>
        <w:tc>
          <w:tcPr>
            <w:tcW w:w="1303" w:type="dxa"/>
          </w:tcPr>
          <w:p>
            <w:pPr>
              <w:pStyle w:val="TableParagraph"/>
              <w:spacing w:before="20"/>
              <w:ind w:left="247" w:right="239"/>
              <w:rPr>
                <w:rFonts w:ascii="Times New Roman"/>
                <w:sz w:val="21"/>
              </w:rPr>
            </w:pPr>
            <w:r>
              <w:rPr>
                <w:rFonts w:ascii="Times New Roman"/>
                <w:sz w:val="21"/>
              </w:rPr>
              <w:t>&lt;6</w:t>
            </w:r>
          </w:p>
        </w:tc>
        <w:tc>
          <w:tcPr>
            <w:tcW w:w="1135" w:type="dxa"/>
          </w:tcPr>
          <w:p>
            <w:pPr>
              <w:pStyle w:val="TableParagraph"/>
              <w:spacing w:before="20"/>
              <w:ind w:left="24" w:right="15"/>
              <w:rPr>
                <w:rFonts w:ascii="Times New Roman"/>
                <w:sz w:val="21"/>
              </w:rPr>
            </w:pPr>
            <w:r>
              <w:rPr>
                <w:rFonts w:ascii="Times New Roman"/>
                <w:sz w:val="21"/>
              </w:rPr>
              <w:t>&lt;6</w:t>
            </w:r>
          </w:p>
        </w:tc>
        <w:tc>
          <w:tcPr>
            <w:tcW w:w="1546" w:type="dxa"/>
          </w:tcPr>
          <w:p>
            <w:pPr>
              <w:pStyle w:val="TableParagraph"/>
              <w:spacing w:before="20"/>
              <w:ind w:left="385" w:right="379"/>
              <w:rPr>
                <w:rFonts w:ascii="Times New Roman"/>
                <w:sz w:val="21"/>
              </w:rPr>
            </w:pPr>
            <w:r>
              <w:rPr>
                <w:rFonts w:ascii="Times New Roman"/>
                <w:sz w:val="21"/>
              </w:rPr>
              <w:t>4500</w:t>
            </w:r>
          </w:p>
        </w:tc>
        <w:tc>
          <w:tcPr>
            <w:tcW w:w="1164" w:type="dxa"/>
          </w:tcPr>
          <w:p>
            <w:pPr>
              <w:pStyle w:val="TableParagraph"/>
              <w:spacing w:line="257" w:lineRule="exact" w:before="6"/>
              <w:ind w:left="141" w:right="132"/>
              <w:rPr>
                <w:sz w:val="21"/>
              </w:rPr>
            </w:pPr>
            <w:r>
              <w:rPr>
                <w:sz w:val="21"/>
              </w:rPr>
              <w:t>达标</w:t>
            </w:r>
          </w:p>
        </w:tc>
      </w:tr>
    </w:tbl>
    <w:p>
      <w:pPr>
        <w:spacing w:after="0" w:line="257" w:lineRule="exact"/>
        <w:rPr>
          <w:sz w:val="21"/>
        </w:rPr>
        <w:sectPr>
          <w:pgSz w:w="11910" w:h="16850"/>
          <w:pgMar w:header="1004" w:footer="1088" w:top="1340" w:bottom="1280" w:left="1200" w:right="1000"/>
        </w:sectPr>
      </w:pPr>
    </w:p>
    <w:p>
      <w:pPr>
        <w:pStyle w:val="BodyText"/>
        <w:spacing w:line="364" w:lineRule="auto" w:before="83"/>
        <w:ind w:left="331" w:right="122" w:firstLine="479"/>
      </w:pPr>
      <w:r>
        <w:rPr>
          <w:spacing w:val="-12"/>
        </w:rPr>
        <w:t>由上表可知，现有厂区西区各土壤环境采样点基本项目和其他项目重金属和无机物、</w:t>
      </w:r>
      <w:r>
        <w:rPr/>
        <w:t>挥发性有机物、半挥发性有机物、石油烃类指标均能达到《土壤环境质量标准建设用地土壤污染风险管控标准》</w:t>
      </w:r>
      <w:r>
        <w:rPr>
          <w:rFonts w:ascii="Times New Roman" w:eastAsia="Times New Roman"/>
        </w:rPr>
        <w:t>(GB36600-2018)</w:t>
      </w:r>
      <w:r>
        <w:rPr/>
        <w:t>中第二类用地筛选值标准。</w:t>
      </w:r>
    </w:p>
    <w:p>
      <w:pPr>
        <w:pStyle w:val="Heading4"/>
        <w:spacing w:line="307" w:lineRule="exact"/>
        <w:ind w:left="814"/>
      </w:pPr>
      <w:r>
        <w:rPr>
          <w:rFonts w:ascii="Times New Roman" w:eastAsia="Times New Roman"/>
        </w:rPr>
        <w:t>2</w:t>
      </w:r>
      <w:r>
        <w:rPr/>
        <w:t>、企业东区土壤环境现状调查</w:t>
      </w:r>
    </w:p>
    <w:p>
      <w:pPr>
        <w:pStyle w:val="BodyText"/>
        <w:spacing w:line="364" w:lineRule="auto" w:before="158"/>
        <w:ind w:left="331" w:right="244" w:firstLine="479"/>
      </w:pPr>
      <w:r>
        <w:rPr>
          <w:spacing w:val="-1"/>
        </w:rPr>
        <w:t>本项目位于企业东区，环评期间，企业委托第三方有资质监测单位对项目拟建地周</w:t>
      </w:r>
      <w:r>
        <w:rPr/>
        <w:t>边土壤环境现状进行了实地监测。</w:t>
      </w:r>
    </w:p>
    <w:p>
      <w:pPr>
        <w:pStyle w:val="Heading4"/>
        <w:numPr>
          <w:ilvl w:val="4"/>
          <w:numId w:val="23"/>
        </w:numPr>
        <w:tabs>
          <w:tab w:pos="1095" w:val="left" w:leader="none"/>
        </w:tabs>
        <w:spacing w:line="306" w:lineRule="exact" w:before="0" w:after="0"/>
        <w:ind w:left="1094" w:right="0" w:hanging="281"/>
        <w:jc w:val="left"/>
      </w:pPr>
      <w:r>
        <w:rPr>
          <w:w w:val="95"/>
        </w:rPr>
        <w:t>监测时间及频次</w:t>
      </w:r>
    </w:p>
    <w:p>
      <w:pPr>
        <w:pStyle w:val="BodyText"/>
        <w:spacing w:before="161"/>
        <w:ind w:left="811"/>
      </w:pPr>
      <w:r>
        <w:rPr/>
        <w:t>采样时间为 </w:t>
      </w:r>
      <w:r>
        <w:rPr>
          <w:rFonts w:ascii="Times New Roman" w:eastAsia="Times New Roman"/>
        </w:rPr>
        <w:t>2022 </w:t>
      </w:r>
      <w:r>
        <w:rPr/>
        <w:t>年 </w:t>
      </w:r>
      <w:r>
        <w:rPr>
          <w:rFonts w:ascii="Times New Roman" w:eastAsia="Times New Roman"/>
        </w:rPr>
        <w:t>2 </w:t>
      </w:r>
      <w:r>
        <w:rPr/>
        <w:t>月 </w:t>
      </w:r>
      <w:r>
        <w:rPr>
          <w:rFonts w:ascii="Times New Roman" w:eastAsia="Times New Roman"/>
        </w:rPr>
        <w:t>22 </w:t>
      </w:r>
      <w:r>
        <w:rPr/>
        <w:t>日，采样 </w:t>
      </w:r>
      <w:r>
        <w:rPr>
          <w:rFonts w:ascii="Times New Roman" w:eastAsia="Times New Roman"/>
        </w:rPr>
        <w:t>1 </w:t>
      </w:r>
      <w:r>
        <w:rPr/>
        <w:t>次。</w:t>
      </w:r>
    </w:p>
    <w:p>
      <w:pPr>
        <w:pStyle w:val="Heading4"/>
        <w:numPr>
          <w:ilvl w:val="4"/>
          <w:numId w:val="23"/>
        </w:numPr>
        <w:tabs>
          <w:tab w:pos="1095" w:val="left" w:leader="none"/>
        </w:tabs>
        <w:spacing w:line="240" w:lineRule="auto" w:before="158" w:after="0"/>
        <w:ind w:left="1094" w:right="0" w:hanging="281"/>
        <w:jc w:val="left"/>
      </w:pPr>
      <w:r>
        <w:rPr/>
        <w:t>监测点位</w:t>
      </w:r>
    </w:p>
    <w:p>
      <w:pPr>
        <w:pStyle w:val="BodyText"/>
        <w:spacing w:before="8"/>
        <w:rPr>
          <w:b/>
          <w:sz w:val="23"/>
        </w:rPr>
      </w:pPr>
    </w:p>
    <w:p>
      <w:pPr>
        <w:tabs>
          <w:tab w:pos="1305" w:val="left" w:leader="none"/>
        </w:tabs>
        <w:spacing w:before="0" w:after="29"/>
        <w:ind w:left="84" w:right="0" w:firstLine="0"/>
        <w:jc w:val="center"/>
        <w:rPr>
          <w:b/>
          <w:sz w:val="24"/>
        </w:rPr>
      </w:pPr>
      <w:r>
        <w:rPr>
          <w:b/>
          <w:sz w:val="24"/>
        </w:rPr>
        <w:t>表</w:t>
      </w:r>
      <w:r>
        <w:rPr>
          <w:b/>
          <w:spacing w:val="-60"/>
          <w:sz w:val="24"/>
        </w:rPr>
        <w:t> </w:t>
      </w:r>
      <w:r>
        <w:rPr>
          <w:rFonts w:ascii="Times New Roman" w:eastAsia="Times New Roman"/>
          <w:b/>
          <w:sz w:val="24"/>
        </w:rPr>
        <w:t>6.2.4-5</w:t>
        <w:tab/>
      </w:r>
      <w:r>
        <w:rPr>
          <w:b/>
          <w:sz w:val="24"/>
        </w:rPr>
        <w:t>土壤采样点位情况表</w:t>
      </w: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8"/>
        <w:gridCol w:w="3907"/>
        <w:gridCol w:w="2937"/>
        <w:gridCol w:w="1562"/>
      </w:tblGrid>
      <w:tr>
        <w:trPr>
          <w:trHeight w:val="270" w:hRule="atLeast"/>
        </w:trPr>
        <w:tc>
          <w:tcPr>
            <w:tcW w:w="938" w:type="dxa"/>
          </w:tcPr>
          <w:p>
            <w:pPr>
              <w:pStyle w:val="TableParagraph"/>
              <w:spacing w:line="250" w:lineRule="exact" w:before="1"/>
              <w:ind w:left="236" w:right="229"/>
              <w:rPr>
                <w:b/>
                <w:sz w:val="21"/>
              </w:rPr>
            </w:pPr>
            <w:r>
              <w:rPr>
                <w:b/>
                <w:sz w:val="21"/>
              </w:rPr>
              <w:t>编号</w:t>
            </w:r>
          </w:p>
        </w:tc>
        <w:tc>
          <w:tcPr>
            <w:tcW w:w="3907" w:type="dxa"/>
          </w:tcPr>
          <w:p>
            <w:pPr>
              <w:pStyle w:val="TableParagraph"/>
              <w:spacing w:line="250" w:lineRule="exact" w:before="1"/>
              <w:ind w:left="147" w:right="137"/>
              <w:rPr>
                <w:b/>
                <w:sz w:val="21"/>
              </w:rPr>
            </w:pPr>
            <w:r>
              <w:rPr>
                <w:b/>
                <w:sz w:val="21"/>
              </w:rPr>
              <w:t>采样点位</w:t>
            </w:r>
          </w:p>
        </w:tc>
        <w:tc>
          <w:tcPr>
            <w:tcW w:w="2937" w:type="dxa"/>
          </w:tcPr>
          <w:p>
            <w:pPr>
              <w:pStyle w:val="TableParagraph"/>
              <w:spacing w:line="250" w:lineRule="exact" w:before="1"/>
              <w:ind w:left="924" w:right="911"/>
              <w:rPr>
                <w:b/>
                <w:sz w:val="21"/>
              </w:rPr>
            </w:pPr>
            <w:r>
              <w:rPr>
                <w:b/>
                <w:sz w:val="21"/>
              </w:rPr>
              <w:t>范围</w:t>
            </w:r>
          </w:p>
        </w:tc>
        <w:tc>
          <w:tcPr>
            <w:tcW w:w="1562" w:type="dxa"/>
          </w:tcPr>
          <w:p>
            <w:pPr>
              <w:pStyle w:val="TableParagraph"/>
              <w:spacing w:line="250" w:lineRule="exact" w:before="1"/>
              <w:ind w:left="341" w:right="328"/>
              <w:rPr>
                <w:b/>
                <w:sz w:val="21"/>
              </w:rPr>
            </w:pPr>
            <w:r>
              <w:rPr>
                <w:b/>
                <w:sz w:val="21"/>
              </w:rPr>
              <w:t>取样</w:t>
            </w:r>
          </w:p>
        </w:tc>
      </w:tr>
      <w:tr>
        <w:trPr>
          <w:trHeight w:val="273" w:hRule="atLeast"/>
        </w:trPr>
        <w:tc>
          <w:tcPr>
            <w:tcW w:w="938" w:type="dxa"/>
          </w:tcPr>
          <w:p>
            <w:pPr>
              <w:pStyle w:val="TableParagraph"/>
              <w:spacing w:line="236" w:lineRule="exact" w:before="17"/>
              <w:ind w:left="236" w:right="229"/>
              <w:rPr>
                <w:rFonts w:ascii="Times New Roman"/>
                <w:sz w:val="21"/>
              </w:rPr>
            </w:pPr>
            <w:r>
              <w:rPr>
                <w:rFonts w:ascii="Times New Roman"/>
                <w:sz w:val="21"/>
              </w:rPr>
              <w:t>1#</w:t>
            </w:r>
          </w:p>
        </w:tc>
        <w:tc>
          <w:tcPr>
            <w:tcW w:w="3907" w:type="dxa"/>
          </w:tcPr>
          <w:p>
            <w:pPr>
              <w:pStyle w:val="TableParagraph"/>
              <w:spacing w:line="250" w:lineRule="exact" w:before="3"/>
              <w:ind w:left="148" w:right="137"/>
              <w:rPr>
                <w:sz w:val="21"/>
              </w:rPr>
            </w:pPr>
            <w:r>
              <w:rPr>
                <w:sz w:val="21"/>
              </w:rPr>
              <w:t>拟建车间一南面</w:t>
            </w:r>
          </w:p>
        </w:tc>
        <w:tc>
          <w:tcPr>
            <w:tcW w:w="2937" w:type="dxa"/>
          </w:tcPr>
          <w:p>
            <w:pPr>
              <w:pStyle w:val="TableParagraph"/>
              <w:spacing w:line="250" w:lineRule="exact" w:before="3"/>
              <w:ind w:left="926" w:right="911"/>
              <w:rPr>
                <w:sz w:val="21"/>
              </w:rPr>
            </w:pPr>
            <w:r>
              <w:rPr>
                <w:sz w:val="21"/>
              </w:rPr>
              <w:t>占地范围内</w:t>
            </w:r>
          </w:p>
        </w:tc>
        <w:tc>
          <w:tcPr>
            <w:tcW w:w="1562" w:type="dxa"/>
          </w:tcPr>
          <w:p>
            <w:pPr>
              <w:pStyle w:val="TableParagraph"/>
              <w:spacing w:line="250" w:lineRule="exact" w:before="3"/>
              <w:ind w:left="343" w:right="328"/>
              <w:rPr>
                <w:sz w:val="21"/>
              </w:rPr>
            </w:pPr>
            <w:r>
              <w:rPr>
                <w:sz w:val="21"/>
              </w:rPr>
              <w:t>柱状样点</w:t>
            </w:r>
          </w:p>
        </w:tc>
      </w:tr>
      <w:tr>
        <w:trPr>
          <w:trHeight w:val="273" w:hRule="atLeast"/>
        </w:trPr>
        <w:tc>
          <w:tcPr>
            <w:tcW w:w="938" w:type="dxa"/>
          </w:tcPr>
          <w:p>
            <w:pPr>
              <w:pStyle w:val="TableParagraph"/>
              <w:spacing w:line="238" w:lineRule="exact" w:before="15"/>
              <w:ind w:left="236" w:right="229"/>
              <w:rPr>
                <w:rFonts w:ascii="Times New Roman"/>
                <w:sz w:val="21"/>
              </w:rPr>
            </w:pPr>
            <w:r>
              <w:rPr>
                <w:rFonts w:ascii="Times New Roman"/>
                <w:sz w:val="21"/>
              </w:rPr>
              <w:t>2#</w:t>
            </w:r>
          </w:p>
        </w:tc>
        <w:tc>
          <w:tcPr>
            <w:tcW w:w="3907" w:type="dxa"/>
          </w:tcPr>
          <w:p>
            <w:pPr>
              <w:pStyle w:val="TableParagraph"/>
              <w:spacing w:line="252" w:lineRule="exact" w:before="1"/>
              <w:ind w:left="147" w:right="137"/>
              <w:rPr>
                <w:sz w:val="21"/>
              </w:rPr>
            </w:pPr>
            <w:r>
              <w:rPr>
                <w:sz w:val="21"/>
              </w:rPr>
              <w:t>预留车间七北面</w:t>
            </w:r>
          </w:p>
        </w:tc>
        <w:tc>
          <w:tcPr>
            <w:tcW w:w="2937" w:type="dxa"/>
          </w:tcPr>
          <w:p>
            <w:pPr>
              <w:pStyle w:val="TableParagraph"/>
              <w:spacing w:line="252" w:lineRule="exact" w:before="1"/>
              <w:ind w:left="926" w:right="911"/>
              <w:rPr>
                <w:sz w:val="21"/>
              </w:rPr>
            </w:pPr>
            <w:r>
              <w:rPr>
                <w:sz w:val="21"/>
              </w:rPr>
              <w:t>占地范围内</w:t>
            </w:r>
          </w:p>
        </w:tc>
        <w:tc>
          <w:tcPr>
            <w:tcW w:w="1562" w:type="dxa"/>
          </w:tcPr>
          <w:p>
            <w:pPr>
              <w:pStyle w:val="TableParagraph"/>
              <w:spacing w:line="252" w:lineRule="exact" w:before="1"/>
              <w:ind w:left="343" w:right="328"/>
              <w:rPr>
                <w:sz w:val="21"/>
              </w:rPr>
            </w:pPr>
            <w:r>
              <w:rPr>
                <w:sz w:val="21"/>
              </w:rPr>
              <w:t>柱状样点</w:t>
            </w:r>
          </w:p>
        </w:tc>
      </w:tr>
      <w:tr>
        <w:trPr>
          <w:trHeight w:val="270" w:hRule="atLeast"/>
        </w:trPr>
        <w:tc>
          <w:tcPr>
            <w:tcW w:w="938" w:type="dxa"/>
          </w:tcPr>
          <w:p>
            <w:pPr>
              <w:pStyle w:val="TableParagraph"/>
              <w:spacing w:line="236" w:lineRule="exact" w:before="15"/>
              <w:ind w:left="236" w:right="229"/>
              <w:rPr>
                <w:rFonts w:ascii="Times New Roman"/>
                <w:sz w:val="21"/>
              </w:rPr>
            </w:pPr>
            <w:r>
              <w:rPr>
                <w:rFonts w:ascii="Times New Roman"/>
                <w:sz w:val="21"/>
              </w:rPr>
              <w:t>3#</w:t>
            </w:r>
          </w:p>
        </w:tc>
        <w:tc>
          <w:tcPr>
            <w:tcW w:w="3907" w:type="dxa"/>
          </w:tcPr>
          <w:p>
            <w:pPr>
              <w:pStyle w:val="TableParagraph"/>
              <w:spacing w:line="250" w:lineRule="exact" w:before="1"/>
              <w:ind w:left="150" w:right="137"/>
              <w:rPr>
                <w:sz w:val="21"/>
              </w:rPr>
            </w:pPr>
            <w:r>
              <w:rPr>
                <w:sz w:val="21"/>
              </w:rPr>
              <w:t>拟建废水物化处理及生化处理区域之间</w:t>
            </w:r>
          </w:p>
        </w:tc>
        <w:tc>
          <w:tcPr>
            <w:tcW w:w="2937" w:type="dxa"/>
          </w:tcPr>
          <w:p>
            <w:pPr>
              <w:pStyle w:val="TableParagraph"/>
              <w:spacing w:line="250" w:lineRule="exact" w:before="1"/>
              <w:ind w:left="926" w:right="911"/>
              <w:rPr>
                <w:sz w:val="21"/>
              </w:rPr>
            </w:pPr>
            <w:r>
              <w:rPr>
                <w:sz w:val="21"/>
              </w:rPr>
              <w:t>占地范围内</w:t>
            </w:r>
          </w:p>
        </w:tc>
        <w:tc>
          <w:tcPr>
            <w:tcW w:w="1562" w:type="dxa"/>
          </w:tcPr>
          <w:p>
            <w:pPr>
              <w:pStyle w:val="TableParagraph"/>
              <w:spacing w:line="250" w:lineRule="exact" w:before="1"/>
              <w:ind w:left="343" w:right="328"/>
              <w:rPr>
                <w:sz w:val="21"/>
              </w:rPr>
            </w:pPr>
            <w:r>
              <w:rPr>
                <w:sz w:val="21"/>
              </w:rPr>
              <w:t>柱状样点</w:t>
            </w:r>
          </w:p>
        </w:tc>
      </w:tr>
      <w:tr>
        <w:trPr>
          <w:trHeight w:val="273" w:hRule="atLeast"/>
        </w:trPr>
        <w:tc>
          <w:tcPr>
            <w:tcW w:w="938" w:type="dxa"/>
          </w:tcPr>
          <w:p>
            <w:pPr>
              <w:pStyle w:val="TableParagraph"/>
              <w:spacing w:line="236" w:lineRule="exact" w:before="17"/>
              <w:ind w:left="236" w:right="229"/>
              <w:rPr>
                <w:rFonts w:ascii="Times New Roman"/>
                <w:sz w:val="21"/>
              </w:rPr>
            </w:pPr>
            <w:r>
              <w:rPr>
                <w:rFonts w:ascii="Times New Roman"/>
                <w:sz w:val="21"/>
              </w:rPr>
              <w:t>4#</w:t>
            </w:r>
          </w:p>
        </w:tc>
        <w:tc>
          <w:tcPr>
            <w:tcW w:w="3907" w:type="dxa"/>
          </w:tcPr>
          <w:p>
            <w:pPr>
              <w:pStyle w:val="TableParagraph"/>
              <w:spacing w:line="250" w:lineRule="exact" w:before="3"/>
              <w:ind w:left="147" w:right="137"/>
              <w:rPr>
                <w:sz w:val="21"/>
              </w:rPr>
            </w:pPr>
            <w:r>
              <w:rPr>
                <w:sz w:val="21"/>
              </w:rPr>
              <w:t>拟建综合楼北面</w:t>
            </w:r>
          </w:p>
        </w:tc>
        <w:tc>
          <w:tcPr>
            <w:tcW w:w="2937" w:type="dxa"/>
          </w:tcPr>
          <w:p>
            <w:pPr>
              <w:pStyle w:val="TableParagraph"/>
              <w:spacing w:line="250" w:lineRule="exact" w:before="3"/>
              <w:ind w:left="926" w:right="911"/>
              <w:rPr>
                <w:sz w:val="21"/>
              </w:rPr>
            </w:pPr>
            <w:r>
              <w:rPr>
                <w:sz w:val="21"/>
              </w:rPr>
              <w:t>占地范围内</w:t>
            </w:r>
          </w:p>
        </w:tc>
        <w:tc>
          <w:tcPr>
            <w:tcW w:w="1562" w:type="dxa"/>
          </w:tcPr>
          <w:p>
            <w:pPr>
              <w:pStyle w:val="TableParagraph"/>
              <w:spacing w:line="250" w:lineRule="exact" w:before="3"/>
              <w:ind w:left="343" w:right="328"/>
              <w:rPr>
                <w:sz w:val="21"/>
              </w:rPr>
            </w:pPr>
            <w:r>
              <w:rPr>
                <w:sz w:val="21"/>
              </w:rPr>
              <w:t>表层样点</w:t>
            </w:r>
          </w:p>
        </w:tc>
      </w:tr>
      <w:tr>
        <w:trPr>
          <w:trHeight w:val="273" w:hRule="atLeast"/>
        </w:trPr>
        <w:tc>
          <w:tcPr>
            <w:tcW w:w="938" w:type="dxa"/>
          </w:tcPr>
          <w:p>
            <w:pPr>
              <w:pStyle w:val="TableParagraph"/>
              <w:spacing w:line="238" w:lineRule="exact" w:before="15"/>
              <w:ind w:left="236" w:right="229"/>
              <w:rPr>
                <w:rFonts w:ascii="Times New Roman"/>
                <w:sz w:val="21"/>
              </w:rPr>
            </w:pPr>
            <w:r>
              <w:rPr>
                <w:rFonts w:ascii="Times New Roman"/>
                <w:sz w:val="21"/>
              </w:rPr>
              <w:t>5#</w:t>
            </w:r>
          </w:p>
        </w:tc>
        <w:tc>
          <w:tcPr>
            <w:tcW w:w="3907" w:type="dxa"/>
          </w:tcPr>
          <w:p>
            <w:pPr>
              <w:pStyle w:val="TableParagraph"/>
              <w:spacing w:line="252" w:lineRule="exact" w:before="1"/>
              <w:ind w:left="148" w:right="137"/>
              <w:rPr>
                <w:sz w:val="21"/>
              </w:rPr>
            </w:pPr>
            <w:r>
              <w:rPr>
                <w:sz w:val="21"/>
              </w:rPr>
              <w:t>厂区西面围墙外 </w:t>
            </w:r>
            <w:r>
              <w:rPr>
                <w:rFonts w:ascii="Times New Roman" w:eastAsia="Times New Roman"/>
                <w:sz w:val="21"/>
              </w:rPr>
              <w:t>20m </w:t>
            </w:r>
            <w:r>
              <w:rPr>
                <w:sz w:val="21"/>
              </w:rPr>
              <w:t>处</w:t>
            </w:r>
          </w:p>
        </w:tc>
        <w:tc>
          <w:tcPr>
            <w:tcW w:w="2937" w:type="dxa"/>
          </w:tcPr>
          <w:p>
            <w:pPr>
              <w:pStyle w:val="TableParagraph"/>
              <w:spacing w:line="252" w:lineRule="exact" w:before="1"/>
              <w:ind w:left="926" w:right="911"/>
              <w:rPr>
                <w:sz w:val="21"/>
              </w:rPr>
            </w:pPr>
            <w:r>
              <w:rPr>
                <w:sz w:val="21"/>
              </w:rPr>
              <w:t>占地范围外</w:t>
            </w:r>
          </w:p>
        </w:tc>
        <w:tc>
          <w:tcPr>
            <w:tcW w:w="1562" w:type="dxa"/>
          </w:tcPr>
          <w:p>
            <w:pPr>
              <w:pStyle w:val="TableParagraph"/>
              <w:spacing w:line="252" w:lineRule="exact" w:before="1"/>
              <w:ind w:left="343" w:right="328"/>
              <w:rPr>
                <w:sz w:val="21"/>
              </w:rPr>
            </w:pPr>
            <w:r>
              <w:rPr>
                <w:sz w:val="21"/>
              </w:rPr>
              <w:t>表层样点</w:t>
            </w:r>
          </w:p>
        </w:tc>
      </w:tr>
      <w:tr>
        <w:trPr>
          <w:trHeight w:val="270" w:hRule="atLeast"/>
        </w:trPr>
        <w:tc>
          <w:tcPr>
            <w:tcW w:w="938" w:type="dxa"/>
          </w:tcPr>
          <w:p>
            <w:pPr>
              <w:pStyle w:val="TableParagraph"/>
              <w:spacing w:line="236" w:lineRule="exact" w:before="15"/>
              <w:ind w:left="236" w:right="229"/>
              <w:rPr>
                <w:rFonts w:ascii="Times New Roman"/>
                <w:sz w:val="21"/>
              </w:rPr>
            </w:pPr>
            <w:r>
              <w:rPr>
                <w:rFonts w:ascii="Times New Roman"/>
                <w:sz w:val="21"/>
              </w:rPr>
              <w:t>6#</w:t>
            </w:r>
          </w:p>
        </w:tc>
        <w:tc>
          <w:tcPr>
            <w:tcW w:w="3907" w:type="dxa"/>
          </w:tcPr>
          <w:p>
            <w:pPr>
              <w:pStyle w:val="TableParagraph"/>
              <w:spacing w:line="250" w:lineRule="exact" w:before="1"/>
              <w:ind w:left="148" w:right="137"/>
              <w:rPr>
                <w:sz w:val="21"/>
              </w:rPr>
            </w:pPr>
            <w:r>
              <w:rPr>
                <w:sz w:val="21"/>
              </w:rPr>
              <w:t>厂区东面围墙外 </w:t>
            </w:r>
            <w:r>
              <w:rPr>
                <w:rFonts w:ascii="Times New Roman" w:eastAsia="Times New Roman"/>
                <w:sz w:val="21"/>
              </w:rPr>
              <w:t>20m </w:t>
            </w:r>
            <w:r>
              <w:rPr>
                <w:sz w:val="21"/>
              </w:rPr>
              <w:t>处</w:t>
            </w:r>
          </w:p>
        </w:tc>
        <w:tc>
          <w:tcPr>
            <w:tcW w:w="2937" w:type="dxa"/>
          </w:tcPr>
          <w:p>
            <w:pPr>
              <w:pStyle w:val="TableParagraph"/>
              <w:spacing w:line="250" w:lineRule="exact" w:before="1"/>
              <w:ind w:left="926" w:right="911"/>
              <w:rPr>
                <w:sz w:val="21"/>
              </w:rPr>
            </w:pPr>
            <w:r>
              <w:rPr>
                <w:sz w:val="21"/>
              </w:rPr>
              <w:t>占地范围外</w:t>
            </w:r>
          </w:p>
        </w:tc>
        <w:tc>
          <w:tcPr>
            <w:tcW w:w="1562" w:type="dxa"/>
          </w:tcPr>
          <w:p>
            <w:pPr>
              <w:pStyle w:val="TableParagraph"/>
              <w:spacing w:line="250" w:lineRule="exact" w:before="1"/>
              <w:ind w:left="343" w:right="328"/>
              <w:rPr>
                <w:sz w:val="21"/>
              </w:rPr>
            </w:pPr>
            <w:r>
              <w:rPr>
                <w:sz w:val="21"/>
              </w:rPr>
              <w:t>表层样点</w:t>
            </w:r>
          </w:p>
        </w:tc>
      </w:tr>
    </w:tbl>
    <w:p>
      <w:pPr>
        <w:pStyle w:val="BodyText"/>
        <w:spacing w:before="2"/>
        <w:ind w:left="794"/>
      </w:pPr>
      <w:r>
        <w:rPr/>
        <w:t>具体监测点位见</w:t>
      </w:r>
      <w:r>
        <w:rPr>
          <w:rFonts w:ascii="Times New Roman" w:eastAsia="Times New Roman"/>
        </w:rPr>
        <w:t>Pg145 </w:t>
      </w:r>
      <w:r>
        <w:rPr/>
        <w:t>图 </w:t>
      </w:r>
      <w:r>
        <w:rPr>
          <w:rFonts w:ascii="Times New Roman" w:eastAsia="Times New Roman"/>
        </w:rPr>
        <w:t>6.2.4-2</w:t>
      </w:r>
      <w:r>
        <w:rPr/>
        <w:t>。</w:t>
      </w:r>
    </w:p>
    <w:p>
      <w:pPr>
        <w:pStyle w:val="Heading4"/>
        <w:numPr>
          <w:ilvl w:val="4"/>
          <w:numId w:val="23"/>
        </w:numPr>
        <w:tabs>
          <w:tab w:pos="1095" w:val="left" w:leader="none"/>
        </w:tabs>
        <w:spacing w:line="240" w:lineRule="auto" w:before="161" w:after="0"/>
        <w:ind w:left="1094" w:right="0" w:hanging="281"/>
        <w:jc w:val="left"/>
      </w:pPr>
      <w:r>
        <w:rPr/>
        <w:t>监测项目</w:t>
      </w:r>
    </w:p>
    <w:p>
      <w:pPr>
        <w:pStyle w:val="BodyText"/>
        <w:spacing w:before="7"/>
        <w:rPr>
          <w:b/>
          <w:sz w:val="23"/>
        </w:rPr>
      </w:pPr>
    </w:p>
    <w:p>
      <w:pPr>
        <w:tabs>
          <w:tab w:pos="1305" w:val="left" w:leader="none"/>
        </w:tabs>
        <w:spacing w:before="0" w:after="29"/>
        <w:ind w:left="84" w:right="0" w:firstLine="0"/>
        <w:jc w:val="center"/>
        <w:rPr>
          <w:b/>
          <w:sz w:val="24"/>
        </w:rPr>
      </w:pPr>
      <w:r>
        <w:rPr>
          <w:b/>
          <w:sz w:val="24"/>
        </w:rPr>
        <w:t>表</w:t>
      </w:r>
      <w:r>
        <w:rPr>
          <w:b/>
          <w:spacing w:val="-60"/>
          <w:sz w:val="24"/>
        </w:rPr>
        <w:t> </w:t>
      </w:r>
      <w:r>
        <w:rPr>
          <w:rFonts w:ascii="Times New Roman" w:eastAsia="Times New Roman"/>
          <w:b/>
          <w:sz w:val="24"/>
        </w:rPr>
        <w:t>6.2.4-6</w:t>
        <w:tab/>
      </w:r>
      <w:r>
        <w:rPr>
          <w:b/>
          <w:sz w:val="24"/>
        </w:rPr>
        <w:t>土壤监测因子汇总表</w:t>
      </w: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7"/>
        <w:gridCol w:w="8159"/>
      </w:tblGrid>
      <w:tr>
        <w:trPr>
          <w:trHeight w:val="270" w:hRule="atLeast"/>
        </w:trPr>
        <w:tc>
          <w:tcPr>
            <w:tcW w:w="1027" w:type="dxa"/>
          </w:tcPr>
          <w:p>
            <w:pPr>
              <w:pStyle w:val="TableParagraph"/>
              <w:spacing w:line="250" w:lineRule="exact" w:before="1"/>
              <w:ind w:left="71" w:right="62"/>
              <w:rPr>
                <w:b/>
                <w:sz w:val="21"/>
              </w:rPr>
            </w:pPr>
            <w:r>
              <w:rPr>
                <w:b/>
                <w:sz w:val="21"/>
              </w:rPr>
              <w:t>类别</w:t>
            </w:r>
          </w:p>
        </w:tc>
        <w:tc>
          <w:tcPr>
            <w:tcW w:w="8159" w:type="dxa"/>
          </w:tcPr>
          <w:p>
            <w:pPr>
              <w:pStyle w:val="TableParagraph"/>
              <w:spacing w:line="250" w:lineRule="exact" w:before="1"/>
              <w:ind w:left="3638" w:right="3626"/>
              <w:rPr>
                <w:b/>
                <w:sz w:val="21"/>
              </w:rPr>
            </w:pPr>
            <w:r>
              <w:rPr>
                <w:b/>
                <w:sz w:val="21"/>
              </w:rPr>
              <w:t>监测因子</w:t>
            </w:r>
          </w:p>
        </w:tc>
      </w:tr>
      <w:tr>
        <w:trPr>
          <w:trHeight w:val="2178" w:hRule="atLeast"/>
        </w:trPr>
        <w:tc>
          <w:tcPr>
            <w:tcW w:w="1027"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5"/>
              <w:jc w:val="left"/>
              <w:rPr>
                <w:b/>
                <w:sz w:val="14"/>
              </w:rPr>
            </w:pPr>
          </w:p>
          <w:p>
            <w:pPr>
              <w:pStyle w:val="TableParagraph"/>
              <w:ind w:left="74" w:right="62"/>
              <w:rPr>
                <w:sz w:val="21"/>
              </w:rPr>
            </w:pPr>
            <w:r>
              <w:rPr>
                <w:sz w:val="21"/>
              </w:rPr>
              <w:t>必测项目</w:t>
            </w:r>
          </w:p>
        </w:tc>
        <w:tc>
          <w:tcPr>
            <w:tcW w:w="8159" w:type="dxa"/>
          </w:tcPr>
          <w:p>
            <w:pPr>
              <w:pStyle w:val="TableParagraph"/>
              <w:spacing w:before="1"/>
              <w:ind w:left="28"/>
              <w:jc w:val="left"/>
              <w:rPr>
                <w:sz w:val="21"/>
              </w:rPr>
            </w:pPr>
            <w:r>
              <w:rPr>
                <w:b/>
                <w:sz w:val="21"/>
              </w:rPr>
              <w:t>重金属和无机物：</w:t>
            </w:r>
            <w:r>
              <w:rPr>
                <w:spacing w:val="-3"/>
                <w:sz w:val="21"/>
              </w:rPr>
              <w:t>砷、镉、铬（</w:t>
            </w:r>
            <w:r>
              <w:rPr>
                <w:spacing w:val="-2"/>
                <w:sz w:val="21"/>
              </w:rPr>
              <w:t>六价</w:t>
            </w:r>
            <w:r>
              <w:rPr>
                <w:spacing w:val="-106"/>
                <w:sz w:val="21"/>
              </w:rPr>
              <w:t>）</w:t>
            </w:r>
            <w:r>
              <w:rPr>
                <w:spacing w:val="-3"/>
                <w:sz w:val="21"/>
              </w:rPr>
              <w:t>、铜、铅、汞、镍；</w:t>
            </w:r>
          </w:p>
          <w:p>
            <w:pPr>
              <w:pStyle w:val="TableParagraph"/>
              <w:spacing w:line="242" w:lineRule="auto" w:before="4"/>
              <w:ind w:left="28" w:right="-29"/>
              <w:jc w:val="both"/>
              <w:rPr>
                <w:sz w:val="21"/>
              </w:rPr>
            </w:pPr>
            <w:r>
              <w:rPr>
                <w:b/>
                <w:spacing w:val="-1"/>
                <w:sz w:val="21"/>
              </w:rPr>
              <w:t>挥发性有机物：</w:t>
            </w:r>
            <w:r>
              <w:rPr>
                <w:spacing w:val="-3"/>
                <w:sz w:val="21"/>
              </w:rPr>
              <w:t>四氯化碳、氯仿、氯甲烷、</w:t>
            </w:r>
            <w:r>
              <w:rPr>
                <w:rFonts w:ascii="Times New Roman" w:eastAsia="Times New Roman"/>
                <w:sz w:val="21"/>
              </w:rPr>
              <w:t>1,1-</w:t>
            </w:r>
            <w:r>
              <w:rPr>
                <w:spacing w:val="-3"/>
                <w:sz w:val="21"/>
              </w:rPr>
              <w:t>二氯乙烷、</w:t>
            </w:r>
            <w:r>
              <w:rPr>
                <w:rFonts w:ascii="Times New Roman" w:eastAsia="Times New Roman"/>
                <w:sz w:val="21"/>
              </w:rPr>
              <w:t>1,2-</w:t>
            </w:r>
            <w:r>
              <w:rPr>
                <w:spacing w:val="-3"/>
                <w:sz w:val="21"/>
              </w:rPr>
              <w:t>二氯乙烷、</w:t>
            </w:r>
            <w:r>
              <w:rPr>
                <w:rFonts w:ascii="Times New Roman" w:eastAsia="Times New Roman"/>
                <w:sz w:val="21"/>
              </w:rPr>
              <w:t>1,1-</w:t>
            </w:r>
            <w:r>
              <w:rPr>
                <w:spacing w:val="-2"/>
                <w:sz w:val="21"/>
              </w:rPr>
              <w:t>二氯乙烯、顺</w:t>
            </w:r>
            <w:r>
              <w:rPr>
                <w:rFonts w:ascii="Times New Roman" w:eastAsia="Times New Roman"/>
                <w:spacing w:val="-2"/>
                <w:sz w:val="21"/>
              </w:rPr>
              <w:t>-1,2-</w:t>
            </w:r>
            <w:r>
              <w:rPr>
                <w:spacing w:val="-3"/>
                <w:sz w:val="21"/>
              </w:rPr>
              <w:t>二氯乙烯、反</w:t>
            </w:r>
            <w:r>
              <w:rPr>
                <w:rFonts w:ascii="Times New Roman" w:eastAsia="Times New Roman"/>
                <w:sz w:val="21"/>
              </w:rPr>
              <w:t>-1,2-</w:t>
            </w:r>
            <w:r>
              <w:rPr>
                <w:spacing w:val="-3"/>
                <w:sz w:val="21"/>
              </w:rPr>
              <w:t>二氯乙烯、二氯甲烷、</w:t>
            </w:r>
            <w:r>
              <w:rPr>
                <w:rFonts w:ascii="Times New Roman" w:eastAsia="Times New Roman"/>
                <w:sz w:val="21"/>
              </w:rPr>
              <w:t>1,2-</w:t>
            </w:r>
            <w:r>
              <w:rPr>
                <w:spacing w:val="-2"/>
                <w:sz w:val="21"/>
              </w:rPr>
              <w:t>二氯丙烷、</w:t>
            </w:r>
            <w:r>
              <w:rPr>
                <w:rFonts w:ascii="Times New Roman" w:eastAsia="Times New Roman"/>
                <w:sz w:val="21"/>
              </w:rPr>
              <w:t>1,1,1,2-</w:t>
            </w:r>
            <w:r>
              <w:rPr>
                <w:spacing w:val="-3"/>
                <w:sz w:val="21"/>
              </w:rPr>
              <w:t>四氯乙烷、</w:t>
            </w:r>
            <w:r>
              <w:rPr>
                <w:rFonts w:ascii="Times New Roman" w:eastAsia="Times New Roman"/>
                <w:sz w:val="21"/>
              </w:rPr>
              <w:t>1,1,2,2- </w:t>
            </w:r>
            <w:r>
              <w:rPr>
                <w:spacing w:val="-6"/>
                <w:sz w:val="21"/>
              </w:rPr>
              <w:t>四氯乙烷、四氯乙烯、</w:t>
            </w:r>
            <w:r>
              <w:rPr>
                <w:rFonts w:ascii="Times New Roman" w:eastAsia="Times New Roman"/>
                <w:sz w:val="21"/>
              </w:rPr>
              <w:t>1,1,1-</w:t>
            </w:r>
            <w:r>
              <w:rPr>
                <w:spacing w:val="-6"/>
                <w:sz w:val="21"/>
              </w:rPr>
              <w:t>三氯乙烷、</w:t>
            </w:r>
            <w:r>
              <w:rPr>
                <w:rFonts w:ascii="Times New Roman" w:eastAsia="Times New Roman"/>
                <w:sz w:val="21"/>
              </w:rPr>
              <w:t>1,1,2-</w:t>
            </w:r>
            <w:r>
              <w:rPr>
                <w:spacing w:val="-6"/>
                <w:sz w:val="21"/>
              </w:rPr>
              <w:t>三氯乙烷、三氯乙烯、</w:t>
            </w:r>
            <w:r>
              <w:rPr>
                <w:rFonts w:ascii="Times New Roman" w:eastAsia="Times New Roman"/>
                <w:sz w:val="21"/>
              </w:rPr>
              <w:t>1,2,3-</w:t>
            </w:r>
            <w:r>
              <w:rPr>
                <w:spacing w:val="-6"/>
                <w:sz w:val="21"/>
              </w:rPr>
              <w:t>三氯丙烷、氯乙</w:t>
            </w:r>
            <w:r>
              <w:rPr>
                <w:spacing w:val="-5"/>
                <w:sz w:val="21"/>
              </w:rPr>
              <w:t>烯、苯、氯苯、</w:t>
            </w:r>
            <w:r>
              <w:rPr>
                <w:rFonts w:ascii="Times New Roman" w:eastAsia="Times New Roman"/>
                <w:sz w:val="21"/>
              </w:rPr>
              <w:t>1,2-</w:t>
            </w:r>
            <w:r>
              <w:rPr>
                <w:spacing w:val="-3"/>
                <w:sz w:val="21"/>
              </w:rPr>
              <w:t>二氯苯、</w:t>
            </w:r>
            <w:r>
              <w:rPr>
                <w:rFonts w:ascii="Times New Roman" w:eastAsia="Times New Roman"/>
                <w:sz w:val="21"/>
              </w:rPr>
              <w:t>1,4-</w:t>
            </w:r>
            <w:r>
              <w:rPr>
                <w:spacing w:val="-5"/>
                <w:sz w:val="21"/>
              </w:rPr>
              <w:t>二氯苯、乙苯、苯乙烯、甲苯、间二甲苯</w:t>
            </w:r>
            <w:r>
              <w:rPr>
                <w:rFonts w:ascii="Times New Roman" w:eastAsia="Times New Roman"/>
                <w:sz w:val="21"/>
              </w:rPr>
              <w:t>+</w:t>
            </w:r>
            <w:r>
              <w:rPr>
                <w:spacing w:val="-3"/>
                <w:sz w:val="21"/>
              </w:rPr>
              <w:t>对二甲苯、邻二甲苯；</w:t>
            </w:r>
          </w:p>
          <w:p>
            <w:pPr>
              <w:pStyle w:val="TableParagraph"/>
              <w:spacing w:before="2"/>
              <w:ind w:left="28"/>
              <w:jc w:val="left"/>
              <w:rPr>
                <w:rFonts w:ascii="Times New Roman" w:eastAsia="Times New Roman"/>
                <w:sz w:val="21"/>
              </w:rPr>
            </w:pPr>
            <w:r>
              <w:rPr>
                <w:b/>
                <w:sz w:val="21"/>
              </w:rPr>
              <w:t>半挥发性有机物：</w:t>
            </w:r>
            <w:r>
              <w:rPr>
                <w:sz w:val="21"/>
              </w:rPr>
              <w:t>硝基苯、苯胺、</w:t>
            </w:r>
            <w:r>
              <w:rPr>
                <w:rFonts w:ascii="Times New Roman" w:eastAsia="Times New Roman"/>
                <w:sz w:val="21"/>
              </w:rPr>
              <w:t>2-</w:t>
            </w:r>
            <w:r>
              <w:rPr>
                <w:sz w:val="21"/>
              </w:rPr>
              <w:t>氯酚、苯并</w:t>
            </w:r>
            <w:r>
              <w:rPr>
                <w:rFonts w:ascii="Times New Roman" w:eastAsia="Times New Roman"/>
                <w:sz w:val="21"/>
              </w:rPr>
              <w:t>[a]</w:t>
            </w:r>
            <w:r>
              <w:rPr>
                <w:sz w:val="21"/>
              </w:rPr>
              <w:t>蒽、苯并</w:t>
            </w:r>
            <w:r>
              <w:rPr>
                <w:rFonts w:ascii="Times New Roman" w:eastAsia="Times New Roman"/>
                <w:sz w:val="21"/>
              </w:rPr>
              <w:t>[a]</w:t>
            </w:r>
            <w:r>
              <w:rPr>
                <w:sz w:val="21"/>
              </w:rPr>
              <w:t>芘、苯并</w:t>
            </w:r>
            <w:r>
              <w:rPr>
                <w:rFonts w:ascii="Times New Roman" w:eastAsia="Times New Roman"/>
                <w:sz w:val="21"/>
              </w:rPr>
              <w:t>[b]</w:t>
            </w:r>
            <w:r>
              <w:rPr>
                <w:sz w:val="21"/>
              </w:rPr>
              <w:t>荧蒽、苯并</w:t>
            </w:r>
            <w:r>
              <w:rPr>
                <w:rFonts w:ascii="Times New Roman" w:eastAsia="Times New Roman"/>
                <w:sz w:val="21"/>
              </w:rPr>
              <w:t>[k]</w:t>
            </w:r>
          </w:p>
          <w:p>
            <w:pPr>
              <w:pStyle w:val="TableParagraph"/>
              <w:spacing w:line="250" w:lineRule="exact" w:before="5"/>
              <w:ind w:left="28"/>
              <w:jc w:val="left"/>
              <w:rPr>
                <w:sz w:val="21"/>
              </w:rPr>
            </w:pPr>
            <w:r>
              <w:rPr>
                <w:sz w:val="21"/>
              </w:rPr>
              <w:t>荧蒽、䓛、二苯并</w:t>
            </w:r>
            <w:r>
              <w:rPr>
                <w:rFonts w:ascii="Times New Roman" w:eastAsia="Times New Roman"/>
                <w:sz w:val="21"/>
              </w:rPr>
              <w:t>[a, h]</w:t>
            </w:r>
            <w:r>
              <w:rPr>
                <w:sz w:val="21"/>
              </w:rPr>
              <w:t>蒽、茚并</w:t>
            </w:r>
            <w:r>
              <w:rPr>
                <w:rFonts w:ascii="Times New Roman" w:eastAsia="Times New Roman"/>
                <w:sz w:val="21"/>
              </w:rPr>
              <w:t>[1,2,3-cd]</w:t>
            </w:r>
            <w:r>
              <w:rPr>
                <w:sz w:val="21"/>
              </w:rPr>
              <w:t>芘、萘；</w:t>
            </w:r>
          </w:p>
        </w:tc>
      </w:tr>
      <w:tr>
        <w:trPr>
          <w:trHeight w:val="273" w:hRule="atLeast"/>
        </w:trPr>
        <w:tc>
          <w:tcPr>
            <w:tcW w:w="1027" w:type="dxa"/>
          </w:tcPr>
          <w:p>
            <w:pPr>
              <w:pStyle w:val="TableParagraph"/>
              <w:spacing w:line="252" w:lineRule="exact" w:before="1"/>
              <w:ind w:left="74" w:right="62"/>
              <w:rPr>
                <w:sz w:val="21"/>
              </w:rPr>
            </w:pPr>
            <w:r>
              <w:rPr>
                <w:sz w:val="21"/>
              </w:rPr>
              <w:t>特征因子</w:t>
            </w:r>
          </w:p>
        </w:tc>
        <w:tc>
          <w:tcPr>
            <w:tcW w:w="8159" w:type="dxa"/>
          </w:tcPr>
          <w:p>
            <w:pPr>
              <w:pStyle w:val="TableParagraph"/>
              <w:spacing w:line="253" w:lineRule="exact"/>
              <w:ind w:left="28"/>
              <w:jc w:val="left"/>
              <w:rPr>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p>
        </w:tc>
      </w:tr>
    </w:tbl>
    <w:p>
      <w:pPr>
        <w:pStyle w:val="ListParagraph"/>
        <w:numPr>
          <w:ilvl w:val="4"/>
          <w:numId w:val="23"/>
        </w:numPr>
        <w:tabs>
          <w:tab w:pos="1095" w:val="left" w:leader="none"/>
        </w:tabs>
        <w:spacing w:line="240" w:lineRule="auto" w:before="3" w:after="0"/>
        <w:ind w:left="1094" w:right="0" w:hanging="281"/>
        <w:jc w:val="left"/>
        <w:rPr>
          <w:b/>
          <w:sz w:val="24"/>
        </w:rPr>
      </w:pPr>
      <w:r>
        <w:rPr>
          <w:b/>
          <w:sz w:val="24"/>
        </w:rPr>
        <w:t>监测结果</w:t>
      </w:r>
    </w:p>
    <w:p>
      <w:pPr>
        <w:pStyle w:val="BodyText"/>
        <w:spacing w:before="5"/>
        <w:rPr>
          <w:b/>
          <w:sz w:val="23"/>
        </w:rPr>
      </w:pPr>
    </w:p>
    <w:p>
      <w:pPr>
        <w:tabs>
          <w:tab w:pos="1669" w:val="left" w:leader="none"/>
        </w:tabs>
        <w:spacing w:before="0" w:after="29"/>
        <w:ind w:left="447" w:right="0" w:firstLine="0"/>
        <w:jc w:val="center"/>
        <w:rPr>
          <w:b/>
          <w:sz w:val="24"/>
        </w:rPr>
      </w:pPr>
      <w:r>
        <w:rPr/>
        <w:pict>
          <v:line style="position:absolute;mso-position-horizontal-relative:page;mso-position-vertical-relative:paragraph;z-index:-317726720" from="71.304001pt,17.159992pt" to="197.090001pt,45.959992pt" stroked="true" strokeweight=".72pt" strokecolor="#000000">
            <v:stroke dashstyle="solid"/>
            <w10:wrap type="none"/>
          </v:line>
        </w:pict>
      </w:r>
      <w:r>
        <w:rPr>
          <w:b/>
          <w:sz w:val="24"/>
        </w:rPr>
        <w:t>表</w:t>
      </w:r>
      <w:r>
        <w:rPr>
          <w:b/>
          <w:spacing w:val="-60"/>
          <w:sz w:val="24"/>
        </w:rPr>
        <w:t> </w:t>
      </w:r>
      <w:r>
        <w:rPr>
          <w:rFonts w:ascii="Times New Roman" w:eastAsia="Times New Roman"/>
          <w:b/>
          <w:sz w:val="24"/>
        </w:rPr>
        <w:t>6.2.4-7</w:t>
        <w:tab/>
      </w:r>
      <w:r>
        <w:rPr>
          <w:b/>
          <w:sz w:val="24"/>
        </w:rPr>
        <w:t>东区土壤现状监测结果（</w:t>
      </w:r>
      <w:r>
        <w:rPr>
          <w:rFonts w:ascii="Times New Roman" w:eastAsia="Times New Roman"/>
          <w:b/>
          <w:sz w:val="24"/>
        </w:rPr>
        <w:t>1</w:t>
      </w:r>
      <w:r>
        <w:rPr>
          <w:b/>
          <w:sz w:val="24"/>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36"/>
        <w:gridCol w:w="1134"/>
        <w:gridCol w:w="1137"/>
        <w:gridCol w:w="1065"/>
        <w:gridCol w:w="1349"/>
        <w:gridCol w:w="1015"/>
      </w:tblGrid>
      <w:tr>
        <w:trPr>
          <w:trHeight w:val="285"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2" w:type="dxa"/>
            <w:gridSpan w:val="4"/>
          </w:tcPr>
          <w:p>
            <w:pPr>
              <w:pStyle w:val="TableParagraph"/>
              <w:spacing w:line="257" w:lineRule="exact" w:before="8"/>
              <w:ind w:left="1389"/>
              <w:jc w:val="left"/>
              <w:rPr>
                <w:b/>
                <w:sz w:val="21"/>
              </w:rPr>
            </w:pPr>
            <w:r>
              <w:rPr>
                <w:rFonts w:ascii="Times New Roman" w:eastAsia="Times New Roman"/>
                <w:b/>
                <w:sz w:val="21"/>
              </w:rPr>
              <w:t>1#</w:t>
            </w:r>
            <w:r>
              <w:rPr>
                <w:b/>
                <w:sz w:val="21"/>
              </w:rPr>
              <w:t>拟建车间一南面</w:t>
            </w:r>
          </w:p>
        </w:tc>
        <w:tc>
          <w:tcPr>
            <w:tcW w:w="1349" w:type="dxa"/>
            <w:vMerge w:val="restart"/>
          </w:tcPr>
          <w:p>
            <w:pPr>
              <w:pStyle w:val="TableParagraph"/>
              <w:spacing w:line="270" w:lineRule="atLeast" w:before="17"/>
              <w:ind w:left="140" w:right="145"/>
              <w:jc w:val="left"/>
              <w:rPr>
                <w:b/>
                <w:sz w:val="21"/>
              </w:rPr>
            </w:pPr>
            <w:r>
              <w:rPr>
                <w:b/>
                <w:sz w:val="21"/>
              </w:rPr>
              <w:t>第二类用地筛选值标准</w:t>
            </w:r>
          </w:p>
        </w:tc>
        <w:tc>
          <w:tcPr>
            <w:tcW w:w="1015" w:type="dxa"/>
            <w:vMerge w:val="restart"/>
          </w:tcPr>
          <w:p>
            <w:pPr>
              <w:pStyle w:val="TableParagraph"/>
              <w:spacing w:line="270" w:lineRule="atLeast" w:before="17"/>
              <w:ind w:left="393" w:right="192" w:hanging="212"/>
              <w:jc w:val="left"/>
              <w:rPr>
                <w:b/>
                <w:sz w:val="21"/>
              </w:rPr>
            </w:pPr>
            <w:r>
              <w:rPr>
                <w:b/>
                <w:sz w:val="21"/>
              </w:rPr>
              <w:t>达标情况</w:t>
            </w:r>
          </w:p>
        </w:tc>
      </w:tr>
      <w:tr>
        <w:trPr>
          <w:trHeight w:val="287" w:hRule="atLeast"/>
        </w:trPr>
        <w:tc>
          <w:tcPr>
            <w:tcW w:w="2521" w:type="dxa"/>
            <w:vMerge/>
            <w:tcBorders>
              <w:top w:val="nil"/>
            </w:tcBorders>
          </w:tcPr>
          <w:p>
            <w:pPr>
              <w:rPr>
                <w:sz w:val="2"/>
                <w:szCs w:val="2"/>
              </w:rPr>
            </w:pPr>
          </w:p>
        </w:tc>
        <w:tc>
          <w:tcPr>
            <w:tcW w:w="1136" w:type="dxa"/>
          </w:tcPr>
          <w:p>
            <w:pPr>
              <w:pStyle w:val="TableParagraph"/>
              <w:spacing w:line="241" w:lineRule="exact" w:before="27"/>
              <w:ind w:left="261"/>
              <w:jc w:val="left"/>
              <w:rPr>
                <w:rFonts w:ascii="Times New Roman"/>
                <w:b/>
                <w:sz w:val="21"/>
              </w:rPr>
            </w:pPr>
            <w:r>
              <w:rPr>
                <w:rFonts w:ascii="Times New Roman"/>
                <w:b/>
                <w:sz w:val="21"/>
              </w:rPr>
              <w:t>0-0.5m</w:t>
            </w:r>
          </w:p>
        </w:tc>
        <w:tc>
          <w:tcPr>
            <w:tcW w:w="1134" w:type="dxa"/>
          </w:tcPr>
          <w:p>
            <w:pPr>
              <w:pStyle w:val="TableParagraph"/>
              <w:spacing w:line="241" w:lineRule="exact" w:before="27"/>
              <w:ind w:left="159" w:right="159"/>
              <w:rPr>
                <w:rFonts w:ascii="Times New Roman"/>
                <w:b/>
                <w:sz w:val="21"/>
              </w:rPr>
            </w:pPr>
            <w:r>
              <w:rPr>
                <w:rFonts w:ascii="Times New Roman"/>
                <w:b/>
                <w:sz w:val="21"/>
              </w:rPr>
              <w:t>0.5-1.5m</w:t>
            </w:r>
          </w:p>
        </w:tc>
        <w:tc>
          <w:tcPr>
            <w:tcW w:w="1137" w:type="dxa"/>
          </w:tcPr>
          <w:p>
            <w:pPr>
              <w:pStyle w:val="TableParagraph"/>
              <w:spacing w:line="241" w:lineRule="exact" w:before="27"/>
              <w:ind w:left="96" w:right="99"/>
              <w:rPr>
                <w:rFonts w:ascii="Times New Roman"/>
                <w:b/>
                <w:sz w:val="21"/>
              </w:rPr>
            </w:pPr>
            <w:r>
              <w:rPr>
                <w:rFonts w:ascii="Times New Roman"/>
                <w:b/>
                <w:sz w:val="21"/>
              </w:rPr>
              <w:t>1.5-3.0m</w:t>
            </w:r>
          </w:p>
        </w:tc>
        <w:tc>
          <w:tcPr>
            <w:tcW w:w="1065" w:type="dxa"/>
          </w:tcPr>
          <w:p>
            <w:pPr>
              <w:pStyle w:val="TableParagraph"/>
              <w:spacing w:line="241" w:lineRule="exact" w:before="27"/>
              <w:ind w:left="124" w:right="125"/>
              <w:rPr>
                <w:rFonts w:ascii="Times New Roman"/>
                <w:b/>
                <w:sz w:val="21"/>
              </w:rPr>
            </w:pPr>
            <w:r>
              <w:rPr>
                <w:rFonts w:ascii="Times New Roman"/>
                <w:b/>
                <w:sz w:val="21"/>
              </w:rPr>
              <w:t>3.0-6.0m</w:t>
            </w:r>
          </w:p>
        </w:tc>
        <w:tc>
          <w:tcPr>
            <w:tcW w:w="1349" w:type="dxa"/>
            <w:vMerge/>
            <w:tcBorders>
              <w:top w:val="nil"/>
            </w:tcBorders>
          </w:tcPr>
          <w:p>
            <w:pPr>
              <w:rPr>
                <w:sz w:val="2"/>
                <w:szCs w:val="2"/>
              </w:rPr>
            </w:pPr>
          </w:p>
        </w:tc>
        <w:tc>
          <w:tcPr>
            <w:tcW w:w="1015" w:type="dxa"/>
            <w:vMerge/>
            <w:tcBorders>
              <w:top w:val="nil"/>
            </w:tcBorders>
          </w:tcPr>
          <w:p>
            <w:pPr>
              <w:rPr>
                <w:sz w:val="2"/>
                <w:szCs w:val="2"/>
              </w:rPr>
            </w:pP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铜 </w:t>
            </w:r>
            <w:r>
              <w:rPr>
                <w:rFonts w:ascii="Times New Roman" w:eastAsia="Times New Roman"/>
                <w:sz w:val="21"/>
              </w:rPr>
              <w:t>mg/kg</w:t>
            </w:r>
          </w:p>
        </w:tc>
        <w:tc>
          <w:tcPr>
            <w:tcW w:w="1136" w:type="dxa"/>
          </w:tcPr>
          <w:p>
            <w:pPr>
              <w:pStyle w:val="TableParagraph"/>
              <w:spacing w:before="22"/>
              <w:ind w:left="101" w:right="101"/>
              <w:rPr>
                <w:rFonts w:ascii="Times New Roman"/>
                <w:sz w:val="21"/>
              </w:rPr>
            </w:pPr>
            <w:r>
              <w:rPr>
                <w:rFonts w:ascii="Times New Roman"/>
                <w:sz w:val="21"/>
              </w:rPr>
              <w:t>31</w:t>
            </w:r>
          </w:p>
        </w:tc>
        <w:tc>
          <w:tcPr>
            <w:tcW w:w="1134" w:type="dxa"/>
          </w:tcPr>
          <w:p>
            <w:pPr>
              <w:pStyle w:val="TableParagraph"/>
              <w:spacing w:before="22"/>
              <w:ind w:left="159" w:right="158"/>
              <w:rPr>
                <w:rFonts w:ascii="Times New Roman"/>
                <w:sz w:val="21"/>
              </w:rPr>
            </w:pPr>
            <w:r>
              <w:rPr>
                <w:rFonts w:ascii="Times New Roman"/>
                <w:sz w:val="21"/>
              </w:rPr>
              <w:t>23</w:t>
            </w:r>
          </w:p>
        </w:tc>
        <w:tc>
          <w:tcPr>
            <w:tcW w:w="1137" w:type="dxa"/>
          </w:tcPr>
          <w:p>
            <w:pPr>
              <w:pStyle w:val="TableParagraph"/>
              <w:spacing w:before="22"/>
              <w:ind w:left="98" w:right="99"/>
              <w:rPr>
                <w:rFonts w:ascii="Times New Roman"/>
                <w:sz w:val="21"/>
              </w:rPr>
            </w:pPr>
            <w:r>
              <w:rPr>
                <w:rFonts w:ascii="Times New Roman"/>
                <w:sz w:val="21"/>
              </w:rPr>
              <w:t>31</w:t>
            </w:r>
          </w:p>
        </w:tc>
        <w:tc>
          <w:tcPr>
            <w:tcW w:w="1065" w:type="dxa"/>
          </w:tcPr>
          <w:p>
            <w:pPr>
              <w:pStyle w:val="TableParagraph"/>
              <w:spacing w:before="22"/>
              <w:ind w:left="120" w:right="125"/>
              <w:rPr>
                <w:rFonts w:ascii="Times New Roman"/>
                <w:sz w:val="21"/>
              </w:rPr>
            </w:pPr>
            <w:r>
              <w:rPr>
                <w:rFonts w:ascii="Times New Roman"/>
                <w:sz w:val="21"/>
              </w:rPr>
              <w:t>28</w:t>
            </w:r>
          </w:p>
        </w:tc>
        <w:tc>
          <w:tcPr>
            <w:tcW w:w="1349" w:type="dxa"/>
          </w:tcPr>
          <w:p>
            <w:pPr>
              <w:pStyle w:val="TableParagraph"/>
              <w:spacing w:before="22"/>
              <w:ind w:left="281" w:right="285"/>
              <w:rPr>
                <w:rFonts w:ascii="Times New Roman"/>
                <w:sz w:val="21"/>
              </w:rPr>
            </w:pPr>
            <w:r>
              <w:rPr>
                <w:rFonts w:ascii="Times New Roman"/>
                <w:sz w:val="21"/>
              </w:rPr>
              <w:t>18000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eastAsia="Times New Roman"/>
                <w:sz w:val="21"/>
              </w:rPr>
            </w:pPr>
            <w:r>
              <w:rPr>
                <w:sz w:val="21"/>
              </w:rPr>
              <w:t>铅 </w:t>
            </w:r>
            <w:r>
              <w:rPr>
                <w:rFonts w:ascii="Times New Roman" w:eastAsia="Times New Roman"/>
                <w:sz w:val="21"/>
              </w:rPr>
              <w:t>mg/kg</w:t>
            </w:r>
          </w:p>
        </w:tc>
        <w:tc>
          <w:tcPr>
            <w:tcW w:w="1136" w:type="dxa"/>
          </w:tcPr>
          <w:p>
            <w:pPr>
              <w:pStyle w:val="TableParagraph"/>
              <w:spacing w:before="20"/>
              <w:ind w:left="106" w:right="101"/>
              <w:rPr>
                <w:rFonts w:ascii="Times New Roman"/>
                <w:sz w:val="21"/>
              </w:rPr>
            </w:pPr>
            <w:r>
              <w:rPr>
                <w:rFonts w:ascii="Times New Roman"/>
                <w:sz w:val="21"/>
              </w:rPr>
              <w:t>34.1</w:t>
            </w:r>
          </w:p>
        </w:tc>
        <w:tc>
          <w:tcPr>
            <w:tcW w:w="1134" w:type="dxa"/>
          </w:tcPr>
          <w:p>
            <w:pPr>
              <w:pStyle w:val="TableParagraph"/>
              <w:spacing w:before="20"/>
              <w:ind w:left="159" w:right="158"/>
              <w:rPr>
                <w:rFonts w:ascii="Times New Roman"/>
                <w:sz w:val="21"/>
              </w:rPr>
            </w:pPr>
            <w:r>
              <w:rPr>
                <w:rFonts w:ascii="Times New Roman"/>
                <w:sz w:val="21"/>
              </w:rPr>
              <w:t>21.8</w:t>
            </w:r>
          </w:p>
        </w:tc>
        <w:tc>
          <w:tcPr>
            <w:tcW w:w="1137" w:type="dxa"/>
          </w:tcPr>
          <w:p>
            <w:pPr>
              <w:pStyle w:val="TableParagraph"/>
              <w:spacing w:before="20"/>
              <w:ind w:left="97" w:right="99"/>
              <w:rPr>
                <w:rFonts w:ascii="Times New Roman"/>
                <w:sz w:val="21"/>
              </w:rPr>
            </w:pPr>
            <w:r>
              <w:rPr>
                <w:rFonts w:ascii="Times New Roman"/>
                <w:sz w:val="21"/>
              </w:rPr>
              <w:t>23.3</w:t>
            </w:r>
          </w:p>
        </w:tc>
        <w:tc>
          <w:tcPr>
            <w:tcW w:w="1065" w:type="dxa"/>
          </w:tcPr>
          <w:p>
            <w:pPr>
              <w:pStyle w:val="TableParagraph"/>
              <w:spacing w:before="20"/>
              <w:ind w:left="124" w:right="124"/>
              <w:rPr>
                <w:rFonts w:ascii="Times New Roman"/>
                <w:sz w:val="21"/>
              </w:rPr>
            </w:pPr>
            <w:r>
              <w:rPr>
                <w:rFonts w:ascii="Times New Roman"/>
                <w:sz w:val="21"/>
              </w:rPr>
              <w:t>29.1</w:t>
            </w:r>
          </w:p>
        </w:tc>
        <w:tc>
          <w:tcPr>
            <w:tcW w:w="1349" w:type="dxa"/>
          </w:tcPr>
          <w:p>
            <w:pPr>
              <w:pStyle w:val="TableParagraph"/>
              <w:spacing w:before="20"/>
              <w:ind w:left="281" w:right="285"/>
              <w:rPr>
                <w:rFonts w:ascii="Times New Roman"/>
                <w:sz w:val="21"/>
              </w:rPr>
            </w:pPr>
            <w:r>
              <w:rPr>
                <w:rFonts w:ascii="Times New Roman"/>
                <w:sz w:val="21"/>
              </w:rPr>
              <w:t>800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eastAsia="Times New Roman"/>
                <w:sz w:val="21"/>
              </w:rPr>
            </w:pPr>
            <w:r>
              <w:rPr>
                <w:sz w:val="21"/>
              </w:rPr>
              <w:t>六价铬 </w:t>
            </w:r>
            <w:r>
              <w:rPr>
                <w:rFonts w:ascii="Times New Roman" w:eastAsia="Times New Roman"/>
                <w:sz w:val="21"/>
              </w:rPr>
              <w:t>mg/kg</w:t>
            </w:r>
          </w:p>
        </w:tc>
        <w:tc>
          <w:tcPr>
            <w:tcW w:w="1136" w:type="dxa"/>
          </w:tcPr>
          <w:p>
            <w:pPr>
              <w:pStyle w:val="TableParagraph"/>
              <w:spacing w:line="257" w:lineRule="exact" w:before="8"/>
              <w:ind w:left="330"/>
              <w:jc w:val="left"/>
              <w:rPr>
                <w:rFonts w:ascii="Times New Roman" w:eastAsia="Times New Roman"/>
                <w:sz w:val="21"/>
              </w:rPr>
            </w:pPr>
            <w:r>
              <w:rPr>
                <w:sz w:val="21"/>
              </w:rPr>
              <w:t>＜</w:t>
            </w:r>
            <w:r>
              <w:rPr>
                <w:rFonts w:ascii="Times New Roman" w:eastAsia="Times New Roman"/>
                <w:sz w:val="21"/>
              </w:rPr>
              <w:t>0.5</w:t>
            </w:r>
          </w:p>
        </w:tc>
        <w:tc>
          <w:tcPr>
            <w:tcW w:w="1134" w:type="dxa"/>
          </w:tcPr>
          <w:p>
            <w:pPr>
              <w:pStyle w:val="TableParagraph"/>
              <w:spacing w:line="257" w:lineRule="exact" w:before="8"/>
              <w:ind w:left="159" w:right="158"/>
              <w:rPr>
                <w:rFonts w:ascii="Times New Roman" w:eastAsia="Times New Roman"/>
                <w:sz w:val="21"/>
              </w:rPr>
            </w:pPr>
            <w:r>
              <w:rPr>
                <w:sz w:val="21"/>
              </w:rPr>
              <w:t>＜</w:t>
            </w:r>
            <w:r>
              <w:rPr>
                <w:rFonts w:ascii="Times New Roman" w:eastAsia="Times New Roman"/>
                <w:sz w:val="21"/>
              </w:rPr>
              <w:t>0.5</w:t>
            </w:r>
          </w:p>
        </w:tc>
        <w:tc>
          <w:tcPr>
            <w:tcW w:w="1137" w:type="dxa"/>
          </w:tcPr>
          <w:p>
            <w:pPr>
              <w:pStyle w:val="TableParagraph"/>
              <w:spacing w:line="257" w:lineRule="exact" w:before="8"/>
              <w:ind w:left="98" w:right="99"/>
              <w:rPr>
                <w:rFonts w:ascii="Times New Roman" w:eastAsia="Times New Roman"/>
                <w:sz w:val="21"/>
              </w:rPr>
            </w:pPr>
            <w:r>
              <w:rPr>
                <w:sz w:val="21"/>
              </w:rPr>
              <w:t>＜</w:t>
            </w:r>
            <w:r>
              <w:rPr>
                <w:rFonts w:ascii="Times New Roman" w:eastAsia="Times New Roman"/>
                <w:sz w:val="21"/>
              </w:rPr>
              <w:t>0.5</w:t>
            </w:r>
          </w:p>
        </w:tc>
        <w:tc>
          <w:tcPr>
            <w:tcW w:w="1065" w:type="dxa"/>
          </w:tcPr>
          <w:p>
            <w:pPr>
              <w:pStyle w:val="TableParagraph"/>
              <w:spacing w:line="257" w:lineRule="exact" w:before="8"/>
              <w:ind w:left="124" w:right="124"/>
              <w:rPr>
                <w:rFonts w:ascii="Times New Roman" w:eastAsia="Times New Roman"/>
                <w:sz w:val="21"/>
              </w:rPr>
            </w:pPr>
            <w:r>
              <w:rPr>
                <w:sz w:val="21"/>
              </w:rPr>
              <w:t>＜</w:t>
            </w:r>
            <w:r>
              <w:rPr>
                <w:rFonts w:ascii="Times New Roman" w:eastAsia="Times New Roman"/>
                <w:sz w:val="21"/>
              </w:rPr>
              <w:t>0.5</w:t>
            </w:r>
          </w:p>
        </w:tc>
        <w:tc>
          <w:tcPr>
            <w:tcW w:w="1349" w:type="dxa"/>
          </w:tcPr>
          <w:p>
            <w:pPr>
              <w:pStyle w:val="TableParagraph"/>
              <w:spacing w:before="22"/>
              <w:ind w:left="281" w:right="285"/>
              <w:rPr>
                <w:rFonts w:ascii="Times New Roman"/>
                <w:sz w:val="21"/>
              </w:rPr>
            </w:pPr>
            <w:r>
              <w:rPr>
                <w:rFonts w:ascii="Times New Roman"/>
                <w:sz w:val="21"/>
              </w:rPr>
              <w:t>5.7</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eastAsia="Times New Roman"/>
                <w:sz w:val="21"/>
              </w:rPr>
            </w:pPr>
            <w:r>
              <w:rPr>
                <w:sz w:val="21"/>
              </w:rPr>
              <w:t>砷 </w:t>
            </w:r>
            <w:r>
              <w:rPr>
                <w:rFonts w:ascii="Times New Roman" w:eastAsia="Times New Roman"/>
                <w:sz w:val="21"/>
              </w:rPr>
              <w:t>mg/kg</w:t>
            </w:r>
          </w:p>
        </w:tc>
        <w:tc>
          <w:tcPr>
            <w:tcW w:w="1136" w:type="dxa"/>
          </w:tcPr>
          <w:p>
            <w:pPr>
              <w:pStyle w:val="TableParagraph"/>
              <w:spacing w:before="19"/>
              <w:ind w:left="106" w:right="101"/>
              <w:rPr>
                <w:rFonts w:ascii="Times New Roman"/>
                <w:sz w:val="21"/>
              </w:rPr>
            </w:pPr>
            <w:r>
              <w:rPr>
                <w:rFonts w:ascii="Times New Roman"/>
                <w:sz w:val="21"/>
              </w:rPr>
              <w:t>10.8</w:t>
            </w:r>
          </w:p>
        </w:tc>
        <w:tc>
          <w:tcPr>
            <w:tcW w:w="1134" w:type="dxa"/>
          </w:tcPr>
          <w:p>
            <w:pPr>
              <w:pStyle w:val="TableParagraph"/>
              <w:spacing w:before="19"/>
              <w:ind w:left="159" w:right="158"/>
              <w:rPr>
                <w:rFonts w:ascii="Times New Roman"/>
                <w:sz w:val="21"/>
              </w:rPr>
            </w:pPr>
            <w:r>
              <w:rPr>
                <w:rFonts w:ascii="Times New Roman"/>
                <w:sz w:val="21"/>
              </w:rPr>
              <w:t>8.2</w:t>
            </w:r>
          </w:p>
        </w:tc>
        <w:tc>
          <w:tcPr>
            <w:tcW w:w="1137" w:type="dxa"/>
          </w:tcPr>
          <w:p>
            <w:pPr>
              <w:pStyle w:val="TableParagraph"/>
              <w:spacing w:before="19"/>
              <w:ind w:left="98" w:right="99"/>
              <w:rPr>
                <w:rFonts w:ascii="Times New Roman"/>
                <w:sz w:val="21"/>
              </w:rPr>
            </w:pPr>
            <w:r>
              <w:rPr>
                <w:rFonts w:ascii="Times New Roman"/>
                <w:sz w:val="21"/>
              </w:rPr>
              <w:t>7.4</w:t>
            </w:r>
          </w:p>
        </w:tc>
        <w:tc>
          <w:tcPr>
            <w:tcW w:w="1065" w:type="dxa"/>
          </w:tcPr>
          <w:p>
            <w:pPr>
              <w:pStyle w:val="TableParagraph"/>
              <w:spacing w:before="19"/>
              <w:ind w:left="124" w:right="124"/>
              <w:rPr>
                <w:rFonts w:ascii="Times New Roman"/>
                <w:sz w:val="21"/>
              </w:rPr>
            </w:pPr>
            <w:r>
              <w:rPr>
                <w:rFonts w:ascii="Times New Roman"/>
                <w:sz w:val="21"/>
              </w:rPr>
              <w:t>7.5</w:t>
            </w:r>
          </w:p>
        </w:tc>
        <w:tc>
          <w:tcPr>
            <w:tcW w:w="1349" w:type="dxa"/>
          </w:tcPr>
          <w:p>
            <w:pPr>
              <w:pStyle w:val="TableParagraph"/>
              <w:spacing w:before="19"/>
              <w:ind w:left="279" w:right="288"/>
              <w:rPr>
                <w:rFonts w:ascii="Times New Roman"/>
                <w:sz w:val="21"/>
              </w:rPr>
            </w:pPr>
            <w:r>
              <w:rPr>
                <w:rFonts w:ascii="Times New Roman"/>
                <w:sz w:val="21"/>
              </w:rPr>
              <w:t>60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汞 </w:t>
            </w:r>
            <w:r>
              <w:rPr>
                <w:rFonts w:ascii="Times New Roman" w:eastAsia="Times New Roman"/>
                <w:sz w:val="21"/>
              </w:rPr>
              <w:t>mg/kg</w:t>
            </w:r>
          </w:p>
        </w:tc>
        <w:tc>
          <w:tcPr>
            <w:tcW w:w="1136" w:type="dxa"/>
          </w:tcPr>
          <w:p>
            <w:pPr>
              <w:pStyle w:val="TableParagraph"/>
              <w:spacing w:before="22"/>
              <w:ind w:left="330"/>
              <w:jc w:val="left"/>
              <w:rPr>
                <w:rFonts w:ascii="Times New Roman"/>
                <w:sz w:val="21"/>
              </w:rPr>
            </w:pPr>
            <w:r>
              <w:rPr>
                <w:rFonts w:ascii="Times New Roman"/>
                <w:sz w:val="21"/>
              </w:rPr>
              <w:t>0.240</w:t>
            </w:r>
          </w:p>
        </w:tc>
        <w:tc>
          <w:tcPr>
            <w:tcW w:w="1134" w:type="dxa"/>
          </w:tcPr>
          <w:p>
            <w:pPr>
              <w:pStyle w:val="TableParagraph"/>
              <w:spacing w:before="22"/>
              <w:ind w:left="159" w:right="158"/>
              <w:rPr>
                <w:rFonts w:ascii="Times New Roman"/>
                <w:sz w:val="21"/>
              </w:rPr>
            </w:pPr>
            <w:r>
              <w:rPr>
                <w:rFonts w:ascii="Times New Roman"/>
                <w:sz w:val="21"/>
              </w:rPr>
              <w:t>0.105</w:t>
            </w:r>
          </w:p>
        </w:tc>
        <w:tc>
          <w:tcPr>
            <w:tcW w:w="1137" w:type="dxa"/>
          </w:tcPr>
          <w:p>
            <w:pPr>
              <w:pStyle w:val="TableParagraph"/>
              <w:spacing w:before="22"/>
              <w:ind w:left="97" w:right="99"/>
              <w:rPr>
                <w:rFonts w:ascii="Times New Roman"/>
                <w:sz w:val="21"/>
              </w:rPr>
            </w:pPr>
            <w:r>
              <w:rPr>
                <w:rFonts w:ascii="Times New Roman"/>
                <w:sz w:val="21"/>
              </w:rPr>
              <w:t>0.134</w:t>
            </w:r>
          </w:p>
        </w:tc>
        <w:tc>
          <w:tcPr>
            <w:tcW w:w="1065" w:type="dxa"/>
          </w:tcPr>
          <w:p>
            <w:pPr>
              <w:pStyle w:val="TableParagraph"/>
              <w:spacing w:before="22"/>
              <w:ind w:left="124" w:right="124"/>
              <w:rPr>
                <w:rFonts w:ascii="Times New Roman"/>
                <w:sz w:val="21"/>
              </w:rPr>
            </w:pPr>
            <w:r>
              <w:rPr>
                <w:rFonts w:ascii="Times New Roman"/>
                <w:sz w:val="21"/>
              </w:rPr>
              <w:t>0.162</w:t>
            </w:r>
          </w:p>
        </w:tc>
        <w:tc>
          <w:tcPr>
            <w:tcW w:w="1349" w:type="dxa"/>
          </w:tcPr>
          <w:p>
            <w:pPr>
              <w:pStyle w:val="TableParagraph"/>
              <w:spacing w:before="22"/>
              <w:ind w:left="279" w:right="288"/>
              <w:rPr>
                <w:rFonts w:ascii="Times New Roman"/>
                <w:sz w:val="21"/>
              </w:rPr>
            </w:pPr>
            <w:r>
              <w:rPr>
                <w:rFonts w:ascii="Times New Roman"/>
                <w:sz w:val="21"/>
              </w:rPr>
              <w:t>38</w:t>
            </w:r>
          </w:p>
        </w:tc>
        <w:tc>
          <w:tcPr>
            <w:tcW w:w="1015" w:type="dxa"/>
          </w:tcPr>
          <w:p>
            <w:pPr>
              <w:pStyle w:val="TableParagraph"/>
              <w:spacing w:line="257" w:lineRule="exact" w:before="8"/>
              <w:ind w:left="37" w:right="47"/>
              <w:rPr>
                <w:sz w:val="21"/>
              </w:rPr>
            </w:pPr>
            <w:r>
              <w:rPr>
                <w:sz w:val="21"/>
              </w:rPr>
              <w:t>达标</w:t>
            </w:r>
          </w:p>
        </w:tc>
      </w:tr>
    </w:tbl>
    <w:p>
      <w:pPr>
        <w:spacing w:after="0" w:line="257" w:lineRule="exact"/>
        <w:rPr>
          <w:sz w:val="21"/>
        </w:rPr>
        <w:sectPr>
          <w:pgSz w:w="11910" w:h="16850"/>
          <w:pgMar w:header="1004" w:footer="1088" w:top="1340" w:bottom="1280" w:left="1200" w:right="1000"/>
        </w:sectPr>
      </w:pPr>
    </w:p>
    <w:p>
      <w:pPr>
        <w:pStyle w:val="BodyText"/>
        <w:spacing w:before="3"/>
        <w:rPr>
          <w:b/>
          <w:sz w:val="6"/>
        </w:rPr>
      </w:pPr>
      <w:r>
        <w:rPr/>
        <w:pict>
          <v:line style="position:absolute;mso-position-horizontal-relative:page;mso-position-vertical-relative:page;z-index:-317725696" from="71.304001pt,72.239975pt" to="197.090001pt,101.179975pt" stroked="true" strokeweight=".72pt" strokecolor="#000000">
            <v:stroke dashstyle="solid"/>
            <w10:wrap type="none"/>
          </v:line>
        </w:pic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36"/>
        <w:gridCol w:w="1134"/>
        <w:gridCol w:w="1137"/>
        <w:gridCol w:w="1065"/>
        <w:gridCol w:w="1349"/>
        <w:gridCol w:w="1015"/>
      </w:tblGrid>
      <w:tr>
        <w:trPr>
          <w:trHeight w:val="283"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2" w:type="dxa"/>
            <w:gridSpan w:val="4"/>
          </w:tcPr>
          <w:p>
            <w:pPr>
              <w:pStyle w:val="TableParagraph"/>
              <w:spacing w:line="255" w:lineRule="exact" w:before="8"/>
              <w:ind w:left="1389"/>
              <w:jc w:val="left"/>
              <w:rPr>
                <w:b/>
                <w:sz w:val="21"/>
              </w:rPr>
            </w:pPr>
            <w:r>
              <w:rPr>
                <w:rFonts w:ascii="Times New Roman" w:eastAsia="Times New Roman"/>
                <w:b/>
                <w:sz w:val="21"/>
              </w:rPr>
              <w:t>1#</w:t>
            </w:r>
            <w:r>
              <w:rPr>
                <w:b/>
                <w:sz w:val="21"/>
              </w:rPr>
              <w:t>拟建车间一南面</w:t>
            </w:r>
          </w:p>
        </w:tc>
        <w:tc>
          <w:tcPr>
            <w:tcW w:w="1349" w:type="dxa"/>
            <w:vMerge w:val="restart"/>
          </w:tcPr>
          <w:p>
            <w:pPr>
              <w:pStyle w:val="TableParagraph"/>
              <w:spacing w:line="270" w:lineRule="atLeast" w:before="17"/>
              <w:ind w:left="140" w:right="145"/>
              <w:jc w:val="left"/>
              <w:rPr>
                <w:b/>
                <w:sz w:val="21"/>
              </w:rPr>
            </w:pPr>
            <w:r>
              <w:rPr>
                <w:b/>
                <w:sz w:val="21"/>
              </w:rPr>
              <w:t>第二类用地筛选值标准</w:t>
            </w:r>
          </w:p>
        </w:tc>
        <w:tc>
          <w:tcPr>
            <w:tcW w:w="1015" w:type="dxa"/>
            <w:vMerge w:val="restart"/>
          </w:tcPr>
          <w:p>
            <w:pPr>
              <w:pStyle w:val="TableParagraph"/>
              <w:spacing w:line="270" w:lineRule="atLeast" w:before="17"/>
              <w:ind w:left="393" w:right="192" w:hanging="212"/>
              <w:jc w:val="left"/>
              <w:rPr>
                <w:b/>
                <w:sz w:val="21"/>
              </w:rPr>
            </w:pPr>
            <w:r>
              <w:rPr>
                <w:b/>
                <w:sz w:val="21"/>
              </w:rPr>
              <w:t>达标情况</w:t>
            </w:r>
          </w:p>
        </w:tc>
      </w:tr>
      <w:tr>
        <w:trPr>
          <w:trHeight w:val="290" w:hRule="atLeast"/>
        </w:trPr>
        <w:tc>
          <w:tcPr>
            <w:tcW w:w="2521" w:type="dxa"/>
            <w:vMerge/>
            <w:tcBorders>
              <w:top w:val="nil"/>
            </w:tcBorders>
          </w:tcPr>
          <w:p>
            <w:pPr>
              <w:rPr>
                <w:sz w:val="2"/>
                <w:szCs w:val="2"/>
              </w:rPr>
            </w:pPr>
          </w:p>
        </w:tc>
        <w:tc>
          <w:tcPr>
            <w:tcW w:w="1136" w:type="dxa"/>
          </w:tcPr>
          <w:p>
            <w:pPr>
              <w:pStyle w:val="TableParagraph"/>
              <w:spacing w:before="27"/>
              <w:ind w:left="261"/>
              <w:jc w:val="left"/>
              <w:rPr>
                <w:rFonts w:ascii="Times New Roman"/>
                <w:b/>
                <w:sz w:val="21"/>
              </w:rPr>
            </w:pPr>
            <w:r>
              <w:rPr>
                <w:rFonts w:ascii="Times New Roman"/>
                <w:b/>
                <w:sz w:val="21"/>
              </w:rPr>
              <w:t>0-0.5m</w:t>
            </w:r>
          </w:p>
        </w:tc>
        <w:tc>
          <w:tcPr>
            <w:tcW w:w="1134" w:type="dxa"/>
          </w:tcPr>
          <w:p>
            <w:pPr>
              <w:pStyle w:val="TableParagraph"/>
              <w:spacing w:before="27"/>
              <w:ind w:left="159" w:right="159"/>
              <w:rPr>
                <w:rFonts w:ascii="Times New Roman"/>
                <w:b/>
                <w:sz w:val="21"/>
              </w:rPr>
            </w:pPr>
            <w:r>
              <w:rPr>
                <w:rFonts w:ascii="Times New Roman"/>
                <w:b/>
                <w:sz w:val="21"/>
              </w:rPr>
              <w:t>0.5-1.5m</w:t>
            </w:r>
          </w:p>
        </w:tc>
        <w:tc>
          <w:tcPr>
            <w:tcW w:w="1137" w:type="dxa"/>
          </w:tcPr>
          <w:p>
            <w:pPr>
              <w:pStyle w:val="TableParagraph"/>
              <w:spacing w:before="27"/>
              <w:ind w:left="96" w:right="99"/>
              <w:rPr>
                <w:rFonts w:ascii="Times New Roman"/>
                <w:b/>
                <w:sz w:val="21"/>
              </w:rPr>
            </w:pPr>
            <w:r>
              <w:rPr>
                <w:rFonts w:ascii="Times New Roman"/>
                <w:b/>
                <w:sz w:val="21"/>
              </w:rPr>
              <w:t>1.5-3.0m</w:t>
            </w:r>
          </w:p>
        </w:tc>
        <w:tc>
          <w:tcPr>
            <w:tcW w:w="1065" w:type="dxa"/>
          </w:tcPr>
          <w:p>
            <w:pPr>
              <w:pStyle w:val="TableParagraph"/>
              <w:spacing w:before="27"/>
              <w:ind w:left="124" w:right="125"/>
              <w:rPr>
                <w:rFonts w:ascii="Times New Roman"/>
                <w:b/>
                <w:sz w:val="21"/>
              </w:rPr>
            </w:pPr>
            <w:r>
              <w:rPr>
                <w:rFonts w:ascii="Times New Roman"/>
                <w:b/>
                <w:sz w:val="21"/>
              </w:rPr>
              <w:t>3.0-6.0m</w:t>
            </w:r>
          </w:p>
        </w:tc>
        <w:tc>
          <w:tcPr>
            <w:tcW w:w="1349" w:type="dxa"/>
            <w:vMerge/>
            <w:tcBorders>
              <w:top w:val="nil"/>
            </w:tcBorders>
          </w:tcPr>
          <w:p>
            <w:pPr>
              <w:rPr>
                <w:sz w:val="2"/>
                <w:szCs w:val="2"/>
              </w:rPr>
            </w:pPr>
          </w:p>
        </w:tc>
        <w:tc>
          <w:tcPr>
            <w:tcW w:w="1015" w:type="dxa"/>
            <w:vMerge/>
            <w:tcBorders>
              <w:top w:val="nil"/>
            </w:tcBorders>
          </w:tcPr>
          <w:p>
            <w:pPr>
              <w:rPr>
                <w:sz w:val="2"/>
                <w:szCs w:val="2"/>
              </w:rPr>
            </w:pPr>
          </w:p>
        </w:tc>
      </w:tr>
      <w:tr>
        <w:trPr>
          <w:trHeight w:val="283" w:hRule="atLeast"/>
        </w:trPr>
        <w:tc>
          <w:tcPr>
            <w:tcW w:w="2521" w:type="dxa"/>
          </w:tcPr>
          <w:p>
            <w:pPr>
              <w:pStyle w:val="TableParagraph"/>
              <w:spacing w:line="257" w:lineRule="exact" w:before="6"/>
              <w:ind w:left="107" w:right="104"/>
              <w:rPr>
                <w:rFonts w:ascii="Times New Roman" w:eastAsia="Times New Roman"/>
                <w:sz w:val="21"/>
              </w:rPr>
            </w:pPr>
            <w:r>
              <w:rPr>
                <w:sz w:val="21"/>
              </w:rPr>
              <w:t>镍 </w:t>
            </w:r>
            <w:r>
              <w:rPr>
                <w:rFonts w:ascii="Times New Roman" w:eastAsia="Times New Roman"/>
                <w:sz w:val="21"/>
              </w:rPr>
              <w:t>mg/kg</w:t>
            </w:r>
          </w:p>
        </w:tc>
        <w:tc>
          <w:tcPr>
            <w:tcW w:w="1136" w:type="dxa"/>
          </w:tcPr>
          <w:p>
            <w:pPr>
              <w:pStyle w:val="TableParagraph"/>
              <w:spacing w:before="20"/>
              <w:ind w:left="101" w:right="101"/>
              <w:rPr>
                <w:rFonts w:ascii="Times New Roman"/>
                <w:sz w:val="21"/>
              </w:rPr>
            </w:pPr>
            <w:r>
              <w:rPr>
                <w:rFonts w:ascii="Times New Roman"/>
                <w:sz w:val="21"/>
              </w:rPr>
              <w:t>32</w:t>
            </w:r>
          </w:p>
        </w:tc>
        <w:tc>
          <w:tcPr>
            <w:tcW w:w="1134" w:type="dxa"/>
          </w:tcPr>
          <w:p>
            <w:pPr>
              <w:pStyle w:val="TableParagraph"/>
              <w:spacing w:before="20"/>
              <w:ind w:left="159" w:right="158"/>
              <w:rPr>
                <w:rFonts w:ascii="Times New Roman"/>
                <w:sz w:val="21"/>
              </w:rPr>
            </w:pPr>
            <w:r>
              <w:rPr>
                <w:rFonts w:ascii="Times New Roman"/>
                <w:sz w:val="21"/>
              </w:rPr>
              <w:t>45</w:t>
            </w:r>
          </w:p>
        </w:tc>
        <w:tc>
          <w:tcPr>
            <w:tcW w:w="1137" w:type="dxa"/>
          </w:tcPr>
          <w:p>
            <w:pPr>
              <w:pStyle w:val="TableParagraph"/>
              <w:spacing w:before="20"/>
              <w:ind w:left="98" w:right="99"/>
              <w:rPr>
                <w:rFonts w:ascii="Times New Roman"/>
                <w:sz w:val="21"/>
              </w:rPr>
            </w:pPr>
            <w:r>
              <w:rPr>
                <w:rFonts w:ascii="Times New Roman"/>
                <w:sz w:val="21"/>
              </w:rPr>
              <w:t>46</w:t>
            </w:r>
          </w:p>
        </w:tc>
        <w:tc>
          <w:tcPr>
            <w:tcW w:w="1065" w:type="dxa"/>
          </w:tcPr>
          <w:p>
            <w:pPr>
              <w:pStyle w:val="TableParagraph"/>
              <w:spacing w:before="20"/>
              <w:ind w:left="120" w:right="125"/>
              <w:rPr>
                <w:rFonts w:ascii="Times New Roman"/>
                <w:sz w:val="21"/>
              </w:rPr>
            </w:pPr>
            <w:r>
              <w:rPr>
                <w:rFonts w:ascii="Times New Roman"/>
                <w:sz w:val="21"/>
              </w:rPr>
              <w:t>24</w:t>
            </w:r>
          </w:p>
        </w:tc>
        <w:tc>
          <w:tcPr>
            <w:tcW w:w="1349" w:type="dxa"/>
          </w:tcPr>
          <w:p>
            <w:pPr>
              <w:pStyle w:val="TableParagraph"/>
              <w:spacing w:before="20"/>
              <w:ind w:left="281" w:right="285"/>
              <w:rPr>
                <w:rFonts w:ascii="Times New Roman"/>
                <w:sz w:val="21"/>
              </w:rPr>
            </w:pPr>
            <w:r>
              <w:rPr>
                <w:rFonts w:ascii="Times New Roman"/>
                <w:sz w:val="21"/>
              </w:rPr>
              <w:t>900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镉 </w:t>
            </w:r>
            <w:r>
              <w:rPr>
                <w:rFonts w:ascii="Times New Roman" w:eastAsia="Times New Roman"/>
                <w:sz w:val="21"/>
              </w:rPr>
              <w:t>mg/kg</w:t>
            </w:r>
          </w:p>
        </w:tc>
        <w:tc>
          <w:tcPr>
            <w:tcW w:w="1136" w:type="dxa"/>
          </w:tcPr>
          <w:p>
            <w:pPr>
              <w:pStyle w:val="TableParagraph"/>
              <w:spacing w:before="22"/>
              <w:ind w:left="106" w:right="101"/>
              <w:rPr>
                <w:rFonts w:ascii="Times New Roman"/>
                <w:sz w:val="21"/>
              </w:rPr>
            </w:pPr>
            <w:r>
              <w:rPr>
                <w:rFonts w:ascii="Times New Roman"/>
                <w:sz w:val="21"/>
              </w:rPr>
              <w:t>0.07</w:t>
            </w:r>
          </w:p>
        </w:tc>
        <w:tc>
          <w:tcPr>
            <w:tcW w:w="1134" w:type="dxa"/>
          </w:tcPr>
          <w:p>
            <w:pPr>
              <w:pStyle w:val="TableParagraph"/>
              <w:spacing w:before="22"/>
              <w:ind w:left="159" w:right="158"/>
              <w:rPr>
                <w:rFonts w:ascii="Times New Roman"/>
                <w:sz w:val="21"/>
              </w:rPr>
            </w:pPr>
            <w:r>
              <w:rPr>
                <w:rFonts w:ascii="Times New Roman"/>
                <w:sz w:val="21"/>
              </w:rPr>
              <w:t>0.05</w:t>
            </w:r>
          </w:p>
        </w:tc>
        <w:tc>
          <w:tcPr>
            <w:tcW w:w="1137" w:type="dxa"/>
          </w:tcPr>
          <w:p>
            <w:pPr>
              <w:pStyle w:val="TableParagraph"/>
              <w:spacing w:before="22"/>
              <w:ind w:left="97" w:right="99"/>
              <w:rPr>
                <w:rFonts w:ascii="Times New Roman"/>
                <w:sz w:val="21"/>
              </w:rPr>
            </w:pPr>
            <w:r>
              <w:rPr>
                <w:rFonts w:ascii="Times New Roman"/>
                <w:sz w:val="21"/>
              </w:rPr>
              <w:t>0.05</w:t>
            </w:r>
          </w:p>
        </w:tc>
        <w:tc>
          <w:tcPr>
            <w:tcW w:w="1065" w:type="dxa"/>
          </w:tcPr>
          <w:p>
            <w:pPr>
              <w:pStyle w:val="TableParagraph"/>
              <w:spacing w:before="22"/>
              <w:ind w:left="124" w:right="124"/>
              <w:rPr>
                <w:rFonts w:ascii="Times New Roman"/>
                <w:sz w:val="21"/>
              </w:rPr>
            </w:pPr>
            <w:r>
              <w:rPr>
                <w:rFonts w:ascii="Times New Roman"/>
                <w:sz w:val="21"/>
              </w:rPr>
              <w:t>0.06</w:t>
            </w:r>
          </w:p>
        </w:tc>
        <w:tc>
          <w:tcPr>
            <w:tcW w:w="1349" w:type="dxa"/>
          </w:tcPr>
          <w:p>
            <w:pPr>
              <w:pStyle w:val="TableParagraph"/>
              <w:spacing w:before="22"/>
              <w:ind w:left="279" w:right="288"/>
              <w:rPr>
                <w:rFonts w:ascii="Times New Roman"/>
                <w:sz w:val="21"/>
              </w:rPr>
            </w:pPr>
            <w:r>
              <w:rPr>
                <w:rFonts w:ascii="Times New Roman"/>
                <w:sz w:val="21"/>
              </w:rPr>
              <w:t>65</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&lt;1.3</w:t>
            </w:r>
          </w:p>
        </w:tc>
        <w:tc>
          <w:tcPr>
            <w:tcW w:w="1134" w:type="dxa"/>
          </w:tcPr>
          <w:p>
            <w:pPr>
              <w:pStyle w:val="TableParagraph"/>
              <w:spacing w:before="20"/>
              <w:ind w:left="159" w:right="159"/>
              <w:rPr>
                <w:rFonts w:ascii="Times New Roman"/>
                <w:sz w:val="21"/>
              </w:rPr>
            </w:pPr>
            <w:r>
              <w:rPr>
                <w:rFonts w:ascii="Times New Roman"/>
                <w:sz w:val="21"/>
              </w:rPr>
              <w:t>&lt;1.3</w:t>
            </w:r>
          </w:p>
        </w:tc>
        <w:tc>
          <w:tcPr>
            <w:tcW w:w="1137" w:type="dxa"/>
          </w:tcPr>
          <w:p>
            <w:pPr>
              <w:pStyle w:val="TableParagraph"/>
              <w:spacing w:before="20"/>
              <w:ind w:left="97" w:right="99"/>
              <w:rPr>
                <w:rFonts w:ascii="Times New Roman"/>
                <w:sz w:val="21"/>
              </w:rPr>
            </w:pPr>
            <w:r>
              <w:rPr>
                <w:rFonts w:ascii="Times New Roman"/>
                <w:sz w:val="21"/>
              </w:rPr>
              <w:t>&lt;1.3</w:t>
            </w:r>
          </w:p>
        </w:tc>
        <w:tc>
          <w:tcPr>
            <w:tcW w:w="1065" w:type="dxa"/>
          </w:tcPr>
          <w:p>
            <w:pPr>
              <w:pStyle w:val="TableParagraph"/>
              <w:spacing w:before="20"/>
              <w:ind w:left="124" w:right="124"/>
              <w:rPr>
                <w:rFonts w:ascii="Times New Roman"/>
                <w:sz w:val="21"/>
              </w:rPr>
            </w:pPr>
            <w:r>
              <w:rPr>
                <w:rFonts w:ascii="Times New Roman"/>
                <w:sz w:val="21"/>
              </w:rPr>
              <w:t>&lt;1.3</w:t>
            </w:r>
          </w:p>
        </w:tc>
        <w:tc>
          <w:tcPr>
            <w:tcW w:w="1349" w:type="dxa"/>
          </w:tcPr>
          <w:p>
            <w:pPr>
              <w:pStyle w:val="TableParagraph"/>
              <w:spacing w:before="20"/>
              <w:ind w:left="281" w:right="285"/>
              <w:rPr>
                <w:rFonts w:ascii="Times New Roman"/>
                <w:sz w:val="21"/>
              </w:rPr>
            </w:pPr>
            <w:r>
              <w:rPr>
                <w:rFonts w:ascii="Times New Roman"/>
                <w:sz w:val="21"/>
              </w:rPr>
              <w:t>2800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&lt;1.1</w:t>
            </w:r>
          </w:p>
        </w:tc>
        <w:tc>
          <w:tcPr>
            <w:tcW w:w="1134" w:type="dxa"/>
          </w:tcPr>
          <w:p>
            <w:pPr>
              <w:pStyle w:val="TableParagraph"/>
              <w:spacing w:before="22"/>
              <w:ind w:left="159" w:right="159"/>
              <w:rPr>
                <w:rFonts w:ascii="Times New Roman"/>
                <w:sz w:val="21"/>
              </w:rPr>
            </w:pPr>
            <w:r>
              <w:rPr>
                <w:rFonts w:ascii="Times New Roman"/>
                <w:sz w:val="21"/>
              </w:rPr>
              <w:t>&lt;1.1</w:t>
            </w:r>
          </w:p>
        </w:tc>
        <w:tc>
          <w:tcPr>
            <w:tcW w:w="1137" w:type="dxa"/>
          </w:tcPr>
          <w:p>
            <w:pPr>
              <w:pStyle w:val="TableParagraph"/>
              <w:spacing w:before="22"/>
              <w:ind w:left="97" w:right="99"/>
              <w:rPr>
                <w:rFonts w:ascii="Times New Roman"/>
                <w:sz w:val="21"/>
              </w:rPr>
            </w:pPr>
            <w:r>
              <w:rPr>
                <w:rFonts w:ascii="Times New Roman"/>
                <w:sz w:val="21"/>
              </w:rPr>
              <w:t>&lt;1.1</w:t>
            </w:r>
          </w:p>
        </w:tc>
        <w:tc>
          <w:tcPr>
            <w:tcW w:w="1065" w:type="dxa"/>
          </w:tcPr>
          <w:p>
            <w:pPr>
              <w:pStyle w:val="TableParagraph"/>
              <w:spacing w:before="22"/>
              <w:ind w:left="124" w:right="124"/>
              <w:rPr>
                <w:rFonts w:ascii="Times New Roman"/>
                <w:sz w:val="21"/>
              </w:rPr>
            </w:pPr>
            <w:r>
              <w:rPr>
                <w:rFonts w:ascii="Times New Roman"/>
                <w:sz w:val="21"/>
              </w:rPr>
              <w:t>&lt;1.1</w:t>
            </w:r>
          </w:p>
        </w:tc>
        <w:tc>
          <w:tcPr>
            <w:tcW w:w="1349" w:type="dxa"/>
          </w:tcPr>
          <w:p>
            <w:pPr>
              <w:pStyle w:val="TableParagraph"/>
              <w:spacing w:before="22"/>
              <w:ind w:left="281" w:right="285"/>
              <w:rPr>
                <w:rFonts w:ascii="Times New Roman"/>
                <w:sz w:val="21"/>
              </w:rPr>
            </w:pPr>
            <w:r>
              <w:rPr>
                <w:rFonts w:ascii="Times New Roman"/>
                <w:sz w:val="21"/>
              </w:rPr>
              <w:t>900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&lt;1.0</w:t>
            </w:r>
          </w:p>
        </w:tc>
        <w:tc>
          <w:tcPr>
            <w:tcW w:w="1134" w:type="dxa"/>
          </w:tcPr>
          <w:p>
            <w:pPr>
              <w:pStyle w:val="TableParagraph"/>
              <w:spacing w:before="20"/>
              <w:ind w:left="159" w:right="159"/>
              <w:rPr>
                <w:rFonts w:ascii="Times New Roman"/>
                <w:sz w:val="21"/>
              </w:rPr>
            </w:pPr>
            <w:r>
              <w:rPr>
                <w:rFonts w:ascii="Times New Roman"/>
                <w:sz w:val="21"/>
              </w:rPr>
              <w:t>&lt;1.0</w:t>
            </w:r>
          </w:p>
        </w:tc>
        <w:tc>
          <w:tcPr>
            <w:tcW w:w="1137" w:type="dxa"/>
          </w:tcPr>
          <w:p>
            <w:pPr>
              <w:pStyle w:val="TableParagraph"/>
              <w:spacing w:before="20"/>
              <w:ind w:left="97" w:right="99"/>
              <w:rPr>
                <w:rFonts w:ascii="Times New Roman"/>
                <w:sz w:val="21"/>
              </w:rPr>
            </w:pPr>
            <w:r>
              <w:rPr>
                <w:rFonts w:ascii="Times New Roman"/>
                <w:sz w:val="21"/>
              </w:rPr>
              <w:t>&lt;1.0</w:t>
            </w:r>
          </w:p>
        </w:tc>
        <w:tc>
          <w:tcPr>
            <w:tcW w:w="1065" w:type="dxa"/>
          </w:tcPr>
          <w:p>
            <w:pPr>
              <w:pStyle w:val="TableParagraph"/>
              <w:spacing w:before="20"/>
              <w:ind w:left="124" w:right="124"/>
              <w:rPr>
                <w:rFonts w:ascii="Times New Roman"/>
                <w:sz w:val="21"/>
              </w:rPr>
            </w:pPr>
            <w:r>
              <w:rPr>
                <w:rFonts w:ascii="Times New Roman"/>
                <w:sz w:val="21"/>
              </w:rPr>
              <w:t>&lt;1.0</w:t>
            </w:r>
          </w:p>
        </w:tc>
        <w:tc>
          <w:tcPr>
            <w:tcW w:w="1349" w:type="dxa"/>
          </w:tcPr>
          <w:p>
            <w:pPr>
              <w:pStyle w:val="TableParagraph"/>
              <w:spacing w:before="20"/>
              <w:ind w:left="281" w:right="285"/>
              <w:rPr>
                <w:rFonts w:ascii="Times New Roman"/>
                <w:sz w:val="21"/>
              </w:rPr>
            </w:pPr>
            <w:r>
              <w:rPr>
                <w:rFonts w:ascii="Times New Roman"/>
                <w:sz w:val="21"/>
              </w:rPr>
              <w:t>37000</w:t>
            </w:r>
          </w:p>
        </w:tc>
        <w:tc>
          <w:tcPr>
            <w:tcW w:w="1015" w:type="dxa"/>
          </w:tcPr>
          <w:p>
            <w:pPr>
              <w:pStyle w:val="TableParagraph"/>
              <w:spacing w:line="257" w:lineRule="exact" w:before="6"/>
              <w:ind w:left="37" w:right="47"/>
              <w:rPr>
                <w:sz w:val="21"/>
              </w:rPr>
            </w:pPr>
            <w:r>
              <w:rPr>
                <w:sz w:val="21"/>
              </w:rPr>
              <w:t>达标</w:t>
            </w:r>
          </w:p>
        </w:tc>
      </w:tr>
      <w:tr>
        <w:trPr>
          <w:trHeight w:val="283" w:hRule="atLeast"/>
        </w:trPr>
        <w:tc>
          <w:tcPr>
            <w:tcW w:w="2521" w:type="dxa"/>
          </w:tcPr>
          <w:p>
            <w:pPr>
              <w:pStyle w:val="TableParagraph"/>
              <w:spacing w:line="255" w:lineRule="exact" w:before="8"/>
              <w:ind w:left="107" w:right="104"/>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136" w:type="dxa"/>
          </w:tcPr>
          <w:p>
            <w:pPr>
              <w:pStyle w:val="TableParagraph"/>
              <w:spacing w:line="241" w:lineRule="exact" w:before="22"/>
              <w:ind w:left="376"/>
              <w:jc w:val="left"/>
              <w:rPr>
                <w:rFonts w:ascii="Times New Roman"/>
                <w:sz w:val="21"/>
              </w:rPr>
            </w:pPr>
            <w:r>
              <w:rPr>
                <w:rFonts w:ascii="Times New Roman"/>
                <w:sz w:val="21"/>
              </w:rPr>
              <w:t>&lt;1.2</w:t>
            </w:r>
          </w:p>
        </w:tc>
        <w:tc>
          <w:tcPr>
            <w:tcW w:w="1134" w:type="dxa"/>
          </w:tcPr>
          <w:p>
            <w:pPr>
              <w:pStyle w:val="TableParagraph"/>
              <w:spacing w:line="241" w:lineRule="exact" w:before="22"/>
              <w:ind w:left="159" w:right="159"/>
              <w:rPr>
                <w:rFonts w:ascii="Times New Roman"/>
                <w:sz w:val="21"/>
              </w:rPr>
            </w:pPr>
            <w:r>
              <w:rPr>
                <w:rFonts w:ascii="Times New Roman"/>
                <w:sz w:val="21"/>
              </w:rPr>
              <w:t>&lt;1.2</w:t>
            </w:r>
          </w:p>
        </w:tc>
        <w:tc>
          <w:tcPr>
            <w:tcW w:w="1137" w:type="dxa"/>
          </w:tcPr>
          <w:p>
            <w:pPr>
              <w:pStyle w:val="TableParagraph"/>
              <w:spacing w:line="241" w:lineRule="exact" w:before="22"/>
              <w:ind w:left="97" w:right="99"/>
              <w:rPr>
                <w:rFonts w:ascii="Times New Roman"/>
                <w:sz w:val="21"/>
              </w:rPr>
            </w:pPr>
            <w:r>
              <w:rPr>
                <w:rFonts w:ascii="Times New Roman"/>
                <w:sz w:val="21"/>
              </w:rPr>
              <w:t>&lt;1.2</w:t>
            </w:r>
          </w:p>
        </w:tc>
        <w:tc>
          <w:tcPr>
            <w:tcW w:w="1065" w:type="dxa"/>
          </w:tcPr>
          <w:p>
            <w:pPr>
              <w:pStyle w:val="TableParagraph"/>
              <w:spacing w:line="241" w:lineRule="exact" w:before="22"/>
              <w:ind w:left="124" w:right="124"/>
              <w:rPr>
                <w:rFonts w:ascii="Times New Roman"/>
                <w:sz w:val="21"/>
              </w:rPr>
            </w:pPr>
            <w:r>
              <w:rPr>
                <w:rFonts w:ascii="Times New Roman"/>
                <w:sz w:val="21"/>
              </w:rPr>
              <w:t>&lt;1.2</w:t>
            </w:r>
          </w:p>
        </w:tc>
        <w:tc>
          <w:tcPr>
            <w:tcW w:w="1349" w:type="dxa"/>
          </w:tcPr>
          <w:p>
            <w:pPr>
              <w:pStyle w:val="TableParagraph"/>
              <w:spacing w:line="241" w:lineRule="exact" w:before="22"/>
              <w:ind w:left="281" w:right="285"/>
              <w:rPr>
                <w:rFonts w:ascii="Times New Roman"/>
                <w:sz w:val="21"/>
              </w:rPr>
            </w:pPr>
            <w:r>
              <w:rPr>
                <w:rFonts w:ascii="Times New Roman"/>
                <w:sz w:val="21"/>
              </w:rPr>
              <w:t>9000</w:t>
            </w:r>
          </w:p>
        </w:tc>
        <w:tc>
          <w:tcPr>
            <w:tcW w:w="1015" w:type="dxa"/>
          </w:tcPr>
          <w:p>
            <w:pPr>
              <w:pStyle w:val="TableParagraph"/>
              <w:spacing w:line="255" w:lineRule="exact" w:before="8"/>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&lt;1.3</w:t>
            </w:r>
          </w:p>
        </w:tc>
        <w:tc>
          <w:tcPr>
            <w:tcW w:w="1134" w:type="dxa"/>
          </w:tcPr>
          <w:p>
            <w:pPr>
              <w:pStyle w:val="TableParagraph"/>
              <w:spacing w:before="22"/>
              <w:ind w:left="159" w:right="159"/>
              <w:rPr>
                <w:rFonts w:ascii="Times New Roman"/>
                <w:sz w:val="21"/>
              </w:rPr>
            </w:pPr>
            <w:r>
              <w:rPr>
                <w:rFonts w:ascii="Times New Roman"/>
                <w:sz w:val="21"/>
              </w:rPr>
              <w:t>&lt;1.3</w:t>
            </w:r>
          </w:p>
        </w:tc>
        <w:tc>
          <w:tcPr>
            <w:tcW w:w="1137" w:type="dxa"/>
          </w:tcPr>
          <w:p>
            <w:pPr>
              <w:pStyle w:val="TableParagraph"/>
              <w:spacing w:before="22"/>
              <w:ind w:left="97" w:right="99"/>
              <w:rPr>
                <w:rFonts w:ascii="Times New Roman"/>
                <w:sz w:val="21"/>
              </w:rPr>
            </w:pPr>
            <w:r>
              <w:rPr>
                <w:rFonts w:ascii="Times New Roman"/>
                <w:sz w:val="21"/>
              </w:rPr>
              <w:t>&lt;1.3</w:t>
            </w:r>
          </w:p>
        </w:tc>
        <w:tc>
          <w:tcPr>
            <w:tcW w:w="1065" w:type="dxa"/>
          </w:tcPr>
          <w:p>
            <w:pPr>
              <w:pStyle w:val="TableParagraph"/>
              <w:spacing w:before="22"/>
              <w:ind w:left="124" w:right="124"/>
              <w:rPr>
                <w:rFonts w:ascii="Times New Roman"/>
                <w:sz w:val="21"/>
              </w:rPr>
            </w:pPr>
            <w:r>
              <w:rPr>
                <w:rFonts w:ascii="Times New Roman"/>
                <w:sz w:val="21"/>
              </w:rPr>
              <w:t>&lt;1.3</w:t>
            </w:r>
          </w:p>
        </w:tc>
        <w:tc>
          <w:tcPr>
            <w:tcW w:w="1349" w:type="dxa"/>
          </w:tcPr>
          <w:p>
            <w:pPr>
              <w:pStyle w:val="TableParagraph"/>
              <w:spacing w:before="22"/>
              <w:ind w:left="281" w:right="285"/>
              <w:rPr>
                <w:rFonts w:ascii="Times New Roman"/>
                <w:sz w:val="21"/>
              </w:rPr>
            </w:pPr>
            <w:r>
              <w:rPr>
                <w:rFonts w:ascii="Times New Roman"/>
                <w:sz w:val="21"/>
              </w:rPr>
              <w:t>5000</w:t>
            </w:r>
          </w:p>
        </w:tc>
        <w:tc>
          <w:tcPr>
            <w:tcW w:w="1015" w:type="dxa"/>
          </w:tcPr>
          <w:p>
            <w:pPr>
              <w:pStyle w:val="TableParagraph"/>
              <w:spacing w:line="257" w:lineRule="exact" w:before="8"/>
              <w:ind w:left="37" w:right="47"/>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&lt;1.0</w:t>
            </w:r>
          </w:p>
        </w:tc>
        <w:tc>
          <w:tcPr>
            <w:tcW w:w="1134" w:type="dxa"/>
          </w:tcPr>
          <w:p>
            <w:pPr>
              <w:pStyle w:val="TableParagraph"/>
              <w:spacing w:before="20"/>
              <w:ind w:left="159" w:right="159"/>
              <w:rPr>
                <w:rFonts w:ascii="Times New Roman"/>
                <w:sz w:val="21"/>
              </w:rPr>
            </w:pPr>
            <w:r>
              <w:rPr>
                <w:rFonts w:ascii="Times New Roman"/>
                <w:sz w:val="21"/>
              </w:rPr>
              <w:t>&lt;1.0</w:t>
            </w:r>
          </w:p>
        </w:tc>
        <w:tc>
          <w:tcPr>
            <w:tcW w:w="1137" w:type="dxa"/>
          </w:tcPr>
          <w:p>
            <w:pPr>
              <w:pStyle w:val="TableParagraph"/>
              <w:spacing w:before="20"/>
              <w:ind w:left="98" w:right="99"/>
              <w:rPr>
                <w:rFonts w:ascii="Times New Roman"/>
                <w:sz w:val="21"/>
              </w:rPr>
            </w:pPr>
            <w:r>
              <w:rPr>
                <w:rFonts w:ascii="Times New Roman"/>
                <w:sz w:val="21"/>
              </w:rPr>
              <w:t>&lt;1.0</w:t>
            </w:r>
          </w:p>
        </w:tc>
        <w:tc>
          <w:tcPr>
            <w:tcW w:w="1065" w:type="dxa"/>
          </w:tcPr>
          <w:p>
            <w:pPr>
              <w:pStyle w:val="TableParagraph"/>
              <w:spacing w:before="20"/>
              <w:ind w:left="124" w:right="124"/>
              <w:rPr>
                <w:rFonts w:ascii="Times New Roman"/>
                <w:sz w:val="21"/>
              </w:rPr>
            </w:pPr>
            <w:r>
              <w:rPr>
                <w:rFonts w:ascii="Times New Roman"/>
                <w:sz w:val="21"/>
              </w:rPr>
              <w:t>&lt;1.0</w:t>
            </w:r>
          </w:p>
        </w:tc>
        <w:tc>
          <w:tcPr>
            <w:tcW w:w="1349" w:type="dxa"/>
          </w:tcPr>
          <w:p>
            <w:pPr>
              <w:pStyle w:val="TableParagraph"/>
              <w:spacing w:before="20"/>
              <w:ind w:left="281" w:right="285"/>
              <w:rPr>
                <w:rFonts w:ascii="Times New Roman"/>
                <w:sz w:val="21"/>
              </w:rPr>
            </w:pPr>
            <w:r>
              <w:rPr>
                <w:rFonts w:ascii="Times New Roman"/>
                <w:sz w:val="21"/>
              </w:rPr>
              <w:t>66000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&lt;1.3</w:t>
            </w:r>
          </w:p>
        </w:tc>
        <w:tc>
          <w:tcPr>
            <w:tcW w:w="1134" w:type="dxa"/>
          </w:tcPr>
          <w:p>
            <w:pPr>
              <w:pStyle w:val="TableParagraph"/>
              <w:spacing w:before="22"/>
              <w:ind w:left="159" w:right="159"/>
              <w:rPr>
                <w:rFonts w:ascii="Times New Roman"/>
                <w:sz w:val="21"/>
              </w:rPr>
            </w:pPr>
            <w:r>
              <w:rPr>
                <w:rFonts w:ascii="Times New Roman"/>
                <w:sz w:val="21"/>
              </w:rPr>
              <w:t>&lt;1.3</w:t>
            </w:r>
          </w:p>
        </w:tc>
        <w:tc>
          <w:tcPr>
            <w:tcW w:w="1137" w:type="dxa"/>
          </w:tcPr>
          <w:p>
            <w:pPr>
              <w:pStyle w:val="TableParagraph"/>
              <w:spacing w:before="22"/>
              <w:ind w:left="97" w:right="99"/>
              <w:rPr>
                <w:rFonts w:ascii="Times New Roman"/>
                <w:sz w:val="21"/>
              </w:rPr>
            </w:pPr>
            <w:r>
              <w:rPr>
                <w:rFonts w:ascii="Times New Roman"/>
                <w:sz w:val="21"/>
              </w:rPr>
              <w:t>&lt;1.3</w:t>
            </w:r>
          </w:p>
        </w:tc>
        <w:tc>
          <w:tcPr>
            <w:tcW w:w="1065" w:type="dxa"/>
          </w:tcPr>
          <w:p>
            <w:pPr>
              <w:pStyle w:val="TableParagraph"/>
              <w:spacing w:before="22"/>
              <w:ind w:left="124" w:right="124"/>
              <w:rPr>
                <w:rFonts w:ascii="Times New Roman"/>
                <w:sz w:val="21"/>
              </w:rPr>
            </w:pPr>
            <w:r>
              <w:rPr>
                <w:rFonts w:ascii="Times New Roman"/>
                <w:sz w:val="21"/>
              </w:rPr>
              <w:t>&lt;1.3</w:t>
            </w:r>
          </w:p>
        </w:tc>
        <w:tc>
          <w:tcPr>
            <w:tcW w:w="1349" w:type="dxa"/>
          </w:tcPr>
          <w:p>
            <w:pPr>
              <w:pStyle w:val="TableParagraph"/>
              <w:spacing w:before="22"/>
              <w:ind w:left="281" w:right="285"/>
              <w:rPr>
                <w:rFonts w:ascii="Times New Roman"/>
                <w:sz w:val="21"/>
              </w:rPr>
            </w:pPr>
            <w:r>
              <w:rPr>
                <w:rFonts w:ascii="Times New Roman"/>
                <w:sz w:val="21"/>
              </w:rPr>
              <w:t>596000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&lt;1.4</w:t>
            </w:r>
          </w:p>
        </w:tc>
        <w:tc>
          <w:tcPr>
            <w:tcW w:w="1134" w:type="dxa"/>
          </w:tcPr>
          <w:p>
            <w:pPr>
              <w:pStyle w:val="TableParagraph"/>
              <w:spacing w:before="20"/>
              <w:ind w:left="159" w:right="159"/>
              <w:rPr>
                <w:rFonts w:ascii="Times New Roman"/>
                <w:sz w:val="21"/>
              </w:rPr>
            </w:pPr>
            <w:r>
              <w:rPr>
                <w:rFonts w:ascii="Times New Roman"/>
                <w:sz w:val="21"/>
              </w:rPr>
              <w:t>&lt;1.4</w:t>
            </w:r>
          </w:p>
        </w:tc>
        <w:tc>
          <w:tcPr>
            <w:tcW w:w="1137" w:type="dxa"/>
          </w:tcPr>
          <w:p>
            <w:pPr>
              <w:pStyle w:val="TableParagraph"/>
              <w:spacing w:before="20"/>
              <w:ind w:left="97" w:right="99"/>
              <w:rPr>
                <w:rFonts w:ascii="Times New Roman"/>
                <w:sz w:val="21"/>
              </w:rPr>
            </w:pPr>
            <w:r>
              <w:rPr>
                <w:rFonts w:ascii="Times New Roman"/>
                <w:sz w:val="21"/>
              </w:rPr>
              <w:t>&lt;1.4</w:t>
            </w:r>
          </w:p>
        </w:tc>
        <w:tc>
          <w:tcPr>
            <w:tcW w:w="1065" w:type="dxa"/>
          </w:tcPr>
          <w:p>
            <w:pPr>
              <w:pStyle w:val="TableParagraph"/>
              <w:spacing w:before="20"/>
              <w:ind w:left="124" w:right="124"/>
              <w:rPr>
                <w:rFonts w:ascii="Times New Roman"/>
                <w:sz w:val="21"/>
              </w:rPr>
            </w:pPr>
            <w:r>
              <w:rPr>
                <w:rFonts w:ascii="Times New Roman"/>
                <w:sz w:val="21"/>
              </w:rPr>
              <w:t>&lt;1.4</w:t>
            </w:r>
          </w:p>
        </w:tc>
        <w:tc>
          <w:tcPr>
            <w:tcW w:w="1349" w:type="dxa"/>
          </w:tcPr>
          <w:p>
            <w:pPr>
              <w:pStyle w:val="TableParagraph"/>
              <w:spacing w:before="20"/>
              <w:ind w:left="281" w:right="285"/>
              <w:rPr>
                <w:rFonts w:ascii="Times New Roman"/>
                <w:sz w:val="21"/>
              </w:rPr>
            </w:pPr>
            <w:r>
              <w:rPr>
                <w:rFonts w:ascii="Times New Roman"/>
                <w:sz w:val="21"/>
              </w:rPr>
              <w:t>54000</w:t>
            </w:r>
          </w:p>
        </w:tc>
        <w:tc>
          <w:tcPr>
            <w:tcW w:w="1015" w:type="dxa"/>
          </w:tcPr>
          <w:p>
            <w:pPr>
              <w:pStyle w:val="TableParagraph"/>
              <w:spacing w:line="257" w:lineRule="exact" w:before="6"/>
              <w:ind w:left="37" w:right="47"/>
              <w:rPr>
                <w:sz w:val="21"/>
              </w:rPr>
            </w:pPr>
            <w:r>
              <w:rPr>
                <w:sz w:val="21"/>
              </w:rPr>
              <w:t>达标</w:t>
            </w:r>
          </w:p>
        </w:tc>
      </w:tr>
      <w:tr>
        <w:trPr>
          <w:trHeight w:val="282" w:hRule="atLeast"/>
        </w:trPr>
        <w:tc>
          <w:tcPr>
            <w:tcW w:w="2521" w:type="dxa"/>
          </w:tcPr>
          <w:p>
            <w:pPr>
              <w:pStyle w:val="TableParagraph"/>
              <w:spacing w:line="255" w:lineRule="exact" w:before="8"/>
              <w:ind w:left="110" w:right="104"/>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136" w:type="dxa"/>
          </w:tcPr>
          <w:p>
            <w:pPr>
              <w:pStyle w:val="TableParagraph"/>
              <w:spacing w:line="241" w:lineRule="exact" w:before="22"/>
              <w:ind w:left="376"/>
              <w:jc w:val="left"/>
              <w:rPr>
                <w:rFonts w:ascii="Times New Roman"/>
                <w:sz w:val="21"/>
              </w:rPr>
            </w:pPr>
            <w:r>
              <w:rPr>
                <w:rFonts w:ascii="Times New Roman"/>
                <w:sz w:val="21"/>
              </w:rPr>
              <w:t>&lt;1.5</w:t>
            </w:r>
          </w:p>
        </w:tc>
        <w:tc>
          <w:tcPr>
            <w:tcW w:w="1134" w:type="dxa"/>
          </w:tcPr>
          <w:p>
            <w:pPr>
              <w:pStyle w:val="TableParagraph"/>
              <w:spacing w:line="241" w:lineRule="exact" w:before="22"/>
              <w:ind w:left="159" w:right="159"/>
              <w:rPr>
                <w:rFonts w:ascii="Times New Roman"/>
                <w:sz w:val="21"/>
              </w:rPr>
            </w:pPr>
            <w:r>
              <w:rPr>
                <w:rFonts w:ascii="Times New Roman"/>
                <w:sz w:val="21"/>
              </w:rPr>
              <w:t>&lt;1.5</w:t>
            </w:r>
          </w:p>
        </w:tc>
        <w:tc>
          <w:tcPr>
            <w:tcW w:w="1137" w:type="dxa"/>
          </w:tcPr>
          <w:p>
            <w:pPr>
              <w:pStyle w:val="TableParagraph"/>
              <w:spacing w:line="241" w:lineRule="exact" w:before="22"/>
              <w:ind w:left="97" w:right="99"/>
              <w:rPr>
                <w:rFonts w:ascii="Times New Roman"/>
                <w:sz w:val="21"/>
              </w:rPr>
            </w:pPr>
            <w:r>
              <w:rPr>
                <w:rFonts w:ascii="Times New Roman"/>
                <w:sz w:val="21"/>
              </w:rPr>
              <w:t>&lt;1.5</w:t>
            </w:r>
          </w:p>
        </w:tc>
        <w:tc>
          <w:tcPr>
            <w:tcW w:w="1065" w:type="dxa"/>
          </w:tcPr>
          <w:p>
            <w:pPr>
              <w:pStyle w:val="TableParagraph"/>
              <w:spacing w:line="241" w:lineRule="exact" w:before="22"/>
              <w:ind w:left="124" w:right="124"/>
              <w:rPr>
                <w:rFonts w:ascii="Times New Roman"/>
                <w:sz w:val="21"/>
              </w:rPr>
            </w:pPr>
            <w:r>
              <w:rPr>
                <w:rFonts w:ascii="Times New Roman"/>
                <w:sz w:val="21"/>
              </w:rPr>
              <w:t>&lt;1.5</w:t>
            </w:r>
          </w:p>
        </w:tc>
        <w:tc>
          <w:tcPr>
            <w:tcW w:w="1349" w:type="dxa"/>
          </w:tcPr>
          <w:p>
            <w:pPr>
              <w:pStyle w:val="TableParagraph"/>
              <w:spacing w:line="241" w:lineRule="exact" w:before="22"/>
              <w:ind w:left="281" w:right="285"/>
              <w:rPr>
                <w:rFonts w:ascii="Times New Roman"/>
                <w:sz w:val="21"/>
              </w:rPr>
            </w:pPr>
            <w:r>
              <w:rPr>
                <w:rFonts w:ascii="Times New Roman"/>
                <w:sz w:val="21"/>
              </w:rPr>
              <w:t>616000</w:t>
            </w:r>
          </w:p>
        </w:tc>
        <w:tc>
          <w:tcPr>
            <w:tcW w:w="1015" w:type="dxa"/>
          </w:tcPr>
          <w:p>
            <w:pPr>
              <w:pStyle w:val="TableParagraph"/>
              <w:spacing w:line="255" w:lineRule="exact" w:before="8"/>
              <w:ind w:left="37" w:right="47"/>
              <w:rPr>
                <w:sz w:val="21"/>
              </w:rPr>
            </w:pPr>
            <w:r>
              <w:rPr>
                <w:sz w:val="21"/>
              </w:rPr>
              <w:t>达标</w:t>
            </w:r>
          </w:p>
        </w:tc>
      </w:tr>
      <w:tr>
        <w:trPr>
          <w:trHeight w:val="286" w:hRule="atLeast"/>
        </w:trPr>
        <w:tc>
          <w:tcPr>
            <w:tcW w:w="2521" w:type="dxa"/>
          </w:tcPr>
          <w:p>
            <w:pPr>
              <w:pStyle w:val="TableParagraph"/>
              <w:spacing w:line="257" w:lineRule="exact" w:before="9"/>
              <w:ind w:left="107" w:right="104"/>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136" w:type="dxa"/>
          </w:tcPr>
          <w:p>
            <w:pPr>
              <w:pStyle w:val="TableParagraph"/>
              <w:spacing w:before="23"/>
              <w:ind w:left="376"/>
              <w:jc w:val="left"/>
              <w:rPr>
                <w:rFonts w:ascii="Times New Roman"/>
                <w:sz w:val="21"/>
              </w:rPr>
            </w:pPr>
            <w:r>
              <w:rPr>
                <w:rFonts w:ascii="Times New Roman"/>
                <w:sz w:val="21"/>
              </w:rPr>
              <w:t>&lt;1.1</w:t>
            </w:r>
          </w:p>
        </w:tc>
        <w:tc>
          <w:tcPr>
            <w:tcW w:w="1134" w:type="dxa"/>
          </w:tcPr>
          <w:p>
            <w:pPr>
              <w:pStyle w:val="TableParagraph"/>
              <w:spacing w:before="23"/>
              <w:ind w:left="159" w:right="159"/>
              <w:rPr>
                <w:rFonts w:ascii="Times New Roman"/>
                <w:sz w:val="21"/>
              </w:rPr>
            </w:pPr>
            <w:r>
              <w:rPr>
                <w:rFonts w:ascii="Times New Roman"/>
                <w:sz w:val="21"/>
              </w:rPr>
              <w:t>&lt;1.1</w:t>
            </w:r>
          </w:p>
        </w:tc>
        <w:tc>
          <w:tcPr>
            <w:tcW w:w="1137" w:type="dxa"/>
          </w:tcPr>
          <w:p>
            <w:pPr>
              <w:pStyle w:val="TableParagraph"/>
              <w:spacing w:before="23"/>
              <w:ind w:left="97" w:right="99"/>
              <w:rPr>
                <w:rFonts w:ascii="Times New Roman"/>
                <w:sz w:val="21"/>
              </w:rPr>
            </w:pPr>
            <w:r>
              <w:rPr>
                <w:rFonts w:ascii="Times New Roman"/>
                <w:sz w:val="21"/>
              </w:rPr>
              <w:t>&lt;1.1</w:t>
            </w:r>
          </w:p>
        </w:tc>
        <w:tc>
          <w:tcPr>
            <w:tcW w:w="1065" w:type="dxa"/>
          </w:tcPr>
          <w:p>
            <w:pPr>
              <w:pStyle w:val="TableParagraph"/>
              <w:spacing w:before="23"/>
              <w:ind w:left="124" w:right="124"/>
              <w:rPr>
                <w:rFonts w:ascii="Times New Roman"/>
                <w:sz w:val="21"/>
              </w:rPr>
            </w:pPr>
            <w:r>
              <w:rPr>
                <w:rFonts w:ascii="Times New Roman"/>
                <w:sz w:val="21"/>
              </w:rPr>
              <w:t>&lt;1.1</w:t>
            </w:r>
          </w:p>
        </w:tc>
        <w:tc>
          <w:tcPr>
            <w:tcW w:w="1349" w:type="dxa"/>
          </w:tcPr>
          <w:p>
            <w:pPr>
              <w:pStyle w:val="TableParagraph"/>
              <w:spacing w:before="23"/>
              <w:ind w:left="281" w:right="285"/>
              <w:rPr>
                <w:rFonts w:ascii="Times New Roman"/>
                <w:sz w:val="21"/>
              </w:rPr>
            </w:pPr>
            <w:r>
              <w:rPr>
                <w:rFonts w:ascii="Times New Roman"/>
                <w:sz w:val="21"/>
              </w:rPr>
              <w:t>5000</w:t>
            </w:r>
          </w:p>
        </w:tc>
        <w:tc>
          <w:tcPr>
            <w:tcW w:w="1015" w:type="dxa"/>
          </w:tcPr>
          <w:p>
            <w:pPr>
              <w:pStyle w:val="TableParagraph"/>
              <w:spacing w:line="257" w:lineRule="exact" w:before="9"/>
              <w:ind w:left="37" w:right="47"/>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&lt;1.2</w:t>
            </w:r>
          </w:p>
        </w:tc>
        <w:tc>
          <w:tcPr>
            <w:tcW w:w="1134" w:type="dxa"/>
          </w:tcPr>
          <w:p>
            <w:pPr>
              <w:pStyle w:val="TableParagraph"/>
              <w:spacing w:before="20"/>
              <w:ind w:left="159" w:right="159"/>
              <w:rPr>
                <w:rFonts w:ascii="Times New Roman"/>
                <w:sz w:val="21"/>
              </w:rPr>
            </w:pPr>
            <w:r>
              <w:rPr>
                <w:rFonts w:ascii="Times New Roman"/>
                <w:sz w:val="21"/>
              </w:rPr>
              <w:t>&lt;1.2</w:t>
            </w:r>
          </w:p>
        </w:tc>
        <w:tc>
          <w:tcPr>
            <w:tcW w:w="1137" w:type="dxa"/>
          </w:tcPr>
          <w:p>
            <w:pPr>
              <w:pStyle w:val="TableParagraph"/>
              <w:spacing w:before="20"/>
              <w:ind w:left="97" w:right="99"/>
              <w:rPr>
                <w:rFonts w:ascii="Times New Roman"/>
                <w:sz w:val="21"/>
              </w:rPr>
            </w:pPr>
            <w:r>
              <w:rPr>
                <w:rFonts w:ascii="Times New Roman"/>
                <w:sz w:val="21"/>
              </w:rPr>
              <w:t>&lt;1.2</w:t>
            </w:r>
          </w:p>
        </w:tc>
        <w:tc>
          <w:tcPr>
            <w:tcW w:w="1065" w:type="dxa"/>
          </w:tcPr>
          <w:p>
            <w:pPr>
              <w:pStyle w:val="TableParagraph"/>
              <w:spacing w:before="20"/>
              <w:ind w:left="124" w:right="124"/>
              <w:rPr>
                <w:rFonts w:ascii="Times New Roman"/>
                <w:sz w:val="21"/>
              </w:rPr>
            </w:pPr>
            <w:r>
              <w:rPr>
                <w:rFonts w:ascii="Times New Roman"/>
                <w:sz w:val="21"/>
              </w:rPr>
              <w:t>&lt;1.2</w:t>
            </w:r>
          </w:p>
        </w:tc>
        <w:tc>
          <w:tcPr>
            <w:tcW w:w="1349" w:type="dxa"/>
          </w:tcPr>
          <w:p>
            <w:pPr>
              <w:pStyle w:val="TableParagraph"/>
              <w:spacing w:before="20"/>
              <w:ind w:left="281" w:right="285"/>
              <w:rPr>
                <w:rFonts w:ascii="Times New Roman"/>
                <w:sz w:val="21"/>
              </w:rPr>
            </w:pPr>
            <w:r>
              <w:rPr>
                <w:rFonts w:ascii="Times New Roman"/>
                <w:sz w:val="21"/>
              </w:rPr>
              <w:t>10000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&lt;1.2</w:t>
            </w:r>
          </w:p>
        </w:tc>
        <w:tc>
          <w:tcPr>
            <w:tcW w:w="1134" w:type="dxa"/>
          </w:tcPr>
          <w:p>
            <w:pPr>
              <w:pStyle w:val="TableParagraph"/>
              <w:spacing w:before="22"/>
              <w:ind w:left="159" w:right="159"/>
              <w:rPr>
                <w:rFonts w:ascii="Times New Roman"/>
                <w:sz w:val="21"/>
              </w:rPr>
            </w:pPr>
            <w:r>
              <w:rPr>
                <w:rFonts w:ascii="Times New Roman"/>
                <w:sz w:val="21"/>
              </w:rPr>
              <w:t>&lt;1.2</w:t>
            </w:r>
          </w:p>
        </w:tc>
        <w:tc>
          <w:tcPr>
            <w:tcW w:w="1137" w:type="dxa"/>
          </w:tcPr>
          <w:p>
            <w:pPr>
              <w:pStyle w:val="TableParagraph"/>
              <w:spacing w:before="22"/>
              <w:ind w:left="97" w:right="99"/>
              <w:rPr>
                <w:rFonts w:ascii="Times New Roman"/>
                <w:sz w:val="21"/>
              </w:rPr>
            </w:pPr>
            <w:r>
              <w:rPr>
                <w:rFonts w:ascii="Times New Roman"/>
                <w:sz w:val="21"/>
              </w:rPr>
              <w:t>&lt;1.2</w:t>
            </w:r>
          </w:p>
        </w:tc>
        <w:tc>
          <w:tcPr>
            <w:tcW w:w="1065" w:type="dxa"/>
          </w:tcPr>
          <w:p>
            <w:pPr>
              <w:pStyle w:val="TableParagraph"/>
              <w:spacing w:before="22"/>
              <w:ind w:left="124" w:right="124"/>
              <w:rPr>
                <w:rFonts w:ascii="Times New Roman"/>
                <w:sz w:val="21"/>
              </w:rPr>
            </w:pPr>
            <w:r>
              <w:rPr>
                <w:rFonts w:ascii="Times New Roman"/>
                <w:sz w:val="21"/>
              </w:rPr>
              <w:t>&lt;1.2</w:t>
            </w:r>
          </w:p>
        </w:tc>
        <w:tc>
          <w:tcPr>
            <w:tcW w:w="1349" w:type="dxa"/>
          </w:tcPr>
          <w:p>
            <w:pPr>
              <w:pStyle w:val="TableParagraph"/>
              <w:spacing w:before="22"/>
              <w:ind w:left="281" w:right="285"/>
              <w:rPr>
                <w:rFonts w:ascii="Times New Roman"/>
                <w:sz w:val="21"/>
              </w:rPr>
            </w:pPr>
            <w:r>
              <w:rPr>
                <w:rFonts w:ascii="Times New Roman"/>
                <w:sz w:val="21"/>
              </w:rPr>
              <w:t>6800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&lt;1.4</w:t>
            </w:r>
          </w:p>
        </w:tc>
        <w:tc>
          <w:tcPr>
            <w:tcW w:w="1134" w:type="dxa"/>
          </w:tcPr>
          <w:p>
            <w:pPr>
              <w:pStyle w:val="TableParagraph"/>
              <w:spacing w:before="20"/>
              <w:ind w:left="159" w:right="159"/>
              <w:rPr>
                <w:rFonts w:ascii="Times New Roman"/>
                <w:sz w:val="21"/>
              </w:rPr>
            </w:pPr>
            <w:r>
              <w:rPr>
                <w:rFonts w:ascii="Times New Roman"/>
                <w:sz w:val="21"/>
              </w:rPr>
              <w:t>&lt;1.4</w:t>
            </w:r>
          </w:p>
        </w:tc>
        <w:tc>
          <w:tcPr>
            <w:tcW w:w="1137" w:type="dxa"/>
          </w:tcPr>
          <w:p>
            <w:pPr>
              <w:pStyle w:val="TableParagraph"/>
              <w:spacing w:before="20"/>
              <w:ind w:left="97" w:right="99"/>
              <w:rPr>
                <w:rFonts w:ascii="Times New Roman"/>
                <w:sz w:val="21"/>
              </w:rPr>
            </w:pPr>
            <w:r>
              <w:rPr>
                <w:rFonts w:ascii="Times New Roman"/>
                <w:sz w:val="21"/>
              </w:rPr>
              <w:t>&lt;1.4</w:t>
            </w:r>
          </w:p>
        </w:tc>
        <w:tc>
          <w:tcPr>
            <w:tcW w:w="1065" w:type="dxa"/>
          </w:tcPr>
          <w:p>
            <w:pPr>
              <w:pStyle w:val="TableParagraph"/>
              <w:spacing w:before="20"/>
              <w:ind w:left="124" w:right="124"/>
              <w:rPr>
                <w:rFonts w:ascii="Times New Roman"/>
                <w:sz w:val="21"/>
              </w:rPr>
            </w:pPr>
            <w:r>
              <w:rPr>
                <w:rFonts w:ascii="Times New Roman"/>
                <w:sz w:val="21"/>
              </w:rPr>
              <w:t>&lt;1.4</w:t>
            </w:r>
          </w:p>
        </w:tc>
        <w:tc>
          <w:tcPr>
            <w:tcW w:w="1349" w:type="dxa"/>
          </w:tcPr>
          <w:p>
            <w:pPr>
              <w:pStyle w:val="TableParagraph"/>
              <w:spacing w:before="20"/>
              <w:ind w:left="281" w:right="285"/>
              <w:rPr>
                <w:rFonts w:ascii="Times New Roman"/>
                <w:sz w:val="21"/>
              </w:rPr>
            </w:pPr>
            <w:r>
              <w:rPr>
                <w:rFonts w:ascii="Times New Roman"/>
                <w:sz w:val="21"/>
              </w:rPr>
              <w:t>53000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&lt;1.3</w:t>
            </w:r>
          </w:p>
        </w:tc>
        <w:tc>
          <w:tcPr>
            <w:tcW w:w="1134" w:type="dxa"/>
          </w:tcPr>
          <w:p>
            <w:pPr>
              <w:pStyle w:val="TableParagraph"/>
              <w:spacing w:before="22"/>
              <w:ind w:left="159" w:right="159"/>
              <w:rPr>
                <w:rFonts w:ascii="Times New Roman"/>
                <w:sz w:val="21"/>
              </w:rPr>
            </w:pPr>
            <w:r>
              <w:rPr>
                <w:rFonts w:ascii="Times New Roman"/>
                <w:sz w:val="21"/>
              </w:rPr>
              <w:t>&lt;1.3</w:t>
            </w:r>
          </w:p>
        </w:tc>
        <w:tc>
          <w:tcPr>
            <w:tcW w:w="1137" w:type="dxa"/>
          </w:tcPr>
          <w:p>
            <w:pPr>
              <w:pStyle w:val="TableParagraph"/>
              <w:spacing w:before="22"/>
              <w:ind w:left="97" w:right="99"/>
              <w:rPr>
                <w:rFonts w:ascii="Times New Roman"/>
                <w:sz w:val="21"/>
              </w:rPr>
            </w:pPr>
            <w:r>
              <w:rPr>
                <w:rFonts w:ascii="Times New Roman"/>
                <w:sz w:val="21"/>
              </w:rPr>
              <w:t>&lt;1.3</w:t>
            </w:r>
          </w:p>
        </w:tc>
        <w:tc>
          <w:tcPr>
            <w:tcW w:w="1065" w:type="dxa"/>
          </w:tcPr>
          <w:p>
            <w:pPr>
              <w:pStyle w:val="TableParagraph"/>
              <w:spacing w:before="22"/>
              <w:ind w:left="124" w:right="124"/>
              <w:rPr>
                <w:rFonts w:ascii="Times New Roman"/>
                <w:sz w:val="21"/>
              </w:rPr>
            </w:pPr>
            <w:r>
              <w:rPr>
                <w:rFonts w:ascii="Times New Roman"/>
                <w:sz w:val="21"/>
              </w:rPr>
              <w:t>&lt;1.3</w:t>
            </w:r>
          </w:p>
        </w:tc>
        <w:tc>
          <w:tcPr>
            <w:tcW w:w="1349" w:type="dxa"/>
          </w:tcPr>
          <w:p>
            <w:pPr>
              <w:pStyle w:val="TableParagraph"/>
              <w:spacing w:before="22"/>
              <w:ind w:left="281" w:right="285"/>
              <w:rPr>
                <w:rFonts w:ascii="Times New Roman"/>
                <w:sz w:val="21"/>
              </w:rPr>
            </w:pPr>
            <w:r>
              <w:rPr>
                <w:rFonts w:ascii="Times New Roman"/>
                <w:sz w:val="21"/>
              </w:rPr>
              <w:t>840000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&lt;1.2</w:t>
            </w:r>
          </w:p>
        </w:tc>
        <w:tc>
          <w:tcPr>
            <w:tcW w:w="1134" w:type="dxa"/>
          </w:tcPr>
          <w:p>
            <w:pPr>
              <w:pStyle w:val="TableParagraph"/>
              <w:spacing w:before="20"/>
              <w:ind w:left="159" w:right="159"/>
              <w:rPr>
                <w:rFonts w:ascii="Times New Roman"/>
                <w:sz w:val="21"/>
              </w:rPr>
            </w:pPr>
            <w:r>
              <w:rPr>
                <w:rFonts w:ascii="Times New Roman"/>
                <w:sz w:val="21"/>
              </w:rPr>
              <w:t>&lt;1.2</w:t>
            </w:r>
          </w:p>
        </w:tc>
        <w:tc>
          <w:tcPr>
            <w:tcW w:w="1137" w:type="dxa"/>
          </w:tcPr>
          <w:p>
            <w:pPr>
              <w:pStyle w:val="TableParagraph"/>
              <w:spacing w:before="20"/>
              <w:ind w:left="98" w:right="99"/>
              <w:rPr>
                <w:rFonts w:ascii="Times New Roman"/>
                <w:sz w:val="21"/>
              </w:rPr>
            </w:pPr>
            <w:r>
              <w:rPr>
                <w:rFonts w:ascii="Times New Roman"/>
                <w:sz w:val="21"/>
              </w:rPr>
              <w:t>&lt;1.2</w:t>
            </w:r>
          </w:p>
        </w:tc>
        <w:tc>
          <w:tcPr>
            <w:tcW w:w="1065" w:type="dxa"/>
          </w:tcPr>
          <w:p>
            <w:pPr>
              <w:pStyle w:val="TableParagraph"/>
              <w:spacing w:before="20"/>
              <w:ind w:left="124" w:right="124"/>
              <w:rPr>
                <w:rFonts w:ascii="Times New Roman"/>
                <w:sz w:val="21"/>
              </w:rPr>
            </w:pPr>
            <w:r>
              <w:rPr>
                <w:rFonts w:ascii="Times New Roman"/>
                <w:sz w:val="21"/>
              </w:rPr>
              <w:t>&lt;1.2</w:t>
            </w:r>
          </w:p>
        </w:tc>
        <w:tc>
          <w:tcPr>
            <w:tcW w:w="1349" w:type="dxa"/>
          </w:tcPr>
          <w:p>
            <w:pPr>
              <w:pStyle w:val="TableParagraph"/>
              <w:spacing w:before="20"/>
              <w:ind w:left="281" w:right="285"/>
              <w:rPr>
                <w:rFonts w:ascii="Times New Roman"/>
                <w:sz w:val="21"/>
              </w:rPr>
            </w:pPr>
            <w:r>
              <w:rPr>
                <w:rFonts w:ascii="Times New Roman"/>
                <w:sz w:val="21"/>
              </w:rPr>
              <w:t>2800</w:t>
            </w:r>
          </w:p>
        </w:tc>
        <w:tc>
          <w:tcPr>
            <w:tcW w:w="1015" w:type="dxa"/>
          </w:tcPr>
          <w:p>
            <w:pPr>
              <w:pStyle w:val="TableParagraph"/>
              <w:spacing w:line="257" w:lineRule="exact" w:before="6"/>
              <w:ind w:left="37" w:right="47"/>
              <w:rPr>
                <w:sz w:val="21"/>
              </w:rPr>
            </w:pPr>
            <w:r>
              <w:rPr>
                <w:sz w:val="21"/>
              </w:rPr>
              <w:t>达标</w:t>
            </w:r>
          </w:p>
        </w:tc>
      </w:tr>
      <w:tr>
        <w:trPr>
          <w:trHeight w:val="283" w:hRule="atLeast"/>
        </w:trPr>
        <w:tc>
          <w:tcPr>
            <w:tcW w:w="2521" w:type="dxa"/>
          </w:tcPr>
          <w:p>
            <w:pPr>
              <w:pStyle w:val="TableParagraph"/>
              <w:spacing w:line="255" w:lineRule="exact" w:before="8"/>
              <w:ind w:left="110" w:right="104"/>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136" w:type="dxa"/>
          </w:tcPr>
          <w:p>
            <w:pPr>
              <w:pStyle w:val="TableParagraph"/>
              <w:spacing w:line="241" w:lineRule="exact" w:before="22"/>
              <w:ind w:left="376"/>
              <w:jc w:val="left"/>
              <w:rPr>
                <w:rFonts w:ascii="Times New Roman"/>
                <w:sz w:val="21"/>
              </w:rPr>
            </w:pPr>
            <w:r>
              <w:rPr>
                <w:rFonts w:ascii="Times New Roman"/>
                <w:sz w:val="21"/>
              </w:rPr>
              <w:t>&lt;1.2</w:t>
            </w:r>
          </w:p>
        </w:tc>
        <w:tc>
          <w:tcPr>
            <w:tcW w:w="1134" w:type="dxa"/>
          </w:tcPr>
          <w:p>
            <w:pPr>
              <w:pStyle w:val="TableParagraph"/>
              <w:spacing w:line="241" w:lineRule="exact" w:before="22"/>
              <w:ind w:left="159" w:right="159"/>
              <w:rPr>
                <w:rFonts w:ascii="Times New Roman"/>
                <w:sz w:val="21"/>
              </w:rPr>
            </w:pPr>
            <w:r>
              <w:rPr>
                <w:rFonts w:ascii="Times New Roman"/>
                <w:sz w:val="21"/>
              </w:rPr>
              <w:t>&lt;1.2</w:t>
            </w:r>
          </w:p>
        </w:tc>
        <w:tc>
          <w:tcPr>
            <w:tcW w:w="1137" w:type="dxa"/>
          </w:tcPr>
          <w:p>
            <w:pPr>
              <w:pStyle w:val="TableParagraph"/>
              <w:spacing w:line="241" w:lineRule="exact" w:before="22"/>
              <w:ind w:left="97" w:right="99"/>
              <w:rPr>
                <w:rFonts w:ascii="Times New Roman"/>
                <w:sz w:val="21"/>
              </w:rPr>
            </w:pPr>
            <w:r>
              <w:rPr>
                <w:rFonts w:ascii="Times New Roman"/>
                <w:sz w:val="21"/>
              </w:rPr>
              <w:t>&lt;1.2</w:t>
            </w:r>
          </w:p>
        </w:tc>
        <w:tc>
          <w:tcPr>
            <w:tcW w:w="1065" w:type="dxa"/>
          </w:tcPr>
          <w:p>
            <w:pPr>
              <w:pStyle w:val="TableParagraph"/>
              <w:spacing w:line="241" w:lineRule="exact" w:before="22"/>
              <w:ind w:left="124" w:right="124"/>
              <w:rPr>
                <w:rFonts w:ascii="Times New Roman"/>
                <w:sz w:val="21"/>
              </w:rPr>
            </w:pPr>
            <w:r>
              <w:rPr>
                <w:rFonts w:ascii="Times New Roman"/>
                <w:sz w:val="21"/>
              </w:rPr>
              <w:t>&lt;1.2</w:t>
            </w:r>
          </w:p>
        </w:tc>
        <w:tc>
          <w:tcPr>
            <w:tcW w:w="1349" w:type="dxa"/>
          </w:tcPr>
          <w:p>
            <w:pPr>
              <w:pStyle w:val="TableParagraph"/>
              <w:spacing w:line="241" w:lineRule="exact" w:before="22"/>
              <w:ind w:left="281" w:right="285"/>
              <w:rPr>
                <w:rFonts w:ascii="Times New Roman"/>
                <w:sz w:val="21"/>
              </w:rPr>
            </w:pPr>
            <w:r>
              <w:rPr>
                <w:rFonts w:ascii="Times New Roman"/>
                <w:sz w:val="21"/>
              </w:rPr>
              <w:t>2800</w:t>
            </w:r>
          </w:p>
        </w:tc>
        <w:tc>
          <w:tcPr>
            <w:tcW w:w="1015" w:type="dxa"/>
          </w:tcPr>
          <w:p>
            <w:pPr>
              <w:pStyle w:val="TableParagraph"/>
              <w:spacing w:line="255" w:lineRule="exact" w:before="8"/>
              <w:ind w:left="37" w:right="47"/>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&lt;1.2</w:t>
            </w:r>
          </w:p>
        </w:tc>
        <w:tc>
          <w:tcPr>
            <w:tcW w:w="1134" w:type="dxa"/>
          </w:tcPr>
          <w:p>
            <w:pPr>
              <w:pStyle w:val="TableParagraph"/>
              <w:spacing w:before="22"/>
              <w:ind w:left="159" w:right="159"/>
              <w:rPr>
                <w:rFonts w:ascii="Times New Roman"/>
                <w:sz w:val="21"/>
              </w:rPr>
            </w:pPr>
            <w:r>
              <w:rPr>
                <w:rFonts w:ascii="Times New Roman"/>
                <w:sz w:val="21"/>
              </w:rPr>
              <w:t>&lt;1.2</w:t>
            </w:r>
          </w:p>
        </w:tc>
        <w:tc>
          <w:tcPr>
            <w:tcW w:w="1137" w:type="dxa"/>
          </w:tcPr>
          <w:p>
            <w:pPr>
              <w:pStyle w:val="TableParagraph"/>
              <w:spacing w:before="22"/>
              <w:ind w:left="97" w:right="99"/>
              <w:rPr>
                <w:rFonts w:ascii="Times New Roman"/>
                <w:sz w:val="21"/>
              </w:rPr>
            </w:pPr>
            <w:r>
              <w:rPr>
                <w:rFonts w:ascii="Times New Roman"/>
                <w:sz w:val="21"/>
              </w:rPr>
              <w:t>&lt;1.2</w:t>
            </w:r>
          </w:p>
        </w:tc>
        <w:tc>
          <w:tcPr>
            <w:tcW w:w="1065" w:type="dxa"/>
          </w:tcPr>
          <w:p>
            <w:pPr>
              <w:pStyle w:val="TableParagraph"/>
              <w:spacing w:before="22"/>
              <w:ind w:left="124" w:right="124"/>
              <w:rPr>
                <w:rFonts w:ascii="Times New Roman"/>
                <w:sz w:val="21"/>
              </w:rPr>
            </w:pPr>
            <w:r>
              <w:rPr>
                <w:rFonts w:ascii="Times New Roman"/>
                <w:sz w:val="21"/>
              </w:rPr>
              <w:t>&lt;1.2</w:t>
            </w:r>
          </w:p>
        </w:tc>
        <w:tc>
          <w:tcPr>
            <w:tcW w:w="1349" w:type="dxa"/>
          </w:tcPr>
          <w:p>
            <w:pPr>
              <w:pStyle w:val="TableParagraph"/>
              <w:spacing w:before="22"/>
              <w:ind w:left="281" w:right="285"/>
              <w:rPr>
                <w:rFonts w:ascii="Times New Roman"/>
                <w:sz w:val="21"/>
              </w:rPr>
            </w:pPr>
            <w:r>
              <w:rPr>
                <w:rFonts w:ascii="Times New Roman"/>
                <w:sz w:val="21"/>
              </w:rPr>
              <w:t>500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&lt;1.0</w:t>
            </w:r>
          </w:p>
        </w:tc>
        <w:tc>
          <w:tcPr>
            <w:tcW w:w="1134" w:type="dxa"/>
          </w:tcPr>
          <w:p>
            <w:pPr>
              <w:pStyle w:val="TableParagraph"/>
              <w:spacing w:before="20"/>
              <w:ind w:left="159" w:right="159"/>
              <w:rPr>
                <w:rFonts w:ascii="Times New Roman"/>
                <w:sz w:val="21"/>
              </w:rPr>
            </w:pPr>
            <w:r>
              <w:rPr>
                <w:rFonts w:ascii="Times New Roman"/>
                <w:sz w:val="21"/>
              </w:rPr>
              <w:t>&lt;1.0</w:t>
            </w:r>
          </w:p>
        </w:tc>
        <w:tc>
          <w:tcPr>
            <w:tcW w:w="1137" w:type="dxa"/>
          </w:tcPr>
          <w:p>
            <w:pPr>
              <w:pStyle w:val="TableParagraph"/>
              <w:spacing w:before="20"/>
              <w:ind w:left="97" w:right="99"/>
              <w:rPr>
                <w:rFonts w:ascii="Times New Roman"/>
                <w:sz w:val="21"/>
              </w:rPr>
            </w:pPr>
            <w:r>
              <w:rPr>
                <w:rFonts w:ascii="Times New Roman"/>
                <w:sz w:val="21"/>
              </w:rPr>
              <w:t>&lt;1.0</w:t>
            </w:r>
          </w:p>
        </w:tc>
        <w:tc>
          <w:tcPr>
            <w:tcW w:w="1065" w:type="dxa"/>
          </w:tcPr>
          <w:p>
            <w:pPr>
              <w:pStyle w:val="TableParagraph"/>
              <w:spacing w:before="20"/>
              <w:ind w:left="124" w:right="124"/>
              <w:rPr>
                <w:rFonts w:ascii="Times New Roman"/>
                <w:sz w:val="21"/>
              </w:rPr>
            </w:pPr>
            <w:r>
              <w:rPr>
                <w:rFonts w:ascii="Times New Roman"/>
                <w:sz w:val="21"/>
              </w:rPr>
              <w:t>&lt;1.0</w:t>
            </w:r>
          </w:p>
        </w:tc>
        <w:tc>
          <w:tcPr>
            <w:tcW w:w="1349" w:type="dxa"/>
          </w:tcPr>
          <w:p>
            <w:pPr>
              <w:pStyle w:val="TableParagraph"/>
              <w:spacing w:before="20"/>
              <w:ind w:left="281" w:right="285"/>
              <w:rPr>
                <w:rFonts w:ascii="Times New Roman"/>
                <w:sz w:val="21"/>
              </w:rPr>
            </w:pPr>
            <w:r>
              <w:rPr>
                <w:rFonts w:ascii="Times New Roman"/>
                <w:sz w:val="21"/>
              </w:rPr>
              <w:t>430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9" w:right="104"/>
              <w:rPr>
                <w:rFonts w:ascii="Times New Roman" w:hAnsi="Times New Roman" w:eastAsia="Times New Roman"/>
                <w:sz w:val="21"/>
              </w:rPr>
            </w:pPr>
            <w:r>
              <w:rPr>
                <w:sz w:val="21"/>
              </w:rPr>
              <w:t>苯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&lt;1.9</w:t>
            </w:r>
          </w:p>
        </w:tc>
        <w:tc>
          <w:tcPr>
            <w:tcW w:w="1134" w:type="dxa"/>
          </w:tcPr>
          <w:p>
            <w:pPr>
              <w:pStyle w:val="TableParagraph"/>
              <w:spacing w:before="22"/>
              <w:ind w:left="159" w:right="159"/>
              <w:rPr>
                <w:rFonts w:ascii="Times New Roman"/>
                <w:sz w:val="21"/>
              </w:rPr>
            </w:pPr>
            <w:r>
              <w:rPr>
                <w:rFonts w:ascii="Times New Roman"/>
                <w:sz w:val="21"/>
              </w:rPr>
              <w:t>&lt;1.9</w:t>
            </w:r>
          </w:p>
        </w:tc>
        <w:tc>
          <w:tcPr>
            <w:tcW w:w="1137" w:type="dxa"/>
          </w:tcPr>
          <w:p>
            <w:pPr>
              <w:pStyle w:val="TableParagraph"/>
              <w:spacing w:before="22"/>
              <w:ind w:left="97" w:right="99"/>
              <w:rPr>
                <w:rFonts w:ascii="Times New Roman"/>
                <w:sz w:val="21"/>
              </w:rPr>
            </w:pPr>
            <w:r>
              <w:rPr>
                <w:rFonts w:ascii="Times New Roman"/>
                <w:sz w:val="21"/>
              </w:rPr>
              <w:t>&lt;1.9</w:t>
            </w:r>
          </w:p>
        </w:tc>
        <w:tc>
          <w:tcPr>
            <w:tcW w:w="1065" w:type="dxa"/>
          </w:tcPr>
          <w:p>
            <w:pPr>
              <w:pStyle w:val="TableParagraph"/>
              <w:spacing w:before="22"/>
              <w:ind w:left="124" w:right="124"/>
              <w:rPr>
                <w:rFonts w:ascii="Times New Roman"/>
                <w:sz w:val="21"/>
              </w:rPr>
            </w:pPr>
            <w:r>
              <w:rPr>
                <w:rFonts w:ascii="Times New Roman"/>
                <w:sz w:val="21"/>
              </w:rPr>
              <w:t>&lt;1.9</w:t>
            </w:r>
          </w:p>
        </w:tc>
        <w:tc>
          <w:tcPr>
            <w:tcW w:w="1349" w:type="dxa"/>
          </w:tcPr>
          <w:p>
            <w:pPr>
              <w:pStyle w:val="TableParagraph"/>
              <w:spacing w:before="22"/>
              <w:ind w:left="281" w:right="285"/>
              <w:rPr>
                <w:rFonts w:ascii="Times New Roman"/>
                <w:sz w:val="21"/>
              </w:rPr>
            </w:pPr>
            <w:r>
              <w:rPr>
                <w:rFonts w:ascii="Times New Roman"/>
                <w:sz w:val="21"/>
              </w:rPr>
              <w:t>4000</w:t>
            </w:r>
          </w:p>
        </w:tc>
        <w:tc>
          <w:tcPr>
            <w:tcW w:w="1015" w:type="dxa"/>
          </w:tcPr>
          <w:p>
            <w:pPr>
              <w:pStyle w:val="TableParagraph"/>
              <w:spacing w:line="257" w:lineRule="exact" w:before="8"/>
              <w:ind w:left="37" w:right="47"/>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&lt;1.2</w:t>
            </w:r>
          </w:p>
        </w:tc>
        <w:tc>
          <w:tcPr>
            <w:tcW w:w="1134" w:type="dxa"/>
          </w:tcPr>
          <w:p>
            <w:pPr>
              <w:pStyle w:val="TableParagraph"/>
              <w:spacing w:before="20"/>
              <w:ind w:left="159" w:right="159"/>
              <w:rPr>
                <w:rFonts w:ascii="Times New Roman"/>
                <w:sz w:val="21"/>
              </w:rPr>
            </w:pPr>
            <w:r>
              <w:rPr>
                <w:rFonts w:ascii="Times New Roman"/>
                <w:sz w:val="21"/>
              </w:rPr>
              <w:t>&lt;1.2</w:t>
            </w:r>
          </w:p>
        </w:tc>
        <w:tc>
          <w:tcPr>
            <w:tcW w:w="1137" w:type="dxa"/>
          </w:tcPr>
          <w:p>
            <w:pPr>
              <w:pStyle w:val="TableParagraph"/>
              <w:spacing w:before="20"/>
              <w:ind w:left="97" w:right="99"/>
              <w:rPr>
                <w:rFonts w:ascii="Times New Roman"/>
                <w:sz w:val="21"/>
              </w:rPr>
            </w:pPr>
            <w:r>
              <w:rPr>
                <w:rFonts w:ascii="Times New Roman"/>
                <w:sz w:val="21"/>
              </w:rPr>
              <w:t>&lt;1.2</w:t>
            </w:r>
          </w:p>
        </w:tc>
        <w:tc>
          <w:tcPr>
            <w:tcW w:w="1065" w:type="dxa"/>
          </w:tcPr>
          <w:p>
            <w:pPr>
              <w:pStyle w:val="TableParagraph"/>
              <w:spacing w:before="20"/>
              <w:ind w:left="124" w:right="124"/>
              <w:rPr>
                <w:rFonts w:ascii="Times New Roman"/>
                <w:sz w:val="21"/>
              </w:rPr>
            </w:pPr>
            <w:r>
              <w:rPr>
                <w:rFonts w:ascii="Times New Roman"/>
                <w:sz w:val="21"/>
              </w:rPr>
              <w:t>&lt;1.2</w:t>
            </w:r>
          </w:p>
        </w:tc>
        <w:tc>
          <w:tcPr>
            <w:tcW w:w="1349" w:type="dxa"/>
          </w:tcPr>
          <w:p>
            <w:pPr>
              <w:pStyle w:val="TableParagraph"/>
              <w:spacing w:before="20"/>
              <w:ind w:left="281" w:right="285"/>
              <w:rPr>
                <w:rFonts w:ascii="Times New Roman"/>
                <w:sz w:val="21"/>
              </w:rPr>
            </w:pPr>
            <w:r>
              <w:rPr>
                <w:rFonts w:ascii="Times New Roman"/>
                <w:sz w:val="21"/>
              </w:rPr>
              <w:t>270000</w:t>
            </w:r>
          </w:p>
        </w:tc>
        <w:tc>
          <w:tcPr>
            <w:tcW w:w="1015" w:type="dxa"/>
          </w:tcPr>
          <w:p>
            <w:pPr>
              <w:pStyle w:val="TableParagraph"/>
              <w:spacing w:line="257" w:lineRule="exact" w:before="6"/>
              <w:ind w:left="37" w:right="47"/>
              <w:rPr>
                <w:sz w:val="21"/>
              </w:rPr>
            </w:pPr>
            <w:r>
              <w:rPr>
                <w:sz w:val="21"/>
              </w:rPr>
              <w:t>达标</w:t>
            </w:r>
          </w:p>
        </w:tc>
      </w:tr>
      <w:tr>
        <w:trPr>
          <w:trHeight w:val="282" w:hRule="atLeast"/>
        </w:trPr>
        <w:tc>
          <w:tcPr>
            <w:tcW w:w="2521" w:type="dxa"/>
          </w:tcPr>
          <w:p>
            <w:pPr>
              <w:pStyle w:val="TableParagraph"/>
              <w:spacing w:line="255" w:lineRule="exact" w:before="8"/>
              <w:ind w:left="107" w:right="104"/>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136" w:type="dxa"/>
          </w:tcPr>
          <w:p>
            <w:pPr>
              <w:pStyle w:val="TableParagraph"/>
              <w:spacing w:line="241" w:lineRule="exact" w:before="22"/>
              <w:ind w:left="376"/>
              <w:jc w:val="left"/>
              <w:rPr>
                <w:rFonts w:ascii="Times New Roman"/>
                <w:sz w:val="21"/>
              </w:rPr>
            </w:pPr>
            <w:r>
              <w:rPr>
                <w:rFonts w:ascii="Times New Roman"/>
                <w:sz w:val="21"/>
              </w:rPr>
              <w:t>&lt;1.5</w:t>
            </w:r>
          </w:p>
        </w:tc>
        <w:tc>
          <w:tcPr>
            <w:tcW w:w="1134" w:type="dxa"/>
          </w:tcPr>
          <w:p>
            <w:pPr>
              <w:pStyle w:val="TableParagraph"/>
              <w:spacing w:line="241" w:lineRule="exact" w:before="22"/>
              <w:ind w:left="159" w:right="159"/>
              <w:rPr>
                <w:rFonts w:ascii="Times New Roman"/>
                <w:sz w:val="21"/>
              </w:rPr>
            </w:pPr>
            <w:r>
              <w:rPr>
                <w:rFonts w:ascii="Times New Roman"/>
                <w:sz w:val="21"/>
              </w:rPr>
              <w:t>&lt;1.5</w:t>
            </w:r>
          </w:p>
        </w:tc>
        <w:tc>
          <w:tcPr>
            <w:tcW w:w="1137" w:type="dxa"/>
          </w:tcPr>
          <w:p>
            <w:pPr>
              <w:pStyle w:val="TableParagraph"/>
              <w:spacing w:line="241" w:lineRule="exact" w:before="22"/>
              <w:ind w:left="97" w:right="99"/>
              <w:rPr>
                <w:rFonts w:ascii="Times New Roman"/>
                <w:sz w:val="21"/>
              </w:rPr>
            </w:pPr>
            <w:r>
              <w:rPr>
                <w:rFonts w:ascii="Times New Roman"/>
                <w:sz w:val="21"/>
              </w:rPr>
              <w:t>&lt;1.5</w:t>
            </w:r>
          </w:p>
        </w:tc>
        <w:tc>
          <w:tcPr>
            <w:tcW w:w="1065" w:type="dxa"/>
          </w:tcPr>
          <w:p>
            <w:pPr>
              <w:pStyle w:val="TableParagraph"/>
              <w:spacing w:line="241" w:lineRule="exact" w:before="22"/>
              <w:ind w:left="124" w:right="124"/>
              <w:rPr>
                <w:rFonts w:ascii="Times New Roman"/>
                <w:sz w:val="21"/>
              </w:rPr>
            </w:pPr>
            <w:r>
              <w:rPr>
                <w:rFonts w:ascii="Times New Roman"/>
                <w:sz w:val="21"/>
              </w:rPr>
              <w:t>&lt;1.5</w:t>
            </w:r>
          </w:p>
        </w:tc>
        <w:tc>
          <w:tcPr>
            <w:tcW w:w="1349" w:type="dxa"/>
          </w:tcPr>
          <w:p>
            <w:pPr>
              <w:pStyle w:val="TableParagraph"/>
              <w:spacing w:line="241" w:lineRule="exact" w:before="22"/>
              <w:ind w:left="281" w:right="285"/>
              <w:rPr>
                <w:rFonts w:ascii="Times New Roman"/>
                <w:sz w:val="21"/>
              </w:rPr>
            </w:pPr>
            <w:r>
              <w:rPr>
                <w:rFonts w:ascii="Times New Roman"/>
                <w:sz w:val="21"/>
              </w:rPr>
              <w:t>560000</w:t>
            </w:r>
          </w:p>
        </w:tc>
        <w:tc>
          <w:tcPr>
            <w:tcW w:w="1015" w:type="dxa"/>
          </w:tcPr>
          <w:p>
            <w:pPr>
              <w:pStyle w:val="TableParagraph"/>
              <w:spacing w:line="255" w:lineRule="exact" w:before="8"/>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&lt;1.5</w:t>
            </w:r>
          </w:p>
        </w:tc>
        <w:tc>
          <w:tcPr>
            <w:tcW w:w="1134" w:type="dxa"/>
          </w:tcPr>
          <w:p>
            <w:pPr>
              <w:pStyle w:val="TableParagraph"/>
              <w:spacing w:before="22"/>
              <w:ind w:left="159" w:right="159"/>
              <w:rPr>
                <w:rFonts w:ascii="Times New Roman"/>
                <w:sz w:val="21"/>
              </w:rPr>
            </w:pPr>
            <w:r>
              <w:rPr>
                <w:rFonts w:ascii="Times New Roman"/>
                <w:sz w:val="21"/>
              </w:rPr>
              <w:t>&lt;1.5</w:t>
            </w:r>
          </w:p>
        </w:tc>
        <w:tc>
          <w:tcPr>
            <w:tcW w:w="1137" w:type="dxa"/>
          </w:tcPr>
          <w:p>
            <w:pPr>
              <w:pStyle w:val="TableParagraph"/>
              <w:spacing w:before="22"/>
              <w:ind w:left="97" w:right="99"/>
              <w:rPr>
                <w:rFonts w:ascii="Times New Roman"/>
                <w:sz w:val="21"/>
              </w:rPr>
            </w:pPr>
            <w:r>
              <w:rPr>
                <w:rFonts w:ascii="Times New Roman"/>
                <w:sz w:val="21"/>
              </w:rPr>
              <w:t>&lt;1.5</w:t>
            </w:r>
          </w:p>
        </w:tc>
        <w:tc>
          <w:tcPr>
            <w:tcW w:w="1065" w:type="dxa"/>
          </w:tcPr>
          <w:p>
            <w:pPr>
              <w:pStyle w:val="TableParagraph"/>
              <w:spacing w:before="22"/>
              <w:ind w:left="124" w:right="124"/>
              <w:rPr>
                <w:rFonts w:ascii="Times New Roman"/>
                <w:sz w:val="21"/>
              </w:rPr>
            </w:pPr>
            <w:r>
              <w:rPr>
                <w:rFonts w:ascii="Times New Roman"/>
                <w:sz w:val="21"/>
              </w:rPr>
              <w:t>&lt;1.5</w:t>
            </w:r>
          </w:p>
        </w:tc>
        <w:tc>
          <w:tcPr>
            <w:tcW w:w="1349" w:type="dxa"/>
          </w:tcPr>
          <w:p>
            <w:pPr>
              <w:pStyle w:val="TableParagraph"/>
              <w:spacing w:before="22"/>
              <w:ind w:left="281" w:right="285"/>
              <w:rPr>
                <w:rFonts w:ascii="Times New Roman"/>
                <w:sz w:val="21"/>
              </w:rPr>
            </w:pPr>
            <w:r>
              <w:rPr>
                <w:rFonts w:ascii="Times New Roman"/>
                <w:sz w:val="21"/>
              </w:rPr>
              <w:t>20000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&lt;1.2</w:t>
            </w:r>
          </w:p>
        </w:tc>
        <w:tc>
          <w:tcPr>
            <w:tcW w:w="1134" w:type="dxa"/>
          </w:tcPr>
          <w:p>
            <w:pPr>
              <w:pStyle w:val="TableParagraph"/>
              <w:spacing w:before="20"/>
              <w:ind w:left="159" w:right="159"/>
              <w:rPr>
                <w:rFonts w:ascii="Times New Roman"/>
                <w:sz w:val="21"/>
              </w:rPr>
            </w:pPr>
            <w:r>
              <w:rPr>
                <w:rFonts w:ascii="Times New Roman"/>
                <w:sz w:val="21"/>
              </w:rPr>
              <w:t>&lt;1.2</w:t>
            </w:r>
          </w:p>
        </w:tc>
        <w:tc>
          <w:tcPr>
            <w:tcW w:w="1137" w:type="dxa"/>
          </w:tcPr>
          <w:p>
            <w:pPr>
              <w:pStyle w:val="TableParagraph"/>
              <w:spacing w:before="20"/>
              <w:ind w:left="97" w:right="99"/>
              <w:rPr>
                <w:rFonts w:ascii="Times New Roman"/>
                <w:sz w:val="21"/>
              </w:rPr>
            </w:pPr>
            <w:r>
              <w:rPr>
                <w:rFonts w:ascii="Times New Roman"/>
                <w:sz w:val="21"/>
              </w:rPr>
              <w:t>&lt;1.2</w:t>
            </w:r>
          </w:p>
        </w:tc>
        <w:tc>
          <w:tcPr>
            <w:tcW w:w="1065" w:type="dxa"/>
          </w:tcPr>
          <w:p>
            <w:pPr>
              <w:pStyle w:val="TableParagraph"/>
              <w:spacing w:before="20"/>
              <w:ind w:left="124" w:right="124"/>
              <w:rPr>
                <w:rFonts w:ascii="Times New Roman"/>
                <w:sz w:val="21"/>
              </w:rPr>
            </w:pPr>
            <w:r>
              <w:rPr>
                <w:rFonts w:ascii="Times New Roman"/>
                <w:sz w:val="21"/>
              </w:rPr>
              <w:t>&lt;1.2</w:t>
            </w:r>
          </w:p>
        </w:tc>
        <w:tc>
          <w:tcPr>
            <w:tcW w:w="1349" w:type="dxa"/>
          </w:tcPr>
          <w:p>
            <w:pPr>
              <w:pStyle w:val="TableParagraph"/>
              <w:spacing w:before="20"/>
              <w:ind w:left="281" w:right="285"/>
              <w:rPr>
                <w:rFonts w:ascii="Times New Roman"/>
                <w:sz w:val="21"/>
              </w:rPr>
            </w:pPr>
            <w:r>
              <w:rPr>
                <w:rFonts w:ascii="Times New Roman"/>
                <w:sz w:val="21"/>
              </w:rPr>
              <w:t>28000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&lt;1.1</w:t>
            </w:r>
          </w:p>
        </w:tc>
        <w:tc>
          <w:tcPr>
            <w:tcW w:w="1134" w:type="dxa"/>
          </w:tcPr>
          <w:p>
            <w:pPr>
              <w:pStyle w:val="TableParagraph"/>
              <w:spacing w:before="22"/>
              <w:ind w:left="159" w:right="159"/>
              <w:rPr>
                <w:rFonts w:ascii="Times New Roman"/>
                <w:sz w:val="21"/>
              </w:rPr>
            </w:pPr>
            <w:r>
              <w:rPr>
                <w:rFonts w:ascii="Times New Roman"/>
                <w:sz w:val="21"/>
              </w:rPr>
              <w:t>&lt;1.1</w:t>
            </w:r>
          </w:p>
        </w:tc>
        <w:tc>
          <w:tcPr>
            <w:tcW w:w="1137" w:type="dxa"/>
          </w:tcPr>
          <w:p>
            <w:pPr>
              <w:pStyle w:val="TableParagraph"/>
              <w:spacing w:before="22"/>
              <w:ind w:left="97" w:right="99"/>
              <w:rPr>
                <w:rFonts w:ascii="Times New Roman"/>
                <w:sz w:val="21"/>
              </w:rPr>
            </w:pPr>
            <w:r>
              <w:rPr>
                <w:rFonts w:ascii="Times New Roman"/>
                <w:sz w:val="21"/>
              </w:rPr>
              <w:t>&lt;1.1</w:t>
            </w:r>
          </w:p>
        </w:tc>
        <w:tc>
          <w:tcPr>
            <w:tcW w:w="1065" w:type="dxa"/>
          </w:tcPr>
          <w:p>
            <w:pPr>
              <w:pStyle w:val="TableParagraph"/>
              <w:spacing w:before="22"/>
              <w:ind w:left="124" w:right="124"/>
              <w:rPr>
                <w:rFonts w:ascii="Times New Roman"/>
                <w:sz w:val="21"/>
              </w:rPr>
            </w:pPr>
            <w:r>
              <w:rPr>
                <w:rFonts w:ascii="Times New Roman"/>
                <w:sz w:val="21"/>
              </w:rPr>
              <w:t>&lt;1.1</w:t>
            </w:r>
          </w:p>
        </w:tc>
        <w:tc>
          <w:tcPr>
            <w:tcW w:w="1349" w:type="dxa"/>
          </w:tcPr>
          <w:p>
            <w:pPr>
              <w:pStyle w:val="TableParagraph"/>
              <w:spacing w:before="22"/>
              <w:ind w:left="281" w:right="288"/>
              <w:rPr>
                <w:rFonts w:ascii="Times New Roman"/>
                <w:sz w:val="21"/>
              </w:rPr>
            </w:pPr>
            <w:r>
              <w:rPr>
                <w:rFonts w:ascii="Times New Roman"/>
                <w:sz w:val="21"/>
              </w:rPr>
              <w:t>1290000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136" w:type="dxa"/>
          </w:tcPr>
          <w:p>
            <w:pPr>
              <w:pStyle w:val="TableParagraph"/>
              <w:spacing w:before="20"/>
              <w:ind w:left="376"/>
              <w:jc w:val="left"/>
              <w:rPr>
                <w:rFonts w:ascii="Times New Roman"/>
                <w:sz w:val="21"/>
              </w:rPr>
            </w:pPr>
            <w:r>
              <w:rPr>
                <w:rFonts w:ascii="Times New Roman"/>
                <w:sz w:val="21"/>
              </w:rPr>
              <w:t>&lt;1.3</w:t>
            </w:r>
          </w:p>
        </w:tc>
        <w:tc>
          <w:tcPr>
            <w:tcW w:w="1134" w:type="dxa"/>
          </w:tcPr>
          <w:p>
            <w:pPr>
              <w:pStyle w:val="TableParagraph"/>
              <w:spacing w:before="20"/>
              <w:ind w:left="159" w:right="159"/>
              <w:rPr>
                <w:rFonts w:ascii="Times New Roman"/>
                <w:sz w:val="21"/>
              </w:rPr>
            </w:pPr>
            <w:r>
              <w:rPr>
                <w:rFonts w:ascii="Times New Roman"/>
                <w:sz w:val="21"/>
              </w:rPr>
              <w:t>&lt;1.3</w:t>
            </w:r>
          </w:p>
        </w:tc>
        <w:tc>
          <w:tcPr>
            <w:tcW w:w="1137" w:type="dxa"/>
          </w:tcPr>
          <w:p>
            <w:pPr>
              <w:pStyle w:val="TableParagraph"/>
              <w:spacing w:before="20"/>
              <w:ind w:left="97" w:right="99"/>
              <w:rPr>
                <w:rFonts w:ascii="Times New Roman"/>
                <w:sz w:val="21"/>
              </w:rPr>
            </w:pPr>
            <w:r>
              <w:rPr>
                <w:rFonts w:ascii="Times New Roman"/>
                <w:sz w:val="21"/>
              </w:rPr>
              <w:t>&lt;1.3</w:t>
            </w:r>
          </w:p>
        </w:tc>
        <w:tc>
          <w:tcPr>
            <w:tcW w:w="1065" w:type="dxa"/>
          </w:tcPr>
          <w:p>
            <w:pPr>
              <w:pStyle w:val="TableParagraph"/>
              <w:spacing w:before="20"/>
              <w:ind w:left="124" w:right="124"/>
              <w:rPr>
                <w:rFonts w:ascii="Times New Roman"/>
                <w:sz w:val="21"/>
              </w:rPr>
            </w:pPr>
            <w:r>
              <w:rPr>
                <w:rFonts w:ascii="Times New Roman"/>
                <w:sz w:val="21"/>
              </w:rPr>
              <w:t>&lt;1.3</w:t>
            </w:r>
          </w:p>
        </w:tc>
        <w:tc>
          <w:tcPr>
            <w:tcW w:w="1349" w:type="dxa"/>
          </w:tcPr>
          <w:p>
            <w:pPr>
              <w:pStyle w:val="TableParagraph"/>
              <w:spacing w:before="20"/>
              <w:ind w:left="281" w:right="288"/>
              <w:rPr>
                <w:rFonts w:ascii="Times New Roman"/>
                <w:sz w:val="21"/>
              </w:rPr>
            </w:pPr>
            <w:r>
              <w:rPr>
                <w:rFonts w:ascii="Times New Roman"/>
                <w:sz w:val="21"/>
              </w:rPr>
              <w:t>1200000</w:t>
            </w:r>
          </w:p>
        </w:tc>
        <w:tc>
          <w:tcPr>
            <w:tcW w:w="1015" w:type="dxa"/>
          </w:tcPr>
          <w:p>
            <w:pPr>
              <w:pStyle w:val="TableParagraph"/>
              <w:spacing w:line="257" w:lineRule="exact" w:before="6"/>
              <w:ind w:left="37" w:right="47"/>
              <w:rPr>
                <w:sz w:val="21"/>
              </w:rPr>
            </w:pPr>
            <w:r>
              <w:rPr>
                <w:sz w:val="21"/>
              </w:rPr>
              <w:t>达标</w:t>
            </w:r>
          </w:p>
        </w:tc>
      </w:tr>
      <w:tr>
        <w:trPr>
          <w:trHeight w:val="513" w:hRule="atLeast"/>
        </w:trPr>
        <w:tc>
          <w:tcPr>
            <w:tcW w:w="2521" w:type="dxa"/>
          </w:tcPr>
          <w:p>
            <w:pPr>
              <w:pStyle w:val="TableParagraph"/>
              <w:spacing w:before="1"/>
              <w:ind w:left="107" w:right="104"/>
              <w:rPr>
                <w:sz w:val="21"/>
              </w:rPr>
            </w:pPr>
            <w:r>
              <w:rPr>
                <w:sz w:val="21"/>
              </w:rPr>
              <w:t>间二甲苯</w:t>
            </w:r>
            <w:r>
              <w:rPr>
                <w:rFonts w:ascii="Times New Roman" w:eastAsia="Times New Roman"/>
                <w:sz w:val="21"/>
              </w:rPr>
              <w:t>+</w:t>
            </w:r>
            <w:r>
              <w:rPr>
                <w:sz w:val="21"/>
              </w:rPr>
              <w:t>对二甲苯</w:t>
            </w:r>
          </w:p>
          <w:p>
            <w:pPr>
              <w:pStyle w:val="TableParagraph"/>
              <w:spacing w:line="222" w:lineRule="exact" w:before="1"/>
              <w:ind w:left="109" w:right="104"/>
              <w:rPr>
                <w:rFonts w:ascii="Times New Roman" w:hAnsi="Times New Roman"/>
                <w:sz w:val="21"/>
              </w:rPr>
            </w:pPr>
            <w:r>
              <w:rPr>
                <w:rFonts w:ascii="Times New Roman" w:hAnsi="Times New Roman"/>
                <w:sz w:val="21"/>
              </w:rPr>
              <w:t>μg/kg</w:t>
            </w:r>
          </w:p>
        </w:tc>
        <w:tc>
          <w:tcPr>
            <w:tcW w:w="1136" w:type="dxa"/>
          </w:tcPr>
          <w:p>
            <w:pPr>
              <w:pStyle w:val="TableParagraph"/>
              <w:spacing w:before="137"/>
              <w:ind w:left="376"/>
              <w:jc w:val="left"/>
              <w:rPr>
                <w:rFonts w:ascii="Times New Roman"/>
                <w:sz w:val="21"/>
              </w:rPr>
            </w:pPr>
            <w:r>
              <w:rPr>
                <w:rFonts w:ascii="Times New Roman"/>
                <w:sz w:val="21"/>
              </w:rPr>
              <w:t>&lt;1.2</w:t>
            </w:r>
          </w:p>
        </w:tc>
        <w:tc>
          <w:tcPr>
            <w:tcW w:w="1134" w:type="dxa"/>
          </w:tcPr>
          <w:p>
            <w:pPr>
              <w:pStyle w:val="TableParagraph"/>
              <w:spacing w:before="137"/>
              <w:ind w:left="159" w:right="159"/>
              <w:rPr>
                <w:rFonts w:ascii="Times New Roman"/>
                <w:sz w:val="21"/>
              </w:rPr>
            </w:pPr>
            <w:r>
              <w:rPr>
                <w:rFonts w:ascii="Times New Roman"/>
                <w:sz w:val="21"/>
              </w:rPr>
              <w:t>&lt;1.2</w:t>
            </w:r>
          </w:p>
        </w:tc>
        <w:tc>
          <w:tcPr>
            <w:tcW w:w="1137" w:type="dxa"/>
          </w:tcPr>
          <w:p>
            <w:pPr>
              <w:pStyle w:val="TableParagraph"/>
              <w:spacing w:before="137"/>
              <w:ind w:left="97" w:right="99"/>
              <w:rPr>
                <w:rFonts w:ascii="Times New Roman"/>
                <w:sz w:val="21"/>
              </w:rPr>
            </w:pPr>
            <w:r>
              <w:rPr>
                <w:rFonts w:ascii="Times New Roman"/>
                <w:sz w:val="21"/>
              </w:rPr>
              <w:t>&lt;1.2</w:t>
            </w:r>
          </w:p>
        </w:tc>
        <w:tc>
          <w:tcPr>
            <w:tcW w:w="1065" w:type="dxa"/>
          </w:tcPr>
          <w:p>
            <w:pPr>
              <w:pStyle w:val="TableParagraph"/>
              <w:spacing w:before="137"/>
              <w:ind w:left="124" w:right="124"/>
              <w:rPr>
                <w:rFonts w:ascii="Times New Roman"/>
                <w:sz w:val="21"/>
              </w:rPr>
            </w:pPr>
            <w:r>
              <w:rPr>
                <w:rFonts w:ascii="Times New Roman"/>
                <w:sz w:val="21"/>
              </w:rPr>
              <w:t>&lt;1.2</w:t>
            </w:r>
          </w:p>
        </w:tc>
        <w:tc>
          <w:tcPr>
            <w:tcW w:w="1349" w:type="dxa"/>
          </w:tcPr>
          <w:p>
            <w:pPr>
              <w:pStyle w:val="TableParagraph"/>
              <w:spacing w:before="137"/>
              <w:ind w:left="281" w:right="285"/>
              <w:rPr>
                <w:rFonts w:ascii="Times New Roman"/>
                <w:sz w:val="21"/>
              </w:rPr>
            </w:pPr>
            <w:r>
              <w:rPr>
                <w:rFonts w:ascii="Times New Roman"/>
                <w:sz w:val="21"/>
              </w:rPr>
              <w:t>570000</w:t>
            </w:r>
          </w:p>
        </w:tc>
        <w:tc>
          <w:tcPr>
            <w:tcW w:w="1015" w:type="dxa"/>
          </w:tcPr>
          <w:p>
            <w:pPr>
              <w:pStyle w:val="TableParagraph"/>
              <w:spacing w:before="123"/>
              <w:ind w:left="37" w:right="47"/>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136" w:type="dxa"/>
          </w:tcPr>
          <w:p>
            <w:pPr>
              <w:pStyle w:val="TableParagraph"/>
              <w:spacing w:before="22"/>
              <w:ind w:left="376"/>
              <w:jc w:val="left"/>
              <w:rPr>
                <w:rFonts w:ascii="Times New Roman"/>
                <w:sz w:val="21"/>
              </w:rPr>
            </w:pPr>
            <w:r>
              <w:rPr>
                <w:rFonts w:ascii="Times New Roman"/>
                <w:sz w:val="21"/>
              </w:rPr>
              <w:t>&lt;1.2</w:t>
            </w:r>
          </w:p>
        </w:tc>
        <w:tc>
          <w:tcPr>
            <w:tcW w:w="1134" w:type="dxa"/>
          </w:tcPr>
          <w:p>
            <w:pPr>
              <w:pStyle w:val="TableParagraph"/>
              <w:spacing w:before="22"/>
              <w:ind w:left="159" w:right="159"/>
              <w:rPr>
                <w:rFonts w:ascii="Times New Roman"/>
                <w:sz w:val="21"/>
              </w:rPr>
            </w:pPr>
            <w:r>
              <w:rPr>
                <w:rFonts w:ascii="Times New Roman"/>
                <w:sz w:val="21"/>
              </w:rPr>
              <w:t>&lt;1.2</w:t>
            </w:r>
          </w:p>
        </w:tc>
        <w:tc>
          <w:tcPr>
            <w:tcW w:w="1137" w:type="dxa"/>
          </w:tcPr>
          <w:p>
            <w:pPr>
              <w:pStyle w:val="TableParagraph"/>
              <w:spacing w:before="22"/>
              <w:ind w:left="97" w:right="99"/>
              <w:rPr>
                <w:rFonts w:ascii="Times New Roman"/>
                <w:sz w:val="21"/>
              </w:rPr>
            </w:pPr>
            <w:r>
              <w:rPr>
                <w:rFonts w:ascii="Times New Roman"/>
                <w:sz w:val="21"/>
              </w:rPr>
              <w:t>&lt;1.2</w:t>
            </w:r>
          </w:p>
        </w:tc>
        <w:tc>
          <w:tcPr>
            <w:tcW w:w="1065" w:type="dxa"/>
          </w:tcPr>
          <w:p>
            <w:pPr>
              <w:pStyle w:val="TableParagraph"/>
              <w:spacing w:before="22"/>
              <w:ind w:left="124" w:right="124"/>
              <w:rPr>
                <w:rFonts w:ascii="Times New Roman"/>
                <w:sz w:val="21"/>
              </w:rPr>
            </w:pPr>
            <w:r>
              <w:rPr>
                <w:rFonts w:ascii="Times New Roman"/>
                <w:sz w:val="21"/>
              </w:rPr>
              <w:t>&lt;1.2</w:t>
            </w:r>
          </w:p>
        </w:tc>
        <w:tc>
          <w:tcPr>
            <w:tcW w:w="1349" w:type="dxa"/>
          </w:tcPr>
          <w:p>
            <w:pPr>
              <w:pStyle w:val="TableParagraph"/>
              <w:spacing w:before="22"/>
              <w:ind w:left="281" w:right="285"/>
              <w:rPr>
                <w:rFonts w:ascii="Times New Roman"/>
                <w:sz w:val="21"/>
              </w:rPr>
            </w:pPr>
            <w:r>
              <w:rPr>
                <w:rFonts w:ascii="Times New Roman"/>
                <w:sz w:val="21"/>
              </w:rPr>
              <w:t>640000</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eastAsia="Times New Roman"/>
                <w:sz w:val="21"/>
              </w:rPr>
            </w:pPr>
            <w:r>
              <w:rPr>
                <w:sz w:val="21"/>
              </w:rPr>
              <w:t>硝基苯 </w:t>
            </w:r>
            <w:r>
              <w:rPr>
                <w:rFonts w:ascii="Times New Roman" w:eastAsia="Times New Roman"/>
                <w:sz w:val="21"/>
              </w:rPr>
              <w:t>mg/kg</w:t>
            </w:r>
          </w:p>
        </w:tc>
        <w:tc>
          <w:tcPr>
            <w:tcW w:w="1136" w:type="dxa"/>
          </w:tcPr>
          <w:p>
            <w:pPr>
              <w:pStyle w:val="TableParagraph"/>
              <w:spacing w:before="20"/>
              <w:ind w:left="323"/>
              <w:jc w:val="left"/>
              <w:rPr>
                <w:rFonts w:ascii="Times New Roman"/>
                <w:sz w:val="21"/>
              </w:rPr>
            </w:pPr>
            <w:r>
              <w:rPr>
                <w:rFonts w:ascii="Times New Roman"/>
                <w:sz w:val="21"/>
              </w:rPr>
              <w:t>&lt;0.09</w:t>
            </w:r>
          </w:p>
        </w:tc>
        <w:tc>
          <w:tcPr>
            <w:tcW w:w="1134" w:type="dxa"/>
          </w:tcPr>
          <w:p>
            <w:pPr>
              <w:pStyle w:val="TableParagraph"/>
              <w:spacing w:before="20"/>
              <w:ind w:left="159" w:right="156"/>
              <w:rPr>
                <w:rFonts w:ascii="Times New Roman"/>
                <w:sz w:val="21"/>
              </w:rPr>
            </w:pPr>
            <w:r>
              <w:rPr>
                <w:rFonts w:ascii="Times New Roman"/>
                <w:sz w:val="21"/>
              </w:rPr>
              <w:t>&lt;0.09</w:t>
            </w:r>
          </w:p>
        </w:tc>
        <w:tc>
          <w:tcPr>
            <w:tcW w:w="1137" w:type="dxa"/>
          </w:tcPr>
          <w:p>
            <w:pPr>
              <w:pStyle w:val="TableParagraph"/>
              <w:spacing w:before="20"/>
              <w:ind w:left="99" w:right="99"/>
              <w:rPr>
                <w:rFonts w:ascii="Times New Roman"/>
                <w:sz w:val="21"/>
              </w:rPr>
            </w:pPr>
            <w:r>
              <w:rPr>
                <w:rFonts w:ascii="Times New Roman"/>
                <w:sz w:val="21"/>
              </w:rPr>
              <w:t>&lt;0.09</w:t>
            </w:r>
          </w:p>
        </w:tc>
        <w:tc>
          <w:tcPr>
            <w:tcW w:w="1065" w:type="dxa"/>
          </w:tcPr>
          <w:p>
            <w:pPr>
              <w:pStyle w:val="TableParagraph"/>
              <w:spacing w:before="20"/>
              <w:ind w:left="123" w:right="125"/>
              <w:rPr>
                <w:rFonts w:ascii="Times New Roman"/>
                <w:sz w:val="21"/>
              </w:rPr>
            </w:pPr>
            <w:r>
              <w:rPr>
                <w:rFonts w:ascii="Times New Roman"/>
                <w:sz w:val="21"/>
              </w:rPr>
              <w:t>&lt;0.09</w:t>
            </w:r>
          </w:p>
        </w:tc>
        <w:tc>
          <w:tcPr>
            <w:tcW w:w="1349" w:type="dxa"/>
          </w:tcPr>
          <w:p>
            <w:pPr>
              <w:pStyle w:val="TableParagraph"/>
              <w:spacing w:before="20"/>
              <w:ind w:left="279" w:right="288"/>
              <w:rPr>
                <w:rFonts w:ascii="Times New Roman"/>
                <w:sz w:val="21"/>
              </w:rPr>
            </w:pPr>
            <w:r>
              <w:rPr>
                <w:rFonts w:ascii="Times New Roman"/>
                <w:sz w:val="21"/>
              </w:rPr>
              <w:t>76</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eastAsia="Times New Roman"/>
                <w:sz w:val="21"/>
              </w:rPr>
            </w:pPr>
            <w:r>
              <w:rPr>
                <w:sz w:val="21"/>
              </w:rPr>
              <w:t>苯胺 </w:t>
            </w:r>
            <w:r>
              <w:rPr>
                <w:rFonts w:ascii="Times New Roman" w:eastAsia="Times New Roman"/>
                <w:sz w:val="21"/>
              </w:rPr>
              <w:t>mg/kg</w:t>
            </w:r>
          </w:p>
        </w:tc>
        <w:tc>
          <w:tcPr>
            <w:tcW w:w="1136" w:type="dxa"/>
          </w:tcPr>
          <w:p>
            <w:pPr>
              <w:pStyle w:val="TableParagraph"/>
              <w:spacing w:before="22"/>
              <w:ind w:left="323"/>
              <w:jc w:val="left"/>
              <w:rPr>
                <w:rFonts w:ascii="Times New Roman"/>
                <w:sz w:val="21"/>
              </w:rPr>
            </w:pPr>
            <w:r>
              <w:rPr>
                <w:rFonts w:ascii="Times New Roman"/>
                <w:sz w:val="21"/>
              </w:rPr>
              <w:t>&lt;0.01</w:t>
            </w:r>
          </w:p>
        </w:tc>
        <w:tc>
          <w:tcPr>
            <w:tcW w:w="1134" w:type="dxa"/>
          </w:tcPr>
          <w:p>
            <w:pPr>
              <w:pStyle w:val="TableParagraph"/>
              <w:spacing w:before="22"/>
              <w:ind w:left="159" w:right="156"/>
              <w:rPr>
                <w:rFonts w:ascii="Times New Roman"/>
                <w:sz w:val="21"/>
              </w:rPr>
            </w:pPr>
            <w:r>
              <w:rPr>
                <w:rFonts w:ascii="Times New Roman"/>
                <w:sz w:val="21"/>
              </w:rPr>
              <w:t>&lt;0.01</w:t>
            </w:r>
          </w:p>
        </w:tc>
        <w:tc>
          <w:tcPr>
            <w:tcW w:w="1137" w:type="dxa"/>
          </w:tcPr>
          <w:p>
            <w:pPr>
              <w:pStyle w:val="TableParagraph"/>
              <w:spacing w:before="22"/>
              <w:ind w:left="99" w:right="99"/>
              <w:rPr>
                <w:rFonts w:ascii="Times New Roman"/>
                <w:sz w:val="21"/>
              </w:rPr>
            </w:pPr>
            <w:r>
              <w:rPr>
                <w:rFonts w:ascii="Times New Roman"/>
                <w:sz w:val="21"/>
              </w:rPr>
              <w:t>&lt;0.01</w:t>
            </w:r>
          </w:p>
        </w:tc>
        <w:tc>
          <w:tcPr>
            <w:tcW w:w="1065" w:type="dxa"/>
          </w:tcPr>
          <w:p>
            <w:pPr>
              <w:pStyle w:val="TableParagraph"/>
              <w:spacing w:before="22"/>
              <w:ind w:left="123" w:right="125"/>
              <w:rPr>
                <w:rFonts w:ascii="Times New Roman"/>
                <w:sz w:val="21"/>
              </w:rPr>
            </w:pPr>
            <w:r>
              <w:rPr>
                <w:rFonts w:ascii="Times New Roman"/>
                <w:sz w:val="21"/>
              </w:rPr>
              <w:t>&lt;0.01</w:t>
            </w:r>
          </w:p>
        </w:tc>
        <w:tc>
          <w:tcPr>
            <w:tcW w:w="1349" w:type="dxa"/>
          </w:tcPr>
          <w:p>
            <w:pPr>
              <w:pStyle w:val="TableParagraph"/>
              <w:spacing w:before="22"/>
              <w:ind w:left="281" w:right="285"/>
              <w:rPr>
                <w:rFonts w:ascii="Times New Roman"/>
                <w:sz w:val="21"/>
              </w:rPr>
            </w:pPr>
            <w:r>
              <w:rPr>
                <w:rFonts w:ascii="Times New Roman"/>
                <w:sz w:val="21"/>
              </w:rPr>
              <w:t>260</w:t>
            </w:r>
          </w:p>
        </w:tc>
        <w:tc>
          <w:tcPr>
            <w:tcW w:w="1015" w:type="dxa"/>
          </w:tcPr>
          <w:p>
            <w:pPr>
              <w:pStyle w:val="TableParagraph"/>
              <w:spacing w:line="257" w:lineRule="exact" w:before="8"/>
              <w:ind w:left="37" w:right="47"/>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136" w:type="dxa"/>
          </w:tcPr>
          <w:p>
            <w:pPr>
              <w:pStyle w:val="TableParagraph"/>
              <w:spacing w:before="20"/>
              <w:ind w:left="323"/>
              <w:jc w:val="left"/>
              <w:rPr>
                <w:rFonts w:ascii="Times New Roman"/>
                <w:sz w:val="21"/>
              </w:rPr>
            </w:pPr>
            <w:r>
              <w:rPr>
                <w:rFonts w:ascii="Times New Roman"/>
                <w:sz w:val="21"/>
              </w:rPr>
              <w:t>&lt;0.06</w:t>
            </w:r>
          </w:p>
        </w:tc>
        <w:tc>
          <w:tcPr>
            <w:tcW w:w="1134" w:type="dxa"/>
          </w:tcPr>
          <w:p>
            <w:pPr>
              <w:pStyle w:val="TableParagraph"/>
              <w:spacing w:before="20"/>
              <w:ind w:left="159" w:right="156"/>
              <w:rPr>
                <w:rFonts w:ascii="Times New Roman"/>
                <w:sz w:val="21"/>
              </w:rPr>
            </w:pPr>
            <w:r>
              <w:rPr>
                <w:rFonts w:ascii="Times New Roman"/>
                <w:sz w:val="21"/>
              </w:rPr>
              <w:t>&lt;0.06</w:t>
            </w:r>
          </w:p>
        </w:tc>
        <w:tc>
          <w:tcPr>
            <w:tcW w:w="1137" w:type="dxa"/>
          </w:tcPr>
          <w:p>
            <w:pPr>
              <w:pStyle w:val="TableParagraph"/>
              <w:spacing w:before="20"/>
              <w:ind w:left="99" w:right="99"/>
              <w:rPr>
                <w:rFonts w:ascii="Times New Roman"/>
                <w:sz w:val="21"/>
              </w:rPr>
            </w:pPr>
            <w:r>
              <w:rPr>
                <w:rFonts w:ascii="Times New Roman"/>
                <w:sz w:val="21"/>
              </w:rPr>
              <w:t>&lt;0.06</w:t>
            </w:r>
          </w:p>
        </w:tc>
        <w:tc>
          <w:tcPr>
            <w:tcW w:w="1065" w:type="dxa"/>
          </w:tcPr>
          <w:p>
            <w:pPr>
              <w:pStyle w:val="TableParagraph"/>
              <w:spacing w:before="20"/>
              <w:ind w:left="123" w:right="125"/>
              <w:rPr>
                <w:rFonts w:ascii="Times New Roman"/>
                <w:sz w:val="21"/>
              </w:rPr>
            </w:pPr>
            <w:r>
              <w:rPr>
                <w:rFonts w:ascii="Times New Roman"/>
                <w:sz w:val="21"/>
              </w:rPr>
              <w:t>&lt;0.06</w:t>
            </w:r>
          </w:p>
        </w:tc>
        <w:tc>
          <w:tcPr>
            <w:tcW w:w="1349" w:type="dxa"/>
          </w:tcPr>
          <w:p>
            <w:pPr>
              <w:pStyle w:val="TableParagraph"/>
              <w:spacing w:before="20"/>
              <w:ind w:left="281" w:right="285"/>
              <w:rPr>
                <w:rFonts w:ascii="Times New Roman"/>
                <w:sz w:val="21"/>
              </w:rPr>
            </w:pPr>
            <w:r>
              <w:rPr>
                <w:rFonts w:ascii="Times New Roman"/>
                <w:sz w:val="21"/>
              </w:rPr>
              <w:t>2256</w:t>
            </w:r>
          </w:p>
        </w:tc>
        <w:tc>
          <w:tcPr>
            <w:tcW w:w="1015" w:type="dxa"/>
          </w:tcPr>
          <w:p>
            <w:pPr>
              <w:pStyle w:val="TableParagraph"/>
              <w:spacing w:line="257" w:lineRule="exact" w:before="6"/>
              <w:ind w:left="37" w:right="47"/>
              <w:rPr>
                <w:sz w:val="21"/>
              </w:rPr>
            </w:pPr>
            <w:r>
              <w:rPr>
                <w:sz w:val="21"/>
              </w:rPr>
              <w:t>达标</w:t>
            </w:r>
          </w:p>
        </w:tc>
      </w:tr>
      <w:tr>
        <w:trPr>
          <w:trHeight w:val="282" w:hRule="atLeast"/>
        </w:trPr>
        <w:tc>
          <w:tcPr>
            <w:tcW w:w="2521" w:type="dxa"/>
          </w:tcPr>
          <w:p>
            <w:pPr>
              <w:pStyle w:val="TableParagraph"/>
              <w:spacing w:line="255" w:lineRule="exact" w:before="8"/>
              <w:ind w:left="107" w:right="104"/>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136" w:type="dxa"/>
          </w:tcPr>
          <w:p>
            <w:pPr>
              <w:pStyle w:val="TableParagraph"/>
              <w:spacing w:line="241" w:lineRule="exact" w:before="22"/>
              <w:ind w:left="376"/>
              <w:jc w:val="left"/>
              <w:rPr>
                <w:rFonts w:ascii="Times New Roman"/>
                <w:sz w:val="21"/>
              </w:rPr>
            </w:pPr>
            <w:r>
              <w:rPr>
                <w:rFonts w:ascii="Times New Roman"/>
                <w:sz w:val="21"/>
              </w:rPr>
              <w:t>&lt;0.1</w:t>
            </w:r>
          </w:p>
        </w:tc>
        <w:tc>
          <w:tcPr>
            <w:tcW w:w="1134" w:type="dxa"/>
          </w:tcPr>
          <w:p>
            <w:pPr>
              <w:pStyle w:val="TableParagraph"/>
              <w:spacing w:line="241" w:lineRule="exact" w:before="22"/>
              <w:ind w:left="159" w:right="159"/>
              <w:rPr>
                <w:rFonts w:ascii="Times New Roman"/>
                <w:sz w:val="21"/>
              </w:rPr>
            </w:pPr>
            <w:r>
              <w:rPr>
                <w:rFonts w:ascii="Times New Roman"/>
                <w:sz w:val="21"/>
              </w:rPr>
              <w:t>&lt;0.1</w:t>
            </w:r>
          </w:p>
        </w:tc>
        <w:tc>
          <w:tcPr>
            <w:tcW w:w="1137" w:type="dxa"/>
          </w:tcPr>
          <w:p>
            <w:pPr>
              <w:pStyle w:val="TableParagraph"/>
              <w:spacing w:line="241" w:lineRule="exact" w:before="22"/>
              <w:ind w:left="97" w:right="99"/>
              <w:rPr>
                <w:rFonts w:ascii="Times New Roman"/>
                <w:sz w:val="21"/>
              </w:rPr>
            </w:pPr>
            <w:r>
              <w:rPr>
                <w:rFonts w:ascii="Times New Roman"/>
                <w:sz w:val="21"/>
              </w:rPr>
              <w:t>&lt;0.1</w:t>
            </w:r>
          </w:p>
        </w:tc>
        <w:tc>
          <w:tcPr>
            <w:tcW w:w="1065" w:type="dxa"/>
          </w:tcPr>
          <w:p>
            <w:pPr>
              <w:pStyle w:val="TableParagraph"/>
              <w:spacing w:line="241" w:lineRule="exact" w:before="22"/>
              <w:ind w:left="124" w:right="124"/>
              <w:rPr>
                <w:rFonts w:ascii="Times New Roman"/>
                <w:sz w:val="21"/>
              </w:rPr>
            </w:pPr>
            <w:r>
              <w:rPr>
                <w:rFonts w:ascii="Times New Roman"/>
                <w:sz w:val="21"/>
              </w:rPr>
              <w:t>&lt;0.1</w:t>
            </w:r>
          </w:p>
        </w:tc>
        <w:tc>
          <w:tcPr>
            <w:tcW w:w="1349" w:type="dxa"/>
          </w:tcPr>
          <w:p>
            <w:pPr>
              <w:pStyle w:val="TableParagraph"/>
              <w:spacing w:line="241" w:lineRule="exact" w:before="22"/>
              <w:ind w:left="279" w:right="288"/>
              <w:rPr>
                <w:rFonts w:ascii="Times New Roman"/>
                <w:sz w:val="21"/>
              </w:rPr>
            </w:pPr>
            <w:r>
              <w:rPr>
                <w:rFonts w:ascii="Times New Roman"/>
                <w:sz w:val="21"/>
              </w:rPr>
              <w:t>15</w:t>
            </w:r>
          </w:p>
        </w:tc>
        <w:tc>
          <w:tcPr>
            <w:tcW w:w="1015" w:type="dxa"/>
          </w:tcPr>
          <w:p>
            <w:pPr>
              <w:pStyle w:val="TableParagraph"/>
              <w:spacing w:line="255" w:lineRule="exact" w:before="8"/>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136" w:type="dxa"/>
          </w:tcPr>
          <w:p>
            <w:pPr>
              <w:pStyle w:val="TableParagraph"/>
              <w:spacing w:before="22"/>
              <w:ind w:left="376"/>
              <w:jc w:val="left"/>
              <w:rPr>
                <w:rFonts w:ascii="Times New Roman"/>
                <w:sz w:val="21"/>
              </w:rPr>
            </w:pPr>
            <w:r>
              <w:rPr>
                <w:rFonts w:ascii="Times New Roman"/>
                <w:sz w:val="21"/>
              </w:rPr>
              <w:t>&lt;0.1</w:t>
            </w:r>
          </w:p>
        </w:tc>
        <w:tc>
          <w:tcPr>
            <w:tcW w:w="1134" w:type="dxa"/>
          </w:tcPr>
          <w:p>
            <w:pPr>
              <w:pStyle w:val="TableParagraph"/>
              <w:spacing w:before="22"/>
              <w:ind w:left="159" w:right="159"/>
              <w:rPr>
                <w:rFonts w:ascii="Times New Roman"/>
                <w:sz w:val="21"/>
              </w:rPr>
            </w:pPr>
            <w:r>
              <w:rPr>
                <w:rFonts w:ascii="Times New Roman"/>
                <w:sz w:val="21"/>
              </w:rPr>
              <w:t>&lt;0.1</w:t>
            </w:r>
          </w:p>
        </w:tc>
        <w:tc>
          <w:tcPr>
            <w:tcW w:w="1137" w:type="dxa"/>
          </w:tcPr>
          <w:p>
            <w:pPr>
              <w:pStyle w:val="TableParagraph"/>
              <w:spacing w:before="22"/>
              <w:ind w:left="97" w:right="99"/>
              <w:rPr>
                <w:rFonts w:ascii="Times New Roman"/>
                <w:sz w:val="21"/>
              </w:rPr>
            </w:pPr>
            <w:r>
              <w:rPr>
                <w:rFonts w:ascii="Times New Roman"/>
                <w:sz w:val="21"/>
              </w:rPr>
              <w:t>&lt;0.1</w:t>
            </w:r>
          </w:p>
        </w:tc>
        <w:tc>
          <w:tcPr>
            <w:tcW w:w="1065" w:type="dxa"/>
          </w:tcPr>
          <w:p>
            <w:pPr>
              <w:pStyle w:val="TableParagraph"/>
              <w:spacing w:before="22"/>
              <w:ind w:left="124" w:right="124"/>
              <w:rPr>
                <w:rFonts w:ascii="Times New Roman"/>
                <w:sz w:val="21"/>
              </w:rPr>
            </w:pPr>
            <w:r>
              <w:rPr>
                <w:rFonts w:ascii="Times New Roman"/>
                <w:sz w:val="21"/>
              </w:rPr>
              <w:t>&lt;0.1</w:t>
            </w:r>
          </w:p>
        </w:tc>
        <w:tc>
          <w:tcPr>
            <w:tcW w:w="1349" w:type="dxa"/>
          </w:tcPr>
          <w:p>
            <w:pPr>
              <w:pStyle w:val="TableParagraph"/>
              <w:spacing w:before="22"/>
              <w:ind w:left="281" w:right="285"/>
              <w:rPr>
                <w:rFonts w:ascii="Times New Roman"/>
                <w:sz w:val="21"/>
              </w:rPr>
            </w:pPr>
            <w:r>
              <w:rPr>
                <w:rFonts w:ascii="Times New Roman"/>
                <w:sz w:val="21"/>
              </w:rPr>
              <w:t>1.5</w:t>
            </w:r>
          </w:p>
        </w:tc>
        <w:tc>
          <w:tcPr>
            <w:tcW w:w="1015" w:type="dxa"/>
          </w:tcPr>
          <w:p>
            <w:pPr>
              <w:pStyle w:val="TableParagraph"/>
              <w:spacing w:line="257" w:lineRule="exact" w:before="8"/>
              <w:ind w:left="37" w:right="47"/>
              <w:rPr>
                <w:sz w:val="21"/>
              </w:rPr>
            </w:pPr>
            <w:r>
              <w:rPr>
                <w:sz w:val="21"/>
              </w:rPr>
              <w:t>达标</w:t>
            </w:r>
          </w:p>
        </w:tc>
      </w:tr>
      <w:tr>
        <w:trPr>
          <w:trHeight w:val="283" w:hRule="atLeast"/>
        </w:trPr>
        <w:tc>
          <w:tcPr>
            <w:tcW w:w="2521" w:type="dxa"/>
          </w:tcPr>
          <w:p>
            <w:pPr>
              <w:pStyle w:val="TableParagraph"/>
              <w:spacing w:line="258" w:lineRule="exact" w:before="6"/>
              <w:ind w:left="107" w:right="104"/>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136" w:type="dxa"/>
          </w:tcPr>
          <w:p>
            <w:pPr>
              <w:pStyle w:val="TableParagraph"/>
              <w:spacing w:before="20"/>
              <w:ind w:left="376"/>
              <w:jc w:val="left"/>
              <w:rPr>
                <w:rFonts w:ascii="Times New Roman"/>
                <w:sz w:val="21"/>
              </w:rPr>
            </w:pPr>
            <w:r>
              <w:rPr>
                <w:rFonts w:ascii="Times New Roman"/>
                <w:sz w:val="21"/>
              </w:rPr>
              <w:t>&lt;0.2</w:t>
            </w:r>
          </w:p>
        </w:tc>
        <w:tc>
          <w:tcPr>
            <w:tcW w:w="1134" w:type="dxa"/>
          </w:tcPr>
          <w:p>
            <w:pPr>
              <w:pStyle w:val="TableParagraph"/>
              <w:spacing w:before="20"/>
              <w:ind w:left="159" w:right="159"/>
              <w:rPr>
                <w:rFonts w:ascii="Times New Roman"/>
                <w:sz w:val="21"/>
              </w:rPr>
            </w:pPr>
            <w:r>
              <w:rPr>
                <w:rFonts w:ascii="Times New Roman"/>
                <w:sz w:val="21"/>
              </w:rPr>
              <w:t>&lt;0.2</w:t>
            </w:r>
          </w:p>
        </w:tc>
        <w:tc>
          <w:tcPr>
            <w:tcW w:w="1137" w:type="dxa"/>
          </w:tcPr>
          <w:p>
            <w:pPr>
              <w:pStyle w:val="TableParagraph"/>
              <w:spacing w:before="20"/>
              <w:ind w:left="97" w:right="99"/>
              <w:rPr>
                <w:rFonts w:ascii="Times New Roman"/>
                <w:sz w:val="21"/>
              </w:rPr>
            </w:pPr>
            <w:r>
              <w:rPr>
                <w:rFonts w:ascii="Times New Roman"/>
                <w:sz w:val="21"/>
              </w:rPr>
              <w:t>&lt;0.2</w:t>
            </w:r>
          </w:p>
        </w:tc>
        <w:tc>
          <w:tcPr>
            <w:tcW w:w="1065" w:type="dxa"/>
          </w:tcPr>
          <w:p>
            <w:pPr>
              <w:pStyle w:val="TableParagraph"/>
              <w:spacing w:before="20"/>
              <w:ind w:left="124" w:right="124"/>
              <w:rPr>
                <w:rFonts w:ascii="Times New Roman"/>
                <w:sz w:val="21"/>
              </w:rPr>
            </w:pPr>
            <w:r>
              <w:rPr>
                <w:rFonts w:ascii="Times New Roman"/>
                <w:sz w:val="21"/>
              </w:rPr>
              <w:t>&lt;0.2</w:t>
            </w:r>
          </w:p>
        </w:tc>
        <w:tc>
          <w:tcPr>
            <w:tcW w:w="1349" w:type="dxa"/>
          </w:tcPr>
          <w:p>
            <w:pPr>
              <w:pStyle w:val="TableParagraph"/>
              <w:spacing w:before="20"/>
              <w:ind w:left="279" w:right="288"/>
              <w:rPr>
                <w:rFonts w:ascii="Times New Roman"/>
                <w:sz w:val="21"/>
              </w:rPr>
            </w:pPr>
            <w:r>
              <w:rPr>
                <w:rFonts w:ascii="Times New Roman"/>
                <w:sz w:val="21"/>
              </w:rPr>
              <w:t>15</w:t>
            </w:r>
          </w:p>
        </w:tc>
        <w:tc>
          <w:tcPr>
            <w:tcW w:w="1015" w:type="dxa"/>
          </w:tcPr>
          <w:p>
            <w:pPr>
              <w:pStyle w:val="TableParagraph"/>
              <w:spacing w:line="258" w:lineRule="exact" w:before="6"/>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136" w:type="dxa"/>
          </w:tcPr>
          <w:p>
            <w:pPr>
              <w:pStyle w:val="TableParagraph"/>
              <w:spacing w:before="22"/>
              <w:ind w:left="376"/>
              <w:jc w:val="left"/>
              <w:rPr>
                <w:rFonts w:ascii="Times New Roman"/>
                <w:sz w:val="21"/>
              </w:rPr>
            </w:pPr>
            <w:r>
              <w:rPr>
                <w:rFonts w:ascii="Times New Roman"/>
                <w:sz w:val="21"/>
              </w:rPr>
              <w:t>&lt;0.1</w:t>
            </w:r>
          </w:p>
        </w:tc>
        <w:tc>
          <w:tcPr>
            <w:tcW w:w="1134" w:type="dxa"/>
          </w:tcPr>
          <w:p>
            <w:pPr>
              <w:pStyle w:val="TableParagraph"/>
              <w:spacing w:before="22"/>
              <w:ind w:left="159" w:right="159"/>
              <w:rPr>
                <w:rFonts w:ascii="Times New Roman"/>
                <w:sz w:val="21"/>
              </w:rPr>
            </w:pPr>
            <w:r>
              <w:rPr>
                <w:rFonts w:ascii="Times New Roman"/>
                <w:sz w:val="21"/>
              </w:rPr>
              <w:t>&lt;0.1</w:t>
            </w:r>
          </w:p>
        </w:tc>
        <w:tc>
          <w:tcPr>
            <w:tcW w:w="1137" w:type="dxa"/>
          </w:tcPr>
          <w:p>
            <w:pPr>
              <w:pStyle w:val="TableParagraph"/>
              <w:spacing w:before="22"/>
              <w:ind w:left="97" w:right="99"/>
              <w:rPr>
                <w:rFonts w:ascii="Times New Roman"/>
                <w:sz w:val="21"/>
              </w:rPr>
            </w:pPr>
            <w:r>
              <w:rPr>
                <w:rFonts w:ascii="Times New Roman"/>
                <w:sz w:val="21"/>
              </w:rPr>
              <w:t>&lt;0.1</w:t>
            </w:r>
          </w:p>
        </w:tc>
        <w:tc>
          <w:tcPr>
            <w:tcW w:w="1065" w:type="dxa"/>
          </w:tcPr>
          <w:p>
            <w:pPr>
              <w:pStyle w:val="TableParagraph"/>
              <w:spacing w:before="22"/>
              <w:ind w:left="124" w:right="124"/>
              <w:rPr>
                <w:rFonts w:ascii="Times New Roman"/>
                <w:sz w:val="21"/>
              </w:rPr>
            </w:pPr>
            <w:r>
              <w:rPr>
                <w:rFonts w:ascii="Times New Roman"/>
                <w:sz w:val="21"/>
              </w:rPr>
              <w:t>&lt;0.1</w:t>
            </w:r>
          </w:p>
        </w:tc>
        <w:tc>
          <w:tcPr>
            <w:tcW w:w="1349" w:type="dxa"/>
          </w:tcPr>
          <w:p>
            <w:pPr>
              <w:pStyle w:val="TableParagraph"/>
              <w:spacing w:before="22"/>
              <w:ind w:left="281" w:right="285"/>
              <w:rPr>
                <w:rFonts w:ascii="Times New Roman"/>
                <w:sz w:val="21"/>
              </w:rPr>
            </w:pPr>
            <w:r>
              <w:rPr>
                <w:rFonts w:ascii="Times New Roman"/>
                <w:sz w:val="21"/>
              </w:rPr>
              <w:t>151</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eastAsia="Times New Roman"/>
                <w:sz w:val="21"/>
              </w:rPr>
            </w:pPr>
            <w:r>
              <w:rPr>
                <w:sz w:val="21"/>
              </w:rPr>
              <w:t>䓛 </w:t>
            </w:r>
            <w:r>
              <w:rPr>
                <w:rFonts w:ascii="Times New Roman" w:eastAsia="Times New Roman"/>
                <w:sz w:val="21"/>
              </w:rPr>
              <w:t>mg/kg</w:t>
            </w:r>
          </w:p>
        </w:tc>
        <w:tc>
          <w:tcPr>
            <w:tcW w:w="1136" w:type="dxa"/>
          </w:tcPr>
          <w:p>
            <w:pPr>
              <w:pStyle w:val="TableParagraph"/>
              <w:spacing w:before="20"/>
              <w:ind w:left="376"/>
              <w:jc w:val="left"/>
              <w:rPr>
                <w:rFonts w:ascii="Times New Roman"/>
                <w:sz w:val="21"/>
              </w:rPr>
            </w:pPr>
            <w:r>
              <w:rPr>
                <w:rFonts w:ascii="Times New Roman"/>
                <w:sz w:val="21"/>
              </w:rPr>
              <w:t>&lt;0.1</w:t>
            </w:r>
          </w:p>
        </w:tc>
        <w:tc>
          <w:tcPr>
            <w:tcW w:w="1134" w:type="dxa"/>
          </w:tcPr>
          <w:p>
            <w:pPr>
              <w:pStyle w:val="TableParagraph"/>
              <w:spacing w:before="20"/>
              <w:ind w:left="159" w:right="159"/>
              <w:rPr>
                <w:rFonts w:ascii="Times New Roman"/>
                <w:sz w:val="21"/>
              </w:rPr>
            </w:pPr>
            <w:r>
              <w:rPr>
                <w:rFonts w:ascii="Times New Roman"/>
                <w:sz w:val="21"/>
              </w:rPr>
              <w:t>&lt;0.1</w:t>
            </w:r>
          </w:p>
        </w:tc>
        <w:tc>
          <w:tcPr>
            <w:tcW w:w="1137" w:type="dxa"/>
          </w:tcPr>
          <w:p>
            <w:pPr>
              <w:pStyle w:val="TableParagraph"/>
              <w:spacing w:before="20"/>
              <w:ind w:left="97" w:right="99"/>
              <w:rPr>
                <w:rFonts w:ascii="Times New Roman"/>
                <w:sz w:val="21"/>
              </w:rPr>
            </w:pPr>
            <w:r>
              <w:rPr>
                <w:rFonts w:ascii="Times New Roman"/>
                <w:sz w:val="21"/>
              </w:rPr>
              <w:t>&lt;0.1</w:t>
            </w:r>
          </w:p>
        </w:tc>
        <w:tc>
          <w:tcPr>
            <w:tcW w:w="1065" w:type="dxa"/>
          </w:tcPr>
          <w:p>
            <w:pPr>
              <w:pStyle w:val="TableParagraph"/>
              <w:spacing w:before="20"/>
              <w:ind w:left="124" w:right="124"/>
              <w:rPr>
                <w:rFonts w:ascii="Times New Roman"/>
                <w:sz w:val="21"/>
              </w:rPr>
            </w:pPr>
            <w:r>
              <w:rPr>
                <w:rFonts w:ascii="Times New Roman"/>
                <w:sz w:val="21"/>
              </w:rPr>
              <w:t>&lt;0.1</w:t>
            </w:r>
          </w:p>
        </w:tc>
        <w:tc>
          <w:tcPr>
            <w:tcW w:w="1349" w:type="dxa"/>
          </w:tcPr>
          <w:p>
            <w:pPr>
              <w:pStyle w:val="TableParagraph"/>
              <w:spacing w:before="20"/>
              <w:ind w:left="281" w:right="285"/>
              <w:rPr>
                <w:rFonts w:ascii="Times New Roman"/>
                <w:sz w:val="21"/>
              </w:rPr>
            </w:pPr>
            <w:r>
              <w:rPr>
                <w:rFonts w:ascii="Times New Roman"/>
                <w:sz w:val="21"/>
              </w:rPr>
              <w:t>1293</w:t>
            </w:r>
          </w:p>
        </w:tc>
        <w:tc>
          <w:tcPr>
            <w:tcW w:w="1015" w:type="dxa"/>
          </w:tcPr>
          <w:p>
            <w:pPr>
              <w:pStyle w:val="TableParagraph"/>
              <w:spacing w:line="257" w:lineRule="exact" w:before="6"/>
              <w:ind w:left="37" w:right="47"/>
              <w:rPr>
                <w:sz w:val="21"/>
              </w:rPr>
            </w:pPr>
            <w:r>
              <w:rPr>
                <w:sz w:val="21"/>
              </w:rPr>
              <w:t>达标</w:t>
            </w:r>
          </w:p>
        </w:tc>
      </w:tr>
      <w:tr>
        <w:trPr>
          <w:trHeight w:val="283" w:hRule="atLeast"/>
        </w:trPr>
        <w:tc>
          <w:tcPr>
            <w:tcW w:w="2521" w:type="dxa"/>
          </w:tcPr>
          <w:p>
            <w:pPr>
              <w:pStyle w:val="TableParagraph"/>
              <w:spacing w:line="255" w:lineRule="exact" w:before="8"/>
              <w:ind w:left="110" w:right="104"/>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136" w:type="dxa"/>
          </w:tcPr>
          <w:p>
            <w:pPr>
              <w:pStyle w:val="TableParagraph"/>
              <w:spacing w:line="241" w:lineRule="exact" w:before="22"/>
              <w:ind w:left="376"/>
              <w:jc w:val="left"/>
              <w:rPr>
                <w:rFonts w:ascii="Times New Roman"/>
                <w:sz w:val="21"/>
              </w:rPr>
            </w:pPr>
            <w:r>
              <w:rPr>
                <w:rFonts w:ascii="Times New Roman"/>
                <w:sz w:val="21"/>
              </w:rPr>
              <w:t>&lt;0.1</w:t>
            </w:r>
          </w:p>
        </w:tc>
        <w:tc>
          <w:tcPr>
            <w:tcW w:w="1134" w:type="dxa"/>
          </w:tcPr>
          <w:p>
            <w:pPr>
              <w:pStyle w:val="TableParagraph"/>
              <w:spacing w:line="241" w:lineRule="exact" w:before="22"/>
              <w:ind w:left="159" w:right="159"/>
              <w:rPr>
                <w:rFonts w:ascii="Times New Roman"/>
                <w:sz w:val="21"/>
              </w:rPr>
            </w:pPr>
            <w:r>
              <w:rPr>
                <w:rFonts w:ascii="Times New Roman"/>
                <w:sz w:val="21"/>
              </w:rPr>
              <w:t>&lt;0.1</w:t>
            </w:r>
          </w:p>
        </w:tc>
        <w:tc>
          <w:tcPr>
            <w:tcW w:w="1137" w:type="dxa"/>
          </w:tcPr>
          <w:p>
            <w:pPr>
              <w:pStyle w:val="TableParagraph"/>
              <w:spacing w:line="241" w:lineRule="exact" w:before="22"/>
              <w:ind w:left="97" w:right="99"/>
              <w:rPr>
                <w:rFonts w:ascii="Times New Roman"/>
                <w:sz w:val="21"/>
              </w:rPr>
            </w:pPr>
            <w:r>
              <w:rPr>
                <w:rFonts w:ascii="Times New Roman"/>
                <w:sz w:val="21"/>
              </w:rPr>
              <w:t>&lt;0.1</w:t>
            </w:r>
          </w:p>
        </w:tc>
        <w:tc>
          <w:tcPr>
            <w:tcW w:w="1065" w:type="dxa"/>
          </w:tcPr>
          <w:p>
            <w:pPr>
              <w:pStyle w:val="TableParagraph"/>
              <w:spacing w:line="241" w:lineRule="exact" w:before="22"/>
              <w:ind w:left="124" w:right="124"/>
              <w:rPr>
                <w:rFonts w:ascii="Times New Roman"/>
                <w:sz w:val="21"/>
              </w:rPr>
            </w:pPr>
            <w:r>
              <w:rPr>
                <w:rFonts w:ascii="Times New Roman"/>
                <w:sz w:val="21"/>
              </w:rPr>
              <w:t>&lt;0.1</w:t>
            </w:r>
          </w:p>
        </w:tc>
        <w:tc>
          <w:tcPr>
            <w:tcW w:w="1349" w:type="dxa"/>
          </w:tcPr>
          <w:p>
            <w:pPr>
              <w:pStyle w:val="TableParagraph"/>
              <w:spacing w:line="241" w:lineRule="exact" w:before="22"/>
              <w:ind w:left="281" w:right="285"/>
              <w:rPr>
                <w:rFonts w:ascii="Times New Roman"/>
                <w:sz w:val="21"/>
              </w:rPr>
            </w:pPr>
            <w:r>
              <w:rPr>
                <w:rFonts w:ascii="Times New Roman"/>
                <w:sz w:val="21"/>
              </w:rPr>
              <w:t>1.5</w:t>
            </w:r>
          </w:p>
        </w:tc>
        <w:tc>
          <w:tcPr>
            <w:tcW w:w="1015" w:type="dxa"/>
          </w:tcPr>
          <w:p>
            <w:pPr>
              <w:pStyle w:val="TableParagraph"/>
              <w:spacing w:line="255" w:lineRule="exact" w:before="8"/>
              <w:ind w:left="37" w:right="47"/>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136" w:type="dxa"/>
          </w:tcPr>
          <w:p>
            <w:pPr>
              <w:pStyle w:val="TableParagraph"/>
              <w:spacing w:before="22"/>
              <w:ind w:left="376"/>
              <w:jc w:val="left"/>
              <w:rPr>
                <w:rFonts w:ascii="Times New Roman"/>
                <w:sz w:val="21"/>
              </w:rPr>
            </w:pPr>
            <w:r>
              <w:rPr>
                <w:rFonts w:ascii="Times New Roman"/>
                <w:sz w:val="21"/>
              </w:rPr>
              <w:t>&lt;0.1</w:t>
            </w:r>
          </w:p>
        </w:tc>
        <w:tc>
          <w:tcPr>
            <w:tcW w:w="1134" w:type="dxa"/>
          </w:tcPr>
          <w:p>
            <w:pPr>
              <w:pStyle w:val="TableParagraph"/>
              <w:spacing w:before="22"/>
              <w:ind w:left="159" w:right="159"/>
              <w:rPr>
                <w:rFonts w:ascii="Times New Roman"/>
                <w:sz w:val="21"/>
              </w:rPr>
            </w:pPr>
            <w:r>
              <w:rPr>
                <w:rFonts w:ascii="Times New Roman"/>
                <w:sz w:val="21"/>
              </w:rPr>
              <w:t>&lt;0.1</w:t>
            </w:r>
          </w:p>
        </w:tc>
        <w:tc>
          <w:tcPr>
            <w:tcW w:w="1137" w:type="dxa"/>
          </w:tcPr>
          <w:p>
            <w:pPr>
              <w:pStyle w:val="TableParagraph"/>
              <w:spacing w:before="22"/>
              <w:ind w:left="97" w:right="99"/>
              <w:rPr>
                <w:rFonts w:ascii="Times New Roman"/>
                <w:sz w:val="21"/>
              </w:rPr>
            </w:pPr>
            <w:r>
              <w:rPr>
                <w:rFonts w:ascii="Times New Roman"/>
                <w:sz w:val="21"/>
              </w:rPr>
              <w:t>&lt;0.1</w:t>
            </w:r>
          </w:p>
        </w:tc>
        <w:tc>
          <w:tcPr>
            <w:tcW w:w="1065" w:type="dxa"/>
          </w:tcPr>
          <w:p>
            <w:pPr>
              <w:pStyle w:val="TableParagraph"/>
              <w:spacing w:before="22"/>
              <w:ind w:left="124" w:right="124"/>
              <w:rPr>
                <w:rFonts w:ascii="Times New Roman"/>
                <w:sz w:val="21"/>
              </w:rPr>
            </w:pPr>
            <w:r>
              <w:rPr>
                <w:rFonts w:ascii="Times New Roman"/>
                <w:sz w:val="21"/>
              </w:rPr>
              <w:t>&lt;0.1</w:t>
            </w:r>
          </w:p>
        </w:tc>
        <w:tc>
          <w:tcPr>
            <w:tcW w:w="1349" w:type="dxa"/>
          </w:tcPr>
          <w:p>
            <w:pPr>
              <w:pStyle w:val="TableParagraph"/>
              <w:spacing w:before="22"/>
              <w:ind w:left="279" w:right="288"/>
              <w:rPr>
                <w:rFonts w:ascii="Times New Roman"/>
                <w:sz w:val="21"/>
              </w:rPr>
            </w:pPr>
            <w:r>
              <w:rPr>
                <w:rFonts w:ascii="Times New Roman"/>
                <w:sz w:val="21"/>
              </w:rPr>
              <w:t>15</w:t>
            </w:r>
          </w:p>
        </w:tc>
        <w:tc>
          <w:tcPr>
            <w:tcW w:w="1015" w:type="dxa"/>
          </w:tcPr>
          <w:p>
            <w:pPr>
              <w:pStyle w:val="TableParagraph"/>
              <w:spacing w:line="257" w:lineRule="exact" w:before="8"/>
              <w:ind w:left="37" w:right="47"/>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eastAsia="Times New Roman"/>
                <w:sz w:val="21"/>
              </w:rPr>
            </w:pPr>
            <w:r>
              <w:rPr>
                <w:sz w:val="21"/>
              </w:rPr>
              <w:t>萘 </w:t>
            </w:r>
            <w:r>
              <w:rPr>
                <w:rFonts w:ascii="Times New Roman" w:eastAsia="Times New Roman"/>
                <w:sz w:val="21"/>
              </w:rPr>
              <w:t>mg/kg</w:t>
            </w:r>
          </w:p>
        </w:tc>
        <w:tc>
          <w:tcPr>
            <w:tcW w:w="1136" w:type="dxa"/>
          </w:tcPr>
          <w:p>
            <w:pPr>
              <w:pStyle w:val="TableParagraph"/>
              <w:spacing w:before="20"/>
              <w:ind w:left="323"/>
              <w:jc w:val="left"/>
              <w:rPr>
                <w:rFonts w:ascii="Times New Roman"/>
                <w:sz w:val="21"/>
              </w:rPr>
            </w:pPr>
            <w:r>
              <w:rPr>
                <w:rFonts w:ascii="Times New Roman"/>
                <w:sz w:val="21"/>
              </w:rPr>
              <w:t>&lt;0.09</w:t>
            </w:r>
          </w:p>
        </w:tc>
        <w:tc>
          <w:tcPr>
            <w:tcW w:w="1134" w:type="dxa"/>
          </w:tcPr>
          <w:p>
            <w:pPr>
              <w:pStyle w:val="TableParagraph"/>
              <w:spacing w:before="20"/>
              <w:ind w:left="159" w:right="156"/>
              <w:rPr>
                <w:rFonts w:ascii="Times New Roman"/>
                <w:sz w:val="21"/>
              </w:rPr>
            </w:pPr>
            <w:r>
              <w:rPr>
                <w:rFonts w:ascii="Times New Roman"/>
                <w:sz w:val="21"/>
              </w:rPr>
              <w:t>&lt;0.09</w:t>
            </w:r>
          </w:p>
        </w:tc>
        <w:tc>
          <w:tcPr>
            <w:tcW w:w="1137" w:type="dxa"/>
          </w:tcPr>
          <w:p>
            <w:pPr>
              <w:pStyle w:val="TableParagraph"/>
              <w:spacing w:before="20"/>
              <w:ind w:left="99" w:right="99"/>
              <w:rPr>
                <w:rFonts w:ascii="Times New Roman"/>
                <w:sz w:val="21"/>
              </w:rPr>
            </w:pPr>
            <w:r>
              <w:rPr>
                <w:rFonts w:ascii="Times New Roman"/>
                <w:sz w:val="21"/>
              </w:rPr>
              <w:t>&lt;0.09</w:t>
            </w:r>
          </w:p>
        </w:tc>
        <w:tc>
          <w:tcPr>
            <w:tcW w:w="1065" w:type="dxa"/>
          </w:tcPr>
          <w:p>
            <w:pPr>
              <w:pStyle w:val="TableParagraph"/>
              <w:spacing w:before="20"/>
              <w:ind w:left="123" w:right="125"/>
              <w:rPr>
                <w:rFonts w:ascii="Times New Roman"/>
                <w:sz w:val="21"/>
              </w:rPr>
            </w:pPr>
            <w:r>
              <w:rPr>
                <w:rFonts w:ascii="Times New Roman"/>
                <w:sz w:val="21"/>
              </w:rPr>
              <w:t>&lt;0.09</w:t>
            </w:r>
          </w:p>
        </w:tc>
        <w:tc>
          <w:tcPr>
            <w:tcW w:w="1349" w:type="dxa"/>
          </w:tcPr>
          <w:p>
            <w:pPr>
              <w:pStyle w:val="TableParagraph"/>
              <w:spacing w:before="20"/>
              <w:ind w:left="279" w:right="288"/>
              <w:rPr>
                <w:rFonts w:ascii="Times New Roman"/>
                <w:sz w:val="21"/>
              </w:rPr>
            </w:pPr>
            <w:r>
              <w:rPr>
                <w:rFonts w:ascii="Times New Roman"/>
                <w:sz w:val="21"/>
              </w:rPr>
              <w:t>70</w:t>
            </w:r>
          </w:p>
        </w:tc>
        <w:tc>
          <w:tcPr>
            <w:tcW w:w="1015" w:type="dxa"/>
          </w:tcPr>
          <w:p>
            <w:pPr>
              <w:pStyle w:val="TableParagraph"/>
              <w:spacing w:line="257" w:lineRule="exact" w:before="6"/>
              <w:ind w:left="37" w:right="47"/>
              <w:rPr>
                <w:sz w:val="21"/>
              </w:rPr>
            </w:pPr>
            <w:r>
              <w:rPr>
                <w:sz w:val="21"/>
              </w:rPr>
              <w:t>达标</w:t>
            </w:r>
          </w:p>
        </w:tc>
      </w:tr>
      <w:tr>
        <w:trPr>
          <w:trHeight w:val="285" w:hRule="atLeast"/>
        </w:trPr>
        <w:tc>
          <w:tcPr>
            <w:tcW w:w="2521" w:type="dxa"/>
          </w:tcPr>
          <w:p>
            <w:pPr>
              <w:pStyle w:val="TableParagraph"/>
              <w:spacing w:line="258" w:lineRule="exact" w:before="7"/>
              <w:ind w:left="110" w:right="104"/>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136" w:type="dxa"/>
          </w:tcPr>
          <w:p>
            <w:pPr>
              <w:pStyle w:val="TableParagraph"/>
              <w:spacing w:before="22"/>
              <w:ind w:left="101" w:right="101"/>
              <w:rPr>
                <w:rFonts w:ascii="Times New Roman"/>
                <w:sz w:val="21"/>
              </w:rPr>
            </w:pPr>
            <w:r>
              <w:rPr>
                <w:rFonts w:ascii="Times New Roman"/>
                <w:sz w:val="21"/>
              </w:rPr>
              <w:t>57</w:t>
            </w:r>
          </w:p>
        </w:tc>
        <w:tc>
          <w:tcPr>
            <w:tcW w:w="1134" w:type="dxa"/>
          </w:tcPr>
          <w:p>
            <w:pPr>
              <w:pStyle w:val="TableParagraph"/>
              <w:spacing w:before="22"/>
              <w:ind w:left="159" w:right="158"/>
              <w:rPr>
                <w:rFonts w:ascii="Times New Roman"/>
                <w:sz w:val="21"/>
              </w:rPr>
            </w:pPr>
            <w:r>
              <w:rPr>
                <w:rFonts w:ascii="Times New Roman"/>
                <w:sz w:val="21"/>
              </w:rPr>
              <w:t>38</w:t>
            </w:r>
          </w:p>
        </w:tc>
        <w:tc>
          <w:tcPr>
            <w:tcW w:w="1137" w:type="dxa"/>
          </w:tcPr>
          <w:p>
            <w:pPr>
              <w:pStyle w:val="TableParagraph"/>
              <w:spacing w:before="22"/>
              <w:ind w:left="98" w:right="99"/>
              <w:rPr>
                <w:rFonts w:ascii="Times New Roman"/>
                <w:sz w:val="21"/>
              </w:rPr>
            </w:pPr>
            <w:r>
              <w:rPr>
                <w:rFonts w:ascii="Times New Roman"/>
                <w:sz w:val="21"/>
              </w:rPr>
              <w:t>58</w:t>
            </w:r>
          </w:p>
        </w:tc>
        <w:tc>
          <w:tcPr>
            <w:tcW w:w="1065" w:type="dxa"/>
          </w:tcPr>
          <w:p>
            <w:pPr>
              <w:pStyle w:val="TableParagraph"/>
              <w:spacing w:before="22"/>
              <w:ind w:left="120" w:right="125"/>
              <w:rPr>
                <w:rFonts w:ascii="Times New Roman"/>
                <w:sz w:val="21"/>
              </w:rPr>
            </w:pPr>
            <w:r>
              <w:rPr>
                <w:rFonts w:ascii="Times New Roman"/>
                <w:sz w:val="21"/>
              </w:rPr>
              <w:t>56</w:t>
            </w:r>
          </w:p>
        </w:tc>
        <w:tc>
          <w:tcPr>
            <w:tcW w:w="1349" w:type="dxa"/>
          </w:tcPr>
          <w:p>
            <w:pPr>
              <w:pStyle w:val="TableParagraph"/>
              <w:spacing w:before="22"/>
              <w:ind w:left="281" w:right="285"/>
              <w:rPr>
                <w:rFonts w:ascii="Times New Roman"/>
                <w:sz w:val="21"/>
              </w:rPr>
            </w:pPr>
            <w:r>
              <w:rPr>
                <w:rFonts w:ascii="Times New Roman"/>
                <w:sz w:val="21"/>
              </w:rPr>
              <w:t>4500</w:t>
            </w:r>
          </w:p>
        </w:tc>
        <w:tc>
          <w:tcPr>
            <w:tcW w:w="1015" w:type="dxa"/>
          </w:tcPr>
          <w:p>
            <w:pPr>
              <w:pStyle w:val="TableParagraph"/>
              <w:spacing w:line="257" w:lineRule="exact" w:before="8"/>
              <w:ind w:left="37" w:right="47"/>
              <w:rPr>
                <w:sz w:val="21"/>
              </w:rPr>
            </w:pPr>
            <w:r>
              <w:rPr>
                <w:sz w:val="21"/>
              </w:rPr>
              <w:t>达标</w:t>
            </w:r>
          </w:p>
        </w:tc>
      </w:tr>
    </w:tbl>
    <w:p>
      <w:pPr>
        <w:pStyle w:val="BodyText"/>
        <w:spacing w:before="6"/>
        <w:rPr>
          <w:b/>
          <w:sz w:val="5"/>
        </w:rPr>
      </w:pPr>
    </w:p>
    <w:p>
      <w:pPr>
        <w:tabs>
          <w:tab w:pos="1669" w:val="left" w:leader="none"/>
        </w:tabs>
        <w:spacing w:before="74" w:after="29"/>
        <w:ind w:left="447" w:right="0" w:firstLine="0"/>
        <w:jc w:val="center"/>
        <w:rPr>
          <w:b/>
          <w:sz w:val="24"/>
        </w:rPr>
      </w:pPr>
      <w:r>
        <w:rPr/>
        <w:pict>
          <v:line style="position:absolute;mso-position-horizontal-relative:page;mso-position-vertical-relative:paragraph;z-index:-317724672" from="71.304001pt,20.739998pt" to="197.090001pt,49.655998pt" stroked="true" strokeweight=".72pt" strokecolor="#000000">
            <v:stroke dashstyle="solid"/>
            <w10:wrap type="none"/>
          </v:line>
        </w:pict>
      </w:r>
      <w:r>
        <w:rPr>
          <w:b/>
          <w:sz w:val="24"/>
        </w:rPr>
        <w:t>表</w:t>
      </w:r>
      <w:r>
        <w:rPr>
          <w:b/>
          <w:spacing w:val="-60"/>
          <w:sz w:val="24"/>
        </w:rPr>
        <w:t> </w:t>
      </w:r>
      <w:r>
        <w:rPr>
          <w:rFonts w:ascii="Times New Roman" w:eastAsia="Times New Roman"/>
          <w:b/>
          <w:sz w:val="24"/>
        </w:rPr>
        <w:t>6.2.4-8</w:t>
        <w:tab/>
      </w:r>
      <w:r>
        <w:rPr>
          <w:b/>
          <w:sz w:val="24"/>
        </w:rPr>
        <w:t>东区土壤现状监测结果（</w:t>
      </w:r>
      <w:r>
        <w:rPr>
          <w:rFonts w:ascii="Times New Roman" w:eastAsia="Times New Roman"/>
          <w:b/>
          <w:sz w:val="24"/>
        </w:rPr>
        <w:t>2</w:t>
      </w:r>
      <w:r>
        <w:rPr>
          <w:b/>
          <w:sz w:val="24"/>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40"/>
        <w:gridCol w:w="1135"/>
        <w:gridCol w:w="1133"/>
        <w:gridCol w:w="1063"/>
        <w:gridCol w:w="1347"/>
        <w:gridCol w:w="1008"/>
      </w:tblGrid>
      <w:tr>
        <w:trPr>
          <w:trHeight w:val="282"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1" w:type="dxa"/>
            <w:gridSpan w:val="4"/>
          </w:tcPr>
          <w:p>
            <w:pPr>
              <w:pStyle w:val="TableParagraph"/>
              <w:spacing w:line="257" w:lineRule="exact" w:before="6"/>
              <w:ind w:left="1391"/>
              <w:jc w:val="left"/>
              <w:rPr>
                <w:b/>
                <w:sz w:val="21"/>
              </w:rPr>
            </w:pPr>
            <w:r>
              <w:rPr>
                <w:rFonts w:ascii="Times New Roman" w:eastAsia="Times New Roman"/>
                <w:b/>
                <w:sz w:val="21"/>
              </w:rPr>
              <w:t>2#</w:t>
            </w:r>
            <w:r>
              <w:rPr>
                <w:b/>
                <w:sz w:val="21"/>
              </w:rPr>
              <w:t>预留车间七北面</w:t>
            </w:r>
          </w:p>
        </w:tc>
        <w:tc>
          <w:tcPr>
            <w:tcW w:w="1347" w:type="dxa"/>
            <w:vMerge w:val="restart"/>
          </w:tcPr>
          <w:p>
            <w:pPr>
              <w:pStyle w:val="TableParagraph"/>
              <w:spacing w:line="270" w:lineRule="atLeast" w:before="17"/>
              <w:ind w:left="146" w:right="137"/>
              <w:jc w:val="left"/>
              <w:rPr>
                <w:b/>
                <w:sz w:val="21"/>
              </w:rPr>
            </w:pPr>
            <w:r>
              <w:rPr>
                <w:b/>
                <w:sz w:val="21"/>
              </w:rPr>
              <w:t>第二类用地筛选值标准</w:t>
            </w:r>
          </w:p>
        </w:tc>
        <w:tc>
          <w:tcPr>
            <w:tcW w:w="1008" w:type="dxa"/>
            <w:vMerge w:val="restart"/>
          </w:tcPr>
          <w:p>
            <w:pPr>
              <w:pStyle w:val="TableParagraph"/>
              <w:spacing w:line="270" w:lineRule="atLeast" w:before="17"/>
              <w:ind w:left="398" w:right="180" w:hanging="212"/>
              <w:jc w:val="left"/>
              <w:rPr>
                <w:b/>
                <w:sz w:val="21"/>
              </w:rPr>
            </w:pPr>
            <w:r>
              <w:rPr>
                <w:b/>
                <w:sz w:val="21"/>
              </w:rPr>
              <w:t>达标情况</w:t>
            </w:r>
          </w:p>
        </w:tc>
      </w:tr>
      <w:tr>
        <w:trPr>
          <w:trHeight w:val="290" w:hRule="atLeast"/>
        </w:trPr>
        <w:tc>
          <w:tcPr>
            <w:tcW w:w="2521" w:type="dxa"/>
            <w:vMerge/>
            <w:tcBorders>
              <w:top w:val="nil"/>
            </w:tcBorders>
          </w:tcPr>
          <w:p>
            <w:pPr>
              <w:rPr>
                <w:sz w:val="2"/>
                <w:szCs w:val="2"/>
              </w:rPr>
            </w:pPr>
          </w:p>
        </w:tc>
        <w:tc>
          <w:tcPr>
            <w:tcW w:w="1140" w:type="dxa"/>
          </w:tcPr>
          <w:p>
            <w:pPr>
              <w:pStyle w:val="TableParagraph"/>
              <w:spacing w:before="27"/>
              <w:ind w:left="263"/>
              <w:jc w:val="left"/>
              <w:rPr>
                <w:rFonts w:ascii="Times New Roman"/>
                <w:b/>
                <w:sz w:val="21"/>
              </w:rPr>
            </w:pPr>
            <w:r>
              <w:rPr>
                <w:rFonts w:ascii="Times New Roman"/>
                <w:b/>
                <w:sz w:val="21"/>
              </w:rPr>
              <w:t>0-0.5m</w:t>
            </w:r>
          </w:p>
        </w:tc>
        <w:tc>
          <w:tcPr>
            <w:tcW w:w="1135" w:type="dxa"/>
          </w:tcPr>
          <w:p>
            <w:pPr>
              <w:pStyle w:val="TableParagraph"/>
              <w:spacing w:before="27"/>
              <w:ind w:left="181"/>
              <w:jc w:val="left"/>
              <w:rPr>
                <w:rFonts w:ascii="Times New Roman"/>
                <w:b/>
                <w:sz w:val="21"/>
              </w:rPr>
            </w:pPr>
            <w:r>
              <w:rPr>
                <w:rFonts w:ascii="Times New Roman"/>
                <w:b/>
                <w:sz w:val="21"/>
              </w:rPr>
              <w:t>0.5-1.5m</w:t>
            </w:r>
          </w:p>
        </w:tc>
        <w:tc>
          <w:tcPr>
            <w:tcW w:w="1133" w:type="dxa"/>
          </w:tcPr>
          <w:p>
            <w:pPr>
              <w:pStyle w:val="TableParagraph"/>
              <w:spacing w:before="27"/>
              <w:ind w:left="179"/>
              <w:jc w:val="left"/>
              <w:rPr>
                <w:rFonts w:ascii="Times New Roman"/>
                <w:b/>
                <w:sz w:val="21"/>
              </w:rPr>
            </w:pPr>
            <w:r>
              <w:rPr>
                <w:rFonts w:ascii="Times New Roman"/>
                <w:b/>
                <w:sz w:val="21"/>
              </w:rPr>
              <w:t>1.5-3.0m</w:t>
            </w:r>
          </w:p>
        </w:tc>
        <w:tc>
          <w:tcPr>
            <w:tcW w:w="1063" w:type="dxa"/>
          </w:tcPr>
          <w:p>
            <w:pPr>
              <w:pStyle w:val="TableParagraph"/>
              <w:spacing w:before="27"/>
              <w:ind w:left="146"/>
              <w:jc w:val="left"/>
              <w:rPr>
                <w:rFonts w:ascii="Times New Roman"/>
                <w:b/>
                <w:sz w:val="21"/>
              </w:rPr>
            </w:pPr>
            <w:r>
              <w:rPr>
                <w:rFonts w:ascii="Times New Roman"/>
                <w:b/>
                <w:sz w:val="21"/>
              </w:rPr>
              <w:t>3.0-6.0m</w:t>
            </w:r>
          </w:p>
        </w:tc>
        <w:tc>
          <w:tcPr>
            <w:tcW w:w="1347" w:type="dxa"/>
            <w:vMerge/>
            <w:tcBorders>
              <w:top w:val="nil"/>
            </w:tcBorders>
          </w:tcPr>
          <w:p>
            <w:pPr>
              <w:rPr>
                <w:sz w:val="2"/>
                <w:szCs w:val="2"/>
              </w:rPr>
            </w:pPr>
          </w:p>
        </w:tc>
        <w:tc>
          <w:tcPr>
            <w:tcW w:w="1008" w:type="dxa"/>
            <w:vMerge/>
            <w:tcBorders>
              <w:top w:val="nil"/>
            </w:tcBorders>
          </w:tcPr>
          <w:p>
            <w:pPr>
              <w:rPr>
                <w:sz w:val="2"/>
                <w:szCs w:val="2"/>
              </w:rPr>
            </w:pPr>
          </w:p>
        </w:tc>
      </w:tr>
    </w:tbl>
    <w:p>
      <w:pPr>
        <w:spacing w:after="0"/>
        <w:rPr>
          <w:sz w:val="2"/>
          <w:szCs w:val="2"/>
        </w:rPr>
        <w:sectPr>
          <w:pgSz w:w="11910" w:h="16850"/>
          <w:pgMar w:header="1004" w:footer="1088" w:top="1340" w:bottom="1280" w:left="1200" w:right="1000"/>
        </w:sectPr>
      </w:pPr>
    </w:p>
    <w:p>
      <w:pPr>
        <w:pStyle w:val="BodyText"/>
        <w:rPr>
          <w:rFonts w:ascii="Times New Roman"/>
          <w:sz w:val="7"/>
        </w:rPr>
      </w:pPr>
      <w:r>
        <w:rPr/>
        <w:pict>
          <v:line style="position:absolute;mso-position-horizontal-relative:page;mso-position-vertical-relative:page;z-index:-317723648" from="71.304001pt,72.239975pt" to="197.090001pt,101.179975pt" stroked="true" strokeweight=".72pt" strokecolor="#000000">
            <v:stroke dashstyle="solid"/>
            <w10:wrap type="none"/>
          </v:line>
        </w:pic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40"/>
        <w:gridCol w:w="1135"/>
        <w:gridCol w:w="1133"/>
        <w:gridCol w:w="1063"/>
        <w:gridCol w:w="1347"/>
        <w:gridCol w:w="1008"/>
      </w:tblGrid>
      <w:tr>
        <w:trPr>
          <w:trHeight w:val="283"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1" w:type="dxa"/>
            <w:gridSpan w:val="4"/>
          </w:tcPr>
          <w:p>
            <w:pPr>
              <w:pStyle w:val="TableParagraph"/>
              <w:spacing w:line="255" w:lineRule="exact" w:before="8"/>
              <w:ind w:left="1391"/>
              <w:jc w:val="left"/>
              <w:rPr>
                <w:b/>
                <w:sz w:val="21"/>
              </w:rPr>
            </w:pPr>
            <w:r>
              <w:rPr>
                <w:rFonts w:ascii="Times New Roman" w:eastAsia="Times New Roman"/>
                <w:b/>
                <w:sz w:val="21"/>
              </w:rPr>
              <w:t>2#</w:t>
            </w:r>
            <w:r>
              <w:rPr>
                <w:b/>
                <w:sz w:val="21"/>
              </w:rPr>
              <w:t>预留车间七北面</w:t>
            </w:r>
          </w:p>
        </w:tc>
        <w:tc>
          <w:tcPr>
            <w:tcW w:w="1347" w:type="dxa"/>
            <w:vMerge w:val="restart"/>
          </w:tcPr>
          <w:p>
            <w:pPr>
              <w:pStyle w:val="TableParagraph"/>
              <w:spacing w:line="270" w:lineRule="atLeast" w:before="17"/>
              <w:ind w:left="146" w:right="137"/>
              <w:jc w:val="left"/>
              <w:rPr>
                <w:b/>
                <w:sz w:val="21"/>
              </w:rPr>
            </w:pPr>
            <w:r>
              <w:rPr>
                <w:b/>
                <w:sz w:val="21"/>
              </w:rPr>
              <w:t>第二类用地筛选值标准</w:t>
            </w:r>
          </w:p>
        </w:tc>
        <w:tc>
          <w:tcPr>
            <w:tcW w:w="1008" w:type="dxa"/>
            <w:vMerge w:val="restart"/>
          </w:tcPr>
          <w:p>
            <w:pPr>
              <w:pStyle w:val="TableParagraph"/>
              <w:spacing w:line="270" w:lineRule="atLeast" w:before="17"/>
              <w:ind w:left="398" w:right="180" w:hanging="212"/>
              <w:jc w:val="left"/>
              <w:rPr>
                <w:b/>
                <w:sz w:val="21"/>
              </w:rPr>
            </w:pPr>
            <w:r>
              <w:rPr>
                <w:b/>
                <w:sz w:val="21"/>
              </w:rPr>
              <w:t>达标情况</w:t>
            </w:r>
          </w:p>
        </w:tc>
      </w:tr>
      <w:tr>
        <w:trPr>
          <w:trHeight w:val="290" w:hRule="atLeast"/>
        </w:trPr>
        <w:tc>
          <w:tcPr>
            <w:tcW w:w="2521" w:type="dxa"/>
            <w:vMerge/>
            <w:tcBorders>
              <w:top w:val="nil"/>
            </w:tcBorders>
          </w:tcPr>
          <w:p>
            <w:pPr>
              <w:rPr>
                <w:sz w:val="2"/>
                <w:szCs w:val="2"/>
              </w:rPr>
            </w:pPr>
          </w:p>
        </w:tc>
        <w:tc>
          <w:tcPr>
            <w:tcW w:w="1140" w:type="dxa"/>
          </w:tcPr>
          <w:p>
            <w:pPr>
              <w:pStyle w:val="TableParagraph"/>
              <w:spacing w:before="27"/>
              <w:ind w:left="8" w:right="4"/>
              <w:rPr>
                <w:rFonts w:ascii="Times New Roman"/>
                <w:b/>
                <w:sz w:val="21"/>
              </w:rPr>
            </w:pPr>
            <w:r>
              <w:rPr>
                <w:rFonts w:ascii="Times New Roman"/>
                <w:b/>
                <w:sz w:val="21"/>
              </w:rPr>
              <w:t>0-0.5m</w:t>
            </w:r>
          </w:p>
        </w:tc>
        <w:tc>
          <w:tcPr>
            <w:tcW w:w="1135" w:type="dxa"/>
          </w:tcPr>
          <w:p>
            <w:pPr>
              <w:pStyle w:val="TableParagraph"/>
              <w:spacing w:before="27"/>
              <w:ind w:left="19" w:right="15"/>
              <w:rPr>
                <w:rFonts w:ascii="Times New Roman"/>
                <w:b/>
                <w:sz w:val="21"/>
              </w:rPr>
            </w:pPr>
            <w:r>
              <w:rPr>
                <w:rFonts w:ascii="Times New Roman"/>
                <w:b/>
                <w:sz w:val="21"/>
              </w:rPr>
              <w:t>0.5-1.5m</w:t>
            </w:r>
          </w:p>
        </w:tc>
        <w:tc>
          <w:tcPr>
            <w:tcW w:w="1133" w:type="dxa"/>
          </w:tcPr>
          <w:p>
            <w:pPr>
              <w:pStyle w:val="TableParagraph"/>
              <w:spacing w:before="27"/>
              <w:ind w:left="5" w:right="3"/>
              <w:rPr>
                <w:rFonts w:ascii="Times New Roman"/>
                <w:b/>
                <w:sz w:val="21"/>
              </w:rPr>
            </w:pPr>
            <w:r>
              <w:rPr>
                <w:rFonts w:ascii="Times New Roman"/>
                <w:b/>
                <w:sz w:val="21"/>
              </w:rPr>
              <w:t>1.5-3.0m</w:t>
            </w:r>
          </w:p>
        </w:tc>
        <w:tc>
          <w:tcPr>
            <w:tcW w:w="1063" w:type="dxa"/>
          </w:tcPr>
          <w:p>
            <w:pPr>
              <w:pStyle w:val="TableParagraph"/>
              <w:spacing w:before="27"/>
              <w:ind w:left="126" w:right="121"/>
              <w:rPr>
                <w:rFonts w:ascii="Times New Roman"/>
                <w:b/>
                <w:sz w:val="21"/>
              </w:rPr>
            </w:pPr>
            <w:r>
              <w:rPr>
                <w:rFonts w:ascii="Times New Roman"/>
                <w:b/>
                <w:sz w:val="21"/>
              </w:rPr>
              <w:t>3.0-6.0m</w:t>
            </w:r>
          </w:p>
        </w:tc>
        <w:tc>
          <w:tcPr>
            <w:tcW w:w="1347" w:type="dxa"/>
            <w:vMerge/>
            <w:tcBorders>
              <w:top w:val="nil"/>
            </w:tcBorders>
          </w:tcPr>
          <w:p>
            <w:pPr>
              <w:rPr>
                <w:sz w:val="2"/>
                <w:szCs w:val="2"/>
              </w:rPr>
            </w:pPr>
          </w:p>
        </w:tc>
        <w:tc>
          <w:tcPr>
            <w:tcW w:w="1008" w:type="dxa"/>
            <w:vMerge/>
            <w:tcBorders>
              <w:top w:val="nil"/>
            </w:tcBorders>
          </w:tcPr>
          <w:p>
            <w:pPr>
              <w:rPr>
                <w:sz w:val="2"/>
                <w:szCs w:val="2"/>
              </w:rPr>
            </w:pPr>
          </w:p>
        </w:tc>
      </w:tr>
      <w:tr>
        <w:trPr>
          <w:trHeight w:val="283" w:hRule="atLeast"/>
        </w:trPr>
        <w:tc>
          <w:tcPr>
            <w:tcW w:w="2521" w:type="dxa"/>
          </w:tcPr>
          <w:p>
            <w:pPr>
              <w:pStyle w:val="TableParagraph"/>
              <w:spacing w:line="257" w:lineRule="exact" w:before="6"/>
              <w:ind w:left="832"/>
              <w:jc w:val="left"/>
              <w:rPr>
                <w:rFonts w:ascii="Times New Roman" w:eastAsia="Times New Roman"/>
                <w:sz w:val="21"/>
              </w:rPr>
            </w:pPr>
            <w:r>
              <w:rPr>
                <w:sz w:val="21"/>
              </w:rPr>
              <w:t>铜 </w:t>
            </w:r>
            <w:r>
              <w:rPr>
                <w:rFonts w:ascii="Times New Roman" w:eastAsia="Times New Roman"/>
                <w:sz w:val="21"/>
              </w:rPr>
              <w:t>mg/kg</w:t>
            </w:r>
          </w:p>
        </w:tc>
        <w:tc>
          <w:tcPr>
            <w:tcW w:w="1140" w:type="dxa"/>
          </w:tcPr>
          <w:p>
            <w:pPr>
              <w:pStyle w:val="TableParagraph"/>
              <w:spacing w:before="20"/>
              <w:ind w:left="5" w:right="4"/>
              <w:rPr>
                <w:rFonts w:ascii="Times New Roman"/>
                <w:sz w:val="21"/>
              </w:rPr>
            </w:pPr>
            <w:r>
              <w:rPr>
                <w:rFonts w:ascii="Times New Roman"/>
                <w:sz w:val="21"/>
              </w:rPr>
              <w:t>23</w:t>
            </w:r>
          </w:p>
        </w:tc>
        <w:tc>
          <w:tcPr>
            <w:tcW w:w="1135" w:type="dxa"/>
          </w:tcPr>
          <w:p>
            <w:pPr>
              <w:pStyle w:val="TableParagraph"/>
              <w:spacing w:before="20"/>
              <w:ind w:left="16" w:right="15"/>
              <w:rPr>
                <w:rFonts w:ascii="Times New Roman"/>
                <w:sz w:val="21"/>
              </w:rPr>
            </w:pPr>
            <w:r>
              <w:rPr>
                <w:rFonts w:ascii="Times New Roman"/>
                <w:sz w:val="21"/>
              </w:rPr>
              <w:t>23</w:t>
            </w:r>
          </w:p>
        </w:tc>
        <w:tc>
          <w:tcPr>
            <w:tcW w:w="1133" w:type="dxa"/>
          </w:tcPr>
          <w:p>
            <w:pPr>
              <w:pStyle w:val="TableParagraph"/>
              <w:spacing w:before="20"/>
              <w:ind w:left="7" w:right="3"/>
              <w:rPr>
                <w:rFonts w:ascii="Times New Roman"/>
                <w:sz w:val="21"/>
              </w:rPr>
            </w:pPr>
            <w:r>
              <w:rPr>
                <w:rFonts w:ascii="Times New Roman"/>
                <w:sz w:val="21"/>
              </w:rPr>
              <w:t>22</w:t>
            </w:r>
          </w:p>
        </w:tc>
        <w:tc>
          <w:tcPr>
            <w:tcW w:w="1063" w:type="dxa"/>
          </w:tcPr>
          <w:p>
            <w:pPr>
              <w:pStyle w:val="TableParagraph"/>
              <w:spacing w:before="20"/>
              <w:ind w:left="123" w:right="121"/>
              <w:rPr>
                <w:rFonts w:ascii="Times New Roman"/>
                <w:sz w:val="21"/>
              </w:rPr>
            </w:pPr>
            <w:r>
              <w:rPr>
                <w:rFonts w:ascii="Times New Roman"/>
                <w:sz w:val="21"/>
              </w:rPr>
              <w:t>31</w:t>
            </w:r>
          </w:p>
        </w:tc>
        <w:tc>
          <w:tcPr>
            <w:tcW w:w="1347" w:type="dxa"/>
          </w:tcPr>
          <w:p>
            <w:pPr>
              <w:pStyle w:val="TableParagraph"/>
              <w:spacing w:before="20"/>
              <w:ind w:left="285" w:right="279"/>
              <w:rPr>
                <w:rFonts w:ascii="Times New Roman"/>
                <w:sz w:val="21"/>
              </w:rPr>
            </w:pPr>
            <w:r>
              <w:rPr>
                <w:rFonts w:ascii="Times New Roman"/>
                <w:sz w:val="21"/>
              </w:rPr>
              <w:t>18000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832"/>
              <w:jc w:val="left"/>
              <w:rPr>
                <w:rFonts w:ascii="Times New Roman" w:eastAsia="Times New Roman"/>
                <w:sz w:val="21"/>
              </w:rPr>
            </w:pPr>
            <w:r>
              <w:rPr>
                <w:sz w:val="21"/>
              </w:rPr>
              <w:t>铅 </w:t>
            </w:r>
            <w:r>
              <w:rPr>
                <w:rFonts w:ascii="Times New Roman" w:eastAsia="Times New Roman"/>
                <w:sz w:val="21"/>
              </w:rPr>
              <w:t>mg/kg</w:t>
            </w:r>
          </w:p>
        </w:tc>
        <w:tc>
          <w:tcPr>
            <w:tcW w:w="1140" w:type="dxa"/>
          </w:tcPr>
          <w:p>
            <w:pPr>
              <w:pStyle w:val="TableParagraph"/>
              <w:spacing w:before="22"/>
              <w:ind w:left="10" w:right="4"/>
              <w:rPr>
                <w:rFonts w:ascii="Times New Roman"/>
                <w:sz w:val="21"/>
              </w:rPr>
            </w:pPr>
            <w:r>
              <w:rPr>
                <w:rFonts w:ascii="Times New Roman"/>
                <w:sz w:val="21"/>
              </w:rPr>
              <w:t>39.1</w:t>
            </w:r>
          </w:p>
        </w:tc>
        <w:tc>
          <w:tcPr>
            <w:tcW w:w="1135" w:type="dxa"/>
          </w:tcPr>
          <w:p>
            <w:pPr>
              <w:pStyle w:val="TableParagraph"/>
              <w:spacing w:before="22"/>
              <w:ind w:left="21" w:right="15"/>
              <w:rPr>
                <w:rFonts w:ascii="Times New Roman"/>
                <w:sz w:val="21"/>
              </w:rPr>
            </w:pPr>
            <w:r>
              <w:rPr>
                <w:rFonts w:ascii="Times New Roman"/>
                <w:sz w:val="21"/>
              </w:rPr>
              <w:t>31.4</w:t>
            </w:r>
          </w:p>
        </w:tc>
        <w:tc>
          <w:tcPr>
            <w:tcW w:w="1133" w:type="dxa"/>
          </w:tcPr>
          <w:p>
            <w:pPr>
              <w:pStyle w:val="TableParagraph"/>
              <w:spacing w:before="22"/>
              <w:ind w:left="7" w:right="3"/>
              <w:rPr>
                <w:rFonts w:ascii="Times New Roman"/>
                <w:sz w:val="21"/>
              </w:rPr>
            </w:pPr>
            <w:r>
              <w:rPr>
                <w:rFonts w:ascii="Times New Roman"/>
                <w:sz w:val="21"/>
              </w:rPr>
              <w:t>29.8</w:t>
            </w:r>
          </w:p>
        </w:tc>
        <w:tc>
          <w:tcPr>
            <w:tcW w:w="1063" w:type="dxa"/>
          </w:tcPr>
          <w:p>
            <w:pPr>
              <w:pStyle w:val="TableParagraph"/>
              <w:spacing w:before="22"/>
              <w:ind w:left="126" w:right="119"/>
              <w:rPr>
                <w:rFonts w:ascii="Times New Roman"/>
                <w:sz w:val="21"/>
              </w:rPr>
            </w:pPr>
            <w:r>
              <w:rPr>
                <w:rFonts w:ascii="Times New Roman"/>
                <w:sz w:val="21"/>
              </w:rPr>
              <w:t>23.7</w:t>
            </w:r>
          </w:p>
        </w:tc>
        <w:tc>
          <w:tcPr>
            <w:tcW w:w="1347" w:type="dxa"/>
          </w:tcPr>
          <w:p>
            <w:pPr>
              <w:pStyle w:val="TableParagraph"/>
              <w:spacing w:before="22"/>
              <w:ind w:left="285" w:right="279"/>
              <w:rPr>
                <w:rFonts w:ascii="Times New Roman"/>
                <w:sz w:val="21"/>
              </w:rPr>
            </w:pPr>
            <w:r>
              <w:rPr>
                <w:rFonts w:ascii="Times New Roman"/>
                <w:sz w:val="21"/>
              </w:rPr>
              <w:t>800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623"/>
              <w:jc w:val="left"/>
              <w:rPr>
                <w:rFonts w:ascii="Times New Roman" w:eastAsia="Times New Roman"/>
                <w:sz w:val="21"/>
              </w:rPr>
            </w:pPr>
            <w:r>
              <w:rPr>
                <w:sz w:val="21"/>
              </w:rPr>
              <w:t>六价铬 </w:t>
            </w:r>
            <w:r>
              <w:rPr>
                <w:rFonts w:ascii="Times New Roman" w:eastAsia="Times New Roman"/>
                <w:sz w:val="21"/>
              </w:rPr>
              <w:t>mg/kg</w:t>
            </w:r>
          </w:p>
        </w:tc>
        <w:tc>
          <w:tcPr>
            <w:tcW w:w="1140" w:type="dxa"/>
          </w:tcPr>
          <w:p>
            <w:pPr>
              <w:pStyle w:val="TableParagraph"/>
              <w:spacing w:line="257" w:lineRule="exact" w:before="6"/>
              <w:ind w:left="10" w:right="4"/>
              <w:rPr>
                <w:rFonts w:ascii="Times New Roman" w:eastAsia="Times New Roman"/>
                <w:sz w:val="21"/>
              </w:rPr>
            </w:pPr>
            <w:r>
              <w:rPr>
                <w:sz w:val="21"/>
              </w:rPr>
              <w:t>＜</w:t>
            </w:r>
            <w:r>
              <w:rPr>
                <w:rFonts w:ascii="Times New Roman" w:eastAsia="Times New Roman"/>
                <w:sz w:val="21"/>
              </w:rPr>
              <w:t>0.5</w:t>
            </w:r>
          </w:p>
        </w:tc>
        <w:tc>
          <w:tcPr>
            <w:tcW w:w="1135" w:type="dxa"/>
          </w:tcPr>
          <w:p>
            <w:pPr>
              <w:pStyle w:val="TableParagraph"/>
              <w:spacing w:line="257" w:lineRule="exact" w:before="6"/>
              <w:ind w:left="21" w:right="15"/>
              <w:rPr>
                <w:rFonts w:ascii="Times New Roman" w:eastAsia="Times New Roman"/>
                <w:sz w:val="21"/>
              </w:rPr>
            </w:pPr>
            <w:r>
              <w:rPr>
                <w:sz w:val="21"/>
              </w:rPr>
              <w:t>＜</w:t>
            </w:r>
            <w:r>
              <w:rPr>
                <w:rFonts w:ascii="Times New Roman" w:eastAsia="Times New Roman"/>
                <w:sz w:val="21"/>
              </w:rPr>
              <w:t>0.5</w:t>
            </w:r>
          </w:p>
        </w:tc>
        <w:tc>
          <w:tcPr>
            <w:tcW w:w="1133" w:type="dxa"/>
          </w:tcPr>
          <w:p>
            <w:pPr>
              <w:pStyle w:val="TableParagraph"/>
              <w:spacing w:line="257" w:lineRule="exact" w:before="6"/>
              <w:ind w:left="7" w:right="3"/>
              <w:rPr>
                <w:rFonts w:ascii="Times New Roman" w:eastAsia="Times New Roman"/>
                <w:sz w:val="21"/>
              </w:rPr>
            </w:pPr>
            <w:r>
              <w:rPr>
                <w:sz w:val="21"/>
              </w:rPr>
              <w:t>＜</w:t>
            </w:r>
            <w:r>
              <w:rPr>
                <w:rFonts w:ascii="Times New Roman" w:eastAsia="Times New Roman"/>
                <w:sz w:val="21"/>
              </w:rPr>
              <w:t>0.5</w:t>
            </w:r>
          </w:p>
        </w:tc>
        <w:tc>
          <w:tcPr>
            <w:tcW w:w="1063" w:type="dxa"/>
          </w:tcPr>
          <w:p>
            <w:pPr>
              <w:pStyle w:val="TableParagraph"/>
              <w:spacing w:line="257" w:lineRule="exact" w:before="6"/>
              <w:ind w:left="126" w:right="119"/>
              <w:rPr>
                <w:rFonts w:ascii="Times New Roman" w:eastAsia="Times New Roman"/>
                <w:sz w:val="21"/>
              </w:rPr>
            </w:pPr>
            <w:r>
              <w:rPr>
                <w:sz w:val="21"/>
              </w:rPr>
              <w:t>＜</w:t>
            </w:r>
            <w:r>
              <w:rPr>
                <w:rFonts w:ascii="Times New Roman" w:eastAsia="Times New Roman"/>
                <w:sz w:val="21"/>
              </w:rPr>
              <w:t>0.5</w:t>
            </w:r>
          </w:p>
        </w:tc>
        <w:tc>
          <w:tcPr>
            <w:tcW w:w="1347" w:type="dxa"/>
          </w:tcPr>
          <w:p>
            <w:pPr>
              <w:pStyle w:val="TableParagraph"/>
              <w:spacing w:before="20"/>
              <w:ind w:left="285" w:right="279"/>
              <w:rPr>
                <w:rFonts w:ascii="Times New Roman"/>
                <w:sz w:val="21"/>
              </w:rPr>
            </w:pPr>
            <w:r>
              <w:rPr>
                <w:rFonts w:ascii="Times New Roman"/>
                <w:sz w:val="21"/>
              </w:rPr>
              <w:t>5.7</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832"/>
              <w:jc w:val="left"/>
              <w:rPr>
                <w:rFonts w:ascii="Times New Roman" w:eastAsia="Times New Roman"/>
                <w:sz w:val="21"/>
              </w:rPr>
            </w:pPr>
            <w:r>
              <w:rPr>
                <w:sz w:val="21"/>
              </w:rPr>
              <w:t>砷 </w:t>
            </w:r>
            <w:r>
              <w:rPr>
                <w:rFonts w:ascii="Times New Roman" w:eastAsia="Times New Roman"/>
                <w:sz w:val="21"/>
              </w:rPr>
              <w:t>mg/kg</w:t>
            </w:r>
          </w:p>
        </w:tc>
        <w:tc>
          <w:tcPr>
            <w:tcW w:w="1140" w:type="dxa"/>
          </w:tcPr>
          <w:p>
            <w:pPr>
              <w:pStyle w:val="TableParagraph"/>
              <w:spacing w:before="22"/>
              <w:ind w:left="10" w:right="4"/>
              <w:rPr>
                <w:rFonts w:ascii="Times New Roman"/>
                <w:sz w:val="21"/>
              </w:rPr>
            </w:pPr>
            <w:r>
              <w:rPr>
                <w:rFonts w:ascii="Times New Roman"/>
                <w:sz w:val="21"/>
              </w:rPr>
              <w:t>10.5</w:t>
            </w:r>
          </w:p>
        </w:tc>
        <w:tc>
          <w:tcPr>
            <w:tcW w:w="1135" w:type="dxa"/>
          </w:tcPr>
          <w:p>
            <w:pPr>
              <w:pStyle w:val="TableParagraph"/>
              <w:spacing w:before="22"/>
              <w:ind w:left="21" w:right="15"/>
              <w:rPr>
                <w:rFonts w:ascii="Times New Roman"/>
                <w:sz w:val="21"/>
              </w:rPr>
            </w:pPr>
            <w:r>
              <w:rPr>
                <w:rFonts w:ascii="Times New Roman"/>
                <w:sz w:val="21"/>
              </w:rPr>
              <w:t>7.7</w:t>
            </w:r>
          </w:p>
        </w:tc>
        <w:tc>
          <w:tcPr>
            <w:tcW w:w="1133" w:type="dxa"/>
          </w:tcPr>
          <w:p>
            <w:pPr>
              <w:pStyle w:val="TableParagraph"/>
              <w:spacing w:before="22"/>
              <w:ind w:left="7" w:right="3"/>
              <w:rPr>
                <w:rFonts w:ascii="Times New Roman"/>
                <w:sz w:val="21"/>
              </w:rPr>
            </w:pPr>
            <w:r>
              <w:rPr>
                <w:rFonts w:ascii="Times New Roman"/>
                <w:sz w:val="21"/>
              </w:rPr>
              <w:t>9.9</w:t>
            </w:r>
          </w:p>
        </w:tc>
        <w:tc>
          <w:tcPr>
            <w:tcW w:w="1063" w:type="dxa"/>
          </w:tcPr>
          <w:p>
            <w:pPr>
              <w:pStyle w:val="TableParagraph"/>
              <w:spacing w:before="22"/>
              <w:ind w:left="126" w:right="119"/>
              <w:rPr>
                <w:rFonts w:ascii="Times New Roman"/>
                <w:sz w:val="21"/>
              </w:rPr>
            </w:pPr>
            <w:r>
              <w:rPr>
                <w:rFonts w:ascii="Times New Roman"/>
                <w:sz w:val="21"/>
              </w:rPr>
              <w:t>8.7</w:t>
            </w:r>
          </w:p>
        </w:tc>
        <w:tc>
          <w:tcPr>
            <w:tcW w:w="1347" w:type="dxa"/>
          </w:tcPr>
          <w:p>
            <w:pPr>
              <w:pStyle w:val="TableParagraph"/>
              <w:spacing w:before="22"/>
              <w:ind w:left="283" w:right="281"/>
              <w:rPr>
                <w:rFonts w:ascii="Times New Roman"/>
                <w:sz w:val="21"/>
              </w:rPr>
            </w:pPr>
            <w:r>
              <w:rPr>
                <w:rFonts w:ascii="Times New Roman"/>
                <w:sz w:val="21"/>
              </w:rPr>
              <w:t>60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832"/>
              <w:jc w:val="left"/>
              <w:rPr>
                <w:rFonts w:ascii="Times New Roman" w:eastAsia="Times New Roman"/>
                <w:sz w:val="21"/>
              </w:rPr>
            </w:pPr>
            <w:r>
              <w:rPr>
                <w:sz w:val="21"/>
              </w:rPr>
              <w:t>汞 </w:t>
            </w:r>
            <w:r>
              <w:rPr>
                <w:rFonts w:ascii="Times New Roman" w:eastAsia="Times New Roman"/>
                <w:sz w:val="21"/>
              </w:rPr>
              <w:t>mg/kg</w:t>
            </w:r>
          </w:p>
        </w:tc>
        <w:tc>
          <w:tcPr>
            <w:tcW w:w="1140" w:type="dxa"/>
          </w:tcPr>
          <w:p>
            <w:pPr>
              <w:pStyle w:val="TableParagraph"/>
              <w:spacing w:before="20"/>
              <w:ind w:left="10" w:right="4"/>
              <w:rPr>
                <w:rFonts w:ascii="Times New Roman"/>
                <w:sz w:val="21"/>
              </w:rPr>
            </w:pPr>
            <w:r>
              <w:rPr>
                <w:rFonts w:ascii="Times New Roman"/>
                <w:sz w:val="21"/>
              </w:rPr>
              <w:t>0.150</w:t>
            </w:r>
          </w:p>
        </w:tc>
        <w:tc>
          <w:tcPr>
            <w:tcW w:w="1135" w:type="dxa"/>
          </w:tcPr>
          <w:p>
            <w:pPr>
              <w:pStyle w:val="TableParagraph"/>
              <w:spacing w:before="20"/>
              <w:ind w:left="21" w:right="15"/>
              <w:rPr>
                <w:rFonts w:ascii="Times New Roman"/>
                <w:sz w:val="21"/>
              </w:rPr>
            </w:pPr>
            <w:r>
              <w:rPr>
                <w:rFonts w:ascii="Times New Roman"/>
                <w:sz w:val="21"/>
              </w:rPr>
              <w:t>0.122</w:t>
            </w:r>
          </w:p>
        </w:tc>
        <w:tc>
          <w:tcPr>
            <w:tcW w:w="1133" w:type="dxa"/>
          </w:tcPr>
          <w:p>
            <w:pPr>
              <w:pStyle w:val="TableParagraph"/>
              <w:spacing w:before="20"/>
              <w:ind w:left="7" w:right="3"/>
              <w:rPr>
                <w:rFonts w:ascii="Times New Roman"/>
                <w:sz w:val="21"/>
              </w:rPr>
            </w:pPr>
            <w:r>
              <w:rPr>
                <w:rFonts w:ascii="Times New Roman"/>
                <w:sz w:val="21"/>
              </w:rPr>
              <w:t>0.093</w:t>
            </w:r>
          </w:p>
        </w:tc>
        <w:tc>
          <w:tcPr>
            <w:tcW w:w="1063" w:type="dxa"/>
          </w:tcPr>
          <w:p>
            <w:pPr>
              <w:pStyle w:val="TableParagraph"/>
              <w:spacing w:before="20"/>
              <w:ind w:left="126" w:right="119"/>
              <w:rPr>
                <w:rFonts w:ascii="Times New Roman"/>
                <w:sz w:val="21"/>
              </w:rPr>
            </w:pPr>
            <w:r>
              <w:rPr>
                <w:rFonts w:ascii="Times New Roman"/>
                <w:sz w:val="21"/>
              </w:rPr>
              <w:t>0.077</w:t>
            </w:r>
          </w:p>
        </w:tc>
        <w:tc>
          <w:tcPr>
            <w:tcW w:w="1347" w:type="dxa"/>
          </w:tcPr>
          <w:p>
            <w:pPr>
              <w:pStyle w:val="TableParagraph"/>
              <w:spacing w:before="20"/>
              <w:ind w:left="283" w:right="281"/>
              <w:rPr>
                <w:rFonts w:ascii="Times New Roman"/>
                <w:sz w:val="21"/>
              </w:rPr>
            </w:pPr>
            <w:r>
              <w:rPr>
                <w:rFonts w:ascii="Times New Roman"/>
                <w:sz w:val="21"/>
              </w:rPr>
              <w:t>38</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5" w:lineRule="exact" w:before="8"/>
              <w:ind w:left="832"/>
              <w:jc w:val="left"/>
              <w:rPr>
                <w:rFonts w:ascii="Times New Roman" w:eastAsia="Times New Roman"/>
                <w:sz w:val="21"/>
              </w:rPr>
            </w:pPr>
            <w:r>
              <w:rPr>
                <w:sz w:val="21"/>
              </w:rPr>
              <w:t>镍 </w:t>
            </w:r>
            <w:r>
              <w:rPr>
                <w:rFonts w:ascii="Times New Roman" w:eastAsia="Times New Roman"/>
                <w:sz w:val="21"/>
              </w:rPr>
              <w:t>mg/kg</w:t>
            </w:r>
          </w:p>
        </w:tc>
        <w:tc>
          <w:tcPr>
            <w:tcW w:w="1140" w:type="dxa"/>
          </w:tcPr>
          <w:p>
            <w:pPr>
              <w:pStyle w:val="TableParagraph"/>
              <w:spacing w:line="241" w:lineRule="exact" w:before="22"/>
              <w:ind w:left="5" w:right="4"/>
              <w:rPr>
                <w:rFonts w:ascii="Times New Roman"/>
                <w:sz w:val="21"/>
              </w:rPr>
            </w:pPr>
            <w:r>
              <w:rPr>
                <w:rFonts w:ascii="Times New Roman"/>
                <w:sz w:val="21"/>
              </w:rPr>
              <w:t>34</w:t>
            </w:r>
          </w:p>
        </w:tc>
        <w:tc>
          <w:tcPr>
            <w:tcW w:w="1135" w:type="dxa"/>
          </w:tcPr>
          <w:p>
            <w:pPr>
              <w:pStyle w:val="TableParagraph"/>
              <w:spacing w:line="241" w:lineRule="exact" w:before="22"/>
              <w:ind w:left="16" w:right="15"/>
              <w:rPr>
                <w:rFonts w:ascii="Times New Roman"/>
                <w:sz w:val="21"/>
              </w:rPr>
            </w:pPr>
            <w:r>
              <w:rPr>
                <w:rFonts w:ascii="Times New Roman"/>
                <w:sz w:val="21"/>
              </w:rPr>
              <w:t>29</w:t>
            </w:r>
          </w:p>
        </w:tc>
        <w:tc>
          <w:tcPr>
            <w:tcW w:w="1133" w:type="dxa"/>
          </w:tcPr>
          <w:p>
            <w:pPr>
              <w:pStyle w:val="TableParagraph"/>
              <w:spacing w:line="241" w:lineRule="exact" w:before="22"/>
              <w:ind w:left="7" w:right="3"/>
              <w:rPr>
                <w:rFonts w:ascii="Times New Roman"/>
                <w:sz w:val="21"/>
              </w:rPr>
            </w:pPr>
            <w:r>
              <w:rPr>
                <w:rFonts w:ascii="Times New Roman"/>
                <w:sz w:val="21"/>
              </w:rPr>
              <w:t>40</w:t>
            </w:r>
          </w:p>
        </w:tc>
        <w:tc>
          <w:tcPr>
            <w:tcW w:w="1063" w:type="dxa"/>
          </w:tcPr>
          <w:p>
            <w:pPr>
              <w:pStyle w:val="TableParagraph"/>
              <w:spacing w:line="241" w:lineRule="exact" w:before="22"/>
              <w:ind w:left="123" w:right="121"/>
              <w:rPr>
                <w:rFonts w:ascii="Times New Roman"/>
                <w:sz w:val="21"/>
              </w:rPr>
            </w:pPr>
            <w:r>
              <w:rPr>
                <w:rFonts w:ascii="Times New Roman"/>
                <w:sz w:val="21"/>
              </w:rPr>
              <w:t>22</w:t>
            </w:r>
          </w:p>
        </w:tc>
        <w:tc>
          <w:tcPr>
            <w:tcW w:w="1347" w:type="dxa"/>
          </w:tcPr>
          <w:p>
            <w:pPr>
              <w:pStyle w:val="TableParagraph"/>
              <w:spacing w:line="241" w:lineRule="exact" w:before="22"/>
              <w:ind w:left="285" w:right="279"/>
              <w:rPr>
                <w:rFonts w:ascii="Times New Roman"/>
                <w:sz w:val="21"/>
              </w:rPr>
            </w:pPr>
            <w:r>
              <w:rPr>
                <w:rFonts w:ascii="Times New Roman"/>
                <w:sz w:val="21"/>
              </w:rPr>
              <w:t>900</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832"/>
              <w:jc w:val="left"/>
              <w:rPr>
                <w:rFonts w:ascii="Times New Roman" w:eastAsia="Times New Roman"/>
                <w:sz w:val="21"/>
              </w:rPr>
            </w:pPr>
            <w:r>
              <w:rPr>
                <w:sz w:val="21"/>
              </w:rPr>
              <w:t>镉 </w:t>
            </w:r>
            <w:r>
              <w:rPr>
                <w:rFonts w:ascii="Times New Roman" w:eastAsia="Times New Roman"/>
                <w:sz w:val="21"/>
              </w:rPr>
              <w:t>mg/kg</w:t>
            </w:r>
          </w:p>
        </w:tc>
        <w:tc>
          <w:tcPr>
            <w:tcW w:w="1140" w:type="dxa"/>
          </w:tcPr>
          <w:p>
            <w:pPr>
              <w:pStyle w:val="TableParagraph"/>
              <w:spacing w:before="22"/>
              <w:ind w:left="10" w:right="4"/>
              <w:rPr>
                <w:rFonts w:ascii="Times New Roman"/>
                <w:sz w:val="21"/>
              </w:rPr>
            </w:pPr>
            <w:r>
              <w:rPr>
                <w:rFonts w:ascii="Times New Roman"/>
                <w:sz w:val="21"/>
              </w:rPr>
              <w:t>0.06</w:t>
            </w:r>
          </w:p>
        </w:tc>
        <w:tc>
          <w:tcPr>
            <w:tcW w:w="1135" w:type="dxa"/>
          </w:tcPr>
          <w:p>
            <w:pPr>
              <w:pStyle w:val="TableParagraph"/>
              <w:spacing w:before="22"/>
              <w:ind w:left="21" w:right="15"/>
              <w:rPr>
                <w:rFonts w:ascii="Times New Roman"/>
                <w:sz w:val="21"/>
              </w:rPr>
            </w:pPr>
            <w:r>
              <w:rPr>
                <w:rFonts w:ascii="Times New Roman"/>
                <w:sz w:val="21"/>
              </w:rPr>
              <w:t>0.06</w:t>
            </w:r>
          </w:p>
        </w:tc>
        <w:tc>
          <w:tcPr>
            <w:tcW w:w="1133" w:type="dxa"/>
          </w:tcPr>
          <w:p>
            <w:pPr>
              <w:pStyle w:val="TableParagraph"/>
              <w:spacing w:before="22"/>
              <w:ind w:left="7" w:right="3"/>
              <w:rPr>
                <w:rFonts w:ascii="Times New Roman"/>
                <w:sz w:val="21"/>
              </w:rPr>
            </w:pPr>
            <w:r>
              <w:rPr>
                <w:rFonts w:ascii="Times New Roman"/>
                <w:sz w:val="21"/>
              </w:rPr>
              <w:t>0.04</w:t>
            </w:r>
          </w:p>
        </w:tc>
        <w:tc>
          <w:tcPr>
            <w:tcW w:w="1063" w:type="dxa"/>
          </w:tcPr>
          <w:p>
            <w:pPr>
              <w:pStyle w:val="TableParagraph"/>
              <w:spacing w:before="22"/>
              <w:ind w:left="126" w:right="119"/>
              <w:rPr>
                <w:rFonts w:ascii="Times New Roman"/>
                <w:sz w:val="21"/>
              </w:rPr>
            </w:pPr>
            <w:r>
              <w:rPr>
                <w:rFonts w:ascii="Times New Roman"/>
                <w:sz w:val="21"/>
              </w:rPr>
              <w:t>0.05</w:t>
            </w:r>
          </w:p>
        </w:tc>
        <w:tc>
          <w:tcPr>
            <w:tcW w:w="1347" w:type="dxa"/>
          </w:tcPr>
          <w:p>
            <w:pPr>
              <w:pStyle w:val="TableParagraph"/>
              <w:spacing w:before="22"/>
              <w:ind w:left="283" w:right="281"/>
              <w:rPr>
                <w:rFonts w:ascii="Times New Roman"/>
                <w:sz w:val="21"/>
              </w:rPr>
            </w:pPr>
            <w:r>
              <w:rPr>
                <w:rFonts w:ascii="Times New Roman"/>
                <w:sz w:val="21"/>
              </w:rPr>
              <w:t>65</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544"/>
              <w:jc w:val="left"/>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&lt;1.3</w:t>
            </w:r>
          </w:p>
        </w:tc>
        <w:tc>
          <w:tcPr>
            <w:tcW w:w="1135" w:type="dxa"/>
          </w:tcPr>
          <w:p>
            <w:pPr>
              <w:pStyle w:val="TableParagraph"/>
              <w:spacing w:before="20"/>
              <w:ind w:left="21" w:right="15"/>
              <w:rPr>
                <w:rFonts w:ascii="Times New Roman"/>
                <w:sz w:val="21"/>
              </w:rPr>
            </w:pPr>
            <w:r>
              <w:rPr>
                <w:rFonts w:ascii="Times New Roman"/>
                <w:sz w:val="21"/>
              </w:rPr>
              <w:t>&lt;1.3</w:t>
            </w:r>
          </w:p>
        </w:tc>
        <w:tc>
          <w:tcPr>
            <w:tcW w:w="1133" w:type="dxa"/>
          </w:tcPr>
          <w:p>
            <w:pPr>
              <w:pStyle w:val="TableParagraph"/>
              <w:spacing w:before="20"/>
              <w:ind w:left="7" w:right="3"/>
              <w:rPr>
                <w:rFonts w:ascii="Times New Roman"/>
                <w:sz w:val="21"/>
              </w:rPr>
            </w:pPr>
            <w:r>
              <w:rPr>
                <w:rFonts w:ascii="Times New Roman"/>
                <w:sz w:val="21"/>
              </w:rPr>
              <w:t>&lt;1.3</w:t>
            </w:r>
          </w:p>
        </w:tc>
        <w:tc>
          <w:tcPr>
            <w:tcW w:w="1063" w:type="dxa"/>
          </w:tcPr>
          <w:p>
            <w:pPr>
              <w:pStyle w:val="TableParagraph"/>
              <w:spacing w:before="20"/>
              <w:ind w:left="126" w:right="120"/>
              <w:rPr>
                <w:rFonts w:ascii="Times New Roman"/>
                <w:sz w:val="21"/>
              </w:rPr>
            </w:pPr>
            <w:r>
              <w:rPr>
                <w:rFonts w:ascii="Times New Roman"/>
                <w:sz w:val="21"/>
              </w:rPr>
              <w:t>&lt;1.3</w:t>
            </w:r>
          </w:p>
        </w:tc>
        <w:tc>
          <w:tcPr>
            <w:tcW w:w="1347" w:type="dxa"/>
          </w:tcPr>
          <w:p>
            <w:pPr>
              <w:pStyle w:val="TableParagraph"/>
              <w:spacing w:before="20"/>
              <w:ind w:left="285" w:right="279"/>
              <w:rPr>
                <w:rFonts w:ascii="Times New Roman"/>
                <w:sz w:val="21"/>
              </w:rPr>
            </w:pPr>
            <w:r>
              <w:rPr>
                <w:rFonts w:ascii="Times New Roman"/>
                <w:sz w:val="21"/>
              </w:rPr>
              <w:t>2800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753"/>
              <w:jc w:val="left"/>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&lt;1.1</w:t>
            </w:r>
          </w:p>
        </w:tc>
        <w:tc>
          <w:tcPr>
            <w:tcW w:w="1135" w:type="dxa"/>
          </w:tcPr>
          <w:p>
            <w:pPr>
              <w:pStyle w:val="TableParagraph"/>
              <w:spacing w:before="22"/>
              <w:ind w:left="21" w:right="15"/>
              <w:rPr>
                <w:rFonts w:ascii="Times New Roman"/>
                <w:sz w:val="21"/>
              </w:rPr>
            </w:pPr>
            <w:r>
              <w:rPr>
                <w:rFonts w:ascii="Times New Roman"/>
                <w:sz w:val="21"/>
              </w:rPr>
              <w:t>&lt;1.1</w:t>
            </w:r>
          </w:p>
        </w:tc>
        <w:tc>
          <w:tcPr>
            <w:tcW w:w="1133" w:type="dxa"/>
          </w:tcPr>
          <w:p>
            <w:pPr>
              <w:pStyle w:val="TableParagraph"/>
              <w:spacing w:before="22"/>
              <w:ind w:left="6" w:right="3"/>
              <w:rPr>
                <w:rFonts w:ascii="Times New Roman"/>
                <w:sz w:val="21"/>
              </w:rPr>
            </w:pPr>
            <w:r>
              <w:rPr>
                <w:rFonts w:ascii="Times New Roman"/>
                <w:sz w:val="21"/>
              </w:rPr>
              <w:t>&lt;1.1</w:t>
            </w:r>
          </w:p>
        </w:tc>
        <w:tc>
          <w:tcPr>
            <w:tcW w:w="1063" w:type="dxa"/>
          </w:tcPr>
          <w:p>
            <w:pPr>
              <w:pStyle w:val="TableParagraph"/>
              <w:spacing w:before="22"/>
              <w:ind w:left="126" w:right="120"/>
              <w:rPr>
                <w:rFonts w:ascii="Times New Roman"/>
                <w:sz w:val="21"/>
              </w:rPr>
            </w:pPr>
            <w:r>
              <w:rPr>
                <w:rFonts w:ascii="Times New Roman"/>
                <w:sz w:val="21"/>
              </w:rPr>
              <w:t>&lt;1.1</w:t>
            </w:r>
          </w:p>
        </w:tc>
        <w:tc>
          <w:tcPr>
            <w:tcW w:w="1347" w:type="dxa"/>
          </w:tcPr>
          <w:p>
            <w:pPr>
              <w:pStyle w:val="TableParagraph"/>
              <w:spacing w:before="22"/>
              <w:ind w:left="285" w:right="279"/>
              <w:rPr>
                <w:rFonts w:ascii="Times New Roman"/>
                <w:sz w:val="21"/>
              </w:rPr>
            </w:pPr>
            <w:r>
              <w:rPr>
                <w:rFonts w:ascii="Times New Roman"/>
                <w:sz w:val="21"/>
              </w:rPr>
              <w:t>900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647"/>
              <w:jc w:val="left"/>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&lt;1.0</w:t>
            </w:r>
          </w:p>
        </w:tc>
        <w:tc>
          <w:tcPr>
            <w:tcW w:w="1135" w:type="dxa"/>
          </w:tcPr>
          <w:p>
            <w:pPr>
              <w:pStyle w:val="TableParagraph"/>
              <w:spacing w:before="20"/>
              <w:ind w:left="21" w:right="15"/>
              <w:rPr>
                <w:rFonts w:ascii="Times New Roman"/>
                <w:sz w:val="21"/>
              </w:rPr>
            </w:pPr>
            <w:r>
              <w:rPr>
                <w:rFonts w:ascii="Times New Roman"/>
                <w:sz w:val="21"/>
              </w:rPr>
              <w:t>&lt;1.0</w:t>
            </w:r>
          </w:p>
        </w:tc>
        <w:tc>
          <w:tcPr>
            <w:tcW w:w="1133" w:type="dxa"/>
          </w:tcPr>
          <w:p>
            <w:pPr>
              <w:pStyle w:val="TableParagraph"/>
              <w:spacing w:before="20"/>
              <w:ind w:left="6" w:right="3"/>
              <w:rPr>
                <w:rFonts w:ascii="Times New Roman"/>
                <w:sz w:val="21"/>
              </w:rPr>
            </w:pPr>
            <w:r>
              <w:rPr>
                <w:rFonts w:ascii="Times New Roman"/>
                <w:sz w:val="21"/>
              </w:rPr>
              <w:t>&lt;1.0</w:t>
            </w:r>
          </w:p>
        </w:tc>
        <w:tc>
          <w:tcPr>
            <w:tcW w:w="1063" w:type="dxa"/>
          </w:tcPr>
          <w:p>
            <w:pPr>
              <w:pStyle w:val="TableParagraph"/>
              <w:spacing w:before="20"/>
              <w:ind w:left="126" w:right="120"/>
              <w:rPr>
                <w:rFonts w:ascii="Times New Roman"/>
                <w:sz w:val="21"/>
              </w:rPr>
            </w:pPr>
            <w:r>
              <w:rPr>
                <w:rFonts w:ascii="Times New Roman"/>
                <w:sz w:val="21"/>
              </w:rPr>
              <w:t>&lt;1.0</w:t>
            </w:r>
          </w:p>
        </w:tc>
        <w:tc>
          <w:tcPr>
            <w:tcW w:w="1347" w:type="dxa"/>
          </w:tcPr>
          <w:p>
            <w:pPr>
              <w:pStyle w:val="TableParagraph"/>
              <w:spacing w:before="20"/>
              <w:ind w:left="285" w:right="279"/>
              <w:rPr>
                <w:rFonts w:ascii="Times New Roman"/>
                <w:sz w:val="21"/>
              </w:rPr>
            </w:pPr>
            <w:r>
              <w:rPr>
                <w:rFonts w:ascii="Times New Roman"/>
                <w:sz w:val="21"/>
              </w:rPr>
              <w:t>37000</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5" w:lineRule="exact" w:before="8"/>
              <w:ind w:left="376"/>
              <w:jc w:val="left"/>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&lt;1.2</w:t>
            </w:r>
          </w:p>
        </w:tc>
        <w:tc>
          <w:tcPr>
            <w:tcW w:w="1135" w:type="dxa"/>
          </w:tcPr>
          <w:p>
            <w:pPr>
              <w:pStyle w:val="TableParagraph"/>
              <w:spacing w:line="241" w:lineRule="exact" w:before="22"/>
              <w:ind w:left="21" w:right="15"/>
              <w:rPr>
                <w:rFonts w:ascii="Times New Roman"/>
                <w:sz w:val="21"/>
              </w:rPr>
            </w:pPr>
            <w:r>
              <w:rPr>
                <w:rFonts w:ascii="Times New Roman"/>
                <w:sz w:val="21"/>
              </w:rPr>
              <w:t>&lt;1.2</w:t>
            </w:r>
          </w:p>
        </w:tc>
        <w:tc>
          <w:tcPr>
            <w:tcW w:w="1133" w:type="dxa"/>
          </w:tcPr>
          <w:p>
            <w:pPr>
              <w:pStyle w:val="TableParagraph"/>
              <w:spacing w:line="241" w:lineRule="exact" w:before="22"/>
              <w:ind w:left="6" w:right="3"/>
              <w:rPr>
                <w:rFonts w:ascii="Times New Roman"/>
                <w:sz w:val="21"/>
              </w:rPr>
            </w:pPr>
            <w:r>
              <w:rPr>
                <w:rFonts w:ascii="Times New Roman"/>
                <w:sz w:val="21"/>
              </w:rPr>
              <w:t>&lt;1.2</w:t>
            </w:r>
          </w:p>
        </w:tc>
        <w:tc>
          <w:tcPr>
            <w:tcW w:w="1063" w:type="dxa"/>
          </w:tcPr>
          <w:p>
            <w:pPr>
              <w:pStyle w:val="TableParagraph"/>
              <w:spacing w:line="241" w:lineRule="exact" w:before="22"/>
              <w:ind w:left="126" w:right="120"/>
              <w:rPr>
                <w:rFonts w:ascii="Times New Roman"/>
                <w:sz w:val="21"/>
              </w:rPr>
            </w:pPr>
            <w:r>
              <w:rPr>
                <w:rFonts w:ascii="Times New Roman"/>
                <w:sz w:val="21"/>
              </w:rPr>
              <w:t>&lt;1.2</w:t>
            </w:r>
          </w:p>
        </w:tc>
        <w:tc>
          <w:tcPr>
            <w:tcW w:w="1347" w:type="dxa"/>
          </w:tcPr>
          <w:p>
            <w:pPr>
              <w:pStyle w:val="TableParagraph"/>
              <w:spacing w:line="241" w:lineRule="exact" w:before="22"/>
              <w:ind w:left="285" w:right="279"/>
              <w:rPr>
                <w:rFonts w:ascii="Times New Roman"/>
                <w:sz w:val="21"/>
              </w:rPr>
            </w:pPr>
            <w:r>
              <w:rPr>
                <w:rFonts w:ascii="Times New Roman"/>
                <w:sz w:val="21"/>
              </w:rPr>
              <w:t>9000</w:t>
            </w:r>
          </w:p>
        </w:tc>
        <w:tc>
          <w:tcPr>
            <w:tcW w:w="1008" w:type="dxa"/>
          </w:tcPr>
          <w:p>
            <w:pPr>
              <w:pStyle w:val="TableParagraph"/>
              <w:spacing w:line="255" w:lineRule="exact" w:before="8"/>
              <w:ind w:left="274" w:right="269"/>
              <w:rPr>
                <w:sz w:val="21"/>
              </w:rPr>
            </w:pPr>
            <w:r>
              <w:rPr>
                <w:sz w:val="21"/>
              </w:rPr>
              <w:t>达标</w:t>
            </w:r>
          </w:p>
        </w:tc>
      </w:tr>
      <w:tr>
        <w:trPr>
          <w:trHeight w:val="286" w:hRule="atLeast"/>
        </w:trPr>
        <w:tc>
          <w:tcPr>
            <w:tcW w:w="2521" w:type="dxa"/>
          </w:tcPr>
          <w:p>
            <w:pPr>
              <w:pStyle w:val="TableParagraph"/>
              <w:spacing w:line="257" w:lineRule="exact" w:before="9"/>
              <w:ind w:left="376"/>
              <w:jc w:val="left"/>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140" w:type="dxa"/>
          </w:tcPr>
          <w:p>
            <w:pPr>
              <w:pStyle w:val="TableParagraph"/>
              <w:spacing w:before="23"/>
              <w:ind w:left="9" w:right="4"/>
              <w:rPr>
                <w:rFonts w:ascii="Times New Roman"/>
                <w:sz w:val="21"/>
              </w:rPr>
            </w:pPr>
            <w:r>
              <w:rPr>
                <w:rFonts w:ascii="Times New Roman"/>
                <w:sz w:val="21"/>
              </w:rPr>
              <w:t>&lt;1.3</w:t>
            </w:r>
          </w:p>
        </w:tc>
        <w:tc>
          <w:tcPr>
            <w:tcW w:w="1135" w:type="dxa"/>
          </w:tcPr>
          <w:p>
            <w:pPr>
              <w:pStyle w:val="TableParagraph"/>
              <w:spacing w:before="23"/>
              <w:ind w:left="21" w:right="15"/>
              <w:rPr>
                <w:rFonts w:ascii="Times New Roman"/>
                <w:sz w:val="21"/>
              </w:rPr>
            </w:pPr>
            <w:r>
              <w:rPr>
                <w:rFonts w:ascii="Times New Roman"/>
                <w:sz w:val="21"/>
              </w:rPr>
              <w:t>&lt;1.3</w:t>
            </w:r>
          </w:p>
        </w:tc>
        <w:tc>
          <w:tcPr>
            <w:tcW w:w="1133" w:type="dxa"/>
          </w:tcPr>
          <w:p>
            <w:pPr>
              <w:pStyle w:val="TableParagraph"/>
              <w:spacing w:before="23"/>
              <w:ind w:left="6" w:right="3"/>
              <w:rPr>
                <w:rFonts w:ascii="Times New Roman"/>
                <w:sz w:val="21"/>
              </w:rPr>
            </w:pPr>
            <w:r>
              <w:rPr>
                <w:rFonts w:ascii="Times New Roman"/>
                <w:sz w:val="21"/>
              </w:rPr>
              <w:t>&lt;1.3</w:t>
            </w:r>
          </w:p>
        </w:tc>
        <w:tc>
          <w:tcPr>
            <w:tcW w:w="1063" w:type="dxa"/>
          </w:tcPr>
          <w:p>
            <w:pPr>
              <w:pStyle w:val="TableParagraph"/>
              <w:spacing w:before="23"/>
              <w:ind w:left="126" w:right="120"/>
              <w:rPr>
                <w:rFonts w:ascii="Times New Roman"/>
                <w:sz w:val="21"/>
              </w:rPr>
            </w:pPr>
            <w:r>
              <w:rPr>
                <w:rFonts w:ascii="Times New Roman"/>
                <w:sz w:val="21"/>
              </w:rPr>
              <w:t>&lt;1.3</w:t>
            </w:r>
          </w:p>
        </w:tc>
        <w:tc>
          <w:tcPr>
            <w:tcW w:w="1347" w:type="dxa"/>
          </w:tcPr>
          <w:p>
            <w:pPr>
              <w:pStyle w:val="TableParagraph"/>
              <w:spacing w:before="23"/>
              <w:ind w:left="285" w:right="279"/>
              <w:rPr>
                <w:rFonts w:ascii="Times New Roman"/>
                <w:sz w:val="21"/>
              </w:rPr>
            </w:pPr>
            <w:r>
              <w:rPr>
                <w:rFonts w:ascii="Times New Roman"/>
                <w:sz w:val="21"/>
              </w:rPr>
              <w:t>5000</w:t>
            </w:r>
          </w:p>
        </w:tc>
        <w:tc>
          <w:tcPr>
            <w:tcW w:w="1008" w:type="dxa"/>
          </w:tcPr>
          <w:p>
            <w:pPr>
              <w:pStyle w:val="TableParagraph"/>
              <w:spacing w:line="257" w:lineRule="exact" w:before="9"/>
              <w:ind w:left="274" w:right="269"/>
              <w:rPr>
                <w:sz w:val="21"/>
              </w:rPr>
            </w:pPr>
            <w:r>
              <w:rPr>
                <w:sz w:val="21"/>
              </w:rPr>
              <w:t>达标</w:t>
            </w:r>
          </w:p>
        </w:tc>
      </w:tr>
      <w:tr>
        <w:trPr>
          <w:trHeight w:val="282" w:hRule="atLeast"/>
        </w:trPr>
        <w:tc>
          <w:tcPr>
            <w:tcW w:w="2521" w:type="dxa"/>
          </w:tcPr>
          <w:p>
            <w:pPr>
              <w:pStyle w:val="TableParagraph"/>
              <w:spacing w:line="257" w:lineRule="exact" w:before="6"/>
              <w:ind w:left="376"/>
              <w:jc w:val="left"/>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&lt;1.0</w:t>
            </w:r>
          </w:p>
        </w:tc>
        <w:tc>
          <w:tcPr>
            <w:tcW w:w="1135" w:type="dxa"/>
          </w:tcPr>
          <w:p>
            <w:pPr>
              <w:pStyle w:val="TableParagraph"/>
              <w:spacing w:before="20"/>
              <w:ind w:left="21" w:right="15"/>
              <w:rPr>
                <w:rFonts w:ascii="Times New Roman"/>
                <w:sz w:val="21"/>
              </w:rPr>
            </w:pPr>
            <w:r>
              <w:rPr>
                <w:rFonts w:ascii="Times New Roman"/>
                <w:sz w:val="21"/>
              </w:rPr>
              <w:t>&lt;1.0</w:t>
            </w:r>
          </w:p>
        </w:tc>
        <w:tc>
          <w:tcPr>
            <w:tcW w:w="1133" w:type="dxa"/>
          </w:tcPr>
          <w:p>
            <w:pPr>
              <w:pStyle w:val="TableParagraph"/>
              <w:spacing w:before="20"/>
              <w:ind w:left="6" w:right="3"/>
              <w:rPr>
                <w:rFonts w:ascii="Times New Roman"/>
                <w:sz w:val="21"/>
              </w:rPr>
            </w:pPr>
            <w:r>
              <w:rPr>
                <w:rFonts w:ascii="Times New Roman"/>
                <w:sz w:val="21"/>
              </w:rPr>
              <w:t>&lt;1.0</w:t>
            </w:r>
          </w:p>
        </w:tc>
        <w:tc>
          <w:tcPr>
            <w:tcW w:w="1063" w:type="dxa"/>
          </w:tcPr>
          <w:p>
            <w:pPr>
              <w:pStyle w:val="TableParagraph"/>
              <w:spacing w:before="20"/>
              <w:ind w:left="126" w:right="120"/>
              <w:rPr>
                <w:rFonts w:ascii="Times New Roman"/>
                <w:sz w:val="21"/>
              </w:rPr>
            </w:pPr>
            <w:r>
              <w:rPr>
                <w:rFonts w:ascii="Times New Roman"/>
                <w:sz w:val="21"/>
              </w:rPr>
              <w:t>&lt;1.0</w:t>
            </w:r>
          </w:p>
        </w:tc>
        <w:tc>
          <w:tcPr>
            <w:tcW w:w="1347" w:type="dxa"/>
          </w:tcPr>
          <w:p>
            <w:pPr>
              <w:pStyle w:val="TableParagraph"/>
              <w:spacing w:before="20"/>
              <w:ind w:left="285" w:right="279"/>
              <w:rPr>
                <w:rFonts w:ascii="Times New Roman"/>
                <w:sz w:val="21"/>
              </w:rPr>
            </w:pPr>
            <w:r>
              <w:rPr>
                <w:rFonts w:ascii="Times New Roman"/>
                <w:sz w:val="21"/>
              </w:rPr>
              <w:t>66000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right="231"/>
              <w:jc w:val="right"/>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&lt;1.3</w:t>
            </w:r>
          </w:p>
        </w:tc>
        <w:tc>
          <w:tcPr>
            <w:tcW w:w="1135" w:type="dxa"/>
          </w:tcPr>
          <w:p>
            <w:pPr>
              <w:pStyle w:val="TableParagraph"/>
              <w:spacing w:before="22"/>
              <w:ind w:left="21" w:right="15"/>
              <w:rPr>
                <w:rFonts w:ascii="Times New Roman"/>
                <w:sz w:val="21"/>
              </w:rPr>
            </w:pPr>
            <w:r>
              <w:rPr>
                <w:rFonts w:ascii="Times New Roman"/>
                <w:sz w:val="21"/>
              </w:rPr>
              <w:t>&lt;1.3</w:t>
            </w:r>
          </w:p>
        </w:tc>
        <w:tc>
          <w:tcPr>
            <w:tcW w:w="1133" w:type="dxa"/>
          </w:tcPr>
          <w:p>
            <w:pPr>
              <w:pStyle w:val="TableParagraph"/>
              <w:spacing w:before="22"/>
              <w:ind w:left="7" w:right="3"/>
              <w:rPr>
                <w:rFonts w:ascii="Times New Roman"/>
                <w:sz w:val="21"/>
              </w:rPr>
            </w:pPr>
            <w:r>
              <w:rPr>
                <w:rFonts w:ascii="Times New Roman"/>
                <w:sz w:val="21"/>
              </w:rPr>
              <w:t>&lt;1.3</w:t>
            </w:r>
          </w:p>
        </w:tc>
        <w:tc>
          <w:tcPr>
            <w:tcW w:w="1063" w:type="dxa"/>
          </w:tcPr>
          <w:p>
            <w:pPr>
              <w:pStyle w:val="TableParagraph"/>
              <w:spacing w:before="22"/>
              <w:ind w:left="126" w:right="120"/>
              <w:rPr>
                <w:rFonts w:ascii="Times New Roman"/>
                <w:sz w:val="21"/>
              </w:rPr>
            </w:pPr>
            <w:r>
              <w:rPr>
                <w:rFonts w:ascii="Times New Roman"/>
                <w:sz w:val="21"/>
              </w:rPr>
              <w:t>&lt;1.3</w:t>
            </w:r>
          </w:p>
        </w:tc>
        <w:tc>
          <w:tcPr>
            <w:tcW w:w="1347" w:type="dxa"/>
          </w:tcPr>
          <w:p>
            <w:pPr>
              <w:pStyle w:val="TableParagraph"/>
              <w:spacing w:before="22"/>
              <w:ind w:left="285" w:right="279"/>
              <w:rPr>
                <w:rFonts w:ascii="Times New Roman"/>
                <w:sz w:val="21"/>
              </w:rPr>
            </w:pPr>
            <w:r>
              <w:rPr>
                <w:rFonts w:ascii="Times New Roman"/>
                <w:sz w:val="21"/>
              </w:rPr>
              <w:t>596000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right="231"/>
              <w:jc w:val="right"/>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&lt;1.4</w:t>
            </w:r>
          </w:p>
        </w:tc>
        <w:tc>
          <w:tcPr>
            <w:tcW w:w="1135" w:type="dxa"/>
          </w:tcPr>
          <w:p>
            <w:pPr>
              <w:pStyle w:val="TableParagraph"/>
              <w:spacing w:before="20"/>
              <w:ind w:left="21" w:right="15"/>
              <w:rPr>
                <w:rFonts w:ascii="Times New Roman"/>
                <w:sz w:val="21"/>
              </w:rPr>
            </w:pPr>
            <w:r>
              <w:rPr>
                <w:rFonts w:ascii="Times New Roman"/>
                <w:sz w:val="21"/>
              </w:rPr>
              <w:t>&lt;1.4</w:t>
            </w:r>
          </w:p>
        </w:tc>
        <w:tc>
          <w:tcPr>
            <w:tcW w:w="1133" w:type="dxa"/>
          </w:tcPr>
          <w:p>
            <w:pPr>
              <w:pStyle w:val="TableParagraph"/>
              <w:spacing w:before="20"/>
              <w:ind w:left="6" w:right="3"/>
              <w:rPr>
                <w:rFonts w:ascii="Times New Roman"/>
                <w:sz w:val="21"/>
              </w:rPr>
            </w:pPr>
            <w:r>
              <w:rPr>
                <w:rFonts w:ascii="Times New Roman"/>
                <w:sz w:val="21"/>
              </w:rPr>
              <w:t>&lt;1.4</w:t>
            </w:r>
          </w:p>
        </w:tc>
        <w:tc>
          <w:tcPr>
            <w:tcW w:w="1063" w:type="dxa"/>
          </w:tcPr>
          <w:p>
            <w:pPr>
              <w:pStyle w:val="TableParagraph"/>
              <w:spacing w:before="20"/>
              <w:ind w:left="126" w:right="120"/>
              <w:rPr>
                <w:rFonts w:ascii="Times New Roman"/>
                <w:sz w:val="21"/>
              </w:rPr>
            </w:pPr>
            <w:r>
              <w:rPr>
                <w:rFonts w:ascii="Times New Roman"/>
                <w:sz w:val="21"/>
              </w:rPr>
              <w:t>&lt;1.4</w:t>
            </w:r>
          </w:p>
        </w:tc>
        <w:tc>
          <w:tcPr>
            <w:tcW w:w="1347" w:type="dxa"/>
          </w:tcPr>
          <w:p>
            <w:pPr>
              <w:pStyle w:val="TableParagraph"/>
              <w:spacing w:before="20"/>
              <w:ind w:left="285" w:right="279"/>
              <w:rPr>
                <w:rFonts w:ascii="Times New Roman"/>
                <w:sz w:val="21"/>
              </w:rPr>
            </w:pPr>
            <w:r>
              <w:rPr>
                <w:rFonts w:ascii="Times New Roman"/>
                <w:sz w:val="21"/>
              </w:rPr>
              <w:t>54000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544"/>
              <w:jc w:val="left"/>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&lt;1.5</w:t>
            </w:r>
          </w:p>
        </w:tc>
        <w:tc>
          <w:tcPr>
            <w:tcW w:w="1135" w:type="dxa"/>
          </w:tcPr>
          <w:p>
            <w:pPr>
              <w:pStyle w:val="TableParagraph"/>
              <w:spacing w:before="22"/>
              <w:ind w:left="21" w:right="15"/>
              <w:rPr>
                <w:rFonts w:ascii="Times New Roman"/>
                <w:sz w:val="21"/>
              </w:rPr>
            </w:pPr>
            <w:r>
              <w:rPr>
                <w:rFonts w:ascii="Times New Roman"/>
                <w:sz w:val="21"/>
              </w:rPr>
              <w:t>&lt;1.5</w:t>
            </w:r>
          </w:p>
        </w:tc>
        <w:tc>
          <w:tcPr>
            <w:tcW w:w="1133" w:type="dxa"/>
          </w:tcPr>
          <w:p>
            <w:pPr>
              <w:pStyle w:val="TableParagraph"/>
              <w:spacing w:before="22"/>
              <w:ind w:left="6" w:right="3"/>
              <w:rPr>
                <w:rFonts w:ascii="Times New Roman"/>
                <w:sz w:val="21"/>
              </w:rPr>
            </w:pPr>
            <w:r>
              <w:rPr>
                <w:rFonts w:ascii="Times New Roman"/>
                <w:sz w:val="21"/>
              </w:rPr>
              <w:t>&lt;1.5</w:t>
            </w:r>
          </w:p>
        </w:tc>
        <w:tc>
          <w:tcPr>
            <w:tcW w:w="1063" w:type="dxa"/>
          </w:tcPr>
          <w:p>
            <w:pPr>
              <w:pStyle w:val="TableParagraph"/>
              <w:spacing w:before="22"/>
              <w:ind w:left="126" w:right="120"/>
              <w:rPr>
                <w:rFonts w:ascii="Times New Roman"/>
                <w:sz w:val="21"/>
              </w:rPr>
            </w:pPr>
            <w:r>
              <w:rPr>
                <w:rFonts w:ascii="Times New Roman"/>
                <w:sz w:val="21"/>
              </w:rPr>
              <w:t>&lt;1.5</w:t>
            </w:r>
          </w:p>
        </w:tc>
        <w:tc>
          <w:tcPr>
            <w:tcW w:w="1347" w:type="dxa"/>
          </w:tcPr>
          <w:p>
            <w:pPr>
              <w:pStyle w:val="TableParagraph"/>
              <w:spacing w:before="22"/>
              <w:ind w:left="285" w:right="279"/>
              <w:rPr>
                <w:rFonts w:ascii="Times New Roman"/>
                <w:sz w:val="21"/>
              </w:rPr>
            </w:pPr>
            <w:r>
              <w:rPr>
                <w:rFonts w:ascii="Times New Roman"/>
                <w:sz w:val="21"/>
              </w:rPr>
              <w:t>616000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376"/>
              <w:jc w:val="left"/>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&lt;1.1</w:t>
            </w:r>
          </w:p>
        </w:tc>
        <w:tc>
          <w:tcPr>
            <w:tcW w:w="1135" w:type="dxa"/>
          </w:tcPr>
          <w:p>
            <w:pPr>
              <w:pStyle w:val="TableParagraph"/>
              <w:spacing w:before="20"/>
              <w:ind w:left="21" w:right="15"/>
              <w:rPr>
                <w:rFonts w:ascii="Times New Roman"/>
                <w:sz w:val="21"/>
              </w:rPr>
            </w:pPr>
            <w:r>
              <w:rPr>
                <w:rFonts w:ascii="Times New Roman"/>
                <w:sz w:val="21"/>
              </w:rPr>
              <w:t>&lt;1.1</w:t>
            </w:r>
          </w:p>
        </w:tc>
        <w:tc>
          <w:tcPr>
            <w:tcW w:w="1133" w:type="dxa"/>
          </w:tcPr>
          <w:p>
            <w:pPr>
              <w:pStyle w:val="TableParagraph"/>
              <w:spacing w:before="20"/>
              <w:ind w:left="6" w:right="3"/>
              <w:rPr>
                <w:rFonts w:ascii="Times New Roman"/>
                <w:sz w:val="21"/>
              </w:rPr>
            </w:pPr>
            <w:r>
              <w:rPr>
                <w:rFonts w:ascii="Times New Roman"/>
                <w:sz w:val="21"/>
              </w:rPr>
              <w:t>&lt;1.1</w:t>
            </w:r>
          </w:p>
        </w:tc>
        <w:tc>
          <w:tcPr>
            <w:tcW w:w="1063" w:type="dxa"/>
          </w:tcPr>
          <w:p>
            <w:pPr>
              <w:pStyle w:val="TableParagraph"/>
              <w:spacing w:before="20"/>
              <w:ind w:left="126" w:right="120"/>
              <w:rPr>
                <w:rFonts w:ascii="Times New Roman"/>
                <w:sz w:val="21"/>
              </w:rPr>
            </w:pPr>
            <w:r>
              <w:rPr>
                <w:rFonts w:ascii="Times New Roman"/>
                <w:sz w:val="21"/>
              </w:rPr>
              <w:t>&lt;1.1</w:t>
            </w:r>
          </w:p>
        </w:tc>
        <w:tc>
          <w:tcPr>
            <w:tcW w:w="1347" w:type="dxa"/>
          </w:tcPr>
          <w:p>
            <w:pPr>
              <w:pStyle w:val="TableParagraph"/>
              <w:spacing w:before="20"/>
              <w:ind w:left="285" w:right="279"/>
              <w:rPr>
                <w:rFonts w:ascii="Times New Roman"/>
                <w:sz w:val="21"/>
              </w:rPr>
            </w:pPr>
            <w:r>
              <w:rPr>
                <w:rFonts w:ascii="Times New Roman"/>
                <w:sz w:val="21"/>
              </w:rPr>
              <w:t>5000</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5" w:lineRule="exact" w:before="8"/>
              <w:ind w:right="212"/>
              <w:jc w:val="right"/>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&lt;1.2</w:t>
            </w:r>
          </w:p>
        </w:tc>
        <w:tc>
          <w:tcPr>
            <w:tcW w:w="1135" w:type="dxa"/>
          </w:tcPr>
          <w:p>
            <w:pPr>
              <w:pStyle w:val="TableParagraph"/>
              <w:spacing w:line="241" w:lineRule="exact" w:before="22"/>
              <w:ind w:left="21" w:right="15"/>
              <w:rPr>
                <w:rFonts w:ascii="Times New Roman"/>
                <w:sz w:val="21"/>
              </w:rPr>
            </w:pPr>
            <w:r>
              <w:rPr>
                <w:rFonts w:ascii="Times New Roman"/>
                <w:sz w:val="21"/>
              </w:rPr>
              <w:t>&lt;1.2</w:t>
            </w:r>
          </w:p>
        </w:tc>
        <w:tc>
          <w:tcPr>
            <w:tcW w:w="1133" w:type="dxa"/>
          </w:tcPr>
          <w:p>
            <w:pPr>
              <w:pStyle w:val="TableParagraph"/>
              <w:spacing w:line="241" w:lineRule="exact" w:before="22"/>
              <w:ind w:left="6" w:right="3"/>
              <w:rPr>
                <w:rFonts w:ascii="Times New Roman"/>
                <w:sz w:val="21"/>
              </w:rPr>
            </w:pPr>
            <w:r>
              <w:rPr>
                <w:rFonts w:ascii="Times New Roman"/>
                <w:sz w:val="21"/>
              </w:rPr>
              <w:t>&lt;1.2</w:t>
            </w:r>
          </w:p>
        </w:tc>
        <w:tc>
          <w:tcPr>
            <w:tcW w:w="1063" w:type="dxa"/>
          </w:tcPr>
          <w:p>
            <w:pPr>
              <w:pStyle w:val="TableParagraph"/>
              <w:spacing w:line="241" w:lineRule="exact" w:before="22"/>
              <w:ind w:left="126" w:right="120"/>
              <w:rPr>
                <w:rFonts w:ascii="Times New Roman"/>
                <w:sz w:val="21"/>
              </w:rPr>
            </w:pPr>
            <w:r>
              <w:rPr>
                <w:rFonts w:ascii="Times New Roman"/>
                <w:sz w:val="21"/>
              </w:rPr>
              <w:t>&lt;1.2</w:t>
            </w:r>
          </w:p>
        </w:tc>
        <w:tc>
          <w:tcPr>
            <w:tcW w:w="1347" w:type="dxa"/>
          </w:tcPr>
          <w:p>
            <w:pPr>
              <w:pStyle w:val="TableParagraph"/>
              <w:spacing w:line="241" w:lineRule="exact" w:before="22"/>
              <w:ind w:left="285" w:right="279"/>
              <w:rPr>
                <w:rFonts w:ascii="Times New Roman"/>
                <w:sz w:val="21"/>
              </w:rPr>
            </w:pPr>
            <w:r>
              <w:rPr>
                <w:rFonts w:ascii="Times New Roman"/>
                <w:sz w:val="21"/>
              </w:rPr>
              <w:t>10000</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right="212"/>
              <w:jc w:val="right"/>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6800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544"/>
              <w:jc w:val="left"/>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&lt;1.4</w:t>
            </w:r>
          </w:p>
        </w:tc>
        <w:tc>
          <w:tcPr>
            <w:tcW w:w="1135" w:type="dxa"/>
          </w:tcPr>
          <w:p>
            <w:pPr>
              <w:pStyle w:val="TableParagraph"/>
              <w:spacing w:before="20"/>
              <w:ind w:left="21" w:right="15"/>
              <w:rPr>
                <w:rFonts w:ascii="Times New Roman"/>
                <w:sz w:val="21"/>
              </w:rPr>
            </w:pPr>
            <w:r>
              <w:rPr>
                <w:rFonts w:ascii="Times New Roman"/>
                <w:sz w:val="21"/>
              </w:rPr>
              <w:t>&lt;1.4</w:t>
            </w:r>
          </w:p>
        </w:tc>
        <w:tc>
          <w:tcPr>
            <w:tcW w:w="1133" w:type="dxa"/>
          </w:tcPr>
          <w:p>
            <w:pPr>
              <w:pStyle w:val="TableParagraph"/>
              <w:spacing w:before="20"/>
              <w:ind w:left="6" w:right="3"/>
              <w:rPr>
                <w:rFonts w:ascii="Times New Roman"/>
                <w:sz w:val="21"/>
              </w:rPr>
            </w:pPr>
            <w:r>
              <w:rPr>
                <w:rFonts w:ascii="Times New Roman"/>
                <w:sz w:val="21"/>
              </w:rPr>
              <w:t>&lt;1.4</w:t>
            </w:r>
          </w:p>
        </w:tc>
        <w:tc>
          <w:tcPr>
            <w:tcW w:w="1063" w:type="dxa"/>
          </w:tcPr>
          <w:p>
            <w:pPr>
              <w:pStyle w:val="TableParagraph"/>
              <w:spacing w:before="20"/>
              <w:ind w:left="126" w:right="120"/>
              <w:rPr>
                <w:rFonts w:ascii="Times New Roman"/>
                <w:sz w:val="21"/>
              </w:rPr>
            </w:pPr>
            <w:r>
              <w:rPr>
                <w:rFonts w:ascii="Times New Roman"/>
                <w:sz w:val="21"/>
              </w:rPr>
              <w:t>&lt;1.4</w:t>
            </w:r>
          </w:p>
        </w:tc>
        <w:tc>
          <w:tcPr>
            <w:tcW w:w="1347" w:type="dxa"/>
          </w:tcPr>
          <w:p>
            <w:pPr>
              <w:pStyle w:val="TableParagraph"/>
              <w:spacing w:before="20"/>
              <w:ind w:left="285" w:right="279"/>
              <w:rPr>
                <w:rFonts w:ascii="Times New Roman"/>
                <w:sz w:val="21"/>
              </w:rPr>
            </w:pPr>
            <w:r>
              <w:rPr>
                <w:rFonts w:ascii="Times New Roman"/>
                <w:sz w:val="21"/>
              </w:rPr>
              <w:t>53000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right="291"/>
              <w:jc w:val="right"/>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&lt;1.3</w:t>
            </w:r>
          </w:p>
        </w:tc>
        <w:tc>
          <w:tcPr>
            <w:tcW w:w="1135" w:type="dxa"/>
          </w:tcPr>
          <w:p>
            <w:pPr>
              <w:pStyle w:val="TableParagraph"/>
              <w:spacing w:before="22"/>
              <w:ind w:left="21" w:right="15"/>
              <w:rPr>
                <w:rFonts w:ascii="Times New Roman"/>
                <w:sz w:val="21"/>
              </w:rPr>
            </w:pPr>
            <w:r>
              <w:rPr>
                <w:rFonts w:ascii="Times New Roman"/>
                <w:sz w:val="21"/>
              </w:rPr>
              <w:t>&lt;1.3</w:t>
            </w:r>
          </w:p>
        </w:tc>
        <w:tc>
          <w:tcPr>
            <w:tcW w:w="1133" w:type="dxa"/>
          </w:tcPr>
          <w:p>
            <w:pPr>
              <w:pStyle w:val="TableParagraph"/>
              <w:spacing w:before="22"/>
              <w:ind w:left="6" w:right="3"/>
              <w:rPr>
                <w:rFonts w:ascii="Times New Roman"/>
                <w:sz w:val="21"/>
              </w:rPr>
            </w:pPr>
            <w:r>
              <w:rPr>
                <w:rFonts w:ascii="Times New Roman"/>
                <w:sz w:val="21"/>
              </w:rPr>
              <w:t>&lt;1.3</w:t>
            </w:r>
          </w:p>
        </w:tc>
        <w:tc>
          <w:tcPr>
            <w:tcW w:w="1063" w:type="dxa"/>
          </w:tcPr>
          <w:p>
            <w:pPr>
              <w:pStyle w:val="TableParagraph"/>
              <w:spacing w:before="22"/>
              <w:ind w:left="126" w:right="120"/>
              <w:rPr>
                <w:rFonts w:ascii="Times New Roman"/>
                <w:sz w:val="21"/>
              </w:rPr>
            </w:pPr>
            <w:r>
              <w:rPr>
                <w:rFonts w:ascii="Times New Roman"/>
                <w:sz w:val="21"/>
              </w:rPr>
              <w:t>&lt;1.3</w:t>
            </w:r>
          </w:p>
        </w:tc>
        <w:tc>
          <w:tcPr>
            <w:tcW w:w="1347" w:type="dxa"/>
          </w:tcPr>
          <w:p>
            <w:pPr>
              <w:pStyle w:val="TableParagraph"/>
              <w:spacing w:before="22"/>
              <w:ind w:left="285" w:right="279"/>
              <w:rPr>
                <w:rFonts w:ascii="Times New Roman"/>
                <w:sz w:val="21"/>
              </w:rPr>
            </w:pPr>
            <w:r>
              <w:rPr>
                <w:rFonts w:ascii="Times New Roman"/>
                <w:sz w:val="21"/>
              </w:rPr>
              <w:t>840000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right="291"/>
              <w:jc w:val="right"/>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&lt;1.2</w:t>
            </w:r>
          </w:p>
        </w:tc>
        <w:tc>
          <w:tcPr>
            <w:tcW w:w="1135" w:type="dxa"/>
          </w:tcPr>
          <w:p>
            <w:pPr>
              <w:pStyle w:val="TableParagraph"/>
              <w:spacing w:before="20"/>
              <w:ind w:left="21" w:right="15"/>
              <w:rPr>
                <w:rFonts w:ascii="Times New Roman"/>
                <w:sz w:val="21"/>
              </w:rPr>
            </w:pPr>
            <w:r>
              <w:rPr>
                <w:rFonts w:ascii="Times New Roman"/>
                <w:sz w:val="21"/>
              </w:rPr>
              <w:t>&lt;1.2</w:t>
            </w:r>
          </w:p>
        </w:tc>
        <w:tc>
          <w:tcPr>
            <w:tcW w:w="1133" w:type="dxa"/>
          </w:tcPr>
          <w:p>
            <w:pPr>
              <w:pStyle w:val="TableParagraph"/>
              <w:spacing w:before="20"/>
              <w:ind w:left="6" w:right="3"/>
              <w:rPr>
                <w:rFonts w:ascii="Times New Roman"/>
                <w:sz w:val="21"/>
              </w:rPr>
            </w:pPr>
            <w:r>
              <w:rPr>
                <w:rFonts w:ascii="Times New Roman"/>
                <w:sz w:val="21"/>
              </w:rPr>
              <w:t>&lt;1.2</w:t>
            </w:r>
          </w:p>
        </w:tc>
        <w:tc>
          <w:tcPr>
            <w:tcW w:w="1063" w:type="dxa"/>
          </w:tcPr>
          <w:p>
            <w:pPr>
              <w:pStyle w:val="TableParagraph"/>
              <w:spacing w:before="20"/>
              <w:ind w:left="126" w:right="120"/>
              <w:rPr>
                <w:rFonts w:ascii="Times New Roman"/>
                <w:sz w:val="21"/>
              </w:rPr>
            </w:pPr>
            <w:r>
              <w:rPr>
                <w:rFonts w:ascii="Times New Roman"/>
                <w:sz w:val="21"/>
              </w:rPr>
              <w:t>&lt;1.2</w:t>
            </w:r>
          </w:p>
        </w:tc>
        <w:tc>
          <w:tcPr>
            <w:tcW w:w="1347" w:type="dxa"/>
          </w:tcPr>
          <w:p>
            <w:pPr>
              <w:pStyle w:val="TableParagraph"/>
              <w:spacing w:before="20"/>
              <w:ind w:left="285" w:right="279"/>
              <w:rPr>
                <w:rFonts w:ascii="Times New Roman"/>
                <w:sz w:val="21"/>
              </w:rPr>
            </w:pPr>
            <w:r>
              <w:rPr>
                <w:rFonts w:ascii="Times New Roman"/>
                <w:sz w:val="21"/>
              </w:rPr>
              <w:t>2800</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5" w:lineRule="exact" w:before="8"/>
              <w:ind w:left="544"/>
              <w:jc w:val="left"/>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&lt;1.2</w:t>
            </w:r>
          </w:p>
        </w:tc>
        <w:tc>
          <w:tcPr>
            <w:tcW w:w="1135" w:type="dxa"/>
          </w:tcPr>
          <w:p>
            <w:pPr>
              <w:pStyle w:val="TableParagraph"/>
              <w:spacing w:line="241" w:lineRule="exact" w:before="22"/>
              <w:ind w:left="21" w:right="15"/>
              <w:rPr>
                <w:rFonts w:ascii="Times New Roman"/>
                <w:sz w:val="21"/>
              </w:rPr>
            </w:pPr>
            <w:r>
              <w:rPr>
                <w:rFonts w:ascii="Times New Roman"/>
                <w:sz w:val="21"/>
              </w:rPr>
              <w:t>&lt;1.2</w:t>
            </w:r>
          </w:p>
        </w:tc>
        <w:tc>
          <w:tcPr>
            <w:tcW w:w="1133" w:type="dxa"/>
          </w:tcPr>
          <w:p>
            <w:pPr>
              <w:pStyle w:val="TableParagraph"/>
              <w:spacing w:line="241" w:lineRule="exact" w:before="22"/>
              <w:ind w:left="6" w:right="3"/>
              <w:rPr>
                <w:rFonts w:ascii="Times New Roman"/>
                <w:sz w:val="21"/>
              </w:rPr>
            </w:pPr>
            <w:r>
              <w:rPr>
                <w:rFonts w:ascii="Times New Roman"/>
                <w:sz w:val="21"/>
              </w:rPr>
              <w:t>&lt;1.2</w:t>
            </w:r>
          </w:p>
        </w:tc>
        <w:tc>
          <w:tcPr>
            <w:tcW w:w="1063" w:type="dxa"/>
          </w:tcPr>
          <w:p>
            <w:pPr>
              <w:pStyle w:val="TableParagraph"/>
              <w:spacing w:line="241" w:lineRule="exact" w:before="22"/>
              <w:ind w:left="126" w:right="120"/>
              <w:rPr>
                <w:rFonts w:ascii="Times New Roman"/>
                <w:sz w:val="21"/>
              </w:rPr>
            </w:pPr>
            <w:r>
              <w:rPr>
                <w:rFonts w:ascii="Times New Roman"/>
                <w:sz w:val="21"/>
              </w:rPr>
              <w:t>&lt;1.2</w:t>
            </w:r>
          </w:p>
        </w:tc>
        <w:tc>
          <w:tcPr>
            <w:tcW w:w="1347" w:type="dxa"/>
          </w:tcPr>
          <w:p>
            <w:pPr>
              <w:pStyle w:val="TableParagraph"/>
              <w:spacing w:line="241" w:lineRule="exact" w:before="22"/>
              <w:ind w:left="285" w:right="279"/>
              <w:rPr>
                <w:rFonts w:ascii="Times New Roman"/>
                <w:sz w:val="21"/>
              </w:rPr>
            </w:pPr>
            <w:r>
              <w:rPr>
                <w:rFonts w:ascii="Times New Roman"/>
                <w:sz w:val="21"/>
              </w:rPr>
              <w:t>2800</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right="291"/>
              <w:jc w:val="right"/>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500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647"/>
              <w:jc w:val="left"/>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&lt;1.0</w:t>
            </w:r>
          </w:p>
        </w:tc>
        <w:tc>
          <w:tcPr>
            <w:tcW w:w="1135" w:type="dxa"/>
          </w:tcPr>
          <w:p>
            <w:pPr>
              <w:pStyle w:val="TableParagraph"/>
              <w:spacing w:before="20"/>
              <w:ind w:left="21" w:right="15"/>
              <w:rPr>
                <w:rFonts w:ascii="Times New Roman"/>
                <w:sz w:val="21"/>
              </w:rPr>
            </w:pPr>
            <w:r>
              <w:rPr>
                <w:rFonts w:ascii="Times New Roman"/>
                <w:sz w:val="21"/>
              </w:rPr>
              <w:t>&lt;1.0</w:t>
            </w:r>
          </w:p>
        </w:tc>
        <w:tc>
          <w:tcPr>
            <w:tcW w:w="1133" w:type="dxa"/>
          </w:tcPr>
          <w:p>
            <w:pPr>
              <w:pStyle w:val="TableParagraph"/>
              <w:spacing w:before="20"/>
              <w:ind w:left="6" w:right="3"/>
              <w:rPr>
                <w:rFonts w:ascii="Times New Roman"/>
                <w:sz w:val="21"/>
              </w:rPr>
            </w:pPr>
            <w:r>
              <w:rPr>
                <w:rFonts w:ascii="Times New Roman"/>
                <w:sz w:val="21"/>
              </w:rPr>
              <w:t>&lt;1.0</w:t>
            </w:r>
          </w:p>
        </w:tc>
        <w:tc>
          <w:tcPr>
            <w:tcW w:w="1063" w:type="dxa"/>
          </w:tcPr>
          <w:p>
            <w:pPr>
              <w:pStyle w:val="TableParagraph"/>
              <w:spacing w:before="20"/>
              <w:ind w:left="126" w:right="120"/>
              <w:rPr>
                <w:rFonts w:ascii="Times New Roman"/>
                <w:sz w:val="21"/>
              </w:rPr>
            </w:pPr>
            <w:r>
              <w:rPr>
                <w:rFonts w:ascii="Times New Roman"/>
                <w:sz w:val="21"/>
              </w:rPr>
              <w:t>&lt;1.0</w:t>
            </w:r>
          </w:p>
        </w:tc>
        <w:tc>
          <w:tcPr>
            <w:tcW w:w="1347" w:type="dxa"/>
          </w:tcPr>
          <w:p>
            <w:pPr>
              <w:pStyle w:val="TableParagraph"/>
              <w:spacing w:before="20"/>
              <w:ind w:left="285" w:right="279"/>
              <w:rPr>
                <w:rFonts w:ascii="Times New Roman"/>
                <w:sz w:val="21"/>
              </w:rPr>
            </w:pPr>
            <w:r>
              <w:rPr>
                <w:rFonts w:ascii="Times New Roman"/>
                <w:sz w:val="21"/>
              </w:rPr>
              <w:t>430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sz w:val="21"/>
              </w:rPr>
              <w:t>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&lt;1.9</w:t>
            </w:r>
          </w:p>
        </w:tc>
        <w:tc>
          <w:tcPr>
            <w:tcW w:w="1135" w:type="dxa"/>
          </w:tcPr>
          <w:p>
            <w:pPr>
              <w:pStyle w:val="TableParagraph"/>
              <w:spacing w:before="22"/>
              <w:ind w:left="21" w:right="15"/>
              <w:rPr>
                <w:rFonts w:ascii="Times New Roman"/>
                <w:sz w:val="21"/>
              </w:rPr>
            </w:pPr>
            <w:r>
              <w:rPr>
                <w:rFonts w:ascii="Times New Roman"/>
                <w:sz w:val="21"/>
              </w:rPr>
              <w:t>&lt;1.9</w:t>
            </w:r>
          </w:p>
        </w:tc>
        <w:tc>
          <w:tcPr>
            <w:tcW w:w="1133" w:type="dxa"/>
          </w:tcPr>
          <w:p>
            <w:pPr>
              <w:pStyle w:val="TableParagraph"/>
              <w:spacing w:before="22"/>
              <w:ind w:left="6" w:right="3"/>
              <w:rPr>
                <w:rFonts w:ascii="Times New Roman"/>
                <w:sz w:val="21"/>
              </w:rPr>
            </w:pPr>
            <w:r>
              <w:rPr>
                <w:rFonts w:ascii="Times New Roman"/>
                <w:sz w:val="21"/>
              </w:rPr>
              <w:t>&lt;1.9</w:t>
            </w:r>
          </w:p>
        </w:tc>
        <w:tc>
          <w:tcPr>
            <w:tcW w:w="1063" w:type="dxa"/>
          </w:tcPr>
          <w:p>
            <w:pPr>
              <w:pStyle w:val="TableParagraph"/>
              <w:spacing w:before="22"/>
              <w:ind w:left="126" w:right="120"/>
              <w:rPr>
                <w:rFonts w:ascii="Times New Roman"/>
                <w:sz w:val="21"/>
              </w:rPr>
            </w:pPr>
            <w:r>
              <w:rPr>
                <w:rFonts w:ascii="Times New Roman"/>
                <w:sz w:val="21"/>
              </w:rPr>
              <w:t>&lt;1.9</w:t>
            </w:r>
          </w:p>
        </w:tc>
        <w:tc>
          <w:tcPr>
            <w:tcW w:w="1347" w:type="dxa"/>
          </w:tcPr>
          <w:p>
            <w:pPr>
              <w:pStyle w:val="TableParagraph"/>
              <w:spacing w:before="22"/>
              <w:ind w:left="285" w:right="279"/>
              <w:rPr>
                <w:rFonts w:ascii="Times New Roman"/>
                <w:sz w:val="21"/>
              </w:rPr>
            </w:pPr>
            <w:r>
              <w:rPr>
                <w:rFonts w:ascii="Times New Roman"/>
                <w:sz w:val="21"/>
              </w:rPr>
              <w:t>4000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753"/>
              <w:jc w:val="left"/>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&lt;1.2</w:t>
            </w:r>
          </w:p>
        </w:tc>
        <w:tc>
          <w:tcPr>
            <w:tcW w:w="1135" w:type="dxa"/>
          </w:tcPr>
          <w:p>
            <w:pPr>
              <w:pStyle w:val="TableParagraph"/>
              <w:spacing w:before="20"/>
              <w:ind w:left="21" w:right="15"/>
              <w:rPr>
                <w:rFonts w:ascii="Times New Roman"/>
                <w:sz w:val="21"/>
              </w:rPr>
            </w:pPr>
            <w:r>
              <w:rPr>
                <w:rFonts w:ascii="Times New Roman"/>
                <w:sz w:val="21"/>
              </w:rPr>
              <w:t>&lt;1.2</w:t>
            </w:r>
          </w:p>
        </w:tc>
        <w:tc>
          <w:tcPr>
            <w:tcW w:w="1133" w:type="dxa"/>
          </w:tcPr>
          <w:p>
            <w:pPr>
              <w:pStyle w:val="TableParagraph"/>
              <w:spacing w:before="20"/>
              <w:ind w:left="6" w:right="3"/>
              <w:rPr>
                <w:rFonts w:ascii="Times New Roman"/>
                <w:sz w:val="21"/>
              </w:rPr>
            </w:pPr>
            <w:r>
              <w:rPr>
                <w:rFonts w:ascii="Times New Roman"/>
                <w:sz w:val="21"/>
              </w:rPr>
              <w:t>&lt;1.2</w:t>
            </w:r>
          </w:p>
        </w:tc>
        <w:tc>
          <w:tcPr>
            <w:tcW w:w="1063" w:type="dxa"/>
          </w:tcPr>
          <w:p>
            <w:pPr>
              <w:pStyle w:val="TableParagraph"/>
              <w:spacing w:before="20"/>
              <w:ind w:left="126" w:right="120"/>
              <w:rPr>
                <w:rFonts w:ascii="Times New Roman"/>
                <w:sz w:val="21"/>
              </w:rPr>
            </w:pPr>
            <w:r>
              <w:rPr>
                <w:rFonts w:ascii="Times New Roman"/>
                <w:sz w:val="21"/>
              </w:rPr>
              <w:t>&lt;1.2</w:t>
            </w:r>
          </w:p>
        </w:tc>
        <w:tc>
          <w:tcPr>
            <w:tcW w:w="1347" w:type="dxa"/>
          </w:tcPr>
          <w:p>
            <w:pPr>
              <w:pStyle w:val="TableParagraph"/>
              <w:spacing w:before="20"/>
              <w:ind w:left="285" w:right="279"/>
              <w:rPr>
                <w:rFonts w:ascii="Times New Roman"/>
                <w:sz w:val="21"/>
              </w:rPr>
            </w:pPr>
            <w:r>
              <w:rPr>
                <w:rFonts w:ascii="Times New Roman"/>
                <w:sz w:val="21"/>
              </w:rPr>
              <w:t>270000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482"/>
              <w:jc w:val="left"/>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&lt;1.5</w:t>
            </w:r>
          </w:p>
        </w:tc>
        <w:tc>
          <w:tcPr>
            <w:tcW w:w="1135" w:type="dxa"/>
          </w:tcPr>
          <w:p>
            <w:pPr>
              <w:pStyle w:val="TableParagraph"/>
              <w:spacing w:before="22"/>
              <w:ind w:left="21" w:right="15"/>
              <w:rPr>
                <w:rFonts w:ascii="Times New Roman"/>
                <w:sz w:val="21"/>
              </w:rPr>
            </w:pPr>
            <w:r>
              <w:rPr>
                <w:rFonts w:ascii="Times New Roman"/>
                <w:sz w:val="21"/>
              </w:rPr>
              <w:t>&lt;1.5</w:t>
            </w:r>
          </w:p>
        </w:tc>
        <w:tc>
          <w:tcPr>
            <w:tcW w:w="1133" w:type="dxa"/>
          </w:tcPr>
          <w:p>
            <w:pPr>
              <w:pStyle w:val="TableParagraph"/>
              <w:spacing w:before="22"/>
              <w:ind w:left="6" w:right="3"/>
              <w:rPr>
                <w:rFonts w:ascii="Times New Roman"/>
                <w:sz w:val="21"/>
              </w:rPr>
            </w:pPr>
            <w:r>
              <w:rPr>
                <w:rFonts w:ascii="Times New Roman"/>
                <w:sz w:val="21"/>
              </w:rPr>
              <w:t>&lt;1.5</w:t>
            </w:r>
          </w:p>
        </w:tc>
        <w:tc>
          <w:tcPr>
            <w:tcW w:w="1063" w:type="dxa"/>
          </w:tcPr>
          <w:p>
            <w:pPr>
              <w:pStyle w:val="TableParagraph"/>
              <w:spacing w:before="22"/>
              <w:ind w:left="126" w:right="120"/>
              <w:rPr>
                <w:rFonts w:ascii="Times New Roman"/>
                <w:sz w:val="21"/>
              </w:rPr>
            </w:pPr>
            <w:r>
              <w:rPr>
                <w:rFonts w:ascii="Times New Roman"/>
                <w:sz w:val="21"/>
              </w:rPr>
              <w:t>&lt;1.5</w:t>
            </w:r>
          </w:p>
        </w:tc>
        <w:tc>
          <w:tcPr>
            <w:tcW w:w="1347" w:type="dxa"/>
          </w:tcPr>
          <w:p>
            <w:pPr>
              <w:pStyle w:val="TableParagraph"/>
              <w:spacing w:before="22"/>
              <w:ind w:left="285" w:right="279"/>
              <w:rPr>
                <w:rFonts w:ascii="Times New Roman"/>
                <w:sz w:val="21"/>
              </w:rPr>
            </w:pPr>
            <w:r>
              <w:rPr>
                <w:rFonts w:ascii="Times New Roman"/>
                <w:sz w:val="21"/>
              </w:rPr>
              <w:t>560000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482"/>
              <w:jc w:val="left"/>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&lt;1.5</w:t>
            </w:r>
          </w:p>
        </w:tc>
        <w:tc>
          <w:tcPr>
            <w:tcW w:w="1135" w:type="dxa"/>
          </w:tcPr>
          <w:p>
            <w:pPr>
              <w:pStyle w:val="TableParagraph"/>
              <w:spacing w:before="20"/>
              <w:ind w:left="21" w:right="15"/>
              <w:rPr>
                <w:rFonts w:ascii="Times New Roman"/>
                <w:sz w:val="21"/>
              </w:rPr>
            </w:pPr>
            <w:r>
              <w:rPr>
                <w:rFonts w:ascii="Times New Roman"/>
                <w:sz w:val="21"/>
              </w:rPr>
              <w:t>&lt;1.5</w:t>
            </w:r>
          </w:p>
        </w:tc>
        <w:tc>
          <w:tcPr>
            <w:tcW w:w="1133" w:type="dxa"/>
          </w:tcPr>
          <w:p>
            <w:pPr>
              <w:pStyle w:val="TableParagraph"/>
              <w:spacing w:before="20"/>
              <w:ind w:left="6" w:right="3"/>
              <w:rPr>
                <w:rFonts w:ascii="Times New Roman"/>
                <w:sz w:val="21"/>
              </w:rPr>
            </w:pPr>
            <w:r>
              <w:rPr>
                <w:rFonts w:ascii="Times New Roman"/>
                <w:sz w:val="21"/>
              </w:rPr>
              <w:t>&lt;1.5</w:t>
            </w:r>
          </w:p>
        </w:tc>
        <w:tc>
          <w:tcPr>
            <w:tcW w:w="1063" w:type="dxa"/>
          </w:tcPr>
          <w:p>
            <w:pPr>
              <w:pStyle w:val="TableParagraph"/>
              <w:spacing w:before="20"/>
              <w:ind w:left="126" w:right="120"/>
              <w:rPr>
                <w:rFonts w:ascii="Times New Roman"/>
                <w:sz w:val="21"/>
              </w:rPr>
            </w:pPr>
            <w:r>
              <w:rPr>
                <w:rFonts w:ascii="Times New Roman"/>
                <w:sz w:val="21"/>
              </w:rPr>
              <w:t>&lt;1.5</w:t>
            </w:r>
          </w:p>
        </w:tc>
        <w:tc>
          <w:tcPr>
            <w:tcW w:w="1347" w:type="dxa"/>
          </w:tcPr>
          <w:p>
            <w:pPr>
              <w:pStyle w:val="TableParagraph"/>
              <w:spacing w:before="20"/>
              <w:ind w:left="285" w:right="279"/>
              <w:rPr>
                <w:rFonts w:ascii="Times New Roman"/>
                <w:sz w:val="21"/>
              </w:rPr>
            </w:pPr>
            <w:r>
              <w:rPr>
                <w:rFonts w:ascii="Times New Roman"/>
                <w:sz w:val="21"/>
              </w:rPr>
              <w:t>20000</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7" w:lineRule="exact" w:before="6"/>
              <w:ind w:left="753"/>
              <w:jc w:val="left"/>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&lt;1.2</w:t>
            </w:r>
          </w:p>
        </w:tc>
        <w:tc>
          <w:tcPr>
            <w:tcW w:w="1135" w:type="dxa"/>
          </w:tcPr>
          <w:p>
            <w:pPr>
              <w:pStyle w:val="TableParagraph"/>
              <w:spacing w:line="241" w:lineRule="exact" w:before="22"/>
              <w:ind w:left="21" w:right="15"/>
              <w:rPr>
                <w:rFonts w:ascii="Times New Roman"/>
                <w:sz w:val="21"/>
              </w:rPr>
            </w:pPr>
            <w:r>
              <w:rPr>
                <w:rFonts w:ascii="Times New Roman"/>
                <w:sz w:val="21"/>
              </w:rPr>
              <w:t>&lt;1.2</w:t>
            </w:r>
          </w:p>
        </w:tc>
        <w:tc>
          <w:tcPr>
            <w:tcW w:w="1133" w:type="dxa"/>
          </w:tcPr>
          <w:p>
            <w:pPr>
              <w:pStyle w:val="TableParagraph"/>
              <w:spacing w:line="241" w:lineRule="exact" w:before="22"/>
              <w:ind w:left="6" w:right="3"/>
              <w:rPr>
                <w:rFonts w:ascii="Times New Roman"/>
                <w:sz w:val="21"/>
              </w:rPr>
            </w:pPr>
            <w:r>
              <w:rPr>
                <w:rFonts w:ascii="Times New Roman"/>
                <w:sz w:val="21"/>
              </w:rPr>
              <w:t>&lt;1.2</w:t>
            </w:r>
          </w:p>
        </w:tc>
        <w:tc>
          <w:tcPr>
            <w:tcW w:w="1063" w:type="dxa"/>
          </w:tcPr>
          <w:p>
            <w:pPr>
              <w:pStyle w:val="TableParagraph"/>
              <w:spacing w:line="241" w:lineRule="exact" w:before="22"/>
              <w:ind w:left="126" w:right="120"/>
              <w:rPr>
                <w:rFonts w:ascii="Times New Roman"/>
                <w:sz w:val="21"/>
              </w:rPr>
            </w:pPr>
            <w:r>
              <w:rPr>
                <w:rFonts w:ascii="Times New Roman"/>
                <w:sz w:val="21"/>
              </w:rPr>
              <w:t>&lt;1.2</w:t>
            </w:r>
          </w:p>
        </w:tc>
        <w:tc>
          <w:tcPr>
            <w:tcW w:w="1347" w:type="dxa"/>
          </w:tcPr>
          <w:p>
            <w:pPr>
              <w:pStyle w:val="TableParagraph"/>
              <w:spacing w:line="241" w:lineRule="exact" w:before="22"/>
              <w:ind w:left="285" w:right="279"/>
              <w:rPr>
                <w:rFonts w:ascii="Times New Roman"/>
                <w:sz w:val="21"/>
              </w:rPr>
            </w:pPr>
            <w:r>
              <w:rPr>
                <w:rFonts w:ascii="Times New Roman"/>
                <w:sz w:val="21"/>
              </w:rPr>
              <w:t>28000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647"/>
              <w:jc w:val="left"/>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&lt;1.1</w:t>
            </w:r>
          </w:p>
        </w:tc>
        <w:tc>
          <w:tcPr>
            <w:tcW w:w="1135" w:type="dxa"/>
          </w:tcPr>
          <w:p>
            <w:pPr>
              <w:pStyle w:val="TableParagraph"/>
              <w:spacing w:before="22"/>
              <w:ind w:left="21" w:right="15"/>
              <w:rPr>
                <w:rFonts w:ascii="Times New Roman"/>
                <w:sz w:val="21"/>
              </w:rPr>
            </w:pPr>
            <w:r>
              <w:rPr>
                <w:rFonts w:ascii="Times New Roman"/>
                <w:sz w:val="21"/>
              </w:rPr>
              <w:t>&lt;1.1</w:t>
            </w:r>
          </w:p>
        </w:tc>
        <w:tc>
          <w:tcPr>
            <w:tcW w:w="1133" w:type="dxa"/>
          </w:tcPr>
          <w:p>
            <w:pPr>
              <w:pStyle w:val="TableParagraph"/>
              <w:spacing w:before="22"/>
              <w:ind w:left="6" w:right="3"/>
              <w:rPr>
                <w:rFonts w:ascii="Times New Roman"/>
                <w:sz w:val="21"/>
              </w:rPr>
            </w:pPr>
            <w:r>
              <w:rPr>
                <w:rFonts w:ascii="Times New Roman"/>
                <w:sz w:val="21"/>
              </w:rPr>
              <w:t>&lt;1.1</w:t>
            </w:r>
          </w:p>
        </w:tc>
        <w:tc>
          <w:tcPr>
            <w:tcW w:w="1063" w:type="dxa"/>
          </w:tcPr>
          <w:p>
            <w:pPr>
              <w:pStyle w:val="TableParagraph"/>
              <w:spacing w:before="22"/>
              <w:ind w:left="126" w:right="120"/>
              <w:rPr>
                <w:rFonts w:ascii="Times New Roman"/>
                <w:sz w:val="21"/>
              </w:rPr>
            </w:pPr>
            <w:r>
              <w:rPr>
                <w:rFonts w:ascii="Times New Roman"/>
                <w:sz w:val="21"/>
              </w:rPr>
              <w:t>&lt;1.1</w:t>
            </w:r>
          </w:p>
        </w:tc>
        <w:tc>
          <w:tcPr>
            <w:tcW w:w="1347" w:type="dxa"/>
          </w:tcPr>
          <w:p>
            <w:pPr>
              <w:pStyle w:val="TableParagraph"/>
              <w:spacing w:before="22"/>
              <w:ind w:left="285" w:right="281"/>
              <w:rPr>
                <w:rFonts w:ascii="Times New Roman"/>
                <w:sz w:val="21"/>
              </w:rPr>
            </w:pPr>
            <w:r>
              <w:rPr>
                <w:rFonts w:ascii="Times New Roman"/>
                <w:sz w:val="21"/>
              </w:rPr>
              <w:t>1290000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753"/>
              <w:jc w:val="left"/>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&lt;1.3</w:t>
            </w:r>
          </w:p>
        </w:tc>
        <w:tc>
          <w:tcPr>
            <w:tcW w:w="1135" w:type="dxa"/>
          </w:tcPr>
          <w:p>
            <w:pPr>
              <w:pStyle w:val="TableParagraph"/>
              <w:spacing w:before="20"/>
              <w:ind w:left="21" w:right="15"/>
              <w:rPr>
                <w:rFonts w:ascii="Times New Roman"/>
                <w:sz w:val="21"/>
              </w:rPr>
            </w:pPr>
            <w:r>
              <w:rPr>
                <w:rFonts w:ascii="Times New Roman"/>
                <w:sz w:val="21"/>
              </w:rPr>
              <w:t>&lt;1.3</w:t>
            </w:r>
          </w:p>
        </w:tc>
        <w:tc>
          <w:tcPr>
            <w:tcW w:w="1133" w:type="dxa"/>
          </w:tcPr>
          <w:p>
            <w:pPr>
              <w:pStyle w:val="TableParagraph"/>
              <w:spacing w:before="20"/>
              <w:ind w:left="6" w:right="3"/>
              <w:rPr>
                <w:rFonts w:ascii="Times New Roman"/>
                <w:sz w:val="21"/>
              </w:rPr>
            </w:pPr>
            <w:r>
              <w:rPr>
                <w:rFonts w:ascii="Times New Roman"/>
                <w:sz w:val="21"/>
              </w:rPr>
              <w:t>&lt;1.3</w:t>
            </w:r>
          </w:p>
        </w:tc>
        <w:tc>
          <w:tcPr>
            <w:tcW w:w="1063" w:type="dxa"/>
          </w:tcPr>
          <w:p>
            <w:pPr>
              <w:pStyle w:val="TableParagraph"/>
              <w:spacing w:before="20"/>
              <w:ind w:left="126" w:right="120"/>
              <w:rPr>
                <w:rFonts w:ascii="Times New Roman"/>
                <w:sz w:val="21"/>
              </w:rPr>
            </w:pPr>
            <w:r>
              <w:rPr>
                <w:rFonts w:ascii="Times New Roman"/>
                <w:sz w:val="21"/>
              </w:rPr>
              <w:t>&lt;1.3</w:t>
            </w:r>
          </w:p>
        </w:tc>
        <w:tc>
          <w:tcPr>
            <w:tcW w:w="1347" w:type="dxa"/>
          </w:tcPr>
          <w:p>
            <w:pPr>
              <w:pStyle w:val="TableParagraph"/>
              <w:spacing w:before="20"/>
              <w:ind w:left="285" w:right="281"/>
              <w:rPr>
                <w:rFonts w:ascii="Times New Roman"/>
                <w:sz w:val="21"/>
              </w:rPr>
            </w:pPr>
            <w:r>
              <w:rPr>
                <w:rFonts w:ascii="Times New Roman"/>
                <w:sz w:val="21"/>
              </w:rPr>
              <w:t>1200000</w:t>
            </w:r>
          </w:p>
        </w:tc>
        <w:tc>
          <w:tcPr>
            <w:tcW w:w="1008" w:type="dxa"/>
          </w:tcPr>
          <w:p>
            <w:pPr>
              <w:pStyle w:val="TableParagraph"/>
              <w:spacing w:line="257" w:lineRule="exact" w:before="6"/>
              <w:ind w:left="274" w:right="269"/>
              <w:rPr>
                <w:sz w:val="21"/>
              </w:rPr>
            </w:pPr>
            <w:r>
              <w:rPr>
                <w:sz w:val="21"/>
              </w:rPr>
              <w:t>达标</w:t>
            </w:r>
          </w:p>
        </w:tc>
      </w:tr>
      <w:tr>
        <w:trPr>
          <w:trHeight w:val="513" w:hRule="atLeast"/>
        </w:trPr>
        <w:tc>
          <w:tcPr>
            <w:tcW w:w="2521" w:type="dxa"/>
          </w:tcPr>
          <w:p>
            <w:pPr>
              <w:pStyle w:val="TableParagraph"/>
              <w:spacing w:before="1"/>
              <w:ind w:left="107" w:right="104"/>
              <w:rPr>
                <w:sz w:val="21"/>
              </w:rPr>
            </w:pPr>
            <w:r>
              <w:rPr>
                <w:sz w:val="21"/>
              </w:rPr>
              <w:t>间二甲苯</w:t>
            </w:r>
            <w:r>
              <w:rPr>
                <w:rFonts w:ascii="Times New Roman" w:eastAsia="Times New Roman"/>
                <w:sz w:val="21"/>
              </w:rPr>
              <w:t>+</w:t>
            </w:r>
            <w:r>
              <w:rPr>
                <w:sz w:val="21"/>
              </w:rPr>
              <w:t>对二甲苯</w:t>
            </w:r>
          </w:p>
          <w:p>
            <w:pPr>
              <w:pStyle w:val="TableParagraph"/>
              <w:spacing w:line="222" w:lineRule="exact" w:before="1"/>
              <w:ind w:left="109" w:right="104"/>
              <w:rPr>
                <w:rFonts w:ascii="Times New Roman" w:hAnsi="Times New Roman"/>
                <w:sz w:val="21"/>
              </w:rPr>
            </w:pPr>
            <w:r>
              <w:rPr>
                <w:rFonts w:ascii="Times New Roman" w:hAnsi="Times New Roman"/>
                <w:sz w:val="21"/>
              </w:rPr>
              <w:t>μg/kg</w:t>
            </w:r>
          </w:p>
        </w:tc>
        <w:tc>
          <w:tcPr>
            <w:tcW w:w="1140" w:type="dxa"/>
          </w:tcPr>
          <w:p>
            <w:pPr>
              <w:pStyle w:val="TableParagraph"/>
              <w:spacing w:before="137"/>
              <w:ind w:left="9" w:right="4"/>
              <w:rPr>
                <w:rFonts w:ascii="Times New Roman"/>
                <w:sz w:val="21"/>
              </w:rPr>
            </w:pPr>
            <w:r>
              <w:rPr>
                <w:rFonts w:ascii="Times New Roman"/>
                <w:sz w:val="21"/>
              </w:rPr>
              <w:t>&lt;1.2</w:t>
            </w:r>
          </w:p>
        </w:tc>
        <w:tc>
          <w:tcPr>
            <w:tcW w:w="1135" w:type="dxa"/>
          </w:tcPr>
          <w:p>
            <w:pPr>
              <w:pStyle w:val="TableParagraph"/>
              <w:spacing w:before="137"/>
              <w:ind w:left="21" w:right="15"/>
              <w:rPr>
                <w:rFonts w:ascii="Times New Roman"/>
                <w:sz w:val="21"/>
              </w:rPr>
            </w:pPr>
            <w:r>
              <w:rPr>
                <w:rFonts w:ascii="Times New Roman"/>
                <w:sz w:val="21"/>
              </w:rPr>
              <w:t>&lt;1.2</w:t>
            </w:r>
          </w:p>
        </w:tc>
        <w:tc>
          <w:tcPr>
            <w:tcW w:w="1133" w:type="dxa"/>
          </w:tcPr>
          <w:p>
            <w:pPr>
              <w:pStyle w:val="TableParagraph"/>
              <w:spacing w:before="137"/>
              <w:ind w:left="6" w:right="3"/>
              <w:rPr>
                <w:rFonts w:ascii="Times New Roman"/>
                <w:sz w:val="21"/>
              </w:rPr>
            </w:pPr>
            <w:r>
              <w:rPr>
                <w:rFonts w:ascii="Times New Roman"/>
                <w:sz w:val="21"/>
              </w:rPr>
              <w:t>&lt;1.2</w:t>
            </w:r>
          </w:p>
        </w:tc>
        <w:tc>
          <w:tcPr>
            <w:tcW w:w="1063" w:type="dxa"/>
          </w:tcPr>
          <w:p>
            <w:pPr>
              <w:pStyle w:val="TableParagraph"/>
              <w:spacing w:before="137"/>
              <w:ind w:left="126" w:right="120"/>
              <w:rPr>
                <w:rFonts w:ascii="Times New Roman"/>
                <w:sz w:val="21"/>
              </w:rPr>
            </w:pPr>
            <w:r>
              <w:rPr>
                <w:rFonts w:ascii="Times New Roman"/>
                <w:sz w:val="21"/>
              </w:rPr>
              <w:t>&lt;1.2</w:t>
            </w:r>
          </w:p>
        </w:tc>
        <w:tc>
          <w:tcPr>
            <w:tcW w:w="1347" w:type="dxa"/>
          </w:tcPr>
          <w:p>
            <w:pPr>
              <w:pStyle w:val="TableParagraph"/>
              <w:spacing w:before="137"/>
              <w:ind w:left="285" w:right="279"/>
              <w:rPr>
                <w:rFonts w:ascii="Times New Roman"/>
                <w:sz w:val="21"/>
              </w:rPr>
            </w:pPr>
            <w:r>
              <w:rPr>
                <w:rFonts w:ascii="Times New Roman"/>
                <w:sz w:val="21"/>
              </w:rPr>
              <w:t>570000</w:t>
            </w:r>
          </w:p>
        </w:tc>
        <w:tc>
          <w:tcPr>
            <w:tcW w:w="1008" w:type="dxa"/>
          </w:tcPr>
          <w:p>
            <w:pPr>
              <w:pStyle w:val="TableParagraph"/>
              <w:spacing w:before="123"/>
              <w:ind w:left="274" w:right="269"/>
              <w:rPr>
                <w:sz w:val="21"/>
              </w:rPr>
            </w:pPr>
            <w:r>
              <w:rPr>
                <w:sz w:val="21"/>
              </w:rPr>
              <w:t>达标</w:t>
            </w:r>
          </w:p>
        </w:tc>
      </w:tr>
      <w:tr>
        <w:trPr>
          <w:trHeight w:val="285" w:hRule="atLeast"/>
        </w:trPr>
        <w:tc>
          <w:tcPr>
            <w:tcW w:w="2521" w:type="dxa"/>
          </w:tcPr>
          <w:p>
            <w:pPr>
              <w:pStyle w:val="TableParagraph"/>
              <w:spacing w:line="257" w:lineRule="exact" w:before="8"/>
              <w:ind w:left="544"/>
              <w:jc w:val="left"/>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640000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8" w:lineRule="exact" w:before="6"/>
              <w:ind w:left="623"/>
              <w:jc w:val="left"/>
              <w:rPr>
                <w:rFonts w:ascii="Times New Roman" w:eastAsia="Times New Roman"/>
                <w:sz w:val="21"/>
              </w:rPr>
            </w:pPr>
            <w:r>
              <w:rPr>
                <w:sz w:val="21"/>
              </w:rPr>
              <w:t>硝基苯 </w:t>
            </w:r>
            <w:r>
              <w:rPr>
                <w:rFonts w:ascii="Times New Roman" w:eastAsia="Times New Roman"/>
                <w:sz w:val="21"/>
              </w:rPr>
              <w:t>mg/kg</w:t>
            </w:r>
          </w:p>
        </w:tc>
        <w:tc>
          <w:tcPr>
            <w:tcW w:w="1140" w:type="dxa"/>
          </w:tcPr>
          <w:p>
            <w:pPr>
              <w:pStyle w:val="TableParagraph"/>
              <w:spacing w:before="20"/>
              <w:ind w:left="7" w:right="4"/>
              <w:rPr>
                <w:rFonts w:ascii="Times New Roman"/>
                <w:sz w:val="21"/>
              </w:rPr>
            </w:pPr>
            <w:r>
              <w:rPr>
                <w:rFonts w:ascii="Times New Roman"/>
                <w:sz w:val="21"/>
              </w:rPr>
              <w:t>&lt;0.09</w:t>
            </w:r>
          </w:p>
        </w:tc>
        <w:tc>
          <w:tcPr>
            <w:tcW w:w="1135" w:type="dxa"/>
          </w:tcPr>
          <w:p>
            <w:pPr>
              <w:pStyle w:val="TableParagraph"/>
              <w:spacing w:before="20"/>
              <w:ind w:left="18" w:right="15"/>
              <w:rPr>
                <w:rFonts w:ascii="Times New Roman"/>
                <w:sz w:val="21"/>
              </w:rPr>
            </w:pPr>
            <w:r>
              <w:rPr>
                <w:rFonts w:ascii="Times New Roman"/>
                <w:sz w:val="21"/>
              </w:rPr>
              <w:t>&lt;0.09</w:t>
            </w:r>
          </w:p>
        </w:tc>
        <w:tc>
          <w:tcPr>
            <w:tcW w:w="1133" w:type="dxa"/>
          </w:tcPr>
          <w:p>
            <w:pPr>
              <w:pStyle w:val="TableParagraph"/>
              <w:spacing w:before="20"/>
              <w:ind w:left="9" w:right="3"/>
              <w:rPr>
                <w:rFonts w:ascii="Times New Roman"/>
                <w:sz w:val="21"/>
              </w:rPr>
            </w:pPr>
            <w:r>
              <w:rPr>
                <w:rFonts w:ascii="Times New Roman"/>
                <w:sz w:val="21"/>
              </w:rPr>
              <w:t>&lt;0.09</w:t>
            </w:r>
          </w:p>
        </w:tc>
        <w:tc>
          <w:tcPr>
            <w:tcW w:w="1063" w:type="dxa"/>
          </w:tcPr>
          <w:p>
            <w:pPr>
              <w:pStyle w:val="TableParagraph"/>
              <w:spacing w:before="20"/>
              <w:ind w:left="125" w:right="121"/>
              <w:rPr>
                <w:rFonts w:ascii="Times New Roman"/>
                <w:sz w:val="21"/>
              </w:rPr>
            </w:pPr>
            <w:r>
              <w:rPr>
                <w:rFonts w:ascii="Times New Roman"/>
                <w:sz w:val="21"/>
              </w:rPr>
              <w:t>&lt;0.09</w:t>
            </w:r>
          </w:p>
        </w:tc>
        <w:tc>
          <w:tcPr>
            <w:tcW w:w="1347" w:type="dxa"/>
          </w:tcPr>
          <w:p>
            <w:pPr>
              <w:pStyle w:val="TableParagraph"/>
              <w:spacing w:before="20"/>
              <w:ind w:left="283" w:right="281"/>
              <w:rPr>
                <w:rFonts w:ascii="Times New Roman"/>
                <w:sz w:val="21"/>
              </w:rPr>
            </w:pPr>
            <w:r>
              <w:rPr>
                <w:rFonts w:ascii="Times New Roman"/>
                <w:sz w:val="21"/>
              </w:rPr>
              <w:t>76</w:t>
            </w:r>
          </w:p>
        </w:tc>
        <w:tc>
          <w:tcPr>
            <w:tcW w:w="1008" w:type="dxa"/>
          </w:tcPr>
          <w:p>
            <w:pPr>
              <w:pStyle w:val="TableParagraph"/>
              <w:spacing w:line="258"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729"/>
              <w:jc w:val="left"/>
              <w:rPr>
                <w:rFonts w:ascii="Times New Roman" w:eastAsia="Times New Roman"/>
                <w:sz w:val="21"/>
              </w:rPr>
            </w:pPr>
            <w:r>
              <w:rPr>
                <w:sz w:val="21"/>
              </w:rPr>
              <w:t>苯胺 </w:t>
            </w:r>
            <w:r>
              <w:rPr>
                <w:rFonts w:ascii="Times New Roman" w:eastAsia="Times New Roman"/>
                <w:sz w:val="21"/>
              </w:rPr>
              <w:t>mg/kg</w:t>
            </w:r>
          </w:p>
        </w:tc>
        <w:tc>
          <w:tcPr>
            <w:tcW w:w="1140" w:type="dxa"/>
          </w:tcPr>
          <w:p>
            <w:pPr>
              <w:pStyle w:val="TableParagraph"/>
              <w:spacing w:before="22"/>
              <w:ind w:left="7" w:right="4"/>
              <w:rPr>
                <w:rFonts w:ascii="Times New Roman"/>
                <w:sz w:val="21"/>
              </w:rPr>
            </w:pPr>
            <w:r>
              <w:rPr>
                <w:rFonts w:ascii="Times New Roman"/>
                <w:sz w:val="21"/>
              </w:rPr>
              <w:t>&lt;0.01</w:t>
            </w:r>
          </w:p>
        </w:tc>
        <w:tc>
          <w:tcPr>
            <w:tcW w:w="1135" w:type="dxa"/>
          </w:tcPr>
          <w:p>
            <w:pPr>
              <w:pStyle w:val="TableParagraph"/>
              <w:spacing w:before="22"/>
              <w:ind w:left="18" w:right="15"/>
              <w:rPr>
                <w:rFonts w:ascii="Times New Roman"/>
                <w:sz w:val="21"/>
              </w:rPr>
            </w:pPr>
            <w:r>
              <w:rPr>
                <w:rFonts w:ascii="Times New Roman"/>
                <w:sz w:val="21"/>
              </w:rPr>
              <w:t>&lt;0.01</w:t>
            </w:r>
          </w:p>
        </w:tc>
        <w:tc>
          <w:tcPr>
            <w:tcW w:w="1133" w:type="dxa"/>
          </w:tcPr>
          <w:p>
            <w:pPr>
              <w:pStyle w:val="TableParagraph"/>
              <w:spacing w:before="22"/>
              <w:ind w:left="9" w:right="3"/>
              <w:rPr>
                <w:rFonts w:ascii="Times New Roman"/>
                <w:sz w:val="21"/>
              </w:rPr>
            </w:pPr>
            <w:r>
              <w:rPr>
                <w:rFonts w:ascii="Times New Roman"/>
                <w:sz w:val="21"/>
              </w:rPr>
              <w:t>&lt;0.01</w:t>
            </w:r>
          </w:p>
        </w:tc>
        <w:tc>
          <w:tcPr>
            <w:tcW w:w="1063" w:type="dxa"/>
          </w:tcPr>
          <w:p>
            <w:pPr>
              <w:pStyle w:val="TableParagraph"/>
              <w:spacing w:before="22"/>
              <w:ind w:left="125" w:right="121"/>
              <w:rPr>
                <w:rFonts w:ascii="Times New Roman"/>
                <w:sz w:val="21"/>
              </w:rPr>
            </w:pPr>
            <w:r>
              <w:rPr>
                <w:rFonts w:ascii="Times New Roman"/>
                <w:sz w:val="21"/>
              </w:rPr>
              <w:t>&lt;0.01</w:t>
            </w:r>
          </w:p>
        </w:tc>
        <w:tc>
          <w:tcPr>
            <w:tcW w:w="1347" w:type="dxa"/>
          </w:tcPr>
          <w:p>
            <w:pPr>
              <w:pStyle w:val="TableParagraph"/>
              <w:spacing w:before="22"/>
              <w:ind w:left="285" w:right="279"/>
              <w:rPr>
                <w:rFonts w:ascii="Times New Roman"/>
                <w:sz w:val="21"/>
              </w:rPr>
            </w:pPr>
            <w:r>
              <w:rPr>
                <w:rFonts w:ascii="Times New Roman"/>
                <w:sz w:val="21"/>
              </w:rPr>
              <w:t>260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535"/>
              <w:jc w:val="left"/>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140" w:type="dxa"/>
          </w:tcPr>
          <w:p>
            <w:pPr>
              <w:pStyle w:val="TableParagraph"/>
              <w:spacing w:before="20"/>
              <w:ind w:left="7" w:right="4"/>
              <w:rPr>
                <w:rFonts w:ascii="Times New Roman"/>
                <w:sz w:val="21"/>
              </w:rPr>
            </w:pPr>
            <w:r>
              <w:rPr>
                <w:rFonts w:ascii="Times New Roman"/>
                <w:sz w:val="21"/>
              </w:rPr>
              <w:t>&lt;0.06</w:t>
            </w:r>
          </w:p>
        </w:tc>
        <w:tc>
          <w:tcPr>
            <w:tcW w:w="1135" w:type="dxa"/>
          </w:tcPr>
          <w:p>
            <w:pPr>
              <w:pStyle w:val="TableParagraph"/>
              <w:spacing w:before="20"/>
              <w:ind w:left="18" w:right="15"/>
              <w:rPr>
                <w:rFonts w:ascii="Times New Roman"/>
                <w:sz w:val="21"/>
              </w:rPr>
            </w:pPr>
            <w:r>
              <w:rPr>
                <w:rFonts w:ascii="Times New Roman"/>
                <w:sz w:val="21"/>
              </w:rPr>
              <w:t>&lt;0.06</w:t>
            </w:r>
          </w:p>
        </w:tc>
        <w:tc>
          <w:tcPr>
            <w:tcW w:w="1133" w:type="dxa"/>
          </w:tcPr>
          <w:p>
            <w:pPr>
              <w:pStyle w:val="TableParagraph"/>
              <w:spacing w:before="20"/>
              <w:ind w:left="9" w:right="3"/>
              <w:rPr>
                <w:rFonts w:ascii="Times New Roman"/>
                <w:sz w:val="21"/>
              </w:rPr>
            </w:pPr>
            <w:r>
              <w:rPr>
                <w:rFonts w:ascii="Times New Roman"/>
                <w:sz w:val="21"/>
              </w:rPr>
              <w:t>&lt;0.06</w:t>
            </w:r>
          </w:p>
        </w:tc>
        <w:tc>
          <w:tcPr>
            <w:tcW w:w="1063" w:type="dxa"/>
          </w:tcPr>
          <w:p>
            <w:pPr>
              <w:pStyle w:val="TableParagraph"/>
              <w:spacing w:before="20"/>
              <w:ind w:left="125" w:right="121"/>
              <w:rPr>
                <w:rFonts w:ascii="Times New Roman"/>
                <w:sz w:val="21"/>
              </w:rPr>
            </w:pPr>
            <w:r>
              <w:rPr>
                <w:rFonts w:ascii="Times New Roman"/>
                <w:sz w:val="21"/>
              </w:rPr>
              <w:t>&lt;0.06</w:t>
            </w:r>
          </w:p>
        </w:tc>
        <w:tc>
          <w:tcPr>
            <w:tcW w:w="1347" w:type="dxa"/>
          </w:tcPr>
          <w:p>
            <w:pPr>
              <w:pStyle w:val="TableParagraph"/>
              <w:spacing w:before="20"/>
              <w:ind w:left="285" w:right="279"/>
              <w:rPr>
                <w:rFonts w:ascii="Times New Roman"/>
                <w:sz w:val="21"/>
              </w:rPr>
            </w:pPr>
            <w:r>
              <w:rPr>
                <w:rFonts w:ascii="Times New Roman"/>
                <w:sz w:val="21"/>
              </w:rPr>
              <w:t>2256</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5" w:lineRule="exact" w:before="8"/>
              <w:ind w:left="506"/>
              <w:jc w:val="left"/>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140" w:type="dxa"/>
          </w:tcPr>
          <w:p>
            <w:pPr>
              <w:pStyle w:val="TableParagraph"/>
              <w:spacing w:line="241" w:lineRule="exact" w:before="22"/>
              <w:ind w:left="9" w:right="4"/>
              <w:rPr>
                <w:rFonts w:ascii="Times New Roman"/>
                <w:sz w:val="21"/>
              </w:rPr>
            </w:pPr>
            <w:r>
              <w:rPr>
                <w:rFonts w:ascii="Times New Roman"/>
                <w:sz w:val="21"/>
              </w:rPr>
              <w:t>&lt;0.1</w:t>
            </w:r>
          </w:p>
        </w:tc>
        <w:tc>
          <w:tcPr>
            <w:tcW w:w="1135" w:type="dxa"/>
          </w:tcPr>
          <w:p>
            <w:pPr>
              <w:pStyle w:val="TableParagraph"/>
              <w:spacing w:line="241" w:lineRule="exact" w:before="22"/>
              <w:ind w:left="21" w:right="15"/>
              <w:rPr>
                <w:rFonts w:ascii="Times New Roman"/>
                <w:sz w:val="21"/>
              </w:rPr>
            </w:pPr>
            <w:r>
              <w:rPr>
                <w:rFonts w:ascii="Times New Roman"/>
                <w:sz w:val="21"/>
              </w:rPr>
              <w:t>&lt;0.1</w:t>
            </w:r>
          </w:p>
        </w:tc>
        <w:tc>
          <w:tcPr>
            <w:tcW w:w="1133" w:type="dxa"/>
          </w:tcPr>
          <w:p>
            <w:pPr>
              <w:pStyle w:val="TableParagraph"/>
              <w:spacing w:line="241" w:lineRule="exact" w:before="22"/>
              <w:ind w:left="6" w:right="3"/>
              <w:rPr>
                <w:rFonts w:ascii="Times New Roman"/>
                <w:sz w:val="21"/>
              </w:rPr>
            </w:pPr>
            <w:r>
              <w:rPr>
                <w:rFonts w:ascii="Times New Roman"/>
                <w:sz w:val="21"/>
              </w:rPr>
              <w:t>&lt;0.1</w:t>
            </w:r>
          </w:p>
        </w:tc>
        <w:tc>
          <w:tcPr>
            <w:tcW w:w="1063" w:type="dxa"/>
          </w:tcPr>
          <w:p>
            <w:pPr>
              <w:pStyle w:val="TableParagraph"/>
              <w:spacing w:line="241" w:lineRule="exact" w:before="22"/>
              <w:ind w:left="126" w:right="120"/>
              <w:rPr>
                <w:rFonts w:ascii="Times New Roman"/>
                <w:sz w:val="21"/>
              </w:rPr>
            </w:pPr>
            <w:r>
              <w:rPr>
                <w:rFonts w:ascii="Times New Roman"/>
                <w:sz w:val="21"/>
              </w:rPr>
              <w:t>&lt;0.1</w:t>
            </w:r>
          </w:p>
        </w:tc>
        <w:tc>
          <w:tcPr>
            <w:tcW w:w="1347" w:type="dxa"/>
          </w:tcPr>
          <w:p>
            <w:pPr>
              <w:pStyle w:val="TableParagraph"/>
              <w:spacing w:line="241" w:lineRule="exact" w:before="22"/>
              <w:ind w:left="283" w:right="281"/>
              <w:rPr>
                <w:rFonts w:ascii="Times New Roman"/>
                <w:sz w:val="21"/>
              </w:rPr>
            </w:pPr>
            <w:r>
              <w:rPr>
                <w:rFonts w:ascii="Times New Roman"/>
                <w:sz w:val="21"/>
              </w:rPr>
              <w:t>15</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506"/>
              <w:jc w:val="left"/>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&lt;0.1</w:t>
            </w:r>
          </w:p>
        </w:tc>
        <w:tc>
          <w:tcPr>
            <w:tcW w:w="1135" w:type="dxa"/>
          </w:tcPr>
          <w:p>
            <w:pPr>
              <w:pStyle w:val="TableParagraph"/>
              <w:spacing w:before="22"/>
              <w:ind w:left="21" w:right="15"/>
              <w:rPr>
                <w:rFonts w:ascii="Times New Roman"/>
                <w:sz w:val="21"/>
              </w:rPr>
            </w:pPr>
            <w:r>
              <w:rPr>
                <w:rFonts w:ascii="Times New Roman"/>
                <w:sz w:val="21"/>
              </w:rPr>
              <w:t>&lt;0.1</w:t>
            </w:r>
          </w:p>
        </w:tc>
        <w:tc>
          <w:tcPr>
            <w:tcW w:w="1133" w:type="dxa"/>
          </w:tcPr>
          <w:p>
            <w:pPr>
              <w:pStyle w:val="TableParagraph"/>
              <w:spacing w:before="22"/>
              <w:ind w:left="6" w:right="3"/>
              <w:rPr>
                <w:rFonts w:ascii="Times New Roman"/>
                <w:sz w:val="21"/>
              </w:rPr>
            </w:pPr>
            <w:r>
              <w:rPr>
                <w:rFonts w:ascii="Times New Roman"/>
                <w:sz w:val="21"/>
              </w:rPr>
              <w:t>&lt;0.1</w:t>
            </w:r>
          </w:p>
        </w:tc>
        <w:tc>
          <w:tcPr>
            <w:tcW w:w="1063" w:type="dxa"/>
          </w:tcPr>
          <w:p>
            <w:pPr>
              <w:pStyle w:val="TableParagraph"/>
              <w:spacing w:before="22"/>
              <w:ind w:left="126" w:right="120"/>
              <w:rPr>
                <w:rFonts w:ascii="Times New Roman"/>
                <w:sz w:val="21"/>
              </w:rPr>
            </w:pPr>
            <w:r>
              <w:rPr>
                <w:rFonts w:ascii="Times New Roman"/>
                <w:sz w:val="21"/>
              </w:rPr>
              <w:t>&lt;0.1</w:t>
            </w:r>
          </w:p>
        </w:tc>
        <w:tc>
          <w:tcPr>
            <w:tcW w:w="1347" w:type="dxa"/>
          </w:tcPr>
          <w:p>
            <w:pPr>
              <w:pStyle w:val="TableParagraph"/>
              <w:spacing w:before="22"/>
              <w:ind w:left="285" w:right="279"/>
              <w:rPr>
                <w:rFonts w:ascii="Times New Roman"/>
                <w:sz w:val="21"/>
              </w:rPr>
            </w:pPr>
            <w:r>
              <w:rPr>
                <w:rFonts w:ascii="Times New Roman"/>
                <w:sz w:val="21"/>
              </w:rPr>
              <w:t>1.5</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395"/>
              <w:jc w:val="left"/>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140" w:type="dxa"/>
          </w:tcPr>
          <w:p>
            <w:pPr>
              <w:pStyle w:val="TableParagraph"/>
              <w:spacing w:before="20"/>
              <w:ind w:left="9" w:right="4"/>
              <w:rPr>
                <w:rFonts w:ascii="Times New Roman"/>
                <w:sz w:val="21"/>
              </w:rPr>
            </w:pPr>
            <w:r>
              <w:rPr>
                <w:rFonts w:ascii="Times New Roman"/>
                <w:sz w:val="21"/>
              </w:rPr>
              <w:t>&lt;0.2</w:t>
            </w:r>
          </w:p>
        </w:tc>
        <w:tc>
          <w:tcPr>
            <w:tcW w:w="1135" w:type="dxa"/>
          </w:tcPr>
          <w:p>
            <w:pPr>
              <w:pStyle w:val="TableParagraph"/>
              <w:spacing w:before="20"/>
              <w:ind w:left="21" w:right="15"/>
              <w:rPr>
                <w:rFonts w:ascii="Times New Roman"/>
                <w:sz w:val="21"/>
              </w:rPr>
            </w:pPr>
            <w:r>
              <w:rPr>
                <w:rFonts w:ascii="Times New Roman"/>
                <w:sz w:val="21"/>
              </w:rPr>
              <w:t>&lt;0.2</w:t>
            </w:r>
          </w:p>
        </w:tc>
        <w:tc>
          <w:tcPr>
            <w:tcW w:w="1133" w:type="dxa"/>
          </w:tcPr>
          <w:p>
            <w:pPr>
              <w:pStyle w:val="TableParagraph"/>
              <w:spacing w:before="20"/>
              <w:ind w:left="6" w:right="3"/>
              <w:rPr>
                <w:rFonts w:ascii="Times New Roman"/>
                <w:sz w:val="21"/>
              </w:rPr>
            </w:pPr>
            <w:r>
              <w:rPr>
                <w:rFonts w:ascii="Times New Roman"/>
                <w:sz w:val="21"/>
              </w:rPr>
              <w:t>&lt;0.2</w:t>
            </w:r>
          </w:p>
        </w:tc>
        <w:tc>
          <w:tcPr>
            <w:tcW w:w="1063" w:type="dxa"/>
          </w:tcPr>
          <w:p>
            <w:pPr>
              <w:pStyle w:val="TableParagraph"/>
              <w:spacing w:before="20"/>
              <w:ind w:left="126" w:right="120"/>
              <w:rPr>
                <w:rFonts w:ascii="Times New Roman"/>
                <w:sz w:val="21"/>
              </w:rPr>
            </w:pPr>
            <w:r>
              <w:rPr>
                <w:rFonts w:ascii="Times New Roman"/>
                <w:sz w:val="21"/>
              </w:rPr>
              <w:t>&lt;0.2</w:t>
            </w:r>
          </w:p>
        </w:tc>
        <w:tc>
          <w:tcPr>
            <w:tcW w:w="1347" w:type="dxa"/>
          </w:tcPr>
          <w:p>
            <w:pPr>
              <w:pStyle w:val="TableParagraph"/>
              <w:spacing w:before="20"/>
              <w:ind w:left="283" w:right="281"/>
              <w:rPr>
                <w:rFonts w:ascii="Times New Roman"/>
                <w:sz w:val="21"/>
              </w:rPr>
            </w:pPr>
            <w:r>
              <w:rPr>
                <w:rFonts w:ascii="Times New Roman"/>
                <w:sz w:val="21"/>
              </w:rPr>
              <w:t>15</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395"/>
              <w:jc w:val="left"/>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&lt;0.1</w:t>
            </w:r>
          </w:p>
        </w:tc>
        <w:tc>
          <w:tcPr>
            <w:tcW w:w="1135" w:type="dxa"/>
          </w:tcPr>
          <w:p>
            <w:pPr>
              <w:pStyle w:val="TableParagraph"/>
              <w:spacing w:before="22"/>
              <w:ind w:left="21" w:right="15"/>
              <w:rPr>
                <w:rFonts w:ascii="Times New Roman"/>
                <w:sz w:val="21"/>
              </w:rPr>
            </w:pPr>
            <w:r>
              <w:rPr>
                <w:rFonts w:ascii="Times New Roman"/>
                <w:sz w:val="21"/>
              </w:rPr>
              <w:t>&lt;0.1</w:t>
            </w:r>
          </w:p>
        </w:tc>
        <w:tc>
          <w:tcPr>
            <w:tcW w:w="1133" w:type="dxa"/>
          </w:tcPr>
          <w:p>
            <w:pPr>
              <w:pStyle w:val="TableParagraph"/>
              <w:spacing w:before="22"/>
              <w:ind w:left="6" w:right="3"/>
              <w:rPr>
                <w:rFonts w:ascii="Times New Roman"/>
                <w:sz w:val="21"/>
              </w:rPr>
            </w:pPr>
            <w:r>
              <w:rPr>
                <w:rFonts w:ascii="Times New Roman"/>
                <w:sz w:val="21"/>
              </w:rPr>
              <w:t>&lt;0.1</w:t>
            </w:r>
          </w:p>
        </w:tc>
        <w:tc>
          <w:tcPr>
            <w:tcW w:w="1063" w:type="dxa"/>
          </w:tcPr>
          <w:p>
            <w:pPr>
              <w:pStyle w:val="TableParagraph"/>
              <w:spacing w:before="22"/>
              <w:ind w:left="126" w:right="120"/>
              <w:rPr>
                <w:rFonts w:ascii="Times New Roman"/>
                <w:sz w:val="21"/>
              </w:rPr>
            </w:pPr>
            <w:r>
              <w:rPr>
                <w:rFonts w:ascii="Times New Roman"/>
                <w:sz w:val="21"/>
              </w:rPr>
              <w:t>&lt;0.1</w:t>
            </w:r>
          </w:p>
        </w:tc>
        <w:tc>
          <w:tcPr>
            <w:tcW w:w="1347" w:type="dxa"/>
          </w:tcPr>
          <w:p>
            <w:pPr>
              <w:pStyle w:val="TableParagraph"/>
              <w:spacing w:before="22"/>
              <w:ind w:left="285" w:right="279"/>
              <w:rPr>
                <w:rFonts w:ascii="Times New Roman"/>
                <w:sz w:val="21"/>
              </w:rPr>
            </w:pPr>
            <w:r>
              <w:rPr>
                <w:rFonts w:ascii="Times New Roman"/>
                <w:sz w:val="21"/>
              </w:rPr>
              <w:t>151</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832"/>
              <w:jc w:val="left"/>
              <w:rPr>
                <w:rFonts w:ascii="Times New Roman" w:eastAsia="Times New Roman"/>
                <w:sz w:val="21"/>
              </w:rPr>
            </w:pPr>
            <w:r>
              <w:rPr>
                <w:sz w:val="21"/>
              </w:rPr>
              <w:t>䓛 </w:t>
            </w:r>
            <w:r>
              <w:rPr>
                <w:rFonts w:ascii="Times New Roman" w:eastAsia="Times New Roman"/>
                <w:sz w:val="21"/>
              </w:rPr>
              <w:t>mg/kg</w:t>
            </w:r>
          </w:p>
        </w:tc>
        <w:tc>
          <w:tcPr>
            <w:tcW w:w="1140" w:type="dxa"/>
          </w:tcPr>
          <w:p>
            <w:pPr>
              <w:pStyle w:val="TableParagraph"/>
              <w:spacing w:before="20"/>
              <w:ind w:left="9" w:right="4"/>
              <w:rPr>
                <w:rFonts w:ascii="Times New Roman"/>
                <w:sz w:val="21"/>
              </w:rPr>
            </w:pPr>
            <w:r>
              <w:rPr>
                <w:rFonts w:ascii="Times New Roman"/>
                <w:sz w:val="21"/>
              </w:rPr>
              <w:t>&lt;0.1</w:t>
            </w:r>
          </w:p>
        </w:tc>
        <w:tc>
          <w:tcPr>
            <w:tcW w:w="1135" w:type="dxa"/>
          </w:tcPr>
          <w:p>
            <w:pPr>
              <w:pStyle w:val="TableParagraph"/>
              <w:spacing w:before="20"/>
              <w:ind w:left="21" w:right="15"/>
              <w:rPr>
                <w:rFonts w:ascii="Times New Roman"/>
                <w:sz w:val="21"/>
              </w:rPr>
            </w:pPr>
            <w:r>
              <w:rPr>
                <w:rFonts w:ascii="Times New Roman"/>
                <w:sz w:val="21"/>
              </w:rPr>
              <w:t>&lt;0.1</w:t>
            </w:r>
          </w:p>
        </w:tc>
        <w:tc>
          <w:tcPr>
            <w:tcW w:w="1133" w:type="dxa"/>
          </w:tcPr>
          <w:p>
            <w:pPr>
              <w:pStyle w:val="TableParagraph"/>
              <w:spacing w:before="20"/>
              <w:ind w:left="6" w:right="3"/>
              <w:rPr>
                <w:rFonts w:ascii="Times New Roman"/>
                <w:sz w:val="21"/>
              </w:rPr>
            </w:pPr>
            <w:r>
              <w:rPr>
                <w:rFonts w:ascii="Times New Roman"/>
                <w:sz w:val="21"/>
              </w:rPr>
              <w:t>&lt;0.1</w:t>
            </w:r>
          </w:p>
        </w:tc>
        <w:tc>
          <w:tcPr>
            <w:tcW w:w="1063" w:type="dxa"/>
          </w:tcPr>
          <w:p>
            <w:pPr>
              <w:pStyle w:val="TableParagraph"/>
              <w:spacing w:before="20"/>
              <w:ind w:left="126" w:right="120"/>
              <w:rPr>
                <w:rFonts w:ascii="Times New Roman"/>
                <w:sz w:val="21"/>
              </w:rPr>
            </w:pPr>
            <w:r>
              <w:rPr>
                <w:rFonts w:ascii="Times New Roman"/>
                <w:sz w:val="21"/>
              </w:rPr>
              <w:t>&lt;0.1</w:t>
            </w:r>
          </w:p>
        </w:tc>
        <w:tc>
          <w:tcPr>
            <w:tcW w:w="1347" w:type="dxa"/>
          </w:tcPr>
          <w:p>
            <w:pPr>
              <w:pStyle w:val="TableParagraph"/>
              <w:spacing w:before="20"/>
              <w:ind w:left="285" w:right="279"/>
              <w:rPr>
                <w:rFonts w:ascii="Times New Roman"/>
                <w:sz w:val="21"/>
              </w:rPr>
            </w:pPr>
            <w:r>
              <w:rPr>
                <w:rFonts w:ascii="Times New Roman"/>
                <w:sz w:val="21"/>
              </w:rPr>
              <w:t>1293</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right="289"/>
              <w:jc w:val="right"/>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&lt;0.1</w:t>
            </w:r>
          </w:p>
        </w:tc>
        <w:tc>
          <w:tcPr>
            <w:tcW w:w="1135" w:type="dxa"/>
          </w:tcPr>
          <w:p>
            <w:pPr>
              <w:pStyle w:val="TableParagraph"/>
              <w:spacing w:before="22"/>
              <w:ind w:left="21" w:right="15"/>
              <w:rPr>
                <w:rFonts w:ascii="Times New Roman"/>
                <w:sz w:val="21"/>
              </w:rPr>
            </w:pPr>
            <w:r>
              <w:rPr>
                <w:rFonts w:ascii="Times New Roman"/>
                <w:sz w:val="21"/>
              </w:rPr>
              <w:t>&lt;0.1</w:t>
            </w:r>
          </w:p>
        </w:tc>
        <w:tc>
          <w:tcPr>
            <w:tcW w:w="1133" w:type="dxa"/>
          </w:tcPr>
          <w:p>
            <w:pPr>
              <w:pStyle w:val="TableParagraph"/>
              <w:spacing w:before="22"/>
              <w:ind w:left="6" w:right="3"/>
              <w:rPr>
                <w:rFonts w:ascii="Times New Roman"/>
                <w:sz w:val="21"/>
              </w:rPr>
            </w:pPr>
            <w:r>
              <w:rPr>
                <w:rFonts w:ascii="Times New Roman"/>
                <w:sz w:val="21"/>
              </w:rPr>
              <w:t>&lt;0.1</w:t>
            </w:r>
          </w:p>
        </w:tc>
        <w:tc>
          <w:tcPr>
            <w:tcW w:w="1063" w:type="dxa"/>
          </w:tcPr>
          <w:p>
            <w:pPr>
              <w:pStyle w:val="TableParagraph"/>
              <w:spacing w:before="22"/>
              <w:ind w:left="126" w:right="120"/>
              <w:rPr>
                <w:rFonts w:ascii="Times New Roman"/>
                <w:sz w:val="21"/>
              </w:rPr>
            </w:pPr>
            <w:r>
              <w:rPr>
                <w:rFonts w:ascii="Times New Roman"/>
                <w:sz w:val="21"/>
              </w:rPr>
              <w:t>&lt;0.1</w:t>
            </w:r>
          </w:p>
        </w:tc>
        <w:tc>
          <w:tcPr>
            <w:tcW w:w="1347" w:type="dxa"/>
          </w:tcPr>
          <w:p>
            <w:pPr>
              <w:pStyle w:val="TableParagraph"/>
              <w:spacing w:before="22"/>
              <w:ind w:left="285" w:right="279"/>
              <w:rPr>
                <w:rFonts w:ascii="Times New Roman"/>
                <w:sz w:val="21"/>
              </w:rPr>
            </w:pPr>
            <w:r>
              <w:rPr>
                <w:rFonts w:ascii="Times New Roman"/>
                <w:sz w:val="21"/>
              </w:rPr>
              <w:t>1.5</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right="202"/>
              <w:jc w:val="right"/>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140" w:type="dxa"/>
          </w:tcPr>
          <w:p>
            <w:pPr>
              <w:pStyle w:val="TableParagraph"/>
              <w:spacing w:before="19"/>
              <w:ind w:left="10" w:right="4"/>
              <w:rPr>
                <w:rFonts w:ascii="Times New Roman"/>
                <w:sz w:val="21"/>
              </w:rPr>
            </w:pPr>
            <w:r>
              <w:rPr>
                <w:rFonts w:ascii="Times New Roman"/>
                <w:sz w:val="21"/>
              </w:rPr>
              <w:t>&lt;0.1</w:t>
            </w:r>
          </w:p>
        </w:tc>
        <w:tc>
          <w:tcPr>
            <w:tcW w:w="1135" w:type="dxa"/>
          </w:tcPr>
          <w:p>
            <w:pPr>
              <w:pStyle w:val="TableParagraph"/>
              <w:spacing w:before="19"/>
              <w:ind w:left="21" w:right="15"/>
              <w:rPr>
                <w:rFonts w:ascii="Times New Roman"/>
                <w:sz w:val="21"/>
              </w:rPr>
            </w:pPr>
            <w:r>
              <w:rPr>
                <w:rFonts w:ascii="Times New Roman"/>
                <w:sz w:val="21"/>
              </w:rPr>
              <w:t>&lt;0.1</w:t>
            </w:r>
          </w:p>
        </w:tc>
        <w:tc>
          <w:tcPr>
            <w:tcW w:w="1133" w:type="dxa"/>
          </w:tcPr>
          <w:p>
            <w:pPr>
              <w:pStyle w:val="TableParagraph"/>
              <w:spacing w:before="19"/>
              <w:ind w:left="6" w:right="3"/>
              <w:rPr>
                <w:rFonts w:ascii="Times New Roman"/>
                <w:sz w:val="21"/>
              </w:rPr>
            </w:pPr>
            <w:r>
              <w:rPr>
                <w:rFonts w:ascii="Times New Roman"/>
                <w:sz w:val="21"/>
              </w:rPr>
              <w:t>&lt;0.1</w:t>
            </w:r>
          </w:p>
        </w:tc>
        <w:tc>
          <w:tcPr>
            <w:tcW w:w="1063" w:type="dxa"/>
          </w:tcPr>
          <w:p>
            <w:pPr>
              <w:pStyle w:val="TableParagraph"/>
              <w:spacing w:before="19"/>
              <w:ind w:left="126" w:right="120"/>
              <w:rPr>
                <w:rFonts w:ascii="Times New Roman"/>
                <w:sz w:val="21"/>
              </w:rPr>
            </w:pPr>
            <w:r>
              <w:rPr>
                <w:rFonts w:ascii="Times New Roman"/>
                <w:sz w:val="21"/>
              </w:rPr>
              <w:t>&lt;0.1</w:t>
            </w:r>
          </w:p>
        </w:tc>
        <w:tc>
          <w:tcPr>
            <w:tcW w:w="1347" w:type="dxa"/>
          </w:tcPr>
          <w:p>
            <w:pPr>
              <w:pStyle w:val="TableParagraph"/>
              <w:spacing w:before="19"/>
              <w:ind w:left="283" w:right="281"/>
              <w:rPr>
                <w:rFonts w:ascii="Times New Roman"/>
                <w:sz w:val="21"/>
              </w:rPr>
            </w:pPr>
            <w:r>
              <w:rPr>
                <w:rFonts w:ascii="Times New Roman"/>
                <w:sz w:val="21"/>
              </w:rPr>
              <w:t>15</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5" w:lineRule="exact" w:before="8"/>
              <w:ind w:left="832"/>
              <w:jc w:val="left"/>
              <w:rPr>
                <w:rFonts w:ascii="Times New Roman" w:eastAsia="Times New Roman"/>
                <w:sz w:val="21"/>
              </w:rPr>
            </w:pPr>
            <w:r>
              <w:rPr>
                <w:sz w:val="21"/>
              </w:rPr>
              <w:t>萘 </w:t>
            </w:r>
            <w:r>
              <w:rPr>
                <w:rFonts w:ascii="Times New Roman" w:eastAsia="Times New Roman"/>
                <w:sz w:val="21"/>
              </w:rPr>
              <w:t>mg/kg</w:t>
            </w:r>
          </w:p>
        </w:tc>
        <w:tc>
          <w:tcPr>
            <w:tcW w:w="1140" w:type="dxa"/>
          </w:tcPr>
          <w:p>
            <w:pPr>
              <w:pStyle w:val="TableParagraph"/>
              <w:spacing w:line="241" w:lineRule="exact" w:before="22"/>
              <w:ind w:left="7" w:right="4"/>
              <w:rPr>
                <w:rFonts w:ascii="Times New Roman"/>
                <w:sz w:val="21"/>
              </w:rPr>
            </w:pPr>
            <w:r>
              <w:rPr>
                <w:rFonts w:ascii="Times New Roman"/>
                <w:sz w:val="21"/>
              </w:rPr>
              <w:t>&lt;0.09</w:t>
            </w:r>
          </w:p>
        </w:tc>
        <w:tc>
          <w:tcPr>
            <w:tcW w:w="1135" w:type="dxa"/>
          </w:tcPr>
          <w:p>
            <w:pPr>
              <w:pStyle w:val="TableParagraph"/>
              <w:spacing w:line="241" w:lineRule="exact" w:before="22"/>
              <w:ind w:left="18" w:right="15"/>
              <w:rPr>
                <w:rFonts w:ascii="Times New Roman"/>
                <w:sz w:val="21"/>
              </w:rPr>
            </w:pPr>
            <w:r>
              <w:rPr>
                <w:rFonts w:ascii="Times New Roman"/>
                <w:sz w:val="21"/>
              </w:rPr>
              <w:t>&lt;0.09</w:t>
            </w:r>
          </w:p>
        </w:tc>
        <w:tc>
          <w:tcPr>
            <w:tcW w:w="1133" w:type="dxa"/>
          </w:tcPr>
          <w:p>
            <w:pPr>
              <w:pStyle w:val="TableParagraph"/>
              <w:spacing w:line="241" w:lineRule="exact" w:before="22"/>
              <w:ind w:left="9" w:right="3"/>
              <w:rPr>
                <w:rFonts w:ascii="Times New Roman"/>
                <w:sz w:val="21"/>
              </w:rPr>
            </w:pPr>
            <w:r>
              <w:rPr>
                <w:rFonts w:ascii="Times New Roman"/>
                <w:sz w:val="21"/>
              </w:rPr>
              <w:t>&lt;0.09</w:t>
            </w:r>
          </w:p>
        </w:tc>
        <w:tc>
          <w:tcPr>
            <w:tcW w:w="1063" w:type="dxa"/>
          </w:tcPr>
          <w:p>
            <w:pPr>
              <w:pStyle w:val="TableParagraph"/>
              <w:spacing w:line="241" w:lineRule="exact" w:before="22"/>
              <w:ind w:left="125" w:right="121"/>
              <w:rPr>
                <w:rFonts w:ascii="Times New Roman"/>
                <w:sz w:val="21"/>
              </w:rPr>
            </w:pPr>
            <w:r>
              <w:rPr>
                <w:rFonts w:ascii="Times New Roman"/>
                <w:sz w:val="21"/>
              </w:rPr>
              <w:t>&lt;0.09</w:t>
            </w:r>
          </w:p>
        </w:tc>
        <w:tc>
          <w:tcPr>
            <w:tcW w:w="1347" w:type="dxa"/>
          </w:tcPr>
          <w:p>
            <w:pPr>
              <w:pStyle w:val="TableParagraph"/>
              <w:spacing w:line="241" w:lineRule="exact" w:before="22"/>
              <w:ind w:left="283" w:right="281"/>
              <w:rPr>
                <w:rFonts w:ascii="Times New Roman"/>
                <w:sz w:val="21"/>
              </w:rPr>
            </w:pPr>
            <w:r>
              <w:rPr>
                <w:rFonts w:ascii="Times New Roman"/>
                <w:sz w:val="21"/>
              </w:rPr>
              <w:t>70</w:t>
            </w:r>
          </w:p>
        </w:tc>
        <w:tc>
          <w:tcPr>
            <w:tcW w:w="1008" w:type="dxa"/>
          </w:tcPr>
          <w:p>
            <w:pPr>
              <w:pStyle w:val="TableParagraph"/>
              <w:spacing w:line="255" w:lineRule="exact" w:before="8"/>
              <w:ind w:left="274" w:right="269"/>
              <w:rPr>
                <w:sz w:val="21"/>
              </w:rPr>
            </w:pPr>
            <w:r>
              <w:rPr>
                <w:sz w:val="21"/>
              </w:rPr>
              <w:t>达标</w:t>
            </w:r>
          </w:p>
        </w:tc>
      </w:tr>
    </w:tbl>
    <w:p>
      <w:pPr>
        <w:spacing w:after="0" w:line="255" w:lineRule="exact"/>
        <w:rPr>
          <w:sz w:val="21"/>
        </w:rPr>
        <w:sectPr>
          <w:pgSz w:w="11910" w:h="16850"/>
          <w:pgMar w:header="1004" w:footer="1088" w:top="1340" w:bottom="1280" w:left="1200" w:right="1000"/>
        </w:sectPr>
      </w:pPr>
    </w:p>
    <w:p>
      <w:pPr>
        <w:pStyle w:val="BodyText"/>
        <w:rPr>
          <w:rFonts w:ascii="Times New Roman"/>
          <w:sz w:val="7"/>
        </w:rPr>
      </w:pP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40"/>
        <w:gridCol w:w="1135"/>
        <w:gridCol w:w="1133"/>
        <w:gridCol w:w="1063"/>
        <w:gridCol w:w="1347"/>
        <w:gridCol w:w="1008"/>
      </w:tblGrid>
      <w:tr>
        <w:trPr>
          <w:trHeight w:val="283"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1" w:type="dxa"/>
            <w:gridSpan w:val="4"/>
          </w:tcPr>
          <w:p>
            <w:pPr>
              <w:pStyle w:val="TableParagraph"/>
              <w:spacing w:line="255" w:lineRule="exact" w:before="8"/>
              <w:ind w:left="1391"/>
              <w:jc w:val="left"/>
              <w:rPr>
                <w:b/>
                <w:sz w:val="21"/>
              </w:rPr>
            </w:pPr>
            <w:r>
              <w:rPr>
                <w:rFonts w:ascii="Times New Roman" w:eastAsia="Times New Roman"/>
                <w:b/>
                <w:sz w:val="21"/>
              </w:rPr>
              <w:t>2#</w:t>
            </w:r>
            <w:r>
              <w:rPr>
                <w:b/>
                <w:sz w:val="21"/>
              </w:rPr>
              <w:t>预留车间七北面</w:t>
            </w:r>
          </w:p>
        </w:tc>
        <w:tc>
          <w:tcPr>
            <w:tcW w:w="1347" w:type="dxa"/>
            <w:vMerge w:val="restart"/>
          </w:tcPr>
          <w:p>
            <w:pPr>
              <w:pStyle w:val="TableParagraph"/>
              <w:spacing w:line="270" w:lineRule="atLeast" w:before="17"/>
              <w:ind w:left="146" w:right="137"/>
              <w:jc w:val="left"/>
              <w:rPr>
                <w:b/>
                <w:sz w:val="21"/>
              </w:rPr>
            </w:pPr>
            <w:r>
              <w:rPr>
                <w:b/>
                <w:sz w:val="21"/>
              </w:rPr>
              <w:t>第二类用地筛选值标准</w:t>
            </w:r>
          </w:p>
        </w:tc>
        <w:tc>
          <w:tcPr>
            <w:tcW w:w="1008" w:type="dxa"/>
            <w:vMerge w:val="restart"/>
          </w:tcPr>
          <w:p>
            <w:pPr>
              <w:pStyle w:val="TableParagraph"/>
              <w:spacing w:line="270" w:lineRule="atLeast" w:before="17"/>
              <w:ind w:left="398" w:right="180" w:hanging="212"/>
              <w:jc w:val="left"/>
              <w:rPr>
                <w:b/>
                <w:sz w:val="21"/>
              </w:rPr>
            </w:pPr>
            <w:r>
              <w:rPr>
                <w:b/>
                <w:sz w:val="21"/>
              </w:rPr>
              <w:t>达标情况</w:t>
            </w:r>
          </w:p>
        </w:tc>
      </w:tr>
      <w:tr>
        <w:trPr>
          <w:trHeight w:val="290" w:hRule="atLeast"/>
        </w:trPr>
        <w:tc>
          <w:tcPr>
            <w:tcW w:w="2521" w:type="dxa"/>
            <w:vMerge/>
            <w:tcBorders>
              <w:top w:val="nil"/>
            </w:tcBorders>
          </w:tcPr>
          <w:p>
            <w:pPr>
              <w:rPr>
                <w:sz w:val="2"/>
                <w:szCs w:val="2"/>
              </w:rPr>
            </w:pPr>
          </w:p>
        </w:tc>
        <w:tc>
          <w:tcPr>
            <w:tcW w:w="1140" w:type="dxa"/>
          </w:tcPr>
          <w:p>
            <w:pPr>
              <w:pStyle w:val="TableParagraph"/>
              <w:spacing w:before="27"/>
              <w:ind w:left="8" w:right="4"/>
              <w:rPr>
                <w:rFonts w:ascii="Times New Roman"/>
                <w:b/>
                <w:sz w:val="21"/>
              </w:rPr>
            </w:pPr>
            <w:r>
              <w:rPr>
                <w:rFonts w:ascii="Times New Roman"/>
                <w:b/>
                <w:sz w:val="21"/>
              </w:rPr>
              <w:t>0-0.5m</w:t>
            </w:r>
          </w:p>
        </w:tc>
        <w:tc>
          <w:tcPr>
            <w:tcW w:w="1135" w:type="dxa"/>
          </w:tcPr>
          <w:p>
            <w:pPr>
              <w:pStyle w:val="TableParagraph"/>
              <w:spacing w:before="27"/>
              <w:ind w:left="19" w:right="15"/>
              <w:rPr>
                <w:rFonts w:ascii="Times New Roman"/>
                <w:b/>
                <w:sz w:val="21"/>
              </w:rPr>
            </w:pPr>
            <w:r>
              <w:rPr>
                <w:rFonts w:ascii="Times New Roman"/>
                <w:b/>
                <w:sz w:val="21"/>
              </w:rPr>
              <w:t>0.5-1.5m</w:t>
            </w:r>
          </w:p>
        </w:tc>
        <w:tc>
          <w:tcPr>
            <w:tcW w:w="1133" w:type="dxa"/>
          </w:tcPr>
          <w:p>
            <w:pPr>
              <w:pStyle w:val="TableParagraph"/>
              <w:spacing w:before="27"/>
              <w:ind w:left="5" w:right="3"/>
              <w:rPr>
                <w:rFonts w:ascii="Times New Roman"/>
                <w:b/>
                <w:sz w:val="21"/>
              </w:rPr>
            </w:pPr>
            <w:r>
              <w:rPr>
                <w:rFonts w:ascii="Times New Roman"/>
                <w:b/>
                <w:sz w:val="21"/>
              </w:rPr>
              <w:t>1.5-3.0m</w:t>
            </w:r>
          </w:p>
        </w:tc>
        <w:tc>
          <w:tcPr>
            <w:tcW w:w="1063" w:type="dxa"/>
          </w:tcPr>
          <w:p>
            <w:pPr>
              <w:pStyle w:val="TableParagraph"/>
              <w:spacing w:before="27"/>
              <w:ind w:left="126" w:right="121"/>
              <w:rPr>
                <w:rFonts w:ascii="Times New Roman"/>
                <w:b/>
                <w:sz w:val="21"/>
              </w:rPr>
            </w:pPr>
            <w:r>
              <w:rPr>
                <w:rFonts w:ascii="Times New Roman"/>
                <w:b/>
                <w:sz w:val="21"/>
              </w:rPr>
              <w:t>3.0-6.0m</w:t>
            </w:r>
          </w:p>
        </w:tc>
        <w:tc>
          <w:tcPr>
            <w:tcW w:w="1347" w:type="dxa"/>
            <w:vMerge/>
            <w:tcBorders>
              <w:top w:val="nil"/>
            </w:tcBorders>
          </w:tcPr>
          <w:p>
            <w:pPr>
              <w:rPr>
                <w:sz w:val="2"/>
                <w:szCs w:val="2"/>
              </w:rPr>
            </w:pPr>
          </w:p>
        </w:tc>
        <w:tc>
          <w:tcPr>
            <w:tcW w:w="1008" w:type="dxa"/>
            <w:vMerge/>
            <w:tcBorders>
              <w:top w:val="nil"/>
            </w:tcBorders>
          </w:tcPr>
          <w:p>
            <w:pPr>
              <w:rPr>
                <w:sz w:val="2"/>
                <w:szCs w:val="2"/>
              </w:rPr>
            </w:pPr>
          </w:p>
        </w:tc>
      </w:tr>
      <w:tr>
        <w:trPr>
          <w:trHeight w:val="283" w:hRule="atLeast"/>
        </w:trPr>
        <w:tc>
          <w:tcPr>
            <w:tcW w:w="2521" w:type="dxa"/>
          </w:tcPr>
          <w:p>
            <w:pPr>
              <w:pStyle w:val="TableParagraph"/>
              <w:spacing w:line="258" w:lineRule="exact" w:before="5"/>
              <w:ind w:left="129"/>
              <w:jc w:val="left"/>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140" w:type="dxa"/>
          </w:tcPr>
          <w:p>
            <w:pPr>
              <w:pStyle w:val="TableParagraph"/>
              <w:spacing w:before="20"/>
              <w:ind w:left="5" w:right="4"/>
              <w:rPr>
                <w:rFonts w:ascii="Times New Roman"/>
                <w:sz w:val="21"/>
              </w:rPr>
            </w:pPr>
            <w:r>
              <w:rPr>
                <w:rFonts w:ascii="Times New Roman"/>
                <w:sz w:val="21"/>
              </w:rPr>
              <w:t>35</w:t>
            </w:r>
          </w:p>
        </w:tc>
        <w:tc>
          <w:tcPr>
            <w:tcW w:w="1135" w:type="dxa"/>
          </w:tcPr>
          <w:p>
            <w:pPr>
              <w:pStyle w:val="TableParagraph"/>
              <w:spacing w:before="20"/>
              <w:ind w:left="16" w:right="15"/>
              <w:rPr>
                <w:rFonts w:ascii="Times New Roman"/>
                <w:sz w:val="21"/>
              </w:rPr>
            </w:pPr>
            <w:r>
              <w:rPr>
                <w:rFonts w:ascii="Times New Roman"/>
                <w:sz w:val="21"/>
              </w:rPr>
              <w:t>33</w:t>
            </w:r>
          </w:p>
        </w:tc>
        <w:tc>
          <w:tcPr>
            <w:tcW w:w="1133" w:type="dxa"/>
          </w:tcPr>
          <w:p>
            <w:pPr>
              <w:pStyle w:val="TableParagraph"/>
              <w:spacing w:before="20"/>
              <w:ind w:left="7" w:right="3"/>
              <w:rPr>
                <w:rFonts w:ascii="Times New Roman"/>
                <w:sz w:val="21"/>
              </w:rPr>
            </w:pPr>
            <w:r>
              <w:rPr>
                <w:rFonts w:ascii="Times New Roman"/>
                <w:sz w:val="21"/>
              </w:rPr>
              <w:t>27</w:t>
            </w:r>
          </w:p>
        </w:tc>
        <w:tc>
          <w:tcPr>
            <w:tcW w:w="1063" w:type="dxa"/>
          </w:tcPr>
          <w:p>
            <w:pPr>
              <w:pStyle w:val="TableParagraph"/>
              <w:spacing w:before="20"/>
              <w:ind w:left="123" w:right="121"/>
              <w:rPr>
                <w:rFonts w:ascii="Times New Roman"/>
                <w:sz w:val="21"/>
              </w:rPr>
            </w:pPr>
            <w:r>
              <w:rPr>
                <w:rFonts w:ascii="Times New Roman"/>
                <w:sz w:val="21"/>
              </w:rPr>
              <w:t>37</w:t>
            </w:r>
          </w:p>
        </w:tc>
        <w:tc>
          <w:tcPr>
            <w:tcW w:w="1347" w:type="dxa"/>
          </w:tcPr>
          <w:p>
            <w:pPr>
              <w:pStyle w:val="TableParagraph"/>
              <w:spacing w:before="20"/>
              <w:ind w:left="285" w:right="279"/>
              <w:rPr>
                <w:rFonts w:ascii="Times New Roman"/>
                <w:sz w:val="21"/>
              </w:rPr>
            </w:pPr>
            <w:r>
              <w:rPr>
                <w:rFonts w:ascii="Times New Roman"/>
                <w:sz w:val="21"/>
              </w:rPr>
              <w:t>4500</w:t>
            </w:r>
          </w:p>
        </w:tc>
        <w:tc>
          <w:tcPr>
            <w:tcW w:w="1008" w:type="dxa"/>
          </w:tcPr>
          <w:p>
            <w:pPr>
              <w:pStyle w:val="TableParagraph"/>
              <w:spacing w:line="257" w:lineRule="exact" w:before="6"/>
              <w:ind w:left="292"/>
              <w:jc w:val="left"/>
              <w:rPr>
                <w:sz w:val="21"/>
              </w:rPr>
            </w:pPr>
            <w:r>
              <w:rPr>
                <w:sz w:val="21"/>
              </w:rPr>
              <w:t>达标</w:t>
            </w:r>
          </w:p>
        </w:tc>
      </w:tr>
    </w:tbl>
    <w:p>
      <w:pPr>
        <w:pStyle w:val="BodyText"/>
        <w:spacing w:before="1"/>
        <w:rPr>
          <w:rFonts w:ascii="Times New Roman"/>
          <w:sz w:val="6"/>
        </w:rPr>
      </w:pPr>
    </w:p>
    <w:p>
      <w:pPr>
        <w:tabs>
          <w:tab w:pos="1669" w:val="left" w:leader="none"/>
        </w:tabs>
        <w:spacing w:before="74" w:after="29"/>
        <w:ind w:left="447" w:right="0" w:firstLine="0"/>
        <w:jc w:val="center"/>
        <w:rPr>
          <w:b/>
          <w:sz w:val="24"/>
        </w:rPr>
      </w:pPr>
      <w:r>
        <w:rPr/>
        <w:pict>
          <v:line style="position:absolute;mso-position-horizontal-relative:page;mso-position-vertical-relative:paragraph;z-index:-317722624" from="71.304001pt,-47.079979pt" to="197.090001pt,-18.139979pt" stroked="true" strokeweight=".72pt" strokecolor="#000000">
            <v:stroke dashstyle="solid"/>
            <w10:wrap type="none"/>
          </v:line>
        </w:pict>
      </w:r>
      <w:r>
        <w:rPr/>
        <w:pict>
          <v:line style="position:absolute;mso-position-horizontal-relative:page;mso-position-vertical-relative:paragraph;z-index:-317721600" from="71.304001pt,20.740019pt" to="197.090001pt,49.660019pt" stroked="true" strokeweight=".72pt" strokecolor="#000000">
            <v:stroke dashstyle="solid"/>
            <w10:wrap type="none"/>
          </v:line>
        </w:pict>
      </w:r>
      <w:r>
        <w:rPr>
          <w:b/>
          <w:sz w:val="24"/>
        </w:rPr>
        <w:t>表</w:t>
      </w:r>
      <w:r>
        <w:rPr>
          <w:b/>
          <w:spacing w:val="-60"/>
          <w:sz w:val="24"/>
        </w:rPr>
        <w:t> </w:t>
      </w:r>
      <w:r>
        <w:rPr>
          <w:rFonts w:ascii="Times New Roman" w:eastAsia="Times New Roman"/>
          <w:b/>
          <w:sz w:val="24"/>
        </w:rPr>
        <w:t>6.2.4-9</w:t>
        <w:tab/>
      </w:r>
      <w:r>
        <w:rPr>
          <w:b/>
          <w:sz w:val="24"/>
        </w:rPr>
        <w:t>东区土壤现状监测结果（</w:t>
      </w:r>
      <w:r>
        <w:rPr>
          <w:rFonts w:ascii="Times New Roman" w:eastAsia="Times New Roman"/>
          <w:b/>
          <w:sz w:val="24"/>
        </w:rPr>
        <w:t>3</w:t>
      </w:r>
      <w:r>
        <w:rPr>
          <w:b/>
          <w:sz w:val="24"/>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40"/>
        <w:gridCol w:w="1135"/>
        <w:gridCol w:w="1133"/>
        <w:gridCol w:w="1063"/>
        <w:gridCol w:w="1347"/>
        <w:gridCol w:w="1008"/>
      </w:tblGrid>
      <w:tr>
        <w:trPr>
          <w:trHeight w:val="285"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1" w:type="dxa"/>
            <w:gridSpan w:val="4"/>
          </w:tcPr>
          <w:p>
            <w:pPr>
              <w:pStyle w:val="TableParagraph"/>
              <w:spacing w:line="257" w:lineRule="exact" w:before="8"/>
              <w:ind w:left="337"/>
              <w:jc w:val="left"/>
              <w:rPr>
                <w:b/>
                <w:sz w:val="21"/>
              </w:rPr>
            </w:pPr>
            <w:r>
              <w:rPr>
                <w:rFonts w:ascii="Times New Roman" w:eastAsia="Times New Roman"/>
                <w:b/>
                <w:sz w:val="21"/>
              </w:rPr>
              <w:t>3#</w:t>
            </w:r>
            <w:r>
              <w:rPr>
                <w:b/>
                <w:sz w:val="21"/>
              </w:rPr>
              <w:t>拟建废水物化处理及生化处理区域之间</w:t>
            </w:r>
          </w:p>
        </w:tc>
        <w:tc>
          <w:tcPr>
            <w:tcW w:w="1347" w:type="dxa"/>
            <w:vMerge w:val="restart"/>
          </w:tcPr>
          <w:p>
            <w:pPr>
              <w:pStyle w:val="TableParagraph"/>
              <w:spacing w:line="270" w:lineRule="atLeast" w:before="17"/>
              <w:ind w:left="146" w:right="137"/>
              <w:jc w:val="left"/>
              <w:rPr>
                <w:b/>
                <w:sz w:val="21"/>
              </w:rPr>
            </w:pPr>
            <w:r>
              <w:rPr>
                <w:b/>
                <w:sz w:val="21"/>
              </w:rPr>
              <w:t>第二类用地筛选值标准</w:t>
            </w:r>
          </w:p>
        </w:tc>
        <w:tc>
          <w:tcPr>
            <w:tcW w:w="1008" w:type="dxa"/>
            <w:vMerge w:val="restart"/>
          </w:tcPr>
          <w:p>
            <w:pPr>
              <w:pStyle w:val="TableParagraph"/>
              <w:spacing w:line="270" w:lineRule="atLeast" w:before="17"/>
              <w:ind w:left="398" w:right="180" w:hanging="212"/>
              <w:jc w:val="left"/>
              <w:rPr>
                <w:b/>
                <w:sz w:val="21"/>
              </w:rPr>
            </w:pPr>
            <w:r>
              <w:rPr>
                <w:b/>
                <w:sz w:val="21"/>
              </w:rPr>
              <w:t>达标情况</w:t>
            </w:r>
          </w:p>
        </w:tc>
      </w:tr>
      <w:tr>
        <w:trPr>
          <w:trHeight w:val="287" w:hRule="atLeast"/>
        </w:trPr>
        <w:tc>
          <w:tcPr>
            <w:tcW w:w="2521" w:type="dxa"/>
            <w:vMerge/>
            <w:tcBorders>
              <w:top w:val="nil"/>
            </w:tcBorders>
          </w:tcPr>
          <w:p>
            <w:pPr>
              <w:rPr>
                <w:sz w:val="2"/>
                <w:szCs w:val="2"/>
              </w:rPr>
            </w:pPr>
          </w:p>
        </w:tc>
        <w:tc>
          <w:tcPr>
            <w:tcW w:w="1140" w:type="dxa"/>
          </w:tcPr>
          <w:p>
            <w:pPr>
              <w:pStyle w:val="TableParagraph"/>
              <w:spacing w:before="24"/>
              <w:ind w:left="8" w:right="4"/>
              <w:rPr>
                <w:rFonts w:ascii="Times New Roman"/>
                <w:b/>
                <w:sz w:val="21"/>
              </w:rPr>
            </w:pPr>
            <w:r>
              <w:rPr>
                <w:rFonts w:ascii="Times New Roman"/>
                <w:b/>
                <w:sz w:val="21"/>
              </w:rPr>
              <w:t>0-0.5m</w:t>
            </w:r>
          </w:p>
        </w:tc>
        <w:tc>
          <w:tcPr>
            <w:tcW w:w="1135" w:type="dxa"/>
          </w:tcPr>
          <w:p>
            <w:pPr>
              <w:pStyle w:val="TableParagraph"/>
              <w:spacing w:before="24"/>
              <w:ind w:left="19" w:right="15"/>
              <w:rPr>
                <w:rFonts w:ascii="Times New Roman"/>
                <w:b/>
                <w:sz w:val="21"/>
              </w:rPr>
            </w:pPr>
            <w:r>
              <w:rPr>
                <w:rFonts w:ascii="Times New Roman"/>
                <w:b/>
                <w:sz w:val="21"/>
              </w:rPr>
              <w:t>0.5-1.5m</w:t>
            </w:r>
          </w:p>
        </w:tc>
        <w:tc>
          <w:tcPr>
            <w:tcW w:w="1133" w:type="dxa"/>
          </w:tcPr>
          <w:p>
            <w:pPr>
              <w:pStyle w:val="TableParagraph"/>
              <w:spacing w:before="24"/>
              <w:ind w:left="5" w:right="3"/>
              <w:rPr>
                <w:rFonts w:ascii="Times New Roman"/>
                <w:b/>
                <w:sz w:val="21"/>
              </w:rPr>
            </w:pPr>
            <w:r>
              <w:rPr>
                <w:rFonts w:ascii="Times New Roman"/>
                <w:b/>
                <w:sz w:val="21"/>
              </w:rPr>
              <w:t>1.5-3.0m</w:t>
            </w:r>
          </w:p>
        </w:tc>
        <w:tc>
          <w:tcPr>
            <w:tcW w:w="1063" w:type="dxa"/>
          </w:tcPr>
          <w:p>
            <w:pPr>
              <w:pStyle w:val="TableParagraph"/>
              <w:spacing w:before="24"/>
              <w:ind w:left="126" w:right="121"/>
              <w:rPr>
                <w:rFonts w:ascii="Times New Roman"/>
                <w:b/>
                <w:sz w:val="21"/>
              </w:rPr>
            </w:pPr>
            <w:r>
              <w:rPr>
                <w:rFonts w:ascii="Times New Roman"/>
                <w:b/>
                <w:sz w:val="21"/>
              </w:rPr>
              <w:t>3.0-6.0m</w:t>
            </w:r>
          </w:p>
        </w:tc>
        <w:tc>
          <w:tcPr>
            <w:tcW w:w="1347" w:type="dxa"/>
            <w:vMerge/>
            <w:tcBorders>
              <w:top w:val="nil"/>
            </w:tcBorders>
          </w:tcPr>
          <w:p>
            <w:pPr>
              <w:rPr>
                <w:sz w:val="2"/>
                <w:szCs w:val="2"/>
              </w:rPr>
            </w:pPr>
          </w:p>
        </w:tc>
        <w:tc>
          <w:tcPr>
            <w:tcW w:w="1008" w:type="dxa"/>
            <w:vMerge/>
            <w:tcBorders>
              <w:top w:val="nil"/>
            </w:tcBorders>
          </w:tcPr>
          <w:p>
            <w:pPr>
              <w:rPr>
                <w:sz w:val="2"/>
                <w:szCs w:val="2"/>
              </w:rPr>
            </w:pP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铜 </w:t>
            </w:r>
            <w:r>
              <w:rPr>
                <w:rFonts w:ascii="Times New Roman" w:eastAsia="Times New Roman"/>
                <w:sz w:val="21"/>
              </w:rPr>
              <w:t>mg/kg</w:t>
            </w:r>
          </w:p>
        </w:tc>
        <w:tc>
          <w:tcPr>
            <w:tcW w:w="1140" w:type="dxa"/>
          </w:tcPr>
          <w:p>
            <w:pPr>
              <w:pStyle w:val="TableParagraph"/>
              <w:spacing w:before="22"/>
              <w:ind w:left="5" w:right="4"/>
              <w:rPr>
                <w:rFonts w:ascii="Times New Roman"/>
                <w:sz w:val="21"/>
              </w:rPr>
            </w:pPr>
            <w:r>
              <w:rPr>
                <w:rFonts w:ascii="Times New Roman"/>
                <w:sz w:val="21"/>
              </w:rPr>
              <w:t>32</w:t>
            </w:r>
          </w:p>
        </w:tc>
        <w:tc>
          <w:tcPr>
            <w:tcW w:w="1135" w:type="dxa"/>
          </w:tcPr>
          <w:p>
            <w:pPr>
              <w:pStyle w:val="TableParagraph"/>
              <w:spacing w:before="22"/>
              <w:ind w:left="16" w:right="15"/>
              <w:rPr>
                <w:rFonts w:ascii="Times New Roman"/>
                <w:sz w:val="21"/>
              </w:rPr>
            </w:pPr>
            <w:r>
              <w:rPr>
                <w:rFonts w:ascii="Times New Roman"/>
                <w:sz w:val="21"/>
              </w:rPr>
              <w:t>36</w:t>
            </w:r>
          </w:p>
        </w:tc>
        <w:tc>
          <w:tcPr>
            <w:tcW w:w="1133" w:type="dxa"/>
          </w:tcPr>
          <w:p>
            <w:pPr>
              <w:pStyle w:val="TableParagraph"/>
              <w:spacing w:before="22"/>
              <w:ind w:left="7" w:right="3"/>
              <w:rPr>
                <w:rFonts w:ascii="Times New Roman"/>
                <w:sz w:val="21"/>
              </w:rPr>
            </w:pPr>
            <w:r>
              <w:rPr>
                <w:rFonts w:ascii="Times New Roman"/>
                <w:sz w:val="21"/>
              </w:rPr>
              <w:t>23</w:t>
            </w:r>
          </w:p>
        </w:tc>
        <w:tc>
          <w:tcPr>
            <w:tcW w:w="1063" w:type="dxa"/>
          </w:tcPr>
          <w:p>
            <w:pPr>
              <w:pStyle w:val="TableParagraph"/>
              <w:spacing w:before="22"/>
              <w:ind w:left="123" w:right="121"/>
              <w:rPr>
                <w:rFonts w:ascii="Times New Roman"/>
                <w:sz w:val="21"/>
              </w:rPr>
            </w:pPr>
            <w:r>
              <w:rPr>
                <w:rFonts w:ascii="Times New Roman"/>
                <w:sz w:val="21"/>
              </w:rPr>
              <w:t>30</w:t>
            </w:r>
          </w:p>
        </w:tc>
        <w:tc>
          <w:tcPr>
            <w:tcW w:w="1347" w:type="dxa"/>
          </w:tcPr>
          <w:p>
            <w:pPr>
              <w:pStyle w:val="TableParagraph"/>
              <w:spacing w:before="22"/>
              <w:ind w:left="285" w:right="279"/>
              <w:rPr>
                <w:rFonts w:ascii="Times New Roman"/>
                <w:sz w:val="21"/>
              </w:rPr>
            </w:pPr>
            <w:r>
              <w:rPr>
                <w:rFonts w:ascii="Times New Roman"/>
                <w:sz w:val="21"/>
              </w:rPr>
              <w:t>18000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eastAsia="Times New Roman"/>
                <w:sz w:val="21"/>
              </w:rPr>
            </w:pPr>
            <w:r>
              <w:rPr>
                <w:sz w:val="21"/>
              </w:rPr>
              <w:t>铅 </w:t>
            </w:r>
            <w:r>
              <w:rPr>
                <w:rFonts w:ascii="Times New Roman" w:eastAsia="Times New Roman"/>
                <w:sz w:val="21"/>
              </w:rPr>
              <w:t>mg/kg</w:t>
            </w:r>
          </w:p>
        </w:tc>
        <w:tc>
          <w:tcPr>
            <w:tcW w:w="1140" w:type="dxa"/>
          </w:tcPr>
          <w:p>
            <w:pPr>
              <w:pStyle w:val="TableParagraph"/>
              <w:spacing w:before="20"/>
              <w:ind w:left="10" w:right="4"/>
              <w:rPr>
                <w:rFonts w:ascii="Times New Roman"/>
                <w:sz w:val="21"/>
              </w:rPr>
            </w:pPr>
            <w:r>
              <w:rPr>
                <w:rFonts w:ascii="Times New Roman"/>
                <w:sz w:val="21"/>
              </w:rPr>
              <w:t>28.3</w:t>
            </w:r>
          </w:p>
        </w:tc>
        <w:tc>
          <w:tcPr>
            <w:tcW w:w="1135" w:type="dxa"/>
          </w:tcPr>
          <w:p>
            <w:pPr>
              <w:pStyle w:val="TableParagraph"/>
              <w:spacing w:before="20"/>
              <w:ind w:left="21" w:right="15"/>
              <w:rPr>
                <w:rFonts w:ascii="Times New Roman"/>
                <w:sz w:val="21"/>
              </w:rPr>
            </w:pPr>
            <w:r>
              <w:rPr>
                <w:rFonts w:ascii="Times New Roman"/>
                <w:sz w:val="21"/>
              </w:rPr>
              <w:t>31.0</w:t>
            </w:r>
          </w:p>
        </w:tc>
        <w:tc>
          <w:tcPr>
            <w:tcW w:w="1133" w:type="dxa"/>
          </w:tcPr>
          <w:p>
            <w:pPr>
              <w:pStyle w:val="TableParagraph"/>
              <w:spacing w:before="20"/>
              <w:ind w:left="7" w:right="3"/>
              <w:rPr>
                <w:rFonts w:ascii="Times New Roman"/>
                <w:sz w:val="21"/>
              </w:rPr>
            </w:pPr>
            <w:r>
              <w:rPr>
                <w:rFonts w:ascii="Times New Roman"/>
                <w:sz w:val="21"/>
              </w:rPr>
              <w:t>31.9</w:t>
            </w:r>
          </w:p>
        </w:tc>
        <w:tc>
          <w:tcPr>
            <w:tcW w:w="1063" w:type="dxa"/>
          </w:tcPr>
          <w:p>
            <w:pPr>
              <w:pStyle w:val="TableParagraph"/>
              <w:spacing w:before="20"/>
              <w:ind w:left="126" w:right="119"/>
              <w:rPr>
                <w:rFonts w:ascii="Times New Roman"/>
                <w:sz w:val="21"/>
              </w:rPr>
            </w:pPr>
            <w:r>
              <w:rPr>
                <w:rFonts w:ascii="Times New Roman"/>
                <w:sz w:val="21"/>
              </w:rPr>
              <w:t>31.1</w:t>
            </w:r>
          </w:p>
        </w:tc>
        <w:tc>
          <w:tcPr>
            <w:tcW w:w="1347" w:type="dxa"/>
          </w:tcPr>
          <w:p>
            <w:pPr>
              <w:pStyle w:val="TableParagraph"/>
              <w:spacing w:before="20"/>
              <w:ind w:left="285" w:right="279"/>
              <w:rPr>
                <w:rFonts w:ascii="Times New Roman"/>
                <w:sz w:val="21"/>
              </w:rPr>
            </w:pPr>
            <w:r>
              <w:rPr>
                <w:rFonts w:ascii="Times New Roman"/>
                <w:sz w:val="21"/>
              </w:rPr>
              <w:t>800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eastAsia="Times New Roman"/>
                <w:sz w:val="21"/>
              </w:rPr>
            </w:pPr>
            <w:r>
              <w:rPr>
                <w:sz w:val="21"/>
              </w:rPr>
              <w:t>六价铬 </w:t>
            </w:r>
            <w:r>
              <w:rPr>
                <w:rFonts w:ascii="Times New Roman" w:eastAsia="Times New Roman"/>
                <w:sz w:val="21"/>
              </w:rPr>
              <w:t>mg/kg</w:t>
            </w:r>
          </w:p>
        </w:tc>
        <w:tc>
          <w:tcPr>
            <w:tcW w:w="1140" w:type="dxa"/>
          </w:tcPr>
          <w:p>
            <w:pPr>
              <w:pStyle w:val="TableParagraph"/>
              <w:spacing w:line="257" w:lineRule="exact" w:before="8"/>
              <w:ind w:left="10" w:right="4"/>
              <w:rPr>
                <w:rFonts w:ascii="Times New Roman" w:eastAsia="Times New Roman"/>
                <w:sz w:val="21"/>
              </w:rPr>
            </w:pPr>
            <w:r>
              <w:rPr>
                <w:sz w:val="21"/>
              </w:rPr>
              <w:t>＜</w:t>
            </w:r>
            <w:r>
              <w:rPr>
                <w:rFonts w:ascii="Times New Roman" w:eastAsia="Times New Roman"/>
                <w:sz w:val="21"/>
              </w:rPr>
              <w:t>0.5</w:t>
            </w:r>
          </w:p>
        </w:tc>
        <w:tc>
          <w:tcPr>
            <w:tcW w:w="1135" w:type="dxa"/>
          </w:tcPr>
          <w:p>
            <w:pPr>
              <w:pStyle w:val="TableParagraph"/>
              <w:spacing w:line="257" w:lineRule="exact" w:before="8"/>
              <w:ind w:left="21" w:right="15"/>
              <w:rPr>
                <w:rFonts w:ascii="Times New Roman" w:eastAsia="Times New Roman"/>
                <w:sz w:val="21"/>
              </w:rPr>
            </w:pPr>
            <w:r>
              <w:rPr>
                <w:sz w:val="21"/>
              </w:rPr>
              <w:t>＜</w:t>
            </w:r>
            <w:r>
              <w:rPr>
                <w:rFonts w:ascii="Times New Roman" w:eastAsia="Times New Roman"/>
                <w:sz w:val="21"/>
              </w:rPr>
              <w:t>0.5</w:t>
            </w:r>
          </w:p>
        </w:tc>
        <w:tc>
          <w:tcPr>
            <w:tcW w:w="1133" w:type="dxa"/>
          </w:tcPr>
          <w:p>
            <w:pPr>
              <w:pStyle w:val="TableParagraph"/>
              <w:spacing w:line="257" w:lineRule="exact" w:before="8"/>
              <w:ind w:left="7" w:right="3"/>
              <w:rPr>
                <w:rFonts w:ascii="Times New Roman" w:eastAsia="Times New Roman"/>
                <w:sz w:val="21"/>
              </w:rPr>
            </w:pPr>
            <w:r>
              <w:rPr>
                <w:sz w:val="21"/>
              </w:rPr>
              <w:t>＜</w:t>
            </w:r>
            <w:r>
              <w:rPr>
                <w:rFonts w:ascii="Times New Roman" w:eastAsia="Times New Roman"/>
                <w:sz w:val="21"/>
              </w:rPr>
              <w:t>0.5</w:t>
            </w:r>
          </w:p>
        </w:tc>
        <w:tc>
          <w:tcPr>
            <w:tcW w:w="1063" w:type="dxa"/>
          </w:tcPr>
          <w:p>
            <w:pPr>
              <w:pStyle w:val="TableParagraph"/>
              <w:spacing w:line="257" w:lineRule="exact" w:before="8"/>
              <w:ind w:left="126" w:right="119"/>
              <w:rPr>
                <w:rFonts w:ascii="Times New Roman" w:eastAsia="Times New Roman"/>
                <w:sz w:val="21"/>
              </w:rPr>
            </w:pPr>
            <w:r>
              <w:rPr>
                <w:sz w:val="21"/>
              </w:rPr>
              <w:t>＜</w:t>
            </w:r>
            <w:r>
              <w:rPr>
                <w:rFonts w:ascii="Times New Roman" w:eastAsia="Times New Roman"/>
                <w:sz w:val="21"/>
              </w:rPr>
              <w:t>0.5</w:t>
            </w:r>
          </w:p>
        </w:tc>
        <w:tc>
          <w:tcPr>
            <w:tcW w:w="1347" w:type="dxa"/>
          </w:tcPr>
          <w:p>
            <w:pPr>
              <w:pStyle w:val="TableParagraph"/>
              <w:spacing w:before="22"/>
              <w:ind w:left="285" w:right="279"/>
              <w:rPr>
                <w:rFonts w:ascii="Times New Roman"/>
                <w:sz w:val="21"/>
              </w:rPr>
            </w:pPr>
            <w:r>
              <w:rPr>
                <w:rFonts w:ascii="Times New Roman"/>
                <w:sz w:val="21"/>
              </w:rPr>
              <w:t>5.7</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eastAsia="Times New Roman"/>
                <w:sz w:val="21"/>
              </w:rPr>
            </w:pPr>
            <w:r>
              <w:rPr>
                <w:sz w:val="21"/>
              </w:rPr>
              <w:t>砷 </w:t>
            </w:r>
            <w:r>
              <w:rPr>
                <w:rFonts w:ascii="Times New Roman" w:eastAsia="Times New Roman"/>
                <w:sz w:val="21"/>
              </w:rPr>
              <w:t>mg/kg</w:t>
            </w:r>
          </w:p>
        </w:tc>
        <w:tc>
          <w:tcPr>
            <w:tcW w:w="1140" w:type="dxa"/>
          </w:tcPr>
          <w:p>
            <w:pPr>
              <w:pStyle w:val="TableParagraph"/>
              <w:spacing w:before="20"/>
              <w:ind w:left="10" w:right="4"/>
              <w:rPr>
                <w:rFonts w:ascii="Times New Roman"/>
                <w:sz w:val="21"/>
              </w:rPr>
            </w:pPr>
            <w:r>
              <w:rPr>
                <w:rFonts w:ascii="Times New Roman"/>
                <w:sz w:val="21"/>
              </w:rPr>
              <w:t>12.5</w:t>
            </w:r>
          </w:p>
        </w:tc>
        <w:tc>
          <w:tcPr>
            <w:tcW w:w="1135" w:type="dxa"/>
          </w:tcPr>
          <w:p>
            <w:pPr>
              <w:pStyle w:val="TableParagraph"/>
              <w:spacing w:before="20"/>
              <w:ind w:left="21" w:right="15"/>
              <w:rPr>
                <w:rFonts w:ascii="Times New Roman"/>
                <w:sz w:val="21"/>
              </w:rPr>
            </w:pPr>
            <w:r>
              <w:rPr>
                <w:rFonts w:ascii="Times New Roman"/>
                <w:sz w:val="21"/>
              </w:rPr>
              <w:t>9.5</w:t>
            </w:r>
          </w:p>
        </w:tc>
        <w:tc>
          <w:tcPr>
            <w:tcW w:w="1133" w:type="dxa"/>
          </w:tcPr>
          <w:p>
            <w:pPr>
              <w:pStyle w:val="TableParagraph"/>
              <w:spacing w:before="20"/>
              <w:ind w:left="7" w:right="3"/>
              <w:rPr>
                <w:rFonts w:ascii="Times New Roman"/>
                <w:sz w:val="21"/>
              </w:rPr>
            </w:pPr>
            <w:r>
              <w:rPr>
                <w:rFonts w:ascii="Times New Roman"/>
                <w:sz w:val="21"/>
              </w:rPr>
              <w:t>7.1</w:t>
            </w:r>
          </w:p>
        </w:tc>
        <w:tc>
          <w:tcPr>
            <w:tcW w:w="1063" w:type="dxa"/>
          </w:tcPr>
          <w:p>
            <w:pPr>
              <w:pStyle w:val="TableParagraph"/>
              <w:spacing w:before="20"/>
              <w:ind w:left="126" w:right="119"/>
              <w:rPr>
                <w:rFonts w:ascii="Times New Roman"/>
                <w:sz w:val="21"/>
              </w:rPr>
            </w:pPr>
            <w:r>
              <w:rPr>
                <w:rFonts w:ascii="Times New Roman"/>
                <w:sz w:val="21"/>
              </w:rPr>
              <w:t>10.0</w:t>
            </w:r>
          </w:p>
        </w:tc>
        <w:tc>
          <w:tcPr>
            <w:tcW w:w="1347" w:type="dxa"/>
          </w:tcPr>
          <w:p>
            <w:pPr>
              <w:pStyle w:val="TableParagraph"/>
              <w:spacing w:before="20"/>
              <w:ind w:left="283" w:right="281"/>
              <w:rPr>
                <w:rFonts w:ascii="Times New Roman"/>
                <w:sz w:val="21"/>
              </w:rPr>
            </w:pPr>
            <w:r>
              <w:rPr>
                <w:rFonts w:ascii="Times New Roman"/>
                <w:sz w:val="21"/>
              </w:rPr>
              <w:t>60</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5" w:lineRule="exact" w:before="8"/>
              <w:ind w:left="107" w:right="104"/>
              <w:rPr>
                <w:rFonts w:ascii="Times New Roman" w:eastAsia="Times New Roman"/>
                <w:sz w:val="21"/>
              </w:rPr>
            </w:pPr>
            <w:r>
              <w:rPr>
                <w:sz w:val="21"/>
              </w:rPr>
              <w:t>汞 </w:t>
            </w:r>
            <w:r>
              <w:rPr>
                <w:rFonts w:ascii="Times New Roman" w:eastAsia="Times New Roman"/>
                <w:sz w:val="21"/>
              </w:rPr>
              <w:t>mg/kg</w:t>
            </w:r>
          </w:p>
        </w:tc>
        <w:tc>
          <w:tcPr>
            <w:tcW w:w="1140" w:type="dxa"/>
          </w:tcPr>
          <w:p>
            <w:pPr>
              <w:pStyle w:val="TableParagraph"/>
              <w:spacing w:line="241" w:lineRule="exact" w:before="22"/>
              <w:ind w:left="10" w:right="4"/>
              <w:rPr>
                <w:rFonts w:ascii="Times New Roman"/>
                <w:sz w:val="21"/>
              </w:rPr>
            </w:pPr>
            <w:r>
              <w:rPr>
                <w:rFonts w:ascii="Times New Roman"/>
                <w:sz w:val="21"/>
              </w:rPr>
              <w:t>0.167</w:t>
            </w:r>
          </w:p>
        </w:tc>
        <w:tc>
          <w:tcPr>
            <w:tcW w:w="1135" w:type="dxa"/>
          </w:tcPr>
          <w:p>
            <w:pPr>
              <w:pStyle w:val="TableParagraph"/>
              <w:spacing w:line="241" w:lineRule="exact" w:before="22"/>
              <w:ind w:left="21" w:right="15"/>
              <w:rPr>
                <w:rFonts w:ascii="Times New Roman"/>
                <w:sz w:val="21"/>
              </w:rPr>
            </w:pPr>
            <w:r>
              <w:rPr>
                <w:rFonts w:ascii="Times New Roman"/>
                <w:sz w:val="21"/>
              </w:rPr>
              <w:t>0.162</w:t>
            </w:r>
          </w:p>
        </w:tc>
        <w:tc>
          <w:tcPr>
            <w:tcW w:w="1133" w:type="dxa"/>
          </w:tcPr>
          <w:p>
            <w:pPr>
              <w:pStyle w:val="TableParagraph"/>
              <w:spacing w:line="241" w:lineRule="exact" w:before="22"/>
              <w:ind w:left="7" w:right="3"/>
              <w:rPr>
                <w:rFonts w:ascii="Times New Roman"/>
                <w:sz w:val="21"/>
              </w:rPr>
            </w:pPr>
            <w:r>
              <w:rPr>
                <w:rFonts w:ascii="Times New Roman"/>
                <w:sz w:val="21"/>
              </w:rPr>
              <w:t>0.090</w:t>
            </w:r>
          </w:p>
        </w:tc>
        <w:tc>
          <w:tcPr>
            <w:tcW w:w="1063" w:type="dxa"/>
          </w:tcPr>
          <w:p>
            <w:pPr>
              <w:pStyle w:val="TableParagraph"/>
              <w:spacing w:line="241" w:lineRule="exact" w:before="22"/>
              <w:ind w:left="126" w:right="119"/>
              <w:rPr>
                <w:rFonts w:ascii="Times New Roman"/>
                <w:sz w:val="21"/>
              </w:rPr>
            </w:pPr>
            <w:r>
              <w:rPr>
                <w:rFonts w:ascii="Times New Roman"/>
                <w:sz w:val="21"/>
              </w:rPr>
              <w:t>0.072</w:t>
            </w:r>
          </w:p>
        </w:tc>
        <w:tc>
          <w:tcPr>
            <w:tcW w:w="1347" w:type="dxa"/>
          </w:tcPr>
          <w:p>
            <w:pPr>
              <w:pStyle w:val="TableParagraph"/>
              <w:spacing w:line="241" w:lineRule="exact" w:before="22"/>
              <w:ind w:left="283" w:right="281"/>
              <w:rPr>
                <w:rFonts w:ascii="Times New Roman"/>
                <w:sz w:val="21"/>
              </w:rPr>
            </w:pPr>
            <w:r>
              <w:rPr>
                <w:rFonts w:ascii="Times New Roman"/>
                <w:sz w:val="21"/>
              </w:rPr>
              <w:t>38</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镍 </w:t>
            </w:r>
            <w:r>
              <w:rPr>
                <w:rFonts w:ascii="Times New Roman" w:eastAsia="Times New Roman"/>
                <w:sz w:val="21"/>
              </w:rPr>
              <w:t>mg/kg</w:t>
            </w:r>
          </w:p>
        </w:tc>
        <w:tc>
          <w:tcPr>
            <w:tcW w:w="1140" w:type="dxa"/>
          </w:tcPr>
          <w:p>
            <w:pPr>
              <w:pStyle w:val="TableParagraph"/>
              <w:spacing w:before="22"/>
              <w:ind w:left="5" w:right="4"/>
              <w:rPr>
                <w:rFonts w:ascii="Times New Roman"/>
                <w:sz w:val="21"/>
              </w:rPr>
            </w:pPr>
            <w:r>
              <w:rPr>
                <w:rFonts w:ascii="Times New Roman"/>
                <w:sz w:val="21"/>
              </w:rPr>
              <w:t>24</w:t>
            </w:r>
          </w:p>
        </w:tc>
        <w:tc>
          <w:tcPr>
            <w:tcW w:w="1135" w:type="dxa"/>
          </w:tcPr>
          <w:p>
            <w:pPr>
              <w:pStyle w:val="TableParagraph"/>
              <w:spacing w:before="22"/>
              <w:ind w:left="16" w:right="15"/>
              <w:rPr>
                <w:rFonts w:ascii="Times New Roman"/>
                <w:sz w:val="21"/>
              </w:rPr>
            </w:pPr>
            <w:r>
              <w:rPr>
                <w:rFonts w:ascii="Times New Roman"/>
                <w:sz w:val="21"/>
              </w:rPr>
              <w:t>34</w:t>
            </w:r>
          </w:p>
        </w:tc>
        <w:tc>
          <w:tcPr>
            <w:tcW w:w="1133" w:type="dxa"/>
          </w:tcPr>
          <w:p>
            <w:pPr>
              <w:pStyle w:val="TableParagraph"/>
              <w:spacing w:before="22"/>
              <w:ind w:left="7" w:right="3"/>
              <w:rPr>
                <w:rFonts w:ascii="Times New Roman"/>
                <w:sz w:val="21"/>
              </w:rPr>
            </w:pPr>
            <w:r>
              <w:rPr>
                <w:rFonts w:ascii="Times New Roman"/>
                <w:sz w:val="21"/>
              </w:rPr>
              <w:t>30</w:t>
            </w:r>
          </w:p>
        </w:tc>
        <w:tc>
          <w:tcPr>
            <w:tcW w:w="1063" w:type="dxa"/>
          </w:tcPr>
          <w:p>
            <w:pPr>
              <w:pStyle w:val="TableParagraph"/>
              <w:spacing w:before="22"/>
              <w:ind w:left="123" w:right="121"/>
              <w:rPr>
                <w:rFonts w:ascii="Times New Roman"/>
                <w:sz w:val="21"/>
              </w:rPr>
            </w:pPr>
            <w:r>
              <w:rPr>
                <w:rFonts w:ascii="Times New Roman"/>
                <w:sz w:val="21"/>
              </w:rPr>
              <w:t>30</w:t>
            </w:r>
          </w:p>
        </w:tc>
        <w:tc>
          <w:tcPr>
            <w:tcW w:w="1347" w:type="dxa"/>
          </w:tcPr>
          <w:p>
            <w:pPr>
              <w:pStyle w:val="TableParagraph"/>
              <w:spacing w:before="22"/>
              <w:ind w:left="285" w:right="279"/>
              <w:rPr>
                <w:rFonts w:ascii="Times New Roman"/>
                <w:sz w:val="21"/>
              </w:rPr>
            </w:pPr>
            <w:r>
              <w:rPr>
                <w:rFonts w:ascii="Times New Roman"/>
                <w:sz w:val="21"/>
              </w:rPr>
              <w:t>900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eastAsia="Times New Roman"/>
                <w:sz w:val="21"/>
              </w:rPr>
            </w:pPr>
            <w:r>
              <w:rPr>
                <w:sz w:val="21"/>
              </w:rPr>
              <w:t>镉 </w:t>
            </w:r>
            <w:r>
              <w:rPr>
                <w:rFonts w:ascii="Times New Roman" w:eastAsia="Times New Roman"/>
                <w:sz w:val="21"/>
              </w:rPr>
              <w:t>mg/kg</w:t>
            </w:r>
          </w:p>
        </w:tc>
        <w:tc>
          <w:tcPr>
            <w:tcW w:w="1140" w:type="dxa"/>
          </w:tcPr>
          <w:p>
            <w:pPr>
              <w:pStyle w:val="TableParagraph"/>
              <w:spacing w:before="20"/>
              <w:ind w:left="10" w:right="4"/>
              <w:rPr>
                <w:rFonts w:ascii="Times New Roman"/>
                <w:sz w:val="21"/>
              </w:rPr>
            </w:pPr>
            <w:r>
              <w:rPr>
                <w:rFonts w:ascii="Times New Roman"/>
                <w:sz w:val="21"/>
              </w:rPr>
              <w:t>0.09</w:t>
            </w:r>
          </w:p>
        </w:tc>
        <w:tc>
          <w:tcPr>
            <w:tcW w:w="1135" w:type="dxa"/>
          </w:tcPr>
          <w:p>
            <w:pPr>
              <w:pStyle w:val="TableParagraph"/>
              <w:spacing w:before="20"/>
              <w:ind w:left="21" w:right="15"/>
              <w:rPr>
                <w:rFonts w:ascii="Times New Roman"/>
                <w:sz w:val="21"/>
              </w:rPr>
            </w:pPr>
            <w:r>
              <w:rPr>
                <w:rFonts w:ascii="Times New Roman"/>
                <w:sz w:val="21"/>
              </w:rPr>
              <w:t>0.07</w:t>
            </w:r>
          </w:p>
        </w:tc>
        <w:tc>
          <w:tcPr>
            <w:tcW w:w="1133" w:type="dxa"/>
          </w:tcPr>
          <w:p>
            <w:pPr>
              <w:pStyle w:val="TableParagraph"/>
              <w:spacing w:before="20"/>
              <w:ind w:left="7" w:right="3"/>
              <w:rPr>
                <w:rFonts w:ascii="Times New Roman"/>
                <w:sz w:val="21"/>
              </w:rPr>
            </w:pPr>
            <w:r>
              <w:rPr>
                <w:rFonts w:ascii="Times New Roman"/>
                <w:sz w:val="21"/>
              </w:rPr>
              <w:t>0.05</w:t>
            </w:r>
          </w:p>
        </w:tc>
        <w:tc>
          <w:tcPr>
            <w:tcW w:w="1063" w:type="dxa"/>
          </w:tcPr>
          <w:p>
            <w:pPr>
              <w:pStyle w:val="TableParagraph"/>
              <w:spacing w:before="20"/>
              <w:ind w:left="126" w:right="119"/>
              <w:rPr>
                <w:rFonts w:ascii="Times New Roman"/>
                <w:sz w:val="21"/>
              </w:rPr>
            </w:pPr>
            <w:r>
              <w:rPr>
                <w:rFonts w:ascii="Times New Roman"/>
                <w:sz w:val="21"/>
              </w:rPr>
              <w:t>0.06</w:t>
            </w:r>
          </w:p>
        </w:tc>
        <w:tc>
          <w:tcPr>
            <w:tcW w:w="1347" w:type="dxa"/>
          </w:tcPr>
          <w:p>
            <w:pPr>
              <w:pStyle w:val="TableParagraph"/>
              <w:spacing w:before="20"/>
              <w:ind w:left="283" w:right="281"/>
              <w:rPr>
                <w:rFonts w:ascii="Times New Roman"/>
                <w:sz w:val="21"/>
              </w:rPr>
            </w:pPr>
            <w:r>
              <w:rPr>
                <w:rFonts w:ascii="Times New Roman"/>
                <w:sz w:val="21"/>
              </w:rPr>
              <w:t>65</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&lt;1.3</w:t>
            </w:r>
          </w:p>
        </w:tc>
        <w:tc>
          <w:tcPr>
            <w:tcW w:w="1135" w:type="dxa"/>
          </w:tcPr>
          <w:p>
            <w:pPr>
              <w:pStyle w:val="TableParagraph"/>
              <w:spacing w:before="22"/>
              <w:ind w:left="21" w:right="15"/>
              <w:rPr>
                <w:rFonts w:ascii="Times New Roman"/>
                <w:sz w:val="21"/>
              </w:rPr>
            </w:pPr>
            <w:r>
              <w:rPr>
                <w:rFonts w:ascii="Times New Roman"/>
                <w:sz w:val="21"/>
              </w:rPr>
              <w:t>&lt;1.3</w:t>
            </w:r>
          </w:p>
        </w:tc>
        <w:tc>
          <w:tcPr>
            <w:tcW w:w="1133" w:type="dxa"/>
          </w:tcPr>
          <w:p>
            <w:pPr>
              <w:pStyle w:val="TableParagraph"/>
              <w:spacing w:before="22"/>
              <w:ind w:left="6" w:right="3"/>
              <w:rPr>
                <w:rFonts w:ascii="Times New Roman"/>
                <w:sz w:val="21"/>
              </w:rPr>
            </w:pPr>
            <w:r>
              <w:rPr>
                <w:rFonts w:ascii="Times New Roman"/>
                <w:sz w:val="21"/>
              </w:rPr>
              <w:t>&lt;1.3</w:t>
            </w:r>
          </w:p>
        </w:tc>
        <w:tc>
          <w:tcPr>
            <w:tcW w:w="1063" w:type="dxa"/>
          </w:tcPr>
          <w:p>
            <w:pPr>
              <w:pStyle w:val="TableParagraph"/>
              <w:spacing w:before="22"/>
              <w:ind w:left="126" w:right="120"/>
              <w:rPr>
                <w:rFonts w:ascii="Times New Roman"/>
                <w:sz w:val="21"/>
              </w:rPr>
            </w:pPr>
            <w:r>
              <w:rPr>
                <w:rFonts w:ascii="Times New Roman"/>
                <w:sz w:val="21"/>
              </w:rPr>
              <w:t>&lt;1.3</w:t>
            </w:r>
          </w:p>
        </w:tc>
        <w:tc>
          <w:tcPr>
            <w:tcW w:w="1347" w:type="dxa"/>
          </w:tcPr>
          <w:p>
            <w:pPr>
              <w:pStyle w:val="TableParagraph"/>
              <w:spacing w:before="22"/>
              <w:ind w:left="285" w:right="279"/>
              <w:rPr>
                <w:rFonts w:ascii="Times New Roman"/>
                <w:sz w:val="21"/>
              </w:rPr>
            </w:pPr>
            <w:r>
              <w:rPr>
                <w:rFonts w:ascii="Times New Roman"/>
                <w:sz w:val="21"/>
              </w:rPr>
              <w:t>2800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&lt;1.1</w:t>
            </w:r>
          </w:p>
        </w:tc>
        <w:tc>
          <w:tcPr>
            <w:tcW w:w="1135" w:type="dxa"/>
          </w:tcPr>
          <w:p>
            <w:pPr>
              <w:pStyle w:val="TableParagraph"/>
              <w:spacing w:before="20"/>
              <w:ind w:left="21" w:right="15"/>
              <w:rPr>
                <w:rFonts w:ascii="Times New Roman"/>
                <w:sz w:val="21"/>
              </w:rPr>
            </w:pPr>
            <w:r>
              <w:rPr>
                <w:rFonts w:ascii="Times New Roman"/>
                <w:sz w:val="21"/>
              </w:rPr>
              <w:t>&lt;1.1</w:t>
            </w:r>
          </w:p>
        </w:tc>
        <w:tc>
          <w:tcPr>
            <w:tcW w:w="1133" w:type="dxa"/>
          </w:tcPr>
          <w:p>
            <w:pPr>
              <w:pStyle w:val="TableParagraph"/>
              <w:spacing w:before="20"/>
              <w:ind w:left="6" w:right="3"/>
              <w:rPr>
                <w:rFonts w:ascii="Times New Roman"/>
                <w:sz w:val="21"/>
              </w:rPr>
            </w:pPr>
            <w:r>
              <w:rPr>
                <w:rFonts w:ascii="Times New Roman"/>
                <w:sz w:val="21"/>
              </w:rPr>
              <w:t>&lt;1.1</w:t>
            </w:r>
          </w:p>
        </w:tc>
        <w:tc>
          <w:tcPr>
            <w:tcW w:w="1063" w:type="dxa"/>
          </w:tcPr>
          <w:p>
            <w:pPr>
              <w:pStyle w:val="TableParagraph"/>
              <w:spacing w:before="20"/>
              <w:ind w:left="126" w:right="120"/>
              <w:rPr>
                <w:rFonts w:ascii="Times New Roman"/>
                <w:sz w:val="21"/>
              </w:rPr>
            </w:pPr>
            <w:r>
              <w:rPr>
                <w:rFonts w:ascii="Times New Roman"/>
                <w:sz w:val="21"/>
              </w:rPr>
              <w:t>&lt;1.1</w:t>
            </w:r>
          </w:p>
        </w:tc>
        <w:tc>
          <w:tcPr>
            <w:tcW w:w="1347" w:type="dxa"/>
          </w:tcPr>
          <w:p>
            <w:pPr>
              <w:pStyle w:val="TableParagraph"/>
              <w:spacing w:before="20"/>
              <w:ind w:left="285" w:right="279"/>
              <w:rPr>
                <w:rFonts w:ascii="Times New Roman"/>
                <w:sz w:val="21"/>
              </w:rPr>
            </w:pPr>
            <w:r>
              <w:rPr>
                <w:rFonts w:ascii="Times New Roman"/>
                <w:sz w:val="21"/>
              </w:rPr>
              <w:t>900</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5" w:lineRule="exact" w:before="8"/>
              <w:ind w:left="107" w:right="104"/>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&lt;1.0</w:t>
            </w:r>
          </w:p>
        </w:tc>
        <w:tc>
          <w:tcPr>
            <w:tcW w:w="1135" w:type="dxa"/>
          </w:tcPr>
          <w:p>
            <w:pPr>
              <w:pStyle w:val="TableParagraph"/>
              <w:spacing w:line="241" w:lineRule="exact" w:before="22"/>
              <w:ind w:left="21" w:right="15"/>
              <w:rPr>
                <w:rFonts w:ascii="Times New Roman"/>
                <w:sz w:val="21"/>
              </w:rPr>
            </w:pPr>
            <w:r>
              <w:rPr>
                <w:rFonts w:ascii="Times New Roman"/>
                <w:sz w:val="21"/>
              </w:rPr>
              <w:t>&lt;1.0</w:t>
            </w:r>
          </w:p>
        </w:tc>
        <w:tc>
          <w:tcPr>
            <w:tcW w:w="1133" w:type="dxa"/>
          </w:tcPr>
          <w:p>
            <w:pPr>
              <w:pStyle w:val="TableParagraph"/>
              <w:spacing w:line="241" w:lineRule="exact" w:before="22"/>
              <w:ind w:left="6" w:right="3"/>
              <w:rPr>
                <w:rFonts w:ascii="Times New Roman"/>
                <w:sz w:val="21"/>
              </w:rPr>
            </w:pPr>
            <w:r>
              <w:rPr>
                <w:rFonts w:ascii="Times New Roman"/>
                <w:sz w:val="21"/>
              </w:rPr>
              <w:t>&lt;1.0</w:t>
            </w:r>
          </w:p>
        </w:tc>
        <w:tc>
          <w:tcPr>
            <w:tcW w:w="1063" w:type="dxa"/>
          </w:tcPr>
          <w:p>
            <w:pPr>
              <w:pStyle w:val="TableParagraph"/>
              <w:spacing w:line="241" w:lineRule="exact" w:before="22"/>
              <w:ind w:left="126" w:right="120"/>
              <w:rPr>
                <w:rFonts w:ascii="Times New Roman"/>
                <w:sz w:val="21"/>
              </w:rPr>
            </w:pPr>
            <w:r>
              <w:rPr>
                <w:rFonts w:ascii="Times New Roman"/>
                <w:sz w:val="21"/>
              </w:rPr>
              <w:t>&lt;1.0</w:t>
            </w:r>
          </w:p>
        </w:tc>
        <w:tc>
          <w:tcPr>
            <w:tcW w:w="1347" w:type="dxa"/>
          </w:tcPr>
          <w:p>
            <w:pPr>
              <w:pStyle w:val="TableParagraph"/>
              <w:spacing w:line="241" w:lineRule="exact" w:before="22"/>
              <w:ind w:left="285" w:right="279"/>
              <w:rPr>
                <w:rFonts w:ascii="Times New Roman"/>
                <w:sz w:val="21"/>
              </w:rPr>
            </w:pPr>
            <w:r>
              <w:rPr>
                <w:rFonts w:ascii="Times New Roman"/>
                <w:sz w:val="21"/>
              </w:rPr>
              <w:t>37000</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9000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&lt;1.3</w:t>
            </w:r>
          </w:p>
        </w:tc>
        <w:tc>
          <w:tcPr>
            <w:tcW w:w="1135" w:type="dxa"/>
          </w:tcPr>
          <w:p>
            <w:pPr>
              <w:pStyle w:val="TableParagraph"/>
              <w:spacing w:before="20"/>
              <w:ind w:left="21" w:right="15"/>
              <w:rPr>
                <w:rFonts w:ascii="Times New Roman"/>
                <w:sz w:val="21"/>
              </w:rPr>
            </w:pPr>
            <w:r>
              <w:rPr>
                <w:rFonts w:ascii="Times New Roman"/>
                <w:sz w:val="21"/>
              </w:rPr>
              <w:t>&lt;1.3</w:t>
            </w:r>
          </w:p>
        </w:tc>
        <w:tc>
          <w:tcPr>
            <w:tcW w:w="1133" w:type="dxa"/>
          </w:tcPr>
          <w:p>
            <w:pPr>
              <w:pStyle w:val="TableParagraph"/>
              <w:spacing w:before="20"/>
              <w:ind w:left="6" w:right="3"/>
              <w:rPr>
                <w:rFonts w:ascii="Times New Roman"/>
                <w:sz w:val="21"/>
              </w:rPr>
            </w:pPr>
            <w:r>
              <w:rPr>
                <w:rFonts w:ascii="Times New Roman"/>
                <w:sz w:val="21"/>
              </w:rPr>
              <w:t>&lt;1.3</w:t>
            </w:r>
          </w:p>
        </w:tc>
        <w:tc>
          <w:tcPr>
            <w:tcW w:w="1063" w:type="dxa"/>
          </w:tcPr>
          <w:p>
            <w:pPr>
              <w:pStyle w:val="TableParagraph"/>
              <w:spacing w:before="20"/>
              <w:ind w:left="126" w:right="120"/>
              <w:rPr>
                <w:rFonts w:ascii="Times New Roman"/>
                <w:sz w:val="21"/>
              </w:rPr>
            </w:pPr>
            <w:r>
              <w:rPr>
                <w:rFonts w:ascii="Times New Roman"/>
                <w:sz w:val="21"/>
              </w:rPr>
              <w:t>&lt;1.3</w:t>
            </w:r>
          </w:p>
        </w:tc>
        <w:tc>
          <w:tcPr>
            <w:tcW w:w="1347" w:type="dxa"/>
          </w:tcPr>
          <w:p>
            <w:pPr>
              <w:pStyle w:val="TableParagraph"/>
              <w:spacing w:before="20"/>
              <w:ind w:left="285" w:right="279"/>
              <w:rPr>
                <w:rFonts w:ascii="Times New Roman"/>
                <w:sz w:val="21"/>
              </w:rPr>
            </w:pPr>
            <w:r>
              <w:rPr>
                <w:rFonts w:ascii="Times New Roman"/>
                <w:sz w:val="21"/>
              </w:rPr>
              <w:t>5000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&lt;1.0</w:t>
            </w:r>
          </w:p>
        </w:tc>
        <w:tc>
          <w:tcPr>
            <w:tcW w:w="1135" w:type="dxa"/>
          </w:tcPr>
          <w:p>
            <w:pPr>
              <w:pStyle w:val="TableParagraph"/>
              <w:spacing w:before="22"/>
              <w:ind w:left="21" w:right="15"/>
              <w:rPr>
                <w:rFonts w:ascii="Times New Roman"/>
                <w:sz w:val="21"/>
              </w:rPr>
            </w:pPr>
            <w:r>
              <w:rPr>
                <w:rFonts w:ascii="Times New Roman"/>
                <w:sz w:val="21"/>
              </w:rPr>
              <w:t>&lt;1.0</w:t>
            </w:r>
          </w:p>
        </w:tc>
        <w:tc>
          <w:tcPr>
            <w:tcW w:w="1133" w:type="dxa"/>
          </w:tcPr>
          <w:p>
            <w:pPr>
              <w:pStyle w:val="TableParagraph"/>
              <w:spacing w:before="22"/>
              <w:ind w:left="6" w:right="3"/>
              <w:rPr>
                <w:rFonts w:ascii="Times New Roman"/>
                <w:sz w:val="21"/>
              </w:rPr>
            </w:pPr>
            <w:r>
              <w:rPr>
                <w:rFonts w:ascii="Times New Roman"/>
                <w:sz w:val="21"/>
              </w:rPr>
              <w:t>&lt;1.0</w:t>
            </w:r>
          </w:p>
        </w:tc>
        <w:tc>
          <w:tcPr>
            <w:tcW w:w="1063" w:type="dxa"/>
          </w:tcPr>
          <w:p>
            <w:pPr>
              <w:pStyle w:val="TableParagraph"/>
              <w:spacing w:before="22"/>
              <w:ind w:left="126" w:right="120"/>
              <w:rPr>
                <w:rFonts w:ascii="Times New Roman"/>
                <w:sz w:val="21"/>
              </w:rPr>
            </w:pPr>
            <w:r>
              <w:rPr>
                <w:rFonts w:ascii="Times New Roman"/>
                <w:sz w:val="21"/>
              </w:rPr>
              <w:t>&lt;1.0</w:t>
            </w:r>
          </w:p>
        </w:tc>
        <w:tc>
          <w:tcPr>
            <w:tcW w:w="1347" w:type="dxa"/>
          </w:tcPr>
          <w:p>
            <w:pPr>
              <w:pStyle w:val="TableParagraph"/>
              <w:spacing w:before="22"/>
              <w:ind w:left="285" w:right="279"/>
              <w:rPr>
                <w:rFonts w:ascii="Times New Roman"/>
                <w:sz w:val="21"/>
              </w:rPr>
            </w:pPr>
            <w:r>
              <w:rPr>
                <w:rFonts w:ascii="Times New Roman"/>
                <w:sz w:val="21"/>
              </w:rPr>
              <w:t>66000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&lt;1.3</w:t>
            </w:r>
          </w:p>
        </w:tc>
        <w:tc>
          <w:tcPr>
            <w:tcW w:w="1135" w:type="dxa"/>
          </w:tcPr>
          <w:p>
            <w:pPr>
              <w:pStyle w:val="TableParagraph"/>
              <w:spacing w:before="20"/>
              <w:ind w:left="21" w:right="15"/>
              <w:rPr>
                <w:rFonts w:ascii="Times New Roman"/>
                <w:sz w:val="21"/>
              </w:rPr>
            </w:pPr>
            <w:r>
              <w:rPr>
                <w:rFonts w:ascii="Times New Roman"/>
                <w:sz w:val="21"/>
              </w:rPr>
              <w:t>&lt;1.3</w:t>
            </w:r>
          </w:p>
        </w:tc>
        <w:tc>
          <w:tcPr>
            <w:tcW w:w="1133" w:type="dxa"/>
          </w:tcPr>
          <w:p>
            <w:pPr>
              <w:pStyle w:val="TableParagraph"/>
              <w:spacing w:before="20"/>
              <w:ind w:left="6" w:right="3"/>
              <w:rPr>
                <w:rFonts w:ascii="Times New Roman"/>
                <w:sz w:val="21"/>
              </w:rPr>
            </w:pPr>
            <w:r>
              <w:rPr>
                <w:rFonts w:ascii="Times New Roman"/>
                <w:sz w:val="21"/>
              </w:rPr>
              <w:t>&lt;1.3</w:t>
            </w:r>
          </w:p>
        </w:tc>
        <w:tc>
          <w:tcPr>
            <w:tcW w:w="1063" w:type="dxa"/>
          </w:tcPr>
          <w:p>
            <w:pPr>
              <w:pStyle w:val="TableParagraph"/>
              <w:spacing w:before="20"/>
              <w:ind w:left="126" w:right="120"/>
              <w:rPr>
                <w:rFonts w:ascii="Times New Roman"/>
                <w:sz w:val="21"/>
              </w:rPr>
            </w:pPr>
            <w:r>
              <w:rPr>
                <w:rFonts w:ascii="Times New Roman"/>
                <w:sz w:val="21"/>
              </w:rPr>
              <w:t>&lt;1.3</w:t>
            </w:r>
          </w:p>
        </w:tc>
        <w:tc>
          <w:tcPr>
            <w:tcW w:w="1347" w:type="dxa"/>
          </w:tcPr>
          <w:p>
            <w:pPr>
              <w:pStyle w:val="TableParagraph"/>
              <w:spacing w:before="20"/>
              <w:ind w:left="285" w:right="279"/>
              <w:rPr>
                <w:rFonts w:ascii="Times New Roman"/>
                <w:sz w:val="21"/>
              </w:rPr>
            </w:pPr>
            <w:r>
              <w:rPr>
                <w:rFonts w:ascii="Times New Roman"/>
                <w:sz w:val="21"/>
              </w:rPr>
              <w:t>596000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&lt;1.4</w:t>
            </w:r>
          </w:p>
        </w:tc>
        <w:tc>
          <w:tcPr>
            <w:tcW w:w="1135" w:type="dxa"/>
          </w:tcPr>
          <w:p>
            <w:pPr>
              <w:pStyle w:val="TableParagraph"/>
              <w:spacing w:before="22"/>
              <w:ind w:left="21" w:right="15"/>
              <w:rPr>
                <w:rFonts w:ascii="Times New Roman"/>
                <w:sz w:val="21"/>
              </w:rPr>
            </w:pPr>
            <w:r>
              <w:rPr>
                <w:rFonts w:ascii="Times New Roman"/>
                <w:sz w:val="21"/>
              </w:rPr>
              <w:t>&lt;1.4</w:t>
            </w:r>
          </w:p>
        </w:tc>
        <w:tc>
          <w:tcPr>
            <w:tcW w:w="1133" w:type="dxa"/>
          </w:tcPr>
          <w:p>
            <w:pPr>
              <w:pStyle w:val="TableParagraph"/>
              <w:spacing w:before="22"/>
              <w:ind w:left="6" w:right="3"/>
              <w:rPr>
                <w:rFonts w:ascii="Times New Roman"/>
                <w:sz w:val="21"/>
              </w:rPr>
            </w:pPr>
            <w:r>
              <w:rPr>
                <w:rFonts w:ascii="Times New Roman"/>
                <w:sz w:val="21"/>
              </w:rPr>
              <w:t>&lt;1.4</w:t>
            </w:r>
          </w:p>
        </w:tc>
        <w:tc>
          <w:tcPr>
            <w:tcW w:w="1063" w:type="dxa"/>
          </w:tcPr>
          <w:p>
            <w:pPr>
              <w:pStyle w:val="TableParagraph"/>
              <w:spacing w:before="22"/>
              <w:ind w:left="126" w:right="120"/>
              <w:rPr>
                <w:rFonts w:ascii="Times New Roman"/>
                <w:sz w:val="21"/>
              </w:rPr>
            </w:pPr>
            <w:r>
              <w:rPr>
                <w:rFonts w:ascii="Times New Roman"/>
                <w:sz w:val="21"/>
              </w:rPr>
              <w:t>&lt;1.4</w:t>
            </w:r>
          </w:p>
        </w:tc>
        <w:tc>
          <w:tcPr>
            <w:tcW w:w="1347" w:type="dxa"/>
          </w:tcPr>
          <w:p>
            <w:pPr>
              <w:pStyle w:val="TableParagraph"/>
              <w:spacing w:before="22"/>
              <w:ind w:left="285" w:right="279"/>
              <w:rPr>
                <w:rFonts w:ascii="Times New Roman"/>
                <w:sz w:val="21"/>
              </w:rPr>
            </w:pPr>
            <w:r>
              <w:rPr>
                <w:rFonts w:ascii="Times New Roman"/>
                <w:sz w:val="21"/>
              </w:rPr>
              <w:t>54000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10" w:right="104"/>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&lt;1.5</w:t>
            </w:r>
          </w:p>
        </w:tc>
        <w:tc>
          <w:tcPr>
            <w:tcW w:w="1135" w:type="dxa"/>
          </w:tcPr>
          <w:p>
            <w:pPr>
              <w:pStyle w:val="TableParagraph"/>
              <w:spacing w:before="20"/>
              <w:ind w:left="21" w:right="15"/>
              <w:rPr>
                <w:rFonts w:ascii="Times New Roman"/>
                <w:sz w:val="21"/>
              </w:rPr>
            </w:pPr>
            <w:r>
              <w:rPr>
                <w:rFonts w:ascii="Times New Roman"/>
                <w:sz w:val="21"/>
              </w:rPr>
              <w:t>&lt;1.5</w:t>
            </w:r>
          </w:p>
        </w:tc>
        <w:tc>
          <w:tcPr>
            <w:tcW w:w="1133" w:type="dxa"/>
          </w:tcPr>
          <w:p>
            <w:pPr>
              <w:pStyle w:val="TableParagraph"/>
              <w:spacing w:before="20"/>
              <w:ind w:left="6" w:right="3"/>
              <w:rPr>
                <w:rFonts w:ascii="Times New Roman"/>
                <w:sz w:val="21"/>
              </w:rPr>
            </w:pPr>
            <w:r>
              <w:rPr>
                <w:rFonts w:ascii="Times New Roman"/>
                <w:sz w:val="21"/>
              </w:rPr>
              <w:t>&lt;1.5</w:t>
            </w:r>
          </w:p>
        </w:tc>
        <w:tc>
          <w:tcPr>
            <w:tcW w:w="1063" w:type="dxa"/>
          </w:tcPr>
          <w:p>
            <w:pPr>
              <w:pStyle w:val="TableParagraph"/>
              <w:spacing w:before="20"/>
              <w:ind w:left="126" w:right="120"/>
              <w:rPr>
                <w:rFonts w:ascii="Times New Roman"/>
                <w:sz w:val="21"/>
              </w:rPr>
            </w:pPr>
            <w:r>
              <w:rPr>
                <w:rFonts w:ascii="Times New Roman"/>
                <w:sz w:val="21"/>
              </w:rPr>
              <w:t>&lt;1.5</w:t>
            </w:r>
          </w:p>
        </w:tc>
        <w:tc>
          <w:tcPr>
            <w:tcW w:w="1347" w:type="dxa"/>
          </w:tcPr>
          <w:p>
            <w:pPr>
              <w:pStyle w:val="TableParagraph"/>
              <w:spacing w:before="20"/>
              <w:ind w:left="285" w:right="279"/>
              <w:rPr>
                <w:rFonts w:ascii="Times New Roman"/>
                <w:sz w:val="21"/>
              </w:rPr>
            </w:pPr>
            <w:r>
              <w:rPr>
                <w:rFonts w:ascii="Times New Roman"/>
                <w:sz w:val="21"/>
              </w:rPr>
              <w:t>616000</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5" w:lineRule="exact" w:before="8"/>
              <w:ind w:left="107" w:right="104"/>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&lt;1.1</w:t>
            </w:r>
          </w:p>
        </w:tc>
        <w:tc>
          <w:tcPr>
            <w:tcW w:w="1135" w:type="dxa"/>
          </w:tcPr>
          <w:p>
            <w:pPr>
              <w:pStyle w:val="TableParagraph"/>
              <w:spacing w:line="241" w:lineRule="exact" w:before="22"/>
              <w:ind w:left="21" w:right="15"/>
              <w:rPr>
                <w:rFonts w:ascii="Times New Roman"/>
                <w:sz w:val="21"/>
              </w:rPr>
            </w:pPr>
            <w:r>
              <w:rPr>
                <w:rFonts w:ascii="Times New Roman"/>
                <w:sz w:val="21"/>
              </w:rPr>
              <w:t>&lt;1.1</w:t>
            </w:r>
          </w:p>
        </w:tc>
        <w:tc>
          <w:tcPr>
            <w:tcW w:w="1133" w:type="dxa"/>
          </w:tcPr>
          <w:p>
            <w:pPr>
              <w:pStyle w:val="TableParagraph"/>
              <w:spacing w:line="241" w:lineRule="exact" w:before="22"/>
              <w:ind w:left="6" w:right="3"/>
              <w:rPr>
                <w:rFonts w:ascii="Times New Roman"/>
                <w:sz w:val="21"/>
              </w:rPr>
            </w:pPr>
            <w:r>
              <w:rPr>
                <w:rFonts w:ascii="Times New Roman"/>
                <w:sz w:val="21"/>
              </w:rPr>
              <w:t>&lt;1.1</w:t>
            </w:r>
          </w:p>
        </w:tc>
        <w:tc>
          <w:tcPr>
            <w:tcW w:w="1063" w:type="dxa"/>
          </w:tcPr>
          <w:p>
            <w:pPr>
              <w:pStyle w:val="TableParagraph"/>
              <w:spacing w:line="241" w:lineRule="exact" w:before="22"/>
              <w:ind w:left="126" w:right="120"/>
              <w:rPr>
                <w:rFonts w:ascii="Times New Roman"/>
                <w:sz w:val="21"/>
              </w:rPr>
            </w:pPr>
            <w:r>
              <w:rPr>
                <w:rFonts w:ascii="Times New Roman"/>
                <w:sz w:val="21"/>
              </w:rPr>
              <w:t>&lt;1.1</w:t>
            </w:r>
          </w:p>
        </w:tc>
        <w:tc>
          <w:tcPr>
            <w:tcW w:w="1347" w:type="dxa"/>
          </w:tcPr>
          <w:p>
            <w:pPr>
              <w:pStyle w:val="TableParagraph"/>
              <w:spacing w:line="241" w:lineRule="exact" w:before="22"/>
              <w:ind w:left="285" w:right="279"/>
              <w:rPr>
                <w:rFonts w:ascii="Times New Roman"/>
                <w:sz w:val="21"/>
              </w:rPr>
            </w:pPr>
            <w:r>
              <w:rPr>
                <w:rFonts w:ascii="Times New Roman"/>
                <w:sz w:val="21"/>
              </w:rPr>
              <w:t>5000</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10000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10" w:right="104"/>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&lt;1.2</w:t>
            </w:r>
          </w:p>
        </w:tc>
        <w:tc>
          <w:tcPr>
            <w:tcW w:w="1135" w:type="dxa"/>
          </w:tcPr>
          <w:p>
            <w:pPr>
              <w:pStyle w:val="TableParagraph"/>
              <w:spacing w:before="20"/>
              <w:ind w:left="21" w:right="15"/>
              <w:rPr>
                <w:rFonts w:ascii="Times New Roman"/>
                <w:sz w:val="21"/>
              </w:rPr>
            </w:pPr>
            <w:r>
              <w:rPr>
                <w:rFonts w:ascii="Times New Roman"/>
                <w:sz w:val="21"/>
              </w:rPr>
              <w:t>&lt;1.2</w:t>
            </w:r>
          </w:p>
        </w:tc>
        <w:tc>
          <w:tcPr>
            <w:tcW w:w="1133" w:type="dxa"/>
          </w:tcPr>
          <w:p>
            <w:pPr>
              <w:pStyle w:val="TableParagraph"/>
              <w:spacing w:before="20"/>
              <w:ind w:left="6" w:right="3"/>
              <w:rPr>
                <w:rFonts w:ascii="Times New Roman"/>
                <w:sz w:val="21"/>
              </w:rPr>
            </w:pPr>
            <w:r>
              <w:rPr>
                <w:rFonts w:ascii="Times New Roman"/>
                <w:sz w:val="21"/>
              </w:rPr>
              <w:t>&lt;1.2</w:t>
            </w:r>
          </w:p>
        </w:tc>
        <w:tc>
          <w:tcPr>
            <w:tcW w:w="1063" w:type="dxa"/>
          </w:tcPr>
          <w:p>
            <w:pPr>
              <w:pStyle w:val="TableParagraph"/>
              <w:spacing w:before="20"/>
              <w:ind w:left="126" w:right="120"/>
              <w:rPr>
                <w:rFonts w:ascii="Times New Roman"/>
                <w:sz w:val="21"/>
              </w:rPr>
            </w:pPr>
            <w:r>
              <w:rPr>
                <w:rFonts w:ascii="Times New Roman"/>
                <w:sz w:val="21"/>
              </w:rPr>
              <w:t>&lt;1.2</w:t>
            </w:r>
          </w:p>
        </w:tc>
        <w:tc>
          <w:tcPr>
            <w:tcW w:w="1347" w:type="dxa"/>
          </w:tcPr>
          <w:p>
            <w:pPr>
              <w:pStyle w:val="TableParagraph"/>
              <w:spacing w:before="20"/>
              <w:ind w:left="285" w:right="279"/>
              <w:rPr>
                <w:rFonts w:ascii="Times New Roman"/>
                <w:sz w:val="21"/>
              </w:rPr>
            </w:pPr>
            <w:r>
              <w:rPr>
                <w:rFonts w:ascii="Times New Roman"/>
                <w:sz w:val="21"/>
              </w:rPr>
              <w:t>6800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&lt;1.4</w:t>
            </w:r>
          </w:p>
        </w:tc>
        <w:tc>
          <w:tcPr>
            <w:tcW w:w="1135" w:type="dxa"/>
          </w:tcPr>
          <w:p>
            <w:pPr>
              <w:pStyle w:val="TableParagraph"/>
              <w:spacing w:before="22"/>
              <w:ind w:left="21" w:right="15"/>
              <w:rPr>
                <w:rFonts w:ascii="Times New Roman"/>
                <w:sz w:val="21"/>
              </w:rPr>
            </w:pPr>
            <w:r>
              <w:rPr>
                <w:rFonts w:ascii="Times New Roman"/>
                <w:sz w:val="21"/>
              </w:rPr>
              <w:t>&lt;1.4</w:t>
            </w:r>
          </w:p>
        </w:tc>
        <w:tc>
          <w:tcPr>
            <w:tcW w:w="1133" w:type="dxa"/>
          </w:tcPr>
          <w:p>
            <w:pPr>
              <w:pStyle w:val="TableParagraph"/>
              <w:spacing w:before="22"/>
              <w:ind w:left="6" w:right="3"/>
              <w:rPr>
                <w:rFonts w:ascii="Times New Roman"/>
                <w:sz w:val="21"/>
              </w:rPr>
            </w:pPr>
            <w:r>
              <w:rPr>
                <w:rFonts w:ascii="Times New Roman"/>
                <w:sz w:val="21"/>
              </w:rPr>
              <w:t>&lt;1.4</w:t>
            </w:r>
          </w:p>
        </w:tc>
        <w:tc>
          <w:tcPr>
            <w:tcW w:w="1063" w:type="dxa"/>
          </w:tcPr>
          <w:p>
            <w:pPr>
              <w:pStyle w:val="TableParagraph"/>
              <w:spacing w:before="22"/>
              <w:ind w:left="126" w:right="120"/>
              <w:rPr>
                <w:rFonts w:ascii="Times New Roman"/>
                <w:sz w:val="21"/>
              </w:rPr>
            </w:pPr>
            <w:r>
              <w:rPr>
                <w:rFonts w:ascii="Times New Roman"/>
                <w:sz w:val="21"/>
              </w:rPr>
              <w:t>&lt;1.4</w:t>
            </w:r>
          </w:p>
        </w:tc>
        <w:tc>
          <w:tcPr>
            <w:tcW w:w="1347" w:type="dxa"/>
          </w:tcPr>
          <w:p>
            <w:pPr>
              <w:pStyle w:val="TableParagraph"/>
              <w:spacing w:before="22"/>
              <w:ind w:left="285" w:right="279"/>
              <w:rPr>
                <w:rFonts w:ascii="Times New Roman"/>
                <w:sz w:val="21"/>
              </w:rPr>
            </w:pPr>
            <w:r>
              <w:rPr>
                <w:rFonts w:ascii="Times New Roman"/>
                <w:sz w:val="21"/>
              </w:rPr>
              <w:t>53000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&lt;1.3</w:t>
            </w:r>
          </w:p>
        </w:tc>
        <w:tc>
          <w:tcPr>
            <w:tcW w:w="1135" w:type="dxa"/>
          </w:tcPr>
          <w:p>
            <w:pPr>
              <w:pStyle w:val="TableParagraph"/>
              <w:spacing w:before="20"/>
              <w:ind w:left="21" w:right="15"/>
              <w:rPr>
                <w:rFonts w:ascii="Times New Roman"/>
                <w:sz w:val="21"/>
              </w:rPr>
            </w:pPr>
            <w:r>
              <w:rPr>
                <w:rFonts w:ascii="Times New Roman"/>
                <w:sz w:val="21"/>
              </w:rPr>
              <w:t>&lt;1.3</w:t>
            </w:r>
          </w:p>
        </w:tc>
        <w:tc>
          <w:tcPr>
            <w:tcW w:w="1133" w:type="dxa"/>
          </w:tcPr>
          <w:p>
            <w:pPr>
              <w:pStyle w:val="TableParagraph"/>
              <w:spacing w:before="20"/>
              <w:ind w:left="6" w:right="3"/>
              <w:rPr>
                <w:rFonts w:ascii="Times New Roman"/>
                <w:sz w:val="21"/>
              </w:rPr>
            </w:pPr>
            <w:r>
              <w:rPr>
                <w:rFonts w:ascii="Times New Roman"/>
                <w:sz w:val="21"/>
              </w:rPr>
              <w:t>&lt;1.3</w:t>
            </w:r>
          </w:p>
        </w:tc>
        <w:tc>
          <w:tcPr>
            <w:tcW w:w="1063" w:type="dxa"/>
          </w:tcPr>
          <w:p>
            <w:pPr>
              <w:pStyle w:val="TableParagraph"/>
              <w:spacing w:before="20"/>
              <w:ind w:left="126" w:right="120"/>
              <w:rPr>
                <w:rFonts w:ascii="Times New Roman"/>
                <w:sz w:val="21"/>
              </w:rPr>
            </w:pPr>
            <w:r>
              <w:rPr>
                <w:rFonts w:ascii="Times New Roman"/>
                <w:sz w:val="21"/>
              </w:rPr>
              <w:t>&lt;1.3</w:t>
            </w:r>
          </w:p>
        </w:tc>
        <w:tc>
          <w:tcPr>
            <w:tcW w:w="1347" w:type="dxa"/>
          </w:tcPr>
          <w:p>
            <w:pPr>
              <w:pStyle w:val="TableParagraph"/>
              <w:spacing w:before="20"/>
              <w:ind w:left="285" w:right="279"/>
              <w:rPr>
                <w:rFonts w:ascii="Times New Roman"/>
                <w:sz w:val="21"/>
              </w:rPr>
            </w:pPr>
            <w:r>
              <w:rPr>
                <w:rFonts w:ascii="Times New Roman"/>
                <w:sz w:val="21"/>
              </w:rPr>
              <w:t>840000</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5" w:lineRule="exact" w:before="8"/>
              <w:ind w:left="110" w:right="104"/>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&lt;1.2</w:t>
            </w:r>
          </w:p>
        </w:tc>
        <w:tc>
          <w:tcPr>
            <w:tcW w:w="1135" w:type="dxa"/>
          </w:tcPr>
          <w:p>
            <w:pPr>
              <w:pStyle w:val="TableParagraph"/>
              <w:spacing w:line="241" w:lineRule="exact" w:before="22"/>
              <w:ind w:left="21" w:right="15"/>
              <w:rPr>
                <w:rFonts w:ascii="Times New Roman"/>
                <w:sz w:val="21"/>
              </w:rPr>
            </w:pPr>
            <w:r>
              <w:rPr>
                <w:rFonts w:ascii="Times New Roman"/>
                <w:sz w:val="21"/>
              </w:rPr>
              <w:t>&lt;1.2</w:t>
            </w:r>
          </w:p>
        </w:tc>
        <w:tc>
          <w:tcPr>
            <w:tcW w:w="1133" w:type="dxa"/>
          </w:tcPr>
          <w:p>
            <w:pPr>
              <w:pStyle w:val="TableParagraph"/>
              <w:spacing w:line="241" w:lineRule="exact" w:before="22"/>
              <w:ind w:left="6" w:right="3"/>
              <w:rPr>
                <w:rFonts w:ascii="Times New Roman"/>
                <w:sz w:val="21"/>
              </w:rPr>
            </w:pPr>
            <w:r>
              <w:rPr>
                <w:rFonts w:ascii="Times New Roman"/>
                <w:sz w:val="21"/>
              </w:rPr>
              <w:t>&lt;1.2</w:t>
            </w:r>
          </w:p>
        </w:tc>
        <w:tc>
          <w:tcPr>
            <w:tcW w:w="1063" w:type="dxa"/>
          </w:tcPr>
          <w:p>
            <w:pPr>
              <w:pStyle w:val="TableParagraph"/>
              <w:spacing w:line="241" w:lineRule="exact" w:before="22"/>
              <w:ind w:left="126" w:right="120"/>
              <w:rPr>
                <w:rFonts w:ascii="Times New Roman"/>
                <w:sz w:val="21"/>
              </w:rPr>
            </w:pPr>
            <w:r>
              <w:rPr>
                <w:rFonts w:ascii="Times New Roman"/>
                <w:sz w:val="21"/>
              </w:rPr>
              <w:t>&lt;1.2</w:t>
            </w:r>
          </w:p>
        </w:tc>
        <w:tc>
          <w:tcPr>
            <w:tcW w:w="1347" w:type="dxa"/>
          </w:tcPr>
          <w:p>
            <w:pPr>
              <w:pStyle w:val="TableParagraph"/>
              <w:spacing w:line="241" w:lineRule="exact" w:before="22"/>
              <w:ind w:left="285" w:right="279"/>
              <w:rPr>
                <w:rFonts w:ascii="Times New Roman"/>
                <w:sz w:val="21"/>
              </w:rPr>
            </w:pPr>
            <w:r>
              <w:rPr>
                <w:rFonts w:ascii="Times New Roman"/>
                <w:sz w:val="21"/>
              </w:rPr>
              <w:t>2800</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2800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&lt;1.2</w:t>
            </w:r>
          </w:p>
        </w:tc>
        <w:tc>
          <w:tcPr>
            <w:tcW w:w="1135" w:type="dxa"/>
          </w:tcPr>
          <w:p>
            <w:pPr>
              <w:pStyle w:val="TableParagraph"/>
              <w:spacing w:before="20"/>
              <w:ind w:left="21" w:right="15"/>
              <w:rPr>
                <w:rFonts w:ascii="Times New Roman"/>
                <w:sz w:val="21"/>
              </w:rPr>
            </w:pPr>
            <w:r>
              <w:rPr>
                <w:rFonts w:ascii="Times New Roman"/>
                <w:sz w:val="21"/>
              </w:rPr>
              <w:t>&lt;1.2</w:t>
            </w:r>
          </w:p>
        </w:tc>
        <w:tc>
          <w:tcPr>
            <w:tcW w:w="1133" w:type="dxa"/>
          </w:tcPr>
          <w:p>
            <w:pPr>
              <w:pStyle w:val="TableParagraph"/>
              <w:spacing w:before="20"/>
              <w:ind w:left="6" w:right="3"/>
              <w:rPr>
                <w:rFonts w:ascii="Times New Roman"/>
                <w:sz w:val="21"/>
              </w:rPr>
            </w:pPr>
            <w:r>
              <w:rPr>
                <w:rFonts w:ascii="Times New Roman"/>
                <w:sz w:val="21"/>
              </w:rPr>
              <w:t>&lt;1.2</w:t>
            </w:r>
          </w:p>
        </w:tc>
        <w:tc>
          <w:tcPr>
            <w:tcW w:w="1063" w:type="dxa"/>
          </w:tcPr>
          <w:p>
            <w:pPr>
              <w:pStyle w:val="TableParagraph"/>
              <w:spacing w:before="20"/>
              <w:ind w:left="126" w:right="120"/>
              <w:rPr>
                <w:rFonts w:ascii="Times New Roman"/>
                <w:sz w:val="21"/>
              </w:rPr>
            </w:pPr>
            <w:r>
              <w:rPr>
                <w:rFonts w:ascii="Times New Roman"/>
                <w:sz w:val="21"/>
              </w:rPr>
              <w:t>&lt;1.2</w:t>
            </w:r>
          </w:p>
        </w:tc>
        <w:tc>
          <w:tcPr>
            <w:tcW w:w="1347" w:type="dxa"/>
          </w:tcPr>
          <w:p>
            <w:pPr>
              <w:pStyle w:val="TableParagraph"/>
              <w:spacing w:before="20"/>
              <w:ind w:left="285" w:right="279"/>
              <w:rPr>
                <w:rFonts w:ascii="Times New Roman"/>
                <w:sz w:val="21"/>
              </w:rPr>
            </w:pPr>
            <w:r>
              <w:rPr>
                <w:rFonts w:ascii="Times New Roman"/>
                <w:sz w:val="21"/>
              </w:rPr>
              <w:t>500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&lt;1.0</w:t>
            </w:r>
          </w:p>
        </w:tc>
        <w:tc>
          <w:tcPr>
            <w:tcW w:w="1135" w:type="dxa"/>
          </w:tcPr>
          <w:p>
            <w:pPr>
              <w:pStyle w:val="TableParagraph"/>
              <w:spacing w:before="22"/>
              <w:ind w:left="21" w:right="15"/>
              <w:rPr>
                <w:rFonts w:ascii="Times New Roman"/>
                <w:sz w:val="21"/>
              </w:rPr>
            </w:pPr>
            <w:r>
              <w:rPr>
                <w:rFonts w:ascii="Times New Roman"/>
                <w:sz w:val="21"/>
              </w:rPr>
              <w:t>&lt;1.0</w:t>
            </w:r>
          </w:p>
        </w:tc>
        <w:tc>
          <w:tcPr>
            <w:tcW w:w="1133" w:type="dxa"/>
          </w:tcPr>
          <w:p>
            <w:pPr>
              <w:pStyle w:val="TableParagraph"/>
              <w:spacing w:before="22"/>
              <w:ind w:left="6" w:right="3"/>
              <w:rPr>
                <w:rFonts w:ascii="Times New Roman"/>
                <w:sz w:val="21"/>
              </w:rPr>
            </w:pPr>
            <w:r>
              <w:rPr>
                <w:rFonts w:ascii="Times New Roman"/>
                <w:sz w:val="21"/>
              </w:rPr>
              <w:t>&lt;1.0</w:t>
            </w:r>
          </w:p>
        </w:tc>
        <w:tc>
          <w:tcPr>
            <w:tcW w:w="1063" w:type="dxa"/>
          </w:tcPr>
          <w:p>
            <w:pPr>
              <w:pStyle w:val="TableParagraph"/>
              <w:spacing w:before="22"/>
              <w:ind w:left="126" w:right="120"/>
              <w:rPr>
                <w:rFonts w:ascii="Times New Roman"/>
                <w:sz w:val="21"/>
              </w:rPr>
            </w:pPr>
            <w:r>
              <w:rPr>
                <w:rFonts w:ascii="Times New Roman"/>
                <w:sz w:val="21"/>
              </w:rPr>
              <w:t>&lt;1.0</w:t>
            </w:r>
          </w:p>
        </w:tc>
        <w:tc>
          <w:tcPr>
            <w:tcW w:w="1347" w:type="dxa"/>
          </w:tcPr>
          <w:p>
            <w:pPr>
              <w:pStyle w:val="TableParagraph"/>
              <w:spacing w:before="22"/>
              <w:ind w:left="285" w:right="279"/>
              <w:rPr>
                <w:rFonts w:ascii="Times New Roman"/>
                <w:sz w:val="21"/>
              </w:rPr>
            </w:pPr>
            <w:r>
              <w:rPr>
                <w:rFonts w:ascii="Times New Roman"/>
                <w:sz w:val="21"/>
              </w:rPr>
              <w:t>430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09" w:right="104"/>
              <w:rPr>
                <w:rFonts w:ascii="Times New Roman" w:hAnsi="Times New Roman" w:eastAsia="Times New Roman"/>
                <w:sz w:val="21"/>
              </w:rPr>
            </w:pPr>
            <w:r>
              <w:rPr>
                <w:sz w:val="21"/>
              </w:rPr>
              <w:t>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&lt;1.9</w:t>
            </w:r>
          </w:p>
        </w:tc>
        <w:tc>
          <w:tcPr>
            <w:tcW w:w="1135" w:type="dxa"/>
          </w:tcPr>
          <w:p>
            <w:pPr>
              <w:pStyle w:val="TableParagraph"/>
              <w:spacing w:before="20"/>
              <w:ind w:left="21" w:right="15"/>
              <w:rPr>
                <w:rFonts w:ascii="Times New Roman"/>
                <w:sz w:val="21"/>
              </w:rPr>
            </w:pPr>
            <w:r>
              <w:rPr>
                <w:rFonts w:ascii="Times New Roman"/>
                <w:sz w:val="21"/>
              </w:rPr>
              <w:t>&lt;1.9</w:t>
            </w:r>
          </w:p>
        </w:tc>
        <w:tc>
          <w:tcPr>
            <w:tcW w:w="1133" w:type="dxa"/>
          </w:tcPr>
          <w:p>
            <w:pPr>
              <w:pStyle w:val="TableParagraph"/>
              <w:spacing w:before="20"/>
              <w:ind w:left="6" w:right="3"/>
              <w:rPr>
                <w:rFonts w:ascii="Times New Roman"/>
                <w:sz w:val="21"/>
              </w:rPr>
            </w:pPr>
            <w:r>
              <w:rPr>
                <w:rFonts w:ascii="Times New Roman"/>
                <w:sz w:val="21"/>
              </w:rPr>
              <w:t>&lt;1.9</w:t>
            </w:r>
          </w:p>
        </w:tc>
        <w:tc>
          <w:tcPr>
            <w:tcW w:w="1063" w:type="dxa"/>
          </w:tcPr>
          <w:p>
            <w:pPr>
              <w:pStyle w:val="TableParagraph"/>
              <w:spacing w:before="20"/>
              <w:ind w:left="126" w:right="120"/>
              <w:rPr>
                <w:rFonts w:ascii="Times New Roman"/>
                <w:sz w:val="21"/>
              </w:rPr>
            </w:pPr>
            <w:r>
              <w:rPr>
                <w:rFonts w:ascii="Times New Roman"/>
                <w:sz w:val="21"/>
              </w:rPr>
              <w:t>&lt;1.9</w:t>
            </w:r>
          </w:p>
        </w:tc>
        <w:tc>
          <w:tcPr>
            <w:tcW w:w="1347" w:type="dxa"/>
          </w:tcPr>
          <w:p>
            <w:pPr>
              <w:pStyle w:val="TableParagraph"/>
              <w:spacing w:before="20"/>
              <w:ind w:left="285" w:right="279"/>
              <w:rPr>
                <w:rFonts w:ascii="Times New Roman"/>
                <w:sz w:val="21"/>
              </w:rPr>
            </w:pPr>
            <w:r>
              <w:rPr>
                <w:rFonts w:ascii="Times New Roman"/>
                <w:sz w:val="21"/>
              </w:rPr>
              <w:t>4000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270000</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&lt;1.5</w:t>
            </w:r>
          </w:p>
        </w:tc>
        <w:tc>
          <w:tcPr>
            <w:tcW w:w="1135" w:type="dxa"/>
          </w:tcPr>
          <w:p>
            <w:pPr>
              <w:pStyle w:val="TableParagraph"/>
              <w:spacing w:before="20"/>
              <w:ind w:left="21" w:right="15"/>
              <w:rPr>
                <w:rFonts w:ascii="Times New Roman"/>
                <w:sz w:val="21"/>
              </w:rPr>
            </w:pPr>
            <w:r>
              <w:rPr>
                <w:rFonts w:ascii="Times New Roman"/>
                <w:sz w:val="21"/>
              </w:rPr>
              <w:t>&lt;1.5</w:t>
            </w:r>
          </w:p>
        </w:tc>
        <w:tc>
          <w:tcPr>
            <w:tcW w:w="1133" w:type="dxa"/>
          </w:tcPr>
          <w:p>
            <w:pPr>
              <w:pStyle w:val="TableParagraph"/>
              <w:spacing w:before="20"/>
              <w:ind w:left="6" w:right="3"/>
              <w:rPr>
                <w:rFonts w:ascii="Times New Roman"/>
                <w:sz w:val="21"/>
              </w:rPr>
            </w:pPr>
            <w:r>
              <w:rPr>
                <w:rFonts w:ascii="Times New Roman"/>
                <w:sz w:val="21"/>
              </w:rPr>
              <w:t>&lt;1.5</w:t>
            </w:r>
          </w:p>
        </w:tc>
        <w:tc>
          <w:tcPr>
            <w:tcW w:w="1063" w:type="dxa"/>
          </w:tcPr>
          <w:p>
            <w:pPr>
              <w:pStyle w:val="TableParagraph"/>
              <w:spacing w:before="20"/>
              <w:ind w:left="126" w:right="120"/>
              <w:rPr>
                <w:rFonts w:ascii="Times New Roman"/>
                <w:sz w:val="21"/>
              </w:rPr>
            </w:pPr>
            <w:r>
              <w:rPr>
                <w:rFonts w:ascii="Times New Roman"/>
                <w:sz w:val="21"/>
              </w:rPr>
              <w:t>&lt;1.5</w:t>
            </w:r>
          </w:p>
        </w:tc>
        <w:tc>
          <w:tcPr>
            <w:tcW w:w="1347" w:type="dxa"/>
          </w:tcPr>
          <w:p>
            <w:pPr>
              <w:pStyle w:val="TableParagraph"/>
              <w:spacing w:before="20"/>
              <w:ind w:left="285" w:right="279"/>
              <w:rPr>
                <w:rFonts w:ascii="Times New Roman"/>
                <w:sz w:val="21"/>
              </w:rPr>
            </w:pPr>
            <w:r>
              <w:rPr>
                <w:rFonts w:ascii="Times New Roman"/>
                <w:sz w:val="21"/>
              </w:rPr>
              <w:t>560000</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7" w:lineRule="exact" w:before="6"/>
              <w:ind w:left="107" w:right="104"/>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140" w:type="dxa"/>
          </w:tcPr>
          <w:p>
            <w:pPr>
              <w:pStyle w:val="TableParagraph"/>
              <w:spacing w:line="241" w:lineRule="exact" w:before="22"/>
              <w:ind w:left="9" w:right="4"/>
              <w:rPr>
                <w:rFonts w:ascii="Times New Roman"/>
                <w:sz w:val="21"/>
              </w:rPr>
            </w:pPr>
            <w:r>
              <w:rPr>
                <w:rFonts w:ascii="Times New Roman"/>
                <w:sz w:val="21"/>
              </w:rPr>
              <w:t>&lt;1.5</w:t>
            </w:r>
          </w:p>
        </w:tc>
        <w:tc>
          <w:tcPr>
            <w:tcW w:w="1135" w:type="dxa"/>
          </w:tcPr>
          <w:p>
            <w:pPr>
              <w:pStyle w:val="TableParagraph"/>
              <w:spacing w:line="241" w:lineRule="exact" w:before="22"/>
              <w:ind w:left="21" w:right="15"/>
              <w:rPr>
                <w:rFonts w:ascii="Times New Roman"/>
                <w:sz w:val="21"/>
              </w:rPr>
            </w:pPr>
            <w:r>
              <w:rPr>
                <w:rFonts w:ascii="Times New Roman"/>
                <w:sz w:val="21"/>
              </w:rPr>
              <w:t>&lt;1.5</w:t>
            </w:r>
          </w:p>
        </w:tc>
        <w:tc>
          <w:tcPr>
            <w:tcW w:w="1133" w:type="dxa"/>
          </w:tcPr>
          <w:p>
            <w:pPr>
              <w:pStyle w:val="TableParagraph"/>
              <w:spacing w:line="241" w:lineRule="exact" w:before="22"/>
              <w:ind w:left="6" w:right="3"/>
              <w:rPr>
                <w:rFonts w:ascii="Times New Roman"/>
                <w:sz w:val="21"/>
              </w:rPr>
            </w:pPr>
            <w:r>
              <w:rPr>
                <w:rFonts w:ascii="Times New Roman"/>
                <w:sz w:val="21"/>
              </w:rPr>
              <w:t>&lt;1.5</w:t>
            </w:r>
          </w:p>
        </w:tc>
        <w:tc>
          <w:tcPr>
            <w:tcW w:w="1063" w:type="dxa"/>
          </w:tcPr>
          <w:p>
            <w:pPr>
              <w:pStyle w:val="TableParagraph"/>
              <w:spacing w:line="241" w:lineRule="exact" w:before="22"/>
              <w:ind w:left="126" w:right="120"/>
              <w:rPr>
                <w:rFonts w:ascii="Times New Roman"/>
                <w:sz w:val="21"/>
              </w:rPr>
            </w:pPr>
            <w:r>
              <w:rPr>
                <w:rFonts w:ascii="Times New Roman"/>
                <w:sz w:val="21"/>
              </w:rPr>
              <w:t>&lt;1.5</w:t>
            </w:r>
          </w:p>
        </w:tc>
        <w:tc>
          <w:tcPr>
            <w:tcW w:w="1347" w:type="dxa"/>
          </w:tcPr>
          <w:p>
            <w:pPr>
              <w:pStyle w:val="TableParagraph"/>
              <w:spacing w:line="241" w:lineRule="exact" w:before="22"/>
              <w:ind w:left="285" w:right="279"/>
              <w:rPr>
                <w:rFonts w:ascii="Times New Roman"/>
                <w:sz w:val="21"/>
              </w:rPr>
            </w:pPr>
            <w:r>
              <w:rPr>
                <w:rFonts w:ascii="Times New Roman"/>
                <w:sz w:val="21"/>
              </w:rPr>
              <w:t>20000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&lt;1.2</w:t>
            </w:r>
          </w:p>
        </w:tc>
        <w:tc>
          <w:tcPr>
            <w:tcW w:w="1135" w:type="dxa"/>
          </w:tcPr>
          <w:p>
            <w:pPr>
              <w:pStyle w:val="TableParagraph"/>
              <w:spacing w:before="22"/>
              <w:ind w:left="21" w:right="15"/>
              <w:rPr>
                <w:rFonts w:ascii="Times New Roman"/>
                <w:sz w:val="21"/>
              </w:rPr>
            </w:pPr>
            <w:r>
              <w:rPr>
                <w:rFonts w:ascii="Times New Roman"/>
                <w:sz w:val="21"/>
              </w:rPr>
              <w:t>&lt;1.2</w:t>
            </w:r>
          </w:p>
        </w:tc>
        <w:tc>
          <w:tcPr>
            <w:tcW w:w="1133" w:type="dxa"/>
          </w:tcPr>
          <w:p>
            <w:pPr>
              <w:pStyle w:val="TableParagraph"/>
              <w:spacing w:before="22"/>
              <w:ind w:left="6" w:right="3"/>
              <w:rPr>
                <w:rFonts w:ascii="Times New Roman"/>
                <w:sz w:val="21"/>
              </w:rPr>
            </w:pPr>
            <w:r>
              <w:rPr>
                <w:rFonts w:ascii="Times New Roman"/>
                <w:sz w:val="21"/>
              </w:rPr>
              <w:t>&lt;1.2</w:t>
            </w:r>
          </w:p>
        </w:tc>
        <w:tc>
          <w:tcPr>
            <w:tcW w:w="1063" w:type="dxa"/>
          </w:tcPr>
          <w:p>
            <w:pPr>
              <w:pStyle w:val="TableParagraph"/>
              <w:spacing w:before="22"/>
              <w:ind w:left="126" w:right="120"/>
              <w:rPr>
                <w:rFonts w:ascii="Times New Roman"/>
                <w:sz w:val="21"/>
              </w:rPr>
            </w:pPr>
            <w:r>
              <w:rPr>
                <w:rFonts w:ascii="Times New Roman"/>
                <w:sz w:val="21"/>
              </w:rPr>
              <w:t>&lt;1.2</w:t>
            </w:r>
          </w:p>
        </w:tc>
        <w:tc>
          <w:tcPr>
            <w:tcW w:w="1347" w:type="dxa"/>
          </w:tcPr>
          <w:p>
            <w:pPr>
              <w:pStyle w:val="TableParagraph"/>
              <w:spacing w:before="22"/>
              <w:ind w:left="285" w:right="279"/>
              <w:rPr>
                <w:rFonts w:ascii="Times New Roman"/>
                <w:sz w:val="21"/>
              </w:rPr>
            </w:pPr>
            <w:r>
              <w:rPr>
                <w:rFonts w:ascii="Times New Roman"/>
                <w:sz w:val="21"/>
              </w:rPr>
              <w:t>28000</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8" w:lineRule="exact" w:before="6"/>
              <w:ind w:left="107" w:right="104"/>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&lt;1.1</w:t>
            </w:r>
          </w:p>
        </w:tc>
        <w:tc>
          <w:tcPr>
            <w:tcW w:w="1135" w:type="dxa"/>
          </w:tcPr>
          <w:p>
            <w:pPr>
              <w:pStyle w:val="TableParagraph"/>
              <w:spacing w:before="20"/>
              <w:ind w:left="21" w:right="15"/>
              <w:rPr>
                <w:rFonts w:ascii="Times New Roman"/>
                <w:sz w:val="21"/>
              </w:rPr>
            </w:pPr>
            <w:r>
              <w:rPr>
                <w:rFonts w:ascii="Times New Roman"/>
                <w:sz w:val="21"/>
              </w:rPr>
              <w:t>&lt;1.1</w:t>
            </w:r>
          </w:p>
        </w:tc>
        <w:tc>
          <w:tcPr>
            <w:tcW w:w="1133" w:type="dxa"/>
          </w:tcPr>
          <w:p>
            <w:pPr>
              <w:pStyle w:val="TableParagraph"/>
              <w:spacing w:before="20"/>
              <w:ind w:left="6" w:right="3"/>
              <w:rPr>
                <w:rFonts w:ascii="Times New Roman"/>
                <w:sz w:val="21"/>
              </w:rPr>
            </w:pPr>
            <w:r>
              <w:rPr>
                <w:rFonts w:ascii="Times New Roman"/>
                <w:sz w:val="21"/>
              </w:rPr>
              <w:t>&lt;1.1</w:t>
            </w:r>
          </w:p>
        </w:tc>
        <w:tc>
          <w:tcPr>
            <w:tcW w:w="1063" w:type="dxa"/>
          </w:tcPr>
          <w:p>
            <w:pPr>
              <w:pStyle w:val="TableParagraph"/>
              <w:spacing w:before="20"/>
              <w:ind w:left="126" w:right="120"/>
              <w:rPr>
                <w:rFonts w:ascii="Times New Roman"/>
                <w:sz w:val="21"/>
              </w:rPr>
            </w:pPr>
            <w:r>
              <w:rPr>
                <w:rFonts w:ascii="Times New Roman"/>
                <w:sz w:val="21"/>
              </w:rPr>
              <w:t>&lt;1.1</w:t>
            </w:r>
          </w:p>
        </w:tc>
        <w:tc>
          <w:tcPr>
            <w:tcW w:w="1347" w:type="dxa"/>
          </w:tcPr>
          <w:p>
            <w:pPr>
              <w:pStyle w:val="TableParagraph"/>
              <w:spacing w:before="20"/>
              <w:ind w:left="285" w:right="281"/>
              <w:rPr>
                <w:rFonts w:ascii="Times New Roman"/>
                <w:sz w:val="21"/>
              </w:rPr>
            </w:pPr>
            <w:r>
              <w:rPr>
                <w:rFonts w:ascii="Times New Roman"/>
                <w:sz w:val="21"/>
              </w:rPr>
              <w:t>1290000</w:t>
            </w:r>
          </w:p>
        </w:tc>
        <w:tc>
          <w:tcPr>
            <w:tcW w:w="1008" w:type="dxa"/>
          </w:tcPr>
          <w:p>
            <w:pPr>
              <w:pStyle w:val="TableParagraph"/>
              <w:spacing w:line="258"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140" w:type="dxa"/>
          </w:tcPr>
          <w:p>
            <w:pPr>
              <w:pStyle w:val="TableParagraph"/>
              <w:spacing w:before="22"/>
              <w:ind w:left="9" w:right="4"/>
              <w:rPr>
                <w:rFonts w:ascii="Times New Roman"/>
                <w:sz w:val="21"/>
              </w:rPr>
            </w:pPr>
            <w:r>
              <w:rPr>
                <w:rFonts w:ascii="Times New Roman"/>
                <w:sz w:val="21"/>
              </w:rPr>
              <w:t>&lt;1.3</w:t>
            </w:r>
          </w:p>
        </w:tc>
        <w:tc>
          <w:tcPr>
            <w:tcW w:w="1135" w:type="dxa"/>
          </w:tcPr>
          <w:p>
            <w:pPr>
              <w:pStyle w:val="TableParagraph"/>
              <w:spacing w:before="22"/>
              <w:ind w:left="21" w:right="15"/>
              <w:rPr>
                <w:rFonts w:ascii="Times New Roman"/>
                <w:sz w:val="21"/>
              </w:rPr>
            </w:pPr>
            <w:r>
              <w:rPr>
                <w:rFonts w:ascii="Times New Roman"/>
                <w:sz w:val="21"/>
              </w:rPr>
              <w:t>&lt;1.3</w:t>
            </w:r>
          </w:p>
        </w:tc>
        <w:tc>
          <w:tcPr>
            <w:tcW w:w="1133" w:type="dxa"/>
          </w:tcPr>
          <w:p>
            <w:pPr>
              <w:pStyle w:val="TableParagraph"/>
              <w:spacing w:before="22"/>
              <w:ind w:left="6" w:right="3"/>
              <w:rPr>
                <w:rFonts w:ascii="Times New Roman"/>
                <w:sz w:val="21"/>
              </w:rPr>
            </w:pPr>
            <w:r>
              <w:rPr>
                <w:rFonts w:ascii="Times New Roman"/>
                <w:sz w:val="21"/>
              </w:rPr>
              <w:t>&lt;1.3</w:t>
            </w:r>
          </w:p>
        </w:tc>
        <w:tc>
          <w:tcPr>
            <w:tcW w:w="1063" w:type="dxa"/>
          </w:tcPr>
          <w:p>
            <w:pPr>
              <w:pStyle w:val="TableParagraph"/>
              <w:spacing w:before="22"/>
              <w:ind w:left="126" w:right="120"/>
              <w:rPr>
                <w:rFonts w:ascii="Times New Roman"/>
                <w:sz w:val="21"/>
              </w:rPr>
            </w:pPr>
            <w:r>
              <w:rPr>
                <w:rFonts w:ascii="Times New Roman"/>
                <w:sz w:val="21"/>
              </w:rPr>
              <w:t>&lt;1.3</w:t>
            </w:r>
          </w:p>
        </w:tc>
        <w:tc>
          <w:tcPr>
            <w:tcW w:w="1347" w:type="dxa"/>
          </w:tcPr>
          <w:p>
            <w:pPr>
              <w:pStyle w:val="TableParagraph"/>
              <w:spacing w:before="22"/>
              <w:ind w:left="285" w:right="281"/>
              <w:rPr>
                <w:rFonts w:ascii="Times New Roman"/>
                <w:sz w:val="21"/>
              </w:rPr>
            </w:pPr>
            <w:r>
              <w:rPr>
                <w:rFonts w:ascii="Times New Roman"/>
                <w:sz w:val="21"/>
              </w:rPr>
              <w:t>1200000</w:t>
            </w:r>
          </w:p>
        </w:tc>
        <w:tc>
          <w:tcPr>
            <w:tcW w:w="1008" w:type="dxa"/>
          </w:tcPr>
          <w:p>
            <w:pPr>
              <w:pStyle w:val="TableParagraph"/>
              <w:spacing w:line="257" w:lineRule="exact" w:before="8"/>
              <w:ind w:left="274" w:right="269"/>
              <w:rPr>
                <w:sz w:val="21"/>
              </w:rPr>
            </w:pPr>
            <w:r>
              <w:rPr>
                <w:sz w:val="21"/>
              </w:rPr>
              <w:t>达标</w:t>
            </w:r>
          </w:p>
        </w:tc>
      </w:tr>
      <w:tr>
        <w:trPr>
          <w:trHeight w:val="513" w:hRule="atLeast"/>
        </w:trPr>
        <w:tc>
          <w:tcPr>
            <w:tcW w:w="2521" w:type="dxa"/>
          </w:tcPr>
          <w:p>
            <w:pPr>
              <w:pStyle w:val="TableParagraph"/>
              <w:spacing w:before="1"/>
              <w:ind w:left="107" w:right="104"/>
              <w:rPr>
                <w:sz w:val="21"/>
              </w:rPr>
            </w:pPr>
            <w:r>
              <w:rPr>
                <w:sz w:val="21"/>
              </w:rPr>
              <w:t>间二甲苯</w:t>
            </w:r>
            <w:r>
              <w:rPr>
                <w:rFonts w:ascii="Times New Roman" w:eastAsia="Times New Roman"/>
                <w:sz w:val="21"/>
              </w:rPr>
              <w:t>+</w:t>
            </w:r>
            <w:r>
              <w:rPr>
                <w:sz w:val="21"/>
              </w:rPr>
              <w:t>对二甲苯</w:t>
            </w:r>
          </w:p>
          <w:p>
            <w:pPr>
              <w:pStyle w:val="TableParagraph"/>
              <w:spacing w:line="222" w:lineRule="exact" w:before="1"/>
              <w:ind w:left="109" w:right="104"/>
              <w:rPr>
                <w:rFonts w:ascii="Times New Roman" w:hAnsi="Times New Roman"/>
                <w:sz w:val="21"/>
              </w:rPr>
            </w:pPr>
            <w:r>
              <w:rPr>
                <w:rFonts w:ascii="Times New Roman" w:hAnsi="Times New Roman"/>
                <w:sz w:val="21"/>
              </w:rPr>
              <w:t>μg/kg</w:t>
            </w:r>
          </w:p>
        </w:tc>
        <w:tc>
          <w:tcPr>
            <w:tcW w:w="1140" w:type="dxa"/>
          </w:tcPr>
          <w:p>
            <w:pPr>
              <w:pStyle w:val="TableParagraph"/>
              <w:spacing w:before="135"/>
              <w:ind w:left="9" w:right="4"/>
              <w:rPr>
                <w:rFonts w:ascii="Times New Roman"/>
                <w:sz w:val="21"/>
              </w:rPr>
            </w:pPr>
            <w:r>
              <w:rPr>
                <w:rFonts w:ascii="Times New Roman"/>
                <w:sz w:val="21"/>
              </w:rPr>
              <w:t>&lt;1.2</w:t>
            </w:r>
          </w:p>
        </w:tc>
        <w:tc>
          <w:tcPr>
            <w:tcW w:w="1135" w:type="dxa"/>
          </w:tcPr>
          <w:p>
            <w:pPr>
              <w:pStyle w:val="TableParagraph"/>
              <w:spacing w:before="135"/>
              <w:ind w:left="21" w:right="15"/>
              <w:rPr>
                <w:rFonts w:ascii="Times New Roman"/>
                <w:sz w:val="21"/>
              </w:rPr>
            </w:pPr>
            <w:r>
              <w:rPr>
                <w:rFonts w:ascii="Times New Roman"/>
                <w:sz w:val="21"/>
              </w:rPr>
              <w:t>&lt;1.2</w:t>
            </w:r>
          </w:p>
        </w:tc>
        <w:tc>
          <w:tcPr>
            <w:tcW w:w="1133" w:type="dxa"/>
          </w:tcPr>
          <w:p>
            <w:pPr>
              <w:pStyle w:val="TableParagraph"/>
              <w:spacing w:before="135"/>
              <w:ind w:left="6" w:right="3"/>
              <w:rPr>
                <w:rFonts w:ascii="Times New Roman"/>
                <w:sz w:val="21"/>
              </w:rPr>
            </w:pPr>
            <w:r>
              <w:rPr>
                <w:rFonts w:ascii="Times New Roman"/>
                <w:sz w:val="21"/>
              </w:rPr>
              <w:t>&lt;1.2</w:t>
            </w:r>
          </w:p>
        </w:tc>
        <w:tc>
          <w:tcPr>
            <w:tcW w:w="1063" w:type="dxa"/>
          </w:tcPr>
          <w:p>
            <w:pPr>
              <w:pStyle w:val="TableParagraph"/>
              <w:spacing w:before="135"/>
              <w:ind w:left="126" w:right="120"/>
              <w:rPr>
                <w:rFonts w:ascii="Times New Roman"/>
                <w:sz w:val="21"/>
              </w:rPr>
            </w:pPr>
            <w:r>
              <w:rPr>
                <w:rFonts w:ascii="Times New Roman"/>
                <w:sz w:val="21"/>
              </w:rPr>
              <w:t>&lt;1.2</w:t>
            </w:r>
          </w:p>
        </w:tc>
        <w:tc>
          <w:tcPr>
            <w:tcW w:w="1347" w:type="dxa"/>
          </w:tcPr>
          <w:p>
            <w:pPr>
              <w:pStyle w:val="TableParagraph"/>
              <w:spacing w:before="135"/>
              <w:ind w:left="285" w:right="279"/>
              <w:rPr>
                <w:rFonts w:ascii="Times New Roman"/>
                <w:sz w:val="21"/>
              </w:rPr>
            </w:pPr>
            <w:r>
              <w:rPr>
                <w:rFonts w:ascii="Times New Roman"/>
                <w:sz w:val="21"/>
              </w:rPr>
              <w:t>570000</w:t>
            </w:r>
          </w:p>
        </w:tc>
        <w:tc>
          <w:tcPr>
            <w:tcW w:w="1008" w:type="dxa"/>
          </w:tcPr>
          <w:p>
            <w:pPr>
              <w:pStyle w:val="TableParagraph"/>
              <w:spacing w:before="121"/>
              <w:ind w:left="274" w:right="269"/>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140" w:type="dxa"/>
          </w:tcPr>
          <w:p>
            <w:pPr>
              <w:pStyle w:val="TableParagraph"/>
              <w:spacing w:before="20"/>
              <w:ind w:left="9" w:right="4"/>
              <w:rPr>
                <w:rFonts w:ascii="Times New Roman"/>
                <w:sz w:val="21"/>
              </w:rPr>
            </w:pPr>
            <w:r>
              <w:rPr>
                <w:rFonts w:ascii="Times New Roman"/>
                <w:sz w:val="21"/>
              </w:rPr>
              <w:t>&lt;1.2</w:t>
            </w:r>
          </w:p>
        </w:tc>
        <w:tc>
          <w:tcPr>
            <w:tcW w:w="1135" w:type="dxa"/>
          </w:tcPr>
          <w:p>
            <w:pPr>
              <w:pStyle w:val="TableParagraph"/>
              <w:spacing w:before="20"/>
              <w:ind w:left="21" w:right="15"/>
              <w:rPr>
                <w:rFonts w:ascii="Times New Roman"/>
                <w:sz w:val="21"/>
              </w:rPr>
            </w:pPr>
            <w:r>
              <w:rPr>
                <w:rFonts w:ascii="Times New Roman"/>
                <w:sz w:val="21"/>
              </w:rPr>
              <w:t>&lt;1.2</w:t>
            </w:r>
          </w:p>
        </w:tc>
        <w:tc>
          <w:tcPr>
            <w:tcW w:w="1133" w:type="dxa"/>
          </w:tcPr>
          <w:p>
            <w:pPr>
              <w:pStyle w:val="TableParagraph"/>
              <w:spacing w:before="20"/>
              <w:ind w:left="6" w:right="3"/>
              <w:rPr>
                <w:rFonts w:ascii="Times New Roman"/>
                <w:sz w:val="21"/>
              </w:rPr>
            </w:pPr>
            <w:r>
              <w:rPr>
                <w:rFonts w:ascii="Times New Roman"/>
                <w:sz w:val="21"/>
              </w:rPr>
              <w:t>&lt;1.2</w:t>
            </w:r>
          </w:p>
        </w:tc>
        <w:tc>
          <w:tcPr>
            <w:tcW w:w="1063" w:type="dxa"/>
          </w:tcPr>
          <w:p>
            <w:pPr>
              <w:pStyle w:val="TableParagraph"/>
              <w:spacing w:before="20"/>
              <w:ind w:left="126" w:right="120"/>
              <w:rPr>
                <w:rFonts w:ascii="Times New Roman"/>
                <w:sz w:val="21"/>
              </w:rPr>
            </w:pPr>
            <w:r>
              <w:rPr>
                <w:rFonts w:ascii="Times New Roman"/>
                <w:sz w:val="21"/>
              </w:rPr>
              <w:t>&lt;1.2</w:t>
            </w:r>
          </w:p>
        </w:tc>
        <w:tc>
          <w:tcPr>
            <w:tcW w:w="1347" w:type="dxa"/>
          </w:tcPr>
          <w:p>
            <w:pPr>
              <w:pStyle w:val="TableParagraph"/>
              <w:spacing w:before="20"/>
              <w:ind w:left="285" w:right="279"/>
              <w:rPr>
                <w:rFonts w:ascii="Times New Roman"/>
                <w:sz w:val="21"/>
              </w:rPr>
            </w:pPr>
            <w:r>
              <w:rPr>
                <w:rFonts w:ascii="Times New Roman"/>
                <w:sz w:val="21"/>
              </w:rPr>
              <w:t>640000</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10" w:right="104"/>
              <w:rPr>
                <w:rFonts w:ascii="Times New Roman" w:eastAsia="Times New Roman"/>
                <w:sz w:val="21"/>
              </w:rPr>
            </w:pPr>
            <w:r>
              <w:rPr>
                <w:sz w:val="21"/>
              </w:rPr>
              <w:t>硝基苯 </w:t>
            </w:r>
            <w:r>
              <w:rPr>
                <w:rFonts w:ascii="Times New Roman" w:eastAsia="Times New Roman"/>
                <w:sz w:val="21"/>
              </w:rPr>
              <w:t>mg/kg</w:t>
            </w:r>
          </w:p>
        </w:tc>
        <w:tc>
          <w:tcPr>
            <w:tcW w:w="1140" w:type="dxa"/>
          </w:tcPr>
          <w:p>
            <w:pPr>
              <w:pStyle w:val="TableParagraph"/>
              <w:spacing w:before="22"/>
              <w:ind w:left="7" w:right="4"/>
              <w:rPr>
                <w:rFonts w:ascii="Times New Roman"/>
                <w:sz w:val="21"/>
              </w:rPr>
            </w:pPr>
            <w:r>
              <w:rPr>
                <w:rFonts w:ascii="Times New Roman"/>
                <w:sz w:val="21"/>
              </w:rPr>
              <w:t>&lt;0.09</w:t>
            </w:r>
          </w:p>
        </w:tc>
        <w:tc>
          <w:tcPr>
            <w:tcW w:w="1135" w:type="dxa"/>
          </w:tcPr>
          <w:p>
            <w:pPr>
              <w:pStyle w:val="TableParagraph"/>
              <w:spacing w:before="22"/>
              <w:ind w:left="18" w:right="15"/>
              <w:rPr>
                <w:rFonts w:ascii="Times New Roman"/>
                <w:sz w:val="21"/>
              </w:rPr>
            </w:pPr>
            <w:r>
              <w:rPr>
                <w:rFonts w:ascii="Times New Roman"/>
                <w:sz w:val="21"/>
              </w:rPr>
              <w:t>&lt;0.09</w:t>
            </w:r>
          </w:p>
        </w:tc>
        <w:tc>
          <w:tcPr>
            <w:tcW w:w="1133" w:type="dxa"/>
          </w:tcPr>
          <w:p>
            <w:pPr>
              <w:pStyle w:val="TableParagraph"/>
              <w:spacing w:before="22"/>
              <w:ind w:left="9" w:right="3"/>
              <w:rPr>
                <w:rFonts w:ascii="Times New Roman"/>
                <w:sz w:val="21"/>
              </w:rPr>
            </w:pPr>
            <w:r>
              <w:rPr>
                <w:rFonts w:ascii="Times New Roman"/>
                <w:sz w:val="21"/>
              </w:rPr>
              <w:t>&lt;0.09</w:t>
            </w:r>
          </w:p>
        </w:tc>
        <w:tc>
          <w:tcPr>
            <w:tcW w:w="1063" w:type="dxa"/>
          </w:tcPr>
          <w:p>
            <w:pPr>
              <w:pStyle w:val="TableParagraph"/>
              <w:spacing w:before="22"/>
              <w:ind w:left="125" w:right="121"/>
              <w:rPr>
                <w:rFonts w:ascii="Times New Roman"/>
                <w:sz w:val="21"/>
              </w:rPr>
            </w:pPr>
            <w:r>
              <w:rPr>
                <w:rFonts w:ascii="Times New Roman"/>
                <w:sz w:val="21"/>
              </w:rPr>
              <w:t>&lt;0.09</w:t>
            </w:r>
          </w:p>
        </w:tc>
        <w:tc>
          <w:tcPr>
            <w:tcW w:w="1347" w:type="dxa"/>
          </w:tcPr>
          <w:p>
            <w:pPr>
              <w:pStyle w:val="TableParagraph"/>
              <w:spacing w:before="22"/>
              <w:ind w:left="283" w:right="281"/>
              <w:rPr>
                <w:rFonts w:ascii="Times New Roman"/>
                <w:sz w:val="21"/>
              </w:rPr>
            </w:pPr>
            <w:r>
              <w:rPr>
                <w:rFonts w:ascii="Times New Roman"/>
                <w:sz w:val="21"/>
              </w:rPr>
              <w:t>76</w:t>
            </w:r>
          </w:p>
        </w:tc>
        <w:tc>
          <w:tcPr>
            <w:tcW w:w="1008" w:type="dxa"/>
          </w:tcPr>
          <w:p>
            <w:pPr>
              <w:pStyle w:val="TableParagraph"/>
              <w:spacing w:line="257" w:lineRule="exact" w:before="8"/>
              <w:ind w:left="274" w:right="269"/>
              <w:rPr>
                <w:sz w:val="21"/>
              </w:rPr>
            </w:pPr>
            <w:r>
              <w:rPr>
                <w:sz w:val="21"/>
              </w:rPr>
              <w:t>达标</w:t>
            </w:r>
          </w:p>
        </w:tc>
      </w:tr>
      <w:tr>
        <w:trPr>
          <w:trHeight w:val="283" w:hRule="atLeast"/>
        </w:trPr>
        <w:tc>
          <w:tcPr>
            <w:tcW w:w="2521" w:type="dxa"/>
          </w:tcPr>
          <w:p>
            <w:pPr>
              <w:pStyle w:val="TableParagraph"/>
              <w:spacing w:line="257" w:lineRule="exact" w:before="6"/>
              <w:ind w:left="110" w:right="104"/>
              <w:rPr>
                <w:rFonts w:ascii="Times New Roman" w:eastAsia="Times New Roman"/>
                <w:sz w:val="21"/>
              </w:rPr>
            </w:pPr>
            <w:r>
              <w:rPr>
                <w:sz w:val="21"/>
              </w:rPr>
              <w:t>苯胺 </w:t>
            </w:r>
            <w:r>
              <w:rPr>
                <w:rFonts w:ascii="Times New Roman" w:eastAsia="Times New Roman"/>
                <w:sz w:val="21"/>
              </w:rPr>
              <w:t>mg/kg</w:t>
            </w:r>
          </w:p>
        </w:tc>
        <w:tc>
          <w:tcPr>
            <w:tcW w:w="1140" w:type="dxa"/>
          </w:tcPr>
          <w:p>
            <w:pPr>
              <w:pStyle w:val="TableParagraph"/>
              <w:spacing w:before="20"/>
              <w:ind w:left="7" w:right="4"/>
              <w:rPr>
                <w:rFonts w:ascii="Times New Roman"/>
                <w:sz w:val="21"/>
              </w:rPr>
            </w:pPr>
            <w:r>
              <w:rPr>
                <w:rFonts w:ascii="Times New Roman"/>
                <w:sz w:val="21"/>
              </w:rPr>
              <w:t>&lt;0.01</w:t>
            </w:r>
          </w:p>
        </w:tc>
        <w:tc>
          <w:tcPr>
            <w:tcW w:w="1135" w:type="dxa"/>
          </w:tcPr>
          <w:p>
            <w:pPr>
              <w:pStyle w:val="TableParagraph"/>
              <w:spacing w:before="20"/>
              <w:ind w:left="18" w:right="15"/>
              <w:rPr>
                <w:rFonts w:ascii="Times New Roman"/>
                <w:sz w:val="21"/>
              </w:rPr>
            </w:pPr>
            <w:r>
              <w:rPr>
                <w:rFonts w:ascii="Times New Roman"/>
                <w:sz w:val="21"/>
              </w:rPr>
              <w:t>&lt;0.01</w:t>
            </w:r>
          </w:p>
        </w:tc>
        <w:tc>
          <w:tcPr>
            <w:tcW w:w="1133" w:type="dxa"/>
          </w:tcPr>
          <w:p>
            <w:pPr>
              <w:pStyle w:val="TableParagraph"/>
              <w:spacing w:before="20"/>
              <w:ind w:left="9" w:right="3"/>
              <w:rPr>
                <w:rFonts w:ascii="Times New Roman"/>
                <w:sz w:val="21"/>
              </w:rPr>
            </w:pPr>
            <w:r>
              <w:rPr>
                <w:rFonts w:ascii="Times New Roman"/>
                <w:sz w:val="21"/>
              </w:rPr>
              <w:t>&lt;0.01</w:t>
            </w:r>
          </w:p>
        </w:tc>
        <w:tc>
          <w:tcPr>
            <w:tcW w:w="1063" w:type="dxa"/>
          </w:tcPr>
          <w:p>
            <w:pPr>
              <w:pStyle w:val="TableParagraph"/>
              <w:spacing w:before="20"/>
              <w:ind w:left="125" w:right="121"/>
              <w:rPr>
                <w:rFonts w:ascii="Times New Roman"/>
                <w:sz w:val="21"/>
              </w:rPr>
            </w:pPr>
            <w:r>
              <w:rPr>
                <w:rFonts w:ascii="Times New Roman"/>
                <w:sz w:val="21"/>
              </w:rPr>
              <w:t>&lt;0.01</w:t>
            </w:r>
          </w:p>
        </w:tc>
        <w:tc>
          <w:tcPr>
            <w:tcW w:w="1347" w:type="dxa"/>
          </w:tcPr>
          <w:p>
            <w:pPr>
              <w:pStyle w:val="TableParagraph"/>
              <w:spacing w:before="20"/>
              <w:ind w:left="285" w:right="279"/>
              <w:rPr>
                <w:rFonts w:ascii="Times New Roman"/>
                <w:sz w:val="21"/>
              </w:rPr>
            </w:pPr>
            <w:r>
              <w:rPr>
                <w:rFonts w:ascii="Times New Roman"/>
                <w:sz w:val="21"/>
              </w:rPr>
              <w:t>260</w:t>
            </w:r>
          </w:p>
        </w:tc>
        <w:tc>
          <w:tcPr>
            <w:tcW w:w="1008" w:type="dxa"/>
          </w:tcPr>
          <w:p>
            <w:pPr>
              <w:pStyle w:val="TableParagraph"/>
              <w:spacing w:line="257" w:lineRule="exact" w:before="6"/>
              <w:ind w:left="274" w:right="269"/>
              <w:rPr>
                <w:sz w:val="21"/>
              </w:rPr>
            </w:pPr>
            <w:r>
              <w:rPr>
                <w:sz w:val="21"/>
              </w:rPr>
              <w:t>达标</w:t>
            </w:r>
          </w:p>
        </w:tc>
      </w:tr>
      <w:tr>
        <w:trPr>
          <w:trHeight w:val="282" w:hRule="atLeast"/>
        </w:trPr>
        <w:tc>
          <w:tcPr>
            <w:tcW w:w="2521" w:type="dxa"/>
          </w:tcPr>
          <w:p>
            <w:pPr>
              <w:pStyle w:val="TableParagraph"/>
              <w:spacing w:line="255" w:lineRule="exact" w:before="8"/>
              <w:ind w:left="107" w:right="104"/>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140" w:type="dxa"/>
          </w:tcPr>
          <w:p>
            <w:pPr>
              <w:pStyle w:val="TableParagraph"/>
              <w:spacing w:line="241" w:lineRule="exact" w:before="22"/>
              <w:ind w:left="7" w:right="4"/>
              <w:rPr>
                <w:rFonts w:ascii="Times New Roman"/>
                <w:sz w:val="21"/>
              </w:rPr>
            </w:pPr>
            <w:r>
              <w:rPr>
                <w:rFonts w:ascii="Times New Roman"/>
                <w:sz w:val="21"/>
              </w:rPr>
              <w:t>&lt;0.06</w:t>
            </w:r>
          </w:p>
        </w:tc>
        <w:tc>
          <w:tcPr>
            <w:tcW w:w="1135" w:type="dxa"/>
          </w:tcPr>
          <w:p>
            <w:pPr>
              <w:pStyle w:val="TableParagraph"/>
              <w:spacing w:line="241" w:lineRule="exact" w:before="22"/>
              <w:ind w:left="18" w:right="15"/>
              <w:rPr>
                <w:rFonts w:ascii="Times New Roman"/>
                <w:sz w:val="21"/>
              </w:rPr>
            </w:pPr>
            <w:r>
              <w:rPr>
                <w:rFonts w:ascii="Times New Roman"/>
                <w:sz w:val="21"/>
              </w:rPr>
              <w:t>&lt;0.06</w:t>
            </w:r>
          </w:p>
        </w:tc>
        <w:tc>
          <w:tcPr>
            <w:tcW w:w="1133" w:type="dxa"/>
          </w:tcPr>
          <w:p>
            <w:pPr>
              <w:pStyle w:val="TableParagraph"/>
              <w:spacing w:line="241" w:lineRule="exact" w:before="22"/>
              <w:ind w:left="9" w:right="3"/>
              <w:rPr>
                <w:rFonts w:ascii="Times New Roman"/>
                <w:sz w:val="21"/>
              </w:rPr>
            </w:pPr>
            <w:r>
              <w:rPr>
                <w:rFonts w:ascii="Times New Roman"/>
                <w:sz w:val="21"/>
              </w:rPr>
              <w:t>&lt;0.06</w:t>
            </w:r>
          </w:p>
        </w:tc>
        <w:tc>
          <w:tcPr>
            <w:tcW w:w="1063" w:type="dxa"/>
          </w:tcPr>
          <w:p>
            <w:pPr>
              <w:pStyle w:val="TableParagraph"/>
              <w:spacing w:line="241" w:lineRule="exact" w:before="22"/>
              <w:ind w:left="125" w:right="121"/>
              <w:rPr>
                <w:rFonts w:ascii="Times New Roman"/>
                <w:sz w:val="21"/>
              </w:rPr>
            </w:pPr>
            <w:r>
              <w:rPr>
                <w:rFonts w:ascii="Times New Roman"/>
                <w:sz w:val="21"/>
              </w:rPr>
              <w:t>&lt;0.06</w:t>
            </w:r>
          </w:p>
        </w:tc>
        <w:tc>
          <w:tcPr>
            <w:tcW w:w="1347" w:type="dxa"/>
          </w:tcPr>
          <w:p>
            <w:pPr>
              <w:pStyle w:val="TableParagraph"/>
              <w:spacing w:line="241" w:lineRule="exact" w:before="22"/>
              <w:ind w:left="285" w:right="279"/>
              <w:rPr>
                <w:rFonts w:ascii="Times New Roman"/>
                <w:sz w:val="21"/>
              </w:rPr>
            </w:pPr>
            <w:r>
              <w:rPr>
                <w:rFonts w:ascii="Times New Roman"/>
                <w:sz w:val="21"/>
              </w:rPr>
              <w:t>2256</w:t>
            </w:r>
          </w:p>
        </w:tc>
        <w:tc>
          <w:tcPr>
            <w:tcW w:w="1008" w:type="dxa"/>
          </w:tcPr>
          <w:p>
            <w:pPr>
              <w:pStyle w:val="TableParagraph"/>
              <w:spacing w:line="255" w:lineRule="exact" w:before="8"/>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&lt;0.1</w:t>
            </w:r>
          </w:p>
        </w:tc>
        <w:tc>
          <w:tcPr>
            <w:tcW w:w="1135" w:type="dxa"/>
          </w:tcPr>
          <w:p>
            <w:pPr>
              <w:pStyle w:val="TableParagraph"/>
              <w:spacing w:before="22"/>
              <w:ind w:left="21" w:right="15"/>
              <w:rPr>
                <w:rFonts w:ascii="Times New Roman"/>
                <w:sz w:val="21"/>
              </w:rPr>
            </w:pPr>
            <w:r>
              <w:rPr>
                <w:rFonts w:ascii="Times New Roman"/>
                <w:sz w:val="21"/>
              </w:rPr>
              <w:t>&lt;0.1</w:t>
            </w:r>
          </w:p>
        </w:tc>
        <w:tc>
          <w:tcPr>
            <w:tcW w:w="1133" w:type="dxa"/>
          </w:tcPr>
          <w:p>
            <w:pPr>
              <w:pStyle w:val="TableParagraph"/>
              <w:spacing w:before="22"/>
              <w:ind w:left="6" w:right="3"/>
              <w:rPr>
                <w:rFonts w:ascii="Times New Roman"/>
                <w:sz w:val="21"/>
              </w:rPr>
            </w:pPr>
            <w:r>
              <w:rPr>
                <w:rFonts w:ascii="Times New Roman"/>
                <w:sz w:val="21"/>
              </w:rPr>
              <w:t>&lt;0.1</w:t>
            </w:r>
          </w:p>
        </w:tc>
        <w:tc>
          <w:tcPr>
            <w:tcW w:w="1063" w:type="dxa"/>
          </w:tcPr>
          <w:p>
            <w:pPr>
              <w:pStyle w:val="TableParagraph"/>
              <w:spacing w:before="22"/>
              <w:ind w:left="126" w:right="120"/>
              <w:rPr>
                <w:rFonts w:ascii="Times New Roman"/>
                <w:sz w:val="21"/>
              </w:rPr>
            </w:pPr>
            <w:r>
              <w:rPr>
                <w:rFonts w:ascii="Times New Roman"/>
                <w:sz w:val="21"/>
              </w:rPr>
              <w:t>&lt;0.1</w:t>
            </w:r>
          </w:p>
        </w:tc>
        <w:tc>
          <w:tcPr>
            <w:tcW w:w="1347" w:type="dxa"/>
          </w:tcPr>
          <w:p>
            <w:pPr>
              <w:pStyle w:val="TableParagraph"/>
              <w:spacing w:before="22"/>
              <w:ind w:left="283" w:right="281"/>
              <w:rPr>
                <w:rFonts w:ascii="Times New Roman"/>
                <w:sz w:val="21"/>
              </w:rPr>
            </w:pPr>
            <w:r>
              <w:rPr>
                <w:rFonts w:ascii="Times New Roman"/>
                <w:sz w:val="21"/>
              </w:rPr>
              <w:t>15</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140" w:type="dxa"/>
          </w:tcPr>
          <w:p>
            <w:pPr>
              <w:pStyle w:val="TableParagraph"/>
              <w:spacing w:before="20"/>
              <w:ind w:left="9" w:right="4"/>
              <w:rPr>
                <w:rFonts w:ascii="Times New Roman"/>
                <w:sz w:val="21"/>
              </w:rPr>
            </w:pPr>
            <w:r>
              <w:rPr>
                <w:rFonts w:ascii="Times New Roman"/>
                <w:sz w:val="21"/>
              </w:rPr>
              <w:t>&lt;0.1</w:t>
            </w:r>
          </w:p>
        </w:tc>
        <w:tc>
          <w:tcPr>
            <w:tcW w:w="1135" w:type="dxa"/>
          </w:tcPr>
          <w:p>
            <w:pPr>
              <w:pStyle w:val="TableParagraph"/>
              <w:spacing w:before="20"/>
              <w:ind w:left="21" w:right="15"/>
              <w:rPr>
                <w:rFonts w:ascii="Times New Roman"/>
                <w:sz w:val="21"/>
              </w:rPr>
            </w:pPr>
            <w:r>
              <w:rPr>
                <w:rFonts w:ascii="Times New Roman"/>
                <w:sz w:val="21"/>
              </w:rPr>
              <w:t>&lt;0.1</w:t>
            </w:r>
          </w:p>
        </w:tc>
        <w:tc>
          <w:tcPr>
            <w:tcW w:w="1133" w:type="dxa"/>
          </w:tcPr>
          <w:p>
            <w:pPr>
              <w:pStyle w:val="TableParagraph"/>
              <w:spacing w:before="20"/>
              <w:ind w:left="6" w:right="3"/>
              <w:rPr>
                <w:rFonts w:ascii="Times New Roman"/>
                <w:sz w:val="21"/>
              </w:rPr>
            </w:pPr>
            <w:r>
              <w:rPr>
                <w:rFonts w:ascii="Times New Roman"/>
                <w:sz w:val="21"/>
              </w:rPr>
              <w:t>&lt;0.1</w:t>
            </w:r>
          </w:p>
        </w:tc>
        <w:tc>
          <w:tcPr>
            <w:tcW w:w="1063" w:type="dxa"/>
          </w:tcPr>
          <w:p>
            <w:pPr>
              <w:pStyle w:val="TableParagraph"/>
              <w:spacing w:before="20"/>
              <w:ind w:left="126" w:right="120"/>
              <w:rPr>
                <w:rFonts w:ascii="Times New Roman"/>
                <w:sz w:val="21"/>
              </w:rPr>
            </w:pPr>
            <w:r>
              <w:rPr>
                <w:rFonts w:ascii="Times New Roman"/>
                <w:sz w:val="21"/>
              </w:rPr>
              <w:t>&lt;0.1</w:t>
            </w:r>
          </w:p>
        </w:tc>
        <w:tc>
          <w:tcPr>
            <w:tcW w:w="1347" w:type="dxa"/>
          </w:tcPr>
          <w:p>
            <w:pPr>
              <w:pStyle w:val="TableParagraph"/>
              <w:spacing w:before="20"/>
              <w:ind w:left="285" w:right="279"/>
              <w:rPr>
                <w:rFonts w:ascii="Times New Roman"/>
                <w:sz w:val="21"/>
              </w:rPr>
            </w:pPr>
            <w:r>
              <w:rPr>
                <w:rFonts w:ascii="Times New Roman"/>
                <w:sz w:val="21"/>
              </w:rPr>
              <w:t>1.5</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&lt;0.2</w:t>
            </w:r>
          </w:p>
        </w:tc>
        <w:tc>
          <w:tcPr>
            <w:tcW w:w="1135" w:type="dxa"/>
          </w:tcPr>
          <w:p>
            <w:pPr>
              <w:pStyle w:val="TableParagraph"/>
              <w:spacing w:before="22"/>
              <w:ind w:left="21" w:right="15"/>
              <w:rPr>
                <w:rFonts w:ascii="Times New Roman"/>
                <w:sz w:val="21"/>
              </w:rPr>
            </w:pPr>
            <w:r>
              <w:rPr>
                <w:rFonts w:ascii="Times New Roman"/>
                <w:sz w:val="21"/>
              </w:rPr>
              <w:t>&lt;0.2</w:t>
            </w:r>
          </w:p>
        </w:tc>
        <w:tc>
          <w:tcPr>
            <w:tcW w:w="1133" w:type="dxa"/>
          </w:tcPr>
          <w:p>
            <w:pPr>
              <w:pStyle w:val="TableParagraph"/>
              <w:spacing w:before="22"/>
              <w:ind w:left="6" w:right="3"/>
              <w:rPr>
                <w:rFonts w:ascii="Times New Roman"/>
                <w:sz w:val="21"/>
              </w:rPr>
            </w:pPr>
            <w:r>
              <w:rPr>
                <w:rFonts w:ascii="Times New Roman"/>
                <w:sz w:val="21"/>
              </w:rPr>
              <w:t>&lt;0.2</w:t>
            </w:r>
          </w:p>
        </w:tc>
        <w:tc>
          <w:tcPr>
            <w:tcW w:w="1063" w:type="dxa"/>
          </w:tcPr>
          <w:p>
            <w:pPr>
              <w:pStyle w:val="TableParagraph"/>
              <w:spacing w:before="22"/>
              <w:ind w:left="126" w:right="120"/>
              <w:rPr>
                <w:rFonts w:ascii="Times New Roman"/>
                <w:sz w:val="21"/>
              </w:rPr>
            </w:pPr>
            <w:r>
              <w:rPr>
                <w:rFonts w:ascii="Times New Roman"/>
                <w:sz w:val="21"/>
              </w:rPr>
              <w:t>&lt;0.2</w:t>
            </w:r>
          </w:p>
        </w:tc>
        <w:tc>
          <w:tcPr>
            <w:tcW w:w="1347" w:type="dxa"/>
          </w:tcPr>
          <w:p>
            <w:pPr>
              <w:pStyle w:val="TableParagraph"/>
              <w:spacing w:before="22"/>
              <w:ind w:left="283" w:right="281"/>
              <w:rPr>
                <w:rFonts w:ascii="Times New Roman"/>
                <w:sz w:val="21"/>
              </w:rPr>
            </w:pPr>
            <w:r>
              <w:rPr>
                <w:rFonts w:ascii="Times New Roman"/>
                <w:sz w:val="21"/>
              </w:rPr>
              <w:t>15</w:t>
            </w:r>
          </w:p>
        </w:tc>
        <w:tc>
          <w:tcPr>
            <w:tcW w:w="1008" w:type="dxa"/>
          </w:tcPr>
          <w:p>
            <w:pPr>
              <w:pStyle w:val="TableParagraph"/>
              <w:spacing w:line="257" w:lineRule="exact" w:before="8"/>
              <w:ind w:left="274" w:right="269"/>
              <w:rPr>
                <w:sz w:val="21"/>
              </w:rPr>
            </w:pPr>
            <w:r>
              <w:rPr>
                <w:sz w:val="21"/>
              </w:rPr>
              <w:t>达标</w:t>
            </w:r>
          </w:p>
        </w:tc>
      </w:tr>
    </w:tbl>
    <w:p>
      <w:pPr>
        <w:spacing w:after="0" w:line="257" w:lineRule="exact"/>
        <w:rPr>
          <w:sz w:val="21"/>
        </w:rPr>
        <w:sectPr>
          <w:footerReference w:type="default" r:id="rId77"/>
          <w:pgSz w:w="11910" w:h="16850"/>
          <w:pgMar w:footer="1088" w:header="1004" w:top="1340" w:bottom="1280" w:left="1200" w:right="1000"/>
        </w:sectPr>
      </w:pPr>
    </w:p>
    <w:p>
      <w:pPr>
        <w:pStyle w:val="BodyText"/>
        <w:spacing w:before="3"/>
        <w:rPr>
          <w:b/>
          <w:sz w:val="6"/>
        </w:rPr>
      </w:pP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521"/>
        <w:gridCol w:w="1140"/>
        <w:gridCol w:w="1135"/>
        <w:gridCol w:w="1133"/>
        <w:gridCol w:w="1063"/>
        <w:gridCol w:w="1347"/>
        <w:gridCol w:w="1008"/>
      </w:tblGrid>
      <w:tr>
        <w:trPr>
          <w:trHeight w:val="283" w:hRule="atLeast"/>
        </w:trPr>
        <w:tc>
          <w:tcPr>
            <w:tcW w:w="2521" w:type="dxa"/>
            <w:vMerge w:val="restart"/>
          </w:tcPr>
          <w:p>
            <w:pPr>
              <w:pStyle w:val="TableParagraph"/>
              <w:spacing w:line="270" w:lineRule="atLeast" w:before="17"/>
              <w:ind w:left="107" w:right="99" w:firstLine="1461"/>
              <w:jc w:val="left"/>
              <w:rPr>
                <w:b/>
                <w:sz w:val="21"/>
              </w:rPr>
            </w:pPr>
            <w:r>
              <w:rPr>
                <w:b/>
                <w:sz w:val="21"/>
              </w:rPr>
              <w:t>采样点位项目名称及单位</w:t>
            </w:r>
          </w:p>
        </w:tc>
        <w:tc>
          <w:tcPr>
            <w:tcW w:w="4471" w:type="dxa"/>
            <w:gridSpan w:val="4"/>
          </w:tcPr>
          <w:p>
            <w:pPr>
              <w:pStyle w:val="TableParagraph"/>
              <w:spacing w:line="255" w:lineRule="exact" w:before="8"/>
              <w:ind w:left="337"/>
              <w:jc w:val="left"/>
              <w:rPr>
                <w:b/>
                <w:sz w:val="21"/>
              </w:rPr>
            </w:pPr>
            <w:r>
              <w:rPr>
                <w:rFonts w:ascii="Times New Roman" w:eastAsia="Times New Roman"/>
                <w:b/>
                <w:sz w:val="21"/>
              </w:rPr>
              <w:t>3#</w:t>
            </w:r>
            <w:r>
              <w:rPr>
                <w:b/>
                <w:sz w:val="21"/>
              </w:rPr>
              <w:t>拟建废水物化处理及生化处理区域之间</w:t>
            </w:r>
          </w:p>
        </w:tc>
        <w:tc>
          <w:tcPr>
            <w:tcW w:w="1347" w:type="dxa"/>
            <w:vMerge w:val="restart"/>
          </w:tcPr>
          <w:p>
            <w:pPr>
              <w:pStyle w:val="TableParagraph"/>
              <w:spacing w:line="270" w:lineRule="atLeast" w:before="17"/>
              <w:ind w:left="146" w:right="137"/>
              <w:jc w:val="left"/>
              <w:rPr>
                <w:b/>
                <w:sz w:val="21"/>
              </w:rPr>
            </w:pPr>
            <w:r>
              <w:rPr>
                <w:b/>
                <w:sz w:val="21"/>
              </w:rPr>
              <w:t>第二类用地筛选值标准</w:t>
            </w:r>
          </w:p>
        </w:tc>
        <w:tc>
          <w:tcPr>
            <w:tcW w:w="1008" w:type="dxa"/>
            <w:vMerge w:val="restart"/>
          </w:tcPr>
          <w:p>
            <w:pPr>
              <w:pStyle w:val="TableParagraph"/>
              <w:spacing w:line="270" w:lineRule="atLeast" w:before="17"/>
              <w:ind w:left="398" w:right="180" w:hanging="212"/>
              <w:jc w:val="left"/>
              <w:rPr>
                <w:b/>
                <w:sz w:val="21"/>
              </w:rPr>
            </w:pPr>
            <w:r>
              <w:rPr>
                <w:b/>
                <w:sz w:val="21"/>
              </w:rPr>
              <w:t>达标情况</w:t>
            </w:r>
          </w:p>
        </w:tc>
      </w:tr>
      <w:tr>
        <w:trPr>
          <w:trHeight w:val="290" w:hRule="atLeast"/>
        </w:trPr>
        <w:tc>
          <w:tcPr>
            <w:tcW w:w="2521" w:type="dxa"/>
            <w:vMerge/>
            <w:tcBorders>
              <w:top w:val="nil"/>
            </w:tcBorders>
          </w:tcPr>
          <w:p>
            <w:pPr>
              <w:rPr>
                <w:sz w:val="2"/>
                <w:szCs w:val="2"/>
              </w:rPr>
            </w:pPr>
          </w:p>
        </w:tc>
        <w:tc>
          <w:tcPr>
            <w:tcW w:w="1140" w:type="dxa"/>
          </w:tcPr>
          <w:p>
            <w:pPr>
              <w:pStyle w:val="TableParagraph"/>
              <w:spacing w:before="27"/>
              <w:ind w:left="8" w:right="4"/>
              <w:rPr>
                <w:rFonts w:ascii="Times New Roman"/>
                <w:b/>
                <w:sz w:val="21"/>
              </w:rPr>
            </w:pPr>
            <w:r>
              <w:rPr>
                <w:rFonts w:ascii="Times New Roman"/>
                <w:b/>
                <w:sz w:val="21"/>
              </w:rPr>
              <w:t>0-0.5m</w:t>
            </w:r>
          </w:p>
        </w:tc>
        <w:tc>
          <w:tcPr>
            <w:tcW w:w="1135" w:type="dxa"/>
          </w:tcPr>
          <w:p>
            <w:pPr>
              <w:pStyle w:val="TableParagraph"/>
              <w:spacing w:before="27"/>
              <w:ind w:left="19" w:right="15"/>
              <w:rPr>
                <w:rFonts w:ascii="Times New Roman"/>
                <w:b/>
                <w:sz w:val="21"/>
              </w:rPr>
            </w:pPr>
            <w:r>
              <w:rPr>
                <w:rFonts w:ascii="Times New Roman"/>
                <w:b/>
                <w:sz w:val="21"/>
              </w:rPr>
              <w:t>0.5-1.5m</w:t>
            </w:r>
          </w:p>
        </w:tc>
        <w:tc>
          <w:tcPr>
            <w:tcW w:w="1133" w:type="dxa"/>
          </w:tcPr>
          <w:p>
            <w:pPr>
              <w:pStyle w:val="TableParagraph"/>
              <w:spacing w:before="27"/>
              <w:ind w:left="5" w:right="3"/>
              <w:rPr>
                <w:rFonts w:ascii="Times New Roman"/>
                <w:b/>
                <w:sz w:val="21"/>
              </w:rPr>
            </w:pPr>
            <w:r>
              <w:rPr>
                <w:rFonts w:ascii="Times New Roman"/>
                <w:b/>
                <w:sz w:val="21"/>
              </w:rPr>
              <w:t>1.5-3.0m</w:t>
            </w:r>
          </w:p>
        </w:tc>
        <w:tc>
          <w:tcPr>
            <w:tcW w:w="1063" w:type="dxa"/>
          </w:tcPr>
          <w:p>
            <w:pPr>
              <w:pStyle w:val="TableParagraph"/>
              <w:spacing w:before="27"/>
              <w:ind w:left="126" w:right="121"/>
              <w:rPr>
                <w:rFonts w:ascii="Times New Roman"/>
                <w:b/>
                <w:sz w:val="21"/>
              </w:rPr>
            </w:pPr>
            <w:r>
              <w:rPr>
                <w:rFonts w:ascii="Times New Roman"/>
                <w:b/>
                <w:sz w:val="21"/>
              </w:rPr>
              <w:t>3.0-6.0m</w:t>
            </w:r>
          </w:p>
        </w:tc>
        <w:tc>
          <w:tcPr>
            <w:tcW w:w="1347" w:type="dxa"/>
            <w:vMerge/>
            <w:tcBorders>
              <w:top w:val="nil"/>
            </w:tcBorders>
          </w:tcPr>
          <w:p>
            <w:pPr>
              <w:rPr>
                <w:sz w:val="2"/>
                <w:szCs w:val="2"/>
              </w:rPr>
            </w:pPr>
          </w:p>
        </w:tc>
        <w:tc>
          <w:tcPr>
            <w:tcW w:w="1008" w:type="dxa"/>
            <w:vMerge/>
            <w:tcBorders>
              <w:top w:val="nil"/>
            </w:tcBorders>
          </w:tcPr>
          <w:p>
            <w:pPr>
              <w:rPr>
                <w:sz w:val="2"/>
                <w:szCs w:val="2"/>
              </w:rPr>
            </w:pPr>
          </w:p>
        </w:tc>
      </w:tr>
      <w:tr>
        <w:trPr>
          <w:trHeight w:val="283" w:hRule="atLeast"/>
        </w:trPr>
        <w:tc>
          <w:tcPr>
            <w:tcW w:w="2521" w:type="dxa"/>
          </w:tcPr>
          <w:p>
            <w:pPr>
              <w:pStyle w:val="TableParagraph"/>
              <w:spacing w:line="257" w:lineRule="exact" w:before="6"/>
              <w:ind w:left="107" w:right="104"/>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140" w:type="dxa"/>
          </w:tcPr>
          <w:p>
            <w:pPr>
              <w:pStyle w:val="TableParagraph"/>
              <w:spacing w:before="20"/>
              <w:ind w:left="9" w:right="4"/>
              <w:rPr>
                <w:rFonts w:ascii="Times New Roman"/>
                <w:sz w:val="21"/>
              </w:rPr>
            </w:pPr>
            <w:r>
              <w:rPr>
                <w:rFonts w:ascii="Times New Roman"/>
                <w:sz w:val="21"/>
              </w:rPr>
              <w:t>&lt;0.1</w:t>
            </w:r>
          </w:p>
        </w:tc>
        <w:tc>
          <w:tcPr>
            <w:tcW w:w="1135" w:type="dxa"/>
          </w:tcPr>
          <w:p>
            <w:pPr>
              <w:pStyle w:val="TableParagraph"/>
              <w:spacing w:before="20"/>
              <w:ind w:left="21" w:right="15"/>
              <w:rPr>
                <w:rFonts w:ascii="Times New Roman"/>
                <w:sz w:val="21"/>
              </w:rPr>
            </w:pPr>
            <w:r>
              <w:rPr>
                <w:rFonts w:ascii="Times New Roman"/>
                <w:sz w:val="21"/>
              </w:rPr>
              <w:t>&lt;0.1</w:t>
            </w:r>
          </w:p>
        </w:tc>
        <w:tc>
          <w:tcPr>
            <w:tcW w:w="1133" w:type="dxa"/>
          </w:tcPr>
          <w:p>
            <w:pPr>
              <w:pStyle w:val="TableParagraph"/>
              <w:spacing w:before="20"/>
              <w:ind w:left="6" w:right="3"/>
              <w:rPr>
                <w:rFonts w:ascii="Times New Roman"/>
                <w:sz w:val="21"/>
              </w:rPr>
            </w:pPr>
            <w:r>
              <w:rPr>
                <w:rFonts w:ascii="Times New Roman"/>
                <w:sz w:val="21"/>
              </w:rPr>
              <w:t>&lt;0.1</w:t>
            </w:r>
          </w:p>
        </w:tc>
        <w:tc>
          <w:tcPr>
            <w:tcW w:w="1063" w:type="dxa"/>
          </w:tcPr>
          <w:p>
            <w:pPr>
              <w:pStyle w:val="TableParagraph"/>
              <w:spacing w:before="20"/>
              <w:ind w:left="126" w:right="120"/>
              <w:rPr>
                <w:rFonts w:ascii="Times New Roman"/>
                <w:sz w:val="21"/>
              </w:rPr>
            </w:pPr>
            <w:r>
              <w:rPr>
                <w:rFonts w:ascii="Times New Roman"/>
                <w:sz w:val="21"/>
              </w:rPr>
              <w:t>&lt;0.1</w:t>
            </w:r>
          </w:p>
        </w:tc>
        <w:tc>
          <w:tcPr>
            <w:tcW w:w="1347" w:type="dxa"/>
          </w:tcPr>
          <w:p>
            <w:pPr>
              <w:pStyle w:val="TableParagraph"/>
              <w:spacing w:before="20"/>
              <w:ind w:left="285" w:right="279"/>
              <w:rPr>
                <w:rFonts w:ascii="Times New Roman"/>
                <w:sz w:val="21"/>
              </w:rPr>
            </w:pPr>
            <w:r>
              <w:rPr>
                <w:rFonts w:ascii="Times New Roman"/>
                <w:sz w:val="21"/>
              </w:rPr>
              <w:t>151</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䓛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&lt;0.1</w:t>
            </w:r>
          </w:p>
        </w:tc>
        <w:tc>
          <w:tcPr>
            <w:tcW w:w="1135" w:type="dxa"/>
          </w:tcPr>
          <w:p>
            <w:pPr>
              <w:pStyle w:val="TableParagraph"/>
              <w:spacing w:before="22"/>
              <w:ind w:left="21" w:right="15"/>
              <w:rPr>
                <w:rFonts w:ascii="Times New Roman"/>
                <w:sz w:val="21"/>
              </w:rPr>
            </w:pPr>
            <w:r>
              <w:rPr>
                <w:rFonts w:ascii="Times New Roman"/>
                <w:sz w:val="21"/>
              </w:rPr>
              <w:t>&lt;0.1</w:t>
            </w:r>
          </w:p>
        </w:tc>
        <w:tc>
          <w:tcPr>
            <w:tcW w:w="1133" w:type="dxa"/>
          </w:tcPr>
          <w:p>
            <w:pPr>
              <w:pStyle w:val="TableParagraph"/>
              <w:spacing w:before="22"/>
              <w:ind w:left="6" w:right="3"/>
              <w:rPr>
                <w:rFonts w:ascii="Times New Roman"/>
                <w:sz w:val="21"/>
              </w:rPr>
            </w:pPr>
            <w:r>
              <w:rPr>
                <w:rFonts w:ascii="Times New Roman"/>
                <w:sz w:val="21"/>
              </w:rPr>
              <w:t>&lt;0.1</w:t>
            </w:r>
          </w:p>
        </w:tc>
        <w:tc>
          <w:tcPr>
            <w:tcW w:w="1063" w:type="dxa"/>
          </w:tcPr>
          <w:p>
            <w:pPr>
              <w:pStyle w:val="TableParagraph"/>
              <w:spacing w:before="22"/>
              <w:ind w:left="126" w:right="120"/>
              <w:rPr>
                <w:rFonts w:ascii="Times New Roman"/>
                <w:sz w:val="21"/>
              </w:rPr>
            </w:pPr>
            <w:r>
              <w:rPr>
                <w:rFonts w:ascii="Times New Roman"/>
                <w:sz w:val="21"/>
              </w:rPr>
              <w:t>&lt;0.1</w:t>
            </w:r>
          </w:p>
        </w:tc>
        <w:tc>
          <w:tcPr>
            <w:tcW w:w="1347" w:type="dxa"/>
          </w:tcPr>
          <w:p>
            <w:pPr>
              <w:pStyle w:val="TableParagraph"/>
              <w:spacing w:before="22"/>
              <w:ind w:left="285" w:right="279"/>
              <w:rPr>
                <w:rFonts w:ascii="Times New Roman"/>
                <w:sz w:val="21"/>
              </w:rPr>
            </w:pPr>
            <w:r>
              <w:rPr>
                <w:rFonts w:ascii="Times New Roman"/>
                <w:sz w:val="21"/>
              </w:rPr>
              <w:t>1293</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10" w:right="104"/>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140" w:type="dxa"/>
          </w:tcPr>
          <w:p>
            <w:pPr>
              <w:pStyle w:val="TableParagraph"/>
              <w:spacing w:before="20"/>
              <w:ind w:left="9" w:right="4"/>
              <w:rPr>
                <w:rFonts w:ascii="Times New Roman"/>
                <w:sz w:val="21"/>
              </w:rPr>
            </w:pPr>
            <w:r>
              <w:rPr>
                <w:rFonts w:ascii="Times New Roman"/>
                <w:sz w:val="21"/>
              </w:rPr>
              <w:t>&lt;0.1</w:t>
            </w:r>
          </w:p>
        </w:tc>
        <w:tc>
          <w:tcPr>
            <w:tcW w:w="1135" w:type="dxa"/>
          </w:tcPr>
          <w:p>
            <w:pPr>
              <w:pStyle w:val="TableParagraph"/>
              <w:spacing w:before="20"/>
              <w:ind w:left="21" w:right="15"/>
              <w:rPr>
                <w:rFonts w:ascii="Times New Roman"/>
                <w:sz w:val="21"/>
              </w:rPr>
            </w:pPr>
            <w:r>
              <w:rPr>
                <w:rFonts w:ascii="Times New Roman"/>
                <w:sz w:val="21"/>
              </w:rPr>
              <w:t>&lt;0.1</w:t>
            </w:r>
          </w:p>
        </w:tc>
        <w:tc>
          <w:tcPr>
            <w:tcW w:w="1133" w:type="dxa"/>
          </w:tcPr>
          <w:p>
            <w:pPr>
              <w:pStyle w:val="TableParagraph"/>
              <w:spacing w:before="20"/>
              <w:ind w:left="6" w:right="3"/>
              <w:rPr>
                <w:rFonts w:ascii="Times New Roman"/>
                <w:sz w:val="21"/>
              </w:rPr>
            </w:pPr>
            <w:r>
              <w:rPr>
                <w:rFonts w:ascii="Times New Roman"/>
                <w:sz w:val="21"/>
              </w:rPr>
              <w:t>&lt;0.1</w:t>
            </w:r>
          </w:p>
        </w:tc>
        <w:tc>
          <w:tcPr>
            <w:tcW w:w="1063" w:type="dxa"/>
          </w:tcPr>
          <w:p>
            <w:pPr>
              <w:pStyle w:val="TableParagraph"/>
              <w:spacing w:before="20"/>
              <w:ind w:left="126" w:right="120"/>
              <w:rPr>
                <w:rFonts w:ascii="Times New Roman"/>
                <w:sz w:val="21"/>
              </w:rPr>
            </w:pPr>
            <w:r>
              <w:rPr>
                <w:rFonts w:ascii="Times New Roman"/>
                <w:sz w:val="21"/>
              </w:rPr>
              <w:t>&lt;0.1</w:t>
            </w:r>
          </w:p>
        </w:tc>
        <w:tc>
          <w:tcPr>
            <w:tcW w:w="1347" w:type="dxa"/>
          </w:tcPr>
          <w:p>
            <w:pPr>
              <w:pStyle w:val="TableParagraph"/>
              <w:spacing w:before="20"/>
              <w:ind w:left="285" w:right="279"/>
              <w:rPr>
                <w:rFonts w:ascii="Times New Roman"/>
                <w:sz w:val="21"/>
              </w:rPr>
            </w:pPr>
            <w:r>
              <w:rPr>
                <w:rFonts w:ascii="Times New Roman"/>
                <w:sz w:val="21"/>
              </w:rPr>
              <w:t>1.5</w:t>
            </w:r>
          </w:p>
        </w:tc>
        <w:tc>
          <w:tcPr>
            <w:tcW w:w="1008" w:type="dxa"/>
          </w:tcPr>
          <w:p>
            <w:pPr>
              <w:pStyle w:val="TableParagraph"/>
              <w:spacing w:line="257" w:lineRule="exact" w:before="6"/>
              <w:ind w:left="274" w:right="269"/>
              <w:rPr>
                <w:sz w:val="21"/>
              </w:rPr>
            </w:pPr>
            <w:r>
              <w:rPr>
                <w:sz w:val="21"/>
              </w:rPr>
              <w:t>达标</w:t>
            </w:r>
          </w:p>
        </w:tc>
      </w:tr>
      <w:tr>
        <w:trPr>
          <w:trHeight w:val="285" w:hRule="atLeast"/>
        </w:trPr>
        <w:tc>
          <w:tcPr>
            <w:tcW w:w="2521" w:type="dxa"/>
          </w:tcPr>
          <w:p>
            <w:pPr>
              <w:pStyle w:val="TableParagraph"/>
              <w:spacing w:line="257" w:lineRule="exact" w:before="8"/>
              <w:ind w:left="107" w:right="104"/>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140" w:type="dxa"/>
          </w:tcPr>
          <w:p>
            <w:pPr>
              <w:pStyle w:val="TableParagraph"/>
              <w:spacing w:before="22"/>
              <w:ind w:left="9" w:right="4"/>
              <w:rPr>
                <w:rFonts w:ascii="Times New Roman"/>
                <w:sz w:val="21"/>
              </w:rPr>
            </w:pPr>
            <w:r>
              <w:rPr>
                <w:rFonts w:ascii="Times New Roman"/>
                <w:sz w:val="21"/>
              </w:rPr>
              <w:t>&lt;0.1</w:t>
            </w:r>
          </w:p>
        </w:tc>
        <w:tc>
          <w:tcPr>
            <w:tcW w:w="1135" w:type="dxa"/>
          </w:tcPr>
          <w:p>
            <w:pPr>
              <w:pStyle w:val="TableParagraph"/>
              <w:spacing w:before="22"/>
              <w:ind w:left="21" w:right="15"/>
              <w:rPr>
                <w:rFonts w:ascii="Times New Roman"/>
                <w:sz w:val="21"/>
              </w:rPr>
            </w:pPr>
            <w:r>
              <w:rPr>
                <w:rFonts w:ascii="Times New Roman"/>
                <w:sz w:val="21"/>
              </w:rPr>
              <w:t>&lt;0.1</w:t>
            </w:r>
          </w:p>
        </w:tc>
        <w:tc>
          <w:tcPr>
            <w:tcW w:w="1133" w:type="dxa"/>
          </w:tcPr>
          <w:p>
            <w:pPr>
              <w:pStyle w:val="TableParagraph"/>
              <w:spacing w:before="22"/>
              <w:ind w:left="6" w:right="3"/>
              <w:rPr>
                <w:rFonts w:ascii="Times New Roman"/>
                <w:sz w:val="21"/>
              </w:rPr>
            </w:pPr>
            <w:r>
              <w:rPr>
                <w:rFonts w:ascii="Times New Roman"/>
                <w:sz w:val="21"/>
              </w:rPr>
              <w:t>&lt;0.1</w:t>
            </w:r>
          </w:p>
        </w:tc>
        <w:tc>
          <w:tcPr>
            <w:tcW w:w="1063" w:type="dxa"/>
          </w:tcPr>
          <w:p>
            <w:pPr>
              <w:pStyle w:val="TableParagraph"/>
              <w:spacing w:before="22"/>
              <w:ind w:left="126" w:right="120"/>
              <w:rPr>
                <w:rFonts w:ascii="Times New Roman"/>
                <w:sz w:val="21"/>
              </w:rPr>
            </w:pPr>
            <w:r>
              <w:rPr>
                <w:rFonts w:ascii="Times New Roman"/>
                <w:sz w:val="21"/>
              </w:rPr>
              <w:t>&lt;0.1</w:t>
            </w:r>
          </w:p>
        </w:tc>
        <w:tc>
          <w:tcPr>
            <w:tcW w:w="1347" w:type="dxa"/>
          </w:tcPr>
          <w:p>
            <w:pPr>
              <w:pStyle w:val="TableParagraph"/>
              <w:spacing w:before="22"/>
              <w:ind w:left="283" w:right="281"/>
              <w:rPr>
                <w:rFonts w:ascii="Times New Roman"/>
                <w:sz w:val="21"/>
              </w:rPr>
            </w:pPr>
            <w:r>
              <w:rPr>
                <w:rFonts w:ascii="Times New Roman"/>
                <w:sz w:val="21"/>
              </w:rPr>
              <w:t>15</w:t>
            </w:r>
          </w:p>
        </w:tc>
        <w:tc>
          <w:tcPr>
            <w:tcW w:w="1008" w:type="dxa"/>
          </w:tcPr>
          <w:p>
            <w:pPr>
              <w:pStyle w:val="TableParagraph"/>
              <w:spacing w:line="257" w:lineRule="exact" w:before="8"/>
              <w:ind w:left="274" w:right="269"/>
              <w:rPr>
                <w:sz w:val="21"/>
              </w:rPr>
            </w:pPr>
            <w:r>
              <w:rPr>
                <w:sz w:val="21"/>
              </w:rPr>
              <w:t>达标</w:t>
            </w:r>
          </w:p>
        </w:tc>
      </w:tr>
      <w:tr>
        <w:trPr>
          <w:trHeight w:val="282" w:hRule="atLeast"/>
        </w:trPr>
        <w:tc>
          <w:tcPr>
            <w:tcW w:w="2521" w:type="dxa"/>
          </w:tcPr>
          <w:p>
            <w:pPr>
              <w:pStyle w:val="TableParagraph"/>
              <w:spacing w:line="257" w:lineRule="exact" w:before="6"/>
              <w:ind w:left="107" w:right="104"/>
              <w:rPr>
                <w:rFonts w:ascii="Times New Roman" w:eastAsia="Times New Roman"/>
                <w:sz w:val="21"/>
              </w:rPr>
            </w:pPr>
            <w:r>
              <w:rPr>
                <w:sz w:val="21"/>
              </w:rPr>
              <w:t>萘 </w:t>
            </w:r>
            <w:r>
              <w:rPr>
                <w:rFonts w:ascii="Times New Roman" w:eastAsia="Times New Roman"/>
                <w:sz w:val="21"/>
              </w:rPr>
              <w:t>mg/kg</w:t>
            </w:r>
          </w:p>
        </w:tc>
        <w:tc>
          <w:tcPr>
            <w:tcW w:w="1140" w:type="dxa"/>
          </w:tcPr>
          <w:p>
            <w:pPr>
              <w:pStyle w:val="TableParagraph"/>
              <w:spacing w:before="20"/>
              <w:ind w:left="7" w:right="4"/>
              <w:rPr>
                <w:rFonts w:ascii="Times New Roman"/>
                <w:sz w:val="21"/>
              </w:rPr>
            </w:pPr>
            <w:r>
              <w:rPr>
                <w:rFonts w:ascii="Times New Roman"/>
                <w:sz w:val="21"/>
              </w:rPr>
              <w:t>&lt;0.09</w:t>
            </w:r>
          </w:p>
        </w:tc>
        <w:tc>
          <w:tcPr>
            <w:tcW w:w="1135" w:type="dxa"/>
          </w:tcPr>
          <w:p>
            <w:pPr>
              <w:pStyle w:val="TableParagraph"/>
              <w:spacing w:before="20"/>
              <w:ind w:left="18" w:right="15"/>
              <w:rPr>
                <w:rFonts w:ascii="Times New Roman"/>
                <w:sz w:val="21"/>
              </w:rPr>
            </w:pPr>
            <w:r>
              <w:rPr>
                <w:rFonts w:ascii="Times New Roman"/>
                <w:sz w:val="21"/>
              </w:rPr>
              <w:t>&lt;0.09</w:t>
            </w:r>
          </w:p>
        </w:tc>
        <w:tc>
          <w:tcPr>
            <w:tcW w:w="1133" w:type="dxa"/>
          </w:tcPr>
          <w:p>
            <w:pPr>
              <w:pStyle w:val="TableParagraph"/>
              <w:spacing w:before="20"/>
              <w:ind w:left="9" w:right="3"/>
              <w:rPr>
                <w:rFonts w:ascii="Times New Roman"/>
                <w:sz w:val="21"/>
              </w:rPr>
            </w:pPr>
            <w:r>
              <w:rPr>
                <w:rFonts w:ascii="Times New Roman"/>
                <w:sz w:val="21"/>
              </w:rPr>
              <w:t>&lt;0.09</w:t>
            </w:r>
          </w:p>
        </w:tc>
        <w:tc>
          <w:tcPr>
            <w:tcW w:w="1063" w:type="dxa"/>
          </w:tcPr>
          <w:p>
            <w:pPr>
              <w:pStyle w:val="TableParagraph"/>
              <w:spacing w:before="20"/>
              <w:ind w:left="125" w:right="121"/>
              <w:rPr>
                <w:rFonts w:ascii="Times New Roman"/>
                <w:sz w:val="21"/>
              </w:rPr>
            </w:pPr>
            <w:r>
              <w:rPr>
                <w:rFonts w:ascii="Times New Roman"/>
                <w:sz w:val="21"/>
              </w:rPr>
              <w:t>&lt;0.09</w:t>
            </w:r>
          </w:p>
        </w:tc>
        <w:tc>
          <w:tcPr>
            <w:tcW w:w="1347" w:type="dxa"/>
          </w:tcPr>
          <w:p>
            <w:pPr>
              <w:pStyle w:val="TableParagraph"/>
              <w:spacing w:before="20"/>
              <w:ind w:left="283" w:right="281"/>
              <w:rPr>
                <w:rFonts w:ascii="Times New Roman"/>
                <w:sz w:val="21"/>
              </w:rPr>
            </w:pPr>
            <w:r>
              <w:rPr>
                <w:rFonts w:ascii="Times New Roman"/>
                <w:sz w:val="21"/>
              </w:rPr>
              <w:t>70</w:t>
            </w:r>
          </w:p>
        </w:tc>
        <w:tc>
          <w:tcPr>
            <w:tcW w:w="1008" w:type="dxa"/>
          </w:tcPr>
          <w:p>
            <w:pPr>
              <w:pStyle w:val="TableParagraph"/>
              <w:spacing w:line="257" w:lineRule="exact" w:before="6"/>
              <w:ind w:left="274" w:right="269"/>
              <w:rPr>
                <w:sz w:val="21"/>
              </w:rPr>
            </w:pPr>
            <w:r>
              <w:rPr>
                <w:sz w:val="21"/>
              </w:rPr>
              <w:t>达标</w:t>
            </w:r>
          </w:p>
        </w:tc>
      </w:tr>
      <w:tr>
        <w:trPr>
          <w:trHeight w:val="283" w:hRule="atLeast"/>
        </w:trPr>
        <w:tc>
          <w:tcPr>
            <w:tcW w:w="2521" w:type="dxa"/>
          </w:tcPr>
          <w:p>
            <w:pPr>
              <w:pStyle w:val="TableParagraph"/>
              <w:spacing w:line="256" w:lineRule="exact" w:before="7"/>
              <w:ind w:left="110" w:right="104"/>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140" w:type="dxa"/>
          </w:tcPr>
          <w:p>
            <w:pPr>
              <w:pStyle w:val="TableParagraph"/>
              <w:spacing w:line="241" w:lineRule="exact" w:before="22"/>
              <w:ind w:left="5" w:right="4"/>
              <w:rPr>
                <w:rFonts w:ascii="Times New Roman"/>
                <w:sz w:val="21"/>
              </w:rPr>
            </w:pPr>
            <w:r>
              <w:rPr>
                <w:rFonts w:ascii="Times New Roman"/>
                <w:sz w:val="21"/>
              </w:rPr>
              <w:t>45</w:t>
            </w:r>
          </w:p>
        </w:tc>
        <w:tc>
          <w:tcPr>
            <w:tcW w:w="1135" w:type="dxa"/>
          </w:tcPr>
          <w:p>
            <w:pPr>
              <w:pStyle w:val="TableParagraph"/>
              <w:spacing w:line="241" w:lineRule="exact" w:before="22"/>
              <w:ind w:left="16" w:right="15"/>
              <w:rPr>
                <w:rFonts w:ascii="Times New Roman"/>
                <w:sz w:val="21"/>
              </w:rPr>
            </w:pPr>
            <w:r>
              <w:rPr>
                <w:rFonts w:ascii="Times New Roman"/>
                <w:sz w:val="21"/>
              </w:rPr>
              <w:t>37</w:t>
            </w:r>
          </w:p>
        </w:tc>
        <w:tc>
          <w:tcPr>
            <w:tcW w:w="1133" w:type="dxa"/>
          </w:tcPr>
          <w:p>
            <w:pPr>
              <w:pStyle w:val="TableParagraph"/>
              <w:spacing w:line="241" w:lineRule="exact" w:before="22"/>
              <w:ind w:left="7" w:right="3"/>
              <w:rPr>
                <w:rFonts w:ascii="Times New Roman"/>
                <w:sz w:val="21"/>
              </w:rPr>
            </w:pPr>
            <w:r>
              <w:rPr>
                <w:rFonts w:ascii="Times New Roman"/>
                <w:sz w:val="21"/>
              </w:rPr>
              <w:t>55</w:t>
            </w:r>
          </w:p>
        </w:tc>
        <w:tc>
          <w:tcPr>
            <w:tcW w:w="1063" w:type="dxa"/>
          </w:tcPr>
          <w:p>
            <w:pPr>
              <w:pStyle w:val="TableParagraph"/>
              <w:spacing w:line="241" w:lineRule="exact" w:before="22"/>
              <w:ind w:left="123" w:right="121"/>
              <w:rPr>
                <w:rFonts w:ascii="Times New Roman"/>
                <w:sz w:val="21"/>
              </w:rPr>
            </w:pPr>
            <w:r>
              <w:rPr>
                <w:rFonts w:ascii="Times New Roman"/>
                <w:sz w:val="21"/>
              </w:rPr>
              <w:t>41</w:t>
            </w:r>
          </w:p>
        </w:tc>
        <w:tc>
          <w:tcPr>
            <w:tcW w:w="1347" w:type="dxa"/>
          </w:tcPr>
          <w:p>
            <w:pPr>
              <w:pStyle w:val="TableParagraph"/>
              <w:spacing w:line="241" w:lineRule="exact" w:before="22"/>
              <w:ind w:left="285" w:right="279"/>
              <w:rPr>
                <w:rFonts w:ascii="Times New Roman"/>
                <w:sz w:val="21"/>
              </w:rPr>
            </w:pPr>
            <w:r>
              <w:rPr>
                <w:rFonts w:ascii="Times New Roman"/>
                <w:sz w:val="21"/>
              </w:rPr>
              <w:t>4500</w:t>
            </w:r>
          </w:p>
        </w:tc>
        <w:tc>
          <w:tcPr>
            <w:tcW w:w="1008" w:type="dxa"/>
          </w:tcPr>
          <w:p>
            <w:pPr>
              <w:pStyle w:val="TableParagraph"/>
              <w:spacing w:line="255" w:lineRule="exact" w:before="8"/>
              <w:ind w:left="274" w:right="269"/>
              <w:rPr>
                <w:sz w:val="21"/>
              </w:rPr>
            </w:pPr>
            <w:r>
              <w:rPr>
                <w:sz w:val="21"/>
              </w:rPr>
              <w:t>达标</w:t>
            </w:r>
          </w:p>
        </w:tc>
      </w:tr>
    </w:tbl>
    <w:p>
      <w:pPr>
        <w:pStyle w:val="BodyText"/>
        <w:spacing w:before="6"/>
        <w:rPr>
          <w:b/>
          <w:sz w:val="5"/>
        </w:rPr>
      </w:pPr>
    </w:p>
    <w:p>
      <w:pPr>
        <w:tabs>
          <w:tab w:pos="1789" w:val="left" w:leader="none"/>
        </w:tabs>
        <w:spacing w:before="74" w:after="29"/>
        <w:ind w:left="447" w:right="0" w:firstLine="0"/>
        <w:jc w:val="center"/>
        <w:rPr>
          <w:b/>
          <w:sz w:val="24"/>
        </w:rPr>
      </w:pPr>
      <w:r>
        <w:rPr/>
        <w:pict>
          <v:line style="position:absolute;mso-position-horizontal-relative:page;mso-position-vertical-relative:paragraph;z-index:-317720576" from="71.304001pt,-119.319969pt" to="197.090001pt,-90.379969pt" stroked="true" strokeweight=".72pt" strokecolor="#000000">
            <v:stroke dashstyle="solid"/>
            <w10:wrap type="none"/>
          </v:line>
        </w:pict>
      </w:r>
      <w:r>
        <w:rPr/>
        <w:pict>
          <v:line style="position:absolute;mso-position-horizontal-relative:page;mso-position-vertical-relative:paragraph;z-index:-317719552" from="71.304001pt,20.860029pt" to="213.410001pt,62.740029pt" stroked="true" strokeweight=".72pt" strokecolor="#000000">
            <v:stroke dashstyle="solid"/>
            <w10:wrap type="none"/>
          </v:line>
        </w:pict>
      </w:r>
      <w:r>
        <w:rPr>
          <w:b/>
          <w:sz w:val="24"/>
        </w:rPr>
        <w:t>表</w:t>
      </w:r>
      <w:r>
        <w:rPr>
          <w:b/>
          <w:spacing w:val="-60"/>
          <w:sz w:val="24"/>
        </w:rPr>
        <w:t> </w:t>
      </w:r>
      <w:r>
        <w:rPr>
          <w:rFonts w:ascii="Times New Roman" w:eastAsia="Times New Roman"/>
          <w:b/>
          <w:sz w:val="24"/>
        </w:rPr>
        <w:t>6.2.4-10</w:t>
        <w:tab/>
      </w:r>
      <w:r>
        <w:rPr>
          <w:b/>
          <w:sz w:val="24"/>
        </w:rPr>
        <w:t>东区土壤现状监测结果（</w:t>
      </w:r>
      <w:r>
        <w:rPr>
          <w:rFonts w:ascii="Times New Roman" w:eastAsia="Times New Roman"/>
          <w:b/>
          <w:sz w:val="24"/>
        </w:rPr>
        <w:t>4</w:t>
      </w:r>
      <w:r>
        <w:rPr>
          <w:b/>
          <w:sz w:val="24"/>
        </w:rPr>
        <w:t>）</w: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47"/>
        <w:gridCol w:w="1286"/>
        <w:gridCol w:w="1502"/>
        <w:gridCol w:w="1559"/>
        <w:gridCol w:w="1276"/>
        <w:gridCol w:w="872"/>
      </w:tblGrid>
      <w:tr>
        <w:trPr>
          <w:trHeight w:val="547" w:hRule="atLeast"/>
        </w:trPr>
        <w:tc>
          <w:tcPr>
            <w:tcW w:w="2847" w:type="dxa"/>
            <w:vMerge w:val="restart"/>
          </w:tcPr>
          <w:p>
            <w:pPr>
              <w:pStyle w:val="TableParagraph"/>
              <w:spacing w:before="150"/>
              <w:ind w:left="1895"/>
              <w:jc w:val="left"/>
              <w:rPr>
                <w:b/>
                <w:sz w:val="21"/>
              </w:rPr>
            </w:pPr>
            <w:r>
              <w:rPr>
                <w:b/>
                <w:sz w:val="21"/>
              </w:rPr>
              <w:t>采样点位</w:t>
            </w:r>
          </w:p>
          <w:p>
            <w:pPr>
              <w:pStyle w:val="TableParagraph"/>
              <w:spacing w:before="2"/>
              <w:ind w:left="107"/>
              <w:jc w:val="left"/>
              <w:rPr>
                <w:b/>
                <w:sz w:val="21"/>
              </w:rPr>
            </w:pPr>
            <w:r>
              <w:rPr>
                <w:b/>
                <w:sz w:val="21"/>
              </w:rPr>
              <w:t>项目名称及单位</w:t>
            </w:r>
          </w:p>
        </w:tc>
        <w:tc>
          <w:tcPr>
            <w:tcW w:w="1286" w:type="dxa"/>
          </w:tcPr>
          <w:p>
            <w:pPr>
              <w:pStyle w:val="TableParagraph"/>
              <w:spacing w:line="270" w:lineRule="atLeast" w:before="2"/>
              <w:ind w:left="326" w:right="110" w:hanging="212"/>
              <w:jc w:val="left"/>
              <w:rPr>
                <w:b/>
                <w:sz w:val="21"/>
              </w:rPr>
            </w:pPr>
            <w:r>
              <w:rPr>
                <w:rFonts w:ascii="Times New Roman" w:eastAsia="Times New Roman"/>
                <w:b/>
                <w:sz w:val="21"/>
              </w:rPr>
              <w:t>4#</w:t>
            </w:r>
            <w:r>
              <w:rPr>
                <w:b/>
                <w:sz w:val="21"/>
              </w:rPr>
              <w:t>拟建综合楼北面</w:t>
            </w:r>
          </w:p>
        </w:tc>
        <w:tc>
          <w:tcPr>
            <w:tcW w:w="1502" w:type="dxa"/>
          </w:tcPr>
          <w:p>
            <w:pPr>
              <w:pStyle w:val="TableParagraph"/>
              <w:spacing w:line="270" w:lineRule="atLeast" w:before="2"/>
              <w:ind w:left="189" w:right="112" w:hanging="72"/>
              <w:jc w:val="left"/>
              <w:rPr>
                <w:b/>
                <w:sz w:val="21"/>
              </w:rPr>
            </w:pPr>
            <w:r>
              <w:rPr>
                <w:rFonts w:ascii="Times New Roman" w:eastAsia="Times New Roman"/>
                <w:b/>
                <w:sz w:val="21"/>
              </w:rPr>
              <w:t>5#</w:t>
            </w:r>
            <w:r>
              <w:rPr>
                <w:b/>
                <w:sz w:val="21"/>
              </w:rPr>
              <w:t>厂区西面围墙外 </w:t>
            </w:r>
            <w:r>
              <w:rPr>
                <w:rFonts w:ascii="Times New Roman" w:eastAsia="Times New Roman"/>
                <w:b/>
                <w:sz w:val="21"/>
              </w:rPr>
              <w:t>20m </w:t>
            </w:r>
            <w:r>
              <w:rPr>
                <w:b/>
                <w:sz w:val="21"/>
              </w:rPr>
              <w:t>处</w:t>
            </w:r>
          </w:p>
        </w:tc>
        <w:tc>
          <w:tcPr>
            <w:tcW w:w="1559" w:type="dxa"/>
          </w:tcPr>
          <w:p>
            <w:pPr>
              <w:pStyle w:val="TableParagraph"/>
              <w:spacing w:line="270" w:lineRule="atLeast" w:before="2"/>
              <w:ind w:left="219" w:right="139" w:hanging="72"/>
              <w:jc w:val="left"/>
              <w:rPr>
                <w:b/>
                <w:sz w:val="21"/>
              </w:rPr>
            </w:pPr>
            <w:r>
              <w:rPr>
                <w:rFonts w:ascii="Times New Roman" w:eastAsia="Times New Roman"/>
                <w:b/>
                <w:sz w:val="21"/>
              </w:rPr>
              <w:t>6#</w:t>
            </w:r>
            <w:r>
              <w:rPr>
                <w:b/>
                <w:sz w:val="21"/>
              </w:rPr>
              <w:t>厂区东面围墙外 </w:t>
            </w:r>
            <w:r>
              <w:rPr>
                <w:rFonts w:ascii="Times New Roman" w:eastAsia="Times New Roman"/>
                <w:b/>
                <w:sz w:val="21"/>
              </w:rPr>
              <w:t>20m </w:t>
            </w:r>
            <w:r>
              <w:rPr>
                <w:b/>
                <w:sz w:val="21"/>
              </w:rPr>
              <w:t>处</w:t>
            </w:r>
          </w:p>
        </w:tc>
        <w:tc>
          <w:tcPr>
            <w:tcW w:w="1276" w:type="dxa"/>
            <w:vMerge w:val="restart"/>
          </w:tcPr>
          <w:p>
            <w:pPr>
              <w:pStyle w:val="TableParagraph"/>
              <w:spacing w:line="242" w:lineRule="auto" w:before="150"/>
              <w:ind w:left="112" w:right="100"/>
              <w:jc w:val="left"/>
              <w:rPr>
                <w:b/>
                <w:sz w:val="21"/>
              </w:rPr>
            </w:pPr>
            <w:r>
              <w:rPr>
                <w:b/>
                <w:sz w:val="21"/>
              </w:rPr>
              <w:t>第二类用地筛选值标准</w:t>
            </w:r>
          </w:p>
        </w:tc>
        <w:tc>
          <w:tcPr>
            <w:tcW w:w="872" w:type="dxa"/>
            <w:vMerge w:val="restart"/>
          </w:tcPr>
          <w:p>
            <w:pPr>
              <w:pStyle w:val="TableParagraph"/>
              <w:spacing w:line="242" w:lineRule="auto" w:before="150"/>
              <w:ind w:left="334" w:right="107" w:hanging="212"/>
              <w:jc w:val="left"/>
              <w:rPr>
                <w:b/>
                <w:sz w:val="21"/>
              </w:rPr>
            </w:pPr>
            <w:r>
              <w:rPr>
                <w:b/>
                <w:sz w:val="21"/>
              </w:rPr>
              <w:t>达标情况</w:t>
            </w:r>
          </w:p>
        </w:tc>
      </w:tr>
      <w:tr>
        <w:trPr>
          <w:trHeight w:val="287" w:hRule="atLeast"/>
        </w:trPr>
        <w:tc>
          <w:tcPr>
            <w:tcW w:w="2847" w:type="dxa"/>
            <w:vMerge/>
            <w:tcBorders>
              <w:top w:val="nil"/>
            </w:tcBorders>
          </w:tcPr>
          <w:p>
            <w:pPr>
              <w:rPr>
                <w:sz w:val="2"/>
                <w:szCs w:val="2"/>
              </w:rPr>
            </w:pPr>
          </w:p>
        </w:tc>
        <w:tc>
          <w:tcPr>
            <w:tcW w:w="1286" w:type="dxa"/>
          </w:tcPr>
          <w:p>
            <w:pPr>
              <w:pStyle w:val="TableParagraph"/>
              <w:spacing w:before="24"/>
              <w:ind w:left="335"/>
              <w:jc w:val="left"/>
              <w:rPr>
                <w:rFonts w:ascii="Times New Roman"/>
                <w:b/>
                <w:sz w:val="21"/>
              </w:rPr>
            </w:pPr>
            <w:r>
              <w:rPr>
                <w:rFonts w:ascii="Times New Roman"/>
                <w:b/>
                <w:sz w:val="21"/>
              </w:rPr>
              <w:t>0-0.2m</w:t>
            </w:r>
          </w:p>
        </w:tc>
        <w:tc>
          <w:tcPr>
            <w:tcW w:w="1502" w:type="dxa"/>
          </w:tcPr>
          <w:p>
            <w:pPr>
              <w:pStyle w:val="TableParagraph"/>
              <w:spacing w:before="24"/>
              <w:ind w:left="424" w:right="420"/>
              <w:rPr>
                <w:rFonts w:ascii="Times New Roman"/>
                <w:b/>
                <w:sz w:val="21"/>
              </w:rPr>
            </w:pPr>
            <w:r>
              <w:rPr>
                <w:rFonts w:ascii="Times New Roman"/>
                <w:b/>
                <w:sz w:val="21"/>
              </w:rPr>
              <w:t>0-0.2m</w:t>
            </w:r>
          </w:p>
        </w:tc>
        <w:tc>
          <w:tcPr>
            <w:tcW w:w="1559" w:type="dxa"/>
          </w:tcPr>
          <w:p>
            <w:pPr>
              <w:pStyle w:val="TableParagraph"/>
              <w:spacing w:before="24"/>
              <w:ind w:right="465"/>
              <w:jc w:val="right"/>
              <w:rPr>
                <w:rFonts w:ascii="Times New Roman"/>
                <w:b/>
                <w:sz w:val="21"/>
              </w:rPr>
            </w:pPr>
            <w:r>
              <w:rPr>
                <w:rFonts w:ascii="Times New Roman"/>
                <w:b/>
                <w:sz w:val="21"/>
              </w:rPr>
              <w:t>0-0.2m</w:t>
            </w:r>
          </w:p>
        </w:tc>
        <w:tc>
          <w:tcPr>
            <w:tcW w:w="1276" w:type="dxa"/>
            <w:vMerge/>
            <w:tcBorders>
              <w:top w:val="nil"/>
            </w:tcBorders>
          </w:tcPr>
          <w:p>
            <w:pPr>
              <w:rPr>
                <w:sz w:val="2"/>
                <w:szCs w:val="2"/>
              </w:rPr>
            </w:pPr>
          </w:p>
        </w:tc>
        <w:tc>
          <w:tcPr>
            <w:tcW w:w="872" w:type="dxa"/>
            <w:vMerge/>
            <w:tcBorders>
              <w:top w:val="nil"/>
            </w:tcBorders>
          </w:tcPr>
          <w:p>
            <w:pPr>
              <w:rPr>
                <w:sz w:val="2"/>
                <w:szCs w:val="2"/>
              </w:rPr>
            </w:pPr>
          </w:p>
        </w:tc>
      </w:tr>
      <w:tr>
        <w:trPr>
          <w:trHeight w:val="283" w:hRule="atLeast"/>
        </w:trPr>
        <w:tc>
          <w:tcPr>
            <w:tcW w:w="2847" w:type="dxa"/>
          </w:tcPr>
          <w:p>
            <w:pPr>
              <w:pStyle w:val="TableParagraph"/>
              <w:spacing w:line="255" w:lineRule="exact" w:before="9"/>
              <w:ind w:left="207" w:right="203"/>
              <w:rPr>
                <w:rFonts w:ascii="Times New Roman" w:eastAsia="Times New Roman"/>
                <w:sz w:val="21"/>
              </w:rPr>
            </w:pPr>
            <w:r>
              <w:rPr>
                <w:sz w:val="21"/>
              </w:rPr>
              <w:t>铜 </w:t>
            </w:r>
            <w:r>
              <w:rPr>
                <w:rFonts w:ascii="Times New Roman" w:eastAsia="Times New Roman"/>
                <w:sz w:val="21"/>
              </w:rPr>
              <w:t>mg/kg</w:t>
            </w:r>
          </w:p>
        </w:tc>
        <w:tc>
          <w:tcPr>
            <w:tcW w:w="1286" w:type="dxa"/>
          </w:tcPr>
          <w:p>
            <w:pPr>
              <w:pStyle w:val="TableParagraph"/>
              <w:spacing w:line="241" w:lineRule="exact" w:before="23"/>
              <w:ind w:left="94" w:right="89"/>
              <w:rPr>
                <w:rFonts w:ascii="Times New Roman"/>
                <w:sz w:val="21"/>
              </w:rPr>
            </w:pPr>
            <w:r>
              <w:rPr>
                <w:rFonts w:ascii="Times New Roman"/>
                <w:sz w:val="21"/>
              </w:rPr>
              <w:t>26</w:t>
            </w:r>
          </w:p>
        </w:tc>
        <w:tc>
          <w:tcPr>
            <w:tcW w:w="1502" w:type="dxa"/>
          </w:tcPr>
          <w:p>
            <w:pPr>
              <w:pStyle w:val="TableParagraph"/>
              <w:spacing w:line="241" w:lineRule="exact" w:before="23"/>
              <w:ind w:left="424" w:right="419"/>
              <w:rPr>
                <w:rFonts w:ascii="Times New Roman"/>
                <w:sz w:val="21"/>
              </w:rPr>
            </w:pPr>
            <w:r>
              <w:rPr>
                <w:rFonts w:ascii="Times New Roman"/>
                <w:sz w:val="21"/>
              </w:rPr>
              <w:t>28</w:t>
            </w:r>
          </w:p>
        </w:tc>
        <w:tc>
          <w:tcPr>
            <w:tcW w:w="1559" w:type="dxa"/>
          </w:tcPr>
          <w:p>
            <w:pPr>
              <w:pStyle w:val="TableParagraph"/>
              <w:spacing w:line="241" w:lineRule="exact" w:before="23"/>
              <w:ind w:left="338" w:right="330"/>
              <w:rPr>
                <w:rFonts w:ascii="Times New Roman"/>
                <w:sz w:val="21"/>
              </w:rPr>
            </w:pPr>
            <w:r>
              <w:rPr>
                <w:rFonts w:ascii="Times New Roman"/>
                <w:sz w:val="21"/>
              </w:rPr>
              <w:t>22</w:t>
            </w:r>
          </w:p>
        </w:tc>
        <w:tc>
          <w:tcPr>
            <w:tcW w:w="1276" w:type="dxa"/>
          </w:tcPr>
          <w:p>
            <w:pPr>
              <w:pStyle w:val="TableParagraph"/>
              <w:spacing w:line="241" w:lineRule="exact" w:before="23"/>
              <w:ind w:left="9"/>
              <w:rPr>
                <w:rFonts w:ascii="Times New Roman"/>
                <w:sz w:val="21"/>
              </w:rPr>
            </w:pPr>
            <w:r>
              <w:rPr>
                <w:rFonts w:ascii="Times New Roman"/>
                <w:sz w:val="21"/>
              </w:rPr>
              <w:t>18000</w:t>
            </w:r>
          </w:p>
        </w:tc>
        <w:tc>
          <w:tcPr>
            <w:tcW w:w="872" w:type="dxa"/>
          </w:tcPr>
          <w:p>
            <w:pPr>
              <w:pStyle w:val="TableParagraph"/>
              <w:spacing w:line="255" w:lineRule="exact" w:before="9"/>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eastAsia="Times New Roman"/>
                <w:sz w:val="21"/>
              </w:rPr>
            </w:pPr>
            <w:r>
              <w:rPr>
                <w:sz w:val="21"/>
              </w:rPr>
              <w:t>铅 </w:t>
            </w:r>
            <w:r>
              <w:rPr>
                <w:rFonts w:ascii="Times New Roman" w:eastAsia="Times New Roman"/>
                <w:sz w:val="21"/>
              </w:rPr>
              <w:t>mg/kg</w:t>
            </w:r>
          </w:p>
        </w:tc>
        <w:tc>
          <w:tcPr>
            <w:tcW w:w="1286" w:type="dxa"/>
          </w:tcPr>
          <w:p>
            <w:pPr>
              <w:pStyle w:val="TableParagraph"/>
              <w:spacing w:before="22"/>
              <w:ind w:left="94" w:right="89"/>
              <w:rPr>
                <w:rFonts w:ascii="Times New Roman"/>
                <w:sz w:val="21"/>
              </w:rPr>
            </w:pPr>
            <w:r>
              <w:rPr>
                <w:rFonts w:ascii="Times New Roman"/>
                <w:sz w:val="21"/>
              </w:rPr>
              <w:t>27.0</w:t>
            </w:r>
          </w:p>
        </w:tc>
        <w:tc>
          <w:tcPr>
            <w:tcW w:w="1502" w:type="dxa"/>
          </w:tcPr>
          <w:p>
            <w:pPr>
              <w:pStyle w:val="TableParagraph"/>
              <w:spacing w:before="22"/>
              <w:ind w:left="424" w:right="419"/>
              <w:rPr>
                <w:rFonts w:ascii="Times New Roman"/>
                <w:sz w:val="21"/>
              </w:rPr>
            </w:pPr>
            <w:r>
              <w:rPr>
                <w:rFonts w:ascii="Times New Roman"/>
                <w:sz w:val="21"/>
              </w:rPr>
              <w:t>25.9</w:t>
            </w:r>
          </w:p>
        </w:tc>
        <w:tc>
          <w:tcPr>
            <w:tcW w:w="1559" w:type="dxa"/>
          </w:tcPr>
          <w:p>
            <w:pPr>
              <w:pStyle w:val="TableParagraph"/>
              <w:spacing w:before="22"/>
              <w:ind w:left="338" w:right="330"/>
              <w:rPr>
                <w:rFonts w:ascii="Times New Roman"/>
                <w:sz w:val="21"/>
              </w:rPr>
            </w:pPr>
            <w:r>
              <w:rPr>
                <w:rFonts w:ascii="Times New Roman"/>
                <w:sz w:val="21"/>
              </w:rPr>
              <w:t>33.6</w:t>
            </w:r>
          </w:p>
        </w:tc>
        <w:tc>
          <w:tcPr>
            <w:tcW w:w="1276" w:type="dxa"/>
          </w:tcPr>
          <w:p>
            <w:pPr>
              <w:pStyle w:val="TableParagraph"/>
              <w:spacing w:before="22"/>
              <w:ind w:left="9"/>
              <w:rPr>
                <w:rFonts w:ascii="Times New Roman"/>
                <w:sz w:val="21"/>
              </w:rPr>
            </w:pPr>
            <w:r>
              <w:rPr>
                <w:rFonts w:ascii="Times New Roman"/>
                <w:sz w:val="21"/>
              </w:rPr>
              <w:t>800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9" w:right="203"/>
              <w:rPr>
                <w:rFonts w:ascii="Times New Roman" w:eastAsia="Times New Roman"/>
                <w:sz w:val="21"/>
              </w:rPr>
            </w:pPr>
            <w:r>
              <w:rPr>
                <w:sz w:val="21"/>
              </w:rPr>
              <w:t>六价铬 </w:t>
            </w:r>
            <w:r>
              <w:rPr>
                <w:rFonts w:ascii="Times New Roman" w:eastAsia="Times New Roman"/>
                <w:sz w:val="21"/>
              </w:rPr>
              <w:t>mg/kg</w:t>
            </w:r>
          </w:p>
        </w:tc>
        <w:tc>
          <w:tcPr>
            <w:tcW w:w="1286" w:type="dxa"/>
          </w:tcPr>
          <w:p>
            <w:pPr>
              <w:pStyle w:val="TableParagraph"/>
              <w:spacing w:line="257" w:lineRule="exact" w:before="6"/>
              <w:ind w:left="405"/>
              <w:jc w:val="left"/>
              <w:rPr>
                <w:rFonts w:ascii="Times New Roman" w:eastAsia="Times New Roman"/>
                <w:sz w:val="21"/>
              </w:rPr>
            </w:pPr>
            <w:r>
              <w:rPr>
                <w:sz w:val="21"/>
              </w:rPr>
              <w:t>＜</w:t>
            </w:r>
            <w:r>
              <w:rPr>
                <w:rFonts w:ascii="Times New Roman" w:eastAsia="Times New Roman"/>
                <w:sz w:val="21"/>
              </w:rPr>
              <w:t>0.5</w:t>
            </w:r>
          </w:p>
        </w:tc>
        <w:tc>
          <w:tcPr>
            <w:tcW w:w="1502" w:type="dxa"/>
          </w:tcPr>
          <w:p>
            <w:pPr>
              <w:pStyle w:val="TableParagraph"/>
              <w:spacing w:line="257" w:lineRule="exact" w:before="6"/>
              <w:ind w:left="424" w:right="419"/>
              <w:rPr>
                <w:rFonts w:ascii="Times New Roman" w:eastAsia="Times New Roman"/>
                <w:sz w:val="21"/>
              </w:rPr>
            </w:pPr>
            <w:r>
              <w:rPr>
                <w:sz w:val="21"/>
              </w:rPr>
              <w:t>＜</w:t>
            </w:r>
            <w:r>
              <w:rPr>
                <w:rFonts w:ascii="Times New Roman" w:eastAsia="Times New Roman"/>
                <w:sz w:val="21"/>
              </w:rPr>
              <w:t>0.5</w:t>
            </w:r>
          </w:p>
        </w:tc>
        <w:tc>
          <w:tcPr>
            <w:tcW w:w="1559" w:type="dxa"/>
          </w:tcPr>
          <w:p>
            <w:pPr>
              <w:pStyle w:val="TableParagraph"/>
              <w:spacing w:line="257" w:lineRule="exact" w:before="6"/>
              <w:ind w:left="338" w:right="330"/>
              <w:rPr>
                <w:rFonts w:ascii="Times New Roman" w:eastAsia="Times New Roman"/>
                <w:sz w:val="21"/>
              </w:rPr>
            </w:pPr>
            <w:r>
              <w:rPr>
                <w:sz w:val="21"/>
              </w:rPr>
              <w:t>＜</w:t>
            </w:r>
            <w:r>
              <w:rPr>
                <w:rFonts w:ascii="Times New Roman" w:eastAsia="Times New Roman"/>
                <w:sz w:val="21"/>
              </w:rPr>
              <w:t>0.5</w:t>
            </w:r>
          </w:p>
        </w:tc>
        <w:tc>
          <w:tcPr>
            <w:tcW w:w="1276" w:type="dxa"/>
          </w:tcPr>
          <w:p>
            <w:pPr>
              <w:pStyle w:val="TableParagraph"/>
              <w:spacing w:before="20"/>
              <w:ind w:left="9"/>
              <w:rPr>
                <w:rFonts w:ascii="Times New Roman"/>
                <w:sz w:val="21"/>
              </w:rPr>
            </w:pPr>
            <w:r>
              <w:rPr>
                <w:rFonts w:ascii="Times New Roman"/>
                <w:sz w:val="21"/>
              </w:rPr>
              <w:t>5.7</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eastAsia="Times New Roman"/>
                <w:sz w:val="21"/>
              </w:rPr>
            </w:pPr>
            <w:r>
              <w:rPr>
                <w:sz w:val="21"/>
              </w:rPr>
              <w:t>砷 </w:t>
            </w:r>
            <w:r>
              <w:rPr>
                <w:rFonts w:ascii="Times New Roman" w:eastAsia="Times New Roman"/>
                <w:sz w:val="21"/>
              </w:rPr>
              <w:t>mg/kg</w:t>
            </w:r>
          </w:p>
        </w:tc>
        <w:tc>
          <w:tcPr>
            <w:tcW w:w="1286" w:type="dxa"/>
          </w:tcPr>
          <w:p>
            <w:pPr>
              <w:pStyle w:val="TableParagraph"/>
              <w:spacing w:before="22"/>
              <w:ind w:left="94" w:right="89"/>
              <w:rPr>
                <w:rFonts w:ascii="Times New Roman"/>
                <w:sz w:val="21"/>
              </w:rPr>
            </w:pPr>
            <w:r>
              <w:rPr>
                <w:rFonts w:ascii="Times New Roman"/>
                <w:sz w:val="21"/>
              </w:rPr>
              <w:t>8.0</w:t>
            </w:r>
          </w:p>
        </w:tc>
        <w:tc>
          <w:tcPr>
            <w:tcW w:w="1502" w:type="dxa"/>
          </w:tcPr>
          <w:p>
            <w:pPr>
              <w:pStyle w:val="TableParagraph"/>
              <w:spacing w:before="22"/>
              <w:ind w:left="424" w:right="416"/>
              <w:rPr>
                <w:rFonts w:ascii="Times New Roman"/>
                <w:sz w:val="21"/>
              </w:rPr>
            </w:pPr>
            <w:r>
              <w:rPr>
                <w:rFonts w:ascii="Times New Roman"/>
                <w:sz w:val="21"/>
              </w:rPr>
              <w:t>11.5</w:t>
            </w:r>
          </w:p>
        </w:tc>
        <w:tc>
          <w:tcPr>
            <w:tcW w:w="1559" w:type="dxa"/>
          </w:tcPr>
          <w:p>
            <w:pPr>
              <w:pStyle w:val="TableParagraph"/>
              <w:spacing w:before="22"/>
              <w:ind w:left="338" w:right="328"/>
              <w:rPr>
                <w:rFonts w:ascii="Times New Roman"/>
                <w:sz w:val="21"/>
              </w:rPr>
            </w:pPr>
            <w:r>
              <w:rPr>
                <w:rFonts w:ascii="Times New Roman"/>
                <w:sz w:val="21"/>
              </w:rPr>
              <w:t>11.2</w:t>
            </w:r>
          </w:p>
        </w:tc>
        <w:tc>
          <w:tcPr>
            <w:tcW w:w="1276" w:type="dxa"/>
          </w:tcPr>
          <w:p>
            <w:pPr>
              <w:pStyle w:val="TableParagraph"/>
              <w:spacing w:before="22"/>
              <w:ind w:left="9"/>
              <w:rPr>
                <w:rFonts w:ascii="Times New Roman"/>
                <w:sz w:val="21"/>
              </w:rPr>
            </w:pPr>
            <w:r>
              <w:rPr>
                <w:rFonts w:ascii="Times New Roman"/>
                <w:sz w:val="21"/>
              </w:rPr>
              <w:t>60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eastAsia="Times New Roman"/>
                <w:sz w:val="21"/>
              </w:rPr>
            </w:pPr>
            <w:r>
              <w:rPr>
                <w:sz w:val="21"/>
              </w:rPr>
              <w:t>汞 </w:t>
            </w:r>
            <w:r>
              <w:rPr>
                <w:rFonts w:ascii="Times New Roman" w:eastAsia="Times New Roman"/>
                <w:sz w:val="21"/>
              </w:rPr>
              <w:t>mg/kg</w:t>
            </w:r>
          </w:p>
        </w:tc>
        <w:tc>
          <w:tcPr>
            <w:tcW w:w="1286" w:type="dxa"/>
          </w:tcPr>
          <w:p>
            <w:pPr>
              <w:pStyle w:val="TableParagraph"/>
              <w:spacing w:before="20"/>
              <w:ind w:left="405"/>
              <w:jc w:val="left"/>
              <w:rPr>
                <w:rFonts w:ascii="Times New Roman"/>
                <w:sz w:val="21"/>
              </w:rPr>
            </w:pPr>
            <w:r>
              <w:rPr>
                <w:rFonts w:ascii="Times New Roman"/>
                <w:sz w:val="21"/>
              </w:rPr>
              <w:t>0.097</w:t>
            </w:r>
          </w:p>
        </w:tc>
        <w:tc>
          <w:tcPr>
            <w:tcW w:w="1502" w:type="dxa"/>
          </w:tcPr>
          <w:p>
            <w:pPr>
              <w:pStyle w:val="TableParagraph"/>
              <w:spacing w:before="20"/>
              <w:ind w:left="424" w:right="419"/>
              <w:rPr>
                <w:rFonts w:ascii="Times New Roman"/>
                <w:sz w:val="21"/>
              </w:rPr>
            </w:pPr>
            <w:r>
              <w:rPr>
                <w:rFonts w:ascii="Times New Roman"/>
                <w:sz w:val="21"/>
              </w:rPr>
              <w:t>0.084</w:t>
            </w:r>
          </w:p>
        </w:tc>
        <w:tc>
          <w:tcPr>
            <w:tcW w:w="1559" w:type="dxa"/>
          </w:tcPr>
          <w:p>
            <w:pPr>
              <w:pStyle w:val="TableParagraph"/>
              <w:spacing w:before="20"/>
              <w:ind w:left="338" w:right="330"/>
              <w:rPr>
                <w:rFonts w:ascii="Times New Roman"/>
                <w:sz w:val="21"/>
              </w:rPr>
            </w:pPr>
            <w:r>
              <w:rPr>
                <w:rFonts w:ascii="Times New Roman"/>
                <w:sz w:val="21"/>
              </w:rPr>
              <w:t>0.139</w:t>
            </w:r>
          </w:p>
        </w:tc>
        <w:tc>
          <w:tcPr>
            <w:tcW w:w="1276" w:type="dxa"/>
          </w:tcPr>
          <w:p>
            <w:pPr>
              <w:pStyle w:val="TableParagraph"/>
              <w:spacing w:before="20"/>
              <w:ind w:left="9"/>
              <w:rPr>
                <w:rFonts w:ascii="Times New Roman"/>
                <w:sz w:val="21"/>
              </w:rPr>
            </w:pPr>
            <w:r>
              <w:rPr>
                <w:rFonts w:ascii="Times New Roman"/>
                <w:sz w:val="21"/>
              </w:rPr>
              <w:t>38</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eastAsia="Times New Roman"/>
                <w:sz w:val="21"/>
              </w:rPr>
            </w:pPr>
            <w:r>
              <w:rPr>
                <w:sz w:val="21"/>
              </w:rPr>
              <w:t>镍 </w:t>
            </w:r>
            <w:r>
              <w:rPr>
                <w:rFonts w:ascii="Times New Roman" w:eastAsia="Times New Roman"/>
                <w:sz w:val="21"/>
              </w:rPr>
              <w:t>mg/kg</w:t>
            </w:r>
          </w:p>
        </w:tc>
        <w:tc>
          <w:tcPr>
            <w:tcW w:w="1286" w:type="dxa"/>
          </w:tcPr>
          <w:p>
            <w:pPr>
              <w:pStyle w:val="TableParagraph"/>
              <w:spacing w:before="22"/>
              <w:ind w:left="94" w:right="89"/>
              <w:rPr>
                <w:rFonts w:ascii="Times New Roman"/>
                <w:sz w:val="21"/>
              </w:rPr>
            </w:pPr>
            <w:r>
              <w:rPr>
                <w:rFonts w:ascii="Times New Roman"/>
                <w:sz w:val="21"/>
              </w:rPr>
              <w:t>23</w:t>
            </w:r>
          </w:p>
        </w:tc>
        <w:tc>
          <w:tcPr>
            <w:tcW w:w="1502" w:type="dxa"/>
          </w:tcPr>
          <w:p>
            <w:pPr>
              <w:pStyle w:val="TableParagraph"/>
              <w:spacing w:before="22"/>
              <w:ind w:left="424" w:right="419"/>
              <w:rPr>
                <w:rFonts w:ascii="Times New Roman"/>
                <w:sz w:val="21"/>
              </w:rPr>
            </w:pPr>
            <w:r>
              <w:rPr>
                <w:rFonts w:ascii="Times New Roman"/>
                <w:sz w:val="21"/>
              </w:rPr>
              <w:t>30</w:t>
            </w:r>
          </w:p>
        </w:tc>
        <w:tc>
          <w:tcPr>
            <w:tcW w:w="1559" w:type="dxa"/>
          </w:tcPr>
          <w:p>
            <w:pPr>
              <w:pStyle w:val="TableParagraph"/>
              <w:spacing w:before="22"/>
              <w:ind w:left="338" w:right="330"/>
              <w:rPr>
                <w:rFonts w:ascii="Times New Roman"/>
                <w:sz w:val="21"/>
              </w:rPr>
            </w:pPr>
            <w:r>
              <w:rPr>
                <w:rFonts w:ascii="Times New Roman"/>
                <w:sz w:val="21"/>
              </w:rPr>
              <w:t>25</w:t>
            </w:r>
          </w:p>
        </w:tc>
        <w:tc>
          <w:tcPr>
            <w:tcW w:w="1276" w:type="dxa"/>
          </w:tcPr>
          <w:p>
            <w:pPr>
              <w:pStyle w:val="TableParagraph"/>
              <w:spacing w:before="22"/>
              <w:ind w:left="9"/>
              <w:rPr>
                <w:rFonts w:ascii="Times New Roman"/>
                <w:sz w:val="21"/>
              </w:rPr>
            </w:pPr>
            <w:r>
              <w:rPr>
                <w:rFonts w:ascii="Times New Roman"/>
                <w:sz w:val="21"/>
              </w:rPr>
              <w:t>900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eastAsia="Times New Roman"/>
                <w:sz w:val="21"/>
              </w:rPr>
            </w:pPr>
            <w:r>
              <w:rPr>
                <w:sz w:val="21"/>
              </w:rPr>
              <w:t>镉 </w:t>
            </w:r>
            <w:r>
              <w:rPr>
                <w:rFonts w:ascii="Times New Roman" w:eastAsia="Times New Roman"/>
                <w:sz w:val="21"/>
              </w:rPr>
              <w:t>mg/kg</w:t>
            </w:r>
          </w:p>
        </w:tc>
        <w:tc>
          <w:tcPr>
            <w:tcW w:w="1286" w:type="dxa"/>
          </w:tcPr>
          <w:p>
            <w:pPr>
              <w:pStyle w:val="TableParagraph"/>
              <w:spacing w:before="20"/>
              <w:ind w:left="94" w:right="89"/>
              <w:rPr>
                <w:rFonts w:ascii="Times New Roman"/>
                <w:sz w:val="21"/>
              </w:rPr>
            </w:pPr>
            <w:r>
              <w:rPr>
                <w:rFonts w:ascii="Times New Roman"/>
                <w:sz w:val="21"/>
              </w:rPr>
              <w:t>0.06</w:t>
            </w:r>
          </w:p>
        </w:tc>
        <w:tc>
          <w:tcPr>
            <w:tcW w:w="1502" w:type="dxa"/>
          </w:tcPr>
          <w:p>
            <w:pPr>
              <w:pStyle w:val="TableParagraph"/>
              <w:spacing w:before="20"/>
              <w:ind w:left="424" w:right="419"/>
              <w:rPr>
                <w:rFonts w:ascii="Times New Roman"/>
                <w:sz w:val="21"/>
              </w:rPr>
            </w:pPr>
            <w:r>
              <w:rPr>
                <w:rFonts w:ascii="Times New Roman"/>
                <w:sz w:val="21"/>
              </w:rPr>
              <w:t>0.05</w:t>
            </w:r>
          </w:p>
        </w:tc>
        <w:tc>
          <w:tcPr>
            <w:tcW w:w="1559" w:type="dxa"/>
          </w:tcPr>
          <w:p>
            <w:pPr>
              <w:pStyle w:val="TableParagraph"/>
              <w:spacing w:before="20"/>
              <w:ind w:left="338" w:right="330"/>
              <w:rPr>
                <w:rFonts w:ascii="Times New Roman"/>
                <w:sz w:val="21"/>
              </w:rPr>
            </w:pPr>
            <w:r>
              <w:rPr>
                <w:rFonts w:ascii="Times New Roman"/>
                <w:sz w:val="21"/>
              </w:rPr>
              <w:t>0.05</w:t>
            </w:r>
          </w:p>
        </w:tc>
        <w:tc>
          <w:tcPr>
            <w:tcW w:w="1276" w:type="dxa"/>
          </w:tcPr>
          <w:p>
            <w:pPr>
              <w:pStyle w:val="TableParagraph"/>
              <w:spacing w:before="20"/>
              <w:ind w:left="9"/>
              <w:rPr>
                <w:rFonts w:ascii="Times New Roman"/>
                <w:sz w:val="21"/>
              </w:rPr>
            </w:pPr>
            <w:r>
              <w:rPr>
                <w:rFonts w:ascii="Times New Roman"/>
                <w:sz w:val="21"/>
              </w:rPr>
              <w:t>65</w:t>
            </w:r>
          </w:p>
        </w:tc>
        <w:tc>
          <w:tcPr>
            <w:tcW w:w="872" w:type="dxa"/>
          </w:tcPr>
          <w:p>
            <w:pPr>
              <w:pStyle w:val="TableParagraph"/>
              <w:spacing w:line="257" w:lineRule="exact" w:before="6"/>
              <w:ind w:left="210" w:right="197"/>
              <w:rPr>
                <w:sz w:val="21"/>
              </w:rPr>
            </w:pPr>
            <w:r>
              <w:rPr>
                <w:sz w:val="21"/>
              </w:rPr>
              <w:t>达标</w:t>
            </w:r>
          </w:p>
        </w:tc>
      </w:tr>
      <w:tr>
        <w:trPr>
          <w:trHeight w:val="282" w:hRule="atLeast"/>
        </w:trPr>
        <w:tc>
          <w:tcPr>
            <w:tcW w:w="2847" w:type="dxa"/>
          </w:tcPr>
          <w:p>
            <w:pPr>
              <w:pStyle w:val="TableParagraph"/>
              <w:spacing w:line="257" w:lineRule="exact" w:before="6"/>
              <w:ind w:left="209" w:right="203"/>
              <w:rPr>
                <w:rFonts w:ascii="Times New Roman" w:hAnsi="Times New Roman" w:eastAsia="Times New Roman"/>
                <w:sz w:val="21"/>
              </w:rPr>
            </w:pPr>
            <w:r>
              <w:rPr>
                <w:sz w:val="21"/>
              </w:rPr>
              <w:t>四氯化碳 </w:t>
            </w:r>
            <w:r>
              <w:rPr>
                <w:rFonts w:ascii="Times New Roman" w:hAnsi="Times New Roman" w:eastAsia="Times New Roman"/>
                <w:sz w:val="21"/>
              </w:rPr>
              <w:t>μg/kg</w:t>
            </w:r>
          </w:p>
        </w:tc>
        <w:tc>
          <w:tcPr>
            <w:tcW w:w="1286" w:type="dxa"/>
          </w:tcPr>
          <w:p>
            <w:pPr>
              <w:pStyle w:val="TableParagraph"/>
              <w:spacing w:line="241" w:lineRule="exact" w:before="22"/>
              <w:ind w:left="94" w:right="90"/>
              <w:rPr>
                <w:rFonts w:ascii="Times New Roman"/>
                <w:sz w:val="21"/>
              </w:rPr>
            </w:pPr>
            <w:r>
              <w:rPr>
                <w:rFonts w:ascii="Times New Roman"/>
                <w:sz w:val="21"/>
              </w:rPr>
              <w:t>&lt;1.3</w:t>
            </w:r>
          </w:p>
        </w:tc>
        <w:tc>
          <w:tcPr>
            <w:tcW w:w="1502" w:type="dxa"/>
          </w:tcPr>
          <w:p>
            <w:pPr>
              <w:pStyle w:val="TableParagraph"/>
              <w:spacing w:line="241" w:lineRule="exact" w:before="22"/>
              <w:ind w:left="424" w:right="419"/>
              <w:rPr>
                <w:rFonts w:ascii="Times New Roman"/>
                <w:sz w:val="21"/>
              </w:rPr>
            </w:pPr>
            <w:r>
              <w:rPr>
                <w:rFonts w:ascii="Times New Roman"/>
                <w:sz w:val="21"/>
              </w:rPr>
              <w:t>&lt;1.3</w:t>
            </w:r>
          </w:p>
        </w:tc>
        <w:tc>
          <w:tcPr>
            <w:tcW w:w="1559" w:type="dxa"/>
          </w:tcPr>
          <w:p>
            <w:pPr>
              <w:pStyle w:val="TableParagraph"/>
              <w:spacing w:line="241" w:lineRule="exact" w:before="22"/>
              <w:ind w:left="338" w:right="331"/>
              <w:rPr>
                <w:rFonts w:ascii="Times New Roman"/>
                <w:sz w:val="21"/>
              </w:rPr>
            </w:pPr>
            <w:r>
              <w:rPr>
                <w:rFonts w:ascii="Times New Roman"/>
                <w:sz w:val="21"/>
              </w:rPr>
              <w:t>&lt;1.3</w:t>
            </w:r>
          </w:p>
        </w:tc>
        <w:tc>
          <w:tcPr>
            <w:tcW w:w="1276" w:type="dxa"/>
          </w:tcPr>
          <w:p>
            <w:pPr>
              <w:pStyle w:val="TableParagraph"/>
              <w:spacing w:line="241" w:lineRule="exact" w:before="22"/>
              <w:ind w:left="9"/>
              <w:rPr>
                <w:rFonts w:ascii="Times New Roman"/>
                <w:sz w:val="21"/>
              </w:rPr>
            </w:pPr>
            <w:r>
              <w:rPr>
                <w:rFonts w:ascii="Times New Roman"/>
                <w:sz w:val="21"/>
              </w:rPr>
              <w:t>2800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hAnsi="Times New Roman" w:eastAsia="Times New Roman"/>
                <w:sz w:val="21"/>
              </w:rPr>
            </w:pPr>
            <w:r>
              <w:rPr>
                <w:sz w:val="21"/>
              </w:rPr>
              <w:t>氯仿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&lt;1.1</w:t>
            </w:r>
          </w:p>
        </w:tc>
        <w:tc>
          <w:tcPr>
            <w:tcW w:w="1502" w:type="dxa"/>
          </w:tcPr>
          <w:p>
            <w:pPr>
              <w:pStyle w:val="TableParagraph"/>
              <w:spacing w:before="22"/>
              <w:ind w:left="424" w:right="419"/>
              <w:rPr>
                <w:rFonts w:ascii="Times New Roman"/>
                <w:sz w:val="21"/>
              </w:rPr>
            </w:pPr>
            <w:r>
              <w:rPr>
                <w:rFonts w:ascii="Times New Roman"/>
                <w:sz w:val="21"/>
              </w:rPr>
              <w:t>&lt;1.1</w:t>
            </w:r>
          </w:p>
        </w:tc>
        <w:tc>
          <w:tcPr>
            <w:tcW w:w="1559" w:type="dxa"/>
          </w:tcPr>
          <w:p>
            <w:pPr>
              <w:pStyle w:val="TableParagraph"/>
              <w:spacing w:before="22"/>
              <w:ind w:left="338" w:right="331"/>
              <w:rPr>
                <w:rFonts w:ascii="Times New Roman"/>
                <w:sz w:val="21"/>
              </w:rPr>
            </w:pPr>
            <w:r>
              <w:rPr>
                <w:rFonts w:ascii="Times New Roman"/>
                <w:sz w:val="21"/>
              </w:rPr>
              <w:t>&lt;1.1</w:t>
            </w:r>
          </w:p>
        </w:tc>
        <w:tc>
          <w:tcPr>
            <w:tcW w:w="1276" w:type="dxa"/>
          </w:tcPr>
          <w:p>
            <w:pPr>
              <w:pStyle w:val="TableParagraph"/>
              <w:spacing w:before="22"/>
              <w:ind w:left="9"/>
              <w:rPr>
                <w:rFonts w:ascii="Times New Roman"/>
                <w:sz w:val="21"/>
              </w:rPr>
            </w:pPr>
            <w:r>
              <w:rPr>
                <w:rFonts w:ascii="Times New Roman"/>
                <w:sz w:val="21"/>
              </w:rPr>
              <w:t>900</w:t>
            </w:r>
          </w:p>
        </w:tc>
        <w:tc>
          <w:tcPr>
            <w:tcW w:w="872" w:type="dxa"/>
          </w:tcPr>
          <w:p>
            <w:pPr>
              <w:pStyle w:val="TableParagraph"/>
              <w:spacing w:line="257" w:lineRule="exact" w:before="8"/>
              <w:ind w:left="210" w:right="197"/>
              <w:rPr>
                <w:sz w:val="21"/>
              </w:rPr>
            </w:pPr>
            <w:r>
              <w:rPr>
                <w:sz w:val="21"/>
              </w:rPr>
              <w:t>达标</w:t>
            </w:r>
          </w:p>
        </w:tc>
      </w:tr>
      <w:tr>
        <w:trPr>
          <w:trHeight w:val="283" w:hRule="atLeast"/>
        </w:trPr>
        <w:tc>
          <w:tcPr>
            <w:tcW w:w="2847" w:type="dxa"/>
          </w:tcPr>
          <w:p>
            <w:pPr>
              <w:pStyle w:val="TableParagraph"/>
              <w:spacing w:line="257" w:lineRule="exact" w:before="6"/>
              <w:ind w:left="206" w:right="203"/>
              <w:rPr>
                <w:rFonts w:ascii="Times New Roman" w:hAnsi="Times New Roman" w:eastAsia="Times New Roman"/>
                <w:sz w:val="21"/>
              </w:rPr>
            </w:pPr>
            <w:r>
              <w:rPr>
                <w:sz w:val="21"/>
              </w:rPr>
              <w:t>氯甲烷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&lt;1.0</w:t>
            </w:r>
          </w:p>
        </w:tc>
        <w:tc>
          <w:tcPr>
            <w:tcW w:w="1502" w:type="dxa"/>
          </w:tcPr>
          <w:p>
            <w:pPr>
              <w:pStyle w:val="TableParagraph"/>
              <w:spacing w:before="20"/>
              <w:ind w:left="424" w:right="419"/>
              <w:rPr>
                <w:rFonts w:ascii="Times New Roman"/>
                <w:sz w:val="21"/>
              </w:rPr>
            </w:pPr>
            <w:r>
              <w:rPr>
                <w:rFonts w:ascii="Times New Roman"/>
                <w:sz w:val="21"/>
              </w:rPr>
              <w:t>&lt;1.0</w:t>
            </w:r>
          </w:p>
        </w:tc>
        <w:tc>
          <w:tcPr>
            <w:tcW w:w="1559" w:type="dxa"/>
          </w:tcPr>
          <w:p>
            <w:pPr>
              <w:pStyle w:val="TableParagraph"/>
              <w:spacing w:before="20"/>
              <w:ind w:left="338" w:right="331"/>
              <w:rPr>
                <w:rFonts w:ascii="Times New Roman"/>
                <w:sz w:val="21"/>
              </w:rPr>
            </w:pPr>
            <w:r>
              <w:rPr>
                <w:rFonts w:ascii="Times New Roman"/>
                <w:sz w:val="21"/>
              </w:rPr>
              <w:t>&lt;1.0</w:t>
            </w:r>
          </w:p>
        </w:tc>
        <w:tc>
          <w:tcPr>
            <w:tcW w:w="1276" w:type="dxa"/>
          </w:tcPr>
          <w:p>
            <w:pPr>
              <w:pStyle w:val="TableParagraph"/>
              <w:spacing w:before="20"/>
              <w:ind w:left="9"/>
              <w:rPr>
                <w:rFonts w:ascii="Times New Roman"/>
                <w:sz w:val="21"/>
              </w:rPr>
            </w:pPr>
            <w:r>
              <w:rPr>
                <w:rFonts w:ascii="Times New Roman"/>
                <w:sz w:val="21"/>
              </w:rPr>
              <w:t>37000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hAnsi="Times New Roman" w:eastAsia="Times New Roman"/>
                <w:sz w:val="21"/>
              </w:rPr>
            </w:pPr>
            <w:r>
              <w:rPr>
                <w:rFonts w:ascii="Times New Roman" w:hAnsi="Times New Roman" w:eastAsia="Times New Roman"/>
                <w:sz w:val="21"/>
              </w:rPr>
              <w:t>1,1-</w:t>
            </w:r>
            <w:r>
              <w:rPr>
                <w:sz w:val="21"/>
              </w:rPr>
              <w:t>二氯乙烷 </w:t>
            </w:r>
            <w:r>
              <w:rPr>
                <w:rFonts w:ascii="Times New Roman" w:hAnsi="Times New Roman" w:eastAsia="Times New Roman"/>
                <w:sz w:val="21"/>
              </w:rPr>
              <w:t>μg/kg</w:t>
            </w:r>
          </w:p>
        </w:tc>
        <w:tc>
          <w:tcPr>
            <w:tcW w:w="1286" w:type="dxa"/>
          </w:tcPr>
          <w:p>
            <w:pPr>
              <w:pStyle w:val="TableParagraph"/>
              <w:spacing w:before="22"/>
              <w:ind w:left="94" w:right="89"/>
              <w:rPr>
                <w:rFonts w:ascii="Times New Roman"/>
                <w:sz w:val="21"/>
              </w:rPr>
            </w:pPr>
            <w:r>
              <w:rPr>
                <w:rFonts w:ascii="Times New Roman"/>
                <w:sz w:val="21"/>
              </w:rPr>
              <w:t>&lt;1.2</w:t>
            </w:r>
          </w:p>
        </w:tc>
        <w:tc>
          <w:tcPr>
            <w:tcW w:w="1502" w:type="dxa"/>
          </w:tcPr>
          <w:p>
            <w:pPr>
              <w:pStyle w:val="TableParagraph"/>
              <w:spacing w:before="22"/>
              <w:ind w:left="424" w:right="419"/>
              <w:rPr>
                <w:rFonts w:ascii="Times New Roman"/>
                <w:sz w:val="21"/>
              </w:rPr>
            </w:pPr>
            <w:r>
              <w:rPr>
                <w:rFonts w:ascii="Times New Roman"/>
                <w:sz w:val="21"/>
              </w:rPr>
              <w:t>&lt;1.2</w:t>
            </w:r>
          </w:p>
        </w:tc>
        <w:tc>
          <w:tcPr>
            <w:tcW w:w="1559" w:type="dxa"/>
          </w:tcPr>
          <w:p>
            <w:pPr>
              <w:pStyle w:val="TableParagraph"/>
              <w:spacing w:before="22"/>
              <w:ind w:left="338" w:right="331"/>
              <w:rPr>
                <w:rFonts w:ascii="Times New Roman"/>
                <w:sz w:val="21"/>
              </w:rPr>
            </w:pPr>
            <w:r>
              <w:rPr>
                <w:rFonts w:ascii="Times New Roman"/>
                <w:sz w:val="21"/>
              </w:rPr>
              <w:t>&lt;1.2</w:t>
            </w:r>
          </w:p>
        </w:tc>
        <w:tc>
          <w:tcPr>
            <w:tcW w:w="1276" w:type="dxa"/>
          </w:tcPr>
          <w:p>
            <w:pPr>
              <w:pStyle w:val="TableParagraph"/>
              <w:spacing w:before="22"/>
              <w:ind w:left="9"/>
              <w:rPr>
                <w:rFonts w:ascii="Times New Roman"/>
                <w:sz w:val="21"/>
              </w:rPr>
            </w:pPr>
            <w:r>
              <w:rPr>
                <w:rFonts w:ascii="Times New Roman"/>
                <w:sz w:val="21"/>
              </w:rPr>
              <w:t>9000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hAnsi="Times New Roman" w:eastAsia="Times New Roman"/>
                <w:sz w:val="21"/>
              </w:rPr>
            </w:pPr>
            <w:r>
              <w:rPr>
                <w:rFonts w:ascii="Times New Roman" w:hAnsi="Times New Roman" w:eastAsia="Times New Roman"/>
                <w:sz w:val="21"/>
              </w:rPr>
              <w:t>1,2-</w:t>
            </w:r>
            <w:r>
              <w:rPr>
                <w:sz w:val="21"/>
              </w:rPr>
              <w:t>二氯乙烷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&lt;1.3</w:t>
            </w:r>
          </w:p>
        </w:tc>
        <w:tc>
          <w:tcPr>
            <w:tcW w:w="1502" w:type="dxa"/>
          </w:tcPr>
          <w:p>
            <w:pPr>
              <w:pStyle w:val="TableParagraph"/>
              <w:spacing w:before="20"/>
              <w:ind w:left="424" w:right="419"/>
              <w:rPr>
                <w:rFonts w:ascii="Times New Roman"/>
                <w:sz w:val="21"/>
              </w:rPr>
            </w:pPr>
            <w:r>
              <w:rPr>
                <w:rFonts w:ascii="Times New Roman"/>
                <w:sz w:val="21"/>
              </w:rPr>
              <w:t>&lt;1.3</w:t>
            </w:r>
          </w:p>
        </w:tc>
        <w:tc>
          <w:tcPr>
            <w:tcW w:w="1559" w:type="dxa"/>
          </w:tcPr>
          <w:p>
            <w:pPr>
              <w:pStyle w:val="TableParagraph"/>
              <w:spacing w:before="20"/>
              <w:ind w:left="338" w:right="331"/>
              <w:rPr>
                <w:rFonts w:ascii="Times New Roman"/>
                <w:sz w:val="21"/>
              </w:rPr>
            </w:pPr>
            <w:r>
              <w:rPr>
                <w:rFonts w:ascii="Times New Roman"/>
                <w:sz w:val="21"/>
              </w:rPr>
              <w:t>&lt;1.3</w:t>
            </w:r>
          </w:p>
        </w:tc>
        <w:tc>
          <w:tcPr>
            <w:tcW w:w="1276" w:type="dxa"/>
          </w:tcPr>
          <w:p>
            <w:pPr>
              <w:pStyle w:val="TableParagraph"/>
              <w:spacing w:before="20"/>
              <w:ind w:left="9"/>
              <w:rPr>
                <w:rFonts w:ascii="Times New Roman"/>
                <w:sz w:val="21"/>
              </w:rPr>
            </w:pPr>
            <w:r>
              <w:rPr>
                <w:rFonts w:ascii="Times New Roman"/>
                <w:sz w:val="21"/>
              </w:rPr>
              <w:t>5000</w:t>
            </w:r>
          </w:p>
        </w:tc>
        <w:tc>
          <w:tcPr>
            <w:tcW w:w="872" w:type="dxa"/>
          </w:tcPr>
          <w:p>
            <w:pPr>
              <w:pStyle w:val="TableParagraph"/>
              <w:spacing w:line="257" w:lineRule="exact" w:before="6"/>
              <w:ind w:left="210" w:right="197"/>
              <w:rPr>
                <w:sz w:val="21"/>
              </w:rPr>
            </w:pPr>
            <w:r>
              <w:rPr>
                <w:sz w:val="21"/>
              </w:rPr>
              <w:t>达标</w:t>
            </w:r>
          </w:p>
        </w:tc>
      </w:tr>
      <w:tr>
        <w:trPr>
          <w:trHeight w:val="283" w:hRule="atLeast"/>
        </w:trPr>
        <w:tc>
          <w:tcPr>
            <w:tcW w:w="2847" w:type="dxa"/>
          </w:tcPr>
          <w:p>
            <w:pPr>
              <w:pStyle w:val="TableParagraph"/>
              <w:spacing w:line="255" w:lineRule="exact" w:before="8"/>
              <w:ind w:left="207" w:right="203"/>
              <w:rPr>
                <w:rFonts w:ascii="Times New Roman" w:hAnsi="Times New Roman" w:eastAsia="Times New Roman"/>
                <w:sz w:val="21"/>
              </w:rPr>
            </w:pPr>
            <w:r>
              <w:rPr>
                <w:rFonts w:ascii="Times New Roman" w:hAnsi="Times New Roman" w:eastAsia="Times New Roman"/>
                <w:sz w:val="21"/>
              </w:rPr>
              <w:t>1,1-</w:t>
            </w:r>
            <w:r>
              <w:rPr>
                <w:sz w:val="21"/>
              </w:rPr>
              <w:t>二氯乙烯 </w:t>
            </w:r>
            <w:r>
              <w:rPr>
                <w:rFonts w:ascii="Times New Roman" w:hAnsi="Times New Roman" w:eastAsia="Times New Roman"/>
                <w:sz w:val="21"/>
              </w:rPr>
              <w:t>μg/kg</w:t>
            </w:r>
          </w:p>
        </w:tc>
        <w:tc>
          <w:tcPr>
            <w:tcW w:w="1286" w:type="dxa"/>
          </w:tcPr>
          <w:p>
            <w:pPr>
              <w:pStyle w:val="TableParagraph"/>
              <w:spacing w:line="241" w:lineRule="exact" w:before="22"/>
              <w:ind w:left="94" w:right="90"/>
              <w:rPr>
                <w:rFonts w:ascii="Times New Roman"/>
                <w:sz w:val="21"/>
              </w:rPr>
            </w:pPr>
            <w:r>
              <w:rPr>
                <w:rFonts w:ascii="Times New Roman"/>
                <w:sz w:val="21"/>
              </w:rPr>
              <w:t>&lt;1.0</w:t>
            </w:r>
          </w:p>
        </w:tc>
        <w:tc>
          <w:tcPr>
            <w:tcW w:w="1502" w:type="dxa"/>
          </w:tcPr>
          <w:p>
            <w:pPr>
              <w:pStyle w:val="TableParagraph"/>
              <w:spacing w:line="241" w:lineRule="exact" w:before="22"/>
              <w:ind w:left="424" w:right="419"/>
              <w:rPr>
                <w:rFonts w:ascii="Times New Roman"/>
                <w:sz w:val="21"/>
              </w:rPr>
            </w:pPr>
            <w:r>
              <w:rPr>
                <w:rFonts w:ascii="Times New Roman"/>
                <w:sz w:val="21"/>
              </w:rPr>
              <w:t>&lt;1.0</w:t>
            </w:r>
          </w:p>
        </w:tc>
        <w:tc>
          <w:tcPr>
            <w:tcW w:w="1559" w:type="dxa"/>
          </w:tcPr>
          <w:p>
            <w:pPr>
              <w:pStyle w:val="TableParagraph"/>
              <w:spacing w:line="241" w:lineRule="exact" w:before="22"/>
              <w:ind w:left="338" w:right="331"/>
              <w:rPr>
                <w:rFonts w:ascii="Times New Roman"/>
                <w:sz w:val="21"/>
              </w:rPr>
            </w:pPr>
            <w:r>
              <w:rPr>
                <w:rFonts w:ascii="Times New Roman"/>
                <w:sz w:val="21"/>
              </w:rPr>
              <w:t>&lt;1.0</w:t>
            </w:r>
          </w:p>
        </w:tc>
        <w:tc>
          <w:tcPr>
            <w:tcW w:w="1276" w:type="dxa"/>
          </w:tcPr>
          <w:p>
            <w:pPr>
              <w:pStyle w:val="TableParagraph"/>
              <w:spacing w:line="241" w:lineRule="exact" w:before="22"/>
              <w:ind w:left="9"/>
              <w:rPr>
                <w:rFonts w:ascii="Times New Roman"/>
                <w:sz w:val="21"/>
              </w:rPr>
            </w:pPr>
            <w:r>
              <w:rPr>
                <w:rFonts w:ascii="Times New Roman"/>
                <w:sz w:val="21"/>
              </w:rPr>
              <w:t>66000</w:t>
            </w:r>
          </w:p>
        </w:tc>
        <w:tc>
          <w:tcPr>
            <w:tcW w:w="872" w:type="dxa"/>
          </w:tcPr>
          <w:p>
            <w:pPr>
              <w:pStyle w:val="TableParagraph"/>
              <w:spacing w:line="255" w:lineRule="exact" w:before="8"/>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hAnsi="Times New Roman" w:eastAsia="Times New Roman"/>
                <w:sz w:val="21"/>
              </w:rPr>
            </w:pPr>
            <w:r>
              <w:rPr>
                <w:sz w:val="21"/>
              </w:rPr>
              <w:t>顺</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&lt;1.3</w:t>
            </w:r>
          </w:p>
        </w:tc>
        <w:tc>
          <w:tcPr>
            <w:tcW w:w="1502" w:type="dxa"/>
          </w:tcPr>
          <w:p>
            <w:pPr>
              <w:pStyle w:val="TableParagraph"/>
              <w:spacing w:before="22"/>
              <w:ind w:left="424" w:right="419"/>
              <w:rPr>
                <w:rFonts w:ascii="Times New Roman"/>
                <w:sz w:val="21"/>
              </w:rPr>
            </w:pPr>
            <w:r>
              <w:rPr>
                <w:rFonts w:ascii="Times New Roman"/>
                <w:sz w:val="21"/>
              </w:rPr>
              <w:t>&lt;1.3</w:t>
            </w:r>
          </w:p>
        </w:tc>
        <w:tc>
          <w:tcPr>
            <w:tcW w:w="1559" w:type="dxa"/>
          </w:tcPr>
          <w:p>
            <w:pPr>
              <w:pStyle w:val="TableParagraph"/>
              <w:spacing w:before="22"/>
              <w:ind w:left="338" w:right="331"/>
              <w:rPr>
                <w:rFonts w:ascii="Times New Roman"/>
                <w:sz w:val="21"/>
              </w:rPr>
            </w:pPr>
            <w:r>
              <w:rPr>
                <w:rFonts w:ascii="Times New Roman"/>
                <w:sz w:val="21"/>
              </w:rPr>
              <w:t>&lt;1.3</w:t>
            </w:r>
          </w:p>
        </w:tc>
        <w:tc>
          <w:tcPr>
            <w:tcW w:w="1276" w:type="dxa"/>
          </w:tcPr>
          <w:p>
            <w:pPr>
              <w:pStyle w:val="TableParagraph"/>
              <w:spacing w:before="22"/>
              <w:ind w:left="9"/>
              <w:rPr>
                <w:rFonts w:ascii="Times New Roman"/>
                <w:sz w:val="21"/>
              </w:rPr>
            </w:pPr>
            <w:r>
              <w:rPr>
                <w:rFonts w:ascii="Times New Roman"/>
                <w:sz w:val="21"/>
              </w:rPr>
              <w:t>596000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hAnsi="Times New Roman" w:eastAsia="Times New Roman"/>
                <w:sz w:val="21"/>
              </w:rPr>
            </w:pPr>
            <w:r>
              <w:rPr>
                <w:sz w:val="21"/>
              </w:rPr>
              <w:t>反</w:t>
            </w:r>
            <w:r>
              <w:rPr>
                <w:rFonts w:ascii="Times New Roman" w:hAnsi="Times New Roman" w:eastAsia="Times New Roman"/>
                <w:sz w:val="21"/>
              </w:rPr>
              <w:t>-1,2-</w:t>
            </w:r>
            <w:r>
              <w:rPr>
                <w:sz w:val="21"/>
              </w:rPr>
              <w:t>二氯乙烯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&lt;1.4</w:t>
            </w:r>
          </w:p>
        </w:tc>
        <w:tc>
          <w:tcPr>
            <w:tcW w:w="1502" w:type="dxa"/>
          </w:tcPr>
          <w:p>
            <w:pPr>
              <w:pStyle w:val="TableParagraph"/>
              <w:spacing w:before="20"/>
              <w:ind w:left="424" w:right="419"/>
              <w:rPr>
                <w:rFonts w:ascii="Times New Roman"/>
                <w:sz w:val="21"/>
              </w:rPr>
            </w:pPr>
            <w:r>
              <w:rPr>
                <w:rFonts w:ascii="Times New Roman"/>
                <w:sz w:val="21"/>
              </w:rPr>
              <w:t>&lt;1.4</w:t>
            </w:r>
          </w:p>
        </w:tc>
        <w:tc>
          <w:tcPr>
            <w:tcW w:w="1559" w:type="dxa"/>
          </w:tcPr>
          <w:p>
            <w:pPr>
              <w:pStyle w:val="TableParagraph"/>
              <w:spacing w:before="20"/>
              <w:ind w:left="338" w:right="331"/>
              <w:rPr>
                <w:rFonts w:ascii="Times New Roman"/>
                <w:sz w:val="21"/>
              </w:rPr>
            </w:pPr>
            <w:r>
              <w:rPr>
                <w:rFonts w:ascii="Times New Roman"/>
                <w:sz w:val="21"/>
              </w:rPr>
              <w:t>&lt;1.4</w:t>
            </w:r>
          </w:p>
        </w:tc>
        <w:tc>
          <w:tcPr>
            <w:tcW w:w="1276" w:type="dxa"/>
          </w:tcPr>
          <w:p>
            <w:pPr>
              <w:pStyle w:val="TableParagraph"/>
              <w:spacing w:before="20"/>
              <w:ind w:left="9"/>
              <w:rPr>
                <w:rFonts w:ascii="Times New Roman"/>
                <w:sz w:val="21"/>
              </w:rPr>
            </w:pPr>
            <w:r>
              <w:rPr>
                <w:rFonts w:ascii="Times New Roman"/>
                <w:sz w:val="21"/>
              </w:rPr>
              <w:t>54000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hAnsi="Times New Roman" w:eastAsia="Times New Roman"/>
                <w:sz w:val="21"/>
              </w:rPr>
            </w:pPr>
            <w:r>
              <w:rPr>
                <w:sz w:val="21"/>
              </w:rPr>
              <w:t>二氯甲烷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&lt;1.5</w:t>
            </w:r>
          </w:p>
        </w:tc>
        <w:tc>
          <w:tcPr>
            <w:tcW w:w="1502" w:type="dxa"/>
          </w:tcPr>
          <w:p>
            <w:pPr>
              <w:pStyle w:val="TableParagraph"/>
              <w:spacing w:before="22"/>
              <w:ind w:left="424" w:right="419"/>
              <w:rPr>
                <w:rFonts w:ascii="Times New Roman"/>
                <w:sz w:val="21"/>
              </w:rPr>
            </w:pPr>
            <w:r>
              <w:rPr>
                <w:rFonts w:ascii="Times New Roman"/>
                <w:sz w:val="21"/>
              </w:rPr>
              <w:t>&lt;1.5</w:t>
            </w:r>
          </w:p>
        </w:tc>
        <w:tc>
          <w:tcPr>
            <w:tcW w:w="1559" w:type="dxa"/>
          </w:tcPr>
          <w:p>
            <w:pPr>
              <w:pStyle w:val="TableParagraph"/>
              <w:spacing w:before="22"/>
              <w:ind w:left="338" w:right="331"/>
              <w:rPr>
                <w:rFonts w:ascii="Times New Roman"/>
                <w:sz w:val="21"/>
              </w:rPr>
            </w:pPr>
            <w:r>
              <w:rPr>
                <w:rFonts w:ascii="Times New Roman"/>
                <w:sz w:val="21"/>
              </w:rPr>
              <w:t>&lt;1.5</w:t>
            </w:r>
          </w:p>
        </w:tc>
        <w:tc>
          <w:tcPr>
            <w:tcW w:w="1276" w:type="dxa"/>
          </w:tcPr>
          <w:p>
            <w:pPr>
              <w:pStyle w:val="TableParagraph"/>
              <w:spacing w:before="22"/>
              <w:ind w:left="9"/>
              <w:rPr>
                <w:rFonts w:ascii="Times New Roman"/>
                <w:sz w:val="21"/>
              </w:rPr>
            </w:pPr>
            <w:r>
              <w:rPr>
                <w:rFonts w:ascii="Times New Roman"/>
                <w:sz w:val="21"/>
              </w:rPr>
              <w:t>616000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hAnsi="Times New Roman" w:eastAsia="Times New Roman"/>
                <w:sz w:val="21"/>
              </w:rPr>
            </w:pPr>
            <w:r>
              <w:rPr>
                <w:rFonts w:ascii="Times New Roman" w:hAnsi="Times New Roman" w:eastAsia="Times New Roman"/>
                <w:sz w:val="21"/>
              </w:rPr>
              <w:t>1,2-</w:t>
            </w:r>
            <w:r>
              <w:rPr>
                <w:sz w:val="21"/>
              </w:rPr>
              <w:t>二氯丙烷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&lt;1.1</w:t>
            </w:r>
          </w:p>
        </w:tc>
        <w:tc>
          <w:tcPr>
            <w:tcW w:w="1502" w:type="dxa"/>
          </w:tcPr>
          <w:p>
            <w:pPr>
              <w:pStyle w:val="TableParagraph"/>
              <w:spacing w:before="20"/>
              <w:ind w:left="424" w:right="419"/>
              <w:rPr>
                <w:rFonts w:ascii="Times New Roman"/>
                <w:sz w:val="21"/>
              </w:rPr>
            </w:pPr>
            <w:r>
              <w:rPr>
                <w:rFonts w:ascii="Times New Roman"/>
                <w:sz w:val="21"/>
              </w:rPr>
              <w:t>&lt;1.1</w:t>
            </w:r>
          </w:p>
        </w:tc>
        <w:tc>
          <w:tcPr>
            <w:tcW w:w="1559" w:type="dxa"/>
          </w:tcPr>
          <w:p>
            <w:pPr>
              <w:pStyle w:val="TableParagraph"/>
              <w:spacing w:before="20"/>
              <w:ind w:left="338" w:right="331"/>
              <w:rPr>
                <w:rFonts w:ascii="Times New Roman"/>
                <w:sz w:val="21"/>
              </w:rPr>
            </w:pPr>
            <w:r>
              <w:rPr>
                <w:rFonts w:ascii="Times New Roman"/>
                <w:sz w:val="21"/>
              </w:rPr>
              <w:t>&lt;1.1</w:t>
            </w:r>
          </w:p>
        </w:tc>
        <w:tc>
          <w:tcPr>
            <w:tcW w:w="1276" w:type="dxa"/>
          </w:tcPr>
          <w:p>
            <w:pPr>
              <w:pStyle w:val="TableParagraph"/>
              <w:spacing w:before="20"/>
              <w:ind w:left="9"/>
              <w:rPr>
                <w:rFonts w:ascii="Times New Roman"/>
                <w:sz w:val="21"/>
              </w:rPr>
            </w:pPr>
            <w:r>
              <w:rPr>
                <w:rFonts w:ascii="Times New Roman"/>
                <w:sz w:val="21"/>
              </w:rPr>
              <w:t>5000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hAnsi="Times New Roman" w:eastAsia="Times New Roman"/>
                <w:sz w:val="21"/>
              </w:rPr>
            </w:pPr>
            <w:r>
              <w:rPr>
                <w:rFonts w:ascii="Times New Roman" w:hAnsi="Times New Roman" w:eastAsia="Times New Roman"/>
                <w:sz w:val="21"/>
              </w:rPr>
              <w:t>1,1,1,2-</w:t>
            </w:r>
            <w:r>
              <w:rPr>
                <w:sz w:val="21"/>
              </w:rPr>
              <w:t>四氯乙烷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&lt;1.2</w:t>
            </w:r>
          </w:p>
        </w:tc>
        <w:tc>
          <w:tcPr>
            <w:tcW w:w="1502" w:type="dxa"/>
          </w:tcPr>
          <w:p>
            <w:pPr>
              <w:pStyle w:val="TableParagraph"/>
              <w:spacing w:before="22"/>
              <w:ind w:left="424" w:right="419"/>
              <w:rPr>
                <w:rFonts w:ascii="Times New Roman"/>
                <w:sz w:val="21"/>
              </w:rPr>
            </w:pPr>
            <w:r>
              <w:rPr>
                <w:rFonts w:ascii="Times New Roman"/>
                <w:sz w:val="21"/>
              </w:rPr>
              <w:t>&lt;1.2</w:t>
            </w:r>
          </w:p>
        </w:tc>
        <w:tc>
          <w:tcPr>
            <w:tcW w:w="1559" w:type="dxa"/>
          </w:tcPr>
          <w:p>
            <w:pPr>
              <w:pStyle w:val="TableParagraph"/>
              <w:spacing w:before="22"/>
              <w:ind w:left="338" w:right="331"/>
              <w:rPr>
                <w:rFonts w:ascii="Times New Roman"/>
                <w:sz w:val="21"/>
              </w:rPr>
            </w:pPr>
            <w:r>
              <w:rPr>
                <w:rFonts w:ascii="Times New Roman"/>
                <w:sz w:val="21"/>
              </w:rPr>
              <w:t>&lt;1.2</w:t>
            </w:r>
          </w:p>
        </w:tc>
        <w:tc>
          <w:tcPr>
            <w:tcW w:w="1276" w:type="dxa"/>
          </w:tcPr>
          <w:p>
            <w:pPr>
              <w:pStyle w:val="TableParagraph"/>
              <w:spacing w:before="22"/>
              <w:ind w:left="9"/>
              <w:rPr>
                <w:rFonts w:ascii="Times New Roman"/>
                <w:sz w:val="21"/>
              </w:rPr>
            </w:pPr>
            <w:r>
              <w:rPr>
                <w:rFonts w:ascii="Times New Roman"/>
                <w:sz w:val="21"/>
              </w:rPr>
              <w:t>10000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9" w:right="203"/>
              <w:rPr>
                <w:rFonts w:ascii="Times New Roman" w:hAnsi="Times New Roman" w:eastAsia="Times New Roman"/>
                <w:sz w:val="21"/>
              </w:rPr>
            </w:pPr>
            <w:r>
              <w:rPr>
                <w:rFonts w:ascii="Times New Roman" w:hAnsi="Times New Roman" w:eastAsia="Times New Roman"/>
                <w:sz w:val="21"/>
              </w:rPr>
              <w:t>1,1,2,2-</w:t>
            </w:r>
            <w:r>
              <w:rPr>
                <w:sz w:val="21"/>
              </w:rPr>
              <w:t>四氯乙烷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&lt;1.2</w:t>
            </w:r>
          </w:p>
        </w:tc>
        <w:tc>
          <w:tcPr>
            <w:tcW w:w="1502" w:type="dxa"/>
          </w:tcPr>
          <w:p>
            <w:pPr>
              <w:pStyle w:val="TableParagraph"/>
              <w:spacing w:before="20"/>
              <w:ind w:left="424" w:right="419"/>
              <w:rPr>
                <w:rFonts w:ascii="Times New Roman"/>
                <w:sz w:val="21"/>
              </w:rPr>
            </w:pPr>
            <w:r>
              <w:rPr>
                <w:rFonts w:ascii="Times New Roman"/>
                <w:sz w:val="21"/>
              </w:rPr>
              <w:t>&lt;1.2</w:t>
            </w:r>
          </w:p>
        </w:tc>
        <w:tc>
          <w:tcPr>
            <w:tcW w:w="1559" w:type="dxa"/>
          </w:tcPr>
          <w:p>
            <w:pPr>
              <w:pStyle w:val="TableParagraph"/>
              <w:spacing w:before="20"/>
              <w:ind w:left="338" w:right="331"/>
              <w:rPr>
                <w:rFonts w:ascii="Times New Roman"/>
                <w:sz w:val="21"/>
              </w:rPr>
            </w:pPr>
            <w:r>
              <w:rPr>
                <w:rFonts w:ascii="Times New Roman"/>
                <w:sz w:val="21"/>
              </w:rPr>
              <w:t>&lt;1.2</w:t>
            </w:r>
          </w:p>
        </w:tc>
        <w:tc>
          <w:tcPr>
            <w:tcW w:w="1276" w:type="dxa"/>
          </w:tcPr>
          <w:p>
            <w:pPr>
              <w:pStyle w:val="TableParagraph"/>
              <w:spacing w:before="20"/>
              <w:ind w:left="9"/>
              <w:rPr>
                <w:rFonts w:ascii="Times New Roman"/>
                <w:sz w:val="21"/>
              </w:rPr>
            </w:pPr>
            <w:r>
              <w:rPr>
                <w:rFonts w:ascii="Times New Roman"/>
                <w:sz w:val="21"/>
              </w:rPr>
              <w:t>6800</w:t>
            </w:r>
          </w:p>
        </w:tc>
        <w:tc>
          <w:tcPr>
            <w:tcW w:w="872" w:type="dxa"/>
          </w:tcPr>
          <w:p>
            <w:pPr>
              <w:pStyle w:val="TableParagraph"/>
              <w:spacing w:line="257" w:lineRule="exact" w:before="6"/>
              <w:ind w:left="210" w:right="197"/>
              <w:rPr>
                <w:sz w:val="21"/>
              </w:rPr>
            </w:pPr>
            <w:r>
              <w:rPr>
                <w:sz w:val="21"/>
              </w:rPr>
              <w:t>达标</w:t>
            </w:r>
          </w:p>
        </w:tc>
      </w:tr>
      <w:tr>
        <w:trPr>
          <w:trHeight w:val="282" w:hRule="atLeast"/>
        </w:trPr>
        <w:tc>
          <w:tcPr>
            <w:tcW w:w="2847" w:type="dxa"/>
          </w:tcPr>
          <w:p>
            <w:pPr>
              <w:pStyle w:val="TableParagraph"/>
              <w:spacing w:line="257" w:lineRule="exact" w:before="6"/>
              <w:ind w:left="209" w:right="203"/>
              <w:rPr>
                <w:rFonts w:ascii="Times New Roman" w:hAnsi="Times New Roman" w:eastAsia="Times New Roman"/>
                <w:sz w:val="21"/>
              </w:rPr>
            </w:pPr>
            <w:r>
              <w:rPr>
                <w:sz w:val="21"/>
              </w:rPr>
              <w:t>四氯乙烯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&lt;1.4</w:t>
            </w:r>
          </w:p>
        </w:tc>
        <w:tc>
          <w:tcPr>
            <w:tcW w:w="1502" w:type="dxa"/>
          </w:tcPr>
          <w:p>
            <w:pPr>
              <w:pStyle w:val="TableParagraph"/>
              <w:spacing w:before="20"/>
              <w:ind w:left="424" w:right="419"/>
              <w:rPr>
                <w:rFonts w:ascii="Times New Roman"/>
                <w:sz w:val="21"/>
              </w:rPr>
            </w:pPr>
            <w:r>
              <w:rPr>
                <w:rFonts w:ascii="Times New Roman"/>
                <w:sz w:val="21"/>
              </w:rPr>
              <w:t>&lt;1.4</w:t>
            </w:r>
          </w:p>
        </w:tc>
        <w:tc>
          <w:tcPr>
            <w:tcW w:w="1559" w:type="dxa"/>
          </w:tcPr>
          <w:p>
            <w:pPr>
              <w:pStyle w:val="TableParagraph"/>
              <w:spacing w:before="20"/>
              <w:ind w:left="338" w:right="331"/>
              <w:rPr>
                <w:rFonts w:ascii="Times New Roman"/>
                <w:sz w:val="21"/>
              </w:rPr>
            </w:pPr>
            <w:r>
              <w:rPr>
                <w:rFonts w:ascii="Times New Roman"/>
                <w:sz w:val="21"/>
              </w:rPr>
              <w:t>&lt;1.4</w:t>
            </w:r>
          </w:p>
        </w:tc>
        <w:tc>
          <w:tcPr>
            <w:tcW w:w="1276" w:type="dxa"/>
          </w:tcPr>
          <w:p>
            <w:pPr>
              <w:pStyle w:val="TableParagraph"/>
              <w:spacing w:before="20"/>
              <w:ind w:left="9"/>
              <w:rPr>
                <w:rFonts w:ascii="Times New Roman"/>
                <w:sz w:val="21"/>
              </w:rPr>
            </w:pPr>
            <w:r>
              <w:rPr>
                <w:rFonts w:ascii="Times New Roman"/>
                <w:sz w:val="21"/>
              </w:rPr>
              <w:t>53000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hAnsi="Times New Roman" w:eastAsia="Times New Roman"/>
                <w:sz w:val="21"/>
              </w:rPr>
            </w:pPr>
            <w:r>
              <w:rPr>
                <w:rFonts w:ascii="Times New Roman" w:hAnsi="Times New Roman" w:eastAsia="Times New Roman"/>
                <w:sz w:val="21"/>
              </w:rPr>
              <w:t>1,1,1-</w:t>
            </w:r>
            <w:r>
              <w:rPr>
                <w:sz w:val="21"/>
              </w:rPr>
              <w:t>三氯乙烷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&lt;1.3</w:t>
            </w:r>
          </w:p>
        </w:tc>
        <w:tc>
          <w:tcPr>
            <w:tcW w:w="1502" w:type="dxa"/>
          </w:tcPr>
          <w:p>
            <w:pPr>
              <w:pStyle w:val="TableParagraph"/>
              <w:spacing w:before="22"/>
              <w:ind w:left="424" w:right="419"/>
              <w:rPr>
                <w:rFonts w:ascii="Times New Roman"/>
                <w:sz w:val="21"/>
              </w:rPr>
            </w:pPr>
            <w:r>
              <w:rPr>
                <w:rFonts w:ascii="Times New Roman"/>
                <w:sz w:val="21"/>
              </w:rPr>
              <w:t>&lt;1.3</w:t>
            </w:r>
          </w:p>
        </w:tc>
        <w:tc>
          <w:tcPr>
            <w:tcW w:w="1559" w:type="dxa"/>
          </w:tcPr>
          <w:p>
            <w:pPr>
              <w:pStyle w:val="TableParagraph"/>
              <w:spacing w:before="22"/>
              <w:ind w:left="338" w:right="331"/>
              <w:rPr>
                <w:rFonts w:ascii="Times New Roman"/>
                <w:sz w:val="21"/>
              </w:rPr>
            </w:pPr>
            <w:r>
              <w:rPr>
                <w:rFonts w:ascii="Times New Roman"/>
                <w:sz w:val="21"/>
              </w:rPr>
              <w:t>&lt;1.3</w:t>
            </w:r>
          </w:p>
        </w:tc>
        <w:tc>
          <w:tcPr>
            <w:tcW w:w="1276" w:type="dxa"/>
          </w:tcPr>
          <w:p>
            <w:pPr>
              <w:pStyle w:val="TableParagraph"/>
              <w:spacing w:before="22"/>
              <w:ind w:left="9"/>
              <w:rPr>
                <w:rFonts w:ascii="Times New Roman"/>
                <w:sz w:val="21"/>
              </w:rPr>
            </w:pPr>
            <w:r>
              <w:rPr>
                <w:rFonts w:ascii="Times New Roman"/>
                <w:sz w:val="21"/>
              </w:rPr>
              <w:t>840000</w:t>
            </w:r>
          </w:p>
        </w:tc>
        <w:tc>
          <w:tcPr>
            <w:tcW w:w="872" w:type="dxa"/>
          </w:tcPr>
          <w:p>
            <w:pPr>
              <w:pStyle w:val="TableParagraph"/>
              <w:spacing w:line="257" w:lineRule="exact" w:before="8"/>
              <w:ind w:left="210" w:right="197"/>
              <w:rPr>
                <w:sz w:val="21"/>
              </w:rPr>
            </w:pPr>
            <w:r>
              <w:rPr>
                <w:sz w:val="21"/>
              </w:rPr>
              <w:t>达标</w:t>
            </w:r>
          </w:p>
        </w:tc>
      </w:tr>
      <w:tr>
        <w:trPr>
          <w:trHeight w:val="283" w:hRule="atLeast"/>
        </w:trPr>
        <w:tc>
          <w:tcPr>
            <w:tcW w:w="2847" w:type="dxa"/>
          </w:tcPr>
          <w:p>
            <w:pPr>
              <w:pStyle w:val="TableParagraph"/>
              <w:spacing w:line="257" w:lineRule="exact" w:before="6"/>
              <w:ind w:left="209" w:right="203"/>
              <w:rPr>
                <w:rFonts w:ascii="Times New Roman" w:hAnsi="Times New Roman" w:eastAsia="Times New Roman"/>
                <w:sz w:val="21"/>
              </w:rPr>
            </w:pPr>
            <w:r>
              <w:rPr>
                <w:rFonts w:ascii="Times New Roman" w:hAnsi="Times New Roman" w:eastAsia="Times New Roman"/>
                <w:sz w:val="21"/>
              </w:rPr>
              <w:t>1,1,2-</w:t>
            </w:r>
            <w:r>
              <w:rPr>
                <w:sz w:val="21"/>
              </w:rPr>
              <w:t>三氯乙烷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&lt;1.2</w:t>
            </w:r>
          </w:p>
        </w:tc>
        <w:tc>
          <w:tcPr>
            <w:tcW w:w="1502" w:type="dxa"/>
          </w:tcPr>
          <w:p>
            <w:pPr>
              <w:pStyle w:val="TableParagraph"/>
              <w:spacing w:before="20"/>
              <w:ind w:left="424" w:right="419"/>
              <w:rPr>
                <w:rFonts w:ascii="Times New Roman"/>
                <w:sz w:val="21"/>
              </w:rPr>
            </w:pPr>
            <w:r>
              <w:rPr>
                <w:rFonts w:ascii="Times New Roman"/>
                <w:sz w:val="21"/>
              </w:rPr>
              <w:t>&lt;1.2</w:t>
            </w:r>
          </w:p>
        </w:tc>
        <w:tc>
          <w:tcPr>
            <w:tcW w:w="1559" w:type="dxa"/>
          </w:tcPr>
          <w:p>
            <w:pPr>
              <w:pStyle w:val="TableParagraph"/>
              <w:spacing w:before="20"/>
              <w:ind w:left="338" w:right="331"/>
              <w:rPr>
                <w:rFonts w:ascii="Times New Roman"/>
                <w:sz w:val="21"/>
              </w:rPr>
            </w:pPr>
            <w:r>
              <w:rPr>
                <w:rFonts w:ascii="Times New Roman"/>
                <w:sz w:val="21"/>
              </w:rPr>
              <w:t>&lt;1.2</w:t>
            </w:r>
          </w:p>
        </w:tc>
        <w:tc>
          <w:tcPr>
            <w:tcW w:w="1276" w:type="dxa"/>
          </w:tcPr>
          <w:p>
            <w:pPr>
              <w:pStyle w:val="TableParagraph"/>
              <w:spacing w:before="20"/>
              <w:ind w:left="9"/>
              <w:rPr>
                <w:rFonts w:ascii="Times New Roman"/>
                <w:sz w:val="21"/>
              </w:rPr>
            </w:pPr>
            <w:r>
              <w:rPr>
                <w:rFonts w:ascii="Times New Roman"/>
                <w:sz w:val="21"/>
              </w:rPr>
              <w:t>2800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hAnsi="Times New Roman" w:eastAsia="Times New Roman"/>
                <w:sz w:val="21"/>
              </w:rPr>
            </w:pPr>
            <w:r>
              <w:rPr>
                <w:sz w:val="21"/>
              </w:rPr>
              <w:t>三氯乙烯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&lt;1.2</w:t>
            </w:r>
          </w:p>
        </w:tc>
        <w:tc>
          <w:tcPr>
            <w:tcW w:w="1502" w:type="dxa"/>
          </w:tcPr>
          <w:p>
            <w:pPr>
              <w:pStyle w:val="TableParagraph"/>
              <w:spacing w:before="22"/>
              <w:ind w:left="424" w:right="419"/>
              <w:rPr>
                <w:rFonts w:ascii="Times New Roman"/>
                <w:sz w:val="21"/>
              </w:rPr>
            </w:pPr>
            <w:r>
              <w:rPr>
                <w:rFonts w:ascii="Times New Roman"/>
                <w:sz w:val="21"/>
              </w:rPr>
              <w:t>&lt;1.2</w:t>
            </w:r>
          </w:p>
        </w:tc>
        <w:tc>
          <w:tcPr>
            <w:tcW w:w="1559" w:type="dxa"/>
          </w:tcPr>
          <w:p>
            <w:pPr>
              <w:pStyle w:val="TableParagraph"/>
              <w:spacing w:before="22"/>
              <w:ind w:left="338" w:right="331"/>
              <w:rPr>
                <w:rFonts w:ascii="Times New Roman"/>
                <w:sz w:val="21"/>
              </w:rPr>
            </w:pPr>
            <w:r>
              <w:rPr>
                <w:rFonts w:ascii="Times New Roman"/>
                <w:sz w:val="21"/>
              </w:rPr>
              <w:t>&lt;1.2</w:t>
            </w:r>
          </w:p>
        </w:tc>
        <w:tc>
          <w:tcPr>
            <w:tcW w:w="1276" w:type="dxa"/>
          </w:tcPr>
          <w:p>
            <w:pPr>
              <w:pStyle w:val="TableParagraph"/>
              <w:spacing w:before="22"/>
              <w:ind w:left="9"/>
              <w:rPr>
                <w:rFonts w:ascii="Times New Roman"/>
                <w:sz w:val="21"/>
              </w:rPr>
            </w:pPr>
            <w:r>
              <w:rPr>
                <w:rFonts w:ascii="Times New Roman"/>
                <w:sz w:val="21"/>
              </w:rPr>
              <w:t>2800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9" w:right="203"/>
              <w:rPr>
                <w:rFonts w:ascii="Times New Roman" w:hAnsi="Times New Roman" w:eastAsia="Times New Roman"/>
                <w:sz w:val="21"/>
              </w:rPr>
            </w:pPr>
            <w:r>
              <w:rPr>
                <w:rFonts w:ascii="Times New Roman" w:hAnsi="Times New Roman" w:eastAsia="Times New Roman"/>
                <w:sz w:val="21"/>
              </w:rPr>
              <w:t>1,2,3-</w:t>
            </w:r>
            <w:r>
              <w:rPr>
                <w:sz w:val="21"/>
              </w:rPr>
              <w:t>三氯丙烷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&lt;1.2</w:t>
            </w:r>
          </w:p>
        </w:tc>
        <w:tc>
          <w:tcPr>
            <w:tcW w:w="1502" w:type="dxa"/>
          </w:tcPr>
          <w:p>
            <w:pPr>
              <w:pStyle w:val="TableParagraph"/>
              <w:spacing w:before="20"/>
              <w:ind w:left="424" w:right="419"/>
              <w:rPr>
                <w:rFonts w:ascii="Times New Roman"/>
                <w:sz w:val="21"/>
              </w:rPr>
            </w:pPr>
            <w:r>
              <w:rPr>
                <w:rFonts w:ascii="Times New Roman"/>
                <w:sz w:val="21"/>
              </w:rPr>
              <w:t>&lt;1.2</w:t>
            </w:r>
          </w:p>
        </w:tc>
        <w:tc>
          <w:tcPr>
            <w:tcW w:w="1559" w:type="dxa"/>
          </w:tcPr>
          <w:p>
            <w:pPr>
              <w:pStyle w:val="TableParagraph"/>
              <w:spacing w:before="20"/>
              <w:ind w:left="338" w:right="331"/>
              <w:rPr>
                <w:rFonts w:ascii="Times New Roman"/>
                <w:sz w:val="21"/>
              </w:rPr>
            </w:pPr>
            <w:r>
              <w:rPr>
                <w:rFonts w:ascii="Times New Roman"/>
                <w:sz w:val="21"/>
              </w:rPr>
              <w:t>&lt;1.2</w:t>
            </w:r>
          </w:p>
        </w:tc>
        <w:tc>
          <w:tcPr>
            <w:tcW w:w="1276" w:type="dxa"/>
          </w:tcPr>
          <w:p>
            <w:pPr>
              <w:pStyle w:val="TableParagraph"/>
              <w:spacing w:before="20"/>
              <w:ind w:left="9"/>
              <w:rPr>
                <w:rFonts w:ascii="Times New Roman"/>
                <w:sz w:val="21"/>
              </w:rPr>
            </w:pPr>
            <w:r>
              <w:rPr>
                <w:rFonts w:ascii="Times New Roman"/>
                <w:sz w:val="21"/>
              </w:rPr>
              <w:t>500</w:t>
            </w:r>
          </w:p>
        </w:tc>
        <w:tc>
          <w:tcPr>
            <w:tcW w:w="872" w:type="dxa"/>
          </w:tcPr>
          <w:p>
            <w:pPr>
              <w:pStyle w:val="TableParagraph"/>
              <w:spacing w:line="257" w:lineRule="exact" w:before="6"/>
              <w:ind w:left="210" w:right="197"/>
              <w:rPr>
                <w:sz w:val="21"/>
              </w:rPr>
            </w:pPr>
            <w:r>
              <w:rPr>
                <w:sz w:val="21"/>
              </w:rPr>
              <w:t>达标</w:t>
            </w:r>
          </w:p>
        </w:tc>
      </w:tr>
      <w:tr>
        <w:trPr>
          <w:trHeight w:val="283" w:hRule="atLeast"/>
        </w:trPr>
        <w:tc>
          <w:tcPr>
            <w:tcW w:w="2847" w:type="dxa"/>
          </w:tcPr>
          <w:p>
            <w:pPr>
              <w:pStyle w:val="TableParagraph"/>
              <w:spacing w:line="255" w:lineRule="exact" w:before="8"/>
              <w:ind w:left="206" w:right="203"/>
              <w:rPr>
                <w:rFonts w:ascii="Times New Roman" w:hAnsi="Times New Roman" w:eastAsia="Times New Roman"/>
                <w:sz w:val="21"/>
              </w:rPr>
            </w:pPr>
            <w:r>
              <w:rPr>
                <w:sz w:val="21"/>
              </w:rPr>
              <w:t>氯乙烯 </w:t>
            </w:r>
            <w:r>
              <w:rPr>
                <w:rFonts w:ascii="Times New Roman" w:hAnsi="Times New Roman" w:eastAsia="Times New Roman"/>
                <w:sz w:val="21"/>
              </w:rPr>
              <w:t>μg/kg</w:t>
            </w:r>
          </w:p>
        </w:tc>
        <w:tc>
          <w:tcPr>
            <w:tcW w:w="1286" w:type="dxa"/>
          </w:tcPr>
          <w:p>
            <w:pPr>
              <w:pStyle w:val="TableParagraph"/>
              <w:spacing w:line="241" w:lineRule="exact" w:before="22"/>
              <w:ind w:left="94" w:right="90"/>
              <w:rPr>
                <w:rFonts w:ascii="Times New Roman"/>
                <w:sz w:val="21"/>
              </w:rPr>
            </w:pPr>
            <w:r>
              <w:rPr>
                <w:rFonts w:ascii="Times New Roman"/>
                <w:sz w:val="21"/>
              </w:rPr>
              <w:t>&lt;1.0</w:t>
            </w:r>
          </w:p>
        </w:tc>
        <w:tc>
          <w:tcPr>
            <w:tcW w:w="1502" w:type="dxa"/>
          </w:tcPr>
          <w:p>
            <w:pPr>
              <w:pStyle w:val="TableParagraph"/>
              <w:spacing w:line="241" w:lineRule="exact" w:before="22"/>
              <w:ind w:left="424" w:right="419"/>
              <w:rPr>
                <w:rFonts w:ascii="Times New Roman"/>
                <w:sz w:val="21"/>
              </w:rPr>
            </w:pPr>
            <w:r>
              <w:rPr>
                <w:rFonts w:ascii="Times New Roman"/>
                <w:sz w:val="21"/>
              </w:rPr>
              <w:t>&lt;1.0</w:t>
            </w:r>
          </w:p>
        </w:tc>
        <w:tc>
          <w:tcPr>
            <w:tcW w:w="1559" w:type="dxa"/>
          </w:tcPr>
          <w:p>
            <w:pPr>
              <w:pStyle w:val="TableParagraph"/>
              <w:spacing w:line="241" w:lineRule="exact" w:before="22"/>
              <w:ind w:left="338" w:right="331"/>
              <w:rPr>
                <w:rFonts w:ascii="Times New Roman"/>
                <w:sz w:val="21"/>
              </w:rPr>
            </w:pPr>
            <w:r>
              <w:rPr>
                <w:rFonts w:ascii="Times New Roman"/>
                <w:sz w:val="21"/>
              </w:rPr>
              <w:t>&lt;1.0</w:t>
            </w:r>
          </w:p>
        </w:tc>
        <w:tc>
          <w:tcPr>
            <w:tcW w:w="1276" w:type="dxa"/>
          </w:tcPr>
          <w:p>
            <w:pPr>
              <w:pStyle w:val="TableParagraph"/>
              <w:spacing w:line="241" w:lineRule="exact" w:before="22"/>
              <w:ind w:left="9"/>
              <w:rPr>
                <w:rFonts w:ascii="Times New Roman"/>
                <w:sz w:val="21"/>
              </w:rPr>
            </w:pPr>
            <w:r>
              <w:rPr>
                <w:rFonts w:ascii="Times New Roman"/>
                <w:sz w:val="21"/>
              </w:rPr>
              <w:t>430</w:t>
            </w:r>
          </w:p>
        </w:tc>
        <w:tc>
          <w:tcPr>
            <w:tcW w:w="872" w:type="dxa"/>
          </w:tcPr>
          <w:p>
            <w:pPr>
              <w:pStyle w:val="TableParagraph"/>
              <w:spacing w:line="255" w:lineRule="exact" w:before="8"/>
              <w:ind w:left="210" w:right="197"/>
              <w:rPr>
                <w:sz w:val="21"/>
              </w:rPr>
            </w:pPr>
            <w:r>
              <w:rPr>
                <w:sz w:val="21"/>
              </w:rPr>
              <w:t>达标</w:t>
            </w:r>
          </w:p>
        </w:tc>
      </w:tr>
      <w:tr>
        <w:trPr>
          <w:trHeight w:val="286" w:hRule="atLeast"/>
        </w:trPr>
        <w:tc>
          <w:tcPr>
            <w:tcW w:w="2847" w:type="dxa"/>
          </w:tcPr>
          <w:p>
            <w:pPr>
              <w:pStyle w:val="TableParagraph"/>
              <w:spacing w:line="257" w:lineRule="exact" w:before="9"/>
              <w:ind w:left="209" w:right="203"/>
              <w:rPr>
                <w:rFonts w:ascii="Times New Roman" w:hAnsi="Times New Roman" w:eastAsia="Times New Roman"/>
                <w:sz w:val="21"/>
              </w:rPr>
            </w:pPr>
            <w:r>
              <w:rPr>
                <w:sz w:val="21"/>
              </w:rPr>
              <w:t>苯 </w:t>
            </w:r>
            <w:r>
              <w:rPr>
                <w:rFonts w:ascii="Times New Roman" w:hAnsi="Times New Roman" w:eastAsia="Times New Roman"/>
                <w:sz w:val="21"/>
              </w:rPr>
              <w:t>μg/kg</w:t>
            </w:r>
          </w:p>
        </w:tc>
        <w:tc>
          <w:tcPr>
            <w:tcW w:w="1286" w:type="dxa"/>
          </w:tcPr>
          <w:p>
            <w:pPr>
              <w:pStyle w:val="TableParagraph"/>
              <w:spacing w:before="23"/>
              <w:ind w:left="94" w:right="90"/>
              <w:rPr>
                <w:rFonts w:ascii="Times New Roman"/>
                <w:sz w:val="21"/>
              </w:rPr>
            </w:pPr>
            <w:r>
              <w:rPr>
                <w:rFonts w:ascii="Times New Roman"/>
                <w:sz w:val="21"/>
              </w:rPr>
              <w:t>&lt;1.9</w:t>
            </w:r>
          </w:p>
        </w:tc>
        <w:tc>
          <w:tcPr>
            <w:tcW w:w="1502" w:type="dxa"/>
          </w:tcPr>
          <w:p>
            <w:pPr>
              <w:pStyle w:val="TableParagraph"/>
              <w:spacing w:before="23"/>
              <w:ind w:left="424" w:right="419"/>
              <w:rPr>
                <w:rFonts w:ascii="Times New Roman"/>
                <w:sz w:val="21"/>
              </w:rPr>
            </w:pPr>
            <w:r>
              <w:rPr>
                <w:rFonts w:ascii="Times New Roman"/>
                <w:sz w:val="21"/>
              </w:rPr>
              <w:t>&lt;1.9</w:t>
            </w:r>
          </w:p>
        </w:tc>
        <w:tc>
          <w:tcPr>
            <w:tcW w:w="1559" w:type="dxa"/>
          </w:tcPr>
          <w:p>
            <w:pPr>
              <w:pStyle w:val="TableParagraph"/>
              <w:spacing w:before="23"/>
              <w:ind w:left="338" w:right="331"/>
              <w:rPr>
                <w:rFonts w:ascii="Times New Roman"/>
                <w:sz w:val="21"/>
              </w:rPr>
            </w:pPr>
            <w:r>
              <w:rPr>
                <w:rFonts w:ascii="Times New Roman"/>
                <w:sz w:val="21"/>
              </w:rPr>
              <w:t>&lt;1.9</w:t>
            </w:r>
          </w:p>
        </w:tc>
        <w:tc>
          <w:tcPr>
            <w:tcW w:w="1276" w:type="dxa"/>
          </w:tcPr>
          <w:p>
            <w:pPr>
              <w:pStyle w:val="TableParagraph"/>
              <w:spacing w:before="23"/>
              <w:ind w:left="9"/>
              <w:rPr>
                <w:rFonts w:ascii="Times New Roman"/>
                <w:sz w:val="21"/>
              </w:rPr>
            </w:pPr>
            <w:r>
              <w:rPr>
                <w:rFonts w:ascii="Times New Roman"/>
                <w:sz w:val="21"/>
              </w:rPr>
              <w:t>4000</w:t>
            </w:r>
          </w:p>
        </w:tc>
        <w:tc>
          <w:tcPr>
            <w:tcW w:w="872" w:type="dxa"/>
          </w:tcPr>
          <w:p>
            <w:pPr>
              <w:pStyle w:val="TableParagraph"/>
              <w:spacing w:line="257" w:lineRule="exact" w:before="9"/>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hAnsi="Times New Roman" w:eastAsia="Times New Roman"/>
                <w:sz w:val="21"/>
              </w:rPr>
            </w:pPr>
            <w:r>
              <w:rPr>
                <w:sz w:val="21"/>
              </w:rPr>
              <w:t>氯苯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&lt;1.2</w:t>
            </w:r>
          </w:p>
        </w:tc>
        <w:tc>
          <w:tcPr>
            <w:tcW w:w="1502" w:type="dxa"/>
          </w:tcPr>
          <w:p>
            <w:pPr>
              <w:pStyle w:val="TableParagraph"/>
              <w:spacing w:before="20"/>
              <w:ind w:left="424" w:right="419"/>
              <w:rPr>
                <w:rFonts w:ascii="Times New Roman"/>
                <w:sz w:val="21"/>
              </w:rPr>
            </w:pPr>
            <w:r>
              <w:rPr>
                <w:rFonts w:ascii="Times New Roman"/>
                <w:sz w:val="21"/>
              </w:rPr>
              <w:t>&lt;1.2</w:t>
            </w:r>
          </w:p>
        </w:tc>
        <w:tc>
          <w:tcPr>
            <w:tcW w:w="1559" w:type="dxa"/>
          </w:tcPr>
          <w:p>
            <w:pPr>
              <w:pStyle w:val="TableParagraph"/>
              <w:spacing w:before="20"/>
              <w:ind w:left="338" w:right="331"/>
              <w:rPr>
                <w:rFonts w:ascii="Times New Roman"/>
                <w:sz w:val="21"/>
              </w:rPr>
            </w:pPr>
            <w:r>
              <w:rPr>
                <w:rFonts w:ascii="Times New Roman"/>
                <w:sz w:val="21"/>
              </w:rPr>
              <w:t>&lt;1.2</w:t>
            </w:r>
          </w:p>
        </w:tc>
        <w:tc>
          <w:tcPr>
            <w:tcW w:w="1276" w:type="dxa"/>
          </w:tcPr>
          <w:p>
            <w:pPr>
              <w:pStyle w:val="TableParagraph"/>
              <w:spacing w:before="20"/>
              <w:ind w:left="9"/>
              <w:rPr>
                <w:rFonts w:ascii="Times New Roman"/>
                <w:sz w:val="21"/>
              </w:rPr>
            </w:pPr>
            <w:r>
              <w:rPr>
                <w:rFonts w:ascii="Times New Roman"/>
                <w:sz w:val="21"/>
              </w:rPr>
              <w:t>270000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hAnsi="Times New Roman" w:eastAsia="Times New Roman"/>
                <w:sz w:val="21"/>
              </w:rPr>
            </w:pPr>
            <w:r>
              <w:rPr>
                <w:rFonts w:ascii="Times New Roman" w:hAnsi="Times New Roman" w:eastAsia="Times New Roman"/>
                <w:sz w:val="21"/>
              </w:rPr>
              <w:t>1,2-</w:t>
            </w:r>
            <w:r>
              <w:rPr>
                <w:sz w:val="21"/>
              </w:rPr>
              <w:t>二氯苯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&lt;1.5</w:t>
            </w:r>
          </w:p>
        </w:tc>
        <w:tc>
          <w:tcPr>
            <w:tcW w:w="1502" w:type="dxa"/>
          </w:tcPr>
          <w:p>
            <w:pPr>
              <w:pStyle w:val="TableParagraph"/>
              <w:spacing w:before="22"/>
              <w:ind w:left="424" w:right="419"/>
              <w:rPr>
                <w:rFonts w:ascii="Times New Roman"/>
                <w:sz w:val="21"/>
              </w:rPr>
            </w:pPr>
            <w:r>
              <w:rPr>
                <w:rFonts w:ascii="Times New Roman"/>
                <w:sz w:val="21"/>
              </w:rPr>
              <w:t>&lt;1.5</w:t>
            </w:r>
          </w:p>
        </w:tc>
        <w:tc>
          <w:tcPr>
            <w:tcW w:w="1559" w:type="dxa"/>
          </w:tcPr>
          <w:p>
            <w:pPr>
              <w:pStyle w:val="TableParagraph"/>
              <w:spacing w:before="22"/>
              <w:ind w:left="338" w:right="331"/>
              <w:rPr>
                <w:rFonts w:ascii="Times New Roman"/>
                <w:sz w:val="21"/>
              </w:rPr>
            </w:pPr>
            <w:r>
              <w:rPr>
                <w:rFonts w:ascii="Times New Roman"/>
                <w:sz w:val="21"/>
              </w:rPr>
              <w:t>&lt;1.5</w:t>
            </w:r>
          </w:p>
        </w:tc>
        <w:tc>
          <w:tcPr>
            <w:tcW w:w="1276" w:type="dxa"/>
          </w:tcPr>
          <w:p>
            <w:pPr>
              <w:pStyle w:val="TableParagraph"/>
              <w:spacing w:before="22"/>
              <w:ind w:left="9"/>
              <w:rPr>
                <w:rFonts w:ascii="Times New Roman"/>
                <w:sz w:val="21"/>
              </w:rPr>
            </w:pPr>
            <w:r>
              <w:rPr>
                <w:rFonts w:ascii="Times New Roman"/>
                <w:sz w:val="21"/>
              </w:rPr>
              <w:t>560000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hAnsi="Times New Roman" w:eastAsia="Times New Roman"/>
                <w:sz w:val="21"/>
              </w:rPr>
            </w:pPr>
            <w:r>
              <w:rPr>
                <w:rFonts w:ascii="Times New Roman" w:hAnsi="Times New Roman" w:eastAsia="Times New Roman"/>
                <w:sz w:val="21"/>
              </w:rPr>
              <w:t>1,4-</w:t>
            </w:r>
            <w:r>
              <w:rPr>
                <w:sz w:val="21"/>
              </w:rPr>
              <w:t>二氯苯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&lt;1.5</w:t>
            </w:r>
          </w:p>
        </w:tc>
        <w:tc>
          <w:tcPr>
            <w:tcW w:w="1502" w:type="dxa"/>
          </w:tcPr>
          <w:p>
            <w:pPr>
              <w:pStyle w:val="TableParagraph"/>
              <w:spacing w:before="20"/>
              <w:ind w:left="424" w:right="419"/>
              <w:rPr>
                <w:rFonts w:ascii="Times New Roman"/>
                <w:sz w:val="21"/>
              </w:rPr>
            </w:pPr>
            <w:r>
              <w:rPr>
                <w:rFonts w:ascii="Times New Roman"/>
                <w:sz w:val="21"/>
              </w:rPr>
              <w:t>&lt;1.5</w:t>
            </w:r>
          </w:p>
        </w:tc>
        <w:tc>
          <w:tcPr>
            <w:tcW w:w="1559" w:type="dxa"/>
          </w:tcPr>
          <w:p>
            <w:pPr>
              <w:pStyle w:val="TableParagraph"/>
              <w:spacing w:before="20"/>
              <w:ind w:left="338" w:right="331"/>
              <w:rPr>
                <w:rFonts w:ascii="Times New Roman"/>
                <w:sz w:val="21"/>
              </w:rPr>
            </w:pPr>
            <w:r>
              <w:rPr>
                <w:rFonts w:ascii="Times New Roman"/>
                <w:sz w:val="21"/>
              </w:rPr>
              <w:t>&lt;1.5</w:t>
            </w:r>
          </w:p>
        </w:tc>
        <w:tc>
          <w:tcPr>
            <w:tcW w:w="1276" w:type="dxa"/>
          </w:tcPr>
          <w:p>
            <w:pPr>
              <w:pStyle w:val="TableParagraph"/>
              <w:spacing w:before="20"/>
              <w:ind w:left="9"/>
              <w:rPr>
                <w:rFonts w:ascii="Times New Roman"/>
                <w:sz w:val="21"/>
              </w:rPr>
            </w:pPr>
            <w:r>
              <w:rPr>
                <w:rFonts w:ascii="Times New Roman"/>
                <w:sz w:val="21"/>
              </w:rPr>
              <w:t>20000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hAnsi="Times New Roman" w:eastAsia="Times New Roman"/>
                <w:sz w:val="21"/>
              </w:rPr>
            </w:pPr>
            <w:r>
              <w:rPr>
                <w:sz w:val="21"/>
              </w:rPr>
              <w:t>乙苯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&lt;1.2</w:t>
            </w:r>
          </w:p>
        </w:tc>
        <w:tc>
          <w:tcPr>
            <w:tcW w:w="1502" w:type="dxa"/>
          </w:tcPr>
          <w:p>
            <w:pPr>
              <w:pStyle w:val="TableParagraph"/>
              <w:spacing w:before="22"/>
              <w:ind w:left="424" w:right="419"/>
              <w:rPr>
                <w:rFonts w:ascii="Times New Roman"/>
                <w:sz w:val="21"/>
              </w:rPr>
            </w:pPr>
            <w:r>
              <w:rPr>
                <w:rFonts w:ascii="Times New Roman"/>
                <w:sz w:val="21"/>
              </w:rPr>
              <w:t>&lt;1.2</w:t>
            </w:r>
          </w:p>
        </w:tc>
        <w:tc>
          <w:tcPr>
            <w:tcW w:w="1559" w:type="dxa"/>
          </w:tcPr>
          <w:p>
            <w:pPr>
              <w:pStyle w:val="TableParagraph"/>
              <w:spacing w:before="22"/>
              <w:ind w:left="338" w:right="331"/>
              <w:rPr>
                <w:rFonts w:ascii="Times New Roman"/>
                <w:sz w:val="21"/>
              </w:rPr>
            </w:pPr>
            <w:r>
              <w:rPr>
                <w:rFonts w:ascii="Times New Roman"/>
                <w:sz w:val="21"/>
              </w:rPr>
              <w:t>&lt;1.2</w:t>
            </w:r>
          </w:p>
        </w:tc>
        <w:tc>
          <w:tcPr>
            <w:tcW w:w="1276" w:type="dxa"/>
          </w:tcPr>
          <w:p>
            <w:pPr>
              <w:pStyle w:val="TableParagraph"/>
              <w:spacing w:before="22"/>
              <w:ind w:left="9"/>
              <w:rPr>
                <w:rFonts w:ascii="Times New Roman"/>
                <w:sz w:val="21"/>
              </w:rPr>
            </w:pPr>
            <w:r>
              <w:rPr>
                <w:rFonts w:ascii="Times New Roman"/>
                <w:sz w:val="21"/>
              </w:rPr>
              <w:t>28000</w:t>
            </w:r>
          </w:p>
        </w:tc>
        <w:tc>
          <w:tcPr>
            <w:tcW w:w="872" w:type="dxa"/>
          </w:tcPr>
          <w:p>
            <w:pPr>
              <w:pStyle w:val="TableParagraph"/>
              <w:spacing w:line="257" w:lineRule="exact" w:before="8"/>
              <w:ind w:left="210" w:right="197"/>
              <w:rPr>
                <w:sz w:val="21"/>
              </w:rPr>
            </w:pPr>
            <w:r>
              <w:rPr>
                <w:sz w:val="21"/>
              </w:rPr>
              <w:t>达标</w:t>
            </w:r>
          </w:p>
        </w:tc>
      </w:tr>
      <w:tr>
        <w:trPr>
          <w:trHeight w:val="283" w:hRule="atLeast"/>
        </w:trPr>
        <w:tc>
          <w:tcPr>
            <w:tcW w:w="2847" w:type="dxa"/>
          </w:tcPr>
          <w:p>
            <w:pPr>
              <w:pStyle w:val="TableParagraph"/>
              <w:spacing w:line="257" w:lineRule="exact" w:before="6"/>
              <w:ind w:left="206" w:right="203"/>
              <w:rPr>
                <w:rFonts w:ascii="Times New Roman" w:hAnsi="Times New Roman" w:eastAsia="Times New Roman"/>
                <w:sz w:val="21"/>
              </w:rPr>
            </w:pPr>
            <w:r>
              <w:rPr>
                <w:sz w:val="21"/>
              </w:rPr>
              <w:t>苯乙烯 </w:t>
            </w:r>
            <w:r>
              <w:rPr>
                <w:rFonts w:ascii="Times New Roman" w:hAnsi="Times New Roman" w:eastAsia="Times New Roman"/>
                <w:sz w:val="21"/>
              </w:rPr>
              <w:t>μg/kg</w:t>
            </w:r>
          </w:p>
        </w:tc>
        <w:tc>
          <w:tcPr>
            <w:tcW w:w="1286" w:type="dxa"/>
          </w:tcPr>
          <w:p>
            <w:pPr>
              <w:pStyle w:val="TableParagraph"/>
              <w:spacing w:before="20"/>
              <w:ind w:left="94" w:right="89"/>
              <w:rPr>
                <w:rFonts w:ascii="Times New Roman"/>
                <w:sz w:val="21"/>
              </w:rPr>
            </w:pPr>
            <w:r>
              <w:rPr>
                <w:rFonts w:ascii="Times New Roman"/>
                <w:sz w:val="21"/>
              </w:rPr>
              <w:t>&lt;1.1</w:t>
            </w:r>
          </w:p>
        </w:tc>
        <w:tc>
          <w:tcPr>
            <w:tcW w:w="1502" w:type="dxa"/>
          </w:tcPr>
          <w:p>
            <w:pPr>
              <w:pStyle w:val="TableParagraph"/>
              <w:spacing w:before="20"/>
              <w:ind w:left="424" w:right="419"/>
              <w:rPr>
                <w:rFonts w:ascii="Times New Roman"/>
                <w:sz w:val="21"/>
              </w:rPr>
            </w:pPr>
            <w:r>
              <w:rPr>
                <w:rFonts w:ascii="Times New Roman"/>
                <w:sz w:val="21"/>
              </w:rPr>
              <w:t>&lt;1.1</w:t>
            </w:r>
          </w:p>
        </w:tc>
        <w:tc>
          <w:tcPr>
            <w:tcW w:w="1559" w:type="dxa"/>
          </w:tcPr>
          <w:p>
            <w:pPr>
              <w:pStyle w:val="TableParagraph"/>
              <w:spacing w:before="20"/>
              <w:ind w:left="338" w:right="331"/>
              <w:rPr>
                <w:rFonts w:ascii="Times New Roman"/>
                <w:sz w:val="21"/>
              </w:rPr>
            </w:pPr>
            <w:r>
              <w:rPr>
                <w:rFonts w:ascii="Times New Roman"/>
                <w:sz w:val="21"/>
              </w:rPr>
              <w:t>&lt;1.1</w:t>
            </w:r>
          </w:p>
        </w:tc>
        <w:tc>
          <w:tcPr>
            <w:tcW w:w="1276" w:type="dxa"/>
          </w:tcPr>
          <w:p>
            <w:pPr>
              <w:pStyle w:val="TableParagraph"/>
              <w:spacing w:before="20"/>
              <w:ind w:left="12"/>
              <w:rPr>
                <w:rFonts w:ascii="Times New Roman"/>
                <w:sz w:val="21"/>
              </w:rPr>
            </w:pPr>
            <w:r>
              <w:rPr>
                <w:rFonts w:ascii="Times New Roman"/>
                <w:sz w:val="21"/>
              </w:rPr>
              <w:t>1290000</w:t>
            </w:r>
          </w:p>
        </w:tc>
        <w:tc>
          <w:tcPr>
            <w:tcW w:w="872" w:type="dxa"/>
          </w:tcPr>
          <w:p>
            <w:pPr>
              <w:pStyle w:val="TableParagraph"/>
              <w:spacing w:line="257" w:lineRule="exact" w:before="6"/>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hAnsi="Times New Roman" w:eastAsia="Times New Roman"/>
                <w:sz w:val="21"/>
              </w:rPr>
            </w:pPr>
            <w:r>
              <w:rPr>
                <w:sz w:val="21"/>
              </w:rPr>
              <w:t>甲苯 </w:t>
            </w:r>
            <w:r>
              <w:rPr>
                <w:rFonts w:ascii="Times New Roman" w:hAnsi="Times New Roman" w:eastAsia="Times New Roman"/>
                <w:sz w:val="21"/>
              </w:rPr>
              <w:t>μg/kg</w:t>
            </w:r>
          </w:p>
        </w:tc>
        <w:tc>
          <w:tcPr>
            <w:tcW w:w="1286" w:type="dxa"/>
          </w:tcPr>
          <w:p>
            <w:pPr>
              <w:pStyle w:val="TableParagraph"/>
              <w:spacing w:before="20"/>
              <w:ind w:left="94" w:right="90"/>
              <w:rPr>
                <w:rFonts w:ascii="Times New Roman"/>
                <w:sz w:val="21"/>
              </w:rPr>
            </w:pPr>
            <w:r>
              <w:rPr>
                <w:rFonts w:ascii="Times New Roman"/>
                <w:sz w:val="21"/>
              </w:rPr>
              <w:t>&lt;1.3</w:t>
            </w:r>
          </w:p>
        </w:tc>
        <w:tc>
          <w:tcPr>
            <w:tcW w:w="1502" w:type="dxa"/>
          </w:tcPr>
          <w:p>
            <w:pPr>
              <w:pStyle w:val="TableParagraph"/>
              <w:spacing w:before="20"/>
              <w:ind w:left="424" w:right="419"/>
              <w:rPr>
                <w:rFonts w:ascii="Times New Roman"/>
                <w:sz w:val="21"/>
              </w:rPr>
            </w:pPr>
            <w:r>
              <w:rPr>
                <w:rFonts w:ascii="Times New Roman"/>
                <w:sz w:val="21"/>
              </w:rPr>
              <w:t>&lt;1.3</w:t>
            </w:r>
          </w:p>
        </w:tc>
        <w:tc>
          <w:tcPr>
            <w:tcW w:w="1559" w:type="dxa"/>
          </w:tcPr>
          <w:p>
            <w:pPr>
              <w:pStyle w:val="TableParagraph"/>
              <w:spacing w:before="20"/>
              <w:ind w:left="338" w:right="331"/>
              <w:rPr>
                <w:rFonts w:ascii="Times New Roman"/>
                <w:sz w:val="21"/>
              </w:rPr>
            </w:pPr>
            <w:r>
              <w:rPr>
                <w:rFonts w:ascii="Times New Roman"/>
                <w:sz w:val="21"/>
              </w:rPr>
              <w:t>&lt;1.3</w:t>
            </w:r>
          </w:p>
        </w:tc>
        <w:tc>
          <w:tcPr>
            <w:tcW w:w="1276" w:type="dxa"/>
          </w:tcPr>
          <w:p>
            <w:pPr>
              <w:pStyle w:val="TableParagraph"/>
              <w:spacing w:before="20"/>
              <w:ind w:left="12"/>
              <w:rPr>
                <w:rFonts w:ascii="Times New Roman"/>
                <w:sz w:val="21"/>
              </w:rPr>
            </w:pPr>
            <w:r>
              <w:rPr>
                <w:rFonts w:ascii="Times New Roman"/>
                <w:sz w:val="21"/>
              </w:rPr>
              <w:t>1200000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hAnsi="Times New Roman" w:eastAsia="Times New Roman"/>
                <w:sz w:val="21"/>
              </w:rPr>
            </w:pPr>
            <w:r>
              <w:rPr>
                <w:sz w:val="21"/>
              </w:rPr>
              <w:t>间二甲苯</w:t>
            </w:r>
            <w:r>
              <w:rPr>
                <w:rFonts w:ascii="Times New Roman" w:hAnsi="Times New Roman" w:eastAsia="Times New Roman"/>
                <w:sz w:val="21"/>
              </w:rPr>
              <w:t>+</w:t>
            </w:r>
            <w:r>
              <w:rPr>
                <w:sz w:val="21"/>
              </w:rPr>
              <w:t>对二甲苯 </w:t>
            </w:r>
            <w:r>
              <w:rPr>
                <w:rFonts w:ascii="Times New Roman" w:hAnsi="Times New Roman" w:eastAsia="Times New Roman"/>
                <w:sz w:val="21"/>
              </w:rPr>
              <w:t>μg/kg</w:t>
            </w:r>
          </w:p>
        </w:tc>
        <w:tc>
          <w:tcPr>
            <w:tcW w:w="1286" w:type="dxa"/>
          </w:tcPr>
          <w:p>
            <w:pPr>
              <w:pStyle w:val="TableParagraph"/>
              <w:spacing w:before="22"/>
              <w:ind w:left="94" w:right="90"/>
              <w:rPr>
                <w:rFonts w:ascii="Times New Roman"/>
                <w:sz w:val="21"/>
              </w:rPr>
            </w:pPr>
            <w:r>
              <w:rPr>
                <w:rFonts w:ascii="Times New Roman"/>
                <w:sz w:val="21"/>
              </w:rPr>
              <w:t>&lt;1.2</w:t>
            </w:r>
          </w:p>
        </w:tc>
        <w:tc>
          <w:tcPr>
            <w:tcW w:w="1502" w:type="dxa"/>
          </w:tcPr>
          <w:p>
            <w:pPr>
              <w:pStyle w:val="TableParagraph"/>
              <w:spacing w:before="22"/>
              <w:ind w:left="424" w:right="419"/>
              <w:rPr>
                <w:rFonts w:ascii="Times New Roman"/>
                <w:sz w:val="21"/>
              </w:rPr>
            </w:pPr>
            <w:r>
              <w:rPr>
                <w:rFonts w:ascii="Times New Roman"/>
                <w:sz w:val="21"/>
              </w:rPr>
              <w:t>&lt;1.2</w:t>
            </w:r>
          </w:p>
        </w:tc>
        <w:tc>
          <w:tcPr>
            <w:tcW w:w="1559" w:type="dxa"/>
          </w:tcPr>
          <w:p>
            <w:pPr>
              <w:pStyle w:val="TableParagraph"/>
              <w:spacing w:before="22"/>
              <w:ind w:left="338" w:right="331"/>
              <w:rPr>
                <w:rFonts w:ascii="Times New Roman"/>
                <w:sz w:val="21"/>
              </w:rPr>
            </w:pPr>
            <w:r>
              <w:rPr>
                <w:rFonts w:ascii="Times New Roman"/>
                <w:sz w:val="21"/>
              </w:rPr>
              <w:t>&lt;1.2</w:t>
            </w:r>
          </w:p>
        </w:tc>
        <w:tc>
          <w:tcPr>
            <w:tcW w:w="1276" w:type="dxa"/>
          </w:tcPr>
          <w:p>
            <w:pPr>
              <w:pStyle w:val="TableParagraph"/>
              <w:spacing w:before="22"/>
              <w:ind w:left="9"/>
              <w:rPr>
                <w:rFonts w:ascii="Times New Roman"/>
                <w:sz w:val="21"/>
              </w:rPr>
            </w:pPr>
            <w:r>
              <w:rPr>
                <w:rFonts w:ascii="Times New Roman"/>
                <w:sz w:val="21"/>
              </w:rPr>
              <w:t>570000</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9" w:right="203"/>
              <w:rPr>
                <w:rFonts w:ascii="Times New Roman" w:hAnsi="Times New Roman" w:eastAsia="Times New Roman"/>
                <w:sz w:val="21"/>
              </w:rPr>
            </w:pPr>
            <w:r>
              <w:rPr>
                <w:sz w:val="21"/>
              </w:rPr>
              <w:t>邻二甲苯 </w:t>
            </w:r>
            <w:r>
              <w:rPr>
                <w:rFonts w:ascii="Times New Roman" w:hAnsi="Times New Roman" w:eastAsia="Times New Roman"/>
                <w:sz w:val="21"/>
              </w:rPr>
              <w:t>μg/kg</w:t>
            </w:r>
          </w:p>
        </w:tc>
        <w:tc>
          <w:tcPr>
            <w:tcW w:w="1286" w:type="dxa"/>
          </w:tcPr>
          <w:p>
            <w:pPr>
              <w:pStyle w:val="TableParagraph"/>
              <w:spacing w:before="19"/>
              <w:ind w:left="94" w:right="90"/>
              <w:rPr>
                <w:rFonts w:ascii="Times New Roman"/>
                <w:sz w:val="21"/>
              </w:rPr>
            </w:pPr>
            <w:r>
              <w:rPr>
                <w:rFonts w:ascii="Times New Roman"/>
                <w:sz w:val="21"/>
              </w:rPr>
              <w:t>&lt;1.2</w:t>
            </w:r>
          </w:p>
        </w:tc>
        <w:tc>
          <w:tcPr>
            <w:tcW w:w="1502" w:type="dxa"/>
          </w:tcPr>
          <w:p>
            <w:pPr>
              <w:pStyle w:val="TableParagraph"/>
              <w:spacing w:before="19"/>
              <w:ind w:left="424" w:right="419"/>
              <w:rPr>
                <w:rFonts w:ascii="Times New Roman"/>
                <w:sz w:val="21"/>
              </w:rPr>
            </w:pPr>
            <w:r>
              <w:rPr>
                <w:rFonts w:ascii="Times New Roman"/>
                <w:sz w:val="21"/>
              </w:rPr>
              <w:t>&lt;1.2</w:t>
            </w:r>
          </w:p>
        </w:tc>
        <w:tc>
          <w:tcPr>
            <w:tcW w:w="1559" w:type="dxa"/>
          </w:tcPr>
          <w:p>
            <w:pPr>
              <w:pStyle w:val="TableParagraph"/>
              <w:spacing w:before="19"/>
              <w:ind w:left="338" w:right="331"/>
              <w:rPr>
                <w:rFonts w:ascii="Times New Roman"/>
                <w:sz w:val="21"/>
              </w:rPr>
            </w:pPr>
            <w:r>
              <w:rPr>
                <w:rFonts w:ascii="Times New Roman"/>
                <w:sz w:val="21"/>
              </w:rPr>
              <w:t>&lt;1.2</w:t>
            </w:r>
          </w:p>
        </w:tc>
        <w:tc>
          <w:tcPr>
            <w:tcW w:w="1276" w:type="dxa"/>
          </w:tcPr>
          <w:p>
            <w:pPr>
              <w:pStyle w:val="TableParagraph"/>
              <w:spacing w:before="19"/>
              <w:ind w:left="9"/>
              <w:rPr>
                <w:rFonts w:ascii="Times New Roman"/>
                <w:sz w:val="21"/>
              </w:rPr>
            </w:pPr>
            <w:r>
              <w:rPr>
                <w:rFonts w:ascii="Times New Roman"/>
                <w:sz w:val="21"/>
              </w:rPr>
              <w:t>640000</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eastAsia="Times New Roman"/>
                <w:sz w:val="21"/>
              </w:rPr>
            </w:pPr>
            <w:r>
              <w:rPr>
                <w:sz w:val="21"/>
              </w:rPr>
              <w:t>硝基苯 </w:t>
            </w:r>
            <w:r>
              <w:rPr>
                <w:rFonts w:ascii="Times New Roman" w:eastAsia="Times New Roman"/>
                <w:sz w:val="21"/>
              </w:rPr>
              <w:t>mg/kg</w:t>
            </w:r>
          </w:p>
        </w:tc>
        <w:tc>
          <w:tcPr>
            <w:tcW w:w="1286" w:type="dxa"/>
          </w:tcPr>
          <w:p>
            <w:pPr>
              <w:pStyle w:val="TableParagraph"/>
              <w:spacing w:before="22"/>
              <w:ind w:left="400"/>
              <w:jc w:val="left"/>
              <w:rPr>
                <w:rFonts w:ascii="Times New Roman"/>
                <w:sz w:val="21"/>
              </w:rPr>
            </w:pPr>
            <w:r>
              <w:rPr>
                <w:rFonts w:ascii="Times New Roman"/>
                <w:sz w:val="21"/>
              </w:rPr>
              <w:t>&lt;0.09</w:t>
            </w:r>
          </w:p>
        </w:tc>
        <w:tc>
          <w:tcPr>
            <w:tcW w:w="1502" w:type="dxa"/>
          </w:tcPr>
          <w:p>
            <w:pPr>
              <w:pStyle w:val="TableParagraph"/>
              <w:spacing w:before="22"/>
              <w:ind w:left="424" w:right="416"/>
              <w:rPr>
                <w:rFonts w:ascii="Times New Roman"/>
                <w:sz w:val="21"/>
              </w:rPr>
            </w:pPr>
            <w:r>
              <w:rPr>
                <w:rFonts w:ascii="Times New Roman"/>
                <w:sz w:val="21"/>
              </w:rPr>
              <w:t>&lt;0.09</w:t>
            </w:r>
          </w:p>
        </w:tc>
        <w:tc>
          <w:tcPr>
            <w:tcW w:w="1559" w:type="dxa"/>
          </w:tcPr>
          <w:p>
            <w:pPr>
              <w:pStyle w:val="TableParagraph"/>
              <w:spacing w:before="22"/>
              <w:ind w:right="526"/>
              <w:jc w:val="right"/>
              <w:rPr>
                <w:rFonts w:ascii="Times New Roman"/>
                <w:sz w:val="21"/>
              </w:rPr>
            </w:pPr>
            <w:r>
              <w:rPr>
                <w:rFonts w:ascii="Times New Roman"/>
                <w:sz w:val="21"/>
              </w:rPr>
              <w:t>&lt;0.09</w:t>
            </w:r>
          </w:p>
        </w:tc>
        <w:tc>
          <w:tcPr>
            <w:tcW w:w="1276" w:type="dxa"/>
          </w:tcPr>
          <w:p>
            <w:pPr>
              <w:pStyle w:val="TableParagraph"/>
              <w:spacing w:before="22"/>
              <w:ind w:left="9"/>
              <w:rPr>
                <w:rFonts w:ascii="Times New Roman"/>
                <w:sz w:val="21"/>
              </w:rPr>
            </w:pPr>
            <w:r>
              <w:rPr>
                <w:rFonts w:ascii="Times New Roman"/>
                <w:sz w:val="21"/>
              </w:rPr>
              <w:t>76</w:t>
            </w:r>
          </w:p>
        </w:tc>
        <w:tc>
          <w:tcPr>
            <w:tcW w:w="872" w:type="dxa"/>
          </w:tcPr>
          <w:p>
            <w:pPr>
              <w:pStyle w:val="TableParagraph"/>
              <w:spacing w:line="257" w:lineRule="exact" w:before="8"/>
              <w:ind w:left="210" w:right="197"/>
              <w:rPr>
                <w:sz w:val="21"/>
              </w:rPr>
            </w:pPr>
            <w:r>
              <w:rPr>
                <w:sz w:val="21"/>
              </w:rPr>
              <w:t>达标</w:t>
            </w:r>
          </w:p>
        </w:tc>
      </w:tr>
    </w:tbl>
    <w:p>
      <w:pPr>
        <w:spacing w:after="0" w:line="257" w:lineRule="exact"/>
        <w:rPr>
          <w:sz w:val="21"/>
        </w:rPr>
        <w:sectPr>
          <w:footerReference w:type="default" r:id="rId78"/>
          <w:pgSz w:w="11910" w:h="16850"/>
          <w:pgMar w:footer="1088" w:header="1004" w:top="1340" w:bottom="1280" w:left="1200" w:right="1000"/>
          <w:pgNumType w:start="141"/>
        </w:sectPr>
      </w:pPr>
    </w:p>
    <w:p>
      <w:pPr>
        <w:pStyle w:val="BodyText"/>
        <w:spacing w:before="3"/>
        <w:rPr>
          <w:b/>
          <w:sz w:val="6"/>
        </w:rPr>
      </w:pPr>
      <w:r>
        <w:rPr/>
        <w:pict>
          <v:line style="position:absolute;mso-position-horizontal-relative:page;mso-position-vertical-relative:page;z-index:-317718528" from="71.304001pt,72.239975pt" to="213.410001pt,114.259975pt" stroked="true" strokeweight=".72pt" strokecolor="#000000">
            <v:stroke dashstyle="solid"/>
            <w10:wrap type="none"/>
          </v:line>
        </w:pict>
      </w:r>
    </w:p>
    <w:tbl>
      <w:tblPr>
        <w:tblW w:w="0" w:type="auto"/>
        <w:jc w:val="left"/>
        <w:tblInd w:w="2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47"/>
        <w:gridCol w:w="1286"/>
        <w:gridCol w:w="1502"/>
        <w:gridCol w:w="1559"/>
        <w:gridCol w:w="1276"/>
        <w:gridCol w:w="872"/>
      </w:tblGrid>
      <w:tr>
        <w:trPr>
          <w:trHeight w:val="544" w:hRule="atLeast"/>
        </w:trPr>
        <w:tc>
          <w:tcPr>
            <w:tcW w:w="2847" w:type="dxa"/>
            <w:vMerge w:val="restart"/>
          </w:tcPr>
          <w:p>
            <w:pPr>
              <w:pStyle w:val="TableParagraph"/>
              <w:spacing w:before="148"/>
              <w:ind w:left="1895"/>
              <w:jc w:val="left"/>
              <w:rPr>
                <w:b/>
                <w:sz w:val="21"/>
              </w:rPr>
            </w:pPr>
            <w:r>
              <w:rPr>
                <w:b/>
                <w:sz w:val="21"/>
              </w:rPr>
              <w:t>采样点位</w:t>
            </w:r>
          </w:p>
          <w:p>
            <w:pPr>
              <w:pStyle w:val="TableParagraph"/>
              <w:spacing w:before="4"/>
              <w:ind w:left="107"/>
              <w:jc w:val="left"/>
              <w:rPr>
                <w:b/>
                <w:sz w:val="21"/>
              </w:rPr>
            </w:pPr>
            <w:r>
              <w:rPr>
                <w:b/>
                <w:sz w:val="21"/>
              </w:rPr>
              <w:t>项目名称及单位</w:t>
            </w:r>
          </w:p>
        </w:tc>
        <w:tc>
          <w:tcPr>
            <w:tcW w:w="1286" w:type="dxa"/>
          </w:tcPr>
          <w:p>
            <w:pPr>
              <w:pStyle w:val="TableParagraph"/>
              <w:spacing w:before="1"/>
              <w:ind w:left="94" w:right="92"/>
              <w:rPr>
                <w:b/>
                <w:sz w:val="21"/>
              </w:rPr>
            </w:pPr>
            <w:r>
              <w:rPr>
                <w:rFonts w:ascii="Times New Roman" w:eastAsia="Times New Roman"/>
                <w:b/>
                <w:sz w:val="21"/>
              </w:rPr>
              <w:t>4#</w:t>
            </w:r>
            <w:r>
              <w:rPr>
                <w:b/>
                <w:sz w:val="21"/>
              </w:rPr>
              <w:t>拟建综合</w:t>
            </w:r>
          </w:p>
          <w:p>
            <w:pPr>
              <w:pStyle w:val="TableParagraph"/>
              <w:spacing w:line="250" w:lineRule="exact" w:before="5"/>
              <w:ind w:left="94" w:right="89"/>
              <w:rPr>
                <w:b/>
                <w:sz w:val="21"/>
              </w:rPr>
            </w:pPr>
            <w:r>
              <w:rPr>
                <w:b/>
                <w:sz w:val="21"/>
              </w:rPr>
              <w:t>楼北面</w:t>
            </w:r>
          </w:p>
        </w:tc>
        <w:tc>
          <w:tcPr>
            <w:tcW w:w="1502" w:type="dxa"/>
          </w:tcPr>
          <w:p>
            <w:pPr>
              <w:pStyle w:val="TableParagraph"/>
              <w:spacing w:before="1"/>
              <w:ind w:left="117"/>
              <w:jc w:val="left"/>
              <w:rPr>
                <w:b/>
                <w:sz w:val="21"/>
              </w:rPr>
            </w:pPr>
            <w:r>
              <w:rPr>
                <w:rFonts w:ascii="Times New Roman" w:eastAsia="Times New Roman"/>
                <w:b/>
                <w:sz w:val="21"/>
              </w:rPr>
              <w:t>5#</w:t>
            </w:r>
            <w:r>
              <w:rPr>
                <w:b/>
                <w:sz w:val="21"/>
              </w:rPr>
              <w:t>厂区西面围</w:t>
            </w:r>
          </w:p>
          <w:p>
            <w:pPr>
              <w:pStyle w:val="TableParagraph"/>
              <w:spacing w:line="250" w:lineRule="exact" w:before="5"/>
              <w:ind w:left="189"/>
              <w:jc w:val="left"/>
              <w:rPr>
                <w:b/>
                <w:sz w:val="21"/>
              </w:rPr>
            </w:pPr>
            <w:r>
              <w:rPr>
                <w:b/>
                <w:sz w:val="21"/>
              </w:rPr>
              <w:t>墙外 </w:t>
            </w:r>
            <w:r>
              <w:rPr>
                <w:rFonts w:ascii="Times New Roman" w:eastAsia="Times New Roman"/>
                <w:b/>
                <w:sz w:val="21"/>
              </w:rPr>
              <w:t>20m </w:t>
            </w:r>
            <w:r>
              <w:rPr>
                <w:b/>
                <w:sz w:val="21"/>
              </w:rPr>
              <w:t>处</w:t>
            </w:r>
          </w:p>
        </w:tc>
        <w:tc>
          <w:tcPr>
            <w:tcW w:w="1559" w:type="dxa"/>
          </w:tcPr>
          <w:p>
            <w:pPr>
              <w:pStyle w:val="TableParagraph"/>
              <w:spacing w:before="1"/>
              <w:ind w:left="147"/>
              <w:jc w:val="left"/>
              <w:rPr>
                <w:b/>
                <w:sz w:val="21"/>
              </w:rPr>
            </w:pPr>
            <w:r>
              <w:rPr>
                <w:rFonts w:ascii="Times New Roman" w:eastAsia="Times New Roman"/>
                <w:b/>
                <w:sz w:val="21"/>
              </w:rPr>
              <w:t>6#</w:t>
            </w:r>
            <w:r>
              <w:rPr>
                <w:b/>
                <w:sz w:val="21"/>
              </w:rPr>
              <w:t>厂区东面围</w:t>
            </w:r>
          </w:p>
          <w:p>
            <w:pPr>
              <w:pStyle w:val="TableParagraph"/>
              <w:spacing w:line="250" w:lineRule="exact" w:before="5"/>
              <w:ind w:left="219"/>
              <w:jc w:val="left"/>
              <w:rPr>
                <w:b/>
                <w:sz w:val="21"/>
              </w:rPr>
            </w:pPr>
            <w:r>
              <w:rPr>
                <w:b/>
                <w:sz w:val="21"/>
              </w:rPr>
              <w:t>墙外 </w:t>
            </w:r>
            <w:r>
              <w:rPr>
                <w:rFonts w:ascii="Times New Roman" w:eastAsia="Times New Roman"/>
                <w:b/>
                <w:sz w:val="21"/>
              </w:rPr>
              <w:t>20m </w:t>
            </w:r>
            <w:r>
              <w:rPr>
                <w:b/>
                <w:sz w:val="21"/>
              </w:rPr>
              <w:t>处</w:t>
            </w:r>
          </w:p>
        </w:tc>
        <w:tc>
          <w:tcPr>
            <w:tcW w:w="1276" w:type="dxa"/>
            <w:vMerge w:val="restart"/>
          </w:tcPr>
          <w:p>
            <w:pPr>
              <w:pStyle w:val="TableParagraph"/>
              <w:spacing w:line="244" w:lineRule="auto" w:before="148"/>
              <w:ind w:left="112" w:right="100"/>
              <w:jc w:val="left"/>
              <w:rPr>
                <w:b/>
                <w:sz w:val="21"/>
              </w:rPr>
            </w:pPr>
            <w:r>
              <w:rPr>
                <w:b/>
                <w:sz w:val="21"/>
              </w:rPr>
              <w:t>第二类用地筛选值标准</w:t>
            </w:r>
          </w:p>
        </w:tc>
        <w:tc>
          <w:tcPr>
            <w:tcW w:w="872" w:type="dxa"/>
            <w:vMerge w:val="restart"/>
          </w:tcPr>
          <w:p>
            <w:pPr>
              <w:pStyle w:val="TableParagraph"/>
              <w:spacing w:line="244" w:lineRule="auto" w:before="148"/>
              <w:ind w:left="334" w:right="107" w:hanging="212"/>
              <w:jc w:val="left"/>
              <w:rPr>
                <w:b/>
                <w:sz w:val="21"/>
              </w:rPr>
            </w:pPr>
            <w:r>
              <w:rPr>
                <w:b/>
                <w:sz w:val="21"/>
              </w:rPr>
              <w:t>达标情况</w:t>
            </w:r>
          </w:p>
        </w:tc>
      </w:tr>
      <w:tr>
        <w:trPr>
          <w:trHeight w:val="290" w:hRule="atLeast"/>
        </w:trPr>
        <w:tc>
          <w:tcPr>
            <w:tcW w:w="2847" w:type="dxa"/>
            <w:vMerge/>
            <w:tcBorders>
              <w:top w:val="nil"/>
            </w:tcBorders>
          </w:tcPr>
          <w:p>
            <w:pPr>
              <w:rPr>
                <w:sz w:val="2"/>
                <w:szCs w:val="2"/>
              </w:rPr>
            </w:pPr>
          </w:p>
        </w:tc>
        <w:tc>
          <w:tcPr>
            <w:tcW w:w="1286" w:type="dxa"/>
          </w:tcPr>
          <w:p>
            <w:pPr>
              <w:pStyle w:val="TableParagraph"/>
              <w:spacing w:before="27"/>
              <w:ind w:left="335"/>
              <w:jc w:val="left"/>
              <w:rPr>
                <w:rFonts w:ascii="Times New Roman"/>
                <w:b/>
                <w:sz w:val="21"/>
              </w:rPr>
            </w:pPr>
            <w:r>
              <w:rPr>
                <w:rFonts w:ascii="Times New Roman"/>
                <w:b/>
                <w:sz w:val="21"/>
              </w:rPr>
              <w:t>0-0.2m</w:t>
            </w:r>
          </w:p>
        </w:tc>
        <w:tc>
          <w:tcPr>
            <w:tcW w:w="1502" w:type="dxa"/>
          </w:tcPr>
          <w:p>
            <w:pPr>
              <w:pStyle w:val="TableParagraph"/>
              <w:spacing w:before="27"/>
              <w:ind w:left="424" w:right="420"/>
              <w:rPr>
                <w:rFonts w:ascii="Times New Roman"/>
                <w:b/>
                <w:sz w:val="21"/>
              </w:rPr>
            </w:pPr>
            <w:r>
              <w:rPr>
                <w:rFonts w:ascii="Times New Roman"/>
                <w:b/>
                <w:sz w:val="21"/>
              </w:rPr>
              <w:t>0-0.2m</w:t>
            </w:r>
          </w:p>
        </w:tc>
        <w:tc>
          <w:tcPr>
            <w:tcW w:w="1559" w:type="dxa"/>
          </w:tcPr>
          <w:p>
            <w:pPr>
              <w:pStyle w:val="TableParagraph"/>
              <w:spacing w:before="27"/>
              <w:ind w:left="337" w:right="331"/>
              <w:rPr>
                <w:rFonts w:ascii="Times New Roman"/>
                <w:b/>
                <w:sz w:val="21"/>
              </w:rPr>
            </w:pPr>
            <w:r>
              <w:rPr>
                <w:rFonts w:ascii="Times New Roman"/>
                <w:b/>
                <w:sz w:val="21"/>
              </w:rPr>
              <w:t>0-0.2m</w:t>
            </w:r>
          </w:p>
        </w:tc>
        <w:tc>
          <w:tcPr>
            <w:tcW w:w="1276" w:type="dxa"/>
            <w:vMerge/>
            <w:tcBorders>
              <w:top w:val="nil"/>
            </w:tcBorders>
          </w:tcPr>
          <w:p>
            <w:pPr>
              <w:rPr>
                <w:sz w:val="2"/>
                <w:szCs w:val="2"/>
              </w:rPr>
            </w:pPr>
          </w:p>
        </w:tc>
        <w:tc>
          <w:tcPr>
            <w:tcW w:w="872" w:type="dxa"/>
            <w:vMerge/>
            <w:tcBorders>
              <w:top w:val="nil"/>
            </w:tcBorders>
          </w:tcPr>
          <w:p>
            <w:pPr>
              <w:rPr>
                <w:sz w:val="2"/>
                <w:szCs w:val="2"/>
              </w:rPr>
            </w:pPr>
          </w:p>
        </w:tc>
      </w:tr>
      <w:tr>
        <w:trPr>
          <w:trHeight w:val="282" w:hRule="atLeast"/>
        </w:trPr>
        <w:tc>
          <w:tcPr>
            <w:tcW w:w="2847" w:type="dxa"/>
          </w:tcPr>
          <w:p>
            <w:pPr>
              <w:pStyle w:val="TableParagraph"/>
              <w:spacing w:line="257" w:lineRule="exact" w:before="6"/>
              <w:ind w:left="209" w:right="203"/>
              <w:rPr>
                <w:rFonts w:ascii="Times New Roman" w:eastAsia="Times New Roman"/>
                <w:sz w:val="21"/>
              </w:rPr>
            </w:pPr>
            <w:r>
              <w:rPr>
                <w:sz w:val="21"/>
              </w:rPr>
              <w:t>苯胺 </w:t>
            </w:r>
            <w:r>
              <w:rPr>
                <w:rFonts w:ascii="Times New Roman" w:eastAsia="Times New Roman"/>
                <w:sz w:val="21"/>
              </w:rPr>
              <w:t>mg/kg</w:t>
            </w:r>
          </w:p>
        </w:tc>
        <w:tc>
          <w:tcPr>
            <w:tcW w:w="1286" w:type="dxa"/>
          </w:tcPr>
          <w:p>
            <w:pPr>
              <w:pStyle w:val="TableParagraph"/>
              <w:spacing w:before="20"/>
              <w:ind w:left="400"/>
              <w:jc w:val="left"/>
              <w:rPr>
                <w:rFonts w:ascii="Times New Roman"/>
                <w:sz w:val="21"/>
              </w:rPr>
            </w:pPr>
            <w:r>
              <w:rPr>
                <w:rFonts w:ascii="Times New Roman"/>
                <w:sz w:val="21"/>
              </w:rPr>
              <w:t>&lt;0.01</w:t>
            </w:r>
          </w:p>
        </w:tc>
        <w:tc>
          <w:tcPr>
            <w:tcW w:w="1502" w:type="dxa"/>
          </w:tcPr>
          <w:p>
            <w:pPr>
              <w:pStyle w:val="TableParagraph"/>
              <w:spacing w:before="20"/>
              <w:ind w:left="424" w:right="416"/>
              <w:rPr>
                <w:rFonts w:ascii="Times New Roman"/>
                <w:sz w:val="21"/>
              </w:rPr>
            </w:pPr>
            <w:r>
              <w:rPr>
                <w:rFonts w:ascii="Times New Roman"/>
                <w:sz w:val="21"/>
              </w:rPr>
              <w:t>&lt;0.01</w:t>
            </w:r>
          </w:p>
        </w:tc>
        <w:tc>
          <w:tcPr>
            <w:tcW w:w="1559" w:type="dxa"/>
          </w:tcPr>
          <w:p>
            <w:pPr>
              <w:pStyle w:val="TableParagraph"/>
              <w:spacing w:before="20"/>
              <w:ind w:left="338" w:right="328"/>
              <w:rPr>
                <w:rFonts w:ascii="Times New Roman"/>
                <w:sz w:val="21"/>
              </w:rPr>
            </w:pPr>
            <w:r>
              <w:rPr>
                <w:rFonts w:ascii="Times New Roman"/>
                <w:sz w:val="21"/>
              </w:rPr>
              <w:t>&lt;0.01</w:t>
            </w:r>
          </w:p>
        </w:tc>
        <w:tc>
          <w:tcPr>
            <w:tcW w:w="1276" w:type="dxa"/>
          </w:tcPr>
          <w:p>
            <w:pPr>
              <w:pStyle w:val="TableParagraph"/>
              <w:spacing w:before="20"/>
              <w:ind w:left="9"/>
              <w:rPr>
                <w:rFonts w:ascii="Times New Roman"/>
                <w:sz w:val="21"/>
              </w:rPr>
            </w:pPr>
            <w:r>
              <w:rPr>
                <w:rFonts w:ascii="Times New Roman"/>
                <w:sz w:val="21"/>
              </w:rPr>
              <w:t>260</w:t>
            </w:r>
          </w:p>
        </w:tc>
        <w:tc>
          <w:tcPr>
            <w:tcW w:w="872" w:type="dxa"/>
          </w:tcPr>
          <w:p>
            <w:pPr>
              <w:pStyle w:val="TableParagraph"/>
              <w:spacing w:line="257" w:lineRule="exact" w:before="6"/>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eastAsia="Times New Roman"/>
                <w:sz w:val="21"/>
              </w:rPr>
            </w:pPr>
            <w:r>
              <w:rPr>
                <w:rFonts w:ascii="Times New Roman" w:eastAsia="Times New Roman"/>
                <w:sz w:val="21"/>
              </w:rPr>
              <w:t>2-</w:t>
            </w:r>
            <w:r>
              <w:rPr>
                <w:sz w:val="21"/>
              </w:rPr>
              <w:t>氯苯酚 </w:t>
            </w:r>
            <w:r>
              <w:rPr>
                <w:rFonts w:ascii="Times New Roman" w:eastAsia="Times New Roman"/>
                <w:sz w:val="21"/>
              </w:rPr>
              <w:t>mg/kg</w:t>
            </w:r>
          </w:p>
        </w:tc>
        <w:tc>
          <w:tcPr>
            <w:tcW w:w="1286" w:type="dxa"/>
          </w:tcPr>
          <w:p>
            <w:pPr>
              <w:pStyle w:val="TableParagraph"/>
              <w:spacing w:line="241" w:lineRule="exact" w:before="22"/>
              <w:ind w:left="400"/>
              <w:jc w:val="left"/>
              <w:rPr>
                <w:rFonts w:ascii="Times New Roman"/>
                <w:sz w:val="21"/>
              </w:rPr>
            </w:pPr>
            <w:r>
              <w:rPr>
                <w:rFonts w:ascii="Times New Roman"/>
                <w:sz w:val="21"/>
              </w:rPr>
              <w:t>&lt;0.06</w:t>
            </w:r>
          </w:p>
        </w:tc>
        <w:tc>
          <w:tcPr>
            <w:tcW w:w="1502" w:type="dxa"/>
          </w:tcPr>
          <w:p>
            <w:pPr>
              <w:pStyle w:val="TableParagraph"/>
              <w:spacing w:line="241" w:lineRule="exact" w:before="22"/>
              <w:ind w:left="424" w:right="416"/>
              <w:rPr>
                <w:rFonts w:ascii="Times New Roman"/>
                <w:sz w:val="21"/>
              </w:rPr>
            </w:pPr>
            <w:r>
              <w:rPr>
                <w:rFonts w:ascii="Times New Roman"/>
                <w:sz w:val="21"/>
              </w:rPr>
              <w:t>&lt;0.06</w:t>
            </w:r>
          </w:p>
        </w:tc>
        <w:tc>
          <w:tcPr>
            <w:tcW w:w="1559" w:type="dxa"/>
          </w:tcPr>
          <w:p>
            <w:pPr>
              <w:pStyle w:val="TableParagraph"/>
              <w:spacing w:line="241" w:lineRule="exact" w:before="22"/>
              <w:ind w:left="338" w:right="328"/>
              <w:rPr>
                <w:rFonts w:ascii="Times New Roman"/>
                <w:sz w:val="21"/>
              </w:rPr>
            </w:pPr>
            <w:r>
              <w:rPr>
                <w:rFonts w:ascii="Times New Roman"/>
                <w:sz w:val="21"/>
              </w:rPr>
              <w:t>&lt;0.06</w:t>
            </w:r>
          </w:p>
        </w:tc>
        <w:tc>
          <w:tcPr>
            <w:tcW w:w="1276" w:type="dxa"/>
          </w:tcPr>
          <w:p>
            <w:pPr>
              <w:pStyle w:val="TableParagraph"/>
              <w:spacing w:line="241" w:lineRule="exact" w:before="22"/>
              <w:ind w:left="9"/>
              <w:rPr>
                <w:rFonts w:ascii="Times New Roman"/>
                <w:sz w:val="21"/>
              </w:rPr>
            </w:pPr>
            <w:r>
              <w:rPr>
                <w:rFonts w:ascii="Times New Roman"/>
                <w:sz w:val="21"/>
              </w:rPr>
              <w:t>2256</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eastAsia="Times New Roman"/>
                <w:sz w:val="21"/>
              </w:rPr>
            </w:pPr>
            <w:r>
              <w:rPr>
                <w:sz w:val="21"/>
              </w:rPr>
              <w:t>苯并</w:t>
            </w:r>
            <w:r>
              <w:rPr>
                <w:rFonts w:ascii="Times New Roman" w:eastAsia="Times New Roman"/>
                <w:sz w:val="21"/>
              </w:rPr>
              <w:t>[a]</w:t>
            </w:r>
            <w:r>
              <w:rPr>
                <w:sz w:val="21"/>
              </w:rPr>
              <w:t>蒽 </w:t>
            </w:r>
            <w:r>
              <w:rPr>
                <w:rFonts w:ascii="Times New Roman" w:eastAsia="Times New Roman"/>
                <w:sz w:val="21"/>
              </w:rPr>
              <w:t>mg/kg</w:t>
            </w:r>
          </w:p>
        </w:tc>
        <w:tc>
          <w:tcPr>
            <w:tcW w:w="1286" w:type="dxa"/>
          </w:tcPr>
          <w:p>
            <w:pPr>
              <w:pStyle w:val="TableParagraph"/>
              <w:spacing w:before="22"/>
              <w:ind w:left="94" w:right="90"/>
              <w:rPr>
                <w:rFonts w:ascii="Times New Roman"/>
                <w:sz w:val="21"/>
              </w:rPr>
            </w:pPr>
            <w:r>
              <w:rPr>
                <w:rFonts w:ascii="Times New Roman"/>
                <w:sz w:val="21"/>
              </w:rPr>
              <w:t>&lt;0.1</w:t>
            </w:r>
          </w:p>
        </w:tc>
        <w:tc>
          <w:tcPr>
            <w:tcW w:w="1502" w:type="dxa"/>
          </w:tcPr>
          <w:p>
            <w:pPr>
              <w:pStyle w:val="TableParagraph"/>
              <w:spacing w:before="22"/>
              <w:ind w:left="424" w:right="419"/>
              <w:rPr>
                <w:rFonts w:ascii="Times New Roman"/>
                <w:sz w:val="21"/>
              </w:rPr>
            </w:pPr>
            <w:r>
              <w:rPr>
                <w:rFonts w:ascii="Times New Roman"/>
                <w:sz w:val="21"/>
              </w:rPr>
              <w:t>&lt;0.1</w:t>
            </w:r>
          </w:p>
        </w:tc>
        <w:tc>
          <w:tcPr>
            <w:tcW w:w="1559" w:type="dxa"/>
          </w:tcPr>
          <w:p>
            <w:pPr>
              <w:pStyle w:val="TableParagraph"/>
              <w:spacing w:before="22"/>
              <w:ind w:left="338" w:right="331"/>
              <w:rPr>
                <w:rFonts w:ascii="Times New Roman"/>
                <w:sz w:val="21"/>
              </w:rPr>
            </w:pPr>
            <w:r>
              <w:rPr>
                <w:rFonts w:ascii="Times New Roman"/>
                <w:sz w:val="21"/>
              </w:rPr>
              <w:t>&lt;0.1</w:t>
            </w:r>
          </w:p>
        </w:tc>
        <w:tc>
          <w:tcPr>
            <w:tcW w:w="1276" w:type="dxa"/>
          </w:tcPr>
          <w:p>
            <w:pPr>
              <w:pStyle w:val="TableParagraph"/>
              <w:spacing w:before="22"/>
              <w:ind w:left="9"/>
              <w:rPr>
                <w:rFonts w:ascii="Times New Roman"/>
                <w:sz w:val="21"/>
              </w:rPr>
            </w:pPr>
            <w:r>
              <w:rPr>
                <w:rFonts w:ascii="Times New Roman"/>
                <w:sz w:val="21"/>
              </w:rPr>
              <w:t>15</w:t>
            </w:r>
          </w:p>
        </w:tc>
        <w:tc>
          <w:tcPr>
            <w:tcW w:w="872" w:type="dxa"/>
          </w:tcPr>
          <w:p>
            <w:pPr>
              <w:pStyle w:val="TableParagraph"/>
              <w:spacing w:line="257" w:lineRule="exact" w:before="8"/>
              <w:ind w:left="210" w:right="197"/>
              <w:rPr>
                <w:sz w:val="21"/>
              </w:rPr>
            </w:pPr>
            <w:r>
              <w:rPr>
                <w:sz w:val="21"/>
              </w:rPr>
              <w:t>达标</w:t>
            </w:r>
          </w:p>
        </w:tc>
      </w:tr>
      <w:tr>
        <w:trPr>
          <w:trHeight w:val="283" w:hRule="atLeast"/>
        </w:trPr>
        <w:tc>
          <w:tcPr>
            <w:tcW w:w="2847" w:type="dxa"/>
          </w:tcPr>
          <w:p>
            <w:pPr>
              <w:pStyle w:val="TableParagraph"/>
              <w:spacing w:line="257" w:lineRule="exact" w:before="6"/>
              <w:ind w:left="207" w:right="203"/>
              <w:rPr>
                <w:rFonts w:ascii="Times New Roman" w:eastAsia="Times New Roman"/>
                <w:sz w:val="21"/>
              </w:rPr>
            </w:pPr>
            <w:r>
              <w:rPr>
                <w:sz w:val="21"/>
              </w:rPr>
              <w:t>苯并</w:t>
            </w:r>
            <w:r>
              <w:rPr>
                <w:rFonts w:ascii="Times New Roman" w:eastAsia="Times New Roman"/>
                <w:sz w:val="21"/>
              </w:rPr>
              <w:t>[a]</w:t>
            </w:r>
            <w:r>
              <w:rPr>
                <w:sz w:val="21"/>
              </w:rPr>
              <w:t>芘 </w:t>
            </w:r>
            <w:r>
              <w:rPr>
                <w:rFonts w:ascii="Times New Roman" w:eastAsia="Times New Roman"/>
                <w:sz w:val="21"/>
              </w:rPr>
              <w:t>mg/kg</w:t>
            </w:r>
          </w:p>
        </w:tc>
        <w:tc>
          <w:tcPr>
            <w:tcW w:w="1286" w:type="dxa"/>
          </w:tcPr>
          <w:p>
            <w:pPr>
              <w:pStyle w:val="TableParagraph"/>
              <w:spacing w:before="20"/>
              <w:ind w:left="94" w:right="90"/>
              <w:rPr>
                <w:rFonts w:ascii="Times New Roman"/>
                <w:sz w:val="21"/>
              </w:rPr>
            </w:pPr>
            <w:r>
              <w:rPr>
                <w:rFonts w:ascii="Times New Roman"/>
                <w:sz w:val="21"/>
              </w:rPr>
              <w:t>&lt;0.1</w:t>
            </w:r>
          </w:p>
        </w:tc>
        <w:tc>
          <w:tcPr>
            <w:tcW w:w="1502" w:type="dxa"/>
          </w:tcPr>
          <w:p>
            <w:pPr>
              <w:pStyle w:val="TableParagraph"/>
              <w:spacing w:before="20"/>
              <w:ind w:left="424" w:right="419"/>
              <w:rPr>
                <w:rFonts w:ascii="Times New Roman"/>
                <w:sz w:val="21"/>
              </w:rPr>
            </w:pPr>
            <w:r>
              <w:rPr>
                <w:rFonts w:ascii="Times New Roman"/>
                <w:sz w:val="21"/>
              </w:rPr>
              <w:t>&lt;0.1</w:t>
            </w:r>
          </w:p>
        </w:tc>
        <w:tc>
          <w:tcPr>
            <w:tcW w:w="1559" w:type="dxa"/>
          </w:tcPr>
          <w:p>
            <w:pPr>
              <w:pStyle w:val="TableParagraph"/>
              <w:spacing w:before="20"/>
              <w:ind w:left="338" w:right="331"/>
              <w:rPr>
                <w:rFonts w:ascii="Times New Roman"/>
                <w:sz w:val="21"/>
              </w:rPr>
            </w:pPr>
            <w:r>
              <w:rPr>
                <w:rFonts w:ascii="Times New Roman"/>
                <w:sz w:val="21"/>
              </w:rPr>
              <w:t>&lt;0.1</w:t>
            </w:r>
          </w:p>
        </w:tc>
        <w:tc>
          <w:tcPr>
            <w:tcW w:w="1276" w:type="dxa"/>
          </w:tcPr>
          <w:p>
            <w:pPr>
              <w:pStyle w:val="TableParagraph"/>
              <w:spacing w:before="20"/>
              <w:ind w:left="9"/>
              <w:rPr>
                <w:rFonts w:ascii="Times New Roman"/>
                <w:sz w:val="21"/>
              </w:rPr>
            </w:pPr>
            <w:r>
              <w:rPr>
                <w:rFonts w:ascii="Times New Roman"/>
                <w:sz w:val="21"/>
              </w:rPr>
              <w:t>1.5</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eastAsia="Times New Roman"/>
                <w:sz w:val="21"/>
              </w:rPr>
            </w:pPr>
            <w:r>
              <w:rPr>
                <w:sz w:val="21"/>
              </w:rPr>
              <w:t>苯并</w:t>
            </w:r>
            <w:r>
              <w:rPr>
                <w:rFonts w:ascii="Times New Roman" w:eastAsia="Times New Roman"/>
                <w:sz w:val="21"/>
              </w:rPr>
              <w:t>[b]</w:t>
            </w:r>
            <w:r>
              <w:rPr>
                <w:sz w:val="21"/>
              </w:rPr>
              <w:t>荧蒽 </w:t>
            </w:r>
            <w:r>
              <w:rPr>
                <w:rFonts w:ascii="Times New Roman" w:eastAsia="Times New Roman"/>
                <w:sz w:val="21"/>
              </w:rPr>
              <w:t>mg/kg</w:t>
            </w:r>
          </w:p>
        </w:tc>
        <w:tc>
          <w:tcPr>
            <w:tcW w:w="1286" w:type="dxa"/>
          </w:tcPr>
          <w:p>
            <w:pPr>
              <w:pStyle w:val="TableParagraph"/>
              <w:spacing w:before="22"/>
              <w:ind w:left="94" w:right="90"/>
              <w:rPr>
                <w:rFonts w:ascii="Times New Roman"/>
                <w:sz w:val="21"/>
              </w:rPr>
            </w:pPr>
            <w:r>
              <w:rPr>
                <w:rFonts w:ascii="Times New Roman"/>
                <w:sz w:val="21"/>
              </w:rPr>
              <w:t>&lt;0.2</w:t>
            </w:r>
          </w:p>
        </w:tc>
        <w:tc>
          <w:tcPr>
            <w:tcW w:w="1502" w:type="dxa"/>
          </w:tcPr>
          <w:p>
            <w:pPr>
              <w:pStyle w:val="TableParagraph"/>
              <w:spacing w:before="22"/>
              <w:ind w:left="424" w:right="419"/>
              <w:rPr>
                <w:rFonts w:ascii="Times New Roman"/>
                <w:sz w:val="21"/>
              </w:rPr>
            </w:pPr>
            <w:r>
              <w:rPr>
                <w:rFonts w:ascii="Times New Roman"/>
                <w:sz w:val="21"/>
              </w:rPr>
              <w:t>&lt;0.2</w:t>
            </w:r>
          </w:p>
        </w:tc>
        <w:tc>
          <w:tcPr>
            <w:tcW w:w="1559" w:type="dxa"/>
          </w:tcPr>
          <w:p>
            <w:pPr>
              <w:pStyle w:val="TableParagraph"/>
              <w:spacing w:before="22"/>
              <w:ind w:left="338" w:right="331"/>
              <w:rPr>
                <w:rFonts w:ascii="Times New Roman"/>
                <w:sz w:val="21"/>
              </w:rPr>
            </w:pPr>
            <w:r>
              <w:rPr>
                <w:rFonts w:ascii="Times New Roman"/>
                <w:sz w:val="21"/>
              </w:rPr>
              <w:t>&lt;0.2</w:t>
            </w:r>
          </w:p>
        </w:tc>
        <w:tc>
          <w:tcPr>
            <w:tcW w:w="1276" w:type="dxa"/>
          </w:tcPr>
          <w:p>
            <w:pPr>
              <w:pStyle w:val="TableParagraph"/>
              <w:spacing w:before="22"/>
              <w:ind w:left="9"/>
              <w:rPr>
                <w:rFonts w:ascii="Times New Roman"/>
                <w:sz w:val="21"/>
              </w:rPr>
            </w:pPr>
            <w:r>
              <w:rPr>
                <w:rFonts w:ascii="Times New Roman"/>
                <w:sz w:val="21"/>
              </w:rPr>
              <w:t>15</w:t>
            </w:r>
          </w:p>
        </w:tc>
        <w:tc>
          <w:tcPr>
            <w:tcW w:w="872" w:type="dxa"/>
          </w:tcPr>
          <w:p>
            <w:pPr>
              <w:pStyle w:val="TableParagraph"/>
              <w:spacing w:line="257" w:lineRule="exact" w:before="8"/>
              <w:ind w:left="210" w:right="197"/>
              <w:rPr>
                <w:sz w:val="21"/>
              </w:rPr>
            </w:pPr>
            <w:r>
              <w:rPr>
                <w:sz w:val="21"/>
              </w:rPr>
              <w:t>达标</w:t>
            </w:r>
          </w:p>
        </w:tc>
      </w:tr>
      <w:tr>
        <w:trPr>
          <w:trHeight w:val="283" w:hRule="atLeast"/>
        </w:trPr>
        <w:tc>
          <w:tcPr>
            <w:tcW w:w="2847" w:type="dxa"/>
          </w:tcPr>
          <w:p>
            <w:pPr>
              <w:pStyle w:val="TableParagraph"/>
              <w:spacing w:line="257" w:lineRule="exact" w:before="6"/>
              <w:ind w:left="207" w:right="203"/>
              <w:rPr>
                <w:rFonts w:ascii="Times New Roman" w:eastAsia="Times New Roman"/>
                <w:sz w:val="21"/>
              </w:rPr>
            </w:pPr>
            <w:r>
              <w:rPr>
                <w:sz w:val="21"/>
              </w:rPr>
              <w:t>苯并</w:t>
            </w:r>
            <w:r>
              <w:rPr>
                <w:rFonts w:ascii="Times New Roman" w:eastAsia="Times New Roman"/>
                <w:sz w:val="21"/>
              </w:rPr>
              <w:t>[k]</w:t>
            </w:r>
            <w:r>
              <w:rPr>
                <w:sz w:val="21"/>
              </w:rPr>
              <w:t>荧蒽 </w:t>
            </w:r>
            <w:r>
              <w:rPr>
                <w:rFonts w:ascii="Times New Roman" w:eastAsia="Times New Roman"/>
                <w:sz w:val="21"/>
              </w:rPr>
              <w:t>mg/kg</w:t>
            </w:r>
          </w:p>
        </w:tc>
        <w:tc>
          <w:tcPr>
            <w:tcW w:w="1286" w:type="dxa"/>
          </w:tcPr>
          <w:p>
            <w:pPr>
              <w:pStyle w:val="TableParagraph"/>
              <w:spacing w:before="20"/>
              <w:ind w:left="94" w:right="90"/>
              <w:rPr>
                <w:rFonts w:ascii="Times New Roman"/>
                <w:sz w:val="21"/>
              </w:rPr>
            </w:pPr>
            <w:r>
              <w:rPr>
                <w:rFonts w:ascii="Times New Roman"/>
                <w:sz w:val="21"/>
              </w:rPr>
              <w:t>&lt;0.1</w:t>
            </w:r>
          </w:p>
        </w:tc>
        <w:tc>
          <w:tcPr>
            <w:tcW w:w="1502" w:type="dxa"/>
          </w:tcPr>
          <w:p>
            <w:pPr>
              <w:pStyle w:val="TableParagraph"/>
              <w:spacing w:before="20"/>
              <w:ind w:left="424" w:right="419"/>
              <w:rPr>
                <w:rFonts w:ascii="Times New Roman"/>
                <w:sz w:val="21"/>
              </w:rPr>
            </w:pPr>
            <w:r>
              <w:rPr>
                <w:rFonts w:ascii="Times New Roman"/>
                <w:sz w:val="21"/>
              </w:rPr>
              <w:t>&lt;0.1</w:t>
            </w:r>
          </w:p>
        </w:tc>
        <w:tc>
          <w:tcPr>
            <w:tcW w:w="1559" w:type="dxa"/>
          </w:tcPr>
          <w:p>
            <w:pPr>
              <w:pStyle w:val="TableParagraph"/>
              <w:spacing w:before="20"/>
              <w:ind w:left="338" w:right="331"/>
              <w:rPr>
                <w:rFonts w:ascii="Times New Roman"/>
                <w:sz w:val="21"/>
              </w:rPr>
            </w:pPr>
            <w:r>
              <w:rPr>
                <w:rFonts w:ascii="Times New Roman"/>
                <w:sz w:val="21"/>
              </w:rPr>
              <w:t>&lt;0.1</w:t>
            </w:r>
          </w:p>
        </w:tc>
        <w:tc>
          <w:tcPr>
            <w:tcW w:w="1276" w:type="dxa"/>
          </w:tcPr>
          <w:p>
            <w:pPr>
              <w:pStyle w:val="TableParagraph"/>
              <w:spacing w:before="20"/>
              <w:ind w:left="9"/>
              <w:rPr>
                <w:rFonts w:ascii="Times New Roman"/>
                <w:sz w:val="21"/>
              </w:rPr>
            </w:pPr>
            <w:r>
              <w:rPr>
                <w:rFonts w:ascii="Times New Roman"/>
                <w:sz w:val="21"/>
              </w:rPr>
              <w:t>151</w:t>
            </w:r>
          </w:p>
        </w:tc>
        <w:tc>
          <w:tcPr>
            <w:tcW w:w="872" w:type="dxa"/>
          </w:tcPr>
          <w:p>
            <w:pPr>
              <w:pStyle w:val="TableParagraph"/>
              <w:spacing w:line="257" w:lineRule="exact" w:before="6"/>
              <w:ind w:left="210" w:right="197"/>
              <w:rPr>
                <w:sz w:val="21"/>
              </w:rPr>
            </w:pPr>
            <w:r>
              <w:rPr>
                <w:sz w:val="21"/>
              </w:rPr>
              <w:t>达标</w:t>
            </w:r>
          </w:p>
        </w:tc>
      </w:tr>
      <w:tr>
        <w:trPr>
          <w:trHeight w:val="282" w:hRule="atLeast"/>
        </w:trPr>
        <w:tc>
          <w:tcPr>
            <w:tcW w:w="2847" w:type="dxa"/>
          </w:tcPr>
          <w:p>
            <w:pPr>
              <w:pStyle w:val="TableParagraph"/>
              <w:spacing w:line="255" w:lineRule="exact" w:before="8"/>
              <w:ind w:left="207" w:right="203"/>
              <w:rPr>
                <w:rFonts w:ascii="Times New Roman" w:eastAsia="Times New Roman"/>
                <w:sz w:val="21"/>
              </w:rPr>
            </w:pPr>
            <w:r>
              <w:rPr>
                <w:sz w:val="21"/>
              </w:rPr>
              <w:t>䓛 </w:t>
            </w:r>
            <w:r>
              <w:rPr>
                <w:rFonts w:ascii="Times New Roman" w:eastAsia="Times New Roman"/>
                <w:sz w:val="21"/>
              </w:rPr>
              <w:t>mg/kg</w:t>
            </w:r>
          </w:p>
        </w:tc>
        <w:tc>
          <w:tcPr>
            <w:tcW w:w="1286" w:type="dxa"/>
          </w:tcPr>
          <w:p>
            <w:pPr>
              <w:pStyle w:val="TableParagraph"/>
              <w:spacing w:line="241" w:lineRule="exact" w:before="22"/>
              <w:ind w:left="94" w:right="90"/>
              <w:rPr>
                <w:rFonts w:ascii="Times New Roman"/>
                <w:sz w:val="21"/>
              </w:rPr>
            </w:pPr>
            <w:r>
              <w:rPr>
                <w:rFonts w:ascii="Times New Roman"/>
                <w:sz w:val="21"/>
              </w:rPr>
              <w:t>&lt;0.1</w:t>
            </w:r>
          </w:p>
        </w:tc>
        <w:tc>
          <w:tcPr>
            <w:tcW w:w="1502" w:type="dxa"/>
          </w:tcPr>
          <w:p>
            <w:pPr>
              <w:pStyle w:val="TableParagraph"/>
              <w:spacing w:line="241" w:lineRule="exact" w:before="22"/>
              <w:ind w:left="424" w:right="419"/>
              <w:rPr>
                <w:rFonts w:ascii="Times New Roman"/>
                <w:sz w:val="21"/>
              </w:rPr>
            </w:pPr>
            <w:r>
              <w:rPr>
                <w:rFonts w:ascii="Times New Roman"/>
                <w:sz w:val="21"/>
              </w:rPr>
              <w:t>&lt;0.1</w:t>
            </w:r>
          </w:p>
        </w:tc>
        <w:tc>
          <w:tcPr>
            <w:tcW w:w="1559" w:type="dxa"/>
          </w:tcPr>
          <w:p>
            <w:pPr>
              <w:pStyle w:val="TableParagraph"/>
              <w:spacing w:line="241" w:lineRule="exact" w:before="22"/>
              <w:ind w:left="338" w:right="331"/>
              <w:rPr>
                <w:rFonts w:ascii="Times New Roman"/>
                <w:sz w:val="21"/>
              </w:rPr>
            </w:pPr>
            <w:r>
              <w:rPr>
                <w:rFonts w:ascii="Times New Roman"/>
                <w:sz w:val="21"/>
              </w:rPr>
              <w:t>&lt;0.1</w:t>
            </w:r>
          </w:p>
        </w:tc>
        <w:tc>
          <w:tcPr>
            <w:tcW w:w="1276" w:type="dxa"/>
          </w:tcPr>
          <w:p>
            <w:pPr>
              <w:pStyle w:val="TableParagraph"/>
              <w:spacing w:line="241" w:lineRule="exact" w:before="22"/>
              <w:ind w:left="9"/>
              <w:rPr>
                <w:rFonts w:ascii="Times New Roman"/>
                <w:sz w:val="21"/>
              </w:rPr>
            </w:pPr>
            <w:r>
              <w:rPr>
                <w:rFonts w:ascii="Times New Roman"/>
                <w:sz w:val="21"/>
              </w:rPr>
              <w:t>1293</w:t>
            </w:r>
          </w:p>
        </w:tc>
        <w:tc>
          <w:tcPr>
            <w:tcW w:w="872" w:type="dxa"/>
          </w:tcPr>
          <w:p>
            <w:pPr>
              <w:pStyle w:val="TableParagraph"/>
              <w:spacing w:line="255" w:lineRule="exact" w:before="8"/>
              <w:ind w:left="210" w:right="197"/>
              <w:rPr>
                <w:sz w:val="21"/>
              </w:rPr>
            </w:pPr>
            <w:r>
              <w:rPr>
                <w:sz w:val="21"/>
              </w:rPr>
              <w:t>达标</w:t>
            </w:r>
          </w:p>
        </w:tc>
      </w:tr>
      <w:tr>
        <w:trPr>
          <w:trHeight w:val="285" w:hRule="atLeast"/>
        </w:trPr>
        <w:tc>
          <w:tcPr>
            <w:tcW w:w="2847" w:type="dxa"/>
          </w:tcPr>
          <w:p>
            <w:pPr>
              <w:pStyle w:val="TableParagraph"/>
              <w:spacing w:line="257" w:lineRule="exact" w:before="8"/>
              <w:ind w:left="209" w:right="203"/>
              <w:rPr>
                <w:rFonts w:ascii="Times New Roman" w:eastAsia="Times New Roman"/>
                <w:sz w:val="21"/>
              </w:rPr>
            </w:pPr>
            <w:r>
              <w:rPr>
                <w:sz w:val="21"/>
              </w:rPr>
              <w:t>二苯并</w:t>
            </w:r>
            <w:r>
              <w:rPr>
                <w:rFonts w:ascii="Times New Roman" w:eastAsia="Times New Roman"/>
                <w:sz w:val="21"/>
              </w:rPr>
              <w:t>[a, h]</w:t>
            </w:r>
            <w:r>
              <w:rPr>
                <w:sz w:val="21"/>
              </w:rPr>
              <w:t>蒽 </w:t>
            </w:r>
            <w:r>
              <w:rPr>
                <w:rFonts w:ascii="Times New Roman" w:eastAsia="Times New Roman"/>
                <w:sz w:val="21"/>
              </w:rPr>
              <w:t>mg/kg</w:t>
            </w:r>
          </w:p>
        </w:tc>
        <w:tc>
          <w:tcPr>
            <w:tcW w:w="1286" w:type="dxa"/>
          </w:tcPr>
          <w:p>
            <w:pPr>
              <w:pStyle w:val="TableParagraph"/>
              <w:spacing w:before="22"/>
              <w:ind w:left="94" w:right="90"/>
              <w:rPr>
                <w:rFonts w:ascii="Times New Roman"/>
                <w:sz w:val="21"/>
              </w:rPr>
            </w:pPr>
            <w:r>
              <w:rPr>
                <w:rFonts w:ascii="Times New Roman"/>
                <w:sz w:val="21"/>
              </w:rPr>
              <w:t>&lt;0.1</w:t>
            </w:r>
          </w:p>
        </w:tc>
        <w:tc>
          <w:tcPr>
            <w:tcW w:w="1502" w:type="dxa"/>
          </w:tcPr>
          <w:p>
            <w:pPr>
              <w:pStyle w:val="TableParagraph"/>
              <w:spacing w:before="22"/>
              <w:ind w:left="424" w:right="419"/>
              <w:rPr>
                <w:rFonts w:ascii="Times New Roman"/>
                <w:sz w:val="21"/>
              </w:rPr>
            </w:pPr>
            <w:r>
              <w:rPr>
                <w:rFonts w:ascii="Times New Roman"/>
                <w:sz w:val="21"/>
              </w:rPr>
              <w:t>&lt;0.1</w:t>
            </w:r>
          </w:p>
        </w:tc>
        <w:tc>
          <w:tcPr>
            <w:tcW w:w="1559" w:type="dxa"/>
          </w:tcPr>
          <w:p>
            <w:pPr>
              <w:pStyle w:val="TableParagraph"/>
              <w:spacing w:before="22"/>
              <w:ind w:left="338" w:right="331"/>
              <w:rPr>
                <w:rFonts w:ascii="Times New Roman"/>
                <w:sz w:val="21"/>
              </w:rPr>
            </w:pPr>
            <w:r>
              <w:rPr>
                <w:rFonts w:ascii="Times New Roman"/>
                <w:sz w:val="21"/>
              </w:rPr>
              <w:t>&lt;0.1</w:t>
            </w:r>
          </w:p>
        </w:tc>
        <w:tc>
          <w:tcPr>
            <w:tcW w:w="1276" w:type="dxa"/>
          </w:tcPr>
          <w:p>
            <w:pPr>
              <w:pStyle w:val="TableParagraph"/>
              <w:spacing w:before="22"/>
              <w:ind w:left="9"/>
              <w:rPr>
                <w:rFonts w:ascii="Times New Roman"/>
                <w:sz w:val="21"/>
              </w:rPr>
            </w:pPr>
            <w:r>
              <w:rPr>
                <w:rFonts w:ascii="Times New Roman"/>
                <w:sz w:val="21"/>
              </w:rPr>
              <w:t>1.5</w:t>
            </w:r>
          </w:p>
        </w:tc>
        <w:tc>
          <w:tcPr>
            <w:tcW w:w="872" w:type="dxa"/>
          </w:tcPr>
          <w:p>
            <w:pPr>
              <w:pStyle w:val="TableParagraph"/>
              <w:spacing w:line="257" w:lineRule="exact" w:before="8"/>
              <w:ind w:left="210" w:right="197"/>
              <w:rPr>
                <w:sz w:val="21"/>
              </w:rPr>
            </w:pPr>
            <w:r>
              <w:rPr>
                <w:sz w:val="21"/>
              </w:rPr>
              <w:t>达标</w:t>
            </w:r>
          </w:p>
        </w:tc>
      </w:tr>
      <w:tr>
        <w:trPr>
          <w:trHeight w:val="282" w:hRule="atLeast"/>
        </w:trPr>
        <w:tc>
          <w:tcPr>
            <w:tcW w:w="2847" w:type="dxa"/>
          </w:tcPr>
          <w:p>
            <w:pPr>
              <w:pStyle w:val="TableParagraph"/>
              <w:spacing w:line="257" w:lineRule="exact" w:before="6"/>
              <w:ind w:left="207" w:right="203"/>
              <w:rPr>
                <w:rFonts w:ascii="Times New Roman" w:eastAsia="Times New Roman"/>
                <w:sz w:val="21"/>
              </w:rPr>
            </w:pPr>
            <w:r>
              <w:rPr>
                <w:sz w:val="21"/>
              </w:rPr>
              <w:t>茚并</w:t>
            </w:r>
            <w:r>
              <w:rPr>
                <w:rFonts w:ascii="Times New Roman" w:eastAsia="Times New Roman"/>
                <w:sz w:val="21"/>
              </w:rPr>
              <w:t>[1,2,3-cd]</w:t>
            </w:r>
            <w:r>
              <w:rPr>
                <w:sz w:val="21"/>
              </w:rPr>
              <w:t>芘 </w:t>
            </w:r>
            <w:r>
              <w:rPr>
                <w:rFonts w:ascii="Times New Roman" w:eastAsia="Times New Roman"/>
                <w:sz w:val="21"/>
              </w:rPr>
              <w:t>mg/kg</w:t>
            </w:r>
          </w:p>
        </w:tc>
        <w:tc>
          <w:tcPr>
            <w:tcW w:w="1286" w:type="dxa"/>
          </w:tcPr>
          <w:p>
            <w:pPr>
              <w:pStyle w:val="TableParagraph"/>
              <w:spacing w:before="20"/>
              <w:ind w:left="94" w:right="90"/>
              <w:rPr>
                <w:rFonts w:ascii="Times New Roman"/>
                <w:sz w:val="21"/>
              </w:rPr>
            </w:pPr>
            <w:r>
              <w:rPr>
                <w:rFonts w:ascii="Times New Roman"/>
                <w:sz w:val="21"/>
              </w:rPr>
              <w:t>&lt;0.1</w:t>
            </w:r>
          </w:p>
        </w:tc>
        <w:tc>
          <w:tcPr>
            <w:tcW w:w="1502" w:type="dxa"/>
          </w:tcPr>
          <w:p>
            <w:pPr>
              <w:pStyle w:val="TableParagraph"/>
              <w:spacing w:before="20"/>
              <w:ind w:left="424" w:right="419"/>
              <w:rPr>
                <w:rFonts w:ascii="Times New Roman"/>
                <w:sz w:val="21"/>
              </w:rPr>
            </w:pPr>
            <w:r>
              <w:rPr>
                <w:rFonts w:ascii="Times New Roman"/>
                <w:sz w:val="21"/>
              </w:rPr>
              <w:t>&lt;0.1</w:t>
            </w:r>
          </w:p>
        </w:tc>
        <w:tc>
          <w:tcPr>
            <w:tcW w:w="1559" w:type="dxa"/>
          </w:tcPr>
          <w:p>
            <w:pPr>
              <w:pStyle w:val="TableParagraph"/>
              <w:spacing w:before="20"/>
              <w:ind w:left="338" w:right="331"/>
              <w:rPr>
                <w:rFonts w:ascii="Times New Roman"/>
                <w:sz w:val="21"/>
              </w:rPr>
            </w:pPr>
            <w:r>
              <w:rPr>
                <w:rFonts w:ascii="Times New Roman"/>
                <w:sz w:val="21"/>
              </w:rPr>
              <w:t>&lt;0.1</w:t>
            </w:r>
          </w:p>
        </w:tc>
        <w:tc>
          <w:tcPr>
            <w:tcW w:w="1276" w:type="dxa"/>
          </w:tcPr>
          <w:p>
            <w:pPr>
              <w:pStyle w:val="TableParagraph"/>
              <w:spacing w:before="20"/>
              <w:ind w:left="9"/>
              <w:rPr>
                <w:rFonts w:ascii="Times New Roman"/>
                <w:sz w:val="21"/>
              </w:rPr>
            </w:pPr>
            <w:r>
              <w:rPr>
                <w:rFonts w:ascii="Times New Roman"/>
                <w:sz w:val="21"/>
              </w:rPr>
              <w:t>15</w:t>
            </w:r>
          </w:p>
        </w:tc>
        <w:tc>
          <w:tcPr>
            <w:tcW w:w="872" w:type="dxa"/>
          </w:tcPr>
          <w:p>
            <w:pPr>
              <w:pStyle w:val="TableParagraph"/>
              <w:spacing w:line="257" w:lineRule="exact" w:before="6"/>
              <w:ind w:left="210" w:right="197"/>
              <w:rPr>
                <w:sz w:val="21"/>
              </w:rPr>
            </w:pPr>
            <w:r>
              <w:rPr>
                <w:sz w:val="21"/>
              </w:rPr>
              <w:t>达标</w:t>
            </w:r>
          </w:p>
        </w:tc>
      </w:tr>
      <w:tr>
        <w:trPr>
          <w:trHeight w:val="285" w:hRule="atLeast"/>
        </w:trPr>
        <w:tc>
          <w:tcPr>
            <w:tcW w:w="2847" w:type="dxa"/>
          </w:tcPr>
          <w:p>
            <w:pPr>
              <w:pStyle w:val="TableParagraph"/>
              <w:spacing w:line="257" w:lineRule="exact" w:before="8"/>
              <w:ind w:left="207" w:right="203"/>
              <w:rPr>
                <w:rFonts w:ascii="Times New Roman" w:eastAsia="Times New Roman"/>
                <w:sz w:val="21"/>
              </w:rPr>
            </w:pPr>
            <w:r>
              <w:rPr>
                <w:sz w:val="21"/>
              </w:rPr>
              <w:t>萘 </w:t>
            </w:r>
            <w:r>
              <w:rPr>
                <w:rFonts w:ascii="Times New Roman" w:eastAsia="Times New Roman"/>
                <w:sz w:val="21"/>
              </w:rPr>
              <w:t>mg/kg</w:t>
            </w:r>
          </w:p>
        </w:tc>
        <w:tc>
          <w:tcPr>
            <w:tcW w:w="1286" w:type="dxa"/>
          </w:tcPr>
          <w:p>
            <w:pPr>
              <w:pStyle w:val="TableParagraph"/>
              <w:spacing w:before="22"/>
              <w:ind w:left="400"/>
              <w:jc w:val="left"/>
              <w:rPr>
                <w:rFonts w:ascii="Times New Roman"/>
                <w:sz w:val="21"/>
              </w:rPr>
            </w:pPr>
            <w:r>
              <w:rPr>
                <w:rFonts w:ascii="Times New Roman"/>
                <w:sz w:val="21"/>
              </w:rPr>
              <w:t>&lt;0.09</w:t>
            </w:r>
          </w:p>
        </w:tc>
        <w:tc>
          <w:tcPr>
            <w:tcW w:w="1502" w:type="dxa"/>
          </w:tcPr>
          <w:p>
            <w:pPr>
              <w:pStyle w:val="TableParagraph"/>
              <w:spacing w:before="22"/>
              <w:ind w:left="424" w:right="416"/>
              <w:rPr>
                <w:rFonts w:ascii="Times New Roman"/>
                <w:sz w:val="21"/>
              </w:rPr>
            </w:pPr>
            <w:r>
              <w:rPr>
                <w:rFonts w:ascii="Times New Roman"/>
                <w:sz w:val="21"/>
              </w:rPr>
              <w:t>&lt;0.09</w:t>
            </w:r>
          </w:p>
        </w:tc>
        <w:tc>
          <w:tcPr>
            <w:tcW w:w="1559" w:type="dxa"/>
          </w:tcPr>
          <w:p>
            <w:pPr>
              <w:pStyle w:val="TableParagraph"/>
              <w:spacing w:before="22"/>
              <w:ind w:left="338" w:right="328"/>
              <w:rPr>
                <w:rFonts w:ascii="Times New Roman"/>
                <w:sz w:val="21"/>
              </w:rPr>
            </w:pPr>
            <w:r>
              <w:rPr>
                <w:rFonts w:ascii="Times New Roman"/>
                <w:sz w:val="21"/>
              </w:rPr>
              <w:t>&lt;0.09</w:t>
            </w:r>
          </w:p>
        </w:tc>
        <w:tc>
          <w:tcPr>
            <w:tcW w:w="1276" w:type="dxa"/>
          </w:tcPr>
          <w:p>
            <w:pPr>
              <w:pStyle w:val="TableParagraph"/>
              <w:spacing w:before="22"/>
              <w:ind w:left="9"/>
              <w:rPr>
                <w:rFonts w:ascii="Times New Roman"/>
                <w:sz w:val="21"/>
              </w:rPr>
            </w:pPr>
            <w:r>
              <w:rPr>
                <w:rFonts w:ascii="Times New Roman"/>
                <w:sz w:val="21"/>
              </w:rPr>
              <w:t>70</w:t>
            </w:r>
          </w:p>
        </w:tc>
        <w:tc>
          <w:tcPr>
            <w:tcW w:w="872" w:type="dxa"/>
          </w:tcPr>
          <w:p>
            <w:pPr>
              <w:pStyle w:val="TableParagraph"/>
              <w:spacing w:line="257" w:lineRule="exact" w:before="8"/>
              <w:ind w:left="210" w:right="197"/>
              <w:rPr>
                <w:sz w:val="21"/>
              </w:rPr>
            </w:pPr>
            <w:r>
              <w:rPr>
                <w:sz w:val="21"/>
              </w:rPr>
              <w:t>达标</w:t>
            </w:r>
          </w:p>
        </w:tc>
      </w:tr>
      <w:tr>
        <w:trPr>
          <w:trHeight w:val="283" w:hRule="atLeast"/>
        </w:trPr>
        <w:tc>
          <w:tcPr>
            <w:tcW w:w="2847" w:type="dxa"/>
          </w:tcPr>
          <w:p>
            <w:pPr>
              <w:pStyle w:val="TableParagraph"/>
              <w:spacing w:line="258" w:lineRule="exact" w:before="5"/>
              <w:ind w:left="209" w:right="203"/>
              <w:rPr>
                <w:rFonts w:ascii="Times New Roman" w:eastAsia="Times New Roman"/>
                <w:sz w:val="21"/>
              </w:rPr>
            </w:pPr>
            <w:r>
              <w:rPr>
                <w:position w:val="2"/>
                <w:sz w:val="21"/>
              </w:rPr>
              <w:t>石油烃（</w:t>
            </w:r>
            <w:r>
              <w:rPr>
                <w:rFonts w:ascii="Times New Roman" w:eastAsia="Times New Roman"/>
                <w:position w:val="2"/>
                <w:sz w:val="21"/>
              </w:rPr>
              <w:t>C</w:t>
            </w:r>
            <w:r>
              <w:rPr>
                <w:rFonts w:ascii="Times New Roman" w:eastAsia="Times New Roman"/>
                <w:sz w:val="14"/>
              </w:rPr>
              <w:t>10</w:t>
            </w:r>
            <w:r>
              <w:rPr>
                <w:rFonts w:ascii="Times New Roman" w:eastAsia="Times New Roman"/>
                <w:position w:val="2"/>
                <w:sz w:val="21"/>
              </w:rPr>
              <w:t>~C</w:t>
            </w:r>
            <w:r>
              <w:rPr>
                <w:rFonts w:ascii="Times New Roman" w:eastAsia="Times New Roman"/>
                <w:sz w:val="14"/>
              </w:rPr>
              <w:t>40</w:t>
            </w:r>
            <w:r>
              <w:rPr>
                <w:position w:val="2"/>
                <w:sz w:val="21"/>
              </w:rPr>
              <w:t>）</w:t>
            </w:r>
            <w:r>
              <w:rPr>
                <w:rFonts w:ascii="Times New Roman" w:eastAsia="Times New Roman"/>
                <w:position w:val="2"/>
                <w:sz w:val="21"/>
              </w:rPr>
              <w:t>mg/kg</w:t>
            </w:r>
          </w:p>
        </w:tc>
        <w:tc>
          <w:tcPr>
            <w:tcW w:w="1286" w:type="dxa"/>
          </w:tcPr>
          <w:p>
            <w:pPr>
              <w:pStyle w:val="TableParagraph"/>
              <w:spacing w:before="20"/>
              <w:ind w:left="94" w:right="89"/>
              <w:rPr>
                <w:rFonts w:ascii="Times New Roman"/>
                <w:sz w:val="21"/>
              </w:rPr>
            </w:pPr>
            <w:r>
              <w:rPr>
                <w:rFonts w:ascii="Times New Roman"/>
                <w:sz w:val="21"/>
              </w:rPr>
              <w:t>31</w:t>
            </w:r>
          </w:p>
        </w:tc>
        <w:tc>
          <w:tcPr>
            <w:tcW w:w="1502" w:type="dxa"/>
          </w:tcPr>
          <w:p>
            <w:pPr>
              <w:pStyle w:val="TableParagraph"/>
              <w:spacing w:before="20"/>
              <w:ind w:left="424" w:right="419"/>
              <w:rPr>
                <w:rFonts w:ascii="Times New Roman"/>
                <w:sz w:val="21"/>
              </w:rPr>
            </w:pPr>
            <w:r>
              <w:rPr>
                <w:rFonts w:ascii="Times New Roman"/>
                <w:sz w:val="21"/>
              </w:rPr>
              <w:t>40</w:t>
            </w:r>
          </w:p>
        </w:tc>
        <w:tc>
          <w:tcPr>
            <w:tcW w:w="1559" w:type="dxa"/>
          </w:tcPr>
          <w:p>
            <w:pPr>
              <w:pStyle w:val="TableParagraph"/>
              <w:spacing w:before="20"/>
              <w:ind w:left="338" w:right="330"/>
              <w:rPr>
                <w:rFonts w:ascii="Times New Roman"/>
                <w:sz w:val="21"/>
              </w:rPr>
            </w:pPr>
            <w:r>
              <w:rPr>
                <w:rFonts w:ascii="Times New Roman"/>
                <w:sz w:val="21"/>
              </w:rPr>
              <w:t>71</w:t>
            </w:r>
          </w:p>
        </w:tc>
        <w:tc>
          <w:tcPr>
            <w:tcW w:w="1276" w:type="dxa"/>
          </w:tcPr>
          <w:p>
            <w:pPr>
              <w:pStyle w:val="TableParagraph"/>
              <w:spacing w:before="20"/>
              <w:ind w:left="9"/>
              <w:rPr>
                <w:rFonts w:ascii="Times New Roman"/>
                <w:sz w:val="21"/>
              </w:rPr>
            </w:pPr>
            <w:r>
              <w:rPr>
                <w:rFonts w:ascii="Times New Roman"/>
                <w:sz w:val="21"/>
              </w:rPr>
              <w:t>4500</w:t>
            </w:r>
          </w:p>
        </w:tc>
        <w:tc>
          <w:tcPr>
            <w:tcW w:w="872" w:type="dxa"/>
          </w:tcPr>
          <w:p>
            <w:pPr>
              <w:pStyle w:val="TableParagraph"/>
              <w:spacing w:line="257" w:lineRule="exact" w:before="6"/>
              <w:ind w:left="210" w:right="197"/>
              <w:rPr>
                <w:sz w:val="21"/>
              </w:rPr>
            </w:pPr>
            <w:r>
              <w:rPr>
                <w:sz w:val="21"/>
              </w:rPr>
              <w:t>达标</w:t>
            </w:r>
          </w:p>
        </w:tc>
      </w:tr>
    </w:tbl>
    <w:p>
      <w:pPr>
        <w:pStyle w:val="BodyText"/>
        <w:spacing w:line="364" w:lineRule="auto" w:before="3"/>
        <w:ind w:left="331" w:right="246" w:firstLine="479"/>
        <w:jc w:val="both"/>
      </w:pPr>
      <w:r>
        <w:rPr/>
        <w:t>由上表可知，厂区各土壤环境采样点基本项目和其他项目重金属和无机物、挥发性有机物、半挥发性有机物、石油烃类指标均能达到《土壤环境质量标准建设用地土壤污染风险管控标准》</w:t>
      </w:r>
      <w:r>
        <w:rPr>
          <w:rFonts w:ascii="Times New Roman" w:eastAsia="Times New Roman"/>
        </w:rPr>
        <w:t>(GB36600-2018)</w:t>
      </w:r>
      <w:r>
        <w:rPr/>
        <w:t>中第二类用地筛选值标准。</w:t>
      </w:r>
    </w:p>
    <w:p>
      <w:pPr>
        <w:spacing w:after="0" w:line="364" w:lineRule="auto"/>
        <w:jc w:val="both"/>
        <w:sectPr>
          <w:pgSz w:w="11910" w:h="16850"/>
          <w:pgMar w:header="1004" w:footer="1088" w:top="1340" w:bottom="1280" w:left="1200" w:right="10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4"/>
        </w:rPr>
      </w:pPr>
    </w:p>
    <w:p>
      <w:pPr>
        <w:spacing w:before="81"/>
        <w:ind w:left="3176" w:right="0" w:firstLine="0"/>
        <w:jc w:val="left"/>
        <w:rPr>
          <w:b/>
          <w:sz w:val="15"/>
        </w:rPr>
      </w:pPr>
      <w:r>
        <w:rPr/>
        <w:pict>
          <v:group style="position:absolute;margin-left:71.784531pt;margin-top:-130.471436pt;width:451.9pt;height:615.6pt;mso-position-horizontal-relative:page;mso-position-vertical-relative:paragraph;z-index:-317716480" coordorigin="1436,-2609" coordsize="9038,12312">
            <v:shape style="position:absolute;left:1435;top:-2610;width:9038;height:12312" type="#_x0000_t75" stroked="false">
              <v:imagedata r:id="rId81" o:title=""/>
            </v:shape>
            <v:shape style="position:absolute;left:5467;top:874;width:1177;height:873" type="#_x0000_t75" stroked="false">
              <v:imagedata r:id="rId82" o:title=""/>
            </v:shape>
            <v:shape style="position:absolute;left:6270;top:6487;width:717;height:530" coordorigin="6270,6487" coordsize="717,530" path="m6862,6487l6270,6706,6395,7017,6987,6799,6862,6487xe" filled="true" fillcolor="#ffffff" stroked="false">
              <v:path arrowok="t"/>
              <v:fill type="solid"/>
            </v:shape>
            <v:shape style="position:absolute;left:6270;top:6487;width:717;height:530" coordorigin="6270,6487" coordsize="717,530" path="m6862,6487l6270,6706,6395,7017,6987,6799,6862,6487xe" filled="false" stroked="true" strokeweight=".824605pt" strokecolor="#7e5f00">
              <v:path arrowok="t"/>
              <v:stroke dashstyle="solid"/>
            </v:shape>
            <v:shape style="position:absolute;left:6546;top:7106;width:2774;height:1728" type="#_x0000_t75" stroked="false">
              <v:imagedata r:id="rId83" o:title=""/>
            </v:shape>
            <v:shape style="position:absolute;left:2794;top:8800;width:216;height:225" type="#_x0000_t75" stroked="false">
              <v:imagedata r:id="rId84" o:title=""/>
            </v:shape>
            <v:rect style="position:absolute;left:2724;top:9220;width:312;height:190" filled="true" fillcolor="#00afef" stroked="false">
              <v:fill type="solid"/>
            </v:rect>
            <v:rect style="position:absolute;left:2724;top:9220;width:312;height:190" filled="false" stroked="true" strokeweight=".412307pt" strokecolor="#00afef">
              <v:stroke dashstyle="solid"/>
            </v:rect>
            <v:line style="position:absolute" from="5717,4997" to="5928,4997" stroked="true" strokeweight="6.450349pt" strokecolor="#00afef">
              <v:stroke dashstyle="solid"/>
            </v:line>
            <v:rect style="position:absolute;left:5716;top:4932;width:212;height:129" filled="false" stroked="true" strokeweight=".412307pt" strokecolor="#00afef">
              <v:stroke dashstyle="solid"/>
            </v:rect>
            <v:shape style="position:absolute;left:5763;top:4723;width:159;height:166" type="#_x0000_t75" stroked="false">
              <v:imagedata r:id="rId85" o:title=""/>
            </v:shape>
            <v:shape style="position:absolute;left:4543;top:4091;width:159;height:166" type="#_x0000_t75" stroked="false">
              <v:imagedata r:id="rId86" o:title=""/>
            </v:shape>
            <v:shape style="position:absolute;left:7932;top:3420;width:159;height:166" type="#_x0000_t75" stroked="false">
              <v:imagedata r:id="rId87" o:title=""/>
            </v:shape>
            <v:shape style="position:absolute;left:4232;top:-38;width:159;height:166" type="#_x0000_t75" stroked="false">
              <v:imagedata r:id="rId88" o:title=""/>
            </v:shape>
            <w10:wrap type="none"/>
          </v:group>
        </w:pict>
      </w:r>
      <w:r>
        <w:rPr>
          <w:b/>
          <w:color w:val="FF0000"/>
          <w:sz w:val="15"/>
        </w:rPr>
        <w:t>4#监测点</w:t>
      </w:r>
    </w:p>
    <w:p>
      <w:pPr>
        <w:pStyle w:val="BodyText"/>
        <w:rPr>
          <w:b/>
          <w:sz w:val="20"/>
        </w:rPr>
      </w:pPr>
    </w:p>
    <w:p>
      <w:pPr>
        <w:pStyle w:val="BodyText"/>
        <w:rPr>
          <w:b/>
          <w:sz w:val="20"/>
        </w:rPr>
      </w:pPr>
    </w:p>
    <w:p>
      <w:pPr>
        <w:pStyle w:val="BodyText"/>
        <w:rPr>
          <w:b/>
          <w:sz w:val="20"/>
        </w:rPr>
      </w:pPr>
    </w:p>
    <w:p>
      <w:pPr>
        <w:pStyle w:val="BodyText"/>
        <w:spacing w:before="2"/>
        <w:rPr>
          <w:b/>
          <w:sz w:val="28"/>
        </w:rPr>
      </w:pPr>
    </w:p>
    <w:p>
      <w:pPr>
        <w:spacing w:before="81"/>
        <w:ind w:left="4763" w:right="3053" w:firstLine="0"/>
        <w:jc w:val="center"/>
        <w:rPr>
          <w:b/>
          <w:sz w:val="15"/>
        </w:rPr>
      </w:pPr>
      <w:r>
        <w:rPr>
          <w:b/>
          <w:color w:val="00AFEF"/>
          <w:sz w:val="15"/>
        </w:rPr>
        <w:t>1#监测点</w:t>
      </w:r>
    </w:p>
    <w:p>
      <w:pPr>
        <w:spacing w:before="42"/>
        <w:ind w:left="0" w:right="190" w:firstLine="0"/>
        <w:jc w:val="center"/>
        <w:rPr>
          <w:b/>
          <w:sz w:val="15"/>
        </w:rPr>
      </w:pPr>
      <w:r>
        <w:rPr>
          <w:b/>
          <w:color w:val="FF0000"/>
          <w:sz w:val="15"/>
        </w:rPr>
        <w:t>1#监测点</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14"/>
        </w:rPr>
      </w:pPr>
    </w:p>
    <w:p>
      <w:pPr>
        <w:spacing w:before="81"/>
        <w:ind w:left="0" w:right="2480" w:firstLine="0"/>
        <w:jc w:val="right"/>
        <w:rPr>
          <w:b/>
          <w:sz w:val="15"/>
        </w:rPr>
      </w:pPr>
      <w:r>
        <w:rPr>
          <w:b/>
          <w:color w:val="FF0000"/>
          <w:sz w:val="15"/>
        </w:rPr>
        <w:t>6#监测点</w:t>
      </w:r>
    </w:p>
    <w:p>
      <w:pPr>
        <w:pStyle w:val="BodyText"/>
        <w:rPr>
          <w:b/>
          <w:sz w:val="20"/>
        </w:rPr>
      </w:pPr>
    </w:p>
    <w:p>
      <w:pPr>
        <w:pStyle w:val="BodyText"/>
        <w:rPr>
          <w:b/>
          <w:sz w:val="20"/>
        </w:rPr>
      </w:pPr>
    </w:p>
    <w:p>
      <w:pPr>
        <w:pStyle w:val="BodyText"/>
        <w:spacing w:before="6"/>
        <w:rPr>
          <w:b/>
          <w:sz w:val="21"/>
        </w:rPr>
      </w:pPr>
    </w:p>
    <w:p>
      <w:pPr>
        <w:spacing w:before="81"/>
        <w:ind w:left="3196" w:right="0" w:firstLine="0"/>
        <w:jc w:val="left"/>
        <w:rPr>
          <w:b/>
          <w:sz w:val="15"/>
        </w:rPr>
      </w:pPr>
      <w:r>
        <w:rPr>
          <w:b/>
          <w:color w:val="FF0000"/>
          <w:sz w:val="15"/>
        </w:rPr>
        <w:t>5#监测点</w:t>
      </w:r>
    </w:p>
    <w:p>
      <w:pPr>
        <w:pStyle w:val="BodyText"/>
        <w:spacing w:before="7"/>
        <w:rPr>
          <w:b/>
          <w:sz w:val="13"/>
        </w:rPr>
      </w:pPr>
    </w:p>
    <w:p>
      <w:pPr>
        <w:spacing w:before="80"/>
        <w:ind w:left="447" w:right="26" w:firstLine="0"/>
        <w:jc w:val="center"/>
        <w:rPr>
          <w:b/>
          <w:sz w:val="15"/>
        </w:rPr>
      </w:pPr>
      <w:r>
        <w:rPr>
          <w:b/>
          <w:color w:val="FF0000"/>
          <w:sz w:val="15"/>
        </w:rPr>
        <w:t>2#</w:t>
      </w:r>
      <w:r>
        <w:rPr>
          <w:b/>
          <w:color w:val="FF0000"/>
          <w:spacing w:val="1"/>
          <w:sz w:val="15"/>
        </w:rPr>
        <w:t>监测点</w:t>
      </w:r>
    </w:p>
    <w:p>
      <w:pPr>
        <w:spacing w:before="16"/>
        <w:ind w:left="3713" w:right="3251" w:firstLine="0"/>
        <w:jc w:val="center"/>
        <w:rPr>
          <w:b/>
          <w:sz w:val="15"/>
        </w:rPr>
      </w:pPr>
      <w:r>
        <w:rPr>
          <w:b/>
          <w:color w:val="00AFEF"/>
          <w:sz w:val="15"/>
        </w:rPr>
        <w:t>2#</w:t>
      </w:r>
      <w:r>
        <w:rPr>
          <w:b/>
          <w:color w:val="00AFEF"/>
          <w:spacing w:val="1"/>
          <w:sz w:val="15"/>
        </w:rPr>
        <w:t>监测点</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17"/>
        </w:rPr>
      </w:pPr>
    </w:p>
    <w:p>
      <w:pPr>
        <w:pStyle w:val="BodyText"/>
        <w:spacing w:before="4"/>
        <w:rPr>
          <w:b/>
          <w:sz w:val="7"/>
        </w:rPr>
      </w:pPr>
    </w:p>
    <w:p>
      <w:pPr>
        <w:spacing w:before="0"/>
        <w:ind w:left="4405" w:right="3251" w:firstLine="0"/>
        <w:jc w:val="center"/>
        <w:rPr>
          <w:b/>
          <w:sz w:val="8"/>
        </w:rPr>
      </w:pPr>
      <w:r>
        <w:rPr>
          <w:b/>
          <w:color w:val="7E5F00"/>
          <w:w w:val="105"/>
          <w:sz w:val="8"/>
        </w:rPr>
        <w:t>危废仓库</w:t>
      </w:r>
    </w:p>
    <w:p>
      <w:pPr>
        <w:pStyle w:val="BodyText"/>
        <w:rPr>
          <w:b/>
          <w:sz w:val="20"/>
        </w:rPr>
      </w:pPr>
    </w:p>
    <w:p>
      <w:pPr>
        <w:pStyle w:val="BodyText"/>
        <w:rPr>
          <w:b/>
          <w:sz w:val="20"/>
        </w:rPr>
      </w:pPr>
    </w:p>
    <w:p>
      <w:pPr>
        <w:pStyle w:val="BodyText"/>
        <w:rPr>
          <w:b/>
          <w:sz w:val="20"/>
        </w:rPr>
      </w:pPr>
    </w:p>
    <w:p>
      <w:pPr>
        <w:pStyle w:val="BodyText"/>
        <w:spacing w:before="6"/>
        <w:rPr>
          <w:b/>
          <w:sz w:val="17"/>
        </w:rPr>
      </w:pPr>
    </w:p>
    <w:p>
      <w:pPr>
        <w:spacing w:before="1"/>
        <w:ind w:left="0" w:right="1629" w:firstLine="0"/>
        <w:jc w:val="right"/>
        <w:rPr>
          <w:b/>
          <w:sz w:val="15"/>
        </w:rPr>
      </w:pPr>
      <w:r>
        <w:rPr>
          <w:b/>
          <w:color w:val="FF0000"/>
          <w:sz w:val="15"/>
        </w:rPr>
        <w:t>3#监测点</w:t>
      </w:r>
    </w:p>
    <w:p>
      <w:pPr>
        <w:pStyle w:val="BodyText"/>
        <w:spacing w:before="8"/>
        <w:rPr>
          <w:b/>
          <w:sz w:val="10"/>
        </w:rPr>
      </w:pPr>
    </w:p>
    <w:p>
      <w:pPr>
        <w:spacing w:before="0"/>
        <w:ind w:left="0" w:right="2261" w:firstLine="0"/>
        <w:jc w:val="right"/>
        <w:rPr>
          <w:b/>
          <w:sz w:val="15"/>
        </w:rPr>
      </w:pPr>
      <w:r>
        <w:rPr>
          <w:b/>
          <w:color w:val="00AFEF"/>
          <w:sz w:val="15"/>
        </w:rPr>
        <w:t>3#监测点</w:t>
      </w:r>
    </w:p>
    <w:p>
      <w:pPr>
        <w:pStyle w:val="BodyText"/>
        <w:rPr>
          <w:b/>
          <w:sz w:val="20"/>
        </w:rPr>
      </w:pPr>
    </w:p>
    <w:p>
      <w:pPr>
        <w:pStyle w:val="BodyText"/>
        <w:spacing w:before="2"/>
        <w:rPr>
          <w:b/>
          <w:sz w:val="18"/>
        </w:rPr>
      </w:pPr>
    </w:p>
    <w:p>
      <w:pPr>
        <w:spacing w:before="0"/>
        <w:ind w:left="2000" w:right="0" w:firstLine="0"/>
        <w:jc w:val="left"/>
        <w:rPr>
          <w:b/>
          <w:sz w:val="15"/>
        </w:rPr>
      </w:pPr>
      <w:r>
        <w:rPr>
          <w:b/>
          <w:color w:val="FF0000"/>
          <w:sz w:val="15"/>
        </w:rPr>
        <w:t>土壤监测点位</w:t>
      </w:r>
    </w:p>
    <w:p>
      <w:pPr>
        <w:pStyle w:val="BodyText"/>
        <w:spacing w:before="9"/>
        <w:rPr>
          <w:b/>
          <w:sz w:val="11"/>
        </w:rPr>
      </w:pPr>
    </w:p>
    <w:p>
      <w:pPr>
        <w:spacing w:before="80"/>
        <w:ind w:left="2020" w:right="0" w:firstLine="0"/>
        <w:jc w:val="left"/>
        <w:rPr>
          <w:b/>
          <w:sz w:val="15"/>
        </w:rPr>
      </w:pPr>
      <w:r>
        <w:rPr>
          <w:b/>
          <w:color w:val="00AFEF"/>
          <w:sz w:val="15"/>
        </w:rPr>
        <w:t>地下水监测点位</w:t>
      </w:r>
    </w:p>
    <w:p>
      <w:pPr>
        <w:pStyle w:val="BodyText"/>
        <w:rPr>
          <w:b/>
          <w:sz w:val="20"/>
        </w:rPr>
      </w:pPr>
    </w:p>
    <w:p>
      <w:pPr>
        <w:pStyle w:val="BodyText"/>
        <w:rPr>
          <w:b/>
          <w:sz w:val="20"/>
        </w:rPr>
      </w:pPr>
    </w:p>
    <w:p>
      <w:pPr>
        <w:pStyle w:val="BodyText"/>
        <w:spacing w:before="7"/>
        <w:rPr>
          <w:b/>
          <w:sz w:val="20"/>
        </w:rPr>
      </w:pPr>
    </w:p>
    <w:p>
      <w:pPr>
        <w:pStyle w:val="Heading4"/>
        <w:tabs>
          <w:tab w:pos="1221" w:val="left" w:leader="none"/>
        </w:tabs>
        <w:spacing w:before="74"/>
        <w:ind w:left="0" w:right="199"/>
        <w:jc w:val="center"/>
      </w:pPr>
      <w:r>
        <w:rPr/>
        <w:t>图</w:t>
      </w:r>
      <w:r>
        <w:rPr>
          <w:spacing w:val="-60"/>
        </w:rPr>
        <w:t> </w:t>
      </w:r>
      <w:r>
        <w:rPr>
          <w:rFonts w:ascii="Times New Roman" w:eastAsia="Times New Roman"/>
        </w:rPr>
        <w:t>6.2.4-2</w:t>
        <w:tab/>
      </w:r>
      <w:r>
        <w:rPr/>
        <w:t>厂区范围内土壤、地下水环境质量现状监测布点示意图</w:t>
      </w:r>
    </w:p>
    <w:p>
      <w:pPr>
        <w:pStyle w:val="BodyText"/>
        <w:rPr>
          <w:b/>
          <w:sz w:val="20"/>
        </w:rPr>
      </w:pPr>
    </w:p>
    <w:p>
      <w:pPr>
        <w:pStyle w:val="BodyText"/>
        <w:rPr>
          <w:b/>
          <w:sz w:val="20"/>
        </w:rPr>
      </w:pPr>
    </w:p>
    <w:p>
      <w:pPr>
        <w:pStyle w:val="BodyText"/>
        <w:rPr>
          <w:b/>
          <w:sz w:val="20"/>
        </w:rPr>
      </w:pPr>
    </w:p>
    <w:p>
      <w:pPr>
        <w:pStyle w:val="BodyText"/>
        <w:spacing w:before="6"/>
        <w:rPr>
          <w:b/>
          <w:sz w:val="15"/>
        </w:rPr>
      </w:pPr>
      <w:r>
        <w:rPr/>
        <w:pict>
          <v:line style="position:absolute;mso-position-horizontal-relative:page;mso-position-vertical-relative:paragraph;z-index:-251448320;mso-wrap-distance-left:0;mso-wrap-distance-right:0" from="69.949997pt,12.298985pt" to="511.699997pt,12.298985pt" stroked="true" strokeweight=".75pt" strokecolor="#000000">
            <v:stroke dashstyle="solid"/>
            <w10:wrap type="topAndBottom"/>
          </v:line>
        </w:pict>
      </w:r>
    </w:p>
    <w:p>
      <w:pPr>
        <w:spacing w:after="0"/>
        <w:rPr>
          <w:sz w:val="15"/>
        </w:rPr>
        <w:sectPr>
          <w:headerReference w:type="default" r:id="rId79"/>
          <w:footerReference w:type="default" r:id="rId80"/>
          <w:pgSz w:w="11910" w:h="16850"/>
          <w:pgMar w:header="872" w:footer="848" w:top="1340" w:bottom="1040" w:left="1200" w:right="1000"/>
          <w:pgNumType w:start="143"/>
        </w:sectPr>
      </w:pPr>
    </w:p>
    <w:p>
      <w:pPr>
        <w:pStyle w:val="Heading2"/>
        <w:numPr>
          <w:ilvl w:val="0"/>
          <w:numId w:val="23"/>
        </w:numPr>
        <w:tabs>
          <w:tab w:pos="445" w:val="left" w:leader="none"/>
        </w:tabs>
        <w:spacing w:line="240" w:lineRule="auto" w:before="64" w:after="0"/>
        <w:ind w:left="444" w:right="0" w:hanging="227"/>
        <w:jc w:val="left"/>
        <w:rPr>
          <w:rFonts w:ascii="Times New Roman" w:eastAsia="Times New Roman"/>
        </w:rPr>
      </w:pPr>
      <w:bookmarkStart w:name="_bookmark42" w:id="85"/>
      <w:bookmarkEnd w:id="85"/>
      <w:r>
        <w:rPr>
          <w:b w:val="0"/>
        </w:rPr>
      </w:r>
      <w:bookmarkStart w:name="_bookmark42" w:id="86"/>
      <w:bookmarkEnd w:id="86"/>
      <w:r>
        <w:rPr/>
        <w:t>环境影响预测评价</w:t>
      </w:r>
    </w:p>
    <w:p>
      <w:pPr>
        <w:pStyle w:val="Heading3"/>
        <w:numPr>
          <w:ilvl w:val="1"/>
          <w:numId w:val="23"/>
        </w:numPr>
        <w:tabs>
          <w:tab w:pos="639" w:val="left" w:leader="none"/>
        </w:tabs>
        <w:spacing w:line="240" w:lineRule="auto" w:before="200" w:after="0"/>
        <w:ind w:left="638" w:right="0" w:hanging="421"/>
        <w:jc w:val="left"/>
      </w:pPr>
      <w:bookmarkStart w:name="_bookmark43" w:id="87"/>
      <w:bookmarkEnd w:id="87"/>
      <w:r>
        <w:rPr>
          <w:b w:val="0"/>
        </w:rPr>
      </w:r>
      <w:bookmarkStart w:name="_bookmark43" w:id="88"/>
      <w:bookmarkEnd w:id="88"/>
      <w:r>
        <w:rPr/>
        <w:t>施工期环境影响分析</w:t>
      </w:r>
    </w:p>
    <w:p>
      <w:pPr>
        <w:pStyle w:val="BodyText"/>
        <w:spacing w:line="364" w:lineRule="auto" w:before="185"/>
        <w:ind w:left="218" w:right="365" w:firstLine="480"/>
        <w:jc w:val="both"/>
      </w:pPr>
      <w:r>
        <w:rPr/>
        <w:t>本项目在企业新征用地上实施生产，将按照标准化要求新建生产车间，建成后将安装设备。根据本项目的工程特点，施工期的环境影响主要来自施工场地的扬尘、废水、噪声污染等方面。本环评要求企业在施工期间加强管理，减少对外界的影响。</w:t>
      </w:r>
    </w:p>
    <w:p>
      <w:pPr>
        <w:pStyle w:val="Heading4"/>
        <w:numPr>
          <w:ilvl w:val="2"/>
          <w:numId w:val="23"/>
        </w:numPr>
        <w:tabs>
          <w:tab w:pos="759" w:val="left" w:leader="none"/>
        </w:tabs>
        <w:spacing w:line="307" w:lineRule="exact" w:before="0" w:after="0"/>
        <w:ind w:left="758" w:right="0" w:hanging="541"/>
        <w:jc w:val="both"/>
      </w:pPr>
      <w:r>
        <w:rPr/>
        <w:t>施工期水环境影响分析</w:t>
      </w:r>
    </w:p>
    <w:p>
      <w:pPr>
        <w:pStyle w:val="BodyText"/>
        <w:spacing w:before="158"/>
        <w:ind w:left="701"/>
      </w:pPr>
      <w:r>
        <w:rPr>
          <w:rFonts w:ascii="Times New Roman" w:eastAsia="Times New Roman"/>
        </w:rPr>
        <w:t>1</w:t>
      </w:r>
      <w:r>
        <w:rPr/>
        <w:t>、施工人员生活污水的影响</w:t>
      </w:r>
    </w:p>
    <w:p>
      <w:pPr>
        <w:pStyle w:val="BodyText"/>
        <w:spacing w:line="364" w:lineRule="auto" w:before="160"/>
        <w:ind w:left="218" w:right="412" w:firstLine="480"/>
        <w:jc w:val="both"/>
      </w:pPr>
      <w:r>
        <w:rPr>
          <w:spacing w:val="-7"/>
        </w:rPr>
        <w:t>施工人员数量在 </w:t>
      </w:r>
      <w:r>
        <w:rPr>
          <w:rFonts w:ascii="Times New Roman" w:eastAsia="Times New Roman"/>
        </w:rPr>
        <w:t>200 </w:t>
      </w:r>
      <w:r>
        <w:rPr>
          <w:spacing w:val="-4"/>
        </w:rPr>
        <w:t>人左右。以施工人员生活用水量 </w:t>
      </w:r>
      <w:r>
        <w:rPr>
          <w:rFonts w:ascii="Times New Roman" w:eastAsia="Times New Roman"/>
        </w:rPr>
        <w:t>100L/</w:t>
      </w:r>
      <w:r>
        <w:rPr>
          <w:spacing w:val="-2"/>
        </w:rPr>
        <w:t>人日、生活污水量按用</w:t>
      </w:r>
      <w:r>
        <w:rPr>
          <w:spacing w:val="-16"/>
          <w:position w:val="2"/>
        </w:rPr>
        <w:t>水量的 </w:t>
      </w:r>
      <w:r>
        <w:rPr>
          <w:rFonts w:ascii="Times New Roman" w:eastAsia="Times New Roman"/>
          <w:position w:val="2"/>
        </w:rPr>
        <w:t>80%</w:t>
      </w:r>
      <w:r>
        <w:rPr>
          <w:spacing w:val="-1"/>
          <w:position w:val="2"/>
        </w:rPr>
        <w:t>计，</w:t>
      </w:r>
      <w:r>
        <w:rPr>
          <w:rFonts w:ascii="Times New Roman" w:eastAsia="Times New Roman"/>
          <w:spacing w:val="-2"/>
          <w:position w:val="2"/>
        </w:rPr>
        <w:t>CODcr </w:t>
      </w:r>
      <w:r>
        <w:rPr>
          <w:spacing w:val="-21"/>
          <w:position w:val="2"/>
        </w:rPr>
        <w:t>浓度 </w:t>
      </w:r>
      <w:r>
        <w:rPr>
          <w:rFonts w:ascii="Times New Roman" w:eastAsia="Times New Roman"/>
          <w:position w:val="2"/>
        </w:rPr>
        <w:t>300mg/L</w:t>
      </w:r>
      <w:r>
        <w:rPr>
          <w:position w:val="2"/>
        </w:rPr>
        <w:t>，</w:t>
      </w:r>
      <w:r>
        <w:rPr>
          <w:rFonts w:ascii="Times New Roman" w:eastAsia="Times New Roman"/>
          <w:position w:val="2"/>
        </w:rPr>
        <w:t>BOD</w:t>
      </w:r>
      <w:r>
        <w:rPr>
          <w:rFonts w:ascii="Times New Roman" w:eastAsia="Times New Roman"/>
          <w:sz w:val="16"/>
        </w:rPr>
        <w:t>5 </w:t>
      </w:r>
      <w:r>
        <w:rPr>
          <w:spacing w:val="-21"/>
          <w:position w:val="2"/>
        </w:rPr>
        <w:t>浓度 </w:t>
      </w:r>
      <w:r>
        <w:rPr>
          <w:rFonts w:ascii="Times New Roman" w:eastAsia="Times New Roman"/>
          <w:position w:val="2"/>
        </w:rPr>
        <w:t>200mg/L </w:t>
      </w:r>
      <w:r>
        <w:rPr>
          <w:spacing w:val="-3"/>
          <w:position w:val="2"/>
        </w:rPr>
        <w:t>计。施工人员污水排放情况</w:t>
      </w:r>
      <w:r>
        <w:rPr>
          <w:spacing w:val="-3"/>
        </w:rPr>
        <w:t>见下表。</w:t>
      </w:r>
    </w:p>
    <w:p>
      <w:pPr>
        <w:pStyle w:val="Heading4"/>
        <w:spacing w:before="140" w:after="28"/>
        <w:ind w:left="2395"/>
        <w:jc w:val="both"/>
      </w:pPr>
      <w:r>
        <w:rPr/>
        <w:t>表 </w:t>
      </w:r>
      <w:r>
        <w:rPr>
          <w:rFonts w:ascii="Times New Roman" w:eastAsia="Times New Roman"/>
        </w:rPr>
        <w:t>7.1.1-1  </w:t>
      </w:r>
      <w:r>
        <w:rPr/>
        <w:t>施工人员生活污水排放情况一览表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0"/>
        <w:gridCol w:w="2411"/>
        <w:gridCol w:w="2411"/>
        <w:gridCol w:w="1852"/>
      </w:tblGrid>
      <w:tr>
        <w:trPr>
          <w:trHeight w:val="273" w:hRule="atLeast"/>
        </w:trPr>
        <w:tc>
          <w:tcPr>
            <w:tcW w:w="2410" w:type="dxa"/>
          </w:tcPr>
          <w:p>
            <w:pPr>
              <w:pStyle w:val="TableParagraph"/>
              <w:spacing w:line="250" w:lineRule="exact" w:before="3"/>
              <w:ind w:left="446" w:right="437"/>
              <w:rPr>
                <w:b/>
                <w:sz w:val="21"/>
              </w:rPr>
            </w:pPr>
            <w:r>
              <w:rPr>
                <w:b/>
                <w:sz w:val="21"/>
              </w:rPr>
              <w:t>施工人数（人）</w:t>
            </w:r>
          </w:p>
        </w:tc>
        <w:tc>
          <w:tcPr>
            <w:tcW w:w="2411" w:type="dxa"/>
          </w:tcPr>
          <w:p>
            <w:pPr>
              <w:pStyle w:val="TableParagraph"/>
              <w:spacing w:line="250" w:lineRule="exact" w:before="3"/>
              <w:ind w:left="11"/>
              <w:rPr>
                <w:rFonts w:ascii="Times New Roman" w:eastAsia="Times New Roman"/>
                <w:b/>
                <w:sz w:val="21"/>
              </w:rPr>
            </w:pPr>
            <w:r>
              <w:rPr>
                <w:b/>
                <w:sz w:val="21"/>
              </w:rPr>
              <w:t>污水量</w:t>
            </w:r>
            <w:r>
              <w:rPr>
                <w:rFonts w:ascii="Times New Roman" w:eastAsia="Times New Roman"/>
                <w:b/>
                <w:sz w:val="21"/>
              </w:rPr>
              <w:t>(t/d)</w:t>
            </w:r>
          </w:p>
        </w:tc>
        <w:tc>
          <w:tcPr>
            <w:tcW w:w="2411" w:type="dxa"/>
          </w:tcPr>
          <w:p>
            <w:pPr>
              <w:pStyle w:val="TableParagraph"/>
              <w:spacing w:line="236" w:lineRule="exact" w:before="17"/>
              <w:ind w:left="8"/>
              <w:rPr>
                <w:rFonts w:ascii="Times New Roman"/>
                <w:b/>
                <w:sz w:val="21"/>
              </w:rPr>
            </w:pPr>
            <w:r>
              <w:rPr>
                <w:rFonts w:ascii="Times New Roman"/>
                <w:b/>
                <w:sz w:val="21"/>
              </w:rPr>
              <w:t>CODcr(kg/d)</w:t>
            </w:r>
          </w:p>
        </w:tc>
        <w:tc>
          <w:tcPr>
            <w:tcW w:w="1852" w:type="dxa"/>
          </w:tcPr>
          <w:p>
            <w:pPr>
              <w:pStyle w:val="TableParagraph"/>
              <w:spacing w:line="237" w:lineRule="exact" w:before="16"/>
              <w:ind w:left="372" w:right="368"/>
              <w:rPr>
                <w:rFonts w:ascii="Times New Roman"/>
                <w:b/>
                <w:sz w:val="21"/>
              </w:rPr>
            </w:pPr>
            <w:r>
              <w:rPr>
                <w:rFonts w:ascii="Times New Roman"/>
                <w:b/>
                <w:position w:val="2"/>
                <w:sz w:val="21"/>
              </w:rPr>
              <w:t>BOD</w:t>
            </w:r>
            <w:r>
              <w:rPr>
                <w:rFonts w:ascii="Times New Roman"/>
                <w:b/>
                <w:sz w:val="14"/>
              </w:rPr>
              <w:t>5</w:t>
            </w:r>
            <w:r>
              <w:rPr>
                <w:rFonts w:ascii="Times New Roman"/>
                <w:b/>
                <w:position w:val="2"/>
                <w:sz w:val="21"/>
              </w:rPr>
              <w:t>(kg/d)</w:t>
            </w:r>
          </w:p>
        </w:tc>
      </w:tr>
      <w:tr>
        <w:trPr>
          <w:trHeight w:val="273" w:hRule="atLeast"/>
        </w:trPr>
        <w:tc>
          <w:tcPr>
            <w:tcW w:w="2410" w:type="dxa"/>
          </w:tcPr>
          <w:p>
            <w:pPr>
              <w:pStyle w:val="TableParagraph"/>
              <w:spacing w:line="238" w:lineRule="exact" w:before="15"/>
              <w:ind w:left="446" w:right="437"/>
              <w:rPr>
                <w:rFonts w:ascii="Times New Roman"/>
                <w:sz w:val="21"/>
              </w:rPr>
            </w:pPr>
            <w:r>
              <w:rPr>
                <w:rFonts w:ascii="Times New Roman"/>
                <w:sz w:val="21"/>
              </w:rPr>
              <w:t>200</w:t>
            </w:r>
          </w:p>
        </w:tc>
        <w:tc>
          <w:tcPr>
            <w:tcW w:w="2411" w:type="dxa"/>
          </w:tcPr>
          <w:p>
            <w:pPr>
              <w:pStyle w:val="TableParagraph"/>
              <w:spacing w:line="238" w:lineRule="exact" w:before="15"/>
              <w:ind w:left="8"/>
              <w:rPr>
                <w:rFonts w:ascii="Times New Roman"/>
                <w:sz w:val="21"/>
              </w:rPr>
            </w:pPr>
            <w:r>
              <w:rPr>
                <w:rFonts w:ascii="Times New Roman"/>
                <w:sz w:val="21"/>
              </w:rPr>
              <w:t>16</w:t>
            </w:r>
          </w:p>
        </w:tc>
        <w:tc>
          <w:tcPr>
            <w:tcW w:w="2411" w:type="dxa"/>
          </w:tcPr>
          <w:p>
            <w:pPr>
              <w:pStyle w:val="TableParagraph"/>
              <w:spacing w:line="238" w:lineRule="exact" w:before="15"/>
              <w:ind w:left="6"/>
              <w:rPr>
                <w:rFonts w:ascii="Times New Roman"/>
                <w:sz w:val="21"/>
              </w:rPr>
            </w:pPr>
            <w:r>
              <w:rPr>
                <w:rFonts w:ascii="Times New Roman"/>
                <w:sz w:val="21"/>
              </w:rPr>
              <w:t>4.8</w:t>
            </w:r>
          </w:p>
        </w:tc>
        <w:tc>
          <w:tcPr>
            <w:tcW w:w="1852" w:type="dxa"/>
          </w:tcPr>
          <w:p>
            <w:pPr>
              <w:pStyle w:val="TableParagraph"/>
              <w:spacing w:line="238" w:lineRule="exact" w:before="15"/>
              <w:ind w:left="372" w:right="365"/>
              <w:rPr>
                <w:rFonts w:ascii="Times New Roman"/>
                <w:sz w:val="21"/>
              </w:rPr>
            </w:pPr>
            <w:r>
              <w:rPr>
                <w:rFonts w:ascii="Times New Roman"/>
                <w:sz w:val="21"/>
              </w:rPr>
              <w:t>3.2</w:t>
            </w:r>
          </w:p>
        </w:tc>
      </w:tr>
    </w:tbl>
    <w:p>
      <w:pPr>
        <w:pStyle w:val="BodyText"/>
        <w:spacing w:line="364" w:lineRule="auto" w:before="2"/>
        <w:ind w:left="218" w:right="352" w:firstLine="482"/>
      </w:pPr>
      <w:r>
        <w:rPr/>
        <w:t>施工营地生活污水如果直接排放，对附近的河道会产生一定的污染，项目施工过程施工人员生活污水经收集后经化粪池处理达标后纳管。</w:t>
      </w:r>
    </w:p>
    <w:p>
      <w:pPr>
        <w:pStyle w:val="BodyText"/>
        <w:spacing w:line="306" w:lineRule="exact"/>
        <w:ind w:left="701"/>
      </w:pPr>
      <w:r>
        <w:rPr>
          <w:rFonts w:ascii="Times New Roman" w:eastAsia="Times New Roman"/>
        </w:rPr>
        <w:t>2</w:t>
      </w:r>
      <w:r>
        <w:rPr/>
        <w:t>、施工物资流失的影响</w:t>
      </w:r>
    </w:p>
    <w:p>
      <w:pPr>
        <w:pStyle w:val="BodyText"/>
        <w:spacing w:line="364" w:lineRule="auto" w:before="161"/>
        <w:ind w:left="218" w:right="414" w:firstLine="480"/>
        <w:jc w:val="both"/>
      </w:pPr>
      <w:r>
        <w:rPr>
          <w:spacing w:val="-4"/>
        </w:rPr>
        <w:t>建设期由于土方等露天堆放，遇暴雨时将被冲刷进入水体。尤其是在靠近河道施工</w:t>
      </w:r>
      <w:r>
        <w:rPr>
          <w:spacing w:val="-6"/>
        </w:rPr>
        <w:t>中容易发生物资流失。因此，在靠近河道施工时，必须设置临时堆场，加雨棚，堆场与</w:t>
      </w:r>
      <w:r>
        <w:rPr/>
        <w:t>河道距离应尽量远。</w:t>
      </w:r>
    </w:p>
    <w:p>
      <w:pPr>
        <w:pStyle w:val="BodyText"/>
        <w:spacing w:line="305" w:lineRule="exact"/>
        <w:ind w:left="701"/>
      </w:pPr>
      <w:r>
        <w:rPr>
          <w:rFonts w:ascii="Times New Roman" w:eastAsia="Times New Roman"/>
        </w:rPr>
        <w:t>3</w:t>
      </w:r>
      <w:r>
        <w:rPr/>
        <w:t>、施工期沙土流失</w:t>
      </w:r>
    </w:p>
    <w:p>
      <w:pPr>
        <w:pStyle w:val="BodyText"/>
        <w:spacing w:line="362" w:lineRule="auto" w:before="160"/>
        <w:ind w:left="218" w:right="352" w:firstLine="480"/>
      </w:pPr>
      <w:r>
        <w:rPr/>
        <w:t>施工过程中，挖方、填方等作业、弃土场地（如不及时清理）遇雨时易造成沙土流失，影响附近的水体环境。</w:t>
      </w:r>
    </w:p>
    <w:p>
      <w:pPr>
        <w:pStyle w:val="Heading4"/>
        <w:numPr>
          <w:ilvl w:val="2"/>
          <w:numId w:val="23"/>
        </w:numPr>
        <w:tabs>
          <w:tab w:pos="759" w:val="left" w:leader="none"/>
        </w:tabs>
        <w:spacing w:line="240" w:lineRule="auto" w:before="5" w:after="0"/>
        <w:ind w:left="758" w:right="0" w:hanging="541"/>
        <w:jc w:val="left"/>
      </w:pPr>
      <w:r>
        <w:rPr/>
        <w:t>施工扬尘的环境空气影响分析</w:t>
      </w:r>
    </w:p>
    <w:p>
      <w:pPr>
        <w:pStyle w:val="BodyText"/>
        <w:spacing w:line="364" w:lineRule="auto" w:before="161"/>
        <w:ind w:left="218" w:right="413" w:firstLine="480"/>
        <w:jc w:val="both"/>
      </w:pPr>
      <w:r>
        <w:rPr>
          <w:spacing w:val="-8"/>
        </w:rPr>
        <w:t>在整个施工期，产生扬尘的作业有土地平整、打桩、开挖、回填、道路浇注、建材运输、露天堆放、装卸和搅拌等过程，如遇干旱无雨季节，加上大风，施工扬尘将更严</w:t>
      </w:r>
      <w:r>
        <w:rPr/>
        <w:t>重。</w:t>
      </w:r>
    </w:p>
    <w:p>
      <w:pPr>
        <w:pStyle w:val="BodyText"/>
        <w:spacing w:line="364" w:lineRule="auto"/>
        <w:ind w:left="218" w:right="413" w:firstLine="480"/>
        <w:jc w:val="both"/>
      </w:pPr>
      <w:r>
        <w:rPr>
          <w:spacing w:val="4"/>
        </w:rPr>
        <w:t>据有关调查显示，施工工地的扬尘主要由运输车辆的行驶产生，约占扬尘总量的</w:t>
      </w:r>
      <w:r>
        <w:rPr>
          <w:rFonts w:ascii="Times New Roman" w:eastAsia="Times New Roman"/>
          <w:spacing w:val="-3"/>
        </w:rPr>
        <w:t>60</w:t>
      </w:r>
      <w:r>
        <w:rPr>
          <w:spacing w:val="-6"/>
        </w:rPr>
        <w:t>％，并与道路路面及车辆行驶速度有关，一般情况下，施工场地、施工道路在自然风</w:t>
      </w:r>
      <w:r>
        <w:rPr>
          <w:spacing w:val="-4"/>
        </w:rPr>
        <w:t>作用下产生的扬尘所影响的范围在 </w:t>
      </w:r>
      <w:r>
        <w:rPr>
          <w:rFonts w:ascii="Times New Roman" w:eastAsia="Times New Roman"/>
        </w:rPr>
        <w:t>100m </w:t>
      </w:r>
      <w:r>
        <w:rPr>
          <w:spacing w:val="-3"/>
        </w:rPr>
        <w:t>以内，如果在施工期间对车辆行驶的路面实施</w:t>
      </w:r>
      <w:r>
        <w:rPr>
          <w:spacing w:val="-11"/>
        </w:rPr>
        <w:t>洒水抑尘，每天洒水 </w:t>
      </w:r>
      <w:r>
        <w:rPr>
          <w:rFonts w:ascii="Times New Roman" w:eastAsia="Times New Roman"/>
        </w:rPr>
        <w:t>4</w:t>
      </w:r>
      <w:r>
        <w:rPr/>
        <w:t>～</w:t>
      </w:r>
      <w:r>
        <w:rPr>
          <w:rFonts w:ascii="Times New Roman" w:eastAsia="Times New Roman"/>
        </w:rPr>
        <w:t>5 </w:t>
      </w:r>
      <w:r>
        <w:rPr>
          <w:spacing w:val="-12"/>
        </w:rPr>
        <w:t>次，可使扬尘减少 </w:t>
      </w:r>
      <w:r>
        <w:rPr>
          <w:rFonts w:ascii="Times New Roman" w:eastAsia="Times New Roman"/>
        </w:rPr>
        <w:t>70</w:t>
      </w:r>
      <w:r>
        <w:rPr>
          <w:spacing w:val="-15"/>
        </w:rPr>
        <w:t>％左右，表 </w:t>
      </w:r>
      <w:r>
        <w:rPr>
          <w:rFonts w:ascii="Times New Roman" w:eastAsia="Times New Roman"/>
        </w:rPr>
        <w:t>7.1.2-2 </w:t>
      </w:r>
      <w:r>
        <w:rPr>
          <w:spacing w:val="-2"/>
        </w:rPr>
        <w:t>为施工场地洒水抑尘</w:t>
      </w:r>
    </w:p>
    <w:p>
      <w:pPr>
        <w:spacing w:after="0" w:line="364" w:lineRule="auto"/>
        <w:jc w:val="both"/>
        <w:sectPr>
          <w:footerReference w:type="default" r:id="rId89"/>
          <w:pgSz w:w="11910" w:h="16840"/>
          <w:pgMar w:footer="944" w:header="872" w:top="1340" w:bottom="1140" w:left="1200" w:right="1000"/>
          <w:pgNumType w:start="144"/>
        </w:sectPr>
      </w:pPr>
    </w:p>
    <w:p>
      <w:pPr>
        <w:pStyle w:val="BodyText"/>
        <w:spacing w:line="364" w:lineRule="auto" w:before="64"/>
        <w:ind w:left="218" w:right="413"/>
        <w:jc w:val="both"/>
      </w:pPr>
      <w:r>
        <w:rPr>
          <w:spacing w:val="-2"/>
        </w:rPr>
        <w:t>的试验结果，结果表明实施每天洒水 </w:t>
      </w:r>
      <w:r>
        <w:rPr>
          <w:rFonts w:ascii="Times New Roman" w:eastAsia="Times New Roman"/>
        </w:rPr>
        <w:t>4</w:t>
      </w:r>
      <w:r>
        <w:rPr/>
        <w:t>～</w:t>
      </w:r>
      <w:r>
        <w:rPr>
          <w:rFonts w:ascii="Times New Roman" w:eastAsia="Times New Roman"/>
        </w:rPr>
        <w:t>5 </w:t>
      </w:r>
      <w:r>
        <w:rPr>
          <w:spacing w:val="-3"/>
        </w:rPr>
        <w:t>次进行抑尘，可有效地控制施工扬尘，可将</w:t>
      </w:r>
      <w:r>
        <w:rPr>
          <w:rFonts w:ascii="Times New Roman" w:eastAsia="Times New Roman"/>
        </w:rPr>
        <w:t>TSP </w:t>
      </w:r>
      <w:r>
        <w:rPr>
          <w:spacing w:val="-8"/>
        </w:rPr>
        <w:t>污染距离缩小到 </w:t>
      </w:r>
      <w:r>
        <w:rPr>
          <w:rFonts w:ascii="Times New Roman" w:eastAsia="Times New Roman"/>
        </w:rPr>
        <w:t>20</w:t>
      </w:r>
      <w:r>
        <w:rPr/>
        <w:t>～</w:t>
      </w:r>
      <w:r>
        <w:rPr>
          <w:rFonts w:ascii="Times New Roman" w:eastAsia="Times New Roman"/>
        </w:rPr>
        <w:t>50m </w:t>
      </w:r>
      <w:r>
        <w:rPr>
          <w:spacing w:val="-12"/>
        </w:rPr>
        <w:t>范围。另外，为控制车辆装载货物行驶对施工场地外的影</w:t>
      </w:r>
      <w:r>
        <w:rPr>
          <w:spacing w:val="-8"/>
        </w:rPr>
        <w:t>响，可在车辆开离施工场地时在车身相应部位洒水清除污泥与灰尘，以减少粉尘对外界</w:t>
      </w:r>
      <w:r>
        <w:rPr/>
        <w:t>的影响。</w:t>
      </w:r>
    </w:p>
    <w:p>
      <w:pPr>
        <w:pStyle w:val="Heading4"/>
        <w:spacing w:before="139" w:after="29"/>
        <w:ind w:left="2695"/>
        <w:jc w:val="both"/>
      </w:pPr>
      <w:r>
        <w:rPr/>
        <w:t>表 </w:t>
      </w:r>
      <w:r>
        <w:rPr>
          <w:rFonts w:ascii="Times New Roman" w:eastAsia="Times New Roman"/>
        </w:rPr>
        <w:t>7.2.1-1  </w:t>
      </w:r>
      <w:r>
        <w:rPr/>
        <w:t>施工场地洒水抑尘试验结果</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04"/>
        <w:gridCol w:w="1345"/>
        <w:gridCol w:w="1085"/>
        <w:gridCol w:w="1645"/>
        <w:gridCol w:w="1649"/>
        <w:gridCol w:w="1354"/>
      </w:tblGrid>
      <w:tr>
        <w:trPr>
          <w:trHeight w:val="273" w:hRule="atLeast"/>
        </w:trPr>
        <w:tc>
          <w:tcPr>
            <w:tcW w:w="3349" w:type="dxa"/>
            <w:gridSpan w:val="2"/>
          </w:tcPr>
          <w:p>
            <w:pPr>
              <w:pStyle w:val="TableParagraph"/>
              <w:spacing w:line="252" w:lineRule="exact" w:before="1"/>
              <w:ind w:left="1144" w:right="1136"/>
              <w:rPr>
                <w:b/>
                <w:sz w:val="21"/>
              </w:rPr>
            </w:pPr>
            <w:r>
              <w:rPr>
                <w:b/>
                <w:sz w:val="21"/>
              </w:rPr>
              <w:t>距离（</w:t>
            </w:r>
            <w:r>
              <w:rPr>
                <w:rFonts w:ascii="Times New Roman" w:eastAsia="Times New Roman"/>
                <w:b/>
                <w:sz w:val="21"/>
              </w:rPr>
              <w:t>m</w:t>
            </w:r>
            <w:r>
              <w:rPr>
                <w:b/>
                <w:sz w:val="21"/>
              </w:rPr>
              <w:t>）</w:t>
            </w:r>
          </w:p>
        </w:tc>
        <w:tc>
          <w:tcPr>
            <w:tcW w:w="1085" w:type="dxa"/>
          </w:tcPr>
          <w:p>
            <w:pPr>
              <w:pStyle w:val="TableParagraph"/>
              <w:spacing w:line="238" w:lineRule="exact" w:before="15"/>
              <w:ind w:left="3"/>
              <w:rPr>
                <w:rFonts w:ascii="Times New Roman"/>
                <w:b/>
                <w:sz w:val="21"/>
              </w:rPr>
            </w:pPr>
            <w:r>
              <w:rPr>
                <w:rFonts w:ascii="Times New Roman"/>
                <w:b/>
                <w:w w:val="100"/>
                <w:sz w:val="21"/>
              </w:rPr>
              <w:t>5</w:t>
            </w:r>
          </w:p>
        </w:tc>
        <w:tc>
          <w:tcPr>
            <w:tcW w:w="1645" w:type="dxa"/>
          </w:tcPr>
          <w:p>
            <w:pPr>
              <w:pStyle w:val="TableParagraph"/>
              <w:spacing w:line="238" w:lineRule="exact" w:before="15"/>
              <w:ind w:left="613" w:right="609"/>
              <w:rPr>
                <w:rFonts w:ascii="Times New Roman"/>
                <w:b/>
                <w:sz w:val="21"/>
              </w:rPr>
            </w:pPr>
            <w:r>
              <w:rPr>
                <w:rFonts w:ascii="Times New Roman"/>
                <w:b/>
                <w:sz w:val="21"/>
              </w:rPr>
              <w:t>20</w:t>
            </w:r>
          </w:p>
        </w:tc>
        <w:tc>
          <w:tcPr>
            <w:tcW w:w="1649" w:type="dxa"/>
          </w:tcPr>
          <w:p>
            <w:pPr>
              <w:pStyle w:val="TableParagraph"/>
              <w:spacing w:line="238" w:lineRule="exact" w:before="15"/>
              <w:ind w:left="18" w:right="14"/>
              <w:rPr>
                <w:rFonts w:ascii="Times New Roman"/>
                <w:b/>
                <w:sz w:val="21"/>
              </w:rPr>
            </w:pPr>
            <w:r>
              <w:rPr>
                <w:rFonts w:ascii="Times New Roman"/>
                <w:b/>
                <w:sz w:val="21"/>
              </w:rPr>
              <w:t>50</w:t>
            </w:r>
          </w:p>
        </w:tc>
        <w:tc>
          <w:tcPr>
            <w:tcW w:w="1354" w:type="dxa"/>
          </w:tcPr>
          <w:p>
            <w:pPr>
              <w:pStyle w:val="TableParagraph"/>
              <w:spacing w:line="238" w:lineRule="exact" w:before="15"/>
              <w:ind w:left="281" w:right="274"/>
              <w:rPr>
                <w:rFonts w:ascii="Times New Roman"/>
                <w:b/>
                <w:sz w:val="21"/>
              </w:rPr>
            </w:pPr>
            <w:r>
              <w:rPr>
                <w:rFonts w:ascii="Times New Roman"/>
                <w:b/>
                <w:sz w:val="21"/>
              </w:rPr>
              <w:t>100</w:t>
            </w:r>
          </w:p>
        </w:tc>
      </w:tr>
      <w:tr>
        <w:trPr>
          <w:trHeight w:val="270" w:hRule="atLeast"/>
        </w:trPr>
        <w:tc>
          <w:tcPr>
            <w:tcW w:w="2004" w:type="dxa"/>
            <w:vMerge w:val="restart"/>
          </w:tcPr>
          <w:p>
            <w:pPr>
              <w:pStyle w:val="TableParagraph"/>
              <w:spacing w:before="6"/>
              <w:ind w:left="144" w:right="135"/>
              <w:rPr>
                <w:sz w:val="21"/>
              </w:rPr>
            </w:pPr>
            <w:r>
              <w:rPr>
                <w:rFonts w:ascii="Times New Roman" w:eastAsia="Times New Roman"/>
                <w:sz w:val="21"/>
              </w:rPr>
              <w:t>TSP </w:t>
            </w:r>
            <w:r>
              <w:rPr>
                <w:sz w:val="21"/>
              </w:rPr>
              <w:t>小时平均浓度</w:t>
            </w:r>
          </w:p>
          <w:p>
            <w:pPr>
              <w:pStyle w:val="TableParagraph"/>
              <w:spacing w:line="257" w:lineRule="exact" w:before="2"/>
              <w:ind w:left="144" w:right="135"/>
              <w:rPr>
                <w:sz w:val="21"/>
              </w:rPr>
            </w:pPr>
            <w:r>
              <w:rPr>
                <w:sz w:val="21"/>
              </w:rPr>
              <w:t>（</w:t>
            </w:r>
            <w:r>
              <w:rPr>
                <w:rFonts w:ascii="Times New Roman" w:eastAsia="Times New Roman"/>
                <w:sz w:val="21"/>
              </w:rPr>
              <w:t>mg/Nm</w:t>
            </w:r>
            <w:r>
              <w:rPr>
                <w:rFonts w:ascii="Times New Roman" w:eastAsia="Times New Roman"/>
                <w:position w:val="7"/>
                <w:sz w:val="14"/>
              </w:rPr>
              <w:t>3</w:t>
            </w:r>
            <w:r>
              <w:rPr>
                <w:sz w:val="21"/>
              </w:rPr>
              <w:t>）</w:t>
            </w:r>
          </w:p>
        </w:tc>
        <w:tc>
          <w:tcPr>
            <w:tcW w:w="1345" w:type="dxa"/>
          </w:tcPr>
          <w:p>
            <w:pPr>
              <w:pStyle w:val="TableParagraph"/>
              <w:spacing w:line="250" w:lineRule="exact" w:before="1"/>
              <w:ind w:left="336" w:right="328"/>
              <w:rPr>
                <w:sz w:val="21"/>
              </w:rPr>
            </w:pPr>
            <w:r>
              <w:rPr>
                <w:sz w:val="21"/>
              </w:rPr>
              <w:t>不洒水</w:t>
            </w:r>
          </w:p>
        </w:tc>
        <w:tc>
          <w:tcPr>
            <w:tcW w:w="1085" w:type="dxa"/>
          </w:tcPr>
          <w:p>
            <w:pPr>
              <w:pStyle w:val="TableParagraph"/>
              <w:spacing w:line="236" w:lineRule="exact" w:before="15"/>
              <w:ind w:left="282" w:right="279"/>
              <w:rPr>
                <w:rFonts w:ascii="Times New Roman"/>
                <w:sz w:val="21"/>
              </w:rPr>
            </w:pPr>
            <w:r>
              <w:rPr>
                <w:rFonts w:ascii="Times New Roman"/>
                <w:sz w:val="21"/>
              </w:rPr>
              <w:t>10.14</w:t>
            </w:r>
          </w:p>
        </w:tc>
        <w:tc>
          <w:tcPr>
            <w:tcW w:w="1645" w:type="dxa"/>
          </w:tcPr>
          <w:p>
            <w:pPr>
              <w:pStyle w:val="TableParagraph"/>
              <w:spacing w:line="236" w:lineRule="exact" w:before="15"/>
              <w:ind w:left="618" w:right="609"/>
              <w:rPr>
                <w:rFonts w:ascii="Times New Roman"/>
                <w:sz w:val="21"/>
              </w:rPr>
            </w:pPr>
            <w:r>
              <w:rPr>
                <w:rFonts w:ascii="Times New Roman"/>
                <w:sz w:val="21"/>
              </w:rPr>
              <w:t>2.89</w:t>
            </w:r>
          </w:p>
        </w:tc>
        <w:tc>
          <w:tcPr>
            <w:tcW w:w="1649" w:type="dxa"/>
          </w:tcPr>
          <w:p>
            <w:pPr>
              <w:pStyle w:val="TableParagraph"/>
              <w:spacing w:line="236" w:lineRule="exact" w:before="15"/>
              <w:ind w:left="18" w:right="14"/>
              <w:rPr>
                <w:rFonts w:ascii="Times New Roman"/>
                <w:sz w:val="21"/>
              </w:rPr>
            </w:pPr>
            <w:r>
              <w:rPr>
                <w:rFonts w:ascii="Times New Roman"/>
                <w:sz w:val="21"/>
              </w:rPr>
              <w:t>1.15</w:t>
            </w:r>
          </w:p>
        </w:tc>
        <w:tc>
          <w:tcPr>
            <w:tcW w:w="1354" w:type="dxa"/>
          </w:tcPr>
          <w:p>
            <w:pPr>
              <w:pStyle w:val="TableParagraph"/>
              <w:spacing w:line="236" w:lineRule="exact" w:before="15"/>
              <w:ind w:left="281" w:right="274"/>
              <w:rPr>
                <w:rFonts w:ascii="Times New Roman"/>
                <w:sz w:val="21"/>
              </w:rPr>
            </w:pPr>
            <w:r>
              <w:rPr>
                <w:rFonts w:ascii="Times New Roman"/>
                <w:sz w:val="21"/>
              </w:rPr>
              <w:t>0.86</w:t>
            </w:r>
          </w:p>
        </w:tc>
      </w:tr>
      <w:tr>
        <w:trPr>
          <w:trHeight w:val="273" w:hRule="atLeast"/>
        </w:trPr>
        <w:tc>
          <w:tcPr>
            <w:tcW w:w="2004" w:type="dxa"/>
            <w:vMerge/>
            <w:tcBorders>
              <w:top w:val="nil"/>
            </w:tcBorders>
          </w:tcPr>
          <w:p>
            <w:pPr>
              <w:rPr>
                <w:sz w:val="2"/>
                <w:szCs w:val="2"/>
              </w:rPr>
            </w:pPr>
          </w:p>
        </w:tc>
        <w:tc>
          <w:tcPr>
            <w:tcW w:w="1345" w:type="dxa"/>
          </w:tcPr>
          <w:p>
            <w:pPr>
              <w:pStyle w:val="TableParagraph"/>
              <w:spacing w:line="252" w:lineRule="exact" w:before="1"/>
              <w:ind w:left="336" w:right="328"/>
              <w:rPr>
                <w:sz w:val="21"/>
              </w:rPr>
            </w:pPr>
            <w:r>
              <w:rPr>
                <w:sz w:val="21"/>
              </w:rPr>
              <w:t>洒水</w:t>
            </w:r>
          </w:p>
        </w:tc>
        <w:tc>
          <w:tcPr>
            <w:tcW w:w="1085" w:type="dxa"/>
          </w:tcPr>
          <w:p>
            <w:pPr>
              <w:pStyle w:val="TableParagraph"/>
              <w:spacing w:line="238" w:lineRule="exact" w:before="15"/>
              <w:ind w:left="282" w:right="279"/>
              <w:rPr>
                <w:rFonts w:ascii="Times New Roman"/>
                <w:sz w:val="21"/>
              </w:rPr>
            </w:pPr>
            <w:r>
              <w:rPr>
                <w:rFonts w:ascii="Times New Roman"/>
                <w:sz w:val="21"/>
              </w:rPr>
              <w:t>2.01</w:t>
            </w:r>
          </w:p>
        </w:tc>
        <w:tc>
          <w:tcPr>
            <w:tcW w:w="1645" w:type="dxa"/>
          </w:tcPr>
          <w:p>
            <w:pPr>
              <w:pStyle w:val="TableParagraph"/>
              <w:spacing w:line="238" w:lineRule="exact" w:before="15"/>
              <w:ind w:left="618" w:right="609"/>
              <w:rPr>
                <w:rFonts w:ascii="Times New Roman"/>
                <w:sz w:val="21"/>
              </w:rPr>
            </w:pPr>
            <w:r>
              <w:rPr>
                <w:rFonts w:ascii="Times New Roman"/>
                <w:sz w:val="21"/>
              </w:rPr>
              <w:t>1.40</w:t>
            </w:r>
          </w:p>
        </w:tc>
        <w:tc>
          <w:tcPr>
            <w:tcW w:w="1649" w:type="dxa"/>
          </w:tcPr>
          <w:p>
            <w:pPr>
              <w:pStyle w:val="TableParagraph"/>
              <w:spacing w:line="238" w:lineRule="exact" w:before="15"/>
              <w:ind w:left="18" w:right="14"/>
              <w:rPr>
                <w:rFonts w:ascii="Times New Roman"/>
                <w:sz w:val="21"/>
              </w:rPr>
            </w:pPr>
            <w:r>
              <w:rPr>
                <w:rFonts w:ascii="Times New Roman"/>
                <w:sz w:val="21"/>
              </w:rPr>
              <w:t>0.67</w:t>
            </w:r>
          </w:p>
        </w:tc>
        <w:tc>
          <w:tcPr>
            <w:tcW w:w="1354" w:type="dxa"/>
          </w:tcPr>
          <w:p>
            <w:pPr>
              <w:pStyle w:val="TableParagraph"/>
              <w:spacing w:line="238" w:lineRule="exact" w:before="15"/>
              <w:ind w:left="281" w:right="274"/>
              <w:rPr>
                <w:rFonts w:ascii="Times New Roman"/>
                <w:sz w:val="21"/>
              </w:rPr>
            </w:pPr>
            <w:r>
              <w:rPr>
                <w:rFonts w:ascii="Times New Roman"/>
                <w:sz w:val="21"/>
              </w:rPr>
              <w:t>0.60</w:t>
            </w:r>
          </w:p>
        </w:tc>
      </w:tr>
    </w:tbl>
    <w:p>
      <w:pPr>
        <w:pStyle w:val="BodyText"/>
        <w:spacing w:line="364" w:lineRule="auto" w:before="2"/>
        <w:ind w:left="218" w:right="413" w:firstLine="482"/>
        <w:jc w:val="both"/>
      </w:pPr>
      <w:r>
        <w:rPr>
          <w:spacing w:val="-4"/>
        </w:rPr>
        <w:t>施工扬尘的另一种情况是建材的露天堆放和搅拌作业，这类扬尘的主要特点是受作</w:t>
      </w:r>
      <w:r>
        <w:rPr>
          <w:spacing w:val="-6"/>
        </w:rPr>
        <w:t>业时风速度影响，因此，禁止在大风天进行此类作业及减少建材的露天堆放是抑制这类</w:t>
      </w:r>
      <w:r>
        <w:rPr/>
        <w:t>扬尘的有效手段。</w:t>
      </w:r>
    </w:p>
    <w:p>
      <w:pPr>
        <w:pStyle w:val="BodyText"/>
        <w:spacing w:line="362" w:lineRule="auto"/>
        <w:ind w:left="218" w:right="413" w:firstLine="482"/>
      </w:pPr>
      <w:r>
        <w:rPr>
          <w:spacing w:val="-8"/>
        </w:rPr>
        <w:t>此外，在建筑材料运输、装卸、使用等过程中做好文明施工、文明管理，尽量避免</w:t>
      </w:r>
      <w:r>
        <w:rPr/>
        <w:t>或减少扬尘的产生，防止区域环境空气中粉尘污染。</w:t>
      </w:r>
    </w:p>
    <w:p>
      <w:pPr>
        <w:pStyle w:val="Heading4"/>
        <w:numPr>
          <w:ilvl w:val="2"/>
          <w:numId w:val="23"/>
        </w:numPr>
        <w:tabs>
          <w:tab w:pos="759" w:val="left" w:leader="none"/>
        </w:tabs>
        <w:spacing w:line="240" w:lineRule="auto" w:before="5" w:after="0"/>
        <w:ind w:left="758" w:right="0" w:hanging="541"/>
        <w:jc w:val="left"/>
      </w:pPr>
      <w:r>
        <w:rPr/>
        <w:t>施工噪声的环境影响分析</w:t>
      </w:r>
    </w:p>
    <w:p>
      <w:pPr>
        <w:pStyle w:val="BodyText"/>
        <w:spacing w:line="364" w:lineRule="auto" w:before="158"/>
        <w:ind w:left="218" w:right="413" w:firstLine="480"/>
        <w:jc w:val="both"/>
      </w:pPr>
      <w:r>
        <w:rPr>
          <w:spacing w:val="-5"/>
        </w:rPr>
        <w:t>建筑施工可分为土石方工程阶段、基础施工阶段、结构施工阶段和装修阶段。各阶</w:t>
      </w:r>
      <w:r>
        <w:rPr>
          <w:spacing w:val="-4"/>
        </w:rPr>
        <w:t>段的施工设备产生的施工噪声具有阶段性、临时性和不固定性，不同的施工阶段有不同</w:t>
      </w:r>
      <w:r>
        <w:rPr>
          <w:spacing w:val="-8"/>
        </w:rPr>
        <w:t>的噪声源。总体而言，主要的噪声源有挖掘机、推土机、装卸机、打桩机、打井机、水</w:t>
      </w:r>
      <w:r>
        <w:rPr>
          <w:spacing w:val="-9"/>
        </w:rPr>
        <w:t>泥搅拌机、吊车、沙轮机、电钻、电梯、切割机及各种车辆等，但不同的施工队所拥有</w:t>
      </w:r>
      <w:r>
        <w:rPr>
          <w:spacing w:val="-5"/>
        </w:rPr>
        <w:t>的建筑设备也不尽相同。表 </w:t>
      </w:r>
      <w:r>
        <w:rPr>
          <w:rFonts w:ascii="Times New Roman" w:eastAsia="Times New Roman"/>
        </w:rPr>
        <w:t>7.1.3-1 </w:t>
      </w:r>
      <w:r>
        <w:rPr/>
        <w:t>为部分施工机械的噪声源强。</w:t>
      </w:r>
    </w:p>
    <w:p>
      <w:pPr>
        <w:pStyle w:val="Heading4"/>
        <w:spacing w:before="140" w:after="29"/>
        <w:ind w:left="2635"/>
        <w:jc w:val="both"/>
      </w:pPr>
      <w:r>
        <w:rPr/>
        <w:t>表 </w:t>
      </w:r>
      <w:r>
        <w:rPr>
          <w:rFonts w:ascii="Times New Roman" w:eastAsia="Times New Roman"/>
        </w:rPr>
        <w:t>7.1.3-1  </w:t>
      </w:r>
      <w:r>
        <w:rPr/>
        <w:t>主要施工机械设备的噪声声级</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9"/>
        <w:gridCol w:w="1614"/>
        <w:gridCol w:w="1496"/>
        <w:gridCol w:w="1496"/>
        <w:gridCol w:w="1349"/>
        <w:gridCol w:w="1479"/>
      </w:tblGrid>
      <w:tr>
        <w:trPr>
          <w:trHeight w:val="273" w:hRule="atLeast"/>
        </w:trPr>
        <w:tc>
          <w:tcPr>
            <w:tcW w:w="1649" w:type="dxa"/>
          </w:tcPr>
          <w:p>
            <w:pPr>
              <w:pStyle w:val="TableParagraph"/>
              <w:spacing w:line="252" w:lineRule="exact" w:before="1"/>
              <w:ind w:left="25" w:right="14"/>
              <w:rPr>
                <w:b/>
                <w:sz w:val="21"/>
              </w:rPr>
            </w:pPr>
            <w:r>
              <w:rPr>
                <w:b/>
                <w:sz w:val="21"/>
              </w:rPr>
              <w:t>机械名称</w:t>
            </w:r>
          </w:p>
        </w:tc>
        <w:tc>
          <w:tcPr>
            <w:tcW w:w="1614" w:type="dxa"/>
          </w:tcPr>
          <w:p>
            <w:pPr>
              <w:pStyle w:val="TableParagraph"/>
              <w:spacing w:line="252" w:lineRule="exact" w:before="1"/>
              <w:ind w:left="22" w:right="19"/>
              <w:rPr>
                <w:b/>
                <w:sz w:val="21"/>
              </w:rPr>
            </w:pPr>
            <w:r>
              <w:rPr>
                <w:b/>
                <w:sz w:val="21"/>
              </w:rPr>
              <w:t>测量声级（</w:t>
            </w:r>
            <w:r>
              <w:rPr>
                <w:rFonts w:ascii="Times New Roman" w:eastAsia="Times New Roman"/>
                <w:b/>
                <w:sz w:val="21"/>
              </w:rPr>
              <w:t>dB</w:t>
            </w:r>
            <w:r>
              <w:rPr>
                <w:b/>
                <w:sz w:val="21"/>
              </w:rPr>
              <w:t>）</w:t>
            </w:r>
          </w:p>
        </w:tc>
        <w:tc>
          <w:tcPr>
            <w:tcW w:w="1496" w:type="dxa"/>
          </w:tcPr>
          <w:p>
            <w:pPr>
              <w:pStyle w:val="TableParagraph"/>
              <w:spacing w:line="252" w:lineRule="exact" w:before="1"/>
              <w:ind w:left="7"/>
              <w:rPr>
                <w:b/>
                <w:sz w:val="21"/>
              </w:rPr>
            </w:pPr>
            <w:r>
              <w:rPr>
                <w:b/>
                <w:sz w:val="21"/>
              </w:rPr>
              <w:t>测量距离（</w:t>
            </w:r>
            <w:r>
              <w:rPr>
                <w:rFonts w:ascii="Times New Roman" w:eastAsia="Times New Roman"/>
                <w:b/>
                <w:sz w:val="21"/>
              </w:rPr>
              <w:t>m</w:t>
            </w:r>
            <w:r>
              <w:rPr>
                <w:b/>
                <w:sz w:val="21"/>
              </w:rPr>
              <w:t>）</w:t>
            </w:r>
          </w:p>
        </w:tc>
        <w:tc>
          <w:tcPr>
            <w:tcW w:w="1496" w:type="dxa"/>
          </w:tcPr>
          <w:p>
            <w:pPr>
              <w:pStyle w:val="TableParagraph"/>
              <w:spacing w:line="252" w:lineRule="exact" w:before="1"/>
              <w:ind w:left="3"/>
              <w:rPr>
                <w:b/>
                <w:sz w:val="21"/>
              </w:rPr>
            </w:pPr>
            <w:r>
              <w:rPr>
                <w:b/>
                <w:sz w:val="21"/>
              </w:rPr>
              <w:t>机械名称</w:t>
            </w:r>
          </w:p>
        </w:tc>
        <w:tc>
          <w:tcPr>
            <w:tcW w:w="1349" w:type="dxa"/>
          </w:tcPr>
          <w:p>
            <w:pPr>
              <w:pStyle w:val="TableParagraph"/>
              <w:spacing w:line="252" w:lineRule="exact" w:before="1"/>
              <w:ind w:left="29" w:right="29"/>
              <w:rPr>
                <w:rFonts w:ascii="Times New Roman" w:eastAsia="Times New Roman"/>
                <w:b/>
                <w:sz w:val="21"/>
              </w:rPr>
            </w:pPr>
            <w:r>
              <w:rPr>
                <w:b/>
                <w:sz w:val="21"/>
              </w:rPr>
              <w:t>测量声级</w:t>
            </w:r>
            <w:r>
              <w:rPr>
                <w:rFonts w:ascii="Times New Roman" w:eastAsia="Times New Roman"/>
                <w:b/>
                <w:sz w:val="21"/>
              </w:rPr>
              <w:t>(dB)</w:t>
            </w:r>
          </w:p>
        </w:tc>
        <w:tc>
          <w:tcPr>
            <w:tcW w:w="1479" w:type="dxa"/>
          </w:tcPr>
          <w:p>
            <w:pPr>
              <w:pStyle w:val="TableParagraph"/>
              <w:spacing w:line="252" w:lineRule="exact" w:before="1"/>
              <w:ind w:left="2"/>
              <w:rPr>
                <w:b/>
                <w:sz w:val="21"/>
              </w:rPr>
            </w:pPr>
            <w:r>
              <w:rPr>
                <w:b/>
                <w:sz w:val="21"/>
              </w:rPr>
              <w:t>测量距离（</w:t>
            </w:r>
            <w:r>
              <w:rPr>
                <w:rFonts w:ascii="Times New Roman" w:eastAsia="Times New Roman"/>
                <w:b/>
                <w:sz w:val="21"/>
              </w:rPr>
              <w:t>m</w:t>
            </w:r>
            <w:r>
              <w:rPr>
                <w:b/>
                <w:sz w:val="21"/>
              </w:rPr>
              <w:t>）</w:t>
            </w:r>
          </w:p>
        </w:tc>
      </w:tr>
      <w:tr>
        <w:trPr>
          <w:trHeight w:val="270" w:hRule="atLeast"/>
        </w:trPr>
        <w:tc>
          <w:tcPr>
            <w:tcW w:w="1649" w:type="dxa"/>
          </w:tcPr>
          <w:p>
            <w:pPr>
              <w:pStyle w:val="TableParagraph"/>
              <w:spacing w:line="250" w:lineRule="exact" w:before="1"/>
              <w:ind w:left="25" w:right="14"/>
              <w:rPr>
                <w:sz w:val="21"/>
              </w:rPr>
            </w:pPr>
            <w:r>
              <w:rPr>
                <w:sz w:val="21"/>
              </w:rPr>
              <w:t>挖掘机</w:t>
            </w:r>
          </w:p>
        </w:tc>
        <w:tc>
          <w:tcPr>
            <w:tcW w:w="1614" w:type="dxa"/>
          </w:tcPr>
          <w:p>
            <w:pPr>
              <w:pStyle w:val="TableParagraph"/>
              <w:spacing w:line="236" w:lineRule="exact" w:before="15"/>
              <w:ind w:left="22" w:right="19"/>
              <w:rPr>
                <w:rFonts w:ascii="Times New Roman"/>
                <w:sz w:val="21"/>
              </w:rPr>
            </w:pPr>
            <w:r>
              <w:rPr>
                <w:rFonts w:ascii="Times New Roman"/>
                <w:sz w:val="21"/>
              </w:rPr>
              <w:t>79</w:t>
            </w:r>
          </w:p>
        </w:tc>
        <w:tc>
          <w:tcPr>
            <w:tcW w:w="1496" w:type="dxa"/>
          </w:tcPr>
          <w:p>
            <w:pPr>
              <w:pStyle w:val="TableParagraph"/>
              <w:spacing w:line="236" w:lineRule="exact" w:before="15"/>
              <w:ind w:left="4"/>
              <w:rPr>
                <w:rFonts w:ascii="Times New Roman"/>
                <w:sz w:val="21"/>
              </w:rPr>
            </w:pPr>
            <w:r>
              <w:rPr>
                <w:rFonts w:ascii="Times New Roman"/>
                <w:sz w:val="21"/>
              </w:rPr>
              <w:t>15</w:t>
            </w:r>
          </w:p>
        </w:tc>
        <w:tc>
          <w:tcPr>
            <w:tcW w:w="1496" w:type="dxa"/>
          </w:tcPr>
          <w:p>
            <w:pPr>
              <w:pStyle w:val="TableParagraph"/>
              <w:spacing w:line="250" w:lineRule="exact" w:before="1"/>
              <w:ind w:left="3"/>
              <w:rPr>
                <w:sz w:val="21"/>
              </w:rPr>
            </w:pPr>
            <w:r>
              <w:rPr>
                <w:sz w:val="21"/>
              </w:rPr>
              <w:t>风镐</w:t>
            </w:r>
          </w:p>
        </w:tc>
        <w:tc>
          <w:tcPr>
            <w:tcW w:w="1349" w:type="dxa"/>
          </w:tcPr>
          <w:p>
            <w:pPr>
              <w:pStyle w:val="TableParagraph"/>
              <w:spacing w:line="236" w:lineRule="exact" w:before="15"/>
              <w:ind w:left="29" w:right="29"/>
              <w:rPr>
                <w:rFonts w:ascii="Times New Roman"/>
                <w:sz w:val="21"/>
              </w:rPr>
            </w:pPr>
            <w:r>
              <w:rPr>
                <w:rFonts w:ascii="Times New Roman"/>
                <w:sz w:val="21"/>
              </w:rPr>
              <w:t>103</w:t>
            </w:r>
          </w:p>
        </w:tc>
        <w:tc>
          <w:tcPr>
            <w:tcW w:w="1479" w:type="dxa"/>
          </w:tcPr>
          <w:p>
            <w:pPr>
              <w:pStyle w:val="TableParagraph"/>
              <w:spacing w:line="236" w:lineRule="exact" w:before="15"/>
              <w:rPr>
                <w:rFonts w:ascii="Times New Roman"/>
                <w:sz w:val="21"/>
              </w:rPr>
            </w:pPr>
            <w:r>
              <w:rPr>
                <w:rFonts w:ascii="Times New Roman"/>
                <w:w w:val="100"/>
                <w:sz w:val="21"/>
              </w:rPr>
              <w:t>1</w:t>
            </w:r>
          </w:p>
        </w:tc>
      </w:tr>
      <w:tr>
        <w:trPr>
          <w:trHeight w:val="273" w:hRule="atLeast"/>
        </w:trPr>
        <w:tc>
          <w:tcPr>
            <w:tcW w:w="1649" w:type="dxa"/>
          </w:tcPr>
          <w:p>
            <w:pPr>
              <w:pStyle w:val="TableParagraph"/>
              <w:spacing w:line="252" w:lineRule="exact" w:before="1"/>
              <w:ind w:left="25" w:right="14"/>
              <w:rPr>
                <w:sz w:val="21"/>
              </w:rPr>
            </w:pPr>
            <w:r>
              <w:rPr>
                <w:sz w:val="21"/>
              </w:rPr>
              <w:t>推土机</w:t>
            </w:r>
          </w:p>
        </w:tc>
        <w:tc>
          <w:tcPr>
            <w:tcW w:w="1614" w:type="dxa"/>
          </w:tcPr>
          <w:p>
            <w:pPr>
              <w:pStyle w:val="TableParagraph"/>
              <w:spacing w:line="238" w:lineRule="exact" w:before="15"/>
              <w:ind w:left="22" w:right="19"/>
              <w:rPr>
                <w:rFonts w:ascii="Times New Roman"/>
                <w:sz w:val="21"/>
              </w:rPr>
            </w:pPr>
            <w:r>
              <w:rPr>
                <w:rFonts w:ascii="Times New Roman"/>
                <w:sz w:val="21"/>
              </w:rPr>
              <w:t>90</w:t>
            </w:r>
          </w:p>
        </w:tc>
        <w:tc>
          <w:tcPr>
            <w:tcW w:w="1496" w:type="dxa"/>
          </w:tcPr>
          <w:p>
            <w:pPr>
              <w:pStyle w:val="TableParagraph"/>
              <w:spacing w:line="238" w:lineRule="exact" w:before="15"/>
              <w:ind w:left="4"/>
              <w:rPr>
                <w:rFonts w:ascii="Times New Roman"/>
                <w:sz w:val="21"/>
              </w:rPr>
            </w:pPr>
            <w:r>
              <w:rPr>
                <w:rFonts w:ascii="Times New Roman"/>
                <w:w w:val="100"/>
                <w:sz w:val="21"/>
              </w:rPr>
              <w:t>5</w:t>
            </w:r>
          </w:p>
        </w:tc>
        <w:tc>
          <w:tcPr>
            <w:tcW w:w="1496" w:type="dxa"/>
          </w:tcPr>
          <w:p>
            <w:pPr>
              <w:pStyle w:val="TableParagraph"/>
              <w:spacing w:line="252" w:lineRule="exact" w:before="1"/>
              <w:ind w:left="3"/>
              <w:rPr>
                <w:sz w:val="21"/>
              </w:rPr>
            </w:pPr>
            <w:r>
              <w:rPr>
                <w:sz w:val="21"/>
              </w:rPr>
              <w:t>空压机</w:t>
            </w:r>
          </w:p>
        </w:tc>
        <w:tc>
          <w:tcPr>
            <w:tcW w:w="1349" w:type="dxa"/>
          </w:tcPr>
          <w:p>
            <w:pPr>
              <w:pStyle w:val="TableParagraph"/>
              <w:spacing w:line="238" w:lineRule="exact" w:before="15"/>
              <w:ind w:left="29" w:right="29"/>
              <w:rPr>
                <w:rFonts w:ascii="Times New Roman"/>
                <w:sz w:val="21"/>
              </w:rPr>
            </w:pPr>
            <w:r>
              <w:rPr>
                <w:rFonts w:ascii="Times New Roman"/>
                <w:sz w:val="21"/>
              </w:rPr>
              <w:t>92</w:t>
            </w:r>
          </w:p>
        </w:tc>
        <w:tc>
          <w:tcPr>
            <w:tcW w:w="1479" w:type="dxa"/>
          </w:tcPr>
          <w:p>
            <w:pPr>
              <w:pStyle w:val="TableParagraph"/>
              <w:spacing w:line="238" w:lineRule="exact" w:before="15"/>
              <w:rPr>
                <w:rFonts w:ascii="Times New Roman"/>
                <w:sz w:val="21"/>
              </w:rPr>
            </w:pPr>
            <w:r>
              <w:rPr>
                <w:rFonts w:ascii="Times New Roman"/>
                <w:w w:val="100"/>
                <w:sz w:val="21"/>
              </w:rPr>
              <w:t>3</w:t>
            </w:r>
          </w:p>
        </w:tc>
      </w:tr>
      <w:tr>
        <w:trPr>
          <w:trHeight w:val="270" w:hRule="atLeast"/>
        </w:trPr>
        <w:tc>
          <w:tcPr>
            <w:tcW w:w="1649" w:type="dxa"/>
          </w:tcPr>
          <w:p>
            <w:pPr>
              <w:pStyle w:val="TableParagraph"/>
              <w:spacing w:line="250" w:lineRule="exact" w:before="1"/>
              <w:ind w:left="25" w:right="14"/>
              <w:rPr>
                <w:sz w:val="21"/>
              </w:rPr>
            </w:pPr>
            <w:r>
              <w:rPr>
                <w:sz w:val="21"/>
              </w:rPr>
              <w:t>装卸机</w:t>
            </w:r>
          </w:p>
        </w:tc>
        <w:tc>
          <w:tcPr>
            <w:tcW w:w="1614" w:type="dxa"/>
          </w:tcPr>
          <w:p>
            <w:pPr>
              <w:pStyle w:val="TableParagraph"/>
              <w:spacing w:line="236" w:lineRule="exact" w:before="15"/>
              <w:ind w:left="22" w:right="19"/>
              <w:rPr>
                <w:rFonts w:ascii="Times New Roman"/>
                <w:sz w:val="21"/>
              </w:rPr>
            </w:pPr>
            <w:r>
              <w:rPr>
                <w:rFonts w:ascii="Times New Roman"/>
                <w:sz w:val="21"/>
              </w:rPr>
              <w:t>86</w:t>
            </w:r>
          </w:p>
        </w:tc>
        <w:tc>
          <w:tcPr>
            <w:tcW w:w="1496" w:type="dxa"/>
          </w:tcPr>
          <w:p>
            <w:pPr>
              <w:pStyle w:val="TableParagraph"/>
              <w:spacing w:line="236" w:lineRule="exact" w:before="15"/>
              <w:ind w:left="4"/>
              <w:rPr>
                <w:rFonts w:ascii="Times New Roman"/>
                <w:sz w:val="21"/>
              </w:rPr>
            </w:pPr>
            <w:r>
              <w:rPr>
                <w:rFonts w:ascii="Times New Roman"/>
                <w:w w:val="100"/>
                <w:sz w:val="21"/>
              </w:rPr>
              <w:t>5</w:t>
            </w:r>
          </w:p>
        </w:tc>
        <w:tc>
          <w:tcPr>
            <w:tcW w:w="1496" w:type="dxa"/>
          </w:tcPr>
          <w:p>
            <w:pPr>
              <w:pStyle w:val="TableParagraph"/>
              <w:spacing w:line="250" w:lineRule="exact" w:before="1"/>
              <w:ind w:left="3"/>
              <w:rPr>
                <w:sz w:val="21"/>
              </w:rPr>
            </w:pPr>
            <w:r>
              <w:rPr>
                <w:sz w:val="21"/>
              </w:rPr>
              <w:t>混凝土搅拌机</w:t>
            </w:r>
          </w:p>
        </w:tc>
        <w:tc>
          <w:tcPr>
            <w:tcW w:w="1349" w:type="dxa"/>
          </w:tcPr>
          <w:p>
            <w:pPr>
              <w:pStyle w:val="TableParagraph"/>
              <w:spacing w:line="236" w:lineRule="exact" w:before="15"/>
              <w:ind w:left="29" w:right="29"/>
              <w:rPr>
                <w:rFonts w:ascii="Times New Roman"/>
                <w:sz w:val="21"/>
              </w:rPr>
            </w:pPr>
            <w:r>
              <w:rPr>
                <w:rFonts w:ascii="Times New Roman"/>
                <w:sz w:val="21"/>
              </w:rPr>
              <w:t>79</w:t>
            </w:r>
          </w:p>
        </w:tc>
        <w:tc>
          <w:tcPr>
            <w:tcW w:w="1479" w:type="dxa"/>
          </w:tcPr>
          <w:p>
            <w:pPr>
              <w:pStyle w:val="TableParagraph"/>
              <w:spacing w:line="236" w:lineRule="exact" w:before="15"/>
              <w:rPr>
                <w:rFonts w:ascii="Times New Roman"/>
                <w:sz w:val="21"/>
              </w:rPr>
            </w:pPr>
            <w:r>
              <w:rPr>
                <w:rFonts w:ascii="Times New Roman"/>
                <w:sz w:val="21"/>
              </w:rPr>
              <w:t>15</w:t>
            </w:r>
          </w:p>
        </w:tc>
      </w:tr>
      <w:tr>
        <w:trPr>
          <w:trHeight w:val="273" w:hRule="atLeast"/>
        </w:trPr>
        <w:tc>
          <w:tcPr>
            <w:tcW w:w="1649" w:type="dxa"/>
          </w:tcPr>
          <w:p>
            <w:pPr>
              <w:pStyle w:val="TableParagraph"/>
              <w:spacing w:line="250" w:lineRule="exact" w:before="3"/>
              <w:ind w:left="25" w:right="14"/>
              <w:rPr>
                <w:sz w:val="21"/>
              </w:rPr>
            </w:pPr>
            <w:r>
              <w:rPr>
                <w:sz w:val="21"/>
              </w:rPr>
              <w:t>压路机</w:t>
            </w:r>
          </w:p>
        </w:tc>
        <w:tc>
          <w:tcPr>
            <w:tcW w:w="1614" w:type="dxa"/>
          </w:tcPr>
          <w:p>
            <w:pPr>
              <w:pStyle w:val="TableParagraph"/>
              <w:spacing w:line="236" w:lineRule="exact" w:before="17"/>
              <w:ind w:left="22" w:right="19"/>
              <w:rPr>
                <w:rFonts w:ascii="Times New Roman"/>
                <w:sz w:val="21"/>
              </w:rPr>
            </w:pPr>
            <w:r>
              <w:rPr>
                <w:rFonts w:ascii="Times New Roman"/>
                <w:sz w:val="21"/>
              </w:rPr>
              <w:t>73</w:t>
            </w:r>
          </w:p>
        </w:tc>
        <w:tc>
          <w:tcPr>
            <w:tcW w:w="1496" w:type="dxa"/>
          </w:tcPr>
          <w:p>
            <w:pPr>
              <w:pStyle w:val="TableParagraph"/>
              <w:spacing w:line="236" w:lineRule="exact" w:before="17"/>
              <w:ind w:left="4"/>
              <w:rPr>
                <w:rFonts w:ascii="Times New Roman"/>
                <w:sz w:val="21"/>
              </w:rPr>
            </w:pPr>
            <w:r>
              <w:rPr>
                <w:rFonts w:ascii="Times New Roman"/>
                <w:sz w:val="21"/>
              </w:rPr>
              <w:t>10</w:t>
            </w:r>
          </w:p>
        </w:tc>
        <w:tc>
          <w:tcPr>
            <w:tcW w:w="1496" w:type="dxa"/>
          </w:tcPr>
          <w:p>
            <w:pPr>
              <w:pStyle w:val="TableParagraph"/>
              <w:spacing w:line="250" w:lineRule="exact" w:before="3"/>
              <w:ind w:left="3"/>
              <w:rPr>
                <w:sz w:val="21"/>
              </w:rPr>
            </w:pPr>
            <w:r>
              <w:rPr>
                <w:sz w:val="21"/>
              </w:rPr>
              <w:t>混凝土振捣机</w:t>
            </w:r>
          </w:p>
        </w:tc>
        <w:tc>
          <w:tcPr>
            <w:tcW w:w="1349" w:type="dxa"/>
          </w:tcPr>
          <w:p>
            <w:pPr>
              <w:pStyle w:val="TableParagraph"/>
              <w:spacing w:line="236" w:lineRule="exact" w:before="17"/>
              <w:ind w:left="29" w:right="29"/>
              <w:rPr>
                <w:rFonts w:ascii="Times New Roman"/>
                <w:sz w:val="21"/>
              </w:rPr>
            </w:pPr>
            <w:r>
              <w:rPr>
                <w:rFonts w:ascii="Times New Roman"/>
                <w:sz w:val="21"/>
              </w:rPr>
              <w:t>80</w:t>
            </w:r>
          </w:p>
        </w:tc>
        <w:tc>
          <w:tcPr>
            <w:tcW w:w="1479" w:type="dxa"/>
          </w:tcPr>
          <w:p>
            <w:pPr>
              <w:pStyle w:val="TableParagraph"/>
              <w:spacing w:line="236" w:lineRule="exact" w:before="17"/>
              <w:rPr>
                <w:rFonts w:ascii="Times New Roman"/>
                <w:sz w:val="21"/>
              </w:rPr>
            </w:pPr>
            <w:r>
              <w:rPr>
                <w:rFonts w:ascii="Times New Roman"/>
                <w:sz w:val="21"/>
              </w:rPr>
              <w:t>12</w:t>
            </w:r>
          </w:p>
        </w:tc>
      </w:tr>
      <w:tr>
        <w:trPr>
          <w:trHeight w:val="273" w:hRule="atLeast"/>
        </w:trPr>
        <w:tc>
          <w:tcPr>
            <w:tcW w:w="1649" w:type="dxa"/>
          </w:tcPr>
          <w:p>
            <w:pPr>
              <w:pStyle w:val="TableParagraph"/>
              <w:spacing w:line="252" w:lineRule="exact" w:before="1"/>
              <w:ind w:left="25" w:right="14"/>
              <w:rPr>
                <w:sz w:val="21"/>
              </w:rPr>
            </w:pPr>
            <w:r>
              <w:rPr>
                <w:sz w:val="21"/>
              </w:rPr>
              <w:t>铲土机</w:t>
            </w:r>
          </w:p>
        </w:tc>
        <w:tc>
          <w:tcPr>
            <w:tcW w:w="1614" w:type="dxa"/>
          </w:tcPr>
          <w:p>
            <w:pPr>
              <w:pStyle w:val="TableParagraph"/>
              <w:spacing w:line="238" w:lineRule="exact" w:before="15"/>
              <w:ind w:left="22" w:right="19"/>
              <w:rPr>
                <w:rFonts w:ascii="Times New Roman"/>
                <w:sz w:val="21"/>
              </w:rPr>
            </w:pPr>
            <w:r>
              <w:rPr>
                <w:rFonts w:ascii="Times New Roman"/>
                <w:sz w:val="21"/>
              </w:rPr>
              <w:t>75</w:t>
            </w:r>
          </w:p>
        </w:tc>
        <w:tc>
          <w:tcPr>
            <w:tcW w:w="1496" w:type="dxa"/>
          </w:tcPr>
          <w:p>
            <w:pPr>
              <w:pStyle w:val="TableParagraph"/>
              <w:spacing w:line="238" w:lineRule="exact" w:before="15"/>
              <w:ind w:left="4"/>
              <w:rPr>
                <w:rFonts w:ascii="Times New Roman"/>
                <w:sz w:val="21"/>
              </w:rPr>
            </w:pPr>
            <w:r>
              <w:rPr>
                <w:rFonts w:ascii="Times New Roman"/>
                <w:sz w:val="21"/>
              </w:rPr>
              <w:t>15</w:t>
            </w:r>
          </w:p>
        </w:tc>
        <w:tc>
          <w:tcPr>
            <w:tcW w:w="1496" w:type="dxa"/>
          </w:tcPr>
          <w:p>
            <w:pPr>
              <w:pStyle w:val="TableParagraph"/>
              <w:spacing w:line="252" w:lineRule="exact" w:before="1"/>
              <w:ind w:left="3"/>
              <w:rPr>
                <w:sz w:val="21"/>
              </w:rPr>
            </w:pPr>
            <w:r>
              <w:rPr>
                <w:sz w:val="21"/>
              </w:rPr>
              <w:t>电锯</w:t>
            </w:r>
          </w:p>
        </w:tc>
        <w:tc>
          <w:tcPr>
            <w:tcW w:w="1349" w:type="dxa"/>
          </w:tcPr>
          <w:p>
            <w:pPr>
              <w:pStyle w:val="TableParagraph"/>
              <w:spacing w:line="238" w:lineRule="exact" w:before="15"/>
              <w:ind w:left="29" w:right="29"/>
              <w:rPr>
                <w:rFonts w:ascii="Times New Roman"/>
                <w:sz w:val="21"/>
              </w:rPr>
            </w:pPr>
            <w:r>
              <w:rPr>
                <w:rFonts w:ascii="Times New Roman"/>
                <w:sz w:val="21"/>
              </w:rPr>
              <w:t>103</w:t>
            </w:r>
          </w:p>
        </w:tc>
        <w:tc>
          <w:tcPr>
            <w:tcW w:w="1479" w:type="dxa"/>
          </w:tcPr>
          <w:p>
            <w:pPr>
              <w:pStyle w:val="TableParagraph"/>
              <w:spacing w:line="238" w:lineRule="exact" w:before="15"/>
              <w:rPr>
                <w:rFonts w:ascii="Times New Roman"/>
                <w:sz w:val="21"/>
              </w:rPr>
            </w:pPr>
            <w:r>
              <w:rPr>
                <w:rFonts w:ascii="Times New Roman"/>
                <w:w w:val="100"/>
                <w:sz w:val="21"/>
              </w:rPr>
              <w:t>1</w:t>
            </w:r>
          </w:p>
        </w:tc>
      </w:tr>
      <w:tr>
        <w:trPr>
          <w:trHeight w:val="270" w:hRule="atLeast"/>
        </w:trPr>
        <w:tc>
          <w:tcPr>
            <w:tcW w:w="1649" w:type="dxa"/>
          </w:tcPr>
          <w:p>
            <w:pPr>
              <w:pStyle w:val="TableParagraph"/>
              <w:spacing w:line="250" w:lineRule="exact" w:before="1"/>
              <w:ind w:left="23" w:right="14"/>
              <w:rPr>
                <w:sz w:val="21"/>
              </w:rPr>
            </w:pPr>
            <w:r>
              <w:rPr>
                <w:sz w:val="21"/>
              </w:rPr>
              <w:t>自卸卡车</w:t>
            </w:r>
          </w:p>
        </w:tc>
        <w:tc>
          <w:tcPr>
            <w:tcW w:w="1614" w:type="dxa"/>
          </w:tcPr>
          <w:p>
            <w:pPr>
              <w:pStyle w:val="TableParagraph"/>
              <w:spacing w:line="236" w:lineRule="exact" w:before="15"/>
              <w:ind w:left="22" w:right="19"/>
              <w:rPr>
                <w:rFonts w:ascii="Times New Roman"/>
                <w:sz w:val="21"/>
              </w:rPr>
            </w:pPr>
            <w:r>
              <w:rPr>
                <w:rFonts w:ascii="Times New Roman"/>
                <w:sz w:val="21"/>
              </w:rPr>
              <w:t>70</w:t>
            </w:r>
          </w:p>
        </w:tc>
        <w:tc>
          <w:tcPr>
            <w:tcW w:w="1496" w:type="dxa"/>
          </w:tcPr>
          <w:p>
            <w:pPr>
              <w:pStyle w:val="TableParagraph"/>
              <w:spacing w:line="236" w:lineRule="exact" w:before="15"/>
              <w:ind w:left="4"/>
              <w:rPr>
                <w:rFonts w:ascii="Times New Roman"/>
                <w:sz w:val="21"/>
              </w:rPr>
            </w:pPr>
            <w:r>
              <w:rPr>
                <w:rFonts w:ascii="Times New Roman"/>
                <w:sz w:val="21"/>
              </w:rPr>
              <w:t>15</w:t>
            </w:r>
          </w:p>
        </w:tc>
        <w:tc>
          <w:tcPr>
            <w:tcW w:w="1496" w:type="dxa"/>
          </w:tcPr>
          <w:p>
            <w:pPr>
              <w:pStyle w:val="TableParagraph"/>
              <w:spacing w:line="250" w:lineRule="exact" w:before="1"/>
              <w:ind w:left="3"/>
              <w:rPr>
                <w:sz w:val="21"/>
              </w:rPr>
            </w:pPr>
            <w:r>
              <w:rPr>
                <w:sz w:val="21"/>
              </w:rPr>
              <w:t>升降机</w:t>
            </w:r>
          </w:p>
        </w:tc>
        <w:tc>
          <w:tcPr>
            <w:tcW w:w="1349" w:type="dxa"/>
          </w:tcPr>
          <w:p>
            <w:pPr>
              <w:pStyle w:val="TableParagraph"/>
              <w:spacing w:line="236" w:lineRule="exact" w:before="15"/>
              <w:ind w:left="29" w:right="29"/>
              <w:rPr>
                <w:rFonts w:ascii="Times New Roman"/>
                <w:sz w:val="21"/>
              </w:rPr>
            </w:pPr>
            <w:r>
              <w:rPr>
                <w:rFonts w:ascii="Times New Roman"/>
                <w:sz w:val="21"/>
              </w:rPr>
              <w:t>72</w:t>
            </w:r>
          </w:p>
        </w:tc>
        <w:tc>
          <w:tcPr>
            <w:tcW w:w="1479" w:type="dxa"/>
          </w:tcPr>
          <w:p>
            <w:pPr>
              <w:pStyle w:val="TableParagraph"/>
              <w:spacing w:line="236" w:lineRule="exact" w:before="15"/>
              <w:rPr>
                <w:rFonts w:ascii="Times New Roman"/>
                <w:sz w:val="21"/>
              </w:rPr>
            </w:pPr>
            <w:r>
              <w:rPr>
                <w:rFonts w:ascii="Times New Roman"/>
                <w:sz w:val="21"/>
              </w:rPr>
              <w:t>15</w:t>
            </w:r>
          </w:p>
        </w:tc>
      </w:tr>
      <w:tr>
        <w:trPr>
          <w:trHeight w:val="273" w:hRule="atLeast"/>
        </w:trPr>
        <w:tc>
          <w:tcPr>
            <w:tcW w:w="1649" w:type="dxa"/>
          </w:tcPr>
          <w:p>
            <w:pPr>
              <w:pStyle w:val="TableParagraph"/>
              <w:spacing w:line="250" w:lineRule="exact" w:before="3"/>
              <w:ind w:left="25" w:right="14"/>
              <w:rPr>
                <w:sz w:val="21"/>
              </w:rPr>
            </w:pPr>
            <w:r>
              <w:rPr>
                <w:sz w:val="21"/>
              </w:rPr>
              <w:t>钻孔式灌注桩机</w:t>
            </w:r>
          </w:p>
        </w:tc>
        <w:tc>
          <w:tcPr>
            <w:tcW w:w="1614" w:type="dxa"/>
          </w:tcPr>
          <w:p>
            <w:pPr>
              <w:pStyle w:val="TableParagraph"/>
              <w:spacing w:line="236" w:lineRule="exact" w:before="17"/>
              <w:ind w:left="22" w:right="19"/>
              <w:rPr>
                <w:rFonts w:ascii="Times New Roman"/>
                <w:sz w:val="21"/>
              </w:rPr>
            </w:pPr>
            <w:r>
              <w:rPr>
                <w:rFonts w:ascii="Times New Roman"/>
                <w:sz w:val="21"/>
              </w:rPr>
              <w:t>81</w:t>
            </w:r>
          </w:p>
        </w:tc>
        <w:tc>
          <w:tcPr>
            <w:tcW w:w="1496" w:type="dxa"/>
          </w:tcPr>
          <w:p>
            <w:pPr>
              <w:pStyle w:val="TableParagraph"/>
              <w:spacing w:line="236" w:lineRule="exact" w:before="17"/>
              <w:ind w:left="4"/>
              <w:rPr>
                <w:rFonts w:ascii="Times New Roman"/>
                <w:sz w:val="21"/>
              </w:rPr>
            </w:pPr>
            <w:r>
              <w:rPr>
                <w:rFonts w:ascii="Times New Roman"/>
                <w:sz w:val="21"/>
              </w:rPr>
              <w:t>15</w:t>
            </w:r>
          </w:p>
        </w:tc>
        <w:tc>
          <w:tcPr>
            <w:tcW w:w="1496" w:type="dxa"/>
          </w:tcPr>
          <w:p>
            <w:pPr>
              <w:pStyle w:val="TableParagraph"/>
              <w:spacing w:line="250" w:lineRule="exact" w:before="3"/>
              <w:ind w:left="3"/>
              <w:rPr>
                <w:sz w:val="21"/>
              </w:rPr>
            </w:pPr>
            <w:r>
              <w:rPr>
                <w:sz w:val="21"/>
              </w:rPr>
              <w:t>砂轮机</w:t>
            </w:r>
          </w:p>
        </w:tc>
        <w:tc>
          <w:tcPr>
            <w:tcW w:w="1349" w:type="dxa"/>
          </w:tcPr>
          <w:p>
            <w:pPr>
              <w:pStyle w:val="TableParagraph"/>
              <w:spacing w:line="250" w:lineRule="exact" w:before="3"/>
              <w:ind w:left="29" w:right="27"/>
              <w:rPr>
                <w:rFonts w:ascii="Times New Roman" w:eastAsia="Times New Roman"/>
                <w:sz w:val="21"/>
              </w:rPr>
            </w:pPr>
            <w:r>
              <w:rPr>
                <w:rFonts w:ascii="Times New Roman" w:eastAsia="Times New Roman"/>
                <w:sz w:val="21"/>
              </w:rPr>
              <w:t>91</w:t>
            </w:r>
            <w:r>
              <w:rPr>
                <w:sz w:val="21"/>
              </w:rPr>
              <w:t>～</w:t>
            </w:r>
            <w:r>
              <w:rPr>
                <w:rFonts w:ascii="Times New Roman" w:eastAsia="Times New Roman"/>
                <w:sz w:val="21"/>
              </w:rPr>
              <w:t>105</w:t>
            </w:r>
          </w:p>
        </w:tc>
        <w:tc>
          <w:tcPr>
            <w:tcW w:w="1479" w:type="dxa"/>
          </w:tcPr>
          <w:p>
            <w:pPr>
              <w:pStyle w:val="TableParagraph"/>
              <w:spacing w:line="236" w:lineRule="exact" w:before="17"/>
              <w:ind w:left="1"/>
              <w:rPr>
                <w:rFonts w:ascii="Times New Roman"/>
                <w:sz w:val="21"/>
              </w:rPr>
            </w:pPr>
            <w:r>
              <w:rPr>
                <w:rFonts w:ascii="Times New Roman"/>
                <w:w w:val="100"/>
                <w:sz w:val="21"/>
              </w:rPr>
              <w:t>/</w:t>
            </w:r>
          </w:p>
        </w:tc>
      </w:tr>
      <w:tr>
        <w:trPr>
          <w:trHeight w:val="273" w:hRule="atLeast"/>
        </w:trPr>
        <w:tc>
          <w:tcPr>
            <w:tcW w:w="1649" w:type="dxa"/>
          </w:tcPr>
          <w:p>
            <w:pPr>
              <w:pStyle w:val="TableParagraph"/>
              <w:spacing w:line="252" w:lineRule="exact" w:before="1"/>
              <w:ind w:left="25" w:right="14"/>
              <w:rPr>
                <w:sz w:val="21"/>
              </w:rPr>
            </w:pPr>
            <w:r>
              <w:rPr>
                <w:sz w:val="21"/>
              </w:rPr>
              <w:t>静压式打桩机</w:t>
            </w:r>
          </w:p>
        </w:tc>
        <w:tc>
          <w:tcPr>
            <w:tcW w:w="1614" w:type="dxa"/>
          </w:tcPr>
          <w:p>
            <w:pPr>
              <w:pStyle w:val="TableParagraph"/>
              <w:spacing w:line="238" w:lineRule="exact" w:before="15"/>
              <w:ind w:left="22" w:right="19"/>
              <w:rPr>
                <w:rFonts w:ascii="Times New Roman"/>
                <w:sz w:val="21"/>
              </w:rPr>
            </w:pPr>
            <w:r>
              <w:rPr>
                <w:rFonts w:ascii="Times New Roman"/>
                <w:sz w:val="21"/>
              </w:rPr>
              <w:t>80</w:t>
            </w:r>
          </w:p>
        </w:tc>
        <w:tc>
          <w:tcPr>
            <w:tcW w:w="1496" w:type="dxa"/>
          </w:tcPr>
          <w:p>
            <w:pPr>
              <w:pStyle w:val="TableParagraph"/>
              <w:spacing w:line="238" w:lineRule="exact" w:before="15"/>
              <w:ind w:left="4"/>
              <w:rPr>
                <w:rFonts w:ascii="Times New Roman"/>
                <w:sz w:val="21"/>
              </w:rPr>
            </w:pPr>
            <w:r>
              <w:rPr>
                <w:rFonts w:ascii="Times New Roman"/>
                <w:sz w:val="21"/>
              </w:rPr>
              <w:t>15</w:t>
            </w:r>
          </w:p>
        </w:tc>
        <w:tc>
          <w:tcPr>
            <w:tcW w:w="1496" w:type="dxa"/>
          </w:tcPr>
          <w:p>
            <w:pPr>
              <w:pStyle w:val="TableParagraph"/>
              <w:spacing w:line="252" w:lineRule="exact" w:before="1"/>
              <w:ind w:left="3"/>
              <w:rPr>
                <w:sz w:val="21"/>
              </w:rPr>
            </w:pPr>
            <w:r>
              <w:rPr>
                <w:sz w:val="21"/>
              </w:rPr>
              <w:t>切割机</w:t>
            </w:r>
          </w:p>
        </w:tc>
        <w:tc>
          <w:tcPr>
            <w:tcW w:w="1349" w:type="dxa"/>
          </w:tcPr>
          <w:p>
            <w:pPr>
              <w:pStyle w:val="TableParagraph"/>
              <w:spacing w:line="252" w:lineRule="exact" w:before="1"/>
              <w:ind w:left="29" w:right="27"/>
              <w:rPr>
                <w:rFonts w:ascii="Times New Roman" w:eastAsia="Times New Roman"/>
                <w:sz w:val="21"/>
              </w:rPr>
            </w:pPr>
            <w:r>
              <w:rPr>
                <w:rFonts w:ascii="Times New Roman" w:eastAsia="Times New Roman"/>
                <w:sz w:val="21"/>
              </w:rPr>
              <w:t>91</w:t>
            </w:r>
            <w:r>
              <w:rPr>
                <w:sz w:val="21"/>
              </w:rPr>
              <w:t>～</w:t>
            </w:r>
            <w:r>
              <w:rPr>
                <w:rFonts w:ascii="Times New Roman" w:eastAsia="Times New Roman"/>
                <w:sz w:val="21"/>
              </w:rPr>
              <w:t>105</w:t>
            </w:r>
          </w:p>
        </w:tc>
        <w:tc>
          <w:tcPr>
            <w:tcW w:w="1479" w:type="dxa"/>
          </w:tcPr>
          <w:p>
            <w:pPr>
              <w:pStyle w:val="TableParagraph"/>
              <w:spacing w:line="238" w:lineRule="exact" w:before="15"/>
              <w:ind w:left="1"/>
              <w:rPr>
                <w:rFonts w:ascii="Times New Roman"/>
                <w:sz w:val="21"/>
              </w:rPr>
            </w:pPr>
            <w:r>
              <w:rPr>
                <w:rFonts w:ascii="Times New Roman"/>
                <w:w w:val="100"/>
                <w:sz w:val="21"/>
              </w:rPr>
              <w:t>/</w:t>
            </w:r>
          </w:p>
        </w:tc>
      </w:tr>
    </w:tbl>
    <w:p>
      <w:pPr>
        <w:pStyle w:val="BodyText"/>
        <w:spacing w:line="364" w:lineRule="auto" w:before="2"/>
        <w:ind w:left="218" w:right="415" w:firstLine="482"/>
        <w:jc w:val="both"/>
      </w:pPr>
      <w:r>
        <w:rPr>
          <w:spacing w:val="-5"/>
        </w:rPr>
        <w:t>在多台机械设备同时作业时，各台设备产生的噪声会产生叠加，叠加后的噪声增值</w:t>
      </w:r>
      <w:r>
        <w:rPr>
          <w:spacing w:val="-20"/>
        </w:rPr>
        <w:t>约为 </w:t>
      </w:r>
      <w:r>
        <w:rPr>
          <w:rFonts w:ascii="Times New Roman" w:eastAsia="Times New Roman"/>
        </w:rPr>
        <w:t>3</w:t>
      </w:r>
      <w:r>
        <w:rPr/>
        <w:t>～</w:t>
      </w:r>
      <w:r>
        <w:rPr>
          <w:rFonts w:ascii="Times New Roman" w:eastAsia="Times New Roman"/>
        </w:rPr>
        <w:t>8dB</w:t>
      </w:r>
      <w:r>
        <w:rPr>
          <w:spacing w:val="-3"/>
        </w:rPr>
        <w:t>。而噪声在传播过程中随距离而衰减，表 </w:t>
      </w:r>
      <w:r>
        <w:rPr>
          <w:rFonts w:ascii="Times New Roman" w:eastAsia="Times New Roman"/>
        </w:rPr>
        <w:t>7.1.3-2 </w:t>
      </w:r>
      <w:r>
        <w:rPr>
          <w:spacing w:val="-2"/>
        </w:rPr>
        <w:t>为主要设备噪声的距离衰</w:t>
      </w:r>
      <w:r>
        <w:rPr/>
        <w:t>减情况。由表可知，这类机械噪声在空旷地带动传播距离较远。</w:t>
      </w:r>
    </w:p>
    <w:p>
      <w:pPr>
        <w:pStyle w:val="Heading4"/>
        <w:spacing w:before="139" w:after="29"/>
        <w:ind w:left="2878"/>
        <w:jc w:val="both"/>
      </w:pPr>
      <w:r>
        <w:rPr/>
        <w:t>表 </w:t>
      </w:r>
      <w:r>
        <w:rPr>
          <w:rFonts w:ascii="Times New Roman" w:eastAsia="Times New Roman"/>
        </w:rPr>
        <w:t>7.1.3-2  </w:t>
      </w:r>
      <w:r>
        <w:rPr/>
        <w:t>各种建筑机械的干扰半径</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0"/>
        <w:gridCol w:w="2259"/>
        <w:gridCol w:w="936"/>
        <w:gridCol w:w="936"/>
        <w:gridCol w:w="936"/>
        <w:gridCol w:w="936"/>
        <w:gridCol w:w="939"/>
        <w:gridCol w:w="929"/>
      </w:tblGrid>
      <w:tr>
        <w:trPr>
          <w:trHeight w:val="273" w:hRule="atLeast"/>
        </w:trPr>
        <w:tc>
          <w:tcPr>
            <w:tcW w:w="1210" w:type="dxa"/>
          </w:tcPr>
          <w:p>
            <w:pPr>
              <w:pStyle w:val="TableParagraph"/>
              <w:spacing w:line="250" w:lineRule="exact" w:before="3"/>
              <w:ind w:left="163" w:right="154"/>
              <w:rPr>
                <w:b/>
                <w:sz w:val="21"/>
              </w:rPr>
            </w:pPr>
            <w:r>
              <w:rPr>
                <w:b/>
                <w:sz w:val="21"/>
              </w:rPr>
              <w:t>阶段</w:t>
            </w:r>
          </w:p>
        </w:tc>
        <w:tc>
          <w:tcPr>
            <w:tcW w:w="2259" w:type="dxa"/>
          </w:tcPr>
          <w:p>
            <w:pPr>
              <w:pStyle w:val="TableParagraph"/>
              <w:spacing w:line="250" w:lineRule="exact" w:before="3"/>
              <w:ind w:left="372" w:right="367"/>
              <w:rPr>
                <w:b/>
                <w:sz w:val="21"/>
              </w:rPr>
            </w:pPr>
            <w:r>
              <w:rPr>
                <w:b/>
                <w:sz w:val="21"/>
              </w:rPr>
              <w:t>噪声源</w:t>
            </w:r>
          </w:p>
        </w:tc>
        <w:tc>
          <w:tcPr>
            <w:tcW w:w="936" w:type="dxa"/>
          </w:tcPr>
          <w:p>
            <w:pPr>
              <w:pStyle w:val="TableParagraph"/>
              <w:spacing w:line="236" w:lineRule="exact" w:before="17"/>
              <w:ind w:left="286" w:right="281"/>
              <w:rPr>
                <w:rFonts w:ascii="Times New Roman"/>
                <w:b/>
                <w:sz w:val="21"/>
              </w:rPr>
            </w:pPr>
            <w:r>
              <w:rPr>
                <w:rFonts w:ascii="Times New Roman"/>
                <w:b/>
                <w:sz w:val="21"/>
              </w:rPr>
              <w:t>r55</w:t>
            </w:r>
          </w:p>
        </w:tc>
        <w:tc>
          <w:tcPr>
            <w:tcW w:w="936" w:type="dxa"/>
          </w:tcPr>
          <w:p>
            <w:pPr>
              <w:pStyle w:val="TableParagraph"/>
              <w:spacing w:line="236" w:lineRule="exact" w:before="17"/>
              <w:ind w:left="286" w:right="281"/>
              <w:rPr>
                <w:rFonts w:ascii="Times New Roman"/>
                <w:b/>
                <w:sz w:val="21"/>
              </w:rPr>
            </w:pPr>
            <w:r>
              <w:rPr>
                <w:rFonts w:ascii="Times New Roman"/>
                <w:b/>
                <w:sz w:val="21"/>
              </w:rPr>
              <w:t>r60</w:t>
            </w:r>
          </w:p>
        </w:tc>
        <w:tc>
          <w:tcPr>
            <w:tcW w:w="936" w:type="dxa"/>
          </w:tcPr>
          <w:p>
            <w:pPr>
              <w:pStyle w:val="TableParagraph"/>
              <w:spacing w:line="236" w:lineRule="exact" w:before="17"/>
              <w:ind w:left="287" w:right="281"/>
              <w:rPr>
                <w:rFonts w:ascii="Times New Roman"/>
                <w:b/>
                <w:sz w:val="21"/>
              </w:rPr>
            </w:pPr>
            <w:r>
              <w:rPr>
                <w:rFonts w:ascii="Times New Roman"/>
                <w:b/>
                <w:sz w:val="21"/>
              </w:rPr>
              <w:t>r65</w:t>
            </w:r>
          </w:p>
        </w:tc>
        <w:tc>
          <w:tcPr>
            <w:tcW w:w="936" w:type="dxa"/>
          </w:tcPr>
          <w:p>
            <w:pPr>
              <w:pStyle w:val="TableParagraph"/>
              <w:spacing w:line="236" w:lineRule="exact" w:before="17"/>
              <w:ind w:left="316"/>
              <w:jc w:val="left"/>
              <w:rPr>
                <w:rFonts w:ascii="Times New Roman"/>
                <w:b/>
                <w:sz w:val="21"/>
              </w:rPr>
            </w:pPr>
            <w:r>
              <w:rPr>
                <w:rFonts w:ascii="Times New Roman"/>
                <w:b/>
                <w:sz w:val="21"/>
              </w:rPr>
              <w:t>r70</w:t>
            </w:r>
          </w:p>
        </w:tc>
        <w:tc>
          <w:tcPr>
            <w:tcW w:w="939" w:type="dxa"/>
          </w:tcPr>
          <w:p>
            <w:pPr>
              <w:pStyle w:val="TableParagraph"/>
              <w:spacing w:line="236" w:lineRule="exact" w:before="17"/>
              <w:ind w:left="316"/>
              <w:jc w:val="left"/>
              <w:rPr>
                <w:rFonts w:ascii="Times New Roman"/>
                <w:b/>
                <w:sz w:val="21"/>
              </w:rPr>
            </w:pPr>
            <w:r>
              <w:rPr>
                <w:rFonts w:ascii="Times New Roman"/>
                <w:b/>
                <w:sz w:val="21"/>
              </w:rPr>
              <w:t>r75</w:t>
            </w:r>
          </w:p>
        </w:tc>
        <w:tc>
          <w:tcPr>
            <w:tcW w:w="929" w:type="dxa"/>
          </w:tcPr>
          <w:p>
            <w:pPr>
              <w:pStyle w:val="TableParagraph"/>
              <w:spacing w:line="236" w:lineRule="exact" w:before="17"/>
              <w:ind w:left="311"/>
              <w:jc w:val="left"/>
              <w:rPr>
                <w:rFonts w:ascii="Times New Roman"/>
                <w:b/>
                <w:sz w:val="21"/>
              </w:rPr>
            </w:pPr>
            <w:r>
              <w:rPr>
                <w:rFonts w:ascii="Times New Roman"/>
                <w:b/>
                <w:sz w:val="21"/>
              </w:rPr>
              <w:t>r80</w:t>
            </w:r>
          </w:p>
        </w:tc>
      </w:tr>
      <w:tr>
        <w:trPr>
          <w:trHeight w:val="273" w:hRule="atLeast"/>
        </w:trPr>
        <w:tc>
          <w:tcPr>
            <w:tcW w:w="1210" w:type="dxa"/>
          </w:tcPr>
          <w:p>
            <w:pPr>
              <w:pStyle w:val="TableParagraph"/>
              <w:spacing w:line="252" w:lineRule="exact" w:before="1"/>
              <w:ind w:left="163" w:right="154"/>
              <w:rPr>
                <w:sz w:val="21"/>
              </w:rPr>
            </w:pPr>
            <w:r>
              <w:rPr>
                <w:sz w:val="21"/>
              </w:rPr>
              <w:t>土石方</w:t>
            </w:r>
          </w:p>
        </w:tc>
        <w:tc>
          <w:tcPr>
            <w:tcW w:w="2259" w:type="dxa"/>
          </w:tcPr>
          <w:p>
            <w:pPr>
              <w:pStyle w:val="TableParagraph"/>
              <w:spacing w:line="252" w:lineRule="exact" w:before="1"/>
              <w:ind w:left="372" w:right="367"/>
              <w:rPr>
                <w:sz w:val="21"/>
              </w:rPr>
            </w:pPr>
            <w:r>
              <w:rPr>
                <w:sz w:val="21"/>
              </w:rPr>
              <w:t>装载机</w:t>
            </w:r>
          </w:p>
        </w:tc>
        <w:tc>
          <w:tcPr>
            <w:tcW w:w="936" w:type="dxa"/>
          </w:tcPr>
          <w:p>
            <w:pPr>
              <w:pStyle w:val="TableParagraph"/>
              <w:spacing w:line="238" w:lineRule="exact" w:before="15"/>
              <w:ind w:left="284" w:right="281"/>
              <w:rPr>
                <w:rFonts w:ascii="Times New Roman"/>
                <w:sz w:val="21"/>
              </w:rPr>
            </w:pPr>
            <w:r>
              <w:rPr>
                <w:rFonts w:ascii="Times New Roman"/>
                <w:sz w:val="21"/>
              </w:rPr>
              <w:t>350</w:t>
            </w:r>
          </w:p>
        </w:tc>
        <w:tc>
          <w:tcPr>
            <w:tcW w:w="936" w:type="dxa"/>
          </w:tcPr>
          <w:p>
            <w:pPr>
              <w:pStyle w:val="TableParagraph"/>
              <w:spacing w:line="238" w:lineRule="exact" w:before="15"/>
              <w:ind w:left="287" w:right="279"/>
              <w:rPr>
                <w:rFonts w:ascii="Times New Roman"/>
                <w:sz w:val="21"/>
              </w:rPr>
            </w:pPr>
            <w:r>
              <w:rPr>
                <w:rFonts w:ascii="Times New Roman"/>
                <w:sz w:val="21"/>
              </w:rPr>
              <w:t>215</w:t>
            </w:r>
          </w:p>
        </w:tc>
        <w:tc>
          <w:tcPr>
            <w:tcW w:w="936" w:type="dxa"/>
          </w:tcPr>
          <w:p>
            <w:pPr>
              <w:pStyle w:val="TableParagraph"/>
              <w:spacing w:line="238" w:lineRule="exact" w:before="15"/>
              <w:ind w:left="285" w:right="281"/>
              <w:rPr>
                <w:rFonts w:ascii="Times New Roman"/>
                <w:sz w:val="21"/>
              </w:rPr>
            </w:pPr>
            <w:r>
              <w:rPr>
                <w:rFonts w:ascii="Times New Roman"/>
                <w:sz w:val="21"/>
              </w:rPr>
              <w:t>130</w:t>
            </w:r>
          </w:p>
        </w:tc>
        <w:tc>
          <w:tcPr>
            <w:tcW w:w="936" w:type="dxa"/>
          </w:tcPr>
          <w:p>
            <w:pPr>
              <w:pStyle w:val="TableParagraph"/>
              <w:spacing w:line="238" w:lineRule="exact" w:before="15"/>
              <w:ind w:left="362"/>
              <w:jc w:val="left"/>
              <w:rPr>
                <w:rFonts w:ascii="Times New Roman"/>
                <w:sz w:val="21"/>
              </w:rPr>
            </w:pPr>
            <w:r>
              <w:rPr>
                <w:rFonts w:ascii="Times New Roman"/>
                <w:sz w:val="21"/>
              </w:rPr>
              <w:t>70</w:t>
            </w:r>
          </w:p>
        </w:tc>
        <w:tc>
          <w:tcPr>
            <w:tcW w:w="939" w:type="dxa"/>
          </w:tcPr>
          <w:p>
            <w:pPr>
              <w:pStyle w:val="TableParagraph"/>
              <w:spacing w:line="238" w:lineRule="exact" w:before="15"/>
              <w:ind w:left="362"/>
              <w:jc w:val="left"/>
              <w:rPr>
                <w:rFonts w:ascii="Times New Roman"/>
                <w:sz w:val="21"/>
              </w:rPr>
            </w:pPr>
            <w:r>
              <w:rPr>
                <w:rFonts w:ascii="Times New Roman"/>
                <w:sz w:val="21"/>
              </w:rPr>
              <w:t>40</w:t>
            </w:r>
          </w:p>
        </w:tc>
        <w:tc>
          <w:tcPr>
            <w:tcW w:w="929" w:type="dxa"/>
          </w:tcPr>
          <w:p>
            <w:pPr>
              <w:pStyle w:val="TableParagraph"/>
              <w:jc w:val="left"/>
              <w:rPr>
                <w:rFonts w:ascii="Times New Roman"/>
                <w:sz w:val="20"/>
              </w:rPr>
            </w:pPr>
          </w:p>
        </w:tc>
      </w:tr>
    </w:tbl>
    <w:p>
      <w:pPr>
        <w:spacing w:after="0"/>
        <w:jc w:val="left"/>
        <w:rPr>
          <w:rFonts w:ascii="Times New Roman"/>
          <w:sz w:val="20"/>
        </w:rPr>
        <w:sectPr>
          <w:pgSz w:w="11910" w:h="16840"/>
          <w:pgMar w:header="872" w:footer="944" w:top="1340" w:bottom="1140" w:left="1200" w:right="1000"/>
        </w:sectPr>
      </w:pPr>
    </w:p>
    <w:p>
      <w:pPr>
        <w:pStyle w:val="BodyText"/>
        <w:spacing w:before="10"/>
        <w:rPr>
          <w:b/>
          <w:sz w:val="4"/>
        </w:rPr>
      </w:pP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0"/>
        <w:gridCol w:w="2259"/>
        <w:gridCol w:w="936"/>
        <w:gridCol w:w="936"/>
        <w:gridCol w:w="936"/>
        <w:gridCol w:w="936"/>
        <w:gridCol w:w="939"/>
        <w:gridCol w:w="929"/>
      </w:tblGrid>
      <w:tr>
        <w:trPr>
          <w:trHeight w:val="270" w:hRule="atLeast"/>
        </w:trPr>
        <w:tc>
          <w:tcPr>
            <w:tcW w:w="1210" w:type="dxa"/>
          </w:tcPr>
          <w:p>
            <w:pPr>
              <w:pStyle w:val="TableParagraph"/>
              <w:spacing w:line="250" w:lineRule="exact" w:before="1"/>
              <w:ind w:left="163" w:right="154"/>
              <w:rPr>
                <w:b/>
                <w:sz w:val="21"/>
              </w:rPr>
            </w:pPr>
            <w:r>
              <w:rPr>
                <w:b/>
                <w:sz w:val="21"/>
              </w:rPr>
              <w:t>阶段</w:t>
            </w:r>
          </w:p>
        </w:tc>
        <w:tc>
          <w:tcPr>
            <w:tcW w:w="2259" w:type="dxa"/>
          </w:tcPr>
          <w:p>
            <w:pPr>
              <w:pStyle w:val="TableParagraph"/>
              <w:spacing w:line="250" w:lineRule="exact" w:before="1"/>
              <w:ind w:left="372" w:right="367"/>
              <w:rPr>
                <w:b/>
                <w:sz w:val="21"/>
              </w:rPr>
            </w:pPr>
            <w:r>
              <w:rPr>
                <w:b/>
                <w:sz w:val="21"/>
              </w:rPr>
              <w:t>噪声源</w:t>
            </w:r>
          </w:p>
        </w:tc>
        <w:tc>
          <w:tcPr>
            <w:tcW w:w="936" w:type="dxa"/>
          </w:tcPr>
          <w:p>
            <w:pPr>
              <w:pStyle w:val="TableParagraph"/>
              <w:spacing w:line="236" w:lineRule="exact" w:before="15"/>
              <w:ind w:right="305"/>
              <w:jc w:val="right"/>
              <w:rPr>
                <w:rFonts w:ascii="Times New Roman"/>
                <w:b/>
                <w:sz w:val="21"/>
              </w:rPr>
            </w:pPr>
            <w:r>
              <w:rPr>
                <w:rFonts w:ascii="Times New Roman"/>
                <w:b/>
                <w:sz w:val="21"/>
              </w:rPr>
              <w:t>r55</w:t>
            </w:r>
          </w:p>
        </w:tc>
        <w:tc>
          <w:tcPr>
            <w:tcW w:w="936" w:type="dxa"/>
          </w:tcPr>
          <w:p>
            <w:pPr>
              <w:pStyle w:val="TableParagraph"/>
              <w:spacing w:line="236" w:lineRule="exact" w:before="15"/>
              <w:ind w:left="286" w:right="281"/>
              <w:rPr>
                <w:rFonts w:ascii="Times New Roman"/>
                <w:b/>
                <w:sz w:val="21"/>
              </w:rPr>
            </w:pPr>
            <w:r>
              <w:rPr>
                <w:rFonts w:ascii="Times New Roman"/>
                <w:b/>
                <w:sz w:val="21"/>
              </w:rPr>
              <w:t>r60</w:t>
            </w:r>
          </w:p>
        </w:tc>
        <w:tc>
          <w:tcPr>
            <w:tcW w:w="936" w:type="dxa"/>
          </w:tcPr>
          <w:p>
            <w:pPr>
              <w:pStyle w:val="TableParagraph"/>
              <w:spacing w:line="236" w:lineRule="exact" w:before="15"/>
              <w:ind w:left="287" w:right="281"/>
              <w:rPr>
                <w:rFonts w:ascii="Times New Roman"/>
                <w:b/>
                <w:sz w:val="21"/>
              </w:rPr>
            </w:pPr>
            <w:r>
              <w:rPr>
                <w:rFonts w:ascii="Times New Roman"/>
                <w:b/>
                <w:sz w:val="21"/>
              </w:rPr>
              <w:t>r65</w:t>
            </w:r>
          </w:p>
        </w:tc>
        <w:tc>
          <w:tcPr>
            <w:tcW w:w="936" w:type="dxa"/>
          </w:tcPr>
          <w:p>
            <w:pPr>
              <w:pStyle w:val="TableParagraph"/>
              <w:spacing w:line="236" w:lineRule="exact" w:before="15"/>
              <w:ind w:left="316"/>
              <w:jc w:val="left"/>
              <w:rPr>
                <w:rFonts w:ascii="Times New Roman"/>
                <w:b/>
                <w:sz w:val="21"/>
              </w:rPr>
            </w:pPr>
            <w:r>
              <w:rPr>
                <w:rFonts w:ascii="Times New Roman"/>
                <w:b/>
                <w:sz w:val="21"/>
              </w:rPr>
              <w:t>r70</w:t>
            </w:r>
          </w:p>
        </w:tc>
        <w:tc>
          <w:tcPr>
            <w:tcW w:w="939" w:type="dxa"/>
          </w:tcPr>
          <w:p>
            <w:pPr>
              <w:pStyle w:val="TableParagraph"/>
              <w:spacing w:line="236" w:lineRule="exact" w:before="15"/>
              <w:ind w:left="316"/>
              <w:jc w:val="left"/>
              <w:rPr>
                <w:rFonts w:ascii="Times New Roman"/>
                <w:b/>
                <w:sz w:val="21"/>
              </w:rPr>
            </w:pPr>
            <w:r>
              <w:rPr>
                <w:rFonts w:ascii="Times New Roman"/>
                <w:b/>
                <w:sz w:val="21"/>
              </w:rPr>
              <w:t>r75</w:t>
            </w:r>
          </w:p>
        </w:tc>
        <w:tc>
          <w:tcPr>
            <w:tcW w:w="929" w:type="dxa"/>
          </w:tcPr>
          <w:p>
            <w:pPr>
              <w:pStyle w:val="TableParagraph"/>
              <w:spacing w:line="236" w:lineRule="exact" w:before="15"/>
              <w:ind w:right="300"/>
              <w:jc w:val="right"/>
              <w:rPr>
                <w:rFonts w:ascii="Times New Roman"/>
                <w:b/>
                <w:sz w:val="21"/>
              </w:rPr>
            </w:pPr>
            <w:r>
              <w:rPr>
                <w:rFonts w:ascii="Times New Roman"/>
                <w:b/>
                <w:sz w:val="21"/>
              </w:rPr>
              <w:t>r80</w:t>
            </w:r>
          </w:p>
        </w:tc>
      </w:tr>
      <w:tr>
        <w:trPr>
          <w:trHeight w:val="273" w:hRule="atLeast"/>
        </w:trPr>
        <w:tc>
          <w:tcPr>
            <w:tcW w:w="1210" w:type="dxa"/>
          </w:tcPr>
          <w:p>
            <w:pPr>
              <w:pStyle w:val="TableParagraph"/>
              <w:jc w:val="left"/>
              <w:rPr>
                <w:rFonts w:ascii="Times New Roman"/>
                <w:sz w:val="20"/>
              </w:rPr>
            </w:pPr>
          </w:p>
        </w:tc>
        <w:tc>
          <w:tcPr>
            <w:tcW w:w="2259" w:type="dxa"/>
          </w:tcPr>
          <w:p>
            <w:pPr>
              <w:pStyle w:val="TableParagraph"/>
              <w:spacing w:line="250" w:lineRule="exact" w:before="3"/>
              <w:ind w:left="372" w:right="367"/>
              <w:rPr>
                <w:sz w:val="21"/>
              </w:rPr>
            </w:pPr>
            <w:r>
              <w:rPr>
                <w:sz w:val="21"/>
              </w:rPr>
              <w:t>挖掘机</w:t>
            </w:r>
          </w:p>
        </w:tc>
        <w:tc>
          <w:tcPr>
            <w:tcW w:w="936" w:type="dxa"/>
          </w:tcPr>
          <w:p>
            <w:pPr>
              <w:pStyle w:val="TableParagraph"/>
              <w:spacing w:line="236" w:lineRule="exact" w:before="17"/>
              <w:ind w:right="300"/>
              <w:jc w:val="right"/>
              <w:rPr>
                <w:rFonts w:ascii="Times New Roman"/>
                <w:sz w:val="21"/>
              </w:rPr>
            </w:pPr>
            <w:r>
              <w:rPr>
                <w:rFonts w:ascii="Times New Roman"/>
                <w:sz w:val="21"/>
              </w:rPr>
              <w:t>190</w:t>
            </w:r>
          </w:p>
        </w:tc>
        <w:tc>
          <w:tcPr>
            <w:tcW w:w="936" w:type="dxa"/>
          </w:tcPr>
          <w:p>
            <w:pPr>
              <w:pStyle w:val="TableParagraph"/>
              <w:spacing w:line="236" w:lineRule="exact" w:before="17"/>
              <w:ind w:left="287" w:right="279"/>
              <w:rPr>
                <w:rFonts w:ascii="Times New Roman"/>
                <w:sz w:val="21"/>
              </w:rPr>
            </w:pPr>
            <w:r>
              <w:rPr>
                <w:rFonts w:ascii="Times New Roman"/>
                <w:sz w:val="21"/>
              </w:rPr>
              <w:t>120</w:t>
            </w:r>
          </w:p>
        </w:tc>
        <w:tc>
          <w:tcPr>
            <w:tcW w:w="936" w:type="dxa"/>
          </w:tcPr>
          <w:p>
            <w:pPr>
              <w:pStyle w:val="TableParagraph"/>
              <w:spacing w:line="236" w:lineRule="exact" w:before="17"/>
              <w:ind w:left="285" w:right="281"/>
              <w:rPr>
                <w:rFonts w:ascii="Times New Roman"/>
                <w:sz w:val="21"/>
              </w:rPr>
            </w:pPr>
            <w:r>
              <w:rPr>
                <w:rFonts w:ascii="Times New Roman"/>
                <w:sz w:val="21"/>
              </w:rPr>
              <w:t>75</w:t>
            </w:r>
          </w:p>
        </w:tc>
        <w:tc>
          <w:tcPr>
            <w:tcW w:w="936" w:type="dxa"/>
          </w:tcPr>
          <w:p>
            <w:pPr>
              <w:pStyle w:val="TableParagraph"/>
              <w:spacing w:line="236" w:lineRule="exact" w:before="17"/>
              <w:ind w:left="362"/>
              <w:jc w:val="left"/>
              <w:rPr>
                <w:rFonts w:ascii="Times New Roman"/>
                <w:sz w:val="21"/>
              </w:rPr>
            </w:pPr>
            <w:r>
              <w:rPr>
                <w:rFonts w:ascii="Times New Roman"/>
                <w:sz w:val="21"/>
              </w:rPr>
              <w:t>40</w:t>
            </w:r>
          </w:p>
        </w:tc>
        <w:tc>
          <w:tcPr>
            <w:tcW w:w="939" w:type="dxa"/>
          </w:tcPr>
          <w:p>
            <w:pPr>
              <w:pStyle w:val="TableParagraph"/>
              <w:spacing w:line="236" w:lineRule="exact" w:before="17"/>
              <w:ind w:left="362"/>
              <w:jc w:val="left"/>
              <w:rPr>
                <w:rFonts w:ascii="Times New Roman"/>
                <w:sz w:val="21"/>
              </w:rPr>
            </w:pPr>
            <w:r>
              <w:rPr>
                <w:rFonts w:ascii="Times New Roman"/>
                <w:sz w:val="21"/>
              </w:rPr>
              <w:t>22</w:t>
            </w:r>
          </w:p>
        </w:tc>
        <w:tc>
          <w:tcPr>
            <w:tcW w:w="929" w:type="dxa"/>
          </w:tcPr>
          <w:p>
            <w:pPr>
              <w:pStyle w:val="TableParagraph"/>
              <w:jc w:val="left"/>
              <w:rPr>
                <w:rFonts w:ascii="Times New Roman"/>
                <w:sz w:val="20"/>
              </w:rPr>
            </w:pPr>
          </w:p>
        </w:tc>
      </w:tr>
      <w:tr>
        <w:trPr>
          <w:trHeight w:val="273" w:hRule="atLeast"/>
        </w:trPr>
        <w:tc>
          <w:tcPr>
            <w:tcW w:w="1210" w:type="dxa"/>
            <w:vMerge w:val="restart"/>
          </w:tcPr>
          <w:p>
            <w:pPr>
              <w:pStyle w:val="TableParagraph"/>
              <w:spacing w:before="142"/>
              <w:ind w:left="393"/>
              <w:jc w:val="left"/>
              <w:rPr>
                <w:sz w:val="21"/>
              </w:rPr>
            </w:pPr>
            <w:r>
              <w:rPr>
                <w:sz w:val="21"/>
              </w:rPr>
              <w:t>打桩</w:t>
            </w:r>
          </w:p>
        </w:tc>
        <w:tc>
          <w:tcPr>
            <w:tcW w:w="2259" w:type="dxa"/>
          </w:tcPr>
          <w:p>
            <w:pPr>
              <w:pStyle w:val="TableParagraph"/>
              <w:spacing w:line="252" w:lineRule="exact" w:before="1"/>
              <w:ind w:left="372" w:right="367"/>
              <w:rPr>
                <w:sz w:val="21"/>
              </w:rPr>
            </w:pPr>
            <w:r>
              <w:rPr>
                <w:sz w:val="21"/>
              </w:rPr>
              <w:t>钻孔式灌注桩机</w:t>
            </w:r>
          </w:p>
        </w:tc>
        <w:tc>
          <w:tcPr>
            <w:tcW w:w="936" w:type="dxa"/>
          </w:tcPr>
          <w:p>
            <w:pPr>
              <w:pStyle w:val="TableParagraph"/>
              <w:spacing w:line="238" w:lineRule="exact" w:before="15"/>
              <w:ind w:right="300"/>
              <w:jc w:val="right"/>
              <w:rPr>
                <w:rFonts w:ascii="Times New Roman"/>
                <w:sz w:val="21"/>
              </w:rPr>
            </w:pPr>
            <w:r>
              <w:rPr>
                <w:rFonts w:ascii="Times New Roman"/>
                <w:sz w:val="21"/>
              </w:rPr>
              <w:t>200</w:t>
            </w:r>
          </w:p>
        </w:tc>
        <w:tc>
          <w:tcPr>
            <w:tcW w:w="936" w:type="dxa"/>
          </w:tcPr>
          <w:p>
            <w:pPr>
              <w:pStyle w:val="TableParagraph"/>
              <w:spacing w:line="238" w:lineRule="exact" w:before="15"/>
              <w:ind w:left="287" w:right="279"/>
              <w:rPr>
                <w:rFonts w:ascii="Times New Roman"/>
                <w:sz w:val="21"/>
              </w:rPr>
            </w:pPr>
            <w:r>
              <w:rPr>
                <w:rFonts w:ascii="Times New Roman"/>
                <w:sz w:val="21"/>
              </w:rPr>
              <w:t>110</w:t>
            </w:r>
          </w:p>
        </w:tc>
        <w:tc>
          <w:tcPr>
            <w:tcW w:w="936" w:type="dxa"/>
          </w:tcPr>
          <w:p>
            <w:pPr>
              <w:pStyle w:val="TableParagraph"/>
              <w:spacing w:line="238" w:lineRule="exact" w:before="15"/>
              <w:ind w:left="285" w:right="281"/>
              <w:rPr>
                <w:rFonts w:ascii="Times New Roman"/>
                <w:sz w:val="21"/>
              </w:rPr>
            </w:pPr>
            <w:r>
              <w:rPr>
                <w:rFonts w:ascii="Times New Roman"/>
                <w:sz w:val="21"/>
              </w:rPr>
              <w:t>66</w:t>
            </w:r>
          </w:p>
        </w:tc>
        <w:tc>
          <w:tcPr>
            <w:tcW w:w="936" w:type="dxa"/>
          </w:tcPr>
          <w:p>
            <w:pPr>
              <w:pStyle w:val="TableParagraph"/>
              <w:spacing w:line="238" w:lineRule="exact" w:before="15"/>
              <w:ind w:left="362"/>
              <w:jc w:val="left"/>
              <w:rPr>
                <w:rFonts w:ascii="Times New Roman"/>
                <w:sz w:val="21"/>
              </w:rPr>
            </w:pPr>
            <w:r>
              <w:rPr>
                <w:rFonts w:ascii="Times New Roman"/>
                <w:sz w:val="21"/>
              </w:rPr>
              <w:t>37</w:t>
            </w:r>
          </w:p>
        </w:tc>
        <w:tc>
          <w:tcPr>
            <w:tcW w:w="939" w:type="dxa"/>
          </w:tcPr>
          <w:p>
            <w:pPr>
              <w:pStyle w:val="TableParagraph"/>
              <w:spacing w:line="238" w:lineRule="exact" w:before="15"/>
              <w:ind w:left="362"/>
              <w:jc w:val="left"/>
              <w:rPr>
                <w:rFonts w:ascii="Times New Roman"/>
                <w:sz w:val="21"/>
              </w:rPr>
            </w:pPr>
            <w:r>
              <w:rPr>
                <w:rFonts w:ascii="Times New Roman"/>
                <w:sz w:val="21"/>
              </w:rPr>
              <w:t>21</w:t>
            </w:r>
          </w:p>
        </w:tc>
        <w:tc>
          <w:tcPr>
            <w:tcW w:w="929" w:type="dxa"/>
          </w:tcPr>
          <w:p>
            <w:pPr>
              <w:pStyle w:val="TableParagraph"/>
              <w:spacing w:line="238" w:lineRule="exact" w:before="15"/>
              <w:ind w:right="348"/>
              <w:jc w:val="right"/>
              <w:rPr>
                <w:rFonts w:ascii="Times New Roman"/>
                <w:sz w:val="21"/>
              </w:rPr>
            </w:pPr>
            <w:r>
              <w:rPr>
                <w:rFonts w:ascii="Times New Roman"/>
                <w:sz w:val="21"/>
              </w:rPr>
              <w:t>15</w:t>
            </w:r>
          </w:p>
        </w:tc>
      </w:tr>
      <w:tr>
        <w:trPr>
          <w:trHeight w:val="270" w:hRule="atLeast"/>
        </w:trPr>
        <w:tc>
          <w:tcPr>
            <w:tcW w:w="1210" w:type="dxa"/>
            <w:vMerge/>
            <w:tcBorders>
              <w:top w:val="nil"/>
            </w:tcBorders>
          </w:tcPr>
          <w:p>
            <w:pPr>
              <w:rPr>
                <w:sz w:val="2"/>
                <w:szCs w:val="2"/>
              </w:rPr>
            </w:pPr>
          </w:p>
        </w:tc>
        <w:tc>
          <w:tcPr>
            <w:tcW w:w="2259" w:type="dxa"/>
          </w:tcPr>
          <w:p>
            <w:pPr>
              <w:pStyle w:val="TableParagraph"/>
              <w:spacing w:line="250" w:lineRule="exact" w:before="1"/>
              <w:ind w:left="372" w:right="367"/>
              <w:rPr>
                <w:sz w:val="21"/>
              </w:rPr>
            </w:pPr>
            <w:r>
              <w:rPr>
                <w:sz w:val="21"/>
              </w:rPr>
              <w:t>混凝土振捣器</w:t>
            </w:r>
          </w:p>
        </w:tc>
        <w:tc>
          <w:tcPr>
            <w:tcW w:w="936" w:type="dxa"/>
          </w:tcPr>
          <w:p>
            <w:pPr>
              <w:pStyle w:val="TableParagraph"/>
              <w:spacing w:line="236" w:lineRule="exact" w:before="15"/>
              <w:ind w:right="300"/>
              <w:jc w:val="right"/>
              <w:rPr>
                <w:rFonts w:ascii="Times New Roman"/>
                <w:sz w:val="21"/>
              </w:rPr>
            </w:pPr>
            <w:r>
              <w:rPr>
                <w:rFonts w:ascii="Times New Roman"/>
                <w:sz w:val="21"/>
              </w:rPr>
              <w:t>200</w:t>
            </w:r>
          </w:p>
        </w:tc>
        <w:tc>
          <w:tcPr>
            <w:tcW w:w="936" w:type="dxa"/>
          </w:tcPr>
          <w:p>
            <w:pPr>
              <w:pStyle w:val="TableParagraph"/>
              <w:spacing w:line="236" w:lineRule="exact" w:before="15"/>
              <w:ind w:left="287" w:right="279"/>
              <w:rPr>
                <w:rFonts w:ascii="Times New Roman"/>
                <w:sz w:val="21"/>
              </w:rPr>
            </w:pPr>
            <w:r>
              <w:rPr>
                <w:rFonts w:ascii="Times New Roman"/>
                <w:sz w:val="21"/>
              </w:rPr>
              <w:t>110</w:t>
            </w:r>
          </w:p>
        </w:tc>
        <w:tc>
          <w:tcPr>
            <w:tcW w:w="936" w:type="dxa"/>
          </w:tcPr>
          <w:p>
            <w:pPr>
              <w:pStyle w:val="TableParagraph"/>
              <w:spacing w:line="236" w:lineRule="exact" w:before="15"/>
              <w:ind w:left="285" w:right="281"/>
              <w:rPr>
                <w:rFonts w:ascii="Times New Roman"/>
                <w:sz w:val="21"/>
              </w:rPr>
            </w:pPr>
            <w:r>
              <w:rPr>
                <w:rFonts w:ascii="Times New Roman"/>
                <w:sz w:val="21"/>
              </w:rPr>
              <w:t>66</w:t>
            </w:r>
          </w:p>
        </w:tc>
        <w:tc>
          <w:tcPr>
            <w:tcW w:w="936" w:type="dxa"/>
          </w:tcPr>
          <w:p>
            <w:pPr>
              <w:pStyle w:val="TableParagraph"/>
              <w:spacing w:line="236" w:lineRule="exact" w:before="15"/>
              <w:ind w:left="362"/>
              <w:jc w:val="left"/>
              <w:rPr>
                <w:rFonts w:ascii="Times New Roman"/>
                <w:sz w:val="21"/>
              </w:rPr>
            </w:pPr>
            <w:r>
              <w:rPr>
                <w:rFonts w:ascii="Times New Roman"/>
                <w:sz w:val="21"/>
              </w:rPr>
              <w:t>37</w:t>
            </w:r>
          </w:p>
        </w:tc>
        <w:tc>
          <w:tcPr>
            <w:tcW w:w="939" w:type="dxa"/>
          </w:tcPr>
          <w:p>
            <w:pPr>
              <w:pStyle w:val="TableParagraph"/>
              <w:spacing w:line="236" w:lineRule="exact" w:before="15"/>
              <w:ind w:left="362"/>
              <w:jc w:val="left"/>
              <w:rPr>
                <w:rFonts w:ascii="Times New Roman"/>
                <w:sz w:val="21"/>
              </w:rPr>
            </w:pPr>
            <w:r>
              <w:rPr>
                <w:rFonts w:ascii="Times New Roman"/>
                <w:sz w:val="21"/>
              </w:rPr>
              <w:t>21</w:t>
            </w:r>
          </w:p>
        </w:tc>
        <w:tc>
          <w:tcPr>
            <w:tcW w:w="929" w:type="dxa"/>
          </w:tcPr>
          <w:p>
            <w:pPr>
              <w:pStyle w:val="TableParagraph"/>
              <w:spacing w:line="236" w:lineRule="exact" w:before="15"/>
              <w:ind w:right="348"/>
              <w:jc w:val="right"/>
              <w:rPr>
                <w:rFonts w:ascii="Times New Roman"/>
                <w:sz w:val="21"/>
              </w:rPr>
            </w:pPr>
            <w:r>
              <w:rPr>
                <w:rFonts w:ascii="Times New Roman"/>
                <w:sz w:val="21"/>
              </w:rPr>
              <w:t>15</w:t>
            </w:r>
          </w:p>
        </w:tc>
      </w:tr>
      <w:tr>
        <w:trPr>
          <w:trHeight w:val="273" w:hRule="atLeast"/>
        </w:trPr>
        <w:tc>
          <w:tcPr>
            <w:tcW w:w="1210" w:type="dxa"/>
            <w:vMerge w:val="restart"/>
          </w:tcPr>
          <w:p>
            <w:pPr>
              <w:pStyle w:val="TableParagraph"/>
              <w:spacing w:before="142"/>
              <w:ind w:left="393"/>
              <w:jc w:val="left"/>
              <w:rPr>
                <w:sz w:val="21"/>
              </w:rPr>
            </w:pPr>
            <w:r>
              <w:rPr>
                <w:sz w:val="21"/>
              </w:rPr>
              <w:t>结构</w:t>
            </w:r>
          </w:p>
        </w:tc>
        <w:tc>
          <w:tcPr>
            <w:tcW w:w="2259" w:type="dxa"/>
          </w:tcPr>
          <w:p>
            <w:pPr>
              <w:pStyle w:val="TableParagraph"/>
              <w:spacing w:line="250" w:lineRule="exact" w:before="3"/>
              <w:ind w:left="372" w:right="367"/>
              <w:rPr>
                <w:sz w:val="21"/>
              </w:rPr>
            </w:pPr>
            <w:r>
              <w:rPr>
                <w:sz w:val="21"/>
              </w:rPr>
              <w:t>混凝土搅拌机</w:t>
            </w:r>
          </w:p>
        </w:tc>
        <w:tc>
          <w:tcPr>
            <w:tcW w:w="936" w:type="dxa"/>
          </w:tcPr>
          <w:p>
            <w:pPr>
              <w:pStyle w:val="TableParagraph"/>
              <w:spacing w:line="236" w:lineRule="exact" w:before="17"/>
              <w:ind w:right="300"/>
              <w:jc w:val="right"/>
              <w:rPr>
                <w:rFonts w:ascii="Times New Roman"/>
                <w:sz w:val="21"/>
              </w:rPr>
            </w:pPr>
            <w:r>
              <w:rPr>
                <w:rFonts w:ascii="Times New Roman"/>
                <w:sz w:val="21"/>
              </w:rPr>
              <w:t>190</w:t>
            </w:r>
          </w:p>
        </w:tc>
        <w:tc>
          <w:tcPr>
            <w:tcW w:w="936" w:type="dxa"/>
          </w:tcPr>
          <w:p>
            <w:pPr>
              <w:pStyle w:val="TableParagraph"/>
              <w:spacing w:line="236" w:lineRule="exact" w:before="17"/>
              <w:ind w:left="287" w:right="279"/>
              <w:rPr>
                <w:rFonts w:ascii="Times New Roman"/>
                <w:sz w:val="21"/>
              </w:rPr>
            </w:pPr>
            <w:r>
              <w:rPr>
                <w:rFonts w:ascii="Times New Roman"/>
                <w:sz w:val="21"/>
              </w:rPr>
              <w:t>120</w:t>
            </w:r>
          </w:p>
        </w:tc>
        <w:tc>
          <w:tcPr>
            <w:tcW w:w="936" w:type="dxa"/>
          </w:tcPr>
          <w:p>
            <w:pPr>
              <w:pStyle w:val="TableParagraph"/>
              <w:spacing w:line="236" w:lineRule="exact" w:before="17"/>
              <w:ind w:left="285" w:right="281"/>
              <w:rPr>
                <w:rFonts w:ascii="Times New Roman"/>
                <w:sz w:val="21"/>
              </w:rPr>
            </w:pPr>
            <w:r>
              <w:rPr>
                <w:rFonts w:ascii="Times New Roman"/>
                <w:sz w:val="21"/>
              </w:rPr>
              <w:t>75</w:t>
            </w:r>
          </w:p>
        </w:tc>
        <w:tc>
          <w:tcPr>
            <w:tcW w:w="936" w:type="dxa"/>
          </w:tcPr>
          <w:p>
            <w:pPr>
              <w:pStyle w:val="TableParagraph"/>
              <w:spacing w:line="236" w:lineRule="exact" w:before="17"/>
              <w:ind w:left="362"/>
              <w:jc w:val="left"/>
              <w:rPr>
                <w:rFonts w:ascii="Times New Roman"/>
                <w:sz w:val="21"/>
              </w:rPr>
            </w:pPr>
            <w:r>
              <w:rPr>
                <w:rFonts w:ascii="Times New Roman"/>
                <w:sz w:val="21"/>
              </w:rPr>
              <w:t>42</w:t>
            </w:r>
          </w:p>
        </w:tc>
        <w:tc>
          <w:tcPr>
            <w:tcW w:w="939" w:type="dxa"/>
          </w:tcPr>
          <w:p>
            <w:pPr>
              <w:pStyle w:val="TableParagraph"/>
              <w:spacing w:line="236" w:lineRule="exact" w:before="17"/>
              <w:ind w:left="362"/>
              <w:jc w:val="left"/>
              <w:rPr>
                <w:rFonts w:ascii="Times New Roman"/>
                <w:sz w:val="21"/>
              </w:rPr>
            </w:pPr>
            <w:r>
              <w:rPr>
                <w:rFonts w:ascii="Times New Roman"/>
                <w:sz w:val="21"/>
              </w:rPr>
              <w:t>25</w:t>
            </w:r>
          </w:p>
        </w:tc>
        <w:tc>
          <w:tcPr>
            <w:tcW w:w="929" w:type="dxa"/>
          </w:tcPr>
          <w:p>
            <w:pPr>
              <w:pStyle w:val="TableParagraph"/>
              <w:jc w:val="left"/>
              <w:rPr>
                <w:rFonts w:ascii="Times New Roman"/>
                <w:sz w:val="20"/>
              </w:rPr>
            </w:pPr>
          </w:p>
        </w:tc>
      </w:tr>
      <w:tr>
        <w:trPr>
          <w:trHeight w:val="273" w:hRule="atLeast"/>
        </w:trPr>
        <w:tc>
          <w:tcPr>
            <w:tcW w:w="1210" w:type="dxa"/>
            <w:vMerge/>
            <w:tcBorders>
              <w:top w:val="nil"/>
            </w:tcBorders>
          </w:tcPr>
          <w:p>
            <w:pPr>
              <w:rPr>
                <w:sz w:val="2"/>
                <w:szCs w:val="2"/>
              </w:rPr>
            </w:pPr>
          </w:p>
        </w:tc>
        <w:tc>
          <w:tcPr>
            <w:tcW w:w="2259" w:type="dxa"/>
          </w:tcPr>
          <w:p>
            <w:pPr>
              <w:pStyle w:val="TableParagraph"/>
              <w:spacing w:line="252" w:lineRule="exact" w:before="1"/>
              <w:ind w:left="372" w:right="364"/>
              <w:rPr>
                <w:sz w:val="21"/>
              </w:rPr>
            </w:pPr>
            <w:r>
              <w:rPr>
                <w:sz w:val="21"/>
              </w:rPr>
              <w:t>木工园锯</w:t>
            </w:r>
          </w:p>
        </w:tc>
        <w:tc>
          <w:tcPr>
            <w:tcW w:w="936" w:type="dxa"/>
          </w:tcPr>
          <w:p>
            <w:pPr>
              <w:pStyle w:val="TableParagraph"/>
              <w:spacing w:line="238" w:lineRule="exact" w:before="15"/>
              <w:ind w:right="300"/>
              <w:jc w:val="right"/>
              <w:rPr>
                <w:rFonts w:ascii="Times New Roman"/>
                <w:sz w:val="21"/>
              </w:rPr>
            </w:pPr>
            <w:r>
              <w:rPr>
                <w:rFonts w:ascii="Times New Roman"/>
                <w:sz w:val="21"/>
              </w:rPr>
              <w:t>170</w:t>
            </w:r>
          </w:p>
        </w:tc>
        <w:tc>
          <w:tcPr>
            <w:tcW w:w="936" w:type="dxa"/>
          </w:tcPr>
          <w:p>
            <w:pPr>
              <w:pStyle w:val="TableParagraph"/>
              <w:spacing w:line="238" w:lineRule="exact" w:before="15"/>
              <w:ind w:left="287" w:right="279"/>
              <w:rPr>
                <w:rFonts w:ascii="Times New Roman"/>
                <w:sz w:val="21"/>
              </w:rPr>
            </w:pPr>
            <w:r>
              <w:rPr>
                <w:rFonts w:ascii="Times New Roman"/>
                <w:sz w:val="21"/>
              </w:rPr>
              <w:t>125</w:t>
            </w:r>
          </w:p>
        </w:tc>
        <w:tc>
          <w:tcPr>
            <w:tcW w:w="936" w:type="dxa"/>
          </w:tcPr>
          <w:p>
            <w:pPr>
              <w:pStyle w:val="TableParagraph"/>
              <w:spacing w:line="238" w:lineRule="exact" w:before="15"/>
              <w:ind w:left="285" w:right="281"/>
              <w:rPr>
                <w:rFonts w:ascii="Times New Roman"/>
                <w:sz w:val="21"/>
              </w:rPr>
            </w:pPr>
            <w:r>
              <w:rPr>
                <w:rFonts w:ascii="Times New Roman"/>
                <w:sz w:val="21"/>
              </w:rPr>
              <w:t>85</w:t>
            </w:r>
          </w:p>
        </w:tc>
        <w:tc>
          <w:tcPr>
            <w:tcW w:w="936" w:type="dxa"/>
          </w:tcPr>
          <w:p>
            <w:pPr>
              <w:pStyle w:val="TableParagraph"/>
              <w:spacing w:line="238" w:lineRule="exact" w:before="15"/>
              <w:ind w:left="362"/>
              <w:jc w:val="left"/>
              <w:rPr>
                <w:rFonts w:ascii="Times New Roman"/>
                <w:sz w:val="21"/>
              </w:rPr>
            </w:pPr>
            <w:r>
              <w:rPr>
                <w:rFonts w:ascii="Times New Roman"/>
                <w:sz w:val="21"/>
              </w:rPr>
              <w:t>56</w:t>
            </w:r>
          </w:p>
        </w:tc>
        <w:tc>
          <w:tcPr>
            <w:tcW w:w="939" w:type="dxa"/>
          </w:tcPr>
          <w:p>
            <w:pPr>
              <w:pStyle w:val="TableParagraph"/>
              <w:spacing w:line="238" w:lineRule="exact" w:before="15"/>
              <w:ind w:left="362"/>
              <w:jc w:val="left"/>
              <w:rPr>
                <w:rFonts w:ascii="Times New Roman"/>
                <w:sz w:val="21"/>
              </w:rPr>
            </w:pPr>
            <w:r>
              <w:rPr>
                <w:rFonts w:ascii="Times New Roman"/>
                <w:sz w:val="21"/>
              </w:rPr>
              <w:t>30</w:t>
            </w:r>
          </w:p>
        </w:tc>
        <w:tc>
          <w:tcPr>
            <w:tcW w:w="929" w:type="dxa"/>
          </w:tcPr>
          <w:p>
            <w:pPr>
              <w:pStyle w:val="TableParagraph"/>
              <w:jc w:val="left"/>
              <w:rPr>
                <w:rFonts w:ascii="Times New Roman"/>
                <w:sz w:val="20"/>
              </w:rPr>
            </w:pPr>
          </w:p>
        </w:tc>
      </w:tr>
      <w:tr>
        <w:trPr>
          <w:trHeight w:val="273" w:hRule="atLeast"/>
        </w:trPr>
        <w:tc>
          <w:tcPr>
            <w:tcW w:w="1210" w:type="dxa"/>
          </w:tcPr>
          <w:p>
            <w:pPr>
              <w:pStyle w:val="TableParagraph"/>
              <w:spacing w:line="252" w:lineRule="exact" w:before="1"/>
              <w:ind w:left="163" w:right="154"/>
              <w:rPr>
                <w:sz w:val="21"/>
              </w:rPr>
            </w:pPr>
            <w:r>
              <w:rPr>
                <w:sz w:val="21"/>
              </w:rPr>
              <w:t>装修</w:t>
            </w:r>
          </w:p>
        </w:tc>
        <w:tc>
          <w:tcPr>
            <w:tcW w:w="2259" w:type="dxa"/>
          </w:tcPr>
          <w:p>
            <w:pPr>
              <w:pStyle w:val="TableParagraph"/>
              <w:spacing w:line="252" w:lineRule="exact" w:before="1"/>
              <w:ind w:left="372" w:right="367"/>
              <w:rPr>
                <w:sz w:val="21"/>
              </w:rPr>
            </w:pPr>
            <w:r>
              <w:rPr>
                <w:sz w:val="21"/>
              </w:rPr>
              <w:t>升降机</w:t>
            </w:r>
          </w:p>
        </w:tc>
        <w:tc>
          <w:tcPr>
            <w:tcW w:w="936" w:type="dxa"/>
          </w:tcPr>
          <w:p>
            <w:pPr>
              <w:pStyle w:val="TableParagraph"/>
              <w:spacing w:line="238" w:lineRule="exact" w:before="15"/>
              <w:ind w:right="353"/>
              <w:jc w:val="right"/>
              <w:rPr>
                <w:rFonts w:ascii="Times New Roman"/>
                <w:sz w:val="21"/>
              </w:rPr>
            </w:pPr>
            <w:r>
              <w:rPr>
                <w:rFonts w:ascii="Times New Roman"/>
                <w:sz w:val="21"/>
              </w:rPr>
              <w:t>80</w:t>
            </w:r>
          </w:p>
        </w:tc>
        <w:tc>
          <w:tcPr>
            <w:tcW w:w="936" w:type="dxa"/>
          </w:tcPr>
          <w:p>
            <w:pPr>
              <w:pStyle w:val="TableParagraph"/>
              <w:spacing w:line="238" w:lineRule="exact" w:before="15"/>
              <w:ind w:left="284" w:right="281"/>
              <w:rPr>
                <w:rFonts w:ascii="Times New Roman"/>
                <w:sz w:val="21"/>
              </w:rPr>
            </w:pPr>
            <w:r>
              <w:rPr>
                <w:rFonts w:ascii="Times New Roman"/>
                <w:sz w:val="21"/>
              </w:rPr>
              <w:t>44</w:t>
            </w:r>
          </w:p>
        </w:tc>
        <w:tc>
          <w:tcPr>
            <w:tcW w:w="936" w:type="dxa"/>
          </w:tcPr>
          <w:p>
            <w:pPr>
              <w:pStyle w:val="TableParagraph"/>
              <w:spacing w:line="238" w:lineRule="exact" w:before="15"/>
              <w:ind w:left="285" w:right="281"/>
              <w:rPr>
                <w:rFonts w:ascii="Times New Roman"/>
                <w:sz w:val="21"/>
              </w:rPr>
            </w:pPr>
            <w:r>
              <w:rPr>
                <w:rFonts w:ascii="Times New Roman"/>
                <w:sz w:val="21"/>
              </w:rPr>
              <w:t>25</w:t>
            </w:r>
          </w:p>
        </w:tc>
        <w:tc>
          <w:tcPr>
            <w:tcW w:w="936" w:type="dxa"/>
          </w:tcPr>
          <w:p>
            <w:pPr>
              <w:pStyle w:val="TableParagraph"/>
              <w:spacing w:line="238" w:lineRule="exact" w:before="15"/>
              <w:ind w:left="362"/>
              <w:jc w:val="left"/>
              <w:rPr>
                <w:rFonts w:ascii="Times New Roman"/>
                <w:sz w:val="21"/>
              </w:rPr>
            </w:pPr>
            <w:r>
              <w:rPr>
                <w:rFonts w:ascii="Times New Roman"/>
                <w:sz w:val="21"/>
              </w:rPr>
              <w:t>14</w:t>
            </w:r>
          </w:p>
        </w:tc>
        <w:tc>
          <w:tcPr>
            <w:tcW w:w="939" w:type="dxa"/>
          </w:tcPr>
          <w:p>
            <w:pPr>
              <w:pStyle w:val="TableParagraph"/>
              <w:spacing w:line="238" w:lineRule="exact" w:before="15"/>
              <w:ind w:left="362"/>
              <w:jc w:val="left"/>
              <w:rPr>
                <w:rFonts w:ascii="Times New Roman"/>
                <w:sz w:val="21"/>
              </w:rPr>
            </w:pPr>
            <w:r>
              <w:rPr>
                <w:rFonts w:ascii="Times New Roman"/>
                <w:sz w:val="21"/>
              </w:rPr>
              <w:t>10</w:t>
            </w:r>
          </w:p>
        </w:tc>
        <w:tc>
          <w:tcPr>
            <w:tcW w:w="929" w:type="dxa"/>
          </w:tcPr>
          <w:p>
            <w:pPr>
              <w:pStyle w:val="TableParagraph"/>
              <w:jc w:val="left"/>
              <w:rPr>
                <w:rFonts w:ascii="Times New Roman"/>
                <w:sz w:val="20"/>
              </w:rPr>
            </w:pPr>
          </w:p>
        </w:tc>
      </w:tr>
    </w:tbl>
    <w:p>
      <w:pPr>
        <w:pStyle w:val="BodyText"/>
        <w:spacing w:line="364" w:lineRule="auto" w:before="2"/>
        <w:ind w:left="218" w:right="412" w:firstLine="480"/>
        <w:jc w:val="both"/>
      </w:pPr>
      <w:r>
        <w:rPr>
          <w:spacing w:val="-6"/>
        </w:rPr>
        <w:t>在一般情况下，施工噪声在施工场界不会超标。昼间本项目施工期场界噪声在距施</w:t>
      </w:r>
      <w:r>
        <w:rPr>
          <w:spacing w:val="-9"/>
        </w:rPr>
        <w:t>工机械约 </w:t>
      </w:r>
      <w:r>
        <w:rPr>
          <w:rFonts w:ascii="Times New Roman" w:eastAsia="Times New Roman"/>
        </w:rPr>
        <w:t>50 </w:t>
      </w:r>
      <w:r>
        <w:rPr>
          <w:spacing w:val="-3"/>
        </w:rPr>
        <w:t>米左右达标，夜间则需距施工机械 </w:t>
      </w:r>
      <w:r>
        <w:rPr>
          <w:rFonts w:ascii="Times New Roman" w:eastAsia="Times New Roman"/>
        </w:rPr>
        <w:t>300 </w:t>
      </w:r>
      <w:r>
        <w:rPr>
          <w:spacing w:val="-1"/>
        </w:rPr>
        <w:t>米左右才能达标。就项目保护目标</w:t>
      </w:r>
      <w:r>
        <w:rPr>
          <w:spacing w:val="-10"/>
        </w:rPr>
        <w:t>而言，周围 </w:t>
      </w:r>
      <w:r>
        <w:rPr>
          <w:rFonts w:ascii="Times New Roman" w:eastAsia="Times New Roman"/>
        </w:rPr>
        <w:t>500m </w:t>
      </w:r>
      <w:r>
        <w:rPr>
          <w:spacing w:val="-3"/>
        </w:rPr>
        <w:t>内无集中居住区及常住人口，项目施工噪声对最近保护目标的夜间声</w:t>
      </w:r>
      <w:r>
        <w:rPr>
          <w:spacing w:val="-6"/>
        </w:rPr>
        <w:t>环境影响较小。但项目应严格控制夜间施工，夜间应停止大型施工机械的施工确需施工</w:t>
      </w:r>
      <w:r>
        <w:rPr>
          <w:spacing w:val="-5"/>
        </w:rPr>
        <w:t>的应报请当地环保局批准。施工期间，在施工场界噪声达标时，施工噪声仍会不可避免地影响周围区域的环境质量。由于施工场地宽广，施工噪声源具有不固定性，当施工机</w:t>
      </w:r>
      <w:r>
        <w:rPr/>
        <w:t>械距离保护目标近时，施工噪声影响较重，反之则较轻。</w:t>
      </w:r>
    </w:p>
    <w:p>
      <w:pPr>
        <w:pStyle w:val="Heading4"/>
        <w:numPr>
          <w:ilvl w:val="2"/>
          <w:numId w:val="23"/>
        </w:numPr>
        <w:tabs>
          <w:tab w:pos="759" w:val="left" w:leader="none"/>
        </w:tabs>
        <w:spacing w:line="303" w:lineRule="exact" w:before="0" w:after="0"/>
        <w:ind w:left="758" w:right="0" w:hanging="541"/>
        <w:jc w:val="both"/>
      </w:pPr>
      <w:r>
        <w:rPr/>
        <w:t>施工期固废环境影响分析</w:t>
      </w:r>
    </w:p>
    <w:p>
      <w:pPr>
        <w:pStyle w:val="BodyText"/>
        <w:spacing w:line="364" w:lineRule="auto" w:before="161"/>
        <w:ind w:left="218" w:right="415" w:firstLine="482"/>
        <w:jc w:val="both"/>
      </w:pPr>
      <w:r>
        <w:rPr>
          <w:spacing w:val="-4"/>
        </w:rPr>
        <w:t>建筑施工过程中将产生一定量的建筑废弃物，同时在建设施工期间需要挖土、运输</w:t>
      </w:r>
      <w:r>
        <w:rPr>
          <w:spacing w:val="-9"/>
        </w:rPr>
        <w:t>弃土，运输各种建筑材料，如砂石、水泥、砖瓦、木料等。工程完成后，会残留部分废</w:t>
      </w:r>
      <w:r>
        <w:rPr>
          <w:spacing w:val="-7"/>
        </w:rPr>
        <w:t>弃的建筑材料，若处置不当，遇暴雨降水等会被冲刷流失到水环境中造成水体污染。建</w:t>
      </w:r>
      <w:r>
        <w:rPr>
          <w:spacing w:val="-5"/>
        </w:rPr>
        <w:t>设单位应要求施工单位规范运输，不能随路洒落，不能随意倾倒堆放建筑垃圾，施工结</w:t>
      </w:r>
      <w:r>
        <w:rPr/>
        <w:t>束后，应及时清运多余或废弃的建筑材料或建筑垃圾。</w:t>
      </w:r>
    </w:p>
    <w:p>
      <w:pPr>
        <w:pStyle w:val="BodyText"/>
        <w:spacing w:line="304" w:lineRule="exact"/>
        <w:ind w:left="701"/>
      </w:pPr>
      <w:r>
        <w:rPr/>
        <w:t>此外，施工期间施工队伍的生活垃圾也要及时收集，并由当地环卫部门统一收集处</w:t>
      </w:r>
    </w:p>
    <w:p>
      <w:pPr>
        <w:pStyle w:val="BodyText"/>
        <w:spacing w:before="160"/>
        <w:ind w:left="218"/>
      </w:pPr>
      <w:r>
        <w:rPr/>
        <w:t>理。</w:t>
      </w:r>
    </w:p>
    <w:p>
      <w:pPr>
        <w:pStyle w:val="Heading4"/>
        <w:numPr>
          <w:ilvl w:val="2"/>
          <w:numId w:val="23"/>
        </w:numPr>
        <w:tabs>
          <w:tab w:pos="759" w:val="left" w:leader="none"/>
        </w:tabs>
        <w:spacing w:line="240" w:lineRule="auto" w:before="158" w:after="0"/>
        <w:ind w:left="758" w:right="0" w:hanging="541"/>
        <w:jc w:val="left"/>
      </w:pPr>
      <w:r>
        <w:rPr/>
        <w:t>施工期生态环境影响分析</w:t>
      </w:r>
    </w:p>
    <w:p>
      <w:pPr>
        <w:pStyle w:val="BodyText"/>
        <w:spacing w:before="161"/>
        <w:ind w:left="701"/>
      </w:pPr>
      <w:r>
        <w:rPr>
          <w:rFonts w:ascii="Times New Roman" w:eastAsia="Times New Roman"/>
        </w:rPr>
        <w:t>1</w:t>
      </w:r>
      <w:r>
        <w:rPr/>
        <w:t>、影响因素分析</w:t>
      </w:r>
    </w:p>
    <w:p>
      <w:pPr>
        <w:pStyle w:val="BodyText"/>
        <w:spacing w:line="364" w:lineRule="auto" w:before="160"/>
        <w:ind w:left="218" w:right="365" w:firstLine="480"/>
        <w:jc w:val="both"/>
      </w:pPr>
      <w:r>
        <w:rPr/>
        <w:t>施工期生态环境的影响因素主要为：场地开挖期间土层裸露以及建设期间的弃土产生的扬尘和水土流失。建设期间产生的土方若处置不当（未及时回填、随意堆存等）， 以及出露的土层，在天气干燥且风力较大时，极易在施工区域范围内形成人为的扬尘天气；或在雨水冲刷时形成水土流失，从而造成施工地表局部面蚀或沟蚀。</w:t>
      </w:r>
    </w:p>
    <w:p>
      <w:pPr>
        <w:pStyle w:val="BodyText"/>
        <w:spacing w:line="362" w:lineRule="auto"/>
        <w:ind w:left="218" w:right="353" w:firstLine="480"/>
      </w:pPr>
      <w:r>
        <w:rPr/>
        <w:t>施工期的弃土弃渣如不采取覆盖和围档等措施随意堆放，在瞬时降雨强度较大的情况下，也易形成水土流失现象。</w:t>
      </w:r>
    </w:p>
    <w:p>
      <w:pPr>
        <w:pStyle w:val="BodyText"/>
        <w:spacing w:before="4"/>
        <w:ind w:left="701"/>
      </w:pPr>
      <w:r>
        <w:rPr>
          <w:rFonts w:ascii="Times New Roman" w:eastAsia="Times New Roman"/>
        </w:rPr>
        <w:t>2</w:t>
      </w:r>
      <w:r>
        <w:rPr/>
        <w:t>、生态保护措施</w:t>
      </w:r>
    </w:p>
    <w:p>
      <w:pPr>
        <w:pStyle w:val="ListParagraph"/>
        <w:numPr>
          <w:ilvl w:val="3"/>
          <w:numId w:val="23"/>
        </w:numPr>
        <w:tabs>
          <w:tab w:pos="1303" w:val="left" w:leader="none"/>
        </w:tabs>
        <w:spacing w:line="240" w:lineRule="auto" w:before="158" w:after="0"/>
        <w:ind w:left="1302" w:right="0" w:hanging="602"/>
        <w:jc w:val="left"/>
        <w:rPr>
          <w:sz w:val="22"/>
        </w:rPr>
      </w:pPr>
      <w:r>
        <w:rPr>
          <w:sz w:val="24"/>
        </w:rPr>
        <w:t>水土流失防治措施</w:t>
      </w:r>
    </w:p>
    <w:p>
      <w:pPr>
        <w:pStyle w:val="BodyText"/>
        <w:spacing w:before="160"/>
        <w:ind w:left="698"/>
      </w:pPr>
      <w:r>
        <w:rPr/>
        <w:t>施工中挖出的土方应及时回填，需临时堆放不能及时运出的应有专门的堆放场所。</w:t>
      </w:r>
    </w:p>
    <w:p>
      <w:pPr>
        <w:spacing w:after="0"/>
        <w:sectPr>
          <w:pgSz w:w="11910" w:h="16840"/>
          <w:pgMar w:header="872" w:footer="944" w:top="1340" w:bottom="1140" w:left="1200" w:right="1000"/>
        </w:sectPr>
      </w:pPr>
    </w:p>
    <w:p>
      <w:pPr>
        <w:pStyle w:val="BodyText"/>
        <w:spacing w:before="64"/>
        <w:ind w:left="218"/>
      </w:pPr>
      <w:r>
        <w:rPr/>
        <w:t>施工弃土的临时堆放场要有进行必要的覆盖，并设置围档，防止雨水冲刷造成水土流失。</w:t>
      </w:r>
    </w:p>
    <w:p>
      <w:pPr>
        <w:pStyle w:val="ListParagraph"/>
        <w:numPr>
          <w:ilvl w:val="3"/>
          <w:numId w:val="23"/>
        </w:numPr>
        <w:tabs>
          <w:tab w:pos="1303" w:val="left" w:leader="none"/>
        </w:tabs>
        <w:spacing w:line="240" w:lineRule="auto" w:before="158" w:after="0"/>
        <w:ind w:left="1302" w:right="0" w:hanging="602"/>
        <w:jc w:val="left"/>
        <w:rPr>
          <w:sz w:val="22"/>
        </w:rPr>
      </w:pPr>
      <w:r>
        <w:rPr>
          <w:sz w:val="24"/>
        </w:rPr>
        <w:t>植被的恢复措施</w:t>
      </w:r>
    </w:p>
    <w:p>
      <w:pPr>
        <w:pStyle w:val="BodyText"/>
        <w:spacing w:line="364" w:lineRule="auto" w:before="161"/>
        <w:ind w:left="218" w:right="413" w:firstLine="480"/>
        <w:jc w:val="both"/>
      </w:pPr>
      <w:r>
        <w:rPr>
          <w:spacing w:val="-6"/>
        </w:rPr>
        <w:t>在建设后期，应及时进行植被种植和绿化，增强地表的固土能力，可以有效减轻施</w:t>
      </w:r>
      <w:r>
        <w:rPr>
          <w:spacing w:val="-4"/>
        </w:rPr>
        <w:t>工扬尘和水土流失的发生。绿化不仅能改善和美化厂区环境，植物叶茎还能阻滞和吸收</w:t>
      </w:r>
      <w:r>
        <w:rPr>
          <w:spacing w:val="-10"/>
          <w:position w:val="2"/>
        </w:rPr>
        <w:t>大气中的 </w:t>
      </w:r>
      <w:r>
        <w:rPr>
          <w:rFonts w:ascii="Times New Roman" w:eastAsia="Times New Roman"/>
          <w:position w:val="2"/>
        </w:rPr>
        <w:t>CO</w:t>
      </w:r>
      <w:r>
        <w:rPr>
          <w:rFonts w:ascii="Times New Roman" w:eastAsia="Times New Roman"/>
          <w:sz w:val="16"/>
        </w:rPr>
        <w:t>2</w:t>
      </w:r>
      <w:r>
        <w:rPr>
          <w:position w:val="2"/>
        </w:rPr>
        <w:t>、</w:t>
      </w:r>
      <w:r>
        <w:rPr>
          <w:rFonts w:ascii="Times New Roman" w:eastAsia="Times New Roman"/>
          <w:position w:val="2"/>
        </w:rPr>
        <w:t>SO</w:t>
      </w:r>
      <w:r>
        <w:rPr>
          <w:rFonts w:ascii="Times New Roman" w:eastAsia="Times New Roman"/>
          <w:sz w:val="16"/>
        </w:rPr>
        <w:t>2 </w:t>
      </w:r>
      <w:r>
        <w:rPr>
          <w:spacing w:val="-4"/>
          <w:position w:val="2"/>
        </w:rPr>
        <w:t>等有害物质，树木树冠能阻挡、过滤和吸附大气中的粉尘、吸收并</w:t>
      </w:r>
      <w:r>
        <w:rPr/>
        <w:t>减弱噪声声能，草地的根茎叶可固定地面尘土防止飞扬。</w:t>
      </w:r>
    </w:p>
    <w:p>
      <w:pPr>
        <w:pStyle w:val="Heading3"/>
        <w:numPr>
          <w:ilvl w:val="1"/>
          <w:numId w:val="23"/>
        </w:numPr>
        <w:tabs>
          <w:tab w:pos="781" w:val="left" w:leader="none"/>
        </w:tabs>
        <w:spacing w:line="357" w:lineRule="exact" w:before="0" w:after="0"/>
        <w:ind w:left="780" w:right="0" w:hanging="421"/>
        <w:jc w:val="left"/>
      </w:pPr>
      <w:bookmarkStart w:name="_bookmark44" w:id="89"/>
      <w:bookmarkEnd w:id="89"/>
      <w:r>
        <w:rPr>
          <w:b w:val="0"/>
        </w:rPr>
      </w:r>
      <w:bookmarkStart w:name="_bookmark44" w:id="90"/>
      <w:bookmarkEnd w:id="90"/>
      <w:r>
        <w:rPr/>
        <w:t>营运期环境影响分析</w:t>
      </w:r>
    </w:p>
    <w:p>
      <w:pPr>
        <w:pStyle w:val="Heading4"/>
        <w:numPr>
          <w:ilvl w:val="2"/>
          <w:numId w:val="23"/>
        </w:numPr>
        <w:tabs>
          <w:tab w:pos="1119" w:val="left" w:leader="none"/>
        </w:tabs>
        <w:spacing w:line="240" w:lineRule="auto" w:before="185" w:after="0"/>
        <w:ind w:left="1118" w:right="0" w:hanging="541"/>
        <w:jc w:val="left"/>
      </w:pPr>
      <w:r>
        <w:rPr/>
        <w:t>营运期大气环境影响分析</w:t>
      </w:r>
    </w:p>
    <w:p>
      <w:pPr>
        <w:pStyle w:val="ListParagraph"/>
        <w:numPr>
          <w:ilvl w:val="3"/>
          <w:numId w:val="26"/>
        </w:numPr>
        <w:tabs>
          <w:tab w:pos="1422" w:val="left" w:leader="none"/>
        </w:tabs>
        <w:spacing w:line="240" w:lineRule="auto" w:before="160" w:after="0"/>
        <w:ind w:left="1421" w:right="0" w:hanging="721"/>
        <w:jc w:val="left"/>
        <w:rPr>
          <w:rFonts w:ascii="Times New Roman" w:eastAsia="Times New Roman"/>
          <w:b/>
          <w:sz w:val="24"/>
        </w:rPr>
      </w:pPr>
      <w:r>
        <w:rPr>
          <w:b/>
          <w:sz w:val="24"/>
        </w:rPr>
        <w:t>逐日逐次气象资料</w:t>
      </w:r>
      <w:r>
        <w:rPr>
          <w:rFonts w:ascii="Times New Roman" w:eastAsia="Times New Roman"/>
          <w:b/>
          <w:sz w:val="24"/>
        </w:rPr>
        <w:t>(2020</w:t>
      </w:r>
      <w:r>
        <w:rPr>
          <w:rFonts w:ascii="Times New Roman" w:eastAsia="Times New Roman"/>
          <w:b/>
          <w:spacing w:val="-1"/>
          <w:sz w:val="24"/>
        </w:rPr>
        <w:t> </w:t>
      </w:r>
      <w:r>
        <w:rPr>
          <w:b/>
          <w:sz w:val="24"/>
        </w:rPr>
        <w:t>年</w:t>
      </w:r>
      <w:r>
        <w:rPr>
          <w:rFonts w:ascii="Times New Roman" w:eastAsia="Times New Roman"/>
          <w:b/>
          <w:sz w:val="24"/>
        </w:rPr>
        <w:t>)</w:t>
      </w:r>
    </w:p>
    <w:p>
      <w:pPr>
        <w:pStyle w:val="ListParagraph"/>
        <w:numPr>
          <w:ilvl w:val="4"/>
          <w:numId w:val="26"/>
        </w:numPr>
        <w:tabs>
          <w:tab w:pos="1100" w:val="left" w:leader="none"/>
        </w:tabs>
        <w:spacing w:line="240" w:lineRule="auto" w:before="159" w:after="0"/>
        <w:ind w:left="1099" w:right="0" w:hanging="282"/>
        <w:jc w:val="left"/>
        <w:rPr>
          <w:sz w:val="24"/>
        </w:rPr>
      </w:pPr>
      <w:r>
        <w:rPr>
          <w:sz w:val="24"/>
        </w:rPr>
        <w:t>温度</w:t>
      </w:r>
    </w:p>
    <w:p>
      <w:pPr>
        <w:pStyle w:val="BodyText"/>
        <w:spacing w:line="362" w:lineRule="auto" w:before="161"/>
        <w:ind w:left="218" w:right="417" w:firstLine="480"/>
        <w:jc w:val="both"/>
      </w:pPr>
      <w:r>
        <w:rPr/>
        <w:t>上虞 </w:t>
      </w:r>
      <w:r>
        <w:rPr>
          <w:rFonts w:ascii="Times New Roman" w:eastAsia="Times New Roman"/>
        </w:rPr>
        <w:t>2020 </w:t>
      </w:r>
      <w:r>
        <w:rPr/>
        <w:t>年平均温度月变化统计数据见表 </w:t>
      </w:r>
      <w:r>
        <w:rPr>
          <w:rFonts w:ascii="Times New Roman" w:eastAsia="Times New Roman"/>
        </w:rPr>
        <w:t>7.2.1-1</w:t>
      </w:r>
      <w:r>
        <w:rPr/>
        <w:t>，年平均温度变化曲线见图</w:t>
      </w:r>
      <w:r>
        <w:rPr>
          <w:rFonts w:ascii="Times New Roman" w:eastAsia="Times New Roman"/>
        </w:rPr>
        <w:t>7.2.1-1</w:t>
      </w:r>
      <w:r>
        <w:rPr/>
        <w:t>。</w:t>
      </w:r>
    </w:p>
    <w:p>
      <w:pPr>
        <w:pStyle w:val="Heading4"/>
        <w:tabs>
          <w:tab w:pos="1222" w:val="left" w:leader="none"/>
        </w:tabs>
        <w:spacing w:before="146" w:after="29"/>
        <w:ind w:left="0" w:right="197"/>
        <w:jc w:val="center"/>
      </w:pPr>
      <w:r>
        <w:rPr/>
        <w:t>表</w:t>
      </w:r>
      <w:r>
        <w:rPr>
          <w:spacing w:val="-59"/>
        </w:rPr>
        <w:t> </w:t>
      </w:r>
      <w:r>
        <w:rPr>
          <w:rFonts w:ascii="Times New Roman" w:eastAsia="Times New Roman"/>
        </w:rPr>
        <w:t>7.2.1-1</w:t>
        <w:tab/>
      </w:r>
      <w:r>
        <w:rPr/>
        <w:t>上虞</w:t>
      </w:r>
      <w:r>
        <w:rPr>
          <w:spacing w:val="-59"/>
        </w:rPr>
        <w:t> </w:t>
      </w:r>
      <w:r>
        <w:rPr>
          <w:rFonts w:ascii="Times New Roman" w:eastAsia="Times New Roman"/>
        </w:rPr>
        <w:t>2020</w:t>
      </w:r>
      <w:r>
        <w:rPr>
          <w:rFonts w:ascii="Times New Roman" w:eastAsia="Times New Roman"/>
          <w:spacing w:val="-3"/>
        </w:rPr>
        <w:t> </w:t>
      </w:r>
      <w:r>
        <w:rPr/>
        <w:t>年平均温度月变化</w:t>
      </w:r>
    </w:p>
    <w:tbl>
      <w:tblPr>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45"/>
        <w:gridCol w:w="550"/>
        <w:gridCol w:w="677"/>
        <w:gridCol w:w="678"/>
        <w:gridCol w:w="675"/>
        <w:gridCol w:w="677"/>
        <w:gridCol w:w="677"/>
        <w:gridCol w:w="675"/>
        <w:gridCol w:w="677"/>
        <w:gridCol w:w="675"/>
        <w:gridCol w:w="675"/>
        <w:gridCol w:w="678"/>
        <w:gridCol w:w="675"/>
      </w:tblGrid>
      <w:tr>
        <w:trPr>
          <w:trHeight w:val="282" w:hRule="atLeast"/>
        </w:trPr>
        <w:tc>
          <w:tcPr>
            <w:tcW w:w="1145" w:type="dxa"/>
          </w:tcPr>
          <w:p>
            <w:pPr>
              <w:pStyle w:val="TableParagraph"/>
              <w:spacing w:line="250" w:lineRule="exact" w:before="13"/>
              <w:ind w:left="26" w:right="5"/>
              <w:rPr>
                <w:sz w:val="21"/>
              </w:rPr>
            </w:pPr>
            <w:r>
              <w:rPr>
                <w:sz w:val="21"/>
              </w:rPr>
              <w:t>月份</w:t>
            </w:r>
          </w:p>
        </w:tc>
        <w:tc>
          <w:tcPr>
            <w:tcW w:w="550" w:type="dxa"/>
          </w:tcPr>
          <w:p>
            <w:pPr>
              <w:pStyle w:val="TableParagraph"/>
              <w:spacing w:line="250" w:lineRule="exact" w:before="13"/>
              <w:ind w:left="88"/>
              <w:jc w:val="left"/>
              <w:rPr>
                <w:sz w:val="21"/>
              </w:rPr>
            </w:pPr>
            <w:r>
              <w:rPr>
                <w:rFonts w:ascii="Times New Roman" w:eastAsia="Times New Roman"/>
                <w:sz w:val="21"/>
              </w:rPr>
              <w:t>1 </w:t>
            </w:r>
            <w:r>
              <w:rPr>
                <w:sz w:val="21"/>
              </w:rPr>
              <w:t>月</w:t>
            </w:r>
          </w:p>
        </w:tc>
        <w:tc>
          <w:tcPr>
            <w:tcW w:w="677" w:type="dxa"/>
          </w:tcPr>
          <w:p>
            <w:pPr>
              <w:pStyle w:val="TableParagraph"/>
              <w:spacing w:line="250" w:lineRule="exact" w:before="13"/>
              <w:ind w:left="102" w:right="85"/>
              <w:rPr>
                <w:sz w:val="21"/>
              </w:rPr>
            </w:pPr>
            <w:r>
              <w:rPr>
                <w:rFonts w:ascii="Times New Roman" w:eastAsia="Times New Roman"/>
                <w:sz w:val="21"/>
              </w:rPr>
              <w:t>2 </w:t>
            </w:r>
            <w:r>
              <w:rPr>
                <w:sz w:val="21"/>
              </w:rPr>
              <w:t>月</w:t>
            </w:r>
          </w:p>
        </w:tc>
        <w:tc>
          <w:tcPr>
            <w:tcW w:w="678" w:type="dxa"/>
          </w:tcPr>
          <w:p>
            <w:pPr>
              <w:pStyle w:val="TableParagraph"/>
              <w:spacing w:line="250" w:lineRule="exact" w:before="13"/>
              <w:ind w:right="135"/>
              <w:jc w:val="right"/>
              <w:rPr>
                <w:sz w:val="21"/>
              </w:rPr>
            </w:pPr>
            <w:r>
              <w:rPr>
                <w:rFonts w:ascii="Times New Roman" w:eastAsia="Times New Roman"/>
                <w:sz w:val="21"/>
              </w:rPr>
              <w:t>3 </w:t>
            </w:r>
            <w:r>
              <w:rPr>
                <w:sz w:val="21"/>
              </w:rPr>
              <w:t>月</w:t>
            </w:r>
          </w:p>
        </w:tc>
        <w:tc>
          <w:tcPr>
            <w:tcW w:w="675" w:type="dxa"/>
          </w:tcPr>
          <w:p>
            <w:pPr>
              <w:pStyle w:val="TableParagraph"/>
              <w:spacing w:line="250" w:lineRule="exact" w:before="13"/>
              <w:ind w:left="74" w:right="61"/>
              <w:rPr>
                <w:sz w:val="21"/>
              </w:rPr>
            </w:pPr>
            <w:r>
              <w:rPr>
                <w:rFonts w:ascii="Times New Roman" w:eastAsia="Times New Roman"/>
                <w:sz w:val="21"/>
              </w:rPr>
              <w:t>4 </w:t>
            </w:r>
            <w:r>
              <w:rPr>
                <w:sz w:val="21"/>
              </w:rPr>
              <w:t>月</w:t>
            </w:r>
          </w:p>
        </w:tc>
        <w:tc>
          <w:tcPr>
            <w:tcW w:w="677" w:type="dxa"/>
          </w:tcPr>
          <w:p>
            <w:pPr>
              <w:pStyle w:val="TableParagraph"/>
              <w:spacing w:line="250" w:lineRule="exact" w:before="13"/>
              <w:ind w:left="102" w:right="88"/>
              <w:rPr>
                <w:sz w:val="21"/>
              </w:rPr>
            </w:pPr>
            <w:r>
              <w:rPr>
                <w:rFonts w:ascii="Times New Roman" w:eastAsia="Times New Roman"/>
                <w:sz w:val="21"/>
              </w:rPr>
              <w:t>5 </w:t>
            </w:r>
            <w:r>
              <w:rPr>
                <w:sz w:val="21"/>
              </w:rPr>
              <w:t>月</w:t>
            </w:r>
          </w:p>
        </w:tc>
        <w:tc>
          <w:tcPr>
            <w:tcW w:w="677" w:type="dxa"/>
          </w:tcPr>
          <w:p>
            <w:pPr>
              <w:pStyle w:val="TableParagraph"/>
              <w:spacing w:line="250" w:lineRule="exact" w:before="13"/>
              <w:ind w:left="101" w:right="92"/>
              <w:rPr>
                <w:sz w:val="21"/>
              </w:rPr>
            </w:pPr>
            <w:r>
              <w:rPr>
                <w:rFonts w:ascii="Times New Roman" w:eastAsia="Times New Roman"/>
                <w:sz w:val="21"/>
              </w:rPr>
              <w:t>6 </w:t>
            </w:r>
            <w:r>
              <w:rPr>
                <w:sz w:val="21"/>
              </w:rPr>
              <w:t>月</w:t>
            </w:r>
          </w:p>
        </w:tc>
        <w:tc>
          <w:tcPr>
            <w:tcW w:w="675" w:type="dxa"/>
          </w:tcPr>
          <w:p>
            <w:pPr>
              <w:pStyle w:val="TableParagraph"/>
              <w:spacing w:line="250" w:lineRule="exact" w:before="13"/>
              <w:ind w:left="74" w:right="62"/>
              <w:rPr>
                <w:sz w:val="21"/>
              </w:rPr>
            </w:pPr>
            <w:r>
              <w:rPr>
                <w:rFonts w:ascii="Times New Roman" w:eastAsia="Times New Roman"/>
                <w:sz w:val="21"/>
              </w:rPr>
              <w:t>7 </w:t>
            </w:r>
            <w:r>
              <w:rPr>
                <w:sz w:val="21"/>
              </w:rPr>
              <w:t>月</w:t>
            </w:r>
          </w:p>
        </w:tc>
        <w:tc>
          <w:tcPr>
            <w:tcW w:w="677" w:type="dxa"/>
          </w:tcPr>
          <w:p>
            <w:pPr>
              <w:pStyle w:val="TableParagraph"/>
              <w:spacing w:line="250" w:lineRule="exact" w:before="13"/>
              <w:ind w:left="102" w:right="89"/>
              <w:rPr>
                <w:sz w:val="21"/>
              </w:rPr>
            </w:pPr>
            <w:r>
              <w:rPr>
                <w:rFonts w:ascii="Times New Roman" w:eastAsia="Times New Roman"/>
                <w:sz w:val="21"/>
              </w:rPr>
              <w:t>8 </w:t>
            </w:r>
            <w:r>
              <w:rPr>
                <w:sz w:val="21"/>
              </w:rPr>
              <w:t>月</w:t>
            </w:r>
          </w:p>
        </w:tc>
        <w:tc>
          <w:tcPr>
            <w:tcW w:w="675" w:type="dxa"/>
          </w:tcPr>
          <w:p>
            <w:pPr>
              <w:pStyle w:val="TableParagraph"/>
              <w:spacing w:line="250" w:lineRule="exact" w:before="13"/>
              <w:ind w:left="74" w:right="64"/>
              <w:rPr>
                <w:sz w:val="21"/>
              </w:rPr>
            </w:pPr>
            <w:r>
              <w:rPr>
                <w:rFonts w:ascii="Times New Roman" w:eastAsia="Times New Roman"/>
                <w:sz w:val="21"/>
              </w:rPr>
              <w:t>9 </w:t>
            </w:r>
            <w:r>
              <w:rPr>
                <w:sz w:val="21"/>
              </w:rPr>
              <w:t>月</w:t>
            </w:r>
          </w:p>
        </w:tc>
        <w:tc>
          <w:tcPr>
            <w:tcW w:w="675" w:type="dxa"/>
          </w:tcPr>
          <w:p>
            <w:pPr>
              <w:pStyle w:val="TableParagraph"/>
              <w:spacing w:line="250" w:lineRule="exact" w:before="13"/>
              <w:ind w:right="80"/>
              <w:jc w:val="right"/>
              <w:rPr>
                <w:sz w:val="21"/>
              </w:rPr>
            </w:pPr>
            <w:r>
              <w:rPr>
                <w:rFonts w:ascii="Times New Roman" w:eastAsia="Times New Roman"/>
                <w:sz w:val="21"/>
              </w:rPr>
              <w:t>10 </w:t>
            </w:r>
            <w:r>
              <w:rPr>
                <w:sz w:val="21"/>
              </w:rPr>
              <w:t>月</w:t>
            </w:r>
          </w:p>
        </w:tc>
        <w:tc>
          <w:tcPr>
            <w:tcW w:w="678" w:type="dxa"/>
          </w:tcPr>
          <w:p>
            <w:pPr>
              <w:pStyle w:val="TableParagraph"/>
              <w:spacing w:line="250" w:lineRule="exact" w:before="13"/>
              <w:ind w:right="83"/>
              <w:jc w:val="right"/>
              <w:rPr>
                <w:sz w:val="21"/>
              </w:rPr>
            </w:pPr>
            <w:r>
              <w:rPr>
                <w:rFonts w:ascii="Times New Roman" w:eastAsia="Times New Roman"/>
                <w:sz w:val="21"/>
              </w:rPr>
              <w:t>11 </w:t>
            </w:r>
            <w:r>
              <w:rPr>
                <w:sz w:val="21"/>
              </w:rPr>
              <w:t>月</w:t>
            </w:r>
          </w:p>
        </w:tc>
        <w:tc>
          <w:tcPr>
            <w:tcW w:w="675" w:type="dxa"/>
          </w:tcPr>
          <w:p>
            <w:pPr>
              <w:pStyle w:val="TableParagraph"/>
              <w:spacing w:line="250" w:lineRule="exact" w:before="13"/>
              <w:ind w:left="74" w:right="68"/>
              <w:rPr>
                <w:sz w:val="21"/>
              </w:rPr>
            </w:pPr>
            <w:r>
              <w:rPr>
                <w:rFonts w:ascii="Times New Roman" w:eastAsia="Times New Roman"/>
                <w:sz w:val="21"/>
              </w:rPr>
              <w:t>12 </w:t>
            </w:r>
            <w:r>
              <w:rPr>
                <w:sz w:val="21"/>
              </w:rPr>
              <w:t>月</w:t>
            </w:r>
          </w:p>
        </w:tc>
      </w:tr>
      <w:tr>
        <w:trPr>
          <w:trHeight w:val="284" w:hRule="atLeast"/>
        </w:trPr>
        <w:tc>
          <w:tcPr>
            <w:tcW w:w="1145" w:type="dxa"/>
          </w:tcPr>
          <w:p>
            <w:pPr>
              <w:pStyle w:val="TableParagraph"/>
              <w:spacing w:line="252" w:lineRule="exact" w:before="12"/>
              <w:ind w:left="26" w:right="8"/>
              <w:rPr>
                <w:sz w:val="21"/>
              </w:rPr>
            </w:pPr>
            <w:r>
              <w:rPr>
                <w:sz w:val="21"/>
              </w:rPr>
              <w:t>温度（℃）</w:t>
            </w:r>
          </w:p>
        </w:tc>
        <w:tc>
          <w:tcPr>
            <w:tcW w:w="550" w:type="dxa"/>
          </w:tcPr>
          <w:p>
            <w:pPr>
              <w:pStyle w:val="TableParagraph"/>
              <w:spacing w:line="221" w:lineRule="exact" w:before="43"/>
              <w:ind w:left="140"/>
              <w:jc w:val="left"/>
              <w:rPr>
                <w:rFonts w:ascii="Times New Roman"/>
                <w:sz w:val="21"/>
              </w:rPr>
            </w:pPr>
            <w:r>
              <w:rPr>
                <w:rFonts w:ascii="Times New Roman"/>
                <w:sz w:val="21"/>
              </w:rPr>
              <w:t>7.6</w:t>
            </w:r>
          </w:p>
        </w:tc>
        <w:tc>
          <w:tcPr>
            <w:tcW w:w="677" w:type="dxa"/>
          </w:tcPr>
          <w:p>
            <w:pPr>
              <w:pStyle w:val="TableParagraph"/>
              <w:spacing w:line="221" w:lineRule="exact" w:before="43"/>
              <w:ind w:left="102" w:right="85"/>
              <w:rPr>
                <w:rFonts w:ascii="Times New Roman"/>
                <w:sz w:val="21"/>
              </w:rPr>
            </w:pPr>
            <w:r>
              <w:rPr>
                <w:rFonts w:ascii="Times New Roman"/>
                <w:sz w:val="21"/>
              </w:rPr>
              <w:t>9.9</w:t>
            </w:r>
          </w:p>
        </w:tc>
        <w:tc>
          <w:tcPr>
            <w:tcW w:w="678" w:type="dxa"/>
          </w:tcPr>
          <w:p>
            <w:pPr>
              <w:pStyle w:val="TableParagraph"/>
              <w:spacing w:line="221" w:lineRule="exact" w:before="43"/>
              <w:ind w:right="136"/>
              <w:jc w:val="right"/>
              <w:rPr>
                <w:rFonts w:ascii="Times New Roman"/>
                <w:sz w:val="21"/>
              </w:rPr>
            </w:pPr>
            <w:r>
              <w:rPr>
                <w:rFonts w:ascii="Times New Roman"/>
                <w:sz w:val="21"/>
              </w:rPr>
              <w:t>13.1</w:t>
            </w:r>
          </w:p>
        </w:tc>
        <w:tc>
          <w:tcPr>
            <w:tcW w:w="675" w:type="dxa"/>
          </w:tcPr>
          <w:p>
            <w:pPr>
              <w:pStyle w:val="TableParagraph"/>
              <w:spacing w:line="221" w:lineRule="exact" w:before="43"/>
              <w:ind w:left="74" w:right="61"/>
              <w:rPr>
                <w:rFonts w:ascii="Times New Roman"/>
                <w:sz w:val="21"/>
              </w:rPr>
            </w:pPr>
            <w:r>
              <w:rPr>
                <w:rFonts w:ascii="Times New Roman"/>
                <w:sz w:val="21"/>
              </w:rPr>
              <w:t>16.3</w:t>
            </w:r>
          </w:p>
        </w:tc>
        <w:tc>
          <w:tcPr>
            <w:tcW w:w="677" w:type="dxa"/>
          </w:tcPr>
          <w:p>
            <w:pPr>
              <w:pStyle w:val="TableParagraph"/>
              <w:spacing w:line="221" w:lineRule="exact" w:before="43"/>
              <w:ind w:left="102" w:right="88"/>
              <w:rPr>
                <w:rFonts w:ascii="Times New Roman"/>
                <w:sz w:val="21"/>
              </w:rPr>
            </w:pPr>
            <w:r>
              <w:rPr>
                <w:rFonts w:ascii="Times New Roman"/>
                <w:sz w:val="21"/>
              </w:rPr>
              <w:t>23.5</w:t>
            </w:r>
          </w:p>
        </w:tc>
        <w:tc>
          <w:tcPr>
            <w:tcW w:w="677" w:type="dxa"/>
          </w:tcPr>
          <w:p>
            <w:pPr>
              <w:pStyle w:val="TableParagraph"/>
              <w:spacing w:line="221" w:lineRule="exact" w:before="43"/>
              <w:ind w:left="101" w:right="92"/>
              <w:rPr>
                <w:rFonts w:ascii="Times New Roman"/>
                <w:sz w:val="21"/>
              </w:rPr>
            </w:pPr>
            <w:r>
              <w:rPr>
                <w:rFonts w:ascii="Times New Roman"/>
                <w:sz w:val="21"/>
              </w:rPr>
              <w:t>26.4</w:t>
            </w:r>
          </w:p>
        </w:tc>
        <w:tc>
          <w:tcPr>
            <w:tcW w:w="675" w:type="dxa"/>
          </w:tcPr>
          <w:p>
            <w:pPr>
              <w:pStyle w:val="TableParagraph"/>
              <w:spacing w:line="221" w:lineRule="exact" w:before="43"/>
              <w:ind w:left="74" w:right="62"/>
              <w:rPr>
                <w:rFonts w:ascii="Times New Roman"/>
                <w:sz w:val="21"/>
              </w:rPr>
            </w:pPr>
            <w:r>
              <w:rPr>
                <w:rFonts w:ascii="Times New Roman"/>
                <w:sz w:val="21"/>
              </w:rPr>
              <w:t>27.6</w:t>
            </w:r>
          </w:p>
        </w:tc>
        <w:tc>
          <w:tcPr>
            <w:tcW w:w="677" w:type="dxa"/>
          </w:tcPr>
          <w:p>
            <w:pPr>
              <w:pStyle w:val="TableParagraph"/>
              <w:spacing w:line="221" w:lineRule="exact" w:before="43"/>
              <w:ind w:left="102" w:right="89"/>
              <w:rPr>
                <w:rFonts w:ascii="Times New Roman"/>
                <w:sz w:val="21"/>
              </w:rPr>
            </w:pPr>
            <w:r>
              <w:rPr>
                <w:rFonts w:ascii="Times New Roman"/>
                <w:sz w:val="21"/>
              </w:rPr>
              <w:t>30.5</w:t>
            </w:r>
          </w:p>
        </w:tc>
        <w:tc>
          <w:tcPr>
            <w:tcW w:w="675" w:type="dxa"/>
          </w:tcPr>
          <w:p>
            <w:pPr>
              <w:pStyle w:val="TableParagraph"/>
              <w:spacing w:line="221" w:lineRule="exact" w:before="43"/>
              <w:ind w:left="74" w:right="64"/>
              <w:rPr>
                <w:rFonts w:ascii="Times New Roman"/>
                <w:sz w:val="21"/>
              </w:rPr>
            </w:pPr>
            <w:r>
              <w:rPr>
                <w:rFonts w:ascii="Times New Roman"/>
                <w:sz w:val="21"/>
              </w:rPr>
              <w:t>23.8</w:t>
            </w:r>
          </w:p>
        </w:tc>
        <w:tc>
          <w:tcPr>
            <w:tcW w:w="675" w:type="dxa"/>
          </w:tcPr>
          <w:p>
            <w:pPr>
              <w:pStyle w:val="TableParagraph"/>
              <w:spacing w:line="221" w:lineRule="exact" w:before="43"/>
              <w:ind w:right="133"/>
              <w:jc w:val="right"/>
              <w:rPr>
                <w:rFonts w:ascii="Times New Roman"/>
                <w:sz w:val="21"/>
              </w:rPr>
            </w:pPr>
            <w:r>
              <w:rPr>
                <w:rFonts w:ascii="Times New Roman"/>
                <w:sz w:val="21"/>
              </w:rPr>
              <w:t>18.8</w:t>
            </w:r>
          </w:p>
        </w:tc>
        <w:tc>
          <w:tcPr>
            <w:tcW w:w="678" w:type="dxa"/>
          </w:tcPr>
          <w:p>
            <w:pPr>
              <w:pStyle w:val="TableParagraph"/>
              <w:spacing w:line="221" w:lineRule="exact" w:before="43"/>
              <w:ind w:right="136"/>
              <w:jc w:val="right"/>
              <w:rPr>
                <w:rFonts w:ascii="Times New Roman"/>
                <w:sz w:val="21"/>
              </w:rPr>
            </w:pPr>
            <w:r>
              <w:rPr>
                <w:rFonts w:ascii="Times New Roman"/>
                <w:sz w:val="21"/>
              </w:rPr>
              <w:t>14.8</w:t>
            </w:r>
          </w:p>
        </w:tc>
        <w:tc>
          <w:tcPr>
            <w:tcW w:w="675" w:type="dxa"/>
          </w:tcPr>
          <w:p>
            <w:pPr>
              <w:pStyle w:val="TableParagraph"/>
              <w:spacing w:line="221" w:lineRule="exact" w:before="43"/>
              <w:ind w:left="74" w:right="68"/>
              <w:rPr>
                <w:rFonts w:ascii="Times New Roman"/>
                <w:sz w:val="21"/>
              </w:rPr>
            </w:pPr>
            <w:r>
              <w:rPr>
                <w:rFonts w:ascii="Times New Roman"/>
                <w:sz w:val="21"/>
              </w:rPr>
              <w:t>7.2</w:t>
            </w:r>
          </w:p>
        </w:tc>
      </w:tr>
    </w:tbl>
    <w:p>
      <w:pPr>
        <w:pStyle w:val="BodyText"/>
        <w:spacing w:before="2"/>
        <w:rPr>
          <w:b/>
          <w:sz w:val="22"/>
        </w:rPr>
      </w:pPr>
      <w:r>
        <w:rPr/>
        <w:drawing>
          <wp:anchor distT="0" distB="0" distL="0" distR="0" allowOverlap="1" layoutInCell="1" locked="0" behindDoc="0" simplePos="0" relativeHeight="207">
            <wp:simplePos x="0" y="0"/>
            <wp:positionH relativeFrom="page">
              <wp:posOffset>1616710</wp:posOffset>
            </wp:positionH>
            <wp:positionV relativeFrom="paragraph">
              <wp:posOffset>205359</wp:posOffset>
            </wp:positionV>
            <wp:extent cx="4316407" cy="2528887"/>
            <wp:effectExtent l="0" t="0" r="0" b="0"/>
            <wp:wrapTopAndBottom/>
            <wp:docPr id="33" name="image35.png"/>
            <wp:cNvGraphicFramePr>
              <a:graphicFrameLocks noChangeAspect="1"/>
            </wp:cNvGraphicFramePr>
            <a:graphic>
              <a:graphicData uri="http://schemas.openxmlformats.org/drawingml/2006/picture">
                <pic:pic>
                  <pic:nvPicPr>
                    <pic:cNvPr id="34" name="image35.png"/>
                    <pic:cNvPicPr/>
                  </pic:nvPicPr>
                  <pic:blipFill>
                    <a:blip r:embed="rId90" cstate="print"/>
                    <a:stretch>
                      <a:fillRect/>
                    </a:stretch>
                  </pic:blipFill>
                  <pic:spPr>
                    <a:xfrm>
                      <a:off x="0" y="0"/>
                      <a:ext cx="4316407" cy="2528887"/>
                    </a:xfrm>
                    <a:prstGeom prst="rect">
                      <a:avLst/>
                    </a:prstGeom>
                  </pic:spPr>
                </pic:pic>
              </a:graphicData>
            </a:graphic>
          </wp:anchor>
        </w:drawing>
      </w:r>
    </w:p>
    <w:p>
      <w:pPr>
        <w:tabs>
          <w:tab w:pos="1222" w:val="left" w:leader="none"/>
        </w:tabs>
        <w:spacing w:line="291" w:lineRule="exact" w:before="0"/>
        <w:ind w:left="0" w:right="199" w:firstLine="0"/>
        <w:jc w:val="center"/>
        <w:rPr>
          <w:b/>
          <w:sz w:val="24"/>
        </w:rPr>
      </w:pPr>
      <w:r>
        <w:rPr>
          <w:b/>
          <w:sz w:val="24"/>
        </w:rPr>
        <w:t>图</w:t>
      </w:r>
      <w:r>
        <w:rPr>
          <w:b/>
          <w:spacing w:val="-60"/>
          <w:sz w:val="24"/>
        </w:rPr>
        <w:t> </w:t>
      </w:r>
      <w:r>
        <w:rPr>
          <w:rFonts w:ascii="Times New Roman" w:eastAsia="Times New Roman"/>
          <w:b/>
          <w:sz w:val="24"/>
        </w:rPr>
        <w:t>7.2.1-1</w:t>
        <w:tab/>
      </w:r>
      <w:r>
        <w:rPr>
          <w:b/>
          <w:sz w:val="24"/>
        </w:rPr>
        <w:t>上虞</w:t>
      </w:r>
      <w:r>
        <w:rPr>
          <w:b/>
          <w:spacing w:val="-59"/>
          <w:sz w:val="24"/>
        </w:rPr>
        <w:t> </w:t>
      </w:r>
      <w:r>
        <w:rPr>
          <w:rFonts w:ascii="Times New Roman" w:eastAsia="Times New Roman"/>
          <w:b/>
          <w:sz w:val="24"/>
        </w:rPr>
        <w:t>2020</w:t>
      </w:r>
      <w:r>
        <w:rPr>
          <w:rFonts w:ascii="Times New Roman" w:eastAsia="Times New Roman"/>
          <w:b/>
          <w:spacing w:val="-3"/>
          <w:sz w:val="24"/>
        </w:rPr>
        <w:t> </w:t>
      </w:r>
      <w:r>
        <w:rPr>
          <w:b/>
          <w:sz w:val="24"/>
        </w:rPr>
        <w:t>年平均温度月变化曲线图</w:t>
      </w:r>
    </w:p>
    <w:p>
      <w:pPr>
        <w:pStyle w:val="ListParagraph"/>
        <w:numPr>
          <w:ilvl w:val="4"/>
          <w:numId w:val="26"/>
        </w:numPr>
        <w:tabs>
          <w:tab w:pos="980" w:val="left" w:leader="none"/>
        </w:tabs>
        <w:spacing w:line="240" w:lineRule="auto" w:before="161" w:after="0"/>
        <w:ind w:left="979" w:right="0" w:hanging="282"/>
        <w:jc w:val="left"/>
        <w:rPr>
          <w:sz w:val="24"/>
        </w:rPr>
      </w:pPr>
      <w:r>
        <w:rPr>
          <w:sz w:val="24"/>
        </w:rPr>
        <w:t>风频</w:t>
      </w:r>
    </w:p>
    <w:p>
      <w:pPr>
        <w:pStyle w:val="BodyText"/>
        <w:spacing w:before="160"/>
        <w:ind w:left="698"/>
      </w:pPr>
      <w:r>
        <w:rPr/>
        <w:t>风向决定了污染物迁移输送方向，因此风频大小可粗略了解受污染的机会。</w:t>
      </w:r>
    </w:p>
    <w:p>
      <w:pPr>
        <w:pStyle w:val="BodyText"/>
        <w:spacing w:before="158"/>
        <w:ind w:left="698"/>
      </w:pPr>
      <w:r>
        <w:rPr/>
        <w:t>表 </w:t>
      </w:r>
      <w:r>
        <w:rPr>
          <w:rFonts w:ascii="Times New Roman" w:eastAsia="Times New Roman"/>
        </w:rPr>
        <w:t>7.2.1-2 </w:t>
      </w:r>
      <w:r>
        <w:rPr/>
        <w:t>为上虞 </w:t>
      </w:r>
      <w:r>
        <w:rPr>
          <w:rFonts w:ascii="Times New Roman" w:eastAsia="Times New Roman"/>
        </w:rPr>
        <w:t>2020 </w:t>
      </w:r>
      <w:r>
        <w:rPr/>
        <w:t>年各地面年均风向频率的月变化统计数据，表 </w:t>
      </w:r>
      <w:r>
        <w:rPr>
          <w:rFonts w:ascii="Times New Roman" w:eastAsia="Times New Roman"/>
        </w:rPr>
        <w:t>7.2.1-3 </w:t>
      </w:r>
      <w:r>
        <w:rPr/>
        <w:t>为上虞</w:t>
      </w:r>
    </w:p>
    <w:p>
      <w:pPr>
        <w:pStyle w:val="BodyText"/>
        <w:spacing w:line="362" w:lineRule="auto" w:before="161"/>
        <w:ind w:left="218" w:right="415"/>
      </w:pPr>
      <w:r>
        <w:rPr>
          <w:rFonts w:ascii="Times New Roman" w:eastAsia="Times New Roman"/>
        </w:rPr>
        <w:t>2020 </w:t>
      </w:r>
      <w:r>
        <w:rPr>
          <w:spacing w:val="-7"/>
        </w:rPr>
        <w:t>年各地面年均风向频率的季变化统计数据。图 </w:t>
      </w:r>
      <w:r>
        <w:rPr>
          <w:rFonts w:ascii="Times New Roman" w:eastAsia="Times New Roman"/>
        </w:rPr>
        <w:t>7.2.1-2 </w:t>
      </w:r>
      <w:r>
        <w:rPr>
          <w:spacing w:val="-15"/>
        </w:rPr>
        <w:t>为上虞 </w:t>
      </w:r>
      <w:r>
        <w:rPr>
          <w:rFonts w:ascii="Times New Roman" w:eastAsia="Times New Roman"/>
        </w:rPr>
        <w:t>2020 </w:t>
      </w:r>
      <w:r>
        <w:rPr>
          <w:spacing w:val="-3"/>
        </w:rPr>
        <w:t>年各季风向频率</w:t>
      </w:r>
      <w:r>
        <w:rPr/>
        <w:t>玫瑰图。</w:t>
      </w:r>
    </w:p>
    <w:p>
      <w:pPr>
        <w:spacing w:after="0" w:line="362" w:lineRule="auto"/>
        <w:sectPr>
          <w:pgSz w:w="11910" w:h="16840"/>
          <w:pgMar w:header="872" w:footer="944" w:top="1340" w:bottom="1140" w:left="1200" w:right="1000"/>
        </w:sectPr>
      </w:pPr>
    </w:p>
    <w:p>
      <w:pPr>
        <w:pStyle w:val="BodyText"/>
      </w:pPr>
    </w:p>
    <w:p>
      <w:pPr>
        <w:pStyle w:val="Heading4"/>
        <w:tabs>
          <w:tab w:pos="1221" w:val="left" w:leader="none"/>
        </w:tabs>
        <w:spacing w:before="74" w:after="29"/>
        <w:ind w:left="0" w:right="15"/>
        <w:jc w:val="center"/>
        <w:rPr>
          <w:rFonts w:ascii="Times New Roman" w:eastAsia="Times New Roman"/>
        </w:rPr>
      </w:pPr>
      <w:r>
        <w:rPr/>
        <w:pict>
          <v:line style="position:absolute;mso-position-horizontal-relative:page;mso-position-vertical-relative:paragraph;z-index:-317714432" from="66pt,21.459993pt" to="123.86pt,48.699993pt" stroked="true" strokeweight=".96pt" strokecolor="#000000">
            <v:stroke dashstyle="solid"/>
            <w10:wrap type="none"/>
          </v:line>
        </w:pict>
      </w:r>
      <w:r>
        <w:rPr/>
        <w:t>表</w:t>
      </w:r>
      <w:r>
        <w:rPr>
          <w:spacing w:val="-60"/>
        </w:rPr>
        <w:t> </w:t>
      </w:r>
      <w:r>
        <w:rPr>
          <w:rFonts w:ascii="Times New Roman" w:eastAsia="Times New Roman"/>
        </w:rPr>
        <w:t>7.2.1-2</w:t>
        <w:tab/>
      </w:r>
      <w:r>
        <w:rPr/>
        <w:t>上虞</w:t>
      </w:r>
      <w:r>
        <w:rPr>
          <w:spacing w:val="-58"/>
        </w:rPr>
        <w:t> </w:t>
      </w:r>
      <w:r>
        <w:rPr>
          <w:rFonts w:ascii="Times New Roman" w:eastAsia="Times New Roman"/>
        </w:rPr>
        <w:t>2020</w:t>
      </w:r>
      <w:r>
        <w:rPr>
          <w:rFonts w:ascii="Times New Roman" w:eastAsia="Times New Roman"/>
          <w:spacing w:val="-1"/>
        </w:rPr>
        <w:t> </w:t>
      </w:r>
      <w:r>
        <w:rPr/>
        <w:t>年年均风频的月变化单位：</w:t>
      </w:r>
      <w:r>
        <w:rPr>
          <w:rFonts w:ascii="Times New Roman" w:eastAsia="Times New Roman"/>
        </w:rPr>
        <w:t>%</w:t>
      </w: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76"/>
        <w:gridCol w:w="768"/>
        <w:gridCol w:w="768"/>
        <w:gridCol w:w="768"/>
        <w:gridCol w:w="769"/>
        <w:gridCol w:w="766"/>
        <w:gridCol w:w="768"/>
        <w:gridCol w:w="766"/>
        <w:gridCol w:w="768"/>
        <w:gridCol w:w="768"/>
        <w:gridCol w:w="765"/>
        <w:gridCol w:w="767"/>
        <w:gridCol w:w="765"/>
        <w:gridCol w:w="767"/>
        <w:gridCol w:w="765"/>
        <w:gridCol w:w="767"/>
        <w:gridCol w:w="767"/>
        <w:gridCol w:w="765"/>
      </w:tblGrid>
      <w:tr>
        <w:trPr>
          <w:trHeight w:val="543" w:hRule="atLeast"/>
        </w:trPr>
        <w:tc>
          <w:tcPr>
            <w:tcW w:w="1176" w:type="dxa"/>
          </w:tcPr>
          <w:p>
            <w:pPr>
              <w:pStyle w:val="TableParagraph"/>
              <w:spacing w:before="1"/>
              <w:ind w:left="333" w:right="-29"/>
              <w:jc w:val="left"/>
              <w:rPr>
                <w:sz w:val="21"/>
              </w:rPr>
            </w:pPr>
            <w:r>
              <w:rPr>
                <w:w w:val="100"/>
                <w:sz w:val="21"/>
              </w:rPr>
              <w:t>   </w:t>
            </w:r>
            <w:r>
              <w:rPr>
                <w:spacing w:val="-3"/>
                <w:sz w:val="21"/>
              </w:rPr>
              <w:t>风向</w:t>
            </w:r>
            <w:r>
              <w:rPr>
                <w:sz w:val="21"/>
              </w:rPr>
              <w:t> </w:t>
            </w:r>
          </w:p>
          <w:p>
            <w:pPr>
              <w:pStyle w:val="TableParagraph"/>
              <w:spacing w:line="250" w:lineRule="exact" w:before="4"/>
              <w:ind w:left="107"/>
              <w:jc w:val="left"/>
              <w:rPr>
                <w:sz w:val="21"/>
              </w:rPr>
            </w:pPr>
            <w:r>
              <w:rPr>
                <w:sz w:val="21"/>
              </w:rPr>
              <w:t>风频(%) </w:t>
            </w:r>
          </w:p>
        </w:tc>
        <w:tc>
          <w:tcPr>
            <w:tcW w:w="768" w:type="dxa"/>
          </w:tcPr>
          <w:p>
            <w:pPr>
              <w:pStyle w:val="TableParagraph"/>
              <w:spacing w:before="151"/>
              <w:ind w:left="14"/>
              <w:rPr>
                <w:rFonts w:ascii="Times New Roman"/>
                <w:sz w:val="21"/>
              </w:rPr>
            </w:pPr>
            <w:r>
              <w:rPr>
                <w:rFonts w:ascii="Times New Roman"/>
                <w:w w:val="100"/>
                <w:sz w:val="21"/>
              </w:rPr>
              <w:t>N</w:t>
            </w:r>
          </w:p>
        </w:tc>
        <w:tc>
          <w:tcPr>
            <w:tcW w:w="768" w:type="dxa"/>
          </w:tcPr>
          <w:p>
            <w:pPr>
              <w:pStyle w:val="TableParagraph"/>
              <w:spacing w:before="151"/>
              <w:ind w:left="146" w:right="130"/>
              <w:rPr>
                <w:rFonts w:ascii="Times New Roman"/>
                <w:sz w:val="21"/>
              </w:rPr>
            </w:pPr>
            <w:r>
              <w:rPr>
                <w:rFonts w:ascii="Times New Roman"/>
                <w:sz w:val="21"/>
              </w:rPr>
              <w:t>NNE</w:t>
            </w:r>
          </w:p>
        </w:tc>
        <w:tc>
          <w:tcPr>
            <w:tcW w:w="768" w:type="dxa"/>
          </w:tcPr>
          <w:p>
            <w:pPr>
              <w:pStyle w:val="TableParagraph"/>
              <w:spacing w:before="151"/>
              <w:ind w:left="196" w:right="181"/>
              <w:rPr>
                <w:rFonts w:ascii="Times New Roman"/>
                <w:sz w:val="21"/>
              </w:rPr>
            </w:pPr>
            <w:r>
              <w:rPr>
                <w:rFonts w:ascii="Times New Roman"/>
                <w:sz w:val="21"/>
              </w:rPr>
              <w:t>NE</w:t>
            </w:r>
          </w:p>
        </w:tc>
        <w:tc>
          <w:tcPr>
            <w:tcW w:w="769" w:type="dxa"/>
          </w:tcPr>
          <w:p>
            <w:pPr>
              <w:pStyle w:val="TableParagraph"/>
              <w:spacing w:before="151"/>
              <w:ind w:left="43" w:right="27"/>
              <w:rPr>
                <w:rFonts w:ascii="Times New Roman"/>
                <w:sz w:val="21"/>
              </w:rPr>
            </w:pPr>
            <w:r>
              <w:rPr>
                <w:rFonts w:ascii="Times New Roman"/>
                <w:sz w:val="21"/>
              </w:rPr>
              <w:t>ENE</w:t>
            </w:r>
          </w:p>
        </w:tc>
        <w:tc>
          <w:tcPr>
            <w:tcW w:w="766" w:type="dxa"/>
          </w:tcPr>
          <w:p>
            <w:pPr>
              <w:pStyle w:val="TableParagraph"/>
              <w:spacing w:before="151"/>
              <w:ind w:left="15"/>
              <w:rPr>
                <w:rFonts w:ascii="Times New Roman"/>
                <w:sz w:val="21"/>
              </w:rPr>
            </w:pPr>
            <w:r>
              <w:rPr>
                <w:rFonts w:ascii="Times New Roman"/>
                <w:w w:val="100"/>
                <w:sz w:val="21"/>
              </w:rPr>
              <w:t>E</w:t>
            </w:r>
          </w:p>
        </w:tc>
        <w:tc>
          <w:tcPr>
            <w:tcW w:w="768" w:type="dxa"/>
          </w:tcPr>
          <w:p>
            <w:pPr>
              <w:pStyle w:val="TableParagraph"/>
              <w:spacing w:before="151"/>
              <w:ind w:left="146" w:right="127"/>
              <w:rPr>
                <w:rFonts w:ascii="Times New Roman"/>
                <w:sz w:val="21"/>
              </w:rPr>
            </w:pPr>
            <w:r>
              <w:rPr>
                <w:rFonts w:ascii="Times New Roman"/>
                <w:sz w:val="21"/>
              </w:rPr>
              <w:t>ESE</w:t>
            </w:r>
          </w:p>
        </w:tc>
        <w:tc>
          <w:tcPr>
            <w:tcW w:w="766" w:type="dxa"/>
          </w:tcPr>
          <w:p>
            <w:pPr>
              <w:pStyle w:val="TableParagraph"/>
              <w:spacing w:before="151"/>
              <w:ind w:left="177" w:right="155"/>
              <w:rPr>
                <w:rFonts w:ascii="Times New Roman"/>
                <w:sz w:val="21"/>
              </w:rPr>
            </w:pPr>
            <w:r>
              <w:rPr>
                <w:rFonts w:ascii="Times New Roman"/>
                <w:sz w:val="21"/>
              </w:rPr>
              <w:t>SE</w:t>
            </w:r>
          </w:p>
        </w:tc>
        <w:tc>
          <w:tcPr>
            <w:tcW w:w="768" w:type="dxa"/>
          </w:tcPr>
          <w:p>
            <w:pPr>
              <w:pStyle w:val="TableParagraph"/>
              <w:spacing w:before="151"/>
              <w:ind w:left="146" w:right="129"/>
              <w:rPr>
                <w:rFonts w:ascii="Times New Roman"/>
                <w:sz w:val="21"/>
              </w:rPr>
            </w:pPr>
            <w:r>
              <w:rPr>
                <w:rFonts w:ascii="Times New Roman"/>
                <w:sz w:val="21"/>
              </w:rPr>
              <w:t>SSE</w:t>
            </w:r>
          </w:p>
        </w:tc>
        <w:tc>
          <w:tcPr>
            <w:tcW w:w="768" w:type="dxa"/>
          </w:tcPr>
          <w:p>
            <w:pPr>
              <w:pStyle w:val="TableParagraph"/>
              <w:spacing w:before="151"/>
              <w:ind w:left="15"/>
              <w:rPr>
                <w:rFonts w:ascii="Times New Roman"/>
                <w:sz w:val="21"/>
              </w:rPr>
            </w:pPr>
            <w:r>
              <w:rPr>
                <w:rFonts w:ascii="Times New Roman"/>
                <w:w w:val="100"/>
                <w:sz w:val="21"/>
              </w:rPr>
              <w:t>S</w:t>
            </w:r>
          </w:p>
        </w:tc>
        <w:tc>
          <w:tcPr>
            <w:tcW w:w="765" w:type="dxa"/>
          </w:tcPr>
          <w:p>
            <w:pPr>
              <w:pStyle w:val="TableParagraph"/>
              <w:spacing w:before="151"/>
              <w:ind w:left="82" w:right="63"/>
              <w:rPr>
                <w:rFonts w:ascii="Times New Roman"/>
                <w:sz w:val="21"/>
              </w:rPr>
            </w:pPr>
            <w:r>
              <w:rPr>
                <w:rFonts w:ascii="Times New Roman"/>
                <w:sz w:val="21"/>
              </w:rPr>
              <w:t>SSW</w:t>
            </w:r>
          </w:p>
        </w:tc>
        <w:tc>
          <w:tcPr>
            <w:tcW w:w="767" w:type="dxa"/>
          </w:tcPr>
          <w:p>
            <w:pPr>
              <w:pStyle w:val="TableParagraph"/>
              <w:spacing w:before="151"/>
              <w:ind w:left="107" w:right="87"/>
              <w:rPr>
                <w:rFonts w:ascii="Times New Roman"/>
                <w:sz w:val="21"/>
              </w:rPr>
            </w:pPr>
            <w:r>
              <w:rPr>
                <w:rFonts w:ascii="Times New Roman"/>
                <w:sz w:val="21"/>
              </w:rPr>
              <w:t>SW</w:t>
            </w:r>
          </w:p>
        </w:tc>
        <w:tc>
          <w:tcPr>
            <w:tcW w:w="765" w:type="dxa"/>
          </w:tcPr>
          <w:p>
            <w:pPr>
              <w:pStyle w:val="TableParagraph"/>
              <w:spacing w:before="151"/>
              <w:ind w:left="85" w:right="63"/>
              <w:rPr>
                <w:rFonts w:ascii="Times New Roman"/>
                <w:sz w:val="21"/>
              </w:rPr>
            </w:pPr>
            <w:r>
              <w:rPr>
                <w:rFonts w:ascii="Times New Roman"/>
                <w:sz w:val="21"/>
              </w:rPr>
              <w:t>WSW</w:t>
            </w:r>
          </w:p>
        </w:tc>
        <w:tc>
          <w:tcPr>
            <w:tcW w:w="767" w:type="dxa"/>
          </w:tcPr>
          <w:p>
            <w:pPr>
              <w:pStyle w:val="TableParagraph"/>
              <w:spacing w:before="151"/>
              <w:ind w:left="284"/>
              <w:jc w:val="left"/>
              <w:rPr>
                <w:rFonts w:ascii="Times New Roman"/>
                <w:sz w:val="21"/>
              </w:rPr>
            </w:pPr>
            <w:r>
              <w:rPr>
                <w:rFonts w:ascii="Times New Roman"/>
                <w:w w:val="100"/>
                <w:sz w:val="21"/>
              </w:rPr>
              <w:t>W</w:t>
            </w:r>
          </w:p>
        </w:tc>
        <w:tc>
          <w:tcPr>
            <w:tcW w:w="765" w:type="dxa"/>
          </w:tcPr>
          <w:p>
            <w:pPr>
              <w:pStyle w:val="TableParagraph"/>
              <w:spacing w:before="151"/>
              <w:ind w:left="93" w:right="63"/>
              <w:rPr>
                <w:rFonts w:ascii="Times New Roman"/>
                <w:sz w:val="21"/>
              </w:rPr>
            </w:pPr>
            <w:r>
              <w:rPr>
                <w:rFonts w:ascii="Times New Roman"/>
                <w:sz w:val="21"/>
              </w:rPr>
              <w:t>WNW</w:t>
            </w:r>
          </w:p>
        </w:tc>
        <w:tc>
          <w:tcPr>
            <w:tcW w:w="767" w:type="dxa"/>
          </w:tcPr>
          <w:p>
            <w:pPr>
              <w:pStyle w:val="TableParagraph"/>
              <w:spacing w:before="151"/>
              <w:ind w:left="117" w:right="86"/>
              <w:rPr>
                <w:rFonts w:ascii="Times New Roman"/>
                <w:sz w:val="21"/>
              </w:rPr>
            </w:pPr>
            <w:r>
              <w:rPr>
                <w:rFonts w:ascii="Times New Roman"/>
                <w:sz w:val="21"/>
              </w:rPr>
              <w:t>NW</w:t>
            </w:r>
          </w:p>
        </w:tc>
        <w:tc>
          <w:tcPr>
            <w:tcW w:w="767" w:type="dxa"/>
          </w:tcPr>
          <w:p>
            <w:pPr>
              <w:pStyle w:val="TableParagraph"/>
              <w:spacing w:before="151"/>
              <w:ind w:left="117" w:right="87"/>
              <w:rPr>
                <w:rFonts w:ascii="Times New Roman"/>
                <w:sz w:val="21"/>
              </w:rPr>
            </w:pPr>
            <w:r>
              <w:rPr>
                <w:rFonts w:ascii="Times New Roman"/>
                <w:sz w:val="21"/>
              </w:rPr>
              <w:t>NNW</w:t>
            </w:r>
          </w:p>
        </w:tc>
        <w:tc>
          <w:tcPr>
            <w:tcW w:w="765" w:type="dxa"/>
          </w:tcPr>
          <w:p>
            <w:pPr>
              <w:pStyle w:val="TableParagraph"/>
              <w:spacing w:before="151"/>
              <w:ind w:left="317"/>
              <w:jc w:val="left"/>
              <w:rPr>
                <w:rFonts w:ascii="Times New Roman"/>
                <w:sz w:val="21"/>
              </w:rPr>
            </w:pPr>
            <w:r>
              <w:rPr>
                <w:rFonts w:ascii="Times New Roman"/>
                <w:w w:val="100"/>
                <w:sz w:val="21"/>
              </w:rPr>
              <w:t>C</w:t>
            </w:r>
          </w:p>
        </w:tc>
      </w:tr>
      <w:tr>
        <w:trPr>
          <w:trHeight w:val="284" w:hRule="atLeast"/>
        </w:trPr>
        <w:tc>
          <w:tcPr>
            <w:tcW w:w="1176" w:type="dxa"/>
          </w:tcPr>
          <w:p>
            <w:pPr>
              <w:pStyle w:val="TableParagraph"/>
              <w:spacing w:line="252" w:lineRule="exact" w:before="13"/>
              <w:ind w:left="252" w:right="233"/>
              <w:rPr>
                <w:sz w:val="21"/>
              </w:rPr>
            </w:pPr>
            <w:r>
              <w:rPr>
                <w:sz w:val="21"/>
              </w:rPr>
              <w:t>一月</w:t>
            </w:r>
          </w:p>
        </w:tc>
        <w:tc>
          <w:tcPr>
            <w:tcW w:w="768" w:type="dxa"/>
          </w:tcPr>
          <w:p>
            <w:pPr>
              <w:pStyle w:val="TableParagraph"/>
              <w:spacing w:line="221" w:lineRule="exact" w:before="43"/>
              <w:ind w:left="196" w:right="181"/>
              <w:rPr>
                <w:rFonts w:ascii="Times New Roman"/>
                <w:sz w:val="21"/>
              </w:rPr>
            </w:pPr>
            <w:r>
              <w:rPr>
                <w:rFonts w:ascii="Times New Roman"/>
                <w:sz w:val="21"/>
              </w:rPr>
              <w:t>8.7</w:t>
            </w:r>
          </w:p>
        </w:tc>
        <w:tc>
          <w:tcPr>
            <w:tcW w:w="768" w:type="dxa"/>
          </w:tcPr>
          <w:p>
            <w:pPr>
              <w:pStyle w:val="TableParagraph"/>
              <w:spacing w:line="221" w:lineRule="exact" w:before="43"/>
              <w:ind w:left="196" w:right="181"/>
              <w:rPr>
                <w:rFonts w:ascii="Times New Roman"/>
                <w:sz w:val="21"/>
              </w:rPr>
            </w:pPr>
            <w:r>
              <w:rPr>
                <w:rFonts w:ascii="Times New Roman"/>
                <w:sz w:val="21"/>
              </w:rPr>
              <w:t>5.1</w:t>
            </w:r>
          </w:p>
        </w:tc>
        <w:tc>
          <w:tcPr>
            <w:tcW w:w="768" w:type="dxa"/>
          </w:tcPr>
          <w:p>
            <w:pPr>
              <w:pStyle w:val="TableParagraph"/>
              <w:spacing w:line="221" w:lineRule="exact" w:before="43"/>
              <w:ind w:left="196" w:right="181"/>
              <w:rPr>
                <w:rFonts w:ascii="Times New Roman"/>
                <w:sz w:val="21"/>
              </w:rPr>
            </w:pPr>
            <w:r>
              <w:rPr>
                <w:rFonts w:ascii="Times New Roman"/>
                <w:sz w:val="21"/>
              </w:rPr>
              <w:t>7.1</w:t>
            </w:r>
          </w:p>
        </w:tc>
        <w:tc>
          <w:tcPr>
            <w:tcW w:w="769" w:type="dxa"/>
          </w:tcPr>
          <w:p>
            <w:pPr>
              <w:pStyle w:val="TableParagraph"/>
              <w:spacing w:line="221" w:lineRule="exact" w:before="43"/>
              <w:ind w:left="43" w:right="29"/>
              <w:rPr>
                <w:rFonts w:ascii="Times New Roman"/>
                <w:sz w:val="21"/>
              </w:rPr>
            </w:pPr>
            <w:r>
              <w:rPr>
                <w:rFonts w:ascii="Times New Roman"/>
                <w:sz w:val="21"/>
              </w:rPr>
              <w:t>4.0</w:t>
            </w:r>
          </w:p>
        </w:tc>
        <w:tc>
          <w:tcPr>
            <w:tcW w:w="766" w:type="dxa"/>
          </w:tcPr>
          <w:p>
            <w:pPr>
              <w:pStyle w:val="TableParagraph"/>
              <w:spacing w:line="221" w:lineRule="exact" w:before="43"/>
              <w:ind w:left="177" w:right="161"/>
              <w:rPr>
                <w:rFonts w:ascii="Times New Roman"/>
                <w:sz w:val="21"/>
              </w:rPr>
            </w:pPr>
            <w:r>
              <w:rPr>
                <w:rFonts w:ascii="Times New Roman"/>
                <w:sz w:val="21"/>
              </w:rPr>
              <w:t>3.0</w:t>
            </w:r>
          </w:p>
        </w:tc>
        <w:tc>
          <w:tcPr>
            <w:tcW w:w="768" w:type="dxa"/>
          </w:tcPr>
          <w:p>
            <w:pPr>
              <w:pStyle w:val="TableParagraph"/>
              <w:spacing w:line="221" w:lineRule="exact" w:before="43"/>
              <w:ind w:left="196" w:right="178"/>
              <w:rPr>
                <w:rFonts w:ascii="Times New Roman"/>
                <w:sz w:val="21"/>
              </w:rPr>
            </w:pPr>
            <w:r>
              <w:rPr>
                <w:rFonts w:ascii="Times New Roman"/>
                <w:sz w:val="21"/>
              </w:rPr>
              <w:t>1.7</w:t>
            </w:r>
          </w:p>
        </w:tc>
        <w:tc>
          <w:tcPr>
            <w:tcW w:w="766" w:type="dxa"/>
          </w:tcPr>
          <w:p>
            <w:pPr>
              <w:pStyle w:val="TableParagraph"/>
              <w:spacing w:line="221" w:lineRule="exact" w:before="43"/>
              <w:ind w:left="177" w:right="157"/>
              <w:rPr>
                <w:rFonts w:ascii="Times New Roman"/>
                <w:sz w:val="21"/>
              </w:rPr>
            </w:pPr>
            <w:r>
              <w:rPr>
                <w:rFonts w:ascii="Times New Roman"/>
                <w:sz w:val="21"/>
              </w:rPr>
              <w:t>3.5</w:t>
            </w:r>
          </w:p>
        </w:tc>
        <w:tc>
          <w:tcPr>
            <w:tcW w:w="768" w:type="dxa"/>
          </w:tcPr>
          <w:p>
            <w:pPr>
              <w:pStyle w:val="TableParagraph"/>
              <w:spacing w:line="221" w:lineRule="exact" w:before="43"/>
              <w:ind w:left="196" w:right="179"/>
              <w:rPr>
                <w:rFonts w:ascii="Times New Roman"/>
                <w:sz w:val="21"/>
              </w:rPr>
            </w:pPr>
            <w:r>
              <w:rPr>
                <w:rFonts w:ascii="Times New Roman"/>
                <w:sz w:val="21"/>
              </w:rPr>
              <w:t>6.9</w:t>
            </w:r>
          </w:p>
        </w:tc>
        <w:tc>
          <w:tcPr>
            <w:tcW w:w="768" w:type="dxa"/>
          </w:tcPr>
          <w:p>
            <w:pPr>
              <w:pStyle w:val="TableParagraph"/>
              <w:spacing w:line="221" w:lineRule="exact" w:before="43"/>
              <w:ind w:left="196" w:right="179"/>
              <w:rPr>
                <w:rFonts w:ascii="Times New Roman"/>
                <w:sz w:val="21"/>
              </w:rPr>
            </w:pPr>
            <w:r>
              <w:rPr>
                <w:rFonts w:ascii="Times New Roman"/>
                <w:sz w:val="21"/>
              </w:rPr>
              <w:t>4.7</w:t>
            </w:r>
          </w:p>
        </w:tc>
        <w:tc>
          <w:tcPr>
            <w:tcW w:w="765" w:type="dxa"/>
          </w:tcPr>
          <w:p>
            <w:pPr>
              <w:pStyle w:val="TableParagraph"/>
              <w:spacing w:line="221" w:lineRule="exact" w:before="43"/>
              <w:ind w:left="79" w:right="63"/>
              <w:rPr>
                <w:rFonts w:ascii="Times New Roman"/>
                <w:sz w:val="21"/>
              </w:rPr>
            </w:pPr>
            <w:r>
              <w:rPr>
                <w:rFonts w:ascii="Times New Roman"/>
                <w:sz w:val="21"/>
              </w:rPr>
              <w:t>3.4</w:t>
            </w:r>
          </w:p>
        </w:tc>
        <w:tc>
          <w:tcPr>
            <w:tcW w:w="767" w:type="dxa"/>
          </w:tcPr>
          <w:p>
            <w:pPr>
              <w:pStyle w:val="TableParagraph"/>
              <w:spacing w:line="221" w:lineRule="exact" w:before="43"/>
              <w:ind w:left="107" w:right="87"/>
              <w:rPr>
                <w:rFonts w:ascii="Times New Roman"/>
                <w:sz w:val="21"/>
              </w:rPr>
            </w:pPr>
            <w:r>
              <w:rPr>
                <w:rFonts w:ascii="Times New Roman"/>
                <w:sz w:val="21"/>
              </w:rPr>
              <w:t>3.6</w:t>
            </w:r>
          </w:p>
        </w:tc>
        <w:tc>
          <w:tcPr>
            <w:tcW w:w="765" w:type="dxa"/>
          </w:tcPr>
          <w:p>
            <w:pPr>
              <w:pStyle w:val="TableParagraph"/>
              <w:spacing w:line="221" w:lineRule="exact" w:before="43"/>
              <w:ind w:left="82" w:right="63"/>
              <w:rPr>
                <w:rFonts w:ascii="Times New Roman"/>
                <w:sz w:val="21"/>
              </w:rPr>
            </w:pPr>
            <w:r>
              <w:rPr>
                <w:rFonts w:ascii="Times New Roman"/>
                <w:sz w:val="21"/>
              </w:rPr>
              <w:t>3.5</w:t>
            </w:r>
          </w:p>
        </w:tc>
        <w:tc>
          <w:tcPr>
            <w:tcW w:w="767" w:type="dxa"/>
          </w:tcPr>
          <w:p>
            <w:pPr>
              <w:pStyle w:val="TableParagraph"/>
              <w:spacing w:line="221" w:lineRule="exact" w:before="43"/>
              <w:ind w:left="253"/>
              <w:jc w:val="left"/>
              <w:rPr>
                <w:rFonts w:ascii="Times New Roman"/>
                <w:sz w:val="21"/>
              </w:rPr>
            </w:pPr>
            <w:r>
              <w:rPr>
                <w:rFonts w:ascii="Times New Roman"/>
                <w:sz w:val="21"/>
              </w:rPr>
              <w:t>4.6</w:t>
            </w:r>
          </w:p>
        </w:tc>
        <w:tc>
          <w:tcPr>
            <w:tcW w:w="765" w:type="dxa"/>
          </w:tcPr>
          <w:p>
            <w:pPr>
              <w:pStyle w:val="TableParagraph"/>
              <w:spacing w:line="221" w:lineRule="exact" w:before="43"/>
              <w:ind w:left="88" w:right="63"/>
              <w:rPr>
                <w:rFonts w:ascii="Times New Roman"/>
                <w:sz w:val="21"/>
              </w:rPr>
            </w:pPr>
            <w:r>
              <w:rPr>
                <w:rFonts w:ascii="Times New Roman"/>
                <w:sz w:val="21"/>
              </w:rPr>
              <w:t>11.6</w:t>
            </w:r>
          </w:p>
        </w:tc>
        <w:tc>
          <w:tcPr>
            <w:tcW w:w="767" w:type="dxa"/>
          </w:tcPr>
          <w:p>
            <w:pPr>
              <w:pStyle w:val="TableParagraph"/>
              <w:spacing w:line="221" w:lineRule="exact" w:before="43"/>
              <w:ind w:left="115" w:right="87"/>
              <w:rPr>
                <w:rFonts w:ascii="Times New Roman"/>
                <w:sz w:val="21"/>
              </w:rPr>
            </w:pPr>
            <w:r>
              <w:rPr>
                <w:rFonts w:ascii="Times New Roman"/>
                <w:sz w:val="21"/>
              </w:rPr>
              <w:t>16.7</w:t>
            </w:r>
          </w:p>
        </w:tc>
        <w:tc>
          <w:tcPr>
            <w:tcW w:w="767" w:type="dxa"/>
          </w:tcPr>
          <w:p>
            <w:pPr>
              <w:pStyle w:val="TableParagraph"/>
              <w:spacing w:line="221" w:lineRule="exact" w:before="43"/>
              <w:ind w:left="117" w:right="87"/>
              <w:rPr>
                <w:rFonts w:ascii="Times New Roman"/>
                <w:sz w:val="21"/>
              </w:rPr>
            </w:pPr>
            <w:r>
              <w:rPr>
                <w:rFonts w:ascii="Times New Roman"/>
                <w:sz w:val="21"/>
              </w:rPr>
              <w:t>10.5</w:t>
            </w:r>
          </w:p>
        </w:tc>
        <w:tc>
          <w:tcPr>
            <w:tcW w:w="765" w:type="dxa"/>
          </w:tcPr>
          <w:p>
            <w:pPr>
              <w:pStyle w:val="TableParagraph"/>
              <w:spacing w:line="221" w:lineRule="exact" w:before="43"/>
              <w:ind w:left="255"/>
              <w:jc w:val="left"/>
              <w:rPr>
                <w:rFonts w:ascii="Times New Roman"/>
                <w:sz w:val="21"/>
              </w:rPr>
            </w:pPr>
            <w:r>
              <w:rPr>
                <w:rFonts w:ascii="Times New Roman"/>
                <w:sz w:val="21"/>
              </w:rPr>
              <w:t>1.5</w:t>
            </w:r>
          </w:p>
        </w:tc>
      </w:tr>
      <w:tr>
        <w:trPr>
          <w:trHeight w:val="282" w:hRule="atLeast"/>
        </w:trPr>
        <w:tc>
          <w:tcPr>
            <w:tcW w:w="1176" w:type="dxa"/>
          </w:tcPr>
          <w:p>
            <w:pPr>
              <w:pStyle w:val="TableParagraph"/>
              <w:spacing w:line="250" w:lineRule="exact" w:before="12"/>
              <w:ind w:left="252" w:right="233"/>
              <w:rPr>
                <w:sz w:val="21"/>
              </w:rPr>
            </w:pPr>
            <w:r>
              <w:rPr>
                <w:sz w:val="21"/>
              </w:rPr>
              <w:t>二月</w:t>
            </w:r>
          </w:p>
        </w:tc>
        <w:tc>
          <w:tcPr>
            <w:tcW w:w="768" w:type="dxa"/>
          </w:tcPr>
          <w:p>
            <w:pPr>
              <w:pStyle w:val="TableParagraph"/>
              <w:spacing w:line="221" w:lineRule="exact" w:before="41"/>
              <w:ind w:left="196" w:right="181"/>
              <w:rPr>
                <w:rFonts w:ascii="Times New Roman"/>
                <w:sz w:val="21"/>
              </w:rPr>
            </w:pPr>
            <w:r>
              <w:rPr>
                <w:rFonts w:ascii="Times New Roman"/>
                <w:sz w:val="21"/>
              </w:rPr>
              <w:t>5.9</w:t>
            </w:r>
          </w:p>
        </w:tc>
        <w:tc>
          <w:tcPr>
            <w:tcW w:w="768" w:type="dxa"/>
          </w:tcPr>
          <w:p>
            <w:pPr>
              <w:pStyle w:val="TableParagraph"/>
              <w:spacing w:line="221" w:lineRule="exact" w:before="41"/>
              <w:ind w:left="196" w:right="181"/>
              <w:rPr>
                <w:rFonts w:ascii="Times New Roman"/>
                <w:sz w:val="21"/>
              </w:rPr>
            </w:pPr>
            <w:r>
              <w:rPr>
                <w:rFonts w:ascii="Times New Roman"/>
                <w:sz w:val="21"/>
              </w:rPr>
              <w:t>4.5</w:t>
            </w:r>
          </w:p>
        </w:tc>
        <w:tc>
          <w:tcPr>
            <w:tcW w:w="768" w:type="dxa"/>
          </w:tcPr>
          <w:p>
            <w:pPr>
              <w:pStyle w:val="TableParagraph"/>
              <w:spacing w:line="221" w:lineRule="exact" w:before="41"/>
              <w:ind w:left="196" w:right="181"/>
              <w:rPr>
                <w:rFonts w:ascii="Times New Roman"/>
                <w:sz w:val="21"/>
              </w:rPr>
            </w:pPr>
            <w:r>
              <w:rPr>
                <w:rFonts w:ascii="Times New Roman"/>
                <w:sz w:val="21"/>
              </w:rPr>
              <w:t>6.9</w:t>
            </w:r>
          </w:p>
        </w:tc>
        <w:tc>
          <w:tcPr>
            <w:tcW w:w="769" w:type="dxa"/>
          </w:tcPr>
          <w:p>
            <w:pPr>
              <w:pStyle w:val="TableParagraph"/>
              <w:spacing w:line="221" w:lineRule="exact" w:before="41"/>
              <w:ind w:left="43" w:right="29"/>
              <w:rPr>
                <w:rFonts w:ascii="Times New Roman"/>
                <w:sz w:val="21"/>
              </w:rPr>
            </w:pPr>
            <w:r>
              <w:rPr>
                <w:rFonts w:ascii="Times New Roman"/>
                <w:sz w:val="21"/>
              </w:rPr>
              <w:t>16.7</w:t>
            </w:r>
          </w:p>
        </w:tc>
        <w:tc>
          <w:tcPr>
            <w:tcW w:w="766" w:type="dxa"/>
          </w:tcPr>
          <w:p>
            <w:pPr>
              <w:pStyle w:val="TableParagraph"/>
              <w:spacing w:line="221" w:lineRule="exact" w:before="41"/>
              <w:ind w:left="177" w:right="161"/>
              <w:rPr>
                <w:rFonts w:ascii="Times New Roman"/>
                <w:sz w:val="21"/>
              </w:rPr>
            </w:pPr>
            <w:r>
              <w:rPr>
                <w:rFonts w:ascii="Times New Roman"/>
                <w:sz w:val="21"/>
              </w:rPr>
              <w:t>7.5</w:t>
            </w:r>
          </w:p>
        </w:tc>
        <w:tc>
          <w:tcPr>
            <w:tcW w:w="768" w:type="dxa"/>
          </w:tcPr>
          <w:p>
            <w:pPr>
              <w:pStyle w:val="TableParagraph"/>
              <w:spacing w:line="221" w:lineRule="exact" w:before="41"/>
              <w:ind w:left="196" w:right="178"/>
              <w:rPr>
                <w:rFonts w:ascii="Times New Roman"/>
                <w:sz w:val="21"/>
              </w:rPr>
            </w:pPr>
            <w:r>
              <w:rPr>
                <w:rFonts w:ascii="Times New Roman"/>
                <w:sz w:val="21"/>
              </w:rPr>
              <w:t>5.0</w:t>
            </w:r>
          </w:p>
        </w:tc>
        <w:tc>
          <w:tcPr>
            <w:tcW w:w="766" w:type="dxa"/>
          </w:tcPr>
          <w:p>
            <w:pPr>
              <w:pStyle w:val="TableParagraph"/>
              <w:spacing w:line="221" w:lineRule="exact" w:before="41"/>
              <w:ind w:left="177" w:right="157"/>
              <w:rPr>
                <w:rFonts w:ascii="Times New Roman"/>
                <w:sz w:val="21"/>
              </w:rPr>
            </w:pPr>
            <w:r>
              <w:rPr>
                <w:rFonts w:ascii="Times New Roman"/>
                <w:sz w:val="21"/>
              </w:rPr>
              <w:t>5.2</w:t>
            </w:r>
          </w:p>
        </w:tc>
        <w:tc>
          <w:tcPr>
            <w:tcW w:w="768" w:type="dxa"/>
          </w:tcPr>
          <w:p>
            <w:pPr>
              <w:pStyle w:val="TableParagraph"/>
              <w:spacing w:line="221" w:lineRule="exact" w:before="41"/>
              <w:ind w:left="196" w:right="179"/>
              <w:rPr>
                <w:rFonts w:ascii="Times New Roman"/>
                <w:sz w:val="21"/>
              </w:rPr>
            </w:pPr>
            <w:r>
              <w:rPr>
                <w:rFonts w:ascii="Times New Roman"/>
                <w:sz w:val="21"/>
              </w:rPr>
              <w:t>8.8</w:t>
            </w:r>
          </w:p>
        </w:tc>
        <w:tc>
          <w:tcPr>
            <w:tcW w:w="768" w:type="dxa"/>
          </w:tcPr>
          <w:p>
            <w:pPr>
              <w:pStyle w:val="TableParagraph"/>
              <w:spacing w:line="221" w:lineRule="exact" w:before="41"/>
              <w:ind w:left="196" w:right="179"/>
              <w:rPr>
                <w:rFonts w:ascii="Times New Roman"/>
                <w:sz w:val="21"/>
              </w:rPr>
            </w:pPr>
            <w:r>
              <w:rPr>
                <w:rFonts w:ascii="Times New Roman"/>
                <w:sz w:val="21"/>
              </w:rPr>
              <w:t>6.3</w:t>
            </w:r>
          </w:p>
        </w:tc>
        <w:tc>
          <w:tcPr>
            <w:tcW w:w="765" w:type="dxa"/>
          </w:tcPr>
          <w:p>
            <w:pPr>
              <w:pStyle w:val="TableParagraph"/>
              <w:spacing w:line="221" w:lineRule="exact" w:before="41"/>
              <w:ind w:left="79" w:right="63"/>
              <w:rPr>
                <w:rFonts w:ascii="Times New Roman"/>
                <w:sz w:val="21"/>
              </w:rPr>
            </w:pPr>
            <w:r>
              <w:rPr>
                <w:rFonts w:ascii="Times New Roman"/>
                <w:sz w:val="21"/>
              </w:rPr>
              <w:t>2.0</w:t>
            </w:r>
          </w:p>
        </w:tc>
        <w:tc>
          <w:tcPr>
            <w:tcW w:w="767" w:type="dxa"/>
          </w:tcPr>
          <w:p>
            <w:pPr>
              <w:pStyle w:val="TableParagraph"/>
              <w:spacing w:line="221" w:lineRule="exact" w:before="41"/>
              <w:ind w:left="107" w:right="87"/>
              <w:rPr>
                <w:rFonts w:ascii="Times New Roman"/>
                <w:sz w:val="21"/>
              </w:rPr>
            </w:pPr>
            <w:r>
              <w:rPr>
                <w:rFonts w:ascii="Times New Roman"/>
                <w:sz w:val="21"/>
              </w:rPr>
              <w:t>2.9</w:t>
            </w:r>
          </w:p>
        </w:tc>
        <w:tc>
          <w:tcPr>
            <w:tcW w:w="765" w:type="dxa"/>
          </w:tcPr>
          <w:p>
            <w:pPr>
              <w:pStyle w:val="TableParagraph"/>
              <w:spacing w:line="221" w:lineRule="exact" w:before="41"/>
              <w:ind w:left="82" w:right="63"/>
              <w:rPr>
                <w:rFonts w:ascii="Times New Roman"/>
                <w:sz w:val="21"/>
              </w:rPr>
            </w:pPr>
            <w:r>
              <w:rPr>
                <w:rFonts w:ascii="Times New Roman"/>
                <w:sz w:val="21"/>
              </w:rPr>
              <w:t>3.3</w:t>
            </w:r>
          </w:p>
        </w:tc>
        <w:tc>
          <w:tcPr>
            <w:tcW w:w="767" w:type="dxa"/>
          </w:tcPr>
          <w:p>
            <w:pPr>
              <w:pStyle w:val="TableParagraph"/>
              <w:spacing w:line="221" w:lineRule="exact" w:before="41"/>
              <w:ind w:left="253"/>
              <w:jc w:val="left"/>
              <w:rPr>
                <w:rFonts w:ascii="Times New Roman"/>
                <w:sz w:val="21"/>
              </w:rPr>
            </w:pPr>
            <w:r>
              <w:rPr>
                <w:rFonts w:ascii="Times New Roman"/>
                <w:sz w:val="21"/>
              </w:rPr>
              <w:t>1.9</w:t>
            </w:r>
          </w:p>
        </w:tc>
        <w:tc>
          <w:tcPr>
            <w:tcW w:w="765" w:type="dxa"/>
          </w:tcPr>
          <w:p>
            <w:pPr>
              <w:pStyle w:val="TableParagraph"/>
              <w:spacing w:line="221" w:lineRule="exact" w:before="41"/>
              <w:ind w:left="90" w:right="63"/>
              <w:rPr>
                <w:rFonts w:ascii="Times New Roman"/>
                <w:sz w:val="21"/>
              </w:rPr>
            </w:pPr>
            <w:r>
              <w:rPr>
                <w:rFonts w:ascii="Times New Roman"/>
                <w:sz w:val="21"/>
              </w:rPr>
              <w:t>5.5</w:t>
            </w:r>
          </w:p>
        </w:tc>
        <w:tc>
          <w:tcPr>
            <w:tcW w:w="767" w:type="dxa"/>
          </w:tcPr>
          <w:p>
            <w:pPr>
              <w:pStyle w:val="TableParagraph"/>
              <w:spacing w:line="221" w:lineRule="exact" w:before="41"/>
              <w:ind w:left="115" w:right="87"/>
              <w:rPr>
                <w:rFonts w:ascii="Times New Roman"/>
                <w:sz w:val="21"/>
              </w:rPr>
            </w:pPr>
            <w:r>
              <w:rPr>
                <w:rFonts w:ascii="Times New Roman"/>
                <w:sz w:val="21"/>
              </w:rPr>
              <w:t>8.3</w:t>
            </w:r>
          </w:p>
        </w:tc>
        <w:tc>
          <w:tcPr>
            <w:tcW w:w="767" w:type="dxa"/>
          </w:tcPr>
          <w:p>
            <w:pPr>
              <w:pStyle w:val="TableParagraph"/>
              <w:spacing w:line="221" w:lineRule="exact" w:before="41"/>
              <w:ind w:left="117" w:right="87"/>
              <w:rPr>
                <w:rFonts w:ascii="Times New Roman"/>
                <w:sz w:val="21"/>
              </w:rPr>
            </w:pPr>
            <w:r>
              <w:rPr>
                <w:rFonts w:ascii="Times New Roman"/>
                <w:sz w:val="21"/>
              </w:rPr>
              <w:t>5.6</w:t>
            </w:r>
          </w:p>
        </w:tc>
        <w:tc>
          <w:tcPr>
            <w:tcW w:w="765" w:type="dxa"/>
          </w:tcPr>
          <w:p>
            <w:pPr>
              <w:pStyle w:val="TableParagraph"/>
              <w:spacing w:line="221" w:lineRule="exact" w:before="41"/>
              <w:ind w:left="255"/>
              <w:jc w:val="left"/>
              <w:rPr>
                <w:rFonts w:ascii="Times New Roman"/>
                <w:sz w:val="21"/>
              </w:rPr>
            </w:pPr>
            <w:r>
              <w:rPr>
                <w:rFonts w:ascii="Times New Roman"/>
                <w:sz w:val="21"/>
              </w:rPr>
              <w:t>3.9</w:t>
            </w:r>
          </w:p>
        </w:tc>
      </w:tr>
      <w:tr>
        <w:trPr>
          <w:trHeight w:val="284" w:hRule="atLeast"/>
        </w:trPr>
        <w:tc>
          <w:tcPr>
            <w:tcW w:w="1176" w:type="dxa"/>
          </w:tcPr>
          <w:p>
            <w:pPr>
              <w:pStyle w:val="TableParagraph"/>
              <w:spacing w:line="250" w:lineRule="exact" w:before="15"/>
              <w:ind w:left="252" w:right="233"/>
              <w:rPr>
                <w:sz w:val="21"/>
              </w:rPr>
            </w:pPr>
            <w:r>
              <w:rPr>
                <w:sz w:val="21"/>
              </w:rPr>
              <w:t>三月</w:t>
            </w:r>
          </w:p>
        </w:tc>
        <w:tc>
          <w:tcPr>
            <w:tcW w:w="768" w:type="dxa"/>
          </w:tcPr>
          <w:p>
            <w:pPr>
              <w:pStyle w:val="TableParagraph"/>
              <w:spacing w:line="221" w:lineRule="exact" w:before="43"/>
              <w:ind w:left="196" w:right="181"/>
              <w:rPr>
                <w:rFonts w:ascii="Times New Roman"/>
                <w:sz w:val="21"/>
              </w:rPr>
            </w:pPr>
            <w:r>
              <w:rPr>
                <w:rFonts w:ascii="Times New Roman"/>
                <w:sz w:val="21"/>
              </w:rPr>
              <w:t>6.7</w:t>
            </w:r>
          </w:p>
        </w:tc>
        <w:tc>
          <w:tcPr>
            <w:tcW w:w="768" w:type="dxa"/>
          </w:tcPr>
          <w:p>
            <w:pPr>
              <w:pStyle w:val="TableParagraph"/>
              <w:spacing w:line="221" w:lineRule="exact" w:before="43"/>
              <w:ind w:left="196" w:right="181"/>
              <w:rPr>
                <w:rFonts w:ascii="Times New Roman"/>
                <w:sz w:val="21"/>
              </w:rPr>
            </w:pPr>
            <w:r>
              <w:rPr>
                <w:rFonts w:ascii="Times New Roman"/>
                <w:sz w:val="21"/>
              </w:rPr>
              <w:t>3.4</w:t>
            </w:r>
          </w:p>
        </w:tc>
        <w:tc>
          <w:tcPr>
            <w:tcW w:w="768" w:type="dxa"/>
          </w:tcPr>
          <w:p>
            <w:pPr>
              <w:pStyle w:val="TableParagraph"/>
              <w:spacing w:line="221" w:lineRule="exact" w:before="43"/>
              <w:ind w:left="196" w:right="181"/>
              <w:rPr>
                <w:rFonts w:ascii="Times New Roman"/>
                <w:sz w:val="21"/>
              </w:rPr>
            </w:pPr>
            <w:r>
              <w:rPr>
                <w:rFonts w:ascii="Times New Roman"/>
                <w:sz w:val="21"/>
              </w:rPr>
              <w:t>7.3</w:t>
            </w:r>
          </w:p>
        </w:tc>
        <w:tc>
          <w:tcPr>
            <w:tcW w:w="769" w:type="dxa"/>
          </w:tcPr>
          <w:p>
            <w:pPr>
              <w:pStyle w:val="TableParagraph"/>
              <w:spacing w:line="221" w:lineRule="exact" w:before="43"/>
              <w:ind w:left="43" w:right="29"/>
              <w:rPr>
                <w:rFonts w:ascii="Times New Roman"/>
                <w:sz w:val="21"/>
              </w:rPr>
            </w:pPr>
            <w:r>
              <w:rPr>
                <w:rFonts w:ascii="Times New Roman"/>
                <w:sz w:val="21"/>
              </w:rPr>
              <w:t>16.8</w:t>
            </w:r>
          </w:p>
        </w:tc>
        <w:tc>
          <w:tcPr>
            <w:tcW w:w="766" w:type="dxa"/>
          </w:tcPr>
          <w:p>
            <w:pPr>
              <w:pStyle w:val="TableParagraph"/>
              <w:spacing w:line="221" w:lineRule="exact" w:before="43"/>
              <w:ind w:left="177" w:right="161"/>
              <w:rPr>
                <w:rFonts w:ascii="Times New Roman"/>
                <w:sz w:val="21"/>
              </w:rPr>
            </w:pPr>
            <w:r>
              <w:rPr>
                <w:rFonts w:ascii="Times New Roman"/>
                <w:sz w:val="21"/>
              </w:rPr>
              <w:t>9.4</w:t>
            </w:r>
          </w:p>
        </w:tc>
        <w:tc>
          <w:tcPr>
            <w:tcW w:w="768" w:type="dxa"/>
          </w:tcPr>
          <w:p>
            <w:pPr>
              <w:pStyle w:val="TableParagraph"/>
              <w:spacing w:line="221" w:lineRule="exact" w:before="43"/>
              <w:ind w:left="196" w:right="178"/>
              <w:rPr>
                <w:rFonts w:ascii="Times New Roman"/>
                <w:sz w:val="21"/>
              </w:rPr>
            </w:pPr>
            <w:r>
              <w:rPr>
                <w:rFonts w:ascii="Times New Roman"/>
                <w:sz w:val="21"/>
              </w:rPr>
              <w:t>2.3</w:t>
            </w:r>
          </w:p>
        </w:tc>
        <w:tc>
          <w:tcPr>
            <w:tcW w:w="766" w:type="dxa"/>
          </w:tcPr>
          <w:p>
            <w:pPr>
              <w:pStyle w:val="TableParagraph"/>
              <w:spacing w:line="221" w:lineRule="exact" w:before="43"/>
              <w:ind w:left="177" w:right="157"/>
              <w:rPr>
                <w:rFonts w:ascii="Times New Roman"/>
                <w:sz w:val="21"/>
              </w:rPr>
            </w:pPr>
            <w:r>
              <w:rPr>
                <w:rFonts w:ascii="Times New Roman"/>
                <w:sz w:val="21"/>
              </w:rPr>
              <w:t>7.0</w:t>
            </w:r>
          </w:p>
        </w:tc>
        <w:tc>
          <w:tcPr>
            <w:tcW w:w="768" w:type="dxa"/>
          </w:tcPr>
          <w:p>
            <w:pPr>
              <w:pStyle w:val="TableParagraph"/>
              <w:spacing w:line="221" w:lineRule="exact" w:before="43"/>
              <w:ind w:left="146" w:right="129"/>
              <w:rPr>
                <w:rFonts w:ascii="Times New Roman"/>
                <w:sz w:val="21"/>
              </w:rPr>
            </w:pPr>
            <w:r>
              <w:rPr>
                <w:rFonts w:ascii="Times New Roman"/>
                <w:sz w:val="21"/>
              </w:rPr>
              <w:t>10.6</w:t>
            </w:r>
          </w:p>
        </w:tc>
        <w:tc>
          <w:tcPr>
            <w:tcW w:w="768" w:type="dxa"/>
          </w:tcPr>
          <w:p>
            <w:pPr>
              <w:pStyle w:val="TableParagraph"/>
              <w:spacing w:line="221" w:lineRule="exact" w:before="43"/>
              <w:ind w:left="196" w:right="179"/>
              <w:rPr>
                <w:rFonts w:ascii="Times New Roman"/>
                <w:sz w:val="21"/>
              </w:rPr>
            </w:pPr>
            <w:r>
              <w:rPr>
                <w:rFonts w:ascii="Times New Roman"/>
                <w:sz w:val="21"/>
              </w:rPr>
              <w:t>8.2</w:t>
            </w:r>
          </w:p>
        </w:tc>
        <w:tc>
          <w:tcPr>
            <w:tcW w:w="765" w:type="dxa"/>
          </w:tcPr>
          <w:p>
            <w:pPr>
              <w:pStyle w:val="TableParagraph"/>
              <w:spacing w:line="221" w:lineRule="exact" w:before="43"/>
              <w:ind w:left="79" w:right="63"/>
              <w:rPr>
                <w:rFonts w:ascii="Times New Roman"/>
                <w:sz w:val="21"/>
              </w:rPr>
            </w:pPr>
            <w:r>
              <w:rPr>
                <w:rFonts w:ascii="Times New Roman"/>
                <w:sz w:val="21"/>
              </w:rPr>
              <w:t>3.8</w:t>
            </w:r>
          </w:p>
        </w:tc>
        <w:tc>
          <w:tcPr>
            <w:tcW w:w="767" w:type="dxa"/>
          </w:tcPr>
          <w:p>
            <w:pPr>
              <w:pStyle w:val="TableParagraph"/>
              <w:spacing w:line="221" w:lineRule="exact" w:before="43"/>
              <w:ind w:left="107" w:right="87"/>
              <w:rPr>
                <w:rFonts w:ascii="Times New Roman"/>
                <w:sz w:val="21"/>
              </w:rPr>
            </w:pPr>
            <w:r>
              <w:rPr>
                <w:rFonts w:ascii="Times New Roman"/>
                <w:sz w:val="21"/>
              </w:rPr>
              <w:t>1.9</w:t>
            </w:r>
          </w:p>
        </w:tc>
        <w:tc>
          <w:tcPr>
            <w:tcW w:w="765" w:type="dxa"/>
          </w:tcPr>
          <w:p>
            <w:pPr>
              <w:pStyle w:val="TableParagraph"/>
              <w:spacing w:line="221" w:lineRule="exact" w:before="43"/>
              <w:ind w:left="82" w:right="63"/>
              <w:rPr>
                <w:rFonts w:ascii="Times New Roman"/>
                <w:sz w:val="21"/>
              </w:rPr>
            </w:pPr>
            <w:r>
              <w:rPr>
                <w:rFonts w:ascii="Times New Roman"/>
                <w:sz w:val="21"/>
              </w:rPr>
              <w:t>1.7</w:t>
            </w:r>
          </w:p>
        </w:tc>
        <w:tc>
          <w:tcPr>
            <w:tcW w:w="767" w:type="dxa"/>
          </w:tcPr>
          <w:p>
            <w:pPr>
              <w:pStyle w:val="TableParagraph"/>
              <w:spacing w:line="221" w:lineRule="exact" w:before="43"/>
              <w:ind w:left="253"/>
              <w:jc w:val="left"/>
              <w:rPr>
                <w:rFonts w:ascii="Times New Roman"/>
                <w:sz w:val="21"/>
              </w:rPr>
            </w:pPr>
            <w:r>
              <w:rPr>
                <w:rFonts w:ascii="Times New Roman"/>
                <w:sz w:val="21"/>
              </w:rPr>
              <w:t>3.9</w:t>
            </w:r>
          </w:p>
        </w:tc>
        <w:tc>
          <w:tcPr>
            <w:tcW w:w="765" w:type="dxa"/>
          </w:tcPr>
          <w:p>
            <w:pPr>
              <w:pStyle w:val="TableParagraph"/>
              <w:spacing w:line="221" w:lineRule="exact" w:before="43"/>
              <w:ind w:left="90" w:right="63"/>
              <w:rPr>
                <w:rFonts w:ascii="Times New Roman"/>
                <w:sz w:val="21"/>
              </w:rPr>
            </w:pPr>
            <w:r>
              <w:rPr>
                <w:rFonts w:ascii="Times New Roman"/>
                <w:sz w:val="21"/>
              </w:rPr>
              <w:t>4.6</w:t>
            </w:r>
          </w:p>
        </w:tc>
        <w:tc>
          <w:tcPr>
            <w:tcW w:w="767" w:type="dxa"/>
          </w:tcPr>
          <w:p>
            <w:pPr>
              <w:pStyle w:val="TableParagraph"/>
              <w:spacing w:line="221" w:lineRule="exact" w:before="43"/>
              <w:ind w:left="115" w:right="87"/>
              <w:rPr>
                <w:rFonts w:ascii="Times New Roman"/>
                <w:sz w:val="21"/>
              </w:rPr>
            </w:pPr>
            <w:r>
              <w:rPr>
                <w:rFonts w:ascii="Times New Roman"/>
                <w:sz w:val="21"/>
              </w:rPr>
              <w:t>5.8</w:t>
            </w:r>
          </w:p>
        </w:tc>
        <w:tc>
          <w:tcPr>
            <w:tcW w:w="767" w:type="dxa"/>
          </w:tcPr>
          <w:p>
            <w:pPr>
              <w:pStyle w:val="TableParagraph"/>
              <w:spacing w:line="221" w:lineRule="exact" w:before="43"/>
              <w:ind w:left="117" w:right="87"/>
              <w:rPr>
                <w:rFonts w:ascii="Times New Roman"/>
                <w:sz w:val="21"/>
              </w:rPr>
            </w:pPr>
            <w:r>
              <w:rPr>
                <w:rFonts w:ascii="Times New Roman"/>
                <w:sz w:val="21"/>
              </w:rPr>
              <w:t>4.7</w:t>
            </w:r>
          </w:p>
        </w:tc>
        <w:tc>
          <w:tcPr>
            <w:tcW w:w="765" w:type="dxa"/>
          </w:tcPr>
          <w:p>
            <w:pPr>
              <w:pStyle w:val="TableParagraph"/>
              <w:spacing w:line="221" w:lineRule="exact" w:before="43"/>
              <w:ind w:left="255"/>
              <w:jc w:val="left"/>
              <w:rPr>
                <w:rFonts w:ascii="Times New Roman"/>
                <w:sz w:val="21"/>
              </w:rPr>
            </w:pPr>
            <w:r>
              <w:rPr>
                <w:rFonts w:ascii="Times New Roman"/>
                <w:sz w:val="21"/>
              </w:rPr>
              <w:t>2.0</w:t>
            </w:r>
          </w:p>
        </w:tc>
      </w:tr>
      <w:tr>
        <w:trPr>
          <w:trHeight w:val="284" w:hRule="atLeast"/>
        </w:trPr>
        <w:tc>
          <w:tcPr>
            <w:tcW w:w="1176" w:type="dxa"/>
          </w:tcPr>
          <w:p>
            <w:pPr>
              <w:pStyle w:val="TableParagraph"/>
              <w:spacing w:line="252" w:lineRule="exact" w:before="13"/>
              <w:ind w:left="252" w:right="233"/>
              <w:rPr>
                <w:sz w:val="21"/>
              </w:rPr>
            </w:pPr>
            <w:r>
              <w:rPr>
                <w:sz w:val="21"/>
              </w:rPr>
              <w:t>四月</w:t>
            </w:r>
          </w:p>
        </w:tc>
        <w:tc>
          <w:tcPr>
            <w:tcW w:w="768" w:type="dxa"/>
          </w:tcPr>
          <w:p>
            <w:pPr>
              <w:pStyle w:val="TableParagraph"/>
              <w:spacing w:line="221" w:lineRule="exact" w:before="43"/>
              <w:ind w:left="196" w:right="181"/>
              <w:rPr>
                <w:rFonts w:ascii="Times New Roman"/>
                <w:sz w:val="21"/>
              </w:rPr>
            </w:pPr>
            <w:r>
              <w:rPr>
                <w:rFonts w:ascii="Times New Roman"/>
                <w:sz w:val="21"/>
              </w:rPr>
              <w:t>4.3</w:t>
            </w:r>
          </w:p>
        </w:tc>
        <w:tc>
          <w:tcPr>
            <w:tcW w:w="768" w:type="dxa"/>
          </w:tcPr>
          <w:p>
            <w:pPr>
              <w:pStyle w:val="TableParagraph"/>
              <w:spacing w:line="221" w:lineRule="exact" w:before="43"/>
              <w:ind w:left="196" w:right="181"/>
              <w:rPr>
                <w:rFonts w:ascii="Times New Roman"/>
                <w:sz w:val="21"/>
              </w:rPr>
            </w:pPr>
            <w:r>
              <w:rPr>
                <w:rFonts w:ascii="Times New Roman"/>
                <w:sz w:val="21"/>
              </w:rPr>
              <w:t>5.0</w:t>
            </w:r>
          </w:p>
        </w:tc>
        <w:tc>
          <w:tcPr>
            <w:tcW w:w="768" w:type="dxa"/>
          </w:tcPr>
          <w:p>
            <w:pPr>
              <w:pStyle w:val="TableParagraph"/>
              <w:spacing w:line="221" w:lineRule="exact" w:before="43"/>
              <w:ind w:left="145" w:right="130"/>
              <w:rPr>
                <w:rFonts w:ascii="Times New Roman"/>
                <w:sz w:val="21"/>
              </w:rPr>
            </w:pPr>
            <w:r>
              <w:rPr>
                <w:rFonts w:ascii="Times New Roman"/>
                <w:sz w:val="21"/>
              </w:rPr>
              <w:t>10.1</w:t>
            </w:r>
          </w:p>
        </w:tc>
        <w:tc>
          <w:tcPr>
            <w:tcW w:w="769" w:type="dxa"/>
          </w:tcPr>
          <w:p>
            <w:pPr>
              <w:pStyle w:val="TableParagraph"/>
              <w:spacing w:line="221" w:lineRule="exact" w:before="43"/>
              <w:ind w:left="43" w:right="29"/>
              <w:rPr>
                <w:rFonts w:ascii="Times New Roman"/>
                <w:sz w:val="21"/>
              </w:rPr>
            </w:pPr>
            <w:r>
              <w:rPr>
                <w:rFonts w:ascii="Times New Roman"/>
                <w:sz w:val="21"/>
              </w:rPr>
              <w:t>18.5</w:t>
            </w:r>
          </w:p>
        </w:tc>
        <w:tc>
          <w:tcPr>
            <w:tcW w:w="766" w:type="dxa"/>
          </w:tcPr>
          <w:p>
            <w:pPr>
              <w:pStyle w:val="TableParagraph"/>
              <w:spacing w:line="221" w:lineRule="exact" w:before="43"/>
              <w:ind w:left="177" w:right="161"/>
              <w:rPr>
                <w:rFonts w:ascii="Times New Roman"/>
                <w:sz w:val="21"/>
              </w:rPr>
            </w:pPr>
            <w:r>
              <w:rPr>
                <w:rFonts w:ascii="Times New Roman"/>
                <w:sz w:val="21"/>
              </w:rPr>
              <w:t>6.1</w:t>
            </w:r>
          </w:p>
        </w:tc>
        <w:tc>
          <w:tcPr>
            <w:tcW w:w="768" w:type="dxa"/>
          </w:tcPr>
          <w:p>
            <w:pPr>
              <w:pStyle w:val="TableParagraph"/>
              <w:spacing w:line="221" w:lineRule="exact" w:before="43"/>
              <w:ind w:left="196" w:right="178"/>
              <w:rPr>
                <w:rFonts w:ascii="Times New Roman"/>
                <w:sz w:val="21"/>
              </w:rPr>
            </w:pPr>
            <w:r>
              <w:rPr>
                <w:rFonts w:ascii="Times New Roman"/>
                <w:sz w:val="21"/>
              </w:rPr>
              <w:t>3.3</w:t>
            </w:r>
          </w:p>
        </w:tc>
        <w:tc>
          <w:tcPr>
            <w:tcW w:w="766" w:type="dxa"/>
          </w:tcPr>
          <w:p>
            <w:pPr>
              <w:pStyle w:val="TableParagraph"/>
              <w:spacing w:line="221" w:lineRule="exact" w:before="43"/>
              <w:ind w:left="177" w:right="157"/>
              <w:rPr>
                <w:rFonts w:ascii="Times New Roman"/>
                <w:sz w:val="21"/>
              </w:rPr>
            </w:pPr>
            <w:r>
              <w:rPr>
                <w:rFonts w:ascii="Times New Roman"/>
                <w:sz w:val="21"/>
              </w:rPr>
              <w:t>4.7</w:t>
            </w:r>
          </w:p>
        </w:tc>
        <w:tc>
          <w:tcPr>
            <w:tcW w:w="768" w:type="dxa"/>
          </w:tcPr>
          <w:p>
            <w:pPr>
              <w:pStyle w:val="TableParagraph"/>
              <w:spacing w:line="221" w:lineRule="exact" w:before="43"/>
              <w:ind w:left="146" w:right="129"/>
              <w:rPr>
                <w:rFonts w:ascii="Times New Roman"/>
                <w:sz w:val="21"/>
              </w:rPr>
            </w:pPr>
            <w:r>
              <w:rPr>
                <w:rFonts w:ascii="Times New Roman"/>
                <w:sz w:val="21"/>
              </w:rPr>
              <w:t>13.5</w:t>
            </w:r>
          </w:p>
        </w:tc>
        <w:tc>
          <w:tcPr>
            <w:tcW w:w="768" w:type="dxa"/>
          </w:tcPr>
          <w:p>
            <w:pPr>
              <w:pStyle w:val="TableParagraph"/>
              <w:spacing w:line="221" w:lineRule="exact" w:before="43"/>
              <w:ind w:left="196" w:right="179"/>
              <w:rPr>
                <w:rFonts w:ascii="Times New Roman"/>
                <w:sz w:val="21"/>
              </w:rPr>
            </w:pPr>
            <w:r>
              <w:rPr>
                <w:rFonts w:ascii="Times New Roman"/>
                <w:sz w:val="21"/>
              </w:rPr>
              <w:t>9.7</w:t>
            </w:r>
          </w:p>
        </w:tc>
        <w:tc>
          <w:tcPr>
            <w:tcW w:w="765" w:type="dxa"/>
          </w:tcPr>
          <w:p>
            <w:pPr>
              <w:pStyle w:val="TableParagraph"/>
              <w:spacing w:line="221" w:lineRule="exact" w:before="43"/>
              <w:ind w:left="79" w:right="63"/>
              <w:rPr>
                <w:rFonts w:ascii="Times New Roman"/>
                <w:sz w:val="21"/>
              </w:rPr>
            </w:pPr>
            <w:r>
              <w:rPr>
                <w:rFonts w:ascii="Times New Roman"/>
                <w:sz w:val="21"/>
              </w:rPr>
              <w:t>1.9</w:t>
            </w:r>
          </w:p>
        </w:tc>
        <w:tc>
          <w:tcPr>
            <w:tcW w:w="767" w:type="dxa"/>
          </w:tcPr>
          <w:p>
            <w:pPr>
              <w:pStyle w:val="TableParagraph"/>
              <w:spacing w:line="221" w:lineRule="exact" w:before="43"/>
              <w:ind w:left="107" w:right="87"/>
              <w:rPr>
                <w:rFonts w:ascii="Times New Roman"/>
                <w:sz w:val="21"/>
              </w:rPr>
            </w:pPr>
            <w:r>
              <w:rPr>
                <w:rFonts w:ascii="Times New Roman"/>
                <w:sz w:val="21"/>
              </w:rPr>
              <w:t>2.2</w:t>
            </w:r>
          </w:p>
        </w:tc>
        <w:tc>
          <w:tcPr>
            <w:tcW w:w="765" w:type="dxa"/>
          </w:tcPr>
          <w:p>
            <w:pPr>
              <w:pStyle w:val="TableParagraph"/>
              <w:spacing w:line="221" w:lineRule="exact" w:before="43"/>
              <w:ind w:left="82" w:right="63"/>
              <w:rPr>
                <w:rFonts w:ascii="Times New Roman"/>
                <w:sz w:val="21"/>
              </w:rPr>
            </w:pPr>
            <w:r>
              <w:rPr>
                <w:rFonts w:ascii="Times New Roman"/>
                <w:sz w:val="21"/>
              </w:rPr>
              <w:t>1.7</w:t>
            </w:r>
          </w:p>
        </w:tc>
        <w:tc>
          <w:tcPr>
            <w:tcW w:w="767" w:type="dxa"/>
          </w:tcPr>
          <w:p>
            <w:pPr>
              <w:pStyle w:val="TableParagraph"/>
              <w:spacing w:line="221" w:lineRule="exact" w:before="43"/>
              <w:ind w:left="253"/>
              <w:jc w:val="left"/>
              <w:rPr>
                <w:rFonts w:ascii="Times New Roman"/>
                <w:sz w:val="21"/>
              </w:rPr>
            </w:pPr>
            <w:r>
              <w:rPr>
                <w:rFonts w:ascii="Times New Roman"/>
                <w:sz w:val="21"/>
              </w:rPr>
              <w:t>2.5</w:t>
            </w:r>
          </w:p>
        </w:tc>
        <w:tc>
          <w:tcPr>
            <w:tcW w:w="765" w:type="dxa"/>
          </w:tcPr>
          <w:p>
            <w:pPr>
              <w:pStyle w:val="TableParagraph"/>
              <w:spacing w:line="221" w:lineRule="exact" w:before="43"/>
              <w:ind w:left="90" w:right="63"/>
              <w:rPr>
                <w:rFonts w:ascii="Times New Roman"/>
                <w:sz w:val="21"/>
              </w:rPr>
            </w:pPr>
            <w:r>
              <w:rPr>
                <w:rFonts w:ascii="Times New Roman"/>
                <w:sz w:val="21"/>
              </w:rPr>
              <w:t>5.0</w:t>
            </w:r>
          </w:p>
        </w:tc>
        <w:tc>
          <w:tcPr>
            <w:tcW w:w="767" w:type="dxa"/>
          </w:tcPr>
          <w:p>
            <w:pPr>
              <w:pStyle w:val="TableParagraph"/>
              <w:spacing w:line="221" w:lineRule="exact" w:before="43"/>
              <w:ind w:left="115" w:right="87"/>
              <w:rPr>
                <w:rFonts w:ascii="Times New Roman"/>
                <w:sz w:val="21"/>
              </w:rPr>
            </w:pPr>
            <w:r>
              <w:rPr>
                <w:rFonts w:ascii="Times New Roman"/>
                <w:sz w:val="21"/>
              </w:rPr>
              <w:t>4.3</w:t>
            </w:r>
          </w:p>
        </w:tc>
        <w:tc>
          <w:tcPr>
            <w:tcW w:w="767" w:type="dxa"/>
          </w:tcPr>
          <w:p>
            <w:pPr>
              <w:pStyle w:val="TableParagraph"/>
              <w:spacing w:line="221" w:lineRule="exact" w:before="43"/>
              <w:ind w:left="117" w:right="87"/>
              <w:rPr>
                <w:rFonts w:ascii="Times New Roman"/>
                <w:sz w:val="21"/>
              </w:rPr>
            </w:pPr>
            <w:r>
              <w:rPr>
                <w:rFonts w:ascii="Times New Roman"/>
                <w:sz w:val="21"/>
              </w:rPr>
              <w:t>4.9</w:t>
            </w:r>
          </w:p>
        </w:tc>
        <w:tc>
          <w:tcPr>
            <w:tcW w:w="765" w:type="dxa"/>
          </w:tcPr>
          <w:p>
            <w:pPr>
              <w:pStyle w:val="TableParagraph"/>
              <w:spacing w:line="221" w:lineRule="exact" w:before="43"/>
              <w:ind w:left="255"/>
              <w:jc w:val="left"/>
              <w:rPr>
                <w:rFonts w:ascii="Times New Roman"/>
                <w:sz w:val="21"/>
              </w:rPr>
            </w:pPr>
            <w:r>
              <w:rPr>
                <w:rFonts w:ascii="Times New Roman"/>
                <w:sz w:val="21"/>
              </w:rPr>
              <w:t>2.2</w:t>
            </w:r>
          </w:p>
        </w:tc>
      </w:tr>
      <w:tr>
        <w:trPr>
          <w:trHeight w:val="282" w:hRule="atLeast"/>
        </w:trPr>
        <w:tc>
          <w:tcPr>
            <w:tcW w:w="1176" w:type="dxa"/>
          </w:tcPr>
          <w:p>
            <w:pPr>
              <w:pStyle w:val="TableParagraph"/>
              <w:spacing w:line="250" w:lineRule="exact" w:before="12"/>
              <w:ind w:left="252" w:right="233"/>
              <w:rPr>
                <w:sz w:val="21"/>
              </w:rPr>
            </w:pPr>
            <w:r>
              <w:rPr>
                <w:sz w:val="21"/>
              </w:rPr>
              <w:t>五月</w:t>
            </w:r>
          </w:p>
        </w:tc>
        <w:tc>
          <w:tcPr>
            <w:tcW w:w="768" w:type="dxa"/>
          </w:tcPr>
          <w:p>
            <w:pPr>
              <w:pStyle w:val="TableParagraph"/>
              <w:spacing w:line="221" w:lineRule="exact" w:before="41"/>
              <w:ind w:left="196" w:right="181"/>
              <w:rPr>
                <w:rFonts w:ascii="Times New Roman"/>
                <w:sz w:val="21"/>
              </w:rPr>
            </w:pPr>
            <w:r>
              <w:rPr>
                <w:rFonts w:ascii="Times New Roman"/>
                <w:sz w:val="21"/>
              </w:rPr>
              <w:t>6.5</w:t>
            </w:r>
          </w:p>
        </w:tc>
        <w:tc>
          <w:tcPr>
            <w:tcW w:w="768" w:type="dxa"/>
          </w:tcPr>
          <w:p>
            <w:pPr>
              <w:pStyle w:val="TableParagraph"/>
              <w:spacing w:line="221" w:lineRule="exact" w:before="41"/>
              <w:ind w:left="196" w:right="181"/>
              <w:rPr>
                <w:rFonts w:ascii="Times New Roman"/>
                <w:sz w:val="21"/>
              </w:rPr>
            </w:pPr>
            <w:r>
              <w:rPr>
                <w:rFonts w:ascii="Times New Roman"/>
                <w:sz w:val="21"/>
              </w:rPr>
              <w:t>4.0</w:t>
            </w:r>
          </w:p>
        </w:tc>
        <w:tc>
          <w:tcPr>
            <w:tcW w:w="768" w:type="dxa"/>
          </w:tcPr>
          <w:p>
            <w:pPr>
              <w:pStyle w:val="TableParagraph"/>
              <w:spacing w:line="221" w:lineRule="exact" w:before="41"/>
              <w:ind w:left="196" w:right="181"/>
              <w:rPr>
                <w:rFonts w:ascii="Times New Roman"/>
                <w:sz w:val="21"/>
              </w:rPr>
            </w:pPr>
            <w:r>
              <w:rPr>
                <w:rFonts w:ascii="Times New Roman"/>
                <w:sz w:val="21"/>
              </w:rPr>
              <w:t>7.5</w:t>
            </w:r>
          </w:p>
        </w:tc>
        <w:tc>
          <w:tcPr>
            <w:tcW w:w="769" w:type="dxa"/>
          </w:tcPr>
          <w:p>
            <w:pPr>
              <w:pStyle w:val="TableParagraph"/>
              <w:spacing w:line="221" w:lineRule="exact" w:before="41"/>
              <w:ind w:left="43" w:right="32"/>
              <w:rPr>
                <w:rFonts w:ascii="Times New Roman"/>
                <w:sz w:val="21"/>
              </w:rPr>
            </w:pPr>
            <w:r>
              <w:rPr>
                <w:rFonts w:ascii="Times New Roman"/>
                <w:sz w:val="21"/>
              </w:rPr>
              <w:t>11.7</w:t>
            </w:r>
          </w:p>
        </w:tc>
        <w:tc>
          <w:tcPr>
            <w:tcW w:w="766" w:type="dxa"/>
          </w:tcPr>
          <w:p>
            <w:pPr>
              <w:pStyle w:val="TableParagraph"/>
              <w:spacing w:line="221" w:lineRule="exact" w:before="41"/>
              <w:ind w:left="177" w:right="161"/>
              <w:rPr>
                <w:rFonts w:ascii="Times New Roman"/>
                <w:sz w:val="21"/>
              </w:rPr>
            </w:pPr>
            <w:r>
              <w:rPr>
                <w:rFonts w:ascii="Times New Roman"/>
                <w:sz w:val="21"/>
              </w:rPr>
              <w:t>7.9</w:t>
            </w:r>
          </w:p>
        </w:tc>
        <w:tc>
          <w:tcPr>
            <w:tcW w:w="768" w:type="dxa"/>
          </w:tcPr>
          <w:p>
            <w:pPr>
              <w:pStyle w:val="TableParagraph"/>
              <w:spacing w:line="221" w:lineRule="exact" w:before="41"/>
              <w:ind w:left="196" w:right="178"/>
              <w:rPr>
                <w:rFonts w:ascii="Times New Roman"/>
                <w:sz w:val="21"/>
              </w:rPr>
            </w:pPr>
            <w:r>
              <w:rPr>
                <w:rFonts w:ascii="Times New Roman"/>
                <w:sz w:val="21"/>
              </w:rPr>
              <w:t>3.9</w:t>
            </w:r>
          </w:p>
        </w:tc>
        <w:tc>
          <w:tcPr>
            <w:tcW w:w="766" w:type="dxa"/>
          </w:tcPr>
          <w:p>
            <w:pPr>
              <w:pStyle w:val="TableParagraph"/>
              <w:spacing w:line="221" w:lineRule="exact" w:before="41"/>
              <w:ind w:left="177" w:right="157"/>
              <w:rPr>
                <w:rFonts w:ascii="Times New Roman"/>
                <w:sz w:val="21"/>
              </w:rPr>
            </w:pPr>
            <w:r>
              <w:rPr>
                <w:rFonts w:ascii="Times New Roman"/>
                <w:sz w:val="21"/>
              </w:rPr>
              <w:t>7.1</w:t>
            </w:r>
          </w:p>
        </w:tc>
        <w:tc>
          <w:tcPr>
            <w:tcW w:w="768" w:type="dxa"/>
          </w:tcPr>
          <w:p>
            <w:pPr>
              <w:pStyle w:val="TableParagraph"/>
              <w:spacing w:line="221" w:lineRule="exact" w:before="41"/>
              <w:ind w:left="146" w:right="129"/>
              <w:rPr>
                <w:rFonts w:ascii="Times New Roman"/>
                <w:sz w:val="21"/>
              </w:rPr>
            </w:pPr>
            <w:r>
              <w:rPr>
                <w:rFonts w:ascii="Times New Roman"/>
                <w:sz w:val="21"/>
              </w:rPr>
              <w:t>15.1</w:t>
            </w:r>
          </w:p>
        </w:tc>
        <w:tc>
          <w:tcPr>
            <w:tcW w:w="768" w:type="dxa"/>
          </w:tcPr>
          <w:p>
            <w:pPr>
              <w:pStyle w:val="TableParagraph"/>
              <w:spacing w:line="221" w:lineRule="exact" w:before="41"/>
              <w:ind w:left="146" w:right="129"/>
              <w:rPr>
                <w:rFonts w:ascii="Times New Roman"/>
                <w:sz w:val="21"/>
              </w:rPr>
            </w:pPr>
            <w:r>
              <w:rPr>
                <w:rFonts w:ascii="Times New Roman"/>
                <w:sz w:val="21"/>
              </w:rPr>
              <w:t>12.5</w:t>
            </w:r>
          </w:p>
        </w:tc>
        <w:tc>
          <w:tcPr>
            <w:tcW w:w="765" w:type="dxa"/>
          </w:tcPr>
          <w:p>
            <w:pPr>
              <w:pStyle w:val="TableParagraph"/>
              <w:spacing w:line="221" w:lineRule="exact" w:before="41"/>
              <w:ind w:left="79" w:right="63"/>
              <w:rPr>
                <w:rFonts w:ascii="Times New Roman"/>
                <w:sz w:val="21"/>
              </w:rPr>
            </w:pPr>
            <w:r>
              <w:rPr>
                <w:rFonts w:ascii="Times New Roman"/>
                <w:sz w:val="21"/>
              </w:rPr>
              <w:t>3.4</w:t>
            </w:r>
          </w:p>
        </w:tc>
        <w:tc>
          <w:tcPr>
            <w:tcW w:w="767" w:type="dxa"/>
          </w:tcPr>
          <w:p>
            <w:pPr>
              <w:pStyle w:val="TableParagraph"/>
              <w:spacing w:line="221" w:lineRule="exact" w:before="41"/>
              <w:ind w:left="107" w:right="87"/>
              <w:rPr>
                <w:rFonts w:ascii="Times New Roman"/>
                <w:sz w:val="21"/>
              </w:rPr>
            </w:pPr>
            <w:r>
              <w:rPr>
                <w:rFonts w:ascii="Times New Roman"/>
                <w:sz w:val="21"/>
              </w:rPr>
              <w:t>3.4</w:t>
            </w:r>
          </w:p>
        </w:tc>
        <w:tc>
          <w:tcPr>
            <w:tcW w:w="765" w:type="dxa"/>
          </w:tcPr>
          <w:p>
            <w:pPr>
              <w:pStyle w:val="TableParagraph"/>
              <w:spacing w:line="221" w:lineRule="exact" w:before="41"/>
              <w:ind w:left="82" w:right="63"/>
              <w:rPr>
                <w:rFonts w:ascii="Times New Roman"/>
                <w:sz w:val="21"/>
              </w:rPr>
            </w:pPr>
            <w:r>
              <w:rPr>
                <w:rFonts w:ascii="Times New Roman"/>
                <w:sz w:val="21"/>
              </w:rPr>
              <w:t>3.1</w:t>
            </w:r>
          </w:p>
        </w:tc>
        <w:tc>
          <w:tcPr>
            <w:tcW w:w="767" w:type="dxa"/>
          </w:tcPr>
          <w:p>
            <w:pPr>
              <w:pStyle w:val="TableParagraph"/>
              <w:spacing w:line="221" w:lineRule="exact" w:before="41"/>
              <w:ind w:left="253"/>
              <w:jc w:val="left"/>
              <w:rPr>
                <w:rFonts w:ascii="Times New Roman"/>
                <w:sz w:val="21"/>
              </w:rPr>
            </w:pPr>
            <w:r>
              <w:rPr>
                <w:rFonts w:ascii="Times New Roman"/>
                <w:sz w:val="21"/>
              </w:rPr>
              <w:t>2.4</w:t>
            </w:r>
          </w:p>
        </w:tc>
        <w:tc>
          <w:tcPr>
            <w:tcW w:w="765" w:type="dxa"/>
          </w:tcPr>
          <w:p>
            <w:pPr>
              <w:pStyle w:val="TableParagraph"/>
              <w:spacing w:line="221" w:lineRule="exact" w:before="41"/>
              <w:ind w:left="90" w:right="63"/>
              <w:rPr>
                <w:rFonts w:ascii="Times New Roman"/>
                <w:sz w:val="21"/>
              </w:rPr>
            </w:pPr>
            <w:r>
              <w:rPr>
                <w:rFonts w:ascii="Times New Roman"/>
                <w:sz w:val="21"/>
              </w:rPr>
              <w:t>2.2</w:t>
            </w:r>
          </w:p>
        </w:tc>
        <w:tc>
          <w:tcPr>
            <w:tcW w:w="767" w:type="dxa"/>
          </w:tcPr>
          <w:p>
            <w:pPr>
              <w:pStyle w:val="TableParagraph"/>
              <w:spacing w:line="221" w:lineRule="exact" w:before="41"/>
              <w:ind w:left="115" w:right="87"/>
              <w:rPr>
                <w:rFonts w:ascii="Times New Roman"/>
                <w:sz w:val="21"/>
              </w:rPr>
            </w:pPr>
            <w:r>
              <w:rPr>
                <w:rFonts w:ascii="Times New Roman"/>
                <w:sz w:val="21"/>
              </w:rPr>
              <w:t>2.8</w:t>
            </w:r>
          </w:p>
        </w:tc>
        <w:tc>
          <w:tcPr>
            <w:tcW w:w="767" w:type="dxa"/>
          </w:tcPr>
          <w:p>
            <w:pPr>
              <w:pStyle w:val="TableParagraph"/>
              <w:spacing w:line="221" w:lineRule="exact" w:before="41"/>
              <w:ind w:left="117" w:right="87"/>
              <w:rPr>
                <w:rFonts w:ascii="Times New Roman"/>
                <w:sz w:val="21"/>
              </w:rPr>
            </w:pPr>
            <w:r>
              <w:rPr>
                <w:rFonts w:ascii="Times New Roman"/>
                <w:sz w:val="21"/>
              </w:rPr>
              <w:t>3.8</w:t>
            </w:r>
          </w:p>
        </w:tc>
        <w:tc>
          <w:tcPr>
            <w:tcW w:w="765" w:type="dxa"/>
          </w:tcPr>
          <w:p>
            <w:pPr>
              <w:pStyle w:val="TableParagraph"/>
              <w:spacing w:line="221" w:lineRule="exact" w:before="41"/>
              <w:ind w:left="255"/>
              <w:jc w:val="left"/>
              <w:rPr>
                <w:rFonts w:ascii="Times New Roman"/>
                <w:sz w:val="21"/>
              </w:rPr>
            </w:pPr>
            <w:r>
              <w:rPr>
                <w:rFonts w:ascii="Times New Roman"/>
                <w:sz w:val="21"/>
              </w:rPr>
              <w:t>2.8</w:t>
            </w:r>
          </w:p>
        </w:tc>
      </w:tr>
      <w:tr>
        <w:trPr>
          <w:trHeight w:val="284" w:hRule="atLeast"/>
        </w:trPr>
        <w:tc>
          <w:tcPr>
            <w:tcW w:w="1176" w:type="dxa"/>
          </w:tcPr>
          <w:p>
            <w:pPr>
              <w:pStyle w:val="TableParagraph"/>
              <w:spacing w:line="250" w:lineRule="exact" w:before="15"/>
              <w:ind w:left="252" w:right="233"/>
              <w:rPr>
                <w:sz w:val="21"/>
              </w:rPr>
            </w:pPr>
            <w:r>
              <w:rPr>
                <w:sz w:val="21"/>
              </w:rPr>
              <w:t>六月</w:t>
            </w:r>
          </w:p>
        </w:tc>
        <w:tc>
          <w:tcPr>
            <w:tcW w:w="768" w:type="dxa"/>
          </w:tcPr>
          <w:p>
            <w:pPr>
              <w:pStyle w:val="TableParagraph"/>
              <w:spacing w:line="221" w:lineRule="exact" w:before="43"/>
              <w:ind w:left="196" w:right="181"/>
              <w:rPr>
                <w:rFonts w:ascii="Times New Roman"/>
                <w:sz w:val="21"/>
              </w:rPr>
            </w:pPr>
            <w:r>
              <w:rPr>
                <w:rFonts w:ascii="Times New Roman"/>
                <w:sz w:val="21"/>
              </w:rPr>
              <w:t>5.0</w:t>
            </w:r>
          </w:p>
        </w:tc>
        <w:tc>
          <w:tcPr>
            <w:tcW w:w="768" w:type="dxa"/>
          </w:tcPr>
          <w:p>
            <w:pPr>
              <w:pStyle w:val="TableParagraph"/>
              <w:spacing w:line="221" w:lineRule="exact" w:before="43"/>
              <w:ind w:left="196" w:right="181"/>
              <w:rPr>
                <w:rFonts w:ascii="Times New Roman"/>
                <w:sz w:val="21"/>
              </w:rPr>
            </w:pPr>
            <w:r>
              <w:rPr>
                <w:rFonts w:ascii="Times New Roman"/>
                <w:sz w:val="21"/>
              </w:rPr>
              <w:t>2.9</w:t>
            </w:r>
          </w:p>
        </w:tc>
        <w:tc>
          <w:tcPr>
            <w:tcW w:w="768" w:type="dxa"/>
          </w:tcPr>
          <w:p>
            <w:pPr>
              <w:pStyle w:val="TableParagraph"/>
              <w:spacing w:line="221" w:lineRule="exact" w:before="43"/>
              <w:ind w:left="196" w:right="181"/>
              <w:rPr>
                <w:rFonts w:ascii="Times New Roman"/>
                <w:sz w:val="21"/>
              </w:rPr>
            </w:pPr>
            <w:r>
              <w:rPr>
                <w:rFonts w:ascii="Times New Roman"/>
                <w:sz w:val="21"/>
              </w:rPr>
              <w:t>5.0</w:t>
            </w:r>
          </w:p>
        </w:tc>
        <w:tc>
          <w:tcPr>
            <w:tcW w:w="769" w:type="dxa"/>
          </w:tcPr>
          <w:p>
            <w:pPr>
              <w:pStyle w:val="TableParagraph"/>
              <w:spacing w:line="221" w:lineRule="exact" w:before="43"/>
              <w:ind w:left="43" w:right="32"/>
              <w:rPr>
                <w:rFonts w:ascii="Times New Roman"/>
                <w:sz w:val="21"/>
              </w:rPr>
            </w:pPr>
            <w:r>
              <w:rPr>
                <w:rFonts w:ascii="Times New Roman"/>
                <w:sz w:val="21"/>
              </w:rPr>
              <w:t>11.0</w:t>
            </w:r>
          </w:p>
        </w:tc>
        <w:tc>
          <w:tcPr>
            <w:tcW w:w="766" w:type="dxa"/>
          </w:tcPr>
          <w:p>
            <w:pPr>
              <w:pStyle w:val="TableParagraph"/>
              <w:spacing w:line="221" w:lineRule="exact" w:before="43"/>
              <w:ind w:left="177" w:right="161"/>
              <w:rPr>
                <w:rFonts w:ascii="Times New Roman"/>
                <w:sz w:val="21"/>
              </w:rPr>
            </w:pPr>
            <w:r>
              <w:rPr>
                <w:rFonts w:ascii="Times New Roman"/>
                <w:sz w:val="21"/>
              </w:rPr>
              <w:t>10.0</w:t>
            </w:r>
          </w:p>
        </w:tc>
        <w:tc>
          <w:tcPr>
            <w:tcW w:w="768" w:type="dxa"/>
          </w:tcPr>
          <w:p>
            <w:pPr>
              <w:pStyle w:val="TableParagraph"/>
              <w:spacing w:line="221" w:lineRule="exact" w:before="43"/>
              <w:ind w:left="196" w:right="178"/>
              <w:rPr>
                <w:rFonts w:ascii="Times New Roman"/>
                <w:sz w:val="21"/>
              </w:rPr>
            </w:pPr>
            <w:r>
              <w:rPr>
                <w:rFonts w:ascii="Times New Roman"/>
                <w:sz w:val="21"/>
              </w:rPr>
              <w:t>4.9</w:t>
            </w:r>
          </w:p>
        </w:tc>
        <w:tc>
          <w:tcPr>
            <w:tcW w:w="766" w:type="dxa"/>
          </w:tcPr>
          <w:p>
            <w:pPr>
              <w:pStyle w:val="TableParagraph"/>
              <w:spacing w:line="221" w:lineRule="exact" w:before="43"/>
              <w:ind w:left="177" w:right="157"/>
              <w:rPr>
                <w:rFonts w:ascii="Times New Roman"/>
                <w:sz w:val="21"/>
              </w:rPr>
            </w:pPr>
            <w:r>
              <w:rPr>
                <w:rFonts w:ascii="Times New Roman"/>
                <w:sz w:val="21"/>
              </w:rPr>
              <w:t>5.0</w:t>
            </w:r>
          </w:p>
        </w:tc>
        <w:tc>
          <w:tcPr>
            <w:tcW w:w="768" w:type="dxa"/>
          </w:tcPr>
          <w:p>
            <w:pPr>
              <w:pStyle w:val="TableParagraph"/>
              <w:spacing w:line="221" w:lineRule="exact" w:before="43"/>
              <w:ind w:left="196" w:right="179"/>
              <w:rPr>
                <w:rFonts w:ascii="Times New Roman"/>
                <w:sz w:val="21"/>
              </w:rPr>
            </w:pPr>
            <w:r>
              <w:rPr>
                <w:rFonts w:ascii="Times New Roman"/>
                <w:sz w:val="21"/>
              </w:rPr>
              <w:t>8.8</w:t>
            </w:r>
          </w:p>
        </w:tc>
        <w:tc>
          <w:tcPr>
            <w:tcW w:w="768" w:type="dxa"/>
          </w:tcPr>
          <w:p>
            <w:pPr>
              <w:pStyle w:val="TableParagraph"/>
              <w:spacing w:line="221" w:lineRule="exact" w:before="43"/>
              <w:ind w:left="145" w:right="130"/>
              <w:rPr>
                <w:rFonts w:ascii="Times New Roman"/>
                <w:sz w:val="21"/>
              </w:rPr>
            </w:pPr>
            <w:r>
              <w:rPr>
                <w:rFonts w:ascii="Times New Roman"/>
                <w:sz w:val="21"/>
              </w:rPr>
              <w:t>11.0</w:t>
            </w:r>
          </w:p>
        </w:tc>
        <w:tc>
          <w:tcPr>
            <w:tcW w:w="765" w:type="dxa"/>
          </w:tcPr>
          <w:p>
            <w:pPr>
              <w:pStyle w:val="TableParagraph"/>
              <w:spacing w:line="221" w:lineRule="exact" w:before="43"/>
              <w:ind w:left="79" w:right="63"/>
              <w:rPr>
                <w:rFonts w:ascii="Times New Roman"/>
                <w:sz w:val="21"/>
              </w:rPr>
            </w:pPr>
            <w:r>
              <w:rPr>
                <w:rFonts w:ascii="Times New Roman"/>
                <w:sz w:val="21"/>
              </w:rPr>
              <w:t>7.6</w:t>
            </w:r>
          </w:p>
        </w:tc>
        <w:tc>
          <w:tcPr>
            <w:tcW w:w="767" w:type="dxa"/>
          </w:tcPr>
          <w:p>
            <w:pPr>
              <w:pStyle w:val="TableParagraph"/>
              <w:spacing w:line="221" w:lineRule="exact" w:before="43"/>
              <w:ind w:left="107" w:right="87"/>
              <w:rPr>
                <w:rFonts w:ascii="Times New Roman"/>
                <w:sz w:val="21"/>
              </w:rPr>
            </w:pPr>
            <w:r>
              <w:rPr>
                <w:rFonts w:ascii="Times New Roman"/>
                <w:sz w:val="21"/>
              </w:rPr>
              <w:t>10.0</w:t>
            </w:r>
          </w:p>
        </w:tc>
        <w:tc>
          <w:tcPr>
            <w:tcW w:w="765" w:type="dxa"/>
          </w:tcPr>
          <w:p>
            <w:pPr>
              <w:pStyle w:val="TableParagraph"/>
              <w:spacing w:line="221" w:lineRule="exact" w:before="43"/>
              <w:ind w:left="82" w:right="63"/>
              <w:rPr>
                <w:rFonts w:ascii="Times New Roman"/>
                <w:sz w:val="21"/>
              </w:rPr>
            </w:pPr>
            <w:r>
              <w:rPr>
                <w:rFonts w:ascii="Times New Roman"/>
                <w:sz w:val="21"/>
              </w:rPr>
              <w:t>3.2</w:t>
            </w:r>
          </w:p>
        </w:tc>
        <w:tc>
          <w:tcPr>
            <w:tcW w:w="767" w:type="dxa"/>
          </w:tcPr>
          <w:p>
            <w:pPr>
              <w:pStyle w:val="TableParagraph"/>
              <w:spacing w:line="221" w:lineRule="exact" w:before="43"/>
              <w:ind w:left="253"/>
              <w:jc w:val="left"/>
              <w:rPr>
                <w:rFonts w:ascii="Times New Roman"/>
                <w:sz w:val="21"/>
              </w:rPr>
            </w:pPr>
            <w:r>
              <w:rPr>
                <w:rFonts w:ascii="Times New Roman"/>
                <w:sz w:val="21"/>
              </w:rPr>
              <w:t>2.1</w:t>
            </w:r>
          </w:p>
        </w:tc>
        <w:tc>
          <w:tcPr>
            <w:tcW w:w="765" w:type="dxa"/>
          </w:tcPr>
          <w:p>
            <w:pPr>
              <w:pStyle w:val="TableParagraph"/>
              <w:spacing w:line="221" w:lineRule="exact" w:before="43"/>
              <w:ind w:left="90" w:right="63"/>
              <w:rPr>
                <w:rFonts w:ascii="Times New Roman"/>
                <w:sz w:val="21"/>
              </w:rPr>
            </w:pPr>
            <w:r>
              <w:rPr>
                <w:rFonts w:ascii="Times New Roman"/>
                <w:sz w:val="21"/>
              </w:rPr>
              <w:t>1.7</w:t>
            </w:r>
          </w:p>
        </w:tc>
        <w:tc>
          <w:tcPr>
            <w:tcW w:w="767" w:type="dxa"/>
          </w:tcPr>
          <w:p>
            <w:pPr>
              <w:pStyle w:val="TableParagraph"/>
              <w:spacing w:line="221" w:lineRule="exact" w:before="43"/>
              <w:ind w:left="115" w:right="87"/>
              <w:rPr>
                <w:rFonts w:ascii="Times New Roman"/>
                <w:sz w:val="21"/>
              </w:rPr>
            </w:pPr>
            <w:r>
              <w:rPr>
                <w:rFonts w:ascii="Times New Roman"/>
                <w:sz w:val="21"/>
              </w:rPr>
              <w:t>2.4</w:t>
            </w:r>
          </w:p>
        </w:tc>
        <w:tc>
          <w:tcPr>
            <w:tcW w:w="767" w:type="dxa"/>
          </w:tcPr>
          <w:p>
            <w:pPr>
              <w:pStyle w:val="TableParagraph"/>
              <w:spacing w:line="221" w:lineRule="exact" w:before="43"/>
              <w:ind w:left="117" w:right="87"/>
              <w:rPr>
                <w:rFonts w:ascii="Times New Roman"/>
                <w:sz w:val="21"/>
              </w:rPr>
            </w:pPr>
            <w:r>
              <w:rPr>
                <w:rFonts w:ascii="Times New Roman"/>
                <w:sz w:val="21"/>
              </w:rPr>
              <w:t>2.4</w:t>
            </w:r>
          </w:p>
        </w:tc>
        <w:tc>
          <w:tcPr>
            <w:tcW w:w="765" w:type="dxa"/>
          </w:tcPr>
          <w:p>
            <w:pPr>
              <w:pStyle w:val="TableParagraph"/>
              <w:spacing w:line="221" w:lineRule="exact" w:before="43"/>
              <w:ind w:left="255"/>
              <w:jc w:val="left"/>
              <w:rPr>
                <w:rFonts w:ascii="Times New Roman"/>
                <w:sz w:val="21"/>
              </w:rPr>
            </w:pPr>
            <w:r>
              <w:rPr>
                <w:rFonts w:ascii="Times New Roman"/>
                <w:sz w:val="21"/>
              </w:rPr>
              <w:t>7.2</w:t>
            </w:r>
          </w:p>
        </w:tc>
      </w:tr>
      <w:tr>
        <w:trPr>
          <w:trHeight w:val="284" w:hRule="atLeast"/>
        </w:trPr>
        <w:tc>
          <w:tcPr>
            <w:tcW w:w="1176" w:type="dxa"/>
          </w:tcPr>
          <w:p>
            <w:pPr>
              <w:pStyle w:val="TableParagraph"/>
              <w:spacing w:line="252" w:lineRule="exact" w:before="13"/>
              <w:ind w:left="252" w:right="233"/>
              <w:rPr>
                <w:sz w:val="21"/>
              </w:rPr>
            </w:pPr>
            <w:r>
              <w:rPr>
                <w:sz w:val="21"/>
              </w:rPr>
              <w:t>七月</w:t>
            </w:r>
          </w:p>
        </w:tc>
        <w:tc>
          <w:tcPr>
            <w:tcW w:w="768" w:type="dxa"/>
          </w:tcPr>
          <w:p>
            <w:pPr>
              <w:pStyle w:val="TableParagraph"/>
              <w:spacing w:line="221" w:lineRule="exact" w:before="43"/>
              <w:ind w:left="196" w:right="181"/>
              <w:rPr>
                <w:rFonts w:ascii="Times New Roman"/>
                <w:sz w:val="21"/>
              </w:rPr>
            </w:pPr>
            <w:r>
              <w:rPr>
                <w:rFonts w:ascii="Times New Roman"/>
                <w:sz w:val="21"/>
              </w:rPr>
              <w:t>7.4</w:t>
            </w:r>
          </w:p>
        </w:tc>
        <w:tc>
          <w:tcPr>
            <w:tcW w:w="768" w:type="dxa"/>
          </w:tcPr>
          <w:p>
            <w:pPr>
              <w:pStyle w:val="TableParagraph"/>
              <w:spacing w:line="221" w:lineRule="exact" w:before="43"/>
              <w:ind w:left="196" w:right="181"/>
              <w:rPr>
                <w:rFonts w:ascii="Times New Roman"/>
                <w:sz w:val="21"/>
              </w:rPr>
            </w:pPr>
            <w:r>
              <w:rPr>
                <w:rFonts w:ascii="Times New Roman"/>
                <w:sz w:val="21"/>
              </w:rPr>
              <w:t>3.1</w:t>
            </w:r>
          </w:p>
        </w:tc>
        <w:tc>
          <w:tcPr>
            <w:tcW w:w="768" w:type="dxa"/>
          </w:tcPr>
          <w:p>
            <w:pPr>
              <w:pStyle w:val="TableParagraph"/>
              <w:spacing w:line="221" w:lineRule="exact" w:before="43"/>
              <w:ind w:left="196" w:right="181"/>
              <w:rPr>
                <w:rFonts w:ascii="Times New Roman"/>
                <w:sz w:val="21"/>
              </w:rPr>
            </w:pPr>
            <w:r>
              <w:rPr>
                <w:rFonts w:ascii="Times New Roman"/>
                <w:sz w:val="21"/>
              </w:rPr>
              <w:t>7.7</w:t>
            </w:r>
          </w:p>
        </w:tc>
        <w:tc>
          <w:tcPr>
            <w:tcW w:w="769" w:type="dxa"/>
          </w:tcPr>
          <w:p>
            <w:pPr>
              <w:pStyle w:val="TableParagraph"/>
              <w:spacing w:line="221" w:lineRule="exact" w:before="43"/>
              <w:ind w:left="43" w:right="29"/>
              <w:rPr>
                <w:rFonts w:ascii="Times New Roman"/>
                <w:sz w:val="21"/>
              </w:rPr>
            </w:pPr>
            <w:r>
              <w:rPr>
                <w:rFonts w:ascii="Times New Roman"/>
                <w:sz w:val="21"/>
              </w:rPr>
              <w:t>8.2</w:t>
            </w:r>
          </w:p>
        </w:tc>
        <w:tc>
          <w:tcPr>
            <w:tcW w:w="766" w:type="dxa"/>
          </w:tcPr>
          <w:p>
            <w:pPr>
              <w:pStyle w:val="TableParagraph"/>
              <w:spacing w:line="221" w:lineRule="exact" w:before="43"/>
              <w:ind w:left="177" w:right="161"/>
              <w:rPr>
                <w:rFonts w:ascii="Times New Roman"/>
                <w:sz w:val="21"/>
              </w:rPr>
            </w:pPr>
            <w:r>
              <w:rPr>
                <w:rFonts w:ascii="Times New Roman"/>
                <w:sz w:val="21"/>
              </w:rPr>
              <w:t>8.2</w:t>
            </w:r>
          </w:p>
        </w:tc>
        <w:tc>
          <w:tcPr>
            <w:tcW w:w="768" w:type="dxa"/>
          </w:tcPr>
          <w:p>
            <w:pPr>
              <w:pStyle w:val="TableParagraph"/>
              <w:spacing w:line="221" w:lineRule="exact" w:before="43"/>
              <w:ind w:left="196" w:right="178"/>
              <w:rPr>
                <w:rFonts w:ascii="Times New Roman"/>
                <w:sz w:val="21"/>
              </w:rPr>
            </w:pPr>
            <w:r>
              <w:rPr>
                <w:rFonts w:ascii="Times New Roman"/>
                <w:sz w:val="21"/>
              </w:rPr>
              <w:t>3.5</w:t>
            </w:r>
          </w:p>
        </w:tc>
        <w:tc>
          <w:tcPr>
            <w:tcW w:w="766" w:type="dxa"/>
          </w:tcPr>
          <w:p>
            <w:pPr>
              <w:pStyle w:val="TableParagraph"/>
              <w:spacing w:line="221" w:lineRule="exact" w:before="43"/>
              <w:ind w:left="177" w:right="157"/>
              <w:rPr>
                <w:rFonts w:ascii="Times New Roman"/>
                <w:sz w:val="21"/>
              </w:rPr>
            </w:pPr>
            <w:r>
              <w:rPr>
                <w:rFonts w:ascii="Times New Roman"/>
                <w:sz w:val="21"/>
              </w:rPr>
              <w:t>5.8</w:t>
            </w:r>
          </w:p>
        </w:tc>
        <w:tc>
          <w:tcPr>
            <w:tcW w:w="768" w:type="dxa"/>
          </w:tcPr>
          <w:p>
            <w:pPr>
              <w:pStyle w:val="TableParagraph"/>
              <w:spacing w:line="221" w:lineRule="exact" w:before="43"/>
              <w:ind w:left="146" w:right="129"/>
              <w:rPr>
                <w:rFonts w:ascii="Times New Roman"/>
                <w:sz w:val="21"/>
              </w:rPr>
            </w:pPr>
            <w:r>
              <w:rPr>
                <w:rFonts w:ascii="Times New Roman"/>
                <w:sz w:val="21"/>
              </w:rPr>
              <w:t>10.3</w:t>
            </w:r>
          </w:p>
        </w:tc>
        <w:tc>
          <w:tcPr>
            <w:tcW w:w="768" w:type="dxa"/>
          </w:tcPr>
          <w:p>
            <w:pPr>
              <w:pStyle w:val="TableParagraph"/>
              <w:spacing w:line="221" w:lineRule="exact" w:before="43"/>
              <w:ind w:left="146" w:right="129"/>
              <w:rPr>
                <w:rFonts w:ascii="Times New Roman"/>
                <w:sz w:val="21"/>
              </w:rPr>
            </w:pPr>
            <w:r>
              <w:rPr>
                <w:rFonts w:ascii="Times New Roman"/>
                <w:sz w:val="21"/>
              </w:rPr>
              <w:t>12.0</w:t>
            </w:r>
          </w:p>
        </w:tc>
        <w:tc>
          <w:tcPr>
            <w:tcW w:w="765" w:type="dxa"/>
          </w:tcPr>
          <w:p>
            <w:pPr>
              <w:pStyle w:val="TableParagraph"/>
              <w:spacing w:line="221" w:lineRule="exact" w:before="43"/>
              <w:ind w:left="79" w:right="63"/>
              <w:rPr>
                <w:rFonts w:ascii="Times New Roman"/>
                <w:sz w:val="21"/>
              </w:rPr>
            </w:pPr>
            <w:r>
              <w:rPr>
                <w:rFonts w:ascii="Times New Roman"/>
                <w:sz w:val="21"/>
              </w:rPr>
              <w:t>8.2</w:t>
            </w:r>
          </w:p>
        </w:tc>
        <w:tc>
          <w:tcPr>
            <w:tcW w:w="767" w:type="dxa"/>
          </w:tcPr>
          <w:p>
            <w:pPr>
              <w:pStyle w:val="TableParagraph"/>
              <w:spacing w:line="221" w:lineRule="exact" w:before="43"/>
              <w:ind w:left="107" w:right="87"/>
              <w:rPr>
                <w:rFonts w:ascii="Times New Roman"/>
                <w:sz w:val="21"/>
              </w:rPr>
            </w:pPr>
            <w:r>
              <w:rPr>
                <w:rFonts w:ascii="Times New Roman"/>
                <w:sz w:val="21"/>
              </w:rPr>
              <w:t>5.6</w:t>
            </w:r>
          </w:p>
        </w:tc>
        <w:tc>
          <w:tcPr>
            <w:tcW w:w="765" w:type="dxa"/>
          </w:tcPr>
          <w:p>
            <w:pPr>
              <w:pStyle w:val="TableParagraph"/>
              <w:spacing w:line="221" w:lineRule="exact" w:before="43"/>
              <w:ind w:left="82" w:right="63"/>
              <w:rPr>
                <w:rFonts w:ascii="Times New Roman"/>
                <w:sz w:val="21"/>
              </w:rPr>
            </w:pPr>
            <w:r>
              <w:rPr>
                <w:rFonts w:ascii="Times New Roman"/>
                <w:sz w:val="21"/>
              </w:rPr>
              <w:t>3.6</w:t>
            </w:r>
          </w:p>
        </w:tc>
        <w:tc>
          <w:tcPr>
            <w:tcW w:w="767" w:type="dxa"/>
          </w:tcPr>
          <w:p>
            <w:pPr>
              <w:pStyle w:val="TableParagraph"/>
              <w:spacing w:line="221" w:lineRule="exact" w:before="43"/>
              <w:ind w:left="253"/>
              <w:jc w:val="left"/>
              <w:rPr>
                <w:rFonts w:ascii="Times New Roman"/>
                <w:sz w:val="21"/>
              </w:rPr>
            </w:pPr>
            <w:r>
              <w:rPr>
                <w:rFonts w:ascii="Times New Roman"/>
                <w:sz w:val="21"/>
              </w:rPr>
              <w:t>3.1</w:t>
            </w:r>
          </w:p>
        </w:tc>
        <w:tc>
          <w:tcPr>
            <w:tcW w:w="765" w:type="dxa"/>
          </w:tcPr>
          <w:p>
            <w:pPr>
              <w:pStyle w:val="TableParagraph"/>
              <w:spacing w:line="221" w:lineRule="exact" w:before="43"/>
              <w:ind w:left="90" w:right="63"/>
              <w:rPr>
                <w:rFonts w:ascii="Times New Roman"/>
                <w:sz w:val="21"/>
              </w:rPr>
            </w:pPr>
            <w:r>
              <w:rPr>
                <w:rFonts w:ascii="Times New Roman"/>
                <w:sz w:val="21"/>
              </w:rPr>
              <w:t>1.9</w:t>
            </w:r>
          </w:p>
        </w:tc>
        <w:tc>
          <w:tcPr>
            <w:tcW w:w="767" w:type="dxa"/>
          </w:tcPr>
          <w:p>
            <w:pPr>
              <w:pStyle w:val="TableParagraph"/>
              <w:spacing w:line="221" w:lineRule="exact" w:before="43"/>
              <w:ind w:left="115" w:right="87"/>
              <w:rPr>
                <w:rFonts w:ascii="Times New Roman"/>
                <w:sz w:val="21"/>
              </w:rPr>
            </w:pPr>
            <w:r>
              <w:rPr>
                <w:rFonts w:ascii="Times New Roman"/>
                <w:sz w:val="21"/>
              </w:rPr>
              <w:t>1.3</w:t>
            </w:r>
          </w:p>
        </w:tc>
        <w:tc>
          <w:tcPr>
            <w:tcW w:w="767" w:type="dxa"/>
          </w:tcPr>
          <w:p>
            <w:pPr>
              <w:pStyle w:val="TableParagraph"/>
              <w:spacing w:line="221" w:lineRule="exact" w:before="43"/>
              <w:ind w:left="117" w:right="87"/>
              <w:rPr>
                <w:rFonts w:ascii="Times New Roman"/>
                <w:sz w:val="21"/>
              </w:rPr>
            </w:pPr>
            <w:r>
              <w:rPr>
                <w:rFonts w:ascii="Times New Roman"/>
                <w:sz w:val="21"/>
              </w:rPr>
              <w:t>4.0</w:t>
            </w:r>
          </w:p>
        </w:tc>
        <w:tc>
          <w:tcPr>
            <w:tcW w:w="765" w:type="dxa"/>
          </w:tcPr>
          <w:p>
            <w:pPr>
              <w:pStyle w:val="TableParagraph"/>
              <w:spacing w:line="221" w:lineRule="exact" w:before="43"/>
              <w:ind w:left="255"/>
              <w:jc w:val="left"/>
              <w:rPr>
                <w:rFonts w:ascii="Times New Roman"/>
                <w:sz w:val="21"/>
              </w:rPr>
            </w:pPr>
            <w:r>
              <w:rPr>
                <w:rFonts w:ascii="Times New Roman"/>
                <w:sz w:val="21"/>
              </w:rPr>
              <w:t>6.0</w:t>
            </w:r>
          </w:p>
        </w:tc>
      </w:tr>
      <w:tr>
        <w:trPr>
          <w:trHeight w:val="282" w:hRule="atLeast"/>
        </w:trPr>
        <w:tc>
          <w:tcPr>
            <w:tcW w:w="1176" w:type="dxa"/>
          </w:tcPr>
          <w:p>
            <w:pPr>
              <w:pStyle w:val="TableParagraph"/>
              <w:spacing w:line="250" w:lineRule="exact" w:before="13"/>
              <w:ind w:left="252" w:right="233"/>
              <w:rPr>
                <w:sz w:val="21"/>
              </w:rPr>
            </w:pPr>
            <w:r>
              <w:rPr>
                <w:sz w:val="21"/>
              </w:rPr>
              <w:t>八月</w:t>
            </w:r>
          </w:p>
        </w:tc>
        <w:tc>
          <w:tcPr>
            <w:tcW w:w="768" w:type="dxa"/>
          </w:tcPr>
          <w:p>
            <w:pPr>
              <w:pStyle w:val="TableParagraph"/>
              <w:spacing w:line="221" w:lineRule="exact" w:before="41"/>
              <w:ind w:left="196" w:right="181"/>
              <w:rPr>
                <w:rFonts w:ascii="Times New Roman"/>
                <w:sz w:val="21"/>
              </w:rPr>
            </w:pPr>
            <w:r>
              <w:rPr>
                <w:rFonts w:ascii="Times New Roman"/>
                <w:sz w:val="21"/>
              </w:rPr>
              <w:t>1.6</w:t>
            </w:r>
          </w:p>
        </w:tc>
        <w:tc>
          <w:tcPr>
            <w:tcW w:w="768" w:type="dxa"/>
          </w:tcPr>
          <w:p>
            <w:pPr>
              <w:pStyle w:val="TableParagraph"/>
              <w:spacing w:line="221" w:lineRule="exact" w:before="41"/>
              <w:ind w:left="196" w:right="181"/>
              <w:rPr>
                <w:rFonts w:ascii="Times New Roman"/>
                <w:sz w:val="21"/>
              </w:rPr>
            </w:pPr>
            <w:r>
              <w:rPr>
                <w:rFonts w:ascii="Times New Roman"/>
                <w:sz w:val="21"/>
              </w:rPr>
              <w:t>1.2</w:t>
            </w:r>
          </w:p>
        </w:tc>
        <w:tc>
          <w:tcPr>
            <w:tcW w:w="768" w:type="dxa"/>
          </w:tcPr>
          <w:p>
            <w:pPr>
              <w:pStyle w:val="TableParagraph"/>
              <w:spacing w:line="221" w:lineRule="exact" w:before="41"/>
              <w:ind w:left="196" w:right="181"/>
              <w:rPr>
                <w:rFonts w:ascii="Times New Roman"/>
                <w:sz w:val="21"/>
              </w:rPr>
            </w:pPr>
            <w:r>
              <w:rPr>
                <w:rFonts w:ascii="Times New Roman"/>
                <w:sz w:val="21"/>
              </w:rPr>
              <w:t>3.9</w:t>
            </w:r>
          </w:p>
        </w:tc>
        <w:tc>
          <w:tcPr>
            <w:tcW w:w="769" w:type="dxa"/>
          </w:tcPr>
          <w:p>
            <w:pPr>
              <w:pStyle w:val="TableParagraph"/>
              <w:spacing w:line="221" w:lineRule="exact" w:before="41"/>
              <w:ind w:left="43" w:right="29"/>
              <w:rPr>
                <w:rFonts w:ascii="Times New Roman"/>
                <w:sz w:val="21"/>
              </w:rPr>
            </w:pPr>
            <w:r>
              <w:rPr>
                <w:rFonts w:ascii="Times New Roman"/>
                <w:sz w:val="21"/>
              </w:rPr>
              <w:t>6.3</w:t>
            </w:r>
          </w:p>
        </w:tc>
        <w:tc>
          <w:tcPr>
            <w:tcW w:w="766" w:type="dxa"/>
          </w:tcPr>
          <w:p>
            <w:pPr>
              <w:pStyle w:val="TableParagraph"/>
              <w:spacing w:line="221" w:lineRule="exact" w:before="41"/>
              <w:ind w:left="177" w:right="161"/>
              <w:rPr>
                <w:rFonts w:ascii="Times New Roman"/>
                <w:sz w:val="21"/>
              </w:rPr>
            </w:pPr>
            <w:r>
              <w:rPr>
                <w:rFonts w:ascii="Times New Roman"/>
                <w:sz w:val="21"/>
              </w:rPr>
              <w:t>3.0</w:t>
            </w:r>
          </w:p>
        </w:tc>
        <w:tc>
          <w:tcPr>
            <w:tcW w:w="768" w:type="dxa"/>
          </w:tcPr>
          <w:p>
            <w:pPr>
              <w:pStyle w:val="TableParagraph"/>
              <w:spacing w:line="221" w:lineRule="exact" w:before="41"/>
              <w:ind w:left="196" w:right="178"/>
              <w:rPr>
                <w:rFonts w:ascii="Times New Roman"/>
                <w:sz w:val="21"/>
              </w:rPr>
            </w:pPr>
            <w:r>
              <w:rPr>
                <w:rFonts w:ascii="Times New Roman"/>
                <w:sz w:val="21"/>
              </w:rPr>
              <w:t>3.0</w:t>
            </w:r>
          </w:p>
        </w:tc>
        <w:tc>
          <w:tcPr>
            <w:tcW w:w="766" w:type="dxa"/>
          </w:tcPr>
          <w:p>
            <w:pPr>
              <w:pStyle w:val="TableParagraph"/>
              <w:spacing w:line="221" w:lineRule="exact" w:before="41"/>
              <w:ind w:left="177" w:right="157"/>
              <w:rPr>
                <w:rFonts w:ascii="Times New Roman"/>
                <w:sz w:val="21"/>
              </w:rPr>
            </w:pPr>
            <w:r>
              <w:rPr>
                <w:rFonts w:ascii="Times New Roman"/>
                <w:sz w:val="21"/>
              </w:rPr>
              <w:t>7.8</w:t>
            </w:r>
          </w:p>
        </w:tc>
        <w:tc>
          <w:tcPr>
            <w:tcW w:w="768" w:type="dxa"/>
          </w:tcPr>
          <w:p>
            <w:pPr>
              <w:pStyle w:val="TableParagraph"/>
              <w:spacing w:line="221" w:lineRule="exact" w:before="41"/>
              <w:ind w:left="146" w:right="129"/>
              <w:rPr>
                <w:rFonts w:ascii="Times New Roman"/>
                <w:sz w:val="21"/>
              </w:rPr>
            </w:pPr>
            <w:r>
              <w:rPr>
                <w:rFonts w:ascii="Times New Roman"/>
                <w:sz w:val="21"/>
              </w:rPr>
              <w:t>24.5</w:t>
            </w:r>
          </w:p>
        </w:tc>
        <w:tc>
          <w:tcPr>
            <w:tcW w:w="768" w:type="dxa"/>
          </w:tcPr>
          <w:p>
            <w:pPr>
              <w:pStyle w:val="TableParagraph"/>
              <w:spacing w:line="221" w:lineRule="exact" w:before="41"/>
              <w:ind w:left="146" w:right="129"/>
              <w:rPr>
                <w:rFonts w:ascii="Times New Roman"/>
                <w:sz w:val="21"/>
              </w:rPr>
            </w:pPr>
            <w:r>
              <w:rPr>
                <w:rFonts w:ascii="Times New Roman"/>
                <w:sz w:val="21"/>
              </w:rPr>
              <w:t>25.1</w:t>
            </w:r>
          </w:p>
        </w:tc>
        <w:tc>
          <w:tcPr>
            <w:tcW w:w="765" w:type="dxa"/>
          </w:tcPr>
          <w:p>
            <w:pPr>
              <w:pStyle w:val="TableParagraph"/>
              <w:spacing w:line="221" w:lineRule="exact" w:before="41"/>
              <w:ind w:left="79" w:right="63"/>
              <w:rPr>
                <w:rFonts w:ascii="Times New Roman"/>
                <w:sz w:val="21"/>
              </w:rPr>
            </w:pPr>
            <w:r>
              <w:rPr>
                <w:rFonts w:ascii="Times New Roman"/>
                <w:sz w:val="21"/>
              </w:rPr>
              <w:t>8.1</w:t>
            </w:r>
          </w:p>
        </w:tc>
        <w:tc>
          <w:tcPr>
            <w:tcW w:w="767" w:type="dxa"/>
          </w:tcPr>
          <w:p>
            <w:pPr>
              <w:pStyle w:val="TableParagraph"/>
              <w:spacing w:line="221" w:lineRule="exact" w:before="41"/>
              <w:ind w:left="107" w:right="87"/>
              <w:rPr>
                <w:rFonts w:ascii="Times New Roman"/>
                <w:sz w:val="21"/>
              </w:rPr>
            </w:pPr>
            <w:r>
              <w:rPr>
                <w:rFonts w:ascii="Times New Roman"/>
                <w:sz w:val="21"/>
              </w:rPr>
              <w:t>5.4</w:t>
            </w:r>
          </w:p>
        </w:tc>
        <w:tc>
          <w:tcPr>
            <w:tcW w:w="765" w:type="dxa"/>
          </w:tcPr>
          <w:p>
            <w:pPr>
              <w:pStyle w:val="TableParagraph"/>
              <w:spacing w:line="221" w:lineRule="exact" w:before="41"/>
              <w:ind w:left="82" w:right="63"/>
              <w:rPr>
                <w:rFonts w:ascii="Times New Roman"/>
                <w:sz w:val="21"/>
              </w:rPr>
            </w:pPr>
            <w:r>
              <w:rPr>
                <w:rFonts w:ascii="Times New Roman"/>
                <w:sz w:val="21"/>
              </w:rPr>
              <w:t>3.4</w:t>
            </w:r>
          </w:p>
        </w:tc>
        <w:tc>
          <w:tcPr>
            <w:tcW w:w="767" w:type="dxa"/>
          </w:tcPr>
          <w:p>
            <w:pPr>
              <w:pStyle w:val="TableParagraph"/>
              <w:spacing w:line="221" w:lineRule="exact" w:before="41"/>
              <w:ind w:left="253"/>
              <w:jc w:val="left"/>
              <w:rPr>
                <w:rFonts w:ascii="Times New Roman"/>
                <w:sz w:val="21"/>
              </w:rPr>
            </w:pPr>
            <w:r>
              <w:rPr>
                <w:rFonts w:ascii="Times New Roman"/>
                <w:sz w:val="21"/>
              </w:rPr>
              <w:t>2.0</w:t>
            </w:r>
          </w:p>
        </w:tc>
        <w:tc>
          <w:tcPr>
            <w:tcW w:w="765" w:type="dxa"/>
          </w:tcPr>
          <w:p>
            <w:pPr>
              <w:pStyle w:val="TableParagraph"/>
              <w:spacing w:line="221" w:lineRule="exact" w:before="41"/>
              <w:ind w:left="90" w:right="63"/>
              <w:rPr>
                <w:rFonts w:ascii="Times New Roman"/>
                <w:sz w:val="21"/>
              </w:rPr>
            </w:pPr>
            <w:r>
              <w:rPr>
                <w:rFonts w:ascii="Times New Roman"/>
                <w:sz w:val="21"/>
              </w:rPr>
              <w:t>1.2</w:t>
            </w:r>
          </w:p>
        </w:tc>
        <w:tc>
          <w:tcPr>
            <w:tcW w:w="767" w:type="dxa"/>
          </w:tcPr>
          <w:p>
            <w:pPr>
              <w:pStyle w:val="TableParagraph"/>
              <w:spacing w:line="221" w:lineRule="exact" w:before="41"/>
              <w:ind w:left="115" w:right="87"/>
              <w:rPr>
                <w:rFonts w:ascii="Times New Roman"/>
                <w:sz w:val="21"/>
              </w:rPr>
            </w:pPr>
            <w:r>
              <w:rPr>
                <w:rFonts w:ascii="Times New Roman"/>
                <w:sz w:val="21"/>
              </w:rPr>
              <w:t>1.1</w:t>
            </w:r>
          </w:p>
        </w:tc>
        <w:tc>
          <w:tcPr>
            <w:tcW w:w="767" w:type="dxa"/>
          </w:tcPr>
          <w:p>
            <w:pPr>
              <w:pStyle w:val="TableParagraph"/>
              <w:spacing w:line="221" w:lineRule="exact" w:before="41"/>
              <w:ind w:left="117" w:right="87"/>
              <w:rPr>
                <w:rFonts w:ascii="Times New Roman"/>
                <w:sz w:val="21"/>
              </w:rPr>
            </w:pPr>
            <w:r>
              <w:rPr>
                <w:rFonts w:ascii="Times New Roman"/>
                <w:sz w:val="21"/>
              </w:rPr>
              <w:t>2.0</w:t>
            </w:r>
          </w:p>
        </w:tc>
        <w:tc>
          <w:tcPr>
            <w:tcW w:w="765" w:type="dxa"/>
          </w:tcPr>
          <w:p>
            <w:pPr>
              <w:pStyle w:val="TableParagraph"/>
              <w:spacing w:line="221" w:lineRule="exact" w:before="41"/>
              <w:ind w:left="255"/>
              <w:jc w:val="left"/>
              <w:rPr>
                <w:rFonts w:ascii="Times New Roman"/>
                <w:sz w:val="21"/>
              </w:rPr>
            </w:pPr>
            <w:r>
              <w:rPr>
                <w:rFonts w:ascii="Times New Roman"/>
                <w:sz w:val="21"/>
              </w:rPr>
              <w:t>0.5</w:t>
            </w:r>
          </w:p>
        </w:tc>
      </w:tr>
      <w:tr>
        <w:trPr>
          <w:trHeight w:val="284" w:hRule="atLeast"/>
        </w:trPr>
        <w:tc>
          <w:tcPr>
            <w:tcW w:w="1176" w:type="dxa"/>
          </w:tcPr>
          <w:p>
            <w:pPr>
              <w:pStyle w:val="TableParagraph"/>
              <w:spacing w:line="250" w:lineRule="exact" w:before="15"/>
              <w:ind w:left="252" w:right="233"/>
              <w:rPr>
                <w:sz w:val="21"/>
              </w:rPr>
            </w:pPr>
            <w:r>
              <w:rPr>
                <w:sz w:val="21"/>
              </w:rPr>
              <w:t>九月</w:t>
            </w:r>
          </w:p>
        </w:tc>
        <w:tc>
          <w:tcPr>
            <w:tcW w:w="768" w:type="dxa"/>
          </w:tcPr>
          <w:p>
            <w:pPr>
              <w:pStyle w:val="TableParagraph"/>
              <w:spacing w:line="221" w:lineRule="exact" w:before="43"/>
              <w:ind w:left="196" w:right="181"/>
              <w:rPr>
                <w:rFonts w:ascii="Times New Roman"/>
                <w:sz w:val="21"/>
              </w:rPr>
            </w:pPr>
            <w:r>
              <w:rPr>
                <w:rFonts w:ascii="Times New Roman"/>
                <w:sz w:val="21"/>
              </w:rPr>
              <w:t>7.9</w:t>
            </w:r>
          </w:p>
        </w:tc>
        <w:tc>
          <w:tcPr>
            <w:tcW w:w="768" w:type="dxa"/>
          </w:tcPr>
          <w:p>
            <w:pPr>
              <w:pStyle w:val="TableParagraph"/>
              <w:spacing w:line="221" w:lineRule="exact" w:before="43"/>
              <w:ind w:left="196" w:right="181"/>
              <w:rPr>
                <w:rFonts w:ascii="Times New Roman"/>
                <w:sz w:val="21"/>
              </w:rPr>
            </w:pPr>
            <w:r>
              <w:rPr>
                <w:rFonts w:ascii="Times New Roman"/>
                <w:sz w:val="21"/>
              </w:rPr>
              <w:t>3.3</w:t>
            </w:r>
          </w:p>
        </w:tc>
        <w:tc>
          <w:tcPr>
            <w:tcW w:w="768" w:type="dxa"/>
          </w:tcPr>
          <w:p>
            <w:pPr>
              <w:pStyle w:val="TableParagraph"/>
              <w:spacing w:line="221" w:lineRule="exact" w:before="43"/>
              <w:ind w:left="196" w:right="181"/>
              <w:rPr>
                <w:rFonts w:ascii="Times New Roman"/>
                <w:sz w:val="21"/>
              </w:rPr>
            </w:pPr>
            <w:r>
              <w:rPr>
                <w:rFonts w:ascii="Times New Roman"/>
                <w:sz w:val="21"/>
              </w:rPr>
              <w:t>4.9</w:t>
            </w:r>
          </w:p>
        </w:tc>
        <w:tc>
          <w:tcPr>
            <w:tcW w:w="769" w:type="dxa"/>
          </w:tcPr>
          <w:p>
            <w:pPr>
              <w:pStyle w:val="TableParagraph"/>
              <w:spacing w:line="221" w:lineRule="exact" w:before="43"/>
              <w:ind w:left="43" w:right="29"/>
              <w:rPr>
                <w:rFonts w:ascii="Times New Roman"/>
                <w:sz w:val="21"/>
              </w:rPr>
            </w:pPr>
            <w:r>
              <w:rPr>
                <w:rFonts w:ascii="Times New Roman"/>
                <w:sz w:val="21"/>
              </w:rPr>
              <w:t>6.5</w:t>
            </w:r>
          </w:p>
        </w:tc>
        <w:tc>
          <w:tcPr>
            <w:tcW w:w="766" w:type="dxa"/>
          </w:tcPr>
          <w:p>
            <w:pPr>
              <w:pStyle w:val="TableParagraph"/>
              <w:spacing w:line="221" w:lineRule="exact" w:before="43"/>
              <w:ind w:left="177" w:right="161"/>
              <w:rPr>
                <w:rFonts w:ascii="Times New Roman"/>
                <w:sz w:val="21"/>
              </w:rPr>
            </w:pPr>
            <w:r>
              <w:rPr>
                <w:rFonts w:ascii="Times New Roman"/>
                <w:sz w:val="21"/>
              </w:rPr>
              <w:t>4.2</w:t>
            </w:r>
          </w:p>
        </w:tc>
        <w:tc>
          <w:tcPr>
            <w:tcW w:w="768" w:type="dxa"/>
          </w:tcPr>
          <w:p>
            <w:pPr>
              <w:pStyle w:val="TableParagraph"/>
              <w:spacing w:line="221" w:lineRule="exact" w:before="43"/>
              <w:ind w:left="196" w:right="178"/>
              <w:rPr>
                <w:rFonts w:ascii="Times New Roman"/>
                <w:sz w:val="21"/>
              </w:rPr>
            </w:pPr>
            <w:r>
              <w:rPr>
                <w:rFonts w:ascii="Times New Roman"/>
                <w:sz w:val="21"/>
              </w:rPr>
              <w:t>3.1</w:t>
            </w:r>
          </w:p>
        </w:tc>
        <w:tc>
          <w:tcPr>
            <w:tcW w:w="766" w:type="dxa"/>
          </w:tcPr>
          <w:p>
            <w:pPr>
              <w:pStyle w:val="TableParagraph"/>
              <w:spacing w:line="221" w:lineRule="exact" w:before="43"/>
              <w:ind w:left="177" w:right="157"/>
              <w:rPr>
                <w:rFonts w:ascii="Times New Roman"/>
                <w:sz w:val="21"/>
              </w:rPr>
            </w:pPr>
            <w:r>
              <w:rPr>
                <w:rFonts w:ascii="Times New Roman"/>
                <w:sz w:val="21"/>
              </w:rPr>
              <w:t>6.7</w:t>
            </w:r>
          </w:p>
        </w:tc>
        <w:tc>
          <w:tcPr>
            <w:tcW w:w="768" w:type="dxa"/>
          </w:tcPr>
          <w:p>
            <w:pPr>
              <w:pStyle w:val="TableParagraph"/>
              <w:spacing w:line="221" w:lineRule="exact" w:before="43"/>
              <w:ind w:left="196" w:right="179"/>
              <w:rPr>
                <w:rFonts w:ascii="Times New Roman"/>
                <w:sz w:val="21"/>
              </w:rPr>
            </w:pPr>
            <w:r>
              <w:rPr>
                <w:rFonts w:ascii="Times New Roman"/>
                <w:sz w:val="21"/>
              </w:rPr>
              <w:t>8.3</w:t>
            </w:r>
          </w:p>
        </w:tc>
        <w:tc>
          <w:tcPr>
            <w:tcW w:w="768" w:type="dxa"/>
          </w:tcPr>
          <w:p>
            <w:pPr>
              <w:pStyle w:val="TableParagraph"/>
              <w:spacing w:line="221" w:lineRule="exact" w:before="43"/>
              <w:ind w:left="196" w:right="179"/>
              <w:rPr>
                <w:rFonts w:ascii="Times New Roman"/>
                <w:sz w:val="21"/>
              </w:rPr>
            </w:pPr>
            <w:r>
              <w:rPr>
                <w:rFonts w:ascii="Times New Roman"/>
                <w:sz w:val="21"/>
              </w:rPr>
              <w:t>5.6</w:t>
            </w:r>
          </w:p>
        </w:tc>
        <w:tc>
          <w:tcPr>
            <w:tcW w:w="765" w:type="dxa"/>
          </w:tcPr>
          <w:p>
            <w:pPr>
              <w:pStyle w:val="TableParagraph"/>
              <w:spacing w:line="221" w:lineRule="exact" w:before="43"/>
              <w:ind w:left="79" w:right="63"/>
              <w:rPr>
                <w:rFonts w:ascii="Times New Roman"/>
                <w:sz w:val="21"/>
              </w:rPr>
            </w:pPr>
            <w:r>
              <w:rPr>
                <w:rFonts w:ascii="Times New Roman"/>
                <w:sz w:val="21"/>
              </w:rPr>
              <w:t>6.7</w:t>
            </w:r>
          </w:p>
        </w:tc>
        <w:tc>
          <w:tcPr>
            <w:tcW w:w="767" w:type="dxa"/>
          </w:tcPr>
          <w:p>
            <w:pPr>
              <w:pStyle w:val="TableParagraph"/>
              <w:spacing w:line="221" w:lineRule="exact" w:before="43"/>
              <w:ind w:left="107" w:right="87"/>
              <w:rPr>
                <w:rFonts w:ascii="Times New Roman"/>
                <w:sz w:val="21"/>
              </w:rPr>
            </w:pPr>
            <w:r>
              <w:rPr>
                <w:rFonts w:ascii="Times New Roman"/>
                <w:sz w:val="21"/>
              </w:rPr>
              <w:t>5.4</w:t>
            </w:r>
          </w:p>
        </w:tc>
        <w:tc>
          <w:tcPr>
            <w:tcW w:w="765" w:type="dxa"/>
          </w:tcPr>
          <w:p>
            <w:pPr>
              <w:pStyle w:val="TableParagraph"/>
              <w:spacing w:line="221" w:lineRule="exact" w:before="43"/>
              <w:ind w:left="82" w:right="63"/>
              <w:rPr>
                <w:rFonts w:ascii="Times New Roman"/>
                <w:sz w:val="21"/>
              </w:rPr>
            </w:pPr>
            <w:r>
              <w:rPr>
                <w:rFonts w:ascii="Times New Roman"/>
                <w:sz w:val="21"/>
              </w:rPr>
              <w:t>4.2</w:t>
            </w:r>
          </w:p>
        </w:tc>
        <w:tc>
          <w:tcPr>
            <w:tcW w:w="767" w:type="dxa"/>
          </w:tcPr>
          <w:p>
            <w:pPr>
              <w:pStyle w:val="TableParagraph"/>
              <w:spacing w:line="221" w:lineRule="exact" w:before="43"/>
              <w:ind w:left="253"/>
              <w:jc w:val="left"/>
              <w:rPr>
                <w:rFonts w:ascii="Times New Roman"/>
                <w:sz w:val="21"/>
              </w:rPr>
            </w:pPr>
            <w:r>
              <w:rPr>
                <w:rFonts w:ascii="Times New Roman"/>
                <w:sz w:val="21"/>
              </w:rPr>
              <w:t>5.6</w:t>
            </w:r>
          </w:p>
        </w:tc>
        <w:tc>
          <w:tcPr>
            <w:tcW w:w="765" w:type="dxa"/>
          </w:tcPr>
          <w:p>
            <w:pPr>
              <w:pStyle w:val="TableParagraph"/>
              <w:spacing w:line="221" w:lineRule="exact" w:before="43"/>
              <w:ind w:left="90" w:right="63"/>
              <w:rPr>
                <w:rFonts w:ascii="Times New Roman"/>
                <w:sz w:val="21"/>
              </w:rPr>
            </w:pPr>
            <w:r>
              <w:rPr>
                <w:rFonts w:ascii="Times New Roman"/>
                <w:sz w:val="21"/>
              </w:rPr>
              <w:t>6.8</w:t>
            </w:r>
          </w:p>
        </w:tc>
        <w:tc>
          <w:tcPr>
            <w:tcW w:w="767" w:type="dxa"/>
          </w:tcPr>
          <w:p>
            <w:pPr>
              <w:pStyle w:val="TableParagraph"/>
              <w:spacing w:line="221" w:lineRule="exact" w:before="43"/>
              <w:ind w:left="115" w:right="87"/>
              <w:rPr>
                <w:rFonts w:ascii="Times New Roman"/>
                <w:sz w:val="21"/>
              </w:rPr>
            </w:pPr>
            <w:r>
              <w:rPr>
                <w:rFonts w:ascii="Times New Roman"/>
                <w:sz w:val="21"/>
              </w:rPr>
              <w:t>5.7</w:t>
            </w:r>
          </w:p>
        </w:tc>
        <w:tc>
          <w:tcPr>
            <w:tcW w:w="767" w:type="dxa"/>
          </w:tcPr>
          <w:p>
            <w:pPr>
              <w:pStyle w:val="TableParagraph"/>
              <w:spacing w:line="221" w:lineRule="exact" w:before="43"/>
              <w:ind w:left="117" w:right="87"/>
              <w:rPr>
                <w:rFonts w:ascii="Times New Roman"/>
                <w:sz w:val="21"/>
              </w:rPr>
            </w:pPr>
            <w:r>
              <w:rPr>
                <w:rFonts w:ascii="Times New Roman"/>
                <w:sz w:val="21"/>
              </w:rPr>
              <w:t>10.7</w:t>
            </w:r>
          </w:p>
        </w:tc>
        <w:tc>
          <w:tcPr>
            <w:tcW w:w="765" w:type="dxa"/>
          </w:tcPr>
          <w:p>
            <w:pPr>
              <w:pStyle w:val="TableParagraph"/>
              <w:spacing w:line="221" w:lineRule="exact" w:before="43"/>
              <w:ind w:left="255"/>
              <w:jc w:val="left"/>
              <w:rPr>
                <w:rFonts w:ascii="Times New Roman"/>
                <w:sz w:val="21"/>
              </w:rPr>
            </w:pPr>
            <w:r>
              <w:rPr>
                <w:rFonts w:ascii="Times New Roman"/>
                <w:sz w:val="21"/>
              </w:rPr>
              <w:t>4.6</w:t>
            </w:r>
          </w:p>
        </w:tc>
      </w:tr>
      <w:tr>
        <w:trPr>
          <w:trHeight w:val="284" w:hRule="atLeast"/>
        </w:trPr>
        <w:tc>
          <w:tcPr>
            <w:tcW w:w="1176" w:type="dxa"/>
          </w:tcPr>
          <w:p>
            <w:pPr>
              <w:pStyle w:val="TableParagraph"/>
              <w:spacing w:line="252" w:lineRule="exact" w:before="12"/>
              <w:ind w:left="252" w:right="233"/>
              <w:rPr>
                <w:sz w:val="21"/>
              </w:rPr>
            </w:pPr>
            <w:r>
              <w:rPr>
                <w:sz w:val="21"/>
              </w:rPr>
              <w:t>十月</w:t>
            </w:r>
          </w:p>
        </w:tc>
        <w:tc>
          <w:tcPr>
            <w:tcW w:w="768" w:type="dxa"/>
          </w:tcPr>
          <w:p>
            <w:pPr>
              <w:pStyle w:val="TableParagraph"/>
              <w:spacing w:line="221" w:lineRule="exact" w:before="43"/>
              <w:ind w:left="196" w:right="181"/>
              <w:rPr>
                <w:rFonts w:ascii="Times New Roman"/>
                <w:sz w:val="21"/>
              </w:rPr>
            </w:pPr>
            <w:r>
              <w:rPr>
                <w:rFonts w:ascii="Times New Roman"/>
                <w:sz w:val="21"/>
              </w:rPr>
              <w:t>7.0</w:t>
            </w:r>
          </w:p>
        </w:tc>
        <w:tc>
          <w:tcPr>
            <w:tcW w:w="768" w:type="dxa"/>
          </w:tcPr>
          <w:p>
            <w:pPr>
              <w:pStyle w:val="TableParagraph"/>
              <w:spacing w:line="221" w:lineRule="exact" w:before="43"/>
              <w:ind w:left="196" w:right="181"/>
              <w:rPr>
                <w:rFonts w:ascii="Times New Roman"/>
                <w:sz w:val="21"/>
              </w:rPr>
            </w:pPr>
            <w:r>
              <w:rPr>
                <w:rFonts w:ascii="Times New Roman"/>
                <w:sz w:val="21"/>
              </w:rPr>
              <w:t>8.6</w:t>
            </w:r>
          </w:p>
        </w:tc>
        <w:tc>
          <w:tcPr>
            <w:tcW w:w="768" w:type="dxa"/>
          </w:tcPr>
          <w:p>
            <w:pPr>
              <w:pStyle w:val="TableParagraph"/>
              <w:spacing w:line="221" w:lineRule="exact" w:before="43"/>
              <w:ind w:left="145" w:right="130"/>
              <w:rPr>
                <w:rFonts w:ascii="Times New Roman"/>
                <w:sz w:val="21"/>
              </w:rPr>
            </w:pPr>
            <w:r>
              <w:rPr>
                <w:rFonts w:ascii="Times New Roman"/>
                <w:sz w:val="21"/>
              </w:rPr>
              <w:t>17.6</w:t>
            </w:r>
          </w:p>
        </w:tc>
        <w:tc>
          <w:tcPr>
            <w:tcW w:w="769" w:type="dxa"/>
          </w:tcPr>
          <w:p>
            <w:pPr>
              <w:pStyle w:val="TableParagraph"/>
              <w:spacing w:line="221" w:lineRule="exact" w:before="43"/>
              <w:ind w:left="43" w:right="29"/>
              <w:rPr>
                <w:rFonts w:ascii="Times New Roman"/>
                <w:sz w:val="21"/>
              </w:rPr>
            </w:pPr>
            <w:r>
              <w:rPr>
                <w:rFonts w:ascii="Times New Roman"/>
                <w:sz w:val="21"/>
              </w:rPr>
              <w:t>12.8</w:t>
            </w:r>
          </w:p>
        </w:tc>
        <w:tc>
          <w:tcPr>
            <w:tcW w:w="766" w:type="dxa"/>
          </w:tcPr>
          <w:p>
            <w:pPr>
              <w:pStyle w:val="TableParagraph"/>
              <w:spacing w:line="221" w:lineRule="exact" w:before="43"/>
              <w:ind w:left="177" w:right="161"/>
              <w:rPr>
                <w:rFonts w:ascii="Times New Roman"/>
                <w:sz w:val="21"/>
              </w:rPr>
            </w:pPr>
            <w:r>
              <w:rPr>
                <w:rFonts w:ascii="Times New Roman"/>
                <w:sz w:val="21"/>
              </w:rPr>
              <w:t>2.4</w:t>
            </w:r>
          </w:p>
        </w:tc>
        <w:tc>
          <w:tcPr>
            <w:tcW w:w="768" w:type="dxa"/>
          </w:tcPr>
          <w:p>
            <w:pPr>
              <w:pStyle w:val="TableParagraph"/>
              <w:spacing w:line="221" w:lineRule="exact" w:before="43"/>
              <w:ind w:left="196" w:right="178"/>
              <w:rPr>
                <w:rFonts w:ascii="Times New Roman"/>
                <w:sz w:val="21"/>
              </w:rPr>
            </w:pPr>
            <w:r>
              <w:rPr>
                <w:rFonts w:ascii="Times New Roman"/>
                <w:sz w:val="21"/>
              </w:rPr>
              <w:t>2.8</w:t>
            </w:r>
          </w:p>
        </w:tc>
        <w:tc>
          <w:tcPr>
            <w:tcW w:w="766" w:type="dxa"/>
          </w:tcPr>
          <w:p>
            <w:pPr>
              <w:pStyle w:val="TableParagraph"/>
              <w:spacing w:line="221" w:lineRule="exact" w:before="43"/>
              <w:ind w:left="177" w:right="157"/>
              <w:rPr>
                <w:rFonts w:ascii="Times New Roman"/>
                <w:sz w:val="21"/>
              </w:rPr>
            </w:pPr>
            <w:r>
              <w:rPr>
                <w:rFonts w:ascii="Times New Roman"/>
                <w:sz w:val="21"/>
              </w:rPr>
              <w:t>4.2</w:t>
            </w:r>
          </w:p>
        </w:tc>
        <w:tc>
          <w:tcPr>
            <w:tcW w:w="768" w:type="dxa"/>
          </w:tcPr>
          <w:p>
            <w:pPr>
              <w:pStyle w:val="TableParagraph"/>
              <w:spacing w:line="221" w:lineRule="exact" w:before="43"/>
              <w:ind w:left="196" w:right="179"/>
              <w:rPr>
                <w:rFonts w:ascii="Times New Roman"/>
                <w:sz w:val="21"/>
              </w:rPr>
            </w:pPr>
            <w:r>
              <w:rPr>
                <w:rFonts w:ascii="Times New Roman"/>
                <w:sz w:val="21"/>
              </w:rPr>
              <w:t>4.2</w:t>
            </w:r>
          </w:p>
        </w:tc>
        <w:tc>
          <w:tcPr>
            <w:tcW w:w="768" w:type="dxa"/>
          </w:tcPr>
          <w:p>
            <w:pPr>
              <w:pStyle w:val="TableParagraph"/>
              <w:spacing w:line="221" w:lineRule="exact" w:before="43"/>
              <w:ind w:left="196" w:right="179"/>
              <w:rPr>
                <w:rFonts w:ascii="Times New Roman"/>
                <w:sz w:val="21"/>
              </w:rPr>
            </w:pPr>
            <w:r>
              <w:rPr>
                <w:rFonts w:ascii="Times New Roman"/>
                <w:sz w:val="21"/>
              </w:rPr>
              <w:t>5.6</w:t>
            </w:r>
          </w:p>
        </w:tc>
        <w:tc>
          <w:tcPr>
            <w:tcW w:w="765" w:type="dxa"/>
          </w:tcPr>
          <w:p>
            <w:pPr>
              <w:pStyle w:val="TableParagraph"/>
              <w:spacing w:line="221" w:lineRule="exact" w:before="43"/>
              <w:ind w:left="79" w:right="63"/>
              <w:rPr>
                <w:rFonts w:ascii="Times New Roman"/>
                <w:sz w:val="21"/>
              </w:rPr>
            </w:pPr>
            <w:r>
              <w:rPr>
                <w:rFonts w:ascii="Times New Roman"/>
                <w:sz w:val="21"/>
              </w:rPr>
              <w:t>3.8</w:t>
            </w:r>
          </w:p>
        </w:tc>
        <w:tc>
          <w:tcPr>
            <w:tcW w:w="767" w:type="dxa"/>
          </w:tcPr>
          <w:p>
            <w:pPr>
              <w:pStyle w:val="TableParagraph"/>
              <w:spacing w:line="221" w:lineRule="exact" w:before="43"/>
              <w:ind w:left="107" w:right="87"/>
              <w:rPr>
                <w:rFonts w:ascii="Times New Roman"/>
                <w:sz w:val="21"/>
              </w:rPr>
            </w:pPr>
            <w:r>
              <w:rPr>
                <w:rFonts w:ascii="Times New Roman"/>
                <w:sz w:val="21"/>
              </w:rPr>
              <w:t>2.8</w:t>
            </w:r>
          </w:p>
        </w:tc>
        <w:tc>
          <w:tcPr>
            <w:tcW w:w="765" w:type="dxa"/>
          </w:tcPr>
          <w:p>
            <w:pPr>
              <w:pStyle w:val="TableParagraph"/>
              <w:spacing w:line="221" w:lineRule="exact" w:before="43"/>
              <w:ind w:left="82" w:right="63"/>
              <w:rPr>
                <w:rFonts w:ascii="Times New Roman"/>
                <w:sz w:val="21"/>
              </w:rPr>
            </w:pPr>
            <w:r>
              <w:rPr>
                <w:rFonts w:ascii="Times New Roman"/>
                <w:sz w:val="21"/>
              </w:rPr>
              <w:t>2.3</w:t>
            </w:r>
          </w:p>
        </w:tc>
        <w:tc>
          <w:tcPr>
            <w:tcW w:w="767" w:type="dxa"/>
          </w:tcPr>
          <w:p>
            <w:pPr>
              <w:pStyle w:val="TableParagraph"/>
              <w:spacing w:line="221" w:lineRule="exact" w:before="43"/>
              <w:ind w:left="253"/>
              <w:jc w:val="left"/>
              <w:rPr>
                <w:rFonts w:ascii="Times New Roman"/>
                <w:sz w:val="21"/>
              </w:rPr>
            </w:pPr>
            <w:r>
              <w:rPr>
                <w:rFonts w:ascii="Times New Roman"/>
                <w:sz w:val="21"/>
              </w:rPr>
              <w:t>1.7</w:t>
            </w:r>
          </w:p>
        </w:tc>
        <w:tc>
          <w:tcPr>
            <w:tcW w:w="765" w:type="dxa"/>
          </w:tcPr>
          <w:p>
            <w:pPr>
              <w:pStyle w:val="TableParagraph"/>
              <w:spacing w:line="221" w:lineRule="exact" w:before="43"/>
              <w:ind w:left="90" w:right="63"/>
              <w:rPr>
                <w:rFonts w:ascii="Times New Roman"/>
                <w:sz w:val="21"/>
              </w:rPr>
            </w:pPr>
            <w:r>
              <w:rPr>
                <w:rFonts w:ascii="Times New Roman"/>
                <w:sz w:val="21"/>
              </w:rPr>
              <w:t>3.6</w:t>
            </w:r>
          </w:p>
        </w:tc>
        <w:tc>
          <w:tcPr>
            <w:tcW w:w="767" w:type="dxa"/>
          </w:tcPr>
          <w:p>
            <w:pPr>
              <w:pStyle w:val="TableParagraph"/>
              <w:spacing w:line="221" w:lineRule="exact" w:before="43"/>
              <w:ind w:left="115" w:right="87"/>
              <w:rPr>
                <w:rFonts w:ascii="Times New Roman"/>
                <w:sz w:val="21"/>
              </w:rPr>
            </w:pPr>
            <w:r>
              <w:rPr>
                <w:rFonts w:ascii="Times New Roman"/>
                <w:sz w:val="21"/>
              </w:rPr>
              <w:t>6.3</w:t>
            </w:r>
          </w:p>
        </w:tc>
        <w:tc>
          <w:tcPr>
            <w:tcW w:w="767" w:type="dxa"/>
          </w:tcPr>
          <w:p>
            <w:pPr>
              <w:pStyle w:val="TableParagraph"/>
              <w:spacing w:line="221" w:lineRule="exact" w:before="43"/>
              <w:ind w:left="114" w:right="87"/>
              <w:rPr>
                <w:rFonts w:ascii="Times New Roman"/>
                <w:sz w:val="21"/>
              </w:rPr>
            </w:pPr>
            <w:r>
              <w:rPr>
                <w:rFonts w:ascii="Times New Roman"/>
                <w:sz w:val="21"/>
              </w:rPr>
              <w:t>11.4</w:t>
            </w:r>
          </w:p>
        </w:tc>
        <w:tc>
          <w:tcPr>
            <w:tcW w:w="765" w:type="dxa"/>
          </w:tcPr>
          <w:p>
            <w:pPr>
              <w:pStyle w:val="TableParagraph"/>
              <w:spacing w:line="221" w:lineRule="exact" w:before="43"/>
              <w:ind w:left="255"/>
              <w:jc w:val="left"/>
              <w:rPr>
                <w:rFonts w:ascii="Times New Roman"/>
                <w:sz w:val="21"/>
              </w:rPr>
            </w:pPr>
            <w:r>
              <w:rPr>
                <w:rFonts w:ascii="Times New Roman"/>
                <w:sz w:val="21"/>
              </w:rPr>
              <w:t>2.8</w:t>
            </w:r>
          </w:p>
        </w:tc>
      </w:tr>
      <w:tr>
        <w:trPr>
          <w:trHeight w:val="282" w:hRule="atLeast"/>
        </w:trPr>
        <w:tc>
          <w:tcPr>
            <w:tcW w:w="1176" w:type="dxa"/>
          </w:tcPr>
          <w:p>
            <w:pPr>
              <w:pStyle w:val="TableParagraph"/>
              <w:spacing w:line="250" w:lineRule="exact" w:before="13"/>
              <w:ind w:left="252" w:right="233"/>
              <w:rPr>
                <w:sz w:val="21"/>
              </w:rPr>
            </w:pPr>
            <w:r>
              <w:rPr>
                <w:sz w:val="21"/>
              </w:rPr>
              <w:t>十一月</w:t>
            </w:r>
          </w:p>
        </w:tc>
        <w:tc>
          <w:tcPr>
            <w:tcW w:w="768" w:type="dxa"/>
          </w:tcPr>
          <w:p>
            <w:pPr>
              <w:pStyle w:val="TableParagraph"/>
              <w:spacing w:line="221" w:lineRule="exact" w:before="41"/>
              <w:ind w:left="196" w:right="181"/>
              <w:rPr>
                <w:rFonts w:ascii="Times New Roman"/>
                <w:sz w:val="21"/>
              </w:rPr>
            </w:pPr>
            <w:r>
              <w:rPr>
                <w:rFonts w:ascii="Times New Roman"/>
                <w:sz w:val="21"/>
              </w:rPr>
              <w:t>4.7</w:t>
            </w:r>
          </w:p>
        </w:tc>
        <w:tc>
          <w:tcPr>
            <w:tcW w:w="768" w:type="dxa"/>
          </w:tcPr>
          <w:p>
            <w:pPr>
              <w:pStyle w:val="TableParagraph"/>
              <w:spacing w:line="221" w:lineRule="exact" w:before="41"/>
              <w:ind w:left="196" w:right="181"/>
              <w:rPr>
                <w:rFonts w:ascii="Times New Roman"/>
                <w:sz w:val="21"/>
              </w:rPr>
            </w:pPr>
            <w:r>
              <w:rPr>
                <w:rFonts w:ascii="Times New Roman"/>
                <w:sz w:val="21"/>
              </w:rPr>
              <w:t>3.6</w:t>
            </w:r>
          </w:p>
        </w:tc>
        <w:tc>
          <w:tcPr>
            <w:tcW w:w="768" w:type="dxa"/>
          </w:tcPr>
          <w:p>
            <w:pPr>
              <w:pStyle w:val="TableParagraph"/>
              <w:spacing w:line="221" w:lineRule="exact" w:before="41"/>
              <w:ind w:left="196" w:right="181"/>
              <w:rPr>
                <w:rFonts w:ascii="Times New Roman"/>
                <w:sz w:val="21"/>
              </w:rPr>
            </w:pPr>
            <w:r>
              <w:rPr>
                <w:rFonts w:ascii="Times New Roman"/>
                <w:sz w:val="21"/>
              </w:rPr>
              <w:t>7.9</w:t>
            </w:r>
          </w:p>
        </w:tc>
        <w:tc>
          <w:tcPr>
            <w:tcW w:w="769" w:type="dxa"/>
          </w:tcPr>
          <w:p>
            <w:pPr>
              <w:pStyle w:val="TableParagraph"/>
              <w:spacing w:line="221" w:lineRule="exact" w:before="41"/>
              <w:ind w:left="43" w:right="29"/>
              <w:rPr>
                <w:rFonts w:ascii="Times New Roman"/>
                <w:sz w:val="21"/>
              </w:rPr>
            </w:pPr>
            <w:r>
              <w:rPr>
                <w:rFonts w:ascii="Times New Roman"/>
                <w:sz w:val="21"/>
              </w:rPr>
              <w:t>8.2</w:t>
            </w:r>
          </w:p>
        </w:tc>
        <w:tc>
          <w:tcPr>
            <w:tcW w:w="766" w:type="dxa"/>
          </w:tcPr>
          <w:p>
            <w:pPr>
              <w:pStyle w:val="TableParagraph"/>
              <w:spacing w:line="221" w:lineRule="exact" w:before="41"/>
              <w:ind w:left="177" w:right="161"/>
              <w:rPr>
                <w:rFonts w:ascii="Times New Roman"/>
                <w:sz w:val="21"/>
              </w:rPr>
            </w:pPr>
            <w:r>
              <w:rPr>
                <w:rFonts w:ascii="Times New Roman"/>
                <w:sz w:val="21"/>
              </w:rPr>
              <w:t>3.3</w:t>
            </w:r>
          </w:p>
        </w:tc>
        <w:tc>
          <w:tcPr>
            <w:tcW w:w="768" w:type="dxa"/>
          </w:tcPr>
          <w:p>
            <w:pPr>
              <w:pStyle w:val="TableParagraph"/>
              <w:spacing w:line="221" w:lineRule="exact" w:before="41"/>
              <w:ind w:left="196" w:right="178"/>
              <w:rPr>
                <w:rFonts w:ascii="Times New Roman"/>
                <w:sz w:val="21"/>
              </w:rPr>
            </w:pPr>
            <w:r>
              <w:rPr>
                <w:rFonts w:ascii="Times New Roman"/>
                <w:sz w:val="21"/>
              </w:rPr>
              <w:t>3.3</w:t>
            </w:r>
          </w:p>
        </w:tc>
        <w:tc>
          <w:tcPr>
            <w:tcW w:w="766" w:type="dxa"/>
          </w:tcPr>
          <w:p>
            <w:pPr>
              <w:pStyle w:val="TableParagraph"/>
              <w:spacing w:line="221" w:lineRule="exact" w:before="41"/>
              <w:ind w:left="177" w:right="157"/>
              <w:rPr>
                <w:rFonts w:ascii="Times New Roman"/>
                <w:sz w:val="21"/>
              </w:rPr>
            </w:pPr>
            <w:r>
              <w:rPr>
                <w:rFonts w:ascii="Times New Roman"/>
                <w:sz w:val="21"/>
              </w:rPr>
              <w:t>3.5</w:t>
            </w:r>
          </w:p>
        </w:tc>
        <w:tc>
          <w:tcPr>
            <w:tcW w:w="768" w:type="dxa"/>
          </w:tcPr>
          <w:p>
            <w:pPr>
              <w:pStyle w:val="TableParagraph"/>
              <w:spacing w:line="221" w:lineRule="exact" w:before="41"/>
              <w:ind w:left="196" w:right="179"/>
              <w:rPr>
                <w:rFonts w:ascii="Times New Roman"/>
                <w:sz w:val="21"/>
              </w:rPr>
            </w:pPr>
            <w:r>
              <w:rPr>
                <w:rFonts w:ascii="Times New Roman"/>
                <w:sz w:val="21"/>
              </w:rPr>
              <w:t>6.3</w:t>
            </w:r>
          </w:p>
        </w:tc>
        <w:tc>
          <w:tcPr>
            <w:tcW w:w="768" w:type="dxa"/>
          </w:tcPr>
          <w:p>
            <w:pPr>
              <w:pStyle w:val="TableParagraph"/>
              <w:spacing w:line="221" w:lineRule="exact" w:before="41"/>
              <w:ind w:left="196" w:right="179"/>
              <w:rPr>
                <w:rFonts w:ascii="Times New Roman"/>
                <w:sz w:val="21"/>
              </w:rPr>
            </w:pPr>
            <w:r>
              <w:rPr>
                <w:rFonts w:ascii="Times New Roman"/>
                <w:sz w:val="21"/>
              </w:rPr>
              <w:t>7.2</w:t>
            </w:r>
          </w:p>
        </w:tc>
        <w:tc>
          <w:tcPr>
            <w:tcW w:w="765" w:type="dxa"/>
          </w:tcPr>
          <w:p>
            <w:pPr>
              <w:pStyle w:val="TableParagraph"/>
              <w:spacing w:line="221" w:lineRule="exact" w:before="41"/>
              <w:ind w:left="79" w:right="63"/>
              <w:rPr>
                <w:rFonts w:ascii="Times New Roman"/>
                <w:sz w:val="21"/>
              </w:rPr>
            </w:pPr>
            <w:r>
              <w:rPr>
                <w:rFonts w:ascii="Times New Roman"/>
                <w:sz w:val="21"/>
              </w:rPr>
              <w:t>3.5</w:t>
            </w:r>
          </w:p>
        </w:tc>
        <w:tc>
          <w:tcPr>
            <w:tcW w:w="767" w:type="dxa"/>
          </w:tcPr>
          <w:p>
            <w:pPr>
              <w:pStyle w:val="TableParagraph"/>
              <w:spacing w:line="221" w:lineRule="exact" w:before="41"/>
              <w:ind w:left="107" w:right="87"/>
              <w:rPr>
                <w:rFonts w:ascii="Times New Roman"/>
                <w:sz w:val="21"/>
              </w:rPr>
            </w:pPr>
            <w:r>
              <w:rPr>
                <w:rFonts w:ascii="Times New Roman"/>
                <w:sz w:val="21"/>
              </w:rPr>
              <w:t>2.1</w:t>
            </w:r>
          </w:p>
        </w:tc>
        <w:tc>
          <w:tcPr>
            <w:tcW w:w="765" w:type="dxa"/>
          </w:tcPr>
          <w:p>
            <w:pPr>
              <w:pStyle w:val="TableParagraph"/>
              <w:spacing w:line="221" w:lineRule="exact" w:before="41"/>
              <w:ind w:left="82" w:right="63"/>
              <w:rPr>
                <w:rFonts w:ascii="Times New Roman"/>
                <w:sz w:val="21"/>
              </w:rPr>
            </w:pPr>
            <w:r>
              <w:rPr>
                <w:rFonts w:ascii="Times New Roman"/>
                <w:sz w:val="21"/>
              </w:rPr>
              <w:t>3.3</w:t>
            </w:r>
          </w:p>
        </w:tc>
        <w:tc>
          <w:tcPr>
            <w:tcW w:w="767" w:type="dxa"/>
          </w:tcPr>
          <w:p>
            <w:pPr>
              <w:pStyle w:val="TableParagraph"/>
              <w:spacing w:line="221" w:lineRule="exact" w:before="41"/>
              <w:ind w:left="253"/>
              <w:jc w:val="left"/>
              <w:rPr>
                <w:rFonts w:ascii="Times New Roman"/>
                <w:sz w:val="21"/>
              </w:rPr>
            </w:pPr>
            <w:r>
              <w:rPr>
                <w:rFonts w:ascii="Times New Roman"/>
                <w:sz w:val="21"/>
              </w:rPr>
              <w:t>6.0</w:t>
            </w:r>
          </w:p>
        </w:tc>
        <w:tc>
          <w:tcPr>
            <w:tcW w:w="765" w:type="dxa"/>
          </w:tcPr>
          <w:p>
            <w:pPr>
              <w:pStyle w:val="TableParagraph"/>
              <w:spacing w:line="221" w:lineRule="exact" w:before="41"/>
              <w:ind w:left="90" w:right="63"/>
              <w:rPr>
                <w:rFonts w:ascii="Times New Roman"/>
                <w:sz w:val="21"/>
              </w:rPr>
            </w:pPr>
            <w:r>
              <w:rPr>
                <w:rFonts w:ascii="Times New Roman"/>
                <w:sz w:val="21"/>
              </w:rPr>
              <w:t>7.4</w:t>
            </w:r>
          </w:p>
        </w:tc>
        <w:tc>
          <w:tcPr>
            <w:tcW w:w="767" w:type="dxa"/>
          </w:tcPr>
          <w:p>
            <w:pPr>
              <w:pStyle w:val="TableParagraph"/>
              <w:spacing w:line="221" w:lineRule="exact" w:before="41"/>
              <w:ind w:left="115" w:right="87"/>
              <w:rPr>
                <w:rFonts w:ascii="Times New Roman"/>
                <w:sz w:val="21"/>
              </w:rPr>
            </w:pPr>
            <w:r>
              <w:rPr>
                <w:rFonts w:ascii="Times New Roman"/>
                <w:sz w:val="21"/>
              </w:rPr>
              <w:t>13.1</w:t>
            </w:r>
          </w:p>
        </w:tc>
        <w:tc>
          <w:tcPr>
            <w:tcW w:w="767" w:type="dxa"/>
          </w:tcPr>
          <w:p>
            <w:pPr>
              <w:pStyle w:val="TableParagraph"/>
              <w:spacing w:line="221" w:lineRule="exact" w:before="41"/>
              <w:ind w:left="117" w:right="87"/>
              <w:rPr>
                <w:rFonts w:ascii="Times New Roman"/>
                <w:sz w:val="21"/>
              </w:rPr>
            </w:pPr>
            <w:r>
              <w:rPr>
                <w:rFonts w:ascii="Times New Roman"/>
                <w:sz w:val="21"/>
              </w:rPr>
              <w:t>12.6</w:t>
            </w:r>
          </w:p>
        </w:tc>
        <w:tc>
          <w:tcPr>
            <w:tcW w:w="765" w:type="dxa"/>
          </w:tcPr>
          <w:p>
            <w:pPr>
              <w:pStyle w:val="TableParagraph"/>
              <w:spacing w:line="221" w:lineRule="exact" w:before="41"/>
              <w:ind w:left="255"/>
              <w:jc w:val="left"/>
              <w:rPr>
                <w:rFonts w:ascii="Times New Roman"/>
                <w:sz w:val="21"/>
              </w:rPr>
            </w:pPr>
            <w:r>
              <w:rPr>
                <w:rFonts w:ascii="Times New Roman"/>
                <w:sz w:val="21"/>
              </w:rPr>
              <w:t>4.0</w:t>
            </w:r>
          </w:p>
        </w:tc>
      </w:tr>
      <w:tr>
        <w:trPr>
          <w:trHeight w:val="284" w:hRule="atLeast"/>
        </w:trPr>
        <w:tc>
          <w:tcPr>
            <w:tcW w:w="1176" w:type="dxa"/>
          </w:tcPr>
          <w:p>
            <w:pPr>
              <w:pStyle w:val="TableParagraph"/>
              <w:spacing w:line="250" w:lineRule="exact" w:before="15"/>
              <w:ind w:left="252" w:right="233"/>
              <w:rPr>
                <w:sz w:val="21"/>
              </w:rPr>
            </w:pPr>
            <w:r>
              <w:rPr>
                <w:sz w:val="21"/>
              </w:rPr>
              <w:t>十二月</w:t>
            </w:r>
          </w:p>
        </w:tc>
        <w:tc>
          <w:tcPr>
            <w:tcW w:w="768" w:type="dxa"/>
          </w:tcPr>
          <w:p>
            <w:pPr>
              <w:pStyle w:val="TableParagraph"/>
              <w:spacing w:line="221" w:lineRule="exact" w:before="43"/>
              <w:ind w:left="196" w:right="181"/>
              <w:rPr>
                <w:rFonts w:ascii="Times New Roman"/>
                <w:sz w:val="21"/>
              </w:rPr>
            </w:pPr>
            <w:r>
              <w:rPr>
                <w:rFonts w:ascii="Times New Roman"/>
                <w:sz w:val="21"/>
              </w:rPr>
              <w:t>6.3</w:t>
            </w:r>
          </w:p>
        </w:tc>
        <w:tc>
          <w:tcPr>
            <w:tcW w:w="768" w:type="dxa"/>
          </w:tcPr>
          <w:p>
            <w:pPr>
              <w:pStyle w:val="TableParagraph"/>
              <w:spacing w:line="221" w:lineRule="exact" w:before="43"/>
              <w:ind w:left="196" w:right="181"/>
              <w:rPr>
                <w:rFonts w:ascii="Times New Roman"/>
                <w:sz w:val="21"/>
              </w:rPr>
            </w:pPr>
            <w:r>
              <w:rPr>
                <w:rFonts w:ascii="Times New Roman"/>
                <w:sz w:val="21"/>
              </w:rPr>
              <w:t>1.9</w:t>
            </w:r>
          </w:p>
        </w:tc>
        <w:tc>
          <w:tcPr>
            <w:tcW w:w="768" w:type="dxa"/>
          </w:tcPr>
          <w:p>
            <w:pPr>
              <w:pStyle w:val="TableParagraph"/>
              <w:spacing w:line="221" w:lineRule="exact" w:before="43"/>
              <w:ind w:left="196" w:right="181"/>
              <w:rPr>
                <w:rFonts w:ascii="Times New Roman"/>
                <w:sz w:val="21"/>
              </w:rPr>
            </w:pPr>
            <w:r>
              <w:rPr>
                <w:rFonts w:ascii="Times New Roman"/>
                <w:sz w:val="21"/>
              </w:rPr>
              <w:t>4.7</w:t>
            </w:r>
          </w:p>
        </w:tc>
        <w:tc>
          <w:tcPr>
            <w:tcW w:w="769" w:type="dxa"/>
          </w:tcPr>
          <w:p>
            <w:pPr>
              <w:pStyle w:val="TableParagraph"/>
              <w:spacing w:line="221" w:lineRule="exact" w:before="43"/>
              <w:ind w:left="43" w:right="29"/>
              <w:rPr>
                <w:rFonts w:ascii="Times New Roman"/>
                <w:sz w:val="21"/>
              </w:rPr>
            </w:pPr>
            <w:r>
              <w:rPr>
                <w:rFonts w:ascii="Times New Roman"/>
                <w:sz w:val="21"/>
              </w:rPr>
              <w:t>4.0</w:t>
            </w:r>
          </w:p>
        </w:tc>
        <w:tc>
          <w:tcPr>
            <w:tcW w:w="766" w:type="dxa"/>
          </w:tcPr>
          <w:p>
            <w:pPr>
              <w:pStyle w:val="TableParagraph"/>
              <w:spacing w:line="221" w:lineRule="exact" w:before="43"/>
              <w:ind w:left="177" w:right="161"/>
              <w:rPr>
                <w:rFonts w:ascii="Times New Roman"/>
                <w:sz w:val="21"/>
              </w:rPr>
            </w:pPr>
            <w:r>
              <w:rPr>
                <w:rFonts w:ascii="Times New Roman"/>
                <w:sz w:val="21"/>
              </w:rPr>
              <w:t>3.5</w:t>
            </w:r>
          </w:p>
        </w:tc>
        <w:tc>
          <w:tcPr>
            <w:tcW w:w="768" w:type="dxa"/>
          </w:tcPr>
          <w:p>
            <w:pPr>
              <w:pStyle w:val="TableParagraph"/>
              <w:spacing w:line="221" w:lineRule="exact" w:before="43"/>
              <w:ind w:left="196" w:right="178"/>
              <w:rPr>
                <w:rFonts w:ascii="Times New Roman"/>
                <w:sz w:val="21"/>
              </w:rPr>
            </w:pPr>
            <w:r>
              <w:rPr>
                <w:rFonts w:ascii="Times New Roman"/>
                <w:sz w:val="21"/>
              </w:rPr>
              <w:t>1.9</w:t>
            </w:r>
          </w:p>
        </w:tc>
        <w:tc>
          <w:tcPr>
            <w:tcW w:w="766" w:type="dxa"/>
          </w:tcPr>
          <w:p>
            <w:pPr>
              <w:pStyle w:val="TableParagraph"/>
              <w:spacing w:line="221" w:lineRule="exact" w:before="43"/>
              <w:ind w:left="177" w:right="157"/>
              <w:rPr>
                <w:rFonts w:ascii="Times New Roman"/>
                <w:sz w:val="21"/>
              </w:rPr>
            </w:pPr>
            <w:r>
              <w:rPr>
                <w:rFonts w:ascii="Times New Roman"/>
                <w:sz w:val="21"/>
              </w:rPr>
              <w:t>2.8</w:t>
            </w:r>
          </w:p>
        </w:tc>
        <w:tc>
          <w:tcPr>
            <w:tcW w:w="768" w:type="dxa"/>
          </w:tcPr>
          <w:p>
            <w:pPr>
              <w:pStyle w:val="TableParagraph"/>
              <w:spacing w:line="221" w:lineRule="exact" w:before="43"/>
              <w:ind w:left="196" w:right="179"/>
              <w:rPr>
                <w:rFonts w:ascii="Times New Roman"/>
                <w:sz w:val="21"/>
              </w:rPr>
            </w:pPr>
            <w:r>
              <w:rPr>
                <w:rFonts w:ascii="Times New Roman"/>
                <w:sz w:val="21"/>
              </w:rPr>
              <w:t>2.7</w:t>
            </w:r>
          </w:p>
        </w:tc>
        <w:tc>
          <w:tcPr>
            <w:tcW w:w="768" w:type="dxa"/>
          </w:tcPr>
          <w:p>
            <w:pPr>
              <w:pStyle w:val="TableParagraph"/>
              <w:spacing w:line="221" w:lineRule="exact" w:before="43"/>
              <w:ind w:left="196" w:right="179"/>
              <w:rPr>
                <w:rFonts w:ascii="Times New Roman"/>
                <w:sz w:val="21"/>
              </w:rPr>
            </w:pPr>
            <w:r>
              <w:rPr>
                <w:rFonts w:ascii="Times New Roman"/>
                <w:sz w:val="21"/>
              </w:rPr>
              <w:t>3.9</w:t>
            </w:r>
          </w:p>
        </w:tc>
        <w:tc>
          <w:tcPr>
            <w:tcW w:w="765" w:type="dxa"/>
          </w:tcPr>
          <w:p>
            <w:pPr>
              <w:pStyle w:val="TableParagraph"/>
              <w:spacing w:line="221" w:lineRule="exact" w:before="43"/>
              <w:ind w:left="79" w:right="63"/>
              <w:rPr>
                <w:rFonts w:ascii="Times New Roman"/>
                <w:sz w:val="21"/>
              </w:rPr>
            </w:pPr>
            <w:r>
              <w:rPr>
                <w:rFonts w:ascii="Times New Roman"/>
                <w:sz w:val="21"/>
              </w:rPr>
              <w:t>3.9</w:t>
            </w:r>
          </w:p>
        </w:tc>
        <w:tc>
          <w:tcPr>
            <w:tcW w:w="767" w:type="dxa"/>
          </w:tcPr>
          <w:p>
            <w:pPr>
              <w:pStyle w:val="TableParagraph"/>
              <w:spacing w:line="221" w:lineRule="exact" w:before="43"/>
              <w:ind w:left="107" w:right="87"/>
              <w:rPr>
                <w:rFonts w:ascii="Times New Roman"/>
                <w:sz w:val="21"/>
              </w:rPr>
            </w:pPr>
            <w:r>
              <w:rPr>
                <w:rFonts w:ascii="Times New Roman"/>
                <w:sz w:val="21"/>
              </w:rPr>
              <w:t>3.5</w:t>
            </w:r>
          </w:p>
        </w:tc>
        <w:tc>
          <w:tcPr>
            <w:tcW w:w="765" w:type="dxa"/>
          </w:tcPr>
          <w:p>
            <w:pPr>
              <w:pStyle w:val="TableParagraph"/>
              <w:spacing w:line="221" w:lineRule="exact" w:before="43"/>
              <w:ind w:left="82" w:right="63"/>
              <w:rPr>
                <w:rFonts w:ascii="Times New Roman"/>
                <w:sz w:val="21"/>
              </w:rPr>
            </w:pPr>
            <w:r>
              <w:rPr>
                <w:rFonts w:ascii="Times New Roman"/>
                <w:sz w:val="21"/>
              </w:rPr>
              <w:t>2.6</w:t>
            </w:r>
          </w:p>
        </w:tc>
        <w:tc>
          <w:tcPr>
            <w:tcW w:w="767" w:type="dxa"/>
          </w:tcPr>
          <w:p>
            <w:pPr>
              <w:pStyle w:val="TableParagraph"/>
              <w:spacing w:line="221" w:lineRule="exact" w:before="43"/>
              <w:ind w:left="253"/>
              <w:jc w:val="left"/>
              <w:rPr>
                <w:rFonts w:ascii="Times New Roman"/>
                <w:sz w:val="21"/>
              </w:rPr>
            </w:pPr>
            <w:r>
              <w:rPr>
                <w:rFonts w:ascii="Times New Roman"/>
                <w:sz w:val="21"/>
              </w:rPr>
              <w:t>5.0</w:t>
            </w:r>
          </w:p>
        </w:tc>
        <w:tc>
          <w:tcPr>
            <w:tcW w:w="765" w:type="dxa"/>
          </w:tcPr>
          <w:p>
            <w:pPr>
              <w:pStyle w:val="TableParagraph"/>
              <w:spacing w:line="221" w:lineRule="exact" w:before="43"/>
              <w:ind w:left="90" w:right="63"/>
              <w:rPr>
                <w:rFonts w:ascii="Times New Roman"/>
                <w:sz w:val="21"/>
              </w:rPr>
            </w:pPr>
            <w:r>
              <w:rPr>
                <w:rFonts w:ascii="Times New Roman"/>
                <w:sz w:val="21"/>
              </w:rPr>
              <w:t>13.4</w:t>
            </w:r>
          </w:p>
        </w:tc>
        <w:tc>
          <w:tcPr>
            <w:tcW w:w="767" w:type="dxa"/>
          </w:tcPr>
          <w:p>
            <w:pPr>
              <w:pStyle w:val="TableParagraph"/>
              <w:spacing w:line="221" w:lineRule="exact" w:before="43"/>
              <w:ind w:left="115" w:right="87"/>
              <w:rPr>
                <w:rFonts w:ascii="Times New Roman"/>
                <w:sz w:val="21"/>
              </w:rPr>
            </w:pPr>
            <w:r>
              <w:rPr>
                <w:rFonts w:ascii="Times New Roman"/>
                <w:sz w:val="21"/>
              </w:rPr>
              <w:t>16.1</w:t>
            </w:r>
          </w:p>
        </w:tc>
        <w:tc>
          <w:tcPr>
            <w:tcW w:w="767" w:type="dxa"/>
          </w:tcPr>
          <w:p>
            <w:pPr>
              <w:pStyle w:val="TableParagraph"/>
              <w:spacing w:line="221" w:lineRule="exact" w:before="43"/>
              <w:ind w:left="117" w:right="87"/>
              <w:rPr>
                <w:rFonts w:ascii="Times New Roman"/>
                <w:sz w:val="21"/>
              </w:rPr>
            </w:pPr>
            <w:r>
              <w:rPr>
                <w:rFonts w:ascii="Times New Roman"/>
                <w:sz w:val="21"/>
              </w:rPr>
              <w:t>18.0</w:t>
            </w:r>
          </w:p>
        </w:tc>
        <w:tc>
          <w:tcPr>
            <w:tcW w:w="765" w:type="dxa"/>
          </w:tcPr>
          <w:p>
            <w:pPr>
              <w:pStyle w:val="TableParagraph"/>
              <w:spacing w:line="221" w:lineRule="exact" w:before="43"/>
              <w:ind w:left="255"/>
              <w:jc w:val="left"/>
              <w:rPr>
                <w:rFonts w:ascii="Times New Roman"/>
                <w:sz w:val="21"/>
              </w:rPr>
            </w:pPr>
            <w:r>
              <w:rPr>
                <w:rFonts w:ascii="Times New Roman"/>
                <w:sz w:val="21"/>
              </w:rPr>
              <w:t>5.8</w:t>
            </w:r>
          </w:p>
        </w:tc>
      </w:tr>
    </w:tbl>
    <w:p>
      <w:pPr>
        <w:tabs>
          <w:tab w:pos="1221" w:val="left" w:leader="none"/>
        </w:tabs>
        <w:spacing w:before="144" w:after="29"/>
        <w:ind w:left="0" w:right="15" w:firstLine="0"/>
        <w:jc w:val="center"/>
        <w:rPr>
          <w:rFonts w:ascii="Times New Roman" w:eastAsia="Times New Roman"/>
          <w:b/>
          <w:sz w:val="24"/>
        </w:rPr>
      </w:pPr>
      <w:r>
        <w:rPr/>
        <w:pict>
          <v:line style="position:absolute;mso-position-horizontal-relative:page;mso-position-vertical-relative:paragraph;z-index:-317713408" from="67.080002pt,24.979996pt" to="141.500002pt,52.339996pt" stroked="true" strokeweight=".96pt" strokecolor="#000000">
            <v:stroke dashstyle="solid"/>
            <w10:wrap type="none"/>
          </v:line>
        </w:pict>
      </w:r>
      <w:r>
        <w:rPr>
          <w:b/>
          <w:sz w:val="24"/>
        </w:rPr>
        <w:t>表</w:t>
      </w:r>
      <w:r>
        <w:rPr>
          <w:b/>
          <w:spacing w:val="-60"/>
          <w:sz w:val="24"/>
        </w:rPr>
        <w:t> </w:t>
      </w:r>
      <w:r>
        <w:rPr>
          <w:rFonts w:ascii="Times New Roman" w:eastAsia="Times New Roman"/>
          <w:b/>
          <w:sz w:val="24"/>
        </w:rPr>
        <w:t>7.2.1-3</w:t>
        <w:tab/>
      </w:r>
      <w:r>
        <w:rPr>
          <w:b/>
          <w:sz w:val="24"/>
        </w:rPr>
        <w:t>上虞</w:t>
      </w:r>
      <w:r>
        <w:rPr>
          <w:b/>
          <w:spacing w:val="-58"/>
          <w:sz w:val="24"/>
        </w:rPr>
        <w:t> </w:t>
      </w:r>
      <w:r>
        <w:rPr>
          <w:rFonts w:ascii="Times New Roman" w:eastAsia="Times New Roman"/>
          <w:b/>
          <w:sz w:val="24"/>
        </w:rPr>
        <w:t>2020</w:t>
      </w:r>
      <w:r>
        <w:rPr>
          <w:rFonts w:ascii="Times New Roman" w:eastAsia="Times New Roman"/>
          <w:b/>
          <w:spacing w:val="-1"/>
          <w:sz w:val="24"/>
        </w:rPr>
        <w:t> </w:t>
      </w:r>
      <w:r>
        <w:rPr>
          <w:b/>
          <w:sz w:val="24"/>
        </w:rPr>
        <w:t>年年均风频的季变化单位：</w:t>
      </w:r>
      <w:r>
        <w:rPr>
          <w:rFonts w:ascii="Times New Roman" w:eastAsia="Times New Roman"/>
          <w:b/>
          <w:sz w:val="24"/>
        </w:rPr>
        <w:t>%</w:t>
      </w:r>
    </w:p>
    <w:tbl>
      <w:tblPr>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8"/>
        <w:gridCol w:w="735"/>
        <w:gridCol w:w="735"/>
        <w:gridCol w:w="735"/>
        <w:gridCol w:w="736"/>
        <w:gridCol w:w="735"/>
        <w:gridCol w:w="735"/>
        <w:gridCol w:w="735"/>
        <w:gridCol w:w="735"/>
        <w:gridCol w:w="733"/>
        <w:gridCol w:w="735"/>
        <w:gridCol w:w="735"/>
        <w:gridCol w:w="788"/>
        <w:gridCol w:w="735"/>
        <w:gridCol w:w="827"/>
        <w:gridCol w:w="735"/>
        <w:gridCol w:w="776"/>
        <w:gridCol w:w="735"/>
      </w:tblGrid>
      <w:tr>
        <w:trPr>
          <w:trHeight w:val="546" w:hRule="atLeast"/>
        </w:trPr>
        <w:tc>
          <w:tcPr>
            <w:tcW w:w="1508" w:type="dxa"/>
          </w:tcPr>
          <w:p>
            <w:pPr>
              <w:pStyle w:val="TableParagraph"/>
              <w:spacing w:before="3"/>
              <w:ind w:left="559" w:right="-29"/>
              <w:jc w:val="left"/>
              <w:rPr>
                <w:sz w:val="21"/>
              </w:rPr>
            </w:pPr>
            <w:r>
              <w:rPr>
                <w:w w:val="100"/>
                <w:sz w:val="21"/>
              </w:rPr>
              <w:t>   </w:t>
            </w:r>
            <w:r>
              <w:rPr>
                <w:spacing w:val="-1"/>
                <w:w w:val="100"/>
                <w:sz w:val="21"/>
              </w:rPr>
              <w:t> </w:t>
            </w:r>
            <w:r>
              <w:rPr>
                <w:spacing w:val="-3"/>
                <w:sz w:val="21"/>
              </w:rPr>
              <w:t>风向</w:t>
            </w:r>
            <w:r>
              <w:rPr>
                <w:sz w:val="21"/>
              </w:rPr>
              <w:t> </w:t>
            </w:r>
          </w:p>
          <w:p>
            <w:pPr>
              <w:pStyle w:val="TableParagraph"/>
              <w:spacing w:line="252" w:lineRule="exact" w:before="2"/>
              <w:ind w:left="107"/>
              <w:jc w:val="left"/>
              <w:rPr>
                <w:sz w:val="21"/>
              </w:rPr>
            </w:pPr>
            <w:r>
              <w:rPr>
                <w:sz w:val="21"/>
              </w:rPr>
              <w:t>风频(%) </w:t>
            </w:r>
          </w:p>
        </w:tc>
        <w:tc>
          <w:tcPr>
            <w:tcW w:w="735" w:type="dxa"/>
          </w:tcPr>
          <w:p>
            <w:pPr>
              <w:pStyle w:val="TableParagraph"/>
              <w:spacing w:before="154"/>
              <w:ind w:right="273"/>
              <w:jc w:val="right"/>
              <w:rPr>
                <w:rFonts w:ascii="Times New Roman"/>
                <w:sz w:val="21"/>
              </w:rPr>
            </w:pPr>
            <w:r>
              <w:rPr>
                <w:rFonts w:ascii="Times New Roman"/>
                <w:w w:val="100"/>
                <w:sz w:val="21"/>
              </w:rPr>
              <w:t>N</w:t>
            </w:r>
          </w:p>
        </w:tc>
        <w:tc>
          <w:tcPr>
            <w:tcW w:w="735" w:type="dxa"/>
          </w:tcPr>
          <w:p>
            <w:pPr>
              <w:pStyle w:val="TableParagraph"/>
              <w:spacing w:before="154"/>
              <w:ind w:left="125" w:right="107"/>
              <w:rPr>
                <w:rFonts w:ascii="Times New Roman"/>
                <w:sz w:val="21"/>
              </w:rPr>
            </w:pPr>
            <w:r>
              <w:rPr>
                <w:rFonts w:ascii="Times New Roman"/>
                <w:sz w:val="21"/>
              </w:rPr>
              <w:t>NNE</w:t>
            </w:r>
          </w:p>
        </w:tc>
        <w:tc>
          <w:tcPr>
            <w:tcW w:w="735" w:type="dxa"/>
          </w:tcPr>
          <w:p>
            <w:pPr>
              <w:pStyle w:val="TableParagraph"/>
              <w:spacing w:before="154"/>
              <w:ind w:left="223"/>
              <w:jc w:val="left"/>
              <w:rPr>
                <w:rFonts w:ascii="Times New Roman"/>
                <w:sz w:val="21"/>
              </w:rPr>
            </w:pPr>
            <w:r>
              <w:rPr>
                <w:rFonts w:ascii="Times New Roman"/>
                <w:sz w:val="21"/>
              </w:rPr>
              <w:t>NE</w:t>
            </w:r>
          </w:p>
        </w:tc>
        <w:tc>
          <w:tcPr>
            <w:tcW w:w="736" w:type="dxa"/>
          </w:tcPr>
          <w:p>
            <w:pPr>
              <w:pStyle w:val="TableParagraph"/>
              <w:spacing w:before="154"/>
              <w:ind w:left="141" w:right="126"/>
              <w:rPr>
                <w:rFonts w:ascii="Times New Roman"/>
                <w:sz w:val="21"/>
              </w:rPr>
            </w:pPr>
            <w:r>
              <w:rPr>
                <w:rFonts w:ascii="Times New Roman"/>
                <w:sz w:val="21"/>
              </w:rPr>
              <w:t>ENE</w:t>
            </w:r>
          </w:p>
        </w:tc>
        <w:tc>
          <w:tcPr>
            <w:tcW w:w="735" w:type="dxa"/>
          </w:tcPr>
          <w:p>
            <w:pPr>
              <w:pStyle w:val="TableParagraph"/>
              <w:spacing w:before="154"/>
              <w:ind w:left="11"/>
              <w:rPr>
                <w:rFonts w:ascii="Times New Roman"/>
                <w:sz w:val="21"/>
              </w:rPr>
            </w:pPr>
            <w:r>
              <w:rPr>
                <w:rFonts w:ascii="Times New Roman"/>
                <w:w w:val="100"/>
                <w:sz w:val="21"/>
              </w:rPr>
              <w:t>E</w:t>
            </w:r>
          </w:p>
        </w:tc>
        <w:tc>
          <w:tcPr>
            <w:tcW w:w="735" w:type="dxa"/>
          </w:tcPr>
          <w:p>
            <w:pPr>
              <w:pStyle w:val="TableParagraph"/>
              <w:spacing w:before="154"/>
              <w:ind w:left="124" w:right="112"/>
              <w:rPr>
                <w:rFonts w:ascii="Times New Roman"/>
                <w:sz w:val="21"/>
              </w:rPr>
            </w:pPr>
            <w:r>
              <w:rPr>
                <w:rFonts w:ascii="Times New Roman"/>
                <w:sz w:val="21"/>
              </w:rPr>
              <w:t>ESE</w:t>
            </w:r>
          </w:p>
        </w:tc>
        <w:tc>
          <w:tcPr>
            <w:tcW w:w="735" w:type="dxa"/>
          </w:tcPr>
          <w:p>
            <w:pPr>
              <w:pStyle w:val="TableParagraph"/>
              <w:spacing w:before="154"/>
              <w:ind w:left="123" w:right="112"/>
              <w:rPr>
                <w:rFonts w:ascii="Times New Roman"/>
                <w:sz w:val="21"/>
              </w:rPr>
            </w:pPr>
            <w:r>
              <w:rPr>
                <w:rFonts w:ascii="Times New Roman"/>
                <w:sz w:val="21"/>
              </w:rPr>
              <w:t>SE</w:t>
            </w:r>
          </w:p>
        </w:tc>
        <w:tc>
          <w:tcPr>
            <w:tcW w:w="735" w:type="dxa"/>
          </w:tcPr>
          <w:p>
            <w:pPr>
              <w:pStyle w:val="TableParagraph"/>
              <w:spacing w:before="154"/>
              <w:ind w:left="179"/>
              <w:jc w:val="left"/>
              <w:rPr>
                <w:rFonts w:ascii="Times New Roman"/>
                <w:sz w:val="21"/>
              </w:rPr>
            </w:pPr>
            <w:r>
              <w:rPr>
                <w:rFonts w:ascii="Times New Roman"/>
                <w:sz w:val="21"/>
              </w:rPr>
              <w:t>SSE</w:t>
            </w:r>
          </w:p>
        </w:tc>
        <w:tc>
          <w:tcPr>
            <w:tcW w:w="733" w:type="dxa"/>
          </w:tcPr>
          <w:p>
            <w:pPr>
              <w:pStyle w:val="TableParagraph"/>
              <w:spacing w:before="154"/>
              <w:ind w:left="2"/>
              <w:rPr>
                <w:rFonts w:ascii="Times New Roman"/>
                <w:sz w:val="21"/>
              </w:rPr>
            </w:pPr>
            <w:r>
              <w:rPr>
                <w:rFonts w:ascii="Times New Roman"/>
                <w:w w:val="100"/>
                <w:sz w:val="21"/>
              </w:rPr>
              <w:t>S</w:t>
            </w:r>
          </w:p>
        </w:tc>
        <w:tc>
          <w:tcPr>
            <w:tcW w:w="735" w:type="dxa"/>
          </w:tcPr>
          <w:p>
            <w:pPr>
              <w:pStyle w:val="TableParagraph"/>
              <w:spacing w:before="154"/>
              <w:ind w:left="120" w:right="112"/>
              <w:rPr>
                <w:rFonts w:ascii="Times New Roman"/>
                <w:sz w:val="21"/>
              </w:rPr>
            </w:pPr>
            <w:r>
              <w:rPr>
                <w:rFonts w:ascii="Times New Roman"/>
                <w:sz w:val="21"/>
              </w:rPr>
              <w:t>SSW</w:t>
            </w:r>
          </w:p>
        </w:tc>
        <w:tc>
          <w:tcPr>
            <w:tcW w:w="735" w:type="dxa"/>
          </w:tcPr>
          <w:p>
            <w:pPr>
              <w:pStyle w:val="TableParagraph"/>
              <w:spacing w:before="154"/>
              <w:ind w:right="194"/>
              <w:jc w:val="right"/>
              <w:rPr>
                <w:rFonts w:ascii="Times New Roman"/>
                <w:sz w:val="21"/>
              </w:rPr>
            </w:pPr>
            <w:r>
              <w:rPr>
                <w:rFonts w:ascii="Times New Roman"/>
                <w:sz w:val="21"/>
              </w:rPr>
              <w:t>SW</w:t>
            </w:r>
          </w:p>
        </w:tc>
        <w:tc>
          <w:tcPr>
            <w:tcW w:w="788" w:type="dxa"/>
          </w:tcPr>
          <w:p>
            <w:pPr>
              <w:pStyle w:val="TableParagraph"/>
              <w:spacing w:before="154"/>
              <w:ind w:left="110" w:right="104"/>
              <w:rPr>
                <w:rFonts w:ascii="Times New Roman"/>
                <w:sz w:val="21"/>
              </w:rPr>
            </w:pPr>
            <w:r>
              <w:rPr>
                <w:rFonts w:ascii="Times New Roman"/>
                <w:sz w:val="21"/>
              </w:rPr>
              <w:t>WSW</w:t>
            </w:r>
          </w:p>
        </w:tc>
        <w:tc>
          <w:tcPr>
            <w:tcW w:w="735" w:type="dxa"/>
          </w:tcPr>
          <w:p>
            <w:pPr>
              <w:pStyle w:val="TableParagraph"/>
              <w:spacing w:before="154"/>
              <w:rPr>
                <w:rFonts w:ascii="Times New Roman"/>
                <w:sz w:val="21"/>
              </w:rPr>
            </w:pPr>
            <w:r>
              <w:rPr>
                <w:rFonts w:ascii="Times New Roman"/>
                <w:w w:val="100"/>
                <w:sz w:val="21"/>
              </w:rPr>
              <w:t>W</w:t>
            </w:r>
          </w:p>
        </w:tc>
        <w:tc>
          <w:tcPr>
            <w:tcW w:w="827" w:type="dxa"/>
          </w:tcPr>
          <w:p>
            <w:pPr>
              <w:pStyle w:val="TableParagraph"/>
              <w:spacing w:before="154"/>
              <w:ind w:left="110" w:right="108"/>
              <w:rPr>
                <w:rFonts w:ascii="Times New Roman"/>
                <w:sz w:val="21"/>
              </w:rPr>
            </w:pPr>
            <w:r>
              <w:rPr>
                <w:rFonts w:ascii="Times New Roman"/>
                <w:sz w:val="21"/>
              </w:rPr>
              <w:t>WNW</w:t>
            </w:r>
          </w:p>
        </w:tc>
        <w:tc>
          <w:tcPr>
            <w:tcW w:w="735" w:type="dxa"/>
          </w:tcPr>
          <w:p>
            <w:pPr>
              <w:pStyle w:val="TableParagraph"/>
              <w:spacing w:before="154"/>
              <w:ind w:left="182"/>
              <w:jc w:val="left"/>
              <w:rPr>
                <w:rFonts w:ascii="Times New Roman"/>
                <w:sz w:val="21"/>
              </w:rPr>
            </w:pPr>
            <w:r>
              <w:rPr>
                <w:rFonts w:ascii="Times New Roman"/>
                <w:sz w:val="21"/>
              </w:rPr>
              <w:t>NW</w:t>
            </w:r>
          </w:p>
        </w:tc>
        <w:tc>
          <w:tcPr>
            <w:tcW w:w="776" w:type="dxa"/>
          </w:tcPr>
          <w:p>
            <w:pPr>
              <w:pStyle w:val="TableParagraph"/>
              <w:spacing w:before="154"/>
              <w:ind w:right="123"/>
              <w:jc w:val="right"/>
              <w:rPr>
                <w:rFonts w:ascii="Times New Roman"/>
                <w:sz w:val="21"/>
              </w:rPr>
            </w:pPr>
            <w:r>
              <w:rPr>
                <w:rFonts w:ascii="Times New Roman"/>
                <w:sz w:val="21"/>
              </w:rPr>
              <w:t>NNW</w:t>
            </w:r>
          </w:p>
        </w:tc>
        <w:tc>
          <w:tcPr>
            <w:tcW w:w="735" w:type="dxa"/>
          </w:tcPr>
          <w:p>
            <w:pPr>
              <w:pStyle w:val="TableParagraph"/>
              <w:spacing w:before="154"/>
              <w:ind w:left="286"/>
              <w:jc w:val="left"/>
              <w:rPr>
                <w:rFonts w:ascii="Times New Roman"/>
                <w:sz w:val="21"/>
              </w:rPr>
            </w:pPr>
            <w:r>
              <w:rPr>
                <w:rFonts w:ascii="Times New Roman"/>
                <w:w w:val="100"/>
                <w:sz w:val="21"/>
              </w:rPr>
              <w:t>C</w:t>
            </w:r>
          </w:p>
        </w:tc>
      </w:tr>
      <w:tr>
        <w:trPr>
          <w:trHeight w:val="282" w:hRule="atLeast"/>
        </w:trPr>
        <w:tc>
          <w:tcPr>
            <w:tcW w:w="1508" w:type="dxa"/>
          </w:tcPr>
          <w:p>
            <w:pPr>
              <w:pStyle w:val="TableParagraph"/>
              <w:spacing w:line="250" w:lineRule="exact" w:before="12"/>
              <w:ind w:left="418" w:right="399"/>
              <w:rPr>
                <w:sz w:val="21"/>
              </w:rPr>
            </w:pPr>
            <w:r>
              <w:rPr>
                <w:sz w:val="21"/>
              </w:rPr>
              <w:t>春季</w:t>
            </w:r>
          </w:p>
        </w:tc>
        <w:tc>
          <w:tcPr>
            <w:tcW w:w="735" w:type="dxa"/>
          </w:tcPr>
          <w:p>
            <w:pPr>
              <w:pStyle w:val="TableParagraph"/>
              <w:spacing w:line="221" w:lineRule="exact" w:before="41"/>
              <w:ind w:right="218"/>
              <w:jc w:val="right"/>
              <w:rPr>
                <w:rFonts w:ascii="Times New Roman"/>
                <w:sz w:val="21"/>
              </w:rPr>
            </w:pPr>
            <w:r>
              <w:rPr>
                <w:rFonts w:ascii="Times New Roman"/>
                <w:sz w:val="21"/>
              </w:rPr>
              <w:t>5.8</w:t>
            </w:r>
          </w:p>
        </w:tc>
        <w:tc>
          <w:tcPr>
            <w:tcW w:w="735" w:type="dxa"/>
          </w:tcPr>
          <w:p>
            <w:pPr>
              <w:pStyle w:val="TableParagraph"/>
              <w:spacing w:line="221" w:lineRule="exact" w:before="41"/>
              <w:ind w:left="125" w:right="109"/>
              <w:rPr>
                <w:rFonts w:ascii="Times New Roman"/>
                <w:sz w:val="21"/>
              </w:rPr>
            </w:pPr>
            <w:r>
              <w:rPr>
                <w:rFonts w:ascii="Times New Roman"/>
                <w:sz w:val="21"/>
              </w:rPr>
              <w:t>4.1</w:t>
            </w:r>
          </w:p>
        </w:tc>
        <w:tc>
          <w:tcPr>
            <w:tcW w:w="735" w:type="dxa"/>
          </w:tcPr>
          <w:p>
            <w:pPr>
              <w:pStyle w:val="TableParagraph"/>
              <w:spacing w:line="221" w:lineRule="exact" w:before="41"/>
              <w:ind w:left="233"/>
              <w:jc w:val="left"/>
              <w:rPr>
                <w:rFonts w:ascii="Times New Roman"/>
                <w:sz w:val="21"/>
              </w:rPr>
            </w:pPr>
            <w:r>
              <w:rPr>
                <w:rFonts w:ascii="Times New Roman"/>
                <w:sz w:val="21"/>
              </w:rPr>
              <w:t>8.3</w:t>
            </w:r>
          </w:p>
        </w:tc>
        <w:tc>
          <w:tcPr>
            <w:tcW w:w="736" w:type="dxa"/>
          </w:tcPr>
          <w:p>
            <w:pPr>
              <w:pStyle w:val="TableParagraph"/>
              <w:spacing w:line="221" w:lineRule="exact" w:before="41"/>
              <w:ind w:left="139" w:right="126"/>
              <w:rPr>
                <w:rFonts w:ascii="Times New Roman"/>
                <w:sz w:val="21"/>
              </w:rPr>
            </w:pPr>
            <w:r>
              <w:rPr>
                <w:rFonts w:ascii="Times New Roman"/>
                <w:sz w:val="21"/>
              </w:rPr>
              <w:t>15.6</w:t>
            </w:r>
          </w:p>
        </w:tc>
        <w:tc>
          <w:tcPr>
            <w:tcW w:w="735" w:type="dxa"/>
          </w:tcPr>
          <w:p>
            <w:pPr>
              <w:pStyle w:val="TableParagraph"/>
              <w:spacing w:line="221" w:lineRule="exact" w:before="41"/>
              <w:ind w:left="124" w:right="112"/>
              <w:rPr>
                <w:rFonts w:ascii="Times New Roman"/>
                <w:sz w:val="21"/>
              </w:rPr>
            </w:pPr>
            <w:r>
              <w:rPr>
                <w:rFonts w:ascii="Times New Roman"/>
                <w:sz w:val="21"/>
              </w:rPr>
              <w:t>7.8</w:t>
            </w:r>
          </w:p>
        </w:tc>
        <w:tc>
          <w:tcPr>
            <w:tcW w:w="735" w:type="dxa"/>
          </w:tcPr>
          <w:p>
            <w:pPr>
              <w:pStyle w:val="TableParagraph"/>
              <w:spacing w:line="221" w:lineRule="exact" w:before="41"/>
              <w:ind w:left="123" w:right="112"/>
              <w:rPr>
                <w:rFonts w:ascii="Times New Roman"/>
                <w:sz w:val="21"/>
              </w:rPr>
            </w:pPr>
            <w:r>
              <w:rPr>
                <w:rFonts w:ascii="Times New Roman"/>
                <w:sz w:val="21"/>
              </w:rPr>
              <w:t>3.2</w:t>
            </w:r>
          </w:p>
        </w:tc>
        <w:tc>
          <w:tcPr>
            <w:tcW w:w="735" w:type="dxa"/>
          </w:tcPr>
          <w:p>
            <w:pPr>
              <w:pStyle w:val="TableParagraph"/>
              <w:spacing w:line="221" w:lineRule="exact" w:before="41"/>
              <w:ind w:left="121" w:right="112"/>
              <w:rPr>
                <w:rFonts w:ascii="Times New Roman"/>
                <w:sz w:val="21"/>
              </w:rPr>
            </w:pPr>
            <w:r>
              <w:rPr>
                <w:rFonts w:ascii="Times New Roman"/>
                <w:sz w:val="21"/>
              </w:rPr>
              <w:t>6.3</w:t>
            </w:r>
          </w:p>
        </w:tc>
        <w:tc>
          <w:tcPr>
            <w:tcW w:w="735" w:type="dxa"/>
          </w:tcPr>
          <w:p>
            <w:pPr>
              <w:pStyle w:val="TableParagraph"/>
              <w:spacing w:line="221" w:lineRule="exact" w:before="41"/>
              <w:ind w:left="177"/>
              <w:jc w:val="left"/>
              <w:rPr>
                <w:rFonts w:ascii="Times New Roman"/>
                <w:sz w:val="21"/>
              </w:rPr>
            </w:pPr>
            <w:r>
              <w:rPr>
                <w:rFonts w:ascii="Times New Roman"/>
                <w:sz w:val="21"/>
              </w:rPr>
              <w:t>13.0</w:t>
            </w:r>
          </w:p>
        </w:tc>
        <w:tc>
          <w:tcPr>
            <w:tcW w:w="733" w:type="dxa"/>
          </w:tcPr>
          <w:p>
            <w:pPr>
              <w:pStyle w:val="TableParagraph"/>
              <w:spacing w:line="221" w:lineRule="exact" w:before="41"/>
              <w:ind w:left="154" w:right="150"/>
              <w:rPr>
                <w:rFonts w:ascii="Times New Roman"/>
                <w:sz w:val="21"/>
              </w:rPr>
            </w:pPr>
            <w:r>
              <w:rPr>
                <w:rFonts w:ascii="Times New Roman"/>
                <w:sz w:val="21"/>
              </w:rPr>
              <w:t>10.1</w:t>
            </w:r>
          </w:p>
        </w:tc>
        <w:tc>
          <w:tcPr>
            <w:tcW w:w="735" w:type="dxa"/>
          </w:tcPr>
          <w:p>
            <w:pPr>
              <w:pStyle w:val="TableParagraph"/>
              <w:spacing w:line="221" w:lineRule="exact" w:before="41"/>
              <w:ind w:left="118" w:right="112"/>
              <w:rPr>
                <w:rFonts w:ascii="Times New Roman"/>
                <w:sz w:val="21"/>
              </w:rPr>
            </w:pPr>
            <w:r>
              <w:rPr>
                <w:rFonts w:ascii="Times New Roman"/>
                <w:sz w:val="21"/>
              </w:rPr>
              <w:t>3.0</w:t>
            </w:r>
          </w:p>
        </w:tc>
        <w:tc>
          <w:tcPr>
            <w:tcW w:w="735" w:type="dxa"/>
          </w:tcPr>
          <w:p>
            <w:pPr>
              <w:pStyle w:val="TableParagraph"/>
              <w:spacing w:line="221" w:lineRule="exact" w:before="41"/>
              <w:ind w:right="222"/>
              <w:jc w:val="right"/>
              <w:rPr>
                <w:rFonts w:ascii="Times New Roman"/>
                <w:sz w:val="21"/>
              </w:rPr>
            </w:pPr>
            <w:r>
              <w:rPr>
                <w:rFonts w:ascii="Times New Roman"/>
                <w:sz w:val="21"/>
              </w:rPr>
              <w:t>2.5</w:t>
            </w:r>
          </w:p>
        </w:tc>
        <w:tc>
          <w:tcPr>
            <w:tcW w:w="788" w:type="dxa"/>
          </w:tcPr>
          <w:p>
            <w:pPr>
              <w:pStyle w:val="TableParagraph"/>
              <w:spacing w:line="221" w:lineRule="exact" w:before="41"/>
              <w:ind w:left="107" w:right="104"/>
              <w:rPr>
                <w:rFonts w:ascii="Times New Roman"/>
                <w:sz w:val="21"/>
              </w:rPr>
            </w:pPr>
            <w:r>
              <w:rPr>
                <w:rFonts w:ascii="Times New Roman"/>
                <w:sz w:val="21"/>
              </w:rPr>
              <w:t>2.2</w:t>
            </w:r>
          </w:p>
        </w:tc>
        <w:tc>
          <w:tcPr>
            <w:tcW w:w="735" w:type="dxa"/>
          </w:tcPr>
          <w:p>
            <w:pPr>
              <w:pStyle w:val="TableParagraph"/>
              <w:spacing w:line="221" w:lineRule="exact" w:before="41"/>
              <w:ind w:left="114" w:right="112"/>
              <w:rPr>
                <w:rFonts w:ascii="Times New Roman"/>
                <w:sz w:val="21"/>
              </w:rPr>
            </w:pPr>
            <w:r>
              <w:rPr>
                <w:rFonts w:ascii="Times New Roman"/>
                <w:sz w:val="21"/>
              </w:rPr>
              <w:t>2.9</w:t>
            </w:r>
          </w:p>
        </w:tc>
        <w:tc>
          <w:tcPr>
            <w:tcW w:w="827" w:type="dxa"/>
          </w:tcPr>
          <w:p>
            <w:pPr>
              <w:pStyle w:val="TableParagraph"/>
              <w:spacing w:line="221" w:lineRule="exact" w:before="41"/>
              <w:ind w:left="108" w:right="108"/>
              <w:rPr>
                <w:rFonts w:ascii="Times New Roman"/>
                <w:sz w:val="21"/>
              </w:rPr>
            </w:pPr>
            <w:r>
              <w:rPr>
                <w:rFonts w:ascii="Times New Roman"/>
                <w:sz w:val="21"/>
              </w:rPr>
              <w:t>3.9</w:t>
            </w:r>
          </w:p>
        </w:tc>
        <w:tc>
          <w:tcPr>
            <w:tcW w:w="735" w:type="dxa"/>
          </w:tcPr>
          <w:p>
            <w:pPr>
              <w:pStyle w:val="TableParagraph"/>
              <w:spacing w:line="221" w:lineRule="exact" w:before="41"/>
              <w:ind w:left="225"/>
              <w:jc w:val="left"/>
              <w:rPr>
                <w:rFonts w:ascii="Times New Roman"/>
                <w:sz w:val="21"/>
              </w:rPr>
            </w:pPr>
            <w:r>
              <w:rPr>
                <w:rFonts w:ascii="Times New Roman"/>
                <w:sz w:val="21"/>
              </w:rPr>
              <w:t>4.3</w:t>
            </w:r>
          </w:p>
        </w:tc>
        <w:tc>
          <w:tcPr>
            <w:tcW w:w="776" w:type="dxa"/>
          </w:tcPr>
          <w:p>
            <w:pPr>
              <w:pStyle w:val="TableParagraph"/>
              <w:spacing w:line="221" w:lineRule="exact" w:before="41"/>
              <w:ind w:left="243"/>
              <w:jc w:val="left"/>
              <w:rPr>
                <w:rFonts w:ascii="Times New Roman"/>
                <w:sz w:val="21"/>
              </w:rPr>
            </w:pPr>
            <w:r>
              <w:rPr>
                <w:rFonts w:ascii="Times New Roman"/>
                <w:sz w:val="21"/>
              </w:rPr>
              <w:t>4.4</w:t>
            </w:r>
          </w:p>
        </w:tc>
        <w:tc>
          <w:tcPr>
            <w:tcW w:w="735" w:type="dxa"/>
          </w:tcPr>
          <w:p>
            <w:pPr>
              <w:pStyle w:val="TableParagraph"/>
              <w:spacing w:line="221" w:lineRule="exact" w:before="41"/>
              <w:ind w:left="223"/>
              <w:jc w:val="left"/>
              <w:rPr>
                <w:rFonts w:ascii="Times New Roman"/>
                <w:sz w:val="21"/>
              </w:rPr>
            </w:pPr>
            <w:r>
              <w:rPr>
                <w:rFonts w:ascii="Times New Roman"/>
                <w:sz w:val="21"/>
              </w:rPr>
              <w:t>2.4</w:t>
            </w:r>
          </w:p>
        </w:tc>
      </w:tr>
      <w:tr>
        <w:trPr>
          <w:trHeight w:val="284" w:hRule="atLeast"/>
        </w:trPr>
        <w:tc>
          <w:tcPr>
            <w:tcW w:w="1508" w:type="dxa"/>
          </w:tcPr>
          <w:p>
            <w:pPr>
              <w:pStyle w:val="TableParagraph"/>
              <w:spacing w:line="250" w:lineRule="exact" w:before="15"/>
              <w:ind w:left="418" w:right="399"/>
              <w:rPr>
                <w:sz w:val="21"/>
              </w:rPr>
            </w:pPr>
            <w:r>
              <w:rPr>
                <w:sz w:val="21"/>
              </w:rPr>
              <w:t>夏季</w:t>
            </w:r>
          </w:p>
        </w:tc>
        <w:tc>
          <w:tcPr>
            <w:tcW w:w="735" w:type="dxa"/>
          </w:tcPr>
          <w:p>
            <w:pPr>
              <w:pStyle w:val="TableParagraph"/>
              <w:spacing w:line="221" w:lineRule="exact" w:before="43"/>
              <w:ind w:right="218"/>
              <w:jc w:val="right"/>
              <w:rPr>
                <w:rFonts w:ascii="Times New Roman"/>
                <w:sz w:val="21"/>
              </w:rPr>
            </w:pPr>
            <w:r>
              <w:rPr>
                <w:rFonts w:ascii="Times New Roman"/>
                <w:sz w:val="21"/>
              </w:rPr>
              <w:t>4.7</w:t>
            </w:r>
          </w:p>
        </w:tc>
        <w:tc>
          <w:tcPr>
            <w:tcW w:w="735" w:type="dxa"/>
          </w:tcPr>
          <w:p>
            <w:pPr>
              <w:pStyle w:val="TableParagraph"/>
              <w:spacing w:line="221" w:lineRule="exact" w:before="43"/>
              <w:ind w:left="125" w:right="109"/>
              <w:rPr>
                <w:rFonts w:ascii="Times New Roman"/>
                <w:sz w:val="21"/>
              </w:rPr>
            </w:pPr>
            <w:r>
              <w:rPr>
                <w:rFonts w:ascii="Times New Roman"/>
                <w:sz w:val="21"/>
              </w:rPr>
              <w:t>2.4</w:t>
            </w:r>
          </w:p>
        </w:tc>
        <w:tc>
          <w:tcPr>
            <w:tcW w:w="735" w:type="dxa"/>
          </w:tcPr>
          <w:p>
            <w:pPr>
              <w:pStyle w:val="TableParagraph"/>
              <w:spacing w:line="221" w:lineRule="exact" w:before="43"/>
              <w:ind w:left="233"/>
              <w:jc w:val="left"/>
              <w:rPr>
                <w:rFonts w:ascii="Times New Roman"/>
                <w:sz w:val="21"/>
              </w:rPr>
            </w:pPr>
            <w:r>
              <w:rPr>
                <w:rFonts w:ascii="Times New Roman"/>
                <w:sz w:val="21"/>
              </w:rPr>
              <w:t>5.5</w:t>
            </w:r>
          </w:p>
        </w:tc>
        <w:tc>
          <w:tcPr>
            <w:tcW w:w="736" w:type="dxa"/>
          </w:tcPr>
          <w:p>
            <w:pPr>
              <w:pStyle w:val="TableParagraph"/>
              <w:spacing w:line="221" w:lineRule="exact" w:before="43"/>
              <w:ind w:left="139" w:right="126"/>
              <w:rPr>
                <w:rFonts w:ascii="Times New Roman"/>
                <w:sz w:val="21"/>
              </w:rPr>
            </w:pPr>
            <w:r>
              <w:rPr>
                <w:rFonts w:ascii="Times New Roman"/>
                <w:sz w:val="21"/>
              </w:rPr>
              <w:t>8.5</w:t>
            </w:r>
          </w:p>
        </w:tc>
        <w:tc>
          <w:tcPr>
            <w:tcW w:w="735" w:type="dxa"/>
          </w:tcPr>
          <w:p>
            <w:pPr>
              <w:pStyle w:val="TableParagraph"/>
              <w:spacing w:line="221" w:lineRule="exact" w:before="43"/>
              <w:ind w:left="124" w:right="112"/>
              <w:rPr>
                <w:rFonts w:ascii="Times New Roman"/>
                <w:sz w:val="21"/>
              </w:rPr>
            </w:pPr>
            <w:r>
              <w:rPr>
                <w:rFonts w:ascii="Times New Roman"/>
                <w:sz w:val="21"/>
              </w:rPr>
              <w:t>7.0</w:t>
            </w:r>
          </w:p>
        </w:tc>
        <w:tc>
          <w:tcPr>
            <w:tcW w:w="735" w:type="dxa"/>
          </w:tcPr>
          <w:p>
            <w:pPr>
              <w:pStyle w:val="TableParagraph"/>
              <w:spacing w:line="221" w:lineRule="exact" w:before="43"/>
              <w:ind w:left="123" w:right="112"/>
              <w:rPr>
                <w:rFonts w:ascii="Times New Roman"/>
                <w:sz w:val="21"/>
              </w:rPr>
            </w:pPr>
            <w:r>
              <w:rPr>
                <w:rFonts w:ascii="Times New Roman"/>
                <w:sz w:val="21"/>
              </w:rPr>
              <w:t>3.8</w:t>
            </w:r>
          </w:p>
        </w:tc>
        <w:tc>
          <w:tcPr>
            <w:tcW w:w="735" w:type="dxa"/>
          </w:tcPr>
          <w:p>
            <w:pPr>
              <w:pStyle w:val="TableParagraph"/>
              <w:spacing w:line="221" w:lineRule="exact" w:before="43"/>
              <w:ind w:left="121" w:right="112"/>
              <w:rPr>
                <w:rFonts w:ascii="Times New Roman"/>
                <w:sz w:val="21"/>
              </w:rPr>
            </w:pPr>
            <w:r>
              <w:rPr>
                <w:rFonts w:ascii="Times New Roman"/>
                <w:sz w:val="21"/>
              </w:rPr>
              <w:t>6.2</w:t>
            </w:r>
          </w:p>
        </w:tc>
        <w:tc>
          <w:tcPr>
            <w:tcW w:w="735" w:type="dxa"/>
          </w:tcPr>
          <w:p>
            <w:pPr>
              <w:pStyle w:val="TableParagraph"/>
              <w:spacing w:line="221" w:lineRule="exact" w:before="43"/>
              <w:ind w:left="177"/>
              <w:jc w:val="left"/>
              <w:rPr>
                <w:rFonts w:ascii="Times New Roman"/>
                <w:sz w:val="21"/>
              </w:rPr>
            </w:pPr>
            <w:r>
              <w:rPr>
                <w:rFonts w:ascii="Times New Roman"/>
                <w:sz w:val="21"/>
              </w:rPr>
              <w:t>14.6</w:t>
            </w:r>
          </w:p>
        </w:tc>
        <w:tc>
          <w:tcPr>
            <w:tcW w:w="733" w:type="dxa"/>
          </w:tcPr>
          <w:p>
            <w:pPr>
              <w:pStyle w:val="TableParagraph"/>
              <w:spacing w:line="221" w:lineRule="exact" w:before="43"/>
              <w:ind w:left="154" w:right="150"/>
              <w:rPr>
                <w:rFonts w:ascii="Times New Roman"/>
                <w:sz w:val="21"/>
              </w:rPr>
            </w:pPr>
            <w:r>
              <w:rPr>
                <w:rFonts w:ascii="Times New Roman"/>
                <w:sz w:val="21"/>
              </w:rPr>
              <w:t>16.1</w:t>
            </w:r>
          </w:p>
        </w:tc>
        <w:tc>
          <w:tcPr>
            <w:tcW w:w="735" w:type="dxa"/>
          </w:tcPr>
          <w:p>
            <w:pPr>
              <w:pStyle w:val="TableParagraph"/>
              <w:spacing w:line="221" w:lineRule="exact" w:before="43"/>
              <w:ind w:left="118" w:right="112"/>
              <w:rPr>
                <w:rFonts w:ascii="Times New Roman"/>
                <w:sz w:val="21"/>
              </w:rPr>
            </w:pPr>
            <w:r>
              <w:rPr>
                <w:rFonts w:ascii="Times New Roman"/>
                <w:sz w:val="21"/>
              </w:rPr>
              <w:t>8.0</w:t>
            </w:r>
          </w:p>
        </w:tc>
        <w:tc>
          <w:tcPr>
            <w:tcW w:w="735" w:type="dxa"/>
          </w:tcPr>
          <w:p>
            <w:pPr>
              <w:pStyle w:val="TableParagraph"/>
              <w:spacing w:line="221" w:lineRule="exact" w:before="43"/>
              <w:ind w:right="222"/>
              <w:jc w:val="right"/>
              <w:rPr>
                <w:rFonts w:ascii="Times New Roman"/>
                <w:sz w:val="21"/>
              </w:rPr>
            </w:pPr>
            <w:r>
              <w:rPr>
                <w:rFonts w:ascii="Times New Roman"/>
                <w:sz w:val="21"/>
              </w:rPr>
              <w:t>7.0</w:t>
            </w:r>
          </w:p>
        </w:tc>
        <w:tc>
          <w:tcPr>
            <w:tcW w:w="788" w:type="dxa"/>
          </w:tcPr>
          <w:p>
            <w:pPr>
              <w:pStyle w:val="TableParagraph"/>
              <w:spacing w:line="221" w:lineRule="exact" w:before="43"/>
              <w:ind w:left="107" w:right="104"/>
              <w:rPr>
                <w:rFonts w:ascii="Times New Roman"/>
                <w:sz w:val="21"/>
              </w:rPr>
            </w:pPr>
            <w:r>
              <w:rPr>
                <w:rFonts w:ascii="Times New Roman"/>
                <w:sz w:val="21"/>
              </w:rPr>
              <w:t>3.4</w:t>
            </w:r>
          </w:p>
        </w:tc>
        <w:tc>
          <w:tcPr>
            <w:tcW w:w="735" w:type="dxa"/>
          </w:tcPr>
          <w:p>
            <w:pPr>
              <w:pStyle w:val="TableParagraph"/>
              <w:spacing w:line="221" w:lineRule="exact" w:before="43"/>
              <w:ind w:left="114" w:right="112"/>
              <w:rPr>
                <w:rFonts w:ascii="Times New Roman"/>
                <w:sz w:val="21"/>
              </w:rPr>
            </w:pPr>
            <w:r>
              <w:rPr>
                <w:rFonts w:ascii="Times New Roman"/>
                <w:sz w:val="21"/>
              </w:rPr>
              <w:t>2.4</w:t>
            </w:r>
          </w:p>
        </w:tc>
        <w:tc>
          <w:tcPr>
            <w:tcW w:w="827" w:type="dxa"/>
          </w:tcPr>
          <w:p>
            <w:pPr>
              <w:pStyle w:val="TableParagraph"/>
              <w:spacing w:line="221" w:lineRule="exact" w:before="43"/>
              <w:ind w:left="108" w:right="108"/>
              <w:rPr>
                <w:rFonts w:ascii="Times New Roman"/>
                <w:sz w:val="21"/>
              </w:rPr>
            </w:pPr>
            <w:r>
              <w:rPr>
                <w:rFonts w:ascii="Times New Roman"/>
                <w:sz w:val="21"/>
              </w:rPr>
              <w:t>1.6</w:t>
            </w:r>
          </w:p>
        </w:tc>
        <w:tc>
          <w:tcPr>
            <w:tcW w:w="735" w:type="dxa"/>
          </w:tcPr>
          <w:p>
            <w:pPr>
              <w:pStyle w:val="TableParagraph"/>
              <w:spacing w:line="221" w:lineRule="exact" w:before="43"/>
              <w:ind w:left="225"/>
              <w:jc w:val="left"/>
              <w:rPr>
                <w:rFonts w:ascii="Times New Roman"/>
                <w:sz w:val="21"/>
              </w:rPr>
            </w:pPr>
            <w:r>
              <w:rPr>
                <w:rFonts w:ascii="Times New Roman"/>
                <w:sz w:val="21"/>
              </w:rPr>
              <w:t>1.6</w:t>
            </w:r>
          </w:p>
        </w:tc>
        <w:tc>
          <w:tcPr>
            <w:tcW w:w="776" w:type="dxa"/>
          </w:tcPr>
          <w:p>
            <w:pPr>
              <w:pStyle w:val="TableParagraph"/>
              <w:spacing w:line="221" w:lineRule="exact" w:before="43"/>
              <w:ind w:left="243"/>
              <w:jc w:val="left"/>
              <w:rPr>
                <w:rFonts w:ascii="Times New Roman"/>
                <w:sz w:val="21"/>
              </w:rPr>
            </w:pPr>
            <w:r>
              <w:rPr>
                <w:rFonts w:ascii="Times New Roman"/>
                <w:sz w:val="21"/>
              </w:rPr>
              <w:t>2.8</w:t>
            </w:r>
          </w:p>
        </w:tc>
        <w:tc>
          <w:tcPr>
            <w:tcW w:w="735" w:type="dxa"/>
          </w:tcPr>
          <w:p>
            <w:pPr>
              <w:pStyle w:val="TableParagraph"/>
              <w:spacing w:line="221" w:lineRule="exact" w:before="43"/>
              <w:ind w:left="223"/>
              <w:jc w:val="left"/>
              <w:rPr>
                <w:rFonts w:ascii="Times New Roman"/>
                <w:sz w:val="21"/>
              </w:rPr>
            </w:pPr>
            <w:r>
              <w:rPr>
                <w:rFonts w:ascii="Times New Roman"/>
                <w:sz w:val="21"/>
              </w:rPr>
              <w:t>4.6</w:t>
            </w:r>
          </w:p>
        </w:tc>
      </w:tr>
      <w:tr>
        <w:trPr>
          <w:trHeight w:val="284" w:hRule="atLeast"/>
        </w:trPr>
        <w:tc>
          <w:tcPr>
            <w:tcW w:w="1508" w:type="dxa"/>
          </w:tcPr>
          <w:p>
            <w:pPr>
              <w:pStyle w:val="TableParagraph"/>
              <w:spacing w:line="252" w:lineRule="exact" w:before="13"/>
              <w:ind w:left="418" w:right="399"/>
              <w:rPr>
                <w:sz w:val="21"/>
              </w:rPr>
            </w:pPr>
            <w:r>
              <w:rPr>
                <w:sz w:val="21"/>
              </w:rPr>
              <w:t>秋季</w:t>
            </w:r>
          </w:p>
        </w:tc>
        <w:tc>
          <w:tcPr>
            <w:tcW w:w="735" w:type="dxa"/>
          </w:tcPr>
          <w:p>
            <w:pPr>
              <w:pStyle w:val="TableParagraph"/>
              <w:spacing w:line="221" w:lineRule="exact" w:before="43"/>
              <w:ind w:right="218"/>
              <w:jc w:val="right"/>
              <w:rPr>
                <w:rFonts w:ascii="Times New Roman"/>
                <w:sz w:val="21"/>
              </w:rPr>
            </w:pPr>
            <w:r>
              <w:rPr>
                <w:rFonts w:ascii="Times New Roman"/>
                <w:sz w:val="21"/>
              </w:rPr>
              <w:t>6.5</w:t>
            </w:r>
          </w:p>
        </w:tc>
        <w:tc>
          <w:tcPr>
            <w:tcW w:w="735" w:type="dxa"/>
          </w:tcPr>
          <w:p>
            <w:pPr>
              <w:pStyle w:val="TableParagraph"/>
              <w:spacing w:line="221" w:lineRule="exact" w:before="43"/>
              <w:ind w:left="125" w:right="109"/>
              <w:rPr>
                <w:rFonts w:ascii="Times New Roman"/>
                <w:sz w:val="21"/>
              </w:rPr>
            </w:pPr>
            <w:r>
              <w:rPr>
                <w:rFonts w:ascii="Times New Roman"/>
                <w:sz w:val="21"/>
              </w:rPr>
              <w:t>5.2</w:t>
            </w:r>
          </w:p>
        </w:tc>
        <w:tc>
          <w:tcPr>
            <w:tcW w:w="735" w:type="dxa"/>
          </w:tcPr>
          <w:p>
            <w:pPr>
              <w:pStyle w:val="TableParagraph"/>
              <w:spacing w:line="221" w:lineRule="exact" w:before="43"/>
              <w:ind w:left="180"/>
              <w:jc w:val="left"/>
              <w:rPr>
                <w:rFonts w:ascii="Times New Roman"/>
                <w:sz w:val="21"/>
              </w:rPr>
            </w:pPr>
            <w:r>
              <w:rPr>
                <w:rFonts w:ascii="Times New Roman"/>
                <w:sz w:val="21"/>
              </w:rPr>
              <w:t>10.2</w:t>
            </w:r>
          </w:p>
        </w:tc>
        <w:tc>
          <w:tcPr>
            <w:tcW w:w="736" w:type="dxa"/>
          </w:tcPr>
          <w:p>
            <w:pPr>
              <w:pStyle w:val="TableParagraph"/>
              <w:spacing w:line="221" w:lineRule="exact" w:before="43"/>
              <w:ind w:left="139" w:right="126"/>
              <w:rPr>
                <w:rFonts w:ascii="Times New Roman"/>
                <w:sz w:val="21"/>
              </w:rPr>
            </w:pPr>
            <w:r>
              <w:rPr>
                <w:rFonts w:ascii="Times New Roman"/>
                <w:sz w:val="21"/>
              </w:rPr>
              <w:t>9.2</w:t>
            </w:r>
          </w:p>
        </w:tc>
        <w:tc>
          <w:tcPr>
            <w:tcW w:w="735" w:type="dxa"/>
          </w:tcPr>
          <w:p>
            <w:pPr>
              <w:pStyle w:val="TableParagraph"/>
              <w:spacing w:line="221" w:lineRule="exact" w:before="43"/>
              <w:ind w:left="124" w:right="112"/>
              <w:rPr>
                <w:rFonts w:ascii="Times New Roman"/>
                <w:sz w:val="21"/>
              </w:rPr>
            </w:pPr>
            <w:r>
              <w:rPr>
                <w:rFonts w:ascii="Times New Roman"/>
                <w:sz w:val="21"/>
              </w:rPr>
              <w:t>3.3</w:t>
            </w:r>
          </w:p>
        </w:tc>
        <w:tc>
          <w:tcPr>
            <w:tcW w:w="735" w:type="dxa"/>
          </w:tcPr>
          <w:p>
            <w:pPr>
              <w:pStyle w:val="TableParagraph"/>
              <w:spacing w:line="221" w:lineRule="exact" w:before="43"/>
              <w:ind w:left="123" w:right="112"/>
              <w:rPr>
                <w:rFonts w:ascii="Times New Roman"/>
                <w:sz w:val="21"/>
              </w:rPr>
            </w:pPr>
            <w:r>
              <w:rPr>
                <w:rFonts w:ascii="Times New Roman"/>
                <w:sz w:val="21"/>
              </w:rPr>
              <w:t>3.1</w:t>
            </w:r>
          </w:p>
        </w:tc>
        <w:tc>
          <w:tcPr>
            <w:tcW w:w="735" w:type="dxa"/>
          </w:tcPr>
          <w:p>
            <w:pPr>
              <w:pStyle w:val="TableParagraph"/>
              <w:spacing w:line="221" w:lineRule="exact" w:before="43"/>
              <w:ind w:left="121" w:right="112"/>
              <w:rPr>
                <w:rFonts w:ascii="Times New Roman"/>
                <w:sz w:val="21"/>
              </w:rPr>
            </w:pPr>
            <w:r>
              <w:rPr>
                <w:rFonts w:ascii="Times New Roman"/>
                <w:sz w:val="21"/>
              </w:rPr>
              <w:t>4.8</w:t>
            </w:r>
          </w:p>
        </w:tc>
        <w:tc>
          <w:tcPr>
            <w:tcW w:w="735" w:type="dxa"/>
          </w:tcPr>
          <w:p>
            <w:pPr>
              <w:pStyle w:val="TableParagraph"/>
              <w:spacing w:line="221" w:lineRule="exact" w:before="43"/>
              <w:ind w:left="229"/>
              <w:jc w:val="left"/>
              <w:rPr>
                <w:rFonts w:ascii="Times New Roman"/>
                <w:sz w:val="21"/>
              </w:rPr>
            </w:pPr>
            <w:r>
              <w:rPr>
                <w:rFonts w:ascii="Times New Roman"/>
                <w:sz w:val="21"/>
              </w:rPr>
              <w:t>6.2</w:t>
            </w:r>
          </w:p>
        </w:tc>
        <w:tc>
          <w:tcPr>
            <w:tcW w:w="733" w:type="dxa"/>
          </w:tcPr>
          <w:p>
            <w:pPr>
              <w:pStyle w:val="TableParagraph"/>
              <w:spacing w:line="221" w:lineRule="exact" w:before="43"/>
              <w:ind w:left="154" w:right="150"/>
              <w:rPr>
                <w:rFonts w:ascii="Times New Roman"/>
                <w:sz w:val="21"/>
              </w:rPr>
            </w:pPr>
            <w:r>
              <w:rPr>
                <w:rFonts w:ascii="Times New Roman"/>
                <w:sz w:val="21"/>
              </w:rPr>
              <w:t>6.1</w:t>
            </w:r>
          </w:p>
        </w:tc>
        <w:tc>
          <w:tcPr>
            <w:tcW w:w="735" w:type="dxa"/>
          </w:tcPr>
          <w:p>
            <w:pPr>
              <w:pStyle w:val="TableParagraph"/>
              <w:spacing w:line="221" w:lineRule="exact" w:before="43"/>
              <w:ind w:left="118" w:right="112"/>
              <w:rPr>
                <w:rFonts w:ascii="Times New Roman"/>
                <w:sz w:val="21"/>
              </w:rPr>
            </w:pPr>
            <w:r>
              <w:rPr>
                <w:rFonts w:ascii="Times New Roman"/>
                <w:sz w:val="21"/>
              </w:rPr>
              <w:t>4.6</w:t>
            </w:r>
          </w:p>
        </w:tc>
        <w:tc>
          <w:tcPr>
            <w:tcW w:w="735" w:type="dxa"/>
          </w:tcPr>
          <w:p>
            <w:pPr>
              <w:pStyle w:val="TableParagraph"/>
              <w:spacing w:line="221" w:lineRule="exact" w:before="43"/>
              <w:ind w:right="222"/>
              <w:jc w:val="right"/>
              <w:rPr>
                <w:rFonts w:ascii="Times New Roman"/>
                <w:sz w:val="21"/>
              </w:rPr>
            </w:pPr>
            <w:r>
              <w:rPr>
                <w:rFonts w:ascii="Times New Roman"/>
                <w:sz w:val="21"/>
              </w:rPr>
              <w:t>3.4</w:t>
            </w:r>
          </w:p>
        </w:tc>
        <w:tc>
          <w:tcPr>
            <w:tcW w:w="788" w:type="dxa"/>
          </w:tcPr>
          <w:p>
            <w:pPr>
              <w:pStyle w:val="TableParagraph"/>
              <w:spacing w:line="221" w:lineRule="exact" w:before="43"/>
              <w:ind w:left="107" w:right="104"/>
              <w:rPr>
                <w:rFonts w:ascii="Times New Roman"/>
                <w:sz w:val="21"/>
              </w:rPr>
            </w:pPr>
            <w:r>
              <w:rPr>
                <w:rFonts w:ascii="Times New Roman"/>
                <w:sz w:val="21"/>
              </w:rPr>
              <w:t>3.3</w:t>
            </w:r>
          </w:p>
        </w:tc>
        <w:tc>
          <w:tcPr>
            <w:tcW w:w="735" w:type="dxa"/>
          </w:tcPr>
          <w:p>
            <w:pPr>
              <w:pStyle w:val="TableParagraph"/>
              <w:spacing w:line="221" w:lineRule="exact" w:before="43"/>
              <w:ind w:left="114" w:right="112"/>
              <w:rPr>
                <w:rFonts w:ascii="Times New Roman"/>
                <w:sz w:val="21"/>
              </w:rPr>
            </w:pPr>
            <w:r>
              <w:rPr>
                <w:rFonts w:ascii="Times New Roman"/>
                <w:sz w:val="21"/>
              </w:rPr>
              <w:t>4.4</w:t>
            </w:r>
          </w:p>
        </w:tc>
        <w:tc>
          <w:tcPr>
            <w:tcW w:w="827" w:type="dxa"/>
          </w:tcPr>
          <w:p>
            <w:pPr>
              <w:pStyle w:val="TableParagraph"/>
              <w:spacing w:line="221" w:lineRule="exact" w:before="43"/>
              <w:ind w:left="108" w:right="108"/>
              <w:rPr>
                <w:rFonts w:ascii="Times New Roman"/>
                <w:sz w:val="21"/>
              </w:rPr>
            </w:pPr>
            <w:r>
              <w:rPr>
                <w:rFonts w:ascii="Times New Roman"/>
                <w:sz w:val="21"/>
              </w:rPr>
              <w:t>5.9</w:t>
            </w:r>
          </w:p>
        </w:tc>
        <w:tc>
          <w:tcPr>
            <w:tcW w:w="735" w:type="dxa"/>
          </w:tcPr>
          <w:p>
            <w:pPr>
              <w:pStyle w:val="TableParagraph"/>
              <w:spacing w:line="221" w:lineRule="exact" w:before="43"/>
              <w:ind w:left="225"/>
              <w:jc w:val="left"/>
              <w:rPr>
                <w:rFonts w:ascii="Times New Roman"/>
                <w:sz w:val="21"/>
              </w:rPr>
            </w:pPr>
            <w:r>
              <w:rPr>
                <w:rFonts w:ascii="Times New Roman"/>
                <w:sz w:val="21"/>
              </w:rPr>
              <w:t>8.3</w:t>
            </w:r>
          </w:p>
        </w:tc>
        <w:tc>
          <w:tcPr>
            <w:tcW w:w="776" w:type="dxa"/>
          </w:tcPr>
          <w:p>
            <w:pPr>
              <w:pStyle w:val="TableParagraph"/>
              <w:spacing w:line="221" w:lineRule="exact" w:before="43"/>
              <w:ind w:right="195"/>
              <w:jc w:val="right"/>
              <w:rPr>
                <w:rFonts w:ascii="Times New Roman"/>
                <w:sz w:val="21"/>
              </w:rPr>
            </w:pPr>
            <w:r>
              <w:rPr>
                <w:rFonts w:ascii="Times New Roman"/>
                <w:sz w:val="21"/>
              </w:rPr>
              <w:t>11.6</w:t>
            </w:r>
          </w:p>
        </w:tc>
        <w:tc>
          <w:tcPr>
            <w:tcW w:w="735" w:type="dxa"/>
          </w:tcPr>
          <w:p>
            <w:pPr>
              <w:pStyle w:val="TableParagraph"/>
              <w:spacing w:line="221" w:lineRule="exact" w:before="43"/>
              <w:ind w:left="223"/>
              <w:jc w:val="left"/>
              <w:rPr>
                <w:rFonts w:ascii="Times New Roman"/>
                <w:sz w:val="21"/>
              </w:rPr>
            </w:pPr>
            <w:r>
              <w:rPr>
                <w:rFonts w:ascii="Times New Roman"/>
                <w:sz w:val="21"/>
              </w:rPr>
              <w:t>3.8</w:t>
            </w:r>
          </w:p>
        </w:tc>
      </w:tr>
      <w:tr>
        <w:trPr>
          <w:trHeight w:val="282" w:hRule="atLeast"/>
        </w:trPr>
        <w:tc>
          <w:tcPr>
            <w:tcW w:w="1508" w:type="dxa"/>
          </w:tcPr>
          <w:p>
            <w:pPr>
              <w:pStyle w:val="TableParagraph"/>
              <w:spacing w:line="250" w:lineRule="exact" w:before="12"/>
              <w:ind w:left="418" w:right="399"/>
              <w:rPr>
                <w:sz w:val="21"/>
              </w:rPr>
            </w:pPr>
            <w:r>
              <w:rPr>
                <w:sz w:val="21"/>
              </w:rPr>
              <w:t>冬季</w:t>
            </w:r>
          </w:p>
        </w:tc>
        <w:tc>
          <w:tcPr>
            <w:tcW w:w="735" w:type="dxa"/>
          </w:tcPr>
          <w:p>
            <w:pPr>
              <w:pStyle w:val="TableParagraph"/>
              <w:spacing w:line="221" w:lineRule="exact" w:before="41"/>
              <w:ind w:right="218"/>
              <w:jc w:val="right"/>
              <w:rPr>
                <w:rFonts w:ascii="Times New Roman"/>
                <w:sz w:val="21"/>
              </w:rPr>
            </w:pPr>
            <w:r>
              <w:rPr>
                <w:rFonts w:ascii="Times New Roman"/>
                <w:sz w:val="21"/>
              </w:rPr>
              <w:t>7.0</w:t>
            </w:r>
          </w:p>
        </w:tc>
        <w:tc>
          <w:tcPr>
            <w:tcW w:w="735" w:type="dxa"/>
          </w:tcPr>
          <w:p>
            <w:pPr>
              <w:pStyle w:val="TableParagraph"/>
              <w:spacing w:line="221" w:lineRule="exact" w:before="41"/>
              <w:ind w:left="125" w:right="109"/>
              <w:rPr>
                <w:rFonts w:ascii="Times New Roman"/>
                <w:sz w:val="21"/>
              </w:rPr>
            </w:pPr>
            <w:r>
              <w:rPr>
                <w:rFonts w:ascii="Times New Roman"/>
                <w:sz w:val="21"/>
              </w:rPr>
              <w:t>3.8</w:t>
            </w:r>
          </w:p>
        </w:tc>
        <w:tc>
          <w:tcPr>
            <w:tcW w:w="735" w:type="dxa"/>
          </w:tcPr>
          <w:p>
            <w:pPr>
              <w:pStyle w:val="TableParagraph"/>
              <w:spacing w:line="221" w:lineRule="exact" w:before="41"/>
              <w:ind w:left="233"/>
              <w:jc w:val="left"/>
              <w:rPr>
                <w:rFonts w:ascii="Times New Roman"/>
                <w:sz w:val="21"/>
              </w:rPr>
            </w:pPr>
            <w:r>
              <w:rPr>
                <w:rFonts w:ascii="Times New Roman"/>
                <w:sz w:val="21"/>
              </w:rPr>
              <w:t>6.2</w:t>
            </w:r>
          </w:p>
        </w:tc>
        <w:tc>
          <w:tcPr>
            <w:tcW w:w="736" w:type="dxa"/>
          </w:tcPr>
          <w:p>
            <w:pPr>
              <w:pStyle w:val="TableParagraph"/>
              <w:spacing w:line="221" w:lineRule="exact" w:before="41"/>
              <w:ind w:left="139" w:right="126"/>
              <w:rPr>
                <w:rFonts w:ascii="Times New Roman"/>
                <w:sz w:val="21"/>
              </w:rPr>
            </w:pPr>
            <w:r>
              <w:rPr>
                <w:rFonts w:ascii="Times New Roman"/>
                <w:sz w:val="21"/>
              </w:rPr>
              <w:t>8.1</w:t>
            </w:r>
          </w:p>
        </w:tc>
        <w:tc>
          <w:tcPr>
            <w:tcW w:w="735" w:type="dxa"/>
          </w:tcPr>
          <w:p>
            <w:pPr>
              <w:pStyle w:val="TableParagraph"/>
              <w:spacing w:line="221" w:lineRule="exact" w:before="41"/>
              <w:ind w:left="124" w:right="112"/>
              <w:rPr>
                <w:rFonts w:ascii="Times New Roman"/>
                <w:sz w:val="21"/>
              </w:rPr>
            </w:pPr>
            <w:r>
              <w:rPr>
                <w:rFonts w:ascii="Times New Roman"/>
                <w:sz w:val="21"/>
              </w:rPr>
              <w:t>4.6</w:t>
            </w:r>
          </w:p>
        </w:tc>
        <w:tc>
          <w:tcPr>
            <w:tcW w:w="735" w:type="dxa"/>
          </w:tcPr>
          <w:p>
            <w:pPr>
              <w:pStyle w:val="TableParagraph"/>
              <w:spacing w:line="221" w:lineRule="exact" w:before="41"/>
              <w:ind w:left="123" w:right="112"/>
              <w:rPr>
                <w:rFonts w:ascii="Times New Roman"/>
                <w:sz w:val="21"/>
              </w:rPr>
            </w:pPr>
            <w:r>
              <w:rPr>
                <w:rFonts w:ascii="Times New Roman"/>
                <w:sz w:val="21"/>
              </w:rPr>
              <w:t>2.8</w:t>
            </w:r>
          </w:p>
        </w:tc>
        <w:tc>
          <w:tcPr>
            <w:tcW w:w="735" w:type="dxa"/>
          </w:tcPr>
          <w:p>
            <w:pPr>
              <w:pStyle w:val="TableParagraph"/>
              <w:spacing w:line="221" w:lineRule="exact" w:before="41"/>
              <w:ind w:left="121" w:right="112"/>
              <w:rPr>
                <w:rFonts w:ascii="Times New Roman"/>
                <w:sz w:val="21"/>
              </w:rPr>
            </w:pPr>
            <w:r>
              <w:rPr>
                <w:rFonts w:ascii="Times New Roman"/>
                <w:sz w:val="21"/>
              </w:rPr>
              <w:t>3.8</w:t>
            </w:r>
          </w:p>
        </w:tc>
        <w:tc>
          <w:tcPr>
            <w:tcW w:w="735" w:type="dxa"/>
          </w:tcPr>
          <w:p>
            <w:pPr>
              <w:pStyle w:val="TableParagraph"/>
              <w:spacing w:line="221" w:lineRule="exact" w:before="41"/>
              <w:ind w:left="229"/>
              <w:jc w:val="left"/>
              <w:rPr>
                <w:rFonts w:ascii="Times New Roman"/>
                <w:sz w:val="21"/>
              </w:rPr>
            </w:pPr>
            <w:r>
              <w:rPr>
                <w:rFonts w:ascii="Times New Roman"/>
                <w:sz w:val="21"/>
              </w:rPr>
              <w:t>6.0</w:t>
            </w:r>
          </w:p>
        </w:tc>
        <w:tc>
          <w:tcPr>
            <w:tcW w:w="733" w:type="dxa"/>
          </w:tcPr>
          <w:p>
            <w:pPr>
              <w:pStyle w:val="TableParagraph"/>
              <w:spacing w:line="221" w:lineRule="exact" w:before="41"/>
              <w:ind w:left="154" w:right="150"/>
              <w:rPr>
                <w:rFonts w:ascii="Times New Roman"/>
                <w:sz w:val="21"/>
              </w:rPr>
            </w:pPr>
            <w:r>
              <w:rPr>
                <w:rFonts w:ascii="Times New Roman"/>
                <w:sz w:val="21"/>
              </w:rPr>
              <w:t>4.9</w:t>
            </w:r>
          </w:p>
        </w:tc>
        <w:tc>
          <w:tcPr>
            <w:tcW w:w="735" w:type="dxa"/>
          </w:tcPr>
          <w:p>
            <w:pPr>
              <w:pStyle w:val="TableParagraph"/>
              <w:spacing w:line="221" w:lineRule="exact" w:before="41"/>
              <w:ind w:left="118" w:right="112"/>
              <w:rPr>
                <w:rFonts w:ascii="Times New Roman"/>
                <w:sz w:val="21"/>
              </w:rPr>
            </w:pPr>
            <w:r>
              <w:rPr>
                <w:rFonts w:ascii="Times New Roman"/>
                <w:sz w:val="21"/>
              </w:rPr>
              <w:t>3.1</w:t>
            </w:r>
          </w:p>
        </w:tc>
        <w:tc>
          <w:tcPr>
            <w:tcW w:w="735" w:type="dxa"/>
          </w:tcPr>
          <w:p>
            <w:pPr>
              <w:pStyle w:val="TableParagraph"/>
              <w:spacing w:line="221" w:lineRule="exact" w:before="41"/>
              <w:ind w:right="222"/>
              <w:jc w:val="right"/>
              <w:rPr>
                <w:rFonts w:ascii="Times New Roman"/>
                <w:sz w:val="21"/>
              </w:rPr>
            </w:pPr>
            <w:r>
              <w:rPr>
                <w:rFonts w:ascii="Times New Roman"/>
                <w:sz w:val="21"/>
              </w:rPr>
              <w:t>3.3</w:t>
            </w:r>
          </w:p>
        </w:tc>
        <w:tc>
          <w:tcPr>
            <w:tcW w:w="788" w:type="dxa"/>
          </w:tcPr>
          <w:p>
            <w:pPr>
              <w:pStyle w:val="TableParagraph"/>
              <w:spacing w:line="221" w:lineRule="exact" w:before="41"/>
              <w:ind w:left="107" w:right="104"/>
              <w:rPr>
                <w:rFonts w:ascii="Times New Roman"/>
                <w:sz w:val="21"/>
              </w:rPr>
            </w:pPr>
            <w:r>
              <w:rPr>
                <w:rFonts w:ascii="Times New Roman"/>
                <w:sz w:val="21"/>
              </w:rPr>
              <w:t>3.1</w:t>
            </w:r>
          </w:p>
        </w:tc>
        <w:tc>
          <w:tcPr>
            <w:tcW w:w="735" w:type="dxa"/>
          </w:tcPr>
          <w:p>
            <w:pPr>
              <w:pStyle w:val="TableParagraph"/>
              <w:spacing w:line="221" w:lineRule="exact" w:before="41"/>
              <w:ind w:left="114" w:right="112"/>
              <w:rPr>
                <w:rFonts w:ascii="Times New Roman"/>
                <w:sz w:val="21"/>
              </w:rPr>
            </w:pPr>
            <w:r>
              <w:rPr>
                <w:rFonts w:ascii="Times New Roman"/>
                <w:sz w:val="21"/>
              </w:rPr>
              <w:t>3.8</w:t>
            </w:r>
          </w:p>
        </w:tc>
        <w:tc>
          <w:tcPr>
            <w:tcW w:w="827" w:type="dxa"/>
          </w:tcPr>
          <w:p>
            <w:pPr>
              <w:pStyle w:val="TableParagraph"/>
              <w:spacing w:line="221" w:lineRule="exact" w:before="41"/>
              <w:ind w:left="108" w:right="108"/>
              <w:rPr>
                <w:rFonts w:ascii="Times New Roman"/>
                <w:sz w:val="21"/>
              </w:rPr>
            </w:pPr>
            <w:r>
              <w:rPr>
                <w:rFonts w:ascii="Times New Roman"/>
                <w:sz w:val="21"/>
              </w:rPr>
              <w:t>10.3</w:t>
            </w:r>
          </w:p>
        </w:tc>
        <w:tc>
          <w:tcPr>
            <w:tcW w:w="735" w:type="dxa"/>
          </w:tcPr>
          <w:p>
            <w:pPr>
              <w:pStyle w:val="TableParagraph"/>
              <w:spacing w:line="221" w:lineRule="exact" w:before="41"/>
              <w:ind w:left="172"/>
              <w:jc w:val="left"/>
              <w:rPr>
                <w:rFonts w:ascii="Times New Roman"/>
                <w:sz w:val="21"/>
              </w:rPr>
            </w:pPr>
            <w:r>
              <w:rPr>
                <w:rFonts w:ascii="Times New Roman"/>
                <w:sz w:val="21"/>
              </w:rPr>
              <w:t>13.8</w:t>
            </w:r>
          </w:p>
        </w:tc>
        <w:tc>
          <w:tcPr>
            <w:tcW w:w="776" w:type="dxa"/>
          </w:tcPr>
          <w:p>
            <w:pPr>
              <w:pStyle w:val="TableParagraph"/>
              <w:spacing w:line="221" w:lineRule="exact" w:before="41"/>
              <w:ind w:right="195"/>
              <w:jc w:val="right"/>
              <w:rPr>
                <w:rFonts w:ascii="Times New Roman"/>
                <w:sz w:val="21"/>
              </w:rPr>
            </w:pPr>
            <w:r>
              <w:rPr>
                <w:rFonts w:ascii="Times New Roman"/>
                <w:sz w:val="21"/>
              </w:rPr>
              <w:t>11.5</w:t>
            </w:r>
          </w:p>
        </w:tc>
        <w:tc>
          <w:tcPr>
            <w:tcW w:w="735" w:type="dxa"/>
          </w:tcPr>
          <w:p>
            <w:pPr>
              <w:pStyle w:val="TableParagraph"/>
              <w:spacing w:line="221" w:lineRule="exact" w:before="41"/>
              <w:ind w:left="223"/>
              <w:jc w:val="left"/>
              <w:rPr>
                <w:rFonts w:ascii="Times New Roman"/>
                <w:sz w:val="21"/>
              </w:rPr>
            </w:pPr>
            <w:r>
              <w:rPr>
                <w:rFonts w:ascii="Times New Roman"/>
                <w:sz w:val="21"/>
              </w:rPr>
              <w:t>3.7</w:t>
            </w:r>
          </w:p>
        </w:tc>
      </w:tr>
      <w:tr>
        <w:trPr>
          <w:trHeight w:val="284" w:hRule="atLeast"/>
        </w:trPr>
        <w:tc>
          <w:tcPr>
            <w:tcW w:w="1508" w:type="dxa"/>
          </w:tcPr>
          <w:p>
            <w:pPr>
              <w:pStyle w:val="TableParagraph"/>
              <w:spacing w:line="250" w:lineRule="exact" w:before="15"/>
              <w:ind w:left="418" w:right="399"/>
              <w:rPr>
                <w:sz w:val="21"/>
              </w:rPr>
            </w:pPr>
            <w:r>
              <w:rPr>
                <w:sz w:val="21"/>
              </w:rPr>
              <w:t>年平均</w:t>
            </w:r>
          </w:p>
        </w:tc>
        <w:tc>
          <w:tcPr>
            <w:tcW w:w="735" w:type="dxa"/>
          </w:tcPr>
          <w:p>
            <w:pPr>
              <w:pStyle w:val="TableParagraph"/>
              <w:spacing w:line="221" w:lineRule="exact" w:before="43"/>
              <w:ind w:right="218"/>
              <w:jc w:val="right"/>
              <w:rPr>
                <w:rFonts w:ascii="Times New Roman"/>
                <w:sz w:val="21"/>
              </w:rPr>
            </w:pPr>
            <w:r>
              <w:rPr>
                <w:rFonts w:ascii="Times New Roman"/>
                <w:sz w:val="21"/>
              </w:rPr>
              <w:t>6.0</w:t>
            </w:r>
          </w:p>
        </w:tc>
        <w:tc>
          <w:tcPr>
            <w:tcW w:w="735" w:type="dxa"/>
          </w:tcPr>
          <w:p>
            <w:pPr>
              <w:pStyle w:val="TableParagraph"/>
              <w:spacing w:line="221" w:lineRule="exact" w:before="43"/>
              <w:ind w:left="125" w:right="109"/>
              <w:rPr>
                <w:rFonts w:ascii="Times New Roman"/>
                <w:sz w:val="21"/>
              </w:rPr>
            </w:pPr>
            <w:r>
              <w:rPr>
                <w:rFonts w:ascii="Times New Roman"/>
                <w:sz w:val="21"/>
              </w:rPr>
              <w:t>3.9</w:t>
            </w:r>
          </w:p>
        </w:tc>
        <w:tc>
          <w:tcPr>
            <w:tcW w:w="735" w:type="dxa"/>
          </w:tcPr>
          <w:p>
            <w:pPr>
              <w:pStyle w:val="TableParagraph"/>
              <w:spacing w:line="221" w:lineRule="exact" w:before="43"/>
              <w:ind w:left="233"/>
              <w:jc w:val="left"/>
              <w:rPr>
                <w:rFonts w:ascii="Times New Roman"/>
                <w:sz w:val="21"/>
              </w:rPr>
            </w:pPr>
            <w:r>
              <w:rPr>
                <w:rFonts w:ascii="Times New Roman"/>
                <w:sz w:val="21"/>
              </w:rPr>
              <w:t>7.6</w:t>
            </w:r>
          </w:p>
        </w:tc>
        <w:tc>
          <w:tcPr>
            <w:tcW w:w="736" w:type="dxa"/>
          </w:tcPr>
          <w:p>
            <w:pPr>
              <w:pStyle w:val="TableParagraph"/>
              <w:spacing w:line="221" w:lineRule="exact" w:before="43"/>
              <w:ind w:left="139" w:right="126"/>
              <w:rPr>
                <w:rFonts w:ascii="Times New Roman"/>
                <w:sz w:val="21"/>
              </w:rPr>
            </w:pPr>
            <w:r>
              <w:rPr>
                <w:rFonts w:ascii="Times New Roman"/>
                <w:sz w:val="21"/>
              </w:rPr>
              <w:t>10.3</w:t>
            </w:r>
          </w:p>
        </w:tc>
        <w:tc>
          <w:tcPr>
            <w:tcW w:w="735" w:type="dxa"/>
          </w:tcPr>
          <w:p>
            <w:pPr>
              <w:pStyle w:val="TableParagraph"/>
              <w:spacing w:line="221" w:lineRule="exact" w:before="43"/>
              <w:ind w:left="124" w:right="112"/>
              <w:rPr>
                <w:rFonts w:ascii="Times New Roman"/>
                <w:sz w:val="21"/>
              </w:rPr>
            </w:pPr>
            <w:r>
              <w:rPr>
                <w:rFonts w:ascii="Times New Roman"/>
                <w:sz w:val="21"/>
              </w:rPr>
              <w:t>5.7</w:t>
            </w:r>
          </w:p>
        </w:tc>
        <w:tc>
          <w:tcPr>
            <w:tcW w:w="735" w:type="dxa"/>
          </w:tcPr>
          <w:p>
            <w:pPr>
              <w:pStyle w:val="TableParagraph"/>
              <w:spacing w:line="221" w:lineRule="exact" w:before="43"/>
              <w:ind w:left="123" w:right="112"/>
              <w:rPr>
                <w:rFonts w:ascii="Times New Roman"/>
                <w:sz w:val="21"/>
              </w:rPr>
            </w:pPr>
            <w:r>
              <w:rPr>
                <w:rFonts w:ascii="Times New Roman"/>
                <w:sz w:val="21"/>
              </w:rPr>
              <w:t>3.2</w:t>
            </w:r>
          </w:p>
        </w:tc>
        <w:tc>
          <w:tcPr>
            <w:tcW w:w="735" w:type="dxa"/>
          </w:tcPr>
          <w:p>
            <w:pPr>
              <w:pStyle w:val="TableParagraph"/>
              <w:spacing w:line="221" w:lineRule="exact" w:before="43"/>
              <w:ind w:left="121" w:right="112"/>
              <w:rPr>
                <w:rFonts w:ascii="Times New Roman"/>
                <w:sz w:val="21"/>
              </w:rPr>
            </w:pPr>
            <w:r>
              <w:rPr>
                <w:rFonts w:ascii="Times New Roman"/>
                <w:sz w:val="21"/>
              </w:rPr>
              <w:t>5.3</w:t>
            </w:r>
          </w:p>
        </w:tc>
        <w:tc>
          <w:tcPr>
            <w:tcW w:w="735" w:type="dxa"/>
          </w:tcPr>
          <w:p>
            <w:pPr>
              <w:pStyle w:val="TableParagraph"/>
              <w:spacing w:line="221" w:lineRule="exact" w:before="43"/>
              <w:ind w:left="177"/>
              <w:jc w:val="left"/>
              <w:rPr>
                <w:rFonts w:ascii="Times New Roman"/>
                <w:sz w:val="21"/>
              </w:rPr>
            </w:pPr>
            <w:r>
              <w:rPr>
                <w:rFonts w:ascii="Times New Roman"/>
                <w:sz w:val="21"/>
              </w:rPr>
              <w:t>10.0</w:t>
            </w:r>
          </w:p>
        </w:tc>
        <w:tc>
          <w:tcPr>
            <w:tcW w:w="733" w:type="dxa"/>
          </w:tcPr>
          <w:p>
            <w:pPr>
              <w:pStyle w:val="TableParagraph"/>
              <w:spacing w:line="221" w:lineRule="exact" w:before="43"/>
              <w:ind w:left="154" w:right="150"/>
              <w:rPr>
                <w:rFonts w:ascii="Times New Roman"/>
                <w:sz w:val="21"/>
              </w:rPr>
            </w:pPr>
            <w:r>
              <w:rPr>
                <w:rFonts w:ascii="Times New Roman"/>
                <w:sz w:val="21"/>
              </w:rPr>
              <w:t>9.3</w:t>
            </w:r>
          </w:p>
        </w:tc>
        <w:tc>
          <w:tcPr>
            <w:tcW w:w="735" w:type="dxa"/>
          </w:tcPr>
          <w:p>
            <w:pPr>
              <w:pStyle w:val="TableParagraph"/>
              <w:spacing w:line="221" w:lineRule="exact" w:before="43"/>
              <w:ind w:left="118" w:right="112"/>
              <w:rPr>
                <w:rFonts w:ascii="Times New Roman"/>
                <w:sz w:val="21"/>
              </w:rPr>
            </w:pPr>
            <w:r>
              <w:rPr>
                <w:rFonts w:ascii="Times New Roman"/>
                <w:sz w:val="21"/>
              </w:rPr>
              <w:t>4.7</w:t>
            </w:r>
          </w:p>
        </w:tc>
        <w:tc>
          <w:tcPr>
            <w:tcW w:w="735" w:type="dxa"/>
          </w:tcPr>
          <w:p>
            <w:pPr>
              <w:pStyle w:val="TableParagraph"/>
              <w:spacing w:line="221" w:lineRule="exact" w:before="43"/>
              <w:ind w:right="222"/>
              <w:jc w:val="right"/>
              <w:rPr>
                <w:rFonts w:ascii="Times New Roman"/>
                <w:sz w:val="21"/>
              </w:rPr>
            </w:pPr>
            <w:r>
              <w:rPr>
                <w:rFonts w:ascii="Times New Roman"/>
                <w:sz w:val="21"/>
              </w:rPr>
              <w:t>4.1</w:t>
            </w:r>
          </w:p>
        </w:tc>
        <w:tc>
          <w:tcPr>
            <w:tcW w:w="788" w:type="dxa"/>
          </w:tcPr>
          <w:p>
            <w:pPr>
              <w:pStyle w:val="TableParagraph"/>
              <w:spacing w:line="221" w:lineRule="exact" w:before="43"/>
              <w:ind w:left="107" w:right="104"/>
              <w:rPr>
                <w:rFonts w:ascii="Times New Roman"/>
                <w:sz w:val="21"/>
              </w:rPr>
            </w:pPr>
            <w:r>
              <w:rPr>
                <w:rFonts w:ascii="Times New Roman"/>
                <w:sz w:val="21"/>
              </w:rPr>
              <w:t>3.0</w:t>
            </w:r>
          </w:p>
        </w:tc>
        <w:tc>
          <w:tcPr>
            <w:tcW w:w="735" w:type="dxa"/>
          </w:tcPr>
          <w:p>
            <w:pPr>
              <w:pStyle w:val="TableParagraph"/>
              <w:spacing w:line="221" w:lineRule="exact" w:before="43"/>
              <w:ind w:left="114" w:right="112"/>
              <w:rPr>
                <w:rFonts w:ascii="Times New Roman"/>
                <w:sz w:val="21"/>
              </w:rPr>
            </w:pPr>
            <w:r>
              <w:rPr>
                <w:rFonts w:ascii="Times New Roman"/>
                <w:sz w:val="21"/>
              </w:rPr>
              <w:t>3.4</w:t>
            </w:r>
          </w:p>
        </w:tc>
        <w:tc>
          <w:tcPr>
            <w:tcW w:w="827" w:type="dxa"/>
          </w:tcPr>
          <w:p>
            <w:pPr>
              <w:pStyle w:val="TableParagraph"/>
              <w:spacing w:line="221" w:lineRule="exact" w:before="43"/>
              <w:ind w:left="108" w:right="108"/>
              <w:rPr>
                <w:rFonts w:ascii="Times New Roman"/>
                <w:sz w:val="21"/>
              </w:rPr>
            </w:pPr>
            <w:r>
              <w:rPr>
                <w:rFonts w:ascii="Times New Roman"/>
                <w:sz w:val="21"/>
              </w:rPr>
              <w:t>5.4</w:t>
            </w:r>
          </w:p>
        </w:tc>
        <w:tc>
          <w:tcPr>
            <w:tcW w:w="735" w:type="dxa"/>
          </w:tcPr>
          <w:p>
            <w:pPr>
              <w:pStyle w:val="TableParagraph"/>
              <w:spacing w:line="221" w:lineRule="exact" w:before="43"/>
              <w:ind w:left="225"/>
              <w:jc w:val="left"/>
              <w:rPr>
                <w:rFonts w:ascii="Times New Roman"/>
                <w:sz w:val="21"/>
              </w:rPr>
            </w:pPr>
            <w:r>
              <w:rPr>
                <w:rFonts w:ascii="Times New Roman"/>
                <w:sz w:val="21"/>
              </w:rPr>
              <w:t>7.0</w:t>
            </w:r>
          </w:p>
        </w:tc>
        <w:tc>
          <w:tcPr>
            <w:tcW w:w="776" w:type="dxa"/>
          </w:tcPr>
          <w:p>
            <w:pPr>
              <w:pStyle w:val="TableParagraph"/>
              <w:spacing w:line="221" w:lineRule="exact" w:before="43"/>
              <w:ind w:left="243"/>
              <w:jc w:val="left"/>
              <w:rPr>
                <w:rFonts w:ascii="Times New Roman"/>
                <w:sz w:val="21"/>
              </w:rPr>
            </w:pPr>
            <w:r>
              <w:rPr>
                <w:rFonts w:ascii="Times New Roman"/>
                <w:sz w:val="21"/>
              </w:rPr>
              <w:t>7.6</w:t>
            </w:r>
          </w:p>
        </w:tc>
        <w:tc>
          <w:tcPr>
            <w:tcW w:w="735" w:type="dxa"/>
          </w:tcPr>
          <w:p>
            <w:pPr>
              <w:pStyle w:val="TableParagraph"/>
              <w:spacing w:line="221" w:lineRule="exact" w:before="43"/>
              <w:ind w:left="223"/>
              <w:jc w:val="left"/>
              <w:rPr>
                <w:rFonts w:ascii="Times New Roman"/>
                <w:sz w:val="21"/>
              </w:rPr>
            </w:pPr>
            <w:r>
              <w:rPr>
                <w:rFonts w:ascii="Times New Roman"/>
                <w:sz w:val="21"/>
              </w:rPr>
              <w:t>3.6</w:t>
            </w:r>
          </w:p>
        </w:tc>
      </w:tr>
    </w:tbl>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7"/>
        <w:rPr>
          <w:rFonts w:ascii="Times New Roman"/>
          <w:b/>
          <w:sz w:val="21"/>
        </w:rPr>
      </w:pPr>
    </w:p>
    <w:p>
      <w:pPr>
        <w:spacing w:before="1"/>
        <w:ind w:left="303" w:right="0" w:firstLine="0"/>
        <w:jc w:val="center"/>
        <w:rPr>
          <w:b/>
          <w:sz w:val="24"/>
        </w:rPr>
      </w:pPr>
      <w:r>
        <w:rPr>
          <w:b/>
          <w:w w:val="99"/>
          <w:sz w:val="24"/>
        </w:rPr>
        <w:t> </w:t>
      </w:r>
    </w:p>
    <w:p>
      <w:pPr>
        <w:spacing w:after="0"/>
        <w:jc w:val="center"/>
        <w:rPr>
          <w:sz w:val="24"/>
        </w:rPr>
        <w:sectPr>
          <w:headerReference w:type="default" r:id="rId91"/>
          <w:footerReference w:type="default" r:id="rId92"/>
          <w:pgSz w:w="16840" w:h="11910" w:orient="landscape"/>
          <w:pgMar w:header="874" w:footer="944" w:top="1180" w:bottom="1140" w:left="1200" w:right="1180"/>
          <w:pgNumType w:start="148"/>
        </w:sectPr>
      </w:pPr>
    </w:p>
    <w:p>
      <w:pPr>
        <w:pStyle w:val="BodyText"/>
        <w:spacing w:before="6"/>
        <w:rPr>
          <w:b/>
          <w:sz w:val="18"/>
        </w:rPr>
      </w:pPr>
    </w:p>
    <w:p>
      <w:pPr>
        <w:pStyle w:val="BodyText"/>
        <w:ind w:left="218"/>
        <w:rPr>
          <w:sz w:val="20"/>
        </w:rPr>
      </w:pPr>
      <w:r>
        <w:rPr>
          <w:sz w:val="20"/>
        </w:rPr>
        <w:pict>
          <v:group style="width:622.85pt;height:387.35pt;mso-position-horizontal-relative:char;mso-position-vertical-relative:line" coordorigin="0,0" coordsize="12457,7747">
            <v:shape style="position:absolute;left:4155;top:0;width:4147;height:3782" type="#_x0000_t75" stroked="false">
              <v:imagedata r:id="rId93" o:title=""/>
            </v:shape>
            <v:shape style="position:absolute;left:0;top:3795;width:4147;height:3782" type="#_x0000_t75" stroked="false">
              <v:imagedata r:id="rId94" o:title=""/>
            </v:shape>
            <v:shape style="position:absolute;left:8310;top:0;width:4147;height:3782" type="#_x0000_t75" stroked="false">
              <v:imagedata r:id="rId95" o:title=""/>
            </v:shape>
            <v:shape style="position:absolute;left:4155;top:3795;width:4147;height:3782" type="#_x0000_t75" stroked="false">
              <v:imagedata r:id="rId96" o:title=""/>
            </v:shape>
            <v:shape style="position:absolute;left:0;top:0;width:4147;height:3782" type="#_x0000_t75" stroked="false">
              <v:imagedata r:id="rId97" o:title=""/>
            </v:shape>
            <v:shape style="position:absolute;left:7100;top:36;width:143;height:3229" type="#_x0000_t202" filled="false" stroked="false">
              <v:textbox inset="0,0,0,0">
                <w:txbxContent>
                  <w:p>
                    <w:pPr>
                      <w:spacing w:line="274" w:lineRule="exact" w:before="0"/>
                      <w:ind w:left="2" w:right="0" w:firstLine="0"/>
                      <w:jc w:val="left"/>
                      <w:rPr>
                        <w:b/>
                        <w:sz w:val="24"/>
                      </w:rPr>
                    </w:pPr>
                    <w:r>
                      <w:rPr>
                        <w:b/>
                        <w:w w:val="99"/>
                        <w:sz w:val="24"/>
                      </w:rPr>
                      <w:t> </w:t>
                    </w:r>
                  </w:p>
                  <w:p>
                    <w:pPr>
                      <w:spacing w:before="189"/>
                      <w:ind w:left="0" w:right="0" w:firstLine="0"/>
                      <w:jc w:val="left"/>
                      <w:rPr>
                        <w:b/>
                        <w:sz w:val="24"/>
                      </w:rPr>
                    </w:pPr>
                    <w:r>
                      <w:rPr>
                        <w:b/>
                        <w:w w:val="99"/>
                        <w:sz w:val="24"/>
                      </w:rPr>
                      <w:t> </w:t>
                    </w:r>
                  </w:p>
                  <w:p>
                    <w:pPr>
                      <w:spacing w:before="192"/>
                      <w:ind w:left="0" w:right="0" w:firstLine="0"/>
                      <w:jc w:val="left"/>
                      <w:rPr>
                        <w:b/>
                        <w:sz w:val="24"/>
                      </w:rPr>
                    </w:pPr>
                    <w:r>
                      <w:rPr>
                        <w:b/>
                        <w:w w:val="99"/>
                        <w:sz w:val="24"/>
                      </w:rPr>
                      <w:t> </w:t>
                    </w:r>
                  </w:p>
                  <w:p>
                    <w:pPr>
                      <w:spacing w:before="189"/>
                      <w:ind w:left="0" w:right="0" w:firstLine="0"/>
                      <w:jc w:val="left"/>
                      <w:rPr>
                        <w:b/>
                        <w:sz w:val="24"/>
                      </w:rPr>
                    </w:pPr>
                    <w:r>
                      <w:rPr>
                        <w:b/>
                        <w:w w:val="99"/>
                        <w:sz w:val="24"/>
                      </w:rPr>
                      <w:t> </w:t>
                    </w:r>
                  </w:p>
                  <w:p>
                    <w:pPr>
                      <w:spacing w:before="192"/>
                      <w:ind w:left="0" w:right="0" w:firstLine="0"/>
                      <w:jc w:val="left"/>
                      <w:rPr>
                        <w:b/>
                        <w:sz w:val="24"/>
                      </w:rPr>
                    </w:pPr>
                    <w:r>
                      <w:rPr>
                        <w:b/>
                        <w:w w:val="99"/>
                        <w:sz w:val="24"/>
                      </w:rPr>
                      <w:t> </w:t>
                    </w:r>
                  </w:p>
                  <w:p>
                    <w:pPr>
                      <w:spacing w:before="190"/>
                      <w:ind w:left="0" w:right="0" w:firstLine="0"/>
                      <w:jc w:val="left"/>
                      <w:rPr>
                        <w:b/>
                        <w:sz w:val="24"/>
                      </w:rPr>
                    </w:pPr>
                    <w:r>
                      <w:rPr>
                        <w:b/>
                        <w:w w:val="99"/>
                        <w:sz w:val="24"/>
                      </w:rPr>
                      <w:t> </w:t>
                    </w:r>
                  </w:p>
                  <w:p>
                    <w:pPr>
                      <w:spacing w:line="274" w:lineRule="exact" w:before="191"/>
                      <w:ind w:left="0" w:right="0" w:firstLine="0"/>
                      <w:jc w:val="left"/>
                      <w:rPr>
                        <w:b/>
                        <w:sz w:val="24"/>
                      </w:rPr>
                    </w:pPr>
                    <w:r>
                      <w:rPr>
                        <w:b/>
                        <w:w w:val="99"/>
                        <w:sz w:val="24"/>
                      </w:rPr>
                      <w:t> </w:t>
                    </w:r>
                  </w:p>
                </w:txbxContent>
              </v:textbox>
              <w10:wrap type="none"/>
            </v:shape>
            <v:shape style="position:absolute;left:3240;top:3337;width:619;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C=2.4%</w:t>
                    </w:r>
                  </w:p>
                </w:txbxContent>
              </v:textbox>
              <w10:wrap type="none"/>
            </v:shape>
            <v:shape style="position:absolute;left:7321;top:3337;width:619;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C=4.6%</w:t>
                    </w:r>
                  </w:p>
                </w:txbxContent>
              </v:textbox>
              <w10:wrap type="none"/>
            </v:shape>
            <v:shape style="position:absolute;left:7100;top:3522;width:140;height:240" type="#_x0000_t202" filled="false" stroked="false">
              <v:textbox inset="0,0,0,0">
                <w:txbxContent>
                  <w:p>
                    <w:pPr>
                      <w:spacing w:line="240" w:lineRule="exact" w:before="0"/>
                      <w:ind w:left="0" w:right="0" w:firstLine="0"/>
                      <w:jc w:val="left"/>
                      <w:rPr>
                        <w:b/>
                        <w:sz w:val="24"/>
                      </w:rPr>
                    </w:pPr>
                    <w:r>
                      <w:rPr>
                        <w:b/>
                        <w:w w:val="99"/>
                        <w:sz w:val="24"/>
                      </w:rPr>
                      <w:t> </w:t>
                    </w:r>
                  </w:p>
                </w:txbxContent>
              </v:textbox>
              <w10:wrap type="none"/>
            </v:shape>
            <v:shape style="position:absolute;left:11521;top:3383;width:619;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C=3.6%</w:t>
                    </w:r>
                  </w:p>
                </w:txbxContent>
              </v:textbox>
              <w10:wrap type="none"/>
            </v:shape>
            <v:shape style="position:absolute;left:7100;top:4021;width:140;height:2730" type="#_x0000_t202" filled="false" stroked="false">
              <v:textbox inset="0,0,0,0">
                <w:txbxContent>
                  <w:p>
                    <w:pPr>
                      <w:spacing w:line="274" w:lineRule="exact" w:before="0"/>
                      <w:ind w:left="0" w:right="0" w:firstLine="0"/>
                      <w:jc w:val="left"/>
                      <w:rPr>
                        <w:b/>
                        <w:sz w:val="24"/>
                      </w:rPr>
                    </w:pPr>
                    <w:r>
                      <w:rPr>
                        <w:b/>
                        <w:w w:val="99"/>
                        <w:sz w:val="24"/>
                      </w:rPr>
                      <w:t> </w:t>
                    </w:r>
                  </w:p>
                  <w:p>
                    <w:pPr>
                      <w:spacing w:before="189"/>
                      <w:ind w:left="0" w:right="0" w:firstLine="0"/>
                      <w:jc w:val="left"/>
                      <w:rPr>
                        <w:b/>
                        <w:sz w:val="24"/>
                      </w:rPr>
                    </w:pPr>
                    <w:r>
                      <w:rPr>
                        <w:b/>
                        <w:w w:val="99"/>
                        <w:sz w:val="24"/>
                      </w:rPr>
                      <w:t> </w:t>
                    </w:r>
                  </w:p>
                  <w:p>
                    <w:pPr>
                      <w:spacing w:before="190"/>
                      <w:ind w:left="0" w:right="0" w:firstLine="0"/>
                      <w:jc w:val="left"/>
                      <w:rPr>
                        <w:b/>
                        <w:sz w:val="24"/>
                      </w:rPr>
                    </w:pPr>
                    <w:r>
                      <w:rPr>
                        <w:b/>
                        <w:w w:val="99"/>
                        <w:sz w:val="24"/>
                      </w:rPr>
                      <w:t> </w:t>
                    </w:r>
                  </w:p>
                  <w:p>
                    <w:pPr>
                      <w:spacing w:before="191"/>
                      <w:ind w:left="0" w:right="0" w:firstLine="0"/>
                      <w:jc w:val="left"/>
                      <w:rPr>
                        <w:b/>
                        <w:sz w:val="24"/>
                      </w:rPr>
                    </w:pPr>
                    <w:r>
                      <w:rPr>
                        <w:b/>
                        <w:w w:val="99"/>
                        <w:sz w:val="24"/>
                      </w:rPr>
                      <w:t> </w:t>
                    </w:r>
                  </w:p>
                  <w:p>
                    <w:pPr>
                      <w:spacing w:before="190"/>
                      <w:ind w:left="0" w:right="0" w:firstLine="0"/>
                      <w:jc w:val="left"/>
                      <w:rPr>
                        <w:b/>
                        <w:sz w:val="24"/>
                      </w:rPr>
                    </w:pPr>
                    <w:r>
                      <w:rPr>
                        <w:b/>
                        <w:w w:val="99"/>
                        <w:sz w:val="24"/>
                      </w:rPr>
                      <w:t> </w:t>
                    </w:r>
                  </w:p>
                  <w:p>
                    <w:pPr>
                      <w:spacing w:line="274" w:lineRule="exact" w:before="191"/>
                      <w:ind w:left="0" w:right="0" w:firstLine="0"/>
                      <w:jc w:val="left"/>
                      <w:rPr>
                        <w:b/>
                        <w:sz w:val="24"/>
                      </w:rPr>
                    </w:pPr>
                    <w:r>
                      <w:rPr>
                        <w:b/>
                        <w:w w:val="99"/>
                        <w:sz w:val="24"/>
                      </w:rPr>
                      <w:t> </w:t>
                    </w:r>
                  </w:p>
                </w:txbxContent>
              </v:textbox>
              <w10:wrap type="none"/>
            </v:shape>
            <v:shape style="position:absolute;left:3197;top:7163;width:619;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C=3.8%</w:t>
                    </w:r>
                  </w:p>
                </w:txbxContent>
              </v:textbox>
              <w10:wrap type="none"/>
            </v:shape>
            <v:shape style="position:absolute;left:7100;top:7007;width:140;height:240" type="#_x0000_t202" filled="false" stroked="false">
              <v:textbox inset="0,0,0,0">
                <w:txbxContent>
                  <w:p>
                    <w:pPr>
                      <w:spacing w:line="240" w:lineRule="exact" w:before="0"/>
                      <w:ind w:left="0" w:right="0" w:firstLine="0"/>
                      <w:jc w:val="left"/>
                      <w:rPr>
                        <w:b/>
                        <w:sz w:val="24"/>
                      </w:rPr>
                    </w:pPr>
                    <w:r>
                      <w:rPr>
                        <w:b/>
                        <w:w w:val="99"/>
                        <w:sz w:val="24"/>
                      </w:rPr>
                      <w:t> </w:t>
                    </w:r>
                  </w:p>
                </w:txbxContent>
              </v:textbox>
              <w10:wrap type="none"/>
            </v:shape>
            <v:shape style="position:absolute;left:7201;top:7163;width:619;height:200" type="#_x0000_t202" filled="false" stroked="false">
              <v:textbox inset="0,0,0,0">
                <w:txbxContent>
                  <w:p>
                    <w:pPr>
                      <w:spacing w:line="199" w:lineRule="exact" w:before="0"/>
                      <w:ind w:left="0" w:right="0" w:firstLine="0"/>
                      <w:jc w:val="left"/>
                      <w:rPr>
                        <w:rFonts w:ascii="Times New Roman"/>
                        <w:sz w:val="18"/>
                      </w:rPr>
                    </w:pPr>
                    <w:r>
                      <w:rPr>
                        <w:rFonts w:ascii="Times New Roman"/>
                        <w:sz w:val="18"/>
                      </w:rPr>
                      <w:t>C=3.7%</w:t>
                    </w:r>
                  </w:p>
                </w:txbxContent>
              </v:textbox>
              <w10:wrap type="none"/>
            </v:shape>
            <v:shape style="position:absolute;left:7100;top:7506;width:140;height:240" type="#_x0000_t202" filled="false" stroked="false">
              <v:textbox inset="0,0,0,0">
                <w:txbxContent>
                  <w:p>
                    <w:pPr>
                      <w:spacing w:line="240" w:lineRule="exact" w:before="0"/>
                      <w:ind w:left="0" w:right="0" w:firstLine="0"/>
                      <w:jc w:val="left"/>
                      <w:rPr>
                        <w:b/>
                        <w:sz w:val="24"/>
                      </w:rPr>
                    </w:pPr>
                    <w:r>
                      <w:rPr>
                        <w:b/>
                        <w:w w:val="99"/>
                        <w:sz w:val="24"/>
                      </w:rPr>
                      <w:t> </w:t>
                    </w:r>
                  </w:p>
                </w:txbxContent>
              </v:textbox>
              <w10:wrap type="none"/>
            </v:shape>
          </v:group>
        </w:pict>
      </w:r>
      <w:r>
        <w:rPr>
          <w:sz w:val="20"/>
        </w:rPr>
      </w:r>
    </w:p>
    <w:p>
      <w:pPr>
        <w:pStyle w:val="BodyText"/>
        <w:spacing w:before="5"/>
        <w:rPr>
          <w:b/>
          <w:sz w:val="8"/>
        </w:rPr>
      </w:pPr>
    </w:p>
    <w:p>
      <w:pPr>
        <w:tabs>
          <w:tab w:pos="1222" w:val="left" w:leader="none"/>
        </w:tabs>
        <w:spacing w:before="74"/>
        <w:ind w:left="0" w:right="20" w:firstLine="0"/>
        <w:jc w:val="center"/>
        <w:rPr>
          <w:b/>
          <w:sz w:val="24"/>
        </w:rPr>
      </w:pPr>
      <w:r>
        <w:rPr>
          <w:b/>
          <w:sz w:val="24"/>
        </w:rPr>
        <w:t>图</w:t>
      </w:r>
      <w:r>
        <w:rPr>
          <w:b/>
          <w:spacing w:val="-60"/>
          <w:sz w:val="24"/>
        </w:rPr>
        <w:t> </w:t>
      </w:r>
      <w:r>
        <w:rPr>
          <w:rFonts w:ascii="Times New Roman" w:eastAsia="Times New Roman"/>
          <w:b/>
          <w:sz w:val="24"/>
        </w:rPr>
        <w:t>7.2.1-2</w:t>
        <w:tab/>
      </w:r>
      <w:r>
        <w:rPr>
          <w:b/>
          <w:sz w:val="24"/>
        </w:rPr>
        <w:t>上虞</w:t>
      </w:r>
      <w:r>
        <w:rPr>
          <w:b/>
          <w:spacing w:val="-59"/>
          <w:sz w:val="24"/>
        </w:rPr>
        <w:t> </w:t>
      </w:r>
      <w:r>
        <w:rPr>
          <w:rFonts w:ascii="Times New Roman" w:eastAsia="Times New Roman"/>
          <w:b/>
          <w:sz w:val="24"/>
        </w:rPr>
        <w:t>2020</w:t>
      </w:r>
      <w:r>
        <w:rPr>
          <w:rFonts w:ascii="Times New Roman" w:eastAsia="Times New Roman"/>
          <w:b/>
          <w:spacing w:val="-3"/>
          <w:sz w:val="24"/>
        </w:rPr>
        <w:t> </w:t>
      </w:r>
      <w:r>
        <w:rPr>
          <w:b/>
          <w:sz w:val="24"/>
        </w:rPr>
        <w:t>年各季风向频率玫瑰图和年风频玫瑰图</w:t>
      </w:r>
    </w:p>
    <w:p>
      <w:pPr>
        <w:spacing w:after="0"/>
        <w:jc w:val="center"/>
        <w:rPr>
          <w:sz w:val="24"/>
        </w:rPr>
        <w:sectPr>
          <w:pgSz w:w="16840" w:h="11910" w:orient="landscape"/>
          <w:pgMar w:header="874" w:footer="944" w:top="1180" w:bottom="1140" w:left="1200" w:right="1180"/>
        </w:sectPr>
      </w:pPr>
    </w:p>
    <w:p>
      <w:pPr>
        <w:pStyle w:val="ListParagraph"/>
        <w:numPr>
          <w:ilvl w:val="4"/>
          <w:numId w:val="26"/>
        </w:numPr>
        <w:tabs>
          <w:tab w:pos="993" w:val="left" w:leader="none"/>
        </w:tabs>
        <w:spacing w:line="240" w:lineRule="auto" w:before="64" w:after="0"/>
        <w:ind w:left="992" w:right="0" w:hanging="282"/>
        <w:jc w:val="left"/>
        <w:rPr>
          <w:sz w:val="24"/>
        </w:rPr>
      </w:pPr>
      <w:r>
        <w:rPr>
          <w:sz w:val="24"/>
        </w:rPr>
        <w:t>风速</w:t>
      </w:r>
    </w:p>
    <w:p>
      <w:pPr>
        <w:pStyle w:val="BodyText"/>
        <w:spacing w:before="160"/>
        <w:ind w:left="711"/>
      </w:pPr>
      <w:r>
        <w:rPr/>
        <w:t>风速对污染物浓度有扩散、稀释作用。表 </w:t>
      </w:r>
      <w:r>
        <w:rPr>
          <w:rFonts w:ascii="Times New Roman" w:eastAsia="Times New Roman"/>
        </w:rPr>
        <w:t>7.2.1-4 </w:t>
      </w:r>
      <w:r>
        <w:rPr/>
        <w:t>为上虞 </w:t>
      </w:r>
      <w:r>
        <w:rPr>
          <w:rFonts w:ascii="Times New Roman" w:eastAsia="Times New Roman"/>
        </w:rPr>
        <w:t>2020 </w:t>
      </w:r>
      <w:r>
        <w:rPr/>
        <w:t>年平均风速月变化统</w:t>
      </w:r>
    </w:p>
    <w:p>
      <w:pPr>
        <w:pStyle w:val="BodyText"/>
        <w:spacing w:before="158"/>
        <w:ind w:left="231"/>
      </w:pPr>
      <w:r>
        <w:rPr/>
        <w:t>计数据，图 </w:t>
      </w:r>
      <w:r>
        <w:rPr>
          <w:rFonts w:ascii="Times New Roman" w:eastAsia="Times New Roman"/>
        </w:rPr>
        <w:t>7.2.1-3 </w:t>
      </w:r>
      <w:r>
        <w:rPr/>
        <w:t>为上虞 </w:t>
      </w:r>
      <w:r>
        <w:rPr>
          <w:rFonts w:ascii="Times New Roman" w:eastAsia="Times New Roman"/>
        </w:rPr>
        <w:t>2020 </w:t>
      </w:r>
      <w:r>
        <w:rPr/>
        <w:t>年平均风速月变化曲线图。表 </w:t>
      </w:r>
      <w:r>
        <w:rPr>
          <w:rFonts w:ascii="Times New Roman" w:eastAsia="Times New Roman"/>
        </w:rPr>
        <w:t>7.2.1-5 </w:t>
      </w:r>
      <w:r>
        <w:rPr/>
        <w:t>为上虞 </w:t>
      </w:r>
      <w:r>
        <w:rPr>
          <w:rFonts w:ascii="Times New Roman" w:eastAsia="Times New Roman"/>
        </w:rPr>
        <w:t>2020 </w:t>
      </w:r>
      <w:r>
        <w:rPr/>
        <w:t>年季</w:t>
      </w:r>
    </w:p>
    <w:p>
      <w:pPr>
        <w:pStyle w:val="BodyText"/>
        <w:spacing w:line="362" w:lineRule="auto" w:before="161"/>
        <w:ind w:left="231" w:right="272"/>
      </w:pPr>
      <w:r>
        <w:rPr>
          <w:spacing w:val="-4"/>
        </w:rPr>
        <w:t>小时平均风速的日变化统计数据，图 </w:t>
      </w:r>
      <w:r>
        <w:rPr>
          <w:rFonts w:ascii="Times New Roman" w:eastAsia="Times New Roman"/>
        </w:rPr>
        <w:t>7.2.1-4 </w:t>
      </w:r>
      <w:r>
        <w:rPr>
          <w:spacing w:val="-15"/>
        </w:rPr>
        <w:t>为上虞 </w:t>
      </w:r>
      <w:r>
        <w:rPr>
          <w:rFonts w:ascii="Times New Roman" w:eastAsia="Times New Roman"/>
        </w:rPr>
        <w:t>2020 </w:t>
      </w:r>
      <w:r>
        <w:rPr>
          <w:spacing w:val="-2"/>
        </w:rPr>
        <w:t>年季小时平均风速的日变化曲</w:t>
      </w:r>
      <w:r>
        <w:rPr/>
        <w:t>线图。</w:t>
      </w:r>
    </w:p>
    <w:p>
      <w:pPr>
        <w:pStyle w:val="Heading4"/>
        <w:tabs>
          <w:tab w:pos="3239" w:val="left" w:leader="none"/>
        </w:tabs>
        <w:spacing w:before="146" w:after="29"/>
        <w:ind w:left="2017"/>
        <w:rPr>
          <w:rFonts w:ascii="Times New Roman" w:eastAsia="Times New Roman"/>
        </w:rPr>
      </w:pPr>
      <w:r>
        <w:rPr/>
        <w:t>表</w:t>
      </w:r>
      <w:r>
        <w:rPr>
          <w:spacing w:val="-60"/>
        </w:rPr>
        <w:t> </w:t>
      </w:r>
      <w:r>
        <w:rPr>
          <w:rFonts w:ascii="Times New Roman" w:eastAsia="Times New Roman"/>
        </w:rPr>
        <w:t>7.2.1-4</w:t>
        <w:tab/>
      </w:r>
      <w:r>
        <w:rPr/>
        <w:t>上虞</w:t>
      </w:r>
      <w:r>
        <w:rPr>
          <w:spacing w:val="-59"/>
        </w:rPr>
        <w:t> </w:t>
      </w:r>
      <w:r>
        <w:rPr>
          <w:rFonts w:ascii="Times New Roman" w:eastAsia="Times New Roman"/>
        </w:rPr>
        <w:t>2020</w:t>
      </w:r>
      <w:r>
        <w:rPr>
          <w:rFonts w:ascii="Times New Roman" w:eastAsia="Times New Roman"/>
          <w:spacing w:val="-3"/>
        </w:rPr>
        <w:t> </w:t>
      </w:r>
      <w:r>
        <w:rPr/>
        <w:t>年平均风速的月变化单位：</w:t>
      </w:r>
      <w:r>
        <w:rPr>
          <w:rFonts w:ascii="Times New Roman" w:eastAsia="Times New Roman"/>
        </w:rPr>
        <w:t>m/s</w:t>
      </w:r>
    </w:p>
    <w:tbl>
      <w:tblPr>
        <w:tblW w:w="0" w:type="auto"/>
        <w:jc w:val="left"/>
        <w:tblInd w:w="2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756"/>
        <w:gridCol w:w="756"/>
        <w:gridCol w:w="759"/>
        <w:gridCol w:w="756"/>
        <w:gridCol w:w="758"/>
        <w:gridCol w:w="756"/>
        <w:gridCol w:w="679"/>
        <w:gridCol w:w="638"/>
        <w:gridCol w:w="638"/>
        <w:gridCol w:w="641"/>
        <w:gridCol w:w="640"/>
        <w:gridCol w:w="638"/>
      </w:tblGrid>
      <w:tr>
        <w:trPr>
          <w:trHeight w:val="282" w:hRule="atLeast"/>
        </w:trPr>
        <w:tc>
          <w:tcPr>
            <w:tcW w:w="768" w:type="dxa"/>
          </w:tcPr>
          <w:p>
            <w:pPr>
              <w:pStyle w:val="TableParagraph"/>
              <w:spacing w:line="250" w:lineRule="exact" w:before="12"/>
              <w:ind w:left="146" w:right="122"/>
              <w:rPr>
                <w:sz w:val="21"/>
              </w:rPr>
            </w:pPr>
            <w:r>
              <w:rPr>
                <w:sz w:val="21"/>
              </w:rPr>
              <w:t>月份</w:t>
            </w:r>
          </w:p>
        </w:tc>
        <w:tc>
          <w:tcPr>
            <w:tcW w:w="756" w:type="dxa"/>
          </w:tcPr>
          <w:p>
            <w:pPr>
              <w:pStyle w:val="TableParagraph"/>
              <w:spacing w:line="250" w:lineRule="exact" w:before="12"/>
              <w:ind w:left="174" w:right="153"/>
              <w:rPr>
                <w:sz w:val="21"/>
              </w:rPr>
            </w:pPr>
            <w:r>
              <w:rPr>
                <w:rFonts w:ascii="Times New Roman" w:eastAsia="Times New Roman"/>
                <w:sz w:val="21"/>
              </w:rPr>
              <w:t>1 </w:t>
            </w:r>
            <w:r>
              <w:rPr>
                <w:sz w:val="21"/>
              </w:rPr>
              <w:t>月</w:t>
            </w:r>
          </w:p>
        </w:tc>
        <w:tc>
          <w:tcPr>
            <w:tcW w:w="756" w:type="dxa"/>
          </w:tcPr>
          <w:p>
            <w:pPr>
              <w:pStyle w:val="TableParagraph"/>
              <w:spacing w:line="250" w:lineRule="exact" w:before="12"/>
              <w:ind w:left="193"/>
              <w:jc w:val="left"/>
              <w:rPr>
                <w:sz w:val="21"/>
              </w:rPr>
            </w:pPr>
            <w:r>
              <w:rPr>
                <w:rFonts w:ascii="Times New Roman" w:eastAsia="Times New Roman"/>
                <w:sz w:val="21"/>
              </w:rPr>
              <w:t>2 </w:t>
            </w:r>
            <w:r>
              <w:rPr>
                <w:sz w:val="21"/>
              </w:rPr>
              <w:t>月</w:t>
            </w:r>
          </w:p>
        </w:tc>
        <w:tc>
          <w:tcPr>
            <w:tcW w:w="759" w:type="dxa"/>
          </w:tcPr>
          <w:p>
            <w:pPr>
              <w:pStyle w:val="TableParagraph"/>
              <w:spacing w:line="250" w:lineRule="exact" w:before="12"/>
              <w:ind w:left="175" w:right="156"/>
              <w:rPr>
                <w:sz w:val="21"/>
              </w:rPr>
            </w:pPr>
            <w:r>
              <w:rPr>
                <w:rFonts w:ascii="Times New Roman" w:eastAsia="Times New Roman"/>
                <w:sz w:val="21"/>
              </w:rPr>
              <w:t>3 </w:t>
            </w:r>
            <w:r>
              <w:rPr>
                <w:sz w:val="21"/>
              </w:rPr>
              <w:t>月</w:t>
            </w:r>
          </w:p>
        </w:tc>
        <w:tc>
          <w:tcPr>
            <w:tcW w:w="756" w:type="dxa"/>
          </w:tcPr>
          <w:p>
            <w:pPr>
              <w:pStyle w:val="TableParagraph"/>
              <w:spacing w:line="250" w:lineRule="exact" w:before="12"/>
              <w:ind w:left="191"/>
              <w:jc w:val="left"/>
              <w:rPr>
                <w:sz w:val="21"/>
              </w:rPr>
            </w:pPr>
            <w:r>
              <w:rPr>
                <w:rFonts w:ascii="Times New Roman" w:eastAsia="Times New Roman"/>
                <w:sz w:val="21"/>
              </w:rPr>
              <w:t>4 </w:t>
            </w:r>
            <w:r>
              <w:rPr>
                <w:sz w:val="21"/>
              </w:rPr>
              <w:t>月</w:t>
            </w:r>
          </w:p>
        </w:tc>
        <w:tc>
          <w:tcPr>
            <w:tcW w:w="758" w:type="dxa"/>
          </w:tcPr>
          <w:p>
            <w:pPr>
              <w:pStyle w:val="TableParagraph"/>
              <w:spacing w:line="250" w:lineRule="exact" w:before="12"/>
              <w:ind w:left="174" w:right="155"/>
              <w:rPr>
                <w:sz w:val="21"/>
              </w:rPr>
            </w:pPr>
            <w:r>
              <w:rPr>
                <w:rFonts w:ascii="Times New Roman" w:eastAsia="Times New Roman"/>
                <w:sz w:val="21"/>
              </w:rPr>
              <w:t>5 </w:t>
            </w:r>
            <w:r>
              <w:rPr>
                <w:sz w:val="21"/>
              </w:rPr>
              <w:t>月</w:t>
            </w:r>
          </w:p>
        </w:tc>
        <w:tc>
          <w:tcPr>
            <w:tcW w:w="756" w:type="dxa"/>
          </w:tcPr>
          <w:p>
            <w:pPr>
              <w:pStyle w:val="TableParagraph"/>
              <w:spacing w:line="250" w:lineRule="exact" w:before="12"/>
              <w:ind w:left="191"/>
              <w:jc w:val="left"/>
              <w:rPr>
                <w:sz w:val="21"/>
              </w:rPr>
            </w:pPr>
            <w:r>
              <w:rPr>
                <w:rFonts w:ascii="Times New Roman" w:eastAsia="Times New Roman"/>
                <w:sz w:val="21"/>
              </w:rPr>
              <w:t>6 </w:t>
            </w:r>
            <w:r>
              <w:rPr>
                <w:sz w:val="21"/>
              </w:rPr>
              <w:t>月</w:t>
            </w:r>
          </w:p>
        </w:tc>
        <w:tc>
          <w:tcPr>
            <w:tcW w:w="679" w:type="dxa"/>
          </w:tcPr>
          <w:p>
            <w:pPr>
              <w:pStyle w:val="TableParagraph"/>
              <w:spacing w:line="250" w:lineRule="exact" w:before="12"/>
              <w:ind w:left="156"/>
              <w:jc w:val="left"/>
              <w:rPr>
                <w:sz w:val="21"/>
              </w:rPr>
            </w:pPr>
            <w:r>
              <w:rPr>
                <w:rFonts w:ascii="Times New Roman" w:eastAsia="Times New Roman"/>
                <w:sz w:val="21"/>
              </w:rPr>
              <w:t>7 </w:t>
            </w:r>
            <w:r>
              <w:rPr>
                <w:sz w:val="21"/>
              </w:rPr>
              <w:t>月</w:t>
            </w:r>
          </w:p>
        </w:tc>
        <w:tc>
          <w:tcPr>
            <w:tcW w:w="638" w:type="dxa"/>
          </w:tcPr>
          <w:p>
            <w:pPr>
              <w:pStyle w:val="TableParagraph"/>
              <w:spacing w:line="250" w:lineRule="exact" w:before="12"/>
              <w:ind w:left="134"/>
              <w:jc w:val="left"/>
              <w:rPr>
                <w:sz w:val="21"/>
              </w:rPr>
            </w:pPr>
            <w:r>
              <w:rPr>
                <w:rFonts w:ascii="Times New Roman" w:eastAsia="Times New Roman"/>
                <w:sz w:val="21"/>
              </w:rPr>
              <w:t>8 </w:t>
            </w:r>
            <w:r>
              <w:rPr>
                <w:sz w:val="21"/>
              </w:rPr>
              <w:t>月</w:t>
            </w:r>
          </w:p>
        </w:tc>
        <w:tc>
          <w:tcPr>
            <w:tcW w:w="638" w:type="dxa"/>
          </w:tcPr>
          <w:p>
            <w:pPr>
              <w:pStyle w:val="TableParagraph"/>
              <w:spacing w:line="250" w:lineRule="exact" w:before="12"/>
              <w:ind w:left="137"/>
              <w:jc w:val="left"/>
              <w:rPr>
                <w:sz w:val="21"/>
              </w:rPr>
            </w:pPr>
            <w:r>
              <w:rPr>
                <w:rFonts w:ascii="Times New Roman" w:eastAsia="Times New Roman"/>
                <w:sz w:val="21"/>
              </w:rPr>
              <w:t>9 </w:t>
            </w:r>
            <w:r>
              <w:rPr>
                <w:sz w:val="21"/>
              </w:rPr>
              <w:t>月</w:t>
            </w:r>
          </w:p>
        </w:tc>
        <w:tc>
          <w:tcPr>
            <w:tcW w:w="641" w:type="dxa"/>
          </w:tcPr>
          <w:p>
            <w:pPr>
              <w:pStyle w:val="TableParagraph"/>
              <w:spacing w:line="250" w:lineRule="exact" w:before="12"/>
              <w:ind w:left="66" w:right="42"/>
              <w:rPr>
                <w:sz w:val="21"/>
              </w:rPr>
            </w:pPr>
            <w:r>
              <w:rPr>
                <w:rFonts w:ascii="Times New Roman" w:eastAsia="Times New Roman"/>
                <w:sz w:val="21"/>
              </w:rPr>
              <w:t>10 </w:t>
            </w:r>
            <w:r>
              <w:rPr>
                <w:sz w:val="21"/>
              </w:rPr>
              <w:t>月</w:t>
            </w:r>
          </w:p>
        </w:tc>
        <w:tc>
          <w:tcPr>
            <w:tcW w:w="640" w:type="dxa"/>
          </w:tcPr>
          <w:p>
            <w:pPr>
              <w:pStyle w:val="TableParagraph"/>
              <w:spacing w:line="250" w:lineRule="exact" w:before="12"/>
              <w:ind w:left="66" w:right="40"/>
              <w:rPr>
                <w:sz w:val="21"/>
              </w:rPr>
            </w:pPr>
            <w:r>
              <w:rPr>
                <w:rFonts w:ascii="Times New Roman" w:eastAsia="Times New Roman"/>
                <w:sz w:val="21"/>
              </w:rPr>
              <w:t>11 </w:t>
            </w:r>
            <w:r>
              <w:rPr>
                <w:sz w:val="21"/>
              </w:rPr>
              <w:t>月</w:t>
            </w:r>
          </w:p>
        </w:tc>
        <w:tc>
          <w:tcPr>
            <w:tcW w:w="638" w:type="dxa"/>
          </w:tcPr>
          <w:p>
            <w:pPr>
              <w:pStyle w:val="TableParagraph"/>
              <w:spacing w:line="250" w:lineRule="exact" w:before="12"/>
              <w:ind w:left="65" w:right="40"/>
              <w:rPr>
                <w:sz w:val="21"/>
              </w:rPr>
            </w:pPr>
            <w:r>
              <w:rPr>
                <w:rFonts w:ascii="Times New Roman" w:eastAsia="Times New Roman"/>
                <w:sz w:val="21"/>
              </w:rPr>
              <w:t>12 </w:t>
            </w:r>
            <w:r>
              <w:rPr>
                <w:sz w:val="21"/>
              </w:rPr>
              <w:t>月</w:t>
            </w:r>
          </w:p>
        </w:tc>
      </w:tr>
      <w:tr>
        <w:trPr>
          <w:trHeight w:val="284" w:hRule="atLeast"/>
        </w:trPr>
        <w:tc>
          <w:tcPr>
            <w:tcW w:w="768" w:type="dxa"/>
          </w:tcPr>
          <w:p>
            <w:pPr>
              <w:pStyle w:val="TableParagraph"/>
              <w:spacing w:line="250" w:lineRule="exact" w:before="15"/>
              <w:ind w:left="146" w:right="122"/>
              <w:rPr>
                <w:sz w:val="21"/>
              </w:rPr>
            </w:pPr>
            <w:r>
              <w:rPr>
                <w:sz w:val="21"/>
              </w:rPr>
              <w:t>风速</w:t>
            </w:r>
          </w:p>
        </w:tc>
        <w:tc>
          <w:tcPr>
            <w:tcW w:w="756" w:type="dxa"/>
          </w:tcPr>
          <w:p>
            <w:pPr>
              <w:pStyle w:val="TableParagraph"/>
              <w:spacing w:line="221" w:lineRule="exact" w:before="43"/>
              <w:ind w:left="174" w:right="153"/>
              <w:rPr>
                <w:rFonts w:ascii="Times New Roman"/>
                <w:sz w:val="21"/>
              </w:rPr>
            </w:pPr>
            <w:r>
              <w:rPr>
                <w:rFonts w:ascii="Times New Roman"/>
                <w:sz w:val="21"/>
              </w:rPr>
              <w:t>2.5</w:t>
            </w:r>
          </w:p>
        </w:tc>
        <w:tc>
          <w:tcPr>
            <w:tcW w:w="756" w:type="dxa"/>
          </w:tcPr>
          <w:p>
            <w:pPr>
              <w:pStyle w:val="TableParagraph"/>
              <w:spacing w:line="221" w:lineRule="exact" w:before="43"/>
              <w:ind w:left="246"/>
              <w:jc w:val="left"/>
              <w:rPr>
                <w:rFonts w:ascii="Times New Roman"/>
                <w:sz w:val="21"/>
              </w:rPr>
            </w:pPr>
            <w:r>
              <w:rPr>
                <w:rFonts w:ascii="Times New Roman"/>
                <w:sz w:val="21"/>
              </w:rPr>
              <w:t>2.3</w:t>
            </w:r>
          </w:p>
        </w:tc>
        <w:tc>
          <w:tcPr>
            <w:tcW w:w="759" w:type="dxa"/>
          </w:tcPr>
          <w:p>
            <w:pPr>
              <w:pStyle w:val="TableParagraph"/>
              <w:spacing w:line="221" w:lineRule="exact" w:before="43"/>
              <w:ind w:left="175" w:right="156"/>
              <w:rPr>
                <w:rFonts w:ascii="Times New Roman"/>
                <w:sz w:val="21"/>
              </w:rPr>
            </w:pPr>
            <w:r>
              <w:rPr>
                <w:rFonts w:ascii="Times New Roman"/>
                <w:sz w:val="21"/>
              </w:rPr>
              <w:t>2.5</w:t>
            </w:r>
          </w:p>
        </w:tc>
        <w:tc>
          <w:tcPr>
            <w:tcW w:w="756" w:type="dxa"/>
          </w:tcPr>
          <w:p>
            <w:pPr>
              <w:pStyle w:val="TableParagraph"/>
              <w:spacing w:line="221" w:lineRule="exact" w:before="43"/>
              <w:ind w:left="244"/>
              <w:jc w:val="left"/>
              <w:rPr>
                <w:rFonts w:ascii="Times New Roman"/>
                <w:sz w:val="21"/>
              </w:rPr>
            </w:pPr>
            <w:r>
              <w:rPr>
                <w:rFonts w:ascii="Times New Roman"/>
                <w:sz w:val="21"/>
              </w:rPr>
              <w:t>2.5</w:t>
            </w:r>
          </w:p>
        </w:tc>
        <w:tc>
          <w:tcPr>
            <w:tcW w:w="758" w:type="dxa"/>
          </w:tcPr>
          <w:p>
            <w:pPr>
              <w:pStyle w:val="TableParagraph"/>
              <w:spacing w:line="221" w:lineRule="exact" w:before="43"/>
              <w:ind w:left="174" w:right="155"/>
              <w:rPr>
                <w:rFonts w:ascii="Times New Roman"/>
                <w:sz w:val="21"/>
              </w:rPr>
            </w:pPr>
            <w:r>
              <w:rPr>
                <w:rFonts w:ascii="Times New Roman"/>
                <w:sz w:val="21"/>
              </w:rPr>
              <w:t>2.4</w:t>
            </w:r>
          </w:p>
        </w:tc>
        <w:tc>
          <w:tcPr>
            <w:tcW w:w="756" w:type="dxa"/>
          </w:tcPr>
          <w:p>
            <w:pPr>
              <w:pStyle w:val="TableParagraph"/>
              <w:spacing w:line="221" w:lineRule="exact" w:before="43"/>
              <w:ind w:left="244"/>
              <w:jc w:val="left"/>
              <w:rPr>
                <w:rFonts w:ascii="Times New Roman"/>
                <w:sz w:val="21"/>
              </w:rPr>
            </w:pPr>
            <w:r>
              <w:rPr>
                <w:rFonts w:ascii="Times New Roman"/>
                <w:sz w:val="21"/>
              </w:rPr>
              <w:t>2.0</w:t>
            </w:r>
          </w:p>
        </w:tc>
        <w:tc>
          <w:tcPr>
            <w:tcW w:w="679" w:type="dxa"/>
          </w:tcPr>
          <w:p>
            <w:pPr>
              <w:pStyle w:val="TableParagraph"/>
              <w:spacing w:line="221" w:lineRule="exact" w:before="43"/>
              <w:ind w:left="206"/>
              <w:jc w:val="left"/>
              <w:rPr>
                <w:rFonts w:ascii="Times New Roman"/>
                <w:sz w:val="21"/>
              </w:rPr>
            </w:pPr>
            <w:r>
              <w:rPr>
                <w:rFonts w:ascii="Times New Roman"/>
                <w:sz w:val="21"/>
              </w:rPr>
              <w:t>1.9</w:t>
            </w:r>
          </w:p>
        </w:tc>
        <w:tc>
          <w:tcPr>
            <w:tcW w:w="638" w:type="dxa"/>
          </w:tcPr>
          <w:p>
            <w:pPr>
              <w:pStyle w:val="TableParagraph"/>
              <w:spacing w:line="221" w:lineRule="exact" w:before="43"/>
              <w:ind w:left="185"/>
              <w:jc w:val="left"/>
              <w:rPr>
                <w:rFonts w:ascii="Times New Roman"/>
                <w:sz w:val="21"/>
              </w:rPr>
            </w:pPr>
            <w:r>
              <w:rPr>
                <w:rFonts w:ascii="Times New Roman"/>
                <w:sz w:val="21"/>
              </w:rPr>
              <w:t>2.9</w:t>
            </w:r>
          </w:p>
        </w:tc>
        <w:tc>
          <w:tcPr>
            <w:tcW w:w="638" w:type="dxa"/>
          </w:tcPr>
          <w:p>
            <w:pPr>
              <w:pStyle w:val="TableParagraph"/>
              <w:spacing w:line="221" w:lineRule="exact" w:before="43"/>
              <w:ind w:left="188"/>
              <w:jc w:val="left"/>
              <w:rPr>
                <w:rFonts w:ascii="Times New Roman"/>
                <w:sz w:val="21"/>
              </w:rPr>
            </w:pPr>
            <w:r>
              <w:rPr>
                <w:rFonts w:ascii="Times New Roman"/>
                <w:sz w:val="21"/>
              </w:rPr>
              <w:t>1.9</w:t>
            </w:r>
          </w:p>
        </w:tc>
        <w:tc>
          <w:tcPr>
            <w:tcW w:w="641" w:type="dxa"/>
          </w:tcPr>
          <w:p>
            <w:pPr>
              <w:pStyle w:val="TableParagraph"/>
              <w:spacing w:line="221" w:lineRule="exact" w:before="43"/>
              <w:ind w:left="62" w:right="42"/>
              <w:rPr>
                <w:rFonts w:ascii="Times New Roman"/>
                <w:sz w:val="21"/>
              </w:rPr>
            </w:pPr>
            <w:r>
              <w:rPr>
                <w:rFonts w:ascii="Times New Roman"/>
                <w:sz w:val="21"/>
              </w:rPr>
              <w:t>2.2</w:t>
            </w:r>
          </w:p>
        </w:tc>
        <w:tc>
          <w:tcPr>
            <w:tcW w:w="640" w:type="dxa"/>
          </w:tcPr>
          <w:p>
            <w:pPr>
              <w:pStyle w:val="TableParagraph"/>
              <w:spacing w:line="221" w:lineRule="exact" w:before="43"/>
              <w:ind w:left="61" w:right="40"/>
              <w:rPr>
                <w:rFonts w:ascii="Times New Roman"/>
                <w:sz w:val="21"/>
              </w:rPr>
            </w:pPr>
            <w:r>
              <w:rPr>
                <w:rFonts w:ascii="Times New Roman"/>
                <w:sz w:val="21"/>
              </w:rPr>
              <w:t>2.3</w:t>
            </w:r>
          </w:p>
        </w:tc>
        <w:tc>
          <w:tcPr>
            <w:tcW w:w="638" w:type="dxa"/>
          </w:tcPr>
          <w:p>
            <w:pPr>
              <w:pStyle w:val="TableParagraph"/>
              <w:spacing w:line="221" w:lineRule="exact" w:before="43"/>
              <w:ind w:left="60" w:right="40"/>
              <w:rPr>
                <w:rFonts w:ascii="Times New Roman"/>
                <w:sz w:val="21"/>
              </w:rPr>
            </w:pPr>
            <w:r>
              <w:rPr>
                <w:rFonts w:ascii="Times New Roman"/>
                <w:sz w:val="21"/>
              </w:rPr>
              <w:t>2.5</w:t>
            </w:r>
          </w:p>
        </w:tc>
      </w:tr>
    </w:tbl>
    <w:p>
      <w:pPr>
        <w:tabs>
          <w:tab w:pos="1230" w:val="left" w:leader="none"/>
        </w:tabs>
        <w:spacing w:before="144" w:after="29"/>
        <w:ind w:left="8" w:right="0" w:firstLine="0"/>
        <w:jc w:val="center"/>
        <w:rPr>
          <w:rFonts w:ascii="Times New Roman" w:eastAsia="Times New Roman"/>
          <w:b/>
          <w:sz w:val="24"/>
        </w:rPr>
      </w:pPr>
      <w:r>
        <w:rPr/>
        <w:pict>
          <v:line style="position:absolute;mso-position-horizontal-relative:page;mso-position-vertical-relative:paragraph;z-index:-317700096" from="77.064003pt,24.960022pt" to="141.380003pt,52.320022pt" stroked="true" strokeweight=".96pt" strokecolor="#000000">
            <v:stroke dashstyle="solid"/>
            <w10:wrap type="none"/>
          </v:line>
        </w:pict>
      </w:r>
      <w:r>
        <w:rPr/>
        <w:pict>
          <v:line style="position:absolute;mso-position-horizontal-relative:page;mso-position-vertical-relative:paragraph;z-index:-317699072" from="77.064003pt,114.000023pt" to="141.380003pt,141.360023pt" stroked="true" strokeweight=".96pt" strokecolor="#000000">
            <v:stroke dashstyle="solid"/>
            <w10:wrap type="none"/>
          </v:line>
        </w:pict>
      </w:r>
      <w:r>
        <w:rPr>
          <w:b/>
          <w:sz w:val="24"/>
        </w:rPr>
        <w:t>表</w:t>
      </w:r>
      <w:r>
        <w:rPr>
          <w:b/>
          <w:spacing w:val="-60"/>
          <w:sz w:val="24"/>
        </w:rPr>
        <w:t> </w:t>
      </w:r>
      <w:r>
        <w:rPr>
          <w:rFonts w:ascii="Times New Roman" w:eastAsia="Times New Roman"/>
          <w:b/>
          <w:sz w:val="24"/>
        </w:rPr>
        <w:t>7.2.1-5</w:t>
        <w:tab/>
      </w:r>
      <w:r>
        <w:rPr>
          <w:b/>
          <w:sz w:val="24"/>
        </w:rPr>
        <w:t>上虞</w:t>
      </w:r>
      <w:r>
        <w:rPr>
          <w:b/>
          <w:spacing w:val="-59"/>
          <w:sz w:val="24"/>
        </w:rPr>
        <w:t> </w:t>
      </w:r>
      <w:r>
        <w:rPr>
          <w:rFonts w:ascii="Times New Roman" w:eastAsia="Times New Roman"/>
          <w:b/>
          <w:sz w:val="24"/>
        </w:rPr>
        <w:t>2020</w:t>
      </w:r>
      <w:r>
        <w:rPr>
          <w:rFonts w:ascii="Times New Roman" w:eastAsia="Times New Roman"/>
          <w:b/>
          <w:spacing w:val="-3"/>
          <w:sz w:val="24"/>
        </w:rPr>
        <w:t> </w:t>
      </w:r>
      <w:r>
        <w:rPr>
          <w:b/>
          <w:sz w:val="24"/>
        </w:rPr>
        <w:t>年季小时平均风速的日变化单位：</w:t>
      </w:r>
      <w:r>
        <w:rPr>
          <w:rFonts w:ascii="Times New Roman" w:eastAsia="Times New Roman"/>
          <w:b/>
          <w:sz w:val="24"/>
        </w:rPr>
        <w:t>m/s</w:t>
      </w:r>
    </w:p>
    <w:tbl>
      <w:tblPr>
        <w:tblW w:w="0" w:type="auto"/>
        <w:jc w:val="left"/>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06"/>
        <w:gridCol w:w="567"/>
        <w:gridCol w:w="517"/>
        <w:gridCol w:w="673"/>
        <w:gridCol w:w="675"/>
        <w:gridCol w:w="675"/>
        <w:gridCol w:w="675"/>
        <w:gridCol w:w="675"/>
        <w:gridCol w:w="675"/>
        <w:gridCol w:w="673"/>
        <w:gridCol w:w="676"/>
        <w:gridCol w:w="675"/>
        <w:gridCol w:w="675"/>
      </w:tblGrid>
      <w:tr>
        <w:trPr>
          <w:trHeight w:val="546" w:hRule="atLeast"/>
        </w:trPr>
        <w:tc>
          <w:tcPr>
            <w:tcW w:w="1306" w:type="dxa"/>
          </w:tcPr>
          <w:p>
            <w:pPr>
              <w:pStyle w:val="TableParagraph"/>
              <w:spacing w:line="270" w:lineRule="atLeast" w:before="2"/>
              <w:ind w:left="28" w:right="4" w:firstLine="583"/>
              <w:jc w:val="left"/>
              <w:rPr>
                <w:rFonts w:ascii="Times New Roman" w:eastAsia="Times New Roman"/>
                <w:sz w:val="21"/>
              </w:rPr>
            </w:pPr>
            <w:r>
              <w:rPr>
                <w:sz w:val="21"/>
              </w:rPr>
              <w:t>小时</w:t>
            </w:r>
            <w:r>
              <w:rPr>
                <w:rFonts w:ascii="Times New Roman" w:eastAsia="Times New Roman"/>
                <w:sz w:val="21"/>
              </w:rPr>
              <w:t>(h) </w:t>
            </w:r>
            <w:r>
              <w:rPr>
                <w:sz w:val="21"/>
              </w:rPr>
              <w:t>风速</w:t>
            </w:r>
            <w:r>
              <w:rPr>
                <w:rFonts w:ascii="Times New Roman" w:eastAsia="Times New Roman"/>
                <w:sz w:val="21"/>
              </w:rPr>
              <w:t>(m/s)</w:t>
            </w:r>
          </w:p>
        </w:tc>
        <w:tc>
          <w:tcPr>
            <w:tcW w:w="567" w:type="dxa"/>
          </w:tcPr>
          <w:p>
            <w:pPr>
              <w:pStyle w:val="TableParagraph"/>
              <w:spacing w:before="151"/>
              <w:ind w:right="212"/>
              <w:jc w:val="right"/>
              <w:rPr>
                <w:rFonts w:ascii="Times New Roman"/>
                <w:sz w:val="21"/>
              </w:rPr>
            </w:pPr>
            <w:r>
              <w:rPr>
                <w:rFonts w:ascii="Times New Roman"/>
                <w:w w:val="100"/>
                <w:sz w:val="21"/>
              </w:rPr>
              <w:t>1</w:t>
            </w:r>
          </w:p>
        </w:tc>
        <w:tc>
          <w:tcPr>
            <w:tcW w:w="517" w:type="dxa"/>
          </w:tcPr>
          <w:p>
            <w:pPr>
              <w:pStyle w:val="TableParagraph"/>
              <w:spacing w:before="151"/>
              <w:ind w:left="13"/>
              <w:rPr>
                <w:rFonts w:ascii="Times New Roman"/>
                <w:sz w:val="21"/>
              </w:rPr>
            </w:pPr>
            <w:r>
              <w:rPr>
                <w:rFonts w:ascii="Times New Roman"/>
                <w:w w:val="100"/>
                <w:sz w:val="21"/>
              </w:rPr>
              <w:t>2</w:t>
            </w:r>
          </w:p>
        </w:tc>
        <w:tc>
          <w:tcPr>
            <w:tcW w:w="673" w:type="dxa"/>
          </w:tcPr>
          <w:p>
            <w:pPr>
              <w:pStyle w:val="TableParagraph"/>
              <w:spacing w:before="151"/>
              <w:ind w:left="10"/>
              <w:rPr>
                <w:rFonts w:ascii="Times New Roman"/>
                <w:sz w:val="21"/>
              </w:rPr>
            </w:pPr>
            <w:r>
              <w:rPr>
                <w:rFonts w:ascii="Times New Roman"/>
                <w:w w:val="100"/>
                <w:sz w:val="21"/>
              </w:rPr>
              <w:t>3</w:t>
            </w:r>
          </w:p>
        </w:tc>
        <w:tc>
          <w:tcPr>
            <w:tcW w:w="675" w:type="dxa"/>
          </w:tcPr>
          <w:p>
            <w:pPr>
              <w:pStyle w:val="TableParagraph"/>
              <w:spacing w:before="151"/>
              <w:ind w:left="11"/>
              <w:rPr>
                <w:rFonts w:ascii="Times New Roman"/>
                <w:sz w:val="21"/>
              </w:rPr>
            </w:pPr>
            <w:r>
              <w:rPr>
                <w:rFonts w:ascii="Times New Roman"/>
                <w:w w:val="100"/>
                <w:sz w:val="21"/>
              </w:rPr>
              <w:t>4</w:t>
            </w:r>
          </w:p>
        </w:tc>
        <w:tc>
          <w:tcPr>
            <w:tcW w:w="675" w:type="dxa"/>
          </w:tcPr>
          <w:p>
            <w:pPr>
              <w:pStyle w:val="TableParagraph"/>
              <w:spacing w:before="151"/>
              <w:ind w:right="267"/>
              <w:jc w:val="right"/>
              <w:rPr>
                <w:rFonts w:ascii="Times New Roman"/>
                <w:sz w:val="21"/>
              </w:rPr>
            </w:pPr>
            <w:r>
              <w:rPr>
                <w:rFonts w:ascii="Times New Roman"/>
                <w:w w:val="100"/>
                <w:sz w:val="21"/>
              </w:rPr>
              <w:t>5</w:t>
            </w:r>
          </w:p>
        </w:tc>
        <w:tc>
          <w:tcPr>
            <w:tcW w:w="675" w:type="dxa"/>
          </w:tcPr>
          <w:p>
            <w:pPr>
              <w:pStyle w:val="TableParagraph"/>
              <w:spacing w:before="151"/>
              <w:ind w:left="8"/>
              <w:rPr>
                <w:rFonts w:ascii="Times New Roman"/>
                <w:sz w:val="21"/>
              </w:rPr>
            </w:pPr>
            <w:r>
              <w:rPr>
                <w:rFonts w:ascii="Times New Roman"/>
                <w:w w:val="100"/>
                <w:sz w:val="21"/>
              </w:rPr>
              <w:t>6</w:t>
            </w:r>
          </w:p>
        </w:tc>
        <w:tc>
          <w:tcPr>
            <w:tcW w:w="675" w:type="dxa"/>
          </w:tcPr>
          <w:p>
            <w:pPr>
              <w:pStyle w:val="TableParagraph"/>
              <w:spacing w:before="151"/>
              <w:ind w:right="270"/>
              <w:jc w:val="right"/>
              <w:rPr>
                <w:rFonts w:ascii="Times New Roman"/>
                <w:sz w:val="21"/>
              </w:rPr>
            </w:pPr>
            <w:r>
              <w:rPr>
                <w:rFonts w:ascii="Times New Roman"/>
                <w:w w:val="100"/>
                <w:sz w:val="21"/>
              </w:rPr>
              <w:t>7</w:t>
            </w:r>
          </w:p>
        </w:tc>
        <w:tc>
          <w:tcPr>
            <w:tcW w:w="675" w:type="dxa"/>
          </w:tcPr>
          <w:p>
            <w:pPr>
              <w:pStyle w:val="TableParagraph"/>
              <w:spacing w:before="151"/>
              <w:ind w:left="2"/>
              <w:rPr>
                <w:rFonts w:ascii="Times New Roman"/>
                <w:sz w:val="21"/>
              </w:rPr>
            </w:pPr>
            <w:r>
              <w:rPr>
                <w:rFonts w:ascii="Times New Roman"/>
                <w:w w:val="100"/>
                <w:sz w:val="21"/>
              </w:rPr>
              <w:t>8</w:t>
            </w:r>
          </w:p>
        </w:tc>
        <w:tc>
          <w:tcPr>
            <w:tcW w:w="673" w:type="dxa"/>
          </w:tcPr>
          <w:p>
            <w:pPr>
              <w:pStyle w:val="TableParagraph"/>
              <w:spacing w:before="151"/>
              <w:ind w:left="3"/>
              <w:rPr>
                <w:rFonts w:ascii="Times New Roman"/>
                <w:sz w:val="21"/>
              </w:rPr>
            </w:pPr>
            <w:r>
              <w:rPr>
                <w:rFonts w:ascii="Times New Roman"/>
                <w:w w:val="100"/>
                <w:sz w:val="21"/>
              </w:rPr>
              <w:t>9</w:t>
            </w:r>
          </w:p>
        </w:tc>
        <w:tc>
          <w:tcPr>
            <w:tcW w:w="676" w:type="dxa"/>
          </w:tcPr>
          <w:p>
            <w:pPr>
              <w:pStyle w:val="TableParagraph"/>
              <w:spacing w:before="151"/>
              <w:ind w:left="178" w:right="175"/>
              <w:rPr>
                <w:rFonts w:ascii="Times New Roman"/>
                <w:sz w:val="21"/>
              </w:rPr>
            </w:pPr>
            <w:r>
              <w:rPr>
                <w:rFonts w:ascii="Times New Roman"/>
                <w:sz w:val="21"/>
              </w:rPr>
              <w:t>10</w:t>
            </w:r>
          </w:p>
        </w:tc>
        <w:tc>
          <w:tcPr>
            <w:tcW w:w="675" w:type="dxa"/>
          </w:tcPr>
          <w:p>
            <w:pPr>
              <w:pStyle w:val="TableParagraph"/>
              <w:spacing w:before="151"/>
              <w:ind w:left="70" w:right="68"/>
              <w:rPr>
                <w:rFonts w:ascii="Times New Roman"/>
                <w:sz w:val="21"/>
              </w:rPr>
            </w:pPr>
            <w:r>
              <w:rPr>
                <w:rFonts w:ascii="Times New Roman"/>
                <w:sz w:val="21"/>
              </w:rPr>
              <w:t>11</w:t>
            </w:r>
          </w:p>
        </w:tc>
        <w:tc>
          <w:tcPr>
            <w:tcW w:w="675" w:type="dxa"/>
          </w:tcPr>
          <w:p>
            <w:pPr>
              <w:pStyle w:val="TableParagraph"/>
              <w:spacing w:before="151"/>
              <w:ind w:left="222"/>
              <w:jc w:val="left"/>
              <w:rPr>
                <w:rFonts w:ascii="Times New Roman"/>
                <w:sz w:val="21"/>
              </w:rPr>
            </w:pPr>
            <w:r>
              <w:rPr>
                <w:rFonts w:ascii="Times New Roman"/>
                <w:sz w:val="21"/>
              </w:rPr>
              <w:t>12</w:t>
            </w:r>
          </w:p>
        </w:tc>
      </w:tr>
      <w:tr>
        <w:trPr>
          <w:trHeight w:val="282" w:hRule="atLeast"/>
        </w:trPr>
        <w:tc>
          <w:tcPr>
            <w:tcW w:w="1306" w:type="dxa"/>
          </w:tcPr>
          <w:p>
            <w:pPr>
              <w:pStyle w:val="TableParagraph"/>
              <w:spacing w:line="250" w:lineRule="exact" w:before="13"/>
              <w:ind w:right="420"/>
              <w:jc w:val="right"/>
              <w:rPr>
                <w:sz w:val="21"/>
              </w:rPr>
            </w:pPr>
            <w:r>
              <w:rPr>
                <w:sz w:val="21"/>
              </w:rPr>
              <w:t>春季</w:t>
            </w:r>
          </w:p>
        </w:tc>
        <w:tc>
          <w:tcPr>
            <w:tcW w:w="567" w:type="dxa"/>
          </w:tcPr>
          <w:p>
            <w:pPr>
              <w:pStyle w:val="TableParagraph"/>
              <w:spacing w:line="221" w:lineRule="exact" w:before="41"/>
              <w:ind w:right="133"/>
              <w:jc w:val="right"/>
              <w:rPr>
                <w:rFonts w:ascii="Times New Roman"/>
                <w:sz w:val="21"/>
              </w:rPr>
            </w:pPr>
            <w:r>
              <w:rPr>
                <w:rFonts w:ascii="Times New Roman"/>
                <w:sz w:val="21"/>
              </w:rPr>
              <w:t>2.1</w:t>
            </w:r>
          </w:p>
        </w:tc>
        <w:tc>
          <w:tcPr>
            <w:tcW w:w="517" w:type="dxa"/>
          </w:tcPr>
          <w:p>
            <w:pPr>
              <w:pStyle w:val="TableParagraph"/>
              <w:spacing w:line="221" w:lineRule="exact" w:before="41"/>
              <w:ind w:left="103" w:right="90"/>
              <w:rPr>
                <w:rFonts w:ascii="Times New Roman"/>
                <w:sz w:val="21"/>
              </w:rPr>
            </w:pPr>
            <w:r>
              <w:rPr>
                <w:rFonts w:ascii="Times New Roman"/>
                <w:sz w:val="21"/>
              </w:rPr>
              <w:t>2.2</w:t>
            </w:r>
          </w:p>
        </w:tc>
        <w:tc>
          <w:tcPr>
            <w:tcW w:w="673" w:type="dxa"/>
          </w:tcPr>
          <w:p>
            <w:pPr>
              <w:pStyle w:val="TableParagraph"/>
              <w:spacing w:line="221" w:lineRule="exact" w:before="41"/>
              <w:ind w:left="176" w:right="166"/>
              <w:rPr>
                <w:rFonts w:ascii="Times New Roman"/>
                <w:sz w:val="21"/>
              </w:rPr>
            </w:pPr>
            <w:r>
              <w:rPr>
                <w:rFonts w:ascii="Times New Roman"/>
                <w:sz w:val="21"/>
              </w:rPr>
              <w:t>2.0</w:t>
            </w:r>
          </w:p>
        </w:tc>
        <w:tc>
          <w:tcPr>
            <w:tcW w:w="675" w:type="dxa"/>
          </w:tcPr>
          <w:p>
            <w:pPr>
              <w:pStyle w:val="TableParagraph"/>
              <w:spacing w:line="221" w:lineRule="exact" w:before="41"/>
              <w:ind w:left="74" w:right="63"/>
              <w:rPr>
                <w:rFonts w:ascii="Times New Roman"/>
                <w:sz w:val="21"/>
              </w:rPr>
            </w:pPr>
            <w:r>
              <w:rPr>
                <w:rFonts w:ascii="Times New Roman"/>
                <w:sz w:val="21"/>
              </w:rPr>
              <w:t>2.0</w:t>
            </w:r>
          </w:p>
        </w:tc>
        <w:tc>
          <w:tcPr>
            <w:tcW w:w="675" w:type="dxa"/>
          </w:tcPr>
          <w:p>
            <w:pPr>
              <w:pStyle w:val="TableParagraph"/>
              <w:spacing w:line="221" w:lineRule="exact" w:before="41"/>
              <w:ind w:right="188"/>
              <w:jc w:val="right"/>
              <w:rPr>
                <w:rFonts w:ascii="Times New Roman"/>
                <w:sz w:val="21"/>
              </w:rPr>
            </w:pPr>
            <w:r>
              <w:rPr>
                <w:rFonts w:ascii="Times New Roman"/>
                <w:sz w:val="21"/>
              </w:rPr>
              <w:t>1.9</w:t>
            </w:r>
          </w:p>
        </w:tc>
        <w:tc>
          <w:tcPr>
            <w:tcW w:w="675" w:type="dxa"/>
          </w:tcPr>
          <w:p>
            <w:pPr>
              <w:pStyle w:val="TableParagraph"/>
              <w:spacing w:line="221" w:lineRule="exact" w:before="41"/>
              <w:ind w:left="74" w:right="66"/>
              <w:rPr>
                <w:rFonts w:ascii="Times New Roman"/>
                <w:sz w:val="21"/>
              </w:rPr>
            </w:pPr>
            <w:r>
              <w:rPr>
                <w:rFonts w:ascii="Times New Roman"/>
                <w:sz w:val="21"/>
              </w:rPr>
              <w:t>2.0</w:t>
            </w:r>
          </w:p>
        </w:tc>
        <w:tc>
          <w:tcPr>
            <w:tcW w:w="675" w:type="dxa"/>
          </w:tcPr>
          <w:p>
            <w:pPr>
              <w:pStyle w:val="TableParagraph"/>
              <w:spacing w:line="221" w:lineRule="exact" w:before="41"/>
              <w:ind w:right="191"/>
              <w:jc w:val="right"/>
              <w:rPr>
                <w:rFonts w:ascii="Times New Roman"/>
                <w:sz w:val="21"/>
              </w:rPr>
            </w:pPr>
            <w:r>
              <w:rPr>
                <w:rFonts w:ascii="Times New Roman"/>
                <w:sz w:val="21"/>
              </w:rPr>
              <w:t>2.0</w:t>
            </w:r>
          </w:p>
        </w:tc>
        <w:tc>
          <w:tcPr>
            <w:tcW w:w="675" w:type="dxa"/>
          </w:tcPr>
          <w:p>
            <w:pPr>
              <w:pStyle w:val="TableParagraph"/>
              <w:spacing w:line="221" w:lineRule="exact" w:before="41"/>
              <w:ind w:left="70" w:right="68"/>
              <w:rPr>
                <w:rFonts w:ascii="Times New Roman"/>
                <w:sz w:val="21"/>
              </w:rPr>
            </w:pPr>
            <w:r>
              <w:rPr>
                <w:rFonts w:ascii="Times New Roman"/>
                <w:sz w:val="21"/>
              </w:rPr>
              <w:t>2.1</w:t>
            </w:r>
          </w:p>
        </w:tc>
        <w:tc>
          <w:tcPr>
            <w:tcW w:w="673" w:type="dxa"/>
          </w:tcPr>
          <w:p>
            <w:pPr>
              <w:pStyle w:val="TableParagraph"/>
              <w:spacing w:line="221" w:lineRule="exact" w:before="41"/>
              <w:ind w:left="173" w:right="170"/>
              <w:rPr>
                <w:rFonts w:ascii="Times New Roman"/>
                <w:sz w:val="21"/>
              </w:rPr>
            </w:pPr>
            <w:r>
              <w:rPr>
                <w:rFonts w:ascii="Times New Roman"/>
                <w:sz w:val="21"/>
              </w:rPr>
              <w:t>2.6</w:t>
            </w:r>
          </w:p>
        </w:tc>
        <w:tc>
          <w:tcPr>
            <w:tcW w:w="676" w:type="dxa"/>
          </w:tcPr>
          <w:p>
            <w:pPr>
              <w:pStyle w:val="TableParagraph"/>
              <w:spacing w:line="221" w:lineRule="exact" w:before="41"/>
              <w:ind w:left="178" w:right="175"/>
              <w:rPr>
                <w:rFonts w:ascii="Times New Roman"/>
                <w:sz w:val="21"/>
              </w:rPr>
            </w:pPr>
            <w:r>
              <w:rPr>
                <w:rFonts w:ascii="Times New Roman"/>
                <w:sz w:val="21"/>
              </w:rPr>
              <w:t>2.7</w:t>
            </w:r>
          </w:p>
        </w:tc>
        <w:tc>
          <w:tcPr>
            <w:tcW w:w="675" w:type="dxa"/>
          </w:tcPr>
          <w:p>
            <w:pPr>
              <w:pStyle w:val="TableParagraph"/>
              <w:spacing w:line="221" w:lineRule="exact" w:before="41"/>
              <w:ind w:left="70" w:right="68"/>
              <w:rPr>
                <w:rFonts w:ascii="Times New Roman"/>
                <w:sz w:val="21"/>
              </w:rPr>
            </w:pPr>
            <w:r>
              <w:rPr>
                <w:rFonts w:ascii="Times New Roman"/>
                <w:sz w:val="21"/>
              </w:rPr>
              <w:t>2.7</w:t>
            </w:r>
          </w:p>
        </w:tc>
        <w:tc>
          <w:tcPr>
            <w:tcW w:w="675" w:type="dxa"/>
          </w:tcPr>
          <w:p>
            <w:pPr>
              <w:pStyle w:val="TableParagraph"/>
              <w:spacing w:line="221" w:lineRule="exact" w:before="41"/>
              <w:ind w:left="195"/>
              <w:jc w:val="left"/>
              <w:rPr>
                <w:rFonts w:ascii="Times New Roman"/>
                <w:sz w:val="21"/>
              </w:rPr>
            </w:pPr>
            <w:r>
              <w:rPr>
                <w:rFonts w:ascii="Times New Roman"/>
                <w:sz w:val="21"/>
              </w:rPr>
              <w:t>2.8</w:t>
            </w:r>
          </w:p>
        </w:tc>
      </w:tr>
      <w:tr>
        <w:trPr>
          <w:trHeight w:val="284" w:hRule="atLeast"/>
        </w:trPr>
        <w:tc>
          <w:tcPr>
            <w:tcW w:w="1306" w:type="dxa"/>
          </w:tcPr>
          <w:p>
            <w:pPr>
              <w:pStyle w:val="TableParagraph"/>
              <w:spacing w:line="252" w:lineRule="exact" w:before="13"/>
              <w:ind w:right="420"/>
              <w:jc w:val="right"/>
              <w:rPr>
                <w:sz w:val="21"/>
              </w:rPr>
            </w:pPr>
            <w:r>
              <w:rPr>
                <w:sz w:val="21"/>
              </w:rPr>
              <w:t>夏季</w:t>
            </w:r>
          </w:p>
        </w:tc>
        <w:tc>
          <w:tcPr>
            <w:tcW w:w="567" w:type="dxa"/>
          </w:tcPr>
          <w:p>
            <w:pPr>
              <w:pStyle w:val="TableParagraph"/>
              <w:spacing w:line="221" w:lineRule="exact" w:before="43"/>
              <w:ind w:right="133"/>
              <w:jc w:val="right"/>
              <w:rPr>
                <w:rFonts w:ascii="Times New Roman"/>
                <w:sz w:val="21"/>
              </w:rPr>
            </w:pPr>
            <w:r>
              <w:rPr>
                <w:rFonts w:ascii="Times New Roman"/>
                <w:sz w:val="21"/>
              </w:rPr>
              <w:t>2.0</w:t>
            </w:r>
          </w:p>
        </w:tc>
        <w:tc>
          <w:tcPr>
            <w:tcW w:w="517" w:type="dxa"/>
          </w:tcPr>
          <w:p>
            <w:pPr>
              <w:pStyle w:val="TableParagraph"/>
              <w:spacing w:line="221" w:lineRule="exact" w:before="43"/>
              <w:ind w:left="103" w:right="90"/>
              <w:rPr>
                <w:rFonts w:ascii="Times New Roman"/>
                <w:sz w:val="21"/>
              </w:rPr>
            </w:pPr>
            <w:r>
              <w:rPr>
                <w:rFonts w:ascii="Times New Roman"/>
                <w:sz w:val="21"/>
              </w:rPr>
              <w:t>1.8</w:t>
            </w:r>
          </w:p>
        </w:tc>
        <w:tc>
          <w:tcPr>
            <w:tcW w:w="673" w:type="dxa"/>
          </w:tcPr>
          <w:p>
            <w:pPr>
              <w:pStyle w:val="TableParagraph"/>
              <w:spacing w:line="221" w:lineRule="exact" w:before="43"/>
              <w:ind w:left="176" w:right="166"/>
              <w:rPr>
                <w:rFonts w:ascii="Times New Roman"/>
                <w:sz w:val="21"/>
              </w:rPr>
            </w:pPr>
            <w:r>
              <w:rPr>
                <w:rFonts w:ascii="Times New Roman"/>
                <w:sz w:val="21"/>
              </w:rPr>
              <w:t>1.9</w:t>
            </w:r>
          </w:p>
        </w:tc>
        <w:tc>
          <w:tcPr>
            <w:tcW w:w="675" w:type="dxa"/>
          </w:tcPr>
          <w:p>
            <w:pPr>
              <w:pStyle w:val="TableParagraph"/>
              <w:spacing w:line="221" w:lineRule="exact" w:before="43"/>
              <w:ind w:left="74" w:right="63"/>
              <w:rPr>
                <w:rFonts w:ascii="Times New Roman"/>
                <w:sz w:val="21"/>
              </w:rPr>
            </w:pPr>
            <w:r>
              <w:rPr>
                <w:rFonts w:ascii="Times New Roman"/>
                <w:sz w:val="21"/>
              </w:rPr>
              <w:t>1.8</w:t>
            </w:r>
          </w:p>
        </w:tc>
        <w:tc>
          <w:tcPr>
            <w:tcW w:w="675" w:type="dxa"/>
          </w:tcPr>
          <w:p>
            <w:pPr>
              <w:pStyle w:val="TableParagraph"/>
              <w:spacing w:line="221" w:lineRule="exact" w:before="43"/>
              <w:ind w:right="188"/>
              <w:jc w:val="right"/>
              <w:rPr>
                <w:rFonts w:ascii="Times New Roman"/>
                <w:sz w:val="21"/>
              </w:rPr>
            </w:pPr>
            <w:r>
              <w:rPr>
                <w:rFonts w:ascii="Times New Roman"/>
                <w:sz w:val="21"/>
              </w:rPr>
              <w:t>1.8</w:t>
            </w:r>
          </w:p>
        </w:tc>
        <w:tc>
          <w:tcPr>
            <w:tcW w:w="675" w:type="dxa"/>
          </w:tcPr>
          <w:p>
            <w:pPr>
              <w:pStyle w:val="TableParagraph"/>
              <w:spacing w:line="221" w:lineRule="exact" w:before="43"/>
              <w:ind w:left="74" w:right="66"/>
              <w:rPr>
                <w:rFonts w:ascii="Times New Roman"/>
                <w:sz w:val="21"/>
              </w:rPr>
            </w:pPr>
            <w:r>
              <w:rPr>
                <w:rFonts w:ascii="Times New Roman"/>
                <w:sz w:val="21"/>
              </w:rPr>
              <w:t>1.8</w:t>
            </w:r>
          </w:p>
        </w:tc>
        <w:tc>
          <w:tcPr>
            <w:tcW w:w="675" w:type="dxa"/>
          </w:tcPr>
          <w:p>
            <w:pPr>
              <w:pStyle w:val="TableParagraph"/>
              <w:spacing w:line="221" w:lineRule="exact" w:before="43"/>
              <w:ind w:right="191"/>
              <w:jc w:val="right"/>
              <w:rPr>
                <w:rFonts w:ascii="Times New Roman"/>
                <w:sz w:val="21"/>
              </w:rPr>
            </w:pPr>
            <w:r>
              <w:rPr>
                <w:rFonts w:ascii="Times New Roman"/>
                <w:sz w:val="21"/>
              </w:rPr>
              <w:t>1.9</w:t>
            </w:r>
          </w:p>
        </w:tc>
        <w:tc>
          <w:tcPr>
            <w:tcW w:w="675" w:type="dxa"/>
          </w:tcPr>
          <w:p>
            <w:pPr>
              <w:pStyle w:val="TableParagraph"/>
              <w:spacing w:line="221" w:lineRule="exact" w:before="43"/>
              <w:ind w:left="70" w:right="68"/>
              <w:rPr>
                <w:rFonts w:ascii="Times New Roman"/>
                <w:sz w:val="21"/>
              </w:rPr>
            </w:pPr>
            <w:r>
              <w:rPr>
                <w:rFonts w:ascii="Times New Roman"/>
                <w:sz w:val="21"/>
              </w:rPr>
              <w:t>2.1</w:t>
            </w:r>
          </w:p>
        </w:tc>
        <w:tc>
          <w:tcPr>
            <w:tcW w:w="673" w:type="dxa"/>
          </w:tcPr>
          <w:p>
            <w:pPr>
              <w:pStyle w:val="TableParagraph"/>
              <w:spacing w:line="221" w:lineRule="exact" w:before="43"/>
              <w:ind w:left="173" w:right="170"/>
              <w:rPr>
                <w:rFonts w:ascii="Times New Roman"/>
                <w:sz w:val="21"/>
              </w:rPr>
            </w:pPr>
            <w:r>
              <w:rPr>
                <w:rFonts w:ascii="Times New Roman"/>
                <w:sz w:val="21"/>
              </w:rPr>
              <w:t>2.3</w:t>
            </w:r>
          </w:p>
        </w:tc>
        <w:tc>
          <w:tcPr>
            <w:tcW w:w="676" w:type="dxa"/>
          </w:tcPr>
          <w:p>
            <w:pPr>
              <w:pStyle w:val="TableParagraph"/>
              <w:spacing w:line="221" w:lineRule="exact" w:before="43"/>
              <w:ind w:left="178" w:right="175"/>
              <w:rPr>
                <w:rFonts w:ascii="Times New Roman"/>
                <w:sz w:val="21"/>
              </w:rPr>
            </w:pPr>
            <w:r>
              <w:rPr>
                <w:rFonts w:ascii="Times New Roman"/>
                <w:sz w:val="21"/>
              </w:rPr>
              <w:t>2.6</w:t>
            </w:r>
          </w:p>
        </w:tc>
        <w:tc>
          <w:tcPr>
            <w:tcW w:w="675" w:type="dxa"/>
          </w:tcPr>
          <w:p>
            <w:pPr>
              <w:pStyle w:val="TableParagraph"/>
              <w:spacing w:line="221" w:lineRule="exact" w:before="43"/>
              <w:ind w:left="70" w:right="68"/>
              <w:rPr>
                <w:rFonts w:ascii="Times New Roman"/>
                <w:sz w:val="21"/>
              </w:rPr>
            </w:pPr>
            <w:r>
              <w:rPr>
                <w:rFonts w:ascii="Times New Roman"/>
                <w:sz w:val="21"/>
              </w:rPr>
              <w:t>2.7</w:t>
            </w:r>
          </w:p>
        </w:tc>
        <w:tc>
          <w:tcPr>
            <w:tcW w:w="675" w:type="dxa"/>
          </w:tcPr>
          <w:p>
            <w:pPr>
              <w:pStyle w:val="TableParagraph"/>
              <w:spacing w:line="221" w:lineRule="exact" w:before="43"/>
              <w:ind w:left="195"/>
              <w:jc w:val="left"/>
              <w:rPr>
                <w:rFonts w:ascii="Times New Roman"/>
                <w:sz w:val="21"/>
              </w:rPr>
            </w:pPr>
            <w:r>
              <w:rPr>
                <w:rFonts w:ascii="Times New Roman"/>
                <w:sz w:val="21"/>
              </w:rPr>
              <w:t>2.7</w:t>
            </w:r>
          </w:p>
        </w:tc>
      </w:tr>
      <w:tr>
        <w:trPr>
          <w:trHeight w:val="284" w:hRule="atLeast"/>
        </w:trPr>
        <w:tc>
          <w:tcPr>
            <w:tcW w:w="1306" w:type="dxa"/>
          </w:tcPr>
          <w:p>
            <w:pPr>
              <w:pStyle w:val="TableParagraph"/>
              <w:spacing w:line="252" w:lineRule="exact" w:before="13"/>
              <w:ind w:right="420"/>
              <w:jc w:val="right"/>
              <w:rPr>
                <w:sz w:val="21"/>
              </w:rPr>
            </w:pPr>
            <w:r>
              <w:rPr>
                <w:sz w:val="21"/>
              </w:rPr>
              <w:t>秋季</w:t>
            </w:r>
          </w:p>
        </w:tc>
        <w:tc>
          <w:tcPr>
            <w:tcW w:w="567" w:type="dxa"/>
          </w:tcPr>
          <w:p>
            <w:pPr>
              <w:pStyle w:val="TableParagraph"/>
              <w:spacing w:line="221" w:lineRule="exact" w:before="43"/>
              <w:ind w:right="133"/>
              <w:jc w:val="right"/>
              <w:rPr>
                <w:rFonts w:ascii="Times New Roman"/>
                <w:sz w:val="21"/>
              </w:rPr>
            </w:pPr>
            <w:r>
              <w:rPr>
                <w:rFonts w:ascii="Times New Roman"/>
                <w:sz w:val="21"/>
              </w:rPr>
              <w:t>1.5</w:t>
            </w:r>
          </w:p>
        </w:tc>
        <w:tc>
          <w:tcPr>
            <w:tcW w:w="517" w:type="dxa"/>
          </w:tcPr>
          <w:p>
            <w:pPr>
              <w:pStyle w:val="TableParagraph"/>
              <w:spacing w:line="221" w:lineRule="exact" w:before="43"/>
              <w:ind w:left="103" w:right="90"/>
              <w:rPr>
                <w:rFonts w:ascii="Times New Roman"/>
                <w:sz w:val="21"/>
              </w:rPr>
            </w:pPr>
            <w:r>
              <w:rPr>
                <w:rFonts w:ascii="Times New Roman"/>
                <w:sz w:val="21"/>
              </w:rPr>
              <w:t>1.6</w:t>
            </w:r>
          </w:p>
        </w:tc>
        <w:tc>
          <w:tcPr>
            <w:tcW w:w="673" w:type="dxa"/>
          </w:tcPr>
          <w:p>
            <w:pPr>
              <w:pStyle w:val="TableParagraph"/>
              <w:spacing w:line="221" w:lineRule="exact" w:before="43"/>
              <w:ind w:left="176" w:right="166"/>
              <w:rPr>
                <w:rFonts w:ascii="Times New Roman"/>
                <w:sz w:val="21"/>
              </w:rPr>
            </w:pPr>
            <w:r>
              <w:rPr>
                <w:rFonts w:ascii="Times New Roman"/>
                <w:sz w:val="21"/>
              </w:rPr>
              <w:t>1.6</w:t>
            </w:r>
          </w:p>
        </w:tc>
        <w:tc>
          <w:tcPr>
            <w:tcW w:w="675" w:type="dxa"/>
          </w:tcPr>
          <w:p>
            <w:pPr>
              <w:pStyle w:val="TableParagraph"/>
              <w:spacing w:line="221" w:lineRule="exact" w:before="43"/>
              <w:ind w:left="74" w:right="63"/>
              <w:rPr>
                <w:rFonts w:ascii="Times New Roman"/>
                <w:sz w:val="21"/>
              </w:rPr>
            </w:pPr>
            <w:r>
              <w:rPr>
                <w:rFonts w:ascii="Times New Roman"/>
                <w:sz w:val="21"/>
              </w:rPr>
              <w:t>1.6</w:t>
            </w:r>
          </w:p>
        </w:tc>
        <w:tc>
          <w:tcPr>
            <w:tcW w:w="675" w:type="dxa"/>
          </w:tcPr>
          <w:p>
            <w:pPr>
              <w:pStyle w:val="TableParagraph"/>
              <w:spacing w:line="221" w:lineRule="exact" w:before="43"/>
              <w:ind w:right="188"/>
              <w:jc w:val="right"/>
              <w:rPr>
                <w:rFonts w:ascii="Times New Roman"/>
                <w:sz w:val="21"/>
              </w:rPr>
            </w:pPr>
            <w:r>
              <w:rPr>
                <w:rFonts w:ascii="Times New Roman"/>
                <w:sz w:val="21"/>
              </w:rPr>
              <w:t>1.6</w:t>
            </w:r>
          </w:p>
        </w:tc>
        <w:tc>
          <w:tcPr>
            <w:tcW w:w="675" w:type="dxa"/>
          </w:tcPr>
          <w:p>
            <w:pPr>
              <w:pStyle w:val="TableParagraph"/>
              <w:spacing w:line="221" w:lineRule="exact" w:before="43"/>
              <w:ind w:left="74" w:right="66"/>
              <w:rPr>
                <w:rFonts w:ascii="Times New Roman"/>
                <w:sz w:val="21"/>
              </w:rPr>
            </w:pPr>
            <w:r>
              <w:rPr>
                <w:rFonts w:ascii="Times New Roman"/>
                <w:sz w:val="21"/>
              </w:rPr>
              <w:t>1.9</w:t>
            </w:r>
          </w:p>
        </w:tc>
        <w:tc>
          <w:tcPr>
            <w:tcW w:w="675" w:type="dxa"/>
          </w:tcPr>
          <w:p>
            <w:pPr>
              <w:pStyle w:val="TableParagraph"/>
              <w:spacing w:line="221" w:lineRule="exact" w:before="43"/>
              <w:ind w:right="191"/>
              <w:jc w:val="right"/>
              <w:rPr>
                <w:rFonts w:ascii="Times New Roman"/>
                <w:sz w:val="21"/>
              </w:rPr>
            </w:pPr>
            <w:r>
              <w:rPr>
                <w:rFonts w:ascii="Times New Roman"/>
                <w:sz w:val="21"/>
              </w:rPr>
              <w:t>1.9</w:t>
            </w:r>
          </w:p>
        </w:tc>
        <w:tc>
          <w:tcPr>
            <w:tcW w:w="675" w:type="dxa"/>
          </w:tcPr>
          <w:p>
            <w:pPr>
              <w:pStyle w:val="TableParagraph"/>
              <w:spacing w:line="221" w:lineRule="exact" w:before="43"/>
              <w:ind w:left="70" w:right="68"/>
              <w:rPr>
                <w:rFonts w:ascii="Times New Roman"/>
                <w:sz w:val="21"/>
              </w:rPr>
            </w:pPr>
            <w:r>
              <w:rPr>
                <w:rFonts w:ascii="Times New Roman"/>
                <w:sz w:val="21"/>
              </w:rPr>
              <w:t>1.9</w:t>
            </w:r>
          </w:p>
        </w:tc>
        <w:tc>
          <w:tcPr>
            <w:tcW w:w="673" w:type="dxa"/>
          </w:tcPr>
          <w:p>
            <w:pPr>
              <w:pStyle w:val="TableParagraph"/>
              <w:spacing w:line="221" w:lineRule="exact" w:before="43"/>
              <w:ind w:left="173" w:right="170"/>
              <w:rPr>
                <w:rFonts w:ascii="Times New Roman"/>
                <w:sz w:val="21"/>
              </w:rPr>
            </w:pPr>
            <w:r>
              <w:rPr>
                <w:rFonts w:ascii="Times New Roman"/>
                <w:sz w:val="21"/>
              </w:rPr>
              <w:t>2.1</w:t>
            </w:r>
          </w:p>
        </w:tc>
        <w:tc>
          <w:tcPr>
            <w:tcW w:w="676" w:type="dxa"/>
          </w:tcPr>
          <w:p>
            <w:pPr>
              <w:pStyle w:val="TableParagraph"/>
              <w:spacing w:line="221" w:lineRule="exact" w:before="43"/>
              <w:ind w:left="178" w:right="175"/>
              <w:rPr>
                <w:rFonts w:ascii="Times New Roman"/>
                <w:sz w:val="21"/>
              </w:rPr>
            </w:pPr>
            <w:r>
              <w:rPr>
                <w:rFonts w:ascii="Times New Roman"/>
                <w:sz w:val="21"/>
              </w:rPr>
              <w:t>2.4</w:t>
            </w:r>
          </w:p>
        </w:tc>
        <w:tc>
          <w:tcPr>
            <w:tcW w:w="675" w:type="dxa"/>
          </w:tcPr>
          <w:p>
            <w:pPr>
              <w:pStyle w:val="TableParagraph"/>
              <w:spacing w:line="221" w:lineRule="exact" w:before="43"/>
              <w:ind w:left="70" w:right="68"/>
              <w:rPr>
                <w:rFonts w:ascii="Times New Roman"/>
                <w:sz w:val="21"/>
              </w:rPr>
            </w:pPr>
            <w:r>
              <w:rPr>
                <w:rFonts w:ascii="Times New Roman"/>
                <w:sz w:val="21"/>
              </w:rPr>
              <w:t>2.6</w:t>
            </w:r>
          </w:p>
        </w:tc>
        <w:tc>
          <w:tcPr>
            <w:tcW w:w="675" w:type="dxa"/>
          </w:tcPr>
          <w:p>
            <w:pPr>
              <w:pStyle w:val="TableParagraph"/>
              <w:spacing w:line="221" w:lineRule="exact" w:before="43"/>
              <w:ind w:left="195"/>
              <w:jc w:val="left"/>
              <w:rPr>
                <w:rFonts w:ascii="Times New Roman"/>
                <w:sz w:val="21"/>
              </w:rPr>
            </w:pPr>
            <w:r>
              <w:rPr>
                <w:rFonts w:ascii="Times New Roman"/>
                <w:sz w:val="21"/>
              </w:rPr>
              <w:t>2.8</w:t>
            </w:r>
          </w:p>
        </w:tc>
      </w:tr>
      <w:tr>
        <w:trPr>
          <w:trHeight w:val="282" w:hRule="atLeast"/>
        </w:trPr>
        <w:tc>
          <w:tcPr>
            <w:tcW w:w="1306" w:type="dxa"/>
          </w:tcPr>
          <w:p>
            <w:pPr>
              <w:pStyle w:val="TableParagraph"/>
              <w:spacing w:line="250" w:lineRule="exact" w:before="12"/>
              <w:ind w:right="420"/>
              <w:jc w:val="right"/>
              <w:rPr>
                <w:sz w:val="21"/>
              </w:rPr>
            </w:pPr>
            <w:r>
              <w:rPr>
                <w:sz w:val="21"/>
              </w:rPr>
              <w:t>冬季</w:t>
            </w:r>
          </w:p>
        </w:tc>
        <w:tc>
          <w:tcPr>
            <w:tcW w:w="567" w:type="dxa"/>
          </w:tcPr>
          <w:p>
            <w:pPr>
              <w:pStyle w:val="TableParagraph"/>
              <w:spacing w:line="221" w:lineRule="exact" w:before="41"/>
              <w:ind w:right="133"/>
              <w:jc w:val="right"/>
              <w:rPr>
                <w:rFonts w:ascii="Times New Roman"/>
                <w:sz w:val="21"/>
              </w:rPr>
            </w:pPr>
            <w:r>
              <w:rPr>
                <w:rFonts w:ascii="Times New Roman"/>
                <w:sz w:val="21"/>
              </w:rPr>
              <w:t>2.1</w:t>
            </w:r>
          </w:p>
        </w:tc>
        <w:tc>
          <w:tcPr>
            <w:tcW w:w="517" w:type="dxa"/>
          </w:tcPr>
          <w:p>
            <w:pPr>
              <w:pStyle w:val="TableParagraph"/>
              <w:spacing w:line="221" w:lineRule="exact" w:before="41"/>
              <w:ind w:left="103" w:right="90"/>
              <w:rPr>
                <w:rFonts w:ascii="Times New Roman"/>
                <w:sz w:val="21"/>
              </w:rPr>
            </w:pPr>
            <w:r>
              <w:rPr>
                <w:rFonts w:ascii="Times New Roman"/>
                <w:sz w:val="21"/>
              </w:rPr>
              <w:t>2.2</w:t>
            </w:r>
          </w:p>
        </w:tc>
        <w:tc>
          <w:tcPr>
            <w:tcW w:w="673" w:type="dxa"/>
          </w:tcPr>
          <w:p>
            <w:pPr>
              <w:pStyle w:val="TableParagraph"/>
              <w:spacing w:line="221" w:lineRule="exact" w:before="41"/>
              <w:ind w:left="176" w:right="166"/>
              <w:rPr>
                <w:rFonts w:ascii="Times New Roman"/>
                <w:sz w:val="21"/>
              </w:rPr>
            </w:pPr>
            <w:r>
              <w:rPr>
                <w:rFonts w:ascii="Times New Roman"/>
                <w:sz w:val="21"/>
              </w:rPr>
              <w:t>2.1</w:t>
            </w:r>
          </w:p>
        </w:tc>
        <w:tc>
          <w:tcPr>
            <w:tcW w:w="675" w:type="dxa"/>
          </w:tcPr>
          <w:p>
            <w:pPr>
              <w:pStyle w:val="TableParagraph"/>
              <w:spacing w:line="221" w:lineRule="exact" w:before="41"/>
              <w:ind w:left="74" w:right="63"/>
              <w:rPr>
                <w:rFonts w:ascii="Times New Roman"/>
                <w:sz w:val="21"/>
              </w:rPr>
            </w:pPr>
            <w:r>
              <w:rPr>
                <w:rFonts w:ascii="Times New Roman"/>
                <w:sz w:val="21"/>
              </w:rPr>
              <w:t>2.2</w:t>
            </w:r>
          </w:p>
        </w:tc>
        <w:tc>
          <w:tcPr>
            <w:tcW w:w="675" w:type="dxa"/>
          </w:tcPr>
          <w:p>
            <w:pPr>
              <w:pStyle w:val="TableParagraph"/>
              <w:spacing w:line="221" w:lineRule="exact" w:before="41"/>
              <w:ind w:right="188"/>
              <w:jc w:val="right"/>
              <w:rPr>
                <w:rFonts w:ascii="Times New Roman"/>
                <w:sz w:val="21"/>
              </w:rPr>
            </w:pPr>
            <w:r>
              <w:rPr>
                <w:rFonts w:ascii="Times New Roman"/>
                <w:sz w:val="21"/>
              </w:rPr>
              <w:t>2.1</w:t>
            </w:r>
          </w:p>
        </w:tc>
        <w:tc>
          <w:tcPr>
            <w:tcW w:w="675" w:type="dxa"/>
          </w:tcPr>
          <w:p>
            <w:pPr>
              <w:pStyle w:val="TableParagraph"/>
              <w:spacing w:line="221" w:lineRule="exact" w:before="41"/>
              <w:ind w:left="74" w:right="66"/>
              <w:rPr>
                <w:rFonts w:ascii="Times New Roman"/>
                <w:sz w:val="21"/>
              </w:rPr>
            </w:pPr>
            <w:r>
              <w:rPr>
                <w:rFonts w:ascii="Times New Roman"/>
                <w:sz w:val="21"/>
              </w:rPr>
              <w:t>2.2</w:t>
            </w:r>
          </w:p>
        </w:tc>
        <w:tc>
          <w:tcPr>
            <w:tcW w:w="675" w:type="dxa"/>
          </w:tcPr>
          <w:p>
            <w:pPr>
              <w:pStyle w:val="TableParagraph"/>
              <w:spacing w:line="221" w:lineRule="exact" w:before="41"/>
              <w:ind w:right="191"/>
              <w:jc w:val="right"/>
              <w:rPr>
                <w:rFonts w:ascii="Times New Roman"/>
                <w:sz w:val="21"/>
              </w:rPr>
            </w:pPr>
            <w:r>
              <w:rPr>
                <w:rFonts w:ascii="Times New Roman"/>
                <w:sz w:val="21"/>
              </w:rPr>
              <w:t>2.1</w:t>
            </w:r>
          </w:p>
        </w:tc>
        <w:tc>
          <w:tcPr>
            <w:tcW w:w="675" w:type="dxa"/>
          </w:tcPr>
          <w:p>
            <w:pPr>
              <w:pStyle w:val="TableParagraph"/>
              <w:spacing w:line="221" w:lineRule="exact" w:before="41"/>
              <w:ind w:left="70" w:right="68"/>
              <w:rPr>
                <w:rFonts w:ascii="Times New Roman"/>
                <w:sz w:val="21"/>
              </w:rPr>
            </w:pPr>
            <w:r>
              <w:rPr>
                <w:rFonts w:ascii="Times New Roman"/>
                <w:sz w:val="21"/>
              </w:rPr>
              <w:t>2.0</w:t>
            </w:r>
          </w:p>
        </w:tc>
        <w:tc>
          <w:tcPr>
            <w:tcW w:w="673" w:type="dxa"/>
          </w:tcPr>
          <w:p>
            <w:pPr>
              <w:pStyle w:val="TableParagraph"/>
              <w:spacing w:line="221" w:lineRule="exact" w:before="41"/>
              <w:ind w:left="173" w:right="170"/>
              <w:rPr>
                <w:rFonts w:ascii="Times New Roman"/>
                <w:sz w:val="21"/>
              </w:rPr>
            </w:pPr>
            <w:r>
              <w:rPr>
                <w:rFonts w:ascii="Times New Roman"/>
                <w:sz w:val="21"/>
              </w:rPr>
              <w:t>2.2</w:t>
            </w:r>
          </w:p>
        </w:tc>
        <w:tc>
          <w:tcPr>
            <w:tcW w:w="676" w:type="dxa"/>
          </w:tcPr>
          <w:p>
            <w:pPr>
              <w:pStyle w:val="TableParagraph"/>
              <w:spacing w:line="221" w:lineRule="exact" w:before="41"/>
              <w:ind w:left="178" w:right="175"/>
              <w:rPr>
                <w:rFonts w:ascii="Times New Roman"/>
                <w:sz w:val="21"/>
              </w:rPr>
            </w:pPr>
            <w:r>
              <w:rPr>
                <w:rFonts w:ascii="Times New Roman"/>
                <w:sz w:val="21"/>
              </w:rPr>
              <w:t>2.5</w:t>
            </w:r>
          </w:p>
        </w:tc>
        <w:tc>
          <w:tcPr>
            <w:tcW w:w="675" w:type="dxa"/>
          </w:tcPr>
          <w:p>
            <w:pPr>
              <w:pStyle w:val="TableParagraph"/>
              <w:spacing w:line="221" w:lineRule="exact" w:before="41"/>
              <w:ind w:left="70" w:right="68"/>
              <w:rPr>
                <w:rFonts w:ascii="Times New Roman"/>
                <w:sz w:val="21"/>
              </w:rPr>
            </w:pPr>
            <w:r>
              <w:rPr>
                <w:rFonts w:ascii="Times New Roman"/>
                <w:sz w:val="21"/>
              </w:rPr>
              <w:t>2.7</w:t>
            </w:r>
          </w:p>
        </w:tc>
        <w:tc>
          <w:tcPr>
            <w:tcW w:w="675" w:type="dxa"/>
          </w:tcPr>
          <w:p>
            <w:pPr>
              <w:pStyle w:val="TableParagraph"/>
              <w:spacing w:line="221" w:lineRule="exact" w:before="41"/>
              <w:ind w:left="195"/>
              <w:jc w:val="left"/>
              <w:rPr>
                <w:rFonts w:ascii="Times New Roman"/>
                <w:sz w:val="21"/>
              </w:rPr>
            </w:pPr>
            <w:r>
              <w:rPr>
                <w:rFonts w:ascii="Times New Roman"/>
                <w:sz w:val="21"/>
              </w:rPr>
              <w:t>2.9</w:t>
            </w:r>
          </w:p>
        </w:tc>
      </w:tr>
      <w:tr>
        <w:trPr>
          <w:trHeight w:val="546" w:hRule="atLeast"/>
        </w:trPr>
        <w:tc>
          <w:tcPr>
            <w:tcW w:w="1306" w:type="dxa"/>
          </w:tcPr>
          <w:p>
            <w:pPr>
              <w:pStyle w:val="TableParagraph"/>
              <w:spacing w:line="270" w:lineRule="atLeast" w:before="2"/>
              <w:ind w:left="28" w:right="4" w:firstLine="585"/>
              <w:jc w:val="left"/>
              <w:rPr>
                <w:rFonts w:ascii="Times New Roman" w:eastAsia="Times New Roman"/>
                <w:sz w:val="21"/>
              </w:rPr>
            </w:pPr>
            <w:r>
              <w:rPr>
                <w:sz w:val="21"/>
              </w:rPr>
              <w:t>小时</w:t>
            </w:r>
            <w:r>
              <w:rPr>
                <w:rFonts w:ascii="Times New Roman" w:eastAsia="Times New Roman"/>
                <w:sz w:val="21"/>
              </w:rPr>
              <w:t>(h) </w:t>
            </w:r>
            <w:r>
              <w:rPr>
                <w:sz w:val="21"/>
              </w:rPr>
              <w:t>风速</w:t>
            </w:r>
            <w:r>
              <w:rPr>
                <w:rFonts w:ascii="Times New Roman" w:eastAsia="Times New Roman"/>
                <w:sz w:val="21"/>
              </w:rPr>
              <w:t>(m/s)</w:t>
            </w:r>
          </w:p>
        </w:tc>
        <w:tc>
          <w:tcPr>
            <w:tcW w:w="567" w:type="dxa"/>
          </w:tcPr>
          <w:p>
            <w:pPr>
              <w:pStyle w:val="TableParagraph"/>
              <w:spacing w:before="151"/>
              <w:ind w:right="159"/>
              <w:jc w:val="right"/>
              <w:rPr>
                <w:rFonts w:ascii="Times New Roman"/>
                <w:sz w:val="21"/>
              </w:rPr>
            </w:pPr>
            <w:r>
              <w:rPr>
                <w:rFonts w:ascii="Times New Roman"/>
                <w:sz w:val="21"/>
              </w:rPr>
              <w:t>13</w:t>
            </w:r>
          </w:p>
        </w:tc>
        <w:tc>
          <w:tcPr>
            <w:tcW w:w="517" w:type="dxa"/>
          </w:tcPr>
          <w:p>
            <w:pPr>
              <w:pStyle w:val="TableParagraph"/>
              <w:spacing w:before="151"/>
              <w:ind w:left="103" w:right="90"/>
              <w:rPr>
                <w:rFonts w:ascii="Times New Roman"/>
                <w:sz w:val="21"/>
              </w:rPr>
            </w:pPr>
            <w:r>
              <w:rPr>
                <w:rFonts w:ascii="Times New Roman"/>
                <w:sz w:val="21"/>
              </w:rPr>
              <w:t>14</w:t>
            </w:r>
          </w:p>
        </w:tc>
        <w:tc>
          <w:tcPr>
            <w:tcW w:w="673" w:type="dxa"/>
          </w:tcPr>
          <w:p>
            <w:pPr>
              <w:pStyle w:val="TableParagraph"/>
              <w:spacing w:before="151"/>
              <w:ind w:left="176" w:right="166"/>
              <w:rPr>
                <w:rFonts w:ascii="Times New Roman"/>
                <w:sz w:val="21"/>
              </w:rPr>
            </w:pPr>
            <w:r>
              <w:rPr>
                <w:rFonts w:ascii="Times New Roman"/>
                <w:sz w:val="21"/>
              </w:rPr>
              <w:t>15</w:t>
            </w:r>
          </w:p>
        </w:tc>
        <w:tc>
          <w:tcPr>
            <w:tcW w:w="675" w:type="dxa"/>
          </w:tcPr>
          <w:p>
            <w:pPr>
              <w:pStyle w:val="TableParagraph"/>
              <w:spacing w:before="151"/>
              <w:ind w:left="74" w:right="63"/>
              <w:rPr>
                <w:rFonts w:ascii="Times New Roman"/>
                <w:sz w:val="21"/>
              </w:rPr>
            </w:pPr>
            <w:r>
              <w:rPr>
                <w:rFonts w:ascii="Times New Roman"/>
                <w:sz w:val="21"/>
              </w:rPr>
              <w:t>16</w:t>
            </w:r>
          </w:p>
        </w:tc>
        <w:tc>
          <w:tcPr>
            <w:tcW w:w="675" w:type="dxa"/>
          </w:tcPr>
          <w:p>
            <w:pPr>
              <w:pStyle w:val="TableParagraph"/>
              <w:spacing w:before="151"/>
              <w:ind w:right="214"/>
              <w:jc w:val="right"/>
              <w:rPr>
                <w:rFonts w:ascii="Times New Roman"/>
                <w:sz w:val="21"/>
              </w:rPr>
            </w:pPr>
            <w:r>
              <w:rPr>
                <w:rFonts w:ascii="Times New Roman"/>
                <w:sz w:val="21"/>
              </w:rPr>
              <w:t>17</w:t>
            </w:r>
          </w:p>
        </w:tc>
        <w:tc>
          <w:tcPr>
            <w:tcW w:w="675" w:type="dxa"/>
          </w:tcPr>
          <w:p>
            <w:pPr>
              <w:pStyle w:val="TableParagraph"/>
              <w:spacing w:before="151"/>
              <w:ind w:left="74" w:right="66"/>
              <w:rPr>
                <w:rFonts w:ascii="Times New Roman"/>
                <w:sz w:val="21"/>
              </w:rPr>
            </w:pPr>
            <w:r>
              <w:rPr>
                <w:rFonts w:ascii="Times New Roman"/>
                <w:sz w:val="21"/>
              </w:rPr>
              <w:t>18</w:t>
            </w:r>
          </w:p>
        </w:tc>
        <w:tc>
          <w:tcPr>
            <w:tcW w:w="675" w:type="dxa"/>
          </w:tcPr>
          <w:p>
            <w:pPr>
              <w:pStyle w:val="TableParagraph"/>
              <w:spacing w:before="151"/>
              <w:ind w:right="218"/>
              <w:jc w:val="right"/>
              <w:rPr>
                <w:rFonts w:ascii="Times New Roman"/>
                <w:sz w:val="21"/>
              </w:rPr>
            </w:pPr>
            <w:r>
              <w:rPr>
                <w:rFonts w:ascii="Times New Roman"/>
                <w:sz w:val="21"/>
              </w:rPr>
              <w:t>19</w:t>
            </w:r>
          </w:p>
        </w:tc>
        <w:tc>
          <w:tcPr>
            <w:tcW w:w="675" w:type="dxa"/>
          </w:tcPr>
          <w:p>
            <w:pPr>
              <w:pStyle w:val="TableParagraph"/>
              <w:spacing w:before="151"/>
              <w:ind w:left="70" w:right="68"/>
              <w:rPr>
                <w:rFonts w:ascii="Times New Roman"/>
                <w:sz w:val="21"/>
              </w:rPr>
            </w:pPr>
            <w:r>
              <w:rPr>
                <w:rFonts w:ascii="Times New Roman"/>
                <w:sz w:val="21"/>
              </w:rPr>
              <w:t>20</w:t>
            </w:r>
          </w:p>
        </w:tc>
        <w:tc>
          <w:tcPr>
            <w:tcW w:w="673" w:type="dxa"/>
          </w:tcPr>
          <w:p>
            <w:pPr>
              <w:pStyle w:val="TableParagraph"/>
              <w:spacing w:before="151"/>
              <w:ind w:left="173" w:right="170"/>
              <w:rPr>
                <w:rFonts w:ascii="Times New Roman"/>
                <w:sz w:val="21"/>
              </w:rPr>
            </w:pPr>
            <w:r>
              <w:rPr>
                <w:rFonts w:ascii="Times New Roman"/>
                <w:sz w:val="21"/>
              </w:rPr>
              <w:t>21</w:t>
            </w:r>
          </w:p>
        </w:tc>
        <w:tc>
          <w:tcPr>
            <w:tcW w:w="676" w:type="dxa"/>
          </w:tcPr>
          <w:p>
            <w:pPr>
              <w:pStyle w:val="TableParagraph"/>
              <w:spacing w:before="151"/>
              <w:ind w:left="178" w:right="175"/>
              <w:rPr>
                <w:rFonts w:ascii="Times New Roman"/>
                <w:sz w:val="21"/>
              </w:rPr>
            </w:pPr>
            <w:r>
              <w:rPr>
                <w:rFonts w:ascii="Times New Roman"/>
                <w:sz w:val="21"/>
              </w:rPr>
              <w:t>22</w:t>
            </w:r>
          </w:p>
        </w:tc>
        <w:tc>
          <w:tcPr>
            <w:tcW w:w="675" w:type="dxa"/>
          </w:tcPr>
          <w:p>
            <w:pPr>
              <w:pStyle w:val="TableParagraph"/>
              <w:spacing w:before="151"/>
              <w:ind w:left="70" w:right="68"/>
              <w:rPr>
                <w:rFonts w:ascii="Times New Roman"/>
                <w:sz w:val="21"/>
              </w:rPr>
            </w:pPr>
            <w:r>
              <w:rPr>
                <w:rFonts w:ascii="Times New Roman"/>
                <w:sz w:val="21"/>
              </w:rPr>
              <w:t>23</w:t>
            </w:r>
          </w:p>
        </w:tc>
        <w:tc>
          <w:tcPr>
            <w:tcW w:w="675" w:type="dxa"/>
          </w:tcPr>
          <w:p>
            <w:pPr>
              <w:pStyle w:val="TableParagraph"/>
              <w:spacing w:before="151"/>
              <w:ind w:left="222"/>
              <w:jc w:val="left"/>
              <w:rPr>
                <w:rFonts w:ascii="Times New Roman"/>
                <w:sz w:val="21"/>
              </w:rPr>
            </w:pPr>
            <w:r>
              <w:rPr>
                <w:rFonts w:ascii="Times New Roman"/>
                <w:sz w:val="21"/>
              </w:rPr>
              <w:t>24</w:t>
            </w:r>
          </w:p>
        </w:tc>
      </w:tr>
      <w:tr>
        <w:trPr>
          <w:trHeight w:val="282" w:hRule="atLeast"/>
        </w:trPr>
        <w:tc>
          <w:tcPr>
            <w:tcW w:w="1306" w:type="dxa"/>
          </w:tcPr>
          <w:p>
            <w:pPr>
              <w:pStyle w:val="TableParagraph"/>
              <w:spacing w:line="250" w:lineRule="exact" w:before="13"/>
              <w:ind w:right="420"/>
              <w:jc w:val="right"/>
              <w:rPr>
                <w:sz w:val="21"/>
              </w:rPr>
            </w:pPr>
            <w:r>
              <w:rPr>
                <w:sz w:val="21"/>
              </w:rPr>
              <w:t>春季</w:t>
            </w:r>
          </w:p>
        </w:tc>
        <w:tc>
          <w:tcPr>
            <w:tcW w:w="567" w:type="dxa"/>
          </w:tcPr>
          <w:p>
            <w:pPr>
              <w:pStyle w:val="TableParagraph"/>
              <w:spacing w:line="221" w:lineRule="exact" w:before="41"/>
              <w:ind w:right="133"/>
              <w:jc w:val="right"/>
              <w:rPr>
                <w:rFonts w:ascii="Times New Roman"/>
                <w:sz w:val="21"/>
              </w:rPr>
            </w:pPr>
            <w:r>
              <w:rPr>
                <w:rFonts w:ascii="Times New Roman"/>
                <w:sz w:val="21"/>
              </w:rPr>
              <w:t>3.0</w:t>
            </w:r>
          </w:p>
        </w:tc>
        <w:tc>
          <w:tcPr>
            <w:tcW w:w="517" w:type="dxa"/>
          </w:tcPr>
          <w:p>
            <w:pPr>
              <w:pStyle w:val="TableParagraph"/>
              <w:spacing w:line="221" w:lineRule="exact" w:before="41"/>
              <w:ind w:left="103" w:right="90"/>
              <w:rPr>
                <w:rFonts w:ascii="Times New Roman"/>
                <w:sz w:val="21"/>
              </w:rPr>
            </w:pPr>
            <w:r>
              <w:rPr>
                <w:rFonts w:ascii="Times New Roman"/>
                <w:sz w:val="21"/>
              </w:rPr>
              <w:t>3.1</w:t>
            </w:r>
          </w:p>
        </w:tc>
        <w:tc>
          <w:tcPr>
            <w:tcW w:w="673" w:type="dxa"/>
          </w:tcPr>
          <w:p>
            <w:pPr>
              <w:pStyle w:val="TableParagraph"/>
              <w:spacing w:line="221" w:lineRule="exact" w:before="41"/>
              <w:ind w:left="176" w:right="166"/>
              <w:rPr>
                <w:rFonts w:ascii="Times New Roman"/>
                <w:sz w:val="21"/>
              </w:rPr>
            </w:pPr>
            <w:r>
              <w:rPr>
                <w:rFonts w:ascii="Times New Roman"/>
                <w:sz w:val="21"/>
              </w:rPr>
              <w:t>3.0</w:t>
            </w:r>
          </w:p>
        </w:tc>
        <w:tc>
          <w:tcPr>
            <w:tcW w:w="675" w:type="dxa"/>
          </w:tcPr>
          <w:p>
            <w:pPr>
              <w:pStyle w:val="TableParagraph"/>
              <w:spacing w:line="221" w:lineRule="exact" w:before="41"/>
              <w:ind w:left="74" w:right="63"/>
              <w:rPr>
                <w:rFonts w:ascii="Times New Roman"/>
                <w:sz w:val="21"/>
              </w:rPr>
            </w:pPr>
            <w:r>
              <w:rPr>
                <w:rFonts w:ascii="Times New Roman"/>
                <w:sz w:val="21"/>
              </w:rPr>
              <w:t>3.2</w:t>
            </w:r>
          </w:p>
        </w:tc>
        <w:tc>
          <w:tcPr>
            <w:tcW w:w="675" w:type="dxa"/>
          </w:tcPr>
          <w:p>
            <w:pPr>
              <w:pStyle w:val="TableParagraph"/>
              <w:spacing w:line="221" w:lineRule="exact" w:before="41"/>
              <w:ind w:right="188"/>
              <w:jc w:val="right"/>
              <w:rPr>
                <w:rFonts w:ascii="Times New Roman"/>
                <w:sz w:val="21"/>
              </w:rPr>
            </w:pPr>
            <w:r>
              <w:rPr>
                <w:rFonts w:ascii="Times New Roman"/>
                <w:sz w:val="21"/>
              </w:rPr>
              <w:t>3.0</w:t>
            </w:r>
          </w:p>
        </w:tc>
        <w:tc>
          <w:tcPr>
            <w:tcW w:w="675" w:type="dxa"/>
          </w:tcPr>
          <w:p>
            <w:pPr>
              <w:pStyle w:val="TableParagraph"/>
              <w:spacing w:line="221" w:lineRule="exact" w:before="41"/>
              <w:ind w:left="74" w:right="66"/>
              <w:rPr>
                <w:rFonts w:ascii="Times New Roman"/>
                <w:sz w:val="21"/>
              </w:rPr>
            </w:pPr>
            <w:r>
              <w:rPr>
                <w:rFonts w:ascii="Times New Roman"/>
                <w:sz w:val="21"/>
              </w:rPr>
              <w:t>2.8</w:t>
            </w:r>
          </w:p>
        </w:tc>
        <w:tc>
          <w:tcPr>
            <w:tcW w:w="675" w:type="dxa"/>
          </w:tcPr>
          <w:p>
            <w:pPr>
              <w:pStyle w:val="TableParagraph"/>
              <w:spacing w:line="221" w:lineRule="exact" w:before="41"/>
              <w:ind w:right="191"/>
              <w:jc w:val="right"/>
              <w:rPr>
                <w:rFonts w:ascii="Times New Roman"/>
                <w:sz w:val="21"/>
              </w:rPr>
            </w:pPr>
            <w:r>
              <w:rPr>
                <w:rFonts w:ascii="Times New Roman"/>
                <w:sz w:val="21"/>
              </w:rPr>
              <w:t>2.5</w:t>
            </w:r>
          </w:p>
        </w:tc>
        <w:tc>
          <w:tcPr>
            <w:tcW w:w="675" w:type="dxa"/>
          </w:tcPr>
          <w:p>
            <w:pPr>
              <w:pStyle w:val="TableParagraph"/>
              <w:spacing w:line="221" w:lineRule="exact" w:before="41"/>
              <w:ind w:left="70" w:right="68"/>
              <w:rPr>
                <w:rFonts w:ascii="Times New Roman"/>
                <w:sz w:val="21"/>
              </w:rPr>
            </w:pPr>
            <w:r>
              <w:rPr>
                <w:rFonts w:ascii="Times New Roman"/>
                <w:sz w:val="21"/>
              </w:rPr>
              <w:t>2.5</w:t>
            </w:r>
          </w:p>
        </w:tc>
        <w:tc>
          <w:tcPr>
            <w:tcW w:w="673" w:type="dxa"/>
          </w:tcPr>
          <w:p>
            <w:pPr>
              <w:pStyle w:val="TableParagraph"/>
              <w:spacing w:line="221" w:lineRule="exact" w:before="41"/>
              <w:ind w:left="173" w:right="170"/>
              <w:rPr>
                <w:rFonts w:ascii="Times New Roman"/>
                <w:sz w:val="21"/>
              </w:rPr>
            </w:pPr>
            <w:r>
              <w:rPr>
                <w:rFonts w:ascii="Times New Roman"/>
                <w:sz w:val="21"/>
              </w:rPr>
              <w:t>2.3</w:t>
            </w:r>
          </w:p>
        </w:tc>
        <w:tc>
          <w:tcPr>
            <w:tcW w:w="676" w:type="dxa"/>
          </w:tcPr>
          <w:p>
            <w:pPr>
              <w:pStyle w:val="TableParagraph"/>
              <w:spacing w:line="221" w:lineRule="exact" w:before="41"/>
              <w:ind w:left="178" w:right="175"/>
              <w:rPr>
                <w:rFonts w:ascii="Times New Roman"/>
                <w:sz w:val="21"/>
              </w:rPr>
            </w:pPr>
            <w:r>
              <w:rPr>
                <w:rFonts w:ascii="Times New Roman"/>
                <w:sz w:val="21"/>
              </w:rPr>
              <w:t>2.3</w:t>
            </w:r>
          </w:p>
        </w:tc>
        <w:tc>
          <w:tcPr>
            <w:tcW w:w="675" w:type="dxa"/>
          </w:tcPr>
          <w:p>
            <w:pPr>
              <w:pStyle w:val="TableParagraph"/>
              <w:spacing w:line="221" w:lineRule="exact" w:before="41"/>
              <w:ind w:left="70" w:right="68"/>
              <w:rPr>
                <w:rFonts w:ascii="Times New Roman"/>
                <w:sz w:val="21"/>
              </w:rPr>
            </w:pPr>
            <w:r>
              <w:rPr>
                <w:rFonts w:ascii="Times New Roman"/>
                <w:sz w:val="21"/>
              </w:rPr>
              <w:t>2.2</w:t>
            </w:r>
          </w:p>
        </w:tc>
        <w:tc>
          <w:tcPr>
            <w:tcW w:w="675" w:type="dxa"/>
          </w:tcPr>
          <w:p>
            <w:pPr>
              <w:pStyle w:val="TableParagraph"/>
              <w:spacing w:line="221" w:lineRule="exact" w:before="41"/>
              <w:ind w:left="195"/>
              <w:jc w:val="left"/>
              <w:rPr>
                <w:rFonts w:ascii="Times New Roman"/>
                <w:sz w:val="21"/>
              </w:rPr>
            </w:pPr>
            <w:r>
              <w:rPr>
                <w:rFonts w:ascii="Times New Roman"/>
                <w:sz w:val="21"/>
              </w:rPr>
              <w:t>2.1</w:t>
            </w:r>
          </w:p>
        </w:tc>
      </w:tr>
      <w:tr>
        <w:trPr>
          <w:trHeight w:val="284" w:hRule="atLeast"/>
        </w:trPr>
        <w:tc>
          <w:tcPr>
            <w:tcW w:w="1306" w:type="dxa"/>
          </w:tcPr>
          <w:p>
            <w:pPr>
              <w:pStyle w:val="TableParagraph"/>
              <w:spacing w:line="252" w:lineRule="exact" w:before="12"/>
              <w:ind w:right="420"/>
              <w:jc w:val="right"/>
              <w:rPr>
                <w:sz w:val="21"/>
              </w:rPr>
            </w:pPr>
            <w:r>
              <w:rPr>
                <w:sz w:val="21"/>
              </w:rPr>
              <w:t>夏季</w:t>
            </w:r>
          </w:p>
        </w:tc>
        <w:tc>
          <w:tcPr>
            <w:tcW w:w="567" w:type="dxa"/>
          </w:tcPr>
          <w:p>
            <w:pPr>
              <w:pStyle w:val="TableParagraph"/>
              <w:spacing w:line="221" w:lineRule="exact" w:before="43"/>
              <w:ind w:right="133"/>
              <w:jc w:val="right"/>
              <w:rPr>
                <w:rFonts w:ascii="Times New Roman"/>
                <w:sz w:val="21"/>
              </w:rPr>
            </w:pPr>
            <w:r>
              <w:rPr>
                <w:rFonts w:ascii="Times New Roman"/>
                <w:sz w:val="21"/>
              </w:rPr>
              <w:t>2.7</w:t>
            </w:r>
          </w:p>
        </w:tc>
        <w:tc>
          <w:tcPr>
            <w:tcW w:w="517" w:type="dxa"/>
          </w:tcPr>
          <w:p>
            <w:pPr>
              <w:pStyle w:val="TableParagraph"/>
              <w:spacing w:line="221" w:lineRule="exact" w:before="43"/>
              <w:ind w:left="103" w:right="90"/>
              <w:rPr>
                <w:rFonts w:ascii="Times New Roman"/>
                <w:sz w:val="21"/>
              </w:rPr>
            </w:pPr>
            <w:r>
              <w:rPr>
                <w:rFonts w:ascii="Times New Roman"/>
                <w:sz w:val="21"/>
              </w:rPr>
              <w:t>2.9</w:t>
            </w:r>
          </w:p>
        </w:tc>
        <w:tc>
          <w:tcPr>
            <w:tcW w:w="673" w:type="dxa"/>
          </w:tcPr>
          <w:p>
            <w:pPr>
              <w:pStyle w:val="TableParagraph"/>
              <w:spacing w:line="221" w:lineRule="exact" w:before="43"/>
              <w:ind w:left="176" w:right="166"/>
              <w:rPr>
                <w:rFonts w:ascii="Times New Roman"/>
                <w:sz w:val="21"/>
              </w:rPr>
            </w:pPr>
            <w:r>
              <w:rPr>
                <w:rFonts w:ascii="Times New Roman"/>
                <w:sz w:val="21"/>
              </w:rPr>
              <w:t>3.1</w:t>
            </w:r>
          </w:p>
        </w:tc>
        <w:tc>
          <w:tcPr>
            <w:tcW w:w="675" w:type="dxa"/>
          </w:tcPr>
          <w:p>
            <w:pPr>
              <w:pStyle w:val="TableParagraph"/>
              <w:spacing w:line="221" w:lineRule="exact" w:before="43"/>
              <w:ind w:left="74" w:right="63"/>
              <w:rPr>
                <w:rFonts w:ascii="Times New Roman"/>
                <w:sz w:val="21"/>
              </w:rPr>
            </w:pPr>
            <w:r>
              <w:rPr>
                <w:rFonts w:ascii="Times New Roman"/>
                <w:sz w:val="21"/>
              </w:rPr>
              <w:t>3.0</w:t>
            </w:r>
          </w:p>
        </w:tc>
        <w:tc>
          <w:tcPr>
            <w:tcW w:w="675" w:type="dxa"/>
          </w:tcPr>
          <w:p>
            <w:pPr>
              <w:pStyle w:val="TableParagraph"/>
              <w:spacing w:line="221" w:lineRule="exact" w:before="43"/>
              <w:ind w:right="188"/>
              <w:jc w:val="right"/>
              <w:rPr>
                <w:rFonts w:ascii="Times New Roman"/>
                <w:sz w:val="21"/>
              </w:rPr>
            </w:pPr>
            <w:r>
              <w:rPr>
                <w:rFonts w:ascii="Times New Roman"/>
                <w:sz w:val="21"/>
              </w:rPr>
              <w:t>2.9</w:t>
            </w:r>
          </w:p>
        </w:tc>
        <w:tc>
          <w:tcPr>
            <w:tcW w:w="675" w:type="dxa"/>
          </w:tcPr>
          <w:p>
            <w:pPr>
              <w:pStyle w:val="TableParagraph"/>
              <w:spacing w:line="221" w:lineRule="exact" w:before="43"/>
              <w:ind w:left="74" w:right="66"/>
              <w:rPr>
                <w:rFonts w:ascii="Times New Roman"/>
                <w:sz w:val="21"/>
              </w:rPr>
            </w:pPr>
            <w:r>
              <w:rPr>
                <w:rFonts w:ascii="Times New Roman"/>
                <w:sz w:val="21"/>
              </w:rPr>
              <w:t>2.4</w:t>
            </w:r>
          </w:p>
        </w:tc>
        <w:tc>
          <w:tcPr>
            <w:tcW w:w="675" w:type="dxa"/>
          </w:tcPr>
          <w:p>
            <w:pPr>
              <w:pStyle w:val="TableParagraph"/>
              <w:spacing w:line="221" w:lineRule="exact" w:before="43"/>
              <w:ind w:right="191"/>
              <w:jc w:val="right"/>
              <w:rPr>
                <w:rFonts w:ascii="Times New Roman"/>
                <w:sz w:val="21"/>
              </w:rPr>
            </w:pPr>
            <w:r>
              <w:rPr>
                <w:rFonts w:ascii="Times New Roman"/>
                <w:sz w:val="21"/>
              </w:rPr>
              <w:t>2.2</w:t>
            </w:r>
          </w:p>
        </w:tc>
        <w:tc>
          <w:tcPr>
            <w:tcW w:w="675" w:type="dxa"/>
          </w:tcPr>
          <w:p>
            <w:pPr>
              <w:pStyle w:val="TableParagraph"/>
              <w:spacing w:line="221" w:lineRule="exact" w:before="43"/>
              <w:ind w:left="70" w:right="68"/>
              <w:rPr>
                <w:rFonts w:ascii="Times New Roman"/>
                <w:sz w:val="21"/>
              </w:rPr>
            </w:pPr>
            <w:r>
              <w:rPr>
                <w:rFonts w:ascii="Times New Roman"/>
                <w:sz w:val="21"/>
              </w:rPr>
              <w:t>2.0</w:t>
            </w:r>
          </w:p>
        </w:tc>
        <w:tc>
          <w:tcPr>
            <w:tcW w:w="673" w:type="dxa"/>
          </w:tcPr>
          <w:p>
            <w:pPr>
              <w:pStyle w:val="TableParagraph"/>
              <w:spacing w:line="221" w:lineRule="exact" w:before="43"/>
              <w:ind w:left="173" w:right="170"/>
              <w:rPr>
                <w:rFonts w:ascii="Times New Roman"/>
                <w:sz w:val="21"/>
              </w:rPr>
            </w:pPr>
            <w:r>
              <w:rPr>
                <w:rFonts w:ascii="Times New Roman"/>
                <w:sz w:val="21"/>
              </w:rPr>
              <w:t>2.0</w:t>
            </w:r>
          </w:p>
        </w:tc>
        <w:tc>
          <w:tcPr>
            <w:tcW w:w="676" w:type="dxa"/>
          </w:tcPr>
          <w:p>
            <w:pPr>
              <w:pStyle w:val="TableParagraph"/>
              <w:spacing w:line="221" w:lineRule="exact" w:before="43"/>
              <w:ind w:left="178" w:right="175"/>
              <w:rPr>
                <w:rFonts w:ascii="Times New Roman"/>
                <w:sz w:val="21"/>
              </w:rPr>
            </w:pPr>
            <w:r>
              <w:rPr>
                <w:rFonts w:ascii="Times New Roman"/>
                <w:sz w:val="21"/>
              </w:rPr>
              <w:t>2.0</w:t>
            </w:r>
          </w:p>
        </w:tc>
        <w:tc>
          <w:tcPr>
            <w:tcW w:w="675" w:type="dxa"/>
          </w:tcPr>
          <w:p>
            <w:pPr>
              <w:pStyle w:val="TableParagraph"/>
              <w:spacing w:line="221" w:lineRule="exact" w:before="43"/>
              <w:ind w:left="70" w:right="68"/>
              <w:rPr>
                <w:rFonts w:ascii="Times New Roman"/>
                <w:sz w:val="21"/>
              </w:rPr>
            </w:pPr>
            <w:r>
              <w:rPr>
                <w:rFonts w:ascii="Times New Roman"/>
                <w:sz w:val="21"/>
              </w:rPr>
              <w:t>2.0</w:t>
            </w:r>
          </w:p>
        </w:tc>
        <w:tc>
          <w:tcPr>
            <w:tcW w:w="675" w:type="dxa"/>
          </w:tcPr>
          <w:p>
            <w:pPr>
              <w:pStyle w:val="TableParagraph"/>
              <w:spacing w:line="221" w:lineRule="exact" w:before="43"/>
              <w:ind w:left="195"/>
              <w:jc w:val="left"/>
              <w:rPr>
                <w:rFonts w:ascii="Times New Roman"/>
                <w:sz w:val="21"/>
              </w:rPr>
            </w:pPr>
            <w:r>
              <w:rPr>
                <w:rFonts w:ascii="Times New Roman"/>
                <w:sz w:val="21"/>
              </w:rPr>
              <w:t>2.1</w:t>
            </w:r>
          </w:p>
        </w:tc>
      </w:tr>
      <w:tr>
        <w:trPr>
          <w:trHeight w:val="284" w:hRule="atLeast"/>
        </w:trPr>
        <w:tc>
          <w:tcPr>
            <w:tcW w:w="1306" w:type="dxa"/>
          </w:tcPr>
          <w:p>
            <w:pPr>
              <w:pStyle w:val="TableParagraph"/>
              <w:spacing w:line="252" w:lineRule="exact" w:before="13"/>
              <w:ind w:right="420"/>
              <w:jc w:val="right"/>
              <w:rPr>
                <w:sz w:val="21"/>
              </w:rPr>
            </w:pPr>
            <w:r>
              <w:rPr>
                <w:sz w:val="21"/>
              </w:rPr>
              <w:t>秋季</w:t>
            </w:r>
          </w:p>
        </w:tc>
        <w:tc>
          <w:tcPr>
            <w:tcW w:w="567" w:type="dxa"/>
          </w:tcPr>
          <w:p>
            <w:pPr>
              <w:pStyle w:val="TableParagraph"/>
              <w:spacing w:line="221" w:lineRule="exact" w:before="43"/>
              <w:ind w:right="133"/>
              <w:jc w:val="right"/>
              <w:rPr>
                <w:rFonts w:ascii="Times New Roman"/>
                <w:sz w:val="21"/>
              </w:rPr>
            </w:pPr>
            <w:r>
              <w:rPr>
                <w:rFonts w:ascii="Times New Roman"/>
                <w:sz w:val="21"/>
              </w:rPr>
              <w:t>3.1</w:t>
            </w:r>
          </w:p>
        </w:tc>
        <w:tc>
          <w:tcPr>
            <w:tcW w:w="517" w:type="dxa"/>
          </w:tcPr>
          <w:p>
            <w:pPr>
              <w:pStyle w:val="TableParagraph"/>
              <w:spacing w:line="221" w:lineRule="exact" w:before="43"/>
              <w:ind w:left="103" w:right="90"/>
              <w:rPr>
                <w:rFonts w:ascii="Times New Roman"/>
                <w:sz w:val="21"/>
              </w:rPr>
            </w:pPr>
            <w:r>
              <w:rPr>
                <w:rFonts w:ascii="Times New Roman"/>
                <w:sz w:val="21"/>
              </w:rPr>
              <w:t>3.2</w:t>
            </w:r>
          </w:p>
        </w:tc>
        <w:tc>
          <w:tcPr>
            <w:tcW w:w="673" w:type="dxa"/>
          </w:tcPr>
          <w:p>
            <w:pPr>
              <w:pStyle w:val="TableParagraph"/>
              <w:spacing w:line="221" w:lineRule="exact" w:before="43"/>
              <w:ind w:left="176" w:right="166"/>
              <w:rPr>
                <w:rFonts w:ascii="Times New Roman"/>
                <w:sz w:val="21"/>
              </w:rPr>
            </w:pPr>
            <w:r>
              <w:rPr>
                <w:rFonts w:ascii="Times New Roman"/>
                <w:sz w:val="21"/>
              </w:rPr>
              <w:t>3.1</w:t>
            </w:r>
          </w:p>
        </w:tc>
        <w:tc>
          <w:tcPr>
            <w:tcW w:w="675" w:type="dxa"/>
          </w:tcPr>
          <w:p>
            <w:pPr>
              <w:pStyle w:val="TableParagraph"/>
              <w:spacing w:line="221" w:lineRule="exact" w:before="43"/>
              <w:ind w:left="74" w:right="63"/>
              <w:rPr>
                <w:rFonts w:ascii="Times New Roman"/>
                <w:sz w:val="21"/>
              </w:rPr>
            </w:pPr>
            <w:r>
              <w:rPr>
                <w:rFonts w:ascii="Times New Roman"/>
                <w:sz w:val="21"/>
              </w:rPr>
              <w:t>3.2</w:t>
            </w:r>
          </w:p>
        </w:tc>
        <w:tc>
          <w:tcPr>
            <w:tcW w:w="675" w:type="dxa"/>
          </w:tcPr>
          <w:p>
            <w:pPr>
              <w:pStyle w:val="TableParagraph"/>
              <w:spacing w:line="221" w:lineRule="exact" w:before="43"/>
              <w:ind w:right="188"/>
              <w:jc w:val="right"/>
              <w:rPr>
                <w:rFonts w:ascii="Times New Roman"/>
                <w:sz w:val="21"/>
              </w:rPr>
            </w:pPr>
            <w:r>
              <w:rPr>
                <w:rFonts w:ascii="Times New Roman"/>
                <w:sz w:val="21"/>
              </w:rPr>
              <w:t>2.6</w:t>
            </w:r>
          </w:p>
        </w:tc>
        <w:tc>
          <w:tcPr>
            <w:tcW w:w="675" w:type="dxa"/>
          </w:tcPr>
          <w:p>
            <w:pPr>
              <w:pStyle w:val="TableParagraph"/>
              <w:spacing w:line="221" w:lineRule="exact" w:before="43"/>
              <w:ind w:left="74" w:right="66"/>
              <w:rPr>
                <w:rFonts w:ascii="Times New Roman"/>
                <w:sz w:val="21"/>
              </w:rPr>
            </w:pPr>
            <w:r>
              <w:rPr>
                <w:rFonts w:ascii="Times New Roman"/>
                <w:sz w:val="21"/>
              </w:rPr>
              <w:t>2.2</w:t>
            </w:r>
          </w:p>
        </w:tc>
        <w:tc>
          <w:tcPr>
            <w:tcW w:w="675" w:type="dxa"/>
          </w:tcPr>
          <w:p>
            <w:pPr>
              <w:pStyle w:val="TableParagraph"/>
              <w:spacing w:line="221" w:lineRule="exact" w:before="43"/>
              <w:ind w:right="191"/>
              <w:jc w:val="right"/>
              <w:rPr>
                <w:rFonts w:ascii="Times New Roman"/>
                <w:sz w:val="21"/>
              </w:rPr>
            </w:pPr>
            <w:r>
              <w:rPr>
                <w:rFonts w:ascii="Times New Roman"/>
                <w:sz w:val="21"/>
              </w:rPr>
              <w:t>2.2</w:t>
            </w:r>
          </w:p>
        </w:tc>
        <w:tc>
          <w:tcPr>
            <w:tcW w:w="675" w:type="dxa"/>
          </w:tcPr>
          <w:p>
            <w:pPr>
              <w:pStyle w:val="TableParagraph"/>
              <w:spacing w:line="221" w:lineRule="exact" w:before="43"/>
              <w:ind w:left="70" w:right="68"/>
              <w:rPr>
                <w:rFonts w:ascii="Times New Roman"/>
                <w:sz w:val="21"/>
              </w:rPr>
            </w:pPr>
            <w:r>
              <w:rPr>
                <w:rFonts w:ascii="Times New Roman"/>
                <w:sz w:val="21"/>
              </w:rPr>
              <w:t>2.1</w:t>
            </w:r>
          </w:p>
        </w:tc>
        <w:tc>
          <w:tcPr>
            <w:tcW w:w="673" w:type="dxa"/>
          </w:tcPr>
          <w:p>
            <w:pPr>
              <w:pStyle w:val="TableParagraph"/>
              <w:spacing w:line="221" w:lineRule="exact" w:before="43"/>
              <w:ind w:left="173" w:right="170"/>
              <w:rPr>
                <w:rFonts w:ascii="Times New Roman"/>
                <w:sz w:val="21"/>
              </w:rPr>
            </w:pPr>
            <w:r>
              <w:rPr>
                <w:rFonts w:ascii="Times New Roman"/>
                <w:sz w:val="21"/>
              </w:rPr>
              <w:t>1.8</w:t>
            </w:r>
          </w:p>
        </w:tc>
        <w:tc>
          <w:tcPr>
            <w:tcW w:w="676" w:type="dxa"/>
          </w:tcPr>
          <w:p>
            <w:pPr>
              <w:pStyle w:val="TableParagraph"/>
              <w:spacing w:line="221" w:lineRule="exact" w:before="43"/>
              <w:ind w:left="178" w:right="175"/>
              <w:rPr>
                <w:rFonts w:ascii="Times New Roman"/>
                <w:sz w:val="21"/>
              </w:rPr>
            </w:pPr>
            <w:r>
              <w:rPr>
                <w:rFonts w:ascii="Times New Roman"/>
                <w:sz w:val="21"/>
              </w:rPr>
              <w:t>1.7</w:t>
            </w:r>
          </w:p>
        </w:tc>
        <w:tc>
          <w:tcPr>
            <w:tcW w:w="675" w:type="dxa"/>
          </w:tcPr>
          <w:p>
            <w:pPr>
              <w:pStyle w:val="TableParagraph"/>
              <w:spacing w:line="221" w:lineRule="exact" w:before="43"/>
              <w:ind w:left="70" w:right="68"/>
              <w:rPr>
                <w:rFonts w:ascii="Times New Roman"/>
                <w:sz w:val="21"/>
              </w:rPr>
            </w:pPr>
            <w:r>
              <w:rPr>
                <w:rFonts w:ascii="Times New Roman"/>
                <w:sz w:val="21"/>
              </w:rPr>
              <w:t>1.6</w:t>
            </w:r>
          </w:p>
        </w:tc>
        <w:tc>
          <w:tcPr>
            <w:tcW w:w="675" w:type="dxa"/>
          </w:tcPr>
          <w:p>
            <w:pPr>
              <w:pStyle w:val="TableParagraph"/>
              <w:spacing w:line="221" w:lineRule="exact" w:before="43"/>
              <w:ind w:left="195"/>
              <w:jc w:val="left"/>
              <w:rPr>
                <w:rFonts w:ascii="Times New Roman"/>
                <w:sz w:val="21"/>
              </w:rPr>
            </w:pPr>
            <w:r>
              <w:rPr>
                <w:rFonts w:ascii="Times New Roman"/>
                <w:sz w:val="21"/>
              </w:rPr>
              <w:t>1.5</w:t>
            </w:r>
          </w:p>
        </w:tc>
      </w:tr>
      <w:tr>
        <w:trPr>
          <w:trHeight w:val="285" w:hRule="atLeast"/>
        </w:trPr>
        <w:tc>
          <w:tcPr>
            <w:tcW w:w="1306" w:type="dxa"/>
          </w:tcPr>
          <w:p>
            <w:pPr>
              <w:pStyle w:val="TableParagraph"/>
              <w:spacing w:line="252" w:lineRule="exact" w:before="13"/>
              <w:ind w:right="420"/>
              <w:jc w:val="right"/>
              <w:rPr>
                <w:sz w:val="21"/>
              </w:rPr>
            </w:pPr>
            <w:r>
              <w:rPr>
                <w:sz w:val="21"/>
              </w:rPr>
              <w:t>冬季</w:t>
            </w:r>
          </w:p>
        </w:tc>
        <w:tc>
          <w:tcPr>
            <w:tcW w:w="567" w:type="dxa"/>
          </w:tcPr>
          <w:p>
            <w:pPr>
              <w:pStyle w:val="TableParagraph"/>
              <w:spacing w:line="224" w:lineRule="exact" w:before="41"/>
              <w:ind w:right="133"/>
              <w:jc w:val="right"/>
              <w:rPr>
                <w:rFonts w:ascii="Times New Roman"/>
                <w:sz w:val="21"/>
              </w:rPr>
            </w:pPr>
            <w:r>
              <w:rPr>
                <w:rFonts w:ascii="Times New Roman"/>
                <w:sz w:val="21"/>
              </w:rPr>
              <w:t>3.1</w:t>
            </w:r>
          </w:p>
        </w:tc>
        <w:tc>
          <w:tcPr>
            <w:tcW w:w="517" w:type="dxa"/>
          </w:tcPr>
          <w:p>
            <w:pPr>
              <w:pStyle w:val="TableParagraph"/>
              <w:spacing w:line="224" w:lineRule="exact" w:before="41"/>
              <w:ind w:left="103" w:right="90"/>
              <w:rPr>
                <w:rFonts w:ascii="Times New Roman"/>
                <w:sz w:val="21"/>
              </w:rPr>
            </w:pPr>
            <w:r>
              <w:rPr>
                <w:rFonts w:ascii="Times New Roman"/>
                <w:sz w:val="21"/>
              </w:rPr>
              <w:t>3.0</w:t>
            </w:r>
          </w:p>
        </w:tc>
        <w:tc>
          <w:tcPr>
            <w:tcW w:w="673" w:type="dxa"/>
          </w:tcPr>
          <w:p>
            <w:pPr>
              <w:pStyle w:val="TableParagraph"/>
              <w:spacing w:line="224" w:lineRule="exact" w:before="41"/>
              <w:ind w:left="176" w:right="166"/>
              <w:rPr>
                <w:rFonts w:ascii="Times New Roman"/>
                <w:sz w:val="21"/>
              </w:rPr>
            </w:pPr>
            <w:r>
              <w:rPr>
                <w:rFonts w:ascii="Times New Roman"/>
                <w:sz w:val="21"/>
              </w:rPr>
              <w:t>3.1</w:t>
            </w:r>
          </w:p>
        </w:tc>
        <w:tc>
          <w:tcPr>
            <w:tcW w:w="675" w:type="dxa"/>
          </w:tcPr>
          <w:p>
            <w:pPr>
              <w:pStyle w:val="TableParagraph"/>
              <w:spacing w:line="224" w:lineRule="exact" w:before="41"/>
              <w:ind w:left="74" w:right="63"/>
              <w:rPr>
                <w:rFonts w:ascii="Times New Roman"/>
                <w:sz w:val="21"/>
              </w:rPr>
            </w:pPr>
            <w:r>
              <w:rPr>
                <w:rFonts w:ascii="Times New Roman"/>
                <w:sz w:val="21"/>
              </w:rPr>
              <w:t>3.2</w:t>
            </w:r>
          </w:p>
        </w:tc>
        <w:tc>
          <w:tcPr>
            <w:tcW w:w="675" w:type="dxa"/>
          </w:tcPr>
          <w:p>
            <w:pPr>
              <w:pStyle w:val="TableParagraph"/>
              <w:spacing w:line="224" w:lineRule="exact" w:before="41"/>
              <w:ind w:right="188"/>
              <w:jc w:val="right"/>
              <w:rPr>
                <w:rFonts w:ascii="Times New Roman"/>
                <w:sz w:val="21"/>
              </w:rPr>
            </w:pPr>
            <w:r>
              <w:rPr>
                <w:rFonts w:ascii="Times New Roman"/>
                <w:sz w:val="21"/>
              </w:rPr>
              <w:t>2.7</w:t>
            </w:r>
          </w:p>
        </w:tc>
        <w:tc>
          <w:tcPr>
            <w:tcW w:w="675" w:type="dxa"/>
          </w:tcPr>
          <w:p>
            <w:pPr>
              <w:pStyle w:val="TableParagraph"/>
              <w:spacing w:line="224" w:lineRule="exact" w:before="41"/>
              <w:ind w:left="74" w:right="66"/>
              <w:rPr>
                <w:rFonts w:ascii="Times New Roman"/>
                <w:sz w:val="21"/>
              </w:rPr>
            </w:pPr>
            <w:r>
              <w:rPr>
                <w:rFonts w:ascii="Times New Roman"/>
                <w:sz w:val="21"/>
              </w:rPr>
              <w:t>2.4</w:t>
            </w:r>
          </w:p>
        </w:tc>
        <w:tc>
          <w:tcPr>
            <w:tcW w:w="675" w:type="dxa"/>
          </w:tcPr>
          <w:p>
            <w:pPr>
              <w:pStyle w:val="TableParagraph"/>
              <w:spacing w:line="224" w:lineRule="exact" w:before="41"/>
              <w:ind w:right="191"/>
              <w:jc w:val="right"/>
              <w:rPr>
                <w:rFonts w:ascii="Times New Roman"/>
                <w:sz w:val="21"/>
              </w:rPr>
            </w:pPr>
            <w:r>
              <w:rPr>
                <w:rFonts w:ascii="Times New Roman"/>
                <w:sz w:val="21"/>
              </w:rPr>
              <w:t>2.5</w:t>
            </w:r>
          </w:p>
        </w:tc>
        <w:tc>
          <w:tcPr>
            <w:tcW w:w="675" w:type="dxa"/>
          </w:tcPr>
          <w:p>
            <w:pPr>
              <w:pStyle w:val="TableParagraph"/>
              <w:spacing w:line="224" w:lineRule="exact" w:before="41"/>
              <w:ind w:left="70" w:right="68"/>
              <w:rPr>
                <w:rFonts w:ascii="Times New Roman"/>
                <w:sz w:val="21"/>
              </w:rPr>
            </w:pPr>
            <w:r>
              <w:rPr>
                <w:rFonts w:ascii="Times New Roman"/>
                <w:sz w:val="21"/>
              </w:rPr>
              <w:t>2.3</w:t>
            </w:r>
          </w:p>
        </w:tc>
        <w:tc>
          <w:tcPr>
            <w:tcW w:w="673" w:type="dxa"/>
          </w:tcPr>
          <w:p>
            <w:pPr>
              <w:pStyle w:val="TableParagraph"/>
              <w:spacing w:line="224" w:lineRule="exact" w:before="41"/>
              <w:ind w:left="173" w:right="170"/>
              <w:rPr>
                <w:rFonts w:ascii="Times New Roman"/>
                <w:sz w:val="21"/>
              </w:rPr>
            </w:pPr>
            <w:r>
              <w:rPr>
                <w:rFonts w:ascii="Times New Roman"/>
                <w:sz w:val="21"/>
              </w:rPr>
              <w:t>2.2</w:t>
            </w:r>
          </w:p>
        </w:tc>
        <w:tc>
          <w:tcPr>
            <w:tcW w:w="676" w:type="dxa"/>
          </w:tcPr>
          <w:p>
            <w:pPr>
              <w:pStyle w:val="TableParagraph"/>
              <w:spacing w:line="224" w:lineRule="exact" w:before="41"/>
              <w:ind w:left="178" w:right="175"/>
              <w:rPr>
                <w:rFonts w:ascii="Times New Roman"/>
                <w:sz w:val="21"/>
              </w:rPr>
            </w:pPr>
            <w:r>
              <w:rPr>
                <w:rFonts w:ascii="Times New Roman"/>
                <w:sz w:val="21"/>
              </w:rPr>
              <w:t>2.1</w:t>
            </w:r>
          </w:p>
        </w:tc>
        <w:tc>
          <w:tcPr>
            <w:tcW w:w="675" w:type="dxa"/>
          </w:tcPr>
          <w:p>
            <w:pPr>
              <w:pStyle w:val="TableParagraph"/>
              <w:spacing w:line="224" w:lineRule="exact" w:before="41"/>
              <w:ind w:left="70" w:right="68"/>
              <w:rPr>
                <w:rFonts w:ascii="Times New Roman"/>
                <w:sz w:val="21"/>
              </w:rPr>
            </w:pPr>
            <w:r>
              <w:rPr>
                <w:rFonts w:ascii="Times New Roman"/>
                <w:sz w:val="21"/>
              </w:rPr>
              <w:t>2.1</w:t>
            </w:r>
          </w:p>
        </w:tc>
        <w:tc>
          <w:tcPr>
            <w:tcW w:w="675" w:type="dxa"/>
          </w:tcPr>
          <w:p>
            <w:pPr>
              <w:pStyle w:val="TableParagraph"/>
              <w:spacing w:line="224" w:lineRule="exact" w:before="41"/>
              <w:ind w:left="195"/>
              <w:jc w:val="left"/>
              <w:rPr>
                <w:rFonts w:ascii="Times New Roman"/>
                <w:sz w:val="21"/>
              </w:rPr>
            </w:pPr>
            <w:r>
              <w:rPr>
                <w:rFonts w:ascii="Times New Roman"/>
                <w:sz w:val="21"/>
              </w:rPr>
              <w:t>2.1</w:t>
            </w:r>
          </w:p>
        </w:tc>
      </w:tr>
    </w:tbl>
    <w:p>
      <w:pPr>
        <w:pStyle w:val="BodyText"/>
        <w:rPr>
          <w:rFonts w:ascii="Times New Roman"/>
          <w:b/>
          <w:sz w:val="20"/>
        </w:rPr>
      </w:pPr>
    </w:p>
    <w:p>
      <w:pPr>
        <w:pStyle w:val="BodyText"/>
        <w:spacing w:before="9"/>
        <w:rPr>
          <w:rFonts w:ascii="Times New Roman"/>
          <w:b/>
          <w:sz w:val="22"/>
        </w:rPr>
      </w:pPr>
      <w:r>
        <w:rPr/>
        <w:drawing>
          <wp:anchor distT="0" distB="0" distL="0" distR="0" allowOverlap="1" layoutInCell="1" locked="0" behindDoc="0" simplePos="0" relativeHeight="221">
            <wp:simplePos x="0" y="0"/>
            <wp:positionH relativeFrom="page">
              <wp:posOffset>1584960</wp:posOffset>
            </wp:positionH>
            <wp:positionV relativeFrom="paragraph">
              <wp:posOffset>191655</wp:posOffset>
            </wp:positionV>
            <wp:extent cx="4572000" cy="2743200"/>
            <wp:effectExtent l="0" t="0" r="0" b="0"/>
            <wp:wrapTopAndBottom/>
            <wp:docPr id="35" name="image41.png"/>
            <wp:cNvGraphicFramePr>
              <a:graphicFrameLocks noChangeAspect="1"/>
            </wp:cNvGraphicFramePr>
            <a:graphic>
              <a:graphicData uri="http://schemas.openxmlformats.org/drawingml/2006/picture">
                <pic:pic>
                  <pic:nvPicPr>
                    <pic:cNvPr id="36" name="image41.png"/>
                    <pic:cNvPicPr/>
                  </pic:nvPicPr>
                  <pic:blipFill>
                    <a:blip r:embed="rId100" cstate="print"/>
                    <a:stretch>
                      <a:fillRect/>
                    </a:stretch>
                  </pic:blipFill>
                  <pic:spPr>
                    <a:xfrm>
                      <a:off x="0" y="0"/>
                      <a:ext cx="4572000" cy="2743200"/>
                    </a:xfrm>
                    <a:prstGeom prst="rect">
                      <a:avLst/>
                    </a:prstGeom>
                  </pic:spPr>
                </pic:pic>
              </a:graphicData>
            </a:graphic>
          </wp:anchor>
        </w:drawing>
      </w:r>
    </w:p>
    <w:p>
      <w:pPr>
        <w:tabs>
          <w:tab w:pos="1225" w:val="left" w:leader="none"/>
        </w:tabs>
        <w:spacing w:before="131"/>
        <w:ind w:left="3" w:right="0" w:firstLine="0"/>
        <w:jc w:val="center"/>
        <w:rPr>
          <w:b/>
          <w:sz w:val="24"/>
        </w:rPr>
      </w:pPr>
      <w:r>
        <w:rPr>
          <w:b/>
          <w:sz w:val="24"/>
        </w:rPr>
        <w:t>图</w:t>
      </w:r>
      <w:r>
        <w:rPr>
          <w:b/>
          <w:spacing w:val="-60"/>
          <w:sz w:val="24"/>
        </w:rPr>
        <w:t> </w:t>
      </w:r>
      <w:r>
        <w:rPr>
          <w:rFonts w:ascii="Times New Roman" w:eastAsia="Times New Roman"/>
          <w:b/>
          <w:sz w:val="24"/>
        </w:rPr>
        <w:t>7.2.1-3</w:t>
        <w:tab/>
      </w:r>
      <w:r>
        <w:rPr>
          <w:b/>
          <w:sz w:val="24"/>
        </w:rPr>
        <w:t>上虞</w:t>
      </w:r>
      <w:r>
        <w:rPr>
          <w:b/>
          <w:spacing w:val="-59"/>
          <w:sz w:val="24"/>
        </w:rPr>
        <w:t> </w:t>
      </w:r>
      <w:r>
        <w:rPr>
          <w:rFonts w:ascii="Times New Roman" w:eastAsia="Times New Roman"/>
          <w:b/>
          <w:sz w:val="24"/>
        </w:rPr>
        <w:t>2020</w:t>
      </w:r>
      <w:r>
        <w:rPr>
          <w:rFonts w:ascii="Times New Roman" w:eastAsia="Times New Roman"/>
          <w:b/>
          <w:spacing w:val="-3"/>
          <w:sz w:val="24"/>
        </w:rPr>
        <w:t> </w:t>
      </w:r>
      <w:r>
        <w:rPr>
          <w:b/>
          <w:sz w:val="24"/>
        </w:rPr>
        <w:t>年平均风速的月变化曲线图</w:t>
      </w:r>
    </w:p>
    <w:p>
      <w:pPr>
        <w:spacing w:after="0"/>
        <w:jc w:val="center"/>
        <w:rPr>
          <w:sz w:val="24"/>
        </w:rPr>
        <w:sectPr>
          <w:headerReference w:type="default" r:id="rId98"/>
          <w:footerReference w:type="default" r:id="rId99"/>
          <w:pgSz w:w="11910" w:h="16850"/>
          <w:pgMar w:header="1004" w:footer="1088" w:top="1360" w:bottom="1280" w:left="1300" w:right="1020"/>
          <w:pgNumType w:start="150"/>
        </w:sectPr>
      </w:pPr>
    </w:p>
    <w:p>
      <w:pPr>
        <w:pStyle w:val="BodyText"/>
        <w:spacing w:before="9"/>
        <w:rPr>
          <w:b/>
          <w:sz w:val="4"/>
        </w:rPr>
      </w:pPr>
    </w:p>
    <w:p>
      <w:pPr>
        <w:pStyle w:val="BodyText"/>
        <w:ind w:left="1458"/>
        <w:rPr>
          <w:sz w:val="20"/>
        </w:rPr>
      </w:pPr>
      <w:r>
        <w:rPr>
          <w:sz w:val="20"/>
        </w:rPr>
        <w:drawing>
          <wp:inline distT="0" distB="0" distL="0" distR="0">
            <wp:extent cx="4572000" cy="2743200"/>
            <wp:effectExtent l="0" t="0" r="0" b="0"/>
            <wp:docPr id="37" name="image42.png"/>
            <wp:cNvGraphicFramePr>
              <a:graphicFrameLocks noChangeAspect="1"/>
            </wp:cNvGraphicFramePr>
            <a:graphic>
              <a:graphicData uri="http://schemas.openxmlformats.org/drawingml/2006/picture">
                <pic:pic>
                  <pic:nvPicPr>
                    <pic:cNvPr id="38" name="image42.png"/>
                    <pic:cNvPicPr/>
                  </pic:nvPicPr>
                  <pic:blipFill>
                    <a:blip r:embed="rId101" cstate="print"/>
                    <a:stretch>
                      <a:fillRect/>
                    </a:stretch>
                  </pic:blipFill>
                  <pic:spPr>
                    <a:xfrm>
                      <a:off x="0" y="0"/>
                      <a:ext cx="4572000" cy="2743200"/>
                    </a:xfrm>
                    <a:prstGeom prst="rect">
                      <a:avLst/>
                    </a:prstGeom>
                  </pic:spPr>
                </pic:pic>
              </a:graphicData>
            </a:graphic>
          </wp:inline>
        </w:drawing>
      </w:r>
      <w:r>
        <w:rPr>
          <w:sz w:val="20"/>
        </w:rPr>
      </w:r>
    </w:p>
    <w:p>
      <w:pPr>
        <w:pStyle w:val="BodyText"/>
        <w:spacing w:before="9"/>
        <w:rPr>
          <w:b/>
          <w:sz w:val="6"/>
        </w:rPr>
      </w:pPr>
    </w:p>
    <w:p>
      <w:pPr>
        <w:tabs>
          <w:tab w:pos="1225" w:val="left" w:leader="none"/>
        </w:tabs>
        <w:spacing w:before="74"/>
        <w:ind w:left="3" w:right="0" w:firstLine="0"/>
        <w:jc w:val="center"/>
        <w:rPr>
          <w:b/>
          <w:sz w:val="24"/>
        </w:rPr>
      </w:pPr>
      <w:r>
        <w:rPr>
          <w:b/>
          <w:sz w:val="24"/>
        </w:rPr>
        <w:t>图</w:t>
      </w:r>
      <w:r>
        <w:rPr>
          <w:b/>
          <w:spacing w:val="-59"/>
          <w:sz w:val="24"/>
        </w:rPr>
        <w:t> </w:t>
      </w:r>
      <w:r>
        <w:rPr>
          <w:rFonts w:ascii="Times New Roman" w:eastAsia="Times New Roman"/>
          <w:b/>
          <w:sz w:val="24"/>
        </w:rPr>
        <w:t>7.2.1-4</w:t>
        <w:tab/>
      </w:r>
      <w:r>
        <w:rPr>
          <w:b/>
          <w:sz w:val="24"/>
        </w:rPr>
        <w:t>季小时平均风速的日变化曲线图</w:t>
      </w:r>
    </w:p>
    <w:p>
      <w:pPr>
        <w:pStyle w:val="ListParagraph"/>
        <w:numPr>
          <w:ilvl w:val="3"/>
          <w:numId w:val="26"/>
        </w:numPr>
        <w:tabs>
          <w:tab w:pos="1434" w:val="left" w:leader="none"/>
        </w:tabs>
        <w:spacing w:line="240" w:lineRule="auto" w:before="158" w:after="0"/>
        <w:ind w:left="1434" w:right="0" w:hanging="720"/>
        <w:jc w:val="left"/>
        <w:rPr>
          <w:b/>
          <w:sz w:val="24"/>
        </w:rPr>
      </w:pPr>
      <w:r>
        <w:rPr>
          <w:b/>
          <w:sz w:val="24"/>
        </w:rPr>
        <w:t>预测模式与预测源强</w:t>
      </w:r>
    </w:p>
    <w:p>
      <w:pPr>
        <w:spacing w:before="161"/>
        <w:ind w:left="714" w:right="0" w:firstLine="0"/>
        <w:jc w:val="left"/>
        <w:rPr>
          <w:b/>
          <w:sz w:val="24"/>
        </w:rPr>
      </w:pPr>
      <w:r>
        <w:rPr>
          <w:rFonts w:ascii="Times New Roman" w:eastAsia="Times New Roman"/>
          <w:b/>
          <w:sz w:val="24"/>
        </w:rPr>
        <w:t>1</w:t>
      </w:r>
      <w:r>
        <w:rPr>
          <w:b/>
          <w:sz w:val="24"/>
        </w:rPr>
        <w:t>、预测模式</w:t>
      </w:r>
    </w:p>
    <w:p>
      <w:pPr>
        <w:pStyle w:val="BodyText"/>
        <w:spacing w:line="364" w:lineRule="auto" w:before="158"/>
        <w:ind w:left="231" w:right="222" w:firstLine="479"/>
      </w:pPr>
      <w:r>
        <w:rPr/>
        <w:t>项目评价基准年内风速</w:t>
      </w:r>
      <w:r>
        <w:rPr>
          <w:rFonts w:ascii="Times New Roman" w:hAnsi="Times New Roman" w:eastAsia="Times New Roman"/>
        </w:rPr>
        <w:t>≤0.5m/s </w:t>
      </w:r>
      <w:r>
        <w:rPr>
          <w:spacing w:val="-8"/>
        </w:rPr>
        <w:t>的持续时间不超过 </w:t>
      </w:r>
      <w:r>
        <w:rPr>
          <w:rFonts w:ascii="Times New Roman" w:hAnsi="Times New Roman" w:eastAsia="Times New Roman"/>
          <w:spacing w:val="-21"/>
        </w:rPr>
        <w:t>72h</w:t>
      </w:r>
      <w:r>
        <w:rPr>
          <w:spacing w:val="-27"/>
        </w:rPr>
        <w:t>，近 </w:t>
      </w:r>
      <w:r>
        <w:rPr>
          <w:rFonts w:ascii="Times New Roman" w:hAnsi="Times New Roman" w:eastAsia="Times New Roman"/>
        </w:rPr>
        <w:t>20 </w:t>
      </w:r>
      <w:r>
        <w:rPr>
          <w:spacing w:val="-11"/>
        </w:rPr>
        <w:t>年统计的全年静风</w:t>
      </w:r>
      <w:r>
        <w:rPr/>
        <w:t>（</w:t>
      </w:r>
      <w:r>
        <w:rPr>
          <w:spacing w:val="-15"/>
        </w:rPr>
        <w:t>风</w:t>
      </w:r>
      <w:r>
        <w:rPr/>
        <w:t>速</w:t>
      </w:r>
      <w:r>
        <w:rPr>
          <w:rFonts w:ascii="Times New Roman" w:hAnsi="Times New Roman" w:eastAsia="Times New Roman"/>
        </w:rPr>
        <w:t>≤0.2m/s</w:t>
      </w:r>
      <w:r>
        <w:rPr/>
        <w:t>）</w:t>
      </w:r>
      <w:r>
        <w:rPr>
          <w:spacing w:val="-11"/>
        </w:rPr>
        <w:t>频率不超过 </w:t>
      </w:r>
      <w:r>
        <w:rPr>
          <w:rFonts w:ascii="Times New Roman" w:hAnsi="Times New Roman" w:eastAsia="Times New Roman"/>
        </w:rPr>
        <w:t>35%</w:t>
      </w:r>
      <w:r>
        <w:rPr>
          <w:spacing w:val="-10"/>
        </w:rPr>
        <w:t>，可不采用 </w:t>
      </w:r>
      <w:r>
        <w:rPr>
          <w:rFonts w:ascii="Times New Roman" w:hAnsi="Times New Roman" w:eastAsia="Times New Roman"/>
        </w:rPr>
        <w:t>CALPUFF </w:t>
      </w:r>
      <w:r>
        <w:rPr/>
        <w:t>模型进行进一步预测。</w:t>
      </w:r>
    </w:p>
    <w:p>
      <w:pPr>
        <w:pStyle w:val="BodyText"/>
        <w:spacing w:line="364" w:lineRule="auto" w:before="1"/>
        <w:ind w:left="231" w:right="221" w:firstLine="479"/>
      </w:pPr>
      <w:r>
        <w:rPr>
          <w:spacing w:val="-3"/>
        </w:rPr>
        <w:t>项目离最近的大型水体</w:t>
      </w:r>
      <w:r>
        <w:rPr/>
        <w:t>（杭州湾</w:t>
      </w:r>
      <w:r>
        <w:rPr>
          <w:spacing w:val="-27"/>
        </w:rPr>
        <w:t>）</w:t>
      </w:r>
      <w:r>
        <w:rPr>
          <w:spacing w:val="-8"/>
        </w:rPr>
        <w:t>的最近距离大于 </w:t>
      </w:r>
      <w:r>
        <w:rPr>
          <w:rFonts w:ascii="Times New Roman" w:eastAsia="Times New Roman"/>
          <w:spacing w:val="-7"/>
        </w:rPr>
        <w:t>3km</w:t>
      </w:r>
      <w:r>
        <w:rPr>
          <w:spacing w:val="-18"/>
        </w:rPr>
        <w:t>，采用 </w:t>
      </w:r>
      <w:r>
        <w:rPr>
          <w:rFonts w:ascii="Times New Roman" w:eastAsia="Times New Roman"/>
        </w:rPr>
        <w:t>AERSCREEN </w:t>
      </w:r>
      <w:r>
        <w:rPr>
          <w:spacing w:val="-4"/>
        </w:rPr>
        <w:t>估算模式判定后不会发生熏烟现象，可不采用 </w:t>
      </w:r>
      <w:r>
        <w:rPr>
          <w:rFonts w:ascii="Times New Roman" w:eastAsia="Times New Roman"/>
        </w:rPr>
        <w:t>CALPUFF </w:t>
      </w:r>
      <w:r>
        <w:rPr/>
        <w:t>模型进行进一步预测。</w:t>
      </w:r>
    </w:p>
    <w:p>
      <w:pPr>
        <w:pStyle w:val="BodyText"/>
        <w:spacing w:line="307" w:lineRule="exact"/>
        <w:ind w:left="711"/>
      </w:pPr>
      <w:r>
        <w:rPr>
          <w:spacing w:val="16"/>
        </w:rPr>
        <w:t>故本次预测采用《环境影响评价技术导则－大气环境》</w:t>
      </w:r>
      <w:r>
        <w:rPr/>
        <w:t>（</w:t>
      </w:r>
      <w:r>
        <w:rPr>
          <w:spacing w:val="-96"/>
        </w:rPr>
        <w:t> </w:t>
      </w:r>
      <w:r>
        <w:rPr>
          <w:rFonts w:ascii="Times New Roman" w:eastAsia="Times New Roman"/>
        </w:rPr>
        <w:t>HJ2.2-2018 </w:t>
      </w:r>
      <w:r>
        <w:rPr>
          <w:spacing w:val="24"/>
        </w:rPr>
        <w:t>）推荐的</w:t>
      </w:r>
    </w:p>
    <w:p>
      <w:pPr>
        <w:pStyle w:val="BodyText"/>
        <w:spacing w:before="158"/>
        <w:ind w:left="231"/>
      </w:pPr>
      <w:r>
        <w:rPr>
          <w:rFonts w:ascii="Times New Roman" w:eastAsia="Times New Roman"/>
        </w:rPr>
        <w:t>AERMOD </w:t>
      </w:r>
      <w:r>
        <w:rPr/>
        <w:t>模式系统。预测软件则采用 </w:t>
      </w:r>
      <w:r>
        <w:rPr>
          <w:rFonts w:ascii="Times New Roman" w:eastAsia="Times New Roman"/>
        </w:rPr>
        <w:t>EIA ProA</w:t>
      </w:r>
      <w:r>
        <w:rPr/>
        <w:t>。</w:t>
      </w:r>
    </w:p>
    <w:p>
      <w:pPr>
        <w:pStyle w:val="Heading4"/>
        <w:spacing w:before="161"/>
        <w:ind w:left="714"/>
      </w:pPr>
      <w:r>
        <w:rPr>
          <w:rFonts w:ascii="Times New Roman" w:eastAsia="Times New Roman"/>
        </w:rPr>
        <w:t>2</w:t>
      </w:r>
      <w:r>
        <w:rPr/>
        <w:t>、污染源清单及预测因子选择</w:t>
      </w:r>
    </w:p>
    <w:p>
      <w:pPr>
        <w:pStyle w:val="ListParagraph"/>
        <w:numPr>
          <w:ilvl w:val="0"/>
          <w:numId w:val="27"/>
        </w:numPr>
        <w:tabs>
          <w:tab w:pos="1313" w:val="left" w:leader="none"/>
        </w:tabs>
        <w:spacing w:line="240" w:lineRule="auto" w:before="158" w:after="0"/>
        <w:ind w:left="1312" w:right="0" w:hanging="602"/>
        <w:jc w:val="left"/>
        <w:rPr>
          <w:sz w:val="24"/>
        </w:rPr>
      </w:pPr>
      <w:r>
        <w:rPr>
          <w:sz w:val="24"/>
        </w:rPr>
        <w:t>污染源清单</w:t>
      </w:r>
    </w:p>
    <w:p>
      <w:pPr>
        <w:pStyle w:val="BodyText"/>
        <w:spacing w:line="362" w:lineRule="auto" w:before="160"/>
        <w:ind w:left="231" w:right="222" w:firstLine="479"/>
      </w:pPr>
      <w:r>
        <w:rPr>
          <w:spacing w:val="-6"/>
        </w:rPr>
        <w:t>本项目点源参数清单见表 </w:t>
      </w:r>
      <w:r>
        <w:rPr>
          <w:rFonts w:ascii="Times New Roman" w:eastAsia="Times New Roman"/>
        </w:rPr>
        <w:t>7.2.1-6</w:t>
      </w:r>
      <w:r>
        <w:rPr>
          <w:spacing w:val="-10"/>
        </w:rPr>
        <w:t>、面源参数清单见表 </w:t>
      </w:r>
      <w:r>
        <w:rPr>
          <w:rFonts w:ascii="Times New Roman" w:eastAsia="Times New Roman"/>
        </w:rPr>
        <w:t>7.2.1-7</w:t>
      </w:r>
      <w:r>
        <w:rPr>
          <w:spacing w:val="-5"/>
        </w:rPr>
        <w:t>、非正常排放参数见表</w:t>
      </w:r>
      <w:r>
        <w:rPr>
          <w:rFonts w:ascii="Times New Roman" w:eastAsia="Times New Roman"/>
        </w:rPr>
        <w:t>7.2.1-8</w:t>
      </w:r>
      <w:r>
        <w:rPr/>
        <w:t>。</w:t>
      </w:r>
    </w:p>
    <w:p>
      <w:pPr>
        <w:pStyle w:val="Heading4"/>
        <w:tabs>
          <w:tab w:pos="1226" w:val="left" w:leader="none"/>
        </w:tabs>
        <w:spacing w:before="147" w:after="29"/>
        <w:ind w:left="4"/>
        <w:jc w:val="center"/>
      </w:pPr>
      <w:r>
        <w:rPr/>
        <w:t>表</w:t>
      </w:r>
      <w:r>
        <w:rPr>
          <w:spacing w:val="-60"/>
        </w:rPr>
        <w:t> </w:t>
      </w:r>
      <w:r>
        <w:rPr>
          <w:rFonts w:ascii="Times New Roman" w:eastAsia="Times New Roman"/>
        </w:rPr>
        <w:t>7.2.1-6</w:t>
        <w:tab/>
      </w:r>
      <w:r>
        <w:rPr/>
        <w:t>点源参数表</w:t>
      </w: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859"/>
        <w:gridCol w:w="854"/>
        <w:gridCol w:w="905"/>
        <w:gridCol w:w="816"/>
        <w:gridCol w:w="706"/>
        <w:gridCol w:w="716"/>
        <w:gridCol w:w="814"/>
        <w:gridCol w:w="612"/>
        <w:gridCol w:w="713"/>
        <w:gridCol w:w="517"/>
        <w:gridCol w:w="766"/>
        <w:gridCol w:w="677"/>
      </w:tblGrid>
      <w:tr>
        <w:trPr>
          <w:trHeight w:val="479" w:hRule="atLeast"/>
        </w:trPr>
        <w:tc>
          <w:tcPr>
            <w:tcW w:w="398" w:type="dxa"/>
            <w:vMerge w:val="restart"/>
          </w:tcPr>
          <w:p>
            <w:pPr>
              <w:pStyle w:val="TableParagraph"/>
              <w:jc w:val="left"/>
              <w:rPr>
                <w:b/>
                <w:sz w:val="20"/>
              </w:rPr>
            </w:pPr>
          </w:p>
          <w:p>
            <w:pPr>
              <w:pStyle w:val="TableParagraph"/>
              <w:spacing w:line="249" w:lineRule="auto"/>
              <w:ind w:left="107" w:right="98"/>
              <w:jc w:val="left"/>
              <w:rPr>
                <w:b/>
                <w:sz w:val="18"/>
              </w:rPr>
            </w:pPr>
            <w:r>
              <w:rPr>
                <w:b/>
                <w:sz w:val="18"/>
              </w:rPr>
              <w:t>编号</w:t>
            </w:r>
          </w:p>
        </w:tc>
        <w:tc>
          <w:tcPr>
            <w:tcW w:w="859" w:type="dxa"/>
            <w:vMerge w:val="restart"/>
          </w:tcPr>
          <w:p>
            <w:pPr>
              <w:pStyle w:val="TableParagraph"/>
              <w:jc w:val="left"/>
              <w:rPr>
                <w:b/>
                <w:sz w:val="18"/>
              </w:rPr>
            </w:pPr>
          </w:p>
          <w:p>
            <w:pPr>
              <w:pStyle w:val="TableParagraph"/>
              <w:spacing w:before="146"/>
              <w:ind w:left="247"/>
              <w:jc w:val="left"/>
              <w:rPr>
                <w:b/>
                <w:sz w:val="18"/>
              </w:rPr>
            </w:pPr>
            <w:r>
              <w:rPr>
                <w:b/>
                <w:sz w:val="18"/>
              </w:rPr>
              <w:t>名称</w:t>
            </w:r>
          </w:p>
        </w:tc>
        <w:tc>
          <w:tcPr>
            <w:tcW w:w="1759" w:type="dxa"/>
            <w:gridSpan w:val="2"/>
          </w:tcPr>
          <w:p>
            <w:pPr>
              <w:pStyle w:val="TableParagraph"/>
              <w:spacing w:line="240" w:lineRule="atLeast" w:before="2"/>
              <w:ind w:left="787" w:right="146" w:hanging="632"/>
              <w:jc w:val="left"/>
              <w:rPr>
                <w:b/>
                <w:sz w:val="18"/>
              </w:rPr>
            </w:pPr>
            <w:r>
              <w:rPr>
                <w:b/>
                <w:sz w:val="18"/>
              </w:rPr>
              <w:t>排气筒底部中心坐标</w:t>
            </w:r>
          </w:p>
        </w:tc>
        <w:tc>
          <w:tcPr>
            <w:tcW w:w="816" w:type="dxa"/>
            <w:vMerge w:val="restart"/>
          </w:tcPr>
          <w:p>
            <w:pPr>
              <w:pStyle w:val="TableParagraph"/>
              <w:spacing w:line="249" w:lineRule="auto" w:before="16"/>
              <w:ind w:left="137" w:right="123"/>
              <w:jc w:val="both"/>
              <w:rPr>
                <w:b/>
                <w:sz w:val="18"/>
              </w:rPr>
            </w:pPr>
            <w:r>
              <w:rPr>
                <w:b/>
                <w:sz w:val="18"/>
              </w:rPr>
              <w:t>排气筒底部海拔高度</w:t>
            </w:r>
          </w:p>
          <w:p>
            <w:pPr>
              <w:pStyle w:val="TableParagraph"/>
              <w:spacing w:line="201" w:lineRule="exact" w:before="13"/>
              <w:ind w:left="282" w:right="271"/>
              <w:rPr>
                <w:rFonts w:ascii="Times New Roman"/>
                <w:b/>
                <w:sz w:val="18"/>
              </w:rPr>
            </w:pPr>
            <w:r>
              <w:rPr>
                <w:rFonts w:ascii="Times New Roman"/>
                <w:b/>
                <w:sz w:val="18"/>
              </w:rPr>
              <w:t>/m</w:t>
            </w:r>
          </w:p>
        </w:tc>
        <w:tc>
          <w:tcPr>
            <w:tcW w:w="706" w:type="dxa"/>
            <w:vMerge w:val="restart"/>
          </w:tcPr>
          <w:p>
            <w:pPr>
              <w:pStyle w:val="TableParagraph"/>
              <w:spacing w:line="249" w:lineRule="auto" w:before="136"/>
              <w:ind w:left="161" w:right="148" w:firstLine="9"/>
              <w:jc w:val="both"/>
              <w:rPr>
                <w:rFonts w:ascii="Times New Roman" w:eastAsia="Times New Roman"/>
                <w:b/>
                <w:sz w:val="18"/>
              </w:rPr>
            </w:pPr>
            <w:r>
              <w:rPr>
                <w:b/>
                <w:sz w:val="18"/>
              </w:rPr>
              <w:t>排气筒高度</w:t>
            </w:r>
            <w:r>
              <w:rPr>
                <w:rFonts w:ascii="Times New Roman" w:eastAsia="Times New Roman"/>
                <w:b/>
                <w:sz w:val="18"/>
              </w:rPr>
              <w:t>/m</w:t>
            </w:r>
          </w:p>
        </w:tc>
        <w:tc>
          <w:tcPr>
            <w:tcW w:w="716" w:type="dxa"/>
            <w:vMerge w:val="restart"/>
          </w:tcPr>
          <w:p>
            <w:pPr>
              <w:pStyle w:val="TableParagraph"/>
              <w:spacing w:line="240" w:lineRule="atLeast" w:before="7"/>
              <w:ind w:left="166" w:right="154" w:firstLine="9"/>
              <w:jc w:val="both"/>
              <w:rPr>
                <w:rFonts w:ascii="Times New Roman" w:eastAsia="Times New Roman"/>
                <w:b/>
                <w:sz w:val="18"/>
              </w:rPr>
            </w:pPr>
            <w:r>
              <w:rPr>
                <w:b/>
                <w:sz w:val="18"/>
              </w:rPr>
              <w:t>排气筒出口内径</w:t>
            </w:r>
            <w:r>
              <w:rPr>
                <w:rFonts w:ascii="Times New Roman" w:eastAsia="Times New Roman"/>
                <w:b/>
                <w:sz w:val="18"/>
              </w:rPr>
              <w:t>/m</w:t>
            </w:r>
          </w:p>
        </w:tc>
        <w:tc>
          <w:tcPr>
            <w:tcW w:w="814" w:type="dxa"/>
            <w:vMerge w:val="restart"/>
          </w:tcPr>
          <w:p>
            <w:pPr>
              <w:pStyle w:val="TableParagraph"/>
              <w:spacing w:line="249" w:lineRule="auto" w:before="136"/>
              <w:ind w:left="134" w:right="125"/>
              <w:rPr>
                <w:b/>
                <w:sz w:val="18"/>
              </w:rPr>
            </w:pPr>
            <w:r>
              <w:rPr>
                <w:b/>
                <w:sz w:val="18"/>
              </w:rPr>
              <w:t>烟气流速</w:t>
            </w:r>
          </w:p>
          <w:p>
            <w:pPr>
              <w:pStyle w:val="TableParagraph"/>
              <w:spacing w:before="9"/>
              <w:ind w:left="123" w:right="111"/>
              <w:rPr>
                <w:rFonts w:ascii="Times New Roman"/>
                <w:b/>
                <w:sz w:val="18"/>
              </w:rPr>
            </w:pPr>
            <w:r>
              <w:rPr>
                <w:rFonts w:ascii="Times New Roman"/>
                <w:b/>
                <w:sz w:val="18"/>
              </w:rPr>
              <w:t>/(m</w:t>
            </w:r>
            <w:r>
              <w:rPr>
                <w:rFonts w:ascii="Times New Roman"/>
                <w:b/>
                <w:position w:val="6"/>
                <w:sz w:val="12"/>
              </w:rPr>
              <w:t>3</w:t>
            </w:r>
            <w:r>
              <w:rPr>
                <w:rFonts w:ascii="Times New Roman"/>
                <w:b/>
                <w:sz w:val="18"/>
              </w:rPr>
              <w:t>/h)</w:t>
            </w:r>
          </w:p>
        </w:tc>
        <w:tc>
          <w:tcPr>
            <w:tcW w:w="612" w:type="dxa"/>
            <w:vMerge w:val="restart"/>
          </w:tcPr>
          <w:p>
            <w:pPr>
              <w:pStyle w:val="TableParagraph"/>
              <w:spacing w:line="249" w:lineRule="auto" w:before="136"/>
              <w:ind w:left="124" w:right="110"/>
              <w:jc w:val="left"/>
              <w:rPr>
                <w:b/>
                <w:sz w:val="18"/>
              </w:rPr>
            </w:pPr>
            <w:r>
              <w:rPr>
                <w:b/>
                <w:spacing w:val="-7"/>
                <w:sz w:val="18"/>
              </w:rPr>
              <w:t>烟气温度</w:t>
            </w:r>
          </w:p>
          <w:p>
            <w:pPr>
              <w:pStyle w:val="TableParagraph"/>
              <w:spacing w:before="13"/>
              <w:ind w:left="211"/>
              <w:jc w:val="left"/>
              <w:rPr>
                <w:rFonts w:ascii="Times New Roman"/>
                <w:b/>
                <w:sz w:val="18"/>
              </w:rPr>
            </w:pPr>
            <w:r>
              <w:rPr>
                <w:rFonts w:ascii="Times New Roman"/>
                <w:b/>
                <w:sz w:val="18"/>
              </w:rPr>
              <w:t>/K</w:t>
            </w:r>
          </w:p>
        </w:tc>
        <w:tc>
          <w:tcPr>
            <w:tcW w:w="713" w:type="dxa"/>
            <w:vMerge w:val="restart"/>
          </w:tcPr>
          <w:p>
            <w:pPr>
              <w:pStyle w:val="TableParagraph"/>
              <w:spacing w:line="249" w:lineRule="auto" w:before="16"/>
              <w:ind w:left="175" w:right="161"/>
              <w:jc w:val="both"/>
              <w:rPr>
                <w:b/>
                <w:sz w:val="18"/>
              </w:rPr>
            </w:pPr>
            <w:r>
              <w:rPr>
                <w:b/>
                <w:sz w:val="18"/>
              </w:rPr>
              <w:t>年排放小时数</w:t>
            </w:r>
          </w:p>
          <w:p>
            <w:pPr>
              <w:pStyle w:val="TableParagraph"/>
              <w:spacing w:line="201" w:lineRule="exact" w:before="13"/>
              <w:ind w:left="124" w:right="116"/>
              <w:rPr>
                <w:rFonts w:ascii="Times New Roman"/>
                <w:b/>
                <w:sz w:val="18"/>
              </w:rPr>
            </w:pPr>
            <w:r>
              <w:rPr>
                <w:rFonts w:ascii="Times New Roman"/>
                <w:b/>
                <w:sz w:val="18"/>
              </w:rPr>
              <w:t>/h</w:t>
            </w:r>
          </w:p>
        </w:tc>
        <w:tc>
          <w:tcPr>
            <w:tcW w:w="517" w:type="dxa"/>
            <w:vMerge w:val="restart"/>
          </w:tcPr>
          <w:p>
            <w:pPr>
              <w:pStyle w:val="TableParagraph"/>
              <w:spacing w:line="240" w:lineRule="atLeast" w:before="7"/>
              <w:ind w:left="167" w:right="157"/>
              <w:jc w:val="both"/>
              <w:rPr>
                <w:b/>
                <w:sz w:val="18"/>
              </w:rPr>
            </w:pPr>
            <w:r>
              <w:rPr>
                <w:b/>
                <w:sz w:val="18"/>
              </w:rPr>
              <w:t>排放工况</w:t>
            </w:r>
          </w:p>
        </w:tc>
        <w:tc>
          <w:tcPr>
            <w:tcW w:w="1443" w:type="dxa"/>
            <w:gridSpan w:val="2"/>
          </w:tcPr>
          <w:p>
            <w:pPr>
              <w:pStyle w:val="TableParagraph"/>
              <w:spacing w:line="240" w:lineRule="atLeast" w:before="2"/>
              <w:ind w:left="253" w:right="169" w:hanging="77"/>
              <w:jc w:val="left"/>
              <w:rPr>
                <w:b/>
                <w:sz w:val="18"/>
              </w:rPr>
            </w:pPr>
            <w:r>
              <w:rPr>
                <w:b/>
                <w:sz w:val="18"/>
              </w:rPr>
              <w:t>污染物排放速率</w:t>
            </w:r>
            <w:r>
              <w:rPr>
                <w:rFonts w:ascii="Times New Roman" w:eastAsia="Times New Roman"/>
                <w:b/>
                <w:sz w:val="18"/>
              </w:rPr>
              <w:t>/</w:t>
            </w:r>
            <w:r>
              <w:rPr>
                <w:b/>
                <w:sz w:val="18"/>
              </w:rPr>
              <w:t>（</w:t>
            </w:r>
            <w:r>
              <w:rPr>
                <w:rFonts w:ascii="Times New Roman" w:eastAsia="Times New Roman"/>
                <w:b/>
                <w:sz w:val="18"/>
              </w:rPr>
              <w:t>kg/h</w:t>
            </w:r>
            <w:r>
              <w:rPr>
                <w:b/>
                <w:sz w:val="18"/>
              </w:rPr>
              <w:t>）</w:t>
            </w:r>
          </w:p>
        </w:tc>
      </w:tr>
      <w:tr>
        <w:trPr>
          <w:trHeight w:val="477" w:hRule="atLeast"/>
        </w:trPr>
        <w:tc>
          <w:tcPr>
            <w:tcW w:w="398" w:type="dxa"/>
            <w:vMerge/>
            <w:tcBorders>
              <w:top w:val="nil"/>
            </w:tcBorders>
          </w:tcPr>
          <w:p>
            <w:pPr>
              <w:rPr>
                <w:sz w:val="2"/>
                <w:szCs w:val="2"/>
              </w:rPr>
            </w:pPr>
          </w:p>
        </w:tc>
        <w:tc>
          <w:tcPr>
            <w:tcW w:w="859" w:type="dxa"/>
            <w:vMerge/>
            <w:tcBorders>
              <w:top w:val="nil"/>
            </w:tcBorders>
          </w:tcPr>
          <w:p>
            <w:pPr>
              <w:rPr>
                <w:sz w:val="2"/>
                <w:szCs w:val="2"/>
              </w:rPr>
            </w:pPr>
          </w:p>
        </w:tc>
        <w:tc>
          <w:tcPr>
            <w:tcW w:w="854" w:type="dxa"/>
          </w:tcPr>
          <w:p>
            <w:pPr>
              <w:pStyle w:val="TableParagraph"/>
              <w:spacing w:before="141"/>
              <w:ind w:left="6"/>
              <w:rPr>
                <w:rFonts w:ascii="Times New Roman"/>
                <w:b/>
                <w:sz w:val="18"/>
              </w:rPr>
            </w:pPr>
            <w:r>
              <w:rPr>
                <w:rFonts w:ascii="Times New Roman"/>
                <w:b/>
                <w:w w:val="99"/>
                <w:sz w:val="18"/>
              </w:rPr>
              <w:t>X</w:t>
            </w:r>
          </w:p>
        </w:tc>
        <w:tc>
          <w:tcPr>
            <w:tcW w:w="905" w:type="dxa"/>
          </w:tcPr>
          <w:p>
            <w:pPr>
              <w:pStyle w:val="TableParagraph"/>
              <w:spacing w:before="141"/>
              <w:ind w:left="9"/>
              <w:rPr>
                <w:rFonts w:ascii="Times New Roman"/>
                <w:b/>
                <w:sz w:val="18"/>
              </w:rPr>
            </w:pPr>
            <w:r>
              <w:rPr>
                <w:rFonts w:ascii="Times New Roman"/>
                <w:b/>
                <w:w w:val="99"/>
                <w:sz w:val="18"/>
              </w:rPr>
              <w:t>Y</w:t>
            </w:r>
          </w:p>
        </w:tc>
        <w:tc>
          <w:tcPr>
            <w:tcW w:w="816" w:type="dxa"/>
            <w:vMerge/>
            <w:tcBorders>
              <w:top w:val="nil"/>
            </w:tcBorders>
          </w:tcPr>
          <w:p>
            <w:pPr>
              <w:rPr>
                <w:sz w:val="2"/>
                <w:szCs w:val="2"/>
              </w:rPr>
            </w:pPr>
          </w:p>
        </w:tc>
        <w:tc>
          <w:tcPr>
            <w:tcW w:w="706" w:type="dxa"/>
            <w:vMerge/>
            <w:tcBorders>
              <w:top w:val="nil"/>
            </w:tcBorders>
          </w:tcPr>
          <w:p>
            <w:pPr>
              <w:rPr>
                <w:sz w:val="2"/>
                <w:szCs w:val="2"/>
              </w:rPr>
            </w:pPr>
          </w:p>
        </w:tc>
        <w:tc>
          <w:tcPr>
            <w:tcW w:w="716" w:type="dxa"/>
            <w:vMerge/>
            <w:tcBorders>
              <w:top w:val="nil"/>
            </w:tcBorders>
          </w:tcPr>
          <w:p>
            <w:pPr>
              <w:rPr>
                <w:sz w:val="2"/>
                <w:szCs w:val="2"/>
              </w:rPr>
            </w:pPr>
          </w:p>
        </w:tc>
        <w:tc>
          <w:tcPr>
            <w:tcW w:w="814" w:type="dxa"/>
            <w:vMerge/>
            <w:tcBorders>
              <w:top w:val="nil"/>
            </w:tcBorders>
          </w:tcPr>
          <w:p>
            <w:pPr>
              <w:rPr>
                <w:sz w:val="2"/>
                <w:szCs w:val="2"/>
              </w:rPr>
            </w:pPr>
          </w:p>
        </w:tc>
        <w:tc>
          <w:tcPr>
            <w:tcW w:w="612" w:type="dxa"/>
            <w:vMerge/>
            <w:tcBorders>
              <w:top w:val="nil"/>
            </w:tcBorders>
          </w:tcPr>
          <w:p>
            <w:pPr>
              <w:rPr>
                <w:sz w:val="2"/>
                <w:szCs w:val="2"/>
              </w:rPr>
            </w:pPr>
          </w:p>
        </w:tc>
        <w:tc>
          <w:tcPr>
            <w:tcW w:w="713" w:type="dxa"/>
            <w:vMerge/>
            <w:tcBorders>
              <w:top w:val="nil"/>
            </w:tcBorders>
          </w:tcPr>
          <w:p>
            <w:pPr>
              <w:rPr>
                <w:sz w:val="2"/>
                <w:szCs w:val="2"/>
              </w:rPr>
            </w:pPr>
          </w:p>
        </w:tc>
        <w:tc>
          <w:tcPr>
            <w:tcW w:w="517" w:type="dxa"/>
            <w:vMerge/>
            <w:tcBorders>
              <w:top w:val="nil"/>
            </w:tcBorders>
          </w:tcPr>
          <w:p>
            <w:pPr>
              <w:rPr>
                <w:sz w:val="2"/>
                <w:szCs w:val="2"/>
              </w:rPr>
            </w:pPr>
          </w:p>
        </w:tc>
        <w:tc>
          <w:tcPr>
            <w:tcW w:w="766" w:type="dxa"/>
          </w:tcPr>
          <w:p>
            <w:pPr>
              <w:pStyle w:val="TableParagraph"/>
              <w:spacing w:before="129"/>
              <w:ind w:left="115" w:right="105"/>
              <w:rPr>
                <w:b/>
                <w:sz w:val="18"/>
              </w:rPr>
            </w:pPr>
            <w:r>
              <w:rPr>
                <w:b/>
                <w:sz w:val="18"/>
              </w:rPr>
              <w:t>甲酸</w:t>
            </w:r>
          </w:p>
        </w:tc>
        <w:tc>
          <w:tcPr>
            <w:tcW w:w="677" w:type="dxa"/>
          </w:tcPr>
          <w:p>
            <w:pPr>
              <w:pStyle w:val="TableParagraph"/>
              <w:spacing w:line="240" w:lineRule="atLeast"/>
              <w:ind w:left="246" w:right="145" w:hanging="92"/>
              <w:jc w:val="left"/>
              <w:rPr>
                <w:b/>
                <w:sz w:val="18"/>
              </w:rPr>
            </w:pPr>
            <w:r>
              <w:rPr>
                <w:b/>
                <w:sz w:val="18"/>
              </w:rPr>
              <w:t>颗粒物</w:t>
            </w:r>
          </w:p>
        </w:tc>
      </w:tr>
      <w:tr>
        <w:trPr>
          <w:trHeight w:val="476" w:hRule="atLeast"/>
        </w:trPr>
        <w:tc>
          <w:tcPr>
            <w:tcW w:w="398" w:type="dxa"/>
          </w:tcPr>
          <w:p>
            <w:pPr>
              <w:pStyle w:val="TableParagraph"/>
              <w:spacing w:before="141"/>
              <w:ind w:left="4"/>
              <w:rPr>
                <w:rFonts w:ascii="Times New Roman"/>
                <w:sz w:val="18"/>
              </w:rPr>
            </w:pPr>
            <w:r>
              <w:rPr>
                <w:rFonts w:ascii="Times New Roman"/>
                <w:sz w:val="18"/>
              </w:rPr>
              <w:t>1</w:t>
            </w:r>
          </w:p>
        </w:tc>
        <w:tc>
          <w:tcPr>
            <w:tcW w:w="859" w:type="dxa"/>
          </w:tcPr>
          <w:p>
            <w:pPr>
              <w:pStyle w:val="TableParagraph"/>
              <w:spacing w:before="21"/>
              <w:ind w:left="163"/>
              <w:jc w:val="left"/>
              <w:rPr>
                <w:rFonts w:ascii="Times New Roman"/>
                <w:sz w:val="18"/>
              </w:rPr>
            </w:pPr>
            <w:r>
              <w:rPr>
                <w:rFonts w:ascii="Times New Roman"/>
                <w:sz w:val="18"/>
              </w:rPr>
              <w:t>DA004</w:t>
            </w:r>
          </w:p>
          <w:p>
            <w:pPr>
              <w:pStyle w:val="TableParagraph"/>
              <w:spacing w:line="208" w:lineRule="exact" w:before="21"/>
              <w:ind w:left="158"/>
              <w:jc w:val="left"/>
              <w:rPr>
                <w:sz w:val="18"/>
              </w:rPr>
            </w:pPr>
            <w:r>
              <w:rPr>
                <w:sz w:val="18"/>
              </w:rPr>
              <w:t>排气筒</w:t>
            </w:r>
          </w:p>
        </w:tc>
        <w:tc>
          <w:tcPr>
            <w:tcW w:w="854" w:type="dxa"/>
          </w:tcPr>
          <w:p>
            <w:pPr>
              <w:pStyle w:val="TableParagraph"/>
              <w:spacing w:before="141"/>
              <w:ind w:left="136" w:right="127"/>
              <w:rPr>
                <w:rFonts w:ascii="Times New Roman"/>
                <w:sz w:val="18"/>
              </w:rPr>
            </w:pPr>
            <w:r>
              <w:rPr>
                <w:rFonts w:ascii="Times New Roman"/>
                <w:sz w:val="18"/>
              </w:rPr>
              <w:t>297609</w:t>
            </w:r>
          </w:p>
        </w:tc>
        <w:tc>
          <w:tcPr>
            <w:tcW w:w="905" w:type="dxa"/>
          </w:tcPr>
          <w:p>
            <w:pPr>
              <w:pStyle w:val="TableParagraph"/>
              <w:spacing w:before="141"/>
              <w:ind w:left="119" w:right="105"/>
              <w:rPr>
                <w:rFonts w:ascii="Times New Roman"/>
                <w:sz w:val="18"/>
              </w:rPr>
            </w:pPr>
            <w:r>
              <w:rPr>
                <w:rFonts w:ascii="Times New Roman"/>
                <w:sz w:val="18"/>
              </w:rPr>
              <w:t>3339714</w:t>
            </w:r>
          </w:p>
        </w:tc>
        <w:tc>
          <w:tcPr>
            <w:tcW w:w="816" w:type="dxa"/>
          </w:tcPr>
          <w:p>
            <w:pPr>
              <w:pStyle w:val="TableParagraph"/>
              <w:spacing w:before="141"/>
              <w:ind w:left="11"/>
              <w:rPr>
                <w:rFonts w:ascii="Times New Roman"/>
                <w:sz w:val="18"/>
              </w:rPr>
            </w:pPr>
            <w:r>
              <w:rPr>
                <w:rFonts w:ascii="Times New Roman"/>
                <w:sz w:val="18"/>
              </w:rPr>
              <w:t>4</w:t>
            </w:r>
          </w:p>
        </w:tc>
        <w:tc>
          <w:tcPr>
            <w:tcW w:w="706" w:type="dxa"/>
          </w:tcPr>
          <w:p>
            <w:pPr>
              <w:pStyle w:val="TableParagraph"/>
              <w:spacing w:before="141"/>
              <w:ind w:left="262"/>
              <w:jc w:val="left"/>
              <w:rPr>
                <w:rFonts w:ascii="Times New Roman"/>
                <w:sz w:val="18"/>
              </w:rPr>
            </w:pPr>
            <w:r>
              <w:rPr>
                <w:rFonts w:ascii="Times New Roman"/>
                <w:sz w:val="18"/>
              </w:rPr>
              <w:t>25</w:t>
            </w:r>
          </w:p>
        </w:tc>
        <w:tc>
          <w:tcPr>
            <w:tcW w:w="716" w:type="dxa"/>
          </w:tcPr>
          <w:p>
            <w:pPr>
              <w:pStyle w:val="TableParagraph"/>
              <w:spacing w:before="141"/>
              <w:ind w:left="18" w:right="7"/>
              <w:rPr>
                <w:rFonts w:ascii="Times New Roman"/>
                <w:sz w:val="18"/>
              </w:rPr>
            </w:pPr>
            <w:r>
              <w:rPr>
                <w:rFonts w:ascii="Times New Roman"/>
                <w:sz w:val="18"/>
              </w:rPr>
              <w:t>0.5</w:t>
            </w:r>
          </w:p>
        </w:tc>
        <w:tc>
          <w:tcPr>
            <w:tcW w:w="814" w:type="dxa"/>
          </w:tcPr>
          <w:p>
            <w:pPr>
              <w:pStyle w:val="TableParagraph"/>
              <w:spacing w:before="141"/>
              <w:ind w:left="133" w:right="125"/>
              <w:rPr>
                <w:rFonts w:ascii="Times New Roman"/>
                <w:sz w:val="18"/>
              </w:rPr>
            </w:pPr>
            <w:r>
              <w:rPr>
                <w:rFonts w:ascii="Times New Roman"/>
                <w:sz w:val="18"/>
              </w:rPr>
              <w:t>4500</w:t>
            </w:r>
          </w:p>
        </w:tc>
        <w:tc>
          <w:tcPr>
            <w:tcW w:w="612" w:type="dxa"/>
          </w:tcPr>
          <w:p>
            <w:pPr>
              <w:pStyle w:val="TableParagraph"/>
              <w:spacing w:before="141"/>
              <w:ind w:left="152" w:right="140"/>
              <w:rPr>
                <w:rFonts w:ascii="Times New Roman"/>
                <w:sz w:val="18"/>
              </w:rPr>
            </w:pPr>
            <w:r>
              <w:rPr>
                <w:rFonts w:ascii="Times New Roman"/>
                <w:sz w:val="18"/>
              </w:rPr>
              <w:t>298</w:t>
            </w:r>
          </w:p>
        </w:tc>
        <w:tc>
          <w:tcPr>
            <w:tcW w:w="713" w:type="dxa"/>
          </w:tcPr>
          <w:p>
            <w:pPr>
              <w:pStyle w:val="TableParagraph"/>
              <w:spacing w:before="141"/>
              <w:ind w:left="124" w:right="116"/>
              <w:rPr>
                <w:rFonts w:ascii="Times New Roman"/>
                <w:sz w:val="18"/>
              </w:rPr>
            </w:pPr>
            <w:r>
              <w:rPr>
                <w:rFonts w:ascii="Times New Roman"/>
                <w:sz w:val="18"/>
              </w:rPr>
              <w:t>7200</w:t>
            </w:r>
          </w:p>
        </w:tc>
        <w:tc>
          <w:tcPr>
            <w:tcW w:w="517" w:type="dxa"/>
          </w:tcPr>
          <w:p>
            <w:pPr>
              <w:pStyle w:val="TableParagraph"/>
              <w:spacing w:before="9"/>
              <w:ind w:left="167"/>
              <w:jc w:val="left"/>
              <w:rPr>
                <w:sz w:val="18"/>
              </w:rPr>
            </w:pPr>
            <w:r>
              <w:rPr>
                <w:sz w:val="18"/>
              </w:rPr>
              <w:t>正</w:t>
            </w:r>
          </w:p>
          <w:p>
            <w:pPr>
              <w:pStyle w:val="TableParagraph"/>
              <w:spacing w:line="208" w:lineRule="exact" w:before="9"/>
              <w:ind w:left="167"/>
              <w:jc w:val="left"/>
              <w:rPr>
                <w:sz w:val="18"/>
              </w:rPr>
            </w:pPr>
            <w:r>
              <w:rPr>
                <w:sz w:val="18"/>
              </w:rPr>
              <w:t>常</w:t>
            </w:r>
          </w:p>
        </w:tc>
        <w:tc>
          <w:tcPr>
            <w:tcW w:w="766" w:type="dxa"/>
          </w:tcPr>
          <w:p>
            <w:pPr>
              <w:pStyle w:val="TableParagraph"/>
              <w:spacing w:before="141"/>
              <w:ind w:left="113" w:right="105"/>
              <w:rPr>
                <w:rFonts w:ascii="Times New Roman"/>
                <w:sz w:val="18"/>
              </w:rPr>
            </w:pPr>
            <w:r>
              <w:rPr>
                <w:rFonts w:ascii="Times New Roman"/>
                <w:sz w:val="18"/>
              </w:rPr>
              <w:t>0.042</w:t>
            </w:r>
          </w:p>
        </w:tc>
        <w:tc>
          <w:tcPr>
            <w:tcW w:w="677" w:type="dxa"/>
          </w:tcPr>
          <w:p>
            <w:pPr>
              <w:pStyle w:val="TableParagraph"/>
              <w:spacing w:before="141"/>
              <w:ind w:left="104" w:right="98"/>
              <w:rPr>
                <w:rFonts w:ascii="Times New Roman"/>
                <w:sz w:val="18"/>
              </w:rPr>
            </w:pPr>
            <w:r>
              <w:rPr>
                <w:rFonts w:ascii="Times New Roman"/>
                <w:sz w:val="18"/>
              </w:rPr>
              <w:t>0.076</w:t>
            </w:r>
          </w:p>
        </w:tc>
      </w:tr>
      <w:tr>
        <w:trPr>
          <w:trHeight w:val="482" w:hRule="atLeast"/>
        </w:trPr>
        <w:tc>
          <w:tcPr>
            <w:tcW w:w="398" w:type="dxa"/>
          </w:tcPr>
          <w:p>
            <w:pPr>
              <w:pStyle w:val="TableParagraph"/>
              <w:spacing w:before="143"/>
              <w:ind w:left="4"/>
              <w:rPr>
                <w:rFonts w:ascii="Times New Roman"/>
                <w:sz w:val="18"/>
              </w:rPr>
            </w:pPr>
            <w:r>
              <w:rPr>
                <w:rFonts w:ascii="Times New Roman"/>
                <w:sz w:val="18"/>
              </w:rPr>
              <w:t>2</w:t>
            </w:r>
          </w:p>
        </w:tc>
        <w:tc>
          <w:tcPr>
            <w:tcW w:w="859" w:type="dxa"/>
          </w:tcPr>
          <w:p>
            <w:pPr>
              <w:pStyle w:val="TableParagraph"/>
              <w:spacing w:before="23"/>
              <w:ind w:left="163"/>
              <w:jc w:val="left"/>
              <w:rPr>
                <w:rFonts w:ascii="Times New Roman"/>
                <w:sz w:val="18"/>
              </w:rPr>
            </w:pPr>
            <w:r>
              <w:rPr>
                <w:rFonts w:ascii="Times New Roman"/>
                <w:sz w:val="18"/>
              </w:rPr>
              <w:t>DA005</w:t>
            </w:r>
          </w:p>
          <w:p>
            <w:pPr>
              <w:pStyle w:val="TableParagraph"/>
              <w:spacing w:line="210" w:lineRule="exact" w:before="22"/>
              <w:ind w:left="158"/>
              <w:jc w:val="left"/>
              <w:rPr>
                <w:sz w:val="18"/>
              </w:rPr>
            </w:pPr>
            <w:r>
              <w:rPr>
                <w:sz w:val="18"/>
              </w:rPr>
              <w:t>排气筒</w:t>
            </w:r>
          </w:p>
        </w:tc>
        <w:tc>
          <w:tcPr>
            <w:tcW w:w="854" w:type="dxa"/>
          </w:tcPr>
          <w:p>
            <w:pPr>
              <w:pStyle w:val="TableParagraph"/>
              <w:spacing w:before="143"/>
              <w:ind w:left="135" w:right="127"/>
              <w:rPr>
                <w:rFonts w:ascii="Times New Roman"/>
                <w:sz w:val="18"/>
              </w:rPr>
            </w:pPr>
            <w:r>
              <w:rPr>
                <w:rFonts w:ascii="Times New Roman"/>
                <w:sz w:val="18"/>
              </w:rPr>
              <w:t>297723</w:t>
            </w:r>
          </w:p>
        </w:tc>
        <w:tc>
          <w:tcPr>
            <w:tcW w:w="905" w:type="dxa"/>
          </w:tcPr>
          <w:p>
            <w:pPr>
              <w:pStyle w:val="TableParagraph"/>
              <w:spacing w:before="143"/>
              <w:ind w:left="119" w:right="105"/>
              <w:rPr>
                <w:rFonts w:ascii="Times New Roman"/>
                <w:sz w:val="18"/>
              </w:rPr>
            </w:pPr>
            <w:r>
              <w:rPr>
                <w:rFonts w:ascii="Times New Roman"/>
                <w:sz w:val="18"/>
              </w:rPr>
              <w:t>3339415</w:t>
            </w:r>
          </w:p>
        </w:tc>
        <w:tc>
          <w:tcPr>
            <w:tcW w:w="816" w:type="dxa"/>
          </w:tcPr>
          <w:p>
            <w:pPr>
              <w:pStyle w:val="TableParagraph"/>
              <w:spacing w:before="143"/>
              <w:ind w:left="11"/>
              <w:rPr>
                <w:rFonts w:ascii="Times New Roman"/>
                <w:sz w:val="18"/>
              </w:rPr>
            </w:pPr>
            <w:r>
              <w:rPr>
                <w:rFonts w:ascii="Times New Roman"/>
                <w:sz w:val="18"/>
              </w:rPr>
              <w:t>4</w:t>
            </w:r>
          </w:p>
        </w:tc>
        <w:tc>
          <w:tcPr>
            <w:tcW w:w="706" w:type="dxa"/>
          </w:tcPr>
          <w:p>
            <w:pPr>
              <w:pStyle w:val="TableParagraph"/>
              <w:spacing w:before="143"/>
              <w:ind w:left="262"/>
              <w:jc w:val="left"/>
              <w:rPr>
                <w:rFonts w:ascii="Times New Roman"/>
                <w:sz w:val="18"/>
              </w:rPr>
            </w:pPr>
            <w:r>
              <w:rPr>
                <w:rFonts w:ascii="Times New Roman"/>
                <w:sz w:val="18"/>
              </w:rPr>
              <w:t>25</w:t>
            </w:r>
          </w:p>
        </w:tc>
        <w:tc>
          <w:tcPr>
            <w:tcW w:w="716" w:type="dxa"/>
          </w:tcPr>
          <w:p>
            <w:pPr>
              <w:pStyle w:val="TableParagraph"/>
              <w:spacing w:before="143"/>
              <w:ind w:left="18" w:right="7"/>
              <w:rPr>
                <w:rFonts w:ascii="Times New Roman"/>
                <w:sz w:val="18"/>
              </w:rPr>
            </w:pPr>
            <w:r>
              <w:rPr>
                <w:rFonts w:ascii="Times New Roman"/>
                <w:sz w:val="18"/>
              </w:rPr>
              <w:t>0.6</w:t>
            </w:r>
          </w:p>
        </w:tc>
        <w:tc>
          <w:tcPr>
            <w:tcW w:w="814" w:type="dxa"/>
          </w:tcPr>
          <w:p>
            <w:pPr>
              <w:pStyle w:val="TableParagraph"/>
              <w:spacing w:before="143"/>
              <w:ind w:left="133" w:right="125"/>
              <w:rPr>
                <w:rFonts w:ascii="Times New Roman"/>
                <w:sz w:val="18"/>
              </w:rPr>
            </w:pPr>
            <w:r>
              <w:rPr>
                <w:rFonts w:ascii="Times New Roman"/>
                <w:sz w:val="18"/>
              </w:rPr>
              <w:t>7000</w:t>
            </w:r>
          </w:p>
        </w:tc>
        <w:tc>
          <w:tcPr>
            <w:tcW w:w="612" w:type="dxa"/>
          </w:tcPr>
          <w:p>
            <w:pPr>
              <w:pStyle w:val="TableParagraph"/>
              <w:spacing w:before="143"/>
              <w:ind w:left="152" w:right="140"/>
              <w:rPr>
                <w:rFonts w:ascii="Times New Roman"/>
                <w:sz w:val="18"/>
              </w:rPr>
            </w:pPr>
            <w:r>
              <w:rPr>
                <w:rFonts w:ascii="Times New Roman"/>
                <w:sz w:val="18"/>
              </w:rPr>
              <w:t>298</w:t>
            </w:r>
          </w:p>
        </w:tc>
        <w:tc>
          <w:tcPr>
            <w:tcW w:w="713" w:type="dxa"/>
          </w:tcPr>
          <w:p>
            <w:pPr>
              <w:pStyle w:val="TableParagraph"/>
              <w:spacing w:before="143"/>
              <w:ind w:left="124" w:right="116"/>
              <w:rPr>
                <w:rFonts w:ascii="Times New Roman"/>
                <w:sz w:val="18"/>
              </w:rPr>
            </w:pPr>
            <w:r>
              <w:rPr>
                <w:rFonts w:ascii="Times New Roman"/>
                <w:sz w:val="18"/>
              </w:rPr>
              <w:t>7200</w:t>
            </w:r>
          </w:p>
        </w:tc>
        <w:tc>
          <w:tcPr>
            <w:tcW w:w="517" w:type="dxa"/>
          </w:tcPr>
          <w:p>
            <w:pPr>
              <w:pStyle w:val="TableParagraph"/>
              <w:spacing w:line="240" w:lineRule="atLeast" w:before="2"/>
              <w:ind w:left="167" w:right="157"/>
              <w:jc w:val="left"/>
              <w:rPr>
                <w:sz w:val="18"/>
              </w:rPr>
            </w:pPr>
            <w:r>
              <w:rPr>
                <w:sz w:val="18"/>
              </w:rPr>
              <w:t>正常</w:t>
            </w:r>
          </w:p>
        </w:tc>
        <w:tc>
          <w:tcPr>
            <w:tcW w:w="766" w:type="dxa"/>
          </w:tcPr>
          <w:p>
            <w:pPr>
              <w:pStyle w:val="TableParagraph"/>
              <w:spacing w:before="143"/>
              <w:ind w:left="116" w:right="105"/>
              <w:rPr>
                <w:rFonts w:ascii="Times New Roman"/>
                <w:sz w:val="18"/>
              </w:rPr>
            </w:pPr>
            <w:r>
              <w:rPr>
                <w:rFonts w:ascii="Times New Roman"/>
                <w:sz w:val="18"/>
              </w:rPr>
              <w:t>0.0007</w:t>
            </w:r>
          </w:p>
        </w:tc>
        <w:tc>
          <w:tcPr>
            <w:tcW w:w="677" w:type="dxa"/>
          </w:tcPr>
          <w:p>
            <w:pPr>
              <w:pStyle w:val="TableParagraph"/>
              <w:spacing w:before="143"/>
              <w:ind w:left="4"/>
              <w:rPr>
                <w:rFonts w:ascii="Times New Roman"/>
                <w:sz w:val="18"/>
              </w:rPr>
            </w:pPr>
            <w:r>
              <w:rPr>
                <w:rFonts w:ascii="Times New Roman"/>
                <w:sz w:val="18"/>
              </w:rPr>
              <w:t>/</w:t>
            </w:r>
          </w:p>
        </w:tc>
      </w:tr>
    </w:tbl>
    <w:p>
      <w:pPr>
        <w:spacing w:after="0"/>
        <w:rPr>
          <w:rFonts w:ascii="Times New Roman"/>
          <w:sz w:val="18"/>
        </w:rPr>
        <w:sectPr>
          <w:pgSz w:w="11910" w:h="16850"/>
          <w:pgMar w:header="1004" w:footer="1088" w:top="1360" w:bottom="1280" w:left="1300" w:right="1020"/>
        </w:sectPr>
      </w:pPr>
    </w:p>
    <w:p>
      <w:pPr>
        <w:pStyle w:val="BodyText"/>
        <w:spacing w:before="3"/>
        <w:rPr>
          <w:b/>
          <w:sz w:val="10"/>
        </w:rPr>
      </w:pPr>
    </w:p>
    <w:p>
      <w:pPr>
        <w:tabs>
          <w:tab w:pos="1226" w:val="left" w:leader="none"/>
        </w:tabs>
        <w:spacing w:before="74" w:after="29"/>
        <w:ind w:left="4" w:right="0" w:firstLine="0"/>
        <w:jc w:val="center"/>
        <w:rPr>
          <w:b/>
          <w:sz w:val="24"/>
        </w:rPr>
      </w:pPr>
      <w:r>
        <w:rPr>
          <w:b/>
          <w:sz w:val="24"/>
        </w:rPr>
        <w:t>表</w:t>
      </w:r>
      <w:r>
        <w:rPr>
          <w:b/>
          <w:spacing w:val="-60"/>
          <w:sz w:val="24"/>
        </w:rPr>
        <w:t> </w:t>
      </w:r>
      <w:r>
        <w:rPr>
          <w:rFonts w:ascii="Times New Roman" w:eastAsia="Times New Roman"/>
          <w:b/>
          <w:sz w:val="24"/>
        </w:rPr>
        <w:t>7.2.1-7</w:t>
        <w:tab/>
      </w:r>
      <w:r>
        <w:rPr>
          <w:b/>
          <w:sz w:val="24"/>
        </w:rPr>
        <w:t>面源参数表</w:t>
      </w: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1"/>
        <w:gridCol w:w="1114"/>
        <w:gridCol w:w="833"/>
        <w:gridCol w:w="853"/>
        <w:gridCol w:w="696"/>
        <w:gridCol w:w="643"/>
        <w:gridCol w:w="602"/>
        <w:gridCol w:w="650"/>
        <w:gridCol w:w="820"/>
        <w:gridCol w:w="606"/>
        <w:gridCol w:w="691"/>
        <w:gridCol w:w="693"/>
        <w:gridCol w:w="741"/>
      </w:tblGrid>
      <w:tr>
        <w:trPr>
          <w:trHeight w:val="479" w:hRule="atLeast"/>
        </w:trPr>
        <w:tc>
          <w:tcPr>
            <w:tcW w:w="401" w:type="dxa"/>
            <w:vMerge w:val="restart"/>
          </w:tcPr>
          <w:p>
            <w:pPr>
              <w:pStyle w:val="TableParagraph"/>
              <w:jc w:val="left"/>
              <w:rPr>
                <w:b/>
                <w:sz w:val="20"/>
              </w:rPr>
            </w:pPr>
          </w:p>
          <w:p>
            <w:pPr>
              <w:pStyle w:val="TableParagraph"/>
              <w:spacing w:line="249" w:lineRule="auto"/>
              <w:ind w:left="110" w:right="98"/>
              <w:jc w:val="left"/>
              <w:rPr>
                <w:b/>
                <w:sz w:val="18"/>
              </w:rPr>
            </w:pPr>
            <w:r>
              <w:rPr>
                <w:b/>
                <w:sz w:val="18"/>
              </w:rPr>
              <w:t>编号</w:t>
            </w:r>
          </w:p>
        </w:tc>
        <w:tc>
          <w:tcPr>
            <w:tcW w:w="1114" w:type="dxa"/>
            <w:vMerge w:val="restart"/>
          </w:tcPr>
          <w:p>
            <w:pPr>
              <w:pStyle w:val="TableParagraph"/>
              <w:jc w:val="left"/>
              <w:rPr>
                <w:b/>
                <w:sz w:val="18"/>
              </w:rPr>
            </w:pPr>
          </w:p>
          <w:p>
            <w:pPr>
              <w:pStyle w:val="TableParagraph"/>
              <w:spacing w:before="146"/>
              <w:ind w:left="373"/>
              <w:jc w:val="left"/>
              <w:rPr>
                <w:b/>
                <w:sz w:val="18"/>
              </w:rPr>
            </w:pPr>
            <w:r>
              <w:rPr>
                <w:b/>
                <w:sz w:val="18"/>
              </w:rPr>
              <w:t>名称</w:t>
            </w:r>
          </w:p>
        </w:tc>
        <w:tc>
          <w:tcPr>
            <w:tcW w:w="1686" w:type="dxa"/>
            <w:gridSpan w:val="2"/>
          </w:tcPr>
          <w:p>
            <w:pPr>
              <w:pStyle w:val="TableParagraph"/>
              <w:spacing w:before="131"/>
              <w:ind w:left="210"/>
              <w:jc w:val="left"/>
              <w:rPr>
                <w:b/>
                <w:sz w:val="18"/>
              </w:rPr>
            </w:pPr>
            <w:r>
              <w:rPr>
                <w:b/>
                <w:sz w:val="18"/>
              </w:rPr>
              <w:t>面源中心点坐标</w:t>
            </w:r>
          </w:p>
        </w:tc>
        <w:tc>
          <w:tcPr>
            <w:tcW w:w="696" w:type="dxa"/>
            <w:vMerge w:val="restart"/>
          </w:tcPr>
          <w:p>
            <w:pPr>
              <w:pStyle w:val="TableParagraph"/>
              <w:spacing w:line="249" w:lineRule="auto" w:before="16"/>
              <w:ind w:left="164" w:right="155"/>
              <w:jc w:val="both"/>
              <w:rPr>
                <w:b/>
                <w:sz w:val="18"/>
              </w:rPr>
            </w:pPr>
            <w:r>
              <w:rPr>
                <w:b/>
                <w:spacing w:val="-8"/>
                <w:sz w:val="18"/>
              </w:rPr>
              <w:t>面源海拔高度</w:t>
            </w:r>
          </w:p>
          <w:p>
            <w:pPr>
              <w:pStyle w:val="TableParagraph"/>
              <w:spacing w:line="201" w:lineRule="exact" w:before="13"/>
              <w:ind w:left="226" w:right="220"/>
              <w:rPr>
                <w:rFonts w:ascii="Times New Roman"/>
                <w:b/>
                <w:sz w:val="18"/>
              </w:rPr>
            </w:pPr>
            <w:r>
              <w:rPr>
                <w:rFonts w:ascii="Times New Roman"/>
                <w:b/>
                <w:sz w:val="18"/>
              </w:rPr>
              <w:t>/m</w:t>
            </w:r>
          </w:p>
        </w:tc>
        <w:tc>
          <w:tcPr>
            <w:tcW w:w="643" w:type="dxa"/>
            <w:vMerge w:val="restart"/>
          </w:tcPr>
          <w:p>
            <w:pPr>
              <w:pStyle w:val="TableParagraph"/>
              <w:spacing w:line="249" w:lineRule="auto" w:before="136"/>
              <w:ind w:left="137" w:right="128"/>
              <w:rPr>
                <w:b/>
                <w:sz w:val="18"/>
              </w:rPr>
            </w:pPr>
            <w:r>
              <w:rPr>
                <w:b/>
                <w:spacing w:val="-7"/>
                <w:sz w:val="18"/>
              </w:rPr>
              <w:t>面源长度</w:t>
            </w:r>
          </w:p>
          <w:p>
            <w:pPr>
              <w:pStyle w:val="TableParagraph"/>
              <w:spacing w:before="13"/>
              <w:ind w:left="134" w:right="128"/>
              <w:rPr>
                <w:rFonts w:ascii="Times New Roman"/>
                <w:b/>
                <w:sz w:val="18"/>
              </w:rPr>
            </w:pPr>
            <w:r>
              <w:rPr>
                <w:rFonts w:ascii="Times New Roman"/>
                <w:b/>
                <w:sz w:val="18"/>
              </w:rPr>
              <w:t>/m</w:t>
            </w:r>
          </w:p>
        </w:tc>
        <w:tc>
          <w:tcPr>
            <w:tcW w:w="602" w:type="dxa"/>
            <w:vMerge w:val="restart"/>
          </w:tcPr>
          <w:p>
            <w:pPr>
              <w:pStyle w:val="TableParagraph"/>
              <w:spacing w:line="249" w:lineRule="auto" w:before="136"/>
              <w:ind w:left="118" w:right="106"/>
              <w:jc w:val="left"/>
              <w:rPr>
                <w:b/>
                <w:sz w:val="18"/>
              </w:rPr>
            </w:pPr>
            <w:r>
              <w:rPr>
                <w:b/>
                <w:spacing w:val="-7"/>
                <w:sz w:val="18"/>
              </w:rPr>
              <w:t>面源宽度</w:t>
            </w:r>
          </w:p>
          <w:p>
            <w:pPr>
              <w:pStyle w:val="TableParagraph"/>
              <w:spacing w:before="13"/>
              <w:ind w:left="200"/>
              <w:jc w:val="left"/>
              <w:rPr>
                <w:rFonts w:ascii="Times New Roman"/>
                <w:b/>
                <w:sz w:val="18"/>
              </w:rPr>
            </w:pPr>
            <w:r>
              <w:rPr>
                <w:rFonts w:ascii="Times New Roman"/>
                <w:b/>
                <w:sz w:val="18"/>
              </w:rPr>
              <w:t>/m</w:t>
            </w:r>
          </w:p>
        </w:tc>
        <w:tc>
          <w:tcPr>
            <w:tcW w:w="650" w:type="dxa"/>
            <w:vMerge w:val="restart"/>
          </w:tcPr>
          <w:p>
            <w:pPr>
              <w:pStyle w:val="TableParagraph"/>
              <w:spacing w:line="249" w:lineRule="auto" w:before="16"/>
              <w:ind w:left="143" w:right="129"/>
              <w:jc w:val="both"/>
              <w:rPr>
                <w:b/>
                <w:sz w:val="18"/>
              </w:rPr>
            </w:pPr>
            <w:r>
              <w:rPr>
                <w:b/>
                <w:sz w:val="18"/>
              </w:rPr>
              <w:t>与正北向夹角</w:t>
            </w:r>
          </w:p>
          <w:p>
            <w:pPr>
              <w:pStyle w:val="TableParagraph"/>
              <w:spacing w:line="201" w:lineRule="exact" w:before="13"/>
              <w:ind w:left="40" w:right="27"/>
              <w:rPr>
                <w:rFonts w:ascii="Times New Roman" w:hAnsi="Times New Roman"/>
                <w:b/>
                <w:sz w:val="18"/>
              </w:rPr>
            </w:pPr>
            <w:r>
              <w:rPr>
                <w:rFonts w:ascii="Times New Roman" w:hAnsi="Times New Roman"/>
                <w:b/>
                <w:sz w:val="18"/>
              </w:rPr>
              <w:t>/°</w:t>
            </w:r>
          </w:p>
        </w:tc>
        <w:tc>
          <w:tcPr>
            <w:tcW w:w="820" w:type="dxa"/>
            <w:vMerge w:val="restart"/>
          </w:tcPr>
          <w:p>
            <w:pPr>
              <w:pStyle w:val="TableParagraph"/>
              <w:spacing w:line="249" w:lineRule="auto" w:before="136"/>
              <w:ind w:left="127" w:right="117" w:firstLine="9"/>
              <w:jc w:val="both"/>
              <w:rPr>
                <w:rFonts w:ascii="Times New Roman" w:eastAsia="Times New Roman"/>
                <w:b/>
                <w:sz w:val="18"/>
              </w:rPr>
            </w:pPr>
            <w:r>
              <w:rPr>
                <w:b/>
                <w:sz w:val="18"/>
              </w:rPr>
              <w:t>面源有效排放高度</w:t>
            </w:r>
            <w:r>
              <w:rPr>
                <w:rFonts w:ascii="Times New Roman" w:eastAsia="Times New Roman"/>
                <w:b/>
                <w:sz w:val="18"/>
              </w:rPr>
              <w:t>/m</w:t>
            </w:r>
          </w:p>
        </w:tc>
        <w:tc>
          <w:tcPr>
            <w:tcW w:w="606" w:type="dxa"/>
            <w:vMerge w:val="restart"/>
          </w:tcPr>
          <w:p>
            <w:pPr>
              <w:pStyle w:val="TableParagraph"/>
              <w:spacing w:line="249" w:lineRule="auto" w:before="16"/>
              <w:ind w:left="123" w:right="106"/>
              <w:jc w:val="both"/>
              <w:rPr>
                <w:b/>
                <w:sz w:val="18"/>
              </w:rPr>
            </w:pPr>
            <w:r>
              <w:rPr>
                <w:b/>
                <w:sz w:val="18"/>
              </w:rPr>
              <w:t>年排放小时数</w:t>
            </w:r>
          </w:p>
          <w:p>
            <w:pPr>
              <w:pStyle w:val="TableParagraph"/>
              <w:spacing w:line="201" w:lineRule="exact" w:before="13"/>
              <w:ind w:left="208" w:right="196"/>
              <w:rPr>
                <w:rFonts w:ascii="Times New Roman"/>
                <w:b/>
                <w:sz w:val="18"/>
              </w:rPr>
            </w:pPr>
            <w:r>
              <w:rPr>
                <w:rFonts w:ascii="Times New Roman"/>
                <w:b/>
                <w:sz w:val="18"/>
              </w:rPr>
              <w:t>/h</w:t>
            </w:r>
          </w:p>
        </w:tc>
        <w:tc>
          <w:tcPr>
            <w:tcW w:w="691" w:type="dxa"/>
            <w:vMerge w:val="restart"/>
          </w:tcPr>
          <w:p>
            <w:pPr>
              <w:pStyle w:val="TableParagraph"/>
              <w:jc w:val="left"/>
              <w:rPr>
                <w:b/>
                <w:sz w:val="20"/>
              </w:rPr>
            </w:pPr>
          </w:p>
          <w:p>
            <w:pPr>
              <w:pStyle w:val="TableParagraph"/>
              <w:spacing w:line="249" w:lineRule="auto"/>
              <w:ind w:left="165" w:right="149"/>
              <w:jc w:val="left"/>
              <w:rPr>
                <w:b/>
                <w:sz w:val="18"/>
              </w:rPr>
            </w:pPr>
            <w:r>
              <w:rPr>
                <w:b/>
                <w:sz w:val="18"/>
              </w:rPr>
              <w:t>排放工况</w:t>
            </w:r>
          </w:p>
        </w:tc>
        <w:tc>
          <w:tcPr>
            <w:tcW w:w="1434" w:type="dxa"/>
            <w:gridSpan w:val="2"/>
          </w:tcPr>
          <w:p>
            <w:pPr>
              <w:pStyle w:val="TableParagraph"/>
              <w:spacing w:line="240" w:lineRule="atLeast" w:before="2"/>
              <w:ind w:left="252" w:right="162" w:hanging="77"/>
              <w:jc w:val="left"/>
              <w:rPr>
                <w:b/>
                <w:sz w:val="18"/>
              </w:rPr>
            </w:pPr>
            <w:r>
              <w:rPr>
                <w:b/>
                <w:sz w:val="18"/>
              </w:rPr>
              <w:t>污染物排放速率</w:t>
            </w:r>
            <w:r>
              <w:rPr>
                <w:rFonts w:ascii="Times New Roman" w:eastAsia="Times New Roman"/>
                <w:b/>
                <w:sz w:val="18"/>
              </w:rPr>
              <w:t>/</w:t>
            </w:r>
            <w:r>
              <w:rPr>
                <w:b/>
                <w:sz w:val="18"/>
              </w:rPr>
              <w:t>（</w:t>
            </w:r>
            <w:r>
              <w:rPr>
                <w:rFonts w:ascii="Times New Roman" w:eastAsia="Times New Roman"/>
                <w:b/>
                <w:sz w:val="18"/>
              </w:rPr>
              <w:t>kg/h</w:t>
            </w:r>
            <w:r>
              <w:rPr>
                <w:b/>
                <w:sz w:val="18"/>
              </w:rPr>
              <w:t>）</w:t>
            </w:r>
          </w:p>
        </w:tc>
      </w:tr>
      <w:tr>
        <w:trPr>
          <w:trHeight w:val="477" w:hRule="atLeast"/>
        </w:trPr>
        <w:tc>
          <w:tcPr>
            <w:tcW w:w="401" w:type="dxa"/>
            <w:vMerge/>
            <w:tcBorders>
              <w:top w:val="nil"/>
            </w:tcBorders>
          </w:tcPr>
          <w:p>
            <w:pPr>
              <w:rPr>
                <w:sz w:val="2"/>
                <w:szCs w:val="2"/>
              </w:rPr>
            </w:pPr>
          </w:p>
        </w:tc>
        <w:tc>
          <w:tcPr>
            <w:tcW w:w="1114" w:type="dxa"/>
            <w:vMerge/>
            <w:tcBorders>
              <w:top w:val="nil"/>
            </w:tcBorders>
          </w:tcPr>
          <w:p>
            <w:pPr>
              <w:rPr>
                <w:sz w:val="2"/>
                <w:szCs w:val="2"/>
              </w:rPr>
            </w:pPr>
          </w:p>
        </w:tc>
        <w:tc>
          <w:tcPr>
            <w:tcW w:w="833" w:type="dxa"/>
          </w:tcPr>
          <w:p>
            <w:pPr>
              <w:pStyle w:val="TableParagraph"/>
              <w:spacing w:before="141"/>
              <w:ind w:left="6"/>
              <w:rPr>
                <w:rFonts w:ascii="Times New Roman"/>
                <w:b/>
                <w:sz w:val="18"/>
              </w:rPr>
            </w:pPr>
            <w:r>
              <w:rPr>
                <w:rFonts w:ascii="Times New Roman"/>
                <w:b/>
                <w:w w:val="99"/>
                <w:sz w:val="18"/>
              </w:rPr>
              <w:t>X</w:t>
            </w:r>
          </w:p>
        </w:tc>
        <w:tc>
          <w:tcPr>
            <w:tcW w:w="853" w:type="dxa"/>
          </w:tcPr>
          <w:p>
            <w:pPr>
              <w:pStyle w:val="TableParagraph"/>
              <w:spacing w:before="141"/>
              <w:ind w:left="6"/>
              <w:rPr>
                <w:rFonts w:ascii="Times New Roman"/>
                <w:b/>
                <w:sz w:val="18"/>
              </w:rPr>
            </w:pPr>
            <w:r>
              <w:rPr>
                <w:rFonts w:ascii="Times New Roman"/>
                <w:b/>
                <w:w w:val="99"/>
                <w:sz w:val="18"/>
              </w:rPr>
              <w:t>Y</w:t>
            </w:r>
          </w:p>
        </w:tc>
        <w:tc>
          <w:tcPr>
            <w:tcW w:w="696" w:type="dxa"/>
            <w:vMerge/>
            <w:tcBorders>
              <w:top w:val="nil"/>
            </w:tcBorders>
          </w:tcPr>
          <w:p>
            <w:pPr>
              <w:rPr>
                <w:sz w:val="2"/>
                <w:szCs w:val="2"/>
              </w:rPr>
            </w:pPr>
          </w:p>
        </w:tc>
        <w:tc>
          <w:tcPr>
            <w:tcW w:w="643" w:type="dxa"/>
            <w:vMerge/>
            <w:tcBorders>
              <w:top w:val="nil"/>
            </w:tcBorders>
          </w:tcPr>
          <w:p>
            <w:pPr>
              <w:rPr>
                <w:sz w:val="2"/>
                <w:szCs w:val="2"/>
              </w:rPr>
            </w:pPr>
          </w:p>
        </w:tc>
        <w:tc>
          <w:tcPr>
            <w:tcW w:w="602" w:type="dxa"/>
            <w:vMerge/>
            <w:tcBorders>
              <w:top w:val="nil"/>
            </w:tcBorders>
          </w:tcPr>
          <w:p>
            <w:pPr>
              <w:rPr>
                <w:sz w:val="2"/>
                <w:szCs w:val="2"/>
              </w:rPr>
            </w:pPr>
          </w:p>
        </w:tc>
        <w:tc>
          <w:tcPr>
            <w:tcW w:w="650" w:type="dxa"/>
            <w:vMerge/>
            <w:tcBorders>
              <w:top w:val="nil"/>
            </w:tcBorders>
          </w:tcPr>
          <w:p>
            <w:pPr>
              <w:rPr>
                <w:sz w:val="2"/>
                <w:szCs w:val="2"/>
              </w:rPr>
            </w:pPr>
          </w:p>
        </w:tc>
        <w:tc>
          <w:tcPr>
            <w:tcW w:w="820" w:type="dxa"/>
            <w:vMerge/>
            <w:tcBorders>
              <w:top w:val="nil"/>
            </w:tcBorders>
          </w:tcPr>
          <w:p>
            <w:pPr>
              <w:rPr>
                <w:sz w:val="2"/>
                <w:szCs w:val="2"/>
              </w:rPr>
            </w:pPr>
          </w:p>
        </w:tc>
        <w:tc>
          <w:tcPr>
            <w:tcW w:w="606" w:type="dxa"/>
            <w:vMerge/>
            <w:tcBorders>
              <w:top w:val="nil"/>
            </w:tcBorders>
          </w:tcPr>
          <w:p>
            <w:pPr>
              <w:rPr>
                <w:sz w:val="2"/>
                <w:szCs w:val="2"/>
              </w:rPr>
            </w:pPr>
          </w:p>
        </w:tc>
        <w:tc>
          <w:tcPr>
            <w:tcW w:w="691" w:type="dxa"/>
            <w:vMerge/>
            <w:tcBorders>
              <w:top w:val="nil"/>
            </w:tcBorders>
          </w:tcPr>
          <w:p>
            <w:pPr>
              <w:rPr>
                <w:sz w:val="2"/>
                <w:szCs w:val="2"/>
              </w:rPr>
            </w:pPr>
          </w:p>
        </w:tc>
        <w:tc>
          <w:tcPr>
            <w:tcW w:w="693" w:type="dxa"/>
          </w:tcPr>
          <w:p>
            <w:pPr>
              <w:pStyle w:val="TableParagraph"/>
              <w:spacing w:before="129"/>
              <w:ind w:left="165"/>
              <w:jc w:val="left"/>
              <w:rPr>
                <w:b/>
                <w:sz w:val="18"/>
              </w:rPr>
            </w:pPr>
            <w:r>
              <w:rPr>
                <w:b/>
                <w:sz w:val="18"/>
              </w:rPr>
              <w:t>甲酸</w:t>
            </w:r>
          </w:p>
        </w:tc>
        <w:tc>
          <w:tcPr>
            <w:tcW w:w="741" w:type="dxa"/>
          </w:tcPr>
          <w:p>
            <w:pPr>
              <w:pStyle w:val="TableParagraph"/>
              <w:spacing w:line="240" w:lineRule="atLeast"/>
              <w:ind w:left="281" w:right="173" w:hanging="92"/>
              <w:jc w:val="left"/>
              <w:rPr>
                <w:b/>
                <w:sz w:val="18"/>
              </w:rPr>
            </w:pPr>
            <w:r>
              <w:rPr>
                <w:b/>
                <w:sz w:val="18"/>
              </w:rPr>
              <w:t>颗粒物</w:t>
            </w:r>
          </w:p>
        </w:tc>
      </w:tr>
      <w:tr>
        <w:trPr>
          <w:trHeight w:val="282" w:hRule="atLeast"/>
        </w:trPr>
        <w:tc>
          <w:tcPr>
            <w:tcW w:w="401" w:type="dxa"/>
          </w:tcPr>
          <w:p>
            <w:pPr>
              <w:pStyle w:val="TableParagraph"/>
              <w:spacing w:before="45"/>
              <w:ind w:left="5"/>
              <w:rPr>
                <w:rFonts w:ascii="Times New Roman"/>
                <w:sz w:val="18"/>
              </w:rPr>
            </w:pPr>
            <w:r>
              <w:rPr>
                <w:rFonts w:ascii="Times New Roman"/>
                <w:sz w:val="18"/>
              </w:rPr>
              <w:t>1</w:t>
            </w:r>
          </w:p>
        </w:tc>
        <w:tc>
          <w:tcPr>
            <w:tcW w:w="1114" w:type="dxa"/>
          </w:tcPr>
          <w:p>
            <w:pPr>
              <w:pStyle w:val="TableParagraph"/>
              <w:spacing w:line="229" w:lineRule="exact" w:before="33"/>
              <w:ind w:left="285"/>
              <w:jc w:val="left"/>
              <w:rPr>
                <w:sz w:val="18"/>
              </w:rPr>
            </w:pPr>
            <w:r>
              <w:rPr>
                <w:sz w:val="18"/>
              </w:rPr>
              <w:t>车间一</w:t>
            </w:r>
          </w:p>
        </w:tc>
        <w:tc>
          <w:tcPr>
            <w:tcW w:w="833" w:type="dxa"/>
          </w:tcPr>
          <w:p>
            <w:pPr>
              <w:pStyle w:val="TableParagraph"/>
              <w:spacing w:before="45"/>
              <w:ind w:left="125" w:right="117"/>
              <w:rPr>
                <w:rFonts w:ascii="Times New Roman"/>
                <w:sz w:val="18"/>
              </w:rPr>
            </w:pPr>
            <w:r>
              <w:rPr>
                <w:rFonts w:ascii="Times New Roman"/>
                <w:sz w:val="18"/>
              </w:rPr>
              <w:t>297576</w:t>
            </w:r>
          </w:p>
        </w:tc>
        <w:tc>
          <w:tcPr>
            <w:tcW w:w="853" w:type="dxa"/>
          </w:tcPr>
          <w:p>
            <w:pPr>
              <w:pStyle w:val="TableParagraph"/>
              <w:spacing w:before="45"/>
              <w:ind w:left="33" w:right="31"/>
              <w:rPr>
                <w:rFonts w:ascii="Times New Roman"/>
                <w:sz w:val="18"/>
              </w:rPr>
            </w:pPr>
            <w:r>
              <w:rPr>
                <w:rFonts w:ascii="Times New Roman"/>
                <w:sz w:val="18"/>
              </w:rPr>
              <w:t>3339727</w:t>
            </w:r>
          </w:p>
        </w:tc>
        <w:tc>
          <w:tcPr>
            <w:tcW w:w="696" w:type="dxa"/>
          </w:tcPr>
          <w:p>
            <w:pPr>
              <w:pStyle w:val="TableParagraph"/>
              <w:spacing w:before="45"/>
              <w:ind w:left="5"/>
              <w:rPr>
                <w:rFonts w:ascii="Times New Roman"/>
                <w:sz w:val="18"/>
              </w:rPr>
            </w:pPr>
            <w:r>
              <w:rPr>
                <w:rFonts w:ascii="Times New Roman"/>
                <w:sz w:val="18"/>
              </w:rPr>
              <w:t>4</w:t>
            </w:r>
          </w:p>
        </w:tc>
        <w:tc>
          <w:tcPr>
            <w:tcW w:w="643" w:type="dxa"/>
          </w:tcPr>
          <w:p>
            <w:pPr>
              <w:pStyle w:val="TableParagraph"/>
              <w:spacing w:before="45"/>
              <w:ind w:left="135" w:right="128"/>
              <w:rPr>
                <w:rFonts w:ascii="Times New Roman"/>
                <w:sz w:val="18"/>
              </w:rPr>
            </w:pPr>
            <w:r>
              <w:rPr>
                <w:rFonts w:ascii="Times New Roman"/>
                <w:sz w:val="18"/>
              </w:rPr>
              <w:t>29</w:t>
            </w:r>
          </w:p>
        </w:tc>
        <w:tc>
          <w:tcPr>
            <w:tcW w:w="602" w:type="dxa"/>
          </w:tcPr>
          <w:p>
            <w:pPr>
              <w:pStyle w:val="TableParagraph"/>
              <w:spacing w:before="45"/>
              <w:ind w:left="99" w:right="89"/>
              <w:rPr>
                <w:rFonts w:ascii="Times New Roman"/>
                <w:sz w:val="18"/>
              </w:rPr>
            </w:pPr>
            <w:r>
              <w:rPr>
                <w:rFonts w:ascii="Times New Roman"/>
                <w:sz w:val="18"/>
              </w:rPr>
              <w:t>11</w:t>
            </w:r>
          </w:p>
        </w:tc>
        <w:tc>
          <w:tcPr>
            <w:tcW w:w="650" w:type="dxa"/>
          </w:tcPr>
          <w:p>
            <w:pPr>
              <w:pStyle w:val="TableParagraph"/>
              <w:spacing w:before="45"/>
              <w:ind w:left="36" w:right="28"/>
              <w:rPr>
                <w:rFonts w:ascii="Times New Roman"/>
                <w:sz w:val="18"/>
              </w:rPr>
            </w:pPr>
            <w:r>
              <w:rPr>
                <w:rFonts w:ascii="Times New Roman"/>
                <w:sz w:val="18"/>
              </w:rPr>
              <w:t>-5</w:t>
            </w:r>
          </w:p>
        </w:tc>
        <w:tc>
          <w:tcPr>
            <w:tcW w:w="820" w:type="dxa"/>
          </w:tcPr>
          <w:p>
            <w:pPr>
              <w:pStyle w:val="TableParagraph"/>
              <w:spacing w:before="45"/>
              <w:ind w:left="300" w:right="290"/>
              <w:rPr>
                <w:rFonts w:ascii="Times New Roman"/>
                <w:sz w:val="18"/>
              </w:rPr>
            </w:pPr>
            <w:r>
              <w:rPr>
                <w:rFonts w:ascii="Times New Roman"/>
                <w:sz w:val="18"/>
              </w:rPr>
              <w:t>14</w:t>
            </w:r>
          </w:p>
        </w:tc>
        <w:tc>
          <w:tcPr>
            <w:tcW w:w="606" w:type="dxa"/>
          </w:tcPr>
          <w:p>
            <w:pPr>
              <w:pStyle w:val="TableParagraph"/>
              <w:spacing w:before="45"/>
              <w:ind w:left="123"/>
              <w:jc w:val="left"/>
              <w:rPr>
                <w:rFonts w:ascii="Times New Roman"/>
                <w:sz w:val="18"/>
              </w:rPr>
            </w:pPr>
            <w:r>
              <w:rPr>
                <w:rFonts w:ascii="Times New Roman"/>
                <w:sz w:val="18"/>
              </w:rPr>
              <w:t>7200</w:t>
            </w:r>
          </w:p>
        </w:tc>
        <w:tc>
          <w:tcPr>
            <w:tcW w:w="691" w:type="dxa"/>
          </w:tcPr>
          <w:p>
            <w:pPr>
              <w:pStyle w:val="TableParagraph"/>
              <w:spacing w:line="229" w:lineRule="exact" w:before="33"/>
              <w:ind w:left="165"/>
              <w:jc w:val="left"/>
              <w:rPr>
                <w:sz w:val="18"/>
              </w:rPr>
            </w:pPr>
            <w:r>
              <w:rPr>
                <w:sz w:val="18"/>
              </w:rPr>
              <w:t>正常</w:t>
            </w:r>
          </w:p>
        </w:tc>
        <w:tc>
          <w:tcPr>
            <w:tcW w:w="693" w:type="dxa"/>
          </w:tcPr>
          <w:p>
            <w:pPr>
              <w:pStyle w:val="TableParagraph"/>
              <w:spacing w:before="45"/>
              <w:ind w:left="144"/>
              <w:jc w:val="left"/>
              <w:rPr>
                <w:rFonts w:ascii="Times New Roman"/>
                <w:sz w:val="18"/>
              </w:rPr>
            </w:pPr>
            <w:r>
              <w:rPr>
                <w:rFonts w:ascii="Times New Roman"/>
                <w:sz w:val="18"/>
              </w:rPr>
              <w:t>0.013</w:t>
            </w:r>
          </w:p>
        </w:tc>
        <w:tc>
          <w:tcPr>
            <w:tcW w:w="741" w:type="dxa"/>
          </w:tcPr>
          <w:p>
            <w:pPr>
              <w:pStyle w:val="TableParagraph"/>
              <w:spacing w:before="45"/>
              <w:ind w:left="168"/>
              <w:jc w:val="left"/>
              <w:rPr>
                <w:rFonts w:ascii="Times New Roman"/>
                <w:sz w:val="18"/>
              </w:rPr>
            </w:pPr>
            <w:r>
              <w:rPr>
                <w:rFonts w:ascii="Times New Roman"/>
                <w:sz w:val="18"/>
              </w:rPr>
              <w:t>0.085</w:t>
            </w:r>
          </w:p>
        </w:tc>
      </w:tr>
    </w:tbl>
    <w:p>
      <w:pPr>
        <w:tabs>
          <w:tab w:pos="1228" w:val="left" w:leader="none"/>
        </w:tabs>
        <w:spacing w:before="144" w:after="28"/>
        <w:ind w:left="6" w:right="0" w:firstLine="0"/>
        <w:jc w:val="center"/>
        <w:rPr>
          <w:b/>
          <w:sz w:val="24"/>
        </w:rPr>
      </w:pPr>
      <w:r>
        <w:rPr>
          <w:b/>
          <w:sz w:val="24"/>
        </w:rPr>
        <w:t>表</w:t>
      </w:r>
      <w:r>
        <w:rPr>
          <w:b/>
          <w:spacing w:val="-60"/>
          <w:sz w:val="24"/>
        </w:rPr>
        <w:t> </w:t>
      </w:r>
      <w:r>
        <w:rPr>
          <w:rFonts w:ascii="Times New Roman" w:eastAsia="Times New Roman"/>
          <w:b/>
          <w:sz w:val="24"/>
        </w:rPr>
        <w:t>7.2.1-8</w:t>
        <w:tab/>
      </w:r>
      <w:r>
        <w:rPr>
          <w:b/>
          <w:sz w:val="24"/>
        </w:rPr>
        <w:t>非正常排放参数表</w:t>
      </w: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3"/>
        <w:gridCol w:w="1988"/>
        <w:gridCol w:w="1277"/>
        <w:gridCol w:w="1702"/>
        <w:gridCol w:w="1702"/>
        <w:gridCol w:w="1015"/>
      </w:tblGrid>
      <w:tr>
        <w:trPr>
          <w:trHeight w:val="544" w:hRule="atLeast"/>
        </w:trPr>
        <w:tc>
          <w:tcPr>
            <w:tcW w:w="1663" w:type="dxa"/>
          </w:tcPr>
          <w:p>
            <w:pPr>
              <w:pStyle w:val="TableParagraph"/>
              <w:spacing w:before="137"/>
              <w:ind w:left="199"/>
              <w:jc w:val="left"/>
              <w:rPr>
                <w:b/>
                <w:sz w:val="21"/>
              </w:rPr>
            </w:pPr>
            <w:r>
              <w:rPr>
                <w:b/>
                <w:sz w:val="21"/>
              </w:rPr>
              <w:t>非正常排放源</w:t>
            </w:r>
          </w:p>
        </w:tc>
        <w:tc>
          <w:tcPr>
            <w:tcW w:w="1988" w:type="dxa"/>
          </w:tcPr>
          <w:p>
            <w:pPr>
              <w:pStyle w:val="TableParagraph"/>
              <w:spacing w:before="137"/>
              <w:ind w:left="254"/>
              <w:jc w:val="left"/>
              <w:rPr>
                <w:b/>
                <w:sz w:val="21"/>
              </w:rPr>
            </w:pPr>
            <w:r>
              <w:rPr>
                <w:b/>
                <w:sz w:val="21"/>
              </w:rPr>
              <w:t>非正常排放原因</w:t>
            </w:r>
          </w:p>
        </w:tc>
        <w:tc>
          <w:tcPr>
            <w:tcW w:w="1277" w:type="dxa"/>
          </w:tcPr>
          <w:p>
            <w:pPr>
              <w:pStyle w:val="TableParagraph"/>
              <w:spacing w:before="137"/>
              <w:ind w:left="11" w:right="2"/>
              <w:rPr>
                <w:b/>
                <w:sz w:val="21"/>
              </w:rPr>
            </w:pPr>
            <w:r>
              <w:rPr>
                <w:b/>
                <w:sz w:val="21"/>
              </w:rPr>
              <w:t>污染物</w:t>
            </w:r>
          </w:p>
        </w:tc>
        <w:tc>
          <w:tcPr>
            <w:tcW w:w="1702" w:type="dxa"/>
          </w:tcPr>
          <w:p>
            <w:pPr>
              <w:pStyle w:val="TableParagraph"/>
              <w:spacing w:before="1"/>
              <w:ind w:left="11"/>
              <w:rPr>
                <w:b/>
                <w:sz w:val="21"/>
              </w:rPr>
            </w:pPr>
            <w:r>
              <w:rPr>
                <w:b/>
                <w:sz w:val="21"/>
              </w:rPr>
              <w:t>非正常排放速率</w:t>
            </w:r>
          </w:p>
          <w:p>
            <w:pPr>
              <w:pStyle w:val="TableParagraph"/>
              <w:spacing w:line="250" w:lineRule="exact" w:before="4"/>
              <w:ind w:left="11"/>
              <w:rPr>
                <w:b/>
                <w:sz w:val="21"/>
              </w:rPr>
            </w:pPr>
            <w:r>
              <w:rPr>
                <w:rFonts w:ascii="Times New Roman" w:eastAsia="Times New Roman"/>
                <w:b/>
                <w:sz w:val="21"/>
              </w:rPr>
              <w:t>/</w:t>
            </w:r>
            <w:r>
              <w:rPr>
                <w:b/>
                <w:sz w:val="21"/>
              </w:rPr>
              <w:t>（</w:t>
            </w:r>
            <w:r>
              <w:rPr>
                <w:rFonts w:ascii="Times New Roman" w:eastAsia="Times New Roman"/>
                <w:b/>
                <w:sz w:val="21"/>
              </w:rPr>
              <w:t>kg/h</w:t>
            </w:r>
            <w:r>
              <w:rPr>
                <w:b/>
                <w:sz w:val="21"/>
              </w:rPr>
              <w:t>）</w:t>
            </w:r>
          </w:p>
        </w:tc>
        <w:tc>
          <w:tcPr>
            <w:tcW w:w="1702" w:type="dxa"/>
          </w:tcPr>
          <w:p>
            <w:pPr>
              <w:pStyle w:val="TableParagraph"/>
              <w:spacing w:before="137"/>
              <w:ind w:left="7"/>
              <w:rPr>
                <w:rFonts w:ascii="Times New Roman" w:eastAsia="Times New Roman"/>
                <w:b/>
                <w:sz w:val="21"/>
              </w:rPr>
            </w:pPr>
            <w:r>
              <w:rPr>
                <w:b/>
                <w:sz w:val="21"/>
              </w:rPr>
              <w:t>单次持续时间</w:t>
            </w:r>
            <w:r>
              <w:rPr>
                <w:rFonts w:ascii="Times New Roman" w:eastAsia="Times New Roman"/>
                <w:b/>
                <w:sz w:val="21"/>
              </w:rPr>
              <w:t>/h</w:t>
            </w:r>
          </w:p>
        </w:tc>
        <w:tc>
          <w:tcPr>
            <w:tcW w:w="1015" w:type="dxa"/>
          </w:tcPr>
          <w:p>
            <w:pPr>
              <w:pStyle w:val="TableParagraph"/>
              <w:spacing w:before="1"/>
              <w:ind w:left="189"/>
              <w:jc w:val="left"/>
              <w:rPr>
                <w:b/>
                <w:sz w:val="21"/>
              </w:rPr>
            </w:pPr>
            <w:r>
              <w:rPr>
                <w:b/>
                <w:sz w:val="21"/>
              </w:rPr>
              <w:t>年发生</w:t>
            </w:r>
          </w:p>
          <w:p>
            <w:pPr>
              <w:pStyle w:val="TableParagraph"/>
              <w:spacing w:line="250" w:lineRule="exact" w:before="4"/>
              <w:ind w:left="160"/>
              <w:jc w:val="left"/>
              <w:rPr>
                <w:b/>
                <w:sz w:val="21"/>
              </w:rPr>
            </w:pPr>
            <w:r>
              <w:rPr>
                <w:b/>
                <w:sz w:val="21"/>
              </w:rPr>
              <w:t>频次</w:t>
            </w:r>
            <w:r>
              <w:rPr>
                <w:rFonts w:ascii="Times New Roman" w:eastAsia="Times New Roman"/>
                <w:b/>
                <w:spacing w:val="-4"/>
                <w:sz w:val="21"/>
              </w:rPr>
              <w:t>/</w:t>
            </w:r>
            <w:r>
              <w:rPr>
                <w:b/>
                <w:sz w:val="21"/>
              </w:rPr>
              <w:t>次</w:t>
            </w:r>
          </w:p>
        </w:tc>
      </w:tr>
      <w:tr>
        <w:trPr>
          <w:trHeight w:val="285" w:hRule="atLeast"/>
        </w:trPr>
        <w:tc>
          <w:tcPr>
            <w:tcW w:w="1663" w:type="dxa"/>
            <w:vMerge w:val="restart"/>
          </w:tcPr>
          <w:p>
            <w:pPr>
              <w:pStyle w:val="TableParagraph"/>
              <w:spacing w:before="154"/>
              <w:ind w:left="179"/>
              <w:jc w:val="left"/>
              <w:rPr>
                <w:sz w:val="21"/>
              </w:rPr>
            </w:pPr>
            <w:r>
              <w:rPr>
                <w:rFonts w:ascii="Times New Roman" w:eastAsia="Times New Roman"/>
                <w:sz w:val="21"/>
              </w:rPr>
              <w:t>DA004 </w:t>
            </w:r>
            <w:r>
              <w:rPr>
                <w:sz w:val="21"/>
              </w:rPr>
              <w:t>排气筒</w:t>
            </w:r>
          </w:p>
        </w:tc>
        <w:tc>
          <w:tcPr>
            <w:tcW w:w="1988" w:type="dxa"/>
            <w:vMerge w:val="restart"/>
          </w:tcPr>
          <w:p>
            <w:pPr>
              <w:pStyle w:val="TableParagraph"/>
              <w:spacing w:before="154"/>
              <w:ind w:left="153"/>
              <w:jc w:val="left"/>
              <w:rPr>
                <w:sz w:val="21"/>
              </w:rPr>
            </w:pPr>
            <w:r>
              <w:rPr>
                <w:sz w:val="21"/>
              </w:rPr>
              <w:t>废气处理装置故障</w:t>
            </w:r>
          </w:p>
        </w:tc>
        <w:tc>
          <w:tcPr>
            <w:tcW w:w="1277" w:type="dxa"/>
          </w:tcPr>
          <w:p>
            <w:pPr>
              <w:pStyle w:val="TableParagraph"/>
              <w:spacing w:line="244" w:lineRule="exact" w:before="21"/>
              <w:ind w:left="10" w:right="4"/>
              <w:rPr>
                <w:rFonts w:ascii="Times New Roman"/>
                <w:sz w:val="14"/>
              </w:rPr>
            </w:pPr>
            <w:r>
              <w:rPr>
                <w:rFonts w:ascii="Times New Roman"/>
                <w:position w:val="2"/>
                <w:sz w:val="21"/>
              </w:rPr>
              <w:t>PM</w:t>
            </w:r>
            <w:r>
              <w:rPr>
                <w:rFonts w:ascii="Times New Roman"/>
                <w:sz w:val="14"/>
              </w:rPr>
              <w:t>10</w:t>
            </w:r>
          </w:p>
        </w:tc>
        <w:tc>
          <w:tcPr>
            <w:tcW w:w="1702" w:type="dxa"/>
          </w:tcPr>
          <w:p>
            <w:pPr>
              <w:pStyle w:val="TableParagraph"/>
              <w:spacing w:before="22"/>
              <w:ind w:left="11"/>
              <w:rPr>
                <w:rFonts w:ascii="Times New Roman"/>
                <w:sz w:val="21"/>
              </w:rPr>
            </w:pPr>
            <w:r>
              <w:rPr>
                <w:rFonts w:ascii="Times New Roman"/>
                <w:sz w:val="21"/>
              </w:rPr>
              <w:t>0.766</w:t>
            </w:r>
          </w:p>
        </w:tc>
        <w:tc>
          <w:tcPr>
            <w:tcW w:w="1702" w:type="dxa"/>
          </w:tcPr>
          <w:p>
            <w:pPr>
              <w:pStyle w:val="TableParagraph"/>
              <w:spacing w:before="22"/>
              <w:ind w:left="6"/>
              <w:rPr>
                <w:rFonts w:ascii="Times New Roman"/>
                <w:sz w:val="21"/>
              </w:rPr>
            </w:pPr>
            <w:r>
              <w:rPr>
                <w:rFonts w:ascii="Times New Roman"/>
                <w:w w:val="100"/>
                <w:sz w:val="21"/>
              </w:rPr>
              <w:t>1</w:t>
            </w:r>
          </w:p>
        </w:tc>
        <w:tc>
          <w:tcPr>
            <w:tcW w:w="1015" w:type="dxa"/>
          </w:tcPr>
          <w:p>
            <w:pPr>
              <w:pStyle w:val="TableParagraph"/>
              <w:spacing w:before="22"/>
              <w:ind w:left="7"/>
              <w:rPr>
                <w:rFonts w:ascii="Times New Roman"/>
                <w:sz w:val="21"/>
              </w:rPr>
            </w:pPr>
            <w:r>
              <w:rPr>
                <w:rFonts w:ascii="Times New Roman"/>
                <w:w w:val="100"/>
                <w:sz w:val="21"/>
              </w:rPr>
              <w:t>1</w:t>
            </w:r>
          </w:p>
        </w:tc>
      </w:tr>
      <w:tr>
        <w:trPr>
          <w:trHeight w:val="282" w:hRule="atLeast"/>
        </w:trPr>
        <w:tc>
          <w:tcPr>
            <w:tcW w:w="1663" w:type="dxa"/>
            <w:vMerge/>
            <w:tcBorders>
              <w:top w:val="nil"/>
            </w:tcBorders>
          </w:tcPr>
          <w:p>
            <w:pPr>
              <w:rPr>
                <w:sz w:val="2"/>
                <w:szCs w:val="2"/>
              </w:rPr>
            </w:pPr>
          </w:p>
        </w:tc>
        <w:tc>
          <w:tcPr>
            <w:tcW w:w="1988" w:type="dxa"/>
            <w:vMerge/>
            <w:tcBorders>
              <w:top w:val="nil"/>
            </w:tcBorders>
          </w:tcPr>
          <w:p>
            <w:pPr>
              <w:rPr>
                <w:sz w:val="2"/>
                <w:szCs w:val="2"/>
              </w:rPr>
            </w:pPr>
          </w:p>
        </w:tc>
        <w:tc>
          <w:tcPr>
            <w:tcW w:w="1277" w:type="dxa"/>
          </w:tcPr>
          <w:p>
            <w:pPr>
              <w:pStyle w:val="TableParagraph"/>
              <w:spacing w:line="257" w:lineRule="exact" w:before="6"/>
              <w:ind w:left="11" w:right="2"/>
              <w:rPr>
                <w:sz w:val="21"/>
              </w:rPr>
            </w:pPr>
            <w:r>
              <w:rPr>
                <w:sz w:val="21"/>
              </w:rPr>
              <w:t>甲酸</w:t>
            </w:r>
          </w:p>
        </w:tc>
        <w:tc>
          <w:tcPr>
            <w:tcW w:w="1702" w:type="dxa"/>
          </w:tcPr>
          <w:p>
            <w:pPr>
              <w:pStyle w:val="TableParagraph"/>
              <w:spacing w:before="19"/>
              <w:ind w:left="11"/>
              <w:rPr>
                <w:rFonts w:ascii="Times New Roman"/>
                <w:sz w:val="21"/>
              </w:rPr>
            </w:pPr>
            <w:r>
              <w:rPr>
                <w:rFonts w:ascii="Times New Roman"/>
                <w:sz w:val="21"/>
              </w:rPr>
              <w:t>1.2</w:t>
            </w:r>
          </w:p>
        </w:tc>
        <w:tc>
          <w:tcPr>
            <w:tcW w:w="1702" w:type="dxa"/>
          </w:tcPr>
          <w:p>
            <w:pPr>
              <w:pStyle w:val="TableParagraph"/>
              <w:spacing w:before="19"/>
              <w:ind w:left="6"/>
              <w:rPr>
                <w:rFonts w:ascii="Times New Roman"/>
                <w:sz w:val="21"/>
              </w:rPr>
            </w:pPr>
            <w:r>
              <w:rPr>
                <w:rFonts w:ascii="Times New Roman"/>
                <w:w w:val="100"/>
                <w:sz w:val="21"/>
              </w:rPr>
              <w:t>1</w:t>
            </w:r>
          </w:p>
        </w:tc>
        <w:tc>
          <w:tcPr>
            <w:tcW w:w="1015" w:type="dxa"/>
          </w:tcPr>
          <w:p>
            <w:pPr>
              <w:pStyle w:val="TableParagraph"/>
              <w:spacing w:before="19"/>
              <w:ind w:left="7"/>
              <w:rPr>
                <w:rFonts w:ascii="Times New Roman"/>
                <w:sz w:val="21"/>
              </w:rPr>
            </w:pPr>
            <w:r>
              <w:rPr>
                <w:rFonts w:ascii="Times New Roman"/>
                <w:w w:val="100"/>
                <w:sz w:val="21"/>
              </w:rPr>
              <w:t>1</w:t>
            </w:r>
          </w:p>
        </w:tc>
      </w:tr>
    </w:tbl>
    <w:p>
      <w:pPr>
        <w:spacing w:before="1"/>
        <w:ind w:left="231" w:right="0" w:firstLine="0"/>
        <w:jc w:val="both"/>
        <w:rPr>
          <w:rFonts w:ascii="Times New Roman" w:eastAsia="Times New Roman"/>
          <w:b/>
          <w:sz w:val="21"/>
        </w:rPr>
      </w:pPr>
      <w:r>
        <w:rPr>
          <w:b/>
          <w:sz w:val="21"/>
        </w:rPr>
        <w:t>注：布袋除尘或集中处理装置故障，处理效率下降至 </w:t>
      </w:r>
      <w:r>
        <w:rPr>
          <w:rFonts w:ascii="Times New Roman" w:eastAsia="Times New Roman"/>
          <w:b/>
          <w:sz w:val="21"/>
        </w:rPr>
        <w:t>50%</w:t>
      </w:r>
    </w:p>
    <w:p>
      <w:pPr>
        <w:pStyle w:val="BodyText"/>
        <w:spacing w:line="364" w:lineRule="auto" w:before="143"/>
        <w:ind w:left="231" w:right="224" w:firstLine="479"/>
        <w:jc w:val="both"/>
      </w:pPr>
      <w:r>
        <w:rPr/>
        <w:t>根据调查，评价范围内已批未建同类废气污染源为浙江皇马新材料科技有限公司、永农生物科学有限公司、浙江春晖固废处理有限公司、昶和纤维（绍兴）有限公司，拟建、在建污染源详见表 </w:t>
      </w:r>
      <w:r>
        <w:rPr>
          <w:rFonts w:ascii="Times New Roman" w:eastAsia="Times New Roman"/>
        </w:rPr>
        <w:t>7.2.1-9~10</w:t>
      </w:r>
      <w:r>
        <w:rPr/>
        <w:t>。</w:t>
      </w:r>
    </w:p>
    <w:p>
      <w:pPr>
        <w:pStyle w:val="Heading4"/>
        <w:spacing w:before="139" w:after="28"/>
        <w:ind w:left="2077"/>
        <w:jc w:val="both"/>
      </w:pPr>
      <w:r>
        <w:rPr/>
        <w:t>表 </w:t>
      </w:r>
      <w:r>
        <w:rPr>
          <w:rFonts w:ascii="Times New Roman" w:eastAsia="Times New Roman"/>
        </w:rPr>
        <w:t>7.2.1-9  </w:t>
      </w:r>
      <w:r>
        <w:rPr/>
        <w:t>区域拟建、在建污染源点源参数一览表</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620"/>
        <w:gridCol w:w="850"/>
        <w:gridCol w:w="852"/>
        <w:gridCol w:w="754"/>
        <w:gridCol w:w="618"/>
        <w:gridCol w:w="613"/>
        <w:gridCol w:w="733"/>
        <w:gridCol w:w="654"/>
        <w:gridCol w:w="601"/>
        <w:gridCol w:w="570"/>
        <w:gridCol w:w="963"/>
      </w:tblGrid>
      <w:tr>
        <w:trPr>
          <w:trHeight w:val="786" w:hRule="atLeast"/>
        </w:trPr>
        <w:tc>
          <w:tcPr>
            <w:tcW w:w="509" w:type="dxa"/>
            <w:vMerge w:val="restart"/>
          </w:tcPr>
          <w:p>
            <w:pPr>
              <w:pStyle w:val="TableParagraph"/>
              <w:spacing w:before="5"/>
              <w:jc w:val="left"/>
              <w:rPr>
                <w:b/>
                <w:sz w:val="21"/>
              </w:rPr>
            </w:pPr>
          </w:p>
          <w:p>
            <w:pPr>
              <w:pStyle w:val="TableParagraph"/>
              <w:spacing w:line="242" w:lineRule="auto"/>
              <w:ind w:left="148" w:right="137"/>
              <w:jc w:val="left"/>
              <w:rPr>
                <w:b/>
                <w:sz w:val="21"/>
              </w:rPr>
            </w:pPr>
            <w:r>
              <w:rPr>
                <w:b/>
                <w:sz w:val="21"/>
              </w:rPr>
              <w:t>编号</w:t>
            </w:r>
          </w:p>
        </w:tc>
        <w:tc>
          <w:tcPr>
            <w:tcW w:w="1620" w:type="dxa"/>
            <w:vMerge w:val="restart"/>
          </w:tcPr>
          <w:p>
            <w:pPr>
              <w:pStyle w:val="TableParagraph"/>
              <w:jc w:val="left"/>
              <w:rPr>
                <w:b/>
                <w:sz w:val="20"/>
              </w:rPr>
            </w:pPr>
          </w:p>
          <w:p>
            <w:pPr>
              <w:pStyle w:val="TableParagraph"/>
              <w:spacing w:before="152"/>
              <w:ind w:left="56" w:right="50"/>
              <w:rPr>
                <w:b/>
                <w:sz w:val="21"/>
              </w:rPr>
            </w:pPr>
            <w:r>
              <w:rPr>
                <w:b/>
                <w:sz w:val="21"/>
              </w:rPr>
              <w:t>名称</w:t>
            </w:r>
          </w:p>
        </w:tc>
        <w:tc>
          <w:tcPr>
            <w:tcW w:w="1702" w:type="dxa"/>
            <w:gridSpan w:val="2"/>
          </w:tcPr>
          <w:p>
            <w:pPr>
              <w:pStyle w:val="TableParagraph"/>
              <w:spacing w:line="242" w:lineRule="auto" w:before="123"/>
              <w:ind w:left="520" w:right="101" w:hanging="411"/>
              <w:jc w:val="left"/>
              <w:rPr>
                <w:rFonts w:ascii="Times New Roman" w:eastAsia="Times New Roman"/>
                <w:b/>
                <w:sz w:val="21"/>
              </w:rPr>
            </w:pPr>
            <w:r>
              <w:rPr>
                <w:b/>
                <w:sz w:val="21"/>
              </w:rPr>
              <w:t>排气筒底部中心坐标</w:t>
            </w:r>
            <w:r>
              <w:rPr>
                <w:rFonts w:ascii="Times New Roman" w:eastAsia="Times New Roman"/>
                <w:b/>
                <w:sz w:val="21"/>
              </w:rPr>
              <w:t>/m</w:t>
            </w:r>
          </w:p>
        </w:tc>
        <w:tc>
          <w:tcPr>
            <w:tcW w:w="754" w:type="dxa"/>
            <w:vMerge w:val="restart"/>
          </w:tcPr>
          <w:p>
            <w:pPr>
              <w:pStyle w:val="TableParagraph"/>
              <w:spacing w:line="242" w:lineRule="auto" w:before="18"/>
              <w:ind w:left="57" w:right="51"/>
              <w:jc w:val="both"/>
              <w:rPr>
                <w:b/>
                <w:sz w:val="21"/>
              </w:rPr>
            </w:pPr>
            <w:r>
              <w:rPr>
                <w:b/>
                <w:sz w:val="21"/>
              </w:rPr>
              <w:t>排气筒底部海拔高度</w:t>
            </w:r>
          </w:p>
          <w:p>
            <w:pPr>
              <w:pStyle w:val="TableParagraph"/>
              <w:spacing w:line="236" w:lineRule="exact"/>
              <w:ind w:left="40" w:right="34"/>
              <w:rPr>
                <w:rFonts w:ascii="Times New Roman"/>
                <w:b/>
                <w:sz w:val="21"/>
              </w:rPr>
            </w:pPr>
            <w:r>
              <w:rPr>
                <w:rFonts w:ascii="Times New Roman"/>
                <w:b/>
                <w:sz w:val="21"/>
              </w:rPr>
              <w:t>/m</w:t>
            </w:r>
          </w:p>
        </w:tc>
        <w:tc>
          <w:tcPr>
            <w:tcW w:w="618" w:type="dxa"/>
            <w:vMerge w:val="restart"/>
          </w:tcPr>
          <w:p>
            <w:pPr>
              <w:pStyle w:val="TableParagraph"/>
              <w:spacing w:line="242" w:lineRule="auto" w:before="138"/>
              <w:ind w:left="85" w:right="79" w:firstLine="12"/>
              <w:jc w:val="both"/>
              <w:rPr>
                <w:rFonts w:ascii="Times New Roman" w:eastAsia="Times New Roman"/>
                <w:b/>
                <w:sz w:val="21"/>
              </w:rPr>
            </w:pPr>
            <w:r>
              <w:rPr>
                <w:b/>
                <w:spacing w:val="-6"/>
                <w:sz w:val="21"/>
              </w:rPr>
              <w:t>排气</w:t>
            </w:r>
            <w:r>
              <w:rPr>
                <w:b/>
                <w:sz w:val="21"/>
              </w:rPr>
              <w:t>筒高度</w:t>
            </w:r>
            <w:r>
              <w:rPr>
                <w:rFonts w:ascii="Times New Roman" w:eastAsia="Times New Roman"/>
                <w:b/>
                <w:spacing w:val="-12"/>
                <w:sz w:val="21"/>
              </w:rPr>
              <w:t>/m</w:t>
            </w:r>
          </w:p>
        </w:tc>
        <w:tc>
          <w:tcPr>
            <w:tcW w:w="613" w:type="dxa"/>
            <w:vMerge w:val="restart"/>
          </w:tcPr>
          <w:p>
            <w:pPr>
              <w:pStyle w:val="TableParagraph"/>
              <w:spacing w:line="244" w:lineRule="auto" w:before="152"/>
              <w:ind w:left="92" w:right="86"/>
              <w:jc w:val="left"/>
              <w:rPr>
                <w:b/>
                <w:sz w:val="21"/>
              </w:rPr>
            </w:pPr>
            <w:r>
              <w:rPr>
                <w:b/>
                <w:spacing w:val="-9"/>
                <w:sz w:val="21"/>
              </w:rPr>
              <w:t>烟气温度</w:t>
            </w:r>
          </w:p>
          <w:p>
            <w:pPr>
              <w:pStyle w:val="TableParagraph"/>
              <w:spacing w:line="237" w:lineRule="exact"/>
              <w:ind w:left="192"/>
              <w:jc w:val="left"/>
              <w:rPr>
                <w:rFonts w:ascii="Times New Roman"/>
                <w:b/>
                <w:sz w:val="21"/>
              </w:rPr>
            </w:pPr>
            <w:r>
              <w:rPr>
                <w:rFonts w:ascii="Times New Roman"/>
                <w:b/>
                <w:sz w:val="21"/>
              </w:rPr>
              <w:t>/K</w:t>
            </w:r>
          </w:p>
        </w:tc>
        <w:tc>
          <w:tcPr>
            <w:tcW w:w="733" w:type="dxa"/>
            <w:vMerge w:val="restart"/>
          </w:tcPr>
          <w:p>
            <w:pPr>
              <w:pStyle w:val="TableParagraph"/>
              <w:spacing w:before="152"/>
              <w:ind w:left="151" w:right="145"/>
              <w:jc w:val="both"/>
              <w:rPr>
                <w:rFonts w:ascii="Times New Roman" w:eastAsia="Times New Roman"/>
                <w:b/>
                <w:sz w:val="21"/>
              </w:rPr>
            </w:pPr>
            <w:r>
              <w:rPr>
                <w:b/>
                <w:sz w:val="21"/>
              </w:rPr>
              <w:t>烟气流速</w:t>
            </w:r>
            <w:r>
              <w:rPr>
                <w:rFonts w:ascii="Times New Roman" w:eastAsia="Times New Roman"/>
                <w:b/>
                <w:sz w:val="21"/>
              </w:rPr>
              <w:t>m</w:t>
            </w:r>
            <w:r>
              <w:rPr>
                <w:rFonts w:ascii="Times New Roman" w:eastAsia="Times New Roman"/>
                <w:b/>
                <w:position w:val="7"/>
                <w:sz w:val="14"/>
              </w:rPr>
              <w:t>3</w:t>
            </w:r>
            <w:r>
              <w:rPr>
                <w:rFonts w:ascii="Times New Roman" w:eastAsia="Times New Roman"/>
                <w:b/>
                <w:sz w:val="21"/>
              </w:rPr>
              <w:t>/h</w:t>
            </w:r>
          </w:p>
        </w:tc>
        <w:tc>
          <w:tcPr>
            <w:tcW w:w="654" w:type="dxa"/>
            <w:vMerge w:val="restart"/>
          </w:tcPr>
          <w:p>
            <w:pPr>
              <w:pStyle w:val="TableParagraph"/>
              <w:spacing w:line="242" w:lineRule="auto" w:before="1"/>
              <w:ind w:left="111" w:right="107"/>
              <w:jc w:val="both"/>
              <w:rPr>
                <w:b/>
                <w:sz w:val="21"/>
              </w:rPr>
            </w:pPr>
            <w:r>
              <w:rPr>
                <w:b/>
                <w:spacing w:val="-9"/>
                <w:sz w:val="21"/>
              </w:rPr>
              <w:t>排气筒出口内</w:t>
            </w:r>
          </w:p>
          <w:p>
            <w:pPr>
              <w:pStyle w:val="TableParagraph"/>
              <w:spacing w:line="250" w:lineRule="exact" w:before="3"/>
              <w:ind w:left="102"/>
              <w:jc w:val="left"/>
              <w:rPr>
                <w:rFonts w:ascii="Times New Roman" w:eastAsia="Times New Roman"/>
                <w:b/>
                <w:sz w:val="21"/>
              </w:rPr>
            </w:pPr>
            <w:r>
              <w:rPr>
                <w:b/>
                <w:sz w:val="21"/>
              </w:rPr>
              <w:t>径</w:t>
            </w:r>
            <w:r>
              <w:rPr>
                <w:rFonts w:ascii="Times New Roman" w:eastAsia="Times New Roman"/>
                <w:b/>
                <w:spacing w:val="-4"/>
                <w:sz w:val="21"/>
              </w:rPr>
              <w:t>/m</w:t>
            </w:r>
          </w:p>
        </w:tc>
        <w:tc>
          <w:tcPr>
            <w:tcW w:w="601" w:type="dxa"/>
            <w:vMerge w:val="restart"/>
          </w:tcPr>
          <w:p>
            <w:pPr>
              <w:pStyle w:val="TableParagraph"/>
              <w:spacing w:line="242" w:lineRule="auto" w:before="18"/>
              <w:ind w:left="84" w:right="82"/>
              <w:jc w:val="both"/>
              <w:rPr>
                <w:b/>
                <w:sz w:val="21"/>
              </w:rPr>
            </w:pPr>
            <w:r>
              <w:rPr>
                <w:b/>
                <w:sz w:val="21"/>
              </w:rPr>
              <w:t>年排放小时数</w:t>
            </w:r>
          </w:p>
          <w:p>
            <w:pPr>
              <w:pStyle w:val="TableParagraph"/>
              <w:spacing w:line="236" w:lineRule="exact"/>
              <w:ind w:left="63" w:right="65"/>
              <w:rPr>
                <w:rFonts w:ascii="Times New Roman"/>
                <w:b/>
                <w:sz w:val="21"/>
              </w:rPr>
            </w:pPr>
            <w:r>
              <w:rPr>
                <w:rFonts w:ascii="Times New Roman"/>
                <w:b/>
                <w:sz w:val="21"/>
              </w:rPr>
              <w:t>/h</w:t>
            </w:r>
          </w:p>
        </w:tc>
        <w:tc>
          <w:tcPr>
            <w:tcW w:w="570" w:type="dxa"/>
            <w:vMerge w:val="restart"/>
          </w:tcPr>
          <w:p>
            <w:pPr>
              <w:pStyle w:val="TableParagraph"/>
              <w:spacing w:before="5"/>
              <w:jc w:val="left"/>
              <w:rPr>
                <w:b/>
                <w:sz w:val="21"/>
              </w:rPr>
            </w:pPr>
          </w:p>
          <w:p>
            <w:pPr>
              <w:pStyle w:val="TableParagraph"/>
              <w:spacing w:line="242" w:lineRule="auto"/>
              <w:ind w:left="66" w:right="68"/>
              <w:jc w:val="left"/>
              <w:rPr>
                <w:b/>
                <w:sz w:val="21"/>
              </w:rPr>
            </w:pPr>
            <w:r>
              <w:rPr>
                <w:b/>
                <w:sz w:val="21"/>
              </w:rPr>
              <w:t>排放工况</w:t>
            </w:r>
          </w:p>
        </w:tc>
        <w:tc>
          <w:tcPr>
            <w:tcW w:w="963" w:type="dxa"/>
          </w:tcPr>
          <w:p>
            <w:pPr>
              <w:pStyle w:val="TableParagraph"/>
              <w:spacing w:line="244" w:lineRule="auto" w:before="1"/>
              <w:ind w:left="51" w:right="54"/>
              <w:rPr>
                <w:b/>
                <w:sz w:val="21"/>
              </w:rPr>
            </w:pPr>
            <w:r>
              <w:rPr>
                <w:b/>
                <w:sz w:val="21"/>
              </w:rPr>
              <w:t>污染物排放速率</w:t>
            </w:r>
          </w:p>
          <w:p>
            <w:pPr>
              <w:pStyle w:val="TableParagraph"/>
              <w:spacing w:line="217" w:lineRule="exact"/>
              <w:ind w:left="50" w:right="54"/>
              <w:rPr>
                <w:rFonts w:ascii="Times New Roman"/>
                <w:b/>
                <w:sz w:val="21"/>
              </w:rPr>
            </w:pPr>
            <w:r>
              <w:rPr>
                <w:rFonts w:ascii="Times New Roman"/>
                <w:b/>
                <w:sz w:val="21"/>
              </w:rPr>
              <w:t>kg/h</w:t>
            </w:r>
          </w:p>
        </w:tc>
      </w:tr>
      <w:tr>
        <w:trPr>
          <w:trHeight w:val="292" w:hRule="atLeast"/>
        </w:trPr>
        <w:tc>
          <w:tcPr>
            <w:tcW w:w="509" w:type="dxa"/>
            <w:vMerge/>
            <w:tcBorders>
              <w:top w:val="nil"/>
            </w:tcBorders>
          </w:tcPr>
          <w:p>
            <w:pPr>
              <w:rPr>
                <w:sz w:val="2"/>
                <w:szCs w:val="2"/>
              </w:rPr>
            </w:pPr>
          </w:p>
        </w:tc>
        <w:tc>
          <w:tcPr>
            <w:tcW w:w="1620" w:type="dxa"/>
            <w:vMerge/>
            <w:tcBorders>
              <w:top w:val="nil"/>
            </w:tcBorders>
          </w:tcPr>
          <w:p>
            <w:pPr>
              <w:rPr>
                <w:sz w:val="2"/>
                <w:szCs w:val="2"/>
              </w:rPr>
            </w:pPr>
          </w:p>
        </w:tc>
        <w:tc>
          <w:tcPr>
            <w:tcW w:w="850" w:type="dxa"/>
          </w:tcPr>
          <w:p>
            <w:pPr>
              <w:pStyle w:val="TableParagraph"/>
              <w:spacing w:before="24"/>
              <w:ind w:left="7"/>
              <w:rPr>
                <w:rFonts w:ascii="Times New Roman"/>
                <w:b/>
                <w:sz w:val="21"/>
              </w:rPr>
            </w:pPr>
            <w:r>
              <w:rPr>
                <w:rFonts w:ascii="Times New Roman"/>
                <w:b/>
                <w:w w:val="100"/>
                <w:sz w:val="21"/>
              </w:rPr>
              <w:t>X</w:t>
            </w:r>
          </w:p>
        </w:tc>
        <w:tc>
          <w:tcPr>
            <w:tcW w:w="852" w:type="dxa"/>
          </w:tcPr>
          <w:p>
            <w:pPr>
              <w:pStyle w:val="TableParagraph"/>
              <w:spacing w:before="24"/>
              <w:ind w:left="10"/>
              <w:rPr>
                <w:rFonts w:ascii="Times New Roman"/>
                <w:b/>
                <w:sz w:val="21"/>
              </w:rPr>
            </w:pPr>
            <w:r>
              <w:rPr>
                <w:rFonts w:ascii="Times New Roman"/>
                <w:b/>
                <w:w w:val="100"/>
                <w:sz w:val="21"/>
              </w:rPr>
              <w:t>Y</w:t>
            </w:r>
          </w:p>
        </w:tc>
        <w:tc>
          <w:tcPr>
            <w:tcW w:w="754" w:type="dxa"/>
            <w:vMerge/>
            <w:tcBorders>
              <w:top w:val="nil"/>
            </w:tcBorders>
          </w:tcPr>
          <w:p>
            <w:pPr>
              <w:rPr>
                <w:sz w:val="2"/>
                <w:szCs w:val="2"/>
              </w:rPr>
            </w:pPr>
          </w:p>
        </w:tc>
        <w:tc>
          <w:tcPr>
            <w:tcW w:w="618" w:type="dxa"/>
            <w:vMerge/>
            <w:tcBorders>
              <w:top w:val="nil"/>
            </w:tcBorders>
          </w:tcPr>
          <w:p>
            <w:pPr>
              <w:rPr>
                <w:sz w:val="2"/>
                <w:szCs w:val="2"/>
              </w:rPr>
            </w:pPr>
          </w:p>
        </w:tc>
        <w:tc>
          <w:tcPr>
            <w:tcW w:w="613" w:type="dxa"/>
            <w:vMerge/>
            <w:tcBorders>
              <w:top w:val="nil"/>
            </w:tcBorders>
          </w:tcPr>
          <w:p>
            <w:pPr>
              <w:rPr>
                <w:sz w:val="2"/>
                <w:szCs w:val="2"/>
              </w:rPr>
            </w:pPr>
          </w:p>
        </w:tc>
        <w:tc>
          <w:tcPr>
            <w:tcW w:w="733" w:type="dxa"/>
            <w:vMerge/>
            <w:tcBorders>
              <w:top w:val="nil"/>
            </w:tcBorders>
          </w:tcPr>
          <w:p>
            <w:pPr>
              <w:rPr>
                <w:sz w:val="2"/>
                <w:szCs w:val="2"/>
              </w:rPr>
            </w:pPr>
          </w:p>
        </w:tc>
        <w:tc>
          <w:tcPr>
            <w:tcW w:w="654" w:type="dxa"/>
            <w:vMerge/>
            <w:tcBorders>
              <w:top w:val="nil"/>
            </w:tcBorders>
          </w:tcPr>
          <w:p>
            <w:pPr>
              <w:rPr>
                <w:sz w:val="2"/>
                <w:szCs w:val="2"/>
              </w:rPr>
            </w:pPr>
          </w:p>
        </w:tc>
        <w:tc>
          <w:tcPr>
            <w:tcW w:w="601" w:type="dxa"/>
            <w:vMerge/>
            <w:tcBorders>
              <w:top w:val="nil"/>
            </w:tcBorders>
          </w:tcPr>
          <w:p>
            <w:pPr>
              <w:rPr>
                <w:sz w:val="2"/>
                <w:szCs w:val="2"/>
              </w:rPr>
            </w:pPr>
          </w:p>
        </w:tc>
        <w:tc>
          <w:tcPr>
            <w:tcW w:w="570" w:type="dxa"/>
            <w:vMerge/>
            <w:tcBorders>
              <w:top w:val="nil"/>
            </w:tcBorders>
          </w:tcPr>
          <w:p>
            <w:pPr>
              <w:rPr>
                <w:sz w:val="2"/>
                <w:szCs w:val="2"/>
              </w:rPr>
            </w:pPr>
          </w:p>
        </w:tc>
        <w:tc>
          <w:tcPr>
            <w:tcW w:w="963" w:type="dxa"/>
          </w:tcPr>
          <w:p>
            <w:pPr>
              <w:pStyle w:val="TableParagraph"/>
              <w:spacing w:before="23"/>
              <w:ind w:left="51" w:right="52"/>
              <w:rPr>
                <w:rFonts w:ascii="Times New Roman"/>
                <w:b/>
                <w:sz w:val="14"/>
              </w:rPr>
            </w:pPr>
            <w:r>
              <w:rPr>
                <w:rFonts w:ascii="Times New Roman"/>
                <w:b/>
                <w:position w:val="2"/>
                <w:sz w:val="21"/>
              </w:rPr>
              <w:t>PM</w:t>
            </w:r>
            <w:r>
              <w:rPr>
                <w:rFonts w:ascii="Times New Roman"/>
                <w:b/>
                <w:sz w:val="14"/>
              </w:rPr>
              <w:t>10</w:t>
            </w:r>
          </w:p>
        </w:tc>
      </w:tr>
      <w:tr>
        <w:trPr>
          <w:trHeight w:val="544" w:hRule="atLeast"/>
        </w:trPr>
        <w:tc>
          <w:tcPr>
            <w:tcW w:w="509" w:type="dxa"/>
          </w:tcPr>
          <w:p>
            <w:pPr>
              <w:pStyle w:val="TableParagraph"/>
              <w:spacing w:before="151"/>
              <w:ind w:left="9"/>
              <w:rPr>
                <w:rFonts w:ascii="Times New Roman"/>
                <w:sz w:val="21"/>
              </w:rPr>
            </w:pPr>
            <w:r>
              <w:rPr>
                <w:rFonts w:ascii="Times New Roman"/>
                <w:w w:val="100"/>
                <w:sz w:val="21"/>
              </w:rPr>
              <w:t>1</w:t>
            </w:r>
          </w:p>
        </w:tc>
        <w:tc>
          <w:tcPr>
            <w:tcW w:w="1620" w:type="dxa"/>
          </w:tcPr>
          <w:p>
            <w:pPr>
              <w:pStyle w:val="TableParagraph"/>
              <w:spacing w:before="1"/>
              <w:ind w:left="61" w:right="50"/>
              <w:rPr>
                <w:sz w:val="21"/>
              </w:rPr>
            </w:pPr>
            <w:r>
              <w:rPr>
                <w:sz w:val="21"/>
              </w:rPr>
              <w:t>皇马丙类车间</w:t>
            </w:r>
          </w:p>
          <w:p>
            <w:pPr>
              <w:pStyle w:val="TableParagraph"/>
              <w:spacing w:line="250" w:lineRule="exact" w:before="4"/>
              <w:ind w:left="59" w:right="50"/>
              <w:rPr>
                <w:sz w:val="21"/>
              </w:rPr>
            </w:pPr>
            <w:r>
              <w:rPr>
                <w:rFonts w:ascii="Times New Roman" w:eastAsia="Times New Roman"/>
                <w:sz w:val="21"/>
              </w:rPr>
              <w:t>12#</w:t>
            </w:r>
            <w:r>
              <w:rPr>
                <w:sz w:val="21"/>
              </w:rPr>
              <w:t>排气筒</w:t>
            </w:r>
          </w:p>
        </w:tc>
        <w:tc>
          <w:tcPr>
            <w:tcW w:w="850" w:type="dxa"/>
          </w:tcPr>
          <w:p>
            <w:pPr>
              <w:pStyle w:val="TableParagraph"/>
              <w:spacing w:before="151"/>
              <w:ind w:left="87" w:right="79"/>
              <w:rPr>
                <w:rFonts w:ascii="Times New Roman"/>
                <w:sz w:val="21"/>
              </w:rPr>
            </w:pPr>
            <w:r>
              <w:rPr>
                <w:rFonts w:ascii="Times New Roman"/>
                <w:sz w:val="21"/>
              </w:rPr>
              <w:t>297276</w:t>
            </w:r>
          </w:p>
        </w:tc>
        <w:tc>
          <w:tcPr>
            <w:tcW w:w="852" w:type="dxa"/>
          </w:tcPr>
          <w:p>
            <w:pPr>
              <w:pStyle w:val="TableParagraph"/>
              <w:spacing w:before="151"/>
              <w:ind w:left="38" w:right="29"/>
              <w:rPr>
                <w:rFonts w:ascii="Times New Roman"/>
                <w:sz w:val="21"/>
              </w:rPr>
            </w:pPr>
            <w:r>
              <w:rPr>
                <w:rFonts w:ascii="Times New Roman"/>
                <w:sz w:val="21"/>
              </w:rPr>
              <w:t>3339423</w:t>
            </w:r>
          </w:p>
        </w:tc>
        <w:tc>
          <w:tcPr>
            <w:tcW w:w="754" w:type="dxa"/>
          </w:tcPr>
          <w:p>
            <w:pPr>
              <w:pStyle w:val="TableParagraph"/>
              <w:spacing w:before="151"/>
              <w:ind w:left="4"/>
              <w:rPr>
                <w:rFonts w:ascii="Times New Roman"/>
                <w:sz w:val="21"/>
              </w:rPr>
            </w:pPr>
            <w:r>
              <w:rPr>
                <w:rFonts w:ascii="Times New Roman"/>
                <w:w w:val="100"/>
                <w:sz w:val="21"/>
              </w:rPr>
              <w:t>4</w:t>
            </w:r>
          </w:p>
        </w:tc>
        <w:tc>
          <w:tcPr>
            <w:tcW w:w="618" w:type="dxa"/>
          </w:tcPr>
          <w:p>
            <w:pPr>
              <w:pStyle w:val="TableParagraph"/>
              <w:spacing w:before="151"/>
              <w:ind w:left="183" w:right="174"/>
              <w:rPr>
                <w:rFonts w:ascii="Times New Roman"/>
                <w:sz w:val="21"/>
              </w:rPr>
            </w:pPr>
            <w:r>
              <w:rPr>
                <w:rFonts w:ascii="Times New Roman"/>
                <w:sz w:val="21"/>
              </w:rPr>
              <w:t>15</w:t>
            </w:r>
          </w:p>
        </w:tc>
        <w:tc>
          <w:tcPr>
            <w:tcW w:w="613" w:type="dxa"/>
          </w:tcPr>
          <w:p>
            <w:pPr>
              <w:pStyle w:val="TableParagraph"/>
              <w:spacing w:before="151"/>
              <w:ind w:left="128" w:right="120"/>
              <w:rPr>
                <w:rFonts w:ascii="Times New Roman"/>
                <w:sz w:val="21"/>
              </w:rPr>
            </w:pPr>
            <w:r>
              <w:rPr>
                <w:rFonts w:ascii="Times New Roman"/>
                <w:sz w:val="21"/>
              </w:rPr>
              <w:t>298</w:t>
            </w:r>
          </w:p>
        </w:tc>
        <w:tc>
          <w:tcPr>
            <w:tcW w:w="733" w:type="dxa"/>
          </w:tcPr>
          <w:p>
            <w:pPr>
              <w:pStyle w:val="TableParagraph"/>
              <w:spacing w:before="151"/>
              <w:ind w:right="145"/>
              <w:jc w:val="right"/>
              <w:rPr>
                <w:rFonts w:ascii="Times New Roman"/>
                <w:sz w:val="21"/>
              </w:rPr>
            </w:pPr>
            <w:r>
              <w:rPr>
                <w:rFonts w:ascii="Times New Roman"/>
                <w:sz w:val="21"/>
              </w:rPr>
              <w:t>6000</w:t>
            </w:r>
          </w:p>
        </w:tc>
        <w:tc>
          <w:tcPr>
            <w:tcW w:w="654" w:type="dxa"/>
          </w:tcPr>
          <w:p>
            <w:pPr>
              <w:pStyle w:val="TableParagraph"/>
              <w:spacing w:before="151"/>
              <w:ind w:left="121" w:right="115"/>
              <w:rPr>
                <w:rFonts w:ascii="Times New Roman"/>
                <w:sz w:val="21"/>
              </w:rPr>
            </w:pPr>
            <w:r>
              <w:rPr>
                <w:rFonts w:ascii="Times New Roman"/>
                <w:sz w:val="21"/>
              </w:rPr>
              <w:t>0.6</w:t>
            </w:r>
          </w:p>
        </w:tc>
        <w:tc>
          <w:tcPr>
            <w:tcW w:w="601" w:type="dxa"/>
          </w:tcPr>
          <w:p>
            <w:pPr>
              <w:pStyle w:val="TableParagraph"/>
              <w:spacing w:before="151"/>
              <w:ind w:left="65" w:right="65"/>
              <w:rPr>
                <w:rFonts w:ascii="Times New Roman"/>
                <w:sz w:val="21"/>
              </w:rPr>
            </w:pPr>
            <w:r>
              <w:rPr>
                <w:rFonts w:ascii="Times New Roman"/>
                <w:sz w:val="21"/>
              </w:rPr>
              <w:t>7200</w:t>
            </w:r>
          </w:p>
        </w:tc>
        <w:tc>
          <w:tcPr>
            <w:tcW w:w="570" w:type="dxa"/>
          </w:tcPr>
          <w:p>
            <w:pPr>
              <w:pStyle w:val="TableParagraph"/>
              <w:spacing w:before="138"/>
              <w:ind w:right="68"/>
              <w:jc w:val="right"/>
              <w:rPr>
                <w:sz w:val="21"/>
              </w:rPr>
            </w:pPr>
            <w:r>
              <w:rPr>
                <w:sz w:val="21"/>
              </w:rPr>
              <w:t>正常</w:t>
            </w:r>
          </w:p>
        </w:tc>
        <w:tc>
          <w:tcPr>
            <w:tcW w:w="963" w:type="dxa"/>
          </w:tcPr>
          <w:p>
            <w:pPr>
              <w:pStyle w:val="TableParagraph"/>
              <w:spacing w:before="151"/>
              <w:ind w:left="51" w:right="54"/>
              <w:rPr>
                <w:rFonts w:ascii="Times New Roman"/>
                <w:sz w:val="21"/>
              </w:rPr>
            </w:pPr>
            <w:r>
              <w:rPr>
                <w:rFonts w:ascii="Times New Roman"/>
                <w:sz w:val="21"/>
              </w:rPr>
              <w:t>0.12</w:t>
            </w:r>
          </w:p>
        </w:tc>
      </w:tr>
      <w:tr>
        <w:trPr>
          <w:trHeight w:val="544" w:hRule="atLeast"/>
        </w:trPr>
        <w:tc>
          <w:tcPr>
            <w:tcW w:w="509" w:type="dxa"/>
          </w:tcPr>
          <w:p>
            <w:pPr>
              <w:pStyle w:val="TableParagraph"/>
              <w:spacing w:before="151"/>
              <w:ind w:left="9"/>
              <w:rPr>
                <w:rFonts w:ascii="Times New Roman"/>
                <w:sz w:val="21"/>
              </w:rPr>
            </w:pPr>
            <w:r>
              <w:rPr>
                <w:rFonts w:ascii="Times New Roman"/>
                <w:w w:val="100"/>
                <w:sz w:val="21"/>
              </w:rPr>
              <w:t>2</w:t>
            </w:r>
          </w:p>
        </w:tc>
        <w:tc>
          <w:tcPr>
            <w:tcW w:w="1620" w:type="dxa"/>
          </w:tcPr>
          <w:p>
            <w:pPr>
              <w:pStyle w:val="TableParagraph"/>
              <w:spacing w:before="1"/>
              <w:ind w:left="61" w:right="50"/>
              <w:rPr>
                <w:sz w:val="21"/>
              </w:rPr>
            </w:pPr>
            <w:r>
              <w:rPr>
                <w:sz w:val="21"/>
              </w:rPr>
              <w:t>皇马甲类车间</w:t>
            </w:r>
          </w:p>
          <w:p>
            <w:pPr>
              <w:pStyle w:val="TableParagraph"/>
              <w:spacing w:line="250" w:lineRule="exact" w:before="4"/>
              <w:ind w:left="59" w:right="50"/>
              <w:rPr>
                <w:sz w:val="21"/>
              </w:rPr>
            </w:pPr>
            <w:r>
              <w:rPr>
                <w:rFonts w:ascii="Times New Roman" w:eastAsia="Times New Roman"/>
                <w:sz w:val="21"/>
              </w:rPr>
              <w:t>13#</w:t>
            </w:r>
            <w:r>
              <w:rPr>
                <w:sz w:val="21"/>
              </w:rPr>
              <w:t>排气筒</w:t>
            </w:r>
          </w:p>
        </w:tc>
        <w:tc>
          <w:tcPr>
            <w:tcW w:w="850" w:type="dxa"/>
          </w:tcPr>
          <w:p>
            <w:pPr>
              <w:pStyle w:val="TableParagraph"/>
              <w:spacing w:before="151"/>
              <w:ind w:left="87" w:right="79"/>
              <w:rPr>
                <w:rFonts w:ascii="Times New Roman"/>
                <w:sz w:val="21"/>
              </w:rPr>
            </w:pPr>
            <w:r>
              <w:rPr>
                <w:rFonts w:ascii="Times New Roman"/>
                <w:sz w:val="21"/>
              </w:rPr>
              <w:t>297278</w:t>
            </w:r>
          </w:p>
        </w:tc>
        <w:tc>
          <w:tcPr>
            <w:tcW w:w="852" w:type="dxa"/>
          </w:tcPr>
          <w:p>
            <w:pPr>
              <w:pStyle w:val="TableParagraph"/>
              <w:spacing w:before="151"/>
              <w:ind w:left="38" w:right="29"/>
              <w:rPr>
                <w:rFonts w:ascii="Times New Roman"/>
                <w:sz w:val="21"/>
              </w:rPr>
            </w:pPr>
            <w:r>
              <w:rPr>
                <w:rFonts w:ascii="Times New Roman"/>
                <w:sz w:val="21"/>
              </w:rPr>
              <w:t>3339326</w:t>
            </w:r>
          </w:p>
        </w:tc>
        <w:tc>
          <w:tcPr>
            <w:tcW w:w="754" w:type="dxa"/>
          </w:tcPr>
          <w:p>
            <w:pPr>
              <w:pStyle w:val="TableParagraph"/>
              <w:spacing w:before="151"/>
              <w:ind w:left="4"/>
              <w:rPr>
                <w:rFonts w:ascii="Times New Roman"/>
                <w:sz w:val="21"/>
              </w:rPr>
            </w:pPr>
            <w:r>
              <w:rPr>
                <w:rFonts w:ascii="Times New Roman"/>
                <w:w w:val="100"/>
                <w:sz w:val="21"/>
              </w:rPr>
              <w:t>4</w:t>
            </w:r>
          </w:p>
        </w:tc>
        <w:tc>
          <w:tcPr>
            <w:tcW w:w="618" w:type="dxa"/>
          </w:tcPr>
          <w:p>
            <w:pPr>
              <w:pStyle w:val="TableParagraph"/>
              <w:spacing w:before="151"/>
              <w:ind w:left="183" w:right="174"/>
              <w:rPr>
                <w:rFonts w:ascii="Times New Roman"/>
                <w:sz w:val="21"/>
              </w:rPr>
            </w:pPr>
            <w:r>
              <w:rPr>
                <w:rFonts w:ascii="Times New Roman"/>
                <w:sz w:val="21"/>
              </w:rPr>
              <w:t>15</w:t>
            </w:r>
          </w:p>
        </w:tc>
        <w:tc>
          <w:tcPr>
            <w:tcW w:w="613" w:type="dxa"/>
          </w:tcPr>
          <w:p>
            <w:pPr>
              <w:pStyle w:val="TableParagraph"/>
              <w:spacing w:before="151"/>
              <w:ind w:left="128" w:right="120"/>
              <w:rPr>
                <w:rFonts w:ascii="Times New Roman"/>
                <w:sz w:val="21"/>
              </w:rPr>
            </w:pPr>
            <w:r>
              <w:rPr>
                <w:rFonts w:ascii="Times New Roman"/>
                <w:sz w:val="21"/>
              </w:rPr>
              <w:t>298</w:t>
            </w:r>
          </w:p>
        </w:tc>
        <w:tc>
          <w:tcPr>
            <w:tcW w:w="733" w:type="dxa"/>
          </w:tcPr>
          <w:p>
            <w:pPr>
              <w:pStyle w:val="TableParagraph"/>
              <w:spacing w:before="151"/>
              <w:ind w:right="145"/>
              <w:jc w:val="right"/>
              <w:rPr>
                <w:rFonts w:ascii="Times New Roman"/>
                <w:sz w:val="21"/>
              </w:rPr>
            </w:pPr>
            <w:r>
              <w:rPr>
                <w:rFonts w:ascii="Times New Roman"/>
                <w:sz w:val="21"/>
              </w:rPr>
              <w:t>6000</w:t>
            </w:r>
          </w:p>
        </w:tc>
        <w:tc>
          <w:tcPr>
            <w:tcW w:w="654" w:type="dxa"/>
          </w:tcPr>
          <w:p>
            <w:pPr>
              <w:pStyle w:val="TableParagraph"/>
              <w:spacing w:before="151"/>
              <w:ind w:left="121" w:right="115"/>
              <w:rPr>
                <w:rFonts w:ascii="Times New Roman"/>
                <w:sz w:val="21"/>
              </w:rPr>
            </w:pPr>
            <w:r>
              <w:rPr>
                <w:rFonts w:ascii="Times New Roman"/>
                <w:sz w:val="21"/>
              </w:rPr>
              <w:t>0.45</w:t>
            </w:r>
          </w:p>
        </w:tc>
        <w:tc>
          <w:tcPr>
            <w:tcW w:w="601" w:type="dxa"/>
          </w:tcPr>
          <w:p>
            <w:pPr>
              <w:pStyle w:val="TableParagraph"/>
              <w:spacing w:before="151"/>
              <w:ind w:left="65" w:right="65"/>
              <w:rPr>
                <w:rFonts w:ascii="Times New Roman"/>
                <w:sz w:val="21"/>
              </w:rPr>
            </w:pPr>
            <w:r>
              <w:rPr>
                <w:rFonts w:ascii="Times New Roman"/>
                <w:sz w:val="21"/>
              </w:rPr>
              <w:t>7200</w:t>
            </w:r>
          </w:p>
        </w:tc>
        <w:tc>
          <w:tcPr>
            <w:tcW w:w="570" w:type="dxa"/>
          </w:tcPr>
          <w:p>
            <w:pPr>
              <w:pStyle w:val="TableParagraph"/>
              <w:spacing w:before="137"/>
              <w:ind w:right="68"/>
              <w:jc w:val="right"/>
              <w:rPr>
                <w:sz w:val="21"/>
              </w:rPr>
            </w:pPr>
            <w:r>
              <w:rPr>
                <w:sz w:val="21"/>
              </w:rPr>
              <w:t>正常</w:t>
            </w:r>
          </w:p>
        </w:tc>
        <w:tc>
          <w:tcPr>
            <w:tcW w:w="963" w:type="dxa"/>
          </w:tcPr>
          <w:p>
            <w:pPr>
              <w:pStyle w:val="TableParagraph"/>
              <w:spacing w:before="151"/>
              <w:ind w:left="51" w:right="54"/>
              <w:rPr>
                <w:rFonts w:ascii="Times New Roman"/>
                <w:sz w:val="21"/>
              </w:rPr>
            </w:pPr>
            <w:r>
              <w:rPr>
                <w:rFonts w:ascii="Times New Roman"/>
                <w:sz w:val="21"/>
              </w:rPr>
              <w:t>0.072</w:t>
            </w:r>
          </w:p>
        </w:tc>
      </w:tr>
      <w:tr>
        <w:trPr>
          <w:trHeight w:val="285" w:hRule="atLeast"/>
        </w:trPr>
        <w:tc>
          <w:tcPr>
            <w:tcW w:w="509" w:type="dxa"/>
          </w:tcPr>
          <w:p>
            <w:pPr>
              <w:pStyle w:val="TableParagraph"/>
              <w:spacing w:before="22"/>
              <w:ind w:left="9"/>
              <w:rPr>
                <w:rFonts w:ascii="Times New Roman"/>
                <w:sz w:val="21"/>
              </w:rPr>
            </w:pPr>
            <w:r>
              <w:rPr>
                <w:rFonts w:ascii="Times New Roman"/>
                <w:w w:val="100"/>
                <w:sz w:val="21"/>
              </w:rPr>
              <w:t>3</w:t>
            </w:r>
          </w:p>
        </w:tc>
        <w:tc>
          <w:tcPr>
            <w:tcW w:w="1620" w:type="dxa"/>
          </w:tcPr>
          <w:p>
            <w:pPr>
              <w:pStyle w:val="TableParagraph"/>
              <w:spacing w:line="257" w:lineRule="exact" w:before="8"/>
              <w:ind w:left="100"/>
              <w:jc w:val="left"/>
              <w:rPr>
                <w:sz w:val="21"/>
              </w:rPr>
            </w:pPr>
            <w:r>
              <w:rPr>
                <w:sz w:val="21"/>
              </w:rPr>
              <w:t>永农 </w:t>
            </w:r>
            <w:r>
              <w:rPr>
                <w:rFonts w:ascii="Times New Roman" w:eastAsia="Times New Roman"/>
                <w:sz w:val="21"/>
              </w:rPr>
              <w:t>21#</w:t>
            </w:r>
            <w:r>
              <w:rPr>
                <w:sz w:val="21"/>
              </w:rPr>
              <w:t>排气筒</w:t>
            </w:r>
          </w:p>
        </w:tc>
        <w:tc>
          <w:tcPr>
            <w:tcW w:w="850" w:type="dxa"/>
          </w:tcPr>
          <w:p>
            <w:pPr>
              <w:pStyle w:val="TableParagraph"/>
              <w:spacing w:before="22"/>
              <w:ind w:left="87" w:right="79"/>
              <w:rPr>
                <w:rFonts w:ascii="Times New Roman"/>
                <w:sz w:val="21"/>
              </w:rPr>
            </w:pPr>
            <w:r>
              <w:rPr>
                <w:rFonts w:ascii="Times New Roman"/>
                <w:sz w:val="21"/>
              </w:rPr>
              <w:t>298763</w:t>
            </w:r>
          </w:p>
        </w:tc>
        <w:tc>
          <w:tcPr>
            <w:tcW w:w="852" w:type="dxa"/>
          </w:tcPr>
          <w:p>
            <w:pPr>
              <w:pStyle w:val="TableParagraph"/>
              <w:spacing w:before="22"/>
              <w:ind w:left="38" w:right="29"/>
              <w:rPr>
                <w:rFonts w:ascii="Times New Roman"/>
                <w:sz w:val="21"/>
              </w:rPr>
            </w:pPr>
            <w:r>
              <w:rPr>
                <w:rFonts w:ascii="Times New Roman"/>
                <w:sz w:val="21"/>
              </w:rPr>
              <w:t>3338593</w:t>
            </w:r>
          </w:p>
        </w:tc>
        <w:tc>
          <w:tcPr>
            <w:tcW w:w="754" w:type="dxa"/>
          </w:tcPr>
          <w:p>
            <w:pPr>
              <w:pStyle w:val="TableParagraph"/>
              <w:spacing w:before="22"/>
              <w:ind w:left="4"/>
              <w:rPr>
                <w:rFonts w:ascii="Times New Roman"/>
                <w:sz w:val="21"/>
              </w:rPr>
            </w:pPr>
            <w:r>
              <w:rPr>
                <w:rFonts w:ascii="Times New Roman"/>
                <w:w w:val="100"/>
                <w:sz w:val="21"/>
              </w:rPr>
              <w:t>6</w:t>
            </w:r>
          </w:p>
        </w:tc>
        <w:tc>
          <w:tcPr>
            <w:tcW w:w="618" w:type="dxa"/>
          </w:tcPr>
          <w:p>
            <w:pPr>
              <w:pStyle w:val="TableParagraph"/>
              <w:spacing w:before="22"/>
              <w:ind w:left="183" w:right="174"/>
              <w:rPr>
                <w:rFonts w:ascii="Times New Roman"/>
                <w:sz w:val="21"/>
              </w:rPr>
            </w:pPr>
            <w:r>
              <w:rPr>
                <w:rFonts w:ascii="Times New Roman"/>
                <w:sz w:val="21"/>
              </w:rPr>
              <w:t>15</w:t>
            </w:r>
          </w:p>
        </w:tc>
        <w:tc>
          <w:tcPr>
            <w:tcW w:w="613" w:type="dxa"/>
          </w:tcPr>
          <w:p>
            <w:pPr>
              <w:pStyle w:val="TableParagraph"/>
              <w:spacing w:before="22"/>
              <w:ind w:left="128" w:right="120"/>
              <w:rPr>
                <w:rFonts w:ascii="Times New Roman"/>
                <w:sz w:val="21"/>
              </w:rPr>
            </w:pPr>
            <w:r>
              <w:rPr>
                <w:rFonts w:ascii="Times New Roman"/>
                <w:sz w:val="21"/>
              </w:rPr>
              <w:t>298</w:t>
            </w:r>
          </w:p>
        </w:tc>
        <w:tc>
          <w:tcPr>
            <w:tcW w:w="733" w:type="dxa"/>
          </w:tcPr>
          <w:p>
            <w:pPr>
              <w:pStyle w:val="TableParagraph"/>
              <w:spacing w:before="22"/>
              <w:ind w:right="92"/>
              <w:jc w:val="right"/>
              <w:rPr>
                <w:rFonts w:ascii="Times New Roman"/>
                <w:sz w:val="21"/>
              </w:rPr>
            </w:pPr>
            <w:r>
              <w:rPr>
                <w:rFonts w:ascii="Times New Roman"/>
                <w:sz w:val="21"/>
              </w:rPr>
              <w:t>20000</w:t>
            </w:r>
          </w:p>
        </w:tc>
        <w:tc>
          <w:tcPr>
            <w:tcW w:w="654" w:type="dxa"/>
          </w:tcPr>
          <w:p>
            <w:pPr>
              <w:pStyle w:val="TableParagraph"/>
              <w:spacing w:before="22"/>
              <w:ind w:left="121" w:right="115"/>
              <w:rPr>
                <w:rFonts w:ascii="Times New Roman"/>
                <w:sz w:val="21"/>
              </w:rPr>
            </w:pPr>
            <w:r>
              <w:rPr>
                <w:rFonts w:ascii="Times New Roman"/>
                <w:sz w:val="21"/>
              </w:rPr>
              <w:t>0.9</w:t>
            </w:r>
          </w:p>
        </w:tc>
        <w:tc>
          <w:tcPr>
            <w:tcW w:w="601" w:type="dxa"/>
          </w:tcPr>
          <w:p>
            <w:pPr>
              <w:pStyle w:val="TableParagraph"/>
              <w:spacing w:before="22"/>
              <w:ind w:left="65" w:right="65"/>
              <w:rPr>
                <w:rFonts w:ascii="Times New Roman"/>
                <w:sz w:val="21"/>
              </w:rPr>
            </w:pPr>
            <w:r>
              <w:rPr>
                <w:rFonts w:ascii="Times New Roman"/>
                <w:sz w:val="21"/>
              </w:rPr>
              <w:t>2400</w:t>
            </w:r>
          </w:p>
        </w:tc>
        <w:tc>
          <w:tcPr>
            <w:tcW w:w="570" w:type="dxa"/>
          </w:tcPr>
          <w:p>
            <w:pPr>
              <w:pStyle w:val="TableParagraph"/>
              <w:spacing w:line="257" w:lineRule="exact" w:before="8"/>
              <w:ind w:right="68"/>
              <w:jc w:val="right"/>
              <w:rPr>
                <w:sz w:val="21"/>
              </w:rPr>
            </w:pPr>
            <w:r>
              <w:rPr>
                <w:sz w:val="21"/>
              </w:rPr>
              <w:t>正常</w:t>
            </w:r>
          </w:p>
        </w:tc>
        <w:tc>
          <w:tcPr>
            <w:tcW w:w="963" w:type="dxa"/>
          </w:tcPr>
          <w:p>
            <w:pPr>
              <w:pStyle w:val="TableParagraph"/>
              <w:spacing w:before="22"/>
              <w:ind w:left="51" w:right="54"/>
              <w:rPr>
                <w:rFonts w:ascii="Times New Roman"/>
                <w:sz w:val="21"/>
              </w:rPr>
            </w:pPr>
            <w:r>
              <w:rPr>
                <w:rFonts w:ascii="Times New Roman"/>
                <w:sz w:val="21"/>
              </w:rPr>
              <w:t>0.113</w:t>
            </w:r>
          </w:p>
        </w:tc>
      </w:tr>
      <w:tr>
        <w:trPr>
          <w:trHeight w:val="544" w:hRule="atLeast"/>
        </w:trPr>
        <w:tc>
          <w:tcPr>
            <w:tcW w:w="509" w:type="dxa"/>
          </w:tcPr>
          <w:p>
            <w:pPr>
              <w:pStyle w:val="TableParagraph"/>
              <w:spacing w:before="151"/>
              <w:ind w:left="9"/>
              <w:rPr>
                <w:rFonts w:ascii="Times New Roman"/>
                <w:sz w:val="21"/>
              </w:rPr>
            </w:pPr>
            <w:r>
              <w:rPr>
                <w:rFonts w:ascii="Times New Roman"/>
                <w:w w:val="100"/>
                <w:sz w:val="21"/>
              </w:rPr>
              <w:t>4</w:t>
            </w:r>
          </w:p>
        </w:tc>
        <w:tc>
          <w:tcPr>
            <w:tcW w:w="1620" w:type="dxa"/>
          </w:tcPr>
          <w:p>
            <w:pPr>
              <w:pStyle w:val="TableParagraph"/>
              <w:spacing w:before="1"/>
              <w:ind w:left="59" w:right="50"/>
              <w:rPr>
                <w:sz w:val="21"/>
              </w:rPr>
            </w:pPr>
            <w:r>
              <w:rPr>
                <w:sz w:val="21"/>
              </w:rPr>
              <w:t>春晖</w:t>
            </w:r>
            <w:r>
              <w:rPr>
                <w:rFonts w:ascii="Times New Roman" w:eastAsia="Times New Roman"/>
                <w:sz w:val="21"/>
              </w:rPr>
              <w:t>DA008 </w:t>
            </w:r>
            <w:r>
              <w:rPr>
                <w:sz w:val="21"/>
              </w:rPr>
              <w:t>焚</w:t>
            </w:r>
          </w:p>
          <w:p>
            <w:pPr>
              <w:pStyle w:val="TableParagraph"/>
              <w:spacing w:line="250" w:lineRule="exact" w:before="4"/>
              <w:ind w:left="59" w:right="50"/>
              <w:rPr>
                <w:sz w:val="21"/>
              </w:rPr>
            </w:pPr>
            <w:r>
              <w:rPr>
                <w:sz w:val="21"/>
              </w:rPr>
              <w:t>烧炉排气筒</w:t>
            </w:r>
          </w:p>
        </w:tc>
        <w:tc>
          <w:tcPr>
            <w:tcW w:w="850" w:type="dxa"/>
          </w:tcPr>
          <w:p>
            <w:pPr>
              <w:pStyle w:val="TableParagraph"/>
              <w:spacing w:before="151"/>
              <w:ind w:left="87" w:right="79"/>
              <w:rPr>
                <w:rFonts w:ascii="Times New Roman"/>
                <w:sz w:val="21"/>
              </w:rPr>
            </w:pPr>
            <w:r>
              <w:rPr>
                <w:rFonts w:ascii="Times New Roman"/>
                <w:sz w:val="21"/>
              </w:rPr>
              <w:t>296321</w:t>
            </w:r>
          </w:p>
        </w:tc>
        <w:tc>
          <w:tcPr>
            <w:tcW w:w="852" w:type="dxa"/>
          </w:tcPr>
          <w:p>
            <w:pPr>
              <w:pStyle w:val="TableParagraph"/>
              <w:spacing w:before="151"/>
              <w:ind w:left="38" w:right="29"/>
              <w:rPr>
                <w:rFonts w:ascii="Times New Roman"/>
                <w:sz w:val="21"/>
              </w:rPr>
            </w:pPr>
            <w:r>
              <w:rPr>
                <w:rFonts w:ascii="Times New Roman"/>
                <w:sz w:val="21"/>
              </w:rPr>
              <w:t>3338716</w:t>
            </w:r>
          </w:p>
        </w:tc>
        <w:tc>
          <w:tcPr>
            <w:tcW w:w="754" w:type="dxa"/>
          </w:tcPr>
          <w:p>
            <w:pPr>
              <w:pStyle w:val="TableParagraph"/>
              <w:spacing w:before="151"/>
              <w:ind w:left="4"/>
              <w:rPr>
                <w:rFonts w:ascii="Times New Roman"/>
                <w:sz w:val="21"/>
              </w:rPr>
            </w:pPr>
            <w:r>
              <w:rPr>
                <w:rFonts w:ascii="Times New Roman"/>
                <w:w w:val="100"/>
                <w:sz w:val="21"/>
              </w:rPr>
              <w:t>4</w:t>
            </w:r>
          </w:p>
        </w:tc>
        <w:tc>
          <w:tcPr>
            <w:tcW w:w="618" w:type="dxa"/>
          </w:tcPr>
          <w:p>
            <w:pPr>
              <w:pStyle w:val="TableParagraph"/>
              <w:spacing w:before="151"/>
              <w:ind w:left="183" w:right="174"/>
              <w:rPr>
                <w:rFonts w:ascii="Times New Roman"/>
                <w:sz w:val="21"/>
              </w:rPr>
            </w:pPr>
            <w:r>
              <w:rPr>
                <w:rFonts w:ascii="Times New Roman"/>
                <w:sz w:val="21"/>
              </w:rPr>
              <w:t>50</w:t>
            </w:r>
          </w:p>
        </w:tc>
        <w:tc>
          <w:tcPr>
            <w:tcW w:w="613" w:type="dxa"/>
          </w:tcPr>
          <w:p>
            <w:pPr>
              <w:pStyle w:val="TableParagraph"/>
              <w:spacing w:before="151"/>
              <w:ind w:left="128" w:right="120"/>
              <w:rPr>
                <w:rFonts w:ascii="Times New Roman"/>
                <w:sz w:val="21"/>
              </w:rPr>
            </w:pPr>
            <w:r>
              <w:rPr>
                <w:rFonts w:ascii="Times New Roman"/>
                <w:sz w:val="21"/>
              </w:rPr>
              <w:t>403</w:t>
            </w:r>
          </w:p>
        </w:tc>
        <w:tc>
          <w:tcPr>
            <w:tcW w:w="733" w:type="dxa"/>
          </w:tcPr>
          <w:p>
            <w:pPr>
              <w:pStyle w:val="TableParagraph"/>
              <w:spacing w:before="151"/>
              <w:ind w:right="92"/>
              <w:jc w:val="right"/>
              <w:rPr>
                <w:rFonts w:ascii="Times New Roman"/>
                <w:sz w:val="21"/>
              </w:rPr>
            </w:pPr>
            <w:r>
              <w:rPr>
                <w:rFonts w:ascii="Times New Roman"/>
                <w:sz w:val="21"/>
              </w:rPr>
              <w:t>33000</w:t>
            </w:r>
          </w:p>
        </w:tc>
        <w:tc>
          <w:tcPr>
            <w:tcW w:w="654" w:type="dxa"/>
          </w:tcPr>
          <w:p>
            <w:pPr>
              <w:pStyle w:val="TableParagraph"/>
              <w:spacing w:before="151"/>
              <w:ind w:left="121" w:right="115"/>
              <w:rPr>
                <w:rFonts w:ascii="Times New Roman"/>
                <w:sz w:val="21"/>
              </w:rPr>
            </w:pPr>
            <w:r>
              <w:rPr>
                <w:rFonts w:ascii="Times New Roman"/>
                <w:sz w:val="21"/>
              </w:rPr>
              <w:t>1.2</w:t>
            </w:r>
          </w:p>
        </w:tc>
        <w:tc>
          <w:tcPr>
            <w:tcW w:w="601" w:type="dxa"/>
          </w:tcPr>
          <w:p>
            <w:pPr>
              <w:pStyle w:val="TableParagraph"/>
              <w:spacing w:before="151"/>
              <w:ind w:left="65" w:right="65"/>
              <w:rPr>
                <w:rFonts w:ascii="Times New Roman"/>
                <w:sz w:val="21"/>
              </w:rPr>
            </w:pPr>
            <w:r>
              <w:rPr>
                <w:rFonts w:ascii="Times New Roman"/>
                <w:sz w:val="21"/>
              </w:rPr>
              <w:t>4632</w:t>
            </w:r>
          </w:p>
        </w:tc>
        <w:tc>
          <w:tcPr>
            <w:tcW w:w="570" w:type="dxa"/>
          </w:tcPr>
          <w:p>
            <w:pPr>
              <w:pStyle w:val="TableParagraph"/>
              <w:spacing w:before="138"/>
              <w:ind w:right="68"/>
              <w:jc w:val="right"/>
              <w:rPr>
                <w:sz w:val="21"/>
              </w:rPr>
            </w:pPr>
            <w:r>
              <w:rPr>
                <w:sz w:val="21"/>
              </w:rPr>
              <w:t>正常</w:t>
            </w:r>
          </w:p>
        </w:tc>
        <w:tc>
          <w:tcPr>
            <w:tcW w:w="963" w:type="dxa"/>
          </w:tcPr>
          <w:p>
            <w:pPr>
              <w:pStyle w:val="TableParagraph"/>
              <w:spacing w:before="151"/>
              <w:ind w:left="51" w:right="54"/>
              <w:rPr>
                <w:rFonts w:ascii="Times New Roman"/>
                <w:sz w:val="21"/>
              </w:rPr>
            </w:pPr>
            <w:r>
              <w:rPr>
                <w:rFonts w:ascii="Times New Roman"/>
                <w:sz w:val="21"/>
              </w:rPr>
              <w:t>0.214</w:t>
            </w:r>
          </w:p>
        </w:tc>
      </w:tr>
      <w:tr>
        <w:trPr>
          <w:trHeight w:val="544" w:hRule="atLeast"/>
        </w:trPr>
        <w:tc>
          <w:tcPr>
            <w:tcW w:w="509" w:type="dxa"/>
          </w:tcPr>
          <w:p>
            <w:pPr>
              <w:pStyle w:val="TableParagraph"/>
              <w:spacing w:before="151"/>
              <w:ind w:left="9"/>
              <w:rPr>
                <w:rFonts w:ascii="Times New Roman"/>
                <w:sz w:val="21"/>
              </w:rPr>
            </w:pPr>
            <w:r>
              <w:rPr>
                <w:rFonts w:ascii="Times New Roman"/>
                <w:w w:val="100"/>
                <w:sz w:val="21"/>
              </w:rPr>
              <w:t>5</w:t>
            </w:r>
          </w:p>
        </w:tc>
        <w:tc>
          <w:tcPr>
            <w:tcW w:w="1620" w:type="dxa"/>
          </w:tcPr>
          <w:p>
            <w:pPr>
              <w:pStyle w:val="TableParagraph"/>
              <w:spacing w:before="1"/>
              <w:ind w:left="61" w:right="50"/>
              <w:rPr>
                <w:rFonts w:ascii="Times New Roman" w:eastAsia="Times New Roman"/>
                <w:sz w:val="21"/>
              </w:rPr>
            </w:pPr>
            <w:r>
              <w:rPr>
                <w:sz w:val="21"/>
              </w:rPr>
              <w:t>昶和纤维</w:t>
            </w:r>
            <w:r>
              <w:rPr>
                <w:rFonts w:ascii="Times New Roman" w:eastAsia="Times New Roman"/>
                <w:sz w:val="21"/>
              </w:rPr>
              <w:t>DA002</w:t>
            </w:r>
          </w:p>
          <w:p>
            <w:pPr>
              <w:pStyle w:val="TableParagraph"/>
              <w:spacing w:line="250" w:lineRule="exact" w:before="4"/>
              <w:ind w:left="61" w:right="50"/>
              <w:rPr>
                <w:sz w:val="21"/>
              </w:rPr>
            </w:pPr>
            <w:r>
              <w:rPr>
                <w:sz w:val="21"/>
              </w:rPr>
              <w:t>排气筒</w:t>
            </w:r>
          </w:p>
        </w:tc>
        <w:tc>
          <w:tcPr>
            <w:tcW w:w="850" w:type="dxa"/>
          </w:tcPr>
          <w:p>
            <w:pPr>
              <w:pStyle w:val="TableParagraph"/>
              <w:spacing w:before="151"/>
              <w:ind w:left="87" w:right="79"/>
              <w:rPr>
                <w:rFonts w:ascii="Times New Roman"/>
                <w:sz w:val="21"/>
              </w:rPr>
            </w:pPr>
            <w:r>
              <w:rPr>
                <w:rFonts w:ascii="Times New Roman"/>
                <w:sz w:val="21"/>
              </w:rPr>
              <w:t>296530</w:t>
            </w:r>
          </w:p>
        </w:tc>
        <w:tc>
          <w:tcPr>
            <w:tcW w:w="852" w:type="dxa"/>
          </w:tcPr>
          <w:p>
            <w:pPr>
              <w:pStyle w:val="TableParagraph"/>
              <w:spacing w:before="151"/>
              <w:ind w:left="38" w:right="29"/>
              <w:rPr>
                <w:rFonts w:ascii="Times New Roman"/>
                <w:sz w:val="21"/>
              </w:rPr>
            </w:pPr>
            <w:r>
              <w:rPr>
                <w:rFonts w:ascii="Times New Roman"/>
                <w:sz w:val="21"/>
              </w:rPr>
              <w:t>3337751</w:t>
            </w:r>
          </w:p>
        </w:tc>
        <w:tc>
          <w:tcPr>
            <w:tcW w:w="754" w:type="dxa"/>
          </w:tcPr>
          <w:p>
            <w:pPr>
              <w:pStyle w:val="TableParagraph"/>
              <w:spacing w:before="151"/>
              <w:ind w:left="4"/>
              <w:rPr>
                <w:rFonts w:ascii="Times New Roman"/>
                <w:sz w:val="21"/>
              </w:rPr>
            </w:pPr>
            <w:r>
              <w:rPr>
                <w:rFonts w:ascii="Times New Roman"/>
                <w:w w:val="100"/>
                <w:sz w:val="21"/>
              </w:rPr>
              <w:t>6</w:t>
            </w:r>
          </w:p>
        </w:tc>
        <w:tc>
          <w:tcPr>
            <w:tcW w:w="618" w:type="dxa"/>
          </w:tcPr>
          <w:p>
            <w:pPr>
              <w:pStyle w:val="TableParagraph"/>
              <w:spacing w:before="151"/>
              <w:ind w:left="183" w:right="174"/>
              <w:rPr>
                <w:rFonts w:ascii="Times New Roman"/>
                <w:sz w:val="21"/>
              </w:rPr>
            </w:pPr>
            <w:r>
              <w:rPr>
                <w:rFonts w:ascii="Times New Roman"/>
                <w:sz w:val="21"/>
              </w:rPr>
              <w:t>15</w:t>
            </w:r>
          </w:p>
        </w:tc>
        <w:tc>
          <w:tcPr>
            <w:tcW w:w="613" w:type="dxa"/>
          </w:tcPr>
          <w:p>
            <w:pPr>
              <w:pStyle w:val="TableParagraph"/>
              <w:spacing w:before="151"/>
              <w:ind w:left="128" w:right="120"/>
              <w:rPr>
                <w:rFonts w:ascii="Times New Roman"/>
                <w:sz w:val="21"/>
              </w:rPr>
            </w:pPr>
            <w:r>
              <w:rPr>
                <w:rFonts w:ascii="Times New Roman"/>
                <w:sz w:val="21"/>
              </w:rPr>
              <w:t>323</w:t>
            </w:r>
          </w:p>
        </w:tc>
        <w:tc>
          <w:tcPr>
            <w:tcW w:w="733" w:type="dxa"/>
          </w:tcPr>
          <w:p>
            <w:pPr>
              <w:pStyle w:val="TableParagraph"/>
              <w:spacing w:before="151"/>
              <w:ind w:right="92"/>
              <w:jc w:val="right"/>
              <w:rPr>
                <w:rFonts w:ascii="Times New Roman"/>
                <w:sz w:val="21"/>
              </w:rPr>
            </w:pPr>
            <w:r>
              <w:rPr>
                <w:rFonts w:ascii="Times New Roman"/>
                <w:sz w:val="21"/>
              </w:rPr>
              <w:t>30000</w:t>
            </w:r>
          </w:p>
        </w:tc>
        <w:tc>
          <w:tcPr>
            <w:tcW w:w="654" w:type="dxa"/>
          </w:tcPr>
          <w:p>
            <w:pPr>
              <w:pStyle w:val="TableParagraph"/>
              <w:spacing w:before="151"/>
              <w:ind w:left="121" w:right="115"/>
              <w:rPr>
                <w:rFonts w:ascii="Times New Roman"/>
                <w:sz w:val="21"/>
              </w:rPr>
            </w:pPr>
            <w:r>
              <w:rPr>
                <w:rFonts w:ascii="Times New Roman"/>
                <w:sz w:val="21"/>
              </w:rPr>
              <w:t>1.5</w:t>
            </w:r>
          </w:p>
        </w:tc>
        <w:tc>
          <w:tcPr>
            <w:tcW w:w="601" w:type="dxa"/>
          </w:tcPr>
          <w:p>
            <w:pPr>
              <w:pStyle w:val="TableParagraph"/>
              <w:spacing w:before="151"/>
              <w:ind w:left="65" w:right="65"/>
              <w:rPr>
                <w:rFonts w:ascii="Times New Roman"/>
                <w:sz w:val="21"/>
              </w:rPr>
            </w:pPr>
            <w:r>
              <w:rPr>
                <w:rFonts w:ascii="Times New Roman"/>
                <w:sz w:val="21"/>
              </w:rPr>
              <w:t>7260</w:t>
            </w:r>
          </w:p>
        </w:tc>
        <w:tc>
          <w:tcPr>
            <w:tcW w:w="570" w:type="dxa"/>
          </w:tcPr>
          <w:p>
            <w:pPr>
              <w:pStyle w:val="TableParagraph"/>
              <w:spacing w:before="138"/>
              <w:ind w:right="68"/>
              <w:jc w:val="right"/>
              <w:rPr>
                <w:sz w:val="21"/>
              </w:rPr>
            </w:pPr>
            <w:r>
              <w:rPr>
                <w:sz w:val="21"/>
              </w:rPr>
              <w:t>正常</w:t>
            </w:r>
          </w:p>
        </w:tc>
        <w:tc>
          <w:tcPr>
            <w:tcW w:w="963" w:type="dxa"/>
          </w:tcPr>
          <w:p>
            <w:pPr>
              <w:pStyle w:val="TableParagraph"/>
              <w:spacing w:before="151"/>
              <w:ind w:left="51" w:right="54"/>
              <w:rPr>
                <w:rFonts w:ascii="Times New Roman"/>
                <w:sz w:val="21"/>
              </w:rPr>
            </w:pPr>
            <w:r>
              <w:rPr>
                <w:rFonts w:ascii="Times New Roman"/>
                <w:sz w:val="21"/>
              </w:rPr>
              <w:t>0.38</w:t>
            </w:r>
          </w:p>
        </w:tc>
      </w:tr>
    </w:tbl>
    <w:p>
      <w:pPr>
        <w:tabs>
          <w:tab w:pos="1465" w:val="left" w:leader="none"/>
        </w:tabs>
        <w:spacing w:before="144" w:after="29"/>
        <w:ind w:left="3" w:right="0" w:firstLine="0"/>
        <w:jc w:val="center"/>
        <w:rPr>
          <w:b/>
          <w:sz w:val="24"/>
        </w:rPr>
      </w:pPr>
      <w:r>
        <w:rPr>
          <w:b/>
          <w:sz w:val="24"/>
        </w:rPr>
        <w:t>表</w:t>
      </w:r>
      <w:r>
        <w:rPr>
          <w:b/>
          <w:spacing w:val="-60"/>
          <w:sz w:val="24"/>
        </w:rPr>
        <w:t> </w:t>
      </w:r>
      <w:r>
        <w:rPr>
          <w:rFonts w:ascii="Times New Roman" w:eastAsia="Times New Roman"/>
          <w:b/>
          <w:sz w:val="24"/>
        </w:rPr>
        <w:t>7.2.1-10</w:t>
        <w:tab/>
      </w:r>
      <w:r>
        <w:rPr>
          <w:b/>
          <w:sz w:val="24"/>
        </w:rPr>
        <w:t>区域拟建、在建污染源面源参数表</w:t>
      </w: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1101"/>
        <w:gridCol w:w="847"/>
        <w:gridCol w:w="996"/>
        <w:gridCol w:w="705"/>
        <w:gridCol w:w="707"/>
        <w:gridCol w:w="729"/>
        <w:gridCol w:w="724"/>
        <w:gridCol w:w="825"/>
        <w:gridCol w:w="669"/>
        <w:gridCol w:w="737"/>
        <w:gridCol w:w="873"/>
      </w:tblGrid>
      <w:tr>
        <w:trPr>
          <w:trHeight w:val="818" w:hRule="atLeast"/>
        </w:trPr>
        <w:tc>
          <w:tcPr>
            <w:tcW w:w="427" w:type="dxa"/>
            <w:vMerge w:val="restart"/>
          </w:tcPr>
          <w:p>
            <w:pPr>
              <w:pStyle w:val="TableParagraph"/>
              <w:jc w:val="left"/>
              <w:rPr>
                <w:b/>
                <w:sz w:val="20"/>
              </w:rPr>
            </w:pPr>
          </w:p>
          <w:p>
            <w:pPr>
              <w:pStyle w:val="TableParagraph"/>
              <w:spacing w:line="244" w:lineRule="auto" w:before="138"/>
              <w:ind w:left="107" w:right="97"/>
              <w:jc w:val="left"/>
              <w:rPr>
                <w:b/>
                <w:sz w:val="21"/>
              </w:rPr>
            </w:pPr>
            <w:r>
              <w:rPr>
                <w:b/>
                <w:sz w:val="21"/>
              </w:rPr>
              <w:t>编号</w:t>
            </w:r>
          </w:p>
        </w:tc>
        <w:tc>
          <w:tcPr>
            <w:tcW w:w="1101" w:type="dxa"/>
            <w:vMerge w:val="restart"/>
          </w:tcPr>
          <w:p>
            <w:pPr>
              <w:pStyle w:val="TableParagraph"/>
              <w:jc w:val="left"/>
              <w:rPr>
                <w:b/>
                <w:sz w:val="20"/>
              </w:rPr>
            </w:pPr>
          </w:p>
          <w:p>
            <w:pPr>
              <w:pStyle w:val="TableParagraph"/>
              <w:spacing w:before="6"/>
              <w:jc w:val="left"/>
              <w:rPr>
                <w:b/>
                <w:sz w:val="21"/>
              </w:rPr>
            </w:pPr>
          </w:p>
          <w:p>
            <w:pPr>
              <w:pStyle w:val="TableParagraph"/>
              <w:ind w:left="338"/>
              <w:jc w:val="left"/>
              <w:rPr>
                <w:b/>
                <w:sz w:val="21"/>
              </w:rPr>
            </w:pPr>
            <w:r>
              <w:rPr>
                <w:b/>
                <w:sz w:val="21"/>
              </w:rPr>
              <w:t>名称</w:t>
            </w:r>
          </w:p>
        </w:tc>
        <w:tc>
          <w:tcPr>
            <w:tcW w:w="1843" w:type="dxa"/>
            <w:gridSpan w:val="2"/>
          </w:tcPr>
          <w:p>
            <w:pPr>
              <w:pStyle w:val="TableParagraph"/>
              <w:spacing w:before="5"/>
              <w:jc w:val="left"/>
              <w:rPr>
                <w:b/>
                <w:sz w:val="21"/>
              </w:rPr>
            </w:pPr>
          </w:p>
          <w:p>
            <w:pPr>
              <w:pStyle w:val="TableParagraph"/>
              <w:ind w:left="182"/>
              <w:jc w:val="left"/>
              <w:rPr>
                <w:b/>
                <w:sz w:val="21"/>
              </w:rPr>
            </w:pPr>
            <w:r>
              <w:rPr>
                <w:b/>
                <w:sz w:val="21"/>
              </w:rPr>
              <w:t>面源中心点坐标</w:t>
            </w:r>
          </w:p>
        </w:tc>
        <w:tc>
          <w:tcPr>
            <w:tcW w:w="705" w:type="dxa"/>
            <w:vMerge w:val="restart"/>
          </w:tcPr>
          <w:p>
            <w:pPr>
              <w:pStyle w:val="TableParagraph"/>
              <w:spacing w:line="242" w:lineRule="auto" w:before="137"/>
              <w:ind w:left="140" w:right="130"/>
              <w:jc w:val="both"/>
              <w:rPr>
                <w:b/>
                <w:sz w:val="21"/>
              </w:rPr>
            </w:pPr>
            <w:r>
              <w:rPr>
                <w:b/>
                <w:spacing w:val="-9"/>
                <w:sz w:val="21"/>
              </w:rPr>
              <w:t>面源海拔高度</w:t>
            </w:r>
          </w:p>
          <w:p>
            <w:pPr>
              <w:pStyle w:val="TableParagraph"/>
              <w:spacing w:before="1"/>
              <w:ind w:left="234"/>
              <w:jc w:val="left"/>
              <w:rPr>
                <w:rFonts w:ascii="Times New Roman"/>
                <w:b/>
                <w:sz w:val="21"/>
              </w:rPr>
            </w:pPr>
            <w:r>
              <w:rPr>
                <w:rFonts w:ascii="Times New Roman"/>
                <w:b/>
                <w:sz w:val="21"/>
              </w:rPr>
              <w:t>/m</w:t>
            </w:r>
          </w:p>
        </w:tc>
        <w:tc>
          <w:tcPr>
            <w:tcW w:w="707" w:type="dxa"/>
            <w:vMerge w:val="restart"/>
          </w:tcPr>
          <w:p>
            <w:pPr>
              <w:pStyle w:val="TableParagraph"/>
              <w:spacing w:before="5"/>
              <w:jc w:val="left"/>
              <w:rPr>
                <w:b/>
                <w:sz w:val="21"/>
              </w:rPr>
            </w:pPr>
          </w:p>
          <w:p>
            <w:pPr>
              <w:pStyle w:val="TableParagraph"/>
              <w:spacing w:line="242" w:lineRule="auto"/>
              <w:ind w:left="143" w:right="129"/>
              <w:jc w:val="left"/>
              <w:rPr>
                <w:b/>
                <w:sz w:val="21"/>
              </w:rPr>
            </w:pPr>
            <w:r>
              <w:rPr>
                <w:b/>
                <w:spacing w:val="-9"/>
                <w:sz w:val="21"/>
              </w:rPr>
              <w:t>面源长度</w:t>
            </w:r>
          </w:p>
          <w:p>
            <w:pPr>
              <w:pStyle w:val="TableParagraph"/>
              <w:spacing w:before="1"/>
              <w:ind w:left="239"/>
              <w:jc w:val="left"/>
              <w:rPr>
                <w:rFonts w:ascii="Times New Roman"/>
                <w:b/>
                <w:sz w:val="21"/>
              </w:rPr>
            </w:pPr>
            <w:r>
              <w:rPr>
                <w:rFonts w:ascii="Times New Roman"/>
                <w:b/>
                <w:sz w:val="21"/>
              </w:rPr>
              <w:t>/m</w:t>
            </w:r>
          </w:p>
        </w:tc>
        <w:tc>
          <w:tcPr>
            <w:tcW w:w="729" w:type="dxa"/>
            <w:vMerge w:val="restart"/>
          </w:tcPr>
          <w:p>
            <w:pPr>
              <w:pStyle w:val="TableParagraph"/>
              <w:spacing w:before="5"/>
              <w:jc w:val="left"/>
              <w:rPr>
                <w:b/>
                <w:sz w:val="21"/>
              </w:rPr>
            </w:pPr>
          </w:p>
          <w:p>
            <w:pPr>
              <w:pStyle w:val="TableParagraph"/>
              <w:spacing w:line="242" w:lineRule="auto"/>
              <w:ind w:left="156" w:right="138"/>
              <w:jc w:val="left"/>
              <w:rPr>
                <w:b/>
                <w:sz w:val="21"/>
              </w:rPr>
            </w:pPr>
            <w:r>
              <w:rPr>
                <w:b/>
                <w:spacing w:val="-9"/>
                <w:sz w:val="21"/>
              </w:rPr>
              <w:t>面源宽度</w:t>
            </w:r>
          </w:p>
          <w:p>
            <w:pPr>
              <w:pStyle w:val="TableParagraph"/>
              <w:spacing w:before="1"/>
              <w:ind w:left="250"/>
              <w:jc w:val="left"/>
              <w:rPr>
                <w:rFonts w:ascii="Times New Roman"/>
                <w:b/>
                <w:sz w:val="21"/>
              </w:rPr>
            </w:pPr>
            <w:r>
              <w:rPr>
                <w:rFonts w:ascii="Times New Roman"/>
                <w:b/>
                <w:sz w:val="21"/>
              </w:rPr>
              <w:t>/m</w:t>
            </w:r>
          </w:p>
        </w:tc>
        <w:tc>
          <w:tcPr>
            <w:tcW w:w="724" w:type="dxa"/>
            <w:vMerge w:val="restart"/>
          </w:tcPr>
          <w:p>
            <w:pPr>
              <w:pStyle w:val="TableParagraph"/>
              <w:spacing w:line="242" w:lineRule="auto" w:before="137"/>
              <w:ind w:left="152" w:right="136"/>
              <w:jc w:val="both"/>
              <w:rPr>
                <w:b/>
                <w:sz w:val="21"/>
              </w:rPr>
            </w:pPr>
            <w:r>
              <w:rPr>
                <w:b/>
                <w:sz w:val="21"/>
              </w:rPr>
              <w:t>与正北向夹角</w:t>
            </w:r>
          </w:p>
          <w:p>
            <w:pPr>
              <w:pStyle w:val="TableParagraph"/>
              <w:spacing w:before="1"/>
              <w:ind w:left="205" w:right="185"/>
              <w:rPr>
                <w:rFonts w:ascii="Times New Roman" w:hAnsi="Times New Roman"/>
                <w:b/>
                <w:sz w:val="21"/>
              </w:rPr>
            </w:pPr>
            <w:r>
              <w:rPr>
                <w:rFonts w:ascii="Times New Roman" w:hAnsi="Times New Roman"/>
                <w:b/>
                <w:sz w:val="21"/>
              </w:rPr>
              <w:t>/°</w:t>
            </w:r>
          </w:p>
        </w:tc>
        <w:tc>
          <w:tcPr>
            <w:tcW w:w="825" w:type="dxa"/>
            <w:vMerge w:val="restart"/>
          </w:tcPr>
          <w:p>
            <w:pPr>
              <w:pStyle w:val="TableParagraph"/>
              <w:spacing w:line="242" w:lineRule="auto" w:before="1"/>
              <w:ind w:left="203" w:right="186"/>
              <w:jc w:val="both"/>
              <w:rPr>
                <w:b/>
                <w:sz w:val="21"/>
              </w:rPr>
            </w:pPr>
            <w:r>
              <w:rPr>
                <w:b/>
                <w:spacing w:val="-9"/>
                <w:sz w:val="21"/>
              </w:rPr>
              <w:t>面源有效排放高度</w:t>
            </w:r>
          </w:p>
          <w:p>
            <w:pPr>
              <w:pStyle w:val="TableParagraph"/>
              <w:spacing w:line="221" w:lineRule="exact" w:before="2"/>
              <w:ind w:left="279" w:right="262"/>
              <w:rPr>
                <w:rFonts w:ascii="Times New Roman"/>
                <w:b/>
                <w:sz w:val="21"/>
              </w:rPr>
            </w:pPr>
            <w:r>
              <w:rPr>
                <w:rFonts w:ascii="Times New Roman"/>
                <w:b/>
                <w:sz w:val="21"/>
              </w:rPr>
              <w:t>/m</w:t>
            </w:r>
          </w:p>
        </w:tc>
        <w:tc>
          <w:tcPr>
            <w:tcW w:w="669" w:type="dxa"/>
            <w:vMerge w:val="restart"/>
          </w:tcPr>
          <w:p>
            <w:pPr>
              <w:pStyle w:val="TableParagraph"/>
              <w:spacing w:line="242" w:lineRule="auto" w:before="137"/>
              <w:ind w:left="130" w:right="104"/>
              <w:jc w:val="both"/>
              <w:rPr>
                <w:b/>
                <w:sz w:val="21"/>
              </w:rPr>
            </w:pPr>
            <w:r>
              <w:rPr>
                <w:b/>
                <w:sz w:val="21"/>
              </w:rPr>
              <w:t>年排放小时数</w:t>
            </w:r>
          </w:p>
          <w:p>
            <w:pPr>
              <w:pStyle w:val="TableParagraph"/>
              <w:spacing w:before="1"/>
              <w:ind w:left="231" w:right="212"/>
              <w:rPr>
                <w:rFonts w:ascii="Times New Roman"/>
                <w:b/>
                <w:sz w:val="21"/>
              </w:rPr>
            </w:pPr>
            <w:r>
              <w:rPr>
                <w:rFonts w:ascii="Times New Roman"/>
                <w:b/>
                <w:sz w:val="21"/>
              </w:rPr>
              <w:t>/h</w:t>
            </w:r>
          </w:p>
        </w:tc>
        <w:tc>
          <w:tcPr>
            <w:tcW w:w="737" w:type="dxa"/>
            <w:vMerge w:val="restart"/>
          </w:tcPr>
          <w:p>
            <w:pPr>
              <w:pStyle w:val="TableParagraph"/>
              <w:jc w:val="left"/>
              <w:rPr>
                <w:b/>
                <w:sz w:val="20"/>
              </w:rPr>
            </w:pPr>
          </w:p>
          <w:p>
            <w:pPr>
              <w:pStyle w:val="TableParagraph"/>
              <w:spacing w:line="244" w:lineRule="auto" w:before="138"/>
              <w:ind w:left="162" w:right="140"/>
              <w:jc w:val="left"/>
              <w:rPr>
                <w:b/>
                <w:sz w:val="21"/>
              </w:rPr>
            </w:pPr>
            <w:r>
              <w:rPr>
                <w:b/>
                <w:sz w:val="21"/>
              </w:rPr>
              <w:t>排放工况</w:t>
            </w:r>
          </w:p>
        </w:tc>
        <w:tc>
          <w:tcPr>
            <w:tcW w:w="873" w:type="dxa"/>
          </w:tcPr>
          <w:p>
            <w:pPr>
              <w:pStyle w:val="TableParagraph"/>
              <w:spacing w:before="1"/>
              <w:ind w:left="126"/>
              <w:jc w:val="left"/>
              <w:rPr>
                <w:b/>
                <w:sz w:val="21"/>
              </w:rPr>
            </w:pPr>
            <w:r>
              <w:rPr>
                <w:b/>
                <w:sz w:val="21"/>
              </w:rPr>
              <w:t>污染物</w:t>
            </w:r>
          </w:p>
          <w:p>
            <w:pPr>
              <w:pStyle w:val="TableParagraph"/>
              <w:spacing w:line="270" w:lineRule="atLeast" w:before="3"/>
              <w:ind w:left="114" w:right="86" w:firstLine="12"/>
              <w:jc w:val="left"/>
              <w:rPr>
                <w:rFonts w:ascii="Times New Roman" w:eastAsia="Times New Roman"/>
                <w:b/>
                <w:sz w:val="21"/>
              </w:rPr>
            </w:pPr>
            <w:r>
              <w:rPr>
                <w:b/>
                <w:sz w:val="21"/>
              </w:rPr>
              <w:t>排放速</w:t>
            </w:r>
            <w:r>
              <w:rPr>
                <w:b/>
                <w:spacing w:val="50"/>
                <w:sz w:val="21"/>
              </w:rPr>
              <w:t>率</w:t>
            </w:r>
            <w:r>
              <w:rPr>
                <w:rFonts w:ascii="Times New Roman" w:eastAsia="Times New Roman"/>
                <w:b/>
                <w:spacing w:val="-6"/>
                <w:sz w:val="21"/>
              </w:rPr>
              <w:t>kg/h</w:t>
            </w:r>
          </w:p>
        </w:tc>
      </w:tr>
      <w:tr>
        <w:trPr>
          <w:trHeight w:val="504" w:hRule="atLeast"/>
        </w:trPr>
        <w:tc>
          <w:tcPr>
            <w:tcW w:w="427" w:type="dxa"/>
            <w:vMerge/>
            <w:tcBorders>
              <w:top w:val="nil"/>
            </w:tcBorders>
          </w:tcPr>
          <w:p>
            <w:pPr>
              <w:rPr>
                <w:sz w:val="2"/>
                <w:szCs w:val="2"/>
              </w:rPr>
            </w:pPr>
          </w:p>
        </w:tc>
        <w:tc>
          <w:tcPr>
            <w:tcW w:w="1101" w:type="dxa"/>
            <w:vMerge/>
            <w:tcBorders>
              <w:top w:val="nil"/>
            </w:tcBorders>
          </w:tcPr>
          <w:p>
            <w:pPr>
              <w:rPr>
                <w:sz w:val="2"/>
                <w:szCs w:val="2"/>
              </w:rPr>
            </w:pPr>
          </w:p>
        </w:tc>
        <w:tc>
          <w:tcPr>
            <w:tcW w:w="847" w:type="dxa"/>
          </w:tcPr>
          <w:p>
            <w:pPr>
              <w:pStyle w:val="TableParagraph"/>
              <w:spacing w:before="130"/>
              <w:ind w:left="12"/>
              <w:rPr>
                <w:rFonts w:ascii="Times New Roman"/>
                <w:b/>
                <w:sz w:val="21"/>
              </w:rPr>
            </w:pPr>
            <w:r>
              <w:rPr>
                <w:rFonts w:ascii="Times New Roman"/>
                <w:b/>
                <w:w w:val="100"/>
                <w:sz w:val="21"/>
              </w:rPr>
              <w:t>X</w:t>
            </w:r>
          </w:p>
        </w:tc>
        <w:tc>
          <w:tcPr>
            <w:tcW w:w="996" w:type="dxa"/>
          </w:tcPr>
          <w:p>
            <w:pPr>
              <w:pStyle w:val="TableParagraph"/>
              <w:spacing w:before="130"/>
              <w:ind w:left="9"/>
              <w:rPr>
                <w:rFonts w:ascii="Times New Roman"/>
                <w:b/>
                <w:sz w:val="21"/>
              </w:rPr>
            </w:pPr>
            <w:r>
              <w:rPr>
                <w:rFonts w:ascii="Times New Roman"/>
                <w:b/>
                <w:w w:val="100"/>
                <w:sz w:val="21"/>
              </w:rPr>
              <w:t>Y</w:t>
            </w:r>
          </w:p>
        </w:tc>
        <w:tc>
          <w:tcPr>
            <w:tcW w:w="705" w:type="dxa"/>
            <w:vMerge/>
            <w:tcBorders>
              <w:top w:val="nil"/>
            </w:tcBorders>
          </w:tcPr>
          <w:p>
            <w:pPr>
              <w:rPr>
                <w:sz w:val="2"/>
                <w:szCs w:val="2"/>
              </w:rPr>
            </w:pPr>
          </w:p>
        </w:tc>
        <w:tc>
          <w:tcPr>
            <w:tcW w:w="707" w:type="dxa"/>
            <w:vMerge/>
            <w:tcBorders>
              <w:top w:val="nil"/>
            </w:tcBorders>
          </w:tcPr>
          <w:p>
            <w:pPr>
              <w:rPr>
                <w:sz w:val="2"/>
                <w:szCs w:val="2"/>
              </w:rPr>
            </w:pPr>
          </w:p>
        </w:tc>
        <w:tc>
          <w:tcPr>
            <w:tcW w:w="729" w:type="dxa"/>
            <w:vMerge/>
            <w:tcBorders>
              <w:top w:val="nil"/>
            </w:tcBorders>
          </w:tcPr>
          <w:p>
            <w:pPr>
              <w:rPr>
                <w:sz w:val="2"/>
                <w:szCs w:val="2"/>
              </w:rPr>
            </w:pPr>
          </w:p>
        </w:tc>
        <w:tc>
          <w:tcPr>
            <w:tcW w:w="724" w:type="dxa"/>
            <w:vMerge/>
            <w:tcBorders>
              <w:top w:val="nil"/>
            </w:tcBorders>
          </w:tcPr>
          <w:p>
            <w:pPr>
              <w:rPr>
                <w:sz w:val="2"/>
                <w:szCs w:val="2"/>
              </w:rPr>
            </w:pPr>
          </w:p>
        </w:tc>
        <w:tc>
          <w:tcPr>
            <w:tcW w:w="825" w:type="dxa"/>
            <w:vMerge/>
            <w:tcBorders>
              <w:top w:val="nil"/>
            </w:tcBorders>
          </w:tcPr>
          <w:p>
            <w:pPr>
              <w:rPr>
                <w:sz w:val="2"/>
                <w:szCs w:val="2"/>
              </w:rPr>
            </w:pPr>
          </w:p>
        </w:tc>
        <w:tc>
          <w:tcPr>
            <w:tcW w:w="669" w:type="dxa"/>
            <w:vMerge/>
            <w:tcBorders>
              <w:top w:val="nil"/>
            </w:tcBorders>
          </w:tcPr>
          <w:p>
            <w:pPr>
              <w:rPr>
                <w:sz w:val="2"/>
                <w:szCs w:val="2"/>
              </w:rPr>
            </w:pPr>
          </w:p>
        </w:tc>
        <w:tc>
          <w:tcPr>
            <w:tcW w:w="737" w:type="dxa"/>
            <w:vMerge/>
            <w:tcBorders>
              <w:top w:val="nil"/>
            </w:tcBorders>
          </w:tcPr>
          <w:p>
            <w:pPr>
              <w:rPr>
                <w:sz w:val="2"/>
                <w:szCs w:val="2"/>
              </w:rPr>
            </w:pPr>
          </w:p>
        </w:tc>
        <w:tc>
          <w:tcPr>
            <w:tcW w:w="873" w:type="dxa"/>
          </w:tcPr>
          <w:p>
            <w:pPr>
              <w:pStyle w:val="TableParagraph"/>
              <w:spacing w:before="130"/>
              <w:ind w:left="251"/>
              <w:jc w:val="left"/>
              <w:rPr>
                <w:rFonts w:ascii="Times New Roman"/>
                <w:b/>
                <w:sz w:val="21"/>
              </w:rPr>
            </w:pPr>
            <w:r>
              <w:rPr>
                <w:rFonts w:ascii="Times New Roman"/>
                <w:b/>
                <w:sz w:val="21"/>
              </w:rPr>
              <w:t>TSP</w:t>
            </w:r>
          </w:p>
        </w:tc>
      </w:tr>
      <w:tr>
        <w:trPr>
          <w:trHeight w:val="544" w:hRule="atLeast"/>
        </w:trPr>
        <w:tc>
          <w:tcPr>
            <w:tcW w:w="427" w:type="dxa"/>
          </w:tcPr>
          <w:p>
            <w:pPr>
              <w:pStyle w:val="TableParagraph"/>
              <w:spacing w:before="151"/>
              <w:ind w:left="9"/>
              <w:rPr>
                <w:rFonts w:ascii="Times New Roman"/>
                <w:sz w:val="21"/>
              </w:rPr>
            </w:pPr>
            <w:r>
              <w:rPr>
                <w:rFonts w:ascii="Times New Roman"/>
                <w:w w:val="100"/>
                <w:sz w:val="21"/>
              </w:rPr>
              <w:t>1</w:t>
            </w:r>
          </w:p>
        </w:tc>
        <w:tc>
          <w:tcPr>
            <w:tcW w:w="1101" w:type="dxa"/>
          </w:tcPr>
          <w:p>
            <w:pPr>
              <w:pStyle w:val="TableParagraph"/>
              <w:spacing w:before="1"/>
              <w:ind w:left="129"/>
              <w:jc w:val="left"/>
              <w:rPr>
                <w:sz w:val="21"/>
              </w:rPr>
            </w:pPr>
            <w:r>
              <w:rPr>
                <w:sz w:val="21"/>
              </w:rPr>
              <w:t>皇马丙类</w:t>
            </w:r>
          </w:p>
          <w:p>
            <w:pPr>
              <w:pStyle w:val="TableParagraph"/>
              <w:spacing w:line="250" w:lineRule="exact" w:before="4"/>
              <w:ind w:left="208"/>
              <w:jc w:val="left"/>
              <w:rPr>
                <w:rFonts w:ascii="Times New Roman" w:eastAsia="Times New Roman"/>
                <w:sz w:val="21"/>
              </w:rPr>
            </w:pPr>
            <w:r>
              <w:rPr>
                <w:sz w:val="21"/>
              </w:rPr>
              <w:t>车间 </w:t>
            </w:r>
            <w:r>
              <w:rPr>
                <w:rFonts w:ascii="Times New Roman" w:eastAsia="Times New Roman"/>
                <w:sz w:val="21"/>
              </w:rPr>
              <w:t>12</w:t>
            </w:r>
          </w:p>
        </w:tc>
        <w:tc>
          <w:tcPr>
            <w:tcW w:w="847" w:type="dxa"/>
          </w:tcPr>
          <w:p>
            <w:pPr>
              <w:pStyle w:val="TableParagraph"/>
              <w:spacing w:before="151"/>
              <w:ind w:left="90" w:right="77"/>
              <w:rPr>
                <w:rFonts w:ascii="Times New Roman"/>
                <w:sz w:val="21"/>
              </w:rPr>
            </w:pPr>
            <w:r>
              <w:rPr>
                <w:rFonts w:ascii="Times New Roman"/>
                <w:sz w:val="21"/>
              </w:rPr>
              <w:t>297293</w:t>
            </w:r>
          </w:p>
        </w:tc>
        <w:tc>
          <w:tcPr>
            <w:tcW w:w="996" w:type="dxa"/>
          </w:tcPr>
          <w:p>
            <w:pPr>
              <w:pStyle w:val="TableParagraph"/>
              <w:spacing w:before="151"/>
              <w:ind w:left="55" w:right="43"/>
              <w:rPr>
                <w:rFonts w:ascii="Times New Roman"/>
                <w:sz w:val="21"/>
              </w:rPr>
            </w:pPr>
            <w:r>
              <w:rPr>
                <w:rFonts w:ascii="Times New Roman"/>
                <w:sz w:val="21"/>
              </w:rPr>
              <w:t>3339430</w:t>
            </w:r>
          </w:p>
        </w:tc>
        <w:tc>
          <w:tcPr>
            <w:tcW w:w="705" w:type="dxa"/>
          </w:tcPr>
          <w:p>
            <w:pPr>
              <w:pStyle w:val="TableParagraph"/>
              <w:spacing w:before="151"/>
              <w:ind w:left="8"/>
              <w:rPr>
                <w:rFonts w:ascii="Times New Roman"/>
                <w:sz w:val="21"/>
              </w:rPr>
            </w:pPr>
            <w:r>
              <w:rPr>
                <w:rFonts w:ascii="Times New Roman"/>
                <w:w w:val="100"/>
                <w:sz w:val="21"/>
              </w:rPr>
              <w:t>4</w:t>
            </w:r>
          </w:p>
        </w:tc>
        <w:tc>
          <w:tcPr>
            <w:tcW w:w="707" w:type="dxa"/>
          </w:tcPr>
          <w:p>
            <w:pPr>
              <w:pStyle w:val="TableParagraph"/>
              <w:spacing w:before="151"/>
              <w:ind w:left="249"/>
              <w:jc w:val="left"/>
              <w:rPr>
                <w:rFonts w:ascii="Times New Roman"/>
                <w:sz w:val="21"/>
              </w:rPr>
            </w:pPr>
            <w:r>
              <w:rPr>
                <w:rFonts w:ascii="Times New Roman"/>
                <w:sz w:val="21"/>
              </w:rPr>
              <w:t>60</w:t>
            </w:r>
          </w:p>
        </w:tc>
        <w:tc>
          <w:tcPr>
            <w:tcW w:w="729" w:type="dxa"/>
          </w:tcPr>
          <w:p>
            <w:pPr>
              <w:pStyle w:val="TableParagraph"/>
              <w:spacing w:before="151"/>
              <w:ind w:left="262"/>
              <w:jc w:val="left"/>
              <w:rPr>
                <w:rFonts w:ascii="Times New Roman"/>
                <w:sz w:val="21"/>
              </w:rPr>
            </w:pPr>
            <w:r>
              <w:rPr>
                <w:rFonts w:ascii="Times New Roman"/>
                <w:sz w:val="21"/>
              </w:rPr>
              <w:t>18</w:t>
            </w:r>
          </w:p>
        </w:tc>
        <w:tc>
          <w:tcPr>
            <w:tcW w:w="724" w:type="dxa"/>
          </w:tcPr>
          <w:p>
            <w:pPr>
              <w:pStyle w:val="TableParagraph"/>
              <w:spacing w:before="151"/>
              <w:ind w:left="202" w:right="189"/>
              <w:rPr>
                <w:rFonts w:ascii="Times New Roman"/>
                <w:sz w:val="21"/>
              </w:rPr>
            </w:pPr>
            <w:r>
              <w:rPr>
                <w:rFonts w:ascii="Times New Roman"/>
                <w:sz w:val="21"/>
              </w:rPr>
              <w:t>15</w:t>
            </w:r>
          </w:p>
        </w:tc>
        <w:tc>
          <w:tcPr>
            <w:tcW w:w="825" w:type="dxa"/>
          </w:tcPr>
          <w:p>
            <w:pPr>
              <w:pStyle w:val="TableParagraph"/>
              <w:spacing w:before="151"/>
              <w:ind w:left="277" w:right="262"/>
              <w:rPr>
                <w:rFonts w:ascii="Times New Roman"/>
                <w:sz w:val="21"/>
              </w:rPr>
            </w:pPr>
            <w:r>
              <w:rPr>
                <w:rFonts w:ascii="Times New Roman"/>
                <w:sz w:val="21"/>
              </w:rPr>
              <w:t>12</w:t>
            </w:r>
          </w:p>
        </w:tc>
        <w:tc>
          <w:tcPr>
            <w:tcW w:w="669" w:type="dxa"/>
          </w:tcPr>
          <w:p>
            <w:pPr>
              <w:pStyle w:val="TableParagraph"/>
              <w:spacing w:before="151"/>
              <w:ind w:right="104"/>
              <w:jc w:val="right"/>
              <w:rPr>
                <w:rFonts w:ascii="Times New Roman"/>
                <w:sz w:val="21"/>
              </w:rPr>
            </w:pPr>
            <w:r>
              <w:rPr>
                <w:rFonts w:ascii="Times New Roman"/>
                <w:sz w:val="21"/>
              </w:rPr>
              <w:t>7200</w:t>
            </w:r>
          </w:p>
        </w:tc>
        <w:tc>
          <w:tcPr>
            <w:tcW w:w="737" w:type="dxa"/>
          </w:tcPr>
          <w:p>
            <w:pPr>
              <w:pStyle w:val="TableParagraph"/>
              <w:spacing w:before="137"/>
              <w:ind w:left="140" w:right="115"/>
              <w:rPr>
                <w:sz w:val="21"/>
              </w:rPr>
            </w:pPr>
            <w:r>
              <w:rPr>
                <w:sz w:val="21"/>
              </w:rPr>
              <w:t>正常</w:t>
            </w:r>
          </w:p>
        </w:tc>
        <w:tc>
          <w:tcPr>
            <w:tcW w:w="873" w:type="dxa"/>
          </w:tcPr>
          <w:p>
            <w:pPr>
              <w:pStyle w:val="TableParagraph"/>
              <w:spacing w:before="151"/>
              <w:ind w:left="205"/>
              <w:jc w:val="left"/>
              <w:rPr>
                <w:rFonts w:ascii="Times New Roman"/>
                <w:sz w:val="21"/>
              </w:rPr>
            </w:pPr>
            <w:r>
              <w:rPr>
                <w:rFonts w:ascii="Times New Roman"/>
                <w:sz w:val="21"/>
              </w:rPr>
              <w:t>0.267</w:t>
            </w:r>
          </w:p>
        </w:tc>
      </w:tr>
      <w:tr>
        <w:trPr>
          <w:trHeight w:val="544" w:hRule="atLeast"/>
        </w:trPr>
        <w:tc>
          <w:tcPr>
            <w:tcW w:w="427" w:type="dxa"/>
          </w:tcPr>
          <w:p>
            <w:pPr>
              <w:pStyle w:val="TableParagraph"/>
              <w:spacing w:before="151"/>
              <w:ind w:left="9"/>
              <w:rPr>
                <w:rFonts w:ascii="Times New Roman"/>
                <w:sz w:val="21"/>
              </w:rPr>
            </w:pPr>
            <w:r>
              <w:rPr>
                <w:rFonts w:ascii="Times New Roman"/>
                <w:w w:val="100"/>
                <w:sz w:val="21"/>
              </w:rPr>
              <w:t>2</w:t>
            </w:r>
          </w:p>
        </w:tc>
        <w:tc>
          <w:tcPr>
            <w:tcW w:w="1101" w:type="dxa"/>
          </w:tcPr>
          <w:p>
            <w:pPr>
              <w:pStyle w:val="TableParagraph"/>
              <w:spacing w:before="1"/>
              <w:ind w:left="129"/>
              <w:jc w:val="left"/>
              <w:rPr>
                <w:sz w:val="21"/>
              </w:rPr>
            </w:pPr>
            <w:r>
              <w:rPr>
                <w:sz w:val="21"/>
              </w:rPr>
              <w:t>皇马甲类</w:t>
            </w:r>
          </w:p>
          <w:p>
            <w:pPr>
              <w:pStyle w:val="TableParagraph"/>
              <w:spacing w:line="250" w:lineRule="exact" w:before="4"/>
              <w:ind w:left="208"/>
              <w:jc w:val="left"/>
              <w:rPr>
                <w:rFonts w:ascii="Times New Roman" w:eastAsia="Times New Roman"/>
                <w:sz w:val="21"/>
              </w:rPr>
            </w:pPr>
            <w:r>
              <w:rPr>
                <w:sz w:val="21"/>
              </w:rPr>
              <w:t>车间 </w:t>
            </w:r>
            <w:r>
              <w:rPr>
                <w:rFonts w:ascii="Times New Roman" w:eastAsia="Times New Roman"/>
                <w:sz w:val="21"/>
              </w:rPr>
              <w:t>13</w:t>
            </w:r>
          </w:p>
        </w:tc>
        <w:tc>
          <w:tcPr>
            <w:tcW w:w="847" w:type="dxa"/>
          </w:tcPr>
          <w:p>
            <w:pPr>
              <w:pStyle w:val="TableParagraph"/>
              <w:spacing w:before="151"/>
              <w:ind w:left="90" w:right="77"/>
              <w:rPr>
                <w:rFonts w:ascii="Times New Roman"/>
                <w:sz w:val="21"/>
              </w:rPr>
            </w:pPr>
            <w:r>
              <w:rPr>
                <w:rFonts w:ascii="Times New Roman"/>
                <w:sz w:val="21"/>
              </w:rPr>
              <w:t>297302</w:t>
            </w:r>
          </w:p>
        </w:tc>
        <w:tc>
          <w:tcPr>
            <w:tcW w:w="996" w:type="dxa"/>
          </w:tcPr>
          <w:p>
            <w:pPr>
              <w:pStyle w:val="TableParagraph"/>
              <w:spacing w:before="151"/>
              <w:ind w:left="55" w:right="43"/>
              <w:rPr>
                <w:rFonts w:ascii="Times New Roman"/>
                <w:sz w:val="21"/>
              </w:rPr>
            </w:pPr>
            <w:r>
              <w:rPr>
                <w:rFonts w:ascii="Times New Roman"/>
                <w:sz w:val="21"/>
              </w:rPr>
              <w:t>3339309</w:t>
            </w:r>
          </w:p>
        </w:tc>
        <w:tc>
          <w:tcPr>
            <w:tcW w:w="705" w:type="dxa"/>
          </w:tcPr>
          <w:p>
            <w:pPr>
              <w:pStyle w:val="TableParagraph"/>
              <w:spacing w:before="151"/>
              <w:ind w:left="8"/>
              <w:rPr>
                <w:rFonts w:ascii="Times New Roman"/>
                <w:sz w:val="21"/>
              </w:rPr>
            </w:pPr>
            <w:r>
              <w:rPr>
                <w:rFonts w:ascii="Times New Roman"/>
                <w:w w:val="100"/>
                <w:sz w:val="21"/>
              </w:rPr>
              <w:t>4</w:t>
            </w:r>
          </w:p>
        </w:tc>
        <w:tc>
          <w:tcPr>
            <w:tcW w:w="707" w:type="dxa"/>
          </w:tcPr>
          <w:p>
            <w:pPr>
              <w:pStyle w:val="TableParagraph"/>
              <w:spacing w:before="151"/>
              <w:ind w:left="249"/>
              <w:jc w:val="left"/>
              <w:rPr>
                <w:rFonts w:ascii="Times New Roman"/>
                <w:sz w:val="21"/>
              </w:rPr>
            </w:pPr>
            <w:r>
              <w:rPr>
                <w:rFonts w:ascii="Times New Roman"/>
                <w:sz w:val="21"/>
              </w:rPr>
              <w:t>60</w:t>
            </w:r>
          </w:p>
        </w:tc>
        <w:tc>
          <w:tcPr>
            <w:tcW w:w="729" w:type="dxa"/>
          </w:tcPr>
          <w:p>
            <w:pPr>
              <w:pStyle w:val="TableParagraph"/>
              <w:spacing w:before="151"/>
              <w:ind w:left="262"/>
              <w:jc w:val="left"/>
              <w:rPr>
                <w:rFonts w:ascii="Times New Roman"/>
                <w:sz w:val="21"/>
              </w:rPr>
            </w:pPr>
            <w:r>
              <w:rPr>
                <w:rFonts w:ascii="Times New Roman"/>
                <w:sz w:val="21"/>
              </w:rPr>
              <w:t>18</w:t>
            </w:r>
          </w:p>
        </w:tc>
        <w:tc>
          <w:tcPr>
            <w:tcW w:w="724" w:type="dxa"/>
          </w:tcPr>
          <w:p>
            <w:pPr>
              <w:pStyle w:val="TableParagraph"/>
              <w:spacing w:before="151"/>
              <w:ind w:left="202" w:right="189"/>
              <w:rPr>
                <w:rFonts w:ascii="Times New Roman"/>
                <w:sz w:val="21"/>
              </w:rPr>
            </w:pPr>
            <w:r>
              <w:rPr>
                <w:rFonts w:ascii="Times New Roman"/>
                <w:sz w:val="21"/>
              </w:rPr>
              <w:t>15</w:t>
            </w:r>
          </w:p>
        </w:tc>
        <w:tc>
          <w:tcPr>
            <w:tcW w:w="825" w:type="dxa"/>
          </w:tcPr>
          <w:p>
            <w:pPr>
              <w:pStyle w:val="TableParagraph"/>
              <w:spacing w:before="151"/>
              <w:ind w:left="277" w:right="262"/>
              <w:rPr>
                <w:rFonts w:ascii="Times New Roman"/>
                <w:sz w:val="21"/>
              </w:rPr>
            </w:pPr>
            <w:r>
              <w:rPr>
                <w:rFonts w:ascii="Times New Roman"/>
                <w:sz w:val="21"/>
              </w:rPr>
              <w:t>12</w:t>
            </w:r>
          </w:p>
        </w:tc>
        <w:tc>
          <w:tcPr>
            <w:tcW w:w="669" w:type="dxa"/>
          </w:tcPr>
          <w:p>
            <w:pPr>
              <w:pStyle w:val="TableParagraph"/>
              <w:spacing w:before="151"/>
              <w:ind w:right="104"/>
              <w:jc w:val="right"/>
              <w:rPr>
                <w:rFonts w:ascii="Times New Roman"/>
                <w:sz w:val="21"/>
              </w:rPr>
            </w:pPr>
            <w:r>
              <w:rPr>
                <w:rFonts w:ascii="Times New Roman"/>
                <w:sz w:val="21"/>
              </w:rPr>
              <w:t>7200</w:t>
            </w:r>
          </w:p>
        </w:tc>
        <w:tc>
          <w:tcPr>
            <w:tcW w:w="737" w:type="dxa"/>
          </w:tcPr>
          <w:p>
            <w:pPr>
              <w:pStyle w:val="TableParagraph"/>
              <w:spacing w:before="138"/>
              <w:ind w:left="140" w:right="115"/>
              <w:rPr>
                <w:sz w:val="21"/>
              </w:rPr>
            </w:pPr>
            <w:r>
              <w:rPr>
                <w:sz w:val="21"/>
              </w:rPr>
              <w:t>正常</w:t>
            </w:r>
          </w:p>
        </w:tc>
        <w:tc>
          <w:tcPr>
            <w:tcW w:w="873" w:type="dxa"/>
          </w:tcPr>
          <w:p>
            <w:pPr>
              <w:pStyle w:val="TableParagraph"/>
              <w:spacing w:before="151"/>
              <w:ind w:left="205"/>
              <w:jc w:val="left"/>
              <w:rPr>
                <w:rFonts w:ascii="Times New Roman"/>
                <w:sz w:val="21"/>
              </w:rPr>
            </w:pPr>
            <w:r>
              <w:rPr>
                <w:rFonts w:ascii="Times New Roman"/>
                <w:sz w:val="21"/>
              </w:rPr>
              <w:t>0.029</w:t>
            </w:r>
          </w:p>
        </w:tc>
      </w:tr>
      <w:tr>
        <w:trPr>
          <w:trHeight w:val="544" w:hRule="atLeast"/>
        </w:trPr>
        <w:tc>
          <w:tcPr>
            <w:tcW w:w="427" w:type="dxa"/>
          </w:tcPr>
          <w:p>
            <w:pPr>
              <w:pStyle w:val="TableParagraph"/>
              <w:spacing w:before="151"/>
              <w:ind w:left="9"/>
              <w:rPr>
                <w:rFonts w:ascii="Times New Roman"/>
                <w:sz w:val="21"/>
              </w:rPr>
            </w:pPr>
            <w:r>
              <w:rPr>
                <w:rFonts w:ascii="Times New Roman"/>
                <w:w w:val="100"/>
                <w:sz w:val="21"/>
              </w:rPr>
              <w:t>3</w:t>
            </w:r>
          </w:p>
        </w:tc>
        <w:tc>
          <w:tcPr>
            <w:tcW w:w="1101" w:type="dxa"/>
          </w:tcPr>
          <w:p>
            <w:pPr>
              <w:pStyle w:val="TableParagraph"/>
              <w:spacing w:before="1"/>
              <w:ind w:left="129"/>
              <w:jc w:val="left"/>
              <w:rPr>
                <w:sz w:val="21"/>
              </w:rPr>
            </w:pPr>
            <w:r>
              <w:rPr>
                <w:sz w:val="21"/>
              </w:rPr>
              <w:t>永农标十</w:t>
            </w:r>
          </w:p>
          <w:p>
            <w:pPr>
              <w:pStyle w:val="TableParagraph"/>
              <w:spacing w:line="250" w:lineRule="exact" w:before="4"/>
              <w:ind w:left="235"/>
              <w:jc w:val="left"/>
              <w:rPr>
                <w:sz w:val="21"/>
              </w:rPr>
            </w:pPr>
            <w:r>
              <w:rPr>
                <w:sz w:val="21"/>
              </w:rPr>
              <w:t>八车间</w:t>
            </w:r>
          </w:p>
        </w:tc>
        <w:tc>
          <w:tcPr>
            <w:tcW w:w="847" w:type="dxa"/>
          </w:tcPr>
          <w:p>
            <w:pPr>
              <w:pStyle w:val="TableParagraph"/>
              <w:spacing w:before="151"/>
              <w:ind w:left="90" w:right="77"/>
              <w:rPr>
                <w:rFonts w:ascii="Times New Roman"/>
                <w:sz w:val="21"/>
              </w:rPr>
            </w:pPr>
            <w:r>
              <w:rPr>
                <w:rFonts w:ascii="Times New Roman"/>
                <w:sz w:val="21"/>
              </w:rPr>
              <w:t>298775</w:t>
            </w:r>
          </w:p>
        </w:tc>
        <w:tc>
          <w:tcPr>
            <w:tcW w:w="996" w:type="dxa"/>
          </w:tcPr>
          <w:p>
            <w:pPr>
              <w:pStyle w:val="TableParagraph"/>
              <w:spacing w:before="151"/>
              <w:ind w:left="55" w:right="43"/>
              <w:rPr>
                <w:rFonts w:ascii="Times New Roman"/>
                <w:sz w:val="21"/>
              </w:rPr>
            </w:pPr>
            <w:r>
              <w:rPr>
                <w:rFonts w:ascii="Times New Roman"/>
                <w:sz w:val="21"/>
              </w:rPr>
              <w:t>3338628</w:t>
            </w:r>
          </w:p>
        </w:tc>
        <w:tc>
          <w:tcPr>
            <w:tcW w:w="705" w:type="dxa"/>
          </w:tcPr>
          <w:p>
            <w:pPr>
              <w:pStyle w:val="TableParagraph"/>
              <w:spacing w:before="151"/>
              <w:ind w:left="8"/>
              <w:rPr>
                <w:rFonts w:ascii="Times New Roman"/>
                <w:sz w:val="21"/>
              </w:rPr>
            </w:pPr>
            <w:r>
              <w:rPr>
                <w:rFonts w:ascii="Times New Roman"/>
                <w:w w:val="100"/>
                <w:sz w:val="21"/>
              </w:rPr>
              <w:t>4</w:t>
            </w:r>
          </w:p>
        </w:tc>
        <w:tc>
          <w:tcPr>
            <w:tcW w:w="707" w:type="dxa"/>
          </w:tcPr>
          <w:p>
            <w:pPr>
              <w:pStyle w:val="TableParagraph"/>
              <w:spacing w:before="151"/>
              <w:ind w:left="249"/>
              <w:jc w:val="left"/>
              <w:rPr>
                <w:rFonts w:ascii="Times New Roman"/>
                <w:sz w:val="21"/>
              </w:rPr>
            </w:pPr>
            <w:r>
              <w:rPr>
                <w:rFonts w:ascii="Times New Roman"/>
                <w:sz w:val="21"/>
              </w:rPr>
              <w:t>67</w:t>
            </w:r>
          </w:p>
        </w:tc>
        <w:tc>
          <w:tcPr>
            <w:tcW w:w="729" w:type="dxa"/>
          </w:tcPr>
          <w:p>
            <w:pPr>
              <w:pStyle w:val="TableParagraph"/>
              <w:spacing w:before="151"/>
              <w:ind w:left="262"/>
              <w:jc w:val="left"/>
              <w:rPr>
                <w:rFonts w:ascii="Times New Roman"/>
                <w:sz w:val="21"/>
              </w:rPr>
            </w:pPr>
            <w:r>
              <w:rPr>
                <w:rFonts w:ascii="Times New Roman"/>
                <w:sz w:val="21"/>
              </w:rPr>
              <w:t>79</w:t>
            </w:r>
          </w:p>
        </w:tc>
        <w:tc>
          <w:tcPr>
            <w:tcW w:w="724" w:type="dxa"/>
          </w:tcPr>
          <w:p>
            <w:pPr>
              <w:pStyle w:val="TableParagraph"/>
              <w:spacing w:before="151"/>
              <w:ind w:left="205" w:right="189"/>
              <w:rPr>
                <w:rFonts w:ascii="Times New Roman"/>
                <w:sz w:val="21"/>
              </w:rPr>
            </w:pPr>
            <w:r>
              <w:rPr>
                <w:rFonts w:ascii="Times New Roman"/>
                <w:sz w:val="21"/>
              </w:rPr>
              <w:t>-23</w:t>
            </w:r>
          </w:p>
        </w:tc>
        <w:tc>
          <w:tcPr>
            <w:tcW w:w="825" w:type="dxa"/>
          </w:tcPr>
          <w:p>
            <w:pPr>
              <w:pStyle w:val="TableParagraph"/>
              <w:spacing w:before="151"/>
              <w:ind w:left="277" w:right="262"/>
              <w:rPr>
                <w:rFonts w:ascii="Times New Roman"/>
                <w:sz w:val="21"/>
              </w:rPr>
            </w:pPr>
            <w:r>
              <w:rPr>
                <w:rFonts w:ascii="Times New Roman"/>
                <w:sz w:val="21"/>
              </w:rPr>
              <w:t>12</w:t>
            </w:r>
          </w:p>
        </w:tc>
        <w:tc>
          <w:tcPr>
            <w:tcW w:w="669" w:type="dxa"/>
          </w:tcPr>
          <w:p>
            <w:pPr>
              <w:pStyle w:val="TableParagraph"/>
              <w:spacing w:before="151"/>
              <w:ind w:right="104"/>
              <w:jc w:val="right"/>
              <w:rPr>
                <w:rFonts w:ascii="Times New Roman"/>
                <w:sz w:val="21"/>
              </w:rPr>
            </w:pPr>
            <w:r>
              <w:rPr>
                <w:rFonts w:ascii="Times New Roman"/>
                <w:sz w:val="21"/>
              </w:rPr>
              <w:t>2400</w:t>
            </w:r>
          </w:p>
        </w:tc>
        <w:tc>
          <w:tcPr>
            <w:tcW w:w="737" w:type="dxa"/>
          </w:tcPr>
          <w:p>
            <w:pPr>
              <w:pStyle w:val="TableParagraph"/>
              <w:spacing w:before="137"/>
              <w:ind w:left="140" w:right="115"/>
              <w:rPr>
                <w:sz w:val="21"/>
              </w:rPr>
            </w:pPr>
            <w:r>
              <w:rPr>
                <w:sz w:val="21"/>
              </w:rPr>
              <w:t>正常</w:t>
            </w:r>
          </w:p>
        </w:tc>
        <w:tc>
          <w:tcPr>
            <w:tcW w:w="873" w:type="dxa"/>
          </w:tcPr>
          <w:p>
            <w:pPr>
              <w:pStyle w:val="TableParagraph"/>
              <w:spacing w:before="151"/>
              <w:ind w:left="205"/>
              <w:jc w:val="left"/>
              <w:rPr>
                <w:rFonts w:ascii="Times New Roman"/>
                <w:sz w:val="21"/>
              </w:rPr>
            </w:pPr>
            <w:r>
              <w:rPr>
                <w:rFonts w:ascii="Times New Roman"/>
                <w:sz w:val="21"/>
              </w:rPr>
              <w:t>0.346</w:t>
            </w:r>
          </w:p>
        </w:tc>
      </w:tr>
      <w:tr>
        <w:trPr>
          <w:trHeight w:val="544" w:hRule="atLeast"/>
        </w:trPr>
        <w:tc>
          <w:tcPr>
            <w:tcW w:w="427" w:type="dxa"/>
          </w:tcPr>
          <w:p>
            <w:pPr>
              <w:pStyle w:val="TableParagraph"/>
              <w:spacing w:before="151"/>
              <w:ind w:left="9"/>
              <w:rPr>
                <w:rFonts w:ascii="Times New Roman"/>
                <w:sz w:val="21"/>
              </w:rPr>
            </w:pPr>
            <w:r>
              <w:rPr>
                <w:rFonts w:ascii="Times New Roman"/>
                <w:w w:val="100"/>
                <w:sz w:val="21"/>
              </w:rPr>
              <w:t>4</w:t>
            </w:r>
          </w:p>
        </w:tc>
        <w:tc>
          <w:tcPr>
            <w:tcW w:w="1101" w:type="dxa"/>
          </w:tcPr>
          <w:p>
            <w:pPr>
              <w:pStyle w:val="TableParagraph"/>
              <w:spacing w:line="270" w:lineRule="atLeast" w:before="2"/>
              <w:ind w:left="340" w:right="116" w:hanging="212"/>
              <w:jc w:val="left"/>
              <w:rPr>
                <w:sz w:val="21"/>
              </w:rPr>
            </w:pPr>
            <w:r>
              <w:rPr>
                <w:sz w:val="21"/>
              </w:rPr>
              <w:t>永农标五车间</w:t>
            </w:r>
          </w:p>
        </w:tc>
        <w:tc>
          <w:tcPr>
            <w:tcW w:w="847" w:type="dxa"/>
          </w:tcPr>
          <w:p>
            <w:pPr>
              <w:pStyle w:val="TableParagraph"/>
              <w:spacing w:before="151"/>
              <w:ind w:left="90" w:right="77"/>
              <w:rPr>
                <w:rFonts w:ascii="Times New Roman"/>
                <w:sz w:val="21"/>
              </w:rPr>
            </w:pPr>
            <w:r>
              <w:rPr>
                <w:rFonts w:ascii="Times New Roman"/>
                <w:sz w:val="21"/>
              </w:rPr>
              <w:t>298710</w:t>
            </w:r>
          </w:p>
        </w:tc>
        <w:tc>
          <w:tcPr>
            <w:tcW w:w="996" w:type="dxa"/>
          </w:tcPr>
          <w:p>
            <w:pPr>
              <w:pStyle w:val="TableParagraph"/>
              <w:spacing w:before="151"/>
              <w:ind w:left="55" w:right="43"/>
              <w:rPr>
                <w:rFonts w:ascii="Times New Roman"/>
                <w:sz w:val="21"/>
              </w:rPr>
            </w:pPr>
            <w:r>
              <w:rPr>
                <w:rFonts w:ascii="Times New Roman"/>
                <w:sz w:val="21"/>
              </w:rPr>
              <w:t>3338740</w:t>
            </w:r>
          </w:p>
        </w:tc>
        <w:tc>
          <w:tcPr>
            <w:tcW w:w="705" w:type="dxa"/>
          </w:tcPr>
          <w:p>
            <w:pPr>
              <w:pStyle w:val="TableParagraph"/>
              <w:spacing w:before="151"/>
              <w:ind w:left="8"/>
              <w:rPr>
                <w:rFonts w:ascii="Times New Roman"/>
                <w:sz w:val="21"/>
              </w:rPr>
            </w:pPr>
            <w:r>
              <w:rPr>
                <w:rFonts w:ascii="Times New Roman"/>
                <w:w w:val="100"/>
                <w:sz w:val="21"/>
              </w:rPr>
              <w:t>4</w:t>
            </w:r>
          </w:p>
        </w:tc>
        <w:tc>
          <w:tcPr>
            <w:tcW w:w="707" w:type="dxa"/>
          </w:tcPr>
          <w:p>
            <w:pPr>
              <w:pStyle w:val="TableParagraph"/>
              <w:spacing w:before="151"/>
              <w:ind w:left="249"/>
              <w:jc w:val="left"/>
              <w:rPr>
                <w:rFonts w:ascii="Times New Roman"/>
                <w:sz w:val="21"/>
              </w:rPr>
            </w:pPr>
            <w:r>
              <w:rPr>
                <w:rFonts w:ascii="Times New Roman"/>
                <w:sz w:val="21"/>
              </w:rPr>
              <w:t>72</w:t>
            </w:r>
          </w:p>
        </w:tc>
        <w:tc>
          <w:tcPr>
            <w:tcW w:w="729" w:type="dxa"/>
          </w:tcPr>
          <w:p>
            <w:pPr>
              <w:pStyle w:val="TableParagraph"/>
              <w:spacing w:before="151"/>
              <w:ind w:left="262"/>
              <w:jc w:val="left"/>
              <w:rPr>
                <w:rFonts w:ascii="Times New Roman"/>
                <w:sz w:val="21"/>
              </w:rPr>
            </w:pPr>
            <w:r>
              <w:rPr>
                <w:rFonts w:ascii="Times New Roman"/>
                <w:sz w:val="21"/>
              </w:rPr>
              <w:t>32</w:t>
            </w:r>
          </w:p>
        </w:tc>
        <w:tc>
          <w:tcPr>
            <w:tcW w:w="724" w:type="dxa"/>
          </w:tcPr>
          <w:p>
            <w:pPr>
              <w:pStyle w:val="TableParagraph"/>
              <w:spacing w:before="151"/>
              <w:ind w:left="205" w:right="189"/>
              <w:rPr>
                <w:rFonts w:ascii="Times New Roman"/>
                <w:sz w:val="21"/>
              </w:rPr>
            </w:pPr>
            <w:r>
              <w:rPr>
                <w:rFonts w:ascii="Times New Roman"/>
                <w:sz w:val="21"/>
              </w:rPr>
              <w:t>-23</w:t>
            </w:r>
          </w:p>
        </w:tc>
        <w:tc>
          <w:tcPr>
            <w:tcW w:w="825" w:type="dxa"/>
          </w:tcPr>
          <w:p>
            <w:pPr>
              <w:pStyle w:val="TableParagraph"/>
              <w:spacing w:before="151"/>
              <w:ind w:left="277" w:right="262"/>
              <w:rPr>
                <w:rFonts w:ascii="Times New Roman"/>
                <w:sz w:val="21"/>
              </w:rPr>
            </w:pPr>
            <w:r>
              <w:rPr>
                <w:rFonts w:ascii="Times New Roman"/>
                <w:sz w:val="21"/>
              </w:rPr>
              <w:t>12</w:t>
            </w:r>
          </w:p>
        </w:tc>
        <w:tc>
          <w:tcPr>
            <w:tcW w:w="669" w:type="dxa"/>
          </w:tcPr>
          <w:p>
            <w:pPr>
              <w:pStyle w:val="TableParagraph"/>
              <w:spacing w:before="151"/>
              <w:ind w:right="104"/>
              <w:jc w:val="right"/>
              <w:rPr>
                <w:rFonts w:ascii="Times New Roman"/>
                <w:sz w:val="21"/>
              </w:rPr>
            </w:pPr>
            <w:r>
              <w:rPr>
                <w:rFonts w:ascii="Times New Roman"/>
                <w:sz w:val="21"/>
              </w:rPr>
              <w:t>2400</w:t>
            </w:r>
          </w:p>
        </w:tc>
        <w:tc>
          <w:tcPr>
            <w:tcW w:w="737" w:type="dxa"/>
          </w:tcPr>
          <w:p>
            <w:pPr>
              <w:pStyle w:val="TableParagraph"/>
              <w:spacing w:before="138"/>
              <w:ind w:left="140" w:right="115"/>
              <w:rPr>
                <w:sz w:val="21"/>
              </w:rPr>
            </w:pPr>
            <w:r>
              <w:rPr>
                <w:sz w:val="21"/>
              </w:rPr>
              <w:t>正常</w:t>
            </w:r>
          </w:p>
        </w:tc>
        <w:tc>
          <w:tcPr>
            <w:tcW w:w="873" w:type="dxa"/>
          </w:tcPr>
          <w:p>
            <w:pPr>
              <w:pStyle w:val="TableParagraph"/>
              <w:spacing w:before="151"/>
              <w:ind w:left="205"/>
              <w:jc w:val="left"/>
              <w:rPr>
                <w:rFonts w:ascii="Times New Roman"/>
                <w:sz w:val="21"/>
              </w:rPr>
            </w:pPr>
            <w:r>
              <w:rPr>
                <w:rFonts w:ascii="Times New Roman"/>
                <w:sz w:val="21"/>
              </w:rPr>
              <w:t>0.381</w:t>
            </w:r>
          </w:p>
        </w:tc>
      </w:tr>
      <w:tr>
        <w:trPr>
          <w:trHeight w:val="546" w:hRule="atLeast"/>
        </w:trPr>
        <w:tc>
          <w:tcPr>
            <w:tcW w:w="427" w:type="dxa"/>
          </w:tcPr>
          <w:p>
            <w:pPr>
              <w:pStyle w:val="TableParagraph"/>
              <w:spacing w:before="151"/>
              <w:ind w:left="9"/>
              <w:rPr>
                <w:rFonts w:ascii="Times New Roman"/>
                <w:sz w:val="21"/>
              </w:rPr>
            </w:pPr>
            <w:r>
              <w:rPr>
                <w:rFonts w:ascii="Times New Roman"/>
                <w:w w:val="100"/>
                <w:sz w:val="21"/>
              </w:rPr>
              <w:t>5</w:t>
            </w:r>
          </w:p>
        </w:tc>
        <w:tc>
          <w:tcPr>
            <w:tcW w:w="1101" w:type="dxa"/>
          </w:tcPr>
          <w:p>
            <w:pPr>
              <w:pStyle w:val="TableParagraph"/>
              <w:spacing w:line="270" w:lineRule="atLeast" w:before="2"/>
              <w:ind w:left="129" w:right="116"/>
              <w:jc w:val="left"/>
              <w:rPr>
                <w:sz w:val="21"/>
              </w:rPr>
            </w:pPr>
            <w:r>
              <w:rPr>
                <w:sz w:val="21"/>
              </w:rPr>
              <w:t>昶和纤维定型车间</w:t>
            </w:r>
          </w:p>
        </w:tc>
        <w:tc>
          <w:tcPr>
            <w:tcW w:w="847" w:type="dxa"/>
          </w:tcPr>
          <w:p>
            <w:pPr>
              <w:pStyle w:val="TableParagraph"/>
              <w:spacing w:before="151"/>
              <w:ind w:left="90" w:right="77"/>
              <w:rPr>
                <w:rFonts w:ascii="Times New Roman"/>
                <w:sz w:val="21"/>
              </w:rPr>
            </w:pPr>
            <w:r>
              <w:rPr>
                <w:rFonts w:ascii="Times New Roman"/>
                <w:sz w:val="21"/>
              </w:rPr>
              <w:t>296455</w:t>
            </w:r>
          </w:p>
        </w:tc>
        <w:tc>
          <w:tcPr>
            <w:tcW w:w="996" w:type="dxa"/>
          </w:tcPr>
          <w:p>
            <w:pPr>
              <w:pStyle w:val="TableParagraph"/>
              <w:spacing w:before="151"/>
              <w:ind w:left="55" w:right="43"/>
              <w:rPr>
                <w:rFonts w:ascii="Times New Roman"/>
                <w:sz w:val="21"/>
              </w:rPr>
            </w:pPr>
            <w:r>
              <w:rPr>
                <w:rFonts w:ascii="Times New Roman"/>
                <w:sz w:val="21"/>
              </w:rPr>
              <w:t>3337693</w:t>
            </w:r>
          </w:p>
        </w:tc>
        <w:tc>
          <w:tcPr>
            <w:tcW w:w="705" w:type="dxa"/>
          </w:tcPr>
          <w:p>
            <w:pPr>
              <w:pStyle w:val="TableParagraph"/>
              <w:spacing w:before="151"/>
              <w:ind w:left="8"/>
              <w:rPr>
                <w:rFonts w:ascii="Times New Roman"/>
                <w:sz w:val="21"/>
              </w:rPr>
            </w:pPr>
            <w:r>
              <w:rPr>
                <w:rFonts w:ascii="Times New Roman"/>
                <w:w w:val="100"/>
                <w:sz w:val="21"/>
              </w:rPr>
              <w:t>6</w:t>
            </w:r>
          </w:p>
        </w:tc>
        <w:tc>
          <w:tcPr>
            <w:tcW w:w="707" w:type="dxa"/>
          </w:tcPr>
          <w:p>
            <w:pPr>
              <w:pStyle w:val="TableParagraph"/>
              <w:spacing w:before="151"/>
              <w:ind w:left="198"/>
              <w:jc w:val="left"/>
              <w:rPr>
                <w:rFonts w:ascii="Times New Roman"/>
                <w:sz w:val="21"/>
              </w:rPr>
            </w:pPr>
            <w:r>
              <w:rPr>
                <w:rFonts w:ascii="Times New Roman"/>
                <w:sz w:val="21"/>
              </w:rPr>
              <w:t>231</w:t>
            </w:r>
          </w:p>
        </w:tc>
        <w:tc>
          <w:tcPr>
            <w:tcW w:w="729" w:type="dxa"/>
          </w:tcPr>
          <w:p>
            <w:pPr>
              <w:pStyle w:val="TableParagraph"/>
              <w:spacing w:before="151"/>
              <w:ind w:left="209"/>
              <w:jc w:val="left"/>
              <w:rPr>
                <w:rFonts w:ascii="Times New Roman"/>
                <w:sz w:val="21"/>
              </w:rPr>
            </w:pPr>
            <w:r>
              <w:rPr>
                <w:rFonts w:ascii="Times New Roman"/>
                <w:sz w:val="21"/>
              </w:rPr>
              <w:t>119</w:t>
            </w:r>
          </w:p>
        </w:tc>
        <w:tc>
          <w:tcPr>
            <w:tcW w:w="724" w:type="dxa"/>
          </w:tcPr>
          <w:p>
            <w:pPr>
              <w:pStyle w:val="TableParagraph"/>
              <w:spacing w:before="151"/>
              <w:ind w:left="202" w:right="189"/>
              <w:rPr>
                <w:rFonts w:ascii="Times New Roman"/>
                <w:sz w:val="21"/>
              </w:rPr>
            </w:pPr>
            <w:r>
              <w:rPr>
                <w:rFonts w:ascii="Times New Roman"/>
                <w:sz w:val="21"/>
              </w:rPr>
              <w:t>70</w:t>
            </w:r>
          </w:p>
        </w:tc>
        <w:tc>
          <w:tcPr>
            <w:tcW w:w="825" w:type="dxa"/>
          </w:tcPr>
          <w:p>
            <w:pPr>
              <w:pStyle w:val="TableParagraph"/>
              <w:spacing w:before="151"/>
              <w:ind w:left="15"/>
              <w:rPr>
                <w:rFonts w:ascii="Times New Roman"/>
                <w:sz w:val="21"/>
              </w:rPr>
            </w:pPr>
            <w:r>
              <w:rPr>
                <w:rFonts w:ascii="Times New Roman"/>
                <w:w w:val="100"/>
                <w:sz w:val="21"/>
              </w:rPr>
              <w:t>6</w:t>
            </w:r>
          </w:p>
        </w:tc>
        <w:tc>
          <w:tcPr>
            <w:tcW w:w="669" w:type="dxa"/>
          </w:tcPr>
          <w:p>
            <w:pPr>
              <w:pStyle w:val="TableParagraph"/>
              <w:spacing w:before="151"/>
              <w:ind w:right="104"/>
              <w:jc w:val="right"/>
              <w:rPr>
                <w:rFonts w:ascii="Times New Roman"/>
                <w:sz w:val="21"/>
              </w:rPr>
            </w:pPr>
            <w:r>
              <w:rPr>
                <w:rFonts w:ascii="Times New Roman"/>
                <w:sz w:val="21"/>
              </w:rPr>
              <w:t>7260</w:t>
            </w:r>
          </w:p>
        </w:tc>
        <w:tc>
          <w:tcPr>
            <w:tcW w:w="737" w:type="dxa"/>
          </w:tcPr>
          <w:p>
            <w:pPr>
              <w:pStyle w:val="TableParagraph"/>
              <w:spacing w:before="137"/>
              <w:ind w:left="140" w:right="115"/>
              <w:rPr>
                <w:sz w:val="21"/>
              </w:rPr>
            </w:pPr>
            <w:r>
              <w:rPr>
                <w:sz w:val="21"/>
              </w:rPr>
              <w:t>正常</w:t>
            </w:r>
          </w:p>
        </w:tc>
        <w:tc>
          <w:tcPr>
            <w:tcW w:w="873" w:type="dxa"/>
          </w:tcPr>
          <w:p>
            <w:pPr>
              <w:pStyle w:val="TableParagraph"/>
              <w:spacing w:before="151"/>
              <w:ind w:left="205"/>
              <w:jc w:val="left"/>
              <w:rPr>
                <w:rFonts w:ascii="Times New Roman"/>
                <w:sz w:val="21"/>
              </w:rPr>
            </w:pPr>
            <w:r>
              <w:rPr>
                <w:rFonts w:ascii="Times New Roman"/>
                <w:sz w:val="21"/>
              </w:rPr>
              <w:t>0.117</w:t>
            </w:r>
          </w:p>
        </w:tc>
      </w:tr>
    </w:tbl>
    <w:p>
      <w:pPr>
        <w:spacing w:after="0"/>
        <w:jc w:val="left"/>
        <w:rPr>
          <w:rFonts w:ascii="Times New Roman"/>
          <w:sz w:val="21"/>
        </w:rPr>
        <w:sectPr>
          <w:pgSz w:w="11910" w:h="16850"/>
          <w:pgMar w:header="1004" w:footer="1088" w:top="1360" w:bottom="1280" w:left="1300" w:right="1020"/>
        </w:sectPr>
      </w:pPr>
    </w:p>
    <w:p>
      <w:pPr>
        <w:pStyle w:val="ListParagraph"/>
        <w:numPr>
          <w:ilvl w:val="0"/>
          <w:numId w:val="27"/>
        </w:numPr>
        <w:tabs>
          <w:tab w:pos="1313" w:val="left" w:leader="none"/>
        </w:tabs>
        <w:spacing w:line="240" w:lineRule="auto" w:before="64" w:after="0"/>
        <w:ind w:left="1312" w:right="0" w:hanging="602"/>
        <w:jc w:val="left"/>
        <w:rPr>
          <w:sz w:val="24"/>
        </w:rPr>
      </w:pPr>
      <w:r>
        <w:rPr>
          <w:sz w:val="24"/>
        </w:rPr>
        <w:t>预测因子选择</w:t>
      </w:r>
    </w:p>
    <w:p>
      <w:pPr>
        <w:pStyle w:val="BodyText"/>
        <w:spacing w:line="362" w:lineRule="auto" w:before="160"/>
        <w:ind w:left="231" w:right="222" w:firstLine="479"/>
      </w:pPr>
      <w:r>
        <w:rPr>
          <w:spacing w:val="-8"/>
        </w:rPr>
        <w:t>采用导则推荐的 </w:t>
      </w:r>
      <w:r>
        <w:rPr>
          <w:rFonts w:ascii="Times New Roman" w:eastAsia="Times New Roman"/>
        </w:rPr>
        <w:t>AERSCREEN </w:t>
      </w:r>
      <w:r>
        <w:rPr>
          <w:spacing w:val="-10"/>
        </w:rPr>
        <w:t>估算模式，各污染物的最大地面质量浓度占标率计算</w:t>
      </w:r>
      <w:r>
        <w:rPr>
          <w:spacing w:val="-13"/>
          <w:position w:val="2"/>
        </w:rPr>
        <w:t>结果见表 </w:t>
      </w:r>
      <w:r>
        <w:rPr>
          <w:rFonts w:ascii="Times New Roman" w:eastAsia="Times New Roman"/>
          <w:position w:val="2"/>
        </w:rPr>
        <w:t>2.4.2-5</w:t>
      </w:r>
      <w:r>
        <w:rPr>
          <w:position w:val="2"/>
        </w:rPr>
        <w:t>。本环评选取甲酸、</w:t>
      </w:r>
      <w:r>
        <w:rPr>
          <w:rFonts w:ascii="Times New Roman" w:eastAsia="Times New Roman"/>
          <w:position w:val="2"/>
        </w:rPr>
        <w:t>PM</w:t>
      </w:r>
      <w:r>
        <w:rPr>
          <w:rFonts w:ascii="Times New Roman" w:eastAsia="Times New Roman"/>
          <w:sz w:val="16"/>
        </w:rPr>
        <w:t>10</w:t>
      </w:r>
      <w:r>
        <w:rPr>
          <w:position w:val="2"/>
        </w:rPr>
        <w:t>、</w:t>
      </w:r>
      <w:r>
        <w:rPr>
          <w:rFonts w:ascii="Times New Roman" w:eastAsia="Times New Roman"/>
          <w:position w:val="2"/>
        </w:rPr>
        <w:t>TSP </w:t>
      </w:r>
      <w:r>
        <w:rPr>
          <w:position w:val="2"/>
        </w:rPr>
        <w:t>为预测因子。</w:t>
      </w:r>
    </w:p>
    <w:p>
      <w:pPr>
        <w:pStyle w:val="Heading4"/>
        <w:numPr>
          <w:ilvl w:val="3"/>
          <w:numId w:val="26"/>
        </w:numPr>
        <w:tabs>
          <w:tab w:pos="952" w:val="left" w:leader="none"/>
        </w:tabs>
        <w:spacing w:line="240" w:lineRule="auto" w:before="5" w:after="0"/>
        <w:ind w:left="951" w:right="0" w:hanging="721"/>
        <w:jc w:val="left"/>
      </w:pPr>
      <w:r>
        <w:rPr/>
        <w:t>预测内容</w:t>
      </w:r>
    </w:p>
    <w:p>
      <w:pPr>
        <w:pStyle w:val="BodyText"/>
        <w:spacing w:line="364" w:lineRule="auto" w:before="158"/>
        <w:ind w:left="231" w:right="101" w:firstLine="479"/>
      </w:pPr>
      <w:r>
        <w:rPr>
          <w:spacing w:val="-12"/>
        </w:rPr>
        <w:t>根据估算模式结果，本次大气环境影响评价主要考虑本项目建成后排放的废气甲酸、</w:t>
      </w:r>
      <w:r>
        <w:rPr>
          <w:rFonts w:ascii="Times New Roman" w:eastAsia="Times New Roman"/>
          <w:position w:val="2"/>
        </w:rPr>
        <w:t>PM</w:t>
      </w:r>
      <w:r>
        <w:rPr>
          <w:rFonts w:ascii="Times New Roman" w:eastAsia="Times New Roman"/>
          <w:sz w:val="16"/>
        </w:rPr>
        <w:t>10 </w:t>
      </w:r>
      <w:r>
        <w:rPr>
          <w:spacing w:val="-31"/>
          <w:position w:val="2"/>
        </w:rPr>
        <w:t>和 </w:t>
      </w:r>
      <w:r>
        <w:rPr>
          <w:rFonts w:ascii="Times New Roman" w:eastAsia="Times New Roman"/>
          <w:position w:val="2"/>
        </w:rPr>
        <w:t>TSP </w:t>
      </w:r>
      <w:r>
        <w:rPr>
          <w:spacing w:val="-8"/>
          <w:position w:val="2"/>
        </w:rPr>
        <w:t>对评价区域和环境空气敏感点的影响。本次大气环境影响预测同时考虑评价</w:t>
      </w:r>
      <w:r>
        <w:rPr>
          <w:spacing w:val="-7"/>
        </w:rPr>
        <w:t>范围内其他企业拟建、在建项目排放的同类废气污染源对评价区域和环境空气敏感点的影响。具体预测内容见下表。</w:t>
      </w:r>
    </w:p>
    <w:p>
      <w:pPr>
        <w:pStyle w:val="Heading4"/>
        <w:tabs>
          <w:tab w:pos="1333" w:val="left" w:leader="none"/>
        </w:tabs>
        <w:spacing w:before="140" w:after="29"/>
        <w:ind w:left="6"/>
        <w:jc w:val="center"/>
      </w:pPr>
      <w:r>
        <w:rPr/>
        <w:t>表</w:t>
      </w:r>
      <w:r>
        <w:rPr>
          <w:spacing w:val="-64"/>
        </w:rPr>
        <w:t> </w:t>
      </w:r>
      <w:r>
        <w:rPr>
          <w:rFonts w:ascii="Times New Roman" w:eastAsia="Times New Roman"/>
        </w:rPr>
        <w:t>7.2.1-11</w:t>
        <w:tab/>
      </w:r>
      <w:r>
        <w:rPr/>
        <w:t>本项目预测内容</w:t>
      </w:r>
    </w:p>
    <w:tbl>
      <w:tblPr>
        <w:tblW w:w="0" w:type="auto"/>
        <w:jc w:val="left"/>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
        <w:gridCol w:w="1844"/>
        <w:gridCol w:w="1277"/>
        <w:gridCol w:w="1277"/>
        <w:gridCol w:w="1363"/>
        <w:gridCol w:w="2405"/>
      </w:tblGrid>
      <w:tr>
        <w:trPr>
          <w:trHeight w:val="285" w:hRule="atLeast"/>
        </w:trPr>
        <w:tc>
          <w:tcPr>
            <w:tcW w:w="1020" w:type="dxa"/>
          </w:tcPr>
          <w:p>
            <w:pPr>
              <w:pStyle w:val="TableParagraph"/>
              <w:spacing w:line="257" w:lineRule="exact" w:before="8"/>
              <w:ind w:left="88"/>
              <w:jc w:val="left"/>
              <w:rPr>
                <w:b/>
                <w:sz w:val="21"/>
              </w:rPr>
            </w:pPr>
            <w:r>
              <w:rPr>
                <w:b/>
                <w:sz w:val="21"/>
              </w:rPr>
              <w:t>评价对象</w:t>
            </w:r>
          </w:p>
        </w:tc>
        <w:tc>
          <w:tcPr>
            <w:tcW w:w="1844" w:type="dxa"/>
          </w:tcPr>
          <w:p>
            <w:pPr>
              <w:pStyle w:val="TableParagraph"/>
              <w:spacing w:line="257" w:lineRule="exact" w:before="8"/>
              <w:ind w:left="134" w:right="126"/>
              <w:rPr>
                <w:b/>
                <w:sz w:val="21"/>
              </w:rPr>
            </w:pPr>
            <w:r>
              <w:rPr>
                <w:b/>
                <w:sz w:val="21"/>
              </w:rPr>
              <w:t>污染源</w:t>
            </w:r>
          </w:p>
        </w:tc>
        <w:tc>
          <w:tcPr>
            <w:tcW w:w="1277" w:type="dxa"/>
          </w:tcPr>
          <w:p>
            <w:pPr>
              <w:pStyle w:val="TableParagraph"/>
              <w:spacing w:line="257" w:lineRule="exact" w:before="8"/>
              <w:ind w:left="11" w:right="3"/>
              <w:rPr>
                <w:b/>
                <w:sz w:val="21"/>
              </w:rPr>
            </w:pPr>
            <w:r>
              <w:rPr>
                <w:b/>
                <w:sz w:val="21"/>
              </w:rPr>
              <w:t>排放形式</w:t>
            </w:r>
          </w:p>
        </w:tc>
        <w:tc>
          <w:tcPr>
            <w:tcW w:w="1277" w:type="dxa"/>
          </w:tcPr>
          <w:p>
            <w:pPr>
              <w:pStyle w:val="TableParagraph"/>
              <w:spacing w:line="257" w:lineRule="exact" w:before="8"/>
              <w:ind w:left="215"/>
              <w:jc w:val="left"/>
              <w:rPr>
                <w:b/>
                <w:sz w:val="21"/>
              </w:rPr>
            </w:pPr>
            <w:r>
              <w:rPr>
                <w:b/>
                <w:sz w:val="21"/>
              </w:rPr>
              <w:t>预测内容</w:t>
            </w:r>
          </w:p>
        </w:tc>
        <w:tc>
          <w:tcPr>
            <w:tcW w:w="1363" w:type="dxa"/>
          </w:tcPr>
          <w:p>
            <w:pPr>
              <w:pStyle w:val="TableParagraph"/>
              <w:spacing w:line="257" w:lineRule="exact" w:before="8"/>
              <w:ind w:left="124" w:right="115"/>
              <w:rPr>
                <w:b/>
                <w:sz w:val="21"/>
              </w:rPr>
            </w:pPr>
            <w:r>
              <w:rPr>
                <w:b/>
                <w:sz w:val="21"/>
              </w:rPr>
              <w:t>预测因子</w:t>
            </w:r>
          </w:p>
        </w:tc>
        <w:tc>
          <w:tcPr>
            <w:tcW w:w="2405" w:type="dxa"/>
          </w:tcPr>
          <w:p>
            <w:pPr>
              <w:pStyle w:val="TableParagraph"/>
              <w:spacing w:line="257" w:lineRule="exact" w:before="8"/>
              <w:ind w:left="343" w:right="329"/>
              <w:rPr>
                <w:b/>
                <w:sz w:val="21"/>
              </w:rPr>
            </w:pPr>
            <w:r>
              <w:rPr>
                <w:b/>
                <w:sz w:val="21"/>
              </w:rPr>
              <w:t>评价内容</w:t>
            </w:r>
          </w:p>
        </w:tc>
      </w:tr>
      <w:tr>
        <w:trPr>
          <w:trHeight w:val="282" w:hRule="atLeast"/>
        </w:trPr>
        <w:tc>
          <w:tcPr>
            <w:tcW w:w="1020"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8"/>
              <w:jc w:val="left"/>
              <w:rPr>
                <w:b/>
                <w:sz w:val="17"/>
              </w:rPr>
            </w:pPr>
          </w:p>
          <w:p>
            <w:pPr>
              <w:pStyle w:val="TableParagraph"/>
              <w:spacing w:line="244" w:lineRule="auto"/>
              <w:ind w:left="194" w:right="74" w:hanging="104"/>
              <w:jc w:val="left"/>
              <w:rPr>
                <w:sz w:val="21"/>
              </w:rPr>
            </w:pPr>
            <w:r>
              <w:rPr>
                <w:sz w:val="21"/>
              </w:rPr>
              <w:t>达标区评价项目</w:t>
            </w:r>
          </w:p>
        </w:tc>
        <w:tc>
          <w:tcPr>
            <w:tcW w:w="1844" w:type="dxa"/>
            <w:vMerge w:val="restart"/>
          </w:tcPr>
          <w:p>
            <w:pPr>
              <w:pStyle w:val="TableParagraph"/>
              <w:spacing w:before="2"/>
              <w:jc w:val="left"/>
              <w:rPr>
                <w:b/>
                <w:sz w:val="22"/>
              </w:rPr>
            </w:pPr>
          </w:p>
          <w:p>
            <w:pPr>
              <w:pStyle w:val="TableParagraph"/>
              <w:ind w:left="395"/>
              <w:jc w:val="left"/>
              <w:rPr>
                <w:sz w:val="21"/>
              </w:rPr>
            </w:pPr>
            <w:r>
              <w:rPr>
                <w:sz w:val="21"/>
              </w:rPr>
              <w:t>新增污染源</w:t>
            </w:r>
          </w:p>
        </w:tc>
        <w:tc>
          <w:tcPr>
            <w:tcW w:w="1277" w:type="dxa"/>
            <w:vMerge w:val="restart"/>
          </w:tcPr>
          <w:p>
            <w:pPr>
              <w:pStyle w:val="TableParagraph"/>
              <w:spacing w:before="2"/>
              <w:jc w:val="left"/>
              <w:rPr>
                <w:b/>
                <w:sz w:val="22"/>
              </w:rPr>
            </w:pPr>
          </w:p>
          <w:p>
            <w:pPr>
              <w:pStyle w:val="TableParagraph"/>
              <w:ind w:left="217"/>
              <w:jc w:val="left"/>
              <w:rPr>
                <w:sz w:val="21"/>
              </w:rPr>
            </w:pPr>
            <w:r>
              <w:rPr>
                <w:sz w:val="21"/>
              </w:rPr>
              <w:t>正常排放</w:t>
            </w:r>
          </w:p>
        </w:tc>
        <w:tc>
          <w:tcPr>
            <w:tcW w:w="1277" w:type="dxa"/>
          </w:tcPr>
          <w:p>
            <w:pPr>
              <w:pStyle w:val="TableParagraph"/>
              <w:spacing w:line="257" w:lineRule="exact" w:before="6"/>
              <w:ind w:left="215"/>
              <w:jc w:val="left"/>
              <w:rPr>
                <w:sz w:val="21"/>
              </w:rPr>
            </w:pPr>
            <w:r>
              <w:rPr>
                <w:sz w:val="21"/>
              </w:rPr>
              <w:t>短期浓度</w:t>
            </w:r>
          </w:p>
        </w:tc>
        <w:tc>
          <w:tcPr>
            <w:tcW w:w="1363" w:type="dxa"/>
          </w:tcPr>
          <w:p>
            <w:pPr>
              <w:pStyle w:val="TableParagraph"/>
              <w:spacing w:line="257" w:lineRule="exact" w:before="6"/>
              <w:ind w:left="124" w:right="115"/>
              <w:rPr>
                <w:sz w:val="21"/>
              </w:rPr>
            </w:pPr>
            <w:r>
              <w:rPr>
                <w:sz w:val="21"/>
              </w:rPr>
              <w:t>甲酸</w:t>
            </w:r>
          </w:p>
        </w:tc>
        <w:tc>
          <w:tcPr>
            <w:tcW w:w="2405" w:type="dxa"/>
          </w:tcPr>
          <w:p>
            <w:pPr>
              <w:pStyle w:val="TableParagraph"/>
              <w:spacing w:line="257" w:lineRule="exact" w:before="6"/>
              <w:ind w:left="343" w:right="329"/>
              <w:rPr>
                <w:sz w:val="21"/>
              </w:rPr>
            </w:pPr>
            <w:r>
              <w:rPr>
                <w:sz w:val="21"/>
              </w:rPr>
              <w:t>最大浓度占标率</w:t>
            </w:r>
          </w:p>
        </w:tc>
      </w:tr>
      <w:tr>
        <w:trPr>
          <w:trHeight w:val="544" w:hRule="atLeast"/>
        </w:trPr>
        <w:tc>
          <w:tcPr>
            <w:tcW w:w="1020" w:type="dxa"/>
            <w:vMerge/>
            <w:tcBorders>
              <w:top w:val="nil"/>
            </w:tcBorders>
          </w:tcPr>
          <w:p>
            <w:pPr>
              <w:rPr>
                <w:sz w:val="2"/>
                <w:szCs w:val="2"/>
              </w:rPr>
            </w:pPr>
          </w:p>
        </w:tc>
        <w:tc>
          <w:tcPr>
            <w:tcW w:w="1844" w:type="dxa"/>
            <w:vMerge/>
            <w:tcBorders>
              <w:top w:val="nil"/>
            </w:tcBorders>
          </w:tcPr>
          <w:p>
            <w:pPr>
              <w:rPr>
                <w:sz w:val="2"/>
                <w:szCs w:val="2"/>
              </w:rPr>
            </w:pPr>
          </w:p>
        </w:tc>
        <w:tc>
          <w:tcPr>
            <w:tcW w:w="1277" w:type="dxa"/>
            <w:vMerge/>
            <w:tcBorders>
              <w:top w:val="nil"/>
            </w:tcBorders>
          </w:tcPr>
          <w:p>
            <w:pPr>
              <w:rPr>
                <w:sz w:val="2"/>
                <w:szCs w:val="2"/>
              </w:rPr>
            </w:pPr>
          </w:p>
        </w:tc>
        <w:tc>
          <w:tcPr>
            <w:tcW w:w="1277" w:type="dxa"/>
          </w:tcPr>
          <w:p>
            <w:pPr>
              <w:pStyle w:val="TableParagraph"/>
              <w:spacing w:before="1"/>
              <w:ind w:left="11" w:right="3"/>
              <w:rPr>
                <w:sz w:val="21"/>
              </w:rPr>
            </w:pPr>
            <w:r>
              <w:rPr>
                <w:spacing w:val="-9"/>
                <w:sz w:val="21"/>
              </w:rPr>
              <w:t>短期浓度、长</w:t>
            </w:r>
          </w:p>
          <w:p>
            <w:pPr>
              <w:pStyle w:val="TableParagraph"/>
              <w:spacing w:line="250" w:lineRule="exact" w:before="4"/>
              <w:ind w:left="11" w:right="3"/>
              <w:rPr>
                <w:sz w:val="21"/>
              </w:rPr>
            </w:pPr>
            <w:r>
              <w:rPr>
                <w:sz w:val="21"/>
              </w:rPr>
              <w:t>期浓度</w:t>
            </w:r>
          </w:p>
        </w:tc>
        <w:tc>
          <w:tcPr>
            <w:tcW w:w="1363" w:type="dxa"/>
          </w:tcPr>
          <w:p>
            <w:pPr>
              <w:pStyle w:val="TableParagraph"/>
              <w:spacing w:before="137"/>
              <w:ind w:left="124" w:right="115"/>
              <w:rPr>
                <w:rFonts w:ascii="Times New Roman" w:eastAsia="Times New Roman"/>
                <w:sz w:val="21"/>
              </w:rPr>
            </w:pPr>
            <w:r>
              <w:rPr>
                <w:rFonts w:ascii="Times New Roman" w:eastAsia="Times New Roman"/>
                <w:position w:val="2"/>
                <w:sz w:val="21"/>
              </w:rPr>
              <w:t>PM</w:t>
            </w:r>
            <w:r>
              <w:rPr>
                <w:rFonts w:ascii="Times New Roman" w:eastAsia="Times New Roman"/>
                <w:sz w:val="14"/>
              </w:rPr>
              <w:t>10</w:t>
            </w:r>
            <w:r>
              <w:rPr>
                <w:position w:val="2"/>
                <w:sz w:val="21"/>
              </w:rPr>
              <w:t>、</w:t>
            </w:r>
            <w:r>
              <w:rPr>
                <w:rFonts w:ascii="Times New Roman" w:eastAsia="Times New Roman"/>
                <w:position w:val="2"/>
                <w:sz w:val="21"/>
              </w:rPr>
              <w:t>TSP</w:t>
            </w:r>
          </w:p>
        </w:tc>
        <w:tc>
          <w:tcPr>
            <w:tcW w:w="2405" w:type="dxa"/>
          </w:tcPr>
          <w:p>
            <w:pPr>
              <w:pStyle w:val="TableParagraph"/>
              <w:spacing w:before="138"/>
              <w:ind w:left="343" w:right="329"/>
              <w:rPr>
                <w:sz w:val="21"/>
              </w:rPr>
            </w:pPr>
            <w:r>
              <w:rPr>
                <w:sz w:val="21"/>
              </w:rPr>
              <w:t>最大浓度占标率</w:t>
            </w:r>
          </w:p>
        </w:tc>
      </w:tr>
      <w:tr>
        <w:trPr>
          <w:trHeight w:val="544" w:hRule="atLeast"/>
        </w:trPr>
        <w:tc>
          <w:tcPr>
            <w:tcW w:w="1020" w:type="dxa"/>
            <w:vMerge/>
            <w:tcBorders>
              <w:top w:val="nil"/>
            </w:tcBorders>
          </w:tcPr>
          <w:p>
            <w:pPr>
              <w:rPr>
                <w:sz w:val="2"/>
                <w:szCs w:val="2"/>
              </w:rPr>
            </w:pPr>
          </w:p>
        </w:tc>
        <w:tc>
          <w:tcPr>
            <w:tcW w:w="1844" w:type="dxa"/>
            <w:vMerge w:val="restart"/>
          </w:tcPr>
          <w:p>
            <w:pPr>
              <w:pStyle w:val="TableParagraph"/>
              <w:jc w:val="left"/>
              <w:rPr>
                <w:b/>
                <w:sz w:val="20"/>
              </w:rPr>
            </w:pPr>
          </w:p>
          <w:p>
            <w:pPr>
              <w:pStyle w:val="TableParagraph"/>
              <w:spacing w:before="2"/>
              <w:jc w:val="left"/>
              <w:rPr>
                <w:b/>
                <w:sz w:val="23"/>
              </w:rPr>
            </w:pPr>
          </w:p>
          <w:p>
            <w:pPr>
              <w:pStyle w:val="TableParagraph"/>
              <w:spacing w:line="242" w:lineRule="auto"/>
              <w:ind w:left="81" w:right="68" w:firstLine="45"/>
              <w:jc w:val="left"/>
              <w:rPr>
                <w:sz w:val="21"/>
              </w:rPr>
            </w:pPr>
            <w:r>
              <w:rPr>
                <w:sz w:val="21"/>
              </w:rPr>
              <w:t>新增污染源</w:t>
            </w:r>
            <w:r>
              <w:rPr>
                <w:rFonts w:ascii="Times New Roman" w:eastAsia="Times New Roman"/>
                <w:sz w:val="21"/>
              </w:rPr>
              <w:t>+</w:t>
            </w:r>
            <w:r>
              <w:rPr>
                <w:sz w:val="21"/>
              </w:rPr>
              <w:t>其他在建、拟建污染源</w:t>
            </w:r>
          </w:p>
        </w:tc>
        <w:tc>
          <w:tcPr>
            <w:tcW w:w="1277" w:type="dxa"/>
            <w:vMerge w:val="restart"/>
          </w:tcPr>
          <w:p>
            <w:pPr>
              <w:pStyle w:val="TableParagraph"/>
              <w:jc w:val="left"/>
              <w:rPr>
                <w:b/>
                <w:sz w:val="20"/>
              </w:rPr>
            </w:pPr>
          </w:p>
          <w:p>
            <w:pPr>
              <w:pStyle w:val="TableParagraph"/>
              <w:jc w:val="left"/>
              <w:rPr>
                <w:b/>
                <w:sz w:val="20"/>
              </w:rPr>
            </w:pPr>
          </w:p>
          <w:p>
            <w:pPr>
              <w:pStyle w:val="TableParagraph"/>
              <w:spacing w:before="175"/>
              <w:ind w:left="217"/>
              <w:jc w:val="left"/>
              <w:rPr>
                <w:sz w:val="21"/>
              </w:rPr>
            </w:pPr>
            <w:r>
              <w:rPr>
                <w:sz w:val="21"/>
              </w:rPr>
              <w:t>正常排放</w:t>
            </w:r>
          </w:p>
        </w:tc>
        <w:tc>
          <w:tcPr>
            <w:tcW w:w="1277" w:type="dxa"/>
          </w:tcPr>
          <w:p>
            <w:pPr>
              <w:pStyle w:val="TableParagraph"/>
              <w:spacing w:before="138"/>
              <w:ind w:left="215"/>
              <w:jc w:val="left"/>
              <w:rPr>
                <w:sz w:val="21"/>
              </w:rPr>
            </w:pPr>
            <w:r>
              <w:rPr>
                <w:sz w:val="21"/>
              </w:rPr>
              <w:t>短期浓度</w:t>
            </w:r>
          </w:p>
        </w:tc>
        <w:tc>
          <w:tcPr>
            <w:tcW w:w="1363" w:type="dxa"/>
          </w:tcPr>
          <w:p>
            <w:pPr>
              <w:pStyle w:val="TableParagraph"/>
              <w:spacing w:before="138"/>
              <w:ind w:left="124" w:right="115"/>
              <w:rPr>
                <w:sz w:val="21"/>
              </w:rPr>
            </w:pPr>
            <w:r>
              <w:rPr>
                <w:sz w:val="21"/>
              </w:rPr>
              <w:t>甲酸</w:t>
            </w:r>
          </w:p>
        </w:tc>
        <w:tc>
          <w:tcPr>
            <w:tcW w:w="2405" w:type="dxa"/>
          </w:tcPr>
          <w:p>
            <w:pPr>
              <w:pStyle w:val="TableParagraph"/>
              <w:spacing w:line="270" w:lineRule="atLeast" w:before="2"/>
              <w:ind w:left="362" w:right="31" w:hanging="315"/>
              <w:jc w:val="left"/>
              <w:rPr>
                <w:sz w:val="21"/>
              </w:rPr>
            </w:pPr>
            <w:r>
              <w:rPr>
                <w:sz w:val="21"/>
              </w:rPr>
              <w:t>叠加环境质量现状浓度后短期浓度达标情况</w:t>
            </w:r>
          </w:p>
        </w:tc>
      </w:tr>
      <w:tr>
        <w:trPr>
          <w:trHeight w:val="1091" w:hRule="atLeast"/>
        </w:trPr>
        <w:tc>
          <w:tcPr>
            <w:tcW w:w="1020" w:type="dxa"/>
            <w:vMerge/>
            <w:tcBorders>
              <w:top w:val="nil"/>
            </w:tcBorders>
          </w:tcPr>
          <w:p>
            <w:pPr>
              <w:rPr>
                <w:sz w:val="2"/>
                <w:szCs w:val="2"/>
              </w:rPr>
            </w:pPr>
          </w:p>
        </w:tc>
        <w:tc>
          <w:tcPr>
            <w:tcW w:w="1844" w:type="dxa"/>
            <w:vMerge/>
            <w:tcBorders>
              <w:top w:val="nil"/>
            </w:tcBorders>
          </w:tcPr>
          <w:p>
            <w:pPr>
              <w:rPr>
                <w:sz w:val="2"/>
                <w:szCs w:val="2"/>
              </w:rPr>
            </w:pPr>
          </w:p>
        </w:tc>
        <w:tc>
          <w:tcPr>
            <w:tcW w:w="1277" w:type="dxa"/>
            <w:vMerge/>
            <w:tcBorders>
              <w:top w:val="nil"/>
            </w:tcBorders>
          </w:tcPr>
          <w:p>
            <w:pPr>
              <w:rPr>
                <w:sz w:val="2"/>
                <w:szCs w:val="2"/>
              </w:rPr>
            </w:pPr>
          </w:p>
        </w:tc>
        <w:tc>
          <w:tcPr>
            <w:tcW w:w="1277" w:type="dxa"/>
          </w:tcPr>
          <w:p>
            <w:pPr>
              <w:pStyle w:val="TableParagraph"/>
              <w:spacing w:before="5"/>
              <w:jc w:val="left"/>
              <w:rPr>
                <w:b/>
                <w:sz w:val="21"/>
              </w:rPr>
            </w:pPr>
          </w:p>
          <w:p>
            <w:pPr>
              <w:pStyle w:val="TableParagraph"/>
              <w:spacing w:line="244" w:lineRule="auto"/>
              <w:ind w:left="320" w:right="14" w:hanging="296"/>
              <w:jc w:val="left"/>
              <w:rPr>
                <w:sz w:val="21"/>
              </w:rPr>
            </w:pPr>
            <w:r>
              <w:rPr>
                <w:spacing w:val="-11"/>
                <w:sz w:val="21"/>
              </w:rPr>
              <w:t>短期浓度、长</w:t>
            </w:r>
            <w:r>
              <w:rPr>
                <w:sz w:val="21"/>
              </w:rPr>
              <w:t>期浓度</w:t>
            </w:r>
          </w:p>
        </w:tc>
        <w:tc>
          <w:tcPr>
            <w:tcW w:w="1363" w:type="dxa"/>
          </w:tcPr>
          <w:p>
            <w:pPr>
              <w:pStyle w:val="TableParagraph"/>
              <w:jc w:val="left"/>
              <w:rPr>
                <w:b/>
                <w:sz w:val="32"/>
              </w:rPr>
            </w:pPr>
          </w:p>
          <w:p>
            <w:pPr>
              <w:pStyle w:val="TableParagraph"/>
              <w:ind w:left="124" w:right="115"/>
              <w:rPr>
                <w:rFonts w:ascii="Times New Roman" w:eastAsia="Times New Roman"/>
                <w:sz w:val="21"/>
              </w:rPr>
            </w:pPr>
            <w:r>
              <w:rPr>
                <w:rFonts w:ascii="Times New Roman" w:eastAsia="Times New Roman"/>
                <w:position w:val="2"/>
                <w:sz w:val="21"/>
              </w:rPr>
              <w:t>PM</w:t>
            </w:r>
            <w:r>
              <w:rPr>
                <w:rFonts w:ascii="Times New Roman" w:eastAsia="Times New Roman"/>
                <w:sz w:val="14"/>
              </w:rPr>
              <w:t>10</w:t>
            </w:r>
            <w:r>
              <w:rPr>
                <w:position w:val="2"/>
                <w:sz w:val="21"/>
              </w:rPr>
              <w:t>、</w:t>
            </w:r>
            <w:r>
              <w:rPr>
                <w:rFonts w:ascii="Times New Roman" w:eastAsia="Times New Roman"/>
                <w:position w:val="2"/>
                <w:sz w:val="21"/>
              </w:rPr>
              <w:t>TSP</w:t>
            </w:r>
          </w:p>
        </w:tc>
        <w:tc>
          <w:tcPr>
            <w:tcW w:w="2405" w:type="dxa"/>
          </w:tcPr>
          <w:p>
            <w:pPr>
              <w:pStyle w:val="TableParagraph"/>
              <w:spacing w:line="242" w:lineRule="auto" w:before="3"/>
              <w:ind w:left="47" w:right="31"/>
              <w:jc w:val="both"/>
              <w:rPr>
                <w:sz w:val="21"/>
              </w:rPr>
            </w:pPr>
            <w:r>
              <w:rPr>
                <w:sz w:val="21"/>
              </w:rPr>
              <w:t>叠加环境质量现状浓度后的保证率日平均质量浓度和年平均质量浓度的占标</w:t>
            </w:r>
          </w:p>
          <w:p>
            <w:pPr>
              <w:pStyle w:val="TableParagraph"/>
              <w:spacing w:line="252" w:lineRule="exact" w:before="1"/>
              <w:ind w:left="10"/>
              <w:rPr>
                <w:sz w:val="21"/>
              </w:rPr>
            </w:pPr>
            <w:r>
              <w:rPr>
                <w:w w:val="100"/>
                <w:sz w:val="21"/>
              </w:rPr>
              <w:t>率</w:t>
            </w:r>
          </w:p>
        </w:tc>
      </w:tr>
      <w:tr>
        <w:trPr>
          <w:trHeight w:val="544" w:hRule="atLeast"/>
        </w:trPr>
        <w:tc>
          <w:tcPr>
            <w:tcW w:w="1020" w:type="dxa"/>
            <w:vMerge/>
            <w:tcBorders>
              <w:top w:val="nil"/>
            </w:tcBorders>
          </w:tcPr>
          <w:p>
            <w:pPr>
              <w:rPr>
                <w:sz w:val="2"/>
                <w:szCs w:val="2"/>
              </w:rPr>
            </w:pPr>
          </w:p>
        </w:tc>
        <w:tc>
          <w:tcPr>
            <w:tcW w:w="1844" w:type="dxa"/>
          </w:tcPr>
          <w:p>
            <w:pPr>
              <w:pStyle w:val="TableParagraph"/>
              <w:spacing w:before="135"/>
              <w:ind w:left="134" w:right="123"/>
              <w:rPr>
                <w:sz w:val="21"/>
              </w:rPr>
            </w:pPr>
            <w:r>
              <w:rPr>
                <w:sz w:val="21"/>
              </w:rPr>
              <w:t>新增污染源</w:t>
            </w:r>
          </w:p>
        </w:tc>
        <w:tc>
          <w:tcPr>
            <w:tcW w:w="1277" w:type="dxa"/>
          </w:tcPr>
          <w:p>
            <w:pPr>
              <w:pStyle w:val="TableParagraph"/>
              <w:spacing w:before="135"/>
              <w:ind w:left="11"/>
              <w:rPr>
                <w:sz w:val="21"/>
              </w:rPr>
            </w:pPr>
            <w:r>
              <w:rPr>
                <w:sz w:val="21"/>
              </w:rPr>
              <w:t>非正常排放</w:t>
            </w:r>
          </w:p>
        </w:tc>
        <w:tc>
          <w:tcPr>
            <w:tcW w:w="1277" w:type="dxa"/>
          </w:tcPr>
          <w:p>
            <w:pPr>
              <w:pStyle w:val="TableParagraph"/>
              <w:spacing w:before="1"/>
              <w:ind w:left="11" w:right="3"/>
              <w:rPr>
                <w:sz w:val="21"/>
              </w:rPr>
            </w:pPr>
            <w:r>
              <w:rPr>
                <w:rFonts w:ascii="Times New Roman" w:eastAsia="Times New Roman"/>
                <w:sz w:val="21"/>
              </w:rPr>
              <w:t>1h </w:t>
            </w:r>
            <w:r>
              <w:rPr>
                <w:sz w:val="21"/>
              </w:rPr>
              <w:t>平均质量</w:t>
            </w:r>
          </w:p>
          <w:p>
            <w:pPr>
              <w:pStyle w:val="TableParagraph"/>
              <w:spacing w:line="252" w:lineRule="exact" w:before="2"/>
              <w:ind w:left="11" w:right="3"/>
              <w:rPr>
                <w:sz w:val="21"/>
              </w:rPr>
            </w:pPr>
            <w:r>
              <w:rPr>
                <w:sz w:val="21"/>
              </w:rPr>
              <w:t>浓度</w:t>
            </w:r>
          </w:p>
        </w:tc>
        <w:tc>
          <w:tcPr>
            <w:tcW w:w="1363" w:type="dxa"/>
          </w:tcPr>
          <w:p>
            <w:pPr>
              <w:pStyle w:val="TableParagraph"/>
              <w:spacing w:before="135"/>
              <w:ind w:left="124" w:right="115"/>
              <w:rPr>
                <w:rFonts w:ascii="Times New Roman" w:eastAsia="Times New Roman"/>
                <w:sz w:val="14"/>
              </w:rPr>
            </w:pPr>
            <w:r>
              <w:rPr>
                <w:position w:val="2"/>
                <w:sz w:val="21"/>
              </w:rPr>
              <w:t>甲酸、</w:t>
            </w:r>
            <w:r>
              <w:rPr>
                <w:rFonts w:ascii="Times New Roman" w:eastAsia="Times New Roman"/>
                <w:position w:val="2"/>
                <w:sz w:val="21"/>
              </w:rPr>
              <w:t>PM</w:t>
            </w:r>
            <w:r>
              <w:rPr>
                <w:rFonts w:ascii="Times New Roman" w:eastAsia="Times New Roman"/>
                <w:sz w:val="14"/>
              </w:rPr>
              <w:t>10</w:t>
            </w:r>
          </w:p>
        </w:tc>
        <w:tc>
          <w:tcPr>
            <w:tcW w:w="2405" w:type="dxa"/>
          </w:tcPr>
          <w:p>
            <w:pPr>
              <w:pStyle w:val="TableParagraph"/>
              <w:spacing w:before="135"/>
              <w:ind w:left="343" w:right="329"/>
              <w:rPr>
                <w:sz w:val="21"/>
              </w:rPr>
            </w:pPr>
            <w:r>
              <w:rPr>
                <w:sz w:val="21"/>
              </w:rPr>
              <w:t>最大浓度占标率</w:t>
            </w:r>
          </w:p>
        </w:tc>
      </w:tr>
      <w:tr>
        <w:trPr>
          <w:trHeight w:val="544" w:hRule="atLeast"/>
        </w:trPr>
        <w:tc>
          <w:tcPr>
            <w:tcW w:w="1020" w:type="dxa"/>
          </w:tcPr>
          <w:p>
            <w:pPr>
              <w:pStyle w:val="TableParagraph"/>
              <w:spacing w:before="1"/>
              <w:ind w:left="90"/>
              <w:jc w:val="left"/>
              <w:rPr>
                <w:sz w:val="21"/>
              </w:rPr>
            </w:pPr>
            <w:r>
              <w:rPr>
                <w:spacing w:val="-1"/>
                <w:sz w:val="21"/>
              </w:rPr>
              <w:t>大气环境</w:t>
            </w:r>
          </w:p>
          <w:p>
            <w:pPr>
              <w:pStyle w:val="TableParagraph"/>
              <w:spacing w:line="252" w:lineRule="exact" w:before="2"/>
              <w:ind w:left="90"/>
              <w:jc w:val="left"/>
              <w:rPr>
                <w:sz w:val="21"/>
              </w:rPr>
            </w:pPr>
            <w:r>
              <w:rPr>
                <w:spacing w:val="-1"/>
                <w:sz w:val="21"/>
              </w:rPr>
              <w:t>防护距离</w:t>
            </w:r>
          </w:p>
        </w:tc>
        <w:tc>
          <w:tcPr>
            <w:tcW w:w="1844" w:type="dxa"/>
          </w:tcPr>
          <w:p>
            <w:pPr>
              <w:pStyle w:val="TableParagraph"/>
              <w:spacing w:before="1"/>
              <w:ind w:left="126"/>
              <w:jc w:val="left"/>
              <w:rPr>
                <w:sz w:val="21"/>
              </w:rPr>
            </w:pPr>
            <w:r>
              <w:rPr>
                <w:sz w:val="21"/>
              </w:rPr>
              <w:t>新增污染源</w:t>
            </w:r>
            <w:r>
              <w:rPr>
                <w:rFonts w:ascii="Times New Roman" w:eastAsia="Times New Roman"/>
                <w:sz w:val="21"/>
              </w:rPr>
              <w:t>+</w:t>
            </w:r>
            <w:r>
              <w:rPr>
                <w:sz w:val="21"/>
              </w:rPr>
              <w:t>项目</w:t>
            </w:r>
          </w:p>
          <w:p>
            <w:pPr>
              <w:pStyle w:val="TableParagraph"/>
              <w:spacing w:line="252" w:lineRule="exact" w:before="2"/>
              <w:ind w:left="186"/>
              <w:jc w:val="left"/>
              <w:rPr>
                <w:sz w:val="21"/>
              </w:rPr>
            </w:pPr>
            <w:r>
              <w:rPr>
                <w:sz w:val="21"/>
              </w:rPr>
              <w:t>全厂现有污染源</w:t>
            </w:r>
          </w:p>
        </w:tc>
        <w:tc>
          <w:tcPr>
            <w:tcW w:w="1277" w:type="dxa"/>
          </w:tcPr>
          <w:p>
            <w:pPr>
              <w:pStyle w:val="TableParagraph"/>
              <w:spacing w:before="137"/>
              <w:ind w:left="11"/>
              <w:rPr>
                <w:sz w:val="21"/>
              </w:rPr>
            </w:pPr>
            <w:r>
              <w:rPr>
                <w:sz w:val="21"/>
              </w:rPr>
              <w:t>正常排放</w:t>
            </w:r>
          </w:p>
        </w:tc>
        <w:tc>
          <w:tcPr>
            <w:tcW w:w="1277" w:type="dxa"/>
          </w:tcPr>
          <w:p>
            <w:pPr>
              <w:pStyle w:val="TableParagraph"/>
              <w:spacing w:before="137"/>
              <w:ind w:left="215"/>
              <w:jc w:val="left"/>
              <w:rPr>
                <w:sz w:val="21"/>
              </w:rPr>
            </w:pPr>
            <w:r>
              <w:rPr>
                <w:sz w:val="21"/>
              </w:rPr>
              <w:t>短期浓度</w:t>
            </w:r>
          </w:p>
        </w:tc>
        <w:tc>
          <w:tcPr>
            <w:tcW w:w="1363" w:type="dxa"/>
          </w:tcPr>
          <w:p>
            <w:pPr>
              <w:pStyle w:val="TableParagraph"/>
              <w:spacing w:before="151"/>
              <w:ind w:left="5"/>
              <w:rPr>
                <w:rFonts w:ascii="Times New Roman"/>
                <w:sz w:val="21"/>
              </w:rPr>
            </w:pPr>
            <w:r>
              <w:rPr>
                <w:rFonts w:ascii="Times New Roman"/>
                <w:w w:val="100"/>
                <w:sz w:val="21"/>
              </w:rPr>
              <w:t>/</w:t>
            </w:r>
          </w:p>
        </w:tc>
        <w:tc>
          <w:tcPr>
            <w:tcW w:w="2405" w:type="dxa"/>
          </w:tcPr>
          <w:p>
            <w:pPr>
              <w:pStyle w:val="TableParagraph"/>
              <w:spacing w:before="137"/>
              <w:ind w:left="343" w:right="332"/>
              <w:rPr>
                <w:sz w:val="21"/>
              </w:rPr>
            </w:pPr>
            <w:r>
              <w:rPr>
                <w:sz w:val="21"/>
              </w:rPr>
              <w:t>大气环境防护距离</w:t>
            </w:r>
          </w:p>
        </w:tc>
      </w:tr>
    </w:tbl>
    <w:p>
      <w:pPr>
        <w:pStyle w:val="ListParagraph"/>
        <w:numPr>
          <w:ilvl w:val="3"/>
          <w:numId w:val="26"/>
        </w:numPr>
        <w:tabs>
          <w:tab w:pos="952" w:val="left" w:leader="none"/>
        </w:tabs>
        <w:spacing w:line="240" w:lineRule="auto" w:before="122" w:after="0"/>
        <w:ind w:left="951" w:right="0" w:hanging="721"/>
        <w:jc w:val="left"/>
        <w:rPr>
          <w:b/>
          <w:sz w:val="24"/>
        </w:rPr>
      </w:pPr>
      <w:r>
        <w:rPr>
          <w:b/>
          <w:sz w:val="24"/>
        </w:rPr>
        <w:t>有关参数说明</w:t>
      </w:r>
    </w:p>
    <w:p>
      <w:pPr>
        <w:pStyle w:val="ListParagraph"/>
        <w:numPr>
          <w:ilvl w:val="0"/>
          <w:numId w:val="28"/>
        </w:numPr>
        <w:tabs>
          <w:tab w:pos="1313" w:val="left" w:leader="none"/>
        </w:tabs>
        <w:spacing w:line="240" w:lineRule="auto" w:before="158" w:after="0"/>
        <w:ind w:left="1312" w:right="0" w:hanging="602"/>
        <w:jc w:val="left"/>
        <w:rPr>
          <w:sz w:val="24"/>
        </w:rPr>
      </w:pPr>
      <w:r>
        <w:rPr>
          <w:sz w:val="24"/>
        </w:rPr>
        <w:t>预测因子执行的环境空气质量标准及本底浓度</w:t>
      </w:r>
    </w:p>
    <w:p>
      <w:pPr>
        <w:pStyle w:val="BodyText"/>
        <w:spacing w:line="364" w:lineRule="auto" w:before="161"/>
        <w:ind w:left="231" w:right="102" w:firstLine="479"/>
      </w:pPr>
      <w:r>
        <w:rPr>
          <w:spacing w:val="-11"/>
        </w:rPr>
        <w:t>根据导则要求，对采用补充监测数据进行现状评价的，对于有多个监测点位数据的， </w:t>
      </w:r>
      <w:r>
        <w:rPr/>
        <w:t>先计算相同时刻各监测点位平均值，再取各监测数段平均值中的最大值为评价范围内环境空气保护目标及网格点环境质量现状浓度。确定各监测因子本底浓度如下：</w:t>
      </w:r>
    </w:p>
    <w:p>
      <w:pPr>
        <w:pStyle w:val="BodyText"/>
        <w:spacing w:line="362" w:lineRule="auto"/>
        <w:ind w:left="231" w:right="216" w:firstLine="479"/>
        <w:jc w:val="both"/>
      </w:pPr>
      <w:r>
        <w:rPr>
          <w:rFonts w:ascii="Times New Roman" w:hAnsi="Times New Roman" w:eastAsia="Times New Roman"/>
          <w:spacing w:val="2"/>
          <w:position w:val="2"/>
        </w:rPr>
        <w:t>TSP</w:t>
      </w:r>
      <w:r>
        <w:rPr>
          <w:spacing w:val="2"/>
          <w:position w:val="2"/>
        </w:rPr>
        <w:t>：日均值 </w:t>
      </w:r>
      <w:r>
        <w:rPr>
          <w:rFonts w:ascii="Times New Roman" w:hAnsi="Times New Roman" w:eastAsia="Times New Roman"/>
          <w:position w:val="2"/>
        </w:rPr>
        <w:t>160.5μg/m</w:t>
      </w:r>
      <w:r>
        <w:rPr>
          <w:rFonts w:ascii="Times New Roman" w:hAnsi="Times New Roman" w:eastAsia="Times New Roman"/>
          <w:position w:val="2"/>
          <w:vertAlign w:val="superscript"/>
        </w:rPr>
        <w:t>3</w:t>
      </w:r>
      <w:r>
        <w:rPr>
          <w:position w:val="2"/>
          <w:vertAlign w:val="baseline"/>
        </w:rPr>
        <w:t>；</w:t>
      </w:r>
      <w:r>
        <w:rPr>
          <w:rFonts w:ascii="Times New Roman" w:hAnsi="Times New Roman" w:eastAsia="Times New Roman"/>
          <w:position w:val="2"/>
          <w:vertAlign w:val="baseline"/>
        </w:rPr>
        <w:t>PM</w:t>
      </w:r>
      <w:r>
        <w:rPr>
          <w:rFonts w:ascii="Times New Roman" w:hAnsi="Times New Roman" w:eastAsia="Times New Roman"/>
          <w:sz w:val="16"/>
          <w:vertAlign w:val="baseline"/>
        </w:rPr>
        <w:t>10 </w:t>
      </w:r>
      <w:r>
        <w:rPr>
          <w:spacing w:val="2"/>
          <w:position w:val="2"/>
          <w:vertAlign w:val="baseline"/>
        </w:rPr>
        <w:t>取 </w:t>
      </w:r>
      <w:r>
        <w:rPr>
          <w:rFonts w:ascii="Times New Roman" w:hAnsi="Times New Roman" w:eastAsia="Times New Roman"/>
          <w:position w:val="2"/>
          <w:vertAlign w:val="baseline"/>
        </w:rPr>
        <w:t>2020 </w:t>
      </w:r>
      <w:r>
        <w:rPr>
          <w:spacing w:val="4"/>
          <w:position w:val="2"/>
          <w:vertAlign w:val="baseline"/>
        </w:rPr>
        <w:t>年绍兴市环境状况公报中数据（</w:t>
      </w:r>
      <w:r>
        <w:rPr>
          <w:spacing w:val="2"/>
          <w:position w:val="2"/>
          <w:vertAlign w:val="baseline"/>
        </w:rPr>
        <w:t>日均值</w:t>
      </w:r>
      <w:r>
        <w:rPr>
          <w:rFonts w:ascii="Times New Roman" w:hAnsi="Times New Roman" w:eastAsia="Times New Roman"/>
          <w:spacing w:val="2"/>
          <w:vertAlign w:val="baseline"/>
        </w:rPr>
        <w:t>94μg/</w:t>
      </w:r>
      <w:r>
        <w:rPr>
          <w:rFonts w:ascii="Times New Roman" w:hAnsi="Times New Roman" w:eastAsia="Times New Roman"/>
          <w:spacing w:val="-2"/>
          <w:vertAlign w:val="baseline"/>
        </w:rPr>
        <w:t>m</w:t>
      </w:r>
      <w:r>
        <w:rPr>
          <w:rFonts w:ascii="Times New Roman" w:hAnsi="Times New Roman" w:eastAsia="Times New Roman"/>
          <w:spacing w:val="3"/>
          <w:w w:val="100"/>
          <w:position w:val="9"/>
          <w:sz w:val="16"/>
          <w:vertAlign w:val="baseline"/>
        </w:rPr>
        <w:t>3</w:t>
      </w:r>
      <w:r>
        <w:rPr>
          <w:vertAlign w:val="baseline"/>
        </w:rPr>
        <w:t>、年均值 </w:t>
      </w:r>
      <w:r>
        <w:rPr>
          <w:rFonts w:ascii="Times New Roman" w:hAnsi="Times New Roman" w:eastAsia="Times New Roman"/>
          <w:vertAlign w:val="baseline"/>
        </w:rPr>
        <w:t>4</w:t>
      </w:r>
      <w:r>
        <w:rPr>
          <w:rFonts w:ascii="Times New Roman" w:hAnsi="Times New Roman" w:eastAsia="Times New Roman"/>
          <w:spacing w:val="-3"/>
          <w:vertAlign w:val="baseline"/>
        </w:rPr>
        <w:t>5</w:t>
      </w:r>
      <w:r>
        <w:rPr>
          <w:rFonts w:ascii="Times New Roman" w:hAnsi="Times New Roman" w:eastAsia="Times New Roman"/>
          <w:vertAlign w:val="baseline"/>
        </w:rPr>
        <w:t>μ</w:t>
      </w:r>
      <w:r>
        <w:rPr>
          <w:rFonts w:ascii="Times New Roman" w:hAnsi="Times New Roman" w:eastAsia="Times New Roman"/>
          <w:spacing w:val="-3"/>
          <w:vertAlign w:val="baseline"/>
        </w:rPr>
        <w:t>g</w:t>
      </w:r>
      <w:r>
        <w:rPr>
          <w:rFonts w:ascii="Times New Roman" w:hAnsi="Times New Roman" w:eastAsia="Times New Roman"/>
          <w:vertAlign w:val="baseline"/>
        </w:rPr>
        <w:t>/</w:t>
      </w:r>
      <w:r>
        <w:rPr>
          <w:rFonts w:ascii="Times New Roman" w:hAnsi="Times New Roman" w:eastAsia="Times New Roman"/>
          <w:spacing w:val="-1"/>
          <w:vertAlign w:val="baseline"/>
        </w:rPr>
        <w:t>m</w:t>
      </w:r>
      <w:r>
        <w:rPr>
          <w:rFonts w:ascii="Times New Roman" w:hAnsi="Times New Roman" w:eastAsia="Times New Roman"/>
          <w:spacing w:val="3"/>
          <w:w w:val="100"/>
          <w:position w:val="9"/>
          <w:sz w:val="16"/>
          <w:vertAlign w:val="baseline"/>
        </w:rPr>
        <w:t>3</w:t>
      </w:r>
      <w:r>
        <w:rPr>
          <w:spacing w:val="-118"/>
          <w:vertAlign w:val="baseline"/>
        </w:rPr>
        <w:t>）</w:t>
      </w:r>
      <w:r>
        <w:rPr>
          <w:vertAlign w:val="baseline"/>
        </w:rPr>
        <w:t>。由于甲酸暂无环境空气监测方法，故未进行环境质量本底浓度的监测。</w:t>
      </w:r>
    </w:p>
    <w:p>
      <w:pPr>
        <w:pStyle w:val="BodyText"/>
        <w:spacing w:line="364" w:lineRule="auto" w:before="1"/>
        <w:ind w:left="231" w:right="219" w:firstLine="479"/>
        <w:jc w:val="both"/>
      </w:pPr>
      <w:r>
        <w:rPr>
          <w:spacing w:val="-4"/>
          <w:position w:val="2"/>
        </w:rPr>
        <w:t>预测因子执行的环境空气质量标准详见 </w:t>
      </w:r>
      <w:r>
        <w:rPr>
          <w:rFonts w:ascii="Times New Roman" w:eastAsia="Times New Roman"/>
          <w:position w:val="2"/>
        </w:rPr>
        <w:t>Pg17 </w:t>
      </w:r>
      <w:r>
        <w:rPr>
          <w:spacing w:val="-30"/>
          <w:position w:val="2"/>
        </w:rPr>
        <w:t>表 </w:t>
      </w:r>
      <w:r>
        <w:rPr>
          <w:rFonts w:ascii="Times New Roman" w:eastAsia="Times New Roman"/>
          <w:spacing w:val="-5"/>
          <w:position w:val="2"/>
        </w:rPr>
        <w:t>2.3.2-2</w:t>
      </w:r>
      <w:r>
        <w:rPr>
          <w:spacing w:val="-12"/>
          <w:position w:val="2"/>
        </w:rPr>
        <w:t>，甲酸、</w:t>
      </w:r>
      <w:r>
        <w:rPr>
          <w:rFonts w:ascii="Times New Roman" w:eastAsia="Times New Roman"/>
          <w:position w:val="2"/>
        </w:rPr>
        <w:t>PM</w:t>
      </w:r>
      <w:r>
        <w:rPr>
          <w:rFonts w:ascii="Times New Roman" w:eastAsia="Times New Roman"/>
          <w:sz w:val="16"/>
        </w:rPr>
        <w:t>10 </w:t>
      </w:r>
      <w:r>
        <w:rPr>
          <w:spacing w:val="-30"/>
          <w:position w:val="2"/>
        </w:rPr>
        <w:t>及 </w:t>
      </w:r>
      <w:r>
        <w:rPr>
          <w:rFonts w:ascii="Times New Roman" w:eastAsia="Times New Roman"/>
          <w:position w:val="2"/>
        </w:rPr>
        <w:t>TSP 1h </w:t>
      </w:r>
      <w:r>
        <w:rPr>
          <w:position w:val="2"/>
        </w:rPr>
        <w:t>平均</w:t>
      </w:r>
      <w:r>
        <w:rPr>
          <w:spacing w:val="-11"/>
        </w:rPr>
        <w:t>浓度限值以 </w:t>
      </w:r>
      <w:r>
        <w:rPr>
          <w:rFonts w:ascii="Times New Roman" w:eastAsia="Times New Roman"/>
        </w:rPr>
        <w:t>24 </w:t>
      </w:r>
      <w:r>
        <w:rPr>
          <w:spacing w:val="-6"/>
        </w:rPr>
        <w:t>小时平均浓度限值的 </w:t>
      </w:r>
      <w:r>
        <w:rPr>
          <w:rFonts w:ascii="Times New Roman" w:eastAsia="Times New Roman"/>
        </w:rPr>
        <w:t>3 </w:t>
      </w:r>
      <w:r>
        <w:rPr/>
        <w:t>倍值计算。</w:t>
      </w:r>
    </w:p>
    <w:p>
      <w:pPr>
        <w:pStyle w:val="ListParagraph"/>
        <w:numPr>
          <w:ilvl w:val="0"/>
          <w:numId w:val="28"/>
        </w:numPr>
        <w:tabs>
          <w:tab w:pos="1313" w:val="left" w:leader="none"/>
        </w:tabs>
        <w:spacing w:line="307" w:lineRule="exact" w:before="0" w:after="0"/>
        <w:ind w:left="1312" w:right="0" w:hanging="602"/>
        <w:jc w:val="left"/>
        <w:rPr>
          <w:sz w:val="24"/>
        </w:rPr>
      </w:pPr>
      <w:r>
        <w:rPr>
          <w:sz w:val="24"/>
        </w:rPr>
        <w:t>预测范围中心点及坐标转换</w:t>
      </w:r>
    </w:p>
    <w:p>
      <w:pPr>
        <w:pStyle w:val="BodyText"/>
        <w:spacing w:before="160"/>
        <w:ind w:left="711"/>
      </w:pPr>
      <w:r>
        <w:rPr>
          <w:spacing w:val="-5"/>
        </w:rPr>
        <w:t>本次预测以项目厂址中心为预测范围的中心点，即</w:t>
      </w:r>
      <w:r>
        <w:rPr>
          <w:rFonts w:ascii="Times New Roman" w:eastAsia="Times New Roman"/>
          <w:w w:val="99"/>
        </w:rPr>
        <w:t>U</w:t>
      </w:r>
      <w:r>
        <w:rPr>
          <w:rFonts w:ascii="Times New Roman" w:eastAsia="Times New Roman"/>
          <w:spacing w:val="-1"/>
          <w:w w:val="99"/>
        </w:rPr>
        <w:t>T</w:t>
      </w:r>
      <w:r>
        <w:rPr>
          <w:rFonts w:ascii="Times New Roman" w:eastAsia="Times New Roman"/>
          <w:w w:val="99"/>
        </w:rPr>
        <w:t>M</w:t>
      </w:r>
      <w:r>
        <w:rPr>
          <w:rFonts w:ascii="Times New Roman" w:eastAsia="Times New Roman"/>
          <w:spacing w:val="-29"/>
        </w:rPr>
        <w:t> </w:t>
      </w:r>
      <w:r>
        <w:rPr>
          <w:spacing w:val="-60"/>
        </w:rPr>
        <w:t>坐标</w:t>
      </w:r>
      <w:r>
        <w:rPr/>
        <w:t>（</w:t>
      </w:r>
      <w:r>
        <w:rPr>
          <w:rFonts w:ascii="Times New Roman" w:eastAsia="Times New Roman"/>
        </w:rPr>
        <w:t>297594</w:t>
      </w:r>
      <w:r>
        <w:rPr>
          <w:rFonts w:ascii="Times New Roman" w:eastAsia="Times New Roman"/>
          <w:spacing w:val="1"/>
        </w:rPr>
        <w:t>m</w:t>
      </w:r>
      <w:r>
        <w:rPr>
          <w:spacing w:val="-120"/>
        </w:rPr>
        <w:t>，</w:t>
      </w:r>
      <w:r>
        <w:rPr>
          <w:rFonts w:ascii="Times New Roman" w:eastAsia="Times New Roman"/>
        </w:rPr>
        <w:t>3339600m</w:t>
      </w:r>
      <w:r>
        <w:rPr>
          <w:spacing w:val="-120"/>
        </w:rPr>
        <w:t>），</w:t>
      </w:r>
    </w:p>
    <w:p>
      <w:pPr>
        <w:spacing w:after="0"/>
        <w:sectPr>
          <w:pgSz w:w="11910" w:h="16850"/>
          <w:pgMar w:header="1004" w:footer="1088" w:top="1360" w:bottom="1280" w:left="1300" w:right="1020"/>
        </w:sectPr>
      </w:pPr>
    </w:p>
    <w:p>
      <w:pPr>
        <w:pStyle w:val="BodyText"/>
        <w:spacing w:before="64"/>
        <w:ind w:left="231"/>
      </w:pPr>
      <w:r>
        <w:rPr/>
        <w:t>并将其对应的相对坐标定为（</w:t>
      </w:r>
      <w:r>
        <w:rPr>
          <w:rFonts w:ascii="Times New Roman" w:eastAsia="Times New Roman"/>
        </w:rPr>
        <w:t>0m</w:t>
      </w:r>
      <w:r>
        <w:rPr/>
        <w:t>，</w:t>
      </w:r>
      <w:r>
        <w:rPr>
          <w:rFonts w:ascii="Times New Roman" w:eastAsia="Times New Roman"/>
        </w:rPr>
        <w:t>0m</w:t>
      </w:r>
      <w:r>
        <w:rPr>
          <w:spacing w:val="-120"/>
        </w:rPr>
        <w:t>）。</w:t>
      </w:r>
    </w:p>
    <w:p>
      <w:pPr>
        <w:pStyle w:val="ListParagraph"/>
        <w:numPr>
          <w:ilvl w:val="0"/>
          <w:numId w:val="28"/>
        </w:numPr>
        <w:tabs>
          <w:tab w:pos="1313" w:val="left" w:leader="none"/>
        </w:tabs>
        <w:spacing w:line="240" w:lineRule="auto" w:before="160" w:after="0"/>
        <w:ind w:left="1312" w:right="0" w:hanging="602"/>
        <w:jc w:val="left"/>
        <w:rPr>
          <w:sz w:val="24"/>
        </w:rPr>
      </w:pPr>
      <w:r>
        <w:rPr>
          <w:sz w:val="24"/>
        </w:rPr>
        <w:t>预测计算点</w:t>
      </w:r>
    </w:p>
    <w:p>
      <w:pPr>
        <w:pStyle w:val="BodyText"/>
        <w:spacing w:line="364" w:lineRule="auto" w:before="158"/>
        <w:ind w:left="231" w:right="226" w:firstLine="479"/>
      </w:pPr>
      <w:r>
        <w:rPr/>
        <w:t>计算点为各保护对象、预测范围内的网格点以及区域最大地面浓度点。预测网格点网格距设置为 </w:t>
      </w:r>
      <w:r>
        <w:rPr>
          <w:rFonts w:ascii="Times New Roman" w:eastAsia="Times New Roman"/>
        </w:rPr>
        <w:t>100m</w:t>
      </w:r>
      <w:r>
        <w:rPr/>
        <w:t>。</w:t>
      </w:r>
    </w:p>
    <w:p>
      <w:pPr>
        <w:pStyle w:val="ListParagraph"/>
        <w:numPr>
          <w:ilvl w:val="0"/>
          <w:numId w:val="28"/>
        </w:numPr>
        <w:tabs>
          <w:tab w:pos="1313" w:val="left" w:leader="none"/>
        </w:tabs>
        <w:spacing w:line="306" w:lineRule="exact" w:before="0" w:after="0"/>
        <w:ind w:left="1312" w:right="0" w:hanging="602"/>
        <w:jc w:val="left"/>
        <w:rPr>
          <w:sz w:val="24"/>
        </w:rPr>
      </w:pPr>
      <w:r>
        <w:rPr>
          <w:sz w:val="24"/>
        </w:rPr>
        <w:t>地形数据</w:t>
      </w:r>
    </w:p>
    <w:p>
      <w:pPr>
        <w:pStyle w:val="BodyText"/>
        <w:spacing w:line="364" w:lineRule="auto" w:before="161"/>
        <w:ind w:left="231" w:right="226" w:firstLine="479"/>
        <w:jc w:val="both"/>
      </w:pPr>
      <w:r>
        <w:rPr/>
        <w:t>根据卫星影像数据和现场实地踏勘，本项目周边地势平坦，为更好的分析项目对周边环境的影响，本次大气影响预测充分考虑地形对大气污染物输送、扩散的影响。地形数据来自 </w:t>
      </w:r>
      <w:r>
        <w:rPr>
          <w:rFonts w:ascii="Times New Roman" w:hAnsi="Times New Roman" w:eastAsia="Times New Roman"/>
        </w:rPr>
        <w:t>USGS </w:t>
      </w:r>
      <w:r>
        <w:rPr/>
        <w:t>提供的 </w:t>
      </w:r>
      <w:r>
        <w:rPr>
          <w:rFonts w:ascii="Times New Roman" w:hAnsi="Times New Roman" w:eastAsia="Times New Roman"/>
        </w:rPr>
        <w:t>90×90m </w:t>
      </w:r>
      <w:r>
        <w:rPr/>
        <w:t>的地面高程网格数据。</w:t>
      </w:r>
    </w:p>
    <w:p>
      <w:pPr>
        <w:pStyle w:val="ListParagraph"/>
        <w:numPr>
          <w:ilvl w:val="0"/>
          <w:numId w:val="28"/>
        </w:numPr>
        <w:tabs>
          <w:tab w:pos="1313" w:val="left" w:leader="none"/>
        </w:tabs>
        <w:spacing w:line="305" w:lineRule="exact" w:before="0" w:after="0"/>
        <w:ind w:left="1312" w:right="0" w:hanging="602"/>
        <w:jc w:val="left"/>
        <w:rPr>
          <w:sz w:val="24"/>
        </w:rPr>
      </w:pPr>
      <w:r>
        <w:rPr>
          <w:sz w:val="24"/>
        </w:rPr>
        <w:t>预测参数说明</w:t>
      </w:r>
    </w:p>
    <w:p>
      <w:pPr>
        <w:pStyle w:val="BodyText"/>
        <w:spacing w:before="160"/>
        <w:ind w:left="711"/>
      </w:pPr>
      <w:r>
        <w:rPr/>
        <w:t>本项目选择 </w:t>
      </w:r>
      <w:r>
        <w:rPr>
          <w:rFonts w:ascii="Times New Roman" w:eastAsia="Times New Roman"/>
        </w:rPr>
        <w:t>AERMOD </w:t>
      </w:r>
      <w:r>
        <w:rPr/>
        <w:t>预测模型，不考虑熏烟及海岸线熏烟，不考虑建筑物下洗。</w:t>
      </w:r>
    </w:p>
    <w:p>
      <w:pPr>
        <w:pStyle w:val="Heading4"/>
        <w:numPr>
          <w:ilvl w:val="3"/>
          <w:numId w:val="26"/>
        </w:numPr>
        <w:tabs>
          <w:tab w:pos="952" w:val="left" w:leader="none"/>
        </w:tabs>
        <w:spacing w:line="240" w:lineRule="auto" w:before="158" w:after="0"/>
        <w:ind w:left="951" w:right="0" w:hanging="721"/>
        <w:jc w:val="left"/>
      </w:pPr>
      <w:r>
        <w:rPr/>
        <w:t>预测结果及评价</w:t>
      </w:r>
    </w:p>
    <w:p>
      <w:pPr>
        <w:spacing w:before="161"/>
        <w:ind w:left="714" w:right="0" w:firstLine="0"/>
        <w:jc w:val="left"/>
        <w:rPr>
          <w:b/>
          <w:sz w:val="24"/>
        </w:rPr>
      </w:pPr>
      <w:r>
        <w:rPr>
          <w:rFonts w:ascii="Times New Roman" w:eastAsia="Times New Roman"/>
          <w:b/>
          <w:sz w:val="24"/>
        </w:rPr>
        <w:t>1</w:t>
      </w:r>
      <w:r>
        <w:rPr>
          <w:b/>
          <w:sz w:val="24"/>
        </w:rPr>
        <w:t>、本项目贡献值</w:t>
      </w:r>
    </w:p>
    <w:p>
      <w:pPr>
        <w:pStyle w:val="BodyText"/>
        <w:spacing w:line="364" w:lineRule="auto" w:before="157"/>
        <w:ind w:left="231" w:right="221" w:firstLine="479"/>
      </w:pPr>
      <w:r>
        <w:rPr>
          <w:spacing w:val="-1"/>
          <w:position w:val="2"/>
        </w:rPr>
        <w:t>表 </w:t>
      </w:r>
      <w:r>
        <w:rPr>
          <w:rFonts w:ascii="Times New Roman" w:eastAsia="Times New Roman"/>
          <w:position w:val="2"/>
        </w:rPr>
        <w:t>7.2.1-12</w:t>
      </w:r>
      <w:r>
        <w:rPr>
          <w:rFonts w:ascii="Times New Roman" w:eastAsia="Times New Roman"/>
          <w:spacing w:val="59"/>
          <w:position w:val="2"/>
        </w:rPr>
        <w:t> </w:t>
      </w:r>
      <w:r>
        <w:rPr>
          <w:position w:val="2"/>
        </w:rPr>
        <w:t>分别给出了不同预测时段本项目排放的甲酸、</w:t>
      </w:r>
      <w:r>
        <w:rPr>
          <w:rFonts w:ascii="Times New Roman" w:eastAsia="Times New Roman"/>
          <w:position w:val="2"/>
        </w:rPr>
        <w:t>PM</w:t>
      </w:r>
      <w:r>
        <w:rPr>
          <w:rFonts w:ascii="Times New Roman" w:eastAsia="Times New Roman"/>
          <w:sz w:val="16"/>
        </w:rPr>
        <w:t>10 </w:t>
      </w:r>
      <w:r>
        <w:rPr>
          <w:spacing w:val="-14"/>
          <w:position w:val="2"/>
        </w:rPr>
        <w:t>以及 </w:t>
      </w:r>
      <w:r>
        <w:rPr>
          <w:rFonts w:ascii="Times New Roman" w:eastAsia="Times New Roman"/>
          <w:position w:val="2"/>
        </w:rPr>
        <w:t>TSP </w:t>
      </w:r>
      <w:r>
        <w:rPr>
          <w:spacing w:val="-3"/>
          <w:position w:val="2"/>
        </w:rPr>
        <w:t>的预测浓</w:t>
      </w:r>
      <w:r>
        <w:rPr/>
        <w:t>度贡献值。</w:t>
      </w:r>
    </w:p>
    <w:p>
      <w:pPr>
        <w:pStyle w:val="Heading4"/>
        <w:tabs>
          <w:tab w:pos="2874" w:val="left" w:leader="none"/>
        </w:tabs>
        <w:spacing w:before="141" w:after="29"/>
        <w:ind w:left="1532"/>
      </w:pPr>
      <w:r>
        <w:rPr/>
        <w:t>表</w:t>
      </w:r>
      <w:r>
        <w:rPr>
          <w:spacing w:val="-60"/>
        </w:rPr>
        <w:t> </w:t>
      </w:r>
      <w:r>
        <w:rPr>
          <w:rFonts w:ascii="Times New Roman" w:eastAsia="Times New Roman"/>
        </w:rPr>
        <w:t>7.2.1-12</w:t>
        <w:tab/>
      </w:r>
      <w:r>
        <w:rPr/>
        <w:t>评价区域各污染物排放地面最大浓度贡献值预测结果</w:t>
      </w: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1561"/>
        <w:gridCol w:w="1337"/>
        <w:gridCol w:w="1580"/>
        <w:gridCol w:w="1289"/>
        <w:gridCol w:w="1023"/>
        <w:gridCol w:w="1600"/>
      </w:tblGrid>
      <w:tr>
        <w:trPr>
          <w:trHeight w:val="547" w:hRule="atLeast"/>
        </w:trPr>
        <w:tc>
          <w:tcPr>
            <w:tcW w:w="960" w:type="dxa"/>
          </w:tcPr>
          <w:p>
            <w:pPr>
              <w:pStyle w:val="TableParagraph"/>
              <w:spacing w:before="138"/>
              <w:ind w:left="37" w:right="28"/>
              <w:rPr>
                <w:b/>
                <w:sz w:val="21"/>
              </w:rPr>
            </w:pPr>
            <w:r>
              <w:rPr>
                <w:b/>
                <w:sz w:val="21"/>
              </w:rPr>
              <w:t>污染物</w:t>
            </w:r>
          </w:p>
        </w:tc>
        <w:tc>
          <w:tcPr>
            <w:tcW w:w="1561" w:type="dxa"/>
          </w:tcPr>
          <w:p>
            <w:pPr>
              <w:pStyle w:val="TableParagraph"/>
              <w:spacing w:before="138"/>
              <w:ind w:left="20" w:right="12"/>
              <w:rPr>
                <w:b/>
                <w:sz w:val="21"/>
              </w:rPr>
            </w:pPr>
            <w:r>
              <w:rPr>
                <w:b/>
                <w:sz w:val="21"/>
              </w:rPr>
              <w:t>预测点</w:t>
            </w:r>
          </w:p>
        </w:tc>
        <w:tc>
          <w:tcPr>
            <w:tcW w:w="1337" w:type="dxa"/>
          </w:tcPr>
          <w:p>
            <w:pPr>
              <w:pStyle w:val="TableParagraph"/>
              <w:spacing w:before="138"/>
              <w:ind w:left="226" w:right="216"/>
              <w:rPr>
                <w:b/>
                <w:sz w:val="21"/>
              </w:rPr>
            </w:pPr>
            <w:r>
              <w:rPr>
                <w:b/>
                <w:sz w:val="21"/>
              </w:rPr>
              <w:t>平均时段</w:t>
            </w:r>
          </w:p>
        </w:tc>
        <w:tc>
          <w:tcPr>
            <w:tcW w:w="1580" w:type="dxa"/>
          </w:tcPr>
          <w:p>
            <w:pPr>
              <w:pStyle w:val="TableParagraph"/>
              <w:spacing w:before="3"/>
              <w:ind w:left="260"/>
              <w:jc w:val="left"/>
              <w:rPr>
                <w:b/>
                <w:sz w:val="21"/>
              </w:rPr>
            </w:pPr>
            <w:r>
              <w:rPr>
                <w:b/>
                <w:sz w:val="21"/>
              </w:rPr>
              <w:t>最大贡献值</w:t>
            </w:r>
          </w:p>
          <w:p>
            <w:pPr>
              <w:pStyle w:val="TableParagraph"/>
              <w:spacing w:line="252" w:lineRule="exact" w:before="3"/>
              <w:ind w:left="284"/>
              <w:jc w:val="left"/>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289" w:type="dxa"/>
          </w:tcPr>
          <w:p>
            <w:pPr>
              <w:pStyle w:val="TableParagraph"/>
              <w:spacing w:before="138"/>
              <w:ind w:left="202" w:right="193"/>
              <w:rPr>
                <w:b/>
                <w:sz w:val="21"/>
              </w:rPr>
            </w:pPr>
            <w:r>
              <w:rPr>
                <w:b/>
                <w:sz w:val="21"/>
              </w:rPr>
              <w:t>出现时间</w:t>
            </w:r>
          </w:p>
        </w:tc>
        <w:tc>
          <w:tcPr>
            <w:tcW w:w="1023" w:type="dxa"/>
          </w:tcPr>
          <w:p>
            <w:pPr>
              <w:pStyle w:val="TableParagraph"/>
              <w:spacing w:before="3"/>
              <w:ind w:left="192"/>
              <w:jc w:val="left"/>
              <w:rPr>
                <w:b/>
                <w:sz w:val="21"/>
              </w:rPr>
            </w:pPr>
            <w:r>
              <w:rPr>
                <w:b/>
                <w:sz w:val="21"/>
              </w:rPr>
              <w:t>占标率</w:t>
            </w:r>
          </w:p>
          <w:p>
            <w:pPr>
              <w:pStyle w:val="TableParagraph"/>
              <w:spacing w:line="252" w:lineRule="exact" w:before="3"/>
              <w:ind w:left="192"/>
              <w:jc w:val="left"/>
              <w:rPr>
                <w:b/>
                <w:sz w:val="21"/>
              </w:rPr>
            </w:pPr>
            <w:r>
              <w:rPr>
                <w:b/>
                <w:sz w:val="21"/>
              </w:rPr>
              <w:t>（</w:t>
            </w:r>
            <w:r>
              <w:rPr>
                <w:rFonts w:ascii="Times New Roman" w:eastAsia="Times New Roman"/>
                <w:b/>
                <w:sz w:val="21"/>
              </w:rPr>
              <w:t>%</w:t>
            </w:r>
            <w:r>
              <w:rPr>
                <w:b/>
                <w:sz w:val="21"/>
              </w:rPr>
              <w:t>）</w:t>
            </w:r>
          </w:p>
        </w:tc>
        <w:tc>
          <w:tcPr>
            <w:tcW w:w="1600" w:type="dxa"/>
          </w:tcPr>
          <w:p>
            <w:pPr>
              <w:pStyle w:val="TableParagraph"/>
              <w:spacing w:before="138"/>
              <w:ind w:left="375"/>
              <w:jc w:val="left"/>
              <w:rPr>
                <w:b/>
                <w:sz w:val="21"/>
              </w:rPr>
            </w:pPr>
            <w:r>
              <w:rPr>
                <w:b/>
                <w:sz w:val="21"/>
              </w:rPr>
              <w:t>是否符合</w:t>
            </w:r>
          </w:p>
        </w:tc>
      </w:tr>
      <w:tr>
        <w:trPr>
          <w:trHeight w:val="270" w:hRule="atLeast"/>
        </w:trPr>
        <w:tc>
          <w:tcPr>
            <w:tcW w:w="960" w:type="dxa"/>
            <w:vMerge w:val="restart"/>
          </w:tcPr>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spacing w:before="4"/>
              <w:jc w:val="left"/>
              <w:rPr>
                <w:b/>
                <w:sz w:val="29"/>
              </w:rPr>
            </w:pPr>
          </w:p>
          <w:p>
            <w:pPr>
              <w:pStyle w:val="TableParagraph"/>
              <w:spacing w:before="1"/>
              <w:ind w:left="256"/>
              <w:jc w:val="left"/>
              <w:rPr>
                <w:rFonts w:ascii="Times New Roman"/>
                <w:sz w:val="14"/>
              </w:rPr>
            </w:pPr>
            <w:r>
              <w:rPr>
                <w:rFonts w:ascii="Times New Roman"/>
                <w:position w:val="2"/>
                <w:sz w:val="21"/>
              </w:rPr>
              <w:t>PM</w:t>
            </w:r>
            <w:r>
              <w:rPr>
                <w:rFonts w:ascii="Times New Roman"/>
                <w:sz w:val="14"/>
              </w:rPr>
              <w:t>10</w:t>
            </w:r>
          </w:p>
        </w:tc>
        <w:tc>
          <w:tcPr>
            <w:tcW w:w="1561" w:type="dxa"/>
            <w:vMerge w:val="restart"/>
          </w:tcPr>
          <w:p>
            <w:pPr>
              <w:pStyle w:val="TableParagraph"/>
              <w:spacing w:before="12"/>
              <w:jc w:val="left"/>
              <w:rPr>
                <w:b/>
                <w:sz w:val="21"/>
              </w:rPr>
            </w:pPr>
          </w:p>
          <w:p>
            <w:pPr>
              <w:pStyle w:val="TableParagraph"/>
              <w:ind w:left="148"/>
              <w:jc w:val="left"/>
              <w:rPr>
                <w:sz w:val="21"/>
              </w:rPr>
            </w:pPr>
            <w:r>
              <w:rPr>
                <w:sz w:val="21"/>
              </w:rPr>
              <w:t>开发区生活区</w:t>
            </w:r>
          </w:p>
        </w:tc>
        <w:tc>
          <w:tcPr>
            <w:tcW w:w="1337" w:type="dxa"/>
          </w:tcPr>
          <w:p>
            <w:pPr>
              <w:pStyle w:val="TableParagraph"/>
              <w:spacing w:line="250"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6" w:lineRule="exact" w:before="15"/>
              <w:ind w:left="136" w:right="129"/>
              <w:rPr>
                <w:rFonts w:ascii="Times New Roman"/>
                <w:sz w:val="21"/>
              </w:rPr>
            </w:pPr>
            <w:r>
              <w:rPr>
                <w:rFonts w:ascii="Times New Roman"/>
                <w:sz w:val="21"/>
              </w:rPr>
              <w:t>2.96E-04</w:t>
            </w:r>
          </w:p>
        </w:tc>
        <w:tc>
          <w:tcPr>
            <w:tcW w:w="1289" w:type="dxa"/>
          </w:tcPr>
          <w:p>
            <w:pPr>
              <w:pStyle w:val="TableParagraph"/>
              <w:spacing w:line="236" w:lineRule="exact" w:before="15"/>
              <w:ind w:left="200" w:right="193"/>
              <w:rPr>
                <w:rFonts w:ascii="Times New Roman"/>
                <w:sz w:val="21"/>
              </w:rPr>
            </w:pPr>
            <w:r>
              <w:rPr>
                <w:rFonts w:ascii="Times New Roman"/>
                <w:sz w:val="21"/>
              </w:rPr>
              <w:t>20012318</w:t>
            </w:r>
          </w:p>
        </w:tc>
        <w:tc>
          <w:tcPr>
            <w:tcW w:w="1023" w:type="dxa"/>
          </w:tcPr>
          <w:p>
            <w:pPr>
              <w:pStyle w:val="TableParagraph"/>
              <w:spacing w:line="236" w:lineRule="exact" w:before="15"/>
              <w:ind w:left="305" w:right="299"/>
              <w:rPr>
                <w:rFonts w:ascii="Times New Roman"/>
                <w:sz w:val="21"/>
              </w:rPr>
            </w:pPr>
            <w:r>
              <w:rPr>
                <w:rFonts w:ascii="Times New Roman"/>
                <w:sz w:val="21"/>
              </w:rPr>
              <w:t>0.07</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spacing w:line="238" w:lineRule="exact" w:before="15"/>
              <w:ind w:left="136" w:right="129"/>
              <w:rPr>
                <w:rFonts w:ascii="Times New Roman"/>
                <w:sz w:val="21"/>
              </w:rPr>
            </w:pPr>
            <w:r>
              <w:rPr>
                <w:rFonts w:ascii="Times New Roman"/>
                <w:sz w:val="21"/>
              </w:rPr>
              <w:t>1.80E-05</w:t>
            </w:r>
          </w:p>
        </w:tc>
        <w:tc>
          <w:tcPr>
            <w:tcW w:w="1289" w:type="dxa"/>
          </w:tcPr>
          <w:p>
            <w:pPr>
              <w:pStyle w:val="TableParagraph"/>
              <w:spacing w:line="238" w:lineRule="exact" w:before="15"/>
              <w:ind w:left="202" w:right="193"/>
              <w:rPr>
                <w:rFonts w:ascii="Times New Roman"/>
                <w:sz w:val="21"/>
              </w:rPr>
            </w:pPr>
            <w:r>
              <w:rPr>
                <w:rFonts w:ascii="Times New Roman"/>
                <w:sz w:val="21"/>
              </w:rPr>
              <w:t>201019</w:t>
            </w:r>
          </w:p>
        </w:tc>
        <w:tc>
          <w:tcPr>
            <w:tcW w:w="1023" w:type="dxa"/>
          </w:tcPr>
          <w:p>
            <w:pPr>
              <w:pStyle w:val="TableParagraph"/>
              <w:spacing w:line="238" w:lineRule="exact" w:before="15"/>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36" w:lineRule="exact" w:before="15"/>
              <w:ind w:left="136" w:right="129"/>
              <w:rPr>
                <w:rFonts w:ascii="Times New Roman"/>
                <w:sz w:val="21"/>
              </w:rPr>
            </w:pPr>
            <w:r>
              <w:rPr>
                <w:rFonts w:ascii="Times New Roman"/>
                <w:sz w:val="21"/>
              </w:rPr>
              <w:t>0.40E-05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36" w:lineRule="exact" w:before="15"/>
              <w:ind w:left="305" w:right="299"/>
              <w:rPr>
                <w:rFonts w:ascii="Times New Roman"/>
                <w:sz w:val="21"/>
              </w:rPr>
            </w:pPr>
            <w:r>
              <w:rPr>
                <w:rFonts w:ascii="Times New Roman"/>
                <w:sz w:val="21"/>
              </w:rPr>
              <w:t>0.01</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联合村</w:t>
            </w:r>
          </w:p>
        </w:tc>
        <w:tc>
          <w:tcPr>
            <w:tcW w:w="1337" w:type="dxa"/>
          </w:tcPr>
          <w:p>
            <w:pPr>
              <w:pStyle w:val="TableParagraph"/>
              <w:spacing w:line="250" w:lineRule="exact" w:before="3"/>
              <w:ind w:left="226" w:right="216"/>
              <w:rPr>
                <w:sz w:val="21"/>
              </w:rPr>
            </w:pPr>
            <w:r>
              <w:rPr>
                <w:rFonts w:ascii="Times New Roman" w:eastAsia="Times New Roman"/>
                <w:sz w:val="21"/>
              </w:rPr>
              <w:t>1 </w:t>
            </w:r>
            <w:r>
              <w:rPr>
                <w:sz w:val="21"/>
              </w:rPr>
              <w:t>小时</w:t>
            </w:r>
          </w:p>
        </w:tc>
        <w:tc>
          <w:tcPr>
            <w:tcW w:w="1580" w:type="dxa"/>
          </w:tcPr>
          <w:p>
            <w:pPr>
              <w:pStyle w:val="TableParagraph"/>
              <w:spacing w:line="236" w:lineRule="exact" w:before="17"/>
              <w:ind w:left="136" w:right="129"/>
              <w:rPr>
                <w:rFonts w:ascii="Times New Roman"/>
                <w:sz w:val="21"/>
              </w:rPr>
            </w:pPr>
            <w:r>
              <w:rPr>
                <w:rFonts w:ascii="Times New Roman"/>
                <w:sz w:val="21"/>
              </w:rPr>
              <w:t>3.78E-04</w:t>
            </w:r>
          </w:p>
        </w:tc>
        <w:tc>
          <w:tcPr>
            <w:tcW w:w="1289" w:type="dxa"/>
          </w:tcPr>
          <w:p>
            <w:pPr>
              <w:pStyle w:val="TableParagraph"/>
              <w:spacing w:line="236" w:lineRule="exact" w:before="17"/>
              <w:ind w:left="200" w:right="193"/>
              <w:rPr>
                <w:rFonts w:ascii="Times New Roman"/>
                <w:sz w:val="21"/>
              </w:rPr>
            </w:pPr>
            <w:r>
              <w:rPr>
                <w:rFonts w:ascii="Times New Roman"/>
                <w:sz w:val="21"/>
              </w:rPr>
              <w:t>20102020</w:t>
            </w:r>
          </w:p>
        </w:tc>
        <w:tc>
          <w:tcPr>
            <w:tcW w:w="1023" w:type="dxa"/>
          </w:tcPr>
          <w:p>
            <w:pPr>
              <w:pStyle w:val="TableParagraph"/>
              <w:spacing w:line="236" w:lineRule="exact" w:before="17"/>
              <w:ind w:left="305" w:right="299"/>
              <w:rPr>
                <w:rFonts w:ascii="Times New Roman"/>
                <w:sz w:val="21"/>
              </w:rPr>
            </w:pPr>
            <w:r>
              <w:rPr>
                <w:rFonts w:ascii="Times New Roman"/>
                <w:sz w:val="21"/>
              </w:rPr>
              <w:t>0.08</w:t>
            </w:r>
          </w:p>
        </w:tc>
        <w:tc>
          <w:tcPr>
            <w:tcW w:w="1600" w:type="dxa"/>
          </w:tcPr>
          <w:p>
            <w:pPr>
              <w:pStyle w:val="TableParagraph"/>
              <w:spacing w:line="250" w:lineRule="exact" w:before="3"/>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spacing w:line="238" w:lineRule="exact" w:before="15"/>
              <w:ind w:left="136" w:right="129"/>
              <w:rPr>
                <w:rFonts w:ascii="Times New Roman"/>
                <w:sz w:val="21"/>
              </w:rPr>
            </w:pPr>
            <w:r>
              <w:rPr>
                <w:rFonts w:ascii="Times New Roman"/>
                <w:sz w:val="21"/>
              </w:rPr>
              <w:t>2.00E-05</w:t>
            </w:r>
          </w:p>
        </w:tc>
        <w:tc>
          <w:tcPr>
            <w:tcW w:w="1289" w:type="dxa"/>
          </w:tcPr>
          <w:p>
            <w:pPr>
              <w:pStyle w:val="TableParagraph"/>
              <w:spacing w:line="238" w:lineRule="exact" w:before="15"/>
              <w:ind w:left="202" w:right="193"/>
              <w:rPr>
                <w:rFonts w:ascii="Times New Roman"/>
                <w:sz w:val="21"/>
              </w:rPr>
            </w:pPr>
            <w:r>
              <w:rPr>
                <w:rFonts w:ascii="Times New Roman"/>
                <w:sz w:val="21"/>
              </w:rPr>
              <w:t>200526</w:t>
            </w:r>
          </w:p>
        </w:tc>
        <w:tc>
          <w:tcPr>
            <w:tcW w:w="1023" w:type="dxa"/>
          </w:tcPr>
          <w:p>
            <w:pPr>
              <w:pStyle w:val="TableParagraph"/>
              <w:spacing w:line="238" w:lineRule="exact" w:before="15"/>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36" w:lineRule="exact" w:before="15"/>
              <w:ind w:left="136" w:right="129"/>
              <w:rPr>
                <w:rFonts w:ascii="Times New Roman"/>
                <w:sz w:val="21"/>
              </w:rPr>
            </w:pPr>
            <w:r>
              <w:rPr>
                <w:rFonts w:ascii="Times New Roman"/>
                <w:sz w:val="21"/>
              </w:rPr>
              <w:t>0.40E-05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36" w:lineRule="exact" w:before="15"/>
              <w:ind w:left="305" w:right="299"/>
              <w:rPr>
                <w:rFonts w:ascii="Times New Roman"/>
                <w:sz w:val="21"/>
              </w:rPr>
            </w:pPr>
            <w:r>
              <w:rPr>
                <w:rFonts w:ascii="Times New Roman"/>
                <w:sz w:val="21"/>
              </w:rPr>
              <w:t>0.01</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珠海村</w:t>
            </w:r>
          </w:p>
        </w:tc>
        <w:tc>
          <w:tcPr>
            <w:tcW w:w="1337" w:type="dxa"/>
          </w:tcPr>
          <w:p>
            <w:pPr>
              <w:pStyle w:val="TableParagraph"/>
              <w:spacing w:line="250" w:lineRule="exact" w:before="3"/>
              <w:ind w:left="226" w:right="216"/>
              <w:rPr>
                <w:sz w:val="21"/>
              </w:rPr>
            </w:pPr>
            <w:r>
              <w:rPr>
                <w:rFonts w:ascii="Times New Roman" w:eastAsia="Times New Roman"/>
                <w:sz w:val="21"/>
              </w:rPr>
              <w:t>1 </w:t>
            </w:r>
            <w:r>
              <w:rPr>
                <w:sz w:val="21"/>
              </w:rPr>
              <w:t>小时</w:t>
            </w:r>
          </w:p>
        </w:tc>
        <w:tc>
          <w:tcPr>
            <w:tcW w:w="1580" w:type="dxa"/>
          </w:tcPr>
          <w:p>
            <w:pPr>
              <w:pStyle w:val="TableParagraph"/>
              <w:spacing w:line="236" w:lineRule="exact" w:before="17"/>
              <w:ind w:left="136" w:right="129"/>
              <w:rPr>
                <w:rFonts w:ascii="Times New Roman"/>
                <w:sz w:val="21"/>
              </w:rPr>
            </w:pPr>
            <w:r>
              <w:rPr>
                <w:rFonts w:ascii="Times New Roman"/>
                <w:sz w:val="21"/>
              </w:rPr>
              <w:t>3.40E-04</w:t>
            </w:r>
          </w:p>
        </w:tc>
        <w:tc>
          <w:tcPr>
            <w:tcW w:w="1289" w:type="dxa"/>
          </w:tcPr>
          <w:p>
            <w:pPr>
              <w:pStyle w:val="TableParagraph"/>
              <w:spacing w:line="236" w:lineRule="exact" w:before="17"/>
              <w:ind w:left="200" w:right="193"/>
              <w:rPr>
                <w:rFonts w:ascii="Times New Roman"/>
                <w:sz w:val="21"/>
              </w:rPr>
            </w:pPr>
            <w:r>
              <w:rPr>
                <w:rFonts w:ascii="Times New Roman"/>
                <w:sz w:val="21"/>
              </w:rPr>
              <w:t>20121923</w:t>
            </w:r>
          </w:p>
        </w:tc>
        <w:tc>
          <w:tcPr>
            <w:tcW w:w="1023" w:type="dxa"/>
          </w:tcPr>
          <w:p>
            <w:pPr>
              <w:pStyle w:val="TableParagraph"/>
              <w:spacing w:line="236" w:lineRule="exact" w:before="17"/>
              <w:ind w:left="305" w:right="299"/>
              <w:rPr>
                <w:rFonts w:ascii="Times New Roman"/>
                <w:sz w:val="21"/>
              </w:rPr>
            </w:pPr>
            <w:r>
              <w:rPr>
                <w:rFonts w:ascii="Times New Roman"/>
                <w:sz w:val="21"/>
              </w:rPr>
              <w:t>0.08</w:t>
            </w:r>
          </w:p>
        </w:tc>
        <w:tc>
          <w:tcPr>
            <w:tcW w:w="1600" w:type="dxa"/>
          </w:tcPr>
          <w:p>
            <w:pPr>
              <w:pStyle w:val="TableParagraph"/>
              <w:spacing w:line="250" w:lineRule="exact" w:before="3"/>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spacing w:line="238" w:lineRule="exact" w:before="15"/>
              <w:ind w:left="136" w:right="129"/>
              <w:rPr>
                <w:rFonts w:ascii="Times New Roman"/>
                <w:sz w:val="21"/>
              </w:rPr>
            </w:pPr>
            <w:r>
              <w:rPr>
                <w:rFonts w:ascii="Times New Roman"/>
                <w:sz w:val="21"/>
              </w:rPr>
              <w:t>2.30E-05</w:t>
            </w:r>
          </w:p>
        </w:tc>
        <w:tc>
          <w:tcPr>
            <w:tcW w:w="1289" w:type="dxa"/>
          </w:tcPr>
          <w:p>
            <w:pPr>
              <w:pStyle w:val="TableParagraph"/>
              <w:spacing w:line="238" w:lineRule="exact" w:before="15"/>
              <w:ind w:left="202" w:right="193"/>
              <w:rPr>
                <w:rFonts w:ascii="Times New Roman"/>
                <w:sz w:val="21"/>
              </w:rPr>
            </w:pPr>
            <w:r>
              <w:rPr>
                <w:rFonts w:ascii="Times New Roman"/>
                <w:sz w:val="21"/>
              </w:rPr>
              <w:t>201223</w:t>
            </w:r>
          </w:p>
        </w:tc>
        <w:tc>
          <w:tcPr>
            <w:tcW w:w="1023" w:type="dxa"/>
          </w:tcPr>
          <w:p>
            <w:pPr>
              <w:pStyle w:val="TableParagraph"/>
              <w:spacing w:line="238" w:lineRule="exact" w:before="15"/>
              <w:ind w:left="305" w:right="299"/>
              <w:rPr>
                <w:rFonts w:ascii="Times New Roman"/>
                <w:sz w:val="21"/>
              </w:rPr>
            </w:pPr>
            <w:r>
              <w:rPr>
                <w:rFonts w:ascii="Times New Roman"/>
                <w:sz w:val="21"/>
              </w:rPr>
              <w:t>0.02</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36" w:lineRule="exact" w:before="15"/>
              <w:ind w:left="136" w:right="129"/>
              <w:rPr>
                <w:rFonts w:ascii="Times New Roman"/>
                <w:sz w:val="21"/>
              </w:rPr>
            </w:pPr>
            <w:r>
              <w:rPr>
                <w:rFonts w:ascii="Times New Roman"/>
                <w:sz w:val="21"/>
              </w:rPr>
              <w:t>0.50E-05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36" w:lineRule="exact" w:before="15"/>
              <w:ind w:left="305" w:right="299"/>
              <w:rPr>
                <w:rFonts w:ascii="Times New Roman"/>
                <w:sz w:val="21"/>
              </w:rPr>
            </w:pPr>
            <w:r>
              <w:rPr>
                <w:rFonts w:ascii="Times New Roman"/>
                <w:sz w:val="21"/>
              </w:rPr>
              <w:t>0.01</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丰棉村</w:t>
            </w:r>
          </w:p>
        </w:tc>
        <w:tc>
          <w:tcPr>
            <w:tcW w:w="1337" w:type="dxa"/>
          </w:tcPr>
          <w:p>
            <w:pPr>
              <w:pStyle w:val="TableParagraph"/>
              <w:spacing w:line="250" w:lineRule="exact" w:before="3"/>
              <w:ind w:left="226" w:right="216"/>
              <w:rPr>
                <w:sz w:val="21"/>
              </w:rPr>
            </w:pPr>
            <w:r>
              <w:rPr>
                <w:rFonts w:ascii="Times New Roman" w:eastAsia="Times New Roman"/>
                <w:sz w:val="21"/>
              </w:rPr>
              <w:t>1 </w:t>
            </w:r>
            <w:r>
              <w:rPr>
                <w:sz w:val="21"/>
              </w:rPr>
              <w:t>小时</w:t>
            </w:r>
          </w:p>
        </w:tc>
        <w:tc>
          <w:tcPr>
            <w:tcW w:w="1580" w:type="dxa"/>
          </w:tcPr>
          <w:p>
            <w:pPr>
              <w:pStyle w:val="TableParagraph"/>
              <w:spacing w:line="236" w:lineRule="exact" w:before="17"/>
              <w:ind w:left="136" w:right="129"/>
              <w:rPr>
                <w:rFonts w:ascii="Times New Roman"/>
                <w:sz w:val="21"/>
              </w:rPr>
            </w:pPr>
            <w:r>
              <w:rPr>
                <w:rFonts w:ascii="Times New Roman"/>
                <w:sz w:val="21"/>
              </w:rPr>
              <w:t>2.78E-04</w:t>
            </w:r>
          </w:p>
        </w:tc>
        <w:tc>
          <w:tcPr>
            <w:tcW w:w="1289" w:type="dxa"/>
          </w:tcPr>
          <w:p>
            <w:pPr>
              <w:pStyle w:val="TableParagraph"/>
              <w:spacing w:line="236" w:lineRule="exact" w:before="17"/>
              <w:ind w:left="202" w:right="193"/>
              <w:rPr>
                <w:rFonts w:ascii="Times New Roman"/>
                <w:sz w:val="21"/>
              </w:rPr>
            </w:pPr>
            <w:r>
              <w:rPr>
                <w:rFonts w:ascii="Times New Roman"/>
                <w:sz w:val="21"/>
              </w:rPr>
              <w:t>20011406</w:t>
            </w:r>
          </w:p>
        </w:tc>
        <w:tc>
          <w:tcPr>
            <w:tcW w:w="1023" w:type="dxa"/>
          </w:tcPr>
          <w:p>
            <w:pPr>
              <w:pStyle w:val="TableParagraph"/>
              <w:spacing w:line="236" w:lineRule="exact" w:before="17"/>
              <w:ind w:left="305" w:right="299"/>
              <w:rPr>
                <w:rFonts w:ascii="Times New Roman"/>
                <w:sz w:val="21"/>
              </w:rPr>
            </w:pPr>
            <w:r>
              <w:rPr>
                <w:rFonts w:ascii="Times New Roman"/>
                <w:sz w:val="21"/>
              </w:rPr>
              <w:t>0.06</w:t>
            </w:r>
          </w:p>
        </w:tc>
        <w:tc>
          <w:tcPr>
            <w:tcW w:w="1600" w:type="dxa"/>
          </w:tcPr>
          <w:p>
            <w:pPr>
              <w:pStyle w:val="TableParagraph"/>
              <w:spacing w:line="250" w:lineRule="exact" w:before="3"/>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spacing w:line="238" w:lineRule="exact" w:before="15"/>
              <w:ind w:left="136" w:right="129"/>
              <w:rPr>
                <w:rFonts w:ascii="Times New Roman"/>
                <w:sz w:val="21"/>
              </w:rPr>
            </w:pPr>
            <w:r>
              <w:rPr>
                <w:rFonts w:ascii="Times New Roman"/>
                <w:sz w:val="21"/>
              </w:rPr>
              <w:t>2.40E-05</w:t>
            </w:r>
          </w:p>
        </w:tc>
        <w:tc>
          <w:tcPr>
            <w:tcW w:w="1289" w:type="dxa"/>
          </w:tcPr>
          <w:p>
            <w:pPr>
              <w:pStyle w:val="TableParagraph"/>
              <w:spacing w:line="238" w:lineRule="exact" w:before="15"/>
              <w:ind w:left="202" w:right="193"/>
              <w:rPr>
                <w:rFonts w:ascii="Times New Roman"/>
                <w:sz w:val="21"/>
              </w:rPr>
            </w:pPr>
            <w:r>
              <w:rPr>
                <w:rFonts w:ascii="Times New Roman"/>
                <w:sz w:val="21"/>
              </w:rPr>
              <w:t>201206</w:t>
            </w:r>
          </w:p>
        </w:tc>
        <w:tc>
          <w:tcPr>
            <w:tcW w:w="1023" w:type="dxa"/>
          </w:tcPr>
          <w:p>
            <w:pPr>
              <w:pStyle w:val="TableParagraph"/>
              <w:spacing w:line="238" w:lineRule="exact" w:before="15"/>
              <w:ind w:left="305" w:right="299"/>
              <w:rPr>
                <w:rFonts w:ascii="Times New Roman"/>
                <w:sz w:val="21"/>
              </w:rPr>
            </w:pPr>
            <w:r>
              <w:rPr>
                <w:rFonts w:ascii="Times New Roman"/>
                <w:sz w:val="21"/>
              </w:rPr>
              <w:t>0.02</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1"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36" w:lineRule="exact" w:before="15"/>
              <w:ind w:left="136" w:right="129"/>
              <w:rPr>
                <w:rFonts w:ascii="Times New Roman"/>
                <w:sz w:val="21"/>
              </w:rPr>
            </w:pPr>
            <w:r>
              <w:rPr>
                <w:rFonts w:ascii="Times New Roman"/>
                <w:sz w:val="21"/>
              </w:rPr>
              <w:t>0.50E-05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36" w:lineRule="exact" w:before="15"/>
              <w:ind w:left="305" w:right="299"/>
              <w:rPr>
                <w:rFonts w:ascii="Times New Roman"/>
                <w:sz w:val="21"/>
              </w:rPr>
            </w:pPr>
            <w:r>
              <w:rPr>
                <w:rFonts w:ascii="Times New Roman"/>
                <w:sz w:val="21"/>
              </w:rPr>
              <w:t>0.01</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镇海村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2.82E-04</w:t>
            </w:r>
          </w:p>
        </w:tc>
        <w:tc>
          <w:tcPr>
            <w:tcW w:w="1289" w:type="dxa"/>
          </w:tcPr>
          <w:p>
            <w:pPr>
              <w:pStyle w:val="TableParagraph"/>
              <w:spacing w:line="238" w:lineRule="exact" w:before="15"/>
              <w:ind w:left="200" w:right="193"/>
              <w:rPr>
                <w:rFonts w:ascii="Times New Roman"/>
                <w:sz w:val="21"/>
              </w:rPr>
            </w:pPr>
            <w:r>
              <w:rPr>
                <w:rFonts w:ascii="Times New Roman"/>
                <w:sz w:val="21"/>
              </w:rPr>
              <w:t>20121116</w:t>
            </w:r>
          </w:p>
        </w:tc>
        <w:tc>
          <w:tcPr>
            <w:tcW w:w="1023" w:type="dxa"/>
          </w:tcPr>
          <w:p>
            <w:pPr>
              <w:pStyle w:val="TableParagraph"/>
              <w:spacing w:line="238" w:lineRule="exact" w:before="15"/>
              <w:ind w:left="305" w:right="299"/>
              <w:rPr>
                <w:rFonts w:ascii="Times New Roman"/>
                <w:sz w:val="21"/>
              </w:rPr>
            </w:pPr>
            <w:r>
              <w:rPr>
                <w:rFonts w:ascii="Times New Roman"/>
                <w:sz w:val="21"/>
              </w:rPr>
              <w:t>0.06</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spacing w:line="238" w:lineRule="exact" w:before="15"/>
              <w:ind w:left="136" w:right="129"/>
              <w:rPr>
                <w:rFonts w:ascii="Times New Roman"/>
                <w:sz w:val="21"/>
              </w:rPr>
            </w:pPr>
            <w:r>
              <w:rPr>
                <w:rFonts w:ascii="Times New Roman"/>
                <w:sz w:val="21"/>
              </w:rPr>
              <w:t>2.10E-05</w:t>
            </w:r>
          </w:p>
        </w:tc>
        <w:tc>
          <w:tcPr>
            <w:tcW w:w="1289" w:type="dxa"/>
          </w:tcPr>
          <w:p>
            <w:pPr>
              <w:pStyle w:val="TableParagraph"/>
              <w:spacing w:line="238" w:lineRule="exact" w:before="15"/>
              <w:ind w:left="202" w:right="193"/>
              <w:rPr>
                <w:rFonts w:ascii="Times New Roman"/>
                <w:sz w:val="21"/>
              </w:rPr>
            </w:pPr>
            <w:r>
              <w:rPr>
                <w:rFonts w:ascii="Times New Roman"/>
                <w:sz w:val="21"/>
              </w:rPr>
              <w:t>200920</w:t>
            </w:r>
          </w:p>
        </w:tc>
        <w:tc>
          <w:tcPr>
            <w:tcW w:w="1023" w:type="dxa"/>
          </w:tcPr>
          <w:p>
            <w:pPr>
              <w:pStyle w:val="TableParagraph"/>
              <w:spacing w:line="238" w:lineRule="exact" w:before="15"/>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36" w:lineRule="exact" w:before="15"/>
              <w:ind w:left="136" w:right="129"/>
              <w:rPr>
                <w:rFonts w:ascii="Times New Roman"/>
                <w:sz w:val="21"/>
              </w:rPr>
            </w:pPr>
            <w:r>
              <w:rPr>
                <w:rFonts w:ascii="Times New Roman"/>
                <w:sz w:val="21"/>
              </w:rPr>
              <w:t>0.40E-05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36" w:lineRule="exact" w:before="15"/>
              <w:ind w:left="305" w:right="299"/>
              <w:rPr>
                <w:rFonts w:ascii="Times New Roman"/>
                <w:sz w:val="21"/>
              </w:rPr>
            </w:pPr>
            <w:r>
              <w:rPr>
                <w:rFonts w:ascii="Times New Roman"/>
                <w:sz w:val="21"/>
              </w:rPr>
              <w:t>0.01</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镇东村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2.14E-04</w:t>
            </w:r>
          </w:p>
        </w:tc>
        <w:tc>
          <w:tcPr>
            <w:tcW w:w="1289" w:type="dxa"/>
          </w:tcPr>
          <w:p>
            <w:pPr>
              <w:pStyle w:val="TableParagraph"/>
              <w:spacing w:line="238" w:lineRule="exact" w:before="15"/>
              <w:ind w:left="200" w:right="193"/>
              <w:rPr>
                <w:rFonts w:ascii="Times New Roman"/>
                <w:sz w:val="21"/>
              </w:rPr>
            </w:pPr>
            <w:r>
              <w:rPr>
                <w:rFonts w:ascii="Times New Roman"/>
                <w:sz w:val="21"/>
              </w:rPr>
              <w:t>20091305</w:t>
            </w:r>
          </w:p>
        </w:tc>
        <w:tc>
          <w:tcPr>
            <w:tcW w:w="1023" w:type="dxa"/>
          </w:tcPr>
          <w:p>
            <w:pPr>
              <w:pStyle w:val="TableParagraph"/>
              <w:spacing w:line="238" w:lineRule="exact" w:before="15"/>
              <w:ind w:left="305" w:right="299"/>
              <w:rPr>
                <w:rFonts w:ascii="Times New Roman"/>
                <w:sz w:val="21"/>
              </w:rPr>
            </w:pPr>
            <w:r>
              <w:rPr>
                <w:rFonts w:ascii="Times New Roman"/>
                <w:sz w:val="21"/>
              </w:rPr>
              <w:t>0.05</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日平均</w:t>
            </w:r>
          </w:p>
        </w:tc>
        <w:tc>
          <w:tcPr>
            <w:tcW w:w="1580" w:type="dxa"/>
          </w:tcPr>
          <w:p>
            <w:pPr>
              <w:pStyle w:val="TableParagraph"/>
              <w:spacing w:line="236" w:lineRule="exact" w:before="15"/>
              <w:ind w:left="136" w:right="129"/>
              <w:rPr>
                <w:rFonts w:ascii="Times New Roman"/>
                <w:sz w:val="21"/>
              </w:rPr>
            </w:pPr>
            <w:r>
              <w:rPr>
                <w:rFonts w:ascii="Times New Roman"/>
                <w:sz w:val="21"/>
              </w:rPr>
              <w:t>1.20E-05</w:t>
            </w:r>
          </w:p>
        </w:tc>
        <w:tc>
          <w:tcPr>
            <w:tcW w:w="1289" w:type="dxa"/>
          </w:tcPr>
          <w:p>
            <w:pPr>
              <w:pStyle w:val="TableParagraph"/>
              <w:spacing w:line="236" w:lineRule="exact" w:before="15"/>
              <w:ind w:left="202" w:right="193"/>
              <w:rPr>
                <w:rFonts w:ascii="Times New Roman"/>
                <w:sz w:val="21"/>
              </w:rPr>
            </w:pPr>
            <w:r>
              <w:rPr>
                <w:rFonts w:ascii="Times New Roman"/>
                <w:sz w:val="21"/>
              </w:rPr>
              <w:t>200703</w:t>
            </w:r>
          </w:p>
        </w:tc>
        <w:tc>
          <w:tcPr>
            <w:tcW w:w="1023" w:type="dxa"/>
          </w:tcPr>
          <w:p>
            <w:pPr>
              <w:pStyle w:val="TableParagraph"/>
              <w:spacing w:line="236" w:lineRule="exact" w:before="15"/>
              <w:ind w:left="305" w:right="299"/>
              <w:rPr>
                <w:rFonts w:ascii="Times New Roman"/>
                <w:sz w:val="21"/>
              </w:rPr>
            </w:pPr>
            <w:r>
              <w:rPr>
                <w:rFonts w:ascii="Times New Roman"/>
                <w:sz w:val="21"/>
              </w:rPr>
              <w:t>0.01</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3"/>
              <w:ind w:left="226" w:right="216"/>
              <w:rPr>
                <w:sz w:val="21"/>
              </w:rPr>
            </w:pPr>
            <w:r>
              <w:rPr>
                <w:sz w:val="21"/>
              </w:rPr>
              <w:t>年平均</w:t>
            </w:r>
          </w:p>
        </w:tc>
        <w:tc>
          <w:tcPr>
            <w:tcW w:w="1580" w:type="dxa"/>
          </w:tcPr>
          <w:p>
            <w:pPr>
              <w:pStyle w:val="TableParagraph"/>
              <w:spacing w:line="236" w:lineRule="exact" w:before="17"/>
              <w:ind w:left="136" w:right="129"/>
              <w:rPr>
                <w:rFonts w:ascii="Times New Roman"/>
                <w:sz w:val="21"/>
              </w:rPr>
            </w:pPr>
            <w:r>
              <w:rPr>
                <w:rFonts w:ascii="Times New Roman"/>
                <w:sz w:val="21"/>
              </w:rPr>
              <w:t>0.20E-05</w:t>
            </w:r>
          </w:p>
        </w:tc>
        <w:tc>
          <w:tcPr>
            <w:tcW w:w="1289" w:type="dxa"/>
          </w:tcPr>
          <w:p>
            <w:pPr>
              <w:pStyle w:val="TableParagraph"/>
              <w:spacing w:line="250" w:lineRule="exact" w:before="3"/>
              <w:ind w:left="202" w:right="193"/>
              <w:rPr>
                <w:sz w:val="21"/>
              </w:rPr>
            </w:pPr>
            <w:r>
              <w:rPr>
                <w:sz w:val="21"/>
              </w:rPr>
              <w:t>平均值</w:t>
            </w:r>
          </w:p>
        </w:tc>
        <w:tc>
          <w:tcPr>
            <w:tcW w:w="1023" w:type="dxa"/>
          </w:tcPr>
          <w:p>
            <w:pPr>
              <w:pStyle w:val="TableParagraph"/>
              <w:spacing w:line="236" w:lineRule="exact" w:before="17"/>
              <w:ind w:left="305" w:right="299"/>
              <w:rPr>
                <w:rFonts w:ascii="Times New Roman"/>
                <w:sz w:val="21"/>
              </w:rPr>
            </w:pPr>
            <w:r>
              <w:rPr>
                <w:rFonts w:ascii="Times New Roman"/>
                <w:sz w:val="21"/>
              </w:rPr>
              <w:t>0.00</w:t>
            </w:r>
          </w:p>
        </w:tc>
        <w:tc>
          <w:tcPr>
            <w:tcW w:w="1600" w:type="dxa"/>
          </w:tcPr>
          <w:p>
            <w:pPr>
              <w:pStyle w:val="TableParagraph"/>
              <w:spacing w:line="250" w:lineRule="exact" w:before="3"/>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20" w:right="12"/>
              <w:rPr>
                <w:sz w:val="21"/>
              </w:rPr>
            </w:pPr>
            <w:r>
              <w:rPr>
                <w:sz w:val="21"/>
              </w:rPr>
              <w:t>网格</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1.44E-03</w:t>
            </w:r>
          </w:p>
        </w:tc>
        <w:tc>
          <w:tcPr>
            <w:tcW w:w="1289" w:type="dxa"/>
          </w:tcPr>
          <w:p>
            <w:pPr>
              <w:pStyle w:val="TableParagraph"/>
              <w:spacing w:line="238" w:lineRule="exact" w:before="15"/>
              <w:ind w:left="200" w:right="193"/>
              <w:rPr>
                <w:rFonts w:ascii="Times New Roman"/>
                <w:sz w:val="21"/>
              </w:rPr>
            </w:pPr>
            <w:r>
              <w:rPr>
                <w:rFonts w:ascii="Times New Roman"/>
                <w:sz w:val="21"/>
              </w:rPr>
              <w:t>20062607</w:t>
            </w:r>
          </w:p>
        </w:tc>
        <w:tc>
          <w:tcPr>
            <w:tcW w:w="1023" w:type="dxa"/>
          </w:tcPr>
          <w:p>
            <w:pPr>
              <w:pStyle w:val="TableParagraph"/>
              <w:spacing w:line="238" w:lineRule="exact" w:before="15"/>
              <w:ind w:left="305" w:right="299"/>
              <w:rPr>
                <w:rFonts w:ascii="Times New Roman"/>
                <w:sz w:val="21"/>
              </w:rPr>
            </w:pPr>
            <w:r>
              <w:rPr>
                <w:rFonts w:ascii="Times New Roman"/>
                <w:sz w:val="21"/>
              </w:rPr>
              <w:t>0.32</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日平均</w:t>
            </w:r>
          </w:p>
        </w:tc>
        <w:tc>
          <w:tcPr>
            <w:tcW w:w="1580" w:type="dxa"/>
          </w:tcPr>
          <w:p>
            <w:pPr>
              <w:pStyle w:val="TableParagraph"/>
              <w:spacing w:line="236" w:lineRule="exact" w:before="15"/>
              <w:ind w:left="136" w:right="129"/>
              <w:rPr>
                <w:rFonts w:ascii="Times New Roman"/>
                <w:sz w:val="21"/>
              </w:rPr>
            </w:pPr>
            <w:r>
              <w:rPr>
                <w:rFonts w:ascii="Times New Roman"/>
                <w:sz w:val="21"/>
              </w:rPr>
              <w:t>3.26E-04</w:t>
            </w:r>
          </w:p>
        </w:tc>
        <w:tc>
          <w:tcPr>
            <w:tcW w:w="1289" w:type="dxa"/>
          </w:tcPr>
          <w:p>
            <w:pPr>
              <w:pStyle w:val="TableParagraph"/>
              <w:spacing w:line="236" w:lineRule="exact" w:before="15"/>
              <w:ind w:left="202" w:right="193"/>
              <w:rPr>
                <w:rFonts w:ascii="Times New Roman"/>
                <w:sz w:val="21"/>
              </w:rPr>
            </w:pPr>
            <w:r>
              <w:rPr>
                <w:rFonts w:ascii="Times New Roman"/>
                <w:sz w:val="21"/>
              </w:rPr>
              <w:t>200730</w:t>
            </w:r>
          </w:p>
        </w:tc>
        <w:tc>
          <w:tcPr>
            <w:tcW w:w="1023" w:type="dxa"/>
          </w:tcPr>
          <w:p>
            <w:pPr>
              <w:pStyle w:val="TableParagraph"/>
              <w:spacing w:line="236" w:lineRule="exact" w:before="15"/>
              <w:ind w:left="305" w:right="299"/>
              <w:rPr>
                <w:rFonts w:ascii="Times New Roman"/>
                <w:sz w:val="21"/>
              </w:rPr>
            </w:pPr>
            <w:r>
              <w:rPr>
                <w:rFonts w:ascii="Times New Roman"/>
                <w:sz w:val="21"/>
              </w:rPr>
              <w:t>0.22</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3"/>
              <w:ind w:left="226" w:right="216"/>
              <w:rPr>
                <w:sz w:val="21"/>
              </w:rPr>
            </w:pPr>
            <w:r>
              <w:rPr>
                <w:sz w:val="21"/>
              </w:rPr>
              <w:t>年平均</w:t>
            </w:r>
          </w:p>
        </w:tc>
        <w:tc>
          <w:tcPr>
            <w:tcW w:w="1580" w:type="dxa"/>
          </w:tcPr>
          <w:p>
            <w:pPr>
              <w:pStyle w:val="TableParagraph"/>
              <w:spacing w:line="236" w:lineRule="exact" w:before="17"/>
              <w:ind w:left="136" w:right="129"/>
              <w:rPr>
                <w:rFonts w:ascii="Times New Roman"/>
                <w:sz w:val="21"/>
              </w:rPr>
            </w:pPr>
            <w:r>
              <w:rPr>
                <w:rFonts w:ascii="Times New Roman"/>
                <w:sz w:val="21"/>
              </w:rPr>
              <w:t>7.07E-05</w:t>
            </w:r>
          </w:p>
        </w:tc>
        <w:tc>
          <w:tcPr>
            <w:tcW w:w="1289" w:type="dxa"/>
          </w:tcPr>
          <w:p>
            <w:pPr>
              <w:pStyle w:val="TableParagraph"/>
              <w:spacing w:line="250" w:lineRule="exact" w:before="3"/>
              <w:ind w:left="202" w:right="193"/>
              <w:rPr>
                <w:sz w:val="21"/>
              </w:rPr>
            </w:pPr>
            <w:r>
              <w:rPr>
                <w:sz w:val="21"/>
              </w:rPr>
              <w:t>平均值</w:t>
            </w:r>
          </w:p>
        </w:tc>
        <w:tc>
          <w:tcPr>
            <w:tcW w:w="1023" w:type="dxa"/>
          </w:tcPr>
          <w:p>
            <w:pPr>
              <w:pStyle w:val="TableParagraph"/>
              <w:spacing w:line="236" w:lineRule="exact" w:before="17"/>
              <w:ind w:left="305" w:right="299"/>
              <w:rPr>
                <w:rFonts w:ascii="Times New Roman"/>
                <w:sz w:val="21"/>
              </w:rPr>
            </w:pPr>
            <w:r>
              <w:rPr>
                <w:rFonts w:ascii="Times New Roman"/>
                <w:sz w:val="21"/>
              </w:rPr>
              <w:t>0.10</w:t>
            </w:r>
          </w:p>
        </w:tc>
        <w:tc>
          <w:tcPr>
            <w:tcW w:w="1600" w:type="dxa"/>
          </w:tcPr>
          <w:p>
            <w:pPr>
              <w:pStyle w:val="TableParagraph"/>
              <w:spacing w:line="250" w:lineRule="exact" w:before="3"/>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tcPr>
          <w:p>
            <w:pPr>
              <w:pStyle w:val="TableParagraph"/>
              <w:spacing w:line="238" w:lineRule="exact" w:before="15"/>
              <w:ind w:left="37" w:right="28"/>
              <w:rPr>
                <w:rFonts w:ascii="Times New Roman"/>
                <w:sz w:val="21"/>
              </w:rPr>
            </w:pPr>
            <w:r>
              <w:rPr>
                <w:rFonts w:ascii="Times New Roman"/>
                <w:sz w:val="21"/>
              </w:rPr>
              <w:t>TSP</w:t>
            </w:r>
          </w:p>
        </w:tc>
        <w:tc>
          <w:tcPr>
            <w:tcW w:w="1561" w:type="dxa"/>
          </w:tcPr>
          <w:p>
            <w:pPr>
              <w:pStyle w:val="TableParagraph"/>
              <w:spacing w:line="252" w:lineRule="exact" w:before="1"/>
              <w:ind w:left="20" w:right="12"/>
              <w:rPr>
                <w:sz w:val="21"/>
              </w:rPr>
            </w:pPr>
            <w:r>
              <w:rPr>
                <w:sz w:val="21"/>
              </w:rPr>
              <w:t>开发区生活区</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ind w:left="136" w:right="129"/>
              <w:rPr>
                <w:rFonts w:ascii="Times New Roman"/>
                <w:sz w:val="21"/>
              </w:rPr>
            </w:pPr>
            <w:r>
              <w:rPr>
                <w:rFonts w:ascii="Times New Roman"/>
                <w:sz w:val="21"/>
              </w:rPr>
              <w:t>4.74E-04</w:t>
            </w:r>
          </w:p>
        </w:tc>
        <w:tc>
          <w:tcPr>
            <w:tcW w:w="1289" w:type="dxa"/>
          </w:tcPr>
          <w:p>
            <w:pPr>
              <w:pStyle w:val="TableParagraph"/>
              <w:ind w:left="200" w:right="193"/>
              <w:rPr>
                <w:rFonts w:ascii="Times New Roman"/>
                <w:sz w:val="21"/>
              </w:rPr>
            </w:pPr>
            <w:r>
              <w:rPr>
                <w:rFonts w:ascii="Times New Roman"/>
                <w:sz w:val="21"/>
              </w:rPr>
              <w:t>20071523</w:t>
            </w:r>
          </w:p>
        </w:tc>
        <w:tc>
          <w:tcPr>
            <w:tcW w:w="1023" w:type="dxa"/>
          </w:tcPr>
          <w:p>
            <w:pPr>
              <w:pStyle w:val="TableParagraph"/>
              <w:ind w:left="305" w:right="299"/>
              <w:rPr>
                <w:rFonts w:ascii="Times New Roman"/>
                <w:sz w:val="21"/>
              </w:rPr>
            </w:pPr>
            <w:r>
              <w:rPr>
                <w:rFonts w:ascii="Times New Roman"/>
                <w:sz w:val="21"/>
              </w:rPr>
              <w:t>0.05</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bl>
    <w:p>
      <w:pPr>
        <w:spacing w:after="0" w:line="252" w:lineRule="exact"/>
        <w:jc w:val="right"/>
        <w:rPr>
          <w:sz w:val="21"/>
        </w:rPr>
        <w:sectPr>
          <w:pgSz w:w="11910" w:h="16850"/>
          <w:pgMar w:header="1004" w:footer="1088" w:top="1360" w:bottom="1280" w:left="1300" w:right="1020"/>
        </w:sectPr>
      </w:pPr>
    </w:p>
    <w:p>
      <w:pPr>
        <w:pStyle w:val="BodyText"/>
        <w:spacing w:before="9"/>
        <w:rPr>
          <w:b/>
          <w:sz w:val="4"/>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1561"/>
        <w:gridCol w:w="1337"/>
        <w:gridCol w:w="1580"/>
        <w:gridCol w:w="1289"/>
        <w:gridCol w:w="1023"/>
        <w:gridCol w:w="1600"/>
      </w:tblGrid>
      <w:tr>
        <w:trPr>
          <w:trHeight w:val="544" w:hRule="atLeast"/>
        </w:trPr>
        <w:tc>
          <w:tcPr>
            <w:tcW w:w="960" w:type="dxa"/>
          </w:tcPr>
          <w:p>
            <w:pPr>
              <w:pStyle w:val="TableParagraph"/>
              <w:spacing w:before="138"/>
              <w:ind w:left="163"/>
              <w:jc w:val="left"/>
              <w:rPr>
                <w:b/>
                <w:sz w:val="21"/>
              </w:rPr>
            </w:pPr>
            <w:r>
              <w:rPr>
                <w:b/>
                <w:sz w:val="21"/>
              </w:rPr>
              <w:t>污染物</w:t>
            </w:r>
          </w:p>
        </w:tc>
        <w:tc>
          <w:tcPr>
            <w:tcW w:w="1561" w:type="dxa"/>
          </w:tcPr>
          <w:p>
            <w:pPr>
              <w:pStyle w:val="TableParagraph"/>
              <w:spacing w:before="138"/>
              <w:ind w:left="20" w:right="12"/>
              <w:rPr>
                <w:b/>
                <w:sz w:val="21"/>
              </w:rPr>
            </w:pPr>
            <w:r>
              <w:rPr>
                <w:b/>
                <w:sz w:val="21"/>
              </w:rPr>
              <w:t>预测点</w:t>
            </w:r>
          </w:p>
        </w:tc>
        <w:tc>
          <w:tcPr>
            <w:tcW w:w="1337" w:type="dxa"/>
          </w:tcPr>
          <w:p>
            <w:pPr>
              <w:pStyle w:val="TableParagraph"/>
              <w:spacing w:before="138"/>
              <w:ind w:left="226" w:right="216"/>
              <w:rPr>
                <w:b/>
                <w:sz w:val="21"/>
              </w:rPr>
            </w:pPr>
            <w:r>
              <w:rPr>
                <w:b/>
                <w:sz w:val="21"/>
              </w:rPr>
              <w:t>平均时段</w:t>
            </w:r>
          </w:p>
        </w:tc>
        <w:tc>
          <w:tcPr>
            <w:tcW w:w="1580" w:type="dxa"/>
          </w:tcPr>
          <w:p>
            <w:pPr>
              <w:pStyle w:val="TableParagraph"/>
              <w:spacing w:before="1"/>
              <w:ind w:left="260"/>
              <w:jc w:val="left"/>
              <w:rPr>
                <w:b/>
                <w:sz w:val="21"/>
              </w:rPr>
            </w:pPr>
            <w:r>
              <w:rPr>
                <w:b/>
                <w:sz w:val="21"/>
              </w:rPr>
              <w:t>最大贡献值</w:t>
            </w:r>
          </w:p>
          <w:p>
            <w:pPr>
              <w:pStyle w:val="TableParagraph"/>
              <w:spacing w:line="250" w:lineRule="exact" w:before="5"/>
              <w:ind w:left="284"/>
              <w:jc w:val="left"/>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289" w:type="dxa"/>
          </w:tcPr>
          <w:p>
            <w:pPr>
              <w:pStyle w:val="TableParagraph"/>
              <w:spacing w:before="138"/>
              <w:ind w:left="202" w:right="193"/>
              <w:rPr>
                <w:b/>
                <w:sz w:val="21"/>
              </w:rPr>
            </w:pPr>
            <w:r>
              <w:rPr>
                <w:b/>
                <w:sz w:val="21"/>
              </w:rPr>
              <w:t>出现时间</w:t>
            </w:r>
          </w:p>
        </w:tc>
        <w:tc>
          <w:tcPr>
            <w:tcW w:w="1023" w:type="dxa"/>
          </w:tcPr>
          <w:p>
            <w:pPr>
              <w:pStyle w:val="TableParagraph"/>
              <w:spacing w:before="1"/>
              <w:ind w:left="192"/>
              <w:jc w:val="left"/>
              <w:rPr>
                <w:b/>
                <w:sz w:val="21"/>
              </w:rPr>
            </w:pPr>
            <w:r>
              <w:rPr>
                <w:b/>
                <w:sz w:val="21"/>
              </w:rPr>
              <w:t>占标率</w:t>
            </w:r>
          </w:p>
          <w:p>
            <w:pPr>
              <w:pStyle w:val="TableParagraph"/>
              <w:spacing w:line="250" w:lineRule="exact" w:before="5"/>
              <w:ind w:left="192"/>
              <w:jc w:val="left"/>
              <w:rPr>
                <w:b/>
                <w:sz w:val="21"/>
              </w:rPr>
            </w:pPr>
            <w:r>
              <w:rPr>
                <w:b/>
                <w:sz w:val="21"/>
              </w:rPr>
              <w:t>（</w:t>
            </w:r>
            <w:r>
              <w:rPr>
                <w:rFonts w:ascii="Times New Roman" w:eastAsia="Times New Roman"/>
                <w:b/>
                <w:sz w:val="21"/>
              </w:rPr>
              <w:t>%</w:t>
            </w:r>
            <w:r>
              <w:rPr>
                <w:b/>
                <w:sz w:val="21"/>
              </w:rPr>
              <w:t>）</w:t>
            </w:r>
          </w:p>
        </w:tc>
        <w:tc>
          <w:tcPr>
            <w:tcW w:w="1600" w:type="dxa"/>
          </w:tcPr>
          <w:p>
            <w:pPr>
              <w:pStyle w:val="TableParagraph"/>
              <w:spacing w:before="138"/>
              <w:ind w:left="375"/>
              <w:jc w:val="left"/>
              <w:rPr>
                <w:b/>
                <w:sz w:val="21"/>
              </w:rPr>
            </w:pPr>
            <w:r>
              <w:rPr>
                <w:b/>
                <w:sz w:val="21"/>
              </w:rPr>
              <w:t>是否符合</w:t>
            </w:r>
          </w:p>
        </w:tc>
      </w:tr>
      <w:tr>
        <w:trPr>
          <w:trHeight w:val="273" w:hRule="atLeast"/>
        </w:trPr>
        <w:tc>
          <w:tcPr>
            <w:tcW w:w="960" w:type="dxa"/>
            <w:vMerge w:val="restart"/>
          </w:tcPr>
          <w:p>
            <w:pPr>
              <w:pStyle w:val="TableParagraph"/>
              <w:jc w:val="left"/>
              <w:rPr>
                <w:rFonts w:ascii="Times New Roman"/>
                <w:sz w:val="20"/>
              </w:rPr>
            </w:pPr>
          </w:p>
        </w:tc>
        <w:tc>
          <w:tcPr>
            <w:tcW w:w="1561" w:type="dxa"/>
            <w:vMerge w:val="restart"/>
          </w:tcPr>
          <w:p>
            <w:pPr>
              <w:pStyle w:val="TableParagraph"/>
              <w:jc w:val="left"/>
              <w:rPr>
                <w:rFonts w:ascii="Times New Roman"/>
                <w:sz w:val="20"/>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ind w:left="136" w:right="129"/>
              <w:rPr>
                <w:rFonts w:ascii="Times New Roman"/>
                <w:sz w:val="21"/>
              </w:rPr>
            </w:pPr>
            <w:r>
              <w:rPr>
                <w:rFonts w:ascii="Times New Roman"/>
                <w:sz w:val="21"/>
              </w:rPr>
              <w:t>2.40E-05</w:t>
            </w:r>
          </w:p>
        </w:tc>
        <w:tc>
          <w:tcPr>
            <w:tcW w:w="1289" w:type="dxa"/>
          </w:tcPr>
          <w:p>
            <w:pPr>
              <w:pStyle w:val="TableParagraph"/>
              <w:ind w:left="202" w:right="193"/>
              <w:rPr>
                <w:rFonts w:ascii="Times New Roman"/>
                <w:sz w:val="21"/>
              </w:rPr>
            </w:pPr>
            <w:r>
              <w:rPr>
                <w:rFonts w:ascii="Times New Roman"/>
                <w:sz w:val="21"/>
              </w:rPr>
              <w:t>200611</w:t>
            </w:r>
          </w:p>
        </w:tc>
        <w:tc>
          <w:tcPr>
            <w:tcW w:w="1023" w:type="dxa"/>
          </w:tcPr>
          <w:p>
            <w:pPr>
              <w:pStyle w:val="TableParagraph"/>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ind w:left="136" w:right="129"/>
              <w:rPr>
                <w:rFonts w:ascii="Times New Roman"/>
                <w:sz w:val="21"/>
              </w:rPr>
            </w:pPr>
            <w:r>
              <w:rPr>
                <w:rFonts w:ascii="Times New Roman"/>
                <w:sz w:val="21"/>
              </w:rPr>
              <w:t>0.50E-05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ind w:left="305" w:right="299"/>
              <w:rPr>
                <w:rFonts w:ascii="Times New Roman"/>
                <w:sz w:val="21"/>
              </w:rPr>
            </w:pPr>
            <w:r>
              <w:rPr>
                <w:rFonts w:ascii="Times New Roman"/>
                <w:sz w:val="21"/>
              </w:rPr>
              <w:t>0.00</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联合村</w:t>
            </w:r>
          </w:p>
        </w:tc>
        <w:tc>
          <w:tcPr>
            <w:tcW w:w="1337" w:type="dxa"/>
          </w:tcPr>
          <w:p>
            <w:pPr>
              <w:pStyle w:val="TableParagraph"/>
              <w:spacing w:line="250" w:lineRule="exact" w:before="3"/>
              <w:ind w:left="226" w:right="216"/>
              <w:rPr>
                <w:sz w:val="21"/>
              </w:rPr>
            </w:pPr>
            <w:r>
              <w:rPr>
                <w:rFonts w:ascii="Times New Roman" w:eastAsia="Times New Roman"/>
                <w:sz w:val="21"/>
              </w:rPr>
              <w:t>1 </w:t>
            </w:r>
            <w:r>
              <w:rPr>
                <w:sz w:val="21"/>
              </w:rPr>
              <w:t>小时</w:t>
            </w:r>
          </w:p>
        </w:tc>
        <w:tc>
          <w:tcPr>
            <w:tcW w:w="1580" w:type="dxa"/>
          </w:tcPr>
          <w:p>
            <w:pPr>
              <w:pStyle w:val="TableParagraph"/>
              <w:ind w:left="136" w:right="129"/>
              <w:rPr>
                <w:rFonts w:ascii="Times New Roman"/>
                <w:sz w:val="21"/>
              </w:rPr>
            </w:pPr>
            <w:r>
              <w:rPr>
                <w:rFonts w:ascii="Times New Roman"/>
                <w:sz w:val="21"/>
              </w:rPr>
              <w:t>6.76E-04</w:t>
            </w:r>
          </w:p>
        </w:tc>
        <w:tc>
          <w:tcPr>
            <w:tcW w:w="1289" w:type="dxa"/>
          </w:tcPr>
          <w:p>
            <w:pPr>
              <w:pStyle w:val="TableParagraph"/>
              <w:ind w:left="200" w:right="193"/>
              <w:rPr>
                <w:rFonts w:ascii="Times New Roman"/>
                <w:sz w:val="21"/>
              </w:rPr>
            </w:pPr>
            <w:r>
              <w:rPr>
                <w:rFonts w:ascii="Times New Roman"/>
                <w:sz w:val="21"/>
              </w:rPr>
              <w:t>20090102</w:t>
            </w:r>
          </w:p>
        </w:tc>
        <w:tc>
          <w:tcPr>
            <w:tcW w:w="1023" w:type="dxa"/>
          </w:tcPr>
          <w:p>
            <w:pPr>
              <w:pStyle w:val="TableParagraph"/>
              <w:ind w:left="305" w:right="299"/>
              <w:rPr>
                <w:rFonts w:ascii="Times New Roman"/>
                <w:sz w:val="21"/>
              </w:rPr>
            </w:pPr>
            <w:r>
              <w:rPr>
                <w:rFonts w:ascii="Times New Roman"/>
                <w:sz w:val="21"/>
              </w:rPr>
              <w:t>0.08</w:t>
            </w:r>
          </w:p>
        </w:tc>
        <w:tc>
          <w:tcPr>
            <w:tcW w:w="1600" w:type="dxa"/>
          </w:tcPr>
          <w:p>
            <w:pPr>
              <w:pStyle w:val="TableParagraph"/>
              <w:spacing w:line="250" w:lineRule="exact" w:before="3"/>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ind w:left="136" w:right="129"/>
              <w:rPr>
                <w:rFonts w:ascii="Times New Roman"/>
                <w:sz w:val="21"/>
              </w:rPr>
            </w:pPr>
            <w:r>
              <w:rPr>
                <w:rFonts w:ascii="Times New Roman"/>
                <w:sz w:val="21"/>
              </w:rPr>
              <w:t>3.40E-05</w:t>
            </w:r>
          </w:p>
        </w:tc>
        <w:tc>
          <w:tcPr>
            <w:tcW w:w="1289" w:type="dxa"/>
          </w:tcPr>
          <w:p>
            <w:pPr>
              <w:pStyle w:val="TableParagraph"/>
              <w:ind w:left="202" w:right="193"/>
              <w:rPr>
                <w:rFonts w:ascii="Times New Roman"/>
                <w:sz w:val="21"/>
              </w:rPr>
            </w:pPr>
            <w:r>
              <w:rPr>
                <w:rFonts w:ascii="Times New Roman"/>
                <w:sz w:val="21"/>
              </w:rPr>
              <w:t>200131</w:t>
            </w:r>
          </w:p>
        </w:tc>
        <w:tc>
          <w:tcPr>
            <w:tcW w:w="1023" w:type="dxa"/>
          </w:tcPr>
          <w:p>
            <w:pPr>
              <w:pStyle w:val="TableParagraph"/>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40" w:lineRule="exact"/>
              <w:ind w:left="136" w:right="129"/>
              <w:rPr>
                <w:rFonts w:ascii="Times New Roman"/>
                <w:sz w:val="21"/>
              </w:rPr>
            </w:pPr>
            <w:r>
              <w:rPr>
                <w:rFonts w:ascii="Times New Roman"/>
                <w:sz w:val="21"/>
              </w:rPr>
              <w:t>0.50E-05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40" w:lineRule="exact"/>
              <w:ind w:left="305" w:right="299"/>
              <w:rPr>
                <w:rFonts w:ascii="Times New Roman"/>
                <w:sz w:val="21"/>
              </w:rPr>
            </w:pPr>
            <w:r>
              <w:rPr>
                <w:rFonts w:ascii="Times New Roman"/>
                <w:sz w:val="21"/>
              </w:rPr>
              <w:t>0.00</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珠海村</w:t>
            </w:r>
          </w:p>
        </w:tc>
        <w:tc>
          <w:tcPr>
            <w:tcW w:w="1337" w:type="dxa"/>
          </w:tcPr>
          <w:p>
            <w:pPr>
              <w:pStyle w:val="TableParagraph"/>
              <w:spacing w:line="250" w:lineRule="exact" w:before="3"/>
              <w:ind w:left="226" w:right="216"/>
              <w:rPr>
                <w:sz w:val="21"/>
              </w:rPr>
            </w:pPr>
            <w:r>
              <w:rPr>
                <w:rFonts w:ascii="Times New Roman" w:eastAsia="Times New Roman"/>
                <w:sz w:val="21"/>
              </w:rPr>
              <w:t>1 </w:t>
            </w:r>
            <w:r>
              <w:rPr>
                <w:sz w:val="21"/>
              </w:rPr>
              <w:t>小时</w:t>
            </w:r>
          </w:p>
        </w:tc>
        <w:tc>
          <w:tcPr>
            <w:tcW w:w="1580" w:type="dxa"/>
          </w:tcPr>
          <w:p>
            <w:pPr>
              <w:pStyle w:val="TableParagraph"/>
              <w:ind w:left="136" w:right="129"/>
              <w:rPr>
                <w:rFonts w:ascii="Times New Roman"/>
                <w:sz w:val="21"/>
              </w:rPr>
            </w:pPr>
            <w:r>
              <w:rPr>
                <w:rFonts w:ascii="Times New Roman"/>
                <w:sz w:val="21"/>
              </w:rPr>
              <w:t>6.42E-04</w:t>
            </w:r>
          </w:p>
        </w:tc>
        <w:tc>
          <w:tcPr>
            <w:tcW w:w="1289" w:type="dxa"/>
          </w:tcPr>
          <w:p>
            <w:pPr>
              <w:pStyle w:val="TableParagraph"/>
              <w:ind w:left="200" w:right="193"/>
              <w:rPr>
                <w:rFonts w:ascii="Times New Roman"/>
                <w:sz w:val="21"/>
              </w:rPr>
            </w:pPr>
            <w:r>
              <w:rPr>
                <w:rFonts w:ascii="Times New Roman"/>
                <w:sz w:val="21"/>
              </w:rPr>
              <w:t>20010901</w:t>
            </w:r>
          </w:p>
        </w:tc>
        <w:tc>
          <w:tcPr>
            <w:tcW w:w="1023" w:type="dxa"/>
          </w:tcPr>
          <w:p>
            <w:pPr>
              <w:pStyle w:val="TableParagraph"/>
              <w:ind w:left="305" w:right="299"/>
              <w:rPr>
                <w:rFonts w:ascii="Times New Roman"/>
                <w:sz w:val="21"/>
              </w:rPr>
            </w:pPr>
            <w:r>
              <w:rPr>
                <w:rFonts w:ascii="Times New Roman"/>
                <w:sz w:val="21"/>
              </w:rPr>
              <w:t>0.07</w:t>
            </w:r>
          </w:p>
        </w:tc>
        <w:tc>
          <w:tcPr>
            <w:tcW w:w="1600" w:type="dxa"/>
          </w:tcPr>
          <w:p>
            <w:pPr>
              <w:pStyle w:val="TableParagraph"/>
              <w:spacing w:line="250" w:lineRule="exact" w:before="3"/>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ind w:left="136" w:right="129"/>
              <w:rPr>
                <w:rFonts w:ascii="Times New Roman"/>
                <w:sz w:val="21"/>
              </w:rPr>
            </w:pPr>
            <w:r>
              <w:rPr>
                <w:rFonts w:ascii="Times New Roman"/>
                <w:sz w:val="21"/>
              </w:rPr>
              <w:t>4.10E-05</w:t>
            </w:r>
          </w:p>
        </w:tc>
        <w:tc>
          <w:tcPr>
            <w:tcW w:w="1289" w:type="dxa"/>
          </w:tcPr>
          <w:p>
            <w:pPr>
              <w:pStyle w:val="TableParagraph"/>
              <w:ind w:left="202" w:right="193"/>
              <w:rPr>
                <w:rFonts w:ascii="Times New Roman"/>
                <w:sz w:val="21"/>
              </w:rPr>
            </w:pPr>
            <w:r>
              <w:rPr>
                <w:rFonts w:ascii="Times New Roman"/>
                <w:sz w:val="21"/>
              </w:rPr>
              <w:t>200915</w:t>
            </w:r>
          </w:p>
        </w:tc>
        <w:tc>
          <w:tcPr>
            <w:tcW w:w="1023" w:type="dxa"/>
          </w:tcPr>
          <w:p>
            <w:pPr>
              <w:pStyle w:val="TableParagraph"/>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40" w:lineRule="exact"/>
              <w:ind w:left="136" w:right="129"/>
              <w:rPr>
                <w:rFonts w:ascii="Times New Roman"/>
                <w:sz w:val="21"/>
              </w:rPr>
            </w:pPr>
            <w:r>
              <w:rPr>
                <w:rFonts w:ascii="Times New Roman"/>
                <w:sz w:val="21"/>
              </w:rPr>
              <w:t>0.70E-05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40" w:lineRule="exact"/>
              <w:ind w:left="305" w:right="299"/>
              <w:rPr>
                <w:rFonts w:ascii="Times New Roman"/>
                <w:sz w:val="21"/>
              </w:rPr>
            </w:pPr>
            <w:r>
              <w:rPr>
                <w:rFonts w:ascii="Times New Roman"/>
                <w:sz w:val="21"/>
              </w:rPr>
              <w:t>0.00</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丰棉村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ind w:left="136" w:right="129"/>
              <w:rPr>
                <w:rFonts w:ascii="Times New Roman"/>
                <w:sz w:val="21"/>
              </w:rPr>
            </w:pPr>
            <w:r>
              <w:rPr>
                <w:rFonts w:ascii="Times New Roman"/>
                <w:sz w:val="21"/>
              </w:rPr>
              <w:t>5.49E-04</w:t>
            </w:r>
          </w:p>
        </w:tc>
        <w:tc>
          <w:tcPr>
            <w:tcW w:w="1289" w:type="dxa"/>
          </w:tcPr>
          <w:p>
            <w:pPr>
              <w:pStyle w:val="TableParagraph"/>
              <w:ind w:left="200" w:right="193"/>
              <w:rPr>
                <w:rFonts w:ascii="Times New Roman"/>
                <w:sz w:val="21"/>
              </w:rPr>
            </w:pPr>
            <w:r>
              <w:rPr>
                <w:rFonts w:ascii="Times New Roman"/>
                <w:sz w:val="21"/>
              </w:rPr>
              <w:t>20100723</w:t>
            </w:r>
          </w:p>
        </w:tc>
        <w:tc>
          <w:tcPr>
            <w:tcW w:w="1023" w:type="dxa"/>
          </w:tcPr>
          <w:p>
            <w:pPr>
              <w:pStyle w:val="TableParagraph"/>
              <w:ind w:left="305" w:right="299"/>
              <w:rPr>
                <w:rFonts w:ascii="Times New Roman"/>
                <w:sz w:val="21"/>
              </w:rPr>
            </w:pPr>
            <w:r>
              <w:rPr>
                <w:rFonts w:ascii="Times New Roman"/>
                <w:sz w:val="21"/>
              </w:rPr>
              <w:t>0.06</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2" w:lineRule="exact" w:before="1"/>
              <w:ind w:left="226" w:right="216"/>
              <w:rPr>
                <w:sz w:val="21"/>
              </w:rPr>
            </w:pPr>
            <w:r>
              <w:rPr>
                <w:sz w:val="21"/>
              </w:rPr>
              <w:t>日平均</w:t>
            </w:r>
          </w:p>
        </w:tc>
        <w:tc>
          <w:tcPr>
            <w:tcW w:w="1580" w:type="dxa"/>
          </w:tcPr>
          <w:p>
            <w:pPr>
              <w:pStyle w:val="TableParagraph"/>
              <w:ind w:left="136" w:right="129"/>
              <w:rPr>
                <w:rFonts w:ascii="Times New Roman"/>
                <w:sz w:val="21"/>
              </w:rPr>
            </w:pPr>
            <w:r>
              <w:rPr>
                <w:rFonts w:ascii="Times New Roman"/>
                <w:sz w:val="21"/>
              </w:rPr>
              <w:t>4.10E-05</w:t>
            </w:r>
          </w:p>
        </w:tc>
        <w:tc>
          <w:tcPr>
            <w:tcW w:w="1289" w:type="dxa"/>
          </w:tcPr>
          <w:p>
            <w:pPr>
              <w:pStyle w:val="TableParagraph"/>
              <w:ind w:left="202" w:right="193"/>
              <w:rPr>
                <w:rFonts w:ascii="Times New Roman"/>
                <w:sz w:val="21"/>
              </w:rPr>
            </w:pPr>
            <w:r>
              <w:rPr>
                <w:rFonts w:ascii="Times New Roman"/>
                <w:sz w:val="21"/>
              </w:rPr>
              <w:t>201007</w:t>
            </w:r>
          </w:p>
        </w:tc>
        <w:tc>
          <w:tcPr>
            <w:tcW w:w="1023" w:type="dxa"/>
          </w:tcPr>
          <w:p>
            <w:pPr>
              <w:pStyle w:val="TableParagraph"/>
              <w:ind w:left="305" w:right="299"/>
              <w:rPr>
                <w:rFonts w:ascii="Times New Roman"/>
                <w:sz w:val="21"/>
              </w:rPr>
            </w:pPr>
            <w:r>
              <w:rPr>
                <w:rFonts w:ascii="Times New Roman"/>
                <w:sz w:val="21"/>
              </w:rPr>
              <w:t>0.01</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年平均</w:t>
            </w:r>
          </w:p>
        </w:tc>
        <w:tc>
          <w:tcPr>
            <w:tcW w:w="1580" w:type="dxa"/>
          </w:tcPr>
          <w:p>
            <w:pPr>
              <w:pStyle w:val="TableParagraph"/>
              <w:spacing w:line="240" w:lineRule="exact"/>
              <w:ind w:left="136" w:right="129"/>
              <w:rPr>
                <w:rFonts w:ascii="Times New Roman"/>
                <w:sz w:val="21"/>
              </w:rPr>
            </w:pPr>
            <w:r>
              <w:rPr>
                <w:rFonts w:ascii="Times New Roman"/>
                <w:sz w:val="21"/>
              </w:rPr>
              <w:t>0.70E-05</w:t>
            </w:r>
          </w:p>
        </w:tc>
        <w:tc>
          <w:tcPr>
            <w:tcW w:w="1289" w:type="dxa"/>
          </w:tcPr>
          <w:p>
            <w:pPr>
              <w:pStyle w:val="TableParagraph"/>
              <w:spacing w:line="250" w:lineRule="exact" w:before="1"/>
              <w:ind w:left="202" w:right="193"/>
              <w:rPr>
                <w:sz w:val="21"/>
              </w:rPr>
            </w:pPr>
            <w:r>
              <w:rPr>
                <w:sz w:val="21"/>
              </w:rPr>
              <w:t>平均值</w:t>
            </w:r>
          </w:p>
        </w:tc>
        <w:tc>
          <w:tcPr>
            <w:tcW w:w="1023" w:type="dxa"/>
          </w:tcPr>
          <w:p>
            <w:pPr>
              <w:pStyle w:val="TableParagraph"/>
              <w:spacing w:line="240" w:lineRule="exact"/>
              <w:ind w:left="305" w:right="299"/>
              <w:rPr>
                <w:rFonts w:ascii="Times New Roman"/>
                <w:sz w:val="21"/>
              </w:rPr>
            </w:pPr>
            <w:r>
              <w:rPr>
                <w:rFonts w:ascii="Times New Roman"/>
                <w:sz w:val="21"/>
              </w:rPr>
              <w:t>0.00</w:t>
            </w:r>
          </w:p>
        </w:tc>
        <w:tc>
          <w:tcPr>
            <w:tcW w:w="1600" w:type="dxa"/>
          </w:tcPr>
          <w:p>
            <w:pPr>
              <w:pStyle w:val="TableParagraph"/>
              <w:spacing w:line="250" w:lineRule="exact" w:before="1"/>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spacing w:before="1"/>
              <w:ind w:left="462"/>
              <w:jc w:val="left"/>
              <w:rPr>
                <w:sz w:val="21"/>
              </w:rPr>
            </w:pPr>
            <w:r>
              <w:rPr>
                <w:sz w:val="21"/>
              </w:rPr>
              <w:t>镇海村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before="1"/>
              <w:ind w:left="136" w:right="129"/>
              <w:rPr>
                <w:rFonts w:ascii="Times New Roman"/>
                <w:sz w:val="21"/>
              </w:rPr>
            </w:pPr>
            <w:r>
              <w:rPr>
                <w:rFonts w:ascii="Times New Roman"/>
                <w:sz w:val="21"/>
              </w:rPr>
              <w:t>5.53E-04</w:t>
            </w:r>
          </w:p>
        </w:tc>
        <w:tc>
          <w:tcPr>
            <w:tcW w:w="1289" w:type="dxa"/>
          </w:tcPr>
          <w:p>
            <w:pPr>
              <w:pStyle w:val="TableParagraph"/>
              <w:spacing w:before="1"/>
              <w:ind w:left="200" w:right="193"/>
              <w:rPr>
                <w:rFonts w:ascii="Times New Roman"/>
                <w:sz w:val="21"/>
              </w:rPr>
            </w:pPr>
            <w:r>
              <w:rPr>
                <w:rFonts w:ascii="Times New Roman"/>
                <w:sz w:val="21"/>
              </w:rPr>
              <w:t>20020218</w:t>
            </w:r>
          </w:p>
        </w:tc>
        <w:tc>
          <w:tcPr>
            <w:tcW w:w="1023" w:type="dxa"/>
          </w:tcPr>
          <w:p>
            <w:pPr>
              <w:pStyle w:val="TableParagraph"/>
              <w:spacing w:before="1"/>
              <w:ind w:left="305" w:right="299"/>
              <w:rPr>
                <w:rFonts w:ascii="Times New Roman"/>
                <w:sz w:val="21"/>
              </w:rPr>
            </w:pPr>
            <w:r>
              <w:rPr>
                <w:rFonts w:ascii="Times New Roman"/>
                <w:sz w:val="21"/>
              </w:rPr>
              <w:t>0.06</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日平均</w:t>
            </w:r>
          </w:p>
        </w:tc>
        <w:tc>
          <w:tcPr>
            <w:tcW w:w="1580" w:type="dxa"/>
          </w:tcPr>
          <w:p>
            <w:pPr>
              <w:pStyle w:val="TableParagraph"/>
              <w:ind w:left="136" w:right="129"/>
              <w:rPr>
                <w:rFonts w:ascii="Times New Roman"/>
                <w:sz w:val="21"/>
              </w:rPr>
            </w:pPr>
            <w:r>
              <w:rPr>
                <w:rFonts w:ascii="Times New Roman"/>
                <w:sz w:val="21"/>
              </w:rPr>
              <w:t>3.60E-05</w:t>
            </w:r>
          </w:p>
        </w:tc>
        <w:tc>
          <w:tcPr>
            <w:tcW w:w="1289" w:type="dxa"/>
          </w:tcPr>
          <w:p>
            <w:pPr>
              <w:pStyle w:val="TableParagraph"/>
              <w:ind w:left="202" w:right="193"/>
              <w:rPr>
                <w:rFonts w:ascii="Times New Roman"/>
                <w:sz w:val="21"/>
              </w:rPr>
            </w:pPr>
            <w:r>
              <w:rPr>
                <w:rFonts w:ascii="Times New Roman"/>
                <w:sz w:val="21"/>
              </w:rPr>
              <w:t>200615</w:t>
            </w:r>
          </w:p>
        </w:tc>
        <w:tc>
          <w:tcPr>
            <w:tcW w:w="1023" w:type="dxa"/>
          </w:tcPr>
          <w:p>
            <w:pPr>
              <w:pStyle w:val="TableParagraph"/>
              <w:ind w:left="305" w:right="299"/>
              <w:rPr>
                <w:rFonts w:ascii="Times New Roman"/>
                <w:sz w:val="21"/>
              </w:rPr>
            </w:pPr>
            <w:r>
              <w:rPr>
                <w:rFonts w:ascii="Times New Roman"/>
                <w:sz w:val="21"/>
              </w:rPr>
              <w:t>0.01</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3"/>
              <w:ind w:left="226" w:right="216"/>
              <w:rPr>
                <w:sz w:val="21"/>
              </w:rPr>
            </w:pPr>
            <w:r>
              <w:rPr>
                <w:sz w:val="21"/>
              </w:rPr>
              <w:t>年平均</w:t>
            </w:r>
          </w:p>
        </w:tc>
        <w:tc>
          <w:tcPr>
            <w:tcW w:w="1580" w:type="dxa"/>
          </w:tcPr>
          <w:p>
            <w:pPr>
              <w:pStyle w:val="TableParagraph"/>
              <w:ind w:left="136" w:right="129"/>
              <w:rPr>
                <w:rFonts w:ascii="Times New Roman"/>
                <w:sz w:val="21"/>
              </w:rPr>
            </w:pPr>
            <w:r>
              <w:rPr>
                <w:rFonts w:ascii="Times New Roman"/>
                <w:sz w:val="21"/>
              </w:rPr>
              <w:t>0.60E-05</w:t>
            </w:r>
          </w:p>
        </w:tc>
        <w:tc>
          <w:tcPr>
            <w:tcW w:w="1289" w:type="dxa"/>
          </w:tcPr>
          <w:p>
            <w:pPr>
              <w:pStyle w:val="TableParagraph"/>
              <w:spacing w:line="250" w:lineRule="exact" w:before="3"/>
              <w:ind w:left="202" w:right="193"/>
              <w:rPr>
                <w:sz w:val="21"/>
              </w:rPr>
            </w:pPr>
            <w:r>
              <w:rPr>
                <w:sz w:val="21"/>
              </w:rPr>
              <w:t>平均值</w:t>
            </w:r>
          </w:p>
        </w:tc>
        <w:tc>
          <w:tcPr>
            <w:tcW w:w="1023" w:type="dxa"/>
          </w:tcPr>
          <w:p>
            <w:pPr>
              <w:pStyle w:val="TableParagraph"/>
              <w:ind w:left="305" w:right="299"/>
              <w:rPr>
                <w:rFonts w:ascii="Times New Roman"/>
                <w:sz w:val="21"/>
              </w:rPr>
            </w:pPr>
            <w:r>
              <w:rPr>
                <w:rFonts w:ascii="Times New Roman"/>
                <w:sz w:val="21"/>
              </w:rPr>
              <w:t>0.00</w:t>
            </w:r>
          </w:p>
        </w:tc>
        <w:tc>
          <w:tcPr>
            <w:tcW w:w="1600" w:type="dxa"/>
          </w:tcPr>
          <w:p>
            <w:pPr>
              <w:pStyle w:val="TableParagraph"/>
              <w:spacing w:line="250" w:lineRule="exact" w:before="3"/>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462"/>
              <w:jc w:val="left"/>
              <w:rPr>
                <w:sz w:val="21"/>
              </w:rPr>
            </w:pPr>
            <w:r>
              <w:rPr>
                <w:sz w:val="21"/>
              </w:rPr>
              <w:t>镇东村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ind w:left="136" w:right="129"/>
              <w:rPr>
                <w:rFonts w:ascii="Times New Roman"/>
                <w:sz w:val="21"/>
              </w:rPr>
            </w:pPr>
            <w:r>
              <w:rPr>
                <w:rFonts w:ascii="Times New Roman"/>
                <w:sz w:val="21"/>
              </w:rPr>
              <w:t>2.73E-04</w:t>
            </w:r>
          </w:p>
        </w:tc>
        <w:tc>
          <w:tcPr>
            <w:tcW w:w="1289" w:type="dxa"/>
          </w:tcPr>
          <w:p>
            <w:pPr>
              <w:pStyle w:val="TableParagraph"/>
              <w:ind w:left="200" w:right="193"/>
              <w:rPr>
                <w:rFonts w:ascii="Times New Roman"/>
                <w:sz w:val="21"/>
              </w:rPr>
            </w:pPr>
            <w:r>
              <w:rPr>
                <w:rFonts w:ascii="Times New Roman"/>
                <w:sz w:val="21"/>
              </w:rPr>
              <w:t>20102303</w:t>
            </w:r>
          </w:p>
        </w:tc>
        <w:tc>
          <w:tcPr>
            <w:tcW w:w="1023" w:type="dxa"/>
          </w:tcPr>
          <w:p>
            <w:pPr>
              <w:pStyle w:val="TableParagraph"/>
              <w:ind w:left="305" w:right="299"/>
              <w:rPr>
                <w:rFonts w:ascii="Times New Roman"/>
                <w:sz w:val="21"/>
              </w:rPr>
            </w:pPr>
            <w:r>
              <w:rPr>
                <w:rFonts w:ascii="Times New Roman"/>
                <w:sz w:val="21"/>
              </w:rPr>
              <w:t>0.03</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日平均</w:t>
            </w:r>
          </w:p>
        </w:tc>
        <w:tc>
          <w:tcPr>
            <w:tcW w:w="1580" w:type="dxa"/>
          </w:tcPr>
          <w:p>
            <w:pPr>
              <w:pStyle w:val="TableParagraph"/>
              <w:ind w:left="136" w:right="129"/>
              <w:rPr>
                <w:rFonts w:ascii="Times New Roman"/>
                <w:sz w:val="21"/>
              </w:rPr>
            </w:pPr>
            <w:r>
              <w:rPr>
                <w:rFonts w:ascii="Times New Roman"/>
                <w:sz w:val="21"/>
              </w:rPr>
              <w:t>1.80E-05</w:t>
            </w:r>
          </w:p>
        </w:tc>
        <w:tc>
          <w:tcPr>
            <w:tcW w:w="1289" w:type="dxa"/>
          </w:tcPr>
          <w:p>
            <w:pPr>
              <w:pStyle w:val="TableParagraph"/>
              <w:ind w:left="202" w:right="193"/>
              <w:rPr>
                <w:rFonts w:ascii="Times New Roman"/>
                <w:sz w:val="21"/>
              </w:rPr>
            </w:pPr>
            <w:r>
              <w:rPr>
                <w:rFonts w:ascii="Times New Roman"/>
                <w:sz w:val="21"/>
              </w:rPr>
              <w:t>200215</w:t>
            </w:r>
          </w:p>
        </w:tc>
        <w:tc>
          <w:tcPr>
            <w:tcW w:w="1023" w:type="dxa"/>
          </w:tcPr>
          <w:p>
            <w:pPr>
              <w:pStyle w:val="TableParagraph"/>
              <w:ind w:left="305" w:right="299"/>
              <w:rPr>
                <w:rFonts w:ascii="Times New Roman"/>
                <w:sz w:val="21"/>
              </w:rPr>
            </w:pPr>
            <w:r>
              <w:rPr>
                <w:rFonts w:ascii="Times New Roman"/>
                <w:sz w:val="21"/>
              </w:rPr>
              <w:t>0.01</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3"/>
              <w:ind w:left="226" w:right="216"/>
              <w:rPr>
                <w:sz w:val="21"/>
              </w:rPr>
            </w:pPr>
            <w:r>
              <w:rPr>
                <w:sz w:val="21"/>
              </w:rPr>
              <w:t>年平均</w:t>
            </w:r>
          </w:p>
        </w:tc>
        <w:tc>
          <w:tcPr>
            <w:tcW w:w="1580" w:type="dxa"/>
          </w:tcPr>
          <w:p>
            <w:pPr>
              <w:pStyle w:val="TableParagraph"/>
              <w:ind w:left="136" w:right="129"/>
              <w:rPr>
                <w:rFonts w:ascii="Times New Roman"/>
                <w:sz w:val="21"/>
              </w:rPr>
            </w:pPr>
            <w:r>
              <w:rPr>
                <w:rFonts w:ascii="Times New Roman"/>
                <w:sz w:val="21"/>
              </w:rPr>
              <w:t>0.30E-05</w:t>
            </w:r>
          </w:p>
        </w:tc>
        <w:tc>
          <w:tcPr>
            <w:tcW w:w="1289" w:type="dxa"/>
          </w:tcPr>
          <w:p>
            <w:pPr>
              <w:pStyle w:val="TableParagraph"/>
              <w:spacing w:line="250" w:lineRule="exact" w:before="3"/>
              <w:ind w:left="202" w:right="193"/>
              <w:rPr>
                <w:sz w:val="21"/>
              </w:rPr>
            </w:pPr>
            <w:r>
              <w:rPr>
                <w:sz w:val="21"/>
              </w:rPr>
              <w:t>平均值</w:t>
            </w:r>
          </w:p>
        </w:tc>
        <w:tc>
          <w:tcPr>
            <w:tcW w:w="1023" w:type="dxa"/>
          </w:tcPr>
          <w:p>
            <w:pPr>
              <w:pStyle w:val="TableParagraph"/>
              <w:ind w:left="305" w:right="299"/>
              <w:rPr>
                <w:rFonts w:ascii="Times New Roman"/>
                <w:sz w:val="21"/>
              </w:rPr>
            </w:pPr>
            <w:r>
              <w:rPr>
                <w:rFonts w:ascii="Times New Roman"/>
                <w:sz w:val="21"/>
              </w:rPr>
              <w:t>0.00</w:t>
            </w:r>
          </w:p>
        </w:tc>
        <w:tc>
          <w:tcPr>
            <w:tcW w:w="1600" w:type="dxa"/>
          </w:tcPr>
          <w:p>
            <w:pPr>
              <w:pStyle w:val="TableParagraph"/>
              <w:spacing w:line="250" w:lineRule="exact" w:before="3"/>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tcBorders>
              <w:top w:val="nil"/>
            </w:tcBorders>
          </w:tcPr>
          <w:p>
            <w:pPr>
              <w:rPr>
                <w:sz w:val="2"/>
                <w:szCs w:val="2"/>
              </w:rPr>
            </w:pPr>
          </w:p>
        </w:tc>
        <w:tc>
          <w:tcPr>
            <w:tcW w:w="1561" w:type="dxa"/>
            <w:vMerge w:val="restart"/>
          </w:tcPr>
          <w:p>
            <w:pPr>
              <w:pStyle w:val="TableParagraph"/>
              <w:spacing w:before="2"/>
              <w:jc w:val="left"/>
              <w:rPr>
                <w:b/>
                <w:sz w:val="22"/>
              </w:rPr>
            </w:pPr>
          </w:p>
          <w:p>
            <w:pPr>
              <w:pStyle w:val="TableParagraph"/>
              <w:ind w:left="20" w:right="12"/>
              <w:rPr>
                <w:sz w:val="21"/>
              </w:rPr>
            </w:pPr>
            <w:r>
              <w:rPr>
                <w:sz w:val="21"/>
              </w:rPr>
              <w:t>网格</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2.24E-02</w:t>
            </w:r>
          </w:p>
        </w:tc>
        <w:tc>
          <w:tcPr>
            <w:tcW w:w="1289" w:type="dxa"/>
          </w:tcPr>
          <w:p>
            <w:pPr>
              <w:pStyle w:val="TableParagraph"/>
              <w:spacing w:line="238" w:lineRule="exact" w:before="15"/>
              <w:ind w:left="200" w:right="193"/>
              <w:rPr>
                <w:rFonts w:ascii="Times New Roman"/>
                <w:sz w:val="21"/>
              </w:rPr>
            </w:pPr>
            <w:r>
              <w:rPr>
                <w:rFonts w:ascii="Times New Roman"/>
                <w:sz w:val="21"/>
              </w:rPr>
              <w:t>20060507</w:t>
            </w:r>
          </w:p>
        </w:tc>
        <w:tc>
          <w:tcPr>
            <w:tcW w:w="1023" w:type="dxa"/>
          </w:tcPr>
          <w:p>
            <w:pPr>
              <w:pStyle w:val="TableParagraph"/>
              <w:spacing w:line="238" w:lineRule="exact" w:before="15"/>
              <w:ind w:left="305" w:right="299"/>
              <w:rPr>
                <w:rFonts w:ascii="Times New Roman"/>
                <w:sz w:val="21"/>
              </w:rPr>
            </w:pPr>
            <w:r>
              <w:rPr>
                <w:rFonts w:ascii="Times New Roman"/>
                <w:sz w:val="21"/>
              </w:rPr>
              <w:t>2.49</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1"/>
              <w:ind w:left="226" w:right="216"/>
              <w:rPr>
                <w:sz w:val="21"/>
              </w:rPr>
            </w:pPr>
            <w:r>
              <w:rPr>
                <w:sz w:val="21"/>
              </w:rPr>
              <w:t>日平均</w:t>
            </w:r>
          </w:p>
        </w:tc>
        <w:tc>
          <w:tcPr>
            <w:tcW w:w="1580" w:type="dxa"/>
          </w:tcPr>
          <w:p>
            <w:pPr>
              <w:pStyle w:val="TableParagraph"/>
              <w:spacing w:line="236" w:lineRule="exact" w:before="15"/>
              <w:ind w:left="136" w:right="129"/>
              <w:rPr>
                <w:rFonts w:ascii="Times New Roman"/>
                <w:sz w:val="21"/>
              </w:rPr>
            </w:pPr>
            <w:r>
              <w:rPr>
                <w:rFonts w:ascii="Times New Roman"/>
                <w:sz w:val="21"/>
              </w:rPr>
              <w:t>2.32E-03</w:t>
            </w:r>
          </w:p>
        </w:tc>
        <w:tc>
          <w:tcPr>
            <w:tcW w:w="1289" w:type="dxa"/>
          </w:tcPr>
          <w:p>
            <w:pPr>
              <w:pStyle w:val="TableParagraph"/>
              <w:spacing w:line="236" w:lineRule="exact" w:before="15"/>
              <w:ind w:left="200" w:right="193"/>
              <w:rPr>
                <w:rFonts w:ascii="Times New Roman"/>
                <w:sz w:val="21"/>
              </w:rPr>
            </w:pPr>
            <w:r>
              <w:rPr>
                <w:rFonts w:ascii="Times New Roman"/>
                <w:sz w:val="21"/>
              </w:rPr>
              <w:t>201114</w:t>
            </w:r>
          </w:p>
        </w:tc>
        <w:tc>
          <w:tcPr>
            <w:tcW w:w="1023" w:type="dxa"/>
          </w:tcPr>
          <w:p>
            <w:pPr>
              <w:pStyle w:val="TableParagraph"/>
              <w:spacing w:line="236" w:lineRule="exact" w:before="15"/>
              <w:ind w:left="305" w:right="299"/>
              <w:rPr>
                <w:rFonts w:ascii="Times New Roman"/>
                <w:sz w:val="21"/>
              </w:rPr>
            </w:pPr>
            <w:r>
              <w:rPr>
                <w:rFonts w:ascii="Times New Roman"/>
                <w:sz w:val="21"/>
              </w:rPr>
              <w:t>0.77</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vMerge/>
            <w:tcBorders>
              <w:top w:val="nil"/>
            </w:tcBorders>
          </w:tcPr>
          <w:p>
            <w:pPr>
              <w:rPr>
                <w:sz w:val="2"/>
                <w:szCs w:val="2"/>
              </w:rPr>
            </w:pPr>
          </w:p>
        </w:tc>
        <w:tc>
          <w:tcPr>
            <w:tcW w:w="1337" w:type="dxa"/>
          </w:tcPr>
          <w:p>
            <w:pPr>
              <w:pStyle w:val="TableParagraph"/>
              <w:spacing w:line="250" w:lineRule="exact" w:before="3"/>
              <w:ind w:left="226" w:right="216"/>
              <w:rPr>
                <w:sz w:val="21"/>
              </w:rPr>
            </w:pPr>
            <w:r>
              <w:rPr>
                <w:sz w:val="21"/>
              </w:rPr>
              <w:t>年平均</w:t>
            </w:r>
          </w:p>
        </w:tc>
        <w:tc>
          <w:tcPr>
            <w:tcW w:w="1580" w:type="dxa"/>
          </w:tcPr>
          <w:p>
            <w:pPr>
              <w:pStyle w:val="TableParagraph"/>
              <w:spacing w:line="236" w:lineRule="exact" w:before="17"/>
              <w:ind w:left="136" w:right="129"/>
              <w:rPr>
                <w:rFonts w:ascii="Times New Roman"/>
                <w:sz w:val="21"/>
              </w:rPr>
            </w:pPr>
            <w:r>
              <w:rPr>
                <w:rFonts w:ascii="Times New Roman"/>
                <w:sz w:val="21"/>
              </w:rPr>
              <w:t>7.36E-04</w:t>
            </w:r>
          </w:p>
        </w:tc>
        <w:tc>
          <w:tcPr>
            <w:tcW w:w="1289" w:type="dxa"/>
          </w:tcPr>
          <w:p>
            <w:pPr>
              <w:pStyle w:val="TableParagraph"/>
              <w:spacing w:line="250" w:lineRule="exact" w:before="3"/>
              <w:ind w:left="202" w:right="193"/>
              <w:rPr>
                <w:sz w:val="21"/>
              </w:rPr>
            </w:pPr>
            <w:r>
              <w:rPr>
                <w:sz w:val="21"/>
              </w:rPr>
              <w:t>平均值</w:t>
            </w:r>
          </w:p>
        </w:tc>
        <w:tc>
          <w:tcPr>
            <w:tcW w:w="1023" w:type="dxa"/>
          </w:tcPr>
          <w:p>
            <w:pPr>
              <w:pStyle w:val="TableParagraph"/>
              <w:spacing w:line="236" w:lineRule="exact" w:before="17"/>
              <w:ind w:left="305" w:right="299"/>
              <w:rPr>
                <w:rFonts w:ascii="Times New Roman"/>
                <w:sz w:val="21"/>
              </w:rPr>
            </w:pPr>
            <w:r>
              <w:rPr>
                <w:rFonts w:ascii="Times New Roman"/>
                <w:sz w:val="21"/>
              </w:rPr>
              <w:t>0.37</w:t>
            </w:r>
          </w:p>
        </w:tc>
        <w:tc>
          <w:tcPr>
            <w:tcW w:w="1600" w:type="dxa"/>
          </w:tcPr>
          <w:p>
            <w:pPr>
              <w:pStyle w:val="TableParagraph"/>
              <w:spacing w:line="250" w:lineRule="exact" w:before="3"/>
              <w:ind w:right="223"/>
              <w:jc w:val="right"/>
              <w:rPr>
                <w:sz w:val="21"/>
              </w:rPr>
            </w:pPr>
            <w:r>
              <w:rPr>
                <w:rFonts w:ascii="Times New Roman" w:hAnsi="Times New Roman" w:eastAsia="Times New Roman"/>
                <w:sz w:val="21"/>
              </w:rPr>
              <w:t>≤30%</w:t>
            </w:r>
            <w:r>
              <w:rPr>
                <w:sz w:val="21"/>
              </w:rPr>
              <w:t>，符合</w:t>
            </w:r>
          </w:p>
        </w:tc>
      </w:tr>
      <w:tr>
        <w:trPr>
          <w:trHeight w:val="273" w:hRule="atLeast"/>
        </w:trPr>
        <w:tc>
          <w:tcPr>
            <w:tcW w:w="960" w:type="dxa"/>
            <w:vMerge w:val="restart"/>
          </w:tcPr>
          <w:p>
            <w:pPr>
              <w:pStyle w:val="TableParagraph"/>
              <w:jc w:val="left"/>
              <w:rPr>
                <w:b/>
                <w:sz w:val="20"/>
              </w:rPr>
            </w:pPr>
          </w:p>
          <w:p>
            <w:pPr>
              <w:pStyle w:val="TableParagraph"/>
              <w:jc w:val="left"/>
              <w:rPr>
                <w:b/>
                <w:sz w:val="20"/>
              </w:rPr>
            </w:pPr>
          </w:p>
          <w:p>
            <w:pPr>
              <w:pStyle w:val="TableParagraph"/>
              <w:spacing w:before="2"/>
              <w:jc w:val="left"/>
              <w:rPr>
                <w:b/>
                <w:sz w:val="26"/>
              </w:rPr>
            </w:pPr>
          </w:p>
          <w:p>
            <w:pPr>
              <w:pStyle w:val="TableParagraph"/>
              <w:ind w:left="268"/>
              <w:jc w:val="left"/>
              <w:rPr>
                <w:sz w:val="21"/>
              </w:rPr>
            </w:pPr>
            <w:r>
              <w:rPr>
                <w:sz w:val="21"/>
              </w:rPr>
              <w:t>甲酸</w:t>
            </w:r>
          </w:p>
        </w:tc>
        <w:tc>
          <w:tcPr>
            <w:tcW w:w="1561" w:type="dxa"/>
          </w:tcPr>
          <w:p>
            <w:pPr>
              <w:pStyle w:val="TableParagraph"/>
              <w:spacing w:line="252" w:lineRule="exact" w:before="1"/>
              <w:ind w:left="20" w:right="12"/>
              <w:rPr>
                <w:sz w:val="21"/>
              </w:rPr>
            </w:pPr>
            <w:r>
              <w:rPr>
                <w:sz w:val="21"/>
              </w:rPr>
              <w:t>开发区生活区</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2.38E-04</w:t>
            </w:r>
          </w:p>
        </w:tc>
        <w:tc>
          <w:tcPr>
            <w:tcW w:w="1289" w:type="dxa"/>
          </w:tcPr>
          <w:p>
            <w:pPr>
              <w:pStyle w:val="TableParagraph"/>
              <w:spacing w:line="238" w:lineRule="exact" w:before="15"/>
              <w:ind w:left="200" w:right="193"/>
              <w:rPr>
                <w:rFonts w:ascii="Times New Roman"/>
                <w:sz w:val="21"/>
              </w:rPr>
            </w:pPr>
            <w:r>
              <w:rPr>
                <w:rFonts w:ascii="Times New Roman"/>
                <w:sz w:val="21"/>
              </w:rPr>
              <w:t>20090923</w:t>
            </w:r>
          </w:p>
        </w:tc>
        <w:tc>
          <w:tcPr>
            <w:tcW w:w="1023" w:type="dxa"/>
          </w:tcPr>
          <w:p>
            <w:pPr>
              <w:pStyle w:val="TableParagraph"/>
              <w:spacing w:line="238" w:lineRule="exact" w:before="15"/>
              <w:ind w:left="305" w:right="299"/>
              <w:rPr>
                <w:rFonts w:ascii="Times New Roman"/>
                <w:sz w:val="21"/>
              </w:rPr>
            </w:pPr>
            <w:r>
              <w:rPr>
                <w:rFonts w:ascii="Times New Roman"/>
                <w:sz w:val="21"/>
              </w:rPr>
              <w:t>0.38</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tcPr>
          <w:p>
            <w:pPr>
              <w:pStyle w:val="TableParagraph"/>
              <w:spacing w:line="250" w:lineRule="exact" w:before="1"/>
              <w:ind w:left="20" w:right="12"/>
              <w:rPr>
                <w:sz w:val="21"/>
              </w:rPr>
            </w:pPr>
            <w:r>
              <w:rPr>
                <w:sz w:val="21"/>
              </w:rPr>
              <w:t>联合村</w:t>
            </w:r>
          </w:p>
        </w:tc>
        <w:tc>
          <w:tcPr>
            <w:tcW w:w="1337" w:type="dxa"/>
          </w:tcPr>
          <w:p>
            <w:pPr>
              <w:pStyle w:val="TableParagraph"/>
              <w:spacing w:line="250"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6" w:lineRule="exact" w:before="15"/>
              <w:ind w:left="136" w:right="129"/>
              <w:rPr>
                <w:rFonts w:ascii="Times New Roman"/>
                <w:sz w:val="21"/>
              </w:rPr>
            </w:pPr>
            <w:r>
              <w:rPr>
                <w:rFonts w:ascii="Times New Roman"/>
                <w:sz w:val="21"/>
              </w:rPr>
              <w:t>3.22E-04</w:t>
            </w:r>
          </w:p>
        </w:tc>
        <w:tc>
          <w:tcPr>
            <w:tcW w:w="1289" w:type="dxa"/>
          </w:tcPr>
          <w:p>
            <w:pPr>
              <w:pStyle w:val="TableParagraph"/>
              <w:spacing w:line="236" w:lineRule="exact" w:before="15"/>
              <w:ind w:left="200" w:right="193"/>
              <w:rPr>
                <w:rFonts w:ascii="Times New Roman"/>
                <w:sz w:val="21"/>
              </w:rPr>
            </w:pPr>
            <w:r>
              <w:rPr>
                <w:rFonts w:ascii="Times New Roman"/>
                <w:sz w:val="21"/>
              </w:rPr>
              <w:t>20030402</w:t>
            </w:r>
          </w:p>
        </w:tc>
        <w:tc>
          <w:tcPr>
            <w:tcW w:w="1023" w:type="dxa"/>
          </w:tcPr>
          <w:p>
            <w:pPr>
              <w:pStyle w:val="TableParagraph"/>
              <w:spacing w:line="236" w:lineRule="exact" w:before="15"/>
              <w:ind w:left="305" w:right="299"/>
              <w:rPr>
                <w:rFonts w:ascii="Times New Roman"/>
                <w:sz w:val="21"/>
              </w:rPr>
            </w:pPr>
            <w:r>
              <w:rPr>
                <w:rFonts w:ascii="Times New Roman"/>
                <w:sz w:val="21"/>
              </w:rPr>
              <w:t>0.51</w:t>
            </w:r>
          </w:p>
        </w:tc>
        <w:tc>
          <w:tcPr>
            <w:tcW w:w="1600" w:type="dxa"/>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tcPr>
          <w:p>
            <w:pPr>
              <w:pStyle w:val="TableParagraph"/>
              <w:spacing w:line="252" w:lineRule="exact" w:before="1"/>
              <w:ind w:left="20" w:right="12"/>
              <w:rPr>
                <w:sz w:val="21"/>
              </w:rPr>
            </w:pPr>
            <w:r>
              <w:rPr>
                <w:sz w:val="21"/>
              </w:rPr>
              <w:t>珠海村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2.88E-04</w:t>
            </w:r>
          </w:p>
        </w:tc>
        <w:tc>
          <w:tcPr>
            <w:tcW w:w="1289" w:type="dxa"/>
          </w:tcPr>
          <w:p>
            <w:pPr>
              <w:pStyle w:val="TableParagraph"/>
              <w:spacing w:line="238" w:lineRule="exact" w:before="15"/>
              <w:ind w:left="200" w:right="193"/>
              <w:rPr>
                <w:rFonts w:ascii="Times New Roman"/>
                <w:sz w:val="21"/>
              </w:rPr>
            </w:pPr>
            <w:r>
              <w:rPr>
                <w:rFonts w:ascii="Times New Roman"/>
                <w:sz w:val="21"/>
              </w:rPr>
              <w:t>20121923</w:t>
            </w:r>
          </w:p>
        </w:tc>
        <w:tc>
          <w:tcPr>
            <w:tcW w:w="1023" w:type="dxa"/>
          </w:tcPr>
          <w:p>
            <w:pPr>
              <w:pStyle w:val="TableParagraph"/>
              <w:spacing w:line="238" w:lineRule="exact" w:before="15"/>
              <w:ind w:left="305" w:right="299"/>
              <w:rPr>
                <w:rFonts w:ascii="Times New Roman"/>
                <w:sz w:val="21"/>
              </w:rPr>
            </w:pPr>
            <w:r>
              <w:rPr>
                <w:rFonts w:ascii="Times New Roman"/>
                <w:sz w:val="21"/>
              </w:rPr>
              <w:t>0.46</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0" w:hRule="atLeast"/>
        </w:trPr>
        <w:tc>
          <w:tcPr>
            <w:tcW w:w="960" w:type="dxa"/>
            <w:vMerge/>
            <w:tcBorders>
              <w:top w:val="nil"/>
            </w:tcBorders>
          </w:tcPr>
          <w:p>
            <w:pPr>
              <w:rPr>
                <w:sz w:val="2"/>
                <w:szCs w:val="2"/>
              </w:rPr>
            </w:pPr>
          </w:p>
        </w:tc>
        <w:tc>
          <w:tcPr>
            <w:tcW w:w="1561" w:type="dxa"/>
            <w:tcBorders>
              <w:bottom w:val="single" w:sz="6" w:space="0" w:color="000000"/>
            </w:tcBorders>
          </w:tcPr>
          <w:p>
            <w:pPr>
              <w:pStyle w:val="TableParagraph"/>
              <w:spacing w:line="250" w:lineRule="exact" w:before="1"/>
              <w:ind w:left="20" w:right="12"/>
              <w:rPr>
                <w:sz w:val="21"/>
              </w:rPr>
            </w:pPr>
            <w:r>
              <w:rPr>
                <w:sz w:val="21"/>
              </w:rPr>
              <w:t>丰棉村</w:t>
            </w:r>
          </w:p>
        </w:tc>
        <w:tc>
          <w:tcPr>
            <w:tcW w:w="1337" w:type="dxa"/>
            <w:tcBorders>
              <w:bottom w:val="single" w:sz="6" w:space="0" w:color="000000"/>
            </w:tcBorders>
          </w:tcPr>
          <w:p>
            <w:pPr>
              <w:pStyle w:val="TableParagraph"/>
              <w:spacing w:line="250" w:lineRule="exact" w:before="1"/>
              <w:ind w:left="226" w:right="216"/>
              <w:rPr>
                <w:sz w:val="21"/>
              </w:rPr>
            </w:pPr>
            <w:r>
              <w:rPr>
                <w:rFonts w:ascii="Times New Roman" w:eastAsia="Times New Roman"/>
                <w:sz w:val="21"/>
              </w:rPr>
              <w:t>1 </w:t>
            </w:r>
            <w:r>
              <w:rPr>
                <w:sz w:val="21"/>
              </w:rPr>
              <w:t>小时</w:t>
            </w:r>
          </w:p>
        </w:tc>
        <w:tc>
          <w:tcPr>
            <w:tcW w:w="1580" w:type="dxa"/>
            <w:tcBorders>
              <w:bottom w:val="single" w:sz="6" w:space="0" w:color="000000"/>
            </w:tcBorders>
          </w:tcPr>
          <w:p>
            <w:pPr>
              <w:pStyle w:val="TableParagraph"/>
              <w:spacing w:line="236" w:lineRule="exact" w:before="15"/>
              <w:ind w:left="136" w:right="129"/>
              <w:rPr>
                <w:rFonts w:ascii="Times New Roman"/>
                <w:sz w:val="21"/>
              </w:rPr>
            </w:pPr>
            <w:r>
              <w:rPr>
                <w:rFonts w:ascii="Times New Roman"/>
                <w:sz w:val="21"/>
              </w:rPr>
              <w:t>2.33E-04</w:t>
            </w:r>
          </w:p>
        </w:tc>
        <w:tc>
          <w:tcPr>
            <w:tcW w:w="1289" w:type="dxa"/>
            <w:tcBorders>
              <w:bottom w:val="single" w:sz="6" w:space="0" w:color="000000"/>
            </w:tcBorders>
          </w:tcPr>
          <w:p>
            <w:pPr>
              <w:pStyle w:val="TableParagraph"/>
              <w:spacing w:line="236" w:lineRule="exact" w:before="15"/>
              <w:ind w:left="200" w:right="193"/>
              <w:rPr>
                <w:rFonts w:ascii="Times New Roman"/>
                <w:sz w:val="21"/>
              </w:rPr>
            </w:pPr>
            <w:r>
              <w:rPr>
                <w:rFonts w:ascii="Times New Roman"/>
                <w:sz w:val="21"/>
              </w:rPr>
              <w:t>20122017</w:t>
            </w:r>
          </w:p>
        </w:tc>
        <w:tc>
          <w:tcPr>
            <w:tcW w:w="1023" w:type="dxa"/>
            <w:tcBorders>
              <w:bottom w:val="single" w:sz="6" w:space="0" w:color="000000"/>
            </w:tcBorders>
          </w:tcPr>
          <w:p>
            <w:pPr>
              <w:pStyle w:val="TableParagraph"/>
              <w:spacing w:line="236" w:lineRule="exact" w:before="15"/>
              <w:ind w:left="305" w:right="299"/>
              <w:rPr>
                <w:rFonts w:ascii="Times New Roman"/>
                <w:sz w:val="21"/>
              </w:rPr>
            </w:pPr>
            <w:r>
              <w:rPr>
                <w:rFonts w:ascii="Times New Roman"/>
                <w:sz w:val="21"/>
              </w:rPr>
              <w:t>0.37</w:t>
            </w:r>
          </w:p>
        </w:tc>
        <w:tc>
          <w:tcPr>
            <w:tcW w:w="1600" w:type="dxa"/>
            <w:tcBorders>
              <w:bottom w:val="single" w:sz="6" w:space="0" w:color="000000"/>
            </w:tcBorders>
          </w:tcPr>
          <w:p>
            <w:pPr>
              <w:pStyle w:val="TableParagraph"/>
              <w:spacing w:line="250" w:lineRule="exact" w:before="1"/>
              <w:ind w:right="171"/>
              <w:jc w:val="right"/>
              <w:rPr>
                <w:sz w:val="21"/>
              </w:rPr>
            </w:pPr>
            <w:r>
              <w:rPr>
                <w:rFonts w:ascii="Times New Roman" w:hAnsi="Times New Roman" w:eastAsia="Times New Roman"/>
                <w:sz w:val="21"/>
              </w:rPr>
              <w:t>≤100%</w:t>
            </w:r>
            <w:r>
              <w:rPr>
                <w:sz w:val="21"/>
              </w:rPr>
              <w:t>，符合</w:t>
            </w:r>
          </w:p>
        </w:tc>
      </w:tr>
      <w:tr>
        <w:trPr>
          <w:trHeight w:val="268" w:hRule="atLeast"/>
        </w:trPr>
        <w:tc>
          <w:tcPr>
            <w:tcW w:w="960" w:type="dxa"/>
            <w:vMerge/>
            <w:tcBorders>
              <w:top w:val="nil"/>
            </w:tcBorders>
          </w:tcPr>
          <w:p>
            <w:pPr>
              <w:rPr>
                <w:sz w:val="2"/>
                <w:szCs w:val="2"/>
              </w:rPr>
            </w:pPr>
          </w:p>
        </w:tc>
        <w:tc>
          <w:tcPr>
            <w:tcW w:w="1561" w:type="dxa"/>
            <w:tcBorders>
              <w:top w:val="single" w:sz="6" w:space="0" w:color="000000"/>
            </w:tcBorders>
          </w:tcPr>
          <w:p>
            <w:pPr>
              <w:pStyle w:val="TableParagraph"/>
              <w:spacing w:line="249" w:lineRule="exact"/>
              <w:ind w:left="20" w:right="12"/>
              <w:rPr>
                <w:sz w:val="21"/>
              </w:rPr>
            </w:pPr>
            <w:r>
              <w:rPr>
                <w:sz w:val="21"/>
              </w:rPr>
              <w:t>镇海村</w:t>
            </w:r>
          </w:p>
        </w:tc>
        <w:tc>
          <w:tcPr>
            <w:tcW w:w="1337" w:type="dxa"/>
            <w:tcBorders>
              <w:top w:val="single" w:sz="6" w:space="0" w:color="000000"/>
            </w:tcBorders>
          </w:tcPr>
          <w:p>
            <w:pPr>
              <w:pStyle w:val="TableParagraph"/>
              <w:spacing w:line="249" w:lineRule="exact"/>
              <w:ind w:left="226" w:right="216"/>
              <w:rPr>
                <w:sz w:val="21"/>
              </w:rPr>
            </w:pPr>
            <w:r>
              <w:rPr>
                <w:rFonts w:ascii="Times New Roman" w:eastAsia="Times New Roman"/>
                <w:sz w:val="21"/>
              </w:rPr>
              <w:t>1 </w:t>
            </w:r>
            <w:r>
              <w:rPr>
                <w:sz w:val="21"/>
              </w:rPr>
              <w:t>小时</w:t>
            </w:r>
          </w:p>
        </w:tc>
        <w:tc>
          <w:tcPr>
            <w:tcW w:w="1580" w:type="dxa"/>
            <w:tcBorders>
              <w:top w:val="single" w:sz="6" w:space="0" w:color="000000"/>
            </w:tcBorders>
          </w:tcPr>
          <w:p>
            <w:pPr>
              <w:pStyle w:val="TableParagraph"/>
              <w:spacing w:line="236" w:lineRule="exact" w:before="12"/>
              <w:ind w:left="136" w:right="129"/>
              <w:rPr>
                <w:rFonts w:ascii="Times New Roman"/>
                <w:sz w:val="21"/>
              </w:rPr>
            </w:pPr>
            <w:r>
              <w:rPr>
                <w:rFonts w:ascii="Times New Roman"/>
                <w:sz w:val="21"/>
              </w:rPr>
              <w:t>2.44E-04</w:t>
            </w:r>
          </w:p>
        </w:tc>
        <w:tc>
          <w:tcPr>
            <w:tcW w:w="1289" w:type="dxa"/>
            <w:tcBorders>
              <w:top w:val="single" w:sz="6" w:space="0" w:color="000000"/>
            </w:tcBorders>
          </w:tcPr>
          <w:p>
            <w:pPr>
              <w:pStyle w:val="TableParagraph"/>
              <w:spacing w:line="236" w:lineRule="exact" w:before="12"/>
              <w:ind w:left="200" w:right="193"/>
              <w:rPr>
                <w:rFonts w:ascii="Times New Roman"/>
                <w:sz w:val="21"/>
              </w:rPr>
            </w:pPr>
            <w:r>
              <w:rPr>
                <w:rFonts w:ascii="Times New Roman"/>
                <w:sz w:val="21"/>
              </w:rPr>
              <w:t>20010305</w:t>
            </w:r>
          </w:p>
        </w:tc>
        <w:tc>
          <w:tcPr>
            <w:tcW w:w="1023" w:type="dxa"/>
            <w:tcBorders>
              <w:top w:val="single" w:sz="6" w:space="0" w:color="000000"/>
            </w:tcBorders>
          </w:tcPr>
          <w:p>
            <w:pPr>
              <w:pStyle w:val="TableParagraph"/>
              <w:spacing w:line="236" w:lineRule="exact" w:before="12"/>
              <w:ind w:left="305" w:right="299"/>
              <w:rPr>
                <w:rFonts w:ascii="Times New Roman"/>
                <w:sz w:val="21"/>
              </w:rPr>
            </w:pPr>
            <w:r>
              <w:rPr>
                <w:rFonts w:ascii="Times New Roman"/>
                <w:sz w:val="21"/>
              </w:rPr>
              <w:t>0.39</w:t>
            </w:r>
          </w:p>
        </w:tc>
        <w:tc>
          <w:tcPr>
            <w:tcW w:w="1600" w:type="dxa"/>
            <w:tcBorders>
              <w:top w:val="single" w:sz="6" w:space="0" w:color="000000"/>
            </w:tcBorders>
          </w:tcPr>
          <w:p>
            <w:pPr>
              <w:pStyle w:val="TableParagraph"/>
              <w:spacing w:line="249" w:lineRule="exact"/>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tcPr>
          <w:p>
            <w:pPr>
              <w:pStyle w:val="TableParagraph"/>
              <w:spacing w:line="252" w:lineRule="exact" w:before="1"/>
              <w:ind w:left="20" w:right="12"/>
              <w:rPr>
                <w:sz w:val="21"/>
              </w:rPr>
            </w:pPr>
            <w:r>
              <w:rPr>
                <w:sz w:val="21"/>
              </w:rPr>
              <w:t>镇东村</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1.54E-04</w:t>
            </w:r>
          </w:p>
        </w:tc>
        <w:tc>
          <w:tcPr>
            <w:tcW w:w="1289" w:type="dxa"/>
          </w:tcPr>
          <w:p>
            <w:pPr>
              <w:pStyle w:val="TableParagraph"/>
              <w:spacing w:line="238" w:lineRule="exact" w:before="15"/>
              <w:ind w:left="200" w:right="193"/>
              <w:rPr>
                <w:rFonts w:ascii="Times New Roman"/>
                <w:sz w:val="21"/>
              </w:rPr>
            </w:pPr>
            <w:r>
              <w:rPr>
                <w:rFonts w:ascii="Times New Roman"/>
                <w:sz w:val="21"/>
              </w:rPr>
              <w:t>20012618</w:t>
            </w:r>
          </w:p>
        </w:tc>
        <w:tc>
          <w:tcPr>
            <w:tcW w:w="1023" w:type="dxa"/>
          </w:tcPr>
          <w:p>
            <w:pPr>
              <w:pStyle w:val="TableParagraph"/>
              <w:spacing w:line="238" w:lineRule="exact" w:before="15"/>
              <w:ind w:left="305" w:right="299"/>
              <w:rPr>
                <w:rFonts w:ascii="Times New Roman"/>
                <w:sz w:val="21"/>
              </w:rPr>
            </w:pPr>
            <w:r>
              <w:rPr>
                <w:rFonts w:ascii="Times New Roman"/>
                <w:sz w:val="21"/>
              </w:rPr>
              <w:t>0.25</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r>
        <w:trPr>
          <w:trHeight w:val="273" w:hRule="atLeast"/>
        </w:trPr>
        <w:tc>
          <w:tcPr>
            <w:tcW w:w="960" w:type="dxa"/>
            <w:vMerge/>
            <w:tcBorders>
              <w:top w:val="nil"/>
            </w:tcBorders>
          </w:tcPr>
          <w:p>
            <w:pPr>
              <w:rPr>
                <w:sz w:val="2"/>
                <w:szCs w:val="2"/>
              </w:rPr>
            </w:pPr>
          </w:p>
        </w:tc>
        <w:tc>
          <w:tcPr>
            <w:tcW w:w="1561" w:type="dxa"/>
          </w:tcPr>
          <w:p>
            <w:pPr>
              <w:pStyle w:val="TableParagraph"/>
              <w:spacing w:line="252" w:lineRule="exact" w:before="1"/>
              <w:ind w:left="20" w:right="12"/>
              <w:rPr>
                <w:sz w:val="21"/>
              </w:rPr>
            </w:pPr>
            <w:r>
              <w:rPr>
                <w:sz w:val="21"/>
              </w:rPr>
              <w:t>网格</w:t>
            </w:r>
          </w:p>
        </w:tc>
        <w:tc>
          <w:tcPr>
            <w:tcW w:w="1337" w:type="dxa"/>
          </w:tcPr>
          <w:p>
            <w:pPr>
              <w:pStyle w:val="TableParagraph"/>
              <w:spacing w:line="252" w:lineRule="exact" w:before="1"/>
              <w:ind w:left="226" w:right="216"/>
              <w:rPr>
                <w:sz w:val="21"/>
              </w:rPr>
            </w:pPr>
            <w:r>
              <w:rPr>
                <w:rFonts w:ascii="Times New Roman" w:eastAsia="Times New Roman"/>
                <w:sz w:val="21"/>
              </w:rPr>
              <w:t>1 </w:t>
            </w:r>
            <w:r>
              <w:rPr>
                <w:sz w:val="21"/>
              </w:rPr>
              <w:t>小时</w:t>
            </w:r>
          </w:p>
        </w:tc>
        <w:tc>
          <w:tcPr>
            <w:tcW w:w="1580" w:type="dxa"/>
          </w:tcPr>
          <w:p>
            <w:pPr>
              <w:pStyle w:val="TableParagraph"/>
              <w:spacing w:line="238" w:lineRule="exact" w:before="15"/>
              <w:ind w:left="136" w:right="129"/>
              <w:rPr>
                <w:rFonts w:ascii="Times New Roman"/>
                <w:sz w:val="21"/>
              </w:rPr>
            </w:pPr>
            <w:r>
              <w:rPr>
                <w:rFonts w:ascii="Times New Roman"/>
                <w:sz w:val="21"/>
              </w:rPr>
              <w:t>3.92E-03</w:t>
            </w:r>
          </w:p>
        </w:tc>
        <w:tc>
          <w:tcPr>
            <w:tcW w:w="1289" w:type="dxa"/>
          </w:tcPr>
          <w:p>
            <w:pPr>
              <w:pStyle w:val="TableParagraph"/>
              <w:spacing w:line="238" w:lineRule="exact" w:before="15"/>
              <w:ind w:left="200" w:right="193"/>
              <w:rPr>
                <w:rFonts w:ascii="Times New Roman"/>
                <w:sz w:val="21"/>
              </w:rPr>
            </w:pPr>
            <w:r>
              <w:rPr>
                <w:rFonts w:ascii="Times New Roman"/>
                <w:sz w:val="21"/>
              </w:rPr>
              <w:t>20033108</w:t>
            </w:r>
          </w:p>
        </w:tc>
        <w:tc>
          <w:tcPr>
            <w:tcW w:w="1023" w:type="dxa"/>
          </w:tcPr>
          <w:p>
            <w:pPr>
              <w:pStyle w:val="TableParagraph"/>
              <w:spacing w:line="238" w:lineRule="exact" w:before="15"/>
              <w:ind w:left="305" w:right="299"/>
              <w:rPr>
                <w:rFonts w:ascii="Times New Roman"/>
                <w:sz w:val="21"/>
              </w:rPr>
            </w:pPr>
            <w:r>
              <w:rPr>
                <w:rFonts w:ascii="Times New Roman"/>
                <w:sz w:val="21"/>
              </w:rPr>
              <w:t>6.23</w:t>
            </w:r>
          </w:p>
        </w:tc>
        <w:tc>
          <w:tcPr>
            <w:tcW w:w="1600" w:type="dxa"/>
          </w:tcPr>
          <w:p>
            <w:pPr>
              <w:pStyle w:val="TableParagraph"/>
              <w:spacing w:line="252" w:lineRule="exact" w:before="1"/>
              <w:ind w:right="171"/>
              <w:jc w:val="right"/>
              <w:rPr>
                <w:sz w:val="21"/>
              </w:rPr>
            </w:pPr>
            <w:r>
              <w:rPr>
                <w:rFonts w:ascii="Times New Roman" w:hAnsi="Times New Roman" w:eastAsia="Times New Roman"/>
                <w:sz w:val="21"/>
              </w:rPr>
              <w:t>≤100%</w:t>
            </w:r>
            <w:r>
              <w:rPr>
                <w:sz w:val="21"/>
              </w:rPr>
              <w:t>，符合</w:t>
            </w:r>
          </w:p>
        </w:tc>
      </w:tr>
    </w:tbl>
    <w:p>
      <w:pPr>
        <w:pStyle w:val="BodyText"/>
        <w:spacing w:line="364" w:lineRule="auto" w:before="2"/>
        <w:ind w:left="231" w:right="219" w:firstLine="479"/>
        <w:jc w:val="both"/>
      </w:pPr>
      <w:r>
        <w:rPr>
          <w:spacing w:val="-6"/>
          <w:position w:val="2"/>
        </w:rPr>
        <w:t>根据预测结果，正常工况下，本项目网格最大落地和各敏感点处新增甲酸、</w:t>
      </w:r>
      <w:r>
        <w:rPr>
          <w:rFonts w:ascii="Times New Roman" w:eastAsia="Times New Roman"/>
          <w:position w:val="2"/>
        </w:rPr>
        <w:t>PM</w:t>
      </w:r>
      <w:r>
        <w:rPr>
          <w:rFonts w:ascii="Times New Roman" w:eastAsia="Times New Roman"/>
          <w:sz w:val="16"/>
        </w:rPr>
        <w:t>10 </w:t>
      </w:r>
      <w:r>
        <w:rPr>
          <w:spacing w:val="-13"/>
          <w:position w:val="2"/>
        </w:rPr>
        <w:t>和</w:t>
      </w:r>
      <w:r>
        <w:rPr>
          <w:rFonts w:ascii="Times New Roman" w:eastAsia="Times New Roman"/>
          <w:position w:val="2"/>
        </w:rPr>
        <w:t>TSP </w:t>
      </w:r>
      <w:r>
        <w:rPr>
          <w:spacing w:val="2"/>
          <w:position w:val="2"/>
        </w:rPr>
        <w:t>短期浓度贡献值的最大浓度占标率小于 </w:t>
      </w:r>
      <w:r>
        <w:rPr>
          <w:rFonts w:ascii="Times New Roman" w:eastAsia="Times New Roman"/>
          <w:spacing w:val="2"/>
          <w:position w:val="2"/>
        </w:rPr>
        <w:t>100%</w:t>
      </w:r>
      <w:r>
        <w:rPr>
          <w:spacing w:val="2"/>
          <w:position w:val="2"/>
        </w:rPr>
        <w:t>；</w:t>
      </w:r>
      <w:r>
        <w:rPr>
          <w:rFonts w:ascii="Times New Roman" w:eastAsia="Times New Roman"/>
          <w:spacing w:val="2"/>
          <w:position w:val="2"/>
        </w:rPr>
        <w:t>PM</w:t>
      </w:r>
      <w:r>
        <w:rPr>
          <w:rFonts w:ascii="Times New Roman" w:eastAsia="Times New Roman"/>
          <w:spacing w:val="2"/>
          <w:sz w:val="16"/>
        </w:rPr>
        <w:t>10 </w:t>
      </w:r>
      <w:r>
        <w:rPr>
          <w:spacing w:val="-28"/>
          <w:position w:val="2"/>
        </w:rPr>
        <w:t>和 </w:t>
      </w:r>
      <w:r>
        <w:rPr>
          <w:rFonts w:ascii="Times New Roman" w:eastAsia="Times New Roman"/>
          <w:position w:val="2"/>
        </w:rPr>
        <w:t>TSP </w:t>
      </w:r>
      <w:r>
        <w:rPr>
          <w:spacing w:val="3"/>
          <w:position w:val="2"/>
        </w:rPr>
        <w:t>年均浓度贡献值的最</w:t>
      </w:r>
      <w:r>
        <w:rPr>
          <w:spacing w:val="-1"/>
        </w:rPr>
        <w:t>大浓度占标率小于 </w:t>
      </w:r>
      <w:r>
        <w:rPr>
          <w:rFonts w:ascii="Times New Roman" w:eastAsia="Times New Roman"/>
          <w:spacing w:val="3"/>
        </w:rPr>
        <w:t>30%</w:t>
      </w:r>
      <w:r>
        <w:rPr/>
        <w:t>。</w:t>
      </w:r>
    </w:p>
    <w:p>
      <w:pPr>
        <w:spacing w:after="0" w:line="364" w:lineRule="auto"/>
        <w:jc w:val="both"/>
        <w:sectPr>
          <w:pgSz w:w="11910" w:h="16850"/>
          <w:pgMar w:header="1004" w:footer="1088" w:top="1360" w:bottom="1280" w:left="1300" w:right="1020"/>
        </w:sectPr>
      </w:pPr>
    </w:p>
    <w:p>
      <w:pPr>
        <w:pStyle w:val="BodyText"/>
        <w:spacing w:before="11"/>
        <w:rPr>
          <w:sz w:val="4"/>
        </w:rPr>
      </w:pPr>
    </w:p>
    <w:p>
      <w:pPr>
        <w:pStyle w:val="BodyText"/>
        <w:ind w:left="644"/>
        <w:rPr>
          <w:sz w:val="20"/>
        </w:rPr>
      </w:pPr>
      <w:r>
        <w:rPr>
          <w:sz w:val="20"/>
        </w:rPr>
        <w:drawing>
          <wp:inline distT="0" distB="0" distL="0" distR="0">
            <wp:extent cx="5234822" cy="3756183"/>
            <wp:effectExtent l="0" t="0" r="0" b="0"/>
            <wp:docPr id="39" name="image43.jpeg"/>
            <wp:cNvGraphicFramePr>
              <a:graphicFrameLocks noChangeAspect="1"/>
            </wp:cNvGraphicFramePr>
            <a:graphic>
              <a:graphicData uri="http://schemas.openxmlformats.org/drawingml/2006/picture">
                <pic:pic>
                  <pic:nvPicPr>
                    <pic:cNvPr id="40" name="image43.jpeg"/>
                    <pic:cNvPicPr/>
                  </pic:nvPicPr>
                  <pic:blipFill>
                    <a:blip r:embed="rId102" cstate="print"/>
                    <a:stretch>
                      <a:fillRect/>
                    </a:stretch>
                  </pic:blipFill>
                  <pic:spPr>
                    <a:xfrm>
                      <a:off x="0" y="0"/>
                      <a:ext cx="5234822" cy="3756183"/>
                    </a:xfrm>
                    <a:prstGeom prst="rect">
                      <a:avLst/>
                    </a:prstGeom>
                  </pic:spPr>
                </pic:pic>
              </a:graphicData>
            </a:graphic>
          </wp:inline>
        </w:drawing>
      </w:r>
      <w:r>
        <w:rPr>
          <w:sz w:val="20"/>
        </w:rPr>
      </w:r>
    </w:p>
    <w:p>
      <w:pPr>
        <w:pStyle w:val="BodyText"/>
        <w:spacing w:before="10"/>
        <w:rPr>
          <w:sz w:val="7"/>
        </w:rPr>
      </w:pPr>
    </w:p>
    <w:p>
      <w:pPr>
        <w:pStyle w:val="Heading4"/>
        <w:tabs>
          <w:tab w:pos="1229" w:val="left" w:leader="none"/>
        </w:tabs>
        <w:spacing w:before="82"/>
        <w:ind w:left="7"/>
        <w:jc w:val="center"/>
      </w:pPr>
      <w:r>
        <w:rPr>
          <w:position w:val="1"/>
        </w:rPr>
        <w:t>图</w:t>
      </w:r>
      <w:r>
        <w:rPr>
          <w:spacing w:val="-60"/>
          <w:position w:val="1"/>
        </w:rPr>
        <w:t> </w:t>
      </w:r>
      <w:r>
        <w:rPr>
          <w:rFonts w:ascii="Times New Roman" w:eastAsia="Times New Roman"/>
          <w:position w:val="1"/>
        </w:rPr>
        <w:t>7.2.1-5</w:t>
        <w:tab/>
        <w:t>PM</w:t>
      </w:r>
      <w:r>
        <w:rPr>
          <w:rFonts w:ascii="Times New Roman" w:eastAsia="Times New Roman"/>
          <w:sz w:val="16"/>
        </w:rPr>
        <w:t>10</w:t>
      </w:r>
      <w:r>
        <w:rPr>
          <w:rFonts w:ascii="Times New Roman" w:eastAsia="Times New Roman"/>
          <w:spacing w:val="-1"/>
          <w:sz w:val="16"/>
        </w:rPr>
        <w:t> </w:t>
      </w:r>
      <w:r>
        <w:rPr>
          <w:position w:val="1"/>
        </w:rPr>
        <w:t>小时贡献浓度最大值分布图（</w:t>
      </w:r>
      <w:r>
        <w:rPr>
          <w:rFonts w:ascii="Times New Roman" w:eastAsia="Times New Roman"/>
          <w:position w:val="1"/>
        </w:rPr>
        <w:t>mg/m</w:t>
      </w:r>
      <w:r>
        <w:rPr>
          <w:rFonts w:ascii="Times New Roman" w:eastAsia="Times New Roman"/>
          <w:position w:val="9"/>
          <w:sz w:val="16"/>
        </w:rPr>
        <w:t>3</w:t>
      </w:r>
      <w:r>
        <w:rPr>
          <w:position w:val="1"/>
        </w:rPr>
        <w:t>）</w:t>
      </w:r>
    </w:p>
    <w:p>
      <w:pPr>
        <w:pStyle w:val="BodyText"/>
        <w:spacing w:before="3"/>
        <w:rPr>
          <w:b/>
          <w:sz w:val="9"/>
        </w:rPr>
      </w:pPr>
      <w:r>
        <w:rPr/>
        <w:drawing>
          <wp:anchor distT="0" distB="0" distL="0" distR="0" allowOverlap="1" layoutInCell="1" locked="0" behindDoc="0" simplePos="0" relativeHeight="224">
            <wp:simplePos x="0" y="0"/>
            <wp:positionH relativeFrom="page">
              <wp:posOffset>1197610</wp:posOffset>
            </wp:positionH>
            <wp:positionV relativeFrom="paragraph">
              <wp:posOffset>100094</wp:posOffset>
            </wp:positionV>
            <wp:extent cx="5309227" cy="3756183"/>
            <wp:effectExtent l="0" t="0" r="0" b="0"/>
            <wp:wrapTopAndBottom/>
            <wp:docPr id="41" name="image44.jpeg"/>
            <wp:cNvGraphicFramePr>
              <a:graphicFrameLocks noChangeAspect="1"/>
            </wp:cNvGraphicFramePr>
            <a:graphic>
              <a:graphicData uri="http://schemas.openxmlformats.org/drawingml/2006/picture">
                <pic:pic>
                  <pic:nvPicPr>
                    <pic:cNvPr id="42" name="image44.jpeg"/>
                    <pic:cNvPicPr/>
                  </pic:nvPicPr>
                  <pic:blipFill>
                    <a:blip r:embed="rId103" cstate="print"/>
                    <a:stretch>
                      <a:fillRect/>
                    </a:stretch>
                  </pic:blipFill>
                  <pic:spPr>
                    <a:xfrm>
                      <a:off x="0" y="0"/>
                      <a:ext cx="5309227" cy="3756183"/>
                    </a:xfrm>
                    <a:prstGeom prst="rect">
                      <a:avLst/>
                    </a:prstGeom>
                  </pic:spPr>
                </pic:pic>
              </a:graphicData>
            </a:graphic>
          </wp:anchor>
        </w:drawing>
      </w:r>
    </w:p>
    <w:p>
      <w:pPr>
        <w:tabs>
          <w:tab w:pos="1229" w:val="left" w:leader="none"/>
        </w:tabs>
        <w:spacing w:before="153"/>
        <w:ind w:left="7" w:right="0" w:firstLine="0"/>
        <w:jc w:val="center"/>
        <w:rPr>
          <w:b/>
          <w:sz w:val="24"/>
        </w:rPr>
      </w:pPr>
      <w:r>
        <w:rPr>
          <w:b/>
          <w:position w:val="1"/>
          <w:sz w:val="24"/>
        </w:rPr>
        <w:t>图</w:t>
      </w:r>
      <w:r>
        <w:rPr>
          <w:b/>
          <w:spacing w:val="-60"/>
          <w:position w:val="1"/>
          <w:sz w:val="24"/>
        </w:rPr>
        <w:t> </w:t>
      </w:r>
      <w:r>
        <w:rPr>
          <w:rFonts w:ascii="Times New Roman" w:eastAsia="Times New Roman"/>
          <w:b/>
          <w:position w:val="1"/>
          <w:sz w:val="24"/>
        </w:rPr>
        <w:t>7.2.1-6</w:t>
        <w:tab/>
        <w:t>PM</w:t>
      </w:r>
      <w:r>
        <w:rPr>
          <w:rFonts w:ascii="Times New Roman" w:eastAsia="Times New Roman"/>
          <w:b/>
          <w:sz w:val="16"/>
        </w:rPr>
        <w:t>10</w:t>
      </w:r>
      <w:r>
        <w:rPr>
          <w:rFonts w:ascii="Times New Roman" w:eastAsia="Times New Roman"/>
          <w:b/>
          <w:spacing w:val="-1"/>
          <w:sz w:val="16"/>
        </w:rPr>
        <w:t> </w:t>
      </w:r>
      <w:r>
        <w:rPr>
          <w:b/>
          <w:position w:val="1"/>
          <w:sz w:val="24"/>
        </w:rPr>
        <w:t>日均贡献浓度最大值分布图（</w:t>
      </w:r>
      <w:r>
        <w:rPr>
          <w:rFonts w:ascii="Times New Roman" w:eastAsia="Times New Roman"/>
          <w:b/>
          <w:position w:val="1"/>
          <w:sz w:val="24"/>
        </w:rPr>
        <w:t>mg/m</w:t>
      </w:r>
      <w:r>
        <w:rPr>
          <w:rFonts w:ascii="Times New Roman" w:eastAsia="Times New Roman"/>
          <w:b/>
          <w:position w:val="9"/>
          <w:sz w:val="16"/>
        </w:rPr>
        <w:t>3</w:t>
      </w:r>
      <w:r>
        <w:rPr>
          <w:b/>
          <w:position w:val="1"/>
          <w:sz w:val="24"/>
        </w:rPr>
        <w:t>）</w:t>
      </w:r>
    </w:p>
    <w:p>
      <w:pPr>
        <w:spacing w:after="0"/>
        <w:jc w:val="center"/>
        <w:rPr>
          <w:sz w:val="24"/>
        </w:rPr>
        <w:sectPr>
          <w:pgSz w:w="11910" w:h="16850"/>
          <w:pgMar w:header="1004" w:footer="1088" w:top="1360" w:bottom="1280" w:left="1300" w:right="1020"/>
        </w:sectPr>
      </w:pPr>
    </w:p>
    <w:p>
      <w:pPr>
        <w:pStyle w:val="BodyText"/>
        <w:spacing w:before="11"/>
        <w:rPr>
          <w:b/>
          <w:sz w:val="4"/>
        </w:rPr>
      </w:pPr>
    </w:p>
    <w:p>
      <w:pPr>
        <w:pStyle w:val="BodyText"/>
        <w:ind w:left="586"/>
        <w:rPr>
          <w:sz w:val="20"/>
        </w:rPr>
      </w:pPr>
      <w:r>
        <w:rPr>
          <w:sz w:val="20"/>
        </w:rPr>
        <w:drawing>
          <wp:inline distT="0" distB="0" distL="0" distR="0">
            <wp:extent cx="5309227" cy="3756183"/>
            <wp:effectExtent l="0" t="0" r="0" b="0"/>
            <wp:docPr id="43" name="image45.jpeg"/>
            <wp:cNvGraphicFramePr>
              <a:graphicFrameLocks noChangeAspect="1"/>
            </wp:cNvGraphicFramePr>
            <a:graphic>
              <a:graphicData uri="http://schemas.openxmlformats.org/drawingml/2006/picture">
                <pic:pic>
                  <pic:nvPicPr>
                    <pic:cNvPr id="44" name="image45.jpeg"/>
                    <pic:cNvPicPr/>
                  </pic:nvPicPr>
                  <pic:blipFill>
                    <a:blip r:embed="rId104" cstate="print"/>
                    <a:stretch>
                      <a:fillRect/>
                    </a:stretch>
                  </pic:blipFill>
                  <pic:spPr>
                    <a:xfrm>
                      <a:off x="0" y="0"/>
                      <a:ext cx="5309227" cy="3756183"/>
                    </a:xfrm>
                    <a:prstGeom prst="rect">
                      <a:avLst/>
                    </a:prstGeom>
                  </pic:spPr>
                </pic:pic>
              </a:graphicData>
            </a:graphic>
          </wp:inline>
        </w:drawing>
      </w:r>
      <w:r>
        <w:rPr>
          <w:sz w:val="20"/>
        </w:rPr>
      </w:r>
    </w:p>
    <w:p>
      <w:pPr>
        <w:pStyle w:val="BodyText"/>
        <w:spacing w:before="10"/>
        <w:rPr>
          <w:b/>
          <w:sz w:val="7"/>
        </w:rPr>
      </w:pPr>
    </w:p>
    <w:p>
      <w:pPr>
        <w:tabs>
          <w:tab w:pos="1229" w:val="left" w:leader="none"/>
        </w:tabs>
        <w:spacing w:before="82"/>
        <w:ind w:left="7" w:right="0" w:firstLine="0"/>
        <w:jc w:val="center"/>
        <w:rPr>
          <w:b/>
          <w:sz w:val="24"/>
        </w:rPr>
      </w:pPr>
      <w:r>
        <w:rPr>
          <w:b/>
          <w:position w:val="1"/>
          <w:sz w:val="24"/>
        </w:rPr>
        <w:t>图</w:t>
      </w:r>
      <w:r>
        <w:rPr>
          <w:b/>
          <w:spacing w:val="-60"/>
          <w:position w:val="1"/>
          <w:sz w:val="24"/>
        </w:rPr>
        <w:t> </w:t>
      </w:r>
      <w:r>
        <w:rPr>
          <w:rFonts w:ascii="Times New Roman" w:eastAsia="Times New Roman"/>
          <w:b/>
          <w:position w:val="1"/>
          <w:sz w:val="24"/>
        </w:rPr>
        <w:t>7.2.1-7</w:t>
        <w:tab/>
        <w:t>PM</w:t>
      </w:r>
      <w:r>
        <w:rPr>
          <w:rFonts w:ascii="Times New Roman" w:eastAsia="Times New Roman"/>
          <w:b/>
          <w:sz w:val="16"/>
        </w:rPr>
        <w:t>10</w:t>
      </w:r>
      <w:r>
        <w:rPr>
          <w:rFonts w:ascii="Times New Roman" w:eastAsia="Times New Roman"/>
          <w:b/>
          <w:spacing w:val="-1"/>
          <w:sz w:val="16"/>
        </w:rPr>
        <w:t> </w:t>
      </w:r>
      <w:r>
        <w:rPr>
          <w:b/>
          <w:position w:val="1"/>
          <w:sz w:val="24"/>
        </w:rPr>
        <w:t>年均贡献浓度最大值分布图（</w:t>
      </w:r>
      <w:r>
        <w:rPr>
          <w:rFonts w:ascii="Times New Roman" w:eastAsia="Times New Roman"/>
          <w:b/>
          <w:position w:val="1"/>
          <w:sz w:val="24"/>
        </w:rPr>
        <w:t>mg/m</w:t>
      </w:r>
      <w:r>
        <w:rPr>
          <w:rFonts w:ascii="Times New Roman" w:eastAsia="Times New Roman"/>
          <w:b/>
          <w:position w:val="9"/>
          <w:sz w:val="16"/>
        </w:rPr>
        <w:t>3</w:t>
      </w:r>
      <w:r>
        <w:rPr>
          <w:b/>
          <w:position w:val="1"/>
          <w:sz w:val="24"/>
        </w:rPr>
        <w:t>）</w:t>
      </w:r>
    </w:p>
    <w:p>
      <w:pPr>
        <w:pStyle w:val="BodyText"/>
        <w:spacing w:before="3"/>
        <w:rPr>
          <w:b/>
          <w:sz w:val="9"/>
        </w:rPr>
      </w:pPr>
      <w:r>
        <w:rPr/>
        <w:drawing>
          <wp:anchor distT="0" distB="0" distL="0" distR="0" allowOverlap="1" layoutInCell="1" locked="0" behindDoc="0" simplePos="0" relativeHeight="225">
            <wp:simplePos x="0" y="0"/>
            <wp:positionH relativeFrom="page">
              <wp:posOffset>1281430</wp:posOffset>
            </wp:positionH>
            <wp:positionV relativeFrom="paragraph">
              <wp:posOffset>100094</wp:posOffset>
            </wp:positionV>
            <wp:extent cx="5140870" cy="3756183"/>
            <wp:effectExtent l="0" t="0" r="0" b="0"/>
            <wp:wrapTopAndBottom/>
            <wp:docPr id="45" name="image46.jpeg"/>
            <wp:cNvGraphicFramePr>
              <a:graphicFrameLocks noChangeAspect="1"/>
            </wp:cNvGraphicFramePr>
            <a:graphic>
              <a:graphicData uri="http://schemas.openxmlformats.org/drawingml/2006/picture">
                <pic:pic>
                  <pic:nvPicPr>
                    <pic:cNvPr id="46" name="image46.jpeg"/>
                    <pic:cNvPicPr/>
                  </pic:nvPicPr>
                  <pic:blipFill>
                    <a:blip r:embed="rId105" cstate="print"/>
                    <a:stretch>
                      <a:fillRect/>
                    </a:stretch>
                  </pic:blipFill>
                  <pic:spPr>
                    <a:xfrm>
                      <a:off x="0" y="0"/>
                      <a:ext cx="5140870" cy="3756183"/>
                    </a:xfrm>
                    <a:prstGeom prst="rect">
                      <a:avLst/>
                    </a:prstGeom>
                  </pic:spPr>
                </pic:pic>
              </a:graphicData>
            </a:graphic>
          </wp:anchor>
        </w:drawing>
      </w:r>
    </w:p>
    <w:p>
      <w:pPr>
        <w:tabs>
          <w:tab w:pos="1227" w:val="left" w:leader="none"/>
        </w:tabs>
        <w:spacing w:before="153"/>
        <w:ind w:left="4" w:right="0" w:firstLine="0"/>
        <w:jc w:val="center"/>
        <w:rPr>
          <w:b/>
          <w:sz w:val="24"/>
        </w:rPr>
      </w:pPr>
      <w:r>
        <w:rPr>
          <w:b/>
          <w:sz w:val="24"/>
        </w:rPr>
        <w:t>图</w:t>
      </w:r>
      <w:r>
        <w:rPr>
          <w:b/>
          <w:spacing w:val="-60"/>
          <w:sz w:val="24"/>
        </w:rPr>
        <w:t> </w:t>
      </w:r>
      <w:r>
        <w:rPr>
          <w:rFonts w:ascii="Times New Roman" w:eastAsia="Times New Roman"/>
          <w:b/>
          <w:sz w:val="24"/>
        </w:rPr>
        <w:t>7.2.1-8</w:t>
        <w:tab/>
        <w:t>TSP</w:t>
      </w:r>
      <w:r>
        <w:rPr>
          <w:rFonts w:ascii="Times New Roman" w:eastAsia="Times New Roman"/>
          <w:b/>
          <w:spacing w:val="-4"/>
          <w:sz w:val="24"/>
        </w:rPr>
        <w:t> </w:t>
      </w:r>
      <w:r>
        <w:rPr>
          <w:b/>
          <w:sz w:val="24"/>
        </w:rPr>
        <w:t>小时贡献浓度最大值分布图（</w:t>
      </w:r>
      <w:r>
        <w:rPr>
          <w:rFonts w:ascii="Times New Roman" w:eastAsia="Times New Roman"/>
          <w:b/>
          <w:sz w:val="24"/>
        </w:rPr>
        <w:t>mg/m</w:t>
      </w:r>
      <w:r>
        <w:rPr>
          <w:rFonts w:ascii="Times New Roman" w:eastAsia="Times New Roman"/>
          <w:b/>
          <w:position w:val="8"/>
          <w:sz w:val="16"/>
        </w:rPr>
        <w:t>3</w:t>
      </w:r>
      <w:r>
        <w:rPr>
          <w:b/>
          <w:sz w:val="24"/>
        </w:rPr>
        <w:t>）</w:t>
      </w:r>
    </w:p>
    <w:p>
      <w:pPr>
        <w:spacing w:after="0"/>
        <w:jc w:val="center"/>
        <w:rPr>
          <w:sz w:val="24"/>
        </w:rPr>
        <w:sectPr>
          <w:pgSz w:w="11910" w:h="16850"/>
          <w:pgMar w:header="1004" w:footer="1088" w:top="1360" w:bottom="1280" w:left="1300" w:right="1020"/>
        </w:sectPr>
      </w:pPr>
    </w:p>
    <w:p>
      <w:pPr>
        <w:pStyle w:val="BodyText"/>
        <w:spacing w:before="11"/>
        <w:rPr>
          <w:b/>
          <w:sz w:val="4"/>
        </w:rPr>
      </w:pPr>
    </w:p>
    <w:p>
      <w:pPr>
        <w:pStyle w:val="BodyText"/>
        <w:ind w:left="644"/>
        <w:rPr>
          <w:sz w:val="20"/>
        </w:rPr>
      </w:pPr>
      <w:r>
        <w:rPr>
          <w:sz w:val="20"/>
        </w:rPr>
        <w:drawing>
          <wp:inline distT="0" distB="0" distL="0" distR="0">
            <wp:extent cx="5234822" cy="3756183"/>
            <wp:effectExtent l="0" t="0" r="0" b="0"/>
            <wp:docPr id="47" name="image47.jpeg"/>
            <wp:cNvGraphicFramePr>
              <a:graphicFrameLocks noChangeAspect="1"/>
            </wp:cNvGraphicFramePr>
            <a:graphic>
              <a:graphicData uri="http://schemas.openxmlformats.org/drawingml/2006/picture">
                <pic:pic>
                  <pic:nvPicPr>
                    <pic:cNvPr id="48" name="image47.jpeg"/>
                    <pic:cNvPicPr/>
                  </pic:nvPicPr>
                  <pic:blipFill>
                    <a:blip r:embed="rId106" cstate="print"/>
                    <a:stretch>
                      <a:fillRect/>
                    </a:stretch>
                  </pic:blipFill>
                  <pic:spPr>
                    <a:xfrm>
                      <a:off x="0" y="0"/>
                      <a:ext cx="5234822" cy="3756183"/>
                    </a:xfrm>
                    <a:prstGeom prst="rect">
                      <a:avLst/>
                    </a:prstGeom>
                  </pic:spPr>
                </pic:pic>
              </a:graphicData>
            </a:graphic>
          </wp:inline>
        </w:drawing>
      </w:r>
      <w:r>
        <w:rPr>
          <w:sz w:val="20"/>
        </w:rPr>
      </w:r>
    </w:p>
    <w:p>
      <w:pPr>
        <w:pStyle w:val="BodyText"/>
        <w:spacing w:before="10"/>
        <w:rPr>
          <w:b/>
          <w:sz w:val="7"/>
        </w:rPr>
      </w:pPr>
    </w:p>
    <w:p>
      <w:pPr>
        <w:tabs>
          <w:tab w:pos="1227" w:val="left" w:leader="none"/>
        </w:tabs>
        <w:spacing w:before="82"/>
        <w:ind w:left="4" w:right="0" w:firstLine="0"/>
        <w:jc w:val="center"/>
        <w:rPr>
          <w:b/>
          <w:sz w:val="24"/>
        </w:rPr>
      </w:pPr>
      <w:r>
        <w:rPr>
          <w:b/>
          <w:sz w:val="24"/>
        </w:rPr>
        <w:t>图</w:t>
      </w:r>
      <w:r>
        <w:rPr>
          <w:b/>
          <w:spacing w:val="-60"/>
          <w:sz w:val="24"/>
        </w:rPr>
        <w:t> </w:t>
      </w:r>
      <w:r>
        <w:rPr>
          <w:rFonts w:ascii="Times New Roman" w:eastAsia="Times New Roman"/>
          <w:b/>
          <w:sz w:val="24"/>
        </w:rPr>
        <w:t>7.2.1-9</w:t>
        <w:tab/>
        <w:t>TSP</w:t>
      </w:r>
      <w:r>
        <w:rPr>
          <w:rFonts w:ascii="Times New Roman" w:eastAsia="Times New Roman"/>
          <w:b/>
          <w:spacing w:val="-7"/>
          <w:sz w:val="24"/>
        </w:rPr>
        <w:t> </w:t>
      </w:r>
      <w:r>
        <w:rPr>
          <w:b/>
          <w:sz w:val="24"/>
        </w:rPr>
        <w:t>日均贡献浓度最大值分</w:t>
      </w:r>
      <w:r>
        <w:rPr>
          <w:b/>
          <w:spacing w:val="3"/>
          <w:sz w:val="24"/>
        </w:rPr>
        <w:t>布</w:t>
      </w:r>
      <w:r>
        <w:rPr>
          <w:b/>
          <w:sz w:val="24"/>
        </w:rPr>
        <w:t>图（</w:t>
      </w:r>
      <w:r>
        <w:rPr>
          <w:rFonts w:ascii="Times New Roman" w:eastAsia="Times New Roman"/>
          <w:b/>
          <w:sz w:val="24"/>
        </w:rPr>
        <w:t>mg/m</w:t>
      </w:r>
      <w:r>
        <w:rPr>
          <w:rFonts w:ascii="Times New Roman" w:eastAsia="Times New Roman"/>
          <w:b/>
          <w:position w:val="8"/>
          <w:sz w:val="16"/>
        </w:rPr>
        <w:t>3</w:t>
      </w:r>
      <w:r>
        <w:rPr>
          <w:b/>
          <w:sz w:val="24"/>
        </w:rPr>
        <w:t>）</w:t>
      </w:r>
    </w:p>
    <w:p>
      <w:pPr>
        <w:pStyle w:val="BodyText"/>
        <w:spacing w:before="3"/>
        <w:rPr>
          <w:b/>
          <w:sz w:val="9"/>
        </w:rPr>
      </w:pPr>
      <w:r>
        <w:rPr/>
        <w:drawing>
          <wp:anchor distT="0" distB="0" distL="0" distR="0" allowOverlap="1" layoutInCell="1" locked="0" behindDoc="0" simplePos="0" relativeHeight="226">
            <wp:simplePos x="0" y="0"/>
            <wp:positionH relativeFrom="page">
              <wp:posOffset>1234439</wp:posOffset>
            </wp:positionH>
            <wp:positionV relativeFrom="paragraph">
              <wp:posOffset>100094</wp:posOffset>
            </wp:positionV>
            <wp:extent cx="5234822" cy="3756183"/>
            <wp:effectExtent l="0" t="0" r="0" b="0"/>
            <wp:wrapTopAndBottom/>
            <wp:docPr id="49" name="image48.jpeg"/>
            <wp:cNvGraphicFramePr>
              <a:graphicFrameLocks noChangeAspect="1"/>
            </wp:cNvGraphicFramePr>
            <a:graphic>
              <a:graphicData uri="http://schemas.openxmlformats.org/drawingml/2006/picture">
                <pic:pic>
                  <pic:nvPicPr>
                    <pic:cNvPr id="50" name="image48.jpeg"/>
                    <pic:cNvPicPr/>
                  </pic:nvPicPr>
                  <pic:blipFill>
                    <a:blip r:embed="rId107" cstate="print"/>
                    <a:stretch>
                      <a:fillRect/>
                    </a:stretch>
                  </pic:blipFill>
                  <pic:spPr>
                    <a:xfrm>
                      <a:off x="0" y="0"/>
                      <a:ext cx="5234822" cy="3756183"/>
                    </a:xfrm>
                    <a:prstGeom prst="rect">
                      <a:avLst/>
                    </a:prstGeom>
                  </pic:spPr>
                </pic:pic>
              </a:graphicData>
            </a:graphic>
          </wp:anchor>
        </w:drawing>
      </w:r>
    </w:p>
    <w:p>
      <w:pPr>
        <w:tabs>
          <w:tab w:pos="1349" w:val="left" w:leader="none"/>
        </w:tabs>
        <w:spacing w:before="153"/>
        <w:ind w:left="7" w:right="0" w:firstLine="0"/>
        <w:jc w:val="center"/>
        <w:rPr>
          <w:b/>
          <w:sz w:val="24"/>
        </w:rPr>
      </w:pPr>
      <w:r>
        <w:rPr>
          <w:b/>
          <w:sz w:val="24"/>
        </w:rPr>
        <w:t>图</w:t>
      </w:r>
      <w:r>
        <w:rPr>
          <w:b/>
          <w:spacing w:val="-60"/>
          <w:sz w:val="24"/>
        </w:rPr>
        <w:t> </w:t>
      </w:r>
      <w:r>
        <w:rPr>
          <w:rFonts w:ascii="Times New Roman" w:eastAsia="Times New Roman"/>
          <w:b/>
          <w:sz w:val="24"/>
        </w:rPr>
        <w:t>7.2.1-10</w:t>
        <w:tab/>
        <w:t>TSP </w:t>
      </w:r>
      <w:r>
        <w:rPr>
          <w:b/>
          <w:sz w:val="24"/>
        </w:rPr>
        <w:t>年均贡献浓度最大值分布图（</w:t>
      </w:r>
      <w:r>
        <w:rPr>
          <w:rFonts w:ascii="Times New Roman" w:eastAsia="Times New Roman"/>
          <w:b/>
          <w:sz w:val="24"/>
        </w:rPr>
        <w:t>mg/m</w:t>
      </w:r>
      <w:r>
        <w:rPr>
          <w:rFonts w:ascii="Times New Roman" w:eastAsia="Times New Roman"/>
          <w:b/>
          <w:position w:val="8"/>
          <w:sz w:val="16"/>
        </w:rPr>
        <w:t>3</w:t>
      </w:r>
      <w:r>
        <w:rPr>
          <w:b/>
          <w:sz w:val="24"/>
        </w:rPr>
        <w:t>）</w:t>
      </w:r>
    </w:p>
    <w:p>
      <w:pPr>
        <w:spacing w:after="0"/>
        <w:jc w:val="center"/>
        <w:rPr>
          <w:sz w:val="24"/>
        </w:rPr>
        <w:sectPr>
          <w:pgSz w:w="11910" w:h="16850"/>
          <w:pgMar w:header="1004" w:footer="1088" w:top="1360" w:bottom="1280" w:left="1300" w:right="1020"/>
        </w:sectPr>
      </w:pPr>
    </w:p>
    <w:p>
      <w:pPr>
        <w:pStyle w:val="BodyText"/>
        <w:spacing w:before="11"/>
        <w:rPr>
          <w:b/>
          <w:sz w:val="4"/>
        </w:rPr>
      </w:pPr>
    </w:p>
    <w:p>
      <w:pPr>
        <w:pStyle w:val="BodyText"/>
        <w:ind w:left="644"/>
        <w:rPr>
          <w:sz w:val="20"/>
        </w:rPr>
      </w:pPr>
      <w:r>
        <w:rPr>
          <w:sz w:val="20"/>
        </w:rPr>
        <w:drawing>
          <wp:inline distT="0" distB="0" distL="0" distR="0">
            <wp:extent cx="5234822" cy="3756183"/>
            <wp:effectExtent l="0" t="0" r="0" b="0"/>
            <wp:docPr id="51" name="image49.jpeg"/>
            <wp:cNvGraphicFramePr>
              <a:graphicFrameLocks noChangeAspect="1"/>
            </wp:cNvGraphicFramePr>
            <a:graphic>
              <a:graphicData uri="http://schemas.openxmlformats.org/drawingml/2006/picture">
                <pic:pic>
                  <pic:nvPicPr>
                    <pic:cNvPr id="52" name="image49.jpeg"/>
                    <pic:cNvPicPr/>
                  </pic:nvPicPr>
                  <pic:blipFill>
                    <a:blip r:embed="rId108" cstate="print"/>
                    <a:stretch>
                      <a:fillRect/>
                    </a:stretch>
                  </pic:blipFill>
                  <pic:spPr>
                    <a:xfrm>
                      <a:off x="0" y="0"/>
                      <a:ext cx="5234822" cy="3756183"/>
                    </a:xfrm>
                    <a:prstGeom prst="rect">
                      <a:avLst/>
                    </a:prstGeom>
                  </pic:spPr>
                </pic:pic>
              </a:graphicData>
            </a:graphic>
          </wp:inline>
        </w:drawing>
      </w:r>
      <w:r>
        <w:rPr>
          <w:sz w:val="20"/>
        </w:rPr>
      </w:r>
    </w:p>
    <w:p>
      <w:pPr>
        <w:pStyle w:val="BodyText"/>
        <w:spacing w:before="10"/>
        <w:rPr>
          <w:b/>
          <w:sz w:val="7"/>
        </w:rPr>
      </w:pPr>
    </w:p>
    <w:p>
      <w:pPr>
        <w:tabs>
          <w:tab w:pos="1335" w:val="left" w:leader="none"/>
        </w:tabs>
        <w:spacing w:before="82"/>
        <w:ind w:left="7" w:right="0" w:firstLine="0"/>
        <w:jc w:val="center"/>
        <w:rPr>
          <w:b/>
          <w:sz w:val="24"/>
        </w:rPr>
      </w:pPr>
      <w:r>
        <w:rPr>
          <w:b/>
          <w:sz w:val="24"/>
        </w:rPr>
        <w:t>图</w:t>
      </w:r>
      <w:r>
        <w:rPr>
          <w:b/>
          <w:spacing w:val="-64"/>
          <w:sz w:val="24"/>
        </w:rPr>
        <w:t> </w:t>
      </w:r>
      <w:r>
        <w:rPr>
          <w:rFonts w:ascii="Times New Roman" w:eastAsia="Times New Roman"/>
          <w:b/>
          <w:sz w:val="24"/>
        </w:rPr>
        <w:t>7.2.1-11</w:t>
        <w:tab/>
      </w:r>
      <w:r>
        <w:rPr>
          <w:b/>
          <w:sz w:val="24"/>
        </w:rPr>
        <w:t>甲酸小时贡献</w:t>
      </w:r>
      <w:r>
        <w:rPr>
          <w:b/>
          <w:spacing w:val="3"/>
          <w:sz w:val="24"/>
        </w:rPr>
        <w:t>浓</w:t>
      </w:r>
      <w:r>
        <w:rPr>
          <w:b/>
          <w:sz w:val="24"/>
        </w:rPr>
        <w:t>度最大值分布图（</w:t>
      </w:r>
      <w:r>
        <w:rPr>
          <w:rFonts w:ascii="Times New Roman" w:eastAsia="Times New Roman"/>
          <w:b/>
          <w:sz w:val="24"/>
        </w:rPr>
        <w:t>mg/m</w:t>
      </w:r>
      <w:r>
        <w:rPr>
          <w:rFonts w:ascii="Times New Roman" w:eastAsia="Times New Roman"/>
          <w:b/>
          <w:position w:val="8"/>
          <w:sz w:val="16"/>
        </w:rPr>
        <w:t>3</w:t>
      </w:r>
      <w:r>
        <w:rPr>
          <w:b/>
          <w:sz w:val="24"/>
        </w:rPr>
        <w:t>）</w:t>
      </w:r>
    </w:p>
    <w:p>
      <w:pPr>
        <w:spacing w:before="158"/>
        <w:ind w:left="714" w:right="0" w:firstLine="0"/>
        <w:jc w:val="left"/>
        <w:rPr>
          <w:b/>
          <w:sz w:val="24"/>
        </w:rPr>
      </w:pPr>
      <w:r>
        <w:rPr>
          <w:rFonts w:ascii="Times New Roman" w:eastAsia="Times New Roman"/>
          <w:b/>
          <w:sz w:val="24"/>
        </w:rPr>
        <w:t>2</w:t>
      </w:r>
      <w:r>
        <w:rPr>
          <w:b/>
          <w:sz w:val="24"/>
        </w:rPr>
        <w:t>、环境影响叠加</w:t>
      </w:r>
    </w:p>
    <w:p>
      <w:pPr>
        <w:pStyle w:val="BodyText"/>
        <w:spacing w:line="364" w:lineRule="auto" w:before="160"/>
        <w:ind w:left="231" w:right="221" w:firstLine="479"/>
      </w:pPr>
      <w:r>
        <w:rPr>
          <w:spacing w:val="-31"/>
          <w:position w:val="2"/>
        </w:rPr>
        <w:t>表 </w:t>
      </w:r>
      <w:r>
        <w:rPr>
          <w:rFonts w:ascii="Times New Roman" w:eastAsia="Times New Roman"/>
          <w:position w:val="2"/>
        </w:rPr>
        <w:t>7.2.1-13 </w:t>
      </w:r>
      <w:r>
        <w:rPr>
          <w:spacing w:val="-4"/>
          <w:position w:val="2"/>
        </w:rPr>
        <w:t>分别给出了不同预测时段本项目排放的甲酸、</w:t>
      </w:r>
      <w:r>
        <w:rPr>
          <w:rFonts w:ascii="Times New Roman" w:eastAsia="Times New Roman"/>
          <w:position w:val="2"/>
        </w:rPr>
        <w:t>PM</w:t>
      </w:r>
      <w:r>
        <w:rPr>
          <w:rFonts w:ascii="Times New Roman" w:eastAsia="Times New Roman"/>
          <w:sz w:val="16"/>
        </w:rPr>
        <w:t>10 </w:t>
      </w:r>
      <w:r>
        <w:rPr>
          <w:spacing w:val="-30"/>
          <w:position w:val="2"/>
        </w:rPr>
        <w:t>和 </w:t>
      </w:r>
      <w:r>
        <w:rPr>
          <w:rFonts w:ascii="Times New Roman" w:eastAsia="Times New Roman"/>
          <w:position w:val="2"/>
        </w:rPr>
        <w:t>TSP </w:t>
      </w:r>
      <w:r>
        <w:rPr>
          <w:spacing w:val="-2"/>
          <w:position w:val="2"/>
        </w:rPr>
        <w:t>的贡献浓度叠</w:t>
      </w:r>
      <w:r>
        <w:rPr/>
        <w:t>加区域其他拟建、在建污染源、环境质量现状浓度后的预测值情况。</w:t>
      </w:r>
    </w:p>
    <w:p>
      <w:pPr>
        <w:pStyle w:val="Heading4"/>
        <w:tabs>
          <w:tab w:pos="4501" w:val="left" w:leader="none"/>
        </w:tabs>
        <w:spacing w:before="142" w:after="28"/>
        <w:ind w:left="3160"/>
      </w:pPr>
      <w:r>
        <w:rPr/>
        <w:t>表</w:t>
      </w:r>
      <w:r>
        <w:rPr>
          <w:spacing w:val="-60"/>
        </w:rPr>
        <w:t> </w:t>
      </w:r>
      <w:r>
        <w:rPr>
          <w:rFonts w:ascii="Times New Roman" w:eastAsia="Times New Roman"/>
        </w:rPr>
        <w:t>7.2.1-13</w:t>
        <w:tab/>
      </w:r>
      <w:r>
        <w:rPr/>
        <w:t>环境影响叠加结果</w:t>
      </w:r>
    </w:p>
    <w:tbl>
      <w:tblPr>
        <w:tblW w:w="0" w:type="auto"/>
        <w:jc w:val="left"/>
        <w:tblInd w:w="2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05"/>
        <w:gridCol w:w="1104"/>
        <w:gridCol w:w="1539"/>
        <w:gridCol w:w="2048"/>
        <w:gridCol w:w="1114"/>
        <w:gridCol w:w="1064"/>
        <w:gridCol w:w="1122"/>
        <w:gridCol w:w="593"/>
      </w:tblGrid>
      <w:tr>
        <w:trPr>
          <w:trHeight w:val="815" w:hRule="atLeast"/>
        </w:trPr>
        <w:tc>
          <w:tcPr>
            <w:tcW w:w="605" w:type="dxa"/>
          </w:tcPr>
          <w:p>
            <w:pPr>
              <w:pStyle w:val="TableParagraph"/>
              <w:spacing w:before="3"/>
              <w:jc w:val="left"/>
              <w:rPr>
                <w:b/>
                <w:sz w:val="21"/>
              </w:rPr>
            </w:pPr>
          </w:p>
          <w:p>
            <w:pPr>
              <w:pStyle w:val="TableParagraph"/>
              <w:ind w:left="91"/>
              <w:jc w:val="left"/>
              <w:rPr>
                <w:b/>
                <w:sz w:val="21"/>
              </w:rPr>
            </w:pPr>
            <w:r>
              <w:rPr>
                <w:b/>
                <w:sz w:val="21"/>
              </w:rPr>
              <w:t>项目</w:t>
            </w:r>
          </w:p>
        </w:tc>
        <w:tc>
          <w:tcPr>
            <w:tcW w:w="1104" w:type="dxa"/>
          </w:tcPr>
          <w:p>
            <w:pPr>
              <w:pStyle w:val="TableParagraph"/>
              <w:spacing w:before="3"/>
              <w:jc w:val="left"/>
              <w:rPr>
                <w:b/>
                <w:sz w:val="21"/>
              </w:rPr>
            </w:pPr>
          </w:p>
          <w:p>
            <w:pPr>
              <w:pStyle w:val="TableParagraph"/>
              <w:ind w:left="234"/>
              <w:jc w:val="left"/>
              <w:rPr>
                <w:b/>
                <w:sz w:val="21"/>
              </w:rPr>
            </w:pPr>
            <w:r>
              <w:rPr>
                <w:b/>
                <w:sz w:val="21"/>
              </w:rPr>
              <w:t>预测点</w:t>
            </w:r>
          </w:p>
        </w:tc>
        <w:tc>
          <w:tcPr>
            <w:tcW w:w="1539" w:type="dxa"/>
          </w:tcPr>
          <w:p>
            <w:pPr>
              <w:pStyle w:val="TableParagraph"/>
              <w:spacing w:before="3"/>
              <w:jc w:val="left"/>
              <w:rPr>
                <w:b/>
                <w:sz w:val="21"/>
              </w:rPr>
            </w:pPr>
          </w:p>
          <w:p>
            <w:pPr>
              <w:pStyle w:val="TableParagraph"/>
              <w:ind w:left="120" w:right="114"/>
              <w:rPr>
                <w:b/>
                <w:sz w:val="21"/>
              </w:rPr>
            </w:pPr>
            <w:r>
              <w:rPr>
                <w:b/>
                <w:sz w:val="21"/>
              </w:rPr>
              <w:t>平均时段</w:t>
            </w:r>
          </w:p>
        </w:tc>
        <w:tc>
          <w:tcPr>
            <w:tcW w:w="2048" w:type="dxa"/>
          </w:tcPr>
          <w:p>
            <w:pPr>
              <w:pStyle w:val="TableParagraph"/>
              <w:spacing w:line="242" w:lineRule="auto" w:before="1"/>
              <w:ind w:left="38" w:right="34" w:firstLine="2"/>
              <w:rPr>
                <w:b/>
                <w:sz w:val="21"/>
              </w:rPr>
            </w:pPr>
            <w:r>
              <w:rPr>
                <w:b/>
                <w:sz w:val="21"/>
              </w:rPr>
              <w:t>项目贡献值</w:t>
            </w:r>
            <w:r>
              <w:rPr>
                <w:rFonts w:ascii="Times New Roman" w:eastAsia="Times New Roman"/>
                <w:b/>
                <w:sz w:val="21"/>
              </w:rPr>
              <w:t>+</w:t>
            </w:r>
            <w:r>
              <w:rPr>
                <w:b/>
                <w:sz w:val="21"/>
              </w:rPr>
              <w:t>区域拟建、在建污染源</w:t>
            </w:r>
            <w:r>
              <w:rPr>
                <w:rFonts w:ascii="Times New Roman" w:eastAsia="Times New Roman"/>
                <w:b/>
                <w:sz w:val="21"/>
              </w:rPr>
              <w:t>-</w:t>
            </w:r>
            <w:r>
              <w:rPr>
                <w:b/>
                <w:sz w:val="21"/>
              </w:rPr>
              <w:t>区域</w:t>
            </w:r>
          </w:p>
          <w:p>
            <w:pPr>
              <w:pStyle w:val="TableParagraph"/>
              <w:spacing w:line="250" w:lineRule="exact" w:before="1"/>
              <w:ind w:left="183" w:right="182"/>
              <w:rPr>
                <w:b/>
                <w:sz w:val="21"/>
              </w:rPr>
            </w:pPr>
            <w:r>
              <w:rPr>
                <w:b/>
                <w:sz w:val="21"/>
              </w:rPr>
              <w:t>削减源（</w:t>
            </w:r>
            <w:r>
              <w:rPr>
                <w:rFonts w:ascii="Times New Roman" w:eastAsia="Times New Roman"/>
                <w:b/>
                <w:sz w:val="21"/>
              </w:rPr>
              <w:t>mg/m</w:t>
            </w:r>
            <w:r>
              <w:rPr>
                <w:rFonts w:ascii="Times New Roman" w:eastAsia="Times New Roman"/>
                <w:b/>
                <w:position w:val="7"/>
                <w:sz w:val="14"/>
              </w:rPr>
              <w:t>3</w:t>
            </w:r>
            <w:r>
              <w:rPr>
                <w:b/>
                <w:sz w:val="21"/>
              </w:rPr>
              <w:t>）</w:t>
            </w:r>
          </w:p>
        </w:tc>
        <w:tc>
          <w:tcPr>
            <w:tcW w:w="1114" w:type="dxa"/>
          </w:tcPr>
          <w:p>
            <w:pPr>
              <w:pStyle w:val="TableParagraph"/>
              <w:spacing w:before="138"/>
              <w:ind w:left="31" w:right="32"/>
              <w:rPr>
                <w:b/>
                <w:sz w:val="21"/>
              </w:rPr>
            </w:pPr>
            <w:r>
              <w:rPr>
                <w:b/>
                <w:sz w:val="21"/>
              </w:rPr>
              <w:t>背景值</w:t>
            </w:r>
          </w:p>
          <w:p>
            <w:pPr>
              <w:pStyle w:val="TableParagraph"/>
              <w:spacing w:before="2"/>
              <w:ind w:left="31" w:right="33"/>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064" w:type="dxa"/>
          </w:tcPr>
          <w:p>
            <w:pPr>
              <w:pStyle w:val="TableParagraph"/>
              <w:spacing w:before="138"/>
              <w:ind w:left="7" w:right="7"/>
              <w:rPr>
                <w:b/>
                <w:sz w:val="21"/>
              </w:rPr>
            </w:pPr>
            <w:r>
              <w:rPr>
                <w:b/>
                <w:sz w:val="21"/>
              </w:rPr>
              <w:t>叠加值</w:t>
            </w:r>
          </w:p>
          <w:p>
            <w:pPr>
              <w:pStyle w:val="TableParagraph"/>
              <w:spacing w:before="2"/>
              <w:ind w:left="7" w:right="7"/>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122" w:type="dxa"/>
          </w:tcPr>
          <w:p>
            <w:pPr>
              <w:pStyle w:val="TableParagraph"/>
              <w:spacing w:line="242" w:lineRule="auto" w:before="138"/>
              <w:ind w:left="137" w:right="27" w:hanging="106"/>
              <w:jc w:val="left"/>
              <w:rPr>
                <w:b/>
                <w:sz w:val="21"/>
              </w:rPr>
            </w:pPr>
            <w:r>
              <w:rPr>
                <w:b/>
                <w:sz w:val="21"/>
              </w:rPr>
              <w:t>叠加值占标率（</w:t>
            </w:r>
            <w:r>
              <w:rPr>
                <w:rFonts w:ascii="Times New Roman" w:eastAsia="Times New Roman"/>
                <w:b/>
                <w:sz w:val="21"/>
              </w:rPr>
              <w:t>%</w:t>
            </w:r>
            <w:r>
              <w:rPr>
                <w:b/>
                <w:sz w:val="21"/>
              </w:rPr>
              <w:t>）</w:t>
            </w:r>
          </w:p>
        </w:tc>
        <w:tc>
          <w:tcPr>
            <w:tcW w:w="593" w:type="dxa"/>
          </w:tcPr>
          <w:p>
            <w:pPr>
              <w:pStyle w:val="TableParagraph"/>
              <w:spacing w:line="242" w:lineRule="auto" w:before="138"/>
              <w:ind w:left="83" w:right="79"/>
              <w:jc w:val="left"/>
              <w:rPr>
                <w:b/>
                <w:sz w:val="21"/>
              </w:rPr>
            </w:pPr>
            <w:r>
              <w:rPr>
                <w:b/>
                <w:sz w:val="21"/>
              </w:rPr>
              <w:t>达标情况</w:t>
            </w:r>
          </w:p>
        </w:tc>
      </w:tr>
      <w:tr>
        <w:trPr>
          <w:trHeight w:val="273" w:hRule="atLeast"/>
        </w:trPr>
        <w:tc>
          <w:tcPr>
            <w:tcW w:w="605" w:type="dxa"/>
            <w:vMerge w:val="restart"/>
          </w:tcPr>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4"/>
              </w:rPr>
            </w:pPr>
          </w:p>
          <w:p>
            <w:pPr>
              <w:pStyle w:val="TableParagraph"/>
              <w:jc w:val="left"/>
              <w:rPr>
                <w:b/>
                <w:sz w:val="22"/>
              </w:rPr>
            </w:pPr>
          </w:p>
          <w:p>
            <w:pPr>
              <w:pStyle w:val="TableParagraph"/>
              <w:ind w:left="74"/>
              <w:jc w:val="left"/>
              <w:rPr>
                <w:rFonts w:ascii="Times New Roman"/>
                <w:sz w:val="14"/>
              </w:rPr>
            </w:pPr>
            <w:r>
              <w:rPr>
                <w:rFonts w:ascii="Times New Roman"/>
                <w:position w:val="2"/>
                <w:sz w:val="21"/>
              </w:rPr>
              <w:t>PM</w:t>
            </w:r>
            <w:r>
              <w:rPr>
                <w:rFonts w:ascii="Times New Roman"/>
                <w:sz w:val="14"/>
              </w:rPr>
              <w:t>10</w:t>
            </w:r>
          </w:p>
        </w:tc>
        <w:tc>
          <w:tcPr>
            <w:tcW w:w="1104" w:type="dxa"/>
            <w:vMerge w:val="restart"/>
          </w:tcPr>
          <w:p>
            <w:pPr>
              <w:pStyle w:val="TableParagraph"/>
              <w:spacing w:before="3"/>
              <w:ind w:left="112" w:right="106"/>
              <w:rPr>
                <w:sz w:val="21"/>
              </w:rPr>
            </w:pPr>
            <w:r>
              <w:rPr>
                <w:sz w:val="21"/>
              </w:rPr>
              <w:t>开发区生</w:t>
            </w:r>
          </w:p>
          <w:p>
            <w:pPr>
              <w:pStyle w:val="TableParagraph"/>
              <w:spacing w:line="252" w:lineRule="exact" w:before="5"/>
              <w:ind w:left="110" w:right="106"/>
              <w:rPr>
                <w:sz w:val="21"/>
              </w:rPr>
            </w:pPr>
            <w:r>
              <w:rPr>
                <w:sz w:val="21"/>
              </w:rPr>
              <w:t>活区</w:t>
            </w:r>
          </w:p>
        </w:tc>
        <w:tc>
          <w:tcPr>
            <w:tcW w:w="1539" w:type="dxa"/>
          </w:tcPr>
          <w:p>
            <w:pPr>
              <w:pStyle w:val="TableParagraph"/>
              <w:spacing w:line="252"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3.44E-04</w:t>
            </w:r>
          </w:p>
        </w:tc>
        <w:tc>
          <w:tcPr>
            <w:tcW w:w="1114" w:type="dxa"/>
          </w:tcPr>
          <w:p>
            <w:pPr>
              <w:pStyle w:val="TableParagraph"/>
              <w:ind w:left="31" w:right="32"/>
              <w:rPr>
                <w:rFonts w:ascii="Times New Roman"/>
                <w:sz w:val="21"/>
              </w:rPr>
            </w:pPr>
            <w:r>
              <w:rPr>
                <w:rFonts w:ascii="Times New Roman"/>
                <w:sz w:val="21"/>
              </w:rPr>
              <w:t>9.40E-02</w:t>
            </w:r>
          </w:p>
        </w:tc>
        <w:tc>
          <w:tcPr>
            <w:tcW w:w="1064" w:type="dxa"/>
          </w:tcPr>
          <w:p>
            <w:pPr>
              <w:pStyle w:val="TableParagraph"/>
              <w:ind w:left="7" w:right="7"/>
              <w:rPr>
                <w:rFonts w:ascii="Times New Roman"/>
                <w:sz w:val="21"/>
              </w:rPr>
            </w:pPr>
            <w:r>
              <w:rPr>
                <w:rFonts w:ascii="Times New Roman"/>
                <w:sz w:val="21"/>
              </w:rPr>
              <w:t>9.43E-02</w:t>
            </w:r>
          </w:p>
        </w:tc>
        <w:tc>
          <w:tcPr>
            <w:tcW w:w="1122" w:type="dxa"/>
          </w:tcPr>
          <w:p>
            <w:pPr>
              <w:pStyle w:val="TableParagraph"/>
              <w:ind w:left="303" w:right="300"/>
              <w:rPr>
                <w:rFonts w:ascii="Times New Roman"/>
                <w:sz w:val="21"/>
              </w:rPr>
            </w:pPr>
            <w:r>
              <w:rPr>
                <w:rFonts w:ascii="Times New Roman"/>
                <w:sz w:val="21"/>
              </w:rPr>
              <w:t>62.90</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1.09E-04</w:t>
            </w:r>
          </w:p>
        </w:tc>
        <w:tc>
          <w:tcPr>
            <w:tcW w:w="1114" w:type="dxa"/>
          </w:tcPr>
          <w:p>
            <w:pPr>
              <w:pStyle w:val="TableParagraph"/>
              <w:ind w:left="31" w:right="32"/>
              <w:rPr>
                <w:rFonts w:ascii="Times New Roman"/>
                <w:sz w:val="21"/>
              </w:rPr>
            </w:pPr>
            <w:r>
              <w:rPr>
                <w:rFonts w:ascii="Times New Roman"/>
                <w:sz w:val="21"/>
              </w:rPr>
              <w:t>4.50E-02</w:t>
            </w:r>
          </w:p>
        </w:tc>
        <w:tc>
          <w:tcPr>
            <w:tcW w:w="1064" w:type="dxa"/>
          </w:tcPr>
          <w:p>
            <w:pPr>
              <w:pStyle w:val="TableParagraph"/>
              <w:ind w:left="7" w:right="7"/>
              <w:rPr>
                <w:rFonts w:ascii="Times New Roman"/>
                <w:sz w:val="21"/>
              </w:rPr>
            </w:pPr>
            <w:r>
              <w:rPr>
                <w:rFonts w:ascii="Times New Roman"/>
                <w:sz w:val="21"/>
              </w:rPr>
              <w:t>4.51E-02</w:t>
            </w:r>
          </w:p>
        </w:tc>
        <w:tc>
          <w:tcPr>
            <w:tcW w:w="1122" w:type="dxa"/>
          </w:tcPr>
          <w:p>
            <w:pPr>
              <w:pStyle w:val="TableParagraph"/>
              <w:ind w:left="303" w:right="300"/>
              <w:rPr>
                <w:rFonts w:ascii="Times New Roman"/>
                <w:sz w:val="21"/>
              </w:rPr>
            </w:pPr>
            <w:r>
              <w:rPr>
                <w:rFonts w:ascii="Times New Roman"/>
                <w:sz w:val="21"/>
              </w:rPr>
              <w:t>64.44</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联合村</w:t>
            </w:r>
          </w:p>
        </w:tc>
        <w:tc>
          <w:tcPr>
            <w:tcW w:w="1539" w:type="dxa"/>
          </w:tcPr>
          <w:p>
            <w:pPr>
              <w:pStyle w:val="TableParagraph"/>
              <w:spacing w:line="252"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2.76E-04</w:t>
            </w:r>
          </w:p>
        </w:tc>
        <w:tc>
          <w:tcPr>
            <w:tcW w:w="1114" w:type="dxa"/>
          </w:tcPr>
          <w:p>
            <w:pPr>
              <w:pStyle w:val="TableParagraph"/>
              <w:ind w:left="31" w:right="32"/>
              <w:rPr>
                <w:rFonts w:ascii="Times New Roman"/>
                <w:sz w:val="21"/>
              </w:rPr>
            </w:pPr>
            <w:r>
              <w:rPr>
                <w:rFonts w:ascii="Times New Roman"/>
                <w:sz w:val="21"/>
              </w:rPr>
              <w:t>9.40E-02</w:t>
            </w:r>
          </w:p>
        </w:tc>
        <w:tc>
          <w:tcPr>
            <w:tcW w:w="1064" w:type="dxa"/>
          </w:tcPr>
          <w:p>
            <w:pPr>
              <w:pStyle w:val="TableParagraph"/>
              <w:ind w:left="7" w:right="7"/>
              <w:rPr>
                <w:rFonts w:ascii="Times New Roman"/>
                <w:sz w:val="21"/>
              </w:rPr>
            </w:pPr>
            <w:r>
              <w:rPr>
                <w:rFonts w:ascii="Times New Roman"/>
                <w:sz w:val="21"/>
              </w:rPr>
              <w:t>9.43E-02</w:t>
            </w:r>
          </w:p>
        </w:tc>
        <w:tc>
          <w:tcPr>
            <w:tcW w:w="1122" w:type="dxa"/>
          </w:tcPr>
          <w:p>
            <w:pPr>
              <w:pStyle w:val="TableParagraph"/>
              <w:ind w:left="303" w:right="300"/>
              <w:rPr>
                <w:rFonts w:ascii="Times New Roman"/>
                <w:sz w:val="21"/>
              </w:rPr>
            </w:pPr>
            <w:r>
              <w:rPr>
                <w:rFonts w:ascii="Times New Roman"/>
                <w:sz w:val="21"/>
              </w:rPr>
              <w:t>62.85</w:t>
            </w:r>
          </w:p>
        </w:tc>
        <w:tc>
          <w:tcPr>
            <w:tcW w:w="593" w:type="dxa"/>
          </w:tcPr>
          <w:p>
            <w:pPr>
              <w:pStyle w:val="TableParagraph"/>
              <w:spacing w:line="252"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2"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8.60E-05</w:t>
            </w:r>
          </w:p>
        </w:tc>
        <w:tc>
          <w:tcPr>
            <w:tcW w:w="1114" w:type="dxa"/>
          </w:tcPr>
          <w:p>
            <w:pPr>
              <w:pStyle w:val="TableParagraph"/>
              <w:ind w:left="31" w:right="32"/>
              <w:rPr>
                <w:rFonts w:ascii="Times New Roman"/>
                <w:sz w:val="21"/>
              </w:rPr>
            </w:pPr>
            <w:r>
              <w:rPr>
                <w:rFonts w:ascii="Times New Roman"/>
                <w:sz w:val="21"/>
              </w:rPr>
              <w:t>4.50E-02</w:t>
            </w:r>
          </w:p>
        </w:tc>
        <w:tc>
          <w:tcPr>
            <w:tcW w:w="1064" w:type="dxa"/>
          </w:tcPr>
          <w:p>
            <w:pPr>
              <w:pStyle w:val="TableParagraph"/>
              <w:ind w:left="7" w:right="7"/>
              <w:rPr>
                <w:rFonts w:ascii="Times New Roman"/>
                <w:sz w:val="21"/>
              </w:rPr>
            </w:pPr>
            <w:r>
              <w:rPr>
                <w:rFonts w:ascii="Times New Roman"/>
                <w:sz w:val="21"/>
              </w:rPr>
              <w:t>4.51E-02</w:t>
            </w:r>
          </w:p>
        </w:tc>
        <w:tc>
          <w:tcPr>
            <w:tcW w:w="1122" w:type="dxa"/>
          </w:tcPr>
          <w:p>
            <w:pPr>
              <w:pStyle w:val="TableParagraph"/>
              <w:ind w:left="303" w:right="300"/>
              <w:rPr>
                <w:rFonts w:ascii="Times New Roman"/>
                <w:sz w:val="21"/>
              </w:rPr>
            </w:pPr>
            <w:r>
              <w:rPr>
                <w:rFonts w:ascii="Times New Roman"/>
                <w:sz w:val="21"/>
              </w:rPr>
              <w:t>64.41</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vMerge w:val="restart"/>
          </w:tcPr>
          <w:p>
            <w:pPr>
              <w:pStyle w:val="TableParagraph"/>
              <w:spacing w:before="138"/>
              <w:ind w:left="234"/>
              <w:jc w:val="left"/>
              <w:rPr>
                <w:sz w:val="21"/>
              </w:rPr>
            </w:pPr>
            <w:r>
              <w:rPr>
                <w:sz w:val="21"/>
              </w:rPr>
              <w:t>珠海村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spacing w:line="240" w:lineRule="exact"/>
              <w:ind w:left="183" w:right="178"/>
              <w:rPr>
                <w:rFonts w:ascii="Times New Roman"/>
                <w:sz w:val="21"/>
              </w:rPr>
            </w:pPr>
            <w:r>
              <w:rPr>
                <w:rFonts w:ascii="Times New Roman"/>
                <w:sz w:val="21"/>
              </w:rPr>
              <w:t>2.22E-04</w:t>
            </w:r>
          </w:p>
        </w:tc>
        <w:tc>
          <w:tcPr>
            <w:tcW w:w="1114" w:type="dxa"/>
          </w:tcPr>
          <w:p>
            <w:pPr>
              <w:pStyle w:val="TableParagraph"/>
              <w:spacing w:line="240" w:lineRule="exact"/>
              <w:ind w:left="31" w:right="32"/>
              <w:rPr>
                <w:rFonts w:ascii="Times New Roman"/>
                <w:sz w:val="21"/>
              </w:rPr>
            </w:pPr>
            <w:r>
              <w:rPr>
                <w:rFonts w:ascii="Times New Roman"/>
                <w:sz w:val="21"/>
              </w:rPr>
              <w:t>9.40E-02</w:t>
            </w:r>
          </w:p>
        </w:tc>
        <w:tc>
          <w:tcPr>
            <w:tcW w:w="1064" w:type="dxa"/>
          </w:tcPr>
          <w:p>
            <w:pPr>
              <w:pStyle w:val="TableParagraph"/>
              <w:spacing w:line="240" w:lineRule="exact"/>
              <w:ind w:left="7" w:right="7"/>
              <w:rPr>
                <w:rFonts w:ascii="Times New Roman"/>
                <w:sz w:val="21"/>
              </w:rPr>
            </w:pPr>
            <w:r>
              <w:rPr>
                <w:rFonts w:ascii="Times New Roman"/>
                <w:sz w:val="21"/>
              </w:rPr>
              <w:t>9.42E-02</w:t>
            </w:r>
          </w:p>
        </w:tc>
        <w:tc>
          <w:tcPr>
            <w:tcW w:w="1122" w:type="dxa"/>
          </w:tcPr>
          <w:p>
            <w:pPr>
              <w:pStyle w:val="TableParagraph"/>
              <w:spacing w:line="240" w:lineRule="exact"/>
              <w:ind w:left="303" w:right="300"/>
              <w:rPr>
                <w:rFonts w:ascii="Times New Roman"/>
                <w:sz w:val="21"/>
              </w:rPr>
            </w:pPr>
            <w:r>
              <w:rPr>
                <w:rFonts w:ascii="Times New Roman"/>
                <w:sz w:val="21"/>
              </w:rPr>
              <w:t>62.81</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3"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7.10E-05</w:t>
            </w:r>
          </w:p>
        </w:tc>
        <w:tc>
          <w:tcPr>
            <w:tcW w:w="1114" w:type="dxa"/>
          </w:tcPr>
          <w:p>
            <w:pPr>
              <w:pStyle w:val="TableParagraph"/>
              <w:ind w:left="31" w:right="32"/>
              <w:rPr>
                <w:rFonts w:ascii="Times New Roman"/>
                <w:sz w:val="21"/>
              </w:rPr>
            </w:pPr>
            <w:r>
              <w:rPr>
                <w:rFonts w:ascii="Times New Roman"/>
                <w:sz w:val="21"/>
              </w:rPr>
              <w:t>4.50E-02</w:t>
            </w:r>
          </w:p>
        </w:tc>
        <w:tc>
          <w:tcPr>
            <w:tcW w:w="1064" w:type="dxa"/>
          </w:tcPr>
          <w:p>
            <w:pPr>
              <w:pStyle w:val="TableParagraph"/>
              <w:ind w:left="7" w:right="7"/>
              <w:rPr>
                <w:rFonts w:ascii="Times New Roman"/>
                <w:sz w:val="21"/>
              </w:rPr>
            </w:pPr>
            <w:r>
              <w:rPr>
                <w:rFonts w:ascii="Times New Roman"/>
                <w:sz w:val="21"/>
              </w:rPr>
              <w:t>4.51E-02</w:t>
            </w:r>
          </w:p>
        </w:tc>
        <w:tc>
          <w:tcPr>
            <w:tcW w:w="1122" w:type="dxa"/>
          </w:tcPr>
          <w:p>
            <w:pPr>
              <w:pStyle w:val="TableParagraph"/>
              <w:ind w:left="303" w:right="300"/>
              <w:rPr>
                <w:rFonts w:ascii="Times New Roman"/>
                <w:sz w:val="21"/>
              </w:rPr>
            </w:pPr>
            <w:r>
              <w:rPr>
                <w:rFonts w:ascii="Times New Roman"/>
                <w:sz w:val="21"/>
              </w:rPr>
              <w:t>64.39</w:t>
            </w:r>
          </w:p>
        </w:tc>
        <w:tc>
          <w:tcPr>
            <w:tcW w:w="593" w:type="dxa"/>
          </w:tcPr>
          <w:p>
            <w:pPr>
              <w:pStyle w:val="TableParagraph"/>
              <w:spacing w:line="253"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丰棉村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spacing w:line="240" w:lineRule="exact"/>
              <w:ind w:left="183" w:right="178"/>
              <w:rPr>
                <w:rFonts w:ascii="Times New Roman"/>
                <w:sz w:val="21"/>
              </w:rPr>
            </w:pPr>
            <w:r>
              <w:rPr>
                <w:rFonts w:ascii="Times New Roman"/>
                <w:sz w:val="21"/>
              </w:rPr>
              <w:t>1.62E-04</w:t>
            </w:r>
          </w:p>
        </w:tc>
        <w:tc>
          <w:tcPr>
            <w:tcW w:w="1114" w:type="dxa"/>
          </w:tcPr>
          <w:p>
            <w:pPr>
              <w:pStyle w:val="TableParagraph"/>
              <w:spacing w:line="240" w:lineRule="exact"/>
              <w:ind w:left="31" w:right="32"/>
              <w:rPr>
                <w:rFonts w:ascii="Times New Roman"/>
                <w:sz w:val="21"/>
              </w:rPr>
            </w:pPr>
            <w:r>
              <w:rPr>
                <w:rFonts w:ascii="Times New Roman"/>
                <w:sz w:val="21"/>
              </w:rPr>
              <w:t>9.40E-02</w:t>
            </w:r>
          </w:p>
        </w:tc>
        <w:tc>
          <w:tcPr>
            <w:tcW w:w="1064" w:type="dxa"/>
          </w:tcPr>
          <w:p>
            <w:pPr>
              <w:pStyle w:val="TableParagraph"/>
              <w:spacing w:line="240" w:lineRule="exact"/>
              <w:ind w:left="7" w:right="7"/>
              <w:rPr>
                <w:rFonts w:ascii="Times New Roman"/>
                <w:sz w:val="21"/>
              </w:rPr>
            </w:pPr>
            <w:r>
              <w:rPr>
                <w:rFonts w:ascii="Times New Roman"/>
                <w:sz w:val="21"/>
              </w:rPr>
              <w:t>9.42E-02</w:t>
            </w:r>
          </w:p>
        </w:tc>
        <w:tc>
          <w:tcPr>
            <w:tcW w:w="1122" w:type="dxa"/>
          </w:tcPr>
          <w:p>
            <w:pPr>
              <w:pStyle w:val="TableParagraph"/>
              <w:spacing w:line="240" w:lineRule="exact"/>
              <w:ind w:left="303" w:right="300"/>
              <w:rPr>
                <w:rFonts w:ascii="Times New Roman"/>
                <w:sz w:val="21"/>
              </w:rPr>
            </w:pPr>
            <w:r>
              <w:rPr>
                <w:rFonts w:ascii="Times New Roman"/>
                <w:sz w:val="21"/>
              </w:rPr>
              <w:t>62.77</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2"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4.70E-05</w:t>
            </w:r>
          </w:p>
        </w:tc>
        <w:tc>
          <w:tcPr>
            <w:tcW w:w="1114" w:type="dxa"/>
          </w:tcPr>
          <w:p>
            <w:pPr>
              <w:pStyle w:val="TableParagraph"/>
              <w:ind w:left="31" w:right="32"/>
              <w:rPr>
                <w:rFonts w:ascii="Times New Roman"/>
                <w:sz w:val="21"/>
              </w:rPr>
            </w:pPr>
            <w:r>
              <w:rPr>
                <w:rFonts w:ascii="Times New Roman"/>
                <w:sz w:val="21"/>
              </w:rPr>
              <w:t>4.50E-02</w:t>
            </w:r>
          </w:p>
        </w:tc>
        <w:tc>
          <w:tcPr>
            <w:tcW w:w="1064" w:type="dxa"/>
          </w:tcPr>
          <w:p>
            <w:pPr>
              <w:pStyle w:val="TableParagraph"/>
              <w:ind w:left="7" w:right="7"/>
              <w:rPr>
                <w:rFonts w:ascii="Times New Roman"/>
                <w:sz w:val="21"/>
              </w:rPr>
            </w:pPr>
            <w:r>
              <w:rPr>
                <w:rFonts w:ascii="Times New Roman"/>
                <w:sz w:val="21"/>
              </w:rPr>
              <w:t>4.51E-02</w:t>
            </w:r>
          </w:p>
        </w:tc>
        <w:tc>
          <w:tcPr>
            <w:tcW w:w="1122" w:type="dxa"/>
          </w:tcPr>
          <w:p>
            <w:pPr>
              <w:pStyle w:val="TableParagraph"/>
              <w:ind w:left="303" w:right="300"/>
              <w:rPr>
                <w:rFonts w:ascii="Times New Roman"/>
                <w:sz w:val="21"/>
              </w:rPr>
            </w:pPr>
            <w:r>
              <w:rPr>
                <w:rFonts w:ascii="Times New Roman"/>
                <w:sz w:val="21"/>
              </w:rPr>
              <w:t>64.35</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镇海村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spacing w:line="240" w:lineRule="exact"/>
              <w:ind w:left="183" w:right="178"/>
              <w:rPr>
                <w:rFonts w:ascii="Times New Roman"/>
                <w:sz w:val="21"/>
              </w:rPr>
            </w:pPr>
            <w:r>
              <w:rPr>
                <w:rFonts w:ascii="Times New Roman"/>
                <w:sz w:val="21"/>
              </w:rPr>
              <w:t>1.97E-04</w:t>
            </w:r>
          </w:p>
        </w:tc>
        <w:tc>
          <w:tcPr>
            <w:tcW w:w="1114" w:type="dxa"/>
          </w:tcPr>
          <w:p>
            <w:pPr>
              <w:pStyle w:val="TableParagraph"/>
              <w:spacing w:line="240" w:lineRule="exact"/>
              <w:ind w:left="31" w:right="32"/>
              <w:rPr>
                <w:rFonts w:ascii="Times New Roman"/>
                <w:sz w:val="21"/>
              </w:rPr>
            </w:pPr>
            <w:r>
              <w:rPr>
                <w:rFonts w:ascii="Times New Roman"/>
                <w:sz w:val="21"/>
              </w:rPr>
              <w:t>9.40E-02</w:t>
            </w:r>
          </w:p>
        </w:tc>
        <w:tc>
          <w:tcPr>
            <w:tcW w:w="1064" w:type="dxa"/>
          </w:tcPr>
          <w:p>
            <w:pPr>
              <w:pStyle w:val="TableParagraph"/>
              <w:spacing w:line="240" w:lineRule="exact"/>
              <w:ind w:left="7" w:right="7"/>
              <w:rPr>
                <w:rFonts w:ascii="Times New Roman"/>
                <w:sz w:val="21"/>
              </w:rPr>
            </w:pPr>
            <w:r>
              <w:rPr>
                <w:rFonts w:ascii="Times New Roman"/>
                <w:sz w:val="21"/>
              </w:rPr>
              <w:t>9.42E-02</w:t>
            </w:r>
          </w:p>
        </w:tc>
        <w:tc>
          <w:tcPr>
            <w:tcW w:w="1122" w:type="dxa"/>
          </w:tcPr>
          <w:p>
            <w:pPr>
              <w:pStyle w:val="TableParagraph"/>
              <w:spacing w:line="240" w:lineRule="exact"/>
              <w:ind w:left="303" w:right="300"/>
              <w:rPr>
                <w:rFonts w:ascii="Times New Roman"/>
                <w:sz w:val="21"/>
              </w:rPr>
            </w:pPr>
            <w:r>
              <w:rPr>
                <w:rFonts w:ascii="Times New Roman"/>
                <w:sz w:val="21"/>
              </w:rPr>
              <w:t>62.80</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2"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5.40E-05</w:t>
            </w:r>
          </w:p>
        </w:tc>
        <w:tc>
          <w:tcPr>
            <w:tcW w:w="1114" w:type="dxa"/>
          </w:tcPr>
          <w:p>
            <w:pPr>
              <w:pStyle w:val="TableParagraph"/>
              <w:ind w:left="31" w:right="32"/>
              <w:rPr>
                <w:rFonts w:ascii="Times New Roman"/>
                <w:sz w:val="21"/>
              </w:rPr>
            </w:pPr>
            <w:r>
              <w:rPr>
                <w:rFonts w:ascii="Times New Roman"/>
                <w:sz w:val="21"/>
              </w:rPr>
              <w:t>4.50E-02</w:t>
            </w:r>
          </w:p>
        </w:tc>
        <w:tc>
          <w:tcPr>
            <w:tcW w:w="1064" w:type="dxa"/>
          </w:tcPr>
          <w:p>
            <w:pPr>
              <w:pStyle w:val="TableParagraph"/>
              <w:ind w:left="7" w:right="7"/>
              <w:rPr>
                <w:rFonts w:ascii="Times New Roman"/>
                <w:sz w:val="21"/>
              </w:rPr>
            </w:pPr>
            <w:r>
              <w:rPr>
                <w:rFonts w:ascii="Times New Roman"/>
                <w:sz w:val="21"/>
              </w:rPr>
              <w:t>4.51E-02</w:t>
            </w:r>
          </w:p>
        </w:tc>
        <w:tc>
          <w:tcPr>
            <w:tcW w:w="1122" w:type="dxa"/>
          </w:tcPr>
          <w:p>
            <w:pPr>
              <w:pStyle w:val="TableParagraph"/>
              <w:ind w:left="303" w:right="300"/>
              <w:rPr>
                <w:rFonts w:ascii="Times New Roman"/>
                <w:sz w:val="21"/>
              </w:rPr>
            </w:pPr>
            <w:r>
              <w:rPr>
                <w:rFonts w:ascii="Times New Roman"/>
                <w:sz w:val="21"/>
              </w:rPr>
              <w:t>64.36</w:t>
            </w:r>
          </w:p>
        </w:tc>
        <w:tc>
          <w:tcPr>
            <w:tcW w:w="593" w:type="dxa"/>
          </w:tcPr>
          <w:p>
            <w:pPr>
              <w:pStyle w:val="TableParagraph"/>
              <w:spacing w:line="252"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镇东村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1.14E-04</w:t>
            </w:r>
          </w:p>
        </w:tc>
        <w:tc>
          <w:tcPr>
            <w:tcW w:w="1114" w:type="dxa"/>
          </w:tcPr>
          <w:p>
            <w:pPr>
              <w:pStyle w:val="TableParagraph"/>
              <w:ind w:left="31" w:right="32"/>
              <w:rPr>
                <w:rFonts w:ascii="Times New Roman"/>
                <w:sz w:val="21"/>
              </w:rPr>
            </w:pPr>
            <w:r>
              <w:rPr>
                <w:rFonts w:ascii="Times New Roman"/>
                <w:sz w:val="21"/>
              </w:rPr>
              <w:t>9.40E-02</w:t>
            </w:r>
          </w:p>
        </w:tc>
        <w:tc>
          <w:tcPr>
            <w:tcW w:w="1064" w:type="dxa"/>
          </w:tcPr>
          <w:p>
            <w:pPr>
              <w:pStyle w:val="TableParagraph"/>
              <w:ind w:left="7" w:right="7"/>
              <w:rPr>
                <w:rFonts w:ascii="Times New Roman"/>
                <w:sz w:val="21"/>
              </w:rPr>
            </w:pPr>
            <w:r>
              <w:rPr>
                <w:rFonts w:ascii="Times New Roman"/>
                <w:sz w:val="21"/>
              </w:rPr>
              <w:t>9.41E-02</w:t>
            </w:r>
          </w:p>
        </w:tc>
        <w:tc>
          <w:tcPr>
            <w:tcW w:w="1122" w:type="dxa"/>
          </w:tcPr>
          <w:p>
            <w:pPr>
              <w:pStyle w:val="TableParagraph"/>
              <w:ind w:left="303" w:right="300"/>
              <w:rPr>
                <w:rFonts w:ascii="Times New Roman"/>
                <w:sz w:val="21"/>
              </w:rPr>
            </w:pPr>
            <w:r>
              <w:rPr>
                <w:rFonts w:ascii="Times New Roman"/>
                <w:sz w:val="21"/>
              </w:rPr>
              <w:t>62.74</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3"/>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2.80E-05</w:t>
            </w:r>
          </w:p>
        </w:tc>
        <w:tc>
          <w:tcPr>
            <w:tcW w:w="1114" w:type="dxa"/>
          </w:tcPr>
          <w:p>
            <w:pPr>
              <w:pStyle w:val="TableParagraph"/>
              <w:ind w:left="31" w:right="32"/>
              <w:rPr>
                <w:rFonts w:ascii="Times New Roman"/>
                <w:sz w:val="21"/>
              </w:rPr>
            </w:pPr>
            <w:r>
              <w:rPr>
                <w:rFonts w:ascii="Times New Roman"/>
                <w:sz w:val="21"/>
              </w:rPr>
              <w:t>4.50E-02</w:t>
            </w:r>
          </w:p>
        </w:tc>
        <w:tc>
          <w:tcPr>
            <w:tcW w:w="1064" w:type="dxa"/>
          </w:tcPr>
          <w:p>
            <w:pPr>
              <w:pStyle w:val="TableParagraph"/>
              <w:ind w:left="7" w:right="7"/>
              <w:rPr>
                <w:rFonts w:ascii="Times New Roman"/>
                <w:sz w:val="21"/>
              </w:rPr>
            </w:pPr>
            <w:r>
              <w:rPr>
                <w:rFonts w:ascii="Times New Roman"/>
                <w:sz w:val="21"/>
              </w:rPr>
              <w:t>4.50E-02</w:t>
            </w:r>
          </w:p>
        </w:tc>
        <w:tc>
          <w:tcPr>
            <w:tcW w:w="1122" w:type="dxa"/>
          </w:tcPr>
          <w:p>
            <w:pPr>
              <w:pStyle w:val="TableParagraph"/>
              <w:ind w:left="303" w:right="300"/>
              <w:rPr>
                <w:rFonts w:ascii="Times New Roman"/>
                <w:sz w:val="21"/>
              </w:rPr>
            </w:pPr>
            <w:r>
              <w:rPr>
                <w:rFonts w:ascii="Times New Roman"/>
                <w:sz w:val="21"/>
              </w:rPr>
              <w:t>64.33</w:t>
            </w:r>
          </w:p>
        </w:tc>
        <w:tc>
          <w:tcPr>
            <w:tcW w:w="593" w:type="dxa"/>
          </w:tcPr>
          <w:p>
            <w:pPr>
              <w:pStyle w:val="TableParagraph"/>
              <w:spacing w:line="250" w:lineRule="exact" w:before="3"/>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val="restart"/>
          </w:tcPr>
          <w:p>
            <w:pPr>
              <w:pStyle w:val="TableParagraph"/>
              <w:spacing w:before="140"/>
              <w:ind w:left="340"/>
              <w:jc w:val="left"/>
              <w:rPr>
                <w:sz w:val="21"/>
              </w:rPr>
            </w:pPr>
            <w:r>
              <w:rPr>
                <w:sz w:val="21"/>
              </w:rPr>
              <w:t>网格</w:t>
            </w:r>
          </w:p>
        </w:tc>
        <w:tc>
          <w:tcPr>
            <w:tcW w:w="1539" w:type="dxa"/>
          </w:tcPr>
          <w:p>
            <w:pPr>
              <w:pStyle w:val="TableParagraph"/>
              <w:spacing w:line="252"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2.64E-03</w:t>
            </w:r>
          </w:p>
        </w:tc>
        <w:tc>
          <w:tcPr>
            <w:tcW w:w="1114" w:type="dxa"/>
          </w:tcPr>
          <w:p>
            <w:pPr>
              <w:pStyle w:val="TableParagraph"/>
              <w:ind w:left="31" w:right="32"/>
              <w:rPr>
                <w:rFonts w:ascii="Times New Roman"/>
                <w:sz w:val="21"/>
              </w:rPr>
            </w:pPr>
            <w:r>
              <w:rPr>
                <w:rFonts w:ascii="Times New Roman"/>
                <w:sz w:val="21"/>
              </w:rPr>
              <w:t>9.40E-02</w:t>
            </w:r>
          </w:p>
        </w:tc>
        <w:tc>
          <w:tcPr>
            <w:tcW w:w="1064" w:type="dxa"/>
          </w:tcPr>
          <w:p>
            <w:pPr>
              <w:pStyle w:val="TableParagraph"/>
              <w:ind w:left="7" w:right="7"/>
              <w:rPr>
                <w:rFonts w:ascii="Times New Roman"/>
                <w:sz w:val="21"/>
              </w:rPr>
            </w:pPr>
            <w:r>
              <w:rPr>
                <w:rFonts w:ascii="Times New Roman"/>
                <w:sz w:val="21"/>
              </w:rPr>
              <w:t>9.66E-02</w:t>
            </w:r>
          </w:p>
        </w:tc>
        <w:tc>
          <w:tcPr>
            <w:tcW w:w="1122" w:type="dxa"/>
          </w:tcPr>
          <w:p>
            <w:pPr>
              <w:pStyle w:val="TableParagraph"/>
              <w:ind w:left="303" w:right="300"/>
              <w:rPr>
                <w:rFonts w:ascii="Times New Roman"/>
                <w:sz w:val="21"/>
              </w:rPr>
            </w:pPr>
            <w:r>
              <w:rPr>
                <w:rFonts w:ascii="Times New Roman"/>
                <w:sz w:val="21"/>
              </w:rPr>
              <w:t>64.43</w:t>
            </w:r>
          </w:p>
        </w:tc>
        <w:tc>
          <w:tcPr>
            <w:tcW w:w="593" w:type="dxa"/>
          </w:tcPr>
          <w:p>
            <w:pPr>
              <w:pStyle w:val="TableParagraph"/>
              <w:spacing w:line="252"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1"/>
              <w:ind w:left="120" w:right="114"/>
              <w:rPr>
                <w:sz w:val="21"/>
              </w:rPr>
            </w:pPr>
            <w:r>
              <w:rPr>
                <w:sz w:val="21"/>
              </w:rPr>
              <w:t>年平均</w:t>
            </w:r>
          </w:p>
        </w:tc>
        <w:tc>
          <w:tcPr>
            <w:tcW w:w="2048" w:type="dxa"/>
          </w:tcPr>
          <w:p>
            <w:pPr>
              <w:pStyle w:val="TableParagraph"/>
              <w:spacing w:line="240" w:lineRule="exact"/>
              <w:ind w:left="183" w:right="178"/>
              <w:rPr>
                <w:rFonts w:ascii="Times New Roman"/>
                <w:sz w:val="21"/>
              </w:rPr>
            </w:pPr>
            <w:r>
              <w:rPr>
                <w:rFonts w:ascii="Times New Roman"/>
                <w:sz w:val="21"/>
              </w:rPr>
              <w:t>7.27E-04</w:t>
            </w:r>
          </w:p>
        </w:tc>
        <w:tc>
          <w:tcPr>
            <w:tcW w:w="1114" w:type="dxa"/>
          </w:tcPr>
          <w:p>
            <w:pPr>
              <w:pStyle w:val="TableParagraph"/>
              <w:spacing w:line="240" w:lineRule="exact"/>
              <w:ind w:left="31" w:right="32"/>
              <w:rPr>
                <w:rFonts w:ascii="Times New Roman"/>
                <w:sz w:val="21"/>
              </w:rPr>
            </w:pPr>
            <w:r>
              <w:rPr>
                <w:rFonts w:ascii="Times New Roman"/>
                <w:sz w:val="21"/>
              </w:rPr>
              <w:t>4.50E-02</w:t>
            </w:r>
          </w:p>
        </w:tc>
        <w:tc>
          <w:tcPr>
            <w:tcW w:w="1064" w:type="dxa"/>
          </w:tcPr>
          <w:p>
            <w:pPr>
              <w:pStyle w:val="TableParagraph"/>
              <w:spacing w:line="240" w:lineRule="exact"/>
              <w:ind w:left="7" w:right="7"/>
              <w:rPr>
                <w:rFonts w:ascii="Times New Roman"/>
                <w:sz w:val="21"/>
              </w:rPr>
            </w:pPr>
            <w:r>
              <w:rPr>
                <w:rFonts w:ascii="Times New Roman"/>
                <w:sz w:val="21"/>
              </w:rPr>
              <w:t>4.57E-02</w:t>
            </w:r>
          </w:p>
        </w:tc>
        <w:tc>
          <w:tcPr>
            <w:tcW w:w="1122" w:type="dxa"/>
          </w:tcPr>
          <w:p>
            <w:pPr>
              <w:pStyle w:val="TableParagraph"/>
              <w:spacing w:line="240" w:lineRule="exact"/>
              <w:ind w:left="303" w:right="300"/>
              <w:rPr>
                <w:rFonts w:ascii="Times New Roman"/>
                <w:sz w:val="21"/>
              </w:rPr>
            </w:pPr>
            <w:r>
              <w:rPr>
                <w:rFonts w:ascii="Times New Roman"/>
                <w:sz w:val="21"/>
              </w:rPr>
              <w:t>65.32</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val="restart"/>
          </w:tcPr>
          <w:p>
            <w:pPr>
              <w:pStyle w:val="TableParagraph"/>
              <w:spacing w:before="154"/>
              <w:ind w:left="115"/>
              <w:jc w:val="left"/>
              <w:rPr>
                <w:rFonts w:ascii="Times New Roman"/>
                <w:sz w:val="21"/>
              </w:rPr>
            </w:pPr>
            <w:r>
              <w:rPr>
                <w:rFonts w:ascii="Times New Roman"/>
                <w:sz w:val="21"/>
              </w:rPr>
              <w:t>TSP</w:t>
            </w:r>
          </w:p>
        </w:tc>
        <w:tc>
          <w:tcPr>
            <w:tcW w:w="1104" w:type="dxa"/>
            <w:vMerge w:val="restart"/>
          </w:tcPr>
          <w:p>
            <w:pPr>
              <w:pStyle w:val="TableParagraph"/>
              <w:spacing w:before="3"/>
              <w:ind w:left="112" w:right="106"/>
              <w:rPr>
                <w:sz w:val="21"/>
              </w:rPr>
            </w:pPr>
            <w:r>
              <w:rPr>
                <w:sz w:val="21"/>
              </w:rPr>
              <w:t>开发区生</w:t>
            </w:r>
          </w:p>
          <w:p>
            <w:pPr>
              <w:pStyle w:val="TableParagraph"/>
              <w:spacing w:line="252" w:lineRule="exact" w:before="5"/>
              <w:ind w:left="110" w:right="106"/>
              <w:rPr>
                <w:sz w:val="21"/>
              </w:rPr>
            </w:pPr>
            <w:r>
              <w:rPr>
                <w:sz w:val="21"/>
              </w:rPr>
              <w:t>活区</w:t>
            </w:r>
          </w:p>
        </w:tc>
        <w:tc>
          <w:tcPr>
            <w:tcW w:w="1539" w:type="dxa"/>
          </w:tcPr>
          <w:p>
            <w:pPr>
              <w:pStyle w:val="TableParagraph"/>
              <w:spacing w:line="252"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1.06E-03</w:t>
            </w:r>
          </w:p>
        </w:tc>
        <w:tc>
          <w:tcPr>
            <w:tcW w:w="1114" w:type="dxa"/>
          </w:tcPr>
          <w:p>
            <w:pPr>
              <w:pStyle w:val="TableParagraph"/>
              <w:ind w:left="31" w:right="32"/>
              <w:rPr>
                <w:rFonts w:ascii="Times New Roman"/>
                <w:sz w:val="21"/>
              </w:rPr>
            </w:pPr>
            <w:r>
              <w:rPr>
                <w:rFonts w:ascii="Times New Roman"/>
                <w:sz w:val="21"/>
              </w:rPr>
              <w:t>1.61E-01</w:t>
            </w:r>
          </w:p>
        </w:tc>
        <w:tc>
          <w:tcPr>
            <w:tcW w:w="1064" w:type="dxa"/>
          </w:tcPr>
          <w:p>
            <w:pPr>
              <w:pStyle w:val="TableParagraph"/>
              <w:ind w:left="7" w:right="7"/>
              <w:rPr>
                <w:rFonts w:ascii="Times New Roman"/>
                <w:sz w:val="21"/>
              </w:rPr>
            </w:pPr>
            <w:r>
              <w:rPr>
                <w:rFonts w:ascii="Times New Roman"/>
                <w:sz w:val="21"/>
              </w:rPr>
              <w:t>1.62E-01</w:t>
            </w:r>
          </w:p>
        </w:tc>
        <w:tc>
          <w:tcPr>
            <w:tcW w:w="1122" w:type="dxa"/>
          </w:tcPr>
          <w:p>
            <w:pPr>
              <w:pStyle w:val="TableParagraph"/>
              <w:ind w:left="303" w:right="300"/>
              <w:rPr>
                <w:rFonts w:ascii="Times New Roman"/>
                <w:sz w:val="21"/>
              </w:rPr>
            </w:pPr>
            <w:r>
              <w:rPr>
                <w:rFonts w:ascii="Times New Roman"/>
                <w:sz w:val="21"/>
              </w:rPr>
              <w:t>53.85</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1"/>
              <w:ind w:left="120" w:right="114"/>
              <w:rPr>
                <w:sz w:val="21"/>
              </w:rPr>
            </w:pPr>
            <w:r>
              <w:rPr>
                <w:sz w:val="21"/>
              </w:rPr>
              <w:t>年平均</w:t>
            </w:r>
          </w:p>
        </w:tc>
        <w:tc>
          <w:tcPr>
            <w:tcW w:w="2048" w:type="dxa"/>
          </w:tcPr>
          <w:p>
            <w:pPr>
              <w:pStyle w:val="TableParagraph"/>
              <w:spacing w:line="240" w:lineRule="exact"/>
              <w:ind w:left="183" w:right="178"/>
              <w:rPr>
                <w:rFonts w:ascii="Times New Roman"/>
                <w:sz w:val="21"/>
              </w:rPr>
            </w:pPr>
            <w:r>
              <w:rPr>
                <w:rFonts w:ascii="Times New Roman"/>
                <w:sz w:val="21"/>
              </w:rPr>
              <w:t>3.00E-04</w:t>
            </w:r>
          </w:p>
        </w:tc>
        <w:tc>
          <w:tcPr>
            <w:tcW w:w="1114" w:type="dxa"/>
          </w:tcPr>
          <w:p>
            <w:pPr>
              <w:pStyle w:val="TableParagraph"/>
              <w:spacing w:line="240" w:lineRule="exact"/>
              <w:rPr>
                <w:rFonts w:ascii="Times New Roman"/>
                <w:sz w:val="21"/>
              </w:rPr>
            </w:pPr>
            <w:r>
              <w:rPr>
                <w:rFonts w:ascii="Times New Roman"/>
                <w:w w:val="100"/>
                <w:sz w:val="21"/>
              </w:rPr>
              <w:t>/</w:t>
            </w:r>
          </w:p>
        </w:tc>
        <w:tc>
          <w:tcPr>
            <w:tcW w:w="1064" w:type="dxa"/>
          </w:tcPr>
          <w:p>
            <w:pPr>
              <w:pStyle w:val="TableParagraph"/>
              <w:spacing w:line="240" w:lineRule="exact"/>
              <w:ind w:left="7" w:right="7"/>
              <w:rPr>
                <w:rFonts w:ascii="Times New Roman"/>
                <w:sz w:val="21"/>
              </w:rPr>
            </w:pPr>
            <w:r>
              <w:rPr>
                <w:rFonts w:ascii="Times New Roman"/>
                <w:sz w:val="21"/>
              </w:rPr>
              <w:t>3.00E-04</w:t>
            </w:r>
          </w:p>
        </w:tc>
        <w:tc>
          <w:tcPr>
            <w:tcW w:w="1122" w:type="dxa"/>
          </w:tcPr>
          <w:p>
            <w:pPr>
              <w:pStyle w:val="TableParagraph"/>
              <w:spacing w:line="240" w:lineRule="exact"/>
              <w:ind w:left="303" w:right="300"/>
              <w:rPr>
                <w:rFonts w:ascii="Times New Roman"/>
                <w:sz w:val="21"/>
              </w:rPr>
            </w:pPr>
            <w:r>
              <w:rPr>
                <w:rFonts w:ascii="Times New Roman"/>
                <w:sz w:val="21"/>
              </w:rPr>
              <w:t>0.15</w:t>
            </w:r>
          </w:p>
        </w:tc>
        <w:tc>
          <w:tcPr>
            <w:tcW w:w="593" w:type="dxa"/>
          </w:tcPr>
          <w:p>
            <w:pPr>
              <w:pStyle w:val="TableParagraph"/>
              <w:spacing w:line="250" w:lineRule="exact" w:before="1"/>
              <w:ind w:left="65" w:right="63"/>
              <w:rPr>
                <w:sz w:val="21"/>
              </w:rPr>
            </w:pPr>
            <w:r>
              <w:rPr>
                <w:sz w:val="21"/>
              </w:rPr>
              <w:t>达标</w:t>
            </w:r>
          </w:p>
        </w:tc>
      </w:tr>
    </w:tbl>
    <w:p>
      <w:pPr>
        <w:spacing w:after="0" w:line="250" w:lineRule="exact"/>
        <w:rPr>
          <w:sz w:val="21"/>
        </w:rPr>
        <w:sectPr>
          <w:pgSz w:w="11910" w:h="16850"/>
          <w:pgMar w:header="1004" w:footer="1088" w:top="1360" w:bottom="1280" w:left="1300" w:right="1020"/>
        </w:sectPr>
      </w:pPr>
    </w:p>
    <w:p>
      <w:pPr>
        <w:pStyle w:val="BodyText"/>
        <w:spacing w:before="9"/>
        <w:rPr>
          <w:b/>
          <w:sz w:val="4"/>
        </w:rPr>
      </w:pPr>
    </w:p>
    <w:tbl>
      <w:tblPr>
        <w:tblW w:w="0" w:type="auto"/>
        <w:jc w:val="left"/>
        <w:tblInd w:w="2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05"/>
        <w:gridCol w:w="1104"/>
        <w:gridCol w:w="1539"/>
        <w:gridCol w:w="2048"/>
        <w:gridCol w:w="1114"/>
        <w:gridCol w:w="1064"/>
        <w:gridCol w:w="1122"/>
        <w:gridCol w:w="593"/>
      </w:tblGrid>
      <w:tr>
        <w:trPr>
          <w:trHeight w:val="818" w:hRule="atLeast"/>
        </w:trPr>
        <w:tc>
          <w:tcPr>
            <w:tcW w:w="605" w:type="dxa"/>
          </w:tcPr>
          <w:p>
            <w:pPr>
              <w:pStyle w:val="TableParagraph"/>
              <w:spacing w:before="6"/>
              <w:jc w:val="left"/>
              <w:rPr>
                <w:b/>
                <w:sz w:val="21"/>
              </w:rPr>
            </w:pPr>
          </w:p>
          <w:p>
            <w:pPr>
              <w:pStyle w:val="TableParagraph"/>
              <w:ind w:left="91"/>
              <w:jc w:val="left"/>
              <w:rPr>
                <w:b/>
                <w:sz w:val="21"/>
              </w:rPr>
            </w:pPr>
            <w:r>
              <w:rPr>
                <w:b/>
                <w:sz w:val="21"/>
              </w:rPr>
              <w:t>项目</w:t>
            </w:r>
          </w:p>
        </w:tc>
        <w:tc>
          <w:tcPr>
            <w:tcW w:w="1104" w:type="dxa"/>
          </w:tcPr>
          <w:p>
            <w:pPr>
              <w:pStyle w:val="TableParagraph"/>
              <w:spacing w:before="6"/>
              <w:jc w:val="left"/>
              <w:rPr>
                <w:b/>
                <w:sz w:val="21"/>
              </w:rPr>
            </w:pPr>
          </w:p>
          <w:p>
            <w:pPr>
              <w:pStyle w:val="TableParagraph"/>
              <w:ind w:left="110" w:right="106"/>
              <w:rPr>
                <w:b/>
                <w:sz w:val="21"/>
              </w:rPr>
            </w:pPr>
            <w:r>
              <w:rPr>
                <w:b/>
                <w:sz w:val="21"/>
              </w:rPr>
              <w:t>预测点</w:t>
            </w:r>
          </w:p>
        </w:tc>
        <w:tc>
          <w:tcPr>
            <w:tcW w:w="1539" w:type="dxa"/>
          </w:tcPr>
          <w:p>
            <w:pPr>
              <w:pStyle w:val="TableParagraph"/>
              <w:spacing w:before="6"/>
              <w:jc w:val="left"/>
              <w:rPr>
                <w:b/>
                <w:sz w:val="21"/>
              </w:rPr>
            </w:pPr>
          </w:p>
          <w:p>
            <w:pPr>
              <w:pStyle w:val="TableParagraph"/>
              <w:ind w:left="120" w:right="114"/>
              <w:rPr>
                <w:b/>
                <w:sz w:val="21"/>
              </w:rPr>
            </w:pPr>
            <w:r>
              <w:rPr>
                <w:b/>
                <w:sz w:val="21"/>
              </w:rPr>
              <w:t>平均时段</w:t>
            </w:r>
          </w:p>
        </w:tc>
        <w:tc>
          <w:tcPr>
            <w:tcW w:w="2048" w:type="dxa"/>
          </w:tcPr>
          <w:p>
            <w:pPr>
              <w:pStyle w:val="TableParagraph"/>
              <w:spacing w:before="1"/>
              <w:ind w:left="38" w:firstLine="81"/>
              <w:jc w:val="left"/>
              <w:rPr>
                <w:b/>
                <w:sz w:val="21"/>
              </w:rPr>
            </w:pPr>
            <w:r>
              <w:rPr>
                <w:b/>
                <w:sz w:val="21"/>
              </w:rPr>
              <w:t>项目贡献值</w:t>
            </w:r>
            <w:r>
              <w:rPr>
                <w:rFonts w:ascii="Times New Roman" w:eastAsia="Times New Roman"/>
                <w:b/>
                <w:sz w:val="21"/>
              </w:rPr>
              <w:t>+</w:t>
            </w:r>
            <w:r>
              <w:rPr>
                <w:b/>
                <w:sz w:val="21"/>
              </w:rPr>
              <w:t>区域拟</w:t>
            </w:r>
          </w:p>
          <w:p>
            <w:pPr>
              <w:pStyle w:val="TableParagraph"/>
              <w:spacing w:line="270" w:lineRule="atLeast" w:before="4"/>
              <w:ind w:left="203" w:right="34" w:hanging="166"/>
              <w:jc w:val="left"/>
              <w:rPr>
                <w:b/>
                <w:sz w:val="21"/>
              </w:rPr>
            </w:pPr>
            <w:r>
              <w:rPr>
                <w:b/>
                <w:sz w:val="21"/>
              </w:rPr>
              <w:t>建、在建污染源</w:t>
            </w:r>
            <w:r>
              <w:rPr>
                <w:rFonts w:ascii="Times New Roman" w:eastAsia="Times New Roman"/>
                <w:b/>
                <w:sz w:val="21"/>
              </w:rPr>
              <w:t>-</w:t>
            </w:r>
            <w:r>
              <w:rPr>
                <w:b/>
                <w:sz w:val="21"/>
              </w:rPr>
              <w:t>区域削减源（</w:t>
            </w:r>
            <w:r>
              <w:rPr>
                <w:rFonts w:ascii="Times New Roman" w:eastAsia="Times New Roman"/>
                <w:b/>
                <w:sz w:val="21"/>
              </w:rPr>
              <w:t>mg/m</w:t>
            </w:r>
            <w:r>
              <w:rPr>
                <w:rFonts w:ascii="Times New Roman" w:eastAsia="Times New Roman"/>
                <w:b/>
                <w:position w:val="7"/>
                <w:sz w:val="14"/>
              </w:rPr>
              <w:t>3</w:t>
            </w:r>
            <w:r>
              <w:rPr>
                <w:b/>
                <w:sz w:val="21"/>
              </w:rPr>
              <w:t>）</w:t>
            </w:r>
          </w:p>
        </w:tc>
        <w:tc>
          <w:tcPr>
            <w:tcW w:w="1114" w:type="dxa"/>
          </w:tcPr>
          <w:p>
            <w:pPr>
              <w:pStyle w:val="TableParagraph"/>
              <w:spacing w:before="138"/>
              <w:ind w:left="31" w:right="32"/>
              <w:rPr>
                <w:b/>
                <w:sz w:val="21"/>
              </w:rPr>
            </w:pPr>
            <w:r>
              <w:rPr>
                <w:b/>
                <w:sz w:val="21"/>
              </w:rPr>
              <w:t>背景值</w:t>
            </w:r>
          </w:p>
          <w:p>
            <w:pPr>
              <w:pStyle w:val="TableParagraph"/>
              <w:spacing w:before="2"/>
              <w:ind w:left="31" w:right="33"/>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064" w:type="dxa"/>
          </w:tcPr>
          <w:p>
            <w:pPr>
              <w:pStyle w:val="TableParagraph"/>
              <w:spacing w:before="138"/>
              <w:ind w:left="7" w:right="7"/>
              <w:rPr>
                <w:b/>
                <w:sz w:val="21"/>
              </w:rPr>
            </w:pPr>
            <w:r>
              <w:rPr>
                <w:b/>
                <w:sz w:val="21"/>
              </w:rPr>
              <w:t>叠加值</w:t>
            </w:r>
          </w:p>
          <w:p>
            <w:pPr>
              <w:pStyle w:val="TableParagraph"/>
              <w:spacing w:before="2"/>
              <w:ind w:left="7" w:right="7"/>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122" w:type="dxa"/>
          </w:tcPr>
          <w:p>
            <w:pPr>
              <w:pStyle w:val="TableParagraph"/>
              <w:spacing w:line="242" w:lineRule="auto" w:before="138"/>
              <w:ind w:left="137" w:right="27" w:hanging="106"/>
              <w:jc w:val="left"/>
              <w:rPr>
                <w:b/>
                <w:sz w:val="21"/>
              </w:rPr>
            </w:pPr>
            <w:r>
              <w:rPr>
                <w:b/>
                <w:sz w:val="21"/>
              </w:rPr>
              <w:t>叠加值占标率（</w:t>
            </w:r>
            <w:r>
              <w:rPr>
                <w:rFonts w:ascii="Times New Roman" w:eastAsia="Times New Roman"/>
                <w:b/>
                <w:sz w:val="21"/>
              </w:rPr>
              <w:t>%</w:t>
            </w:r>
            <w:r>
              <w:rPr>
                <w:b/>
                <w:sz w:val="21"/>
              </w:rPr>
              <w:t>）</w:t>
            </w:r>
          </w:p>
        </w:tc>
        <w:tc>
          <w:tcPr>
            <w:tcW w:w="593" w:type="dxa"/>
          </w:tcPr>
          <w:p>
            <w:pPr>
              <w:pStyle w:val="TableParagraph"/>
              <w:spacing w:line="242" w:lineRule="auto" w:before="138"/>
              <w:ind w:left="83" w:right="79"/>
              <w:jc w:val="left"/>
              <w:rPr>
                <w:b/>
                <w:sz w:val="21"/>
              </w:rPr>
            </w:pPr>
            <w:r>
              <w:rPr>
                <w:b/>
                <w:sz w:val="21"/>
              </w:rPr>
              <w:t>达标情况</w:t>
            </w:r>
          </w:p>
        </w:tc>
      </w:tr>
      <w:tr>
        <w:trPr>
          <w:trHeight w:val="271" w:hRule="atLeast"/>
        </w:trPr>
        <w:tc>
          <w:tcPr>
            <w:tcW w:w="605" w:type="dxa"/>
            <w:vMerge w:val="restart"/>
          </w:tcPr>
          <w:p>
            <w:pPr>
              <w:pStyle w:val="TableParagraph"/>
              <w:jc w:val="left"/>
              <w:rPr>
                <w:rFonts w:ascii="Times New Roman"/>
                <w:sz w:val="20"/>
              </w:rPr>
            </w:pPr>
          </w:p>
        </w:tc>
        <w:tc>
          <w:tcPr>
            <w:tcW w:w="1104" w:type="dxa"/>
            <w:vMerge w:val="restart"/>
          </w:tcPr>
          <w:p>
            <w:pPr>
              <w:pStyle w:val="TableParagraph"/>
              <w:spacing w:before="138"/>
              <w:ind w:left="234"/>
              <w:jc w:val="left"/>
              <w:rPr>
                <w:sz w:val="21"/>
              </w:rPr>
            </w:pPr>
            <w:r>
              <w:rPr>
                <w:sz w:val="21"/>
              </w:rPr>
              <w:t>联合村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spacing w:line="240" w:lineRule="exact"/>
              <w:ind w:left="183" w:right="178"/>
              <w:rPr>
                <w:rFonts w:ascii="Times New Roman"/>
                <w:sz w:val="21"/>
              </w:rPr>
            </w:pPr>
            <w:r>
              <w:rPr>
                <w:rFonts w:ascii="Times New Roman"/>
                <w:sz w:val="21"/>
              </w:rPr>
              <w:t>6.82E-04</w:t>
            </w:r>
          </w:p>
        </w:tc>
        <w:tc>
          <w:tcPr>
            <w:tcW w:w="1114" w:type="dxa"/>
          </w:tcPr>
          <w:p>
            <w:pPr>
              <w:pStyle w:val="TableParagraph"/>
              <w:spacing w:line="240" w:lineRule="exact"/>
              <w:ind w:left="31" w:right="32"/>
              <w:rPr>
                <w:rFonts w:ascii="Times New Roman"/>
                <w:sz w:val="21"/>
              </w:rPr>
            </w:pPr>
            <w:r>
              <w:rPr>
                <w:rFonts w:ascii="Times New Roman"/>
                <w:sz w:val="21"/>
              </w:rPr>
              <w:t>1.61E-01</w:t>
            </w:r>
          </w:p>
        </w:tc>
        <w:tc>
          <w:tcPr>
            <w:tcW w:w="1064" w:type="dxa"/>
          </w:tcPr>
          <w:p>
            <w:pPr>
              <w:pStyle w:val="TableParagraph"/>
              <w:spacing w:line="240" w:lineRule="exact"/>
              <w:ind w:left="7" w:right="7"/>
              <w:rPr>
                <w:rFonts w:ascii="Times New Roman"/>
                <w:sz w:val="21"/>
              </w:rPr>
            </w:pPr>
            <w:r>
              <w:rPr>
                <w:rFonts w:ascii="Times New Roman"/>
                <w:sz w:val="21"/>
              </w:rPr>
              <w:t>1.61E-01</w:t>
            </w:r>
          </w:p>
        </w:tc>
        <w:tc>
          <w:tcPr>
            <w:tcW w:w="1122" w:type="dxa"/>
          </w:tcPr>
          <w:p>
            <w:pPr>
              <w:pStyle w:val="TableParagraph"/>
              <w:spacing w:line="240" w:lineRule="exact"/>
              <w:ind w:left="303" w:right="300"/>
              <w:rPr>
                <w:rFonts w:ascii="Times New Roman"/>
                <w:sz w:val="21"/>
              </w:rPr>
            </w:pPr>
            <w:r>
              <w:rPr>
                <w:rFonts w:ascii="Times New Roman"/>
                <w:sz w:val="21"/>
              </w:rPr>
              <w:t>53.73</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2"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2.15E-04</w:t>
            </w:r>
          </w:p>
        </w:tc>
        <w:tc>
          <w:tcPr>
            <w:tcW w:w="1114" w:type="dxa"/>
          </w:tcPr>
          <w:p>
            <w:pPr>
              <w:pStyle w:val="TableParagraph"/>
              <w:rPr>
                <w:rFonts w:ascii="Times New Roman"/>
                <w:sz w:val="21"/>
              </w:rPr>
            </w:pPr>
            <w:r>
              <w:rPr>
                <w:rFonts w:ascii="Times New Roman"/>
                <w:w w:val="100"/>
                <w:sz w:val="21"/>
              </w:rPr>
              <w:t>/</w:t>
            </w:r>
          </w:p>
        </w:tc>
        <w:tc>
          <w:tcPr>
            <w:tcW w:w="1064" w:type="dxa"/>
          </w:tcPr>
          <w:p>
            <w:pPr>
              <w:pStyle w:val="TableParagraph"/>
              <w:ind w:left="7" w:right="7"/>
              <w:rPr>
                <w:rFonts w:ascii="Times New Roman"/>
                <w:sz w:val="21"/>
              </w:rPr>
            </w:pPr>
            <w:r>
              <w:rPr>
                <w:rFonts w:ascii="Times New Roman"/>
                <w:sz w:val="21"/>
              </w:rPr>
              <w:t>2.15E-04</w:t>
            </w:r>
          </w:p>
        </w:tc>
        <w:tc>
          <w:tcPr>
            <w:tcW w:w="1122" w:type="dxa"/>
          </w:tcPr>
          <w:p>
            <w:pPr>
              <w:pStyle w:val="TableParagraph"/>
              <w:ind w:left="303" w:right="298"/>
              <w:rPr>
                <w:rFonts w:ascii="Times New Roman"/>
                <w:sz w:val="21"/>
              </w:rPr>
            </w:pPr>
            <w:r>
              <w:rPr>
                <w:rFonts w:ascii="Times New Roman"/>
                <w:sz w:val="21"/>
              </w:rPr>
              <w:t>0.11</w:t>
            </w:r>
          </w:p>
        </w:tc>
        <w:tc>
          <w:tcPr>
            <w:tcW w:w="593" w:type="dxa"/>
          </w:tcPr>
          <w:p>
            <w:pPr>
              <w:pStyle w:val="TableParagraph"/>
              <w:spacing w:line="252"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vMerge w:val="restart"/>
          </w:tcPr>
          <w:p>
            <w:pPr>
              <w:pStyle w:val="TableParagraph"/>
              <w:spacing w:before="138"/>
              <w:ind w:left="234"/>
              <w:jc w:val="left"/>
              <w:rPr>
                <w:sz w:val="21"/>
              </w:rPr>
            </w:pPr>
            <w:r>
              <w:rPr>
                <w:sz w:val="21"/>
              </w:rPr>
              <w:t>珠海村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spacing w:line="240" w:lineRule="exact"/>
              <w:ind w:left="183" w:right="178"/>
              <w:rPr>
                <w:rFonts w:ascii="Times New Roman"/>
                <w:sz w:val="21"/>
              </w:rPr>
            </w:pPr>
            <w:r>
              <w:rPr>
                <w:rFonts w:ascii="Times New Roman"/>
                <w:sz w:val="21"/>
              </w:rPr>
              <w:t>7.55E-04</w:t>
            </w:r>
          </w:p>
        </w:tc>
        <w:tc>
          <w:tcPr>
            <w:tcW w:w="1114" w:type="dxa"/>
          </w:tcPr>
          <w:p>
            <w:pPr>
              <w:pStyle w:val="TableParagraph"/>
              <w:spacing w:line="240" w:lineRule="exact"/>
              <w:ind w:left="31" w:right="32"/>
              <w:rPr>
                <w:rFonts w:ascii="Times New Roman"/>
                <w:sz w:val="21"/>
              </w:rPr>
            </w:pPr>
            <w:r>
              <w:rPr>
                <w:rFonts w:ascii="Times New Roman"/>
                <w:sz w:val="21"/>
              </w:rPr>
              <w:t>1.61E-01</w:t>
            </w:r>
          </w:p>
        </w:tc>
        <w:tc>
          <w:tcPr>
            <w:tcW w:w="1064" w:type="dxa"/>
          </w:tcPr>
          <w:p>
            <w:pPr>
              <w:pStyle w:val="TableParagraph"/>
              <w:spacing w:line="240" w:lineRule="exact"/>
              <w:ind w:left="7" w:right="7"/>
              <w:rPr>
                <w:rFonts w:ascii="Times New Roman"/>
                <w:sz w:val="21"/>
              </w:rPr>
            </w:pPr>
            <w:r>
              <w:rPr>
                <w:rFonts w:ascii="Times New Roman"/>
                <w:sz w:val="21"/>
              </w:rPr>
              <w:t>1.61E-01</w:t>
            </w:r>
          </w:p>
        </w:tc>
        <w:tc>
          <w:tcPr>
            <w:tcW w:w="1122" w:type="dxa"/>
          </w:tcPr>
          <w:p>
            <w:pPr>
              <w:pStyle w:val="TableParagraph"/>
              <w:spacing w:line="240" w:lineRule="exact"/>
              <w:ind w:left="303" w:right="300"/>
              <w:rPr>
                <w:rFonts w:ascii="Times New Roman"/>
                <w:sz w:val="21"/>
              </w:rPr>
            </w:pPr>
            <w:r>
              <w:rPr>
                <w:rFonts w:ascii="Times New Roman"/>
                <w:sz w:val="21"/>
              </w:rPr>
              <w:t>53.75</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2"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2.16E-04</w:t>
            </w:r>
          </w:p>
        </w:tc>
        <w:tc>
          <w:tcPr>
            <w:tcW w:w="1114" w:type="dxa"/>
          </w:tcPr>
          <w:p>
            <w:pPr>
              <w:pStyle w:val="TableParagraph"/>
              <w:rPr>
                <w:rFonts w:ascii="Times New Roman"/>
                <w:sz w:val="21"/>
              </w:rPr>
            </w:pPr>
            <w:r>
              <w:rPr>
                <w:rFonts w:ascii="Times New Roman"/>
                <w:w w:val="100"/>
                <w:sz w:val="21"/>
              </w:rPr>
              <w:t>/</w:t>
            </w:r>
          </w:p>
        </w:tc>
        <w:tc>
          <w:tcPr>
            <w:tcW w:w="1064" w:type="dxa"/>
          </w:tcPr>
          <w:p>
            <w:pPr>
              <w:pStyle w:val="TableParagraph"/>
              <w:ind w:left="7" w:right="7"/>
              <w:rPr>
                <w:rFonts w:ascii="Times New Roman"/>
                <w:sz w:val="21"/>
              </w:rPr>
            </w:pPr>
            <w:r>
              <w:rPr>
                <w:rFonts w:ascii="Times New Roman"/>
                <w:sz w:val="21"/>
              </w:rPr>
              <w:t>2.16E-04</w:t>
            </w:r>
          </w:p>
        </w:tc>
        <w:tc>
          <w:tcPr>
            <w:tcW w:w="1122" w:type="dxa"/>
          </w:tcPr>
          <w:p>
            <w:pPr>
              <w:pStyle w:val="TableParagraph"/>
              <w:ind w:left="303" w:right="298"/>
              <w:rPr>
                <w:rFonts w:ascii="Times New Roman"/>
                <w:sz w:val="21"/>
              </w:rPr>
            </w:pPr>
            <w:r>
              <w:rPr>
                <w:rFonts w:ascii="Times New Roman"/>
                <w:sz w:val="21"/>
              </w:rPr>
              <w:t>0.11</w:t>
            </w:r>
          </w:p>
        </w:tc>
        <w:tc>
          <w:tcPr>
            <w:tcW w:w="593" w:type="dxa"/>
          </w:tcPr>
          <w:p>
            <w:pPr>
              <w:pStyle w:val="TableParagraph"/>
              <w:spacing w:line="252"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丰棉村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spacing w:line="240" w:lineRule="exact"/>
              <w:ind w:left="183" w:right="178"/>
              <w:rPr>
                <w:rFonts w:ascii="Times New Roman"/>
                <w:sz w:val="21"/>
              </w:rPr>
            </w:pPr>
            <w:r>
              <w:rPr>
                <w:rFonts w:ascii="Times New Roman"/>
                <w:sz w:val="21"/>
              </w:rPr>
              <w:t>7.51E-04</w:t>
            </w:r>
          </w:p>
        </w:tc>
        <w:tc>
          <w:tcPr>
            <w:tcW w:w="1114" w:type="dxa"/>
          </w:tcPr>
          <w:p>
            <w:pPr>
              <w:pStyle w:val="TableParagraph"/>
              <w:spacing w:line="240" w:lineRule="exact"/>
              <w:ind w:left="31" w:right="32"/>
              <w:rPr>
                <w:rFonts w:ascii="Times New Roman"/>
                <w:sz w:val="21"/>
              </w:rPr>
            </w:pPr>
            <w:r>
              <w:rPr>
                <w:rFonts w:ascii="Times New Roman"/>
                <w:sz w:val="21"/>
              </w:rPr>
              <w:t>1.61E-01</w:t>
            </w:r>
          </w:p>
        </w:tc>
        <w:tc>
          <w:tcPr>
            <w:tcW w:w="1064" w:type="dxa"/>
          </w:tcPr>
          <w:p>
            <w:pPr>
              <w:pStyle w:val="TableParagraph"/>
              <w:spacing w:line="240" w:lineRule="exact"/>
              <w:ind w:left="7" w:right="7"/>
              <w:rPr>
                <w:rFonts w:ascii="Times New Roman"/>
                <w:sz w:val="21"/>
              </w:rPr>
            </w:pPr>
            <w:r>
              <w:rPr>
                <w:rFonts w:ascii="Times New Roman"/>
                <w:sz w:val="21"/>
              </w:rPr>
              <w:t>1.61E-01</w:t>
            </w:r>
          </w:p>
        </w:tc>
        <w:tc>
          <w:tcPr>
            <w:tcW w:w="1122" w:type="dxa"/>
          </w:tcPr>
          <w:p>
            <w:pPr>
              <w:pStyle w:val="TableParagraph"/>
              <w:spacing w:line="240" w:lineRule="exact"/>
              <w:ind w:left="303" w:right="300"/>
              <w:rPr>
                <w:rFonts w:ascii="Times New Roman"/>
                <w:sz w:val="21"/>
              </w:rPr>
            </w:pPr>
            <w:r>
              <w:rPr>
                <w:rFonts w:ascii="Times New Roman"/>
                <w:sz w:val="21"/>
              </w:rPr>
              <w:t>53.75</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2" w:lineRule="exact" w:before="1"/>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1.67E-04</w:t>
            </w:r>
          </w:p>
        </w:tc>
        <w:tc>
          <w:tcPr>
            <w:tcW w:w="1114" w:type="dxa"/>
          </w:tcPr>
          <w:p>
            <w:pPr>
              <w:pStyle w:val="TableParagraph"/>
              <w:rPr>
                <w:rFonts w:ascii="Times New Roman"/>
                <w:sz w:val="21"/>
              </w:rPr>
            </w:pPr>
            <w:r>
              <w:rPr>
                <w:rFonts w:ascii="Times New Roman"/>
                <w:w w:val="100"/>
                <w:sz w:val="21"/>
              </w:rPr>
              <w:t>/</w:t>
            </w:r>
          </w:p>
        </w:tc>
        <w:tc>
          <w:tcPr>
            <w:tcW w:w="1064" w:type="dxa"/>
          </w:tcPr>
          <w:p>
            <w:pPr>
              <w:pStyle w:val="TableParagraph"/>
              <w:ind w:left="7" w:right="7"/>
              <w:rPr>
                <w:rFonts w:ascii="Times New Roman"/>
                <w:sz w:val="21"/>
              </w:rPr>
            </w:pPr>
            <w:r>
              <w:rPr>
                <w:rFonts w:ascii="Times New Roman"/>
                <w:sz w:val="21"/>
              </w:rPr>
              <w:t>1.67E-04</w:t>
            </w:r>
          </w:p>
        </w:tc>
        <w:tc>
          <w:tcPr>
            <w:tcW w:w="1122" w:type="dxa"/>
          </w:tcPr>
          <w:p>
            <w:pPr>
              <w:pStyle w:val="TableParagraph"/>
              <w:ind w:left="303" w:right="300"/>
              <w:rPr>
                <w:rFonts w:ascii="Times New Roman"/>
                <w:sz w:val="21"/>
              </w:rPr>
            </w:pPr>
            <w:r>
              <w:rPr>
                <w:rFonts w:ascii="Times New Roman"/>
                <w:sz w:val="21"/>
              </w:rPr>
              <w:t>0.09</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镇海村</w:t>
            </w:r>
          </w:p>
        </w:tc>
        <w:tc>
          <w:tcPr>
            <w:tcW w:w="1539" w:type="dxa"/>
          </w:tcPr>
          <w:p>
            <w:pPr>
              <w:pStyle w:val="TableParagraph"/>
              <w:spacing w:line="250"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1.56E-03</w:t>
            </w:r>
          </w:p>
        </w:tc>
        <w:tc>
          <w:tcPr>
            <w:tcW w:w="1114" w:type="dxa"/>
          </w:tcPr>
          <w:p>
            <w:pPr>
              <w:pStyle w:val="TableParagraph"/>
              <w:ind w:left="31" w:right="32"/>
              <w:rPr>
                <w:rFonts w:ascii="Times New Roman"/>
                <w:sz w:val="21"/>
              </w:rPr>
            </w:pPr>
            <w:r>
              <w:rPr>
                <w:rFonts w:ascii="Times New Roman"/>
                <w:sz w:val="21"/>
              </w:rPr>
              <w:t>1.61E-01</w:t>
            </w:r>
          </w:p>
        </w:tc>
        <w:tc>
          <w:tcPr>
            <w:tcW w:w="1064" w:type="dxa"/>
          </w:tcPr>
          <w:p>
            <w:pPr>
              <w:pStyle w:val="TableParagraph"/>
              <w:ind w:left="7" w:right="7"/>
              <w:rPr>
                <w:rFonts w:ascii="Times New Roman"/>
                <w:sz w:val="21"/>
              </w:rPr>
            </w:pPr>
            <w:r>
              <w:rPr>
                <w:rFonts w:ascii="Times New Roman"/>
                <w:sz w:val="21"/>
              </w:rPr>
              <w:t>1.62E-01</w:t>
            </w:r>
          </w:p>
        </w:tc>
        <w:tc>
          <w:tcPr>
            <w:tcW w:w="1122" w:type="dxa"/>
          </w:tcPr>
          <w:p>
            <w:pPr>
              <w:pStyle w:val="TableParagraph"/>
              <w:ind w:left="303" w:right="300"/>
              <w:rPr>
                <w:rFonts w:ascii="Times New Roman"/>
                <w:sz w:val="21"/>
              </w:rPr>
            </w:pPr>
            <w:r>
              <w:rPr>
                <w:rFonts w:ascii="Times New Roman"/>
                <w:sz w:val="21"/>
              </w:rPr>
              <w:t>54.02</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3"/>
              <w:ind w:left="120" w:right="114"/>
              <w:rPr>
                <w:sz w:val="21"/>
              </w:rPr>
            </w:pPr>
            <w:r>
              <w:rPr>
                <w:sz w:val="21"/>
              </w:rPr>
              <w:t>年平均</w:t>
            </w:r>
          </w:p>
        </w:tc>
        <w:tc>
          <w:tcPr>
            <w:tcW w:w="2048" w:type="dxa"/>
          </w:tcPr>
          <w:p>
            <w:pPr>
              <w:pStyle w:val="TableParagraph"/>
              <w:ind w:left="183" w:right="178"/>
              <w:rPr>
                <w:rFonts w:ascii="Times New Roman"/>
                <w:sz w:val="21"/>
              </w:rPr>
            </w:pPr>
            <w:r>
              <w:rPr>
                <w:rFonts w:ascii="Times New Roman"/>
                <w:sz w:val="21"/>
              </w:rPr>
              <w:t>3.34E-04</w:t>
            </w:r>
          </w:p>
        </w:tc>
        <w:tc>
          <w:tcPr>
            <w:tcW w:w="1114" w:type="dxa"/>
          </w:tcPr>
          <w:p>
            <w:pPr>
              <w:pStyle w:val="TableParagraph"/>
              <w:rPr>
                <w:rFonts w:ascii="Times New Roman"/>
                <w:sz w:val="21"/>
              </w:rPr>
            </w:pPr>
            <w:r>
              <w:rPr>
                <w:rFonts w:ascii="Times New Roman"/>
                <w:w w:val="100"/>
                <w:sz w:val="21"/>
              </w:rPr>
              <w:t>/</w:t>
            </w:r>
          </w:p>
        </w:tc>
        <w:tc>
          <w:tcPr>
            <w:tcW w:w="1064" w:type="dxa"/>
          </w:tcPr>
          <w:p>
            <w:pPr>
              <w:pStyle w:val="TableParagraph"/>
              <w:ind w:left="7" w:right="7"/>
              <w:rPr>
                <w:rFonts w:ascii="Times New Roman"/>
                <w:sz w:val="21"/>
              </w:rPr>
            </w:pPr>
            <w:r>
              <w:rPr>
                <w:rFonts w:ascii="Times New Roman"/>
                <w:sz w:val="21"/>
              </w:rPr>
              <w:t>3.34E-04</w:t>
            </w:r>
          </w:p>
        </w:tc>
        <w:tc>
          <w:tcPr>
            <w:tcW w:w="1122" w:type="dxa"/>
          </w:tcPr>
          <w:p>
            <w:pPr>
              <w:pStyle w:val="TableParagraph"/>
              <w:ind w:left="303" w:right="300"/>
              <w:rPr>
                <w:rFonts w:ascii="Times New Roman"/>
                <w:sz w:val="21"/>
              </w:rPr>
            </w:pPr>
            <w:r>
              <w:rPr>
                <w:rFonts w:ascii="Times New Roman"/>
                <w:sz w:val="21"/>
              </w:rPr>
              <w:t>0.17</w:t>
            </w:r>
          </w:p>
        </w:tc>
        <w:tc>
          <w:tcPr>
            <w:tcW w:w="593" w:type="dxa"/>
          </w:tcPr>
          <w:p>
            <w:pPr>
              <w:pStyle w:val="TableParagraph"/>
              <w:spacing w:line="250" w:lineRule="exact" w:before="3"/>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vMerge w:val="restart"/>
          </w:tcPr>
          <w:p>
            <w:pPr>
              <w:pStyle w:val="TableParagraph"/>
              <w:spacing w:before="140"/>
              <w:ind w:left="234"/>
              <w:jc w:val="left"/>
              <w:rPr>
                <w:sz w:val="21"/>
              </w:rPr>
            </w:pPr>
            <w:r>
              <w:rPr>
                <w:sz w:val="21"/>
              </w:rPr>
              <w:t>镇东村</w:t>
            </w:r>
          </w:p>
        </w:tc>
        <w:tc>
          <w:tcPr>
            <w:tcW w:w="1539" w:type="dxa"/>
          </w:tcPr>
          <w:p>
            <w:pPr>
              <w:pStyle w:val="TableParagraph"/>
              <w:spacing w:line="252" w:lineRule="exact" w:before="1"/>
              <w:ind w:left="120" w:right="114"/>
              <w:rPr>
                <w:sz w:val="21"/>
              </w:rPr>
            </w:pPr>
            <w:r>
              <w:rPr>
                <w:sz w:val="21"/>
              </w:rPr>
              <w:t>保证率日平均</w:t>
            </w:r>
          </w:p>
        </w:tc>
        <w:tc>
          <w:tcPr>
            <w:tcW w:w="2048" w:type="dxa"/>
          </w:tcPr>
          <w:p>
            <w:pPr>
              <w:pStyle w:val="TableParagraph"/>
              <w:ind w:left="183" w:right="178"/>
              <w:rPr>
                <w:rFonts w:ascii="Times New Roman"/>
                <w:sz w:val="21"/>
              </w:rPr>
            </w:pPr>
            <w:r>
              <w:rPr>
                <w:rFonts w:ascii="Times New Roman"/>
                <w:sz w:val="21"/>
              </w:rPr>
              <w:t>4.83E-04</w:t>
            </w:r>
          </w:p>
        </w:tc>
        <w:tc>
          <w:tcPr>
            <w:tcW w:w="1114" w:type="dxa"/>
          </w:tcPr>
          <w:p>
            <w:pPr>
              <w:pStyle w:val="TableParagraph"/>
              <w:ind w:left="31" w:right="32"/>
              <w:rPr>
                <w:rFonts w:ascii="Times New Roman"/>
                <w:sz w:val="21"/>
              </w:rPr>
            </w:pPr>
            <w:r>
              <w:rPr>
                <w:rFonts w:ascii="Times New Roman"/>
                <w:sz w:val="21"/>
              </w:rPr>
              <w:t>1.61E-01</w:t>
            </w:r>
          </w:p>
        </w:tc>
        <w:tc>
          <w:tcPr>
            <w:tcW w:w="1064" w:type="dxa"/>
          </w:tcPr>
          <w:p>
            <w:pPr>
              <w:pStyle w:val="TableParagraph"/>
              <w:ind w:left="7" w:right="7"/>
              <w:rPr>
                <w:rFonts w:ascii="Times New Roman"/>
                <w:sz w:val="21"/>
              </w:rPr>
            </w:pPr>
            <w:r>
              <w:rPr>
                <w:rFonts w:ascii="Times New Roman"/>
                <w:sz w:val="21"/>
              </w:rPr>
              <w:t>1.61E-01</w:t>
            </w:r>
          </w:p>
        </w:tc>
        <w:tc>
          <w:tcPr>
            <w:tcW w:w="1122" w:type="dxa"/>
          </w:tcPr>
          <w:p>
            <w:pPr>
              <w:pStyle w:val="TableParagraph"/>
              <w:ind w:left="303" w:right="300"/>
              <w:rPr>
                <w:rFonts w:ascii="Times New Roman"/>
                <w:sz w:val="21"/>
              </w:rPr>
            </w:pPr>
            <w:r>
              <w:rPr>
                <w:rFonts w:ascii="Times New Roman"/>
                <w:sz w:val="21"/>
              </w:rPr>
              <w:t>53.66</w:t>
            </w:r>
          </w:p>
        </w:tc>
        <w:tc>
          <w:tcPr>
            <w:tcW w:w="593" w:type="dxa"/>
          </w:tcPr>
          <w:p>
            <w:pPr>
              <w:pStyle w:val="TableParagraph"/>
              <w:spacing w:line="252"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1"/>
              <w:ind w:left="120" w:right="114"/>
              <w:rPr>
                <w:sz w:val="21"/>
              </w:rPr>
            </w:pPr>
            <w:r>
              <w:rPr>
                <w:sz w:val="21"/>
              </w:rPr>
              <w:t>年平均</w:t>
            </w:r>
          </w:p>
        </w:tc>
        <w:tc>
          <w:tcPr>
            <w:tcW w:w="2048" w:type="dxa"/>
          </w:tcPr>
          <w:p>
            <w:pPr>
              <w:pStyle w:val="TableParagraph"/>
              <w:spacing w:line="240" w:lineRule="exact"/>
              <w:ind w:left="183" w:right="178"/>
              <w:rPr>
                <w:rFonts w:ascii="Times New Roman"/>
                <w:sz w:val="21"/>
              </w:rPr>
            </w:pPr>
            <w:r>
              <w:rPr>
                <w:rFonts w:ascii="Times New Roman"/>
                <w:sz w:val="21"/>
              </w:rPr>
              <w:t>1.00E-04</w:t>
            </w:r>
          </w:p>
        </w:tc>
        <w:tc>
          <w:tcPr>
            <w:tcW w:w="1114" w:type="dxa"/>
          </w:tcPr>
          <w:p>
            <w:pPr>
              <w:pStyle w:val="TableParagraph"/>
              <w:spacing w:line="240" w:lineRule="exact"/>
              <w:rPr>
                <w:rFonts w:ascii="Times New Roman"/>
                <w:sz w:val="21"/>
              </w:rPr>
            </w:pPr>
            <w:r>
              <w:rPr>
                <w:rFonts w:ascii="Times New Roman"/>
                <w:w w:val="100"/>
                <w:sz w:val="21"/>
              </w:rPr>
              <w:t>/</w:t>
            </w:r>
          </w:p>
        </w:tc>
        <w:tc>
          <w:tcPr>
            <w:tcW w:w="1064" w:type="dxa"/>
          </w:tcPr>
          <w:p>
            <w:pPr>
              <w:pStyle w:val="TableParagraph"/>
              <w:spacing w:line="240" w:lineRule="exact"/>
              <w:ind w:left="7" w:right="7"/>
              <w:rPr>
                <w:rFonts w:ascii="Times New Roman"/>
                <w:sz w:val="21"/>
              </w:rPr>
            </w:pPr>
            <w:r>
              <w:rPr>
                <w:rFonts w:ascii="Times New Roman"/>
                <w:sz w:val="21"/>
              </w:rPr>
              <w:t>1.00E-04</w:t>
            </w:r>
          </w:p>
        </w:tc>
        <w:tc>
          <w:tcPr>
            <w:tcW w:w="1122" w:type="dxa"/>
          </w:tcPr>
          <w:p>
            <w:pPr>
              <w:pStyle w:val="TableParagraph"/>
              <w:spacing w:line="240" w:lineRule="exact"/>
              <w:ind w:left="303" w:right="300"/>
              <w:rPr>
                <w:rFonts w:ascii="Times New Roman"/>
                <w:sz w:val="21"/>
              </w:rPr>
            </w:pPr>
            <w:r>
              <w:rPr>
                <w:rFonts w:ascii="Times New Roman"/>
                <w:sz w:val="21"/>
              </w:rPr>
              <w:t>0.05</w:t>
            </w:r>
          </w:p>
        </w:tc>
        <w:tc>
          <w:tcPr>
            <w:tcW w:w="593" w:type="dxa"/>
          </w:tcPr>
          <w:p>
            <w:pPr>
              <w:pStyle w:val="TableParagraph"/>
              <w:spacing w:line="250" w:lineRule="exact" w:before="1"/>
              <w:ind w:left="65" w:right="63"/>
              <w:rPr>
                <w:sz w:val="21"/>
              </w:rPr>
            </w:pPr>
            <w:r>
              <w:rPr>
                <w:sz w:val="21"/>
              </w:rPr>
              <w:t>达标</w:t>
            </w:r>
          </w:p>
        </w:tc>
      </w:tr>
      <w:tr>
        <w:trPr>
          <w:trHeight w:val="274" w:hRule="atLeast"/>
        </w:trPr>
        <w:tc>
          <w:tcPr>
            <w:tcW w:w="605" w:type="dxa"/>
            <w:vMerge/>
            <w:tcBorders>
              <w:top w:val="nil"/>
            </w:tcBorders>
          </w:tcPr>
          <w:p>
            <w:pPr>
              <w:rPr>
                <w:sz w:val="2"/>
                <w:szCs w:val="2"/>
              </w:rPr>
            </w:pPr>
          </w:p>
        </w:tc>
        <w:tc>
          <w:tcPr>
            <w:tcW w:w="1104" w:type="dxa"/>
            <w:vMerge w:val="restart"/>
          </w:tcPr>
          <w:p>
            <w:pPr>
              <w:pStyle w:val="TableParagraph"/>
              <w:spacing w:before="141"/>
              <w:ind w:left="340"/>
              <w:jc w:val="left"/>
              <w:rPr>
                <w:sz w:val="21"/>
              </w:rPr>
            </w:pPr>
            <w:r>
              <w:rPr>
                <w:sz w:val="21"/>
              </w:rPr>
              <w:t>网格</w:t>
            </w:r>
          </w:p>
        </w:tc>
        <w:tc>
          <w:tcPr>
            <w:tcW w:w="1539" w:type="dxa"/>
          </w:tcPr>
          <w:p>
            <w:pPr>
              <w:pStyle w:val="TableParagraph"/>
              <w:spacing w:line="252" w:lineRule="exact" w:before="1"/>
              <w:ind w:left="120" w:right="114"/>
              <w:rPr>
                <w:sz w:val="21"/>
              </w:rPr>
            </w:pPr>
            <w:r>
              <w:rPr>
                <w:sz w:val="21"/>
              </w:rPr>
              <w:t>保证率日平均</w:t>
            </w:r>
          </w:p>
        </w:tc>
        <w:tc>
          <w:tcPr>
            <w:tcW w:w="2048" w:type="dxa"/>
          </w:tcPr>
          <w:p>
            <w:pPr>
              <w:pStyle w:val="TableParagraph"/>
              <w:spacing w:before="1"/>
              <w:ind w:left="183" w:right="178"/>
              <w:rPr>
                <w:rFonts w:ascii="Times New Roman"/>
                <w:sz w:val="21"/>
              </w:rPr>
            </w:pPr>
            <w:r>
              <w:rPr>
                <w:rFonts w:ascii="Times New Roman"/>
                <w:sz w:val="21"/>
              </w:rPr>
              <w:t>2.06E-02</w:t>
            </w:r>
          </w:p>
        </w:tc>
        <w:tc>
          <w:tcPr>
            <w:tcW w:w="1114" w:type="dxa"/>
          </w:tcPr>
          <w:p>
            <w:pPr>
              <w:pStyle w:val="TableParagraph"/>
              <w:spacing w:before="1"/>
              <w:ind w:left="31" w:right="32"/>
              <w:rPr>
                <w:rFonts w:ascii="Times New Roman"/>
                <w:sz w:val="21"/>
              </w:rPr>
            </w:pPr>
            <w:r>
              <w:rPr>
                <w:rFonts w:ascii="Times New Roman"/>
                <w:sz w:val="21"/>
              </w:rPr>
              <w:t>1.61E-01</w:t>
            </w:r>
          </w:p>
        </w:tc>
        <w:tc>
          <w:tcPr>
            <w:tcW w:w="1064" w:type="dxa"/>
          </w:tcPr>
          <w:p>
            <w:pPr>
              <w:pStyle w:val="TableParagraph"/>
              <w:spacing w:before="1"/>
              <w:ind w:left="7" w:right="7"/>
              <w:rPr>
                <w:rFonts w:ascii="Times New Roman"/>
                <w:sz w:val="21"/>
              </w:rPr>
            </w:pPr>
            <w:r>
              <w:rPr>
                <w:rFonts w:ascii="Times New Roman"/>
                <w:sz w:val="21"/>
              </w:rPr>
              <w:t>1.81E-01</w:t>
            </w:r>
          </w:p>
        </w:tc>
        <w:tc>
          <w:tcPr>
            <w:tcW w:w="1122" w:type="dxa"/>
          </w:tcPr>
          <w:p>
            <w:pPr>
              <w:pStyle w:val="TableParagraph"/>
              <w:spacing w:before="1"/>
              <w:ind w:left="303" w:right="300"/>
              <w:rPr>
                <w:rFonts w:ascii="Times New Roman"/>
                <w:sz w:val="21"/>
              </w:rPr>
            </w:pPr>
            <w:r>
              <w:rPr>
                <w:rFonts w:ascii="Times New Roman"/>
                <w:sz w:val="21"/>
              </w:rPr>
              <w:t>60.35</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vMerge/>
            <w:tcBorders>
              <w:top w:val="nil"/>
            </w:tcBorders>
          </w:tcPr>
          <w:p>
            <w:pPr>
              <w:rPr>
                <w:sz w:val="2"/>
                <w:szCs w:val="2"/>
              </w:rPr>
            </w:pPr>
          </w:p>
        </w:tc>
        <w:tc>
          <w:tcPr>
            <w:tcW w:w="1539" w:type="dxa"/>
          </w:tcPr>
          <w:p>
            <w:pPr>
              <w:pStyle w:val="TableParagraph"/>
              <w:spacing w:line="250" w:lineRule="exact" w:before="1"/>
              <w:ind w:left="120" w:right="114"/>
              <w:rPr>
                <w:sz w:val="21"/>
              </w:rPr>
            </w:pPr>
            <w:r>
              <w:rPr>
                <w:sz w:val="21"/>
              </w:rPr>
              <w:t>年平均</w:t>
            </w:r>
          </w:p>
        </w:tc>
        <w:tc>
          <w:tcPr>
            <w:tcW w:w="2048" w:type="dxa"/>
          </w:tcPr>
          <w:p>
            <w:pPr>
              <w:pStyle w:val="TableParagraph"/>
              <w:spacing w:line="240" w:lineRule="exact"/>
              <w:ind w:left="183" w:right="178"/>
              <w:rPr>
                <w:rFonts w:ascii="Times New Roman"/>
                <w:sz w:val="21"/>
              </w:rPr>
            </w:pPr>
            <w:r>
              <w:rPr>
                <w:rFonts w:ascii="Times New Roman"/>
                <w:sz w:val="21"/>
              </w:rPr>
              <w:t>7.48E-03</w:t>
            </w:r>
          </w:p>
        </w:tc>
        <w:tc>
          <w:tcPr>
            <w:tcW w:w="1114" w:type="dxa"/>
          </w:tcPr>
          <w:p>
            <w:pPr>
              <w:pStyle w:val="TableParagraph"/>
              <w:spacing w:line="240" w:lineRule="exact"/>
              <w:rPr>
                <w:rFonts w:ascii="Times New Roman"/>
                <w:sz w:val="21"/>
              </w:rPr>
            </w:pPr>
            <w:r>
              <w:rPr>
                <w:rFonts w:ascii="Times New Roman"/>
                <w:w w:val="100"/>
                <w:sz w:val="21"/>
              </w:rPr>
              <w:t>/</w:t>
            </w:r>
          </w:p>
        </w:tc>
        <w:tc>
          <w:tcPr>
            <w:tcW w:w="1064" w:type="dxa"/>
          </w:tcPr>
          <w:p>
            <w:pPr>
              <w:pStyle w:val="TableParagraph"/>
              <w:spacing w:line="240" w:lineRule="exact"/>
              <w:ind w:left="7" w:right="7"/>
              <w:rPr>
                <w:rFonts w:ascii="Times New Roman"/>
                <w:sz w:val="21"/>
              </w:rPr>
            </w:pPr>
            <w:r>
              <w:rPr>
                <w:rFonts w:ascii="Times New Roman"/>
                <w:sz w:val="21"/>
              </w:rPr>
              <w:t>7.48E-03</w:t>
            </w:r>
          </w:p>
        </w:tc>
        <w:tc>
          <w:tcPr>
            <w:tcW w:w="1122" w:type="dxa"/>
          </w:tcPr>
          <w:p>
            <w:pPr>
              <w:pStyle w:val="TableParagraph"/>
              <w:spacing w:line="240" w:lineRule="exact"/>
              <w:ind w:left="303" w:right="300"/>
              <w:rPr>
                <w:rFonts w:ascii="Times New Roman"/>
                <w:sz w:val="21"/>
              </w:rPr>
            </w:pPr>
            <w:r>
              <w:rPr>
                <w:rFonts w:ascii="Times New Roman"/>
                <w:sz w:val="21"/>
              </w:rPr>
              <w:t>3.74</w:t>
            </w:r>
          </w:p>
        </w:tc>
        <w:tc>
          <w:tcPr>
            <w:tcW w:w="593" w:type="dxa"/>
          </w:tcPr>
          <w:p>
            <w:pPr>
              <w:pStyle w:val="TableParagraph"/>
              <w:spacing w:line="250" w:lineRule="exact" w:before="1"/>
              <w:ind w:left="65" w:right="63"/>
              <w:rPr>
                <w:sz w:val="21"/>
              </w:rPr>
            </w:pPr>
            <w:r>
              <w:rPr>
                <w:sz w:val="21"/>
              </w:rPr>
              <w:t>达标</w:t>
            </w:r>
          </w:p>
        </w:tc>
      </w:tr>
      <w:tr>
        <w:trPr>
          <w:trHeight w:val="544" w:hRule="atLeast"/>
        </w:trPr>
        <w:tc>
          <w:tcPr>
            <w:tcW w:w="605"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9"/>
              <w:jc w:val="left"/>
              <w:rPr>
                <w:b/>
                <w:sz w:val="15"/>
              </w:rPr>
            </w:pPr>
          </w:p>
          <w:p>
            <w:pPr>
              <w:pStyle w:val="TableParagraph"/>
              <w:ind w:left="83"/>
              <w:jc w:val="left"/>
              <w:rPr>
                <w:sz w:val="21"/>
              </w:rPr>
            </w:pPr>
            <w:r>
              <w:rPr>
                <w:sz w:val="21"/>
              </w:rPr>
              <w:t>甲酸</w:t>
            </w:r>
          </w:p>
        </w:tc>
        <w:tc>
          <w:tcPr>
            <w:tcW w:w="1104" w:type="dxa"/>
          </w:tcPr>
          <w:p>
            <w:pPr>
              <w:pStyle w:val="TableParagraph"/>
              <w:spacing w:before="1"/>
              <w:ind w:left="112" w:right="106"/>
              <w:rPr>
                <w:sz w:val="21"/>
              </w:rPr>
            </w:pPr>
            <w:r>
              <w:rPr>
                <w:sz w:val="21"/>
              </w:rPr>
              <w:t>开发区生</w:t>
            </w:r>
          </w:p>
          <w:p>
            <w:pPr>
              <w:pStyle w:val="TableParagraph"/>
              <w:spacing w:line="250" w:lineRule="exact" w:before="4"/>
              <w:ind w:left="110" w:right="106"/>
              <w:rPr>
                <w:sz w:val="21"/>
              </w:rPr>
            </w:pPr>
            <w:r>
              <w:rPr>
                <w:sz w:val="21"/>
              </w:rPr>
              <w:t>活区</w:t>
            </w:r>
          </w:p>
        </w:tc>
        <w:tc>
          <w:tcPr>
            <w:tcW w:w="1539" w:type="dxa"/>
          </w:tcPr>
          <w:p>
            <w:pPr>
              <w:pStyle w:val="TableParagraph"/>
              <w:spacing w:before="138"/>
              <w:ind w:left="120" w:right="114"/>
              <w:rPr>
                <w:sz w:val="21"/>
              </w:rPr>
            </w:pPr>
            <w:r>
              <w:rPr>
                <w:rFonts w:ascii="Times New Roman" w:eastAsia="Times New Roman"/>
                <w:sz w:val="21"/>
              </w:rPr>
              <w:t>1 </w:t>
            </w:r>
            <w:r>
              <w:rPr>
                <w:sz w:val="21"/>
              </w:rPr>
              <w:t>小时</w:t>
            </w:r>
          </w:p>
        </w:tc>
        <w:tc>
          <w:tcPr>
            <w:tcW w:w="2048" w:type="dxa"/>
          </w:tcPr>
          <w:p>
            <w:pPr>
              <w:pStyle w:val="TableParagraph"/>
              <w:spacing w:before="152"/>
              <w:ind w:left="183" w:right="178"/>
              <w:rPr>
                <w:rFonts w:ascii="Times New Roman"/>
                <w:sz w:val="21"/>
              </w:rPr>
            </w:pPr>
            <w:r>
              <w:rPr>
                <w:rFonts w:ascii="Times New Roman"/>
                <w:sz w:val="21"/>
              </w:rPr>
              <w:t>2.38E-04</w:t>
            </w:r>
          </w:p>
        </w:tc>
        <w:tc>
          <w:tcPr>
            <w:tcW w:w="1114" w:type="dxa"/>
          </w:tcPr>
          <w:p>
            <w:pPr>
              <w:pStyle w:val="TableParagraph"/>
              <w:spacing w:before="152"/>
              <w:rPr>
                <w:rFonts w:ascii="Times New Roman"/>
                <w:sz w:val="21"/>
              </w:rPr>
            </w:pPr>
            <w:r>
              <w:rPr>
                <w:rFonts w:ascii="Times New Roman"/>
                <w:w w:val="100"/>
                <w:sz w:val="21"/>
              </w:rPr>
              <w:t>/</w:t>
            </w:r>
          </w:p>
        </w:tc>
        <w:tc>
          <w:tcPr>
            <w:tcW w:w="1064" w:type="dxa"/>
          </w:tcPr>
          <w:p>
            <w:pPr>
              <w:pStyle w:val="TableParagraph"/>
              <w:spacing w:before="152"/>
              <w:ind w:left="7" w:right="7"/>
              <w:rPr>
                <w:rFonts w:ascii="Times New Roman"/>
                <w:sz w:val="21"/>
              </w:rPr>
            </w:pPr>
            <w:r>
              <w:rPr>
                <w:rFonts w:ascii="Times New Roman"/>
                <w:sz w:val="21"/>
              </w:rPr>
              <w:t>2.38E-04</w:t>
            </w:r>
          </w:p>
        </w:tc>
        <w:tc>
          <w:tcPr>
            <w:tcW w:w="1122" w:type="dxa"/>
          </w:tcPr>
          <w:p>
            <w:pPr>
              <w:pStyle w:val="TableParagraph"/>
              <w:spacing w:before="152"/>
              <w:ind w:left="303" w:right="300"/>
              <w:rPr>
                <w:rFonts w:ascii="Times New Roman"/>
                <w:sz w:val="21"/>
              </w:rPr>
            </w:pPr>
            <w:r>
              <w:rPr>
                <w:rFonts w:ascii="Times New Roman"/>
                <w:sz w:val="21"/>
              </w:rPr>
              <w:t>0.38</w:t>
            </w:r>
          </w:p>
        </w:tc>
        <w:tc>
          <w:tcPr>
            <w:tcW w:w="593" w:type="dxa"/>
          </w:tcPr>
          <w:p>
            <w:pPr>
              <w:pStyle w:val="TableParagraph"/>
              <w:spacing w:before="138"/>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tcPr>
          <w:p>
            <w:pPr>
              <w:pStyle w:val="TableParagraph"/>
              <w:spacing w:line="252" w:lineRule="exact" w:before="1"/>
              <w:ind w:left="110" w:right="106"/>
              <w:rPr>
                <w:sz w:val="21"/>
              </w:rPr>
            </w:pPr>
            <w:r>
              <w:rPr>
                <w:sz w:val="21"/>
              </w:rPr>
              <w:t>联合村</w:t>
            </w:r>
          </w:p>
        </w:tc>
        <w:tc>
          <w:tcPr>
            <w:tcW w:w="1539" w:type="dxa"/>
          </w:tcPr>
          <w:p>
            <w:pPr>
              <w:pStyle w:val="TableParagraph"/>
              <w:spacing w:line="252" w:lineRule="exact" w:before="1"/>
              <w:ind w:left="120" w:right="114"/>
              <w:rPr>
                <w:sz w:val="21"/>
              </w:rPr>
            </w:pPr>
            <w:r>
              <w:rPr>
                <w:rFonts w:ascii="Times New Roman" w:eastAsia="Times New Roman"/>
                <w:sz w:val="21"/>
              </w:rPr>
              <w:t>1 </w:t>
            </w:r>
            <w:r>
              <w:rPr>
                <w:sz w:val="21"/>
              </w:rPr>
              <w:t>小时</w:t>
            </w:r>
          </w:p>
        </w:tc>
        <w:tc>
          <w:tcPr>
            <w:tcW w:w="2048" w:type="dxa"/>
          </w:tcPr>
          <w:p>
            <w:pPr>
              <w:pStyle w:val="TableParagraph"/>
              <w:spacing w:line="238" w:lineRule="exact" w:before="15"/>
              <w:ind w:left="183" w:right="178"/>
              <w:rPr>
                <w:rFonts w:ascii="Times New Roman"/>
                <w:sz w:val="21"/>
              </w:rPr>
            </w:pPr>
            <w:r>
              <w:rPr>
                <w:rFonts w:ascii="Times New Roman"/>
                <w:sz w:val="21"/>
              </w:rPr>
              <w:t>3.22E-04</w:t>
            </w:r>
          </w:p>
        </w:tc>
        <w:tc>
          <w:tcPr>
            <w:tcW w:w="1114" w:type="dxa"/>
          </w:tcPr>
          <w:p>
            <w:pPr>
              <w:pStyle w:val="TableParagraph"/>
              <w:spacing w:line="238" w:lineRule="exact" w:before="15"/>
              <w:rPr>
                <w:rFonts w:ascii="Times New Roman"/>
                <w:sz w:val="21"/>
              </w:rPr>
            </w:pPr>
            <w:r>
              <w:rPr>
                <w:rFonts w:ascii="Times New Roman"/>
                <w:w w:val="100"/>
                <w:sz w:val="21"/>
              </w:rPr>
              <w:t>/</w:t>
            </w:r>
          </w:p>
        </w:tc>
        <w:tc>
          <w:tcPr>
            <w:tcW w:w="1064" w:type="dxa"/>
          </w:tcPr>
          <w:p>
            <w:pPr>
              <w:pStyle w:val="TableParagraph"/>
              <w:spacing w:line="238" w:lineRule="exact" w:before="15"/>
              <w:ind w:left="7" w:right="7"/>
              <w:rPr>
                <w:rFonts w:ascii="Times New Roman"/>
                <w:sz w:val="21"/>
              </w:rPr>
            </w:pPr>
            <w:r>
              <w:rPr>
                <w:rFonts w:ascii="Times New Roman"/>
                <w:sz w:val="21"/>
              </w:rPr>
              <w:t>3.22E-04</w:t>
            </w:r>
          </w:p>
        </w:tc>
        <w:tc>
          <w:tcPr>
            <w:tcW w:w="1122" w:type="dxa"/>
          </w:tcPr>
          <w:p>
            <w:pPr>
              <w:pStyle w:val="TableParagraph"/>
              <w:spacing w:line="238" w:lineRule="exact" w:before="15"/>
              <w:ind w:left="303" w:right="300"/>
              <w:rPr>
                <w:rFonts w:ascii="Times New Roman"/>
                <w:sz w:val="21"/>
              </w:rPr>
            </w:pPr>
            <w:r>
              <w:rPr>
                <w:rFonts w:ascii="Times New Roman"/>
                <w:sz w:val="21"/>
              </w:rPr>
              <w:t>0.51</w:t>
            </w:r>
          </w:p>
        </w:tc>
        <w:tc>
          <w:tcPr>
            <w:tcW w:w="593" w:type="dxa"/>
          </w:tcPr>
          <w:p>
            <w:pPr>
              <w:pStyle w:val="TableParagraph"/>
              <w:spacing w:line="252" w:lineRule="exact" w:before="1"/>
              <w:ind w:left="65" w:right="63"/>
              <w:rPr>
                <w:sz w:val="21"/>
              </w:rPr>
            </w:pPr>
            <w:r>
              <w:rPr>
                <w:sz w:val="21"/>
              </w:rPr>
              <w:t>达标</w:t>
            </w:r>
          </w:p>
        </w:tc>
      </w:tr>
      <w:tr>
        <w:trPr>
          <w:trHeight w:val="270" w:hRule="atLeast"/>
        </w:trPr>
        <w:tc>
          <w:tcPr>
            <w:tcW w:w="605" w:type="dxa"/>
            <w:vMerge/>
            <w:tcBorders>
              <w:top w:val="nil"/>
            </w:tcBorders>
          </w:tcPr>
          <w:p>
            <w:pPr>
              <w:rPr>
                <w:sz w:val="2"/>
                <w:szCs w:val="2"/>
              </w:rPr>
            </w:pPr>
          </w:p>
        </w:tc>
        <w:tc>
          <w:tcPr>
            <w:tcW w:w="1104" w:type="dxa"/>
          </w:tcPr>
          <w:p>
            <w:pPr>
              <w:pStyle w:val="TableParagraph"/>
              <w:spacing w:line="250" w:lineRule="exact" w:before="1"/>
              <w:ind w:left="110" w:right="106"/>
              <w:rPr>
                <w:sz w:val="21"/>
              </w:rPr>
            </w:pPr>
            <w:r>
              <w:rPr>
                <w:sz w:val="21"/>
              </w:rPr>
              <w:t>珠海村</w:t>
            </w:r>
          </w:p>
        </w:tc>
        <w:tc>
          <w:tcPr>
            <w:tcW w:w="1539" w:type="dxa"/>
          </w:tcPr>
          <w:p>
            <w:pPr>
              <w:pStyle w:val="TableParagraph"/>
              <w:spacing w:line="250" w:lineRule="exact" w:before="1"/>
              <w:ind w:left="120" w:right="114"/>
              <w:rPr>
                <w:sz w:val="21"/>
              </w:rPr>
            </w:pPr>
            <w:r>
              <w:rPr>
                <w:rFonts w:ascii="Times New Roman" w:eastAsia="Times New Roman"/>
                <w:sz w:val="21"/>
              </w:rPr>
              <w:t>1 </w:t>
            </w:r>
            <w:r>
              <w:rPr>
                <w:sz w:val="21"/>
              </w:rPr>
              <w:t>小时</w:t>
            </w:r>
          </w:p>
        </w:tc>
        <w:tc>
          <w:tcPr>
            <w:tcW w:w="2048" w:type="dxa"/>
          </w:tcPr>
          <w:p>
            <w:pPr>
              <w:pStyle w:val="TableParagraph"/>
              <w:spacing w:line="236" w:lineRule="exact" w:before="15"/>
              <w:ind w:left="183" w:right="178"/>
              <w:rPr>
                <w:rFonts w:ascii="Times New Roman"/>
                <w:sz w:val="21"/>
              </w:rPr>
            </w:pPr>
            <w:r>
              <w:rPr>
                <w:rFonts w:ascii="Times New Roman"/>
                <w:sz w:val="21"/>
              </w:rPr>
              <w:t>2.88E-04</w:t>
            </w:r>
          </w:p>
        </w:tc>
        <w:tc>
          <w:tcPr>
            <w:tcW w:w="1114" w:type="dxa"/>
          </w:tcPr>
          <w:p>
            <w:pPr>
              <w:pStyle w:val="TableParagraph"/>
              <w:spacing w:line="236" w:lineRule="exact" w:before="15"/>
              <w:rPr>
                <w:rFonts w:ascii="Times New Roman"/>
                <w:sz w:val="21"/>
              </w:rPr>
            </w:pPr>
            <w:r>
              <w:rPr>
                <w:rFonts w:ascii="Times New Roman"/>
                <w:w w:val="100"/>
                <w:sz w:val="21"/>
              </w:rPr>
              <w:t>/</w:t>
            </w:r>
          </w:p>
        </w:tc>
        <w:tc>
          <w:tcPr>
            <w:tcW w:w="1064" w:type="dxa"/>
          </w:tcPr>
          <w:p>
            <w:pPr>
              <w:pStyle w:val="TableParagraph"/>
              <w:spacing w:line="236" w:lineRule="exact" w:before="15"/>
              <w:ind w:left="7" w:right="7"/>
              <w:rPr>
                <w:rFonts w:ascii="Times New Roman"/>
                <w:sz w:val="21"/>
              </w:rPr>
            </w:pPr>
            <w:r>
              <w:rPr>
                <w:rFonts w:ascii="Times New Roman"/>
                <w:sz w:val="21"/>
              </w:rPr>
              <w:t>2.88E-04</w:t>
            </w:r>
          </w:p>
        </w:tc>
        <w:tc>
          <w:tcPr>
            <w:tcW w:w="1122" w:type="dxa"/>
          </w:tcPr>
          <w:p>
            <w:pPr>
              <w:pStyle w:val="TableParagraph"/>
              <w:spacing w:line="236" w:lineRule="exact" w:before="15"/>
              <w:ind w:left="303" w:right="300"/>
              <w:rPr>
                <w:rFonts w:ascii="Times New Roman"/>
                <w:sz w:val="21"/>
              </w:rPr>
            </w:pPr>
            <w:r>
              <w:rPr>
                <w:rFonts w:ascii="Times New Roman"/>
                <w:sz w:val="21"/>
              </w:rPr>
              <w:t>0.46</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tcPr>
          <w:p>
            <w:pPr>
              <w:pStyle w:val="TableParagraph"/>
              <w:spacing w:line="252" w:lineRule="exact" w:before="1"/>
              <w:ind w:left="110" w:right="106"/>
              <w:rPr>
                <w:sz w:val="21"/>
              </w:rPr>
            </w:pPr>
            <w:r>
              <w:rPr>
                <w:sz w:val="21"/>
              </w:rPr>
              <w:t>丰棉村</w:t>
            </w:r>
          </w:p>
        </w:tc>
        <w:tc>
          <w:tcPr>
            <w:tcW w:w="1539" w:type="dxa"/>
          </w:tcPr>
          <w:p>
            <w:pPr>
              <w:pStyle w:val="TableParagraph"/>
              <w:spacing w:line="252" w:lineRule="exact" w:before="1"/>
              <w:ind w:left="120" w:right="114"/>
              <w:rPr>
                <w:sz w:val="21"/>
              </w:rPr>
            </w:pPr>
            <w:r>
              <w:rPr>
                <w:rFonts w:ascii="Times New Roman" w:eastAsia="Times New Roman"/>
                <w:sz w:val="21"/>
              </w:rPr>
              <w:t>1 </w:t>
            </w:r>
            <w:r>
              <w:rPr>
                <w:sz w:val="21"/>
              </w:rPr>
              <w:t>小时</w:t>
            </w:r>
          </w:p>
        </w:tc>
        <w:tc>
          <w:tcPr>
            <w:tcW w:w="2048" w:type="dxa"/>
          </w:tcPr>
          <w:p>
            <w:pPr>
              <w:pStyle w:val="TableParagraph"/>
              <w:spacing w:line="236" w:lineRule="exact" w:before="17"/>
              <w:ind w:left="183" w:right="178"/>
              <w:rPr>
                <w:rFonts w:ascii="Times New Roman"/>
                <w:sz w:val="21"/>
              </w:rPr>
            </w:pPr>
            <w:r>
              <w:rPr>
                <w:rFonts w:ascii="Times New Roman"/>
                <w:sz w:val="21"/>
              </w:rPr>
              <w:t>2.33E-04</w:t>
            </w:r>
          </w:p>
        </w:tc>
        <w:tc>
          <w:tcPr>
            <w:tcW w:w="1114" w:type="dxa"/>
          </w:tcPr>
          <w:p>
            <w:pPr>
              <w:pStyle w:val="TableParagraph"/>
              <w:spacing w:line="236" w:lineRule="exact" w:before="17"/>
              <w:rPr>
                <w:rFonts w:ascii="Times New Roman"/>
                <w:sz w:val="21"/>
              </w:rPr>
            </w:pPr>
            <w:r>
              <w:rPr>
                <w:rFonts w:ascii="Times New Roman"/>
                <w:w w:val="100"/>
                <w:sz w:val="21"/>
              </w:rPr>
              <w:t>/</w:t>
            </w:r>
          </w:p>
        </w:tc>
        <w:tc>
          <w:tcPr>
            <w:tcW w:w="1064" w:type="dxa"/>
          </w:tcPr>
          <w:p>
            <w:pPr>
              <w:pStyle w:val="TableParagraph"/>
              <w:spacing w:line="236" w:lineRule="exact" w:before="17"/>
              <w:ind w:left="7" w:right="7"/>
              <w:rPr>
                <w:rFonts w:ascii="Times New Roman"/>
                <w:sz w:val="21"/>
              </w:rPr>
            </w:pPr>
            <w:r>
              <w:rPr>
                <w:rFonts w:ascii="Times New Roman"/>
                <w:sz w:val="21"/>
              </w:rPr>
              <w:t>2.33E-04</w:t>
            </w:r>
          </w:p>
        </w:tc>
        <w:tc>
          <w:tcPr>
            <w:tcW w:w="1122" w:type="dxa"/>
          </w:tcPr>
          <w:p>
            <w:pPr>
              <w:pStyle w:val="TableParagraph"/>
              <w:spacing w:line="236" w:lineRule="exact" w:before="17"/>
              <w:ind w:left="303" w:right="300"/>
              <w:rPr>
                <w:rFonts w:ascii="Times New Roman"/>
                <w:sz w:val="21"/>
              </w:rPr>
            </w:pPr>
            <w:r>
              <w:rPr>
                <w:rFonts w:ascii="Times New Roman"/>
                <w:sz w:val="21"/>
              </w:rPr>
              <w:t>0.37</w:t>
            </w:r>
          </w:p>
        </w:tc>
        <w:tc>
          <w:tcPr>
            <w:tcW w:w="593" w:type="dxa"/>
          </w:tcPr>
          <w:p>
            <w:pPr>
              <w:pStyle w:val="TableParagraph"/>
              <w:spacing w:line="252"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tcPr>
          <w:p>
            <w:pPr>
              <w:pStyle w:val="TableParagraph"/>
              <w:spacing w:line="252" w:lineRule="exact" w:before="1"/>
              <w:ind w:left="110" w:right="106"/>
              <w:rPr>
                <w:sz w:val="21"/>
              </w:rPr>
            </w:pPr>
            <w:r>
              <w:rPr>
                <w:sz w:val="21"/>
              </w:rPr>
              <w:t>镇海村</w:t>
            </w:r>
          </w:p>
        </w:tc>
        <w:tc>
          <w:tcPr>
            <w:tcW w:w="1539" w:type="dxa"/>
          </w:tcPr>
          <w:p>
            <w:pPr>
              <w:pStyle w:val="TableParagraph"/>
              <w:spacing w:line="252" w:lineRule="exact" w:before="1"/>
              <w:ind w:left="120" w:right="114"/>
              <w:rPr>
                <w:sz w:val="21"/>
              </w:rPr>
            </w:pPr>
            <w:r>
              <w:rPr>
                <w:rFonts w:ascii="Times New Roman" w:eastAsia="Times New Roman"/>
                <w:sz w:val="21"/>
              </w:rPr>
              <w:t>1 </w:t>
            </w:r>
            <w:r>
              <w:rPr>
                <w:sz w:val="21"/>
              </w:rPr>
              <w:t>小时</w:t>
            </w:r>
          </w:p>
        </w:tc>
        <w:tc>
          <w:tcPr>
            <w:tcW w:w="2048" w:type="dxa"/>
          </w:tcPr>
          <w:p>
            <w:pPr>
              <w:pStyle w:val="TableParagraph"/>
              <w:spacing w:line="238" w:lineRule="exact" w:before="15"/>
              <w:ind w:left="183" w:right="178"/>
              <w:rPr>
                <w:rFonts w:ascii="Times New Roman"/>
                <w:sz w:val="21"/>
              </w:rPr>
            </w:pPr>
            <w:r>
              <w:rPr>
                <w:rFonts w:ascii="Times New Roman"/>
                <w:sz w:val="21"/>
              </w:rPr>
              <w:t>2.44E-04</w:t>
            </w:r>
          </w:p>
        </w:tc>
        <w:tc>
          <w:tcPr>
            <w:tcW w:w="1114" w:type="dxa"/>
          </w:tcPr>
          <w:p>
            <w:pPr>
              <w:pStyle w:val="TableParagraph"/>
              <w:spacing w:line="238" w:lineRule="exact" w:before="15"/>
              <w:rPr>
                <w:rFonts w:ascii="Times New Roman"/>
                <w:sz w:val="21"/>
              </w:rPr>
            </w:pPr>
            <w:r>
              <w:rPr>
                <w:rFonts w:ascii="Times New Roman"/>
                <w:w w:val="100"/>
                <w:sz w:val="21"/>
              </w:rPr>
              <w:t>/</w:t>
            </w:r>
          </w:p>
        </w:tc>
        <w:tc>
          <w:tcPr>
            <w:tcW w:w="1064" w:type="dxa"/>
          </w:tcPr>
          <w:p>
            <w:pPr>
              <w:pStyle w:val="TableParagraph"/>
              <w:spacing w:line="238" w:lineRule="exact" w:before="15"/>
              <w:ind w:left="7" w:right="7"/>
              <w:rPr>
                <w:rFonts w:ascii="Times New Roman"/>
                <w:sz w:val="21"/>
              </w:rPr>
            </w:pPr>
            <w:r>
              <w:rPr>
                <w:rFonts w:ascii="Times New Roman"/>
                <w:sz w:val="21"/>
              </w:rPr>
              <w:t>2.44E-04</w:t>
            </w:r>
          </w:p>
        </w:tc>
        <w:tc>
          <w:tcPr>
            <w:tcW w:w="1122" w:type="dxa"/>
          </w:tcPr>
          <w:p>
            <w:pPr>
              <w:pStyle w:val="TableParagraph"/>
              <w:spacing w:line="238" w:lineRule="exact" w:before="15"/>
              <w:ind w:left="303" w:right="300"/>
              <w:rPr>
                <w:rFonts w:ascii="Times New Roman"/>
                <w:sz w:val="21"/>
              </w:rPr>
            </w:pPr>
            <w:r>
              <w:rPr>
                <w:rFonts w:ascii="Times New Roman"/>
                <w:sz w:val="21"/>
              </w:rPr>
              <w:t>0.39</w:t>
            </w:r>
          </w:p>
        </w:tc>
        <w:tc>
          <w:tcPr>
            <w:tcW w:w="593" w:type="dxa"/>
          </w:tcPr>
          <w:p>
            <w:pPr>
              <w:pStyle w:val="TableParagraph"/>
              <w:spacing w:line="252" w:lineRule="exact" w:before="1"/>
              <w:ind w:left="65" w:right="63"/>
              <w:rPr>
                <w:sz w:val="21"/>
              </w:rPr>
            </w:pPr>
            <w:r>
              <w:rPr>
                <w:sz w:val="21"/>
              </w:rPr>
              <w:t>达标</w:t>
            </w:r>
          </w:p>
        </w:tc>
      </w:tr>
      <w:tr>
        <w:trPr>
          <w:trHeight w:val="271" w:hRule="atLeast"/>
        </w:trPr>
        <w:tc>
          <w:tcPr>
            <w:tcW w:w="605" w:type="dxa"/>
            <w:vMerge/>
            <w:tcBorders>
              <w:top w:val="nil"/>
            </w:tcBorders>
          </w:tcPr>
          <w:p>
            <w:pPr>
              <w:rPr>
                <w:sz w:val="2"/>
                <w:szCs w:val="2"/>
              </w:rPr>
            </w:pPr>
          </w:p>
        </w:tc>
        <w:tc>
          <w:tcPr>
            <w:tcW w:w="1104" w:type="dxa"/>
          </w:tcPr>
          <w:p>
            <w:pPr>
              <w:pStyle w:val="TableParagraph"/>
              <w:spacing w:line="250" w:lineRule="exact" w:before="1"/>
              <w:ind w:left="110" w:right="106"/>
              <w:rPr>
                <w:sz w:val="21"/>
              </w:rPr>
            </w:pPr>
            <w:r>
              <w:rPr>
                <w:sz w:val="21"/>
              </w:rPr>
              <w:t>镇东村</w:t>
            </w:r>
          </w:p>
        </w:tc>
        <w:tc>
          <w:tcPr>
            <w:tcW w:w="1539" w:type="dxa"/>
          </w:tcPr>
          <w:p>
            <w:pPr>
              <w:pStyle w:val="TableParagraph"/>
              <w:spacing w:line="250" w:lineRule="exact" w:before="1"/>
              <w:ind w:left="120" w:right="114"/>
              <w:rPr>
                <w:sz w:val="21"/>
              </w:rPr>
            </w:pPr>
            <w:r>
              <w:rPr>
                <w:rFonts w:ascii="Times New Roman" w:eastAsia="Times New Roman"/>
                <w:sz w:val="21"/>
              </w:rPr>
              <w:t>1 </w:t>
            </w:r>
            <w:r>
              <w:rPr>
                <w:sz w:val="21"/>
              </w:rPr>
              <w:t>小时</w:t>
            </w:r>
          </w:p>
        </w:tc>
        <w:tc>
          <w:tcPr>
            <w:tcW w:w="2048" w:type="dxa"/>
          </w:tcPr>
          <w:p>
            <w:pPr>
              <w:pStyle w:val="TableParagraph"/>
              <w:spacing w:line="236" w:lineRule="exact" w:before="15"/>
              <w:ind w:left="183" w:right="178"/>
              <w:rPr>
                <w:rFonts w:ascii="Times New Roman"/>
                <w:sz w:val="21"/>
              </w:rPr>
            </w:pPr>
            <w:r>
              <w:rPr>
                <w:rFonts w:ascii="Times New Roman"/>
                <w:sz w:val="21"/>
              </w:rPr>
              <w:t>1.54E-04</w:t>
            </w:r>
          </w:p>
        </w:tc>
        <w:tc>
          <w:tcPr>
            <w:tcW w:w="1114" w:type="dxa"/>
          </w:tcPr>
          <w:p>
            <w:pPr>
              <w:pStyle w:val="TableParagraph"/>
              <w:spacing w:line="236" w:lineRule="exact" w:before="15"/>
              <w:rPr>
                <w:rFonts w:ascii="Times New Roman"/>
                <w:sz w:val="21"/>
              </w:rPr>
            </w:pPr>
            <w:r>
              <w:rPr>
                <w:rFonts w:ascii="Times New Roman"/>
                <w:w w:val="100"/>
                <w:sz w:val="21"/>
              </w:rPr>
              <w:t>/</w:t>
            </w:r>
          </w:p>
        </w:tc>
        <w:tc>
          <w:tcPr>
            <w:tcW w:w="1064" w:type="dxa"/>
          </w:tcPr>
          <w:p>
            <w:pPr>
              <w:pStyle w:val="TableParagraph"/>
              <w:spacing w:line="236" w:lineRule="exact" w:before="15"/>
              <w:ind w:left="7" w:right="7"/>
              <w:rPr>
                <w:rFonts w:ascii="Times New Roman"/>
                <w:sz w:val="21"/>
              </w:rPr>
            </w:pPr>
            <w:r>
              <w:rPr>
                <w:rFonts w:ascii="Times New Roman"/>
                <w:sz w:val="21"/>
              </w:rPr>
              <w:t>1.54E-04</w:t>
            </w:r>
          </w:p>
        </w:tc>
        <w:tc>
          <w:tcPr>
            <w:tcW w:w="1122" w:type="dxa"/>
          </w:tcPr>
          <w:p>
            <w:pPr>
              <w:pStyle w:val="TableParagraph"/>
              <w:spacing w:line="236" w:lineRule="exact" w:before="15"/>
              <w:ind w:left="303" w:right="300"/>
              <w:rPr>
                <w:rFonts w:ascii="Times New Roman"/>
                <w:sz w:val="21"/>
              </w:rPr>
            </w:pPr>
            <w:r>
              <w:rPr>
                <w:rFonts w:ascii="Times New Roman"/>
                <w:sz w:val="21"/>
              </w:rPr>
              <w:t>0.25</w:t>
            </w:r>
          </w:p>
        </w:tc>
        <w:tc>
          <w:tcPr>
            <w:tcW w:w="593" w:type="dxa"/>
          </w:tcPr>
          <w:p>
            <w:pPr>
              <w:pStyle w:val="TableParagraph"/>
              <w:spacing w:line="250" w:lineRule="exact" w:before="1"/>
              <w:ind w:left="65" w:right="63"/>
              <w:rPr>
                <w:sz w:val="21"/>
              </w:rPr>
            </w:pPr>
            <w:r>
              <w:rPr>
                <w:sz w:val="21"/>
              </w:rPr>
              <w:t>达标</w:t>
            </w:r>
          </w:p>
        </w:tc>
      </w:tr>
      <w:tr>
        <w:trPr>
          <w:trHeight w:val="273" w:hRule="atLeast"/>
        </w:trPr>
        <w:tc>
          <w:tcPr>
            <w:tcW w:w="605" w:type="dxa"/>
            <w:vMerge/>
            <w:tcBorders>
              <w:top w:val="nil"/>
            </w:tcBorders>
          </w:tcPr>
          <w:p>
            <w:pPr>
              <w:rPr>
                <w:sz w:val="2"/>
                <w:szCs w:val="2"/>
              </w:rPr>
            </w:pPr>
          </w:p>
        </w:tc>
        <w:tc>
          <w:tcPr>
            <w:tcW w:w="1104" w:type="dxa"/>
          </w:tcPr>
          <w:p>
            <w:pPr>
              <w:pStyle w:val="TableParagraph"/>
              <w:spacing w:line="252" w:lineRule="exact" w:before="1"/>
              <w:ind w:left="110" w:right="106"/>
              <w:rPr>
                <w:sz w:val="21"/>
              </w:rPr>
            </w:pPr>
            <w:r>
              <w:rPr>
                <w:sz w:val="21"/>
              </w:rPr>
              <w:t>网格</w:t>
            </w:r>
          </w:p>
        </w:tc>
        <w:tc>
          <w:tcPr>
            <w:tcW w:w="1539" w:type="dxa"/>
          </w:tcPr>
          <w:p>
            <w:pPr>
              <w:pStyle w:val="TableParagraph"/>
              <w:spacing w:line="252" w:lineRule="exact" w:before="1"/>
              <w:ind w:left="120" w:right="114"/>
              <w:rPr>
                <w:sz w:val="21"/>
              </w:rPr>
            </w:pPr>
            <w:r>
              <w:rPr>
                <w:rFonts w:ascii="Times New Roman" w:eastAsia="Times New Roman"/>
                <w:sz w:val="21"/>
              </w:rPr>
              <w:t>1 </w:t>
            </w:r>
            <w:r>
              <w:rPr>
                <w:sz w:val="21"/>
              </w:rPr>
              <w:t>小时</w:t>
            </w:r>
          </w:p>
        </w:tc>
        <w:tc>
          <w:tcPr>
            <w:tcW w:w="2048" w:type="dxa"/>
          </w:tcPr>
          <w:p>
            <w:pPr>
              <w:pStyle w:val="TableParagraph"/>
              <w:spacing w:line="238" w:lineRule="exact" w:before="15"/>
              <w:ind w:left="183" w:right="178"/>
              <w:rPr>
                <w:rFonts w:ascii="Times New Roman"/>
                <w:sz w:val="21"/>
              </w:rPr>
            </w:pPr>
            <w:r>
              <w:rPr>
                <w:rFonts w:ascii="Times New Roman"/>
                <w:sz w:val="21"/>
              </w:rPr>
              <w:t>3.92E-03</w:t>
            </w:r>
          </w:p>
        </w:tc>
        <w:tc>
          <w:tcPr>
            <w:tcW w:w="1114" w:type="dxa"/>
          </w:tcPr>
          <w:p>
            <w:pPr>
              <w:pStyle w:val="TableParagraph"/>
              <w:spacing w:line="238" w:lineRule="exact" w:before="15"/>
              <w:rPr>
                <w:rFonts w:ascii="Times New Roman"/>
                <w:sz w:val="21"/>
              </w:rPr>
            </w:pPr>
            <w:r>
              <w:rPr>
                <w:rFonts w:ascii="Times New Roman"/>
                <w:w w:val="100"/>
                <w:sz w:val="21"/>
              </w:rPr>
              <w:t>/</w:t>
            </w:r>
          </w:p>
        </w:tc>
        <w:tc>
          <w:tcPr>
            <w:tcW w:w="1064" w:type="dxa"/>
          </w:tcPr>
          <w:p>
            <w:pPr>
              <w:pStyle w:val="TableParagraph"/>
              <w:spacing w:line="238" w:lineRule="exact" w:before="15"/>
              <w:ind w:left="7" w:right="7"/>
              <w:rPr>
                <w:rFonts w:ascii="Times New Roman"/>
                <w:sz w:val="21"/>
              </w:rPr>
            </w:pPr>
            <w:r>
              <w:rPr>
                <w:rFonts w:ascii="Times New Roman"/>
                <w:sz w:val="21"/>
              </w:rPr>
              <w:t>3.92E-03</w:t>
            </w:r>
          </w:p>
        </w:tc>
        <w:tc>
          <w:tcPr>
            <w:tcW w:w="1122" w:type="dxa"/>
          </w:tcPr>
          <w:p>
            <w:pPr>
              <w:pStyle w:val="TableParagraph"/>
              <w:spacing w:line="238" w:lineRule="exact" w:before="15"/>
              <w:ind w:left="303" w:right="300"/>
              <w:rPr>
                <w:rFonts w:ascii="Times New Roman"/>
                <w:sz w:val="21"/>
              </w:rPr>
            </w:pPr>
            <w:r>
              <w:rPr>
                <w:rFonts w:ascii="Times New Roman"/>
                <w:sz w:val="21"/>
              </w:rPr>
              <w:t>6.23</w:t>
            </w:r>
          </w:p>
        </w:tc>
        <w:tc>
          <w:tcPr>
            <w:tcW w:w="593" w:type="dxa"/>
          </w:tcPr>
          <w:p>
            <w:pPr>
              <w:pStyle w:val="TableParagraph"/>
              <w:spacing w:line="252" w:lineRule="exact" w:before="1"/>
              <w:ind w:left="65" w:right="63"/>
              <w:rPr>
                <w:sz w:val="21"/>
              </w:rPr>
            </w:pPr>
            <w:r>
              <w:rPr>
                <w:sz w:val="21"/>
              </w:rPr>
              <w:t>达标</w:t>
            </w:r>
          </w:p>
        </w:tc>
      </w:tr>
    </w:tbl>
    <w:p>
      <w:pPr>
        <w:pStyle w:val="BodyText"/>
        <w:spacing w:line="364" w:lineRule="auto" w:before="2"/>
        <w:ind w:left="231" w:right="222" w:firstLine="479"/>
        <w:jc w:val="both"/>
      </w:pPr>
      <w:r>
        <w:rPr>
          <w:spacing w:val="-1"/>
          <w:position w:val="2"/>
        </w:rPr>
        <w:t>根据预测结果，正常工况下，</w:t>
      </w:r>
      <w:r>
        <w:rPr>
          <w:rFonts w:ascii="Times New Roman" w:eastAsia="Times New Roman"/>
          <w:position w:val="2"/>
        </w:rPr>
        <w:t>PM</w:t>
      </w:r>
      <w:r>
        <w:rPr>
          <w:rFonts w:ascii="Times New Roman" w:eastAsia="Times New Roman"/>
          <w:sz w:val="16"/>
        </w:rPr>
        <w:t>10</w:t>
      </w:r>
      <w:r>
        <w:rPr>
          <w:spacing w:val="-3"/>
          <w:position w:val="2"/>
        </w:rPr>
        <w:t>、</w:t>
      </w:r>
      <w:r>
        <w:rPr>
          <w:rFonts w:ascii="Times New Roman" w:eastAsia="Times New Roman"/>
          <w:position w:val="2"/>
        </w:rPr>
        <w:t>TSP </w:t>
      </w:r>
      <w:r>
        <w:rPr>
          <w:spacing w:val="-3"/>
          <w:position w:val="2"/>
        </w:rPr>
        <w:t>叠加区域其他拟建、在建项目污染源、环</w:t>
      </w:r>
      <w:r>
        <w:rPr>
          <w:spacing w:val="-4"/>
        </w:rPr>
        <w:t>境现状浓度后，保证率日平均质量浓度和年平均质量浓度均符合环境质量标准的要求。</w:t>
      </w:r>
      <w:r>
        <w:rPr>
          <w:spacing w:val="-1"/>
        </w:rPr>
        <w:t>由于甲酸无环境质量现状浓度及同类拟建、在建污染源，故甲酸环境影响叠加值即为贡</w:t>
      </w:r>
      <w:r>
        <w:rPr/>
        <w:t>献值，满足环境质量标准的要求。</w:t>
      </w:r>
    </w:p>
    <w:p>
      <w:pPr>
        <w:spacing w:after="0" w:line="364" w:lineRule="auto"/>
        <w:jc w:val="both"/>
        <w:sectPr>
          <w:footerReference w:type="default" r:id="rId109"/>
          <w:pgSz w:w="11910" w:h="16850"/>
          <w:pgMar w:footer="1088" w:header="1004" w:top="1360" w:bottom="1280" w:left="1300" w:right="1020"/>
        </w:sectPr>
      </w:pPr>
    </w:p>
    <w:p>
      <w:pPr>
        <w:pStyle w:val="BodyText"/>
        <w:spacing w:before="11"/>
        <w:rPr>
          <w:sz w:val="4"/>
        </w:rPr>
      </w:pPr>
    </w:p>
    <w:p>
      <w:pPr>
        <w:pStyle w:val="BodyText"/>
        <w:ind w:left="649"/>
        <w:rPr>
          <w:sz w:val="20"/>
        </w:rPr>
      </w:pPr>
      <w:r>
        <w:rPr>
          <w:sz w:val="20"/>
        </w:rPr>
        <w:drawing>
          <wp:inline distT="0" distB="0" distL="0" distR="0">
            <wp:extent cx="5286703" cy="3824478"/>
            <wp:effectExtent l="0" t="0" r="0" b="0"/>
            <wp:docPr id="53" name="image50.jpeg"/>
            <wp:cNvGraphicFramePr>
              <a:graphicFrameLocks noChangeAspect="1"/>
            </wp:cNvGraphicFramePr>
            <a:graphic>
              <a:graphicData uri="http://schemas.openxmlformats.org/drawingml/2006/picture">
                <pic:pic>
                  <pic:nvPicPr>
                    <pic:cNvPr id="54" name="image50.jpeg"/>
                    <pic:cNvPicPr/>
                  </pic:nvPicPr>
                  <pic:blipFill>
                    <a:blip r:embed="rId111" cstate="print"/>
                    <a:stretch>
                      <a:fillRect/>
                    </a:stretch>
                  </pic:blipFill>
                  <pic:spPr>
                    <a:xfrm>
                      <a:off x="0" y="0"/>
                      <a:ext cx="5286703" cy="3824478"/>
                    </a:xfrm>
                    <a:prstGeom prst="rect">
                      <a:avLst/>
                    </a:prstGeom>
                  </pic:spPr>
                </pic:pic>
              </a:graphicData>
            </a:graphic>
          </wp:inline>
        </w:drawing>
      </w:r>
      <w:r>
        <w:rPr>
          <w:sz w:val="20"/>
        </w:rPr>
      </w:r>
    </w:p>
    <w:p>
      <w:pPr>
        <w:pStyle w:val="Heading4"/>
        <w:tabs>
          <w:tab w:pos="1349" w:val="left" w:leader="none"/>
        </w:tabs>
        <w:spacing w:before="118"/>
        <w:ind w:left="7"/>
        <w:jc w:val="center"/>
      </w:pPr>
      <w:r>
        <w:rPr>
          <w:position w:val="1"/>
        </w:rPr>
        <w:t>图</w:t>
      </w:r>
      <w:r>
        <w:rPr>
          <w:spacing w:val="-60"/>
          <w:position w:val="1"/>
        </w:rPr>
        <w:t> </w:t>
      </w:r>
      <w:r>
        <w:rPr>
          <w:rFonts w:ascii="Times New Roman" w:eastAsia="Times New Roman"/>
          <w:position w:val="1"/>
        </w:rPr>
        <w:t>7.2.1-12</w:t>
        <w:tab/>
        <w:t>PM</w:t>
      </w:r>
      <w:r>
        <w:rPr>
          <w:rFonts w:ascii="Times New Roman" w:eastAsia="Times New Roman"/>
          <w:sz w:val="16"/>
        </w:rPr>
        <w:t>10</w:t>
      </w:r>
      <w:r>
        <w:rPr>
          <w:rFonts w:ascii="Times New Roman" w:eastAsia="Times New Roman"/>
          <w:spacing w:val="-3"/>
          <w:sz w:val="16"/>
        </w:rPr>
        <w:t> </w:t>
      </w:r>
      <w:r>
        <w:rPr>
          <w:position w:val="1"/>
        </w:rPr>
        <w:t>叠加后日均浓度最大值分布图（</w:t>
      </w:r>
      <w:r>
        <w:rPr>
          <w:rFonts w:ascii="Times New Roman" w:eastAsia="Times New Roman"/>
          <w:position w:val="1"/>
        </w:rPr>
        <w:t>mg/m</w:t>
      </w:r>
      <w:r>
        <w:rPr>
          <w:rFonts w:ascii="Times New Roman" w:eastAsia="Times New Roman"/>
          <w:position w:val="9"/>
          <w:sz w:val="16"/>
        </w:rPr>
        <w:t>3</w:t>
      </w:r>
      <w:r>
        <w:rPr>
          <w:position w:val="1"/>
        </w:rPr>
        <w:t>）</w:t>
      </w:r>
    </w:p>
    <w:p>
      <w:pPr>
        <w:pStyle w:val="BodyText"/>
        <w:spacing w:before="1"/>
        <w:rPr>
          <w:b/>
          <w:sz w:val="9"/>
        </w:rPr>
      </w:pPr>
      <w:r>
        <w:rPr/>
        <w:drawing>
          <wp:anchor distT="0" distB="0" distL="0" distR="0" allowOverlap="1" layoutInCell="1" locked="0" behindDoc="0" simplePos="0" relativeHeight="227">
            <wp:simplePos x="0" y="0"/>
            <wp:positionH relativeFrom="page">
              <wp:posOffset>1234439</wp:posOffset>
            </wp:positionH>
            <wp:positionV relativeFrom="paragraph">
              <wp:posOffset>98626</wp:posOffset>
            </wp:positionV>
            <wp:extent cx="5233065" cy="3756183"/>
            <wp:effectExtent l="0" t="0" r="0" b="0"/>
            <wp:wrapTopAndBottom/>
            <wp:docPr id="55" name="image51.jpeg"/>
            <wp:cNvGraphicFramePr>
              <a:graphicFrameLocks noChangeAspect="1"/>
            </wp:cNvGraphicFramePr>
            <a:graphic>
              <a:graphicData uri="http://schemas.openxmlformats.org/drawingml/2006/picture">
                <pic:pic>
                  <pic:nvPicPr>
                    <pic:cNvPr id="56" name="image51.jpeg"/>
                    <pic:cNvPicPr/>
                  </pic:nvPicPr>
                  <pic:blipFill>
                    <a:blip r:embed="rId112" cstate="print"/>
                    <a:stretch>
                      <a:fillRect/>
                    </a:stretch>
                  </pic:blipFill>
                  <pic:spPr>
                    <a:xfrm>
                      <a:off x="0" y="0"/>
                      <a:ext cx="5233065" cy="3756183"/>
                    </a:xfrm>
                    <a:prstGeom prst="rect">
                      <a:avLst/>
                    </a:prstGeom>
                  </pic:spPr>
                </pic:pic>
              </a:graphicData>
            </a:graphic>
          </wp:anchor>
        </w:drawing>
      </w:r>
    </w:p>
    <w:p>
      <w:pPr>
        <w:tabs>
          <w:tab w:pos="1349" w:val="left" w:leader="none"/>
        </w:tabs>
        <w:spacing w:before="155"/>
        <w:ind w:left="7" w:right="0" w:firstLine="0"/>
        <w:jc w:val="center"/>
        <w:rPr>
          <w:b/>
          <w:sz w:val="24"/>
        </w:rPr>
      </w:pPr>
      <w:r>
        <w:rPr>
          <w:b/>
          <w:position w:val="1"/>
          <w:sz w:val="24"/>
        </w:rPr>
        <w:t>图</w:t>
      </w:r>
      <w:r>
        <w:rPr>
          <w:b/>
          <w:spacing w:val="-60"/>
          <w:position w:val="1"/>
          <w:sz w:val="24"/>
        </w:rPr>
        <w:t> </w:t>
      </w:r>
      <w:r>
        <w:rPr>
          <w:rFonts w:ascii="Times New Roman" w:eastAsia="Times New Roman"/>
          <w:b/>
          <w:position w:val="1"/>
          <w:sz w:val="24"/>
        </w:rPr>
        <w:t>7.2.1-13</w:t>
        <w:tab/>
        <w:t>PM</w:t>
      </w:r>
      <w:r>
        <w:rPr>
          <w:rFonts w:ascii="Times New Roman" w:eastAsia="Times New Roman"/>
          <w:b/>
          <w:sz w:val="16"/>
        </w:rPr>
        <w:t>10</w:t>
      </w:r>
      <w:r>
        <w:rPr>
          <w:rFonts w:ascii="Times New Roman" w:eastAsia="Times New Roman"/>
          <w:b/>
          <w:spacing w:val="-3"/>
          <w:sz w:val="16"/>
        </w:rPr>
        <w:t> </w:t>
      </w:r>
      <w:r>
        <w:rPr>
          <w:b/>
          <w:position w:val="1"/>
          <w:sz w:val="24"/>
        </w:rPr>
        <w:t>叠加后年均浓度最大值分布图（</w:t>
      </w:r>
      <w:r>
        <w:rPr>
          <w:rFonts w:ascii="Times New Roman" w:eastAsia="Times New Roman"/>
          <w:b/>
          <w:position w:val="1"/>
          <w:sz w:val="24"/>
        </w:rPr>
        <w:t>mg/m</w:t>
      </w:r>
      <w:r>
        <w:rPr>
          <w:rFonts w:ascii="Times New Roman" w:eastAsia="Times New Roman"/>
          <w:b/>
          <w:position w:val="9"/>
          <w:sz w:val="16"/>
        </w:rPr>
        <w:t>3</w:t>
      </w:r>
      <w:r>
        <w:rPr>
          <w:b/>
          <w:position w:val="1"/>
          <w:sz w:val="24"/>
        </w:rPr>
        <w:t>）</w:t>
      </w:r>
    </w:p>
    <w:p>
      <w:pPr>
        <w:spacing w:after="0"/>
        <w:jc w:val="center"/>
        <w:rPr>
          <w:sz w:val="24"/>
        </w:rPr>
        <w:sectPr>
          <w:footerReference w:type="default" r:id="rId110"/>
          <w:pgSz w:w="11910" w:h="16850"/>
          <w:pgMar w:footer="1088" w:header="1004" w:top="1360" w:bottom="1280" w:left="1300" w:right="1020"/>
          <w:pgNumType w:start="161"/>
        </w:sectPr>
      </w:pPr>
    </w:p>
    <w:p>
      <w:pPr>
        <w:pStyle w:val="BodyText"/>
        <w:spacing w:before="9"/>
        <w:rPr>
          <w:b/>
          <w:sz w:val="4"/>
        </w:rPr>
      </w:pPr>
    </w:p>
    <w:p>
      <w:pPr>
        <w:pStyle w:val="BodyText"/>
        <w:ind w:left="646"/>
        <w:rPr>
          <w:sz w:val="20"/>
        </w:rPr>
      </w:pPr>
      <w:r>
        <w:rPr>
          <w:sz w:val="20"/>
        </w:rPr>
        <w:drawing>
          <wp:inline distT="0" distB="0" distL="0" distR="0">
            <wp:extent cx="5242471" cy="3824478"/>
            <wp:effectExtent l="0" t="0" r="0" b="0"/>
            <wp:docPr id="57" name="image52.jpeg"/>
            <wp:cNvGraphicFramePr>
              <a:graphicFrameLocks noChangeAspect="1"/>
            </wp:cNvGraphicFramePr>
            <a:graphic>
              <a:graphicData uri="http://schemas.openxmlformats.org/drawingml/2006/picture">
                <pic:pic>
                  <pic:nvPicPr>
                    <pic:cNvPr id="58" name="image52.jpeg"/>
                    <pic:cNvPicPr/>
                  </pic:nvPicPr>
                  <pic:blipFill>
                    <a:blip r:embed="rId113" cstate="print"/>
                    <a:stretch>
                      <a:fillRect/>
                    </a:stretch>
                  </pic:blipFill>
                  <pic:spPr>
                    <a:xfrm>
                      <a:off x="0" y="0"/>
                      <a:ext cx="5242471" cy="3824478"/>
                    </a:xfrm>
                    <a:prstGeom prst="rect">
                      <a:avLst/>
                    </a:prstGeom>
                  </pic:spPr>
                </pic:pic>
              </a:graphicData>
            </a:graphic>
          </wp:inline>
        </w:drawing>
      </w:r>
      <w:r>
        <w:rPr>
          <w:sz w:val="20"/>
        </w:rPr>
      </w:r>
    </w:p>
    <w:p>
      <w:pPr>
        <w:pStyle w:val="BodyText"/>
        <w:spacing w:before="1"/>
        <w:rPr>
          <w:b/>
          <w:sz w:val="7"/>
        </w:rPr>
      </w:pPr>
    </w:p>
    <w:p>
      <w:pPr>
        <w:tabs>
          <w:tab w:pos="1349" w:val="left" w:leader="none"/>
        </w:tabs>
        <w:spacing w:before="82"/>
        <w:ind w:left="7" w:right="0" w:firstLine="0"/>
        <w:jc w:val="center"/>
        <w:rPr>
          <w:b/>
          <w:sz w:val="24"/>
        </w:rPr>
      </w:pPr>
      <w:r>
        <w:rPr>
          <w:b/>
          <w:sz w:val="24"/>
        </w:rPr>
        <w:t>图</w:t>
      </w:r>
      <w:r>
        <w:rPr>
          <w:b/>
          <w:spacing w:val="-60"/>
          <w:sz w:val="24"/>
        </w:rPr>
        <w:t> </w:t>
      </w:r>
      <w:r>
        <w:rPr>
          <w:rFonts w:ascii="Times New Roman" w:eastAsia="Times New Roman"/>
          <w:b/>
          <w:sz w:val="24"/>
        </w:rPr>
        <w:t>7.2.1-14</w:t>
        <w:tab/>
        <w:t>TSP</w:t>
      </w:r>
      <w:r>
        <w:rPr>
          <w:rFonts w:ascii="Times New Roman" w:eastAsia="Times New Roman"/>
          <w:b/>
          <w:spacing w:val="-3"/>
          <w:sz w:val="24"/>
        </w:rPr>
        <w:t> </w:t>
      </w:r>
      <w:r>
        <w:rPr>
          <w:b/>
          <w:sz w:val="24"/>
        </w:rPr>
        <w:t>叠加后日均浓度最大值分布图（</w:t>
      </w:r>
      <w:r>
        <w:rPr>
          <w:rFonts w:ascii="Times New Roman" w:eastAsia="Times New Roman"/>
          <w:b/>
          <w:sz w:val="24"/>
        </w:rPr>
        <w:t>mg/m</w:t>
      </w:r>
      <w:r>
        <w:rPr>
          <w:rFonts w:ascii="Times New Roman" w:eastAsia="Times New Roman"/>
          <w:b/>
          <w:position w:val="8"/>
          <w:sz w:val="16"/>
        </w:rPr>
        <w:t>3</w:t>
      </w:r>
      <w:r>
        <w:rPr>
          <w:b/>
          <w:sz w:val="24"/>
        </w:rPr>
        <w:t>）</w:t>
      </w:r>
    </w:p>
    <w:p>
      <w:pPr>
        <w:pStyle w:val="BodyText"/>
        <w:spacing w:before="5"/>
        <w:rPr>
          <w:b/>
          <w:sz w:val="9"/>
        </w:rPr>
      </w:pPr>
      <w:r>
        <w:rPr/>
        <w:drawing>
          <wp:anchor distT="0" distB="0" distL="0" distR="0" allowOverlap="1" layoutInCell="1" locked="0" behindDoc="0" simplePos="0" relativeHeight="228">
            <wp:simplePos x="0" y="0"/>
            <wp:positionH relativeFrom="page">
              <wp:posOffset>1231264</wp:posOffset>
            </wp:positionH>
            <wp:positionV relativeFrom="paragraph">
              <wp:posOffset>101364</wp:posOffset>
            </wp:positionV>
            <wp:extent cx="5277485" cy="3848100"/>
            <wp:effectExtent l="0" t="0" r="0" b="0"/>
            <wp:wrapTopAndBottom/>
            <wp:docPr id="59" name="image53.jpeg"/>
            <wp:cNvGraphicFramePr>
              <a:graphicFrameLocks noChangeAspect="1"/>
            </wp:cNvGraphicFramePr>
            <a:graphic>
              <a:graphicData uri="http://schemas.openxmlformats.org/drawingml/2006/picture">
                <pic:pic>
                  <pic:nvPicPr>
                    <pic:cNvPr id="60" name="image53.jpeg"/>
                    <pic:cNvPicPr/>
                  </pic:nvPicPr>
                  <pic:blipFill>
                    <a:blip r:embed="rId114" cstate="print"/>
                    <a:stretch>
                      <a:fillRect/>
                    </a:stretch>
                  </pic:blipFill>
                  <pic:spPr>
                    <a:xfrm>
                      <a:off x="0" y="0"/>
                      <a:ext cx="5277485" cy="3848100"/>
                    </a:xfrm>
                    <a:prstGeom prst="rect">
                      <a:avLst/>
                    </a:prstGeom>
                  </pic:spPr>
                </pic:pic>
              </a:graphicData>
            </a:graphic>
          </wp:anchor>
        </w:drawing>
      </w:r>
    </w:p>
    <w:p>
      <w:pPr>
        <w:tabs>
          <w:tab w:pos="1349" w:val="left" w:leader="none"/>
        </w:tabs>
        <w:spacing w:before="112"/>
        <w:ind w:left="7" w:right="0" w:firstLine="0"/>
        <w:jc w:val="center"/>
        <w:rPr>
          <w:b/>
          <w:sz w:val="24"/>
        </w:rPr>
      </w:pPr>
      <w:r>
        <w:rPr>
          <w:b/>
          <w:sz w:val="24"/>
        </w:rPr>
        <w:t>图</w:t>
      </w:r>
      <w:r>
        <w:rPr>
          <w:b/>
          <w:spacing w:val="-60"/>
          <w:sz w:val="24"/>
        </w:rPr>
        <w:t> </w:t>
      </w:r>
      <w:r>
        <w:rPr>
          <w:rFonts w:ascii="Times New Roman" w:eastAsia="Times New Roman"/>
          <w:b/>
          <w:sz w:val="24"/>
        </w:rPr>
        <w:t>7.2.1-15</w:t>
        <w:tab/>
        <w:t>TSP</w:t>
      </w:r>
      <w:r>
        <w:rPr>
          <w:rFonts w:ascii="Times New Roman" w:eastAsia="Times New Roman"/>
          <w:b/>
          <w:spacing w:val="-3"/>
          <w:sz w:val="24"/>
        </w:rPr>
        <w:t> </w:t>
      </w:r>
      <w:r>
        <w:rPr>
          <w:b/>
          <w:sz w:val="24"/>
        </w:rPr>
        <w:t>叠加后年均浓度最大值分布图（</w:t>
      </w:r>
      <w:r>
        <w:rPr>
          <w:rFonts w:ascii="Times New Roman" w:eastAsia="Times New Roman"/>
          <w:b/>
          <w:sz w:val="24"/>
        </w:rPr>
        <w:t>mg/m</w:t>
      </w:r>
      <w:r>
        <w:rPr>
          <w:rFonts w:ascii="Times New Roman" w:eastAsia="Times New Roman"/>
          <w:b/>
          <w:position w:val="8"/>
          <w:sz w:val="16"/>
        </w:rPr>
        <w:t>3</w:t>
      </w:r>
      <w:r>
        <w:rPr>
          <w:b/>
          <w:sz w:val="24"/>
        </w:rPr>
        <w:t>）</w:t>
      </w:r>
    </w:p>
    <w:p>
      <w:pPr>
        <w:spacing w:after="0"/>
        <w:jc w:val="center"/>
        <w:rPr>
          <w:sz w:val="24"/>
        </w:rPr>
        <w:sectPr>
          <w:pgSz w:w="11910" w:h="16850"/>
          <w:pgMar w:header="1004" w:footer="1088" w:top="1360" w:bottom="1280" w:left="1300" w:right="1020"/>
        </w:sectPr>
      </w:pPr>
    </w:p>
    <w:p>
      <w:pPr>
        <w:pStyle w:val="BodyText"/>
        <w:spacing w:before="11"/>
        <w:rPr>
          <w:b/>
          <w:sz w:val="4"/>
        </w:rPr>
      </w:pPr>
    </w:p>
    <w:p>
      <w:pPr>
        <w:pStyle w:val="BodyText"/>
        <w:ind w:left="644"/>
        <w:rPr>
          <w:sz w:val="20"/>
        </w:rPr>
      </w:pPr>
      <w:r>
        <w:rPr>
          <w:sz w:val="20"/>
        </w:rPr>
        <w:drawing>
          <wp:inline distT="0" distB="0" distL="0" distR="0">
            <wp:extent cx="5234822" cy="3756183"/>
            <wp:effectExtent l="0" t="0" r="0" b="0"/>
            <wp:docPr id="61" name="image49.jpeg"/>
            <wp:cNvGraphicFramePr>
              <a:graphicFrameLocks noChangeAspect="1"/>
            </wp:cNvGraphicFramePr>
            <a:graphic>
              <a:graphicData uri="http://schemas.openxmlformats.org/drawingml/2006/picture">
                <pic:pic>
                  <pic:nvPicPr>
                    <pic:cNvPr id="62" name="image49.jpeg"/>
                    <pic:cNvPicPr/>
                  </pic:nvPicPr>
                  <pic:blipFill>
                    <a:blip r:embed="rId108" cstate="print"/>
                    <a:stretch>
                      <a:fillRect/>
                    </a:stretch>
                  </pic:blipFill>
                  <pic:spPr>
                    <a:xfrm>
                      <a:off x="0" y="0"/>
                      <a:ext cx="5234822" cy="3756183"/>
                    </a:xfrm>
                    <a:prstGeom prst="rect">
                      <a:avLst/>
                    </a:prstGeom>
                  </pic:spPr>
                </pic:pic>
              </a:graphicData>
            </a:graphic>
          </wp:inline>
        </w:drawing>
      </w:r>
      <w:r>
        <w:rPr>
          <w:sz w:val="20"/>
        </w:rPr>
      </w:r>
    </w:p>
    <w:p>
      <w:pPr>
        <w:pStyle w:val="BodyText"/>
        <w:spacing w:before="10"/>
        <w:rPr>
          <w:b/>
          <w:sz w:val="7"/>
        </w:rPr>
      </w:pPr>
    </w:p>
    <w:p>
      <w:pPr>
        <w:tabs>
          <w:tab w:pos="1349" w:val="left" w:leader="none"/>
        </w:tabs>
        <w:spacing w:before="82"/>
        <w:ind w:left="7" w:right="0" w:firstLine="0"/>
        <w:jc w:val="center"/>
        <w:rPr>
          <w:b/>
          <w:sz w:val="24"/>
        </w:rPr>
      </w:pPr>
      <w:r>
        <w:rPr>
          <w:b/>
          <w:sz w:val="24"/>
        </w:rPr>
        <w:t>图</w:t>
      </w:r>
      <w:r>
        <w:rPr>
          <w:b/>
          <w:spacing w:val="-60"/>
          <w:sz w:val="24"/>
        </w:rPr>
        <w:t> </w:t>
      </w:r>
      <w:r>
        <w:rPr>
          <w:rFonts w:ascii="Times New Roman" w:eastAsia="Times New Roman"/>
          <w:b/>
          <w:sz w:val="24"/>
        </w:rPr>
        <w:t>7.2.1-16</w:t>
        <w:tab/>
      </w:r>
      <w:r>
        <w:rPr>
          <w:b/>
          <w:sz w:val="24"/>
        </w:rPr>
        <w:t>甲酸叠加后小时浓度最大值分布图（</w:t>
      </w:r>
      <w:r>
        <w:rPr>
          <w:rFonts w:ascii="Times New Roman" w:eastAsia="Times New Roman"/>
          <w:b/>
          <w:sz w:val="24"/>
        </w:rPr>
        <w:t>mg/m</w:t>
      </w:r>
      <w:r>
        <w:rPr>
          <w:rFonts w:ascii="Times New Roman" w:eastAsia="Times New Roman"/>
          <w:b/>
          <w:position w:val="8"/>
          <w:sz w:val="16"/>
        </w:rPr>
        <w:t>3</w:t>
      </w:r>
      <w:r>
        <w:rPr>
          <w:b/>
          <w:sz w:val="24"/>
        </w:rPr>
        <w:t>）</w:t>
      </w:r>
    </w:p>
    <w:p>
      <w:pPr>
        <w:spacing w:before="158"/>
        <w:ind w:left="714" w:right="0" w:firstLine="0"/>
        <w:jc w:val="left"/>
        <w:rPr>
          <w:b/>
          <w:sz w:val="24"/>
        </w:rPr>
      </w:pPr>
      <w:r>
        <w:rPr>
          <w:rFonts w:ascii="Times New Roman" w:eastAsia="Times New Roman"/>
          <w:b/>
          <w:sz w:val="24"/>
        </w:rPr>
        <w:t>3</w:t>
      </w:r>
      <w:r>
        <w:rPr>
          <w:b/>
          <w:sz w:val="24"/>
        </w:rPr>
        <w:t>、非正常工况预测结果</w:t>
      </w:r>
    </w:p>
    <w:p>
      <w:pPr>
        <w:tabs>
          <w:tab w:pos="3176" w:val="left" w:leader="none"/>
        </w:tabs>
        <w:spacing w:line="475" w:lineRule="auto" w:before="160"/>
        <w:ind w:left="1834" w:right="385" w:hanging="1124"/>
        <w:jc w:val="left"/>
        <w:rPr>
          <w:b/>
          <w:sz w:val="24"/>
        </w:rPr>
      </w:pPr>
      <w:r>
        <w:rPr/>
        <w:pict>
          <v:shape style="position:absolute;margin-left:71.064003pt;margin-top:55.220001pt;width:467.75pt;height:221.95pt;mso-position-horizontal-relative:page;mso-position-vertical-relative:paragraph;z-index:251892736" type="#_x0000_t202" filled="false" stroked="false">
            <v:textbox inset="0,0,0,0">
              <w:txbxContent>
                <w:tbl>
                  <w:tblPr>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55"/>
                    <w:gridCol w:w="1700"/>
                    <w:gridCol w:w="1222"/>
                    <w:gridCol w:w="1885"/>
                    <w:gridCol w:w="1177"/>
                    <w:gridCol w:w="1259"/>
                    <w:gridCol w:w="1153"/>
                  </w:tblGrid>
                  <w:tr>
                    <w:trPr>
                      <w:trHeight w:val="544" w:hRule="atLeast"/>
                    </w:trPr>
                    <w:tc>
                      <w:tcPr>
                        <w:tcW w:w="955" w:type="dxa"/>
                      </w:tcPr>
                      <w:p>
                        <w:pPr>
                          <w:pStyle w:val="TableParagraph"/>
                          <w:spacing w:before="138"/>
                          <w:ind w:left="160"/>
                          <w:jc w:val="left"/>
                          <w:rPr>
                            <w:b/>
                            <w:sz w:val="21"/>
                          </w:rPr>
                        </w:pPr>
                        <w:r>
                          <w:rPr>
                            <w:b/>
                            <w:sz w:val="21"/>
                          </w:rPr>
                          <w:t>污染物</w:t>
                        </w:r>
                      </w:p>
                    </w:tc>
                    <w:tc>
                      <w:tcPr>
                        <w:tcW w:w="1700" w:type="dxa"/>
                      </w:tcPr>
                      <w:p>
                        <w:pPr>
                          <w:pStyle w:val="TableParagraph"/>
                          <w:spacing w:before="138"/>
                          <w:ind w:left="199" w:right="195"/>
                          <w:rPr>
                            <w:b/>
                            <w:sz w:val="21"/>
                          </w:rPr>
                        </w:pPr>
                        <w:r>
                          <w:rPr>
                            <w:b/>
                            <w:sz w:val="21"/>
                          </w:rPr>
                          <w:t>预测点</w:t>
                        </w:r>
                      </w:p>
                    </w:tc>
                    <w:tc>
                      <w:tcPr>
                        <w:tcW w:w="1222" w:type="dxa"/>
                      </w:tcPr>
                      <w:p>
                        <w:pPr>
                          <w:pStyle w:val="TableParagraph"/>
                          <w:spacing w:before="138"/>
                          <w:ind w:left="169" w:right="163"/>
                          <w:rPr>
                            <w:b/>
                            <w:sz w:val="21"/>
                          </w:rPr>
                        </w:pPr>
                        <w:r>
                          <w:rPr>
                            <w:b/>
                            <w:sz w:val="21"/>
                          </w:rPr>
                          <w:t>平均时段</w:t>
                        </w:r>
                      </w:p>
                    </w:tc>
                    <w:tc>
                      <w:tcPr>
                        <w:tcW w:w="1885" w:type="dxa"/>
                      </w:tcPr>
                      <w:p>
                        <w:pPr>
                          <w:pStyle w:val="TableParagraph"/>
                          <w:spacing w:before="1"/>
                          <w:ind w:left="414"/>
                          <w:jc w:val="left"/>
                          <w:rPr>
                            <w:b/>
                            <w:sz w:val="21"/>
                          </w:rPr>
                        </w:pPr>
                        <w:r>
                          <w:rPr>
                            <w:b/>
                            <w:sz w:val="21"/>
                          </w:rPr>
                          <w:t>最大贡献值</w:t>
                        </w:r>
                      </w:p>
                      <w:p>
                        <w:pPr>
                          <w:pStyle w:val="TableParagraph"/>
                          <w:spacing w:line="250" w:lineRule="exact" w:before="4"/>
                          <w:ind w:left="438"/>
                          <w:jc w:val="left"/>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177" w:type="dxa"/>
                      </w:tcPr>
                      <w:p>
                        <w:pPr>
                          <w:pStyle w:val="TableParagraph"/>
                          <w:spacing w:before="138"/>
                          <w:ind w:left="164"/>
                          <w:jc w:val="left"/>
                          <w:rPr>
                            <w:b/>
                            <w:sz w:val="21"/>
                          </w:rPr>
                        </w:pPr>
                        <w:r>
                          <w:rPr>
                            <w:b/>
                            <w:sz w:val="21"/>
                          </w:rPr>
                          <w:t>出现时间</w:t>
                        </w:r>
                      </w:p>
                    </w:tc>
                    <w:tc>
                      <w:tcPr>
                        <w:tcW w:w="1259" w:type="dxa"/>
                      </w:tcPr>
                      <w:p>
                        <w:pPr>
                          <w:pStyle w:val="TableParagraph"/>
                          <w:spacing w:before="1"/>
                          <w:ind w:left="309"/>
                          <w:jc w:val="left"/>
                          <w:rPr>
                            <w:b/>
                            <w:sz w:val="21"/>
                          </w:rPr>
                        </w:pPr>
                        <w:r>
                          <w:rPr>
                            <w:b/>
                            <w:sz w:val="21"/>
                          </w:rPr>
                          <w:t>占标率</w:t>
                        </w:r>
                      </w:p>
                      <w:p>
                        <w:pPr>
                          <w:pStyle w:val="TableParagraph"/>
                          <w:spacing w:line="250" w:lineRule="exact" w:before="4"/>
                          <w:ind w:left="309"/>
                          <w:jc w:val="left"/>
                          <w:rPr>
                            <w:b/>
                            <w:sz w:val="21"/>
                          </w:rPr>
                        </w:pPr>
                        <w:r>
                          <w:rPr>
                            <w:b/>
                            <w:sz w:val="21"/>
                          </w:rPr>
                          <w:t>（</w:t>
                        </w:r>
                        <w:r>
                          <w:rPr>
                            <w:rFonts w:ascii="Times New Roman" w:eastAsia="Times New Roman"/>
                            <w:b/>
                            <w:sz w:val="21"/>
                          </w:rPr>
                          <w:t>%</w:t>
                        </w:r>
                        <w:r>
                          <w:rPr>
                            <w:b/>
                            <w:sz w:val="21"/>
                          </w:rPr>
                          <w:t>）</w:t>
                        </w:r>
                      </w:p>
                    </w:tc>
                    <w:tc>
                      <w:tcPr>
                        <w:tcW w:w="1153" w:type="dxa"/>
                      </w:tcPr>
                      <w:p>
                        <w:pPr>
                          <w:pStyle w:val="TableParagraph"/>
                          <w:spacing w:before="138"/>
                          <w:ind w:left="12" w:right="13"/>
                          <w:rPr>
                            <w:b/>
                            <w:sz w:val="21"/>
                          </w:rPr>
                        </w:pPr>
                        <w:r>
                          <w:rPr>
                            <w:b/>
                            <w:sz w:val="21"/>
                          </w:rPr>
                          <w:t>达标情况</w:t>
                        </w:r>
                      </w:p>
                    </w:tc>
                  </w:tr>
                  <w:tr>
                    <w:trPr>
                      <w:trHeight w:val="273" w:hRule="atLeast"/>
                    </w:trPr>
                    <w:tc>
                      <w:tcPr>
                        <w:tcW w:w="955" w:type="dxa"/>
                        <w:vMerge w:val="restart"/>
                      </w:tcPr>
                      <w:p>
                        <w:pPr>
                          <w:pStyle w:val="TableParagraph"/>
                          <w:jc w:val="left"/>
                          <w:rPr>
                            <w:sz w:val="24"/>
                          </w:rPr>
                        </w:pPr>
                      </w:p>
                      <w:p>
                        <w:pPr>
                          <w:pStyle w:val="TableParagraph"/>
                          <w:jc w:val="left"/>
                          <w:rPr>
                            <w:sz w:val="24"/>
                          </w:rPr>
                        </w:pPr>
                      </w:p>
                      <w:p>
                        <w:pPr>
                          <w:pStyle w:val="TableParagraph"/>
                          <w:spacing w:before="1"/>
                          <w:jc w:val="left"/>
                          <w:rPr>
                            <w:sz w:val="18"/>
                          </w:rPr>
                        </w:pPr>
                      </w:p>
                      <w:p>
                        <w:pPr>
                          <w:pStyle w:val="TableParagraph"/>
                          <w:ind w:left="254"/>
                          <w:jc w:val="left"/>
                          <w:rPr>
                            <w:rFonts w:ascii="Times New Roman"/>
                            <w:sz w:val="14"/>
                          </w:rPr>
                        </w:pPr>
                        <w:r>
                          <w:rPr>
                            <w:rFonts w:ascii="Times New Roman"/>
                            <w:position w:val="2"/>
                            <w:sz w:val="21"/>
                          </w:rPr>
                          <w:t>PM</w:t>
                        </w:r>
                        <w:r>
                          <w:rPr>
                            <w:rFonts w:ascii="Times New Roman"/>
                            <w:sz w:val="14"/>
                          </w:rPr>
                          <w:t>10</w:t>
                        </w:r>
                      </w:p>
                    </w:tc>
                    <w:tc>
                      <w:tcPr>
                        <w:tcW w:w="1700" w:type="dxa"/>
                      </w:tcPr>
                      <w:p>
                        <w:pPr>
                          <w:pStyle w:val="TableParagraph"/>
                          <w:spacing w:line="252" w:lineRule="exact" w:before="1"/>
                          <w:ind w:left="199" w:right="195"/>
                          <w:rPr>
                            <w:sz w:val="21"/>
                          </w:rPr>
                        </w:pPr>
                        <w:r>
                          <w:rPr>
                            <w:sz w:val="21"/>
                          </w:rPr>
                          <w:t>开发区生活区</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8" w:lineRule="exact" w:before="15"/>
                          <w:ind w:left="534" w:right="529"/>
                          <w:rPr>
                            <w:rFonts w:ascii="Times New Roman"/>
                            <w:sz w:val="21"/>
                          </w:rPr>
                        </w:pPr>
                        <w:r>
                          <w:rPr>
                            <w:rFonts w:ascii="Times New Roman"/>
                            <w:sz w:val="21"/>
                          </w:rPr>
                          <w:t>2.99E-03</w:t>
                        </w:r>
                      </w:p>
                    </w:tc>
                    <w:tc>
                      <w:tcPr>
                        <w:tcW w:w="1177" w:type="dxa"/>
                      </w:tcPr>
                      <w:p>
                        <w:pPr>
                          <w:pStyle w:val="TableParagraph"/>
                          <w:spacing w:line="238" w:lineRule="exact" w:before="15"/>
                          <w:ind w:left="166"/>
                          <w:jc w:val="left"/>
                          <w:rPr>
                            <w:rFonts w:ascii="Times New Roman"/>
                            <w:sz w:val="21"/>
                          </w:rPr>
                        </w:pPr>
                        <w:r>
                          <w:rPr>
                            <w:rFonts w:ascii="Times New Roman"/>
                            <w:sz w:val="21"/>
                          </w:rPr>
                          <w:t>20012318</w:t>
                        </w:r>
                      </w:p>
                    </w:tc>
                    <w:tc>
                      <w:tcPr>
                        <w:tcW w:w="1259" w:type="dxa"/>
                      </w:tcPr>
                      <w:p>
                        <w:pPr>
                          <w:pStyle w:val="TableParagraph"/>
                          <w:spacing w:line="238" w:lineRule="exact" w:before="15"/>
                          <w:ind w:right="440"/>
                          <w:jc w:val="right"/>
                          <w:rPr>
                            <w:rFonts w:ascii="Times New Roman"/>
                            <w:sz w:val="21"/>
                          </w:rPr>
                        </w:pPr>
                        <w:r>
                          <w:rPr>
                            <w:rFonts w:ascii="Times New Roman"/>
                            <w:sz w:val="21"/>
                          </w:rPr>
                          <w:t>0.66</w:t>
                        </w:r>
                      </w:p>
                    </w:tc>
                    <w:tc>
                      <w:tcPr>
                        <w:tcW w:w="1153" w:type="dxa"/>
                      </w:tcPr>
                      <w:p>
                        <w:pPr>
                          <w:pStyle w:val="TableParagraph"/>
                          <w:spacing w:line="252" w:lineRule="exact" w:before="1"/>
                          <w:ind w:left="12" w:right="13"/>
                          <w:rPr>
                            <w:sz w:val="21"/>
                          </w:rPr>
                        </w:pPr>
                        <w:r>
                          <w:rPr>
                            <w:sz w:val="21"/>
                          </w:rPr>
                          <w:t>达标</w:t>
                        </w:r>
                      </w:p>
                    </w:tc>
                  </w:tr>
                  <w:tr>
                    <w:trPr>
                      <w:trHeight w:val="270" w:hRule="atLeast"/>
                    </w:trPr>
                    <w:tc>
                      <w:tcPr>
                        <w:tcW w:w="955" w:type="dxa"/>
                        <w:vMerge/>
                        <w:tcBorders>
                          <w:top w:val="nil"/>
                        </w:tcBorders>
                      </w:tcPr>
                      <w:p>
                        <w:pPr>
                          <w:rPr>
                            <w:sz w:val="2"/>
                            <w:szCs w:val="2"/>
                          </w:rPr>
                        </w:pPr>
                      </w:p>
                    </w:tc>
                    <w:tc>
                      <w:tcPr>
                        <w:tcW w:w="1700" w:type="dxa"/>
                      </w:tcPr>
                      <w:p>
                        <w:pPr>
                          <w:pStyle w:val="TableParagraph"/>
                          <w:spacing w:line="250" w:lineRule="exact" w:before="1"/>
                          <w:ind w:left="199" w:right="195"/>
                          <w:rPr>
                            <w:sz w:val="21"/>
                          </w:rPr>
                        </w:pPr>
                        <w:r>
                          <w:rPr>
                            <w:sz w:val="21"/>
                          </w:rPr>
                          <w:t>联合村</w:t>
                        </w:r>
                      </w:p>
                    </w:tc>
                    <w:tc>
                      <w:tcPr>
                        <w:tcW w:w="1222" w:type="dxa"/>
                      </w:tcPr>
                      <w:p>
                        <w:pPr>
                          <w:pStyle w:val="TableParagraph"/>
                          <w:spacing w:line="250"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5"/>
                          <w:ind w:left="534" w:right="529"/>
                          <w:rPr>
                            <w:rFonts w:ascii="Times New Roman"/>
                            <w:sz w:val="21"/>
                          </w:rPr>
                        </w:pPr>
                        <w:r>
                          <w:rPr>
                            <w:rFonts w:ascii="Times New Roman"/>
                            <w:sz w:val="21"/>
                          </w:rPr>
                          <w:t>3.81E-03</w:t>
                        </w:r>
                      </w:p>
                    </w:tc>
                    <w:tc>
                      <w:tcPr>
                        <w:tcW w:w="1177" w:type="dxa"/>
                      </w:tcPr>
                      <w:p>
                        <w:pPr>
                          <w:pStyle w:val="TableParagraph"/>
                          <w:spacing w:line="236" w:lineRule="exact" w:before="15"/>
                          <w:ind w:left="166"/>
                          <w:jc w:val="left"/>
                          <w:rPr>
                            <w:rFonts w:ascii="Times New Roman"/>
                            <w:sz w:val="21"/>
                          </w:rPr>
                        </w:pPr>
                        <w:r>
                          <w:rPr>
                            <w:rFonts w:ascii="Times New Roman"/>
                            <w:sz w:val="21"/>
                          </w:rPr>
                          <w:t>20102020</w:t>
                        </w:r>
                      </w:p>
                    </w:tc>
                    <w:tc>
                      <w:tcPr>
                        <w:tcW w:w="1259" w:type="dxa"/>
                      </w:tcPr>
                      <w:p>
                        <w:pPr>
                          <w:pStyle w:val="TableParagraph"/>
                          <w:spacing w:line="236" w:lineRule="exact" w:before="15"/>
                          <w:ind w:right="440"/>
                          <w:jc w:val="right"/>
                          <w:rPr>
                            <w:rFonts w:ascii="Times New Roman"/>
                            <w:sz w:val="21"/>
                          </w:rPr>
                        </w:pPr>
                        <w:r>
                          <w:rPr>
                            <w:rFonts w:ascii="Times New Roman"/>
                            <w:sz w:val="21"/>
                          </w:rPr>
                          <w:t>0.85</w:t>
                        </w:r>
                      </w:p>
                    </w:tc>
                    <w:tc>
                      <w:tcPr>
                        <w:tcW w:w="1153" w:type="dxa"/>
                      </w:tcPr>
                      <w:p>
                        <w:pPr>
                          <w:pStyle w:val="TableParagraph"/>
                          <w:spacing w:line="250" w:lineRule="exact" w:before="1"/>
                          <w:ind w:left="12" w:right="13"/>
                          <w:rPr>
                            <w:sz w:val="21"/>
                          </w:rPr>
                        </w:pPr>
                        <w:r>
                          <w:rPr>
                            <w:sz w:val="21"/>
                          </w:rPr>
                          <w:t>达标</w:t>
                        </w:r>
                      </w:p>
                    </w:tc>
                  </w:tr>
                  <w:tr>
                    <w:trPr>
                      <w:trHeight w:val="273" w:hRule="atLeast"/>
                    </w:trPr>
                    <w:tc>
                      <w:tcPr>
                        <w:tcW w:w="955" w:type="dxa"/>
                        <w:vMerge/>
                        <w:tcBorders>
                          <w:top w:val="nil"/>
                        </w:tcBorders>
                      </w:tcPr>
                      <w:p>
                        <w:pPr>
                          <w:rPr>
                            <w:sz w:val="2"/>
                            <w:szCs w:val="2"/>
                          </w:rPr>
                        </w:pPr>
                      </w:p>
                    </w:tc>
                    <w:tc>
                      <w:tcPr>
                        <w:tcW w:w="1700" w:type="dxa"/>
                      </w:tcPr>
                      <w:p>
                        <w:pPr>
                          <w:pStyle w:val="TableParagraph"/>
                          <w:spacing w:line="252" w:lineRule="exact" w:before="1"/>
                          <w:ind w:left="199" w:right="195"/>
                          <w:rPr>
                            <w:sz w:val="21"/>
                          </w:rPr>
                        </w:pPr>
                        <w:r>
                          <w:rPr>
                            <w:sz w:val="21"/>
                          </w:rPr>
                          <w:t>珠海村</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7"/>
                          <w:ind w:left="534" w:right="529"/>
                          <w:rPr>
                            <w:rFonts w:ascii="Times New Roman"/>
                            <w:sz w:val="21"/>
                          </w:rPr>
                        </w:pPr>
                        <w:r>
                          <w:rPr>
                            <w:rFonts w:ascii="Times New Roman"/>
                            <w:sz w:val="21"/>
                          </w:rPr>
                          <w:t>3.43E-03</w:t>
                        </w:r>
                      </w:p>
                    </w:tc>
                    <w:tc>
                      <w:tcPr>
                        <w:tcW w:w="1177" w:type="dxa"/>
                      </w:tcPr>
                      <w:p>
                        <w:pPr>
                          <w:pStyle w:val="TableParagraph"/>
                          <w:spacing w:line="236" w:lineRule="exact" w:before="17"/>
                          <w:ind w:left="166"/>
                          <w:jc w:val="left"/>
                          <w:rPr>
                            <w:rFonts w:ascii="Times New Roman"/>
                            <w:sz w:val="21"/>
                          </w:rPr>
                        </w:pPr>
                        <w:r>
                          <w:rPr>
                            <w:rFonts w:ascii="Times New Roman"/>
                            <w:sz w:val="21"/>
                          </w:rPr>
                          <w:t>20121923</w:t>
                        </w:r>
                      </w:p>
                    </w:tc>
                    <w:tc>
                      <w:tcPr>
                        <w:tcW w:w="1259" w:type="dxa"/>
                      </w:tcPr>
                      <w:p>
                        <w:pPr>
                          <w:pStyle w:val="TableParagraph"/>
                          <w:spacing w:line="236" w:lineRule="exact" w:before="17"/>
                          <w:ind w:right="440"/>
                          <w:jc w:val="right"/>
                          <w:rPr>
                            <w:rFonts w:ascii="Times New Roman"/>
                            <w:sz w:val="21"/>
                          </w:rPr>
                        </w:pPr>
                        <w:r>
                          <w:rPr>
                            <w:rFonts w:ascii="Times New Roman"/>
                            <w:sz w:val="21"/>
                          </w:rPr>
                          <w:t>0.76</w:t>
                        </w:r>
                      </w:p>
                    </w:tc>
                    <w:tc>
                      <w:tcPr>
                        <w:tcW w:w="1153" w:type="dxa"/>
                      </w:tcPr>
                      <w:p>
                        <w:pPr>
                          <w:pStyle w:val="TableParagraph"/>
                          <w:spacing w:line="252" w:lineRule="exact" w:before="1"/>
                          <w:ind w:left="12" w:right="13"/>
                          <w:rPr>
                            <w:sz w:val="21"/>
                          </w:rPr>
                        </w:pPr>
                        <w:r>
                          <w:rPr>
                            <w:sz w:val="21"/>
                          </w:rPr>
                          <w:t>达标</w:t>
                        </w:r>
                      </w:p>
                    </w:tc>
                  </w:tr>
                  <w:tr>
                    <w:trPr>
                      <w:trHeight w:val="273" w:hRule="atLeast"/>
                    </w:trPr>
                    <w:tc>
                      <w:tcPr>
                        <w:tcW w:w="955" w:type="dxa"/>
                        <w:vMerge/>
                        <w:tcBorders>
                          <w:top w:val="nil"/>
                        </w:tcBorders>
                      </w:tcPr>
                      <w:p>
                        <w:pPr>
                          <w:rPr>
                            <w:sz w:val="2"/>
                            <w:szCs w:val="2"/>
                          </w:rPr>
                        </w:pPr>
                      </w:p>
                    </w:tc>
                    <w:tc>
                      <w:tcPr>
                        <w:tcW w:w="1700" w:type="dxa"/>
                      </w:tcPr>
                      <w:p>
                        <w:pPr>
                          <w:pStyle w:val="TableParagraph"/>
                          <w:spacing w:line="252" w:lineRule="exact" w:before="1"/>
                          <w:ind w:left="199" w:right="195"/>
                          <w:rPr>
                            <w:sz w:val="21"/>
                          </w:rPr>
                        </w:pPr>
                        <w:r>
                          <w:rPr>
                            <w:sz w:val="21"/>
                          </w:rPr>
                          <w:t>丰棉村</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8" w:lineRule="exact" w:before="15"/>
                          <w:ind w:left="534" w:right="529"/>
                          <w:rPr>
                            <w:rFonts w:ascii="Times New Roman"/>
                            <w:sz w:val="21"/>
                          </w:rPr>
                        </w:pPr>
                        <w:r>
                          <w:rPr>
                            <w:rFonts w:ascii="Times New Roman"/>
                            <w:sz w:val="21"/>
                          </w:rPr>
                          <w:t>2.80E-03</w:t>
                        </w:r>
                      </w:p>
                    </w:tc>
                    <w:tc>
                      <w:tcPr>
                        <w:tcW w:w="1177" w:type="dxa"/>
                      </w:tcPr>
                      <w:p>
                        <w:pPr>
                          <w:pStyle w:val="TableParagraph"/>
                          <w:spacing w:line="238" w:lineRule="exact" w:before="15"/>
                          <w:ind w:left="169"/>
                          <w:jc w:val="left"/>
                          <w:rPr>
                            <w:rFonts w:ascii="Times New Roman"/>
                            <w:sz w:val="21"/>
                          </w:rPr>
                        </w:pPr>
                        <w:r>
                          <w:rPr>
                            <w:rFonts w:ascii="Times New Roman"/>
                            <w:sz w:val="21"/>
                          </w:rPr>
                          <w:t>20011406</w:t>
                        </w:r>
                      </w:p>
                    </w:tc>
                    <w:tc>
                      <w:tcPr>
                        <w:tcW w:w="1259" w:type="dxa"/>
                      </w:tcPr>
                      <w:p>
                        <w:pPr>
                          <w:pStyle w:val="TableParagraph"/>
                          <w:spacing w:line="238" w:lineRule="exact" w:before="15"/>
                          <w:ind w:right="440"/>
                          <w:jc w:val="right"/>
                          <w:rPr>
                            <w:rFonts w:ascii="Times New Roman"/>
                            <w:sz w:val="21"/>
                          </w:rPr>
                        </w:pPr>
                        <w:r>
                          <w:rPr>
                            <w:rFonts w:ascii="Times New Roman"/>
                            <w:sz w:val="21"/>
                          </w:rPr>
                          <w:t>0.62</w:t>
                        </w:r>
                      </w:p>
                    </w:tc>
                    <w:tc>
                      <w:tcPr>
                        <w:tcW w:w="1153" w:type="dxa"/>
                      </w:tcPr>
                      <w:p>
                        <w:pPr>
                          <w:pStyle w:val="TableParagraph"/>
                          <w:spacing w:line="252" w:lineRule="exact" w:before="1"/>
                          <w:ind w:left="12" w:right="13"/>
                          <w:rPr>
                            <w:sz w:val="21"/>
                          </w:rPr>
                        </w:pPr>
                        <w:r>
                          <w:rPr>
                            <w:sz w:val="21"/>
                          </w:rPr>
                          <w:t>达标</w:t>
                        </w:r>
                      </w:p>
                    </w:tc>
                  </w:tr>
                  <w:tr>
                    <w:trPr>
                      <w:trHeight w:val="270" w:hRule="atLeast"/>
                    </w:trPr>
                    <w:tc>
                      <w:tcPr>
                        <w:tcW w:w="955" w:type="dxa"/>
                        <w:vMerge/>
                        <w:tcBorders>
                          <w:top w:val="nil"/>
                        </w:tcBorders>
                      </w:tcPr>
                      <w:p>
                        <w:pPr>
                          <w:rPr>
                            <w:sz w:val="2"/>
                            <w:szCs w:val="2"/>
                          </w:rPr>
                        </w:pPr>
                      </w:p>
                    </w:tc>
                    <w:tc>
                      <w:tcPr>
                        <w:tcW w:w="1700" w:type="dxa"/>
                      </w:tcPr>
                      <w:p>
                        <w:pPr>
                          <w:pStyle w:val="TableParagraph"/>
                          <w:spacing w:line="250" w:lineRule="exact" w:before="1"/>
                          <w:ind w:left="199" w:right="195"/>
                          <w:rPr>
                            <w:sz w:val="21"/>
                          </w:rPr>
                        </w:pPr>
                        <w:r>
                          <w:rPr>
                            <w:sz w:val="21"/>
                          </w:rPr>
                          <w:t>镇海村</w:t>
                        </w:r>
                      </w:p>
                    </w:tc>
                    <w:tc>
                      <w:tcPr>
                        <w:tcW w:w="1222" w:type="dxa"/>
                      </w:tcPr>
                      <w:p>
                        <w:pPr>
                          <w:pStyle w:val="TableParagraph"/>
                          <w:spacing w:line="250"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5"/>
                          <w:ind w:left="534" w:right="529"/>
                          <w:rPr>
                            <w:rFonts w:ascii="Times New Roman"/>
                            <w:sz w:val="21"/>
                          </w:rPr>
                        </w:pPr>
                        <w:r>
                          <w:rPr>
                            <w:rFonts w:ascii="Times New Roman"/>
                            <w:sz w:val="21"/>
                          </w:rPr>
                          <w:t>2.85E-03</w:t>
                        </w:r>
                      </w:p>
                    </w:tc>
                    <w:tc>
                      <w:tcPr>
                        <w:tcW w:w="1177" w:type="dxa"/>
                      </w:tcPr>
                      <w:p>
                        <w:pPr>
                          <w:pStyle w:val="TableParagraph"/>
                          <w:spacing w:line="236" w:lineRule="exact" w:before="15"/>
                          <w:ind w:left="174"/>
                          <w:jc w:val="left"/>
                          <w:rPr>
                            <w:rFonts w:ascii="Times New Roman"/>
                            <w:sz w:val="21"/>
                          </w:rPr>
                        </w:pPr>
                        <w:r>
                          <w:rPr>
                            <w:rFonts w:ascii="Times New Roman"/>
                            <w:sz w:val="21"/>
                          </w:rPr>
                          <w:t>20121116</w:t>
                        </w:r>
                      </w:p>
                    </w:tc>
                    <w:tc>
                      <w:tcPr>
                        <w:tcW w:w="1259" w:type="dxa"/>
                      </w:tcPr>
                      <w:p>
                        <w:pPr>
                          <w:pStyle w:val="TableParagraph"/>
                          <w:spacing w:line="236" w:lineRule="exact" w:before="15"/>
                          <w:ind w:right="440"/>
                          <w:jc w:val="right"/>
                          <w:rPr>
                            <w:rFonts w:ascii="Times New Roman"/>
                            <w:sz w:val="21"/>
                          </w:rPr>
                        </w:pPr>
                        <w:r>
                          <w:rPr>
                            <w:rFonts w:ascii="Times New Roman"/>
                            <w:sz w:val="21"/>
                          </w:rPr>
                          <w:t>0.63</w:t>
                        </w:r>
                      </w:p>
                    </w:tc>
                    <w:tc>
                      <w:tcPr>
                        <w:tcW w:w="1153" w:type="dxa"/>
                      </w:tcPr>
                      <w:p>
                        <w:pPr>
                          <w:pStyle w:val="TableParagraph"/>
                          <w:spacing w:line="250" w:lineRule="exact" w:before="1"/>
                          <w:ind w:left="12" w:right="13"/>
                          <w:rPr>
                            <w:sz w:val="21"/>
                          </w:rPr>
                        </w:pPr>
                        <w:r>
                          <w:rPr>
                            <w:sz w:val="21"/>
                          </w:rPr>
                          <w:t>达标</w:t>
                        </w:r>
                      </w:p>
                    </w:tc>
                  </w:tr>
                  <w:tr>
                    <w:trPr>
                      <w:trHeight w:val="273" w:hRule="atLeast"/>
                    </w:trPr>
                    <w:tc>
                      <w:tcPr>
                        <w:tcW w:w="955" w:type="dxa"/>
                        <w:vMerge/>
                        <w:tcBorders>
                          <w:top w:val="nil"/>
                        </w:tcBorders>
                      </w:tcPr>
                      <w:p>
                        <w:pPr>
                          <w:rPr>
                            <w:sz w:val="2"/>
                            <w:szCs w:val="2"/>
                          </w:rPr>
                        </w:pPr>
                      </w:p>
                    </w:tc>
                    <w:tc>
                      <w:tcPr>
                        <w:tcW w:w="1700" w:type="dxa"/>
                      </w:tcPr>
                      <w:p>
                        <w:pPr>
                          <w:pStyle w:val="TableParagraph"/>
                          <w:spacing w:line="252" w:lineRule="exact" w:before="1"/>
                          <w:ind w:left="199" w:right="195"/>
                          <w:rPr>
                            <w:sz w:val="21"/>
                          </w:rPr>
                        </w:pPr>
                        <w:r>
                          <w:rPr>
                            <w:sz w:val="21"/>
                          </w:rPr>
                          <w:t>镇东村</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8" w:lineRule="exact" w:before="15"/>
                          <w:ind w:left="534" w:right="529"/>
                          <w:rPr>
                            <w:rFonts w:ascii="Times New Roman"/>
                            <w:sz w:val="21"/>
                          </w:rPr>
                        </w:pPr>
                        <w:r>
                          <w:rPr>
                            <w:rFonts w:ascii="Times New Roman"/>
                            <w:sz w:val="21"/>
                          </w:rPr>
                          <w:t>2.15E-03</w:t>
                        </w:r>
                      </w:p>
                    </w:tc>
                    <w:tc>
                      <w:tcPr>
                        <w:tcW w:w="1177" w:type="dxa"/>
                      </w:tcPr>
                      <w:p>
                        <w:pPr>
                          <w:pStyle w:val="TableParagraph"/>
                          <w:spacing w:line="238" w:lineRule="exact" w:before="15"/>
                          <w:ind w:left="166"/>
                          <w:jc w:val="left"/>
                          <w:rPr>
                            <w:rFonts w:ascii="Times New Roman"/>
                            <w:sz w:val="21"/>
                          </w:rPr>
                        </w:pPr>
                        <w:r>
                          <w:rPr>
                            <w:rFonts w:ascii="Times New Roman"/>
                            <w:sz w:val="21"/>
                          </w:rPr>
                          <w:t>20091305</w:t>
                        </w:r>
                      </w:p>
                    </w:tc>
                    <w:tc>
                      <w:tcPr>
                        <w:tcW w:w="1259" w:type="dxa"/>
                      </w:tcPr>
                      <w:p>
                        <w:pPr>
                          <w:pStyle w:val="TableParagraph"/>
                          <w:spacing w:line="238" w:lineRule="exact" w:before="15"/>
                          <w:ind w:right="440"/>
                          <w:jc w:val="right"/>
                          <w:rPr>
                            <w:rFonts w:ascii="Times New Roman"/>
                            <w:sz w:val="21"/>
                          </w:rPr>
                        </w:pPr>
                        <w:r>
                          <w:rPr>
                            <w:rFonts w:ascii="Times New Roman"/>
                            <w:sz w:val="21"/>
                          </w:rPr>
                          <w:t>0.48</w:t>
                        </w:r>
                      </w:p>
                    </w:tc>
                    <w:tc>
                      <w:tcPr>
                        <w:tcW w:w="1153" w:type="dxa"/>
                      </w:tcPr>
                      <w:p>
                        <w:pPr>
                          <w:pStyle w:val="TableParagraph"/>
                          <w:spacing w:line="252" w:lineRule="exact" w:before="1"/>
                          <w:ind w:left="12" w:right="13"/>
                          <w:rPr>
                            <w:sz w:val="21"/>
                          </w:rPr>
                        </w:pPr>
                        <w:r>
                          <w:rPr>
                            <w:sz w:val="21"/>
                          </w:rPr>
                          <w:t>达标</w:t>
                        </w:r>
                      </w:p>
                    </w:tc>
                  </w:tr>
                  <w:tr>
                    <w:trPr>
                      <w:trHeight w:val="271" w:hRule="atLeast"/>
                    </w:trPr>
                    <w:tc>
                      <w:tcPr>
                        <w:tcW w:w="955" w:type="dxa"/>
                        <w:vMerge/>
                        <w:tcBorders>
                          <w:top w:val="nil"/>
                        </w:tcBorders>
                      </w:tcPr>
                      <w:p>
                        <w:pPr>
                          <w:rPr>
                            <w:sz w:val="2"/>
                            <w:szCs w:val="2"/>
                          </w:rPr>
                        </w:pPr>
                      </w:p>
                    </w:tc>
                    <w:tc>
                      <w:tcPr>
                        <w:tcW w:w="1700" w:type="dxa"/>
                      </w:tcPr>
                      <w:p>
                        <w:pPr>
                          <w:pStyle w:val="TableParagraph"/>
                          <w:spacing w:line="250" w:lineRule="exact" w:before="1"/>
                          <w:ind w:left="199" w:right="195"/>
                          <w:rPr>
                            <w:sz w:val="21"/>
                          </w:rPr>
                        </w:pPr>
                        <w:r>
                          <w:rPr>
                            <w:sz w:val="21"/>
                          </w:rPr>
                          <w:t>网格</w:t>
                        </w:r>
                      </w:p>
                    </w:tc>
                    <w:tc>
                      <w:tcPr>
                        <w:tcW w:w="1222" w:type="dxa"/>
                      </w:tcPr>
                      <w:p>
                        <w:pPr>
                          <w:pStyle w:val="TableParagraph"/>
                          <w:spacing w:line="250"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5"/>
                          <w:ind w:left="534" w:right="529"/>
                          <w:rPr>
                            <w:rFonts w:ascii="Times New Roman"/>
                            <w:sz w:val="21"/>
                          </w:rPr>
                        </w:pPr>
                        <w:r>
                          <w:rPr>
                            <w:rFonts w:ascii="Times New Roman"/>
                            <w:sz w:val="21"/>
                          </w:rPr>
                          <w:t>1.45E-02</w:t>
                        </w:r>
                      </w:p>
                    </w:tc>
                    <w:tc>
                      <w:tcPr>
                        <w:tcW w:w="1177" w:type="dxa"/>
                      </w:tcPr>
                      <w:p>
                        <w:pPr>
                          <w:pStyle w:val="TableParagraph"/>
                          <w:spacing w:line="236" w:lineRule="exact" w:before="15"/>
                          <w:ind w:left="166"/>
                          <w:jc w:val="left"/>
                          <w:rPr>
                            <w:rFonts w:ascii="Times New Roman"/>
                            <w:sz w:val="21"/>
                          </w:rPr>
                        </w:pPr>
                        <w:r>
                          <w:rPr>
                            <w:rFonts w:ascii="Times New Roman"/>
                            <w:sz w:val="21"/>
                          </w:rPr>
                          <w:t>20062607</w:t>
                        </w:r>
                      </w:p>
                    </w:tc>
                    <w:tc>
                      <w:tcPr>
                        <w:tcW w:w="1259" w:type="dxa"/>
                      </w:tcPr>
                      <w:p>
                        <w:pPr>
                          <w:pStyle w:val="TableParagraph"/>
                          <w:spacing w:line="236" w:lineRule="exact" w:before="15"/>
                          <w:ind w:right="440"/>
                          <w:jc w:val="right"/>
                          <w:rPr>
                            <w:rFonts w:ascii="Times New Roman"/>
                            <w:sz w:val="21"/>
                          </w:rPr>
                        </w:pPr>
                        <w:r>
                          <w:rPr>
                            <w:rFonts w:ascii="Times New Roman"/>
                            <w:sz w:val="21"/>
                          </w:rPr>
                          <w:t>3.23</w:t>
                        </w:r>
                      </w:p>
                    </w:tc>
                    <w:tc>
                      <w:tcPr>
                        <w:tcW w:w="1153" w:type="dxa"/>
                      </w:tcPr>
                      <w:p>
                        <w:pPr>
                          <w:pStyle w:val="TableParagraph"/>
                          <w:spacing w:line="250" w:lineRule="exact" w:before="1"/>
                          <w:ind w:left="12" w:right="13"/>
                          <w:rPr>
                            <w:sz w:val="21"/>
                          </w:rPr>
                        </w:pPr>
                        <w:r>
                          <w:rPr>
                            <w:sz w:val="21"/>
                          </w:rPr>
                          <w:t>达标</w:t>
                        </w:r>
                      </w:p>
                    </w:tc>
                  </w:tr>
                  <w:tr>
                    <w:trPr>
                      <w:trHeight w:val="273" w:hRule="atLeast"/>
                    </w:trPr>
                    <w:tc>
                      <w:tcPr>
                        <w:tcW w:w="955" w:type="dxa"/>
                        <w:vMerge w:val="restart"/>
                      </w:tcPr>
                      <w:p>
                        <w:pPr>
                          <w:pStyle w:val="TableParagraph"/>
                          <w:jc w:val="left"/>
                          <w:rPr>
                            <w:sz w:val="20"/>
                          </w:rPr>
                        </w:pPr>
                      </w:p>
                      <w:p>
                        <w:pPr>
                          <w:pStyle w:val="TableParagraph"/>
                          <w:jc w:val="left"/>
                          <w:rPr>
                            <w:sz w:val="20"/>
                          </w:rPr>
                        </w:pPr>
                      </w:p>
                      <w:p>
                        <w:pPr>
                          <w:pStyle w:val="TableParagraph"/>
                          <w:spacing w:before="1"/>
                          <w:jc w:val="left"/>
                          <w:rPr>
                            <w:sz w:val="25"/>
                          </w:rPr>
                        </w:pPr>
                      </w:p>
                      <w:p>
                        <w:pPr>
                          <w:pStyle w:val="TableParagraph"/>
                          <w:ind w:left="266"/>
                          <w:jc w:val="left"/>
                          <w:rPr>
                            <w:sz w:val="21"/>
                          </w:rPr>
                        </w:pPr>
                        <w:r>
                          <w:rPr>
                            <w:sz w:val="21"/>
                          </w:rPr>
                          <w:t>甲酸</w:t>
                        </w:r>
                      </w:p>
                    </w:tc>
                    <w:tc>
                      <w:tcPr>
                        <w:tcW w:w="1700" w:type="dxa"/>
                      </w:tcPr>
                      <w:p>
                        <w:pPr>
                          <w:pStyle w:val="TableParagraph"/>
                          <w:spacing w:line="252" w:lineRule="exact" w:before="1"/>
                          <w:ind w:left="199" w:right="195"/>
                          <w:rPr>
                            <w:sz w:val="21"/>
                          </w:rPr>
                        </w:pPr>
                        <w:r>
                          <w:rPr>
                            <w:sz w:val="21"/>
                          </w:rPr>
                          <w:t>开发区生活区</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8" w:lineRule="exact" w:before="15"/>
                          <w:ind w:left="534" w:right="529"/>
                          <w:rPr>
                            <w:rFonts w:ascii="Times New Roman"/>
                            <w:sz w:val="21"/>
                          </w:rPr>
                        </w:pPr>
                        <w:r>
                          <w:rPr>
                            <w:rFonts w:ascii="Times New Roman"/>
                            <w:sz w:val="21"/>
                          </w:rPr>
                          <w:t>4.68E-03</w:t>
                        </w:r>
                      </w:p>
                    </w:tc>
                    <w:tc>
                      <w:tcPr>
                        <w:tcW w:w="1177" w:type="dxa"/>
                      </w:tcPr>
                      <w:p>
                        <w:pPr>
                          <w:pStyle w:val="TableParagraph"/>
                          <w:spacing w:line="238" w:lineRule="exact" w:before="15"/>
                          <w:ind w:left="166"/>
                          <w:jc w:val="left"/>
                          <w:rPr>
                            <w:rFonts w:ascii="Times New Roman"/>
                            <w:sz w:val="21"/>
                          </w:rPr>
                        </w:pPr>
                        <w:r>
                          <w:rPr>
                            <w:rFonts w:ascii="Times New Roman"/>
                            <w:sz w:val="21"/>
                          </w:rPr>
                          <w:t>20012318</w:t>
                        </w:r>
                      </w:p>
                    </w:tc>
                    <w:tc>
                      <w:tcPr>
                        <w:tcW w:w="1259" w:type="dxa"/>
                      </w:tcPr>
                      <w:p>
                        <w:pPr>
                          <w:pStyle w:val="TableParagraph"/>
                          <w:spacing w:line="238" w:lineRule="exact" w:before="15"/>
                          <w:ind w:right="440"/>
                          <w:jc w:val="right"/>
                          <w:rPr>
                            <w:rFonts w:ascii="Times New Roman"/>
                            <w:sz w:val="21"/>
                          </w:rPr>
                        </w:pPr>
                        <w:r>
                          <w:rPr>
                            <w:rFonts w:ascii="Times New Roman"/>
                            <w:sz w:val="21"/>
                          </w:rPr>
                          <w:t>7.43</w:t>
                        </w:r>
                      </w:p>
                    </w:tc>
                    <w:tc>
                      <w:tcPr>
                        <w:tcW w:w="1153" w:type="dxa"/>
                      </w:tcPr>
                      <w:p>
                        <w:pPr>
                          <w:pStyle w:val="TableParagraph"/>
                          <w:spacing w:line="252" w:lineRule="exact" w:before="1"/>
                          <w:ind w:left="12" w:right="13"/>
                          <w:rPr>
                            <w:sz w:val="21"/>
                          </w:rPr>
                        </w:pPr>
                        <w:r>
                          <w:rPr>
                            <w:sz w:val="21"/>
                          </w:rPr>
                          <w:t>达标</w:t>
                        </w:r>
                      </w:p>
                    </w:tc>
                  </w:tr>
                  <w:tr>
                    <w:trPr>
                      <w:trHeight w:val="271" w:hRule="atLeast"/>
                    </w:trPr>
                    <w:tc>
                      <w:tcPr>
                        <w:tcW w:w="955" w:type="dxa"/>
                        <w:vMerge/>
                        <w:tcBorders>
                          <w:top w:val="nil"/>
                        </w:tcBorders>
                      </w:tcPr>
                      <w:p>
                        <w:pPr>
                          <w:rPr>
                            <w:sz w:val="2"/>
                            <w:szCs w:val="2"/>
                          </w:rPr>
                        </w:pPr>
                      </w:p>
                    </w:tc>
                    <w:tc>
                      <w:tcPr>
                        <w:tcW w:w="1700" w:type="dxa"/>
                      </w:tcPr>
                      <w:p>
                        <w:pPr>
                          <w:pStyle w:val="TableParagraph"/>
                          <w:spacing w:line="250" w:lineRule="exact" w:before="1"/>
                          <w:ind w:left="199" w:right="195"/>
                          <w:rPr>
                            <w:sz w:val="21"/>
                          </w:rPr>
                        </w:pPr>
                        <w:r>
                          <w:rPr>
                            <w:sz w:val="21"/>
                          </w:rPr>
                          <w:t>联合村</w:t>
                        </w:r>
                      </w:p>
                    </w:tc>
                    <w:tc>
                      <w:tcPr>
                        <w:tcW w:w="1222" w:type="dxa"/>
                      </w:tcPr>
                      <w:p>
                        <w:pPr>
                          <w:pStyle w:val="TableParagraph"/>
                          <w:spacing w:line="250"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5"/>
                          <w:ind w:left="534" w:right="529"/>
                          <w:rPr>
                            <w:rFonts w:ascii="Times New Roman"/>
                            <w:sz w:val="21"/>
                          </w:rPr>
                        </w:pPr>
                        <w:r>
                          <w:rPr>
                            <w:rFonts w:ascii="Times New Roman"/>
                            <w:sz w:val="21"/>
                          </w:rPr>
                          <w:t>5.98E-03</w:t>
                        </w:r>
                      </w:p>
                    </w:tc>
                    <w:tc>
                      <w:tcPr>
                        <w:tcW w:w="1177" w:type="dxa"/>
                      </w:tcPr>
                      <w:p>
                        <w:pPr>
                          <w:pStyle w:val="TableParagraph"/>
                          <w:spacing w:line="236" w:lineRule="exact" w:before="15"/>
                          <w:ind w:left="166"/>
                          <w:jc w:val="left"/>
                          <w:rPr>
                            <w:rFonts w:ascii="Times New Roman"/>
                            <w:sz w:val="21"/>
                          </w:rPr>
                        </w:pPr>
                        <w:r>
                          <w:rPr>
                            <w:rFonts w:ascii="Times New Roman"/>
                            <w:sz w:val="21"/>
                          </w:rPr>
                          <w:t>20102020</w:t>
                        </w:r>
                      </w:p>
                    </w:tc>
                    <w:tc>
                      <w:tcPr>
                        <w:tcW w:w="1259" w:type="dxa"/>
                      </w:tcPr>
                      <w:p>
                        <w:pPr>
                          <w:pStyle w:val="TableParagraph"/>
                          <w:spacing w:line="236" w:lineRule="exact" w:before="15"/>
                          <w:ind w:right="440"/>
                          <w:jc w:val="right"/>
                          <w:rPr>
                            <w:rFonts w:ascii="Times New Roman"/>
                            <w:sz w:val="21"/>
                          </w:rPr>
                        </w:pPr>
                        <w:r>
                          <w:rPr>
                            <w:rFonts w:ascii="Times New Roman"/>
                            <w:sz w:val="21"/>
                          </w:rPr>
                          <w:t>9.48</w:t>
                        </w:r>
                      </w:p>
                    </w:tc>
                    <w:tc>
                      <w:tcPr>
                        <w:tcW w:w="1153" w:type="dxa"/>
                      </w:tcPr>
                      <w:p>
                        <w:pPr>
                          <w:pStyle w:val="TableParagraph"/>
                          <w:spacing w:line="250" w:lineRule="exact" w:before="1"/>
                          <w:ind w:left="12" w:right="13"/>
                          <w:rPr>
                            <w:sz w:val="21"/>
                          </w:rPr>
                        </w:pPr>
                        <w:r>
                          <w:rPr>
                            <w:sz w:val="21"/>
                          </w:rPr>
                          <w:t>达标</w:t>
                        </w:r>
                      </w:p>
                    </w:tc>
                  </w:tr>
                  <w:tr>
                    <w:trPr>
                      <w:trHeight w:val="273" w:hRule="atLeast"/>
                    </w:trPr>
                    <w:tc>
                      <w:tcPr>
                        <w:tcW w:w="955" w:type="dxa"/>
                        <w:vMerge/>
                        <w:tcBorders>
                          <w:top w:val="nil"/>
                        </w:tcBorders>
                      </w:tcPr>
                      <w:p>
                        <w:pPr>
                          <w:rPr>
                            <w:sz w:val="2"/>
                            <w:szCs w:val="2"/>
                          </w:rPr>
                        </w:pPr>
                      </w:p>
                    </w:tc>
                    <w:tc>
                      <w:tcPr>
                        <w:tcW w:w="1700" w:type="dxa"/>
                      </w:tcPr>
                      <w:p>
                        <w:pPr>
                          <w:pStyle w:val="TableParagraph"/>
                          <w:spacing w:line="252" w:lineRule="exact" w:before="1"/>
                          <w:ind w:left="199" w:right="195"/>
                          <w:rPr>
                            <w:sz w:val="21"/>
                          </w:rPr>
                        </w:pPr>
                        <w:r>
                          <w:rPr>
                            <w:sz w:val="21"/>
                          </w:rPr>
                          <w:t>珠海村</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8" w:lineRule="exact" w:before="15"/>
                          <w:ind w:left="534" w:right="529"/>
                          <w:rPr>
                            <w:rFonts w:ascii="Times New Roman"/>
                            <w:sz w:val="21"/>
                          </w:rPr>
                        </w:pPr>
                        <w:r>
                          <w:rPr>
                            <w:rFonts w:ascii="Times New Roman"/>
                            <w:sz w:val="21"/>
                          </w:rPr>
                          <w:t>5.37E-03</w:t>
                        </w:r>
                      </w:p>
                    </w:tc>
                    <w:tc>
                      <w:tcPr>
                        <w:tcW w:w="1177" w:type="dxa"/>
                      </w:tcPr>
                      <w:p>
                        <w:pPr>
                          <w:pStyle w:val="TableParagraph"/>
                          <w:spacing w:line="238" w:lineRule="exact" w:before="15"/>
                          <w:ind w:left="166"/>
                          <w:jc w:val="left"/>
                          <w:rPr>
                            <w:rFonts w:ascii="Times New Roman"/>
                            <w:sz w:val="21"/>
                          </w:rPr>
                        </w:pPr>
                        <w:r>
                          <w:rPr>
                            <w:rFonts w:ascii="Times New Roman"/>
                            <w:sz w:val="21"/>
                          </w:rPr>
                          <w:t>20121923</w:t>
                        </w:r>
                      </w:p>
                    </w:tc>
                    <w:tc>
                      <w:tcPr>
                        <w:tcW w:w="1259" w:type="dxa"/>
                      </w:tcPr>
                      <w:p>
                        <w:pPr>
                          <w:pStyle w:val="TableParagraph"/>
                          <w:spacing w:line="238" w:lineRule="exact" w:before="15"/>
                          <w:ind w:right="440"/>
                          <w:jc w:val="right"/>
                          <w:rPr>
                            <w:rFonts w:ascii="Times New Roman"/>
                            <w:sz w:val="21"/>
                          </w:rPr>
                        </w:pPr>
                        <w:r>
                          <w:rPr>
                            <w:rFonts w:ascii="Times New Roman"/>
                            <w:sz w:val="21"/>
                          </w:rPr>
                          <w:t>8.52</w:t>
                        </w:r>
                      </w:p>
                    </w:tc>
                    <w:tc>
                      <w:tcPr>
                        <w:tcW w:w="1153" w:type="dxa"/>
                      </w:tcPr>
                      <w:p>
                        <w:pPr>
                          <w:pStyle w:val="TableParagraph"/>
                          <w:spacing w:line="252" w:lineRule="exact" w:before="1"/>
                          <w:ind w:left="12" w:right="13"/>
                          <w:rPr>
                            <w:sz w:val="21"/>
                          </w:rPr>
                        </w:pPr>
                        <w:r>
                          <w:rPr>
                            <w:sz w:val="21"/>
                          </w:rPr>
                          <w:t>达标</w:t>
                        </w:r>
                      </w:p>
                    </w:tc>
                  </w:tr>
                  <w:tr>
                    <w:trPr>
                      <w:trHeight w:val="271" w:hRule="atLeast"/>
                    </w:trPr>
                    <w:tc>
                      <w:tcPr>
                        <w:tcW w:w="955" w:type="dxa"/>
                        <w:vMerge/>
                        <w:tcBorders>
                          <w:top w:val="nil"/>
                        </w:tcBorders>
                      </w:tcPr>
                      <w:p>
                        <w:pPr>
                          <w:rPr>
                            <w:sz w:val="2"/>
                            <w:szCs w:val="2"/>
                          </w:rPr>
                        </w:pPr>
                      </w:p>
                    </w:tc>
                    <w:tc>
                      <w:tcPr>
                        <w:tcW w:w="1700" w:type="dxa"/>
                      </w:tcPr>
                      <w:p>
                        <w:pPr>
                          <w:pStyle w:val="TableParagraph"/>
                          <w:spacing w:line="250" w:lineRule="exact" w:before="1"/>
                          <w:ind w:left="199" w:right="195"/>
                          <w:rPr>
                            <w:sz w:val="21"/>
                          </w:rPr>
                        </w:pPr>
                        <w:r>
                          <w:rPr>
                            <w:sz w:val="21"/>
                          </w:rPr>
                          <w:t>丰棉村</w:t>
                        </w:r>
                      </w:p>
                    </w:tc>
                    <w:tc>
                      <w:tcPr>
                        <w:tcW w:w="1222" w:type="dxa"/>
                      </w:tcPr>
                      <w:p>
                        <w:pPr>
                          <w:pStyle w:val="TableParagraph"/>
                          <w:spacing w:line="250"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5"/>
                          <w:ind w:left="534" w:right="529"/>
                          <w:rPr>
                            <w:rFonts w:ascii="Times New Roman"/>
                            <w:sz w:val="21"/>
                          </w:rPr>
                        </w:pPr>
                        <w:r>
                          <w:rPr>
                            <w:rFonts w:ascii="Times New Roman"/>
                            <w:sz w:val="21"/>
                          </w:rPr>
                          <w:t>4.39E-03</w:t>
                        </w:r>
                      </w:p>
                    </w:tc>
                    <w:tc>
                      <w:tcPr>
                        <w:tcW w:w="1177" w:type="dxa"/>
                      </w:tcPr>
                      <w:p>
                        <w:pPr>
                          <w:pStyle w:val="TableParagraph"/>
                          <w:spacing w:line="236" w:lineRule="exact" w:before="15"/>
                          <w:ind w:left="169"/>
                          <w:jc w:val="left"/>
                          <w:rPr>
                            <w:rFonts w:ascii="Times New Roman"/>
                            <w:sz w:val="21"/>
                          </w:rPr>
                        </w:pPr>
                        <w:r>
                          <w:rPr>
                            <w:rFonts w:ascii="Times New Roman"/>
                            <w:sz w:val="21"/>
                          </w:rPr>
                          <w:t>20011406</w:t>
                        </w:r>
                      </w:p>
                    </w:tc>
                    <w:tc>
                      <w:tcPr>
                        <w:tcW w:w="1259" w:type="dxa"/>
                      </w:tcPr>
                      <w:p>
                        <w:pPr>
                          <w:pStyle w:val="TableParagraph"/>
                          <w:spacing w:line="236" w:lineRule="exact" w:before="15"/>
                          <w:ind w:right="440"/>
                          <w:jc w:val="right"/>
                          <w:rPr>
                            <w:rFonts w:ascii="Times New Roman"/>
                            <w:sz w:val="21"/>
                          </w:rPr>
                        </w:pPr>
                        <w:r>
                          <w:rPr>
                            <w:rFonts w:ascii="Times New Roman"/>
                            <w:sz w:val="21"/>
                          </w:rPr>
                          <w:t>6.96</w:t>
                        </w:r>
                      </w:p>
                    </w:tc>
                    <w:tc>
                      <w:tcPr>
                        <w:tcW w:w="1153" w:type="dxa"/>
                      </w:tcPr>
                      <w:p>
                        <w:pPr>
                          <w:pStyle w:val="TableParagraph"/>
                          <w:spacing w:line="250" w:lineRule="exact" w:before="1"/>
                          <w:ind w:left="12" w:right="13"/>
                          <w:rPr>
                            <w:sz w:val="21"/>
                          </w:rPr>
                        </w:pPr>
                        <w:r>
                          <w:rPr>
                            <w:sz w:val="21"/>
                          </w:rPr>
                          <w:t>达标</w:t>
                        </w:r>
                      </w:p>
                    </w:tc>
                  </w:tr>
                  <w:tr>
                    <w:trPr>
                      <w:trHeight w:val="273" w:hRule="atLeast"/>
                    </w:trPr>
                    <w:tc>
                      <w:tcPr>
                        <w:tcW w:w="955" w:type="dxa"/>
                        <w:vMerge/>
                        <w:tcBorders>
                          <w:top w:val="nil"/>
                        </w:tcBorders>
                      </w:tcPr>
                      <w:p>
                        <w:pPr>
                          <w:rPr>
                            <w:sz w:val="2"/>
                            <w:szCs w:val="2"/>
                          </w:rPr>
                        </w:pPr>
                      </w:p>
                    </w:tc>
                    <w:tc>
                      <w:tcPr>
                        <w:tcW w:w="1700" w:type="dxa"/>
                      </w:tcPr>
                      <w:p>
                        <w:pPr>
                          <w:pStyle w:val="TableParagraph"/>
                          <w:spacing w:line="250" w:lineRule="exact" w:before="3"/>
                          <w:ind w:left="199" w:right="195"/>
                          <w:rPr>
                            <w:sz w:val="21"/>
                          </w:rPr>
                        </w:pPr>
                        <w:r>
                          <w:rPr>
                            <w:sz w:val="21"/>
                          </w:rPr>
                          <w:t>镇海村</w:t>
                        </w:r>
                      </w:p>
                    </w:tc>
                    <w:tc>
                      <w:tcPr>
                        <w:tcW w:w="1222" w:type="dxa"/>
                      </w:tcPr>
                      <w:p>
                        <w:pPr>
                          <w:pStyle w:val="TableParagraph"/>
                          <w:spacing w:line="250" w:lineRule="exact" w:before="3"/>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7"/>
                          <w:ind w:left="534" w:right="529"/>
                          <w:rPr>
                            <w:rFonts w:ascii="Times New Roman"/>
                            <w:sz w:val="21"/>
                          </w:rPr>
                        </w:pPr>
                        <w:r>
                          <w:rPr>
                            <w:rFonts w:ascii="Times New Roman"/>
                            <w:sz w:val="21"/>
                          </w:rPr>
                          <w:t>4.46E-03</w:t>
                        </w:r>
                      </w:p>
                    </w:tc>
                    <w:tc>
                      <w:tcPr>
                        <w:tcW w:w="1177" w:type="dxa"/>
                      </w:tcPr>
                      <w:p>
                        <w:pPr>
                          <w:pStyle w:val="TableParagraph"/>
                          <w:spacing w:line="236" w:lineRule="exact" w:before="17"/>
                          <w:ind w:left="174"/>
                          <w:jc w:val="left"/>
                          <w:rPr>
                            <w:rFonts w:ascii="Times New Roman"/>
                            <w:sz w:val="21"/>
                          </w:rPr>
                        </w:pPr>
                        <w:r>
                          <w:rPr>
                            <w:rFonts w:ascii="Times New Roman"/>
                            <w:sz w:val="21"/>
                          </w:rPr>
                          <w:t>20121116</w:t>
                        </w:r>
                      </w:p>
                    </w:tc>
                    <w:tc>
                      <w:tcPr>
                        <w:tcW w:w="1259" w:type="dxa"/>
                      </w:tcPr>
                      <w:p>
                        <w:pPr>
                          <w:pStyle w:val="TableParagraph"/>
                          <w:spacing w:line="236" w:lineRule="exact" w:before="17"/>
                          <w:ind w:right="440"/>
                          <w:jc w:val="right"/>
                          <w:rPr>
                            <w:rFonts w:ascii="Times New Roman"/>
                            <w:sz w:val="21"/>
                          </w:rPr>
                        </w:pPr>
                        <w:r>
                          <w:rPr>
                            <w:rFonts w:ascii="Times New Roman"/>
                            <w:sz w:val="21"/>
                          </w:rPr>
                          <w:t>7.08</w:t>
                        </w:r>
                      </w:p>
                    </w:tc>
                    <w:tc>
                      <w:tcPr>
                        <w:tcW w:w="1153" w:type="dxa"/>
                      </w:tcPr>
                      <w:p>
                        <w:pPr>
                          <w:pStyle w:val="TableParagraph"/>
                          <w:spacing w:line="250" w:lineRule="exact" w:before="3"/>
                          <w:ind w:left="12" w:right="13"/>
                          <w:rPr>
                            <w:sz w:val="21"/>
                          </w:rPr>
                        </w:pPr>
                        <w:r>
                          <w:rPr>
                            <w:sz w:val="21"/>
                          </w:rPr>
                          <w:t>达标</w:t>
                        </w:r>
                      </w:p>
                    </w:tc>
                  </w:tr>
                  <w:tr>
                    <w:trPr>
                      <w:trHeight w:val="273" w:hRule="atLeast"/>
                    </w:trPr>
                    <w:tc>
                      <w:tcPr>
                        <w:tcW w:w="955" w:type="dxa"/>
                        <w:vMerge/>
                        <w:tcBorders>
                          <w:top w:val="nil"/>
                        </w:tcBorders>
                      </w:tcPr>
                      <w:p>
                        <w:pPr>
                          <w:rPr>
                            <w:sz w:val="2"/>
                            <w:szCs w:val="2"/>
                          </w:rPr>
                        </w:pPr>
                      </w:p>
                    </w:tc>
                    <w:tc>
                      <w:tcPr>
                        <w:tcW w:w="1700" w:type="dxa"/>
                      </w:tcPr>
                      <w:p>
                        <w:pPr>
                          <w:pStyle w:val="TableParagraph"/>
                          <w:spacing w:line="252" w:lineRule="exact" w:before="1"/>
                          <w:ind w:left="199" w:right="195"/>
                          <w:rPr>
                            <w:sz w:val="21"/>
                          </w:rPr>
                        </w:pPr>
                        <w:r>
                          <w:rPr>
                            <w:sz w:val="21"/>
                          </w:rPr>
                          <w:t>镇东村</w:t>
                        </w:r>
                      </w:p>
                    </w:tc>
                    <w:tc>
                      <w:tcPr>
                        <w:tcW w:w="1222" w:type="dxa"/>
                      </w:tcPr>
                      <w:p>
                        <w:pPr>
                          <w:pStyle w:val="TableParagraph"/>
                          <w:spacing w:line="252"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8" w:lineRule="exact" w:before="15"/>
                          <w:ind w:left="534" w:right="529"/>
                          <w:rPr>
                            <w:rFonts w:ascii="Times New Roman"/>
                            <w:sz w:val="21"/>
                          </w:rPr>
                        </w:pPr>
                        <w:r>
                          <w:rPr>
                            <w:rFonts w:ascii="Times New Roman"/>
                            <w:sz w:val="21"/>
                          </w:rPr>
                          <w:t>3.37E-03</w:t>
                        </w:r>
                      </w:p>
                    </w:tc>
                    <w:tc>
                      <w:tcPr>
                        <w:tcW w:w="1177" w:type="dxa"/>
                      </w:tcPr>
                      <w:p>
                        <w:pPr>
                          <w:pStyle w:val="TableParagraph"/>
                          <w:spacing w:line="238" w:lineRule="exact" w:before="15"/>
                          <w:ind w:left="166"/>
                          <w:jc w:val="left"/>
                          <w:rPr>
                            <w:rFonts w:ascii="Times New Roman"/>
                            <w:sz w:val="21"/>
                          </w:rPr>
                        </w:pPr>
                        <w:r>
                          <w:rPr>
                            <w:rFonts w:ascii="Times New Roman"/>
                            <w:sz w:val="21"/>
                          </w:rPr>
                          <w:t>20091305</w:t>
                        </w:r>
                      </w:p>
                    </w:tc>
                    <w:tc>
                      <w:tcPr>
                        <w:tcW w:w="1259" w:type="dxa"/>
                      </w:tcPr>
                      <w:p>
                        <w:pPr>
                          <w:pStyle w:val="TableParagraph"/>
                          <w:spacing w:line="238" w:lineRule="exact" w:before="15"/>
                          <w:ind w:right="440"/>
                          <w:jc w:val="right"/>
                          <w:rPr>
                            <w:rFonts w:ascii="Times New Roman"/>
                            <w:sz w:val="21"/>
                          </w:rPr>
                        </w:pPr>
                        <w:r>
                          <w:rPr>
                            <w:rFonts w:ascii="Times New Roman"/>
                            <w:sz w:val="21"/>
                          </w:rPr>
                          <w:t>5.35</w:t>
                        </w:r>
                      </w:p>
                    </w:tc>
                    <w:tc>
                      <w:tcPr>
                        <w:tcW w:w="1153" w:type="dxa"/>
                      </w:tcPr>
                      <w:p>
                        <w:pPr>
                          <w:pStyle w:val="TableParagraph"/>
                          <w:spacing w:line="252" w:lineRule="exact" w:before="1"/>
                          <w:ind w:left="12" w:right="13"/>
                          <w:rPr>
                            <w:sz w:val="21"/>
                          </w:rPr>
                        </w:pPr>
                        <w:r>
                          <w:rPr>
                            <w:sz w:val="21"/>
                          </w:rPr>
                          <w:t>达标</w:t>
                        </w:r>
                      </w:p>
                    </w:tc>
                  </w:tr>
                  <w:tr>
                    <w:trPr>
                      <w:trHeight w:val="271" w:hRule="atLeast"/>
                    </w:trPr>
                    <w:tc>
                      <w:tcPr>
                        <w:tcW w:w="955" w:type="dxa"/>
                        <w:vMerge/>
                        <w:tcBorders>
                          <w:top w:val="nil"/>
                        </w:tcBorders>
                      </w:tcPr>
                      <w:p>
                        <w:pPr>
                          <w:rPr>
                            <w:sz w:val="2"/>
                            <w:szCs w:val="2"/>
                          </w:rPr>
                        </w:pPr>
                      </w:p>
                    </w:tc>
                    <w:tc>
                      <w:tcPr>
                        <w:tcW w:w="1700" w:type="dxa"/>
                      </w:tcPr>
                      <w:p>
                        <w:pPr>
                          <w:pStyle w:val="TableParagraph"/>
                          <w:spacing w:line="250" w:lineRule="exact" w:before="1"/>
                          <w:ind w:left="199" w:right="195"/>
                          <w:rPr>
                            <w:sz w:val="21"/>
                          </w:rPr>
                        </w:pPr>
                        <w:r>
                          <w:rPr>
                            <w:sz w:val="21"/>
                          </w:rPr>
                          <w:t>网格</w:t>
                        </w:r>
                      </w:p>
                    </w:tc>
                    <w:tc>
                      <w:tcPr>
                        <w:tcW w:w="1222" w:type="dxa"/>
                      </w:tcPr>
                      <w:p>
                        <w:pPr>
                          <w:pStyle w:val="TableParagraph"/>
                          <w:spacing w:line="250" w:lineRule="exact" w:before="1"/>
                          <w:ind w:left="169" w:right="163"/>
                          <w:rPr>
                            <w:sz w:val="21"/>
                          </w:rPr>
                        </w:pPr>
                        <w:r>
                          <w:rPr>
                            <w:rFonts w:ascii="Times New Roman" w:eastAsia="Times New Roman"/>
                            <w:sz w:val="21"/>
                          </w:rPr>
                          <w:t>1 </w:t>
                        </w:r>
                        <w:r>
                          <w:rPr>
                            <w:sz w:val="21"/>
                          </w:rPr>
                          <w:t>小时</w:t>
                        </w:r>
                      </w:p>
                    </w:tc>
                    <w:tc>
                      <w:tcPr>
                        <w:tcW w:w="1885" w:type="dxa"/>
                      </w:tcPr>
                      <w:p>
                        <w:pPr>
                          <w:pStyle w:val="TableParagraph"/>
                          <w:spacing w:line="236" w:lineRule="exact" w:before="15"/>
                          <w:ind w:left="534" w:right="529"/>
                          <w:rPr>
                            <w:rFonts w:ascii="Times New Roman"/>
                            <w:sz w:val="21"/>
                          </w:rPr>
                        </w:pPr>
                        <w:r>
                          <w:rPr>
                            <w:rFonts w:ascii="Times New Roman"/>
                            <w:sz w:val="21"/>
                          </w:rPr>
                          <w:t>2.28E-02</w:t>
                        </w:r>
                      </w:p>
                    </w:tc>
                    <w:tc>
                      <w:tcPr>
                        <w:tcW w:w="1177" w:type="dxa"/>
                      </w:tcPr>
                      <w:p>
                        <w:pPr>
                          <w:pStyle w:val="TableParagraph"/>
                          <w:spacing w:line="236" w:lineRule="exact" w:before="15"/>
                          <w:ind w:left="166"/>
                          <w:jc w:val="left"/>
                          <w:rPr>
                            <w:rFonts w:ascii="Times New Roman"/>
                            <w:sz w:val="21"/>
                          </w:rPr>
                        </w:pPr>
                        <w:r>
                          <w:rPr>
                            <w:rFonts w:ascii="Times New Roman"/>
                            <w:sz w:val="21"/>
                          </w:rPr>
                          <w:t>20062607</w:t>
                        </w:r>
                      </w:p>
                    </w:tc>
                    <w:tc>
                      <w:tcPr>
                        <w:tcW w:w="1259" w:type="dxa"/>
                      </w:tcPr>
                      <w:p>
                        <w:pPr>
                          <w:pStyle w:val="TableParagraph"/>
                          <w:spacing w:line="236" w:lineRule="exact" w:before="15"/>
                          <w:ind w:right="387"/>
                          <w:jc w:val="right"/>
                          <w:rPr>
                            <w:rFonts w:ascii="Times New Roman"/>
                            <w:sz w:val="21"/>
                          </w:rPr>
                        </w:pPr>
                        <w:r>
                          <w:rPr>
                            <w:rFonts w:ascii="Times New Roman"/>
                            <w:sz w:val="21"/>
                          </w:rPr>
                          <w:t>36.18</w:t>
                        </w:r>
                      </w:p>
                    </w:tc>
                    <w:tc>
                      <w:tcPr>
                        <w:tcW w:w="1153" w:type="dxa"/>
                      </w:tcPr>
                      <w:p>
                        <w:pPr>
                          <w:pStyle w:val="TableParagraph"/>
                          <w:spacing w:line="250" w:lineRule="exact" w:before="1"/>
                          <w:ind w:left="12" w:right="13"/>
                          <w:rPr>
                            <w:sz w:val="21"/>
                          </w:rPr>
                        </w:pPr>
                        <w:r>
                          <w:rPr>
                            <w:sz w:val="21"/>
                          </w:rPr>
                          <w:t>达标</w:t>
                        </w:r>
                      </w:p>
                    </w:tc>
                  </w:tr>
                </w:tbl>
                <w:p>
                  <w:pPr>
                    <w:pStyle w:val="BodyText"/>
                  </w:pPr>
                </w:p>
              </w:txbxContent>
            </v:textbox>
            <w10:wrap type="none"/>
          </v:shape>
        </w:pict>
      </w:r>
      <w:r>
        <w:rPr>
          <w:position w:val="2"/>
          <w:sz w:val="24"/>
        </w:rPr>
        <w:t>表</w:t>
      </w:r>
      <w:r>
        <w:rPr>
          <w:spacing w:val="-1"/>
          <w:position w:val="2"/>
          <w:sz w:val="24"/>
        </w:rPr>
        <w:t> </w:t>
      </w:r>
      <w:r>
        <w:rPr>
          <w:rFonts w:ascii="Times New Roman" w:eastAsia="Times New Roman"/>
          <w:position w:val="2"/>
          <w:sz w:val="24"/>
        </w:rPr>
        <w:t>7.2.1-14</w:t>
      </w:r>
      <w:r>
        <w:rPr>
          <w:rFonts w:ascii="Times New Roman" w:eastAsia="Times New Roman"/>
          <w:spacing w:val="-1"/>
          <w:position w:val="2"/>
          <w:sz w:val="24"/>
        </w:rPr>
        <w:t> </w:t>
      </w:r>
      <w:r>
        <w:rPr>
          <w:position w:val="2"/>
          <w:sz w:val="24"/>
        </w:rPr>
        <w:t>给出了本项目非正常工况下甲酸、</w:t>
      </w:r>
      <w:r>
        <w:rPr>
          <w:rFonts w:ascii="Times New Roman" w:eastAsia="Times New Roman"/>
          <w:position w:val="2"/>
          <w:sz w:val="24"/>
        </w:rPr>
        <w:t>PM</w:t>
      </w:r>
      <w:r>
        <w:rPr>
          <w:rFonts w:ascii="Times New Roman" w:eastAsia="Times New Roman"/>
          <w:sz w:val="16"/>
        </w:rPr>
        <w:t>10</w:t>
      </w:r>
      <w:r>
        <w:rPr>
          <w:rFonts w:ascii="Times New Roman" w:eastAsia="Times New Roman"/>
          <w:spacing w:val="2"/>
          <w:sz w:val="16"/>
        </w:rPr>
        <w:t> </w:t>
      </w:r>
      <w:r>
        <w:rPr>
          <w:position w:val="2"/>
          <w:sz w:val="24"/>
        </w:rPr>
        <w:t>最大小时贡献</w:t>
      </w:r>
      <w:r>
        <w:rPr>
          <w:spacing w:val="-3"/>
          <w:position w:val="2"/>
          <w:sz w:val="24"/>
        </w:rPr>
        <w:t>浓</w:t>
      </w:r>
      <w:r>
        <w:rPr>
          <w:position w:val="2"/>
          <w:sz w:val="24"/>
        </w:rPr>
        <w:t>度预测结果</w:t>
      </w:r>
      <w:r>
        <w:rPr>
          <w:spacing w:val="-13"/>
          <w:position w:val="2"/>
          <w:sz w:val="24"/>
        </w:rPr>
        <w:t>。</w:t>
      </w:r>
      <w:r>
        <w:rPr>
          <w:b/>
          <w:sz w:val="24"/>
        </w:rPr>
        <w:t>表</w:t>
      </w:r>
      <w:r>
        <w:rPr>
          <w:b/>
          <w:spacing w:val="-60"/>
          <w:sz w:val="24"/>
        </w:rPr>
        <w:t> </w:t>
      </w:r>
      <w:r>
        <w:rPr>
          <w:rFonts w:ascii="Times New Roman" w:eastAsia="Times New Roman"/>
          <w:b/>
          <w:sz w:val="24"/>
        </w:rPr>
        <w:t>7.2.1-14</w:t>
        <w:tab/>
      </w:r>
      <w:r>
        <w:rPr>
          <w:b/>
          <w:sz w:val="24"/>
        </w:rPr>
        <w:t>非正常工况污染物小时浓度最大值预测结果</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line="364" w:lineRule="auto" w:before="169"/>
        <w:ind w:left="231" w:right="219" w:firstLine="479"/>
        <w:jc w:val="both"/>
      </w:pPr>
      <w:r>
        <w:rPr>
          <w:spacing w:val="-4"/>
          <w:position w:val="2"/>
        </w:rPr>
        <w:t>非正常排放预测结果显示，本项目污染物非正常排放情况下，甲酸、</w:t>
      </w:r>
      <w:r>
        <w:rPr>
          <w:rFonts w:ascii="Times New Roman" w:eastAsia="Times New Roman"/>
          <w:position w:val="2"/>
        </w:rPr>
        <w:t>PM</w:t>
      </w:r>
      <w:r>
        <w:rPr>
          <w:rFonts w:ascii="Times New Roman" w:eastAsia="Times New Roman"/>
          <w:sz w:val="16"/>
        </w:rPr>
        <w:t>10 </w:t>
      </w:r>
      <w:r>
        <w:rPr>
          <w:spacing w:val="-4"/>
          <w:position w:val="2"/>
        </w:rPr>
        <w:t>污染物的</w:t>
      </w:r>
      <w:r>
        <w:rPr/>
        <w:t>最大小时浓度贡献值未出现超标情况。企业仍必须严格控制非正常工况的产生，若有此类情况，需要采取相应应急措施。</w:t>
      </w:r>
    </w:p>
    <w:p>
      <w:pPr>
        <w:spacing w:after="0" w:line="364" w:lineRule="auto"/>
        <w:jc w:val="both"/>
        <w:sectPr>
          <w:pgSz w:w="11910" w:h="16850"/>
          <w:pgMar w:header="1004" w:footer="1088" w:top="1360" w:bottom="1280" w:left="1300" w:right="1020"/>
        </w:sectPr>
      </w:pPr>
    </w:p>
    <w:p>
      <w:pPr>
        <w:pStyle w:val="BodyText"/>
        <w:spacing w:before="9"/>
        <w:rPr>
          <w:sz w:val="4"/>
        </w:rPr>
      </w:pPr>
    </w:p>
    <w:p>
      <w:pPr>
        <w:pStyle w:val="BodyText"/>
        <w:ind w:left="718"/>
        <w:rPr>
          <w:sz w:val="20"/>
        </w:rPr>
      </w:pPr>
      <w:r>
        <w:rPr>
          <w:sz w:val="20"/>
        </w:rPr>
        <w:drawing>
          <wp:inline distT="0" distB="0" distL="0" distR="0">
            <wp:extent cx="5139145" cy="3756183"/>
            <wp:effectExtent l="0" t="0" r="0" b="0"/>
            <wp:docPr id="63" name="image54.jpeg"/>
            <wp:cNvGraphicFramePr>
              <a:graphicFrameLocks noChangeAspect="1"/>
            </wp:cNvGraphicFramePr>
            <a:graphic>
              <a:graphicData uri="http://schemas.openxmlformats.org/drawingml/2006/picture">
                <pic:pic>
                  <pic:nvPicPr>
                    <pic:cNvPr id="64" name="image54.jpeg"/>
                    <pic:cNvPicPr/>
                  </pic:nvPicPr>
                  <pic:blipFill>
                    <a:blip r:embed="rId115" cstate="print"/>
                    <a:stretch>
                      <a:fillRect/>
                    </a:stretch>
                  </pic:blipFill>
                  <pic:spPr>
                    <a:xfrm>
                      <a:off x="0" y="0"/>
                      <a:ext cx="5139145" cy="3756183"/>
                    </a:xfrm>
                    <a:prstGeom prst="rect">
                      <a:avLst/>
                    </a:prstGeom>
                  </pic:spPr>
                </pic:pic>
              </a:graphicData>
            </a:graphic>
          </wp:inline>
        </w:drawing>
      </w:r>
      <w:r>
        <w:rPr>
          <w:sz w:val="20"/>
        </w:rPr>
      </w:r>
    </w:p>
    <w:p>
      <w:pPr>
        <w:pStyle w:val="BodyText"/>
        <w:spacing w:before="12"/>
        <w:rPr>
          <w:sz w:val="7"/>
        </w:rPr>
      </w:pPr>
    </w:p>
    <w:p>
      <w:pPr>
        <w:pStyle w:val="Heading4"/>
        <w:spacing w:before="82"/>
        <w:ind w:left="5"/>
        <w:jc w:val="center"/>
      </w:pPr>
      <w:r>
        <w:rPr>
          <w:spacing w:val="-31"/>
          <w:position w:val="1"/>
        </w:rPr>
        <w:t>图 </w:t>
      </w:r>
      <w:r>
        <w:rPr>
          <w:rFonts w:ascii="Times New Roman" w:eastAsia="Times New Roman"/>
          <w:position w:val="1"/>
        </w:rPr>
        <w:t>7.2.1-17</w:t>
      </w:r>
      <w:r>
        <w:rPr>
          <w:rFonts w:ascii="Times New Roman" w:eastAsia="Times New Roman"/>
          <w:spacing w:val="56"/>
          <w:position w:val="1"/>
        </w:rPr>
        <w:t> </w:t>
      </w:r>
      <w:r>
        <w:rPr>
          <w:spacing w:val="-11"/>
          <w:position w:val="1"/>
        </w:rPr>
        <w:t>非正常排放 </w:t>
      </w:r>
      <w:r>
        <w:rPr>
          <w:rFonts w:ascii="Times New Roman" w:eastAsia="Times New Roman"/>
          <w:position w:val="1"/>
        </w:rPr>
        <w:t>PM</w:t>
      </w:r>
      <w:r>
        <w:rPr>
          <w:rFonts w:ascii="Times New Roman" w:eastAsia="Times New Roman"/>
          <w:sz w:val="16"/>
        </w:rPr>
        <w:t>10 </w:t>
      </w:r>
      <w:r>
        <w:rPr>
          <w:position w:val="1"/>
        </w:rPr>
        <w:t>小时贡献浓度最大值分布图（</w:t>
      </w:r>
      <w:r>
        <w:rPr>
          <w:rFonts w:ascii="Times New Roman" w:eastAsia="Times New Roman"/>
          <w:position w:val="1"/>
        </w:rPr>
        <w:t>mg/m</w:t>
      </w:r>
      <w:r>
        <w:rPr>
          <w:rFonts w:ascii="Times New Roman" w:eastAsia="Times New Roman"/>
          <w:position w:val="9"/>
          <w:sz w:val="16"/>
        </w:rPr>
        <w:t>3</w:t>
      </w:r>
      <w:r>
        <w:rPr>
          <w:position w:val="1"/>
        </w:rPr>
        <w:t>）</w:t>
      </w:r>
    </w:p>
    <w:p>
      <w:pPr>
        <w:pStyle w:val="BodyText"/>
        <w:spacing w:before="3"/>
        <w:rPr>
          <w:b/>
          <w:sz w:val="9"/>
        </w:rPr>
      </w:pPr>
      <w:r>
        <w:rPr/>
        <w:drawing>
          <wp:anchor distT="0" distB="0" distL="0" distR="0" allowOverlap="1" layoutInCell="1" locked="0" behindDoc="0" simplePos="0" relativeHeight="230">
            <wp:simplePos x="0" y="0"/>
            <wp:positionH relativeFrom="page">
              <wp:posOffset>1303019</wp:posOffset>
            </wp:positionH>
            <wp:positionV relativeFrom="paragraph">
              <wp:posOffset>100094</wp:posOffset>
            </wp:positionV>
            <wp:extent cx="5098173" cy="3756183"/>
            <wp:effectExtent l="0" t="0" r="0" b="0"/>
            <wp:wrapTopAndBottom/>
            <wp:docPr id="65" name="image55.jpeg"/>
            <wp:cNvGraphicFramePr>
              <a:graphicFrameLocks noChangeAspect="1"/>
            </wp:cNvGraphicFramePr>
            <a:graphic>
              <a:graphicData uri="http://schemas.openxmlformats.org/drawingml/2006/picture">
                <pic:pic>
                  <pic:nvPicPr>
                    <pic:cNvPr id="66" name="image55.jpeg"/>
                    <pic:cNvPicPr/>
                  </pic:nvPicPr>
                  <pic:blipFill>
                    <a:blip r:embed="rId116" cstate="print"/>
                    <a:stretch>
                      <a:fillRect/>
                    </a:stretch>
                  </pic:blipFill>
                  <pic:spPr>
                    <a:xfrm>
                      <a:off x="0" y="0"/>
                      <a:ext cx="5098173" cy="3756183"/>
                    </a:xfrm>
                    <a:prstGeom prst="rect">
                      <a:avLst/>
                    </a:prstGeom>
                  </pic:spPr>
                </pic:pic>
              </a:graphicData>
            </a:graphic>
          </wp:anchor>
        </w:drawing>
      </w:r>
    </w:p>
    <w:p>
      <w:pPr>
        <w:spacing w:before="156"/>
        <w:ind w:left="5" w:right="0" w:firstLine="0"/>
        <w:jc w:val="center"/>
        <w:rPr>
          <w:b/>
          <w:sz w:val="24"/>
        </w:rPr>
      </w:pPr>
      <w:r>
        <w:rPr>
          <w:b/>
          <w:spacing w:val="-31"/>
          <w:sz w:val="24"/>
        </w:rPr>
        <w:t>图 </w:t>
      </w:r>
      <w:r>
        <w:rPr>
          <w:rFonts w:ascii="Times New Roman" w:eastAsia="Times New Roman"/>
          <w:b/>
          <w:sz w:val="24"/>
        </w:rPr>
        <w:t>7.2.1-18</w:t>
      </w:r>
      <w:r>
        <w:rPr>
          <w:rFonts w:ascii="Times New Roman" w:eastAsia="Times New Roman"/>
          <w:b/>
          <w:spacing w:val="55"/>
          <w:sz w:val="24"/>
        </w:rPr>
        <w:t> </w:t>
      </w:r>
      <w:r>
        <w:rPr>
          <w:b/>
          <w:sz w:val="24"/>
        </w:rPr>
        <w:t>非正常排放甲酸小时贡献浓度最大值分布图（</w:t>
      </w:r>
      <w:r>
        <w:rPr>
          <w:rFonts w:ascii="Times New Roman" w:eastAsia="Times New Roman"/>
          <w:b/>
          <w:sz w:val="24"/>
        </w:rPr>
        <w:t>mg/m</w:t>
      </w:r>
      <w:r>
        <w:rPr>
          <w:rFonts w:ascii="Times New Roman" w:eastAsia="Times New Roman"/>
          <w:b/>
          <w:position w:val="8"/>
          <w:sz w:val="16"/>
        </w:rPr>
        <w:t>3</w:t>
      </w:r>
      <w:r>
        <w:rPr>
          <w:b/>
          <w:sz w:val="24"/>
        </w:rPr>
        <w:t>）</w:t>
      </w:r>
    </w:p>
    <w:p>
      <w:pPr>
        <w:spacing w:before="158"/>
        <w:ind w:left="714" w:right="0" w:firstLine="0"/>
        <w:jc w:val="left"/>
        <w:rPr>
          <w:b/>
          <w:sz w:val="24"/>
        </w:rPr>
      </w:pPr>
      <w:r>
        <w:rPr>
          <w:rFonts w:ascii="Times New Roman" w:eastAsia="Times New Roman"/>
          <w:b/>
          <w:sz w:val="24"/>
        </w:rPr>
        <w:t>4</w:t>
      </w:r>
      <w:r>
        <w:rPr>
          <w:b/>
          <w:sz w:val="24"/>
        </w:rPr>
        <w:t>、防护距离确定</w:t>
      </w:r>
    </w:p>
    <w:p>
      <w:pPr>
        <w:pStyle w:val="BodyText"/>
        <w:spacing w:before="160"/>
        <w:ind w:left="711"/>
      </w:pPr>
      <w:r>
        <w:rPr>
          <w:spacing w:val="-12"/>
        </w:rPr>
        <w:t>经计算，本项目所有污染物对厂界外主要污染物的短期贡献浓度均未出现超标区域，</w:t>
      </w:r>
    </w:p>
    <w:p>
      <w:pPr>
        <w:spacing w:after="0"/>
        <w:sectPr>
          <w:pgSz w:w="11910" w:h="16850"/>
          <w:pgMar w:header="1004" w:footer="1088" w:top="1360" w:bottom="1280" w:left="1300" w:right="1020"/>
        </w:sectPr>
      </w:pPr>
    </w:p>
    <w:p>
      <w:pPr>
        <w:pStyle w:val="BodyText"/>
        <w:spacing w:before="64"/>
        <w:ind w:left="231"/>
      </w:pPr>
      <w:r>
        <w:rPr/>
        <w:t>因此项目无需设置大气环境防护距离。</w:t>
      </w:r>
    </w:p>
    <w:p>
      <w:pPr>
        <w:pStyle w:val="Heading4"/>
        <w:spacing w:before="160"/>
        <w:ind w:left="714"/>
      </w:pPr>
      <w:r>
        <w:rPr>
          <w:rFonts w:ascii="Times New Roman" w:eastAsia="Times New Roman"/>
        </w:rPr>
        <w:t>5</w:t>
      </w:r>
      <w:r>
        <w:rPr/>
        <w:t>、污染物核算</w:t>
      </w:r>
    </w:p>
    <w:p>
      <w:pPr>
        <w:pStyle w:val="BodyText"/>
        <w:tabs>
          <w:tab w:pos="4108" w:val="left" w:leader="none"/>
        </w:tabs>
        <w:spacing w:line="364" w:lineRule="auto" w:before="158"/>
        <w:ind w:left="231" w:right="224" w:firstLine="479"/>
      </w:pPr>
      <w:r>
        <w:rPr>
          <w:spacing w:val="2"/>
        </w:rPr>
        <w:t>根据《环境影响评价技术导</w:t>
      </w:r>
      <w:r>
        <w:rPr/>
        <w:t>则</w:t>
        <w:tab/>
      </w:r>
      <w:r>
        <w:rPr>
          <w:spacing w:val="2"/>
        </w:rPr>
        <w:t>大气环境</w:t>
      </w:r>
      <w:r>
        <w:rPr>
          <w:spacing w:val="-118"/>
        </w:rPr>
        <w:t>》</w:t>
      </w:r>
      <w:r>
        <w:rPr>
          <w:spacing w:val="6"/>
        </w:rPr>
        <w:t>（</w:t>
      </w:r>
      <w:r>
        <w:rPr>
          <w:rFonts w:ascii="Times New Roman" w:eastAsia="Times New Roman"/>
          <w:w w:val="99"/>
        </w:rPr>
        <w:t>HJ2.</w:t>
      </w:r>
      <w:r>
        <w:rPr>
          <w:rFonts w:ascii="Times New Roman" w:eastAsia="Times New Roman"/>
          <w:spacing w:val="-1"/>
          <w:w w:val="99"/>
        </w:rPr>
        <w:t>2</w:t>
      </w:r>
      <w:r>
        <w:rPr>
          <w:rFonts w:ascii="Times New Roman" w:eastAsia="Times New Roman"/>
          <w:spacing w:val="-1"/>
          <w:w w:val="99"/>
        </w:rPr>
        <w:t>-</w:t>
      </w:r>
      <w:r>
        <w:rPr>
          <w:rFonts w:ascii="Times New Roman" w:eastAsia="Times New Roman"/>
          <w:w w:val="99"/>
        </w:rPr>
        <w:t>201</w:t>
      </w:r>
      <w:r>
        <w:rPr>
          <w:rFonts w:ascii="Times New Roman" w:eastAsia="Times New Roman"/>
          <w:spacing w:val="2"/>
          <w:w w:val="99"/>
        </w:rPr>
        <w:t>8</w:t>
      </w:r>
      <w:r>
        <w:rPr>
          <w:spacing w:val="-118"/>
          <w:w w:val="99"/>
        </w:rPr>
        <w:t>）</w:t>
      </w:r>
      <w:r>
        <w:rPr>
          <w:spacing w:val="2"/>
          <w:w w:val="99"/>
        </w:rPr>
        <w:t>，一级</w:t>
      </w:r>
      <w:r>
        <w:rPr>
          <w:spacing w:val="4"/>
          <w:w w:val="99"/>
        </w:rPr>
        <w:t>评</w:t>
      </w:r>
      <w:r>
        <w:rPr>
          <w:spacing w:val="2"/>
          <w:w w:val="99"/>
        </w:rPr>
        <w:t>价需对污染物</w:t>
      </w:r>
      <w:r>
        <w:rPr>
          <w:spacing w:val="-13"/>
          <w:w w:val="99"/>
        </w:rPr>
        <w:t>排</w:t>
      </w:r>
      <w:r>
        <w:rPr/>
        <w:t>放量进行核算，其核算情况具体如下：</w:t>
      </w:r>
    </w:p>
    <w:p>
      <w:pPr>
        <w:pStyle w:val="ListParagraph"/>
        <w:numPr>
          <w:ilvl w:val="4"/>
          <w:numId w:val="26"/>
        </w:numPr>
        <w:tabs>
          <w:tab w:pos="993" w:val="left" w:leader="none"/>
        </w:tabs>
        <w:spacing w:line="306" w:lineRule="exact" w:before="0" w:after="0"/>
        <w:ind w:left="992" w:right="0" w:hanging="282"/>
        <w:jc w:val="left"/>
        <w:rPr>
          <w:sz w:val="24"/>
        </w:rPr>
      </w:pPr>
      <w:r>
        <w:rPr>
          <w:sz w:val="24"/>
        </w:rPr>
        <w:t>有组织排放量核算</w:t>
      </w:r>
    </w:p>
    <w:p>
      <w:pPr>
        <w:pStyle w:val="BodyText"/>
        <w:spacing w:before="7"/>
        <w:rPr>
          <w:sz w:val="23"/>
        </w:rPr>
      </w:pPr>
    </w:p>
    <w:p>
      <w:pPr>
        <w:pStyle w:val="Heading4"/>
        <w:tabs>
          <w:tab w:pos="1345" w:val="left" w:leader="none"/>
        </w:tabs>
        <w:spacing w:before="1" w:after="28"/>
        <w:ind w:left="3"/>
        <w:jc w:val="center"/>
      </w:pPr>
      <w:r>
        <w:rPr/>
        <w:t>表</w:t>
      </w:r>
      <w:r>
        <w:rPr>
          <w:spacing w:val="-59"/>
        </w:rPr>
        <w:t> </w:t>
      </w:r>
      <w:r>
        <w:rPr>
          <w:rFonts w:ascii="Times New Roman" w:eastAsia="Times New Roman"/>
        </w:rPr>
        <w:t>7.2.1-15</w:t>
        <w:tab/>
      </w:r>
      <w:r>
        <w:rPr/>
        <w:t>大气污染物有组织排放量核算表</w:t>
      </w:r>
    </w:p>
    <w:tbl>
      <w:tblPr>
        <w:tblW w:w="0" w:type="auto"/>
        <w:jc w:val="left"/>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1950"/>
        <w:gridCol w:w="1169"/>
        <w:gridCol w:w="1899"/>
        <w:gridCol w:w="1829"/>
        <w:gridCol w:w="1580"/>
      </w:tblGrid>
      <w:tr>
        <w:trPr>
          <w:trHeight w:val="479" w:hRule="atLeast"/>
        </w:trPr>
        <w:tc>
          <w:tcPr>
            <w:tcW w:w="821" w:type="dxa"/>
          </w:tcPr>
          <w:p>
            <w:pPr>
              <w:pStyle w:val="TableParagraph"/>
              <w:spacing w:before="102"/>
              <w:ind w:left="179" w:right="170"/>
              <w:rPr>
                <w:b/>
                <w:sz w:val="21"/>
              </w:rPr>
            </w:pPr>
            <w:r>
              <w:rPr>
                <w:b/>
                <w:sz w:val="21"/>
              </w:rPr>
              <w:t>序号</w:t>
            </w:r>
          </w:p>
        </w:tc>
        <w:tc>
          <w:tcPr>
            <w:tcW w:w="1950" w:type="dxa"/>
          </w:tcPr>
          <w:p>
            <w:pPr>
              <w:pStyle w:val="TableParagraph"/>
              <w:spacing w:before="102"/>
              <w:ind w:left="278" w:right="266"/>
              <w:rPr>
                <w:b/>
                <w:sz w:val="21"/>
              </w:rPr>
            </w:pPr>
            <w:r>
              <w:rPr>
                <w:b/>
                <w:sz w:val="21"/>
              </w:rPr>
              <w:t>排放口编号</w:t>
            </w:r>
          </w:p>
        </w:tc>
        <w:tc>
          <w:tcPr>
            <w:tcW w:w="1169" w:type="dxa"/>
          </w:tcPr>
          <w:p>
            <w:pPr>
              <w:pStyle w:val="TableParagraph"/>
              <w:spacing w:before="102"/>
              <w:ind w:left="137" w:right="132"/>
              <w:rPr>
                <w:b/>
                <w:sz w:val="21"/>
              </w:rPr>
            </w:pPr>
            <w:r>
              <w:rPr>
                <w:b/>
                <w:sz w:val="21"/>
              </w:rPr>
              <w:t>污染物</w:t>
            </w:r>
          </w:p>
        </w:tc>
        <w:tc>
          <w:tcPr>
            <w:tcW w:w="1899" w:type="dxa"/>
          </w:tcPr>
          <w:p>
            <w:pPr>
              <w:pStyle w:val="TableParagraph"/>
              <w:spacing w:line="243" w:lineRule="exact"/>
              <w:ind w:left="296" w:right="287"/>
              <w:rPr>
                <w:b/>
                <w:sz w:val="21"/>
              </w:rPr>
            </w:pPr>
            <w:r>
              <w:rPr>
                <w:b/>
                <w:sz w:val="21"/>
              </w:rPr>
              <w:t>核算排放速率</w:t>
            </w:r>
          </w:p>
          <w:p>
            <w:pPr>
              <w:pStyle w:val="TableParagraph"/>
              <w:spacing w:line="216" w:lineRule="exact"/>
              <w:ind w:left="292" w:right="287"/>
              <w:rPr>
                <w:rFonts w:ascii="Times New Roman"/>
                <w:b/>
                <w:sz w:val="21"/>
              </w:rPr>
            </w:pPr>
            <w:r>
              <w:rPr>
                <w:rFonts w:ascii="Times New Roman"/>
                <w:b/>
                <w:sz w:val="21"/>
              </w:rPr>
              <w:t>(kg/h)</w:t>
            </w:r>
          </w:p>
        </w:tc>
        <w:tc>
          <w:tcPr>
            <w:tcW w:w="1829" w:type="dxa"/>
          </w:tcPr>
          <w:p>
            <w:pPr>
              <w:pStyle w:val="TableParagraph"/>
              <w:spacing w:line="241" w:lineRule="exact"/>
              <w:ind w:left="260" w:right="254"/>
              <w:rPr>
                <w:b/>
                <w:sz w:val="21"/>
              </w:rPr>
            </w:pPr>
            <w:r>
              <w:rPr>
                <w:b/>
                <w:sz w:val="21"/>
              </w:rPr>
              <w:t>核算排放浓度</w:t>
            </w:r>
          </w:p>
          <w:p>
            <w:pPr>
              <w:pStyle w:val="TableParagraph"/>
              <w:spacing w:line="219" w:lineRule="exact"/>
              <w:ind w:left="260" w:right="253"/>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1580" w:type="dxa"/>
          </w:tcPr>
          <w:p>
            <w:pPr>
              <w:pStyle w:val="TableParagraph"/>
              <w:spacing w:line="243" w:lineRule="exact"/>
              <w:ind w:left="136" w:right="129"/>
              <w:rPr>
                <w:b/>
                <w:sz w:val="21"/>
              </w:rPr>
            </w:pPr>
            <w:r>
              <w:rPr>
                <w:b/>
                <w:sz w:val="21"/>
              </w:rPr>
              <w:t>核算年排放量</w:t>
            </w:r>
          </w:p>
          <w:p>
            <w:pPr>
              <w:pStyle w:val="TableParagraph"/>
              <w:spacing w:line="216" w:lineRule="exact"/>
              <w:ind w:left="134" w:right="129"/>
              <w:rPr>
                <w:rFonts w:ascii="Times New Roman"/>
                <w:b/>
                <w:sz w:val="21"/>
              </w:rPr>
            </w:pPr>
            <w:r>
              <w:rPr>
                <w:rFonts w:ascii="Times New Roman"/>
                <w:b/>
                <w:sz w:val="21"/>
              </w:rPr>
              <w:t>(t/a)</w:t>
            </w:r>
          </w:p>
        </w:tc>
      </w:tr>
      <w:tr>
        <w:trPr>
          <w:trHeight w:val="282" w:hRule="atLeast"/>
        </w:trPr>
        <w:tc>
          <w:tcPr>
            <w:tcW w:w="821" w:type="dxa"/>
            <w:vMerge w:val="restart"/>
          </w:tcPr>
          <w:p>
            <w:pPr>
              <w:pStyle w:val="TableParagraph"/>
              <w:spacing w:before="163"/>
              <w:ind w:left="9"/>
              <w:rPr>
                <w:rFonts w:ascii="Times New Roman"/>
                <w:sz w:val="21"/>
              </w:rPr>
            </w:pPr>
            <w:r>
              <w:rPr>
                <w:rFonts w:ascii="Times New Roman"/>
                <w:w w:val="100"/>
                <w:sz w:val="21"/>
              </w:rPr>
              <w:t>1</w:t>
            </w:r>
          </w:p>
        </w:tc>
        <w:tc>
          <w:tcPr>
            <w:tcW w:w="1950" w:type="dxa"/>
            <w:vMerge w:val="restart"/>
          </w:tcPr>
          <w:p>
            <w:pPr>
              <w:pStyle w:val="TableParagraph"/>
              <w:spacing w:before="150"/>
              <w:ind w:left="323"/>
              <w:jc w:val="left"/>
              <w:rPr>
                <w:rFonts w:ascii="Times New Roman" w:eastAsia="Times New Roman"/>
                <w:sz w:val="21"/>
              </w:rPr>
            </w:pPr>
            <w:r>
              <w:rPr>
                <w:sz w:val="21"/>
              </w:rPr>
              <w:t>排气筒 </w:t>
            </w:r>
            <w:r>
              <w:rPr>
                <w:rFonts w:ascii="Times New Roman" w:eastAsia="Times New Roman"/>
                <w:sz w:val="21"/>
              </w:rPr>
              <w:t>DA004</w:t>
            </w:r>
          </w:p>
        </w:tc>
        <w:tc>
          <w:tcPr>
            <w:tcW w:w="1169" w:type="dxa"/>
          </w:tcPr>
          <w:p>
            <w:pPr>
              <w:pStyle w:val="TableParagraph"/>
              <w:spacing w:line="259" w:lineRule="exact" w:before="3"/>
              <w:ind w:left="137" w:right="132"/>
              <w:rPr>
                <w:sz w:val="21"/>
              </w:rPr>
            </w:pPr>
            <w:r>
              <w:rPr>
                <w:sz w:val="21"/>
              </w:rPr>
              <w:t>甲酸</w:t>
            </w:r>
          </w:p>
        </w:tc>
        <w:tc>
          <w:tcPr>
            <w:tcW w:w="1899" w:type="dxa"/>
          </w:tcPr>
          <w:p>
            <w:pPr>
              <w:pStyle w:val="TableParagraph"/>
              <w:spacing w:before="17"/>
              <w:ind w:left="296" w:right="287"/>
              <w:rPr>
                <w:rFonts w:ascii="Times New Roman"/>
                <w:sz w:val="21"/>
              </w:rPr>
            </w:pPr>
            <w:r>
              <w:rPr>
                <w:rFonts w:ascii="Times New Roman"/>
                <w:sz w:val="21"/>
              </w:rPr>
              <w:t>0.042</w:t>
            </w:r>
          </w:p>
        </w:tc>
        <w:tc>
          <w:tcPr>
            <w:tcW w:w="1829" w:type="dxa"/>
          </w:tcPr>
          <w:p>
            <w:pPr>
              <w:pStyle w:val="TableParagraph"/>
              <w:spacing w:before="17"/>
              <w:ind w:left="780"/>
              <w:jc w:val="left"/>
              <w:rPr>
                <w:rFonts w:ascii="Times New Roman"/>
                <w:sz w:val="21"/>
              </w:rPr>
            </w:pPr>
            <w:r>
              <w:rPr>
                <w:rFonts w:ascii="Times New Roman"/>
                <w:sz w:val="21"/>
              </w:rPr>
              <w:t>9.3</w:t>
            </w:r>
          </w:p>
        </w:tc>
        <w:tc>
          <w:tcPr>
            <w:tcW w:w="1580" w:type="dxa"/>
          </w:tcPr>
          <w:p>
            <w:pPr>
              <w:pStyle w:val="TableParagraph"/>
              <w:spacing w:before="17"/>
              <w:ind w:left="136" w:right="129"/>
              <w:rPr>
                <w:rFonts w:ascii="Times New Roman"/>
                <w:sz w:val="21"/>
              </w:rPr>
            </w:pPr>
            <w:r>
              <w:rPr>
                <w:rFonts w:ascii="Times New Roman"/>
                <w:sz w:val="21"/>
              </w:rPr>
              <w:t>0.238</w:t>
            </w:r>
          </w:p>
        </w:tc>
      </w:tr>
      <w:tr>
        <w:trPr>
          <w:trHeight w:val="285" w:hRule="atLeast"/>
        </w:trPr>
        <w:tc>
          <w:tcPr>
            <w:tcW w:w="821" w:type="dxa"/>
            <w:vMerge/>
            <w:tcBorders>
              <w:top w:val="nil"/>
            </w:tcBorders>
          </w:tcPr>
          <w:p>
            <w:pPr>
              <w:rPr>
                <w:sz w:val="2"/>
                <w:szCs w:val="2"/>
              </w:rPr>
            </w:pPr>
          </w:p>
        </w:tc>
        <w:tc>
          <w:tcPr>
            <w:tcW w:w="1950" w:type="dxa"/>
            <w:vMerge/>
            <w:tcBorders>
              <w:top w:val="nil"/>
            </w:tcBorders>
          </w:tcPr>
          <w:p>
            <w:pPr>
              <w:rPr>
                <w:sz w:val="2"/>
                <w:szCs w:val="2"/>
              </w:rPr>
            </w:pPr>
          </w:p>
        </w:tc>
        <w:tc>
          <w:tcPr>
            <w:tcW w:w="1169" w:type="dxa"/>
          </w:tcPr>
          <w:p>
            <w:pPr>
              <w:pStyle w:val="TableParagraph"/>
              <w:spacing w:line="259" w:lineRule="exact" w:before="6"/>
              <w:ind w:left="137" w:right="132"/>
              <w:rPr>
                <w:sz w:val="21"/>
              </w:rPr>
            </w:pPr>
            <w:r>
              <w:rPr>
                <w:sz w:val="21"/>
              </w:rPr>
              <w:t>粉尘</w:t>
            </w:r>
          </w:p>
        </w:tc>
        <w:tc>
          <w:tcPr>
            <w:tcW w:w="1899" w:type="dxa"/>
          </w:tcPr>
          <w:p>
            <w:pPr>
              <w:pStyle w:val="TableParagraph"/>
              <w:spacing w:before="20"/>
              <w:ind w:left="296" w:right="287"/>
              <w:rPr>
                <w:rFonts w:ascii="Times New Roman"/>
                <w:sz w:val="21"/>
              </w:rPr>
            </w:pPr>
            <w:r>
              <w:rPr>
                <w:rFonts w:ascii="Times New Roman"/>
                <w:sz w:val="21"/>
              </w:rPr>
              <w:t>0.076</w:t>
            </w:r>
          </w:p>
        </w:tc>
        <w:tc>
          <w:tcPr>
            <w:tcW w:w="1829" w:type="dxa"/>
          </w:tcPr>
          <w:p>
            <w:pPr>
              <w:pStyle w:val="TableParagraph"/>
              <w:spacing w:before="20"/>
              <w:ind w:left="728"/>
              <w:jc w:val="left"/>
              <w:rPr>
                <w:rFonts w:ascii="Times New Roman"/>
                <w:sz w:val="21"/>
              </w:rPr>
            </w:pPr>
            <w:r>
              <w:rPr>
                <w:rFonts w:ascii="Times New Roman"/>
                <w:sz w:val="21"/>
              </w:rPr>
              <w:t>16.9</w:t>
            </w:r>
          </w:p>
        </w:tc>
        <w:tc>
          <w:tcPr>
            <w:tcW w:w="1580" w:type="dxa"/>
          </w:tcPr>
          <w:p>
            <w:pPr>
              <w:pStyle w:val="TableParagraph"/>
              <w:spacing w:before="20"/>
              <w:ind w:left="136" w:right="129"/>
              <w:rPr>
                <w:rFonts w:ascii="Times New Roman"/>
                <w:sz w:val="21"/>
              </w:rPr>
            </w:pPr>
            <w:r>
              <w:rPr>
                <w:rFonts w:ascii="Times New Roman"/>
                <w:sz w:val="21"/>
              </w:rPr>
              <w:t>0.091</w:t>
            </w:r>
          </w:p>
        </w:tc>
      </w:tr>
      <w:tr>
        <w:trPr>
          <w:trHeight w:val="282" w:hRule="atLeast"/>
        </w:trPr>
        <w:tc>
          <w:tcPr>
            <w:tcW w:w="821" w:type="dxa"/>
          </w:tcPr>
          <w:p>
            <w:pPr>
              <w:pStyle w:val="TableParagraph"/>
              <w:spacing w:before="17"/>
              <w:ind w:left="9"/>
              <w:rPr>
                <w:rFonts w:ascii="Times New Roman"/>
                <w:sz w:val="21"/>
              </w:rPr>
            </w:pPr>
            <w:r>
              <w:rPr>
                <w:rFonts w:ascii="Times New Roman"/>
                <w:w w:val="100"/>
                <w:sz w:val="21"/>
              </w:rPr>
              <w:t>2</w:t>
            </w:r>
          </w:p>
        </w:tc>
        <w:tc>
          <w:tcPr>
            <w:tcW w:w="1950" w:type="dxa"/>
          </w:tcPr>
          <w:p>
            <w:pPr>
              <w:pStyle w:val="TableParagraph"/>
              <w:spacing w:line="259" w:lineRule="exact" w:before="3"/>
              <w:ind w:left="278" w:right="268"/>
              <w:rPr>
                <w:rFonts w:ascii="Times New Roman" w:eastAsia="Times New Roman"/>
                <w:sz w:val="21"/>
              </w:rPr>
            </w:pPr>
            <w:r>
              <w:rPr>
                <w:sz w:val="21"/>
              </w:rPr>
              <w:t>排气筒 </w:t>
            </w:r>
            <w:r>
              <w:rPr>
                <w:rFonts w:ascii="Times New Roman" w:eastAsia="Times New Roman"/>
                <w:sz w:val="21"/>
              </w:rPr>
              <w:t>DA005</w:t>
            </w:r>
          </w:p>
        </w:tc>
        <w:tc>
          <w:tcPr>
            <w:tcW w:w="1169" w:type="dxa"/>
          </w:tcPr>
          <w:p>
            <w:pPr>
              <w:pStyle w:val="TableParagraph"/>
              <w:spacing w:line="259" w:lineRule="exact" w:before="3"/>
              <w:ind w:left="137" w:right="132"/>
              <w:rPr>
                <w:sz w:val="21"/>
              </w:rPr>
            </w:pPr>
            <w:r>
              <w:rPr>
                <w:sz w:val="21"/>
              </w:rPr>
              <w:t>甲酸</w:t>
            </w:r>
          </w:p>
        </w:tc>
        <w:tc>
          <w:tcPr>
            <w:tcW w:w="1899" w:type="dxa"/>
          </w:tcPr>
          <w:p>
            <w:pPr>
              <w:pStyle w:val="TableParagraph"/>
              <w:spacing w:before="17"/>
              <w:ind w:left="296" w:right="287"/>
              <w:rPr>
                <w:rFonts w:ascii="Times New Roman"/>
                <w:sz w:val="21"/>
              </w:rPr>
            </w:pPr>
            <w:r>
              <w:rPr>
                <w:rFonts w:ascii="Times New Roman"/>
                <w:sz w:val="21"/>
              </w:rPr>
              <w:t>0.0007</w:t>
            </w:r>
          </w:p>
        </w:tc>
        <w:tc>
          <w:tcPr>
            <w:tcW w:w="1829" w:type="dxa"/>
          </w:tcPr>
          <w:p>
            <w:pPr>
              <w:pStyle w:val="TableParagraph"/>
              <w:spacing w:before="17"/>
              <w:ind w:left="780"/>
              <w:jc w:val="left"/>
              <w:rPr>
                <w:rFonts w:ascii="Times New Roman"/>
                <w:sz w:val="21"/>
              </w:rPr>
            </w:pPr>
            <w:r>
              <w:rPr>
                <w:rFonts w:ascii="Times New Roman"/>
                <w:sz w:val="21"/>
              </w:rPr>
              <w:t>0.1</w:t>
            </w:r>
          </w:p>
        </w:tc>
        <w:tc>
          <w:tcPr>
            <w:tcW w:w="1580" w:type="dxa"/>
          </w:tcPr>
          <w:p>
            <w:pPr>
              <w:pStyle w:val="TableParagraph"/>
              <w:spacing w:before="17"/>
              <w:ind w:left="136" w:right="129"/>
              <w:rPr>
                <w:rFonts w:ascii="Times New Roman"/>
                <w:sz w:val="21"/>
              </w:rPr>
            </w:pPr>
            <w:r>
              <w:rPr>
                <w:rFonts w:ascii="Times New Roman"/>
                <w:sz w:val="21"/>
              </w:rPr>
              <w:t>0.005</w:t>
            </w:r>
          </w:p>
        </w:tc>
      </w:tr>
      <w:tr>
        <w:trPr>
          <w:trHeight w:val="285" w:hRule="atLeast"/>
        </w:trPr>
        <w:tc>
          <w:tcPr>
            <w:tcW w:w="2771" w:type="dxa"/>
            <w:gridSpan w:val="2"/>
            <w:vMerge w:val="restart"/>
          </w:tcPr>
          <w:p>
            <w:pPr>
              <w:pStyle w:val="TableParagraph"/>
              <w:spacing w:before="152"/>
              <w:ind w:left="647"/>
              <w:jc w:val="left"/>
              <w:rPr>
                <w:sz w:val="21"/>
              </w:rPr>
            </w:pPr>
            <w:r>
              <w:rPr>
                <w:sz w:val="21"/>
              </w:rPr>
              <w:t>主要排放口合计</w:t>
            </w:r>
          </w:p>
        </w:tc>
        <w:tc>
          <w:tcPr>
            <w:tcW w:w="1169" w:type="dxa"/>
          </w:tcPr>
          <w:p>
            <w:pPr>
              <w:pStyle w:val="TableParagraph"/>
              <w:spacing w:line="259" w:lineRule="exact" w:before="6"/>
              <w:ind w:left="137" w:right="132"/>
              <w:rPr>
                <w:sz w:val="21"/>
              </w:rPr>
            </w:pPr>
            <w:r>
              <w:rPr>
                <w:sz w:val="21"/>
              </w:rPr>
              <w:t>甲酸</w:t>
            </w:r>
          </w:p>
        </w:tc>
        <w:tc>
          <w:tcPr>
            <w:tcW w:w="1899" w:type="dxa"/>
          </w:tcPr>
          <w:p>
            <w:pPr>
              <w:pStyle w:val="TableParagraph"/>
              <w:spacing w:before="19"/>
              <w:ind w:left="5"/>
              <w:rPr>
                <w:rFonts w:ascii="Times New Roman"/>
                <w:sz w:val="21"/>
              </w:rPr>
            </w:pPr>
            <w:r>
              <w:rPr>
                <w:rFonts w:ascii="Times New Roman"/>
                <w:w w:val="100"/>
                <w:sz w:val="21"/>
              </w:rPr>
              <w:t>/</w:t>
            </w:r>
          </w:p>
        </w:tc>
        <w:tc>
          <w:tcPr>
            <w:tcW w:w="1829" w:type="dxa"/>
          </w:tcPr>
          <w:p>
            <w:pPr>
              <w:pStyle w:val="TableParagraph"/>
              <w:spacing w:before="19"/>
              <w:ind w:left="3"/>
              <w:rPr>
                <w:rFonts w:ascii="Times New Roman"/>
                <w:sz w:val="21"/>
              </w:rPr>
            </w:pPr>
            <w:r>
              <w:rPr>
                <w:rFonts w:ascii="Times New Roman"/>
                <w:w w:val="100"/>
                <w:sz w:val="21"/>
              </w:rPr>
              <w:t>/</w:t>
            </w:r>
          </w:p>
        </w:tc>
        <w:tc>
          <w:tcPr>
            <w:tcW w:w="1580" w:type="dxa"/>
          </w:tcPr>
          <w:p>
            <w:pPr>
              <w:pStyle w:val="TableParagraph"/>
              <w:spacing w:before="19"/>
              <w:ind w:left="136" w:right="129"/>
              <w:rPr>
                <w:rFonts w:ascii="Times New Roman"/>
                <w:sz w:val="21"/>
              </w:rPr>
            </w:pPr>
            <w:r>
              <w:rPr>
                <w:rFonts w:ascii="Times New Roman"/>
                <w:sz w:val="21"/>
              </w:rPr>
              <w:t>0.243</w:t>
            </w:r>
          </w:p>
        </w:tc>
      </w:tr>
      <w:tr>
        <w:trPr>
          <w:trHeight w:val="282" w:hRule="atLeast"/>
        </w:trPr>
        <w:tc>
          <w:tcPr>
            <w:tcW w:w="2771" w:type="dxa"/>
            <w:gridSpan w:val="2"/>
            <w:vMerge/>
            <w:tcBorders>
              <w:top w:val="nil"/>
            </w:tcBorders>
          </w:tcPr>
          <w:p>
            <w:pPr>
              <w:rPr>
                <w:sz w:val="2"/>
                <w:szCs w:val="2"/>
              </w:rPr>
            </w:pPr>
          </w:p>
        </w:tc>
        <w:tc>
          <w:tcPr>
            <w:tcW w:w="1169" w:type="dxa"/>
          </w:tcPr>
          <w:p>
            <w:pPr>
              <w:pStyle w:val="TableParagraph"/>
              <w:spacing w:line="259" w:lineRule="exact" w:before="3"/>
              <w:ind w:left="137" w:right="132"/>
              <w:rPr>
                <w:sz w:val="21"/>
              </w:rPr>
            </w:pPr>
            <w:r>
              <w:rPr>
                <w:sz w:val="21"/>
              </w:rPr>
              <w:t>粉尘</w:t>
            </w:r>
          </w:p>
        </w:tc>
        <w:tc>
          <w:tcPr>
            <w:tcW w:w="1899" w:type="dxa"/>
          </w:tcPr>
          <w:p>
            <w:pPr>
              <w:pStyle w:val="TableParagraph"/>
              <w:spacing w:before="17"/>
              <w:ind w:left="5"/>
              <w:rPr>
                <w:rFonts w:ascii="Times New Roman"/>
                <w:sz w:val="21"/>
              </w:rPr>
            </w:pPr>
            <w:r>
              <w:rPr>
                <w:rFonts w:ascii="Times New Roman"/>
                <w:w w:val="100"/>
                <w:sz w:val="21"/>
              </w:rPr>
              <w:t>/</w:t>
            </w:r>
          </w:p>
        </w:tc>
        <w:tc>
          <w:tcPr>
            <w:tcW w:w="1829" w:type="dxa"/>
          </w:tcPr>
          <w:p>
            <w:pPr>
              <w:pStyle w:val="TableParagraph"/>
              <w:spacing w:before="17"/>
              <w:ind w:left="3"/>
              <w:rPr>
                <w:rFonts w:ascii="Times New Roman"/>
                <w:sz w:val="21"/>
              </w:rPr>
            </w:pPr>
            <w:r>
              <w:rPr>
                <w:rFonts w:ascii="Times New Roman"/>
                <w:w w:val="100"/>
                <w:sz w:val="21"/>
              </w:rPr>
              <w:t>/</w:t>
            </w:r>
          </w:p>
        </w:tc>
        <w:tc>
          <w:tcPr>
            <w:tcW w:w="1580" w:type="dxa"/>
          </w:tcPr>
          <w:p>
            <w:pPr>
              <w:pStyle w:val="TableParagraph"/>
              <w:spacing w:before="17"/>
              <w:ind w:left="136" w:right="129"/>
              <w:rPr>
                <w:rFonts w:ascii="Times New Roman"/>
                <w:sz w:val="21"/>
              </w:rPr>
            </w:pPr>
            <w:r>
              <w:rPr>
                <w:rFonts w:ascii="Times New Roman"/>
                <w:sz w:val="21"/>
              </w:rPr>
              <w:t>0.091</w:t>
            </w:r>
          </w:p>
        </w:tc>
      </w:tr>
    </w:tbl>
    <w:p>
      <w:pPr>
        <w:pStyle w:val="ListParagraph"/>
        <w:numPr>
          <w:ilvl w:val="4"/>
          <w:numId w:val="26"/>
        </w:numPr>
        <w:tabs>
          <w:tab w:pos="993" w:val="left" w:leader="none"/>
        </w:tabs>
        <w:spacing w:line="240" w:lineRule="auto" w:before="2" w:after="0"/>
        <w:ind w:left="992" w:right="0" w:hanging="282"/>
        <w:jc w:val="left"/>
        <w:rPr>
          <w:sz w:val="24"/>
        </w:rPr>
      </w:pPr>
      <w:r>
        <w:rPr>
          <w:sz w:val="24"/>
        </w:rPr>
        <w:t>无组织排放量核算</w:t>
      </w:r>
    </w:p>
    <w:p>
      <w:pPr>
        <w:pStyle w:val="BodyText"/>
        <w:spacing w:before="7"/>
        <w:rPr>
          <w:sz w:val="23"/>
        </w:rPr>
      </w:pPr>
    </w:p>
    <w:p>
      <w:pPr>
        <w:pStyle w:val="Heading4"/>
        <w:tabs>
          <w:tab w:pos="1345" w:val="left" w:leader="none"/>
        </w:tabs>
        <w:spacing w:before="1" w:after="28"/>
        <w:ind w:left="3"/>
        <w:jc w:val="center"/>
      </w:pPr>
      <w:r>
        <w:rPr/>
        <w:t>表</w:t>
      </w:r>
      <w:r>
        <w:rPr>
          <w:spacing w:val="-59"/>
        </w:rPr>
        <w:t> </w:t>
      </w:r>
      <w:r>
        <w:rPr>
          <w:rFonts w:ascii="Times New Roman" w:eastAsia="Times New Roman"/>
        </w:rPr>
        <w:t>7.2.1-16</w:t>
        <w:tab/>
      </w:r>
      <w:r>
        <w:rPr/>
        <w:t>大气污染物无组织排放量核算表</w:t>
      </w:r>
    </w:p>
    <w:tbl>
      <w:tblPr>
        <w:tblW w:w="0" w:type="auto"/>
        <w:jc w:val="left"/>
        <w:tblInd w:w="2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75"/>
        <w:gridCol w:w="1399"/>
        <w:gridCol w:w="708"/>
        <w:gridCol w:w="964"/>
        <w:gridCol w:w="1048"/>
        <w:gridCol w:w="2493"/>
        <w:gridCol w:w="1250"/>
        <w:gridCol w:w="793"/>
      </w:tblGrid>
      <w:tr>
        <w:trPr>
          <w:trHeight w:val="285" w:hRule="atLeast"/>
        </w:trPr>
        <w:tc>
          <w:tcPr>
            <w:tcW w:w="475" w:type="dxa"/>
            <w:vMerge w:val="restart"/>
          </w:tcPr>
          <w:p>
            <w:pPr>
              <w:pStyle w:val="TableParagraph"/>
              <w:spacing w:before="4"/>
              <w:jc w:val="left"/>
              <w:rPr>
                <w:b/>
                <w:sz w:val="19"/>
              </w:rPr>
            </w:pPr>
          </w:p>
          <w:p>
            <w:pPr>
              <w:pStyle w:val="TableParagraph"/>
              <w:ind w:left="26"/>
              <w:jc w:val="left"/>
              <w:rPr>
                <w:b/>
                <w:sz w:val="21"/>
              </w:rPr>
            </w:pPr>
            <w:r>
              <w:rPr>
                <w:b/>
                <w:sz w:val="21"/>
              </w:rPr>
              <w:t>序号</w:t>
            </w:r>
          </w:p>
        </w:tc>
        <w:tc>
          <w:tcPr>
            <w:tcW w:w="1399" w:type="dxa"/>
            <w:vMerge w:val="restart"/>
          </w:tcPr>
          <w:p>
            <w:pPr>
              <w:pStyle w:val="TableParagraph"/>
              <w:spacing w:line="213" w:lineRule="auto" w:before="151"/>
              <w:ind w:left="484" w:right="379" w:hanging="106"/>
              <w:jc w:val="left"/>
              <w:rPr>
                <w:b/>
                <w:sz w:val="21"/>
              </w:rPr>
            </w:pPr>
            <w:r>
              <w:rPr>
                <w:b/>
                <w:sz w:val="21"/>
              </w:rPr>
              <w:t>排放口编号</w:t>
            </w:r>
          </w:p>
        </w:tc>
        <w:tc>
          <w:tcPr>
            <w:tcW w:w="708" w:type="dxa"/>
            <w:vMerge w:val="restart"/>
          </w:tcPr>
          <w:p>
            <w:pPr>
              <w:pStyle w:val="TableParagraph"/>
              <w:spacing w:line="213" w:lineRule="auto" w:before="151"/>
              <w:ind w:left="141" w:right="136"/>
              <w:jc w:val="left"/>
              <w:rPr>
                <w:b/>
                <w:sz w:val="21"/>
              </w:rPr>
            </w:pPr>
            <w:r>
              <w:rPr>
                <w:b/>
                <w:sz w:val="21"/>
              </w:rPr>
              <w:t>产污环节</w:t>
            </w:r>
          </w:p>
        </w:tc>
        <w:tc>
          <w:tcPr>
            <w:tcW w:w="964" w:type="dxa"/>
            <w:vMerge w:val="restart"/>
          </w:tcPr>
          <w:p>
            <w:pPr>
              <w:pStyle w:val="TableParagraph"/>
              <w:spacing w:before="4"/>
              <w:jc w:val="left"/>
              <w:rPr>
                <w:b/>
                <w:sz w:val="19"/>
              </w:rPr>
            </w:pPr>
          </w:p>
          <w:p>
            <w:pPr>
              <w:pStyle w:val="TableParagraph"/>
              <w:ind w:left="164"/>
              <w:jc w:val="left"/>
              <w:rPr>
                <w:b/>
                <w:sz w:val="21"/>
              </w:rPr>
            </w:pPr>
            <w:r>
              <w:rPr>
                <w:b/>
                <w:sz w:val="21"/>
              </w:rPr>
              <w:t>污染物</w:t>
            </w:r>
          </w:p>
        </w:tc>
        <w:tc>
          <w:tcPr>
            <w:tcW w:w="1048" w:type="dxa"/>
            <w:vMerge w:val="restart"/>
            <w:tcBorders>
              <w:top w:val="single" w:sz="4" w:space="0" w:color="000000"/>
            </w:tcBorders>
          </w:tcPr>
          <w:p>
            <w:pPr>
              <w:pStyle w:val="TableParagraph"/>
              <w:spacing w:line="213" w:lineRule="auto" w:before="151"/>
              <w:ind w:left="102" w:right="93"/>
              <w:jc w:val="left"/>
              <w:rPr>
                <w:b/>
                <w:sz w:val="21"/>
              </w:rPr>
            </w:pPr>
            <w:r>
              <w:rPr>
                <w:b/>
                <w:sz w:val="21"/>
              </w:rPr>
              <w:t>主要污染防治措施</w:t>
            </w:r>
          </w:p>
        </w:tc>
        <w:tc>
          <w:tcPr>
            <w:tcW w:w="3743" w:type="dxa"/>
            <w:gridSpan w:val="2"/>
            <w:tcBorders>
              <w:top w:val="single" w:sz="4" w:space="0" w:color="000000"/>
              <w:bottom w:val="single" w:sz="4" w:space="0" w:color="000000"/>
            </w:tcBorders>
          </w:tcPr>
          <w:p>
            <w:pPr>
              <w:pStyle w:val="TableParagraph"/>
              <w:spacing w:line="262" w:lineRule="exact" w:before="3"/>
              <w:ind w:left="607"/>
              <w:jc w:val="left"/>
              <w:rPr>
                <w:b/>
                <w:sz w:val="21"/>
              </w:rPr>
            </w:pPr>
            <w:r>
              <w:rPr>
                <w:b/>
                <w:sz w:val="21"/>
              </w:rPr>
              <w:t>国家或地方污染物排放标准</w:t>
            </w:r>
          </w:p>
        </w:tc>
        <w:tc>
          <w:tcPr>
            <w:tcW w:w="793" w:type="dxa"/>
            <w:vMerge w:val="restart"/>
            <w:tcBorders>
              <w:top w:val="single" w:sz="4" w:space="0" w:color="000000"/>
            </w:tcBorders>
          </w:tcPr>
          <w:p>
            <w:pPr>
              <w:pStyle w:val="TableParagraph"/>
              <w:spacing w:line="213" w:lineRule="auto" w:before="151"/>
              <w:ind w:left="78" w:right="63" w:firstLine="4"/>
              <w:jc w:val="left"/>
              <w:rPr>
                <w:rFonts w:ascii="Times New Roman" w:eastAsia="Times New Roman"/>
                <w:b/>
                <w:sz w:val="21"/>
              </w:rPr>
            </w:pPr>
            <w:r>
              <w:rPr>
                <w:b/>
                <w:sz w:val="21"/>
              </w:rPr>
              <w:t>年排放量</w:t>
            </w:r>
            <w:r>
              <w:rPr>
                <w:rFonts w:ascii="Times New Roman" w:eastAsia="Times New Roman"/>
                <w:b/>
                <w:sz w:val="21"/>
              </w:rPr>
              <w:t>/(t/a)</w:t>
            </w:r>
          </w:p>
        </w:tc>
      </w:tr>
      <w:tr>
        <w:trPr>
          <w:trHeight w:val="479" w:hRule="atLeast"/>
        </w:trPr>
        <w:tc>
          <w:tcPr>
            <w:tcW w:w="475" w:type="dxa"/>
            <w:vMerge/>
            <w:tcBorders>
              <w:top w:val="nil"/>
            </w:tcBorders>
          </w:tcPr>
          <w:p>
            <w:pPr>
              <w:rPr>
                <w:sz w:val="2"/>
                <w:szCs w:val="2"/>
              </w:rPr>
            </w:pPr>
          </w:p>
        </w:tc>
        <w:tc>
          <w:tcPr>
            <w:tcW w:w="1399" w:type="dxa"/>
            <w:vMerge/>
            <w:tcBorders>
              <w:top w:val="nil"/>
            </w:tcBorders>
          </w:tcPr>
          <w:p>
            <w:pPr>
              <w:rPr>
                <w:sz w:val="2"/>
                <w:szCs w:val="2"/>
              </w:rPr>
            </w:pPr>
          </w:p>
        </w:tc>
        <w:tc>
          <w:tcPr>
            <w:tcW w:w="708" w:type="dxa"/>
            <w:vMerge/>
            <w:tcBorders>
              <w:top w:val="nil"/>
            </w:tcBorders>
          </w:tcPr>
          <w:p>
            <w:pPr>
              <w:rPr>
                <w:sz w:val="2"/>
                <w:szCs w:val="2"/>
              </w:rPr>
            </w:pPr>
          </w:p>
        </w:tc>
        <w:tc>
          <w:tcPr>
            <w:tcW w:w="964" w:type="dxa"/>
            <w:vMerge/>
            <w:tcBorders>
              <w:top w:val="nil"/>
            </w:tcBorders>
          </w:tcPr>
          <w:p>
            <w:pPr>
              <w:rPr>
                <w:sz w:val="2"/>
                <w:szCs w:val="2"/>
              </w:rPr>
            </w:pPr>
          </w:p>
        </w:tc>
        <w:tc>
          <w:tcPr>
            <w:tcW w:w="1048" w:type="dxa"/>
            <w:vMerge/>
            <w:tcBorders>
              <w:top w:val="nil"/>
            </w:tcBorders>
          </w:tcPr>
          <w:p>
            <w:pPr>
              <w:rPr>
                <w:sz w:val="2"/>
                <w:szCs w:val="2"/>
              </w:rPr>
            </w:pPr>
          </w:p>
        </w:tc>
        <w:tc>
          <w:tcPr>
            <w:tcW w:w="2493" w:type="dxa"/>
            <w:tcBorders>
              <w:top w:val="single" w:sz="4" w:space="0" w:color="000000"/>
            </w:tcBorders>
          </w:tcPr>
          <w:p>
            <w:pPr>
              <w:pStyle w:val="TableParagraph"/>
              <w:spacing w:before="101"/>
              <w:ind w:left="828"/>
              <w:jc w:val="left"/>
              <w:rPr>
                <w:b/>
                <w:sz w:val="21"/>
              </w:rPr>
            </w:pPr>
            <w:r>
              <w:rPr>
                <w:b/>
                <w:sz w:val="21"/>
              </w:rPr>
              <w:t>标准名称</w:t>
            </w:r>
          </w:p>
        </w:tc>
        <w:tc>
          <w:tcPr>
            <w:tcW w:w="1250" w:type="dxa"/>
            <w:tcBorders>
              <w:top w:val="single" w:sz="4" w:space="0" w:color="000000"/>
            </w:tcBorders>
          </w:tcPr>
          <w:p>
            <w:pPr>
              <w:pStyle w:val="TableParagraph"/>
              <w:spacing w:line="241" w:lineRule="exact"/>
              <w:ind w:left="205"/>
              <w:jc w:val="left"/>
              <w:rPr>
                <w:b/>
                <w:sz w:val="21"/>
              </w:rPr>
            </w:pPr>
            <w:r>
              <w:rPr>
                <w:b/>
                <w:sz w:val="21"/>
              </w:rPr>
              <w:t>浓度限值</w:t>
            </w:r>
          </w:p>
          <w:p>
            <w:pPr>
              <w:pStyle w:val="TableParagraph"/>
              <w:spacing w:line="219" w:lineRule="exact"/>
              <w:ind w:left="236"/>
              <w:jc w:val="left"/>
              <w:rPr>
                <w:rFonts w:ascii="Times New Roman"/>
                <w:b/>
                <w:sz w:val="21"/>
              </w:rPr>
            </w:pPr>
            <w:r>
              <w:rPr>
                <w:rFonts w:ascii="Times New Roman"/>
                <w:b/>
                <w:sz w:val="21"/>
              </w:rPr>
              <w:t>/(mg/m</w:t>
            </w:r>
            <w:r>
              <w:rPr>
                <w:rFonts w:ascii="Times New Roman"/>
                <w:b/>
                <w:position w:val="7"/>
                <w:sz w:val="14"/>
              </w:rPr>
              <w:t>3</w:t>
            </w:r>
            <w:r>
              <w:rPr>
                <w:rFonts w:ascii="Times New Roman"/>
                <w:b/>
                <w:sz w:val="21"/>
              </w:rPr>
              <w:t>)</w:t>
            </w:r>
          </w:p>
        </w:tc>
        <w:tc>
          <w:tcPr>
            <w:tcW w:w="793" w:type="dxa"/>
            <w:vMerge/>
            <w:tcBorders>
              <w:top w:val="nil"/>
            </w:tcBorders>
          </w:tcPr>
          <w:p>
            <w:pPr>
              <w:rPr>
                <w:sz w:val="2"/>
                <w:szCs w:val="2"/>
              </w:rPr>
            </w:pPr>
          </w:p>
        </w:tc>
      </w:tr>
      <w:tr>
        <w:trPr>
          <w:trHeight w:val="719" w:hRule="atLeast"/>
        </w:trPr>
        <w:tc>
          <w:tcPr>
            <w:tcW w:w="475" w:type="dxa"/>
            <w:vMerge w:val="restart"/>
          </w:tcPr>
          <w:p>
            <w:pPr>
              <w:pStyle w:val="TableParagraph"/>
              <w:jc w:val="left"/>
              <w:rPr>
                <w:b/>
                <w:sz w:val="22"/>
              </w:rPr>
            </w:pPr>
          </w:p>
          <w:p>
            <w:pPr>
              <w:pStyle w:val="TableParagraph"/>
              <w:spacing w:before="196"/>
              <w:ind w:left="5"/>
              <w:rPr>
                <w:rFonts w:ascii="Times New Roman"/>
                <w:sz w:val="21"/>
              </w:rPr>
            </w:pPr>
            <w:r>
              <w:rPr>
                <w:rFonts w:ascii="Times New Roman"/>
                <w:w w:val="100"/>
                <w:sz w:val="21"/>
              </w:rPr>
              <w:t>1</w:t>
            </w:r>
          </w:p>
        </w:tc>
        <w:tc>
          <w:tcPr>
            <w:tcW w:w="1399" w:type="dxa"/>
          </w:tcPr>
          <w:p>
            <w:pPr>
              <w:pStyle w:val="TableParagraph"/>
              <w:spacing w:before="4"/>
              <w:jc w:val="left"/>
              <w:rPr>
                <w:b/>
                <w:sz w:val="17"/>
              </w:rPr>
            </w:pPr>
          </w:p>
          <w:p>
            <w:pPr>
              <w:pStyle w:val="TableParagraph"/>
              <w:ind w:left="363" w:right="361"/>
              <w:rPr>
                <w:sz w:val="21"/>
              </w:rPr>
            </w:pPr>
            <w:r>
              <w:rPr>
                <w:sz w:val="21"/>
              </w:rPr>
              <w:t>车间一</w:t>
            </w:r>
          </w:p>
        </w:tc>
        <w:tc>
          <w:tcPr>
            <w:tcW w:w="708" w:type="dxa"/>
          </w:tcPr>
          <w:p>
            <w:pPr>
              <w:pStyle w:val="TableParagraph"/>
              <w:spacing w:line="213" w:lineRule="auto" w:before="125"/>
              <w:ind w:left="144" w:right="28" w:hanging="106"/>
              <w:jc w:val="left"/>
              <w:rPr>
                <w:sz w:val="21"/>
              </w:rPr>
            </w:pPr>
            <w:r>
              <w:rPr>
                <w:sz w:val="21"/>
              </w:rPr>
              <w:t>装置无组织</w:t>
            </w:r>
          </w:p>
        </w:tc>
        <w:tc>
          <w:tcPr>
            <w:tcW w:w="964" w:type="dxa"/>
          </w:tcPr>
          <w:p>
            <w:pPr>
              <w:pStyle w:val="TableParagraph"/>
              <w:spacing w:before="4"/>
              <w:jc w:val="left"/>
              <w:rPr>
                <w:b/>
                <w:sz w:val="17"/>
              </w:rPr>
            </w:pPr>
          </w:p>
          <w:p>
            <w:pPr>
              <w:pStyle w:val="TableParagraph"/>
              <w:ind w:right="262"/>
              <w:jc w:val="right"/>
              <w:rPr>
                <w:sz w:val="21"/>
              </w:rPr>
            </w:pPr>
            <w:r>
              <w:rPr>
                <w:sz w:val="21"/>
              </w:rPr>
              <w:t>甲酸</w:t>
            </w:r>
          </w:p>
        </w:tc>
        <w:tc>
          <w:tcPr>
            <w:tcW w:w="1048" w:type="dxa"/>
            <w:vMerge w:val="restart"/>
          </w:tcPr>
          <w:p>
            <w:pPr>
              <w:pStyle w:val="TableParagraph"/>
              <w:spacing w:line="213" w:lineRule="auto" w:before="127"/>
              <w:ind w:left="1" w:right="-15"/>
              <w:rPr>
                <w:sz w:val="21"/>
              </w:rPr>
            </w:pPr>
            <w:r>
              <w:rPr>
                <w:spacing w:val="-3"/>
                <w:sz w:val="21"/>
              </w:rPr>
              <w:t>通风，保证车间良好 的工作环 境</w:t>
            </w:r>
          </w:p>
        </w:tc>
        <w:tc>
          <w:tcPr>
            <w:tcW w:w="2493" w:type="dxa"/>
          </w:tcPr>
          <w:p>
            <w:pPr>
              <w:pStyle w:val="TableParagraph"/>
              <w:spacing w:line="213" w:lineRule="auto" w:before="5"/>
              <w:ind w:left="43" w:right="30" w:firstLine="2"/>
              <w:rPr>
                <w:sz w:val="21"/>
              </w:rPr>
            </w:pPr>
            <w:r>
              <w:rPr>
                <w:sz w:val="21"/>
              </w:rPr>
              <w:t>《大气污染物综合排放标准》</w:t>
            </w:r>
            <w:r>
              <w:rPr>
                <w:rFonts w:ascii="Times New Roman" w:eastAsia="Times New Roman"/>
                <w:sz w:val="21"/>
              </w:rPr>
              <w:t>GB16297-1996 </w:t>
            </w:r>
            <w:r>
              <w:rPr>
                <w:sz w:val="21"/>
              </w:rPr>
              <w:t>参照非</w:t>
            </w:r>
          </w:p>
          <w:p>
            <w:pPr>
              <w:pStyle w:val="TableParagraph"/>
              <w:spacing w:line="216" w:lineRule="exact"/>
              <w:ind w:left="809" w:right="798"/>
              <w:rPr>
                <w:sz w:val="21"/>
              </w:rPr>
            </w:pPr>
            <w:r>
              <w:rPr>
                <w:sz w:val="21"/>
              </w:rPr>
              <w:t>甲烷总烃</w:t>
            </w:r>
          </w:p>
        </w:tc>
        <w:tc>
          <w:tcPr>
            <w:tcW w:w="1250" w:type="dxa"/>
          </w:tcPr>
          <w:p>
            <w:pPr>
              <w:pStyle w:val="TableParagraph"/>
              <w:spacing w:before="5"/>
              <w:jc w:val="left"/>
              <w:rPr>
                <w:b/>
                <w:sz w:val="18"/>
              </w:rPr>
            </w:pPr>
          </w:p>
          <w:p>
            <w:pPr>
              <w:pStyle w:val="TableParagraph"/>
              <w:ind w:left="475" w:right="466"/>
              <w:rPr>
                <w:rFonts w:ascii="Times New Roman"/>
                <w:sz w:val="21"/>
              </w:rPr>
            </w:pPr>
            <w:r>
              <w:rPr>
                <w:rFonts w:ascii="Times New Roman"/>
                <w:sz w:val="21"/>
              </w:rPr>
              <w:t>4.0</w:t>
            </w:r>
          </w:p>
        </w:tc>
        <w:tc>
          <w:tcPr>
            <w:tcW w:w="793" w:type="dxa"/>
          </w:tcPr>
          <w:p>
            <w:pPr>
              <w:pStyle w:val="TableParagraph"/>
              <w:spacing w:before="5"/>
              <w:jc w:val="left"/>
              <w:rPr>
                <w:b/>
                <w:sz w:val="18"/>
              </w:rPr>
            </w:pPr>
          </w:p>
          <w:p>
            <w:pPr>
              <w:pStyle w:val="TableParagraph"/>
              <w:ind w:left="146" w:right="129"/>
              <w:rPr>
                <w:rFonts w:ascii="Times New Roman"/>
                <w:sz w:val="21"/>
              </w:rPr>
            </w:pPr>
            <w:r>
              <w:rPr>
                <w:rFonts w:ascii="Times New Roman"/>
                <w:sz w:val="21"/>
              </w:rPr>
              <w:t>0.09</w:t>
            </w:r>
          </w:p>
        </w:tc>
      </w:tr>
      <w:tr>
        <w:trPr>
          <w:trHeight w:val="480" w:hRule="atLeast"/>
        </w:trPr>
        <w:tc>
          <w:tcPr>
            <w:tcW w:w="475" w:type="dxa"/>
            <w:vMerge/>
            <w:tcBorders>
              <w:top w:val="nil"/>
            </w:tcBorders>
          </w:tcPr>
          <w:p>
            <w:pPr>
              <w:rPr>
                <w:sz w:val="2"/>
                <w:szCs w:val="2"/>
              </w:rPr>
            </w:pPr>
          </w:p>
        </w:tc>
        <w:tc>
          <w:tcPr>
            <w:tcW w:w="1399" w:type="dxa"/>
            <w:tcBorders>
              <w:bottom w:val="single" w:sz="4" w:space="0" w:color="000000"/>
            </w:tcBorders>
          </w:tcPr>
          <w:p>
            <w:pPr>
              <w:pStyle w:val="TableParagraph"/>
              <w:spacing w:before="102"/>
              <w:ind w:left="363" w:right="361"/>
              <w:rPr>
                <w:sz w:val="21"/>
              </w:rPr>
            </w:pPr>
            <w:r>
              <w:rPr>
                <w:sz w:val="21"/>
              </w:rPr>
              <w:t>车间一</w:t>
            </w:r>
          </w:p>
        </w:tc>
        <w:tc>
          <w:tcPr>
            <w:tcW w:w="708" w:type="dxa"/>
          </w:tcPr>
          <w:p>
            <w:pPr>
              <w:pStyle w:val="TableParagraph"/>
              <w:spacing w:line="240" w:lineRule="exact"/>
              <w:ind w:left="144" w:right="28" w:hanging="106"/>
              <w:jc w:val="left"/>
              <w:rPr>
                <w:sz w:val="21"/>
              </w:rPr>
            </w:pPr>
            <w:r>
              <w:rPr>
                <w:sz w:val="21"/>
              </w:rPr>
              <w:t>投料、包装</w:t>
            </w:r>
          </w:p>
        </w:tc>
        <w:tc>
          <w:tcPr>
            <w:tcW w:w="964" w:type="dxa"/>
          </w:tcPr>
          <w:p>
            <w:pPr>
              <w:pStyle w:val="TableParagraph"/>
              <w:spacing w:before="102"/>
              <w:ind w:right="262"/>
              <w:jc w:val="right"/>
              <w:rPr>
                <w:sz w:val="21"/>
              </w:rPr>
            </w:pPr>
            <w:r>
              <w:rPr>
                <w:sz w:val="21"/>
              </w:rPr>
              <w:t>粉尘</w:t>
            </w:r>
          </w:p>
        </w:tc>
        <w:tc>
          <w:tcPr>
            <w:tcW w:w="1048" w:type="dxa"/>
            <w:vMerge/>
            <w:tcBorders>
              <w:top w:val="nil"/>
            </w:tcBorders>
          </w:tcPr>
          <w:p>
            <w:pPr>
              <w:rPr>
                <w:sz w:val="2"/>
                <w:szCs w:val="2"/>
              </w:rPr>
            </w:pPr>
          </w:p>
        </w:tc>
        <w:tc>
          <w:tcPr>
            <w:tcW w:w="2493" w:type="dxa"/>
          </w:tcPr>
          <w:p>
            <w:pPr>
              <w:pStyle w:val="TableParagraph"/>
              <w:spacing w:line="240" w:lineRule="exact"/>
              <w:ind w:left="384" w:right="78" w:hanging="291"/>
              <w:jc w:val="left"/>
              <w:rPr>
                <w:rFonts w:ascii="Times New Roman" w:eastAsia="Times New Roman"/>
                <w:sz w:val="21"/>
              </w:rPr>
            </w:pPr>
            <w:r>
              <w:rPr>
                <w:sz w:val="21"/>
              </w:rPr>
              <w:t>《大气污染物综合排放标准》</w:t>
            </w:r>
            <w:r>
              <w:rPr>
                <w:rFonts w:ascii="Times New Roman" w:eastAsia="Times New Roman"/>
                <w:sz w:val="21"/>
              </w:rPr>
              <w:t>GB16297-1996</w:t>
            </w:r>
          </w:p>
        </w:tc>
        <w:tc>
          <w:tcPr>
            <w:tcW w:w="1250" w:type="dxa"/>
          </w:tcPr>
          <w:p>
            <w:pPr>
              <w:pStyle w:val="TableParagraph"/>
              <w:spacing w:before="116"/>
              <w:ind w:left="475" w:right="466"/>
              <w:rPr>
                <w:rFonts w:ascii="Times New Roman"/>
                <w:sz w:val="21"/>
              </w:rPr>
            </w:pPr>
            <w:r>
              <w:rPr>
                <w:rFonts w:ascii="Times New Roman"/>
                <w:sz w:val="21"/>
              </w:rPr>
              <w:t>1.0</w:t>
            </w:r>
          </w:p>
        </w:tc>
        <w:tc>
          <w:tcPr>
            <w:tcW w:w="793" w:type="dxa"/>
          </w:tcPr>
          <w:p>
            <w:pPr>
              <w:pStyle w:val="TableParagraph"/>
              <w:spacing w:before="116"/>
              <w:ind w:left="146" w:right="129"/>
              <w:rPr>
                <w:rFonts w:ascii="Times New Roman"/>
                <w:sz w:val="21"/>
              </w:rPr>
            </w:pPr>
            <w:r>
              <w:rPr>
                <w:rFonts w:ascii="Times New Roman"/>
                <w:sz w:val="21"/>
              </w:rPr>
              <w:t>0.106</w:t>
            </w:r>
          </w:p>
        </w:tc>
      </w:tr>
      <w:tr>
        <w:trPr>
          <w:trHeight w:val="282" w:hRule="atLeast"/>
        </w:trPr>
        <w:tc>
          <w:tcPr>
            <w:tcW w:w="2582" w:type="dxa"/>
            <w:gridSpan w:val="3"/>
            <w:vMerge w:val="restart"/>
            <w:tcBorders>
              <w:top w:val="single" w:sz="4" w:space="0" w:color="000000"/>
            </w:tcBorders>
          </w:tcPr>
          <w:p>
            <w:pPr>
              <w:pStyle w:val="TableParagraph"/>
              <w:spacing w:before="147"/>
              <w:ind w:left="556"/>
              <w:jc w:val="left"/>
              <w:rPr>
                <w:sz w:val="21"/>
              </w:rPr>
            </w:pPr>
            <w:r>
              <w:rPr>
                <w:sz w:val="21"/>
              </w:rPr>
              <w:t>无组织排放计算</w:t>
            </w:r>
          </w:p>
        </w:tc>
        <w:tc>
          <w:tcPr>
            <w:tcW w:w="5755" w:type="dxa"/>
            <w:gridSpan w:val="4"/>
          </w:tcPr>
          <w:p>
            <w:pPr>
              <w:pStyle w:val="TableParagraph"/>
              <w:spacing w:line="260" w:lineRule="exact" w:before="3"/>
              <w:ind w:left="2648" w:right="2641"/>
              <w:rPr>
                <w:sz w:val="21"/>
              </w:rPr>
            </w:pPr>
            <w:r>
              <w:rPr>
                <w:sz w:val="21"/>
              </w:rPr>
              <w:t>甲酸</w:t>
            </w:r>
          </w:p>
        </w:tc>
        <w:tc>
          <w:tcPr>
            <w:tcW w:w="793" w:type="dxa"/>
          </w:tcPr>
          <w:p>
            <w:pPr>
              <w:pStyle w:val="TableParagraph"/>
              <w:spacing w:before="17"/>
              <w:ind w:left="146" w:right="129"/>
              <w:rPr>
                <w:rFonts w:ascii="Times New Roman"/>
                <w:sz w:val="21"/>
              </w:rPr>
            </w:pPr>
            <w:r>
              <w:rPr>
                <w:rFonts w:ascii="Times New Roman"/>
                <w:sz w:val="21"/>
              </w:rPr>
              <w:t>0.09</w:t>
            </w:r>
          </w:p>
        </w:tc>
      </w:tr>
      <w:tr>
        <w:trPr>
          <w:trHeight w:val="285" w:hRule="atLeast"/>
        </w:trPr>
        <w:tc>
          <w:tcPr>
            <w:tcW w:w="2582" w:type="dxa"/>
            <w:gridSpan w:val="3"/>
            <w:vMerge/>
            <w:tcBorders>
              <w:top w:val="nil"/>
            </w:tcBorders>
          </w:tcPr>
          <w:p>
            <w:pPr>
              <w:rPr>
                <w:sz w:val="2"/>
                <w:szCs w:val="2"/>
              </w:rPr>
            </w:pPr>
          </w:p>
        </w:tc>
        <w:tc>
          <w:tcPr>
            <w:tcW w:w="5755" w:type="dxa"/>
            <w:gridSpan w:val="4"/>
          </w:tcPr>
          <w:p>
            <w:pPr>
              <w:pStyle w:val="TableParagraph"/>
              <w:spacing w:line="259" w:lineRule="exact" w:before="6"/>
              <w:ind w:left="2648" w:right="2641"/>
              <w:rPr>
                <w:sz w:val="21"/>
              </w:rPr>
            </w:pPr>
            <w:r>
              <w:rPr>
                <w:sz w:val="21"/>
              </w:rPr>
              <w:t>粉尘</w:t>
            </w:r>
          </w:p>
        </w:tc>
        <w:tc>
          <w:tcPr>
            <w:tcW w:w="793" w:type="dxa"/>
          </w:tcPr>
          <w:p>
            <w:pPr>
              <w:pStyle w:val="TableParagraph"/>
              <w:spacing w:before="20"/>
              <w:ind w:left="146" w:right="129"/>
              <w:rPr>
                <w:rFonts w:ascii="Times New Roman"/>
                <w:sz w:val="21"/>
              </w:rPr>
            </w:pPr>
            <w:r>
              <w:rPr>
                <w:rFonts w:ascii="Times New Roman"/>
                <w:sz w:val="21"/>
              </w:rPr>
              <w:t>0.106</w:t>
            </w:r>
          </w:p>
        </w:tc>
      </w:tr>
    </w:tbl>
    <w:p>
      <w:pPr>
        <w:pStyle w:val="ListParagraph"/>
        <w:numPr>
          <w:ilvl w:val="4"/>
          <w:numId w:val="26"/>
        </w:numPr>
        <w:tabs>
          <w:tab w:pos="993" w:val="left" w:leader="none"/>
        </w:tabs>
        <w:spacing w:line="240" w:lineRule="auto" w:before="2" w:after="0"/>
        <w:ind w:left="992" w:right="0" w:hanging="282"/>
        <w:jc w:val="left"/>
        <w:rPr>
          <w:sz w:val="24"/>
        </w:rPr>
      </w:pPr>
      <w:r>
        <w:rPr>
          <w:sz w:val="24"/>
        </w:rPr>
        <w:t>项目大气污染物年排放量核算</w:t>
      </w:r>
    </w:p>
    <w:p>
      <w:pPr>
        <w:pStyle w:val="BodyText"/>
        <w:spacing w:before="5"/>
        <w:rPr>
          <w:sz w:val="23"/>
        </w:rPr>
      </w:pPr>
    </w:p>
    <w:p>
      <w:pPr>
        <w:pStyle w:val="Heading4"/>
        <w:tabs>
          <w:tab w:pos="1347" w:val="left" w:leader="none"/>
        </w:tabs>
        <w:spacing w:after="29"/>
        <w:ind w:left="6"/>
        <w:jc w:val="center"/>
      </w:pPr>
      <w:r>
        <w:rPr/>
        <w:t>表</w:t>
      </w:r>
      <w:r>
        <w:rPr>
          <w:spacing w:val="-60"/>
        </w:rPr>
        <w:t> </w:t>
      </w:r>
      <w:r>
        <w:rPr>
          <w:rFonts w:ascii="Times New Roman" w:eastAsia="Times New Roman"/>
        </w:rPr>
        <w:t>7.2.1-17</w:t>
        <w:tab/>
      </w:r>
      <w:r>
        <w:rPr/>
        <w:t>大气污染物年排放量核算表</w:t>
      </w:r>
    </w:p>
    <w:tbl>
      <w:tblPr>
        <w:tblW w:w="0" w:type="auto"/>
        <w:jc w:val="left"/>
        <w:tblInd w:w="2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3025"/>
        <w:gridCol w:w="3022"/>
        <w:gridCol w:w="3089"/>
      </w:tblGrid>
      <w:tr>
        <w:trPr>
          <w:trHeight w:val="285" w:hRule="atLeast"/>
        </w:trPr>
        <w:tc>
          <w:tcPr>
            <w:tcW w:w="3025" w:type="dxa"/>
          </w:tcPr>
          <w:p>
            <w:pPr>
              <w:pStyle w:val="TableParagraph"/>
              <w:spacing w:line="264" w:lineRule="exact" w:before="1"/>
              <w:ind w:left="1280" w:right="1277"/>
              <w:rPr>
                <w:b/>
                <w:sz w:val="21"/>
              </w:rPr>
            </w:pPr>
            <w:r>
              <w:rPr>
                <w:b/>
                <w:sz w:val="21"/>
              </w:rPr>
              <w:t>序号</w:t>
            </w:r>
          </w:p>
        </w:tc>
        <w:tc>
          <w:tcPr>
            <w:tcW w:w="3022" w:type="dxa"/>
          </w:tcPr>
          <w:p>
            <w:pPr>
              <w:pStyle w:val="TableParagraph"/>
              <w:spacing w:line="257" w:lineRule="exact" w:before="8"/>
              <w:ind w:left="1172" w:right="1171"/>
              <w:rPr>
                <w:b/>
                <w:sz w:val="21"/>
              </w:rPr>
            </w:pPr>
            <w:r>
              <w:rPr>
                <w:b/>
                <w:sz w:val="21"/>
              </w:rPr>
              <w:t>污染物</w:t>
            </w:r>
          </w:p>
        </w:tc>
        <w:tc>
          <w:tcPr>
            <w:tcW w:w="3089" w:type="dxa"/>
          </w:tcPr>
          <w:p>
            <w:pPr>
              <w:pStyle w:val="TableParagraph"/>
              <w:spacing w:line="257" w:lineRule="exact" w:before="8"/>
              <w:ind w:left="957" w:right="951"/>
              <w:rPr>
                <w:rFonts w:ascii="Times New Roman" w:eastAsia="Times New Roman"/>
                <w:b/>
                <w:sz w:val="21"/>
              </w:rPr>
            </w:pPr>
            <w:r>
              <w:rPr>
                <w:b/>
                <w:sz w:val="21"/>
              </w:rPr>
              <w:t>年排放量</w:t>
            </w:r>
            <w:r>
              <w:rPr>
                <w:rFonts w:ascii="Times New Roman" w:eastAsia="Times New Roman"/>
                <w:b/>
                <w:sz w:val="21"/>
              </w:rPr>
              <w:t>/t/a</w:t>
            </w:r>
          </w:p>
        </w:tc>
      </w:tr>
      <w:tr>
        <w:trPr>
          <w:trHeight w:val="282" w:hRule="atLeast"/>
        </w:trPr>
        <w:tc>
          <w:tcPr>
            <w:tcW w:w="3025" w:type="dxa"/>
          </w:tcPr>
          <w:p>
            <w:pPr>
              <w:pStyle w:val="TableParagraph"/>
              <w:spacing w:before="20"/>
              <w:ind w:left="3"/>
              <w:rPr>
                <w:rFonts w:ascii="Times New Roman"/>
                <w:sz w:val="21"/>
              </w:rPr>
            </w:pPr>
            <w:r>
              <w:rPr>
                <w:rFonts w:ascii="Times New Roman"/>
                <w:w w:val="100"/>
                <w:sz w:val="21"/>
              </w:rPr>
              <w:t>1</w:t>
            </w:r>
          </w:p>
        </w:tc>
        <w:tc>
          <w:tcPr>
            <w:tcW w:w="3022" w:type="dxa"/>
          </w:tcPr>
          <w:p>
            <w:pPr>
              <w:pStyle w:val="TableParagraph"/>
              <w:spacing w:line="260" w:lineRule="exact" w:before="3"/>
              <w:ind w:left="1172" w:right="1167"/>
              <w:rPr>
                <w:sz w:val="21"/>
              </w:rPr>
            </w:pPr>
            <w:r>
              <w:rPr>
                <w:sz w:val="21"/>
              </w:rPr>
              <w:t>甲酸</w:t>
            </w:r>
          </w:p>
        </w:tc>
        <w:tc>
          <w:tcPr>
            <w:tcW w:w="3089" w:type="dxa"/>
          </w:tcPr>
          <w:p>
            <w:pPr>
              <w:pStyle w:val="TableParagraph"/>
              <w:spacing w:before="17"/>
              <w:ind w:left="957" w:right="951"/>
              <w:rPr>
                <w:rFonts w:ascii="Times New Roman"/>
                <w:sz w:val="21"/>
              </w:rPr>
            </w:pPr>
            <w:r>
              <w:rPr>
                <w:rFonts w:ascii="Times New Roman"/>
                <w:sz w:val="21"/>
              </w:rPr>
              <w:t>0.333</w:t>
            </w:r>
          </w:p>
        </w:tc>
      </w:tr>
      <w:tr>
        <w:trPr>
          <w:trHeight w:val="285" w:hRule="atLeast"/>
        </w:trPr>
        <w:tc>
          <w:tcPr>
            <w:tcW w:w="3025" w:type="dxa"/>
          </w:tcPr>
          <w:p>
            <w:pPr>
              <w:pStyle w:val="TableParagraph"/>
              <w:spacing w:before="22"/>
              <w:ind w:left="3"/>
              <w:rPr>
                <w:rFonts w:ascii="Times New Roman"/>
                <w:sz w:val="21"/>
              </w:rPr>
            </w:pPr>
            <w:r>
              <w:rPr>
                <w:rFonts w:ascii="Times New Roman"/>
                <w:w w:val="100"/>
                <w:sz w:val="21"/>
              </w:rPr>
              <w:t>2</w:t>
            </w:r>
          </w:p>
        </w:tc>
        <w:tc>
          <w:tcPr>
            <w:tcW w:w="3022" w:type="dxa"/>
          </w:tcPr>
          <w:p>
            <w:pPr>
              <w:pStyle w:val="TableParagraph"/>
              <w:spacing w:line="262" w:lineRule="exact" w:before="3"/>
              <w:ind w:left="1172" w:right="1167"/>
              <w:rPr>
                <w:sz w:val="21"/>
              </w:rPr>
            </w:pPr>
            <w:r>
              <w:rPr>
                <w:sz w:val="21"/>
              </w:rPr>
              <w:t>粉尘</w:t>
            </w:r>
          </w:p>
        </w:tc>
        <w:tc>
          <w:tcPr>
            <w:tcW w:w="3089" w:type="dxa"/>
          </w:tcPr>
          <w:p>
            <w:pPr>
              <w:pStyle w:val="TableParagraph"/>
              <w:spacing w:before="17"/>
              <w:ind w:left="957" w:right="951"/>
              <w:rPr>
                <w:rFonts w:ascii="Times New Roman"/>
                <w:sz w:val="21"/>
              </w:rPr>
            </w:pPr>
            <w:r>
              <w:rPr>
                <w:rFonts w:ascii="Times New Roman"/>
                <w:sz w:val="21"/>
              </w:rPr>
              <w:t>0.197</w:t>
            </w:r>
          </w:p>
        </w:tc>
      </w:tr>
    </w:tbl>
    <w:p>
      <w:pPr>
        <w:pStyle w:val="ListParagraph"/>
        <w:numPr>
          <w:ilvl w:val="4"/>
          <w:numId w:val="26"/>
        </w:numPr>
        <w:tabs>
          <w:tab w:pos="993" w:val="left" w:leader="none"/>
        </w:tabs>
        <w:spacing w:line="240" w:lineRule="auto" w:before="2" w:after="0"/>
        <w:ind w:left="992" w:right="0" w:hanging="282"/>
        <w:jc w:val="left"/>
        <w:rPr>
          <w:sz w:val="24"/>
        </w:rPr>
      </w:pPr>
      <w:r>
        <w:rPr>
          <w:sz w:val="24"/>
        </w:rPr>
        <w:t>非正常排放量核算</w:t>
      </w:r>
    </w:p>
    <w:p>
      <w:pPr>
        <w:pStyle w:val="BodyText"/>
        <w:spacing w:before="6"/>
        <w:rPr>
          <w:sz w:val="23"/>
        </w:rPr>
      </w:pPr>
    </w:p>
    <w:p>
      <w:pPr>
        <w:pStyle w:val="Heading4"/>
        <w:tabs>
          <w:tab w:pos="1347" w:val="left" w:leader="none"/>
        </w:tabs>
        <w:spacing w:after="29"/>
        <w:ind w:left="6"/>
        <w:jc w:val="center"/>
      </w:pPr>
      <w:r>
        <w:rPr/>
        <w:t>表</w:t>
      </w:r>
      <w:r>
        <w:rPr>
          <w:spacing w:val="-60"/>
        </w:rPr>
        <w:t> </w:t>
      </w:r>
      <w:r>
        <w:rPr>
          <w:rFonts w:ascii="Times New Roman" w:eastAsia="Times New Roman"/>
        </w:rPr>
        <w:t>7.2.1-18</w:t>
        <w:tab/>
      </w:r>
      <w:r>
        <w:rPr/>
        <w:t>污染源非正常排放量核算表</w:t>
      </w:r>
    </w:p>
    <w:tbl>
      <w:tblPr>
        <w:tblW w:w="0" w:type="auto"/>
        <w:jc w:val="left"/>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849"/>
        <w:gridCol w:w="1327"/>
        <w:gridCol w:w="969"/>
        <w:gridCol w:w="1274"/>
        <w:gridCol w:w="1277"/>
        <w:gridCol w:w="849"/>
        <w:gridCol w:w="852"/>
        <w:gridCol w:w="1351"/>
      </w:tblGrid>
      <w:tr>
        <w:trPr>
          <w:trHeight w:val="818" w:hRule="atLeast"/>
        </w:trPr>
        <w:tc>
          <w:tcPr>
            <w:tcW w:w="475" w:type="dxa"/>
          </w:tcPr>
          <w:p>
            <w:pPr>
              <w:pStyle w:val="TableParagraph"/>
              <w:spacing w:line="244" w:lineRule="auto" w:before="138"/>
              <w:ind w:left="131" w:right="121"/>
              <w:jc w:val="left"/>
              <w:rPr>
                <w:b/>
                <w:sz w:val="21"/>
              </w:rPr>
            </w:pPr>
            <w:r>
              <w:rPr>
                <w:b/>
                <w:sz w:val="21"/>
              </w:rPr>
              <w:t>序号</w:t>
            </w:r>
          </w:p>
        </w:tc>
        <w:tc>
          <w:tcPr>
            <w:tcW w:w="849" w:type="dxa"/>
          </w:tcPr>
          <w:p>
            <w:pPr>
              <w:pStyle w:val="TableParagraph"/>
              <w:spacing w:before="5"/>
              <w:jc w:val="left"/>
              <w:rPr>
                <w:b/>
                <w:sz w:val="21"/>
              </w:rPr>
            </w:pPr>
          </w:p>
          <w:p>
            <w:pPr>
              <w:pStyle w:val="TableParagraph"/>
              <w:ind w:left="105"/>
              <w:jc w:val="left"/>
              <w:rPr>
                <w:b/>
                <w:sz w:val="21"/>
              </w:rPr>
            </w:pPr>
            <w:r>
              <w:rPr>
                <w:b/>
                <w:sz w:val="21"/>
              </w:rPr>
              <w:t>污染源</w:t>
            </w:r>
          </w:p>
        </w:tc>
        <w:tc>
          <w:tcPr>
            <w:tcW w:w="1327" w:type="dxa"/>
          </w:tcPr>
          <w:p>
            <w:pPr>
              <w:pStyle w:val="TableParagraph"/>
              <w:spacing w:line="244" w:lineRule="auto" w:before="138"/>
              <w:ind w:left="454" w:right="121" w:hanging="317"/>
              <w:jc w:val="left"/>
              <w:rPr>
                <w:b/>
                <w:sz w:val="21"/>
              </w:rPr>
            </w:pPr>
            <w:r>
              <w:rPr>
                <w:b/>
                <w:sz w:val="21"/>
              </w:rPr>
              <w:t>非正常排放原因</w:t>
            </w:r>
          </w:p>
        </w:tc>
        <w:tc>
          <w:tcPr>
            <w:tcW w:w="969" w:type="dxa"/>
          </w:tcPr>
          <w:p>
            <w:pPr>
              <w:pStyle w:val="TableParagraph"/>
              <w:spacing w:before="5"/>
              <w:jc w:val="left"/>
              <w:rPr>
                <w:b/>
                <w:sz w:val="21"/>
              </w:rPr>
            </w:pPr>
          </w:p>
          <w:p>
            <w:pPr>
              <w:pStyle w:val="TableParagraph"/>
              <w:ind w:left="147" w:right="139"/>
              <w:rPr>
                <w:b/>
                <w:sz w:val="21"/>
              </w:rPr>
            </w:pPr>
            <w:r>
              <w:rPr>
                <w:b/>
                <w:sz w:val="21"/>
              </w:rPr>
              <w:t>污染物</w:t>
            </w:r>
          </w:p>
        </w:tc>
        <w:tc>
          <w:tcPr>
            <w:tcW w:w="1274" w:type="dxa"/>
          </w:tcPr>
          <w:p>
            <w:pPr>
              <w:pStyle w:val="TableParagraph"/>
              <w:spacing w:line="244" w:lineRule="auto" w:before="1"/>
              <w:ind w:left="112" w:right="93"/>
              <w:rPr>
                <w:rFonts w:ascii="Times New Roman" w:eastAsia="Times New Roman"/>
                <w:b/>
                <w:sz w:val="21"/>
              </w:rPr>
            </w:pPr>
            <w:r>
              <w:rPr>
                <w:b/>
                <w:sz w:val="21"/>
              </w:rPr>
              <w:t>非正常排放浓度</w:t>
            </w:r>
            <w:r>
              <w:rPr>
                <w:rFonts w:ascii="Times New Roman" w:eastAsia="Times New Roman"/>
                <w:b/>
                <w:sz w:val="21"/>
              </w:rPr>
              <w:t>/</w:t>
            </w:r>
          </w:p>
          <w:p>
            <w:pPr>
              <w:pStyle w:val="TableParagraph"/>
              <w:spacing w:line="248" w:lineRule="exact"/>
              <w:ind w:left="89" w:right="75"/>
              <w:rPr>
                <w:b/>
                <w:sz w:val="21"/>
              </w:rPr>
            </w:pP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1277" w:type="dxa"/>
          </w:tcPr>
          <w:p>
            <w:pPr>
              <w:pStyle w:val="TableParagraph"/>
              <w:spacing w:line="244" w:lineRule="auto" w:before="1"/>
              <w:ind w:left="112" w:right="96"/>
              <w:rPr>
                <w:rFonts w:ascii="Times New Roman" w:eastAsia="Times New Roman"/>
                <w:b/>
                <w:sz w:val="21"/>
              </w:rPr>
            </w:pPr>
            <w:r>
              <w:rPr>
                <w:b/>
                <w:sz w:val="21"/>
              </w:rPr>
              <w:t>非正常排放速率</w:t>
            </w:r>
            <w:r>
              <w:rPr>
                <w:rFonts w:ascii="Times New Roman" w:eastAsia="Times New Roman"/>
                <w:b/>
                <w:sz w:val="21"/>
              </w:rPr>
              <w:t>/</w:t>
            </w:r>
          </w:p>
          <w:p>
            <w:pPr>
              <w:pStyle w:val="TableParagraph"/>
              <w:spacing w:line="248" w:lineRule="exact"/>
              <w:ind w:left="16" w:right="4"/>
              <w:rPr>
                <w:b/>
                <w:sz w:val="21"/>
              </w:rPr>
            </w:pPr>
            <w:r>
              <w:rPr>
                <w:b/>
                <w:sz w:val="21"/>
              </w:rPr>
              <w:t>（</w:t>
            </w:r>
            <w:r>
              <w:rPr>
                <w:rFonts w:ascii="Times New Roman" w:eastAsia="Times New Roman"/>
                <w:b/>
                <w:sz w:val="21"/>
              </w:rPr>
              <w:t>kg/h</w:t>
            </w:r>
            <w:r>
              <w:rPr>
                <w:b/>
                <w:sz w:val="21"/>
              </w:rPr>
              <w:t>）</w:t>
            </w:r>
          </w:p>
        </w:tc>
        <w:tc>
          <w:tcPr>
            <w:tcW w:w="849" w:type="dxa"/>
          </w:tcPr>
          <w:p>
            <w:pPr>
              <w:pStyle w:val="TableParagraph"/>
              <w:spacing w:line="242" w:lineRule="auto" w:before="18"/>
              <w:ind w:left="110" w:right="92"/>
              <w:rPr>
                <w:b/>
                <w:sz w:val="21"/>
              </w:rPr>
            </w:pPr>
            <w:r>
              <w:rPr>
                <w:b/>
                <w:sz w:val="21"/>
              </w:rPr>
              <w:t>单次持续时间</w:t>
            </w:r>
          </w:p>
          <w:p>
            <w:pPr>
              <w:pStyle w:val="TableParagraph"/>
              <w:spacing w:line="237" w:lineRule="exact"/>
              <w:ind w:left="103" w:right="92"/>
              <w:rPr>
                <w:rFonts w:ascii="Times New Roman"/>
                <w:b/>
                <w:sz w:val="21"/>
              </w:rPr>
            </w:pPr>
            <w:r>
              <w:rPr>
                <w:rFonts w:ascii="Times New Roman"/>
                <w:b/>
                <w:sz w:val="21"/>
              </w:rPr>
              <w:t>/h</w:t>
            </w:r>
          </w:p>
        </w:tc>
        <w:tc>
          <w:tcPr>
            <w:tcW w:w="852" w:type="dxa"/>
          </w:tcPr>
          <w:p>
            <w:pPr>
              <w:pStyle w:val="TableParagraph"/>
              <w:spacing w:line="244" w:lineRule="auto" w:before="1"/>
              <w:ind w:left="111" w:right="95"/>
              <w:rPr>
                <w:b/>
                <w:sz w:val="21"/>
              </w:rPr>
            </w:pPr>
            <w:r>
              <w:rPr>
                <w:b/>
                <w:spacing w:val="-7"/>
                <w:sz w:val="21"/>
              </w:rPr>
              <w:t>年发生</w:t>
            </w:r>
            <w:r>
              <w:rPr>
                <w:b/>
                <w:sz w:val="21"/>
              </w:rPr>
              <w:t>频次</w:t>
            </w:r>
          </w:p>
          <w:p>
            <w:pPr>
              <w:pStyle w:val="TableParagraph"/>
              <w:spacing w:line="248" w:lineRule="exact"/>
              <w:ind w:left="38" w:right="25"/>
              <w:rPr>
                <w:b/>
                <w:sz w:val="21"/>
              </w:rPr>
            </w:pPr>
            <w:r>
              <w:rPr>
                <w:rFonts w:ascii="Times New Roman" w:eastAsia="Times New Roman"/>
                <w:b/>
                <w:spacing w:val="-1"/>
                <w:sz w:val="21"/>
              </w:rPr>
              <w:t>/</w:t>
            </w:r>
            <w:r>
              <w:rPr>
                <w:b/>
                <w:spacing w:val="-1"/>
                <w:sz w:val="21"/>
              </w:rPr>
              <w:t>次</w:t>
            </w:r>
          </w:p>
        </w:tc>
        <w:tc>
          <w:tcPr>
            <w:tcW w:w="1351" w:type="dxa"/>
          </w:tcPr>
          <w:p>
            <w:pPr>
              <w:pStyle w:val="TableParagraph"/>
              <w:spacing w:before="5"/>
              <w:jc w:val="left"/>
              <w:rPr>
                <w:b/>
                <w:sz w:val="21"/>
              </w:rPr>
            </w:pPr>
          </w:p>
          <w:p>
            <w:pPr>
              <w:pStyle w:val="TableParagraph"/>
              <w:ind w:left="258"/>
              <w:jc w:val="left"/>
              <w:rPr>
                <w:b/>
                <w:sz w:val="21"/>
              </w:rPr>
            </w:pPr>
            <w:r>
              <w:rPr>
                <w:b/>
                <w:sz w:val="21"/>
              </w:rPr>
              <w:t>应对措施</w:t>
            </w:r>
          </w:p>
        </w:tc>
      </w:tr>
      <w:tr>
        <w:trPr>
          <w:trHeight w:val="340" w:hRule="atLeast"/>
        </w:trPr>
        <w:tc>
          <w:tcPr>
            <w:tcW w:w="475" w:type="dxa"/>
            <w:vMerge w:val="restart"/>
          </w:tcPr>
          <w:p>
            <w:pPr>
              <w:pStyle w:val="TableParagraph"/>
              <w:spacing w:before="6"/>
              <w:jc w:val="left"/>
              <w:rPr>
                <w:b/>
                <w:sz w:val="22"/>
              </w:rPr>
            </w:pPr>
          </w:p>
          <w:p>
            <w:pPr>
              <w:pStyle w:val="TableParagraph"/>
              <w:ind w:left="9"/>
              <w:rPr>
                <w:rFonts w:ascii="Times New Roman"/>
                <w:sz w:val="21"/>
              </w:rPr>
            </w:pPr>
            <w:r>
              <w:rPr>
                <w:rFonts w:ascii="Times New Roman"/>
                <w:w w:val="100"/>
                <w:sz w:val="21"/>
              </w:rPr>
              <w:t>1</w:t>
            </w:r>
          </w:p>
        </w:tc>
        <w:tc>
          <w:tcPr>
            <w:tcW w:w="849" w:type="dxa"/>
            <w:vMerge w:val="restart"/>
          </w:tcPr>
          <w:p>
            <w:pPr>
              <w:pStyle w:val="TableParagraph"/>
              <w:spacing w:before="6"/>
              <w:jc w:val="left"/>
              <w:rPr>
                <w:b/>
                <w:sz w:val="22"/>
              </w:rPr>
            </w:pPr>
          </w:p>
          <w:p>
            <w:pPr>
              <w:pStyle w:val="TableParagraph"/>
              <w:ind w:left="112"/>
              <w:jc w:val="left"/>
              <w:rPr>
                <w:rFonts w:ascii="Times New Roman"/>
                <w:sz w:val="21"/>
              </w:rPr>
            </w:pPr>
            <w:r>
              <w:rPr>
                <w:rFonts w:ascii="Times New Roman"/>
                <w:sz w:val="21"/>
              </w:rPr>
              <w:t>DA004</w:t>
            </w:r>
          </w:p>
        </w:tc>
        <w:tc>
          <w:tcPr>
            <w:tcW w:w="1327" w:type="dxa"/>
            <w:vMerge w:val="restart"/>
          </w:tcPr>
          <w:p>
            <w:pPr>
              <w:pStyle w:val="TableParagraph"/>
              <w:spacing w:line="242" w:lineRule="auto" w:before="1"/>
              <w:ind w:left="139" w:right="121"/>
              <w:rPr>
                <w:sz w:val="21"/>
              </w:rPr>
            </w:pPr>
            <w:r>
              <w:rPr>
                <w:sz w:val="21"/>
              </w:rPr>
              <w:t>布袋除尘或集中处理装</w:t>
            </w:r>
          </w:p>
          <w:p>
            <w:pPr>
              <w:pStyle w:val="TableParagraph"/>
              <w:spacing w:line="252" w:lineRule="exact" w:before="1"/>
              <w:ind w:left="134" w:right="121"/>
              <w:rPr>
                <w:sz w:val="21"/>
              </w:rPr>
            </w:pPr>
            <w:r>
              <w:rPr>
                <w:sz w:val="21"/>
              </w:rPr>
              <w:t>置故障</w:t>
            </w:r>
          </w:p>
        </w:tc>
        <w:tc>
          <w:tcPr>
            <w:tcW w:w="969" w:type="dxa"/>
          </w:tcPr>
          <w:p>
            <w:pPr>
              <w:pStyle w:val="TableParagraph"/>
              <w:spacing w:before="34"/>
              <w:ind w:left="147" w:right="134"/>
              <w:rPr>
                <w:sz w:val="21"/>
              </w:rPr>
            </w:pPr>
            <w:r>
              <w:rPr>
                <w:sz w:val="21"/>
              </w:rPr>
              <w:t>粉尘</w:t>
            </w:r>
          </w:p>
        </w:tc>
        <w:tc>
          <w:tcPr>
            <w:tcW w:w="1274" w:type="dxa"/>
          </w:tcPr>
          <w:p>
            <w:pPr>
              <w:pStyle w:val="TableParagraph"/>
              <w:spacing w:before="48"/>
              <w:ind w:left="89" w:right="73"/>
              <w:rPr>
                <w:rFonts w:ascii="Times New Roman"/>
                <w:sz w:val="21"/>
              </w:rPr>
            </w:pPr>
            <w:r>
              <w:rPr>
                <w:rFonts w:ascii="Times New Roman"/>
                <w:sz w:val="21"/>
              </w:rPr>
              <w:t>170.2</w:t>
            </w:r>
          </w:p>
        </w:tc>
        <w:tc>
          <w:tcPr>
            <w:tcW w:w="1277" w:type="dxa"/>
          </w:tcPr>
          <w:p>
            <w:pPr>
              <w:pStyle w:val="TableParagraph"/>
              <w:spacing w:before="48"/>
              <w:ind w:left="19" w:right="4"/>
              <w:rPr>
                <w:rFonts w:ascii="Times New Roman"/>
                <w:sz w:val="21"/>
              </w:rPr>
            </w:pPr>
            <w:r>
              <w:rPr>
                <w:rFonts w:ascii="Times New Roman"/>
                <w:sz w:val="21"/>
              </w:rPr>
              <w:t>0.766</w:t>
            </w:r>
          </w:p>
        </w:tc>
        <w:tc>
          <w:tcPr>
            <w:tcW w:w="849" w:type="dxa"/>
          </w:tcPr>
          <w:p>
            <w:pPr>
              <w:pStyle w:val="TableParagraph"/>
              <w:spacing w:before="48"/>
              <w:ind w:left="15"/>
              <w:rPr>
                <w:rFonts w:ascii="Times New Roman"/>
                <w:sz w:val="21"/>
              </w:rPr>
            </w:pPr>
            <w:r>
              <w:rPr>
                <w:rFonts w:ascii="Times New Roman"/>
                <w:w w:val="100"/>
                <w:sz w:val="21"/>
              </w:rPr>
              <w:t>1</w:t>
            </w:r>
          </w:p>
        </w:tc>
        <w:tc>
          <w:tcPr>
            <w:tcW w:w="852" w:type="dxa"/>
          </w:tcPr>
          <w:p>
            <w:pPr>
              <w:pStyle w:val="TableParagraph"/>
              <w:spacing w:before="48"/>
              <w:ind w:left="13"/>
              <w:rPr>
                <w:rFonts w:ascii="Times New Roman"/>
                <w:sz w:val="21"/>
              </w:rPr>
            </w:pPr>
            <w:r>
              <w:rPr>
                <w:rFonts w:ascii="Times New Roman"/>
                <w:w w:val="100"/>
                <w:sz w:val="21"/>
              </w:rPr>
              <w:t>1</w:t>
            </w:r>
          </w:p>
        </w:tc>
        <w:tc>
          <w:tcPr>
            <w:tcW w:w="1351" w:type="dxa"/>
            <w:vMerge w:val="restart"/>
          </w:tcPr>
          <w:p>
            <w:pPr>
              <w:pStyle w:val="TableParagraph"/>
              <w:spacing w:line="242" w:lineRule="auto" w:before="1"/>
              <w:ind w:left="152" w:right="132"/>
              <w:jc w:val="left"/>
              <w:rPr>
                <w:sz w:val="21"/>
              </w:rPr>
            </w:pPr>
            <w:r>
              <w:rPr>
                <w:spacing w:val="-4"/>
                <w:sz w:val="21"/>
              </w:rPr>
              <w:t>废气处理装置故障时按</w:t>
            </w:r>
          </w:p>
          <w:p>
            <w:pPr>
              <w:pStyle w:val="TableParagraph"/>
              <w:spacing w:line="252" w:lineRule="exact" w:before="1"/>
              <w:ind w:left="152"/>
              <w:jc w:val="left"/>
              <w:rPr>
                <w:sz w:val="21"/>
              </w:rPr>
            </w:pPr>
            <w:r>
              <w:rPr>
                <w:spacing w:val="-1"/>
                <w:sz w:val="21"/>
              </w:rPr>
              <w:t>照应急处理</w:t>
            </w:r>
          </w:p>
        </w:tc>
      </w:tr>
      <w:tr>
        <w:trPr>
          <w:trHeight w:val="467" w:hRule="atLeast"/>
        </w:trPr>
        <w:tc>
          <w:tcPr>
            <w:tcW w:w="475" w:type="dxa"/>
            <w:vMerge/>
            <w:tcBorders>
              <w:top w:val="nil"/>
            </w:tcBorders>
          </w:tcPr>
          <w:p>
            <w:pPr>
              <w:rPr>
                <w:sz w:val="2"/>
                <w:szCs w:val="2"/>
              </w:rPr>
            </w:pPr>
          </w:p>
        </w:tc>
        <w:tc>
          <w:tcPr>
            <w:tcW w:w="849" w:type="dxa"/>
            <w:vMerge/>
            <w:tcBorders>
              <w:top w:val="nil"/>
            </w:tcBorders>
          </w:tcPr>
          <w:p>
            <w:pPr>
              <w:rPr>
                <w:sz w:val="2"/>
                <w:szCs w:val="2"/>
              </w:rPr>
            </w:pPr>
          </w:p>
        </w:tc>
        <w:tc>
          <w:tcPr>
            <w:tcW w:w="1327" w:type="dxa"/>
            <w:vMerge/>
            <w:tcBorders>
              <w:top w:val="nil"/>
            </w:tcBorders>
          </w:tcPr>
          <w:p>
            <w:pPr>
              <w:rPr>
                <w:sz w:val="2"/>
                <w:szCs w:val="2"/>
              </w:rPr>
            </w:pPr>
          </w:p>
        </w:tc>
        <w:tc>
          <w:tcPr>
            <w:tcW w:w="969" w:type="dxa"/>
          </w:tcPr>
          <w:p>
            <w:pPr>
              <w:pStyle w:val="TableParagraph"/>
              <w:spacing w:before="97"/>
              <w:ind w:left="147" w:right="134"/>
              <w:rPr>
                <w:sz w:val="21"/>
              </w:rPr>
            </w:pPr>
            <w:r>
              <w:rPr>
                <w:sz w:val="21"/>
              </w:rPr>
              <w:t>甲酸</w:t>
            </w:r>
          </w:p>
        </w:tc>
        <w:tc>
          <w:tcPr>
            <w:tcW w:w="1274" w:type="dxa"/>
          </w:tcPr>
          <w:p>
            <w:pPr>
              <w:pStyle w:val="TableParagraph"/>
              <w:spacing w:before="111"/>
              <w:ind w:left="89" w:right="73"/>
              <w:rPr>
                <w:rFonts w:ascii="Times New Roman"/>
                <w:sz w:val="21"/>
              </w:rPr>
            </w:pPr>
            <w:r>
              <w:rPr>
                <w:rFonts w:ascii="Times New Roman"/>
                <w:sz w:val="21"/>
              </w:rPr>
              <w:t>266.7</w:t>
            </w:r>
          </w:p>
        </w:tc>
        <w:tc>
          <w:tcPr>
            <w:tcW w:w="1277" w:type="dxa"/>
          </w:tcPr>
          <w:p>
            <w:pPr>
              <w:pStyle w:val="TableParagraph"/>
              <w:spacing w:before="111"/>
              <w:ind w:left="19" w:right="4"/>
              <w:rPr>
                <w:rFonts w:ascii="Times New Roman"/>
                <w:sz w:val="21"/>
              </w:rPr>
            </w:pPr>
            <w:r>
              <w:rPr>
                <w:rFonts w:ascii="Times New Roman"/>
                <w:sz w:val="21"/>
              </w:rPr>
              <w:t>1.2</w:t>
            </w:r>
          </w:p>
        </w:tc>
        <w:tc>
          <w:tcPr>
            <w:tcW w:w="849" w:type="dxa"/>
          </w:tcPr>
          <w:p>
            <w:pPr>
              <w:pStyle w:val="TableParagraph"/>
              <w:spacing w:before="111"/>
              <w:ind w:left="15"/>
              <w:rPr>
                <w:rFonts w:ascii="Times New Roman"/>
                <w:sz w:val="21"/>
              </w:rPr>
            </w:pPr>
            <w:r>
              <w:rPr>
                <w:rFonts w:ascii="Times New Roman"/>
                <w:w w:val="100"/>
                <w:sz w:val="21"/>
              </w:rPr>
              <w:t>1</w:t>
            </w:r>
          </w:p>
        </w:tc>
        <w:tc>
          <w:tcPr>
            <w:tcW w:w="852" w:type="dxa"/>
          </w:tcPr>
          <w:p>
            <w:pPr>
              <w:pStyle w:val="TableParagraph"/>
              <w:spacing w:before="111"/>
              <w:ind w:left="13"/>
              <w:rPr>
                <w:rFonts w:ascii="Times New Roman"/>
                <w:sz w:val="21"/>
              </w:rPr>
            </w:pPr>
            <w:r>
              <w:rPr>
                <w:rFonts w:ascii="Times New Roman"/>
                <w:w w:val="100"/>
                <w:sz w:val="21"/>
              </w:rPr>
              <w:t>1</w:t>
            </w:r>
          </w:p>
        </w:tc>
        <w:tc>
          <w:tcPr>
            <w:tcW w:w="1351" w:type="dxa"/>
            <w:vMerge/>
            <w:tcBorders>
              <w:top w:val="nil"/>
            </w:tcBorders>
          </w:tcPr>
          <w:p>
            <w:pPr>
              <w:rPr>
                <w:sz w:val="2"/>
                <w:szCs w:val="2"/>
              </w:rPr>
            </w:pPr>
          </w:p>
        </w:tc>
      </w:tr>
    </w:tbl>
    <w:p>
      <w:pPr>
        <w:pStyle w:val="ListParagraph"/>
        <w:numPr>
          <w:ilvl w:val="3"/>
          <w:numId w:val="26"/>
        </w:numPr>
        <w:tabs>
          <w:tab w:pos="1434" w:val="left" w:leader="none"/>
        </w:tabs>
        <w:spacing w:line="240" w:lineRule="auto" w:before="2" w:after="0"/>
        <w:ind w:left="1434" w:right="0" w:hanging="720"/>
        <w:jc w:val="left"/>
        <w:rPr>
          <w:b/>
          <w:sz w:val="24"/>
        </w:rPr>
      </w:pPr>
      <w:r>
        <w:rPr>
          <w:b/>
          <w:sz w:val="24"/>
        </w:rPr>
        <w:t>恶臭影响分析</w:t>
      </w:r>
    </w:p>
    <w:p>
      <w:pPr>
        <w:pStyle w:val="BodyText"/>
        <w:spacing w:before="158"/>
        <w:ind w:left="711"/>
      </w:pPr>
      <w:r>
        <w:rPr>
          <w:rFonts w:ascii="Times New Roman" w:eastAsia="Times New Roman"/>
        </w:rPr>
        <w:t>1</w:t>
      </w:r>
      <w:r>
        <w:rPr/>
        <w:t>、恶臭物质及危害</w:t>
      </w:r>
    </w:p>
    <w:p>
      <w:pPr>
        <w:spacing w:after="0"/>
        <w:sectPr>
          <w:pgSz w:w="11910" w:h="16850"/>
          <w:pgMar w:header="1004" w:footer="1088" w:top="1360" w:bottom="1280" w:left="1300" w:right="1020"/>
        </w:sectPr>
      </w:pPr>
    </w:p>
    <w:p>
      <w:pPr>
        <w:pStyle w:val="BodyText"/>
        <w:spacing w:line="364" w:lineRule="auto" w:before="64"/>
        <w:ind w:left="231" w:right="223" w:firstLine="479"/>
        <w:jc w:val="both"/>
      </w:pPr>
      <w:r>
        <w:rPr>
          <w:spacing w:val="-1"/>
        </w:rPr>
        <w:t>恶臭物质是指一切刺激嗅觉器官引起人们不愉快及损害生活环境的气体物质，有时</w:t>
      </w:r>
      <w:r>
        <w:rPr>
          <w:spacing w:val="-8"/>
        </w:rPr>
        <w:t>还会引起呕吐，影响人体健康，是对人产生嗅觉伤害、引起疾病的公害之一</w:t>
      </w:r>
      <w:r>
        <w:rPr>
          <w:spacing w:val="-29"/>
        </w:rPr>
        <w:t>。《中华人民</w:t>
      </w:r>
      <w:r>
        <w:rPr>
          <w:spacing w:val="-1"/>
        </w:rPr>
        <w:t>共和国大气污染防治法》有关条例已对防治恶臭污染作了规定。近年来我国已制定了有</w:t>
      </w:r>
      <w:r>
        <w:rPr/>
        <w:t>关恶臭物质的排放标准和居民区标准。</w:t>
      </w:r>
    </w:p>
    <w:p>
      <w:pPr>
        <w:pStyle w:val="BodyText"/>
        <w:spacing w:line="364" w:lineRule="auto"/>
        <w:ind w:left="231" w:right="101" w:firstLine="479"/>
      </w:pPr>
      <w:r>
        <w:rPr>
          <w:spacing w:val="-11"/>
        </w:rPr>
        <w:t>恶臭来源：迄今凭人的嗅觉即能感觉到的恶臭物质有 </w:t>
      </w:r>
      <w:r>
        <w:rPr>
          <w:rFonts w:ascii="Times New Roman" w:eastAsia="Times New Roman"/>
        </w:rPr>
        <w:t>4000 </w:t>
      </w:r>
      <w:r>
        <w:rPr>
          <w:spacing w:val="-8"/>
        </w:rPr>
        <w:t>多种，其中对健康危害较大的有硫醇类、氨、硫化氢、甲基硫、三甲胺、甲醛、苯乙烯、铬酸、酚类等几十种。有些恶臭物质随着废水、废渣排入水体，不仅使水发生异臭异味，而且使鱼类等水生生</w:t>
      </w:r>
      <w:r>
        <w:rPr>
          <w:spacing w:val="-14"/>
        </w:rPr>
        <w:t>物发生恶臭。恶臭物质分布广，影响范围大，已经成为公害，在一些地方的环保投诉中， </w:t>
      </w:r>
      <w:r>
        <w:rPr/>
        <w:t>恶臭案件仅次于噪声。</w:t>
      </w:r>
    </w:p>
    <w:p>
      <w:pPr>
        <w:pStyle w:val="BodyText"/>
        <w:spacing w:line="362" w:lineRule="auto"/>
        <w:ind w:left="231" w:right="224" w:firstLine="479"/>
      </w:pPr>
      <w:r>
        <w:rPr/>
        <w:t>恶臭危害：①危害呼吸系统。人们突然闻到恶臭，就会产生反射性的抑制吸气，使呼吸次数减少，深度变浅，甚至会暂时停止吸气，即所谓</w:t>
      </w:r>
      <w:r>
        <w:rPr>
          <w:rFonts w:ascii="Times New Roman" w:hAnsi="Times New Roman" w:eastAsia="Times New Roman"/>
        </w:rPr>
        <w:t>“</w:t>
      </w:r>
      <w:r>
        <w:rPr/>
        <w:t>闭气</w:t>
      </w:r>
      <w:r>
        <w:rPr>
          <w:rFonts w:ascii="Times New Roman" w:hAnsi="Times New Roman" w:eastAsia="Times New Roman"/>
        </w:rPr>
        <w:t>”</w:t>
      </w:r>
      <w:r>
        <w:rPr/>
        <w:t>，妨碍正常呼吸功能。</w:t>
      </w:r>
    </w:p>
    <w:p>
      <w:pPr>
        <w:pStyle w:val="BodyText"/>
        <w:spacing w:line="364" w:lineRule="auto" w:before="1"/>
        <w:ind w:left="231" w:right="221"/>
        <w:jc w:val="both"/>
      </w:pPr>
      <w:r>
        <w:rPr>
          <w:spacing w:val="-1"/>
        </w:rPr>
        <w:t>②危害循环系统。随着呼吸的变化，会出现脉搏和血压的变化。如氨等刺激性臭气会使血压出现先下降后上升，脉搏先减慢后加快的现象。③危害消化系统。经常接触恶臭， 会使人厌食、恶心，甚至呕吐，进而发展为消化功能减退。④危害内分泌系统。经常受恶臭刺激，会使内分泌系统的分泌功能紊乱，影响机体的代谢活动。⑤危害神经系统。</w:t>
      </w:r>
      <w:r>
        <w:rPr>
          <w:spacing w:val="-5"/>
        </w:rPr>
        <w:t>长期受到一种或几种低浓度恶臭物质的刺激，会引起嗅觉脱失、嗅觉疲劳等障碍。</w:t>
      </w:r>
      <w:r>
        <w:rPr>
          <w:rFonts w:ascii="Times New Roman" w:hAnsi="Times New Roman" w:eastAsia="Times New Roman"/>
        </w:rPr>
        <w:t>“</w:t>
      </w:r>
      <w:r>
        <w:rPr>
          <w:spacing w:val="-8"/>
        </w:rPr>
        <w:t>久闻</w:t>
      </w:r>
      <w:r>
        <w:rPr/>
        <w:t>而不知其臭</w:t>
      </w:r>
      <w:r>
        <w:rPr>
          <w:rFonts w:ascii="Times New Roman" w:hAnsi="Times New Roman" w:eastAsia="Times New Roman"/>
          <w:spacing w:val="-18"/>
        </w:rPr>
        <w:t>”</w:t>
      </w:r>
      <w:r>
        <w:rPr>
          <w:spacing w:val="-9"/>
        </w:rPr>
        <w:t>，使嗅觉丧失了第一道防御功能，但脑神经仍不断受到刺激和损伤，最后导</w:t>
      </w:r>
      <w:r>
        <w:rPr>
          <w:spacing w:val="-1"/>
        </w:rPr>
        <w:t>致大脑皮层兴奋和抑制的调节功能失调。⑥对精神的影响。恶臭使人精神烦躁不安，思</w:t>
      </w:r>
      <w:r>
        <w:rPr/>
        <w:t>想不集中，工作效率减低，判断力和记忆力下降，影响大脑的思考活动。</w:t>
      </w:r>
    </w:p>
    <w:p>
      <w:pPr>
        <w:pStyle w:val="BodyText"/>
        <w:spacing w:line="364" w:lineRule="auto"/>
        <w:ind w:left="231" w:right="103" w:firstLine="479"/>
      </w:pPr>
      <w:r>
        <w:rPr>
          <w:spacing w:val="-8"/>
        </w:rPr>
        <w:t>高浓度恶臭物质的突然袭击，有时会把人当场熏倒，造成事故。例如在日本川崎市， </w:t>
      </w:r>
      <w:r>
        <w:rPr>
          <w:rFonts w:ascii="Times New Roman" w:eastAsia="Times New Roman"/>
        </w:rPr>
        <w:t>1961 </w:t>
      </w:r>
      <w:r>
        <w:rPr>
          <w:spacing w:val="-18"/>
        </w:rPr>
        <w:t>年 </w:t>
      </w:r>
      <w:r>
        <w:rPr>
          <w:rFonts w:ascii="Times New Roman" w:eastAsia="Times New Roman"/>
        </w:rPr>
        <w:t>8</w:t>
      </w:r>
      <w:r>
        <w:rPr/>
        <w:t>～</w:t>
      </w:r>
      <w:r>
        <w:rPr>
          <w:rFonts w:ascii="Times New Roman" w:eastAsia="Times New Roman"/>
        </w:rPr>
        <w:t>9 </w:t>
      </w:r>
      <w:r>
        <w:rPr>
          <w:spacing w:val="-1"/>
        </w:rPr>
        <w:t>月就曾连续发生三次恶臭公害事件，都是由一间工厂夜间排放一种含硫醇</w:t>
      </w:r>
      <w:r>
        <w:rPr>
          <w:spacing w:val="-10"/>
        </w:rPr>
        <w:t>的废油引起的。恶臭扩散到距排放源 </w:t>
      </w:r>
      <w:r>
        <w:rPr>
          <w:rFonts w:ascii="Times New Roman" w:eastAsia="Times New Roman"/>
        </w:rPr>
        <w:t>20 </w:t>
      </w:r>
      <w:r>
        <w:rPr>
          <w:spacing w:val="-8"/>
        </w:rPr>
        <w:t>多公里的地方，近处有人当场被熏倒，远处有人在熟睡中被熏醒，还有人恶心、呕吐、眼睛疼痛等。</w:t>
      </w:r>
    </w:p>
    <w:p>
      <w:pPr>
        <w:pStyle w:val="BodyText"/>
        <w:spacing w:line="306" w:lineRule="exact"/>
        <w:ind w:left="711"/>
      </w:pPr>
      <w:r>
        <w:rPr>
          <w:rFonts w:ascii="Times New Roman" w:eastAsia="Times New Roman"/>
        </w:rPr>
        <w:t>2</w:t>
      </w:r>
      <w:r>
        <w:rPr/>
        <w:t>、本项目恶臭影响分析</w:t>
      </w:r>
    </w:p>
    <w:p>
      <w:pPr>
        <w:pStyle w:val="ListParagraph"/>
        <w:numPr>
          <w:ilvl w:val="0"/>
          <w:numId w:val="29"/>
        </w:numPr>
        <w:tabs>
          <w:tab w:pos="1313" w:val="left" w:leader="none"/>
        </w:tabs>
        <w:spacing w:line="240" w:lineRule="auto" w:before="156" w:after="0"/>
        <w:ind w:left="1312" w:right="0" w:hanging="602"/>
        <w:jc w:val="left"/>
        <w:rPr>
          <w:sz w:val="24"/>
        </w:rPr>
      </w:pPr>
      <w:r>
        <w:rPr>
          <w:sz w:val="24"/>
        </w:rPr>
        <w:t>生产中产生的恶臭</w:t>
      </w:r>
    </w:p>
    <w:p>
      <w:pPr>
        <w:pStyle w:val="BodyText"/>
        <w:spacing w:line="364" w:lineRule="auto" w:before="158"/>
        <w:ind w:left="231" w:right="102" w:firstLine="479"/>
      </w:pPr>
      <w:r>
        <w:rPr>
          <w:spacing w:val="-7"/>
        </w:rPr>
        <w:t>本项目影响较大的异味物质主要为甲酸。经查阅相关资料，人对甲酸嗅阈值见下表。</w:t>
      </w:r>
      <w:r>
        <w:rPr/>
        <w:t>根据预测，甲酸厂界外最大落地浓度见下表。</w:t>
      </w:r>
    </w:p>
    <w:p>
      <w:pPr>
        <w:pStyle w:val="Heading4"/>
        <w:tabs>
          <w:tab w:pos="4501" w:val="left" w:leader="none"/>
        </w:tabs>
        <w:spacing w:before="141" w:after="28"/>
        <w:ind w:left="3160"/>
      </w:pPr>
      <w:r>
        <w:rPr/>
        <w:t>表</w:t>
      </w:r>
      <w:r>
        <w:rPr>
          <w:spacing w:val="-60"/>
        </w:rPr>
        <w:t> </w:t>
      </w:r>
      <w:r>
        <w:rPr>
          <w:rFonts w:ascii="Times New Roman" w:eastAsia="Times New Roman"/>
        </w:rPr>
        <w:t>7.2.1-19</w:t>
        <w:tab/>
      </w:r>
      <w:r>
        <w:rPr/>
        <w:t>恶臭影响评价结果</w:t>
      </w: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3133"/>
        <w:gridCol w:w="2084"/>
        <w:gridCol w:w="2430"/>
      </w:tblGrid>
      <w:tr>
        <w:trPr>
          <w:trHeight w:val="285" w:hRule="atLeast"/>
        </w:trPr>
        <w:tc>
          <w:tcPr>
            <w:tcW w:w="1702" w:type="dxa"/>
          </w:tcPr>
          <w:p>
            <w:pPr>
              <w:pStyle w:val="TableParagraph"/>
              <w:spacing w:line="257" w:lineRule="exact" w:before="8"/>
              <w:ind w:left="11"/>
              <w:rPr>
                <w:b/>
                <w:sz w:val="21"/>
              </w:rPr>
            </w:pPr>
            <w:r>
              <w:rPr>
                <w:b/>
                <w:sz w:val="21"/>
              </w:rPr>
              <w:t>恶臭物质</w:t>
            </w:r>
          </w:p>
        </w:tc>
        <w:tc>
          <w:tcPr>
            <w:tcW w:w="3133" w:type="dxa"/>
          </w:tcPr>
          <w:p>
            <w:pPr>
              <w:pStyle w:val="TableParagraph"/>
              <w:spacing w:line="257" w:lineRule="exact" w:before="8"/>
              <w:ind w:left="94" w:right="86"/>
              <w:rPr>
                <w:b/>
                <w:sz w:val="21"/>
              </w:rPr>
            </w:pPr>
            <w:r>
              <w:rPr>
                <w:b/>
                <w:sz w:val="21"/>
              </w:rPr>
              <w:t>厂界外最大落地浓度（</w:t>
            </w:r>
            <w:r>
              <w:rPr>
                <w:rFonts w:ascii="Times New Roman" w:eastAsia="Times New Roman"/>
                <w:b/>
                <w:sz w:val="21"/>
              </w:rPr>
              <w:t>mg/m</w:t>
            </w:r>
            <w:r>
              <w:rPr>
                <w:rFonts w:ascii="Times New Roman" w:eastAsia="Times New Roman"/>
                <w:b/>
                <w:position w:val="7"/>
                <w:sz w:val="14"/>
              </w:rPr>
              <w:t>3</w:t>
            </w:r>
            <w:r>
              <w:rPr>
                <w:b/>
                <w:sz w:val="21"/>
              </w:rPr>
              <w:t>）</w:t>
            </w:r>
          </w:p>
        </w:tc>
        <w:tc>
          <w:tcPr>
            <w:tcW w:w="2084" w:type="dxa"/>
          </w:tcPr>
          <w:p>
            <w:pPr>
              <w:pStyle w:val="TableParagraph"/>
              <w:spacing w:line="257" w:lineRule="exact" w:before="8"/>
              <w:ind w:left="201" w:right="194"/>
              <w:rPr>
                <w:b/>
                <w:sz w:val="21"/>
              </w:rPr>
            </w:pPr>
            <w:r>
              <w:rPr>
                <w:b/>
                <w:sz w:val="21"/>
              </w:rPr>
              <w:t>嗅阈值（</w:t>
            </w:r>
            <w:r>
              <w:rPr>
                <w:rFonts w:ascii="Times New Roman" w:eastAsia="Times New Roman"/>
                <w:b/>
                <w:sz w:val="21"/>
              </w:rPr>
              <w:t>mg/m</w:t>
            </w:r>
            <w:r>
              <w:rPr>
                <w:rFonts w:ascii="Times New Roman" w:eastAsia="Times New Roman"/>
                <w:b/>
                <w:position w:val="7"/>
                <w:sz w:val="14"/>
              </w:rPr>
              <w:t>3</w:t>
            </w:r>
            <w:r>
              <w:rPr>
                <w:b/>
                <w:sz w:val="21"/>
              </w:rPr>
              <w:t>）</w:t>
            </w:r>
          </w:p>
        </w:tc>
        <w:tc>
          <w:tcPr>
            <w:tcW w:w="2430" w:type="dxa"/>
          </w:tcPr>
          <w:p>
            <w:pPr>
              <w:pStyle w:val="TableParagraph"/>
              <w:spacing w:line="257" w:lineRule="exact" w:before="8"/>
              <w:ind w:left="11" w:right="6"/>
              <w:rPr>
                <w:b/>
                <w:sz w:val="21"/>
              </w:rPr>
            </w:pPr>
            <w:r>
              <w:rPr>
                <w:b/>
                <w:sz w:val="21"/>
              </w:rPr>
              <w:t>是否超出嗅阈</w:t>
            </w:r>
          </w:p>
        </w:tc>
      </w:tr>
      <w:tr>
        <w:trPr>
          <w:trHeight w:val="285" w:hRule="atLeast"/>
        </w:trPr>
        <w:tc>
          <w:tcPr>
            <w:tcW w:w="1702" w:type="dxa"/>
          </w:tcPr>
          <w:p>
            <w:pPr>
              <w:pStyle w:val="TableParagraph"/>
              <w:spacing w:line="259" w:lineRule="exact" w:before="5"/>
              <w:ind w:left="11"/>
              <w:rPr>
                <w:sz w:val="21"/>
              </w:rPr>
            </w:pPr>
            <w:r>
              <w:rPr>
                <w:sz w:val="21"/>
              </w:rPr>
              <w:t>甲酸</w:t>
            </w:r>
          </w:p>
        </w:tc>
        <w:tc>
          <w:tcPr>
            <w:tcW w:w="3133" w:type="dxa"/>
          </w:tcPr>
          <w:p>
            <w:pPr>
              <w:pStyle w:val="TableParagraph"/>
              <w:spacing w:before="19"/>
              <w:ind w:left="94" w:right="86"/>
              <w:rPr>
                <w:rFonts w:ascii="Times New Roman"/>
                <w:sz w:val="21"/>
              </w:rPr>
            </w:pPr>
            <w:r>
              <w:rPr>
                <w:rFonts w:ascii="Times New Roman"/>
                <w:sz w:val="21"/>
              </w:rPr>
              <w:t>0.00809</w:t>
            </w:r>
          </w:p>
        </w:tc>
        <w:tc>
          <w:tcPr>
            <w:tcW w:w="2084" w:type="dxa"/>
          </w:tcPr>
          <w:p>
            <w:pPr>
              <w:pStyle w:val="TableParagraph"/>
              <w:spacing w:before="19"/>
              <w:ind w:left="201" w:right="194"/>
              <w:rPr>
                <w:rFonts w:ascii="Times New Roman"/>
                <w:sz w:val="21"/>
              </w:rPr>
            </w:pPr>
            <w:r>
              <w:rPr>
                <w:rFonts w:ascii="Times New Roman"/>
                <w:sz w:val="21"/>
              </w:rPr>
              <w:t>0.045</w:t>
            </w:r>
          </w:p>
        </w:tc>
        <w:tc>
          <w:tcPr>
            <w:tcW w:w="2430" w:type="dxa"/>
          </w:tcPr>
          <w:p>
            <w:pPr>
              <w:pStyle w:val="TableParagraph"/>
              <w:spacing w:line="259" w:lineRule="exact" w:before="5"/>
              <w:ind w:left="7"/>
              <w:rPr>
                <w:sz w:val="21"/>
              </w:rPr>
            </w:pPr>
            <w:r>
              <w:rPr>
                <w:w w:val="100"/>
                <w:sz w:val="21"/>
              </w:rPr>
              <w:t>否</w:t>
            </w:r>
          </w:p>
        </w:tc>
      </w:tr>
    </w:tbl>
    <w:p>
      <w:pPr>
        <w:spacing w:before="1"/>
        <w:ind w:left="231" w:right="0" w:firstLine="0"/>
        <w:jc w:val="left"/>
        <w:rPr>
          <w:b/>
          <w:sz w:val="21"/>
        </w:rPr>
      </w:pPr>
      <w:r>
        <w:rPr>
          <w:b/>
          <w:sz w:val="21"/>
        </w:rPr>
        <w:t>注：甲酸嗅阈值数据来自于乌锡康主编的《化学物质环境数据简表》。</w:t>
      </w:r>
    </w:p>
    <w:p>
      <w:pPr>
        <w:spacing w:after="0"/>
        <w:jc w:val="left"/>
        <w:rPr>
          <w:sz w:val="21"/>
        </w:rPr>
        <w:sectPr>
          <w:pgSz w:w="11910" w:h="16850"/>
          <w:pgMar w:header="1004" w:footer="1088" w:top="1360" w:bottom="1280" w:left="1300" w:right="1020"/>
        </w:sectPr>
      </w:pPr>
    </w:p>
    <w:p>
      <w:pPr>
        <w:pStyle w:val="BodyText"/>
        <w:spacing w:line="364" w:lineRule="auto" w:before="64"/>
        <w:ind w:left="231" w:right="225" w:firstLine="479"/>
      </w:pPr>
      <w:r>
        <w:rPr/>
        <w:t>根据上述预测结果，甲酸在厂界外浓度均低于人的嗅阈值，因此该项目在正常生产时恶臭污染物对周围环境影响较小。</w:t>
      </w:r>
    </w:p>
    <w:p>
      <w:pPr>
        <w:pStyle w:val="ListParagraph"/>
        <w:numPr>
          <w:ilvl w:val="0"/>
          <w:numId w:val="29"/>
        </w:numPr>
        <w:tabs>
          <w:tab w:pos="1313" w:val="left" w:leader="none"/>
        </w:tabs>
        <w:spacing w:line="306" w:lineRule="exact" w:before="0" w:after="0"/>
        <w:ind w:left="1312" w:right="0" w:hanging="602"/>
        <w:jc w:val="left"/>
        <w:rPr>
          <w:sz w:val="24"/>
        </w:rPr>
      </w:pPr>
      <w:r>
        <w:rPr>
          <w:sz w:val="24"/>
        </w:rPr>
        <w:t>废水站恶臭</w:t>
      </w:r>
    </w:p>
    <w:p>
      <w:pPr>
        <w:pStyle w:val="BodyText"/>
        <w:spacing w:line="364" w:lineRule="auto" w:before="160"/>
        <w:ind w:left="231" w:right="101" w:firstLine="479"/>
      </w:pPr>
      <w:r>
        <w:rPr/>
        <w:t>废水站产生恶臭的污染源主要有废水预处理设施、厌氧池、缺氧池、好氧池、调节</w:t>
      </w:r>
      <w:r>
        <w:rPr>
          <w:spacing w:val="-2"/>
        </w:rPr>
        <w:t>池、初沉池等运行单元，运行过程中产生的恶臭气体主要为硫化氢、氨及 </w:t>
      </w:r>
      <w:r>
        <w:rPr>
          <w:rFonts w:ascii="Times New Roman" w:eastAsia="Times New Roman"/>
        </w:rPr>
        <w:t>VOCs</w:t>
      </w:r>
      <w:r>
        <w:rPr>
          <w:rFonts w:ascii="Times New Roman" w:eastAsia="Times New Roman"/>
          <w:spacing w:val="4"/>
        </w:rPr>
        <w:t> </w:t>
      </w:r>
      <w:r>
        <w:rPr/>
        <w:t>等。为</w:t>
      </w:r>
      <w:r>
        <w:rPr>
          <w:spacing w:val="-9"/>
        </w:rPr>
        <w:t>防止发生废水站恶臭污染问题，企业对这些废水处理单元恶臭气体产生源进行加盖密闭， </w:t>
      </w:r>
      <w:r>
        <w:rPr/>
        <w:t>废气收集后采用一级氧化喷淋</w:t>
      </w:r>
      <w:r>
        <w:rPr>
          <w:rFonts w:ascii="Times New Roman" w:eastAsia="Times New Roman"/>
        </w:rPr>
        <w:t>+</w:t>
      </w:r>
      <w:r>
        <w:rPr/>
        <w:t>一级碱喷淋处理后外排。经过处理后排放量不大。</w:t>
      </w:r>
    </w:p>
    <w:p>
      <w:pPr>
        <w:pStyle w:val="BodyText"/>
        <w:spacing w:line="364" w:lineRule="auto"/>
        <w:ind w:left="231" w:right="103" w:firstLine="479"/>
        <w:jc w:val="both"/>
      </w:pPr>
      <w:r>
        <w:rPr/>
        <w:t>根据项目总平布置，废水站布置在厂区南侧，靠近厂区边界，而植被可在一定程度上吸附、吸收恶臭气体，同时绿化带也是一道天然屏障。因此，南侧厂界在废水站和围</w:t>
      </w:r>
      <w:r>
        <w:rPr>
          <w:spacing w:val="-9"/>
        </w:rPr>
        <w:t>墙之间尽可能种植灌乔木、绿地等绿化带，以进一步减少废水站臭气对周边环境的影响。</w:t>
      </w:r>
    </w:p>
    <w:p>
      <w:pPr>
        <w:pStyle w:val="BodyText"/>
        <w:spacing w:line="364" w:lineRule="auto"/>
        <w:ind w:left="231" w:right="104" w:firstLine="479"/>
      </w:pPr>
      <w:r>
        <w:rPr>
          <w:spacing w:val="-6"/>
        </w:rPr>
        <w:t>综上，项目应对厂区内废气进行收集处理，进行源头、过程及末端三方面的控制。</w:t>
      </w:r>
      <w:r>
        <w:rPr/>
        <w:t>预计在对恶臭废气进行有效收集处理后，正常工况下，项目产生的恶臭污染物对周边环境影响较小。</w:t>
      </w:r>
    </w:p>
    <w:p>
      <w:pPr>
        <w:pStyle w:val="Heading4"/>
        <w:numPr>
          <w:ilvl w:val="3"/>
          <w:numId w:val="26"/>
        </w:numPr>
        <w:tabs>
          <w:tab w:pos="1434" w:val="left" w:leader="none"/>
        </w:tabs>
        <w:spacing w:line="307" w:lineRule="exact" w:before="0" w:after="0"/>
        <w:ind w:left="1434" w:right="0" w:hanging="720"/>
        <w:jc w:val="left"/>
      </w:pPr>
      <w:r>
        <w:rPr/>
        <w:t>大气环境影响分析结论</w:t>
      </w:r>
    </w:p>
    <w:p>
      <w:pPr>
        <w:spacing w:line="364" w:lineRule="auto" w:before="153"/>
        <w:ind w:left="231" w:right="103" w:firstLine="479"/>
        <w:jc w:val="left"/>
        <w:rPr>
          <w:sz w:val="24"/>
        </w:rPr>
      </w:pPr>
      <w:r>
        <w:rPr>
          <w:spacing w:val="-9"/>
          <w:sz w:val="24"/>
        </w:rPr>
        <w:t>本项目所在区域为达标区，根据预测结果可知，本项目建设能够同时满足以下条件， </w:t>
      </w:r>
      <w:r>
        <w:rPr>
          <w:b/>
          <w:sz w:val="24"/>
        </w:rPr>
        <w:t>本项目大气环境影响可以接受</w:t>
      </w:r>
      <w:r>
        <w:rPr>
          <w:sz w:val="24"/>
        </w:rPr>
        <w:t>。</w:t>
      </w:r>
    </w:p>
    <w:p>
      <w:pPr>
        <w:pStyle w:val="BodyText"/>
        <w:spacing w:line="364" w:lineRule="auto" w:before="1"/>
        <w:ind w:left="231" w:right="151" w:firstLine="479"/>
      </w:pPr>
      <w:r>
        <w:rPr>
          <w:rFonts w:ascii="Times New Roman" w:hAnsi="Times New Roman" w:eastAsia="Times New Roman"/>
          <w:position w:val="2"/>
        </w:rPr>
        <w:t>1</w:t>
      </w:r>
      <w:r>
        <w:rPr>
          <w:position w:val="2"/>
        </w:rPr>
        <w:t>、新增污染源正常排放下污染物甲酸、</w:t>
      </w:r>
      <w:r>
        <w:rPr>
          <w:rFonts w:ascii="Times New Roman" w:hAnsi="Times New Roman" w:eastAsia="Times New Roman"/>
          <w:position w:val="2"/>
        </w:rPr>
        <w:t>PM</w:t>
      </w:r>
      <w:r>
        <w:rPr>
          <w:rFonts w:ascii="Times New Roman" w:hAnsi="Times New Roman" w:eastAsia="Times New Roman"/>
          <w:sz w:val="16"/>
        </w:rPr>
        <w:t>10</w:t>
      </w:r>
      <w:r>
        <w:rPr>
          <w:position w:val="2"/>
        </w:rPr>
        <w:t>、</w:t>
      </w:r>
      <w:r>
        <w:rPr>
          <w:rFonts w:ascii="Times New Roman" w:hAnsi="Times New Roman" w:eastAsia="Times New Roman"/>
          <w:position w:val="2"/>
        </w:rPr>
        <w:t>TSP</w:t>
      </w:r>
      <w:r>
        <w:rPr>
          <w:position w:val="2"/>
        </w:rPr>
        <w:t>短期浓度贡献值的最大浓度占标</w:t>
      </w:r>
      <w:r>
        <w:rPr/>
        <w:t>率</w:t>
      </w:r>
      <w:r>
        <w:rPr>
          <w:rFonts w:ascii="Times New Roman" w:hAnsi="Times New Roman" w:eastAsia="Times New Roman"/>
        </w:rPr>
        <w:t>≤100%</w:t>
      </w:r>
      <w:r>
        <w:rPr/>
        <w:t>。</w:t>
      </w:r>
    </w:p>
    <w:p>
      <w:pPr>
        <w:pStyle w:val="BodyText"/>
        <w:spacing w:line="306" w:lineRule="exact"/>
        <w:ind w:left="711"/>
      </w:pPr>
      <w:r>
        <w:rPr>
          <w:rFonts w:ascii="Times New Roman" w:eastAsia="Times New Roman"/>
          <w:position w:val="2"/>
        </w:rPr>
        <w:t>2</w:t>
      </w:r>
      <w:r>
        <w:rPr>
          <w:position w:val="2"/>
        </w:rPr>
        <w:t>、新增污染源正常排放下污染物</w:t>
      </w:r>
      <w:r>
        <w:rPr>
          <w:rFonts w:ascii="Times New Roman" w:eastAsia="Times New Roman"/>
          <w:position w:val="2"/>
        </w:rPr>
        <w:t>PM</w:t>
      </w:r>
      <w:r>
        <w:rPr>
          <w:rFonts w:ascii="Times New Roman" w:eastAsia="Times New Roman"/>
          <w:sz w:val="16"/>
        </w:rPr>
        <w:t>10</w:t>
      </w:r>
      <w:r>
        <w:rPr>
          <w:position w:val="2"/>
        </w:rPr>
        <w:t>、</w:t>
      </w:r>
      <w:r>
        <w:rPr>
          <w:rFonts w:ascii="Times New Roman" w:eastAsia="Times New Roman"/>
          <w:position w:val="2"/>
        </w:rPr>
        <w:t>TSP</w:t>
      </w:r>
      <w:r>
        <w:rPr>
          <w:position w:val="2"/>
        </w:rPr>
        <w:t>年均浓度贡献值的最大浓度占标率</w:t>
      </w:r>
    </w:p>
    <w:p>
      <w:pPr>
        <w:pStyle w:val="BodyText"/>
        <w:spacing w:before="159"/>
        <w:ind w:left="231"/>
      </w:pPr>
      <w:r>
        <w:rPr>
          <w:rFonts w:ascii="Times New Roman" w:hAnsi="Times New Roman" w:eastAsia="Times New Roman"/>
        </w:rPr>
        <w:t>≤30%</w:t>
      </w:r>
      <w:r>
        <w:rPr/>
        <w:t>。</w:t>
      </w:r>
    </w:p>
    <w:p>
      <w:pPr>
        <w:pStyle w:val="BodyText"/>
        <w:spacing w:line="364" w:lineRule="auto" w:before="160"/>
        <w:ind w:left="231" w:right="222" w:firstLine="479"/>
        <w:jc w:val="both"/>
      </w:pPr>
      <w:r>
        <w:rPr>
          <w:rFonts w:ascii="Times New Roman" w:eastAsia="Times New Roman"/>
          <w:position w:val="2"/>
        </w:rPr>
        <w:t>3</w:t>
      </w:r>
      <w:r>
        <w:rPr>
          <w:spacing w:val="-24"/>
          <w:position w:val="2"/>
        </w:rPr>
        <w:t>、</w:t>
      </w:r>
      <w:r>
        <w:rPr>
          <w:rFonts w:ascii="Times New Roman" w:eastAsia="Times New Roman"/>
          <w:position w:val="2"/>
        </w:rPr>
        <w:t>PM</w:t>
      </w:r>
      <w:r>
        <w:rPr>
          <w:rFonts w:ascii="Times New Roman" w:eastAsia="Times New Roman"/>
          <w:sz w:val="16"/>
        </w:rPr>
        <w:t>10</w:t>
      </w:r>
      <w:r>
        <w:rPr>
          <w:spacing w:val="-24"/>
          <w:position w:val="2"/>
        </w:rPr>
        <w:t>、</w:t>
      </w:r>
      <w:r>
        <w:rPr>
          <w:rFonts w:ascii="Times New Roman" w:eastAsia="Times New Roman"/>
          <w:position w:val="2"/>
        </w:rPr>
        <w:t>TSP</w:t>
      </w:r>
      <w:r>
        <w:rPr>
          <w:spacing w:val="-5"/>
          <w:position w:val="2"/>
        </w:rPr>
        <w:t>叠加现状浓度、拟建项目的环境影响后，</w:t>
      </w:r>
      <w:r>
        <w:rPr>
          <w:rFonts w:ascii="Times New Roman" w:eastAsia="Times New Roman"/>
          <w:spacing w:val="-5"/>
          <w:position w:val="2"/>
        </w:rPr>
        <w:t>PM</w:t>
      </w:r>
      <w:r>
        <w:rPr>
          <w:rFonts w:ascii="Times New Roman" w:eastAsia="Times New Roman"/>
          <w:spacing w:val="-5"/>
          <w:sz w:val="16"/>
        </w:rPr>
        <w:t>10</w:t>
      </w:r>
      <w:r>
        <w:rPr>
          <w:spacing w:val="-1"/>
          <w:position w:val="2"/>
        </w:rPr>
        <w:t>的保证率日平均浓度和</w:t>
      </w:r>
      <w:r>
        <w:rPr>
          <w:spacing w:val="-1"/>
        </w:rPr>
        <w:t>年平均浓度均符合环境质量标准，</w:t>
      </w:r>
      <w:r>
        <w:rPr>
          <w:rFonts w:ascii="Times New Roman" w:eastAsia="Times New Roman"/>
          <w:spacing w:val="-1"/>
        </w:rPr>
        <w:t>TSP</w:t>
      </w:r>
      <w:r>
        <w:rPr>
          <w:spacing w:val="-1"/>
        </w:rPr>
        <w:t>的日平均浓度和年平均浓度均符合环境质量标准</w:t>
      </w:r>
      <w:r>
        <w:rPr>
          <w:spacing w:val="-2"/>
        </w:rPr>
        <w:t>的要求。由于甲酸无环境质量现状浓度及同类拟建、在建污染源，故甲酸环境影响叠加</w:t>
      </w:r>
      <w:r>
        <w:rPr/>
        <w:t>值即为贡献值，符合环境质量标准的要求。</w:t>
      </w:r>
    </w:p>
    <w:p>
      <w:pPr>
        <w:pStyle w:val="BodyText"/>
        <w:spacing w:line="307" w:lineRule="exact"/>
        <w:ind w:left="711"/>
      </w:pPr>
      <w:r>
        <w:rPr>
          <w:rFonts w:ascii="Times New Roman" w:eastAsia="Times New Roman"/>
        </w:rPr>
        <w:t>4</w:t>
      </w:r>
      <w:r>
        <w:rPr/>
        <w:t>、项目无需设置大气环境防护距离。</w:t>
      </w:r>
    </w:p>
    <w:p>
      <w:pPr>
        <w:pStyle w:val="BodyText"/>
        <w:spacing w:line="364" w:lineRule="auto" w:before="158"/>
        <w:ind w:left="231" w:right="221" w:firstLine="479"/>
      </w:pPr>
      <w:r>
        <w:rPr>
          <w:rFonts w:ascii="Times New Roman" w:eastAsia="Times New Roman"/>
        </w:rPr>
        <w:t>5</w:t>
      </w:r>
      <w:r>
        <w:rPr>
          <w:spacing w:val="-11"/>
        </w:rPr>
        <w:t>、项目对恶臭废气进行源头、过程及末端控制，正常工况下，项目产生的恶臭污染</w:t>
      </w:r>
      <w:r>
        <w:rPr/>
        <w:t>物对周边环境影响较小。</w:t>
      </w:r>
    </w:p>
    <w:p>
      <w:pPr>
        <w:pStyle w:val="Heading4"/>
        <w:numPr>
          <w:ilvl w:val="2"/>
          <w:numId w:val="23"/>
        </w:numPr>
        <w:tabs>
          <w:tab w:pos="772" w:val="left" w:leader="none"/>
        </w:tabs>
        <w:spacing w:line="306" w:lineRule="exact" w:before="0" w:after="0"/>
        <w:ind w:left="771" w:right="0" w:hanging="541"/>
        <w:jc w:val="left"/>
      </w:pPr>
      <w:r>
        <w:rPr/>
        <w:t>营运期地表水环境影响分析</w:t>
      </w:r>
    </w:p>
    <w:p>
      <w:pPr>
        <w:pStyle w:val="BodyText"/>
        <w:spacing w:before="160"/>
        <w:ind w:left="711"/>
      </w:pPr>
      <w:r>
        <w:rPr>
          <w:rFonts w:ascii="Times New Roman" w:eastAsia="Times New Roman"/>
        </w:rPr>
        <w:t>1</w:t>
      </w:r>
      <w:r>
        <w:rPr/>
        <w:t>、水污染物控制和水环境影响减缓措施有效性评价</w:t>
      </w:r>
    </w:p>
    <w:p>
      <w:pPr>
        <w:pStyle w:val="BodyText"/>
        <w:spacing w:before="158"/>
        <w:ind w:left="711"/>
      </w:pPr>
      <w:r>
        <w:rPr/>
        <w:t>根据工程分析，本项目产生工艺废水、地面及设备清洗废水、废气处理装置废水、</w:t>
      </w:r>
    </w:p>
    <w:p>
      <w:pPr>
        <w:spacing w:after="0"/>
        <w:sectPr>
          <w:pgSz w:w="11910" w:h="16850"/>
          <w:pgMar w:header="1004" w:footer="1088" w:top="1360" w:bottom="1280" w:left="1300" w:right="1020"/>
        </w:sectPr>
      </w:pPr>
    </w:p>
    <w:p>
      <w:pPr>
        <w:pStyle w:val="BodyText"/>
        <w:spacing w:line="364" w:lineRule="auto" w:before="64"/>
        <w:ind w:left="231" w:right="221"/>
        <w:jc w:val="both"/>
      </w:pPr>
      <w:r>
        <w:rPr>
          <w:spacing w:val="-1"/>
        </w:rPr>
        <w:t>真空泵废水、生活污水、初期雨水、蒸汽冷凝水、冷却系统水排污水等。本项目含农药</w:t>
      </w:r>
      <w:r>
        <w:rPr>
          <w:spacing w:val="-2"/>
        </w:rPr>
        <w:t>成分废水</w:t>
      </w:r>
      <w:r>
        <w:rPr/>
        <w:t>（</w:t>
      </w:r>
      <w:r>
        <w:rPr>
          <w:spacing w:val="-2"/>
        </w:rPr>
        <w:t>离心废水、地面及设备清洗废水</w:t>
      </w:r>
      <w:r>
        <w:rPr>
          <w:spacing w:val="-8"/>
        </w:rPr>
        <w:t>）</w:t>
      </w:r>
      <w:r>
        <w:rPr/>
        <w:t>采用铁碳</w:t>
      </w:r>
      <w:r>
        <w:rPr>
          <w:rFonts w:ascii="Times New Roman" w:eastAsia="Times New Roman"/>
        </w:rPr>
        <w:t>+</w:t>
      </w:r>
      <w:r>
        <w:rPr/>
        <w:t>芬顿氧化</w:t>
      </w:r>
      <w:r>
        <w:rPr>
          <w:rFonts w:ascii="Times New Roman" w:eastAsia="Times New Roman"/>
        </w:rPr>
        <w:t>+</w:t>
      </w:r>
      <w:r>
        <w:rPr>
          <w:spacing w:val="-2"/>
        </w:rPr>
        <w:t>混凝沉淀装置进行预</w:t>
      </w:r>
      <w:r>
        <w:rPr>
          <w:spacing w:val="-1"/>
        </w:rPr>
        <w:t>处理，经过预处理后与其他废水接入生化处理，根据分析，本次项目废水可以做到达标</w:t>
      </w:r>
      <w:r>
        <w:rPr/>
        <w:t>排放。</w:t>
      </w:r>
    </w:p>
    <w:p>
      <w:pPr>
        <w:pStyle w:val="BodyText"/>
        <w:spacing w:line="305" w:lineRule="exact"/>
        <w:ind w:left="711"/>
      </w:pPr>
      <w:r>
        <w:rPr>
          <w:rFonts w:ascii="Times New Roman" w:eastAsia="Times New Roman"/>
        </w:rPr>
        <w:t>2</w:t>
      </w:r>
      <w:r>
        <w:rPr/>
        <w:t>、依托污水处理设施的可行性分析</w:t>
      </w:r>
    </w:p>
    <w:p>
      <w:pPr>
        <w:pStyle w:val="BodyText"/>
        <w:spacing w:line="364" w:lineRule="auto" w:before="160"/>
        <w:ind w:left="231" w:right="222" w:firstLine="479"/>
        <w:jc w:val="both"/>
      </w:pPr>
      <w:r>
        <w:rPr>
          <w:spacing w:val="-1"/>
        </w:rPr>
        <w:t>项目新增废水量 </w:t>
      </w:r>
      <w:r>
        <w:rPr>
          <w:rFonts w:ascii="Times New Roman" w:eastAsia="Times New Roman"/>
        </w:rPr>
        <w:t>110t/d</w:t>
      </w:r>
      <w:r>
        <w:rPr>
          <w:spacing w:val="-1"/>
        </w:rPr>
        <w:t>，远远低于上虞污水处理厂的富裕处理量，废水经过处理后可以达标纳管进入上虞污水处理厂。根据上虞污水处理厂监测数据可知，上虞污水处理</w:t>
      </w:r>
      <w:r>
        <w:rPr>
          <w:spacing w:val="-6"/>
        </w:rPr>
        <w:t>厂运行稳定，出水可以做到稳定达标排放，项目涉及到的 </w:t>
      </w:r>
      <w:r>
        <w:rPr>
          <w:rFonts w:ascii="Times New Roman" w:eastAsia="Times New Roman"/>
        </w:rPr>
        <w:t>CODcr</w:t>
      </w:r>
      <w:r>
        <w:rPr>
          <w:spacing w:val="-5"/>
        </w:rPr>
        <w:t>、氨氮、总氮等均可以</w:t>
      </w:r>
      <w:r>
        <w:rPr/>
        <w:t>做到达标排放，本项目依托上虞污水处理厂处理可行。</w:t>
      </w:r>
    </w:p>
    <w:p>
      <w:pPr>
        <w:pStyle w:val="BodyText"/>
        <w:spacing w:line="306" w:lineRule="exact"/>
        <w:ind w:left="711"/>
      </w:pPr>
      <w:r>
        <w:rPr>
          <w:rFonts w:ascii="Times New Roman" w:eastAsia="Times New Roman"/>
        </w:rPr>
        <w:t>3</w:t>
      </w:r>
      <w:r>
        <w:rPr/>
        <w:t>、污染源排放量核算</w:t>
      </w:r>
    </w:p>
    <w:p>
      <w:pPr>
        <w:pStyle w:val="BodyText"/>
        <w:spacing w:line="364" w:lineRule="auto" w:before="158"/>
        <w:ind w:left="711" w:right="2305"/>
      </w:pPr>
      <w:r>
        <w:rPr/>
        <w:t>本项目不涉及生态流量，污染物信息排放统计详见表 </w:t>
      </w:r>
      <w:r>
        <w:rPr>
          <w:rFonts w:ascii="Times New Roman" w:eastAsia="Times New Roman"/>
        </w:rPr>
        <w:t>7.2.2-1</w:t>
      </w:r>
      <w:r>
        <w:rPr/>
        <w:t>。</w:t>
      </w:r>
      <w:r>
        <w:rPr>
          <w:rFonts w:ascii="Times New Roman" w:eastAsia="Times New Roman"/>
        </w:rPr>
        <w:t>4</w:t>
      </w:r>
      <w:r>
        <w:rPr/>
        <w:t>、对杭州湾水环境和内河水环境影响简析</w:t>
      </w:r>
    </w:p>
    <w:p>
      <w:pPr>
        <w:pStyle w:val="BodyText"/>
        <w:spacing w:line="364" w:lineRule="auto"/>
        <w:ind w:left="231" w:right="224" w:firstLine="479"/>
        <w:jc w:val="both"/>
      </w:pPr>
      <w:r>
        <w:rPr/>
        <w:t>项目废水经处理达标后纳管进入上虞污水处理厂处理，最终排入杭州湾。依照上虞污水处理厂二期工程环评研究结果，由于上虞污水处理厂排放口海域水流动力较强，经处理达标的上虞污水处理厂尾水排放对邻近功能区水质影响甚微。项目废水经处理后排入上虞污水处理厂的截污管网，后期雨水经收集后经雨水管道排入附近河道。因此，企业只要做好清污分流，防止污水进入内河，则对内河水质无影响。本项目废水排放对周围水环境的影响是可以接受的。</w:t>
      </w:r>
    </w:p>
    <w:p>
      <w:pPr>
        <w:spacing w:after="0" w:line="364" w:lineRule="auto"/>
        <w:jc w:val="both"/>
        <w:sectPr>
          <w:pgSz w:w="11910" w:h="16850"/>
          <w:pgMar w:header="1004" w:footer="1088" w:top="1360" w:bottom="1280" w:left="1300" w:right="1020"/>
        </w:sectPr>
      </w:pPr>
    </w:p>
    <w:p>
      <w:pPr>
        <w:pStyle w:val="BodyText"/>
        <w:spacing w:before="5"/>
        <w:rPr>
          <w:sz w:val="27"/>
        </w:rPr>
      </w:pPr>
    </w:p>
    <w:p>
      <w:pPr>
        <w:pStyle w:val="Heading4"/>
        <w:tabs>
          <w:tab w:pos="1221" w:val="left" w:leader="none"/>
        </w:tabs>
        <w:spacing w:before="74" w:after="29"/>
        <w:ind w:left="0"/>
        <w:jc w:val="center"/>
      </w:pPr>
      <w:r>
        <w:rPr/>
        <w:t>表</w:t>
      </w:r>
      <w:r>
        <w:rPr>
          <w:spacing w:val="-60"/>
        </w:rPr>
        <w:t> </w:t>
      </w:r>
      <w:r>
        <w:rPr>
          <w:rFonts w:ascii="Times New Roman" w:eastAsia="Times New Roman"/>
        </w:rPr>
        <w:t>7.2.2-1</w:t>
        <w:tab/>
      </w:r>
      <w:r>
        <w:rPr/>
        <w:t>废水类别、污染物及污染治理设施信息表</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
        <w:gridCol w:w="1721"/>
        <w:gridCol w:w="2694"/>
        <w:gridCol w:w="853"/>
        <w:gridCol w:w="709"/>
        <w:gridCol w:w="1134"/>
        <w:gridCol w:w="1278"/>
        <w:gridCol w:w="1278"/>
        <w:gridCol w:w="993"/>
        <w:gridCol w:w="1189"/>
        <w:gridCol w:w="1825"/>
      </w:tblGrid>
      <w:tr>
        <w:trPr>
          <w:trHeight w:val="273" w:hRule="atLeast"/>
        </w:trPr>
        <w:tc>
          <w:tcPr>
            <w:tcW w:w="514" w:type="dxa"/>
            <w:vMerge w:val="restart"/>
          </w:tcPr>
          <w:p>
            <w:pPr>
              <w:pStyle w:val="TableParagraph"/>
              <w:spacing w:line="242" w:lineRule="auto" w:before="142"/>
              <w:ind w:left="151" w:right="139"/>
              <w:jc w:val="left"/>
              <w:rPr>
                <w:sz w:val="21"/>
              </w:rPr>
            </w:pPr>
            <w:r>
              <w:rPr>
                <w:sz w:val="21"/>
              </w:rPr>
              <w:t>序号</w:t>
            </w:r>
          </w:p>
        </w:tc>
        <w:tc>
          <w:tcPr>
            <w:tcW w:w="1721" w:type="dxa"/>
            <w:vMerge w:val="restart"/>
          </w:tcPr>
          <w:p>
            <w:pPr>
              <w:pStyle w:val="TableParagraph"/>
              <w:spacing w:before="10"/>
              <w:jc w:val="left"/>
              <w:rPr>
                <w:b/>
                <w:sz w:val="21"/>
              </w:rPr>
            </w:pPr>
          </w:p>
          <w:p>
            <w:pPr>
              <w:pStyle w:val="TableParagraph"/>
              <w:ind w:left="439"/>
              <w:jc w:val="left"/>
              <w:rPr>
                <w:sz w:val="21"/>
              </w:rPr>
            </w:pPr>
            <w:r>
              <w:rPr>
                <w:sz w:val="21"/>
              </w:rPr>
              <w:t>废水类型</w:t>
            </w:r>
          </w:p>
        </w:tc>
        <w:tc>
          <w:tcPr>
            <w:tcW w:w="2694" w:type="dxa"/>
            <w:vMerge w:val="restart"/>
          </w:tcPr>
          <w:p>
            <w:pPr>
              <w:pStyle w:val="TableParagraph"/>
              <w:spacing w:before="10"/>
              <w:jc w:val="left"/>
              <w:rPr>
                <w:b/>
                <w:sz w:val="21"/>
              </w:rPr>
            </w:pPr>
          </w:p>
          <w:p>
            <w:pPr>
              <w:pStyle w:val="TableParagraph"/>
              <w:ind w:left="820"/>
              <w:jc w:val="left"/>
              <w:rPr>
                <w:sz w:val="21"/>
              </w:rPr>
            </w:pPr>
            <w:r>
              <w:rPr>
                <w:sz w:val="21"/>
              </w:rPr>
              <w:t>污染物种类</w:t>
            </w:r>
          </w:p>
        </w:tc>
        <w:tc>
          <w:tcPr>
            <w:tcW w:w="853" w:type="dxa"/>
            <w:vMerge w:val="restart"/>
          </w:tcPr>
          <w:p>
            <w:pPr>
              <w:pStyle w:val="TableParagraph"/>
              <w:spacing w:line="242" w:lineRule="auto" w:before="142"/>
              <w:ind w:left="318" w:right="100" w:hanging="212"/>
              <w:jc w:val="left"/>
              <w:rPr>
                <w:sz w:val="21"/>
              </w:rPr>
            </w:pPr>
            <w:r>
              <w:rPr>
                <w:sz w:val="21"/>
              </w:rPr>
              <w:t>排放去向</w:t>
            </w:r>
          </w:p>
        </w:tc>
        <w:tc>
          <w:tcPr>
            <w:tcW w:w="709" w:type="dxa"/>
            <w:vMerge w:val="restart"/>
          </w:tcPr>
          <w:p>
            <w:pPr>
              <w:pStyle w:val="TableParagraph"/>
              <w:spacing w:line="242" w:lineRule="auto" w:before="142"/>
              <w:ind w:left="139" w:right="136"/>
              <w:jc w:val="left"/>
              <w:rPr>
                <w:sz w:val="21"/>
              </w:rPr>
            </w:pPr>
            <w:r>
              <w:rPr>
                <w:sz w:val="21"/>
              </w:rPr>
              <w:t>排放规律</w:t>
            </w:r>
          </w:p>
        </w:tc>
        <w:tc>
          <w:tcPr>
            <w:tcW w:w="3690" w:type="dxa"/>
            <w:gridSpan w:val="3"/>
          </w:tcPr>
          <w:p>
            <w:pPr>
              <w:pStyle w:val="TableParagraph"/>
              <w:spacing w:line="252" w:lineRule="exact" w:before="1"/>
              <w:ind w:left="1209"/>
              <w:jc w:val="left"/>
              <w:rPr>
                <w:sz w:val="21"/>
              </w:rPr>
            </w:pPr>
            <w:r>
              <w:rPr>
                <w:sz w:val="21"/>
              </w:rPr>
              <w:t>污染治理设施</w:t>
            </w:r>
          </w:p>
        </w:tc>
        <w:tc>
          <w:tcPr>
            <w:tcW w:w="993" w:type="dxa"/>
            <w:vMerge w:val="restart"/>
          </w:tcPr>
          <w:p>
            <w:pPr>
              <w:pStyle w:val="TableParagraph"/>
              <w:spacing w:line="242" w:lineRule="auto" w:before="142"/>
              <w:ind w:left="279" w:right="173" w:hanging="106"/>
              <w:jc w:val="left"/>
              <w:rPr>
                <w:sz w:val="21"/>
              </w:rPr>
            </w:pPr>
            <w:r>
              <w:rPr>
                <w:sz w:val="21"/>
              </w:rPr>
              <w:t>排放口编号</w:t>
            </w:r>
          </w:p>
        </w:tc>
        <w:tc>
          <w:tcPr>
            <w:tcW w:w="1189" w:type="dxa"/>
            <w:vMerge w:val="restart"/>
          </w:tcPr>
          <w:p>
            <w:pPr>
              <w:pStyle w:val="TableParagraph"/>
              <w:spacing w:before="6"/>
              <w:ind w:left="165"/>
              <w:jc w:val="left"/>
              <w:rPr>
                <w:sz w:val="21"/>
              </w:rPr>
            </w:pPr>
            <w:r>
              <w:rPr>
                <w:sz w:val="21"/>
              </w:rPr>
              <w:t>排放口设</w:t>
            </w:r>
          </w:p>
          <w:p>
            <w:pPr>
              <w:pStyle w:val="TableParagraph"/>
              <w:spacing w:line="270" w:lineRule="atLeast" w:before="3"/>
              <w:ind w:left="271" w:right="169" w:hanging="106"/>
              <w:jc w:val="left"/>
              <w:rPr>
                <w:sz w:val="21"/>
              </w:rPr>
            </w:pPr>
            <w:r>
              <w:rPr>
                <w:sz w:val="21"/>
              </w:rPr>
              <w:t>置是否符合要求</w:t>
            </w:r>
          </w:p>
        </w:tc>
        <w:tc>
          <w:tcPr>
            <w:tcW w:w="1825" w:type="dxa"/>
            <w:vMerge w:val="restart"/>
          </w:tcPr>
          <w:p>
            <w:pPr>
              <w:pStyle w:val="TableParagraph"/>
              <w:spacing w:before="10"/>
              <w:jc w:val="left"/>
              <w:rPr>
                <w:b/>
                <w:sz w:val="21"/>
              </w:rPr>
            </w:pPr>
          </w:p>
          <w:p>
            <w:pPr>
              <w:pStyle w:val="TableParagraph"/>
              <w:ind w:left="378"/>
              <w:jc w:val="left"/>
              <w:rPr>
                <w:sz w:val="21"/>
              </w:rPr>
            </w:pPr>
            <w:r>
              <w:rPr>
                <w:sz w:val="21"/>
              </w:rPr>
              <w:t>排放口类型</w:t>
            </w:r>
          </w:p>
        </w:tc>
      </w:tr>
      <w:tr>
        <w:trPr>
          <w:trHeight w:val="544" w:hRule="atLeast"/>
        </w:trPr>
        <w:tc>
          <w:tcPr>
            <w:tcW w:w="514" w:type="dxa"/>
            <w:vMerge/>
            <w:tcBorders>
              <w:top w:val="nil"/>
            </w:tcBorders>
          </w:tcPr>
          <w:p>
            <w:pPr>
              <w:rPr>
                <w:sz w:val="2"/>
                <w:szCs w:val="2"/>
              </w:rPr>
            </w:pPr>
          </w:p>
        </w:tc>
        <w:tc>
          <w:tcPr>
            <w:tcW w:w="1721" w:type="dxa"/>
            <w:vMerge/>
            <w:tcBorders>
              <w:top w:val="nil"/>
            </w:tcBorders>
          </w:tcPr>
          <w:p>
            <w:pPr>
              <w:rPr>
                <w:sz w:val="2"/>
                <w:szCs w:val="2"/>
              </w:rPr>
            </w:pPr>
          </w:p>
        </w:tc>
        <w:tc>
          <w:tcPr>
            <w:tcW w:w="2694" w:type="dxa"/>
            <w:vMerge/>
            <w:tcBorders>
              <w:top w:val="nil"/>
            </w:tcBorders>
          </w:tcPr>
          <w:p>
            <w:pPr>
              <w:rPr>
                <w:sz w:val="2"/>
                <w:szCs w:val="2"/>
              </w:rPr>
            </w:pP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tcPr>
          <w:p>
            <w:pPr>
              <w:pStyle w:val="TableParagraph"/>
              <w:spacing w:before="1"/>
              <w:ind w:left="143"/>
              <w:jc w:val="left"/>
              <w:rPr>
                <w:sz w:val="21"/>
              </w:rPr>
            </w:pPr>
            <w:r>
              <w:rPr>
                <w:spacing w:val="-1"/>
                <w:sz w:val="21"/>
              </w:rPr>
              <w:t>污染治理</w:t>
            </w:r>
          </w:p>
          <w:p>
            <w:pPr>
              <w:pStyle w:val="TableParagraph"/>
              <w:spacing w:line="252" w:lineRule="exact" w:before="2"/>
              <w:ind w:left="143"/>
              <w:jc w:val="left"/>
              <w:rPr>
                <w:sz w:val="21"/>
              </w:rPr>
            </w:pPr>
            <w:r>
              <w:rPr>
                <w:spacing w:val="-1"/>
                <w:sz w:val="21"/>
              </w:rPr>
              <w:t>设施编号</w:t>
            </w:r>
          </w:p>
        </w:tc>
        <w:tc>
          <w:tcPr>
            <w:tcW w:w="1278" w:type="dxa"/>
          </w:tcPr>
          <w:p>
            <w:pPr>
              <w:pStyle w:val="TableParagraph"/>
              <w:spacing w:before="1"/>
              <w:ind w:left="87" w:right="84"/>
              <w:rPr>
                <w:sz w:val="21"/>
              </w:rPr>
            </w:pPr>
            <w:r>
              <w:rPr>
                <w:sz w:val="21"/>
              </w:rPr>
              <w:t>污染治理设</w:t>
            </w:r>
          </w:p>
          <w:p>
            <w:pPr>
              <w:pStyle w:val="TableParagraph"/>
              <w:spacing w:line="252" w:lineRule="exact" w:before="2"/>
              <w:ind w:left="85" w:right="84"/>
              <w:rPr>
                <w:sz w:val="21"/>
              </w:rPr>
            </w:pPr>
            <w:r>
              <w:rPr>
                <w:sz w:val="21"/>
              </w:rPr>
              <w:t>施名称</w:t>
            </w:r>
          </w:p>
        </w:tc>
        <w:tc>
          <w:tcPr>
            <w:tcW w:w="1278" w:type="dxa"/>
          </w:tcPr>
          <w:p>
            <w:pPr>
              <w:pStyle w:val="TableParagraph"/>
              <w:spacing w:before="1"/>
              <w:ind w:left="85" w:right="84"/>
              <w:rPr>
                <w:sz w:val="21"/>
              </w:rPr>
            </w:pPr>
            <w:r>
              <w:rPr>
                <w:sz w:val="21"/>
              </w:rPr>
              <w:t>污染治理设</w:t>
            </w:r>
          </w:p>
          <w:p>
            <w:pPr>
              <w:pStyle w:val="TableParagraph"/>
              <w:spacing w:line="252" w:lineRule="exact" w:before="2"/>
              <w:ind w:left="83" w:right="84"/>
              <w:rPr>
                <w:sz w:val="21"/>
              </w:rPr>
            </w:pPr>
            <w:r>
              <w:rPr>
                <w:sz w:val="21"/>
              </w:rPr>
              <w:t>施工艺</w:t>
            </w: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270" w:hRule="atLeast"/>
        </w:trPr>
        <w:tc>
          <w:tcPr>
            <w:tcW w:w="514" w:type="dxa"/>
          </w:tcPr>
          <w:p>
            <w:pPr>
              <w:pStyle w:val="TableParagraph"/>
              <w:spacing w:line="236" w:lineRule="exact" w:before="15"/>
              <w:ind w:left="9"/>
              <w:rPr>
                <w:rFonts w:ascii="Times New Roman"/>
                <w:sz w:val="21"/>
              </w:rPr>
            </w:pPr>
            <w:r>
              <w:rPr>
                <w:rFonts w:ascii="Times New Roman"/>
                <w:w w:val="100"/>
                <w:sz w:val="21"/>
              </w:rPr>
              <w:t>1</w:t>
            </w:r>
          </w:p>
        </w:tc>
        <w:tc>
          <w:tcPr>
            <w:tcW w:w="1721" w:type="dxa"/>
          </w:tcPr>
          <w:p>
            <w:pPr>
              <w:pStyle w:val="TableParagraph"/>
              <w:spacing w:line="250" w:lineRule="exact" w:before="1"/>
              <w:ind w:left="103" w:right="94"/>
              <w:rPr>
                <w:sz w:val="21"/>
              </w:rPr>
            </w:pPr>
            <w:r>
              <w:rPr>
                <w:sz w:val="21"/>
              </w:rPr>
              <w:t>甲酸回收废水</w:t>
            </w:r>
          </w:p>
        </w:tc>
        <w:tc>
          <w:tcPr>
            <w:tcW w:w="2694" w:type="dxa"/>
          </w:tcPr>
          <w:p>
            <w:pPr>
              <w:pStyle w:val="TableParagraph"/>
              <w:spacing w:line="236" w:lineRule="exact" w:before="15"/>
              <w:ind w:left="50" w:right="44"/>
              <w:rPr>
                <w:rFonts w:ascii="Times New Roman"/>
                <w:sz w:val="21"/>
              </w:rPr>
            </w:pPr>
            <w:r>
              <w:rPr>
                <w:rFonts w:ascii="Times New Roman"/>
                <w:sz w:val="21"/>
              </w:rPr>
              <w:t>COD</w:t>
            </w:r>
          </w:p>
        </w:tc>
        <w:tc>
          <w:tcPr>
            <w:tcW w:w="853" w:type="dxa"/>
            <w:vMerge w:val="restart"/>
          </w:tcPr>
          <w:p>
            <w:pPr>
              <w:pStyle w:val="TableParagraph"/>
              <w:jc w:val="left"/>
              <w:rPr>
                <w:b/>
                <w:sz w:val="20"/>
              </w:rPr>
            </w:pPr>
          </w:p>
          <w:p>
            <w:pPr>
              <w:pStyle w:val="TableParagraph"/>
              <w:spacing w:line="242" w:lineRule="auto" w:before="162"/>
              <w:ind w:left="107" w:right="100"/>
              <w:jc w:val="both"/>
              <w:rPr>
                <w:sz w:val="21"/>
              </w:rPr>
            </w:pPr>
            <w:r>
              <w:rPr>
                <w:sz w:val="21"/>
              </w:rPr>
              <w:t>工业废水集中处理厂</w:t>
            </w:r>
          </w:p>
        </w:tc>
        <w:tc>
          <w:tcPr>
            <w:tcW w:w="709" w:type="dxa"/>
            <w:vMerge w:val="restart"/>
          </w:tcPr>
          <w:p>
            <w:pPr>
              <w:pStyle w:val="TableParagraph"/>
              <w:jc w:val="left"/>
              <w:rPr>
                <w:b/>
                <w:sz w:val="20"/>
              </w:rPr>
            </w:pPr>
          </w:p>
          <w:p>
            <w:pPr>
              <w:pStyle w:val="TableParagraph"/>
              <w:jc w:val="left"/>
              <w:rPr>
                <w:b/>
                <w:sz w:val="20"/>
              </w:rPr>
            </w:pPr>
          </w:p>
          <w:p>
            <w:pPr>
              <w:pStyle w:val="TableParagraph"/>
              <w:spacing w:before="179"/>
              <w:ind w:left="139"/>
              <w:jc w:val="left"/>
              <w:rPr>
                <w:sz w:val="21"/>
              </w:rPr>
            </w:pPr>
            <w:r>
              <w:rPr>
                <w:sz w:val="21"/>
              </w:rPr>
              <w:t>间歇</w:t>
            </w:r>
          </w:p>
        </w:tc>
        <w:tc>
          <w:tcPr>
            <w:tcW w:w="1134" w:type="dxa"/>
            <w:vMerge w:val="restart"/>
          </w:tcPr>
          <w:p>
            <w:pPr>
              <w:pStyle w:val="TableParagraph"/>
              <w:spacing w:before="4"/>
              <w:jc w:val="left"/>
              <w:rPr>
                <w:b/>
                <w:sz w:val="22"/>
              </w:rPr>
            </w:pPr>
          </w:p>
          <w:p>
            <w:pPr>
              <w:pStyle w:val="TableParagraph"/>
              <w:ind w:left="2"/>
              <w:rPr>
                <w:rFonts w:ascii="Times New Roman"/>
                <w:sz w:val="21"/>
              </w:rPr>
            </w:pPr>
            <w:r>
              <w:rPr>
                <w:rFonts w:ascii="Times New Roman"/>
                <w:w w:val="100"/>
                <w:sz w:val="21"/>
              </w:rPr>
              <w:t>1</w:t>
            </w:r>
          </w:p>
        </w:tc>
        <w:tc>
          <w:tcPr>
            <w:tcW w:w="1278" w:type="dxa"/>
            <w:vMerge w:val="restart"/>
          </w:tcPr>
          <w:p>
            <w:pPr>
              <w:pStyle w:val="TableParagraph"/>
              <w:spacing w:line="242" w:lineRule="auto" w:before="137"/>
              <w:ind w:left="423" w:right="103" w:hanging="315"/>
              <w:jc w:val="left"/>
              <w:rPr>
                <w:sz w:val="21"/>
              </w:rPr>
            </w:pPr>
            <w:r>
              <w:rPr>
                <w:sz w:val="21"/>
              </w:rPr>
              <w:t>废水预处理设施</w:t>
            </w:r>
          </w:p>
        </w:tc>
        <w:tc>
          <w:tcPr>
            <w:tcW w:w="1278" w:type="dxa"/>
            <w:vMerge w:val="restart"/>
          </w:tcPr>
          <w:p>
            <w:pPr>
              <w:pStyle w:val="TableParagraph"/>
              <w:spacing w:line="242" w:lineRule="auto" w:before="1"/>
              <w:ind w:left="153" w:right="152"/>
              <w:rPr>
                <w:sz w:val="21"/>
              </w:rPr>
            </w:pPr>
            <w:r>
              <w:rPr>
                <w:sz w:val="21"/>
              </w:rPr>
              <w:t>铁碳</w:t>
            </w:r>
            <w:r>
              <w:rPr>
                <w:rFonts w:ascii="Times New Roman" w:eastAsia="Times New Roman"/>
                <w:sz w:val="21"/>
              </w:rPr>
              <w:t>+</w:t>
            </w:r>
            <w:r>
              <w:rPr>
                <w:sz w:val="21"/>
              </w:rPr>
              <w:t>芬顿氧化</w:t>
            </w:r>
            <w:r>
              <w:rPr>
                <w:rFonts w:ascii="Times New Roman" w:eastAsia="Times New Roman"/>
                <w:sz w:val="21"/>
              </w:rPr>
              <w:t>+</w:t>
            </w:r>
            <w:r>
              <w:rPr>
                <w:sz w:val="21"/>
              </w:rPr>
              <w:t>混凝</w:t>
            </w:r>
          </w:p>
          <w:p>
            <w:pPr>
              <w:pStyle w:val="TableParagraph"/>
              <w:spacing w:line="250" w:lineRule="exact" w:before="1"/>
              <w:ind w:left="83" w:right="84"/>
              <w:rPr>
                <w:sz w:val="21"/>
              </w:rPr>
            </w:pPr>
            <w:r>
              <w:rPr>
                <w:sz w:val="21"/>
              </w:rPr>
              <w:t>沉淀</w:t>
            </w:r>
          </w:p>
        </w:tc>
        <w:tc>
          <w:tcPr>
            <w:tcW w:w="993" w:type="dxa"/>
            <w:vMerge w:val="restart"/>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1"/>
              <w:jc w:val="left"/>
              <w:rPr>
                <w:b/>
                <w:sz w:val="22"/>
              </w:rPr>
            </w:pPr>
          </w:p>
          <w:p>
            <w:pPr>
              <w:pStyle w:val="TableParagraph"/>
              <w:ind w:left="279"/>
              <w:jc w:val="left"/>
              <w:rPr>
                <w:rFonts w:ascii="Times New Roman"/>
                <w:sz w:val="21"/>
              </w:rPr>
            </w:pPr>
            <w:r>
              <w:rPr>
                <w:rFonts w:ascii="Times New Roman"/>
                <w:sz w:val="21"/>
              </w:rPr>
              <w:t>1002</w:t>
            </w:r>
          </w:p>
        </w:tc>
        <w:tc>
          <w:tcPr>
            <w:tcW w:w="1189" w:type="dxa"/>
            <w:vMerge w:val="restart"/>
          </w:tcPr>
          <w:p>
            <w:pPr>
              <w:pStyle w:val="TableParagraph"/>
              <w:jc w:val="left"/>
              <w:rPr>
                <w:b/>
                <w:sz w:val="22"/>
              </w:rPr>
            </w:pPr>
          </w:p>
          <w:p>
            <w:pPr>
              <w:pStyle w:val="TableParagraph"/>
              <w:jc w:val="left"/>
              <w:rPr>
                <w:b/>
                <w:sz w:val="22"/>
              </w:rPr>
            </w:pPr>
          </w:p>
          <w:p>
            <w:pPr>
              <w:pStyle w:val="TableParagraph"/>
              <w:spacing w:before="4"/>
              <w:jc w:val="left"/>
              <w:rPr>
                <w:b/>
                <w:sz w:val="32"/>
              </w:rPr>
            </w:pPr>
          </w:p>
          <w:p>
            <w:pPr>
              <w:pStyle w:val="TableParagraph"/>
              <w:ind w:left="370" w:right="373"/>
              <w:rPr>
                <w:sz w:val="21"/>
              </w:rPr>
            </w:pPr>
            <w:r>
              <w:rPr>
                <w:rFonts w:ascii="Wingdings" w:hAnsi="Wingdings" w:eastAsia="Wingdings"/>
                <w:sz w:val="21"/>
              </w:rPr>
              <w:t></w:t>
            </w:r>
            <w:r>
              <w:rPr>
                <w:sz w:val="21"/>
              </w:rPr>
              <w:t>是</w:t>
            </w:r>
          </w:p>
          <w:p>
            <w:pPr>
              <w:pStyle w:val="TableParagraph"/>
              <w:spacing w:before="5"/>
              <w:ind w:left="370" w:right="373"/>
              <w:rPr>
                <w:sz w:val="21"/>
              </w:rPr>
            </w:pPr>
            <w:r>
              <w:rPr>
                <w:rFonts w:ascii="Times New Roman" w:hAnsi="Times New Roman" w:eastAsia="Times New Roman"/>
                <w:spacing w:val="-1"/>
                <w:sz w:val="21"/>
              </w:rPr>
              <w:t>□</w:t>
            </w:r>
            <w:r>
              <w:rPr>
                <w:sz w:val="21"/>
              </w:rPr>
              <w:t>否</w:t>
            </w:r>
          </w:p>
        </w:tc>
        <w:tc>
          <w:tcPr>
            <w:tcW w:w="1825" w:type="dxa"/>
            <w:vMerge w:val="restart"/>
          </w:tcPr>
          <w:p>
            <w:pPr>
              <w:pStyle w:val="TableParagraph"/>
              <w:jc w:val="left"/>
              <w:rPr>
                <w:b/>
                <w:sz w:val="22"/>
              </w:rPr>
            </w:pPr>
          </w:p>
          <w:p>
            <w:pPr>
              <w:pStyle w:val="TableParagraph"/>
              <w:jc w:val="left"/>
              <w:rPr>
                <w:b/>
                <w:sz w:val="22"/>
              </w:rPr>
            </w:pPr>
          </w:p>
          <w:p>
            <w:pPr>
              <w:pStyle w:val="TableParagraph"/>
              <w:spacing w:before="152"/>
              <w:ind w:left="99"/>
              <w:jc w:val="left"/>
              <w:rPr>
                <w:sz w:val="21"/>
              </w:rPr>
            </w:pPr>
            <w:r>
              <w:rPr>
                <w:rFonts w:ascii="Wingdings" w:hAnsi="Wingdings" w:eastAsia="Wingdings"/>
                <w:sz w:val="21"/>
              </w:rPr>
              <w:t></w:t>
            </w:r>
            <w:r>
              <w:rPr>
                <w:sz w:val="21"/>
              </w:rPr>
              <w:t>企业总排</w:t>
            </w:r>
          </w:p>
          <w:p>
            <w:pPr>
              <w:pStyle w:val="TableParagraph"/>
              <w:spacing w:before="5"/>
              <w:ind w:left="99"/>
              <w:jc w:val="left"/>
              <w:rPr>
                <w:sz w:val="21"/>
              </w:rPr>
            </w:pPr>
            <w:r>
              <w:rPr>
                <w:rFonts w:ascii="Times New Roman" w:hAnsi="Times New Roman" w:eastAsia="Times New Roman"/>
                <w:sz w:val="21"/>
              </w:rPr>
              <w:t>□</w:t>
            </w:r>
            <w:r>
              <w:rPr>
                <w:sz w:val="21"/>
              </w:rPr>
              <w:t>雨水排放</w:t>
            </w:r>
          </w:p>
          <w:p>
            <w:pPr>
              <w:pStyle w:val="TableParagraph"/>
              <w:spacing w:before="2"/>
              <w:ind w:left="99"/>
              <w:jc w:val="left"/>
              <w:rPr>
                <w:sz w:val="21"/>
              </w:rPr>
            </w:pPr>
            <w:r>
              <w:rPr>
                <w:rFonts w:ascii="Times New Roman" w:hAnsi="Times New Roman" w:eastAsia="Times New Roman"/>
                <w:sz w:val="21"/>
              </w:rPr>
              <w:t>□</w:t>
            </w:r>
            <w:r>
              <w:rPr>
                <w:sz w:val="21"/>
              </w:rPr>
              <w:t>清净下水排放</w:t>
            </w:r>
          </w:p>
          <w:p>
            <w:pPr>
              <w:pStyle w:val="TableParagraph"/>
              <w:spacing w:before="5"/>
              <w:ind w:left="99"/>
              <w:jc w:val="left"/>
              <w:rPr>
                <w:sz w:val="21"/>
              </w:rPr>
            </w:pPr>
            <w:r>
              <w:rPr>
                <w:rFonts w:ascii="Times New Roman" w:hAnsi="Times New Roman" w:eastAsia="Times New Roman"/>
                <w:sz w:val="21"/>
              </w:rPr>
              <w:t>□</w:t>
            </w:r>
            <w:r>
              <w:rPr>
                <w:sz w:val="21"/>
              </w:rPr>
              <w:t>温排水排放</w:t>
            </w:r>
          </w:p>
          <w:p>
            <w:pPr>
              <w:pStyle w:val="TableParagraph"/>
              <w:spacing w:line="244" w:lineRule="auto" w:before="2"/>
              <w:ind w:left="310" w:right="114" w:hanging="212"/>
              <w:jc w:val="left"/>
              <w:rPr>
                <w:sz w:val="21"/>
              </w:rPr>
            </w:pPr>
            <w:r>
              <w:rPr>
                <w:rFonts w:ascii="Times New Roman" w:hAnsi="Times New Roman" w:eastAsia="Times New Roman"/>
                <w:sz w:val="21"/>
              </w:rPr>
              <w:t>□</w:t>
            </w:r>
            <w:r>
              <w:rPr>
                <w:sz w:val="21"/>
              </w:rPr>
              <w:t>车间或车间处理设施排放</w:t>
            </w:r>
          </w:p>
        </w:tc>
      </w:tr>
      <w:tr>
        <w:trPr>
          <w:trHeight w:val="534" w:hRule="atLeast"/>
        </w:trPr>
        <w:tc>
          <w:tcPr>
            <w:tcW w:w="514" w:type="dxa"/>
          </w:tcPr>
          <w:p>
            <w:pPr>
              <w:pStyle w:val="TableParagraph"/>
              <w:spacing w:before="147"/>
              <w:ind w:left="9"/>
              <w:rPr>
                <w:rFonts w:ascii="Times New Roman"/>
                <w:sz w:val="21"/>
              </w:rPr>
            </w:pPr>
            <w:r>
              <w:rPr>
                <w:rFonts w:ascii="Times New Roman"/>
                <w:w w:val="100"/>
                <w:sz w:val="21"/>
              </w:rPr>
              <w:t>2</w:t>
            </w:r>
          </w:p>
        </w:tc>
        <w:tc>
          <w:tcPr>
            <w:tcW w:w="1721" w:type="dxa"/>
          </w:tcPr>
          <w:p>
            <w:pPr>
              <w:pStyle w:val="TableParagraph"/>
              <w:spacing w:before="133"/>
              <w:ind w:left="101" w:right="94"/>
              <w:rPr>
                <w:sz w:val="21"/>
              </w:rPr>
            </w:pPr>
            <w:r>
              <w:rPr>
                <w:sz w:val="21"/>
              </w:rPr>
              <w:t>离心废水</w:t>
            </w:r>
          </w:p>
        </w:tc>
        <w:tc>
          <w:tcPr>
            <w:tcW w:w="2694" w:type="dxa"/>
          </w:tcPr>
          <w:p>
            <w:pPr>
              <w:pStyle w:val="TableParagraph"/>
              <w:spacing w:before="133"/>
              <w:ind w:left="55" w:right="44"/>
              <w:rPr>
                <w:sz w:val="21"/>
              </w:rPr>
            </w:pPr>
            <w:r>
              <w:rPr>
                <w:rFonts w:ascii="Times New Roman" w:eastAsia="Times New Roman"/>
                <w:sz w:val="21"/>
              </w:rPr>
              <w:t>COD</w:t>
            </w:r>
            <w:r>
              <w:rPr>
                <w:sz w:val="21"/>
              </w:rPr>
              <w:t>、氨氮、总氮、三环唑</w:t>
            </w: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vMerge/>
            <w:tcBorders>
              <w:top w:val="nil"/>
            </w:tcBorders>
          </w:tcPr>
          <w:p>
            <w:pPr>
              <w:rPr>
                <w:sz w:val="2"/>
                <w:szCs w:val="2"/>
              </w:rPr>
            </w:pPr>
          </w:p>
        </w:tc>
        <w:tc>
          <w:tcPr>
            <w:tcW w:w="1278" w:type="dxa"/>
            <w:vMerge/>
            <w:tcBorders>
              <w:top w:val="nil"/>
            </w:tcBorders>
          </w:tcPr>
          <w:p>
            <w:pPr>
              <w:rPr>
                <w:sz w:val="2"/>
                <w:szCs w:val="2"/>
              </w:rPr>
            </w:pPr>
          </w:p>
        </w:tc>
        <w:tc>
          <w:tcPr>
            <w:tcW w:w="1278" w:type="dxa"/>
            <w:vMerge/>
            <w:tcBorders>
              <w:top w:val="nil"/>
            </w:tcBorders>
          </w:tcPr>
          <w:p>
            <w:pPr>
              <w:rPr>
                <w:sz w:val="2"/>
                <w:szCs w:val="2"/>
              </w:rPr>
            </w:pP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273" w:hRule="atLeast"/>
        </w:trPr>
        <w:tc>
          <w:tcPr>
            <w:tcW w:w="514" w:type="dxa"/>
          </w:tcPr>
          <w:p>
            <w:pPr>
              <w:pStyle w:val="TableParagraph"/>
              <w:spacing w:line="239" w:lineRule="exact" w:before="15"/>
              <w:ind w:left="9"/>
              <w:rPr>
                <w:rFonts w:ascii="Times New Roman"/>
                <w:sz w:val="21"/>
              </w:rPr>
            </w:pPr>
            <w:r>
              <w:rPr>
                <w:rFonts w:ascii="Times New Roman"/>
                <w:w w:val="100"/>
                <w:sz w:val="21"/>
              </w:rPr>
              <w:t>3</w:t>
            </w:r>
          </w:p>
        </w:tc>
        <w:tc>
          <w:tcPr>
            <w:tcW w:w="1721" w:type="dxa"/>
          </w:tcPr>
          <w:p>
            <w:pPr>
              <w:pStyle w:val="TableParagraph"/>
              <w:spacing w:line="253" w:lineRule="exact" w:before="1"/>
              <w:ind w:left="103" w:right="94"/>
              <w:rPr>
                <w:sz w:val="21"/>
              </w:rPr>
            </w:pPr>
            <w:r>
              <w:rPr>
                <w:sz w:val="21"/>
              </w:rPr>
              <w:t>水环泵废水</w:t>
            </w:r>
          </w:p>
        </w:tc>
        <w:tc>
          <w:tcPr>
            <w:tcW w:w="2694" w:type="dxa"/>
          </w:tcPr>
          <w:p>
            <w:pPr>
              <w:pStyle w:val="TableParagraph"/>
              <w:spacing w:line="253" w:lineRule="exact" w:before="1"/>
              <w:ind w:left="54" w:right="44"/>
              <w:rPr>
                <w:sz w:val="21"/>
              </w:rPr>
            </w:pPr>
            <w:r>
              <w:rPr>
                <w:rFonts w:ascii="Times New Roman" w:eastAsia="Times New Roman"/>
                <w:sz w:val="21"/>
              </w:rPr>
              <w:t>COD</w:t>
            </w:r>
            <w:r>
              <w:rPr>
                <w:sz w:val="21"/>
              </w:rPr>
              <w:t>、氨氮、总氮</w:t>
            </w: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vMerge w:val="restart"/>
          </w:tcPr>
          <w:p>
            <w:pPr>
              <w:pStyle w:val="TableParagraph"/>
              <w:spacing w:before="12"/>
              <w:jc w:val="left"/>
              <w:rPr>
                <w:b/>
                <w:sz w:val="22"/>
              </w:rPr>
            </w:pPr>
          </w:p>
          <w:p>
            <w:pPr>
              <w:pStyle w:val="TableParagraph"/>
              <w:ind w:left="2"/>
              <w:rPr>
                <w:rFonts w:ascii="Times New Roman"/>
                <w:sz w:val="21"/>
              </w:rPr>
            </w:pPr>
            <w:r>
              <w:rPr>
                <w:rFonts w:ascii="Times New Roman"/>
                <w:w w:val="100"/>
                <w:sz w:val="21"/>
              </w:rPr>
              <w:t>2</w:t>
            </w:r>
          </w:p>
        </w:tc>
        <w:tc>
          <w:tcPr>
            <w:tcW w:w="1278" w:type="dxa"/>
            <w:vMerge w:val="restart"/>
          </w:tcPr>
          <w:p>
            <w:pPr>
              <w:pStyle w:val="TableParagraph"/>
              <w:spacing w:line="244" w:lineRule="auto" w:before="143"/>
              <w:ind w:left="529" w:right="103" w:hanging="420"/>
              <w:jc w:val="left"/>
              <w:rPr>
                <w:sz w:val="21"/>
              </w:rPr>
            </w:pPr>
            <w:r>
              <w:rPr>
                <w:sz w:val="21"/>
              </w:rPr>
              <w:t>综合处理设施</w:t>
            </w:r>
          </w:p>
        </w:tc>
        <w:tc>
          <w:tcPr>
            <w:tcW w:w="1278" w:type="dxa"/>
            <w:vMerge w:val="restart"/>
          </w:tcPr>
          <w:p>
            <w:pPr>
              <w:pStyle w:val="TableParagraph"/>
              <w:spacing w:before="10"/>
              <w:jc w:val="left"/>
              <w:rPr>
                <w:b/>
                <w:sz w:val="21"/>
              </w:rPr>
            </w:pPr>
          </w:p>
          <w:p>
            <w:pPr>
              <w:pStyle w:val="TableParagraph"/>
              <w:spacing w:before="1"/>
              <w:ind w:left="422"/>
              <w:jc w:val="left"/>
              <w:rPr>
                <w:sz w:val="21"/>
              </w:rPr>
            </w:pPr>
            <w:r>
              <w:rPr>
                <w:sz w:val="21"/>
              </w:rPr>
              <w:t>生化</w:t>
            </w: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544" w:hRule="atLeast"/>
        </w:trPr>
        <w:tc>
          <w:tcPr>
            <w:tcW w:w="514" w:type="dxa"/>
          </w:tcPr>
          <w:p>
            <w:pPr>
              <w:pStyle w:val="TableParagraph"/>
              <w:spacing w:before="151"/>
              <w:ind w:left="9"/>
              <w:rPr>
                <w:rFonts w:ascii="Times New Roman"/>
                <w:sz w:val="21"/>
              </w:rPr>
            </w:pPr>
            <w:r>
              <w:rPr>
                <w:rFonts w:ascii="Times New Roman"/>
                <w:w w:val="100"/>
                <w:sz w:val="21"/>
              </w:rPr>
              <w:t>4</w:t>
            </w:r>
          </w:p>
        </w:tc>
        <w:tc>
          <w:tcPr>
            <w:tcW w:w="1721" w:type="dxa"/>
          </w:tcPr>
          <w:p>
            <w:pPr>
              <w:pStyle w:val="TableParagraph"/>
              <w:spacing w:before="1"/>
              <w:ind w:left="106" w:right="94"/>
              <w:rPr>
                <w:sz w:val="21"/>
              </w:rPr>
            </w:pPr>
            <w:r>
              <w:rPr>
                <w:sz w:val="21"/>
              </w:rPr>
              <w:t>地面及设备清洗</w:t>
            </w:r>
          </w:p>
          <w:p>
            <w:pPr>
              <w:pStyle w:val="TableParagraph"/>
              <w:spacing w:line="250" w:lineRule="exact" w:before="4"/>
              <w:ind w:left="105" w:right="94"/>
              <w:rPr>
                <w:sz w:val="21"/>
              </w:rPr>
            </w:pPr>
            <w:r>
              <w:rPr>
                <w:sz w:val="21"/>
              </w:rPr>
              <w:t>废水</w:t>
            </w:r>
          </w:p>
        </w:tc>
        <w:tc>
          <w:tcPr>
            <w:tcW w:w="2694" w:type="dxa"/>
          </w:tcPr>
          <w:p>
            <w:pPr>
              <w:pStyle w:val="TableParagraph"/>
              <w:spacing w:before="137"/>
              <w:ind w:left="55" w:right="44"/>
              <w:rPr>
                <w:sz w:val="21"/>
              </w:rPr>
            </w:pPr>
            <w:r>
              <w:rPr>
                <w:rFonts w:ascii="Times New Roman" w:eastAsia="Times New Roman"/>
                <w:sz w:val="21"/>
              </w:rPr>
              <w:t>COD</w:t>
            </w:r>
            <w:r>
              <w:rPr>
                <w:sz w:val="21"/>
              </w:rPr>
              <w:t>、氨氮、总氮、三环唑</w:t>
            </w: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vMerge/>
            <w:tcBorders>
              <w:top w:val="nil"/>
            </w:tcBorders>
          </w:tcPr>
          <w:p>
            <w:pPr>
              <w:rPr>
                <w:sz w:val="2"/>
                <w:szCs w:val="2"/>
              </w:rPr>
            </w:pPr>
          </w:p>
        </w:tc>
        <w:tc>
          <w:tcPr>
            <w:tcW w:w="1278" w:type="dxa"/>
            <w:vMerge/>
            <w:tcBorders>
              <w:top w:val="nil"/>
            </w:tcBorders>
          </w:tcPr>
          <w:p>
            <w:pPr>
              <w:rPr>
                <w:sz w:val="2"/>
                <w:szCs w:val="2"/>
              </w:rPr>
            </w:pPr>
          </w:p>
        </w:tc>
        <w:tc>
          <w:tcPr>
            <w:tcW w:w="1278" w:type="dxa"/>
            <w:vMerge/>
            <w:tcBorders>
              <w:top w:val="nil"/>
            </w:tcBorders>
          </w:tcPr>
          <w:p>
            <w:pPr>
              <w:rPr>
                <w:sz w:val="2"/>
                <w:szCs w:val="2"/>
              </w:rPr>
            </w:pP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273" w:hRule="atLeast"/>
        </w:trPr>
        <w:tc>
          <w:tcPr>
            <w:tcW w:w="514" w:type="dxa"/>
          </w:tcPr>
          <w:p>
            <w:pPr>
              <w:pStyle w:val="TableParagraph"/>
              <w:spacing w:line="238" w:lineRule="exact" w:before="15"/>
              <w:ind w:left="9"/>
              <w:rPr>
                <w:rFonts w:ascii="Times New Roman"/>
                <w:sz w:val="21"/>
              </w:rPr>
            </w:pPr>
            <w:r>
              <w:rPr>
                <w:rFonts w:ascii="Times New Roman"/>
                <w:w w:val="100"/>
                <w:sz w:val="21"/>
              </w:rPr>
              <w:t>5</w:t>
            </w:r>
          </w:p>
        </w:tc>
        <w:tc>
          <w:tcPr>
            <w:tcW w:w="1721" w:type="dxa"/>
          </w:tcPr>
          <w:p>
            <w:pPr>
              <w:pStyle w:val="TableParagraph"/>
              <w:spacing w:line="252" w:lineRule="exact" w:before="1"/>
              <w:ind w:left="101" w:right="94"/>
              <w:rPr>
                <w:sz w:val="21"/>
              </w:rPr>
            </w:pPr>
            <w:r>
              <w:rPr>
                <w:sz w:val="21"/>
              </w:rPr>
              <w:t>喷淋废水</w:t>
            </w:r>
          </w:p>
        </w:tc>
        <w:tc>
          <w:tcPr>
            <w:tcW w:w="2694" w:type="dxa"/>
          </w:tcPr>
          <w:p>
            <w:pPr>
              <w:pStyle w:val="TableParagraph"/>
              <w:spacing w:line="252" w:lineRule="exact" w:before="1"/>
              <w:ind w:left="54" w:right="44"/>
              <w:rPr>
                <w:sz w:val="21"/>
              </w:rPr>
            </w:pPr>
            <w:r>
              <w:rPr>
                <w:rFonts w:ascii="Times New Roman" w:eastAsia="Times New Roman"/>
                <w:sz w:val="21"/>
              </w:rPr>
              <w:t>COD</w:t>
            </w:r>
            <w:r>
              <w:rPr>
                <w:sz w:val="21"/>
              </w:rPr>
              <w:t>、氨氮、总氮</w:t>
            </w:r>
          </w:p>
        </w:tc>
        <w:tc>
          <w:tcPr>
            <w:tcW w:w="853" w:type="dxa"/>
            <w:vMerge w:val="restart"/>
          </w:tcPr>
          <w:p>
            <w:pPr>
              <w:pStyle w:val="TableParagraph"/>
              <w:spacing w:before="10"/>
              <w:ind w:left="107"/>
              <w:jc w:val="left"/>
              <w:rPr>
                <w:sz w:val="21"/>
              </w:rPr>
            </w:pPr>
            <w:r>
              <w:rPr>
                <w:sz w:val="21"/>
              </w:rPr>
              <w:t>工业废</w:t>
            </w:r>
          </w:p>
          <w:p>
            <w:pPr>
              <w:pStyle w:val="TableParagraph"/>
              <w:spacing w:line="270" w:lineRule="atLeast" w:before="4"/>
              <w:ind w:left="107" w:right="100"/>
              <w:jc w:val="left"/>
              <w:rPr>
                <w:sz w:val="21"/>
              </w:rPr>
            </w:pPr>
            <w:r>
              <w:rPr>
                <w:spacing w:val="-7"/>
                <w:sz w:val="21"/>
              </w:rPr>
              <w:t>水集中处理厂</w:t>
            </w:r>
          </w:p>
        </w:tc>
        <w:tc>
          <w:tcPr>
            <w:tcW w:w="709" w:type="dxa"/>
            <w:vMerge w:val="restart"/>
          </w:tcPr>
          <w:p>
            <w:pPr>
              <w:pStyle w:val="TableParagraph"/>
              <w:spacing w:before="2"/>
              <w:jc w:val="left"/>
              <w:rPr>
                <w:b/>
                <w:sz w:val="22"/>
              </w:rPr>
            </w:pPr>
          </w:p>
          <w:p>
            <w:pPr>
              <w:pStyle w:val="TableParagraph"/>
              <w:ind w:left="139"/>
              <w:jc w:val="left"/>
              <w:rPr>
                <w:sz w:val="21"/>
              </w:rPr>
            </w:pPr>
            <w:r>
              <w:rPr>
                <w:sz w:val="21"/>
              </w:rPr>
              <w:t>间歇</w:t>
            </w:r>
          </w:p>
        </w:tc>
        <w:tc>
          <w:tcPr>
            <w:tcW w:w="1134" w:type="dxa"/>
            <w:vMerge w:val="restart"/>
          </w:tcPr>
          <w:p>
            <w:pPr>
              <w:pStyle w:val="TableParagraph"/>
              <w:spacing w:before="3"/>
              <w:jc w:val="left"/>
              <w:rPr>
                <w:b/>
                <w:sz w:val="23"/>
              </w:rPr>
            </w:pPr>
          </w:p>
          <w:p>
            <w:pPr>
              <w:pStyle w:val="TableParagraph"/>
              <w:ind w:left="2"/>
              <w:rPr>
                <w:rFonts w:ascii="Times New Roman"/>
                <w:sz w:val="21"/>
              </w:rPr>
            </w:pPr>
            <w:r>
              <w:rPr>
                <w:rFonts w:ascii="Times New Roman"/>
                <w:w w:val="100"/>
                <w:sz w:val="21"/>
              </w:rPr>
              <w:t>2</w:t>
            </w:r>
          </w:p>
        </w:tc>
        <w:tc>
          <w:tcPr>
            <w:tcW w:w="1278" w:type="dxa"/>
            <w:vMerge w:val="restart"/>
          </w:tcPr>
          <w:p>
            <w:pPr>
              <w:pStyle w:val="TableParagraph"/>
              <w:spacing w:line="244" w:lineRule="auto" w:before="147"/>
              <w:ind w:left="529" w:right="103" w:hanging="420"/>
              <w:jc w:val="left"/>
              <w:rPr>
                <w:sz w:val="21"/>
              </w:rPr>
            </w:pPr>
            <w:r>
              <w:rPr>
                <w:sz w:val="21"/>
              </w:rPr>
              <w:t>综合处理设施</w:t>
            </w:r>
          </w:p>
        </w:tc>
        <w:tc>
          <w:tcPr>
            <w:tcW w:w="1278" w:type="dxa"/>
            <w:vMerge w:val="restart"/>
          </w:tcPr>
          <w:p>
            <w:pPr>
              <w:pStyle w:val="TableParagraph"/>
              <w:spacing w:before="2"/>
              <w:jc w:val="left"/>
              <w:rPr>
                <w:b/>
                <w:sz w:val="22"/>
              </w:rPr>
            </w:pPr>
          </w:p>
          <w:p>
            <w:pPr>
              <w:pStyle w:val="TableParagraph"/>
              <w:ind w:left="422"/>
              <w:jc w:val="left"/>
              <w:rPr>
                <w:sz w:val="21"/>
              </w:rPr>
            </w:pPr>
            <w:r>
              <w:rPr>
                <w:sz w:val="21"/>
              </w:rPr>
              <w:t>生化</w:t>
            </w: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270" w:hRule="atLeast"/>
        </w:trPr>
        <w:tc>
          <w:tcPr>
            <w:tcW w:w="514" w:type="dxa"/>
          </w:tcPr>
          <w:p>
            <w:pPr>
              <w:pStyle w:val="TableParagraph"/>
              <w:spacing w:line="236" w:lineRule="exact" w:before="15"/>
              <w:ind w:left="9"/>
              <w:rPr>
                <w:rFonts w:ascii="Times New Roman"/>
                <w:sz w:val="21"/>
              </w:rPr>
            </w:pPr>
            <w:r>
              <w:rPr>
                <w:rFonts w:ascii="Times New Roman"/>
                <w:w w:val="100"/>
                <w:sz w:val="21"/>
              </w:rPr>
              <w:t>6</w:t>
            </w:r>
          </w:p>
        </w:tc>
        <w:tc>
          <w:tcPr>
            <w:tcW w:w="1721" w:type="dxa"/>
          </w:tcPr>
          <w:p>
            <w:pPr>
              <w:pStyle w:val="TableParagraph"/>
              <w:spacing w:line="250" w:lineRule="exact" w:before="1"/>
              <w:ind w:left="103" w:right="94"/>
              <w:rPr>
                <w:sz w:val="21"/>
              </w:rPr>
            </w:pPr>
            <w:r>
              <w:rPr>
                <w:sz w:val="21"/>
              </w:rPr>
              <w:t>生活污水</w:t>
            </w:r>
          </w:p>
        </w:tc>
        <w:tc>
          <w:tcPr>
            <w:tcW w:w="2694" w:type="dxa"/>
          </w:tcPr>
          <w:p>
            <w:pPr>
              <w:pStyle w:val="TableParagraph"/>
              <w:spacing w:line="250" w:lineRule="exact" w:before="1"/>
              <w:ind w:left="52" w:right="44"/>
              <w:rPr>
                <w:sz w:val="21"/>
              </w:rPr>
            </w:pPr>
            <w:r>
              <w:rPr>
                <w:rFonts w:ascii="Times New Roman" w:eastAsia="Times New Roman"/>
                <w:sz w:val="21"/>
              </w:rPr>
              <w:t>COD</w:t>
            </w:r>
            <w:r>
              <w:rPr>
                <w:sz w:val="21"/>
              </w:rPr>
              <w:t>、氨氮</w:t>
            </w: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vMerge/>
            <w:tcBorders>
              <w:top w:val="nil"/>
            </w:tcBorders>
          </w:tcPr>
          <w:p>
            <w:pPr>
              <w:rPr>
                <w:sz w:val="2"/>
                <w:szCs w:val="2"/>
              </w:rPr>
            </w:pPr>
          </w:p>
        </w:tc>
        <w:tc>
          <w:tcPr>
            <w:tcW w:w="1278" w:type="dxa"/>
            <w:vMerge/>
            <w:tcBorders>
              <w:top w:val="nil"/>
            </w:tcBorders>
          </w:tcPr>
          <w:p>
            <w:pPr>
              <w:rPr>
                <w:sz w:val="2"/>
                <w:szCs w:val="2"/>
              </w:rPr>
            </w:pPr>
          </w:p>
        </w:tc>
        <w:tc>
          <w:tcPr>
            <w:tcW w:w="1278" w:type="dxa"/>
            <w:vMerge/>
            <w:tcBorders>
              <w:top w:val="nil"/>
            </w:tcBorders>
          </w:tcPr>
          <w:p>
            <w:pPr>
              <w:rPr>
                <w:sz w:val="2"/>
                <w:szCs w:val="2"/>
              </w:rPr>
            </w:pP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273" w:hRule="atLeast"/>
        </w:trPr>
        <w:tc>
          <w:tcPr>
            <w:tcW w:w="514" w:type="dxa"/>
          </w:tcPr>
          <w:p>
            <w:pPr>
              <w:pStyle w:val="TableParagraph"/>
              <w:spacing w:line="236" w:lineRule="exact" w:before="17"/>
              <w:ind w:left="9"/>
              <w:rPr>
                <w:rFonts w:ascii="Times New Roman"/>
                <w:sz w:val="21"/>
              </w:rPr>
            </w:pPr>
            <w:r>
              <w:rPr>
                <w:rFonts w:ascii="Times New Roman"/>
                <w:w w:val="100"/>
                <w:sz w:val="21"/>
              </w:rPr>
              <w:t>7</w:t>
            </w:r>
          </w:p>
        </w:tc>
        <w:tc>
          <w:tcPr>
            <w:tcW w:w="1721" w:type="dxa"/>
          </w:tcPr>
          <w:p>
            <w:pPr>
              <w:pStyle w:val="TableParagraph"/>
              <w:spacing w:line="252" w:lineRule="exact" w:before="1"/>
              <w:ind w:left="103" w:right="94"/>
              <w:rPr>
                <w:sz w:val="21"/>
              </w:rPr>
            </w:pPr>
            <w:r>
              <w:rPr>
                <w:sz w:val="21"/>
              </w:rPr>
              <w:t>初期雨水</w:t>
            </w:r>
          </w:p>
        </w:tc>
        <w:tc>
          <w:tcPr>
            <w:tcW w:w="2694" w:type="dxa"/>
          </w:tcPr>
          <w:p>
            <w:pPr>
              <w:pStyle w:val="TableParagraph"/>
              <w:spacing w:line="236" w:lineRule="exact" w:before="17"/>
              <w:ind w:left="50" w:right="44"/>
              <w:rPr>
                <w:rFonts w:ascii="Times New Roman"/>
                <w:sz w:val="21"/>
              </w:rPr>
            </w:pPr>
            <w:r>
              <w:rPr>
                <w:rFonts w:ascii="Times New Roman"/>
                <w:sz w:val="21"/>
              </w:rPr>
              <w:t>COD</w:t>
            </w: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vMerge/>
            <w:tcBorders>
              <w:top w:val="nil"/>
            </w:tcBorders>
          </w:tcPr>
          <w:p>
            <w:pPr>
              <w:rPr>
                <w:sz w:val="2"/>
                <w:szCs w:val="2"/>
              </w:rPr>
            </w:pPr>
          </w:p>
        </w:tc>
        <w:tc>
          <w:tcPr>
            <w:tcW w:w="1278" w:type="dxa"/>
            <w:vMerge/>
            <w:tcBorders>
              <w:top w:val="nil"/>
            </w:tcBorders>
          </w:tcPr>
          <w:p>
            <w:pPr>
              <w:rPr>
                <w:sz w:val="2"/>
                <w:szCs w:val="2"/>
              </w:rPr>
            </w:pPr>
          </w:p>
        </w:tc>
        <w:tc>
          <w:tcPr>
            <w:tcW w:w="1278" w:type="dxa"/>
            <w:vMerge/>
            <w:tcBorders>
              <w:top w:val="nil"/>
            </w:tcBorders>
          </w:tcPr>
          <w:p>
            <w:pPr>
              <w:rPr>
                <w:sz w:val="2"/>
                <w:szCs w:val="2"/>
              </w:rPr>
            </w:pPr>
          </w:p>
        </w:tc>
        <w:tc>
          <w:tcPr>
            <w:tcW w:w="993" w:type="dxa"/>
            <w:vMerge/>
            <w:tcBorders>
              <w:top w:val="nil"/>
            </w:tcBorders>
          </w:tcPr>
          <w:p>
            <w:pPr>
              <w:rPr>
                <w:sz w:val="2"/>
                <w:szCs w:val="2"/>
              </w:rPr>
            </w:pPr>
          </w:p>
        </w:tc>
        <w:tc>
          <w:tcPr>
            <w:tcW w:w="1189" w:type="dxa"/>
            <w:vMerge/>
            <w:tcBorders>
              <w:top w:val="nil"/>
            </w:tcBorders>
          </w:tcPr>
          <w:p>
            <w:pPr>
              <w:rPr>
                <w:sz w:val="2"/>
                <w:szCs w:val="2"/>
              </w:rPr>
            </w:pPr>
          </w:p>
        </w:tc>
        <w:tc>
          <w:tcPr>
            <w:tcW w:w="1825" w:type="dxa"/>
            <w:vMerge/>
            <w:tcBorders>
              <w:top w:val="nil"/>
            </w:tcBorders>
          </w:tcPr>
          <w:p>
            <w:pPr>
              <w:rPr>
                <w:sz w:val="2"/>
                <w:szCs w:val="2"/>
              </w:rPr>
            </w:pPr>
          </w:p>
        </w:tc>
      </w:tr>
      <w:tr>
        <w:trPr>
          <w:trHeight w:val="273" w:hRule="atLeast"/>
        </w:trPr>
        <w:tc>
          <w:tcPr>
            <w:tcW w:w="514" w:type="dxa"/>
          </w:tcPr>
          <w:p>
            <w:pPr>
              <w:pStyle w:val="TableParagraph"/>
              <w:spacing w:line="238" w:lineRule="exact" w:before="15"/>
              <w:ind w:left="9"/>
              <w:rPr>
                <w:rFonts w:ascii="Times New Roman"/>
                <w:sz w:val="21"/>
              </w:rPr>
            </w:pPr>
            <w:r>
              <w:rPr>
                <w:rFonts w:ascii="Times New Roman"/>
                <w:w w:val="100"/>
                <w:sz w:val="21"/>
              </w:rPr>
              <w:t>8</w:t>
            </w:r>
          </w:p>
        </w:tc>
        <w:tc>
          <w:tcPr>
            <w:tcW w:w="1721" w:type="dxa"/>
          </w:tcPr>
          <w:p>
            <w:pPr>
              <w:pStyle w:val="TableParagraph"/>
              <w:spacing w:line="252" w:lineRule="exact" w:before="1"/>
              <w:ind w:left="103" w:right="94"/>
              <w:rPr>
                <w:sz w:val="21"/>
              </w:rPr>
            </w:pPr>
            <w:r>
              <w:rPr>
                <w:sz w:val="21"/>
              </w:rPr>
              <w:t>蒸汽冷凝水</w:t>
            </w:r>
          </w:p>
        </w:tc>
        <w:tc>
          <w:tcPr>
            <w:tcW w:w="2694" w:type="dxa"/>
          </w:tcPr>
          <w:p>
            <w:pPr>
              <w:pStyle w:val="TableParagraph"/>
              <w:spacing w:line="238" w:lineRule="exact" w:before="15"/>
              <w:ind w:left="9"/>
              <w:rPr>
                <w:rFonts w:ascii="Times New Roman"/>
                <w:sz w:val="21"/>
              </w:rPr>
            </w:pPr>
            <w:r>
              <w:rPr>
                <w:rFonts w:ascii="Times New Roman"/>
                <w:w w:val="100"/>
                <w:sz w:val="21"/>
              </w:rPr>
              <w:t>/</w:t>
            </w:r>
          </w:p>
        </w:tc>
        <w:tc>
          <w:tcPr>
            <w:tcW w:w="853" w:type="dxa"/>
            <w:vMerge w:val="restart"/>
          </w:tcPr>
          <w:p>
            <w:pPr>
              <w:pStyle w:val="TableParagraph"/>
              <w:spacing w:before="142"/>
              <w:ind w:left="107"/>
              <w:jc w:val="left"/>
              <w:rPr>
                <w:sz w:val="21"/>
              </w:rPr>
            </w:pPr>
            <w:r>
              <w:rPr>
                <w:sz w:val="21"/>
              </w:rPr>
              <w:t>不外排</w:t>
            </w:r>
          </w:p>
        </w:tc>
        <w:tc>
          <w:tcPr>
            <w:tcW w:w="709" w:type="dxa"/>
            <w:vMerge w:val="restart"/>
          </w:tcPr>
          <w:p>
            <w:pPr>
              <w:pStyle w:val="TableParagraph"/>
              <w:spacing w:before="142"/>
              <w:ind w:left="139"/>
              <w:jc w:val="left"/>
              <w:rPr>
                <w:sz w:val="21"/>
              </w:rPr>
            </w:pPr>
            <w:r>
              <w:rPr>
                <w:sz w:val="21"/>
              </w:rPr>
              <w:t>间歇</w:t>
            </w:r>
          </w:p>
        </w:tc>
        <w:tc>
          <w:tcPr>
            <w:tcW w:w="1134" w:type="dxa"/>
          </w:tcPr>
          <w:p>
            <w:pPr>
              <w:pStyle w:val="TableParagraph"/>
              <w:spacing w:line="238" w:lineRule="exact" w:before="15"/>
              <w:ind w:left="534"/>
              <w:jc w:val="left"/>
              <w:rPr>
                <w:rFonts w:ascii="Times New Roman"/>
                <w:sz w:val="21"/>
              </w:rPr>
            </w:pPr>
            <w:r>
              <w:rPr>
                <w:rFonts w:ascii="Times New Roman"/>
                <w:w w:val="100"/>
                <w:sz w:val="21"/>
              </w:rPr>
              <w:t>/</w:t>
            </w:r>
          </w:p>
        </w:tc>
        <w:tc>
          <w:tcPr>
            <w:tcW w:w="1278" w:type="dxa"/>
          </w:tcPr>
          <w:p>
            <w:pPr>
              <w:pStyle w:val="TableParagraph"/>
              <w:spacing w:line="238" w:lineRule="exact" w:before="15"/>
              <w:ind w:left="2"/>
              <w:rPr>
                <w:rFonts w:ascii="Times New Roman"/>
                <w:sz w:val="21"/>
              </w:rPr>
            </w:pPr>
            <w:r>
              <w:rPr>
                <w:rFonts w:ascii="Times New Roman"/>
                <w:w w:val="100"/>
                <w:sz w:val="21"/>
              </w:rPr>
              <w:t>/</w:t>
            </w:r>
          </w:p>
        </w:tc>
        <w:tc>
          <w:tcPr>
            <w:tcW w:w="1278" w:type="dxa"/>
          </w:tcPr>
          <w:p>
            <w:pPr>
              <w:pStyle w:val="TableParagraph"/>
              <w:spacing w:line="238" w:lineRule="exact" w:before="15"/>
              <w:ind w:left="604"/>
              <w:jc w:val="left"/>
              <w:rPr>
                <w:rFonts w:ascii="Times New Roman"/>
                <w:sz w:val="21"/>
              </w:rPr>
            </w:pPr>
            <w:r>
              <w:rPr>
                <w:rFonts w:ascii="Times New Roman"/>
                <w:w w:val="100"/>
                <w:sz w:val="21"/>
              </w:rPr>
              <w:t>/</w:t>
            </w:r>
          </w:p>
        </w:tc>
        <w:tc>
          <w:tcPr>
            <w:tcW w:w="993" w:type="dxa"/>
          </w:tcPr>
          <w:p>
            <w:pPr>
              <w:pStyle w:val="TableParagraph"/>
              <w:spacing w:line="238" w:lineRule="exact" w:before="15"/>
              <w:ind w:right="3"/>
              <w:rPr>
                <w:rFonts w:ascii="Times New Roman"/>
                <w:sz w:val="21"/>
              </w:rPr>
            </w:pPr>
            <w:r>
              <w:rPr>
                <w:rFonts w:ascii="Times New Roman"/>
                <w:w w:val="100"/>
                <w:sz w:val="21"/>
              </w:rPr>
              <w:t>/</w:t>
            </w:r>
          </w:p>
        </w:tc>
        <w:tc>
          <w:tcPr>
            <w:tcW w:w="1189" w:type="dxa"/>
          </w:tcPr>
          <w:p>
            <w:pPr>
              <w:pStyle w:val="TableParagraph"/>
              <w:spacing w:line="238" w:lineRule="exact" w:before="15"/>
              <w:ind w:right="5"/>
              <w:rPr>
                <w:rFonts w:ascii="Times New Roman"/>
                <w:sz w:val="21"/>
              </w:rPr>
            </w:pPr>
            <w:r>
              <w:rPr>
                <w:rFonts w:ascii="Times New Roman"/>
                <w:w w:val="100"/>
                <w:sz w:val="21"/>
              </w:rPr>
              <w:t>/</w:t>
            </w:r>
          </w:p>
        </w:tc>
        <w:tc>
          <w:tcPr>
            <w:tcW w:w="1825" w:type="dxa"/>
            <w:vMerge/>
            <w:tcBorders>
              <w:top w:val="nil"/>
            </w:tcBorders>
          </w:tcPr>
          <w:p>
            <w:pPr>
              <w:rPr>
                <w:sz w:val="2"/>
                <w:szCs w:val="2"/>
              </w:rPr>
            </w:pPr>
          </w:p>
        </w:tc>
      </w:tr>
      <w:tr>
        <w:trPr>
          <w:trHeight w:val="270" w:hRule="atLeast"/>
        </w:trPr>
        <w:tc>
          <w:tcPr>
            <w:tcW w:w="514" w:type="dxa"/>
          </w:tcPr>
          <w:p>
            <w:pPr>
              <w:pStyle w:val="TableParagraph"/>
              <w:spacing w:line="236" w:lineRule="exact" w:before="15"/>
              <w:ind w:left="9"/>
              <w:rPr>
                <w:rFonts w:ascii="Times New Roman"/>
                <w:sz w:val="21"/>
              </w:rPr>
            </w:pPr>
            <w:r>
              <w:rPr>
                <w:rFonts w:ascii="Times New Roman"/>
                <w:w w:val="100"/>
                <w:sz w:val="21"/>
              </w:rPr>
              <w:t>9</w:t>
            </w:r>
          </w:p>
        </w:tc>
        <w:tc>
          <w:tcPr>
            <w:tcW w:w="1721" w:type="dxa"/>
          </w:tcPr>
          <w:p>
            <w:pPr>
              <w:pStyle w:val="TableParagraph"/>
              <w:spacing w:line="250" w:lineRule="exact" w:before="1"/>
              <w:ind w:left="106" w:right="94"/>
              <w:rPr>
                <w:sz w:val="21"/>
              </w:rPr>
            </w:pPr>
            <w:r>
              <w:rPr>
                <w:sz w:val="21"/>
              </w:rPr>
              <w:t>冷却系统排污水</w:t>
            </w:r>
          </w:p>
        </w:tc>
        <w:tc>
          <w:tcPr>
            <w:tcW w:w="2694" w:type="dxa"/>
          </w:tcPr>
          <w:p>
            <w:pPr>
              <w:pStyle w:val="TableParagraph"/>
              <w:spacing w:line="236" w:lineRule="exact" w:before="15"/>
              <w:ind w:left="50" w:right="44"/>
              <w:rPr>
                <w:rFonts w:ascii="Times New Roman"/>
                <w:sz w:val="21"/>
              </w:rPr>
            </w:pPr>
            <w:r>
              <w:rPr>
                <w:rFonts w:ascii="Times New Roman"/>
                <w:sz w:val="21"/>
              </w:rPr>
              <w:t>COD</w:t>
            </w:r>
          </w:p>
        </w:tc>
        <w:tc>
          <w:tcPr>
            <w:tcW w:w="853" w:type="dxa"/>
            <w:vMerge/>
            <w:tcBorders>
              <w:top w:val="nil"/>
            </w:tcBorders>
          </w:tcPr>
          <w:p>
            <w:pPr>
              <w:rPr>
                <w:sz w:val="2"/>
                <w:szCs w:val="2"/>
              </w:rPr>
            </w:pPr>
          </w:p>
        </w:tc>
        <w:tc>
          <w:tcPr>
            <w:tcW w:w="709" w:type="dxa"/>
            <w:vMerge/>
            <w:tcBorders>
              <w:top w:val="nil"/>
            </w:tcBorders>
          </w:tcPr>
          <w:p>
            <w:pPr>
              <w:rPr>
                <w:sz w:val="2"/>
                <w:szCs w:val="2"/>
              </w:rPr>
            </w:pPr>
          </w:p>
        </w:tc>
        <w:tc>
          <w:tcPr>
            <w:tcW w:w="1134" w:type="dxa"/>
          </w:tcPr>
          <w:p>
            <w:pPr>
              <w:pStyle w:val="TableParagraph"/>
              <w:spacing w:line="236" w:lineRule="exact" w:before="15"/>
              <w:ind w:left="534"/>
              <w:jc w:val="left"/>
              <w:rPr>
                <w:rFonts w:ascii="Times New Roman"/>
                <w:sz w:val="21"/>
              </w:rPr>
            </w:pPr>
            <w:r>
              <w:rPr>
                <w:rFonts w:ascii="Times New Roman"/>
                <w:w w:val="100"/>
                <w:sz w:val="21"/>
              </w:rPr>
              <w:t>/</w:t>
            </w:r>
          </w:p>
        </w:tc>
        <w:tc>
          <w:tcPr>
            <w:tcW w:w="1278" w:type="dxa"/>
          </w:tcPr>
          <w:p>
            <w:pPr>
              <w:pStyle w:val="TableParagraph"/>
              <w:spacing w:line="236" w:lineRule="exact" w:before="15"/>
              <w:ind w:left="2"/>
              <w:rPr>
                <w:rFonts w:ascii="Times New Roman"/>
                <w:sz w:val="21"/>
              </w:rPr>
            </w:pPr>
            <w:r>
              <w:rPr>
                <w:rFonts w:ascii="Times New Roman"/>
                <w:w w:val="100"/>
                <w:sz w:val="21"/>
              </w:rPr>
              <w:t>/</w:t>
            </w:r>
          </w:p>
        </w:tc>
        <w:tc>
          <w:tcPr>
            <w:tcW w:w="1278" w:type="dxa"/>
          </w:tcPr>
          <w:p>
            <w:pPr>
              <w:pStyle w:val="TableParagraph"/>
              <w:spacing w:line="236" w:lineRule="exact" w:before="15"/>
              <w:ind w:left="604"/>
              <w:jc w:val="left"/>
              <w:rPr>
                <w:rFonts w:ascii="Times New Roman"/>
                <w:sz w:val="21"/>
              </w:rPr>
            </w:pPr>
            <w:r>
              <w:rPr>
                <w:rFonts w:ascii="Times New Roman"/>
                <w:w w:val="100"/>
                <w:sz w:val="21"/>
              </w:rPr>
              <w:t>/</w:t>
            </w:r>
          </w:p>
        </w:tc>
        <w:tc>
          <w:tcPr>
            <w:tcW w:w="993" w:type="dxa"/>
          </w:tcPr>
          <w:p>
            <w:pPr>
              <w:pStyle w:val="TableParagraph"/>
              <w:spacing w:line="236" w:lineRule="exact" w:before="15"/>
              <w:ind w:right="3"/>
              <w:rPr>
                <w:rFonts w:ascii="Times New Roman"/>
                <w:sz w:val="21"/>
              </w:rPr>
            </w:pPr>
            <w:r>
              <w:rPr>
                <w:rFonts w:ascii="Times New Roman"/>
                <w:w w:val="100"/>
                <w:sz w:val="21"/>
              </w:rPr>
              <w:t>/</w:t>
            </w:r>
          </w:p>
        </w:tc>
        <w:tc>
          <w:tcPr>
            <w:tcW w:w="1189" w:type="dxa"/>
          </w:tcPr>
          <w:p>
            <w:pPr>
              <w:pStyle w:val="TableParagraph"/>
              <w:spacing w:line="236" w:lineRule="exact" w:before="15"/>
              <w:ind w:right="5"/>
              <w:rPr>
                <w:rFonts w:ascii="Times New Roman"/>
                <w:sz w:val="21"/>
              </w:rPr>
            </w:pPr>
            <w:r>
              <w:rPr>
                <w:rFonts w:ascii="Times New Roman"/>
                <w:w w:val="100"/>
                <w:sz w:val="21"/>
              </w:rPr>
              <w:t>/</w:t>
            </w:r>
          </w:p>
        </w:tc>
        <w:tc>
          <w:tcPr>
            <w:tcW w:w="1825" w:type="dxa"/>
            <w:vMerge/>
            <w:tcBorders>
              <w:top w:val="nil"/>
            </w:tcBorders>
          </w:tcPr>
          <w:p>
            <w:pPr>
              <w:rPr>
                <w:sz w:val="2"/>
                <w:szCs w:val="2"/>
              </w:rPr>
            </w:pPr>
          </w:p>
        </w:tc>
      </w:tr>
    </w:tbl>
    <w:p>
      <w:pPr>
        <w:tabs>
          <w:tab w:pos="1221" w:val="left" w:leader="none"/>
        </w:tabs>
        <w:spacing w:before="144" w:after="28"/>
        <w:ind w:left="0" w:right="1" w:firstLine="0"/>
        <w:jc w:val="center"/>
        <w:rPr>
          <w:b/>
          <w:sz w:val="24"/>
        </w:rPr>
      </w:pPr>
      <w:r>
        <w:rPr>
          <w:b/>
          <w:sz w:val="24"/>
        </w:rPr>
        <w:t>表</w:t>
      </w:r>
      <w:r>
        <w:rPr>
          <w:b/>
          <w:spacing w:val="-60"/>
          <w:sz w:val="24"/>
        </w:rPr>
        <w:t> </w:t>
      </w:r>
      <w:r>
        <w:rPr>
          <w:rFonts w:ascii="Times New Roman" w:eastAsia="Times New Roman"/>
          <w:b/>
          <w:sz w:val="24"/>
        </w:rPr>
        <w:t>7.2.2-2</w:t>
        <w:tab/>
      </w:r>
      <w:r>
        <w:rPr>
          <w:b/>
          <w:sz w:val="24"/>
        </w:rPr>
        <w:t>废水间接排放口基本信息表</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7"/>
        <w:gridCol w:w="1012"/>
        <w:gridCol w:w="1161"/>
        <w:gridCol w:w="1310"/>
        <w:gridCol w:w="1014"/>
        <w:gridCol w:w="1163"/>
        <w:gridCol w:w="1161"/>
        <w:gridCol w:w="1310"/>
        <w:gridCol w:w="1744"/>
        <w:gridCol w:w="1742"/>
        <w:gridCol w:w="2116"/>
      </w:tblGrid>
      <w:tr>
        <w:trPr>
          <w:trHeight w:val="273" w:hRule="atLeast"/>
        </w:trPr>
        <w:tc>
          <w:tcPr>
            <w:tcW w:w="437" w:type="dxa"/>
            <w:vMerge w:val="restart"/>
          </w:tcPr>
          <w:p>
            <w:pPr>
              <w:pStyle w:val="TableParagraph"/>
              <w:spacing w:before="10"/>
              <w:jc w:val="left"/>
              <w:rPr>
                <w:b/>
                <w:sz w:val="21"/>
              </w:rPr>
            </w:pPr>
          </w:p>
          <w:p>
            <w:pPr>
              <w:pStyle w:val="TableParagraph"/>
              <w:spacing w:line="244" w:lineRule="auto"/>
              <w:ind w:left="112" w:right="101"/>
              <w:jc w:val="left"/>
              <w:rPr>
                <w:sz w:val="21"/>
              </w:rPr>
            </w:pPr>
            <w:r>
              <w:rPr>
                <w:sz w:val="21"/>
              </w:rPr>
              <w:t>序号</w:t>
            </w:r>
          </w:p>
        </w:tc>
        <w:tc>
          <w:tcPr>
            <w:tcW w:w="1012" w:type="dxa"/>
            <w:vMerge w:val="restart"/>
          </w:tcPr>
          <w:p>
            <w:pPr>
              <w:pStyle w:val="TableParagraph"/>
              <w:spacing w:before="10"/>
              <w:jc w:val="left"/>
              <w:rPr>
                <w:b/>
                <w:sz w:val="21"/>
              </w:rPr>
            </w:pPr>
          </w:p>
          <w:p>
            <w:pPr>
              <w:pStyle w:val="TableParagraph"/>
              <w:spacing w:line="244" w:lineRule="auto"/>
              <w:ind w:left="295" w:right="176" w:hanging="106"/>
              <w:jc w:val="left"/>
              <w:rPr>
                <w:sz w:val="21"/>
              </w:rPr>
            </w:pPr>
            <w:r>
              <w:rPr>
                <w:sz w:val="21"/>
              </w:rPr>
              <w:t>排放口编号</w:t>
            </w:r>
          </w:p>
        </w:tc>
        <w:tc>
          <w:tcPr>
            <w:tcW w:w="2471" w:type="dxa"/>
            <w:gridSpan w:val="2"/>
          </w:tcPr>
          <w:p>
            <w:pPr>
              <w:pStyle w:val="TableParagraph"/>
              <w:spacing w:line="250" w:lineRule="exact" w:before="3"/>
              <w:ind w:left="500"/>
              <w:jc w:val="left"/>
              <w:rPr>
                <w:sz w:val="21"/>
              </w:rPr>
            </w:pPr>
            <w:r>
              <w:rPr>
                <w:sz w:val="21"/>
              </w:rPr>
              <w:t>排放口地理坐标</w:t>
            </w:r>
          </w:p>
        </w:tc>
        <w:tc>
          <w:tcPr>
            <w:tcW w:w="1014" w:type="dxa"/>
            <w:vMerge w:val="restart"/>
          </w:tcPr>
          <w:p>
            <w:pPr>
              <w:pStyle w:val="TableParagraph"/>
              <w:spacing w:line="242" w:lineRule="auto" w:before="143"/>
              <w:ind w:left="110" w:right="91"/>
              <w:rPr>
                <w:sz w:val="21"/>
              </w:rPr>
            </w:pPr>
            <w:r>
              <w:rPr>
                <w:sz w:val="21"/>
              </w:rPr>
              <w:t>废水排</w:t>
            </w:r>
            <w:r>
              <w:rPr>
                <w:spacing w:val="-22"/>
                <w:w w:val="100"/>
                <w:sz w:val="21"/>
              </w:rPr>
              <w:t>放量</w:t>
            </w:r>
            <w:r>
              <w:rPr>
                <w:spacing w:val="-168"/>
                <w:w w:val="100"/>
                <w:sz w:val="21"/>
              </w:rPr>
              <w:t>（</w:t>
            </w:r>
            <w:r>
              <w:rPr>
                <w:rFonts w:ascii="Times New Roman" w:eastAsia="Times New Roman"/>
                <w:w w:val="100"/>
                <w:sz w:val="21"/>
              </w:rPr>
              <w:t>/</w:t>
            </w:r>
            <w:r>
              <w:rPr>
                <w:rFonts w:ascii="Times New Roman" w:eastAsia="Times New Roman"/>
                <w:spacing w:val="2"/>
                <w:sz w:val="21"/>
              </w:rPr>
              <w:t>  </w:t>
            </w:r>
            <w:r>
              <w:rPr>
                <w:spacing w:val="-18"/>
                <w:w w:val="100"/>
                <w:sz w:val="21"/>
              </w:rPr>
              <w:t>万</w:t>
            </w:r>
            <w:r>
              <w:rPr>
                <w:w w:val="100"/>
                <w:sz w:val="21"/>
              </w:rPr>
              <w:t> </w:t>
            </w:r>
            <w:r>
              <w:rPr>
                <w:rFonts w:ascii="Times New Roman" w:eastAsia="Times New Roman"/>
                <w:sz w:val="21"/>
              </w:rPr>
              <w:t>t/a</w:t>
            </w:r>
            <w:r>
              <w:rPr>
                <w:sz w:val="21"/>
              </w:rPr>
              <w:t>）</w:t>
            </w:r>
          </w:p>
        </w:tc>
        <w:tc>
          <w:tcPr>
            <w:tcW w:w="1163" w:type="dxa"/>
            <w:vMerge w:val="restart"/>
          </w:tcPr>
          <w:p>
            <w:pPr>
              <w:pStyle w:val="TableParagraph"/>
              <w:jc w:val="left"/>
              <w:rPr>
                <w:b/>
                <w:sz w:val="20"/>
              </w:rPr>
            </w:pPr>
          </w:p>
          <w:p>
            <w:pPr>
              <w:pStyle w:val="TableParagraph"/>
              <w:spacing w:before="160"/>
              <w:ind w:left="164"/>
              <w:jc w:val="left"/>
              <w:rPr>
                <w:sz w:val="21"/>
              </w:rPr>
            </w:pPr>
            <w:r>
              <w:rPr>
                <w:sz w:val="21"/>
              </w:rPr>
              <w:t>排放去向</w:t>
            </w:r>
          </w:p>
        </w:tc>
        <w:tc>
          <w:tcPr>
            <w:tcW w:w="1161" w:type="dxa"/>
            <w:vMerge w:val="restart"/>
          </w:tcPr>
          <w:p>
            <w:pPr>
              <w:pStyle w:val="TableParagraph"/>
              <w:jc w:val="left"/>
              <w:rPr>
                <w:b/>
                <w:sz w:val="20"/>
              </w:rPr>
            </w:pPr>
          </w:p>
          <w:p>
            <w:pPr>
              <w:pStyle w:val="TableParagraph"/>
              <w:spacing w:before="160"/>
              <w:ind w:left="165"/>
              <w:jc w:val="left"/>
              <w:rPr>
                <w:sz w:val="21"/>
              </w:rPr>
            </w:pPr>
            <w:r>
              <w:rPr>
                <w:sz w:val="21"/>
              </w:rPr>
              <w:t>排放规律</w:t>
            </w:r>
          </w:p>
        </w:tc>
        <w:tc>
          <w:tcPr>
            <w:tcW w:w="1310" w:type="dxa"/>
            <w:vMerge w:val="restart"/>
          </w:tcPr>
          <w:p>
            <w:pPr>
              <w:pStyle w:val="TableParagraph"/>
              <w:spacing w:before="10"/>
              <w:jc w:val="left"/>
              <w:rPr>
                <w:b/>
                <w:sz w:val="21"/>
              </w:rPr>
            </w:pPr>
          </w:p>
          <w:p>
            <w:pPr>
              <w:pStyle w:val="TableParagraph"/>
              <w:spacing w:line="244" w:lineRule="auto"/>
              <w:ind w:left="555" w:right="109" w:hanging="421"/>
              <w:jc w:val="left"/>
              <w:rPr>
                <w:sz w:val="21"/>
              </w:rPr>
            </w:pPr>
            <w:r>
              <w:rPr>
                <w:sz w:val="21"/>
              </w:rPr>
              <w:t>间歇排放时段</w:t>
            </w:r>
          </w:p>
        </w:tc>
        <w:tc>
          <w:tcPr>
            <w:tcW w:w="5602" w:type="dxa"/>
            <w:gridSpan w:val="3"/>
          </w:tcPr>
          <w:p>
            <w:pPr>
              <w:pStyle w:val="TableParagraph"/>
              <w:spacing w:line="250" w:lineRule="exact" w:before="3"/>
              <w:ind w:left="1861"/>
              <w:jc w:val="left"/>
              <w:rPr>
                <w:sz w:val="21"/>
              </w:rPr>
            </w:pPr>
            <w:r>
              <w:rPr>
                <w:sz w:val="21"/>
              </w:rPr>
              <w:t>收纳污水处理厂信息</w:t>
            </w:r>
          </w:p>
        </w:tc>
      </w:tr>
      <w:tr>
        <w:trPr>
          <w:trHeight w:val="817" w:hRule="atLeast"/>
        </w:trPr>
        <w:tc>
          <w:tcPr>
            <w:tcW w:w="437" w:type="dxa"/>
            <w:vMerge/>
            <w:tcBorders>
              <w:top w:val="nil"/>
            </w:tcBorders>
          </w:tcPr>
          <w:p>
            <w:pPr>
              <w:rPr>
                <w:sz w:val="2"/>
                <w:szCs w:val="2"/>
              </w:rPr>
            </w:pPr>
          </w:p>
        </w:tc>
        <w:tc>
          <w:tcPr>
            <w:tcW w:w="1012" w:type="dxa"/>
            <w:vMerge/>
            <w:tcBorders>
              <w:top w:val="nil"/>
            </w:tcBorders>
          </w:tcPr>
          <w:p>
            <w:pPr>
              <w:rPr>
                <w:sz w:val="2"/>
                <w:szCs w:val="2"/>
              </w:rPr>
            </w:pPr>
          </w:p>
        </w:tc>
        <w:tc>
          <w:tcPr>
            <w:tcW w:w="1161" w:type="dxa"/>
          </w:tcPr>
          <w:p>
            <w:pPr>
              <w:pStyle w:val="TableParagraph"/>
              <w:spacing w:before="5"/>
              <w:jc w:val="left"/>
              <w:rPr>
                <w:b/>
                <w:sz w:val="21"/>
              </w:rPr>
            </w:pPr>
          </w:p>
          <w:p>
            <w:pPr>
              <w:pStyle w:val="TableParagraph"/>
              <w:ind w:left="370"/>
              <w:jc w:val="left"/>
              <w:rPr>
                <w:sz w:val="21"/>
              </w:rPr>
            </w:pPr>
            <w:r>
              <w:rPr>
                <w:sz w:val="21"/>
              </w:rPr>
              <w:t>经度</w:t>
            </w:r>
          </w:p>
        </w:tc>
        <w:tc>
          <w:tcPr>
            <w:tcW w:w="1310" w:type="dxa"/>
          </w:tcPr>
          <w:p>
            <w:pPr>
              <w:pStyle w:val="TableParagraph"/>
              <w:spacing w:before="5"/>
              <w:jc w:val="left"/>
              <w:rPr>
                <w:b/>
                <w:sz w:val="21"/>
              </w:rPr>
            </w:pPr>
          </w:p>
          <w:p>
            <w:pPr>
              <w:pStyle w:val="TableParagraph"/>
              <w:ind w:left="445"/>
              <w:jc w:val="left"/>
              <w:rPr>
                <w:sz w:val="21"/>
              </w:rPr>
            </w:pPr>
            <w:r>
              <w:rPr>
                <w:sz w:val="21"/>
              </w:rPr>
              <w:t>纬度</w:t>
            </w:r>
          </w:p>
        </w:tc>
        <w:tc>
          <w:tcPr>
            <w:tcW w:w="1014" w:type="dxa"/>
            <w:vMerge/>
            <w:tcBorders>
              <w:top w:val="nil"/>
            </w:tcBorders>
          </w:tcPr>
          <w:p>
            <w:pPr>
              <w:rPr>
                <w:sz w:val="2"/>
                <w:szCs w:val="2"/>
              </w:rPr>
            </w:pPr>
          </w:p>
        </w:tc>
        <w:tc>
          <w:tcPr>
            <w:tcW w:w="1163"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744" w:type="dxa"/>
          </w:tcPr>
          <w:p>
            <w:pPr>
              <w:pStyle w:val="TableParagraph"/>
              <w:spacing w:before="5"/>
              <w:jc w:val="left"/>
              <w:rPr>
                <w:b/>
                <w:sz w:val="21"/>
              </w:rPr>
            </w:pPr>
          </w:p>
          <w:p>
            <w:pPr>
              <w:pStyle w:val="TableParagraph"/>
              <w:ind w:left="649" w:right="624"/>
              <w:rPr>
                <w:sz w:val="21"/>
              </w:rPr>
            </w:pPr>
            <w:r>
              <w:rPr>
                <w:sz w:val="21"/>
              </w:rPr>
              <w:t>名称</w:t>
            </w:r>
          </w:p>
        </w:tc>
        <w:tc>
          <w:tcPr>
            <w:tcW w:w="1742" w:type="dxa"/>
          </w:tcPr>
          <w:p>
            <w:pPr>
              <w:pStyle w:val="TableParagraph"/>
              <w:spacing w:before="5"/>
              <w:jc w:val="left"/>
              <w:rPr>
                <w:b/>
                <w:sz w:val="21"/>
              </w:rPr>
            </w:pPr>
          </w:p>
          <w:p>
            <w:pPr>
              <w:pStyle w:val="TableParagraph"/>
              <w:ind w:left="102" w:right="76"/>
              <w:rPr>
                <w:sz w:val="21"/>
              </w:rPr>
            </w:pPr>
            <w:r>
              <w:rPr>
                <w:sz w:val="21"/>
              </w:rPr>
              <w:t>污染物种类</w:t>
            </w:r>
          </w:p>
        </w:tc>
        <w:tc>
          <w:tcPr>
            <w:tcW w:w="2116" w:type="dxa"/>
          </w:tcPr>
          <w:p>
            <w:pPr>
              <w:pStyle w:val="TableParagraph"/>
              <w:spacing w:line="244" w:lineRule="auto" w:before="1"/>
              <w:ind w:left="118" w:right="91"/>
              <w:rPr>
                <w:rFonts w:ascii="Times New Roman" w:eastAsia="Times New Roman"/>
                <w:sz w:val="21"/>
              </w:rPr>
            </w:pPr>
            <w:r>
              <w:rPr>
                <w:sz w:val="21"/>
              </w:rPr>
              <w:t>国家或地方污染物排放标准浓度限值</w:t>
            </w:r>
            <w:r>
              <w:rPr>
                <w:rFonts w:ascii="Times New Roman" w:eastAsia="Times New Roman"/>
                <w:sz w:val="21"/>
              </w:rPr>
              <w:t>/</w:t>
            </w:r>
          </w:p>
          <w:p>
            <w:pPr>
              <w:pStyle w:val="TableParagraph"/>
              <w:spacing w:line="248" w:lineRule="exact"/>
              <w:ind w:left="117" w:right="91"/>
              <w:rPr>
                <w:sz w:val="21"/>
              </w:rPr>
            </w:pPr>
            <w:r>
              <w:rPr>
                <w:sz w:val="21"/>
              </w:rPr>
              <w:t>（</w:t>
            </w:r>
            <w:r>
              <w:rPr>
                <w:rFonts w:ascii="Times New Roman" w:eastAsia="Times New Roman"/>
                <w:sz w:val="21"/>
              </w:rPr>
              <w:t>mg/L</w:t>
            </w:r>
            <w:r>
              <w:rPr>
                <w:sz w:val="21"/>
              </w:rPr>
              <w:t>）</w:t>
            </w:r>
          </w:p>
        </w:tc>
      </w:tr>
      <w:tr>
        <w:trPr>
          <w:trHeight w:val="278" w:hRule="atLeast"/>
        </w:trPr>
        <w:tc>
          <w:tcPr>
            <w:tcW w:w="437" w:type="dxa"/>
            <w:vMerge w:val="restart"/>
          </w:tcPr>
          <w:p>
            <w:pPr>
              <w:pStyle w:val="TableParagraph"/>
              <w:jc w:val="left"/>
              <w:rPr>
                <w:b/>
                <w:sz w:val="22"/>
              </w:rPr>
            </w:pPr>
          </w:p>
          <w:p>
            <w:pPr>
              <w:pStyle w:val="TableParagraph"/>
              <w:spacing w:before="172"/>
              <w:ind w:left="9"/>
              <w:rPr>
                <w:rFonts w:ascii="Times New Roman"/>
                <w:sz w:val="21"/>
              </w:rPr>
            </w:pPr>
            <w:r>
              <w:rPr>
                <w:rFonts w:ascii="Times New Roman"/>
                <w:w w:val="100"/>
                <w:sz w:val="21"/>
              </w:rPr>
              <w:t>1</w:t>
            </w:r>
          </w:p>
        </w:tc>
        <w:tc>
          <w:tcPr>
            <w:tcW w:w="1012" w:type="dxa"/>
            <w:vMerge w:val="restart"/>
          </w:tcPr>
          <w:p>
            <w:pPr>
              <w:pStyle w:val="TableParagraph"/>
              <w:jc w:val="left"/>
              <w:rPr>
                <w:b/>
                <w:sz w:val="22"/>
              </w:rPr>
            </w:pPr>
          </w:p>
          <w:p>
            <w:pPr>
              <w:pStyle w:val="TableParagraph"/>
              <w:spacing w:before="172"/>
              <w:ind w:left="295"/>
              <w:jc w:val="left"/>
              <w:rPr>
                <w:rFonts w:ascii="Times New Roman"/>
                <w:sz w:val="21"/>
              </w:rPr>
            </w:pPr>
            <w:r>
              <w:rPr>
                <w:rFonts w:ascii="Times New Roman"/>
                <w:sz w:val="21"/>
              </w:rPr>
              <w:t>1002</w:t>
            </w:r>
          </w:p>
        </w:tc>
        <w:tc>
          <w:tcPr>
            <w:tcW w:w="1161" w:type="dxa"/>
            <w:vMerge w:val="restart"/>
          </w:tcPr>
          <w:p>
            <w:pPr>
              <w:pStyle w:val="TableParagraph"/>
              <w:spacing w:before="11"/>
              <w:jc w:val="left"/>
              <w:rPr>
                <w:b/>
                <w:sz w:val="25"/>
              </w:rPr>
            </w:pPr>
          </w:p>
          <w:p>
            <w:pPr>
              <w:pStyle w:val="TableParagraph"/>
              <w:ind w:left="88" w:right="113"/>
              <w:rPr>
                <w:rFonts w:ascii="Times New Roman" w:hAnsi="Times New Roman"/>
                <w:sz w:val="21"/>
              </w:rPr>
            </w:pPr>
            <w:r>
              <w:rPr>
                <w:rFonts w:ascii="Times New Roman" w:hAnsi="Times New Roman"/>
                <w:sz w:val="21"/>
              </w:rPr>
              <w:t>120°53'43.</w:t>
            </w:r>
          </w:p>
          <w:p>
            <w:pPr>
              <w:pStyle w:val="TableParagraph"/>
              <w:spacing w:before="1"/>
              <w:ind w:left="88" w:right="77"/>
              <w:rPr>
                <w:rFonts w:ascii="Times New Roman"/>
                <w:sz w:val="21"/>
              </w:rPr>
            </w:pPr>
            <w:r>
              <w:rPr>
                <w:rFonts w:ascii="Times New Roman"/>
                <w:sz w:val="21"/>
              </w:rPr>
              <w:t>9"E</w:t>
            </w:r>
          </w:p>
        </w:tc>
        <w:tc>
          <w:tcPr>
            <w:tcW w:w="1310" w:type="dxa"/>
            <w:vMerge w:val="restart"/>
          </w:tcPr>
          <w:p>
            <w:pPr>
              <w:pStyle w:val="TableParagraph"/>
              <w:spacing w:before="11"/>
              <w:jc w:val="left"/>
              <w:rPr>
                <w:b/>
                <w:sz w:val="25"/>
              </w:rPr>
            </w:pPr>
          </w:p>
          <w:p>
            <w:pPr>
              <w:pStyle w:val="TableParagraph"/>
              <w:ind w:left="579" w:right="109" w:hanging="423"/>
              <w:jc w:val="left"/>
              <w:rPr>
                <w:rFonts w:ascii="Times New Roman" w:hAnsi="Times New Roman"/>
                <w:sz w:val="21"/>
              </w:rPr>
            </w:pPr>
            <w:r>
              <w:rPr>
                <w:rFonts w:ascii="Times New Roman" w:hAnsi="Times New Roman"/>
                <w:sz w:val="21"/>
              </w:rPr>
              <w:t>30°09'48.7" N</w:t>
            </w:r>
          </w:p>
        </w:tc>
        <w:tc>
          <w:tcPr>
            <w:tcW w:w="1014" w:type="dxa"/>
            <w:vMerge w:val="restart"/>
          </w:tcPr>
          <w:p>
            <w:pPr>
              <w:pStyle w:val="TableParagraph"/>
              <w:spacing w:before="4"/>
              <w:jc w:val="left"/>
              <w:rPr>
                <w:b/>
                <w:sz w:val="14"/>
              </w:rPr>
            </w:pPr>
          </w:p>
          <w:p>
            <w:pPr>
              <w:pStyle w:val="TableParagraph"/>
              <w:ind w:left="109" w:right="91"/>
              <w:rPr>
                <w:sz w:val="21"/>
              </w:rPr>
            </w:pPr>
            <w:r>
              <w:rPr>
                <w:sz w:val="21"/>
              </w:rPr>
              <w:t>本项目</w:t>
            </w:r>
          </w:p>
          <w:p>
            <w:pPr>
              <w:pStyle w:val="TableParagraph"/>
              <w:spacing w:before="2"/>
              <w:ind w:left="91" w:right="32"/>
              <w:rPr>
                <w:sz w:val="21"/>
              </w:rPr>
            </w:pPr>
            <w:r>
              <w:rPr>
                <w:sz w:val="21"/>
              </w:rPr>
              <w:t>（东区）</w:t>
            </w:r>
          </w:p>
          <w:p>
            <w:pPr>
              <w:pStyle w:val="TableParagraph"/>
              <w:spacing w:before="2"/>
              <w:ind w:left="109" w:right="91"/>
              <w:rPr>
                <w:rFonts w:ascii="Times New Roman"/>
                <w:sz w:val="21"/>
              </w:rPr>
            </w:pPr>
            <w:r>
              <w:rPr>
                <w:rFonts w:ascii="Times New Roman"/>
                <w:sz w:val="21"/>
              </w:rPr>
              <w:t>3.3</w:t>
            </w:r>
          </w:p>
        </w:tc>
        <w:tc>
          <w:tcPr>
            <w:tcW w:w="1163" w:type="dxa"/>
            <w:vMerge w:val="restart"/>
          </w:tcPr>
          <w:p>
            <w:pPr>
              <w:pStyle w:val="TableParagraph"/>
              <w:spacing w:line="242" w:lineRule="auto" w:before="166"/>
              <w:ind w:left="164" w:right="144"/>
              <w:rPr>
                <w:sz w:val="21"/>
              </w:rPr>
            </w:pPr>
            <w:r>
              <w:rPr>
                <w:sz w:val="21"/>
              </w:rPr>
              <w:t>工业废水集中处理厂</w:t>
            </w:r>
          </w:p>
        </w:tc>
        <w:tc>
          <w:tcPr>
            <w:tcW w:w="1161" w:type="dxa"/>
            <w:vMerge w:val="restart"/>
          </w:tcPr>
          <w:p>
            <w:pPr>
              <w:pStyle w:val="TableParagraph"/>
              <w:jc w:val="left"/>
              <w:rPr>
                <w:b/>
                <w:sz w:val="20"/>
              </w:rPr>
            </w:pPr>
          </w:p>
          <w:p>
            <w:pPr>
              <w:pStyle w:val="TableParagraph"/>
              <w:spacing w:before="4"/>
              <w:jc w:val="left"/>
              <w:rPr>
                <w:b/>
                <w:sz w:val="14"/>
              </w:rPr>
            </w:pPr>
          </w:p>
          <w:p>
            <w:pPr>
              <w:pStyle w:val="TableParagraph"/>
              <w:ind w:left="374"/>
              <w:jc w:val="left"/>
              <w:rPr>
                <w:sz w:val="21"/>
              </w:rPr>
            </w:pPr>
            <w:r>
              <w:rPr>
                <w:sz w:val="21"/>
              </w:rPr>
              <w:t>间歇</w:t>
            </w:r>
          </w:p>
        </w:tc>
        <w:tc>
          <w:tcPr>
            <w:tcW w:w="1310" w:type="dxa"/>
            <w:vMerge w:val="restart"/>
          </w:tcPr>
          <w:p>
            <w:pPr>
              <w:pStyle w:val="TableParagraph"/>
              <w:jc w:val="left"/>
              <w:rPr>
                <w:b/>
                <w:sz w:val="20"/>
              </w:rPr>
            </w:pPr>
          </w:p>
          <w:p>
            <w:pPr>
              <w:pStyle w:val="TableParagraph"/>
              <w:spacing w:before="4"/>
              <w:jc w:val="left"/>
              <w:rPr>
                <w:b/>
                <w:sz w:val="14"/>
              </w:rPr>
            </w:pPr>
          </w:p>
          <w:p>
            <w:pPr>
              <w:pStyle w:val="TableParagraph"/>
              <w:ind w:left="344"/>
              <w:jc w:val="left"/>
              <w:rPr>
                <w:sz w:val="21"/>
              </w:rPr>
            </w:pPr>
            <w:r>
              <w:rPr>
                <w:sz w:val="21"/>
              </w:rPr>
              <w:t>不定期</w:t>
            </w:r>
          </w:p>
        </w:tc>
        <w:tc>
          <w:tcPr>
            <w:tcW w:w="1744" w:type="dxa"/>
            <w:vMerge w:val="restart"/>
          </w:tcPr>
          <w:p>
            <w:pPr>
              <w:pStyle w:val="TableParagraph"/>
              <w:jc w:val="left"/>
              <w:rPr>
                <w:b/>
                <w:sz w:val="20"/>
              </w:rPr>
            </w:pPr>
          </w:p>
          <w:p>
            <w:pPr>
              <w:pStyle w:val="TableParagraph"/>
              <w:spacing w:before="4"/>
              <w:jc w:val="left"/>
              <w:rPr>
                <w:b/>
                <w:sz w:val="14"/>
              </w:rPr>
            </w:pPr>
          </w:p>
          <w:p>
            <w:pPr>
              <w:pStyle w:val="TableParagraph"/>
              <w:ind w:left="142"/>
              <w:jc w:val="left"/>
              <w:rPr>
                <w:sz w:val="21"/>
              </w:rPr>
            </w:pPr>
            <w:r>
              <w:rPr>
                <w:sz w:val="21"/>
              </w:rPr>
              <w:t>上虞污水处理厂</w:t>
            </w:r>
          </w:p>
        </w:tc>
        <w:tc>
          <w:tcPr>
            <w:tcW w:w="1742" w:type="dxa"/>
          </w:tcPr>
          <w:p>
            <w:pPr>
              <w:pStyle w:val="TableParagraph"/>
              <w:spacing w:line="231" w:lineRule="exact" w:before="27"/>
              <w:ind w:left="103" w:right="75"/>
              <w:rPr>
                <w:rFonts w:ascii="Times New Roman"/>
                <w:sz w:val="21"/>
              </w:rPr>
            </w:pPr>
            <w:r>
              <w:rPr>
                <w:rFonts w:ascii="Times New Roman"/>
                <w:sz w:val="21"/>
              </w:rPr>
              <w:t>pH</w:t>
            </w:r>
          </w:p>
        </w:tc>
        <w:tc>
          <w:tcPr>
            <w:tcW w:w="2116" w:type="dxa"/>
          </w:tcPr>
          <w:p>
            <w:pPr>
              <w:pStyle w:val="TableParagraph"/>
              <w:spacing w:line="231" w:lineRule="exact" w:before="27"/>
              <w:ind w:left="115" w:right="91"/>
              <w:rPr>
                <w:rFonts w:ascii="Times New Roman"/>
                <w:sz w:val="21"/>
              </w:rPr>
            </w:pPr>
            <w:r>
              <w:rPr>
                <w:rFonts w:ascii="Times New Roman"/>
                <w:sz w:val="21"/>
              </w:rPr>
              <w:t>6-9</w:t>
            </w:r>
          </w:p>
        </w:tc>
      </w:tr>
      <w:tr>
        <w:trPr>
          <w:trHeight w:val="280" w:hRule="atLeast"/>
        </w:trPr>
        <w:tc>
          <w:tcPr>
            <w:tcW w:w="437" w:type="dxa"/>
            <w:vMerge/>
            <w:tcBorders>
              <w:top w:val="nil"/>
            </w:tcBorders>
          </w:tcPr>
          <w:p>
            <w:pPr>
              <w:rPr>
                <w:sz w:val="2"/>
                <w:szCs w:val="2"/>
              </w:rPr>
            </w:pPr>
          </w:p>
        </w:tc>
        <w:tc>
          <w:tcPr>
            <w:tcW w:w="1012"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014" w:type="dxa"/>
            <w:vMerge/>
            <w:tcBorders>
              <w:top w:val="nil"/>
            </w:tcBorders>
          </w:tcPr>
          <w:p>
            <w:pPr>
              <w:rPr>
                <w:sz w:val="2"/>
                <w:szCs w:val="2"/>
              </w:rPr>
            </w:pPr>
          </w:p>
        </w:tc>
        <w:tc>
          <w:tcPr>
            <w:tcW w:w="1163"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744" w:type="dxa"/>
            <w:vMerge/>
            <w:tcBorders>
              <w:top w:val="nil"/>
            </w:tcBorders>
          </w:tcPr>
          <w:p>
            <w:pPr>
              <w:rPr>
                <w:sz w:val="2"/>
                <w:szCs w:val="2"/>
              </w:rPr>
            </w:pPr>
          </w:p>
        </w:tc>
        <w:tc>
          <w:tcPr>
            <w:tcW w:w="1742" w:type="dxa"/>
          </w:tcPr>
          <w:p>
            <w:pPr>
              <w:pStyle w:val="TableParagraph"/>
              <w:spacing w:line="232" w:lineRule="exact" w:before="28"/>
              <w:ind w:left="103" w:right="73"/>
              <w:rPr>
                <w:rFonts w:ascii="Times New Roman"/>
                <w:sz w:val="14"/>
              </w:rPr>
            </w:pPr>
            <w:r>
              <w:rPr>
                <w:rFonts w:ascii="Times New Roman"/>
                <w:position w:val="2"/>
                <w:sz w:val="21"/>
              </w:rPr>
              <w:t>COD</w:t>
            </w:r>
            <w:r>
              <w:rPr>
                <w:rFonts w:ascii="Times New Roman"/>
                <w:sz w:val="14"/>
              </w:rPr>
              <w:t>Cr</w:t>
            </w:r>
          </w:p>
        </w:tc>
        <w:tc>
          <w:tcPr>
            <w:tcW w:w="2116" w:type="dxa"/>
          </w:tcPr>
          <w:p>
            <w:pPr>
              <w:pStyle w:val="TableParagraph"/>
              <w:spacing w:line="231" w:lineRule="exact" w:before="29"/>
              <w:ind w:left="112" w:right="91"/>
              <w:rPr>
                <w:rFonts w:ascii="Times New Roman"/>
                <w:sz w:val="21"/>
              </w:rPr>
            </w:pPr>
            <w:r>
              <w:rPr>
                <w:rFonts w:ascii="Times New Roman"/>
                <w:sz w:val="21"/>
              </w:rPr>
              <w:t>80</w:t>
            </w:r>
          </w:p>
        </w:tc>
      </w:tr>
      <w:tr>
        <w:trPr>
          <w:trHeight w:val="280" w:hRule="atLeast"/>
        </w:trPr>
        <w:tc>
          <w:tcPr>
            <w:tcW w:w="437" w:type="dxa"/>
            <w:vMerge/>
            <w:tcBorders>
              <w:top w:val="nil"/>
            </w:tcBorders>
          </w:tcPr>
          <w:p>
            <w:pPr>
              <w:rPr>
                <w:sz w:val="2"/>
                <w:szCs w:val="2"/>
              </w:rPr>
            </w:pPr>
          </w:p>
        </w:tc>
        <w:tc>
          <w:tcPr>
            <w:tcW w:w="1012"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014" w:type="dxa"/>
            <w:vMerge/>
            <w:tcBorders>
              <w:top w:val="nil"/>
            </w:tcBorders>
          </w:tcPr>
          <w:p>
            <w:pPr>
              <w:rPr>
                <w:sz w:val="2"/>
                <w:szCs w:val="2"/>
              </w:rPr>
            </w:pPr>
          </w:p>
        </w:tc>
        <w:tc>
          <w:tcPr>
            <w:tcW w:w="1163"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744" w:type="dxa"/>
            <w:vMerge/>
            <w:tcBorders>
              <w:top w:val="nil"/>
            </w:tcBorders>
          </w:tcPr>
          <w:p>
            <w:pPr>
              <w:rPr>
                <w:sz w:val="2"/>
                <w:szCs w:val="2"/>
              </w:rPr>
            </w:pPr>
          </w:p>
        </w:tc>
        <w:tc>
          <w:tcPr>
            <w:tcW w:w="1742" w:type="dxa"/>
          </w:tcPr>
          <w:p>
            <w:pPr>
              <w:pStyle w:val="TableParagraph"/>
              <w:spacing w:line="232" w:lineRule="exact" w:before="28"/>
              <w:ind w:left="101" w:right="76"/>
              <w:rPr>
                <w:rFonts w:ascii="Times New Roman"/>
                <w:sz w:val="21"/>
              </w:rPr>
            </w:pPr>
            <w:r>
              <w:rPr>
                <w:rFonts w:ascii="Times New Roman"/>
                <w:position w:val="2"/>
                <w:sz w:val="21"/>
              </w:rPr>
              <w:t>NH</w:t>
            </w:r>
            <w:r>
              <w:rPr>
                <w:rFonts w:ascii="Times New Roman"/>
                <w:sz w:val="14"/>
              </w:rPr>
              <w:t>3</w:t>
            </w:r>
            <w:r>
              <w:rPr>
                <w:rFonts w:ascii="Times New Roman"/>
                <w:position w:val="2"/>
                <w:sz w:val="21"/>
              </w:rPr>
              <w:t>-N</w:t>
            </w:r>
          </w:p>
        </w:tc>
        <w:tc>
          <w:tcPr>
            <w:tcW w:w="2116" w:type="dxa"/>
          </w:tcPr>
          <w:p>
            <w:pPr>
              <w:pStyle w:val="TableParagraph"/>
              <w:spacing w:line="231" w:lineRule="exact" w:before="29"/>
              <w:ind w:left="828"/>
              <w:jc w:val="left"/>
              <w:rPr>
                <w:rFonts w:ascii="Times New Roman"/>
                <w:sz w:val="21"/>
              </w:rPr>
            </w:pPr>
            <w:r>
              <w:rPr>
                <w:rFonts w:ascii="Times New Roman"/>
                <w:sz w:val="21"/>
              </w:rPr>
              <w:t>13.36</w:t>
            </w:r>
          </w:p>
        </w:tc>
      </w:tr>
      <w:tr>
        <w:trPr>
          <w:trHeight w:val="280" w:hRule="atLeast"/>
        </w:trPr>
        <w:tc>
          <w:tcPr>
            <w:tcW w:w="437" w:type="dxa"/>
            <w:vMerge/>
            <w:tcBorders>
              <w:top w:val="nil"/>
            </w:tcBorders>
          </w:tcPr>
          <w:p>
            <w:pPr>
              <w:rPr>
                <w:sz w:val="2"/>
                <w:szCs w:val="2"/>
              </w:rPr>
            </w:pPr>
          </w:p>
        </w:tc>
        <w:tc>
          <w:tcPr>
            <w:tcW w:w="1012"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014" w:type="dxa"/>
            <w:vMerge/>
            <w:tcBorders>
              <w:top w:val="nil"/>
            </w:tcBorders>
          </w:tcPr>
          <w:p>
            <w:pPr>
              <w:rPr>
                <w:sz w:val="2"/>
                <w:szCs w:val="2"/>
              </w:rPr>
            </w:pPr>
          </w:p>
        </w:tc>
        <w:tc>
          <w:tcPr>
            <w:tcW w:w="1163" w:type="dxa"/>
            <w:vMerge/>
            <w:tcBorders>
              <w:top w:val="nil"/>
            </w:tcBorders>
          </w:tcPr>
          <w:p>
            <w:pPr>
              <w:rPr>
                <w:sz w:val="2"/>
                <w:szCs w:val="2"/>
              </w:rPr>
            </w:pPr>
          </w:p>
        </w:tc>
        <w:tc>
          <w:tcPr>
            <w:tcW w:w="1161" w:type="dxa"/>
            <w:vMerge/>
            <w:tcBorders>
              <w:top w:val="nil"/>
            </w:tcBorders>
          </w:tcPr>
          <w:p>
            <w:pPr>
              <w:rPr>
                <w:sz w:val="2"/>
                <w:szCs w:val="2"/>
              </w:rPr>
            </w:pPr>
          </w:p>
        </w:tc>
        <w:tc>
          <w:tcPr>
            <w:tcW w:w="1310" w:type="dxa"/>
            <w:vMerge/>
            <w:tcBorders>
              <w:top w:val="nil"/>
            </w:tcBorders>
          </w:tcPr>
          <w:p>
            <w:pPr>
              <w:rPr>
                <w:sz w:val="2"/>
                <w:szCs w:val="2"/>
              </w:rPr>
            </w:pPr>
          </w:p>
        </w:tc>
        <w:tc>
          <w:tcPr>
            <w:tcW w:w="1744" w:type="dxa"/>
            <w:vMerge/>
            <w:tcBorders>
              <w:top w:val="nil"/>
            </w:tcBorders>
          </w:tcPr>
          <w:p>
            <w:pPr>
              <w:rPr>
                <w:sz w:val="2"/>
                <w:szCs w:val="2"/>
              </w:rPr>
            </w:pPr>
          </w:p>
        </w:tc>
        <w:tc>
          <w:tcPr>
            <w:tcW w:w="1742" w:type="dxa"/>
          </w:tcPr>
          <w:p>
            <w:pPr>
              <w:pStyle w:val="TableParagraph"/>
              <w:spacing w:line="245" w:lineRule="exact" w:before="15"/>
              <w:ind w:left="103" w:right="76"/>
              <w:rPr>
                <w:sz w:val="21"/>
              </w:rPr>
            </w:pPr>
            <w:r>
              <w:rPr>
                <w:sz w:val="21"/>
              </w:rPr>
              <w:t>总氮</w:t>
            </w:r>
            <w:r>
              <w:rPr>
                <w:spacing w:val="-3"/>
                <w:sz w:val="21"/>
              </w:rPr>
              <w:t>（</w:t>
            </w:r>
            <w:r>
              <w:rPr>
                <w:spacing w:val="50"/>
                <w:sz w:val="21"/>
              </w:rPr>
              <w:t>以</w:t>
            </w:r>
            <w:r>
              <w:rPr>
                <w:rFonts w:ascii="Times New Roman" w:eastAsia="Times New Roman"/>
                <w:sz w:val="21"/>
              </w:rPr>
              <w:t>N </w:t>
            </w:r>
            <w:r>
              <w:rPr>
                <w:sz w:val="21"/>
              </w:rPr>
              <w:t>计）</w:t>
            </w:r>
          </w:p>
        </w:tc>
        <w:tc>
          <w:tcPr>
            <w:tcW w:w="2116" w:type="dxa"/>
          </w:tcPr>
          <w:p>
            <w:pPr>
              <w:pStyle w:val="TableParagraph"/>
              <w:spacing w:line="231" w:lineRule="exact" w:before="29"/>
              <w:ind w:left="881"/>
              <w:jc w:val="left"/>
              <w:rPr>
                <w:rFonts w:ascii="Times New Roman"/>
                <w:sz w:val="21"/>
              </w:rPr>
            </w:pPr>
            <w:r>
              <w:rPr>
                <w:rFonts w:ascii="Times New Roman"/>
                <w:sz w:val="21"/>
              </w:rPr>
              <w:t>25.3</w:t>
            </w:r>
          </w:p>
        </w:tc>
      </w:tr>
    </w:tbl>
    <w:p>
      <w:pPr>
        <w:spacing w:after="0" w:line="231" w:lineRule="exact"/>
        <w:jc w:val="left"/>
        <w:rPr>
          <w:rFonts w:ascii="Times New Roman"/>
          <w:sz w:val="21"/>
        </w:rPr>
        <w:sectPr>
          <w:headerReference w:type="default" r:id="rId117"/>
          <w:footerReference w:type="default" r:id="rId118"/>
          <w:pgSz w:w="16850" w:h="11910" w:orient="landscape"/>
          <w:pgMar w:header="1004" w:footer="803" w:top="1240" w:bottom="1000" w:left="1220" w:right="1220"/>
          <w:pgNumType w:start="16"/>
        </w:sectPr>
      </w:pPr>
    </w:p>
    <w:p>
      <w:pPr>
        <w:pStyle w:val="BodyText"/>
        <w:spacing w:before="5"/>
        <w:rPr>
          <w:b/>
          <w:sz w:val="27"/>
        </w:rPr>
      </w:pPr>
    </w:p>
    <w:p>
      <w:pPr>
        <w:tabs>
          <w:tab w:pos="1221" w:val="left" w:leader="none"/>
        </w:tabs>
        <w:spacing w:before="74" w:after="29"/>
        <w:ind w:left="0" w:right="1" w:firstLine="0"/>
        <w:jc w:val="center"/>
        <w:rPr>
          <w:b/>
          <w:sz w:val="24"/>
        </w:rPr>
      </w:pPr>
      <w:r>
        <w:rPr>
          <w:b/>
          <w:sz w:val="24"/>
        </w:rPr>
        <w:t>表</w:t>
      </w:r>
      <w:r>
        <w:rPr>
          <w:b/>
          <w:spacing w:val="-60"/>
          <w:sz w:val="24"/>
        </w:rPr>
        <w:t> </w:t>
      </w:r>
      <w:r>
        <w:rPr>
          <w:rFonts w:ascii="Times New Roman" w:eastAsia="Times New Roman"/>
          <w:b/>
          <w:sz w:val="24"/>
        </w:rPr>
        <w:t>7.2.2-3</w:t>
        <w:tab/>
      </w:r>
      <w:r>
        <w:rPr>
          <w:b/>
          <w:sz w:val="24"/>
        </w:rPr>
        <w:t>废水污染物排放执行标准表</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1702"/>
        <w:gridCol w:w="3968"/>
        <w:gridCol w:w="4537"/>
        <w:gridCol w:w="3289"/>
      </w:tblGrid>
      <w:tr>
        <w:trPr>
          <w:trHeight w:val="273" w:hRule="atLeast"/>
        </w:trPr>
        <w:tc>
          <w:tcPr>
            <w:tcW w:w="675" w:type="dxa"/>
            <w:vMerge w:val="restart"/>
          </w:tcPr>
          <w:p>
            <w:pPr>
              <w:pStyle w:val="TableParagraph"/>
              <w:spacing w:before="142"/>
              <w:ind w:left="127"/>
              <w:jc w:val="left"/>
              <w:rPr>
                <w:sz w:val="21"/>
              </w:rPr>
            </w:pPr>
            <w:r>
              <w:rPr>
                <w:sz w:val="21"/>
              </w:rPr>
              <w:t>序号</w:t>
            </w:r>
          </w:p>
        </w:tc>
        <w:tc>
          <w:tcPr>
            <w:tcW w:w="1702" w:type="dxa"/>
            <w:vMerge w:val="restart"/>
          </w:tcPr>
          <w:p>
            <w:pPr>
              <w:pStyle w:val="TableParagraph"/>
              <w:spacing w:before="142"/>
              <w:ind w:left="323"/>
              <w:jc w:val="left"/>
              <w:rPr>
                <w:sz w:val="21"/>
              </w:rPr>
            </w:pPr>
            <w:r>
              <w:rPr>
                <w:sz w:val="21"/>
              </w:rPr>
              <w:t>排放口编号</w:t>
            </w:r>
          </w:p>
        </w:tc>
        <w:tc>
          <w:tcPr>
            <w:tcW w:w="3968" w:type="dxa"/>
            <w:vMerge w:val="restart"/>
          </w:tcPr>
          <w:p>
            <w:pPr>
              <w:pStyle w:val="TableParagraph"/>
              <w:spacing w:before="142"/>
              <w:ind w:left="254" w:right="246"/>
              <w:rPr>
                <w:sz w:val="21"/>
              </w:rPr>
            </w:pPr>
            <w:r>
              <w:rPr>
                <w:sz w:val="21"/>
              </w:rPr>
              <w:t>污染物种类</w:t>
            </w:r>
          </w:p>
        </w:tc>
        <w:tc>
          <w:tcPr>
            <w:tcW w:w="7826" w:type="dxa"/>
            <w:gridSpan w:val="2"/>
          </w:tcPr>
          <w:p>
            <w:pPr>
              <w:pStyle w:val="TableParagraph"/>
              <w:spacing w:line="252" w:lineRule="exact" w:before="1"/>
              <w:ind w:left="1376" w:right="1359"/>
              <w:rPr>
                <w:sz w:val="21"/>
              </w:rPr>
            </w:pPr>
            <w:r>
              <w:rPr>
                <w:sz w:val="21"/>
              </w:rPr>
              <w:t>国家或地方污染物排放标准及其他规定商定的排放协议</w:t>
            </w:r>
          </w:p>
        </w:tc>
      </w:tr>
      <w:tr>
        <w:trPr>
          <w:trHeight w:val="270" w:hRule="atLeast"/>
        </w:trPr>
        <w:tc>
          <w:tcPr>
            <w:tcW w:w="675" w:type="dxa"/>
            <w:vMerge/>
            <w:tcBorders>
              <w:top w:val="nil"/>
            </w:tcBorders>
          </w:tcPr>
          <w:p>
            <w:pPr>
              <w:rPr>
                <w:sz w:val="2"/>
                <w:szCs w:val="2"/>
              </w:rPr>
            </w:pPr>
          </w:p>
        </w:tc>
        <w:tc>
          <w:tcPr>
            <w:tcW w:w="1702" w:type="dxa"/>
            <w:vMerge/>
            <w:tcBorders>
              <w:top w:val="nil"/>
            </w:tcBorders>
          </w:tcPr>
          <w:p>
            <w:pPr>
              <w:rPr>
                <w:sz w:val="2"/>
                <w:szCs w:val="2"/>
              </w:rPr>
            </w:pPr>
          </w:p>
        </w:tc>
        <w:tc>
          <w:tcPr>
            <w:tcW w:w="3968" w:type="dxa"/>
            <w:vMerge/>
            <w:tcBorders>
              <w:top w:val="nil"/>
            </w:tcBorders>
          </w:tcPr>
          <w:p>
            <w:pPr>
              <w:rPr>
                <w:sz w:val="2"/>
                <w:szCs w:val="2"/>
              </w:rPr>
            </w:pPr>
          </w:p>
        </w:tc>
        <w:tc>
          <w:tcPr>
            <w:tcW w:w="4537" w:type="dxa"/>
          </w:tcPr>
          <w:p>
            <w:pPr>
              <w:pStyle w:val="TableParagraph"/>
              <w:spacing w:line="250" w:lineRule="exact" w:before="1"/>
              <w:ind w:left="2037" w:right="2030"/>
              <w:rPr>
                <w:sz w:val="21"/>
              </w:rPr>
            </w:pPr>
            <w:r>
              <w:rPr>
                <w:sz w:val="21"/>
              </w:rPr>
              <w:t>名称</w:t>
            </w:r>
          </w:p>
        </w:tc>
        <w:tc>
          <w:tcPr>
            <w:tcW w:w="3289" w:type="dxa"/>
          </w:tcPr>
          <w:p>
            <w:pPr>
              <w:pStyle w:val="TableParagraph"/>
              <w:spacing w:line="250" w:lineRule="exact" w:before="1"/>
              <w:ind w:left="877" w:right="868"/>
              <w:rPr>
                <w:rFonts w:ascii="Times New Roman" w:eastAsia="Times New Roman"/>
                <w:sz w:val="21"/>
              </w:rPr>
            </w:pPr>
            <w:r>
              <w:rPr>
                <w:sz w:val="21"/>
              </w:rPr>
              <w:t>浓度限值</w:t>
            </w:r>
            <w:r>
              <w:rPr>
                <w:rFonts w:ascii="Times New Roman" w:eastAsia="Times New Roman"/>
                <w:sz w:val="21"/>
              </w:rPr>
              <w:t>/(mg/L)</w:t>
            </w:r>
          </w:p>
        </w:tc>
      </w:tr>
      <w:tr>
        <w:trPr>
          <w:trHeight w:val="280" w:hRule="atLeast"/>
        </w:trPr>
        <w:tc>
          <w:tcPr>
            <w:tcW w:w="675" w:type="dxa"/>
          </w:tcPr>
          <w:p>
            <w:pPr>
              <w:pStyle w:val="TableParagraph"/>
              <w:spacing w:line="241" w:lineRule="exact" w:before="19"/>
              <w:ind w:left="6"/>
              <w:rPr>
                <w:rFonts w:ascii="Times New Roman"/>
                <w:sz w:val="21"/>
              </w:rPr>
            </w:pPr>
            <w:r>
              <w:rPr>
                <w:rFonts w:ascii="Times New Roman"/>
                <w:w w:val="100"/>
                <w:sz w:val="21"/>
              </w:rPr>
              <w:t>1</w:t>
            </w:r>
          </w:p>
        </w:tc>
        <w:tc>
          <w:tcPr>
            <w:tcW w:w="1702" w:type="dxa"/>
            <w:vMerge w:val="restart"/>
          </w:tcPr>
          <w:p>
            <w:pPr>
              <w:pStyle w:val="TableParagraph"/>
              <w:jc w:val="left"/>
              <w:rPr>
                <w:b/>
                <w:sz w:val="22"/>
              </w:rPr>
            </w:pPr>
          </w:p>
          <w:p>
            <w:pPr>
              <w:pStyle w:val="TableParagraph"/>
              <w:jc w:val="left"/>
              <w:rPr>
                <w:b/>
                <w:sz w:val="22"/>
              </w:rPr>
            </w:pPr>
          </w:p>
          <w:p>
            <w:pPr>
              <w:pStyle w:val="TableParagraph"/>
              <w:spacing w:before="156"/>
              <w:ind w:left="11"/>
              <w:rPr>
                <w:rFonts w:ascii="Times New Roman"/>
                <w:sz w:val="21"/>
              </w:rPr>
            </w:pPr>
            <w:r>
              <w:rPr>
                <w:rFonts w:ascii="Times New Roman"/>
                <w:sz w:val="21"/>
              </w:rPr>
              <w:t>1002</w:t>
            </w:r>
          </w:p>
        </w:tc>
        <w:tc>
          <w:tcPr>
            <w:tcW w:w="3968" w:type="dxa"/>
          </w:tcPr>
          <w:p>
            <w:pPr>
              <w:pStyle w:val="TableParagraph"/>
              <w:spacing w:line="255" w:lineRule="exact" w:before="5"/>
              <w:ind w:left="254" w:right="246"/>
              <w:rPr>
                <w:sz w:val="21"/>
              </w:rPr>
            </w:pPr>
            <w:r>
              <w:rPr>
                <w:rFonts w:ascii="Times New Roman" w:eastAsia="Times New Roman"/>
                <w:sz w:val="21"/>
              </w:rPr>
              <w:t>pH </w:t>
            </w:r>
            <w:r>
              <w:rPr>
                <w:sz w:val="21"/>
              </w:rPr>
              <w:t>值</w:t>
            </w:r>
          </w:p>
        </w:tc>
        <w:tc>
          <w:tcPr>
            <w:tcW w:w="4537" w:type="dxa"/>
            <w:vMerge w:val="restart"/>
          </w:tcPr>
          <w:p>
            <w:pPr>
              <w:pStyle w:val="TableParagraph"/>
              <w:spacing w:before="150"/>
              <w:ind w:left="510"/>
              <w:jc w:val="left"/>
              <w:rPr>
                <w:sz w:val="21"/>
              </w:rPr>
            </w:pPr>
            <w:r>
              <w:rPr>
                <w:sz w:val="21"/>
              </w:rPr>
              <w:t>《污水综合排放标准》（</w:t>
            </w:r>
            <w:r>
              <w:rPr>
                <w:rFonts w:ascii="Times New Roman" w:eastAsia="Times New Roman"/>
                <w:sz w:val="21"/>
              </w:rPr>
              <w:t>GB8978-96</w:t>
            </w:r>
            <w:r>
              <w:rPr>
                <w:sz w:val="21"/>
              </w:rPr>
              <w:t>）</w:t>
            </w:r>
          </w:p>
        </w:tc>
        <w:tc>
          <w:tcPr>
            <w:tcW w:w="3289" w:type="dxa"/>
          </w:tcPr>
          <w:p>
            <w:pPr>
              <w:pStyle w:val="TableParagraph"/>
              <w:spacing w:line="231" w:lineRule="exact" w:before="29"/>
              <w:ind w:left="872" w:right="868"/>
              <w:rPr>
                <w:rFonts w:ascii="Times New Roman"/>
                <w:sz w:val="21"/>
              </w:rPr>
            </w:pPr>
            <w:r>
              <w:rPr>
                <w:rFonts w:ascii="Times New Roman"/>
                <w:sz w:val="21"/>
              </w:rPr>
              <w:t>6-9</w:t>
            </w:r>
          </w:p>
        </w:tc>
      </w:tr>
      <w:tr>
        <w:trPr>
          <w:trHeight w:val="280" w:hRule="atLeast"/>
        </w:trPr>
        <w:tc>
          <w:tcPr>
            <w:tcW w:w="675" w:type="dxa"/>
          </w:tcPr>
          <w:p>
            <w:pPr>
              <w:pStyle w:val="TableParagraph"/>
              <w:spacing w:line="241" w:lineRule="exact" w:before="19"/>
              <w:ind w:left="6"/>
              <w:rPr>
                <w:rFonts w:ascii="Times New Roman"/>
                <w:sz w:val="21"/>
              </w:rPr>
            </w:pPr>
            <w:r>
              <w:rPr>
                <w:rFonts w:ascii="Times New Roman"/>
                <w:w w:val="100"/>
                <w:sz w:val="21"/>
              </w:rPr>
              <w:t>2</w:t>
            </w:r>
          </w:p>
        </w:tc>
        <w:tc>
          <w:tcPr>
            <w:tcW w:w="1702" w:type="dxa"/>
            <w:vMerge/>
            <w:tcBorders>
              <w:top w:val="nil"/>
            </w:tcBorders>
          </w:tcPr>
          <w:p>
            <w:pPr>
              <w:rPr>
                <w:sz w:val="2"/>
                <w:szCs w:val="2"/>
              </w:rPr>
            </w:pPr>
          </w:p>
        </w:tc>
        <w:tc>
          <w:tcPr>
            <w:tcW w:w="3968" w:type="dxa"/>
          </w:tcPr>
          <w:p>
            <w:pPr>
              <w:pStyle w:val="TableParagraph"/>
              <w:spacing w:line="241" w:lineRule="exact" w:before="19"/>
              <w:ind w:left="255" w:right="246"/>
              <w:rPr>
                <w:rFonts w:ascii="Times New Roman"/>
                <w:sz w:val="21"/>
              </w:rPr>
            </w:pPr>
            <w:r>
              <w:rPr>
                <w:rFonts w:ascii="Times New Roman"/>
                <w:sz w:val="21"/>
              </w:rPr>
              <w:t>COD</w:t>
            </w:r>
          </w:p>
        </w:tc>
        <w:tc>
          <w:tcPr>
            <w:tcW w:w="4537" w:type="dxa"/>
            <w:vMerge/>
            <w:tcBorders>
              <w:top w:val="nil"/>
            </w:tcBorders>
          </w:tcPr>
          <w:p>
            <w:pPr>
              <w:rPr>
                <w:sz w:val="2"/>
                <w:szCs w:val="2"/>
              </w:rPr>
            </w:pPr>
          </w:p>
        </w:tc>
        <w:tc>
          <w:tcPr>
            <w:tcW w:w="3289" w:type="dxa"/>
          </w:tcPr>
          <w:p>
            <w:pPr>
              <w:pStyle w:val="TableParagraph"/>
              <w:spacing w:line="231" w:lineRule="exact" w:before="29"/>
              <w:ind w:left="875" w:right="868"/>
              <w:rPr>
                <w:rFonts w:ascii="Times New Roman"/>
                <w:sz w:val="21"/>
              </w:rPr>
            </w:pPr>
            <w:r>
              <w:rPr>
                <w:rFonts w:ascii="Times New Roman"/>
                <w:sz w:val="21"/>
              </w:rPr>
              <w:t>500</w:t>
            </w:r>
          </w:p>
        </w:tc>
      </w:tr>
      <w:tr>
        <w:trPr>
          <w:trHeight w:val="544" w:hRule="atLeast"/>
        </w:trPr>
        <w:tc>
          <w:tcPr>
            <w:tcW w:w="675" w:type="dxa"/>
          </w:tcPr>
          <w:p>
            <w:pPr>
              <w:pStyle w:val="TableParagraph"/>
              <w:spacing w:before="151"/>
              <w:ind w:left="6"/>
              <w:rPr>
                <w:rFonts w:ascii="Times New Roman"/>
                <w:sz w:val="21"/>
              </w:rPr>
            </w:pPr>
            <w:r>
              <w:rPr>
                <w:rFonts w:ascii="Times New Roman"/>
                <w:w w:val="100"/>
                <w:sz w:val="21"/>
              </w:rPr>
              <w:t>3</w:t>
            </w:r>
          </w:p>
        </w:tc>
        <w:tc>
          <w:tcPr>
            <w:tcW w:w="1702" w:type="dxa"/>
            <w:vMerge/>
            <w:tcBorders>
              <w:top w:val="nil"/>
            </w:tcBorders>
          </w:tcPr>
          <w:p>
            <w:pPr>
              <w:rPr>
                <w:sz w:val="2"/>
                <w:szCs w:val="2"/>
              </w:rPr>
            </w:pPr>
          </w:p>
        </w:tc>
        <w:tc>
          <w:tcPr>
            <w:tcW w:w="3968" w:type="dxa"/>
          </w:tcPr>
          <w:p>
            <w:pPr>
              <w:pStyle w:val="TableParagraph"/>
              <w:spacing w:before="138"/>
              <w:ind w:left="257" w:right="246"/>
              <w:rPr>
                <w:sz w:val="21"/>
              </w:rPr>
            </w:pPr>
            <w:r>
              <w:rPr>
                <w:sz w:val="21"/>
              </w:rPr>
              <w:t>氨氮</w:t>
            </w:r>
          </w:p>
        </w:tc>
        <w:tc>
          <w:tcPr>
            <w:tcW w:w="4537" w:type="dxa"/>
          </w:tcPr>
          <w:p>
            <w:pPr>
              <w:pStyle w:val="TableParagraph"/>
              <w:spacing w:before="1"/>
              <w:ind w:left="164"/>
              <w:jc w:val="left"/>
              <w:rPr>
                <w:sz w:val="21"/>
              </w:rPr>
            </w:pPr>
            <w:r>
              <w:rPr>
                <w:sz w:val="21"/>
              </w:rPr>
              <w:t>《工业企业废水氮、磷污染物间接排放限值》</w:t>
            </w:r>
          </w:p>
          <w:p>
            <w:pPr>
              <w:pStyle w:val="TableParagraph"/>
              <w:spacing w:line="250" w:lineRule="exact" w:before="4"/>
              <w:ind w:left="1480"/>
              <w:jc w:val="left"/>
              <w:rPr>
                <w:sz w:val="21"/>
              </w:rPr>
            </w:pPr>
            <w:r>
              <w:rPr>
                <w:sz w:val="21"/>
              </w:rPr>
              <w:t>（</w:t>
            </w:r>
            <w:r>
              <w:rPr>
                <w:rFonts w:ascii="Times New Roman" w:eastAsia="Times New Roman"/>
                <w:sz w:val="21"/>
              </w:rPr>
              <w:t>DB33/887-2013</w:t>
            </w:r>
            <w:r>
              <w:rPr>
                <w:sz w:val="21"/>
              </w:rPr>
              <w:t>）</w:t>
            </w:r>
          </w:p>
        </w:tc>
        <w:tc>
          <w:tcPr>
            <w:tcW w:w="3289" w:type="dxa"/>
          </w:tcPr>
          <w:p>
            <w:pPr>
              <w:pStyle w:val="TableParagraph"/>
              <w:spacing w:before="161"/>
              <w:ind w:left="875" w:right="868"/>
              <w:rPr>
                <w:rFonts w:ascii="Times New Roman"/>
                <w:sz w:val="21"/>
              </w:rPr>
            </w:pPr>
            <w:r>
              <w:rPr>
                <w:rFonts w:ascii="Times New Roman"/>
                <w:sz w:val="21"/>
              </w:rPr>
              <w:t>35</w:t>
            </w:r>
          </w:p>
        </w:tc>
      </w:tr>
      <w:tr>
        <w:trPr>
          <w:trHeight w:val="544" w:hRule="atLeast"/>
        </w:trPr>
        <w:tc>
          <w:tcPr>
            <w:tcW w:w="675" w:type="dxa"/>
          </w:tcPr>
          <w:p>
            <w:pPr>
              <w:pStyle w:val="TableParagraph"/>
              <w:spacing w:before="152"/>
              <w:ind w:left="6"/>
              <w:rPr>
                <w:rFonts w:ascii="Times New Roman"/>
                <w:sz w:val="21"/>
              </w:rPr>
            </w:pPr>
            <w:r>
              <w:rPr>
                <w:rFonts w:ascii="Times New Roman"/>
                <w:w w:val="100"/>
                <w:sz w:val="21"/>
              </w:rPr>
              <w:t>4</w:t>
            </w:r>
          </w:p>
        </w:tc>
        <w:tc>
          <w:tcPr>
            <w:tcW w:w="1702" w:type="dxa"/>
            <w:vMerge/>
            <w:tcBorders>
              <w:top w:val="nil"/>
            </w:tcBorders>
          </w:tcPr>
          <w:p>
            <w:pPr>
              <w:rPr>
                <w:sz w:val="2"/>
                <w:szCs w:val="2"/>
              </w:rPr>
            </w:pPr>
          </w:p>
        </w:tc>
        <w:tc>
          <w:tcPr>
            <w:tcW w:w="3968" w:type="dxa"/>
          </w:tcPr>
          <w:p>
            <w:pPr>
              <w:pStyle w:val="TableParagraph"/>
              <w:spacing w:before="148"/>
              <w:ind w:left="257" w:right="246"/>
              <w:rPr>
                <w:sz w:val="21"/>
              </w:rPr>
            </w:pPr>
            <w:r>
              <w:rPr>
                <w:sz w:val="21"/>
              </w:rPr>
              <w:t>总氮</w:t>
            </w:r>
          </w:p>
        </w:tc>
        <w:tc>
          <w:tcPr>
            <w:tcW w:w="4537" w:type="dxa"/>
          </w:tcPr>
          <w:p>
            <w:pPr>
              <w:pStyle w:val="TableParagraph"/>
              <w:spacing w:before="1"/>
              <w:ind w:left="690"/>
              <w:jc w:val="left"/>
              <w:rPr>
                <w:sz w:val="21"/>
              </w:rPr>
            </w:pPr>
            <w:r>
              <w:rPr>
                <w:sz w:val="21"/>
              </w:rPr>
              <w:t>《污水排入城镇下水道水质标准》</w:t>
            </w:r>
          </w:p>
          <w:p>
            <w:pPr>
              <w:pStyle w:val="TableParagraph"/>
              <w:spacing w:line="250" w:lineRule="exact" w:before="5"/>
              <w:ind w:left="1011"/>
              <w:jc w:val="left"/>
              <w:rPr>
                <w:sz w:val="21"/>
              </w:rPr>
            </w:pPr>
            <w:r>
              <w:rPr>
                <w:rFonts w:ascii="Times New Roman" w:eastAsia="Times New Roman"/>
                <w:sz w:val="21"/>
              </w:rPr>
              <w:t>(GB/T31962-2015)</w:t>
            </w:r>
            <w:r>
              <w:rPr>
                <w:sz w:val="21"/>
              </w:rPr>
              <w:t>中</w:t>
            </w:r>
            <w:r>
              <w:rPr>
                <w:rFonts w:ascii="Times New Roman" w:eastAsia="Times New Roman"/>
                <w:sz w:val="21"/>
              </w:rPr>
              <w:t>B </w:t>
            </w:r>
            <w:r>
              <w:rPr>
                <w:sz w:val="21"/>
              </w:rPr>
              <w:t>级标准</w:t>
            </w:r>
          </w:p>
        </w:tc>
        <w:tc>
          <w:tcPr>
            <w:tcW w:w="3289" w:type="dxa"/>
          </w:tcPr>
          <w:p>
            <w:pPr>
              <w:pStyle w:val="TableParagraph"/>
              <w:spacing w:before="162"/>
              <w:ind w:left="875" w:right="868"/>
              <w:rPr>
                <w:rFonts w:ascii="Times New Roman"/>
                <w:sz w:val="21"/>
              </w:rPr>
            </w:pPr>
            <w:r>
              <w:rPr>
                <w:rFonts w:ascii="Times New Roman"/>
                <w:sz w:val="21"/>
              </w:rPr>
              <w:t>70</w:t>
            </w:r>
          </w:p>
        </w:tc>
      </w:tr>
    </w:tbl>
    <w:p>
      <w:pPr>
        <w:tabs>
          <w:tab w:pos="1221" w:val="left" w:leader="none"/>
        </w:tabs>
        <w:spacing w:before="144" w:after="29"/>
        <w:ind w:left="0" w:right="0" w:firstLine="0"/>
        <w:jc w:val="center"/>
        <w:rPr>
          <w:b/>
          <w:sz w:val="24"/>
        </w:rPr>
      </w:pPr>
      <w:r>
        <w:rPr>
          <w:b/>
          <w:sz w:val="24"/>
        </w:rPr>
        <w:t>表</w:t>
      </w:r>
      <w:r>
        <w:rPr>
          <w:b/>
          <w:spacing w:val="-60"/>
          <w:sz w:val="24"/>
        </w:rPr>
        <w:t> </w:t>
      </w:r>
      <w:r>
        <w:rPr>
          <w:rFonts w:ascii="Times New Roman" w:eastAsia="Times New Roman"/>
          <w:b/>
          <w:sz w:val="24"/>
        </w:rPr>
        <w:t>7.2.2-4</w:t>
        <w:tab/>
      </w:r>
      <w:r>
        <w:rPr>
          <w:b/>
          <w:sz w:val="24"/>
        </w:rPr>
        <w:t>废水污染物排放信息表（改建、扩建项目）</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8"/>
        <w:gridCol w:w="1512"/>
        <w:gridCol w:w="2441"/>
        <w:gridCol w:w="1663"/>
        <w:gridCol w:w="1815"/>
        <w:gridCol w:w="1817"/>
        <w:gridCol w:w="1806"/>
        <w:gridCol w:w="1808"/>
      </w:tblGrid>
      <w:tr>
        <w:trPr>
          <w:trHeight w:val="544" w:hRule="atLeast"/>
        </w:trPr>
        <w:tc>
          <w:tcPr>
            <w:tcW w:w="1318" w:type="dxa"/>
          </w:tcPr>
          <w:p>
            <w:pPr>
              <w:pStyle w:val="TableParagraph"/>
              <w:spacing w:before="137"/>
              <w:ind w:left="430" w:right="418"/>
              <w:rPr>
                <w:sz w:val="21"/>
              </w:rPr>
            </w:pPr>
            <w:r>
              <w:rPr>
                <w:sz w:val="21"/>
              </w:rPr>
              <w:t>序号</w:t>
            </w:r>
          </w:p>
        </w:tc>
        <w:tc>
          <w:tcPr>
            <w:tcW w:w="1512" w:type="dxa"/>
          </w:tcPr>
          <w:p>
            <w:pPr>
              <w:pStyle w:val="TableParagraph"/>
              <w:spacing w:before="137"/>
              <w:ind w:left="230"/>
              <w:jc w:val="left"/>
              <w:rPr>
                <w:sz w:val="21"/>
              </w:rPr>
            </w:pPr>
            <w:r>
              <w:rPr>
                <w:sz w:val="21"/>
              </w:rPr>
              <w:t>排放口编号</w:t>
            </w:r>
          </w:p>
        </w:tc>
        <w:tc>
          <w:tcPr>
            <w:tcW w:w="2441" w:type="dxa"/>
          </w:tcPr>
          <w:p>
            <w:pPr>
              <w:pStyle w:val="TableParagraph"/>
              <w:spacing w:before="137"/>
              <w:ind w:left="675" w:right="666"/>
              <w:rPr>
                <w:sz w:val="21"/>
              </w:rPr>
            </w:pPr>
            <w:r>
              <w:rPr>
                <w:sz w:val="21"/>
              </w:rPr>
              <w:t>污染物种类</w:t>
            </w:r>
          </w:p>
        </w:tc>
        <w:tc>
          <w:tcPr>
            <w:tcW w:w="1663" w:type="dxa"/>
          </w:tcPr>
          <w:p>
            <w:pPr>
              <w:pStyle w:val="TableParagraph"/>
              <w:spacing w:before="1"/>
              <w:ind w:left="381"/>
              <w:jc w:val="left"/>
              <w:rPr>
                <w:rFonts w:ascii="Times New Roman" w:eastAsia="Times New Roman"/>
                <w:sz w:val="21"/>
              </w:rPr>
            </w:pPr>
            <w:r>
              <w:rPr>
                <w:spacing w:val="-2"/>
                <w:sz w:val="21"/>
              </w:rPr>
              <w:t>排放浓度</w:t>
            </w:r>
            <w:r>
              <w:rPr>
                <w:rFonts w:ascii="Times New Roman" w:eastAsia="Times New Roman"/>
                <w:sz w:val="21"/>
              </w:rPr>
              <w:t>/</w:t>
            </w:r>
          </w:p>
          <w:p>
            <w:pPr>
              <w:pStyle w:val="TableParagraph"/>
              <w:spacing w:line="250" w:lineRule="exact" w:before="4"/>
              <w:ind w:left="393"/>
              <w:jc w:val="left"/>
              <w:rPr>
                <w:sz w:val="21"/>
              </w:rPr>
            </w:pPr>
            <w:r>
              <w:rPr>
                <w:sz w:val="21"/>
              </w:rPr>
              <w:t>（</w:t>
            </w:r>
            <w:r>
              <w:rPr>
                <w:rFonts w:ascii="Times New Roman" w:eastAsia="Times New Roman"/>
                <w:sz w:val="21"/>
              </w:rPr>
              <w:t>mg/L</w:t>
            </w:r>
            <w:r>
              <w:rPr>
                <w:sz w:val="21"/>
              </w:rPr>
              <w:t>）</w:t>
            </w:r>
          </w:p>
        </w:tc>
        <w:tc>
          <w:tcPr>
            <w:tcW w:w="1815" w:type="dxa"/>
          </w:tcPr>
          <w:p>
            <w:pPr>
              <w:pStyle w:val="TableParagraph"/>
              <w:spacing w:before="1"/>
              <w:ind w:left="143" w:right="132"/>
              <w:rPr>
                <w:rFonts w:ascii="Times New Roman" w:eastAsia="Times New Roman"/>
                <w:sz w:val="21"/>
              </w:rPr>
            </w:pPr>
            <w:r>
              <w:rPr>
                <w:sz w:val="21"/>
              </w:rPr>
              <w:t>新增日排放量</w:t>
            </w:r>
            <w:r>
              <w:rPr>
                <w:rFonts w:ascii="Times New Roman" w:eastAsia="Times New Roman"/>
                <w:sz w:val="21"/>
              </w:rPr>
              <w:t>/</w:t>
            </w:r>
          </w:p>
          <w:p>
            <w:pPr>
              <w:pStyle w:val="TableParagraph"/>
              <w:spacing w:line="250" w:lineRule="exact" w:before="4"/>
              <w:ind w:left="143" w:right="132"/>
              <w:rPr>
                <w:sz w:val="21"/>
              </w:rPr>
            </w:pPr>
            <w:r>
              <w:rPr>
                <w:sz w:val="21"/>
              </w:rPr>
              <w:t>（</w:t>
            </w:r>
            <w:r>
              <w:rPr>
                <w:rFonts w:ascii="Times New Roman" w:eastAsia="Times New Roman"/>
                <w:sz w:val="21"/>
              </w:rPr>
              <w:t>t/d</w:t>
            </w:r>
            <w:r>
              <w:rPr>
                <w:sz w:val="21"/>
              </w:rPr>
              <w:t>）</w:t>
            </w:r>
          </w:p>
        </w:tc>
        <w:tc>
          <w:tcPr>
            <w:tcW w:w="1817" w:type="dxa"/>
          </w:tcPr>
          <w:p>
            <w:pPr>
              <w:pStyle w:val="TableParagraph"/>
              <w:spacing w:before="1"/>
              <w:ind w:left="228" w:right="220"/>
              <w:rPr>
                <w:rFonts w:ascii="Times New Roman" w:eastAsia="Times New Roman"/>
                <w:sz w:val="21"/>
              </w:rPr>
            </w:pPr>
            <w:r>
              <w:rPr>
                <w:sz w:val="21"/>
              </w:rPr>
              <w:t>全厂日排放量</w:t>
            </w:r>
            <w:r>
              <w:rPr>
                <w:rFonts w:ascii="Times New Roman" w:eastAsia="Times New Roman"/>
                <w:sz w:val="21"/>
              </w:rPr>
              <w:t>/</w:t>
            </w:r>
          </w:p>
          <w:p>
            <w:pPr>
              <w:pStyle w:val="TableParagraph"/>
              <w:spacing w:line="250" w:lineRule="exact" w:before="4"/>
              <w:ind w:left="227" w:right="220"/>
              <w:rPr>
                <w:sz w:val="21"/>
              </w:rPr>
            </w:pPr>
            <w:r>
              <w:rPr>
                <w:sz w:val="21"/>
              </w:rPr>
              <w:t>（</w:t>
            </w:r>
            <w:r>
              <w:rPr>
                <w:rFonts w:ascii="Times New Roman" w:eastAsia="Times New Roman"/>
                <w:sz w:val="21"/>
              </w:rPr>
              <w:t>t/d</w:t>
            </w:r>
            <w:r>
              <w:rPr>
                <w:sz w:val="21"/>
              </w:rPr>
              <w:t>）</w:t>
            </w:r>
          </w:p>
        </w:tc>
        <w:tc>
          <w:tcPr>
            <w:tcW w:w="1806" w:type="dxa"/>
          </w:tcPr>
          <w:p>
            <w:pPr>
              <w:pStyle w:val="TableParagraph"/>
              <w:spacing w:before="1"/>
              <w:ind w:left="226" w:right="211"/>
              <w:rPr>
                <w:rFonts w:ascii="Times New Roman" w:eastAsia="Times New Roman"/>
                <w:sz w:val="21"/>
              </w:rPr>
            </w:pPr>
            <w:r>
              <w:rPr>
                <w:sz w:val="21"/>
              </w:rPr>
              <w:t>新增年排放量</w:t>
            </w:r>
            <w:r>
              <w:rPr>
                <w:rFonts w:ascii="Times New Roman" w:eastAsia="Times New Roman"/>
                <w:sz w:val="21"/>
              </w:rPr>
              <w:t>/</w:t>
            </w:r>
          </w:p>
          <w:p>
            <w:pPr>
              <w:pStyle w:val="TableParagraph"/>
              <w:spacing w:line="250" w:lineRule="exact" w:before="4"/>
              <w:ind w:left="223" w:right="211"/>
              <w:rPr>
                <w:sz w:val="21"/>
              </w:rPr>
            </w:pPr>
            <w:r>
              <w:rPr>
                <w:sz w:val="21"/>
              </w:rPr>
              <w:t>（</w:t>
            </w:r>
            <w:r>
              <w:rPr>
                <w:rFonts w:ascii="Times New Roman" w:eastAsia="Times New Roman"/>
                <w:sz w:val="21"/>
              </w:rPr>
              <w:t>t/a</w:t>
            </w:r>
            <w:r>
              <w:rPr>
                <w:sz w:val="21"/>
              </w:rPr>
              <w:t>）</w:t>
            </w:r>
          </w:p>
        </w:tc>
        <w:tc>
          <w:tcPr>
            <w:tcW w:w="1808" w:type="dxa"/>
          </w:tcPr>
          <w:p>
            <w:pPr>
              <w:pStyle w:val="TableParagraph"/>
              <w:spacing w:before="1"/>
              <w:ind w:left="225" w:right="214"/>
              <w:rPr>
                <w:rFonts w:ascii="Times New Roman" w:eastAsia="Times New Roman"/>
                <w:sz w:val="21"/>
              </w:rPr>
            </w:pPr>
            <w:r>
              <w:rPr>
                <w:sz w:val="21"/>
              </w:rPr>
              <w:t>全厂年排放量</w:t>
            </w:r>
            <w:r>
              <w:rPr>
                <w:rFonts w:ascii="Times New Roman" w:eastAsia="Times New Roman"/>
                <w:sz w:val="21"/>
              </w:rPr>
              <w:t>/</w:t>
            </w:r>
          </w:p>
          <w:p>
            <w:pPr>
              <w:pStyle w:val="TableParagraph"/>
              <w:spacing w:line="250" w:lineRule="exact" w:before="4"/>
              <w:ind w:left="222" w:right="214"/>
              <w:rPr>
                <w:sz w:val="21"/>
              </w:rPr>
            </w:pPr>
            <w:r>
              <w:rPr>
                <w:sz w:val="21"/>
              </w:rPr>
              <w:t>（</w:t>
            </w:r>
            <w:r>
              <w:rPr>
                <w:rFonts w:ascii="Times New Roman" w:eastAsia="Times New Roman"/>
                <w:sz w:val="21"/>
              </w:rPr>
              <w:t>t/a</w:t>
            </w:r>
            <w:r>
              <w:rPr>
                <w:sz w:val="21"/>
              </w:rPr>
              <w:t>）</w:t>
            </w:r>
          </w:p>
        </w:tc>
      </w:tr>
      <w:tr>
        <w:trPr>
          <w:trHeight w:val="242" w:hRule="atLeast"/>
        </w:trPr>
        <w:tc>
          <w:tcPr>
            <w:tcW w:w="1318" w:type="dxa"/>
          </w:tcPr>
          <w:p>
            <w:pPr>
              <w:pStyle w:val="TableParagraph"/>
              <w:spacing w:line="221" w:lineRule="exact"/>
              <w:ind w:left="7"/>
              <w:rPr>
                <w:rFonts w:ascii="Times New Roman"/>
                <w:sz w:val="21"/>
              </w:rPr>
            </w:pPr>
            <w:r>
              <w:rPr>
                <w:rFonts w:ascii="Times New Roman"/>
                <w:w w:val="100"/>
                <w:sz w:val="21"/>
              </w:rPr>
              <w:t>1</w:t>
            </w:r>
          </w:p>
        </w:tc>
        <w:tc>
          <w:tcPr>
            <w:tcW w:w="1512" w:type="dxa"/>
            <w:vMerge w:val="restart"/>
          </w:tcPr>
          <w:p>
            <w:pPr>
              <w:pStyle w:val="TableParagraph"/>
              <w:jc w:val="left"/>
              <w:rPr>
                <w:b/>
                <w:sz w:val="21"/>
              </w:rPr>
            </w:pPr>
          </w:p>
          <w:p>
            <w:pPr>
              <w:pStyle w:val="TableParagraph"/>
              <w:ind w:left="177"/>
              <w:jc w:val="left"/>
              <w:rPr>
                <w:rFonts w:ascii="Times New Roman" w:eastAsia="Times New Roman"/>
                <w:sz w:val="21"/>
              </w:rPr>
            </w:pPr>
            <w:r>
              <w:rPr>
                <w:rFonts w:ascii="Times New Roman" w:eastAsia="Times New Roman"/>
                <w:sz w:val="21"/>
              </w:rPr>
              <w:t>1001 </w:t>
            </w:r>
            <w:r>
              <w:rPr>
                <w:sz w:val="21"/>
              </w:rPr>
              <w:t>及 </w:t>
            </w:r>
            <w:r>
              <w:rPr>
                <w:rFonts w:ascii="Times New Roman" w:eastAsia="Times New Roman"/>
                <w:sz w:val="21"/>
              </w:rPr>
              <w:t>1002</w:t>
            </w:r>
          </w:p>
        </w:tc>
        <w:tc>
          <w:tcPr>
            <w:tcW w:w="2441" w:type="dxa"/>
          </w:tcPr>
          <w:p>
            <w:pPr>
              <w:pStyle w:val="TableParagraph"/>
              <w:spacing w:line="221" w:lineRule="exact"/>
              <w:ind w:left="675" w:right="663"/>
              <w:rPr>
                <w:rFonts w:ascii="Times New Roman"/>
                <w:sz w:val="21"/>
              </w:rPr>
            </w:pPr>
            <w:r>
              <w:rPr>
                <w:rFonts w:ascii="Times New Roman"/>
                <w:sz w:val="21"/>
              </w:rPr>
              <w:t>CODcr</w:t>
            </w:r>
          </w:p>
        </w:tc>
        <w:tc>
          <w:tcPr>
            <w:tcW w:w="1663" w:type="dxa"/>
          </w:tcPr>
          <w:p>
            <w:pPr>
              <w:pStyle w:val="TableParagraph"/>
              <w:spacing w:line="221" w:lineRule="exact"/>
              <w:ind w:right="659"/>
              <w:jc w:val="right"/>
              <w:rPr>
                <w:rFonts w:ascii="Times New Roman"/>
                <w:sz w:val="21"/>
              </w:rPr>
            </w:pPr>
            <w:r>
              <w:rPr>
                <w:rFonts w:ascii="Times New Roman"/>
                <w:sz w:val="21"/>
              </w:rPr>
              <w:t>500</w:t>
            </w:r>
          </w:p>
        </w:tc>
        <w:tc>
          <w:tcPr>
            <w:tcW w:w="1815" w:type="dxa"/>
          </w:tcPr>
          <w:p>
            <w:pPr>
              <w:pStyle w:val="TableParagraph"/>
              <w:spacing w:line="221" w:lineRule="exact"/>
              <w:ind w:right="657"/>
              <w:jc w:val="right"/>
              <w:rPr>
                <w:rFonts w:ascii="Times New Roman"/>
                <w:sz w:val="21"/>
              </w:rPr>
            </w:pPr>
            <w:r>
              <w:rPr>
                <w:rFonts w:ascii="Times New Roman"/>
                <w:sz w:val="21"/>
              </w:rPr>
              <w:t>0.055</w:t>
            </w:r>
          </w:p>
        </w:tc>
        <w:tc>
          <w:tcPr>
            <w:tcW w:w="1817" w:type="dxa"/>
          </w:tcPr>
          <w:p>
            <w:pPr>
              <w:pStyle w:val="TableParagraph"/>
              <w:spacing w:line="221" w:lineRule="exact"/>
              <w:ind w:left="669"/>
              <w:jc w:val="left"/>
              <w:rPr>
                <w:rFonts w:ascii="Times New Roman"/>
                <w:sz w:val="21"/>
              </w:rPr>
            </w:pPr>
            <w:r>
              <w:rPr>
                <w:rFonts w:ascii="Times New Roman"/>
                <w:sz w:val="21"/>
              </w:rPr>
              <w:t>0.245</w:t>
            </w:r>
          </w:p>
        </w:tc>
        <w:tc>
          <w:tcPr>
            <w:tcW w:w="1806" w:type="dxa"/>
          </w:tcPr>
          <w:p>
            <w:pPr>
              <w:pStyle w:val="TableParagraph"/>
              <w:spacing w:line="221" w:lineRule="exact"/>
              <w:ind w:left="225" w:right="211"/>
              <w:rPr>
                <w:rFonts w:ascii="Times New Roman"/>
                <w:sz w:val="21"/>
              </w:rPr>
            </w:pPr>
            <w:r>
              <w:rPr>
                <w:rFonts w:ascii="Times New Roman"/>
                <w:sz w:val="21"/>
              </w:rPr>
              <w:t>16.5</w:t>
            </w:r>
          </w:p>
        </w:tc>
        <w:tc>
          <w:tcPr>
            <w:tcW w:w="1808" w:type="dxa"/>
          </w:tcPr>
          <w:p>
            <w:pPr>
              <w:pStyle w:val="TableParagraph"/>
              <w:spacing w:line="221" w:lineRule="exact"/>
              <w:ind w:left="719"/>
              <w:jc w:val="left"/>
              <w:rPr>
                <w:rFonts w:ascii="Times New Roman"/>
                <w:sz w:val="21"/>
              </w:rPr>
            </w:pPr>
            <w:r>
              <w:rPr>
                <w:rFonts w:ascii="Times New Roman"/>
                <w:sz w:val="21"/>
              </w:rPr>
              <w:t>73.5</w:t>
            </w:r>
          </w:p>
        </w:tc>
      </w:tr>
      <w:tr>
        <w:trPr>
          <w:trHeight w:val="273" w:hRule="atLeast"/>
        </w:trPr>
        <w:tc>
          <w:tcPr>
            <w:tcW w:w="1318" w:type="dxa"/>
          </w:tcPr>
          <w:p>
            <w:pPr>
              <w:pStyle w:val="TableParagraph"/>
              <w:spacing w:line="238" w:lineRule="exact" w:before="15"/>
              <w:ind w:left="7"/>
              <w:rPr>
                <w:rFonts w:ascii="Times New Roman"/>
                <w:sz w:val="21"/>
              </w:rPr>
            </w:pPr>
            <w:r>
              <w:rPr>
                <w:rFonts w:ascii="Times New Roman"/>
                <w:w w:val="100"/>
                <w:sz w:val="21"/>
              </w:rPr>
              <w:t>2</w:t>
            </w:r>
          </w:p>
        </w:tc>
        <w:tc>
          <w:tcPr>
            <w:tcW w:w="1512" w:type="dxa"/>
            <w:vMerge/>
            <w:tcBorders>
              <w:top w:val="nil"/>
            </w:tcBorders>
          </w:tcPr>
          <w:p>
            <w:pPr>
              <w:rPr>
                <w:sz w:val="2"/>
                <w:szCs w:val="2"/>
              </w:rPr>
            </w:pPr>
          </w:p>
        </w:tc>
        <w:tc>
          <w:tcPr>
            <w:tcW w:w="2441" w:type="dxa"/>
          </w:tcPr>
          <w:p>
            <w:pPr>
              <w:pStyle w:val="TableParagraph"/>
              <w:spacing w:line="252" w:lineRule="exact" w:before="1"/>
              <w:ind w:left="675" w:right="664"/>
              <w:rPr>
                <w:sz w:val="21"/>
              </w:rPr>
            </w:pPr>
            <w:r>
              <w:rPr>
                <w:sz w:val="21"/>
              </w:rPr>
              <w:t>氨氮</w:t>
            </w:r>
          </w:p>
        </w:tc>
        <w:tc>
          <w:tcPr>
            <w:tcW w:w="1663" w:type="dxa"/>
          </w:tcPr>
          <w:p>
            <w:pPr>
              <w:pStyle w:val="TableParagraph"/>
              <w:spacing w:line="238" w:lineRule="exact" w:before="15"/>
              <w:ind w:right="714"/>
              <w:jc w:val="right"/>
              <w:rPr>
                <w:rFonts w:ascii="Times New Roman"/>
                <w:sz w:val="21"/>
              </w:rPr>
            </w:pPr>
            <w:r>
              <w:rPr>
                <w:rFonts w:ascii="Times New Roman"/>
                <w:sz w:val="21"/>
              </w:rPr>
              <w:t>35</w:t>
            </w:r>
          </w:p>
        </w:tc>
        <w:tc>
          <w:tcPr>
            <w:tcW w:w="1815" w:type="dxa"/>
          </w:tcPr>
          <w:p>
            <w:pPr>
              <w:pStyle w:val="TableParagraph"/>
              <w:spacing w:line="238" w:lineRule="exact" w:before="15"/>
              <w:ind w:right="657"/>
              <w:jc w:val="right"/>
              <w:rPr>
                <w:rFonts w:ascii="Times New Roman"/>
                <w:sz w:val="21"/>
              </w:rPr>
            </w:pPr>
            <w:r>
              <w:rPr>
                <w:rFonts w:ascii="Times New Roman"/>
                <w:sz w:val="21"/>
              </w:rPr>
              <w:t>0.004</w:t>
            </w:r>
          </w:p>
        </w:tc>
        <w:tc>
          <w:tcPr>
            <w:tcW w:w="1817" w:type="dxa"/>
          </w:tcPr>
          <w:p>
            <w:pPr>
              <w:pStyle w:val="TableParagraph"/>
              <w:spacing w:line="238" w:lineRule="exact" w:before="15"/>
              <w:ind w:left="669"/>
              <w:jc w:val="left"/>
              <w:rPr>
                <w:rFonts w:ascii="Times New Roman"/>
                <w:sz w:val="21"/>
              </w:rPr>
            </w:pPr>
            <w:r>
              <w:rPr>
                <w:rFonts w:ascii="Times New Roman"/>
                <w:sz w:val="21"/>
              </w:rPr>
              <w:t>0.017</w:t>
            </w:r>
          </w:p>
        </w:tc>
        <w:tc>
          <w:tcPr>
            <w:tcW w:w="1806" w:type="dxa"/>
          </w:tcPr>
          <w:p>
            <w:pPr>
              <w:pStyle w:val="TableParagraph"/>
              <w:spacing w:line="238" w:lineRule="exact" w:before="15"/>
              <w:ind w:left="225" w:right="211"/>
              <w:rPr>
                <w:rFonts w:ascii="Times New Roman"/>
                <w:sz w:val="21"/>
              </w:rPr>
            </w:pPr>
            <w:r>
              <w:rPr>
                <w:rFonts w:ascii="Times New Roman"/>
                <w:sz w:val="21"/>
              </w:rPr>
              <w:t>1.155</w:t>
            </w:r>
          </w:p>
        </w:tc>
        <w:tc>
          <w:tcPr>
            <w:tcW w:w="1808" w:type="dxa"/>
          </w:tcPr>
          <w:p>
            <w:pPr>
              <w:pStyle w:val="TableParagraph"/>
              <w:spacing w:line="238" w:lineRule="exact" w:before="15"/>
              <w:ind w:left="666"/>
              <w:jc w:val="left"/>
              <w:rPr>
                <w:rFonts w:ascii="Times New Roman"/>
                <w:sz w:val="21"/>
              </w:rPr>
            </w:pPr>
            <w:r>
              <w:rPr>
                <w:rFonts w:ascii="Times New Roman"/>
                <w:sz w:val="21"/>
              </w:rPr>
              <w:t>5.145</w:t>
            </w:r>
          </w:p>
        </w:tc>
      </w:tr>
      <w:tr>
        <w:trPr>
          <w:trHeight w:val="270" w:hRule="atLeast"/>
        </w:trPr>
        <w:tc>
          <w:tcPr>
            <w:tcW w:w="1318" w:type="dxa"/>
          </w:tcPr>
          <w:p>
            <w:pPr>
              <w:pStyle w:val="TableParagraph"/>
              <w:spacing w:line="236" w:lineRule="exact" w:before="15"/>
              <w:ind w:left="7"/>
              <w:rPr>
                <w:rFonts w:ascii="Times New Roman"/>
                <w:sz w:val="21"/>
              </w:rPr>
            </w:pPr>
            <w:r>
              <w:rPr>
                <w:rFonts w:ascii="Times New Roman"/>
                <w:w w:val="100"/>
                <w:sz w:val="21"/>
              </w:rPr>
              <w:t>3</w:t>
            </w:r>
          </w:p>
        </w:tc>
        <w:tc>
          <w:tcPr>
            <w:tcW w:w="1512" w:type="dxa"/>
            <w:vMerge/>
            <w:tcBorders>
              <w:top w:val="nil"/>
            </w:tcBorders>
          </w:tcPr>
          <w:p>
            <w:pPr>
              <w:rPr>
                <w:sz w:val="2"/>
                <w:szCs w:val="2"/>
              </w:rPr>
            </w:pPr>
          </w:p>
        </w:tc>
        <w:tc>
          <w:tcPr>
            <w:tcW w:w="2441" w:type="dxa"/>
          </w:tcPr>
          <w:p>
            <w:pPr>
              <w:pStyle w:val="TableParagraph"/>
              <w:spacing w:line="250" w:lineRule="exact" w:before="1"/>
              <w:ind w:left="675" w:right="664"/>
              <w:rPr>
                <w:sz w:val="21"/>
              </w:rPr>
            </w:pPr>
            <w:r>
              <w:rPr>
                <w:sz w:val="21"/>
              </w:rPr>
              <w:t>总氮</w:t>
            </w:r>
          </w:p>
        </w:tc>
        <w:tc>
          <w:tcPr>
            <w:tcW w:w="1663" w:type="dxa"/>
          </w:tcPr>
          <w:p>
            <w:pPr>
              <w:pStyle w:val="TableParagraph"/>
              <w:spacing w:line="236" w:lineRule="exact" w:before="15"/>
              <w:ind w:right="714"/>
              <w:jc w:val="right"/>
              <w:rPr>
                <w:rFonts w:ascii="Times New Roman"/>
                <w:sz w:val="21"/>
              </w:rPr>
            </w:pPr>
            <w:r>
              <w:rPr>
                <w:rFonts w:ascii="Times New Roman"/>
                <w:sz w:val="21"/>
              </w:rPr>
              <w:t>70</w:t>
            </w:r>
          </w:p>
        </w:tc>
        <w:tc>
          <w:tcPr>
            <w:tcW w:w="1815" w:type="dxa"/>
          </w:tcPr>
          <w:p>
            <w:pPr>
              <w:pStyle w:val="TableParagraph"/>
              <w:spacing w:line="236" w:lineRule="exact" w:before="15"/>
              <w:ind w:right="657"/>
              <w:jc w:val="right"/>
              <w:rPr>
                <w:rFonts w:ascii="Times New Roman"/>
                <w:sz w:val="21"/>
              </w:rPr>
            </w:pPr>
            <w:r>
              <w:rPr>
                <w:rFonts w:ascii="Times New Roman"/>
                <w:sz w:val="21"/>
              </w:rPr>
              <w:t>0.008</w:t>
            </w:r>
          </w:p>
        </w:tc>
        <w:tc>
          <w:tcPr>
            <w:tcW w:w="1817" w:type="dxa"/>
          </w:tcPr>
          <w:p>
            <w:pPr>
              <w:pStyle w:val="TableParagraph"/>
              <w:spacing w:line="236" w:lineRule="exact" w:before="15"/>
              <w:ind w:left="669"/>
              <w:jc w:val="left"/>
              <w:rPr>
                <w:rFonts w:ascii="Times New Roman"/>
                <w:sz w:val="21"/>
              </w:rPr>
            </w:pPr>
            <w:r>
              <w:rPr>
                <w:rFonts w:ascii="Times New Roman"/>
                <w:sz w:val="21"/>
              </w:rPr>
              <w:t>0.034</w:t>
            </w:r>
          </w:p>
        </w:tc>
        <w:tc>
          <w:tcPr>
            <w:tcW w:w="1806" w:type="dxa"/>
          </w:tcPr>
          <w:p>
            <w:pPr>
              <w:pStyle w:val="TableParagraph"/>
              <w:spacing w:line="236" w:lineRule="exact" w:before="15"/>
              <w:ind w:left="225" w:right="211"/>
              <w:rPr>
                <w:rFonts w:ascii="Times New Roman"/>
                <w:sz w:val="21"/>
              </w:rPr>
            </w:pPr>
            <w:r>
              <w:rPr>
                <w:rFonts w:ascii="Times New Roman"/>
                <w:sz w:val="21"/>
              </w:rPr>
              <w:t>2.31</w:t>
            </w:r>
          </w:p>
        </w:tc>
        <w:tc>
          <w:tcPr>
            <w:tcW w:w="1808" w:type="dxa"/>
          </w:tcPr>
          <w:p>
            <w:pPr>
              <w:pStyle w:val="TableParagraph"/>
              <w:spacing w:line="236" w:lineRule="exact" w:before="15"/>
              <w:ind w:left="666"/>
              <w:jc w:val="left"/>
              <w:rPr>
                <w:rFonts w:ascii="Times New Roman"/>
                <w:sz w:val="21"/>
              </w:rPr>
            </w:pPr>
            <w:r>
              <w:rPr>
                <w:rFonts w:ascii="Times New Roman"/>
                <w:sz w:val="21"/>
              </w:rPr>
              <w:t>10.29</w:t>
            </w:r>
          </w:p>
        </w:tc>
      </w:tr>
      <w:tr>
        <w:trPr>
          <w:trHeight w:val="242" w:hRule="atLeast"/>
        </w:trPr>
        <w:tc>
          <w:tcPr>
            <w:tcW w:w="2830" w:type="dxa"/>
            <w:gridSpan w:val="2"/>
            <w:vMerge w:val="restart"/>
          </w:tcPr>
          <w:p>
            <w:pPr>
              <w:pStyle w:val="TableParagraph"/>
              <w:spacing w:before="1"/>
              <w:jc w:val="left"/>
              <w:rPr>
                <w:b/>
                <w:sz w:val="21"/>
              </w:rPr>
            </w:pPr>
          </w:p>
          <w:p>
            <w:pPr>
              <w:pStyle w:val="TableParagraph"/>
              <w:ind w:left="679"/>
              <w:jc w:val="left"/>
              <w:rPr>
                <w:sz w:val="21"/>
              </w:rPr>
            </w:pPr>
            <w:r>
              <w:rPr>
                <w:sz w:val="21"/>
              </w:rPr>
              <w:t>全厂排放口合计</w:t>
            </w:r>
          </w:p>
        </w:tc>
        <w:tc>
          <w:tcPr>
            <w:tcW w:w="7736" w:type="dxa"/>
            <w:gridSpan w:val="4"/>
          </w:tcPr>
          <w:p>
            <w:pPr>
              <w:pStyle w:val="TableParagraph"/>
              <w:spacing w:line="221" w:lineRule="exact"/>
              <w:ind w:left="3545" w:right="3533"/>
              <w:rPr>
                <w:rFonts w:ascii="Times New Roman"/>
                <w:sz w:val="21"/>
              </w:rPr>
            </w:pPr>
            <w:r>
              <w:rPr>
                <w:rFonts w:ascii="Times New Roman"/>
                <w:sz w:val="21"/>
              </w:rPr>
              <w:t>CODcr</w:t>
            </w:r>
          </w:p>
        </w:tc>
        <w:tc>
          <w:tcPr>
            <w:tcW w:w="1806" w:type="dxa"/>
          </w:tcPr>
          <w:p>
            <w:pPr>
              <w:pStyle w:val="TableParagraph"/>
              <w:spacing w:line="221" w:lineRule="exact"/>
              <w:ind w:left="225" w:right="211"/>
              <w:rPr>
                <w:rFonts w:ascii="Times New Roman"/>
                <w:sz w:val="21"/>
              </w:rPr>
            </w:pPr>
            <w:r>
              <w:rPr>
                <w:rFonts w:ascii="Times New Roman"/>
                <w:sz w:val="21"/>
              </w:rPr>
              <w:t>16.5</w:t>
            </w:r>
          </w:p>
        </w:tc>
        <w:tc>
          <w:tcPr>
            <w:tcW w:w="1808" w:type="dxa"/>
          </w:tcPr>
          <w:p>
            <w:pPr>
              <w:pStyle w:val="TableParagraph"/>
              <w:spacing w:line="221" w:lineRule="exact"/>
              <w:ind w:left="719"/>
              <w:jc w:val="left"/>
              <w:rPr>
                <w:rFonts w:ascii="Times New Roman"/>
                <w:sz w:val="21"/>
              </w:rPr>
            </w:pPr>
            <w:r>
              <w:rPr>
                <w:rFonts w:ascii="Times New Roman"/>
                <w:sz w:val="21"/>
              </w:rPr>
              <w:t>73.5</w:t>
            </w:r>
          </w:p>
        </w:tc>
      </w:tr>
      <w:tr>
        <w:trPr>
          <w:trHeight w:val="273" w:hRule="atLeast"/>
        </w:trPr>
        <w:tc>
          <w:tcPr>
            <w:tcW w:w="2830" w:type="dxa"/>
            <w:gridSpan w:val="2"/>
            <w:vMerge/>
            <w:tcBorders>
              <w:top w:val="nil"/>
            </w:tcBorders>
          </w:tcPr>
          <w:p>
            <w:pPr>
              <w:rPr>
                <w:sz w:val="2"/>
                <w:szCs w:val="2"/>
              </w:rPr>
            </w:pPr>
          </w:p>
        </w:tc>
        <w:tc>
          <w:tcPr>
            <w:tcW w:w="7736" w:type="dxa"/>
            <w:gridSpan w:val="4"/>
          </w:tcPr>
          <w:p>
            <w:pPr>
              <w:pStyle w:val="TableParagraph"/>
              <w:spacing w:line="252" w:lineRule="exact" w:before="1"/>
              <w:ind w:left="3545" w:right="3533"/>
              <w:rPr>
                <w:sz w:val="21"/>
              </w:rPr>
            </w:pPr>
            <w:r>
              <w:rPr>
                <w:sz w:val="21"/>
              </w:rPr>
              <w:t>氨氮</w:t>
            </w:r>
          </w:p>
        </w:tc>
        <w:tc>
          <w:tcPr>
            <w:tcW w:w="1806" w:type="dxa"/>
          </w:tcPr>
          <w:p>
            <w:pPr>
              <w:pStyle w:val="TableParagraph"/>
              <w:spacing w:line="238" w:lineRule="exact" w:before="15"/>
              <w:ind w:left="225" w:right="211"/>
              <w:rPr>
                <w:rFonts w:ascii="Times New Roman"/>
                <w:sz w:val="21"/>
              </w:rPr>
            </w:pPr>
            <w:r>
              <w:rPr>
                <w:rFonts w:ascii="Times New Roman"/>
                <w:sz w:val="21"/>
              </w:rPr>
              <w:t>1.155</w:t>
            </w:r>
          </w:p>
        </w:tc>
        <w:tc>
          <w:tcPr>
            <w:tcW w:w="1808" w:type="dxa"/>
          </w:tcPr>
          <w:p>
            <w:pPr>
              <w:pStyle w:val="TableParagraph"/>
              <w:spacing w:line="238" w:lineRule="exact" w:before="15"/>
              <w:ind w:left="666"/>
              <w:jc w:val="left"/>
              <w:rPr>
                <w:rFonts w:ascii="Times New Roman"/>
                <w:sz w:val="21"/>
              </w:rPr>
            </w:pPr>
            <w:r>
              <w:rPr>
                <w:rFonts w:ascii="Times New Roman"/>
                <w:sz w:val="21"/>
              </w:rPr>
              <w:t>5.145</w:t>
            </w:r>
          </w:p>
        </w:tc>
      </w:tr>
      <w:tr>
        <w:trPr>
          <w:trHeight w:val="273" w:hRule="atLeast"/>
        </w:trPr>
        <w:tc>
          <w:tcPr>
            <w:tcW w:w="2830" w:type="dxa"/>
            <w:gridSpan w:val="2"/>
            <w:vMerge/>
            <w:tcBorders>
              <w:top w:val="nil"/>
            </w:tcBorders>
          </w:tcPr>
          <w:p>
            <w:pPr>
              <w:rPr>
                <w:sz w:val="2"/>
                <w:szCs w:val="2"/>
              </w:rPr>
            </w:pPr>
          </w:p>
        </w:tc>
        <w:tc>
          <w:tcPr>
            <w:tcW w:w="7736" w:type="dxa"/>
            <w:gridSpan w:val="4"/>
          </w:tcPr>
          <w:p>
            <w:pPr>
              <w:pStyle w:val="TableParagraph"/>
              <w:spacing w:line="252" w:lineRule="exact" w:before="1"/>
              <w:ind w:left="3545" w:right="3533"/>
              <w:rPr>
                <w:sz w:val="21"/>
              </w:rPr>
            </w:pPr>
            <w:r>
              <w:rPr>
                <w:sz w:val="21"/>
              </w:rPr>
              <w:t>总氮</w:t>
            </w:r>
          </w:p>
        </w:tc>
        <w:tc>
          <w:tcPr>
            <w:tcW w:w="1806" w:type="dxa"/>
          </w:tcPr>
          <w:p>
            <w:pPr>
              <w:pStyle w:val="TableParagraph"/>
              <w:spacing w:line="238" w:lineRule="exact" w:before="15"/>
              <w:ind w:left="225" w:right="211"/>
              <w:rPr>
                <w:rFonts w:ascii="Times New Roman"/>
                <w:sz w:val="21"/>
              </w:rPr>
            </w:pPr>
            <w:r>
              <w:rPr>
                <w:rFonts w:ascii="Times New Roman"/>
                <w:sz w:val="21"/>
              </w:rPr>
              <w:t>2.31</w:t>
            </w:r>
          </w:p>
        </w:tc>
        <w:tc>
          <w:tcPr>
            <w:tcW w:w="1808" w:type="dxa"/>
          </w:tcPr>
          <w:p>
            <w:pPr>
              <w:pStyle w:val="TableParagraph"/>
              <w:spacing w:line="238" w:lineRule="exact" w:before="15"/>
              <w:ind w:left="666"/>
              <w:jc w:val="left"/>
              <w:rPr>
                <w:rFonts w:ascii="Times New Roman"/>
                <w:sz w:val="21"/>
              </w:rPr>
            </w:pPr>
            <w:r>
              <w:rPr>
                <w:rFonts w:ascii="Times New Roman"/>
                <w:sz w:val="21"/>
              </w:rPr>
              <w:t>10.29</w:t>
            </w:r>
          </w:p>
        </w:tc>
      </w:tr>
    </w:tbl>
    <w:p>
      <w:pPr>
        <w:spacing w:after="0" w:line="238" w:lineRule="exact"/>
        <w:jc w:val="left"/>
        <w:rPr>
          <w:rFonts w:ascii="Times New Roman"/>
          <w:sz w:val="21"/>
        </w:rPr>
        <w:sectPr>
          <w:pgSz w:w="16850" w:h="11910" w:orient="landscape"/>
          <w:pgMar w:header="1004" w:footer="803" w:top="1240" w:bottom="1000" w:left="1220" w:right="1220"/>
        </w:sectPr>
      </w:pPr>
    </w:p>
    <w:p>
      <w:pPr>
        <w:pStyle w:val="BodyText"/>
        <w:spacing w:before="2"/>
        <w:rPr>
          <w:b/>
          <w:sz w:val="10"/>
        </w:rPr>
      </w:pPr>
    </w:p>
    <w:p>
      <w:pPr>
        <w:pStyle w:val="ListParagraph"/>
        <w:numPr>
          <w:ilvl w:val="2"/>
          <w:numId w:val="23"/>
        </w:numPr>
        <w:tabs>
          <w:tab w:pos="999" w:val="left" w:leader="none"/>
        </w:tabs>
        <w:spacing w:line="240" w:lineRule="auto" w:before="74" w:after="0"/>
        <w:ind w:left="998" w:right="0" w:hanging="541"/>
        <w:jc w:val="left"/>
        <w:rPr>
          <w:b/>
          <w:sz w:val="24"/>
        </w:rPr>
      </w:pPr>
      <w:r>
        <w:rPr>
          <w:b/>
          <w:sz w:val="24"/>
        </w:rPr>
        <w:t>营运期地下水环境影响分析</w:t>
      </w:r>
    </w:p>
    <w:p>
      <w:pPr>
        <w:pStyle w:val="ListParagraph"/>
        <w:numPr>
          <w:ilvl w:val="3"/>
          <w:numId w:val="30"/>
        </w:numPr>
        <w:tabs>
          <w:tab w:pos="1299" w:val="left" w:leader="none"/>
        </w:tabs>
        <w:spacing w:line="240" w:lineRule="auto" w:before="159" w:after="0"/>
        <w:ind w:left="1298" w:right="0" w:hanging="721"/>
        <w:jc w:val="left"/>
        <w:rPr>
          <w:b/>
          <w:sz w:val="24"/>
        </w:rPr>
      </w:pPr>
      <w:r>
        <w:rPr>
          <w:b/>
          <w:sz w:val="24"/>
        </w:rPr>
        <w:t>地质条件</w:t>
      </w:r>
    </w:p>
    <w:p>
      <w:pPr>
        <w:pStyle w:val="BodyText"/>
        <w:spacing w:line="362" w:lineRule="auto" w:before="160"/>
        <w:ind w:left="218" w:right="172" w:firstLine="480"/>
      </w:pPr>
      <w:r>
        <w:rPr/>
        <w:t>项目所在地与厂区西侧的浙江皇马尚宜新材料有限公司（仅隔经七东路）位于同一区域，所以本报告引用该企业勘探报告的水文地质条件进行说明。</w:t>
      </w:r>
    </w:p>
    <w:p>
      <w:pPr>
        <w:pStyle w:val="Heading4"/>
        <w:spacing w:before="5"/>
      </w:pPr>
      <w:r>
        <w:rPr>
          <w:rFonts w:ascii="Times New Roman" w:eastAsia="Times New Roman"/>
        </w:rPr>
        <w:t>1</w:t>
      </w:r>
      <w:r>
        <w:rPr/>
        <w:t>、地层岩性</w:t>
      </w:r>
    </w:p>
    <w:p>
      <w:pPr>
        <w:pStyle w:val="BodyText"/>
        <w:spacing w:before="158"/>
        <w:ind w:left="698"/>
      </w:pPr>
      <w:r>
        <w:rPr/>
        <w:t>根据地基土组成及性状，在勘察深度内，场地地基土从上至下划分为以下 </w:t>
      </w:r>
      <w:r>
        <w:rPr>
          <w:rFonts w:ascii="Times New Roman" w:eastAsia="Times New Roman"/>
        </w:rPr>
        <w:t>6 </w:t>
      </w:r>
      <w:r>
        <w:rPr/>
        <w:t>个工程</w:t>
      </w:r>
    </w:p>
    <w:p>
      <w:pPr>
        <w:pStyle w:val="BodyText"/>
        <w:spacing w:before="161"/>
        <w:ind w:left="218"/>
        <w:jc w:val="both"/>
      </w:pPr>
      <w:r>
        <w:rPr/>
        <w:t>地质层组，细分 </w:t>
      </w:r>
      <w:r>
        <w:rPr>
          <w:rFonts w:ascii="Times New Roman" w:eastAsia="Times New Roman"/>
        </w:rPr>
        <w:t>15 </w:t>
      </w:r>
      <w:r>
        <w:rPr/>
        <w:t>个工程地质层：</w:t>
      </w:r>
    </w:p>
    <w:p>
      <w:pPr>
        <w:spacing w:before="159"/>
        <w:ind w:left="698" w:right="0" w:firstLine="0"/>
        <w:jc w:val="left"/>
        <w:rPr>
          <w:sz w:val="24"/>
        </w:rPr>
      </w:pPr>
      <w:r>
        <w:rPr>
          <w:position w:val="2"/>
          <w:sz w:val="24"/>
        </w:rPr>
        <w:t>①</w:t>
      </w:r>
      <w:r>
        <w:rPr>
          <w:rFonts w:ascii="Times New Roman" w:hAnsi="Times New Roman" w:eastAsia="Times New Roman"/>
          <w:position w:val="2"/>
          <w:sz w:val="24"/>
        </w:rPr>
        <w:t>-1 </w:t>
      </w:r>
      <w:r>
        <w:rPr>
          <w:position w:val="2"/>
          <w:sz w:val="24"/>
        </w:rPr>
        <w:t>层：素填土（</w:t>
      </w:r>
      <w:r>
        <w:rPr>
          <w:rFonts w:ascii="Times New Roman" w:hAnsi="Times New Roman" w:eastAsia="Times New Roman"/>
          <w:position w:val="2"/>
          <w:sz w:val="24"/>
        </w:rPr>
        <w:t>Q</w:t>
      </w:r>
      <w:r>
        <w:rPr>
          <w:rFonts w:ascii="Times New Roman" w:hAnsi="Times New Roman" w:eastAsia="Times New Roman"/>
          <w:sz w:val="16"/>
        </w:rPr>
        <w:t>4 </w:t>
      </w:r>
      <w:r>
        <w:rPr>
          <w:rFonts w:ascii="Times New Roman" w:hAnsi="Times New Roman" w:eastAsia="Times New Roman"/>
          <w:position w:val="11"/>
          <w:sz w:val="16"/>
        </w:rPr>
        <w:t>ml</w:t>
      </w:r>
      <w:r>
        <w:rPr>
          <w:position w:val="2"/>
          <w:sz w:val="24"/>
        </w:rPr>
        <w:t>）</w:t>
      </w:r>
    </w:p>
    <w:p>
      <w:pPr>
        <w:pStyle w:val="BodyText"/>
        <w:spacing w:before="159"/>
        <w:ind w:left="698"/>
      </w:pPr>
      <w:r>
        <w:rPr/>
        <w:t>灰色，松散～稍密，干燥～稍湿，主要成分以前期修建道路及近期整平场地时堆填</w:t>
      </w:r>
    </w:p>
    <w:p>
      <w:pPr>
        <w:pStyle w:val="BodyText"/>
        <w:spacing w:line="364" w:lineRule="auto" w:before="161"/>
        <w:ind w:left="218" w:right="116"/>
        <w:jc w:val="both"/>
      </w:pPr>
      <w:r>
        <w:rPr/>
        <w:t>（</w:t>
      </w:r>
      <w:r>
        <w:rPr>
          <w:spacing w:val="-13"/>
        </w:rPr>
        <w:t>堆填时间 </w:t>
      </w:r>
      <w:r>
        <w:rPr>
          <w:rFonts w:ascii="Times New Roman" w:eastAsia="Times New Roman"/>
        </w:rPr>
        <w:t>1-5 </w:t>
      </w:r>
      <w:r>
        <w:rPr/>
        <w:t>年左右）</w:t>
      </w:r>
      <w:r>
        <w:rPr>
          <w:spacing w:val="-3"/>
        </w:rPr>
        <w:t>的粉土层混粘性土及碎石、砾石，局部含少量建筑垃圾，硬质</w:t>
      </w:r>
      <w:r>
        <w:rPr>
          <w:spacing w:val="-10"/>
        </w:rPr>
        <w:t>含量约占 </w:t>
      </w:r>
      <w:r>
        <w:rPr>
          <w:rFonts w:ascii="Times New Roman" w:eastAsia="Times New Roman"/>
        </w:rPr>
        <w:t>10~20%</w:t>
      </w:r>
      <w:r>
        <w:rPr>
          <w:spacing w:val="-5"/>
        </w:rPr>
        <w:t>，一般粒径为 </w:t>
      </w:r>
      <w:r>
        <w:rPr>
          <w:rFonts w:ascii="Times New Roman" w:eastAsia="Times New Roman"/>
        </w:rPr>
        <w:t>2</w:t>
      </w:r>
      <w:r>
        <w:rPr/>
        <w:t>～</w:t>
      </w:r>
      <w:r>
        <w:rPr>
          <w:rFonts w:ascii="Times New Roman" w:eastAsia="Times New Roman"/>
        </w:rPr>
        <w:t>20mm</w:t>
      </w:r>
      <w:r>
        <w:rPr>
          <w:spacing w:val="-6"/>
        </w:rPr>
        <w:t>，大者可达 </w:t>
      </w:r>
      <w:r>
        <w:rPr>
          <w:rFonts w:ascii="Times New Roman" w:eastAsia="Times New Roman"/>
        </w:rPr>
        <w:t>80.0mm</w:t>
      </w:r>
      <w:r>
        <w:rPr/>
        <w:t>，土质均匀性较差，局部钻孔表层含有植物根系。本层分布不稳定，主要分布场地内西侧道路上及平整场地处， </w:t>
      </w:r>
      <w:r>
        <w:rPr>
          <w:spacing w:val="-33"/>
        </w:rPr>
        <w:t>在 </w:t>
      </w:r>
      <w:r>
        <w:rPr>
          <w:rFonts w:ascii="Times New Roman" w:eastAsia="Times New Roman"/>
        </w:rPr>
        <w:t>Z07</w:t>
      </w:r>
      <w:r>
        <w:rPr>
          <w:spacing w:val="-34"/>
        </w:rPr>
        <w:t>、</w:t>
      </w:r>
      <w:r>
        <w:rPr>
          <w:rFonts w:ascii="Times New Roman" w:eastAsia="Times New Roman"/>
        </w:rPr>
        <w:t>Z26</w:t>
      </w:r>
      <w:r>
        <w:rPr>
          <w:spacing w:val="-34"/>
        </w:rPr>
        <w:t>、</w:t>
      </w:r>
      <w:r>
        <w:rPr>
          <w:rFonts w:ascii="Times New Roman" w:eastAsia="Times New Roman"/>
        </w:rPr>
        <w:t>Z41</w:t>
      </w:r>
      <w:r>
        <w:rPr>
          <w:spacing w:val="-34"/>
        </w:rPr>
        <w:t>、</w:t>
      </w:r>
      <w:r>
        <w:rPr>
          <w:rFonts w:ascii="Times New Roman" w:eastAsia="Times New Roman"/>
        </w:rPr>
        <w:t>Z45</w:t>
      </w:r>
      <w:r>
        <w:rPr>
          <w:spacing w:val="-33"/>
        </w:rPr>
        <w:t>、</w:t>
      </w:r>
      <w:r>
        <w:rPr>
          <w:rFonts w:ascii="Times New Roman" w:eastAsia="Times New Roman"/>
        </w:rPr>
        <w:t>Z46</w:t>
      </w:r>
      <w:r>
        <w:rPr>
          <w:spacing w:val="-34"/>
        </w:rPr>
        <w:t>、</w:t>
      </w:r>
      <w:r>
        <w:rPr>
          <w:rFonts w:ascii="Times New Roman" w:eastAsia="Times New Roman"/>
        </w:rPr>
        <w:t>Z61</w:t>
      </w:r>
      <w:r>
        <w:rPr>
          <w:spacing w:val="-34"/>
        </w:rPr>
        <w:t>、</w:t>
      </w:r>
      <w:r>
        <w:rPr>
          <w:rFonts w:ascii="Times New Roman" w:eastAsia="Times New Roman"/>
        </w:rPr>
        <w:t>Z62</w:t>
      </w:r>
      <w:r>
        <w:rPr>
          <w:spacing w:val="-34"/>
        </w:rPr>
        <w:t>、</w:t>
      </w:r>
      <w:r>
        <w:rPr>
          <w:rFonts w:ascii="Times New Roman" w:eastAsia="Times New Roman"/>
        </w:rPr>
        <w:t>Z79</w:t>
      </w:r>
      <w:r>
        <w:rPr>
          <w:spacing w:val="-34"/>
        </w:rPr>
        <w:t>、</w:t>
      </w:r>
      <w:r>
        <w:rPr>
          <w:rFonts w:ascii="Times New Roman" w:eastAsia="Times New Roman"/>
        </w:rPr>
        <w:t>Z85</w:t>
      </w:r>
      <w:r>
        <w:rPr>
          <w:spacing w:val="-34"/>
        </w:rPr>
        <w:t>、</w:t>
      </w:r>
      <w:r>
        <w:rPr>
          <w:rFonts w:ascii="Times New Roman" w:eastAsia="Times New Roman"/>
        </w:rPr>
        <w:t>Z86</w:t>
      </w:r>
      <w:r>
        <w:rPr>
          <w:spacing w:val="-34"/>
        </w:rPr>
        <w:t>、</w:t>
      </w:r>
      <w:r>
        <w:rPr>
          <w:rFonts w:ascii="Times New Roman" w:eastAsia="Times New Roman"/>
        </w:rPr>
        <w:t>Z102</w:t>
      </w:r>
      <w:r>
        <w:rPr/>
        <w:t>～</w:t>
      </w:r>
      <w:r>
        <w:rPr>
          <w:rFonts w:ascii="Times New Roman" w:eastAsia="Times New Roman"/>
        </w:rPr>
        <w:t>Z104</w:t>
      </w:r>
      <w:r>
        <w:rPr>
          <w:spacing w:val="-34"/>
        </w:rPr>
        <w:t>、</w:t>
      </w:r>
      <w:r>
        <w:rPr>
          <w:rFonts w:ascii="Times New Roman" w:eastAsia="Times New Roman"/>
        </w:rPr>
        <w:t>Z120</w:t>
      </w:r>
      <w:r>
        <w:rPr/>
        <w:t>～</w:t>
      </w:r>
      <w:r>
        <w:rPr>
          <w:rFonts w:ascii="Times New Roman" w:eastAsia="Times New Roman"/>
        </w:rPr>
        <w:t>Z124</w:t>
      </w:r>
      <w:r>
        <w:rPr/>
        <w:t>、</w:t>
      </w:r>
    </w:p>
    <w:p>
      <w:pPr>
        <w:pStyle w:val="BodyText"/>
        <w:spacing w:line="362" w:lineRule="auto"/>
        <w:ind w:left="218" w:right="232"/>
        <w:jc w:val="both"/>
      </w:pPr>
      <w:r>
        <w:rPr>
          <w:rFonts w:ascii="Times New Roman" w:eastAsia="Times New Roman"/>
        </w:rPr>
        <w:t>Z138</w:t>
      </w:r>
      <w:r>
        <w:rPr/>
        <w:t>～</w:t>
      </w:r>
      <w:r>
        <w:rPr>
          <w:rFonts w:ascii="Times New Roman" w:eastAsia="Times New Roman"/>
        </w:rPr>
        <w:t>Z142</w:t>
      </w:r>
      <w:r>
        <w:rPr/>
        <w:t>、</w:t>
      </w:r>
      <w:r>
        <w:rPr>
          <w:rFonts w:ascii="Times New Roman" w:eastAsia="Times New Roman"/>
        </w:rPr>
        <w:t>Z156</w:t>
      </w:r>
      <w:r>
        <w:rPr/>
        <w:t>～</w:t>
      </w:r>
      <w:r>
        <w:rPr>
          <w:rFonts w:ascii="Times New Roman" w:eastAsia="Times New Roman"/>
        </w:rPr>
        <w:t>Z160</w:t>
      </w:r>
      <w:r>
        <w:rPr/>
        <w:t>、</w:t>
      </w:r>
      <w:r>
        <w:rPr>
          <w:rFonts w:ascii="Times New Roman" w:eastAsia="Times New Roman"/>
        </w:rPr>
        <w:t>Z174</w:t>
      </w:r>
      <w:r>
        <w:rPr/>
        <w:t>～</w:t>
      </w:r>
      <w:r>
        <w:rPr>
          <w:rFonts w:ascii="Times New Roman" w:eastAsia="Times New Roman"/>
        </w:rPr>
        <w:t>Z177 </w:t>
      </w:r>
      <w:r>
        <w:rPr/>
        <w:t>等孔分布，层厚为 </w:t>
      </w:r>
      <w:r>
        <w:rPr>
          <w:rFonts w:ascii="Times New Roman" w:eastAsia="Times New Roman"/>
        </w:rPr>
        <w:t>0.80</w:t>
      </w:r>
      <w:r>
        <w:rPr/>
        <w:t>～</w:t>
      </w:r>
      <w:r>
        <w:rPr>
          <w:rFonts w:ascii="Times New Roman" w:eastAsia="Times New Roman"/>
        </w:rPr>
        <w:t>9.60m</w:t>
      </w:r>
      <w:r>
        <w:rPr/>
        <w:t>，层面高程为</w:t>
      </w:r>
      <w:r>
        <w:rPr>
          <w:rFonts w:ascii="Times New Roman" w:eastAsia="Times New Roman"/>
        </w:rPr>
        <w:t>3.61m</w:t>
      </w:r>
      <w:r>
        <w:rPr/>
        <w:t>～</w:t>
      </w:r>
      <w:r>
        <w:rPr>
          <w:rFonts w:ascii="Times New Roman" w:eastAsia="Times New Roman"/>
        </w:rPr>
        <w:t>9.17m</w:t>
      </w:r>
      <w:r>
        <w:rPr/>
        <w:t>。</w:t>
      </w:r>
    </w:p>
    <w:p>
      <w:pPr>
        <w:spacing w:before="2"/>
        <w:ind w:left="698" w:right="0" w:firstLine="0"/>
        <w:jc w:val="both"/>
        <w:rPr>
          <w:sz w:val="24"/>
        </w:rPr>
      </w:pPr>
      <w:r>
        <w:rPr>
          <w:position w:val="2"/>
          <w:sz w:val="24"/>
        </w:rPr>
        <w:t>①</w:t>
      </w:r>
      <w:r>
        <w:rPr>
          <w:rFonts w:ascii="Times New Roman" w:hAnsi="Times New Roman" w:eastAsia="Times New Roman"/>
          <w:position w:val="2"/>
          <w:sz w:val="24"/>
        </w:rPr>
        <w:t>-2 </w:t>
      </w:r>
      <w:r>
        <w:rPr>
          <w:position w:val="2"/>
          <w:sz w:val="24"/>
        </w:rPr>
        <w:t>层：冲填土（</w:t>
      </w:r>
      <w:r>
        <w:rPr>
          <w:rFonts w:ascii="Times New Roman" w:hAnsi="Times New Roman" w:eastAsia="Times New Roman"/>
          <w:position w:val="2"/>
          <w:sz w:val="24"/>
        </w:rPr>
        <w:t>Q</w:t>
      </w:r>
      <w:r>
        <w:rPr>
          <w:rFonts w:ascii="Times New Roman" w:hAnsi="Times New Roman" w:eastAsia="Times New Roman"/>
          <w:sz w:val="16"/>
        </w:rPr>
        <w:t>4 </w:t>
      </w:r>
      <w:r>
        <w:rPr>
          <w:rFonts w:ascii="Times New Roman" w:hAnsi="Times New Roman" w:eastAsia="Times New Roman"/>
          <w:position w:val="11"/>
          <w:sz w:val="16"/>
        </w:rPr>
        <w:t>ml</w:t>
      </w:r>
      <w:r>
        <w:rPr>
          <w:position w:val="2"/>
          <w:sz w:val="24"/>
        </w:rPr>
        <w:t>）：</w:t>
      </w:r>
    </w:p>
    <w:p>
      <w:pPr>
        <w:pStyle w:val="BodyText"/>
        <w:spacing w:line="364" w:lineRule="auto" w:before="159"/>
        <w:ind w:left="218" w:right="232" w:firstLine="480"/>
        <w:jc w:val="both"/>
      </w:pPr>
      <w:r>
        <w:rPr>
          <w:spacing w:val="-3"/>
        </w:rPr>
        <w:t>灰色，稍湿</w:t>
      </w:r>
      <w:r>
        <w:rPr/>
        <w:t>～</w:t>
      </w:r>
      <w:r>
        <w:rPr>
          <w:spacing w:val="-7"/>
        </w:rPr>
        <w:t>饱和，松散为主，局部稍密，表层含有植物根系，本层冲填而成，摇</w:t>
      </w:r>
      <w:r>
        <w:rPr>
          <w:spacing w:val="-11"/>
        </w:rPr>
        <w:t>振反应中等，土切面无光泽，干强度、韧性中等，取原状样常规试验为粘质粉土。本层</w:t>
      </w:r>
      <w:r>
        <w:rPr/>
        <w:t>分布不稳定，在 </w:t>
      </w:r>
      <w:r>
        <w:rPr>
          <w:rFonts w:ascii="Times New Roman" w:eastAsia="Times New Roman"/>
        </w:rPr>
        <w:t>Z07</w:t>
      </w:r>
      <w:r>
        <w:rPr/>
        <w:t>、</w:t>
      </w:r>
      <w:r>
        <w:rPr>
          <w:rFonts w:ascii="Times New Roman" w:eastAsia="Times New Roman"/>
        </w:rPr>
        <w:t>Z26</w:t>
      </w:r>
      <w:r>
        <w:rPr/>
        <w:t>、</w:t>
      </w:r>
      <w:r>
        <w:rPr>
          <w:rFonts w:ascii="Times New Roman" w:eastAsia="Times New Roman"/>
        </w:rPr>
        <w:t>Z45</w:t>
      </w:r>
      <w:r>
        <w:rPr/>
        <w:t>、</w:t>
      </w:r>
      <w:r>
        <w:rPr>
          <w:rFonts w:ascii="Times New Roman" w:eastAsia="Times New Roman"/>
        </w:rPr>
        <w:t>Z46</w:t>
      </w:r>
      <w:r>
        <w:rPr/>
        <w:t>、</w:t>
      </w:r>
      <w:r>
        <w:rPr>
          <w:rFonts w:ascii="Times New Roman" w:eastAsia="Times New Roman"/>
        </w:rPr>
        <w:t>Z61</w:t>
      </w:r>
      <w:r>
        <w:rPr/>
        <w:t>、</w:t>
      </w:r>
      <w:r>
        <w:rPr>
          <w:rFonts w:ascii="Times New Roman" w:eastAsia="Times New Roman"/>
        </w:rPr>
        <w:t>Z62</w:t>
      </w:r>
      <w:r>
        <w:rPr/>
        <w:t>、</w:t>
      </w:r>
      <w:r>
        <w:rPr>
          <w:rFonts w:ascii="Times New Roman" w:eastAsia="Times New Roman"/>
        </w:rPr>
        <w:t>Z79</w:t>
      </w:r>
      <w:r>
        <w:rPr/>
        <w:t>、</w:t>
      </w:r>
      <w:r>
        <w:rPr>
          <w:rFonts w:ascii="Times New Roman" w:eastAsia="Times New Roman"/>
        </w:rPr>
        <w:t>Z85</w:t>
      </w:r>
      <w:r>
        <w:rPr/>
        <w:t>、</w:t>
      </w:r>
      <w:r>
        <w:rPr>
          <w:rFonts w:ascii="Times New Roman" w:eastAsia="Times New Roman"/>
        </w:rPr>
        <w:t>Z102</w:t>
      </w:r>
      <w:r>
        <w:rPr/>
        <w:t>、</w:t>
      </w:r>
      <w:r>
        <w:rPr>
          <w:rFonts w:ascii="Times New Roman" w:eastAsia="Times New Roman"/>
        </w:rPr>
        <w:t>Z120</w:t>
      </w:r>
      <w:r>
        <w:rPr/>
        <w:t>、</w:t>
      </w:r>
      <w:r>
        <w:rPr>
          <w:rFonts w:ascii="Times New Roman" w:eastAsia="Times New Roman"/>
        </w:rPr>
        <w:t>Z138</w:t>
      </w:r>
      <w:r>
        <w:rPr/>
        <w:t>、</w:t>
      </w:r>
      <w:r>
        <w:rPr>
          <w:rFonts w:ascii="Times New Roman" w:eastAsia="Times New Roman"/>
        </w:rPr>
        <w:t>Z156</w:t>
      </w:r>
      <w:r>
        <w:rPr/>
        <w:t>、</w:t>
      </w:r>
      <w:r>
        <w:rPr>
          <w:rFonts w:ascii="Times New Roman" w:eastAsia="Times New Roman"/>
        </w:rPr>
        <w:t>Z174 </w:t>
      </w:r>
      <w:r>
        <w:rPr>
          <w:spacing w:val="-7"/>
        </w:rPr>
        <w:t>等孔缺失。层厚为 </w:t>
      </w:r>
      <w:r>
        <w:rPr>
          <w:rFonts w:ascii="Times New Roman" w:eastAsia="Times New Roman"/>
        </w:rPr>
        <w:t>0.40</w:t>
      </w:r>
      <w:r>
        <w:rPr/>
        <w:t>～</w:t>
      </w:r>
      <w:r>
        <w:rPr>
          <w:rFonts w:ascii="Times New Roman" w:eastAsia="Times New Roman"/>
        </w:rPr>
        <w:t>2.50m</w:t>
      </w:r>
      <w:r>
        <w:rPr>
          <w:spacing w:val="-9"/>
        </w:rPr>
        <w:t>，层面高程为 </w:t>
      </w:r>
      <w:r>
        <w:rPr>
          <w:rFonts w:ascii="Times New Roman" w:eastAsia="Times New Roman"/>
        </w:rPr>
        <w:t>2.85</w:t>
      </w:r>
      <w:r>
        <w:rPr/>
        <w:t>～</w:t>
      </w:r>
      <w:r>
        <w:rPr>
          <w:rFonts w:ascii="Times New Roman" w:eastAsia="Times New Roman"/>
        </w:rPr>
        <w:t>4.59m</w:t>
      </w:r>
      <w:r>
        <w:rPr/>
        <w:t>。</w:t>
      </w:r>
    </w:p>
    <w:p>
      <w:pPr>
        <w:spacing w:line="305" w:lineRule="exact" w:before="0"/>
        <w:ind w:left="778" w:right="0" w:firstLine="0"/>
        <w:jc w:val="both"/>
        <w:rPr>
          <w:rFonts w:ascii="Times New Roman" w:hAnsi="Times New Roman" w:eastAsia="Times New Roman"/>
          <w:sz w:val="24"/>
        </w:rPr>
      </w:pPr>
      <w:r>
        <w:rPr>
          <w:position w:val="2"/>
          <w:sz w:val="24"/>
        </w:rPr>
        <w:t>②</w:t>
      </w:r>
      <w:r>
        <w:rPr>
          <w:rFonts w:ascii="Times New Roman" w:hAnsi="Times New Roman" w:eastAsia="Times New Roman"/>
          <w:position w:val="2"/>
          <w:sz w:val="24"/>
        </w:rPr>
        <w:t>-1 </w:t>
      </w:r>
      <w:r>
        <w:rPr>
          <w:position w:val="2"/>
          <w:sz w:val="24"/>
        </w:rPr>
        <w:t>层：粘质粉土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1"/>
        <w:ind w:left="218" w:right="233" w:firstLine="559"/>
      </w:pPr>
      <w:r>
        <w:rPr/>
        <w:t>灰黄色，松散，很湿，成分主要以粉粒为主，局部粘粒含量较高，相变为粘性土</w:t>
      </w:r>
      <w:r>
        <w:rPr>
          <w:spacing w:val="-7"/>
        </w:rPr>
        <w:t>及淤泥质粉质粘土，土切面较粗糙无光泽，摇震反应中等，干强度、韧性中等。属中偏</w:t>
      </w:r>
      <w:r>
        <w:rPr/>
        <w:t>高压缩性土，土质均匀较差。标准贯入试验</w:t>
      </w:r>
      <w:r>
        <w:rPr>
          <w:rFonts w:ascii="Times New Roman" w:eastAsia="Times New Roman"/>
        </w:rPr>
        <w:t>(N)</w:t>
      </w:r>
      <w:r>
        <w:rPr>
          <w:spacing w:val="-13"/>
        </w:rPr>
        <w:t>实击数为 </w:t>
      </w:r>
      <w:r>
        <w:rPr>
          <w:rFonts w:ascii="Times New Roman" w:eastAsia="Times New Roman"/>
        </w:rPr>
        <w:t>3</w:t>
      </w:r>
      <w:r>
        <w:rPr/>
        <w:t>～</w:t>
      </w:r>
      <w:r>
        <w:rPr>
          <w:rFonts w:ascii="Times New Roman" w:eastAsia="Times New Roman"/>
        </w:rPr>
        <w:t>8 </w:t>
      </w:r>
      <w:r>
        <w:rPr/>
        <w:t>击</w:t>
      </w:r>
      <w:r>
        <w:rPr>
          <w:rFonts w:ascii="Times New Roman" w:eastAsia="Times New Roman"/>
        </w:rPr>
        <w:t>/30cm</w:t>
      </w:r>
      <w:r>
        <w:rPr/>
        <w:t>。该层分布不稳</w:t>
      </w:r>
      <w:r>
        <w:rPr>
          <w:spacing w:val="-6"/>
        </w:rPr>
        <w:t>定，本层分布不稳定，在 </w:t>
      </w:r>
      <w:r>
        <w:rPr>
          <w:rFonts w:ascii="Times New Roman" w:eastAsia="Times New Roman"/>
        </w:rPr>
        <w:t>Z07</w:t>
      </w:r>
      <w:r>
        <w:rPr/>
        <w:t>、</w:t>
      </w:r>
      <w:r>
        <w:rPr>
          <w:rFonts w:ascii="Times New Roman" w:eastAsia="Times New Roman"/>
        </w:rPr>
        <w:t>Z26</w:t>
      </w:r>
      <w:r>
        <w:rPr/>
        <w:t>、</w:t>
      </w:r>
      <w:r>
        <w:rPr>
          <w:rFonts w:ascii="Times New Roman" w:eastAsia="Times New Roman"/>
        </w:rPr>
        <w:t>Z46</w:t>
      </w:r>
      <w:r>
        <w:rPr/>
        <w:t>、</w:t>
      </w:r>
      <w:r>
        <w:rPr>
          <w:rFonts w:ascii="Times New Roman" w:eastAsia="Times New Roman"/>
        </w:rPr>
        <w:t>Z62 </w:t>
      </w:r>
      <w:r>
        <w:rPr>
          <w:spacing w:val="-7"/>
        </w:rPr>
        <w:t>等孔缺失。层面高程 </w:t>
      </w:r>
      <w:r>
        <w:rPr>
          <w:rFonts w:ascii="Times New Roman" w:eastAsia="Times New Roman"/>
        </w:rPr>
        <w:t>0.97</w:t>
      </w:r>
      <w:r>
        <w:rPr/>
        <w:t>～</w:t>
      </w:r>
      <w:r>
        <w:rPr>
          <w:rFonts w:ascii="Times New Roman" w:eastAsia="Times New Roman"/>
        </w:rPr>
        <w:t>5.36m</w:t>
      </w:r>
      <w:r>
        <w:rPr/>
        <w:t>，层</w:t>
      </w:r>
      <w:r>
        <w:rPr>
          <w:spacing w:val="-31"/>
        </w:rPr>
        <w:t>厚 </w:t>
      </w:r>
      <w:r>
        <w:rPr>
          <w:rFonts w:ascii="Times New Roman" w:eastAsia="Times New Roman"/>
        </w:rPr>
        <w:t>0.70</w:t>
      </w:r>
      <w:r>
        <w:rPr/>
        <w:t>～</w:t>
      </w:r>
      <w:r>
        <w:rPr>
          <w:rFonts w:ascii="Times New Roman" w:eastAsia="Times New Roman"/>
        </w:rPr>
        <w:t>5.70m</w:t>
      </w:r>
      <w:r>
        <w:rPr/>
        <w:t>。</w:t>
      </w:r>
    </w:p>
    <w:p>
      <w:pPr>
        <w:spacing w:line="305" w:lineRule="exact" w:before="0"/>
        <w:ind w:left="778" w:right="0" w:firstLine="0"/>
        <w:jc w:val="both"/>
        <w:rPr>
          <w:rFonts w:ascii="Times New Roman" w:hAnsi="Times New Roman" w:eastAsia="Times New Roman"/>
          <w:sz w:val="24"/>
        </w:rPr>
      </w:pPr>
      <w:r>
        <w:rPr>
          <w:position w:val="2"/>
          <w:sz w:val="24"/>
        </w:rPr>
        <w:t>②</w:t>
      </w:r>
      <w:r>
        <w:rPr>
          <w:rFonts w:ascii="Times New Roman" w:hAnsi="Times New Roman" w:eastAsia="Times New Roman"/>
          <w:position w:val="2"/>
          <w:sz w:val="24"/>
        </w:rPr>
        <w:t>-2 </w:t>
      </w:r>
      <w:r>
        <w:rPr>
          <w:position w:val="2"/>
          <w:sz w:val="24"/>
        </w:rPr>
        <w:t>层：粘质粉土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59"/>
        <w:ind w:left="218" w:right="109" w:firstLine="559"/>
      </w:pPr>
      <w:r>
        <w:rPr/>
        <w:t>灰色，松散为主，局部稍密，很湿，成分主要以粉粒为主，局部砂粒含量偏高， </w:t>
      </w:r>
      <w:r>
        <w:rPr>
          <w:spacing w:val="-11"/>
        </w:rPr>
        <w:t>土切面较粗糙无光泽，摇震反应中等，干强度、韧性中等。属中压缩性土，土质较均匀。</w:t>
      </w:r>
      <w:r>
        <w:rPr/>
        <w:t>标准贯入试验</w:t>
      </w:r>
      <w:r>
        <w:rPr>
          <w:rFonts w:ascii="Times New Roman" w:eastAsia="Times New Roman"/>
        </w:rPr>
        <w:t>(N)</w:t>
      </w:r>
      <w:r>
        <w:rPr>
          <w:spacing w:val="-13"/>
        </w:rPr>
        <w:t>实击数为 </w:t>
      </w:r>
      <w:r>
        <w:rPr>
          <w:rFonts w:ascii="Times New Roman" w:eastAsia="Times New Roman"/>
        </w:rPr>
        <w:t>5</w:t>
      </w:r>
      <w:r>
        <w:rPr/>
        <w:t>～</w:t>
      </w:r>
      <w:r>
        <w:rPr>
          <w:rFonts w:ascii="Times New Roman" w:eastAsia="Times New Roman"/>
        </w:rPr>
        <w:t>10</w:t>
      </w:r>
      <w:r>
        <w:rPr>
          <w:rFonts w:ascii="Times New Roman" w:eastAsia="Times New Roman"/>
          <w:spacing w:val="-3"/>
        </w:rPr>
        <w:t> </w:t>
      </w:r>
      <w:r>
        <w:rPr/>
        <w:t>击</w:t>
      </w:r>
      <w:r>
        <w:rPr>
          <w:rFonts w:ascii="Times New Roman" w:eastAsia="Times New Roman"/>
        </w:rPr>
        <w:t>/30cm</w:t>
      </w:r>
      <w:r>
        <w:rPr>
          <w:spacing w:val="-8"/>
        </w:rPr>
        <w:t>。该层分布不稳定，在 </w:t>
      </w:r>
      <w:r>
        <w:rPr>
          <w:rFonts w:ascii="Times New Roman" w:eastAsia="Times New Roman"/>
        </w:rPr>
        <w:t>J63</w:t>
      </w:r>
      <w:r>
        <w:rPr>
          <w:spacing w:val="-3"/>
        </w:rPr>
        <w:t>、</w:t>
      </w:r>
      <w:r>
        <w:rPr>
          <w:rFonts w:ascii="Times New Roman" w:eastAsia="Times New Roman"/>
        </w:rPr>
        <w:t>Z07</w:t>
      </w:r>
      <w:r>
        <w:rPr/>
        <w:t>、</w:t>
      </w:r>
      <w:r>
        <w:rPr>
          <w:rFonts w:ascii="Times New Roman" w:eastAsia="Times New Roman"/>
        </w:rPr>
        <w:t>Z26</w:t>
      </w:r>
      <w:r>
        <w:rPr>
          <w:spacing w:val="-3"/>
        </w:rPr>
        <w:t>、</w:t>
      </w:r>
      <w:r>
        <w:rPr>
          <w:rFonts w:ascii="Times New Roman" w:eastAsia="Times New Roman"/>
        </w:rPr>
        <w:t>Z46</w:t>
      </w:r>
      <w:r>
        <w:rPr/>
        <w:t>、</w:t>
      </w:r>
    </w:p>
    <w:p>
      <w:pPr>
        <w:spacing w:after="0" w:line="364" w:lineRule="auto"/>
        <w:sectPr>
          <w:headerReference w:type="default" r:id="rId119"/>
          <w:footerReference w:type="default" r:id="rId120"/>
          <w:pgSz w:w="11910" w:h="16840"/>
          <w:pgMar w:header="872" w:footer="803" w:top="1320" w:bottom="1000" w:left="1200" w:right="1180"/>
          <w:pgNumType w:start="171"/>
        </w:sectPr>
      </w:pPr>
    </w:p>
    <w:p>
      <w:pPr>
        <w:pStyle w:val="BodyText"/>
        <w:spacing w:before="84"/>
        <w:ind w:left="218"/>
      </w:pPr>
      <w:r>
        <w:rPr>
          <w:rFonts w:ascii="Times New Roman" w:eastAsia="Times New Roman"/>
        </w:rPr>
        <w:t>Z62 </w:t>
      </w:r>
      <w:r>
        <w:rPr/>
        <w:t>等孔缺失。层面高程</w:t>
      </w:r>
      <w:r>
        <w:rPr>
          <w:rFonts w:ascii="Times New Roman" w:eastAsia="Times New Roman"/>
        </w:rPr>
        <w:t>-3.42</w:t>
      </w:r>
      <w:r>
        <w:rPr/>
        <w:t>～</w:t>
      </w:r>
      <w:r>
        <w:rPr>
          <w:rFonts w:ascii="Times New Roman" w:eastAsia="Times New Roman"/>
        </w:rPr>
        <w:t>2.15m</w:t>
      </w:r>
      <w:r>
        <w:rPr/>
        <w:t>，层厚 </w:t>
      </w:r>
      <w:r>
        <w:rPr>
          <w:rFonts w:ascii="Times New Roman" w:eastAsia="Times New Roman"/>
        </w:rPr>
        <w:t>0.80</w:t>
      </w:r>
      <w:r>
        <w:rPr/>
        <w:t>～</w:t>
      </w:r>
      <w:r>
        <w:rPr>
          <w:rFonts w:ascii="Times New Roman" w:eastAsia="Times New Roman"/>
        </w:rPr>
        <w:t>6.20m</w:t>
      </w:r>
      <w:r>
        <w:rPr/>
        <w:t>。</w:t>
      </w:r>
    </w:p>
    <w:p>
      <w:pPr>
        <w:spacing w:before="158"/>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-3 </w:t>
      </w:r>
      <w:r>
        <w:rPr>
          <w:position w:val="2"/>
          <w:sz w:val="24"/>
        </w:rPr>
        <w:t>层：粘质粉土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1"/>
        <w:ind w:left="218" w:right="113" w:firstLine="559"/>
      </w:pPr>
      <w:r>
        <w:rPr>
          <w:spacing w:val="-4"/>
        </w:rPr>
        <w:t>灰色，松散，很湿，成分主要以粉粒为主，局部砂粒含量较高，相变为砂质粉土， </w:t>
      </w:r>
      <w:r>
        <w:rPr>
          <w:spacing w:val="-11"/>
        </w:rPr>
        <w:t>土切面较粗糙无光泽，摇震反应中等，干强度、韧性中等。属中压缩性土，土质较均匀。</w:t>
      </w:r>
      <w:r>
        <w:rPr/>
        <w:t>标准贯入试验</w:t>
      </w:r>
      <w:r>
        <w:rPr>
          <w:rFonts w:ascii="Times New Roman" w:hAnsi="Times New Roman" w:eastAsia="Times New Roman"/>
        </w:rPr>
        <w:t>(N)</w:t>
      </w:r>
      <w:r>
        <w:rPr>
          <w:spacing w:val="-13"/>
        </w:rPr>
        <w:t>实击数为 </w:t>
      </w:r>
      <w:r>
        <w:rPr>
          <w:rFonts w:ascii="Times New Roman" w:hAnsi="Times New Roman" w:eastAsia="Times New Roman"/>
        </w:rPr>
        <w:t>3</w:t>
      </w:r>
      <w:r>
        <w:rPr/>
        <w:t>～</w:t>
      </w:r>
      <w:r>
        <w:rPr>
          <w:rFonts w:ascii="Times New Roman" w:hAnsi="Times New Roman" w:eastAsia="Times New Roman"/>
        </w:rPr>
        <w:t>9 </w:t>
      </w:r>
      <w:r>
        <w:rPr/>
        <w:t>击</w:t>
      </w:r>
      <w:r>
        <w:rPr>
          <w:rFonts w:ascii="Times New Roman" w:hAnsi="Times New Roman" w:eastAsia="Times New Roman"/>
        </w:rPr>
        <w:t>/30cm</w:t>
      </w:r>
      <w:r>
        <w:rPr/>
        <w:t>。该层分布稳定。层面高程</w:t>
      </w:r>
      <w:r>
        <w:rPr>
          <w:rFonts w:ascii="Times New Roman" w:hAnsi="Times New Roman" w:eastAsia="Times New Roman"/>
        </w:rPr>
        <w:t>—5.99</w:t>
      </w:r>
      <w:r>
        <w:rPr/>
        <w:t>～</w:t>
      </w:r>
      <w:r>
        <w:rPr>
          <w:rFonts w:ascii="Times New Roman" w:hAnsi="Times New Roman" w:eastAsia="Times New Roman"/>
        </w:rPr>
        <w:t>0.45m</w:t>
      </w:r>
      <w:r>
        <w:rPr/>
        <w:t>，层</w:t>
      </w:r>
      <w:r>
        <w:rPr>
          <w:spacing w:val="-31"/>
        </w:rPr>
        <w:t>厚 </w:t>
      </w:r>
      <w:r>
        <w:rPr>
          <w:rFonts w:ascii="Times New Roman" w:hAnsi="Times New Roman" w:eastAsia="Times New Roman"/>
        </w:rPr>
        <w:t>1.20</w:t>
      </w:r>
      <w:r>
        <w:rPr/>
        <w:t>～</w:t>
      </w:r>
      <w:r>
        <w:rPr>
          <w:rFonts w:ascii="Times New Roman" w:hAnsi="Times New Roman" w:eastAsia="Times New Roman"/>
        </w:rPr>
        <w:t>10.00m</w:t>
      </w:r>
      <w:r>
        <w:rPr/>
        <w:t>。</w:t>
      </w:r>
    </w:p>
    <w:p>
      <w:pPr>
        <w:spacing w:line="304" w:lineRule="exact" w:before="0"/>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-4 </w:t>
      </w:r>
      <w:r>
        <w:rPr>
          <w:position w:val="2"/>
          <w:sz w:val="24"/>
        </w:rPr>
        <w:t>层：砂质粉土夹粘质粉土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1"/>
        <w:ind w:left="218" w:right="112" w:firstLine="559"/>
      </w:pPr>
      <w:r>
        <w:rPr>
          <w:spacing w:val="-4"/>
        </w:rPr>
        <w:t>灰色，稍密</w:t>
      </w:r>
      <w:r>
        <w:rPr>
          <w:rFonts w:ascii="Times New Roman" w:eastAsia="Times New Roman"/>
        </w:rPr>
        <w:t>-</w:t>
      </w:r>
      <w:r>
        <w:rPr>
          <w:spacing w:val="-9"/>
        </w:rPr>
        <w:t>中密，湿，局部粘粒含量较高，相变为粘质粉土，土切面粗糙无光泽， </w:t>
      </w:r>
      <w:r>
        <w:rPr>
          <w:spacing w:val="-12"/>
        </w:rPr>
        <w:t>摇震反应迅速，干强度、韧性中等。属中偏低压缩性土，土质较均匀。标准贯入试验</w:t>
      </w:r>
      <w:r>
        <w:rPr>
          <w:rFonts w:ascii="Times New Roman" w:eastAsia="Times New Roman"/>
        </w:rPr>
        <w:t>(N) </w:t>
      </w:r>
      <w:r>
        <w:rPr>
          <w:spacing w:val="-13"/>
        </w:rPr>
        <w:t>实击数为 </w:t>
      </w:r>
      <w:r>
        <w:rPr>
          <w:rFonts w:ascii="Times New Roman" w:eastAsia="Times New Roman"/>
        </w:rPr>
        <w:t>11</w:t>
      </w:r>
      <w:r>
        <w:rPr/>
        <w:t>～</w:t>
      </w:r>
      <w:r>
        <w:rPr>
          <w:rFonts w:ascii="Times New Roman" w:eastAsia="Times New Roman"/>
        </w:rPr>
        <w:t>18 </w:t>
      </w:r>
      <w:r>
        <w:rPr/>
        <w:t>击</w:t>
      </w:r>
      <w:r>
        <w:rPr>
          <w:rFonts w:ascii="Times New Roman" w:eastAsia="Times New Roman"/>
        </w:rPr>
        <w:t>/30cm</w:t>
      </w:r>
      <w:r>
        <w:rPr>
          <w:spacing w:val="-10"/>
        </w:rPr>
        <w:t>。该层分布稳定。层面高程</w:t>
      </w:r>
      <w:r>
        <w:rPr>
          <w:rFonts w:ascii="Times New Roman" w:eastAsia="Times New Roman"/>
          <w:spacing w:val="-5"/>
        </w:rPr>
        <w:t>-11.73</w:t>
      </w:r>
      <w:r>
        <w:rPr>
          <w:spacing w:val="-5"/>
        </w:rPr>
        <w:t>～</w:t>
      </w:r>
      <w:r>
        <w:rPr>
          <w:rFonts w:ascii="Times New Roman" w:eastAsia="Times New Roman"/>
          <w:spacing w:val="-5"/>
        </w:rPr>
        <w:t>-3.63m</w:t>
      </w:r>
      <w:r>
        <w:rPr>
          <w:spacing w:val="-17"/>
        </w:rPr>
        <w:t>，层厚 </w:t>
      </w:r>
      <w:r>
        <w:rPr>
          <w:rFonts w:ascii="Times New Roman" w:eastAsia="Times New Roman"/>
        </w:rPr>
        <w:t>1.10</w:t>
      </w:r>
      <w:r>
        <w:rPr/>
        <w:t>～</w:t>
      </w:r>
      <w:r>
        <w:rPr>
          <w:rFonts w:ascii="Times New Roman" w:eastAsia="Times New Roman"/>
        </w:rPr>
        <w:t>8.60m</w:t>
      </w:r>
      <w:r>
        <w:rPr>
          <w:spacing w:val="-12"/>
        </w:rPr>
        <w:t>。</w:t>
      </w:r>
    </w:p>
    <w:p>
      <w:pPr>
        <w:spacing w:line="304" w:lineRule="exact" w:before="0"/>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-5 </w:t>
      </w:r>
      <w:r>
        <w:rPr>
          <w:position w:val="2"/>
          <w:sz w:val="24"/>
        </w:rPr>
        <w:t>层：砂质粉土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2"/>
        <w:ind w:left="218" w:right="114" w:firstLine="559"/>
      </w:pPr>
      <w:r>
        <w:rPr/>
        <w:t>灰色，中密为主，局部稍密及密实，湿，局部粘粒含量较高，相变为粘质粉土， </w:t>
      </w:r>
      <w:r>
        <w:rPr>
          <w:spacing w:val="-6"/>
        </w:rPr>
        <w:t>土切面粗糙无光泽，摇震反应迅速，干强度、韧性中等。属中偏低压缩性土，土质较均</w:t>
      </w:r>
      <w:r>
        <w:rPr>
          <w:spacing w:val="-17"/>
        </w:rPr>
        <w:t>匀。标准贯入试验</w:t>
      </w:r>
      <w:r>
        <w:rPr>
          <w:rFonts w:ascii="Times New Roman" w:eastAsia="Times New Roman"/>
        </w:rPr>
        <w:t>(N)</w:t>
      </w:r>
      <w:r>
        <w:rPr>
          <w:spacing w:val="-15"/>
        </w:rPr>
        <w:t>实击数为 </w:t>
      </w:r>
      <w:r>
        <w:rPr>
          <w:rFonts w:ascii="Times New Roman" w:eastAsia="Times New Roman"/>
        </w:rPr>
        <w:t>15</w:t>
      </w:r>
      <w:r>
        <w:rPr/>
        <w:t>～</w:t>
      </w:r>
      <w:r>
        <w:rPr>
          <w:rFonts w:ascii="Times New Roman" w:eastAsia="Times New Roman"/>
        </w:rPr>
        <w:t>26</w:t>
      </w:r>
      <w:r>
        <w:rPr>
          <w:rFonts w:ascii="Times New Roman" w:eastAsia="Times New Roman"/>
          <w:spacing w:val="-12"/>
        </w:rPr>
        <w:t> </w:t>
      </w:r>
      <w:r>
        <w:rPr/>
        <w:t>击</w:t>
      </w:r>
      <w:r>
        <w:rPr>
          <w:rFonts w:ascii="Times New Roman" w:eastAsia="Times New Roman"/>
        </w:rPr>
        <w:t>/30cm</w:t>
      </w:r>
      <w:r>
        <w:rPr>
          <w:spacing w:val="-22"/>
        </w:rPr>
        <w:t>。该层分布稳定。层面高程</w:t>
      </w:r>
      <w:r>
        <w:rPr>
          <w:rFonts w:ascii="Times New Roman" w:eastAsia="Times New Roman"/>
        </w:rPr>
        <w:t>-17.31</w:t>
      </w:r>
      <w:r>
        <w:rPr/>
        <w:t>～</w:t>
      </w:r>
      <w:r>
        <w:rPr>
          <w:rFonts w:ascii="Times New Roman" w:eastAsia="Times New Roman"/>
        </w:rPr>
        <w:t>-9.15m</w:t>
      </w:r>
      <w:r>
        <w:rPr/>
        <w:t>， </w:t>
      </w:r>
      <w:r>
        <w:rPr>
          <w:spacing w:val="-21"/>
        </w:rPr>
        <w:t>层厚 </w:t>
      </w:r>
      <w:r>
        <w:rPr>
          <w:rFonts w:ascii="Times New Roman" w:eastAsia="Times New Roman"/>
        </w:rPr>
        <w:t>0.70</w:t>
      </w:r>
      <w:r>
        <w:rPr/>
        <w:t>～</w:t>
      </w:r>
      <w:r>
        <w:rPr>
          <w:rFonts w:ascii="Times New Roman" w:eastAsia="Times New Roman"/>
        </w:rPr>
        <w:t>10.60m</w:t>
      </w:r>
      <w:r>
        <w:rPr/>
        <w:t>。</w:t>
      </w:r>
    </w:p>
    <w:p>
      <w:pPr>
        <w:spacing w:line="304" w:lineRule="exact" w:before="0"/>
        <w:ind w:left="698" w:right="0" w:firstLine="0"/>
        <w:jc w:val="left"/>
        <w:rPr>
          <w:sz w:val="24"/>
        </w:rPr>
      </w:pPr>
      <w:r>
        <w:rPr>
          <w:position w:val="2"/>
          <w:sz w:val="24"/>
        </w:rPr>
        <w:t>②夹层：块石（</w:t>
      </w:r>
      <w:r>
        <w:rPr>
          <w:rFonts w:ascii="Times New Roman" w:hAnsi="Times New Roman" w:eastAsia="Times New Roman"/>
          <w:position w:val="2"/>
          <w:sz w:val="24"/>
        </w:rPr>
        <w:t>Q</w:t>
      </w:r>
      <w:r>
        <w:rPr>
          <w:rFonts w:ascii="Times New Roman" w:hAnsi="Times New Roman" w:eastAsia="Times New Roman"/>
          <w:sz w:val="16"/>
        </w:rPr>
        <w:t>4 </w:t>
      </w:r>
      <w:r>
        <w:rPr>
          <w:rFonts w:ascii="Times New Roman" w:hAnsi="Times New Roman" w:eastAsia="Times New Roman"/>
          <w:position w:val="11"/>
          <w:sz w:val="16"/>
        </w:rPr>
        <w:t>ml</w:t>
      </w:r>
      <w:r>
        <w:rPr>
          <w:position w:val="2"/>
          <w:sz w:val="24"/>
        </w:rPr>
        <w:t>）</w:t>
      </w:r>
    </w:p>
    <w:p>
      <w:pPr>
        <w:pStyle w:val="BodyText"/>
        <w:spacing w:line="364" w:lineRule="auto" w:before="159"/>
        <w:ind w:left="218" w:right="112" w:firstLine="559"/>
      </w:pPr>
      <w:r>
        <w:rPr>
          <w:spacing w:val="3"/>
        </w:rPr>
        <w:t>青灰色、灰褐色， 稍密， 饱和， 主要由围海时的抛石， 成分为块石及碎</w:t>
      </w:r>
      <w:r>
        <w:rPr>
          <w:spacing w:val="10"/>
        </w:rPr>
        <w:t>石、砾石， 硬质含量约占 </w:t>
      </w:r>
      <w:r>
        <w:rPr>
          <w:rFonts w:ascii="Times New Roman" w:eastAsia="Times New Roman"/>
          <w:spacing w:val="15"/>
        </w:rPr>
        <w:t>85%</w:t>
      </w:r>
      <w:r>
        <w:rPr>
          <w:spacing w:val="6"/>
        </w:rPr>
        <w:t>左右， 一般块径为 </w:t>
      </w:r>
      <w:r>
        <w:rPr>
          <w:rFonts w:ascii="Times New Roman" w:eastAsia="Times New Roman"/>
          <w:spacing w:val="12"/>
        </w:rPr>
        <w:t>20.0</w:t>
      </w:r>
      <w:r>
        <w:rPr>
          <w:spacing w:val="12"/>
        </w:rPr>
        <w:t>～</w:t>
      </w:r>
      <w:r>
        <w:rPr>
          <w:spacing w:val="-88"/>
        </w:rPr>
        <w:t> </w:t>
      </w:r>
      <w:r>
        <w:rPr>
          <w:rFonts w:ascii="Times New Roman" w:eastAsia="Times New Roman"/>
          <w:spacing w:val="13"/>
        </w:rPr>
        <w:t>60.0cm</w:t>
      </w:r>
      <w:r>
        <w:rPr>
          <w:spacing w:val="6"/>
        </w:rPr>
        <w:t>， 以粉土层充</w:t>
      </w:r>
      <w:r>
        <w:rPr>
          <w:spacing w:val="17"/>
        </w:rPr>
        <w:t>填，土质均匀性较差。本层主要分布于场地西南角，在 </w:t>
      </w:r>
      <w:r>
        <w:rPr>
          <w:rFonts w:ascii="Times New Roman" w:eastAsia="Times New Roman"/>
        </w:rPr>
        <w:t>J151</w:t>
      </w:r>
      <w:r>
        <w:rPr>
          <w:spacing w:val="-15"/>
        </w:rPr>
        <w:t>、</w:t>
      </w:r>
      <w:r>
        <w:rPr>
          <w:rFonts w:ascii="Times New Roman" w:eastAsia="Times New Roman"/>
        </w:rPr>
        <w:t>J153</w:t>
      </w:r>
      <w:r>
        <w:rPr>
          <w:spacing w:val="-15"/>
        </w:rPr>
        <w:t>、</w:t>
      </w:r>
      <w:r>
        <w:rPr>
          <w:rFonts w:ascii="Times New Roman" w:eastAsia="Times New Roman"/>
        </w:rPr>
        <w:t>J155</w:t>
      </w:r>
      <w:r>
        <w:rPr>
          <w:spacing w:val="-15"/>
        </w:rPr>
        <w:t>、</w:t>
      </w:r>
      <w:r>
        <w:rPr>
          <w:rFonts w:ascii="Times New Roman" w:eastAsia="Times New Roman"/>
        </w:rPr>
        <w:t>J170</w:t>
      </w:r>
      <w:r>
        <w:rPr/>
        <w:t>、</w:t>
      </w:r>
      <w:r>
        <w:rPr>
          <w:rFonts w:ascii="Times New Roman" w:eastAsia="Times New Roman"/>
        </w:rPr>
        <w:t>J171</w:t>
      </w:r>
      <w:r>
        <w:rPr/>
        <w:t>、</w:t>
      </w:r>
      <w:r>
        <w:rPr>
          <w:rFonts w:ascii="Times New Roman" w:eastAsia="Times New Roman"/>
        </w:rPr>
        <w:t>J172</w:t>
      </w:r>
      <w:r>
        <w:rPr/>
        <w:t>、</w:t>
      </w:r>
      <w:r>
        <w:rPr>
          <w:rFonts w:ascii="Times New Roman" w:eastAsia="Times New Roman"/>
        </w:rPr>
        <w:t>Z102</w:t>
      </w:r>
      <w:r>
        <w:rPr/>
        <w:t>、</w:t>
      </w:r>
      <w:r>
        <w:rPr>
          <w:rFonts w:ascii="Times New Roman" w:eastAsia="Times New Roman"/>
        </w:rPr>
        <w:t>Z103</w:t>
      </w:r>
      <w:r>
        <w:rPr/>
        <w:t>、</w:t>
      </w:r>
      <w:r>
        <w:rPr>
          <w:rFonts w:ascii="Times New Roman" w:eastAsia="Times New Roman"/>
        </w:rPr>
        <w:t>Z120</w:t>
      </w:r>
      <w:r>
        <w:rPr/>
        <w:t>、</w:t>
      </w:r>
      <w:r>
        <w:rPr>
          <w:rFonts w:ascii="Times New Roman" w:eastAsia="Times New Roman"/>
        </w:rPr>
        <w:t>Z152</w:t>
      </w:r>
      <w:r>
        <w:rPr/>
        <w:t>、</w:t>
      </w:r>
      <w:r>
        <w:rPr>
          <w:rFonts w:ascii="Times New Roman" w:eastAsia="Times New Roman"/>
        </w:rPr>
        <w:t>Z154</w:t>
      </w:r>
      <w:r>
        <w:rPr/>
        <w:t>、</w:t>
      </w:r>
      <w:r>
        <w:rPr>
          <w:rFonts w:ascii="Times New Roman" w:eastAsia="Times New Roman"/>
        </w:rPr>
        <w:t>Z156</w:t>
      </w:r>
      <w:r>
        <w:rPr/>
        <w:t>、</w:t>
      </w:r>
      <w:r>
        <w:rPr>
          <w:rFonts w:ascii="Times New Roman" w:eastAsia="Times New Roman"/>
        </w:rPr>
        <w:t>Z169</w:t>
      </w:r>
      <w:r>
        <w:rPr/>
        <w:t>、</w:t>
      </w:r>
      <w:r>
        <w:rPr>
          <w:rFonts w:ascii="Times New Roman" w:eastAsia="Times New Roman"/>
        </w:rPr>
        <w:t>Z173</w:t>
      </w:r>
      <w:r>
        <w:rPr/>
        <w:t>、</w:t>
      </w:r>
      <w:r>
        <w:rPr>
          <w:rFonts w:ascii="Times New Roman" w:eastAsia="Times New Roman"/>
        </w:rPr>
        <w:t>Z174 </w:t>
      </w:r>
      <w:r>
        <w:rPr/>
        <w:t>等孔分布。</w:t>
      </w:r>
    </w:p>
    <w:p>
      <w:pPr>
        <w:pStyle w:val="BodyText"/>
        <w:spacing w:line="306" w:lineRule="exact"/>
        <w:ind w:left="218"/>
      </w:pPr>
      <w:r>
        <w:rPr/>
        <w:t>层面高程</w:t>
      </w:r>
      <w:r>
        <w:rPr>
          <w:rFonts w:ascii="Times New Roman" w:eastAsia="Times New Roman"/>
        </w:rPr>
        <w:t>-19.82</w:t>
      </w:r>
      <w:r>
        <w:rPr/>
        <w:t>～</w:t>
      </w:r>
      <w:r>
        <w:rPr>
          <w:rFonts w:ascii="Times New Roman" w:eastAsia="Times New Roman"/>
        </w:rPr>
        <w:t>-4.02m</w:t>
      </w:r>
      <w:r>
        <w:rPr/>
        <w:t>，钻孔揭穿层厚 </w:t>
      </w:r>
      <w:r>
        <w:rPr>
          <w:rFonts w:ascii="Times New Roman" w:eastAsia="Times New Roman"/>
        </w:rPr>
        <w:t>0.60</w:t>
      </w:r>
      <w:r>
        <w:rPr/>
        <w:t>～</w:t>
      </w:r>
      <w:r>
        <w:rPr>
          <w:rFonts w:ascii="Times New Roman" w:eastAsia="Times New Roman"/>
        </w:rPr>
        <w:t>2.60m</w:t>
      </w:r>
      <w:r>
        <w:rPr/>
        <w:t>。</w:t>
      </w:r>
    </w:p>
    <w:p>
      <w:pPr>
        <w:pStyle w:val="BodyText"/>
        <w:spacing w:before="159"/>
        <w:ind w:left="790"/>
        <w:rPr>
          <w:rFonts w:ascii="Times New Roman" w:hAnsi="Times New Roman" w:eastAsia="Times New Roman"/>
        </w:rPr>
      </w:pPr>
      <w:r>
        <w:rPr>
          <w:position w:val="2"/>
        </w:rPr>
        <w:t>③</w:t>
      </w:r>
      <w:r>
        <w:rPr>
          <w:rFonts w:ascii="Times New Roman" w:hAnsi="Times New Roman" w:eastAsia="Times New Roman"/>
          <w:position w:val="2"/>
        </w:rPr>
        <w:t>-1 </w:t>
      </w:r>
      <w:r>
        <w:rPr>
          <w:position w:val="2"/>
        </w:rPr>
        <w:t>层：淤泥质粉质粘土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62"/>
        <w:ind w:left="218" w:right="233" w:firstLine="559"/>
      </w:pPr>
      <w:r>
        <w:rPr/>
        <w:t>灰色，流塑，含少量有机质，贝壳碎片，局部相变为淤泥质粘土、淤泥及粉质粘</w:t>
      </w:r>
      <w:r>
        <w:rPr>
          <w:spacing w:val="-8"/>
        </w:rPr>
        <w:t>土。切面光滑有光泽，摇振反应无，干强度和韧性中等偏高。属高压缩性土。土质较均</w:t>
      </w:r>
      <w:r>
        <w:rPr>
          <w:spacing w:val="-9"/>
        </w:rPr>
        <w:t>匀。该层分布稳定，仅在 </w:t>
      </w:r>
      <w:r>
        <w:rPr>
          <w:rFonts w:ascii="Times New Roman" w:eastAsia="Times New Roman"/>
        </w:rPr>
        <w:t>3 </w:t>
      </w:r>
      <w:r>
        <w:rPr>
          <w:spacing w:val="-21"/>
        </w:rPr>
        <w:t>层及 </w:t>
      </w:r>
      <w:r>
        <w:rPr>
          <w:rFonts w:ascii="Times New Roman" w:eastAsia="Times New Roman"/>
        </w:rPr>
        <w:t>3 </w:t>
      </w:r>
      <w:r>
        <w:rPr>
          <w:spacing w:val="-2"/>
        </w:rPr>
        <w:t>层以上建筑揭穿。层面高程</w:t>
      </w:r>
      <w:r>
        <w:rPr>
          <w:rFonts w:ascii="Times New Roman" w:eastAsia="Times New Roman"/>
        </w:rPr>
        <w:t>-24.04</w:t>
      </w:r>
      <w:r>
        <w:rPr/>
        <w:t>～</w:t>
      </w:r>
      <w:r>
        <w:rPr>
          <w:rFonts w:ascii="Times New Roman" w:eastAsia="Times New Roman"/>
        </w:rPr>
        <w:t>-13.35m</w:t>
      </w:r>
      <w:r>
        <w:rPr>
          <w:spacing w:val="-4"/>
        </w:rPr>
        <w:t>，揭露层</w:t>
      </w:r>
      <w:r>
        <w:rPr>
          <w:spacing w:val="-30"/>
        </w:rPr>
        <w:t>厚 </w:t>
      </w:r>
      <w:r>
        <w:rPr>
          <w:rFonts w:ascii="Times New Roman" w:eastAsia="Times New Roman"/>
        </w:rPr>
        <w:t>0.40</w:t>
      </w:r>
      <w:r>
        <w:rPr/>
        <w:t>～</w:t>
      </w:r>
      <w:r>
        <w:rPr>
          <w:rFonts w:ascii="Times New Roman" w:eastAsia="Times New Roman"/>
        </w:rPr>
        <w:t>15.00m</w:t>
      </w:r>
      <w:r>
        <w:rPr/>
        <w:t>。</w:t>
      </w:r>
    </w:p>
    <w:p>
      <w:pPr>
        <w:pStyle w:val="BodyText"/>
        <w:spacing w:line="305" w:lineRule="exact"/>
        <w:ind w:left="790"/>
        <w:rPr>
          <w:rFonts w:ascii="Times New Roman" w:hAnsi="Times New Roman" w:eastAsia="Times New Roman"/>
        </w:rPr>
      </w:pPr>
      <w:r>
        <w:rPr>
          <w:position w:val="2"/>
        </w:rPr>
        <w:t>③</w:t>
      </w:r>
      <w:r>
        <w:rPr>
          <w:rFonts w:ascii="Times New Roman" w:hAnsi="Times New Roman" w:eastAsia="Times New Roman"/>
          <w:position w:val="2"/>
        </w:rPr>
        <w:t>-2 </w:t>
      </w:r>
      <w:r>
        <w:rPr>
          <w:position w:val="2"/>
        </w:rPr>
        <w:t>层：粉质粘土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59"/>
        <w:ind w:left="218" w:right="233" w:firstLine="559"/>
      </w:pPr>
      <w:r>
        <w:rPr/>
        <w:t>灰色，流塑～软塑，含少量有机质，贝壳碎片，局部粉粒含量较高，相变粘质粉</w:t>
      </w:r>
      <w:r>
        <w:rPr>
          <w:spacing w:val="-8"/>
        </w:rPr>
        <w:t>土，切面光滑有光泽，摇振反应无，干强度和韧性中等偏高。属高压缩性土。土质较均</w:t>
      </w:r>
      <w:r>
        <w:rPr/>
        <w:t>匀。该层分布稳定。层面高程</w:t>
      </w:r>
      <w:r>
        <w:rPr>
          <w:rFonts w:ascii="Times New Roman" w:eastAsia="Times New Roman"/>
        </w:rPr>
        <w:t>-30.33</w:t>
      </w:r>
      <w:r>
        <w:rPr/>
        <w:t>～</w:t>
      </w:r>
      <w:r>
        <w:rPr>
          <w:rFonts w:ascii="Times New Roman" w:eastAsia="Times New Roman"/>
        </w:rPr>
        <w:t>-26.05m</w:t>
      </w:r>
      <w:r>
        <w:rPr>
          <w:spacing w:val="-11"/>
        </w:rPr>
        <w:t>，揭露层厚 </w:t>
      </w:r>
      <w:r>
        <w:rPr>
          <w:rFonts w:ascii="Times New Roman" w:eastAsia="Times New Roman"/>
        </w:rPr>
        <w:t>8.60</w:t>
      </w:r>
      <w:r>
        <w:rPr/>
        <w:t>～</w:t>
      </w:r>
      <w:r>
        <w:rPr>
          <w:rFonts w:ascii="Times New Roman" w:eastAsia="Times New Roman"/>
        </w:rPr>
        <w:t>14.00m</w:t>
      </w:r>
      <w:r>
        <w:rPr/>
        <w:t>。</w:t>
      </w:r>
    </w:p>
    <w:p>
      <w:pPr>
        <w:spacing w:after="0" w:line="364" w:lineRule="auto"/>
        <w:sectPr>
          <w:pgSz w:w="11910" w:h="16840"/>
          <w:pgMar w:header="872" w:footer="803" w:top="1320" w:bottom="1000" w:left="1200" w:right="1180"/>
        </w:sectPr>
      </w:pPr>
    </w:p>
    <w:p>
      <w:pPr>
        <w:pStyle w:val="BodyText"/>
        <w:spacing w:before="83"/>
        <w:ind w:left="790"/>
        <w:rPr>
          <w:rFonts w:ascii="Times New Roman" w:hAnsi="Times New Roman" w:eastAsia="Times New Roman"/>
        </w:rPr>
      </w:pPr>
      <w:r>
        <w:rPr>
          <w:position w:val="2"/>
        </w:rPr>
        <w:t>⑤层：粘土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60"/>
        <w:ind w:left="218" w:right="233" w:firstLine="571"/>
        <w:jc w:val="both"/>
      </w:pPr>
      <w:r>
        <w:rPr/>
        <w:t>灰色，软塑，局部软可塑，局部粉粒含量较高，相变为淤泥质土及粉质粘土，切</w:t>
      </w:r>
      <w:r>
        <w:rPr>
          <w:spacing w:val="-6"/>
        </w:rPr>
        <w:t>面光滑有油脂光泽，摇振反应无，干强度和韧性中等偏高。属中偏高压缩性土。土质较</w:t>
      </w:r>
      <w:r>
        <w:rPr/>
        <w:t>均匀。本层分布稳定。层面高程</w:t>
      </w:r>
      <w:r>
        <w:rPr>
          <w:rFonts w:ascii="Times New Roman" w:eastAsia="Times New Roman"/>
        </w:rPr>
        <w:t>-41.92</w:t>
      </w:r>
      <w:r>
        <w:rPr/>
        <w:t>～</w:t>
      </w:r>
      <w:r>
        <w:rPr>
          <w:rFonts w:ascii="Times New Roman" w:eastAsia="Times New Roman"/>
        </w:rPr>
        <w:t>-36.82m</w:t>
      </w:r>
      <w:r>
        <w:rPr>
          <w:spacing w:val="-16"/>
        </w:rPr>
        <w:t>，层厚 </w:t>
      </w:r>
      <w:r>
        <w:rPr>
          <w:rFonts w:ascii="Times New Roman" w:eastAsia="Times New Roman"/>
        </w:rPr>
        <w:t>4.60</w:t>
      </w:r>
      <w:r>
        <w:rPr/>
        <w:t>～</w:t>
      </w:r>
      <w:r>
        <w:rPr>
          <w:rFonts w:ascii="Times New Roman" w:eastAsia="Times New Roman"/>
        </w:rPr>
        <w:t>11.50m</w:t>
      </w:r>
      <w:r>
        <w:rPr/>
        <w:t>。</w:t>
      </w:r>
    </w:p>
    <w:p>
      <w:pPr>
        <w:pStyle w:val="BodyText"/>
        <w:spacing w:line="306" w:lineRule="exact"/>
        <w:ind w:left="790"/>
        <w:rPr>
          <w:rFonts w:ascii="Times New Roman" w:hAnsi="Times New Roman" w:eastAsia="Times New Roman"/>
        </w:rPr>
      </w:pPr>
      <w:r>
        <w:rPr>
          <w:position w:val="2"/>
        </w:rPr>
        <w:t>⑦层：粘土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59"/>
        <w:ind w:left="218" w:right="232" w:firstLine="571"/>
        <w:jc w:val="both"/>
      </w:pPr>
      <w:r>
        <w:rPr/>
        <w:t>灰黑色，灰褐色，青灰色，软可塑</w:t>
      </w:r>
      <w:r>
        <w:rPr>
          <w:spacing w:val="4"/>
        </w:rPr>
        <w:t>～</w:t>
      </w:r>
      <w:r>
        <w:rPr/>
        <w:t>硬可塑，局部含有粉粒、砂粒，底部含量较</w:t>
      </w:r>
      <w:r>
        <w:rPr>
          <w:spacing w:val="-8"/>
        </w:rPr>
        <w:t>高，相变为粉质粘土，切面光滑有油脂光泽，摇振反应无，干强度和韧性中等。属中压</w:t>
      </w:r>
      <w:r>
        <w:rPr>
          <w:spacing w:val="-10"/>
        </w:rPr>
        <w:t>缩性土。土质较均匀。本层分布不稳定，在 </w:t>
      </w:r>
      <w:r>
        <w:rPr>
          <w:rFonts w:ascii="Times New Roman" w:eastAsia="Times New Roman"/>
        </w:rPr>
        <w:t>Z04</w:t>
      </w:r>
      <w:r>
        <w:rPr>
          <w:spacing w:val="-14"/>
        </w:rPr>
        <w:t>、</w:t>
      </w:r>
      <w:r>
        <w:rPr>
          <w:rFonts w:ascii="Times New Roman" w:eastAsia="Times New Roman"/>
        </w:rPr>
        <w:t>Z23</w:t>
      </w:r>
      <w:r>
        <w:rPr>
          <w:spacing w:val="-15"/>
        </w:rPr>
        <w:t>、</w:t>
      </w:r>
      <w:r>
        <w:rPr>
          <w:rFonts w:ascii="Times New Roman" w:eastAsia="Times New Roman"/>
        </w:rPr>
        <w:t>Z166</w:t>
      </w:r>
      <w:r>
        <w:rPr/>
        <w:t>～</w:t>
      </w:r>
      <w:r>
        <w:rPr>
          <w:rFonts w:ascii="Times New Roman" w:eastAsia="Times New Roman"/>
        </w:rPr>
        <w:t>Z168</w:t>
      </w:r>
      <w:r>
        <w:rPr>
          <w:spacing w:val="-15"/>
        </w:rPr>
        <w:t>、</w:t>
      </w:r>
      <w:r>
        <w:rPr>
          <w:rFonts w:ascii="Times New Roman" w:eastAsia="Times New Roman"/>
        </w:rPr>
        <w:t>Z182</w:t>
      </w:r>
      <w:r>
        <w:rPr/>
        <w:t>～</w:t>
      </w:r>
      <w:r>
        <w:rPr>
          <w:rFonts w:ascii="Times New Roman" w:eastAsia="Times New Roman"/>
        </w:rPr>
        <w:t>Z186 </w:t>
      </w:r>
      <w:r>
        <w:rPr/>
        <w:t>等孔缺失。层面高程</w:t>
      </w:r>
      <w:r>
        <w:rPr>
          <w:rFonts w:ascii="Times New Roman" w:eastAsia="Times New Roman"/>
        </w:rPr>
        <w:t>-49.78</w:t>
      </w:r>
      <w:r>
        <w:rPr/>
        <w:t>～</w:t>
      </w:r>
      <w:r>
        <w:rPr>
          <w:rFonts w:ascii="Times New Roman" w:eastAsia="Times New Roman"/>
        </w:rPr>
        <w:t>-43.62m</w:t>
      </w:r>
      <w:r>
        <w:rPr>
          <w:spacing w:val="-16"/>
        </w:rPr>
        <w:t>，层厚 </w:t>
      </w:r>
      <w:r>
        <w:rPr>
          <w:rFonts w:ascii="Times New Roman" w:eastAsia="Times New Roman"/>
        </w:rPr>
        <w:t>0.60</w:t>
      </w:r>
      <w:r>
        <w:rPr/>
        <w:t>～</w:t>
      </w:r>
      <w:r>
        <w:rPr>
          <w:rFonts w:ascii="Times New Roman" w:eastAsia="Times New Roman"/>
        </w:rPr>
        <w:t>6.40m</w:t>
      </w:r>
      <w:r>
        <w:rPr/>
        <w:t>。</w:t>
      </w:r>
    </w:p>
    <w:p>
      <w:pPr>
        <w:spacing w:line="307" w:lineRule="exact" w:before="0"/>
        <w:ind w:left="778" w:right="0" w:firstLine="0"/>
        <w:jc w:val="left"/>
        <w:rPr>
          <w:sz w:val="24"/>
        </w:rPr>
      </w:pPr>
      <w:r>
        <w:rPr>
          <w:position w:val="2"/>
          <w:sz w:val="24"/>
        </w:rPr>
        <w:t>⑧</w:t>
      </w:r>
      <w:r>
        <w:rPr>
          <w:rFonts w:ascii="Times New Roman" w:hAnsi="Times New Roman" w:eastAsia="Times New Roman"/>
          <w:position w:val="2"/>
          <w:sz w:val="24"/>
        </w:rPr>
        <w:t>-1 </w:t>
      </w:r>
      <w:r>
        <w:rPr>
          <w:position w:val="2"/>
          <w:sz w:val="24"/>
        </w:rPr>
        <w:t>层：圆砾（</w:t>
      </w:r>
      <w:r>
        <w:rPr>
          <w:rFonts w:ascii="Times New Roman" w:hAnsi="Times New Roman" w:eastAsia="Times New Roman"/>
          <w:position w:val="2"/>
          <w:sz w:val="24"/>
        </w:rPr>
        <w:t>Q</w:t>
      </w:r>
      <w:r>
        <w:rPr>
          <w:rFonts w:ascii="Times New Roman" w:hAnsi="Times New Roman" w:eastAsia="Times New Roman"/>
          <w:sz w:val="16"/>
        </w:rPr>
        <w:t>3</w:t>
      </w:r>
      <w:r>
        <w:rPr>
          <w:rFonts w:ascii="Times New Roman" w:hAnsi="Times New Roman" w:eastAsia="Times New Roman"/>
          <w:position w:val="11"/>
          <w:sz w:val="16"/>
        </w:rPr>
        <w:t>al-pl</w:t>
      </w:r>
      <w:r>
        <w:rPr>
          <w:position w:val="2"/>
          <w:sz w:val="24"/>
        </w:rPr>
        <w:t>）</w:t>
      </w:r>
    </w:p>
    <w:p>
      <w:pPr>
        <w:pStyle w:val="BodyText"/>
        <w:spacing w:line="364" w:lineRule="auto" w:before="158"/>
        <w:ind w:left="218" w:right="114" w:firstLine="480"/>
      </w:pPr>
      <w:r>
        <w:rPr>
          <w:spacing w:val="-11"/>
        </w:rPr>
        <w:t>灰色，饱和，中密</w:t>
      </w:r>
      <w:r>
        <w:rPr/>
        <w:t>～</w:t>
      </w:r>
      <w:r>
        <w:rPr>
          <w:spacing w:val="-14"/>
        </w:rPr>
        <w:t>密实。主要成分为火山岩，呈亚圆形，粒径一般 </w:t>
      </w:r>
      <w:r>
        <w:rPr>
          <w:rFonts w:ascii="Times New Roman" w:eastAsia="Times New Roman"/>
        </w:rPr>
        <w:t>0.50</w:t>
      </w:r>
      <w:r>
        <w:rPr/>
        <w:t>～</w:t>
      </w:r>
      <w:r>
        <w:rPr>
          <w:rFonts w:ascii="Times New Roman" w:eastAsia="Times New Roman"/>
        </w:rPr>
        <w:t>2.00cm</w:t>
      </w:r>
      <w:r>
        <w:rPr>
          <w:spacing w:val="-13"/>
        </w:rPr>
        <w:t>。</w:t>
      </w:r>
      <w:r>
        <w:rPr>
          <w:spacing w:val="-9"/>
        </w:rPr>
        <w:t>砾石间大量为砂粒、粉粘粒充填。该层局部变相为砾砂。颗分结果平均含量：碎石粒</w:t>
      </w:r>
      <w:r>
        <w:rPr>
          <w:rFonts w:ascii="Times New Roman" w:eastAsia="Times New Roman"/>
          <w:spacing w:val="-4"/>
        </w:rPr>
        <w:t>(</w:t>
      </w:r>
      <w:r>
        <w:rPr/>
        <w:t>粒径＞</w:t>
      </w:r>
      <w:r>
        <w:rPr>
          <w:rFonts w:ascii="Times New Roman" w:eastAsia="Times New Roman"/>
        </w:rPr>
        <w:t>20mm)</w:t>
      </w:r>
      <w:r>
        <w:rPr>
          <w:spacing w:val="-38"/>
        </w:rPr>
        <w:t>为 </w:t>
      </w:r>
      <w:r>
        <w:rPr>
          <w:rFonts w:ascii="Times New Roman" w:eastAsia="Times New Roman"/>
        </w:rPr>
        <w:t>18.4%</w:t>
      </w:r>
      <w:r>
        <w:rPr>
          <w:spacing w:val="-30"/>
        </w:rPr>
        <w:t>、砾石粒</w:t>
      </w:r>
      <w:r>
        <w:rPr>
          <w:rFonts w:ascii="Times New Roman" w:eastAsia="Times New Roman"/>
        </w:rPr>
        <w:t>(</w:t>
      </w:r>
      <w:r>
        <w:rPr>
          <w:spacing w:val="-26"/>
        </w:rPr>
        <w:t>粒径 </w:t>
      </w:r>
      <w:r>
        <w:rPr>
          <w:rFonts w:ascii="Times New Roman" w:eastAsia="Times New Roman"/>
        </w:rPr>
        <w:t>20</w:t>
      </w:r>
      <w:r>
        <w:rPr/>
        <w:t>～</w:t>
      </w:r>
      <w:r>
        <w:rPr>
          <w:rFonts w:ascii="Times New Roman" w:eastAsia="Times New Roman"/>
        </w:rPr>
        <w:t>2mm)</w:t>
      </w:r>
      <w:r>
        <w:rPr>
          <w:spacing w:val="-37"/>
        </w:rPr>
        <w:t>为 </w:t>
      </w:r>
      <w:r>
        <w:rPr>
          <w:rFonts w:ascii="Times New Roman" w:eastAsia="Times New Roman"/>
        </w:rPr>
        <w:t>35.4%</w:t>
      </w:r>
      <w:r>
        <w:rPr>
          <w:spacing w:val="-40"/>
        </w:rPr>
        <w:t>、砂粒</w:t>
      </w:r>
      <w:r>
        <w:rPr>
          <w:rFonts w:ascii="Times New Roman" w:eastAsia="Times New Roman"/>
        </w:rPr>
        <w:t>(</w:t>
      </w:r>
      <w:r>
        <w:rPr>
          <w:spacing w:val="-26"/>
        </w:rPr>
        <w:t>粒径 </w:t>
      </w:r>
      <w:r>
        <w:rPr>
          <w:rFonts w:ascii="Times New Roman" w:eastAsia="Times New Roman"/>
        </w:rPr>
        <w:t>2</w:t>
      </w:r>
      <w:r>
        <w:rPr/>
        <w:t>～</w:t>
      </w:r>
      <w:r>
        <w:rPr>
          <w:rFonts w:ascii="Times New Roman" w:eastAsia="Times New Roman"/>
        </w:rPr>
        <w:t>0.075mm)</w:t>
      </w:r>
      <w:r>
        <w:rPr>
          <w:spacing w:val="-38"/>
        </w:rPr>
        <w:t>为 </w:t>
      </w:r>
      <w:r>
        <w:rPr>
          <w:rFonts w:ascii="Times New Roman" w:eastAsia="Times New Roman"/>
        </w:rPr>
        <w:t>27.2%</w:t>
      </w:r>
      <w:r>
        <w:rPr/>
        <w:t>、粉粒</w:t>
      </w:r>
      <w:r>
        <w:rPr>
          <w:rFonts w:ascii="Times New Roman" w:eastAsia="Times New Roman"/>
        </w:rPr>
        <w:t>(</w:t>
      </w:r>
      <w:r>
        <w:rPr>
          <w:spacing w:val="-21"/>
        </w:rPr>
        <w:t>粒径 </w:t>
      </w:r>
      <w:r>
        <w:rPr>
          <w:rFonts w:ascii="Times New Roman" w:eastAsia="Times New Roman"/>
        </w:rPr>
        <w:t>0.075</w:t>
      </w:r>
      <w:r>
        <w:rPr/>
        <w:t>～</w:t>
      </w:r>
      <w:r>
        <w:rPr>
          <w:rFonts w:ascii="Times New Roman" w:eastAsia="Times New Roman"/>
        </w:rPr>
        <w:t>0.005mm)</w:t>
      </w:r>
      <w:r>
        <w:rPr>
          <w:spacing w:val="-30"/>
        </w:rPr>
        <w:t>为 </w:t>
      </w:r>
      <w:r>
        <w:rPr>
          <w:rFonts w:ascii="Times New Roman" w:eastAsia="Times New Roman"/>
        </w:rPr>
        <w:t>19.0%</w:t>
      </w:r>
      <w:r>
        <w:rPr>
          <w:spacing w:val="-1"/>
        </w:rPr>
        <w:t>，属低压缩性土。土质不均匀。圆锥动力触探试验</w:t>
      </w:r>
      <w:r>
        <w:rPr>
          <w:rFonts w:ascii="Times New Roman" w:eastAsia="Times New Roman"/>
          <w:spacing w:val="-1"/>
          <w:position w:val="2"/>
        </w:rPr>
        <w:t>(N</w:t>
      </w:r>
      <w:r>
        <w:rPr>
          <w:rFonts w:ascii="Times New Roman" w:eastAsia="Times New Roman"/>
          <w:spacing w:val="-1"/>
          <w:sz w:val="16"/>
        </w:rPr>
        <w:t>63.5</w:t>
      </w:r>
      <w:r>
        <w:rPr>
          <w:rFonts w:ascii="Times New Roman" w:eastAsia="Times New Roman"/>
          <w:spacing w:val="-1"/>
          <w:position w:val="2"/>
        </w:rPr>
        <w:t>)</w:t>
      </w:r>
      <w:r>
        <w:rPr>
          <w:spacing w:val="-13"/>
          <w:position w:val="2"/>
        </w:rPr>
        <w:t>实击数为 </w:t>
      </w:r>
      <w:r>
        <w:rPr>
          <w:rFonts w:ascii="Times New Roman" w:eastAsia="Times New Roman"/>
          <w:position w:val="2"/>
        </w:rPr>
        <w:t>19</w:t>
      </w:r>
      <w:r>
        <w:rPr>
          <w:position w:val="2"/>
        </w:rPr>
        <w:t>～</w:t>
      </w:r>
      <w:r>
        <w:rPr>
          <w:rFonts w:ascii="Times New Roman" w:eastAsia="Times New Roman"/>
          <w:position w:val="2"/>
        </w:rPr>
        <w:t>43 </w:t>
      </w:r>
      <w:r>
        <w:rPr>
          <w:position w:val="2"/>
        </w:rPr>
        <w:t>击</w:t>
      </w:r>
      <w:r>
        <w:rPr>
          <w:rFonts w:ascii="Times New Roman" w:eastAsia="Times New Roman"/>
          <w:spacing w:val="-10"/>
          <w:position w:val="2"/>
        </w:rPr>
        <w:t>/10cm</w:t>
      </w:r>
      <w:r>
        <w:rPr>
          <w:spacing w:val="-9"/>
          <w:position w:val="2"/>
        </w:rPr>
        <w:t>，该层分布稳定。层面高程</w:t>
      </w:r>
      <w:r>
        <w:rPr>
          <w:rFonts w:ascii="Times New Roman" w:eastAsia="Times New Roman"/>
          <w:spacing w:val="-4"/>
          <w:position w:val="2"/>
        </w:rPr>
        <w:t>-52.30</w:t>
      </w:r>
      <w:r>
        <w:rPr>
          <w:spacing w:val="-4"/>
          <w:position w:val="2"/>
        </w:rPr>
        <w:t>～</w:t>
      </w:r>
      <w:r>
        <w:rPr>
          <w:rFonts w:ascii="Times New Roman" w:eastAsia="Times New Roman"/>
          <w:spacing w:val="-4"/>
          <w:position w:val="2"/>
        </w:rPr>
        <w:t>-47.01m</w:t>
      </w:r>
      <w:r>
        <w:rPr>
          <w:spacing w:val="-17"/>
          <w:position w:val="2"/>
        </w:rPr>
        <w:t>，层厚 </w:t>
      </w:r>
      <w:r>
        <w:rPr>
          <w:rFonts w:ascii="Times New Roman" w:eastAsia="Times New Roman"/>
          <w:position w:val="2"/>
        </w:rPr>
        <w:t>1.40</w:t>
      </w:r>
      <w:r>
        <w:rPr>
          <w:position w:val="2"/>
        </w:rPr>
        <w:t>～ </w:t>
      </w:r>
      <w:r>
        <w:rPr>
          <w:rFonts w:ascii="Times New Roman" w:eastAsia="Times New Roman"/>
        </w:rPr>
        <w:t>7.20m</w:t>
      </w:r>
      <w:r>
        <w:rPr/>
        <w:t>。</w:t>
      </w:r>
    </w:p>
    <w:p>
      <w:pPr>
        <w:spacing w:line="303" w:lineRule="exact" w:before="0"/>
        <w:ind w:left="898" w:right="0" w:firstLine="0"/>
        <w:jc w:val="left"/>
        <w:rPr>
          <w:sz w:val="24"/>
        </w:rPr>
      </w:pPr>
      <w:r>
        <w:rPr>
          <w:position w:val="2"/>
          <w:sz w:val="24"/>
        </w:rPr>
        <w:t>⑧</w:t>
      </w:r>
      <w:r>
        <w:rPr>
          <w:rFonts w:ascii="Times New Roman" w:hAnsi="Times New Roman" w:eastAsia="Times New Roman"/>
          <w:position w:val="2"/>
          <w:sz w:val="24"/>
        </w:rPr>
        <w:t>-2 </w:t>
      </w:r>
      <w:r>
        <w:rPr>
          <w:position w:val="2"/>
          <w:sz w:val="24"/>
        </w:rPr>
        <w:t>层：含砾粉质粘土（</w:t>
      </w:r>
      <w:r>
        <w:rPr>
          <w:rFonts w:ascii="Times New Roman" w:hAnsi="Times New Roman" w:eastAsia="Times New Roman"/>
          <w:position w:val="2"/>
          <w:sz w:val="24"/>
        </w:rPr>
        <w:t>Q</w:t>
      </w:r>
      <w:r>
        <w:rPr>
          <w:rFonts w:ascii="Times New Roman" w:hAnsi="Times New Roman" w:eastAsia="Times New Roman"/>
          <w:sz w:val="16"/>
        </w:rPr>
        <w:t>3</w:t>
      </w:r>
      <w:r>
        <w:rPr>
          <w:rFonts w:ascii="Times New Roman" w:hAnsi="Times New Roman" w:eastAsia="Times New Roman"/>
          <w:position w:val="11"/>
          <w:sz w:val="16"/>
        </w:rPr>
        <w:t>al-pl</w:t>
      </w:r>
      <w:r>
        <w:rPr>
          <w:position w:val="2"/>
          <w:sz w:val="24"/>
        </w:rPr>
        <w:t>）</w:t>
      </w:r>
    </w:p>
    <w:p>
      <w:pPr>
        <w:pStyle w:val="BodyText"/>
        <w:spacing w:line="364" w:lineRule="auto" w:before="162"/>
        <w:ind w:left="218" w:right="114" w:firstLine="559"/>
      </w:pPr>
      <w:r>
        <w:rPr/>
        <w:t>灰黄色，青灰色，硬可塑，局部硬塑，局部砾砂含量较高，夹有少量中粗砂等， 切面较光滑稍有光泽，摇振反应无，干强度和韧性中等。属中压缩性土。土质较均匀。</w:t>
      </w:r>
      <w:r>
        <w:rPr>
          <w:spacing w:val="-8"/>
        </w:rPr>
        <w:t>该层分布不稳定，在 </w:t>
      </w:r>
      <w:r>
        <w:rPr>
          <w:rFonts w:ascii="Times New Roman" w:eastAsia="Times New Roman"/>
        </w:rPr>
        <w:t>Z04</w:t>
      </w:r>
      <w:r>
        <w:rPr/>
        <w:t>～</w:t>
      </w:r>
      <w:r>
        <w:rPr>
          <w:rFonts w:ascii="Times New Roman" w:eastAsia="Times New Roman"/>
        </w:rPr>
        <w:t>Z06</w:t>
      </w:r>
      <w:r>
        <w:rPr>
          <w:spacing w:val="-8"/>
        </w:rPr>
        <w:t>、</w:t>
      </w:r>
      <w:r>
        <w:rPr>
          <w:rFonts w:ascii="Times New Roman" w:eastAsia="Times New Roman"/>
        </w:rPr>
        <w:t>Z23</w:t>
      </w:r>
      <w:r>
        <w:rPr/>
        <w:t>～</w:t>
      </w:r>
      <w:r>
        <w:rPr>
          <w:rFonts w:ascii="Times New Roman" w:eastAsia="Times New Roman"/>
        </w:rPr>
        <w:t>Z25</w:t>
      </w:r>
      <w:r>
        <w:rPr>
          <w:spacing w:val="-5"/>
        </w:rPr>
        <w:t>、</w:t>
      </w:r>
      <w:r>
        <w:rPr>
          <w:rFonts w:ascii="Times New Roman" w:eastAsia="Times New Roman"/>
        </w:rPr>
        <w:t>Z43</w:t>
      </w:r>
      <w:r>
        <w:rPr/>
        <w:t>～</w:t>
      </w:r>
      <w:r>
        <w:rPr>
          <w:rFonts w:ascii="Times New Roman" w:eastAsia="Times New Roman"/>
        </w:rPr>
        <w:t>Z45</w:t>
      </w:r>
      <w:r>
        <w:rPr>
          <w:spacing w:val="-8"/>
        </w:rPr>
        <w:t>、</w:t>
      </w:r>
      <w:r>
        <w:rPr>
          <w:rFonts w:ascii="Times New Roman" w:eastAsia="Times New Roman"/>
        </w:rPr>
        <w:t>Z59</w:t>
      </w:r>
      <w:r>
        <w:rPr/>
        <w:t>～</w:t>
      </w:r>
      <w:r>
        <w:rPr>
          <w:rFonts w:ascii="Times New Roman" w:eastAsia="Times New Roman"/>
        </w:rPr>
        <w:t>Z61</w:t>
      </w:r>
      <w:r>
        <w:rPr>
          <w:spacing w:val="-8"/>
        </w:rPr>
        <w:t>、</w:t>
      </w:r>
      <w:r>
        <w:rPr>
          <w:rFonts w:ascii="Times New Roman" w:eastAsia="Times New Roman"/>
        </w:rPr>
        <w:t>Z87</w:t>
      </w:r>
      <w:r>
        <w:rPr>
          <w:spacing w:val="-8"/>
        </w:rPr>
        <w:t>、</w:t>
      </w:r>
      <w:r>
        <w:rPr>
          <w:rFonts w:ascii="Times New Roman" w:eastAsia="Times New Roman"/>
        </w:rPr>
        <w:t>Z88</w:t>
      </w:r>
      <w:r>
        <w:rPr>
          <w:spacing w:val="-8"/>
        </w:rPr>
        <w:t>、</w:t>
      </w:r>
      <w:r>
        <w:rPr>
          <w:rFonts w:ascii="Times New Roman" w:eastAsia="Times New Roman"/>
        </w:rPr>
        <w:t>Z148</w:t>
      </w:r>
      <w:r>
        <w:rPr/>
        <w:t>、</w:t>
      </w:r>
      <w:r>
        <w:rPr>
          <w:rFonts w:ascii="Times New Roman" w:eastAsia="Times New Roman"/>
        </w:rPr>
        <w:t>Z164 </w:t>
      </w:r>
      <w:r>
        <w:rPr>
          <w:spacing w:val="-7"/>
        </w:rPr>
        <w:t>等孔分布。标准贯入试验</w:t>
      </w:r>
      <w:r>
        <w:rPr>
          <w:rFonts w:ascii="Times New Roman" w:eastAsia="Times New Roman"/>
        </w:rPr>
        <w:t>(N)</w:t>
      </w:r>
      <w:r>
        <w:rPr>
          <w:spacing w:val="-13"/>
        </w:rPr>
        <w:t>实击数为 </w:t>
      </w:r>
      <w:r>
        <w:rPr>
          <w:rFonts w:ascii="Times New Roman" w:eastAsia="Times New Roman"/>
        </w:rPr>
        <w:t>17</w:t>
      </w:r>
      <w:r>
        <w:rPr/>
        <w:t>～</w:t>
      </w:r>
      <w:r>
        <w:rPr>
          <w:rFonts w:ascii="Times New Roman" w:eastAsia="Times New Roman"/>
        </w:rPr>
        <w:t>21 </w:t>
      </w:r>
      <w:r>
        <w:rPr/>
        <w:t>击</w:t>
      </w:r>
      <w:r>
        <w:rPr>
          <w:rFonts w:ascii="Times New Roman" w:eastAsia="Times New Roman"/>
        </w:rPr>
        <w:t>/30cm</w:t>
      </w:r>
      <w:r>
        <w:rPr>
          <w:spacing w:val="-10"/>
        </w:rPr>
        <w:t>。层面高程</w:t>
      </w:r>
      <w:r>
        <w:rPr>
          <w:rFonts w:ascii="Times New Roman" w:eastAsia="Times New Roman"/>
        </w:rPr>
        <w:t>-54.84</w:t>
      </w:r>
      <w:r>
        <w:rPr/>
        <w:t>～</w:t>
      </w:r>
      <w:r>
        <w:rPr>
          <w:rFonts w:ascii="Times New Roman" w:eastAsia="Times New Roman"/>
        </w:rPr>
        <w:t>-52.63m</w:t>
      </w:r>
      <w:r>
        <w:rPr/>
        <w:t>， </w:t>
      </w:r>
      <w:r>
        <w:rPr>
          <w:spacing w:val="-13"/>
        </w:rPr>
        <w:t>揭露层厚 </w:t>
      </w:r>
      <w:r>
        <w:rPr>
          <w:rFonts w:ascii="Times New Roman" w:eastAsia="Times New Roman"/>
        </w:rPr>
        <w:t>0.50</w:t>
      </w:r>
      <w:r>
        <w:rPr/>
        <w:t>～</w:t>
      </w:r>
      <w:r>
        <w:rPr>
          <w:rFonts w:ascii="Times New Roman" w:eastAsia="Times New Roman"/>
        </w:rPr>
        <w:t>2.80m</w:t>
      </w:r>
      <w:r>
        <w:rPr/>
        <w:t>。</w:t>
      </w:r>
    </w:p>
    <w:p>
      <w:pPr>
        <w:spacing w:line="305" w:lineRule="exact" w:before="0"/>
        <w:ind w:left="778" w:right="0" w:firstLine="0"/>
        <w:jc w:val="left"/>
        <w:rPr>
          <w:sz w:val="24"/>
        </w:rPr>
      </w:pPr>
      <w:r>
        <w:rPr>
          <w:position w:val="2"/>
          <w:sz w:val="24"/>
        </w:rPr>
        <w:t>⑧</w:t>
      </w:r>
      <w:r>
        <w:rPr>
          <w:rFonts w:ascii="Times New Roman" w:hAnsi="Times New Roman" w:eastAsia="Times New Roman"/>
          <w:position w:val="2"/>
          <w:sz w:val="24"/>
        </w:rPr>
        <w:t>-3 </w:t>
      </w:r>
      <w:r>
        <w:rPr>
          <w:position w:val="2"/>
          <w:sz w:val="24"/>
        </w:rPr>
        <w:t>层：圆砾（</w:t>
      </w:r>
      <w:r>
        <w:rPr>
          <w:rFonts w:ascii="Times New Roman" w:hAnsi="Times New Roman" w:eastAsia="Times New Roman"/>
          <w:position w:val="2"/>
          <w:sz w:val="24"/>
        </w:rPr>
        <w:t>Q</w:t>
      </w:r>
      <w:r>
        <w:rPr>
          <w:rFonts w:ascii="Times New Roman" w:hAnsi="Times New Roman" w:eastAsia="Times New Roman"/>
          <w:sz w:val="16"/>
        </w:rPr>
        <w:t>3</w:t>
      </w:r>
      <w:r>
        <w:rPr>
          <w:rFonts w:ascii="Times New Roman" w:hAnsi="Times New Roman" w:eastAsia="Times New Roman"/>
          <w:position w:val="11"/>
          <w:sz w:val="16"/>
        </w:rPr>
        <w:t>al-pl</w:t>
      </w:r>
      <w:r>
        <w:rPr>
          <w:position w:val="2"/>
          <w:sz w:val="24"/>
        </w:rPr>
        <w:t>）</w:t>
      </w:r>
    </w:p>
    <w:p>
      <w:pPr>
        <w:pStyle w:val="BodyText"/>
        <w:spacing w:line="364" w:lineRule="auto" w:before="159"/>
        <w:ind w:left="218" w:right="232" w:firstLine="599"/>
        <w:jc w:val="both"/>
      </w:pPr>
      <w:r>
        <w:rPr>
          <w:spacing w:val="-23"/>
        </w:rPr>
        <w:t>灰色，饱和，密实为主，局部中密。主要成分为火山岩，呈亚圆形，粒径一般 </w:t>
      </w:r>
      <w:r>
        <w:rPr>
          <w:rFonts w:ascii="Times New Roman" w:eastAsia="Times New Roman"/>
          <w:spacing w:val="-3"/>
        </w:rPr>
        <w:t>0.50</w:t>
      </w:r>
      <w:r>
        <w:rPr>
          <w:spacing w:val="-3"/>
        </w:rPr>
        <w:t>～ </w:t>
      </w:r>
      <w:r>
        <w:rPr>
          <w:rFonts w:ascii="Times New Roman" w:eastAsia="Times New Roman"/>
        </w:rPr>
        <w:t>2.00cm</w:t>
      </w:r>
      <w:r>
        <w:rPr>
          <w:spacing w:val="-8"/>
        </w:rPr>
        <w:t>。砾石间大量为砂粒、粉粘粒充填。该层局部变相为砾砂及中砂、细砂等。颗分</w:t>
      </w:r>
      <w:r>
        <w:rPr>
          <w:spacing w:val="-1"/>
        </w:rPr>
        <w:t>结果平均含量：碎石粒</w:t>
      </w:r>
      <w:r>
        <w:rPr>
          <w:rFonts w:ascii="Times New Roman" w:eastAsia="Times New Roman"/>
        </w:rPr>
        <w:t>(</w:t>
      </w:r>
      <w:r>
        <w:rPr/>
        <w:t>粒径＞</w:t>
      </w:r>
      <w:r>
        <w:rPr>
          <w:rFonts w:ascii="Times New Roman" w:eastAsia="Times New Roman"/>
        </w:rPr>
        <w:t>20mm)</w:t>
      </w:r>
      <w:r>
        <w:rPr>
          <w:spacing w:val="-31"/>
        </w:rPr>
        <w:t>为 </w:t>
      </w:r>
      <w:r>
        <w:rPr>
          <w:rFonts w:ascii="Times New Roman" w:eastAsia="Times New Roman"/>
        </w:rPr>
        <w:t>19.3%</w:t>
      </w:r>
      <w:r>
        <w:rPr>
          <w:spacing w:val="-2"/>
        </w:rPr>
        <w:t>、砾石粒</w:t>
      </w:r>
      <w:r>
        <w:rPr>
          <w:rFonts w:ascii="Times New Roman" w:eastAsia="Times New Roman"/>
        </w:rPr>
        <w:t>(</w:t>
      </w:r>
      <w:r>
        <w:rPr>
          <w:spacing w:val="-21"/>
        </w:rPr>
        <w:t>粒径 </w:t>
      </w:r>
      <w:r>
        <w:rPr>
          <w:rFonts w:ascii="Times New Roman" w:eastAsia="Times New Roman"/>
        </w:rPr>
        <w:t>20</w:t>
      </w:r>
      <w:r>
        <w:rPr/>
        <w:t>～</w:t>
      </w:r>
      <w:r>
        <w:rPr>
          <w:rFonts w:ascii="Times New Roman" w:eastAsia="Times New Roman"/>
        </w:rPr>
        <w:t>2mm)</w:t>
      </w:r>
      <w:r>
        <w:rPr>
          <w:spacing w:val="-31"/>
        </w:rPr>
        <w:t>为 </w:t>
      </w:r>
      <w:r>
        <w:rPr>
          <w:rFonts w:ascii="Times New Roman" w:eastAsia="Times New Roman"/>
        </w:rPr>
        <w:t>31.2%</w:t>
      </w:r>
      <w:r>
        <w:rPr>
          <w:spacing w:val="-2"/>
        </w:rPr>
        <w:t>、砂粒</w:t>
      </w:r>
      <w:r>
        <w:rPr>
          <w:rFonts w:ascii="Times New Roman" w:eastAsia="Times New Roman"/>
          <w:spacing w:val="-2"/>
        </w:rPr>
        <w:t>(</w:t>
      </w:r>
      <w:r>
        <w:rPr>
          <w:spacing w:val="-23"/>
        </w:rPr>
        <w:t>粒径 </w:t>
      </w:r>
      <w:r>
        <w:rPr>
          <w:rFonts w:ascii="Times New Roman" w:eastAsia="Times New Roman"/>
        </w:rPr>
        <w:t>2</w:t>
      </w:r>
      <w:r>
        <w:rPr/>
        <w:t>～</w:t>
      </w:r>
      <w:r>
        <w:rPr>
          <w:rFonts w:ascii="Times New Roman" w:eastAsia="Times New Roman"/>
        </w:rPr>
        <w:t>0.075mm)</w:t>
      </w:r>
      <w:r>
        <w:rPr>
          <w:spacing w:val="-31"/>
        </w:rPr>
        <w:t>为 </w:t>
      </w:r>
      <w:r>
        <w:rPr>
          <w:rFonts w:ascii="Times New Roman" w:eastAsia="Times New Roman"/>
        </w:rPr>
        <w:t>31.3%</w:t>
      </w:r>
      <w:r>
        <w:rPr>
          <w:spacing w:val="-2"/>
        </w:rPr>
        <w:t>、粉粒</w:t>
      </w:r>
      <w:r>
        <w:rPr>
          <w:rFonts w:ascii="Times New Roman" w:eastAsia="Times New Roman"/>
        </w:rPr>
        <w:t>(</w:t>
      </w:r>
      <w:r>
        <w:rPr>
          <w:spacing w:val="-21"/>
        </w:rPr>
        <w:t>粒径 </w:t>
      </w:r>
      <w:r>
        <w:rPr>
          <w:rFonts w:ascii="Times New Roman" w:eastAsia="Times New Roman"/>
        </w:rPr>
        <w:t>0.075</w:t>
      </w:r>
      <w:r>
        <w:rPr/>
        <w:t>～</w:t>
      </w:r>
      <w:r>
        <w:rPr>
          <w:rFonts w:ascii="Times New Roman" w:eastAsia="Times New Roman"/>
        </w:rPr>
        <w:t>0.005mm)</w:t>
      </w:r>
      <w:r>
        <w:rPr>
          <w:spacing w:val="-31"/>
        </w:rPr>
        <w:t>为 </w:t>
      </w:r>
      <w:r>
        <w:rPr>
          <w:rFonts w:ascii="Times New Roman" w:eastAsia="Times New Roman"/>
        </w:rPr>
        <w:t>18.2%</w:t>
      </w:r>
      <w:r>
        <w:rPr>
          <w:spacing w:val="-1"/>
        </w:rPr>
        <w:t>，属低压缩性土。土</w:t>
      </w:r>
      <w:r>
        <w:rPr>
          <w:spacing w:val="-1"/>
          <w:position w:val="2"/>
        </w:rPr>
        <w:t>质不均匀。圆锥动力触探试验</w:t>
      </w:r>
      <w:r>
        <w:rPr>
          <w:rFonts w:ascii="Times New Roman" w:eastAsia="Times New Roman"/>
          <w:spacing w:val="-1"/>
          <w:position w:val="2"/>
        </w:rPr>
        <w:t>(N</w:t>
      </w:r>
      <w:r>
        <w:rPr>
          <w:rFonts w:ascii="Times New Roman" w:eastAsia="Times New Roman"/>
          <w:spacing w:val="-1"/>
          <w:sz w:val="16"/>
        </w:rPr>
        <w:t>63.5</w:t>
      </w:r>
      <w:r>
        <w:rPr>
          <w:rFonts w:ascii="Times New Roman" w:eastAsia="Times New Roman"/>
          <w:spacing w:val="-1"/>
          <w:position w:val="2"/>
        </w:rPr>
        <w:t>)</w:t>
      </w:r>
      <w:r>
        <w:rPr>
          <w:spacing w:val="-8"/>
          <w:position w:val="2"/>
        </w:rPr>
        <w:t>实击数为 </w:t>
      </w:r>
      <w:r>
        <w:rPr>
          <w:rFonts w:ascii="Times New Roman" w:eastAsia="Times New Roman"/>
          <w:position w:val="2"/>
        </w:rPr>
        <w:t>22</w:t>
      </w:r>
      <w:r>
        <w:rPr>
          <w:position w:val="2"/>
        </w:rPr>
        <w:t>～</w:t>
      </w:r>
      <w:r>
        <w:rPr>
          <w:rFonts w:ascii="Times New Roman" w:eastAsia="Times New Roman"/>
          <w:position w:val="2"/>
        </w:rPr>
        <w:t>46 </w:t>
      </w:r>
      <w:r>
        <w:rPr>
          <w:position w:val="2"/>
        </w:rPr>
        <w:t>击</w:t>
      </w:r>
      <w:r>
        <w:rPr>
          <w:rFonts w:ascii="Times New Roman" w:eastAsia="Times New Roman"/>
          <w:position w:val="2"/>
        </w:rPr>
        <w:t>/10cm</w:t>
      </w:r>
      <w:r>
        <w:rPr>
          <w:position w:val="2"/>
        </w:rPr>
        <w:t>，该层分布稳定。层面高</w:t>
      </w:r>
      <w:r>
        <w:rPr/>
        <w:t>程</w:t>
      </w:r>
      <w:r>
        <w:rPr>
          <w:rFonts w:ascii="Times New Roman" w:eastAsia="Times New Roman"/>
        </w:rPr>
        <w:t>-56.43</w:t>
      </w:r>
      <w:r>
        <w:rPr/>
        <w:t>～</w:t>
      </w:r>
      <w:r>
        <w:rPr>
          <w:rFonts w:ascii="Times New Roman" w:eastAsia="Times New Roman"/>
        </w:rPr>
        <w:t>-52.26m</w:t>
      </w:r>
      <w:r>
        <w:rPr>
          <w:spacing w:val="-11"/>
        </w:rPr>
        <w:t>，揭露层厚 </w:t>
      </w:r>
      <w:r>
        <w:rPr>
          <w:rFonts w:ascii="Times New Roman" w:eastAsia="Times New Roman"/>
        </w:rPr>
        <w:t>0.90</w:t>
      </w:r>
      <w:r>
        <w:rPr/>
        <w:t>～</w:t>
      </w:r>
      <w:r>
        <w:rPr>
          <w:rFonts w:ascii="Times New Roman" w:eastAsia="Times New Roman"/>
        </w:rPr>
        <w:t>10.70m</w:t>
      </w:r>
      <w:r>
        <w:rPr/>
        <w:t>。</w:t>
      </w:r>
    </w:p>
    <w:p>
      <w:pPr>
        <w:pStyle w:val="Heading4"/>
        <w:spacing w:line="304" w:lineRule="exact"/>
      </w:pPr>
      <w:r>
        <w:rPr>
          <w:rFonts w:ascii="Times New Roman" w:eastAsia="Times New Roman"/>
        </w:rPr>
        <w:t>2</w:t>
      </w:r>
      <w:r>
        <w:rPr/>
        <w:t>、地质结构</w:t>
      </w:r>
    </w:p>
    <w:p>
      <w:pPr>
        <w:spacing w:after="0" w:line="304" w:lineRule="exact"/>
        <w:sectPr>
          <w:pgSz w:w="11910" w:h="16840"/>
          <w:pgMar w:header="872" w:footer="803" w:top="1320" w:bottom="1000" w:left="1200" w:right="1180"/>
        </w:sectPr>
      </w:pPr>
    </w:p>
    <w:p>
      <w:pPr>
        <w:pStyle w:val="BodyText"/>
        <w:spacing w:line="364" w:lineRule="auto" w:before="84"/>
        <w:ind w:left="218" w:right="113" w:firstLine="480"/>
        <w:jc w:val="both"/>
      </w:pPr>
      <w:r>
        <w:rPr>
          <w:spacing w:val="-3"/>
        </w:rPr>
        <w:t>该区域主要由华夏系、东西向及</w:t>
      </w:r>
      <w:r>
        <w:rPr>
          <w:rFonts w:ascii="Times New Roman" w:hAnsi="Times New Roman" w:eastAsia="Times New Roman"/>
        </w:rPr>
        <w:t>“</w:t>
      </w:r>
      <w:r>
        <w:rPr/>
        <w:t>山字型</w:t>
      </w:r>
      <w:r>
        <w:rPr>
          <w:rFonts w:ascii="Times New Roman" w:hAnsi="Times New Roman" w:eastAsia="Times New Roman"/>
        </w:rPr>
        <w:t>”</w:t>
      </w:r>
      <w:r>
        <w:rPr/>
        <w:t>等构造体系彼此复合而交织起来的一副构造图案，岩基山区和平原掩盖区构造的水文地质意义不同，评价区域位于平原掩盖区， 掩盖区基底构造控制了基底起伏、第四系沉积厚度、古河道以及覆盖性岩溶带的分布。</w:t>
      </w:r>
      <w:r>
        <w:rPr>
          <w:spacing w:val="-12"/>
        </w:rPr>
        <w:t>由一系列规模巨大地北东、北北东向断裂带及其相间的分布的中生代隆起、拗陷带组成。</w:t>
      </w:r>
    </w:p>
    <w:p>
      <w:pPr>
        <w:pStyle w:val="ListParagraph"/>
        <w:numPr>
          <w:ilvl w:val="4"/>
          <w:numId w:val="30"/>
        </w:numPr>
        <w:tabs>
          <w:tab w:pos="980" w:val="left" w:leader="none"/>
        </w:tabs>
        <w:spacing w:line="362" w:lineRule="auto" w:before="0" w:after="0"/>
        <w:ind w:left="218" w:right="234" w:firstLine="480"/>
        <w:jc w:val="left"/>
        <w:rPr>
          <w:sz w:val="24"/>
        </w:rPr>
      </w:pPr>
      <w:r>
        <w:rPr>
          <w:spacing w:val="-5"/>
          <w:sz w:val="24"/>
        </w:rPr>
        <w:t>北东向断裂带：主要由安溪</w:t>
      </w:r>
      <w:r>
        <w:rPr>
          <w:rFonts w:ascii="Times New Roman" w:eastAsia="Times New Roman"/>
          <w:sz w:val="24"/>
        </w:rPr>
        <w:t>-</w:t>
      </w:r>
      <w:r>
        <w:rPr>
          <w:spacing w:val="-7"/>
          <w:sz w:val="24"/>
        </w:rPr>
        <w:t>新市、赭山</w:t>
      </w:r>
      <w:r>
        <w:rPr>
          <w:rFonts w:ascii="Times New Roman" w:eastAsia="Times New Roman"/>
          <w:sz w:val="24"/>
        </w:rPr>
        <w:t>-</w:t>
      </w:r>
      <w:r>
        <w:rPr>
          <w:sz w:val="24"/>
        </w:rPr>
        <w:t>石泉和绍兴</w:t>
      </w:r>
      <w:r>
        <w:rPr>
          <w:rFonts w:ascii="Times New Roman" w:eastAsia="Times New Roman"/>
          <w:sz w:val="24"/>
        </w:rPr>
        <w:t>-</w:t>
      </w:r>
      <w:r>
        <w:rPr>
          <w:spacing w:val="-5"/>
          <w:sz w:val="24"/>
        </w:rPr>
        <w:t>沥海等断裂额带，他们分别</w:t>
      </w:r>
      <w:r>
        <w:rPr>
          <w:sz w:val="24"/>
        </w:rPr>
        <w:t>为马金</w:t>
      </w:r>
      <w:r>
        <w:rPr>
          <w:rFonts w:ascii="Times New Roman" w:eastAsia="Times New Roman"/>
          <w:sz w:val="24"/>
        </w:rPr>
        <w:t>-</w:t>
      </w:r>
      <w:r>
        <w:rPr>
          <w:sz w:val="24"/>
        </w:rPr>
        <w:t>临安</w:t>
      </w:r>
      <w:r>
        <w:rPr>
          <w:rFonts w:ascii="Times New Roman" w:eastAsia="Times New Roman"/>
          <w:sz w:val="24"/>
        </w:rPr>
        <w:t>-</w:t>
      </w:r>
      <w:r>
        <w:rPr>
          <w:sz w:val="24"/>
        </w:rPr>
        <w:t>乌钲、常山</w:t>
      </w:r>
      <w:r>
        <w:rPr>
          <w:rFonts w:ascii="Times New Roman" w:eastAsia="Times New Roman"/>
          <w:sz w:val="24"/>
        </w:rPr>
        <w:t>-</w:t>
      </w:r>
      <w:r>
        <w:rPr>
          <w:sz w:val="24"/>
        </w:rPr>
        <w:t>肖山</w:t>
      </w:r>
      <w:r>
        <w:rPr>
          <w:rFonts w:ascii="Times New Roman" w:eastAsia="Times New Roman"/>
          <w:sz w:val="24"/>
        </w:rPr>
        <w:t>-</w:t>
      </w:r>
      <w:r>
        <w:rPr>
          <w:sz w:val="24"/>
        </w:rPr>
        <w:t>奉贤和江山</w:t>
      </w:r>
      <w:r>
        <w:rPr>
          <w:rFonts w:ascii="Times New Roman" w:eastAsia="Times New Roman"/>
          <w:sz w:val="24"/>
        </w:rPr>
        <w:t>-</w:t>
      </w:r>
      <w:r>
        <w:rPr>
          <w:sz w:val="24"/>
        </w:rPr>
        <w:t>绍兴大断裂带的北东部分。</w:t>
      </w:r>
    </w:p>
    <w:p>
      <w:pPr>
        <w:pStyle w:val="ListParagraph"/>
        <w:numPr>
          <w:ilvl w:val="4"/>
          <w:numId w:val="30"/>
        </w:numPr>
        <w:tabs>
          <w:tab w:pos="980" w:val="left" w:leader="none"/>
        </w:tabs>
        <w:spacing w:line="364" w:lineRule="auto" w:before="3" w:after="0"/>
        <w:ind w:left="698" w:right="235" w:firstLine="0"/>
        <w:jc w:val="left"/>
        <w:rPr>
          <w:sz w:val="24"/>
        </w:rPr>
      </w:pPr>
      <w:r>
        <w:rPr>
          <w:sz w:val="24"/>
        </w:rPr>
        <w:t>北北东向断裂带：主要由余姚</w:t>
      </w:r>
      <w:r>
        <w:rPr>
          <w:rFonts w:ascii="Times New Roman" w:eastAsia="Times New Roman"/>
          <w:sz w:val="24"/>
        </w:rPr>
        <w:t>-</w:t>
      </w:r>
      <w:r>
        <w:rPr>
          <w:sz w:val="24"/>
        </w:rPr>
        <w:t>庵东断裂带、系丽水</w:t>
      </w:r>
      <w:r>
        <w:rPr>
          <w:rFonts w:ascii="Times New Roman" w:eastAsia="Times New Roman"/>
          <w:sz w:val="24"/>
        </w:rPr>
        <w:t>-</w:t>
      </w:r>
      <w:r>
        <w:rPr>
          <w:sz w:val="24"/>
        </w:rPr>
        <w:t>余姚大断带的北延部分。</w:t>
      </w:r>
      <w:r>
        <w:rPr>
          <w:rFonts w:ascii="Times New Roman" w:eastAsia="Times New Roman"/>
          <w:sz w:val="24"/>
        </w:rPr>
        <w:t>(3)</w:t>
      </w:r>
      <w:r>
        <w:rPr>
          <w:spacing w:val="-4"/>
          <w:sz w:val="24"/>
        </w:rPr>
        <w:t>北东向隆起带：主要有临平</w:t>
      </w:r>
      <w:r>
        <w:rPr>
          <w:rFonts w:ascii="Times New Roman" w:eastAsia="Times New Roman"/>
          <w:sz w:val="24"/>
        </w:rPr>
        <w:t>-</w:t>
      </w:r>
      <w:r>
        <w:rPr>
          <w:spacing w:val="-5"/>
          <w:sz w:val="24"/>
        </w:rPr>
        <w:t>硖石、赭山</w:t>
      </w:r>
      <w:r>
        <w:rPr>
          <w:rFonts w:ascii="Times New Roman" w:eastAsia="Times New Roman"/>
          <w:sz w:val="24"/>
        </w:rPr>
        <w:t>-</w:t>
      </w:r>
      <w:r>
        <w:rPr>
          <w:spacing w:val="-5"/>
          <w:sz w:val="24"/>
        </w:rPr>
        <w:t>袁化、小岳</w:t>
      </w:r>
      <w:r>
        <w:rPr>
          <w:rFonts w:ascii="Times New Roman" w:eastAsia="Times New Roman"/>
          <w:sz w:val="24"/>
        </w:rPr>
        <w:t>-</w:t>
      </w:r>
      <w:r>
        <w:rPr>
          <w:spacing w:val="-5"/>
          <w:sz w:val="24"/>
        </w:rPr>
        <w:t>临山等隆起带，主要有古生</w:t>
      </w:r>
    </w:p>
    <w:p>
      <w:pPr>
        <w:pStyle w:val="BodyText"/>
        <w:spacing w:line="306" w:lineRule="exact"/>
        <w:ind w:left="218"/>
      </w:pPr>
      <w:r>
        <w:rPr/>
        <w:t>代地层组成。</w:t>
      </w:r>
    </w:p>
    <w:p>
      <w:pPr>
        <w:pStyle w:val="BodyText"/>
        <w:spacing w:line="362" w:lineRule="auto" w:before="161"/>
        <w:ind w:left="218" w:right="237" w:firstLine="480"/>
      </w:pPr>
      <w:r>
        <w:rPr>
          <w:rFonts w:ascii="Times New Roman" w:eastAsia="Times New Roman"/>
        </w:rPr>
        <w:t>(4)</w:t>
      </w:r>
      <w:r>
        <w:rPr>
          <w:spacing w:val="-9"/>
        </w:rPr>
        <w:t>北东向拗陷带：主要有下舍、桐乡、三墩、乔司、瓜沥、长河等拗陷带，除长河</w:t>
      </w:r>
      <w:r>
        <w:rPr/>
        <w:t>拗陷带有第三季组成外，均有白垩纪地层组成。</w:t>
      </w:r>
    </w:p>
    <w:p>
      <w:pPr>
        <w:pStyle w:val="BodyText"/>
        <w:spacing w:before="5"/>
        <w:ind w:left="698"/>
      </w:pPr>
      <w:r>
        <w:rPr/>
        <w:t>评价区的地层为中生届上侏罗系上统，分层如下表所示。</w:t>
      </w:r>
    </w:p>
    <w:p>
      <w:pPr>
        <w:pStyle w:val="BodyText"/>
        <w:spacing w:before="5"/>
        <w:rPr>
          <w:sz w:val="23"/>
        </w:rPr>
      </w:pPr>
    </w:p>
    <w:p>
      <w:pPr>
        <w:pStyle w:val="BodyText"/>
        <w:tabs>
          <w:tab w:pos="1219" w:val="left" w:leader="none"/>
        </w:tabs>
        <w:spacing w:after="29"/>
        <w:ind w:right="18"/>
        <w:jc w:val="center"/>
      </w:pPr>
      <w:r>
        <w:rPr/>
        <w:t>表</w:t>
      </w:r>
      <w:r>
        <w:rPr>
          <w:spacing w:val="-61"/>
        </w:rPr>
        <w:t> </w:t>
      </w:r>
      <w:r>
        <w:rPr>
          <w:rFonts w:ascii="Times New Roman" w:eastAsia="Times New Roman"/>
        </w:rPr>
        <w:t>7.2.3-1</w:t>
        <w:tab/>
      </w:r>
      <w:r>
        <w:rPr/>
        <w:t>第四系区域构造划分表</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
        <w:gridCol w:w="273"/>
        <w:gridCol w:w="275"/>
        <w:gridCol w:w="1101"/>
        <w:gridCol w:w="1102"/>
        <w:gridCol w:w="1236"/>
        <w:gridCol w:w="4815"/>
      </w:tblGrid>
      <w:tr>
        <w:trPr>
          <w:trHeight w:val="544" w:hRule="atLeast"/>
        </w:trPr>
        <w:tc>
          <w:tcPr>
            <w:tcW w:w="278" w:type="dxa"/>
          </w:tcPr>
          <w:p>
            <w:pPr>
              <w:pStyle w:val="TableParagraph"/>
              <w:spacing w:before="138"/>
              <w:ind w:left="31"/>
              <w:jc w:val="left"/>
              <w:rPr>
                <w:sz w:val="21"/>
              </w:rPr>
            </w:pPr>
            <w:r>
              <w:rPr>
                <w:w w:val="100"/>
                <w:sz w:val="21"/>
              </w:rPr>
              <w:t>界</w:t>
            </w:r>
          </w:p>
        </w:tc>
        <w:tc>
          <w:tcPr>
            <w:tcW w:w="273" w:type="dxa"/>
          </w:tcPr>
          <w:p>
            <w:pPr>
              <w:pStyle w:val="TableParagraph"/>
              <w:spacing w:before="138"/>
              <w:ind w:left="31"/>
              <w:jc w:val="left"/>
              <w:rPr>
                <w:sz w:val="21"/>
              </w:rPr>
            </w:pPr>
            <w:r>
              <w:rPr>
                <w:w w:val="100"/>
                <w:sz w:val="21"/>
              </w:rPr>
              <w:t>系</w:t>
            </w:r>
          </w:p>
        </w:tc>
        <w:tc>
          <w:tcPr>
            <w:tcW w:w="275" w:type="dxa"/>
          </w:tcPr>
          <w:p>
            <w:pPr>
              <w:pStyle w:val="TableParagraph"/>
              <w:spacing w:before="138"/>
              <w:ind w:left="31"/>
              <w:jc w:val="left"/>
              <w:rPr>
                <w:sz w:val="21"/>
              </w:rPr>
            </w:pPr>
            <w:r>
              <w:rPr>
                <w:w w:val="100"/>
                <w:sz w:val="21"/>
              </w:rPr>
              <w:t>统</w:t>
            </w:r>
          </w:p>
        </w:tc>
        <w:tc>
          <w:tcPr>
            <w:tcW w:w="1101" w:type="dxa"/>
          </w:tcPr>
          <w:p>
            <w:pPr>
              <w:pStyle w:val="TableParagraph"/>
              <w:spacing w:before="1"/>
              <w:ind w:left="131"/>
              <w:jc w:val="left"/>
              <w:rPr>
                <w:sz w:val="21"/>
              </w:rPr>
            </w:pPr>
            <w:r>
              <w:rPr>
                <w:spacing w:val="-1"/>
                <w:sz w:val="21"/>
              </w:rPr>
              <w:t>地方名称</w:t>
            </w:r>
          </w:p>
          <w:p>
            <w:pPr>
              <w:pStyle w:val="TableParagraph"/>
              <w:spacing w:line="250" w:lineRule="exact" w:before="4"/>
              <w:ind w:left="167"/>
              <w:jc w:val="left"/>
              <w:rPr>
                <w:rFonts w:ascii="Times New Roman" w:eastAsia="Times New Roman"/>
                <w:sz w:val="21"/>
              </w:rPr>
            </w:pPr>
            <w:r>
              <w:rPr>
                <w:rFonts w:ascii="Times New Roman" w:eastAsia="Times New Roman"/>
                <w:spacing w:val="-1"/>
                <w:sz w:val="21"/>
              </w:rPr>
              <w:t>(</w:t>
            </w:r>
            <w:r>
              <w:rPr>
                <w:sz w:val="21"/>
              </w:rPr>
              <w:t>群组段</w:t>
            </w:r>
            <w:r>
              <w:rPr>
                <w:rFonts w:ascii="Times New Roman" w:eastAsia="Times New Roman"/>
                <w:sz w:val="21"/>
              </w:rPr>
              <w:t>)</w:t>
            </w:r>
          </w:p>
        </w:tc>
        <w:tc>
          <w:tcPr>
            <w:tcW w:w="1102" w:type="dxa"/>
          </w:tcPr>
          <w:p>
            <w:pPr>
              <w:pStyle w:val="TableParagraph"/>
              <w:spacing w:before="1"/>
              <w:ind w:left="14"/>
              <w:rPr>
                <w:sz w:val="21"/>
              </w:rPr>
            </w:pPr>
            <w:r>
              <w:rPr>
                <w:sz w:val="21"/>
              </w:rPr>
              <w:t>代号及接触</w:t>
            </w:r>
          </w:p>
          <w:p>
            <w:pPr>
              <w:pStyle w:val="TableParagraph"/>
              <w:spacing w:line="250" w:lineRule="exact" w:before="4"/>
              <w:ind w:left="16"/>
              <w:rPr>
                <w:sz w:val="21"/>
              </w:rPr>
            </w:pPr>
            <w:r>
              <w:rPr>
                <w:sz w:val="21"/>
              </w:rPr>
              <w:t>关系</w:t>
            </w:r>
          </w:p>
        </w:tc>
        <w:tc>
          <w:tcPr>
            <w:tcW w:w="1236" w:type="dxa"/>
          </w:tcPr>
          <w:p>
            <w:pPr>
              <w:pStyle w:val="TableParagraph"/>
              <w:spacing w:before="138"/>
              <w:ind w:left="71" w:right="58"/>
              <w:rPr>
                <w:rFonts w:ascii="Times New Roman" w:eastAsia="Times New Roman"/>
                <w:sz w:val="21"/>
              </w:rPr>
            </w:pPr>
            <w:r>
              <w:rPr>
                <w:sz w:val="21"/>
              </w:rPr>
              <w:t>厚度</w:t>
            </w:r>
            <w:r>
              <w:rPr>
                <w:rFonts w:ascii="Times New Roman" w:eastAsia="Times New Roman"/>
                <w:sz w:val="21"/>
              </w:rPr>
              <w:t>(</w:t>
            </w:r>
            <w:r>
              <w:rPr>
                <w:sz w:val="21"/>
              </w:rPr>
              <w:t>米</w:t>
            </w:r>
            <w:r>
              <w:rPr>
                <w:rFonts w:ascii="Times New Roman" w:eastAsia="Times New Roman"/>
                <w:sz w:val="21"/>
              </w:rPr>
              <w:t>)</w:t>
            </w:r>
          </w:p>
        </w:tc>
        <w:tc>
          <w:tcPr>
            <w:tcW w:w="4815" w:type="dxa"/>
          </w:tcPr>
          <w:p>
            <w:pPr>
              <w:pStyle w:val="TableParagraph"/>
              <w:spacing w:before="138"/>
              <w:ind w:left="42" w:right="25"/>
              <w:rPr>
                <w:sz w:val="21"/>
              </w:rPr>
            </w:pPr>
            <w:r>
              <w:rPr>
                <w:sz w:val="21"/>
              </w:rPr>
              <w:t>岩性简述</w:t>
            </w:r>
          </w:p>
        </w:tc>
      </w:tr>
      <w:tr>
        <w:trPr>
          <w:trHeight w:val="273" w:hRule="atLeast"/>
        </w:trPr>
        <w:tc>
          <w:tcPr>
            <w:tcW w:w="278" w:type="dxa"/>
            <w:vMerge w:val="restart"/>
          </w:tcPr>
          <w:p>
            <w:pPr>
              <w:pStyle w:val="TableParagraph"/>
              <w:spacing w:before="7"/>
              <w:jc w:val="left"/>
              <w:rPr>
                <w:sz w:val="22"/>
              </w:rPr>
            </w:pPr>
          </w:p>
          <w:p>
            <w:pPr>
              <w:pStyle w:val="TableParagraph"/>
              <w:spacing w:line="242" w:lineRule="auto"/>
              <w:ind w:left="31" w:right="23"/>
              <w:jc w:val="both"/>
              <w:rPr>
                <w:sz w:val="21"/>
              </w:rPr>
            </w:pPr>
            <w:r>
              <w:rPr>
                <w:sz w:val="21"/>
              </w:rPr>
              <w:t>中生界</w:t>
            </w:r>
          </w:p>
        </w:tc>
        <w:tc>
          <w:tcPr>
            <w:tcW w:w="273" w:type="dxa"/>
            <w:vMerge w:val="restart"/>
          </w:tcPr>
          <w:p>
            <w:pPr>
              <w:pStyle w:val="TableParagraph"/>
              <w:spacing w:before="7"/>
              <w:jc w:val="left"/>
              <w:rPr>
                <w:sz w:val="22"/>
              </w:rPr>
            </w:pPr>
          </w:p>
          <w:p>
            <w:pPr>
              <w:pStyle w:val="TableParagraph"/>
              <w:spacing w:line="242" w:lineRule="auto"/>
              <w:ind w:left="31" w:right="18"/>
              <w:jc w:val="both"/>
              <w:rPr>
                <w:sz w:val="21"/>
              </w:rPr>
            </w:pPr>
            <w:r>
              <w:rPr>
                <w:sz w:val="21"/>
              </w:rPr>
              <w:t>侏罗纪</w:t>
            </w:r>
          </w:p>
        </w:tc>
        <w:tc>
          <w:tcPr>
            <w:tcW w:w="275" w:type="dxa"/>
            <w:vMerge w:val="restart"/>
          </w:tcPr>
          <w:p>
            <w:pPr>
              <w:pStyle w:val="TableParagraph"/>
              <w:jc w:val="left"/>
              <w:rPr>
                <w:sz w:val="20"/>
              </w:rPr>
            </w:pPr>
          </w:p>
          <w:p>
            <w:pPr>
              <w:pStyle w:val="TableParagraph"/>
              <w:spacing w:line="242" w:lineRule="auto" w:before="169"/>
              <w:ind w:left="31" w:right="19"/>
              <w:jc w:val="left"/>
              <w:rPr>
                <w:sz w:val="21"/>
              </w:rPr>
            </w:pPr>
            <w:r>
              <w:rPr>
                <w:sz w:val="21"/>
              </w:rPr>
              <w:t>上统</w:t>
            </w:r>
          </w:p>
        </w:tc>
        <w:tc>
          <w:tcPr>
            <w:tcW w:w="1101" w:type="dxa"/>
          </w:tcPr>
          <w:p>
            <w:pPr>
              <w:pStyle w:val="TableParagraph"/>
              <w:spacing w:line="252" w:lineRule="exact" w:before="1"/>
              <w:ind w:left="344"/>
              <w:jc w:val="left"/>
              <w:rPr>
                <w:sz w:val="21"/>
              </w:rPr>
            </w:pPr>
            <w:r>
              <w:rPr>
                <w:rFonts w:ascii="Times New Roman" w:eastAsia="Times New Roman"/>
                <w:sz w:val="21"/>
              </w:rPr>
              <w:t>D </w:t>
            </w:r>
            <w:r>
              <w:rPr>
                <w:sz w:val="21"/>
              </w:rPr>
              <w:t>段</w:t>
            </w:r>
          </w:p>
        </w:tc>
        <w:tc>
          <w:tcPr>
            <w:tcW w:w="1102" w:type="dxa"/>
          </w:tcPr>
          <w:p>
            <w:pPr>
              <w:pStyle w:val="TableParagraph"/>
              <w:spacing w:line="241" w:lineRule="exact" w:before="12"/>
              <w:ind w:left="441"/>
              <w:jc w:val="left"/>
              <w:rPr>
                <w:rFonts w:ascii="Times New Roman"/>
                <w:sz w:val="14"/>
              </w:rPr>
            </w:pPr>
            <w:r>
              <w:rPr>
                <w:rFonts w:ascii="Times New Roman"/>
                <w:position w:val="2"/>
                <w:sz w:val="21"/>
              </w:rPr>
              <w:t>J</w:t>
            </w:r>
            <w:r>
              <w:rPr>
                <w:rFonts w:ascii="Times New Roman"/>
                <w:sz w:val="14"/>
              </w:rPr>
              <w:t>3</w:t>
            </w:r>
            <w:r>
              <w:rPr>
                <w:rFonts w:ascii="Times New Roman"/>
                <w:position w:val="9"/>
                <w:sz w:val="14"/>
              </w:rPr>
              <w:t>d</w:t>
            </w:r>
          </w:p>
        </w:tc>
        <w:tc>
          <w:tcPr>
            <w:tcW w:w="1236" w:type="dxa"/>
          </w:tcPr>
          <w:p>
            <w:pPr>
              <w:pStyle w:val="TableParagraph"/>
              <w:spacing w:line="236" w:lineRule="exact" w:before="17"/>
              <w:ind w:left="71" w:right="59"/>
              <w:rPr>
                <w:rFonts w:ascii="Times New Roman"/>
                <w:sz w:val="21"/>
              </w:rPr>
            </w:pPr>
            <w:r>
              <w:rPr>
                <w:rFonts w:ascii="Times New Roman"/>
                <w:sz w:val="21"/>
              </w:rPr>
              <w:t>1600</w:t>
            </w:r>
          </w:p>
        </w:tc>
        <w:tc>
          <w:tcPr>
            <w:tcW w:w="4815" w:type="dxa"/>
          </w:tcPr>
          <w:p>
            <w:pPr>
              <w:pStyle w:val="TableParagraph"/>
              <w:spacing w:line="252" w:lineRule="exact" w:before="1"/>
              <w:ind w:left="42" w:right="25"/>
              <w:rPr>
                <w:sz w:val="21"/>
              </w:rPr>
            </w:pPr>
            <w:r>
              <w:rPr>
                <w:sz w:val="21"/>
              </w:rPr>
              <w:t>上部凝灰岩，角砾熔岩；下部流纹斑岩</w:t>
            </w:r>
          </w:p>
        </w:tc>
      </w:tr>
      <w:tr>
        <w:trPr>
          <w:trHeight w:val="273" w:hRule="atLeast"/>
        </w:trPr>
        <w:tc>
          <w:tcPr>
            <w:tcW w:w="278" w:type="dxa"/>
            <w:vMerge/>
            <w:tcBorders>
              <w:top w:val="nil"/>
            </w:tcBorders>
          </w:tcPr>
          <w:p>
            <w:pPr>
              <w:rPr>
                <w:sz w:val="2"/>
                <w:szCs w:val="2"/>
              </w:rPr>
            </w:pPr>
          </w:p>
        </w:tc>
        <w:tc>
          <w:tcPr>
            <w:tcW w:w="273" w:type="dxa"/>
            <w:vMerge/>
            <w:tcBorders>
              <w:top w:val="nil"/>
            </w:tcBorders>
          </w:tcPr>
          <w:p>
            <w:pPr>
              <w:rPr>
                <w:sz w:val="2"/>
                <w:szCs w:val="2"/>
              </w:rPr>
            </w:pPr>
          </w:p>
        </w:tc>
        <w:tc>
          <w:tcPr>
            <w:tcW w:w="275" w:type="dxa"/>
            <w:vMerge/>
            <w:tcBorders>
              <w:top w:val="nil"/>
            </w:tcBorders>
          </w:tcPr>
          <w:p>
            <w:pPr>
              <w:rPr>
                <w:sz w:val="2"/>
                <w:szCs w:val="2"/>
              </w:rPr>
            </w:pPr>
          </w:p>
        </w:tc>
        <w:tc>
          <w:tcPr>
            <w:tcW w:w="1101" w:type="dxa"/>
          </w:tcPr>
          <w:p>
            <w:pPr>
              <w:pStyle w:val="TableParagraph"/>
              <w:spacing w:line="252" w:lineRule="exact" w:before="1"/>
              <w:ind w:left="349"/>
              <w:jc w:val="left"/>
              <w:rPr>
                <w:sz w:val="21"/>
              </w:rPr>
            </w:pPr>
            <w:r>
              <w:rPr>
                <w:rFonts w:ascii="Times New Roman" w:eastAsia="Times New Roman"/>
                <w:sz w:val="21"/>
              </w:rPr>
              <w:t>C </w:t>
            </w:r>
            <w:r>
              <w:rPr>
                <w:sz w:val="21"/>
              </w:rPr>
              <w:t>段</w:t>
            </w:r>
          </w:p>
        </w:tc>
        <w:tc>
          <w:tcPr>
            <w:tcW w:w="1102" w:type="dxa"/>
          </w:tcPr>
          <w:p>
            <w:pPr>
              <w:pStyle w:val="TableParagraph"/>
              <w:spacing w:line="244" w:lineRule="exact" w:before="9"/>
              <w:ind w:left="446"/>
              <w:jc w:val="left"/>
              <w:rPr>
                <w:rFonts w:ascii="Times New Roman"/>
                <w:sz w:val="14"/>
              </w:rPr>
            </w:pPr>
            <w:r>
              <w:rPr>
                <w:rFonts w:ascii="Times New Roman"/>
                <w:position w:val="2"/>
                <w:sz w:val="21"/>
              </w:rPr>
              <w:t>J</w:t>
            </w:r>
            <w:r>
              <w:rPr>
                <w:rFonts w:ascii="Times New Roman"/>
                <w:sz w:val="14"/>
              </w:rPr>
              <w:t>3</w:t>
            </w:r>
            <w:r>
              <w:rPr>
                <w:rFonts w:ascii="Times New Roman"/>
                <w:position w:val="9"/>
                <w:sz w:val="14"/>
              </w:rPr>
              <w:t>c</w:t>
            </w:r>
          </w:p>
        </w:tc>
        <w:tc>
          <w:tcPr>
            <w:tcW w:w="1236" w:type="dxa"/>
          </w:tcPr>
          <w:p>
            <w:pPr>
              <w:pStyle w:val="TableParagraph"/>
              <w:spacing w:line="252" w:lineRule="exact" w:before="1"/>
              <w:ind w:left="70" w:right="60"/>
              <w:rPr>
                <w:sz w:val="21"/>
              </w:rPr>
            </w:pPr>
            <w:r>
              <w:rPr>
                <w:rFonts w:ascii="Times New Roman" w:eastAsia="Times New Roman"/>
                <w:sz w:val="21"/>
              </w:rPr>
              <w:t>200 </w:t>
            </w:r>
            <w:r>
              <w:rPr>
                <w:sz w:val="21"/>
              </w:rPr>
              <w:t>文斑岩</w:t>
            </w:r>
          </w:p>
        </w:tc>
        <w:tc>
          <w:tcPr>
            <w:tcW w:w="4815" w:type="dxa"/>
          </w:tcPr>
          <w:p>
            <w:pPr>
              <w:pStyle w:val="TableParagraph"/>
              <w:spacing w:line="252" w:lineRule="exact" w:before="1"/>
              <w:ind w:left="40" w:right="25"/>
              <w:rPr>
                <w:sz w:val="21"/>
              </w:rPr>
            </w:pPr>
            <w:r>
              <w:rPr>
                <w:sz w:val="21"/>
              </w:rPr>
              <w:t>中上部凝灰岩、曾凝灰岩；下部凝灰质砂砾岩</w:t>
            </w:r>
          </w:p>
        </w:tc>
      </w:tr>
      <w:tr>
        <w:trPr>
          <w:trHeight w:val="270" w:hRule="atLeast"/>
        </w:trPr>
        <w:tc>
          <w:tcPr>
            <w:tcW w:w="278" w:type="dxa"/>
            <w:vMerge/>
            <w:tcBorders>
              <w:top w:val="nil"/>
            </w:tcBorders>
          </w:tcPr>
          <w:p>
            <w:pPr>
              <w:rPr>
                <w:sz w:val="2"/>
                <w:szCs w:val="2"/>
              </w:rPr>
            </w:pPr>
          </w:p>
        </w:tc>
        <w:tc>
          <w:tcPr>
            <w:tcW w:w="273" w:type="dxa"/>
            <w:vMerge/>
            <w:tcBorders>
              <w:top w:val="nil"/>
            </w:tcBorders>
          </w:tcPr>
          <w:p>
            <w:pPr>
              <w:rPr>
                <w:sz w:val="2"/>
                <w:szCs w:val="2"/>
              </w:rPr>
            </w:pPr>
          </w:p>
        </w:tc>
        <w:tc>
          <w:tcPr>
            <w:tcW w:w="275" w:type="dxa"/>
            <w:vMerge/>
            <w:tcBorders>
              <w:top w:val="nil"/>
            </w:tcBorders>
          </w:tcPr>
          <w:p>
            <w:pPr>
              <w:rPr>
                <w:sz w:val="2"/>
                <w:szCs w:val="2"/>
              </w:rPr>
            </w:pPr>
          </w:p>
        </w:tc>
        <w:tc>
          <w:tcPr>
            <w:tcW w:w="1101" w:type="dxa"/>
          </w:tcPr>
          <w:p>
            <w:pPr>
              <w:pStyle w:val="TableParagraph"/>
              <w:spacing w:line="250" w:lineRule="exact" w:before="1"/>
              <w:ind w:left="349"/>
              <w:jc w:val="left"/>
              <w:rPr>
                <w:sz w:val="21"/>
              </w:rPr>
            </w:pPr>
            <w:r>
              <w:rPr>
                <w:rFonts w:ascii="Times New Roman" w:eastAsia="Times New Roman"/>
                <w:sz w:val="21"/>
              </w:rPr>
              <w:t>B </w:t>
            </w:r>
            <w:r>
              <w:rPr>
                <w:sz w:val="21"/>
              </w:rPr>
              <w:t>段</w:t>
            </w:r>
          </w:p>
        </w:tc>
        <w:tc>
          <w:tcPr>
            <w:tcW w:w="1102" w:type="dxa"/>
          </w:tcPr>
          <w:p>
            <w:pPr>
              <w:pStyle w:val="TableParagraph"/>
              <w:spacing w:line="241" w:lineRule="exact" w:before="9"/>
              <w:ind w:left="441"/>
              <w:jc w:val="left"/>
              <w:rPr>
                <w:rFonts w:ascii="Times New Roman"/>
                <w:sz w:val="14"/>
              </w:rPr>
            </w:pPr>
            <w:r>
              <w:rPr>
                <w:rFonts w:ascii="Times New Roman"/>
                <w:position w:val="2"/>
                <w:sz w:val="21"/>
              </w:rPr>
              <w:t>J</w:t>
            </w:r>
            <w:r>
              <w:rPr>
                <w:rFonts w:ascii="Times New Roman"/>
                <w:sz w:val="14"/>
              </w:rPr>
              <w:t>3</w:t>
            </w:r>
            <w:r>
              <w:rPr>
                <w:rFonts w:ascii="Times New Roman"/>
                <w:position w:val="9"/>
                <w:sz w:val="14"/>
              </w:rPr>
              <w:t>b</w:t>
            </w:r>
          </w:p>
        </w:tc>
        <w:tc>
          <w:tcPr>
            <w:tcW w:w="1236" w:type="dxa"/>
          </w:tcPr>
          <w:p>
            <w:pPr>
              <w:pStyle w:val="TableParagraph"/>
              <w:spacing w:line="236" w:lineRule="exact" w:before="15"/>
              <w:ind w:left="71" w:right="59"/>
              <w:rPr>
                <w:rFonts w:ascii="Times New Roman"/>
                <w:sz w:val="21"/>
              </w:rPr>
            </w:pPr>
            <w:r>
              <w:rPr>
                <w:rFonts w:ascii="Times New Roman"/>
                <w:sz w:val="21"/>
              </w:rPr>
              <w:t>1000</w:t>
            </w:r>
          </w:p>
        </w:tc>
        <w:tc>
          <w:tcPr>
            <w:tcW w:w="4815" w:type="dxa"/>
          </w:tcPr>
          <w:p>
            <w:pPr>
              <w:pStyle w:val="TableParagraph"/>
              <w:spacing w:line="250" w:lineRule="exact" w:before="1"/>
              <w:ind w:left="42" w:right="25"/>
              <w:rPr>
                <w:sz w:val="21"/>
              </w:rPr>
            </w:pPr>
            <w:r>
              <w:rPr>
                <w:sz w:val="21"/>
              </w:rPr>
              <w:t>上步流纹斑岩，下部英安质凝灰熔岩、溶解凝灰岩</w:t>
            </w:r>
          </w:p>
        </w:tc>
      </w:tr>
      <w:tr>
        <w:trPr>
          <w:trHeight w:val="547" w:hRule="atLeast"/>
        </w:trPr>
        <w:tc>
          <w:tcPr>
            <w:tcW w:w="278" w:type="dxa"/>
            <w:vMerge/>
            <w:tcBorders>
              <w:top w:val="nil"/>
            </w:tcBorders>
          </w:tcPr>
          <w:p>
            <w:pPr>
              <w:rPr>
                <w:sz w:val="2"/>
                <w:szCs w:val="2"/>
              </w:rPr>
            </w:pPr>
          </w:p>
        </w:tc>
        <w:tc>
          <w:tcPr>
            <w:tcW w:w="273" w:type="dxa"/>
            <w:vMerge/>
            <w:tcBorders>
              <w:top w:val="nil"/>
            </w:tcBorders>
          </w:tcPr>
          <w:p>
            <w:pPr>
              <w:rPr>
                <w:sz w:val="2"/>
                <w:szCs w:val="2"/>
              </w:rPr>
            </w:pPr>
          </w:p>
        </w:tc>
        <w:tc>
          <w:tcPr>
            <w:tcW w:w="275" w:type="dxa"/>
            <w:vMerge/>
            <w:tcBorders>
              <w:top w:val="nil"/>
            </w:tcBorders>
          </w:tcPr>
          <w:p>
            <w:pPr>
              <w:rPr>
                <w:sz w:val="2"/>
                <w:szCs w:val="2"/>
              </w:rPr>
            </w:pPr>
          </w:p>
        </w:tc>
        <w:tc>
          <w:tcPr>
            <w:tcW w:w="1101" w:type="dxa"/>
          </w:tcPr>
          <w:p>
            <w:pPr>
              <w:pStyle w:val="TableParagraph"/>
              <w:spacing w:before="138"/>
              <w:ind w:left="344"/>
              <w:jc w:val="left"/>
              <w:rPr>
                <w:sz w:val="21"/>
              </w:rPr>
            </w:pPr>
            <w:r>
              <w:rPr>
                <w:rFonts w:ascii="Times New Roman" w:eastAsia="Times New Roman"/>
                <w:sz w:val="21"/>
              </w:rPr>
              <w:t>A </w:t>
            </w:r>
            <w:r>
              <w:rPr>
                <w:sz w:val="21"/>
              </w:rPr>
              <w:t>段</w:t>
            </w:r>
          </w:p>
        </w:tc>
        <w:tc>
          <w:tcPr>
            <w:tcW w:w="1102" w:type="dxa"/>
          </w:tcPr>
          <w:p>
            <w:pPr>
              <w:pStyle w:val="TableParagraph"/>
              <w:spacing w:before="146"/>
              <w:ind w:left="446"/>
              <w:jc w:val="left"/>
              <w:rPr>
                <w:rFonts w:ascii="Times New Roman"/>
                <w:sz w:val="14"/>
              </w:rPr>
            </w:pPr>
            <w:r>
              <w:rPr>
                <w:rFonts w:ascii="Times New Roman"/>
                <w:position w:val="2"/>
                <w:sz w:val="21"/>
              </w:rPr>
              <w:t>J</w:t>
            </w:r>
            <w:r>
              <w:rPr>
                <w:rFonts w:ascii="Times New Roman"/>
                <w:sz w:val="14"/>
              </w:rPr>
              <w:t>3</w:t>
            </w:r>
            <w:r>
              <w:rPr>
                <w:rFonts w:ascii="Times New Roman"/>
                <w:position w:val="9"/>
                <w:sz w:val="14"/>
              </w:rPr>
              <w:t>a</w:t>
            </w:r>
          </w:p>
        </w:tc>
        <w:tc>
          <w:tcPr>
            <w:tcW w:w="1236" w:type="dxa"/>
          </w:tcPr>
          <w:p>
            <w:pPr>
              <w:pStyle w:val="TableParagraph"/>
              <w:spacing w:before="151"/>
              <w:ind w:left="70" w:right="60"/>
              <w:rPr>
                <w:rFonts w:ascii="Times New Roman"/>
                <w:sz w:val="21"/>
              </w:rPr>
            </w:pPr>
            <w:r>
              <w:rPr>
                <w:rFonts w:ascii="Times New Roman"/>
                <w:sz w:val="21"/>
              </w:rPr>
              <w:t>1100</w:t>
            </w:r>
          </w:p>
        </w:tc>
        <w:tc>
          <w:tcPr>
            <w:tcW w:w="4815" w:type="dxa"/>
          </w:tcPr>
          <w:p>
            <w:pPr>
              <w:pStyle w:val="TableParagraph"/>
              <w:spacing w:before="1"/>
              <w:ind w:left="47" w:right="25"/>
              <w:rPr>
                <w:sz w:val="21"/>
              </w:rPr>
            </w:pPr>
            <w:r>
              <w:rPr>
                <w:spacing w:val="-6"/>
                <w:sz w:val="21"/>
              </w:rPr>
              <w:t>中上部含角砾凝灰岩、凝灰岩：下部层凝灰岩、凝灰</w:t>
            </w:r>
          </w:p>
          <w:p>
            <w:pPr>
              <w:pStyle w:val="TableParagraph"/>
              <w:spacing w:line="252" w:lineRule="exact" w:before="5"/>
              <w:ind w:left="43" w:right="25"/>
              <w:rPr>
                <w:sz w:val="21"/>
              </w:rPr>
            </w:pPr>
            <w:r>
              <w:rPr>
                <w:sz w:val="21"/>
              </w:rPr>
              <w:t>质粉砂岩；底部棕红色砂砾岩</w:t>
            </w:r>
          </w:p>
        </w:tc>
      </w:tr>
    </w:tbl>
    <w:p>
      <w:pPr>
        <w:pStyle w:val="Heading4"/>
        <w:spacing w:before="2"/>
      </w:pPr>
      <w:r>
        <w:rPr>
          <w:rFonts w:ascii="Times New Roman" w:eastAsia="Times New Roman"/>
        </w:rPr>
        <w:t>3</w:t>
      </w:r>
      <w:r>
        <w:rPr/>
        <w:t>、地质地貌</w:t>
      </w:r>
    </w:p>
    <w:p>
      <w:pPr>
        <w:pStyle w:val="BodyText"/>
        <w:spacing w:line="364" w:lineRule="auto" w:before="158"/>
        <w:ind w:left="218" w:right="232" w:firstLine="480"/>
        <w:jc w:val="both"/>
      </w:pPr>
      <w:r>
        <w:rPr>
          <w:spacing w:val="-6"/>
        </w:rPr>
        <w:t>上虞区地处海滨，境内地形背山面海，地势自南向北倾斜，南部低山丘陵和北部水</w:t>
      </w:r>
      <w:r>
        <w:rPr>
          <w:spacing w:val="-1"/>
        </w:rPr>
        <w:t>网平面面积参半，俗称</w:t>
      </w:r>
      <w:r>
        <w:rPr>
          <w:rFonts w:ascii="Times New Roman" w:hAnsi="Times New Roman" w:eastAsia="Times New Roman"/>
        </w:rPr>
        <w:t>“</w:t>
      </w:r>
      <w:r>
        <w:rPr/>
        <w:t>五山一水四分田</w:t>
      </w:r>
      <w:r>
        <w:rPr>
          <w:rFonts w:ascii="Times New Roman" w:hAnsi="Times New Roman" w:eastAsia="Times New Roman"/>
        </w:rPr>
        <w:t>”</w:t>
      </w:r>
      <w:r>
        <w:rPr>
          <w:spacing w:val="-6"/>
        </w:rPr>
        <w:t>。南部为低山丘陵，山地起伏，冈峦交错；中</w:t>
      </w:r>
      <w:r>
        <w:rPr>
          <w:spacing w:val="-8"/>
        </w:rPr>
        <w:t>部为曹娥江、姚江水系河谷盆地；内部为水网、滨海平原，地势低平，一般海拔 </w:t>
      </w:r>
      <w:r>
        <w:rPr>
          <w:rFonts w:ascii="Times New Roman" w:hAnsi="Times New Roman" w:eastAsia="Times New Roman"/>
        </w:rPr>
        <w:t>5 </w:t>
      </w:r>
      <w:r>
        <w:rPr>
          <w:spacing w:val="-8"/>
        </w:rPr>
        <w:t>米左</w:t>
      </w:r>
      <w:r>
        <w:rPr/>
        <w:t>右。</w:t>
      </w:r>
    </w:p>
    <w:p>
      <w:pPr>
        <w:pStyle w:val="BodyText"/>
        <w:spacing w:line="305" w:lineRule="exact"/>
        <w:ind w:left="698"/>
      </w:pPr>
      <w:r>
        <w:rPr/>
        <w:t>全区地貌分为三部分：</w:t>
      </w:r>
    </w:p>
    <w:p>
      <w:pPr>
        <w:pStyle w:val="ListParagraph"/>
        <w:numPr>
          <w:ilvl w:val="0"/>
          <w:numId w:val="31"/>
        </w:numPr>
        <w:tabs>
          <w:tab w:pos="980" w:val="left" w:leader="none"/>
        </w:tabs>
        <w:spacing w:line="364" w:lineRule="auto" w:before="161" w:after="0"/>
        <w:ind w:left="218" w:right="234" w:firstLine="480"/>
        <w:jc w:val="both"/>
        <w:rPr>
          <w:sz w:val="24"/>
        </w:rPr>
      </w:pPr>
      <w:r>
        <w:rPr>
          <w:spacing w:val="-11"/>
          <w:sz w:val="24"/>
        </w:rPr>
        <w:t>山丘陵：境内南部低山丘陵，其东面系四明山余脉，较为高峻，全是海拔 </w:t>
      </w:r>
      <w:r>
        <w:rPr>
          <w:rFonts w:ascii="Times New Roman" w:eastAsia="Times New Roman"/>
          <w:sz w:val="24"/>
        </w:rPr>
        <w:t>500 </w:t>
      </w:r>
      <w:r>
        <w:rPr>
          <w:spacing w:val="-14"/>
          <w:sz w:val="24"/>
        </w:rPr>
        <w:t>米</w:t>
      </w:r>
      <w:r>
        <w:rPr>
          <w:spacing w:val="-16"/>
          <w:sz w:val="24"/>
        </w:rPr>
        <w:t>以上的 </w:t>
      </w:r>
      <w:r>
        <w:rPr>
          <w:rFonts w:ascii="Times New Roman" w:eastAsia="Times New Roman"/>
          <w:sz w:val="24"/>
        </w:rPr>
        <w:t>29</w:t>
      </w:r>
      <w:r>
        <w:rPr>
          <w:rFonts w:ascii="Times New Roman" w:eastAsia="Times New Roman"/>
          <w:spacing w:val="1"/>
          <w:sz w:val="24"/>
        </w:rPr>
        <w:t> </w:t>
      </w:r>
      <w:r>
        <w:rPr>
          <w:spacing w:val="-4"/>
          <w:sz w:val="24"/>
        </w:rPr>
        <w:t>座山岗都集中于此，其中覆危山海拔 </w:t>
      </w:r>
      <w:r>
        <w:rPr>
          <w:rFonts w:ascii="Times New Roman" w:eastAsia="Times New Roman"/>
          <w:sz w:val="24"/>
        </w:rPr>
        <w:t>861.3m</w:t>
      </w:r>
      <w:r>
        <w:rPr>
          <w:spacing w:val="-1"/>
          <w:sz w:val="24"/>
        </w:rPr>
        <w:t>，为全区最高峰；西南面为会稽</w:t>
      </w:r>
      <w:r>
        <w:rPr>
          <w:spacing w:val="-4"/>
          <w:sz w:val="24"/>
        </w:rPr>
        <w:t>山的余脉，略为平缓，最高点罗村山海拔 </w:t>
      </w:r>
      <w:r>
        <w:rPr>
          <w:rFonts w:ascii="Times New Roman" w:eastAsia="Times New Roman"/>
          <w:sz w:val="24"/>
        </w:rPr>
        <w:t>390.7m</w:t>
      </w:r>
      <w:r>
        <w:rPr>
          <w:sz w:val="24"/>
        </w:rPr>
        <w:t>。</w:t>
      </w:r>
    </w:p>
    <w:p>
      <w:pPr>
        <w:pStyle w:val="ListParagraph"/>
        <w:numPr>
          <w:ilvl w:val="0"/>
          <w:numId w:val="31"/>
        </w:numPr>
        <w:tabs>
          <w:tab w:pos="980" w:val="left" w:leader="none"/>
        </w:tabs>
        <w:spacing w:line="364" w:lineRule="auto" w:before="0" w:after="0"/>
        <w:ind w:left="218" w:right="233" w:firstLine="480"/>
        <w:jc w:val="both"/>
        <w:rPr>
          <w:sz w:val="24"/>
        </w:rPr>
      </w:pPr>
      <w:r>
        <w:rPr>
          <w:spacing w:val="-9"/>
          <w:sz w:val="24"/>
        </w:rPr>
        <w:t>盆地：有地处曹娥江中游河谷的章镇盆地，市内章镇、上浦等位于此盆地，海拔</w:t>
      </w:r>
      <w:r>
        <w:rPr>
          <w:rFonts w:ascii="Times New Roman" w:eastAsia="Times New Roman"/>
          <w:sz w:val="24"/>
        </w:rPr>
        <w:t>10m</w:t>
      </w:r>
      <w:r>
        <w:rPr>
          <w:spacing w:val="-1"/>
          <w:sz w:val="24"/>
        </w:rPr>
        <w:t>，海米间。还有地处水网平原与低山丘陵结合部的丰惠盆地，呈凹字型通道式，梁</w:t>
      </w:r>
      <w:r>
        <w:rPr>
          <w:spacing w:val="-3"/>
          <w:sz w:val="24"/>
        </w:rPr>
        <w:t>湖、丰惠、永和等乡镇均位于盆地中，平均海拔 </w:t>
      </w:r>
      <w:r>
        <w:rPr>
          <w:rFonts w:ascii="Times New Roman" w:eastAsia="Times New Roman"/>
          <w:sz w:val="24"/>
        </w:rPr>
        <w:t>8m </w:t>
      </w:r>
      <w:r>
        <w:rPr>
          <w:spacing w:val="-10"/>
          <w:sz w:val="24"/>
        </w:rPr>
        <w:t>左右，面积 </w:t>
      </w:r>
      <w:r>
        <w:rPr>
          <w:rFonts w:ascii="Times New Roman" w:eastAsia="Times New Roman"/>
          <w:sz w:val="24"/>
        </w:rPr>
        <w:t>27.2 </w:t>
      </w:r>
      <w:r>
        <w:rPr>
          <w:sz w:val="24"/>
        </w:rPr>
        <w:t>万亩。</w:t>
      </w:r>
    </w:p>
    <w:p>
      <w:pPr>
        <w:pStyle w:val="ListParagraph"/>
        <w:numPr>
          <w:ilvl w:val="0"/>
          <w:numId w:val="31"/>
        </w:numPr>
        <w:tabs>
          <w:tab w:pos="980" w:val="left" w:leader="none"/>
        </w:tabs>
        <w:spacing w:line="307" w:lineRule="exact" w:before="0" w:after="0"/>
        <w:ind w:left="979" w:right="0" w:hanging="282"/>
        <w:jc w:val="both"/>
        <w:rPr>
          <w:sz w:val="24"/>
        </w:rPr>
      </w:pPr>
      <w:r>
        <w:rPr>
          <w:sz w:val="24"/>
        </w:rPr>
        <w:t>平原：上虞中北部属浙江省第二大堆积平原</w:t>
      </w:r>
      <w:r>
        <w:rPr>
          <w:rFonts w:ascii="Times New Roman" w:eastAsia="Times New Roman"/>
          <w:sz w:val="24"/>
        </w:rPr>
        <w:t>-</w:t>
      </w:r>
      <w:r>
        <w:rPr>
          <w:spacing w:val="-5"/>
          <w:sz w:val="24"/>
        </w:rPr>
        <w:t>宁绍平原范围，总面积 </w:t>
      </w:r>
      <w:r>
        <w:rPr>
          <w:rFonts w:ascii="Times New Roman" w:eastAsia="Times New Roman"/>
          <w:sz w:val="24"/>
        </w:rPr>
        <w:t>63.8</w:t>
      </w:r>
      <w:r>
        <w:rPr>
          <w:rFonts w:ascii="Times New Roman" w:eastAsia="Times New Roman"/>
          <w:spacing w:val="4"/>
          <w:sz w:val="24"/>
        </w:rPr>
        <w:t> </w:t>
      </w:r>
      <w:r>
        <w:rPr>
          <w:sz w:val="24"/>
        </w:rPr>
        <w:t>万亩。</w:t>
      </w:r>
    </w:p>
    <w:p>
      <w:pPr>
        <w:spacing w:after="0" w:line="307" w:lineRule="exact"/>
        <w:jc w:val="both"/>
        <w:rPr>
          <w:sz w:val="24"/>
        </w:rPr>
        <w:sectPr>
          <w:pgSz w:w="11910" w:h="16840"/>
          <w:pgMar w:header="872" w:footer="803" w:top="1320" w:bottom="1000" w:left="1200" w:right="1180"/>
        </w:sectPr>
      </w:pPr>
    </w:p>
    <w:p>
      <w:pPr>
        <w:pStyle w:val="BodyText"/>
        <w:spacing w:line="364" w:lineRule="auto" w:before="84"/>
        <w:ind w:left="218" w:right="114"/>
        <w:jc w:val="both"/>
      </w:pPr>
      <w:r>
        <w:rPr>
          <w:spacing w:val="-3"/>
        </w:rPr>
        <w:t>其中百官、小越、东关等为水网平原，面积 </w:t>
      </w:r>
      <w:r>
        <w:rPr>
          <w:rFonts w:ascii="Times New Roman" w:eastAsia="Times New Roman"/>
        </w:rPr>
        <w:t>26.9 </w:t>
      </w:r>
      <w:r>
        <w:rPr>
          <w:spacing w:val="-5"/>
        </w:rPr>
        <w:t>万亩，地势地平，平均海拔 </w:t>
      </w:r>
      <w:r>
        <w:rPr>
          <w:rFonts w:ascii="Times New Roman" w:eastAsia="Times New Roman"/>
        </w:rPr>
        <w:t>5m </w:t>
      </w:r>
      <w:r>
        <w:rPr/>
        <w:t>左右， </w:t>
      </w:r>
      <w:r>
        <w:rPr>
          <w:spacing w:val="-19"/>
        </w:rPr>
        <w:t>沥海、崧厦、盖北、谢塘、道墟及百官街道沿江地区，属滨海堆积平原，面积 </w:t>
      </w:r>
      <w:r>
        <w:rPr>
          <w:rFonts w:ascii="Times New Roman" w:eastAsia="Times New Roman"/>
        </w:rPr>
        <w:t>36.9 </w:t>
      </w:r>
      <w:r>
        <w:rPr>
          <w:spacing w:val="-5"/>
        </w:rPr>
        <w:t>万亩， </w:t>
      </w:r>
      <w:r>
        <w:rPr>
          <w:spacing w:val="-13"/>
        </w:rPr>
        <w:t>平均海拔 </w:t>
      </w:r>
      <w:r>
        <w:rPr>
          <w:rFonts w:ascii="Times New Roman" w:eastAsia="Times New Roman"/>
        </w:rPr>
        <w:t>6m </w:t>
      </w:r>
      <w:r>
        <w:rPr/>
        <w:t>左右。</w:t>
      </w:r>
    </w:p>
    <w:p>
      <w:pPr>
        <w:pStyle w:val="Heading4"/>
        <w:spacing w:line="305" w:lineRule="exact"/>
      </w:pPr>
      <w:r>
        <w:rPr>
          <w:rFonts w:ascii="Times New Roman" w:eastAsia="Times New Roman"/>
        </w:rPr>
        <w:t>4</w:t>
      </w:r>
      <w:r>
        <w:rPr/>
        <w:t>、矿产资源分布</w:t>
      </w:r>
    </w:p>
    <w:p>
      <w:pPr>
        <w:pStyle w:val="BodyText"/>
        <w:spacing w:line="362" w:lineRule="auto" w:before="161"/>
        <w:ind w:left="218" w:right="116" w:firstLine="480"/>
      </w:pPr>
      <w:r>
        <w:rPr>
          <w:spacing w:val="-13"/>
        </w:rPr>
        <w:t>上虞境内矿藏有铁、锰、铜、铅锌、金银、叶蜡石、萤石、高岭土、石英、白云石、</w:t>
      </w:r>
      <w:r>
        <w:rPr>
          <w:spacing w:val="-19"/>
        </w:rPr>
        <w:t>黄铁等 </w:t>
      </w:r>
      <w:r>
        <w:rPr>
          <w:rFonts w:ascii="Times New Roman" w:eastAsia="Times New Roman"/>
        </w:rPr>
        <w:t>14</w:t>
      </w:r>
      <w:r>
        <w:rPr>
          <w:rFonts w:ascii="Times New Roman" w:eastAsia="Times New Roman"/>
          <w:spacing w:val="26"/>
        </w:rPr>
        <w:t> </w:t>
      </w:r>
      <w:r>
        <w:rPr/>
        <w:t>种，矿床</w:t>
      </w:r>
      <w:r>
        <w:rPr>
          <w:rFonts w:ascii="Times New Roman" w:eastAsia="Times New Roman"/>
        </w:rPr>
        <w:t>(</w:t>
      </w:r>
      <w:r>
        <w:rPr/>
        <w:t>点</w:t>
      </w:r>
      <w:r>
        <w:rPr>
          <w:rFonts w:ascii="Times New Roman" w:eastAsia="Times New Roman"/>
        </w:rPr>
        <w:t>)</w:t>
      </w:r>
      <w:r>
        <w:rPr>
          <w:spacing w:val="-7"/>
        </w:rPr>
        <w:t>、矿化点 </w:t>
      </w:r>
      <w:r>
        <w:rPr>
          <w:rFonts w:ascii="Times New Roman" w:eastAsia="Times New Roman"/>
        </w:rPr>
        <w:t>32</w:t>
      </w:r>
      <w:r>
        <w:rPr>
          <w:rFonts w:ascii="Times New Roman" w:eastAsia="Times New Roman"/>
          <w:spacing w:val="26"/>
        </w:rPr>
        <w:t> </w:t>
      </w:r>
      <w:r>
        <w:rPr/>
        <w:t>处</w:t>
      </w:r>
      <w:r>
        <w:rPr>
          <w:rFonts w:ascii="Times New Roman" w:eastAsia="Times New Roman"/>
        </w:rPr>
        <w:t>(</w:t>
      </w:r>
      <w:r>
        <w:rPr/>
        <w:t>不含建筑石料和砖瓦粘土</w:t>
      </w:r>
      <w:r>
        <w:rPr>
          <w:rFonts w:ascii="Times New Roman" w:eastAsia="Times New Roman"/>
        </w:rPr>
        <w:t>)</w:t>
      </w:r>
      <w:r>
        <w:rPr/>
        <w:t>，其中，查明资源储</w:t>
      </w:r>
    </w:p>
    <w:p>
      <w:pPr>
        <w:pStyle w:val="BodyText"/>
        <w:spacing w:before="5"/>
        <w:ind w:left="218"/>
      </w:pPr>
      <w:r>
        <w:rPr>
          <w:spacing w:val="-6"/>
        </w:rPr>
        <w:t>量并具工业价值的矿产 </w:t>
      </w:r>
      <w:r>
        <w:rPr>
          <w:rFonts w:ascii="Times New Roman" w:eastAsia="Times New Roman"/>
        </w:rPr>
        <w:t>2 </w:t>
      </w:r>
      <w:r>
        <w:rPr>
          <w:spacing w:val="-15"/>
        </w:rPr>
        <w:t>种、产地 </w:t>
      </w:r>
      <w:r>
        <w:rPr>
          <w:rFonts w:ascii="Times New Roman" w:eastAsia="Times New Roman"/>
        </w:rPr>
        <w:t>2 </w:t>
      </w:r>
      <w:r>
        <w:rPr>
          <w:spacing w:val="-5"/>
        </w:rPr>
        <w:t>处。上虞市染料矿产、金属矿产资源匮乏，建材非</w:t>
      </w:r>
    </w:p>
    <w:p>
      <w:pPr>
        <w:pStyle w:val="BodyText"/>
        <w:spacing w:line="362" w:lineRule="auto" w:before="160"/>
        <w:ind w:left="218" w:right="173"/>
      </w:pPr>
      <w:r>
        <w:rPr/>
        <w:t>金属矿产相对较丰，叶蜡石为区内优势矿产，估计蕴藏量约 </w:t>
      </w:r>
      <w:r>
        <w:rPr>
          <w:rFonts w:ascii="Times New Roman" w:eastAsia="Times New Roman"/>
        </w:rPr>
        <w:t>200 </w:t>
      </w:r>
      <w:r>
        <w:rPr/>
        <w:t>万吨，已有 </w:t>
      </w:r>
      <w:r>
        <w:rPr>
          <w:rFonts w:ascii="Times New Roman" w:eastAsia="Times New Roman"/>
        </w:rPr>
        <w:t>40 </w:t>
      </w:r>
      <w:r>
        <w:rPr/>
        <w:t>余年的开采历史。花岗石材资源具有潜在优势。分类如下：</w:t>
      </w:r>
    </w:p>
    <w:p>
      <w:pPr>
        <w:pStyle w:val="ListParagraph"/>
        <w:numPr>
          <w:ilvl w:val="0"/>
          <w:numId w:val="32"/>
        </w:numPr>
        <w:tabs>
          <w:tab w:pos="980" w:val="left" w:leader="none"/>
        </w:tabs>
        <w:spacing w:line="240" w:lineRule="auto" w:before="6" w:after="0"/>
        <w:ind w:left="979" w:right="0" w:hanging="282"/>
        <w:jc w:val="left"/>
        <w:rPr>
          <w:sz w:val="24"/>
        </w:rPr>
      </w:pPr>
      <w:r>
        <w:rPr>
          <w:sz w:val="24"/>
        </w:rPr>
        <w:t>染料矿产</w:t>
      </w:r>
    </w:p>
    <w:p>
      <w:pPr>
        <w:pStyle w:val="BodyText"/>
        <w:spacing w:line="364" w:lineRule="auto" w:before="158"/>
        <w:ind w:left="218" w:right="115" w:firstLine="480"/>
      </w:pPr>
      <w:r>
        <w:rPr>
          <w:spacing w:val="-8"/>
        </w:rPr>
        <w:t>区域内泥炭矿点 </w:t>
      </w:r>
      <w:r>
        <w:rPr>
          <w:rFonts w:ascii="Times New Roman" w:eastAsia="Times New Roman"/>
        </w:rPr>
        <w:t>5 </w:t>
      </w:r>
      <w:r>
        <w:rPr>
          <w:spacing w:val="-14"/>
        </w:rPr>
        <w:t>处，分布于白马湖、驿亭、联江乡大胡岙，长塘和汤浦镇霞齐村。</w:t>
      </w:r>
      <w:r>
        <w:rPr/>
        <w:t>其中价值加高的有白马湖、大胡岙两处。</w:t>
      </w:r>
    </w:p>
    <w:p>
      <w:pPr>
        <w:pStyle w:val="BodyText"/>
        <w:spacing w:line="364" w:lineRule="auto"/>
        <w:ind w:left="218" w:right="210" w:firstLine="480"/>
      </w:pPr>
      <w:r>
        <w:rPr>
          <w:spacing w:val="-3"/>
        </w:rPr>
        <w:t>大胡岙泥炭矿床，系全新世山间湖沼相沉积层产物，长约 </w:t>
      </w:r>
      <w:r>
        <w:rPr>
          <w:rFonts w:ascii="Times New Roman" w:eastAsia="Times New Roman"/>
        </w:rPr>
        <w:t>500m</w:t>
      </w:r>
      <w:r>
        <w:rPr>
          <w:spacing w:val="-14"/>
        </w:rPr>
        <w:t>，宽约 </w:t>
      </w:r>
      <w:r>
        <w:rPr>
          <w:rFonts w:ascii="Times New Roman" w:eastAsia="Times New Roman"/>
          <w:spacing w:val="-3"/>
        </w:rPr>
        <w:t>100-150m</w:t>
      </w:r>
      <w:r>
        <w:rPr>
          <w:spacing w:val="-3"/>
        </w:rPr>
        <w:t>， </w:t>
      </w:r>
      <w:r>
        <w:rPr>
          <w:spacing w:val="-31"/>
        </w:rPr>
        <w:t>厚 </w:t>
      </w:r>
      <w:r>
        <w:rPr>
          <w:rFonts w:ascii="Times New Roman" w:eastAsia="Times New Roman"/>
        </w:rPr>
        <w:t>1-1.5m</w:t>
      </w:r>
      <w:r>
        <w:rPr>
          <w:spacing w:val="-10"/>
        </w:rPr>
        <w:t>，热量可达 </w:t>
      </w:r>
      <w:r>
        <w:rPr>
          <w:rFonts w:ascii="Times New Roman" w:eastAsia="Times New Roman"/>
        </w:rPr>
        <w:t>3625 </w:t>
      </w:r>
      <w:r>
        <w:rPr/>
        <w:t>卡</w:t>
      </w:r>
      <w:r>
        <w:rPr>
          <w:rFonts w:ascii="Times New Roman" w:eastAsia="Times New Roman"/>
        </w:rPr>
        <w:t>/</w:t>
      </w:r>
      <w:r>
        <w:rPr/>
        <w:t>克。</w:t>
      </w:r>
    </w:p>
    <w:p>
      <w:pPr>
        <w:pStyle w:val="BodyText"/>
        <w:spacing w:line="306" w:lineRule="exact"/>
        <w:ind w:left="698"/>
      </w:pPr>
      <w:r>
        <w:rPr/>
        <w:t>白马湖泥炭矿床，系全新世湖沼相沉积型产物，长 </w:t>
      </w:r>
      <w:r>
        <w:rPr>
          <w:rFonts w:ascii="Times New Roman" w:eastAsia="Times New Roman"/>
        </w:rPr>
        <w:t>5km</w:t>
      </w:r>
      <w:r>
        <w:rPr/>
        <w:t>，宽 </w:t>
      </w:r>
      <w:r>
        <w:rPr>
          <w:rFonts w:ascii="Times New Roman" w:eastAsia="Times New Roman"/>
        </w:rPr>
        <w:t>0.4-0.8km</w:t>
      </w:r>
      <w:r>
        <w:rPr/>
        <w:t>，埋深</w:t>
      </w:r>
    </w:p>
    <w:p>
      <w:pPr>
        <w:pStyle w:val="BodyText"/>
        <w:spacing w:before="159"/>
        <w:ind w:left="218"/>
      </w:pPr>
      <w:r>
        <w:rPr>
          <w:rFonts w:ascii="Times New Roman" w:eastAsia="Times New Roman"/>
        </w:rPr>
        <w:t>0.2-2.7km</w:t>
      </w:r>
      <w:r>
        <w:rPr/>
        <w:t>，平均厚度 </w:t>
      </w:r>
      <w:r>
        <w:rPr>
          <w:rFonts w:ascii="Times New Roman" w:eastAsia="Times New Roman"/>
        </w:rPr>
        <w:t>1.1m</w:t>
      </w:r>
      <w:r>
        <w:rPr/>
        <w:t>，发热 </w:t>
      </w:r>
      <w:r>
        <w:rPr>
          <w:rFonts w:ascii="Times New Roman" w:eastAsia="Times New Roman"/>
        </w:rPr>
        <w:t>3000 </w:t>
      </w:r>
      <w:r>
        <w:rPr/>
        <w:t>卡</w:t>
      </w:r>
      <w:r>
        <w:rPr>
          <w:rFonts w:ascii="Times New Roman" w:eastAsia="Times New Roman"/>
        </w:rPr>
        <w:t>/</w:t>
      </w:r>
      <w:r>
        <w:rPr/>
        <w:t>克，勘探储量 </w:t>
      </w:r>
      <w:r>
        <w:rPr>
          <w:rFonts w:ascii="Times New Roman" w:eastAsia="Times New Roman"/>
        </w:rPr>
        <w:t>C2 </w:t>
      </w:r>
      <w:r>
        <w:rPr/>
        <w:t>级 </w:t>
      </w:r>
      <w:r>
        <w:rPr>
          <w:rFonts w:ascii="Times New Roman" w:eastAsia="Times New Roman"/>
        </w:rPr>
        <w:t>167 </w:t>
      </w:r>
      <w:r>
        <w:rPr/>
        <w:t>万吨。</w:t>
      </w:r>
    </w:p>
    <w:p>
      <w:pPr>
        <w:pStyle w:val="ListParagraph"/>
        <w:numPr>
          <w:ilvl w:val="0"/>
          <w:numId w:val="32"/>
        </w:numPr>
        <w:tabs>
          <w:tab w:pos="980" w:val="left" w:leader="none"/>
        </w:tabs>
        <w:spacing w:line="240" w:lineRule="auto" w:before="158" w:after="0"/>
        <w:ind w:left="979" w:right="0" w:hanging="282"/>
        <w:jc w:val="left"/>
        <w:rPr>
          <w:sz w:val="24"/>
        </w:rPr>
      </w:pPr>
      <w:r>
        <w:rPr>
          <w:sz w:val="24"/>
        </w:rPr>
        <w:t>金属矿产</w:t>
      </w:r>
    </w:p>
    <w:p>
      <w:pPr>
        <w:pStyle w:val="BodyText"/>
        <w:spacing w:before="161"/>
        <w:ind w:left="698"/>
      </w:pPr>
      <w:r>
        <w:rPr/>
        <w:t>①铁矿</w:t>
      </w:r>
    </w:p>
    <w:p>
      <w:pPr>
        <w:pStyle w:val="BodyText"/>
        <w:spacing w:line="364" w:lineRule="auto" w:before="158"/>
        <w:ind w:left="218" w:right="224" w:firstLine="480"/>
        <w:jc w:val="both"/>
      </w:pPr>
      <w:r>
        <w:rPr>
          <w:spacing w:val="-9"/>
        </w:rPr>
        <w:t>主要有磁铁矿、赤铁矿 </w:t>
      </w:r>
      <w:r>
        <w:rPr>
          <w:rFonts w:ascii="Times New Roman" w:eastAsia="Times New Roman"/>
        </w:rPr>
        <w:t>2 </w:t>
      </w:r>
      <w:r>
        <w:rPr>
          <w:spacing w:val="-3"/>
        </w:rPr>
        <w:t>种磁铁矿分布于横塘乡徐家岙，贾家和五驿乡茅家溪，均属高中温裂隙充填，矿体呈脉状，透镜状及薄层状</w:t>
      </w:r>
      <w:r>
        <w:rPr>
          <w:rFonts w:ascii="Times New Roman" w:eastAsia="Times New Roman"/>
          <w:spacing w:val="-3"/>
        </w:rPr>
        <w:t>(</w:t>
      </w:r>
      <w:r>
        <w:rPr>
          <w:spacing w:val="-3"/>
        </w:rPr>
        <w:t>茅家溪</w:t>
      </w:r>
      <w:r>
        <w:rPr>
          <w:rFonts w:ascii="Times New Roman" w:eastAsia="Times New Roman"/>
          <w:spacing w:val="-3"/>
        </w:rPr>
        <w:t>)</w:t>
      </w:r>
      <w:r>
        <w:rPr>
          <w:spacing w:val="-3"/>
        </w:rPr>
        <w:t>，产于上侏罗统魔石山群高</w:t>
      </w:r>
      <w:r>
        <w:rPr>
          <w:spacing w:val="-2"/>
        </w:rPr>
        <w:t>坞组及西山头组流纹质凝灰熔岩几流纹质安质含多屑凝灰岩中，一般长 </w:t>
      </w:r>
      <w:r>
        <w:rPr>
          <w:rFonts w:ascii="Times New Roman" w:eastAsia="Times New Roman"/>
        </w:rPr>
        <w:t>15-20m</w:t>
      </w:r>
      <w:r>
        <w:rPr/>
        <w:t>，个别</w:t>
      </w:r>
      <w:r>
        <w:rPr>
          <w:spacing w:val="-12"/>
        </w:rPr>
        <w:t>达 </w:t>
      </w:r>
      <w:r>
        <w:rPr>
          <w:rFonts w:ascii="Times New Roman" w:eastAsia="Times New Roman"/>
        </w:rPr>
        <w:t>60m(</w:t>
      </w:r>
      <w:r>
        <w:rPr/>
        <w:t>茅家溪及贾家</w:t>
      </w:r>
      <w:r>
        <w:rPr>
          <w:rFonts w:ascii="Times New Roman" w:eastAsia="Times New Roman"/>
        </w:rPr>
        <w:t>)</w:t>
      </w:r>
      <w:r>
        <w:rPr>
          <w:spacing w:val="-4"/>
        </w:rPr>
        <w:t>，一般厚度 </w:t>
      </w:r>
      <w:r>
        <w:rPr>
          <w:rFonts w:ascii="Times New Roman" w:eastAsia="Times New Roman"/>
        </w:rPr>
        <w:t>1.5-2m</w:t>
      </w:r>
      <w:r>
        <w:rPr/>
        <w:t>。矿物有磁铁、赤铁、黄铜、黄铁</w:t>
      </w:r>
      <w:r>
        <w:rPr>
          <w:rFonts w:ascii="Times New Roman" w:eastAsia="Times New Roman"/>
        </w:rPr>
        <w:t>(</w:t>
      </w:r>
      <w:r>
        <w:rPr/>
        <w:t>贾家</w:t>
      </w:r>
      <w:r>
        <w:rPr>
          <w:rFonts w:ascii="Times New Roman" w:eastAsia="Times New Roman"/>
        </w:rPr>
        <w:t>)</w:t>
      </w:r>
      <w:r>
        <w:rPr/>
        <w:t>、脉</w:t>
      </w:r>
      <w:r>
        <w:rPr>
          <w:spacing w:val="7"/>
        </w:rPr>
        <w:t>石，少量含有硅化、绢云母化。品位，含铁</w:t>
      </w:r>
      <w:r>
        <w:rPr>
          <w:rFonts w:ascii="Times New Roman" w:eastAsia="Times New Roman"/>
        </w:rPr>
        <w:t>(Fe)40.29-54.56%/</w:t>
      </w:r>
      <w:r>
        <w:rPr>
          <w:spacing w:val="6"/>
        </w:rPr>
        <w:t>二氧化硅 </w:t>
      </w:r>
      <w:r>
        <w:rPr>
          <w:rFonts w:ascii="Times New Roman" w:eastAsia="Times New Roman"/>
        </w:rPr>
        <w:t>20.5-29%</w:t>
      </w:r>
      <w:r>
        <w:rPr>
          <w:spacing w:val="7"/>
        </w:rPr>
        <w:t>、硫</w:t>
      </w:r>
      <w:r>
        <w:rPr>
          <w:rFonts w:ascii="Times New Roman" w:eastAsia="Times New Roman"/>
        </w:rPr>
        <w:t>0.051-0.64%</w:t>
      </w:r>
      <w:r>
        <w:rPr>
          <w:spacing w:val="-8"/>
        </w:rPr>
        <w:t>。赤铁胯骨分布在江山乡南穴，矿体呈脉状，长 </w:t>
      </w:r>
      <w:r>
        <w:rPr>
          <w:rFonts w:ascii="Times New Roman" w:eastAsia="Times New Roman"/>
        </w:rPr>
        <w:t>25m</w:t>
      </w:r>
      <w:r>
        <w:rPr>
          <w:spacing w:val="-26"/>
        </w:rPr>
        <w:t>、宽 </w:t>
      </w:r>
      <w:r>
        <w:rPr>
          <w:rFonts w:ascii="Times New Roman" w:eastAsia="Times New Roman"/>
        </w:rPr>
        <w:t>0.2-0.5m</w:t>
      </w:r>
      <w:r>
        <w:rPr>
          <w:spacing w:val="-3"/>
        </w:rPr>
        <w:t>。矿物有</w:t>
      </w:r>
      <w:r>
        <w:rPr>
          <w:spacing w:val="-8"/>
        </w:rPr>
        <w:t>赤铁、褐铁组成，品位含铁 </w:t>
      </w:r>
      <w:r>
        <w:rPr>
          <w:rFonts w:ascii="Times New Roman" w:eastAsia="Times New Roman"/>
        </w:rPr>
        <w:t>33.42%</w:t>
      </w:r>
      <w:r>
        <w:rPr/>
        <w:t>。</w:t>
      </w:r>
    </w:p>
    <w:p>
      <w:pPr>
        <w:pStyle w:val="BodyText"/>
        <w:spacing w:line="305" w:lineRule="exact"/>
        <w:ind w:left="698"/>
      </w:pPr>
      <w:r>
        <w:rPr/>
        <w:t>②锰矿</w:t>
      </w:r>
    </w:p>
    <w:p>
      <w:pPr>
        <w:pStyle w:val="BodyText"/>
        <w:spacing w:line="364" w:lineRule="auto" w:before="161"/>
        <w:ind w:left="218" w:right="151" w:firstLine="480"/>
      </w:pPr>
      <w:r>
        <w:rPr>
          <w:spacing w:val="-4"/>
        </w:rPr>
        <w:t>分布于东关称山河丁宅大齐岙两地，属中低温裂隙充填型矿床。前者为脉状，赋存</w:t>
      </w:r>
      <w:r>
        <w:rPr>
          <w:spacing w:val="-7"/>
        </w:rPr>
        <w:t>于上侏罗统黄尖组流纹纸灰凝灰岩及流纹岩中，矿体长度 </w:t>
      </w:r>
      <w:r>
        <w:rPr>
          <w:rFonts w:ascii="Times New Roman" w:eastAsia="Times New Roman"/>
        </w:rPr>
        <w:t>30-50m</w:t>
      </w:r>
      <w:r>
        <w:rPr>
          <w:spacing w:val="-20"/>
        </w:rPr>
        <w:t>，厚 </w:t>
      </w:r>
      <w:r>
        <w:rPr>
          <w:rFonts w:ascii="Times New Roman" w:eastAsia="Times New Roman"/>
        </w:rPr>
        <w:t>1m </w:t>
      </w:r>
      <w:r>
        <w:rPr>
          <w:spacing w:val="-3"/>
        </w:rPr>
        <w:t>左右，品位， </w:t>
      </w:r>
      <w:r>
        <w:rPr>
          <w:spacing w:val="-21"/>
        </w:rPr>
        <w:t>含锰 </w:t>
      </w:r>
      <w:r>
        <w:rPr>
          <w:rFonts w:ascii="Times New Roman" w:eastAsia="Times New Roman"/>
        </w:rPr>
        <w:t>35.29%</w:t>
      </w:r>
      <w:r>
        <w:rPr>
          <w:spacing w:val="-20"/>
        </w:rPr>
        <w:t>、铁 </w:t>
      </w:r>
      <w:r>
        <w:rPr>
          <w:rFonts w:ascii="Times New Roman" w:eastAsia="Times New Roman"/>
        </w:rPr>
        <w:t>6.22%</w:t>
      </w:r>
      <w:r>
        <w:rPr>
          <w:spacing w:val="-10"/>
        </w:rPr>
        <w:t>、二氧化硅 </w:t>
      </w:r>
      <w:r>
        <w:rPr>
          <w:rFonts w:ascii="Times New Roman" w:eastAsia="Times New Roman"/>
        </w:rPr>
        <w:t>25.04%</w:t>
      </w:r>
      <w:r>
        <w:rPr>
          <w:spacing w:val="-5"/>
        </w:rPr>
        <w:t>。后者质量较差，品位，含锰 </w:t>
      </w:r>
      <w:r>
        <w:rPr>
          <w:rFonts w:ascii="Times New Roman" w:eastAsia="Times New Roman"/>
        </w:rPr>
        <w:t>24.9%</w:t>
      </w:r>
      <w:r>
        <w:rPr/>
        <w:t>。</w:t>
      </w:r>
    </w:p>
    <w:p>
      <w:pPr>
        <w:pStyle w:val="BodyText"/>
        <w:spacing w:line="304" w:lineRule="exact"/>
        <w:ind w:left="698"/>
      </w:pPr>
      <w:r>
        <w:rPr/>
        <w:t>③铜矿</w:t>
      </w:r>
    </w:p>
    <w:p>
      <w:pPr>
        <w:spacing w:after="0" w:line="304" w:lineRule="exact"/>
        <w:sectPr>
          <w:pgSz w:w="11910" w:h="16840"/>
          <w:pgMar w:header="872" w:footer="803" w:top="1320" w:bottom="1000" w:left="1200" w:right="1180"/>
        </w:sectPr>
      </w:pPr>
    </w:p>
    <w:p>
      <w:pPr>
        <w:pStyle w:val="BodyText"/>
        <w:spacing w:line="364" w:lineRule="auto" w:before="84"/>
        <w:ind w:left="218" w:right="114" w:firstLine="480"/>
      </w:pPr>
      <w:r>
        <w:rPr>
          <w:spacing w:val="-6"/>
        </w:rPr>
        <w:t>分布于大勤乡横塘、章镇、岭南田家山和丁宅庙湾 </w:t>
      </w:r>
      <w:r>
        <w:rPr>
          <w:rFonts w:ascii="Times New Roman" w:eastAsia="Times New Roman"/>
        </w:rPr>
        <w:t>4 </w:t>
      </w:r>
      <w:r>
        <w:rPr>
          <w:spacing w:val="-4"/>
        </w:rPr>
        <w:t>处。大勤横塘为小型铜矿，赋</w:t>
      </w:r>
      <w:r>
        <w:rPr>
          <w:spacing w:val="-27"/>
        </w:rPr>
        <w:t>存于陈蔡群黑斜长片麻岩中，受北东向压性断裂控制。矿体呈脉状、透镜状，长 </w:t>
      </w:r>
      <w:r>
        <w:rPr>
          <w:rFonts w:ascii="Times New Roman" w:eastAsia="Times New Roman"/>
          <w:spacing w:val="-3"/>
        </w:rPr>
        <w:t>100-763m</w:t>
      </w:r>
      <w:r>
        <w:rPr>
          <w:spacing w:val="-3"/>
        </w:rPr>
        <w:t>， </w:t>
      </w:r>
      <w:r>
        <w:rPr>
          <w:spacing w:val="-23"/>
        </w:rPr>
        <w:t>厚 </w:t>
      </w:r>
      <w:r>
        <w:rPr>
          <w:rFonts w:ascii="Times New Roman" w:eastAsia="Times New Roman"/>
        </w:rPr>
        <w:t>1.7-25.63m</w:t>
      </w:r>
      <w:r>
        <w:rPr>
          <w:spacing w:val="-8"/>
        </w:rPr>
        <w:t>，矿产含铜 </w:t>
      </w:r>
      <w:r>
        <w:rPr>
          <w:rFonts w:ascii="Times New Roman" w:eastAsia="Times New Roman"/>
        </w:rPr>
        <w:t>0.25%</w:t>
      </w:r>
      <w:r>
        <w:rPr>
          <w:spacing w:val="-15"/>
        </w:rPr>
        <w:t>、钼 </w:t>
      </w:r>
      <w:r>
        <w:rPr>
          <w:rFonts w:ascii="Times New Roman" w:eastAsia="Times New Roman"/>
        </w:rPr>
        <w:t>0.024%-0.049%</w:t>
      </w:r>
      <w:r>
        <w:rPr>
          <w:spacing w:val="-7"/>
        </w:rPr>
        <w:t>。外表钼储量 </w:t>
      </w:r>
      <w:r>
        <w:rPr>
          <w:rFonts w:ascii="Times New Roman" w:eastAsia="Times New Roman"/>
        </w:rPr>
        <w:t>35921 </w:t>
      </w:r>
      <w:r>
        <w:rPr/>
        <w:t>吨，表内钼储</w:t>
      </w:r>
      <w:r>
        <w:rPr>
          <w:spacing w:val="-16"/>
        </w:rPr>
        <w:t>量 </w:t>
      </w:r>
      <w:r>
        <w:rPr>
          <w:rFonts w:ascii="Times New Roman" w:eastAsia="Times New Roman"/>
        </w:rPr>
        <w:t>364 </w:t>
      </w:r>
      <w:r>
        <w:rPr>
          <w:spacing w:val="-2"/>
        </w:rPr>
        <w:t>吨。岭南田家山矿点产于高坞组熔结凝灰岩中，矿体厂 </w:t>
      </w:r>
      <w:r>
        <w:rPr>
          <w:rFonts w:ascii="Times New Roman" w:eastAsia="Times New Roman"/>
        </w:rPr>
        <w:t>80m</w:t>
      </w:r>
      <w:r>
        <w:rPr>
          <w:spacing w:val="-11"/>
        </w:rPr>
        <w:t>，厚 </w:t>
      </w:r>
      <w:r>
        <w:rPr>
          <w:rFonts w:ascii="Times New Roman" w:eastAsia="Times New Roman"/>
        </w:rPr>
        <w:t>2.5m</w:t>
      </w:r>
      <w:r>
        <w:rPr/>
        <w:t>，矿石含</w:t>
      </w:r>
      <w:r>
        <w:rPr>
          <w:spacing w:val="-30"/>
        </w:rPr>
        <w:t>铜 </w:t>
      </w:r>
      <w:r>
        <w:rPr>
          <w:rFonts w:ascii="Times New Roman" w:eastAsia="Times New Roman"/>
        </w:rPr>
        <w:t>2.7%</w:t>
      </w:r>
      <w:r>
        <w:rPr>
          <w:spacing w:val="-20"/>
        </w:rPr>
        <w:t>、铅 </w:t>
      </w:r>
      <w:r>
        <w:rPr>
          <w:rFonts w:ascii="Times New Roman" w:eastAsia="Times New Roman"/>
        </w:rPr>
        <w:t>0.6%</w:t>
      </w:r>
      <w:r>
        <w:rPr/>
        <w:t>。其余矿点品位均低。</w:t>
      </w:r>
    </w:p>
    <w:p>
      <w:pPr>
        <w:pStyle w:val="BodyText"/>
        <w:spacing w:line="304" w:lineRule="exact"/>
        <w:ind w:left="698"/>
      </w:pPr>
      <w:r>
        <w:rPr/>
        <w:t>④铅锌矿</w:t>
      </w:r>
    </w:p>
    <w:p>
      <w:pPr>
        <w:pStyle w:val="BodyText"/>
        <w:spacing w:line="364" w:lineRule="auto" w:before="161"/>
        <w:ind w:left="218" w:right="112" w:firstLine="480"/>
      </w:pPr>
      <w:r>
        <w:rPr>
          <w:spacing w:val="-5"/>
        </w:rPr>
        <w:t>分布于长山乡银山、担山，小越镇大山，下管镇庙下等地。分别于陈蔡群混合岩化</w:t>
      </w:r>
      <w:r>
        <w:rPr>
          <w:spacing w:val="-8"/>
        </w:rPr>
        <w:t>云母片，西山头组晶屑熔岩凝灰岩及流纹岩、叶家塘组含砾粉砂质泥岩及石英砾岩，高</w:t>
      </w:r>
      <w:r>
        <w:rPr>
          <w:spacing w:val="-17"/>
        </w:rPr>
        <w:t>坞组熔结凝灰岩中，属中</w:t>
      </w:r>
      <w:r>
        <w:rPr>
          <w:rFonts w:ascii="Times New Roman" w:eastAsia="Times New Roman"/>
        </w:rPr>
        <w:t>-</w:t>
      </w:r>
      <w:r>
        <w:rPr>
          <w:spacing w:val="-19"/>
        </w:rPr>
        <w:t>低温热液充填交代矿床。矿体：银山矿床厂 </w:t>
      </w:r>
      <w:r>
        <w:rPr>
          <w:rFonts w:ascii="Times New Roman" w:eastAsia="Times New Roman"/>
        </w:rPr>
        <w:t>200m</w:t>
      </w:r>
      <w:r>
        <w:rPr>
          <w:spacing w:val="-59"/>
        </w:rPr>
        <w:t>、宽 </w:t>
      </w:r>
      <w:r>
        <w:rPr>
          <w:rFonts w:ascii="Times New Roman" w:eastAsia="Times New Roman"/>
        </w:rPr>
        <w:t>0.65-9.1m</w:t>
      </w:r>
      <w:r>
        <w:rPr>
          <w:spacing w:val="-11"/>
        </w:rPr>
        <w:t>、</w:t>
      </w:r>
      <w:r>
        <w:rPr>
          <w:spacing w:val="-30"/>
        </w:rPr>
        <w:t>厚 </w:t>
      </w:r>
      <w:r>
        <w:rPr>
          <w:rFonts w:ascii="Times New Roman" w:eastAsia="Times New Roman"/>
          <w:spacing w:val="-10"/>
        </w:rPr>
        <w:t>3.58m</w:t>
      </w:r>
      <w:r>
        <w:rPr>
          <w:spacing w:val="-18"/>
        </w:rPr>
        <w:t>，埋深 </w:t>
      </w:r>
      <w:r>
        <w:rPr>
          <w:rFonts w:ascii="Times New Roman" w:eastAsia="Times New Roman"/>
        </w:rPr>
        <w:t>52-335m </w:t>
      </w:r>
      <w:r>
        <w:rPr>
          <w:spacing w:val="-18"/>
        </w:rPr>
        <w:t>之间，平均品位，含铅 </w:t>
      </w:r>
      <w:r>
        <w:rPr>
          <w:rFonts w:ascii="Times New Roman" w:eastAsia="Times New Roman"/>
        </w:rPr>
        <w:t>6.85%</w:t>
      </w:r>
      <w:r>
        <w:rPr>
          <w:spacing w:val="-39"/>
        </w:rPr>
        <w:t>、金 </w:t>
      </w:r>
      <w:r>
        <w:rPr>
          <w:rFonts w:ascii="Times New Roman" w:eastAsia="Times New Roman"/>
        </w:rPr>
        <w:t>0.73g/t</w:t>
      </w:r>
      <w:r>
        <w:rPr>
          <w:spacing w:val="-39"/>
        </w:rPr>
        <w:t>、银 </w:t>
      </w:r>
      <w:r>
        <w:rPr>
          <w:rFonts w:ascii="Times New Roman" w:eastAsia="Times New Roman"/>
        </w:rPr>
        <w:t>59.89g/t</w:t>
      </w:r>
      <w:r>
        <w:rPr>
          <w:spacing w:val="-39"/>
        </w:rPr>
        <w:t>、砷 </w:t>
      </w:r>
      <w:r>
        <w:rPr>
          <w:rFonts w:ascii="Times New Roman" w:eastAsia="Times New Roman"/>
        </w:rPr>
        <w:t>0.5%</w:t>
      </w:r>
      <w:r>
        <w:rPr/>
        <w:t>、</w:t>
      </w:r>
      <w:r>
        <w:rPr>
          <w:spacing w:val="-34"/>
        </w:rPr>
        <w:t>硫 </w:t>
      </w:r>
      <w:r>
        <w:rPr>
          <w:rFonts w:ascii="Times New Roman" w:eastAsia="Times New Roman"/>
        </w:rPr>
        <w:t>14.82</w:t>
      </w:r>
      <w:r>
        <w:rPr>
          <w:rFonts w:ascii="Times New Roman" w:eastAsia="Times New Roman"/>
          <w:spacing w:val="-1"/>
        </w:rPr>
        <w:t>%</w:t>
      </w:r>
      <w:r>
        <w:rPr>
          <w:spacing w:val="-120"/>
        </w:rPr>
        <w:t>，</w:t>
      </w:r>
      <w:r>
        <w:rPr>
          <w:rFonts w:ascii="Times New Roman" w:eastAsia="Times New Roman"/>
          <w:w w:val="99"/>
        </w:rPr>
        <w:t>D</w:t>
      </w:r>
      <w:r>
        <w:rPr>
          <w:rFonts w:ascii="Times New Roman" w:eastAsia="Times New Roman"/>
        </w:rPr>
        <w:t> </w:t>
      </w:r>
      <w:r>
        <w:rPr>
          <w:spacing w:val="-12"/>
        </w:rPr>
        <w:t>级储存含铅 </w:t>
      </w:r>
      <w:r>
        <w:rPr>
          <w:rFonts w:ascii="Times New Roman" w:eastAsia="Times New Roman"/>
        </w:rPr>
        <w:t>17543 </w:t>
      </w:r>
      <w:r>
        <w:rPr>
          <w:spacing w:val="-47"/>
        </w:rPr>
        <w:t>吨、金 </w:t>
      </w:r>
      <w:r>
        <w:rPr>
          <w:rFonts w:ascii="Times New Roman" w:eastAsia="Times New Roman"/>
        </w:rPr>
        <w:t>2</w:t>
      </w:r>
      <w:r>
        <w:rPr>
          <w:rFonts w:ascii="Times New Roman" w:eastAsia="Times New Roman"/>
          <w:spacing w:val="-3"/>
        </w:rPr>
        <w:t>0</w:t>
      </w:r>
      <w:r>
        <w:rPr>
          <w:rFonts w:ascii="Times New Roman" w:eastAsia="Times New Roman"/>
        </w:rPr>
        <w:t>1 </w:t>
      </w:r>
      <w:r>
        <w:rPr>
          <w:spacing w:val="-39"/>
        </w:rPr>
        <w:t>公斤、银 </w:t>
      </w:r>
      <w:r>
        <w:rPr>
          <w:rFonts w:ascii="Times New Roman" w:eastAsia="Times New Roman"/>
        </w:rPr>
        <w:t>28 </w:t>
      </w:r>
      <w:r>
        <w:rPr>
          <w:spacing w:val="-25"/>
        </w:rPr>
        <w:t>吨。大山矿点长 </w:t>
      </w:r>
      <w:r>
        <w:rPr>
          <w:rFonts w:ascii="Times New Roman" w:eastAsia="Times New Roman"/>
        </w:rPr>
        <w:t>35 </w:t>
      </w:r>
      <w:r>
        <w:rPr>
          <w:spacing w:val="-47"/>
        </w:rPr>
        <w:t>米、厚 </w:t>
      </w:r>
      <w:r>
        <w:rPr>
          <w:rFonts w:ascii="Times New Roman" w:eastAsia="Times New Roman"/>
        </w:rPr>
        <w:t>0.6</w:t>
      </w:r>
      <w:r>
        <w:rPr>
          <w:rFonts w:ascii="Times New Roman" w:eastAsia="Times New Roman"/>
          <w:spacing w:val="-1"/>
        </w:rPr>
        <w:t>-</w:t>
      </w:r>
      <w:r>
        <w:rPr>
          <w:rFonts w:ascii="Times New Roman" w:eastAsia="Times New Roman"/>
        </w:rPr>
        <w:t>1.8m</w:t>
      </w:r>
      <w:r>
        <w:rPr/>
        <w:t>，</w:t>
      </w:r>
      <w:r>
        <w:rPr>
          <w:spacing w:val="-17"/>
        </w:rPr>
        <w:t>含锌 </w:t>
      </w:r>
      <w:r>
        <w:rPr>
          <w:rFonts w:ascii="Times New Roman" w:eastAsia="Times New Roman"/>
        </w:rPr>
        <w:t>1.85%</w:t>
      </w:r>
      <w:r>
        <w:rPr>
          <w:spacing w:val="-17"/>
        </w:rPr>
        <w:t>、铅 </w:t>
      </w:r>
      <w:r>
        <w:rPr>
          <w:rFonts w:ascii="Times New Roman" w:eastAsia="Times New Roman"/>
        </w:rPr>
        <w:t>0.25-0.55%</w:t>
      </w:r>
      <w:r>
        <w:rPr>
          <w:spacing w:val="-17"/>
        </w:rPr>
        <w:t>、铜 </w:t>
      </w:r>
      <w:r>
        <w:rPr>
          <w:rFonts w:ascii="Times New Roman" w:eastAsia="Times New Roman"/>
        </w:rPr>
        <w:t>0.01-0.15%</w:t>
      </w:r>
      <w:r>
        <w:rPr>
          <w:spacing w:val="-7"/>
        </w:rPr>
        <w:t>。担山矿点长 </w:t>
      </w:r>
      <w:r>
        <w:rPr>
          <w:rFonts w:ascii="Times New Roman" w:eastAsia="Times New Roman"/>
        </w:rPr>
        <w:t>15m</w:t>
      </w:r>
      <w:r>
        <w:rPr>
          <w:spacing w:val="-17"/>
        </w:rPr>
        <w:t>，厚 </w:t>
      </w:r>
      <w:r>
        <w:rPr>
          <w:rFonts w:ascii="Times New Roman" w:eastAsia="Times New Roman"/>
        </w:rPr>
        <w:t>0.4-0.6m</w:t>
      </w:r>
      <w:r>
        <w:rPr/>
        <w:t>。品位含铅</w:t>
      </w:r>
      <w:r>
        <w:rPr>
          <w:rFonts w:ascii="Times New Roman" w:eastAsia="Times New Roman"/>
        </w:rPr>
        <w:t>1.61%</w:t>
      </w:r>
      <w:r>
        <w:rPr>
          <w:spacing w:val="-21"/>
        </w:rPr>
        <w:t>、金 </w:t>
      </w:r>
      <w:r>
        <w:rPr>
          <w:rFonts w:ascii="Times New Roman" w:eastAsia="Times New Roman"/>
        </w:rPr>
        <w:t>0.13g/t</w:t>
      </w:r>
      <w:r>
        <w:rPr>
          <w:spacing w:val="-20"/>
        </w:rPr>
        <w:t>、银 </w:t>
      </w:r>
      <w:r>
        <w:rPr>
          <w:rFonts w:ascii="Times New Roman" w:eastAsia="Times New Roman"/>
        </w:rPr>
        <w:t>6.3g/t</w:t>
      </w:r>
      <w:r>
        <w:rPr>
          <w:spacing w:val="-20"/>
        </w:rPr>
        <w:t>、铁 </w:t>
      </w:r>
      <w:r>
        <w:rPr>
          <w:rFonts w:ascii="Times New Roman" w:eastAsia="Times New Roman"/>
        </w:rPr>
        <w:t>20.5%</w:t>
      </w:r>
      <w:r>
        <w:rPr>
          <w:spacing w:val="-10"/>
        </w:rPr>
        <w:t>、二氧化硅 </w:t>
      </w:r>
      <w:r>
        <w:rPr>
          <w:rFonts w:ascii="Times New Roman" w:eastAsia="Times New Roman"/>
        </w:rPr>
        <w:t>49.34%</w:t>
      </w:r>
      <w:r>
        <w:rPr/>
        <w:t>。</w:t>
      </w:r>
    </w:p>
    <w:p>
      <w:pPr>
        <w:pStyle w:val="BodyText"/>
        <w:spacing w:line="305" w:lineRule="exact"/>
        <w:ind w:left="698"/>
      </w:pPr>
      <w:r>
        <w:rPr/>
        <w:t>⑤金银矿</w:t>
      </w:r>
    </w:p>
    <w:p>
      <w:pPr>
        <w:pStyle w:val="BodyText"/>
        <w:spacing w:line="364" w:lineRule="auto" w:before="158"/>
        <w:ind w:left="218" w:right="232" w:firstLine="480"/>
        <w:jc w:val="both"/>
      </w:pPr>
      <w:r>
        <w:rPr>
          <w:spacing w:val="-7"/>
        </w:rPr>
        <w:t>仅见横塘乡徐家岙 </w:t>
      </w:r>
      <w:r>
        <w:rPr>
          <w:rFonts w:ascii="Times New Roman" w:eastAsia="Times New Roman"/>
        </w:rPr>
        <w:t>1 </w:t>
      </w:r>
      <w:r>
        <w:rPr>
          <w:spacing w:val="-7"/>
        </w:rPr>
        <w:t>处，产于上侏罗统西山头组英安质晶屑玻屑凝灰岩中，矿体呈</w:t>
      </w:r>
      <w:r>
        <w:rPr>
          <w:spacing w:val="-5"/>
        </w:rPr>
        <w:t>脉状雁行排列，长 </w:t>
      </w:r>
      <w:r>
        <w:rPr>
          <w:rFonts w:ascii="Times New Roman" w:eastAsia="Times New Roman"/>
        </w:rPr>
        <w:t>20m</w:t>
      </w:r>
      <w:r>
        <w:rPr>
          <w:spacing w:val="-14"/>
        </w:rPr>
        <w:t>，厚 </w:t>
      </w:r>
      <w:r>
        <w:rPr>
          <w:rFonts w:ascii="Times New Roman" w:eastAsia="Times New Roman"/>
        </w:rPr>
        <w:t>0.1m </w:t>
      </w:r>
      <w:r>
        <w:rPr>
          <w:spacing w:val="-6"/>
        </w:rPr>
        <w:t>左右，品位含金 </w:t>
      </w:r>
      <w:r>
        <w:rPr>
          <w:rFonts w:ascii="Times New Roman" w:eastAsia="Times New Roman"/>
        </w:rPr>
        <w:t>0.17g/t</w:t>
      </w:r>
      <w:r>
        <w:rPr>
          <w:spacing w:val="-15"/>
        </w:rPr>
        <w:t>、银 </w:t>
      </w:r>
      <w:r>
        <w:rPr>
          <w:rFonts w:ascii="Times New Roman" w:eastAsia="Times New Roman"/>
        </w:rPr>
        <w:t>393g/t</w:t>
      </w:r>
      <w:r>
        <w:rPr/>
        <w:t>，并伴有微量铅、砷。</w:t>
      </w:r>
    </w:p>
    <w:p>
      <w:pPr>
        <w:pStyle w:val="Heading4"/>
        <w:numPr>
          <w:ilvl w:val="3"/>
          <w:numId w:val="30"/>
        </w:numPr>
        <w:tabs>
          <w:tab w:pos="1299" w:val="left" w:leader="none"/>
        </w:tabs>
        <w:spacing w:line="240" w:lineRule="auto" w:before="0" w:after="0"/>
        <w:ind w:left="1298" w:right="0" w:hanging="721"/>
        <w:jc w:val="left"/>
      </w:pPr>
      <w:r>
        <w:rPr/>
        <w:t>区域水文地质</w:t>
      </w:r>
    </w:p>
    <w:p>
      <w:pPr>
        <w:spacing w:before="158"/>
        <w:ind w:left="701" w:right="0" w:firstLine="0"/>
        <w:jc w:val="left"/>
        <w:rPr>
          <w:b/>
          <w:sz w:val="24"/>
        </w:rPr>
      </w:pPr>
      <w:r>
        <w:rPr>
          <w:rFonts w:ascii="Times New Roman" w:eastAsia="Times New Roman"/>
          <w:b/>
          <w:sz w:val="24"/>
        </w:rPr>
        <w:t>1</w:t>
      </w:r>
      <w:r>
        <w:rPr>
          <w:b/>
          <w:sz w:val="24"/>
        </w:rPr>
        <w:t>、地下水赋存条件和分布规律</w:t>
      </w:r>
    </w:p>
    <w:p>
      <w:pPr>
        <w:pStyle w:val="BodyText"/>
        <w:spacing w:line="364" w:lineRule="auto" w:before="160"/>
        <w:ind w:left="218" w:right="232" w:firstLine="480"/>
        <w:jc w:val="both"/>
      </w:pPr>
      <w:r>
        <w:rPr/>
        <w:t>以《区域水文地质普查报告</w:t>
      </w:r>
      <w:r>
        <w:rPr>
          <w:rFonts w:ascii="Times New Roman" w:eastAsia="Times New Roman"/>
        </w:rPr>
        <w:t>-</w:t>
      </w:r>
      <w:r>
        <w:rPr/>
        <w:t>杭州幅、余姚幅》等资料为基础，初步判断评价区内的水文地质概况。杭州湾片区为新构造沉降地带，第四纪以来，堆积 </w:t>
      </w:r>
      <w:r>
        <w:rPr>
          <w:rFonts w:ascii="Times New Roman" w:eastAsia="Times New Roman"/>
        </w:rPr>
        <w:t>40 </w:t>
      </w:r>
      <w:r>
        <w:rPr/>
        <w:t>余处构沉降的松散沉积物。地下水的赋存主要受古地理环境及沉积物的成因类型所控制。</w:t>
      </w:r>
    </w:p>
    <w:p>
      <w:pPr>
        <w:pStyle w:val="ListParagraph"/>
        <w:numPr>
          <w:ilvl w:val="4"/>
          <w:numId w:val="30"/>
        </w:numPr>
        <w:tabs>
          <w:tab w:pos="980" w:val="left" w:leader="none"/>
        </w:tabs>
        <w:spacing w:line="307" w:lineRule="exact" w:before="0" w:after="0"/>
        <w:ind w:left="979" w:right="0" w:hanging="282"/>
        <w:jc w:val="left"/>
        <w:rPr>
          <w:sz w:val="24"/>
        </w:rPr>
      </w:pPr>
      <w:r>
        <w:rPr>
          <w:sz w:val="24"/>
        </w:rPr>
        <w:t>表部孔隙承压水</w:t>
      </w:r>
    </w:p>
    <w:p>
      <w:pPr>
        <w:pStyle w:val="BodyText"/>
        <w:spacing w:line="364" w:lineRule="auto" w:before="158"/>
        <w:ind w:left="218" w:right="232" w:firstLine="480"/>
        <w:jc w:val="both"/>
      </w:pPr>
      <w:r>
        <w:rPr>
          <w:spacing w:val="-7"/>
        </w:rPr>
        <w:t>全新世中、晚期，由海湾、浅海和沉溺谷环境分异成湖沼、河口和滨海环境。东苕</w:t>
      </w:r>
      <w:r>
        <w:rPr>
          <w:spacing w:val="-8"/>
        </w:rPr>
        <w:t>溪、肖绍姚和运河平原区，主要由全新世晚期湖沼、冲海积粘土、亚粘土、局部为亚砂</w:t>
      </w:r>
      <w:r>
        <w:rPr>
          <w:spacing w:val="-1"/>
        </w:rPr>
        <w:t>土所组成，潜水赋存于</w:t>
      </w:r>
      <w:r>
        <w:rPr>
          <w:rFonts w:ascii="Times New Roman" w:hAnsi="Times New Roman" w:eastAsia="Times New Roman"/>
        </w:rPr>
        <w:t>“</w:t>
      </w:r>
      <w:r>
        <w:rPr/>
        <w:t>氧化层</w:t>
      </w:r>
      <w:r>
        <w:rPr>
          <w:rFonts w:ascii="Times New Roman" w:hAnsi="Times New Roman" w:eastAsia="Times New Roman"/>
        </w:rPr>
        <w:t>”</w:t>
      </w:r>
      <w:r>
        <w:rPr>
          <w:spacing w:val="-5"/>
        </w:rPr>
        <w:t>的裂隙、虫孔、根孔及其下部结构孔隙之中，透水性极</w:t>
      </w:r>
      <w:r>
        <w:rPr>
          <w:spacing w:val="-8"/>
        </w:rPr>
        <w:t>差，水量甚微。钱塘江河口区及慈北区分别为全新世晚期冲海积和海积亚砂土、粉砂及</w:t>
      </w:r>
      <w:r>
        <w:rPr/>
        <w:t>粉细砂组成，透水性略好，近海一代水质微咸。</w:t>
      </w:r>
    </w:p>
    <w:p>
      <w:pPr>
        <w:pStyle w:val="ListParagraph"/>
        <w:numPr>
          <w:ilvl w:val="4"/>
          <w:numId w:val="30"/>
        </w:numPr>
        <w:tabs>
          <w:tab w:pos="980" w:val="left" w:leader="none"/>
        </w:tabs>
        <w:spacing w:line="306" w:lineRule="exact" w:before="0" w:after="0"/>
        <w:ind w:left="979" w:right="0" w:hanging="282"/>
        <w:jc w:val="left"/>
        <w:rPr>
          <w:sz w:val="24"/>
        </w:rPr>
      </w:pPr>
      <w:r>
        <w:rPr>
          <w:sz w:val="24"/>
        </w:rPr>
        <w:t>深部孔隙承压水</w:t>
      </w:r>
    </w:p>
    <w:p>
      <w:pPr>
        <w:pStyle w:val="BodyText"/>
        <w:spacing w:before="158"/>
        <w:ind w:left="698"/>
      </w:pPr>
      <w:r>
        <w:rPr/>
        <w:t>评价区地下水主要赋存和富集的场所，埋藏于全新世海相，海陆交互相地层之下。</w:t>
      </w:r>
    </w:p>
    <w:p>
      <w:pPr>
        <w:spacing w:after="0"/>
        <w:sectPr>
          <w:pgSz w:w="11910" w:h="16840"/>
          <w:pgMar w:header="872" w:footer="803" w:top="1320" w:bottom="1000" w:left="1200" w:right="1180"/>
        </w:sectPr>
      </w:pPr>
    </w:p>
    <w:p>
      <w:pPr>
        <w:pStyle w:val="BodyText"/>
        <w:spacing w:line="364" w:lineRule="auto" w:before="84"/>
        <w:ind w:left="218" w:right="185"/>
        <w:jc w:val="both"/>
      </w:pPr>
      <w:r>
        <w:rPr>
          <w:spacing w:val="-5"/>
        </w:rPr>
        <w:t>由更新世早、中期河流、河湖环境至晚期演变成海、陆周期性更替的沉积环境，粗细沉</w:t>
      </w:r>
      <w:r>
        <w:rPr>
          <w:spacing w:val="-11"/>
        </w:rPr>
        <w:t>积物相间成层，构成 </w:t>
      </w:r>
      <w:r>
        <w:rPr>
          <w:rFonts w:ascii="Times New Roman" w:hAnsi="Times New Roman" w:eastAsia="Times New Roman"/>
        </w:rPr>
        <w:t>1-5 </w:t>
      </w:r>
      <w:r>
        <w:rPr>
          <w:spacing w:val="-2"/>
        </w:rPr>
        <w:t>个含水层的复杂含水结构。在不同时期河流沉积环境中，矿化</w:t>
      </w:r>
      <w:r>
        <w:rPr>
          <w:spacing w:val="-5"/>
        </w:rPr>
        <w:t>的大陆溶滤型废水同时填充于砂、砂砾石孔隙之中，其分布收古地形的控制。根据岩性</w:t>
      </w:r>
      <w:r>
        <w:rPr>
          <w:spacing w:val="-4"/>
        </w:rPr>
        <w:t>和厚度变化特征，分别将各时期冲积层分层四个相区；河床相、河床</w:t>
      </w:r>
      <w:r>
        <w:rPr>
          <w:rFonts w:ascii="Times New Roman" w:hAnsi="Times New Roman" w:eastAsia="Times New Roman"/>
        </w:rPr>
        <w:t>-</w:t>
      </w:r>
      <w:r>
        <w:rPr/>
        <w:t>漫滩相和漫滩湖沼相。随相区的变化，含水组富水性具有明显的纵横变化规律。颗粒粗、厚度大的</w:t>
      </w:r>
      <w:r>
        <w:rPr>
          <w:rFonts w:ascii="Times New Roman" w:hAnsi="Times New Roman" w:eastAsia="Times New Roman"/>
        </w:rPr>
        <w:t>“</w:t>
      </w:r>
      <w:r>
        <w:rPr/>
        <w:t>古河道</w:t>
      </w:r>
      <w:r>
        <w:rPr>
          <w:rFonts w:ascii="Times New Roman" w:hAnsi="Times New Roman" w:eastAsia="Times New Roman"/>
        </w:rPr>
        <w:t>”</w:t>
      </w:r>
      <w:r>
        <w:rPr/>
        <w:t>部位，形成富水条带。钱塘江、东苕溪、余姚江、曹娥江、半水江河浦阳江等六</w:t>
      </w:r>
      <w:r>
        <w:rPr>
          <w:spacing w:val="-2"/>
        </w:rPr>
        <w:t>条主要河道展布地区分别形成五个富水条带和三个中等富水条带，往两侧的古河漫滩相</w:t>
      </w:r>
      <w:r>
        <w:rPr>
          <w:spacing w:val="-3"/>
        </w:rPr>
        <w:t>颗粒变细，厚度变薄，富水性递减。古漫滩湖沼相则由粘性土组成，含水量及其匮乏， </w:t>
      </w:r>
      <w:r>
        <w:rPr/>
        <w:t>构成相对隔水边界。</w:t>
      </w:r>
    </w:p>
    <w:p>
      <w:pPr>
        <w:pStyle w:val="BodyText"/>
        <w:spacing w:line="364" w:lineRule="auto"/>
        <w:ind w:left="218" w:right="233" w:firstLine="480"/>
        <w:jc w:val="both"/>
      </w:pPr>
      <w:r>
        <w:rPr>
          <w:spacing w:val="-6"/>
        </w:rPr>
        <w:t>晚更新世中期末，海侵波及测区大部分地区，特别是全新世大规模海侵阶段，海水</w:t>
      </w:r>
      <w:r>
        <w:rPr>
          <w:spacing w:val="-7"/>
        </w:rPr>
        <w:t>淹没全区，并沿河谷上溯至区外，除了埋藏较深的中、下更新统的含水组未遭海水盐碱化外，其他含水组中沉积淡水遭海水以不同方式进行混合咸化作用，形成了海洋性咸水带在不利于海水渗入或扩散的地质结构条件下，淡水才得以保存，形成大小十余片的</w:t>
      </w:r>
      <w:r>
        <w:rPr>
          <w:rFonts w:ascii="Times New Roman" w:hAnsi="Times New Roman" w:eastAsia="Times New Roman"/>
        </w:rPr>
        <w:t>“</w:t>
      </w:r>
      <w:r>
        <w:rPr>
          <w:spacing w:val="-14"/>
        </w:rPr>
        <w:t>封</w:t>
      </w:r>
      <w:r>
        <w:rPr/>
        <w:t>存型</w:t>
      </w:r>
      <w:r>
        <w:rPr>
          <w:rFonts w:ascii="Times New Roman" w:hAnsi="Times New Roman" w:eastAsia="Times New Roman"/>
        </w:rPr>
        <w:t>”</w:t>
      </w:r>
      <w:r>
        <w:rPr/>
        <w:t>淡水透镜体。全新世中晚期，海面略有下降，海岸线后退，平原逐渐摆脱海水影</w:t>
      </w:r>
      <w:r>
        <w:rPr>
          <w:spacing w:val="-8"/>
        </w:rPr>
        <w:t>响，大面积成陆。河谷上游被咸化的承压水，在水循环交替作用较强的地段，逐渐被冲</w:t>
      </w:r>
      <w:r>
        <w:rPr/>
        <w:t>淡，形成</w:t>
      </w:r>
      <w:r>
        <w:rPr>
          <w:rFonts w:ascii="Times New Roman" w:hAnsi="Times New Roman" w:eastAsia="Times New Roman"/>
        </w:rPr>
        <w:t>“</w:t>
      </w:r>
      <w:r>
        <w:rPr/>
        <w:t>冲淡性淡水体</w:t>
      </w:r>
      <w:r>
        <w:rPr>
          <w:rFonts w:ascii="Times New Roman" w:hAnsi="Times New Roman" w:eastAsia="Times New Roman"/>
        </w:rPr>
        <w:t>”</w:t>
      </w:r>
      <w:r>
        <w:rPr/>
        <w:t>。</w:t>
      </w:r>
    </w:p>
    <w:p>
      <w:pPr>
        <w:pStyle w:val="Heading4"/>
        <w:spacing w:line="302" w:lineRule="exact"/>
      </w:pPr>
      <w:r>
        <w:rPr>
          <w:rFonts w:ascii="Times New Roman" w:eastAsia="Times New Roman"/>
        </w:rPr>
        <w:t>2</w:t>
      </w:r>
      <w:r>
        <w:rPr/>
        <w:t>、地下水类型和含水岩层划分</w:t>
      </w:r>
    </w:p>
    <w:p>
      <w:pPr>
        <w:pStyle w:val="BodyText"/>
        <w:spacing w:line="364" w:lineRule="auto" w:before="158"/>
        <w:ind w:left="218" w:right="233" w:firstLine="480"/>
        <w:jc w:val="both"/>
      </w:pPr>
      <w:r>
        <w:rPr>
          <w:spacing w:val="-5"/>
        </w:rPr>
        <w:t>根据地下水赋存条件、水理性质及水力特性，把测区地下水分为四大类、七亚类和</w:t>
      </w:r>
      <w:r>
        <w:rPr>
          <w:spacing w:val="-7"/>
        </w:rPr>
        <w:t>十九个含水岩组，并相应地根据钻孔、井泉流量，结合岩性、地貌、构造条件和古地理</w:t>
      </w:r>
      <w:r>
        <w:rPr/>
        <w:t>特征等综合方法划分富水等级。各类地下水文地质特征，分别叙述如下：</w:t>
      </w:r>
    </w:p>
    <w:p>
      <w:pPr>
        <w:pStyle w:val="ListParagraph"/>
        <w:numPr>
          <w:ilvl w:val="0"/>
          <w:numId w:val="33"/>
        </w:numPr>
        <w:tabs>
          <w:tab w:pos="980" w:val="left" w:leader="none"/>
        </w:tabs>
        <w:spacing w:line="304" w:lineRule="exact" w:before="0" w:after="0"/>
        <w:ind w:left="979" w:right="0" w:hanging="282"/>
        <w:jc w:val="left"/>
        <w:rPr>
          <w:sz w:val="24"/>
        </w:rPr>
      </w:pPr>
      <w:r>
        <w:rPr>
          <w:sz w:val="24"/>
        </w:rPr>
        <w:t>孔隙潜水</w:t>
      </w:r>
    </w:p>
    <w:p>
      <w:pPr>
        <w:pStyle w:val="BodyText"/>
        <w:spacing w:line="364" w:lineRule="auto" w:before="160"/>
        <w:ind w:left="218" w:right="115" w:firstLine="480"/>
      </w:pPr>
      <w:r>
        <w:rPr/>
        <w:t>①全新统洪</w:t>
      </w:r>
      <w:r>
        <w:rPr>
          <w:rFonts w:ascii="Times New Roman" w:hAnsi="Times New Roman" w:eastAsia="Times New Roman"/>
        </w:rPr>
        <w:t>-</w:t>
      </w:r>
      <w:r>
        <w:rPr>
          <w:spacing w:val="-3"/>
        </w:rPr>
        <w:t>冲击砾石、砂砾石孔隙潜水含水组：分布于条带状小型沟谷平原之中， </w:t>
      </w:r>
      <w:r>
        <w:rPr>
          <w:spacing w:val="-14"/>
        </w:rPr>
        <w:t>由砂、砂砾石组成，结构松散，厚 </w:t>
      </w:r>
      <w:r>
        <w:rPr>
          <w:rFonts w:ascii="Times New Roman" w:hAnsi="Times New Roman" w:eastAsia="Times New Roman"/>
        </w:rPr>
        <w:t>3 </w:t>
      </w:r>
      <w:r>
        <w:rPr>
          <w:spacing w:val="-10"/>
        </w:rPr>
        <w:t>型沟谷米，单井涌水量 </w:t>
      </w:r>
      <w:r>
        <w:rPr>
          <w:rFonts w:ascii="Times New Roman" w:hAnsi="Times New Roman" w:eastAsia="Times New Roman"/>
        </w:rPr>
        <w:t>100 </w:t>
      </w:r>
      <w:r>
        <w:rPr/>
        <w:t>井涌水量吨</w:t>
      </w:r>
      <w:r>
        <w:rPr>
          <w:rFonts w:ascii="Times New Roman" w:hAnsi="Times New Roman" w:eastAsia="Times New Roman"/>
        </w:rPr>
        <w:t>/</w:t>
      </w:r>
      <w:r>
        <w:rPr>
          <w:spacing w:val="-5"/>
        </w:rPr>
        <w:t>日，水位埋</w:t>
      </w:r>
      <w:r>
        <w:rPr>
          <w:spacing w:val="-33"/>
          <w:position w:val="2"/>
        </w:rPr>
        <w:t>深 </w:t>
      </w:r>
      <w:r>
        <w:rPr>
          <w:rFonts w:ascii="Times New Roman" w:hAnsi="Times New Roman" w:eastAsia="Times New Roman"/>
          <w:position w:val="2"/>
        </w:rPr>
        <w:t>0.5 </w:t>
      </w:r>
      <w:r>
        <w:rPr>
          <w:spacing w:val="-5"/>
          <w:position w:val="2"/>
        </w:rPr>
        <w:t>位埋深量米，矿化度小于 </w:t>
      </w:r>
      <w:r>
        <w:rPr>
          <w:rFonts w:ascii="Times New Roman" w:hAnsi="Times New Roman" w:eastAsia="Times New Roman"/>
          <w:position w:val="2"/>
        </w:rPr>
        <w:t>0.3g/L</w:t>
      </w:r>
      <w:r>
        <w:rPr>
          <w:spacing w:val="-20"/>
          <w:position w:val="2"/>
        </w:rPr>
        <w:t>，为 </w:t>
      </w:r>
      <w:r>
        <w:rPr>
          <w:rFonts w:ascii="Times New Roman" w:hAnsi="Times New Roman" w:eastAsia="Times New Roman"/>
          <w:position w:val="2"/>
        </w:rPr>
        <w:t>HCO</w:t>
      </w:r>
      <w:r>
        <w:rPr>
          <w:rFonts w:ascii="Times New Roman" w:hAnsi="Times New Roman" w:eastAsia="Times New Roman"/>
          <w:sz w:val="16"/>
        </w:rPr>
        <w:t>3</w:t>
      </w:r>
      <w:r>
        <w:rPr>
          <w:rFonts w:ascii="Times New Roman" w:hAnsi="Times New Roman" w:eastAsia="Times New Roman"/>
          <w:position w:val="11"/>
          <w:sz w:val="16"/>
        </w:rPr>
        <w:t>-</w:t>
      </w:r>
      <w:r>
        <w:rPr>
          <w:position w:val="2"/>
        </w:rPr>
        <w:t>型水。</w:t>
      </w:r>
    </w:p>
    <w:p>
      <w:pPr>
        <w:pStyle w:val="BodyText"/>
        <w:spacing w:line="364" w:lineRule="auto"/>
        <w:ind w:left="218" w:right="151" w:firstLine="480"/>
      </w:pPr>
      <w:r>
        <w:rPr/>
        <w:t>②全新统上段，海积、冲</w:t>
      </w:r>
      <w:r>
        <w:rPr>
          <w:rFonts w:ascii="Times New Roman" w:hAnsi="Times New Roman" w:eastAsia="Times New Roman"/>
        </w:rPr>
        <w:t>-</w:t>
      </w:r>
      <w:r>
        <w:rPr/>
        <w:t>海积亚砂土，粉细砂孔隙潜水含水层：分布于钱塘江河</w:t>
      </w:r>
      <w:r>
        <w:rPr>
          <w:spacing w:val="-6"/>
        </w:rPr>
        <w:t>口两岸及慈北平原。由亚砂土、粉细砂组成，局部为亚粘土，松散，厚于钱塘，民井出</w:t>
      </w:r>
      <w:r>
        <w:rPr>
          <w:spacing w:val="-25"/>
        </w:rPr>
        <w:t>水量 </w:t>
      </w:r>
      <w:r>
        <w:rPr>
          <w:rFonts w:ascii="Times New Roman" w:hAnsi="Times New Roman" w:eastAsia="Times New Roman"/>
        </w:rPr>
        <w:t>3-20 </w:t>
      </w:r>
      <w:r>
        <w:rPr/>
        <w:t>吨</w:t>
      </w:r>
      <w:r>
        <w:rPr>
          <w:rFonts w:ascii="Times New Roman" w:hAnsi="Times New Roman" w:eastAsia="Times New Roman"/>
        </w:rPr>
        <w:t>/</w:t>
      </w:r>
      <w:r>
        <w:rPr>
          <w:spacing w:val="-6"/>
        </w:rPr>
        <w:t>日，向江边逐渐增大至 </w:t>
      </w:r>
      <w:r>
        <w:rPr>
          <w:rFonts w:ascii="Times New Roman" w:hAnsi="Times New Roman" w:eastAsia="Times New Roman"/>
        </w:rPr>
        <w:t>20</w:t>
      </w:r>
      <w:r>
        <w:rPr>
          <w:rFonts w:ascii="Times New Roman" w:hAnsi="Times New Roman" w:eastAsia="Times New Roman"/>
          <w:spacing w:val="-1"/>
        </w:rPr>
        <w:t> </w:t>
      </w:r>
      <w:r>
        <w:rPr/>
        <w:t>向江边吨</w:t>
      </w:r>
      <w:r>
        <w:rPr>
          <w:rFonts w:ascii="Times New Roman" w:hAnsi="Times New Roman" w:eastAsia="Times New Roman"/>
        </w:rPr>
        <w:t>/</w:t>
      </w:r>
      <w:r>
        <w:rPr>
          <w:spacing w:val="-6"/>
        </w:rPr>
        <w:t>日，水位埋深一般在 </w:t>
      </w:r>
      <w:r>
        <w:rPr>
          <w:rFonts w:ascii="Times New Roman" w:hAnsi="Times New Roman" w:eastAsia="Times New Roman"/>
        </w:rPr>
        <w:t>0.6 </w:t>
      </w:r>
      <w:r>
        <w:rPr>
          <w:spacing w:val="-3"/>
        </w:rPr>
        <w:t>位埋深一米， </w:t>
      </w:r>
      <w:r>
        <w:rPr>
          <w:spacing w:val="-10"/>
        </w:rPr>
        <w:t>动态变化较大。矿化度自江边向两侧具自然分带现象，由 </w:t>
      </w:r>
      <w:r>
        <w:rPr>
          <w:rFonts w:ascii="Times New Roman" w:hAnsi="Times New Roman" w:eastAsia="Times New Roman"/>
        </w:rPr>
        <w:t>1g/L</w:t>
      </w:r>
      <w:r>
        <w:rPr>
          <w:rFonts w:ascii="Times New Roman" w:hAnsi="Times New Roman" w:eastAsia="Times New Roman"/>
          <w:spacing w:val="1"/>
        </w:rPr>
        <w:t> </w:t>
      </w:r>
      <w:r>
        <w:rPr>
          <w:spacing w:val="-9"/>
        </w:rPr>
        <w:t>向两侧递减至 </w:t>
      </w:r>
      <w:r>
        <w:rPr>
          <w:rFonts w:ascii="Times New Roman" w:hAnsi="Times New Roman" w:eastAsia="Times New Roman"/>
          <w:spacing w:val="-6"/>
        </w:rPr>
        <w:t>0.3g/L</w:t>
      </w:r>
      <w:r>
        <w:rPr>
          <w:spacing w:val="-23"/>
        </w:rPr>
        <w:t>，水</w:t>
      </w:r>
      <w:r>
        <w:rPr>
          <w:spacing w:val="-13"/>
          <w:position w:val="2"/>
        </w:rPr>
        <w:t>质类型由 </w:t>
      </w:r>
      <w:r>
        <w:rPr>
          <w:rFonts w:ascii="Times New Roman" w:hAnsi="Times New Roman" w:eastAsia="Times New Roman"/>
          <w:position w:val="2"/>
        </w:rPr>
        <w:t>Cl </w:t>
      </w:r>
      <w:r>
        <w:rPr>
          <w:spacing w:val="-8"/>
          <w:position w:val="2"/>
        </w:rPr>
        <w:t>水质类型过渡至 </w:t>
      </w:r>
      <w:r>
        <w:rPr>
          <w:rFonts w:ascii="Times New Roman" w:hAnsi="Times New Roman" w:eastAsia="Times New Roman"/>
          <w:position w:val="2"/>
        </w:rPr>
        <w:t>Cl </w:t>
      </w:r>
      <w:r>
        <w:rPr>
          <w:position w:val="2"/>
        </w:rPr>
        <w:t>渡到类型由大。矿化度自、</w:t>
      </w:r>
      <w:r>
        <w:rPr>
          <w:rFonts w:ascii="Times New Roman" w:hAnsi="Times New Roman" w:eastAsia="Times New Roman"/>
          <w:position w:val="2"/>
        </w:rPr>
        <w:t>HCO</w:t>
      </w:r>
      <w:r>
        <w:rPr>
          <w:rFonts w:ascii="Times New Roman" w:hAnsi="Times New Roman" w:eastAsia="Times New Roman"/>
          <w:sz w:val="16"/>
        </w:rPr>
        <w:t>3</w:t>
      </w:r>
      <w:r>
        <w:rPr>
          <w:rFonts w:ascii="Times New Roman" w:hAnsi="Times New Roman" w:eastAsia="Times New Roman"/>
          <w:position w:val="11"/>
          <w:sz w:val="16"/>
        </w:rPr>
        <w:t>-</w:t>
      </w:r>
      <w:r>
        <w:rPr>
          <w:position w:val="2"/>
        </w:rPr>
        <w:t>类型由大。矿型。</w:t>
      </w:r>
    </w:p>
    <w:p>
      <w:pPr>
        <w:pStyle w:val="BodyText"/>
        <w:spacing w:line="304" w:lineRule="exact"/>
        <w:ind w:left="698"/>
      </w:pPr>
      <w:r>
        <w:rPr/>
        <w:t>③全新统上段湖沼积亚粘土孔隙潜水含水组：分布于东苕溪、肖绍姚平原以及运河</w:t>
      </w:r>
    </w:p>
    <w:p>
      <w:pPr>
        <w:spacing w:after="0" w:line="304" w:lineRule="exact"/>
        <w:sectPr>
          <w:pgSz w:w="11910" w:h="16840"/>
          <w:pgMar w:header="872" w:footer="803" w:top="1320" w:bottom="1000" w:left="1200" w:right="1180"/>
        </w:sectPr>
      </w:pPr>
    </w:p>
    <w:p>
      <w:pPr>
        <w:pStyle w:val="BodyText"/>
        <w:spacing w:line="364" w:lineRule="auto" w:before="84"/>
        <w:ind w:left="218" w:right="115"/>
      </w:pPr>
      <w:r>
        <w:rPr/>
        <w:t>平原之西北部，岩性为粘土、亚粘土，由于长期暴露地表，形成</w:t>
      </w:r>
      <w:r>
        <w:rPr>
          <w:rFonts w:ascii="Times New Roman" w:hAnsi="Times New Roman" w:eastAsia="Times New Roman"/>
        </w:rPr>
        <w:t>“</w:t>
      </w:r>
      <w:r>
        <w:rPr/>
        <w:t>硬壳层</w:t>
      </w:r>
      <w:r>
        <w:rPr>
          <w:rFonts w:ascii="Times New Roman" w:hAnsi="Times New Roman" w:eastAsia="Times New Roman"/>
        </w:rPr>
        <w:t>”</w:t>
      </w:r>
      <w:r>
        <w:rPr/>
        <w:t>，发育虫孔、</w:t>
      </w:r>
      <w:r>
        <w:rPr>
          <w:spacing w:val="-9"/>
        </w:rPr>
        <w:t>根孔及垂直裂隙。厚度 </w:t>
      </w:r>
      <w:r>
        <w:rPr>
          <w:rFonts w:ascii="Times New Roman" w:hAnsi="Times New Roman" w:eastAsia="Times New Roman"/>
        </w:rPr>
        <w:t>2 </w:t>
      </w:r>
      <w:r>
        <w:rPr>
          <w:spacing w:val="-9"/>
        </w:rPr>
        <w:t>直裂隙米，民井出水量一般 </w:t>
      </w:r>
      <w:r>
        <w:rPr>
          <w:rFonts w:ascii="Times New Roman" w:hAnsi="Times New Roman" w:eastAsia="Times New Roman"/>
        </w:rPr>
        <w:t>1 </w:t>
      </w:r>
      <w:r>
        <w:rPr/>
        <w:t>民井吨</w:t>
      </w:r>
      <w:r>
        <w:rPr>
          <w:rFonts w:ascii="Times New Roman" w:hAnsi="Times New Roman" w:eastAsia="Times New Roman"/>
        </w:rPr>
        <w:t>/</w:t>
      </w:r>
      <w:r>
        <w:rPr>
          <w:spacing w:val="-13"/>
        </w:rPr>
        <w:t>日，水位埋深 </w:t>
      </w:r>
      <w:r>
        <w:rPr>
          <w:rFonts w:ascii="Times New Roman" w:hAnsi="Times New Roman" w:eastAsia="Times New Roman"/>
        </w:rPr>
        <w:t>0.4 </w:t>
      </w:r>
      <w:r>
        <w:rPr/>
        <w:t>位埋深</w:t>
      </w:r>
      <w:r>
        <w:rPr>
          <w:spacing w:val="-21"/>
          <w:position w:val="2"/>
        </w:rPr>
        <w:t>量米，矿化度 </w:t>
      </w:r>
      <w:r>
        <w:rPr>
          <w:rFonts w:ascii="Times New Roman" w:hAnsi="Times New Roman" w:eastAsia="Times New Roman"/>
          <w:position w:val="2"/>
        </w:rPr>
        <w:t>0.2 </w:t>
      </w:r>
      <w:r>
        <w:rPr>
          <w:spacing w:val="-16"/>
          <w:position w:val="2"/>
        </w:rPr>
        <w:t>化度深量一升，为 </w:t>
      </w:r>
      <w:r>
        <w:rPr>
          <w:rFonts w:ascii="Times New Roman" w:hAnsi="Times New Roman" w:eastAsia="Times New Roman"/>
          <w:w w:val="99"/>
          <w:position w:val="2"/>
        </w:rPr>
        <w:t>HC</w:t>
      </w:r>
      <w:r>
        <w:rPr>
          <w:rFonts w:ascii="Times New Roman" w:hAnsi="Times New Roman" w:eastAsia="Times New Roman"/>
          <w:spacing w:val="-1"/>
          <w:w w:val="99"/>
          <w:position w:val="2"/>
        </w:rPr>
        <w:t>O</w:t>
      </w:r>
      <w:r>
        <w:rPr>
          <w:rFonts w:ascii="Times New Roman" w:hAnsi="Times New Roman" w:eastAsia="Times New Roman"/>
          <w:w w:val="100"/>
          <w:sz w:val="16"/>
        </w:rPr>
        <w:t>3</w:t>
      </w:r>
      <w:r>
        <w:rPr>
          <w:rFonts w:ascii="Times New Roman" w:hAnsi="Times New Roman" w:eastAsia="Times New Roman"/>
          <w:sz w:val="16"/>
        </w:rPr>
        <w:t> </w:t>
      </w:r>
      <w:r>
        <w:rPr>
          <w:spacing w:val="-11"/>
          <w:position w:val="2"/>
        </w:rPr>
        <w:t>度深量一般度值，</w:t>
      </w:r>
      <w:r>
        <w:rPr>
          <w:rFonts w:ascii="Times New Roman" w:hAnsi="Times New Roman" w:eastAsia="Times New Roman"/>
          <w:w w:val="99"/>
          <w:position w:val="2"/>
        </w:rPr>
        <w:t>HC</w:t>
      </w:r>
      <w:r>
        <w:rPr>
          <w:rFonts w:ascii="Times New Roman" w:hAnsi="Times New Roman" w:eastAsia="Times New Roman"/>
          <w:spacing w:val="-1"/>
          <w:w w:val="99"/>
          <w:position w:val="2"/>
        </w:rPr>
        <w:t>O</w:t>
      </w:r>
      <w:r>
        <w:rPr>
          <w:rFonts w:ascii="Times New Roman" w:hAnsi="Times New Roman" w:eastAsia="Times New Roman"/>
          <w:w w:val="100"/>
          <w:sz w:val="16"/>
        </w:rPr>
        <w:t>3</w:t>
      </w:r>
      <w:r>
        <w:rPr>
          <w:rFonts w:ascii="Times New Roman" w:hAnsi="Times New Roman" w:eastAsia="Times New Roman"/>
          <w:sz w:val="16"/>
        </w:rPr>
        <w:t> </w:t>
      </w:r>
      <w:r>
        <w:rPr>
          <w:spacing w:val="-2"/>
          <w:position w:val="2"/>
        </w:rPr>
        <w:t>度深量一般度直裂隙。</w:t>
      </w:r>
      <w:r>
        <w:rPr/>
        <w:t>厚度型水。</w:t>
      </w:r>
    </w:p>
    <w:p>
      <w:pPr>
        <w:pStyle w:val="ListParagraph"/>
        <w:numPr>
          <w:ilvl w:val="0"/>
          <w:numId w:val="33"/>
        </w:numPr>
        <w:tabs>
          <w:tab w:pos="980" w:val="left" w:leader="none"/>
        </w:tabs>
        <w:spacing w:line="306" w:lineRule="exact" w:before="0" w:after="0"/>
        <w:ind w:left="979" w:right="0" w:hanging="282"/>
        <w:jc w:val="left"/>
        <w:rPr>
          <w:sz w:val="24"/>
        </w:rPr>
      </w:pPr>
      <w:r>
        <w:rPr>
          <w:sz w:val="24"/>
        </w:rPr>
        <w:t>孔隙承压水</w:t>
      </w:r>
    </w:p>
    <w:p>
      <w:pPr>
        <w:pStyle w:val="BodyText"/>
        <w:spacing w:line="364" w:lineRule="auto" w:before="158"/>
        <w:ind w:left="218" w:right="233" w:firstLine="480"/>
        <w:jc w:val="both"/>
      </w:pPr>
      <w:r>
        <w:rPr>
          <w:spacing w:val="1"/>
        </w:rPr>
        <w:t>①全新统洪</w:t>
      </w:r>
      <w:r>
        <w:rPr>
          <w:rFonts w:ascii="Times New Roman" w:hAnsi="Times New Roman" w:eastAsia="Times New Roman"/>
          <w:spacing w:val="4"/>
        </w:rPr>
        <w:t>-</w:t>
      </w:r>
      <w:r>
        <w:rPr/>
        <w:t>冲击砂砾石孔隙承压水含水岩组：分布于长数公里至十多公里的沟谷出口处，为全新统洪</w:t>
      </w:r>
      <w:r>
        <w:rPr>
          <w:rFonts w:ascii="Times New Roman" w:hAnsi="Times New Roman" w:eastAsia="Times New Roman"/>
          <w:spacing w:val="4"/>
        </w:rPr>
        <w:t>-</w:t>
      </w:r>
      <w:r>
        <w:rPr/>
        <w:t>击砂砾石孔隙承压水含水岩组的自然延伸，潜水和承压水之届线</w:t>
      </w:r>
      <w:r>
        <w:rPr>
          <w:spacing w:val="-4"/>
        </w:rPr>
        <w:t>即为全新海相层的上缘便捷。海相淤泥质亚粘土层组成隔水顶板，含水组有松散的砾石组成，往下游渐趋尖灭了顶板埋深 </w:t>
      </w:r>
      <w:r>
        <w:rPr>
          <w:rFonts w:ascii="Times New Roman" w:hAnsi="Times New Roman" w:eastAsia="Times New Roman"/>
        </w:rPr>
        <w:t>10 </w:t>
      </w:r>
      <w:r>
        <w:rPr>
          <w:spacing w:val="-10"/>
        </w:rPr>
        <w:t>米左右，厚 </w:t>
      </w:r>
      <w:r>
        <w:rPr>
          <w:rFonts w:ascii="Times New Roman" w:hAnsi="Times New Roman" w:eastAsia="Times New Roman"/>
        </w:rPr>
        <w:t>3 </w:t>
      </w:r>
      <w:r>
        <w:rPr/>
        <w:t>米左右，水量中等。</w:t>
      </w:r>
    </w:p>
    <w:p>
      <w:pPr>
        <w:pStyle w:val="BodyText"/>
        <w:spacing w:line="362" w:lineRule="auto" w:before="1"/>
        <w:ind w:left="218" w:right="117" w:firstLine="480"/>
        <w:jc w:val="both"/>
      </w:pPr>
      <w:r>
        <w:rPr/>
        <w:t>②全新统下段冲</w:t>
      </w:r>
      <w:r>
        <w:rPr>
          <w:rFonts w:ascii="Times New Roman" w:hAnsi="Times New Roman" w:eastAsia="Times New Roman"/>
        </w:rPr>
        <w:t>-</w:t>
      </w:r>
      <w:r>
        <w:rPr>
          <w:spacing w:val="-3"/>
        </w:rPr>
        <w:t>海积亚砂土，粉细砂孔隙承压水含水岩组主要分布于与慈北平原， </w:t>
      </w:r>
      <w:r>
        <w:rPr>
          <w:spacing w:val="-1"/>
        </w:rPr>
        <w:t>其他平原区则零星分布乃至缺失。由亚砂土、粉砂、粉细砂组成，顶板埋深 </w:t>
      </w:r>
      <w:r>
        <w:rPr>
          <w:rFonts w:ascii="Times New Roman" w:hAnsi="Times New Roman" w:eastAsia="Times New Roman"/>
        </w:rPr>
        <w:t>20 </w:t>
      </w:r>
      <w:r>
        <w:rPr/>
        <w:t>米，厚</w:t>
      </w:r>
    </w:p>
    <w:p>
      <w:pPr>
        <w:pStyle w:val="BodyText"/>
        <w:spacing w:before="5"/>
        <w:ind w:left="218"/>
        <w:jc w:val="both"/>
      </w:pPr>
      <w:r>
        <w:rPr/>
        <w:t>度 </w:t>
      </w:r>
      <w:r>
        <w:rPr>
          <w:rFonts w:ascii="Times New Roman" w:eastAsia="Times New Roman"/>
        </w:rPr>
        <w:t>2 </w:t>
      </w:r>
      <w:r>
        <w:rPr/>
        <w:t>米，水量匮乏。隔水板为全新统中段海侵层，因受海寝影响，均系咸水或微咸水。</w:t>
      </w:r>
    </w:p>
    <w:p>
      <w:pPr>
        <w:pStyle w:val="BodyText"/>
        <w:spacing w:line="364" w:lineRule="auto" w:before="158"/>
        <w:ind w:left="218" w:right="236" w:firstLine="480"/>
        <w:jc w:val="both"/>
      </w:pPr>
      <w:r>
        <w:rPr/>
        <w:t>③上更新统中断冲积砂、砂砾石孔隙含水组</w:t>
      </w:r>
      <w:r>
        <w:rPr>
          <w:rFonts w:ascii="Times New Roman" w:hAnsi="Times New Roman" w:eastAsia="Times New Roman"/>
        </w:rPr>
        <w:t>(</w:t>
      </w:r>
      <w:r>
        <w:rPr/>
        <w:t>或者</w:t>
      </w:r>
      <w:r>
        <w:rPr>
          <w:rFonts w:ascii="Times New Roman" w:hAnsi="Times New Roman" w:eastAsia="Times New Roman"/>
        </w:rPr>
        <w:t>“</w:t>
      </w:r>
      <w:r>
        <w:rPr/>
        <w:t>第</w:t>
      </w:r>
      <w:r>
        <w:rPr>
          <w:rFonts w:ascii="Times New Roman" w:hAnsi="Times New Roman" w:eastAsia="Times New Roman"/>
        </w:rPr>
        <w:t>Ⅰ </w:t>
      </w:r>
      <w:r>
        <w:rPr/>
        <w:t>含水组</w:t>
      </w:r>
      <w:r>
        <w:rPr>
          <w:rFonts w:ascii="Times New Roman" w:hAnsi="Times New Roman" w:eastAsia="Times New Roman"/>
        </w:rPr>
        <w:t>”)</w:t>
      </w:r>
      <w:r>
        <w:rPr/>
        <w:t>评价区水文质特征见下表。</w:t>
      </w:r>
    </w:p>
    <w:p>
      <w:pPr>
        <w:pStyle w:val="BodyText"/>
        <w:spacing w:before="140" w:after="29"/>
        <w:ind w:left="3183"/>
        <w:jc w:val="both"/>
      </w:pPr>
      <w:r>
        <w:rPr/>
        <w:t>表 </w:t>
      </w:r>
      <w:r>
        <w:rPr>
          <w:rFonts w:ascii="Times New Roman" w:eastAsia="Times New Roman"/>
        </w:rPr>
        <w:t>7.2.3-2  </w:t>
      </w:r>
      <w:r>
        <w:rPr/>
        <w:t>地下水类型划分表</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0"/>
        <w:gridCol w:w="825"/>
        <w:gridCol w:w="898"/>
        <w:gridCol w:w="2198"/>
        <w:gridCol w:w="1171"/>
        <w:gridCol w:w="3158"/>
      </w:tblGrid>
      <w:tr>
        <w:trPr>
          <w:trHeight w:val="273" w:hRule="atLeast"/>
        </w:trPr>
        <w:tc>
          <w:tcPr>
            <w:tcW w:w="830" w:type="dxa"/>
            <w:vMerge w:val="restart"/>
          </w:tcPr>
          <w:p>
            <w:pPr>
              <w:pStyle w:val="TableParagraph"/>
              <w:spacing w:before="142"/>
              <w:ind w:left="203"/>
              <w:jc w:val="left"/>
              <w:rPr>
                <w:sz w:val="21"/>
              </w:rPr>
            </w:pPr>
            <w:r>
              <w:rPr>
                <w:sz w:val="21"/>
              </w:rPr>
              <w:t>类别</w:t>
            </w:r>
          </w:p>
        </w:tc>
        <w:tc>
          <w:tcPr>
            <w:tcW w:w="825" w:type="dxa"/>
            <w:vMerge w:val="restart"/>
          </w:tcPr>
          <w:p>
            <w:pPr>
              <w:pStyle w:val="TableParagraph"/>
              <w:spacing w:before="142"/>
              <w:ind w:left="201"/>
              <w:jc w:val="left"/>
              <w:rPr>
                <w:sz w:val="21"/>
              </w:rPr>
            </w:pPr>
            <w:r>
              <w:rPr>
                <w:sz w:val="21"/>
              </w:rPr>
              <w:t>亚类</w:t>
            </w:r>
          </w:p>
        </w:tc>
        <w:tc>
          <w:tcPr>
            <w:tcW w:w="898" w:type="dxa"/>
            <w:vMerge w:val="restart"/>
          </w:tcPr>
          <w:p>
            <w:pPr>
              <w:pStyle w:val="TableParagraph"/>
              <w:spacing w:before="142"/>
              <w:ind w:left="29"/>
              <w:jc w:val="left"/>
              <w:rPr>
                <w:sz w:val="21"/>
              </w:rPr>
            </w:pPr>
            <w:r>
              <w:rPr>
                <w:sz w:val="21"/>
              </w:rPr>
              <w:t>地层代号</w:t>
            </w:r>
          </w:p>
        </w:tc>
        <w:tc>
          <w:tcPr>
            <w:tcW w:w="2198" w:type="dxa"/>
            <w:vMerge w:val="restart"/>
          </w:tcPr>
          <w:p>
            <w:pPr>
              <w:pStyle w:val="TableParagraph"/>
              <w:spacing w:before="142"/>
              <w:ind w:left="680"/>
              <w:jc w:val="left"/>
              <w:rPr>
                <w:sz w:val="21"/>
              </w:rPr>
            </w:pPr>
            <w:r>
              <w:rPr>
                <w:sz w:val="21"/>
              </w:rPr>
              <w:t>含水岩层</w:t>
            </w:r>
          </w:p>
        </w:tc>
        <w:tc>
          <w:tcPr>
            <w:tcW w:w="4329" w:type="dxa"/>
            <w:gridSpan w:val="2"/>
          </w:tcPr>
          <w:p>
            <w:pPr>
              <w:pStyle w:val="TableParagraph"/>
              <w:spacing w:line="252" w:lineRule="exact" w:before="1"/>
              <w:ind w:left="1622" w:right="1606"/>
              <w:rPr>
                <w:sz w:val="21"/>
              </w:rPr>
            </w:pPr>
            <w:r>
              <w:rPr>
                <w:sz w:val="21"/>
              </w:rPr>
              <w:t>富水性划分</w:t>
            </w:r>
          </w:p>
        </w:tc>
      </w:tr>
      <w:tr>
        <w:trPr>
          <w:trHeight w:val="273" w:hRule="atLeast"/>
        </w:trPr>
        <w:tc>
          <w:tcPr>
            <w:tcW w:w="830" w:type="dxa"/>
            <w:vMerge/>
            <w:tcBorders>
              <w:top w:val="nil"/>
            </w:tcBorders>
          </w:tcPr>
          <w:p>
            <w:pPr>
              <w:rPr>
                <w:sz w:val="2"/>
                <w:szCs w:val="2"/>
              </w:rPr>
            </w:pPr>
          </w:p>
        </w:tc>
        <w:tc>
          <w:tcPr>
            <w:tcW w:w="825" w:type="dxa"/>
            <w:vMerge/>
            <w:tcBorders>
              <w:top w:val="nil"/>
            </w:tcBorders>
          </w:tcPr>
          <w:p>
            <w:pPr>
              <w:rPr>
                <w:sz w:val="2"/>
                <w:szCs w:val="2"/>
              </w:rPr>
            </w:pPr>
          </w:p>
        </w:tc>
        <w:tc>
          <w:tcPr>
            <w:tcW w:w="898" w:type="dxa"/>
            <w:vMerge/>
            <w:tcBorders>
              <w:top w:val="nil"/>
            </w:tcBorders>
          </w:tcPr>
          <w:p>
            <w:pPr>
              <w:rPr>
                <w:sz w:val="2"/>
                <w:szCs w:val="2"/>
              </w:rPr>
            </w:pPr>
          </w:p>
        </w:tc>
        <w:tc>
          <w:tcPr>
            <w:tcW w:w="2198" w:type="dxa"/>
            <w:vMerge/>
            <w:tcBorders>
              <w:top w:val="nil"/>
            </w:tcBorders>
          </w:tcPr>
          <w:p>
            <w:pPr>
              <w:rPr>
                <w:sz w:val="2"/>
                <w:szCs w:val="2"/>
              </w:rPr>
            </w:pPr>
          </w:p>
        </w:tc>
        <w:tc>
          <w:tcPr>
            <w:tcW w:w="1171" w:type="dxa"/>
          </w:tcPr>
          <w:p>
            <w:pPr>
              <w:pStyle w:val="TableParagraph"/>
              <w:spacing w:line="252" w:lineRule="exact" w:before="1"/>
              <w:ind w:left="40" w:right="28"/>
              <w:rPr>
                <w:sz w:val="21"/>
              </w:rPr>
            </w:pPr>
            <w:r>
              <w:rPr>
                <w:sz w:val="21"/>
              </w:rPr>
              <w:t>分级</w:t>
            </w:r>
          </w:p>
        </w:tc>
        <w:tc>
          <w:tcPr>
            <w:tcW w:w="3158" w:type="dxa"/>
          </w:tcPr>
          <w:p>
            <w:pPr>
              <w:pStyle w:val="TableParagraph"/>
              <w:spacing w:line="252" w:lineRule="exact" w:before="1"/>
              <w:ind w:left="22" w:right="8"/>
              <w:rPr>
                <w:sz w:val="21"/>
              </w:rPr>
            </w:pPr>
            <w:r>
              <w:rPr>
                <w:sz w:val="21"/>
              </w:rPr>
              <w:t>指标</w:t>
            </w:r>
          </w:p>
        </w:tc>
      </w:tr>
      <w:tr>
        <w:trPr>
          <w:trHeight w:val="816" w:hRule="atLeast"/>
        </w:trPr>
        <w:tc>
          <w:tcPr>
            <w:tcW w:w="830" w:type="dxa"/>
            <w:vMerge w:val="restart"/>
          </w:tcPr>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4"/>
              <w:jc w:val="left"/>
              <w:rPr>
                <w:sz w:val="16"/>
              </w:rPr>
            </w:pPr>
          </w:p>
          <w:p>
            <w:pPr>
              <w:pStyle w:val="TableParagraph"/>
              <w:spacing w:line="242" w:lineRule="auto"/>
              <w:ind w:left="98" w:right="86"/>
              <w:rPr>
                <w:sz w:val="21"/>
              </w:rPr>
            </w:pPr>
            <w:r>
              <w:rPr>
                <w:sz w:val="21"/>
              </w:rPr>
              <w:t>松散岩类孔隙水</w:t>
            </w:r>
          </w:p>
        </w:tc>
        <w:tc>
          <w:tcPr>
            <w:tcW w:w="825" w:type="dxa"/>
          </w:tcPr>
          <w:p>
            <w:pPr>
              <w:pStyle w:val="TableParagraph"/>
              <w:spacing w:line="244" w:lineRule="auto" w:before="136"/>
              <w:ind w:left="307" w:right="83" w:hanging="212"/>
              <w:jc w:val="left"/>
              <w:rPr>
                <w:sz w:val="21"/>
              </w:rPr>
            </w:pPr>
            <w:r>
              <w:rPr>
                <w:sz w:val="21"/>
              </w:rPr>
              <w:t>孔隙潜水</w:t>
            </w:r>
          </w:p>
        </w:tc>
        <w:tc>
          <w:tcPr>
            <w:tcW w:w="898" w:type="dxa"/>
          </w:tcPr>
          <w:p>
            <w:pPr>
              <w:pStyle w:val="TableParagraph"/>
              <w:jc w:val="left"/>
              <w:rPr>
                <w:sz w:val="22"/>
              </w:rPr>
            </w:pPr>
          </w:p>
          <w:p>
            <w:pPr>
              <w:pStyle w:val="TableParagraph"/>
              <w:spacing w:line="167" w:lineRule="exact"/>
              <w:ind w:left="114" w:right="103"/>
              <w:rPr>
                <w:rFonts w:ascii="Times New Roman"/>
                <w:sz w:val="14"/>
              </w:rPr>
            </w:pPr>
            <w:r>
              <w:rPr>
                <w:rFonts w:ascii="Times New Roman"/>
                <w:position w:val="-6"/>
                <w:sz w:val="21"/>
              </w:rPr>
              <w:t>Q </w:t>
            </w:r>
            <w:r>
              <w:rPr>
                <w:rFonts w:ascii="Times New Roman"/>
                <w:sz w:val="14"/>
              </w:rPr>
              <w:t>3</w:t>
            </w:r>
          </w:p>
          <w:p>
            <w:pPr>
              <w:pStyle w:val="TableParagraph"/>
              <w:spacing w:line="82" w:lineRule="exact"/>
              <w:ind w:left="95"/>
              <w:rPr>
                <w:rFonts w:ascii="Times New Roman"/>
                <w:sz w:val="14"/>
              </w:rPr>
            </w:pPr>
            <w:r>
              <w:rPr>
                <w:rFonts w:ascii="Times New Roman"/>
                <w:w w:val="99"/>
                <w:sz w:val="14"/>
              </w:rPr>
              <w:t>3</w:t>
            </w:r>
          </w:p>
        </w:tc>
        <w:tc>
          <w:tcPr>
            <w:tcW w:w="2198" w:type="dxa"/>
          </w:tcPr>
          <w:p>
            <w:pPr>
              <w:pStyle w:val="TableParagraph"/>
              <w:spacing w:line="242" w:lineRule="auto" w:before="1"/>
              <w:ind w:left="15"/>
              <w:rPr>
                <w:sz w:val="21"/>
              </w:rPr>
            </w:pPr>
            <w:r>
              <w:rPr>
                <w:sz w:val="21"/>
              </w:rPr>
              <w:t>上更新统坡</w:t>
            </w:r>
            <w:r>
              <w:rPr>
                <w:rFonts w:ascii="Times New Roman" w:eastAsia="Times New Roman"/>
                <w:sz w:val="21"/>
              </w:rPr>
              <w:t>-</w:t>
            </w:r>
            <w:r>
              <w:rPr>
                <w:sz w:val="21"/>
              </w:rPr>
              <w:t>洪积碎、砾石含粘土孔隙潜水含水</w:t>
            </w:r>
          </w:p>
          <w:p>
            <w:pPr>
              <w:pStyle w:val="TableParagraph"/>
              <w:spacing w:line="250" w:lineRule="exact" w:before="1"/>
              <w:ind w:left="12"/>
              <w:rPr>
                <w:sz w:val="21"/>
              </w:rPr>
            </w:pPr>
            <w:r>
              <w:rPr>
                <w:w w:val="100"/>
                <w:sz w:val="21"/>
              </w:rPr>
              <w:t>组</w:t>
            </w:r>
          </w:p>
        </w:tc>
        <w:tc>
          <w:tcPr>
            <w:tcW w:w="1171" w:type="dxa"/>
          </w:tcPr>
          <w:p>
            <w:pPr>
              <w:pStyle w:val="TableParagraph"/>
              <w:spacing w:before="3"/>
              <w:jc w:val="left"/>
              <w:rPr>
                <w:sz w:val="21"/>
              </w:rPr>
            </w:pPr>
          </w:p>
          <w:p>
            <w:pPr>
              <w:pStyle w:val="TableParagraph"/>
              <w:ind w:left="40" w:right="30"/>
              <w:rPr>
                <w:sz w:val="21"/>
              </w:rPr>
            </w:pPr>
            <w:r>
              <w:rPr>
                <w:sz w:val="21"/>
              </w:rPr>
              <w:t>水量贫乏</w:t>
            </w:r>
          </w:p>
        </w:tc>
        <w:tc>
          <w:tcPr>
            <w:tcW w:w="3158" w:type="dxa"/>
          </w:tcPr>
          <w:p>
            <w:pPr>
              <w:pStyle w:val="TableParagraph"/>
              <w:spacing w:before="3"/>
              <w:jc w:val="left"/>
              <w:rPr>
                <w:sz w:val="21"/>
              </w:rPr>
            </w:pPr>
          </w:p>
          <w:p>
            <w:pPr>
              <w:pStyle w:val="TableParagraph"/>
              <w:ind w:left="20" w:right="8"/>
              <w:rPr>
                <w:sz w:val="21"/>
              </w:rPr>
            </w:pPr>
            <w:r>
              <w:rPr>
                <w:sz w:val="21"/>
              </w:rPr>
              <w:t>民井涌水量 </w:t>
            </w:r>
            <w:r>
              <w:rPr>
                <w:rFonts w:ascii="Times New Roman" w:eastAsia="Times New Roman"/>
                <w:sz w:val="21"/>
              </w:rPr>
              <w:t>10 </w:t>
            </w:r>
            <w:r>
              <w:rPr>
                <w:sz w:val="21"/>
              </w:rPr>
              <w:t>涌水量吨</w:t>
            </w:r>
            <w:r>
              <w:rPr>
                <w:rFonts w:ascii="Times New Roman" w:eastAsia="Times New Roman"/>
                <w:sz w:val="21"/>
              </w:rPr>
              <w:t>/</w:t>
            </w:r>
            <w:r>
              <w:rPr>
                <w:sz w:val="21"/>
              </w:rPr>
              <w:t>日</w:t>
            </w:r>
          </w:p>
        </w:tc>
      </w:tr>
      <w:tr>
        <w:trPr>
          <w:trHeight w:val="273" w:hRule="atLeast"/>
        </w:trPr>
        <w:tc>
          <w:tcPr>
            <w:tcW w:w="830" w:type="dxa"/>
            <w:vMerge/>
            <w:tcBorders>
              <w:top w:val="nil"/>
            </w:tcBorders>
          </w:tcPr>
          <w:p>
            <w:pPr>
              <w:rPr>
                <w:sz w:val="2"/>
                <w:szCs w:val="2"/>
              </w:rPr>
            </w:pPr>
          </w:p>
        </w:tc>
        <w:tc>
          <w:tcPr>
            <w:tcW w:w="825" w:type="dxa"/>
            <w:vMerge w:val="restart"/>
          </w:tcPr>
          <w:p>
            <w:pPr>
              <w:pStyle w:val="TableParagraph"/>
              <w:jc w:val="left"/>
              <w:rPr>
                <w:sz w:val="20"/>
              </w:rPr>
            </w:pPr>
          </w:p>
          <w:p>
            <w:pPr>
              <w:pStyle w:val="TableParagraph"/>
              <w:jc w:val="left"/>
              <w:rPr>
                <w:sz w:val="20"/>
              </w:rPr>
            </w:pPr>
          </w:p>
          <w:p>
            <w:pPr>
              <w:pStyle w:val="TableParagraph"/>
              <w:spacing w:before="9"/>
              <w:jc w:val="left"/>
              <w:rPr>
                <w:sz w:val="14"/>
              </w:rPr>
            </w:pPr>
          </w:p>
          <w:p>
            <w:pPr>
              <w:pStyle w:val="TableParagraph"/>
              <w:spacing w:line="244" w:lineRule="auto" w:before="1"/>
              <w:ind w:left="201" w:right="83" w:hanging="106"/>
              <w:jc w:val="left"/>
              <w:rPr>
                <w:sz w:val="21"/>
              </w:rPr>
            </w:pPr>
            <w:r>
              <w:rPr>
                <w:sz w:val="21"/>
              </w:rPr>
              <w:t>孔隙承压水</w:t>
            </w:r>
          </w:p>
        </w:tc>
        <w:tc>
          <w:tcPr>
            <w:tcW w:w="898" w:type="dxa"/>
            <w:vMerge w:val="restart"/>
          </w:tcPr>
          <w:p>
            <w:pPr>
              <w:pStyle w:val="TableParagraph"/>
              <w:spacing w:before="12"/>
              <w:jc w:val="left"/>
              <w:rPr>
                <w:sz w:val="33"/>
              </w:rPr>
            </w:pPr>
          </w:p>
          <w:p>
            <w:pPr>
              <w:pStyle w:val="TableParagraph"/>
              <w:spacing w:line="167" w:lineRule="exact"/>
              <w:ind w:left="114" w:right="103"/>
              <w:rPr>
                <w:rFonts w:ascii="Times New Roman"/>
                <w:sz w:val="14"/>
              </w:rPr>
            </w:pPr>
            <w:r>
              <w:rPr>
                <w:rFonts w:ascii="Times New Roman"/>
                <w:position w:val="-6"/>
                <w:sz w:val="21"/>
              </w:rPr>
              <w:t>Q </w:t>
            </w:r>
            <w:r>
              <w:rPr>
                <w:rFonts w:ascii="Times New Roman"/>
                <w:sz w:val="14"/>
              </w:rPr>
              <w:t>2</w:t>
            </w:r>
          </w:p>
          <w:p>
            <w:pPr>
              <w:pStyle w:val="TableParagraph"/>
              <w:spacing w:line="82" w:lineRule="exact"/>
              <w:ind w:left="95"/>
              <w:rPr>
                <w:rFonts w:ascii="Times New Roman"/>
                <w:sz w:val="14"/>
              </w:rPr>
            </w:pPr>
            <w:r>
              <w:rPr>
                <w:rFonts w:ascii="Times New Roman"/>
                <w:w w:val="99"/>
                <w:sz w:val="14"/>
              </w:rPr>
              <w:t>3</w:t>
            </w:r>
          </w:p>
        </w:tc>
        <w:tc>
          <w:tcPr>
            <w:tcW w:w="2198" w:type="dxa"/>
            <w:vMerge w:val="restart"/>
          </w:tcPr>
          <w:p>
            <w:pPr>
              <w:pStyle w:val="TableParagraph"/>
              <w:spacing w:line="242" w:lineRule="auto" w:before="152"/>
              <w:ind w:left="48" w:right="34"/>
              <w:rPr>
                <w:sz w:val="21"/>
              </w:rPr>
            </w:pPr>
            <w:r>
              <w:rPr>
                <w:sz w:val="21"/>
              </w:rPr>
              <w:t>上更新中段冲积砂、砂砾石孔隙承压水含水岩组</w:t>
            </w:r>
          </w:p>
        </w:tc>
        <w:tc>
          <w:tcPr>
            <w:tcW w:w="1171" w:type="dxa"/>
          </w:tcPr>
          <w:p>
            <w:pPr>
              <w:pStyle w:val="TableParagraph"/>
              <w:spacing w:line="252" w:lineRule="exact" w:before="1"/>
              <w:ind w:left="40" w:right="30"/>
              <w:rPr>
                <w:sz w:val="21"/>
              </w:rPr>
            </w:pPr>
            <w:r>
              <w:rPr>
                <w:sz w:val="21"/>
              </w:rPr>
              <w:t>水量丰富</w:t>
            </w:r>
          </w:p>
        </w:tc>
        <w:tc>
          <w:tcPr>
            <w:tcW w:w="3158" w:type="dxa"/>
          </w:tcPr>
          <w:p>
            <w:pPr>
              <w:pStyle w:val="TableParagraph"/>
              <w:spacing w:line="252" w:lineRule="exact" w:before="1"/>
              <w:ind w:left="22" w:right="8"/>
              <w:rPr>
                <w:sz w:val="21"/>
              </w:rPr>
            </w:pPr>
            <w:r>
              <w:rPr>
                <w:spacing w:val="-10"/>
                <w:sz w:val="21"/>
              </w:rPr>
              <w:t>单井涌水量 </w:t>
            </w:r>
            <w:r>
              <w:rPr>
                <w:rFonts w:ascii="Times New Roman" w:eastAsia="Times New Roman"/>
                <w:sz w:val="21"/>
              </w:rPr>
              <w:t>3000 </w:t>
            </w:r>
            <w:r>
              <w:rPr>
                <w:spacing w:val="-3"/>
                <w:sz w:val="21"/>
              </w:rPr>
              <w:t>量段冲积砂吨</w:t>
            </w:r>
            <w:r>
              <w:rPr>
                <w:rFonts w:ascii="Times New Roman" w:eastAsia="Times New Roman"/>
                <w:sz w:val="21"/>
              </w:rPr>
              <w:t>/</w:t>
            </w:r>
            <w:r>
              <w:rPr>
                <w:sz w:val="21"/>
              </w:rPr>
              <w:t>日</w:t>
            </w:r>
          </w:p>
        </w:tc>
      </w:tr>
      <w:tr>
        <w:trPr>
          <w:trHeight w:val="270" w:hRule="atLeast"/>
        </w:trPr>
        <w:tc>
          <w:tcPr>
            <w:tcW w:w="830" w:type="dxa"/>
            <w:vMerge/>
            <w:tcBorders>
              <w:top w:val="nil"/>
            </w:tcBorders>
          </w:tcPr>
          <w:p>
            <w:pPr>
              <w:rPr>
                <w:sz w:val="2"/>
                <w:szCs w:val="2"/>
              </w:rPr>
            </w:pPr>
          </w:p>
        </w:tc>
        <w:tc>
          <w:tcPr>
            <w:tcW w:w="825" w:type="dxa"/>
            <w:vMerge/>
            <w:tcBorders>
              <w:top w:val="nil"/>
            </w:tcBorders>
          </w:tcPr>
          <w:p>
            <w:pPr>
              <w:rPr>
                <w:sz w:val="2"/>
                <w:szCs w:val="2"/>
              </w:rPr>
            </w:pPr>
          </w:p>
        </w:tc>
        <w:tc>
          <w:tcPr>
            <w:tcW w:w="898" w:type="dxa"/>
            <w:vMerge/>
            <w:tcBorders>
              <w:top w:val="nil"/>
            </w:tcBorders>
          </w:tcPr>
          <w:p>
            <w:pPr>
              <w:rPr>
                <w:sz w:val="2"/>
                <w:szCs w:val="2"/>
              </w:rPr>
            </w:pPr>
          </w:p>
        </w:tc>
        <w:tc>
          <w:tcPr>
            <w:tcW w:w="2198" w:type="dxa"/>
            <w:vMerge/>
            <w:tcBorders>
              <w:top w:val="nil"/>
            </w:tcBorders>
          </w:tcPr>
          <w:p>
            <w:pPr>
              <w:rPr>
                <w:sz w:val="2"/>
                <w:szCs w:val="2"/>
              </w:rPr>
            </w:pPr>
          </w:p>
        </w:tc>
        <w:tc>
          <w:tcPr>
            <w:tcW w:w="1171" w:type="dxa"/>
          </w:tcPr>
          <w:p>
            <w:pPr>
              <w:pStyle w:val="TableParagraph"/>
              <w:spacing w:line="250" w:lineRule="exact" w:before="1"/>
              <w:ind w:left="40" w:right="30"/>
              <w:rPr>
                <w:sz w:val="21"/>
              </w:rPr>
            </w:pPr>
            <w:r>
              <w:rPr>
                <w:sz w:val="21"/>
              </w:rPr>
              <w:t>水量较丰富</w:t>
            </w:r>
          </w:p>
        </w:tc>
        <w:tc>
          <w:tcPr>
            <w:tcW w:w="3158" w:type="dxa"/>
          </w:tcPr>
          <w:p>
            <w:pPr>
              <w:pStyle w:val="TableParagraph"/>
              <w:spacing w:line="250" w:lineRule="exact" w:before="1"/>
              <w:ind w:left="22" w:right="8"/>
              <w:rPr>
                <w:sz w:val="21"/>
              </w:rPr>
            </w:pPr>
            <w:r>
              <w:rPr>
                <w:spacing w:val="-10"/>
                <w:sz w:val="21"/>
              </w:rPr>
              <w:t>单井涌水量 </w:t>
            </w:r>
            <w:r>
              <w:rPr>
                <w:rFonts w:ascii="Times New Roman" w:eastAsia="Times New Roman"/>
                <w:sz w:val="21"/>
              </w:rPr>
              <w:t>1000 </w:t>
            </w:r>
            <w:r>
              <w:rPr>
                <w:spacing w:val="-3"/>
                <w:sz w:val="21"/>
              </w:rPr>
              <w:t>量段冲积砂吨</w:t>
            </w:r>
            <w:r>
              <w:rPr>
                <w:rFonts w:ascii="Times New Roman" w:eastAsia="Times New Roman"/>
                <w:sz w:val="21"/>
              </w:rPr>
              <w:t>/</w:t>
            </w:r>
            <w:r>
              <w:rPr>
                <w:sz w:val="21"/>
              </w:rPr>
              <w:t>日</w:t>
            </w:r>
          </w:p>
        </w:tc>
      </w:tr>
      <w:tr>
        <w:trPr>
          <w:trHeight w:val="273" w:hRule="atLeast"/>
        </w:trPr>
        <w:tc>
          <w:tcPr>
            <w:tcW w:w="830" w:type="dxa"/>
            <w:vMerge/>
            <w:tcBorders>
              <w:top w:val="nil"/>
            </w:tcBorders>
          </w:tcPr>
          <w:p>
            <w:pPr>
              <w:rPr>
                <w:sz w:val="2"/>
                <w:szCs w:val="2"/>
              </w:rPr>
            </w:pPr>
          </w:p>
        </w:tc>
        <w:tc>
          <w:tcPr>
            <w:tcW w:w="825" w:type="dxa"/>
            <w:vMerge/>
            <w:tcBorders>
              <w:top w:val="nil"/>
            </w:tcBorders>
          </w:tcPr>
          <w:p>
            <w:pPr>
              <w:rPr>
                <w:sz w:val="2"/>
                <w:szCs w:val="2"/>
              </w:rPr>
            </w:pPr>
          </w:p>
        </w:tc>
        <w:tc>
          <w:tcPr>
            <w:tcW w:w="898" w:type="dxa"/>
            <w:vMerge/>
            <w:tcBorders>
              <w:top w:val="nil"/>
            </w:tcBorders>
          </w:tcPr>
          <w:p>
            <w:pPr>
              <w:rPr>
                <w:sz w:val="2"/>
                <w:szCs w:val="2"/>
              </w:rPr>
            </w:pPr>
          </w:p>
        </w:tc>
        <w:tc>
          <w:tcPr>
            <w:tcW w:w="2198" w:type="dxa"/>
            <w:vMerge/>
            <w:tcBorders>
              <w:top w:val="nil"/>
            </w:tcBorders>
          </w:tcPr>
          <w:p>
            <w:pPr>
              <w:rPr>
                <w:sz w:val="2"/>
                <w:szCs w:val="2"/>
              </w:rPr>
            </w:pPr>
          </w:p>
        </w:tc>
        <w:tc>
          <w:tcPr>
            <w:tcW w:w="1171" w:type="dxa"/>
          </w:tcPr>
          <w:p>
            <w:pPr>
              <w:pStyle w:val="TableParagraph"/>
              <w:spacing w:line="250" w:lineRule="exact" w:before="3"/>
              <w:ind w:left="40" w:right="30"/>
              <w:rPr>
                <w:sz w:val="21"/>
              </w:rPr>
            </w:pPr>
            <w:r>
              <w:rPr>
                <w:sz w:val="21"/>
              </w:rPr>
              <w:t>水量中等</w:t>
            </w:r>
          </w:p>
        </w:tc>
        <w:tc>
          <w:tcPr>
            <w:tcW w:w="3158" w:type="dxa"/>
          </w:tcPr>
          <w:p>
            <w:pPr>
              <w:pStyle w:val="TableParagraph"/>
              <w:spacing w:line="250" w:lineRule="exact" w:before="3"/>
              <w:ind w:left="20" w:right="8"/>
              <w:rPr>
                <w:sz w:val="21"/>
              </w:rPr>
            </w:pPr>
            <w:r>
              <w:rPr>
                <w:sz w:val="21"/>
              </w:rPr>
              <w:t>单井涌水量 </w:t>
            </w:r>
            <w:r>
              <w:rPr>
                <w:rFonts w:ascii="Times New Roman" w:eastAsia="Times New Roman"/>
                <w:sz w:val="21"/>
              </w:rPr>
              <w:t>100 </w:t>
            </w:r>
            <w:r>
              <w:rPr>
                <w:sz w:val="21"/>
              </w:rPr>
              <w:t>量段冲积砂吨</w:t>
            </w:r>
            <w:r>
              <w:rPr>
                <w:rFonts w:ascii="Times New Roman" w:eastAsia="Times New Roman"/>
                <w:sz w:val="21"/>
              </w:rPr>
              <w:t>/</w:t>
            </w:r>
            <w:r>
              <w:rPr>
                <w:sz w:val="21"/>
              </w:rPr>
              <w:t>日</w:t>
            </w:r>
          </w:p>
        </w:tc>
      </w:tr>
      <w:tr>
        <w:trPr>
          <w:trHeight w:val="273" w:hRule="atLeast"/>
        </w:trPr>
        <w:tc>
          <w:tcPr>
            <w:tcW w:w="830" w:type="dxa"/>
            <w:vMerge/>
            <w:tcBorders>
              <w:top w:val="nil"/>
            </w:tcBorders>
          </w:tcPr>
          <w:p>
            <w:pPr>
              <w:rPr>
                <w:sz w:val="2"/>
                <w:szCs w:val="2"/>
              </w:rPr>
            </w:pPr>
          </w:p>
        </w:tc>
        <w:tc>
          <w:tcPr>
            <w:tcW w:w="825" w:type="dxa"/>
            <w:vMerge/>
            <w:tcBorders>
              <w:top w:val="nil"/>
            </w:tcBorders>
          </w:tcPr>
          <w:p>
            <w:pPr>
              <w:rPr>
                <w:sz w:val="2"/>
                <w:szCs w:val="2"/>
              </w:rPr>
            </w:pPr>
          </w:p>
        </w:tc>
        <w:tc>
          <w:tcPr>
            <w:tcW w:w="898" w:type="dxa"/>
            <w:vMerge/>
            <w:tcBorders>
              <w:top w:val="nil"/>
            </w:tcBorders>
          </w:tcPr>
          <w:p>
            <w:pPr>
              <w:rPr>
                <w:sz w:val="2"/>
                <w:szCs w:val="2"/>
              </w:rPr>
            </w:pPr>
          </w:p>
        </w:tc>
        <w:tc>
          <w:tcPr>
            <w:tcW w:w="2198" w:type="dxa"/>
            <w:vMerge/>
            <w:tcBorders>
              <w:top w:val="nil"/>
            </w:tcBorders>
          </w:tcPr>
          <w:p>
            <w:pPr>
              <w:rPr>
                <w:sz w:val="2"/>
                <w:szCs w:val="2"/>
              </w:rPr>
            </w:pPr>
          </w:p>
        </w:tc>
        <w:tc>
          <w:tcPr>
            <w:tcW w:w="1171" w:type="dxa"/>
          </w:tcPr>
          <w:p>
            <w:pPr>
              <w:pStyle w:val="TableParagraph"/>
              <w:spacing w:line="252" w:lineRule="exact" w:before="1"/>
              <w:ind w:left="40" w:right="30"/>
              <w:rPr>
                <w:sz w:val="21"/>
              </w:rPr>
            </w:pPr>
            <w:r>
              <w:rPr>
                <w:sz w:val="21"/>
              </w:rPr>
              <w:t>水量贫乏</w:t>
            </w:r>
          </w:p>
        </w:tc>
        <w:tc>
          <w:tcPr>
            <w:tcW w:w="3158" w:type="dxa"/>
          </w:tcPr>
          <w:p>
            <w:pPr>
              <w:pStyle w:val="TableParagraph"/>
              <w:spacing w:line="252" w:lineRule="exact" w:before="1"/>
              <w:ind w:left="22" w:right="8"/>
              <w:rPr>
                <w:sz w:val="21"/>
              </w:rPr>
            </w:pPr>
            <w:r>
              <w:rPr>
                <w:sz w:val="21"/>
              </w:rPr>
              <w:t>单井涌水量</w:t>
            </w:r>
            <w:r>
              <w:rPr>
                <w:rFonts w:ascii="Times New Roman" w:eastAsia="Times New Roman"/>
                <w:sz w:val="21"/>
              </w:rPr>
              <w:t>&lt;100 </w:t>
            </w:r>
            <w:r>
              <w:rPr>
                <w:sz w:val="21"/>
              </w:rPr>
              <w:t>吨</w:t>
            </w:r>
            <w:r>
              <w:rPr>
                <w:rFonts w:ascii="Times New Roman" w:eastAsia="Times New Roman"/>
                <w:sz w:val="21"/>
              </w:rPr>
              <w:t>/</w:t>
            </w:r>
            <w:r>
              <w:rPr>
                <w:sz w:val="21"/>
              </w:rPr>
              <w:t>日</w:t>
            </w:r>
          </w:p>
        </w:tc>
      </w:tr>
      <w:tr>
        <w:trPr>
          <w:trHeight w:val="270" w:hRule="atLeast"/>
        </w:trPr>
        <w:tc>
          <w:tcPr>
            <w:tcW w:w="830" w:type="dxa"/>
            <w:vMerge/>
            <w:tcBorders>
              <w:top w:val="nil"/>
            </w:tcBorders>
          </w:tcPr>
          <w:p>
            <w:pPr>
              <w:rPr>
                <w:sz w:val="2"/>
                <w:szCs w:val="2"/>
              </w:rPr>
            </w:pPr>
          </w:p>
        </w:tc>
        <w:tc>
          <w:tcPr>
            <w:tcW w:w="825" w:type="dxa"/>
            <w:vMerge/>
            <w:tcBorders>
              <w:top w:val="nil"/>
            </w:tcBorders>
          </w:tcPr>
          <w:p>
            <w:pPr>
              <w:rPr>
                <w:sz w:val="2"/>
                <w:szCs w:val="2"/>
              </w:rPr>
            </w:pPr>
          </w:p>
        </w:tc>
        <w:tc>
          <w:tcPr>
            <w:tcW w:w="898" w:type="dxa"/>
            <w:vMerge w:val="restart"/>
          </w:tcPr>
          <w:p>
            <w:pPr>
              <w:pStyle w:val="TableParagraph"/>
              <w:jc w:val="left"/>
              <w:rPr>
                <w:sz w:val="22"/>
              </w:rPr>
            </w:pPr>
          </w:p>
          <w:p>
            <w:pPr>
              <w:pStyle w:val="TableParagraph"/>
              <w:spacing w:line="167" w:lineRule="exact"/>
              <w:ind w:left="114" w:right="103"/>
              <w:rPr>
                <w:rFonts w:ascii="Times New Roman"/>
                <w:sz w:val="14"/>
              </w:rPr>
            </w:pPr>
            <w:r>
              <w:rPr>
                <w:rFonts w:ascii="Times New Roman"/>
                <w:position w:val="-6"/>
                <w:sz w:val="21"/>
              </w:rPr>
              <w:t>Q </w:t>
            </w:r>
            <w:r>
              <w:rPr>
                <w:rFonts w:ascii="Times New Roman"/>
                <w:sz w:val="14"/>
              </w:rPr>
              <w:t>1</w:t>
            </w:r>
          </w:p>
          <w:p>
            <w:pPr>
              <w:pStyle w:val="TableParagraph"/>
              <w:spacing w:line="82" w:lineRule="exact"/>
              <w:ind w:left="95"/>
              <w:rPr>
                <w:rFonts w:ascii="Times New Roman"/>
                <w:sz w:val="14"/>
              </w:rPr>
            </w:pPr>
            <w:r>
              <w:rPr>
                <w:rFonts w:ascii="Times New Roman"/>
                <w:w w:val="99"/>
                <w:sz w:val="14"/>
              </w:rPr>
              <w:t>3</w:t>
            </w:r>
          </w:p>
        </w:tc>
        <w:tc>
          <w:tcPr>
            <w:tcW w:w="2198" w:type="dxa"/>
            <w:vMerge w:val="restart"/>
          </w:tcPr>
          <w:p>
            <w:pPr>
              <w:pStyle w:val="TableParagraph"/>
              <w:spacing w:line="242" w:lineRule="auto" w:before="1"/>
              <w:ind w:left="48" w:right="34"/>
              <w:rPr>
                <w:sz w:val="21"/>
              </w:rPr>
            </w:pPr>
            <w:r>
              <w:rPr>
                <w:sz w:val="21"/>
              </w:rPr>
              <w:t>上更新统下段冲积砂、砂砾石孔隙承压水含水</w:t>
            </w:r>
          </w:p>
          <w:p>
            <w:pPr>
              <w:pStyle w:val="TableParagraph"/>
              <w:spacing w:line="250" w:lineRule="exact" w:before="1"/>
              <w:ind w:left="12"/>
              <w:rPr>
                <w:sz w:val="21"/>
              </w:rPr>
            </w:pPr>
            <w:r>
              <w:rPr>
                <w:sz w:val="21"/>
              </w:rPr>
              <w:t>岩组</w:t>
            </w:r>
          </w:p>
        </w:tc>
        <w:tc>
          <w:tcPr>
            <w:tcW w:w="1171" w:type="dxa"/>
          </w:tcPr>
          <w:p>
            <w:pPr>
              <w:pStyle w:val="TableParagraph"/>
              <w:spacing w:line="250" w:lineRule="exact" w:before="1"/>
              <w:ind w:left="40" w:right="30"/>
              <w:rPr>
                <w:sz w:val="21"/>
              </w:rPr>
            </w:pPr>
            <w:r>
              <w:rPr>
                <w:sz w:val="21"/>
              </w:rPr>
              <w:t>水量较丰富</w:t>
            </w:r>
          </w:p>
        </w:tc>
        <w:tc>
          <w:tcPr>
            <w:tcW w:w="3158" w:type="dxa"/>
          </w:tcPr>
          <w:p>
            <w:pPr>
              <w:pStyle w:val="TableParagraph"/>
              <w:spacing w:line="250" w:lineRule="exact" w:before="1"/>
              <w:ind w:left="22" w:right="8"/>
              <w:rPr>
                <w:sz w:val="21"/>
              </w:rPr>
            </w:pPr>
            <w:r>
              <w:rPr>
                <w:spacing w:val="-10"/>
                <w:sz w:val="21"/>
              </w:rPr>
              <w:t>单井涌水量 </w:t>
            </w:r>
            <w:r>
              <w:rPr>
                <w:rFonts w:ascii="Times New Roman" w:eastAsia="Times New Roman"/>
                <w:sz w:val="21"/>
              </w:rPr>
              <w:t>1000 </w:t>
            </w:r>
            <w:r>
              <w:rPr>
                <w:spacing w:val="-3"/>
                <w:sz w:val="21"/>
              </w:rPr>
              <w:t>量段冲积砂吨</w:t>
            </w:r>
            <w:r>
              <w:rPr>
                <w:rFonts w:ascii="Times New Roman" w:eastAsia="Times New Roman"/>
                <w:sz w:val="21"/>
              </w:rPr>
              <w:t>/</w:t>
            </w:r>
            <w:r>
              <w:rPr>
                <w:sz w:val="21"/>
              </w:rPr>
              <w:t>日</w:t>
            </w:r>
          </w:p>
        </w:tc>
      </w:tr>
      <w:tr>
        <w:trPr>
          <w:trHeight w:val="534" w:hRule="atLeast"/>
        </w:trPr>
        <w:tc>
          <w:tcPr>
            <w:tcW w:w="830" w:type="dxa"/>
            <w:vMerge/>
            <w:tcBorders>
              <w:top w:val="nil"/>
            </w:tcBorders>
          </w:tcPr>
          <w:p>
            <w:pPr>
              <w:rPr>
                <w:sz w:val="2"/>
                <w:szCs w:val="2"/>
              </w:rPr>
            </w:pPr>
          </w:p>
        </w:tc>
        <w:tc>
          <w:tcPr>
            <w:tcW w:w="825" w:type="dxa"/>
            <w:vMerge/>
            <w:tcBorders>
              <w:top w:val="nil"/>
            </w:tcBorders>
          </w:tcPr>
          <w:p>
            <w:pPr>
              <w:rPr>
                <w:sz w:val="2"/>
                <w:szCs w:val="2"/>
              </w:rPr>
            </w:pPr>
          </w:p>
        </w:tc>
        <w:tc>
          <w:tcPr>
            <w:tcW w:w="898" w:type="dxa"/>
            <w:vMerge/>
            <w:tcBorders>
              <w:top w:val="nil"/>
            </w:tcBorders>
          </w:tcPr>
          <w:p>
            <w:pPr>
              <w:rPr>
                <w:sz w:val="2"/>
                <w:szCs w:val="2"/>
              </w:rPr>
            </w:pPr>
          </w:p>
        </w:tc>
        <w:tc>
          <w:tcPr>
            <w:tcW w:w="2198" w:type="dxa"/>
            <w:vMerge/>
            <w:tcBorders>
              <w:top w:val="nil"/>
            </w:tcBorders>
          </w:tcPr>
          <w:p>
            <w:pPr>
              <w:rPr>
                <w:sz w:val="2"/>
                <w:szCs w:val="2"/>
              </w:rPr>
            </w:pPr>
          </w:p>
        </w:tc>
        <w:tc>
          <w:tcPr>
            <w:tcW w:w="1171" w:type="dxa"/>
          </w:tcPr>
          <w:p>
            <w:pPr>
              <w:pStyle w:val="TableParagraph"/>
              <w:spacing w:before="133"/>
              <w:ind w:left="40" w:right="30"/>
              <w:rPr>
                <w:sz w:val="21"/>
              </w:rPr>
            </w:pPr>
            <w:r>
              <w:rPr>
                <w:sz w:val="21"/>
              </w:rPr>
              <w:t>水量中等</w:t>
            </w:r>
          </w:p>
        </w:tc>
        <w:tc>
          <w:tcPr>
            <w:tcW w:w="3158" w:type="dxa"/>
          </w:tcPr>
          <w:p>
            <w:pPr>
              <w:pStyle w:val="TableParagraph"/>
              <w:spacing w:before="133"/>
              <w:ind w:left="20" w:right="8"/>
              <w:rPr>
                <w:sz w:val="21"/>
              </w:rPr>
            </w:pPr>
            <w:r>
              <w:rPr>
                <w:sz w:val="21"/>
              </w:rPr>
              <w:t>单井涌水量 </w:t>
            </w:r>
            <w:r>
              <w:rPr>
                <w:rFonts w:ascii="Times New Roman" w:eastAsia="Times New Roman"/>
                <w:sz w:val="21"/>
              </w:rPr>
              <w:t>100 </w:t>
            </w:r>
            <w:r>
              <w:rPr>
                <w:sz w:val="21"/>
              </w:rPr>
              <w:t>量段冲积砂吨</w:t>
            </w:r>
            <w:r>
              <w:rPr>
                <w:rFonts w:ascii="Times New Roman" w:eastAsia="Times New Roman"/>
                <w:sz w:val="21"/>
              </w:rPr>
              <w:t>/</w:t>
            </w:r>
            <w:r>
              <w:rPr>
                <w:sz w:val="21"/>
              </w:rPr>
              <w:t>日</w:t>
            </w:r>
          </w:p>
        </w:tc>
      </w:tr>
    </w:tbl>
    <w:p>
      <w:pPr>
        <w:pStyle w:val="Heading4"/>
        <w:spacing w:before="2"/>
      </w:pPr>
      <w:r>
        <w:rPr>
          <w:rFonts w:ascii="Times New Roman" w:eastAsia="Times New Roman"/>
        </w:rPr>
        <w:t>3</w:t>
      </w:r>
      <w:r>
        <w:rPr/>
        <w:t>、地下水径流、补给、排泄</w:t>
      </w:r>
    </w:p>
    <w:p>
      <w:pPr>
        <w:pStyle w:val="BodyText"/>
        <w:spacing w:line="364" w:lineRule="auto" w:before="161"/>
        <w:ind w:left="218" w:right="172" w:firstLine="480"/>
      </w:pPr>
      <w:r>
        <w:rPr/>
        <w:t>由于评价区域各类的地下水的赋予，分布及时所处地貌都不同，补给、径流、排泄条件也有显著区别。</w:t>
      </w:r>
    </w:p>
    <w:p>
      <w:pPr>
        <w:pStyle w:val="ListParagraph"/>
        <w:numPr>
          <w:ilvl w:val="0"/>
          <w:numId w:val="34"/>
        </w:numPr>
        <w:tabs>
          <w:tab w:pos="980" w:val="left" w:leader="none"/>
        </w:tabs>
        <w:spacing w:line="307" w:lineRule="exact" w:before="0" w:after="0"/>
        <w:ind w:left="979" w:right="0" w:hanging="282"/>
        <w:jc w:val="left"/>
        <w:rPr>
          <w:sz w:val="24"/>
        </w:rPr>
      </w:pPr>
      <w:r>
        <w:rPr>
          <w:sz w:val="24"/>
        </w:rPr>
        <w:t>地下水径流条件</w:t>
      </w:r>
    </w:p>
    <w:p>
      <w:pPr>
        <w:pStyle w:val="BodyText"/>
        <w:spacing w:line="364" w:lineRule="auto" w:before="160"/>
        <w:ind w:left="218" w:right="234" w:firstLine="480"/>
        <w:jc w:val="both"/>
      </w:pPr>
      <w:r>
        <w:rPr>
          <w:spacing w:val="-3"/>
        </w:rPr>
        <w:t>地下水的径流方向主要受地质构造和地形地貌条件的控制，平原深部承压水，天然</w:t>
      </w:r>
      <w:r>
        <w:rPr/>
        <w:t>水力坡度及其平缓，大致以 </w:t>
      </w:r>
      <w:r>
        <w:rPr>
          <w:rFonts w:ascii="Times New Roman" w:hAnsi="Times New Roman" w:eastAsia="Times New Roman"/>
        </w:rPr>
        <w:t>0.1‰</w:t>
      </w:r>
      <w:r>
        <w:rPr>
          <w:spacing w:val="-1"/>
        </w:rPr>
        <w:t>的坡度微向东北部倾斜；地下径流及其缓慢，处于相</w:t>
      </w:r>
      <w:r>
        <w:rPr/>
        <w:t>对</w:t>
      </w:r>
      <w:r>
        <w:rPr>
          <w:rFonts w:ascii="Times New Roman" w:hAnsi="Times New Roman" w:eastAsia="Times New Roman"/>
        </w:rPr>
        <w:t>“</w:t>
      </w:r>
      <w:r>
        <w:rPr/>
        <w:t>静止</w:t>
      </w:r>
      <w:r>
        <w:rPr>
          <w:rFonts w:ascii="Times New Roman" w:hAnsi="Times New Roman" w:eastAsia="Times New Roman"/>
        </w:rPr>
        <w:t>”</w:t>
      </w:r>
      <w:r>
        <w:rPr>
          <w:spacing w:val="-12"/>
        </w:rPr>
        <w:t>状态，水循环交替作用几乎停止。由此，可知评价区的地下水径流处于相对</w:t>
      </w:r>
      <w:r>
        <w:rPr>
          <w:rFonts w:ascii="Times New Roman" w:hAnsi="Times New Roman" w:eastAsia="Times New Roman"/>
        </w:rPr>
        <w:t>“</w:t>
      </w:r>
      <w:r>
        <w:rPr>
          <w:spacing w:val="-13"/>
        </w:rPr>
        <w:t>静</w:t>
      </w:r>
      <w:r>
        <w:rPr/>
        <w:t>止</w:t>
      </w:r>
      <w:r>
        <w:rPr>
          <w:rFonts w:ascii="Times New Roman" w:hAnsi="Times New Roman" w:eastAsia="Times New Roman"/>
        </w:rPr>
        <w:t>”</w:t>
      </w:r>
      <w:r>
        <w:rPr/>
        <w:t>的状态。</w:t>
      </w:r>
    </w:p>
    <w:p>
      <w:pPr>
        <w:spacing w:after="0" w:line="364" w:lineRule="auto"/>
        <w:jc w:val="both"/>
        <w:sectPr>
          <w:pgSz w:w="11910" w:h="16840"/>
          <w:pgMar w:header="872" w:footer="803" w:top="1320" w:bottom="1000" w:left="1200" w:right="1180"/>
        </w:sectPr>
      </w:pPr>
    </w:p>
    <w:p>
      <w:pPr>
        <w:pStyle w:val="ListParagraph"/>
        <w:numPr>
          <w:ilvl w:val="0"/>
          <w:numId w:val="34"/>
        </w:numPr>
        <w:tabs>
          <w:tab w:pos="980" w:val="left" w:leader="none"/>
        </w:tabs>
        <w:spacing w:line="240" w:lineRule="auto" w:before="84" w:after="0"/>
        <w:ind w:left="979" w:right="0" w:hanging="282"/>
        <w:jc w:val="left"/>
        <w:rPr>
          <w:sz w:val="24"/>
        </w:rPr>
      </w:pPr>
      <w:r>
        <w:rPr>
          <w:sz w:val="24"/>
        </w:rPr>
        <w:t>地下补给条件</w:t>
      </w:r>
    </w:p>
    <w:p>
      <w:pPr>
        <w:pStyle w:val="BodyText"/>
        <w:spacing w:before="159"/>
        <w:ind w:left="698"/>
      </w:pPr>
      <w:r>
        <w:rPr/>
        <w:t>①垂向补给问题：</w:t>
      </w:r>
    </w:p>
    <w:p>
      <w:pPr>
        <w:pStyle w:val="BodyText"/>
        <w:spacing w:line="364" w:lineRule="auto" w:before="160"/>
        <w:ind w:left="218" w:right="235" w:firstLine="480"/>
        <w:jc w:val="both"/>
      </w:pPr>
      <w:r>
        <w:rPr>
          <w:spacing w:val="-4"/>
        </w:rPr>
        <w:t>现代钱塘江及杭州湾对深部含水层无渗透补给途径。钱塘江澉浦以上河段最深的闸</w:t>
      </w:r>
      <w:r>
        <w:rPr/>
        <w:t>口一带降低标高</w:t>
      </w:r>
      <w:r>
        <w:rPr>
          <w:rFonts w:ascii="Times New Roman" w:eastAsia="Times New Roman"/>
        </w:rPr>
        <w:t>-5.3 </w:t>
      </w:r>
      <w:r>
        <w:rPr>
          <w:spacing w:val="-2"/>
        </w:rPr>
        <w:t>米，三堡一带</w:t>
      </w:r>
      <w:r>
        <w:rPr>
          <w:rFonts w:ascii="Times New Roman" w:eastAsia="Times New Roman"/>
        </w:rPr>
        <w:t>-13.6 </w:t>
      </w:r>
      <w:r>
        <w:rPr>
          <w:spacing w:val="-2"/>
        </w:rPr>
        <w:t>米，尖山一带仅</w:t>
      </w:r>
      <w:r>
        <w:rPr>
          <w:rFonts w:ascii="Times New Roman" w:eastAsia="Times New Roman"/>
        </w:rPr>
        <w:t>-1.8 </w:t>
      </w:r>
      <w:r>
        <w:rPr>
          <w:spacing w:val="-2"/>
        </w:rPr>
        <w:t>米。澉浦附近</w:t>
      </w:r>
      <w:r>
        <w:rPr>
          <w:rFonts w:ascii="Times New Roman" w:eastAsia="Times New Roman"/>
        </w:rPr>
        <w:t>-6.8 </w:t>
      </w:r>
      <w:r>
        <w:rPr>
          <w:spacing w:val="-2"/>
        </w:rPr>
        <w:t>米，澉浦以下杭州湾水底标高也约为</w:t>
      </w:r>
      <w:r>
        <w:rPr>
          <w:rFonts w:ascii="Times New Roman" w:eastAsia="Times New Roman"/>
          <w:spacing w:val="-2"/>
        </w:rPr>
        <w:t>-10 </w:t>
      </w:r>
      <w:r>
        <w:rPr>
          <w:spacing w:val="-8"/>
        </w:rPr>
        <w:t>米左右，而沿江一带含水层顶板均在</w:t>
      </w:r>
      <w:r>
        <w:rPr>
          <w:rFonts w:ascii="Times New Roman" w:eastAsia="Times New Roman"/>
        </w:rPr>
        <w:t>-25 </w:t>
      </w:r>
      <w:r>
        <w:rPr>
          <w:spacing w:val="-10"/>
        </w:rPr>
        <w:t>米以下，杭州湾</w:t>
      </w:r>
      <w:r>
        <w:rPr/>
        <w:t>两岸则在</w:t>
      </w:r>
      <w:r>
        <w:rPr>
          <w:rFonts w:ascii="Times New Roman" w:eastAsia="Times New Roman"/>
        </w:rPr>
        <w:t>-50 </w:t>
      </w:r>
      <w:r>
        <w:rPr/>
        <w:t>米以下，粘性土层阻隔了江</w:t>
      </w:r>
      <w:r>
        <w:rPr>
          <w:rFonts w:ascii="Times New Roman" w:eastAsia="Times New Roman"/>
        </w:rPr>
        <w:t>(</w:t>
      </w:r>
      <w:r>
        <w:rPr/>
        <w:t>海</w:t>
      </w:r>
      <w:r>
        <w:rPr>
          <w:rFonts w:ascii="Times New Roman" w:eastAsia="Times New Roman"/>
        </w:rPr>
        <w:t>)</w:t>
      </w:r>
      <w:r>
        <w:rPr/>
        <w:t>水的深入补给。</w:t>
      </w:r>
    </w:p>
    <w:p>
      <w:pPr>
        <w:pStyle w:val="BodyText"/>
        <w:spacing w:line="364" w:lineRule="auto"/>
        <w:ind w:left="218" w:right="115" w:firstLine="480"/>
        <w:jc w:val="both"/>
      </w:pPr>
      <w:r>
        <w:rPr>
          <w:spacing w:val="-5"/>
        </w:rPr>
        <w:t>全新统上段冲海积粉砂、粉细砂潜水含水层与承压含水层之间均为隔水性能良好地淤泥质亚粘土层</w:t>
      </w:r>
      <w:r>
        <w:rPr>
          <w:rFonts w:ascii="Times New Roman" w:hAnsi="Times New Roman" w:eastAsia="Times New Roman"/>
          <w:spacing w:val="-5"/>
        </w:rPr>
        <w:t>(</w:t>
      </w:r>
      <w:r>
        <w:rPr>
          <w:spacing w:val="-15"/>
        </w:rPr>
        <w:t>厚度一般在 </w:t>
      </w:r>
      <w:r>
        <w:rPr>
          <w:rFonts w:ascii="Times New Roman" w:hAnsi="Times New Roman" w:eastAsia="Times New Roman"/>
        </w:rPr>
        <w:t>15 </w:t>
      </w:r>
      <w:r>
        <w:rPr/>
        <w:t>米以上</w:t>
      </w:r>
      <w:r>
        <w:rPr>
          <w:rFonts w:ascii="Times New Roman" w:hAnsi="Times New Roman" w:eastAsia="Times New Roman"/>
        </w:rPr>
        <w:t>)</w:t>
      </w:r>
      <w:r>
        <w:rPr>
          <w:spacing w:val="-16"/>
        </w:rPr>
        <w:t>所阻隔。仅在钱塘江大桥以上河段，局部形成</w:t>
      </w:r>
      <w:r>
        <w:rPr>
          <w:rFonts w:ascii="Times New Roman" w:hAnsi="Times New Roman" w:eastAsia="Times New Roman"/>
        </w:rPr>
        <w:t>“</w:t>
      </w:r>
      <w:r>
        <w:rPr/>
        <w:t>天窗</w:t>
      </w:r>
      <w:r>
        <w:rPr>
          <w:rFonts w:ascii="Times New Roman" w:hAnsi="Times New Roman" w:eastAsia="Times New Roman"/>
        </w:rPr>
        <w:t>”</w:t>
      </w:r>
      <w:r>
        <w:rPr>
          <w:spacing w:val="-4"/>
        </w:rPr>
        <w:t>式沟通。由袁浦</w:t>
      </w:r>
      <w:r>
        <w:rPr>
          <w:rFonts w:ascii="Times New Roman" w:hAnsi="Times New Roman" w:eastAsia="Times New Roman"/>
        </w:rPr>
        <w:t>-</w:t>
      </w:r>
      <w:r>
        <w:rPr/>
        <w:t>闻家堰</w:t>
      </w:r>
      <w:r>
        <w:rPr>
          <w:rFonts w:ascii="Times New Roman" w:hAnsi="Times New Roman" w:eastAsia="Times New Roman"/>
        </w:rPr>
        <w:t>-</w:t>
      </w:r>
      <w:r>
        <w:rPr>
          <w:spacing w:val="-7"/>
        </w:rPr>
        <w:t>带专控、水井资料所知，承压水位与潜水水位大致平衡，而</w:t>
      </w:r>
      <w:r>
        <w:rPr>
          <w:spacing w:val="-13"/>
        </w:rPr>
        <w:t>闻家堰平均高潮位 </w:t>
      </w:r>
      <w:r>
        <w:rPr>
          <w:rFonts w:ascii="Times New Roman" w:hAnsi="Times New Roman" w:eastAsia="Times New Roman"/>
        </w:rPr>
        <w:t>4.84 </w:t>
      </w:r>
      <w:r>
        <w:rPr>
          <w:spacing w:val="-10"/>
        </w:rPr>
        <w:t>米，低潮位 </w:t>
      </w:r>
      <w:r>
        <w:rPr>
          <w:rFonts w:ascii="Times New Roman" w:hAnsi="Times New Roman" w:eastAsia="Times New Roman"/>
        </w:rPr>
        <w:t>4.31 </w:t>
      </w:r>
      <w:r>
        <w:rPr>
          <w:spacing w:val="-9"/>
        </w:rPr>
        <w:t>米，最低潮位仅 </w:t>
      </w:r>
      <w:r>
        <w:rPr>
          <w:rFonts w:ascii="Times New Roman" w:hAnsi="Times New Roman" w:eastAsia="Times New Roman"/>
        </w:rPr>
        <w:t>2.84 </w:t>
      </w:r>
      <w:r>
        <w:rPr>
          <w:spacing w:val="-2"/>
        </w:rPr>
        <w:t>米，低于地下水，因而在</w:t>
      </w:r>
      <w:r>
        <w:rPr>
          <w:spacing w:val="-14"/>
        </w:rPr>
        <w:t>天然条件下，地下水向江河排泄，江水不补给地下水。开采条件下，则向相反方向转化。</w:t>
      </w:r>
    </w:p>
    <w:p>
      <w:pPr>
        <w:pStyle w:val="BodyText"/>
        <w:spacing w:line="364" w:lineRule="auto"/>
        <w:ind w:left="218" w:right="118" w:firstLine="480"/>
      </w:pPr>
      <w:r>
        <w:rPr>
          <w:spacing w:val="-5"/>
        </w:rPr>
        <w:t>基底补给问题：基底一般为透水性很差的白垩纪红色砂、泥岩类古风化壳残留水与</w:t>
      </w:r>
      <w:r>
        <w:rPr>
          <w:spacing w:val="-16"/>
        </w:rPr>
        <w:t>孔隙承压水直接接触，而前者无补水区，不存在自留盆地或蓄水构造，因而无补给途径。</w:t>
      </w:r>
      <w:r>
        <w:rPr>
          <w:spacing w:val="-2"/>
        </w:rPr>
        <w:t>而局部小范围与岩溶水或石英砂岩构造裂隙水接触处，因前者回水面积小，补给量也很</w:t>
      </w:r>
      <w:r>
        <w:rPr>
          <w:spacing w:val="-8"/>
        </w:rPr>
        <w:t>小，如硖石一带，岩溶水开采量仅数千吨</w:t>
      </w:r>
      <w:r>
        <w:rPr>
          <w:rFonts w:ascii="Times New Roman" w:eastAsia="Times New Roman"/>
        </w:rPr>
        <w:t>/</w:t>
      </w:r>
      <w:r>
        <w:rPr>
          <w:spacing w:val="-8"/>
        </w:rPr>
        <w:t>日，连续开采出现水位持续下降。因而基底补给途径也极其狭窄，补给量很小。</w:t>
      </w:r>
    </w:p>
    <w:p>
      <w:pPr>
        <w:pStyle w:val="BodyText"/>
        <w:spacing w:line="303" w:lineRule="exact"/>
        <w:ind w:left="698"/>
      </w:pPr>
      <w:r>
        <w:rPr/>
        <w:t>由上所知，深部承压水垂向补给途径有限。</w:t>
      </w:r>
    </w:p>
    <w:p>
      <w:pPr>
        <w:pStyle w:val="BodyText"/>
        <w:spacing w:before="157"/>
        <w:ind w:left="698"/>
      </w:pPr>
      <w:r>
        <w:rPr/>
        <w:t>②侧向补给问题</w:t>
      </w:r>
    </w:p>
    <w:p>
      <w:pPr>
        <w:pStyle w:val="BodyText"/>
        <w:spacing w:line="364" w:lineRule="auto" w:before="159"/>
        <w:ind w:left="218" w:right="115" w:firstLine="480"/>
      </w:pPr>
      <w:r>
        <w:rPr/>
        <w:t>河流上游</w:t>
      </w:r>
      <w:r>
        <w:rPr>
          <w:rFonts w:ascii="Times New Roman" w:eastAsia="Times New Roman"/>
        </w:rPr>
        <w:t>(</w:t>
      </w:r>
      <w:r>
        <w:rPr/>
        <w:t>包括干流和支流</w:t>
      </w:r>
      <w:r>
        <w:rPr>
          <w:rFonts w:ascii="Times New Roman" w:eastAsia="Times New Roman"/>
          <w:spacing w:val="-24"/>
        </w:rPr>
        <w:t>)</w:t>
      </w:r>
      <w:r>
        <w:rPr>
          <w:spacing w:val="-10"/>
        </w:rPr>
        <w:t>，河谷潜水对承压水的补给，据测区甚远区内沟谷短小， </w:t>
      </w:r>
      <w:r>
        <w:rPr>
          <w:spacing w:val="-5"/>
        </w:rPr>
        <w:t>补给途径很狭窄。古河道两侧，含水层颗粒变细，厚度变薄乃至消失，并为冲湖相粘性所替代，形成相对隔水边界。</w:t>
      </w:r>
    </w:p>
    <w:p>
      <w:pPr>
        <w:pStyle w:val="BodyText"/>
        <w:spacing w:line="307" w:lineRule="exact"/>
        <w:ind w:left="698"/>
      </w:pPr>
      <w:r>
        <w:rPr/>
        <w:t>因而，评价区地下水侧向补水缓慢。</w:t>
      </w:r>
    </w:p>
    <w:p>
      <w:pPr>
        <w:pStyle w:val="BodyText"/>
        <w:spacing w:before="160"/>
        <w:ind w:left="698"/>
      </w:pPr>
      <w:r>
        <w:rPr/>
        <w:t>③含水层</w:t>
      </w:r>
      <w:r>
        <w:rPr>
          <w:rFonts w:ascii="Times New Roman" w:hAnsi="Times New Roman" w:eastAsia="Times New Roman"/>
        </w:rPr>
        <w:t>(</w:t>
      </w:r>
      <w:r>
        <w:rPr/>
        <w:t>组</w:t>
      </w:r>
      <w:r>
        <w:rPr>
          <w:rFonts w:ascii="Times New Roman" w:hAnsi="Times New Roman" w:eastAsia="Times New Roman"/>
        </w:rPr>
        <w:t>)</w:t>
      </w:r>
      <w:r>
        <w:rPr/>
        <w:t>水力联系</w:t>
      </w:r>
    </w:p>
    <w:p>
      <w:pPr>
        <w:pStyle w:val="BodyText"/>
        <w:spacing w:line="364" w:lineRule="auto" w:before="158"/>
        <w:ind w:left="218" w:right="233" w:firstLine="480"/>
        <w:jc w:val="both"/>
      </w:pPr>
      <w:r>
        <w:rPr>
          <w:spacing w:val="-5"/>
        </w:rPr>
        <w:t>测区冲积层自下而上层层超覆，下部冲积层之上游地段与上部冲积层，如塘栖、肖</w:t>
      </w:r>
      <w:r>
        <w:rPr/>
        <w:t>山一带</w:t>
      </w:r>
      <w:r>
        <w:rPr>
          <w:rFonts w:ascii="Times New Roman" w:hAnsi="Times New Roman" w:eastAsia="Times New Roman"/>
        </w:rPr>
        <w:t>Ⅰ</w:t>
      </w:r>
      <w:r>
        <w:rPr/>
        <w:t>、</w:t>
      </w:r>
      <w:r>
        <w:rPr>
          <w:rFonts w:ascii="Times New Roman" w:hAnsi="Times New Roman" w:eastAsia="Times New Roman"/>
          <w:spacing w:val="3"/>
        </w:rPr>
        <w:t>Ⅱ</w:t>
      </w:r>
      <w:r>
        <w:rPr/>
        <w:t>含水层以及马牧港、斜桥一带</w:t>
      </w:r>
      <w:r>
        <w:rPr>
          <w:rFonts w:ascii="Times New Roman" w:hAnsi="Times New Roman" w:eastAsia="Times New Roman"/>
        </w:rPr>
        <w:t>Ⅱ</w:t>
      </w:r>
      <w:r>
        <w:rPr/>
        <w:t>、</w:t>
      </w:r>
      <w:r>
        <w:rPr>
          <w:rFonts w:ascii="Times New Roman" w:hAnsi="Times New Roman" w:eastAsia="Times New Roman"/>
        </w:rPr>
        <w:t>Ⅲ</w:t>
      </w:r>
      <w:r>
        <w:rPr/>
        <w:t>含水层之间直接迭置而相互沟通：而其下游则被粘土层隔开，除个别地段成</w:t>
      </w:r>
      <w:r>
        <w:rPr>
          <w:rFonts w:ascii="Times New Roman" w:hAnsi="Times New Roman" w:eastAsia="Times New Roman"/>
        </w:rPr>
        <w:t>“</w:t>
      </w:r>
      <w:r>
        <w:rPr/>
        <w:t>天窗</w:t>
      </w:r>
      <w:r>
        <w:rPr>
          <w:rFonts w:ascii="Times New Roman" w:hAnsi="Times New Roman" w:eastAsia="Times New Roman"/>
        </w:rPr>
        <w:t>”</w:t>
      </w:r>
      <w:r>
        <w:rPr/>
        <w:t>或</w:t>
      </w:r>
      <w:r>
        <w:rPr>
          <w:rFonts w:ascii="Times New Roman" w:hAnsi="Times New Roman" w:eastAsia="Times New Roman"/>
        </w:rPr>
        <w:t>“</w:t>
      </w:r>
      <w:r>
        <w:rPr/>
        <w:t>条带</w:t>
      </w:r>
      <w:r>
        <w:rPr>
          <w:rFonts w:ascii="Times New Roman" w:hAnsi="Times New Roman" w:eastAsia="Times New Roman"/>
        </w:rPr>
        <w:t>”</w:t>
      </w:r>
      <w:r>
        <w:rPr>
          <w:spacing w:val="-1"/>
        </w:rPr>
        <w:t>状沟通外，一般无水力联系。上部</w:t>
      </w:r>
      <w:r>
        <w:rPr>
          <w:spacing w:val="-5"/>
        </w:rPr>
        <w:t>含水层静水位略高于下层，天然条件下，前者补给后者，开采条件下，则随着各层开采</w:t>
      </w:r>
      <w:r>
        <w:rPr/>
        <w:t>量不同、相互转化。</w:t>
      </w:r>
    </w:p>
    <w:p>
      <w:pPr>
        <w:pStyle w:val="ListParagraph"/>
        <w:numPr>
          <w:ilvl w:val="0"/>
          <w:numId w:val="34"/>
        </w:numPr>
        <w:tabs>
          <w:tab w:pos="980" w:val="left" w:leader="none"/>
        </w:tabs>
        <w:spacing w:line="306" w:lineRule="exact" w:before="0" w:after="0"/>
        <w:ind w:left="979" w:right="0" w:hanging="282"/>
        <w:jc w:val="left"/>
        <w:rPr>
          <w:sz w:val="24"/>
        </w:rPr>
      </w:pPr>
      <w:r>
        <w:rPr>
          <w:sz w:val="24"/>
        </w:rPr>
        <w:t>排泄条件</w:t>
      </w:r>
    </w:p>
    <w:p>
      <w:pPr>
        <w:pStyle w:val="BodyText"/>
        <w:spacing w:before="158"/>
        <w:ind w:left="698"/>
      </w:pPr>
      <w:r>
        <w:rPr/>
        <w:t>评价区地下水的排泄主要由四种方式：一是人工开采排泄；二是潜水蒸发排泄；三</w:t>
      </w:r>
    </w:p>
    <w:p>
      <w:pPr>
        <w:spacing w:after="0"/>
        <w:sectPr>
          <w:pgSz w:w="11910" w:h="16840"/>
          <w:pgMar w:header="872" w:footer="803" w:top="1320" w:bottom="1000" w:left="1200" w:right="1180"/>
        </w:sectPr>
      </w:pPr>
    </w:p>
    <w:p>
      <w:pPr>
        <w:pStyle w:val="BodyText"/>
        <w:spacing w:before="84"/>
        <w:ind w:left="218"/>
      </w:pPr>
      <w:r>
        <w:rPr/>
        <w:t>是由东北向西南径流排泄；四是层间越流排泄。</w:t>
      </w:r>
    </w:p>
    <w:p>
      <w:pPr>
        <w:pStyle w:val="BodyText"/>
        <w:spacing w:line="364" w:lineRule="auto" w:before="159"/>
        <w:ind w:left="218" w:right="234" w:firstLine="480"/>
        <w:jc w:val="both"/>
      </w:pPr>
      <w:r>
        <w:rPr>
          <w:spacing w:val="-4"/>
        </w:rPr>
        <w:t>古河道下游地段冲积含水层颗粒逐渐变细，厚度变薄，埋深增大，据邻区资料往下</w:t>
      </w:r>
      <w:r>
        <w:rPr>
          <w:spacing w:val="-3"/>
        </w:rPr>
        <w:t>游方向渐趋尖灭。深部承压水的排泄途径，据目前所知，除钱塘江大桥西南</w:t>
      </w:r>
      <w:r>
        <w:rPr>
          <w:rFonts w:ascii="Times New Roman" w:hAnsi="Times New Roman" w:eastAsia="Times New Roman"/>
        </w:rPr>
        <w:t>“</w:t>
      </w:r>
      <w:r>
        <w:rPr/>
        <w:t>天窗</w:t>
      </w:r>
      <w:r>
        <w:rPr>
          <w:rFonts w:ascii="Times New Roman" w:hAnsi="Times New Roman" w:eastAsia="Times New Roman"/>
        </w:rPr>
        <w:t>”</w:t>
      </w:r>
      <w:r>
        <w:rPr>
          <w:spacing w:val="-7"/>
        </w:rPr>
        <w:t>排泄</w:t>
      </w:r>
      <w:r>
        <w:rPr/>
        <w:t>外大多数通过生产井开采来排泄，而本区域不处于上述</w:t>
      </w:r>
      <w:r>
        <w:rPr>
          <w:rFonts w:ascii="Times New Roman" w:hAnsi="Times New Roman" w:eastAsia="Times New Roman"/>
        </w:rPr>
        <w:t>“</w:t>
      </w:r>
      <w:r>
        <w:rPr/>
        <w:t>天窗</w:t>
      </w:r>
      <w:r>
        <w:rPr>
          <w:rFonts w:ascii="Times New Roman" w:hAnsi="Times New Roman" w:eastAsia="Times New Roman"/>
        </w:rPr>
        <w:t>”</w:t>
      </w:r>
      <w:r>
        <w:rPr/>
        <w:t>区域范围。</w:t>
      </w:r>
    </w:p>
    <w:p>
      <w:pPr>
        <w:pStyle w:val="Heading4"/>
        <w:spacing w:line="307" w:lineRule="exact"/>
      </w:pPr>
      <w:r>
        <w:rPr>
          <w:rFonts w:ascii="Times New Roman" w:eastAsia="Times New Roman"/>
        </w:rPr>
        <w:t>4</w:t>
      </w:r>
      <w:r>
        <w:rPr/>
        <w:t>、地下水动态特征</w:t>
      </w:r>
    </w:p>
    <w:p>
      <w:pPr>
        <w:pStyle w:val="BodyText"/>
        <w:spacing w:line="364" w:lineRule="auto" w:before="158"/>
        <w:ind w:left="218" w:right="234" w:firstLine="480"/>
        <w:jc w:val="both"/>
      </w:pPr>
      <w:r>
        <w:rPr>
          <w:spacing w:val="-4"/>
        </w:rPr>
        <w:t>调查区地下水位主要受大气降水及潮汐给排影响。区域地下水的补给条件较好，水</w:t>
      </w:r>
      <w:r>
        <w:rPr>
          <w:spacing w:val="-5"/>
        </w:rPr>
        <w:t>位下降速度相对较慢。通过对区域地下水位进行跟踪监测，发现区域地下水位埋深多在</w:t>
      </w:r>
      <w:r>
        <w:rPr>
          <w:rFonts w:ascii="Times New Roman" w:eastAsia="Times New Roman"/>
        </w:rPr>
        <w:t>1.8m-3.8m </w:t>
      </w:r>
      <w:r>
        <w:rPr>
          <w:spacing w:val="-2"/>
        </w:rPr>
        <w:t>之间，地下水变幅小于 </w:t>
      </w:r>
      <w:r>
        <w:rPr>
          <w:rFonts w:ascii="Times New Roman" w:eastAsia="Times New Roman"/>
        </w:rPr>
        <w:t>2.00m</w:t>
      </w:r>
      <w:r>
        <w:rPr>
          <w:spacing w:val="-1"/>
        </w:rPr>
        <w:t>。地下水变化与区域降水具有较好的一致性， </w:t>
      </w:r>
      <w:r>
        <w:rPr>
          <w:spacing w:val="-4"/>
        </w:rPr>
        <w:t>从多年地下水的监测结果来看，区域地下水年变幅不大，地下水开采量与补给量处于较</w:t>
      </w:r>
      <w:r>
        <w:rPr>
          <w:spacing w:val="-7"/>
        </w:rPr>
        <w:t>为平衡的状态。从地下水位年内变幅来看，其地下水变化同时呈现较为显著地季节性特征，年内地下水整体上呈现出小幅震荡态势，其地下水位的位峰值出现在六月至九月之</w:t>
      </w:r>
      <w:r>
        <w:rPr/>
        <w:t>间，地下水的低谷出现在十月至十二月之间。</w:t>
      </w:r>
    </w:p>
    <w:p>
      <w:pPr>
        <w:pStyle w:val="Heading4"/>
        <w:spacing w:line="305" w:lineRule="exact"/>
      </w:pPr>
      <w:r>
        <w:rPr>
          <w:rFonts w:ascii="Times New Roman" w:eastAsia="Times New Roman"/>
        </w:rPr>
        <w:t>5</w:t>
      </w:r>
      <w:r>
        <w:rPr/>
        <w:t>、供水水源地与水源井</w:t>
      </w:r>
    </w:p>
    <w:p>
      <w:pPr>
        <w:pStyle w:val="BodyText"/>
        <w:spacing w:line="362" w:lineRule="auto" w:before="160"/>
        <w:ind w:left="218" w:right="232" w:firstLine="480"/>
      </w:pPr>
      <w:r>
        <w:rPr>
          <w:spacing w:val="-8"/>
        </w:rPr>
        <w:t>区域内存在水井 </w:t>
      </w:r>
      <w:r>
        <w:rPr>
          <w:rFonts w:ascii="Times New Roman" w:eastAsia="Times New Roman"/>
        </w:rPr>
        <w:t>14 </w:t>
      </w:r>
      <w:r>
        <w:rPr>
          <w:spacing w:val="-19"/>
        </w:rPr>
        <w:t>口，其中 </w:t>
      </w:r>
      <w:r>
        <w:rPr>
          <w:rFonts w:ascii="Times New Roman" w:eastAsia="Times New Roman"/>
        </w:rPr>
        <w:t>8 </w:t>
      </w:r>
      <w:r>
        <w:rPr>
          <w:spacing w:val="-9"/>
        </w:rPr>
        <w:t>口为水位、水质监测井，位于园区周围，</w:t>
      </w:r>
      <w:r>
        <w:rPr>
          <w:rFonts w:ascii="Times New Roman" w:eastAsia="Times New Roman"/>
          <w:spacing w:val="-13"/>
        </w:rPr>
        <w:t>6 </w:t>
      </w:r>
      <w:r>
        <w:rPr>
          <w:spacing w:val="-4"/>
        </w:rPr>
        <w:t>口为民用</w:t>
      </w:r>
      <w:r>
        <w:rPr/>
        <w:t>水源井，位于周围村庄。水源井的具体信息见下表。</w:t>
      </w:r>
    </w:p>
    <w:p>
      <w:pPr>
        <w:pStyle w:val="BodyText"/>
        <w:tabs>
          <w:tab w:pos="4162" w:val="left" w:leader="none"/>
        </w:tabs>
        <w:spacing w:before="147" w:after="29"/>
        <w:ind w:left="2943"/>
      </w:pPr>
      <w:r>
        <w:rPr/>
        <w:t>表</w:t>
      </w:r>
      <w:r>
        <w:rPr>
          <w:spacing w:val="-61"/>
        </w:rPr>
        <w:t> </w:t>
      </w:r>
      <w:r>
        <w:rPr>
          <w:rFonts w:ascii="Times New Roman" w:eastAsia="Times New Roman"/>
        </w:rPr>
        <w:t>7.2.3-3</w:t>
        <w:tab/>
      </w:r>
      <w:r>
        <w:rPr/>
        <w:t>评价区水源井信息统计</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0"/>
        <w:gridCol w:w="3572"/>
        <w:gridCol w:w="1141"/>
        <w:gridCol w:w="2300"/>
        <w:gridCol w:w="1403"/>
      </w:tblGrid>
      <w:tr>
        <w:trPr>
          <w:trHeight w:val="270" w:hRule="atLeast"/>
        </w:trPr>
        <w:tc>
          <w:tcPr>
            <w:tcW w:w="670" w:type="dxa"/>
          </w:tcPr>
          <w:p>
            <w:pPr>
              <w:pStyle w:val="TableParagraph"/>
              <w:spacing w:line="250" w:lineRule="exact" w:before="1"/>
              <w:ind w:left="103" w:right="97"/>
              <w:rPr>
                <w:sz w:val="21"/>
              </w:rPr>
            </w:pPr>
            <w:r>
              <w:rPr>
                <w:sz w:val="21"/>
              </w:rPr>
              <w:t>序号</w:t>
            </w:r>
          </w:p>
        </w:tc>
        <w:tc>
          <w:tcPr>
            <w:tcW w:w="3572" w:type="dxa"/>
          </w:tcPr>
          <w:p>
            <w:pPr>
              <w:pStyle w:val="TableParagraph"/>
              <w:spacing w:line="250" w:lineRule="exact" w:before="1"/>
              <w:ind w:left="592" w:right="585"/>
              <w:rPr>
                <w:sz w:val="21"/>
              </w:rPr>
            </w:pPr>
            <w:r>
              <w:rPr>
                <w:sz w:val="21"/>
              </w:rPr>
              <w:t>位置</w:t>
            </w:r>
          </w:p>
        </w:tc>
        <w:tc>
          <w:tcPr>
            <w:tcW w:w="1141" w:type="dxa"/>
          </w:tcPr>
          <w:p>
            <w:pPr>
              <w:pStyle w:val="TableParagraph"/>
              <w:spacing w:line="250" w:lineRule="exact" w:before="1"/>
              <w:ind w:left="207"/>
              <w:jc w:val="left"/>
              <w:rPr>
                <w:rFonts w:ascii="Times New Roman" w:eastAsia="Times New Roman"/>
                <w:sz w:val="21"/>
              </w:rPr>
            </w:pPr>
            <w:r>
              <w:rPr>
                <w:sz w:val="21"/>
              </w:rPr>
              <w:t>井深</w:t>
            </w:r>
            <w:r>
              <w:rPr>
                <w:rFonts w:ascii="Times New Roman" w:eastAsia="Times New Roman"/>
                <w:sz w:val="21"/>
              </w:rPr>
              <w:t>(m)</w:t>
            </w:r>
          </w:p>
        </w:tc>
        <w:tc>
          <w:tcPr>
            <w:tcW w:w="2300" w:type="dxa"/>
          </w:tcPr>
          <w:p>
            <w:pPr>
              <w:pStyle w:val="TableParagraph"/>
              <w:spacing w:line="250" w:lineRule="exact" w:before="1"/>
              <w:ind w:left="918" w:right="912"/>
              <w:rPr>
                <w:sz w:val="21"/>
              </w:rPr>
            </w:pPr>
            <w:r>
              <w:rPr>
                <w:sz w:val="21"/>
              </w:rPr>
              <w:t>用途</w:t>
            </w:r>
          </w:p>
        </w:tc>
        <w:tc>
          <w:tcPr>
            <w:tcW w:w="1403" w:type="dxa"/>
          </w:tcPr>
          <w:p>
            <w:pPr>
              <w:pStyle w:val="TableParagraph"/>
              <w:spacing w:line="250" w:lineRule="exact" w:before="1"/>
              <w:ind w:left="279"/>
              <w:jc w:val="left"/>
              <w:rPr>
                <w:sz w:val="21"/>
              </w:rPr>
            </w:pPr>
            <w:r>
              <w:rPr>
                <w:sz w:val="21"/>
              </w:rPr>
              <w:t>开采历史</w:t>
            </w:r>
          </w:p>
        </w:tc>
      </w:tr>
      <w:tr>
        <w:trPr>
          <w:trHeight w:val="273" w:hRule="atLeast"/>
        </w:trPr>
        <w:tc>
          <w:tcPr>
            <w:tcW w:w="670" w:type="dxa"/>
          </w:tcPr>
          <w:p>
            <w:pPr>
              <w:pStyle w:val="TableParagraph"/>
              <w:spacing w:line="236" w:lineRule="exact" w:before="17"/>
              <w:ind w:left="6"/>
              <w:rPr>
                <w:rFonts w:ascii="Times New Roman"/>
                <w:sz w:val="21"/>
              </w:rPr>
            </w:pPr>
            <w:r>
              <w:rPr>
                <w:rFonts w:ascii="Times New Roman"/>
                <w:w w:val="100"/>
                <w:sz w:val="21"/>
              </w:rPr>
              <w:t>1</w:t>
            </w:r>
          </w:p>
        </w:tc>
        <w:tc>
          <w:tcPr>
            <w:tcW w:w="3572" w:type="dxa"/>
          </w:tcPr>
          <w:p>
            <w:pPr>
              <w:pStyle w:val="TableParagraph"/>
              <w:spacing w:line="250" w:lineRule="exact" w:before="3"/>
              <w:ind w:left="594" w:right="585"/>
              <w:rPr>
                <w:rFonts w:ascii="Times New Roman" w:hAnsi="Times New Roman" w:eastAsia="Times New Roman"/>
                <w:sz w:val="21"/>
              </w:rPr>
            </w:pPr>
            <w:r>
              <w:rPr>
                <w:rFonts w:ascii="Times New Roman" w:hAnsi="Times New Roman" w:eastAsia="Times New Roman"/>
                <w:sz w:val="21"/>
              </w:rPr>
              <w:t>120°54′29″E</w:t>
            </w:r>
            <w:r>
              <w:rPr>
                <w:sz w:val="21"/>
              </w:rPr>
              <w:t>，</w:t>
            </w:r>
            <w:r>
              <w:rPr>
                <w:rFonts w:ascii="Times New Roman" w:hAnsi="Times New Roman" w:eastAsia="Times New Roman"/>
                <w:sz w:val="21"/>
              </w:rPr>
              <w:t>39°09′58″N</w:t>
            </w:r>
          </w:p>
        </w:tc>
        <w:tc>
          <w:tcPr>
            <w:tcW w:w="1141" w:type="dxa"/>
            <w:vMerge w:val="restart"/>
          </w:tcPr>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158"/>
              <w:ind w:left="4"/>
              <w:rPr>
                <w:rFonts w:ascii="Times New Roman"/>
                <w:sz w:val="21"/>
              </w:rPr>
            </w:pPr>
            <w:r>
              <w:rPr>
                <w:rFonts w:ascii="Times New Roman"/>
                <w:w w:val="100"/>
                <w:sz w:val="21"/>
              </w:rPr>
              <w:t>5</w:t>
            </w:r>
          </w:p>
        </w:tc>
        <w:tc>
          <w:tcPr>
            <w:tcW w:w="2300" w:type="dxa"/>
            <w:vMerge w:val="restart"/>
          </w:tcPr>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3"/>
              <w:jc w:val="left"/>
              <w:rPr>
                <w:sz w:val="17"/>
              </w:rPr>
            </w:pPr>
          </w:p>
          <w:p>
            <w:pPr>
              <w:pStyle w:val="TableParagraph"/>
              <w:ind w:left="411"/>
              <w:jc w:val="left"/>
              <w:rPr>
                <w:sz w:val="21"/>
              </w:rPr>
            </w:pPr>
            <w:r>
              <w:rPr>
                <w:sz w:val="21"/>
              </w:rPr>
              <w:t>监测水位、水质</w:t>
            </w:r>
          </w:p>
        </w:tc>
        <w:tc>
          <w:tcPr>
            <w:tcW w:w="1403" w:type="dxa"/>
            <w:vMerge w:val="restart"/>
          </w:tcPr>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144"/>
              <w:ind w:left="252"/>
              <w:jc w:val="left"/>
              <w:rPr>
                <w:sz w:val="21"/>
              </w:rPr>
            </w:pPr>
            <w:r>
              <w:rPr>
                <w:rFonts w:ascii="Times New Roman" w:eastAsia="Times New Roman"/>
                <w:sz w:val="21"/>
              </w:rPr>
              <w:t>2010 </w:t>
            </w:r>
            <w:r>
              <w:rPr>
                <w:sz w:val="21"/>
              </w:rPr>
              <w:t>至今</w:t>
            </w:r>
          </w:p>
        </w:tc>
      </w:tr>
      <w:tr>
        <w:trPr>
          <w:trHeight w:val="273" w:hRule="atLeast"/>
        </w:trPr>
        <w:tc>
          <w:tcPr>
            <w:tcW w:w="670" w:type="dxa"/>
          </w:tcPr>
          <w:p>
            <w:pPr>
              <w:pStyle w:val="TableParagraph"/>
              <w:spacing w:line="238" w:lineRule="exact" w:before="15"/>
              <w:ind w:left="6"/>
              <w:rPr>
                <w:rFonts w:ascii="Times New Roman"/>
                <w:sz w:val="21"/>
              </w:rPr>
            </w:pPr>
            <w:r>
              <w:rPr>
                <w:rFonts w:ascii="Times New Roman"/>
                <w:w w:val="100"/>
                <w:sz w:val="21"/>
              </w:rPr>
              <w:t>2</w:t>
            </w:r>
          </w:p>
        </w:tc>
        <w:tc>
          <w:tcPr>
            <w:tcW w:w="3572" w:type="dxa"/>
          </w:tcPr>
          <w:p>
            <w:pPr>
              <w:pStyle w:val="TableParagraph"/>
              <w:spacing w:line="252" w:lineRule="exact" w:before="1"/>
              <w:ind w:left="594" w:right="585"/>
              <w:rPr>
                <w:rFonts w:ascii="Times New Roman" w:hAnsi="Times New Roman" w:eastAsia="Times New Roman"/>
                <w:sz w:val="21"/>
              </w:rPr>
            </w:pPr>
            <w:r>
              <w:rPr>
                <w:rFonts w:ascii="Times New Roman" w:hAnsi="Times New Roman" w:eastAsia="Times New Roman"/>
                <w:sz w:val="21"/>
              </w:rPr>
              <w:t>120°54′29″E</w:t>
            </w:r>
            <w:r>
              <w:rPr>
                <w:sz w:val="21"/>
              </w:rPr>
              <w:t>，</w:t>
            </w:r>
            <w:r>
              <w:rPr>
                <w:rFonts w:ascii="Times New Roman" w:hAnsi="Times New Roman" w:eastAsia="Times New Roman"/>
                <w:sz w:val="21"/>
              </w:rPr>
              <w:t>39°09′55″N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0" w:hRule="atLeast"/>
        </w:trPr>
        <w:tc>
          <w:tcPr>
            <w:tcW w:w="670" w:type="dxa"/>
          </w:tcPr>
          <w:p>
            <w:pPr>
              <w:pStyle w:val="TableParagraph"/>
              <w:spacing w:line="236" w:lineRule="exact" w:before="15"/>
              <w:ind w:left="6"/>
              <w:rPr>
                <w:rFonts w:ascii="Times New Roman"/>
                <w:sz w:val="21"/>
              </w:rPr>
            </w:pPr>
            <w:r>
              <w:rPr>
                <w:rFonts w:ascii="Times New Roman"/>
                <w:w w:val="100"/>
                <w:sz w:val="21"/>
              </w:rPr>
              <w:t>3</w:t>
            </w:r>
          </w:p>
        </w:tc>
        <w:tc>
          <w:tcPr>
            <w:tcW w:w="3572" w:type="dxa"/>
          </w:tcPr>
          <w:p>
            <w:pPr>
              <w:pStyle w:val="TableParagraph"/>
              <w:spacing w:line="250" w:lineRule="exact" w:before="1"/>
              <w:ind w:left="594" w:right="585"/>
              <w:rPr>
                <w:rFonts w:ascii="Times New Roman" w:hAnsi="Times New Roman" w:eastAsia="Times New Roman"/>
                <w:sz w:val="21"/>
              </w:rPr>
            </w:pPr>
            <w:r>
              <w:rPr>
                <w:rFonts w:ascii="Times New Roman" w:hAnsi="Times New Roman" w:eastAsia="Times New Roman"/>
                <w:sz w:val="21"/>
              </w:rPr>
              <w:t>120°54′29″E</w:t>
            </w:r>
            <w:r>
              <w:rPr>
                <w:sz w:val="21"/>
              </w:rPr>
              <w:t>，</w:t>
            </w:r>
            <w:r>
              <w:rPr>
                <w:rFonts w:ascii="Times New Roman" w:hAnsi="Times New Roman" w:eastAsia="Times New Roman"/>
                <w:sz w:val="21"/>
              </w:rPr>
              <w:t>39°09′51″N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6" w:lineRule="exact" w:before="17"/>
              <w:ind w:left="6"/>
              <w:rPr>
                <w:rFonts w:ascii="Times New Roman"/>
                <w:sz w:val="21"/>
              </w:rPr>
            </w:pPr>
            <w:r>
              <w:rPr>
                <w:rFonts w:ascii="Times New Roman"/>
                <w:w w:val="100"/>
                <w:sz w:val="21"/>
              </w:rPr>
              <w:t>4</w:t>
            </w:r>
          </w:p>
        </w:tc>
        <w:tc>
          <w:tcPr>
            <w:tcW w:w="3572" w:type="dxa"/>
          </w:tcPr>
          <w:p>
            <w:pPr>
              <w:pStyle w:val="TableParagraph"/>
              <w:spacing w:line="250" w:lineRule="exact" w:before="3"/>
              <w:ind w:left="594" w:right="585"/>
              <w:rPr>
                <w:rFonts w:ascii="Times New Roman" w:hAnsi="Times New Roman" w:eastAsia="Times New Roman"/>
                <w:sz w:val="21"/>
              </w:rPr>
            </w:pPr>
            <w:r>
              <w:rPr>
                <w:rFonts w:ascii="Times New Roman" w:hAnsi="Times New Roman" w:eastAsia="Times New Roman"/>
                <w:sz w:val="21"/>
              </w:rPr>
              <w:t>120°54′33″E</w:t>
            </w:r>
            <w:r>
              <w:rPr>
                <w:sz w:val="21"/>
              </w:rPr>
              <w:t>，</w:t>
            </w:r>
            <w:r>
              <w:rPr>
                <w:rFonts w:ascii="Times New Roman" w:hAnsi="Times New Roman" w:eastAsia="Times New Roman"/>
                <w:sz w:val="21"/>
              </w:rPr>
              <w:t>39°09′46″N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8" w:lineRule="exact" w:before="15"/>
              <w:ind w:left="6"/>
              <w:rPr>
                <w:rFonts w:ascii="Times New Roman"/>
                <w:sz w:val="21"/>
              </w:rPr>
            </w:pPr>
            <w:r>
              <w:rPr>
                <w:rFonts w:ascii="Times New Roman"/>
                <w:w w:val="100"/>
                <w:sz w:val="21"/>
              </w:rPr>
              <w:t>5</w:t>
            </w:r>
          </w:p>
        </w:tc>
        <w:tc>
          <w:tcPr>
            <w:tcW w:w="3572" w:type="dxa"/>
          </w:tcPr>
          <w:p>
            <w:pPr>
              <w:pStyle w:val="TableParagraph"/>
              <w:spacing w:line="252" w:lineRule="exact" w:before="1"/>
              <w:ind w:left="594" w:right="585"/>
              <w:rPr>
                <w:rFonts w:ascii="Times New Roman" w:hAnsi="Times New Roman" w:eastAsia="Times New Roman"/>
                <w:sz w:val="21"/>
              </w:rPr>
            </w:pPr>
            <w:r>
              <w:rPr>
                <w:rFonts w:ascii="Times New Roman" w:hAnsi="Times New Roman" w:eastAsia="Times New Roman"/>
                <w:sz w:val="21"/>
              </w:rPr>
              <w:t>120°54′47″E</w:t>
            </w:r>
            <w:r>
              <w:rPr>
                <w:sz w:val="21"/>
              </w:rPr>
              <w:t>，</w:t>
            </w:r>
            <w:r>
              <w:rPr>
                <w:rFonts w:ascii="Times New Roman" w:hAnsi="Times New Roman" w:eastAsia="Times New Roman"/>
                <w:sz w:val="21"/>
              </w:rPr>
              <w:t>39°09′50″N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0" w:hRule="atLeast"/>
        </w:trPr>
        <w:tc>
          <w:tcPr>
            <w:tcW w:w="670" w:type="dxa"/>
          </w:tcPr>
          <w:p>
            <w:pPr>
              <w:pStyle w:val="TableParagraph"/>
              <w:spacing w:line="236" w:lineRule="exact" w:before="15"/>
              <w:ind w:left="6"/>
              <w:rPr>
                <w:rFonts w:ascii="Times New Roman"/>
                <w:sz w:val="21"/>
              </w:rPr>
            </w:pPr>
            <w:r>
              <w:rPr>
                <w:rFonts w:ascii="Times New Roman"/>
                <w:w w:val="100"/>
                <w:sz w:val="21"/>
              </w:rPr>
              <w:t>6</w:t>
            </w:r>
          </w:p>
        </w:tc>
        <w:tc>
          <w:tcPr>
            <w:tcW w:w="3572" w:type="dxa"/>
          </w:tcPr>
          <w:p>
            <w:pPr>
              <w:pStyle w:val="TableParagraph"/>
              <w:spacing w:line="250" w:lineRule="exact" w:before="1"/>
              <w:ind w:left="594" w:right="585"/>
              <w:rPr>
                <w:rFonts w:ascii="Times New Roman" w:hAnsi="Times New Roman" w:eastAsia="Times New Roman"/>
                <w:sz w:val="21"/>
              </w:rPr>
            </w:pPr>
            <w:r>
              <w:rPr>
                <w:rFonts w:ascii="Times New Roman" w:hAnsi="Times New Roman" w:eastAsia="Times New Roman"/>
                <w:sz w:val="21"/>
              </w:rPr>
              <w:t>120°54′50″E</w:t>
            </w:r>
            <w:r>
              <w:rPr>
                <w:sz w:val="21"/>
              </w:rPr>
              <w:t>，</w:t>
            </w:r>
            <w:r>
              <w:rPr>
                <w:rFonts w:ascii="Times New Roman" w:hAnsi="Times New Roman" w:eastAsia="Times New Roman"/>
                <w:sz w:val="21"/>
              </w:rPr>
              <w:t>39°09′52″N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6" w:lineRule="exact" w:before="17"/>
              <w:ind w:left="6"/>
              <w:rPr>
                <w:rFonts w:ascii="Times New Roman"/>
                <w:sz w:val="21"/>
              </w:rPr>
            </w:pPr>
            <w:r>
              <w:rPr>
                <w:rFonts w:ascii="Times New Roman"/>
                <w:w w:val="100"/>
                <w:sz w:val="21"/>
              </w:rPr>
              <w:t>7</w:t>
            </w:r>
          </w:p>
        </w:tc>
        <w:tc>
          <w:tcPr>
            <w:tcW w:w="3572" w:type="dxa"/>
          </w:tcPr>
          <w:p>
            <w:pPr>
              <w:pStyle w:val="TableParagraph"/>
              <w:spacing w:line="252" w:lineRule="exact" w:before="1"/>
              <w:ind w:left="594" w:right="585"/>
              <w:rPr>
                <w:rFonts w:ascii="Times New Roman" w:hAnsi="Times New Roman" w:eastAsia="Times New Roman"/>
                <w:sz w:val="21"/>
              </w:rPr>
            </w:pPr>
            <w:r>
              <w:rPr>
                <w:rFonts w:ascii="Times New Roman" w:hAnsi="Times New Roman" w:eastAsia="Times New Roman"/>
                <w:sz w:val="21"/>
              </w:rPr>
              <w:t>120°54′51″E</w:t>
            </w:r>
            <w:r>
              <w:rPr>
                <w:sz w:val="21"/>
              </w:rPr>
              <w:t>，</w:t>
            </w:r>
            <w:r>
              <w:rPr>
                <w:rFonts w:ascii="Times New Roman" w:hAnsi="Times New Roman" w:eastAsia="Times New Roman"/>
                <w:sz w:val="21"/>
              </w:rPr>
              <w:t>39°09′54″N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8" w:lineRule="exact" w:before="15"/>
              <w:ind w:left="6"/>
              <w:rPr>
                <w:rFonts w:ascii="Times New Roman"/>
                <w:sz w:val="21"/>
              </w:rPr>
            </w:pPr>
            <w:r>
              <w:rPr>
                <w:rFonts w:ascii="Times New Roman"/>
                <w:w w:val="100"/>
                <w:sz w:val="21"/>
              </w:rPr>
              <w:t>8</w:t>
            </w:r>
          </w:p>
        </w:tc>
        <w:tc>
          <w:tcPr>
            <w:tcW w:w="3572" w:type="dxa"/>
          </w:tcPr>
          <w:p>
            <w:pPr>
              <w:pStyle w:val="TableParagraph"/>
              <w:spacing w:line="252" w:lineRule="exact" w:before="1"/>
              <w:ind w:left="594" w:right="585"/>
              <w:rPr>
                <w:rFonts w:ascii="Times New Roman" w:hAnsi="Times New Roman" w:eastAsia="Times New Roman"/>
                <w:sz w:val="21"/>
              </w:rPr>
            </w:pPr>
            <w:r>
              <w:rPr>
                <w:rFonts w:ascii="Times New Roman" w:hAnsi="Times New Roman" w:eastAsia="Times New Roman"/>
                <w:sz w:val="21"/>
              </w:rPr>
              <w:t>120°54′38″E</w:t>
            </w:r>
            <w:r>
              <w:rPr>
                <w:sz w:val="21"/>
              </w:rPr>
              <w:t>，</w:t>
            </w:r>
            <w:r>
              <w:rPr>
                <w:rFonts w:ascii="Times New Roman" w:hAnsi="Times New Roman" w:eastAsia="Times New Roman"/>
                <w:sz w:val="21"/>
              </w:rPr>
              <w:t>39°10′03″N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0" w:hRule="atLeast"/>
        </w:trPr>
        <w:tc>
          <w:tcPr>
            <w:tcW w:w="670" w:type="dxa"/>
          </w:tcPr>
          <w:p>
            <w:pPr>
              <w:pStyle w:val="TableParagraph"/>
              <w:spacing w:line="236" w:lineRule="exact" w:before="15"/>
              <w:ind w:left="6"/>
              <w:rPr>
                <w:rFonts w:ascii="Times New Roman"/>
                <w:sz w:val="21"/>
              </w:rPr>
            </w:pPr>
            <w:r>
              <w:rPr>
                <w:rFonts w:ascii="Times New Roman"/>
                <w:w w:val="100"/>
                <w:sz w:val="21"/>
              </w:rPr>
              <w:t>9</w:t>
            </w:r>
          </w:p>
        </w:tc>
        <w:tc>
          <w:tcPr>
            <w:tcW w:w="3572" w:type="dxa"/>
          </w:tcPr>
          <w:p>
            <w:pPr>
              <w:pStyle w:val="TableParagraph"/>
              <w:spacing w:line="250" w:lineRule="exact" w:before="1"/>
              <w:ind w:left="594" w:right="585"/>
              <w:rPr>
                <w:rFonts w:ascii="Times New Roman" w:hAnsi="Times New Roman" w:eastAsia="Times New Roman"/>
                <w:sz w:val="21"/>
              </w:rPr>
            </w:pPr>
            <w:r>
              <w:rPr>
                <w:rFonts w:ascii="Times New Roman" w:hAnsi="Times New Roman" w:eastAsia="Times New Roman"/>
                <w:sz w:val="21"/>
              </w:rPr>
              <w:t>120°54′08″E</w:t>
            </w:r>
            <w:r>
              <w:rPr>
                <w:sz w:val="21"/>
              </w:rPr>
              <w:t>，</w:t>
            </w:r>
            <w:r>
              <w:rPr>
                <w:rFonts w:ascii="Times New Roman" w:hAnsi="Times New Roman" w:eastAsia="Times New Roman"/>
                <w:sz w:val="21"/>
              </w:rPr>
              <w:t>39°10 ′23″N</w:t>
            </w:r>
          </w:p>
        </w:tc>
        <w:tc>
          <w:tcPr>
            <w:tcW w:w="1141" w:type="dxa"/>
            <w:vMerge w:val="restart"/>
          </w:tcPr>
          <w:p>
            <w:pPr>
              <w:pStyle w:val="TableParagraph"/>
              <w:jc w:val="left"/>
              <w:rPr>
                <w:sz w:val="22"/>
              </w:rPr>
            </w:pPr>
          </w:p>
          <w:p>
            <w:pPr>
              <w:pStyle w:val="TableParagraph"/>
              <w:jc w:val="left"/>
              <w:rPr>
                <w:sz w:val="22"/>
              </w:rPr>
            </w:pPr>
          </w:p>
          <w:p>
            <w:pPr>
              <w:pStyle w:val="TableParagraph"/>
              <w:spacing w:before="156"/>
              <w:ind w:left="4"/>
              <w:rPr>
                <w:rFonts w:ascii="Times New Roman"/>
                <w:sz w:val="21"/>
              </w:rPr>
            </w:pPr>
            <w:r>
              <w:rPr>
                <w:rFonts w:ascii="Times New Roman"/>
                <w:w w:val="100"/>
                <w:sz w:val="21"/>
              </w:rPr>
              <w:t>3</w:t>
            </w:r>
          </w:p>
        </w:tc>
        <w:tc>
          <w:tcPr>
            <w:tcW w:w="2300" w:type="dxa"/>
            <w:vMerge w:val="restart"/>
          </w:tcPr>
          <w:p>
            <w:pPr>
              <w:pStyle w:val="TableParagraph"/>
              <w:jc w:val="left"/>
              <w:rPr>
                <w:sz w:val="20"/>
              </w:rPr>
            </w:pPr>
          </w:p>
          <w:p>
            <w:pPr>
              <w:pStyle w:val="TableParagraph"/>
              <w:jc w:val="left"/>
              <w:rPr>
                <w:sz w:val="20"/>
              </w:rPr>
            </w:pPr>
          </w:p>
          <w:p>
            <w:pPr>
              <w:pStyle w:val="TableParagraph"/>
              <w:spacing w:before="1"/>
              <w:jc w:val="left"/>
              <w:rPr>
                <w:sz w:val="15"/>
              </w:rPr>
            </w:pPr>
          </w:p>
          <w:p>
            <w:pPr>
              <w:pStyle w:val="TableParagraph"/>
              <w:spacing w:before="1"/>
              <w:ind w:left="622"/>
              <w:jc w:val="left"/>
              <w:rPr>
                <w:sz w:val="21"/>
              </w:rPr>
            </w:pPr>
            <w:r>
              <w:rPr>
                <w:sz w:val="21"/>
              </w:rPr>
              <w:t>生活、农业</w:t>
            </w:r>
          </w:p>
        </w:tc>
        <w:tc>
          <w:tcPr>
            <w:tcW w:w="1403" w:type="dxa"/>
            <w:vMerge w:val="restart"/>
          </w:tcPr>
          <w:p>
            <w:pPr>
              <w:pStyle w:val="TableParagraph"/>
              <w:spacing w:before="142"/>
              <w:ind w:left="252"/>
              <w:jc w:val="left"/>
              <w:rPr>
                <w:sz w:val="21"/>
              </w:rPr>
            </w:pPr>
            <w:r>
              <w:rPr>
                <w:rFonts w:ascii="Times New Roman" w:eastAsia="Times New Roman"/>
                <w:sz w:val="21"/>
              </w:rPr>
              <w:t>2009 </w:t>
            </w:r>
            <w:r>
              <w:rPr>
                <w:sz w:val="21"/>
              </w:rPr>
              <w:t>至今</w:t>
            </w:r>
          </w:p>
        </w:tc>
      </w:tr>
      <w:tr>
        <w:trPr>
          <w:trHeight w:val="273" w:hRule="atLeast"/>
        </w:trPr>
        <w:tc>
          <w:tcPr>
            <w:tcW w:w="670" w:type="dxa"/>
          </w:tcPr>
          <w:p>
            <w:pPr>
              <w:pStyle w:val="TableParagraph"/>
              <w:spacing w:line="238" w:lineRule="exact" w:before="15"/>
              <w:ind w:left="103" w:right="97"/>
              <w:rPr>
                <w:rFonts w:ascii="Times New Roman"/>
                <w:sz w:val="21"/>
              </w:rPr>
            </w:pPr>
            <w:r>
              <w:rPr>
                <w:rFonts w:ascii="Times New Roman"/>
                <w:sz w:val="21"/>
              </w:rPr>
              <w:t>10</w:t>
            </w:r>
          </w:p>
        </w:tc>
        <w:tc>
          <w:tcPr>
            <w:tcW w:w="3572" w:type="dxa"/>
          </w:tcPr>
          <w:p>
            <w:pPr>
              <w:pStyle w:val="TableParagraph"/>
              <w:spacing w:line="252" w:lineRule="exact" w:before="1"/>
              <w:ind w:left="594" w:right="585"/>
              <w:rPr>
                <w:rFonts w:ascii="Times New Roman" w:hAnsi="Times New Roman" w:eastAsia="Times New Roman"/>
                <w:sz w:val="21"/>
              </w:rPr>
            </w:pPr>
            <w:r>
              <w:rPr>
                <w:rFonts w:ascii="Times New Roman" w:hAnsi="Times New Roman" w:eastAsia="Times New Roman"/>
                <w:sz w:val="21"/>
              </w:rPr>
              <w:t>120°54′16″E</w:t>
            </w:r>
            <w:r>
              <w:rPr>
                <w:sz w:val="21"/>
              </w:rPr>
              <w:t>，</w:t>
            </w:r>
            <w:r>
              <w:rPr>
                <w:rFonts w:ascii="Times New Roman" w:hAnsi="Times New Roman" w:eastAsia="Times New Roman"/>
                <w:sz w:val="21"/>
              </w:rPr>
              <w:t>39°09′53″N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8" w:lineRule="exact" w:before="15"/>
              <w:ind w:left="99" w:right="97"/>
              <w:rPr>
                <w:rFonts w:ascii="Times New Roman"/>
                <w:sz w:val="21"/>
              </w:rPr>
            </w:pPr>
            <w:r>
              <w:rPr>
                <w:rFonts w:ascii="Times New Roman"/>
                <w:sz w:val="21"/>
              </w:rPr>
              <w:t>11</w:t>
            </w:r>
          </w:p>
        </w:tc>
        <w:tc>
          <w:tcPr>
            <w:tcW w:w="3572" w:type="dxa"/>
          </w:tcPr>
          <w:p>
            <w:pPr>
              <w:pStyle w:val="TableParagraph"/>
              <w:spacing w:line="252" w:lineRule="exact" w:before="1"/>
              <w:ind w:left="594" w:right="585"/>
              <w:rPr>
                <w:rFonts w:ascii="Times New Roman" w:hAnsi="Times New Roman" w:eastAsia="Times New Roman"/>
                <w:sz w:val="21"/>
              </w:rPr>
            </w:pPr>
            <w:r>
              <w:rPr>
                <w:rFonts w:ascii="Times New Roman" w:hAnsi="Times New Roman" w:eastAsia="Times New Roman"/>
                <w:sz w:val="21"/>
              </w:rPr>
              <w:t>120°54′16″E</w:t>
            </w:r>
            <w:r>
              <w:rPr>
                <w:sz w:val="21"/>
              </w:rPr>
              <w:t>，</w:t>
            </w:r>
            <w:r>
              <w:rPr>
                <w:rFonts w:ascii="Times New Roman" w:hAnsi="Times New Roman" w:eastAsia="Times New Roman"/>
                <w:sz w:val="21"/>
              </w:rPr>
              <w:t>39°09′46″N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val="restart"/>
          </w:tcPr>
          <w:p>
            <w:pPr>
              <w:pStyle w:val="TableParagraph"/>
              <w:jc w:val="left"/>
              <w:rPr>
                <w:sz w:val="22"/>
              </w:rPr>
            </w:pPr>
          </w:p>
          <w:p>
            <w:pPr>
              <w:pStyle w:val="TableParagraph"/>
              <w:spacing w:before="144"/>
              <w:ind w:left="252"/>
              <w:jc w:val="left"/>
              <w:rPr>
                <w:sz w:val="21"/>
              </w:rPr>
            </w:pPr>
            <w:r>
              <w:rPr>
                <w:rFonts w:ascii="Times New Roman" w:eastAsia="Times New Roman"/>
                <w:sz w:val="21"/>
              </w:rPr>
              <w:t>2008 </w:t>
            </w:r>
            <w:r>
              <w:rPr>
                <w:sz w:val="21"/>
              </w:rPr>
              <w:t>至今</w:t>
            </w:r>
          </w:p>
        </w:tc>
      </w:tr>
      <w:tr>
        <w:trPr>
          <w:trHeight w:val="270" w:hRule="atLeast"/>
        </w:trPr>
        <w:tc>
          <w:tcPr>
            <w:tcW w:w="670" w:type="dxa"/>
          </w:tcPr>
          <w:p>
            <w:pPr>
              <w:pStyle w:val="TableParagraph"/>
              <w:spacing w:line="236" w:lineRule="exact" w:before="15"/>
              <w:ind w:left="103" w:right="97"/>
              <w:rPr>
                <w:rFonts w:ascii="Times New Roman"/>
                <w:sz w:val="21"/>
              </w:rPr>
            </w:pPr>
            <w:r>
              <w:rPr>
                <w:rFonts w:ascii="Times New Roman"/>
                <w:sz w:val="21"/>
              </w:rPr>
              <w:t>12</w:t>
            </w:r>
          </w:p>
        </w:tc>
        <w:tc>
          <w:tcPr>
            <w:tcW w:w="3572" w:type="dxa"/>
          </w:tcPr>
          <w:p>
            <w:pPr>
              <w:pStyle w:val="TableParagraph"/>
              <w:spacing w:line="250" w:lineRule="exact" w:before="1"/>
              <w:ind w:left="592" w:right="585"/>
              <w:rPr>
                <w:rFonts w:ascii="Times New Roman" w:hAnsi="Times New Roman" w:eastAsia="Times New Roman"/>
                <w:sz w:val="21"/>
              </w:rPr>
            </w:pPr>
            <w:r>
              <w:rPr>
                <w:rFonts w:ascii="Times New Roman" w:hAnsi="Times New Roman" w:eastAsia="Times New Roman"/>
                <w:sz w:val="21"/>
              </w:rPr>
              <w:t>120°54′11″E</w:t>
            </w:r>
            <w:r>
              <w:rPr>
                <w:sz w:val="21"/>
              </w:rPr>
              <w:t>，</w:t>
            </w:r>
            <w:r>
              <w:rPr>
                <w:rFonts w:ascii="Times New Roman" w:hAnsi="Times New Roman" w:eastAsia="Times New Roman"/>
                <w:sz w:val="21"/>
              </w:rPr>
              <w:t>39°09′53″N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8" w:lineRule="exact" w:before="15"/>
              <w:ind w:left="103" w:right="97"/>
              <w:rPr>
                <w:rFonts w:ascii="Times New Roman"/>
                <w:sz w:val="21"/>
              </w:rPr>
            </w:pPr>
            <w:r>
              <w:rPr>
                <w:rFonts w:ascii="Times New Roman"/>
                <w:sz w:val="21"/>
              </w:rPr>
              <w:t>13</w:t>
            </w:r>
          </w:p>
        </w:tc>
        <w:tc>
          <w:tcPr>
            <w:tcW w:w="3572" w:type="dxa"/>
          </w:tcPr>
          <w:p>
            <w:pPr>
              <w:pStyle w:val="TableParagraph"/>
              <w:spacing w:line="252" w:lineRule="exact" w:before="1"/>
              <w:ind w:left="592" w:right="585"/>
              <w:rPr>
                <w:rFonts w:ascii="Times New Roman" w:hAnsi="Times New Roman" w:eastAsia="Times New Roman"/>
                <w:sz w:val="21"/>
              </w:rPr>
            </w:pPr>
            <w:r>
              <w:rPr>
                <w:rFonts w:ascii="Times New Roman" w:hAnsi="Times New Roman" w:eastAsia="Times New Roman"/>
                <w:sz w:val="21"/>
              </w:rPr>
              <w:t>120°54′11″E</w:t>
            </w:r>
            <w:r>
              <w:rPr>
                <w:sz w:val="21"/>
              </w:rPr>
              <w:t>，</w:t>
            </w:r>
            <w:r>
              <w:rPr>
                <w:rFonts w:ascii="Times New Roman" w:hAnsi="Times New Roman" w:eastAsia="Times New Roman"/>
                <w:sz w:val="21"/>
              </w:rPr>
              <w:t>39°09′46″N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r>
        <w:trPr>
          <w:trHeight w:val="273" w:hRule="atLeast"/>
        </w:trPr>
        <w:tc>
          <w:tcPr>
            <w:tcW w:w="670" w:type="dxa"/>
          </w:tcPr>
          <w:p>
            <w:pPr>
              <w:pStyle w:val="TableParagraph"/>
              <w:spacing w:line="239" w:lineRule="exact" w:before="15"/>
              <w:ind w:left="103" w:right="97"/>
              <w:rPr>
                <w:rFonts w:ascii="Times New Roman"/>
                <w:sz w:val="21"/>
              </w:rPr>
            </w:pPr>
            <w:r>
              <w:rPr>
                <w:rFonts w:ascii="Times New Roman"/>
                <w:sz w:val="21"/>
              </w:rPr>
              <w:t>14</w:t>
            </w:r>
          </w:p>
        </w:tc>
        <w:tc>
          <w:tcPr>
            <w:tcW w:w="3572" w:type="dxa"/>
          </w:tcPr>
          <w:p>
            <w:pPr>
              <w:pStyle w:val="TableParagraph"/>
              <w:spacing w:line="253" w:lineRule="exact" w:before="1"/>
              <w:ind w:left="594" w:right="585"/>
              <w:rPr>
                <w:rFonts w:ascii="Times New Roman" w:hAnsi="Times New Roman" w:eastAsia="Times New Roman"/>
                <w:sz w:val="21"/>
              </w:rPr>
            </w:pPr>
            <w:r>
              <w:rPr>
                <w:rFonts w:ascii="Times New Roman" w:hAnsi="Times New Roman" w:eastAsia="Times New Roman"/>
                <w:sz w:val="21"/>
              </w:rPr>
              <w:t>120°54′16″E</w:t>
            </w:r>
            <w:r>
              <w:rPr>
                <w:sz w:val="21"/>
              </w:rPr>
              <w:t>，</w:t>
            </w:r>
            <w:r>
              <w:rPr>
                <w:rFonts w:ascii="Times New Roman" w:hAnsi="Times New Roman" w:eastAsia="Times New Roman"/>
                <w:sz w:val="21"/>
              </w:rPr>
              <w:t>39°09′56″N</w:t>
            </w:r>
          </w:p>
        </w:tc>
        <w:tc>
          <w:tcPr>
            <w:tcW w:w="1141" w:type="dxa"/>
            <w:vMerge/>
            <w:tcBorders>
              <w:top w:val="nil"/>
            </w:tcBorders>
          </w:tcPr>
          <w:p>
            <w:pPr>
              <w:rPr>
                <w:sz w:val="2"/>
                <w:szCs w:val="2"/>
              </w:rPr>
            </w:pPr>
          </w:p>
        </w:tc>
        <w:tc>
          <w:tcPr>
            <w:tcW w:w="2300" w:type="dxa"/>
            <w:vMerge/>
            <w:tcBorders>
              <w:top w:val="nil"/>
            </w:tcBorders>
          </w:tcPr>
          <w:p>
            <w:pPr>
              <w:rPr>
                <w:sz w:val="2"/>
                <w:szCs w:val="2"/>
              </w:rPr>
            </w:pPr>
          </w:p>
        </w:tc>
        <w:tc>
          <w:tcPr>
            <w:tcW w:w="1403" w:type="dxa"/>
            <w:vMerge/>
            <w:tcBorders>
              <w:top w:val="nil"/>
            </w:tcBorders>
          </w:tcPr>
          <w:p>
            <w:pPr>
              <w:rPr>
                <w:sz w:val="2"/>
                <w:szCs w:val="2"/>
              </w:rPr>
            </w:pPr>
          </w:p>
        </w:tc>
      </w:tr>
    </w:tbl>
    <w:p>
      <w:pPr>
        <w:pStyle w:val="Heading4"/>
        <w:numPr>
          <w:ilvl w:val="3"/>
          <w:numId w:val="30"/>
        </w:numPr>
        <w:tabs>
          <w:tab w:pos="1299" w:val="left" w:leader="none"/>
        </w:tabs>
        <w:spacing w:line="240" w:lineRule="auto" w:before="2" w:after="0"/>
        <w:ind w:left="1298" w:right="0" w:hanging="721"/>
        <w:jc w:val="left"/>
      </w:pPr>
      <w:r>
        <w:rPr/>
        <w:t>环境水文地质问题调查</w:t>
      </w:r>
    </w:p>
    <w:p>
      <w:pPr>
        <w:spacing w:before="158"/>
        <w:ind w:left="701" w:right="0" w:firstLine="0"/>
        <w:jc w:val="left"/>
        <w:rPr>
          <w:b/>
          <w:sz w:val="24"/>
        </w:rPr>
      </w:pPr>
      <w:r>
        <w:rPr>
          <w:rFonts w:ascii="Times New Roman" w:eastAsia="Times New Roman"/>
          <w:b/>
          <w:sz w:val="24"/>
        </w:rPr>
        <w:t>1</w:t>
      </w:r>
      <w:r>
        <w:rPr>
          <w:b/>
          <w:sz w:val="24"/>
        </w:rPr>
        <w:t>、原生环境水文地质问题</w:t>
      </w:r>
    </w:p>
    <w:p>
      <w:pPr>
        <w:pStyle w:val="BodyText"/>
        <w:spacing w:line="362" w:lineRule="auto" w:before="161"/>
        <w:ind w:left="218" w:right="173" w:firstLine="480"/>
      </w:pPr>
      <w:r>
        <w:rPr/>
        <w:t>通过对项目区进行调查发现调查区内不存在天然劣质水，同时不存在地方性疾病等环境问题，所以在项目地下水环境评价过程中不存在原生环境水文地质问题。</w:t>
      </w:r>
    </w:p>
    <w:p>
      <w:pPr>
        <w:pStyle w:val="Heading4"/>
        <w:spacing w:before="5"/>
      </w:pPr>
      <w:r>
        <w:rPr>
          <w:rFonts w:ascii="Times New Roman" w:eastAsia="Times New Roman"/>
        </w:rPr>
        <w:t>2</w:t>
      </w:r>
      <w:r>
        <w:rPr/>
        <w:t>、地下水开采问题</w:t>
      </w:r>
    </w:p>
    <w:p>
      <w:pPr>
        <w:spacing w:after="0"/>
        <w:sectPr>
          <w:footerReference w:type="default" r:id="rId121"/>
          <w:pgSz w:w="11910" w:h="16840"/>
          <w:pgMar w:footer="803" w:header="872" w:top="1320" w:bottom="1000" w:left="1200" w:right="1180"/>
        </w:sectPr>
      </w:pPr>
    </w:p>
    <w:p>
      <w:pPr>
        <w:pStyle w:val="BodyText"/>
        <w:spacing w:line="364" w:lineRule="auto" w:before="84"/>
        <w:ind w:left="218" w:right="233" w:firstLine="480"/>
        <w:jc w:val="both"/>
      </w:pPr>
      <w:r>
        <w:rPr>
          <w:spacing w:val="-4"/>
        </w:rPr>
        <w:t>项目评价区内的用水活动主要包括工业用水、生活用水和农业用水，大部分水源取</w:t>
      </w:r>
      <w:r>
        <w:rPr>
          <w:spacing w:val="-5"/>
        </w:rPr>
        <w:t>自河系水等地表水体，不会对地下水水体产生影响。所以项目在环境评价中不考虑地下</w:t>
      </w:r>
      <w:r>
        <w:rPr/>
        <w:t>水开采问题。</w:t>
      </w:r>
    </w:p>
    <w:p>
      <w:pPr>
        <w:pStyle w:val="Heading4"/>
        <w:spacing w:line="305" w:lineRule="exact"/>
      </w:pPr>
      <w:r>
        <w:rPr>
          <w:rFonts w:ascii="Times New Roman" w:eastAsia="Times New Roman"/>
        </w:rPr>
        <w:t>3</w:t>
      </w:r>
      <w:r>
        <w:rPr/>
        <w:t>、人类活动调查</w:t>
      </w:r>
    </w:p>
    <w:p>
      <w:pPr>
        <w:pStyle w:val="BodyText"/>
        <w:spacing w:line="364" w:lineRule="auto" w:before="161"/>
        <w:ind w:left="218" w:right="232" w:firstLine="480"/>
        <w:jc w:val="both"/>
      </w:pPr>
      <w:r>
        <w:rPr>
          <w:spacing w:val="-5"/>
        </w:rPr>
        <w:t>调查区内人类活动以工业生产为主，调查区内聚集了来自欧美、日韩、港台等国内</w:t>
      </w:r>
      <w:r>
        <w:rPr>
          <w:spacing w:val="-8"/>
        </w:rPr>
        <w:t>外的知名企业 </w:t>
      </w:r>
      <w:r>
        <w:rPr>
          <w:rFonts w:ascii="Times New Roman" w:eastAsia="Times New Roman"/>
        </w:rPr>
        <w:t>180 </w:t>
      </w:r>
      <w:r>
        <w:rPr>
          <w:spacing w:val="-6"/>
        </w:rPr>
        <w:t>余家，引进国内外上市公司 </w:t>
      </w:r>
      <w:r>
        <w:rPr>
          <w:rFonts w:ascii="Times New Roman" w:eastAsia="Times New Roman"/>
        </w:rPr>
        <w:t>12 </w:t>
      </w:r>
      <w:r>
        <w:rPr>
          <w:spacing w:val="-8"/>
        </w:rPr>
        <w:t>家，其中世界 </w:t>
      </w:r>
      <w:r>
        <w:rPr>
          <w:rFonts w:ascii="Times New Roman" w:eastAsia="Times New Roman"/>
        </w:rPr>
        <w:t>500 </w:t>
      </w:r>
      <w:r>
        <w:rPr>
          <w:spacing w:val="-13"/>
        </w:rPr>
        <w:t>强企业 </w:t>
      </w:r>
      <w:r>
        <w:rPr>
          <w:rFonts w:ascii="Times New Roman" w:eastAsia="Times New Roman"/>
        </w:rPr>
        <w:t>3 </w:t>
      </w:r>
      <w:r>
        <w:rPr>
          <w:spacing w:val="-4"/>
        </w:rPr>
        <w:t>家形成机</w:t>
      </w:r>
      <w:r>
        <w:rPr>
          <w:spacing w:val="-8"/>
        </w:rPr>
        <w:t>械装备、家电电器、生物医药、汽车制造等产业集群。通过调查，调查区内的企业主要</w:t>
      </w:r>
      <w:r>
        <w:rPr>
          <w:spacing w:val="-4"/>
        </w:rPr>
        <w:t>为医药制造和染料生产企业，各企业具有成熟的生产过程和管理制度，企业生产的污水</w:t>
      </w:r>
      <w:r>
        <w:rPr/>
        <w:t>经专业导排水系统汇入污水处理厂。</w:t>
      </w:r>
    </w:p>
    <w:p>
      <w:pPr>
        <w:pStyle w:val="BodyText"/>
        <w:spacing w:line="362" w:lineRule="auto"/>
        <w:ind w:left="218" w:right="172" w:firstLine="480"/>
      </w:pPr>
      <w:r>
        <w:rPr/>
        <w:t>调查区内少量的居民，居民日常生活以参加工业生产为主，调查区内不存在生态保护区。</w:t>
      </w:r>
    </w:p>
    <w:p>
      <w:pPr>
        <w:pStyle w:val="Heading4"/>
        <w:numPr>
          <w:ilvl w:val="3"/>
          <w:numId w:val="30"/>
        </w:numPr>
        <w:tabs>
          <w:tab w:pos="1299" w:val="left" w:leader="none"/>
        </w:tabs>
        <w:spacing w:line="240" w:lineRule="auto" w:before="3" w:after="0"/>
        <w:ind w:left="1298" w:right="0" w:hanging="721"/>
        <w:jc w:val="left"/>
      </w:pPr>
      <w:r>
        <w:rPr/>
        <w:t>地下水污染源调查</w:t>
      </w:r>
    </w:p>
    <w:p>
      <w:pPr>
        <w:pStyle w:val="BodyText"/>
        <w:spacing w:line="364" w:lineRule="auto" w:before="159"/>
        <w:ind w:left="218" w:right="172" w:firstLine="480"/>
      </w:pPr>
      <w:r>
        <w:rPr/>
        <w:t>项目所在地周边主要分布为工业企业，没有发现明显的针对地下水排污现象，因此区域内可能的污染源主要为污水处理系统的污水渗漏。</w:t>
      </w:r>
    </w:p>
    <w:p>
      <w:pPr>
        <w:pStyle w:val="Heading4"/>
        <w:numPr>
          <w:ilvl w:val="3"/>
          <w:numId w:val="30"/>
        </w:numPr>
        <w:tabs>
          <w:tab w:pos="1299" w:val="left" w:leader="none"/>
        </w:tabs>
        <w:spacing w:line="306" w:lineRule="exact" w:before="0" w:after="0"/>
        <w:ind w:left="1298" w:right="0" w:hanging="721"/>
        <w:jc w:val="left"/>
      </w:pPr>
      <w:r>
        <w:rPr/>
        <w:t>地下水环境影响评价</w:t>
      </w:r>
    </w:p>
    <w:p>
      <w:pPr>
        <w:pStyle w:val="BodyText"/>
        <w:spacing w:line="364" w:lineRule="auto" w:before="160"/>
        <w:ind w:left="218" w:right="233" w:firstLine="480"/>
        <w:jc w:val="both"/>
      </w:pPr>
      <w:r>
        <w:rPr>
          <w:spacing w:val="-5"/>
        </w:rPr>
        <w:t>根据工程分析可知，项目对地下水可能造成影响的污染源主要是固废暂存库、污染</w:t>
      </w:r>
      <w:r>
        <w:rPr>
          <w:spacing w:val="-10"/>
        </w:rPr>
        <w:t>区</w:t>
      </w:r>
      <w:r>
        <w:rPr/>
        <w:t>（</w:t>
      </w:r>
      <w:r>
        <w:rPr>
          <w:spacing w:val="-2"/>
        </w:rPr>
        <w:t>包括生产区、公用工程区和三废治理设施区域</w:t>
      </w:r>
      <w:r>
        <w:rPr>
          <w:spacing w:val="-10"/>
        </w:rPr>
        <w:t>）</w:t>
      </w:r>
      <w:r>
        <w:rPr>
          <w:spacing w:val="-4"/>
        </w:rPr>
        <w:t>的地面，主要污染物为废水</w:t>
      </w:r>
      <w:r>
        <w:rPr/>
        <w:t>（</w:t>
      </w:r>
      <w:r>
        <w:rPr>
          <w:spacing w:val="-8"/>
        </w:rPr>
        <w:t>包括</w:t>
      </w:r>
      <w:r>
        <w:rPr/>
        <w:t>装置区和污水站废水）和固体废物（包括固体废物堆放场所等）。</w:t>
      </w:r>
    </w:p>
    <w:p>
      <w:pPr>
        <w:pStyle w:val="Heading4"/>
        <w:spacing w:line="305" w:lineRule="exact"/>
      </w:pPr>
      <w:r>
        <w:rPr>
          <w:rFonts w:ascii="Times New Roman" w:eastAsia="Times New Roman"/>
        </w:rPr>
        <w:t>1</w:t>
      </w:r>
      <w:r>
        <w:rPr/>
        <w:t>、预测情景设置</w:t>
      </w:r>
    </w:p>
    <w:p>
      <w:pPr>
        <w:pStyle w:val="BodyText"/>
        <w:spacing w:line="364" w:lineRule="auto" w:before="161"/>
        <w:ind w:left="218" w:right="232" w:firstLine="480"/>
        <w:jc w:val="both"/>
      </w:pPr>
      <w:r>
        <w:rPr>
          <w:spacing w:val="-3"/>
        </w:rPr>
        <w:t>本次环评要求企业依据《危险废物贮存污染控制标准》</w:t>
      </w:r>
      <w:r>
        <w:rPr>
          <w:rFonts w:ascii="Times New Roman" w:eastAsia="Times New Roman"/>
        </w:rPr>
        <w:t>(GB18597-2001)</w:t>
      </w:r>
      <w:r>
        <w:rPr>
          <w:spacing w:val="-3"/>
        </w:rPr>
        <w:t>中地下水污</w:t>
      </w:r>
      <w:r>
        <w:rPr>
          <w:spacing w:val="-5"/>
        </w:rPr>
        <w:t>染防渗措施要求对危废暂存场所进行建设，依据《一般工业固体废物贮存和填埋污染控</w:t>
      </w:r>
      <w:r>
        <w:rPr/>
        <w:t>制标准》</w:t>
      </w:r>
      <w:r>
        <w:rPr>
          <w:rFonts w:ascii="Times New Roman" w:eastAsia="Times New Roman"/>
        </w:rPr>
        <w:t>(GB18599- 2020)  </w:t>
      </w:r>
      <w:r>
        <w:rPr/>
        <w:t>中地下水污染防渗措施要求对一般固废暂存场所进行建设， 依据《石油化工工程防渗技术规范》</w:t>
      </w:r>
      <w:r>
        <w:rPr>
          <w:rFonts w:ascii="Times New Roman" w:eastAsia="Times New Roman"/>
        </w:rPr>
        <w:t>(GB/T50934-2013)</w:t>
      </w:r>
      <w:r>
        <w:rPr/>
        <w:t>中地下水污染防渗措施要求对各污染区进行建设。</w:t>
      </w:r>
    </w:p>
    <w:p>
      <w:pPr>
        <w:pStyle w:val="BodyText"/>
        <w:spacing w:line="306" w:lineRule="exact"/>
        <w:ind w:left="698"/>
      </w:pPr>
      <w:r>
        <w:rPr/>
        <w:t>故在正常工况下项目对地下水的影响是极微的，本次预测针对非正常情况进行。</w:t>
      </w:r>
    </w:p>
    <w:p>
      <w:pPr>
        <w:pStyle w:val="Heading4"/>
        <w:spacing w:before="158"/>
      </w:pPr>
      <w:r>
        <w:rPr>
          <w:rFonts w:ascii="Times New Roman" w:eastAsia="Times New Roman"/>
        </w:rPr>
        <w:t>2</w:t>
      </w:r>
      <w:r>
        <w:rPr/>
        <w:t>、预测因子</w:t>
      </w:r>
    </w:p>
    <w:p>
      <w:pPr>
        <w:pStyle w:val="BodyText"/>
        <w:spacing w:line="362" w:lineRule="auto" w:before="161"/>
        <w:ind w:left="218" w:right="232" w:firstLine="480"/>
      </w:pPr>
      <w:r>
        <w:rPr>
          <w:spacing w:val="-7"/>
        </w:rPr>
        <w:t>经查《关于持久性有机污染物的斯德哥尔摩公约》等文献，本项目原料、产品以及</w:t>
      </w:r>
      <w:r>
        <w:rPr/>
        <w:t>生产过程含有的物料均不属于持久性污染物，也不含有重金属污染物。</w:t>
      </w:r>
    </w:p>
    <w:p>
      <w:pPr>
        <w:pStyle w:val="BodyText"/>
        <w:spacing w:before="5"/>
        <w:ind w:left="698"/>
      </w:pPr>
      <w:r>
        <w:rPr/>
        <w:t>根据工程分析结果，可能造成地下水污染的特征因子见下表。</w:t>
      </w:r>
    </w:p>
    <w:p>
      <w:pPr>
        <w:spacing w:after="0"/>
        <w:sectPr>
          <w:footerReference w:type="default" r:id="rId122"/>
          <w:pgSz w:w="11910" w:h="16840"/>
          <w:pgMar w:footer="803" w:header="872" w:top="1320" w:bottom="1000" w:left="1200" w:right="1180"/>
          <w:pgNumType w:start="181"/>
        </w:sectPr>
      </w:pPr>
    </w:p>
    <w:p>
      <w:pPr>
        <w:pStyle w:val="BodyText"/>
        <w:spacing w:before="11"/>
        <w:rPr>
          <w:sz w:val="11"/>
        </w:rPr>
      </w:pPr>
    </w:p>
    <w:p>
      <w:pPr>
        <w:pStyle w:val="BodyText"/>
        <w:tabs>
          <w:tab w:pos="1339" w:val="left" w:leader="none"/>
        </w:tabs>
        <w:spacing w:before="74" w:after="29"/>
        <w:ind w:right="18"/>
        <w:jc w:val="center"/>
      </w:pPr>
      <w:r>
        <w:rPr/>
        <w:pict>
          <v:line style="position:absolute;mso-position-horizontal-relative:page;mso-position-vertical-relative:paragraph;z-index:-317689856" from="65.783997pt,20.98003pt" to="181.459997pt,48.22003pt" stroked="true" strokeweight=".48pt" strokecolor="#000000">
            <v:stroke dashstyle="solid"/>
            <w10:wrap type="none"/>
          </v:line>
        </w:pict>
      </w:r>
      <w:r>
        <w:rPr/>
        <w:t>表</w:t>
      </w:r>
      <w:r>
        <w:rPr>
          <w:spacing w:val="-61"/>
        </w:rPr>
        <w:t> </w:t>
      </w:r>
      <w:r>
        <w:rPr>
          <w:rFonts w:ascii="Times New Roman" w:eastAsia="Times New Roman"/>
        </w:rPr>
        <w:t>7.2.3-4</w:t>
        <w:tab/>
      </w:r>
      <w:r>
        <w:rPr/>
        <w:t>地下水污染因子识别</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3"/>
        <w:gridCol w:w="2180"/>
        <w:gridCol w:w="2410"/>
        <w:gridCol w:w="2377"/>
      </w:tblGrid>
      <w:tr>
        <w:trPr>
          <w:trHeight w:val="544" w:hRule="atLeast"/>
        </w:trPr>
        <w:tc>
          <w:tcPr>
            <w:tcW w:w="2323" w:type="dxa"/>
          </w:tcPr>
          <w:p>
            <w:pPr>
              <w:pStyle w:val="TableParagraph"/>
              <w:spacing w:before="1"/>
              <w:ind w:left="1794"/>
              <w:jc w:val="left"/>
              <w:rPr>
                <w:sz w:val="21"/>
              </w:rPr>
            </w:pPr>
            <w:r>
              <w:rPr>
                <w:sz w:val="21"/>
              </w:rPr>
              <w:t>项目</w:t>
            </w:r>
          </w:p>
          <w:p>
            <w:pPr>
              <w:pStyle w:val="TableParagraph"/>
              <w:spacing w:line="252" w:lineRule="exact" w:before="2"/>
              <w:ind w:left="107"/>
              <w:jc w:val="left"/>
              <w:rPr>
                <w:sz w:val="21"/>
              </w:rPr>
            </w:pPr>
            <w:r>
              <w:rPr>
                <w:sz w:val="21"/>
              </w:rPr>
              <w:t>类型</w:t>
            </w:r>
          </w:p>
        </w:tc>
        <w:tc>
          <w:tcPr>
            <w:tcW w:w="2180" w:type="dxa"/>
          </w:tcPr>
          <w:p>
            <w:pPr>
              <w:pStyle w:val="TableParagraph"/>
              <w:spacing w:before="138"/>
              <w:ind w:left="358" w:right="348"/>
              <w:rPr>
                <w:sz w:val="21"/>
              </w:rPr>
            </w:pPr>
            <w:r>
              <w:rPr>
                <w:sz w:val="21"/>
              </w:rPr>
              <w:t>废水</w:t>
            </w:r>
          </w:p>
        </w:tc>
        <w:tc>
          <w:tcPr>
            <w:tcW w:w="2410" w:type="dxa"/>
          </w:tcPr>
          <w:p>
            <w:pPr>
              <w:pStyle w:val="TableParagraph"/>
              <w:spacing w:before="138"/>
              <w:ind w:left="446" w:right="434"/>
              <w:rPr>
                <w:sz w:val="21"/>
              </w:rPr>
            </w:pPr>
            <w:r>
              <w:rPr>
                <w:sz w:val="21"/>
              </w:rPr>
              <w:t>液体物料</w:t>
            </w:r>
          </w:p>
        </w:tc>
        <w:tc>
          <w:tcPr>
            <w:tcW w:w="2377" w:type="dxa"/>
          </w:tcPr>
          <w:p>
            <w:pPr>
              <w:pStyle w:val="TableParagraph"/>
              <w:spacing w:before="138"/>
              <w:ind w:left="643" w:right="633"/>
              <w:rPr>
                <w:sz w:val="21"/>
              </w:rPr>
            </w:pPr>
            <w:r>
              <w:rPr>
                <w:sz w:val="21"/>
              </w:rPr>
              <w:t>固废浸出液</w:t>
            </w:r>
          </w:p>
        </w:tc>
      </w:tr>
      <w:tr>
        <w:trPr>
          <w:trHeight w:val="273" w:hRule="atLeast"/>
        </w:trPr>
        <w:tc>
          <w:tcPr>
            <w:tcW w:w="2323" w:type="dxa"/>
          </w:tcPr>
          <w:p>
            <w:pPr>
              <w:pStyle w:val="TableParagraph"/>
              <w:spacing w:line="252" w:lineRule="exact" w:before="1"/>
              <w:ind w:left="511" w:right="502"/>
              <w:rPr>
                <w:sz w:val="21"/>
              </w:rPr>
            </w:pPr>
            <w:r>
              <w:rPr>
                <w:sz w:val="21"/>
              </w:rPr>
              <w:t>持久性污染物</w:t>
            </w:r>
          </w:p>
        </w:tc>
        <w:tc>
          <w:tcPr>
            <w:tcW w:w="2180" w:type="dxa"/>
          </w:tcPr>
          <w:p>
            <w:pPr>
              <w:pStyle w:val="TableParagraph"/>
              <w:spacing w:line="252" w:lineRule="exact" w:before="1"/>
              <w:ind w:left="5"/>
              <w:rPr>
                <w:sz w:val="21"/>
              </w:rPr>
            </w:pPr>
            <w:r>
              <w:rPr>
                <w:w w:val="100"/>
                <w:sz w:val="21"/>
              </w:rPr>
              <w:t>无</w:t>
            </w:r>
          </w:p>
        </w:tc>
        <w:tc>
          <w:tcPr>
            <w:tcW w:w="2410" w:type="dxa"/>
          </w:tcPr>
          <w:p>
            <w:pPr>
              <w:pStyle w:val="TableParagraph"/>
              <w:spacing w:line="252" w:lineRule="exact" w:before="1"/>
              <w:ind w:left="9"/>
              <w:rPr>
                <w:sz w:val="21"/>
              </w:rPr>
            </w:pPr>
            <w:r>
              <w:rPr>
                <w:w w:val="100"/>
                <w:sz w:val="21"/>
              </w:rPr>
              <w:t>无</w:t>
            </w:r>
          </w:p>
        </w:tc>
        <w:tc>
          <w:tcPr>
            <w:tcW w:w="2377" w:type="dxa"/>
          </w:tcPr>
          <w:p>
            <w:pPr>
              <w:pStyle w:val="TableParagraph"/>
              <w:spacing w:line="252" w:lineRule="exact" w:before="1"/>
              <w:ind w:left="9"/>
              <w:rPr>
                <w:sz w:val="21"/>
              </w:rPr>
            </w:pPr>
            <w:r>
              <w:rPr>
                <w:w w:val="100"/>
                <w:sz w:val="21"/>
              </w:rPr>
              <w:t>无</w:t>
            </w:r>
          </w:p>
        </w:tc>
      </w:tr>
      <w:tr>
        <w:trPr>
          <w:trHeight w:val="270" w:hRule="atLeast"/>
        </w:trPr>
        <w:tc>
          <w:tcPr>
            <w:tcW w:w="2323" w:type="dxa"/>
          </w:tcPr>
          <w:p>
            <w:pPr>
              <w:pStyle w:val="TableParagraph"/>
              <w:spacing w:line="250" w:lineRule="exact" w:before="1"/>
              <w:ind w:left="511" w:right="502"/>
              <w:rPr>
                <w:sz w:val="21"/>
              </w:rPr>
            </w:pPr>
            <w:r>
              <w:rPr>
                <w:sz w:val="21"/>
              </w:rPr>
              <w:t>重金属污染物</w:t>
            </w:r>
          </w:p>
        </w:tc>
        <w:tc>
          <w:tcPr>
            <w:tcW w:w="2180" w:type="dxa"/>
          </w:tcPr>
          <w:p>
            <w:pPr>
              <w:pStyle w:val="TableParagraph"/>
              <w:spacing w:line="250" w:lineRule="exact" w:before="1"/>
              <w:ind w:left="5"/>
              <w:rPr>
                <w:sz w:val="21"/>
              </w:rPr>
            </w:pPr>
            <w:r>
              <w:rPr>
                <w:w w:val="100"/>
                <w:sz w:val="21"/>
              </w:rPr>
              <w:t>无</w:t>
            </w:r>
          </w:p>
        </w:tc>
        <w:tc>
          <w:tcPr>
            <w:tcW w:w="2410" w:type="dxa"/>
          </w:tcPr>
          <w:p>
            <w:pPr>
              <w:pStyle w:val="TableParagraph"/>
              <w:spacing w:line="250" w:lineRule="exact" w:before="1"/>
              <w:ind w:left="9"/>
              <w:rPr>
                <w:sz w:val="21"/>
              </w:rPr>
            </w:pPr>
            <w:r>
              <w:rPr>
                <w:w w:val="100"/>
                <w:sz w:val="21"/>
              </w:rPr>
              <w:t>无</w:t>
            </w:r>
          </w:p>
        </w:tc>
        <w:tc>
          <w:tcPr>
            <w:tcW w:w="2377" w:type="dxa"/>
          </w:tcPr>
          <w:p>
            <w:pPr>
              <w:pStyle w:val="TableParagraph"/>
              <w:spacing w:line="250" w:lineRule="exact" w:before="1"/>
              <w:ind w:left="9"/>
              <w:rPr>
                <w:sz w:val="21"/>
              </w:rPr>
            </w:pPr>
            <w:r>
              <w:rPr>
                <w:w w:val="100"/>
                <w:sz w:val="21"/>
              </w:rPr>
              <w:t>无</w:t>
            </w:r>
          </w:p>
        </w:tc>
      </w:tr>
      <w:tr>
        <w:trPr>
          <w:trHeight w:val="273" w:hRule="atLeast"/>
        </w:trPr>
        <w:tc>
          <w:tcPr>
            <w:tcW w:w="2323" w:type="dxa"/>
          </w:tcPr>
          <w:p>
            <w:pPr>
              <w:pStyle w:val="TableParagraph"/>
              <w:spacing w:line="252" w:lineRule="exact" w:before="1"/>
              <w:ind w:left="511" w:right="502"/>
              <w:rPr>
                <w:sz w:val="21"/>
              </w:rPr>
            </w:pPr>
            <w:r>
              <w:rPr>
                <w:sz w:val="21"/>
              </w:rPr>
              <w:t>其他</w:t>
            </w:r>
          </w:p>
        </w:tc>
        <w:tc>
          <w:tcPr>
            <w:tcW w:w="2180" w:type="dxa"/>
          </w:tcPr>
          <w:p>
            <w:pPr>
              <w:pStyle w:val="TableParagraph"/>
              <w:spacing w:line="253" w:lineRule="exact"/>
              <w:ind w:left="358" w:right="348"/>
              <w:rPr>
                <w:sz w:val="21"/>
              </w:rPr>
            </w:pPr>
            <w:r>
              <w:rPr>
                <w:rFonts w:ascii="Times New Roman" w:eastAsia="Times New Roman"/>
                <w:position w:val="2"/>
                <w:sz w:val="21"/>
              </w:rPr>
              <w:t>COD</w:t>
            </w:r>
            <w:r>
              <w:rPr>
                <w:rFonts w:ascii="Times New Roman" w:eastAsia="Times New Roman"/>
                <w:sz w:val="14"/>
              </w:rPr>
              <w:t>Cr</w:t>
            </w:r>
            <w:r>
              <w:rPr>
                <w:position w:val="2"/>
                <w:sz w:val="21"/>
              </w:rPr>
              <w:t>、总氮等</w:t>
            </w:r>
          </w:p>
        </w:tc>
        <w:tc>
          <w:tcPr>
            <w:tcW w:w="2410" w:type="dxa"/>
          </w:tcPr>
          <w:p>
            <w:pPr>
              <w:pStyle w:val="TableParagraph"/>
              <w:spacing w:line="252" w:lineRule="exact" w:before="1"/>
              <w:ind w:left="446" w:right="437"/>
              <w:rPr>
                <w:sz w:val="21"/>
              </w:rPr>
            </w:pPr>
            <w:r>
              <w:rPr>
                <w:sz w:val="21"/>
              </w:rPr>
              <w:t>甲酸等</w:t>
            </w:r>
          </w:p>
        </w:tc>
        <w:tc>
          <w:tcPr>
            <w:tcW w:w="2377" w:type="dxa"/>
          </w:tcPr>
          <w:p>
            <w:pPr>
              <w:pStyle w:val="TableParagraph"/>
              <w:spacing w:line="253" w:lineRule="exact"/>
              <w:ind w:left="642" w:right="633"/>
              <w:rPr>
                <w:sz w:val="21"/>
              </w:rPr>
            </w:pPr>
            <w:r>
              <w:rPr>
                <w:rFonts w:ascii="Times New Roman" w:eastAsia="Times New Roman"/>
                <w:position w:val="2"/>
                <w:sz w:val="21"/>
              </w:rPr>
              <w:t>COD</w:t>
            </w:r>
            <w:r>
              <w:rPr>
                <w:rFonts w:ascii="Times New Roman" w:eastAsia="Times New Roman"/>
                <w:sz w:val="14"/>
              </w:rPr>
              <w:t>Cr </w:t>
            </w:r>
            <w:r>
              <w:rPr>
                <w:position w:val="2"/>
                <w:sz w:val="21"/>
              </w:rPr>
              <w:t>等</w:t>
            </w:r>
          </w:p>
        </w:tc>
      </w:tr>
    </w:tbl>
    <w:p>
      <w:pPr>
        <w:pStyle w:val="BodyText"/>
        <w:spacing w:before="2"/>
        <w:ind w:left="698"/>
      </w:pPr>
      <w:r>
        <w:rPr/>
        <w:t>本项目对地下水污染途径主要为废水渗漏，故本项目选取耗氧量作为预测因子。</w:t>
      </w:r>
    </w:p>
    <w:p>
      <w:pPr>
        <w:pStyle w:val="Heading4"/>
        <w:spacing w:before="161"/>
      </w:pPr>
      <w:r>
        <w:rPr>
          <w:rFonts w:ascii="Times New Roman" w:eastAsia="Times New Roman"/>
        </w:rPr>
        <w:t>3</w:t>
      </w:r>
      <w:r>
        <w:rPr/>
        <w:t>、预测范围和时段</w:t>
      </w:r>
    </w:p>
    <w:p>
      <w:pPr>
        <w:pStyle w:val="BodyText"/>
        <w:spacing w:line="364" w:lineRule="auto" w:before="158"/>
        <w:ind w:left="218" w:right="114" w:firstLine="480"/>
      </w:pPr>
      <w:r>
        <w:rPr>
          <w:spacing w:val="-3"/>
        </w:rPr>
        <w:t>鉴于潜水含水层较承压含水层更易受到污染，是项目需要考虑的最敏感含水层，因</w:t>
      </w:r>
      <w:r>
        <w:rPr>
          <w:spacing w:val="-12"/>
        </w:rPr>
        <w:t>此作为本次影响预测的目的层。预测时长为 </w:t>
      </w:r>
      <w:r>
        <w:rPr>
          <w:rFonts w:ascii="Times New Roman" w:eastAsia="Times New Roman"/>
        </w:rPr>
        <w:t>30 </w:t>
      </w:r>
      <w:r>
        <w:rPr>
          <w:spacing w:val="-13"/>
        </w:rPr>
        <w:t>年；选取节点包括事故发生后 </w:t>
      </w:r>
      <w:r>
        <w:rPr>
          <w:rFonts w:ascii="Times New Roman" w:eastAsia="Times New Roman"/>
        </w:rPr>
        <w:t>30d</w:t>
      </w:r>
      <w:r>
        <w:rPr>
          <w:spacing w:val="-77"/>
        </w:rPr>
        <w:t>、</w:t>
      </w:r>
      <w:r>
        <w:rPr>
          <w:rFonts w:ascii="Times New Roman" w:eastAsia="Times New Roman"/>
        </w:rPr>
        <w:t>100d</w:t>
      </w:r>
      <w:r>
        <w:rPr>
          <w:spacing w:val="-15"/>
        </w:rPr>
        <w:t>、</w:t>
      </w:r>
      <w:r>
        <w:rPr>
          <w:rFonts w:ascii="Times New Roman" w:eastAsia="Times New Roman"/>
        </w:rPr>
        <w:t>1a</w:t>
      </w:r>
      <w:r>
        <w:rPr/>
        <w:t>、</w:t>
      </w:r>
      <w:r>
        <w:rPr>
          <w:rFonts w:ascii="Times New Roman" w:eastAsia="Times New Roman"/>
        </w:rPr>
        <w:t>1000d</w:t>
      </w:r>
      <w:r>
        <w:rPr/>
        <w:t>、</w:t>
      </w:r>
      <w:r>
        <w:rPr>
          <w:rFonts w:ascii="Times New Roman" w:eastAsia="Times New Roman"/>
        </w:rPr>
        <w:t>10a</w:t>
      </w:r>
      <w:r>
        <w:rPr/>
        <w:t>、</w:t>
      </w:r>
      <w:r>
        <w:rPr>
          <w:rFonts w:ascii="Times New Roman" w:eastAsia="Times New Roman"/>
        </w:rPr>
        <w:t>20a</w:t>
      </w:r>
      <w:r>
        <w:rPr/>
        <w:t>、</w:t>
      </w:r>
      <w:r>
        <w:rPr>
          <w:rFonts w:ascii="Times New Roman" w:eastAsia="Times New Roman"/>
        </w:rPr>
        <w:t>30a</w:t>
      </w:r>
      <w:r>
        <w:rPr/>
        <w:t>。</w:t>
      </w:r>
    </w:p>
    <w:p>
      <w:pPr>
        <w:pStyle w:val="Heading4"/>
      </w:pPr>
      <w:r>
        <w:rPr>
          <w:rFonts w:ascii="Times New Roman" w:eastAsia="Times New Roman"/>
        </w:rPr>
        <w:t>4</w:t>
      </w:r>
      <w:r>
        <w:rPr/>
        <w:t>、预测源强确定</w:t>
      </w:r>
    </w:p>
    <w:p>
      <w:pPr>
        <w:pStyle w:val="BodyText"/>
        <w:spacing w:line="364" w:lineRule="auto" w:before="157"/>
        <w:ind w:left="218" w:right="232" w:firstLine="480"/>
      </w:pPr>
      <w:r>
        <w:rPr>
          <w:spacing w:val="-20"/>
          <w:position w:val="2"/>
        </w:rPr>
        <w:t>假设事故发生时，废水处理区发生泄漏，污染物进入地下水，浓度以 </w:t>
      </w:r>
      <w:r>
        <w:rPr>
          <w:rFonts w:ascii="Times New Roman" w:eastAsia="Times New Roman"/>
          <w:position w:val="2"/>
        </w:rPr>
        <w:t>COD</w:t>
      </w:r>
      <w:r>
        <w:rPr>
          <w:rFonts w:ascii="Times New Roman" w:eastAsia="Times New Roman"/>
          <w:sz w:val="16"/>
        </w:rPr>
        <w:t>Cr </w:t>
      </w:r>
      <w:r>
        <w:rPr>
          <w:spacing w:val="-30"/>
          <w:position w:val="2"/>
        </w:rPr>
        <w:t>为 </w:t>
      </w:r>
      <w:r>
        <w:rPr>
          <w:rFonts w:ascii="Times New Roman" w:eastAsia="Times New Roman"/>
          <w:spacing w:val="-4"/>
          <w:position w:val="2"/>
        </w:rPr>
        <w:t>15000 </w:t>
      </w:r>
      <w:r>
        <w:rPr>
          <w:rFonts w:ascii="Times New Roman" w:eastAsia="Times New Roman"/>
        </w:rPr>
        <w:t>mg/LL</w:t>
      </w:r>
      <w:r>
        <w:rPr>
          <w:spacing w:val="-3"/>
        </w:rPr>
        <w:t>，保守取值，渗漏到地下水的废水污染因子耗氧量初始浓度取 </w:t>
      </w:r>
      <w:r>
        <w:rPr>
          <w:rFonts w:ascii="Times New Roman" w:eastAsia="Times New Roman"/>
        </w:rPr>
        <w:t>15000mg/L</w:t>
      </w:r>
      <w:r>
        <w:rPr/>
        <w:t>。</w:t>
      </w:r>
    </w:p>
    <w:p>
      <w:pPr>
        <w:pStyle w:val="Heading4"/>
        <w:spacing w:line="307" w:lineRule="exact"/>
      </w:pPr>
      <w:r>
        <w:rPr>
          <w:rFonts w:ascii="Times New Roman" w:eastAsia="Times New Roman"/>
        </w:rPr>
        <w:t>5</w:t>
      </w:r>
      <w:r>
        <w:rPr/>
        <w:t>、地下水影响预测</w:t>
      </w:r>
    </w:p>
    <w:p>
      <w:pPr>
        <w:pStyle w:val="ListParagraph"/>
        <w:numPr>
          <w:ilvl w:val="4"/>
          <w:numId w:val="30"/>
        </w:numPr>
        <w:tabs>
          <w:tab w:pos="980" w:val="left" w:leader="none"/>
        </w:tabs>
        <w:spacing w:line="240" w:lineRule="auto" w:before="160" w:after="0"/>
        <w:ind w:left="979" w:right="0" w:hanging="282"/>
        <w:jc w:val="left"/>
        <w:rPr>
          <w:sz w:val="24"/>
        </w:rPr>
      </w:pPr>
      <w:r>
        <w:rPr>
          <w:sz w:val="24"/>
        </w:rPr>
        <w:t>预测模型</w:t>
      </w:r>
    </w:p>
    <w:p>
      <w:pPr>
        <w:pStyle w:val="BodyText"/>
        <w:tabs>
          <w:tab w:pos="6702" w:val="left" w:leader="none"/>
        </w:tabs>
        <w:spacing w:line="364" w:lineRule="auto" w:before="159"/>
        <w:ind w:left="218" w:right="154" w:firstLine="480"/>
      </w:pPr>
      <w:r>
        <w:rPr/>
        <w:drawing>
          <wp:anchor distT="0" distB="0" distL="0" distR="0" allowOverlap="1" layoutInCell="1" locked="0" behindDoc="0" simplePos="0" relativeHeight="231">
            <wp:simplePos x="0" y="0"/>
            <wp:positionH relativeFrom="page">
              <wp:posOffset>2337546</wp:posOffset>
            </wp:positionH>
            <wp:positionV relativeFrom="paragraph">
              <wp:posOffset>1374197</wp:posOffset>
            </wp:positionV>
            <wp:extent cx="2911611" cy="506063"/>
            <wp:effectExtent l="0" t="0" r="0" b="0"/>
            <wp:wrapTopAndBottom/>
            <wp:docPr id="67" name="image56.png"/>
            <wp:cNvGraphicFramePr>
              <a:graphicFrameLocks noChangeAspect="1"/>
            </wp:cNvGraphicFramePr>
            <a:graphic>
              <a:graphicData uri="http://schemas.openxmlformats.org/drawingml/2006/picture">
                <pic:pic>
                  <pic:nvPicPr>
                    <pic:cNvPr id="68" name="image56.png"/>
                    <pic:cNvPicPr/>
                  </pic:nvPicPr>
                  <pic:blipFill>
                    <a:blip r:embed="rId123" cstate="print"/>
                    <a:stretch>
                      <a:fillRect/>
                    </a:stretch>
                  </pic:blipFill>
                  <pic:spPr>
                    <a:xfrm>
                      <a:off x="0" y="0"/>
                      <a:ext cx="2911611" cy="506063"/>
                    </a:xfrm>
                    <a:prstGeom prst="rect">
                      <a:avLst/>
                    </a:prstGeom>
                  </pic:spPr>
                </pic:pic>
              </a:graphicData>
            </a:graphic>
          </wp:anchor>
        </w:drawing>
      </w:r>
      <w:r>
        <w:rPr/>
        <w:t>根据调查</w:t>
      </w:r>
      <w:r>
        <w:rPr>
          <w:spacing w:val="-17"/>
        </w:rPr>
        <w:t>，</w:t>
      </w:r>
      <w:r>
        <w:rPr/>
        <w:t>项目所在区域无大规模开采地下水的行为</w:t>
      </w:r>
      <w:r>
        <w:rPr>
          <w:spacing w:val="-17"/>
        </w:rPr>
        <w:t>，</w:t>
      </w:r>
      <w:r>
        <w:rPr/>
        <w:t>也无地下水环境敏感区</w:t>
      </w:r>
      <w:r>
        <w:rPr>
          <w:spacing w:val="-17"/>
        </w:rPr>
        <w:t>，</w:t>
      </w:r>
      <w:r>
        <w:rPr/>
        <w:t>水文地质条件相对较为简单</w:t>
      </w:r>
      <w:r>
        <w:rPr>
          <w:spacing w:val="-120"/>
        </w:rPr>
        <w:t>，</w:t>
      </w:r>
      <w:r>
        <w:rPr/>
        <w:t>因此按</w:t>
      </w:r>
      <w:r>
        <w:rPr>
          <w:spacing w:val="-120"/>
        </w:rPr>
        <w:t>照</w:t>
      </w:r>
      <w:r>
        <w:rPr/>
        <w:t>《环境影响评价技术导则</w:t>
        <w:tab/>
        <w:t>地下水环境</w:t>
      </w:r>
      <w:r>
        <w:rPr>
          <w:spacing w:val="-120"/>
        </w:rPr>
        <w:t>》</w:t>
      </w:r>
      <w:r>
        <w:rPr>
          <w:rFonts w:ascii="Times New Roman" w:eastAsia="Times New Roman"/>
          <w:spacing w:val="-3"/>
        </w:rPr>
        <w:t>(HJ610-2016) </w:t>
      </w:r>
      <w:r>
        <w:rPr/>
        <w:t>要求</w:t>
      </w:r>
      <w:r>
        <w:rPr>
          <w:spacing w:val="-24"/>
        </w:rPr>
        <w:t>，</w:t>
      </w:r>
      <w:r>
        <w:rPr/>
        <w:t>本次预测采用导则推荐的一维稳定流动一维水动力弥散问题</w:t>
      </w:r>
      <w:r>
        <w:rPr>
          <w:spacing w:val="-24"/>
        </w:rPr>
        <w:t>，</w:t>
      </w:r>
      <w:r>
        <w:rPr/>
        <w:t>概化条件为一维半无限长多孔介质柱体，一端为定浓度边界。其解析解为：</w:t>
      </w:r>
    </w:p>
    <w:p>
      <w:pPr>
        <w:pStyle w:val="BodyText"/>
        <w:spacing w:before="195"/>
        <w:ind w:left="698"/>
      </w:pPr>
      <w:r>
        <w:rPr/>
        <w:t>式中：</w:t>
      </w:r>
      <w:r>
        <w:rPr>
          <w:rFonts w:ascii="Times New Roman" w:hAnsi="Times New Roman" w:eastAsia="Times New Roman"/>
        </w:rPr>
        <w:t>x——</w:t>
      </w:r>
      <w:r>
        <w:rPr/>
        <w:t>预测点距离污染源强的距离，</w:t>
      </w:r>
      <w:r>
        <w:rPr>
          <w:rFonts w:ascii="Times New Roman" w:hAnsi="Times New Roman" w:eastAsia="Times New Roman"/>
        </w:rPr>
        <w:t>m</w:t>
      </w:r>
      <w:r>
        <w:rPr/>
        <w:t>；</w:t>
      </w:r>
    </w:p>
    <w:p>
      <w:pPr>
        <w:pStyle w:val="BodyText"/>
        <w:spacing w:before="161"/>
        <w:ind w:left="1418"/>
      </w:pPr>
      <w:r>
        <w:rPr>
          <w:rFonts w:ascii="Times New Roman" w:hAnsi="Times New Roman" w:eastAsia="Times New Roman"/>
        </w:rPr>
        <w:t>t——</w:t>
      </w:r>
      <w:r>
        <w:rPr/>
        <w:t>预测时间，</w:t>
      </w:r>
      <w:r>
        <w:rPr>
          <w:rFonts w:ascii="Times New Roman" w:hAnsi="Times New Roman" w:eastAsia="Times New Roman"/>
        </w:rPr>
        <w:t>d</w:t>
      </w:r>
      <w:r>
        <w:rPr/>
        <w:t>；</w:t>
      </w:r>
    </w:p>
    <w:p>
      <w:pPr>
        <w:pStyle w:val="BodyText"/>
        <w:spacing w:line="364" w:lineRule="auto" w:before="158"/>
        <w:ind w:left="1418" w:right="4051"/>
      </w:pPr>
      <w:r>
        <w:rPr>
          <w:rFonts w:ascii="Times New Roman" w:hAnsi="Times New Roman" w:eastAsia="Times New Roman"/>
        </w:rPr>
        <w:t>C——t </w:t>
      </w:r>
      <w:r>
        <w:rPr/>
        <w:t>时刻 </w:t>
      </w:r>
      <w:r>
        <w:rPr>
          <w:rFonts w:ascii="Times New Roman" w:hAnsi="Times New Roman" w:eastAsia="Times New Roman"/>
        </w:rPr>
        <w:t>x </w:t>
      </w:r>
      <w:r>
        <w:rPr/>
        <w:t>处的污染物浓度，</w:t>
      </w:r>
      <w:r>
        <w:rPr>
          <w:rFonts w:ascii="Times New Roman" w:hAnsi="Times New Roman" w:eastAsia="Times New Roman"/>
        </w:rPr>
        <w:t>g/L</w:t>
      </w:r>
      <w:r>
        <w:rPr/>
        <w:t>； </w:t>
      </w:r>
      <w:r>
        <w:rPr>
          <w:rFonts w:ascii="Times New Roman" w:hAnsi="Times New Roman" w:eastAsia="Times New Roman"/>
          <w:position w:val="2"/>
        </w:rPr>
        <w:t>C</w:t>
      </w:r>
      <w:r>
        <w:rPr>
          <w:rFonts w:ascii="Times New Roman" w:hAnsi="Times New Roman" w:eastAsia="Times New Roman"/>
          <w:sz w:val="16"/>
        </w:rPr>
        <w:t>0</w:t>
      </w:r>
      <w:r>
        <w:rPr>
          <w:rFonts w:ascii="Times New Roman" w:hAnsi="Times New Roman" w:eastAsia="Times New Roman"/>
          <w:position w:val="2"/>
        </w:rPr>
        <w:t>——</w:t>
      </w:r>
      <w:r>
        <w:rPr>
          <w:position w:val="2"/>
        </w:rPr>
        <w:t>地下水污染源强浓度，</w:t>
      </w:r>
      <w:r>
        <w:rPr>
          <w:rFonts w:ascii="Times New Roman" w:hAnsi="Times New Roman" w:eastAsia="Times New Roman"/>
          <w:position w:val="2"/>
        </w:rPr>
        <w:t>g/L</w:t>
      </w:r>
      <w:r>
        <w:rPr>
          <w:position w:val="2"/>
        </w:rPr>
        <w:t>； </w:t>
      </w:r>
      <w:r>
        <w:rPr>
          <w:rFonts w:ascii="Times New Roman" w:hAnsi="Times New Roman" w:eastAsia="Times New Roman"/>
        </w:rPr>
        <w:t>u——</w:t>
      </w:r>
      <w:r>
        <w:rPr/>
        <w:t>水流速度，</w:t>
      </w:r>
      <w:r>
        <w:rPr>
          <w:rFonts w:ascii="Times New Roman" w:hAnsi="Times New Roman" w:eastAsia="Times New Roman"/>
        </w:rPr>
        <w:t>m/d</w:t>
      </w:r>
      <w:r>
        <w:rPr/>
        <w:t>；</w:t>
      </w:r>
    </w:p>
    <w:p>
      <w:pPr>
        <w:pStyle w:val="BodyText"/>
        <w:spacing w:line="360" w:lineRule="auto"/>
        <w:ind w:left="1418" w:right="4977"/>
      </w:pPr>
      <w:r>
        <w:rPr>
          <w:rFonts w:ascii="Times New Roman" w:hAnsi="Times New Roman" w:eastAsia="Times New Roman"/>
          <w:position w:val="2"/>
        </w:rPr>
        <w:t>D</w:t>
      </w:r>
      <w:r>
        <w:rPr>
          <w:rFonts w:ascii="Times New Roman" w:hAnsi="Times New Roman" w:eastAsia="Times New Roman"/>
          <w:sz w:val="16"/>
        </w:rPr>
        <w:t>L</w:t>
      </w:r>
      <w:r>
        <w:rPr>
          <w:rFonts w:ascii="Times New Roman" w:hAnsi="Times New Roman" w:eastAsia="Times New Roman"/>
          <w:position w:val="2"/>
        </w:rPr>
        <w:t>——</w:t>
      </w:r>
      <w:r>
        <w:rPr>
          <w:position w:val="2"/>
        </w:rPr>
        <w:t>纵向弥散系数，</w:t>
      </w:r>
      <w:r>
        <w:rPr>
          <w:rFonts w:ascii="Times New Roman" w:hAnsi="Times New Roman" w:eastAsia="Times New Roman"/>
          <w:position w:val="2"/>
        </w:rPr>
        <w:t>m</w:t>
      </w:r>
      <w:r>
        <w:rPr>
          <w:rFonts w:ascii="Times New Roman" w:hAnsi="Times New Roman" w:eastAsia="Times New Roman"/>
          <w:position w:val="2"/>
          <w:vertAlign w:val="superscript"/>
        </w:rPr>
        <w:t>2</w:t>
      </w:r>
      <w:r>
        <w:rPr>
          <w:rFonts w:ascii="Times New Roman" w:hAnsi="Times New Roman" w:eastAsia="Times New Roman"/>
          <w:position w:val="2"/>
          <w:vertAlign w:val="baseline"/>
        </w:rPr>
        <w:t>/d</w:t>
      </w:r>
      <w:r>
        <w:rPr>
          <w:position w:val="2"/>
          <w:vertAlign w:val="baseline"/>
        </w:rPr>
        <w:t>； </w:t>
      </w:r>
      <w:r>
        <w:rPr>
          <w:rFonts w:ascii="Times New Roman" w:hAnsi="Times New Roman" w:eastAsia="Times New Roman"/>
          <w:vertAlign w:val="baseline"/>
        </w:rPr>
        <w:t>erfc——</w:t>
      </w:r>
      <w:r>
        <w:rPr>
          <w:vertAlign w:val="baseline"/>
        </w:rPr>
        <w:t>余误差函数。</w:t>
      </w:r>
    </w:p>
    <w:p>
      <w:pPr>
        <w:pStyle w:val="ListParagraph"/>
        <w:numPr>
          <w:ilvl w:val="4"/>
          <w:numId w:val="30"/>
        </w:numPr>
        <w:tabs>
          <w:tab w:pos="980" w:val="left" w:leader="none"/>
        </w:tabs>
        <w:spacing w:line="240" w:lineRule="auto" w:before="7" w:after="0"/>
        <w:ind w:left="979" w:right="0" w:hanging="282"/>
        <w:jc w:val="left"/>
        <w:rPr>
          <w:sz w:val="24"/>
        </w:rPr>
      </w:pPr>
      <w:r>
        <w:rPr>
          <w:sz w:val="24"/>
        </w:rPr>
        <w:t>参数选取</w:t>
      </w:r>
    </w:p>
    <w:p>
      <w:pPr>
        <w:pStyle w:val="BodyText"/>
        <w:spacing w:before="158"/>
        <w:ind w:left="698"/>
      </w:pPr>
      <w:r>
        <w:rPr/>
        <w:t>本次预测所用模型需要的参数有：岩层的有效孔隙度 </w:t>
      </w:r>
      <w:r>
        <w:rPr>
          <w:rFonts w:ascii="Times New Roman" w:eastAsia="Times New Roman"/>
        </w:rPr>
        <w:t>n</w:t>
      </w:r>
      <w:r>
        <w:rPr/>
        <w:t>、水流速度 </w:t>
      </w:r>
      <w:r>
        <w:rPr>
          <w:rFonts w:ascii="Times New Roman" w:eastAsia="Times New Roman"/>
        </w:rPr>
        <w:t>u</w:t>
      </w:r>
      <w:r>
        <w:rPr/>
        <w:t>、污染物纵向</w:t>
      </w:r>
    </w:p>
    <w:p>
      <w:pPr>
        <w:spacing w:after="0"/>
        <w:sectPr>
          <w:pgSz w:w="11910" w:h="16840"/>
          <w:pgMar w:header="872" w:footer="803" w:top="1320" w:bottom="1000" w:left="1200" w:right="1180"/>
        </w:sectPr>
      </w:pPr>
    </w:p>
    <w:p>
      <w:pPr>
        <w:pStyle w:val="BodyText"/>
        <w:spacing w:line="364" w:lineRule="auto" w:before="83"/>
        <w:ind w:left="218" w:right="235"/>
      </w:pPr>
      <w:r>
        <w:rPr>
          <w:spacing w:val="-11"/>
          <w:position w:val="2"/>
        </w:rPr>
        <w:t>弥散系数 </w:t>
      </w:r>
      <w:r>
        <w:rPr>
          <w:rFonts w:ascii="Times New Roman" w:eastAsia="Times New Roman"/>
          <w:position w:val="2"/>
        </w:rPr>
        <w:t>D</w:t>
      </w:r>
      <w:r>
        <w:rPr>
          <w:rFonts w:ascii="Times New Roman" w:eastAsia="Times New Roman"/>
          <w:sz w:val="16"/>
        </w:rPr>
        <w:t>L</w:t>
      </w:r>
      <w:r>
        <w:rPr>
          <w:spacing w:val="-3"/>
          <w:position w:val="2"/>
        </w:rPr>
        <w:t>，这些参数由《上虞市众联环保有限公司 </w:t>
      </w:r>
      <w:r>
        <w:rPr>
          <w:rFonts w:ascii="Times New Roman" w:eastAsia="Times New Roman"/>
          <w:position w:val="2"/>
        </w:rPr>
        <w:t>380 </w:t>
      </w:r>
      <w:r>
        <w:rPr>
          <w:position w:val="2"/>
        </w:rPr>
        <w:t>亩危废物</w:t>
      </w:r>
      <w:r>
        <w:rPr>
          <w:rFonts w:ascii="Times New Roman" w:eastAsia="Times New Roman"/>
          <w:position w:val="2"/>
        </w:rPr>
        <w:t>/</w:t>
      </w:r>
      <w:r>
        <w:rPr>
          <w:spacing w:val="-2"/>
          <w:position w:val="2"/>
        </w:rPr>
        <w:t>一般工业废物填埋</w:t>
      </w:r>
      <w:r>
        <w:rPr/>
        <w:t>项目岩土工程勘察报告》及类比区域勘察成果资料来确定。</w:t>
      </w:r>
    </w:p>
    <w:p>
      <w:pPr>
        <w:pStyle w:val="BodyText"/>
        <w:ind w:left="698"/>
        <w:rPr>
          <w:rFonts w:ascii="Times New Roman" w:hAnsi="Times New Roman" w:eastAsia="Times New Roman"/>
        </w:rPr>
      </w:pPr>
      <w:r>
        <w:rPr/>
        <w:t>①含水层的平均有效孔隙度 </w:t>
      </w:r>
      <w:r>
        <w:rPr>
          <w:rFonts w:ascii="Times New Roman" w:hAnsi="Times New Roman" w:eastAsia="Times New Roman"/>
        </w:rPr>
        <w:t>ne</w:t>
      </w:r>
    </w:p>
    <w:p>
      <w:pPr>
        <w:pStyle w:val="BodyText"/>
        <w:spacing w:before="158"/>
        <w:ind w:left="698"/>
      </w:pPr>
      <w:r>
        <w:rPr/>
        <w:t>评价区以冲海积粉性土为主的全新统孔隙潜水含水组，</w:t>
      </w:r>
      <w:r>
        <w:rPr>
          <w:rFonts w:ascii="Times New Roman" w:eastAsia="Times New Roman"/>
        </w:rPr>
        <w:t>ne </w:t>
      </w:r>
      <w:r>
        <w:rPr/>
        <w:t>取 </w:t>
      </w:r>
      <w:r>
        <w:rPr>
          <w:rFonts w:ascii="Times New Roman" w:eastAsia="Times New Roman"/>
        </w:rPr>
        <w:t>0.46</w:t>
      </w:r>
      <w:r>
        <w:rPr/>
        <w:t>。</w:t>
      </w:r>
    </w:p>
    <w:p>
      <w:pPr>
        <w:pStyle w:val="BodyText"/>
        <w:spacing w:before="161"/>
        <w:ind w:left="698"/>
        <w:rPr>
          <w:rFonts w:ascii="Times New Roman" w:hAnsi="Times New Roman" w:eastAsia="Times New Roman"/>
        </w:rPr>
      </w:pPr>
      <w:r>
        <w:rPr/>
        <w:t>②渗透系数 </w:t>
      </w:r>
      <w:r>
        <w:rPr>
          <w:rFonts w:ascii="Times New Roman" w:hAnsi="Times New Roman" w:eastAsia="Times New Roman"/>
        </w:rPr>
        <w:t>K</w:t>
      </w:r>
      <w:r>
        <w:rPr/>
        <w:t>、水力坡度 </w:t>
      </w:r>
      <w:r>
        <w:rPr>
          <w:rFonts w:ascii="Times New Roman" w:hAnsi="Times New Roman" w:eastAsia="Times New Roman"/>
        </w:rPr>
        <w:t>I</w:t>
      </w:r>
    </w:p>
    <w:p>
      <w:pPr>
        <w:pStyle w:val="BodyText"/>
        <w:spacing w:line="364" w:lineRule="auto" w:before="158"/>
        <w:ind w:left="218" w:right="229" w:firstLine="480"/>
        <w:jc w:val="both"/>
      </w:pPr>
      <w:r>
        <w:rPr>
          <w:spacing w:val="10"/>
        </w:rPr>
        <w:t>根据资料可知该粘性土孔隙潜水层渗透系数 </w:t>
      </w:r>
      <w:r>
        <w:rPr>
          <w:rFonts w:ascii="Times New Roman" w:hAnsi="Times New Roman" w:eastAsia="Times New Roman"/>
          <w:spacing w:val="3"/>
        </w:rPr>
        <w:t>6.27</w:t>
      </w:r>
      <w:r>
        <w:rPr>
          <w:spacing w:val="3"/>
        </w:rPr>
        <w:t>×</w:t>
      </w:r>
      <w:r>
        <w:rPr>
          <w:rFonts w:ascii="Times New Roman" w:hAnsi="Times New Roman" w:eastAsia="Times New Roman"/>
          <w:spacing w:val="3"/>
        </w:rPr>
        <w:t>10</w:t>
      </w:r>
      <w:r>
        <w:rPr>
          <w:rFonts w:ascii="Times New Roman" w:hAnsi="Times New Roman" w:eastAsia="Times New Roman"/>
          <w:spacing w:val="3"/>
          <w:position w:val="9"/>
          <w:sz w:val="16"/>
        </w:rPr>
        <w:t>-5</w:t>
      </w:r>
      <w:r>
        <w:rPr>
          <w:rFonts w:ascii="Times New Roman" w:hAnsi="Times New Roman" w:eastAsia="Times New Roman"/>
          <w:spacing w:val="3"/>
        </w:rPr>
        <w:t>~3.73</w:t>
      </w:r>
      <w:r>
        <w:rPr>
          <w:spacing w:val="3"/>
        </w:rPr>
        <w:t>×</w:t>
      </w:r>
      <w:r>
        <w:rPr>
          <w:rFonts w:ascii="Times New Roman" w:hAnsi="Times New Roman" w:eastAsia="Times New Roman"/>
          <w:spacing w:val="3"/>
        </w:rPr>
        <w:t>10</w:t>
      </w:r>
      <w:r>
        <w:rPr>
          <w:rFonts w:ascii="Times New Roman" w:hAnsi="Times New Roman" w:eastAsia="Times New Roman"/>
          <w:spacing w:val="3"/>
          <w:position w:val="9"/>
          <w:sz w:val="16"/>
        </w:rPr>
        <w:t>-4</w:t>
      </w:r>
      <w:r>
        <w:rPr>
          <w:rFonts w:ascii="Times New Roman" w:hAnsi="Times New Roman" w:eastAsia="Times New Roman"/>
          <w:spacing w:val="3"/>
        </w:rPr>
        <w:t>cm/s</w:t>
      </w:r>
      <w:r>
        <w:rPr>
          <w:spacing w:val="3"/>
        </w:rPr>
        <w:t>（</w:t>
      </w:r>
      <w:r>
        <w:rPr>
          <w:rFonts w:ascii="Times New Roman" w:hAnsi="Times New Roman" w:eastAsia="Times New Roman"/>
          <w:spacing w:val="3"/>
        </w:rPr>
        <w:t>5.42</w:t>
      </w:r>
      <w:r>
        <w:rPr>
          <w:spacing w:val="3"/>
        </w:rPr>
        <w:t>× </w:t>
      </w:r>
      <w:r>
        <w:rPr>
          <w:rFonts w:ascii="Times New Roman" w:hAnsi="Times New Roman" w:eastAsia="Times New Roman"/>
        </w:rPr>
        <w:t>10</w:t>
      </w:r>
      <w:r>
        <w:rPr>
          <w:rFonts w:ascii="Times New Roman" w:hAnsi="Times New Roman" w:eastAsia="Times New Roman"/>
          <w:spacing w:val="-1"/>
          <w:w w:val="100"/>
          <w:position w:val="9"/>
          <w:sz w:val="16"/>
        </w:rPr>
        <w:t>-</w:t>
      </w:r>
      <w:r>
        <w:rPr>
          <w:rFonts w:ascii="Times New Roman" w:hAnsi="Times New Roman" w:eastAsia="Times New Roman"/>
          <w:spacing w:val="1"/>
          <w:w w:val="100"/>
          <w:position w:val="9"/>
          <w:sz w:val="16"/>
        </w:rPr>
        <w:t>2</w:t>
      </w:r>
      <w:r>
        <w:rPr>
          <w:rFonts w:ascii="Times New Roman" w:hAnsi="Times New Roman" w:eastAsia="Times New Roman"/>
          <w:w w:val="99"/>
        </w:rPr>
        <w:t>~3.2</w:t>
      </w:r>
      <w:r>
        <w:rPr>
          <w:rFonts w:ascii="Times New Roman" w:hAnsi="Times New Roman" w:eastAsia="Times New Roman"/>
          <w:spacing w:val="-1"/>
          <w:w w:val="99"/>
        </w:rPr>
        <w:t>2</w:t>
      </w:r>
      <w:r>
        <w:rPr>
          <w:w w:val="99"/>
        </w:rPr>
        <w:t>×</w:t>
      </w:r>
      <w:r>
        <w:rPr>
          <w:rFonts w:ascii="Times New Roman" w:hAnsi="Times New Roman" w:eastAsia="Times New Roman"/>
          <w:w w:val="99"/>
        </w:rPr>
        <w:t>10</w:t>
      </w:r>
      <w:r>
        <w:rPr>
          <w:rFonts w:ascii="Times New Roman" w:hAnsi="Times New Roman" w:eastAsia="Times New Roman"/>
          <w:spacing w:val="-1"/>
          <w:w w:val="100"/>
          <w:position w:val="9"/>
          <w:sz w:val="16"/>
        </w:rPr>
        <w:t>-</w:t>
      </w:r>
      <w:r>
        <w:rPr>
          <w:rFonts w:ascii="Times New Roman" w:hAnsi="Times New Roman" w:eastAsia="Times New Roman"/>
          <w:spacing w:val="1"/>
          <w:w w:val="100"/>
          <w:position w:val="9"/>
          <w:sz w:val="16"/>
        </w:rPr>
        <w:t>1</w:t>
      </w:r>
      <w:r>
        <w:rPr>
          <w:rFonts w:ascii="Times New Roman" w:hAnsi="Times New Roman" w:eastAsia="Times New Roman"/>
        </w:rPr>
        <w:t>m/d</w:t>
      </w:r>
      <w:r>
        <w:rPr>
          <w:spacing w:val="-120"/>
        </w:rPr>
        <w:t>）</w:t>
      </w:r>
      <w:r>
        <w:rPr>
          <w:spacing w:val="-7"/>
        </w:rPr>
        <w:t>，取平均值则渗透系数 </w:t>
      </w:r>
      <w:r>
        <w:rPr>
          <w:rFonts w:ascii="Times New Roman" w:hAnsi="Times New Roman" w:eastAsia="Times New Roman"/>
          <w:w w:val="99"/>
        </w:rPr>
        <w:t>K</w:t>
      </w:r>
      <w:r>
        <w:rPr>
          <w:rFonts w:ascii="Times New Roman" w:hAnsi="Times New Roman" w:eastAsia="Times New Roman"/>
        </w:rPr>
        <w:t> </w:t>
      </w:r>
      <w:r>
        <w:rPr>
          <w:spacing w:val="-26"/>
        </w:rPr>
        <w:t>为 </w:t>
      </w:r>
      <w:r>
        <w:rPr>
          <w:rFonts w:ascii="Times New Roman" w:hAnsi="Times New Roman" w:eastAsia="Times New Roman"/>
        </w:rPr>
        <w:t>0.188m/d</w:t>
      </w:r>
      <w:r>
        <w:rPr>
          <w:spacing w:val="-6"/>
        </w:rPr>
        <w:t>。地下水水力坡度 </w:t>
      </w:r>
      <w:r>
        <w:rPr>
          <w:rFonts w:ascii="Times New Roman" w:hAnsi="Times New Roman" w:eastAsia="Times New Roman"/>
        </w:rPr>
        <w:t>I </w:t>
      </w:r>
      <w:r>
        <w:rPr/>
        <w:t>取平均值</w:t>
      </w:r>
      <w:r>
        <w:rPr>
          <w:spacing w:val="-30"/>
        </w:rPr>
        <w:t>为 </w:t>
      </w:r>
      <w:r>
        <w:rPr>
          <w:rFonts w:ascii="Times New Roman" w:hAnsi="Times New Roman" w:eastAsia="Times New Roman"/>
        </w:rPr>
        <w:t>0.0078</w:t>
      </w:r>
      <w:r>
        <w:rPr/>
        <w:t>。</w:t>
      </w:r>
    </w:p>
    <w:p>
      <w:pPr>
        <w:pStyle w:val="BodyText"/>
        <w:spacing w:line="307" w:lineRule="exact"/>
        <w:ind w:left="698"/>
        <w:rPr>
          <w:rFonts w:ascii="Times New Roman" w:hAnsi="Times New Roman" w:eastAsia="Times New Roman"/>
        </w:rPr>
      </w:pPr>
      <w:r>
        <w:rPr/>
        <w:t>③水流速度 </w:t>
      </w:r>
      <w:r>
        <w:rPr>
          <w:rFonts w:ascii="Times New Roman" w:hAnsi="Times New Roman" w:eastAsia="Times New Roman"/>
        </w:rPr>
        <w:t>u</w:t>
      </w:r>
    </w:p>
    <w:p>
      <w:pPr>
        <w:pStyle w:val="BodyText"/>
        <w:spacing w:before="161"/>
        <w:ind w:left="698"/>
      </w:pPr>
      <w:r>
        <w:rPr/>
        <w:t>地下水的实际渗透速度：</w:t>
      </w:r>
      <w:r>
        <w:rPr>
          <w:rFonts w:ascii="Times New Roman" w:hAnsi="Times New Roman" w:eastAsia="Times New Roman"/>
        </w:rPr>
        <w:t>u=KI/ne=0.188m/d</w:t>
      </w:r>
      <w:r>
        <w:rPr/>
        <w:t>×</w:t>
      </w:r>
      <w:r>
        <w:rPr>
          <w:rFonts w:ascii="Times New Roman" w:hAnsi="Times New Roman" w:eastAsia="Times New Roman"/>
        </w:rPr>
        <w:t>0.0078/0.46=0.00319m/d</w:t>
      </w:r>
      <w:r>
        <w:rPr/>
        <w:t>。</w:t>
      </w:r>
    </w:p>
    <w:p>
      <w:pPr>
        <w:pStyle w:val="BodyText"/>
        <w:spacing w:before="157"/>
        <w:ind w:left="698"/>
        <w:rPr>
          <w:rFonts w:ascii="Times New Roman" w:hAnsi="Times New Roman" w:eastAsia="Times New Roman"/>
          <w:sz w:val="16"/>
        </w:rPr>
      </w:pPr>
      <w:r>
        <w:rPr>
          <w:position w:val="2"/>
        </w:rPr>
        <w:t>④纵向 </w:t>
      </w:r>
      <w:r>
        <w:rPr>
          <w:rFonts w:ascii="Times New Roman" w:hAnsi="Times New Roman" w:eastAsia="Times New Roman"/>
          <w:position w:val="2"/>
        </w:rPr>
        <w:t>x </w:t>
      </w:r>
      <w:r>
        <w:rPr>
          <w:position w:val="2"/>
        </w:rPr>
        <w:t>方向的弥散系数 </w:t>
      </w:r>
      <w:r>
        <w:rPr>
          <w:rFonts w:ascii="Times New Roman" w:hAnsi="Times New Roman" w:eastAsia="Times New Roman"/>
          <w:position w:val="2"/>
        </w:rPr>
        <w:t>D</w:t>
      </w:r>
      <w:r>
        <w:rPr>
          <w:rFonts w:ascii="Times New Roman" w:hAnsi="Times New Roman" w:eastAsia="Times New Roman"/>
          <w:sz w:val="16"/>
        </w:rPr>
        <w:t>L</w:t>
      </w:r>
    </w:p>
    <w:p>
      <w:pPr>
        <w:pStyle w:val="BodyText"/>
        <w:spacing w:line="362" w:lineRule="auto" w:before="162"/>
        <w:ind w:left="218" w:right="173" w:firstLine="480"/>
      </w:pPr>
      <w:r>
        <w:rPr/>
        <w:t>本次评价主要考虑评价区地下水浅层含水层即全新统孔隙潜水含水组，主要为冲海积粉性土，该层含水层厚度 </w:t>
      </w:r>
      <w:r>
        <w:rPr>
          <w:rFonts w:ascii="Times New Roman" w:eastAsia="Times New Roman"/>
        </w:rPr>
        <w:t>16~20m </w:t>
      </w:r>
      <w:r>
        <w:rPr/>
        <w:t>左右，取平均 </w:t>
      </w:r>
      <w:r>
        <w:rPr>
          <w:rFonts w:ascii="Times New Roman" w:eastAsia="Times New Roman"/>
        </w:rPr>
        <w:t>18m</w:t>
      </w:r>
      <w:r>
        <w:rPr/>
        <w:t>。</w:t>
      </w:r>
    </w:p>
    <w:p>
      <w:pPr>
        <w:pStyle w:val="BodyText"/>
        <w:spacing w:line="362" w:lineRule="auto" w:before="5"/>
        <w:ind w:left="218" w:right="238" w:firstLine="480"/>
      </w:pPr>
      <w:r>
        <w:rPr/>
        <w:t>参考 </w:t>
      </w:r>
      <w:r>
        <w:rPr>
          <w:rFonts w:ascii="Times New Roman" w:eastAsia="Times New Roman"/>
        </w:rPr>
        <w:t>Gelhar </w:t>
      </w:r>
      <w:r>
        <w:rPr/>
        <w:t>等人关于纵向弥散度与观测尺度关系的理论，根据本次场地的研究尺度，模型计算中纵向弥散度选用 </w:t>
      </w:r>
      <w:r>
        <w:rPr>
          <w:rFonts w:ascii="Times New Roman" w:eastAsia="Times New Roman"/>
        </w:rPr>
        <w:t>18m</w:t>
      </w:r>
      <w:r>
        <w:rPr/>
        <w:t>。</w:t>
      </w:r>
    </w:p>
    <w:p>
      <w:pPr>
        <w:pStyle w:val="BodyText"/>
        <w:spacing w:before="5"/>
        <w:ind w:left="698"/>
      </w:pPr>
      <w:r>
        <w:rPr/>
        <w:t>由此估算评估区含水层中的纵向弥散系数：</w:t>
      </w:r>
    </w:p>
    <w:p>
      <w:pPr>
        <w:pStyle w:val="BodyText"/>
        <w:spacing w:before="157"/>
        <w:ind w:left="698"/>
        <w:rPr>
          <w:rFonts w:ascii="Times New Roman" w:hAnsi="Times New Roman"/>
        </w:rPr>
      </w:pPr>
      <w:r>
        <w:rPr>
          <w:rFonts w:ascii="Times New Roman" w:hAnsi="Times New Roman"/>
          <w:position w:val="2"/>
        </w:rPr>
        <w:t>D</w:t>
      </w:r>
      <w:r>
        <w:rPr>
          <w:rFonts w:ascii="Times New Roman" w:hAnsi="Times New Roman"/>
          <w:sz w:val="16"/>
        </w:rPr>
        <w:t>L</w:t>
      </w:r>
      <w:r>
        <w:rPr>
          <w:rFonts w:ascii="Times New Roman" w:hAnsi="Times New Roman"/>
          <w:position w:val="2"/>
        </w:rPr>
        <w:t>=a</w:t>
      </w:r>
      <w:r>
        <w:rPr>
          <w:rFonts w:ascii="Times New Roman" w:hAnsi="Times New Roman"/>
          <w:sz w:val="16"/>
        </w:rPr>
        <w:t>L</w:t>
      </w:r>
      <w:r>
        <w:rPr>
          <w:position w:val="2"/>
        </w:rPr>
        <w:t>×</w:t>
      </w:r>
      <w:r>
        <w:rPr>
          <w:rFonts w:ascii="Times New Roman" w:hAnsi="Times New Roman"/>
          <w:position w:val="2"/>
        </w:rPr>
        <w:t>u=18m</w:t>
      </w:r>
      <w:r>
        <w:rPr>
          <w:position w:val="2"/>
        </w:rPr>
        <w:t>×</w:t>
      </w:r>
      <w:r>
        <w:rPr>
          <w:rFonts w:ascii="Times New Roman" w:hAnsi="Times New Roman"/>
          <w:position w:val="2"/>
        </w:rPr>
        <w:t>0.00319m/d=0.057m</w:t>
      </w:r>
      <w:r>
        <w:rPr>
          <w:rFonts w:ascii="Times New Roman" w:hAnsi="Times New Roman"/>
          <w:position w:val="2"/>
          <w:vertAlign w:val="superscript"/>
        </w:rPr>
        <w:t>2</w:t>
      </w:r>
      <w:r>
        <w:rPr>
          <w:rFonts w:ascii="Times New Roman" w:hAnsi="Times New Roman"/>
          <w:position w:val="2"/>
          <w:vertAlign w:val="baseline"/>
        </w:rPr>
        <w:t>/d</w:t>
      </w:r>
    </w:p>
    <w:p>
      <w:pPr>
        <w:pStyle w:val="BodyText"/>
        <w:spacing w:before="157"/>
        <w:ind w:left="698"/>
      </w:pPr>
      <w:r>
        <w:rPr/>
        <w:t>⑤根据上述方法及项目实际情况，计算参数结果见下表。</w:t>
      </w:r>
    </w:p>
    <w:p>
      <w:pPr>
        <w:pStyle w:val="BodyText"/>
        <w:spacing w:before="5"/>
        <w:rPr>
          <w:sz w:val="23"/>
        </w:rPr>
      </w:pPr>
    </w:p>
    <w:p>
      <w:pPr>
        <w:pStyle w:val="BodyText"/>
        <w:tabs>
          <w:tab w:pos="1219" w:val="left" w:leader="none"/>
        </w:tabs>
        <w:spacing w:after="29"/>
        <w:ind w:right="18"/>
        <w:jc w:val="center"/>
      </w:pPr>
      <w:r>
        <w:rPr/>
        <w:pict>
          <v:line style="position:absolute;mso-position-horizontal-relative:page;mso-position-vertical-relative:paragraph;z-index:-317688832" from="70.944pt,17.399986pt" to="169.94pt,45.119986pt" stroked="true" strokeweight=".48pt" strokecolor="#000000">
            <v:stroke dashstyle="solid"/>
            <w10:wrap type="none"/>
          </v:line>
        </w:pict>
      </w:r>
      <w:r>
        <w:rPr/>
        <w:t>表</w:t>
      </w:r>
      <w:r>
        <w:rPr>
          <w:spacing w:val="-61"/>
        </w:rPr>
        <w:t> </w:t>
      </w:r>
      <w:r>
        <w:rPr>
          <w:rFonts w:ascii="Times New Roman" w:eastAsia="Times New Roman"/>
        </w:rPr>
        <w:t>7.2.3-5</w:t>
        <w:tab/>
      </w:r>
      <w:r>
        <w:rPr/>
        <w:t>计算参数一览表</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0"/>
        <w:gridCol w:w="3104"/>
        <w:gridCol w:w="1964"/>
        <w:gridCol w:w="2024"/>
      </w:tblGrid>
      <w:tr>
        <w:trPr>
          <w:trHeight w:val="273" w:hRule="atLeast"/>
        </w:trPr>
        <w:tc>
          <w:tcPr>
            <w:tcW w:w="1990" w:type="dxa"/>
            <w:vMerge w:val="restart"/>
          </w:tcPr>
          <w:p>
            <w:pPr>
              <w:pStyle w:val="TableParagraph"/>
              <w:spacing w:before="8"/>
              <w:ind w:left="1206"/>
              <w:jc w:val="left"/>
              <w:rPr>
                <w:sz w:val="21"/>
              </w:rPr>
            </w:pPr>
            <w:r>
              <w:rPr>
                <w:sz w:val="21"/>
              </w:rPr>
              <w:t>参数</w:t>
            </w:r>
          </w:p>
          <w:p>
            <w:pPr>
              <w:pStyle w:val="TableParagraph"/>
              <w:spacing w:line="257" w:lineRule="exact" w:before="2"/>
              <w:ind w:left="4"/>
              <w:jc w:val="left"/>
              <w:rPr>
                <w:sz w:val="21"/>
              </w:rPr>
            </w:pPr>
            <w:r>
              <w:rPr>
                <w:sz w:val="21"/>
              </w:rPr>
              <w:t>含水层</w:t>
            </w:r>
          </w:p>
        </w:tc>
        <w:tc>
          <w:tcPr>
            <w:tcW w:w="3104" w:type="dxa"/>
            <w:vMerge w:val="restart"/>
          </w:tcPr>
          <w:p>
            <w:pPr>
              <w:pStyle w:val="TableParagraph"/>
              <w:spacing w:before="142"/>
              <w:ind w:left="500"/>
              <w:jc w:val="left"/>
              <w:rPr>
                <w:rFonts w:ascii="Times New Roman" w:eastAsia="Times New Roman"/>
                <w:sz w:val="21"/>
              </w:rPr>
            </w:pPr>
            <w:r>
              <w:rPr>
                <w:sz w:val="21"/>
              </w:rPr>
              <w:t>地下水实际流速 </w:t>
            </w:r>
            <w:r>
              <w:rPr>
                <w:rFonts w:ascii="Times New Roman" w:eastAsia="Times New Roman"/>
                <w:sz w:val="21"/>
              </w:rPr>
              <w:t>u(m/d)</w:t>
            </w:r>
          </w:p>
        </w:tc>
        <w:tc>
          <w:tcPr>
            <w:tcW w:w="1964" w:type="dxa"/>
            <w:vMerge w:val="restart"/>
          </w:tcPr>
          <w:p>
            <w:pPr>
              <w:pStyle w:val="TableParagraph"/>
              <w:spacing w:line="237" w:lineRule="auto" w:before="24"/>
              <w:ind w:left="712" w:hanging="317"/>
              <w:jc w:val="left"/>
              <w:rPr>
                <w:rFonts w:ascii="Times New Roman" w:eastAsia="Times New Roman"/>
                <w:sz w:val="21"/>
              </w:rPr>
            </w:pPr>
            <w:r>
              <w:rPr>
                <w:sz w:val="21"/>
              </w:rPr>
              <w:t>弥散系数</w:t>
            </w:r>
            <w:r>
              <w:rPr>
                <w:rFonts w:ascii="Times New Roman" w:eastAsia="Times New Roman"/>
                <w:sz w:val="21"/>
              </w:rPr>
              <w:t>DL (m</w:t>
            </w:r>
            <w:r>
              <w:rPr>
                <w:rFonts w:ascii="Times New Roman" w:eastAsia="Times New Roman"/>
                <w:position w:val="7"/>
                <w:sz w:val="14"/>
              </w:rPr>
              <w:t>2</w:t>
            </w:r>
            <w:r>
              <w:rPr>
                <w:rFonts w:ascii="Times New Roman" w:eastAsia="Times New Roman"/>
                <w:sz w:val="21"/>
              </w:rPr>
              <w:t>/d)</w:t>
            </w:r>
          </w:p>
        </w:tc>
        <w:tc>
          <w:tcPr>
            <w:tcW w:w="2024" w:type="dxa"/>
          </w:tcPr>
          <w:p>
            <w:pPr>
              <w:pStyle w:val="TableParagraph"/>
              <w:spacing w:line="250" w:lineRule="exact" w:before="3"/>
              <w:ind w:left="146" w:right="139"/>
              <w:rPr>
                <w:rFonts w:ascii="Times New Roman" w:eastAsia="Times New Roman"/>
                <w:sz w:val="21"/>
              </w:rPr>
            </w:pPr>
            <w:r>
              <w:rPr>
                <w:sz w:val="21"/>
              </w:rPr>
              <w:t>污染源强</w:t>
            </w:r>
            <w:r>
              <w:rPr>
                <w:rFonts w:ascii="Times New Roman" w:eastAsia="Times New Roman"/>
                <w:sz w:val="21"/>
              </w:rPr>
              <w:t>Co(mg/L)</w:t>
            </w:r>
          </w:p>
        </w:tc>
      </w:tr>
      <w:tr>
        <w:trPr>
          <w:trHeight w:val="273" w:hRule="atLeast"/>
        </w:trPr>
        <w:tc>
          <w:tcPr>
            <w:tcW w:w="1990" w:type="dxa"/>
            <w:vMerge/>
            <w:tcBorders>
              <w:top w:val="nil"/>
            </w:tcBorders>
          </w:tcPr>
          <w:p>
            <w:pPr>
              <w:rPr>
                <w:sz w:val="2"/>
                <w:szCs w:val="2"/>
              </w:rPr>
            </w:pPr>
          </w:p>
        </w:tc>
        <w:tc>
          <w:tcPr>
            <w:tcW w:w="3104" w:type="dxa"/>
            <w:vMerge/>
            <w:tcBorders>
              <w:top w:val="nil"/>
            </w:tcBorders>
          </w:tcPr>
          <w:p>
            <w:pPr>
              <w:rPr>
                <w:sz w:val="2"/>
                <w:szCs w:val="2"/>
              </w:rPr>
            </w:pPr>
          </w:p>
        </w:tc>
        <w:tc>
          <w:tcPr>
            <w:tcW w:w="1964" w:type="dxa"/>
            <w:vMerge/>
            <w:tcBorders>
              <w:top w:val="nil"/>
            </w:tcBorders>
          </w:tcPr>
          <w:p>
            <w:pPr>
              <w:rPr>
                <w:sz w:val="2"/>
                <w:szCs w:val="2"/>
              </w:rPr>
            </w:pPr>
          </w:p>
        </w:tc>
        <w:tc>
          <w:tcPr>
            <w:tcW w:w="2024" w:type="dxa"/>
          </w:tcPr>
          <w:p>
            <w:pPr>
              <w:pStyle w:val="TableParagraph"/>
              <w:spacing w:line="252" w:lineRule="exact" w:before="1"/>
              <w:ind w:left="148" w:right="139"/>
              <w:rPr>
                <w:sz w:val="21"/>
              </w:rPr>
            </w:pPr>
            <w:r>
              <w:rPr>
                <w:sz w:val="21"/>
              </w:rPr>
              <w:t>耗氧量</w:t>
            </w:r>
          </w:p>
        </w:tc>
      </w:tr>
      <w:tr>
        <w:trPr>
          <w:trHeight w:val="270" w:hRule="atLeast"/>
        </w:trPr>
        <w:tc>
          <w:tcPr>
            <w:tcW w:w="1990" w:type="dxa"/>
          </w:tcPr>
          <w:p>
            <w:pPr>
              <w:pStyle w:val="TableParagraph"/>
              <w:spacing w:line="250" w:lineRule="exact" w:before="1"/>
              <w:ind w:left="573"/>
              <w:jc w:val="left"/>
              <w:rPr>
                <w:sz w:val="21"/>
              </w:rPr>
            </w:pPr>
            <w:r>
              <w:rPr>
                <w:sz w:val="21"/>
              </w:rPr>
              <w:t>评价区域</w:t>
            </w:r>
          </w:p>
        </w:tc>
        <w:tc>
          <w:tcPr>
            <w:tcW w:w="3104" w:type="dxa"/>
          </w:tcPr>
          <w:p>
            <w:pPr>
              <w:pStyle w:val="TableParagraph"/>
              <w:spacing w:line="236" w:lineRule="exact" w:before="15"/>
              <w:ind w:left="1190" w:right="1181"/>
              <w:rPr>
                <w:rFonts w:ascii="Times New Roman"/>
                <w:sz w:val="21"/>
              </w:rPr>
            </w:pPr>
            <w:r>
              <w:rPr>
                <w:rFonts w:ascii="Times New Roman"/>
                <w:sz w:val="21"/>
              </w:rPr>
              <w:t>0.00319</w:t>
            </w:r>
          </w:p>
        </w:tc>
        <w:tc>
          <w:tcPr>
            <w:tcW w:w="1964" w:type="dxa"/>
          </w:tcPr>
          <w:p>
            <w:pPr>
              <w:pStyle w:val="TableParagraph"/>
              <w:spacing w:line="236" w:lineRule="exact" w:before="15"/>
              <w:ind w:left="727" w:right="714"/>
              <w:rPr>
                <w:rFonts w:ascii="Times New Roman"/>
                <w:sz w:val="21"/>
              </w:rPr>
            </w:pPr>
            <w:r>
              <w:rPr>
                <w:rFonts w:ascii="Times New Roman"/>
                <w:sz w:val="21"/>
              </w:rPr>
              <w:t>0.057</w:t>
            </w:r>
          </w:p>
        </w:tc>
        <w:tc>
          <w:tcPr>
            <w:tcW w:w="2024" w:type="dxa"/>
          </w:tcPr>
          <w:p>
            <w:pPr>
              <w:pStyle w:val="TableParagraph"/>
              <w:spacing w:line="236" w:lineRule="exact" w:before="15"/>
              <w:ind w:left="148" w:right="139"/>
              <w:rPr>
                <w:rFonts w:ascii="Times New Roman"/>
                <w:sz w:val="21"/>
              </w:rPr>
            </w:pPr>
            <w:r>
              <w:rPr>
                <w:rFonts w:ascii="Times New Roman"/>
                <w:sz w:val="21"/>
              </w:rPr>
              <w:t>15000</w:t>
            </w:r>
          </w:p>
        </w:tc>
      </w:tr>
    </w:tbl>
    <w:p>
      <w:pPr>
        <w:pStyle w:val="Heading4"/>
        <w:spacing w:before="2"/>
      </w:pPr>
      <w:r>
        <w:rPr>
          <w:rFonts w:ascii="Times New Roman" w:eastAsia="Times New Roman"/>
        </w:rPr>
        <w:t>6</w:t>
      </w:r>
      <w:r>
        <w:rPr/>
        <w:t>、预测结果</w:t>
      </w:r>
    </w:p>
    <w:p>
      <w:pPr>
        <w:pStyle w:val="BodyText"/>
        <w:spacing w:before="161"/>
        <w:ind w:left="698"/>
      </w:pPr>
      <w:r>
        <w:rPr/>
        <w:t>耗氧量及挥发性酚类污染因子地下运移范围计算结果见下表。</w:t>
      </w:r>
    </w:p>
    <w:p>
      <w:pPr>
        <w:pStyle w:val="BodyText"/>
        <w:spacing w:before="7"/>
        <w:rPr>
          <w:sz w:val="23"/>
        </w:rPr>
      </w:pPr>
    </w:p>
    <w:p>
      <w:pPr>
        <w:pStyle w:val="BodyText"/>
        <w:tabs>
          <w:tab w:pos="1219" w:val="left" w:leader="none"/>
          <w:tab w:pos="5060" w:val="left" w:leader="none"/>
        </w:tabs>
        <w:spacing w:after="29"/>
        <w:ind w:right="18"/>
        <w:jc w:val="center"/>
        <w:rPr>
          <w:rFonts w:ascii="Times New Roman" w:eastAsia="Times New Roman"/>
        </w:rPr>
      </w:pPr>
      <w:r>
        <w:rPr/>
        <w:pict>
          <v:line style="position:absolute;mso-position-horizontal-relative:page;mso-position-vertical-relative:paragraph;z-index:-317687808" from="72.744003pt,17.280001pt" to="104.780003pt,44.550001pt" stroked="true" strokeweight=".48pt" strokecolor="#000000">
            <v:stroke dashstyle="solid"/>
            <w10:wrap type="none"/>
          </v:line>
        </w:pict>
      </w:r>
      <w:r>
        <w:rPr/>
        <w:t>表</w:t>
      </w:r>
      <w:r>
        <w:rPr>
          <w:spacing w:val="-61"/>
        </w:rPr>
        <w:t> </w:t>
      </w:r>
      <w:r>
        <w:rPr>
          <w:rFonts w:ascii="Times New Roman" w:eastAsia="Times New Roman"/>
        </w:rPr>
        <w:t>7.2.3-6</w:t>
        <w:tab/>
      </w:r>
      <w:r>
        <w:rPr/>
        <w:t>耗氧量地下水运移范围预测结果表</w:t>
        <w:tab/>
        <w:t>单位：除注明外</w:t>
      </w:r>
      <w:r>
        <w:rPr>
          <w:spacing w:val="-60"/>
        </w:rPr>
        <w:t> </w:t>
      </w:r>
      <w:r>
        <w:rPr>
          <w:rFonts w:ascii="Times New Roman" w:eastAsia="Times New Roman"/>
        </w:rPr>
        <w:t>mg/L</w:t>
      </w: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0"/>
        <w:gridCol w:w="1192"/>
        <w:gridCol w:w="1195"/>
        <w:gridCol w:w="1192"/>
        <w:gridCol w:w="1195"/>
        <w:gridCol w:w="1192"/>
        <w:gridCol w:w="1194"/>
        <w:gridCol w:w="1192"/>
      </w:tblGrid>
      <w:tr>
        <w:trPr>
          <w:trHeight w:val="545" w:hRule="atLeast"/>
        </w:trPr>
        <w:tc>
          <w:tcPr>
            <w:tcW w:w="650" w:type="dxa"/>
          </w:tcPr>
          <w:p>
            <w:pPr>
              <w:pStyle w:val="TableParagraph"/>
              <w:spacing w:before="1"/>
              <w:ind w:left="225" w:right="-15"/>
              <w:jc w:val="left"/>
              <w:rPr>
                <w:sz w:val="21"/>
              </w:rPr>
            </w:pPr>
            <w:r>
              <w:rPr>
                <w:spacing w:val="-7"/>
                <w:sz w:val="21"/>
              </w:rPr>
              <w:t>时间</w:t>
            </w:r>
          </w:p>
          <w:p>
            <w:pPr>
              <w:pStyle w:val="TableParagraph"/>
              <w:spacing w:line="253" w:lineRule="exact" w:before="2"/>
              <w:ind w:left="4"/>
              <w:jc w:val="left"/>
              <w:rPr>
                <w:sz w:val="21"/>
              </w:rPr>
            </w:pPr>
            <w:r>
              <w:rPr>
                <w:sz w:val="21"/>
              </w:rPr>
              <w:t>距离</w:t>
            </w:r>
          </w:p>
        </w:tc>
        <w:tc>
          <w:tcPr>
            <w:tcW w:w="1192" w:type="dxa"/>
          </w:tcPr>
          <w:p>
            <w:pPr>
              <w:pStyle w:val="TableParagraph"/>
              <w:spacing w:before="151"/>
              <w:ind w:left="179" w:right="166"/>
              <w:rPr>
                <w:rFonts w:ascii="Times New Roman"/>
                <w:sz w:val="21"/>
              </w:rPr>
            </w:pPr>
            <w:r>
              <w:rPr>
                <w:rFonts w:ascii="Times New Roman"/>
                <w:sz w:val="21"/>
              </w:rPr>
              <w:t>30d</w:t>
            </w:r>
          </w:p>
        </w:tc>
        <w:tc>
          <w:tcPr>
            <w:tcW w:w="1195" w:type="dxa"/>
          </w:tcPr>
          <w:p>
            <w:pPr>
              <w:pStyle w:val="TableParagraph"/>
              <w:spacing w:before="151"/>
              <w:ind w:left="182" w:right="170"/>
              <w:rPr>
                <w:rFonts w:ascii="Times New Roman"/>
                <w:sz w:val="21"/>
              </w:rPr>
            </w:pPr>
            <w:r>
              <w:rPr>
                <w:rFonts w:ascii="Times New Roman"/>
                <w:sz w:val="21"/>
              </w:rPr>
              <w:t>100d</w:t>
            </w:r>
          </w:p>
        </w:tc>
        <w:tc>
          <w:tcPr>
            <w:tcW w:w="1192" w:type="dxa"/>
          </w:tcPr>
          <w:p>
            <w:pPr>
              <w:pStyle w:val="TableParagraph"/>
              <w:spacing w:before="151"/>
              <w:ind w:left="180" w:right="166"/>
              <w:rPr>
                <w:rFonts w:ascii="Times New Roman"/>
                <w:sz w:val="21"/>
              </w:rPr>
            </w:pPr>
            <w:r>
              <w:rPr>
                <w:rFonts w:ascii="Times New Roman"/>
                <w:sz w:val="21"/>
              </w:rPr>
              <w:t>1a</w:t>
            </w:r>
          </w:p>
        </w:tc>
        <w:tc>
          <w:tcPr>
            <w:tcW w:w="1195" w:type="dxa"/>
          </w:tcPr>
          <w:p>
            <w:pPr>
              <w:pStyle w:val="TableParagraph"/>
              <w:spacing w:before="151"/>
              <w:ind w:left="182" w:right="167"/>
              <w:rPr>
                <w:rFonts w:ascii="Times New Roman"/>
                <w:sz w:val="21"/>
              </w:rPr>
            </w:pPr>
            <w:r>
              <w:rPr>
                <w:rFonts w:ascii="Times New Roman"/>
                <w:sz w:val="21"/>
              </w:rPr>
              <w:t>1000d</w:t>
            </w:r>
          </w:p>
        </w:tc>
        <w:tc>
          <w:tcPr>
            <w:tcW w:w="1192" w:type="dxa"/>
          </w:tcPr>
          <w:p>
            <w:pPr>
              <w:pStyle w:val="TableParagraph"/>
              <w:spacing w:before="151"/>
              <w:ind w:left="182" w:right="165"/>
              <w:rPr>
                <w:rFonts w:ascii="Times New Roman"/>
                <w:sz w:val="21"/>
              </w:rPr>
            </w:pPr>
            <w:r>
              <w:rPr>
                <w:rFonts w:ascii="Times New Roman"/>
                <w:sz w:val="21"/>
              </w:rPr>
              <w:t>10a</w:t>
            </w:r>
          </w:p>
        </w:tc>
        <w:tc>
          <w:tcPr>
            <w:tcW w:w="1194" w:type="dxa"/>
          </w:tcPr>
          <w:p>
            <w:pPr>
              <w:pStyle w:val="TableParagraph"/>
              <w:spacing w:before="151"/>
              <w:ind w:left="185" w:right="169"/>
              <w:rPr>
                <w:rFonts w:ascii="Times New Roman"/>
                <w:sz w:val="21"/>
              </w:rPr>
            </w:pPr>
            <w:r>
              <w:rPr>
                <w:rFonts w:ascii="Times New Roman"/>
                <w:sz w:val="21"/>
              </w:rPr>
              <w:t>20a</w:t>
            </w:r>
          </w:p>
        </w:tc>
        <w:tc>
          <w:tcPr>
            <w:tcW w:w="1192" w:type="dxa"/>
          </w:tcPr>
          <w:p>
            <w:pPr>
              <w:pStyle w:val="TableParagraph"/>
              <w:spacing w:before="151"/>
              <w:ind w:left="182" w:right="160"/>
              <w:rPr>
                <w:rFonts w:ascii="Times New Roman"/>
                <w:sz w:val="21"/>
              </w:rPr>
            </w:pPr>
            <w:r>
              <w:rPr>
                <w:rFonts w:ascii="Times New Roman"/>
                <w:sz w:val="21"/>
              </w:rPr>
              <w:t>30a</w:t>
            </w:r>
          </w:p>
        </w:tc>
      </w:tr>
      <w:tr>
        <w:trPr>
          <w:trHeight w:val="239" w:hRule="atLeast"/>
        </w:trPr>
        <w:tc>
          <w:tcPr>
            <w:tcW w:w="650" w:type="dxa"/>
          </w:tcPr>
          <w:p>
            <w:pPr>
              <w:pStyle w:val="TableParagraph"/>
              <w:spacing w:line="220" w:lineRule="exact"/>
              <w:ind w:left="112"/>
              <w:jc w:val="left"/>
              <w:rPr>
                <w:rFonts w:ascii="Times New Roman"/>
                <w:sz w:val="21"/>
              </w:rPr>
            </w:pPr>
            <w:r>
              <w:rPr>
                <w:rFonts w:ascii="Times New Roman"/>
                <w:sz w:val="21"/>
              </w:rPr>
              <w:t>0.1m</w:t>
            </w:r>
          </w:p>
        </w:tc>
        <w:tc>
          <w:tcPr>
            <w:tcW w:w="1192" w:type="dxa"/>
          </w:tcPr>
          <w:p>
            <w:pPr>
              <w:pStyle w:val="TableParagraph"/>
              <w:spacing w:line="220" w:lineRule="exact"/>
              <w:ind w:left="201"/>
              <w:jc w:val="left"/>
              <w:rPr>
                <w:rFonts w:ascii="Times New Roman"/>
                <w:sz w:val="21"/>
              </w:rPr>
            </w:pPr>
            <w:r>
              <w:rPr>
                <w:rFonts w:ascii="Times New Roman"/>
                <w:sz w:val="21"/>
              </w:rPr>
              <w:t>14392.55</w:t>
            </w:r>
          </w:p>
        </w:tc>
        <w:tc>
          <w:tcPr>
            <w:tcW w:w="1195" w:type="dxa"/>
          </w:tcPr>
          <w:p>
            <w:pPr>
              <w:pStyle w:val="TableParagraph"/>
              <w:spacing w:line="220" w:lineRule="exact"/>
              <w:ind w:left="181" w:right="172"/>
              <w:rPr>
                <w:rFonts w:ascii="Times New Roman"/>
                <w:sz w:val="21"/>
              </w:rPr>
            </w:pPr>
            <w:r>
              <w:rPr>
                <w:rFonts w:ascii="Times New Roman"/>
                <w:sz w:val="21"/>
              </w:rPr>
              <w:t>14685.09</w:t>
            </w:r>
          </w:p>
        </w:tc>
        <w:tc>
          <w:tcPr>
            <w:tcW w:w="1192" w:type="dxa"/>
          </w:tcPr>
          <w:p>
            <w:pPr>
              <w:pStyle w:val="TableParagraph"/>
              <w:spacing w:line="220" w:lineRule="exact"/>
              <w:ind w:left="180" w:right="166"/>
              <w:rPr>
                <w:rFonts w:ascii="Times New Roman"/>
                <w:sz w:val="21"/>
              </w:rPr>
            </w:pPr>
            <w:r>
              <w:rPr>
                <w:rFonts w:ascii="Times New Roman"/>
                <w:sz w:val="21"/>
              </w:rPr>
              <w:t>14853.02</w:t>
            </w:r>
          </w:p>
        </w:tc>
        <w:tc>
          <w:tcPr>
            <w:tcW w:w="1195" w:type="dxa"/>
          </w:tcPr>
          <w:p>
            <w:pPr>
              <w:pStyle w:val="TableParagraph"/>
              <w:spacing w:line="220" w:lineRule="exact"/>
              <w:ind w:left="182" w:right="170"/>
              <w:rPr>
                <w:rFonts w:ascii="Times New Roman"/>
                <w:sz w:val="21"/>
              </w:rPr>
            </w:pPr>
            <w:r>
              <w:rPr>
                <w:rFonts w:ascii="Times New Roman"/>
                <w:sz w:val="21"/>
              </w:rPr>
              <w:t>14924.71</w:t>
            </w:r>
          </w:p>
        </w:tc>
        <w:tc>
          <w:tcPr>
            <w:tcW w:w="1192" w:type="dxa"/>
          </w:tcPr>
          <w:p>
            <w:pPr>
              <w:pStyle w:val="TableParagraph"/>
              <w:spacing w:line="220" w:lineRule="exact"/>
              <w:ind w:left="182" w:right="165"/>
              <w:rPr>
                <w:rFonts w:ascii="Times New Roman"/>
                <w:sz w:val="21"/>
              </w:rPr>
            </w:pPr>
            <w:r>
              <w:rPr>
                <w:rFonts w:ascii="Times New Roman"/>
                <w:sz w:val="21"/>
              </w:rPr>
              <w:t>14973.92</w:t>
            </w:r>
          </w:p>
        </w:tc>
        <w:tc>
          <w:tcPr>
            <w:tcW w:w="1194" w:type="dxa"/>
          </w:tcPr>
          <w:p>
            <w:pPr>
              <w:pStyle w:val="TableParagraph"/>
              <w:spacing w:line="220" w:lineRule="exact"/>
              <w:ind w:left="185" w:right="169"/>
              <w:rPr>
                <w:rFonts w:ascii="Times New Roman"/>
                <w:sz w:val="21"/>
              </w:rPr>
            </w:pPr>
            <w:r>
              <w:rPr>
                <w:rFonts w:ascii="Times New Roman"/>
                <w:sz w:val="21"/>
              </w:rPr>
              <w:t>14987.62</w:t>
            </w:r>
          </w:p>
        </w:tc>
        <w:tc>
          <w:tcPr>
            <w:tcW w:w="1192" w:type="dxa"/>
          </w:tcPr>
          <w:p>
            <w:pPr>
              <w:pStyle w:val="TableParagraph"/>
              <w:spacing w:line="220" w:lineRule="exact"/>
              <w:ind w:left="182" w:right="160"/>
              <w:rPr>
                <w:rFonts w:ascii="Times New Roman"/>
                <w:sz w:val="21"/>
              </w:rPr>
            </w:pPr>
            <w:r>
              <w:rPr>
                <w:rFonts w:ascii="Times New Roman"/>
                <w:sz w:val="21"/>
              </w:rPr>
              <w:t>14992.75</w:t>
            </w:r>
          </w:p>
        </w:tc>
      </w:tr>
      <w:tr>
        <w:trPr>
          <w:trHeight w:val="241" w:hRule="atLeast"/>
        </w:trPr>
        <w:tc>
          <w:tcPr>
            <w:tcW w:w="650" w:type="dxa"/>
          </w:tcPr>
          <w:p>
            <w:pPr>
              <w:pStyle w:val="TableParagraph"/>
              <w:spacing w:line="221" w:lineRule="exact"/>
              <w:ind w:left="112"/>
              <w:jc w:val="left"/>
              <w:rPr>
                <w:rFonts w:ascii="Times New Roman"/>
                <w:sz w:val="21"/>
              </w:rPr>
            </w:pPr>
            <w:r>
              <w:rPr>
                <w:rFonts w:ascii="Times New Roman"/>
                <w:sz w:val="21"/>
              </w:rPr>
              <w:t>0.5m</w:t>
            </w:r>
          </w:p>
        </w:tc>
        <w:tc>
          <w:tcPr>
            <w:tcW w:w="1192" w:type="dxa"/>
          </w:tcPr>
          <w:p>
            <w:pPr>
              <w:pStyle w:val="TableParagraph"/>
              <w:spacing w:line="221" w:lineRule="exact"/>
              <w:ind w:left="204"/>
              <w:jc w:val="left"/>
              <w:rPr>
                <w:rFonts w:ascii="Times New Roman"/>
                <w:sz w:val="21"/>
              </w:rPr>
            </w:pPr>
            <w:r>
              <w:rPr>
                <w:rFonts w:ascii="Times New Roman"/>
                <w:sz w:val="21"/>
              </w:rPr>
              <w:t>11966.38</w:t>
            </w:r>
          </w:p>
        </w:tc>
        <w:tc>
          <w:tcPr>
            <w:tcW w:w="1195" w:type="dxa"/>
          </w:tcPr>
          <w:p>
            <w:pPr>
              <w:pStyle w:val="TableParagraph"/>
              <w:spacing w:line="221" w:lineRule="exact"/>
              <w:ind w:left="181" w:right="172"/>
              <w:rPr>
                <w:rFonts w:ascii="Times New Roman"/>
                <w:sz w:val="21"/>
              </w:rPr>
            </w:pPr>
            <w:r>
              <w:rPr>
                <w:rFonts w:ascii="Times New Roman"/>
                <w:sz w:val="21"/>
              </w:rPr>
              <w:t>13413.96</w:t>
            </w:r>
          </w:p>
        </w:tc>
        <w:tc>
          <w:tcPr>
            <w:tcW w:w="1192" w:type="dxa"/>
          </w:tcPr>
          <w:p>
            <w:pPr>
              <w:pStyle w:val="TableParagraph"/>
              <w:spacing w:line="221" w:lineRule="exact"/>
              <w:ind w:left="180" w:right="166"/>
              <w:rPr>
                <w:rFonts w:ascii="Times New Roman"/>
                <w:sz w:val="21"/>
              </w:rPr>
            </w:pPr>
            <w:r>
              <w:rPr>
                <w:rFonts w:ascii="Times New Roman"/>
                <w:sz w:val="21"/>
              </w:rPr>
              <w:t>14257.68</w:t>
            </w:r>
          </w:p>
        </w:tc>
        <w:tc>
          <w:tcPr>
            <w:tcW w:w="1195" w:type="dxa"/>
          </w:tcPr>
          <w:p>
            <w:pPr>
              <w:pStyle w:val="TableParagraph"/>
              <w:spacing w:line="221" w:lineRule="exact"/>
              <w:ind w:left="182" w:right="170"/>
              <w:rPr>
                <w:rFonts w:ascii="Times New Roman"/>
                <w:sz w:val="21"/>
              </w:rPr>
            </w:pPr>
            <w:r>
              <w:rPr>
                <w:rFonts w:ascii="Times New Roman"/>
                <w:sz w:val="21"/>
              </w:rPr>
              <w:t>14619.47</w:t>
            </w:r>
          </w:p>
        </w:tc>
        <w:tc>
          <w:tcPr>
            <w:tcW w:w="1192" w:type="dxa"/>
          </w:tcPr>
          <w:p>
            <w:pPr>
              <w:pStyle w:val="TableParagraph"/>
              <w:spacing w:line="221" w:lineRule="exact"/>
              <w:ind w:left="182" w:right="165"/>
              <w:rPr>
                <w:rFonts w:ascii="Times New Roman"/>
                <w:sz w:val="21"/>
              </w:rPr>
            </w:pPr>
            <w:r>
              <w:rPr>
                <w:rFonts w:ascii="Times New Roman"/>
                <w:sz w:val="21"/>
              </w:rPr>
              <w:t>14868.16</w:t>
            </w:r>
          </w:p>
        </w:tc>
        <w:tc>
          <w:tcPr>
            <w:tcW w:w="1194" w:type="dxa"/>
          </w:tcPr>
          <w:p>
            <w:pPr>
              <w:pStyle w:val="TableParagraph"/>
              <w:spacing w:line="221" w:lineRule="exact"/>
              <w:ind w:left="185" w:right="169"/>
              <w:rPr>
                <w:rFonts w:ascii="Times New Roman"/>
                <w:sz w:val="21"/>
              </w:rPr>
            </w:pPr>
            <w:r>
              <w:rPr>
                <w:rFonts w:ascii="Times New Roman"/>
                <w:sz w:val="21"/>
              </w:rPr>
              <w:t>14937.43</w:t>
            </w:r>
          </w:p>
        </w:tc>
        <w:tc>
          <w:tcPr>
            <w:tcW w:w="1192" w:type="dxa"/>
          </w:tcPr>
          <w:p>
            <w:pPr>
              <w:pStyle w:val="TableParagraph"/>
              <w:spacing w:line="221" w:lineRule="exact"/>
              <w:ind w:left="182" w:right="160"/>
              <w:rPr>
                <w:rFonts w:ascii="Times New Roman"/>
                <w:sz w:val="21"/>
              </w:rPr>
            </w:pPr>
            <w:r>
              <w:rPr>
                <w:rFonts w:ascii="Times New Roman"/>
                <w:sz w:val="21"/>
              </w:rPr>
              <w:t>14963.35</w:t>
            </w:r>
          </w:p>
        </w:tc>
      </w:tr>
      <w:tr>
        <w:trPr>
          <w:trHeight w:val="242" w:hRule="atLeast"/>
        </w:trPr>
        <w:tc>
          <w:tcPr>
            <w:tcW w:w="650" w:type="dxa"/>
          </w:tcPr>
          <w:p>
            <w:pPr>
              <w:pStyle w:val="TableParagraph"/>
              <w:spacing w:line="221" w:lineRule="exact"/>
              <w:ind w:left="189"/>
              <w:jc w:val="left"/>
              <w:rPr>
                <w:rFonts w:ascii="Times New Roman"/>
                <w:sz w:val="21"/>
              </w:rPr>
            </w:pPr>
            <w:r>
              <w:rPr>
                <w:rFonts w:ascii="Times New Roman"/>
                <w:sz w:val="21"/>
              </w:rPr>
              <w:t>1m</w:t>
            </w:r>
          </w:p>
        </w:tc>
        <w:tc>
          <w:tcPr>
            <w:tcW w:w="1192" w:type="dxa"/>
          </w:tcPr>
          <w:p>
            <w:pPr>
              <w:pStyle w:val="TableParagraph"/>
              <w:spacing w:line="221" w:lineRule="exact"/>
              <w:ind w:left="254"/>
              <w:jc w:val="left"/>
              <w:rPr>
                <w:rFonts w:ascii="Times New Roman"/>
                <w:sz w:val="21"/>
              </w:rPr>
            </w:pPr>
            <w:r>
              <w:rPr>
                <w:rFonts w:ascii="Times New Roman"/>
                <w:sz w:val="21"/>
              </w:rPr>
              <w:t>9076.76</w:t>
            </w:r>
          </w:p>
        </w:tc>
        <w:tc>
          <w:tcPr>
            <w:tcW w:w="1195" w:type="dxa"/>
          </w:tcPr>
          <w:p>
            <w:pPr>
              <w:pStyle w:val="TableParagraph"/>
              <w:spacing w:line="221" w:lineRule="exact"/>
              <w:ind w:left="179" w:right="172"/>
              <w:rPr>
                <w:rFonts w:ascii="Times New Roman"/>
                <w:sz w:val="21"/>
              </w:rPr>
            </w:pPr>
            <w:r>
              <w:rPr>
                <w:rFonts w:ascii="Times New Roman"/>
                <w:sz w:val="21"/>
              </w:rPr>
              <w:t>11822.05</w:t>
            </w:r>
          </w:p>
        </w:tc>
        <w:tc>
          <w:tcPr>
            <w:tcW w:w="1192" w:type="dxa"/>
          </w:tcPr>
          <w:p>
            <w:pPr>
              <w:pStyle w:val="TableParagraph"/>
              <w:spacing w:line="221" w:lineRule="exact"/>
              <w:ind w:left="180" w:right="166"/>
              <w:rPr>
                <w:rFonts w:ascii="Times New Roman"/>
                <w:sz w:val="21"/>
              </w:rPr>
            </w:pPr>
            <w:r>
              <w:rPr>
                <w:rFonts w:ascii="Times New Roman"/>
                <w:sz w:val="21"/>
              </w:rPr>
              <w:t>13499.92</w:t>
            </w:r>
          </w:p>
        </w:tc>
        <w:tc>
          <w:tcPr>
            <w:tcW w:w="1195" w:type="dxa"/>
          </w:tcPr>
          <w:p>
            <w:pPr>
              <w:pStyle w:val="TableParagraph"/>
              <w:spacing w:line="221" w:lineRule="exact"/>
              <w:ind w:left="182" w:right="170"/>
              <w:rPr>
                <w:rFonts w:ascii="Times New Roman"/>
                <w:sz w:val="21"/>
              </w:rPr>
            </w:pPr>
            <w:r>
              <w:rPr>
                <w:rFonts w:ascii="Times New Roman"/>
                <w:sz w:val="21"/>
              </w:rPr>
              <w:t>14229.35</w:t>
            </w:r>
          </w:p>
        </w:tc>
        <w:tc>
          <w:tcPr>
            <w:tcW w:w="1192" w:type="dxa"/>
          </w:tcPr>
          <w:p>
            <w:pPr>
              <w:pStyle w:val="TableParagraph"/>
              <w:spacing w:line="221" w:lineRule="exact"/>
              <w:ind w:left="182" w:right="165"/>
              <w:rPr>
                <w:rFonts w:ascii="Times New Roman"/>
                <w:sz w:val="21"/>
              </w:rPr>
            </w:pPr>
            <w:r>
              <w:rPr>
                <w:rFonts w:ascii="Times New Roman"/>
                <w:sz w:val="21"/>
              </w:rPr>
              <w:t>14732.74</w:t>
            </w:r>
          </w:p>
        </w:tc>
        <w:tc>
          <w:tcPr>
            <w:tcW w:w="1194" w:type="dxa"/>
          </w:tcPr>
          <w:p>
            <w:pPr>
              <w:pStyle w:val="TableParagraph"/>
              <w:spacing w:line="221" w:lineRule="exact"/>
              <w:ind w:left="185" w:right="169"/>
              <w:rPr>
                <w:rFonts w:ascii="Times New Roman"/>
                <w:sz w:val="21"/>
              </w:rPr>
            </w:pPr>
            <w:r>
              <w:rPr>
                <w:rFonts w:ascii="Times New Roman"/>
                <w:sz w:val="21"/>
              </w:rPr>
              <w:t>14873.12</w:t>
            </w:r>
          </w:p>
        </w:tc>
        <w:tc>
          <w:tcPr>
            <w:tcW w:w="1192" w:type="dxa"/>
          </w:tcPr>
          <w:p>
            <w:pPr>
              <w:pStyle w:val="TableParagraph"/>
              <w:spacing w:line="221" w:lineRule="exact"/>
              <w:ind w:left="182" w:right="160"/>
              <w:rPr>
                <w:rFonts w:ascii="Times New Roman"/>
                <w:sz w:val="21"/>
              </w:rPr>
            </w:pPr>
            <w:r>
              <w:rPr>
                <w:rFonts w:ascii="Times New Roman"/>
                <w:sz w:val="21"/>
              </w:rPr>
              <w:t>14925.68</w:t>
            </w:r>
          </w:p>
        </w:tc>
      </w:tr>
      <w:tr>
        <w:trPr>
          <w:trHeight w:val="241" w:hRule="atLeast"/>
        </w:trPr>
        <w:tc>
          <w:tcPr>
            <w:tcW w:w="650" w:type="dxa"/>
          </w:tcPr>
          <w:p>
            <w:pPr>
              <w:pStyle w:val="TableParagraph"/>
              <w:spacing w:line="221" w:lineRule="exact"/>
              <w:ind w:left="112"/>
              <w:jc w:val="left"/>
              <w:rPr>
                <w:rFonts w:ascii="Times New Roman"/>
                <w:sz w:val="21"/>
              </w:rPr>
            </w:pPr>
            <w:r>
              <w:rPr>
                <w:rFonts w:ascii="Times New Roman"/>
                <w:sz w:val="21"/>
              </w:rPr>
              <w:t>1.5m</w:t>
            </w:r>
          </w:p>
        </w:tc>
        <w:tc>
          <w:tcPr>
            <w:tcW w:w="1192" w:type="dxa"/>
          </w:tcPr>
          <w:p>
            <w:pPr>
              <w:pStyle w:val="TableParagraph"/>
              <w:spacing w:line="221" w:lineRule="exact"/>
              <w:ind w:left="254"/>
              <w:jc w:val="left"/>
              <w:rPr>
                <w:rFonts w:ascii="Times New Roman"/>
                <w:sz w:val="21"/>
              </w:rPr>
            </w:pPr>
            <w:r>
              <w:rPr>
                <w:rFonts w:ascii="Times New Roman"/>
                <w:sz w:val="21"/>
              </w:rPr>
              <w:t>6523.89</w:t>
            </w:r>
          </w:p>
        </w:tc>
        <w:tc>
          <w:tcPr>
            <w:tcW w:w="1195" w:type="dxa"/>
          </w:tcPr>
          <w:p>
            <w:pPr>
              <w:pStyle w:val="TableParagraph"/>
              <w:spacing w:line="221" w:lineRule="exact"/>
              <w:ind w:left="181" w:right="172"/>
              <w:rPr>
                <w:rFonts w:ascii="Times New Roman"/>
                <w:sz w:val="21"/>
              </w:rPr>
            </w:pPr>
            <w:r>
              <w:rPr>
                <w:rFonts w:ascii="Times New Roman"/>
                <w:sz w:val="21"/>
              </w:rPr>
              <w:t>10261.81</w:t>
            </w:r>
          </w:p>
        </w:tc>
        <w:tc>
          <w:tcPr>
            <w:tcW w:w="1192" w:type="dxa"/>
          </w:tcPr>
          <w:p>
            <w:pPr>
              <w:pStyle w:val="TableParagraph"/>
              <w:spacing w:line="221" w:lineRule="exact"/>
              <w:ind w:left="180" w:right="166"/>
              <w:rPr>
                <w:rFonts w:ascii="Times New Roman"/>
                <w:sz w:val="21"/>
              </w:rPr>
            </w:pPr>
            <w:r>
              <w:rPr>
                <w:rFonts w:ascii="Times New Roman"/>
                <w:sz w:val="21"/>
              </w:rPr>
              <w:t>12731.93</w:t>
            </w:r>
          </w:p>
        </w:tc>
        <w:tc>
          <w:tcPr>
            <w:tcW w:w="1195" w:type="dxa"/>
          </w:tcPr>
          <w:p>
            <w:pPr>
              <w:pStyle w:val="TableParagraph"/>
              <w:spacing w:line="221" w:lineRule="exact"/>
              <w:ind w:left="182" w:right="170"/>
              <w:rPr>
                <w:rFonts w:ascii="Times New Roman"/>
                <w:sz w:val="21"/>
              </w:rPr>
            </w:pPr>
            <w:r>
              <w:rPr>
                <w:rFonts w:ascii="Times New Roman"/>
                <w:sz w:val="21"/>
              </w:rPr>
              <w:t>13830.59</w:t>
            </w:r>
          </w:p>
        </w:tc>
        <w:tc>
          <w:tcPr>
            <w:tcW w:w="1192" w:type="dxa"/>
          </w:tcPr>
          <w:p>
            <w:pPr>
              <w:pStyle w:val="TableParagraph"/>
              <w:spacing w:line="221" w:lineRule="exact"/>
              <w:ind w:left="182" w:right="165"/>
              <w:rPr>
                <w:rFonts w:ascii="Times New Roman"/>
                <w:sz w:val="21"/>
              </w:rPr>
            </w:pPr>
            <w:r>
              <w:rPr>
                <w:rFonts w:ascii="Times New Roman"/>
                <w:sz w:val="21"/>
              </w:rPr>
              <w:t>14593.78</w:t>
            </w:r>
          </w:p>
        </w:tc>
        <w:tc>
          <w:tcPr>
            <w:tcW w:w="1194" w:type="dxa"/>
          </w:tcPr>
          <w:p>
            <w:pPr>
              <w:pStyle w:val="TableParagraph"/>
              <w:spacing w:line="221" w:lineRule="exact"/>
              <w:ind w:left="185" w:right="169"/>
              <w:rPr>
                <w:rFonts w:ascii="Times New Roman"/>
                <w:sz w:val="21"/>
              </w:rPr>
            </w:pPr>
            <w:r>
              <w:rPr>
                <w:rFonts w:ascii="Times New Roman"/>
                <w:sz w:val="21"/>
              </w:rPr>
              <w:t>14807.09</w:t>
            </w:r>
          </w:p>
        </w:tc>
        <w:tc>
          <w:tcPr>
            <w:tcW w:w="1192" w:type="dxa"/>
          </w:tcPr>
          <w:p>
            <w:pPr>
              <w:pStyle w:val="TableParagraph"/>
              <w:spacing w:line="221" w:lineRule="exact"/>
              <w:ind w:left="182" w:right="160"/>
              <w:rPr>
                <w:rFonts w:ascii="Times New Roman"/>
                <w:sz w:val="21"/>
              </w:rPr>
            </w:pPr>
            <w:r>
              <w:rPr>
                <w:rFonts w:ascii="Times New Roman"/>
                <w:sz w:val="21"/>
              </w:rPr>
              <w:t>14886.99</w:t>
            </w:r>
          </w:p>
        </w:tc>
      </w:tr>
      <w:tr>
        <w:trPr>
          <w:trHeight w:val="241" w:hRule="atLeast"/>
        </w:trPr>
        <w:tc>
          <w:tcPr>
            <w:tcW w:w="650" w:type="dxa"/>
          </w:tcPr>
          <w:p>
            <w:pPr>
              <w:pStyle w:val="TableParagraph"/>
              <w:spacing w:line="221" w:lineRule="exact"/>
              <w:ind w:left="189"/>
              <w:jc w:val="left"/>
              <w:rPr>
                <w:rFonts w:ascii="Times New Roman"/>
                <w:sz w:val="21"/>
              </w:rPr>
            </w:pPr>
            <w:r>
              <w:rPr>
                <w:rFonts w:ascii="Times New Roman"/>
                <w:sz w:val="21"/>
              </w:rPr>
              <w:t>2m</w:t>
            </w:r>
          </w:p>
        </w:tc>
        <w:tc>
          <w:tcPr>
            <w:tcW w:w="1192" w:type="dxa"/>
          </w:tcPr>
          <w:p>
            <w:pPr>
              <w:pStyle w:val="TableParagraph"/>
              <w:spacing w:line="221" w:lineRule="exact"/>
              <w:ind w:left="254"/>
              <w:jc w:val="left"/>
              <w:rPr>
                <w:rFonts w:ascii="Times New Roman"/>
                <w:sz w:val="21"/>
              </w:rPr>
            </w:pPr>
            <w:r>
              <w:rPr>
                <w:rFonts w:ascii="Times New Roman"/>
                <w:sz w:val="21"/>
              </w:rPr>
              <w:t>4430.32</w:t>
            </w:r>
          </w:p>
        </w:tc>
        <w:tc>
          <w:tcPr>
            <w:tcW w:w="1195" w:type="dxa"/>
          </w:tcPr>
          <w:p>
            <w:pPr>
              <w:pStyle w:val="TableParagraph"/>
              <w:spacing w:line="221" w:lineRule="exact"/>
              <w:ind w:left="181" w:right="172"/>
              <w:rPr>
                <w:rFonts w:ascii="Times New Roman"/>
                <w:sz w:val="21"/>
              </w:rPr>
            </w:pPr>
            <w:r>
              <w:rPr>
                <w:rFonts w:ascii="Times New Roman"/>
                <w:sz w:val="21"/>
              </w:rPr>
              <w:t>8767.94</w:t>
            </w:r>
          </w:p>
        </w:tc>
        <w:tc>
          <w:tcPr>
            <w:tcW w:w="1192" w:type="dxa"/>
          </w:tcPr>
          <w:p>
            <w:pPr>
              <w:pStyle w:val="TableParagraph"/>
              <w:spacing w:line="221" w:lineRule="exact"/>
              <w:ind w:left="177" w:right="166"/>
              <w:rPr>
                <w:rFonts w:ascii="Times New Roman"/>
                <w:sz w:val="21"/>
              </w:rPr>
            </w:pPr>
            <w:r>
              <w:rPr>
                <w:rFonts w:ascii="Times New Roman"/>
                <w:sz w:val="21"/>
              </w:rPr>
              <w:t>11959.06</w:t>
            </w:r>
          </w:p>
        </w:tc>
        <w:tc>
          <w:tcPr>
            <w:tcW w:w="1195" w:type="dxa"/>
          </w:tcPr>
          <w:p>
            <w:pPr>
              <w:pStyle w:val="TableParagraph"/>
              <w:spacing w:line="221" w:lineRule="exact"/>
              <w:ind w:left="182" w:right="170"/>
              <w:rPr>
                <w:rFonts w:ascii="Times New Roman"/>
                <w:sz w:val="21"/>
              </w:rPr>
            </w:pPr>
            <w:r>
              <w:rPr>
                <w:rFonts w:ascii="Times New Roman"/>
                <w:sz w:val="21"/>
              </w:rPr>
              <w:t>13424.21</w:t>
            </w:r>
          </w:p>
        </w:tc>
        <w:tc>
          <w:tcPr>
            <w:tcW w:w="1192" w:type="dxa"/>
          </w:tcPr>
          <w:p>
            <w:pPr>
              <w:pStyle w:val="TableParagraph"/>
              <w:spacing w:line="221" w:lineRule="exact"/>
              <w:ind w:left="182" w:right="165"/>
              <w:rPr>
                <w:rFonts w:ascii="Times New Roman"/>
                <w:sz w:val="21"/>
              </w:rPr>
            </w:pPr>
            <w:r>
              <w:rPr>
                <w:rFonts w:ascii="Times New Roman"/>
                <w:sz w:val="21"/>
              </w:rPr>
              <w:t>14451.36</w:t>
            </w:r>
          </w:p>
        </w:tc>
        <w:tc>
          <w:tcPr>
            <w:tcW w:w="1194" w:type="dxa"/>
          </w:tcPr>
          <w:p>
            <w:pPr>
              <w:pStyle w:val="TableParagraph"/>
              <w:spacing w:line="221" w:lineRule="exact"/>
              <w:ind w:left="185" w:right="169"/>
              <w:rPr>
                <w:rFonts w:ascii="Times New Roman"/>
                <w:sz w:val="21"/>
              </w:rPr>
            </w:pPr>
            <w:r>
              <w:rPr>
                <w:rFonts w:ascii="Times New Roman"/>
                <w:sz w:val="21"/>
              </w:rPr>
              <w:t>14739.32</w:t>
            </w:r>
          </w:p>
        </w:tc>
        <w:tc>
          <w:tcPr>
            <w:tcW w:w="1192" w:type="dxa"/>
          </w:tcPr>
          <w:p>
            <w:pPr>
              <w:pStyle w:val="TableParagraph"/>
              <w:spacing w:line="221" w:lineRule="exact"/>
              <w:ind w:left="182" w:right="160"/>
              <w:rPr>
                <w:rFonts w:ascii="Times New Roman"/>
                <w:sz w:val="21"/>
              </w:rPr>
            </w:pPr>
            <w:r>
              <w:rPr>
                <w:rFonts w:ascii="Times New Roman"/>
                <w:sz w:val="21"/>
              </w:rPr>
              <w:t>14847.26</w:t>
            </w:r>
          </w:p>
        </w:tc>
      </w:tr>
      <w:tr>
        <w:trPr>
          <w:trHeight w:val="239" w:hRule="atLeast"/>
        </w:trPr>
        <w:tc>
          <w:tcPr>
            <w:tcW w:w="650" w:type="dxa"/>
          </w:tcPr>
          <w:p>
            <w:pPr>
              <w:pStyle w:val="TableParagraph"/>
              <w:spacing w:line="220" w:lineRule="exact"/>
              <w:ind w:left="112"/>
              <w:jc w:val="left"/>
              <w:rPr>
                <w:rFonts w:ascii="Times New Roman"/>
                <w:sz w:val="21"/>
              </w:rPr>
            </w:pPr>
            <w:r>
              <w:rPr>
                <w:rFonts w:ascii="Times New Roman"/>
                <w:sz w:val="21"/>
              </w:rPr>
              <w:t>2.5m</w:t>
            </w:r>
          </w:p>
        </w:tc>
        <w:tc>
          <w:tcPr>
            <w:tcW w:w="1192" w:type="dxa"/>
          </w:tcPr>
          <w:p>
            <w:pPr>
              <w:pStyle w:val="TableParagraph"/>
              <w:spacing w:line="220" w:lineRule="exact"/>
              <w:ind w:left="254"/>
              <w:jc w:val="left"/>
              <w:rPr>
                <w:rFonts w:ascii="Times New Roman"/>
                <w:sz w:val="21"/>
              </w:rPr>
            </w:pPr>
            <w:r>
              <w:rPr>
                <w:rFonts w:ascii="Times New Roman"/>
                <w:sz w:val="21"/>
              </w:rPr>
              <w:t>2835.76</w:t>
            </w:r>
          </w:p>
        </w:tc>
        <w:tc>
          <w:tcPr>
            <w:tcW w:w="1195" w:type="dxa"/>
          </w:tcPr>
          <w:p>
            <w:pPr>
              <w:pStyle w:val="TableParagraph"/>
              <w:spacing w:line="220" w:lineRule="exact"/>
              <w:ind w:left="181" w:right="172"/>
              <w:rPr>
                <w:rFonts w:ascii="Times New Roman"/>
                <w:sz w:val="21"/>
              </w:rPr>
            </w:pPr>
            <w:r>
              <w:rPr>
                <w:rFonts w:ascii="Times New Roman"/>
                <w:sz w:val="21"/>
              </w:rPr>
              <w:t>7370.30</w:t>
            </w:r>
          </w:p>
        </w:tc>
        <w:tc>
          <w:tcPr>
            <w:tcW w:w="1192" w:type="dxa"/>
          </w:tcPr>
          <w:p>
            <w:pPr>
              <w:pStyle w:val="TableParagraph"/>
              <w:spacing w:line="220" w:lineRule="exact"/>
              <w:ind w:left="180" w:right="166"/>
              <w:rPr>
                <w:rFonts w:ascii="Times New Roman"/>
                <w:sz w:val="21"/>
              </w:rPr>
            </w:pPr>
            <w:r>
              <w:rPr>
                <w:rFonts w:ascii="Times New Roman"/>
                <w:sz w:val="21"/>
              </w:rPr>
              <w:t>11186.64</w:t>
            </w:r>
          </w:p>
        </w:tc>
        <w:tc>
          <w:tcPr>
            <w:tcW w:w="1195" w:type="dxa"/>
          </w:tcPr>
          <w:p>
            <w:pPr>
              <w:pStyle w:val="TableParagraph"/>
              <w:spacing w:line="220" w:lineRule="exact"/>
              <w:ind w:left="182" w:right="172"/>
              <w:rPr>
                <w:rFonts w:ascii="Times New Roman"/>
                <w:sz w:val="21"/>
              </w:rPr>
            </w:pPr>
            <w:r>
              <w:rPr>
                <w:rFonts w:ascii="Times New Roman"/>
                <w:sz w:val="21"/>
              </w:rPr>
              <w:t>13011.26</w:t>
            </w:r>
          </w:p>
        </w:tc>
        <w:tc>
          <w:tcPr>
            <w:tcW w:w="1192" w:type="dxa"/>
          </w:tcPr>
          <w:p>
            <w:pPr>
              <w:pStyle w:val="TableParagraph"/>
              <w:spacing w:line="220" w:lineRule="exact"/>
              <w:ind w:left="182" w:right="165"/>
              <w:rPr>
                <w:rFonts w:ascii="Times New Roman"/>
                <w:sz w:val="21"/>
              </w:rPr>
            </w:pPr>
            <w:r>
              <w:rPr>
                <w:rFonts w:ascii="Times New Roman"/>
                <w:sz w:val="21"/>
              </w:rPr>
              <w:t>14305.53</w:t>
            </w:r>
          </w:p>
        </w:tc>
        <w:tc>
          <w:tcPr>
            <w:tcW w:w="1194" w:type="dxa"/>
          </w:tcPr>
          <w:p>
            <w:pPr>
              <w:pStyle w:val="TableParagraph"/>
              <w:spacing w:line="220" w:lineRule="exact"/>
              <w:ind w:left="185" w:right="169"/>
              <w:rPr>
                <w:rFonts w:ascii="Times New Roman"/>
                <w:sz w:val="21"/>
              </w:rPr>
            </w:pPr>
            <w:r>
              <w:rPr>
                <w:rFonts w:ascii="Times New Roman"/>
                <w:sz w:val="21"/>
              </w:rPr>
              <w:t>14669.82</w:t>
            </w:r>
          </w:p>
        </w:tc>
        <w:tc>
          <w:tcPr>
            <w:tcW w:w="1192" w:type="dxa"/>
          </w:tcPr>
          <w:p>
            <w:pPr>
              <w:pStyle w:val="TableParagraph"/>
              <w:spacing w:line="220" w:lineRule="exact"/>
              <w:ind w:left="182" w:right="160"/>
              <w:rPr>
                <w:rFonts w:ascii="Times New Roman"/>
                <w:sz w:val="21"/>
              </w:rPr>
            </w:pPr>
            <w:r>
              <w:rPr>
                <w:rFonts w:ascii="Times New Roman"/>
                <w:sz w:val="21"/>
              </w:rPr>
              <w:t>14806.50</w:t>
            </w:r>
          </w:p>
        </w:tc>
      </w:tr>
      <w:tr>
        <w:trPr>
          <w:trHeight w:val="241" w:hRule="atLeast"/>
        </w:trPr>
        <w:tc>
          <w:tcPr>
            <w:tcW w:w="650" w:type="dxa"/>
          </w:tcPr>
          <w:p>
            <w:pPr>
              <w:pStyle w:val="TableParagraph"/>
              <w:spacing w:line="221" w:lineRule="exact"/>
              <w:ind w:left="189"/>
              <w:jc w:val="left"/>
              <w:rPr>
                <w:rFonts w:ascii="Times New Roman"/>
                <w:sz w:val="21"/>
              </w:rPr>
            </w:pPr>
            <w:r>
              <w:rPr>
                <w:rFonts w:ascii="Times New Roman"/>
                <w:sz w:val="21"/>
              </w:rPr>
              <w:t>3m</w:t>
            </w:r>
          </w:p>
        </w:tc>
        <w:tc>
          <w:tcPr>
            <w:tcW w:w="1192" w:type="dxa"/>
          </w:tcPr>
          <w:p>
            <w:pPr>
              <w:pStyle w:val="TableParagraph"/>
              <w:spacing w:line="221" w:lineRule="exact"/>
              <w:ind w:left="254"/>
              <w:jc w:val="left"/>
              <w:rPr>
                <w:rFonts w:ascii="Times New Roman"/>
                <w:sz w:val="21"/>
              </w:rPr>
            </w:pPr>
            <w:r>
              <w:rPr>
                <w:rFonts w:ascii="Times New Roman"/>
                <w:sz w:val="21"/>
              </w:rPr>
              <w:t>1707.41</w:t>
            </w:r>
          </w:p>
        </w:tc>
        <w:tc>
          <w:tcPr>
            <w:tcW w:w="1195" w:type="dxa"/>
          </w:tcPr>
          <w:p>
            <w:pPr>
              <w:pStyle w:val="TableParagraph"/>
              <w:spacing w:line="221" w:lineRule="exact"/>
              <w:ind w:left="181" w:right="172"/>
              <w:rPr>
                <w:rFonts w:ascii="Times New Roman"/>
                <w:sz w:val="21"/>
              </w:rPr>
            </w:pPr>
            <w:r>
              <w:rPr>
                <w:rFonts w:ascii="Times New Roman"/>
                <w:sz w:val="21"/>
              </w:rPr>
              <w:t>6092.26</w:t>
            </w:r>
          </w:p>
        </w:tc>
        <w:tc>
          <w:tcPr>
            <w:tcW w:w="1192" w:type="dxa"/>
          </w:tcPr>
          <w:p>
            <w:pPr>
              <w:pStyle w:val="TableParagraph"/>
              <w:spacing w:line="221" w:lineRule="exact"/>
              <w:ind w:left="180" w:right="166"/>
              <w:rPr>
                <w:rFonts w:ascii="Times New Roman"/>
                <w:sz w:val="21"/>
              </w:rPr>
            </w:pPr>
            <w:r>
              <w:rPr>
                <w:rFonts w:ascii="Times New Roman"/>
                <w:sz w:val="21"/>
              </w:rPr>
              <w:t>10419.93</w:t>
            </w:r>
          </w:p>
        </w:tc>
        <w:tc>
          <w:tcPr>
            <w:tcW w:w="1195" w:type="dxa"/>
          </w:tcPr>
          <w:p>
            <w:pPr>
              <w:pStyle w:val="TableParagraph"/>
              <w:spacing w:line="221" w:lineRule="exact"/>
              <w:ind w:left="182" w:right="170"/>
              <w:rPr>
                <w:rFonts w:ascii="Times New Roman"/>
                <w:sz w:val="21"/>
              </w:rPr>
            </w:pPr>
            <w:r>
              <w:rPr>
                <w:rFonts w:ascii="Times New Roman"/>
                <w:sz w:val="21"/>
              </w:rPr>
              <w:t>12592.79</w:t>
            </w:r>
          </w:p>
        </w:tc>
        <w:tc>
          <w:tcPr>
            <w:tcW w:w="1192" w:type="dxa"/>
          </w:tcPr>
          <w:p>
            <w:pPr>
              <w:pStyle w:val="TableParagraph"/>
              <w:spacing w:line="221" w:lineRule="exact"/>
              <w:ind w:left="182" w:right="165"/>
              <w:rPr>
                <w:rFonts w:ascii="Times New Roman"/>
                <w:sz w:val="21"/>
              </w:rPr>
            </w:pPr>
            <w:r>
              <w:rPr>
                <w:rFonts w:ascii="Times New Roman"/>
                <w:sz w:val="21"/>
              </w:rPr>
              <w:t>14156.37</w:t>
            </w:r>
          </w:p>
        </w:tc>
        <w:tc>
          <w:tcPr>
            <w:tcW w:w="1194" w:type="dxa"/>
          </w:tcPr>
          <w:p>
            <w:pPr>
              <w:pStyle w:val="TableParagraph"/>
              <w:spacing w:line="221" w:lineRule="exact"/>
              <w:ind w:left="185" w:right="169"/>
              <w:rPr>
                <w:rFonts w:ascii="Times New Roman"/>
                <w:sz w:val="21"/>
              </w:rPr>
            </w:pPr>
            <w:r>
              <w:rPr>
                <w:rFonts w:ascii="Times New Roman"/>
                <w:sz w:val="21"/>
              </w:rPr>
              <w:t>14598.60</w:t>
            </w:r>
          </w:p>
        </w:tc>
        <w:tc>
          <w:tcPr>
            <w:tcW w:w="1192" w:type="dxa"/>
          </w:tcPr>
          <w:p>
            <w:pPr>
              <w:pStyle w:val="TableParagraph"/>
              <w:spacing w:line="221" w:lineRule="exact"/>
              <w:ind w:left="182" w:right="160"/>
              <w:rPr>
                <w:rFonts w:ascii="Times New Roman"/>
                <w:sz w:val="21"/>
              </w:rPr>
            </w:pPr>
            <w:r>
              <w:rPr>
                <w:rFonts w:ascii="Times New Roman"/>
                <w:sz w:val="21"/>
              </w:rPr>
              <w:t>14764.69</w:t>
            </w:r>
          </w:p>
        </w:tc>
      </w:tr>
      <w:tr>
        <w:trPr>
          <w:trHeight w:val="242" w:hRule="atLeast"/>
        </w:trPr>
        <w:tc>
          <w:tcPr>
            <w:tcW w:w="650" w:type="dxa"/>
          </w:tcPr>
          <w:p>
            <w:pPr>
              <w:pStyle w:val="TableParagraph"/>
              <w:spacing w:line="221" w:lineRule="exact"/>
              <w:ind w:left="112"/>
              <w:jc w:val="left"/>
              <w:rPr>
                <w:rFonts w:ascii="Times New Roman"/>
                <w:sz w:val="21"/>
              </w:rPr>
            </w:pPr>
            <w:r>
              <w:rPr>
                <w:rFonts w:ascii="Times New Roman"/>
                <w:sz w:val="21"/>
              </w:rPr>
              <w:t>3.5m</w:t>
            </w:r>
          </w:p>
        </w:tc>
        <w:tc>
          <w:tcPr>
            <w:tcW w:w="1192" w:type="dxa"/>
          </w:tcPr>
          <w:p>
            <w:pPr>
              <w:pStyle w:val="TableParagraph"/>
              <w:spacing w:line="221" w:lineRule="exact"/>
              <w:ind w:left="307"/>
              <w:jc w:val="left"/>
              <w:rPr>
                <w:rFonts w:ascii="Times New Roman"/>
                <w:sz w:val="21"/>
              </w:rPr>
            </w:pPr>
            <w:r>
              <w:rPr>
                <w:rFonts w:ascii="Times New Roman"/>
                <w:sz w:val="21"/>
              </w:rPr>
              <w:t>965.41</w:t>
            </w:r>
          </w:p>
        </w:tc>
        <w:tc>
          <w:tcPr>
            <w:tcW w:w="1195" w:type="dxa"/>
          </w:tcPr>
          <w:p>
            <w:pPr>
              <w:pStyle w:val="TableParagraph"/>
              <w:spacing w:line="221" w:lineRule="exact"/>
              <w:ind w:left="181" w:right="172"/>
              <w:rPr>
                <w:rFonts w:ascii="Times New Roman"/>
                <w:sz w:val="21"/>
              </w:rPr>
            </w:pPr>
            <w:r>
              <w:rPr>
                <w:rFonts w:ascii="Times New Roman"/>
                <w:sz w:val="21"/>
              </w:rPr>
              <w:t>4949.79</w:t>
            </w:r>
          </w:p>
        </w:tc>
        <w:tc>
          <w:tcPr>
            <w:tcW w:w="1192" w:type="dxa"/>
          </w:tcPr>
          <w:p>
            <w:pPr>
              <w:pStyle w:val="TableParagraph"/>
              <w:spacing w:line="221" w:lineRule="exact"/>
              <w:ind w:left="180" w:right="166"/>
              <w:rPr>
                <w:rFonts w:ascii="Times New Roman"/>
                <w:sz w:val="21"/>
              </w:rPr>
            </w:pPr>
            <w:r>
              <w:rPr>
                <w:rFonts w:ascii="Times New Roman"/>
                <w:sz w:val="21"/>
              </w:rPr>
              <w:t>9663.98</w:t>
            </w:r>
          </w:p>
        </w:tc>
        <w:tc>
          <w:tcPr>
            <w:tcW w:w="1195" w:type="dxa"/>
          </w:tcPr>
          <w:p>
            <w:pPr>
              <w:pStyle w:val="TableParagraph"/>
              <w:spacing w:line="221" w:lineRule="exact"/>
              <w:ind w:left="182" w:right="170"/>
              <w:rPr>
                <w:rFonts w:ascii="Times New Roman"/>
                <w:sz w:val="21"/>
              </w:rPr>
            </w:pPr>
            <w:r>
              <w:rPr>
                <w:rFonts w:ascii="Times New Roman"/>
                <w:sz w:val="21"/>
              </w:rPr>
              <w:t>12169.93</w:t>
            </w:r>
          </w:p>
        </w:tc>
        <w:tc>
          <w:tcPr>
            <w:tcW w:w="1192" w:type="dxa"/>
          </w:tcPr>
          <w:p>
            <w:pPr>
              <w:pStyle w:val="TableParagraph"/>
              <w:spacing w:line="221" w:lineRule="exact"/>
              <w:ind w:left="182" w:right="165"/>
              <w:rPr>
                <w:rFonts w:ascii="Times New Roman"/>
                <w:sz w:val="21"/>
              </w:rPr>
            </w:pPr>
            <w:r>
              <w:rPr>
                <w:rFonts w:ascii="Times New Roman"/>
                <w:sz w:val="21"/>
              </w:rPr>
              <w:t>14003.96</w:t>
            </w:r>
          </w:p>
        </w:tc>
        <w:tc>
          <w:tcPr>
            <w:tcW w:w="1194" w:type="dxa"/>
          </w:tcPr>
          <w:p>
            <w:pPr>
              <w:pStyle w:val="TableParagraph"/>
              <w:spacing w:line="221" w:lineRule="exact"/>
              <w:ind w:left="185" w:right="169"/>
              <w:rPr>
                <w:rFonts w:ascii="Times New Roman"/>
                <w:sz w:val="21"/>
              </w:rPr>
            </w:pPr>
            <w:r>
              <w:rPr>
                <w:rFonts w:ascii="Times New Roman"/>
                <w:sz w:val="21"/>
              </w:rPr>
              <w:t>14525.64</w:t>
            </w:r>
          </w:p>
        </w:tc>
        <w:tc>
          <w:tcPr>
            <w:tcW w:w="1192" w:type="dxa"/>
          </w:tcPr>
          <w:p>
            <w:pPr>
              <w:pStyle w:val="TableParagraph"/>
              <w:spacing w:line="221" w:lineRule="exact"/>
              <w:ind w:left="182" w:right="160"/>
              <w:rPr>
                <w:rFonts w:ascii="Times New Roman"/>
                <w:sz w:val="21"/>
              </w:rPr>
            </w:pPr>
            <w:r>
              <w:rPr>
                <w:rFonts w:ascii="Times New Roman"/>
                <w:sz w:val="21"/>
              </w:rPr>
              <w:t>14721.83</w:t>
            </w:r>
          </w:p>
        </w:tc>
      </w:tr>
      <w:tr>
        <w:trPr>
          <w:trHeight w:val="241" w:hRule="atLeast"/>
        </w:trPr>
        <w:tc>
          <w:tcPr>
            <w:tcW w:w="650" w:type="dxa"/>
          </w:tcPr>
          <w:p>
            <w:pPr>
              <w:pStyle w:val="TableParagraph"/>
              <w:spacing w:line="221" w:lineRule="exact"/>
              <w:ind w:left="189"/>
              <w:jc w:val="left"/>
              <w:rPr>
                <w:rFonts w:ascii="Times New Roman"/>
                <w:sz w:val="21"/>
              </w:rPr>
            </w:pPr>
            <w:r>
              <w:rPr>
                <w:rFonts w:ascii="Times New Roman"/>
                <w:sz w:val="21"/>
              </w:rPr>
              <w:t>4m</w:t>
            </w:r>
          </w:p>
        </w:tc>
        <w:tc>
          <w:tcPr>
            <w:tcW w:w="1192" w:type="dxa"/>
          </w:tcPr>
          <w:p>
            <w:pPr>
              <w:pStyle w:val="TableParagraph"/>
              <w:spacing w:line="221" w:lineRule="exact"/>
              <w:ind w:left="309"/>
              <w:jc w:val="left"/>
              <w:rPr>
                <w:rFonts w:ascii="Times New Roman"/>
                <w:sz w:val="21"/>
              </w:rPr>
            </w:pPr>
            <w:r>
              <w:rPr>
                <w:rFonts w:ascii="Times New Roman"/>
                <w:sz w:val="21"/>
              </w:rPr>
              <w:t>511.91</w:t>
            </w:r>
          </w:p>
        </w:tc>
        <w:tc>
          <w:tcPr>
            <w:tcW w:w="1195" w:type="dxa"/>
          </w:tcPr>
          <w:p>
            <w:pPr>
              <w:pStyle w:val="TableParagraph"/>
              <w:spacing w:line="221" w:lineRule="exact"/>
              <w:ind w:left="181" w:right="172"/>
              <w:rPr>
                <w:rFonts w:ascii="Times New Roman"/>
                <w:sz w:val="21"/>
              </w:rPr>
            </w:pPr>
            <w:r>
              <w:rPr>
                <w:rFonts w:ascii="Times New Roman"/>
                <w:sz w:val="21"/>
              </w:rPr>
              <w:t>3951.30</w:t>
            </w:r>
          </w:p>
        </w:tc>
        <w:tc>
          <w:tcPr>
            <w:tcW w:w="1192" w:type="dxa"/>
          </w:tcPr>
          <w:p>
            <w:pPr>
              <w:pStyle w:val="TableParagraph"/>
              <w:spacing w:line="221" w:lineRule="exact"/>
              <w:ind w:left="180" w:right="166"/>
              <w:rPr>
                <w:rFonts w:ascii="Times New Roman"/>
                <w:sz w:val="21"/>
              </w:rPr>
            </w:pPr>
            <w:r>
              <w:rPr>
                <w:rFonts w:ascii="Times New Roman"/>
                <w:sz w:val="21"/>
              </w:rPr>
              <w:t>8923.58</w:t>
            </w:r>
          </w:p>
        </w:tc>
        <w:tc>
          <w:tcPr>
            <w:tcW w:w="1195" w:type="dxa"/>
          </w:tcPr>
          <w:p>
            <w:pPr>
              <w:pStyle w:val="TableParagraph"/>
              <w:spacing w:line="221" w:lineRule="exact"/>
              <w:ind w:left="182" w:right="172"/>
              <w:rPr>
                <w:rFonts w:ascii="Times New Roman"/>
                <w:sz w:val="21"/>
              </w:rPr>
            </w:pPr>
            <w:r>
              <w:rPr>
                <w:rFonts w:ascii="Times New Roman"/>
                <w:sz w:val="21"/>
              </w:rPr>
              <w:t>11743.79</w:t>
            </w:r>
          </w:p>
        </w:tc>
        <w:tc>
          <w:tcPr>
            <w:tcW w:w="1192" w:type="dxa"/>
          </w:tcPr>
          <w:p>
            <w:pPr>
              <w:pStyle w:val="TableParagraph"/>
              <w:spacing w:line="221" w:lineRule="exact"/>
              <w:ind w:left="182" w:right="165"/>
              <w:rPr>
                <w:rFonts w:ascii="Times New Roman"/>
                <w:sz w:val="21"/>
              </w:rPr>
            </w:pPr>
            <w:r>
              <w:rPr>
                <w:rFonts w:ascii="Times New Roman"/>
                <w:sz w:val="21"/>
              </w:rPr>
              <w:t>13848.38</w:t>
            </w:r>
          </w:p>
        </w:tc>
        <w:tc>
          <w:tcPr>
            <w:tcW w:w="1194" w:type="dxa"/>
          </w:tcPr>
          <w:p>
            <w:pPr>
              <w:pStyle w:val="TableParagraph"/>
              <w:spacing w:line="221" w:lineRule="exact"/>
              <w:ind w:left="185" w:right="169"/>
              <w:rPr>
                <w:rFonts w:ascii="Times New Roman"/>
                <w:sz w:val="21"/>
              </w:rPr>
            </w:pPr>
            <w:r>
              <w:rPr>
                <w:rFonts w:ascii="Times New Roman"/>
                <w:sz w:val="21"/>
              </w:rPr>
              <w:t>14450.97</w:t>
            </w:r>
          </w:p>
        </w:tc>
        <w:tc>
          <w:tcPr>
            <w:tcW w:w="1192" w:type="dxa"/>
          </w:tcPr>
          <w:p>
            <w:pPr>
              <w:pStyle w:val="TableParagraph"/>
              <w:spacing w:line="221" w:lineRule="exact"/>
              <w:ind w:left="182" w:right="160"/>
              <w:rPr>
                <w:rFonts w:ascii="Times New Roman"/>
                <w:sz w:val="21"/>
              </w:rPr>
            </w:pPr>
            <w:r>
              <w:rPr>
                <w:rFonts w:ascii="Times New Roman"/>
                <w:sz w:val="21"/>
              </w:rPr>
              <w:t>14677.92</w:t>
            </w:r>
          </w:p>
        </w:tc>
      </w:tr>
    </w:tbl>
    <w:p>
      <w:pPr>
        <w:spacing w:after="0" w:line="221" w:lineRule="exact"/>
        <w:rPr>
          <w:rFonts w:ascii="Times New Roman"/>
          <w:sz w:val="21"/>
        </w:rPr>
        <w:sectPr>
          <w:pgSz w:w="11910" w:h="16840"/>
          <w:pgMar w:header="872" w:footer="803" w:top="1320" w:bottom="1000" w:left="1200" w:right="1180"/>
        </w:sectPr>
      </w:pPr>
    </w:p>
    <w:p>
      <w:pPr>
        <w:pStyle w:val="BodyText"/>
        <w:spacing w:before="1"/>
        <w:rPr>
          <w:rFonts w:ascii="Times New Roman"/>
          <w:sz w:val="7"/>
        </w:rPr>
      </w:pPr>
      <w:r>
        <w:rPr/>
        <w:pict>
          <v:line style="position:absolute;mso-position-horizontal-relative:page;mso-position-vertical-relative:page;z-index:-317685760" from="72.744003pt,71.399986pt" to="104.780003pt,98.659986pt" stroked="true" strokeweight=".48pt" strokecolor="#000000">
            <v:stroke dashstyle="solid"/>
            <w10:wrap type="none"/>
          </v:line>
        </w:pict>
      </w: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0"/>
        <w:gridCol w:w="1192"/>
        <w:gridCol w:w="1195"/>
        <w:gridCol w:w="1192"/>
        <w:gridCol w:w="1195"/>
        <w:gridCol w:w="1192"/>
        <w:gridCol w:w="1194"/>
        <w:gridCol w:w="1192"/>
      </w:tblGrid>
      <w:tr>
        <w:trPr>
          <w:trHeight w:val="544" w:hRule="atLeast"/>
        </w:trPr>
        <w:tc>
          <w:tcPr>
            <w:tcW w:w="650" w:type="dxa"/>
          </w:tcPr>
          <w:p>
            <w:pPr>
              <w:pStyle w:val="TableParagraph"/>
              <w:spacing w:before="1"/>
              <w:ind w:left="225" w:right="-15"/>
              <w:jc w:val="left"/>
              <w:rPr>
                <w:sz w:val="21"/>
              </w:rPr>
            </w:pPr>
            <w:r>
              <w:rPr>
                <w:spacing w:val="-7"/>
                <w:sz w:val="21"/>
              </w:rPr>
              <w:t>时间</w:t>
            </w:r>
          </w:p>
          <w:p>
            <w:pPr>
              <w:pStyle w:val="TableParagraph"/>
              <w:spacing w:line="252" w:lineRule="exact" w:before="2"/>
              <w:ind w:left="4"/>
              <w:jc w:val="left"/>
              <w:rPr>
                <w:sz w:val="21"/>
              </w:rPr>
            </w:pPr>
            <w:r>
              <w:rPr>
                <w:sz w:val="21"/>
              </w:rPr>
              <w:t>距离</w:t>
            </w:r>
          </w:p>
        </w:tc>
        <w:tc>
          <w:tcPr>
            <w:tcW w:w="1192" w:type="dxa"/>
          </w:tcPr>
          <w:p>
            <w:pPr>
              <w:pStyle w:val="TableParagraph"/>
              <w:spacing w:before="152"/>
              <w:ind w:left="179" w:right="166"/>
              <w:rPr>
                <w:rFonts w:ascii="Times New Roman"/>
                <w:sz w:val="21"/>
              </w:rPr>
            </w:pPr>
            <w:r>
              <w:rPr>
                <w:rFonts w:ascii="Times New Roman"/>
                <w:sz w:val="21"/>
              </w:rPr>
              <w:t>30d</w:t>
            </w:r>
          </w:p>
        </w:tc>
        <w:tc>
          <w:tcPr>
            <w:tcW w:w="1195" w:type="dxa"/>
          </w:tcPr>
          <w:p>
            <w:pPr>
              <w:pStyle w:val="TableParagraph"/>
              <w:spacing w:before="152"/>
              <w:ind w:left="387"/>
              <w:jc w:val="left"/>
              <w:rPr>
                <w:rFonts w:ascii="Times New Roman"/>
                <w:sz w:val="21"/>
              </w:rPr>
            </w:pPr>
            <w:r>
              <w:rPr>
                <w:rFonts w:ascii="Times New Roman"/>
                <w:sz w:val="21"/>
              </w:rPr>
              <w:t>100d</w:t>
            </w:r>
          </w:p>
        </w:tc>
        <w:tc>
          <w:tcPr>
            <w:tcW w:w="1192" w:type="dxa"/>
          </w:tcPr>
          <w:p>
            <w:pPr>
              <w:pStyle w:val="TableParagraph"/>
              <w:spacing w:before="152"/>
              <w:ind w:left="180" w:right="166"/>
              <w:rPr>
                <w:rFonts w:ascii="Times New Roman"/>
                <w:sz w:val="21"/>
              </w:rPr>
            </w:pPr>
            <w:r>
              <w:rPr>
                <w:rFonts w:ascii="Times New Roman"/>
                <w:sz w:val="21"/>
              </w:rPr>
              <w:t>1a</w:t>
            </w:r>
          </w:p>
        </w:tc>
        <w:tc>
          <w:tcPr>
            <w:tcW w:w="1195" w:type="dxa"/>
          </w:tcPr>
          <w:p>
            <w:pPr>
              <w:pStyle w:val="TableParagraph"/>
              <w:spacing w:before="152"/>
              <w:ind w:left="182" w:right="167"/>
              <w:rPr>
                <w:rFonts w:ascii="Times New Roman"/>
                <w:sz w:val="21"/>
              </w:rPr>
            </w:pPr>
            <w:r>
              <w:rPr>
                <w:rFonts w:ascii="Times New Roman"/>
                <w:sz w:val="21"/>
              </w:rPr>
              <w:t>1000d</w:t>
            </w:r>
          </w:p>
        </w:tc>
        <w:tc>
          <w:tcPr>
            <w:tcW w:w="1192" w:type="dxa"/>
          </w:tcPr>
          <w:p>
            <w:pPr>
              <w:pStyle w:val="TableParagraph"/>
              <w:spacing w:before="152"/>
              <w:ind w:left="182" w:right="165"/>
              <w:rPr>
                <w:rFonts w:ascii="Times New Roman"/>
                <w:sz w:val="21"/>
              </w:rPr>
            </w:pPr>
            <w:r>
              <w:rPr>
                <w:rFonts w:ascii="Times New Roman"/>
                <w:sz w:val="21"/>
              </w:rPr>
              <w:t>10a</w:t>
            </w:r>
          </w:p>
        </w:tc>
        <w:tc>
          <w:tcPr>
            <w:tcW w:w="1194" w:type="dxa"/>
          </w:tcPr>
          <w:p>
            <w:pPr>
              <w:pStyle w:val="TableParagraph"/>
              <w:spacing w:before="152"/>
              <w:ind w:left="185" w:right="169"/>
              <w:rPr>
                <w:rFonts w:ascii="Times New Roman"/>
                <w:sz w:val="21"/>
              </w:rPr>
            </w:pPr>
            <w:r>
              <w:rPr>
                <w:rFonts w:ascii="Times New Roman"/>
                <w:sz w:val="21"/>
              </w:rPr>
              <w:t>20a</w:t>
            </w:r>
          </w:p>
        </w:tc>
        <w:tc>
          <w:tcPr>
            <w:tcW w:w="1192" w:type="dxa"/>
          </w:tcPr>
          <w:p>
            <w:pPr>
              <w:pStyle w:val="TableParagraph"/>
              <w:spacing w:before="152"/>
              <w:ind w:left="182" w:right="160"/>
              <w:rPr>
                <w:rFonts w:ascii="Times New Roman"/>
                <w:sz w:val="21"/>
              </w:rPr>
            </w:pPr>
            <w:r>
              <w:rPr>
                <w:rFonts w:ascii="Times New Roman"/>
                <w:sz w:val="21"/>
              </w:rPr>
              <w:t>30a</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4.5m</w:t>
            </w:r>
          </w:p>
        </w:tc>
        <w:tc>
          <w:tcPr>
            <w:tcW w:w="1192" w:type="dxa"/>
          </w:tcPr>
          <w:p>
            <w:pPr>
              <w:pStyle w:val="TableParagraph"/>
              <w:spacing w:line="221" w:lineRule="exact"/>
              <w:ind w:left="179" w:right="166"/>
              <w:rPr>
                <w:rFonts w:ascii="Times New Roman"/>
                <w:sz w:val="21"/>
              </w:rPr>
            </w:pPr>
            <w:r>
              <w:rPr>
                <w:rFonts w:ascii="Times New Roman"/>
                <w:sz w:val="21"/>
              </w:rPr>
              <w:t>254.26</w:t>
            </w:r>
          </w:p>
        </w:tc>
        <w:tc>
          <w:tcPr>
            <w:tcW w:w="1195" w:type="dxa"/>
          </w:tcPr>
          <w:p>
            <w:pPr>
              <w:pStyle w:val="TableParagraph"/>
              <w:spacing w:line="221" w:lineRule="exact"/>
              <w:ind w:right="243"/>
              <w:jc w:val="right"/>
              <w:rPr>
                <w:rFonts w:ascii="Times New Roman"/>
                <w:sz w:val="21"/>
              </w:rPr>
            </w:pPr>
            <w:r>
              <w:rPr>
                <w:rFonts w:ascii="Times New Roman"/>
                <w:sz w:val="21"/>
              </w:rPr>
              <w:t>3098.02</w:t>
            </w:r>
          </w:p>
        </w:tc>
        <w:tc>
          <w:tcPr>
            <w:tcW w:w="1192" w:type="dxa"/>
          </w:tcPr>
          <w:p>
            <w:pPr>
              <w:pStyle w:val="TableParagraph"/>
              <w:spacing w:line="221" w:lineRule="exact"/>
              <w:ind w:left="180" w:right="166"/>
              <w:rPr>
                <w:rFonts w:ascii="Times New Roman"/>
                <w:sz w:val="21"/>
              </w:rPr>
            </w:pPr>
            <w:r>
              <w:rPr>
                <w:rFonts w:ascii="Times New Roman"/>
                <w:sz w:val="21"/>
              </w:rPr>
              <w:t>8203.18</w:t>
            </w:r>
          </w:p>
        </w:tc>
        <w:tc>
          <w:tcPr>
            <w:tcW w:w="1195" w:type="dxa"/>
          </w:tcPr>
          <w:p>
            <w:pPr>
              <w:pStyle w:val="TableParagraph"/>
              <w:spacing w:line="221" w:lineRule="exact"/>
              <w:ind w:left="182" w:right="172"/>
              <w:rPr>
                <w:rFonts w:ascii="Times New Roman"/>
                <w:sz w:val="21"/>
              </w:rPr>
            </w:pPr>
            <w:r>
              <w:rPr>
                <w:rFonts w:ascii="Times New Roman"/>
                <w:sz w:val="21"/>
              </w:rPr>
              <w:t>11315.48</w:t>
            </w:r>
          </w:p>
        </w:tc>
        <w:tc>
          <w:tcPr>
            <w:tcW w:w="1192" w:type="dxa"/>
          </w:tcPr>
          <w:p>
            <w:pPr>
              <w:pStyle w:val="TableParagraph"/>
              <w:spacing w:line="221" w:lineRule="exact"/>
              <w:ind w:right="185"/>
              <w:jc w:val="right"/>
              <w:rPr>
                <w:rFonts w:ascii="Times New Roman"/>
                <w:sz w:val="21"/>
              </w:rPr>
            </w:pPr>
            <w:r>
              <w:rPr>
                <w:rFonts w:ascii="Times New Roman"/>
                <w:sz w:val="21"/>
              </w:rPr>
              <w:t>13689.72</w:t>
            </w:r>
          </w:p>
        </w:tc>
        <w:tc>
          <w:tcPr>
            <w:tcW w:w="1194" w:type="dxa"/>
          </w:tcPr>
          <w:p>
            <w:pPr>
              <w:pStyle w:val="TableParagraph"/>
              <w:spacing w:line="221" w:lineRule="exact"/>
              <w:ind w:left="185" w:right="169"/>
              <w:rPr>
                <w:rFonts w:ascii="Times New Roman"/>
                <w:sz w:val="21"/>
              </w:rPr>
            </w:pPr>
            <w:r>
              <w:rPr>
                <w:rFonts w:ascii="Times New Roman"/>
                <w:sz w:val="21"/>
              </w:rPr>
              <w:t>14374.59</w:t>
            </w:r>
          </w:p>
        </w:tc>
        <w:tc>
          <w:tcPr>
            <w:tcW w:w="1192" w:type="dxa"/>
          </w:tcPr>
          <w:p>
            <w:pPr>
              <w:pStyle w:val="TableParagraph"/>
              <w:spacing w:line="221" w:lineRule="exact"/>
              <w:ind w:left="182" w:right="160"/>
              <w:rPr>
                <w:rFonts w:ascii="Times New Roman"/>
                <w:sz w:val="21"/>
              </w:rPr>
            </w:pPr>
            <w:r>
              <w:rPr>
                <w:rFonts w:ascii="Times New Roman"/>
                <w:sz w:val="21"/>
              </w:rPr>
              <w:t>14632.95</w:t>
            </w:r>
          </w:p>
        </w:tc>
      </w:tr>
      <w:tr>
        <w:trPr>
          <w:trHeight w:val="241" w:hRule="atLeast"/>
        </w:trPr>
        <w:tc>
          <w:tcPr>
            <w:tcW w:w="650" w:type="dxa"/>
          </w:tcPr>
          <w:p>
            <w:pPr>
              <w:pStyle w:val="TableParagraph"/>
              <w:spacing w:line="221" w:lineRule="exact"/>
              <w:ind w:left="36" w:right="28"/>
              <w:rPr>
                <w:rFonts w:ascii="Times New Roman"/>
                <w:sz w:val="21"/>
              </w:rPr>
            </w:pPr>
            <w:r>
              <w:rPr>
                <w:rFonts w:ascii="Times New Roman"/>
                <w:sz w:val="21"/>
              </w:rPr>
              <w:t>5m</w:t>
            </w:r>
          </w:p>
        </w:tc>
        <w:tc>
          <w:tcPr>
            <w:tcW w:w="1192" w:type="dxa"/>
          </w:tcPr>
          <w:p>
            <w:pPr>
              <w:pStyle w:val="TableParagraph"/>
              <w:spacing w:line="221" w:lineRule="exact"/>
              <w:ind w:left="174" w:right="166"/>
              <w:rPr>
                <w:rFonts w:ascii="Times New Roman"/>
                <w:sz w:val="21"/>
              </w:rPr>
            </w:pPr>
            <w:r>
              <w:rPr>
                <w:rFonts w:ascii="Times New Roman"/>
                <w:sz w:val="21"/>
              </w:rPr>
              <w:t>118.18</w:t>
            </w:r>
          </w:p>
        </w:tc>
        <w:tc>
          <w:tcPr>
            <w:tcW w:w="1195" w:type="dxa"/>
          </w:tcPr>
          <w:p>
            <w:pPr>
              <w:pStyle w:val="TableParagraph"/>
              <w:spacing w:line="221" w:lineRule="exact"/>
              <w:ind w:right="243"/>
              <w:jc w:val="right"/>
              <w:rPr>
                <w:rFonts w:ascii="Times New Roman"/>
                <w:sz w:val="21"/>
              </w:rPr>
            </w:pPr>
            <w:r>
              <w:rPr>
                <w:rFonts w:ascii="Times New Roman"/>
                <w:sz w:val="21"/>
              </w:rPr>
              <w:t>2384.94</w:t>
            </w:r>
          </w:p>
        </w:tc>
        <w:tc>
          <w:tcPr>
            <w:tcW w:w="1192" w:type="dxa"/>
          </w:tcPr>
          <w:p>
            <w:pPr>
              <w:pStyle w:val="TableParagraph"/>
              <w:spacing w:line="221" w:lineRule="exact"/>
              <w:ind w:left="180" w:right="166"/>
              <w:rPr>
                <w:rFonts w:ascii="Times New Roman"/>
                <w:sz w:val="21"/>
              </w:rPr>
            </w:pPr>
            <w:r>
              <w:rPr>
                <w:rFonts w:ascii="Times New Roman"/>
                <w:sz w:val="21"/>
              </w:rPr>
              <w:t>7506.78</w:t>
            </w:r>
          </w:p>
        </w:tc>
        <w:tc>
          <w:tcPr>
            <w:tcW w:w="1195" w:type="dxa"/>
          </w:tcPr>
          <w:p>
            <w:pPr>
              <w:pStyle w:val="TableParagraph"/>
              <w:spacing w:line="221" w:lineRule="exact"/>
              <w:ind w:left="182" w:right="170"/>
              <w:rPr>
                <w:rFonts w:ascii="Times New Roman"/>
                <w:sz w:val="21"/>
              </w:rPr>
            </w:pPr>
            <w:r>
              <w:rPr>
                <w:rFonts w:ascii="Times New Roman"/>
                <w:sz w:val="21"/>
              </w:rPr>
              <w:t>10886.16</w:t>
            </w:r>
          </w:p>
        </w:tc>
        <w:tc>
          <w:tcPr>
            <w:tcW w:w="1192" w:type="dxa"/>
          </w:tcPr>
          <w:p>
            <w:pPr>
              <w:pStyle w:val="TableParagraph"/>
              <w:spacing w:line="221" w:lineRule="exact"/>
              <w:ind w:right="185"/>
              <w:jc w:val="right"/>
              <w:rPr>
                <w:rFonts w:ascii="Times New Roman"/>
                <w:sz w:val="21"/>
              </w:rPr>
            </w:pPr>
            <w:r>
              <w:rPr>
                <w:rFonts w:ascii="Times New Roman"/>
                <w:sz w:val="21"/>
              </w:rPr>
              <w:t>13528.06</w:t>
            </w:r>
          </w:p>
        </w:tc>
        <w:tc>
          <w:tcPr>
            <w:tcW w:w="1194" w:type="dxa"/>
          </w:tcPr>
          <w:p>
            <w:pPr>
              <w:pStyle w:val="TableParagraph"/>
              <w:spacing w:line="221" w:lineRule="exact"/>
              <w:ind w:left="185" w:right="169"/>
              <w:rPr>
                <w:rFonts w:ascii="Times New Roman"/>
                <w:sz w:val="21"/>
              </w:rPr>
            </w:pPr>
            <w:r>
              <w:rPr>
                <w:rFonts w:ascii="Times New Roman"/>
                <w:sz w:val="21"/>
              </w:rPr>
              <w:t>14296.49</w:t>
            </w:r>
          </w:p>
        </w:tc>
        <w:tc>
          <w:tcPr>
            <w:tcW w:w="1192" w:type="dxa"/>
          </w:tcPr>
          <w:p>
            <w:pPr>
              <w:pStyle w:val="TableParagraph"/>
              <w:spacing w:line="221" w:lineRule="exact"/>
              <w:ind w:left="182" w:right="160"/>
              <w:rPr>
                <w:rFonts w:ascii="Times New Roman"/>
                <w:sz w:val="21"/>
              </w:rPr>
            </w:pPr>
            <w:r>
              <w:rPr>
                <w:rFonts w:ascii="Times New Roman"/>
                <w:sz w:val="21"/>
              </w:rPr>
              <w:t>14586.92</w:t>
            </w:r>
          </w:p>
        </w:tc>
      </w:tr>
      <w:tr>
        <w:trPr>
          <w:trHeight w:val="239" w:hRule="atLeast"/>
        </w:trPr>
        <w:tc>
          <w:tcPr>
            <w:tcW w:w="650" w:type="dxa"/>
          </w:tcPr>
          <w:p>
            <w:pPr>
              <w:pStyle w:val="TableParagraph"/>
              <w:spacing w:line="220" w:lineRule="exact"/>
              <w:ind w:left="40" w:right="27"/>
              <w:rPr>
                <w:rFonts w:ascii="Times New Roman"/>
                <w:sz w:val="21"/>
              </w:rPr>
            </w:pPr>
            <w:r>
              <w:rPr>
                <w:rFonts w:ascii="Times New Roman"/>
                <w:sz w:val="21"/>
              </w:rPr>
              <w:t>5.5m</w:t>
            </w:r>
          </w:p>
        </w:tc>
        <w:tc>
          <w:tcPr>
            <w:tcW w:w="1192" w:type="dxa"/>
          </w:tcPr>
          <w:p>
            <w:pPr>
              <w:pStyle w:val="TableParagraph"/>
              <w:spacing w:line="220" w:lineRule="exact"/>
              <w:ind w:left="174" w:right="166"/>
              <w:rPr>
                <w:rFonts w:ascii="Times New Roman"/>
                <w:sz w:val="21"/>
              </w:rPr>
            </w:pPr>
            <w:r>
              <w:rPr>
                <w:rFonts w:ascii="Times New Roman"/>
                <w:sz w:val="21"/>
              </w:rPr>
              <w:t>51.36</w:t>
            </w:r>
          </w:p>
        </w:tc>
        <w:tc>
          <w:tcPr>
            <w:tcW w:w="1195" w:type="dxa"/>
          </w:tcPr>
          <w:p>
            <w:pPr>
              <w:pStyle w:val="TableParagraph"/>
              <w:spacing w:line="220" w:lineRule="exact"/>
              <w:ind w:right="243"/>
              <w:jc w:val="right"/>
              <w:rPr>
                <w:rFonts w:ascii="Times New Roman"/>
                <w:sz w:val="21"/>
              </w:rPr>
            </w:pPr>
            <w:r>
              <w:rPr>
                <w:rFonts w:ascii="Times New Roman"/>
                <w:sz w:val="21"/>
              </w:rPr>
              <w:t>1802.17</w:t>
            </w:r>
          </w:p>
        </w:tc>
        <w:tc>
          <w:tcPr>
            <w:tcW w:w="1192" w:type="dxa"/>
          </w:tcPr>
          <w:p>
            <w:pPr>
              <w:pStyle w:val="TableParagraph"/>
              <w:spacing w:line="220" w:lineRule="exact"/>
              <w:ind w:left="180" w:right="166"/>
              <w:rPr>
                <w:rFonts w:ascii="Times New Roman"/>
                <w:sz w:val="21"/>
              </w:rPr>
            </w:pPr>
            <w:r>
              <w:rPr>
                <w:rFonts w:ascii="Times New Roman"/>
                <w:sz w:val="21"/>
              </w:rPr>
              <w:t>6837.93</w:t>
            </w:r>
          </w:p>
        </w:tc>
        <w:tc>
          <w:tcPr>
            <w:tcW w:w="1195" w:type="dxa"/>
          </w:tcPr>
          <w:p>
            <w:pPr>
              <w:pStyle w:val="TableParagraph"/>
              <w:spacing w:line="220" w:lineRule="exact"/>
              <w:ind w:left="182" w:right="170"/>
              <w:rPr>
                <w:rFonts w:ascii="Times New Roman"/>
                <w:sz w:val="21"/>
              </w:rPr>
            </w:pPr>
            <w:r>
              <w:rPr>
                <w:rFonts w:ascii="Times New Roman"/>
                <w:sz w:val="21"/>
              </w:rPr>
              <w:t>10456.92</w:t>
            </w:r>
          </w:p>
        </w:tc>
        <w:tc>
          <w:tcPr>
            <w:tcW w:w="1192" w:type="dxa"/>
          </w:tcPr>
          <w:p>
            <w:pPr>
              <w:pStyle w:val="TableParagraph"/>
              <w:spacing w:line="220" w:lineRule="exact"/>
              <w:ind w:right="185"/>
              <w:jc w:val="right"/>
              <w:rPr>
                <w:rFonts w:ascii="Times New Roman"/>
                <w:sz w:val="21"/>
              </w:rPr>
            </w:pPr>
            <w:r>
              <w:rPr>
                <w:rFonts w:ascii="Times New Roman"/>
                <w:sz w:val="21"/>
              </w:rPr>
              <w:t>13363.52</w:t>
            </w:r>
          </w:p>
        </w:tc>
        <w:tc>
          <w:tcPr>
            <w:tcW w:w="1194" w:type="dxa"/>
          </w:tcPr>
          <w:p>
            <w:pPr>
              <w:pStyle w:val="TableParagraph"/>
              <w:spacing w:line="220" w:lineRule="exact"/>
              <w:ind w:left="185" w:right="169"/>
              <w:rPr>
                <w:rFonts w:ascii="Times New Roman"/>
                <w:sz w:val="21"/>
              </w:rPr>
            </w:pPr>
            <w:r>
              <w:rPr>
                <w:rFonts w:ascii="Times New Roman"/>
                <w:sz w:val="21"/>
              </w:rPr>
              <w:t>14216.70</w:t>
            </w:r>
          </w:p>
        </w:tc>
        <w:tc>
          <w:tcPr>
            <w:tcW w:w="1192" w:type="dxa"/>
          </w:tcPr>
          <w:p>
            <w:pPr>
              <w:pStyle w:val="TableParagraph"/>
              <w:spacing w:line="220" w:lineRule="exact"/>
              <w:ind w:left="182" w:right="160"/>
              <w:rPr>
                <w:rFonts w:ascii="Times New Roman"/>
                <w:sz w:val="21"/>
              </w:rPr>
            </w:pPr>
            <w:r>
              <w:rPr>
                <w:rFonts w:ascii="Times New Roman"/>
                <w:sz w:val="21"/>
              </w:rPr>
              <w:t>14539.82</w:t>
            </w:r>
          </w:p>
        </w:tc>
      </w:tr>
      <w:tr>
        <w:trPr>
          <w:trHeight w:val="242" w:hRule="atLeast"/>
        </w:trPr>
        <w:tc>
          <w:tcPr>
            <w:tcW w:w="650" w:type="dxa"/>
          </w:tcPr>
          <w:p>
            <w:pPr>
              <w:pStyle w:val="TableParagraph"/>
              <w:spacing w:line="221" w:lineRule="exact"/>
              <w:ind w:left="36" w:right="28"/>
              <w:rPr>
                <w:rFonts w:ascii="Times New Roman"/>
                <w:sz w:val="21"/>
              </w:rPr>
            </w:pPr>
            <w:r>
              <w:rPr>
                <w:rFonts w:ascii="Times New Roman"/>
                <w:sz w:val="21"/>
              </w:rPr>
              <w:t>6m</w:t>
            </w:r>
          </w:p>
        </w:tc>
        <w:tc>
          <w:tcPr>
            <w:tcW w:w="1192" w:type="dxa"/>
          </w:tcPr>
          <w:p>
            <w:pPr>
              <w:pStyle w:val="TableParagraph"/>
              <w:spacing w:line="221" w:lineRule="exact"/>
              <w:ind w:left="174" w:right="166"/>
              <w:rPr>
                <w:rFonts w:ascii="Times New Roman"/>
                <w:sz w:val="21"/>
              </w:rPr>
            </w:pPr>
            <w:r>
              <w:rPr>
                <w:rFonts w:ascii="Times New Roman"/>
                <w:sz w:val="21"/>
              </w:rPr>
              <w:t>20.86</w:t>
            </w:r>
          </w:p>
        </w:tc>
        <w:tc>
          <w:tcPr>
            <w:tcW w:w="1195" w:type="dxa"/>
          </w:tcPr>
          <w:p>
            <w:pPr>
              <w:pStyle w:val="TableParagraph"/>
              <w:spacing w:line="221" w:lineRule="exact"/>
              <w:ind w:right="243"/>
              <w:jc w:val="right"/>
              <w:rPr>
                <w:rFonts w:ascii="Times New Roman"/>
                <w:sz w:val="21"/>
              </w:rPr>
            </w:pPr>
            <w:r>
              <w:rPr>
                <w:rFonts w:ascii="Times New Roman"/>
                <w:sz w:val="21"/>
              </w:rPr>
              <w:t>1336.36</w:t>
            </w:r>
          </w:p>
        </w:tc>
        <w:tc>
          <w:tcPr>
            <w:tcW w:w="1192" w:type="dxa"/>
          </w:tcPr>
          <w:p>
            <w:pPr>
              <w:pStyle w:val="TableParagraph"/>
              <w:spacing w:line="221" w:lineRule="exact"/>
              <w:ind w:left="180" w:right="166"/>
              <w:rPr>
                <w:rFonts w:ascii="Times New Roman"/>
                <w:sz w:val="21"/>
              </w:rPr>
            </w:pPr>
            <w:r>
              <w:rPr>
                <w:rFonts w:ascii="Times New Roman"/>
                <w:sz w:val="21"/>
              </w:rPr>
              <w:t>6199.64</w:t>
            </w:r>
          </w:p>
        </w:tc>
        <w:tc>
          <w:tcPr>
            <w:tcW w:w="1195" w:type="dxa"/>
          </w:tcPr>
          <w:p>
            <w:pPr>
              <w:pStyle w:val="TableParagraph"/>
              <w:spacing w:line="221" w:lineRule="exact"/>
              <w:ind w:left="182" w:right="170"/>
              <w:rPr>
                <w:rFonts w:ascii="Times New Roman"/>
                <w:sz w:val="21"/>
              </w:rPr>
            </w:pPr>
            <w:r>
              <w:rPr>
                <w:rFonts w:ascii="Times New Roman"/>
                <w:sz w:val="21"/>
              </w:rPr>
              <w:t>10028.90</w:t>
            </w:r>
          </w:p>
        </w:tc>
        <w:tc>
          <w:tcPr>
            <w:tcW w:w="1192" w:type="dxa"/>
          </w:tcPr>
          <w:p>
            <w:pPr>
              <w:pStyle w:val="TableParagraph"/>
              <w:spacing w:line="221" w:lineRule="exact"/>
              <w:ind w:right="185"/>
              <w:jc w:val="right"/>
              <w:rPr>
                <w:rFonts w:ascii="Times New Roman"/>
                <w:sz w:val="21"/>
              </w:rPr>
            </w:pPr>
            <w:r>
              <w:rPr>
                <w:rFonts w:ascii="Times New Roman"/>
                <w:sz w:val="21"/>
              </w:rPr>
              <w:t>13196.18</w:t>
            </w:r>
          </w:p>
        </w:tc>
        <w:tc>
          <w:tcPr>
            <w:tcW w:w="1194" w:type="dxa"/>
          </w:tcPr>
          <w:p>
            <w:pPr>
              <w:pStyle w:val="TableParagraph"/>
              <w:spacing w:line="221" w:lineRule="exact"/>
              <w:ind w:left="185" w:right="169"/>
              <w:rPr>
                <w:rFonts w:ascii="Times New Roman"/>
                <w:sz w:val="21"/>
              </w:rPr>
            </w:pPr>
            <w:r>
              <w:rPr>
                <w:rFonts w:ascii="Times New Roman"/>
                <w:sz w:val="21"/>
              </w:rPr>
              <w:t>14135.22</w:t>
            </w:r>
          </w:p>
        </w:tc>
        <w:tc>
          <w:tcPr>
            <w:tcW w:w="1192" w:type="dxa"/>
          </w:tcPr>
          <w:p>
            <w:pPr>
              <w:pStyle w:val="TableParagraph"/>
              <w:spacing w:line="221" w:lineRule="exact"/>
              <w:ind w:left="182" w:right="160"/>
              <w:rPr>
                <w:rFonts w:ascii="Times New Roman"/>
                <w:sz w:val="21"/>
              </w:rPr>
            </w:pPr>
            <w:r>
              <w:rPr>
                <w:rFonts w:ascii="Times New Roman"/>
                <w:sz w:val="21"/>
              </w:rPr>
              <w:t>14491.66</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6.5m</w:t>
            </w:r>
          </w:p>
        </w:tc>
        <w:tc>
          <w:tcPr>
            <w:tcW w:w="1192" w:type="dxa"/>
          </w:tcPr>
          <w:p>
            <w:pPr>
              <w:pStyle w:val="TableParagraph"/>
              <w:spacing w:line="221" w:lineRule="exact"/>
              <w:ind w:left="174" w:right="166"/>
              <w:rPr>
                <w:rFonts w:ascii="Times New Roman"/>
                <w:sz w:val="21"/>
              </w:rPr>
            </w:pPr>
            <w:r>
              <w:rPr>
                <w:rFonts w:ascii="Times New Roman"/>
                <w:sz w:val="21"/>
              </w:rPr>
              <w:t>7.91</w:t>
            </w:r>
          </w:p>
        </w:tc>
        <w:tc>
          <w:tcPr>
            <w:tcW w:w="1195" w:type="dxa"/>
          </w:tcPr>
          <w:p>
            <w:pPr>
              <w:pStyle w:val="TableParagraph"/>
              <w:spacing w:line="221" w:lineRule="exact"/>
              <w:ind w:right="294"/>
              <w:jc w:val="right"/>
              <w:rPr>
                <w:rFonts w:ascii="Times New Roman"/>
                <w:sz w:val="21"/>
              </w:rPr>
            </w:pPr>
            <w:r>
              <w:rPr>
                <w:rFonts w:ascii="Times New Roman"/>
                <w:sz w:val="21"/>
              </w:rPr>
              <w:t>972.21</w:t>
            </w:r>
          </w:p>
        </w:tc>
        <w:tc>
          <w:tcPr>
            <w:tcW w:w="1192" w:type="dxa"/>
          </w:tcPr>
          <w:p>
            <w:pPr>
              <w:pStyle w:val="TableParagraph"/>
              <w:spacing w:line="221" w:lineRule="exact"/>
              <w:ind w:left="180" w:right="166"/>
              <w:rPr>
                <w:rFonts w:ascii="Times New Roman"/>
                <w:sz w:val="21"/>
              </w:rPr>
            </w:pPr>
            <w:r>
              <w:rPr>
                <w:rFonts w:ascii="Times New Roman"/>
                <w:sz w:val="21"/>
              </w:rPr>
              <w:t>5594.40</w:t>
            </w:r>
          </w:p>
        </w:tc>
        <w:tc>
          <w:tcPr>
            <w:tcW w:w="1195" w:type="dxa"/>
          </w:tcPr>
          <w:p>
            <w:pPr>
              <w:pStyle w:val="TableParagraph"/>
              <w:spacing w:line="221" w:lineRule="exact"/>
              <w:ind w:left="182" w:right="170"/>
              <w:rPr>
                <w:rFonts w:ascii="Times New Roman"/>
                <w:sz w:val="21"/>
              </w:rPr>
            </w:pPr>
            <w:r>
              <w:rPr>
                <w:rFonts w:ascii="Times New Roman"/>
                <w:sz w:val="21"/>
              </w:rPr>
              <w:t>9603.17</w:t>
            </w:r>
          </w:p>
        </w:tc>
        <w:tc>
          <w:tcPr>
            <w:tcW w:w="1192" w:type="dxa"/>
          </w:tcPr>
          <w:p>
            <w:pPr>
              <w:pStyle w:val="TableParagraph"/>
              <w:spacing w:line="221" w:lineRule="exact"/>
              <w:ind w:right="185"/>
              <w:jc w:val="right"/>
              <w:rPr>
                <w:rFonts w:ascii="Times New Roman"/>
                <w:sz w:val="21"/>
              </w:rPr>
            </w:pPr>
            <w:r>
              <w:rPr>
                <w:rFonts w:ascii="Times New Roman"/>
                <w:sz w:val="21"/>
              </w:rPr>
              <w:t>13026.16</w:t>
            </w:r>
          </w:p>
        </w:tc>
        <w:tc>
          <w:tcPr>
            <w:tcW w:w="1194" w:type="dxa"/>
          </w:tcPr>
          <w:p>
            <w:pPr>
              <w:pStyle w:val="TableParagraph"/>
              <w:spacing w:line="221" w:lineRule="exact"/>
              <w:ind w:left="185" w:right="169"/>
              <w:rPr>
                <w:rFonts w:ascii="Times New Roman"/>
                <w:sz w:val="21"/>
              </w:rPr>
            </w:pPr>
            <w:r>
              <w:rPr>
                <w:rFonts w:ascii="Times New Roman"/>
                <w:sz w:val="21"/>
              </w:rPr>
              <w:t>14052.06</w:t>
            </w:r>
          </w:p>
        </w:tc>
        <w:tc>
          <w:tcPr>
            <w:tcW w:w="1192" w:type="dxa"/>
          </w:tcPr>
          <w:p>
            <w:pPr>
              <w:pStyle w:val="TableParagraph"/>
              <w:spacing w:line="221" w:lineRule="exact"/>
              <w:ind w:left="182" w:right="160"/>
              <w:rPr>
                <w:rFonts w:ascii="Times New Roman"/>
                <w:sz w:val="21"/>
              </w:rPr>
            </w:pPr>
            <w:r>
              <w:rPr>
                <w:rFonts w:ascii="Times New Roman"/>
                <w:sz w:val="21"/>
              </w:rPr>
              <w:t>14442.42</w:t>
            </w:r>
          </w:p>
        </w:tc>
      </w:tr>
      <w:tr>
        <w:trPr>
          <w:trHeight w:val="241" w:hRule="atLeast"/>
        </w:trPr>
        <w:tc>
          <w:tcPr>
            <w:tcW w:w="650" w:type="dxa"/>
          </w:tcPr>
          <w:p>
            <w:pPr>
              <w:pStyle w:val="TableParagraph"/>
              <w:spacing w:line="221" w:lineRule="exact"/>
              <w:ind w:left="36" w:right="28"/>
              <w:rPr>
                <w:rFonts w:ascii="Times New Roman"/>
                <w:sz w:val="21"/>
              </w:rPr>
            </w:pPr>
            <w:r>
              <w:rPr>
                <w:rFonts w:ascii="Times New Roman"/>
                <w:sz w:val="21"/>
              </w:rPr>
              <w:t>7m</w:t>
            </w:r>
          </w:p>
        </w:tc>
        <w:tc>
          <w:tcPr>
            <w:tcW w:w="1192" w:type="dxa"/>
          </w:tcPr>
          <w:p>
            <w:pPr>
              <w:pStyle w:val="TableParagraph"/>
              <w:spacing w:line="221" w:lineRule="exact"/>
              <w:ind w:left="174" w:right="166"/>
              <w:rPr>
                <w:rFonts w:ascii="Times New Roman"/>
                <w:sz w:val="21"/>
              </w:rPr>
            </w:pPr>
            <w:r>
              <w:rPr>
                <w:rFonts w:ascii="Times New Roman"/>
                <w:sz w:val="21"/>
              </w:rPr>
              <w:t>2.80</w:t>
            </w:r>
          </w:p>
        </w:tc>
        <w:tc>
          <w:tcPr>
            <w:tcW w:w="1195" w:type="dxa"/>
          </w:tcPr>
          <w:p>
            <w:pPr>
              <w:pStyle w:val="TableParagraph"/>
              <w:spacing w:line="221" w:lineRule="exact"/>
              <w:ind w:right="294"/>
              <w:jc w:val="right"/>
              <w:rPr>
                <w:rFonts w:ascii="Times New Roman"/>
                <w:sz w:val="21"/>
              </w:rPr>
            </w:pPr>
            <w:r>
              <w:rPr>
                <w:rFonts w:ascii="Times New Roman"/>
                <w:sz w:val="21"/>
              </w:rPr>
              <w:t>693.76</w:t>
            </w:r>
          </w:p>
        </w:tc>
        <w:tc>
          <w:tcPr>
            <w:tcW w:w="1192" w:type="dxa"/>
          </w:tcPr>
          <w:p>
            <w:pPr>
              <w:pStyle w:val="TableParagraph"/>
              <w:spacing w:line="221" w:lineRule="exact"/>
              <w:ind w:left="180" w:right="166"/>
              <w:rPr>
                <w:rFonts w:ascii="Times New Roman"/>
                <w:sz w:val="21"/>
              </w:rPr>
            </w:pPr>
            <w:r>
              <w:rPr>
                <w:rFonts w:ascii="Times New Roman"/>
                <w:sz w:val="21"/>
              </w:rPr>
              <w:t>5024.12</w:t>
            </w:r>
          </w:p>
        </w:tc>
        <w:tc>
          <w:tcPr>
            <w:tcW w:w="1195" w:type="dxa"/>
          </w:tcPr>
          <w:p>
            <w:pPr>
              <w:pStyle w:val="TableParagraph"/>
              <w:spacing w:line="221" w:lineRule="exact"/>
              <w:ind w:left="182" w:right="170"/>
              <w:rPr>
                <w:rFonts w:ascii="Times New Roman"/>
                <w:sz w:val="21"/>
              </w:rPr>
            </w:pPr>
            <w:r>
              <w:rPr>
                <w:rFonts w:ascii="Times New Roman"/>
                <w:sz w:val="21"/>
              </w:rPr>
              <w:t>9180.79</w:t>
            </w:r>
          </w:p>
        </w:tc>
        <w:tc>
          <w:tcPr>
            <w:tcW w:w="1192" w:type="dxa"/>
          </w:tcPr>
          <w:p>
            <w:pPr>
              <w:pStyle w:val="TableParagraph"/>
              <w:spacing w:line="221" w:lineRule="exact"/>
              <w:ind w:right="185"/>
              <w:jc w:val="right"/>
              <w:rPr>
                <w:rFonts w:ascii="Times New Roman"/>
                <w:sz w:val="21"/>
              </w:rPr>
            </w:pPr>
            <w:r>
              <w:rPr>
                <w:rFonts w:ascii="Times New Roman"/>
                <w:sz w:val="21"/>
              </w:rPr>
              <w:t>12853.57</w:t>
            </w:r>
          </w:p>
        </w:tc>
        <w:tc>
          <w:tcPr>
            <w:tcW w:w="1194" w:type="dxa"/>
          </w:tcPr>
          <w:p>
            <w:pPr>
              <w:pStyle w:val="TableParagraph"/>
              <w:spacing w:line="221" w:lineRule="exact"/>
              <w:ind w:left="185" w:right="169"/>
              <w:rPr>
                <w:rFonts w:ascii="Times New Roman"/>
                <w:sz w:val="21"/>
              </w:rPr>
            </w:pPr>
            <w:r>
              <w:rPr>
                <w:rFonts w:ascii="Times New Roman"/>
                <w:sz w:val="21"/>
              </w:rPr>
              <w:t>13967.23</w:t>
            </w:r>
          </w:p>
        </w:tc>
        <w:tc>
          <w:tcPr>
            <w:tcW w:w="1192" w:type="dxa"/>
          </w:tcPr>
          <w:p>
            <w:pPr>
              <w:pStyle w:val="TableParagraph"/>
              <w:spacing w:line="221" w:lineRule="exact"/>
              <w:ind w:left="182" w:right="160"/>
              <w:rPr>
                <w:rFonts w:ascii="Times New Roman"/>
                <w:sz w:val="21"/>
              </w:rPr>
            </w:pPr>
            <w:r>
              <w:rPr>
                <w:rFonts w:ascii="Times New Roman"/>
                <w:sz w:val="21"/>
              </w:rPr>
              <w:t>14392.10</w:t>
            </w:r>
          </w:p>
        </w:tc>
      </w:tr>
      <w:tr>
        <w:trPr>
          <w:trHeight w:val="239" w:hRule="atLeast"/>
        </w:trPr>
        <w:tc>
          <w:tcPr>
            <w:tcW w:w="650" w:type="dxa"/>
          </w:tcPr>
          <w:p>
            <w:pPr>
              <w:pStyle w:val="TableParagraph"/>
              <w:spacing w:line="220" w:lineRule="exact"/>
              <w:ind w:left="40" w:right="27"/>
              <w:rPr>
                <w:rFonts w:ascii="Times New Roman"/>
                <w:sz w:val="21"/>
              </w:rPr>
            </w:pPr>
            <w:r>
              <w:rPr>
                <w:rFonts w:ascii="Times New Roman"/>
                <w:sz w:val="21"/>
              </w:rPr>
              <w:t>7.5m</w:t>
            </w:r>
          </w:p>
        </w:tc>
        <w:tc>
          <w:tcPr>
            <w:tcW w:w="1192" w:type="dxa"/>
          </w:tcPr>
          <w:p>
            <w:pPr>
              <w:pStyle w:val="TableParagraph"/>
              <w:spacing w:line="220" w:lineRule="exact"/>
              <w:ind w:left="174" w:right="166"/>
              <w:rPr>
                <w:rFonts w:ascii="Times New Roman"/>
                <w:sz w:val="21"/>
              </w:rPr>
            </w:pPr>
            <w:r>
              <w:rPr>
                <w:rFonts w:ascii="Times New Roman"/>
                <w:sz w:val="21"/>
              </w:rPr>
              <w:t>0.92</w:t>
            </w:r>
          </w:p>
        </w:tc>
        <w:tc>
          <w:tcPr>
            <w:tcW w:w="1195" w:type="dxa"/>
          </w:tcPr>
          <w:p>
            <w:pPr>
              <w:pStyle w:val="TableParagraph"/>
              <w:spacing w:line="220" w:lineRule="exact"/>
              <w:ind w:right="294"/>
              <w:jc w:val="right"/>
              <w:rPr>
                <w:rFonts w:ascii="Times New Roman"/>
                <w:sz w:val="21"/>
              </w:rPr>
            </w:pPr>
            <w:r>
              <w:rPr>
                <w:rFonts w:ascii="Times New Roman"/>
                <w:sz w:val="21"/>
              </w:rPr>
              <w:t>485.49</w:t>
            </w:r>
          </w:p>
        </w:tc>
        <w:tc>
          <w:tcPr>
            <w:tcW w:w="1192" w:type="dxa"/>
          </w:tcPr>
          <w:p>
            <w:pPr>
              <w:pStyle w:val="TableParagraph"/>
              <w:spacing w:line="220" w:lineRule="exact"/>
              <w:ind w:left="180" w:right="166"/>
              <w:rPr>
                <w:rFonts w:ascii="Times New Roman"/>
                <w:sz w:val="21"/>
              </w:rPr>
            </w:pPr>
            <w:r>
              <w:rPr>
                <w:rFonts w:ascii="Times New Roman"/>
                <w:sz w:val="21"/>
              </w:rPr>
              <w:t>4490.17</w:t>
            </w:r>
          </w:p>
        </w:tc>
        <w:tc>
          <w:tcPr>
            <w:tcW w:w="1195" w:type="dxa"/>
          </w:tcPr>
          <w:p>
            <w:pPr>
              <w:pStyle w:val="TableParagraph"/>
              <w:spacing w:line="220" w:lineRule="exact"/>
              <w:ind w:left="182" w:right="170"/>
              <w:rPr>
                <w:rFonts w:ascii="Times New Roman"/>
                <w:sz w:val="21"/>
              </w:rPr>
            </w:pPr>
            <w:r>
              <w:rPr>
                <w:rFonts w:ascii="Times New Roman"/>
                <w:sz w:val="21"/>
              </w:rPr>
              <w:t>8762.80</w:t>
            </w:r>
          </w:p>
        </w:tc>
        <w:tc>
          <w:tcPr>
            <w:tcW w:w="1192" w:type="dxa"/>
          </w:tcPr>
          <w:p>
            <w:pPr>
              <w:pStyle w:val="TableParagraph"/>
              <w:spacing w:line="220" w:lineRule="exact"/>
              <w:ind w:right="185"/>
              <w:jc w:val="right"/>
              <w:rPr>
                <w:rFonts w:ascii="Times New Roman"/>
                <w:sz w:val="21"/>
              </w:rPr>
            </w:pPr>
            <w:r>
              <w:rPr>
                <w:rFonts w:ascii="Times New Roman"/>
                <w:sz w:val="21"/>
              </w:rPr>
              <w:t>12678.52</w:t>
            </w:r>
          </w:p>
        </w:tc>
        <w:tc>
          <w:tcPr>
            <w:tcW w:w="1194" w:type="dxa"/>
          </w:tcPr>
          <w:p>
            <w:pPr>
              <w:pStyle w:val="TableParagraph"/>
              <w:spacing w:line="220" w:lineRule="exact"/>
              <w:ind w:left="185" w:right="169"/>
              <w:rPr>
                <w:rFonts w:ascii="Times New Roman"/>
                <w:sz w:val="21"/>
              </w:rPr>
            </w:pPr>
            <w:r>
              <w:rPr>
                <w:rFonts w:ascii="Times New Roman"/>
                <w:sz w:val="21"/>
              </w:rPr>
              <w:t>13880.75</w:t>
            </w:r>
          </w:p>
        </w:tc>
        <w:tc>
          <w:tcPr>
            <w:tcW w:w="1192" w:type="dxa"/>
          </w:tcPr>
          <w:p>
            <w:pPr>
              <w:pStyle w:val="TableParagraph"/>
              <w:spacing w:line="220" w:lineRule="exact"/>
              <w:ind w:left="182" w:right="160"/>
              <w:rPr>
                <w:rFonts w:ascii="Times New Roman"/>
                <w:sz w:val="21"/>
              </w:rPr>
            </w:pPr>
            <w:r>
              <w:rPr>
                <w:rFonts w:ascii="Times New Roman"/>
                <w:sz w:val="21"/>
              </w:rPr>
              <w:t>14340.72</w:t>
            </w:r>
          </w:p>
        </w:tc>
      </w:tr>
      <w:tr>
        <w:trPr>
          <w:trHeight w:val="242" w:hRule="atLeast"/>
        </w:trPr>
        <w:tc>
          <w:tcPr>
            <w:tcW w:w="650" w:type="dxa"/>
          </w:tcPr>
          <w:p>
            <w:pPr>
              <w:pStyle w:val="TableParagraph"/>
              <w:spacing w:line="221" w:lineRule="exact"/>
              <w:ind w:left="36" w:right="28"/>
              <w:rPr>
                <w:rFonts w:ascii="Times New Roman"/>
                <w:sz w:val="21"/>
              </w:rPr>
            </w:pPr>
            <w:r>
              <w:rPr>
                <w:rFonts w:ascii="Times New Roman"/>
                <w:sz w:val="21"/>
              </w:rPr>
              <w:t>8m</w:t>
            </w:r>
          </w:p>
        </w:tc>
        <w:tc>
          <w:tcPr>
            <w:tcW w:w="1192" w:type="dxa"/>
          </w:tcPr>
          <w:p>
            <w:pPr>
              <w:pStyle w:val="TableParagraph"/>
              <w:spacing w:line="221" w:lineRule="exact"/>
              <w:ind w:left="174" w:right="166"/>
              <w:rPr>
                <w:rFonts w:ascii="Times New Roman"/>
                <w:sz w:val="21"/>
              </w:rPr>
            </w:pPr>
            <w:r>
              <w:rPr>
                <w:rFonts w:ascii="Times New Roman"/>
                <w:sz w:val="21"/>
              </w:rPr>
              <w:t>0.28</w:t>
            </w:r>
          </w:p>
        </w:tc>
        <w:tc>
          <w:tcPr>
            <w:tcW w:w="1195" w:type="dxa"/>
          </w:tcPr>
          <w:p>
            <w:pPr>
              <w:pStyle w:val="TableParagraph"/>
              <w:spacing w:line="221" w:lineRule="exact"/>
              <w:ind w:right="294"/>
              <w:jc w:val="right"/>
              <w:rPr>
                <w:rFonts w:ascii="Times New Roman"/>
                <w:sz w:val="21"/>
              </w:rPr>
            </w:pPr>
            <w:r>
              <w:rPr>
                <w:rFonts w:ascii="Times New Roman"/>
                <w:sz w:val="21"/>
              </w:rPr>
              <w:t>333.13</w:t>
            </w:r>
          </w:p>
        </w:tc>
        <w:tc>
          <w:tcPr>
            <w:tcW w:w="1192" w:type="dxa"/>
          </w:tcPr>
          <w:p>
            <w:pPr>
              <w:pStyle w:val="TableParagraph"/>
              <w:spacing w:line="221" w:lineRule="exact"/>
              <w:ind w:left="180" w:right="166"/>
              <w:rPr>
                <w:rFonts w:ascii="Times New Roman"/>
                <w:sz w:val="21"/>
              </w:rPr>
            </w:pPr>
            <w:r>
              <w:rPr>
                <w:rFonts w:ascii="Times New Roman"/>
                <w:sz w:val="21"/>
              </w:rPr>
              <w:t>3993.37</w:t>
            </w:r>
          </w:p>
        </w:tc>
        <w:tc>
          <w:tcPr>
            <w:tcW w:w="1195" w:type="dxa"/>
          </w:tcPr>
          <w:p>
            <w:pPr>
              <w:pStyle w:val="TableParagraph"/>
              <w:spacing w:line="221" w:lineRule="exact"/>
              <w:ind w:left="182" w:right="170"/>
              <w:rPr>
                <w:rFonts w:ascii="Times New Roman"/>
                <w:sz w:val="21"/>
              </w:rPr>
            </w:pPr>
            <w:r>
              <w:rPr>
                <w:rFonts w:ascii="Times New Roman"/>
                <w:sz w:val="21"/>
              </w:rPr>
              <w:t>8350.17</w:t>
            </w:r>
          </w:p>
        </w:tc>
        <w:tc>
          <w:tcPr>
            <w:tcW w:w="1192" w:type="dxa"/>
          </w:tcPr>
          <w:p>
            <w:pPr>
              <w:pStyle w:val="TableParagraph"/>
              <w:spacing w:line="221" w:lineRule="exact"/>
              <w:ind w:right="185"/>
              <w:jc w:val="right"/>
              <w:rPr>
                <w:rFonts w:ascii="Times New Roman"/>
                <w:sz w:val="21"/>
              </w:rPr>
            </w:pPr>
            <w:r>
              <w:rPr>
                <w:rFonts w:ascii="Times New Roman"/>
                <w:sz w:val="21"/>
              </w:rPr>
              <w:t>12501.12</w:t>
            </w:r>
          </w:p>
        </w:tc>
        <w:tc>
          <w:tcPr>
            <w:tcW w:w="1194" w:type="dxa"/>
          </w:tcPr>
          <w:p>
            <w:pPr>
              <w:pStyle w:val="TableParagraph"/>
              <w:spacing w:line="221" w:lineRule="exact"/>
              <w:ind w:left="185" w:right="169"/>
              <w:rPr>
                <w:rFonts w:ascii="Times New Roman"/>
                <w:sz w:val="21"/>
              </w:rPr>
            </w:pPr>
            <w:r>
              <w:rPr>
                <w:rFonts w:ascii="Times New Roman"/>
                <w:sz w:val="21"/>
              </w:rPr>
              <w:t>13792.63</w:t>
            </w:r>
          </w:p>
        </w:tc>
        <w:tc>
          <w:tcPr>
            <w:tcW w:w="1192" w:type="dxa"/>
          </w:tcPr>
          <w:p>
            <w:pPr>
              <w:pStyle w:val="TableParagraph"/>
              <w:spacing w:line="221" w:lineRule="exact"/>
              <w:ind w:left="182" w:right="160"/>
              <w:rPr>
                <w:rFonts w:ascii="Times New Roman"/>
                <w:sz w:val="21"/>
              </w:rPr>
            </w:pPr>
            <w:r>
              <w:rPr>
                <w:rFonts w:ascii="Times New Roman"/>
                <w:sz w:val="21"/>
              </w:rPr>
              <w:t>14288.25</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8.5m</w:t>
            </w:r>
          </w:p>
        </w:tc>
        <w:tc>
          <w:tcPr>
            <w:tcW w:w="1192" w:type="dxa"/>
          </w:tcPr>
          <w:p>
            <w:pPr>
              <w:pStyle w:val="TableParagraph"/>
              <w:spacing w:line="221" w:lineRule="exact"/>
              <w:ind w:left="174" w:right="166"/>
              <w:rPr>
                <w:rFonts w:ascii="Times New Roman"/>
                <w:sz w:val="21"/>
              </w:rPr>
            </w:pPr>
            <w:r>
              <w:rPr>
                <w:rFonts w:ascii="Times New Roman"/>
                <w:sz w:val="21"/>
              </w:rPr>
              <w:t>0.08</w:t>
            </w:r>
          </w:p>
        </w:tc>
        <w:tc>
          <w:tcPr>
            <w:tcW w:w="1195" w:type="dxa"/>
          </w:tcPr>
          <w:p>
            <w:pPr>
              <w:pStyle w:val="TableParagraph"/>
              <w:spacing w:line="221" w:lineRule="exact"/>
              <w:ind w:right="294"/>
              <w:jc w:val="right"/>
              <w:rPr>
                <w:rFonts w:ascii="Times New Roman"/>
                <w:sz w:val="21"/>
              </w:rPr>
            </w:pPr>
            <w:r>
              <w:rPr>
                <w:rFonts w:ascii="Times New Roman"/>
                <w:sz w:val="21"/>
              </w:rPr>
              <w:t>224.09</w:t>
            </w:r>
          </w:p>
        </w:tc>
        <w:tc>
          <w:tcPr>
            <w:tcW w:w="1192" w:type="dxa"/>
          </w:tcPr>
          <w:p>
            <w:pPr>
              <w:pStyle w:val="TableParagraph"/>
              <w:spacing w:line="221" w:lineRule="exact"/>
              <w:ind w:left="180" w:right="166"/>
              <w:rPr>
                <w:rFonts w:ascii="Times New Roman"/>
                <w:sz w:val="21"/>
              </w:rPr>
            </w:pPr>
            <w:r>
              <w:rPr>
                <w:rFonts w:ascii="Times New Roman"/>
                <w:sz w:val="21"/>
              </w:rPr>
              <w:t>3534.01</w:t>
            </w:r>
          </w:p>
        </w:tc>
        <w:tc>
          <w:tcPr>
            <w:tcW w:w="1195" w:type="dxa"/>
          </w:tcPr>
          <w:p>
            <w:pPr>
              <w:pStyle w:val="TableParagraph"/>
              <w:spacing w:line="221" w:lineRule="exact"/>
              <w:ind w:left="182" w:right="170"/>
              <w:rPr>
                <w:rFonts w:ascii="Times New Roman"/>
                <w:sz w:val="21"/>
              </w:rPr>
            </w:pPr>
            <w:r>
              <w:rPr>
                <w:rFonts w:ascii="Times New Roman"/>
                <w:sz w:val="21"/>
              </w:rPr>
              <w:t>7943.84</w:t>
            </w:r>
          </w:p>
        </w:tc>
        <w:tc>
          <w:tcPr>
            <w:tcW w:w="1192" w:type="dxa"/>
          </w:tcPr>
          <w:p>
            <w:pPr>
              <w:pStyle w:val="TableParagraph"/>
              <w:spacing w:line="221" w:lineRule="exact"/>
              <w:ind w:right="185"/>
              <w:jc w:val="right"/>
              <w:rPr>
                <w:rFonts w:ascii="Times New Roman"/>
                <w:sz w:val="21"/>
              </w:rPr>
            </w:pPr>
            <w:r>
              <w:rPr>
                <w:rFonts w:ascii="Times New Roman"/>
                <w:sz w:val="21"/>
              </w:rPr>
              <w:t>12321.50</w:t>
            </w:r>
          </w:p>
        </w:tc>
        <w:tc>
          <w:tcPr>
            <w:tcW w:w="1194" w:type="dxa"/>
          </w:tcPr>
          <w:p>
            <w:pPr>
              <w:pStyle w:val="TableParagraph"/>
              <w:spacing w:line="221" w:lineRule="exact"/>
              <w:ind w:left="185" w:right="169"/>
              <w:rPr>
                <w:rFonts w:ascii="Times New Roman"/>
                <w:sz w:val="21"/>
              </w:rPr>
            </w:pPr>
            <w:r>
              <w:rPr>
                <w:rFonts w:ascii="Times New Roman"/>
                <w:sz w:val="21"/>
              </w:rPr>
              <w:t>13702.89</w:t>
            </w:r>
          </w:p>
        </w:tc>
        <w:tc>
          <w:tcPr>
            <w:tcW w:w="1192" w:type="dxa"/>
          </w:tcPr>
          <w:p>
            <w:pPr>
              <w:pStyle w:val="TableParagraph"/>
              <w:spacing w:line="221" w:lineRule="exact"/>
              <w:ind w:left="182" w:right="160"/>
              <w:rPr>
                <w:rFonts w:ascii="Times New Roman"/>
                <w:sz w:val="21"/>
              </w:rPr>
            </w:pPr>
            <w:r>
              <w:rPr>
                <w:rFonts w:ascii="Times New Roman"/>
                <w:sz w:val="21"/>
              </w:rPr>
              <w:t>14234.71</w:t>
            </w:r>
          </w:p>
        </w:tc>
      </w:tr>
      <w:tr>
        <w:trPr>
          <w:trHeight w:val="241" w:hRule="atLeast"/>
        </w:trPr>
        <w:tc>
          <w:tcPr>
            <w:tcW w:w="650" w:type="dxa"/>
          </w:tcPr>
          <w:p>
            <w:pPr>
              <w:pStyle w:val="TableParagraph"/>
              <w:spacing w:line="221" w:lineRule="exact"/>
              <w:ind w:left="36" w:right="28"/>
              <w:rPr>
                <w:rFonts w:ascii="Times New Roman"/>
                <w:sz w:val="21"/>
              </w:rPr>
            </w:pPr>
            <w:r>
              <w:rPr>
                <w:rFonts w:ascii="Times New Roman"/>
                <w:sz w:val="21"/>
              </w:rPr>
              <w:t>9m</w:t>
            </w:r>
          </w:p>
        </w:tc>
        <w:tc>
          <w:tcPr>
            <w:tcW w:w="1192" w:type="dxa"/>
          </w:tcPr>
          <w:p>
            <w:pPr>
              <w:pStyle w:val="TableParagraph"/>
              <w:spacing w:line="221" w:lineRule="exact"/>
              <w:ind w:left="174" w:right="166"/>
              <w:rPr>
                <w:rFonts w:ascii="Times New Roman"/>
                <w:sz w:val="21"/>
              </w:rPr>
            </w:pPr>
            <w:r>
              <w:rPr>
                <w:rFonts w:ascii="Times New Roman"/>
                <w:sz w:val="21"/>
              </w:rPr>
              <w:t>0.02</w:t>
            </w:r>
          </w:p>
        </w:tc>
        <w:tc>
          <w:tcPr>
            <w:tcW w:w="1195" w:type="dxa"/>
          </w:tcPr>
          <w:p>
            <w:pPr>
              <w:pStyle w:val="TableParagraph"/>
              <w:spacing w:line="221" w:lineRule="exact"/>
              <w:ind w:right="294"/>
              <w:jc w:val="right"/>
              <w:rPr>
                <w:rFonts w:ascii="Times New Roman"/>
                <w:sz w:val="21"/>
              </w:rPr>
            </w:pPr>
            <w:r>
              <w:rPr>
                <w:rFonts w:ascii="Times New Roman"/>
                <w:sz w:val="21"/>
              </w:rPr>
              <w:t>147.76</w:t>
            </w:r>
          </w:p>
        </w:tc>
        <w:tc>
          <w:tcPr>
            <w:tcW w:w="1192" w:type="dxa"/>
          </w:tcPr>
          <w:p>
            <w:pPr>
              <w:pStyle w:val="TableParagraph"/>
              <w:spacing w:line="221" w:lineRule="exact"/>
              <w:ind w:left="180" w:right="166"/>
              <w:rPr>
                <w:rFonts w:ascii="Times New Roman"/>
                <w:sz w:val="21"/>
              </w:rPr>
            </w:pPr>
            <w:r>
              <w:rPr>
                <w:rFonts w:ascii="Times New Roman"/>
                <w:sz w:val="21"/>
              </w:rPr>
              <w:t>3111.92</w:t>
            </w:r>
          </w:p>
        </w:tc>
        <w:tc>
          <w:tcPr>
            <w:tcW w:w="1195" w:type="dxa"/>
          </w:tcPr>
          <w:p>
            <w:pPr>
              <w:pStyle w:val="TableParagraph"/>
              <w:spacing w:line="221" w:lineRule="exact"/>
              <w:ind w:left="182" w:right="170"/>
              <w:rPr>
                <w:rFonts w:ascii="Times New Roman"/>
                <w:sz w:val="21"/>
              </w:rPr>
            </w:pPr>
            <w:r>
              <w:rPr>
                <w:rFonts w:ascii="Times New Roman"/>
                <w:sz w:val="21"/>
              </w:rPr>
              <w:t>7544.69</w:t>
            </w:r>
          </w:p>
        </w:tc>
        <w:tc>
          <w:tcPr>
            <w:tcW w:w="1192" w:type="dxa"/>
          </w:tcPr>
          <w:p>
            <w:pPr>
              <w:pStyle w:val="TableParagraph"/>
              <w:spacing w:line="221" w:lineRule="exact"/>
              <w:ind w:right="185"/>
              <w:jc w:val="right"/>
              <w:rPr>
                <w:rFonts w:ascii="Times New Roman"/>
                <w:sz w:val="21"/>
              </w:rPr>
            </w:pPr>
            <w:r>
              <w:rPr>
                <w:rFonts w:ascii="Times New Roman"/>
                <w:sz w:val="21"/>
              </w:rPr>
              <w:t>12139.79</w:t>
            </w:r>
          </w:p>
        </w:tc>
        <w:tc>
          <w:tcPr>
            <w:tcW w:w="1194" w:type="dxa"/>
          </w:tcPr>
          <w:p>
            <w:pPr>
              <w:pStyle w:val="TableParagraph"/>
              <w:spacing w:line="221" w:lineRule="exact"/>
              <w:ind w:left="184" w:right="170"/>
              <w:rPr>
                <w:rFonts w:ascii="Times New Roman"/>
                <w:sz w:val="21"/>
              </w:rPr>
            </w:pPr>
            <w:r>
              <w:rPr>
                <w:rFonts w:ascii="Times New Roman"/>
                <w:sz w:val="21"/>
              </w:rPr>
              <w:t>13611.54</w:t>
            </w:r>
          </w:p>
        </w:tc>
        <w:tc>
          <w:tcPr>
            <w:tcW w:w="1192" w:type="dxa"/>
          </w:tcPr>
          <w:p>
            <w:pPr>
              <w:pStyle w:val="TableParagraph"/>
              <w:spacing w:line="221" w:lineRule="exact"/>
              <w:ind w:left="182" w:right="160"/>
              <w:rPr>
                <w:rFonts w:ascii="Times New Roman"/>
                <w:sz w:val="21"/>
              </w:rPr>
            </w:pPr>
            <w:r>
              <w:rPr>
                <w:rFonts w:ascii="Times New Roman"/>
                <w:sz w:val="21"/>
              </w:rPr>
              <w:t>14180.09</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9.5m</w:t>
            </w:r>
          </w:p>
        </w:tc>
        <w:tc>
          <w:tcPr>
            <w:tcW w:w="1192" w:type="dxa"/>
          </w:tcPr>
          <w:p>
            <w:pPr>
              <w:pStyle w:val="TableParagraph"/>
              <w:spacing w:line="221" w:lineRule="exact"/>
              <w:ind w:left="174" w:right="166"/>
              <w:rPr>
                <w:rFonts w:ascii="Times New Roman"/>
                <w:sz w:val="21"/>
              </w:rPr>
            </w:pPr>
            <w:r>
              <w:rPr>
                <w:rFonts w:ascii="Times New Roman"/>
                <w:sz w:val="21"/>
              </w:rPr>
              <w:t>0.01</w:t>
            </w:r>
          </w:p>
        </w:tc>
        <w:tc>
          <w:tcPr>
            <w:tcW w:w="1195" w:type="dxa"/>
          </w:tcPr>
          <w:p>
            <w:pPr>
              <w:pStyle w:val="TableParagraph"/>
              <w:spacing w:line="221" w:lineRule="exact"/>
              <w:ind w:right="349"/>
              <w:jc w:val="right"/>
              <w:rPr>
                <w:rFonts w:ascii="Times New Roman"/>
                <w:sz w:val="21"/>
              </w:rPr>
            </w:pPr>
            <w:r>
              <w:rPr>
                <w:rFonts w:ascii="Times New Roman"/>
                <w:sz w:val="21"/>
              </w:rPr>
              <w:t>95.49</w:t>
            </w:r>
          </w:p>
        </w:tc>
        <w:tc>
          <w:tcPr>
            <w:tcW w:w="1192" w:type="dxa"/>
          </w:tcPr>
          <w:p>
            <w:pPr>
              <w:pStyle w:val="TableParagraph"/>
              <w:spacing w:line="221" w:lineRule="exact"/>
              <w:ind w:left="180" w:right="166"/>
              <w:rPr>
                <w:rFonts w:ascii="Times New Roman"/>
                <w:sz w:val="21"/>
              </w:rPr>
            </w:pPr>
            <w:r>
              <w:rPr>
                <w:rFonts w:ascii="Times New Roman"/>
                <w:sz w:val="21"/>
              </w:rPr>
              <w:t>2726.48</w:t>
            </w:r>
          </w:p>
        </w:tc>
        <w:tc>
          <w:tcPr>
            <w:tcW w:w="1195" w:type="dxa"/>
          </w:tcPr>
          <w:p>
            <w:pPr>
              <w:pStyle w:val="TableParagraph"/>
              <w:spacing w:line="221" w:lineRule="exact"/>
              <w:ind w:left="182" w:right="170"/>
              <w:rPr>
                <w:rFonts w:ascii="Times New Roman"/>
                <w:sz w:val="21"/>
              </w:rPr>
            </w:pPr>
            <w:r>
              <w:rPr>
                <w:rFonts w:ascii="Times New Roman"/>
                <w:sz w:val="21"/>
              </w:rPr>
              <w:t>7153.56</w:t>
            </w:r>
          </w:p>
        </w:tc>
        <w:tc>
          <w:tcPr>
            <w:tcW w:w="1192" w:type="dxa"/>
          </w:tcPr>
          <w:p>
            <w:pPr>
              <w:pStyle w:val="TableParagraph"/>
              <w:spacing w:line="221" w:lineRule="exact"/>
              <w:ind w:right="190"/>
              <w:jc w:val="right"/>
              <w:rPr>
                <w:rFonts w:ascii="Times New Roman"/>
                <w:sz w:val="21"/>
              </w:rPr>
            </w:pPr>
            <w:r>
              <w:rPr>
                <w:rFonts w:ascii="Times New Roman"/>
                <w:sz w:val="21"/>
              </w:rPr>
              <w:t>11956.12</w:t>
            </w:r>
          </w:p>
        </w:tc>
        <w:tc>
          <w:tcPr>
            <w:tcW w:w="1194" w:type="dxa"/>
          </w:tcPr>
          <w:p>
            <w:pPr>
              <w:pStyle w:val="TableParagraph"/>
              <w:spacing w:line="221" w:lineRule="exact"/>
              <w:ind w:left="185" w:right="169"/>
              <w:rPr>
                <w:rFonts w:ascii="Times New Roman"/>
                <w:sz w:val="21"/>
              </w:rPr>
            </w:pPr>
            <w:r>
              <w:rPr>
                <w:rFonts w:ascii="Times New Roman"/>
                <w:sz w:val="21"/>
              </w:rPr>
              <w:t>13518.61</w:t>
            </w:r>
          </w:p>
        </w:tc>
        <w:tc>
          <w:tcPr>
            <w:tcW w:w="1192" w:type="dxa"/>
          </w:tcPr>
          <w:p>
            <w:pPr>
              <w:pStyle w:val="TableParagraph"/>
              <w:spacing w:line="221" w:lineRule="exact"/>
              <w:ind w:left="182" w:right="160"/>
              <w:rPr>
                <w:rFonts w:ascii="Times New Roman"/>
                <w:sz w:val="21"/>
              </w:rPr>
            </w:pPr>
            <w:r>
              <w:rPr>
                <w:rFonts w:ascii="Times New Roman"/>
                <w:sz w:val="21"/>
              </w:rPr>
              <w:t>14124.39</w:t>
            </w:r>
          </w:p>
        </w:tc>
      </w:tr>
      <w:tr>
        <w:trPr>
          <w:trHeight w:val="239" w:hRule="atLeast"/>
        </w:trPr>
        <w:tc>
          <w:tcPr>
            <w:tcW w:w="650" w:type="dxa"/>
          </w:tcPr>
          <w:p>
            <w:pPr>
              <w:pStyle w:val="TableParagraph"/>
              <w:spacing w:line="220" w:lineRule="exact"/>
              <w:ind w:left="36" w:right="28"/>
              <w:rPr>
                <w:rFonts w:ascii="Times New Roman"/>
                <w:sz w:val="21"/>
              </w:rPr>
            </w:pPr>
            <w:r>
              <w:rPr>
                <w:rFonts w:ascii="Times New Roman"/>
                <w:sz w:val="21"/>
              </w:rPr>
              <w:t>10m</w:t>
            </w:r>
          </w:p>
        </w:tc>
        <w:tc>
          <w:tcPr>
            <w:tcW w:w="1192" w:type="dxa"/>
          </w:tcPr>
          <w:p>
            <w:pPr>
              <w:pStyle w:val="TableParagraph"/>
              <w:spacing w:line="220" w:lineRule="exact"/>
              <w:ind w:left="174" w:right="166"/>
              <w:rPr>
                <w:rFonts w:ascii="Times New Roman"/>
                <w:sz w:val="21"/>
              </w:rPr>
            </w:pPr>
            <w:r>
              <w:rPr>
                <w:rFonts w:ascii="Times New Roman"/>
                <w:sz w:val="21"/>
              </w:rPr>
              <w:t>0.00</w:t>
            </w:r>
          </w:p>
        </w:tc>
        <w:tc>
          <w:tcPr>
            <w:tcW w:w="1195" w:type="dxa"/>
          </w:tcPr>
          <w:p>
            <w:pPr>
              <w:pStyle w:val="TableParagraph"/>
              <w:spacing w:line="220" w:lineRule="exact"/>
              <w:ind w:right="349"/>
              <w:jc w:val="right"/>
              <w:rPr>
                <w:rFonts w:ascii="Times New Roman"/>
                <w:sz w:val="21"/>
              </w:rPr>
            </w:pPr>
            <w:r>
              <w:rPr>
                <w:rFonts w:ascii="Times New Roman"/>
                <w:sz w:val="21"/>
              </w:rPr>
              <w:t>60.47</w:t>
            </w:r>
          </w:p>
        </w:tc>
        <w:tc>
          <w:tcPr>
            <w:tcW w:w="1192" w:type="dxa"/>
          </w:tcPr>
          <w:p>
            <w:pPr>
              <w:pStyle w:val="TableParagraph"/>
              <w:spacing w:line="220" w:lineRule="exact"/>
              <w:ind w:left="180" w:right="166"/>
              <w:rPr>
                <w:rFonts w:ascii="Times New Roman"/>
                <w:sz w:val="21"/>
              </w:rPr>
            </w:pPr>
            <w:r>
              <w:rPr>
                <w:rFonts w:ascii="Times New Roman"/>
                <w:sz w:val="21"/>
              </w:rPr>
              <w:t>2376.67</w:t>
            </w:r>
          </w:p>
        </w:tc>
        <w:tc>
          <w:tcPr>
            <w:tcW w:w="1195" w:type="dxa"/>
          </w:tcPr>
          <w:p>
            <w:pPr>
              <w:pStyle w:val="TableParagraph"/>
              <w:spacing w:line="220" w:lineRule="exact"/>
              <w:ind w:left="182" w:right="170"/>
              <w:rPr>
                <w:rFonts w:ascii="Times New Roman"/>
                <w:sz w:val="21"/>
              </w:rPr>
            </w:pPr>
            <w:r>
              <w:rPr>
                <w:rFonts w:ascii="Times New Roman"/>
                <w:sz w:val="21"/>
              </w:rPr>
              <w:t>6771.21</w:t>
            </w:r>
          </w:p>
        </w:tc>
        <w:tc>
          <w:tcPr>
            <w:tcW w:w="1192" w:type="dxa"/>
          </w:tcPr>
          <w:p>
            <w:pPr>
              <w:pStyle w:val="TableParagraph"/>
              <w:spacing w:line="220" w:lineRule="exact"/>
              <w:ind w:right="190"/>
              <w:jc w:val="right"/>
              <w:rPr>
                <w:rFonts w:ascii="Times New Roman"/>
                <w:sz w:val="21"/>
              </w:rPr>
            </w:pPr>
            <w:r>
              <w:rPr>
                <w:rFonts w:ascii="Times New Roman"/>
                <w:sz w:val="21"/>
              </w:rPr>
              <w:t>11770.61</w:t>
            </w:r>
          </w:p>
        </w:tc>
        <w:tc>
          <w:tcPr>
            <w:tcW w:w="1194" w:type="dxa"/>
          </w:tcPr>
          <w:p>
            <w:pPr>
              <w:pStyle w:val="TableParagraph"/>
              <w:spacing w:line="220" w:lineRule="exact"/>
              <w:ind w:left="184" w:right="170"/>
              <w:rPr>
                <w:rFonts w:ascii="Times New Roman"/>
                <w:sz w:val="21"/>
              </w:rPr>
            </w:pPr>
            <w:r>
              <w:rPr>
                <w:rFonts w:ascii="Times New Roman"/>
                <w:sz w:val="21"/>
              </w:rPr>
              <w:t>13424.11</w:t>
            </w:r>
          </w:p>
        </w:tc>
        <w:tc>
          <w:tcPr>
            <w:tcW w:w="1192" w:type="dxa"/>
          </w:tcPr>
          <w:p>
            <w:pPr>
              <w:pStyle w:val="TableParagraph"/>
              <w:spacing w:line="220" w:lineRule="exact"/>
              <w:ind w:left="182" w:right="160"/>
              <w:rPr>
                <w:rFonts w:ascii="Times New Roman"/>
                <w:sz w:val="21"/>
              </w:rPr>
            </w:pPr>
            <w:r>
              <w:rPr>
                <w:rFonts w:ascii="Times New Roman"/>
                <w:sz w:val="21"/>
              </w:rPr>
              <w:t>14067.62</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10.5m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right="349"/>
              <w:jc w:val="right"/>
              <w:rPr>
                <w:rFonts w:ascii="Times New Roman"/>
                <w:sz w:val="21"/>
              </w:rPr>
            </w:pPr>
            <w:r>
              <w:rPr>
                <w:rFonts w:ascii="Times New Roman"/>
                <w:sz w:val="21"/>
              </w:rPr>
              <w:t>37.53</w:t>
            </w:r>
          </w:p>
        </w:tc>
        <w:tc>
          <w:tcPr>
            <w:tcW w:w="1192" w:type="dxa"/>
          </w:tcPr>
          <w:p>
            <w:pPr>
              <w:pStyle w:val="TableParagraph"/>
              <w:spacing w:line="221" w:lineRule="exact"/>
              <w:ind w:left="180" w:right="166"/>
              <w:rPr>
                <w:rFonts w:ascii="Times New Roman"/>
                <w:sz w:val="21"/>
              </w:rPr>
            </w:pPr>
            <w:r>
              <w:rPr>
                <w:rFonts w:ascii="Times New Roman"/>
                <w:sz w:val="21"/>
              </w:rPr>
              <w:t>2061.17</w:t>
            </w:r>
          </w:p>
        </w:tc>
        <w:tc>
          <w:tcPr>
            <w:tcW w:w="1195" w:type="dxa"/>
          </w:tcPr>
          <w:p>
            <w:pPr>
              <w:pStyle w:val="TableParagraph"/>
              <w:spacing w:line="221" w:lineRule="exact"/>
              <w:ind w:left="182" w:right="170"/>
              <w:rPr>
                <w:rFonts w:ascii="Times New Roman"/>
                <w:sz w:val="21"/>
              </w:rPr>
            </w:pPr>
            <w:r>
              <w:rPr>
                <w:rFonts w:ascii="Times New Roman"/>
                <w:sz w:val="21"/>
              </w:rPr>
              <w:t>6398.34</w:t>
            </w:r>
          </w:p>
        </w:tc>
        <w:tc>
          <w:tcPr>
            <w:tcW w:w="1192" w:type="dxa"/>
          </w:tcPr>
          <w:p>
            <w:pPr>
              <w:pStyle w:val="TableParagraph"/>
              <w:spacing w:line="221" w:lineRule="exact"/>
              <w:ind w:right="190"/>
              <w:jc w:val="right"/>
              <w:rPr>
                <w:rFonts w:ascii="Times New Roman"/>
                <w:sz w:val="21"/>
              </w:rPr>
            </w:pPr>
            <w:r>
              <w:rPr>
                <w:rFonts w:ascii="Times New Roman"/>
                <w:sz w:val="21"/>
              </w:rPr>
              <w:t>11583.39</w:t>
            </w:r>
          </w:p>
        </w:tc>
        <w:tc>
          <w:tcPr>
            <w:tcW w:w="1194" w:type="dxa"/>
          </w:tcPr>
          <w:p>
            <w:pPr>
              <w:pStyle w:val="TableParagraph"/>
              <w:spacing w:line="221" w:lineRule="exact"/>
              <w:ind w:left="185" w:right="169"/>
              <w:rPr>
                <w:rFonts w:ascii="Times New Roman"/>
                <w:sz w:val="21"/>
              </w:rPr>
            </w:pPr>
            <w:r>
              <w:rPr>
                <w:rFonts w:ascii="Times New Roman"/>
                <w:sz w:val="21"/>
              </w:rPr>
              <w:t>13328.07</w:t>
            </w:r>
          </w:p>
        </w:tc>
        <w:tc>
          <w:tcPr>
            <w:tcW w:w="1192" w:type="dxa"/>
          </w:tcPr>
          <w:p>
            <w:pPr>
              <w:pStyle w:val="TableParagraph"/>
              <w:spacing w:line="221" w:lineRule="exact"/>
              <w:ind w:left="182" w:right="160"/>
              <w:rPr>
                <w:rFonts w:ascii="Times New Roman"/>
                <w:sz w:val="21"/>
              </w:rPr>
            </w:pPr>
            <w:r>
              <w:rPr>
                <w:rFonts w:ascii="Times New Roman"/>
                <w:sz w:val="21"/>
              </w:rPr>
              <w:t>14009.77</w:t>
            </w:r>
          </w:p>
        </w:tc>
      </w:tr>
      <w:tr>
        <w:trPr>
          <w:trHeight w:val="242" w:hRule="atLeast"/>
        </w:trPr>
        <w:tc>
          <w:tcPr>
            <w:tcW w:w="650" w:type="dxa"/>
          </w:tcPr>
          <w:p>
            <w:pPr>
              <w:pStyle w:val="TableParagraph"/>
              <w:spacing w:line="221" w:lineRule="exact"/>
              <w:ind w:left="39" w:right="28"/>
              <w:rPr>
                <w:rFonts w:ascii="Times New Roman"/>
                <w:sz w:val="21"/>
              </w:rPr>
            </w:pPr>
            <w:r>
              <w:rPr>
                <w:rFonts w:ascii="Times New Roman"/>
                <w:sz w:val="21"/>
              </w:rPr>
              <w:t>11m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right="349"/>
              <w:jc w:val="right"/>
              <w:rPr>
                <w:rFonts w:ascii="Times New Roman"/>
                <w:sz w:val="21"/>
              </w:rPr>
            </w:pPr>
            <w:r>
              <w:rPr>
                <w:rFonts w:ascii="Times New Roman"/>
                <w:sz w:val="21"/>
              </w:rPr>
              <w:t>22.81</w:t>
            </w:r>
          </w:p>
        </w:tc>
        <w:tc>
          <w:tcPr>
            <w:tcW w:w="1192" w:type="dxa"/>
          </w:tcPr>
          <w:p>
            <w:pPr>
              <w:pStyle w:val="TableParagraph"/>
              <w:spacing w:line="221" w:lineRule="exact"/>
              <w:ind w:left="180" w:right="166"/>
              <w:rPr>
                <w:rFonts w:ascii="Times New Roman"/>
                <w:sz w:val="21"/>
              </w:rPr>
            </w:pPr>
            <w:r>
              <w:rPr>
                <w:rFonts w:ascii="Times New Roman"/>
                <w:sz w:val="21"/>
              </w:rPr>
              <w:t>1778.36</w:t>
            </w:r>
          </w:p>
        </w:tc>
        <w:tc>
          <w:tcPr>
            <w:tcW w:w="1195" w:type="dxa"/>
          </w:tcPr>
          <w:p>
            <w:pPr>
              <w:pStyle w:val="TableParagraph"/>
              <w:spacing w:line="221" w:lineRule="exact"/>
              <w:ind w:left="182" w:right="170"/>
              <w:rPr>
                <w:rFonts w:ascii="Times New Roman"/>
                <w:sz w:val="21"/>
              </w:rPr>
            </w:pPr>
            <w:r>
              <w:rPr>
                <w:rFonts w:ascii="Times New Roman"/>
                <w:sz w:val="21"/>
              </w:rPr>
              <w:t>6035.59</w:t>
            </w:r>
          </w:p>
        </w:tc>
        <w:tc>
          <w:tcPr>
            <w:tcW w:w="1192" w:type="dxa"/>
          </w:tcPr>
          <w:p>
            <w:pPr>
              <w:pStyle w:val="TableParagraph"/>
              <w:spacing w:line="221" w:lineRule="exact"/>
              <w:ind w:right="190"/>
              <w:jc w:val="right"/>
              <w:rPr>
                <w:rFonts w:ascii="Times New Roman"/>
                <w:sz w:val="21"/>
              </w:rPr>
            </w:pPr>
            <w:r>
              <w:rPr>
                <w:rFonts w:ascii="Times New Roman"/>
                <w:sz w:val="21"/>
              </w:rPr>
              <w:t>11394.61</w:t>
            </w:r>
          </w:p>
        </w:tc>
        <w:tc>
          <w:tcPr>
            <w:tcW w:w="1194" w:type="dxa"/>
          </w:tcPr>
          <w:p>
            <w:pPr>
              <w:pStyle w:val="TableParagraph"/>
              <w:spacing w:line="221" w:lineRule="exact"/>
              <w:ind w:left="185" w:right="169"/>
              <w:rPr>
                <w:rFonts w:ascii="Times New Roman"/>
                <w:sz w:val="21"/>
              </w:rPr>
            </w:pPr>
            <w:r>
              <w:rPr>
                <w:rFonts w:ascii="Times New Roman"/>
                <w:sz w:val="21"/>
              </w:rPr>
              <w:t>13230.51</w:t>
            </w:r>
          </w:p>
        </w:tc>
        <w:tc>
          <w:tcPr>
            <w:tcW w:w="1192" w:type="dxa"/>
          </w:tcPr>
          <w:p>
            <w:pPr>
              <w:pStyle w:val="TableParagraph"/>
              <w:spacing w:line="221" w:lineRule="exact"/>
              <w:ind w:left="182" w:right="160"/>
              <w:rPr>
                <w:rFonts w:ascii="Times New Roman"/>
                <w:sz w:val="21"/>
              </w:rPr>
            </w:pPr>
            <w:r>
              <w:rPr>
                <w:rFonts w:ascii="Times New Roman"/>
                <w:sz w:val="21"/>
              </w:rPr>
              <w:t>13950.85</w:t>
            </w:r>
          </w:p>
        </w:tc>
      </w:tr>
      <w:tr>
        <w:trPr>
          <w:trHeight w:val="242" w:hRule="atLeast"/>
        </w:trPr>
        <w:tc>
          <w:tcPr>
            <w:tcW w:w="650" w:type="dxa"/>
          </w:tcPr>
          <w:p>
            <w:pPr>
              <w:pStyle w:val="TableParagraph"/>
              <w:spacing w:line="221" w:lineRule="exact" w:before="1"/>
              <w:ind w:left="39" w:right="28"/>
              <w:rPr>
                <w:rFonts w:ascii="Times New Roman"/>
                <w:sz w:val="21"/>
              </w:rPr>
            </w:pPr>
            <w:r>
              <w:rPr>
                <w:rFonts w:ascii="Times New Roman"/>
                <w:sz w:val="21"/>
              </w:rPr>
              <w:t>11.5m</w:t>
            </w:r>
          </w:p>
        </w:tc>
        <w:tc>
          <w:tcPr>
            <w:tcW w:w="1192" w:type="dxa"/>
          </w:tcPr>
          <w:p>
            <w:pPr>
              <w:pStyle w:val="TableParagraph"/>
              <w:spacing w:line="221" w:lineRule="exact" w:before="1"/>
              <w:ind w:left="174" w:right="166"/>
              <w:rPr>
                <w:rFonts w:ascii="Times New Roman"/>
                <w:sz w:val="21"/>
              </w:rPr>
            </w:pPr>
            <w:r>
              <w:rPr>
                <w:rFonts w:ascii="Times New Roman"/>
                <w:sz w:val="21"/>
              </w:rPr>
              <w:t>0.00</w:t>
            </w:r>
          </w:p>
        </w:tc>
        <w:tc>
          <w:tcPr>
            <w:tcW w:w="1195" w:type="dxa"/>
          </w:tcPr>
          <w:p>
            <w:pPr>
              <w:pStyle w:val="TableParagraph"/>
              <w:spacing w:line="221" w:lineRule="exact" w:before="1"/>
              <w:ind w:right="349"/>
              <w:jc w:val="right"/>
              <w:rPr>
                <w:rFonts w:ascii="Times New Roman"/>
                <w:sz w:val="21"/>
              </w:rPr>
            </w:pPr>
            <w:r>
              <w:rPr>
                <w:rFonts w:ascii="Times New Roman"/>
                <w:sz w:val="21"/>
              </w:rPr>
              <w:t>13.59</w:t>
            </w:r>
          </w:p>
        </w:tc>
        <w:tc>
          <w:tcPr>
            <w:tcW w:w="1192" w:type="dxa"/>
          </w:tcPr>
          <w:p>
            <w:pPr>
              <w:pStyle w:val="TableParagraph"/>
              <w:spacing w:line="221" w:lineRule="exact" w:before="1"/>
              <w:ind w:left="180" w:right="166"/>
              <w:rPr>
                <w:rFonts w:ascii="Times New Roman"/>
                <w:sz w:val="21"/>
              </w:rPr>
            </w:pPr>
            <w:r>
              <w:rPr>
                <w:rFonts w:ascii="Times New Roman"/>
                <w:sz w:val="21"/>
              </w:rPr>
              <w:t>1526.41</w:t>
            </w:r>
          </w:p>
        </w:tc>
        <w:tc>
          <w:tcPr>
            <w:tcW w:w="1195" w:type="dxa"/>
          </w:tcPr>
          <w:p>
            <w:pPr>
              <w:pStyle w:val="TableParagraph"/>
              <w:spacing w:line="221" w:lineRule="exact" w:before="1"/>
              <w:ind w:left="182" w:right="170"/>
              <w:rPr>
                <w:rFonts w:ascii="Times New Roman"/>
                <w:sz w:val="21"/>
              </w:rPr>
            </w:pPr>
            <w:r>
              <w:rPr>
                <w:rFonts w:ascii="Times New Roman"/>
                <w:sz w:val="21"/>
              </w:rPr>
              <w:t>5683.52</w:t>
            </w:r>
          </w:p>
        </w:tc>
        <w:tc>
          <w:tcPr>
            <w:tcW w:w="1192" w:type="dxa"/>
          </w:tcPr>
          <w:p>
            <w:pPr>
              <w:pStyle w:val="TableParagraph"/>
              <w:spacing w:line="221" w:lineRule="exact" w:before="1"/>
              <w:ind w:right="190"/>
              <w:jc w:val="right"/>
              <w:rPr>
                <w:rFonts w:ascii="Times New Roman"/>
                <w:sz w:val="21"/>
              </w:rPr>
            </w:pPr>
            <w:r>
              <w:rPr>
                <w:rFonts w:ascii="Times New Roman"/>
                <w:sz w:val="21"/>
              </w:rPr>
              <w:t>11204.41</w:t>
            </w:r>
          </w:p>
        </w:tc>
        <w:tc>
          <w:tcPr>
            <w:tcW w:w="1194" w:type="dxa"/>
          </w:tcPr>
          <w:p>
            <w:pPr>
              <w:pStyle w:val="TableParagraph"/>
              <w:spacing w:line="221" w:lineRule="exact" w:before="1"/>
              <w:ind w:left="185" w:right="169"/>
              <w:rPr>
                <w:rFonts w:ascii="Times New Roman"/>
                <w:sz w:val="21"/>
              </w:rPr>
            </w:pPr>
            <w:r>
              <w:rPr>
                <w:rFonts w:ascii="Times New Roman"/>
                <w:sz w:val="21"/>
              </w:rPr>
              <w:t>13131.44</w:t>
            </w:r>
          </w:p>
        </w:tc>
        <w:tc>
          <w:tcPr>
            <w:tcW w:w="1192" w:type="dxa"/>
          </w:tcPr>
          <w:p>
            <w:pPr>
              <w:pStyle w:val="TableParagraph"/>
              <w:spacing w:line="221" w:lineRule="exact" w:before="1"/>
              <w:ind w:left="182" w:right="160"/>
              <w:rPr>
                <w:rFonts w:ascii="Times New Roman"/>
                <w:sz w:val="21"/>
              </w:rPr>
            </w:pPr>
            <w:r>
              <w:rPr>
                <w:rFonts w:ascii="Times New Roman"/>
                <w:sz w:val="21"/>
              </w:rPr>
              <w:t>13890.86</w:t>
            </w:r>
          </w:p>
        </w:tc>
      </w:tr>
      <w:tr>
        <w:trPr>
          <w:trHeight w:val="239" w:hRule="atLeast"/>
        </w:trPr>
        <w:tc>
          <w:tcPr>
            <w:tcW w:w="650" w:type="dxa"/>
          </w:tcPr>
          <w:p>
            <w:pPr>
              <w:pStyle w:val="TableParagraph"/>
              <w:spacing w:line="220" w:lineRule="exact"/>
              <w:ind w:left="36" w:right="28"/>
              <w:rPr>
                <w:rFonts w:ascii="Times New Roman"/>
                <w:sz w:val="21"/>
              </w:rPr>
            </w:pPr>
            <w:r>
              <w:rPr>
                <w:rFonts w:ascii="Times New Roman"/>
                <w:sz w:val="21"/>
              </w:rPr>
              <w:t>12m</w:t>
            </w:r>
          </w:p>
        </w:tc>
        <w:tc>
          <w:tcPr>
            <w:tcW w:w="1192" w:type="dxa"/>
          </w:tcPr>
          <w:p>
            <w:pPr>
              <w:pStyle w:val="TableParagraph"/>
              <w:spacing w:line="220" w:lineRule="exact"/>
              <w:ind w:left="174" w:right="166"/>
              <w:rPr>
                <w:rFonts w:ascii="Times New Roman"/>
                <w:sz w:val="21"/>
              </w:rPr>
            </w:pPr>
            <w:r>
              <w:rPr>
                <w:rFonts w:ascii="Times New Roman"/>
                <w:sz w:val="21"/>
              </w:rPr>
              <w:t>0.00</w:t>
            </w:r>
          </w:p>
        </w:tc>
        <w:tc>
          <w:tcPr>
            <w:tcW w:w="1195" w:type="dxa"/>
          </w:tcPr>
          <w:p>
            <w:pPr>
              <w:pStyle w:val="TableParagraph"/>
              <w:spacing w:line="220" w:lineRule="exact"/>
              <w:ind w:left="179" w:right="172"/>
              <w:rPr>
                <w:rFonts w:ascii="Times New Roman"/>
                <w:sz w:val="21"/>
              </w:rPr>
            </w:pPr>
            <w:r>
              <w:rPr>
                <w:rFonts w:ascii="Times New Roman"/>
                <w:sz w:val="21"/>
              </w:rPr>
              <w:t>7.93</w:t>
            </w:r>
          </w:p>
        </w:tc>
        <w:tc>
          <w:tcPr>
            <w:tcW w:w="1192" w:type="dxa"/>
          </w:tcPr>
          <w:p>
            <w:pPr>
              <w:pStyle w:val="TableParagraph"/>
              <w:spacing w:line="220" w:lineRule="exact"/>
              <w:ind w:left="180" w:right="166"/>
              <w:rPr>
                <w:rFonts w:ascii="Times New Roman"/>
                <w:sz w:val="21"/>
              </w:rPr>
            </w:pPr>
            <w:r>
              <w:rPr>
                <w:rFonts w:ascii="Times New Roman"/>
                <w:sz w:val="21"/>
              </w:rPr>
              <w:t>1303.33</w:t>
            </w:r>
          </w:p>
        </w:tc>
        <w:tc>
          <w:tcPr>
            <w:tcW w:w="1195" w:type="dxa"/>
          </w:tcPr>
          <w:p>
            <w:pPr>
              <w:pStyle w:val="TableParagraph"/>
              <w:spacing w:line="220" w:lineRule="exact"/>
              <w:ind w:left="182" w:right="170"/>
              <w:rPr>
                <w:rFonts w:ascii="Times New Roman"/>
                <w:sz w:val="21"/>
              </w:rPr>
            </w:pPr>
            <w:r>
              <w:rPr>
                <w:rFonts w:ascii="Times New Roman"/>
                <w:sz w:val="21"/>
              </w:rPr>
              <w:t>5342.63</w:t>
            </w:r>
          </w:p>
        </w:tc>
        <w:tc>
          <w:tcPr>
            <w:tcW w:w="1192" w:type="dxa"/>
          </w:tcPr>
          <w:p>
            <w:pPr>
              <w:pStyle w:val="TableParagraph"/>
              <w:spacing w:line="220" w:lineRule="exact"/>
              <w:ind w:right="190"/>
              <w:jc w:val="right"/>
              <w:rPr>
                <w:rFonts w:ascii="Times New Roman"/>
                <w:sz w:val="21"/>
              </w:rPr>
            </w:pPr>
            <w:r>
              <w:rPr>
                <w:rFonts w:ascii="Times New Roman"/>
                <w:sz w:val="21"/>
              </w:rPr>
              <w:t>11012.91</w:t>
            </w:r>
          </w:p>
        </w:tc>
        <w:tc>
          <w:tcPr>
            <w:tcW w:w="1194" w:type="dxa"/>
          </w:tcPr>
          <w:p>
            <w:pPr>
              <w:pStyle w:val="TableParagraph"/>
              <w:spacing w:line="220" w:lineRule="exact"/>
              <w:ind w:left="185" w:right="169"/>
              <w:rPr>
                <w:rFonts w:ascii="Times New Roman"/>
                <w:sz w:val="21"/>
              </w:rPr>
            </w:pPr>
            <w:r>
              <w:rPr>
                <w:rFonts w:ascii="Times New Roman"/>
                <w:sz w:val="21"/>
              </w:rPr>
              <w:t>13030.90</w:t>
            </w:r>
          </w:p>
        </w:tc>
        <w:tc>
          <w:tcPr>
            <w:tcW w:w="1192" w:type="dxa"/>
          </w:tcPr>
          <w:p>
            <w:pPr>
              <w:pStyle w:val="TableParagraph"/>
              <w:spacing w:line="220" w:lineRule="exact"/>
              <w:ind w:left="182" w:right="160"/>
              <w:rPr>
                <w:rFonts w:ascii="Times New Roman"/>
                <w:sz w:val="21"/>
              </w:rPr>
            </w:pPr>
            <w:r>
              <w:rPr>
                <w:rFonts w:ascii="Times New Roman"/>
                <w:sz w:val="21"/>
              </w:rPr>
              <w:t>13829.81</w:t>
            </w:r>
          </w:p>
        </w:tc>
      </w:tr>
      <w:tr>
        <w:trPr>
          <w:trHeight w:val="241" w:hRule="atLeast"/>
        </w:trPr>
        <w:tc>
          <w:tcPr>
            <w:tcW w:w="650" w:type="dxa"/>
          </w:tcPr>
          <w:p>
            <w:pPr>
              <w:pStyle w:val="TableParagraph"/>
              <w:spacing w:line="221" w:lineRule="exact"/>
              <w:ind w:left="40" w:right="27"/>
              <w:rPr>
                <w:rFonts w:ascii="Times New Roman"/>
                <w:sz w:val="21"/>
              </w:rPr>
            </w:pPr>
            <w:r>
              <w:rPr>
                <w:rFonts w:ascii="Times New Roman"/>
                <w:sz w:val="21"/>
              </w:rPr>
              <w:t>12.5m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4.53</w:t>
            </w:r>
          </w:p>
        </w:tc>
        <w:tc>
          <w:tcPr>
            <w:tcW w:w="1192" w:type="dxa"/>
          </w:tcPr>
          <w:p>
            <w:pPr>
              <w:pStyle w:val="TableParagraph"/>
              <w:spacing w:line="221" w:lineRule="exact"/>
              <w:ind w:left="177" w:right="166"/>
              <w:rPr>
                <w:rFonts w:ascii="Times New Roman"/>
                <w:sz w:val="21"/>
              </w:rPr>
            </w:pPr>
            <w:r>
              <w:rPr>
                <w:rFonts w:ascii="Times New Roman"/>
                <w:sz w:val="21"/>
              </w:rPr>
              <w:t>1107.02</w:t>
            </w:r>
          </w:p>
        </w:tc>
        <w:tc>
          <w:tcPr>
            <w:tcW w:w="1195" w:type="dxa"/>
          </w:tcPr>
          <w:p>
            <w:pPr>
              <w:pStyle w:val="TableParagraph"/>
              <w:spacing w:line="221" w:lineRule="exact"/>
              <w:ind w:left="182" w:right="170"/>
              <w:rPr>
                <w:rFonts w:ascii="Times New Roman"/>
                <w:sz w:val="21"/>
              </w:rPr>
            </w:pPr>
            <w:r>
              <w:rPr>
                <w:rFonts w:ascii="Times New Roman"/>
                <w:sz w:val="21"/>
              </w:rPr>
              <w:t>5013.34</w:t>
            </w:r>
          </w:p>
        </w:tc>
        <w:tc>
          <w:tcPr>
            <w:tcW w:w="1192" w:type="dxa"/>
          </w:tcPr>
          <w:p>
            <w:pPr>
              <w:pStyle w:val="TableParagraph"/>
              <w:spacing w:line="221" w:lineRule="exact"/>
              <w:ind w:right="185"/>
              <w:jc w:val="right"/>
              <w:rPr>
                <w:rFonts w:ascii="Times New Roman"/>
                <w:sz w:val="21"/>
              </w:rPr>
            </w:pPr>
            <w:r>
              <w:rPr>
                <w:rFonts w:ascii="Times New Roman"/>
                <w:sz w:val="21"/>
              </w:rPr>
              <w:t>10820.27</w:t>
            </w:r>
          </w:p>
        </w:tc>
        <w:tc>
          <w:tcPr>
            <w:tcW w:w="1194" w:type="dxa"/>
          </w:tcPr>
          <w:p>
            <w:pPr>
              <w:pStyle w:val="TableParagraph"/>
              <w:spacing w:line="221" w:lineRule="exact"/>
              <w:ind w:left="185" w:right="169"/>
              <w:rPr>
                <w:rFonts w:ascii="Times New Roman"/>
                <w:sz w:val="21"/>
              </w:rPr>
            </w:pPr>
            <w:r>
              <w:rPr>
                <w:rFonts w:ascii="Times New Roman"/>
                <w:sz w:val="21"/>
              </w:rPr>
              <w:t>12928.92</w:t>
            </w:r>
          </w:p>
        </w:tc>
        <w:tc>
          <w:tcPr>
            <w:tcW w:w="1192" w:type="dxa"/>
          </w:tcPr>
          <w:p>
            <w:pPr>
              <w:pStyle w:val="TableParagraph"/>
              <w:spacing w:line="221" w:lineRule="exact"/>
              <w:ind w:left="182" w:right="160"/>
              <w:rPr>
                <w:rFonts w:ascii="Times New Roman"/>
                <w:sz w:val="21"/>
              </w:rPr>
            </w:pPr>
            <w:r>
              <w:rPr>
                <w:rFonts w:ascii="Times New Roman"/>
                <w:sz w:val="21"/>
              </w:rPr>
              <w:t>13767.68</w:t>
            </w:r>
          </w:p>
        </w:tc>
      </w:tr>
      <w:tr>
        <w:trPr>
          <w:trHeight w:val="242" w:hRule="atLeast"/>
        </w:trPr>
        <w:tc>
          <w:tcPr>
            <w:tcW w:w="650" w:type="dxa"/>
          </w:tcPr>
          <w:p>
            <w:pPr>
              <w:pStyle w:val="TableParagraph"/>
              <w:spacing w:line="221" w:lineRule="exact"/>
              <w:ind w:left="36" w:right="28"/>
              <w:rPr>
                <w:rFonts w:ascii="Times New Roman"/>
                <w:sz w:val="21"/>
              </w:rPr>
            </w:pPr>
            <w:r>
              <w:rPr>
                <w:rFonts w:ascii="Times New Roman"/>
                <w:sz w:val="21"/>
              </w:rPr>
              <w:t>13m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2.54</w:t>
            </w:r>
          </w:p>
        </w:tc>
        <w:tc>
          <w:tcPr>
            <w:tcW w:w="1192" w:type="dxa"/>
          </w:tcPr>
          <w:p>
            <w:pPr>
              <w:pStyle w:val="TableParagraph"/>
              <w:spacing w:line="221" w:lineRule="exact"/>
              <w:ind w:left="182" w:right="166"/>
              <w:rPr>
                <w:rFonts w:ascii="Times New Roman"/>
                <w:sz w:val="21"/>
              </w:rPr>
            </w:pPr>
            <w:r>
              <w:rPr>
                <w:rFonts w:ascii="Times New Roman"/>
                <w:sz w:val="21"/>
              </w:rPr>
              <w:t>935.31</w:t>
            </w:r>
          </w:p>
        </w:tc>
        <w:tc>
          <w:tcPr>
            <w:tcW w:w="1195" w:type="dxa"/>
          </w:tcPr>
          <w:p>
            <w:pPr>
              <w:pStyle w:val="TableParagraph"/>
              <w:spacing w:line="221" w:lineRule="exact"/>
              <w:ind w:left="182" w:right="170"/>
              <w:rPr>
                <w:rFonts w:ascii="Times New Roman"/>
                <w:sz w:val="21"/>
              </w:rPr>
            </w:pPr>
            <w:r>
              <w:rPr>
                <w:rFonts w:ascii="Times New Roman"/>
                <w:sz w:val="21"/>
              </w:rPr>
              <w:t>4696.01</w:t>
            </w:r>
          </w:p>
        </w:tc>
        <w:tc>
          <w:tcPr>
            <w:tcW w:w="1192" w:type="dxa"/>
          </w:tcPr>
          <w:p>
            <w:pPr>
              <w:pStyle w:val="TableParagraph"/>
              <w:spacing w:line="221" w:lineRule="exact"/>
              <w:ind w:right="185"/>
              <w:jc w:val="right"/>
              <w:rPr>
                <w:rFonts w:ascii="Times New Roman"/>
                <w:sz w:val="21"/>
              </w:rPr>
            </w:pPr>
            <w:r>
              <w:rPr>
                <w:rFonts w:ascii="Times New Roman"/>
                <w:sz w:val="21"/>
              </w:rPr>
              <w:t>10626.63</w:t>
            </w:r>
          </w:p>
        </w:tc>
        <w:tc>
          <w:tcPr>
            <w:tcW w:w="1194" w:type="dxa"/>
          </w:tcPr>
          <w:p>
            <w:pPr>
              <w:pStyle w:val="TableParagraph"/>
              <w:spacing w:line="221" w:lineRule="exact"/>
              <w:ind w:left="185" w:right="169"/>
              <w:rPr>
                <w:rFonts w:ascii="Times New Roman"/>
                <w:sz w:val="21"/>
              </w:rPr>
            </w:pPr>
            <w:r>
              <w:rPr>
                <w:rFonts w:ascii="Times New Roman"/>
                <w:sz w:val="21"/>
              </w:rPr>
              <w:t>12825.51</w:t>
            </w:r>
          </w:p>
        </w:tc>
        <w:tc>
          <w:tcPr>
            <w:tcW w:w="1192" w:type="dxa"/>
          </w:tcPr>
          <w:p>
            <w:pPr>
              <w:pStyle w:val="TableParagraph"/>
              <w:spacing w:line="221" w:lineRule="exact"/>
              <w:ind w:left="182" w:right="160"/>
              <w:rPr>
                <w:rFonts w:ascii="Times New Roman"/>
                <w:sz w:val="21"/>
              </w:rPr>
            </w:pPr>
            <w:r>
              <w:rPr>
                <w:rFonts w:ascii="Times New Roman"/>
                <w:sz w:val="21"/>
              </w:rPr>
              <w:t>13704.50</w:t>
            </w:r>
          </w:p>
        </w:tc>
      </w:tr>
      <w:tr>
        <w:trPr>
          <w:trHeight w:val="241" w:hRule="atLeast"/>
        </w:trPr>
        <w:tc>
          <w:tcPr>
            <w:tcW w:w="650" w:type="dxa"/>
          </w:tcPr>
          <w:p>
            <w:pPr>
              <w:pStyle w:val="TableParagraph"/>
              <w:spacing w:line="221" w:lineRule="exact"/>
              <w:ind w:left="40" w:right="27"/>
              <w:rPr>
                <w:rFonts w:ascii="Times New Roman"/>
                <w:sz w:val="21"/>
              </w:rPr>
            </w:pPr>
            <w:r>
              <w:rPr>
                <w:rFonts w:ascii="Times New Roman"/>
                <w:sz w:val="21"/>
              </w:rPr>
              <w:t>13.5m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1.39</w:t>
            </w:r>
          </w:p>
        </w:tc>
        <w:tc>
          <w:tcPr>
            <w:tcW w:w="1192" w:type="dxa"/>
          </w:tcPr>
          <w:p>
            <w:pPr>
              <w:pStyle w:val="TableParagraph"/>
              <w:spacing w:line="221" w:lineRule="exact"/>
              <w:ind w:left="182" w:right="166"/>
              <w:rPr>
                <w:rFonts w:ascii="Times New Roman"/>
                <w:sz w:val="21"/>
              </w:rPr>
            </w:pPr>
            <w:r>
              <w:rPr>
                <w:rFonts w:ascii="Times New Roman"/>
                <w:sz w:val="21"/>
              </w:rPr>
              <w:t>786.05</w:t>
            </w:r>
          </w:p>
        </w:tc>
        <w:tc>
          <w:tcPr>
            <w:tcW w:w="1195" w:type="dxa"/>
          </w:tcPr>
          <w:p>
            <w:pPr>
              <w:pStyle w:val="TableParagraph"/>
              <w:spacing w:line="221" w:lineRule="exact"/>
              <w:ind w:left="182" w:right="170"/>
              <w:rPr>
                <w:rFonts w:ascii="Times New Roman"/>
                <w:sz w:val="21"/>
              </w:rPr>
            </w:pPr>
            <w:r>
              <w:rPr>
                <w:rFonts w:ascii="Times New Roman"/>
                <w:sz w:val="21"/>
              </w:rPr>
              <w:t>4390.92</w:t>
            </w:r>
          </w:p>
        </w:tc>
        <w:tc>
          <w:tcPr>
            <w:tcW w:w="1192" w:type="dxa"/>
          </w:tcPr>
          <w:p>
            <w:pPr>
              <w:pStyle w:val="TableParagraph"/>
              <w:spacing w:line="221" w:lineRule="exact"/>
              <w:ind w:right="185"/>
              <w:jc w:val="right"/>
              <w:rPr>
                <w:rFonts w:ascii="Times New Roman"/>
                <w:sz w:val="21"/>
              </w:rPr>
            </w:pPr>
            <w:r>
              <w:rPr>
                <w:rFonts w:ascii="Times New Roman"/>
                <w:sz w:val="21"/>
              </w:rPr>
              <w:t>10432.13</w:t>
            </w:r>
          </w:p>
        </w:tc>
        <w:tc>
          <w:tcPr>
            <w:tcW w:w="1194" w:type="dxa"/>
          </w:tcPr>
          <w:p>
            <w:pPr>
              <w:pStyle w:val="TableParagraph"/>
              <w:spacing w:line="221" w:lineRule="exact"/>
              <w:ind w:left="185" w:right="169"/>
              <w:rPr>
                <w:rFonts w:ascii="Times New Roman"/>
                <w:sz w:val="21"/>
              </w:rPr>
            </w:pPr>
            <w:r>
              <w:rPr>
                <w:rFonts w:ascii="Times New Roman"/>
                <w:sz w:val="21"/>
              </w:rPr>
              <w:t>12720.71</w:t>
            </w:r>
          </w:p>
        </w:tc>
        <w:tc>
          <w:tcPr>
            <w:tcW w:w="1192" w:type="dxa"/>
          </w:tcPr>
          <w:p>
            <w:pPr>
              <w:pStyle w:val="TableParagraph"/>
              <w:spacing w:line="221" w:lineRule="exact"/>
              <w:ind w:left="182" w:right="160"/>
              <w:rPr>
                <w:rFonts w:ascii="Times New Roman"/>
                <w:sz w:val="21"/>
              </w:rPr>
            </w:pPr>
            <w:r>
              <w:rPr>
                <w:rFonts w:ascii="Times New Roman"/>
                <w:sz w:val="21"/>
              </w:rPr>
              <w:t>13640.27</w:t>
            </w:r>
          </w:p>
        </w:tc>
      </w:tr>
      <w:tr>
        <w:trPr>
          <w:trHeight w:val="242" w:hRule="atLeast"/>
        </w:trPr>
        <w:tc>
          <w:tcPr>
            <w:tcW w:w="650" w:type="dxa"/>
          </w:tcPr>
          <w:p>
            <w:pPr>
              <w:pStyle w:val="TableParagraph"/>
              <w:spacing w:line="221" w:lineRule="exact"/>
              <w:ind w:left="36" w:right="28"/>
              <w:rPr>
                <w:rFonts w:ascii="Times New Roman"/>
                <w:sz w:val="21"/>
              </w:rPr>
            </w:pPr>
            <w:r>
              <w:rPr>
                <w:rFonts w:ascii="Times New Roman"/>
                <w:sz w:val="21"/>
              </w:rPr>
              <w:t>14m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0.75</w:t>
            </w:r>
          </w:p>
        </w:tc>
        <w:tc>
          <w:tcPr>
            <w:tcW w:w="1192" w:type="dxa"/>
          </w:tcPr>
          <w:p>
            <w:pPr>
              <w:pStyle w:val="TableParagraph"/>
              <w:spacing w:line="221" w:lineRule="exact"/>
              <w:ind w:left="182" w:right="166"/>
              <w:rPr>
                <w:rFonts w:ascii="Times New Roman"/>
                <w:sz w:val="21"/>
              </w:rPr>
            </w:pPr>
            <w:r>
              <w:rPr>
                <w:rFonts w:ascii="Times New Roman"/>
                <w:sz w:val="21"/>
              </w:rPr>
              <w:t>657.09</w:t>
            </w:r>
          </w:p>
        </w:tc>
        <w:tc>
          <w:tcPr>
            <w:tcW w:w="1195" w:type="dxa"/>
          </w:tcPr>
          <w:p>
            <w:pPr>
              <w:pStyle w:val="TableParagraph"/>
              <w:spacing w:line="221" w:lineRule="exact"/>
              <w:ind w:left="182" w:right="170"/>
              <w:rPr>
                <w:rFonts w:ascii="Times New Roman"/>
                <w:sz w:val="21"/>
              </w:rPr>
            </w:pPr>
            <w:r>
              <w:rPr>
                <w:rFonts w:ascii="Times New Roman"/>
                <w:sz w:val="21"/>
              </w:rPr>
              <w:t>4098.27</w:t>
            </w:r>
          </w:p>
        </w:tc>
        <w:tc>
          <w:tcPr>
            <w:tcW w:w="1192" w:type="dxa"/>
          </w:tcPr>
          <w:p>
            <w:pPr>
              <w:pStyle w:val="TableParagraph"/>
              <w:spacing w:line="221" w:lineRule="exact"/>
              <w:ind w:right="185"/>
              <w:jc w:val="right"/>
              <w:rPr>
                <w:rFonts w:ascii="Times New Roman"/>
                <w:sz w:val="21"/>
              </w:rPr>
            </w:pPr>
            <w:r>
              <w:rPr>
                <w:rFonts w:ascii="Times New Roman"/>
                <w:sz w:val="21"/>
              </w:rPr>
              <w:t>10236.92</w:t>
            </w:r>
          </w:p>
        </w:tc>
        <w:tc>
          <w:tcPr>
            <w:tcW w:w="1194" w:type="dxa"/>
          </w:tcPr>
          <w:p>
            <w:pPr>
              <w:pStyle w:val="TableParagraph"/>
              <w:spacing w:line="221" w:lineRule="exact"/>
              <w:ind w:left="185" w:right="169"/>
              <w:rPr>
                <w:rFonts w:ascii="Times New Roman"/>
                <w:sz w:val="21"/>
              </w:rPr>
            </w:pPr>
            <w:r>
              <w:rPr>
                <w:rFonts w:ascii="Times New Roman"/>
                <w:sz w:val="21"/>
              </w:rPr>
              <w:t>12614.54</w:t>
            </w:r>
          </w:p>
        </w:tc>
        <w:tc>
          <w:tcPr>
            <w:tcW w:w="1192" w:type="dxa"/>
          </w:tcPr>
          <w:p>
            <w:pPr>
              <w:pStyle w:val="TableParagraph"/>
              <w:spacing w:line="221" w:lineRule="exact"/>
              <w:ind w:left="182" w:right="160"/>
              <w:rPr>
                <w:rFonts w:ascii="Times New Roman"/>
                <w:sz w:val="21"/>
              </w:rPr>
            </w:pPr>
            <w:r>
              <w:rPr>
                <w:rFonts w:ascii="Times New Roman"/>
                <w:sz w:val="21"/>
              </w:rPr>
              <w:t>13574.98</w:t>
            </w:r>
          </w:p>
        </w:tc>
      </w:tr>
      <w:tr>
        <w:trPr>
          <w:trHeight w:val="239" w:hRule="atLeast"/>
        </w:trPr>
        <w:tc>
          <w:tcPr>
            <w:tcW w:w="650" w:type="dxa"/>
          </w:tcPr>
          <w:p>
            <w:pPr>
              <w:pStyle w:val="TableParagraph"/>
              <w:spacing w:line="220" w:lineRule="exact"/>
              <w:ind w:left="40" w:right="27"/>
              <w:rPr>
                <w:rFonts w:ascii="Times New Roman"/>
                <w:sz w:val="21"/>
              </w:rPr>
            </w:pPr>
            <w:r>
              <w:rPr>
                <w:rFonts w:ascii="Times New Roman"/>
                <w:sz w:val="21"/>
              </w:rPr>
              <w:t>14.5m</w:t>
            </w:r>
          </w:p>
        </w:tc>
        <w:tc>
          <w:tcPr>
            <w:tcW w:w="1192" w:type="dxa"/>
          </w:tcPr>
          <w:p>
            <w:pPr>
              <w:pStyle w:val="TableParagraph"/>
              <w:spacing w:line="220" w:lineRule="exact"/>
              <w:ind w:left="174" w:right="166"/>
              <w:rPr>
                <w:rFonts w:ascii="Times New Roman"/>
                <w:sz w:val="21"/>
              </w:rPr>
            </w:pPr>
            <w:r>
              <w:rPr>
                <w:rFonts w:ascii="Times New Roman"/>
                <w:sz w:val="21"/>
              </w:rPr>
              <w:t>0.00</w:t>
            </w:r>
          </w:p>
        </w:tc>
        <w:tc>
          <w:tcPr>
            <w:tcW w:w="1195" w:type="dxa"/>
          </w:tcPr>
          <w:p>
            <w:pPr>
              <w:pStyle w:val="TableParagraph"/>
              <w:spacing w:line="220" w:lineRule="exact"/>
              <w:ind w:left="179" w:right="172"/>
              <w:rPr>
                <w:rFonts w:ascii="Times New Roman"/>
                <w:sz w:val="21"/>
              </w:rPr>
            </w:pPr>
            <w:r>
              <w:rPr>
                <w:rFonts w:ascii="Times New Roman"/>
                <w:sz w:val="21"/>
              </w:rPr>
              <w:t>0.39</w:t>
            </w:r>
          </w:p>
        </w:tc>
        <w:tc>
          <w:tcPr>
            <w:tcW w:w="1192" w:type="dxa"/>
          </w:tcPr>
          <w:p>
            <w:pPr>
              <w:pStyle w:val="TableParagraph"/>
              <w:spacing w:line="220" w:lineRule="exact"/>
              <w:ind w:left="182" w:right="166"/>
              <w:rPr>
                <w:rFonts w:ascii="Times New Roman"/>
                <w:sz w:val="21"/>
              </w:rPr>
            </w:pPr>
            <w:r>
              <w:rPr>
                <w:rFonts w:ascii="Times New Roman"/>
                <w:sz w:val="21"/>
              </w:rPr>
              <w:t>546.34</w:t>
            </w:r>
          </w:p>
        </w:tc>
        <w:tc>
          <w:tcPr>
            <w:tcW w:w="1195" w:type="dxa"/>
          </w:tcPr>
          <w:p>
            <w:pPr>
              <w:pStyle w:val="TableParagraph"/>
              <w:spacing w:line="220" w:lineRule="exact"/>
              <w:ind w:left="182" w:right="170"/>
              <w:rPr>
                <w:rFonts w:ascii="Times New Roman"/>
                <w:sz w:val="21"/>
              </w:rPr>
            </w:pPr>
            <w:r>
              <w:rPr>
                <w:rFonts w:ascii="Times New Roman"/>
                <w:sz w:val="21"/>
              </w:rPr>
              <w:t>3818.23</w:t>
            </w:r>
          </w:p>
        </w:tc>
        <w:tc>
          <w:tcPr>
            <w:tcW w:w="1192" w:type="dxa"/>
          </w:tcPr>
          <w:p>
            <w:pPr>
              <w:pStyle w:val="TableParagraph"/>
              <w:spacing w:line="220" w:lineRule="exact"/>
              <w:ind w:right="185"/>
              <w:jc w:val="right"/>
              <w:rPr>
                <w:rFonts w:ascii="Times New Roman"/>
                <w:sz w:val="21"/>
              </w:rPr>
            </w:pPr>
            <w:r>
              <w:rPr>
                <w:rFonts w:ascii="Times New Roman"/>
                <w:sz w:val="21"/>
              </w:rPr>
              <w:t>10041.14</w:t>
            </w:r>
          </w:p>
        </w:tc>
        <w:tc>
          <w:tcPr>
            <w:tcW w:w="1194" w:type="dxa"/>
          </w:tcPr>
          <w:p>
            <w:pPr>
              <w:pStyle w:val="TableParagraph"/>
              <w:spacing w:line="220" w:lineRule="exact"/>
              <w:ind w:left="185" w:right="169"/>
              <w:rPr>
                <w:rFonts w:ascii="Times New Roman"/>
                <w:sz w:val="21"/>
              </w:rPr>
            </w:pPr>
            <w:r>
              <w:rPr>
                <w:rFonts w:ascii="Times New Roman"/>
                <w:sz w:val="21"/>
              </w:rPr>
              <w:t>12507.05</w:t>
            </w:r>
          </w:p>
        </w:tc>
        <w:tc>
          <w:tcPr>
            <w:tcW w:w="1192" w:type="dxa"/>
          </w:tcPr>
          <w:p>
            <w:pPr>
              <w:pStyle w:val="TableParagraph"/>
              <w:spacing w:line="220" w:lineRule="exact"/>
              <w:ind w:left="182" w:right="160"/>
              <w:rPr>
                <w:rFonts w:ascii="Times New Roman"/>
                <w:sz w:val="21"/>
              </w:rPr>
            </w:pPr>
            <w:r>
              <w:rPr>
                <w:rFonts w:ascii="Times New Roman"/>
                <w:sz w:val="21"/>
              </w:rPr>
              <w:t>13508.65</w:t>
            </w:r>
          </w:p>
        </w:tc>
      </w:tr>
      <w:tr>
        <w:trPr>
          <w:trHeight w:val="242" w:hRule="atLeast"/>
        </w:trPr>
        <w:tc>
          <w:tcPr>
            <w:tcW w:w="650" w:type="dxa"/>
          </w:tcPr>
          <w:p>
            <w:pPr>
              <w:pStyle w:val="TableParagraph"/>
              <w:spacing w:line="221" w:lineRule="exact"/>
              <w:ind w:left="36" w:right="28"/>
              <w:rPr>
                <w:rFonts w:ascii="Times New Roman"/>
                <w:sz w:val="21"/>
              </w:rPr>
            </w:pPr>
            <w:r>
              <w:rPr>
                <w:rFonts w:ascii="Times New Roman"/>
                <w:sz w:val="21"/>
              </w:rPr>
              <w:t>15m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0.20</w:t>
            </w:r>
          </w:p>
        </w:tc>
        <w:tc>
          <w:tcPr>
            <w:tcW w:w="1192" w:type="dxa"/>
          </w:tcPr>
          <w:p>
            <w:pPr>
              <w:pStyle w:val="TableParagraph"/>
              <w:spacing w:line="221" w:lineRule="exact"/>
              <w:ind w:left="182" w:right="166"/>
              <w:rPr>
                <w:rFonts w:ascii="Times New Roman"/>
                <w:sz w:val="21"/>
              </w:rPr>
            </w:pPr>
            <w:r>
              <w:rPr>
                <w:rFonts w:ascii="Times New Roman"/>
                <w:sz w:val="21"/>
              </w:rPr>
              <w:t>451.82</w:t>
            </w:r>
          </w:p>
        </w:tc>
        <w:tc>
          <w:tcPr>
            <w:tcW w:w="1195" w:type="dxa"/>
          </w:tcPr>
          <w:p>
            <w:pPr>
              <w:pStyle w:val="TableParagraph"/>
              <w:spacing w:line="221" w:lineRule="exact"/>
              <w:ind w:left="182" w:right="170"/>
              <w:rPr>
                <w:rFonts w:ascii="Times New Roman"/>
                <w:sz w:val="21"/>
              </w:rPr>
            </w:pPr>
            <w:r>
              <w:rPr>
                <w:rFonts w:ascii="Times New Roman"/>
                <w:sz w:val="21"/>
              </w:rPr>
              <w:t>3550.85</w:t>
            </w:r>
          </w:p>
        </w:tc>
        <w:tc>
          <w:tcPr>
            <w:tcW w:w="1192" w:type="dxa"/>
          </w:tcPr>
          <w:p>
            <w:pPr>
              <w:pStyle w:val="TableParagraph"/>
              <w:spacing w:line="221" w:lineRule="exact"/>
              <w:ind w:right="238"/>
              <w:jc w:val="right"/>
              <w:rPr>
                <w:rFonts w:ascii="Times New Roman"/>
                <w:sz w:val="21"/>
              </w:rPr>
            </w:pPr>
            <w:r>
              <w:rPr>
                <w:rFonts w:ascii="Times New Roman"/>
                <w:sz w:val="21"/>
              </w:rPr>
              <w:t>9844.93</w:t>
            </w:r>
          </w:p>
        </w:tc>
        <w:tc>
          <w:tcPr>
            <w:tcW w:w="1194" w:type="dxa"/>
          </w:tcPr>
          <w:p>
            <w:pPr>
              <w:pStyle w:val="TableParagraph"/>
              <w:spacing w:line="221" w:lineRule="exact"/>
              <w:ind w:left="185" w:right="169"/>
              <w:rPr>
                <w:rFonts w:ascii="Times New Roman"/>
                <w:sz w:val="21"/>
              </w:rPr>
            </w:pPr>
            <w:r>
              <w:rPr>
                <w:rFonts w:ascii="Times New Roman"/>
                <w:sz w:val="21"/>
              </w:rPr>
              <w:t>12398.25</w:t>
            </w:r>
          </w:p>
        </w:tc>
        <w:tc>
          <w:tcPr>
            <w:tcW w:w="1192" w:type="dxa"/>
          </w:tcPr>
          <w:p>
            <w:pPr>
              <w:pStyle w:val="TableParagraph"/>
              <w:spacing w:line="221" w:lineRule="exact"/>
              <w:ind w:left="182" w:right="160"/>
              <w:rPr>
                <w:rFonts w:ascii="Times New Roman"/>
                <w:sz w:val="21"/>
              </w:rPr>
            </w:pPr>
            <w:r>
              <w:rPr>
                <w:rFonts w:ascii="Times New Roman"/>
                <w:sz w:val="21"/>
              </w:rPr>
              <w:t>13441.28</w:t>
            </w:r>
          </w:p>
        </w:tc>
      </w:tr>
      <w:tr>
        <w:trPr>
          <w:trHeight w:val="241" w:hRule="atLeast"/>
        </w:trPr>
        <w:tc>
          <w:tcPr>
            <w:tcW w:w="650" w:type="dxa"/>
          </w:tcPr>
          <w:p>
            <w:pPr>
              <w:pStyle w:val="TableParagraph"/>
              <w:spacing w:line="221" w:lineRule="exact"/>
              <w:ind w:left="40" w:right="27"/>
              <w:rPr>
                <w:rFonts w:ascii="Times New Roman"/>
                <w:sz w:val="21"/>
              </w:rPr>
            </w:pPr>
            <w:r>
              <w:rPr>
                <w:rFonts w:ascii="Times New Roman"/>
                <w:sz w:val="21"/>
              </w:rPr>
              <w:t>15.5m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0.10</w:t>
            </w:r>
          </w:p>
        </w:tc>
        <w:tc>
          <w:tcPr>
            <w:tcW w:w="1192" w:type="dxa"/>
          </w:tcPr>
          <w:p>
            <w:pPr>
              <w:pStyle w:val="TableParagraph"/>
              <w:spacing w:line="221" w:lineRule="exact"/>
              <w:ind w:left="182" w:right="166"/>
              <w:rPr>
                <w:rFonts w:ascii="Times New Roman"/>
                <w:sz w:val="21"/>
              </w:rPr>
            </w:pPr>
            <w:r>
              <w:rPr>
                <w:rFonts w:ascii="Times New Roman"/>
                <w:sz w:val="21"/>
              </w:rPr>
              <w:t>371.63</w:t>
            </w:r>
          </w:p>
        </w:tc>
        <w:tc>
          <w:tcPr>
            <w:tcW w:w="1195" w:type="dxa"/>
          </w:tcPr>
          <w:p>
            <w:pPr>
              <w:pStyle w:val="TableParagraph"/>
              <w:spacing w:line="221" w:lineRule="exact"/>
              <w:ind w:left="182" w:right="170"/>
              <w:rPr>
                <w:rFonts w:ascii="Times New Roman"/>
                <w:sz w:val="21"/>
              </w:rPr>
            </w:pPr>
            <w:r>
              <w:rPr>
                <w:rFonts w:ascii="Times New Roman"/>
                <w:sz w:val="21"/>
              </w:rPr>
              <w:t>3296.17</w:t>
            </w:r>
          </w:p>
        </w:tc>
        <w:tc>
          <w:tcPr>
            <w:tcW w:w="1192" w:type="dxa"/>
          </w:tcPr>
          <w:p>
            <w:pPr>
              <w:pStyle w:val="TableParagraph"/>
              <w:spacing w:line="221" w:lineRule="exact"/>
              <w:ind w:right="238"/>
              <w:jc w:val="right"/>
              <w:rPr>
                <w:rFonts w:ascii="Times New Roman"/>
                <w:sz w:val="21"/>
              </w:rPr>
            </w:pPr>
            <w:r>
              <w:rPr>
                <w:rFonts w:ascii="Times New Roman"/>
                <w:sz w:val="21"/>
              </w:rPr>
              <w:t>9648.44</w:t>
            </w:r>
          </w:p>
        </w:tc>
        <w:tc>
          <w:tcPr>
            <w:tcW w:w="1194" w:type="dxa"/>
          </w:tcPr>
          <w:p>
            <w:pPr>
              <w:pStyle w:val="TableParagraph"/>
              <w:spacing w:line="221" w:lineRule="exact"/>
              <w:ind w:left="185" w:right="169"/>
              <w:rPr>
                <w:rFonts w:ascii="Times New Roman"/>
                <w:sz w:val="21"/>
              </w:rPr>
            </w:pPr>
            <w:r>
              <w:rPr>
                <w:rFonts w:ascii="Times New Roman"/>
                <w:sz w:val="21"/>
              </w:rPr>
              <w:t>12288.19</w:t>
            </w:r>
          </w:p>
        </w:tc>
        <w:tc>
          <w:tcPr>
            <w:tcW w:w="1192" w:type="dxa"/>
          </w:tcPr>
          <w:p>
            <w:pPr>
              <w:pStyle w:val="TableParagraph"/>
              <w:spacing w:line="221" w:lineRule="exact"/>
              <w:ind w:left="182" w:right="160"/>
              <w:rPr>
                <w:rFonts w:ascii="Times New Roman"/>
                <w:sz w:val="21"/>
              </w:rPr>
            </w:pPr>
            <w:r>
              <w:rPr>
                <w:rFonts w:ascii="Times New Roman"/>
                <w:sz w:val="21"/>
              </w:rPr>
              <w:t>13372.88</w:t>
            </w:r>
          </w:p>
        </w:tc>
      </w:tr>
      <w:tr>
        <w:trPr>
          <w:trHeight w:val="242" w:hRule="atLeast"/>
        </w:trPr>
        <w:tc>
          <w:tcPr>
            <w:tcW w:w="650" w:type="dxa"/>
          </w:tcPr>
          <w:p>
            <w:pPr>
              <w:pStyle w:val="TableParagraph"/>
              <w:spacing w:line="221" w:lineRule="exact"/>
              <w:ind w:left="36" w:right="28"/>
              <w:rPr>
                <w:rFonts w:ascii="Times New Roman"/>
                <w:sz w:val="21"/>
              </w:rPr>
            </w:pPr>
            <w:r>
              <w:rPr>
                <w:rFonts w:ascii="Times New Roman"/>
                <w:sz w:val="21"/>
              </w:rPr>
              <w:t>16m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0.05</w:t>
            </w:r>
          </w:p>
        </w:tc>
        <w:tc>
          <w:tcPr>
            <w:tcW w:w="1192" w:type="dxa"/>
          </w:tcPr>
          <w:p>
            <w:pPr>
              <w:pStyle w:val="TableParagraph"/>
              <w:spacing w:line="221" w:lineRule="exact"/>
              <w:ind w:left="182" w:right="166"/>
              <w:rPr>
                <w:rFonts w:ascii="Times New Roman"/>
                <w:sz w:val="21"/>
              </w:rPr>
            </w:pPr>
            <w:r>
              <w:rPr>
                <w:rFonts w:ascii="Times New Roman"/>
                <w:sz w:val="21"/>
              </w:rPr>
              <w:t>304.01</w:t>
            </w:r>
          </w:p>
        </w:tc>
        <w:tc>
          <w:tcPr>
            <w:tcW w:w="1195" w:type="dxa"/>
          </w:tcPr>
          <w:p>
            <w:pPr>
              <w:pStyle w:val="TableParagraph"/>
              <w:spacing w:line="221" w:lineRule="exact"/>
              <w:ind w:left="182" w:right="170"/>
              <w:rPr>
                <w:rFonts w:ascii="Times New Roman"/>
                <w:sz w:val="21"/>
              </w:rPr>
            </w:pPr>
            <w:r>
              <w:rPr>
                <w:rFonts w:ascii="Times New Roman"/>
                <w:sz w:val="21"/>
              </w:rPr>
              <w:t>3054.13</w:t>
            </w:r>
          </w:p>
        </w:tc>
        <w:tc>
          <w:tcPr>
            <w:tcW w:w="1192" w:type="dxa"/>
          </w:tcPr>
          <w:p>
            <w:pPr>
              <w:pStyle w:val="TableParagraph"/>
              <w:spacing w:line="221" w:lineRule="exact"/>
              <w:ind w:right="238"/>
              <w:jc w:val="right"/>
              <w:rPr>
                <w:rFonts w:ascii="Times New Roman"/>
                <w:sz w:val="21"/>
              </w:rPr>
            </w:pPr>
            <w:r>
              <w:rPr>
                <w:rFonts w:ascii="Times New Roman"/>
                <w:sz w:val="21"/>
              </w:rPr>
              <w:t>9451.83</w:t>
            </w:r>
          </w:p>
        </w:tc>
        <w:tc>
          <w:tcPr>
            <w:tcW w:w="1194" w:type="dxa"/>
          </w:tcPr>
          <w:p>
            <w:pPr>
              <w:pStyle w:val="TableParagraph"/>
              <w:spacing w:line="221" w:lineRule="exact"/>
              <w:ind w:left="185" w:right="169"/>
              <w:rPr>
                <w:rFonts w:ascii="Times New Roman"/>
                <w:sz w:val="21"/>
              </w:rPr>
            </w:pPr>
            <w:r>
              <w:rPr>
                <w:rFonts w:ascii="Times New Roman"/>
                <w:sz w:val="21"/>
              </w:rPr>
              <w:t>12176.89</w:t>
            </w:r>
          </w:p>
        </w:tc>
        <w:tc>
          <w:tcPr>
            <w:tcW w:w="1192" w:type="dxa"/>
          </w:tcPr>
          <w:p>
            <w:pPr>
              <w:pStyle w:val="TableParagraph"/>
              <w:spacing w:line="221" w:lineRule="exact"/>
              <w:ind w:left="182" w:right="160"/>
              <w:rPr>
                <w:rFonts w:ascii="Times New Roman"/>
                <w:sz w:val="21"/>
              </w:rPr>
            </w:pPr>
            <w:r>
              <w:rPr>
                <w:rFonts w:ascii="Times New Roman"/>
                <w:sz w:val="21"/>
              </w:rPr>
              <w:t>13303.45</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16.5m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0.02</w:t>
            </w:r>
          </w:p>
        </w:tc>
        <w:tc>
          <w:tcPr>
            <w:tcW w:w="1192" w:type="dxa"/>
          </w:tcPr>
          <w:p>
            <w:pPr>
              <w:pStyle w:val="TableParagraph"/>
              <w:spacing w:line="221" w:lineRule="exact"/>
              <w:ind w:left="182" w:right="166"/>
              <w:rPr>
                <w:rFonts w:ascii="Times New Roman"/>
                <w:sz w:val="21"/>
              </w:rPr>
            </w:pPr>
            <w:r>
              <w:rPr>
                <w:rFonts w:ascii="Times New Roman"/>
                <w:sz w:val="21"/>
              </w:rPr>
              <w:t>247.35</w:t>
            </w:r>
          </w:p>
        </w:tc>
        <w:tc>
          <w:tcPr>
            <w:tcW w:w="1195" w:type="dxa"/>
          </w:tcPr>
          <w:p>
            <w:pPr>
              <w:pStyle w:val="TableParagraph"/>
              <w:spacing w:line="221" w:lineRule="exact"/>
              <w:ind w:left="182" w:right="170"/>
              <w:rPr>
                <w:rFonts w:ascii="Times New Roman"/>
                <w:sz w:val="21"/>
              </w:rPr>
            </w:pPr>
            <w:r>
              <w:rPr>
                <w:rFonts w:ascii="Times New Roman"/>
                <w:sz w:val="21"/>
              </w:rPr>
              <w:t>2824.64</w:t>
            </w:r>
          </w:p>
        </w:tc>
        <w:tc>
          <w:tcPr>
            <w:tcW w:w="1192" w:type="dxa"/>
          </w:tcPr>
          <w:p>
            <w:pPr>
              <w:pStyle w:val="TableParagraph"/>
              <w:spacing w:line="221" w:lineRule="exact"/>
              <w:ind w:right="238"/>
              <w:jc w:val="right"/>
              <w:rPr>
                <w:rFonts w:ascii="Times New Roman"/>
                <w:sz w:val="21"/>
              </w:rPr>
            </w:pPr>
            <w:r>
              <w:rPr>
                <w:rFonts w:ascii="Times New Roman"/>
                <w:sz w:val="21"/>
              </w:rPr>
              <w:t>9255.22</w:t>
            </w:r>
          </w:p>
        </w:tc>
        <w:tc>
          <w:tcPr>
            <w:tcW w:w="1194" w:type="dxa"/>
          </w:tcPr>
          <w:p>
            <w:pPr>
              <w:pStyle w:val="TableParagraph"/>
              <w:spacing w:line="221" w:lineRule="exact"/>
              <w:ind w:left="185" w:right="169"/>
              <w:rPr>
                <w:rFonts w:ascii="Times New Roman"/>
                <w:sz w:val="21"/>
              </w:rPr>
            </w:pPr>
            <w:r>
              <w:rPr>
                <w:rFonts w:ascii="Times New Roman"/>
                <w:sz w:val="21"/>
              </w:rPr>
              <w:t>12064.39</w:t>
            </w:r>
          </w:p>
        </w:tc>
        <w:tc>
          <w:tcPr>
            <w:tcW w:w="1192" w:type="dxa"/>
          </w:tcPr>
          <w:p>
            <w:pPr>
              <w:pStyle w:val="TableParagraph"/>
              <w:spacing w:line="221" w:lineRule="exact"/>
              <w:ind w:left="182" w:right="160"/>
              <w:rPr>
                <w:rFonts w:ascii="Times New Roman"/>
                <w:sz w:val="21"/>
              </w:rPr>
            </w:pPr>
            <w:r>
              <w:rPr>
                <w:rFonts w:ascii="Times New Roman"/>
                <w:sz w:val="21"/>
              </w:rPr>
              <w:t>13233.01</w:t>
            </w:r>
          </w:p>
        </w:tc>
      </w:tr>
      <w:tr>
        <w:trPr>
          <w:trHeight w:val="239" w:hRule="atLeast"/>
        </w:trPr>
        <w:tc>
          <w:tcPr>
            <w:tcW w:w="650" w:type="dxa"/>
          </w:tcPr>
          <w:p>
            <w:pPr>
              <w:pStyle w:val="TableParagraph"/>
              <w:spacing w:line="220" w:lineRule="exact"/>
              <w:ind w:left="36" w:right="28"/>
              <w:rPr>
                <w:rFonts w:ascii="Times New Roman"/>
                <w:sz w:val="21"/>
              </w:rPr>
            </w:pPr>
            <w:r>
              <w:rPr>
                <w:rFonts w:ascii="Times New Roman"/>
                <w:sz w:val="21"/>
              </w:rPr>
              <w:t>17m</w:t>
            </w:r>
          </w:p>
        </w:tc>
        <w:tc>
          <w:tcPr>
            <w:tcW w:w="1192" w:type="dxa"/>
          </w:tcPr>
          <w:p>
            <w:pPr>
              <w:pStyle w:val="TableParagraph"/>
              <w:spacing w:line="220" w:lineRule="exact"/>
              <w:ind w:left="174" w:right="166"/>
              <w:rPr>
                <w:rFonts w:ascii="Times New Roman"/>
                <w:sz w:val="21"/>
              </w:rPr>
            </w:pPr>
            <w:r>
              <w:rPr>
                <w:rFonts w:ascii="Times New Roman"/>
                <w:sz w:val="21"/>
              </w:rPr>
              <w:t>0.00</w:t>
            </w:r>
          </w:p>
        </w:tc>
        <w:tc>
          <w:tcPr>
            <w:tcW w:w="1195" w:type="dxa"/>
          </w:tcPr>
          <w:p>
            <w:pPr>
              <w:pStyle w:val="TableParagraph"/>
              <w:spacing w:line="220" w:lineRule="exact"/>
              <w:ind w:left="179" w:right="172"/>
              <w:rPr>
                <w:rFonts w:ascii="Times New Roman"/>
                <w:sz w:val="21"/>
              </w:rPr>
            </w:pPr>
            <w:r>
              <w:rPr>
                <w:rFonts w:ascii="Times New Roman"/>
                <w:sz w:val="21"/>
              </w:rPr>
              <w:t>0.01</w:t>
            </w:r>
          </w:p>
        </w:tc>
        <w:tc>
          <w:tcPr>
            <w:tcW w:w="1192" w:type="dxa"/>
          </w:tcPr>
          <w:p>
            <w:pPr>
              <w:pStyle w:val="TableParagraph"/>
              <w:spacing w:line="220" w:lineRule="exact"/>
              <w:ind w:left="182" w:right="166"/>
              <w:rPr>
                <w:rFonts w:ascii="Times New Roman"/>
                <w:sz w:val="21"/>
              </w:rPr>
            </w:pPr>
            <w:r>
              <w:rPr>
                <w:rFonts w:ascii="Times New Roman"/>
                <w:sz w:val="21"/>
              </w:rPr>
              <w:t>200.14</w:t>
            </w:r>
          </w:p>
        </w:tc>
        <w:tc>
          <w:tcPr>
            <w:tcW w:w="1195" w:type="dxa"/>
          </w:tcPr>
          <w:p>
            <w:pPr>
              <w:pStyle w:val="TableParagraph"/>
              <w:spacing w:line="220" w:lineRule="exact"/>
              <w:ind w:left="182" w:right="170"/>
              <w:rPr>
                <w:rFonts w:ascii="Times New Roman"/>
                <w:sz w:val="21"/>
              </w:rPr>
            </w:pPr>
            <w:r>
              <w:rPr>
                <w:rFonts w:ascii="Times New Roman"/>
                <w:sz w:val="21"/>
              </w:rPr>
              <w:t>2607.56</w:t>
            </w:r>
          </w:p>
        </w:tc>
        <w:tc>
          <w:tcPr>
            <w:tcW w:w="1192" w:type="dxa"/>
          </w:tcPr>
          <w:p>
            <w:pPr>
              <w:pStyle w:val="TableParagraph"/>
              <w:spacing w:line="220" w:lineRule="exact"/>
              <w:ind w:right="238"/>
              <w:jc w:val="right"/>
              <w:rPr>
                <w:rFonts w:ascii="Times New Roman"/>
                <w:sz w:val="21"/>
              </w:rPr>
            </w:pPr>
            <w:r>
              <w:rPr>
                <w:rFonts w:ascii="Times New Roman"/>
                <w:sz w:val="21"/>
              </w:rPr>
              <w:t>9058.76</w:t>
            </w:r>
          </w:p>
        </w:tc>
        <w:tc>
          <w:tcPr>
            <w:tcW w:w="1194" w:type="dxa"/>
          </w:tcPr>
          <w:p>
            <w:pPr>
              <w:pStyle w:val="TableParagraph"/>
              <w:spacing w:line="220" w:lineRule="exact"/>
              <w:ind w:left="184" w:right="170"/>
              <w:rPr>
                <w:rFonts w:ascii="Times New Roman"/>
                <w:sz w:val="21"/>
              </w:rPr>
            </w:pPr>
            <w:r>
              <w:rPr>
                <w:rFonts w:ascii="Times New Roman"/>
                <w:sz w:val="21"/>
              </w:rPr>
              <w:t>11950.72</w:t>
            </w:r>
          </w:p>
        </w:tc>
        <w:tc>
          <w:tcPr>
            <w:tcW w:w="1192" w:type="dxa"/>
          </w:tcPr>
          <w:p>
            <w:pPr>
              <w:pStyle w:val="TableParagraph"/>
              <w:spacing w:line="220" w:lineRule="exact"/>
              <w:ind w:left="182" w:right="160"/>
              <w:rPr>
                <w:rFonts w:ascii="Times New Roman"/>
                <w:sz w:val="21"/>
              </w:rPr>
            </w:pPr>
            <w:r>
              <w:rPr>
                <w:rFonts w:ascii="Times New Roman"/>
                <w:sz w:val="21"/>
              </w:rPr>
              <w:t>13161.56</w:t>
            </w:r>
          </w:p>
        </w:tc>
      </w:tr>
      <w:tr>
        <w:trPr>
          <w:trHeight w:val="242" w:hRule="atLeast"/>
        </w:trPr>
        <w:tc>
          <w:tcPr>
            <w:tcW w:w="650" w:type="dxa"/>
          </w:tcPr>
          <w:p>
            <w:pPr>
              <w:pStyle w:val="TableParagraph"/>
              <w:spacing w:line="221" w:lineRule="exact"/>
              <w:ind w:left="40" w:right="27"/>
              <w:rPr>
                <w:rFonts w:ascii="Times New Roman"/>
                <w:sz w:val="21"/>
              </w:rPr>
            </w:pPr>
            <w:r>
              <w:rPr>
                <w:rFonts w:ascii="Times New Roman"/>
                <w:sz w:val="21"/>
              </w:rPr>
              <w:t>17.5m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79" w:right="172"/>
              <w:rPr>
                <w:rFonts w:ascii="Times New Roman"/>
                <w:sz w:val="21"/>
              </w:rPr>
            </w:pPr>
            <w:r>
              <w:rPr>
                <w:rFonts w:ascii="Times New Roman"/>
                <w:sz w:val="21"/>
              </w:rPr>
              <w:t>0.01</w:t>
            </w:r>
          </w:p>
        </w:tc>
        <w:tc>
          <w:tcPr>
            <w:tcW w:w="1192" w:type="dxa"/>
          </w:tcPr>
          <w:p>
            <w:pPr>
              <w:pStyle w:val="TableParagraph"/>
              <w:spacing w:line="221" w:lineRule="exact"/>
              <w:ind w:left="182" w:right="166"/>
              <w:rPr>
                <w:rFonts w:ascii="Times New Roman"/>
                <w:sz w:val="21"/>
              </w:rPr>
            </w:pPr>
            <w:r>
              <w:rPr>
                <w:rFonts w:ascii="Times New Roman"/>
                <w:sz w:val="21"/>
              </w:rPr>
              <w:t>161.06</w:t>
            </w:r>
          </w:p>
        </w:tc>
        <w:tc>
          <w:tcPr>
            <w:tcW w:w="1195" w:type="dxa"/>
          </w:tcPr>
          <w:p>
            <w:pPr>
              <w:pStyle w:val="TableParagraph"/>
              <w:spacing w:line="221" w:lineRule="exact"/>
              <w:ind w:left="182" w:right="170"/>
              <w:rPr>
                <w:rFonts w:ascii="Times New Roman"/>
                <w:sz w:val="21"/>
              </w:rPr>
            </w:pPr>
            <w:r>
              <w:rPr>
                <w:rFonts w:ascii="Times New Roman"/>
                <w:sz w:val="21"/>
              </w:rPr>
              <w:t>2402.66</w:t>
            </w:r>
          </w:p>
        </w:tc>
        <w:tc>
          <w:tcPr>
            <w:tcW w:w="1192" w:type="dxa"/>
          </w:tcPr>
          <w:p>
            <w:pPr>
              <w:pStyle w:val="TableParagraph"/>
              <w:spacing w:line="221" w:lineRule="exact"/>
              <w:ind w:right="238"/>
              <w:jc w:val="right"/>
              <w:rPr>
                <w:rFonts w:ascii="Times New Roman"/>
                <w:sz w:val="21"/>
              </w:rPr>
            </w:pPr>
            <w:r>
              <w:rPr>
                <w:rFonts w:ascii="Times New Roman"/>
                <w:sz w:val="21"/>
              </w:rPr>
              <w:t>8862.60</w:t>
            </w:r>
          </w:p>
        </w:tc>
        <w:tc>
          <w:tcPr>
            <w:tcW w:w="1194" w:type="dxa"/>
          </w:tcPr>
          <w:p>
            <w:pPr>
              <w:pStyle w:val="TableParagraph"/>
              <w:spacing w:line="221" w:lineRule="exact"/>
              <w:ind w:left="184" w:right="170"/>
              <w:rPr>
                <w:rFonts w:ascii="Times New Roman"/>
                <w:sz w:val="21"/>
              </w:rPr>
            </w:pPr>
            <w:r>
              <w:rPr>
                <w:rFonts w:ascii="Times New Roman"/>
                <w:sz w:val="21"/>
              </w:rPr>
              <w:t>11835.93</w:t>
            </w:r>
          </w:p>
        </w:tc>
        <w:tc>
          <w:tcPr>
            <w:tcW w:w="1192" w:type="dxa"/>
          </w:tcPr>
          <w:p>
            <w:pPr>
              <w:pStyle w:val="TableParagraph"/>
              <w:spacing w:line="221" w:lineRule="exact"/>
              <w:ind w:left="182" w:right="160"/>
              <w:rPr>
                <w:rFonts w:ascii="Times New Roman"/>
                <w:sz w:val="21"/>
              </w:rPr>
            </w:pPr>
            <w:r>
              <w:rPr>
                <w:rFonts w:ascii="Times New Roman"/>
                <w:sz w:val="21"/>
              </w:rPr>
              <w:t>13089.10</w:t>
            </w:r>
          </w:p>
        </w:tc>
      </w:tr>
      <w:tr>
        <w:trPr>
          <w:trHeight w:val="241" w:hRule="atLeast"/>
        </w:trPr>
        <w:tc>
          <w:tcPr>
            <w:tcW w:w="650" w:type="dxa"/>
          </w:tcPr>
          <w:p>
            <w:pPr>
              <w:pStyle w:val="TableParagraph"/>
              <w:spacing w:line="221" w:lineRule="exact"/>
              <w:ind w:left="36" w:right="28"/>
              <w:rPr>
                <w:rFonts w:ascii="Times New Roman"/>
                <w:sz w:val="21"/>
              </w:rPr>
            </w:pPr>
            <w:r>
              <w:rPr>
                <w:rFonts w:ascii="Times New Roman"/>
                <w:sz w:val="21"/>
              </w:rPr>
              <w:t>18m</w:t>
            </w:r>
          </w:p>
        </w:tc>
        <w:tc>
          <w:tcPr>
            <w:tcW w:w="1192" w:type="dxa"/>
          </w:tcPr>
          <w:p>
            <w:pPr>
              <w:pStyle w:val="TableParagraph"/>
              <w:spacing w:line="221" w:lineRule="exact"/>
              <w:ind w:left="174" w:right="166"/>
              <w:rPr>
                <w:rFonts w:ascii="Times New Roman"/>
                <w:sz w:val="21"/>
              </w:rPr>
            </w:pPr>
            <w:r>
              <w:rPr>
                <w:rFonts w:ascii="Times New Roman"/>
                <w:sz w:val="21"/>
              </w:rPr>
              <w:t>0.00</w:t>
            </w:r>
          </w:p>
        </w:tc>
        <w:tc>
          <w:tcPr>
            <w:tcW w:w="1195" w:type="dxa"/>
          </w:tcPr>
          <w:p>
            <w:pPr>
              <w:pStyle w:val="TableParagraph"/>
              <w:spacing w:line="221" w:lineRule="exact"/>
              <w:ind w:left="182" w:right="170"/>
              <w:rPr>
                <w:rFonts w:ascii="Times New Roman"/>
                <w:sz w:val="21"/>
              </w:rPr>
            </w:pPr>
            <w:r>
              <w:rPr>
                <w:rFonts w:ascii="Times New Roman"/>
                <w:sz w:val="21"/>
              </w:rPr>
              <w:t>0.00</w:t>
            </w:r>
          </w:p>
        </w:tc>
        <w:tc>
          <w:tcPr>
            <w:tcW w:w="1192" w:type="dxa"/>
          </w:tcPr>
          <w:p>
            <w:pPr>
              <w:pStyle w:val="TableParagraph"/>
              <w:spacing w:line="221" w:lineRule="exact"/>
              <w:ind w:left="182" w:right="166"/>
              <w:rPr>
                <w:rFonts w:ascii="Times New Roman"/>
                <w:sz w:val="21"/>
              </w:rPr>
            </w:pPr>
            <w:r>
              <w:rPr>
                <w:rFonts w:ascii="Times New Roman"/>
                <w:sz w:val="21"/>
              </w:rPr>
              <w:t>128.89</w:t>
            </w:r>
          </w:p>
        </w:tc>
        <w:tc>
          <w:tcPr>
            <w:tcW w:w="1195" w:type="dxa"/>
          </w:tcPr>
          <w:p>
            <w:pPr>
              <w:pStyle w:val="TableParagraph"/>
              <w:spacing w:line="221" w:lineRule="exact"/>
              <w:ind w:left="182" w:right="170"/>
              <w:rPr>
                <w:rFonts w:ascii="Times New Roman"/>
                <w:sz w:val="21"/>
              </w:rPr>
            </w:pPr>
            <w:r>
              <w:rPr>
                <w:rFonts w:ascii="Times New Roman"/>
                <w:sz w:val="21"/>
              </w:rPr>
              <w:t>2209.73</w:t>
            </w:r>
          </w:p>
        </w:tc>
        <w:tc>
          <w:tcPr>
            <w:tcW w:w="1192" w:type="dxa"/>
          </w:tcPr>
          <w:p>
            <w:pPr>
              <w:pStyle w:val="TableParagraph"/>
              <w:spacing w:line="221" w:lineRule="exact"/>
              <w:ind w:right="238"/>
              <w:jc w:val="right"/>
              <w:rPr>
                <w:rFonts w:ascii="Times New Roman"/>
                <w:sz w:val="21"/>
              </w:rPr>
            </w:pPr>
            <w:r>
              <w:rPr>
                <w:rFonts w:ascii="Times New Roman"/>
                <w:sz w:val="21"/>
              </w:rPr>
              <w:t>8666.88</w:t>
            </w:r>
          </w:p>
        </w:tc>
        <w:tc>
          <w:tcPr>
            <w:tcW w:w="1194" w:type="dxa"/>
          </w:tcPr>
          <w:p>
            <w:pPr>
              <w:pStyle w:val="TableParagraph"/>
              <w:spacing w:line="221" w:lineRule="exact"/>
              <w:ind w:left="184" w:right="170"/>
              <w:rPr>
                <w:rFonts w:ascii="Times New Roman"/>
                <w:sz w:val="21"/>
              </w:rPr>
            </w:pPr>
            <w:r>
              <w:rPr>
                <w:rFonts w:ascii="Times New Roman"/>
                <w:sz w:val="21"/>
              </w:rPr>
              <w:t>11720.05</w:t>
            </w:r>
          </w:p>
        </w:tc>
        <w:tc>
          <w:tcPr>
            <w:tcW w:w="1192" w:type="dxa"/>
          </w:tcPr>
          <w:p>
            <w:pPr>
              <w:pStyle w:val="TableParagraph"/>
              <w:spacing w:line="221" w:lineRule="exact"/>
              <w:ind w:left="182" w:right="160"/>
              <w:rPr>
                <w:rFonts w:ascii="Times New Roman"/>
                <w:sz w:val="21"/>
              </w:rPr>
            </w:pPr>
            <w:r>
              <w:rPr>
                <w:rFonts w:ascii="Times New Roman"/>
                <w:sz w:val="21"/>
              </w:rPr>
              <w:t>13015.66</w:t>
            </w:r>
          </w:p>
        </w:tc>
      </w:tr>
    </w:tbl>
    <w:p>
      <w:pPr>
        <w:pStyle w:val="BodyText"/>
        <w:spacing w:before="6"/>
        <w:rPr>
          <w:rFonts w:ascii="Times New Roman"/>
          <w:sz w:val="20"/>
        </w:rPr>
      </w:pPr>
      <w:r>
        <w:rPr/>
        <w:drawing>
          <wp:anchor distT="0" distB="0" distL="0" distR="0" allowOverlap="1" layoutInCell="1" locked="0" behindDoc="0" simplePos="0" relativeHeight="235">
            <wp:simplePos x="0" y="0"/>
            <wp:positionH relativeFrom="page">
              <wp:posOffset>1722120</wp:posOffset>
            </wp:positionH>
            <wp:positionV relativeFrom="paragraph">
              <wp:posOffset>175004</wp:posOffset>
            </wp:positionV>
            <wp:extent cx="4114800" cy="2865120"/>
            <wp:effectExtent l="0" t="0" r="0" b="0"/>
            <wp:wrapTopAndBottom/>
            <wp:docPr id="69" name="image57.png"/>
            <wp:cNvGraphicFramePr>
              <a:graphicFrameLocks noChangeAspect="1"/>
            </wp:cNvGraphicFramePr>
            <a:graphic>
              <a:graphicData uri="http://schemas.openxmlformats.org/drawingml/2006/picture">
                <pic:pic>
                  <pic:nvPicPr>
                    <pic:cNvPr id="70" name="image57.png"/>
                    <pic:cNvPicPr/>
                  </pic:nvPicPr>
                  <pic:blipFill>
                    <a:blip r:embed="rId124" cstate="print"/>
                    <a:stretch>
                      <a:fillRect/>
                    </a:stretch>
                  </pic:blipFill>
                  <pic:spPr>
                    <a:xfrm>
                      <a:off x="0" y="0"/>
                      <a:ext cx="4114800" cy="2865120"/>
                    </a:xfrm>
                    <a:prstGeom prst="rect">
                      <a:avLst/>
                    </a:prstGeom>
                  </pic:spPr>
                </pic:pic>
              </a:graphicData>
            </a:graphic>
          </wp:anchor>
        </w:drawing>
      </w:r>
    </w:p>
    <w:p>
      <w:pPr>
        <w:pStyle w:val="BodyText"/>
        <w:tabs>
          <w:tab w:pos="1989" w:val="left" w:leader="none"/>
        </w:tabs>
        <w:spacing w:line="283" w:lineRule="exact"/>
        <w:ind w:left="770"/>
        <w:rPr>
          <w:rFonts w:ascii="Times New Roman" w:eastAsia="Times New Roman"/>
        </w:rPr>
      </w:pPr>
      <w:r>
        <w:rPr/>
        <w:t>图</w:t>
      </w:r>
      <w:r>
        <w:rPr>
          <w:spacing w:val="-62"/>
        </w:rPr>
        <w:t> </w:t>
      </w:r>
      <w:r>
        <w:rPr>
          <w:rFonts w:ascii="Times New Roman" w:eastAsia="Times New Roman"/>
        </w:rPr>
        <w:t>7.2.3-1</w:t>
        <w:tab/>
      </w:r>
      <w:r>
        <w:rPr/>
        <w:t>耗氧量地下水运移情况示意图</w:t>
      </w:r>
      <w:r>
        <w:rPr>
          <w:rFonts w:ascii="Times New Roman" w:eastAsia="Times New Roman"/>
        </w:rPr>
        <w:t>(</w:t>
      </w:r>
      <w:r>
        <w:rPr/>
        <w:t>横坐标单位</w:t>
      </w:r>
      <w:r>
        <w:rPr>
          <w:spacing w:val="-60"/>
        </w:rPr>
        <w:t> </w:t>
      </w:r>
      <w:r>
        <w:rPr>
          <w:rFonts w:ascii="Times New Roman" w:eastAsia="Times New Roman"/>
        </w:rPr>
        <w:t>m</w:t>
      </w:r>
      <w:r>
        <w:rPr/>
        <w:t>，纵坐标单位</w:t>
      </w:r>
      <w:r>
        <w:rPr>
          <w:spacing w:val="-60"/>
        </w:rPr>
        <w:t> </w:t>
      </w:r>
      <w:r>
        <w:rPr>
          <w:rFonts w:ascii="Times New Roman" w:eastAsia="Times New Roman"/>
        </w:rPr>
        <w:t>mg/L)</w:t>
      </w:r>
    </w:p>
    <w:p>
      <w:pPr>
        <w:pStyle w:val="BodyText"/>
        <w:spacing w:line="362" w:lineRule="auto" w:before="160"/>
        <w:ind w:left="218" w:right="184" w:firstLine="480"/>
      </w:pPr>
      <w:r>
        <w:rPr/>
        <w:t>由上述预测结果可知，在非正常情况下，废水通过渗透作用可对地下水造成一定的影响。因此，企业需对主要污染部位如废水处理区、储罐区、固废堆放场所、生产装置</w:t>
      </w:r>
    </w:p>
    <w:p>
      <w:pPr>
        <w:spacing w:after="0" w:line="362" w:lineRule="auto"/>
        <w:sectPr>
          <w:pgSz w:w="11910" w:h="16840"/>
          <w:pgMar w:header="872" w:footer="803" w:top="1320" w:bottom="1000" w:left="1200" w:right="1180"/>
        </w:sectPr>
      </w:pPr>
    </w:p>
    <w:p>
      <w:pPr>
        <w:pStyle w:val="BodyText"/>
        <w:spacing w:before="84"/>
        <w:ind w:left="218"/>
      </w:pPr>
      <w:r>
        <w:rPr/>
        <w:t>区等采取分区防渗措施，确保污染物不进入地下水。</w:t>
      </w:r>
    </w:p>
    <w:p>
      <w:pPr>
        <w:pStyle w:val="BodyText"/>
        <w:spacing w:line="364" w:lineRule="auto" w:before="159"/>
        <w:ind w:left="218" w:right="235" w:firstLine="480"/>
      </w:pPr>
      <w:r>
        <w:rPr>
          <w:spacing w:val="-7"/>
        </w:rPr>
        <w:t>因此，企业应切实做好废水收集预处理工作，做好厂内的地面硬化防渗，包括废水</w:t>
      </w:r>
      <w:r>
        <w:rPr/>
        <w:t>处理区、废气处理区和固废暂存区域等的地面防渗工作，则对地下水环境影响较小。</w:t>
      </w:r>
    </w:p>
    <w:p>
      <w:pPr>
        <w:pStyle w:val="Heading4"/>
        <w:spacing w:line="306" w:lineRule="exact"/>
        <w:rPr>
          <w:b w:val="0"/>
        </w:rPr>
      </w:pPr>
      <w:r>
        <w:rPr/>
        <w:t>综上所述，只要做好全面的预防措施，项目的建设对地下水环境影响较小</w:t>
      </w:r>
      <w:r>
        <w:rPr>
          <w:b w:val="0"/>
        </w:rPr>
        <w:t>。</w:t>
      </w:r>
    </w:p>
    <w:p>
      <w:pPr>
        <w:pStyle w:val="ListParagraph"/>
        <w:numPr>
          <w:ilvl w:val="2"/>
          <w:numId w:val="23"/>
        </w:numPr>
        <w:tabs>
          <w:tab w:pos="999" w:val="left" w:leader="none"/>
        </w:tabs>
        <w:spacing w:line="240" w:lineRule="auto" w:before="160" w:after="0"/>
        <w:ind w:left="998" w:right="0" w:hanging="541"/>
        <w:jc w:val="left"/>
        <w:rPr>
          <w:b/>
          <w:sz w:val="24"/>
        </w:rPr>
      </w:pPr>
      <w:r>
        <w:rPr>
          <w:b/>
          <w:sz w:val="24"/>
        </w:rPr>
        <w:t>营运期固废影响分析</w:t>
      </w:r>
    </w:p>
    <w:p>
      <w:pPr>
        <w:spacing w:before="158"/>
        <w:ind w:left="701" w:right="0" w:firstLine="0"/>
        <w:jc w:val="left"/>
        <w:rPr>
          <w:b/>
          <w:sz w:val="24"/>
        </w:rPr>
      </w:pPr>
      <w:r>
        <w:rPr>
          <w:rFonts w:ascii="Times New Roman" w:eastAsia="Times New Roman"/>
          <w:b/>
          <w:sz w:val="24"/>
        </w:rPr>
        <w:t>1</w:t>
      </w:r>
      <w:r>
        <w:rPr>
          <w:b/>
          <w:sz w:val="24"/>
        </w:rPr>
        <w:t>、危险废物贮存场所（设施）环境影响分析</w:t>
      </w:r>
    </w:p>
    <w:p>
      <w:pPr>
        <w:pStyle w:val="ListParagraph"/>
        <w:numPr>
          <w:ilvl w:val="0"/>
          <w:numId w:val="35"/>
        </w:numPr>
        <w:tabs>
          <w:tab w:pos="1300" w:val="left" w:leader="none"/>
        </w:tabs>
        <w:spacing w:line="364" w:lineRule="auto" w:before="161" w:after="0"/>
        <w:ind w:left="218" w:right="232" w:firstLine="480"/>
        <w:jc w:val="both"/>
        <w:rPr>
          <w:sz w:val="24"/>
        </w:rPr>
      </w:pPr>
      <w:r>
        <w:rPr>
          <w:sz w:val="24"/>
        </w:rPr>
        <w:t>项目新建危险废物暂存场所位于东区厂区的西南侧。东区位于杭州湾上虞经</w:t>
      </w:r>
      <w:r>
        <w:rPr>
          <w:spacing w:val="-6"/>
          <w:sz w:val="24"/>
        </w:rPr>
        <w:t>济技术开发区，地质结构稳定，不处于溶洞区、易遭受严重自然灾害影响的地区，离最</w:t>
      </w:r>
      <w:r>
        <w:rPr>
          <w:spacing w:val="-11"/>
          <w:sz w:val="24"/>
        </w:rPr>
        <w:t>近的居民点 </w:t>
      </w:r>
      <w:r>
        <w:rPr>
          <w:rFonts w:ascii="Times New Roman" w:eastAsia="Times New Roman"/>
          <w:sz w:val="24"/>
        </w:rPr>
        <w:t>1900m </w:t>
      </w:r>
      <w:r>
        <w:rPr>
          <w:spacing w:val="-11"/>
          <w:sz w:val="24"/>
        </w:rPr>
        <w:t>以外。企业拟建危险废物暂存场设施底部高于地下水最高水位，建于</w:t>
      </w:r>
      <w:r>
        <w:rPr>
          <w:sz w:val="24"/>
        </w:rPr>
        <w:t>易燃、易爆危险品仓库、高压输电线防护区域之外，且按照要求做好基础防渗工作。</w:t>
      </w:r>
    </w:p>
    <w:p>
      <w:pPr>
        <w:pStyle w:val="BodyText"/>
        <w:spacing w:line="306" w:lineRule="exact"/>
        <w:ind w:left="698"/>
      </w:pPr>
      <w:r>
        <w:rPr/>
        <w:t>综上，企业危险废物暂存场的选址符合相关标准的要求。</w:t>
      </w:r>
    </w:p>
    <w:p>
      <w:pPr>
        <w:pStyle w:val="ListParagraph"/>
        <w:numPr>
          <w:ilvl w:val="0"/>
          <w:numId w:val="35"/>
        </w:numPr>
        <w:tabs>
          <w:tab w:pos="1300" w:val="left" w:leader="none"/>
        </w:tabs>
        <w:spacing w:line="364" w:lineRule="auto" w:before="160" w:after="0"/>
        <w:ind w:left="218" w:right="112" w:firstLine="480"/>
        <w:jc w:val="left"/>
        <w:rPr>
          <w:sz w:val="24"/>
        </w:rPr>
      </w:pPr>
      <w:r>
        <w:rPr>
          <w:spacing w:val="-6"/>
          <w:sz w:val="24"/>
        </w:rPr>
        <w:t>项目危险废物产生量为 </w:t>
      </w:r>
      <w:r>
        <w:rPr>
          <w:rFonts w:ascii="Times New Roman" w:eastAsia="Times New Roman"/>
          <w:sz w:val="24"/>
        </w:rPr>
        <w:t>106 </w:t>
      </w:r>
      <w:r>
        <w:rPr>
          <w:sz w:val="24"/>
        </w:rPr>
        <w:t>吨</w:t>
      </w:r>
      <w:r>
        <w:rPr>
          <w:rFonts w:ascii="Times New Roman" w:eastAsia="Times New Roman"/>
          <w:sz w:val="24"/>
        </w:rPr>
        <w:t>/</w:t>
      </w:r>
      <w:r>
        <w:rPr>
          <w:spacing w:val="-8"/>
          <w:sz w:val="24"/>
        </w:rPr>
        <w:t>年，每种危险废物的贮存周期均为一个月以上</w:t>
      </w:r>
      <w:r>
        <w:rPr>
          <w:spacing w:val="-12"/>
          <w:sz w:val="24"/>
        </w:rPr>
        <w:t>，占地面积需 </w:t>
      </w:r>
      <w:r>
        <w:rPr>
          <w:rFonts w:ascii="Times New Roman" w:eastAsia="Times New Roman"/>
          <w:sz w:val="24"/>
        </w:rPr>
        <w:t>30m</w:t>
      </w:r>
      <w:r>
        <w:rPr>
          <w:rFonts w:ascii="Times New Roman" w:eastAsia="Times New Roman"/>
          <w:position w:val="9"/>
          <w:sz w:val="16"/>
        </w:rPr>
        <w:t>2</w:t>
      </w:r>
      <w:r>
        <w:rPr>
          <w:rFonts w:ascii="Times New Roman" w:eastAsia="Times New Roman"/>
          <w:spacing w:val="2"/>
          <w:position w:val="9"/>
          <w:sz w:val="16"/>
        </w:rPr>
        <w:t> </w:t>
      </w:r>
      <w:r>
        <w:rPr>
          <w:spacing w:val="-7"/>
          <w:sz w:val="24"/>
        </w:rPr>
        <w:t>以上，本项目涉及危险废物暂存场的占地面积为 </w:t>
      </w:r>
      <w:r>
        <w:rPr>
          <w:rFonts w:ascii="Times New Roman" w:eastAsia="Times New Roman"/>
          <w:spacing w:val="-3"/>
          <w:sz w:val="24"/>
        </w:rPr>
        <w:t>90m</w:t>
      </w:r>
      <w:r>
        <w:rPr>
          <w:rFonts w:ascii="Times New Roman" w:eastAsia="Times New Roman"/>
          <w:spacing w:val="-3"/>
          <w:position w:val="9"/>
          <w:sz w:val="16"/>
        </w:rPr>
        <w:t>2</w:t>
      </w:r>
      <w:r>
        <w:rPr>
          <w:spacing w:val="-2"/>
          <w:sz w:val="24"/>
        </w:rPr>
        <w:t>，从贮存能力上可以满足。</w:t>
      </w:r>
    </w:p>
    <w:p>
      <w:pPr>
        <w:pStyle w:val="ListParagraph"/>
        <w:numPr>
          <w:ilvl w:val="0"/>
          <w:numId w:val="35"/>
        </w:numPr>
        <w:tabs>
          <w:tab w:pos="1300" w:val="left" w:leader="none"/>
        </w:tabs>
        <w:spacing w:line="364" w:lineRule="auto" w:before="0" w:after="0"/>
        <w:ind w:left="218" w:right="184" w:firstLine="480"/>
        <w:jc w:val="left"/>
        <w:rPr>
          <w:sz w:val="24"/>
        </w:rPr>
      </w:pPr>
      <w:r>
        <w:rPr>
          <w:sz w:val="24"/>
        </w:rPr>
        <w:t>危险废物暂存场所需按照标准进行地面防渗处理；需设置渗滤液收集沟，收</w:t>
      </w:r>
      <w:r>
        <w:rPr>
          <w:spacing w:val="-1"/>
          <w:sz w:val="24"/>
        </w:rPr>
        <w:t>集池，将收集的渗滤液泵入污水处理站进行处理，或收集委托有资质的单位进行处置。</w:t>
      </w:r>
      <w:r>
        <w:rPr>
          <w:sz w:val="24"/>
        </w:rPr>
        <w:t>若发生渗滤液的泄漏，将对周边环境地下水、地表水、土壤造成影响。</w:t>
      </w:r>
    </w:p>
    <w:p>
      <w:pPr>
        <w:pStyle w:val="Heading4"/>
      </w:pPr>
      <w:r>
        <w:rPr>
          <w:rFonts w:ascii="Times New Roman" w:eastAsia="Times New Roman"/>
        </w:rPr>
        <w:t>2</w:t>
      </w:r>
      <w:r>
        <w:rPr/>
        <w:t>．运输过程的环境影响分析</w:t>
      </w:r>
    </w:p>
    <w:p>
      <w:pPr>
        <w:pStyle w:val="BodyText"/>
        <w:spacing w:before="155"/>
        <w:ind w:left="698"/>
      </w:pPr>
      <w:r>
        <w:rPr>
          <w:spacing w:val="-3"/>
        </w:rPr>
        <w:t>本项目危险废物主要产生于生产车间及污水处理设施，厂内运输主要是指生产车间</w:t>
      </w:r>
    </w:p>
    <w:p>
      <w:pPr>
        <w:pStyle w:val="BodyText"/>
        <w:spacing w:line="362" w:lineRule="auto" w:before="161"/>
        <w:ind w:left="698" w:right="115" w:hanging="480"/>
      </w:pPr>
      <w:r>
        <w:rPr>
          <w:rFonts w:ascii="Times New Roman" w:eastAsia="Times New Roman"/>
        </w:rPr>
        <w:t>/</w:t>
      </w:r>
      <w:r>
        <w:rPr>
          <w:spacing w:val="-11"/>
        </w:rPr>
        <w:t>污水处理设施到厂区内危废暂存库之间的输送，输送路线在厂区内，不涉及环境敏感点。</w:t>
      </w:r>
      <w:r>
        <w:rPr>
          <w:spacing w:val="-4"/>
        </w:rPr>
        <w:t>项目产生的废物种类有半固态、固态等，要求建设单位根据各危废性质、组分等特</w:t>
      </w:r>
    </w:p>
    <w:p>
      <w:pPr>
        <w:pStyle w:val="BodyText"/>
        <w:spacing w:line="364" w:lineRule="auto" w:before="5"/>
        <w:ind w:left="218" w:right="233"/>
        <w:jc w:val="both"/>
      </w:pPr>
      <w:r>
        <w:rPr>
          <w:spacing w:val="-5"/>
        </w:rPr>
        <w:t>点在产生点位分别采用密封胶袋、编织袋或桶装包装完成后再使用叉车或推车等运入暂</w:t>
      </w:r>
      <w:r>
        <w:rPr>
          <w:spacing w:val="-4"/>
        </w:rPr>
        <w:t>存库内，并注意根据各危废的性质</w:t>
      </w:r>
      <w:r>
        <w:rPr/>
        <w:t>（</w:t>
      </w:r>
      <w:r>
        <w:rPr>
          <w:spacing w:val="-2"/>
        </w:rPr>
        <w:t>如挥发性、含湿率等</w:t>
      </w:r>
      <w:r>
        <w:rPr>
          <w:spacing w:val="-10"/>
        </w:rPr>
        <w:t>）</w:t>
      </w:r>
      <w:r>
        <w:rPr>
          <w:spacing w:val="-3"/>
        </w:rPr>
        <w:t>采取合适的包装材料，防止</w:t>
      </w:r>
      <w:r>
        <w:rPr/>
        <w:t>运输过程物料的挥发、渗漏等影响周边大气环境和地表径流。</w:t>
      </w:r>
    </w:p>
    <w:p>
      <w:pPr>
        <w:pStyle w:val="BodyText"/>
        <w:spacing w:line="364" w:lineRule="auto"/>
        <w:ind w:left="218" w:right="185" w:firstLine="480"/>
        <w:jc w:val="both"/>
      </w:pPr>
      <w:r>
        <w:rPr/>
        <w:t>在确保提出措施落实完成的情况下危废厂内输送不会对周边环境造成影响，但如果出现工人操作失误或其他原因导致危废废物泄漏、火灾等事故，影响周边环境。对此， 建设单位应在编制固废应急预案，加强应急培训和应急演练，事故发生时及时启动应急预案处置事故，防止事故的扩散和影响的扩大。</w:t>
      </w:r>
    </w:p>
    <w:p>
      <w:pPr>
        <w:pStyle w:val="BodyText"/>
        <w:spacing w:line="362" w:lineRule="auto"/>
        <w:ind w:left="218" w:right="248" w:firstLine="480"/>
      </w:pPr>
      <w:r>
        <w:rPr/>
        <w:t>项目危废委托外部有资质单位处置过程中厂外运输全部依托危废接收单位运输力量，建设单位不承担危废的厂外运输工作。</w:t>
      </w:r>
    </w:p>
    <w:p>
      <w:pPr>
        <w:spacing w:after="0" w:line="362" w:lineRule="auto"/>
        <w:sectPr>
          <w:pgSz w:w="11910" w:h="16840"/>
          <w:pgMar w:header="872" w:footer="803" w:top="1320" w:bottom="1000" w:left="1200" w:right="1180"/>
        </w:sectPr>
      </w:pPr>
    </w:p>
    <w:p>
      <w:pPr>
        <w:pStyle w:val="BodyText"/>
        <w:spacing w:before="84"/>
        <w:ind w:left="698"/>
      </w:pPr>
      <w:r>
        <w:rPr/>
        <w:t>在此基础上，本项目危废的运输对周边环境影响不大。</w:t>
      </w:r>
    </w:p>
    <w:p>
      <w:pPr>
        <w:pStyle w:val="Heading4"/>
        <w:spacing w:before="159"/>
      </w:pPr>
      <w:r>
        <w:rPr>
          <w:rFonts w:ascii="Times New Roman" w:eastAsia="Times New Roman"/>
        </w:rPr>
        <w:t>3</w:t>
      </w:r>
      <w:r>
        <w:rPr/>
        <w:t>、委托利用或者处置的环境影响分析</w:t>
      </w:r>
    </w:p>
    <w:p>
      <w:pPr>
        <w:pStyle w:val="BodyText"/>
        <w:spacing w:line="364" w:lineRule="auto" w:before="160"/>
        <w:ind w:left="218" w:right="233" w:firstLine="480"/>
        <w:jc w:val="both"/>
      </w:pPr>
      <w:r>
        <w:rPr>
          <w:spacing w:val="-4"/>
        </w:rPr>
        <w:t>建设单位应对项目产生的各固废实行分类收集和暂存，并应建立车间岗位及危废仓</w:t>
      </w:r>
      <w:r>
        <w:rPr>
          <w:spacing w:val="-6"/>
        </w:rPr>
        <w:t>库固废台账，并向当地生态环境部门申报固体废物的类型、处置方法，如果外售或转移给其他企业，应严格履行国家与地方政府生态环境部门关于危险废物转移的规定，填写危险废物转移单，并报当地生态环境部门备案，落实追踪制度，严防二次污染，杜绝随</w:t>
      </w:r>
      <w:r>
        <w:rPr/>
        <w:t>意买卖。</w:t>
      </w:r>
    </w:p>
    <w:p>
      <w:pPr>
        <w:pStyle w:val="BodyText"/>
        <w:spacing w:line="364" w:lineRule="auto"/>
        <w:ind w:left="218" w:right="232" w:firstLine="480"/>
        <w:jc w:val="both"/>
      </w:pPr>
      <w:r>
        <w:rPr>
          <w:spacing w:val="-4"/>
        </w:rPr>
        <w:t>项目产生的危险废物委托有资质的单位处理，目前企业已与众联环保等有资质单位</w:t>
      </w:r>
      <w:r>
        <w:rPr>
          <w:spacing w:val="-5"/>
        </w:rPr>
        <w:t>签订有委托处置意向协议。所产生的固废分类堆放，并设置专门的防雨棚、场地进行堆</w:t>
      </w:r>
      <w:r>
        <w:rPr>
          <w:spacing w:val="-7"/>
        </w:rPr>
        <w:t>放，固废应及时清运。经过上述处理后，项目产生的固废能做到综合利用、焚烧或者填</w:t>
      </w:r>
      <w:r>
        <w:rPr/>
        <w:t>埋，周围环境能维持现状。</w:t>
      </w:r>
    </w:p>
    <w:p>
      <w:pPr>
        <w:pStyle w:val="Heading4"/>
        <w:numPr>
          <w:ilvl w:val="2"/>
          <w:numId w:val="23"/>
        </w:numPr>
        <w:tabs>
          <w:tab w:pos="999" w:val="left" w:leader="none"/>
        </w:tabs>
        <w:spacing w:line="306" w:lineRule="exact" w:before="0" w:after="0"/>
        <w:ind w:left="998" w:right="0" w:hanging="541"/>
        <w:jc w:val="both"/>
      </w:pPr>
      <w:r>
        <w:rPr/>
        <w:t>营运期声环境影响分析</w:t>
      </w:r>
    </w:p>
    <w:p>
      <w:pPr>
        <w:pStyle w:val="BodyText"/>
        <w:spacing w:before="156"/>
        <w:ind w:left="698"/>
      </w:pPr>
      <w:r>
        <w:rPr>
          <w:rFonts w:ascii="Times New Roman" w:eastAsia="Times New Roman"/>
        </w:rPr>
        <w:t>1</w:t>
      </w:r>
      <w:r>
        <w:rPr/>
        <w:t>、评价等级划分</w:t>
      </w:r>
    </w:p>
    <w:p>
      <w:pPr>
        <w:pStyle w:val="BodyText"/>
        <w:spacing w:line="362" w:lineRule="auto" w:before="161"/>
        <w:ind w:left="218" w:right="232" w:firstLine="480"/>
      </w:pPr>
      <w:r>
        <w:rPr/>
        <w:t>根据《环境影响评价技术导则声环境》</w:t>
      </w:r>
      <w:r>
        <w:rPr>
          <w:rFonts w:ascii="Times New Roman" w:eastAsia="Times New Roman"/>
        </w:rPr>
        <w:t>(HJ2.4-2009)</w:t>
      </w:r>
      <w:r>
        <w:rPr>
          <w:spacing w:val="-1"/>
        </w:rPr>
        <w:t>，项目拟建地位于 </w:t>
      </w:r>
      <w:r>
        <w:rPr>
          <w:rFonts w:ascii="Times New Roman" w:eastAsia="Times New Roman"/>
        </w:rPr>
        <w:t>3</w:t>
      </w:r>
      <w:r>
        <w:rPr>
          <w:rFonts w:ascii="Times New Roman" w:eastAsia="Times New Roman"/>
          <w:spacing w:val="51"/>
        </w:rPr>
        <w:t> </w:t>
      </w:r>
      <w:r>
        <w:rPr>
          <w:spacing w:val="-4"/>
        </w:rPr>
        <w:t>类声环境</w:t>
      </w:r>
      <w:r>
        <w:rPr/>
        <w:t>功能区，因此确定声环境影响评价工作等级为三级，作简要评价。</w:t>
      </w:r>
    </w:p>
    <w:p>
      <w:pPr>
        <w:pStyle w:val="BodyText"/>
        <w:spacing w:before="5"/>
        <w:ind w:left="698"/>
      </w:pPr>
      <w:r>
        <w:rPr>
          <w:rFonts w:ascii="Times New Roman" w:eastAsia="Times New Roman"/>
          <w:spacing w:val="-1"/>
        </w:rPr>
        <w:t>2</w:t>
      </w:r>
      <w:r>
        <w:rPr/>
        <w:t>、噪声源强</w:t>
      </w:r>
    </w:p>
    <w:p>
      <w:pPr>
        <w:pStyle w:val="BodyText"/>
        <w:spacing w:line="364" w:lineRule="auto" w:before="158"/>
        <w:ind w:left="698" w:right="3391"/>
      </w:pPr>
      <w:r>
        <w:rPr>
          <w:spacing w:val="-4"/>
        </w:rPr>
        <w:t>项目主要设备噪声源强见工程分析 </w:t>
      </w:r>
      <w:r>
        <w:rPr>
          <w:rFonts w:ascii="Times New Roman" w:eastAsia="Times New Roman"/>
        </w:rPr>
        <w:t>Pg96 </w:t>
      </w:r>
      <w:r>
        <w:rPr>
          <w:spacing w:val="-30"/>
        </w:rPr>
        <w:t>表 </w:t>
      </w:r>
      <w:r>
        <w:rPr>
          <w:rFonts w:ascii="Times New Roman" w:eastAsia="Times New Roman"/>
        </w:rPr>
        <w:t>4.2.3-5</w:t>
      </w:r>
      <w:r>
        <w:rPr>
          <w:spacing w:val="-15"/>
        </w:rPr>
        <w:t>。</w:t>
      </w:r>
      <w:r>
        <w:rPr>
          <w:rFonts w:ascii="Times New Roman" w:eastAsia="Times New Roman"/>
        </w:rPr>
        <w:t>3</w:t>
      </w:r>
      <w:r>
        <w:rPr/>
        <w:t>、预测模式</w:t>
      </w:r>
    </w:p>
    <w:p>
      <w:pPr>
        <w:pStyle w:val="BodyText"/>
        <w:spacing w:line="364" w:lineRule="auto"/>
        <w:ind w:left="218" w:right="234" w:firstLine="480"/>
      </w:pPr>
      <w:r>
        <w:rPr>
          <w:spacing w:val="-9"/>
        </w:rPr>
        <w:t>预测模式采用 </w:t>
      </w:r>
      <w:r>
        <w:rPr>
          <w:rFonts w:ascii="Times New Roman" w:eastAsia="Times New Roman"/>
        </w:rPr>
        <w:t>HJ2.4-2009 </w:t>
      </w:r>
      <w:r>
        <w:rPr>
          <w:spacing w:val="-11"/>
        </w:rPr>
        <w:t>推荐的模型。预测模式采用室内声源等效为室外声源的模</w:t>
      </w:r>
      <w:r>
        <w:rPr/>
        <w:t>式。</w:t>
      </w:r>
    </w:p>
    <w:p>
      <w:pPr>
        <w:pStyle w:val="BodyText"/>
        <w:spacing w:line="306" w:lineRule="exact"/>
        <w:ind w:left="698"/>
      </w:pPr>
      <w:r>
        <w:rPr/>
        <w:t>⑴室内声源等效为室外声源</w:t>
      </w:r>
    </w:p>
    <w:p>
      <w:pPr>
        <w:pStyle w:val="BodyText"/>
        <w:spacing w:line="364" w:lineRule="auto" w:before="160"/>
        <w:ind w:left="218" w:right="234" w:firstLine="480"/>
      </w:pPr>
      <w:r>
        <w:rPr>
          <w:spacing w:val="-21"/>
        </w:rPr>
        <w:t>根据 </w:t>
      </w:r>
      <w:r>
        <w:rPr>
          <w:rFonts w:ascii="Times New Roman" w:hAnsi="Times New Roman" w:eastAsia="Times New Roman"/>
        </w:rPr>
        <w:t>HJ2.4-2009 </w:t>
      </w:r>
      <w:r>
        <w:rPr/>
        <w:t>中</w:t>
      </w:r>
      <w:r>
        <w:rPr>
          <w:rFonts w:ascii="Times New Roman" w:hAnsi="Times New Roman" w:eastAsia="Times New Roman"/>
        </w:rPr>
        <w:t>“</w:t>
      </w:r>
      <w:r>
        <w:rPr>
          <w:spacing w:val="-20"/>
        </w:rPr>
        <w:t>附录 </w:t>
      </w:r>
      <w:r>
        <w:rPr>
          <w:rFonts w:ascii="Times New Roman" w:hAnsi="Times New Roman" w:eastAsia="Times New Roman"/>
        </w:rPr>
        <w:t>A.1.3</w:t>
      </w:r>
      <w:r>
        <w:rPr>
          <w:rFonts w:ascii="Times New Roman" w:hAnsi="Times New Roman" w:eastAsia="Times New Roman"/>
          <w:spacing w:val="59"/>
        </w:rPr>
        <w:t> </w:t>
      </w:r>
      <w:r>
        <w:rPr/>
        <w:t>室内声源等效室外声源声功率级计算方法</w:t>
      </w:r>
      <w:r>
        <w:rPr>
          <w:rFonts w:ascii="Times New Roman" w:hAnsi="Times New Roman" w:eastAsia="Times New Roman"/>
          <w:spacing w:val="-32"/>
        </w:rPr>
        <w:t>”</w:t>
      </w:r>
      <w:r>
        <w:rPr>
          <w:spacing w:val="-12"/>
        </w:rPr>
        <w:t>，室内声</w:t>
      </w:r>
      <w:r>
        <w:rPr/>
        <w:t>源等效为室外声源可按如下步骤进行。</w:t>
      </w:r>
    </w:p>
    <w:p>
      <w:pPr>
        <w:pStyle w:val="BodyText"/>
        <w:spacing w:line="364" w:lineRule="auto"/>
        <w:ind w:left="218" w:right="232" w:firstLine="480"/>
      </w:pPr>
      <w:r>
        <w:rPr>
          <w:spacing w:val="-21"/>
        </w:rPr>
        <w:t>如图 </w:t>
      </w:r>
      <w:r>
        <w:rPr>
          <w:rFonts w:ascii="Times New Roman" w:eastAsia="Times New Roman"/>
        </w:rPr>
        <w:t>7.2.5-1 </w:t>
      </w:r>
      <w:r>
        <w:rPr/>
        <w:t>所示，声源位于室内，室内声源可采用等效室外声源声功率级法进行</w:t>
      </w:r>
      <w:r>
        <w:rPr>
          <w:spacing w:val="-7"/>
          <w:position w:val="2"/>
        </w:rPr>
        <w:t>计算。设靠近开口处</w:t>
      </w:r>
      <w:r>
        <w:rPr>
          <w:position w:val="2"/>
        </w:rPr>
        <w:t>（或窗户</w:t>
      </w:r>
      <w:r>
        <w:rPr>
          <w:spacing w:val="-22"/>
          <w:position w:val="2"/>
        </w:rPr>
        <w:t>）</w:t>
      </w:r>
      <w:r>
        <w:rPr>
          <w:spacing w:val="-9"/>
          <w:position w:val="2"/>
        </w:rPr>
        <w:t>室内、室外某倍频带的声压级分别为 </w:t>
      </w:r>
      <w:r>
        <w:rPr>
          <w:rFonts w:ascii="Times New Roman" w:eastAsia="Times New Roman"/>
          <w:position w:val="2"/>
        </w:rPr>
        <w:t>L</w:t>
      </w:r>
      <w:r>
        <w:rPr>
          <w:rFonts w:ascii="Times New Roman" w:eastAsia="Times New Roman"/>
          <w:sz w:val="16"/>
        </w:rPr>
        <w:t>p1 </w:t>
      </w:r>
      <w:r>
        <w:rPr>
          <w:spacing w:val="-30"/>
          <w:position w:val="2"/>
        </w:rPr>
        <w:t>和 </w:t>
      </w:r>
      <w:r>
        <w:rPr>
          <w:rFonts w:ascii="Times New Roman" w:eastAsia="Times New Roman"/>
          <w:position w:val="2"/>
        </w:rPr>
        <w:t>L</w:t>
      </w:r>
      <w:r>
        <w:rPr>
          <w:rFonts w:ascii="Times New Roman" w:eastAsia="Times New Roman"/>
          <w:sz w:val="16"/>
        </w:rPr>
        <w:t>p2</w:t>
      </w:r>
      <w:r>
        <w:rPr>
          <w:spacing w:val="-9"/>
          <w:position w:val="2"/>
        </w:rPr>
        <w:t>。若声源</w:t>
      </w:r>
      <w:r>
        <w:rPr>
          <w:spacing w:val="-4"/>
        </w:rPr>
        <w:t>所在室内声场为近似扩散声场，则可按式 </w:t>
      </w:r>
      <w:r>
        <w:rPr>
          <w:rFonts w:ascii="Times New Roman" w:eastAsia="Times New Roman"/>
        </w:rPr>
        <w:t>7.2.5-1 </w:t>
      </w:r>
      <w:r>
        <w:rPr/>
        <w:t>计算某一室内声源靠近围护结构处产生的倍频带声压级：</w:t>
      </w:r>
    </w:p>
    <w:p>
      <w:pPr>
        <w:spacing w:after="0" w:line="364" w:lineRule="auto"/>
        <w:sectPr>
          <w:pgSz w:w="11910" w:h="16840"/>
          <w:pgMar w:header="872" w:footer="803" w:top="1320" w:bottom="1000" w:left="1200" w:right="1180"/>
        </w:sectPr>
      </w:pPr>
    </w:p>
    <w:p>
      <w:pPr>
        <w:pStyle w:val="BodyText"/>
        <w:spacing w:before="5" w:after="1"/>
        <w:rPr>
          <w:sz w:val="10"/>
        </w:rPr>
      </w:pPr>
    </w:p>
    <w:p>
      <w:pPr>
        <w:pStyle w:val="BodyText"/>
        <w:ind w:left="2633"/>
        <w:rPr>
          <w:sz w:val="20"/>
        </w:rPr>
      </w:pPr>
      <w:r>
        <w:rPr>
          <w:sz w:val="20"/>
        </w:rPr>
        <w:drawing>
          <wp:inline distT="0" distB="0" distL="0" distR="0">
            <wp:extent cx="2787022" cy="1398079"/>
            <wp:effectExtent l="0" t="0" r="0" b="0"/>
            <wp:docPr id="71" name="image58.png"/>
            <wp:cNvGraphicFramePr>
              <a:graphicFrameLocks noChangeAspect="1"/>
            </wp:cNvGraphicFramePr>
            <a:graphic>
              <a:graphicData uri="http://schemas.openxmlformats.org/drawingml/2006/picture">
                <pic:pic>
                  <pic:nvPicPr>
                    <pic:cNvPr id="72" name="image58.png"/>
                    <pic:cNvPicPr/>
                  </pic:nvPicPr>
                  <pic:blipFill>
                    <a:blip r:embed="rId125" cstate="print"/>
                    <a:stretch>
                      <a:fillRect/>
                    </a:stretch>
                  </pic:blipFill>
                  <pic:spPr>
                    <a:xfrm>
                      <a:off x="0" y="0"/>
                      <a:ext cx="2787022" cy="1398079"/>
                    </a:xfrm>
                    <a:prstGeom prst="rect">
                      <a:avLst/>
                    </a:prstGeom>
                  </pic:spPr>
                </pic:pic>
              </a:graphicData>
            </a:graphic>
          </wp:inline>
        </w:drawing>
      </w:r>
      <w:r>
        <w:rPr>
          <w:sz w:val="20"/>
        </w:rPr>
      </w:r>
    </w:p>
    <w:p>
      <w:pPr>
        <w:pStyle w:val="BodyText"/>
        <w:spacing w:before="6"/>
        <w:rPr>
          <w:sz w:val="7"/>
        </w:rPr>
      </w:pPr>
    </w:p>
    <w:p>
      <w:pPr>
        <w:pStyle w:val="Heading4"/>
        <w:tabs>
          <w:tab w:pos="1162" w:val="left" w:leader="none"/>
        </w:tabs>
        <w:spacing w:before="74"/>
        <w:ind w:left="0" w:right="17"/>
        <w:jc w:val="center"/>
      </w:pPr>
      <w:r>
        <w:rPr>
          <w:spacing w:val="3"/>
        </w:rPr>
        <w:t>图</w:t>
      </w:r>
      <w:r>
        <w:rPr>
          <w:rFonts w:ascii="Times New Roman" w:eastAsia="Times New Roman"/>
        </w:rPr>
        <w:t>7.2.5-1</w:t>
        <w:tab/>
      </w:r>
      <w:r>
        <w:rPr/>
        <w:t>室内声源等效为室外声源图例</w:t>
      </w:r>
    </w:p>
    <w:p>
      <w:pPr>
        <w:spacing w:after="0"/>
        <w:jc w:val="center"/>
        <w:sectPr>
          <w:pgSz w:w="11910" w:h="16840"/>
          <w:pgMar w:header="872" w:footer="803" w:top="1320" w:bottom="1000" w:left="1200" w:right="1180"/>
        </w:sectPr>
      </w:pPr>
    </w:p>
    <w:p>
      <w:pPr>
        <w:pStyle w:val="BodyText"/>
        <w:rPr>
          <w:b/>
        </w:rPr>
      </w:pPr>
    </w:p>
    <w:p>
      <w:pPr>
        <w:pStyle w:val="BodyText"/>
        <w:rPr>
          <w:b/>
        </w:rPr>
      </w:pPr>
    </w:p>
    <w:p>
      <w:pPr>
        <w:pStyle w:val="BodyText"/>
        <w:spacing w:before="10"/>
        <w:rPr>
          <w:b/>
          <w:sz w:val="28"/>
        </w:rPr>
      </w:pPr>
    </w:p>
    <w:p>
      <w:pPr>
        <w:pStyle w:val="BodyText"/>
        <w:ind w:left="682"/>
      </w:pPr>
      <w:r>
        <w:rPr/>
        <w:t>式中：</w:t>
      </w:r>
    </w:p>
    <w:p>
      <w:pPr>
        <w:spacing w:before="162"/>
        <w:ind w:left="0" w:right="119" w:firstLine="0"/>
        <w:jc w:val="right"/>
        <w:rPr>
          <w:rFonts w:ascii="Times New Roman"/>
          <w:i/>
          <w:sz w:val="23"/>
        </w:rPr>
      </w:pPr>
      <w:r>
        <w:rPr/>
        <w:br w:type="column"/>
      </w:r>
      <w:r>
        <w:rPr>
          <w:rFonts w:ascii="Times New Roman"/>
          <w:i/>
          <w:sz w:val="23"/>
        </w:rPr>
        <w:t>Q</w:t>
      </w:r>
    </w:p>
    <w:p>
      <w:pPr>
        <w:spacing w:before="38"/>
        <w:ind w:left="216" w:right="0" w:firstLine="0"/>
        <w:jc w:val="left"/>
        <w:rPr>
          <w:rFonts w:ascii="Times New Roman" w:hAnsi="Times New Roman"/>
          <w:sz w:val="13"/>
        </w:rPr>
      </w:pPr>
      <w:r>
        <w:rPr/>
        <w:pict>
          <v:line style="position:absolute;mso-position-horizontal-relative:page;mso-position-vertical-relative:paragraph;z-index:251900928" from="228.626617pt,1.956241pt" to="253.425315pt,1.956241pt" stroked="true" strokeweight=".484396pt" strokecolor="#000000">
            <v:stroke dashstyle="solid"/>
            <w10:wrap type="none"/>
          </v:line>
        </w:pict>
      </w:r>
      <w:r>
        <w:rPr>
          <w:rFonts w:ascii="Times New Roman" w:hAnsi="Times New Roman"/>
          <w:i/>
          <w:position w:val="2"/>
          <w:sz w:val="24"/>
        </w:rPr>
        <w:t>L</w:t>
      </w:r>
      <w:r>
        <w:rPr>
          <w:rFonts w:ascii="Times New Roman" w:hAnsi="Times New Roman"/>
          <w:i/>
          <w:sz w:val="16"/>
        </w:rPr>
        <w:t>P</w:t>
      </w:r>
      <w:r>
        <w:rPr>
          <w:rFonts w:ascii="Times New Roman" w:hAnsi="Times New Roman"/>
          <w:sz w:val="16"/>
        </w:rPr>
        <w:t>1</w:t>
      </w:r>
      <w:r>
        <w:rPr>
          <w:position w:val="2"/>
          <w:sz w:val="24"/>
        </w:rPr>
        <w:t>＝</w:t>
      </w:r>
      <w:r>
        <w:rPr>
          <w:rFonts w:ascii="Times New Roman" w:hAnsi="Times New Roman"/>
          <w:i/>
          <w:position w:val="2"/>
          <w:sz w:val="24"/>
        </w:rPr>
        <w:t>Lw+10lg</w:t>
      </w:r>
      <w:r>
        <w:rPr>
          <w:position w:val="2"/>
          <w:sz w:val="24"/>
        </w:rPr>
        <w:t>（</w:t>
      </w:r>
      <w:r>
        <w:rPr>
          <w:spacing w:val="-73"/>
          <w:position w:val="2"/>
          <w:sz w:val="24"/>
        </w:rPr>
        <w:t> </w:t>
      </w:r>
      <w:r>
        <w:rPr>
          <w:rFonts w:ascii="Times New Roman" w:hAnsi="Times New Roman"/>
          <w:spacing w:val="-5"/>
          <w:position w:val="7"/>
          <w:sz w:val="23"/>
        </w:rPr>
        <w:t>4</w:t>
      </w:r>
      <w:r>
        <w:rPr>
          <w:rFonts w:ascii="Symbol" w:hAnsi="Symbol"/>
          <w:i/>
          <w:spacing w:val="-5"/>
          <w:position w:val="7"/>
          <w:sz w:val="24"/>
        </w:rPr>
        <w:t></w:t>
      </w:r>
      <w:r>
        <w:rPr>
          <w:rFonts w:ascii="Times New Roman" w:hAnsi="Times New Roman"/>
          <w:i/>
          <w:spacing w:val="-5"/>
          <w:position w:val="7"/>
          <w:sz w:val="23"/>
        </w:rPr>
        <w:t>r </w:t>
      </w:r>
      <w:r>
        <w:rPr>
          <w:rFonts w:ascii="Times New Roman" w:hAnsi="Times New Roman"/>
          <w:spacing w:val="-13"/>
          <w:position w:val="17"/>
          <w:sz w:val="13"/>
        </w:rPr>
        <w:t>2</w:t>
      </w:r>
    </w:p>
    <w:p>
      <w:pPr>
        <w:spacing w:line="187" w:lineRule="auto" w:before="180"/>
        <w:ind w:left="60" w:right="0" w:firstLine="0"/>
        <w:jc w:val="left"/>
        <w:rPr>
          <w:rFonts w:ascii="Times New Roman" w:hAnsi="Times New Roman"/>
          <w:sz w:val="23"/>
        </w:rPr>
      </w:pPr>
      <w:r>
        <w:rPr/>
        <w:br w:type="column"/>
      </w:r>
      <w:r>
        <w:rPr>
          <w:rFonts w:ascii="Symbol" w:hAnsi="Symbol"/>
          <w:w w:val="105"/>
          <w:position w:val="-14"/>
          <w:sz w:val="23"/>
        </w:rPr>
        <w:t></w:t>
      </w:r>
      <w:r>
        <w:rPr>
          <w:rFonts w:ascii="Times New Roman" w:hAnsi="Times New Roman"/>
          <w:w w:val="105"/>
          <w:position w:val="-14"/>
          <w:sz w:val="23"/>
        </w:rPr>
        <w:t> </w:t>
      </w:r>
      <w:r>
        <w:rPr>
          <w:rFonts w:ascii="Times New Roman" w:hAnsi="Times New Roman"/>
          <w:w w:val="105"/>
          <w:sz w:val="23"/>
        </w:rPr>
        <w:t>4</w:t>
      </w:r>
    </w:p>
    <w:p>
      <w:pPr>
        <w:pStyle w:val="BodyText"/>
        <w:tabs>
          <w:tab w:pos="2655" w:val="left" w:leader="none"/>
        </w:tabs>
        <w:spacing w:line="290" w:lineRule="exact"/>
        <w:ind w:left="274"/>
      </w:pPr>
      <w:r>
        <w:rPr/>
        <w:pict>
          <v:line style="position:absolute;mso-position-horizontal-relative:page;mso-position-vertical-relative:paragraph;z-index:-317683712" from="265.741119pt,-3.42004pt" to="275.127521pt,-3.42004pt" stroked="true" strokeweight=".484396pt" strokecolor="#000000">
            <v:stroke dashstyle="solid"/>
            <w10:wrap type="none"/>
          </v:line>
        </w:pict>
      </w:r>
      <w:r>
        <w:rPr>
          <w:rFonts w:ascii="Times New Roman" w:eastAsia="Times New Roman"/>
          <w:i/>
          <w:position w:val="5"/>
          <w:sz w:val="23"/>
        </w:rPr>
        <w:t>R</w:t>
      </w:r>
      <w:r>
        <w:rPr>
          <w:rFonts w:ascii="Times New Roman" w:eastAsia="Times New Roman"/>
          <w:i/>
          <w:spacing w:val="18"/>
          <w:position w:val="5"/>
          <w:sz w:val="23"/>
        </w:rPr>
        <w:t> </w:t>
      </w:r>
      <w:r>
        <w:rPr/>
        <w:t>）</w:t>
        <w:tab/>
        <w:t>（式</w:t>
      </w:r>
      <w:r>
        <w:rPr>
          <w:rFonts w:ascii="Times New Roman" w:eastAsia="Times New Roman"/>
        </w:rPr>
        <w:t>7-1</w:t>
      </w:r>
      <w:r>
        <w:rPr/>
        <w:t>）</w:t>
      </w:r>
    </w:p>
    <w:p>
      <w:pPr>
        <w:spacing w:after="0" w:line="290" w:lineRule="exact"/>
        <w:sectPr>
          <w:type w:val="continuous"/>
          <w:pgSz w:w="11910" w:h="16840"/>
          <w:pgMar w:top="1420" w:bottom="280" w:left="1200" w:right="1180"/>
          <w:cols w:num="3" w:equalWidth="0">
            <w:col w:w="1403" w:space="40"/>
            <w:col w:w="2383" w:space="39"/>
            <w:col w:w="5665"/>
          </w:cols>
        </w:sectPr>
      </w:pPr>
    </w:p>
    <w:p>
      <w:pPr>
        <w:pStyle w:val="BodyText"/>
        <w:spacing w:line="364" w:lineRule="auto" w:before="159"/>
        <w:ind w:left="926" w:right="208" w:firstLine="708"/>
        <w:jc w:val="both"/>
      </w:pPr>
      <w:r>
        <w:rPr>
          <w:rFonts w:ascii="Times New Roman" w:hAnsi="Times New Roman" w:eastAsia="Times New Roman"/>
          <w:i/>
        </w:rPr>
        <w:t>Q </w:t>
      </w:r>
      <w:r>
        <w:rPr>
          <w:rFonts w:ascii="Times New Roman" w:hAnsi="Times New Roman" w:eastAsia="Times New Roman"/>
        </w:rPr>
        <w:t>—</w:t>
      </w:r>
      <w:r>
        <w:rPr/>
        <w:t>指向性因数；通常对无指向性声源，当声源放在房间中心时，</w:t>
      </w:r>
      <w:r>
        <w:rPr>
          <w:rFonts w:ascii="Times New Roman" w:hAnsi="Times New Roman" w:eastAsia="Times New Roman"/>
          <w:i/>
        </w:rPr>
        <w:t>Q </w:t>
      </w:r>
      <w:r>
        <w:rPr>
          <w:rFonts w:ascii="Times New Roman" w:hAnsi="Times New Roman" w:eastAsia="Times New Roman"/>
        </w:rPr>
        <w:t>=1</w:t>
      </w:r>
      <w:r>
        <w:rPr/>
        <w:t>； 当放在一面墙的中心时，</w:t>
      </w:r>
      <w:r>
        <w:rPr>
          <w:rFonts w:ascii="Times New Roman" w:hAnsi="Times New Roman" w:eastAsia="Times New Roman"/>
          <w:i/>
        </w:rPr>
        <w:t>Q</w:t>
      </w:r>
      <w:r>
        <w:rPr>
          <w:rFonts w:ascii="Times New Roman" w:hAnsi="Times New Roman" w:eastAsia="Times New Roman"/>
        </w:rPr>
        <w:t>=2</w:t>
      </w:r>
      <w:r>
        <w:rPr/>
        <w:t>；当放在两面墙夹角处时，</w:t>
      </w:r>
      <w:r>
        <w:rPr>
          <w:rFonts w:ascii="Times New Roman" w:hAnsi="Times New Roman" w:eastAsia="Times New Roman"/>
          <w:i/>
        </w:rPr>
        <w:t>Q </w:t>
      </w:r>
      <w:r>
        <w:rPr>
          <w:rFonts w:ascii="Times New Roman" w:hAnsi="Times New Roman" w:eastAsia="Times New Roman"/>
        </w:rPr>
        <w:t>=4</w:t>
      </w:r>
      <w:r>
        <w:rPr/>
        <w:t>；当放在三面墙夹角处时，</w:t>
      </w:r>
      <w:r>
        <w:rPr>
          <w:rFonts w:ascii="Times New Roman" w:hAnsi="Times New Roman" w:eastAsia="Times New Roman"/>
          <w:i/>
        </w:rPr>
        <w:t>Q</w:t>
      </w:r>
      <w:r>
        <w:rPr>
          <w:rFonts w:ascii="Times New Roman" w:hAnsi="Times New Roman" w:eastAsia="Times New Roman"/>
        </w:rPr>
        <w:t>=8</w:t>
      </w:r>
      <w:r>
        <w:rPr/>
        <w:t>。</w:t>
      </w:r>
    </w:p>
    <w:p>
      <w:pPr>
        <w:pStyle w:val="BodyText"/>
        <w:spacing w:line="307" w:lineRule="exact"/>
        <w:ind w:left="1634"/>
        <w:jc w:val="both"/>
      </w:pPr>
      <w:r>
        <w:rPr>
          <w:rFonts w:ascii="Times New Roman" w:hAnsi="Times New Roman" w:eastAsia="Times New Roman"/>
          <w:i/>
        </w:rPr>
        <w:t>R</w:t>
      </w:r>
      <w:r>
        <w:rPr>
          <w:rFonts w:ascii="Times New Roman" w:hAnsi="Times New Roman" w:eastAsia="Times New Roman"/>
        </w:rPr>
        <w:t>—</w:t>
      </w:r>
      <w:r>
        <w:rPr/>
        <w:t>房间常数；</w:t>
      </w:r>
      <w:r>
        <w:rPr>
          <w:rFonts w:ascii="Times New Roman" w:hAnsi="Times New Roman" w:eastAsia="Times New Roman"/>
          <w:i/>
        </w:rPr>
        <w:t>R </w:t>
      </w:r>
      <w:r>
        <w:rPr>
          <w:rFonts w:ascii="Times New Roman" w:hAnsi="Times New Roman" w:eastAsia="Times New Roman"/>
        </w:rPr>
        <w:t>= </w:t>
      </w:r>
      <w:r>
        <w:rPr>
          <w:rFonts w:ascii="Times New Roman" w:hAnsi="Times New Roman" w:eastAsia="Times New Roman"/>
          <w:i/>
        </w:rPr>
        <w:t>S</w:t>
      </w:r>
      <w:r>
        <w:rPr>
          <w:rFonts w:ascii="Times New Roman" w:hAnsi="Times New Roman" w:eastAsia="Times New Roman"/>
        </w:rPr>
        <w:t>α /(1− α)</w:t>
      </w:r>
      <w:r>
        <w:rPr/>
        <w:t>，</w:t>
      </w:r>
      <w:r>
        <w:rPr>
          <w:rFonts w:ascii="Times New Roman" w:hAnsi="Times New Roman" w:eastAsia="Times New Roman"/>
          <w:i/>
        </w:rPr>
        <w:t>S</w:t>
      </w:r>
      <w:r>
        <w:rPr/>
        <w:t>是房间内表面面积，</w:t>
      </w:r>
      <w:r>
        <w:rPr>
          <w:rFonts w:ascii="Times New Roman" w:hAnsi="Times New Roman" w:eastAsia="Times New Roman"/>
        </w:rPr>
        <w:t>m</w:t>
      </w:r>
      <w:r>
        <w:rPr>
          <w:rFonts w:ascii="Times New Roman" w:hAnsi="Times New Roman" w:eastAsia="Times New Roman"/>
          <w:position w:val="9"/>
          <w:sz w:val="16"/>
        </w:rPr>
        <w:t>2</w:t>
      </w:r>
      <w:r>
        <w:rPr/>
        <w:t>；</w:t>
      </w:r>
      <w:r>
        <w:rPr>
          <w:rFonts w:ascii="Times New Roman" w:hAnsi="Times New Roman" w:eastAsia="Times New Roman"/>
        </w:rPr>
        <w:t>α</w:t>
      </w:r>
      <w:r>
        <w:rPr/>
        <w:t>是平均吸声系</w:t>
      </w:r>
    </w:p>
    <w:p>
      <w:pPr>
        <w:pStyle w:val="BodyText"/>
        <w:spacing w:before="158"/>
        <w:ind w:left="926"/>
      </w:pPr>
      <w:r>
        <w:rPr/>
        <w:t>数。</w:t>
      </w:r>
    </w:p>
    <w:p>
      <w:pPr>
        <w:pStyle w:val="BodyText"/>
        <w:spacing w:before="161"/>
        <w:ind w:left="1565"/>
      </w:pPr>
      <w:r>
        <w:rPr>
          <w:rFonts w:ascii="Times New Roman" w:hAnsi="Times New Roman" w:eastAsia="Times New Roman"/>
          <w:i/>
        </w:rPr>
        <w:t>r</w:t>
      </w:r>
      <w:r>
        <w:rPr>
          <w:rFonts w:ascii="Times New Roman" w:hAnsi="Times New Roman" w:eastAsia="Times New Roman"/>
        </w:rPr>
        <w:t>—</w:t>
      </w:r>
      <w:r>
        <w:rPr/>
        <w:t>声源到靠近围护结构某点处的距离，</w:t>
      </w:r>
      <w:r>
        <w:rPr>
          <w:rFonts w:ascii="Times New Roman" w:hAnsi="Times New Roman" w:eastAsia="Times New Roman"/>
        </w:rPr>
        <w:t>m</w:t>
      </w:r>
      <w:r>
        <w:rPr/>
        <w:t>。</w:t>
      </w:r>
    </w:p>
    <w:p>
      <w:pPr>
        <w:pStyle w:val="BodyText"/>
        <w:spacing w:before="158"/>
        <w:ind w:left="682"/>
      </w:pPr>
      <w:r>
        <w:rPr>
          <w:spacing w:val="-10"/>
        </w:rPr>
        <w:t>然后按式</w:t>
      </w:r>
      <w:r>
        <w:rPr>
          <w:rFonts w:ascii="Times New Roman" w:eastAsia="Times New Roman"/>
          <w:spacing w:val="-4"/>
        </w:rPr>
        <w:t>7-2</w:t>
      </w:r>
      <w:r>
        <w:rPr>
          <w:spacing w:val="-11"/>
        </w:rPr>
        <w:t>计算出所有室内声源在围护结构处产生的 </w:t>
      </w:r>
      <w:r>
        <w:rPr>
          <w:rFonts w:ascii="Times New Roman" w:eastAsia="Times New Roman"/>
          <w:i/>
        </w:rPr>
        <w:t>i </w:t>
      </w:r>
      <w:r>
        <w:rPr>
          <w:spacing w:val="-9"/>
        </w:rPr>
        <w:t>倍频带叠加声压级：</w:t>
      </w:r>
    </w:p>
    <w:p>
      <w:pPr>
        <w:spacing w:after="0"/>
        <w:sectPr>
          <w:type w:val="continuous"/>
          <w:pgSz w:w="11910" w:h="16840"/>
          <w:pgMar w:top="1420" w:bottom="280" w:left="1200" w:right="1180"/>
        </w:sectPr>
      </w:pPr>
    </w:p>
    <w:p>
      <w:pPr>
        <w:spacing w:line="262" w:lineRule="exact" w:before="157"/>
        <w:ind w:left="0" w:right="0" w:firstLine="0"/>
        <w:jc w:val="right"/>
        <w:rPr>
          <w:rFonts w:ascii="Times New Roman" w:hAnsi="Times New Roman"/>
          <w:i/>
          <w:sz w:val="14"/>
        </w:rPr>
      </w:pPr>
      <w:r>
        <w:rPr>
          <w:rFonts w:ascii="Symbol" w:hAnsi="Symbol"/>
          <w:w w:val="101"/>
          <w:sz w:val="24"/>
        </w:rPr>
        <w:t></w:t>
      </w:r>
      <w:r>
        <w:rPr>
          <w:rFonts w:ascii="Times New Roman" w:hAnsi="Times New Roman"/>
          <w:spacing w:val="-4"/>
          <w:sz w:val="24"/>
        </w:rPr>
        <w:t> </w:t>
      </w:r>
      <w:r>
        <w:rPr>
          <w:rFonts w:ascii="Times New Roman" w:hAnsi="Times New Roman"/>
          <w:spacing w:val="-23"/>
          <w:w w:val="101"/>
          <w:sz w:val="24"/>
        </w:rPr>
        <w:t>l</w:t>
      </w:r>
      <w:r>
        <w:rPr>
          <w:rFonts w:ascii="Times New Roman" w:hAnsi="Times New Roman"/>
          <w:spacing w:val="-18"/>
          <w:w w:val="101"/>
          <w:sz w:val="24"/>
        </w:rPr>
        <w:t>g</w:t>
      </w:r>
      <w:r>
        <w:rPr>
          <w:rFonts w:ascii="Times New Roman" w:hAnsi="Times New Roman"/>
          <w:w w:val="101"/>
          <w:sz w:val="24"/>
        </w:rPr>
        <w:t>{</w:t>
      </w:r>
      <w:r>
        <w:rPr>
          <w:rFonts w:ascii="Times New Roman" w:hAnsi="Times New Roman"/>
          <w:spacing w:val="-38"/>
          <w:sz w:val="24"/>
        </w:rPr>
        <w:t> </w:t>
      </w:r>
      <w:r>
        <w:rPr>
          <w:rFonts w:ascii="Symbol" w:hAnsi="Symbol"/>
          <w:spacing w:val="4"/>
          <w:w w:val="101"/>
          <w:position w:val="-5"/>
          <w:sz w:val="36"/>
        </w:rPr>
        <w:t></w:t>
      </w:r>
      <w:r>
        <w:rPr>
          <w:rFonts w:ascii="Times New Roman" w:hAnsi="Times New Roman"/>
          <w:i/>
          <w:w w:val="101"/>
          <w:position w:val="15"/>
          <w:sz w:val="14"/>
        </w:rPr>
        <w:t>N</w:t>
      </w:r>
    </w:p>
    <w:p>
      <w:pPr>
        <w:spacing w:line="120" w:lineRule="auto" w:before="243"/>
        <w:ind w:left="72" w:right="0" w:firstLine="0"/>
        <w:jc w:val="left"/>
        <w:rPr>
          <w:rFonts w:ascii="Times New Roman"/>
          <w:sz w:val="24"/>
        </w:rPr>
      </w:pPr>
      <w:r>
        <w:rPr/>
        <w:br w:type="column"/>
      </w:r>
      <w:r>
        <w:rPr>
          <w:rFonts w:ascii="Times New Roman"/>
          <w:spacing w:val="-3"/>
          <w:w w:val="101"/>
          <w:position w:val="-12"/>
          <w:sz w:val="24"/>
        </w:rPr>
        <w:t>1</w:t>
      </w:r>
      <w:r>
        <w:rPr>
          <w:rFonts w:ascii="Times New Roman"/>
          <w:spacing w:val="11"/>
          <w:w w:val="101"/>
          <w:position w:val="-12"/>
          <w:sz w:val="24"/>
        </w:rPr>
        <w:t>0</w:t>
      </w:r>
      <w:r>
        <w:rPr>
          <w:rFonts w:ascii="Times New Roman"/>
          <w:spacing w:val="-2"/>
          <w:w w:val="101"/>
          <w:sz w:val="14"/>
        </w:rPr>
        <w:t>0</w:t>
      </w:r>
      <w:r>
        <w:rPr>
          <w:rFonts w:ascii="Times New Roman"/>
          <w:spacing w:val="-1"/>
          <w:w w:val="101"/>
          <w:sz w:val="14"/>
        </w:rPr>
        <w:t>.</w:t>
      </w:r>
      <w:r>
        <w:rPr>
          <w:rFonts w:ascii="Times New Roman"/>
          <w:spacing w:val="1"/>
          <w:w w:val="101"/>
          <w:sz w:val="14"/>
        </w:rPr>
        <w:t>1</w:t>
      </w:r>
      <w:r>
        <w:rPr>
          <w:rFonts w:ascii="Times New Roman"/>
          <w:i/>
          <w:spacing w:val="-2"/>
          <w:w w:val="101"/>
          <w:sz w:val="14"/>
        </w:rPr>
        <w:t>L</w:t>
      </w:r>
      <w:r>
        <w:rPr>
          <w:rFonts w:ascii="Times New Roman"/>
          <w:i/>
          <w:spacing w:val="-3"/>
          <w:w w:val="102"/>
          <w:position w:val="-3"/>
          <w:sz w:val="10"/>
        </w:rPr>
        <w:t>P</w:t>
      </w:r>
      <w:r>
        <w:rPr>
          <w:rFonts w:ascii="Times New Roman"/>
          <w:i/>
          <w:spacing w:val="1"/>
          <w:w w:val="102"/>
          <w:position w:val="-3"/>
          <w:sz w:val="10"/>
        </w:rPr>
        <w:t>i</w:t>
      </w:r>
      <w:r>
        <w:rPr>
          <w:rFonts w:ascii="Times New Roman"/>
          <w:i/>
          <w:w w:val="102"/>
          <w:position w:val="-3"/>
          <w:sz w:val="10"/>
        </w:rPr>
        <w:t>j</w:t>
      </w:r>
      <w:r>
        <w:rPr>
          <w:rFonts w:ascii="Times New Roman"/>
          <w:i/>
          <w:position w:val="-3"/>
          <w:sz w:val="10"/>
        </w:rPr>
        <w:t> </w:t>
      </w:r>
      <w:r>
        <w:rPr>
          <w:rFonts w:ascii="Times New Roman"/>
          <w:i/>
          <w:spacing w:val="-10"/>
          <w:position w:val="-3"/>
          <w:sz w:val="10"/>
        </w:rPr>
        <w:t> </w:t>
      </w:r>
      <w:r>
        <w:rPr>
          <w:rFonts w:ascii="Times New Roman"/>
          <w:w w:val="101"/>
          <w:position w:val="-12"/>
          <w:sz w:val="24"/>
        </w:rPr>
        <w:t>}</w:t>
      </w:r>
    </w:p>
    <w:p>
      <w:pPr>
        <w:spacing w:after="0" w:line="120" w:lineRule="auto"/>
        <w:jc w:val="left"/>
        <w:rPr>
          <w:rFonts w:ascii="Times New Roman"/>
          <w:sz w:val="24"/>
        </w:rPr>
        <w:sectPr>
          <w:type w:val="continuous"/>
          <w:pgSz w:w="11910" w:h="16840"/>
          <w:pgMar w:top="1420" w:bottom="280" w:left="1200" w:right="1180"/>
          <w:cols w:num="2" w:equalWidth="0">
            <w:col w:w="3379" w:space="40"/>
            <w:col w:w="6111"/>
          </w:cols>
        </w:sectPr>
      </w:pPr>
    </w:p>
    <w:p>
      <w:pPr>
        <w:pStyle w:val="BodyText"/>
        <w:rPr>
          <w:rFonts w:ascii="Times New Roman"/>
        </w:rPr>
      </w:pPr>
    </w:p>
    <w:p>
      <w:pPr>
        <w:pStyle w:val="BodyText"/>
        <w:spacing w:before="172"/>
        <w:ind w:left="682"/>
      </w:pPr>
      <w:r>
        <w:rPr/>
        <w:t>式中：</w:t>
      </w:r>
    </w:p>
    <w:p>
      <w:pPr>
        <w:spacing w:line="274" w:lineRule="exact" w:before="0"/>
        <w:ind w:left="216" w:right="0" w:firstLine="0"/>
        <w:jc w:val="left"/>
        <w:rPr>
          <w:rFonts w:ascii="Times New Roman"/>
          <w:sz w:val="24"/>
        </w:rPr>
      </w:pPr>
      <w:r>
        <w:rPr/>
        <w:br w:type="column"/>
      </w:r>
      <w:r>
        <w:rPr>
          <w:rFonts w:ascii="Times New Roman"/>
          <w:i/>
          <w:position w:val="2"/>
          <w:sz w:val="24"/>
        </w:rPr>
        <w:t>L</w:t>
      </w:r>
      <w:r>
        <w:rPr>
          <w:rFonts w:ascii="Times New Roman"/>
          <w:i/>
          <w:sz w:val="16"/>
        </w:rPr>
        <w:t>P</w:t>
      </w:r>
      <w:r>
        <w:rPr>
          <w:rFonts w:ascii="Times New Roman"/>
          <w:sz w:val="16"/>
        </w:rPr>
        <w:t>1</w:t>
      </w:r>
      <w:r>
        <w:rPr>
          <w:rFonts w:ascii="Times New Roman"/>
          <w:i/>
          <w:sz w:val="16"/>
        </w:rPr>
        <w:t>i </w:t>
      </w:r>
      <w:r>
        <w:rPr>
          <w:rFonts w:ascii="Times New Roman"/>
          <w:position w:val="2"/>
          <w:sz w:val="24"/>
        </w:rPr>
        <w:t>(T)</w:t>
      </w:r>
    </w:p>
    <w:p>
      <w:pPr>
        <w:spacing w:before="0"/>
        <w:ind w:left="0" w:right="38" w:firstLine="0"/>
        <w:jc w:val="right"/>
        <w:rPr>
          <w:rFonts w:ascii="Times New Roman" w:hAnsi="Times New Roman"/>
          <w:sz w:val="14"/>
        </w:rPr>
      </w:pPr>
      <w:r>
        <w:rPr/>
        <w:br w:type="column"/>
      </w:r>
      <w:r>
        <w:rPr>
          <w:rFonts w:ascii="Times New Roman" w:hAnsi="Times New Roman"/>
          <w:i/>
          <w:sz w:val="14"/>
        </w:rPr>
        <w:t>j </w:t>
      </w:r>
      <w:r>
        <w:rPr>
          <w:rFonts w:ascii="Symbol" w:hAnsi="Symbol"/>
          <w:sz w:val="14"/>
        </w:rPr>
        <w:t></w:t>
      </w:r>
      <w:r>
        <w:rPr>
          <w:rFonts w:ascii="Times New Roman" w:hAnsi="Times New Roman"/>
          <w:sz w:val="14"/>
        </w:rPr>
        <w:t>1</w:t>
      </w:r>
    </w:p>
    <w:p>
      <w:pPr>
        <w:pStyle w:val="BodyText"/>
        <w:spacing w:line="288" w:lineRule="exact"/>
        <w:ind w:left="682"/>
      </w:pPr>
      <w:r>
        <w:rPr/>
        <w:br w:type="column"/>
      </w:r>
      <w:r>
        <w:rPr/>
        <w:t>（式</w:t>
      </w:r>
      <w:r>
        <w:rPr>
          <w:rFonts w:ascii="Times New Roman" w:eastAsia="Times New Roman"/>
        </w:rPr>
        <w:t>7-2</w:t>
      </w:r>
      <w:r>
        <w:rPr/>
        <w:t>）</w:t>
      </w:r>
    </w:p>
    <w:p>
      <w:pPr>
        <w:spacing w:after="0" w:line="288" w:lineRule="exact"/>
        <w:sectPr>
          <w:type w:val="continuous"/>
          <w:pgSz w:w="11910" w:h="16840"/>
          <w:pgMar w:top="1420" w:bottom="280" w:left="1200" w:right="1180"/>
          <w:cols w:num="4" w:equalWidth="0">
            <w:col w:w="1403" w:space="40"/>
            <w:col w:w="980" w:space="198"/>
            <w:col w:w="915" w:space="1272"/>
            <w:col w:w="4722"/>
          </w:cols>
        </w:sectPr>
      </w:pPr>
    </w:p>
    <w:p>
      <w:pPr>
        <w:pStyle w:val="BodyText"/>
        <w:spacing w:before="157"/>
        <w:ind w:left="1634"/>
      </w:pPr>
      <w:r>
        <w:rPr>
          <w:rFonts w:ascii="Times New Roman" w:hAnsi="Times New Roman" w:eastAsia="Times New Roman"/>
          <w:i/>
          <w:position w:val="2"/>
        </w:rPr>
        <w:t>L</w:t>
      </w:r>
      <w:r>
        <w:rPr>
          <w:rFonts w:ascii="Times New Roman" w:hAnsi="Times New Roman" w:eastAsia="Times New Roman"/>
          <w:i/>
          <w:sz w:val="16"/>
        </w:rPr>
        <w:t>P</w:t>
      </w:r>
      <w:r>
        <w:rPr>
          <w:rFonts w:ascii="Times New Roman" w:hAnsi="Times New Roman" w:eastAsia="Times New Roman"/>
          <w:sz w:val="16"/>
        </w:rPr>
        <w:t>1</w:t>
      </w:r>
      <w:r>
        <w:rPr>
          <w:rFonts w:ascii="Times New Roman" w:hAnsi="Times New Roman" w:eastAsia="Times New Roman"/>
          <w:i/>
          <w:sz w:val="16"/>
        </w:rPr>
        <w:t>i </w:t>
      </w:r>
      <w:r>
        <w:rPr>
          <w:rFonts w:ascii="Times New Roman" w:hAnsi="Times New Roman" w:eastAsia="Times New Roman"/>
          <w:position w:val="2"/>
        </w:rPr>
        <w:t>(T)—</w:t>
      </w:r>
      <w:r>
        <w:rPr>
          <w:position w:val="2"/>
        </w:rPr>
        <w:t>靠近围护结构处室内</w:t>
      </w:r>
      <w:r>
        <w:rPr>
          <w:rFonts w:ascii="Times New Roman" w:hAnsi="Times New Roman" w:eastAsia="Times New Roman"/>
          <w:position w:val="2"/>
        </w:rPr>
        <w:t>N</w:t>
      </w:r>
      <w:r>
        <w:rPr>
          <w:position w:val="2"/>
        </w:rPr>
        <w:t>个声源</w:t>
      </w:r>
      <w:r>
        <w:rPr>
          <w:rFonts w:ascii="Times New Roman" w:hAnsi="Times New Roman" w:eastAsia="Times New Roman"/>
          <w:i/>
          <w:position w:val="2"/>
        </w:rPr>
        <w:t>i</w:t>
      </w:r>
      <w:r>
        <w:rPr>
          <w:position w:val="2"/>
        </w:rPr>
        <w:t>倍频带的叠加声压级，</w:t>
      </w:r>
      <w:r>
        <w:rPr>
          <w:rFonts w:ascii="Times New Roman" w:hAnsi="Times New Roman" w:eastAsia="Times New Roman"/>
          <w:position w:val="2"/>
        </w:rPr>
        <w:t>dB</w:t>
      </w:r>
      <w:r>
        <w:rPr>
          <w:position w:val="2"/>
        </w:rPr>
        <w:t>；</w:t>
      </w:r>
    </w:p>
    <w:p>
      <w:pPr>
        <w:spacing w:before="161"/>
        <w:ind w:left="1606" w:right="0" w:firstLine="0"/>
        <w:jc w:val="left"/>
        <w:rPr>
          <w:sz w:val="24"/>
        </w:rPr>
      </w:pPr>
      <w:r>
        <w:rPr>
          <w:rFonts w:ascii="Times New Roman" w:hAnsi="Times New Roman" w:eastAsia="Times New Roman"/>
          <w:i/>
          <w:position w:val="2"/>
          <w:sz w:val="24"/>
        </w:rPr>
        <w:t>L </w:t>
      </w:r>
      <w:r>
        <w:rPr>
          <w:rFonts w:ascii="Times New Roman" w:hAnsi="Times New Roman" w:eastAsia="Times New Roman"/>
          <w:i/>
          <w:sz w:val="16"/>
        </w:rPr>
        <w:t>P1</w:t>
      </w:r>
      <w:r>
        <w:rPr>
          <w:rFonts w:ascii="Times New Roman" w:hAnsi="Times New Roman" w:eastAsia="Times New Roman"/>
          <w:sz w:val="16"/>
        </w:rPr>
        <w:t>ij</w:t>
      </w:r>
      <w:r>
        <w:rPr>
          <w:rFonts w:ascii="Times New Roman" w:hAnsi="Times New Roman" w:eastAsia="Times New Roman"/>
          <w:position w:val="2"/>
          <w:sz w:val="24"/>
        </w:rPr>
        <w:t>—</w:t>
      </w:r>
      <w:r>
        <w:rPr>
          <w:position w:val="2"/>
          <w:sz w:val="24"/>
        </w:rPr>
        <w:t>室内 </w:t>
      </w:r>
      <w:r>
        <w:rPr>
          <w:rFonts w:ascii="Times New Roman" w:hAnsi="Times New Roman" w:eastAsia="Times New Roman"/>
          <w:i/>
          <w:position w:val="2"/>
          <w:sz w:val="24"/>
        </w:rPr>
        <w:t>j  </w:t>
      </w:r>
      <w:r>
        <w:rPr>
          <w:position w:val="2"/>
          <w:sz w:val="24"/>
        </w:rPr>
        <w:t>声源</w:t>
      </w:r>
      <w:r>
        <w:rPr>
          <w:rFonts w:ascii="Times New Roman" w:hAnsi="Times New Roman" w:eastAsia="Times New Roman"/>
          <w:i/>
          <w:position w:val="2"/>
          <w:sz w:val="24"/>
        </w:rPr>
        <w:t>i  </w:t>
      </w:r>
      <w:r>
        <w:rPr>
          <w:position w:val="2"/>
          <w:sz w:val="24"/>
        </w:rPr>
        <w:t>倍频带的声压级，</w:t>
      </w:r>
      <w:r>
        <w:rPr>
          <w:rFonts w:ascii="Times New Roman" w:hAnsi="Times New Roman" w:eastAsia="Times New Roman"/>
          <w:position w:val="2"/>
          <w:sz w:val="24"/>
        </w:rPr>
        <w:t>dB</w:t>
      </w:r>
      <w:r>
        <w:rPr>
          <w:position w:val="2"/>
          <w:sz w:val="24"/>
        </w:rPr>
        <w:t>；</w:t>
      </w:r>
    </w:p>
    <w:p>
      <w:pPr>
        <w:pStyle w:val="BodyText"/>
        <w:spacing w:before="158"/>
        <w:ind w:left="1565"/>
      </w:pPr>
      <w:r>
        <w:rPr>
          <w:rFonts w:ascii="Times New Roman" w:hAnsi="Times New Roman" w:eastAsia="Times New Roman"/>
        </w:rPr>
        <w:t>N—</w:t>
      </w:r>
      <w:r>
        <w:rPr/>
        <w:t>室内声源总数。</w:t>
      </w:r>
    </w:p>
    <w:p>
      <w:pPr>
        <w:pStyle w:val="BodyText"/>
        <w:spacing w:before="161"/>
        <w:ind w:left="682"/>
      </w:pPr>
      <w:r>
        <w:rPr/>
        <w:t>在室内近似为扩散声场时，按式</w:t>
      </w:r>
      <w:r>
        <w:rPr>
          <w:rFonts w:ascii="Times New Roman" w:eastAsia="Times New Roman"/>
        </w:rPr>
        <w:t>7-3</w:t>
      </w:r>
      <w:r>
        <w:rPr/>
        <w:t>计算出靠近室外围护结构处的声压级：</w:t>
      </w:r>
    </w:p>
    <w:p>
      <w:pPr>
        <w:tabs>
          <w:tab w:pos="5773" w:val="left" w:leader="none"/>
        </w:tabs>
        <w:spacing w:before="157"/>
        <w:ind w:left="1658" w:right="0" w:firstLine="0"/>
        <w:jc w:val="left"/>
        <w:rPr>
          <w:sz w:val="24"/>
        </w:rPr>
      </w:pPr>
      <w:r>
        <w:rPr>
          <w:rFonts w:ascii="Times New Roman" w:eastAsia="Times New Roman"/>
          <w:i/>
          <w:position w:val="2"/>
          <w:sz w:val="24"/>
        </w:rPr>
        <w:t>L</w:t>
      </w:r>
      <w:r>
        <w:rPr>
          <w:rFonts w:ascii="Times New Roman" w:eastAsia="Times New Roman"/>
          <w:i/>
          <w:sz w:val="16"/>
        </w:rPr>
        <w:t>P</w:t>
      </w:r>
      <w:r>
        <w:rPr>
          <w:rFonts w:ascii="Times New Roman" w:eastAsia="Times New Roman"/>
          <w:sz w:val="16"/>
        </w:rPr>
        <w:t>2</w:t>
      </w:r>
      <w:r>
        <w:rPr>
          <w:rFonts w:ascii="Times New Roman" w:eastAsia="Times New Roman"/>
          <w:i/>
          <w:sz w:val="16"/>
        </w:rPr>
        <w:t>i  </w:t>
      </w:r>
      <w:r>
        <w:rPr>
          <w:rFonts w:ascii="Times New Roman" w:eastAsia="Times New Roman"/>
          <w:position w:val="2"/>
          <w:sz w:val="24"/>
        </w:rPr>
        <w:t>(T</w:t>
      </w:r>
      <w:r>
        <w:rPr>
          <w:rFonts w:ascii="Times New Roman" w:eastAsia="Times New Roman"/>
          <w:spacing w:val="-8"/>
          <w:position w:val="2"/>
          <w:sz w:val="24"/>
        </w:rPr>
        <w:t>)= </w:t>
      </w:r>
      <w:r>
        <w:rPr>
          <w:rFonts w:ascii="Times New Roman" w:eastAsia="Times New Roman"/>
          <w:i/>
          <w:position w:val="2"/>
          <w:sz w:val="24"/>
        </w:rPr>
        <w:t>L</w:t>
      </w:r>
      <w:r>
        <w:rPr>
          <w:rFonts w:ascii="Times New Roman" w:eastAsia="Times New Roman"/>
          <w:i/>
          <w:sz w:val="16"/>
        </w:rPr>
        <w:t>P</w:t>
      </w:r>
      <w:r>
        <w:rPr>
          <w:rFonts w:ascii="Times New Roman" w:eastAsia="Times New Roman"/>
          <w:sz w:val="16"/>
        </w:rPr>
        <w:t>1</w:t>
      </w:r>
      <w:r>
        <w:rPr>
          <w:rFonts w:ascii="Times New Roman" w:eastAsia="Times New Roman"/>
          <w:i/>
          <w:sz w:val="16"/>
        </w:rPr>
        <w:t>i</w:t>
      </w:r>
      <w:r>
        <w:rPr>
          <w:rFonts w:ascii="Times New Roman" w:eastAsia="Times New Roman"/>
          <w:i/>
          <w:spacing w:val="19"/>
          <w:sz w:val="16"/>
        </w:rPr>
        <w:t> </w:t>
      </w:r>
      <w:r>
        <w:rPr>
          <w:rFonts w:ascii="Times New Roman" w:eastAsia="Times New Roman"/>
          <w:position w:val="2"/>
          <w:sz w:val="24"/>
        </w:rPr>
        <w:t>(T)-</w:t>
      </w:r>
      <w:r>
        <w:rPr>
          <w:position w:val="2"/>
          <w:sz w:val="24"/>
        </w:rPr>
        <w:t>（</w:t>
      </w:r>
      <w:r>
        <w:rPr>
          <w:rFonts w:ascii="Times New Roman" w:eastAsia="Times New Roman"/>
          <w:position w:val="2"/>
          <w:sz w:val="24"/>
        </w:rPr>
        <w:t>TL</w:t>
      </w:r>
      <w:r>
        <w:rPr>
          <w:rFonts w:ascii="Times New Roman" w:eastAsia="Times New Roman"/>
          <w:sz w:val="16"/>
        </w:rPr>
        <w:t>i</w:t>
      </w:r>
      <w:r>
        <w:rPr>
          <w:rFonts w:ascii="Times New Roman" w:eastAsia="Times New Roman"/>
          <w:position w:val="2"/>
          <w:sz w:val="24"/>
        </w:rPr>
        <w:t>+6</w:t>
      </w:r>
      <w:r>
        <w:rPr>
          <w:position w:val="2"/>
          <w:sz w:val="24"/>
        </w:rPr>
        <w:t>）</w:t>
        <w:tab/>
        <w:t>（式</w:t>
      </w:r>
      <w:r>
        <w:rPr>
          <w:rFonts w:ascii="Times New Roman" w:eastAsia="Times New Roman"/>
          <w:position w:val="2"/>
          <w:sz w:val="24"/>
        </w:rPr>
        <w:t>7-3</w:t>
      </w:r>
      <w:r>
        <w:rPr>
          <w:position w:val="2"/>
          <w:sz w:val="24"/>
        </w:rPr>
        <w:t>）</w:t>
      </w:r>
    </w:p>
    <w:p>
      <w:pPr>
        <w:pStyle w:val="BodyText"/>
        <w:spacing w:before="162"/>
        <w:ind w:left="682"/>
      </w:pPr>
      <w:r>
        <w:rPr/>
        <w:t>式中：</w:t>
      </w:r>
    </w:p>
    <w:p>
      <w:pPr>
        <w:pStyle w:val="BodyText"/>
        <w:spacing w:before="157"/>
        <w:ind w:left="1606"/>
      </w:pPr>
      <w:r>
        <w:rPr>
          <w:rFonts w:ascii="Times New Roman" w:hAnsi="Times New Roman" w:eastAsia="Times New Roman"/>
          <w:i/>
          <w:position w:val="2"/>
        </w:rPr>
        <w:t>L</w:t>
      </w:r>
      <w:r>
        <w:rPr>
          <w:rFonts w:ascii="Times New Roman" w:hAnsi="Times New Roman" w:eastAsia="Times New Roman"/>
          <w:i/>
          <w:sz w:val="16"/>
        </w:rPr>
        <w:t>P</w:t>
      </w:r>
      <w:r>
        <w:rPr>
          <w:rFonts w:ascii="Times New Roman" w:hAnsi="Times New Roman" w:eastAsia="Times New Roman"/>
          <w:sz w:val="16"/>
        </w:rPr>
        <w:t>2</w:t>
      </w:r>
      <w:r>
        <w:rPr>
          <w:rFonts w:ascii="Times New Roman" w:hAnsi="Times New Roman" w:eastAsia="Times New Roman"/>
          <w:i/>
          <w:sz w:val="16"/>
        </w:rPr>
        <w:t>i </w:t>
      </w:r>
      <w:r>
        <w:rPr>
          <w:rFonts w:ascii="Times New Roman" w:hAnsi="Times New Roman" w:eastAsia="Times New Roman"/>
          <w:position w:val="2"/>
        </w:rPr>
        <w:t>(T)—</w:t>
      </w:r>
      <w:r>
        <w:rPr>
          <w:position w:val="2"/>
        </w:rPr>
        <w:t>靠近围护结构处室外</w:t>
      </w:r>
      <w:r>
        <w:rPr>
          <w:rFonts w:ascii="Times New Roman" w:hAnsi="Times New Roman" w:eastAsia="Times New Roman"/>
          <w:position w:val="2"/>
        </w:rPr>
        <w:t>N</w:t>
      </w:r>
      <w:r>
        <w:rPr>
          <w:position w:val="2"/>
        </w:rPr>
        <w:t>个声源</w:t>
      </w:r>
      <w:r>
        <w:rPr>
          <w:rFonts w:ascii="Times New Roman" w:hAnsi="Times New Roman" w:eastAsia="Times New Roman"/>
          <w:i/>
          <w:position w:val="2"/>
        </w:rPr>
        <w:t>i</w:t>
      </w:r>
      <w:r>
        <w:rPr>
          <w:position w:val="2"/>
        </w:rPr>
        <w:t>倍频带的叠加声压级，</w:t>
      </w:r>
      <w:r>
        <w:rPr>
          <w:rFonts w:ascii="Times New Roman" w:hAnsi="Times New Roman" w:eastAsia="Times New Roman"/>
          <w:position w:val="2"/>
        </w:rPr>
        <w:t>dB</w:t>
      </w:r>
      <w:r>
        <w:rPr>
          <w:position w:val="2"/>
        </w:rPr>
        <w:t>；</w:t>
      </w:r>
    </w:p>
    <w:p>
      <w:pPr>
        <w:spacing w:before="161"/>
        <w:ind w:left="1606" w:right="0" w:firstLine="0"/>
        <w:jc w:val="left"/>
        <w:rPr>
          <w:sz w:val="24"/>
        </w:rPr>
      </w:pPr>
      <w:r>
        <w:rPr>
          <w:rFonts w:ascii="Times New Roman" w:hAnsi="Times New Roman" w:eastAsia="Times New Roman"/>
          <w:i/>
          <w:position w:val="2"/>
          <w:sz w:val="24"/>
        </w:rPr>
        <w:t>TL</w:t>
      </w:r>
      <w:r>
        <w:rPr>
          <w:rFonts w:ascii="Times New Roman" w:hAnsi="Times New Roman" w:eastAsia="Times New Roman"/>
          <w:i/>
          <w:sz w:val="16"/>
        </w:rPr>
        <w:t>i</w:t>
      </w:r>
      <w:r>
        <w:rPr>
          <w:rFonts w:ascii="Times New Roman" w:hAnsi="Times New Roman" w:eastAsia="Times New Roman"/>
          <w:position w:val="2"/>
          <w:sz w:val="24"/>
        </w:rPr>
        <w:t>—</w:t>
      </w:r>
      <w:r>
        <w:rPr>
          <w:position w:val="2"/>
          <w:sz w:val="24"/>
        </w:rPr>
        <w:t>围护结构 </w:t>
      </w:r>
      <w:r>
        <w:rPr>
          <w:rFonts w:ascii="Times New Roman" w:hAnsi="Times New Roman" w:eastAsia="Times New Roman"/>
          <w:i/>
          <w:position w:val="2"/>
          <w:sz w:val="24"/>
        </w:rPr>
        <w:t>i </w:t>
      </w:r>
      <w:r>
        <w:rPr>
          <w:position w:val="2"/>
          <w:sz w:val="24"/>
        </w:rPr>
        <w:t>倍频带的隔声量，</w:t>
      </w:r>
      <w:r>
        <w:rPr>
          <w:rFonts w:ascii="Times New Roman" w:hAnsi="Times New Roman" w:eastAsia="Times New Roman"/>
          <w:position w:val="2"/>
          <w:sz w:val="24"/>
        </w:rPr>
        <w:t>dB</w:t>
      </w:r>
      <w:r>
        <w:rPr>
          <w:position w:val="2"/>
          <w:sz w:val="24"/>
        </w:rPr>
        <w:t>。</w:t>
      </w:r>
    </w:p>
    <w:p>
      <w:pPr>
        <w:pStyle w:val="BodyText"/>
        <w:spacing w:line="362" w:lineRule="auto" w:before="161"/>
        <w:ind w:left="218" w:right="237" w:firstLine="463"/>
      </w:pPr>
      <w:r>
        <w:rPr/>
        <w:t>然后按式</w:t>
      </w:r>
      <w:r>
        <w:rPr>
          <w:rFonts w:ascii="Times New Roman" w:eastAsia="Times New Roman"/>
        </w:rPr>
        <w:t>7-4</w:t>
      </w:r>
      <w:r>
        <w:rPr>
          <w:spacing w:val="-6"/>
        </w:rPr>
        <w:t>将室外声源的声压级和透过面积换算成等效的室外声源，计算出中心位</w:t>
      </w:r>
      <w:r>
        <w:rPr/>
        <w:t>置位于透声面积（</w:t>
      </w:r>
      <w:r>
        <w:rPr>
          <w:rFonts w:ascii="Times New Roman" w:eastAsia="Times New Roman"/>
        </w:rPr>
        <w:t>S</w:t>
      </w:r>
      <w:r>
        <w:rPr/>
        <w:t>）处的等效声源的倍频带声功率级。</w:t>
      </w:r>
    </w:p>
    <w:p>
      <w:pPr>
        <w:tabs>
          <w:tab w:pos="5785" w:val="left" w:leader="none"/>
        </w:tabs>
        <w:spacing w:before="4"/>
        <w:ind w:left="1658" w:right="0" w:firstLine="0"/>
        <w:jc w:val="left"/>
        <w:rPr>
          <w:sz w:val="24"/>
        </w:rPr>
      </w:pPr>
      <w:r>
        <w:rPr>
          <w:rFonts w:ascii="Times New Roman" w:eastAsia="Times New Roman"/>
          <w:i/>
          <w:position w:val="2"/>
          <w:sz w:val="24"/>
        </w:rPr>
        <w:t>L</w:t>
      </w:r>
      <w:r>
        <w:rPr>
          <w:rFonts w:ascii="Times New Roman" w:eastAsia="Times New Roman"/>
          <w:i/>
          <w:sz w:val="16"/>
        </w:rPr>
        <w:t>W</w:t>
      </w:r>
      <w:r>
        <w:rPr>
          <w:rFonts w:ascii="Times New Roman" w:eastAsia="Times New Roman"/>
          <w:position w:val="2"/>
          <w:sz w:val="24"/>
        </w:rPr>
        <w:t>= </w:t>
      </w:r>
      <w:r>
        <w:rPr>
          <w:rFonts w:ascii="Times New Roman" w:eastAsia="Times New Roman"/>
          <w:i/>
          <w:position w:val="2"/>
          <w:sz w:val="24"/>
        </w:rPr>
        <w:t>L</w:t>
      </w:r>
      <w:r>
        <w:rPr>
          <w:rFonts w:ascii="Times New Roman" w:eastAsia="Times New Roman"/>
          <w:i/>
          <w:sz w:val="16"/>
        </w:rPr>
        <w:t>P</w:t>
      </w:r>
      <w:r>
        <w:rPr>
          <w:rFonts w:ascii="Times New Roman" w:eastAsia="Times New Roman"/>
          <w:sz w:val="16"/>
        </w:rPr>
        <w:t>2</w:t>
      </w:r>
      <w:r>
        <w:rPr>
          <w:rFonts w:ascii="Times New Roman" w:eastAsia="Times New Roman"/>
          <w:position w:val="2"/>
          <w:sz w:val="24"/>
        </w:rPr>
        <w:t>( T</w:t>
      </w:r>
      <w:r>
        <w:rPr>
          <w:rFonts w:ascii="Times New Roman" w:eastAsia="Times New Roman"/>
          <w:spacing w:val="-4"/>
          <w:position w:val="2"/>
          <w:sz w:val="24"/>
        </w:rPr>
        <w:t> ) +</w:t>
      </w:r>
      <w:r>
        <w:rPr>
          <w:rFonts w:ascii="Times New Roman" w:eastAsia="Times New Roman"/>
          <w:position w:val="2"/>
          <w:sz w:val="24"/>
        </w:rPr>
        <w:t>10lg</w:t>
      </w:r>
      <w:r>
        <w:rPr>
          <w:rFonts w:ascii="Times New Roman" w:eastAsia="Times New Roman"/>
          <w:spacing w:val="1"/>
          <w:position w:val="2"/>
          <w:sz w:val="24"/>
        </w:rPr>
        <w:t> </w:t>
      </w:r>
      <w:r>
        <w:rPr>
          <w:rFonts w:ascii="Times New Roman" w:eastAsia="Times New Roman"/>
          <w:i/>
          <w:position w:val="2"/>
          <w:sz w:val="24"/>
        </w:rPr>
        <w:t>s</w:t>
        <w:tab/>
      </w:r>
      <w:r>
        <w:rPr>
          <w:position w:val="2"/>
          <w:sz w:val="24"/>
        </w:rPr>
        <w:t>（式</w:t>
      </w:r>
      <w:r>
        <w:rPr>
          <w:rFonts w:ascii="Times New Roman" w:eastAsia="Times New Roman"/>
          <w:position w:val="2"/>
          <w:sz w:val="24"/>
        </w:rPr>
        <w:t>7-4</w:t>
      </w:r>
      <w:r>
        <w:rPr>
          <w:position w:val="2"/>
          <w:sz w:val="24"/>
        </w:rPr>
        <w:t>）</w:t>
      </w:r>
    </w:p>
    <w:p>
      <w:pPr>
        <w:spacing w:after="0"/>
        <w:jc w:val="left"/>
        <w:rPr>
          <w:sz w:val="24"/>
        </w:rPr>
        <w:sectPr>
          <w:type w:val="continuous"/>
          <w:pgSz w:w="11910" w:h="16840"/>
          <w:pgMar w:top="1420" w:bottom="280" w:left="1200" w:right="1180"/>
        </w:sectPr>
      </w:pPr>
    </w:p>
    <w:p>
      <w:pPr>
        <w:pStyle w:val="BodyText"/>
        <w:spacing w:before="84"/>
        <w:ind w:left="694"/>
      </w:pPr>
      <w:r>
        <w:rPr/>
        <w:t>⑵室外的点声源在预测点产生的声级计算基本公式</w:t>
      </w:r>
    </w:p>
    <w:p>
      <w:pPr>
        <w:pStyle w:val="BodyText"/>
        <w:spacing w:line="364" w:lineRule="auto" w:before="159"/>
        <w:ind w:left="218" w:right="234" w:firstLine="480"/>
      </w:pPr>
      <w:r>
        <w:rPr>
          <w:spacing w:val="-20"/>
        </w:rPr>
        <w:t>根据 </w:t>
      </w:r>
      <w:r>
        <w:rPr>
          <w:rFonts w:ascii="Times New Roman" w:eastAsia="Times New Roman"/>
          <w:spacing w:val="-5"/>
        </w:rPr>
        <w:t>HJ2.4-2009</w:t>
      </w:r>
      <w:r>
        <w:rPr>
          <w:spacing w:val="-6"/>
        </w:rPr>
        <w:t>，在不能取得声源倍频带声功率级或倍频带声压级，只能获得 </w:t>
      </w:r>
      <w:r>
        <w:rPr>
          <w:rFonts w:ascii="Times New Roman" w:eastAsia="Times New Roman"/>
        </w:rPr>
        <w:t>A </w:t>
      </w:r>
      <w:r>
        <w:rPr>
          <w:spacing w:val="-13"/>
        </w:rPr>
        <w:t>声</w:t>
      </w:r>
      <w:r>
        <w:rPr>
          <w:spacing w:val="-8"/>
        </w:rPr>
        <w:t>功率级或某点的 </w:t>
      </w:r>
      <w:r>
        <w:rPr>
          <w:rFonts w:ascii="Times New Roman" w:eastAsia="Times New Roman"/>
        </w:rPr>
        <w:t>A </w:t>
      </w:r>
      <w:r>
        <w:rPr/>
        <w:t>声级时，可按下述公式作近似计算。</w:t>
      </w:r>
    </w:p>
    <w:p>
      <w:pPr>
        <w:spacing w:line="318" w:lineRule="exact" w:before="0"/>
        <w:ind w:left="742" w:right="0" w:firstLine="0"/>
        <w:jc w:val="left"/>
        <w:rPr>
          <w:rFonts w:ascii="Times New Roman" w:hAnsi="Times New Roman"/>
          <w:i/>
          <w:sz w:val="23"/>
        </w:rPr>
      </w:pPr>
      <w:r>
        <w:rPr>
          <w:rFonts w:ascii="Times New Roman" w:hAnsi="Times New Roman"/>
          <w:i/>
          <w:w w:val="110"/>
          <w:sz w:val="23"/>
        </w:rPr>
        <w:t>L</w:t>
      </w:r>
      <w:r>
        <w:rPr>
          <w:rFonts w:ascii="Times New Roman" w:hAnsi="Times New Roman"/>
          <w:i/>
          <w:w w:val="110"/>
          <w:position w:val="-5"/>
          <w:sz w:val="13"/>
        </w:rPr>
        <w:t>A </w:t>
      </w:r>
      <w:r>
        <w:rPr>
          <w:rFonts w:ascii="Times New Roman" w:hAnsi="Times New Roman"/>
          <w:w w:val="110"/>
          <w:sz w:val="23"/>
        </w:rPr>
        <w:t>(</w:t>
      </w:r>
      <w:r>
        <w:rPr>
          <w:rFonts w:ascii="Times New Roman" w:hAnsi="Times New Roman"/>
          <w:i/>
          <w:w w:val="110"/>
          <w:sz w:val="23"/>
        </w:rPr>
        <w:t>r</w:t>
      </w:r>
      <w:r>
        <w:rPr>
          <w:rFonts w:ascii="Times New Roman" w:hAnsi="Times New Roman"/>
          <w:w w:val="110"/>
          <w:sz w:val="23"/>
        </w:rPr>
        <w:t>) </w:t>
      </w:r>
      <w:r>
        <w:rPr>
          <w:rFonts w:ascii="Symbol" w:hAnsi="Symbol"/>
          <w:w w:val="110"/>
          <w:sz w:val="23"/>
        </w:rPr>
        <w:t></w:t>
      </w:r>
      <w:r>
        <w:rPr>
          <w:rFonts w:ascii="Times New Roman" w:hAnsi="Times New Roman"/>
          <w:w w:val="110"/>
          <w:sz w:val="23"/>
        </w:rPr>
        <w:t> </w:t>
      </w:r>
      <w:r>
        <w:rPr>
          <w:rFonts w:ascii="Times New Roman" w:hAnsi="Times New Roman"/>
          <w:i/>
          <w:w w:val="110"/>
          <w:sz w:val="23"/>
        </w:rPr>
        <w:t>L</w:t>
      </w:r>
      <w:r>
        <w:rPr>
          <w:rFonts w:ascii="Times New Roman" w:hAnsi="Times New Roman"/>
          <w:i/>
          <w:w w:val="110"/>
          <w:position w:val="-5"/>
          <w:sz w:val="13"/>
        </w:rPr>
        <w:t>Aw </w:t>
      </w:r>
      <w:r>
        <w:rPr>
          <w:rFonts w:ascii="Symbol" w:hAnsi="Symbol"/>
          <w:w w:val="110"/>
          <w:sz w:val="23"/>
        </w:rPr>
        <w:t></w:t>
      </w:r>
      <w:r>
        <w:rPr>
          <w:rFonts w:ascii="Times New Roman" w:hAnsi="Times New Roman"/>
          <w:w w:val="110"/>
          <w:sz w:val="23"/>
        </w:rPr>
        <w:t> </w:t>
      </w:r>
      <w:r>
        <w:rPr>
          <w:rFonts w:ascii="Times New Roman" w:hAnsi="Times New Roman"/>
          <w:i/>
          <w:w w:val="110"/>
          <w:sz w:val="23"/>
        </w:rPr>
        <w:t>D</w:t>
      </w:r>
      <w:r>
        <w:rPr>
          <w:rFonts w:ascii="Times New Roman" w:hAnsi="Times New Roman"/>
          <w:i/>
          <w:w w:val="110"/>
          <w:position w:val="-5"/>
          <w:sz w:val="13"/>
        </w:rPr>
        <w:t>c </w:t>
      </w:r>
      <w:r>
        <w:rPr>
          <w:rFonts w:ascii="Symbol" w:hAnsi="Symbol"/>
          <w:w w:val="110"/>
          <w:sz w:val="23"/>
        </w:rPr>
        <w:t></w:t>
      </w:r>
      <w:r>
        <w:rPr>
          <w:rFonts w:ascii="Times New Roman" w:hAnsi="Times New Roman"/>
          <w:w w:val="110"/>
          <w:sz w:val="23"/>
        </w:rPr>
        <w:t> </w:t>
      </w:r>
      <w:r>
        <w:rPr>
          <w:rFonts w:ascii="Times New Roman" w:hAnsi="Times New Roman"/>
          <w:i/>
          <w:w w:val="110"/>
          <w:sz w:val="23"/>
        </w:rPr>
        <w:t>A</w:t>
      </w:r>
    </w:p>
    <w:p>
      <w:pPr>
        <w:tabs>
          <w:tab w:pos="1461" w:val="left" w:leader="none"/>
        </w:tabs>
        <w:spacing w:before="167"/>
        <w:ind w:left="698" w:right="0" w:firstLine="0"/>
        <w:jc w:val="left"/>
        <w:rPr>
          <w:rFonts w:ascii="Times New Roman" w:hAnsi="Times New Roman"/>
          <w:i/>
          <w:sz w:val="23"/>
        </w:rPr>
      </w:pPr>
      <w:r>
        <w:rPr>
          <w:w w:val="105"/>
          <w:position w:val="-10"/>
          <w:sz w:val="24"/>
        </w:rPr>
        <w:t>或</w:t>
        <w:tab/>
      </w:r>
      <w:r>
        <w:rPr>
          <w:rFonts w:ascii="Times New Roman" w:hAnsi="Times New Roman"/>
          <w:i/>
          <w:w w:val="105"/>
          <w:sz w:val="23"/>
        </w:rPr>
        <w:t>L</w:t>
      </w:r>
      <w:r>
        <w:rPr>
          <w:rFonts w:ascii="Times New Roman" w:hAnsi="Times New Roman"/>
          <w:i/>
          <w:w w:val="105"/>
          <w:position w:val="-5"/>
          <w:sz w:val="13"/>
        </w:rPr>
        <w:t>A</w:t>
      </w:r>
      <w:r>
        <w:rPr>
          <w:rFonts w:ascii="Times New Roman" w:hAnsi="Times New Roman"/>
          <w:i/>
          <w:spacing w:val="-10"/>
          <w:w w:val="105"/>
          <w:position w:val="-5"/>
          <w:sz w:val="13"/>
        </w:rPr>
        <w:t> </w:t>
      </w:r>
      <w:r>
        <w:rPr>
          <w:rFonts w:ascii="Times New Roman" w:hAnsi="Times New Roman"/>
          <w:spacing w:val="4"/>
          <w:w w:val="105"/>
          <w:sz w:val="23"/>
        </w:rPr>
        <w:t>(</w:t>
      </w:r>
      <w:r>
        <w:rPr>
          <w:rFonts w:ascii="Times New Roman" w:hAnsi="Times New Roman"/>
          <w:i/>
          <w:spacing w:val="4"/>
          <w:w w:val="105"/>
          <w:sz w:val="23"/>
        </w:rPr>
        <w:t>r</w:t>
      </w:r>
      <w:r>
        <w:rPr>
          <w:rFonts w:ascii="Times New Roman" w:hAnsi="Times New Roman"/>
          <w:spacing w:val="4"/>
          <w:w w:val="105"/>
          <w:sz w:val="23"/>
        </w:rPr>
        <w:t>)</w:t>
      </w:r>
      <w:r>
        <w:rPr>
          <w:rFonts w:ascii="Times New Roman" w:hAnsi="Times New Roman"/>
          <w:spacing w:val="-8"/>
          <w:w w:val="105"/>
          <w:sz w:val="23"/>
        </w:rPr>
        <w:t> </w:t>
      </w:r>
      <w:r>
        <w:rPr>
          <w:rFonts w:ascii="Symbol" w:hAnsi="Symbol"/>
          <w:w w:val="105"/>
          <w:sz w:val="23"/>
        </w:rPr>
        <w:t></w:t>
      </w:r>
      <w:r>
        <w:rPr>
          <w:rFonts w:ascii="Times New Roman" w:hAnsi="Times New Roman"/>
          <w:spacing w:val="-4"/>
          <w:w w:val="105"/>
          <w:sz w:val="23"/>
        </w:rPr>
        <w:t> </w:t>
      </w:r>
      <w:r>
        <w:rPr>
          <w:rFonts w:ascii="Times New Roman" w:hAnsi="Times New Roman"/>
          <w:i/>
          <w:w w:val="105"/>
          <w:sz w:val="23"/>
        </w:rPr>
        <w:t>L</w:t>
      </w:r>
      <w:r>
        <w:rPr>
          <w:rFonts w:ascii="Times New Roman" w:hAnsi="Times New Roman"/>
          <w:i/>
          <w:w w:val="105"/>
          <w:position w:val="-5"/>
          <w:sz w:val="13"/>
        </w:rPr>
        <w:t>A</w:t>
      </w:r>
      <w:r>
        <w:rPr>
          <w:rFonts w:ascii="Times New Roman" w:hAnsi="Times New Roman"/>
          <w:i/>
          <w:spacing w:val="-9"/>
          <w:w w:val="105"/>
          <w:position w:val="-5"/>
          <w:sz w:val="13"/>
        </w:rPr>
        <w:t> </w:t>
      </w:r>
      <w:r>
        <w:rPr>
          <w:rFonts w:ascii="Times New Roman" w:hAnsi="Times New Roman"/>
          <w:spacing w:val="-7"/>
          <w:w w:val="105"/>
          <w:sz w:val="23"/>
        </w:rPr>
        <w:t>(</w:t>
      </w:r>
      <w:r>
        <w:rPr>
          <w:rFonts w:ascii="Times New Roman" w:hAnsi="Times New Roman"/>
          <w:i/>
          <w:spacing w:val="-7"/>
          <w:w w:val="105"/>
          <w:sz w:val="23"/>
        </w:rPr>
        <w:t>r</w:t>
      </w:r>
      <w:r>
        <w:rPr>
          <w:rFonts w:ascii="Times New Roman" w:hAnsi="Times New Roman"/>
          <w:spacing w:val="-7"/>
          <w:w w:val="105"/>
          <w:position w:val="-5"/>
          <w:sz w:val="13"/>
        </w:rPr>
        <w:t>0</w:t>
      </w:r>
      <w:r>
        <w:rPr>
          <w:rFonts w:ascii="Times New Roman" w:hAnsi="Times New Roman"/>
          <w:spacing w:val="-6"/>
          <w:w w:val="105"/>
          <w:position w:val="-5"/>
          <w:sz w:val="13"/>
        </w:rPr>
        <w:t> </w:t>
      </w:r>
      <w:r>
        <w:rPr>
          <w:rFonts w:ascii="Times New Roman" w:hAnsi="Times New Roman"/>
          <w:w w:val="105"/>
          <w:sz w:val="23"/>
        </w:rPr>
        <w:t>)</w:t>
      </w:r>
      <w:r>
        <w:rPr>
          <w:rFonts w:ascii="Times New Roman" w:hAnsi="Times New Roman"/>
          <w:spacing w:val="-23"/>
          <w:w w:val="105"/>
          <w:sz w:val="23"/>
        </w:rPr>
        <w:t> </w:t>
      </w:r>
      <w:r>
        <w:rPr>
          <w:rFonts w:ascii="Symbol" w:hAnsi="Symbol"/>
          <w:w w:val="105"/>
          <w:sz w:val="23"/>
        </w:rPr>
        <w:t></w:t>
      </w:r>
      <w:r>
        <w:rPr>
          <w:rFonts w:ascii="Times New Roman" w:hAnsi="Times New Roman"/>
          <w:spacing w:val="-5"/>
          <w:w w:val="105"/>
          <w:sz w:val="23"/>
        </w:rPr>
        <w:t> </w:t>
      </w:r>
      <w:r>
        <w:rPr>
          <w:rFonts w:ascii="Times New Roman" w:hAnsi="Times New Roman"/>
          <w:i/>
          <w:w w:val="105"/>
          <w:sz w:val="23"/>
        </w:rPr>
        <w:t>A</w:t>
      </w:r>
    </w:p>
    <w:p>
      <w:pPr>
        <w:pStyle w:val="BodyText"/>
        <w:spacing w:line="362" w:lineRule="auto" w:before="163"/>
        <w:ind w:left="218" w:right="189" w:firstLine="480"/>
      </w:pPr>
      <w:r>
        <w:rPr>
          <w:rFonts w:ascii="Times New Roman" w:eastAsia="Times New Roman"/>
        </w:rPr>
        <w:t>A </w:t>
      </w:r>
      <w:r>
        <w:rPr/>
        <w:t>可选择对 </w:t>
      </w:r>
      <w:r>
        <w:rPr>
          <w:rFonts w:ascii="Times New Roman" w:eastAsia="Times New Roman"/>
        </w:rPr>
        <w:t>A </w:t>
      </w:r>
      <w:r>
        <w:rPr/>
        <w:t>声级影响最大的倍频带计算，一般可选中心频率为 </w:t>
      </w:r>
      <w:r>
        <w:rPr>
          <w:rFonts w:ascii="Times New Roman" w:eastAsia="Times New Roman"/>
        </w:rPr>
        <w:t>500Hz </w:t>
      </w:r>
      <w:r>
        <w:rPr/>
        <w:t>的倍频带作估算。</w:t>
      </w:r>
    </w:p>
    <w:p>
      <w:pPr>
        <w:spacing w:before="6"/>
        <w:ind w:left="753" w:right="0" w:firstLine="0"/>
        <w:jc w:val="left"/>
        <w:rPr>
          <w:rFonts w:ascii="Times New Roman" w:hAnsi="Times New Roman"/>
          <w:i/>
          <w:sz w:val="13"/>
        </w:rPr>
      </w:pPr>
      <w:r>
        <w:rPr>
          <w:rFonts w:ascii="Times New Roman" w:hAnsi="Times New Roman"/>
          <w:i/>
          <w:w w:val="110"/>
          <w:position w:val="6"/>
          <w:sz w:val="22"/>
        </w:rPr>
        <w:t>A </w:t>
      </w:r>
      <w:r>
        <w:rPr>
          <w:rFonts w:ascii="Symbol" w:hAnsi="Symbol"/>
          <w:w w:val="110"/>
          <w:position w:val="6"/>
          <w:sz w:val="22"/>
        </w:rPr>
        <w:t></w:t>
      </w:r>
      <w:r>
        <w:rPr>
          <w:rFonts w:ascii="Times New Roman" w:hAnsi="Times New Roman"/>
          <w:w w:val="110"/>
          <w:position w:val="6"/>
          <w:sz w:val="22"/>
        </w:rPr>
        <w:t> </w:t>
      </w:r>
      <w:r>
        <w:rPr>
          <w:rFonts w:ascii="Times New Roman" w:hAnsi="Times New Roman"/>
          <w:i/>
          <w:w w:val="110"/>
          <w:position w:val="6"/>
          <w:sz w:val="22"/>
        </w:rPr>
        <w:t>A</w:t>
      </w:r>
      <w:r>
        <w:rPr>
          <w:rFonts w:ascii="Times New Roman" w:hAnsi="Times New Roman"/>
          <w:i/>
          <w:w w:val="110"/>
          <w:sz w:val="13"/>
        </w:rPr>
        <w:t>div </w:t>
      </w:r>
      <w:r>
        <w:rPr>
          <w:rFonts w:ascii="Symbol" w:hAnsi="Symbol"/>
          <w:w w:val="110"/>
          <w:position w:val="6"/>
          <w:sz w:val="22"/>
        </w:rPr>
        <w:t></w:t>
      </w:r>
      <w:r>
        <w:rPr>
          <w:rFonts w:ascii="Times New Roman" w:hAnsi="Times New Roman"/>
          <w:w w:val="110"/>
          <w:position w:val="6"/>
          <w:sz w:val="22"/>
        </w:rPr>
        <w:t> </w:t>
      </w:r>
      <w:r>
        <w:rPr>
          <w:rFonts w:ascii="Times New Roman" w:hAnsi="Times New Roman"/>
          <w:i/>
          <w:w w:val="110"/>
          <w:position w:val="6"/>
          <w:sz w:val="22"/>
        </w:rPr>
        <w:t>A</w:t>
      </w:r>
      <w:r>
        <w:rPr>
          <w:rFonts w:ascii="Times New Roman" w:hAnsi="Times New Roman"/>
          <w:i/>
          <w:w w:val="110"/>
          <w:sz w:val="13"/>
        </w:rPr>
        <w:t>atm </w:t>
      </w:r>
      <w:r>
        <w:rPr>
          <w:rFonts w:ascii="Symbol" w:hAnsi="Symbol"/>
          <w:w w:val="110"/>
          <w:position w:val="6"/>
          <w:sz w:val="22"/>
        </w:rPr>
        <w:t></w:t>
      </w:r>
      <w:r>
        <w:rPr>
          <w:rFonts w:ascii="Times New Roman" w:hAnsi="Times New Roman"/>
          <w:w w:val="110"/>
          <w:position w:val="6"/>
          <w:sz w:val="22"/>
        </w:rPr>
        <w:t> </w:t>
      </w:r>
      <w:r>
        <w:rPr>
          <w:rFonts w:ascii="Times New Roman" w:hAnsi="Times New Roman"/>
          <w:i/>
          <w:w w:val="110"/>
          <w:position w:val="6"/>
          <w:sz w:val="22"/>
        </w:rPr>
        <w:t>A</w:t>
      </w:r>
      <w:r>
        <w:rPr>
          <w:rFonts w:ascii="Times New Roman" w:hAnsi="Times New Roman"/>
          <w:i/>
          <w:w w:val="110"/>
          <w:sz w:val="13"/>
        </w:rPr>
        <w:t>gr </w:t>
      </w:r>
      <w:r>
        <w:rPr>
          <w:rFonts w:ascii="Symbol" w:hAnsi="Symbol"/>
          <w:w w:val="110"/>
          <w:position w:val="6"/>
          <w:sz w:val="22"/>
        </w:rPr>
        <w:t></w:t>
      </w:r>
      <w:r>
        <w:rPr>
          <w:rFonts w:ascii="Times New Roman" w:hAnsi="Times New Roman"/>
          <w:w w:val="110"/>
          <w:position w:val="6"/>
          <w:sz w:val="22"/>
        </w:rPr>
        <w:t> </w:t>
      </w:r>
      <w:r>
        <w:rPr>
          <w:rFonts w:ascii="Times New Roman" w:hAnsi="Times New Roman"/>
          <w:i/>
          <w:w w:val="110"/>
          <w:position w:val="6"/>
          <w:sz w:val="22"/>
        </w:rPr>
        <w:t>A</w:t>
      </w:r>
      <w:r>
        <w:rPr>
          <w:rFonts w:ascii="Times New Roman" w:hAnsi="Times New Roman"/>
          <w:i/>
          <w:w w:val="110"/>
          <w:sz w:val="13"/>
        </w:rPr>
        <w:t>bar </w:t>
      </w:r>
      <w:r>
        <w:rPr>
          <w:rFonts w:ascii="Symbol" w:hAnsi="Symbol"/>
          <w:w w:val="110"/>
          <w:position w:val="6"/>
          <w:sz w:val="22"/>
        </w:rPr>
        <w:t></w:t>
      </w:r>
      <w:r>
        <w:rPr>
          <w:rFonts w:ascii="Times New Roman" w:hAnsi="Times New Roman"/>
          <w:w w:val="110"/>
          <w:position w:val="6"/>
          <w:sz w:val="22"/>
        </w:rPr>
        <w:t> </w:t>
      </w:r>
      <w:r>
        <w:rPr>
          <w:rFonts w:ascii="Times New Roman" w:hAnsi="Times New Roman"/>
          <w:i/>
          <w:w w:val="110"/>
          <w:position w:val="6"/>
          <w:sz w:val="22"/>
        </w:rPr>
        <w:t>A</w:t>
      </w:r>
      <w:r>
        <w:rPr>
          <w:rFonts w:ascii="Times New Roman" w:hAnsi="Times New Roman"/>
          <w:i/>
          <w:w w:val="110"/>
          <w:sz w:val="13"/>
        </w:rPr>
        <w:t>misc</w:t>
      </w:r>
    </w:p>
    <w:p>
      <w:pPr>
        <w:spacing w:before="202"/>
        <w:ind w:left="698" w:right="0" w:firstLine="0"/>
        <w:jc w:val="left"/>
        <w:rPr>
          <w:sz w:val="24"/>
        </w:rPr>
      </w:pPr>
      <w:r>
        <w:rPr>
          <w:sz w:val="24"/>
        </w:rPr>
        <w:t>式中： </w:t>
      </w:r>
      <w:r>
        <w:rPr>
          <w:rFonts w:ascii="Times New Roman" w:hAnsi="Times New Roman" w:eastAsia="Times New Roman"/>
          <w:i/>
          <w:position w:val="9"/>
          <w:sz w:val="23"/>
        </w:rPr>
        <w:t>L</w:t>
      </w:r>
      <w:r>
        <w:rPr>
          <w:rFonts w:ascii="Times New Roman" w:hAnsi="Times New Roman" w:eastAsia="Times New Roman"/>
          <w:i/>
          <w:position w:val="3"/>
          <w:sz w:val="13"/>
        </w:rPr>
        <w:t>A </w:t>
      </w:r>
      <w:r>
        <w:rPr>
          <w:rFonts w:ascii="Times New Roman" w:hAnsi="Times New Roman" w:eastAsia="Times New Roman"/>
          <w:position w:val="9"/>
          <w:sz w:val="23"/>
        </w:rPr>
        <w:t>(</w:t>
      </w:r>
      <w:r>
        <w:rPr>
          <w:rFonts w:ascii="Times New Roman" w:hAnsi="Times New Roman" w:eastAsia="Times New Roman"/>
          <w:i/>
          <w:position w:val="9"/>
          <w:sz w:val="23"/>
        </w:rPr>
        <w:t>r</w:t>
      </w:r>
      <w:r>
        <w:rPr>
          <w:rFonts w:ascii="Times New Roman" w:hAnsi="Times New Roman" w:eastAsia="Times New Roman"/>
          <w:position w:val="9"/>
          <w:sz w:val="23"/>
        </w:rPr>
        <w:t>) </w:t>
      </w:r>
      <w:r>
        <w:rPr>
          <w:rFonts w:ascii="Times New Roman" w:hAnsi="Times New Roman" w:eastAsia="Times New Roman"/>
          <w:sz w:val="24"/>
        </w:rPr>
        <w:t>—</w:t>
      </w:r>
      <w:r>
        <w:rPr>
          <w:sz w:val="24"/>
        </w:rPr>
        <w:t>距声源 </w:t>
      </w:r>
      <w:r>
        <w:rPr>
          <w:rFonts w:ascii="Times New Roman" w:hAnsi="Times New Roman" w:eastAsia="Times New Roman"/>
          <w:sz w:val="24"/>
        </w:rPr>
        <w:t>r </w:t>
      </w:r>
      <w:r>
        <w:rPr>
          <w:sz w:val="24"/>
        </w:rPr>
        <w:t>处的 </w:t>
      </w:r>
      <w:r>
        <w:rPr>
          <w:rFonts w:ascii="Times New Roman" w:hAnsi="Times New Roman" w:eastAsia="Times New Roman"/>
          <w:sz w:val="24"/>
        </w:rPr>
        <w:t>A </w:t>
      </w:r>
      <w:r>
        <w:rPr>
          <w:sz w:val="24"/>
        </w:rPr>
        <w:t>声级，</w:t>
      </w:r>
      <w:r>
        <w:rPr>
          <w:rFonts w:ascii="Times New Roman" w:hAnsi="Times New Roman" w:eastAsia="Times New Roman"/>
          <w:sz w:val="24"/>
        </w:rPr>
        <w:t>dB(A)</w:t>
      </w:r>
      <w:r>
        <w:rPr>
          <w:sz w:val="24"/>
        </w:rPr>
        <w:t>；</w:t>
      </w:r>
    </w:p>
    <w:p>
      <w:pPr>
        <w:pStyle w:val="BodyText"/>
        <w:spacing w:before="181"/>
        <w:ind w:left="1460"/>
      </w:pPr>
      <w:r>
        <w:rPr>
          <w:rFonts w:ascii="Times New Roman" w:hAnsi="Times New Roman" w:eastAsia="Times New Roman"/>
          <w:i/>
          <w:position w:val="11"/>
          <w:sz w:val="23"/>
        </w:rPr>
        <w:t>L</w:t>
      </w:r>
      <w:r>
        <w:rPr>
          <w:rFonts w:ascii="Times New Roman" w:hAnsi="Times New Roman" w:eastAsia="Times New Roman"/>
          <w:i/>
          <w:position w:val="6"/>
          <w:sz w:val="13"/>
        </w:rPr>
        <w:t>Aw </w:t>
      </w:r>
      <w:r>
        <w:rPr>
          <w:rFonts w:ascii="Times New Roman" w:hAnsi="Times New Roman" w:eastAsia="Times New Roman"/>
        </w:rPr>
        <w:t>—</w:t>
      </w:r>
      <w:r>
        <w:rPr/>
        <w:t>声源的 </w:t>
      </w:r>
      <w:r>
        <w:rPr>
          <w:rFonts w:ascii="Times New Roman" w:hAnsi="Times New Roman" w:eastAsia="Times New Roman"/>
        </w:rPr>
        <w:t>A </w:t>
      </w:r>
      <w:r>
        <w:rPr/>
        <w:t>声功率级，</w:t>
      </w:r>
      <w:r>
        <w:rPr>
          <w:rFonts w:ascii="Times New Roman" w:hAnsi="Times New Roman" w:eastAsia="Times New Roman"/>
        </w:rPr>
        <w:t>dB(A)</w:t>
      </w:r>
      <w:r>
        <w:rPr/>
        <w:t>；</w:t>
      </w:r>
    </w:p>
    <w:p>
      <w:pPr>
        <w:pStyle w:val="BodyText"/>
        <w:spacing w:line="364" w:lineRule="auto" w:before="158"/>
        <w:ind w:left="218" w:right="236" w:firstLine="1199"/>
      </w:pPr>
      <w:r>
        <w:rPr>
          <w:rFonts w:ascii="Times New Roman" w:hAnsi="Times New Roman" w:eastAsia="Times New Roman"/>
          <w:i/>
        </w:rPr>
        <w:t>Dc</w:t>
      </w:r>
      <w:r>
        <w:rPr>
          <w:rFonts w:ascii="Times New Roman" w:hAnsi="Times New Roman" w:eastAsia="Times New Roman"/>
        </w:rPr>
        <w:t>—</w:t>
      </w:r>
      <w:r>
        <w:rPr/>
        <w:t>指向性校正，</w:t>
      </w:r>
      <w:r>
        <w:rPr>
          <w:rFonts w:ascii="Times New Roman" w:hAnsi="Times New Roman" w:eastAsia="Times New Roman"/>
        </w:rPr>
        <w:t>dB</w:t>
      </w:r>
      <w:r>
        <w:rPr/>
        <w:t>；它描述点声源的等效连续声压级与产生声功率级的全向点声源在规定方向的级的偏差程度。对辐射到自由空间的全向点声源，</w:t>
      </w:r>
      <w:r>
        <w:rPr>
          <w:rFonts w:ascii="Times New Roman" w:hAnsi="Times New Roman" w:eastAsia="Times New Roman"/>
          <w:i/>
        </w:rPr>
        <w:t>Dc</w:t>
      </w:r>
      <w:r>
        <w:rPr>
          <w:rFonts w:ascii="Times New Roman" w:hAnsi="Times New Roman" w:eastAsia="Times New Roman"/>
        </w:rPr>
        <w:t>=0dB</w:t>
      </w:r>
      <w:r>
        <w:rPr/>
        <w:t>。</w:t>
      </w:r>
    </w:p>
    <w:p>
      <w:pPr>
        <w:pStyle w:val="BodyText"/>
        <w:spacing w:line="306" w:lineRule="exact"/>
        <w:ind w:left="698"/>
      </w:pPr>
      <w:r>
        <w:rPr>
          <w:rFonts w:ascii="Times New Roman" w:hAnsi="Times New Roman" w:eastAsia="Times New Roman"/>
          <w:i/>
        </w:rPr>
        <w:t>A</w:t>
      </w:r>
      <w:r>
        <w:rPr>
          <w:rFonts w:ascii="Times New Roman" w:hAnsi="Times New Roman" w:eastAsia="Times New Roman"/>
        </w:rPr>
        <w:t>—</w:t>
      </w:r>
      <w:r>
        <w:rPr/>
        <w:t>倍频带衰减，</w:t>
      </w:r>
      <w:r>
        <w:rPr>
          <w:rFonts w:ascii="Times New Roman" w:hAnsi="Times New Roman" w:eastAsia="Times New Roman"/>
        </w:rPr>
        <w:t>dB</w:t>
      </w:r>
      <w:r>
        <w:rPr/>
        <w:t>；</w:t>
      </w:r>
    </w:p>
    <w:p>
      <w:pPr>
        <w:pStyle w:val="BodyText"/>
        <w:spacing w:line="364" w:lineRule="auto" w:before="160"/>
        <w:ind w:left="698" w:right="4545"/>
      </w:pPr>
      <w:r>
        <w:rPr>
          <w:rFonts w:ascii="Times New Roman" w:hAnsi="Times New Roman" w:eastAsia="Times New Roman"/>
          <w:i/>
          <w:position w:val="2"/>
        </w:rPr>
        <w:t>A</w:t>
      </w:r>
      <w:r>
        <w:rPr>
          <w:rFonts w:ascii="Times New Roman" w:hAnsi="Times New Roman" w:eastAsia="Times New Roman"/>
          <w:i/>
          <w:sz w:val="16"/>
        </w:rPr>
        <w:t>div</w:t>
      </w:r>
      <w:r>
        <w:rPr>
          <w:rFonts w:ascii="Times New Roman" w:hAnsi="Times New Roman" w:eastAsia="Times New Roman"/>
          <w:position w:val="2"/>
        </w:rPr>
        <w:t>—</w:t>
      </w:r>
      <w:r>
        <w:rPr>
          <w:position w:val="2"/>
        </w:rPr>
        <w:t>几何发散引起的倍频带衰减，</w:t>
      </w:r>
      <w:r>
        <w:rPr>
          <w:rFonts w:ascii="Times New Roman" w:hAnsi="Times New Roman" w:eastAsia="Times New Roman"/>
          <w:position w:val="2"/>
        </w:rPr>
        <w:t>dB</w:t>
      </w:r>
      <w:r>
        <w:rPr>
          <w:position w:val="2"/>
        </w:rPr>
        <w:t>； </w:t>
      </w:r>
      <w:r>
        <w:rPr>
          <w:rFonts w:ascii="Times New Roman" w:hAnsi="Times New Roman" w:eastAsia="Times New Roman"/>
          <w:i/>
          <w:position w:val="2"/>
        </w:rPr>
        <w:t>A</w:t>
      </w:r>
      <w:r>
        <w:rPr>
          <w:rFonts w:ascii="Times New Roman" w:hAnsi="Times New Roman" w:eastAsia="Times New Roman"/>
          <w:i/>
          <w:sz w:val="16"/>
        </w:rPr>
        <w:t>atm</w:t>
      </w:r>
      <w:r>
        <w:rPr>
          <w:rFonts w:ascii="Times New Roman" w:hAnsi="Times New Roman" w:eastAsia="Times New Roman"/>
          <w:position w:val="2"/>
        </w:rPr>
        <w:t>—</w:t>
      </w:r>
      <w:r>
        <w:rPr>
          <w:position w:val="2"/>
        </w:rPr>
        <w:t>大气吸收引起的倍频带衰减，</w:t>
      </w:r>
      <w:r>
        <w:rPr>
          <w:rFonts w:ascii="Times New Roman" w:hAnsi="Times New Roman" w:eastAsia="Times New Roman"/>
          <w:position w:val="2"/>
        </w:rPr>
        <w:t>dB</w:t>
      </w:r>
      <w:r>
        <w:rPr>
          <w:position w:val="2"/>
        </w:rPr>
        <w:t>； </w:t>
      </w:r>
      <w:r>
        <w:rPr>
          <w:rFonts w:ascii="Times New Roman" w:hAnsi="Times New Roman" w:eastAsia="Times New Roman"/>
          <w:i/>
          <w:position w:val="2"/>
        </w:rPr>
        <w:t>A</w:t>
      </w:r>
      <w:r>
        <w:rPr>
          <w:rFonts w:ascii="Times New Roman" w:hAnsi="Times New Roman" w:eastAsia="Times New Roman"/>
          <w:i/>
          <w:sz w:val="16"/>
        </w:rPr>
        <w:t>gr</w:t>
      </w:r>
      <w:r>
        <w:rPr>
          <w:rFonts w:ascii="Times New Roman" w:hAnsi="Times New Roman" w:eastAsia="Times New Roman"/>
          <w:position w:val="2"/>
        </w:rPr>
        <w:t>—</w:t>
      </w:r>
      <w:r>
        <w:rPr>
          <w:position w:val="2"/>
        </w:rPr>
        <w:t>地面效应引起的倍频带衰减，</w:t>
      </w:r>
      <w:r>
        <w:rPr>
          <w:rFonts w:ascii="Times New Roman" w:hAnsi="Times New Roman" w:eastAsia="Times New Roman"/>
          <w:position w:val="2"/>
        </w:rPr>
        <w:t>dB</w:t>
      </w:r>
      <w:r>
        <w:rPr>
          <w:position w:val="2"/>
        </w:rPr>
        <w:t>； </w:t>
      </w:r>
      <w:r>
        <w:rPr>
          <w:rFonts w:ascii="Times New Roman" w:hAnsi="Times New Roman" w:eastAsia="Times New Roman"/>
          <w:i/>
          <w:position w:val="2"/>
        </w:rPr>
        <w:t>A</w:t>
      </w:r>
      <w:r>
        <w:rPr>
          <w:rFonts w:ascii="Times New Roman" w:hAnsi="Times New Roman" w:eastAsia="Times New Roman"/>
          <w:i/>
          <w:sz w:val="16"/>
        </w:rPr>
        <w:t>bar</w:t>
      </w:r>
      <w:r>
        <w:rPr>
          <w:rFonts w:ascii="Times New Roman" w:hAnsi="Times New Roman" w:eastAsia="Times New Roman"/>
          <w:position w:val="2"/>
        </w:rPr>
        <w:t>— </w:t>
      </w:r>
      <w:r>
        <w:rPr>
          <w:position w:val="2"/>
        </w:rPr>
        <w:t>声屏障引起的倍频带衰减，</w:t>
      </w:r>
      <w:r>
        <w:rPr>
          <w:rFonts w:ascii="Times New Roman" w:hAnsi="Times New Roman" w:eastAsia="Times New Roman"/>
          <w:position w:val="2"/>
        </w:rPr>
        <w:t>dB</w:t>
      </w:r>
      <w:r>
        <w:rPr>
          <w:position w:val="2"/>
        </w:rPr>
        <w:t>；</w:t>
      </w:r>
    </w:p>
    <w:p>
      <w:pPr>
        <w:pStyle w:val="BodyText"/>
        <w:spacing w:line="306" w:lineRule="exact"/>
        <w:ind w:left="698"/>
      </w:pPr>
      <w:r>
        <w:rPr>
          <w:rFonts w:ascii="Times New Roman" w:hAnsi="Times New Roman" w:eastAsia="Times New Roman"/>
          <w:i/>
          <w:position w:val="2"/>
        </w:rPr>
        <w:t>A</w:t>
      </w:r>
      <w:r>
        <w:rPr>
          <w:rFonts w:ascii="Times New Roman" w:hAnsi="Times New Roman" w:eastAsia="Times New Roman"/>
          <w:i/>
          <w:sz w:val="16"/>
        </w:rPr>
        <w:t>misc</w:t>
      </w:r>
      <w:r>
        <w:rPr>
          <w:rFonts w:ascii="Times New Roman" w:hAnsi="Times New Roman" w:eastAsia="Times New Roman"/>
          <w:position w:val="2"/>
        </w:rPr>
        <w:t>—</w:t>
      </w:r>
      <w:r>
        <w:rPr>
          <w:position w:val="2"/>
        </w:rPr>
        <w:t>其他多方面效应引起的倍频带衰减，</w:t>
      </w:r>
      <w:r>
        <w:rPr>
          <w:rFonts w:ascii="Times New Roman" w:hAnsi="Times New Roman" w:eastAsia="Times New Roman"/>
          <w:position w:val="2"/>
        </w:rPr>
        <w:t>dB</w:t>
      </w:r>
      <w:r>
        <w:rPr>
          <w:position w:val="2"/>
        </w:rPr>
        <w:t>。</w:t>
      </w:r>
    </w:p>
    <w:p>
      <w:pPr>
        <w:pStyle w:val="BodyText"/>
        <w:spacing w:before="159"/>
        <w:ind w:left="694"/>
      </w:pPr>
      <w:r>
        <w:rPr/>
        <w:t>⑶叠加影响公式</w:t>
      </w:r>
    </w:p>
    <w:p>
      <w:pPr>
        <w:pStyle w:val="BodyText"/>
        <w:spacing w:before="160"/>
        <w:ind w:left="698"/>
      </w:pPr>
      <w:r>
        <w:rPr>
          <w:position w:val="2"/>
        </w:rPr>
        <w:t>①建设项目声源在预测点产生的等效声级贡献值（</w:t>
      </w:r>
      <w:r>
        <w:rPr>
          <w:rFonts w:ascii="Times New Roman" w:hAnsi="Times New Roman" w:eastAsia="Times New Roman"/>
          <w:i/>
          <w:position w:val="2"/>
        </w:rPr>
        <w:t>L</w:t>
      </w:r>
      <w:r>
        <w:rPr>
          <w:rFonts w:ascii="Times New Roman" w:hAnsi="Times New Roman" w:eastAsia="Times New Roman"/>
          <w:i/>
          <w:sz w:val="16"/>
        </w:rPr>
        <w:t>eqg</w:t>
      </w:r>
      <w:r>
        <w:rPr>
          <w:position w:val="2"/>
        </w:rPr>
        <w:t>）计算公式</w:t>
      </w:r>
    </w:p>
    <w:p>
      <w:pPr>
        <w:tabs>
          <w:tab w:pos="1163" w:val="left" w:leader="none"/>
        </w:tabs>
        <w:spacing w:line="310" w:lineRule="exact" w:before="158"/>
        <w:ind w:left="743" w:right="0" w:firstLine="0"/>
        <w:jc w:val="left"/>
        <w:rPr>
          <w:rFonts w:ascii="Times New Roman" w:hAnsi="Times New Roman"/>
          <w:sz w:val="24"/>
        </w:rPr>
      </w:pPr>
      <w:r>
        <w:rPr>
          <w:rFonts w:ascii="Times New Roman" w:hAnsi="Times New Roman"/>
          <w:i/>
          <w:w w:val="102"/>
          <w:sz w:val="24"/>
        </w:rPr>
        <w:t>L</w:t>
      </w:r>
      <w:r>
        <w:rPr>
          <w:rFonts w:ascii="Times New Roman" w:hAnsi="Times New Roman"/>
          <w:i/>
          <w:sz w:val="24"/>
        </w:rPr>
        <w:tab/>
      </w:r>
      <w:r>
        <w:rPr>
          <w:rFonts w:ascii="Symbol" w:hAnsi="Symbol"/>
          <w:w w:val="102"/>
          <w:sz w:val="24"/>
        </w:rPr>
        <w:t></w:t>
      </w:r>
      <w:r>
        <w:rPr>
          <w:rFonts w:ascii="Times New Roman" w:hAnsi="Times New Roman"/>
          <w:spacing w:val="-34"/>
          <w:sz w:val="24"/>
        </w:rPr>
        <w:t> </w:t>
      </w:r>
      <w:r>
        <w:rPr>
          <w:rFonts w:ascii="Times New Roman" w:hAnsi="Times New Roman"/>
          <w:spacing w:val="-3"/>
          <w:w w:val="102"/>
          <w:sz w:val="24"/>
        </w:rPr>
        <w:t>1</w:t>
      </w:r>
      <w:r>
        <w:rPr>
          <w:rFonts w:ascii="Times New Roman" w:hAnsi="Times New Roman"/>
          <w:w w:val="102"/>
          <w:sz w:val="24"/>
        </w:rPr>
        <w:t>0</w:t>
      </w:r>
      <w:r>
        <w:rPr>
          <w:rFonts w:ascii="Times New Roman" w:hAnsi="Times New Roman"/>
          <w:spacing w:val="-36"/>
          <w:sz w:val="24"/>
        </w:rPr>
        <w:t> </w:t>
      </w:r>
      <w:r>
        <w:rPr>
          <w:rFonts w:ascii="Times New Roman" w:hAnsi="Times New Roman"/>
          <w:spacing w:val="-24"/>
          <w:w w:val="102"/>
          <w:sz w:val="24"/>
        </w:rPr>
        <w:t>l</w:t>
      </w:r>
      <w:r>
        <w:rPr>
          <w:rFonts w:ascii="Times New Roman" w:hAnsi="Times New Roman"/>
          <w:spacing w:val="-18"/>
          <w:w w:val="102"/>
          <w:sz w:val="24"/>
        </w:rPr>
        <w:t>g</w:t>
      </w:r>
      <w:r>
        <w:rPr>
          <w:rFonts w:ascii="Times New Roman" w:hAnsi="Times New Roman"/>
          <w:w w:val="102"/>
          <w:sz w:val="24"/>
        </w:rPr>
        <w:t>(</w:t>
      </w:r>
      <w:r>
        <w:rPr>
          <w:rFonts w:ascii="Times New Roman" w:hAnsi="Times New Roman"/>
          <w:spacing w:val="10"/>
          <w:sz w:val="24"/>
        </w:rPr>
        <w:t> </w:t>
      </w:r>
      <w:r>
        <w:rPr>
          <w:rFonts w:ascii="Times New Roman" w:hAnsi="Times New Roman"/>
          <w:w w:val="102"/>
          <w:position w:val="15"/>
          <w:sz w:val="24"/>
          <w:u w:val="single"/>
        </w:rPr>
        <w:t>1</w:t>
      </w:r>
      <w:r>
        <w:rPr>
          <w:rFonts w:ascii="Times New Roman" w:hAnsi="Times New Roman"/>
          <w:spacing w:val="5"/>
          <w:position w:val="15"/>
          <w:sz w:val="24"/>
        </w:rPr>
        <w:t> </w:t>
      </w:r>
      <w:r>
        <w:rPr>
          <w:rFonts w:ascii="Symbol" w:hAnsi="Symbol"/>
          <w:spacing w:val="19"/>
          <w:w w:val="105"/>
          <w:position w:val="-5"/>
          <w:sz w:val="35"/>
        </w:rPr>
        <w:t></w:t>
      </w:r>
      <w:r>
        <w:rPr>
          <w:rFonts w:ascii="Times New Roman" w:hAnsi="Times New Roman"/>
          <w:i/>
          <w:w w:val="102"/>
          <w:sz w:val="24"/>
        </w:rPr>
        <w:t>t</w:t>
      </w:r>
      <w:r>
        <w:rPr>
          <w:rFonts w:ascii="Times New Roman" w:hAnsi="Times New Roman"/>
          <w:i/>
          <w:spacing w:val="-9"/>
          <w:sz w:val="24"/>
        </w:rPr>
        <w:t> </w:t>
      </w:r>
      <w:r>
        <w:rPr>
          <w:rFonts w:ascii="Times New Roman" w:hAnsi="Times New Roman"/>
          <w:spacing w:val="-3"/>
          <w:w w:val="102"/>
          <w:sz w:val="24"/>
        </w:rPr>
        <w:t>1</w:t>
      </w:r>
      <w:r>
        <w:rPr>
          <w:rFonts w:ascii="Times New Roman" w:hAnsi="Times New Roman"/>
          <w:spacing w:val="4"/>
          <w:w w:val="102"/>
          <w:sz w:val="24"/>
        </w:rPr>
        <w:t>0</w:t>
      </w:r>
      <w:r>
        <w:rPr>
          <w:rFonts w:ascii="Times New Roman" w:hAnsi="Times New Roman"/>
          <w:spacing w:val="-2"/>
          <w:w w:val="102"/>
          <w:position w:val="11"/>
          <w:sz w:val="14"/>
        </w:rPr>
        <w:t>0</w:t>
      </w:r>
      <w:r>
        <w:rPr>
          <w:rFonts w:ascii="Times New Roman" w:hAnsi="Times New Roman"/>
          <w:spacing w:val="-1"/>
          <w:w w:val="102"/>
          <w:position w:val="11"/>
          <w:sz w:val="14"/>
        </w:rPr>
        <w:t>.</w:t>
      </w:r>
      <w:r>
        <w:rPr>
          <w:rFonts w:ascii="Times New Roman" w:hAnsi="Times New Roman"/>
          <w:spacing w:val="1"/>
          <w:w w:val="102"/>
          <w:position w:val="11"/>
          <w:sz w:val="14"/>
        </w:rPr>
        <w:t>1</w:t>
      </w:r>
      <w:r>
        <w:rPr>
          <w:rFonts w:ascii="Times New Roman" w:hAnsi="Times New Roman"/>
          <w:i/>
          <w:spacing w:val="4"/>
          <w:w w:val="102"/>
          <w:position w:val="11"/>
          <w:sz w:val="14"/>
        </w:rPr>
        <w:t>L</w:t>
      </w:r>
      <w:r>
        <w:rPr>
          <w:rFonts w:ascii="Times New Roman" w:hAnsi="Times New Roman"/>
          <w:i/>
          <w:spacing w:val="-3"/>
          <w:w w:val="103"/>
          <w:position w:val="8"/>
          <w:sz w:val="10"/>
        </w:rPr>
        <w:t>A</w:t>
      </w:r>
      <w:r>
        <w:rPr>
          <w:rFonts w:ascii="Times New Roman" w:hAnsi="Times New Roman"/>
          <w:i/>
          <w:w w:val="103"/>
          <w:position w:val="8"/>
          <w:sz w:val="10"/>
        </w:rPr>
        <w:t>i</w:t>
      </w:r>
      <w:r>
        <w:rPr>
          <w:rFonts w:ascii="Times New Roman" w:hAnsi="Times New Roman"/>
          <w:i/>
          <w:position w:val="8"/>
          <w:sz w:val="10"/>
        </w:rPr>
        <w:t> </w:t>
      </w:r>
      <w:r>
        <w:rPr>
          <w:rFonts w:ascii="Times New Roman" w:hAnsi="Times New Roman"/>
          <w:i/>
          <w:spacing w:val="-3"/>
          <w:position w:val="8"/>
          <w:sz w:val="10"/>
        </w:rPr>
        <w:t> </w:t>
      </w:r>
      <w:r>
        <w:rPr>
          <w:rFonts w:ascii="Times New Roman" w:hAnsi="Times New Roman"/>
          <w:w w:val="102"/>
          <w:sz w:val="24"/>
        </w:rPr>
        <w:t>)</w:t>
      </w:r>
    </w:p>
    <w:p>
      <w:pPr>
        <w:tabs>
          <w:tab w:pos="2441" w:val="left" w:leader="none"/>
        </w:tabs>
        <w:spacing w:line="155" w:lineRule="exact" w:before="0"/>
        <w:ind w:left="869" w:right="0" w:firstLine="0"/>
        <w:jc w:val="left"/>
        <w:rPr>
          <w:rFonts w:ascii="Times New Roman"/>
          <w:i/>
          <w:sz w:val="14"/>
        </w:rPr>
      </w:pPr>
      <w:r>
        <w:rPr/>
        <w:pict>
          <v:shape style="position:absolute;margin-left:153.592194pt;margin-top:1.926174pt;width:6.9pt;height:13.2pt;mso-position-horizontal-relative:page;mso-position-vertical-relative:paragraph;z-index:-317682688" type="#_x0000_t202" filled="false" stroked="false">
            <v:textbox inset="0,0,0,0">
              <w:txbxContent>
                <w:p>
                  <w:pPr>
                    <w:spacing w:line="264" w:lineRule="exact" w:before="0"/>
                    <w:ind w:left="0" w:right="0" w:firstLine="0"/>
                    <w:jc w:val="left"/>
                    <w:rPr>
                      <w:rFonts w:ascii="Times New Roman"/>
                      <w:i/>
                      <w:sz w:val="24"/>
                    </w:rPr>
                  </w:pPr>
                  <w:r>
                    <w:rPr>
                      <w:rFonts w:ascii="Times New Roman"/>
                      <w:i/>
                      <w:w w:val="102"/>
                      <w:sz w:val="24"/>
                    </w:rPr>
                    <w:t>T</w:t>
                  </w:r>
                </w:p>
              </w:txbxContent>
            </v:textbox>
            <w10:wrap type="none"/>
          </v:shape>
        </w:pict>
      </w:r>
      <w:r>
        <w:rPr>
          <w:rFonts w:ascii="Times New Roman"/>
          <w:i/>
          <w:w w:val="105"/>
          <w:sz w:val="14"/>
        </w:rPr>
        <w:t>eqg</w:t>
        <w:tab/>
        <w:t>i</w:t>
      </w:r>
    </w:p>
    <w:p>
      <w:pPr>
        <w:spacing w:before="6"/>
        <w:ind w:left="2193" w:right="0" w:firstLine="0"/>
        <w:jc w:val="left"/>
        <w:rPr>
          <w:rFonts w:ascii="Times New Roman"/>
          <w:i/>
          <w:sz w:val="14"/>
        </w:rPr>
      </w:pPr>
      <w:r>
        <w:rPr>
          <w:rFonts w:ascii="Times New Roman"/>
          <w:i/>
          <w:w w:val="102"/>
          <w:sz w:val="14"/>
        </w:rPr>
        <w:t>i</w:t>
      </w:r>
    </w:p>
    <w:p>
      <w:pPr>
        <w:spacing w:before="160"/>
        <w:ind w:left="698" w:right="0" w:firstLine="0"/>
        <w:jc w:val="left"/>
        <w:rPr>
          <w:sz w:val="24"/>
        </w:rPr>
      </w:pPr>
      <w:r>
        <w:rPr>
          <w:position w:val="2"/>
          <w:sz w:val="24"/>
        </w:rPr>
        <w:t>式中 </w:t>
      </w:r>
      <w:r>
        <w:rPr>
          <w:rFonts w:ascii="Times New Roman" w:eastAsia="Times New Roman"/>
          <w:i/>
          <w:position w:val="2"/>
          <w:sz w:val="24"/>
        </w:rPr>
        <w:t>L</w:t>
      </w:r>
      <w:r>
        <w:rPr>
          <w:rFonts w:ascii="Times New Roman" w:eastAsia="Times New Roman"/>
          <w:i/>
          <w:sz w:val="16"/>
        </w:rPr>
        <w:t>eqg </w:t>
      </w:r>
      <w:r>
        <w:rPr>
          <w:position w:val="2"/>
          <w:sz w:val="24"/>
        </w:rPr>
        <w:t>是建设项目声源在预测点的等效声级贡献值，</w:t>
      </w:r>
      <w:r>
        <w:rPr>
          <w:rFonts w:ascii="Times New Roman" w:eastAsia="Times New Roman"/>
          <w:i/>
          <w:position w:val="2"/>
          <w:sz w:val="24"/>
        </w:rPr>
        <w:t>dB(A)</w:t>
      </w:r>
      <w:r>
        <w:rPr>
          <w:position w:val="2"/>
          <w:sz w:val="24"/>
        </w:rPr>
        <w:t>；</w:t>
      </w:r>
    </w:p>
    <w:p>
      <w:pPr>
        <w:spacing w:before="158"/>
        <w:ind w:left="698" w:right="0" w:firstLine="0"/>
        <w:jc w:val="left"/>
        <w:rPr>
          <w:sz w:val="24"/>
        </w:rPr>
      </w:pPr>
      <w:r>
        <w:rPr>
          <w:rFonts w:ascii="Times New Roman" w:eastAsia="Times New Roman"/>
          <w:i/>
          <w:position w:val="2"/>
          <w:sz w:val="24"/>
        </w:rPr>
        <w:t>L</w:t>
      </w:r>
      <w:r>
        <w:rPr>
          <w:rFonts w:ascii="Times New Roman" w:eastAsia="Times New Roman"/>
          <w:i/>
          <w:sz w:val="16"/>
        </w:rPr>
        <w:t>Ai </w:t>
      </w:r>
      <w:r>
        <w:rPr>
          <w:spacing w:val="57"/>
          <w:position w:val="2"/>
          <w:sz w:val="24"/>
        </w:rPr>
        <w:t>为</w:t>
      </w:r>
      <w:r>
        <w:rPr>
          <w:rFonts w:ascii="Times New Roman" w:eastAsia="Times New Roman"/>
          <w:position w:val="2"/>
          <w:sz w:val="24"/>
        </w:rPr>
        <w:t>i </w:t>
      </w:r>
      <w:r>
        <w:rPr>
          <w:spacing w:val="-7"/>
          <w:position w:val="2"/>
          <w:sz w:val="24"/>
        </w:rPr>
        <w:t>声源在预测点产生的 </w:t>
      </w:r>
      <w:r>
        <w:rPr>
          <w:rFonts w:ascii="Times New Roman" w:eastAsia="Times New Roman"/>
          <w:i/>
          <w:position w:val="2"/>
          <w:sz w:val="24"/>
        </w:rPr>
        <w:t>A </w:t>
      </w:r>
      <w:r>
        <w:rPr>
          <w:position w:val="2"/>
          <w:sz w:val="24"/>
        </w:rPr>
        <w:t>声级，</w:t>
      </w:r>
      <w:r>
        <w:rPr>
          <w:rFonts w:ascii="Times New Roman" w:eastAsia="Times New Roman"/>
          <w:i/>
          <w:position w:val="2"/>
          <w:sz w:val="24"/>
        </w:rPr>
        <w:t>dB(A)</w:t>
      </w:r>
      <w:r>
        <w:rPr>
          <w:position w:val="2"/>
          <w:sz w:val="24"/>
        </w:rPr>
        <w:t>；</w:t>
      </w:r>
    </w:p>
    <w:p>
      <w:pPr>
        <w:spacing w:before="162"/>
        <w:ind w:left="698" w:right="0" w:firstLine="0"/>
        <w:jc w:val="left"/>
        <w:rPr>
          <w:sz w:val="24"/>
        </w:rPr>
      </w:pPr>
      <w:r>
        <w:rPr>
          <w:rFonts w:ascii="Times New Roman" w:eastAsia="Times New Roman"/>
          <w:i/>
          <w:sz w:val="24"/>
        </w:rPr>
        <w:t>T </w:t>
      </w:r>
      <w:r>
        <w:rPr>
          <w:sz w:val="24"/>
        </w:rPr>
        <w:t>为预测计算的时间段，</w:t>
      </w:r>
      <w:r>
        <w:rPr>
          <w:rFonts w:ascii="Times New Roman" w:eastAsia="Times New Roman"/>
          <w:i/>
          <w:sz w:val="24"/>
        </w:rPr>
        <w:t>s</w:t>
      </w:r>
      <w:r>
        <w:rPr>
          <w:sz w:val="24"/>
        </w:rPr>
        <w:t>；</w:t>
      </w:r>
    </w:p>
    <w:p>
      <w:pPr>
        <w:spacing w:before="158"/>
        <w:ind w:left="698" w:right="0" w:firstLine="0"/>
        <w:jc w:val="left"/>
        <w:rPr>
          <w:sz w:val="24"/>
        </w:rPr>
      </w:pPr>
      <w:r>
        <w:rPr>
          <w:rFonts w:ascii="Times New Roman" w:eastAsia="Times New Roman"/>
          <w:i/>
          <w:position w:val="2"/>
          <w:sz w:val="24"/>
        </w:rPr>
        <w:t>t</w:t>
      </w:r>
      <w:r>
        <w:rPr>
          <w:rFonts w:ascii="Times New Roman" w:eastAsia="Times New Roman"/>
          <w:i/>
          <w:sz w:val="16"/>
        </w:rPr>
        <w:t>i </w:t>
      </w:r>
      <w:r>
        <w:rPr>
          <w:position w:val="2"/>
          <w:sz w:val="24"/>
        </w:rPr>
        <w:t>为 </w:t>
      </w:r>
      <w:r>
        <w:rPr>
          <w:rFonts w:ascii="Times New Roman" w:eastAsia="Times New Roman"/>
          <w:i/>
          <w:position w:val="2"/>
          <w:sz w:val="24"/>
        </w:rPr>
        <w:t>i </w:t>
      </w:r>
      <w:r>
        <w:rPr>
          <w:position w:val="2"/>
          <w:sz w:val="24"/>
        </w:rPr>
        <w:t>声源在 </w:t>
      </w:r>
      <w:r>
        <w:rPr>
          <w:rFonts w:ascii="Times New Roman" w:eastAsia="Times New Roman"/>
          <w:i/>
          <w:position w:val="2"/>
          <w:sz w:val="24"/>
        </w:rPr>
        <w:t>T </w:t>
      </w:r>
      <w:r>
        <w:rPr>
          <w:position w:val="2"/>
          <w:sz w:val="24"/>
        </w:rPr>
        <w:t>时段内的运行时间，</w:t>
      </w:r>
      <w:r>
        <w:rPr>
          <w:rFonts w:ascii="Times New Roman" w:eastAsia="Times New Roman"/>
          <w:i/>
          <w:position w:val="2"/>
          <w:sz w:val="24"/>
        </w:rPr>
        <w:t>s</w:t>
      </w:r>
      <w:r>
        <w:rPr>
          <w:position w:val="2"/>
          <w:sz w:val="24"/>
        </w:rPr>
        <w:t>。</w:t>
      </w:r>
    </w:p>
    <w:p>
      <w:pPr>
        <w:pStyle w:val="BodyText"/>
        <w:spacing w:before="160"/>
        <w:ind w:left="698"/>
      </w:pPr>
      <w:r>
        <w:rPr>
          <w:position w:val="2"/>
        </w:rPr>
        <w:t>②预测点的预测等效声级（</w:t>
      </w:r>
      <w:r>
        <w:rPr>
          <w:rFonts w:ascii="Times New Roman" w:hAnsi="Times New Roman" w:eastAsia="Times New Roman"/>
          <w:i/>
          <w:position w:val="2"/>
        </w:rPr>
        <w:t>L</w:t>
      </w:r>
      <w:r>
        <w:rPr>
          <w:rFonts w:ascii="Times New Roman" w:hAnsi="Times New Roman" w:eastAsia="Times New Roman"/>
          <w:i/>
          <w:sz w:val="16"/>
        </w:rPr>
        <w:t>eq</w:t>
      </w:r>
      <w:r>
        <w:rPr>
          <w:position w:val="2"/>
        </w:rPr>
        <w:t>）计算公式</w:t>
      </w:r>
    </w:p>
    <w:p>
      <w:pPr>
        <w:spacing w:after="0"/>
        <w:sectPr>
          <w:pgSz w:w="11910" w:h="16840"/>
          <w:pgMar w:header="872" w:footer="803" w:top="1320" w:bottom="1000" w:left="1200" w:right="1180"/>
        </w:sectPr>
      </w:pPr>
    </w:p>
    <w:p>
      <w:pPr>
        <w:spacing w:before="218"/>
        <w:ind w:left="0" w:right="0" w:firstLine="0"/>
        <w:jc w:val="right"/>
        <w:rPr>
          <w:rFonts w:ascii="Times New Roman"/>
          <w:i/>
          <w:sz w:val="13"/>
        </w:rPr>
      </w:pPr>
      <w:r>
        <w:rPr>
          <w:rFonts w:ascii="Times New Roman"/>
          <w:i/>
          <w:w w:val="110"/>
          <w:position w:val="6"/>
          <w:sz w:val="23"/>
        </w:rPr>
        <w:t>L</w:t>
      </w:r>
      <w:r>
        <w:rPr>
          <w:rFonts w:ascii="Times New Roman"/>
          <w:i/>
          <w:w w:val="110"/>
          <w:sz w:val="13"/>
        </w:rPr>
        <w:t>eq</w:t>
      </w:r>
    </w:p>
    <w:p>
      <w:pPr>
        <w:spacing w:before="183"/>
        <w:ind w:left="52" w:right="0" w:firstLine="0"/>
        <w:jc w:val="left"/>
        <w:rPr>
          <w:rFonts w:ascii="Times New Roman" w:hAnsi="Times New Roman"/>
          <w:sz w:val="23"/>
        </w:rPr>
      </w:pPr>
      <w:r>
        <w:rPr/>
        <w:br w:type="column"/>
      </w:r>
      <w:r>
        <w:rPr>
          <w:rFonts w:ascii="Symbol" w:hAnsi="Symbol"/>
          <w:w w:val="108"/>
          <w:sz w:val="23"/>
        </w:rPr>
        <w:t></w:t>
      </w:r>
      <w:r>
        <w:rPr>
          <w:rFonts w:ascii="Times New Roman" w:hAnsi="Times New Roman"/>
          <w:spacing w:val="-32"/>
          <w:sz w:val="23"/>
        </w:rPr>
        <w:t> </w:t>
      </w:r>
      <w:r>
        <w:rPr>
          <w:rFonts w:ascii="Times New Roman" w:hAnsi="Times New Roman"/>
          <w:spacing w:val="-4"/>
          <w:w w:val="108"/>
          <w:sz w:val="23"/>
        </w:rPr>
        <w:t>1</w:t>
      </w:r>
      <w:r>
        <w:rPr>
          <w:rFonts w:ascii="Times New Roman" w:hAnsi="Times New Roman"/>
          <w:spacing w:val="18"/>
          <w:w w:val="108"/>
          <w:sz w:val="23"/>
        </w:rPr>
        <w:t>0</w:t>
      </w:r>
      <w:r>
        <w:rPr>
          <w:rFonts w:ascii="Times New Roman" w:hAnsi="Times New Roman"/>
          <w:spacing w:val="-24"/>
          <w:w w:val="108"/>
          <w:sz w:val="23"/>
        </w:rPr>
        <w:t>l</w:t>
      </w:r>
      <w:r>
        <w:rPr>
          <w:rFonts w:ascii="Times New Roman" w:hAnsi="Times New Roman"/>
          <w:spacing w:val="-19"/>
          <w:w w:val="108"/>
          <w:sz w:val="23"/>
        </w:rPr>
        <w:t>g</w:t>
      </w:r>
      <w:r>
        <w:rPr>
          <w:rFonts w:ascii="Times New Roman" w:hAnsi="Times New Roman"/>
          <w:spacing w:val="10"/>
          <w:w w:val="108"/>
          <w:sz w:val="23"/>
        </w:rPr>
        <w:t>(</w:t>
      </w:r>
      <w:r>
        <w:rPr>
          <w:rFonts w:ascii="Times New Roman" w:hAnsi="Times New Roman"/>
          <w:spacing w:val="-4"/>
          <w:w w:val="108"/>
          <w:sz w:val="23"/>
        </w:rPr>
        <w:t>1</w:t>
      </w:r>
      <w:r>
        <w:rPr>
          <w:rFonts w:ascii="Times New Roman" w:hAnsi="Times New Roman"/>
          <w:spacing w:val="7"/>
          <w:w w:val="108"/>
          <w:sz w:val="23"/>
        </w:rPr>
        <w:t>0</w:t>
      </w:r>
      <w:r>
        <w:rPr>
          <w:rFonts w:ascii="Times New Roman" w:hAnsi="Times New Roman"/>
          <w:spacing w:val="-3"/>
          <w:w w:val="111"/>
          <w:position w:val="13"/>
          <w:sz w:val="13"/>
        </w:rPr>
        <w:t>0</w:t>
      </w:r>
      <w:r>
        <w:rPr>
          <w:rFonts w:ascii="Times New Roman" w:hAnsi="Times New Roman"/>
          <w:spacing w:val="-1"/>
          <w:w w:val="111"/>
          <w:position w:val="13"/>
          <w:sz w:val="13"/>
        </w:rPr>
        <w:t>.</w:t>
      </w:r>
      <w:r>
        <w:rPr>
          <w:rFonts w:ascii="Times New Roman" w:hAnsi="Times New Roman"/>
          <w:w w:val="111"/>
          <w:position w:val="13"/>
          <w:sz w:val="13"/>
        </w:rPr>
        <w:t>1</w:t>
      </w:r>
      <w:r>
        <w:rPr>
          <w:rFonts w:ascii="Times New Roman" w:hAnsi="Times New Roman"/>
          <w:i/>
          <w:spacing w:val="-8"/>
          <w:w w:val="111"/>
          <w:position w:val="13"/>
          <w:sz w:val="13"/>
        </w:rPr>
        <w:t>L</w:t>
      </w:r>
      <w:r>
        <w:rPr>
          <w:rFonts w:ascii="Times New Roman" w:hAnsi="Times New Roman"/>
          <w:i/>
          <w:spacing w:val="-1"/>
          <w:w w:val="103"/>
          <w:position w:val="10"/>
          <w:sz w:val="10"/>
        </w:rPr>
        <w:t>e</w:t>
      </w:r>
      <w:r>
        <w:rPr>
          <w:rFonts w:ascii="Times New Roman" w:hAnsi="Times New Roman"/>
          <w:i/>
          <w:spacing w:val="8"/>
          <w:w w:val="103"/>
          <w:position w:val="10"/>
          <w:sz w:val="10"/>
        </w:rPr>
        <w:t>q</w:t>
      </w:r>
      <w:r>
        <w:rPr>
          <w:rFonts w:ascii="Times New Roman" w:hAnsi="Times New Roman"/>
          <w:i/>
          <w:w w:val="103"/>
          <w:position w:val="10"/>
          <w:sz w:val="10"/>
        </w:rPr>
        <w:t>g</w:t>
      </w:r>
      <w:r>
        <w:rPr>
          <w:rFonts w:ascii="Times New Roman" w:hAnsi="Times New Roman"/>
          <w:i/>
          <w:position w:val="10"/>
          <w:sz w:val="10"/>
        </w:rPr>
        <w:t>  </w:t>
      </w:r>
      <w:r>
        <w:rPr>
          <w:rFonts w:ascii="Times New Roman" w:hAnsi="Times New Roman"/>
          <w:i/>
          <w:spacing w:val="7"/>
          <w:position w:val="10"/>
          <w:sz w:val="10"/>
        </w:rPr>
        <w:t> </w:t>
      </w:r>
      <w:r>
        <w:rPr>
          <w:rFonts w:ascii="Symbol" w:hAnsi="Symbol"/>
          <w:spacing w:val="16"/>
          <w:w w:val="108"/>
          <w:sz w:val="23"/>
        </w:rPr>
        <w:t></w:t>
      </w:r>
      <w:r>
        <w:rPr>
          <w:rFonts w:ascii="Times New Roman" w:hAnsi="Times New Roman"/>
          <w:spacing w:val="-4"/>
          <w:w w:val="108"/>
          <w:sz w:val="23"/>
        </w:rPr>
        <w:t>1</w:t>
      </w:r>
      <w:r>
        <w:rPr>
          <w:rFonts w:ascii="Times New Roman" w:hAnsi="Times New Roman"/>
          <w:spacing w:val="7"/>
          <w:w w:val="108"/>
          <w:sz w:val="23"/>
        </w:rPr>
        <w:t>0</w:t>
      </w:r>
      <w:r>
        <w:rPr>
          <w:rFonts w:ascii="Times New Roman" w:hAnsi="Times New Roman"/>
          <w:spacing w:val="-3"/>
          <w:w w:val="111"/>
          <w:position w:val="13"/>
          <w:sz w:val="13"/>
        </w:rPr>
        <w:t>0</w:t>
      </w:r>
      <w:r>
        <w:rPr>
          <w:rFonts w:ascii="Times New Roman" w:hAnsi="Times New Roman"/>
          <w:spacing w:val="-1"/>
          <w:w w:val="111"/>
          <w:position w:val="13"/>
          <w:sz w:val="13"/>
        </w:rPr>
        <w:t>.</w:t>
      </w:r>
      <w:r>
        <w:rPr>
          <w:rFonts w:ascii="Times New Roman" w:hAnsi="Times New Roman"/>
          <w:w w:val="111"/>
          <w:position w:val="13"/>
          <w:sz w:val="13"/>
        </w:rPr>
        <w:t>1</w:t>
      </w:r>
      <w:r>
        <w:rPr>
          <w:rFonts w:ascii="Times New Roman" w:hAnsi="Times New Roman"/>
          <w:i/>
          <w:spacing w:val="-8"/>
          <w:w w:val="111"/>
          <w:position w:val="13"/>
          <w:sz w:val="13"/>
        </w:rPr>
        <w:t>L</w:t>
      </w:r>
      <w:r>
        <w:rPr>
          <w:rFonts w:ascii="Times New Roman" w:hAnsi="Times New Roman"/>
          <w:i/>
          <w:spacing w:val="-1"/>
          <w:w w:val="103"/>
          <w:position w:val="10"/>
          <w:sz w:val="10"/>
        </w:rPr>
        <w:t>e</w:t>
      </w:r>
      <w:r>
        <w:rPr>
          <w:rFonts w:ascii="Times New Roman" w:hAnsi="Times New Roman"/>
          <w:i/>
          <w:spacing w:val="8"/>
          <w:w w:val="103"/>
          <w:position w:val="10"/>
          <w:sz w:val="10"/>
        </w:rPr>
        <w:t>q</w:t>
      </w:r>
      <w:r>
        <w:rPr>
          <w:rFonts w:ascii="Times New Roman" w:hAnsi="Times New Roman"/>
          <w:i/>
          <w:w w:val="103"/>
          <w:position w:val="10"/>
          <w:sz w:val="10"/>
        </w:rPr>
        <w:t>b</w:t>
      </w:r>
      <w:r>
        <w:rPr>
          <w:rFonts w:ascii="Times New Roman" w:hAnsi="Times New Roman"/>
          <w:i/>
          <w:spacing w:val="11"/>
          <w:position w:val="10"/>
          <w:sz w:val="10"/>
        </w:rPr>
        <w:t> </w:t>
      </w:r>
      <w:r>
        <w:rPr>
          <w:rFonts w:ascii="Times New Roman" w:hAnsi="Times New Roman"/>
          <w:w w:val="108"/>
          <w:sz w:val="23"/>
        </w:rPr>
        <w:t>)</w:t>
      </w:r>
    </w:p>
    <w:p>
      <w:pPr>
        <w:spacing w:after="0"/>
        <w:jc w:val="left"/>
        <w:rPr>
          <w:rFonts w:ascii="Times New Roman" w:hAnsi="Times New Roman"/>
          <w:sz w:val="23"/>
        </w:rPr>
        <w:sectPr>
          <w:type w:val="continuous"/>
          <w:pgSz w:w="11910" w:h="16840"/>
          <w:pgMar w:top="1420" w:bottom="280" w:left="1200" w:right="1180"/>
          <w:cols w:num="2" w:equalWidth="0">
            <w:col w:w="1003" w:space="40"/>
            <w:col w:w="8487"/>
          </w:cols>
        </w:sectPr>
      </w:pPr>
    </w:p>
    <w:p>
      <w:pPr>
        <w:pStyle w:val="BodyText"/>
        <w:spacing w:before="1"/>
        <w:rPr>
          <w:rFonts w:ascii="Times New Roman"/>
          <w:sz w:val="10"/>
        </w:rPr>
      </w:pPr>
    </w:p>
    <w:p>
      <w:pPr>
        <w:spacing w:before="73"/>
        <w:ind w:left="698" w:right="0" w:firstLine="0"/>
        <w:jc w:val="left"/>
        <w:rPr>
          <w:sz w:val="24"/>
        </w:rPr>
      </w:pPr>
      <w:r>
        <w:rPr>
          <w:position w:val="2"/>
          <w:sz w:val="24"/>
        </w:rPr>
        <w:t>式中 </w:t>
      </w:r>
      <w:r>
        <w:rPr>
          <w:rFonts w:ascii="Times New Roman" w:eastAsia="Times New Roman"/>
          <w:i/>
          <w:position w:val="2"/>
          <w:sz w:val="24"/>
        </w:rPr>
        <w:t>L</w:t>
      </w:r>
      <w:r>
        <w:rPr>
          <w:rFonts w:ascii="Times New Roman" w:eastAsia="Times New Roman"/>
          <w:i/>
          <w:sz w:val="16"/>
        </w:rPr>
        <w:t>eqg </w:t>
      </w:r>
      <w:r>
        <w:rPr>
          <w:position w:val="2"/>
          <w:sz w:val="24"/>
        </w:rPr>
        <w:t>为建设项目声源在预测点的等效声级贡献值，</w:t>
      </w:r>
      <w:r>
        <w:rPr>
          <w:rFonts w:ascii="Times New Roman" w:eastAsia="Times New Roman"/>
          <w:i/>
          <w:position w:val="2"/>
          <w:sz w:val="24"/>
        </w:rPr>
        <w:t>dB(A)</w:t>
      </w:r>
      <w:r>
        <w:rPr>
          <w:position w:val="2"/>
          <w:sz w:val="24"/>
        </w:rPr>
        <w:t>；</w:t>
      </w:r>
    </w:p>
    <w:p>
      <w:pPr>
        <w:spacing w:after="0"/>
        <w:jc w:val="left"/>
        <w:rPr>
          <w:sz w:val="24"/>
        </w:rPr>
        <w:sectPr>
          <w:type w:val="continuous"/>
          <w:pgSz w:w="11910" w:h="16840"/>
          <w:pgMar w:top="1420" w:bottom="280" w:left="1200" w:right="1180"/>
        </w:sectPr>
      </w:pPr>
    </w:p>
    <w:p>
      <w:pPr>
        <w:spacing w:before="83"/>
        <w:ind w:left="643" w:right="0" w:firstLine="0"/>
        <w:jc w:val="left"/>
        <w:rPr>
          <w:sz w:val="24"/>
        </w:rPr>
      </w:pPr>
      <w:r>
        <w:rPr>
          <w:rFonts w:ascii="Times New Roman" w:eastAsia="Times New Roman"/>
          <w:i/>
          <w:position w:val="2"/>
          <w:sz w:val="24"/>
        </w:rPr>
        <w:t>L</w:t>
      </w:r>
      <w:r>
        <w:rPr>
          <w:rFonts w:ascii="Times New Roman" w:eastAsia="Times New Roman"/>
          <w:i/>
          <w:sz w:val="16"/>
        </w:rPr>
        <w:t>eqb </w:t>
      </w:r>
      <w:r>
        <w:rPr>
          <w:position w:val="2"/>
          <w:sz w:val="24"/>
        </w:rPr>
        <w:t>为预测点的背景值，</w:t>
      </w:r>
      <w:r>
        <w:rPr>
          <w:rFonts w:ascii="Times New Roman" w:eastAsia="Times New Roman"/>
          <w:i/>
          <w:position w:val="2"/>
          <w:sz w:val="24"/>
        </w:rPr>
        <w:t>dB(A)</w:t>
      </w:r>
      <w:r>
        <w:rPr>
          <w:position w:val="2"/>
          <w:sz w:val="24"/>
        </w:rPr>
        <w:t>。</w:t>
      </w:r>
    </w:p>
    <w:p>
      <w:pPr>
        <w:pStyle w:val="BodyText"/>
        <w:spacing w:before="160"/>
        <w:ind w:left="698"/>
      </w:pPr>
      <w:r>
        <w:rPr>
          <w:rFonts w:ascii="Times New Roman" w:eastAsia="Times New Roman"/>
        </w:rPr>
        <w:t>4</w:t>
      </w:r>
      <w:r>
        <w:rPr/>
        <w:t>、噪声预测结果</w:t>
      </w:r>
    </w:p>
    <w:p>
      <w:pPr>
        <w:pStyle w:val="BodyText"/>
        <w:spacing w:line="362" w:lineRule="auto" w:before="160"/>
        <w:ind w:left="218" w:right="233" w:firstLine="480"/>
      </w:pPr>
      <w:r>
        <w:rPr/>
        <w:t>项目位于企业新征用地</w:t>
      </w:r>
      <w:r>
        <w:rPr>
          <w:spacing w:val="2"/>
        </w:rPr>
        <w:t>（东区</w:t>
      </w:r>
      <w:r>
        <w:rPr>
          <w:spacing w:val="-118"/>
        </w:rPr>
        <w:t>）</w:t>
      </w:r>
      <w:r>
        <w:rPr/>
        <w:t>，无现有工程的影响，以本项目的噪声贡献值作为评价量。根据项目噪声源强，经预测的噪声预测和达标分析结果见下表。</w:t>
      </w:r>
    </w:p>
    <w:p>
      <w:pPr>
        <w:pStyle w:val="Heading4"/>
        <w:tabs>
          <w:tab w:pos="3711" w:val="left" w:leader="none"/>
          <w:tab w:pos="6123" w:val="left" w:leader="none"/>
        </w:tabs>
        <w:spacing w:before="65" w:after="3"/>
        <w:ind w:left="2369"/>
        <w:rPr>
          <w:rFonts w:ascii="Times New Roman" w:eastAsia="Times New Roman"/>
        </w:rPr>
      </w:pPr>
      <w:r>
        <w:rPr/>
        <w:t>表</w:t>
      </w:r>
      <w:r>
        <w:rPr>
          <w:spacing w:val="-60"/>
        </w:rPr>
        <w:t> </w:t>
      </w:r>
      <w:r>
        <w:rPr>
          <w:rFonts w:ascii="Times New Roman" w:eastAsia="Times New Roman"/>
        </w:rPr>
        <w:t>7.2.5-1</w:t>
        <w:tab/>
      </w:r>
      <w:r>
        <w:rPr/>
        <w:t>厂界噪声预测结果表</w:t>
        <w:tab/>
        <w:t>单位：</w:t>
      </w:r>
      <w:r>
        <w:rPr>
          <w:rFonts w:ascii="Times New Roman" w:eastAsia="Times New Roman"/>
        </w:rPr>
        <w:t>dB</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9"/>
        <w:gridCol w:w="1277"/>
        <w:gridCol w:w="1276"/>
        <w:gridCol w:w="1276"/>
        <w:gridCol w:w="1132"/>
        <w:gridCol w:w="1665"/>
        <w:gridCol w:w="1170"/>
      </w:tblGrid>
      <w:tr>
        <w:trPr>
          <w:trHeight w:val="282" w:hRule="atLeast"/>
        </w:trPr>
        <w:tc>
          <w:tcPr>
            <w:tcW w:w="1279" w:type="dxa"/>
          </w:tcPr>
          <w:p>
            <w:pPr>
              <w:pStyle w:val="TableParagraph"/>
              <w:spacing w:line="257" w:lineRule="exact" w:before="6"/>
              <w:ind w:left="300" w:right="293"/>
              <w:rPr>
                <w:b/>
                <w:sz w:val="21"/>
              </w:rPr>
            </w:pPr>
            <w:r>
              <w:rPr>
                <w:b/>
                <w:sz w:val="21"/>
              </w:rPr>
              <w:t>预测点</w:t>
            </w:r>
          </w:p>
        </w:tc>
        <w:tc>
          <w:tcPr>
            <w:tcW w:w="1277" w:type="dxa"/>
          </w:tcPr>
          <w:p>
            <w:pPr>
              <w:pStyle w:val="TableParagraph"/>
              <w:spacing w:line="257" w:lineRule="exact" w:before="6"/>
              <w:ind w:left="11" w:right="2"/>
              <w:rPr>
                <w:b/>
                <w:sz w:val="21"/>
              </w:rPr>
            </w:pPr>
            <w:r>
              <w:rPr>
                <w:b/>
                <w:sz w:val="21"/>
              </w:rPr>
              <w:t>东侧厂界</w:t>
            </w:r>
          </w:p>
        </w:tc>
        <w:tc>
          <w:tcPr>
            <w:tcW w:w="1276" w:type="dxa"/>
          </w:tcPr>
          <w:p>
            <w:pPr>
              <w:pStyle w:val="TableParagraph"/>
              <w:spacing w:line="257" w:lineRule="exact" w:before="6"/>
              <w:ind w:left="128" w:right="117"/>
              <w:rPr>
                <w:b/>
                <w:sz w:val="21"/>
              </w:rPr>
            </w:pPr>
            <w:r>
              <w:rPr>
                <w:b/>
                <w:sz w:val="21"/>
              </w:rPr>
              <w:t>南侧厂界</w:t>
            </w:r>
          </w:p>
        </w:tc>
        <w:tc>
          <w:tcPr>
            <w:tcW w:w="1276" w:type="dxa"/>
          </w:tcPr>
          <w:p>
            <w:pPr>
              <w:pStyle w:val="TableParagraph"/>
              <w:spacing w:line="257" w:lineRule="exact" w:before="6"/>
              <w:ind w:left="130" w:right="117"/>
              <w:rPr>
                <w:b/>
                <w:sz w:val="21"/>
              </w:rPr>
            </w:pPr>
            <w:r>
              <w:rPr>
                <w:b/>
                <w:sz w:val="21"/>
              </w:rPr>
              <w:t>西侧厂界</w:t>
            </w:r>
          </w:p>
        </w:tc>
        <w:tc>
          <w:tcPr>
            <w:tcW w:w="1132" w:type="dxa"/>
          </w:tcPr>
          <w:p>
            <w:pPr>
              <w:pStyle w:val="TableParagraph"/>
              <w:spacing w:line="257" w:lineRule="exact" w:before="6"/>
              <w:ind w:left="126" w:right="111"/>
              <w:rPr>
                <w:b/>
                <w:sz w:val="21"/>
              </w:rPr>
            </w:pPr>
            <w:r>
              <w:rPr>
                <w:b/>
                <w:sz w:val="21"/>
              </w:rPr>
              <w:t>北侧厂界</w:t>
            </w:r>
          </w:p>
        </w:tc>
        <w:tc>
          <w:tcPr>
            <w:tcW w:w="1665" w:type="dxa"/>
          </w:tcPr>
          <w:p>
            <w:pPr>
              <w:pStyle w:val="TableParagraph"/>
              <w:spacing w:line="257" w:lineRule="exact" w:before="6"/>
              <w:ind w:left="51" w:right="35"/>
              <w:rPr>
                <w:b/>
                <w:sz w:val="21"/>
              </w:rPr>
            </w:pPr>
            <w:r>
              <w:rPr>
                <w:b/>
                <w:sz w:val="21"/>
              </w:rPr>
              <w:t>评价标准</w:t>
            </w:r>
          </w:p>
        </w:tc>
        <w:tc>
          <w:tcPr>
            <w:tcW w:w="1170" w:type="dxa"/>
          </w:tcPr>
          <w:p>
            <w:pPr>
              <w:pStyle w:val="TableParagraph"/>
              <w:spacing w:line="257" w:lineRule="exact" w:before="6"/>
              <w:ind w:left="147" w:right="128"/>
              <w:rPr>
                <w:b/>
                <w:sz w:val="21"/>
              </w:rPr>
            </w:pPr>
            <w:r>
              <w:rPr>
                <w:b/>
                <w:sz w:val="21"/>
              </w:rPr>
              <w:t>达标情况</w:t>
            </w:r>
          </w:p>
        </w:tc>
      </w:tr>
      <w:tr>
        <w:trPr>
          <w:trHeight w:val="285" w:hRule="atLeast"/>
        </w:trPr>
        <w:tc>
          <w:tcPr>
            <w:tcW w:w="1279" w:type="dxa"/>
          </w:tcPr>
          <w:p>
            <w:pPr>
              <w:pStyle w:val="TableParagraph"/>
              <w:spacing w:line="257" w:lineRule="exact" w:before="8"/>
              <w:ind w:left="301" w:right="289"/>
              <w:rPr>
                <w:sz w:val="21"/>
              </w:rPr>
            </w:pPr>
            <w:r>
              <w:rPr>
                <w:sz w:val="21"/>
              </w:rPr>
              <w:t>贡献值</w:t>
            </w:r>
          </w:p>
        </w:tc>
        <w:tc>
          <w:tcPr>
            <w:tcW w:w="1277" w:type="dxa"/>
          </w:tcPr>
          <w:p>
            <w:pPr>
              <w:pStyle w:val="TableParagraph"/>
              <w:spacing w:before="22"/>
              <w:ind w:left="11" w:right="2"/>
              <w:rPr>
                <w:rFonts w:ascii="Times New Roman"/>
                <w:sz w:val="21"/>
              </w:rPr>
            </w:pPr>
            <w:r>
              <w:rPr>
                <w:rFonts w:ascii="Times New Roman"/>
                <w:sz w:val="21"/>
              </w:rPr>
              <w:t>54.57</w:t>
            </w:r>
          </w:p>
        </w:tc>
        <w:tc>
          <w:tcPr>
            <w:tcW w:w="1276" w:type="dxa"/>
          </w:tcPr>
          <w:p>
            <w:pPr>
              <w:pStyle w:val="TableParagraph"/>
              <w:spacing w:before="22"/>
              <w:ind w:left="128" w:right="117"/>
              <w:rPr>
                <w:rFonts w:ascii="Times New Roman"/>
                <w:sz w:val="21"/>
              </w:rPr>
            </w:pPr>
            <w:r>
              <w:rPr>
                <w:rFonts w:ascii="Times New Roman"/>
                <w:sz w:val="21"/>
              </w:rPr>
              <w:t>29.57</w:t>
            </w:r>
          </w:p>
        </w:tc>
        <w:tc>
          <w:tcPr>
            <w:tcW w:w="1276" w:type="dxa"/>
          </w:tcPr>
          <w:p>
            <w:pPr>
              <w:pStyle w:val="TableParagraph"/>
              <w:spacing w:before="22"/>
              <w:ind w:left="130" w:right="117"/>
              <w:rPr>
                <w:rFonts w:ascii="Times New Roman"/>
                <w:sz w:val="21"/>
              </w:rPr>
            </w:pPr>
            <w:r>
              <w:rPr>
                <w:rFonts w:ascii="Times New Roman"/>
                <w:sz w:val="21"/>
              </w:rPr>
              <w:t>43.26</w:t>
            </w:r>
          </w:p>
        </w:tc>
        <w:tc>
          <w:tcPr>
            <w:tcW w:w="1132" w:type="dxa"/>
          </w:tcPr>
          <w:p>
            <w:pPr>
              <w:pStyle w:val="TableParagraph"/>
              <w:spacing w:before="22"/>
              <w:ind w:left="126" w:right="111"/>
              <w:rPr>
                <w:rFonts w:ascii="Times New Roman"/>
                <w:sz w:val="21"/>
              </w:rPr>
            </w:pPr>
            <w:r>
              <w:rPr>
                <w:rFonts w:ascii="Times New Roman"/>
                <w:sz w:val="21"/>
              </w:rPr>
              <w:t>41.06</w:t>
            </w:r>
          </w:p>
        </w:tc>
        <w:tc>
          <w:tcPr>
            <w:tcW w:w="1665" w:type="dxa"/>
          </w:tcPr>
          <w:p>
            <w:pPr>
              <w:pStyle w:val="TableParagraph"/>
              <w:spacing w:line="257" w:lineRule="exact" w:before="8"/>
              <w:ind w:left="51" w:right="35"/>
              <w:rPr>
                <w:rFonts w:ascii="Times New Roman" w:eastAsia="Times New Roman"/>
                <w:sz w:val="21"/>
              </w:rPr>
            </w:pPr>
            <w:r>
              <w:rPr>
                <w:sz w:val="21"/>
              </w:rPr>
              <w:t>昼间 </w:t>
            </w:r>
            <w:r>
              <w:rPr>
                <w:rFonts w:ascii="Times New Roman" w:eastAsia="Times New Roman"/>
                <w:sz w:val="21"/>
              </w:rPr>
              <w:t>65/</w:t>
            </w:r>
            <w:r>
              <w:rPr>
                <w:sz w:val="21"/>
              </w:rPr>
              <w:t>夜间 </w:t>
            </w:r>
            <w:r>
              <w:rPr>
                <w:rFonts w:ascii="Times New Roman" w:eastAsia="Times New Roman"/>
                <w:sz w:val="21"/>
              </w:rPr>
              <w:t>55</w:t>
            </w:r>
          </w:p>
        </w:tc>
        <w:tc>
          <w:tcPr>
            <w:tcW w:w="1170" w:type="dxa"/>
          </w:tcPr>
          <w:p>
            <w:pPr>
              <w:pStyle w:val="TableParagraph"/>
              <w:spacing w:line="257" w:lineRule="exact" w:before="8"/>
              <w:ind w:left="147" w:right="128"/>
              <w:rPr>
                <w:sz w:val="21"/>
              </w:rPr>
            </w:pPr>
            <w:r>
              <w:rPr>
                <w:sz w:val="21"/>
              </w:rPr>
              <w:t>达标</w:t>
            </w:r>
          </w:p>
        </w:tc>
      </w:tr>
    </w:tbl>
    <w:p>
      <w:pPr>
        <w:pStyle w:val="BodyText"/>
        <w:spacing w:before="2"/>
        <w:ind w:left="698"/>
      </w:pPr>
      <w:r>
        <w:rPr>
          <w:rFonts w:ascii="Times New Roman" w:eastAsia="Times New Roman"/>
        </w:rPr>
        <w:t>5</w:t>
      </w:r>
      <w:r>
        <w:rPr/>
        <w:t>、结论</w:t>
      </w:r>
    </w:p>
    <w:p>
      <w:pPr>
        <w:pStyle w:val="BodyText"/>
        <w:spacing w:line="364" w:lineRule="auto" w:before="158"/>
        <w:ind w:left="218" w:right="172" w:firstLine="480"/>
      </w:pPr>
      <w:r>
        <w:rPr/>
        <w:t>由上表预测结果可以看出，项目实施后厂界昼夜间噪声排放可以满足《工业企业厂界环境噪声排放标准》</w:t>
      </w:r>
      <w:r>
        <w:rPr>
          <w:rFonts w:ascii="Times New Roman" w:eastAsia="Times New Roman"/>
        </w:rPr>
        <w:t>(GB12348-2008)3 </w:t>
      </w:r>
      <w:r>
        <w:rPr/>
        <w:t>类标准，可实现厂界噪声达标。</w:t>
      </w:r>
    </w:p>
    <w:p>
      <w:pPr>
        <w:pStyle w:val="BodyText"/>
        <w:spacing w:line="364" w:lineRule="auto"/>
        <w:ind w:left="218" w:right="232" w:firstLine="480"/>
      </w:pPr>
      <w:r>
        <w:rPr>
          <w:spacing w:val="-8"/>
        </w:rPr>
        <w:t>另从厂区的位置来看，项目地处工业区，建成后距环境敏感点在 </w:t>
      </w:r>
      <w:r>
        <w:rPr>
          <w:rFonts w:ascii="Times New Roman" w:eastAsia="Times New Roman"/>
        </w:rPr>
        <w:t>1900m </w:t>
      </w:r>
      <w:r>
        <w:rPr>
          <w:spacing w:val="-11"/>
        </w:rPr>
        <w:t>以上，对各</w:t>
      </w:r>
      <w:r>
        <w:rPr/>
        <w:t>敏感点声环境基本无影响。</w:t>
      </w:r>
    </w:p>
    <w:p>
      <w:pPr>
        <w:pStyle w:val="Heading4"/>
        <w:numPr>
          <w:ilvl w:val="2"/>
          <w:numId w:val="23"/>
        </w:numPr>
        <w:tabs>
          <w:tab w:pos="759" w:val="left" w:leader="none"/>
        </w:tabs>
        <w:spacing w:line="306" w:lineRule="exact" w:before="0" w:after="0"/>
        <w:ind w:left="758" w:right="0" w:hanging="541"/>
        <w:jc w:val="left"/>
      </w:pPr>
      <w:r>
        <w:rPr/>
        <w:t>营运期土壤环境影响分析</w:t>
      </w:r>
    </w:p>
    <w:p>
      <w:pPr>
        <w:spacing w:before="160"/>
        <w:ind w:left="701" w:right="0" w:firstLine="0"/>
        <w:jc w:val="left"/>
        <w:rPr>
          <w:b/>
          <w:sz w:val="24"/>
        </w:rPr>
      </w:pPr>
      <w:r>
        <w:rPr>
          <w:rFonts w:ascii="Times New Roman" w:eastAsia="Times New Roman"/>
          <w:b/>
          <w:sz w:val="24"/>
        </w:rPr>
        <w:t>1</w:t>
      </w:r>
      <w:r>
        <w:rPr>
          <w:b/>
          <w:sz w:val="24"/>
        </w:rPr>
        <w:t>、场地土壤情况调查</w:t>
      </w:r>
    </w:p>
    <w:p>
      <w:pPr>
        <w:pStyle w:val="BodyText"/>
        <w:spacing w:line="362" w:lineRule="auto" w:before="161"/>
        <w:ind w:left="218" w:right="172" w:firstLine="480"/>
      </w:pPr>
      <w:r>
        <w:rPr/>
        <w:t>项目所在地与厂区西侧的浙江皇马尚宜新材料有限公司（仅隔经七东路）位于同一区域，所以本报告引用该企业勘探报告的地质条件进行说明。</w:t>
      </w:r>
    </w:p>
    <w:p>
      <w:pPr>
        <w:pStyle w:val="BodyText"/>
        <w:spacing w:before="5"/>
        <w:ind w:left="698"/>
      </w:pPr>
      <w:r>
        <w:rPr/>
        <w:t>根据地基土组成及性状，在勘察深度内，场地地基土从上至下划分为以下 </w:t>
      </w:r>
      <w:r>
        <w:rPr>
          <w:rFonts w:ascii="Times New Roman" w:eastAsia="Times New Roman"/>
        </w:rPr>
        <w:t>6 </w:t>
      </w:r>
      <w:r>
        <w:rPr/>
        <w:t>个工程</w:t>
      </w:r>
    </w:p>
    <w:p>
      <w:pPr>
        <w:pStyle w:val="BodyText"/>
        <w:spacing w:before="158"/>
        <w:ind w:left="218"/>
        <w:jc w:val="both"/>
      </w:pPr>
      <w:r>
        <w:rPr/>
        <w:t>地质层组，细分 </w:t>
      </w:r>
      <w:r>
        <w:rPr>
          <w:rFonts w:ascii="Times New Roman" w:eastAsia="Times New Roman"/>
        </w:rPr>
        <w:t>15 </w:t>
      </w:r>
      <w:r>
        <w:rPr/>
        <w:t>个工程地质层：</w:t>
      </w:r>
    </w:p>
    <w:p>
      <w:pPr>
        <w:spacing w:before="160"/>
        <w:ind w:left="698" w:right="0" w:firstLine="0"/>
        <w:jc w:val="left"/>
        <w:rPr>
          <w:sz w:val="24"/>
        </w:rPr>
      </w:pPr>
      <w:r>
        <w:rPr>
          <w:position w:val="2"/>
          <w:sz w:val="24"/>
        </w:rPr>
        <w:t>①</w:t>
      </w:r>
      <w:r>
        <w:rPr>
          <w:rFonts w:ascii="Times New Roman" w:hAnsi="Times New Roman" w:eastAsia="Times New Roman"/>
          <w:position w:val="2"/>
          <w:sz w:val="24"/>
        </w:rPr>
        <w:t>-1 </w:t>
      </w:r>
      <w:r>
        <w:rPr>
          <w:position w:val="2"/>
          <w:sz w:val="24"/>
        </w:rPr>
        <w:t>层：素填土（</w:t>
      </w:r>
      <w:r>
        <w:rPr>
          <w:rFonts w:ascii="Times New Roman" w:hAnsi="Times New Roman" w:eastAsia="Times New Roman"/>
          <w:position w:val="2"/>
          <w:sz w:val="24"/>
        </w:rPr>
        <w:t>Q</w:t>
      </w:r>
      <w:r>
        <w:rPr>
          <w:rFonts w:ascii="Times New Roman" w:hAnsi="Times New Roman" w:eastAsia="Times New Roman"/>
          <w:sz w:val="16"/>
        </w:rPr>
        <w:t>4 </w:t>
      </w:r>
      <w:r>
        <w:rPr>
          <w:rFonts w:ascii="Times New Roman" w:hAnsi="Times New Roman" w:eastAsia="Times New Roman"/>
          <w:position w:val="11"/>
          <w:sz w:val="16"/>
        </w:rPr>
        <w:t>ml</w:t>
      </w:r>
      <w:r>
        <w:rPr>
          <w:position w:val="2"/>
          <w:sz w:val="24"/>
        </w:rPr>
        <w:t>）</w:t>
      </w:r>
    </w:p>
    <w:p>
      <w:pPr>
        <w:pStyle w:val="BodyText"/>
        <w:spacing w:before="159"/>
        <w:ind w:left="698"/>
      </w:pPr>
      <w:r>
        <w:rPr/>
        <w:t>灰色，松散～稍密，干燥～稍湿，主要成分以前期修建道路及近期整平场地时堆填</w:t>
      </w:r>
    </w:p>
    <w:p>
      <w:pPr>
        <w:pStyle w:val="BodyText"/>
        <w:spacing w:line="364" w:lineRule="auto" w:before="160"/>
        <w:ind w:left="218" w:right="116"/>
        <w:jc w:val="both"/>
      </w:pPr>
      <w:r>
        <w:rPr/>
        <w:t>（</w:t>
      </w:r>
      <w:r>
        <w:rPr>
          <w:spacing w:val="-13"/>
        </w:rPr>
        <w:t>堆填时间 </w:t>
      </w:r>
      <w:r>
        <w:rPr>
          <w:rFonts w:ascii="Times New Roman" w:eastAsia="Times New Roman"/>
        </w:rPr>
        <w:t>1-5 </w:t>
      </w:r>
      <w:r>
        <w:rPr/>
        <w:t>年左右）</w:t>
      </w:r>
      <w:r>
        <w:rPr>
          <w:spacing w:val="-3"/>
        </w:rPr>
        <w:t>的粉土层混粘性土及碎石、砾石，局部含少量建筑垃圾，硬质</w:t>
      </w:r>
      <w:r>
        <w:rPr>
          <w:spacing w:val="-10"/>
        </w:rPr>
        <w:t>含量约占 </w:t>
      </w:r>
      <w:r>
        <w:rPr>
          <w:rFonts w:ascii="Times New Roman" w:eastAsia="Times New Roman"/>
        </w:rPr>
        <w:t>10~20%</w:t>
      </w:r>
      <w:r>
        <w:rPr>
          <w:spacing w:val="-5"/>
        </w:rPr>
        <w:t>，一般粒径为 </w:t>
      </w:r>
      <w:r>
        <w:rPr>
          <w:rFonts w:ascii="Times New Roman" w:eastAsia="Times New Roman"/>
        </w:rPr>
        <w:t>2</w:t>
      </w:r>
      <w:r>
        <w:rPr/>
        <w:t>～</w:t>
      </w:r>
      <w:r>
        <w:rPr>
          <w:rFonts w:ascii="Times New Roman" w:eastAsia="Times New Roman"/>
        </w:rPr>
        <w:t>20mm</w:t>
      </w:r>
      <w:r>
        <w:rPr>
          <w:spacing w:val="-6"/>
        </w:rPr>
        <w:t>，大者可达 </w:t>
      </w:r>
      <w:r>
        <w:rPr>
          <w:rFonts w:ascii="Times New Roman" w:eastAsia="Times New Roman"/>
        </w:rPr>
        <w:t>80.0mm</w:t>
      </w:r>
      <w:r>
        <w:rPr/>
        <w:t>，土质均匀性较差，局部钻孔表层含有植物根系。本层分布不稳定，主要分布场地内西侧道路上及平整场地处， </w:t>
      </w:r>
      <w:r>
        <w:rPr>
          <w:spacing w:val="-33"/>
        </w:rPr>
        <w:t>在 </w:t>
      </w:r>
      <w:r>
        <w:rPr>
          <w:rFonts w:ascii="Times New Roman" w:eastAsia="Times New Roman"/>
        </w:rPr>
        <w:t>Z07</w:t>
      </w:r>
      <w:r>
        <w:rPr>
          <w:spacing w:val="-34"/>
        </w:rPr>
        <w:t>、</w:t>
      </w:r>
      <w:r>
        <w:rPr>
          <w:rFonts w:ascii="Times New Roman" w:eastAsia="Times New Roman"/>
        </w:rPr>
        <w:t>Z26</w:t>
      </w:r>
      <w:r>
        <w:rPr>
          <w:spacing w:val="-34"/>
        </w:rPr>
        <w:t>、</w:t>
      </w:r>
      <w:r>
        <w:rPr>
          <w:rFonts w:ascii="Times New Roman" w:eastAsia="Times New Roman"/>
        </w:rPr>
        <w:t>Z41</w:t>
      </w:r>
      <w:r>
        <w:rPr>
          <w:spacing w:val="-34"/>
        </w:rPr>
        <w:t>、</w:t>
      </w:r>
      <w:r>
        <w:rPr>
          <w:rFonts w:ascii="Times New Roman" w:eastAsia="Times New Roman"/>
        </w:rPr>
        <w:t>Z45</w:t>
      </w:r>
      <w:r>
        <w:rPr>
          <w:spacing w:val="-33"/>
        </w:rPr>
        <w:t>、</w:t>
      </w:r>
      <w:r>
        <w:rPr>
          <w:rFonts w:ascii="Times New Roman" w:eastAsia="Times New Roman"/>
        </w:rPr>
        <w:t>Z46</w:t>
      </w:r>
      <w:r>
        <w:rPr>
          <w:spacing w:val="-34"/>
        </w:rPr>
        <w:t>、</w:t>
      </w:r>
      <w:r>
        <w:rPr>
          <w:rFonts w:ascii="Times New Roman" w:eastAsia="Times New Roman"/>
        </w:rPr>
        <w:t>Z61</w:t>
      </w:r>
      <w:r>
        <w:rPr>
          <w:spacing w:val="-34"/>
        </w:rPr>
        <w:t>、</w:t>
      </w:r>
      <w:r>
        <w:rPr>
          <w:rFonts w:ascii="Times New Roman" w:eastAsia="Times New Roman"/>
        </w:rPr>
        <w:t>Z62</w:t>
      </w:r>
      <w:r>
        <w:rPr>
          <w:spacing w:val="-34"/>
        </w:rPr>
        <w:t>、</w:t>
      </w:r>
      <w:r>
        <w:rPr>
          <w:rFonts w:ascii="Times New Roman" w:eastAsia="Times New Roman"/>
        </w:rPr>
        <w:t>Z79</w:t>
      </w:r>
      <w:r>
        <w:rPr>
          <w:spacing w:val="-34"/>
        </w:rPr>
        <w:t>、</w:t>
      </w:r>
      <w:r>
        <w:rPr>
          <w:rFonts w:ascii="Times New Roman" w:eastAsia="Times New Roman"/>
        </w:rPr>
        <w:t>Z85</w:t>
      </w:r>
      <w:r>
        <w:rPr>
          <w:spacing w:val="-34"/>
        </w:rPr>
        <w:t>、</w:t>
      </w:r>
      <w:r>
        <w:rPr>
          <w:rFonts w:ascii="Times New Roman" w:eastAsia="Times New Roman"/>
        </w:rPr>
        <w:t>Z86</w:t>
      </w:r>
      <w:r>
        <w:rPr>
          <w:spacing w:val="-34"/>
        </w:rPr>
        <w:t>、</w:t>
      </w:r>
      <w:r>
        <w:rPr>
          <w:rFonts w:ascii="Times New Roman" w:eastAsia="Times New Roman"/>
        </w:rPr>
        <w:t>Z102</w:t>
      </w:r>
      <w:r>
        <w:rPr/>
        <w:t>～</w:t>
      </w:r>
      <w:r>
        <w:rPr>
          <w:rFonts w:ascii="Times New Roman" w:eastAsia="Times New Roman"/>
        </w:rPr>
        <w:t>Z104</w:t>
      </w:r>
      <w:r>
        <w:rPr>
          <w:spacing w:val="-34"/>
        </w:rPr>
        <w:t>、</w:t>
      </w:r>
      <w:r>
        <w:rPr>
          <w:rFonts w:ascii="Times New Roman" w:eastAsia="Times New Roman"/>
        </w:rPr>
        <w:t>Z120</w:t>
      </w:r>
      <w:r>
        <w:rPr/>
        <w:t>～</w:t>
      </w:r>
      <w:r>
        <w:rPr>
          <w:rFonts w:ascii="Times New Roman" w:eastAsia="Times New Roman"/>
        </w:rPr>
        <w:t>Z124</w:t>
      </w:r>
      <w:r>
        <w:rPr/>
        <w:t>、</w:t>
      </w:r>
    </w:p>
    <w:p>
      <w:pPr>
        <w:pStyle w:val="BodyText"/>
        <w:spacing w:line="362" w:lineRule="auto"/>
        <w:ind w:left="218" w:right="232"/>
        <w:jc w:val="both"/>
      </w:pPr>
      <w:r>
        <w:rPr>
          <w:rFonts w:ascii="Times New Roman" w:eastAsia="Times New Roman"/>
        </w:rPr>
        <w:t>Z138</w:t>
      </w:r>
      <w:r>
        <w:rPr/>
        <w:t>～</w:t>
      </w:r>
      <w:r>
        <w:rPr>
          <w:rFonts w:ascii="Times New Roman" w:eastAsia="Times New Roman"/>
        </w:rPr>
        <w:t>Z142</w:t>
      </w:r>
      <w:r>
        <w:rPr/>
        <w:t>、</w:t>
      </w:r>
      <w:r>
        <w:rPr>
          <w:rFonts w:ascii="Times New Roman" w:eastAsia="Times New Roman"/>
        </w:rPr>
        <w:t>Z156</w:t>
      </w:r>
      <w:r>
        <w:rPr/>
        <w:t>～</w:t>
      </w:r>
      <w:r>
        <w:rPr>
          <w:rFonts w:ascii="Times New Roman" w:eastAsia="Times New Roman"/>
        </w:rPr>
        <w:t>Z160</w:t>
      </w:r>
      <w:r>
        <w:rPr/>
        <w:t>、</w:t>
      </w:r>
      <w:r>
        <w:rPr>
          <w:rFonts w:ascii="Times New Roman" w:eastAsia="Times New Roman"/>
        </w:rPr>
        <w:t>Z174</w:t>
      </w:r>
      <w:r>
        <w:rPr/>
        <w:t>～</w:t>
      </w:r>
      <w:r>
        <w:rPr>
          <w:rFonts w:ascii="Times New Roman" w:eastAsia="Times New Roman"/>
        </w:rPr>
        <w:t>Z177 </w:t>
      </w:r>
      <w:r>
        <w:rPr/>
        <w:t>等孔分布，层厚为 </w:t>
      </w:r>
      <w:r>
        <w:rPr>
          <w:rFonts w:ascii="Times New Roman" w:eastAsia="Times New Roman"/>
        </w:rPr>
        <w:t>0.80</w:t>
      </w:r>
      <w:r>
        <w:rPr/>
        <w:t>～</w:t>
      </w:r>
      <w:r>
        <w:rPr>
          <w:rFonts w:ascii="Times New Roman" w:eastAsia="Times New Roman"/>
        </w:rPr>
        <w:t>9.60m</w:t>
      </w:r>
      <w:r>
        <w:rPr/>
        <w:t>，层面高程为</w:t>
      </w:r>
      <w:r>
        <w:rPr>
          <w:rFonts w:ascii="Times New Roman" w:eastAsia="Times New Roman"/>
        </w:rPr>
        <w:t>3.61m</w:t>
      </w:r>
      <w:r>
        <w:rPr/>
        <w:t>～</w:t>
      </w:r>
      <w:r>
        <w:rPr>
          <w:rFonts w:ascii="Times New Roman" w:eastAsia="Times New Roman"/>
        </w:rPr>
        <w:t>9.17m</w:t>
      </w:r>
      <w:r>
        <w:rPr/>
        <w:t>。</w:t>
      </w:r>
    </w:p>
    <w:p>
      <w:pPr>
        <w:spacing w:before="2"/>
        <w:ind w:left="698" w:right="0" w:firstLine="0"/>
        <w:jc w:val="both"/>
        <w:rPr>
          <w:sz w:val="24"/>
        </w:rPr>
      </w:pPr>
      <w:r>
        <w:rPr>
          <w:position w:val="2"/>
          <w:sz w:val="24"/>
        </w:rPr>
        <w:t>①</w:t>
      </w:r>
      <w:r>
        <w:rPr>
          <w:rFonts w:ascii="Times New Roman" w:hAnsi="Times New Roman" w:eastAsia="Times New Roman"/>
          <w:position w:val="2"/>
          <w:sz w:val="24"/>
        </w:rPr>
        <w:t>-2 </w:t>
      </w:r>
      <w:r>
        <w:rPr>
          <w:position w:val="2"/>
          <w:sz w:val="24"/>
        </w:rPr>
        <w:t>层：冲填土（</w:t>
      </w:r>
      <w:r>
        <w:rPr>
          <w:rFonts w:ascii="Times New Roman" w:hAnsi="Times New Roman" w:eastAsia="Times New Roman"/>
          <w:position w:val="2"/>
          <w:sz w:val="24"/>
        </w:rPr>
        <w:t>Q</w:t>
      </w:r>
      <w:r>
        <w:rPr>
          <w:rFonts w:ascii="Times New Roman" w:hAnsi="Times New Roman" w:eastAsia="Times New Roman"/>
          <w:sz w:val="16"/>
        </w:rPr>
        <w:t>4 </w:t>
      </w:r>
      <w:r>
        <w:rPr>
          <w:rFonts w:ascii="Times New Roman" w:hAnsi="Times New Roman" w:eastAsia="Times New Roman"/>
          <w:position w:val="11"/>
          <w:sz w:val="16"/>
        </w:rPr>
        <w:t>ml</w:t>
      </w:r>
      <w:r>
        <w:rPr>
          <w:position w:val="2"/>
          <w:sz w:val="24"/>
        </w:rPr>
        <w:t>）：</w:t>
      </w:r>
    </w:p>
    <w:p>
      <w:pPr>
        <w:pStyle w:val="BodyText"/>
        <w:spacing w:line="364" w:lineRule="auto" w:before="159"/>
        <w:ind w:left="218" w:right="232" w:firstLine="480"/>
        <w:jc w:val="both"/>
      </w:pPr>
      <w:r>
        <w:rPr>
          <w:spacing w:val="-3"/>
        </w:rPr>
        <w:t>灰色，稍湿</w:t>
      </w:r>
      <w:r>
        <w:rPr/>
        <w:t>～</w:t>
      </w:r>
      <w:r>
        <w:rPr>
          <w:spacing w:val="-7"/>
        </w:rPr>
        <w:t>饱和，松散为主，局部稍密，表层含有植物根系，本层冲填而成，摇</w:t>
      </w:r>
      <w:r>
        <w:rPr>
          <w:spacing w:val="-11"/>
        </w:rPr>
        <w:t>振反应中等，土切面无光泽，干强度、韧性中等，取原状样常规试验为粘质粉土。本层</w:t>
      </w:r>
      <w:r>
        <w:rPr/>
        <w:t>分布不稳定，在 </w:t>
      </w:r>
      <w:r>
        <w:rPr>
          <w:rFonts w:ascii="Times New Roman" w:eastAsia="Times New Roman"/>
        </w:rPr>
        <w:t>Z07</w:t>
      </w:r>
      <w:r>
        <w:rPr/>
        <w:t>、</w:t>
      </w:r>
      <w:r>
        <w:rPr>
          <w:rFonts w:ascii="Times New Roman" w:eastAsia="Times New Roman"/>
        </w:rPr>
        <w:t>Z26</w:t>
      </w:r>
      <w:r>
        <w:rPr/>
        <w:t>、</w:t>
      </w:r>
      <w:r>
        <w:rPr>
          <w:rFonts w:ascii="Times New Roman" w:eastAsia="Times New Roman"/>
        </w:rPr>
        <w:t>Z45</w:t>
      </w:r>
      <w:r>
        <w:rPr/>
        <w:t>、</w:t>
      </w:r>
      <w:r>
        <w:rPr>
          <w:rFonts w:ascii="Times New Roman" w:eastAsia="Times New Roman"/>
        </w:rPr>
        <w:t>Z46</w:t>
      </w:r>
      <w:r>
        <w:rPr/>
        <w:t>、</w:t>
      </w:r>
      <w:r>
        <w:rPr>
          <w:rFonts w:ascii="Times New Roman" w:eastAsia="Times New Roman"/>
        </w:rPr>
        <w:t>Z61</w:t>
      </w:r>
      <w:r>
        <w:rPr/>
        <w:t>、</w:t>
      </w:r>
      <w:r>
        <w:rPr>
          <w:rFonts w:ascii="Times New Roman" w:eastAsia="Times New Roman"/>
        </w:rPr>
        <w:t>Z62</w:t>
      </w:r>
      <w:r>
        <w:rPr/>
        <w:t>、</w:t>
      </w:r>
      <w:r>
        <w:rPr>
          <w:rFonts w:ascii="Times New Roman" w:eastAsia="Times New Roman"/>
        </w:rPr>
        <w:t>Z79</w:t>
      </w:r>
      <w:r>
        <w:rPr/>
        <w:t>、</w:t>
      </w:r>
      <w:r>
        <w:rPr>
          <w:rFonts w:ascii="Times New Roman" w:eastAsia="Times New Roman"/>
        </w:rPr>
        <w:t>Z85</w:t>
      </w:r>
      <w:r>
        <w:rPr/>
        <w:t>、</w:t>
      </w:r>
      <w:r>
        <w:rPr>
          <w:rFonts w:ascii="Times New Roman" w:eastAsia="Times New Roman"/>
        </w:rPr>
        <w:t>Z102</w:t>
      </w:r>
      <w:r>
        <w:rPr/>
        <w:t>、</w:t>
      </w:r>
      <w:r>
        <w:rPr>
          <w:rFonts w:ascii="Times New Roman" w:eastAsia="Times New Roman"/>
        </w:rPr>
        <w:t>Z120</w:t>
      </w:r>
      <w:r>
        <w:rPr/>
        <w:t>、</w:t>
      </w:r>
      <w:r>
        <w:rPr>
          <w:rFonts w:ascii="Times New Roman" w:eastAsia="Times New Roman"/>
        </w:rPr>
        <w:t>Z138</w:t>
      </w:r>
      <w:r>
        <w:rPr/>
        <w:t>、</w:t>
      </w:r>
      <w:r>
        <w:rPr>
          <w:rFonts w:ascii="Times New Roman" w:eastAsia="Times New Roman"/>
        </w:rPr>
        <w:t>Z156</w:t>
      </w:r>
      <w:r>
        <w:rPr/>
        <w:t>、</w:t>
      </w:r>
      <w:r>
        <w:rPr>
          <w:rFonts w:ascii="Times New Roman" w:eastAsia="Times New Roman"/>
        </w:rPr>
        <w:t>Z174 </w:t>
      </w:r>
      <w:r>
        <w:rPr>
          <w:spacing w:val="-7"/>
        </w:rPr>
        <w:t>等孔缺失。层厚为 </w:t>
      </w:r>
      <w:r>
        <w:rPr>
          <w:rFonts w:ascii="Times New Roman" w:eastAsia="Times New Roman"/>
        </w:rPr>
        <w:t>0.40</w:t>
      </w:r>
      <w:r>
        <w:rPr/>
        <w:t>～</w:t>
      </w:r>
      <w:r>
        <w:rPr>
          <w:rFonts w:ascii="Times New Roman" w:eastAsia="Times New Roman"/>
        </w:rPr>
        <w:t>2.50m</w:t>
      </w:r>
      <w:r>
        <w:rPr>
          <w:spacing w:val="-9"/>
        </w:rPr>
        <w:t>，层面高程为 </w:t>
      </w:r>
      <w:r>
        <w:rPr>
          <w:rFonts w:ascii="Times New Roman" w:eastAsia="Times New Roman"/>
        </w:rPr>
        <w:t>2.85</w:t>
      </w:r>
      <w:r>
        <w:rPr/>
        <w:t>～</w:t>
      </w:r>
      <w:r>
        <w:rPr>
          <w:rFonts w:ascii="Times New Roman" w:eastAsia="Times New Roman"/>
        </w:rPr>
        <w:t>4.59m</w:t>
      </w:r>
      <w:r>
        <w:rPr/>
        <w:t>。</w:t>
      </w:r>
    </w:p>
    <w:p>
      <w:pPr>
        <w:spacing w:after="0" w:line="364" w:lineRule="auto"/>
        <w:jc w:val="both"/>
        <w:sectPr>
          <w:pgSz w:w="11910" w:h="16840"/>
          <w:pgMar w:header="872" w:footer="803" w:top="1320" w:bottom="1000" w:left="1200" w:right="1180"/>
        </w:sectPr>
      </w:pPr>
    </w:p>
    <w:p>
      <w:pPr>
        <w:spacing w:before="83"/>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-1 </w:t>
      </w:r>
      <w:r>
        <w:rPr>
          <w:position w:val="2"/>
          <w:sz w:val="24"/>
        </w:rPr>
        <w:t>层：粘质粉土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0"/>
        <w:ind w:left="218" w:right="233" w:firstLine="559"/>
      </w:pPr>
      <w:r>
        <w:rPr/>
        <w:t>灰黄色，松散，很湿，成分主要以粉粒为主，局部粘粒含量较高，相变为粘性土</w:t>
      </w:r>
      <w:r>
        <w:rPr>
          <w:spacing w:val="-7"/>
        </w:rPr>
        <w:t>及淤泥质粉质粘土，土切面较粗糙无光泽，摇震反应中等，干强度、韧性中等。属中偏</w:t>
      </w:r>
      <w:r>
        <w:rPr/>
        <w:t>高压缩性土，土质均匀较差。标准贯入试验</w:t>
      </w:r>
      <w:r>
        <w:rPr>
          <w:rFonts w:ascii="Times New Roman" w:eastAsia="Times New Roman"/>
        </w:rPr>
        <w:t>(N)</w:t>
      </w:r>
      <w:r>
        <w:rPr>
          <w:spacing w:val="-13"/>
        </w:rPr>
        <w:t>实击数为 </w:t>
      </w:r>
      <w:r>
        <w:rPr>
          <w:rFonts w:ascii="Times New Roman" w:eastAsia="Times New Roman"/>
        </w:rPr>
        <w:t>3</w:t>
      </w:r>
      <w:r>
        <w:rPr/>
        <w:t>～</w:t>
      </w:r>
      <w:r>
        <w:rPr>
          <w:rFonts w:ascii="Times New Roman" w:eastAsia="Times New Roman"/>
        </w:rPr>
        <w:t>8 </w:t>
      </w:r>
      <w:r>
        <w:rPr/>
        <w:t>击</w:t>
      </w:r>
      <w:r>
        <w:rPr>
          <w:rFonts w:ascii="Times New Roman" w:eastAsia="Times New Roman"/>
        </w:rPr>
        <w:t>/30cm</w:t>
      </w:r>
      <w:r>
        <w:rPr/>
        <w:t>。该层分布不稳</w:t>
      </w:r>
      <w:r>
        <w:rPr>
          <w:spacing w:val="-6"/>
        </w:rPr>
        <w:t>定，本层分布不稳定，在 </w:t>
      </w:r>
      <w:r>
        <w:rPr>
          <w:rFonts w:ascii="Times New Roman" w:eastAsia="Times New Roman"/>
        </w:rPr>
        <w:t>Z07</w:t>
      </w:r>
      <w:r>
        <w:rPr/>
        <w:t>、</w:t>
      </w:r>
      <w:r>
        <w:rPr>
          <w:rFonts w:ascii="Times New Roman" w:eastAsia="Times New Roman"/>
        </w:rPr>
        <w:t>Z26</w:t>
      </w:r>
      <w:r>
        <w:rPr/>
        <w:t>、</w:t>
      </w:r>
      <w:r>
        <w:rPr>
          <w:rFonts w:ascii="Times New Roman" w:eastAsia="Times New Roman"/>
        </w:rPr>
        <w:t>Z46</w:t>
      </w:r>
      <w:r>
        <w:rPr/>
        <w:t>、</w:t>
      </w:r>
      <w:r>
        <w:rPr>
          <w:rFonts w:ascii="Times New Roman" w:eastAsia="Times New Roman"/>
        </w:rPr>
        <w:t>Z62 </w:t>
      </w:r>
      <w:r>
        <w:rPr>
          <w:spacing w:val="-7"/>
        </w:rPr>
        <w:t>等孔缺失。层面高程 </w:t>
      </w:r>
      <w:r>
        <w:rPr>
          <w:rFonts w:ascii="Times New Roman" w:eastAsia="Times New Roman"/>
        </w:rPr>
        <w:t>0.97</w:t>
      </w:r>
      <w:r>
        <w:rPr/>
        <w:t>～</w:t>
      </w:r>
      <w:r>
        <w:rPr>
          <w:rFonts w:ascii="Times New Roman" w:eastAsia="Times New Roman"/>
        </w:rPr>
        <w:t>5.36m</w:t>
      </w:r>
      <w:r>
        <w:rPr/>
        <w:t>，层</w:t>
      </w:r>
      <w:r>
        <w:rPr>
          <w:spacing w:val="-31"/>
        </w:rPr>
        <w:t>厚 </w:t>
      </w:r>
      <w:r>
        <w:rPr>
          <w:rFonts w:ascii="Times New Roman" w:eastAsia="Times New Roman"/>
        </w:rPr>
        <w:t>0.70</w:t>
      </w:r>
      <w:r>
        <w:rPr/>
        <w:t>～</w:t>
      </w:r>
      <w:r>
        <w:rPr>
          <w:rFonts w:ascii="Times New Roman" w:eastAsia="Times New Roman"/>
        </w:rPr>
        <w:t>5.70m</w:t>
      </w:r>
      <w:r>
        <w:rPr/>
        <w:t>。</w:t>
      </w:r>
    </w:p>
    <w:p>
      <w:pPr>
        <w:spacing w:line="305" w:lineRule="exact" w:before="0"/>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-2 </w:t>
      </w:r>
      <w:r>
        <w:rPr>
          <w:position w:val="2"/>
          <w:sz w:val="24"/>
        </w:rPr>
        <w:t>层：粘质粉土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1"/>
        <w:ind w:left="218" w:right="109" w:firstLine="559"/>
      </w:pPr>
      <w:r>
        <w:rPr/>
        <w:t>灰色，松散为主，局部稍密，很湿，成分主要以粉粒为主，局部砂粒含量偏高， </w:t>
      </w:r>
      <w:r>
        <w:rPr>
          <w:spacing w:val="-11"/>
        </w:rPr>
        <w:t>土切面较粗糙无光泽，摇震反应中等，干强度、韧性中等。属中压缩性土，土质较均匀。</w:t>
      </w:r>
      <w:r>
        <w:rPr/>
        <w:t>标准贯入试验</w:t>
      </w:r>
      <w:r>
        <w:rPr>
          <w:rFonts w:ascii="Times New Roman" w:eastAsia="Times New Roman"/>
        </w:rPr>
        <w:t>(N)</w:t>
      </w:r>
      <w:r>
        <w:rPr>
          <w:spacing w:val="-13"/>
        </w:rPr>
        <w:t>实击数为 </w:t>
      </w:r>
      <w:r>
        <w:rPr>
          <w:rFonts w:ascii="Times New Roman" w:eastAsia="Times New Roman"/>
        </w:rPr>
        <w:t>5</w:t>
      </w:r>
      <w:r>
        <w:rPr/>
        <w:t>～</w:t>
      </w:r>
      <w:r>
        <w:rPr>
          <w:rFonts w:ascii="Times New Roman" w:eastAsia="Times New Roman"/>
        </w:rPr>
        <w:t>10</w:t>
      </w:r>
      <w:r>
        <w:rPr>
          <w:rFonts w:ascii="Times New Roman" w:eastAsia="Times New Roman"/>
          <w:spacing w:val="-3"/>
        </w:rPr>
        <w:t> </w:t>
      </w:r>
      <w:r>
        <w:rPr/>
        <w:t>击</w:t>
      </w:r>
      <w:r>
        <w:rPr>
          <w:rFonts w:ascii="Times New Roman" w:eastAsia="Times New Roman"/>
        </w:rPr>
        <w:t>/30cm</w:t>
      </w:r>
      <w:r>
        <w:rPr>
          <w:spacing w:val="-8"/>
        </w:rPr>
        <w:t>。该层分布不稳定，在 </w:t>
      </w:r>
      <w:r>
        <w:rPr>
          <w:rFonts w:ascii="Times New Roman" w:eastAsia="Times New Roman"/>
        </w:rPr>
        <w:t>J63</w:t>
      </w:r>
      <w:r>
        <w:rPr>
          <w:spacing w:val="-3"/>
        </w:rPr>
        <w:t>、</w:t>
      </w:r>
      <w:r>
        <w:rPr>
          <w:rFonts w:ascii="Times New Roman" w:eastAsia="Times New Roman"/>
        </w:rPr>
        <w:t>Z07</w:t>
      </w:r>
      <w:r>
        <w:rPr/>
        <w:t>、</w:t>
      </w:r>
      <w:r>
        <w:rPr>
          <w:rFonts w:ascii="Times New Roman" w:eastAsia="Times New Roman"/>
        </w:rPr>
        <w:t>Z26</w:t>
      </w:r>
      <w:r>
        <w:rPr>
          <w:spacing w:val="-3"/>
        </w:rPr>
        <w:t>、</w:t>
      </w:r>
      <w:r>
        <w:rPr>
          <w:rFonts w:ascii="Times New Roman" w:eastAsia="Times New Roman"/>
        </w:rPr>
        <w:t>Z46</w:t>
      </w:r>
      <w:r>
        <w:rPr/>
        <w:t>、</w:t>
      </w:r>
      <w:r>
        <w:rPr>
          <w:rFonts w:ascii="Times New Roman" w:eastAsia="Times New Roman"/>
        </w:rPr>
        <w:t>Z62</w:t>
      </w:r>
      <w:r>
        <w:rPr>
          <w:rFonts w:ascii="Times New Roman" w:eastAsia="Times New Roman"/>
          <w:spacing w:val="-2"/>
        </w:rPr>
        <w:t> </w:t>
      </w:r>
      <w:r>
        <w:rPr/>
        <w:t>等孔缺失。层面高程</w:t>
      </w:r>
      <w:r>
        <w:rPr>
          <w:rFonts w:ascii="Times New Roman" w:eastAsia="Times New Roman"/>
        </w:rPr>
        <w:t>-3.42</w:t>
      </w:r>
      <w:r>
        <w:rPr/>
        <w:t>～</w:t>
      </w:r>
      <w:r>
        <w:rPr>
          <w:rFonts w:ascii="Times New Roman" w:eastAsia="Times New Roman"/>
        </w:rPr>
        <w:t>2.15m</w:t>
      </w:r>
      <w:r>
        <w:rPr>
          <w:spacing w:val="-15"/>
        </w:rPr>
        <w:t>，层厚 </w:t>
      </w:r>
      <w:r>
        <w:rPr>
          <w:rFonts w:ascii="Times New Roman" w:eastAsia="Times New Roman"/>
        </w:rPr>
        <w:t>0.80</w:t>
      </w:r>
      <w:r>
        <w:rPr/>
        <w:t>～</w:t>
      </w:r>
      <w:r>
        <w:rPr>
          <w:rFonts w:ascii="Times New Roman" w:eastAsia="Times New Roman"/>
        </w:rPr>
        <w:t>6.20m</w:t>
      </w:r>
      <w:r>
        <w:rPr/>
        <w:t>。</w:t>
      </w:r>
    </w:p>
    <w:p>
      <w:pPr>
        <w:spacing w:line="305" w:lineRule="exact" w:before="0"/>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-3 </w:t>
      </w:r>
      <w:r>
        <w:rPr>
          <w:position w:val="2"/>
          <w:sz w:val="24"/>
        </w:rPr>
        <w:t>层：粘质粉土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59"/>
        <w:ind w:left="218" w:right="112" w:firstLine="559"/>
      </w:pPr>
      <w:r>
        <w:rPr>
          <w:spacing w:val="-3"/>
        </w:rPr>
        <w:t>灰色，松散，很湿，成分主要以粉粒为主，局部砂粒含量较高，相变为砂质粉土， </w:t>
      </w:r>
      <w:r>
        <w:rPr>
          <w:spacing w:val="-14"/>
        </w:rPr>
        <w:t>土切面较粗糙无光泽，摇震反应中等，干强度、韧性中等。属中压缩性土，土质较均匀。</w:t>
      </w:r>
      <w:r>
        <w:rPr/>
        <w:t>标准贯入试验</w:t>
      </w:r>
      <w:r>
        <w:rPr>
          <w:rFonts w:ascii="Times New Roman" w:hAnsi="Times New Roman" w:eastAsia="Times New Roman"/>
        </w:rPr>
        <w:t>(N)</w:t>
      </w:r>
      <w:r>
        <w:rPr>
          <w:spacing w:val="-13"/>
        </w:rPr>
        <w:t>实击数为 </w:t>
      </w:r>
      <w:r>
        <w:rPr>
          <w:rFonts w:ascii="Times New Roman" w:hAnsi="Times New Roman" w:eastAsia="Times New Roman"/>
        </w:rPr>
        <w:t>3</w:t>
      </w:r>
      <w:r>
        <w:rPr/>
        <w:t>～</w:t>
      </w:r>
      <w:r>
        <w:rPr>
          <w:rFonts w:ascii="Times New Roman" w:hAnsi="Times New Roman" w:eastAsia="Times New Roman"/>
        </w:rPr>
        <w:t>9 </w:t>
      </w:r>
      <w:r>
        <w:rPr/>
        <w:t>击</w:t>
      </w:r>
      <w:r>
        <w:rPr>
          <w:rFonts w:ascii="Times New Roman" w:hAnsi="Times New Roman" w:eastAsia="Times New Roman"/>
        </w:rPr>
        <w:t>/30cm</w:t>
      </w:r>
      <w:r>
        <w:rPr/>
        <w:t>。该层分布稳定。层面高程</w:t>
      </w:r>
      <w:r>
        <w:rPr>
          <w:rFonts w:ascii="Times New Roman" w:hAnsi="Times New Roman" w:eastAsia="Times New Roman"/>
        </w:rPr>
        <w:t>—5.99</w:t>
      </w:r>
      <w:r>
        <w:rPr/>
        <w:t>～</w:t>
      </w:r>
      <w:r>
        <w:rPr>
          <w:rFonts w:ascii="Times New Roman" w:hAnsi="Times New Roman" w:eastAsia="Times New Roman"/>
        </w:rPr>
        <w:t>0.45m</w:t>
      </w:r>
      <w:r>
        <w:rPr/>
        <w:t>，层</w:t>
      </w:r>
      <w:r>
        <w:rPr>
          <w:spacing w:val="-31"/>
        </w:rPr>
        <w:t>厚 </w:t>
      </w:r>
      <w:r>
        <w:rPr>
          <w:rFonts w:ascii="Times New Roman" w:hAnsi="Times New Roman" w:eastAsia="Times New Roman"/>
        </w:rPr>
        <w:t>1.20</w:t>
      </w:r>
      <w:r>
        <w:rPr/>
        <w:t>～</w:t>
      </w:r>
      <w:r>
        <w:rPr>
          <w:rFonts w:ascii="Times New Roman" w:hAnsi="Times New Roman" w:eastAsia="Times New Roman"/>
        </w:rPr>
        <w:t>10.00m</w:t>
      </w:r>
      <w:r>
        <w:rPr/>
        <w:t>。</w:t>
      </w:r>
    </w:p>
    <w:p>
      <w:pPr>
        <w:spacing w:line="304" w:lineRule="exact" w:before="0"/>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-4 </w:t>
      </w:r>
      <w:r>
        <w:rPr>
          <w:position w:val="2"/>
          <w:sz w:val="24"/>
        </w:rPr>
        <w:t>层：砂质粉土夹粘质粉土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2"/>
        <w:ind w:left="218" w:right="112" w:firstLine="559"/>
      </w:pPr>
      <w:r>
        <w:rPr>
          <w:spacing w:val="-4"/>
        </w:rPr>
        <w:t>灰色，稍密</w:t>
      </w:r>
      <w:r>
        <w:rPr>
          <w:rFonts w:ascii="Times New Roman" w:eastAsia="Times New Roman"/>
        </w:rPr>
        <w:t>-</w:t>
      </w:r>
      <w:r>
        <w:rPr>
          <w:spacing w:val="-9"/>
        </w:rPr>
        <w:t>中密，湿，局部粘粒含量较高，相变为粘质粉土，土切面粗糙无光泽， </w:t>
      </w:r>
      <w:r>
        <w:rPr>
          <w:spacing w:val="-12"/>
        </w:rPr>
        <w:t>摇震反应迅速，干强度、韧性中等。属中偏低压缩性土，土质较均匀。标准贯入试验</w:t>
      </w:r>
      <w:r>
        <w:rPr>
          <w:rFonts w:ascii="Times New Roman" w:eastAsia="Times New Roman"/>
        </w:rPr>
        <w:t>(N) </w:t>
      </w:r>
      <w:r>
        <w:rPr>
          <w:spacing w:val="-13"/>
        </w:rPr>
        <w:t>实击数为 </w:t>
      </w:r>
      <w:r>
        <w:rPr>
          <w:rFonts w:ascii="Times New Roman" w:eastAsia="Times New Roman"/>
        </w:rPr>
        <w:t>11</w:t>
      </w:r>
      <w:r>
        <w:rPr/>
        <w:t>～</w:t>
      </w:r>
      <w:r>
        <w:rPr>
          <w:rFonts w:ascii="Times New Roman" w:eastAsia="Times New Roman"/>
        </w:rPr>
        <w:t>18 </w:t>
      </w:r>
      <w:r>
        <w:rPr/>
        <w:t>击</w:t>
      </w:r>
      <w:r>
        <w:rPr>
          <w:rFonts w:ascii="Times New Roman" w:eastAsia="Times New Roman"/>
        </w:rPr>
        <w:t>/30cm</w:t>
      </w:r>
      <w:r>
        <w:rPr>
          <w:spacing w:val="-10"/>
        </w:rPr>
        <w:t>。该层分布稳定。层面高程</w:t>
      </w:r>
      <w:r>
        <w:rPr>
          <w:rFonts w:ascii="Times New Roman" w:eastAsia="Times New Roman"/>
          <w:spacing w:val="-5"/>
        </w:rPr>
        <w:t>-11.73</w:t>
      </w:r>
      <w:r>
        <w:rPr>
          <w:spacing w:val="-5"/>
        </w:rPr>
        <w:t>～</w:t>
      </w:r>
      <w:r>
        <w:rPr>
          <w:rFonts w:ascii="Times New Roman" w:eastAsia="Times New Roman"/>
          <w:spacing w:val="-5"/>
        </w:rPr>
        <w:t>-3.63m</w:t>
      </w:r>
      <w:r>
        <w:rPr>
          <w:spacing w:val="-17"/>
        </w:rPr>
        <w:t>，层厚 </w:t>
      </w:r>
      <w:r>
        <w:rPr>
          <w:rFonts w:ascii="Times New Roman" w:eastAsia="Times New Roman"/>
        </w:rPr>
        <w:t>1.10</w:t>
      </w:r>
      <w:r>
        <w:rPr/>
        <w:t>～</w:t>
      </w:r>
      <w:r>
        <w:rPr>
          <w:rFonts w:ascii="Times New Roman" w:eastAsia="Times New Roman"/>
        </w:rPr>
        <w:t>8.60m</w:t>
      </w:r>
      <w:r>
        <w:rPr>
          <w:spacing w:val="-12"/>
        </w:rPr>
        <w:t>。</w:t>
      </w:r>
    </w:p>
    <w:p>
      <w:pPr>
        <w:spacing w:line="304" w:lineRule="exact" w:before="0"/>
        <w:ind w:left="778" w:right="0" w:firstLine="0"/>
        <w:jc w:val="left"/>
        <w:rPr>
          <w:rFonts w:ascii="Times New Roman" w:hAnsi="Times New Roman" w:eastAsia="Times New Roman"/>
          <w:sz w:val="24"/>
        </w:rPr>
      </w:pPr>
      <w:r>
        <w:rPr>
          <w:position w:val="2"/>
          <w:sz w:val="24"/>
        </w:rPr>
        <w:t>②</w:t>
      </w:r>
      <w:r>
        <w:rPr>
          <w:rFonts w:ascii="Times New Roman" w:hAnsi="Times New Roman" w:eastAsia="Times New Roman"/>
          <w:position w:val="2"/>
          <w:sz w:val="24"/>
        </w:rPr>
        <w:t>-5 </w:t>
      </w:r>
      <w:r>
        <w:rPr>
          <w:position w:val="2"/>
          <w:sz w:val="24"/>
        </w:rPr>
        <w:t>层：砂质粉土</w:t>
      </w:r>
      <w:r>
        <w:rPr>
          <w:rFonts w:ascii="Times New Roman" w:hAnsi="Times New Roman" w:eastAsia="Times New Roman"/>
          <w:position w:val="2"/>
          <w:sz w:val="24"/>
        </w:rPr>
        <w:t>(Q</w:t>
      </w:r>
      <w:r>
        <w:rPr>
          <w:rFonts w:ascii="Times New Roman" w:hAnsi="Times New Roman" w:eastAsia="Times New Roman"/>
          <w:sz w:val="16"/>
        </w:rPr>
        <w:t>4</w:t>
      </w:r>
      <w:r>
        <w:rPr>
          <w:rFonts w:ascii="Times New Roman" w:hAnsi="Times New Roman" w:eastAsia="Times New Roman"/>
          <w:position w:val="11"/>
          <w:sz w:val="16"/>
        </w:rPr>
        <w:t>al-m</w:t>
      </w:r>
      <w:r>
        <w:rPr>
          <w:rFonts w:ascii="Times New Roman" w:hAnsi="Times New Roman" w:eastAsia="Times New Roman"/>
          <w:position w:val="2"/>
          <w:sz w:val="24"/>
        </w:rPr>
        <w:t>)</w:t>
      </w:r>
    </w:p>
    <w:p>
      <w:pPr>
        <w:pStyle w:val="BodyText"/>
        <w:spacing w:line="364" w:lineRule="auto" w:before="161"/>
        <w:ind w:left="218" w:right="114" w:firstLine="559"/>
      </w:pPr>
      <w:r>
        <w:rPr/>
        <w:t>灰色，中密为主，局部稍密及密实，湿，局部粘粒含量较高，相变为粘质粉土， </w:t>
      </w:r>
      <w:r>
        <w:rPr>
          <w:spacing w:val="-6"/>
        </w:rPr>
        <w:t>土切面粗糙无光泽，摇震反应迅速，干强度、韧性中等。属中偏低压缩性土，土质较均</w:t>
      </w:r>
      <w:r>
        <w:rPr>
          <w:spacing w:val="-17"/>
        </w:rPr>
        <w:t>匀。标准贯入试验</w:t>
      </w:r>
      <w:r>
        <w:rPr>
          <w:rFonts w:ascii="Times New Roman" w:eastAsia="Times New Roman"/>
        </w:rPr>
        <w:t>(N)</w:t>
      </w:r>
      <w:r>
        <w:rPr>
          <w:spacing w:val="-15"/>
        </w:rPr>
        <w:t>实击数为 </w:t>
      </w:r>
      <w:r>
        <w:rPr>
          <w:rFonts w:ascii="Times New Roman" w:eastAsia="Times New Roman"/>
        </w:rPr>
        <w:t>15</w:t>
      </w:r>
      <w:r>
        <w:rPr/>
        <w:t>～</w:t>
      </w:r>
      <w:r>
        <w:rPr>
          <w:rFonts w:ascii="Times New Roman" w:eastAsia="Times New Roman"/>
        </w:rPr>
        <w:t>26</w:t>
      </w:r>
      <w:r>
        <w:rPr>
          <w:rFonts w:ascii="Times New Roman" w:eastAsia="Times New Roman"/>
          <w:spacing w:val="-12"/>
        </w:rPr>
        <w:t> </w:t>
      </w:r>
      <w:r>
        <w:rPr/>
        <w:t>击</w:t>
      </w:r>
      <w:r>
        <w:rPr>
          <w:rFonts w:ascii="Times New Roman" w:eastAsia="Times New Roman"/>
        </w:rPr>
        <w:t>/30cm</w:t>
      </w:r>
      <w:r>
        <w:rPr>
          <w:spacing w:val="-22"/>
        </w:rPr>
        <w:t>。该层分布稳定。层面高程</w:t>
      </w:r>
      <w:r>
        <w:rPr>
          <w:rFonts w:ascii="Times New Roman" w:eastAsia="Times New Roman"/>
        </w:rPr>
        <w:t>-17.31</w:t>
      </w:r>
      <w:r>
        <w:rPr/>
        <w:t>～</w:t>
      </w:r>
      <w:r>
        <w:rPr>
          <w:rFonts w:ascii="Times New Roman" w:eastAsia="Times New Roman"/>
        </w:rPr>
        <w:t>-9.15m</w:t>
      </w:r>
      <w:r>
        <w:rPr/>
        <w:t>， </w:t>
      </w:r>
      <w:r>
        <w:rPr>
          <w:spacing w:val="-21"/>
        </w:rPr>
        <w:t>层厚 </w:t>
      </w:r>
      <w:r>
        <w:rPr>
          <w:rFonts w:ascii="Times New Roman" w:eastAsia="Times New Roman"/>
        </w:rPr>
        <w:t>0.70</w:t>
      </w:r>
      <w:r>
        <w:rPr/>
        <w:t>～</w:t>
      </w:r>
      <w:r>
        <w:rPr>
          <w:rFonts w:ascii="Times New Roman" w:eastAsia="Times New Roman"/>
        </w:rPr>
        <w:t>10.60m</w:t>
      </w:r>
      <w:r>
        <w:rPr/>
        <w:t>。</w:t>
      </w:r>
    </w:p>
    <w:p>
      <w:pPr>
        <w:spacing w:line="305" w:lineRule="exact" w:before="0"/>
        <w:ind w:left="698" w:right="0" w:firstLine="0"/>
        <w:jc w:val="left"/>
        <w:rPr>
          <w:sz w:val="24"/>
        </w:rPr>
      </w:pPr>
      <w:r>
        <w:rPr>
          <w:position w:val="2"/>
          <w:sz w:val="24"/>
        </w:rPr>
        <w:t>②夹层：块石（</w:t>
      </w:r>
      <w:r>
        <w:rPr>
          <w:rFonts w:ascii="Times New Roman" w:hAnsi="Times New Roman" w:eastAsia="Times New Roman"/>
          <w:position w:val="2"/>
          <w:sz w:val="24"/>
        </w:rPr>
        <w:t>Q</w:t>
      </w:r>
      <w:r>
        <w:rPr>
          <w:rFonts w:ascii="Times New Roman" w:hAnsi="Times New Roman" w:eastAsia="Times New Roman"/>
          <w:sz w:val="16"/>
        </w:rPr>
        <w:t>4 </w:t>
      </w:r>
      <w:r>
        <w:rPr>
          <w:rFonts w:ascii="Times New Roman" w:hAnsi="Times New Roman" w:eastAsia="Times New Roman"/>
          <w:position w:val="11"/>
          <w:sz w:val="16"/>
        </w:rPr>
        <w:t>ml</w:t>
      </w:r>
      <w:r>
        <w:rPr>
          <w:position w:val="2"/>
          <w:sz w:val="24"/>
        </w:rPr>
        <w:t>）</w:t>
      </w:r>
    </w:p>
    <w:p>
      <w:pPr>
        <w:pStyle w:val="BodyText"/>
        <w:spacing w:line="364" w:lineRule="auto" w:before="161"/>
        <w:ind w:left="218" w:right="112" w:firstLine="559"/>
      </w:pPr>
      <w:r>
        <w:rPr>
          <w:spacing w:val="3"/>
        </w:rPr>
        <w:t>青灰色、灰褐色， 稍密， 饱和， 主要由围海时的抛石， 成分为块石及碎</w:t>
      </w:r>
      <w:r>
        <w:rPr>
          <w:spacing w:val="10"/>
        </w:rPr>
        <w:t>石、砾石， 硬质含量约占 </w:t>
      </w:r>
      <w:r>
        <w:rPr>
          <w:rFonts w:ascii="Times New Roman" w:eastAsia="Times New Roman"/>
          <w:spacing w:val="15"/>
        </w:rPr>
        <w:t>85%</w:t>
      </w:r>
      <w:r>
        <w:rPr>
          <w:spacing w:val="6"/>
        </w:rPr>
        <w:t>左右， 一般块径为 </w:t>
      </w:r>
      <w:r>
        <w:rPr>
          <w:rFonts w:ascii="Times New Roman" w:eastAsia="Times New Roman"/>
          <w:spacing w:val="12"/>
        </w:rPr>
        <w:t>20.0</w:t>
      </w:r>
      <w:r>
        <w:rPr>
          <w:spacing w:val="12"/>
        </w:rPr>
        <w:t>～</w:t>
      </w:r>
      <w:r>
        <w:rPr>
          <w:spacing w:val="-88"/>
        </w:rPr>
        <w:t> </w:t>
      </w:r>
      <w:r>
        <w:rPr>
          <w:rFonts w:ascii="Times New Roman" w:eastAsia="Times New Roman"/>
          <w:spacing w:val="13"/>
        </w:rPr>
        <w:t>60.0cm</w:t>
      </w:r>
      <w:r>
        <w:rPr>
          <w:spacing w:val="6"/>
        </w:rPr>
        <w:t>， 以粉土层充</w:t>
      </w:r>
      <w:r>
        <w:rPr>
          <w:spacing w:val="17"/>
        </w:rPr>
        <w:t>填，土质均匀性较差。本层主要分布于场地西南角，在 </w:t>
      </w:r>
      <w:r>
        <w:rPr>
          <w:rFonts w:ascii="Times New Roman" w:eastAsia="Times New Roman"/>
        </w:rPr>
        <w:t>J151</w:t>
      </w:r>
      <w:r>
        <w:rPr>
          <w:spacing w:val="-15"/>
        </w:rPr>
        <w:t>、</w:t>
      </w:r>
      <w:r>
        <w:rPr>
          <w:rFonts w:ascii="Times New Roman" w:eastAsia="Times New Roman"/>
        </w:rPr>
        <w:t>J153</w:t>
      </w:r>
      <w:r>
        <w:rPr>
          <w:spacing w:val="-15"/>
        </w:rPr>
        <w:t>、</w:t>
      </w:r>
      <w:r>
        <w:rPr>
          <w:rFonts w:ascii="Times New Roman" w:eastAsia="Times New Roman"/>
        </w:rPr>
        <w:t>J155</w:t>
      </w:r>
      <w:r>
        <w:rPr>
          <w:spacing w:val="-15"/>
        </w:rPr>
        <w:t>、</w:t>
      </w:r>
      <w:r>
        <w:rPr>
          <w:rFonts w:ascii="Times New Roman" w:eastAsia="Times New Roman"/>
        </w:rPr>
        <w:t>J170</w:t>
      </w:r>
      <w:r>
        <w:rPr/>
        <w:t>、</w:t>
      </w:r>
      <w:r>
        <w:rPr>
          <w:rFonts w:ascii="Times New Roman" w:eastAsia="Times New Roman"/>
        </w:rPr>
        <w:t>J171</w:t>
      </w:r>
      <w:r>
        <w:rPr/>
        <w:t>、</w:t>
      </w:r>
      <w:r>
        <w:rPr>
          <w:rFonts w:ascii="Times New Roman" w:eastAsia="Times New Roman"/>
        </w:rPr>
        <w:t>J172</w:t>
      </w:r>
      <w:r>
        <w:rPr/>
        <w:t>、</w:t>
      </w:r>
      <w:r>
        <w:rPr>
          <w:rFonts w:ascii="Times New Roman" w:eastAsia="Times New Roman"/>
        </w:rPr>
        <w:t>Z102</w:t>
      </w:r>
      <w:r>
        <w:rPr/>
        <w:t>、</w:t>
      </w:r>
      <w:r>
        <w:rPr>
          <w:rFonts w:ascii="Times New Roman" w:eastAsia="Times New Roman"/>
        </w:rPr>
        <w:t>Z103</w:t>
      </w:r>
      <w:r>
        <w:rPr/>
        <w:t>、</w:t>
      </w:r>
      <w:r>
        <w:rPr>
          <w:rFonts w:ascii="Times New Roman" w:eastAsia="Times New Roman"/>
        </w:rPr>
        <w:t>Z120</w:t>
      </w:r>
      <w:r>
        <w:rPr/>
        <w:t>、</w:t>
      </w:r>
      <w:r>
        <w:rPr>
          <w:rFonts w:ascii="Times New Roman" w:eastAsia="Times New Roman"/>
        </w:rPr>
        <w:t>Z152</w:t>
      </w:r>
      <w:r>
        <w:rPr/>
        <w:t>、</w:t>
      </w:r>
      <w:r>
        <w:rPr>
          <w:rFonts w:ascii="Times New Roman" w:eastAsia="Times New Roman"/>
        </w:rPr>
        <w:t>Z154</w:t>
      </w:r>
      <w:r>
        <w:rPr/>
        <w:t>、</w:t>
      </w:r>
      <w:r>
        <w:rPr>
          <w:rFonts w:ascii="Times New Roman" w:eastAsia="Times New Roman"/>
        </w:rPr>
        <w:t>Z156</w:t>
      </w:r>
      <w:r>
        <w:rPr/>
        <w:t>、</w:t>
      </w:r>
      <w:r>
        <w:rPr>
          <w:rFonts w:ascii="Times New Roman" w:eastAsia="Times New Roman"/>
        </w:rPr>
        <w:t>Z169</w:t>
      </w:r>
      <w:r>
        <w:rPr/>
        <w:t>、</w:t>
      </w:r>
      <w:r>
        <w:rPr>
          <w:rFonts w:ascii="Times New Roman" w:eastAsia="Times New Roman"/>
        </w:rPr>
        <w:t>Z173</w:t>
      </w:r>
      <w:r>
        <w:rPr/>
        <w:t>、</w:t>
      </w:r>
      <w:r>
        <w:rPr>
          <w:rFonts w:ascii="Times New Roman" w:eastAsia="Times New Roman"/>
        </w:rPr>
        <w:t>Z174 </w:t>
      </w:r>
      <w:r>
        <w:rPr/>
        <w:t>等孔分布。</w:t>
      </w:r>
    </w:p>
    <w:p>
      <w:pPr>
        <w:spacing w:after="0" w:line="364" w:lineRule="auto"/>
        <w:sectPr>
          <w:footerReference w:type="default" r:id="rId126"/>
          <w:pgSz w:w="11910" w:h="16840"/>
          <w:pgMar w:footer="803" w:header="872" w:top="1320" w:bottom="1000" w:left="1200" w:right="1180"/>
        </w:sectPr>
      </w:pPr>
    </w:p>
    <w:p>
      <w:pPr>
        <w:pStyle w:val="BodyText"/>
        <w:spacing w:before="84"/>
        <w:ind w:left="218"/>
      </w:pPr>
      <w:r>
        <w:rPr/>
        <w:t>层面高程</w:t>
      </w:r>
      <w:r>
        <w:rPr>
          <w:rFonts w:ascii="Times New Roman" w:eastAsia="Times New Roman"/>
        </w:rPr>
        <w:t>-19.82</w:t>
      </w:r>
      <w:r>
        <w:rPr/>
        <w:t>～</w:t>
      </w:r>
      <w:r>
        <w:rPr>
          <w:rFonts w:ascii="Times New Roman" w:eastAsia="Times New Roman"/>
        </w:rPr>
        <w:t>-4.02m</w:t>
      </w:r>
      <w:r>
        <w:rPr/>
        <w:t>，钻孔揭穿层厚 </w:t>
      </w:r>
      <w:r>
        <w:rPr>
          <w:rFonts w:ascii="Times New Roman" w:eastAsia="Times New Roman"/>
        </w:rPr>
        <w:t>0.60</w:t>
      </w:r>
      <w:r>
        <w:rPr/>
        <w:t>～</w:t>
      </w:r>
      <w:r>
        <w:rPr>
          <w:rFonts w:ascii="Times New Roman" w:eastAsia="Times New Roman"/>
        </w:rPr>
        <w:t>2.60m</w:t>
      </w:r>
      <w:r>
        <w:rPr/>
        <w:t>。</w:t>
      </w:r>
    </w:p>
    <w:p>
      <w:pPr>
        <w:pStyle w:val="BodyText"/>
        <w:spacing w:before="158"/>
        <w:ind w:left="790"/>
        <w:rPr>
          <w:rFonts w:ascii="Times New Roman" w:hAnsi="Times New Roman" w:eastAsia="Times New Roman"/>
        </w:rPr>
      </w:pPr>
      <w:r>
        <w:rPr>
          <w:position w:val="2"/>
        </w:rPr>
        <w:t>③</w:t>
      </w:r>
      <w:r>
        <w:rPr>
          <w:rFonts w:ascii="Times New Roman" w:hAnsi="Times New Roman" w:eastAsia="Times New Roman"/>
          <w:position w:val="2"/>
        </w:rPr>
        <w:t>-1 </w:t>
      </w:r>
      <w:r>
        <w:rPr>
          <w:position w:val="2"/>
        </w:rPr>
        <w:t>层：淤泥质粉质粘土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61"/>
        <w:ind w:left="218" w:right="233" w:firstLine="559"/>
      </w:pPr>
      <w:r>
        <w:rPr/>
        <w:t>灰色，流塑，含少量有机质，贝壳碎片，局部相变为淤泥质粘土、淤泥及粉质粘</w:t>
      </w:r>
      <w:r>
        <w:rPr>
          <w:spacing w:val="-8"/>
        </w:rPr>
        <w:t>土。切面光滑有光泽，摇振反应无，干强度和韧性中等偏高。属高压缩性土。土质较均</w:t>
      </w:r>
      <w:r>
        <w:rPr>
          <w:spacing w:val="-9"/>
        </w:rPr>
        <w:t>匀。该层分布稳定，仅在 </w:t>
      </w:r>
      <w:r>
        <w:rPr>
          <w:rFonts w:ascii="Times New Roman" w:eastAsia="Times New Roman"/>
        </w:rPr>
        <w:t>3 </w:t>
      </w:r>
      <w:r>
        <w:rPr>
          <w:spacing w:val="-21"/>
        </w:rPr>
        <w:t>层及 </w:t>
      </w:r>
      <w:r>
        <w:rPr>
          <w:rFonts w:ascii="Times New Roman" w:eastAsia="Times New Roman"/>
        </w:rPr>
        <w:t>3 </w:t>
      </w:r>
      <w:r>
        <w:rPr>
          <w:spacing w:val="-2"/>
        </w:rPr>
        <w:t>层以上建筑揭穿。层面高程</w:t>
      </w:r>
      <w:r>
        <w:rPr>
          <w:rFonts w:ascii="Times New Roman" w:eastAsia="Times New Roman"/>
        </w:rPr>
        <w:t>-24.04</w:t>
      </w:r>
      <w:r>
        <w:rPr/>
        <w:t>～</w:t>
      </w:r>
      <w:r>
        <w:rPr>
          <w:rFonts w:ascii="Times New Roman" w:eastAsia="Times New Roman"/>
        </w:rPr>
        <w:t>-13.35m</w:t>
      </w:r>
      <w:r>
        <w:rPr>
          <w:spacing w:val="-4"/>
        </w:rPr>
        <w:t>，揭露层</w:t>
      </w:r>
      <w:r>
        <w:rPr>
          <w:spacing w:val="-30"/>
        </w:rPr>
        <w:t>厚 </w:t>
      </w:r>
      <w:r>
        <w:rPr>
          <w:rFonts w:ascii="Times New Roman" w:eastAsia="Times New Roman"/>
        </w:rPr>
        <w:t>0.40</w:t>
      </w:r>
      <w:r>
        <w:rPr/>
        <w:t>～</w:t>
      </w:r>
      <w:r>
        <w:rPr>
          <w:rFonts w:ascii="Times New Roman" w:eastAsia="Times New Roman"/>
        </w:rPr>
        <w:t>15.00m</w:t>
      </w:r>
      <w:r>
        <w:rPr/>
        <w:t>。</w:t>
      </w:r>
    </w:p>
    <w:p>
      <w:pPr>
        <w:pStyle w:val="BodyText"/>
        <w:spacing w:line="304" w:lineRule="exact"/>
        <w:ind w:left="790"/>
        <w:rPr>
          <w:rFonts w:ascii="Times New Roman" w:hAnsi="Times New Roman" w:eastAsia="Times New Roman"/>
        </w:rPr>
      </w:pPr>
      <w:r>
        <w:rPr>
          <w:position w:val="2"/>
        </w:rPr>
        <w:t>③</w:t>
      </w:r>
      <w:r>
        <w:rPr>
          <w:rFonts w:ascii="Times New Roman" w:hAnsi="Times New Roman" w:eastAsia="Times New Roman"/>
          <w:position w:val="2"/>
        </w:rPr>
        <w:t>-2 </w:t>
      </w:r>
      <w:r>
        <w:rPr>
          <w:position w:val="2"/>
        </w:rPr>
        <w:t>层：粉质粘土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61"/>
        <w:ind w:left="218" w:right="233" w:firstLine="559"/>
      </w:pPr>
      <w:r>
        <w:rPr/>
        <w:t>灰色，流塑～软塑，含少量有机质，贝壳碎片，局部粉粒含量较高，相变粘质粉</w:t>
      </w:r>
      <w:r>
        <w:rPr>
          <w:spacing w:val="-8"/>
        </w:rPr>
        <w:t>土，切面光滑有光泽，摇振反应无，干强度和韧性中等偏高。属高压缩性土。土质较均</w:t>
      </w:r>
      <w:r>
        <w:rPr/>
        <w:t>匀。该层分布稳定。层面高程</w:t>
      </w:r>
      <w:r>
        <w:rPr>
          <w:rFonts w:ascii="Times New Roman" w:eastAsia="Times New Roman"/>
        </w:rPr>
        <w:t>-30.33</w:t>
      </w:r>
      <w:r>
        <w:rPr/>
        <w:t>～</w:t>
      </w:r>
      <w:r>
        <w:rPr>
          <w:rFonts w:ascii="Times New Roman" w:eastAsia="Times New Roman"/>
        </w:rPr>
        <w:t>-26.05m</w:t>
      </w:r>
      <w:r>
        <w:rPr>
          <w:spacing w:val="-11"/>
        </w:rPr>
        <w:t>，揭露层厚 </w:t>
      </w:r>
      <w:r>
        <w:rPr>
          <w:rFonts w:ascii="Times New Roman" w:eastAsia="Times New Roman"/>
        </w:rPr>
        <w:t>8.60</w:t>
      </w:r>
      <w:r>
        <w:rPr/>
        <w:t>～</w:t>
      </w:r>
      <w:r>
        <w:rPr>
          <w:rFonts w:ascii="Times New Roman" w:eastAsia="Times New Roman"/>
        </w:rPr>
        <w:t>14.00m</w:t>
      </w:r>
      <w:r>
        <w:rPr/>
        <w:t>。</w:t>
      </w:r>
    </w:p>
    <w:p>
      <w:pPr>
        <w:pStyle w:val="BodyText"/>
        <w:spacing w:line="304" w:lineRule="exact"/>
        <w:ind w:left="790"/>
        <w:rPr>
          <w:rFonts w:ascii="Times New Roman" w:hAnsi="Times New Roman" w:eastAsia="Times New Roman"/>
        </w:rPr>
      </w:pPr>
      <w:r>
        <w:rPr>
          <w:position w:val="2"/>
        </w:rPr>
        <w:t>⑤层：粘土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62"/>
        <w:ind w:left="218" w:right="233" w:firstLine="571"/>
        <w:jc w:val="both"/>
      </w:pPr>
      <w:r>
        <w:rPr/>
        <w:t>灰色，软塑，局部软可塑，局部粉粒含量较高，相变为淤泥质土及粉质粘土，切</w:t>
      </w:r>
      <w:r>
        <w:rPr>
          <w:spacing w:val="-6"/>
        </w:rPr>
        <w:t>面光滑有油脂光泽，摇振反应无，干强度和韧性中等偏高。属中偏高压缩性土。土质较</w:t>
      </w:r>
      <w:r>
        <w:rPr/>
        <w:t>均匀。本层分布稳定。层面高程</w:t>
      </w:r>
      <w:r>
        <w:rPr>
          <w:rFonts w:ascii="Times New Roman" w:eastAsia="Times New Roman"/>
        </w:rPr>
        <w:t>-41.92</w:t>
      </w:r>
      <w:r>
        <w:rPr/>
        <w:t>～</w:t>
      </w:r>
      <w:r>
        <w:rPr>
          <w:rFonts w:ascii="Times New Roman" w:eastAsia="Times New Roman"/>
        </w:rPr>
        <w:t>-36.82m</w:t>
      </w:r>
      <w:r>
        <w:rPr>
          <w:spacing w:val="-16"/>
        </w:rPr>
        <w:t>，层厚 </w:t>
      </w:r>
      <w:r>
        <w:rPr>
          <w:rFonts w:ascii="Times New Roman" w:eastAsia="Times New Roman"/>
        </w:rPr>
        <w:t>4.60</w:t>
      </w:r>
      <w:r>
        <w:rPr/>
        <w:t>～</w:t>
      </w:r>
      <w:r>
        <w:rPr>
          <w:rFonts w:ascii="Times New Roman" w:eastAsia="Times New Roman"/>
        </w:rPr>
        <w:t>11.50m</w:t>
      </w:r>
      <w:r>
        <w:rPr/>
        <w:t>。</w:t>
      </w:r>
    </w:p>
    <w:p>
      <w:pPr>
        <w:pStyle w:val="BodyText"/>
        <w:spacing w:line="304" w:lineRule="exact"/>
        <w:ind w:left="790"/>
        <w:rPr>
          <w:rFonts w:ascii="Times New Roman" w:hAnsi="Times New Roman" w:eastAsia="Times New Roman"/>
        </w:rPr>
      </w:pPr>
      <w:r>
        <w:rPr>
          <w:position w:val="2"/>
        </w:rPr>
        <w:t>⑦层：粘土</w:t>
      </w:r>
      <w:r>
        <w:rPr>
          <w:rFonts w:ascii="Times New Roman" w:hAnsi="Times New Roman" w:eastAsia="Times New Roman"/>
          <w:position w:val="2"/>
        </w:rPr>
        <w:t>(Q</w:t>
      </w:r>
      <w:r>
        <w:rPr>
          <w:rFonts w:ascii="Times New Roman" w:hAnsi="Times New Roman" w:eastAsia="Times New Roman"/>
          <w:sz w:val="16"/>
        </w:rPr>
        <w:t>4</w:t>
      </w:r>
      <w:r>
        <w:rPr>
          <w:rFonts w:ascii="Times New Roman" w:hAnsi="Times New Roman" w:eastAsia="Times New Roman"/>
          <w:position w:val="11"/>
          <w:sz w:val="16"/>
        </w:rPr>
        <w:t>m</w:t>
      </w:r>
      <w:r>
        <w:rPr>
          <w:rFonts w:ascii="Times New Roman" w:hAnsi="Times New Roman" w:eastAsia="Times New Roman"/>
          <w:position w:val="2"/>
        </w:rPr>
        <w:t>)</w:t>
      </w:r>
    </w:p>
    <w:p>
      <w:pPr>
        <w:pStyle w:val="BodyText"/>
        <w:spacing w:line="364" w:lineRule="auto" w:before="161"/>
        <w:ind w:left="218" w:right="232" w:firstLine="571"/>
        <w:jc w:val="both"/>
      </w:pPr>
      <w:r>
        <w:rPr/>
        <w:t>灰黑色，灰褐色，青灰色，软可塑</w:t>
      </w:r>
      <w:r>
        <w:rPr>
          <w:spacing w:val="4"/>
        </w:rPr>
        <w:t>～</w:t>
      </w:r>
      <w:r>
        <w:rPr/>
        <w:t>硬可塑，局部含有粉粒、砂粒，底部含量较</w:t>
      </w:r>
      <w:r>
        <w:rPr>
          <w:spacing w:val="-8"/>
        </w:rPr>
        <w:t>高，相变为粉质粘土，切面光滑有油脂光泽，摇振反应无，干强度和韧性中等。属中压</w:t>
      </w:r>
      <w:r>
        <w:rPr>
          <w:spacing w:val="-10"/>
        </w:rPr>
        <w:t>缩性土。土质较均匀。本层分布不稳定，在 </w:t>
      </w:r>
      <w:r>
        <w:rPr>
          <w:rFonts w:ascii="Times New Roman" w:eastAsia="Times New Roman"/>
        </w:rPr>
        <w:t>Z04</w:t>
      </w:r>
      <w:r>
        <w:rPr>
          <w:spacing w:val="-14"/>
        </w:rPr>
        <w:t>、</w:t>
      </w:r>
      <w:r>
        <w:rPr>
          <w:rFonts w:ascii="Times New Roman" w:eastAsia="Times New Roman"/>
        </w:rPr>
        <w:t>Z23</w:t>
      </w:r>
      <w:r>
        <w:rPr>
          <w:spacing w:val="-15"/>
        </w:rPr>
        <w:t>、</w:t>
      </w:r>
      <w:r>
        <w:rPr>
          <w:rFonts w:ascii="Times New Roman" w:eastAsia="Times New Roman"/>
        </w:rPr>
        <w:t>Z166</w:t>
      </w:r>
      <w:r>
        <w:rPr/>
        <w:t>～</w:t>
      </w:r>
      <w:r>
        <w:rPr>
          <w:rFonts w:ascii="Times New Roman" w:eastAsia="Times New Roman"/>
        </w:rPr>
        <w:t>Z168</w:t>
      </w:r>
      <w:r>
        <w:rPr>
          <w:spacing w:val="-15"/>
        </w:rPr>
        <w:t>、</w:t>
      </w:r>
      <w:r>
        <w:rPr>
          <w:rFonts w:ascii="Times New Roman" w:eastAsia="Times New Roman"/>
        </w:rPr>
        <w:t>Z182</w:t>
      </w:r>
      <w:r>
        <w:rPr/>
        <w:t>～</w:t>
      </w:r>
      <w:r>
        <w:rPr>
          <w:rFonts w:ascii="Times New Roman" w:eastAsia="Times New Roman"/>
        </w:rPr>
        <w:t>Z186 </w:t>
      </w:r>
      <w:r>
        <w:rPr/>
        <w:t>等孔缺失。层面高程</w:t>
      </w:r>
      <w:r>
        <w:rPr>
          <w:rFonts w:ascii="Times New Roman" w:eastAsia="Times New Roman"/>
        </w:rPr>
        <w:t>-49.78</w:t>
      </w:r>
      <w:r>
        <w:rPr/>
        <w:t>～</w:t>
      </w:r>
      <w:r>
        <w:rPr>
          <w:rFonts w:ascii="Times New Roman" w:eastAsia="Times New Roman"/>
        </w:rPr>
        <w:t>-43.62m</w:t>
      </w:r>
      <w:r>
        <w:rPr>
          <w:spacing w:val="-16"/>
        </w:rPr>
        <w:t>，层厚 </w:t>
      </w:r>
      <w:r>
        <w:rPr>
          <w:rFonts w:ascii="Times New Roman" w:eastAsia="Times New Roman"/>
        </w:rPr>
        <w:t>0.60</w:t>
      </w:r>
      <w:r>
        <w:rPr/>
        <w:t>～</w:t>
      </w:r>
      <w:r>
        <w:rPr>
          <w:rFonts w:ascii="Times New Roman" w:eastAsia="Times New Roman"/>
        </w:rPr>
        <w:t>6.40m</w:t>
      </w:r>
      <w:r>
        <w:rPr/>
        <w:t>。</w:t>
      </w:r>
    </w:p>
    <w:p>
      <w:pPr>
        <w:spacing w:line="305" w:lineRule="exact" w:before="0"/>
        <w:ind w:left="778" w:right="0" w:firstLine="0"/>
        <w:jc w:val="left"/>
        <w:rPr>
          <w:sz w:val="24"/>
        </w:rPr>
      </w:pPr>
      <w:r>
        <w:rPr>
          <w:position w:val="2"/>
          <w:sz w:val="24"/>
        </w:rPr>
        <w:t>⑧</w:t>
      </w:r>
      <w:r>
        <w:rPr>
          <w:rFonts w:ascii="Times New Roman" w:hAnsi="Times New Roman" w:eastAsia="Times New Roman"/>
          <w:position w:val="2"/>
          <w:sz w:val="24"/>
        </w:rPr>
        <w:t>-1 </w:t>
      </w:r>
      <w:r>
        <w:rPr>
          <w:position w:val="2"/>
          <w:sz w:val="24"/>
        </w:rPr>
        <w:t>层：圆砾（</w:t>
      </w:r>
      <w:r>
        <w:rPr>
          <w:rFonts w:ascii="Times New Roman" w:hAnsi="Times New Roman" w:eastAsia="Times New Roman"/>
          <w:position w:val="2"/>
          <w:sz w:val="24"/>
        </w:rPr>
        <w:t>Q</w:t>
      </w:r>
      <w:r>
        <w:rPr>
          <w:rFonts w:ascii="Times New Roman" w:hAnsi="Times New Roman" w:eastAsia="Times New Roman"/>
          <w:sz w:val="16"/>
        </w:rPr>
        <w:t>3</w:t>
      </w:r>
      <w:r>
        <w:rPr>
          <w:rFonts w:ascii="Times New Roman" w:hAnsi="Times New Roman" w:eastAsia="Times New Roman"/>
          <w:position w:val="11"/>
          <w:sz w:val="16"/>
        </w:rPr>
        <w:t>al-pl</w:t>
      </w:r>
      <w:r>
        <w:rPr>
          <w:position w:val="2"/>
          <w:sz w:val="24"/>
        </w:rPr>
        <w:t>）</w:t>
      </w:r>
    </w:p>
    <w:p>
      <w:pPr>
        <w:pStyle w:val="BodyText"/>
        <w:spacing w:line="364" w:lineRule="auto" w:before="159"/>
        <w:ind w:left="218" w:right="114" w:firstLine="480"/>
      </w:pPr>
      <w:r>
        <w:rPr>
          <w:spacing w:val="-11"/>
        </w:rPr>
        <w:t>灰色，饱和，中密</w:t>
      </w:r>
      <w:r>
        <w:rPr/>
        <w:t>～</w:t>
      </w:r>
      <w:r>
        <w:rPr>
          <w:spacing w:val="-14"/>
        </w:rPr>
        <w:t>密实。主要成分为火山岩，呈亚圆形，粒径一般 </w:t>
      </w:r>
      <w:r>
        <w:rPr>
          <w:rFonts w:ascii="Times New Roman" w:eastAsia="Times New Roman"/>
        </w:rPr>
        <w:t>0.50</w:t>
      </w:r>
      <w:r>
        <w:rPr/>
        <w:t>～</w:t>
      </w:r>
      <w:r>
        <w:rPr>
          <w:rFonts w:ascii="Times New Roman" w:eastAsia="Times New Roman"/>
        </w:rPr>
        <w:t>2.00cm</w:t>
      </w:r>
      <w:r>
        <w:rPr>
          <w:spacing w:val="-13"/>
        </w:rPr>
        <w:t>。</w:t>
      </w:r>
      <w:r>
        <w:rPr>
          <w:spacing w:val="-9"/>
        </w:rPr>
        <w:t>砾石间大量为砂粒、粉粘粒充填。该层局部变相为砾砂。颗分结果平均含量：碎石粒</w:t>
      </w:r>
      <w:r>
        <w:rPr>
          <w:rFonts w:ascii="Times New Roman" w:eastAsia="Times New Roman"/>
          <w:spacing w:val="-4"/>
        </w:rPr>
        <w:t>(</w:t>
      </w:r>
      <w:r>
        <w:rPr/>
        <w:t>粒径＞</w:t>
      </w:r>
      <w:r>
        <w:rPr>
          <w:rFonts w:ascii="Times New Roman" w:eastAsia="Times New Roman"/>
        </w:rPr>
        <w:t>20mm)</w:t>
      </w:r>
      <w:r>
        <w:rPr>
          <w:spacing w:val="-38"/>
        </w:rPr>
        <w:t>为 </w:t>
      </w:r>
      <w:r>
        <w:rPr>
          <w:rFonts w:ascii="Times New Roman" w:eastAsia="Times New Roman"/>
        </w:rPr>
        <w:t>18.4%</w:t>
      </w:r>
      <w:r>
        <w:rPr>
          <w:spacing w:val="-30"/>
        </w:rPr>
        <w:t>、砾石粒</w:t>
      </w:r>
      <w:r>
        <w:rPr>
          <w:rFonts w:ascii="Times New Roman" w:eastAsia="Times New Roman"/>
        </w:rPr>
        <w:t>(</w:t>
      </w:r>
      <w:r>
        <w:rPr>
          <w:spacing w:val="-26"/>
        </w:rPr>
        <w:t>粒径 </w:t>
      </w:r>
      <w:r>
        <w:rPr>
          <w:rFonts w:ascii="Times New Roman" w:eastAsia="Times New Roman"/>
        </w:rPr>
        <w:t>20</w:t>
      </w:r>
      <w:r>
        <w:rPr/>
        <w:t>～</w:t>
      </w:r>
      <w:r>
        <w:rPr>
          <w:rFonts w:ascii="Times New Roman" w:eastAsia="Times New Roman"/>
        </w:rPr>
        <w:t>2mm)</w:t>
      </w:r>
      <w:r>
        <w:rPr>
          <w:spacing w:val="-37"/>
        </w:rPr>
        <w:t>为 </w:t>
      </w:r>
      <w:r>
        <w:rPr>
          <w:rFonts w:ascii="Times New Roman" w:eastAsia="Times New Roman"/>
        </w:rPr>
        <w:t>35.4%</w:t>
      </w:r>
      <w:r>
        <w:rPr>
          <w:spacing w:val="-40"/>
        </w:rPr>
        <w:t>、砂粒</w:t>
      </w:r>
      <w:r>
        <w:rPr>
          <w:rFonts w:ascii="Times New Roman" w:eastAsia="Times New Roman"/>
        </w:rPr>
        <w:t>(</w:t>
      </w:r>
      <w:r>
        <w:rPr>
          <w:spacing w:val="-26"/>
        </w:rPr>
        <w:t>粒径 </w:t>
      </w:r>
      <w:r>
        <w:rPr>
          <w:rFonts w:ascii="Times New Roman" w:eastAsia="Times New Roman"/>
        </w:rPr>
        <w:t>2</w:t>
      </w:r>
      <w:r>
        <w:rPr/>
        <w:t>～</w:t>
      </w:r>
      <w:r>
        <w:rPr>
          <w:rFonts w:ascii="Times New Roman" w:eastAsia="Times New Roman"/>
        </w:rPr>
        <w:t>0.075mm)</w:t>
      </w:r>
      <w:r>
        <w:rPr>
          <w:spacing w:val="-38"/>
        </w:rPr>
        <w:t>为 </w:t>
      </w:r>
      <w:r>
        <w:rPr>
          <w:rFonts w:ascii="Times New Roman" w:eastAsia="Times New Roman"/>
        </w:rPr>
        <w:t>27.2%</w:t>
      </w:r>
      <w:r>
        <w:rPr/>
        <w:t>、粉粒</w:t>
      </w:r>
      <w:r>
        <w:rPr>
          <w:rFonts w:ascii="Times New Roman" w:eastAsia="Times New Roman"/>
        </w:rPr>
        <w:t>(</w:t>
      </w:r>
      <w:r>
        <w:rPr>
          <w:spacing w:val="-21"/>
        </w:rPr>
        <w:t>粒径 </w:t>
      </w:r>
      <w:r>
        <w:rPr>
          <w:rFonts w:ascii="Times New Roman" w:eastAsia="Times New Roman"/>
        </w:rPr>
        <w:t>0.075</w:t>
      </w:r>
      <w:r>
        <w:rPr/>
        <w:t>～</w:t>
      </w:r>
      <w:r>
        <w:rPr>
          <w:rFonts w:ascii="Times New Roman" w:eastAsia="Times New Roman"/>
        </w:rPr>
        <w:t>0.005mm)</w:t>
      </w:r>
      <w:r>
        <w:rPr>
          <w:spacing w:val="-30"/>
        </w:rPr>
        <w:t>为 </w:t>
      </w:r>
      <w:r>
        <w:rPr>
          <w:rFonts w:ascii="Times New Roman" w:eastAsia="Times New Roman"/>
        </w:rPr>
        <w:t>19.0%</w:t>
      </w:r>
      <w:r>
        <w:rPr>
          <w:spacing w:val="-1"/>
        </w:rPr>
        <w:t>，属低压缩性土。土质不均匀。圆锥动力触探试验</w:t>
      </w:r>
      <w:r>
        <w:rPr>
          <w:rFonts w:ascii="Times New Roman" w:eastAsia="Times New Roman"/>
          <w:spacing w:val="-1"/>
          <w:position w:val="2"/>
        </w:rPr>
        <w:t>(N</w:t>
      </w:r>
      <w:r>
        <w:rPr>
          <w:rFonts w:ascii="Times New Roman" w:eastAsia="Times New Roman"/>
          <w:spacing w:val="-1"/>
          <w:sz w:val="16"/>
        </w:rPr>
        <w:t>63.5</w:t>
      </w:r>
      <w:r>
        <w:rPr>
          <w:rFonts w:ascii="Times New Roman" w:eastAsia="Times New Roman"/>
          <w:spacing w:val="-1"/>
          <w:position w:val="2"/>
        </w:rPr>
        <w:t>)</w:t>
      </w:r>
      <w:r>
        <w:rPr>
          <w:spacing w:val="-13"/>
          <w:position w:val="2"/>
        </w:rPr>
        <w:t>实击数为 </w:t>
      </w:r>
      <w:r>
        <w:rPr>
          <w:rFonts w:ascii="Times New Roman" w:eastAsia="Times New Roman"/>
          <w:position w:val="2"/>
        </w:rPr>
        <w:t>19</w:t>
      </w:r>
      <w:r>
        <w:rPr>
          <w:position w:val="2"/>
        </w:rPr>
        <w:t>～</w:t>
      </w:r>
      <w:r>
        <w:rPr>
          <w:rFonts w:ascii="Times New Roman" w:eastAsia="Times New Roman"/>
          <w:position w:val="2"/>
        </w:rPr>
        <w:t>43 </w:t>
      </w:r>
      <w:r>
        <w:rPr>
          <w:position w:val="2"/>
        </w:rPr>
        <w:t>击</w:t>
      </w:r>
      <w:r>
        <w:rPr>
          <w:rFonts w:ascii="Times New Roman" w:eastAsia="Times New Roman"/>
          <w:spacing w:val="-10"/>
          <w:position w:val="2"/>
        </w:rPr>
        <w:t>/10cm</w:t>
      </w:r>
      <w:r>
        <w:rPr>
          <w:spacing w:val="-9"/>
          <w:position w:val="2"/>
        </w:rPr>
        <w:t>，该层分布稳定。层面高程</w:t>
      </w:r>
      <w:r>
        <w:rPr>
          <w:rFonts w:ascii="Times New Roman" w:eastAsia="Times New Roman"/>
          <w:spacing w:val="-4"/>
          <w:position w:val="2"/>
        </w:rPr>
        <w:t>-52.30</w:t>
      </w:r>
      <w:r>
        <w:rPr>
          <w:spacing w:val="-4"/>
          <w:position w:val="2"/>
        </w:rPr>
        <w:t>～</w:t>
      </w:r>
      <w:r>
        <w:rPr>
          <w:rFonts w:ascii="Times New Roman" w:eastAsia="Times New Roman"/>
          <w:spacing w:val="-4"/>
          <w:position w:val="2"/>
        </w:rPr>
        <w:t>-47.01m</w:t>
      </w:r>
      <w:r>
        <w:rPr>
          <w:spacing w:val="-17"/>
          <w:position w:val="2"/>
        </w:rPr>
        <w:t>，层厚 </w:t>
      </w:r>
      <w:r>
        <w:rPr>
          <w:rFonts w:ascii="Times New Roman" w:eastAsia="Times New Roman"/>
          <w:position w:val="2"/>
        </w:rPr>
        <w:t>1.40</w:t>
      </w:r>
      <w:r>
        <w:rPr>
          <w:position w:val="2"/>
        </w:rPr>
        <w:t>～ </w:t>
      </w:r>
      <w:r>
        <w:rPr>
          <w:rFonts w:ascii="Times New Roman" w:eastAsia="Times New Roman"/>
        </w:rPr>
        <w:t>7.20m</w:t>
      </w:r>
      <w:r>
        <w:rPr/>
        <w:t>。</w:t>
      </w:r>
    </w:p>
    <w:p>
      <w:pPr>
        <w:spacing w:line="306" w:lineRule="exact" w:before="0"/>
        <w:ind w:left="898" w:right="0" w:firstLine="0"/>
        <w:jc w:val="left"/>
        <w:rPr>
          <w:sz w:val="24"/>
        </w:rPr>
      </w:pPr>
      <w:r>
        <w:rPr>
          <w:position w:val="2"/>
          <w:sz w:val="24"/>
        </w:rPr>
        <w:t>⑧</w:t>
      </w:r>
      <w:r>
        <w:rPr>
          <w:rFonts w:ascii="Times New Roman" w:hAnsi="Times New Roman" w:eastAsia="Times New Roman"/>
          <w:position w:val="2"/>
          <w:sz w:val="24"/>
        </w:rPr>
        <w:t>-2 </w:t>
      </w:r>
      <w:r>
        <w:rPr>
          <w:position w:val="2"/>
          <w:sz w:val="24"/>
        </w:rPr>
        <w:t>层：含砾粉质粘土（</w:t>
      </w:r>
      <w:r>
        <w:rPr>
          <w:rFonts w:ascii="Times New Roman" w:hAnsi="Times New Roman" w:eastAsia="Times New Roman"/>
          <w:position w:val="2"/>
          <w:sz w:val="24"/>
        </w:rPr>
        <w:t>Q</w:t>
      </w:r>
      <w:r>
        <w:rPr>
          <w:rFonts w:ascii="Times New Roman" w:hAnsi="Times New Roman" w:eastAsia="Times New Roman"/>
          <w:sz w:val="16"/>
        </w:rPr>
        <w:t>3</w:t>
      </w:r>
      <w:r>
        <w:rPr>
          <w:rFonts w:ascii="Times New Roman" w:hAnsi="Times New Roman" w:eastAsia="Times New Roman"/>
          <w:position w:val="11"/>
          <w:sz w:val="16"/>
        </w:rPr>
        <w:t>al-pl</w:t>
      </w:r>
      <w:r>
        <w:rPr>
          <w:position w:val="2"/>
          <w:sz w:val="24"/>
        </w:rPr>
        <w:t>）</w:t>
      </w:r>
    </w:p>
    <w:p>
      <w:pPr>
        <w:pStyle w:val="BodyText"/>
        <w:spacing w:line="364" w:lineRule="auto" w:before="159"/>
        <w:ind w:left="218" w:right="114" w:firstLine="559"/>
      </w:pPr>
      <w:r>
        <w:rPr/>
        <w:t>灰黄色，青灰色，硬可塑，局部硬塑，局部砾砂含量较高，夹有少量中粗砂等， 切面较光滑稍有光泽，摇振反应无，干强度和韧性中等。属中压缩性土。土质较均匀。</w:t>
      </w:r>
      <w:r>
        <w:rPr>
          <w:spacing w:val="-8"/>
        </w:rPr>
        <w:t>该层分布不稳定，在 </w:t>
      </w:r>
      <w:r>
        <w:rPr>
          <w:rFonts w:ascii="Times New Roman" w:eastAsia="Times New Roman"/>
        </w:rPr>
        <w:t>Z04</w:t>
      </w:r>
      <w:r>
        <w:rPr/>
        <w:t>～</w:t>
      </w:r>
      <w:r>
        <w:rPr>
          <w:rFonts w:ascii="Times New Roman" w:eastAsia="Times New Roman"/>
        </w:rPr>
        <w:t>Z06</w:t>
      </w:r>
      <w:r>
        <w:rPr>
          <w:spacing w:val="-8"/>
        </w:rPr>
        <w:t>、</w:t>
      </w:r>
      <w:r>
        <w:rPr>
          <w:rFonts w:ascii="Times New Roman" w:eastAsia="Times New Roman"/>
        </w:rPr>
        <w:t>Z23</w:t>
      </w:r>
      <w:r>
        <w:rPr/>
        <w:t>～</w:t>
      </w:r>
      <w:r>
        <w:rPr>
          <w:rFonts w:ascii="Times New Roman" w:eastAsia="Times New Roman"/>
        </w:rPr>
        <w:t>Z25</w:t>
      </w:r>
      <w:r>
        <w:rPr>
          <w:spacing w:val="-5"/>
        </w:rPr>
        <w:t>、</w:t>
      </w:r>
      <w:r>
        <w:rPr>
          <w:rFonts w:ascii="Times New Roman" w:eastAsia="Times New Roman"/>
        </w:rPr>
        <w:t>Z43</w:t>
      </w:r>
      <w:r>
        <w:rPr/>
        <w:t>～</w:t>
      </w:r>
      <w:r>
        <w:rPr>
          <w:rFonts w:ascii="Times New Roman" w:eastAsia="Times New Roman"/>
        </w:rPr>
        <w:t>Z45</w:t>
      </w:r>
      <w:r>
        <w:rPr>
          <w:spacing w:val="-8"/>
        </w:rPr>
        <w:t>、</w:t>
      </w:r>
      <w:r>
        <w:rPr>
          <w:rFonts w:ascii="Times New Roman" w:eastAsia="Times New Roman"/>
        </w:rPr>
        <w:t>Z59</w:t>
      </w:r>
      <w:r>
        <w:rPr/>
        <w:t>～</w:t>
      </w:r>
      <w:r>
        <w:rPr>
          <w:rFonts w:ascii="Times New Roman" w:eastAsia="Times New Roman"/>
        </w:rPr>
        <w:t>Z61</w:t>
      </w:r>
      <w:r>
        <w:rPr>
          <w:spacing w:val="-8"/>
        </w:rPr>
        <w:t>、</w:t>
      </w:r>
      <w:r>
        <w:rPr>
          <w:rFonts w:ascii="Times New Roman" w:eastAsia="Times New Roman"/>
        </w:rPr>
        <w:t>Z87</w:t>
      </w:r>
      <w:r>
        <w:rPr>
          <w:spacing w:val="-8"/>
        </w:rPr>
        <w:t>、</w:t>
      </w:r>
      <w:r>
        <w:rPr>
          <w:rFonts w:ascii="Times New Roman" w:eastAsia="Times New Roman"/>
        </w:rPr>
        <w:t>Z88</w:t>
      </w:r>
      <w:r>
        <w:rPr>
          <w:spacing w:val="-8"/>
        </w:rPr>
        <w:t>、</w:t>
      </w:r>
      <w:r>
        <w:rPr>
          <w:rFonts w:ascii="Times New Roman" w:eastAsia="Times New Roman"/>
        </w:rPr>
        <w:t>Z148</w:t>
      </w:r>
      <w:r>
        <w:rPr/>
        <w:t>、</w:t>
      </w:r>
    </w:p>
    <w:p>
      <w:pPr>
        <w:spacing w:after="0" w:line="364" w:lineRule="auto"/>
        <w:sectPr>
          <w:footerReference w:type="default" r:id="rId127"/>
          <w:pgSz w:w="11910" w:h="16840"/>
          <w:pgMar w:footer="803" w:header="872" w:top="1320" w:bottom="1000" w:left="1200" w:right="1180"/>
          <w:pgNumType w:start="191"/>
        </w:sectPr>
      </w:pPr>
    </w:p>
    <w:p>
      <w:pPr>
        <w:pStyle w:val="BodyText"/>
        <w:spacing w:line="364" w:lineRule="auto" w:before="84"/>
        <w:ind w:left="218" w:right="114"/>
      </w:pPr>
      <w:r>
        <w:rPr>
          <w:rFonts w:ascii="Times New Roman" w:eastAsia="Times New Roman"/>
        </w:rPr>
        <w:t>Z164 </w:t>
      </w:r>
      <w:r>
        <w:rPr>
          <w:spacing w:val="-7"/>
        </w:rPr>
        <w:t>等孔分布。标准贯入试验</w:t>
      </w:r>
      <w:r>
        <w:rPr>
          <w:rFonts w:ascii="Times New Roman" w:eastAsia="Times New Roman"/>
        </w:rPr>
        <w:t>(N)</w:t>
      </w:r>
      <w:r>
        <w:rPr>
          <w:spacing w:val="-13"/>
        </w:rPr>
        <w:t>实击数为 </w:t>
      </w:r>
      <w:r>
        <w:rPr>
          <w:rFonts w:ascii="Times New Roman" w:eastAsia="Times New Roman"/>
        </w:rPr>
        <w:t>17</w:t>
      </w:r>
      <w:r>
        <w:rPr/>
        <w:t>～</w:t>
      </w:r>
      <w:r>
        <w:rPr>
          <w:rFonts w:ascii="Times New Roman" w:eastAsia="Times New Roman"/>
        </w:rPr>
        <w:t>21 </w:t>
      </w:r>
      <w:r>
        <w:rPr/>
        <w:t>击</w:t>
      </w:r>
      <w:r>
        <w:rPr>
          <w:rFonts w:ascii="Times New Roman" w:eastAsia="Times New Roman"/>
        </w:rPr>
        <w:t>/30cm</w:t>
      </w:r>
      <w:r>
        <w:rPr>
          <w:spacing w:val="-10"/>
        </w:rPr>
        <w:t>。层面高程</w:t>
      </w:r>
      <w:r>
        <w:rPr>
          <w:rFonts w:ascii="Times New Roman" w:eastAsia="Times New Roman"/>
        </w:rPr>
        <w:t>-54.84</w:t>
      </w:r>
      <w:r>
        <w:rPr/>
        <w:t>～</w:t>
      </w:r>
      <w:r>
        <w:rPr>
          <w:rFonts w:ascii="Times New Roman" w:eastAsia="Times New Roman"/>
        </w:rPr>
        <w:t>-52.63m</w:t>
      </w:r>
      <w:r>
        <w:rPr/>
        <w:t>， </w:t>
      </w:r>
      <w:r>
        <w:rPr>
          <w:spacing w:val="-13"/>
        </w:rPr>
        <w:t>揭露层厚 </w:t>
      </w:r>
      <w:r>
        <w:rPr>
          <w:rFonts w:ascii="Times New Roman" w:eastAsia="Times New Roman"/>
        </w:rPr>
        <w:t>0.50</w:t>
      </w:r>
      <w:r>
        <w:rPr/>
        <w:t>～</w:t>
      </w:r>
      <w:r>
        <w:rPr>
          <w:rFonts w:ascii="Times New Roman" w:eastAsia="Times New Roman"/>
        </w:rPr>
        <w:t>2.80m</w:t>
      </w:r>
      <w:r>
        <w:rPr/>
        <w:t>。</w:t>
      </w:r>
    </w:p>
    <w:p>
      <w:pPr>
        <w:spacing w:line="306" w:lineRule="exact" w:before="0"/>
        <w:ind w:left="778" w:right="0" w:firstLine="0"/>
        <w:jc w:val="left"/>
        <w:rPr>
          <w:sz w:val="24"/>
        </w:rPr>
      </w:pPr>
      <w:r>
        <w:rPr>
          <w:position w:val="2"/>
          <w:sz w:val="24"/>
        </w:rPr>
        <w:t>⑧</w:t>
      </w:r>
      <w:r>
        <w:rPr>
          <w:rFonts w:ascii="Times New Roman" w:hAnsi="Times New Roman" w:eastAsia="Times New Roman"/>
          <w:position w:val="2"/>
          <w:sz w:val="24"/>
        </w:rPr>
        <w:t>-3 </w:t>
      </w:r>
      <w:r>
        <w:rPr>
          <w:position w:val="2"/>
          <w:sz w:val="24"/>
        </w:rPr>
        <w:t>层：圆砾（</w:t>
      </w:r>
      <w:r>
        <w:rPr>
          <w:rFonts w:ascii="Times New Roman" w:hAnsi="Times New Roman" w:eastAsia="Times New Roman"/>
          <w:position w:val="2"/>
          <w:sz w:val="24"/>
        </w:rPr>
        <w:t>Q</w:t>
      </w:r>
      <w:r>
        <w:rPr>
          <w:rFonts w:ascii="Times New Roman" w:hAnsi="Times New Roman" w:eastAsia="Times New Roman"/>
          <w:sz w:val="16"/>
        </w:rPr>
        <w:t>3</w:t>
      </w:r>
      <w:r>
        <w:rPr>
          <w:rFonts w:ascii="Times New Roman" w:hAnsi="Times New Roman" w:eastAsia="Times New Roman"/>
          <w:position w:val="11"/>
          <w:sz w:val="16"/>
        </w:rPr>
        <w:t>al-pl</w:t>
      </w:r>
      <w:r>
        <w:rPr>
          <w:position w:val="2"/>
          <w:sz w:val="24"/>
        </w:rPr>
        <w:t>）</w:t>
      </w:r>
    </w:p>
    <w:p>
      <w:pPr>
        <w:pStyle w:val="BodyText"/>
        <w:spacing w:line="364" w:lineRule="auto" w:before="159"/>
        <w:ind w:left="218" w:right="232" w:firstLine="599"/>
        <w:jc w:val="both"/>
      </w:pPr>
      <w:r>
        <w:rPr>
          <w:spacing w:val="-23"/>
        </w:rPr>
        <w:t>灰色，饱和，密实为主，局部中密。主要成分为火山岩，呈亚圆形，粒径一般 </w:t>
      </w:r>
      <w:r>
        <w:rPr>
          <w:rFonts w:ascii="Times New Roman" w:eastAsia="Times New Roman"/>
          <w:spacing w:val="-3"/>
        </w:rPr>
        <w:t>0.50</w:t>
      </w:r>
      <w:r>
        <w:rPr>
          <w:spacing w:val="-3"/>
        </w:rPr>
        <w:t>～ </w:t>
      </w:r>
      <w:r>
        <w:rPr>
          <w:rFonts w:ascii="Times New Roman" w:eastAsia="Times New Roman"/>
        </w:rPr>
        <w:t>2.00cm</w:t>
      </w:r>
      <w:r>
        <w:rPr>
          <w:spacing w:val="-7"/>
        </w:rPr>
        <w:t>。砾石间大量为砂粒、粉粘粒充填。该层局部变相为砾砂及中砂、细砂等。颗分结果平均含量：碎石粒</w:t>
      </w:r>
      <w:r>
        <w:rPr>
          <w:rFonts w:ascii="Times New Roman" w:eastAsia="Times New Roman"/>
        </w:rPr>
        <w:t>(</w:t>
      </w:r>
      <w:r>
        <w:rPr/>
        <w:t>粒径＞</w:t>
      </w:r>
      <w:r>
        <w:rPr>
          <w:rFonts w:ascii="Times New Roman" w:eastAsia="Times New Roman"/>
        </w:rPr>
        <w:t>20mm)</w:t>
      </w:r>
      <w:r>
        <w:rPr>
          <w:spacing w:val="-31"/>
        </w:rPr>
        <w:t>为 </w:t>
      </w:r>
      <w:r>
        <w:rPr>
          <w:rFonts w:ascii="Times New Roman" w:eastAsia="Times New Roman"/>
        </w:rPr>
        <w:t>19.3%</w:t>
      </w:r>
      <w:r>
        <w:rPr>
          <w:spacing w:val="-2"/>
        </w:rPr>
        <w:t>、砾石粒</w:t>
      </w:r>
      <w:r>
        <w:rPr>
          <w:rFonts w:ascii="Times New Roman" w:eastAsia="Times New Roman"/>
        </w:rPr>
        <w:t>(</w:t>
      </w:r>
      <w:r>
        <w:rPr>
          <w:spacing w:val="-21"/>
        </w:rPr>
        <w:t>粒径 </w:t>
      </w:r>
      <w:r>
        <w:rPr>
          <w:rFonts w:ascii="Times New Roman" w:eastAsia="Times New Roman"/>
        </w:rPr>
        <w:t>20</w:t>
      </w:r>
      <w:r>
        <w:rPr/>
        <w:t>～</w:t>
      </w:r>
      <w:r>
        <w:rPr>
          <w:rFonts w:ascii="Times New Roman" w:eastAsia="Times New Roman"/>
        </w:rPr>
        <w:t>2mm)</w:t>
      </w:r>
      <w:r>
        <w:rPr>
          <w:spacing w:val="-31"/>
        </w:rPr>
        <w:t>为 </w:t>
      </w:r>
      <w:r>
        <w:rPr>
          <w:rFonts w:ascii="Times New Roman" w:eastAsia="Times New Roman"/>
        </w:rPr>
        <w:t>31.2%</w:t>
      </w:r>
      <w:r>
        <w:rPr>
          <w:spacing w:val="-2"/>
        </w:rPr>
        <w:t>、砂粒</w:t>
      </w:r>
      <w:r>
        <w:rPr>
          <w:rFonts w:ascii="Times New Roman" w:eastAsia="Times New Roman"/>
          <w:spacing w:val="-2"/>
        </w:rPr>
        <w:t>(</w:t>
      </w:r>
      <w:r>
        <w:rPr>
          <w:spacing w:val="-23"/>
        </w:rPr>
        <w:t>粒径 </w:t>
      </w:r>
      <w:r>
        <w:rPr>
          <w:rFonts w:ascii="Times New Roman" w:eastAsia="Times New Roman"/>
        </w:rPr>
        <w:t>2</w:t>
      </w:r>
      <w:r>
        <w:rPr/>
        <w:t>～</w:t>
      </w:r>
      <w:r>
        <w:rPr>
          <w:rFonts w:ascii="Times New Roman" w:eastAsia="Times New Roman"/>
        </w:rPr>
        <w:t>0.075mm)</w:t>
      </w:r>
      <w:r>
        <w:rPr>
          <w:spacing w:val="-31"/>
        </w:rPr>
        <w:t>为 </w:t>
      </w:r>
      <w:r>
        <w:rPr>
          <w:rFonts w:ascii="Times New Roman" w:eastAsia="Times New Roman"/>
        </w:rPr>
        <w:t>31.3%</w:t>
      </w:r>
      <w:r>
        <w:rPr>
          <w:spacing w:val="-2"/>
        </w:rPr>
        <w:t>、粉粒</w:t>
      </w:r>
      <w:r>
        <w:rPr>
          <w:rFonts w:ascii="Times New Roman" w:eastAsia="Times New Roman"/>
        </w:rPr>
        <w:t>(</w:t>
      </w:r>
      <w:r>
        <w:rPr>
          <w:spacing w:val="-21"/>
        </w:rPr>
        <w:t>粒径 </w:t>
      </w:r>
      <w:r>
        <w:rPr>
          <w:rFonts w:ascii="Times New Roman" w:eastAsia="Times New Roman"/>
        </w:rPr>
        <w:t>0.075</w:t>
      </w:r>
      <w:r>
        <w:rPr/>
        <w:t>～</w:t>
      </w:r>
      <w:r>
        <w:rPr>
          <w:rFonts w:ascii="Times New Roman" w:eastAsia="Times New Roman"/>
        </w:rPr>
        <w:t>0.005mm)</w:t>
      </w:r>
      <w:r>
        <w:rPr>
          <w:spacing w:val="-31"/>
        </w:rPr>
        <w:t>为 </w:t>
      </w:r>
      <w:r>
        <w:rPr>
          <w:rFonts w:ascii="Times New Roman" w:eastAsia="Times New Roman"/>
        </w:rPr>
        <w:t>18.2%</w:t>
      </w:r>
      <w:r>
        <w:rPr>
          <w:spacing w:val="-1"/>
        </w:rPr>
        <w:t>，属低压缩性土。土</w:t>
      </w:r>
      <w:r>
        <w:rPr>
          <w:spacing w:val="-1"/>
          <w:position w:val="2"/>
        </w:rPr>
        <w:t>质不均匀。圆锥动力触探试验</w:t>
      </w:r>
      <w:r>
        <w:rPr>
          <w:rFonts w:ascii="Times New Roman" w:eastAsia="Times New Roman"/>
          <w:spacing w:val="-1"/>
          <w:position w:val="2"/>
        </w:rPr>
        <w:t>(N</w:t>
      </w:r>
      <w:r>
        <w:rPr>
          <w:rFonts w:ascii="Times New Roman" w:eastAsia="Times New Roman"/>
          <w:spacing w:val="-1"/>
          <w:sz w:val="16"/>
        </w:rPr>
        <w:t>63.5</w:t>
      </w:r>
      <w:r>
        <w:rPr>
          <w:rFonts w:ascii="Times New Roman" w:eastAsia="Times New Roman"/>
          <w:spacing w:val="-1"/>
          <w:position w:val="2"/>
        </w:rPr>
        <w:t>)</w:t>
      </w:r>
      <w:r>
        <w:rPr>
          <w:spacing w:val="-8"/>
          <w:position w:val="2"/>
        </w:rPr>
        <w:t>实击数为 </w:t>
      </w:r>
      <w:r>
        <w:rPr>
          <w:rFonts w:ascii="Times New Roman" w:eastAsia="Times New Roman"/>
          <w:position w:val="2"/>
        </w:rPr>
        <w:t>22</w:t>
      </w:r>
      <w:r>
        <w:rPr>
          <w:position w:val="2"/>
        </w:rPr>
        <w:t>～</w:t>
      </w:r>
      <w:r>
        <w:rPr>
          <w:rFonts w:ascii="Times New Roman" w:eastAsia="Times New Roman"/>
          <w:position w:val="2"/>
        </w:rPr>
        <w:t>46 </w:t>
      </w:r>
      <w:r>
        <w:rPr>
          <w:position w:val="2"/>
        </w:rPr>
        <w:t>击</w:t>
      </w:r>
      <w:r>
        <w:rPr>
          <w:rFonts w:ascii="Times New Roman" w:eastAsia="Times New Roman"/>
          <w:position w:val="2"/>
        </w:rPr>
        <w:t>/10cm</w:t>
      </w:r>
      <w:r>
        <w:rPr>
          <w:position w:val="2"/>
        </w:rPr>
        <w:t>，该层分布稳定。层面高</w:t>
      </w:r>
      <w:r>
        <w:rPr/>
        <w:t>程</w:t>
      </w:r>
      <w:r>
        <w:rPr>
          <w:rFonts w:ascii="Times New Roman" w:eastAsia="Times New Roman"/>
        </w:rPr>
        <w:t>-56.43</w:t>
      </w:r>
      <w:r>
        <w:rPr/>
        <w:t>～</w:t>
      </w:r>
      <w:r>
        <w:rPr>
          <w:rFonts w:ascii="Times New Roman" w:eastAsia="Times New Roman"/>
        </w:rPr>
        <w:t>-52.26m</w:t>
      </w:r>
      <w:r>
        <w:rPr>
          <w:spacing w:val="-11"/>
        </w:rPr>
        <w:t>，揭露层厚 </w:t>
      </w:r>
      <w:r>
        <w:rPr>
          <w:rFonts w:ascii="Times New Roman" w:eastAsia="Times New Roman"/>
        </w:rPr>
        <w:t>0.90</w:t>
      </w:r>
      <w:r>
        <w:rPr/>
        <w:t>～</w:t>
      </w:r>
      <w:r>
        <w:rPr>
          <w:rFonts w:ascii="Times New Roman" w:eastAsia="Times New Roman"/>
        </w:rPr>
        <w:t>10.70m</w:t>
      </w:r>
      <w:r>
        <w:rPr/>
        <w:t>。</w:t>
      </w:r>
    </w:p>
    <w:p>
      <w:pPr>
        <w:pStyle w:val="Heading4"/>
        <w:spacing w:line="307" w:lineRule="exact"/>
      </w:pPr>
      <w:r>
        <w:rPr>
          <w:rFonts w:ascii="Times New Roman" w:eastAsia="Times New Roman"/>
        </w:rPr>
        <w:t>2</w:t>
      </w:r>
      <w:r>
        <w:rPr/>
        <w:t>、土壤环境敏感目标调查</w:t>
      </w:r>
    </w:p>
    <w:p>
      <w:pPr>
        <w:pStyle w:val="BodyText"/>
        <w:spacing w:line="364" w:lineRule="auto" w:before="158"/>
        <w:ind w:left="218" w:right="170" w:firstLine="480"/>
      </w:pPr>
      <w:r>
        <w:rPr/>
        <w:t>经实地调查，调查评价范围内（厂界外延 </w:t>
      </w:r>
      <w:r>
        <w:rPr>
          <w:rFonts w:ascii="Times New Roman" w:eastAsia="Times New Roman"/>
        </w:rPr>
        <w:t>0.2km</w:t>
      </w:r>
      <w:r>
        <w:rPr/>
        <w:t>）均为杭州湾上虞经济技术开发区内企业及道路等设施，无土壤环境敏感点。</w:t>
      </w:r>
    </w:p>
    <w:p>
      <w:pPr>
        <w:pStyle w:val="Heading4"/>
        <w:spacing w:line="306" w:lineRule="exact"/>
      </w:pPr>
      <w:r>
        <w:rPr>
          <w:rFonts w:ascii="Times New Roman" w:eastAsia="Times New Roman"/>
        </w:rPr>
        <w:t>3</w:t>
      </w:r>
      <w:r>
        <w:rPr/>
        <w:t>、环境影响识别</w:t>
      </w:r>
    </w:p>
    <w:p>
      <w:pPr>
        <w:pStyle w:val="BodyText"/>
        <w:spacing w:line="362" w:lineRule="auto" w:before="161"/>
        <w:ind w:left="218" w:right="173" w:firstLine="480"/>
      </w:pPr>
      <w:r>
        <w:rPr/>
        <w:t>本项目属污染影响类项目，根据工程组成，可分为建设期、营运期两个阶段对土壤的环境影响：</w:t>
      </w:r>
    </w:p>
    <w:p>
      <w:pPr>
        <w:pStyle w:val="ListParagraph"/>
        <w:numPr>
          <w:ilvl w:val="0"/>
          <w:numId w:val="36"/>
        </w:numPr>
        <w:tabs>
          <w:tab w:pos="980" w:val="left" w:leader="none"/>
        </w:tabs>
        <w:spacing w:line="240" w:lineRule="auto" w:before="5" w:after="0"/>
        <w:ind w:left="979" w:right="0" w:hanging="282"/>
        <w:jc w:val="left"/>
        <w:rPr>
          <w:sz w:val="24"/>
        </w:rPr>
      </w:pPr>
      <w:r>
        <w:rPr>
          <w:sz w:val="24"/>
        </w:rPr>
        <w:t>施工期环境影响识别：地面漫流、垂直入渗</w:t>
      </w:r>
    </w:p>
    <w:p>
      <w:pPr>
        <w:pStyle w:val="ListParagraph"/>
        <w:numPr>
          <w:ilvl w:val="0"/>
          <w:numId w:val="36"/>
        </w:numPr>
        <w:tabs>
          <w:tab w:pos="980" w:val="left" w:leader="none"/>
        </w:tabs>
        <w:spacing w:line="240" w:lineRule="auto" w:before="158" w:after="0"/>
        <w:ind w:left="979" w:right="0" w:hanging="282"/>
        <w:jc w:val="left"/>
        <w:rPr>
          <w:sz w:val="24"/>
        </w:rPr>
      </w:pPr>
      <w:r>
        <w:rPr>
          <w:sz w:val="24"/>
        </w:rPr>
        <w:t>营运期环境影响识别：大气沉降、地面漫流、垂直入渗</w:t>
      </w:r>
    </w:p>
    <w:p>
      <w:pPr>
        <w:pStyle w:val="BodyText"/>
        <w:spacing w:line="362" w:lineRule="auto" w:before="161"/>
        <w:ind w:left="218" w:right="239" w:firstLine="480"/>
      </w:pPr>
      <w:r>
        <w:rPr/>
        <w:t>本项目对土壤的影响类型和途径见表 </w:t>
      </w:r>
      <w:r>
        <w:rPr>
          <w:rFonts w:ascii="Times New Roman" w:eastAsia="Times New Roman"/>
        </w:rPr>
        <w:t>7.2.6-1</w:t>
      </w:r>
      <w:r>
        <w:rPr/>
        <w:t>，本项目土壤环境影响识别见表</w:t>
      </w:r>
      <w:r>
        <w:rPr>
          <w:rFonts w:ascii="Times New Roman" w:eastAsia="Times New Roman"/>
        </w:rPr>
        <w:t>7.2.6-2</w:t>
      </w:r>
      <w:r>
        <w:rPr/>
        <w:t>。</w:t>
      </w:r>
    </w:p>
    <w:p>
      <w:pPr>
        <w:pStyle w:val="Heading4"/>
        <w:tabs>
          <w:tab w:pos="3195" w:val="left" w:leader="none"/>
        </w:tabs>
        <w:spacing w:before="146" w:after="29"/>
        <w:ind w:left="1973"/>
      </w:pPr>
      <w:r>
        <w:rPr/>
        <w:t>表</w:t>
      </w:r>
      <w:r>
        <w:rPr>
          <w:spacing w:val="-60"/>
        </w:rPr>
        <w:t> </w:t>
      </w:r>
      <w:r>
        <w:rPr>
          <w:rFonts w:ascii="Times New Roman" w:eastAsia="Times New Roman"/>
        </w:rPr>
        <w:t>7.2.6-1</w:t>
        <w:tab/>
      </w:r>
      <w:r>
        <w:rPr/>
        <w:t>建设项目土壤环境影响类型与影响途径表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8"/>
        <w:gridCol w:w="2279"/>
        <w:gridCol w:w="2279"/>
        <w:gridCol w:w="2454"/>
      </w:tblGrid>
      <w:tr>
        <w:trPr>
          <w:trHeight w:val="273" w:hRule="atLeast"/>
        </w:trPr>
        <w:tc>
          <w:tcPr>
            <w:tcW w:w="2278" w:type="dxa"/>
            <w:vMerge w:val="restart"/>
          </w:tcPr>
          <w:p>
            <w:pPr>
              <w:pStyle w:val="TableParagraph"/>
              <w:spacing w:before="142"/>
              <w:ind w:left="717"/>
              <w:jc w:val="left"/>
              <w:rPr>
                <w:sz w:val="21"/>
              </w:rPr>
            </w:pPr>
            <w:r>
              <w:rPr>
                <w:sz w:val="21"/>
              </w:rPr>
              <w:t>不同时段</w:t>
            </w:r>
          </w:p>
        </w:tc>
        <w:tc>
          <w:tcPr>
            <w:tcW w:w="7012" w:type="dxa"/>
            <w:gridSpan w:val="3"/>
          </w:tcPr>
          <w:p>
            <w:pPr>
              <w:pStyle w:val="TableParagraph"/>
              <w:spacing w:line="252" w:lineRule="exact" w:before="1"/>
              <w:ind w:left="2960" w:right="2952"/>
              <w:rPr>
                <w:sz w:val="21"/>
              </w:rPr>
            </w:pPr>
            <w:r>
              <w:rPr>
                <w:sz w:val="21"/>
              </w:rPr>
              <w:t>污染影响型</w:t>
            </w:r>
          </w:p>
        </w:tc>
      </w:tr>
      <w:tr>
        <w:trPr>
          <w:trHeight w:val="270" w:hRule="atLeast"/>
        </w:trPr>
        <w:tc>
          <w:tcPr>
            <w:tcW w:w="2278" w:type="dxa"/>
            <w:vMerge/>
            <w:tcBorders>
              <w:top w:val="nil"/>
            </w:tcBorders>
          </w:tcPr>
          <w:p>
            <w:pPr>
              <w:rPr>
                <w:sz w:val="2"/>
                <w:szCs w:val="2"/>
              </w:rPr>
            </w:pPr>
          </w:p>
        </w:tc>
        <w:tc>
          <w:tcPr>
            <w:tcW w:w="2279" w:type="dxa"/>
          </w:tcPr>
          <w:p>
            <w:pPr>
              <w:pStyle w:val="TableParagraph"/>
              <w:spacing w:line="250" w:lineRule="exact" w:before="1"/>
              <w:ind w:left="697" w:right="689"/>
              <w:rPr>
                <w:sz w:val="21"/>
              </w:rPr>
            </w:pPr>
            <w:r>
              <w:rPr>
                <w:sz w:val="21"/>
              </w:rPr>
              <w:t>大气沉降</w:t>
            </w:r>
          </w:p>
        </w:tc>
        <w:tc>
          <w:tcPr>
            <w:tcW w:w="2279" w:type="dxa"/>
          </w:tcPr>
          <w:p>
            <w:pPr>
              <w:pStyle w:val="TableParagraph"/>
              <w:spacing w:line="250" w:lineRule="exact" w:before="1"/>
              <w:ind w:left="695" w:right="690"/>
              <w:rPr>
                <w:sz w:val="21"/>
              </w:rPr>
            </w:pPr>
            <w:r>
              <w:rPr>
                <w:sz w:val="21"/>
              </w:rPr>
              <w:t>地面漫流</w:t>
            </w:r>
          </w:p>
        </w:tc>
        <w:tc>
          <w:tcPr>
            <w:tcW w:w="2454" w:type="dxa"/>
          </w:tcPr>
          <w:p>
            <w:pPr>
              <w:pStyle w:val="TableParagraph"/>
              <w:spacing w:line="250" w:lineRule="exact" w:before="1"/>
              <w:ind w:left="785" w:right="779"/>
              <w:rPr>
                <w:sz w:val="21"/>
              </w:rPr>
            </w:pPr>
            <w:r>
              <w:rPr>
                <w:sz w:val="21"/>
              </w:rPr>
              <w:t>垂直入渗</w:t>
            </w:r>
          </w:p>
        </w:tc>
      </w:tr>
      <w:tr>
        <w:trPr>
          <w:trHeight w:val="273" w:hRule="atLeast"/>
        </w:trPr>
        <w:tc>
          <w:tcPr>
            <w:tcW w:w="2278" w:type="dxa"/>
          </w:tcPr>
          <w:p>
            <w:pPr>
              <w:pStyle w:val="TableParagraph"/>
              <w:spacing w:line="252" w:lineRule="exact" w:before="1"/>
              <w:ind w:left="593" w:right="582"/>
              <w:rPr>
                <w:sz w:val="21"/>
              </w:rPr>
            </w:pPr>
            <w:r>
              <w:rPr>
                <w:sz w:val="21"/>
              </w:rPr>
              <w:t>建设期</w:t>
            </w:r>
          </w:p>
        </w:tc>
        <w:tc>
          <w:tcPr>
            <w:tcW w:w="2279" w:type="dxa"/>
          </w:tcPr>
          <w:p>
            <w:pPr>
              <w:pStyle w:val="TableParagraph"/>
              <w:jc w:val="left"/>
              <w:rPr>
                <w:rFonts w:ascii="Times New Roman"/>
                <w:sz w:val="20"/>
              </w:rPr>
            </w:pPr>
          </w:p>
        </w:tc>
        <w:tc>
          <w:tcPr>
            <w:tcW w:w="2279" w:type="dxa"/>
          </w:tcPr>
          <w:p>
            <w:pPr>
              <w:pStyle w:val="TableParagraph"/>
              <w:spacing w:line="238" w:lineRule="exact" w:before="15"/>
              <w:ind w:left="4"/>
              <w:rPr>
                <w:rFonts w:ascii="Times New Roman" w:hAnsi="Times New Roman"/>
                <w:sz w:val="21"/>
              </w:rPr>
            </w:pPr>
            <w:r>
              <w:rPr>
                <w:rFonts w:ascii="Times New Roman" w:hAnsi="Times New Roman"/>
                <w:w w:val="100"/>
                <w:sz w:val="21"/>
              </w:rPr>
              <w:t>√</w:t>
            </w:r>
          </w:p>
        </w:tc>
        <w:tc>
          <w:tcPr>
            <w:tcW w:w="2454" w:type="dxa"/>
          </w:tcPr>
          <w:p>
            <w:pPr>
              <w:pStyle w:val="TableParagraph"/>
              <w:spacing w:line="238" w:lineRule="exact" w:before="15"/>
              <w:ind w:left="5"/>
              <w:rPr>
                <w:rFonts w:ascii="Times New Roman" w:hAnsi="Times New Roman"/>
                <w:sz w:val="21"/>
              </w:rPr>
            </w:pPr>
            <w:r>
              <w:rPr>
                <w:rFonts w:ascii="Times New Roman" w:hAnsi="Times New Roman"/>
                <w:w w:val="100"/>
                <w:sz w:val="21"/>
              </w:rPr>
              <w:t>√</w:t>
            </w:r>
          </w:p>
        </w:tc>
      </w:tr>
      <w:tr>
        <w:trPr>
          <w:trHeight w:val="270" w:hRule="atLeast"/>
        </w:trPr>
        <w:tc>
          <w:tcPr>
            <w:tcW w:w="2278" w:type="dxa"/>
          </w:tcPr>
          <w:p>
            <w:pPr>
              <w:pStyle w:val="TableParagraph"/>
              <w:spacing w:line="250" w:lineRule="exact" w:before="1"/>
              <w:ind w:left="593" w:right="582"/>
              <w:rPr>
                <w:sz w:val="21"/>
              </w:rPr>
            </w:pPr>
            <w:r>
              <w:rPr>
                <w:sz w:val="21"/>
              </w:rPr>
              <w:t>运营期</w:t>
            </w:r>
          </w:p>
        </w:tc>
        <w:tc>
          <w:tcPr>
            <w:tcW w:w="2279" w:type="dxa"/>
          </w:tcPr>
          <w:p>
            <w:pPr>
              <w:pStyle w:val="TableParagraph"/>
              <w:spacing w:line="236" w:lineRule="exact" w:before="15"/>
              <w:ind w:left="6"/>
              <w:rPr>
                <w:rFonts w:ascii="Times New Roman" w:hAnsi="Times New Roman"/>
                <w:sz w:val="21"/>
              </w:rPr>
            </w:pPr>
            <w:r>
              <w:rPr>
                <w:rFonts w:ascii="Times New Roman" w:hAnsi="Times New Roman"/>
                <w:w w:val="100"/>
                <w:sz w:val="21"/>
              </w:rPr>
              <w:t>√</w:t>
            </w:r>
          </w:p>
        </w:tc>
        <w:tc>
          <w:tcPr>
            <w:tcW w:w="2279" w:type="dxa"/>
          </w:tcPr>
          <w:p>
            <w:pPr>
              <w:pStyle w:val="TableParagraph"/>
              <w:spacing w:line="236" w:lineRule="exact" w:before="15"/>
              <w:ind w:left="4"/>
              <w:rPr>
                <w:rFonts w:ascii="Times New Roman" w:hAnsi="Times New Roman"/>
                <w:sz w:val="21"/>
              </w:rPr>
            </w:pPr>
            <w:r>
              <w:rPr>
                <w:rFonts w:ascii="Times New Roman" w:hAnsi="Times New Roman"/>
                <w:w w:val="100"/>
                <w:sz w:val="21"/>
              </w:rPr>
              <w:t>√</w:t>
            </w:r>
          </w:p>
        </w:tc>
        <w:tc>
          <w:tcPr>
            <w:tcW w:w="2454" w:type="dxa"/>
          </w:tcPr>
          <w:p>
            <w:pPr>
              <w:pStyle w:val="TableParagraph"/>
              <w:spacing w:line="236" w:lineRule="exact" w:before="15"/>
              <w:ind w:left="5"/>
              <w:rPr>
                <w:rFonts w:ascii="Times New Roman" w:hAnsi="Times New Roman"/>
                <w:sz w:val="21"/>
              </w:rPr>
            </w:pPr>
            <w:r>
              <w:rPr>
                <w:rFonts w:ascii="Times New Roman" w:hAnsi="Times New Roman"/>
                <w:w w:val="100"/>
                <w:sz w:val="21"/>
              </w:rPr>
              <w:t>√</w:t>
            </w:r>
          </w:p>
        </w:tc>
      </w:tr>
      <w:tr>
        <w:trPr>
          <w:trHeight w:val="273" w:hRule="atLeast"/>
        </w:trPr>
        <w:tc>
          <w:tcPr>
            <w:tcW w:w="2278" w:type="dxa"/>
          </w:tcPr>
          <w:p>
            <w:pPr>
              <w:pStyle w:val="TableParagraph"/>
              <w:spacing w:line="250" w:lineRule="exact" w:before="3"/>
              <w:ind w:left="593" w:right="584"/>
              <w:rPr>
                <w:sz w:val="21"/>
              </w:rPr>
            </w:pPr>
            <w:r>
              <w:rPr>
                <w:sz w:val="21"/>
              </w:rPr>
              <w:t>服务期满后</w:t>
            </w:r>
          </w:p>
        </w:tc>
        <w:tc>
          <w:tcPr>
            <w:tcW w:w="2279" w:type="dxa"/>
          </w:tcPr>
          <w:p>
            <w:pPr>
              <w:pStyle w:val="TableParagraph"/>
              <w:jc w:val="left"/>
              <w:rPr>
                <w:rFonts w:ascii="Times New Roman"/>
                <w:sz w:val="20"/>
              </w:rPr>
            </w:pPr>
          </w:p>
        </w:tc>
        <w:tc>
          <w:tcPr>
            <w:tcW w:w="2279" w:type="dxa"/>
          </w:tcPr>
          <w:p>
            <w:pPr>
              <w:pStyle w:val="TableParagraph"/>
              <w:spacing w:line="236" w:lineRule="exact" w:before="17"/>
              <w:ind w:left="4"/>
              <w:rPr>
                <w:rFonts w:ascii="Times New Roman" w:hAnsi="Times New Roman"/>
                <w:sz w:val="21"/>
              </w:rPr>
            </w:pPr>
            <w:r>
              <w:rPr>
                <w:rFonts w:ascii="Times New Roman" w:hAnsi="Times New Roman"/>
                <w:w w:val="100"/>
                <w:sz w:val="21"/>
              </w:rPr>
              <w:t>√</w:t>
            </w:r>
          </w:p>
        </w:tc>
        <w:tc>
          <w:tcPr>
            <w:tcW w:w="2454" w:type="dxa"/>
          </w:tcPr>
          <w:p>
            <w:pPr>
              <w:pStyle w:val="TableParagraph"/>
              <w:spacing w:line="236" w:lineRule="exact" w:before="17"/>
              <w:ind w:left="5"/>
              <w:rPr>
                <w:rFonts w:ascii="Times New Roman" w:hAnsi="Times New Roman"/>
                <w:sz w:val="21"/>
              </w:rPr>
            </w:pPr>
            <w:r>
              <w:rPr>
                <w:rFonts w:ascii="Times New Roman" w:hAnsi="Times New Roman"/>
                <w:w w:val="100"/>
                <w:sz w:val="21"/>
              </w:rPr>
              <w:t>√</w:t>
            </w:r>
          </w:p>
        </w:tc>
      </w:tr>
      <w:tr>
        <w:trPr>
          <w:trHeight w:val="273" w:hRule="atLeast"/>
        </w:trPr>
        <w:tc>
          <w:tcPr>
            <w:tcW w:w="9290" w:type="dxa"/>
            <w:gridSpan w:val="4"/>
          </w:tcPr>
          <w:p>
            <w:pPr>
              <w:pStyle w:val="TableParagraph"/>
              <w:spacing w:line="252" w:lineRule="exact" w:before="1"/>
              <w:ind w:left="107"/>
              <w:jc w:val="left"/>
              <w:rPr>
                <w:sz w:val="21"/>
              </w:rPr>
            </w:pPr>
            <w:r>
              <w:rPr>
                <w:sz w:val="21"/>
              </w:rPr>
              <w:t>注：在可能产生的土壤环境影响类型处打</w:t>
            </w:r>
            <w:r>
              <w:rPr>
                <w:rFonts w:ascii="Times New Roman" w:hAnsi="Times New Roman" w:eastAsia="Times New Roman"/>
                <w:sz w:val="21"/>
              </w:rPr>
              <w:t>“√”</w:t>
            </w:r>
            <w:r>
              <w:rPr>
                <w:sz w:val="21"/>
              </w:rPr>
              <w:t>，列表未涵盖的可自行设计。</w:t>
            </w:r>
          </w:p>
        </w:tc>
      </w:tr>
    </w:tbl>
    <w:p>
      <w:pPr>
        <w:tabs>
          <w:tab w:pos="1221" w:val="left" w:leader="none"/>
        </w:tabs>
        <w:spacing w:before="144" w:after="29"/>
        <w:ind w:left="0" w:right="19" w:firstLine="0"/>
        <w:jc w:val="center"/>
        <w:rPr>
          <w:b/>
          <w:sz w:val="24"/>
        </w:rPr>
      </w:pPr>
      <w:r>
        <w:rPr>
          <w:b/>
          <w:sz w:val="24"/>
        </w:rPr>
        <w:t>表</w:t>
      </w:r>
      <w:r>
        <w:rPr>
          <w:b/>
          <w:spacing w:val="-60"/>
          <w:sz w:val="24"/>
        </w:rPr>
        <w:t> </w:t>
      </w:r>
      <w:r>
        <w:rPr>
          <w:rFonts w:ascii="Times New Roman" w:eastAsia="Times New Roman"/>
          <w:b/>
          <w:sz w:val="24"/>
        </w:rPr>
        <w:t>7.2.6-2</w:t>
        <w:tab/>
      </w:r>
      <w:r>
        <w:rPr>
          <w:b/>
          <w:sz w:val="24"/>
        </w:rPr>
        <w:t>污染影响型建设项目土壤环境影响源及影响因子识别表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6"/>
        <w:gridCol w:w="1775"/>
        <w:gridCol w:w="1220"/>
        <w:gridCol w:w="2106"/>
        <w:gridCol w:w="1174"/>
        <w:gridCol w:w="1770"/>
      </w:tblGrid>
      <w:tr>
        <w:trPr>
          <w:trHeight w:val="273" w:hRule="atLeast"/>
        </w:trPr>
        <w:tc>
          <w:tcPr>
            <w:tcW w:w="1246" w:type="dxa"/>
          </w:tcPr>
          <w:p>
            <w:pPr>
              <w:pStyle w:val="TableParagraph"/>
              <w:spacing w:line="252" w:lineRule="exact" w:before="1"/>
              <w:ind w:left="168" w:right="162"/>
              <w:rPr>
                <w:b/>
                <w:sz w:val="21"/>
              </w:rPr>
            </w:pPr>
            <w:r>
              <w:rPr>
                <w:b/>
                <w:sz w:val="21"/>
              </w:rPr>
              <w:t>污染源</w:t>
            </w:r>
          </w:p>
        </w:tc>
        <w:tc>
          <w:tcPr>
            <w:tcW w:w="1775" w:type="dxa"/>
          </w:tcPr>
          <w:p>
            <w:pPr>
              <w:pStyle w:val="TableParagraph"/>
              <w:spacing w:line="252" w:lineRule="exact" w:before="1"/>
              <w:ind w:left="39" w:right="30"/>
              <w:rPr>
                <w:b/>
                <w:sz w:val="21"/>
              </w:rPr>
            </w:pPr>
            <w:r>
              <w:rPr>
                <w:b/>
                <w:sz w:val="21"/>
              </w:rPr>
              <w:t>工艺流程</w:t>
            </w:r>
            <w:r>
              <w:rPr>
                <w:rFonts w:ascii="Times New Roman" w:eastAsia="Times New Roman"/>
                <w:b/>
                <w:sz w:val="21"/>
              </w:rPr>
              <w:t>/</w:t>
            </w:r>
            <w:r>
              <w:rPr>
                <w:b/>
                <w:sz w:val="21"/>
              </w:rPr>
              <w:t>节点</w:t>
            </w:r>
          </w:p>
        </w:tc>
        <w:tc>
          <w:tcPr>
            <w:tcW w:w="1220" w:type="dxa"/>
          </w:tcPr>
          <w:p>
            <w:pPr>
              <w:pStyle w:val="TableParagraph"/>
              <w:spacing w:line="252" w:lineRule="exact" w:before="1"/>
              <w:ind w:left="166" w:right="160"/>
              <w:rPr>
                <w:b/>
                <w:sz w:val="21"/>
              </w:rPr>
            </w:pPr>
            <w:r>
              <w:rPr>
                <w:b/>
                <w:sz w:val="21"/>
              </w:rPr>
              <w:t>污染途径</w:t>
            </w:r>
          </w:p>
        </w:tc>
        <w:tc>
          <w:tcPr>
            <w:tcW w:w="2106" w:type="dxa"/>
          </w:tcPr>
          <w:p>
            <w:pPr>
              <w:pStyle w:val="TableParagraph"/>
              <w:spacing w:line="252" w:lineRule="exact" w:before="1"/>
              <w:ind w:left="206" w:right="197"/>
              <w:rPr>
                <w:rFonts w:ascii="Times New Roman" w:eastAsia="Times New Roman"/>
                <w:b/>
                <w:sz w:val="14"/>
              </w:rPr>
            </w:pPr>
            <w:r>
              <w:rPr>
                <w:b/>
                <w:sz w:val="21"/>
              </w:rPr>
              <w:t>全部污染物指标 </w:t>
            </w:r>
            <w:r>
              <w:rPr>
                <w:rFonts w:ascii="Times New Roman" w:eastAsia="Times New Roman"/>
                <w:b/>
                <w:position w:val="7"/>
                <w:sz w:val="14"/>
              </w:rPr>
              <w:t>a</w:t>
            </w:r>
          </w:p>
        </w:tc>
        <w:tc>
          <w:tcPr>
            <w:tcW w:w="1174" w:type="dxa"/>
          </w:tcPr>
          <w:p>
            <w:pPr>
              <w:pStyle w:val="TableParagraph"/>
              <w:spacing w:line="252" w:lineRule="exact" w:before="1"/>
              <w:ind w:left="140" w:right="139"/>
              <w:rPr>
                <w:b/>
                <w:sz w:val="21"/>
              </w:rPr>
            </w:pPr>
            <w:r>
              <w:rPr>
                <w:b/>
                <w:sz w:val="21"/>
              </w:rPr>
              <w:t>特征因子</w:t>
            </w:r>
          </w:p>
        </w:tc>
        <w:tc>
          <w:tcPr>
            <w:tcW w:w="1770" w:type="dxa"/>
          </w:tcPr>
          <w:p>
            <w:pPr>
              <w:pStyle w:val="TableParagraph"/>
              <w:spacing w:line="252" w:lineRule="exact" w:before="1"/>
              <w:ind w:left="124" w:right="125"/>
              <w:rPr>
                <w:rFonts w:ascii="Times New Roman" w:eastAsia="Times New Roman"/>
                <w:b/>
                <w:sz w:val="14"/>
              </w:rPr>
            </w:pPr>
            <w:r>
              <w:rPr>
                <w:b/>
                <w:sz w:val="21"/>
              </w:rPr>
              <w:t>备注 </w:t>
            </w:r>
            <w:r>
              <w:rPr>
                <w:rFonts w:ascii="Times New Roman" w:eastAsia="Times New Roman"/>
                <w:b/>
                <w:position w:val="7"/>
                <w:sz w:val="14"/>
              </w:rPr>
              <w:t>b</w:t>
            </w:r>
          </w:p>
        </w:tc>
      </w:tr>
      <w:tr>
        <w:trPr>
          <w:trHeight w:val="270" w:hRule="atLeast"/>
        </w:trPr>
        <w:tc>
          <w:tcPr>
            <w:tcW w:w="1246" w:type="dxa"/>
            <w:vMerge w:val="restart"/>
          </w:tcPr>
          <w:p>
            <w:pPr>
              <w:pStyle w:val="TableParagraph"/>
              <w:spacing w:line="270" w:lineRule="atLeast" w:before="5"/>
              <w:ind w:left="515" w:right="190" w:hanging="315"/>
              <w:jc w:val="left"/>
              <w:rPr>
                <w:sz w:val="21"/>
              </w:rPr>
            </w:pPr>
            <w:r>
              <w:rPr>
                <w:sz w:val="21"/>
              </w:rPr>
              <w:t>各生产车间</w:t>
            </w:r>
          </w:p>
        </w:tc>
        <w:tc>
          <w:tcPr>
            <w:tcW w:w="1775" w:type="dxa"/>
            <w:vMerge w:val="restart"/>
          </w:tcPr>
          <w:p>
            <w:pPr>
              <w:pStyle w:val="TableParagraph"/>
              <w:spacing w:before="142"/>
              <w:ind w:left="361"/>
              <w:jc w:val="left"/>
              <w:rPr>
                <w:sz w:val="21"/>
              </w:rPr>
            </w:pPr>
            <w:r>
              <w:rPr>
                <w:sz w:val="21"/>
              </w:rPr>
              <w:t>反应釜泄漏</w:t>
            </w:r>
          </w:p>
        </w:tc>
        <w:tc>
          <w:tcPr>
            <w:tcW w:w="1220" w:type="dxa"/>
          </w:tcPr>
          <w:p>
            <w:pPr>
              <w:pStyle w:val="TableParagraph"/>
              <w:spacing w:line="250" w:lineRule="exact" w:before="1"/>
              <w:ind w:left="166" w:right="158"/>
              <w:rPr>
                <w:sz w:val="21"/>
              </w:rPr>
            </w:pPr>
            <w:r>
              <w:rPr>
                <w:sz w:val="21"/>
              </w:rPr>
              <w:t>地面漫流</w:t>
            </w:r>
          </w:p>
        </w:tc>
        <w:tc>
          <w:tcPr>
            <w:tcW w:w="2106" w:type="dxa"/>
          </w:tcPr>
          <w:p>
            <w:pPr>
              <w:pStyle w:val="TableParagraph"/>
              <w:spacing w:line="250" w:lineRule="exact" w:before="1"/>
              <w:ind w:left="206" w:right="197"/>
              <w:rPr>
                <w:sz w:val="21"/>
              </w:rPr>
            </w:pPr>
            <w:r>
              <w:rPr>
                <w:sz w:val="21"/>
              </w:rPr>
              <w:t>液体物料</w:t>
            </w:r>
          </w:p>
        </w:tc>
        <w:tc>
          <w:tcPr>
            <w:tcW w:w="1174" w:type="dxa"/>
            <w:vMerge w:val="restart"/>
          </w:tcPr>
          <w:p>
            <w:pPr>
              <w:pStyle w:val="TableParagraph"/>
              <w:spacing w:before="142"/>
              <w:ind w:left="371"/>
              <w:jc w:val="left"/>
              <w:rPr>
                <w:sz w:val="21"/>
              </w:rPr>
            </w:pPr>
            <w:r>
              <w:rPr>
                <w:sz w:val="21"/>
              </w:rPr>
              <w:t>甲酸</w:t>
            </w:r>
          </w:p>
        </w:tc>
        <w:tc>
          <w:tcPr>
            <w:tcW w:w="1770" w:type="dxa"/>
          </w:tcPr>
          <w:p>
            <w:pPr>
              <w:pStyle w:val="TableParagraph"/>
              <w:spacing w:line="250" w:lineRule="exact" w:before="1"/>
              <w:ind w:left="125" w:right="125"/>
              <w:rPr>
                <w:sz w:val="21"/>
              </w:rPr>
            </w:pPr>
            <w:r>
              <w:rPr>
                <w:sz w:val="21"/>
              </w:rPr>
              <w:t>事故</w:t>
            </w:r>
          </w:p>
        </w:tc>
      </w:tr>
      <w:tr>
        <w:trPr>
          <w:trHeight w:val="273" w:hRule="atLeast"/>
        </w:trPr>
        <w:tc>
          <w:tcPr>
            <w:tcW w:w="1246" w:type="dxa"/>
            <w:vMerge/>
            <w:tcBorders>
              <w:top w:val="nil"/>
            </w:tcBorders>
          </w:tcPr>
          <w:p>
            <w:pPr>
              <w:rPr>
                <w:sz w:val="2"/>
                <w:szCs w:val="2"/>
              </w:rPr>
            </w:pPr>
          </w:p>
        </w:tc>
        <w:tc>
          <w:tcPr>
            <w:tcW w:w="1775" w:type="dxa"/>
            <w:vMerge/>
            <w:tcBorders>
              <w:top w:val="nil"/>
            </w:tcBorders>
          </w:tcPr>
          <w:p>
            <w:pPr>
              <w:rPr>
                <w:sz w:val="2"/>
                <w:szCs w:val="2"/>
              </w:rPr>
            </w:pPr>
          </w:p>
        </w:tc>
        <w:tc>
          <w:tcPr>
            <w:tcW w:w="1220" w:type="dxa"/>
          </w:tcPr>
          <w:p>
            <w:pPr>
              <w:pStyle w:val="TableParagraph"/>
              <w:spacing w:line="252" w:lineRule="exact" w:before="1"/>
              <w:ind w:left="166" w:right="158"/>
              <w:rPr>
                <w:sz w:val="21"/>
              </w:rPr>
            </w:pPr>
            <w:r>
              <w:rPr>
                <w:sz w:val="21"/>
              </w:rPr>
              <w:t>垂直入渗</w:t>
            </w:r>
          </w:p>
        </w:tc>
        <w:tc>
          <w:tcPr>
            <w:tcW w:w="2106" w:type="dxa"/>
          </w:tcPr>
          <w:p>
            <w:pPr>
              <w:pStyle w:val="TableParagraph"/>
              <w:spacing w:line="252" w:lineRule="exact" w:before="1"/>
              <w:ind w:left="206" w:right="197"/>
              <w:rPr>
                <w:sz w:val="21"/>
              </w:rPr>
            </w:pPr>
            <w:r>
              <w:rPr>
                <w:sz w:val="21"/>
              </w:rPr>
              <w:t>液体物料</w:t>
            </w:r>
          </w:p>
        </w:tc>
        <w:tc>
          <w:tcPr>
            <w:tcW w:w="1174" w:type="dxa"/>
            <w:vMerge/>
            <w:tcBorders>
              <w:top w:val="nil"/>
            </w:tcBorders>
          </w:tcPr>
          <w:p>
            <w:pPr>
              <w:rPr>
                <w:sz w:val="2"/>
                <w:szCs w:val="2"/>
              </w:rPr>
            </w:pPr>
          </w:p>
        </w:tc>
        <w:tc>
          <w:tcPr>
            <w:tcW w:w="1770" w:type="dxa"/>
          </w:tcPr>
          <w:p>
            <w:pPr>
              <w:pStyle w:val="TableParagraph"/>
              <w:spacing w:line="252" w:lineRule="exact" w:before="1"/>
              <w:ind w:left="125" w:right="125"/>
              <w:rPr>
                <w:sz w:val="21"/>
              </w:rPr>
            </w:pPr>
            <w:r>
              <w:rPr>
                <w:sz w:val="21"/>
              </w:rPr>
              <w:t>事故</w:t>
            </w:r>
          </w:p>
        </w:tc>
      </w:tr>
      <w:tr>
        <w:trPr>
          <w:trHeight w:val="407" w:hRule="atLeast"/>
        </w:trPr>
        <w:tc>
          <w:tcPr>
            <w:tcW w:w="1246" w:type="dxa"/>
            <w:vMerge w:val="restart"/>
          </w:tcPr>
          <w:p>
            <w:pPr>
              <w:pStyle w:val="TableParagraph"/>
              <w:spacing w:line="242" w:lineRule="auto" w:before="142"/>
              <w:ind w:left="515" w:right="190" w:hanging="315"/>
              <w:jc w:val="left"/>
              <w:rPr>
                <w:sz w:val="21"/>
              </w:rPr>
            </w:pPr>
            <w:r>
              <w:rPr>
                <w:sz w:val="21"/>
              </w:rPr>
              <w:t>厂区污水站</w:t>
            </w:r>
          </w:p>
        </w:tc>
        <w:tc>
          <w:tcPr>
            <w:tcW w:w="1775" w:type="dxa"/>
            <w:vMerge w:val="restart"/>
          </w:tcPr>
          <w:p>
            <w:pPr>
              <w:pStyle w:val="TableParagraph"/>
              <w:spacing w:before="7"/>
              <w:jc w:val="left"/>
              <w:rPr>
                <w:b/>
                <w:sz w:val="21"/>
              </w:rPr>
            </w:pPr>
          </w:p>
          <w:p>
            <w:pPr>
              <w:pStyle w:val="TableParagraph"/>
              <w:spacing w:before="1"/>
              <w:ind w:left="467"/>
              <w:jc w:val="left"/>
              <w:rPr>
                <w:sz w:val="21"/>
              </w:rPr>
            </w:pPr>
            <w:r>
              <w:rPr>
                <w:sz w:val="21"/>
              </w:rPr>
              <w:t>废水处理</w:t>
            </w:r>
          </w:p>
        </w:tc>
        <w:tc>
          <w:tcPr>
            <w:tcW w:w="1220" w:type="dxa"/>
          </w:tcPr>
          <w:p>
            <w:pPr>
              <w:pStyle w:val="TableParagraph"/>
              <w:spacing w:before="68"/>
              <w:ind w:left="166" w:right="158"/>
              <w:rPr>
                <w:sz w:val="21"/>
              </w:rPr>
            </w:pPr>
            <w:r>
              <w:rPr>
                <w:sz w:val="21"/>
              </w:rPr>
              <w:t>地面漫流</w:t>
            </w:r>
          </w:p>
        </w:tc>
        <w:tc>
          <w:tcPr>
            <w:tcW w:w="2106" w:type="dxa"/>
            <w:vMerge w:val="restart"/>
          </w:tcPr>
          <w:p>
            <w:pPr>
              <w:pStyle w:val="TableParagraph"/>
              <w:spacing w:line="242" w:lineRule="auto" w:before="142"/>
              <w:ind w:left="945" w:right="22" w:hanging="840"/>
              <w:jc w:val="left"/>
              <w:rPr>
                <w:sz w:val="21"/>
              </w:rPr>
            </w:pPr>
            <w:r>
              <w:rPr>
                <w:rFonts w:ascii="Times New Roman" w:eastAsia="Times New Roman"/>
                <w:sz w:val="21"/>
              </w:rPr>
              <w:t>pH</w:t>
            </w:r>
            <w:r>
              <w:rPr>
                <w:sz w:val="21"/>
              </w:rPr>
              <w:t>、</w:t>
            </w:r>
            <w:r>
              <w:rPr>
                <w:rFonts w:ascii="Times New Roman" w:eastAsia="Times New Roman"/>
                <w:sz w:val="21"/>
              </w:rPr>
              <w:t>COD</w:t>
            </w:r>
            <w:r>
              <w:rPr>
                <w:sz w:val="21"/>
              </w:rPr>
              <w:t>、总氮、氨氮</w:t>
            </w:r>
          </w:p>
        </w:tc>
        <w:tc>
          <w:tcPr>
            <w:tcW w:w="1174" w:type="dxa"/>
            <w:vMerge w:val="restart"/>
          </w:tcPr>
          <w:p>
            <w:pPr>
              <w:pStyle w:val="TableParagraph"/>
              <w:spacing w:before="9"/>
              <w:jc w:val="left"/>
              <w:rPr>
                <w:b/>
                <w:sz w:val="22"/>
              </w:rPr>
            </w:pPr>
          </w:p>
          <w:p>
            <w:pPr>
              <w:pStyle w:val="TableParagraph"/>
              <w:ind w:left="139" w:right="139"/>
              <w:rPr>
                <w:rFonts w:ascii="Times New Roman"/>
                <w:sz w:val="21"/>
              </w:rPr>
            </w:pPr>
            <w:r>
              <w:rPr>
                <w:rFonts w:ascii="Times New Roman"/>
                <w:sz w:val="21"/>
              </w:rPr>
              <w:t>pH</w:t>
            </w:r>
          </w:p>
        </w:tc>
        <w:tc>
          <w:tcPr>
            <w:tcW w:w="1770" w:type="dxa"/>
            <w:vMerge w:val="restart"/>
          </w:tcPr>
          <w:p>
            <w:pPr>
              <w:pStyle w:val="TableParagraph"/>
              <w:spacing w:line="242" w:lineRule="auto" w:before="5"/>
              <w:ind w:left="142" w:right="141"/>
              <w:jc w:val="left"/>
              <w:rPr>
                <w:sz w:val="21"/>
              </w:rPr>
            </w:pPr>
            <w:r>
              <w:rPr>
                <w:spacing w:val="-4"/>
                <w:sz w:val="21"/>
              </w:rPr>
              <w:t>连续、正常。评价范围内无土壤</w:t>
            </w:r>
          </w:p>
          <w:p>
            <w:pPr>
              <w:pStyle w:val="TableParagraph"/>
              <w:spacing w:line="255" w:lineRule="exact" w:before="2"/>
              <w:ind w:left="142"/>
              <w:jc w:val="left"/>
              <w:rPr>
                <w:sz w:val="21"/>
              </w:rPr>
            </w:pPr>
            <w:r>
              <w:rPr>
                <w:spacing w:val="-2"/>
                <w:sz w:val="21"/>
              </w:rPr>
              <w:t>环境敏感目标。</w:t>
            </w:r>
          </w:p>
        </w:tc>
      </w:tr>
      <w:tr>
        <w:trPr>
          <w:trHeight w:val="407" w:hRule="atLeast"/>
        </w:trPr>
        <w:tc>
          <w:tcPr>
            <w:tcW w:w="1246" w:type="dxa"/>
            <w:vMerge/>
            <w:tcBorders>
              <w:top w:val="nil"/>
            </w:tcBorders>
          </w:tcPr>
          <w:p>
            <w:pPr>
              <w:rPr>
                <w:sz w:val="2"/>
                <w:szCs w:val="2"/>
              </w:rPr>
            </w:pPr>
          </w:p>
        </w:tc>
        <w:tc>
          <w:tcPr>
            <w:tcW w:w="1775" w:type="dxa"/>
            <w:vMerge/>
            <w:tcBorders>
              <w:top w:val="nil"/>
            </w:tcBorders>
          </w:tcPr>
          <w:p>
            <w:pPr>
              <w:rPr>
                <w:sz w:val="2"/>
                <w:szCs w:val="2"/>
              </w:rPr>
            </w:pPr>
          </w:p>
        </w:tc>
        <w:tc>
          <w:tcPr>
            <w:tcW w:w="1220" w:type="dxa"/>
          </w:tcPr>
          <w:p>
            <w:pPr>
              <w:pStyle w:val="TableParagraph"/>
              <w:spacing w:before="68"/>
              <w:ind w:left="166" w:right="158"/>
              <w:rPr>
                <w:sz w:val="21"/>
              </w:rPr>
            </w:pPr>
            <w:r>
              <w:rPr>
                <w:sz w:val="21"/>
              </w:rPr>
              <w:t>垂直入渗</w:t>
            </w:r>
          </w:p>
        </w:tc>
        <w:tc>
          <w:tcPr>
            <w:tcW w:w="2106" w:type="dxa"/>
            <w:vMerge/>
            <w:tcBorders>
              <w:top w:val="nil"/>
            </w:tcBorders>
          </w:tcPr>
          <w:p>
            <w:pPr>
              <w:rPr>
                <w:sz w:val="2"/>
                <w:szCs w:val="2"/>
              </w:rPr>
            </w:pPr>
          </w:p>
        </w:tc>
        <w:tc>
          <w:tcPr>
            <w:tcW w:w="1174" w:type="dxa"/>
            <w:vMerge/>
            <w:tcBorders>
              <w:top w:val="nil"/>
            </w:tcBorders>
          </w:tcPr>
          <w:p>
            <w:pPr>
              <w:rPr>
                <w:sz w:val="2"/>
                <w:szCs w:val="2"/>
              </w:rPr>
            </w:pPr>
          </w:p>
        </w:tc>
        <w:tc>
          <w:tcPr>
            <w:tcW w:w="1770" w:type="dxa"/>
            <w:vMerge/>
            <w:tcBorders>
              <w:top w:val="nil"/>
            </w:tcBorders>
          </w:tcPr>
          <w:p>
            <w:pPr>
              <w:rPr>
                <w:sz w:val="2"/>
                <w:szCs w:val="2"/>
              </w:rPr>
            </w:pPr>
          </w:p>
        </w:tc>
      </w:tr>
      <w:tr>
        <w:trPr>
          <w:trHeight w:val="546" w:hRule="atLeast"/>
        </w:trPr>
        <w:tc>
          <w:tcPr>
            <w:tcW w:w="1246" w:type="dxa"/>
          </w:tcPr>
          <w:p>
            <w:pPr>
              <w:pStyle w:val="TableParagraph"/>
              <w:spacing w:before="137"/>
              <w:ind w:left="168" w:right="159"/>
              <w:rPr>
                <w:sz w:val="21"/>
              </w:rPr>
            </w:pPr>
            <w:r>
              <w:rPr>
                <w:sz w:val="21"/>
              </w:rPr>
              <w:t>危废仓库</w:t>
            </w:r>
          </w:p>
        </w:tc>
        <w:tc>
          <w:tcPr>
            <w:tcW w:w="1775" w:type="dxa"/>
          </w:tcPr>
          <w:p>
            <w:pPr>
              <w:pStyle w:val="TableParagraph"/>
              <w:spacing w:before="137"/>
              <w:ind w:left="39" w:right="27"/>
              <w:rPr>
                <w:sz w:val="21"/>
              </w:rPr>
            </w:pPr>
            <w:r>
              <w:rPr>
                <w:sz w:val="21"/>
              </w:rPr>
              <w:t>固废暂存</w:t>
            </w:r>
          </w:p>
        </w:tc>
        <w:tc>
          <w:tcPr>
            <w:tcW w:w="1220" w:type="dxa"/>
          </w:tcPr>
          <w:p>
            <w:pPr>
              <w:pStyle w:val="TableParagraph"/>
              <w:spacing w:before="137"/>
              <w:ind w:left="166" w:right="158"/>
              <w:rPr>
                <w:sz w:val="21"/>
              </w:rPr>
            </w:pPr>
            <w:r>
              <w:rPr>
                <w:sz w:val="21"/>
              </w:rPr>
              <w:t>大气沉降</w:t>
            </w:r>
          </w:p>
        </w:tc>
        <w:tc>
          <w:tcPr>
            <w:tcW w:w="2106" w:type="dxa"/>
          </w:tcPr>
          <w:p>
            <w:pPr>
              <w:pStyle w:val="TableParagraph"/>
              <w:spacing w:before="137"/>
              <w:ind w:left="204" w:right="197"/>
              <w:rPr>
                <w:rFonts w:ascii="Times New Roman" w:eastAsia="Times New Roman"/>
                <w:sz w:val="21"/>
              </w:rPr>
            </w:pPr>
            <w:r>
              <w:rPr>
                <w:sz w:val="21"/>
              </w:rPr>
              <w:t>废气：</w:t>
            </w:r>
            <w:r>
              <w:rPr>
                <w:rFonts w:ascii="Times New Roman" w:eastAsia="Times New Roman"/>
                <w:sz w:val="21"/>
              </w:rPr>
              <w:t>VOCs</w:t>
            </w:r>
          </w:p>
        </w:tc>
        <w:tc>
          <w:tcPr>
            <w:tcW w:w="1174" w:type="dxa"/>
          </w:tcPr>
          <w:p>
            <w:pPr>
              <w:pStyle w:val="TableParagraph"/>
              <w:spacing w:before="151"/>
              <w:ind w:left="2"/>
              <w:rPr>
                <w:rFonts w:ascii="Times New Roman"/>
                <w:sz w:val="21"/>
              </w:rPr>
            </w:pPr>
            <w:r>
              <w:rPr>
                <w:rFonts w:ascii="Times New Roman"/>
                <w:w w:val="100"/>
                <w:sz w:val="21"/>
              </w:rPr>
              <w:t>/</w:t>
            </w:r>
          </w:p>
        </w:tc>
        <w:tc>
          <w:tcPr>
            <w:tcW w:w="1770" w:type="dxa"/>
          </w:tcPr>
          <w:p>
            <w:pPr>
              <w:pStyle w:val="TableParagraph"/>
              <w:spacing w:before="1"/>
              <w:ind w:left="142"/>
              <w:jc w:val="left"/>
              <w:rPr>
                <w:sz w:val="21"/>
              </w:rPr>
            </w:pPr>
            <w:r>
              <w:rPr>
                <w:spacing w:val="-2"/>
                <w:sz w:val="21"/>
              </w:rPr>
              <w:t>连续、正常。评</w:t>
            </w:r>
          </w:p>
          <w:p>
            <w:pPr>
              <w:pStyle w:val="TableParagraph"/>
              <w:spacing w:line="252" w:lineRule="exact" w:before="4"/>
              <w:ind w:left="142"/>
              <w:jc w:val="left"/>
              <w:rPr>
                <w:sz w:val="21"/>
              </w:rPr>
            </w:pPr>
            <w:r>
              <w:rPr>
                <w:spacing w:val="-2"/>
                <w:sz w:val="21"/>
              </w:rPr>
              <w:t>价范围内无土壤</w:t>
            </w:r>
          </w:p>
        </w:tc>
      </w:tr>
    </w:tbl>
    <w:p>
      <w:pPr>
        <w:spacing w:after="0" w:line="252" w:lineRule="exact"/>
        <w:jc w:val="left"/>
        <w:rPr>
          <w:sz w:val="21"/>
        </w:rPr>
        <w:sectPr>
          <w:pgSz w:w="11910" w:h="16840"/>
          <w:pgMar w:header="872" w:footer="803" w:top="1320" w:bottom="1000" w:left="1200" w:right="1180"/>
        </w:sectPr>
      </w:pPr>
    </w:p>
    <w:p>
      <w:pPr>
        <w:pStyle w:val="BodyText"/>
        <w:spacing w:before="5"/>
        <w:rPr>
          <w:b/>
          <w:sz w:val="6"/>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6"/>
        <w:gridCol w:w="1775"/>
        <w:gridCol w:w="1220"/>
        <w:gridCol w:w="2106"/>
        <w:gridCol w:w="1174"/>
        <w:gridCol w:w="1770"/>
      </w:tblGrid>
      <w:tr>
        <w:trPr>
          <w:trHeight w:val="270" w:hRule="atLeast"/>
        </w:trPr>
        <w:tc>
          <w:tcPr>
            <w:tcW w:w="1246" w:type="dxa"/>
          </w:tcPr>
          <w:p>
            <w:pPr>
              <w:pStyle w:val="TableParagraph"/>
              <w:spacing w:line="250" w:lineRule="exact" w:before="1"/>
              <w:ind w:left="304"/>
              <w:jc w:val="left"/>
              <w:rPr>
                <w:b/>
                <w:sz w:val="21"/>
              </w:rPr>
            </w:pPr>
            <w:r>
              <w:rPr>
                <w:b/>
                <w:sz w:val="21"/>
              </w:rPr>
              <w:t>污染源</w:t>
            </w:r>
          </w:p>
        </w:tc>
        <w:tc>
          <w:tcPr>
            <w:tcW w:w="1775" w:type="dxa"/>
          </w:tcPr>
          <w:p>
            <w:pPr>
              <w:pStyle w:val="TableParagraph"/>
              <w:spacing w:line="250" w:lineRule="exact" w:before="1"/>
              <w:ind w:left="224"/>
              <w:jc w:val="left"/>
              <w:rPr>
                <w:b/>
                <w:sz w:val="21"/>
              </w:rPr>
            </w:pPr>
            <w:r>
              <w:rPr>
                <w:b/>
                <w:sz w:val="21"/>
              </w:rPr>
              <w:t>工艺流程</w:t>
            </w:r>
            <w:r>
              <w:rPr>
                <w:rFonts w:ascii="Times New Roman" w:eastAsia="Times New Roman"/>
                <w:b/>
                <w:sz w:val="21"/>
              </w:rPr>
              <w:t>/</w:t>
            </w:r>
            <w:r>
              <w:rPr>
                <w:b/>
                <w:sz w:val="21"/>
              </w:rPr>
              <w:t>节点</w:t>
            </w:r>
          </w:p>
        </w:tc>
        <w:tc>
          <w:tcPr>
            <w:tcW w:w="1220" w:type="dxa"/>
          </w:tcPr>
          <w:p>
            <w:pPr>
              <w:pStyle w:val="TableParagraph"/>
              <w:spacing w:line="250" w:lineRule="exact" w:before="1"/>
              <w:ind w:left="166" w:right="160"/>
              <w:rPr>
                <w:b/>
                <w:sz w:val="21"/>
              </w:rPr>
            </w:pPr>
            <w:r>
              <w:rPr>
                <w:b/>
                <w:sz w:val="21"/>
              </w:rPr>
              <w:t>污染途径</w:t>
            </w:r>
          </w:p>
        </w:tc>
        <w:tc>
          <w:tcPr>
            <w:tcW w:w="2106" w:type="dxa"/>
          </w:tcPr>
          <w:p>
            <w:pPr>
              <w:pStyle w:val="TableParagraph"/>
              <w:spacing w:line="250" w:lineRule="exact" w:before="1"/>
              <w:ind w:left="206" w:right="197"/>
              <w:rPr>
                <w:rFonts w:ascii="Times New Roman" w:eastAsia="Times New Roman"/>
                <w:b/>
                <w:sz w:val="14"/>
              </w:rPr>
            </w:pPr>
            <w:r>
              <w:rPr>
                <w:b/>
                <w:sz w:val="21"/>
              </w:rPr>
              <w:t>全部污染物指标 </w:t>
            </w:r>
            <w:r>
              <w:rPr>
                <w:rFonts w:ascii="Times New Roman" w:eastAsia="Times New Roman"/>
                <w:b/>
                <w:position w:val="7"/>
                <w:sz w:val="14"/>
              </w:rPr>
              <w:t>a</w:t>
            </w:r>
          </w:p>
        </w:tc>
        <w:tc>
          <w:tcPr>
            <w:tcW w:w="1174" w:type="dxa"/>
          </w:tcPr>
          <w:p>
            <w:pPr>
              <w:pStyle w:val="TableParagraph"/>
              <w:spacing w:line="250" w:lineRule="exact" w:before="1"/>
              <w:ind w:left="140" w:right="139"/>
              <w:rPr>
                <w:b/>
                <w:sz w:val="21"/>
              </w:rPr>
            </w:pPr>
            <w:r>
              <w:rPr>
                <w:b/>
                <w:sz w:val="21"/>
              </w:rPr>
              <w:t>特征因子</w:t>
            </w:r>
          </w:p>
        </w:tc>
        <w:tc>
          <w:tcPr>
            <w:tcW w:w="1770" w:type="dxa"/>
          </w:tcPr>
          <w:p>
            <w:pPr>
              <w:pStyle w:val="TableParagraph"/>
              <w:spacing w:line="250" w:lineRule="exact" w:before="1"/>
              <w:ind w:left="124" w:right="125"/>
              <w:rPr>
                <w:rFonts w:ascii="Times New Roman" w:eastAsia="Times New Roman"/>
                <w:b/>
                <w:sz w:val="14"/>
              </w:rPr>
            </w:pPr>
            <w:r>
              <w:rPr>
                <w:b/>
                <w:sz w:val="21"/>
              </w:rPr>
              <w:t>备注 </w:t>
            </w:r>
            <w:r>
              <w:rPr>
                <w:rFonts w:ascii="Times New Roman" w:eastAsia="Times New Roman"/>
                <w:b/>
                <w:position w:val="7"/>
                <w:sz w:val="14"/>
              </w:rPr>
              <w:t>b</w:t>
            </w:r>
          </w:p>
        </w:tc>
      </w:tr>
      <w:tr>
        <w:trPr>
          <w:trHeight w:val="273" w:hRule="atLeast"/>
        </w:trPr>
        <w:tc>
          <w:tcPr>
            <w:tcW w:w="1246" w:type="dxa"/>
            <w:vMerge w:val="restart"/>
          </w:tcPr>
          <w:p>
            <w:pPr>
              <w:pStyle w:val="TableParagraph"/>
              <w:jc w:val="left"/>
              <w:rPr>
                <w:rFonts w:ascii="Times New Roman"/>
                <w:sz w:val="22"/>
              </w:rPr>
            </w:pPr>
          </w:p>
        </w:tc>
        <w:tc>
          <w:tcPr>
            <w:tcW w:w="1775" w:type="dxa"/>
          </w:tcPr>
          <w:p>
            <w:pPr>
              <w:pStyle w:val="TableParagraph"/>
              <w:jc w:val="left"/>
              <w:rPr>
                <w:rFonts w:ascii="Times New Roman"/>
                <w:sz w:val="20"/>
              </w:rPr>
            </w:pPr>
          </w:p>
        </w:tc>
        <w:tc>
          <w:tcPr>
            <w:tcW w:w="1220" w:type="dxa"/>
          </w:tcPr>
          <w:p>
            <w:pPr>
              <w:pStyle w:val="TableParagraph"/>
              <w:jc w:val="left"/>
              <w:rPr>
                <w:rFonts w:ascii="Times New Roman"/>
                <w:sz w:val="20"/>
              </w:rPr>
            </w:pPr>
          </w:p>
        </w:tc>
        <w:tc>
          <w:tcPr>
            <w:tcW w:w="2106" w:type="dxa"/>
          </w:tcPr>
          <w:p>
            <w:pPr>
              <w:pStyle w:val="TableParagraph"/>
              <w:jc w:val="left"/>
              <w:rPr>
                <w:rFonts w:ascii="Times New Roman"/>
                <w:sz w:val="20"/>
              </w:rPr>
            </w:pPr>
          </w:p>
        </w:tc>
        <w:tc>
          <w:tcPr>
            <w:tcW w:w="1174" w:type="dxa"/>
          </w:tcPr>
          <w:p>
            <w:pPr>
              <w:pStyle w:val="TableParagraph"/>
              <w:jc w:val="left"/>
              <w:rPr>
                <w:rFonts w:ascii="Times New Roman"/>
                <w:sz w:val="20"/>
              </w:rPr>
            </w:pPr>
          </w:p>
        </w:tc>
        <w:tc>
          <w:tcPr>
            <w:tcW w:w="1770" w:type="dxa"/>
          </w:tcPr>
          <w:p>
            <w:pPr>
              <w:pStyle w:val="TableParagraph"/>
              <w:spacing w:line="250" w:lineRule="exact" w:before="3"/>
              <w:ind w:left="125" w:right="125"/>
              <w:rPr>
                <w:sz w:val="21"/>
              </w:rPr>
            </w:pPr>
            <w:r>
              <w:rPr>
                <w:sz w:val="21"/>
              </w:rPr>
              <w:t>环境敏感目标。</w:t>
            </w:r>
          </w:p>
        </w:tc>
      </w:tr>
      <w:tr>
        <w:trPr>
          <w:trHeight w:val="273" w:hRule="atLeast"/>
        </w:trPr>
        <w:tc>
          <w:tcPr>
            <w:tcW w:w="1246" w:type="dxa"/>
            <w:vMerge/>
            <w:tcBorders>
              <w:top w:val="nil"/>
            </w:tcBorders>
          </w:tcPr>
          <w:p>
            <w:pPr>
              <w:rPr>
                <w:sz w:val="2"/>
                <w:szCs w:val="2"/>
              </w:rPr>
            </w:pPr>
          </w:p>
        </w:tc>
        <w:tc>
          <w:tcPr>
            <w:tcW w:w="1775" w:type="dxa"/>
            <w:vMerge w:val="restart"/>
          </w:tcPr>
          <w:p>
            <w:pPr>
              <w:pStyle w:val="TableParagraph"/>
              <w:spacing w:before="142"/>
              <w:ind w:left="467"/>
              <w:jc w:val="left"/>
              <w:rPr>
                <w:sz w:val="21"/>
              </w:rPr>
            </w:pPr>
            <w:r>
              <w:rPr>
                <w:sz w:val="21"/>
              </w:rPr>
              <w:t>固废泄漏</w:t>
            </w:r>
          </w:p>
        </w:tc>
        <w:tc>
          <w:tcPr>
            <w:tcW w:w="1220" w:type="dxa"/>
          </w:tcPr>
          <w:p>
            <w:pPr>
              <w:pStyle w:val="TableParagraph"/>
              <w:spacing w:line="252" w:lineRule="exact" w:before="1"/>
              <w:ind w:left="166" w:right="158"/>
              <w:rPr>
                <w:sz w:val="21"/>
              </w:rPr>
            </w:pPr>
            <w:r>
              <w:rPr>
                <w:sz w:val="21"/>
              </w:rPr>
              <w:t>地面漫流</w:t>
            </w:r>
          </w:p>
        </w:tc>
        <w:tc>
          <w:tcPr>
            <w:tcW w:w="2106" w:type="dxa"/>
          </w:tcPr>
          <w:p>
            <w:pPr>
              <w:pStyle w:val="TableParagraph"/>
              <w:spacing w:line="252" w:lineRule="exact" w:before="1"/>
              <w:ind w:left="203" w:right="197"/>
              <w:rPr>
                <w:sz w:val="21"/>
              </w:rPr>
            </w:pPr>
            <w:r>
              <w:rPr>
                <w:sz w:val="21"/>
              </w:rPr>
              <w:t>渗滤液</w:t>
            </w:r>
          </w:p>
        </w:tc>
        <w:tc>
          <w:tcPr>
            <w:tcW w:w="1174" w:type="dxa"/>
          </w:tcPr>
          <w:p>
            <w:pPr>
              <w:pStyle w:val="TableParagraph"/>
              <w:spacing w:line="238" w:lineRule="exact" w:before="15"/>
              <w:ind w:left="2"/>
              <w:rPr>
                <w:rFonts w:ascii="Times New Roman"/>
                <w:sz w:val="21"/>
              </w:rPr>
            </w:pPr>
            <w:r>
              <w:rPr>
                <w:rFonts w:ascii="Times New Roman"/>
                <w:w w:val="100"/>
                <w:sz w:val="21"/>
              </w:rPr>
              <w:t>/</w:t>
            </w:r>
          </w:p>
        </w:tc>
        <w:tc>
          <w:tcPr>
            <w:tcW w:w="1770" w:type="dxa"/>
          </w:tcPr>
          <w:p>
            <w:pPr>
              <w:pStyle w:val="TableParagraph"/>
              <w:spacing w:line="252" w:lineRule="exact" w:before="1"/>
              <w:ind w:left="125" w:right="125"/>
              <w:rPr>
                <w:sz w:val="21"/>
              </w:rPr>
            </w:pPr>
            <w:r>
              <w:rPr>
                <w:sz w:val="21"/>
              </w:rPr>
              <w:t>事故</w:t>
            </w:r>
          </w:p>
        </w:tc>
      </w:tr>
      <w:tr>
        <w:trPr>
          <w:trHeight w:val="270" w:hRule="atLeast"/>
        </w:trPr>
        <w:tc>
          <w:tcPr>
            <w:tcW w:w="1246" w:type="dxa"/>
            <w:vMerge/>
            <w:tcBorders>
              <w:top w:val="nil"/>
            </w:tcBorders>
          </w:tcPr>
          <w:p>
            <w:pPr>
              <w:rPr>
                <w:sz w:val="2"/>
                <w:szCs w:val="2"/>
              </w:rPr>
            </w:pPr>
          </w:p>
        </w:tc>
        <w:tc>
          <w:tcPr>
            <w:tcW w:w="1775" w:type="dxa"/>
            <w:vMerge/>
            <w:tcBorders>
              <w:top w:val="nil"/>
            </w:tcBorders>
          </w:tcPr>
          <w:p>
            <w:pPr>
              <w:rPr>
                <w:sz w:val="2"/>
                <w:szCs w:val="2"/>
              </w:rPr>
            </w:pPr>
          </w:p>
        </w:tc>
        <w:tc>
          <w:tcPr>
            <w:tcW w:w="1220" w:type="dxa"/>
          </w:tcPr>
          <w:p>
            <w:pPr>
              <w:pStyle w:val="TableParagraph"/>
              <w:spacing w:line="250" w:lineRule="exact" w:before="1"/>
              <w:ind w:left="166" w:right="158"/>
              <w:rPr>
                <w:sz w:val="21"/>
              </w:rPr>
            </w:pPr>
            <w:r>
              <w:rPr>
                <w:sz w:val="21"/>
              </w:rPr>
              <w:t>垂直入渗</w:t>
            </w:r>
          </w:p>
        </w:tc>
        <w:tc>
          <w:tcPr>
            <w:tcW w:w="2106" w:type="dxa"/>
          </w:tcPr>
          <w:p>
            <w:pPr>
              <w:pStyle w:val="TableParagraph"/>
              <w:spacing w:line="250" w:lineRule="exact" w:before="1"/>
              <w:ind w:left="203" w:right="197"/>
              <w:rPr>
                <w:sz w:val="21"/>
              </w:rPr>
            </w:pPr>
            <w:r>
              <w:rPr>
                <w:sz w:val="21"/>
              </w:rPr>
              <w:t>渗滤液</w:t>
            </w:r>
          </w:p>
        </w:tc>
        <w:tc>
          <w:tcPr>
            <w:tcW w:w="1174" w:type="dxa"/>
          </w:tcPr>
          <w:p>
            <w:pPr>
              <w:pStyle w:val="TableParagraph"/>
              <w:spacing w:line="236" w:lineRule="exact" w:before="15"/>
              <w:ind w:left="2"/>
              <w:rPr>
                <w:rFonts w:ascii="Times New Roman"/>
                <w:sz w:val="21"/>
              </w:rPr>
            </w:pPr>
            <w:r>
              <w:rPr>
                <w:rFonts w:ascii="Times New Roman"/>
                <w:w w:val="100"/>
                <w:sz w:val="21"/>
              </w:rPr>
              <w:t>/</w:t>
            </w:r>
          </w:p>
        </w:tc>
        <w:tc>
          <w:tcPr>
            <w:tcW w:w="1770" w:type="dxa"/>
          </w:tcPr>
          <w:p>
            <w:pPr>
              <w:pStyle w:val="TableParagraph"/>
              <w:spacing w:line="250" w:lineRule="exact" w:before="1"/>
              <w:ind w:left="125" w:right="125"/>
              <w:rPr>
                <w:sz w:val="21"/>
              </w:rPr>
            </w:pPr>
            <w:r>
              <w:rPr>
                <w:sz w:val="21"/>
              </w:rPr>
              <w:t>事故</w:t>
            </w:r>
          </w:p>
        </w:tc>
      </w:tr>
      <w:tr>
        <w:trPr>
          <w:trHeight w:val="273" w:hRule="atLeast"/>
        </w:trPr>
        <w:tc>
          <w:tcPr>
            <w:tcW w:w="1246" w:type="dxa"/>
            <w:vMerge w:val="restart"/>
          </w:tcPr>
          <w:p>
            <w:pPr>
              <w:pStyle w:val="TableParagraph"/>
              <w:spacing w:before="142"/>
              <w:ind w:left="306"/>
              <w:jc w:val="left"/>
              <w:rPr>
                <w:sz w:val="21"/>
              </w:rPr>
            </w:pPr>
            <w:r>
              <w:rPr>
                <w:sz w:val="21"/>
              </w:rPr>
              <w:t>储罐区</w:t>
            </w:r>
          </w:p>
        </w:tc>
        <w:tc>
          <w:tcPr>
            <w:tcW w:w="1775" w:type="dxa"/>
            <w:vMerge w:val="restart"/>
          </w:tcPr>
          <w:p>
            <w:pPr>
              <w:pStyle w:val="TableParagraph"/>
              <w:spacing w:before="142"/>
              <w:ind w:left="467"/>
              <w:jc w:val="left"/>
              <w:rPr>
                <w:sz w:val="21"/>
              </w:rPr>
            </w:pPr>
            <w:r>
              <w:rPr>
                <w:sz w:val="21"/>
              </w:rPr>
              <w:t>储罐泄漏</w:t>
            </w:r>
          </w:p>
        </w:tc>
        <w:tc>
          <w:tcPr>
            <w:tcW w:w="1220" w:type="dxa"/>
          </w:tcPr>
          <w:p>
            <w:pPr>
              <w:pStyle w:val="TableParagraph"/>
              <w:spacing w:line="250" w:lineRule="exact" w:before="3"/>
              <w:ind w:left="166" w:right="158"/>
              <w:rPr>
                <w:sz w:val="21"/>
              </w:rPr>
            </w:pPr>
            <w:r>
              <w:rPr>
                <w:sz w:val="21"/>
              </w:rPr>
              <w:t>地面漫流</w:t>
            </w:r>
          </w:p>
        </w:tc>
        <w:tc>
          <w:tcPr>
            <w:tcW w:w="2106" w:type="dxa"/>
            <w:vMerge w:val="restart"/>
          </w:tcPr>
          <w:p>
            <w:pPr>
              <w:pStyle w:val="TableParagraph"/>
              <w:spacing w:before="142"/>
              <w:ind w:left="203" w:right="197"/>
              <w:rPr>
                <w:sz w:val="21"/>
              </w:rPr>
            </w:pPr>
            <w:r>
              <w:rPr>
                <w:sz w:val="21"/>
              </w:rPr>
              <w:t>甲酸</w:t>
            </w:r>
          </w:p>
        </w:tc>
        <w:tc>
          <w:tcPr>
            <w:tcW w:w="1174" w:type="dxa"/>
            <w:vMerge w:val="restart"/>
          </w:tcPr>
          <w:p>
            <w:pPr>
              <w:pStyle w:val="TableParagraph"/>
              <w:spacing w:before="142"/>
              <w:ind w:left="371"/>
              <w:jc w:val="left"/>
              <w:rPr>
                <w:sz w:val="21"/>
              </w:rPr>
            </w:pPr>
            <w:r>
              <w:rPr>
                <w:sz w:val="21"/>
              </w:rPr>
              <w:t>甲酸</w:t>
            </w:r>
          </w:p>
        </w:tc>
        <w:tc>
          <w:tcPr>
            <w:tcW w:w="1770" w:type="dxa"/>
          </w:tcPr>
          <w:p>
            <w:pPr>
              <w:pStyle w:val="TableParagraph"/>
              <w:spacing w:line="250" w:lineRule="exact" w:before="3"/>
              <w:ind w:left="125" w:right="125"/>
              <w:rPr>
                <w:sz w:val="21"/>
              </w:rPr>
            </w:pPr>
            <w:r>
              <w:rPr>
                <w:sz w:val="21"/>
              </w:rPr>
              <w:t>事故</w:t>
            </w:r>
          </w:p>
        </w:tc>
      </w:tr>
      <w:tr>
        <w:trPr>
          <w:trHeight w:val="273" w:hRule="atLeast"/>
        </w:trPr>
        <w:tc>
          <w:tcPr>
            <w:tcW w:w="1246" w:type="dxa"/>
            <w:vMerge/>
            <w:tcBorders>
              <w:top w:val="nil"/>
            </w:tcBorders>
          </w:tcPr>
          <w:p>
            <w:pPr>
              <w:rPr>
                <w:sz w:val="2"/>
                <w:szCs w:val="2"/>
              </w:rPr>
            </w:pPr>
          </w:p>
        </w:tc>
        <w:tc>
          <w:tcPr>
            <w:tcW w:w="1775" w:type="dxa"/>
            <w:vMerge/>
            <w:tcBorders>
              <w:top w:val="nil"/>
            </w:tcBorders>
          </w:tcPr>
          <w:p>
            <w:pPr>
              <w:rPr>
                <w:sz w:val="2"/>
                <w:szCs w:val="2"/>
              </w:rPr>
            </w:pPr>
          </w:p>
        </w:tc>
        <w:tc>
          <w:tcPr>
            <w:tcW w:w="1220" w:type="dxa"/>
          </w:tcPr>
          <w:p>
            <w:pPr>
              <w:pStyle w:val="TableParagraph"/>
              <w:spacing w:line="252" w:lineRule="exact" w:before="1"/>
              <w:ind w:left="166" w:right="158"/>
              <w:rPr>
                <w:sz w:val="21"/>
              </w:rPr>
            </w:pPr>
            <w:r>
              <w:rPr>
                <w:sz w:val="21"/>
              </w:rPr>
              <w:t>垂直入渗</w:t>
            </w:r>
          </w:p>
        </w:tc>
        <w:tc>
          <w:tcPr>
            <w:tcW w:w="2106" w:type="dxa"/>
            <w:vMerge/>
            <w:tcBorders>
              <w:top w:val="nil"/>
            </w:tcBorders>
          </w:tcPr>
          <w:p>
            <w:pPr>
              <w:rPr>
                <w:sz w:val="2"/>
                <w:szCs w:val="2"/>
              </w:rPr>
            </w:pPr>
          </w:p>
        </w:tc>
        <w:tc>
          <w:tcPr>
            <w:tcW w:w="1174" w:type="dxa"/>
            <w:vMerge/>
            <w:tcBorders>
              <w:top w:val="nil"/>
            </w:tcBorders>
          </w:tcPr>
          <w:p>
            <w:pPr>
              <w:rPr>
                <w:sz w:val="2"/>
                <w:szCs w:val="2"/>
              </w:rPr>
            </w:pPr>
          </w:p>
        </w:tc>
        <w:tc>
          <w:tcPr>
            <w:tcW w:w="1770" w:type="dxa"/>
          </w:tcPr>
          <w:p>
            <w:pPr>
              <w:pStyle w:val="TableParagraph"/>
              <w:spacing w:line="252" w:lineRule="exact" w:before="1"/>
              <w:ind w:left="125" w:right="125"/>
              <w:rPr>
                <w:sz w:val="21"/>
              </w:rPr>
            </w:pPr>
            <w:r>
              <w:rPr>
                <w:sz w:val="21"/>
              </w:rPr>
              <w:t>事故</w:t>
            </w:r>
          </w:p>
        </w:tc>
      </w:tr>
      <w:tr>
        <w:trPr>
          <w:trHeight w:val="270" w:hRule="atLeast"/>
        </w:trPr>
        <w:tc>
          <w:tcPr>
            <w:tcW w:w="1246" w:type="dxa"/>
            <w:vMerge w:val="restart"/>
          </w:tcPr>
          <w:p>
            <w:pPr>
              <w:pStyle w:val="TableParagraph"/>
              <w:spacing w:before="142"/>
              <w:ind w:left="412"/>
              <w:jc w:val="left"/>
              <w:rPr>
                <w:sz w:val="21"/>
              </w:rPr>
            </w:pPr>
            <w:r>
              <w:rPr>
                <w:sz w:val="21"/>
              </w:rPr>
              <w:t>厂区</w:t>
            </w:r>
          </w:p>
        </w:tc>
        <w:tc>
          <w:tcPr>
            <w:tcW w:w="1775" w:type="dxa"/>
            <w:vMerge w:val="restart"/>
          </w:tcPr>
          <w:p>
            <w:pPr>
              <w:pStyle w:val="TableParagraph"/>
              <w:spacing w:line="270" w:lineRule="atLeast" w:before="5"/>
              <w:ind w:left="781" w:right="138" w:hanging="632"/>
              <w:jc w:val="left"/>
              <w:rPr>
                <w:sz w:val="21"/>
              </w:rPr>
            </w:pPr>
            <w:r>
              <w:rPr>
                <w:sz w:val="21"/>
              </w:rPr>
              <w:t>废气喷淋装置泄漏</w:t>
            </w:r>
          </w:p>
        </w:tc>
        <w:tc>
          <w:tcPr>
            <w:tcW w:w="1220" w:type="dxa"/>
          </w:tcPr>
          <w:p>
            <w:pPr>
              <w:pStyle w:val="TableParagraph"/>
              <w:spacing w:line="250" w:lineRule="exact" w:before="1"/>
              <w:ind w:left="166" w:right="158"/>
              <w:rPr>
                <w:sz w:val="21"/>
              </w:rPr>
            </w:pPr>
            <w:r>
              <w:rPr>
                <w:sz w:val="21"/>
              </w:rPr>
              <w:t>地面漫流</w:t>
            </w:r>
          </w:p>
        </w:tc>
        <w:tc>
          <w:tcPr>
            <w:tcW w:w="2106" w:type="dxa"/>
            <w:vMerge w:val="restart"/>
          </w:tcPr>
          <w:p>
            <w:pPr>
              <w:pStyle w:val="TableParagraph"/>
              <w:spacing w:line="270" w:lineRule="atLeast" w:before="5"/>
              <w:ind w:left="945" w:right="22" w:hanging="840"/>
              <w:jc w:val="left"/>
              <w:rPr>
                <w:sz w:val="21"/>
              </w:rPr>
            </w:pPr>
            <w:r>
              <w:rPr>
                <w:rFonts w:ascii="Times New Roman" w:eastAsia="Times New Roman"/>
                <w:sz w:val="21"/>
              </w:rPr>
              <w:t>pH</w:t>
            </w:r>
            <w:r>
              <w:rPr>
                <w:sz w:val="21"/>
              </w:rPr>
              <w:t>、</w:t>
            </w:r>
            <w:r>
              <w:rPr>
                <w:rFonts w:ascii="Times New Roman" w:eastAsia="Times New Roman"/>
                <w:sz w:val="21"/>
              </w:rPr>
              <w:t>COD</w:t>
            </w:r>
            <w:r>
              <w:rPr>
                <w:sz w:val="21"/>
              </w:rPr>
              <w:t>、总氮、氨氮</w:t>
            </w:r>
          </w:p>
        </w:tc>
        <w:tc>
          <w:tcPr>
            <w:tcW w:w="1174" w:type="dxa"/>
          </w:tcPr>
          <w:p>
            <w:pPr>
              <w:pStyle w:val="TableParagraph"/>
              <w:spacing w:line="236" w:lineRule="exact" w:before="15"/>
              <w:ind w:left="2"/>
              <w:rPr>
                <w:rFonts w:ascii="Times New Roman"/>
                <w:sz w:val="21"/>
              </w:rPr>
            </w:pPr>
            <w:r>
              <w:rPr>
                <w:rFonts w:ascii="Times New Roman"/>
                <w:w w:val="100"/>
                <w:sz w:val="21"/>
              </w:rPr>
              <w:t>/</w:t>
            </w:r>
          </w:p>
        </w:tc>
        <w:tc>
          <w:tcPr>
            <w:tcW w:w="1770" w:type="dxa"/>
          </w:tcPr>
          <w:p>
            <w:pPr>
              <w:pStyle w:val="TableParagraph"/>
              <w:spacing w:line="250" w:lineRule="exact" w:before="1"/>
              <w:ind w:left="125" w:right="125"/>
              <w:rPr>
                <w:sz w:val="21"/>
              </w:rPr>
            </w:pPr>
            <w:r>
              <w:rPr>
                <w:sz w:val="21"/>
              </w:rPr>
              <w:t>事故</w:t>
            </w:r>
          </w:p>
        </w:tc>
      </w:tr>
      <w:tr>
        <w:trPr>
          <w:trHeight w:val="273" w:hRule="atLeast"/>
        </w:trPr>
        <w:tc>
          <w:tcPr>
            <w:tcW w:w="1246" w:type="dxa"/>
            <w:vMerge/>
            <w:tcBorders>
              <w:top w:val="nil"/>
            </w:tcBorders>
          </w:tcPr>
          <w:p>
            <w:pPr>
              <w:rPr>
                <w:sz w:val="2"/>
                <w:szCs w:val="2"/>
              </w:rPr>
            </w:pPr>
          </w:p>
        </w:tc>
        <w:tc>
          <w:tcPr>
            <w:tcW w:w="1775" w:type="dxa"/>
            <w:vMerge/>
            <w:tcBorders>
              <w:top w:val="nil"/>
            </w:tcBorders>
          </w:tcPr>
          <w:p>
            <w:pPr>
              <w:rPr>
                <w:sz w:val="2"/>
                <w:szCs w:val="2"/>
              </w:rPr>
            </w:pPr>
          </w:p>
        </w:tc>
        <w:tc>
          <w:tcPr>
            <w:tcW w:w="1220" w:type="dxa"/>
          </w:tcPr>
          <w:p>
            <w:pPr>
              <w:pStyle w:val="TableParagraph"/>
              <w:spacing w:line="250" w:lineRule="exact" w:before="3"/>
              <w:ind w:left="166" w:right="158"/>
              <w:rPr>
                <w:sz w:val="21"/>
              </w:rPr>
            </w:pPr>
            <w:r>
              <w:rPr>
                <w:sz w:val="21"/>
              </w:rPr>
              <w:t>垂直入渗</w:t>
            </w:r>
          </w:p>
        </w:tc>
        <w:tc>
          <w:tcPr>
            <w:tcW w:w="2106" w:type="dxa"/>
            <w:vMerge/>
            <w:tcBorders>
              <w:top w:val="nil"/>
            </w:tcBorders>
          </w:tcPr>
          <w:p>
            <w:pPr>
              <w:rPr>
                <w:sz w:val="2"/>
                <w:szCs w:val="2"/>
              </w:rPr>
            </w:pPr>
          </w:p>
        </w:tc>
        <w:tc>
          <w:tcPr>
            <w:tcW w:w="1174" w:type="dxa"/>
          </w:tcPr>
          <w:p>
            <w:pPr>
              <w:pStyle w:val="TableParagraph"/>
              <w:spacing w:line="236" w:lineRule="exact" w:before="17"/>
              <w:ind w:left="2"/>
              <w:rPr>
                <w:rFonts w:ascii="Times New Roman"/>
                <w:sz w:val="21"/>
              </w:rPr>
            </w:pPr>
            <w:r>
              <w:rPr>
                <w:rFonts w:ascii="Times New Roman"/>
                <w:w w:val="100"/>
                <w:sz w:val="21"/>
              </w:rPr>
              <w:t>/</w:t>
            </w:r>
          </w:p>
        </w:tc>
        <w:tc>
          <w:tcPr>
            <w:tcW w:w="1770" w:type="dxa"/>
          </w:tcPr>
          <w:p>
            <w:pPr>
              <w:pStyle w:val="TableParagraph"/>
              <w:spacing w:line="250" w:lineRule="exact" w:before="3"/>
              <w:ind w:left="125" w:right="125"/>
              <w:rPr>
                <w:sz w:val="21"/>
              </w:rPr>
            </w:pPr>
            <w:r>
              <w:rPr>
                <w:sz w:val="21"/>
              </w:rPr>
              <w:t>事故</w:t>
            </w:r>
          </w:p>
        </w:tc>
      </w:tr>
      <w:tr>
        <w:trPr>
          <w:trHeight w:val="818" w:hRule="atLeast"/>
        </w:trPr>
        <w:tc>
          <w:tcPr>
            <w:tcW w:w="9291" w:type="dxa"/>
            <w:gridSpan w:val="6"/>
          </w:tcPr>
          <w:p>
            <w:pPr>
              <w:pStyle w:val="TableParagraph"/>
              <w:spacing w:before="1"/>
              <w:ind w:left="107"/>
              <w:jc w:val="left"/>
              <w:rPr>
                <w:sz w:val="21"/>
              </w:rPr>
            </w:pPr>
            <w:r>
              <w:rPr>
                <w:rFonts w:ascii="Times New Roman" w:eastAsia="Times New Roman"/>
                <w:sz w:val="21"/>
              </w:rPr>
              <w:t>a </w:t>
            </w:r>
            <w:r>
              <w:rPr>
                <w:sz w:val="21"/>
              </w:rPr>
              <w:t>根据工程分析结果填写。</w:t>
            </w:r>
          </w:p>
          <w:p>
            <w:pPr>
              <w:pStyle w:val="TableParagraph"/>
              <w:spacing w:line="270" w:lineRule="atLeast" w:before="3"/>
              <w:ind w:left="107" w:right="95"/>
              <w:jc w:val="left"/>
              <w:rPr>
                <w:sz w:val="21"/>
              </w:rPr>
            </w:pPr>
            <w:r>
              <w:rPr>
                <w:rFonts w:ascii="Times New Roman" w:eastAsia="Times New Roman"/>
                <w:sz w:val="21"/>
              </w:rPr>
              <w:t>b</w:t>
            </w:r>
            <w:r>
              <w:rPr>
                <w:spacing w:val="-10"/>
                <w:sz w:val="21"/>
              </w:rPr>
              <w:t>应描述污染源特征，如连续、间断、正常、事故等；涉及大气沉降途径的，应识别建设项目周边的</w:t>
            </w:r>
            <w:r>
              <w:rPr>
                <w:spacing w:val="-5"/>
                <w:sz w:val="21"/>
              </w:rPr>
              <w:t>土壤环境敏感目标。</w:t>
            </w:r>
          </w:p>
        </w:tc>
      </w:tr>
    </w:tbl>
    <w:p>
      <w:pPr>
        <w:spacing w:before="2"/>
        <w:ind w:left="701" w:right="0" w:firstLine="0"/>
        <w:jc w:val="left"/>
        <w:rPr>
          <w:b/>
          <w:sz w:val="24"/>
        </w:rPr>
      </w:pPr>
      <w:r>
        <w:rPr>
          <w:rFonts w:ascii="Times New Roman" w:eastAsia="Times New Roman"/>
          <w:b/>
          <w:sz w:val="24"/>
        </w:rPr>
        <w:t>2</w:t>
      </w:r>
      <w:r>
        <w:rPr>
          <w:b/>
          <w:sz w:val="24"/>
        </w:rPr>
        <w:t>、评价因子筛选</w:t>
      </w:r>
    </w:p>
    <w:p>
      <w:pPr>
        <w:pStyle w:val="BodyText"/>
        <w:spacing w:line="364" w:lineRule="auto" w:before="158"/>
        <w:ind w:left="218" w:right="185" w:firstLine="480"/>
        <w:jc w:val="both"/>
      </w:pPr>
      <w:r>
        <w:rPr>
          <w:spacing w:val="-5"/>
        </w:rPr>
        <w:t>根据工程分析，环境影响因素识别及判定结果，确定本项目环境影响要素的评价因</w:t>
      </w:r>
      <w:r>
        <w:rPr>
          <w:spacing w:val="-19"/>
        </w:rPr>
        <w:t>子见表 </w:t>
      </w:r>
      <w:r>
        <w:rPr>
          <w:rFonts w:ascii="Times New Roman" w:eastAsia="Times New Roman"/>
          <w:spacing w:val="-3"/>
        </w:rPr>
        <w:t>7.2.6-2</w:t>
      </w:r>
      <w:r>
        <w:rPr>
          <w:spacing w:val="-6"/>
        </w:rPr>
        <w:t>，本项目厂区采取地面硬化，设置围堰，布设完整的排水系统，并以定期</w:t>
      </w:r>
      <w:r>
        <w:rPr>
          <w:spacing w:val="-9"/>
        </w:rPr>
        <w:t>巡查和电子监控的方式防止废水外泄，对土壤的影响概率较小，本项目对地面漫流和垂</w:t>
      </w:r>
      <w:r>
        <w:rPr>
          <w:spacing w:val="-10"/>
        </w:rPr>
        <w:t>直入渗途径对土壤的影响进行定性分析；对大气沉降途径对土壤的影响进行定量分析， </w:t>
      </w:r>
      <w:r>
        <w:rPr/>
        <w:t>具体如下：</w:t>
      </w:r>
    </w:p>
    <w:p>
      <w:pPr>
        <w:pStyle w:val="BodyText"/>
        <w:spacing w:line="306" w:lineRule="exact"/>
        <w:ind w:left="701"/>
      </w:pPr>
      <w:r>
        <w:rPr/>
        <w:t>大气沉降：甲酸、颗粒物等；</w:t>
      </w:r>
    </w:p>
    <w:p>
      <w:pPr>
        <w:pStyle w:val="BodyText"/>
        <w:spacing w:before="159"/>
        <w:ind w:left="698"/>
      </w:pPr>
      <w:r>
        <w:rPr/>
        <w:t>地面漫流和垂直入渗：</w:t>
      </w:r>
      <w:r>
        <w:rPr>
          <w:rFonts w:ascii="Times New Roman" w:eastAsia="Times New Roman"/>
        </w:rPr>
        <w:t>pH</w:t>
      </w:r>
      <w:r>
        <w:rPr/>
        <w:t>、耗氧量、甲酸等。</w:t>
      </w:r>
    </w:p>
    <w:p>
      <w:pPr>
        <w:pStyle w:val="BodyText"/>
        <w:spacing w:before="160"/>
        <w:ind w:left="698"/>
      </w:pPr>
      <w:r>
        <w:rPr/>
        <w:t>由于项目施工期较短，因此不对施工期土壤影响进行评价。</w:t>
      </w:r>
    </w:p>
    <w:p>
      <w:pPr>
        <w:pStyle w:val="Heading4"/>
        <w:spacing w:before="161"/>
      </w:pPr>
      <w:r>
        <w:rPr>
          <w:rFonts w:ascii="Times New Roman" w:eastAsia="Times New Roman"/>
        </w:rPr>
        <w:t>3</w:t>
      </w:r>
      <w:r>
        <w:rPr/>
        <w:t>、评价等级</w:t>
      </w:r>
    </w:p>
    <w:p>
      <w:pPr>
        <w:pStyle w:val="BodyText"/>
        <w:spacing w:line="364" w:lineRule="auto" w:before="158"/>
        <w:ind w:left="218" w:right="184" w:firstLine="480"/>
        <w:jc w:val="both"/>
      </w:pPr>
      <w:r>
        <w:rPr>
          <w:spacing w:val="-12"/>
        </w:rPr>
        <w:t>项目属于农药制造。对照《环境影响评价技术导则 土壤环境</w:t>
      </w:r>
      <w:r>
        <w:rPr/>
        <w:t>（试行</w:t>
      </w:r>
      <w:r>
        <w:rPr>
          <w:spacing w:val="-120"/>
        </w:rPr>
        <w:t>）</w:t>
      </w:r>
      <w:r>
        <w:rPr>
          <w:spacing w:val="-48"/>
        </w:rPr>
        <w:t>》</w:t>
      </w:r>
      <w:r>
        <w:rPr>
          <w:rFonts w:ascii="Times New Roman" w:hAnsi="Times New Roman" w:eastAsia="Times New Roman"/>
        </w:rPr>
        <w:t>(HJ964-2018) </w:t>
      </w:r>
      <w:r>
        <w:rPr>
          <w:spacing w:val="-20"/>
        </w:rPr>
        <w:t>附录 </w:t>
      </w:r>
      <w:r>
        <w:rPr>
          <w:rFonts w:ascii="Times New Roman" w:hAnsi="Times New Roman" w:eastAsia="Times New Roman"/>
        </w:rPr>
        <w:t>A</w:t>
      </w:r>
      <w:r>
        <w:rPr>
          <w:rFonts w:ascii="Times New Roman" w:hAnsi="Times New Roman" w:eastAsia="Times New Roman"/>
          <w:spacing w:val="-1"/>
        </w:rPr>
        <w:t> </w:t>
      </w:r>
      <w:r>
        <w:rPr>
          <w:spacing w:val="-30"/>
        </w:rPr>
        <w:t>表 </w:t>
      </w:r>
      <w:r>
        <w:rPr>
          <w:rFonts w:ascii="Times New Roman" w:hAnsi="Times New Roman" w:eastAsia="Times New Roman"/>
        </w:rPr>
        <w:t>A.1</w:t>
      </w:r>
      <w:r>
        <w:rPr/>
        <w:t>，项目属于</w:t>
      </w:r>
      <w:r>
        <w:rPr>
          <w:rFonts w:ascii="Times New Roman" w:hAnsi="Times New Roman" w:eastAsia="Times New Roman"/>
        </w:rPr>
        <w:t>Ⅰ</w:t>
      </w:r>
      <w:r>
        <w:rPr>
          <w:spacing w:val="-3"/>
        </w:rPr>
        <w:t>类项目。项目属于污染影响型项目，项目占地面积 </w:t>
      </w:r>
      <w:r>
        <w:rPr>
          <w:rFonts w:ascii="Times New Roman" w:hAnsi="Times New Roman" w:eastAsia="Times New Roman"/>
        </w:rPr>
        <w:t>1.33hm</w:t>
      </w:r>
      <w:r>
        <w:rPr>
          <w:rFonts w:ascii="Times New Roman" w:hAnsi="Times New Roman" w:eastAsia="Times New Roman"/>
          <w:position w:val="9"/>
          <w:sz w:val="16"/>
        </w:rPr>
        <w:t>2</w:t>
      </w:r>
      <w:r>
        <w:rPr/>
        <w:t>， </w:t>
      </w:r>
      <w:r>
        <w:rPr>
          <w:spacing w:val="-1"/>
        </w:rPr>
        <w:t>占地规模属于小型。项目拟建地位于杭州湾上虞经济技术开发区，属于国家级开发区， </w:t>
      </w:r>
      <w:r>
        <w:rPr>
          <w:spacing w:val="-3"/>
        </w:rPr>
        <w:t>项目所在区域属于不敏感区。对照土壤环境评价工作等级划分表，判定项目土壤环境评价等级为二级。</w:t>
      </w:r>
    </w:p>
    <w:p>
      <w:pPr>
        <w:pStyle w:val="Heading4"/>
        <w:spacing w:line="306" w:lineRule="exact"/>
      </w:pPr>
      <w:r>
        <w:rPr>
          <w:rFonts w:ascii="Times New Roman" w:eastAsia="Times New Roman"/>
        </w:rPr>
        <w:t>4</w:t>
      </w:r>
      <w:r>
        <w:rPr/>
        <w:t>、评价范围</w:t>
      </w:r>
    </w:p>
    <w:p>
      <w:pPr>
        <w:pStyle w:val="BodyText"/>
        <w:spacing w:before="158"/>
        <w:ind w:left="698"/>
      </w:pPr>
      <w:r>
        <w:rPr/>
        <w:t>与现状调查评价范围一致，即项目厂区占地范围及占地范围外 </w:t>
      </w:r>
      <w:r>
        <w:rPr>
          <w:rFonts w:ascii="Times New Roman" w:eastAsia="Times New Roman"/>
        </w:rPr>
        <w:t>200m </w:t>
      </w:r>
      <w:r>
        <w:rPr/>
        <w:t>范围内。</w:t>
      </w:r>
    </w:p>
    <w:p>
      <w:pPr>
        <w:pStyle w:val="Heading4"/>
        <w:spacing w:before="161"/>
      </w:pPr>
      <w:r>
        <w:rPr>
          <w:rFonts w:ascii="Times New Roman" w:eastAsia="Times New Roman"/>
        </w:rPr>
        <w:t>5</w:t>
      </w:r>
      <w:r>
        <w:rPr/>
        <w:t>、评价时段</w:t>
      </w:r>
    </w:p>
    <w:p>
      <w:pPr>
        <w:pStyle w:val="BodyText"/>
        <w:spacing w:before="158"/>
        <w:ind w:left="698"/>
      </w:pPr>
      <w:r>
        <w:rPr/>
        <w:t>评价时段为项目运营期，以项目正常生产大气沉降为预测情景。</w:t>
      </w:r>
    </w:p>
    <w:p>
      <w:pPr>
        <w:spacing w:line="364" w:lineRule="auto" w:before="161"/>
        <w:ind w:left="701" w:right="5182" w:firstLine="0"/>
        <w:jc w:val="left"/>
        <w:rPr>
          <w:sz w:val="24"/>
        </w:rPr>
      </w:pPr>
      <w:r>
        <w:rPr>
          <w:rFonts w:ascii="Times New Roman" w:eastAsia="Times New Roman"/>
          <w:b/>
          <w:sz w:val="24"/>
        </w:rPr>
        <w:t>6</w:t>
      </w:r>
      <w:r>
        <w:rPr>
          <w:b/>
          <w:sz w:val="24"/>
        </w:rPr>
        <w:t>、土壤预测评价方法及结果分析</w:t>
      </w:r>
      <w:r>
        <w:rPr>
          <w:rFonts w:ascii="Times New Roman" w:eastAsia="Times New Roman"/>
          <w:sz w:val="24"/>
        </w:rPr>
        <w:t>(1)</w:t>
      </w:r>
      <w:r>
        <w:rPr>
          <w:sz w:val="24"/>
        </w:rPr>
        <w:t>大气沉降途径土壤环境影响预测大气沉降预测方法选用附录 </w:t>
      </w:r>
      <w:r>
        <w:rPr>
          <w:rFonts w:ascii="Times New Roman" w:eastAsia="Times New Roman"/>
          <w:sz w:val="24"/>
        </w:rPr>
        <w:t>E</w:t>
      </w:r>
      <w:r>
        <w:rPr>
          <w:sz w:val="24"/>
        </w:rPr>
        <w:t>。</w:t>
      </w:r>
    </w:p>
    <w:p>
      <w:pPr>
        <w:spacing w:after="0" w:line="364" w:lineRule="auto"/>
        <w:jc w:val="left"/>
        <w:rPr>
          <w:sz w:val="24"/>
        </w:rPr>
        <w:sectPr>
          <w:pgSz w:w="11910" w:h="16840"/>
          <w:pgMar w:header="872" w:footer="803" w:top="1320" w:bottom="1000" w:left="1200" w:right="1180"/>
        </w:sectPr>
      </w:pPr>
    </w:p>
    <w:p>
      <w:pPr>
        <w:pStyle w:val="BodyText"/>
        <w:spacing w:before="4"/>
        <w:rPr>
          <w:sz w:val="6"/>
        </w:rPr>
      </w:pPr>
    </w:p>
    <w:p>
      <w:pPr>
        <w:pStyle w:val="BodyText"/>
        <w:ind w:left="218"/>
        <w:rPr>
          <w:sz w:val="20"/>
        </w:rPr>
      </w:pPr>
      <w:r>
        <w:rPr>
          <w:sz w:val="20"/>
        </w:rPr>
        <w:drawing>
          <wp:inline distT="0" distB="0" distL="0" distR="0">
            <wp:extent cx="5696991" cy="2640329"/>
            <wp:effectExtent l="0" t="0" r="0" b="0"/>
            <wp:docPr id="73" name="image59.jpeg"/>
            <wp:cNvGraphicFramePr>
              <a:graphicFrameLocks noChangeAspect="1"/>
            </wp:cNvGraphicFramePr>
            <a:graphic>
              <a:graphicData uri="http://schemas.openxmlformats.org/drawingml/2006/picture">
                <pic:pic>
                  <pic:nvPicPr>
                    <pic:cNvPr id="74" name="image59.jpeg"/>
                    <pic:cNvPicPr/>
                  </pic:nvPicPr>
                  <pic:blipFill>
                    <a:blip r:embed="rId128" cstate="print"/>
                    <a:stretch>
                      <a:fillRect/>
                    </a:stretch>
                  </pic:blipFill>
                  <pic:spPr>
                    <a:xfrm>
                      <a:off x="0" y="0"/>
                      <a:ext cx="5696991" cy="2640329"/>
                    </a:xfrm>
                    <a:prstGeom prst="rect">
                      <a:avLst/>
                    </a:prstGeom>
                  </pic:spPr>
                </pic:pic>
              </a:graphicData>
            </a:graphic>
          </wp:inline>
        </w:drawing>
      </w:r>
      <w:r>
        <w:rPr>
          <w:sz w:val="20"/>
        </w:rPr>
      </w:r>
    </w:p>
    <w:p>
      <w:pPr>
        <w:pStyle w:val="BodyText"/>
        <w:spacing w:before="10"/>
        <w:rPr>
          <w:sz w:val="7"/>
        </w:rPr>
      </w:pPr>
    </w:p>
    <w:p>
      <w:pPr>
        <w:pStyle w:val="BodyText"/>
        <w:spacing w:line="364" w:lineRule="auto" w:before="67"/>
        <w:ind w:left="701" w:right="3303"/>
      </w:pPr>
      <w:r>
        <w:rPr/>
        <w:t>由于本项目涉及大气沉降影响的，可不考虑输出量。</w:t>
      </w:r>
      <w:r>
        <w:rPr>
          <w:position w:val="2"/>
        </w:rPr>
        <w:t>故计算公式为：</w:t>
      </w:r>
      <w:r>
        <w:rPr>
          <w:rFonts w:ascii="Times New Roman" w:hAnsi="Times New Roman" w:eastAsia="Times New Roman"/>
          <w:position w:val="2"/>
        </w:rPr>
        <w:t>Δ</w:t>
      </w:r>
      <w:r>
        <w:rPr>
          <w:rFonts w:ascii="Times New Roman" w:hAnsi="Times New Roman" w:eastAsia="Times New Roman"/>
          <w:i/>
          <w:position w:val="2"/>
        </w:rPr>
        <w:t>S</w:t>
      </w:r>
      <w:r>
        <w:rPr>
          <w:rFonts w:ascii="Times New Roman" w:hAnsi="Times New Roman" w:eastAsia="Times New Roman"/>
          <w:position w:val="2"/>
        </w:rPr>
        <w:t>=n×</w:t>
      </w:r>
      <w:r>
        <w:rPr>
          <w:rFonts w:ascii="Times New Roman" w:hAnsi="Times New Roman" w:eastAsia="Times New Roman"/>
          <w:i/>
          <w:position w:val="2"/>
        </w:rPr>
        <w:t>I</w:t>
      </w:r>
      <w:r>
        <w:rPr>
          <w:rFonts w:ascii="Times New Roman" w:hAnsi="Times New Roman" w:eastAsia="Times New Roman"/>
          <w:sz w:val="16"/>
        </w:rPr>
        <w:t>S</w:t>
      </w:r>
      <w:r>
        <w:rPr>
          <w:rFonts w:ascii="Times New Roman" w:hAnsi="Times New Roman" w:eastAsia="Times New Roman"/>
          <w:position w:val="2"/>
        </w:rPr>
        <w:t>/</w:t>
      </w:r>
      <w:r>
        <w:rPr>
          <w:position w:val="2"/>
        </w:rPr>
        <w:t>（</w:t>
      </w:r>
      <w:r>
        <w:rPr>
          <w:rFonts w:ascii="Times New Roman" w:hAnsi="Times New Roman" w:eastAsia="Times New Roman"/>
          <w:i/>
          <w:position w:val="2"/>
        </w:rPr>
        <w:t>ρ</w:t>
      </w:r>
      <w:r>
        <w:rPr>
          <w:rFonts w:ascii="Times New Roman" w:hAnsi="Times New Roman" w:eastAsia="Times New Roman"/>
          <w:sz w:val="16"/>
        </w:rPr>
        <w:t>b</w:t>
      </w:r>
      <w:r>
        <w:rPr>
          <w:rFonts w:ascii="Times New Roman" w:hAnsi="Times New Roman" w:eastAsia="Times New Roman"/>
          <w:position w:val="2"/>
        </w:rPr>
        <w:t>×</w:t>
      </w:r>
      <w:r>
        <w:rPr>
          <w:rFonts w:ascii="Times New Roman" w:hAnsi="Times New Roman" w:eastAsia="Times New Roman"/>
          <w:i/>
          <w:position w:val="2"/>
        </w:rPr>
        <w:t>A</w:t>
      </w:r>
      <w:r>
        <w:rPr>
          <w:rFonts w:ascii="Times New Roman" w:hAnsi="Times New Roman" w:eastAsia="Times New Roman"/>
          <w:position w:val="2"/>
        </w:rPr>
        <w:t>×</w:t>
      </w:r>
      <w:r>
        <w:rPr>
          <w:rFonts w:ascii="Times New Roman" w:hAnsi="Times New Roman" w:eastAsia="Times New Roman"/>
          <w:i/>
          <w:position w:val="2"/>
        </w:rPr>
        <w:t>D</w:t>
      </w:r>
      <w:r>
        <w:rPr>
          <w:position w:val="2"/>
        </w:rPr>
        <w:t>）</w:t>
      </w:r>
    </w:p>
    <w:p>
      <w:pPr>
        <w:pStyle w:val="BodyText"/>
        <w:spacing w:line="364" w:lineRule="auto"/>
        <w:ind w:left="218" w:right="185" w:firstLine="482"/>
        <w:jc w:val="both"/>
      </w:pPr>
      <w:r>
        <w:rPr>
          <w:spacing w:val="-3"/>
        </w:rPr>
        <w:t>甲酸进入大气环境稀释后以其污染源为中心，成条带状或椭圆状分布，其长轴沿当</w:t>
      </w:r>
      <w:r>
        <w:rPr>
          <w:spacing w:val="-4"/>
        </w:rPr>
        <w:t>地风向延伸，污染物随着飘尘以及种气溶胶进入土壤和植物系统，破坏土壤生态系统。</w:t>
      </w:r>
      <w:r>
        <w:rPr/>
        <w:t>而本项目正常运行后全厂排放的甲酸 </w:t>
      </w:r>
      <w:r>
        <w:rPr>
          <w:rFonts w:ascii="Times New Roman" w:eastAsia="Times New Roman"/>
        </w:rPr>
        <w:t>0.333t/a</w:t>
      </w:r>
      <w:r>
        <w:rPr/>
        <w:t>，排放的废气小部分沉降在土壤评价范围</w:t>
      </w:r>
      <w:r>
        <w:rPr>
          <w:spacing w:val="-6"/>
        </w:rPr>
        <w:t>内，沉降的废气部分生化降解，部分渗入地下水中。本项目以最不利情况，假定每年全部排放量废气均沉降残留在评价范围内土壤中。</w:t>
      </w:r>
    </w:p>
    <w:p>
      <w:pPr>
        <w:pStyle w:val="BodyText"/>
        <w:spacing w:line="364" w:lineRule="auto"/>
        <w:ind w:left="218" w:right="109" w:firstLine="482"/>
      </w:pPr>
      <w:r>
        <w:rPr>
          <w:spacing w:val="-13"/>
        </w:rPr>
        <w:t>据资料记载，根据土壤的容重和耕作层的厚度，耕作层土壤重量为 </w:t>
      </w:r>
      <w:r>
        <w:rPr>
          <w:rFonts w:ascii="Times New Roman" w:eastAsia="Times New Roman"/>
        </w:rPr>
        <w:t>1600kg/m</w:t>
      </w:r>
      <w:r>
        <w:rPr>
          <w:rFonts w:ascii="Times New Roman" w:eastAsia="Times New Roman"/>
          <w:position w:val="9"/>
          <w:sz w:val="16"/>
        </w:rPr>
        <w:t>3 </w:t>
      </w:r>
      <w:r>
        <w:rPr>
          <w:spacing w:val="-5"/>
        </w:rPr>
        <w:t>左右， </w:t>
      </w:r>
      <w:r>
        <w:rPr>
          <w:spacing w:val="-4"/>
        </w:rPr>
        <w:t>本次项目评价范围为厂区加外延 </w:t>
      </w:r>
      <w:r>
        <w:rPr>
          <w:rFonts w:ascii="Times New Roman" w:eastAsia="Times New Roman"/>
        </w:rPr>
        <w:t>200m </w:t>
      </w:r>
      <w:r>
        <w:rPr>
          <w:spacing w:val="-8"/>
        </w:rPr>
        <w:t>范围总面积约为 </w:t>
      </w:r>
      <w:r>
        <w:rPr>
          <w:rFonts w:ascii="Times New Roman" w:eastAsia="Times New Roman"/>
        </w:rPr>
        <w:t>62 </w:t>
      </w:r>
      <w:r>
        <w:rPr>
          <w:spacing w:val="-30"/>
        </w:rPr>
        <w:t>万 </w:t>
      </w:r>
      <w:r>
        <w:rPr>
          <w:rFonts w:ascii="Times New Roman" w:eastAsia="Times New Roman"/>
        </w:rPr>
        <w:t>m</w:t>
      </w:r>
      <w:r>
        <w:rPr>
          <w:rFonts w:ascii="Times New Roman" w:eastAsia="Times New Roman"/>
          <w:position w:val="9"/>
          <w:sz w:val="16"/>
        </w:rPr>
        <w:t>2</w:t>
      </w:r>
      <w:r>
        <w:rPr>
          <w:rFonts w:ascii="Times New Roman" w:eastAsia="Times New Roman"/>
        </w:rPr>
        <w:t>(1m </w:t>
      </w:r>
      <w:r>
        <w:rPr/>
        <w:t>厚度</w:t>
      </w:r>
      <w:r>
        <w:rPr>
          <w:rFonts w:ascii="Times New Roman" w:eastAsia="Times New Roman"/>
          <w:spacing w:val="-6"/>
        </w:rPr>
        <w:t>)</w:t>
      </w:r>
      <w:r>
        <w:rPr>
          <w:spacing w:val="-2"/>
        </w:rPr>
        <w:t>，持续年份以</w:t>
      </w:r>
      <w:r>
        <w:rPr>
          <w:rFonts w:ascii="Times New Roman" w:eastAsia="Times New Roman"/>
          <w:spacing w:val="-2"/>
        </w:rPr>
        <w:t>5~15 </w:t>
      </w:r>
      <w:r>
        <w:rPr/>
        <w:t>年计。</w:t>
      </w:r>
    </w:p>
    <w:p>
      <w:pPr>
        <w:pStyle w:val="Heading4"/>
        <w:tabs>
          <w:tab w:pos="3437" w:val="left" w:leader="none"/>
        </w:tabs>
        <w:spacing w:before="136" w:after="28"/>
        <w:ind w:left="2215"/>
      </w:pPr>
      <w:r>
        <w:rPr/>
        <w:t>表</w:t>
      </w:r>
      <w:r>
        <w:rPr>
          <w:spacing w:val="-60"/>
        </w:rPr>
        <w:t> </w:t>
      </w:r>
      <w:r>
        <w:rPr>
          <w:rFonts w:ascii="Times New Roman" w:eastAsia="Times New Roman"/>
        </w:rPr>
        <w:t>7.2.6-3</w:t>
        <w:tab/>
      </w:r>
      <w:r>
        <w:rPr/>
        <w:t>不同年份下大气沉降甲酸预测结果表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7"/>
        <w:gridCol w:w="2420"/>
        <w:gridCol w:w="2180"/>
        <w:gridCol w:w="2871"/>
      </w:tblGrid>
      <w:tr>
        <w:trPr>
          <w:trHeight w:val="285" w:hRule="atLeast"/>
        </w:trPr>
        <w:tc>
          <w:tcPr>
            <w:tcW w:w="1817" w:type="dxa"/>
            <w:vMerge w:val="restart"/>
          </w:tcPr>
          <w:p>
            <w:pPr>
              <w:pStyle w:val="TableParagraph"/>
              <w:spacing w:before="154"/>
              <w:ind w:left="486"/>
              <w:jc w:val="left"/>
              <w:rPr>
                <w:sz w:val="21"/>
              </w:rPr>
            </w:pPr>
            <w:r>
              <w:rPr>
                <w:sz w:val="21"/>
              </w:rPr>
              <w:t>预测因子</w:t>
            </w:r>
          </w:p>
        </w:tc>
        <w:tc>
          <w:tcPr>
            <w:tcW w:w="7471" w:type="dxa"/>
            <w:gridSpan w:val="3"/>
          </w:tcPr>
          <w:p>
            <w:pPr>
              <w:pStyle w:val="TableParagraph"/>
              <w:spacing w:line="257" w:lineRule="exact" w:before="8"/>
              <w:ind w:left="3014" w:right="3011"/>
              <w:rPr>
                <w:rFonts w:ascii="Times New Roman" w:hAnsi="Times New Roman" w:eastAsia="Times New Roman"/>
                <w:i/>
                <w:sz w:val="21"/>
              </w:rPr>
            </w:pPr>
            <w:r>
              <w:rPr>
                <w:sz w:val="21"/>
              </w:rPr>
              <w:t>土壤中增量 </w:t>
            </w:r>
            <w:r>
              <w:rPr>
                <w:rFonts w:ascii="Times New Roman" w:hAnsi="Times New Roman" w:eastAsia="Times New Roman"/>
                <w:sz w:val="21"/>
              </w:rPr>
              <w:t>Δ</w:t>
            </w:r>
            <w:r>
              <w:rPr>
                <w:rFonts w:ascii="Times New Roman" w:hAnsi="Times New Roman" w:eastAsia="Times New Roman"/>
                <w:i/>
                <w:sz w:val="21"/>
              </w:rPr>
              <w:t>S</w:t>
            </w:r>
          </w:p>
        </w:tc>
      </w:tr>
      <w:tr>
        <w:trPr>
          <w:trHeight w:val="282" w:hRule="atLeast"/>
        </w:trPr>
        <w:tc>
          <w:tcPr>
            <w:tcW w:w="1817" w:type="dxa"/>
            <w:vMerge/>
            <w:tcBorders>
              <w:top w:val="nil"/>
            </w:tcBorders>
          </w:tcPr>
          <w:p>
            <w:pPr>
              <w:rPr>
                <w:sz w:val="2"/>
                <w:szCs w:val="2"/>
              </w:rPr>
            </w:pPr>
          </w:p>
        </w:tc>
        <w:tc>
          <w:tcPr>
            <w:tcW w:w="2420" w:type="dxa"/>
          </w:tcPr>
          <w:p>
            <w:pPr>
              <w:pStyle w:val="TableParagraph"/>
              <w:spacing w:line="255" w:lineRule="exact" w:before="8"/>
              <w:ind w:left="811" w:right="807"/>
              <w:rPr>
                <w:sz w:val="21"/>
              </w:rPr>
            </w:pPr>
            <w:r>
              <w:rPr>
                <w:rFonts w:ascii="Times New Roman" w:eastAsia="Times New Roman"/>
                <w:sz w:val="21"/>
              </w:rPr>
              <w:t>5 </w:t>
            </w:r>
            <w:r>
              <w:rPr>
                <w:sz w:val="21"/>
              </w:rPr>
              <w:t>年</w:t>
            </w:r>
          </w:p>
        </w:tc>
        <w:tc>
          <w:tcPr>
            <w:tcW w:w="2180" w:type="dxa"/>
          </w:tcPr>
          <w:p>
            <w:pPr>
              <w:pStyle w:val="TableParagraph"/>
              <w:spacing w:line="255" w:lineRule="exact" w:before="8"/>
              <w:ind w:left="351" w:right="348"/>
              <w:rPr>
                <w:sz w:val="21"/>
              </w:rPr>
            </w:pPr>
            <w:r>
              <w:rPr>
                <w:rFonts w:ascii="Times New Roman" w:eastAsia="Times New Roman"/>
                <w:sz w:val="21"/>
              </w:rPr>
              <w:t>10 </w:t>
            </w:r>
            <w:r>
              <w:rPr>
                <w:sz w:val="21"/>
              </w:rPr>
              <w:t>年</w:t>
            </w:r>
          </w:p>
        </w:tc>
        <w:tc>
          <w:tcPr>
            <w:tcW w:w="2871" w:type="dxa"/>
          </w:tcPr>
          <w:p>
            <w:pPr>
              <w:pStyle w:val="TableParagraph"/>
              <w:spacing w:line="255" w:lineRule="exact" w:before="8"/>
              <w:ind w:left="985" w:right="978"/>
              <w:rPr>
                <w:sz w:val="21"/>
              </w:rPr>
            </w:pPr>
            <w:r>
              <w:rPr>
                <w:rFonts w:ascii="Times New Roman" w:eastAsia="Times New Roman"/>
                <w:sz w:val="21"/>
              </w:rPr>
              <w:t>15 </w:t>
            </w:r>
            <w:r>
              <w:rPr>
                <w:sz w:val="21"/>
              </w:rPr>
              <w:t>年</w:t>
            </w:r>
          </w:p>
        </w:tc>
      </w:tr>
      <w:tr>
        <w:trPr>
          <w:trHeight w:val="285" w:hRule="atLeast"/>
        </w:trPr>
        <w:tc>
          <w:tcPr>
            <w:tcW w:w="1817" w:type="dxa"/>
          </w:tcPr>
          <w:p>
            <w:pPr>
              <w:pStyle w:val="TableParagraph"/>
              <w:spacing w:line="257" w:lineRule="exact" w:before="8"/>
              <w:ind w:left="228" w:right="217"/>
              <w:rPr>
                <w:sz w:val="21"/>
              </w:rPr>
            </w:pPr>
            <w:r>
              <w:rPr>
                <w:sz w:val="21"/>
              </w:rPr>
              <w:t>甲酸</w:t>
            </w:r>
          </w:p>
        </w:tc>
        <w:tc>
          <w:tcPr>
            <w:tcW w:w="2420" w:type="dxa"/>
          </w:tcPr>
          <w:p>
            <w:pPr>
              <w:pStyle w:val="TableParagraph"/>
              <w:spacing w:before="22"/>
              <w:ind w:left="814" w:right="807"/>
              <w:rPr>
                <w:rFonts w:ascii="Times New Roman" w:hAnsi="Times New Roman"/>
                <w:sz w:val="21"/>
              </w:rPr>
            </w:pPr>
            <w:r>
              <w:rPr>
                <w:rFonts w:ascii="Times New Roman" w:hAnsi="Times New Roman"/>
                <w:sz w:val="21"/>
              </w:rPr>
              <w:t>8.4μg/kg</w:t>
            </w:r>
          </w:p>
        </w:tc>
        <w:tc>
          <w:tcPr>
            <w:tcW w:w="2180" w:type="dxa"/>
          </w:tcPr>
          <w:p>
            <w:pPr>
              <w:pStyle w:val="TableParagraph"/>
              <w:spacing w:before="22"/>
              <w:ind w:left="353" w:right="348"/>
              <w:rPr>
                <w:rFonts w:ascii="Times New Roman" w:hAnsi="Times New Roman"/>
                <w:sz w:val="21"/>
              </w:rPr>
            </w:pPr>
            <w:r>
              <w:rPr>
                <w:rFonts w:ascii="Times New Roman" w:hAnsi="Times New Roman"/>
                <w:sz w:val="21"/>
              </w:rPr>
              <w:t>16.8μg/kg</w:t>
            </w:r>
          </w:p>
        </w:tc>
        <w:tc>
          <w:tcPr>
            <w:tcW w:w="2871" w:type="dxa"/>
          </w:tcPr>
          <w:p>
            <w:pPr>
              <w:pStyle w:val="TableParagraph"/>
              <w:spacing w:before="22"/>
              <w:ind w:left="985" w:right="981"/>
              <w:rPr>
                <w:rFonts w:ascii="Times New Roman" w:hAnsi="Times New Roman"/>
                <w:sz w:val="21"/>
              </w:rPr>
            </w:pPr>
            <w:r>
              <w:rPr>
                <w:rFonts w:ascii="Times New Roman" w:hAnsi="Times New Roman"/>
                <w:sz w:val="21"/>
              </w:rPr>
              <w:t>25.2μg/kg</w:t>
            </w:r>
          </w:p>
        </w:tc>
      </w:tr>
    </w:tbl>
    <w:p>
      <w:pPr>
        <w:pStyle w:val="BodyText"/>
        <w:spacing w:line="364" w:lineRule="auto" w:before="2"/>
        <w:ind w:left="218" w:right="232" w:firstLine="482"/>
        <w:jc w:val="both"/>
      </w:pPr>
      <w:r>
        <w:rPr>
          <w:rFonts w:ascii="Times New Roman" w:hAnsi="Times New Roman" w:eastAsia="Times New Roman"/>
        </w:rPr>
        <w:t>GB36600-2018 </w:t>
      </w:r>
      <w:r>
        <w:rPr/>
        <w:t>中不涉及甲酸的筛选值，故此处仅评价甲酸的增量。根据上述预测分析，在不考虑降解的情形下，项目排放的甲酸沉降入土壤在项目服务 </w:t>
      </w:r>
      <w:r>
        <w:rPr>
          <w:rFonts w:ascii="Times New Roman" w:hAnsi="Times New Roman" w:eastAsia="Times New Roman"/>
        </w:rPr>
        <w:t>15 </w:t>
      </w:r>
      <w:r>
        <w:rPr/>
        <w:t>年的情形下增量为 </w:t>
      </w:r>
      <w:r>
        <w:rPr>
          <w:rFonts w:ascii="Times New Roman" w:hAnsi="Times New Roman" w:eastAsia="Times New Roman"/>
        </w:rPr>
        <w:t>25.2μg/kg</w:t>
      </w:r>
      <w:r>
        <w:rPr/>
        <w:t>。</w:t>
      </w:r>
    </w:p>
    <w:p>
      <w:pPr>
        <w:pStyle w:val="BodyText"/>
        <w:spacing w:line="364" w:lineRule="auto"/>
        <w:ind w:left="218" w:right="115" w:firstLine="482"/>
      </w:pPr>
      <w:r>
        <w:rPr>
          <w:spacing w:val="-6"/>
        </w:rPr>
        <w:t>预测时考虑的是预测范围内土壤全裸露，实际情况下厂区附近 </w:t>
      </w:r>
      <w:r>
        <w:rPr>
          <w:rFonts w:ascii="Times New Roman" w:eastAsia="Times New Roman"/>
        </w:rPr>
        <w:t>200 </w:t>
      </w:r>
      <w:r>
        <w:rPr/>
        <w:t>米范围内均为企</w:t>
      </w:r>
      <w:r>
        <w:rPr>
          <w:spacing w:val="-14"/>
        </w:rPr>
        <w:t>业，裸露地表较少，故甲酸由于大气沉降进入土壤的量较少。预测时未考虑甲酸的降解， </w:t>
      </w:r>
      <w:r>
        <w:rPr>
          <w:spacing w:val="-5"/>
        </w:rPr>
        <w:t>根据相关文献，甲酸的生物降解性较好，在土壤会被微生物分解，故甲酸在土壤中残留</w:t>
      </w:r>
      <w:r>
        <w:rPr>
          <w:spacing w:val="-9"/>
        </w:rPr>
        <w:t>的量较少。由此，初步可以认为本项目排放的废气产生的大气沉降对土壤会产生一定的影响，但是影响程度比较少。</w:t>
      </w:r>
    </w:p>
    <w:p>
      <w:pPr>
        <w:spacing w:after="0" w:line="364" w:lineRule="auto"/>
        <w:sectPr>
          <w:pgSz w:w="11910" w:h="16840"/>
          <w:pgMar w:header="872" w:footer="803" w:top="1320" w:bottom="1000" w:left="1200" w:right="1180"/>
        </w:sectPr>
      </w:pPr>
    </w:p>
    <w:p>
      <w:pPr>
        <w:pStyle w:val="Heading4"/>
        <w:spacing w:before="84"/>
      </w:pPr>
      <w:r>
        <w:rPr/>
        <w:t>综上，本项目在大气沉降方面土壤环境影响可接受。</w:t>
      </w:r>
    </w:p>
    <w:p>
      <w:pPr>
        <w:pStyle w:val="ListParagraph"/>
        <w:numPr>
          <w:ilvl w:val="0"/>
          <w:numId w:val="37"/>
        </w:numPr>
        <w:tabs>
          <w:tab w:pos="983" w:val="left" w:leader="none"/>
        </w:tabs>
        <w:spacing w:line="240" w:lineRule="auto" w:before="159" w:after="0"/>
        <w:ind w:left="982" w:right="0" w:hanging="282"/>
        <w:jc w:val="left"/>
        <w:rPr>
          <w:sz w:val="24"/>
        </w:rPr>
      </w:pPr>
      <w:r>
        <w:rPr>
          <w:sz w:val="24"/>
        </w:rPr>
        <w:t>地面漫流途径土壤环境影响分析</w:t>
      </w:r>
    </w:p>
    <w:p>
      <w:pPr>
        <w:pStyle w:val="BodyText"/>
        <w:spacing w:line="364" w:lineRule="auto" w:before="160"/>
        <w:ind w:left="218" w:right="234" w:firstLine="482"/>
        <w:jc w:val="both"/>
      </w:pPr>
      <w:r>
        <w:rPr>
          <w:spacing w:val="-6"/>
        </w:rPr>
        <w:t>对于地上设施，在事故情况和降雨情况下产生的废水会发生地面浸流，进一步污染</w:t>
      </w:r>
      <w:r>
        <w:rPr>
          <w:spacing w:val="-7"/>
        </w:rPr>
        <w:t>土壤。企业通过设置废水三级防控，设置围堰拦截事故水，进入事故应急池，此过程由各级阀门、智能化雨水排放口等调控控制；并在事故时结合地势，在雨水沟上方设置栅</w:t>
      </w:r>
      <w:r>
        <w:rPr>
          <w:spacing w:val="-5"/>
        </w:rPr>
        <w:t>板及临时小挡坝等措施，保证可能受污染的雨排水截留至雨水明沟，最终进入厂区内事</w:t>
      </w:r>
      <w:r>
        <w:rPr>
          <w:spacing w:val="-7"/>
        </w:rPr>
        <w:t>故应急池，全面防控事故废水和可能受污染的雨水发生地面漫流，进入土壤，在全面落</w:t>
      </w:r>
      <w:r>
        <w:rPr/>
        <w:t>实三级防控措施的情况下，物料或污染物的地面漫流对土壤影响较小。</w:t>
      </w:r>
    </w:p>
    <w:p>
      <w:pPr>
        <w:pStyle w:val="ListParagraph"/>
        <w:numPr>
          <w:ilvl w:val="0"/>
          <w:numId w:val="37"/>
        </w:numPr>
        <w:tabs>
          <w:tab w:pos="983" w:val="left" w:leader="none"/>
        </w:tabs>
        <w:spacing w:line="304" w:lineRule="exact" w:before="0" w:after="0"/>
        <w:ind w:left="982" w:right="0" w:hanging="282"/>
        <w:jc w:val="left"/>
        <w:rPr>
          <w:sz w:val="24"/>
        </w:rPr>
      </w:pPr>
      <w:r>
        <w:rPr>
          <w:sz w:val="24"/>
        </w:rPr>
        <w:t>垂直入渗途径土壤环境影响分析</w:t>
      </w:r>
    </w:p>
    <w:p>
      <w:pPr>
        <w:pStyle w:val="BodyText"/>
        <w:spacing w:line="362" w:lineRule="auto" w:before="161"/>
        <w:ind w:left="218" w:right="128" w:firstLine="482"/>
        <w:jc w:val="both"/>
      </w:pPr>
      <w:r>
        <w:rPr/>
        <w:t>对于地下或半地下工程构筑物，在事故情况下，会造成物料、污染物等的泄露，通过垂直入渗进一步污染土壤， 本项目参照《 石油化工工程防渗技术规范》</w:t>
      </w:r>
    </w:p>
    <w:p>
      <w:pPr>
        <w:pStyle w:val="BodyText"/>
        <w:spacing w:line="364" w:lineRule="auto" w:before="5"/>
        <w:ind w:left="218" w:right="234"/>
        <w:jc w:val="both"/>
      </w:pPr>
      <w:r>
        <w:rPr>
          <w:spacing w:val="-1"/>
        </w:rPr>
        <w:t>（</w:t>
      </w:r>
      <w:r>
        <w:rPr>
          <w:rFonts w:ascii="Times New Roman" w:hAnsi="Times New Roman" w:eastAsia="Times New Roman"/>
          <w:spacing w:val="-1"/>
        </w:rPr>
        <w:t>GB/T50934-2013</w:t>
      </w:r>
      <w:r>
        <w:rPr>
          <w:spacing w:val="-1"/>
        </w:rPr>
        <w:t>）</w:t>
      </w:r>
      <w:r>
        <w:rPr>
          <w:spacing w:val="-7"/>
        </w:rPr>
        <w:t>中的要求，根据场地特性和项目特征，制定分区防渗。对于地下及</w:t>
      </w:r>
      <w:r>
        <w:rPr>
          <w:spacing w:val="-5"/>
        </w:rPr>
        <w:t>半地下工程构筑物采取重点防渗，对于可能发生物料和污染物泄露的地上构筑物采取一</w:t>
      </w:r>
      <w:r>
        <w:rPr>
          <w:spacing w:val="-7"/>
        </w:rPr>
        <w:t>级防渗，其他区域按建筑要求做地面处理，防渗材料应与物料或污染物相兼容，其渗透</w:t>
      </w:r>
      <w:r>
        <w:rPr/>
        <w:t>系数应小于等于 </w:t>
      </w:r>
      <w:r>
        <w:rPr>
          <w:rFonts w:ascii="Times New Roman" w:hAnsi="Times New Roman" w:eastAsia="Times New Roman"/>
          <w:spacing w:val="-5"/>
        </w:rPr>
        <w:t>1.0×10</w:t>
      </w:r>
      <w:r>
        <w:rPr>
          <w:rFonts w:ascii="Times New Roman" w:hAnsi="Times New Roman" w:eastAsia="Times New Roman"/>
          <w:spacing w:val="-34"/>
        </w:rPr>
        <w:t> </w:t>
      </w:r>
      <w:r>
        <w:rPr>
          <w:rFonts w:ascii="Times New Roman" w:hAnsi="Times New Roman" w:eastAsia="Times New Roman"/>
          <w:position w:val="9"/>
          <w:sz w:val="16"/>
        </w:rPr>
        <w:t>-7</w:t>
      </w:r>
      <w:r>
        <w:rPr>
          <w:rFonts w:ascii="Times New Roman" w:hAnsi="Times New Roman" w:eastAsia="Times New Roman"/>
        </w:rPr>
        <w:t>cm/s</w:t>
      </w:r>
      <w:r>
        <w:rPr/>
        <w:t>，在全面落实分区防渗措施的情况下，物料或污染物的垂直入渗对土壤影响较小。</w:t>
      </w:r>
    </w:p>
    <w:p>
      <w:pPr>
        <w:pStyle w:val="BodyText"/>
        <w:spacing w:line="303" w:lineRule="exact"/>
        <w:ind w:left="701"/>
      </w:pPr>
      <w:r>
        <w:rPr>
          <w:rFonts w:ascii="Times New Roman" w:eastAsia="Times New Roman"/>
        </w:rPr>
        <w:t>7</w:t>
      </w:r>
      <w:r>
        <w:rPr/>
        <w:t>、土壤评价结论</w:t>
      </w:r>
    </w:p>
    <w:p>
      <w:pPr>
        <w:pStyle w:val="BodyText"/>
        <w:spacing w:line="362" w:lineRule="auto" w:before="161"/>
        <w:ind w:left="218" w:right="235" w:firstLine="482"/>
        <w:jc w:val="both"/>
      </w:pPr>
      <w:r>
        <w:rPr>
          <w:spacing w:val="-5"/>
        </w:rPr>
        <w:t>本次评价通过定量与定性相结合的办法，从大气沉降、地面漫流和垂直入渗三个影</w:t>
      </w:r>
      <w:r>
        <w:rPr>
          <w:spacing w:val="-1"/>
        </w:rPr>
        <w:t>响途径，分析项目运营对土壤环境的影响，企业运行 </w:t>
      </w:r>
      <w:r>
        <w:rPr>
          <w:rFonts w:ascii="Times New Roman" w:eastAsia="Times New Roman"/>
        </w:rPr>
        <w:t>15 </w:t>
      </w:r>
      <w:r>
        <w:rPr>
          <w:spacing w:val="-3"/>
        </w:rPr>
        <w:t>年，土壤中甲酸的预测浓度增</w:t>
      </w:r>
    </w:p>
    <w:p>
      <w:pPr>
        <w:pStyle w:val="BodyText"/>
        <w:spacing w:line="364" w:lineRule="auto" w:before="5"/>
        <w:ind w:left="218" w:right="232"/>
        <w:jc w:val="both"/>
      </w:pPr>
      <w:r>
        <w:rPr>
          <w:spacing w:val="7"/>
        </w:rPr>
        <w:t>量为 </w:t>
      </w:r>
      <w:r>
        <w:rPr>
          <w:rFonts w:ascii="Times New Roman" w:hAnsi="Times New Roman" w:eastAsia="Times New Roman"/>
        </w:rPr>
        <w:t>25.2μg/kg</w:t>
      </w:r>
      <w:r>
        <w:rPr/>
        <w:t>，且预测时考虑的是预测范围内土壤全裸露，实际情况下厂区附近 </w:t>
      </w:r>
      <w:r>
        <w:rPr>
          <w:rFonts w:ascii="Times New Roman" w:hAnsi="Times New Roman" w:eastAsia="Times New Roman"/>
          <w:spacing w:val="-4"/>
        </w:rPr>
        <w:t>200 </w:t>
      </w:r>
      <w:r>
        <w:rPr>
          <w:spacing w:val="-5"/>
        </w:rPr>
        <w:t>米范围内均为企业，裸露地表较少。甲酸的大气沉降对土壤影响较小，同时在企业做好</w:t>
      </w:r>
      <w:r>
        <w:rPr/>
        <w:t>三级防控和分区防渗措施的情况下，地面漫流和垂直入渗对土壤的影响较小。</w:t>
      </w:r>
    </w:p>
    <w:p>
      <w:pPr>
        <w:pStyle w:val="BodyText"/>
        <w:spacing w:line="307" w:lineRule="exact"/>
        <w:ind w:left="701"/>
      </w:pPr>
      <w:r>
        <w:rPr/>
        <w:t>综上，项目运营期对土壤的影响较小。</w:t>
      </w:r>
    </w:p>
    <w:p>
      <w:pPr>
        <w:pStyle w:val="Heading4"/>
        <w:numPr>
          <w:ilvl w:val="2"/>
          <w:numId w:val="23"/>
        </w:numPr>
        <w:tabs>
          <w:tab w:pos="759" w:val="left" w:leader="none"/>
        </w:tabs>
        <w:spacing w:line="240" w:lineRule="auto" w:before="158" w:after="0"/>
        <w:ind w:left="758" w:right="0" w:hanging="541"/>
        <w:jc w:val="left"/>
      </w:pPr>
      <w:r>
        <w:rPr/>
        <w:t>营运期生态环境影响分析</w:t>
      </w:r>
    </w:p>
    <w:p>
      <w:pPr>
        <w:pStyle w:val="BodyText"/>
        <w:spacing w:before="161"/>
        <w:ind w:left="698"/>
      </w:pPr>
      <w:r>
        <w:rPr>
          <w:rFonts w:ascii="Times New Roman" w:eastAsia="Times New Roman"/>
        </w:rPr>
        <w:t>1</w:t>
      </w:r>
      <w:r>
        <w:rPr/>
        <w:t>、生态现状调查</w:t>
      </w:r>
    </w:p>
    <w:p>
      <w:pPr>
        <w:pStyle w:val="BodyText"/>
        <w:spacing w:line="364" w:lineRule="auto" w:before="158"/>
        <w:ind w:left="218" w:right="174" w:firstLine="480"/>
      </w:pPr>
      <w:r>
        <w:rPr/>
        <w:t>项目选址位于杭州湾上虞经济技术开发区，周围的环境现状主要为工业企业和道路为主，最近的居民集聚区在 </w:t>
      </w:r>
      <w:r>
        <w:rPr>
          <w:rFonts w:ascii="Times New Roman" w:eastAsia="Times New Roman"/>
        </w:rPr>
        <w:t>1900m </w:t>
      </w:r>
      <w:r>
        <w:rPr/>
        <w:t>以外。</w:t>
      </w:r>
    </w:p>
    <w:p>
      <w:pPr>
        <w:pStyle w:val="BodyText"/>
        <w:spacing w:line="364" w:lineRule="auto"/>
        <w:ind w:left="218" w:right="172" w:firstLine="480"/>
      </w:pPr>
      <w:r>
        <w:rPr/>
        <w:t>项目所在地周围无饮用水源保护区、无地下水出口，也无大面积自然植被群落及珍稀动植物资源等。</w:t>
      </w:r>
    </w:p>
    <w:p>
      <w:pPr>
        <w:pStyle w:val="BodyText"/>
        <w:spacing w:line="306" w:lineRule="exact"/>
        <w:ind w:left="698"/>
      </w:pPr>
      <w:r>
        <w:rPr/>
        <w:t>根据对该地区的实地勘查和调查研究，评价范围内都是人工生态系统，厂址所在的</w:t>
      </w:r>
    </w:p>
    <w:p>
      <w:pPr>
        <w:spacing w:after="0" w:line="306" w:lineRule="exact"/>
        <w:sectPr>
          <w:pgSz w:w="11910" w:h="16840"/>
          <w:pgMar w:header="872" w:footer="803" w:top="1320" w:bottom="1000" w:left="1200" w:right="1180"/>
        </w:sectPr>
      </w:pPr>
    </w:p>
    <w:p>
      <w:pPr>
        <w:pStyle w:val="BodyText"/>
        <w:spacing w:line="364" w:lineRule="auto" w:before="84"/>
        <w:ind w:left="218" w:right="172"/>
      </w:pPr>
      <w:r>
        <w:rPr/>
        <w:t>杭州湾上虞经济技术开发区附近主要为农业生态系统、乡村生态系统等，空间异质性不大。</w:t>
      </w:r>
    </w:p>
    <w:p>
      <w:pPr>
        <w:pStyle w:val="BodyText"/>
        <w:spacing w:line="307" w:lineRule="exact"/>
        <w:ind w:left="698"/>
      </w:pPr>
      <w:r>
        <w:rPr>
          <w:rFonts w:ascii="Times New Roman" w:eastAsia="Times New Roman"/>
        </w:rPr>
        <w:t>2</w:t>
      </w:r>
      <w:r>
        <w:rPr/>
        <w:t>、生态环境影响分析</w:t>
      </w:r>
    </w:p>
    <w:p>
      <w:pPr>
        <w:pStyle w:val="BodyText"/>
        <w:spacing w:line="364" w:lineRule="auto" w:before="158"/>
        <w:ind w:left="218" w:right="234" w:firstLine="480"/>
      </w:pPr>
      <w:r>
        <w:rPr>
          <w:spacing w:val="-7"/>
        </w:rPr>
        <w:t>根据分析，项目废水收集经预处理达到纳管标准后，纳管进入上虞污水处理厂。废</w:t>
      </w:r>
      <w:r>
        <w:rPr/>
        <w:t>水不对外排放，因此在正常生产时，对周边生态环境影响不大。</w:t>
      </w:r>
    </w:p>
    <w:p>
      <w:pPr>
        <w:pStyle w:val="BodyText"/>
        <w:spacing w:line="364" w:lineRule="auto"/>
        <w:ind w:left="218" w:right="230" w:firstLine="480"/>
        <w:jc w:val="both"/>
      </w:pPr>
      <w:r>
        <w:rPr/>
        <w:t>本项目三环唑农药粉尘，干燥、混配过程气量较小，尾气经布袋除尘</w:t>
      </w:r>
      <w:r>
        <w:rPr>
          <w:rFonts w:ascii="Times New Roman" w:eastAsia="Times New Roman"/>
        </w:rPr>
        <w:t>+</w:t>
      </w:r>
      <w:r>
        <w:rPr>
          <w:spacing w:val="-3"/>
        </w:rPr>
        <w:t>多级喷淋处</w:t>
      </w:r>
      <w:r>
        <w:rPr>
          <w:spacing w:val="-7"/>
        </w:rPr>
        <w:t>理后排放，一般情况下直接泄漏可能性不大；原药的包装要求在密闭的空间内进行，发</w:t>
      </w:r>
      <w:r>
        <w:rPr/>
        <w:t>生大规模的原药粉尘泄漏可能性不大。</w:t>
      </w:r>
    </w:p>
    <w:p>
      <w:pPr>
        <w:pStyle w:val="BodyText"/>
        <w:spacing w:line="364" w:lineRule="auto"/>
        <w:ind w:left="218" w:right="184" w:firstLine="480"/>
        <w:jc w:val="both"/>
      </w:pPr>
      <w:r>
        <w:rPr>
          <w:spacing w:val="-1"/>
        </w:rPr>
        <w:t>三环唑是防治稻瘟病专用杀菌剂，杀菌作用机理主要是抑制附着孢黑色素的形成， </w:t>
      </w:r>
      <w:r>
        <w:rPr>
          <w:spacing w:val="-3"/>
        </w:rPr>
        <w:t>从而抑制孢子萌发和附着孢形成，阻止病菌侵人和减少稻瘟病菌孢子的产生。本项目所</w:t>
      </w:r>
      <w:r>
        <w:rPr>
          <w:spacing w:val="-6"/>
        </w:rPr>
        <w:t>用农药在正常施药范围内主要是杀菌作用，对农作物正常生长基本无影响，且原药粉尘经正常处理后排放量较小，对周边农作物的生态影响较小。</w:t>
      </w:r>
    </w:p>
    <w:p>
      <w:pPr>
        <w:pStyle w:val="BodyText"/>
        <w:spacing w:line="364" w:lineRule="auto"/>
        <w:ind w:left="218" w:right="113" w:firstLine="480"/>
      </w:pPr>
      <w:r>
        <w:rPr>
          <w:spacing w:val="-13"/>
        </w:rPr>
        <w:t>但在非正常状态下，三环唑农药粉尘对周围农作物环境存在影响，本环评要求干燥、</w:t>
      </w:r>
      <w:r>
        <w:rPr/>
        <w:t>包装车间设置于专用密闭车间内，废气引风后布袋除尘</w:t>
      </w:r>
      <w:r>
        <w:rPr>
          <w:rFonts w:ascii="Times New Roman" w:eastAsia="Times New Roman"/>
        </w:rPr>
        <w:t>+</w:t>
      </w:r>
      <w:r>
        <w:rPr/>
        <w:t>多级喷淋方式处理后外排，企业应对布袋除尘器及喷淋塔加强检修，杜绝农药原药粉尘非正常排放。</w:t>
      </w:r>
    </w:p>
    <w:p>
      <w:pPr>
        <w:pStyle w:val="BodyText"/>
        <w:spacing w:line="362" w:lineRule="auto"/>
        <w:ind w:left="218" w:right="174" w:firstLine="480"/>
      </w:pPr>
      <w:r>
        <w:rPr/>
        <w:t>厂区内需建设规范化的危险废物暂存场所和一般固废堆放场所，项目固废均得到妥善处理，不对外排放，因此不会影响周边生态环境。</w:t>
      </w:r>
    </w:p>
    <w:p>
      <w:pPr>
        <w:pStyle w:val="BodyText"/>
        <w:spacing w:line="364" w:lineRule="auto" w:before="1"/>
        <w:ind w:left="218" w:right="234" w:firstLine="480"/>
        <w:jc w:val="both"/>
      </w:pPr>
      <w:r>
        <w:rPr>
          <w:spacing w:val="4"/>
        </w:rPr>
        <w:t>由于项目是在积极采取防治污染的前提下进行的，对污染源均将采取有效措施控</w:t>
      </w:r>
      <w:r>
        <w:rPr>
          <w:spacing w:val="-12"/>
        </w:rPr>
        <w:t>制，只要在各级政府及相关部门与管理层的紧密配合下，在共同努力的基础上，落实</w:t>
      </w:r>
      <w:r>
        <w:rPr>
          <w:rFonts w:ascii="Times New Roman" w:hAnsi="Times New Roman" w:eastAsia="Times New Roman"/>
        </w:rPr>
        <w:t>“</w:t>
      </w:r>
      <w:r>
        <w:rPr>
          <w:spacing w:val="-14"/>
        </w:rPr>
        <w:t>三</w:t>
      </w:r>
      <w:r>
        <w:rPr/>
        <w:t>废</w:t>
      </w:r>
      <w:r>
        <w:rPr>
          <w:rFonts w:ascii="Times New Roman" w:hAnsi="Times New Roman" w:eastAsia="Times New Roman"/>
        </w:rPr>
        <w:t>”</w:t>
      </w:r>
      <w:r>
        <w:rPr/>
        <w:t>处理措施，并加强污染物排放管理，则项目建设对生态环境的影响不大。</w:t>
      </w:r>
    </w:p>
    <w:p>
      <w:pPr>
        <w:pStyle w:val="BodyText"/>
        <w:spacing w:line="364" w:lineRule="auto"/>
        <w:ind w:left="218" w:right="232" w:firstLine="480"/>
      </w:pPr>
      <w:r>
        <w:rPr>
          <w:spacing w:val="-7"/>
        </w:rPr>
        <w:t>此外，企业加强绿化工程，改善厂区景观，对树木、草地种类的选择与布置在结合</w:t>
      </w:r>
      <w:r>
        <w:rPr/>
        <w:t>当地土壤与气候特征的基础上，重点考虑其绿化、美化及隔声降噪作用。</w:t>
      </w:r>
    </w:p>
    <w:p>
      <w:pPr>
        <w:pStyle w:val="BodyText"/>
        <w:ind w:left="698"/>
      </w:pPr>
      <w:r>
        <w:rPr>
          <w:rFonts w:ascii="Times New Roman" w:eastAsia="Times New Roman"/>
        </w:rPr>
        <w:t>3</w:t>
      </w:r>
      <w:r>
        <w:rPr/>
        <w:t>、生态保护措施</w:t>
      </w:r>
    </w:p>
    <w:p>
      <w:pPr>
        <w:pStyle w:val="ListParagraph"/>
        <w:numPr>
          <w:ilvl w:val="0"/>
          <w:numId w:val="38"/>
        </w:numPr>
        <w:tabs>
          <w:tab w:pos="1300" w:val="left" w:leader="none"/>
        </w:tabs>
        <w:spacing w:line="240" w:lineRule="auto" w:before="157" w:after="0"/>
        <w:ind w:left="1299" w:right="0" w:hanging="602"/>
        <w:jc w:val="left"/>
        <w:rPr>
          <w:sz w:val="24"/>
        </w:rPr>
      </w:pPr>
      <w:r>
        <w:rPr>
          <w:sz w:val="24"/>
        </w:rPr>
        <w:t>绿化补偿措施</w:t>
      </w:r>
    </w:p>
    <w:p>
      <w:pPr>
        <w:pStyle w:val="BodyText"/>
        <w:spacing w:line="364" w:lineRule="auto" w:before="160"/>
        <w:ind w:left="218" w:right="248" w:firstLine="480"/>
      </w:pPr>
      <w:r>
        <w:rPr/>
        <w:t>根据自然资源损失补偿和受损区域恢复原则，必须采取一定的生态恢复和补偿措施，以消减生态影响程度，减少环境损失，改善区域生态系统功能。</w:t>
      </w:r>
    </w:p>
    <w:p>
      <w:pPr>
        <w:pStyle w:val="BodyText"/>
        <w:spacing w:line="364" w:lineRule="auto"/>
        <w:ind w:left="218" w:right="235" w:firstLine="480"/>
        <w:jc w:val="both"/>
      </w:pPr>
      <w:r>
        <w:rPr>
          <w:spacing w:val="-4"/>
        </w:rPr>
        <w:t>根据工程建设特点及开发区污染总量控制原则，在该地块区内有效的生态补偿措施</w:t>
      </w:r>
      <w:r>
        <w:rPr>
          <w:spacing w:val="-6"/>
        </w:rPr>
        <w:t>为绿化补偿。根据长期的研究成果证明，绿化对改善区域环境具有极其重要的作用，绿</w:t>
      </w:r>
      <w:r>
        <w:rPr/>
        <w:t>地具有放氧、吸毒、除尘、杀菌、减噪、防止水土流失和美化环境等作用。</w:t>
      </w:r>
    </w:p>
    <w:p>
      <w:pPr>
        <w:pStyle w:val="BodyText"/>
        <w:spacing w:line="304" w:lineRule="exact"/>
        <w:ind w:left="698"/>
        <w:jc w:val="both"/>
      </w:pPr>
      <w:r>
        <w:rPr/>
        <w:t>企业应加大绿化力度，使规划绿地率达到 </w:t>
      </w:r>
      <w:r>
        <w:rPr>
          <w:rFonts w:ascii="Times New Roman" w:eastAsia="Times New Roman"/>
        </w:rPr>
        <w:t>15%</w:t>
      </w:r>
      <w:r>
        <w:rPr/>
        <w:t>以上，达到生态补偿的目的。绿化设</w:t>
      </w:r>
    </w:p>
    <w:p>
      <w:pPr>
        <w:spacing w:after="0" w:line="304" w:lineRule="exact"/>
        <w:jc w:val="both"/>
        <w:sectPr>
          <w:pgSz w:w="11910" w:h="16840"/>
          <w:pgMar w:header="872" w:footer="803" w:top="1320" w:bottom="1000" w:left="1200" w:right="1180"/>
        </w:sectPr>
      </w:pPr>
    </w:p>
    <w:p>
      <w:pPr>
        <w:pStyle w:val="BodyText"/>
        <w:spacing w:line="364" w:lineRule="auto" w:before="84"/>
        <w:ind w:left="218" w:right="234"/>
        <w:jc w:val="both"/>
      </w:pPr>
      <w:r>
        <w:rPr>
          <w:spacing w:val="-5"/>
        </w:rPr>
        <w:t>计时应注意合理搭配各种植物，充分发挥植物净化、防尘、隔噪的作用，具体的措施可</w:t>
      </w:r>
      <w:r>
        <w:rPr>
          <w:spacing w:val="-4"/>
        </w:rPr>
        <w:t>以在车间与厂界之间设置高大阔叶乔木林带，选择降尘、吸收废气效果好的树种。建议</w:t>
      </w:r>
      <w:r>
        <w:rPr/>
        <w:t>多种植对有害气体吸收能力较强的树木，如洋槐、榆树、垂柳等。</w:t>
      </w:r>
    </w:p>
    <w:p>
      <w:pPr>
        <w:pStyle w:val="ListParagraph"/>
        <w:numPr>
          <w:ilvl w:val="0"/>
          <w:numId w:val="38"/>
        </w:numPr>
        <w:tabs>
          <w:tab w:pos="1300" w:val="left" w:leader="none"/>
        </w:tabs>
        <w:spacing w:line="305" w:lineRule="exact" w:before="0" w:after="0"/>
        <w:ind w:left="1299" w:right="0" w:hanging="602"/>
        <w:jc w:val="left"/>
        <w:rPr>
          <w:sz w:val="24"/>
        </w:rPr>
      </w:pPr>
      <w:r>
        <w:rPr>
          <w:sz w:val="24"/>
        </w:rPr>
        <w:t>加强环境管理</w:t>
      </w:r>
    </w:p>
    <w:p>
      <w:pPr>
        <w:pStyle w:val="BodyText"/>
        <w:spacing w:line="364" w:lineRule="auto" w:before="161"/>
        <w:ind w:left="218" w:right="232" w:firstLine="480"/>
        <w:jc w:val="both"/>
      </w:pPr>
      <w:r>
        <w:rPr>
          <w:spacing w:val="-4"/>
        </w:rPr>
        <w:t>企业在生产时应注意维护好三废治理设施，确保设施的正常运行，污染物做到稳定</w:t>
      </w:r>
      <w:r>
        <w:rPr>
          <w:spacing w:val="-7"/>
        </w:rPr>
        <w:t>达标排放，如治理设施出现故障应立即停产检修，采用事故应急池对事故废水和废液进行收集，杜绝废气和废水未经处理即外排，以避免对生态环境，尤其是水生生物生境的</w:t>
      </w:r>
      <w:r>
        <w:rPr/>
        <w:t>影响。</w:t>
      </w:r>
    </w:p>
    <w:p>
      <w:pPr>
        <w:pStyle w:val="Heading3"/>
        <w:numPr>
          <w:ilvl w:val="1"/>
          <w:numId w:val="39"/>
        </w:numPr>
        <w:tabs>
          <w:tab w:pos="781" w:val="left" w:leader="none"/>
        </w:tabs>
        <w:spacing w:line="357" w:lineRule="exact" w:before="0" w:after="0"/>
        <w:ind w:left="780" w:right="0" w:hanging="421"/>
        <w:jc w:val="left"/>
      </w:pPr>
      <w:bookmarkStart w:name="_bookmark45" w:id="91"/>
      <w:bookmarkEnd w:id="91"/>
      <w:r>
        <w:rPr>
          <w:b w:val="0"/>
        </w:rPr>
      </w:r>
      <w:bookmarkStart w:name="_bookmark45" w:id="92"/>
      <w:bookmarkEnd w:id="92"/>
      <w:r>
        <w:rPr/>
        <w:t>项目退役期环境影响分析</w:t>
      </w:r>
    </w:p>
    <w:p>
      <w:pPr>
        <w:spacing w:line="364" w:lineRule="auto" w:before="186"/>
        <w:ind w:left="218" w:right="232" w:firstLine="480"/>
        <w:jc w:val="both"/>
        <w:rPr>
          <w:b/>
          <w:sz w:val="24"/>
        </w:rPr>
      </w:pPr>
      <w:r>
        <w:rPr>
          <w:spacing w:val="-6"/>
          <w:sz w:val="24"/>
        </w:rPr>
        <w:t>本项目退役以后，由于生产不再进行，因此将不再产生废水、废气、废渣和设备噪</w:t>
      </w:r>
      <w:r>
        <w:rPr>
          <w:spacing w:val="-5"/>
          <w:sz w:val="24"/>
        </w:rPr>
        <w:t>声等环境污染物，遗留的主要是厂房和废弃设备以及尚未用完的原料及固废。厂房可进</w:t>
      </w:r>
      <w:r>
        <w:rPr>
          <w:spacing w:val="-4"/>
          <w:sz w:val="24"/>
        </w:rPr>
        <w:t>一步作其他用途或拆除重建，废弃的建筑废渣可作填埋材料进行综合利用，废弃的设备</w:t>
      </w:r>
      <w:r>
        <w:rPr>
          <w:spacing w:val="-5"/>
          <w:sz w:val="24"/>
        </w:rPr>
        <w:t>不含放射性及有毒有害物质，因此设备清洗后即可拆除。设备的主要原料为金属，对设</w:t>
      </w:r>
      <w:r>
        <w:rPr>
          <w:spacing w:val="-4"/>
          <w:sz w:val="24"/>
        </w:rPr>
        <w:t>备材料作拆除分检处理后可回收利用。对尚未用完的原料须经妥善包装后由原料生产厂</w:t>
      </w:r>
      <w:r>
        <w:rPr>
          <w:spacing w:val="-6"/>
          <w:sz w:val="24"/>
        </w:rPr>
        <w:t>家回收或外售，不得随意倾倒。固废须焚烧、填埋或回收处理。</w:t>
      </w:r>
      <w:r>
        <w:rPr>
          <w:b/>
          <w:spacing w:val="-2"/>
          <w:sz w:val="24"/>
        </w:rPr>
        <w:t>本环评建议现有企业退</w:t>
      </w:r>
      <w:r>
        <w:rPr>
          <w:b/>
          <w:spacing w:val="-4"/>
          <w:sz w:val="24"/>
        </w:rPr>
        <w:t>役后应进行退役期环境影响评价并对土壤、地下水进行监测，经有效处理后，本项目在退役后对环境基本无影响。</w:t>
      </w:r>
    </w:p>
    <w:p>
      <w:pPr>
        <w:pStyle w:val="Heading3"/>
        <w:numPr>
          <w:ilvl w:val="1"/>
          <w:numId w:val="39"/>
        </w:numPr>
        <w:tabs>
          <w:tab w:pos="639" w:val="left" w:leader="none"/>
        </w:tabs>
        <w:spacing w:line="355" w:lineRule="exact" w:before="0" w:after="0"/>
        <w:ind w:left="638" w:right="0" w:hanging="421"/>
        <w:jc w:val="left"/>
      </w:pPr>
      <w:bookmarkStart w:name="_bookmark46" w:id="93"/>
      <w:bookmarkEnd w:id="93"/>
      <w:r>
        <w:rPr>
          <w:b w:val="0"/>
        </w:rPr>
      </w:r>
      <w:bookmarkStart w:name="_bookmark46" w:id="94"/>
      <w:bookmarkEnd w:id="94"/>
      <w:r>
        <w:rPr/>
        <w:t>碳排放环境影响评价</w:t>
      </w:r>
    </w:p>
    <w:p>
      <w:pPr>
        <w:pStyle w:val="Heading4"/>
        <w:numPr>
          <w:ilvl w:val="2"/>
          <w:numId w:val="39"/>
        </w:numPr>
        <w:tabs>
          <w:tab w:pos="759" w:val="left" w:leader="none"/>
        </w:tabs>
        <w:spacing w:line="240" w:lineRule="auto" w:before="185" w:after="0"/>
        <w:ind w:left="758" w:right="0" w:hanging="541"/>
        <w:jc w:val="left"/>
      </w:pPr>
      <w:r>
        <w:rPr/>
        <w:t>评价依据</w:t>
      </w:r>
    </w:p>
    <w:p>
      <w:pPr>
        <w:pStyle w:val="BodyText"/>
        <w:spacing w:before="208"/>
        <w:ind w:left="698"/>
      </w:pPr>
      <w:r>
        <w:rPr>
          <w:rFonts w:ascii="Times New Roman" w:hAnsi="Times New Roman" w:eastAsia="Times New Roman"/>
          <w:spacing w:val="-1"/>
        </w:rPr>
        <w:t>1</w:t>
      </w:r>
      <w:r>
        <w:rPr>
          <w:spacing w:val="-30"/>
        </w:rPr>
        <w:t>、《国家</w:t>
      </w:r>
      <w:r>
        <w:rPr>
          <w:rFonts w:ascii="Times New Roman" w:hAnsi="Times New Roman" w:eastAsia="Times New Roman"/>
          <w:spacing w:val="-1"/>
        </w:rPr>
        <w:t>“</w:t>
      </w:r>
      <w:r>
        <w:rPr/>
        <w:t>十三五</w:t>
      </w:r>
      <w:r>
        <w:rPr>
          <w:rFonts w:ascii="Times New Roman" w:hAnsi="Times New Roman" w:eastAsia="Times New Roman"/>
          <w:spacing w:val="-1"/>
        </w:rPr>
        <w:t>”</w:t>
      </w:r>
      <w:r>
        <w:rPr>
          <w:spacing w:val="-10"/>
        </w:rPr>
        <w:t>控制温室气体排放工作方案》</w:t>
      </w:r>
      <w:r>
        <w:rPr/>
        <w:t>（国发</w:t>
      </w:r>
      <w:r>
        <w:rPr>
          <w:rFonts w:ascii="Times New Roman" w:hAnsi="Times New Roman" w:eastAsia="Times New Roman"/>
        </w:rPr>
        <w:t>[201</w:t>
      </w:r>
      <w:r>
        <w:rPr>
          <w:rFonts w:ascii="Times New Roman" w:hAnsi="Times New Roman" w:eastAsia="Times New Roman"/>
          <w:spacing w:val="-1"/>
        </w:rPr>
        <w:t>6</w:t>
      </w:r>
      <w:r>
        <w:rPr>
          <w:rFonts w:ascii="Times New Roman" w:hAnsi="Times New Roman" w:eastAsia="Times New Roman"/>
        </w:rPr>
        <w:t>]61</w:t>
      </w:r>
      <w:r>
        <w:rPr>
          <w:rFonts w:ascii="Times New Roman" w:hAnsi="Times New Roman" w:eastAsia="Times New Roman"/>
          <w:spacing w:val="-1"/>
        </w:rPr>
        <w:t> </w:t>
      </w:r>
      <w:r>
        <w:rPr/>
        <w:t>号</w:t>
      </w:r>
      <w:r>
        <w:rPr>
          <w:spacing w:val="-120"/>
        </w:rPr>
        <w:t>）</w:t>
      </w:r>
      <w:r>
        <w:rPr/>
        <w:t>；</w:t>
      </w:r>
    </w:p>
    <w:p>
      <w:pPr>
        <w:pStyle w:val="BodyText"/>
        <w:spacing w:line="364" w:lineRule="auto" w:before="206"/>
        <w:ind w:left="218" w:right="241" w:firstLine="480"/>
      </w:pPr>
      <w:r>
        <w:rPr>
          <w:rFonts w:ascii="Times New Roman" w:eastAsia="Times New Roman"/>
          <w:spacing w:val="16"/>
        </w:rPr>
        <w:t>2</w:t>
      </w:r>
      <w:r>
        <w:rPr/>
        <w:t>、《关于切实做好全国碳排放权交易市场启动重点工作的通知》</w:t>
      </w:r>
      <w:r>
        <w:rPr>
          <w:spacing w:val="16"/>
        </w:rPr>
        <w:t>（</w:t>
      </w:r>
      <w:r>
        <w:rPr>
          <w:spacing w:val="12"/>
        </w:rPr>
        <w:t>发改办气候</w:t>
      </w:r>
      <w:r>
        <w:rPr>
          <w:rFonts w:ascii="Times New Roman" w:eastAsia="Times New Roman"/>
          <w:spacing w:val="12"/>
        </w:rPr>
        <w:t>[201</w:t>
      </w:r>
      <w:r>
        <w:rPr>
          <w:rFonts w:ascii="Times New Roman" w:eastAsia="Times New Roman"/>
          <w:spacing w:val="-1"/>
        </w:rPr>
        <w:t>6</w:t>
      </w:r>
      <w:r>
        <w:rPr>
          <w:rFonts w:ascii="Times New Roman" w:eastAsia="Times New Roman"/>
        </w:rPr>
        <w:t>]57 </w:t>
      </w:r>
      <w:r>
        <w:rPr/>
        <w:t>号</w:t>
      </w:r>
      <w:r>
        <w:rPr>
          <w:spacing w:val="-120"/>
        </w:rPr>
        <w:t>）</w:t>
      </w:r>
      <w:r>
        <w:rPr/>
        <w:t>；</w:t>
      </w:r>
    </w:p>
    <w:p>
      <w:pPr>
        <w:pStyle w:val="BodyText"/>
        <w:spacing w:before="47"/>
        <w:ind w:left="698"/>
      </w:pPr>
      <w:r>
        <w:rPr>
          <w:rFonts w:ascii="Times New Roman" w:eastAsia="Times New Roman"/>
        </w:rPr>
        <w:t>3</w:t>
      </w:r>
      <w:r>
        <w:rPr>
          <w:spacing w:val="-12"/>
        </w:rPr>
        <w:t>、《中国化工生产企业温室气体排放核算方法与报告指南</w:t>
      </w:r>
      <w:r>
        <w:rPr/>
        <w:t>（试行</w:t>
      </w:r>
      <w:r>
        <w:rPr>
          <w:spacing w:val="-120"/>
        </w:rPr>
        <w:t>）</w:t>
      </w:r>
      <w:r>
        <w:rPr>
          <w:spacing w:val="-60"/>
        </w:rPr>
        <w:t>》；</w:t>
      </w:r>
    </w:p>
    <w:p>
      <w:pPr>
        <w:pStyle w:val="BodyText"/>
        <w:spacing w:before="209"/>
        <w:ind w:left="698"/>
      </w:pPr>
      <w:r>
        <w:rPr>
          <w:rFonts w:ascii="Times New Roman" w:eastAsia="Times New Roman"/>
          <w:spacing w:val="-1"/>
        </w:rPr>
        <w:t>4</w:t>
      </w:r>
      <w:r>
        <w:rPr>
          <w:spacing w:val="-18"/>
        </w:rPr>
        <w:t>、《工业企业温室气体排放核算和报告通则》</w:t>
      </w:r>
      <w:r>
        <w:rPr>
          <w:spacing w:val="1"/>
        </w:rPr>
        <w:t>（</w:t>
      </w:r>
      <w:r>
        <w:rPr>
          <w:rFonts w:ascii="Times New Roman" w:eastAsia="Times New Roman"/>
          <w:w w:val="99"/>
        </w:rPr>
        <w:t>GB/</w:t>
      </w:r>
      <w:r>
        <w:rPr>
          <w:rFonts w:ascii="Times New Roman" w:eastAsia="Times New Roman"/>
        </w:rPr>
        <w:t>T3215</w:t>
      </w:r>
      <w:r>
        <w:rPr>
          <w:rFonts w:ascii="Times New Roman" w:eastAsia="Times New Roman"/>
          <w:spacing w:val="-1"/>
        </w:rPr>
        <w:t>0-</w:t>
      </w:r>
      <w:r>
        <w:rPr>
          <w:rFonts w:ascii="Times New Roman" w:eastAsia="Times New Roman"/>
        </w:rPr>
        <w:t>2015</w:t>
      </w:r>
      <w:r>
        <w:rPr>
          <w:spacing w:val="-120"/>
        </w:rPr>
        <w:t>）；</w:t>
      </w:r>
    </w:p>
    <w:p>
      <w:pPr>
        <w:pStyle w:val="BodyText"/>
        <w:spacing w:before="206"/>
        <w:ind w:left="698"/>
      </w:pPr>
      <w:r>
        <w:rPr>
          <w:rFonts w:ascii="Times New Roman" w:eastAsia="Times New Roman"/>
        </w:rPr>
        <w:t>5</w:t>
      </w:r>
      <w:r>
        <w:rPr>
          <w:spacing w:val="-16"/>
        </w:rPr>
        <w:t>、《浙江省重点企</w:t>
      </w:r>
      <w:r>
        <w:rPr/>
        <w:t>（事）业单位温室气体排放核查指南（</w:t>
      </w:r>
      <w:r>
        <w:rPr>
          <w:rFonts w:ascii="Times New Roman" w:eastAsia="Times New Roman"/>
        </w:rPr>
        <w:t>2016 </w:t>
      </w:r>
      <w:r>
        <w:rPr/>
        <w:t>版</w:t>
      </w:r>
      <w:r>
        <w:rPr>
          <w:spacing w:val="-120"/>
        </w:rPr>
        <w:t>）</w:t>
      </w:r>
      <w:r>
        <w:rPr>
          <w:spacing w:val="-60"/>
        </w:rPr>
        <w:t>》；</w:t>
      </w:r>
    </w:p>
    <w:p>
      <w:pPr>
        <w:pStyle w:val="BodyText"/>
        <w:spacing w:before="209"/>
        <w:ind w:left="698"/>
      </w:pPr>
      <w:r>
        <w:rPr>
          <w:rFonts w:ascii="Times New Roman" w:eastAsia="Times New Roman"/>
          <w:spacing w:val="-1"/>
        </w:rPr>
        <w:t>6</w:t>
      </w:r>
      <w:r>
        <w:rPr>
          <w:spacing w:val="-18"/>
        </w:rPr>
        <w:t>、《浙江省碳排放权交易市场建设实施方案》</w:t>
      </w:r>
      <w:r>
        <w:rPr/>
        <w:t>（浙政办发</w:t>
      </w:r>
      <w:r>
        <w:rPr>
          <w:rFonts w:ascii="Times New Roman" w:eastAsia="Times New Roman"/>
          <w:spacing w:val="-1"/>
        </w:rPr>
        <w:t>[</w:t>
      </w:r>
      <w:r>
        <w:rPr>
          <w:rFonts w:ascii="Times New Roman" w:eastAsia="Times New Roman"/>
        </w:rPr>
        <w:t>2016</w:t>
      </w:r>
      <w:r>
        <w:rPr>
          <w:rFonts w:ascii="Times New Roman" w:eastAsia="Times New Roman"/>
          <w:spacing w:val="-1"/>
        </w:rPr>
        <w:t>]</w:t>
      </w:r>
      <w:r>
        <w:rPr>
          <w:rFonts w:ascii="Times New Roman" w:eastAsia="Times New Roman"/>
        </w:rPr>
        <w:t>70 </w:t>
      </w:r>
      <w:r>
        <w:rPr>
          <w:spacing w:val="2"/>
        </w:rPr>
        <w:t>号</w:t>
      </w:r>
      <w:r>
        <w:rPr>
          <w:spacing w:val="-120"/>
        </w:rPr>
        <w:t>）</w:t>
      </w:r>
      <w:r>
        <w:rPr/>
        <w:t>；</w:t>
      </w:r>
    </w:p>
    <w:p>
      <w:pPr>
        <w:pStyle w:val="BodyText"/>
        <w:spacing w:before="206"/>
        <w:ind w:left="698"/>
      </w:pPr>
      <w:r>
        <w:rPr>
          <w:rFonts w:ascii="Times New Roman" w:hAnsi="Times New Roman" w:eastAsia="Times New Roman"/>
          <w:spacing w:val="-1"/>
        </w:rPr>
        <w:t>7</w:t>
      </w:r>
      <w:r>
        <w:rPr>
          <w:spacing w:val="-24"/>
        </w:rPr>
        <w:t>、《浙江省</w:t>
      </w:r>
      <w:r>
        <w:rPr>
          <w:rFonts w:ascii="Times New Roman" w:hAnsi="Times New Roman" w:eastAsia="Times New Roman"/>
          <w:spacing w:val="-1"/>
        </w:rPr>
        <w:t>“</w:t>
      </w:r>
      <w:r>
        <w:rPr/>
        <w:t>十三五</w:t>
      </w:r>
      <w:r>
        <w:rPr>
          <w:rFonts w:ascii="Times New Roman" w:hAnsi="Times New Roman" w:eastAsia="Times New Roman"/>
          <w:spacing w:val="-1"/>
        </w:rPr>
        <w:t>”</w:t>
      </w:r>
      <w:r>
        <w:rPr>
          <w:spacing w:val="-10"/>
        </w:rPr>
        <w:t>控制温室气体排放实施方案》</w:t>
      </w:r>
      <w:r>
        <w:rPr/>
        <w:t>（浙政办发</w:t>
      </w:r>
      <w:r>
        <w:rPr>
          <w:rFonts w:ascii="Times New Roman" w:hAnsi="Times New Roman" w:eastAsia="Times New Roman"/>
          <w:spacing w:val="-1"/>
        </w:rPr>
        <w:t>[</w:t>
      </w:r>
      <w:r>
        <w:rPr>
          <w:rFonts w:ascii="Times New Roman" w:hAnsi="Times New Roman" w:eastAsia="Times New Roman"/>
        </w:rPr>
        <w:t>2017</w:t>
      </w:r>
      <w:r>
        <w:rPr>
          <w:rFonts w:ascii="Times New Roman" w:hAnsi="Times New Roman" w:eastAsia="Times New Roman"/>
          <w:spacing w:val="-1"/>
        </w:rPr>
        <w:t>]</w:t>
      </w:r>
      <w:r>
        <w:rPr>
          <w:rFonts w:ascii="Times New Roman" w:hAnsi="Times New Roman" w:eastAsia="Times New Roman"/>
          <w:spacing w:val="2"/>
        </w:rPr>
        <w:t>3</w:t>
      </w:r>
      <w:r>
        <w:rPr>
          <w:rFonts w:ascii="Times New Roman" w:hAnsi="Times New Roman" w:eastAsia="Times New Roman"/>
        </w:rPr>
        <w:t>1 </w:t>
      </w:r>
      <w:r>
        <w:rPr/>
        <w:t>号</w:t>
      </w:r>
      <w:r>
        <w:rPr>
          <w:spacing w:val="-120"/>
        </w:rPr>
        <w:t>）</w:t>
      </w:r>
      <w:r>
        <w:rPr/>
        <w:t>；</w:t>
      </w:r>
    </w:p>
    <w:p>
      <w:pPr>
        <w:pStyle w:val="BodyText"/>
        <w:spacing w:before="208"/>
        <w:ind w:left="698"/>
        <w:rPr>
          <w:rFonts w:ascii="Times New Roman" w:eastAsia="Times New Roman"/>
        </w:rPr>
      </w:pPr>
      <w:r>
        <w:rPr>
          <w:rFonts w:ascii="Times New Roman" w:eastAsia="Times New Roman"/>
        </w:rPr>
        <w:t>8</w:t>
      </w:r>
      <w:r>
        <w:rPr>
          <w:spacing w:val="-45"/>
        </w:rPr>
        <w:t>、《浙江省重点企</w:t>
      </w:r>
      <w:r>
        <w:rPr/>
        <w:t>（事</w:t>
      </w:r>
      <w:r>
        <w:rPr>
          <w:spacing w:val="-116"/>
        </w:rPr>
        <w:t>）</w:t>
      </w:r>
      <w:r>
        <w:rPr>
          <w:spacing w:val="-8"/>
        </w:rPr>
        <w:t>业单位温室气体排放核查管理办法</w:t>
      </w:r>
      <w:r>
        <w:rPr/>
        <w:t>（试行</w:t>
      </w:r>
      <w:r>
        <w:rPr>
          <w:spacing w:val="-120"/>
        </w:rPr>
        <w:t>）</w:t>
      </w:r>
      <w:r>
        <w:rPr>
          <w:spacing w:val="-233"/>
        </w:rPr>
        <w:t>》</w:t>
      </w:r>
      <w:r>
        <w:rPr/>
        <w:t>（</w:t>
      </w:r>
      <w:r>
        <w:rPr>
          <w:spacing w:val="-2"/>
        </w:rPr>
        <w:t>浙环函</w:t>
      </w:r>
      <w:r>
        <w:rPr>
          <w:rFonts w:ascii="Times New Roman" w:eastAsia="Times New Roman"/>
        </w:rPr>
        <w:t>[2020]167</w:t>
      </w:r>
    </w:p>
    <w:p>
      <w:pPr>
        <w:pStyle w:val="BodyText"/>
        <w:spacing w:before="161"/>
        <w:ind w:left="218"/>
      </w:pPr>
      <w:r>
        <w:rPr/>
        <w:t>号</w:t>
      </w:r>
      <w:r>
        <w:rPr>
          <w:spacing w:val="-120"/>
        </w:rPr>
        <w:t>）</w:t>
      </w:r>
      <w:r>
        <w:rPr/>
        <w:t>；</w:t>
      </w:r>
    </w:p>
    <w:p>
      <w:pPr>
        <w:spacing w:after="0"/>
        <w:sectPr>
          <w:pgSz w:w="11910" w:h="16840"/>
          <w:pgMar w:header="872" w:footer="803" w:top="1320" w:bottom="1000" w:left="1200" w:right="1180"/>
        </w:sectPr>
      </w:pPr>
    </w:p>
    <w:p>
      <w:pPr>
        <w:pStyle w:val="BodyText"/>
        <w:spacing w:before="84"/>
        <w:ind w:left="698"/>
        <w:rPr>
          <w:rFonts w:ascii="Times New Roman" w:eastAsia="Times New Roman"/>
        </w:rPr>
      </w:pPr>
      <w:r>
        <w:rPr>
          <w:rFonts w:ascii="Times New Roman" w:eastAsia="Times New Roman"/>
          <w:spacing w:val="-1"/>
        </w:rPr>
        <w:t>9</w:t>
      </w:r>
      <w:r>
        <w:rPr>
          <w:spacing w:val="-18"/>
        </w:rPr>
        <w:t>、《浙江省生态环境厅关于印发实施</w:t>
      </w:r>
      <w:r>
        <w:rPr>
          <w:rFonts w:ascii="Times New Roman" w:eastAsia="Times New Roman"/>
          <w:spacing w:val="-1"/>
        </w:rPr>
        <w:t>&lt;</w:t>
      </w:r>
      <w:r>
        <w:rPr>
          <w:spacing w:val="-7"/>
        </w:rPr>
        <w:t>浙江省建设项目碳排放评价编制指南</w:t>
      </w:r>
      <w:r>
        <w:rPr/>
        <w:t>（试行</w:t>
      </w:r>
      <w:r>
        <w:rPr>
          <w:spacing w:val="-108"/>
        </w:rPr>
        <w:t>）</w:t>
      </w:r>
      <w:r>
        <w:rPr>
          <w:rFonts w:ascii="Times New Roman" w:eastAsia="Times New Roman"/>
        </w:rPr>
        <w:t>&gt;</w:t>
      </w:r>
    </w:p>
    <w:p>
      <w:pPr>
        <w:pStyle w:val="BodyText"/>
        <w:spacing w:before="159"/>
        <w:ind w:left="218"/>
      </w:pPr>
      <w:r>
        <w:rPr>
          <w:spacing w:val="-30"/>
        </w:rPr>
        <w:t>的通知》</w:t>
      </w:r>
      <w:r>
        <w:rPr/>
        <w:t>（</w:t>
      </w:r>
      <w:r>
        <w:rPr>
          <w:spacing w:val="-1"/>
        </w:rPr>
        <w:t>浙环函</w:t>
      </w:r>
      <w:r>
        <w:rPr>
          <w:rFonts w:ascii="Times New Roman" w:eastAsia="Times New Roman"/>
          <w:spacing w:val="-1"/>
        </w:rPr>
        <w:t>[</w:t>
      </w:r>
      <w:r>
        <w:rPr>
          <w:rFonts w:ascii="Times New Roman" w:eastAsia="Times New Roman"/>
        </w:rPr>
        <w:t>2021</w:t>
      </w:r>
      <w:r>
        <w:rPr>
          <w:rFonts w:ascii="Times New Roman" w:eastAsia="Times New Roman"/>
          <w:spacing w:val="1"/>
        </w:rPr>
        <w:t>]</w:t>
      </w:r>
      <w:r>
        <w:rPr>
          <w:rFonts w:ascii="Times New Roman" w:eastAsia="Times New Roman"/>
        </w:rPr>
        <w:t>179 </w:t>
      </w:r>
      <w:r>
        <w:rPr/>
        <w:t>号</w:t>
      </w:r>
      <w:r>
        <w:rPr>
          <w:spacing w:val="-120"/>
        </w:rPr>
        <w:t>）</w:t>
      </w:r>
      <w:r>
        <w:rPr/>
        <w:t>；</w:t>
      </w:r>
    </w:p>
    <w:p>
      <w:pPr>
        <w:pStyle w:val="BodyText"/>
        <w:spacing w:before="160"/>
        <w:ind w:left="698"/>
      </w:pPr>
      <w:r>
        <w:rPr>
          <w:rFonts w:ascii="Times New Roman" w:eastAsia="Times New Roman"/>
        </w:rPr>
        <w:t>10</w:t>
      </w:r>
      <w:r>
        <w:rPr/>
        <w:t>、《温室气体排放核算与报告要求 第 </w:t>
      </w:r>
      <w:r>
        <w:rPr>
          <w:rFonts w:ascii="Times New Roman" w:eastAsia="Times New Roman"/>
        </w:rPr>
        <w:t>10 </w:t>
      </w:r>
      <w:r>
        <w:rPr/>
        <w:t>部分：化工生产企业》。</w:t>
      </w:r>
    </w:p>
    <w:p>
      <w:pPr>
        <w:pStyle w:val="Heading4"/>
        <w:numPr>
          <w:ilvl w:val="2"/>
          <w:numId w:val="39"/>
        </w:numPr>
        <w:tabs>
          <w:tab w:pos="759" w:val="left" w:leader="none"/>
        </w:tabs>
        <w:spacing w:line="240" w:lineRule="auto" w:before="158" w:after="0"/>
        <w:ind w:left="758" w:right="0" w:hanging="541"/>
        <w:jc w:val="left"/>
      </w:pPr>
      <w:r>
        <w:rPr/>
        <w:t>核算边界</w:t>
      </w:r>
    </w:p>
    <w:p>
      <w:pPr>
        <w:spacing w:before="161"/>
        <w:ind w:left="701" w:right="0" w:firstLine="0"/>
        <w:jc w:val="left"/>
        <w:rPr>
          <w:b/>
          <w:sz w:val="24"/>
        </w:rPr>
      </w:pPr>
      <w:r>
        <w:rPr>
          <w:rFonts w:ascii="Times New Roman" w:eastAsia="Times New Roman"/>
          <w:b/>
          <w:sz w:val="24"/>
        </w:rPr>
        <w:t>1</w:t>
      </w:r>
      <w:r>
        <w:rPr>
          <w:b/>
          <w:sz w:val="24"/>
        </w:rPr>
        <w:t>、企业边界</w:t>
      </w:r>
    </w:p>
    <w:p>
      <w:pPr>
        <w:pStyle w:val="BodyText"/>
        <w:spacing w:line="364" w:lineRule="auto" w:before="158"/>
        <w:ind w:left="218" w:right="232" w:firstLine="480"/>
        <w:jc w:val="both"/>
      </w:pPr>
      <w:r>
        <w:rPr>
          <w:spacing w:val="-3"/>
        </w:rPr>
        <w:t>绍兴贝斯美化工股份有限公司位于杭州湾上虞经济技术开发区振兴大道。地理边界</w:t>
      </w:r>
      <w:r>
        <w:rPr>
          <w:spacing w:val="-4"/>
        </w:rPr>
        <w:t>的直接生产系统包括：三环唑生产装置；辅助生产系统包括：</w:t>
      </w:r>
      <w:r>
        <w:rPr>
          <w:rFonts w:ascii="Times New Roman" w:eastAsia="Times New Roman"/>
          <w:spacing w:val="-5"/>
        </w:rPr>
        <w:t>110KV </w:t>
      </w:r>
      <w:r>
        <w:rPr>
          <w:spacing w:val="-8"/>
        </w:rPr>
        <w:t>总变、仓库等；附</w:t>
      </w:r>
      <w:r>
        <w:rPr/>
        <w:t>属生产系统包括：办公大楼等。</w:t>
      </w:r>
    </w:p>
    <w:p>
      <w:pPr>
        <w:pStyle w:val="Heading4"/>
        <w:spacing w:line="307" w:lineRule="exact"/>
      </w:pPr>
      <w:r>
        <w:rPr/>
        <w:t>二、排放源</w:t>
      </w:r>
    </w:p>
    <w:p>
      <w:pPr>
        <w:pStyle w:val="BodyText"/>
        <w:spacing w:before="161"/>
        <w:ind w:left="698"/>
      </w:pPr>
      <w:r>
        <w:rPr/>
        <w:t>主要排放源为：</w:t>
      </w:r>
    </w:p>
    <w:p>
      <w:pPr>
        <w:pStyle w:val="BodyText"/>
        <w:spacing w:before="158"/>
        <w:ind w:left="698"/>
      </w:pPr>
      <w:r>
        <w:rPr>
          <w:rFonts w:ascii="Times New Roman" w:eastAsia="Times New Roman"/>
          <w:spacing w:val="-1"/>
        </w:rPr>
        <w:t>1</w:t>
      </w:r>
      <w:r>
        <w:rPr/>
        <w:t>、燃料燃烧排放</w:t>
      </w:r>
    </w:p>
    <w:p>
      <w:pPr>
        <w:pStyle w:val="BodyText"/>
        <w:spacing w:before="161"/>
        <w:ind w:left="698"/>
      </w:pPr>
      <w:r>
        <w:rPr/>
        <w:t>本项目主要是三环唑的生产，不涉及燃料燃烧排放。</w:t>
      </w:r>
    </w:p>
    <w:p>
      <w:pPr>
        <w:pStyle w:val="BodyText"/>
        <w:spacing w:before="158"/>
        <w:ind w:left="698"/>
      </w:pPr>
      <w:r>
        <w:rPr>
          <w:rFonts w:ascii="Times New Roman" w:eastAsia="Times New Roman"/>
        </w:rPr>
        <w:t>2</w:t>
      </w:r>
      <w:r>
        <w:rPr/>
        <w:t>、能源作为原材料用途的排放</w:t>
      </w:r>
    </w:p>
    <w:p>
      <w:pPr>
        <w:pStyle w:val="BodyText"/>
        <w:spacing w:before="160"/>
        <w:ind w:left="698"/>
      </w:pPr>
      <w:r>
        <w:rPr/>
        <w:t>本项目主要为化工生产，反应过程及生产过程中不涉及温室气体的过程排放。</w:t>
      </w:r>
    </w:p>
    <w:p>
      <w:pPr>
        <w:pStyle w:val="BodyText"/>
        <w:spacing w:before="158"/>
        <w:ind w:left="698"/>
      </w:pPr>
      <w:r>
        <w:rPr>
          <w:rFonts w:ascii="Times New Roman" w:eastAsia="Times New Roman"/>
        </w:rPr>
        <w:t>3</w:t>
      </w:r>
      <w:r>
        <w:rPr/>
        <w:t>、工业生产过程排放</w:t>
      </w:r>
    </w:p>
    <w:p>
      <w:pPr>
        <w:pStyle w:val="BodyText"/>
        <w:spacing w:before="161"/>
        <w:ind w:left="698"/>
      </w:pPr>
      <w:r>
        <w:rPr/>
        <w:t>本项目不涉及化石燃料及其他碳氢化合物用作的原材料。</w:t>
      </w:r>
    </w:p>
    <w:p>
      <w:pPr>
        <w:pStyle w:val="BodyText"/>
        <w:spacing w:before="158"/>
        <w:ind w:left="698"/>
      </w:pPr>
      <w:r>
        <w:rPr>
          <w:rFonts w:ascii="Times New Roman" w:eastAsia="Times New Roman"/>
        </w:rPr>
        <w:t>4</w:t>
      </w:r>
      <w:r>
        <w:rPr/>
        <w:t>、购入的电力、热力产生的排放</w:t>
      </w:r>
    </w:p>
    <w:p>
      <w:pPr>
        <w:pStyle w:val="BodyText"/>
        <w:spacing w:line="362" w:lineRule="auto" w:before="161"/>
        <w:ind w:left="218" w:right="174" w:firstLine="480"/>
      </w:pPr>
      <w:r>
        <w:rPr/>
        <w:t>包括项目消费购入的电所对应的二氧化碳排放；项目购入的热力蒸汽所对应的二氧化碳排放。</w:t>
      </w:r>
    </w:p>
    <w:p>
      <w:pPr>
        <w:pStyle w:val="BodyText"/>
        <w:spacing w:line="362" w:lineRule="auto" w:before="5"/>
        <w:ind w:left="218" w:right="235" w:firstLine="480"/>
      </w:pPr>
      <w:r>
        <w:rPr/>
        <w:t>项目达产后可实现年销售收入 </w:t>
      </w:r>
      <w:r>
        <w:rPr>
          <w:rFonts w:ascii="Times New Roman" w:eastAsia="Times New Roman"/>
        </w:rPr>
        <w:t>8000 </w:t>
      </w:r>
      <w:r>
        <w:rPr/>
        <w:t>万元。本项目能源使用情况主要包括各生产设备用电、生产过程用蒸汽。本项目用电量 </w:t>
      </w:r>
      <w:r>
        <w:rPr>
          <w:rFonts w:ascii="Times New Roman" w:eastAsia="Times New Roman"/>
        </w:rPr>
        <w:t>120.43 </w:t>
      </w:r>
      <w:r>
        <w:rPr/>
        <w:t>万 </w:t>
      </w:r>
      <w:r>
        <w:rPr>
          <w:rFonts w:ascii="Times New Roman" w:eastAsia="Times New Roman"/>
        </w:rPr>
        <w:t>kWh</w:t>
      </w:r>
      <w:r>
        <w:rPr/>
        <w:t>，蒸汽消耗量 </w:t>
      </w:r>
      <w:r>
        <w:rPr>
          <w:rFonts w:ascii="Times New Roman" w:eastAsia="Times New Roman"/>
        </w:rPr>
        <w:t>5851t/a</w:t>
      </w:r>
      <w:r>
        <w:rPr/>
        <w:t>。</w:t>
      </w:r>
    </w:p>
    <w:p>
      <w:pPr>
        <w:pStyle w:val="Heading4"/>
        <w:numPr>
          <w:ilvl w:val="2"/>
          <w:numId w:val="39"/>
        </w:numPr>
        <w:tabs>
          <w:tab w:pos="759" w:val="left" w:leader="none"/>
        </w:tabs>
        <w:spacing w:line="240" w:lineRule="auto" w:before="5" w:after="0"/>
        <w:ind w:left="758" w:right="0" w:hanging="541"/>
        <w:jc w:val="left"/>
      </w:pPr>
      <w:r>
        <w:rPr/>
        <w:t>项目碳排放核算</w:t>
      </w:r>
    </w:p>
    <w:p>
      <w:pPr>
        <w:spacing w:before="160"/>
        <w:ind w:left="701" w:right="0" w:firstLine="0"/>
        <w:jc w:val="left"/>
        <w:rPr>
          <w:b/>
          <w:sz w:val="24"/>
        </w:rPr>
      </w:pPr>
      <w:r>
        <w:rPr>
          <w:rFonts w:ascii="Times New Roman" w:eastAsia="Times New Roman"/>
          <w:b/>
          <w:sz w:val="24"/>
        </w:rPr>
        <w:t>1</w:t>
      </w:r>
      <w:r>
        <w:rPr>
          <w:b/>
          <w:sz w:val="24"/>
        </w:rPr>
        <w:t>、核算方法</w:t>
      </w:r>
    </w:p>
    <w:p>
      <w:pPr>
        <w:pStyle w:val="BodyText"/>
        <w:spacing w:line="364" w:lineRule="auto" w:before="158"/>
        <w:ind w:left="218" w:right="235" w:firstLine="480"/>
      </w:pPr>
      <w:r>
        <w:rPr>
          <w:spacing w:val="-6"/>
        </w:rPr>
        <w:t>根据《温室气体排放核算与报告要求 第 </w:t>
      </w:r>
      <w:r>
        <w:rPr>
          <w:rFonts w:ascii="Times New Roman" w:eastAsia="Times New Roman"/>
        </w:rPr>
        <w:t>10 </w:t>
      </w:r>
      <w:r>
        <w:rPr>
          <w:spacing w:val="-6"/>
        </w:rPr>
        <w:t>部分：化工生产企业》，温室气体排放</w:t>
      </w:r>
      <w:r>
        <w:rPr/>
        <w:t>总量计算公式如下：</w:t>
      </w:r>
    </w:p>
    <w:p>
      <w:pPr>
        <w:spacing w:after="0" w:line="364" w:lineRule="auto"/>
        <w:sectPr>
          <w:pgSz w:w="11910" w:h="16840"/>
          <w:pgMar w:header="872" w:footer="803" w:top="1320" w:bottom="1000" w:left="1200" w:right="1180"/>
        </w:sectPr>
      </w:pPr>
    </w:p>
    <w:p>
      <w:pPr>
        <w:spacing w:line="397" w:lineRule="exact" w:before="0"/>
        <w:ind w:left="731" w:right="0" w:firstLine="0"/>
        <w:jc w:val="left"/>
        <w:rPr>
          <w:i/>
          <w:sz w:val="15"/>
        </w:rPr>
      </w:pPr>
      <w:r>
        <w:rPr/>
        <w:pict>
          <v:shape style="position:absolute;margin-left:135.927734pt;margin-top:11.914143pt;width:3.65pt;height:7.05pt;mso-position-horizontal-relative:page;mso-position-vertical-relative:paragraph;z-index:-317681664" type="#_x0000_t202" filled="false" stroked="false">
            <v:textbox inset="0,0,0,0">
              <w:txbxContent>
                <w:p>
                  <w:pPr>
                    <w:spacing w:line="141" w:lineRule="exact" w:before="0"/>
                    <w:ind w:left="0" w:right="0" w:firstLine="0"/>
                    <w:jc w:val="left"/>
                    <w:rPr>
                      <w:sz w:val="14"/>
                    </w:rPr>
                  </w:pPr>
                  <w:r>
                    <w:rPr>
                      <w:w w:val="104"/>
                      <w:sz w:val="14"/>
                    </w:rPr>
                    <w:t>i</w:t>
                  </w:r>
                </w:p>
              </w:txbxContent>
            </v:textbox>
            <w10:wrap type="none"/>
          </v:shape>
        </w:pict>
      </w:r>
      <w:r>
        <w:rPr>
          <w:i/>
          <w:w w:val="105"/>
          <w:position w:val="6"/>
          <w:sz w:val="25"/>
        </w:rPr>
        <w:t>E </w:t>
      </w:r>
      <w:r>
        <w:rPr>
          <w:rFonts w:ascii="Symbol" w:hAnsi="Symbol" w:eastAsia="Symbol"/>
          <w:w w:val="105"/>
          <w:position w:val="6"/>
          <w:sz w:val="24"/>
        </w:rPr>
        <w:t></w:t>
      </w:r>
      <w:r>
        <w:rPr>
          <w:rFonts w:ascii="Times New Roman" w:hAnsi="Times New Roman" w:eastAsia="Times New Roman"/>
          <w:w w:val="105"/>
          <w:position w:val="6"/>
          <w:sz w:val="24"/>
        </w:rPr>
        <w:t> </w:t>
      </w:r>
      <w:r>
        <w:rPr>
          <w:rFonts w:ascii="Symbol" w:hAnsi="Symbol" w:eastAsia="Symbol"/>
          <w:w w:val="105"/>
          <w:sz w:val="36"/>
        </w:rPr>
        <w:t></w:t>
      </w:r>
      <w:r>
        <w:rPr>
          <w:w w:val="105"/>
          <w:position w:val="6"/>
          <w:sz w:val="24"/>
        </w:rPr>
        <w:t>(</w:t>
      </w:r>
      <w:r>
        <w:rPr>
          <w:i/>
          <w:w w:val="105"/>
          <w:position w:val="6"/>
          <w:sz w:val="25"/>
        </w:rPr>
        <w:t>E</w:t>
      </w:r>
      <w:r>
        <w:rPr>
          <w:w w:val="105"/>
          <w:sz w:val="14"/>
        </w:rPr>
        <w:t>燃烧,</w:t>
      </w:r>
      <w:r>
        <w:rPr>
          <w:i/>
          <w:w w:val="105"/>
          <w:sz w:val="15"/>
        </w:rPr>
        <w:t>i</w:t>
      </w:r>
    </w:p>
    <w:p>
      <w:pPr>
        <w:pStyle w:val="ListParagraph"/>
        <w:numPr>
          <w:ilvl w:val="0"/>
          <w:numId w:val="40"/>
        </w:numPr>
        <w:tabs>
          <w:tab w:pos="310" w:val="left" w:leader="none"/>
        </w:tabs>
        <w:spacing w:line="240" w:lineRule="auto" w:before="8" w:after="0"/>
        <w:ind w:left="309" w:right="0" w:hanging="225"/>
        <w:jc w:val="left"/>
        <w:rPr>
          <w:i/>
          <w:sz w:val="15"/>
        </w:rPr>
      </w:pPr>
      <w:r>
        <w:rPr>
          <w:i/>
          <w:spacing w:val="17"/>
          <w:w w:val="99"/>
          <w:position w:val="6"/>
          <w:sz w:val="25"/>
        </w:rPr>
        <w:br w:type="column"/>
      </w:r>
      <w:r>
        <w:rPr>
          <w:i/>
          <w:spacing w:val="17"/>
          <w:position w:val="6"/>
          <w:sz w:val="25"/>
        </w:rPr>
        <w:t>E</w:t>
      </w:r>
      <w:r>
        <w:rPr>
          <w:spacing w:val="-14"/>
          <w:sz w:val="14"/>
        </w:rPr>
        <w:t>过程,</w:t>
      </w:r>
      <w:r>
        <w:rPr>
          <w:i/>
          <w:spacing w:val="-28"/>
          <w:sz w:val="15"/>
        </w:rPr>
        <w:t>i</w:t>
      </w:r>
    </w:p>
    <w:p>
      <w:pPr>
        <w:pStyle w:val="ListParagraph"/>
        <w:numPr>
          <w:ilvl w:val="0"/>
          <w:numId w:val="40"/>
        </w:numPr>
        <w:tabs>
          <w:tab w:pos="310" w:val="left" w:leader="none"/>
        </w:tabs>
        <w:spacing w:line="240" w:lineRule="auto" w:before="8" w:after="0"/>
        <w:ind w:left="309" w:right="0" w:hanging="226"/>
        <w:jc w:val="left"/>
        <w:rPr>
          <w:i/>
          <w:sz w:val="15"/>
        </w:rPr>
      </w:pPr>
      <w:r>
        <w:rPr>
          <w:i/>
          <w:spacing w:val="18"/>
          <w:w w:val="99"/>
          <w:position w:val="6"/>
          <w:sz w:val="25"/>
        </w:rPr>
        <w:br w:type="column"/>
      </w:r>
      <w:r>
        <w:rPr>
          <w:i/>
          <w:spacing w:val="18"/>
          <w:position w:val="6"/>
          <w:sz w:val="25"/>
        </w:rPr>
        <w:t>E</w:t>
      </w:r>
      <w:r>
        <w:rPr>
          <w:spacing w:val="-12"/>
          <w:sz w:val="14"/>
        </w:rPr>
        <w:t>购入电,</w:t>
      </w:r>
      <w:r>
        <w:rPr>
          <w:i/>
          <w:spacing w:val="-27"/>
          <w:sz w:val="15"/>
        </w:rPr>
        <w:t>i</w:t>
      </w:r>
    </w:p>
    <w:p>
      <w:pPr>
        <w:pStyle w:val="ListParagraph"/>
        <w:numPr>
          <w:ilvl w:val="0"/>
          <w:numId w:val="40"/>
        </w:numPr>
        <w:tabs>
          <w:tab w:pos="310" w:val="left" w:leader="none"/>
        </w:tabs>
        <w:spacing w:line="240" w:lineRule="auto" w:before="8" w:after="0"/>
        <w:ind w:left="309" w:right="0" w:hanging="226"/>
        <w:jc w:val="left"/>
        <w:rPr>
          <w:i/>
          <w:sz w:val="15"/>
        </w:rPr>
      </w:pPr>
      <w:r>
        <w:rPr>
          <w:i/>
          <w:spacing w:val="19"/>
          <w:w w:val="99"/>
          <w:position w:val="6"/>
          <w:sz w:val="25"/>
        </w:rPr>
        <w:br w:type="column"/>
      </w:r>
      <w:r>
        <w:rPr>
          <w:i/>
          <w:spacing w:val="19"/>
          <w:position w:val="6"/>
          <w:sz w:val="25"/>
        </w:rPr>
        <w:t>E</w:t>
      </w:r>
      <w:r>
        <w:rPr>
          <w:spacing w:val="-12"/>
          <w:sz w:val="14"/>
        </w:rPr>
        <w:t>购入热,</w:t>
      </w:r>
      <w:r>
        <w:rPr>
          <w:i/>
          <w:spacing w:val="-27"/>
          <w:sz w:val="15"/>
        </w:rPr>
        <w:t>i</w:t>
      </w:r>
    </w:p>
    <w:p>
      <w:pPr>
        <w:pStyle w:val="ListParagraph"/>
        <w:numPr>
          <w:ilvl w:val="0"/>
          <w:numId w:val="41"/>
        </w:numPr>
        <w:tabs>
          <w:tab w:pos="292" w:val="left" w:leader="none"/>
        </w:tabs>
        <w:spacing w:line="240" w:lineRule="auto" w:before="8" w:after="0"/>
        <w:ind w:left="291" w:right="0" w:hanging="211"/>
        <w:jc w:val="left"/>
        <w:rPr>
          <w:i/>
          <w:sz w:val="15"/>
        </w:rPr>
      </w:pPr>
      <w:r>
        <w:rPr>
          <w:i/>
          <w:spacing w:val="4"/>
          <w:w w:val="99"/>
          <w:position w:val="6"/>
          <w:sz w:val="25"/>
        </w:rPr>
        <w:br w:type="column"/>
      </w:r>
      <w:r>
        <w:rPr>
          <w:i/>
          <w:spacing w:val="2"/>
          <w:position w:val="6"/>
          <w:sz w:val="25"/>
        </w:rPr>
        <w:t>R</w:t>
      </w:r>
      <w:r>
        <w:rPr>
          <w:i/>
          <w:spacing w:val="2"/>
          <w:sz w:val="15"/>
        </w:rPr>
        <w:t>CO</w:t>
      </w:r>
      <w:r>
        <w:rPr>
          <w:i/>
          <w:spacing w:val="-48"/>
          <w:sz w:val="15"/>
        </w:rPr>
        <w:t> </w:t>
      </w:r>
      <w:r>
        <w:rPr>
          <w:spacing w:val="-13"/>
          <w:sz w:val="14"/>
        </w:rPr>
        <w:t>2</w:t>
      </w:r>
      <w:r>
        <w:rPr>
          <w:spacing w:val="-12"/>
          <w:sz w:val="14"/>
        </w:rPr>
        <w:t>回收,</w:t>
      </w:r>
      <w:r>
        <w:rPr>
          <w:i/>
          <w:spacing w:val="-27"/>
          <w:sz w:val="15"/>
        </w:rPr>
        <w:t>i</w:t>
      </w:r>
    </w:p>
    <w:p>
      <w:pPr>
        <w:pStyle w:val="ListParagraph"/>
        <w:numPr>
          <w:ilvl w:val="0"/>
          <w:numId w:val="41"/>
        </w:numPr>
        <w:tabs>
          <w:tab w:pos="292" w:val="left" w:leader="none"/>
        </w:tabs>
        <w:spacing w:line="240" w:lineRule="auto" w:before="8" w:after="0"/>
        <w:ind w:left="291" w:right="0" w:hanging="211"/>
        <w:jc w:val="left"/>
        <w:rPr>
          <w:i/>
          <w:sz w:val="15"/>
        </w:rPr>
      </w:pPr>
      <w:r>
        <w:rPr>
          <w:i/>
          <w:spacing w:val="18"/>
          <w:w w:val="99"/>
          <w:position w:val="6"/>
          <w:sz w:val="25"/>
        </w:rPr>
        <w:br w:type="column"/>
      </w:r>
      <w:r>
        <w:rPr>
          <w:i/>
          <w:spacing w:val="18"/>
          <w:position w:val="6"/>
          <w:sz w:val="25"/>
        </w:rPr>
        <w:t>E</w:t>
      </w:r>
      <w:r>
        <w:rPr>
          <w:spacing w:val="-12"/>
          <w:sz w:val="14"/>
        </w:rPr>
        <w:t>输出电,</w:t>
      </w:r>
      <w:r>
        <w:rPr>
          <w:i/>
          <w:spacing w:val="-27"/>
          <w:sz w:val="15"/>
        </w:rPr>
        <w:t>i</w:t>
      </w:r>
    </w:p>
    <w:p>
      <w:pPr>
        <w:pStyle w:val="ListParagraph"/>
        <w:numPr>
          <w:ilvl w:val="0"/>
          <w:numId w:val="41"/>
        </w:numPr>
        <w:tabs>
          <w:tab w:pos="292" w:val="left" w:leader="none"/>
        </w:tabs>
        <w:spacing w:line="240" w:lineRule="auto" w:before="8" w:after="0"/>
        <w:ind w:left="291" w:right="0" w:hanging="211"/>
        <w:jc w:val="left"/>
        <w:rPr>
          <w:sz w:val="24"/>
        </w:rPr>
      </w:pPr>
      <w:r>
        <w:rPr>
          <w:i/>
          <w:spacing w:val="19"/>
          <w:w w:val="99"/>
          <w:position w:val="6"/>
          <w:sz w:val="25"/>
        </w:rPr>
        <w:br w:type="column"/>
      </w:r>
      <w:r>
        <w:rPr>
          <w:i/>
          <w:spacing w:val="19"/>
          <w:w w:val="105"/>
          <w:position w:val="6"/>
          <w:sz w:val="25"/>
        </w:rPr>
        <w:t>E</w:t>
      </w:r>
      <w:r>
        <w:rPr>
          <w:spacing w:val="-10"/>
          <w:w w:val="105"/>
          <w:sz w:val="14"/>
        </w:rPr>
        <w:t>输出热,</w:t>
      </w:r>
      <w:r>
        <w:rPr>
          <w:i/>
          <w:spacing w:val="-19"/>
          <w:w w:val="105"/>
          <w:sz w:val="15"/>
        </w:rPr>
        <w:t>i</w:t>
      </w:r>
      <w:r>
        <w:rPr>
          <w:i/>
          <w:spacing w:val="-49"/>
          <w:w w:val="105"/>
          <w:sz w:val="15"/>
        </w:rPr>
        <w:t> </w:t>
      </w:r>
      <w:r>
        <w:rPr>
          <w:w w:val="105"/>
          <w:position w:val="6"/>
          <w:sz w:val="24"/>
        </w:rPr>
        <w:t>)</w:t>
      </w:r>
    </w:p>
    <w:p>
      <w:pPr>
        <w:spacing w:after="0" w:line="240" w:lineRule="auto"/>
        <w:jc w:val="left"/>
        <w:rPr>
          <w:sz w:val="24"/>
        </w:rPr>
        <w:sectPr>
          <w:type w:val="continuous"/>
          <w:pgSz w:w="11910" w:h="16840"/>
          <w:pgMar w:top="1420" w:bottom="280" w:left="1200" w:right="1180"/>
          <w:cols w:num="7" w:equalWidth="0">
            <w:col w:w="2200" w:space="40"/>
            <w:col w:w="844" w:space="39"/>
            <w:col w:w="983" w:space="40"/>
            <w:col w:w="983" w:space="40"/>
            <w:col w:w="1045" w:space="40"/>
            <w:col w:w="965" w:space="40"/>
            <w:col w:w="2271"/>
          </w:cols>
        </w:sectPr>
      </w:pPr>
    </w:p>
    <w:p>
      <w:pPr>
        <w:pStyle w:val="BodyText"/>
        <w:spacing w:before="150"/>
        <w:ind w:left="698"/>
      </w:pPr>
      <w:r>
        <w:rPr/>
        <w:t>其中：</w:t>
      </w:r>
    </w:p>
    <w:p>
      <w:pPr>
        <w:pStyle w:val="BodyText"/>
        <w:spacing w:before="150"/>
        <w:ind w:left="731"/>
      </w:pPr>
      <w:r>
        <w:rPr>
          <w:i/>
          <w:position w:val="2"/>
        </w:rPr>
        <w:t>E </w:t>
      </w:r>
      <w:r>
        <w:rPr>
          <w:position w:val="2"/>
        </w:rPr>
        <w:t>为报告主体的温室气体排放总量，单位为吨二氧化碳当量</w:t>
      </w: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pStyle w:val="BodyText"/>
        <w:spacing w:before="204"/>
        <w:ind w:left="731"/>
      </w:pPr>
      <w:r>
        <w:rPr>
          <w:i/>
          <w:sz w:val="25"/>
        </w:rPr>
        <w:t>E</w:t>
      </w:r>
      <w:r>
        <w:rPr>
          <w:i/>
          <w:spacing w:val="-101"/>
          <w:sz w:val="25"/>
        </w:rPr>
        <w:t> </w:t>
      </w:r>
      <w:r>
        <w:rPr>
          <w:spacing w:val="-1"/>
          <w:position w:val="-5"/>
          <w:sz w:val="14"/>
        </w:rPr>
        <w:t>燃烧，</w:t>
      </w:r>
      <w:r>
        <w:rPr>
          <w:i/>
          <w:spacing w:val="5"/>
          <w:position w:val="-5"/>
          <w:sz w:val="14"/>
        </w:rPr>
        <w:t>i </w:t>
      </w:r>
      <w:r>
        <w:rPr>
          <w:spacing w:val="2"/>
        </w:rPr>
        <w:t>为核算单位 </w:t>
      </w:r>
      <w:r>
        <w:rPr>
          <w:rFonts w:ascii="Times New Roman" w:eastAsia="Times New Roman"/>
        </w:rPr>
        <w:t>i </w:t>
      </w:r>
      <w:r>
        <w:rPr/>
        <w:t>的燃料燃烧产生的二氧化碳排放量，单位为吨二氧化碳当量</w:t>
      </w:r>
    </w:p>
    <w:p>
      <w:pPr>
        <w:pStyle w:val="BodyText"/>
        <w:spacing w:before="120"/>
        <w:ind w:left="218"/>
      </w:pP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spacing w:after="0"/>
        <w:sectPr>
          <w:type w:val="continuous"/>
          <w:pgSz w:w="11910" w:h="16840"/>
          <w:pgMar w:top="1420" w:bottom="280" w:left="1200" w:right="1180"/>
        </w:sectPr>
      </w:pPr>
    </w:p>
    <w:p>
      <w:pPr>
        <w:pStyle w:val="BodyText"/>
        <w:spacing w:before="4"/>
        <w:rPr>
          <w:sz w:val="10"/>
        </w:rPr>
      </w:pPr>
    </w:p>
    <w:p>
      <w:pPr>
        <w:pStyle w:val="BodyText"/>
        <w:spacing w:line="331" w:lineRule="auto" w:before="67"/>
        <w:ind w:left="218" w:right="235" w:firstLine="513"/>
      </w:pPr>
      <w:r>
        <w:rPr>
          <w:i/>
          <w:sz w:val="25"/>
        </w:rPr>
        <w:t>E</w:t>
      </w:r>
      <w:r>
        <w:rPr>
          <w:i/>
          <w:spacing w:val="-104"/>
          <w:sz w:val="25"/>
        </w:rPr>
        <w:t> </w:t>
      </w:r>
      <w:r>
        <w:rPr>
          <w:spacing w:val="-1"/>
          <w:position w:val="-5"/>
          <w:sz w:val="14"/>
        </w:rPr>
        <w:t>过程，</w:t>
      </w:r>
      <w:r>
        <w:rPr>
          <w:i/>
          <w:spacing w:val="5"/>
          <w:position w:val="-5"/>
          <w:sz w:val="14"/>
        </w:rPr>
        <w:t>i </w:t>
      </w:r>
      <w:r>
        <w:rPr>
          <w:spacing w:val="-10"/>
        </w:rPr>
        <w:t>为核算单位 </w:t>
      </w:r>
      <w:r>
        <w:rPr>
          <w:rFonts w:ascii="Times New Roman" w:eastAsia="Times New Roman"/>
        </w:rPr>
        <w:t>i </w:t>
      </w:r>
      <w:r>
        <w:rPr>
          <w:spacing w:val="-2"/>
        </w:rPr>
        <w:t>的工业生产过程产生的各种温室气体排放总量，单位为吨二氧</w:t>
      </w:r>
      <w:r>
        <w:rPr>
          <w:position w:val="2"/>
        </w:rPr>
        <w:t>化碳当量</w:t>
      </w: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pStyle w:val="BodyText"/>
        <w:spacing w:before="86"/>
        <w:ind w:left="731"/>
      </w:pPr>
      <w:r>
        <w:rPr>
          <w:i/>
          <w:sz w:val="25"/>
        </w:rPr>
        <w:t>E</w:t>
      </w:r>
      <w:r>
        <w:rPr>
          <w:i/>
          <w:spacing w:val="-104"/>
          <w:sz w:val="25"/>
        </w:rPr>
        <w:t> </w:t>
      </w:r>
      <w:r>
        <w:rPr>
          <w:spacing w:val="-4"/>
          <w:position w:val="-5"/>
          <w:sz w:val="14"/>
        </w:rPr>
        <w:t>购入电，</w:t>
      </w:r>
      <w:r>
        <w:rPr>
          <w:i/>
          <w:spacing w:val="5"/>
          <w:position w:val="-5"/>
          <w:sz w:val="14"/>
        </w:rPr>
        <w:t>i </w:t>
      </w:r>
      <w:r>
        <w:rPr>
          <w:spacing w:val="5"/>
        </w:rPr>
        <w:t>为核算单位 </w:t>
      </w:r>
      <w:r>
        <w:rPr>
          <w:rFonts w:ascii="Times New Roman" w:eastAsia="Times New Roman"/>
        </w:rPr>
        <w:t>i </w:t>
      </w:r>
      <w:r>
        <w:rPr>
          <w:spacing w:val="7"/>
        </w:rPr>
        <w:t>的购入电力产生的二氧化碳排放，单位为吨二氧化碳当量</w:t>
      </w:r>
    </w:p>
    <w:p>
      <w:pPr>
        <w:pStyle w:val="BodyText"/>
        <w:spacing w:before="119"/>
        <w:ind w:left="218"/>
      </w:pP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pStyle w:val="BodyText"/>
        <w:spacing w:before="204"/>
        <w:ind w:left="731"/>
      </w:pPr>
      <w:r>
        <w:rPr>
          <w:i/>
          <w:sz w:val="25"/>
        </w:rPr>
        <w:t>E</w:t>
      </w:r>
      <w:r>
        <w:rPr>
          <w:i/>
          <w:spacing w:val="-104"/>
          <w:sz w:val="25"/>
        </w:rPr>
        <w:t> </w:t>
      </w:r>
      <w:r>
        <w:rPr>
          <w:spacing w:val="-4"/>
          <w:position w:val="-5"/>
          <w:sz w:val="14"/>
        </w:rPr>
        <w:t>购入热，</w:t>
      </w:r>
      <w:r>
        <w:rPr>
          <w:i/>
          <w:spacing w:val="5"/>
          <w:position w:val="-5"/>
          <w:sz w:val="14"/>
        </w:rPr>
        <w:t>i </w:t>
      </w:r>
      <w:r>
        <w:rPr>
          <w:spacing w:val="5"/>
        </w:rPr>
        <w:t>为核算单位 </w:t>
      </w:r>
      <w:r>
        <w:rPr>
          <w:rFonts w:ascii="Times New Roman" w:eastAsia="Times New Roman"/>
        </w:rPr>
        <w:t>i </w:t>
      </w:r>
      <w:r>
        <w:rPr>
          <w:spacing w:val="7"/>
        </w:rPr>
        <w:t>的购入热力产生的二氧化碳排放，单位为吨二氧化碳当量</w:t>
      </w:r>
    </w:p>
    <w:p>
      <w:pPr>
        <w:pStyle w:val="BodyText"/>
        <w:spacing w:before="120"/>
        <w:ind w:left="218"/>
      </w:pP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spacing w:before="201"/>
        <w:ind w:left="731" w:right="0" w:firstLine="0"/>
        <w:jc w:val="left"/>
        <w:rPr>
          <w:sz w:val="24"/>
        </w:rPr>
      </w:pPr>
      <w:r>
        <w:rPr>
          <w:i/>
          <w:position w:val="2"/>
          <w:sz w:val="25"/>
        </w:rPr>
        <w:t>R</w:t>
      </w:r>
      <w:r>
        <w:rPr>
          <w:i/>
          <w:position w:val="-3"/>
          <w:sz w:val="14"/>
        </w:rPr>
        <w:t>CO </w:t>
      </w:r>
      <w:r>
        <w:rPr>
          <w:position w:val="-3"/>
          <w:sz w:val="14"/>
        </w:rPr>
        <w:t>2回收， </w:t>
      </w:r>
      <w:r>
        <w:rPr>
          <w:i/>
          <w:position w:val="-3"/>
          <w:sz w:val="14"/>
        </w:rPr>
        <w:t>i </w:t>
      </w:r>
      <w:r>
        <w:rPr>
          <w:position w:val="2"/>
          <w:sz w:val="24"/>
        </w:rPr>
        <w:t>为核算单位 </w:t>
      </w:r>
      <w:r>
        <w:rPr>
          <w:rFonts w:ascii="Times New Roman" w:eastAsia="Times New Roman"/>
          <w:position w:val="2"/>
          <w:sz w:val="24"/>
        </w:rPr>
        <w:t>i </w:t>
      </w:r>
      <w:r>
        <w:rPr>
          <w:position w:val="2"/>
          <w:sz w:val="24"/>
        </w:rPr>
        <w:t>回收且外供二氧化碳量，单位为吨二氧化碳当量</w:t>
      </w:r>
      <w:r>
        <w:rPr>
          <w:rFonts w:ascii="Times New Roman" w:eastAsia="Times New Roman"/>
          <w:position w:val="2"/>
          <w:sz w:val="24"/>
        </w:rPr>
        <w:t>(tCO</w:t>
      </w:r>
      <w:r>
        <w:rPr>
          <w:rFonts w:ascii="Times New Roman" w:eastAsia="Times New Roman"/>
          <w:sz w:val="16"/>
        </w:rPr>
        <w:t>2</w:t>
      </w:r>
      <w:r>
        <w:rPr>
          <w:rFonts w:ascii="Times New Roman" w:eastAsia="Times New Roman"/>
          <w:position w:val="2"/>
          <w:sz w:val="24"/>
        </w:rPr>
        <w:t>e)</w:t>
      </w:r>
      <w:r>
        <w:rPr>
          <w:position w:val="2"/>
          <w:sz w:val="24"/>
        </w:rPr>
        <w:t>；</w:t>
      </w:r>
    </w:p>
    <w:p>
      <w:pPr>
        <w:pStyle w:val="BodyText"/>
        <w:spacing w:before="172"/>
        <w:ind w:left="731"/>
      </w:pPr>
      <w:r>
        <w:rPr>
          <w:i/>
          <w:sz w:val="25"/>
        </w:rPr>
        <w:t>E</w:t>
      </w:r>
      <w:r>
        <w:rPr>
          <w:i/>
          <w:spacing w:val="-104"/>
          <w:sz w:val="25"/>
        </w:rPr>
        <w:t> </w:t>
      </w:r>
      <w:r>
        <w:rPr>
          <w:spacing w:val="-4"/>
          <w:position w:val="-5"/>
          <w:sz w:val="14"/>
        </w:rPr>
        <w:t>输出电，</w:t>
      </w:r>
      <w:r>
        <w:rPr>
          <w:i/>
          <w:spacing w:val="5"/>
          <w:position w:val="-5"/>
          <w:sz w:val="14"/>
        </w:rPr>
        <w:t>i </w:t>
      </w:r>
      <w:r>
        <w:rPr>
          <w:spacing w:val="5"/>
        </w:rPr>
        <w:t>为核算单位 </w:t>
      </w:r>
      <w:r>
        <w:rPr>
          <w:rFonts w:ascii="Times New Roman" w:eastAsia="Times New Roman"/>
        </w:rPr>
        <w:t>i </w:t>
      </w:r>
      <w:r>
        <w:rPr>
          <w:spacing w:val="7"/>
        </w:rPr>
        <w:t>的输出电力产生的二氧化碳排放，单位为吨二氧化碳当量</w:t>
      </w:r>
    </w:p>
    <w:p>
      <w:pPr>
        <w:pStyle w:val="BodyText"/>
        <w:spacing w:before="122"/>
        <w:ind w:left="218"/>
      </w:pP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pStyle w:val="BodyText"/>
        <w:spacing w:before="201"/>
        <w:ind w:left="731"/>
      </w:pPr>
      <w:r>
        <w:rPr>
          <w:i/>
          <w:sz w:val="25"/>
        </w:rPr>
        <w:t>E</w:t>
      </w:r>
      <w:r>
        <w:rPr>
          <w:i/>
          <w:spacing w:val="-104"/>
          <w:sz w:val="25"/>
        </w:rPr>
        <w:t> </w:t>
      </w:r>
      <w:r>
        <w:rPr>
          <w:spacing w:val="-4"/>
          <w:position w:val="-5"/>
          <w:sz w:val="14"/>
        </w:rPr>
        <w:t>输出热，</w:t>
      </w:r>
      <w:r>
        <w:rPr>
          <w:i/>
          <w:spacing w:val="5"/>
          <w:position w:val="-5"/>
          <w:sz w:val="14"/>
        </w:rPr>
        <w:t>i </w:t>
      </w:r>
      <w:r>
        <w:rPr>
          <w:spacing w:val="5"/>
        </w:rPr>
        <w:t>为核算单位 </w:t>
      </w:r>
      <w:r>
        <w:rPr>
          <w:rFonts w:ascii="Times New Roman" w:eastAsia="Times New Roman"/>
        </w:rPr>
        <w:t>i </w:t>
      </w:r>
      <w:r>
        <w:rPr>
          <w:spacing w:val="7"/>
        </w:rPr>
        <w:t>的输出热力产生的二氧化碳排放，单位为吨二氧化碳当量</w:t>
      </w:r>
    </w:p>
    <w:p>
      <w:pPr>
        <w:pStyle w:val="BodyText"/>
        <w:spacing w:before="121"/>
        <w:ind w:left="218"/>
      </w:pPr>
      <w:r>
        <w:rPr>
          <w:rFonts w:ascii="Times New Roman" w:eastAsia="Times New Roman"/>
          <w:position w:val="2"/>
        </w:rPr>
        <w:t>(tCO</w:t>
      </w:r>
      <w:r>
        <w:rPr>
          <w:rFonts w:ascii="Times New Roman" w:eastAsia="Times New Roman"/>
          <w:sz w:val="16"/>
        </w:rPr>
        <w:t>2</w:t>
      </w:r>
      <w:r>
        <w:rPr>
          <w:rFonts w:ascii="Times New Roman" w:eastAsia="Times New Roman"/>
          <w:position w:val="2"/>
        </w:rPr>
        <w:t>e)</w:t>
      </w:r>
      <w:r>
        <w:rPr>
          <w:position w:val="2"/>
        </w:rPr>
        <w:t>；</w:t>
      </w:r>
    </w:p>
    <w:p>
      <w:pPr>
        <w:pStyle w:val="BodyText"/>
        <w:spacing w:before="214"/>
        <w:ind w:left="698"/>
      </w:pPr>
      <w:r>
        <w:rPr>
          <w:rFonts w:ascii="Times New Roman" w:eastAsia="Times New Roman"/>
        </w:rPr>
        <w:t>i </w:t>
      </w:r>
      <w:r>
        <w:rPr/>
        <w:t>为核算单元编号</w:t>
      </w:r>
    </w:p>
    <w:p>
      <w:pPr>
        <w:pStyle w:val="Heading4"/>
        <w:spacing w:before="211"/>
      </w:pPr>
      <w:r>
        <w:rPr>
          <w:rFonts w:ascii="Times New Roman" w:eastAsia="Times New Roman"/>
        </w:rPr>
        <w:t>2</w:t>
      </w:r>
      <w:r>
        <w:rPr/>
        <w:t>、排放因子选取</w:t>
      </w:r>
    </w:p>
    <w:p>
      <w:pPr>
        <w:spacing w:before="213"/>
        <w:ind w:left="698" w:right="0" w:firstLine="0"/>
        <w:jc w:val="left"/>
        <w:rPr>
          <w:rFonts w:ascii="Times New Roman" w:eastAsia="Times New Roman"/>
          <w:b/>
          <w:sz w:val="16"/>
        </w:rPr>
      </w:pPr>
      <w:r>
        <w:rPr>
          <w:spacing w:val="-2"/>
          <w:position w:val="1"/>
          <w:sz w:val="24"/>
        </w:rPr>
        <w:t>根据第 </w:t>
      </w:r>
      <w:r>
        <w:rPr>
          <w:rFonts w:ascii="Times New Roman" w:eastAsia="Times New Roman"/>
          <w:position w:val="1"/>
          <w:sz w:val="24"/>
        </w:rPr>
        <w:t>4</w:t>
      </w:r>
      <w:r>
        <w:rPr>
          <w:rFonts w:ascii="Times New Roman" w:eastAsia="Times New Roman"/>
          <w:spacing w:val="55"/>
          <w:position w:val="1"/>
          <w:sz w:val="24"/>
        </w:rPr>
        <w:t> </w:t>
      </w:r>
      <w:r>
        <w:rPr>
          <w:spacing w:val="-1"/>
          <w:position w:val="1"/>
          <w:sz w:val="24"/>
        </w:rPr>
        <w:t>章节工程分析可知，本项目碳排放核算主要涉及</w:t>
      </w:r>
      <w:r>
        <w:rPr>
          <w:b/>
          <w:spacing w:val="-1"/>
          <w:position w:val="1"/>
          <w:sz w:val="24"/>
        </w:rPr>
        <w:t>净购入电力隐含的 </w:t>
      </w:r>
      <w:r>
        <w:rPr>
          <w:rFonts w:ascii="Times New Roman" w:eastAsia="Times New Roman"/>
          <w:b/>
          <w:position w:val="1"/>
          <w:sz w:val="24"/>
        </w:rPr>
        <w:t>CO</w:t>
      </w:r>
      <w:r>
        <w:rPr>
          <w:rFonts w:ascii="Times New Roman" w:eastAsia="Times New Roman"/>
          <w:b/>
          <w:sz w:val="16"/>
        </w:rPr>
        <w:t>2</w:t>
      </w:r>
    </w:p>
    <w:p>
      <w:pPr>
        <w:spacing w:before="153"/>
        <w:ind w:left="218" w:right="0" w:firstLine="0"/>
        <w:jc w:val="left"/>
        <w:rPr>
          <w:sz w:val="24"/>
        </w:rPr>
      </w:pPr>
      <w:r>
        <w:rPr>
          <w:b/>
          <w:position w:val="1"/>
          <w:sz w:val="24"/>
        </w:rPr>
        <w:t>排放、净购入热力隐含的 </w:t>
      </w:r>
      <w:r>
        <w:rPr>
          <w:rFonts w:ascii="Times New Roman" w:eastAsia="Times New Roman"/>
          <w:b/>
          <w:position w:val="1"/>
          <w:sz w:val="24"/>
        </w:rPr>
        <w:t>CO</w:t>
      </w:r>
      <w:r>
        <w:rPr>
          <w:rFonts w:ascii="Times New Roman" w:eastAsia="Times New Roman"/>
          <w:b/>
          <w:sz w:val="16"/>
        </w:rPr>
        <w:t>2 </w:t>
      </w:r>
      <w:r>
        <w:rPr>
          <w:b/>
          <w:position w:val="1"/>
          <w:sz w:val="24"/>
        </w:rPr>
        <w:t>排放</w:t>
      </w:r>
      <w:r>
        <w:rPr>
          <w:position w:val="1"/>
          <w:sz w:val="24"/>
        </w:rPr>
        <w:t>。碳排放核算过程如下：</w:t>
      </w:r>
    </w:p>
    <w:p>
      <w:pPr>
        <w:pStyle w:val="BodyText"/>
        <w:spacing w:before="212"/>
        <w:ind w:left="698"/>
      </w:pPr>
      <w:r>
        <w:rPr/>
        <w:t>（</w:t>
      </w:r>
      <w:r>
        <w:rPr>
          <w:rFonts w:ascii="Times New Roman" w:eastAsia="Times New Roman"/>
        </w:rPr>
        <w:t>1</w:t>
      </w:r>
      <w:r>
        <w:rPr/>
        <w:t>）购入和输出的电力、热力产生的排放</w:t>
      </w:r>
    </w:p>
    <w:p>
      <w:pPr>
        <w:pStyle w:val="BodyText"/>
        <w:spacing w:before="213"/>
        <w:ind w:left="698"/>
      </w:pPr>
      <w:r>
        <w:rPr>
          <w:spacing w:val="-10"/>
        </w:rPr>
        <w:t>根据《温室气体排放核算与报告要求 第 </w:t>
      </w:r>
      <w:r>
        <w:rPr>
          <w:rFonts w:ascii="Times New Roman" w:eastAsia="Times New Roman"/>
        </w:rPr>
        <w:t>10 </w:t>
      </w:r>
      <w:r>
        <w:rPr>
          <w:spacing w:val="-12"/>
        </w:rPr>
        <w:t>部分：化工生产企业》，计算方法如下：</w:t>
      </w:r>
    </w:p>
    <w:p>
      <w:pPr>
        <w:pStyle w:val="BodyText"/>
        <w:spacing w:before="6"/>
        <w:rPr>
          <w:sz w:val="11"/>
        </w:rPr>
      </w:pPr>
    </w:p>
    <w:p>
      <w:pPr>
        <w:spacing w:after="0"/>
        <w:rPr>
          <w:sz w:val="11"/>
        </w:rPr>
        <w:sectPr>
          <w:pgSz w:w="11910" w:h="16840"/>
          <w:pgMar w:header="872" w:footer="803" w:top="1320" w:bottom="1000" w:left="1200" w:right="1180"/>
        </w:sectPr>
      </w:pPr>
    </w:p>
    <w:p>
      <w:pPr>
        <w:pStyle w:val="BodyText"/>
        <w:spacing w:before="67"/>
        <w:ind w:left="698"/>
      </w:pPr>
      <w:r>
        <w:rPr/>
        <w:t>①计算公式</w:t>
      </w:r>
    </w:p>
    <w:p>
      <w:pPr>
        <w:pStyle w:val="BodyText"/>
        <w:spacing w:before="11"/>
        <w:rPr>
          <w:sz w:val="40"/>
        </w:rPr>
      </w:pPr>
      <w:r>
        <w:rPr/>
        <w:br w:type="column"/>
      </w:r>
      <w:r>
        <w:rPr>
          <w:sz w:val="40"/>
        </w:rPr>
      </w:r>
    </w:p>
    <w:p>
      <w:pPr>
        <w:spacing w:before="1"/>
        <w:ind w:left="698" w:right="0" w:firstLine="0"/>
        <w:jc w:val="left"/>
        <w:rPr>
          <w:i/>
          <w:sz w:val="14"/>
        </w:rPr>
      </w:pPr>
      <w:r>
        <w:rPr>
          <w:i/>
          <w:position w:val="6"/>
          <w:sz w:val="25"/>
        </w:rPr>
        <w:t>E</w:t>
      </w:r>
      <w:r>
        <w:rPr>
          <w:i/>
          <w:spacing w:val="-102"/>
          <w:position w:val="6"/>
          <w:sz w:val="25"/>
        </w:rPr>
        <w:t> </w:t>
      </w:r>
      <w:r>
        <w:rPr>
          <w:spacing w:val="-9"/>
          <w:sz w:val="14"/>
        </w:rPr>
        <w:t>购入电,</w:t>
      </w:r>
      <w:r>
        <w:rPr>
          <w:i/>
          <w:spacing w:val="-27"/>
          <w:sz w:val="14"/>
        </w:rPr>
        <w:t>i</w:t>
      </w:r>
    </w:p>
    <w:p>
      <w:pPr>
        <w:pStyle w:val="BodyText"/>
        <w:spacing w:before="12"/>
        <w:rPr>
          <w:i/>
          <w:sz w:val="40"/>
        </w:rPr>
      </w:pPr>
      <w:r>
        <w:rPr/>
        <w:br w:type="column"/>
      </w:r>
      <w:r>
        <w:rPr>
          <w:i/>
          <w:sz w:val="40"/>
        </w:rPr>
      </w:r>
    </w:p>
    <w:p>
      <w:pPr>
        <w:spacing w:before="0"/>
        <w:ind w:left="116" w:right="0" w:firstLine="0"/>
        <w:jc w:val="left"/>
        <w:rPr>
          <w:sz w:val="14"/>
        </w:rPr>
      </w:pPr>
      <w:r>
        <w:rPr>
          <w:rFonts w:ascii="Symbol" w:hAnsi="Symbol" w:eastAsia="Symbol"/>
          <w:sz w:val="23"/>
        </w:rPr>
        <w:t></w:t>
      </w:r>
      <w:r>
        <w:rPr>
          <w:rFonts w:ascii="Times New Roman" w:hAnsi="Times New Roman" w:eastAsia="Times New Roman"/>
          <w:sz w:val="23"/>
        </w:rPr>
        <w:t> </w:t>
      </w:r>
      <w:r>
        <w:rPr>
          <w:i/>
          <w:sz w:val="25"/>
        </w:rPr>
        <w:t>AD</w:t>
      </w:r>
      <w:r>
        <w:rPr>
          <w:position w:val="-5"/>
          <w:sz w:val="14"/>
        </w:rPr>
        <w:t>购入电,i </w:t>
      </w:r>
      <w:r>
        <w:rPr>
          <w:rFonts w:ascii="Symbol" w:hAnsi="Symbol" w:eastAsia="Symbol"/>
          <w:sz w:val="23"/>
        </w:rPr>
        <w:t></w:t>
      </w:r>
      <w:r>
        <w:rPr>
          <w:rFonts w:ascii="Times New Roman" w:hAnsi="Times New Roman" w:eastAsia="Times New Roman"/>
          <w:sz w:val="23"/>
        </w:rPr>
        <w:t> </w:t>
      </w:r>
      <w:r>
        <w:rPr>
          <w:i/>
          <w:sz w:val="25"/>
        </w:rPr>
        <w:t>EF</w:t>
      </w:r>
      <w:r>
        <w:rPr>
          <w:position w:val="-5"/>
          <w:sz w:val="14"/>
        </w:rPr>
        <w:t>电</w:t>
      </w:r>
    </w:p>
    <w:p>
      <w:pPr>
        <w:spacing w:after="0"/>
        <w:jc w:val="left"/>
        <w:rPr>
          <w:sz w:val="14"/>
        </w:rPr>
        <w:sectPr>
          <w:type w:val="continuous"/>
          <w:pgSz w:w="11910" w:h="16840"/>
          <w:pgMar w:top="1420" w:bottom="280" w:left="1200" w:right="1180"/>
          <w:cols w:num="3" w:equalWidth="0">
            <w:col w:w="1939" w:space="837"/>
            <w:col w:w="1370" w:space="40"/>
            <w:col w:w="5344"/>
          </w:cols>
        </w:sectPr>
      </w:pPr>
    </w:p>
    <w:p>
      <w:pPr>
        <w:pStyle w:val="BodyText"/>
        <w:spacing w:before="5"/>
        <w:rPr>
          <w:sz w:val="11"/>
        </w:rPr>
      </w:pPr>
    </w:p>
    <w:p>
      <w:pPr>
        <w:pStyle w:val="BodyText"/>
        <w:spacing w:before="67"/>
        <w:ind w:left="698"/>
      </w:pPr>
      <w:r>
        <w:rPr/>
        <w:t>其中：</w:t>
      </w:r>
    </w:p>
    <w:p>
      <w:pPr>
        <w:pStyle w:val="BodyText"/>
        <w:spacing w:before="212"/>
        <w:ind w:left="698"/>
      </w:pPr>
      <w:r>
        <w:rPr>
          <w:rFonts w:ascii="Times New Roman" w:eastAsia="Times New Roman"/>
          <w:position w:val="2"/>
        </w:rPr>
        <w:t>AD </w:t>
      </w:r>
      <w:r>
        <w:rPr>
          <w:sz w:val="12"/>
        </w:rPr>
        <w:t>输入电</w:t>
      </w:r>
      <w:r>
        <w:rPr>
          <w:rFonts w:ascii="Times New Roman" w:eastAsia="Times New Roman"/>
          <w:sz w:val="16"/>
        </w:rPr>
        <w:t>,i </w:t>
      </w:r>
      <w:r>
        <w:rPr>
          <w:position w:val="2"/>
        </w:rPr>
        <w:t>为核算期内核算单元购入电力，单位为兆瓦时</w:t>
      </w:r>
      <w:r>
        <w:rPr>
          <w:rFonts w:ascii="Times New Roman" w:eastAsia="Times New Roman"/>
          <w:position w:val="2"/>
        </w:rPr>
        <w:t>(MWh)</w:t>
      </w:r>
      <w:r>
        <w:rPr>
          <w:position w:val="2"/>
        </w:rPr>
        <w:t>；</w:t>
      </w:r>
    </w:p>
    <w:p>
      <w:pPr>
        <w:pStyle w:val="BodyText"/>
        <w:spacing w:before="211"/>
        <w:ind w:left="698"/>
      </w:pPr>
      <w:r>
        <w:rPr>
          <w:rFonts w:ascii="Times New Roman" w:eastAsia="Times New Roman"/>
          <w:position w:val="2"/>
        </w:rPr>
        <w:t>EF </w:t>
      </w:r>
      <w:r>
        <w:rPr>
          <w:sz w:val="12"/>
        </w:rPr>
        <w:t>电</w:t>
      </w:r>
      <w:r>
        <w:rPr>
          <w:position w:val="2"/>
        </w:rPr>
        <w:t>为区域电网年平均供电排放因子，单位为吨 </w:t>
      </w:r>
      <w:r>
        <w:rPr>
          <w:rFonts w:ascii="Times New Roman" w:eastAsia="Times New Roman"/>
          <w:position w:val="2"/>
        </w:rPr>
        <w:t>tCO</w:t>
      </w:r>
      <w:r>
        <w:rPr>
          <w:rFonts w:ascii="Times New Roman" w:eastAsia="Times New Roman"/>
          <w:sz w:val="16"/>
        </w:rPr>
        <w:t>2</w:t>
      </w:r>
      <w:r>
        <w:rPr>
          <w:rFonts w:ascii="Times New Roman" w:eastAsia="Times New Roman"/>
          <w:position w:val="2"/>
        </w:rPr>
        <w:t>/MWh</w:t>
      </w:r>
      <w:r>
        <w:rPr>
          <w:position w:val="2"/>
        </w:rPr>
        <w:t>。</w:t>
      </w:r>
    </w:p>
    <w:p>
      <w:pPr>
        <w:spacing w:after="0"/>
        <w:sectPr>
          <w:type w:val="continuous"/>
          <w:pgSz w:w="11910" w:h="16840"/>
          <w:pgMar w:top="1420" w:bottom="280" w:left="1200" w:right="1180"/>
        </w:sectPr>
      </w:pPr>
    </w:p>
    <w:p>
      <w:pPr>
        <w:spacing w:before="151"/>
        <w:ind w:left="0" w:right="0" w:firstLine="0"/>
        <w:jc w:val="right"/>
        <w:rPr>
          <w:i/>
          <w:sz w:val="14"/>
        </w:rPr>
      </w:pPr>
      <w:r>
        <w:rPr>
          <w:i/>
          <w:position w:val="6"/>
          <w:sz w:val="25"/>
        </w:rPr>
        <w:t>E</w:t>
      </w:r>
      <w:r>
        <w:rPr>
          <w:i/>
          <w:spacing w:val="-101"/>
          <w:position w:val="6"/>
          <w:sz w:val="25"/>
        </w:rPr>
        <w:t> </w:t>
      </w:r>
      <w:r>
        <w:rPr>
          <w:spacing w:val="-6"/>
          <w:sz w:val="14"/>
        </w:rPr>
        <w:t>购入热,</w:t>
      </w:r>
      <w:r>
        <w:rPr>
          <w:i/>
          <w:spacing w:val="-18"/>
          <w:sz w:val="14"/>
        </w:rPr>
        <w:t>i</w:t>
      </w:r>
    </w:p>
    <w:p>
      <w:pPr>
        <w:spacing w:before="152"/>
        <w:ind w:left="118" w:right="0" w:firstLine="0"/>
        <w:jc w:val="left"/>
        <w:rPr>
          <w:sz w:val="14"/>
        </w:rPr>
      </w:pPr>
      <w:r>
        <w:rPr/>
        <w:br w:type="column"/>
      </w:r>
      <w:r>
        <w:rPr>
          <w:rFonts w:ascii="Symbol" w:hAnsi="Symbol" w:eastAsia="Symbol"/>
          <w:sz w:val="23"/>
        </w:rPr>
        <w:t></w:t>
      </w:r>
      <w:r>
        <w:rPr>
          <w:rFonts w:ascii="Times New Roman" w:hAnsi="Times New Roman" w:eastAsia="Times New Roman"/>
          <w:sz w:val="23"/>
        </w:rPr>
        <w:t> </w:t>
      </w:r>
      <w:r>
        <w:rPr>
          <w:i/>
          <w:sz w:val="25"/>
        </w:rPr>
        <w:t>AD</w:t>
      </w:r>
      <w:r>
        <w:rPr>
          <w:position w:val="-5"/>
          <w:sz w:val="14"/>
        </w:rPr>
        <w:t>购入热,i </w:t>
      </w:r>
      <w:r>
        <w:rPr>
          <w:rFonts w:ascii="Symbol" w:hAnsi="Symbol" w:eastAsia="Symbol"/>
          <w:sz w:val="23"/>
        </w:rPr>
        <w:t></w:t>
      </w:r>
      <w:r>
        <w:rPr>
          <w:rFonts w:ascii="Times New Roman" w:hAnsi="Times New Roman" w:eastAsia="Times New Roman"/>
          <w:sz w:val="23"/>
        </w:rPr>
        <w:t> </w:t>
      </w:r>
      <w:r>
        <w:rPr>
          <w:i/>
          <w:sz w:val="25"/>
        </w:rPr>
        <w:t>EF</w:t>
      </w:r>
      <w:r>
        <w:rPr>
          <w:position w:val="-5"/>
          <w:sz w:val="14"/>
        </w:rPr>
        <w:t>热</w:t>
      </w:r>
    </w:p>
    <w:p>
      <w:pPr>
        <w:spacing w:after="0"/>
        <w:jc w:val="left"/>
        <w:rPr>
          <w:sz w:val="14"/>
        </w:rPr>
        <w:sectPr>
          <w:type w:val="continuous"/>
          <w:pgSz w:w="11910" w:h="16840"/>
          <w:pgMar w:top="1420" w:bottom="280" w:left="1200" w:right="1180"/>
          <w:cols w:num="2" w:equalWidth="0">
            <w:col w:w="4139" w:space="40"/>
            <w:col w:w="5351"/>
          </w:cols>
        </w:sectPr>
      </w:pPr>
    </w:p>
    <w:p>
      <w:pPr>
        <w:pStyle w:val="BodyText"/>
        <w:spacing w:before="5"/>
        <w:rPr>
          <w:sz w:val="11"/>
        </w:rPr>
      </w:pPr>
    </w:p>
    <w:p>
      <w:pPr>
        <w:pStyle w:val="BodyText"/>
        <w:spacing w:before="67"/>
        <w:ind w:left="698"/>
      </w:pPr>
      <w:r>
        <w:rPr/>
        <w:t>其中：</w:t>
      </w:r>
    </w:p>
    <w:p>
      <w:pPr>
        <w:pStyle w:val="BodyText"/>
        <w:spacing w:before="212"/>
        <w:ind w:left="698"/>
      </w:pPr>
      <w:r>
        <w:rPr>
          <w:rFonts w:ascii="Times New Roman" w:eastAsia="Times New Roman"/>
          <w:position w:val="2"/>
        </w:rPr>
        <w:t>AD </w:t>
      </w:r>
      <w:r>
        <w:rPr>
          <w:sz w:val="12"/>
        </w:rPr>
        <w:t>输入热</w:t>
      </w:r>
      <w:r>
        <w:rPr>
          <w:rFonts w:ascii="Times New Roman" w:eastAsia="Times New Roman"/>
          <w:sz w:val="16"/>
        </w:rPr>
        <w:t>,i </w:t>
      </w:r>
      <w:r>
        <w:rPr>
          <w:position w:val="2"/>
        </w:rPr>
        <w:t>为核算期内核算单元购入热力，单位为吉焦</w:t>
      </w:r>
      <w:r>
        <w:rPr>
          <w:rFonts w:ascii="Times New Roman" w:eastAsia="Times New Roman"/>
          <w:position w:val="2"/>
        </w:rPr>
        <w:t>(GJ)</w:t>
      </w:r>
      <w:r>
        <w:rPr>
          <w:position w:val="2"/>
        </w:rPr>
        <w:t>；</w:t>
      </w:r>
    </w:p>
    <w:p>
      <w:pPr>
        <w:pStyle w:val="BodyText"/>
        <w:spacing w:before="214"/>
        <w:ind w:left="698"/>
      </w:pPr>
      <w:r>
        <w:rPr>
          <w:rFonts w:ascii="Times New Roman" w:eastAsia="Times New Roman"/>
          <w:position w:val="2"/>
        </w:rPr>
        <w:t>EF </w:t>
      </w:r>
      <w:r>
        <w:rPr>
          <w:sz w:val="12"/>
        </w:rPr>
        <w:t>热</w:t>
      </w:r>
      <w:r>
        <w:rPr>
          <w:position w:val="2"/>
        </w:rPr>
        <w:t>为热力消费排放因子，单位为吨 </w:t>
      </w:r>
      <w:r>
        <w:rPr>
          <w:rFonts w:ascii="Times New Roman" w:eastAsia="Times New Roman"/>
          <w:position w:val="2"/>
        </w:rPr>
        <w:t>tCO</w:t>
      </w:r>
      <w:r>
        <w:rPr>
          <w:rFonts w:ascii="Times New Roman" w:eastAsia="Times New Roman"/>
          <w:sz w:val="16"/>
        </w:rPr>
        <w:t>2</w:t>
      </w:r>
      <w:r>
        <w:rPr>
          <w:rFonts w:ascii="Times New Roman" w:eastAsia="Times New Roman"/>
          <w:position w:val="2"/>
        </w:rPr>
        <w:t>/GJ</w:t>
      </w:r>
      <w:r>
        <w:rPr>
          <w:position w:val="2"/>
        </w:rPr>
        <w:t>。</w:t>
      </w:r>
    </w:p>
    <w:p>
      <w:pPr>
        <w:spacing w:after="0"/>
        <w:sectPr>
          <w:type w:val="continuous"/>
          <w:pgSz w:w="11910" w:h="16840"/>
          <w:pgMar w:top="1420" w:bottom="280" w:left="1200" w:right="1180"/>
        </w:sectPr>
      </w:pPr>
    </w:p>
    <w:p>
      <w:pPr>
        <w:spacing w:before="149"/>
        <w:ind w:left="0" w:right="0" w:firstLine="0"/>
        <w:jc w:val="right"/>
        <w:rPr>
          <w:i/>
          <w:sz w:val="14"/>
        </w:rPr>
      </w:pPr>
      <w:r>
        <w:rPr>
          <w:i/>
          <w:position w:val="6"/>
          <w:sz w:val="25"/>
        </w:rPr>
        <w:t>E</w:t>
      </w:r>
      <w:r>
        <w:rPr>
          <w:i/>
          <w:spacing w:val="-100"/>
          <w:position w:val="6"/>
          <w:sz w:val="25"/>
        </w:rPr>
        <w:t> </w:t>
      </w:r>
      <w:r>
        <w:rPr>
          <w:spacing w:val="-6"/>
          <w:sz w:val="14"/>
        </w:rPr>
        <w:t>输出电,</w:t>
      </w:r>
      <w:r>
        <w:rPr>
          <w:i/>
          <w:spacing w:val="-18"/>
          <w:sz w:val="14"/>
        </w:rPr>
        <w:t>i</w:t>
      </w:r>
    </w:p>
    <w:p>
      <w:pPr>
        <w:spacing w:before="150"/>
        <w:ind w:left="116" w:right="0" w:firstLine="0"/>
        <w:jc w:val="left"/>
        <w:rPr>
          <w:sz w:val="14"/>
        </w:rPr>
      </w:pPr>
      <w:r>
        <w:rPr/>
        <w:br w:type="column"/>
      </w:r>
      <w:r>
        <w:rPr>
          <w:rFonts w:ascii="Symbol" w:hAnsi="Symbol" w:eastAsia="Symbol"/>
          <w:sz w:val="23"/>
        </w:rPr>
        <w:t></w:t>
      </w:r>
      <w:r>
        <w:rPr>
          <w:rFonts w:ascii="Times New Roman" w:hAnsi="Times New Roman" w:eastAsia="Times New Roman"/>
          <w:sz w:val="23"/>
        </w:rPr>
        <w:t> </w:t>
      </w:r>
      <w:r>
        <w:rPr>
          <w:i/>
          <w:sz w:val="25"/>
        </w:rPr>
        <w:t>AD</w:t>
      </w:r>
      <w:r>
        <w:rPr>
          <w:position w:val="-5"/>
          <w:sz w:val="14"/>
        </w:rPr>
        <w:t>输出电,i </w:t>
      </w:r>
      <w:r>
        <w:rPr>
          <w:rFonts w:ascii="Symbol" w:hAnsi="Symbol" w:eastAsia="Symbol"/>
          <w:sz w:val="23"/>
        </w:rPr>
        <w:t></w:t>
      </w:r>
      <w:r>
        <w:rPr>
          <w:rFonts w:ascii="Times New Roman" w:hAnsi="Times New Roman" w:eastAsia="Times New Roman"/>
          <w:sz w:val="23"/>
        </w:rPr>
        <w:t> </w:t>
      </w:r>
      <w:r>
        <w:rPr>
          <w:i/>
          <w:sz w:val="25"/>
        </w:rPr>
        <w:t>EF</w:t>
      </w:r>
      <w:r>
        <w:rPr>
          <w:position w:val="-5"/>
          <w:sz w:val="14"/>
        </w:rPr>
        <w:t>电</w:t>
      </w:r>
    </w:p>
    <w:p>
      <w:pPr>
        <w:spacing w:after="0"/>
        <w:jc w:val="left"/>
        <w:rPr>
          <w:sz w:val="14"/>
        </w:rPr>
        <w:sectPr>
          <w:type w:val="continuous"/>
          <w:pgSz w:w="11910" w:h="16840"/>
          <w:pgMar w:top="1420" w:bottom="280" w:left="1200" w:right="1180"/>
          <w:cols w:num="2" w:equalWidth="0">
            <w:col w:w="4147" w:space="40"/>
            <w:col w:w="5343"/>
          </w:cols>
        </w:sectPr>
      </w:pPr>
    </w:p>
    <w:p>
      <w:pPr>
        <w:pStyle w:val="BodyText"/>
        <w:spacing w:before="2"/>
        <w:rPr>
          <w:sz w:val="11"/>
        </w:rPr>
      </w:pPr>
    </w:p>
    <w:p>
      <w:pPr>
        <w:pStyle w:val="BodyText"/>
        <w:spacing w:before="66"/>
        <w:ind w:left="698"/>
      </w:pPr>
      <w:r>
        <w:rPr/>
        <w:t>其中：</w:t>
      </w:r>
    </w:p>
    <w:p>
      <w:pPr>
        <w:pStyle w:val="BodyText"/>
        <w:spacing w:before="213"/>
        <w:ind w:left="698"/>
      </w:pPr>
      <w:r>
        <w:rPr>
          <w:rFonts w:ascii="Times New Roman" w:eastAsia="Times New Roman"/>
          <w:position w:val="2"/>
        </w:rPr>
        <w:t>AD </w:t>
      </w:r>
      <w:r>
        <w:rPr>
          <w:sz w:val="12"/>
        </w:rPr>
        <w:t>输出电</w:t>
      </w:r>
      <w:r>
        <w:rPr>
          <w:rFonts w:ascii="Times New Roman" w:eastAsia="Times New Roman"/>
          <w:sz w:val="16"/>
        </w:rPr>
        <w:t>,i </w:t>
      </w:r>
      <w:r>
        <w:rPr>
          <w:position w:val="2"/>
        </w:rPr>
        <w:t>为核算期内核算单元输入电力，单位为兆瓦时</w:t>
      </w:r>
      <w:r>
        <w:rPr>
          <w:rFonts w:ascii="Times New Roman" w:eastAsia="Times New Roman"/>
          <w:position w:val="2"/>
        </w:rPr>
        <w:t>(MWh)</w:t>
      </w:r>
      <w:r>
        <w:rPr>
          <w:position w:val="2"/>
        </w:rPr>
        <w:t>；</w:t>
      </w:r>
    </w:p>
    <w:p>
      <w:pPr>
        <w:pStyle w:val="BodyText"/>
        <w:spacing w:before="213"/>
        <w:ind w:left="698"/>
      </w:pPr>
      <w:r>
        <w:rPr>
          <w:rFonts w:ascii="Times New Roman" w:eastAsia="Times New Roman"/>
          <w:position w:val="2"/>
        </w:rPr>
        <w:t>EF </w:t>
      </w:r>
      <w:r>
        <w:rPr>
          <w:sz w:val="12"/>
        </w:rPr>
        <w:t>电</w:t>
      </w:r>
      <w:r>
        <w:rPr>
          <w:position w:val="2"/>
        </w:rPr>
        <w:t>为区域电网年平均供电排放因子，单位为吨 </w:t>
      </w:r>
      <w:r>
        <w:rPr>
          <w:rFonts w:ascii="Times New Roman" w:eastAsia="Times New Roman"/>
          <w:position w:val="2"/>
        </w:rPr>
        <w:t>tCO</w:t>
      </w:r>
      <w:r>
        <w:rPr>
          <w:rFonts w:ascii="Times New Roman" w:eastAsia="Times New Roman"/>
          <w:sz w:val="16"/>
        </w:rPr>
        <w:t>2</w:t>
      </w:r>
      <w:r>
        <w:rPr>
          <w:rFonts w:ascii="Times New Roman" w:eastAsia="Times New Roman"/>
          <w:position w:val="2"/>
        </w:rPr>
        <w:t>/MWh</w:t>
      </w:r>
      <w:r>
        <w:rPr>
          <w:position w:val="2"/>
        </w:rPr>
        <w:t>。</w:t>
      </w:r>
    </w:p>
    <w:p>
      <w:pPr>
        <w:spacing w:after="0"/>
        <w:sectPr>
          <w:pgSz w:w="11910" w:h="16840"/>
          <w:pgMar w:header="872" w:footer="803" w:top="1320" w:bottom="1000" w:left="1200" w:right="1180"/>
        </w:sectPr>
      </w:pPr>
    </w:p>
    <w:p>
      <w:pPr>
        <w:spacing w:before="152"/>
        <w:ind w:left="0" w:right="0" w:firstLine="0"/>
        <w:jc w:val="right"/>
        <w:rPr>
          <w:i/>
          <w:sz w:val="14"/>
        </w:rPr>
      </w:pPr>
      <w:r>
        <w:rPr>
          <w:i/>
          <w:position w:val="6"/>
          <w:sz w:val="25"/>
        </w:rPr>
        <w:t>E</w:t>
      </w:r>
      <w:r>
        <w:rPr>
          <w:i/>
          <w:spacing w:val="-101"/>
          <w:position w:val="6"/>
          <w:sz w:val="25"/>
        </w:rPr>
        <w:t> </w:t>
      </w:r>
      <w:r>
        <w:rPr>
          <w:spacing w:val="-6"/>
          <w:sz w:val="14"/>
        </w:rPr>
        <w:t>输出热,</w:t>
      </w:r>
      <w:r>
        <w:rPr>
          <w:i/>
          <w:spacing w:val="-18"/>
          <w:sz w:val="14"/>
        </w:rPr>
        <w:t>i</w:t>
      </w:r>
    </w:p>
    <w:p>
      <w:pPr>
        <w:spacing w:before="153"/>
        <w:ind w:left="118" w:right="0" w:firstLine="0"/>
        <w:jc w:val="left"/>
        <w:rPr>
          <w:sz w:val="14"/>
        </w:rPr>
      </w:pPr>
      <w:r>
        <w:rPr/>
        <w:br w:type="column"/>
      </w:r>
      <w:r>
        <w:rPr>
          <w:rFonts w:ascii="Symbol" w:hAnsi="Symbol" w:eastAsia="Symbol"/>
          <w:sz w:val="23"/>
        </w:rPr>
        <w:t></w:t>
      </w:r>
      <w:r>
        <w:rPr>
          <w:rFonts w:ascii="Times New Roman" w:hAnsi="Times New Roman" w:eastAsia="Times New Roman"/>
          <w:sz w:val="23"/>
        </w:rPr>
        <w:t> </w:t>
      </w:r>
      <w:r>
        <w:rPr>
          <w:i/>
          <w:sz w:val="25"/>
        </w:rPr>
        <w:t>AD</w:t>
      </w:r>
      <w:r>
        <w:rPr>
          <w:position w:val="-5"/>
          <w:sz w:val="14"/>
        </w:rPr>
        <w:t>输出热,i </w:t>
      </w:r>
      <w:r>
        <w:rPr>
          <w:rFonts w:ascii="Symbol" w:hAnsi="Symbol" w:eastAsia="Symbol"/>
          <w:sz w:val="23"/>
        </w:rPr>
        <w:t></w:t>
      </w:r>
      <w:r>
        <w:rPr>
          <w:rFonts w:ascii="Times New Roman" w:hAnsi="Times New Roman" w:eastAsia="Times New Roman"/>
          <w:sz w:val="23"/>
        </w:rPr>
        <w:t> </w:t>
      </w:r>
      <w:r>
        <w:rPr>
          <w:i/>
          <w:sz w:val="25"/>
        </w:rPr>
        <w:t>EF</w:t>
      </w:r>
      <w:r>
        <w:rPr>
          <w:position w:val="-5"/>
          <w:sz w:val="14"/>
        </w:rPr>
        <w:t>热</w:t>
      </w:r>
    </w:p>
    <w:p>
      <w:pPr>
        <w:spacing w:after="0"/>
        <w:jc w:val="left"/>
        <w:rPr>
          <w:sz w:val="14"/>
        </w:rPr>
        <w:sectPr>
          <w:type w:val="continuous"/>
          <w:pgSz w:w="11910" w:h="16840"/>
          <w:pgMar w:top="1420" w:bottom="280" w:left="1200" w:right="1180"/>
          <w:cols w:num="2" w:equalWidth="0">
            <w:col w:w="4139" w:space="40"/>
            <w:col w:w="5351"/>
          </w:cols>
        </w:sectPr>
      </w:pPr>
    </w:p>
    <w:p>
      <w:pPr>
        <w:pStyle w:val="BodyText"/>
        <w:spacing w:before="4"/>
        <w:rPr>
          <w:sz w:val="11"/>
        </w:rPr>
      </w:pPr>
    </w:p>
    <w:p>
      <w:pPr>
        <w:pStyle w:val="BodyText"/>
        <w:spacing w:before="66"/>
        <w:ind w:left="698"/>
      </w:pPr>
      <w:r>
        <w:rPr/>
        <w:t>其中：</w:t>
      </w:r>
    </w:p>
    <w:p>
      <w:pPr>
        <w:pStyle w:val="BodyText"/>
        <w:spacing w:before="213"/>
        <w:ind w:left="698"/>
      </w:pPr>
      <w:r>
        <w:rPr>
          <w:rFonts w:ascii="Times New Roman" w:eastAsia="Times New Roman"/>
          <w:position w:val="2"/>
        </w:rPr>
        <w:t>AD </w:t>
      </w:r>
      <w:r>
        <w:rPr>
          <w:sz w:val="12"/>
        </w:rPr>
        <w:t>输出热</w:t>
      </w:r>
      <w:r>
        <w:rPr>
          <w:rFonts w:ascii="Times New Roman" w:eastAsia="Times New Roman"/>
          <w:sz w:val="16"/>
        </w:rPr>
        <w:t>,i </w:t>
      </w:r>
      <w:r>
        <w:rPr>
          <w:position w:val="2"/>
        </w:rPr>
        <w:t>为核算期内核算单元输出热力，单位为吉焦</w:t>
      </w:r>
      <w:r>
        <w:rPr>
          <w:rFonts w:ascii="Times New Roman" w:eastAsia="Times New Roman"/>
          <w:position w:val="2"/>
        </w:rPr>
        <w:t>(GJ)</w:t>
      </w:r>
      <w:r>
        <w:rPr>
          <w:position w:val="2"/>
        </w:rPr>
        <w:t>；</w:t>
      </w:r>
    </w:p>
    <w:p>
      <w:pPr>
        <w:pStyle w:val="BodyText"/>
        <w:spacing w:before="211"/>
        <w:ind w:left="698"/>
      </w:pPr>
      <w:r>
        <w:rPr>
          <w:rFonts w:ascii="Times New Roman" w:eastAsia="Times New Roman"/>
          <w:position w:val="2"/>
        </w:rPr>
        <w:t>EF </w:t>
      </w:r>
      <w:r>
        <w:rPr>
          <w:sz w:val="12"/>
        </w:rPr>
        <w:t>热</w:t>
      </w:r>
      <w:r>
        <w:rPr>
          <w:position w:val="2"/>
        </w:rPr>
        <w:t>为热力消费排放因子，单位为吨 </w:t>
      </w:r>
      <w:r>
        <w:rPr>
          <w:rFonts w:ascii="Times New Roman" w:eastAsia="Times New Roman"/>
          <w:position w:val="2"/>
        </w:rPr>
        <w:t>tCO</w:t>
      </w:r>
      <w:r>
        <w:rPr>
          <w:rFonts w:ascii="Times New Roman" w:eastAsia="Times New Roman"/>
          <w:sz w:val="16"/>
        </w:rPr>
        <w:t>2</w:t>
      </w:r>
      <w:r>
        <w:rPr>
          <w:rFonts w:ascii="Times New Roman" w:eastAsia="Times New Roman"/>
          <w:position w:val="2"/>
        </w:rPr>
        <w:t>/GJ</w:t>
      </w:r>
      <w:r>
        <w:rPr>
          <w:position w:val="2"/>
        </w:rPr>
        <w:t>。</w:t>
      </w:r>
    </w:p>
    <w:p>
      <w:pPr>
        <w:pStyle w:val="BodyText"/>
        <w:spacing w:before="214"/>
        <w:ind w:left="698"/>
      </w:pPr>
      <w:r>
        <w:rPr/>
        <w:t>②活动水平数据的获取</w:t>
      </w:r>
    </w:p>
    <w:p>
      <w:pPr>
        <w:pStyle w:val="BodyText"/>
        <w:spacing w:line="357" w:lineRule="auto" w:before="214"/>
        <w:ind w:left="218" w:right="234" w:firstLine="480"/>
      </w:pPr>
      <w:r>
        <w:rPr/>
        <w:t>电力活动数据</w:t>
      </w:r>
      <w:r>
        <w:rPr>
          <w:rFonts w:ascii="Times New Roman" w:eastAsia="Times New Roman"/>
        </w:rPr>
        <w:t>,</w:t>
      </w:r>
      <w:r>
        <w:rPr/>
        <w:t>以企业和电网公司结算的电表读数或企业能源消费台账或统计报表为据。本项目电力消费量为 </w:t>
      </w:r>
      <w:r>
        <w:rPr>
          <w:rFonts w:ascii="Times New Roman" w:eastAsia="Times New Roman"/>
        </w:rPr>
        <w:t>1204.3MWh</w:t>
      </w:r>
      <w:r>
        <w:rPr/>
        <w:t>。</w:t>
      </w:r>
    </w:p>
    <w:p>
      <w:pPr>
        <w:pStyle w:val="BodyText"/>
        <w:spacing w:before="62"/>
        <w:ind w:left="698"/>
      </w:pPr>
      <w:r>
        <w:rPr/>
        <w:t>热力活动数据</w:t>
      </w:r>
      <w:r>
        <w:rPr>
          <w:rFonts w:ascii="Times New Roman" w:eastAsia="Times New Roman"/>
        </w:rPr>
        <w:t>,</w:t>
      </w:r>
      <w:r>
        <w:rPr/>
        <w:t>以热力购售结算凭证或企业能源消费台账或统计报表为据。</w:t>
      </w:r>
    </w:p>
    <w:p>
      <w:pPr>
        <w:pStyle w:val="BodyText"/>
        <w:spacing w:before="9"/>
        <w:rPr>
          <w:sz w:val="8"/>
        </w:rPr>
      </w:pPr>
    </w:p>
    <w:p>
      <w:pPr>
        <w:spacing w:after="0"/>
        <w:rPr>
          <w:sz w:val="8"/>
        </w:rPr>
        <w:sectPr>
          <w:type w:val="continuous"/>
          <w:pgSz w:w="11910" w:h="16840"/>
          <w:pgMar w:top="1420" w:bottom="280" w:left="1200" w:right="1180"/>
        </w:sectPr>
      </w:pPr>
    </w:p>
    <w:p>
      <w:pPr>
        <w:spacing w:before="87"/>
        <w:ind w:left="735" w:right="0" w:firstLine="0"/>
        <w:jc w:val="left"/>
        <w:rPr>
          <w:sz w:val="14"/>
        </w:rPr>
      </w:pPr>
      <w:r>
        <w:rPr>
          <w:i/>
          <w:sz w:val="26"/>
        </w:rPr>
        <w:t>AD</w:t>
      </w:r>
      <w:r>
        <w:rPr>
          <w:spacing w:val="-24"/>
          <w:position w:val="-5"/>
          <w:sz w:val="14"/>
        </w:rPr>
        <w:t>蒸汽</w:t>
      </w:r>
    </w:p>
    <w:p>
      <w:pPr>
        <w:spacing w:before="87"/>
        <w:ind w:left="110" w:right="0" w:firstLine="0"/>
        <w:jc w:val="left"/>
        <w:rPr>
          <w:i/>
          <w:sz w:val="15"/>
        </w:rPr>
      </w:pPr>
      <w:r>
        <w:rPr/>
        <w:br w:type="column"/>
      </w:r>
      <w:r>
        <w:rPr>
          <w:rFonts w:ascii="Symbol" w:hAnsi="Symbol"/>
          <w:sz w:val="24"/>
        </w:rPr>
        <w:t></w:t>
      </w:r>
      <w:r>
        <w:rPr>
          <w:rFonts w:ascii="Times New Roman" w:hAnsi="Times New Roman"/>
          <w:spacing w:val="56"/>
          <w:sz w:val="24"/>
        </w:rPr>
        <w:t> </w:t>
      </w:r>
      <w:r>
        <w:rPr>
          <w:i/>
          <w:spacing w:val="-11"/>
          <w:sz w:val="26"/>
        </w:rPr>
        <w:t>Ma</w:t>
      </w:r>
      <w:r>
        <w:rPr>
          <w:i/>
          <w:spacing w:val="-11"/>
          <w:position w:val="-5"/>
          <w:sz w:val="15"/>
        </w:rPr>
        <w:t>st</w:t>
      </w:r>
    </w:p>
    <w:p>
      <w:pPr>
        <w:spacing w:before="87"/>
        <w:ind w:left="67" w:right="0" w:firstLine="0"/>
        <w:jc w:val="left"/>
        <w:rPr>
          <w:i/>
          <w:sz w:val="15"/>
        </w:rPr>
      </w:pPr>
      <w:r>
        <w:rPr/>
        <w:br w:type="column"/>
      </w:r>
      <w:r>
        <w:rPr>
          <w:rFonts w:ascii="Symbol" w:hAnsi="Symbol" w:eastAsia="Symbol"/>
          <w:spacing w:val="-15"/>
          <w:sz w:val="24"/>
        </w:rPr>
        <w:t></w:t>
      </w:r>
      <w:r>
        <w:rPr>
          <w:spacing w:val="-15"/>
          <w:sz w:val="24"/>
        </w:rPr>
        <w:t>（</w:t>
      </w:r>
      <w:r>
        <w:rPr>
          <w:i/>
          <w:spacing w:val="-15"/>
          <w:sz w:val="26"/>
        </w:rPr>
        <w:t>E</w:t>
      </w:r>
      <w:r>
        <w:rPr>
          <w:spacing w:val="-15"/>
          <w:sz w:val="24"/>
        </w:rPr>
        <w:t>n</w:t>
      </w:r>
      <w:r>
        <w:rPr>
          <w:i/>
          <w:spacing w:val="-15"/>
          <w:position w:val="-5"/>
          <w:sz w:val="15"/>
        </w:rPr>
        <w:t>st</w:t>
      </w:r>
    </w:p>
    <w:p>
      <w:pPr>
        <w:pStyle w:val="BodyText"/>
        <w:spacing w:before="97"/>
        <w:ind w:left="82"/>
        <w:rPr>
          <w:sz w:val="14"/>
        </w:rPr>
      </w:pPr>
      <w:r>
        <w:rPr/>
        <w:br w:type="column"/>
      </w:r>
      <w:r>
        <w:rPr>
          <w:rFonts w:ascii="Symbol" w:hAnsi="Symbol"/>
          <w:w w:val="105"/>
        </w:rPr>
        <w:t></w:t>
      </w:r>
      <w:r>
        <w:rPr>
          <w:rFonts w:ascii="Times New Roman" w:hAnsi="Times New Roman"/>
          <w:w w:val="105"/>
        </w:rPr>
        <w:t> </w:t>
      </w:r>
      <w:r>
        <w:rPr>
          <w:w w:val="105"/>
        </w:rPr>
        <w:t>83.74）</w:t>
      </w:r>
      <w:r>
        <w:rPr>
          <w:rFonts w:ascii="Symbol" w:hAnsi="Symbol"/>
          <w:w w:val="105"/>
        </w:rPr>
        <w:t></w:t>
      </w:r>
      <w:r>
        <w:rPr>
          <w:rFonts w:ascii="Times New Roman" w:hAnsi="Times New Roman"/>
          <w:w w:val="105"/>
        </w:rPr>
        <w:t> </w:t>
      </w:r>
      <w:r>
        <w:rPr>
          <w:w w:val="105"/>
        </w:rPr>
        <w:t>10</w:t>
      </w:r>
      <w:r>
        <w:rPr>
          <w:w w:val="105"/>
          <w:position w:val="11"/>
          <w:sz w:val="14"/>
        </w:rPr>
        <w:t>-3</w:t>
      </w:r>
    </w:p>
    <w:p>
      <w:pPr>
        <w:spacing w:after="0"/>
        <w:rPr>
          <w:sz w:val="14"/>
        </w:rPr>
        <w:sectPr>
          <w:type w:val="continuous"/>
          <w:pgSz w:w="11910" w:h="16840"/>
          <w:pgMar w:top="1420" w:bottom="280" w:left="1200" w:right="1180"/>
          <w:cols w:num="4" w:equalWidth="0">
            <w:col w:w="1263" w:space="40"/>
            <w:col w:w="746" w:space="39"/>
            <w:col w:w="785" w:space="40"/>
            <w:col w:w="6617"/>
          </w:cols>
        </w:sectPr>
      </w:pPr>
    </w:p>
    <w:p>
      <w:pPr>
        <w:pStyle w:val="BodyText"/>
        <w:spacing w:before="171"/>
        <w:ind w:left="698"/>
      </w:pPr>
      <w:r>
        <w:rPr>
          <w:rFonts w:ascii="Times New Roman" w:eastAsia="Times New Roman"/>
          <w:position w:val="2"/>
        </w:rPr>
        <w:t>Ma</w:t>
      </w:r>
      <w:r>
        <w:rPr>
          <w:rFonts w:ascii="Times New Roman" w:eastAsia="Times New Roman"/>
          <w:sz w:val="16"/>
        </w:rPr>
        <w:t>st </w:t>
      </w:r>
      <w:r>
        <w:rPr>
          <w:position w:val="2"/>
        </w:rPr>
        <w:t>为蒸汽的质量，单位为吨</w:t>
      </w:r>
      <w:r>
        <w:rPr>
          <w:rFonts w:ascii="Times New Roman" w:eastAsia="Times New Roman"/>
          <w:position w:val="2"/>
        </w:rPr>
        <w:t>(t)</w:t>
      </w:r>
      <w:r>
        <w:rPr>
          <w:position w:val="2"/>
        </w:rPr>
        <w:t>；</w:t>
      </w:r>
    </w:p>
    <w:p>
      <w:pPr>
        <w:pStyle w:val="BodyText"/>
        <w:spacing w:line="360" w:lineRule="auto" w:before="213"/>
        <w:ind w:left="218" w:right="236" w:firstLine="480"/>
        <w:jc w:val="both"/>
      </w:pPr>
      <w:r>
        <w:rPr>
          <w:rFonts w:ascii="Times New Roman" w:eastAsia="Times New Roman"/>
          <w:position w:val="2"/>
        </w:rPr>
        <w:t>En</w:t>
      </w:r>
      <w:r>
        <w:rPr>
          <w:rFonts w:ascii="Times New Roman" w:eastAsia="Times New Roman"/>
          <w:sz w:val="16"/>
        </w:rPr>
        <w:t>st </w:t>
      </w:r>
      <w:r>
        <w:rPr>
          <w:position w:val="2"/>
        </w:rPr>
        <w:t>为蒸汽所对应的温度，压力下每千克蒸汽的热焓，单位为千焦每千克</w:t>
      </w:r>
      <w:r>
        <w:rPr>
          <w:rFonts w:ascii="Times New Roman" w:eastAsia="Times New Roman"/>
          <w:position w:val="2"/>
        </w:rPr>
        <w:t>(kJ/kg)</w:t>
      </w:r>
      <w:r>
        <w:rPr>
          <w:position w:val="2"/>
        </w:rPr>
        <w:t>， </w:t>
      </w:r>
      <w:r>
        <w:rPr/>
        <w:t>取 </w:t>
      </w:r>
      <w:r>
        <w:rPr>
          <w:rFonts w:ascii="Times New Roman" w:eastAsia="Times New Roman"/>
        </w:rPr>
        <w:t>3008.3</w:t>
      </w:r>
      <w:r>
        <w:rPr/>
        <w:t>。</w:t>
      </w:r>
    </w:p>
    <w:p>
      <w:pPr>
        <w:pStyle w:val="BodyText"/>
        <w:spacing w:before="57"/>
        <w:ind w:left="698"/>
      </w:pPr>
      <w:r>
        <w:rPr>
          <w:position w:val="2"/>
        </w:rPr>
        <w:t>计算得 </w:t>
      </w:r>
      <w:r>
        <w:rPr>
          <w:rFonts w:ascii="Times New Roman" w:eastAsia="Times New Roman"/>
          <w:position w:val="2"/>
        </w:rPr>
        <w:t>AD </w:t>
      </w:r>
      <w:r>
        <w:rPr>
          <w:sz w:val="12"/>
        </w:rPr>
        <w:t>蒸汽 </w:t>
      </w:r>
      <w:r>
        <w:rPr>
          <w:rFonts w:ascii="Times New Roman" w:eastAsia="Times New Roman"/>
          <w:position w:val="2"/>
        </w:rPr>
        <w:t>17111.6GJ</w:t>
      </w:r>
      <w:r>
        <w:rPr>
          <w:position w:val="2"/>
        </w:rPr>
        <w:t>。</w:t>
      </w:r>
    </w:p>
    <w:p>
      <w:pPr>
        <w:pStyle w:val="BodyText"/>
        <w:spacing w:before="214"/>
        <w:ind w:left="698"/>
      </w:pPr>
      <w:r>
        <w:rPr/>
        <w:t>③排放因子数据的获取</w:t>
      </w:r>
    </w:p>
    <w:p>
      <w:pPr>
        <w:pStyle w:val="BodyText"/>
        <w:spacing w:line="357" w:lineRule="auto" w:before="213"/>
        <w:ind w:left="218" w:right="232" w:firstLine="480"/>
        <w:jc w:val="both"/>
      </w:pPr>
      <w:r>
        <w:rPr>
          <w:spacing w:val="-3"/>
          <w:position w:val="2"/>
        </w:rPr>
        <w:t>电力消费的排放因子为企业生产场地所属电网的平均供电 </w:t>
      </w:r>
      <w:r>
        <w:rPr>
          <w:rFonts w:ascii="Times New Roman" w:eastAsia="Times New Roman"/>
          <w:position w:val="2"/>
        </w:rPr>
        <w:t>CO</w:t>
      </w:r>
      <w:r>
        <w:rPr>
          <w:rFonts w:ascii="Times New Roman" w:eastAsia="Times New Roman"/>
          <w:sz w:val="16"/>
        </w:rPr>
        <w:t>2 </w:t>
      </w:r>
      <w:r>
        <w:rPr>
          <w:spacing w:val="-12"/>
          <w:position w:val="2"/>
        </w:rPr>
        <w:t>排放因子，根据主管</w:t>
      </w:r>
      <w:r>
        <w:rPr>
          <w:spacing w:val="-6"/>
          <w:position w:val="2"/>
        </w:rPr>
        <w:t>部门主动最新发布数据进行取值。本项目电力供应的 </w:t>
      </w:r>
      <w:r>
        <w:rPr>
          <w:rFonts w:ascii="Times New Roman" w:eastAsia="Times New Roman"/>
          <w:position w:val="2"/>
        </w:rPr>
        <w:t>CO</w:t>
      </w:r>
      <w:r>
        <w:rPr>
          <w:rFonts w:ascii="Times New Roman" w:eastAsia="Times New Roman"/>
          <w:sz w:val="16"/>
        </w:rPr>
        <w:t>2 </w:t>
      </w:r>
      <w:r>
        <w:rPr>
          <w:spacing w:val="-5"/>
          <w:position w:val="2"/>
        </w:rPr>
        <w:t>排放因子取自华东区域</w:t>
      </w:r>
      <w:r>
        <w:rPr>
          <w:position w:val="2"/>
        </w:rPr>
        <w:t>（</w:t>
      </w:r>
      <w:r>
        <w:rPr>
          <w:spacing w:val="-7"/>
          <w:position w:val="2"/>
        </w:rPr>
        <w:t>浙江</w:t>
      </w:r>
      <w:r>
        <w:rPr>
          <w:position w:val="2"/>
        </w:rPr>
        <w:t>省位于华东区域）</w:t>
      </w:r>
      <w:r>
        <w:rPr>
          <w:spacing w:val="-9"/>
          <w:position w:val="2"/>
        </w:rPr>
        <w:t>电网平均供电 </w:t>
      </w:r>
      <w:r>
        <w:rPr>
          <w:rFonts w:ascii="Times New Roman" w:eastAsia="Times New Roman"/>
          <w:position w:val="2"/>
        </w:rPr>
        <w:t>CO</w:t>
      </w:r>
      <w:r>
        <w:rPr>
          <w:rFonts w:ascii="Times New Roman" w:eastAsia="Times New Roman"/>
          <w:sz w:val="16"/>
        </w:rPr>
        <w:t>2 </w:t>
      </w:r>
      <w:r>
        <w:rPr>
          <w:spacing w:val="-1"/>
          <w:position w:val="2"/>
        </w:rPr>
        <w:t>排放因子</w:t>
      </w:r>
      <w:r>
        <w:rPr>
          <w:position w:val="2"/>
        </w:rPr>
        <w:t>（</w:t>
      </w:r>
      <w:r>
        <w:rPr>
          <w:rFonts w:ascii="Times New Roman" w:eastAsia="Times New Roman"/>
          <w:position w:val="2"/>
        </w:rPr>
        <w:t>0.7035 </w:t>
      </w:r>
      <w:r>
        <w:rPr>
          <w:spacing w:val="-30"/>
          <w:position w:val="2"/>
        </w:rPr>
        <w:t>吨 </w:t>
      </w:r>
      <w:r>
        <w:rPr>
          <w:rFonts w:ascii="Times New Roman" w:eastAsia="Times New Roman"/>
          <w:position w:val="2"/>
        </w:rPr>
        <w:t>CO</w:t>
      </w:r>
      <w:r>
        <w:rPr>
          <w:rFonts w:ascii="Times New Roman" w:eastAsia="Times New Roman"/>
          <w:sz w:val="16"/>
        </w:rPr>
        <w:t>2</w:t>
      </w:r>
      <w:r>
        <w:rPr>
          <w:rFonts w:ascii="Times New Roman" w:eastAsia="Times New Roman"/>
          <w:position w:val="2"/>
        </w:rPr>
        <w:t>/MWh</w:t>
      </w:r>
      <w:r>
        <w:rPr>
          <w:position w:val="2"/>
        </w:rPr>
        <w:t>）。</w:t>
      </w:r>
    </w:p>
    <w:p>
      <w:pPr>
        <w:pStyle w:val="BodyText"/>
        <w:spacing w:before="65"/>
        <w:ind w:left="698"/>
        <w:jc w:val="both"/>
      </w:pPr>
      <w:r>
        <w:rPr>
          <w:position w:val="2"/>
        </w:rPr>
        <w:t>热力消费的排放因子可取推荐值 </w:t>
      </w:r>
      <w:r>
        <w:rPr>
          <w:rFonts w:ascii="Times New Roman" w:eastAsia="Times New Roman"/>
          <w:position w:val="2"/>
        </w:rPr>
        <w:t>0.11tCO</w:t>
      </w:r>
      <w:r>
        <w:rPr>
          <w:rFonts w:ascii="Times New Roman" w:eastAsia="Times New Roman"/>
          <w:sz w:val="16"/>
        </w:rPr>
        <w:t>2</w:t>
      </w:r>
      <w:r>
        <w:rPr>
          <w:rFonts w:ascii="Times New Roman" w:eastAsia="Times New Roman"/>
          <w:position w:val="2"/>
        </w:rPr>
        <w:t>/GJ</w:t>
      </w:r>
      <w:r>
        <w:rPr>
          <w:position w:val="2"/>
        </w:rPr>
        <w:t>。</w:t>
      </w:r>
    </w:p>
    <w:p>
      <w:pPr>
        <w:pStyle w:val="BodyText"/>
        <w:spacing w:before="212"/>
        <w:ind w:left="698"/>
      </w:pPr>
      <w:r>
        <w:rPr/>
        <w:t>④计算结果</w:t>
      </w:r>
    </w:p>
    <w:p>
      <w:pPr>
        <w:pStyle w:val="BodyText"/>
        <w:spacing w:before="212"/>
        <w:ind w:left="698"/>
        <w:jc w:val="both"/>
      </w:pPr>
      <w:r>
        <w:rPr>
          <w:position w:val="2"/>
        </w:rPr>
        <w:t>本项目购入电力 </w:t>
      </w:r>
      <w:r>
        <w:rPr>
          <w:rFonts w:ascii="Times New Roman" w:eastAsia="Times New Roman"/>
          <w:position w:val="2"/>
        </w:rPr>
        <w:t>CO</w:t>
      </w:r>
      <w:r>
        <w:rPr>
          <w:rFonts w:ascii="Times New Roman" w:eastAsia="Times New Roman"/>
          <w:sz w:val="16"/>
        </w:rPr>
        <w:t>2 </w:t>
      </w:r>
      <w:r>
        <w:rPr>
          <w:position w:val="2"/>
        </w:rPr>
        <w:t>排放计算如下：</w:t>
      </w:r>
    </w:p>
    <w:p>
      <w:pPr>
        <w:pStyle w:val="BodyText"/>
        <w:spacing w:before="11"/>
        <w:rPr>
          <w:sz w:val="8"/>
        </w:rPr>
      </w:pPr>
    </w:p>
    <w:p>
      <w:pPr>
        <w:spacing w:after="0"/>
        <w:rPr>
          <w:sz w:val="8"/>
        </w:rPr>
        <w:sectPr>
          <w:type w:val="continuous"/>
          <w:pgSz w:w="11910" w:h="16840"/>
          <w:pgMar w:top="1420" w:bottom="280" w:left="1200" w:right="1180"/>
        </w:sectPr>
      </w:pPr>
    </w:p>
    <w:p>
      <w:pPr>
        <w:spacing w:line="367" w:lineRule="auto" w:before="88"/>
        <w:ind w:left="731" w:right="0" w:hanging="1"/>
        <w:jc w:val="left"/>
        <w:rPr>
          <w:i/>
          <w:sz w:val="14"/>
        </w:rPr>
      </w:pPr>
      <w:r>
        <w:rPr>
          <w:i/>
          <w:position w:val="6"/>
          <w:sz w:val="25"/>
        </w:rPr>
        <w:t>E</w:t>
      </w:r>
      <w:r>
        <w:rPr>
          <w:i/>
          <w:spacing w:val="-101"/>
          <w:position w:val="6"/>
          <w:sz w:val="25"/>
        </w:rPr>
        <w:t> </w:t>
      </w:r>
      <w:r>
        <w:rPr>
          <w:spacing w:val="-8"/>
          <w:sz w:val="14"/>
        </w:rPr>
        <w:t>购入电,</w:t>
      </w:r>
      <w:r>
        <w:rPr>
          <w:i/>
          <w:spacing w:val="-26"/>
          <w:sz w:val="14"/>
        </w:rPr>
        <w:t>i </w:t>
      </w:r>
      <w:r>
        <w:rPr>
          <w:i/>
          <w:position w:val="6"/>
          <w:sz w:val="25"/>
        </w:rPr>
        <w:t>E</w:t>
      </w:r>
      <w:r>
        <w:rPr>
          <w:i/>
          <w:spacing w:val="-102"/>
          <w:position w:val="6"/>
          <w:sz w:val="25"/>
        </w:rPr>
        <w:t> </w:t>
      </w:r>
      <w:r>
        <w:rPr>
          <w:spacing w:val="-8"/>
          <w:sz w:val="14"/>
        </w:rPr>
        <w:t>购入热,</w:t>
      </w:r>
      <w:r>
        <w:rPr>
          <w:i/>
          <w:spacing w:val="-26"/>
          <w:sz w:val="14"/>
        </w:rPr>
        <w:t>i</w:t>
      </w:r>
    </w:p>
    <w:p>
      <w:pPr>
        <w:spacing w:before="91"/>
        <w:ind w:left="115" w:right="0" w:firstLine="0"/>
        <w:jc w:val="left"/>
        <w:rPr>
          <w:rFonts w:ascii="Times New Roman" w:hAnsi="Times New Roman" w:eastAsia="Times New Roman"/>
          <w:sz w:val="16"/>
        </w:rPr>
      </w:pPr>
      <w:r>
        <w:rPr/>
        <w:br w:type="column"/>
      </w:r>
      <w:r>
        <w:rPr>
          <w:rFonts w:ascii="Symbol" w:hAnsi="Symbol" w:eastAsia="Symbol"/>
          <w:position w:val="2"/>
          <w:sz w:val="23"/>
        </w:rPr>
        <w:t></w:t>
      </w:r>
      <w:r>
        <w:rPr>
          <w:rFonts w:ascii="Times New Roman" w:hAnsi="Times New Roman" w:eastAsia="Times New Roman"/>
          <w:position w:val="2"/>
          <w:sz w:val="23"/>
        </w:rPr>
        <w:t>  </w:t>
      </w:r>
      <w:r>
        <w:rPr>
          <w:i/>
          <w:spacing w:val="7"/>
          <w:position w:val="2"/>
          <w:sz w:val="25"/>
        </w:rPr>
        <w:t>AD</w:t>
      </w:r>
      <w:r>
        <w:rPr>
          <w:spacing w:val="-6"/>
          <w:position w:val="-3"/>
          <w:sz w:val="14"/>
        </w:rPr>
        <w:t>购入电,</w:t>
      </w:r>
      <w:r>
        <w:rPr>
          <w:spacing w:val="-17"/>
          <w:position w:val="-3"/>
          <w:sz w:val="14"/>
        </w:rPr>
        <w:t>i</w:t>
      </w:r>
      <w:r>
        <w:rPr>
          <w:spacing w:val="21"/>
          <w:position w:val="-3"/>
          <w:sz w:val="14"/>
        </w:rPr>
        <w:t> </w:t>
      </w:r>
      <w:r>
        <w:rPr>
          <w:rFonts w:ascii="Symbol" w:hAnsi="Symbol" w:eastAsia="Symbol"/>
          <w:position w:val="2"/>
          <w:sz w:val="23"/>
        </w:rPr>
        <w:t></w:t>
      </w:r>
      <w:r>
        <w:rPr>
          <w:rFonts w:ascii="Times New Roman" w:hAnsi="Times New Roman" w:eastAsia="Times New Roman"/>
          <w:spacing w:val="19"/>
          <w:position w:val="2"/>
          <w:sz w:val="23"/>
        </w:rPr>
        <w:t> </w:t>
      </w:r>
      <w:r>
        <w:rPr>
          <w:i/>
          <w:spacing w:val="-11"/>
          <w:position w:val="2"/>
          <w:sz w:val="25"/>
        </w:rPr>
        <w:t>EF</w:t>
      </w:r>
      <w:r>
        <w:rPr>
          <w:spacing w:val="-14"/>
          <w:position w:val="-3"/>
          <w:sz w:val="14"/>
        </w:rPr>
        <w:t>电 </w:t>
      </w:r>
      <w:r>
        <w:rPr>
          <w:rFonts w:ascii="Times New Roman" w:hAnsi="Times New Roman" w:eastAsia="Times New Roman"/>
          <w:position w:val="2"/>
          <w:sz w:val="24"/>
        </w:rPr>
        <w:t>=1204.3×0.7035</w:t>
      </w:r>
      <w:r>
        <w:rPr>
          <w:rFonts w:ascii="Times New Roman" w:hAnsi="Times New Roman" w:eastAsia="Times New Roman"/>
          <w:spacing w:val="-18"/>
          <w:position w:val="2"/>
          <w:sz w:val="24"/>
        </w:rPr>
        <w:t> =</w:t>
      </w:r>
      <w:r>
        <w:rPr>
          <w:rFonts w:ascii="Times New Roman" w:hAnsi="Times New Roman" w:eastAsia="Times New Roman"/>
          <w:position w:val="2"/>
          <w:sz w:val="24"/>
        </w:rPr>
        <w:t>847.2 </w:t>
      </w:r>
      <w:r>
        <w:rPr>
          <w:spacing w:val="-31"/>
          <w:position w:val="2"/>
          <w:sz w:val="24"/>
        </w:rPr>
        <w:t>吨 </w:t>
      </w:r>
      <w:r>
        <w:rPr>
          <w:rFonts w:ascii="Times New Roman" w:hAnsi="Times New Roman" w:eastAsia="Times New Roman"/>
          <w:position w:val="2"/>
          <w:sz w:val="24"/>
        </w:rPr>
        <w:t>CO</w:t>
      </w:r>
      <w:r>
        <w:rPr>
          <w:rFonts w:ascii="Times New Roman" w:hAnsi="Times New Roman" w:eastAsia="Times New Roman"/>
          <w:sz w:val="16"/>
        </w:rPr>
        <w:t>2</w:t>
      </w:r>
    </w:p>
    <w:p>
      <w:pPr>
        <w:spacing w:before="169"/>
        <w:ind w:left="118" w:right="0" w:firstLine="0"/>
        <w:jc w:val="left"/>
        <w:rPr>
          <w:rFonts w:ascii="Times New Roman" w:hAnsi="Times New Roman" w:eastAsia="Times New Roman"/>
          <w:sz w:val="16"/>
        </w:rPr>
      </w:pPr>
      <w:r>
        <w:rPr>
          <w:rFonts w:ascii="Symbol" w:hAnsi="Symbol" w:eastAsia="Symbol"/>
          <w:position w:val="2"/>
          <w:sz w:val="23"/>
        </w:rPr>
        <w:t></w:t>
      </w:r>
      <w:r>
        <w:rPr>
          <w:rFonts w:ascii="Times New Roman" w:hAnsi="Times New Roman" w:eastAsia="Times New Roman"/>
          <w:spacing w:val="5"/>
          <w:position w:val="2"/>
          <w:sz w:val="23"/>
        </w:rPr>
        <w:t>  </w:t>
      </w:r>
      <w:r>
        <w:rPr>
          <w:i/>
          <w:spacing w:val="9"/>
          <w:position w:val="2"/>
          <w:sz w:val="25"/>
        </w:rPr>
        <w:t>AD</w:t>
      </w:r>
      <w:r>
        <w:rPr>
          <w:spacing w:val="-6"/>
          <w:position w:val="-3"/>
          <w:sz w:val="14"/>
        </w:rPr>
        <w:t>购入热,</w:t>
      </w:r>
      <w:r>
        <w:rPr>
          <w:spacing w:val="-17"/>
          <w:position w:val="-3"/>
          <w:sz w:val="14"/>
        </w:rPr>
        <w:t>i</w:t>
      </w:r>
      <w:r>
        <w:rPr>
          <w:spacing w:val="28"/>
          <w:position w:val="-3"/>
          <w:sz w:val="14"/>
        </w:rPr>
        <w:t> </w:t>
      </w:r>
      <w:r>
        <w:rPr>
          <w:rFonts w:ascii="Symbol" w:hAnsi="Symbol" w:eastAsia="Symbol"/>
          <w:position w:val="2"/>
          <w:sz w:val="23"/>
        </w:rPr>
        <w:t></w:t>
      </w:r>
      <w:r>
        <w:rPr>
          <w:rFonts w:ascii="Times New Roman" w:hAnsi="Times New Roman" w:eastAsia="Times New Roman"/>
          <w:spacing w:val="26"/>
          <w:position w:val="2"/>
          <w:sz w:val="23"/>
        </w:rPr>
        <w:t> </w:t>
      </w:r>
      <w:r>
        <w:rPr>
          <w:i/>
          <w:spacing w:val="-3"/>
          <w:position w:val="2"/>
          <w:sz w:val="25"/>
        </w:rPr>
        <w:t>EF</w:t>
      </w:r>
      <w:r>
        <w:rPr>
          <w:spacing w:val="-14"/>
          <w:position w:val="-3"/>
          <w:sz w:val="14"/>
        </w:rPr>
        <w:t>热 </w:t>
      </w:r>
      <w:r>
        <w:rPr>
          <w:rFonts w:ascii="Times New Roman" w:hAnsi="Times New Roman" w:eastAsia="Times New Roman"/>
          <w:spacing w:val="-3"/>
          <w:position w:val="2"/>
          <w:sz w:val="24"/>
        </w:rPr>
        <w:t>=17111.6×0.11</w:t>
      </w:r>
      <w:r>
        <w:rPr>
          <w:rFonts w:ascii="Times New Roman" w:hAnsi="Times New Roman" w:eastAsia="Times New Roman"/>
          <w:spacing w:val="-18"/>
          <w:position w:val="2"/>
          <w:sz w:val="24"/>
        </w:rPr>
        <w:t> =</w:t>
      </w:r>
      <w:r>
        <w:rPr>
          <w:rFonts w:ascii="Times New Roman" w:hAnsi="Times New Roman" w:eastAsia="Times New Roman"/>
          <w:position w:val="2"/>
          <w:sz w:val="24"/>
        </w:rPr>
        <w:t>1882.3</w:t>
      </w:r>
      <w:r>
        <w:rPr>
          <w:rFonts w:ascii="Times New Roman" w:hAnsi="Times New Roman" w:eastAsia="Times New Roman"/>
          <w:spacing w:val="5"/>
          <w:position w:val="2"/>
          <w:sz w:val="24"/>
        </w:rPr>
        <w:t> </w:t>
      </w:r>
      <w:r>
        <w:rPr>
          <w:spacing w:val="-29"/>
          <w:position w:val="2"/>
          <w:sz w:val="24"/>
        </w:rPr>
        <w:t>吨 </w:t>
      </w:r>
      <w:r>
        <w:rPr>
          <w:rFonts w:ascii="Times New Roman" w:hAnsi="Times New Roman" w:eastAsia="Times New Roman"/>
          <w:position w:val="2"/>
          <w:sz w:val="24"/>
        </w:rPr>
        <w:t>CO</w:t>
      </w:r>
      <w:r>
        <w:rPr>
          <w:rFonts w:ascii="Times New Roman" w:hAnsi="Times New Roman" w:eastAsia="Times New Roman"/>
          <w:sz w:val="16"/>
        </w:rPr>
        <w:t>2</w:t>
      </w:r>
    </w:p>
    <w:p>
      <w:pPr>
        <w:spacing w:after="0"/>
        <w:jc w:val="left"/>
        <w:rPr>
          <w:rFonts w:ascii="Times New Roman" w:hAnsi="Times New Roman" w:eastAsia="Times New Roman"/>
          <w:sz w:val="16"/>
        </w:rPr>
        <w:sectPr>
          <w:type w:val="continuous"/>
          <w:pgSz w:w="11910" w:h="16840"/>
          <w:pgMar w:top="1420" w:bottom="280" w:left="1200" w:right="1180"/>
          <w:cols w:num="2" w:equalWidth="0">
            <w:col w:w="1405" w:space="40"/>
            <w:col w:w="8085"/>
          </w:cols>
        </w:sectPr>
      </w:pPr>
    </w:p>
    <w:p>
      <w:pPr>
        <w:pStyle w:val="Heading4"/>
        <w:spacing w:before="14"/>
      </w:pPr>
      <w:r>
        <w:rPr>
          <w:rFonts w:ascii="Times New Roman" w:eastAsia="Times New Roman"/>
        </w:rPr>
        <w:t>3</w:t>
      </w:r>
      <w:r>
        <w:rPr/>
        <w:t>、温室气体排放总量</w:t>
      </w:r>
    </w:p>
    <w:p>
      <w:pPr>
        <w:spacing w:before="203"/>
        <w:ind w:left="698" w:right="0" w:firstLine="0"/>
        <w:jc w:val="left"/>
        <w:rPr>
          <w:b/>
          <w:sz w:val="24"/>
        </w:rPr>
      </w:pPr>
      <w:r>
        <w:rPr>
          <w:position w:val="1"/>
          <w:sz w:val="24"/>
        </w:rPr>
        <w:t>本项目碳排放核算主要涉及</w:t>
      </w:r>
      <w:r>
        <w:rPr>
          <w:b/>
          <w:spacing w:val="-2"/>
          <w:position w:val="1"/>
          <w:sz w:val="24"/>
        </w:rPr>
        <w:t>购入电力的 </w:t>
      </w:r>
      <w:r>
        <w:rPr>
          <w:rFonts w:ascii="Times New Roman" w:eastAsia="Times New Roman"/>
          <w:b/>
          <w:position w:val="1"/>
          <w:sz w:val="24"/>
        </w:rPr>
        <w:t>CO</w:t>
      </w:r>
      <w:r>
        <w:rPr>
          <w:rFonts w:ascii="Times New Roman" w:eastAsia="Times New Roman"/>
          <w:b/>
          <w:sz w:val="16"/>
        </w:rPr>
        <w:t>2 </w:t>
      </w:r>
      <w:r>
        <w:rPr>
          <w:b/>
          <w:spacing w:val="16"/>
          <w:position w:val="1"/>
          <w:sz w:val="24"/>
        </w:rPr>
        <w:t>排放</w:t>
      </w:r>
      <w:r>
        <w:rPr>
          <w:i/>
          <w:position w:val="1"/>
          <w:sz w:val="25"/>
        </w:rPr>
        <w:t>E</w:t>
      </w:r>
      <w:r>
        <w:rPr>
          <w:i/>
          <w:spacing w:val="-103"/>
          <w:position w:val="1"/>
          <w:sz w:val="25"/>
        </w:rPr>
        <w:t> </w:t>
      </w:r>
      <w:r>
        <w:rPr>
          <w:spacing w:val="-4"/>
          <w:position w:val="-4"/>
          <w:sz w:val="14"/>
        </w:rPr>
        <w:t>购入电，</w:t>
      </w:r>
      <w:r>
        <w:rPr>
          <w:i/>
          <w:spacing w:val="5"/>
          <w:position w:val="-4"/>
          <w:sz w:val="14"/>
        </w:rPr>
        <w:t>i </w:t>
      </w:r>
      <w:r>
        <w:rPr>
          <w:b/>
          <w:spacing w:val="-2"/>
          <w:position w:val="1"/>
          <w:sz w:val="24"/>
        </w:rPr>
        <w:t>、购入热力的 </w:t>
      </w:r>
      <w:r>
        <w:rPr>
          <w:rFonts w:ascii="Times New Roman" w:eastAsia="Times New Roman"/>
          <w:b/>
          <w:position w:val="1"/>
          <w:sz w:val="24"/>
        </w:rPr>
        <w:t>CO</w:t>
      </w:r>
      <w:r>
        <w:rPr>
          <w:rFonts w:ascii="Times New Roman" w:eastAsia="Times New Roman"/>
          <w:b/>
          <w:sz w:val="16"/>
        </w:rPr>
        <w:t>2 </w:t>
      </w:r>
      <w:r>
        <w:rPr>
          <w:b/>
          <w:position w:val="1"/>
          <w:sz w:val="24"/>
        </w:rPr>
        <w:t>排放</w:t>
      </w:r>
    </w:p>
    <w:p>
      <w:pPr>
        <w:spacing w:after="0"/>
        <w:jc w:val="left"/>
        <w:rPr>
          <w:sz w:val="24"/>
        </w:rPr>
        <w:sectPr>
          <w:type w:val="continuous"/>
          <w:pgSz w:w="11910" w:h="16840"/>
          <w:pgMar w:top="1420" w:bottom="280" w:left="1200" w:right="1180"/>
        </w:sectPr>
      </w:pPr>
    </w:p>
    <w:p>
      <w:pPr>
        <w:pStyle w:val="BodyText"/>
        <w:spacing w:before="4"/>
        <w:rPr>
          <w:b/>
          <w:sz w:val="10"/>
        </w:rPr>
      </w:pPr>
    </w:p>
    <w:p>
      <w:pPr>
        <w:spacing w:line="333" w:lineRule="auto" w:before="65"/>
        <w:ind w:left="218" w:right="152" w:firstLine="32"/>
        <w:jc w:val="left"/>
        <w:rPr>
          <w:sz w:val="24"/>
        </w:rPr>
      </w:pPr>
      <w:r>
        <w:rPr>
          <w:i/>
          <w:position w:val="6"/>
          <w:sz w:val="25"/>
        </w:rPr>
        <w:t>E</w:t>
      </w:r>
      <w:r>
        <w:rPr>
          <w:i/>
          <w:spacing w:val="-104"/>
          <w:position w:val="6"/>
          <w:sz w:val="25"/>
        </w:rPr>
        <w:t> </w:t>
      </w:r>
      <w:r>
        <w:rPr>
          <w:spacing w:val="-4"/>
          <w:sz w:val="14"/>
        </w:rPr>
        <w:t>购入热，</w:t>
      </w:r>
      <w:r>
        <w:rPr>
          <w:i/>
          <w:spacing w:val="5"/>
          <w:sz w:val="14"/>
        </w:rPr>
        <w:t>i </w:t>
      </w:r>
      <w:r>
        <w:rPr>
          <w:spacing w:val="3"/>
          <w:position w:val="6"/>
          <w:sz w:val="24"/>
        </w:rPr>
        <w:t>，</w:t>
      </w:r>
      <w:r>
        <w:rPr>
          <w:i/>
          <w:spacing w:val="3"/>
          <w:position w:val="6"/>
          <w:sz w:val="25"/>
        </w:rPr>
        <w:t>E</w:t>
      </w:r>
      <w:r>
        <w:rPr>
          <w:i/>
          <w:spacing w:val="-104"/>
          <w:position w:val="6"/>
          <w:sz w:val="25"/>
        </w:rPr>
        <w:t> </w:t>
      </w:r>
      <w:r>
        <w:rPr>
          <w:spacing w:val="-1"/>
          <w:sz w:val="14"/>
        </w:rPr>
        <w:t>过程，</w:t>
      </w:r>
      <w:r>
        <w:rPr>
          <w:i/>
          <w:spacing w:val="5"/>
          <w:sz w:val="14"/>
        </w:rPr>
        <w:t>i </w:t>
      </w:r>
      <w:r>
        <w:rPr>
          <w:spacing w:val="7"/>
          <w:position w:val="6"/>
          <w:sz w:val="24"/>
        </w:rPr>
        <w:t>、</w:t>
      </w:r>
      <w:r>
        <w:rPr>
          <w:i/>
          <w:position w:val="6"/>
          <w:sz w:val="25"/>
        </w:rPr>
        <w:t>E</w:t>
      </w:r>
      <w:r>
        <w:rPr>
          <w:i/>
          <w:spacing w:val="-104"/>
          <w:position w:val="6"/>
          <w:sz w:val="25"/>
        </w:rPr>
        <w:t> </w:t>
      </w:r>
      <w:r>
        <w:rPr>
          <w:spacing w:val="-4"/>
          <w:sz w:val="14"/>
        </w:rPr>
        <w:t>输出电，</w:t>
      </w:r>
      <w:r>
        <w:rPr>
          <w:i/>
          <w:spacing w:val="5"/>
          <w:sz w:val="14"/>
        </w:rPr>
        <w:t>i </w:t>
      </w:r>
      <w:r>
        <w:rPr>
          <w:spacing w:val="20"/>
          <w:position w:val="6"/>
          <w:sz w:val="21"/>
        </w:rPr>
        <w:t>、</w:t>
      </w:r>
      <w:r>
        <w:rPr>
          <w:i/>
          <w:position w:val="6"/>
          <w:sz w:val="25"/>
        </w:rPr>
        <w:t>E</w:t>
      </w:r>
      <w:r>
        <w:rPr>
          <w:i/>
          <w:spacing w:val="-104"/>
          <w:position w:val="6"/>
          <w:sz w:val="25"/>
        </w:rPr>
        <w:t> </w:t>
      </w:r>
      <w:r>
        <w:rPr>
          <w:spacing w:val="-4"/>
          <w:sz w:val="14"/>
        </w:rPr>
        <w:t>输出热，</w:t>
      </w:r>
      <w:r>
        <w:rPr>
          <w:i/>
          <w:spacing w:val="5"/>
          <w:sz w:val="14"/>
        </w:rPr>
        <w:t>i </w:t>
      </w:r>
      <w:r>
        <w:rPr>
          <w:spacing w:val="6"/>
          <w:position w:val="6"/>
          <w:sz w:val="24"/>
        </w:rPr>
        <w:t>、</w:t>
      </w:r>
      <w:r>
        <w:rPr>
          <w:i/>
          <w:spacing w:val="5"/>
          <w:position w:val="6"/>
          <w:sz w:val="25"/>
        </w:rPr>
        <w:t>R</w:t>
      </w:r>
      <w:r>
        <w:rPr>
          <w:i/>
          <w:spacing w:val="5"/>
          <w:sz w:val="14"/>
        </w:rPr>
        <w:t>CO </w:t>
      </w:r>
      <w:r>
        <w:rPr>
          <w:spacing w:val="-9"/>
          <w:sz w:val="14"/>
        </w:rPr>
        <w:t>2</w:t>
      </w:r>
      <w:r>
        <w:rPr>
          <w:spacing w:val="-17"/>
          <w:sz w:val="14"/>
        </w:rPr>
        <w:t>回收， </w:t>
      </w:r>
      <w:r>
        <w:rPr>
          <w:i/>
          <w:sz w:val="14"/>
        </w:rPr>
        <w:t>i </w:t>
      </w:r>
      <w:r>
        <w:rPr>
          <w:spacing w:val="-21"/>
          <w:position w:val="6"/>
          <w:sz w:val="24"/>
        </w:rPr>
        <w:t>均为 </w:t>
      </w:r>
      <w:r>
        <w:rPr>
          <w:rFonts w:ascii="Times New Roman" w:eastAsia="Times New Roman"/>
          <w:spacing w:val="-14"/>
          <w:position w:val="6"/>
          <w:sz w:val="24"/>
        </w:rPr>
        <w:t>0</w:t>
      </w:r>
      <w:r>
        <w:rPr>
          <w:spacing w:val="-4"/>
          <w:position w:val="6"/>
          <w:sz w:val="24"/>
        </w:rPr>
        <w:t>，则本项目温室气体排放总量计</w:t>
      </w:r>
      <w:r>
        <w:rPr>
          <w:spacing w:val="-4"/>
          <w:sz w:val="24"/>
        </w:rPr>
        <w:t>算如下：</w:t>
      </w:r>
    </w:p>
    <w:p>
      <w:pPr>
        <w:spacing w:after="0" w:line="333" w:lineRule="auto"/>
        <w:jc w:val="left"/>
        <w:rPr>
          <w:sz w:val="24"/>
        </w:rPr>
        <w:sectPr>
          <w:pgSz w:w="11910" w:h="16840"/>
          <w:pgMar w:header="872" w:footer="803" w:top="1320" w:bottom="1000" w:left="1200" w:right="1180"/>
        </w:sectPr>
      </w:pPr>
    </w:p>
    <w:p>
      <w:pPr>
        <w:spacing w:before="33"/>
        <w:ind w:left="731" w:right="0" w:firstLine="0"/>
        <w:jc w:val="left"/>
        <w:rPr>
          <w:i/>
          <w:sz w:val="15"/>
        </w:rPr>
      </w:pPr>
      <w:r>
        <w:rPr/>
        <w:pict>
          <v:shape style="position:absolute;margin-left:135.927734pt;margin-top:15.753218pt;width:3.65pt;height:7.05pt;mso-position-horizontal-relative:page;mso-position-vertical-relative:paragraph;z-index:-317680640" type="#_x0000_t202" filled="false" stroked="false">
            <v:textbox inset="0,0,0,0">
              <w:txbxContent>
                <w:p>
                  <w:pPr>
                    <w:spacing w:line="141" w:lineRule="exact" w:before="0"/>
                    <w:ind w:left="0" w:right="0" w:firstLine="0"/>
                    <w:jc w:val="left"/>
                    <w:rPr>
                      <w:sz w:val="14"/>
                    </w:rPr>
                  </w:pPr>
                  <w:r>
                    <w:rPr>
                      <w:w w:val="104"/>
                      <w:sz w:val="14"/>
                    </w:rPr>
                    <w:t>i</w:t>
                  </w:r>
                </w:p>
              </w:txbxContent>
            </v:textbox>
            <w10:wrap type="none"/>
          </v:shape>
        </w:pict>
      </w:r>
      <w:r>
        <w:rPr>
          <w:i/>
          <w:w w:val="105"/>
          <w:position w:val="6"/>
          <w:sz w:val="25"/>
        </w:rPr>
        <w:t>E </w:t>
      </w:r>
      <w:r>
        <w:rPr>
          <w:rFonts w:ascii="Symbol" w:hAnsi="Symbol" w:eastAsia="Symbol"/>
          <w:w w:val="105"/>
          <w:position w:val="6"/>
          <w:sz w:val="24"/>
        </w:rPr>
        <w:t></w:t>
      </w:r>
      <w:r>
        <w:rPr>
          <w:rFonts w:ascii="Times New Roman" w:hAnsi="Times New Roman" w:eastAsia="Times New Roman"/>
          <w:w w:val="105"/>
          <w:position w:val="6"/>
          <w:sz w:val="24"/>
        </w:rPr>
        <w:t> </w:t>
      </w:r>
      <w:r>
        <w:rPr>
          <w:rFonts w:ascii="Symbol" w:hAnsi="Symbol" w:eastAsia="Symbol"/>
          <w:w w:val="105"/>
          <w:sz w:val="36"/>
        </w:rPr>
        <w:t></w:t>
      </w:r>
      <w:r>
        <w:rPr>
          <w:w w:val="105"/>
          <w:position w:val="6"/>
          <w:sz w:val="24"/>
        </w:rPr>
        <w:t>(</w:t>
      </w:r>
      <w:r>
        <w:rPr>
          <w:i/>
          <w:w w:val="105"/>
          <w:position w:val="6"/>
          <w:sz w:val="25"/>
        </w:rPr>
        <w:t>E</w:t>
      </w:r>
      <w:r>
        <w:rPr>
          <w:w w:val="105"/>
          <w:sz w:val="14"/>
        </w:rPr>
        <w:t>燃烧,</w:t>
      </w:r>
      <w:r>
        <w:rPr>
          <w:i/>
          <w:w w:val="105"/>
          <w:sz w:val="15"/>
        </w:rPr>
        <w:t>i</w:t>
      </w:r>
    </w:p>
    <w:p>
      <w:pPr>
        <w:pStyle w:val="ListParagraph"/>
        <w:numPr>
          <w:ilvl w:val="0"/>
          <w:numId w:val="40"/>
        </w:numPr>
        <w:tabs>
          <w:tab w:pos="310" w:val="left" w:leader="none"/>
        </w:tabs>
        <w:spacing w:line="240" w:lineRule="auto" w:before="85" w:after="0"/>
        <w:ind w:left="309" w:right="0" w:hanging="225"/>
        <w:jc w:val="left"/>
        <w:rPr>
          <w:i/>
          <w:sz w:val="15"/>
        </w:rPr>
      </w:pPr>
      <w:r>
        <w:rPr>
          <w:i/>
          <w:spacing w:val="17"/>
          <w:w w:val="99"/>
          <w:position w:val="6"/>
          <w:sz w:val="25"/>
        </w:rPr>
        <w:br w:type="column"/>
      </w:r>
      <w:r>
        <w:rPr>
          <w:i/>
          <w:spacing w:val="17"/>
          <w:position w:val="6"/>
          <w:sz w:val="25"/>
        </w:rPr>
        <w:t>E</w:t>
      </w:r>
      <w:r>
        <w:rPr>
          <w:spacing w:val="-14"/>
          <w:sz w:val="14"/>
        </w:rPr>
        <w:t>过程,</w:t>
      </w:r>
      <w:r>
        <w:rPr>
          <w:i/>
          <w:spacing w:val="-28"/>
          <w:sz w:val="15"/>
        </w:rPr>
        <w:t>i</w:t>
      </w:r>
    </w:p>
    <w:p>
      <w:pPr>
        <w:pStyle w:val="ListParagraph"/>
        <w:numPr>
          <w:ilvl w:val="0"/>
          <w:numId w:val="40"/>
        </w:numPr>
        <w:tabs>
          <w:tab w:pos="310" w:val="left" w:leader="none"/>
        </w:tabs>
        <w:spacing w:line="240" w:lineRule="auto" w:before="85" w:after="0"/>
        <w:ind w:left="309" w:right="0" w:hanging="226"/>
        <w:jc w:val="left"/>
        <w:rPr>
          <w:i/>
          <w:sz w:val="15"/>
        </w:rPr>
      </w:pPr>
      <w:r>
        <w:rPr>
          <w:i/>
          <w:spacing w:val="18"/>
          <w:w w:val="99"/>
          <w:position w:val="6"/>
          <w:sz w:val="25"/>
        </w:rPr>
        <w:br w:type="column"/>
      </w:r>
      <w:r>
        <w:rPr>
          <w:i/>
          <w:spacing w:val="18"/>
          <w:position w:val="6"/>
          <w:sz w:val="25"/>
        </w:rPr>
        <w:t>E</w:t>
      </w:r>
      <w:r>
        <w:rPr>
          <w:spacing w:val="-12"/>
          <w:sz w:val="14"/>
        </w:rPr>
        <w:t>购入电,</w:t>
      </w:r>
      <w:r>
        <w:rPr>
          <w:i/>
          <w:spacing w:val="-27"/>
          <w:sz w:val="15"/>
        </w:rPr>
        <w:t>i</w:t>
      </w:r>
    </w:p>
    <w:p>
      <w:pPr>
        <w:pStyle w:val="ListParagraph"/>
        <w:numPr>
          <w:ilvl w:val="0"/>
          <w:numId w:val="40"/>
        </w:numPr>
        <w:tabs>
          <w:tab w:pos="310" w:val="left" w:leader="none"/>
        </w:tabs>
        <w:spacing w:line="240" w:lineRule="auto" w:before="85" w:after="0"/>
        <w:ind w:left="309" w:right="0" w:hanging="226"/>
        <w:jc w:val="left"/>
        <w:rPr>
          <w:i/>
          <w:sz w:val="15"/>
        </w:rPr>
      </w:pPr>
      <w:r>
        <w:rPr>
          <w:i/>
          <w:spacing w:val="19"/>
          <w:w w:val="99"/>
          <w:position w:val="6"/>
          <w:sz w:val="25"/>
        </w:rPr>
        <w:br w:type="column"/>
      </w:r>
      <w:r>
        <w:rPr>
          <w:i/>
          <w:spacing w:val="19"/>
          <w:position w:val="6"/>
          <w:sz w:val="25"/>
        </w:rPr>
        <w:t>E</w:t>
      </w:r>
      <w:r>
        <w:rPr>
          <w:spacing w:val="-12"/>
          <w:sz w:val="14"/>
        </w:rPr>
        <w:t>购入热,</w:t>
      </w:r>
      <w:r>
        <w:rPr>
          <w:i/>
          <w:spacing w:val="-27"/>
          <w:sz w:val="15"/>
        </w:rPr>
        <w:t>i</w:t>
      </w:r>
    </w:p>
    <w:p>
      <w:pPr>
        <w:pStyle w:val="ListParagraph"/>
        <w:numPr>
          <w:ilvl w:val="0"/>
          <w:numId w:val="41"/>
        </w:numPr>
        <w:tabs>
          <w:tab w:pos="292" w:val="left" w:leader="none"/>
        </w:tabs>
        <w:spacing w:line="240" w:lineRule="auto" w:before="85" w:after="0"/>
        <w:ind w:left="291" w:right="0" w:hanging="211"/>
        <w:jc w:val="left"/>
        <w:rPr>
          <w:i/>
          <w:sz w:val="15"/>
        </w:rPr>
      </w:pPr>
      <w:r>
        <w:rPr>
          <w:i/>
          <w:spacing w:val="4"/>
          <w:w w:val="99"/>
          <w:position w:val="6"/>
          <w:sz w:val="25"/>
        </w:rPr>
        <w:br w:type="column"/>
      </w:r>
      <w:r>
        <w:rPr>
          <w:i/>
          <w:spacing w:val="2"/>
          <w:position w:val="6"/>
          <w:sz w:val="25"/>
        </w:rPr>
        <w:t>R</w:t>
      </w:r>
      <w:r>
        <w:rPr>
          <w:i/>
          <w:spacing w:val="2"/>
          <w:sz w:val="15"/>
        </w:rPr>
        <w:t>CO</w:t>
      </w:r>
      <w:r>
        <w:rPr>
          <w:i/>
          <w:spacing w:val="-48"/>
          <w:sz w:val="15"/>
        </w:rPr>
        <w:t> </w:t>
      </w:r>
      <w:r>
        <w:rPr>
          <w:spacing w:val="-13"/>
          <w:sz w:val="14"/>
        </w:rPr>
        <w:t>2</w:t>
      </w:r>
      <w:r>
        <w:rPr>
          <w:spacing w:val="-12"/>
          <w:sz w:val="14"/>
        </w:rPr>
        <w:t>回收,</w:t>
      </w:r>
      <w:r>
        <w:rPr>
          <w:i/>
          <w:spacing w:val="-27"/>
          <w:sz w:val="15"/>
        </w:rPr>
        <w:t>i</w:t>
      </w:r>
    </w:p>
    <w:p>
      <w:pPr>
        <w:pStyle w:val="ListParagraph"/>
        <w:numPr>
          <w:ilvl w:val="0"/>
          <w:numId w:val="41"/>
        </w:numPr>
        <w:tabs>
          <w:tab w:pos="292" w:val="left" w:leader="none"/>
        </w:tabs>
        <w:spacing w:line="240" w:lineRule="auto" w:before="85" w:after="0"/>
        <w:ind w:left="291" w:right="0" w:hanging="211"/>
        <w:jc w:val="left"/>
        <w:rPr>
          <w:i/>
          <w:sz w:val="15"/>
        </w:rPr>
      </w:pPr>
      <w:r>
        <w:rPr>
          <w:i/>
          <w:spacing w:val="18"/>
          <w:w w:val="99"/>
          <w:position w:val="6"/>
          <w:sz w:val="25"/>
        </w:rPr>
        <w:br w:type="column"/>
      </w:r>
      <w:r>
        <w:rPr>
          <w:i/>
          <w:spacing w:val="18"/>
          <w:position w:val="6"/>
          <w:sz w:val="25"/>
        </w:rPr>
        <w:t>E</w:t>
      </w:r>
      <w:r>
        <w:rPr>
          <w:spacing w:val="-12"/>
          <w:sz w:val="14"/>
        </w:rPr>
        <w:t>输出电,</w:t>
      </w:r>
      <w:r>
        <w:rPr>
          <w:i/>
          <w:spacing w:val="-27"/>
          <w:sz w:val="15"/>
        </w:rPr>
        <w:t>i</w:t>
      </w:r>
    </w:p>
    <w:p>
      <w:pPr>
        <w:pStyle w:val="ListParagraph"/>
        <w:numPr>
          <w:ilvl w:val="0"/>
          <w:numId w:val="41"/>
        </w:numPr>
        <w:tabs>
          <w:tab w:pos="292" w:val="left" w:leader="none"/>
        </w:tabs>
        <w:spacing w:line="240" w:lineRule="auto" w:before="85" w:after="0"/>
        <w:ind w:left="291" w:right="0" w:hanging="211"/>
        <w:jc w:val="left"/>
        <w:rPr>
          <w:sz w:val="24"/>
        </w:rPr>
      </w:pPr>
      <w:r>
        <w:rPr>
          <w:i/>
          <w:spacing w:val="19"/>
          <w:w w:val="99"/>
          <w:position w:val="6"/>
          <w:sz w:val="25"/>
        </w:rPr>
        <w:br w:type="column"/>
      </w:r>
      <w:r>
        <w:rPr>
          <w:i/>
          <w:spacing w:val="19"/>
          <w:w w:val="105"/>
          <w:position w:val="6"/>
          <w:sz w:val="25"/>
        </w:rPr>
        <w:t>E</w:t>
      </w:r>
      <w:r>
        <w:rPr>
          <w:spacing w:val="-10"/>
          <w:w w:val="105"/>
          <w:sz w:val="14"/>
        </w:rPr>
        <w:t>输出热,</w:t>
      </w:r>
      <w:r>
        <w:rPr>
          <w:i/>
          <w:spacing w:val="-19"/>
          <w:w w:val="105"/>
          <w:sz w:val="15"/>
        </w:rPr>
        <w:t>i</w:t>
      </w:r>
      <w:r>
        <w:rPr>
          <w:i/>
          <w:spacing w:val="-49"/>
          <w:w w:val="105"/>
          <w:sz w:val="15"/>
        </w:rPr>
        <w:t> </w:t>
      </w:r>
      <w:r>
        <w:rPr>
          <w:w w:val="105"/>
          <w:position w:val="6"/>
          <w:sz w:val="24"/>
        </w:rPr>
        <w:t>)</w:t>
      </w:r>
    </w:p>
    <w:p>
      <w:pPr>
        <w:spacing w:after="0" w:line="240" w:lineRule="auto"/>
        <w:jc w:val="left"/>
        <w:rPr>
          <w:sz w:val="24"/>
        </w:rPr>
        <w:sectPr>
          <w:type w:val="continuous"/>
          <w:pgSz w:w="11910" w:h="16840"/>
          <w:pgMar w:top="1420" w:bottom="280" w:left="1200" w:right="1180"/>
          <w:cols w:num="7" w:equalWidth="0">
            <w:col w:w="2200" w:space="40"/>
            <w:col w:w="844" w:space="39"/>
            <w:col w:w="983" w:space="40"/>
            <w:col w:w="983" w:space="40"/>
            <w:col w:w="1045" w:space="40"/>
            <w:col w:w="965" w:space="40"/>
            <w:col w:w="2271"/>
          </w:cols>
        </w:sectPr>
      </w:pPr>
    </w:p>
    <w:p>
      <w:pPr>
        <w:pStyle w:val="BodyText"/>
        <w:spacing w:before="9"/>
        <w:rPr>
          <w:sz w:val="22"/>
        </w:rPr>
      </w:pPr>
    </w:p>
    <w:p>
      <w:pPr>
        <w:pStyle w:val="BodyText"/>
        <w:spacing w:before="74"/>
        <w:ind w:left="698"/>
      </w:pPr>
      <w:r>
        <w:rPr>
          <w:rFonts w:ascii="Times New Roman" w:eastAsia="Times New Roman"/>
        </w:rPr>
        <w:t>=847.2+1882.3=2729.5 </w:t>
      </w:r>
      <w:r>
        <w:rPr/>
        <w:t>吨二氧化碳当量</w:t>
      </w:r>
    </w:p>
    <w:p>
      <w:pPr>
        <w:pStyle w:val="Heading4"/>
        <w:spacing w:before="160"/>
      </w:pPr>
      <w:r>
        <w:rPr>
          <w:rFonts w:ascii="Times New Roman" w:hAnsi="Times New Roman" w:eastAsia="Times New Roman"/>
        </w:rPr>
        <w:t>4</w:t>
      </w:r>
      <w:r>
        <w:rPr/>
        <w:t>、碳排放“ 三本账” 核算表</w:t>
      </w:r>
    </w:p>
    <w:p>
      <w:pPr>
        <w:pStyle w:val="BodyText"/>
        <w:rPr>
          <w:b/>
          <w:sz w:val="26"/>
        </w:rPr>
      </w:pPr>
    </w:p>
    <w:p>
      <w:pPr>
        <w:pStyle w:val="BodyText"/>
        <w:spacing w:before="10"/>
        <w:rPr>
          <w:b/>
          <w:sz w:val="29"/>
        </w:rPr>
      </w:pPr>
    </w:p>
    <w:p>
      <w:pPr>
        <w:tabs>
          <w:tab w:pos="2006" w:val="left" w:leader="none"/>
          <w:tab w:pos="7772" w:val="left" w:leader="none"/>
        </w:tabs>
        <w:spacing w:before="0" w:after="29"/>
        <w:ind w:left="653" w:right="0" w:firstLine="0"/>
        <w:jc w:val="left"/>
        <w:rPr>
          <w:rFonts w:ascii="Times New Roman" w:hAnsi="Times New Roman" w:eastAsia="Times New Roman"/>
          <w:b/>
          <w:sz w:val="24"/>
        </w:rPr>
      </w:pPr>
      <w:r>
        <w:rPr>
          <w:b/>
          <w:sz w:val="24"/>
        </w:rPr>
        <w:t>表</w:t>
      </w:r>
      <w:r>
        <w:rPr>
          <w:b/>
          <w:spacing w:val="-34"/>
          <w:sz w:val="24"/>
        </w:rPr>
        <w:t> </w:t>
      </w:r>
      <w:r>
        <w:rPr>
          <w:rFonts w:ascii="Times New Roman" w:hAnsi="Times New Roman" w:eastAsia="Times New Roman"/>
          <w:b/>
          <w:spacing w:val="7"/>
          <w:sz w:val="24"/>
        </w:rPr>
        <w:t>7.4.3-1</w:t>
        <w:tab/>
      </w:r>
      <w:r>
        <w:rPr>
          <w:b/>
          <w:spacing w:val="21"/>
          <w:sz w:val="24"/>
        </w:rPr>
        <w:t>企业温室气体和二</w:t>
      </w:r>
      <w:r>
        <w:rPr>
          <w:b/>
          <w:spacing w:val="19"/>
          <w:sz w:val="24"/>
        </w:rPr>
        <w:t>氧</w:t>
      </w:r>
      <w:r>
        <w:rPr>
          <w:b/>
          <w:spacing w:val="21"/>
          <w:sz w:val="24"/>
        </w:rPr>
        <w:t>化碳排</w:t>
      </w:r>
      <w:r>
        <w:rPr>
          <w:b/>
          <w:spacing w:val="19"/>
          <w:sz w:val="24"/>
        </w:rPr>
        <w:t>放</w:t>
      </w:r>
      <w:r>
        <w:rPr>
          <w:b/>
          <w:spacing w:val="21"/>
          <w:sz w:val="24"/>
        </w:rPr>
        <w:t>“三本账</w:t>
      </w:r>
      <w:r>
        <w:rPr>
          <w:b/>
          <w:spacing w:val="19"/>
          <w:sz w:val="24"/>
        </w:rPr>
        <w:t>”</w:t>
      </w:r>
      <w:r>
        <w:rPr>
          <w:b/>
          <w:spacing w:val="21"/>
          <w:sz w:val="24"/>
        </w:rPr>
        <w:t>核算</w:t>
      </w:r>
      <w:r>
        <w:rPr>
          <w:b/>
          <w:sz w:val="24"/>
        </w:rPr>
        <w:t>表</w:t>
        <w:tab/>
      </w:r>
      <w:r>
        <w:rPr>
          <w:b/>
          <w:spacing w:val="21"/>
          <w:sz w:val="24"/>
        </w:rPr>
        <w:t>单位</w:t>
      </w:r>
      <w:r>
        <w:rPr>
          <w:b/>
          <w:sz w:val="24"/>
        </w:rPr>
        <w:t>：</w:t>
      </w:r>
      <w:r>
        <w:rPr>
          <w:b/>
          <w:spacing w:val="-99"/>
          <w:sz w:val="24"/>
        </w:rPr>
        <w:t> </w:t>
      </w:r>
      <w:r>
        <w:rPr>
          <w:rFonts w:ascii="Times New Roman" w:hAnsi="Times New Roman" w:eastAsia="Times New Roman"/>
          <w:b/>
          <w:spacing w:val="5"/>
          <w:sz w:val="24"/>
        </w:rPr>
        <w:t>t/a</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8"/>
        <w:gridCol w:w="1549"/>
        <w:gridCol w:w="1548"/>
        <w:gridCol w:w="1546"/>
        <w:gridCol w:w="1548"/>
        <w:gridCol w:w="1549"/>
      </w:tblGrid>
      <w:tr>
        <w:trPr>
          <w:trHeight w:val="282" w:hRule="atLeast"/>
        </w:trPr>
        <w:tc>
          <w:tcPr>
            <w:tcW w:w="1548" w:type="dxa"/>
            <w:vMerge w:val="restart"/>
          </w:tcPr>
          <w:p>
            <w:pPr>
              <w:pStyle w:val="TableParagraph"/>
              <w:spacing w:before="154"/>
              <w:ind w:left="340"/>
              <w:jc w:val="left"/>
              <w:rPr>
                <w:b/>
                <w:sz w:val="21"/>
              </w:rPr>
            </w:pPr>
            <w:r>
              <w:rPr>
                <w:b/>
                <w:sz w:val="21"/>
              </w:rPr>
              <w:t>核算指标</w:t>
            </w:r>
          </w:p>
        </w:tc>
        <w:tc>
          <w:tcPr>
            <w:tcW w:w="3097" w:type="dxa"/>
            <w:gridSpan w:val="2"/>
          </w:tcPr>
          <w:p>
            <w:pPr>
              <w:pStyle w:val="TableParagraph"/>
              <w:spacing w:line="257" w:lineRule="exact" w:before="6"/>
              <w:ind w:left="362"/>
              <w:jc w:val="left"/>
              <w:rPr>
                <w:b/>
                <w:sz w:val="21"/>
              </w:rPr>
            </w:pPr>
            <w:r>
              <w:rPr>
                <w:b/>
                <w:sz w:val="21"/>
              </w:rPr>
              <w:t>企业现有项目（</w:t>
            </w:r>
            <w:r>
              <w:rPr>
                <w:rFonts w:ascii="Times New Roman" w:eastAsia="Times New Roman"/>
                <w:b/>
                <w:sz w:val="21"/>
              </w:rPr>
              <w:t>2021 </w:t>
            </w:r>
            <w:r>
              <w:rPr>
                <w:b/>
                <w:sz w:val="21"/>
              </w:rPr>
              <w:t>年）</w:t>
            </w:r>
          </w:p>
        </w:tc>
        <w:tc>
          <w:tcPr>
            <w:tcW w:w="3094" w:type="dxa"/>
            <w:gridSpan w:val="2"/>
          </w:tcPr>
          <w:p>
            <w:pPr>
              <w:pStyle w:val="TableParagraph"/>
              <w:spacing w:line="257" w:lineRule="exact" w:before="6"/>
              <w:ind w:left="806"/>
              <w:jc w:val="left"/>
              <w:rPr>
                <w:b/>
                <w:sz w:val="21"/>
              </w:rPr>
            </w:pPr>
            <w:r>
              <w:rPr>
                <w:b/>
                <w:sz w:val="21"/>
              </w:rPr>
              <w:t>拟实施建设项目</w:t>
            </w:r>
          </w:p>
        </w:tc>
        <w:tc>
          <w:tcPr>
            <w:tcW w:w="1549" w:type="dxa"/>
            <w:vMerge w:val="restart"/>
          </w:tcPr>
          <w:p>
            <w:pPr>
              <w:pStyle w:val="TableParagraph"/>
              <w:spacing w:line="270" w:lineRule="atLeast" w:before="17"/>
              <w:ind w:left="667" w:right="128" w:hanging="527"/>
              <w:jc w:val="left"/>
              <w:rPr>
                <w:b/>
                <w:sz w:val="21"/>
              </w:rPr>
            </w:pPr>
            <w:r>
              <w:rPr>
                <w:b/>
                <w:sz w:val="21"/>
              </w:rPr>
              <w:t>企业最终排放量</w:t>
            </w:r>
          </w:p>
        </w:tc>
      </w:tr>
      <w:tr>
        <w:trPr>
          <w:trHeight w:val="285" w:hRule="atLeast"/>
        </w:trPr>
        <w:tc>
          <w:tcPr>
            <w:tcW w:w="1548" w:type="dxa"/>
            <w:vMerge/>
            <w:tcBorders>
              <w:top w:val="nil"/>
            </w:tcBorders>
          </w:tcPr>
          <w:p>
            <w:pPr>
              <w:rPr>
                <w:sz w:val="2"/>
                <w:szCs w:val="2"/>
              </w:rPr>
            </w:pPr>
          </w:p>
        </w:tc>
        <w:tc>
          <w:tcPr>
            <w:tcW w:w="1549" w:type="dxa"/>
          </w:tcPr>
          <w:p>
            <w:pPr>
              <w:pStyle w:val="TableParagraph"/>
              <w:spacing w:line="257" w:lineRule="exact" w:before="8"/>
              <w:ind w:right="447"/>
              <w:jc w:val="right"/>
              <w:rPr>
                <w:b/>
                <w:sz w:val="21"/>
              </w:rPr>
            </w:pPr>
            <w:r>
              <w:rPr>
                <w:b/>
                <w:sz w:val="21"/>
              </w:rPr>
              <w:t>产生量</w:t>
            </w:r>
          </w:p>
        </w:tc>
        <w:tc>
          <w:tcPr>
            <w:tcW w:w="1548" w:type="dxa"/>
          </w:tcPr>
          <w:p>
            <w:pPr>
              <w:pStyle w:val="TableParagraph"/>
              <w:spacing w:line="257" w:lineRule="exact" w:before="8"/>
              <w:ind w:left="435" w:right="429"/>
              <w:rPr>
                <w:b/>
                <w:sz w:val="21"/>
              </w:rPr>
            </w:pPr>
            <w:r>
              <w:rPr>
                <w:b/>
                <w:sz w:val="21"/>
              </w:rPr>
              <w:t>排放量</w:t>
            </w:r>
          </w:p>
        </w:tc>
        <w:tc>
          <w:tcPr>
            <w:tcW w:w="1546" w:type="dxa"/>
          </w:tcPr>
          <w:p>
            <w:pPr>
              <w:pStyle w:val="TableParagraph"/>
              <w:spacing w:line="257" w:lineRule="exact" w:before="8"/>
              <w:ind w:left="433" w:right="430"/>
              <w:rPr>
                <w:b/>
                <w:sz w:val="21"/>
              </w:rPr>
            </w:pPr>
            <w:r>
              <w:rPr>
                <w:b/>
                <w:sz w:val="21"/>
              </w:rPr>
              <w:t>产生量</w:t>
            </w:r>
          </w:p>
        </w:tc>
        <w:tc>
          <w:tcPr>
            <w:tcW w:w="1548" w:type="dxa"/>
          </w:tcPr>
          <w:p>
            <w:pPr>
              <w:pStyle w:val="TableParagraph"/>
              <w:spacing w:line="257" w:lineRule="exact" w:before="8"/>
              <w:ind w:left="455"/>
              <w:jc w:val="left"/>
              <w:rPr>
                <w:b/>
                <w:sz w:val="21"/>
              </w:rPr>
            </w:pPr>
            <w:r>
              <w:rPr>
                <w:b/>
                <w:sz w:val="21"/>
              </w:rPr>
              <w:t>排放量</w:t>
            </w:r>
          </w:p>
        </w:tc>
        <w:tc>
          <w:tcPr>
            <w:tcW w:w="1549" w:type="dxa"/>
            <w:vMerge/>
            <w:tcBorders>
              <w:top w:val="nil"/>
            </w:tcBorders>
          </w:tcPr>
          <w:p>
            <w:pPr>
              <w:rPr>
                <w:sz w:val="2"/>
                <w:szCs w:val="2"/>
              </w:rPr>
            </w:pPr>
          </w:p>
        </w:tc>
      </w:tr>
      <w:tr>
        <w:trPr>
          <w:trHeight w:val="285" w:hRule="atLeast"/>
        </w:trPr>
        <w:tc>
          <w:tcPr>
            <w:tcW w:w="1548" w:type="dxa"/>
          </w:tcPr>
          <w:p>
            <w:pPr>
              <w:pStyle w:val="TableParagraph"/>
              <w:spacing w:line="259" w:lineRule="exact" w:before="6"/>
              <w:ind w:left="352"/>
              <w:jc w:val="left"/>
              <w:rPr>
                <w:sz w:val="21"/>
              </w:rPr>
            </w:pPr>
            <w:r>
              <w:rPr>
                <w:sz w:val="21"/>
              </w:rPr>
              <w:t>二氧化碳</w:t>
            </w:r>
          </w:p>
        </w:tc>
        <w:tc>
          <w:tcPr>
            <w:tcW w:w="1549" w:type="dxa"/>
          </w:tcPr>
          <w:p>
            <w:pPr>
              <w:pStyle w:val="TableParagraph"/>
              <w:spacing w:before="22"/>
              <w:ind w:right="498"/>
              <w:jc w:val="right"/>
              <w:rPr>
                <w:rFonts w:ascii="Times New Roman"/>
                <w:sz w:val="21"/>
              </w:rPr>
            </w:pPr>
            <w:r>
              <w:rPr>
                <w:rFonts w:ascii="Times New Roman"/>
                <w:sz w:val="21"/>
              </w:rPr>
              <w:t>26454</w:t>
            </w:r>
          </w:p>
        </w:tc>
        <w:tc>
          <w:tcPr>
            <w:tcW w:w="1548" w:type="dxa"/>
          </w:tcPr>
          <w:p>
            <w:pPr>
              <w:pStyle w:val="TableParagraph"/>
              <w:spacing w:before="22"/>
              <w:ind w:left="435" w:right="424"/>
              <w:rPr>
                <w:rFonts w:ascii="Times New Roman"/>
                <w:sz w:val="21"/>
              </w:rPr>
            </w:pPr>
            <w:r>
              <w:rPr>
                <w:rFonts w:ascii="Times New Roman"/>
                <w:sz w:val="21"/>
              </w:rPr>
              <w:t>26454</w:t>
            </w:r>
          </w:p>
        </w:tc>
        <w:tc>
          <w:tcPr>
            <w:tcW w:w="1546" w:type="dxa"/>
          </w:tcPr>
          <w:p>
            <w:pPr>
              <w:pStyle w:val="TableParagraph"/>
              <w:spacing w:before="22"/>
              <w:ind w:left="433" w:right="425"/>
              <w:rPr>
                <w:rFonts w:ascii="Times New Roman"/>
                <w:sz w:val="21"/>
              </w:rPr>
            </w:pPr>
            <w:r>
              <w:rPr>
                <w:rFonts w:ascii="Times New Roman"/>
                <w:sz w:val="21"/>
              </w:rPr>
              <w:t>2729.5</w:t>
            </w:r>
          </w:p>
        </w:tc>
        <w:tc>
          <w:tcPr>
            <w:tcW w:w="1548" w:type="dxa"/>
          </w:tcPr>
          <w:p>
            <w:pPr>
              <w:pStyle w:val="TableParagraph"/>
              <w:spacing w:before="22"/>
              <w:ind w:left="484"/>
              <w:jc w:val="left"/>
              <w:rPr>
                <w:rFonts w:ascii="Times New Roman"/>
                <w:sz w:val="21"/>
              </w:rPr>
            </w:pPr>
            <w:r>
              <w:rPr>
                <w:rFonts w:ascii="Times New Roman"/>
                <w:sz w:val="21"/>
              </w:rPr>
              <w:t>2729.5</w:t>
            </w:r>
          </w:p>
        </w:tc>
        <w:tc>
          <w:tcPr>
            <w:tcW w:w="1549" w:type="dxa"/>
          </w:tcPr>
          <w:p>
            <w:pPr>
              <w:pStyle w:val="TableParagraph"/>
              <w:spacing w:before="22"/>
              <w:ind w:left="431"/>
              <w:jc w:val="left"/>
              <w:rPr>
                <w:rFonts w:ascii="Times New Roman"/>
                <w:sz w:val="21"/>
              </w:rPr>
            </w:pPr>
            <w:r>
              <w:rPr>
                <w:rFonts w:ascii="Times New Roman"/>
                <w:sz w:val="21"/>
              </w:rPr>
              <w:t>29183.5</w:t>
            </w:r>
          </w:p>
        </w:tc>
      </w:tr>
    </w:tbl>
    <w:p>
      <w:pPr>
        <w:spacing w:before="2"/>
        <w:ind w:left="701" w:right="0" w:firstLine="0"/>
        <w:jc w:val="left"/>
        <w:rPr>
          <w:b/>
          <w:sz w:val="24"/>
        </w:rPr>
      </w:pPr>
      <w:r>
        <w:rPr>
          <w:b/>
          <w:sz w:val="24"/>
        </w:rPr>
        <w:t>（七）碳排放绩效核算表</w:t>
      </w:r>
    </w:p>
    <w:p>
      <w:pPr>
        <w:pStyle w:val="BodyText"/>
        <w:spacing w:before="5"/>
        <w:rPr>
          <w:b/>
          <w:sz w:val="23"/>
        </w:rPr>
      </w:pPr>
    </w:p>
    <w:p>
      <w:pPr>
        <w:tabs>
          <w:tab w:pos="1353" w:val="left" w:leader="none"/>
        </w:tabs>
        <w:spacing w:before="0" w:after="29"/>
        <w:ind w:left="0" w:right="37" w:firstLine="0"/>
        <w:jc w:val="center"/>
        <w:rPr>
          <w:b/>
          <w:sz w:val="24"/>
        </w:rPr>
      </w:pPr>
      <w:r>
        <w:rPr>
          <w:b/>
          <w:sz w:val="24"/>
        </w:rPr>
        <w:t>表</w:t>
      </w:r>
      <w:r>
        <w:rPr>
          <w:b/>
          <w:spacing w:val="-34"/>
          <w:sz w:val="24"/>
        </w:rPr>
        <w:t> </w:t>
      </w:r>
      <w:r>
        <w:rPr>
          <w:rFonts w:ascii="Times New Roman" w:eastAsia="Times New Roman"/>
          <w:b/>
          <w:spacing w:val="7"/>
          <w:sz w:val="24"/>
        </w:rPr>
        <w:t>7.4.3-2</w:t>
        <w:tab/>
      </w:r>
      <w:r>
        <w:rPr>
          <w:b/>
          <w:spacing w:val="21"/>
          <w:sz w:val="24"/>
        </w:rPr>
        <w:t>企业碳排放绩效核</w:t>
      </w:r>
      <w:r>
        <w:rPr>
          <w:b/>
          <w:spacing w:val="19"/>
          <w:sz w:val="24"/>
        </w:rPr>
        <w:t>算</w:t>
      </w:r>
      <w:r>
        <w:rPr>
          <w:b/>
          <w:sz w:val="24"/>
        </w:rPr>
        <w:t>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4"/>
        <w:gridCol w:w="859"/>
        <w:gridCol w:w="838"/>
        <w:gridCol w:w="1010"/>
        <w:gridCol w:w="828"/>
        <w:gridCol w:w="1020"/>
        <w:gridCol w:w="924"/>
        <w:gridCol w:w="924"/>
        <w:gridCol w:w="927"/>
        <w:gridCol w:w="922"/>
      </w:tblGrid>
      <w:tr>
        <w:trPr>
          <w:trHeight w:val="285" w:hRule="atLeast"/>
        </w:trPr>
        <w:tc>
          <w:tcPr>
            <w:tcW w:w="1034" w:type="dxa"/>
            <w:vMerge w:val="restart"/>
          </w:tcPr>
          <w:p>
            <w:pPr>
              <w:pStyle w:val="TableParagraph"/>
              <w:jc w:val="left"/>
              <w:rPr>
                <w:b/>
                <w:sz w:val="18"/>
              </w:rPr>
            </w:pPr>
          </w:p>
          <w:p>
            <w:pPr>
              <w:pStyle w:val="TableParagraph"/>
              <w:spacing w:before="150"/>
              <w:ind w:left="155"/>
              <w:jc w:val="left"/>
              <w:rPr>
                <w:b/>
                <w:sz w:val="18"/>
              </w:rPr>
            </w:pPr>
            <w:r>
              <w:rPr>
                <w:b/>
                <w:sz w:val="18"/>
              </w:rPr>
              <w:t>核算边界</w:t>
            </w:r>
          </w:p>
        </w:tc>
        <w:tc>
          <w:tcPr>
            <w:tcW w:w="859" w:type="dxa"/>
            <w:vMerge w:val="restart"/>
          </w:tcPr>
          <w:p>
            <w:pPr>
              <w:pStyle w:val="TableParagraph"/>
              <w:spacing w:before="9"/>
              <w:jc w:val="left"/>
              <w:rPr>
                <w:b/>
                <w:sz w:val="21"/>
              </w:rPr>
            </w:pPr>
          </w:p>
          <w:p>
            <w:pPr>
              <w:pStyle w:val="TableParagraph"/>
              <w:ind w:left="46" w:right="39"/>
              <w:rPr>
                <w:b/>
                <w:sz w:val="18"/>
              </w:rPr>
            </w:pPr>
            <w:r>
              <w:rPr>
                <w:b/>
                <w:sz w:val="18"/>
              </w:rPr>
              <w:t>碳排放量</w:t>
            </w:r>
          </w:p>
          <w:p>
            <w:pPr>
              <w:pStyle w:val="TableParagraph"/>
              <w:spacing w:before="2"/>
              <w:ind w:left="46" w:right="36"/>
              <w:rPr>
                <w:rFonts w:ascii="Times New Roman"/>
                <w:b/>
                <w:sz w:val="18"/>
              </w:rPr>
            </w:pPr>
            <w:r>
              <w:rPr>
                <w:rFonts w:ascii="Times New Roman"/>
                <w:b/>
                <w:sz w:val="18"/>
              </w:rPr>
              <w:t>(t/a)</w:t>
            </w:r>
          </w:p>
        </w:tc>
        <w:tc>
          <w:tcPr>
            <w:tcW w:w="1848" w:type="dxa"/>
            <w:gridSpan w:val="2"/>
          </w:tcPr>
          <w:p>
            <w:pPr>
              <w:pStyle w:val="TableParagraph"/>
              <w:spacing w:before="26"/>
              <w:ind w:left="473"/>
              <w:jc w:val="left"/>
              <w:rPr>
                <w:b/>
                <w:sz w:val="18"/>
              </w:rPr>
            </w:pPr>
            <w:r>
              <w:rPr>
                <w:b/>
                <w:sz w:val="18"/>
              </w:rPr>
              <w:t>工业增加值</w:t>
            </w:r>
          </w:p>
        </w:tc>
        <w:tc>
          <w:tcPr>
            <w:tcW w:w="1848" w:type="dxa"/>
            <w:gridSpan w:val="2"/>
          </w:tcPr>
          <w:p>
            <w:pPr>
              <w:pStyle w:val="TableParagraph"/>
              <w:spacing w:before="26"/>
              <w:ind w:left="473"/>
              <w:jc w:val="left"/>
              <w:rPr>
                <w:b/>
                <w:sz w:val="18"/>
              </w:rPr>
            </w:pPr>
            <w:r>
              <w:rPr>
                <w:b/>
                <w:sz w:val="18"/>
              </w:rPr>
              <w:t>工业总产值</w:t>
            </w:r>
          </w:p>
        </w:tc>
        <w:tc>
          <w:tcPr>
            <w:tcW w:w="1848" w:type="dxa"/>
            <w:gridSpan w:val="2"/>
          </w:tcPr>
          <w:p>
            <w:pPr>
              <w:pStyle w:val="TableParagraph"/>
              <w:spacing w:before="26"/>
              <w:ind w:left="633" w:right="621"/>
              <w:rPr>
                <w:b/>
                <w:sz w:val="18"/>
              </w:rPr>
            </w:pPr>
            <w:r>
              <w:rPr>
                <w:b/>
                <w:sz w:val="18"/>
              </w:rPr>
              <w:t>产品量</w:t>
            </w:r>
          </w:p>
        </w:tc>
        <w:tc>
          <w:tcPr>
            <w:tcW w:w="1849" w:type="dxa"/>
            <w:gridSpan w:val="2"/>
          </w:tcPr>
          <w:p>
            <w:pPr>
              <w:pStyle w:val="TableParagraph"/>
              <w:spacing w:before="26"/>
              <w:ind w:left="724" w:right="712"/>
              <w:rPr>
                <w:b/>
                <w:sz w:val="18"/>
              </w:rPr>
            </w:pPr>
            <w:r>
              <w:rPr>
                <w:b/>
                <w:sz w:val="18"/>
              </w:rPr>
              <w:t>能耗</w:t>
            </w:r>
          </w:p>
        </w:tc>
      </w:tr>
      <w:tr>
        <w:trPr>
          <w:trHeight w:val="700" w:hRule="atLeast"/>
        </w:trPr>
        <w:tc>
          <w:tcPr>
            <w:tcW w:w="1034" w:type="dxa"/>
            <w:vMerge/>
            <w:tcBorders>
              <w:top w:val="nil"/>
            </w:tcBorders>
          </w:tcPr>
          <w:p>
            <w:pPr>
              <w:rPr>
                <w:sz w:val="2"/>
                <w:szCs w:val="2"/>
              </w:rPr>
            </w:pPr>
          </w:p>
        </w:tc>
        <w:tc>
          <w:tcPr>
            <w:tcW w:w="859" w:type="dxa"/>
            <w:vMerge/>
            <w:tcBorders>
              <w:top w:val="nil"/>
            </w:tcBorders>
          </w:tcPr>
          <w:p>
            <w:pPr>
              <w:rPr>
                <w:sz w:val="2"/>
                <w:szCs w:val="2"/>
              </w:rPr>
            </w:pPr>
          </w:p>
        </w:tc>
        <w:tc>
          <w:tcPr>
            <w:tcW w:w="838" w:type="dxa"/>
          </w:tcPr>
          <w:p>
            <w:pPr>
              <w:pStyle w:val="TableParagraph"/>
              <w:spacing w:line="242" w:lineRule="auto"/>
              <w:ind w:left="57" w:right="45"/>
              <w:rPr>
                <w:b/>
                <w:sz w:val="18"/>
              </w:rPr>
            </w:pPr>
            <w:r>
              <w:rPr>
                <w:b/>
                <w:sz w:val="18"/>
              </w:rPr>
              <w:t>工业增加值</w:t>
            </w:r>
          </w:p>
          <w:p>
            <w:pPr>
              <w:pStyle w:val="TableParagraph"/>
              <w:spacing w:line="215" w:lineRule="exact"/>
              <w:ind w:left="57" w:right="45"/>
              <w:rPr>
                <w:rFonts w:ascii="Times New Roman" w:eastAsia="Times New Roman"/>
                <w:b/>
                <w:sz w:val="18"/>
              </w:rPr>
            </w:pPr>
            <w:r>
              <w:rPr>
                <w:rFonts w:ascii="Times New Roman" w:eastAsia="Times New Roman"/>
                <w:b/>
                <w:sz w:val="18"/>
              </w:rPr>
              <w:t>(</w:t>
            </w:r>
            <w:r>
              <w:rPr>
                <w:b/>
                <w:sz w:val="18"/>
              </w:rPr>
              <w:t>万元</w:t>
            </w:r>
            <w:r>
              <w:rPr>
                <w:rFonts w:ascii="Times New Roman" w:eastAsia="Times New Roman"/>
                <w:b/>
                <w:sz w:val="18"/>
              </w:rPr>
              <w:t>/a)</w:t>
            </w:r>
          </w:p>
        </w:tc>
        <w:tc>
          <w:tcPr>
            <w:tcW w:w="1010" w:type="dxa"/>
          </w:tcPr>
          <w:p>
            <w:pPr>
              <w:pStyle w:val="TableParagraph"/>
              <w:spacing w:line="242" w:lineRule="auto"/>
              <w:ind w:left="53" w:right="42"/>
              <w:rPr>
                <w:b/>
                <w:sz w:val="18"/>
              </w:rPr>
            </w:pPr>
            <w:r>
              <w:rPr>
                <w:b/>
                <w:sz w:val="18"/>
              </w:rPr>
              <w:t>单位工业增加值碳排放</w:t>
            </w:r>
          </w:p>
          <w:p>
            <w:pPr>
              <w:pStyle w:val="TableParagraph"/>
              <w:spacing w:line="215" w:lineRule="exact"/>
              <w:ind w:left="53" w:right="42"/>
              <w:rPr>
                <w:rFonts w:ascii="Times New Roman" w:eastAsia="Times New Roman"/>
                <w:b/>
                <w:sz w:val="18"/>
              </w:rPr>
            </w:pPr>
            <w:r>
              <w:rPr>
                <w:rFonts w:ascii="Times New Roman" w:eastAsia="Times New Roman"/>
                <w:b/>
                <w:sz w:val="18"/>
              </w:rPr>
              <w:t>(t/</w:t>
            </w:r>
            <w:r>
              <w:rPr>
                <w:b/>
                <w:sz w:val="18"/>
              </w:rPr>
              <w:t>万元</w:t>
            </w:r>
            <w:r>
              <w:rPr>
                <w:rFonts w:ascii="Times New Roman" w:eastAsia="Times New Roman"/>
                <w:b/>
                <w:sz w:val="18"/>
              </w:rPr>
              <w:t>)</w:t>
            </w:r>
          </w:p>
        </w:tc>
        <w:tc>
          <w:tcPr>
            <w:tcW w:w="828" w:type="dxa"/>
          </w:tcPr>
          <w:p>
            <w:pPr>
              <w:pStyle w:val="TableParagraph"/>
              <w:spacing w:line="242" w:lineRule="auto"/>
              <w:ind w:left="53" w:right="40"/>
              <w:rPr>
                <w:b/>
                <w:sz w:val="18"/>
              </w:rPr>
            </w:pPr>
            <w:r>
              <w:rPr>
                <w:b/>
                <w:sz w:val="18"/>
              </w:rPr>
              <w:t>工业总产值</w:t>
            </w:r>
          </w:p>
          <w:p>
            <w:pPr>
              <w:pStyle w:val="TableParagraph"/>
              <w:spacing w:line="215" w:lineRule="exact"/>
              <w:ind w:left="53" w:right="39"/>
              <w:rPr>
                <w:rFonts w:ascii="Times New Roman" w:eastAsia="Times New Roman"/>
                <w:b/>
                <w:sz w:val="18"/>
              </w:rPr>
            </w:pPr>
            <w:r>
              <w:rPr>
                <w:rFonts w:ascii="Times New Roman" w:eastAsia="Times New Roman"/>
                <w:b/>
                <w:sz w:val="18"/>
              </w:rPr>
              <w:t>(</w:t>
            </w:r>
            <w:r>
              <w:rPr>
                <w:b/>
                <w:sz w:val="18"/>
              </w:rPr>
              <w:t>万元</w:t>
            </w:r>
            <w:r>
              <w:rPr>
                <w:rFonts w:ascii="Times New Roman" w:eastAsia="Times New Roman"/>
                <w:b/>
                <w:sz w:val="18"/>
              </w:rPr>
              <w:t>/a)</w:t>
            </w:r>
          </w:p>
        </w:tc>
        <w:tc>
          <w:tcPr>
            <w:tcW w:w="1020" w:type="dxa"/>
          </w:tcPr>
          <w:p>
            <w:pPr>
              <w:pStyle w:val="TableParagraph"/>
              <w:spacing w:line="242" w:lineRule="auto"/>
              <w:ind w:left="58" w:right="47"/>
              <w:rPr>
                <w:b/>
                <w:sz w:val="18"/>
              </w:rPr>
            </w:pPr>
            <w:r>
              <w:rPr>
                <w:b/>
                <w:sz w:val="18"/>
              </w:rPr>
              <w:t>单位工业总产值碳排放</w:t>
            </w:r>
          </w:p>
          <w:p>
            <w:pPr>
              <w:pStyle w:val="TableParagraph"/>
              <w:spacing w:line="215" w:lineRule="exact"/>
              <w:ind w:left="58" w:right="46"/>
              <w:rPr>
                <w:rFonts w:ascii="Times New Roman" w:eastAsia="Times New Roman"/>
                <w:b/>
                <w:sz w:val="18"/>
              </w:rPr>
            </w:pPr>
            <w:r>
              <w:rPr>
                <w:rFonts w:ascii="Times New Roman" w:eastAsia="Times New Roman"/>
                <w:b/>
                <w:sz w:val="18"/>
              </w:rPr>
              <w:t>(t/</w:t>
            </w:r>
            <w:r>
              <w:rPr>
                <w:b/>
                <w:sz w:val="18"/>
              </w:rPr>
              <w:t>万元</w:t>
            </w:r>
            <w:r>
              <w:rPr>
                <w:rFonts w:ascii="Times New Roman" w:eastAsia="Times New Roman"/>
                <w:b/>
                <w:sz w:val="18"/>
              </w:rPr>
              <w:t>)</w:t>
            </w:r>
          </w:p>
        </w:tc>
        <w:tc>
          <w:tcPr>
            <w:tcW w:w="924" w:type="dxa"/>
          </w:tcPr>
          <w:p>
            <w:pPr>
              <w:pStyle w:val="TableParagraph"/>
              <w:spacing w:before="129"/>
              <w:ind w:left="81" w:right="69"/>
              <w:rPr>
                <w:b/>
                <w:sz w:val="18"/>
              </w:rPr>
            </w:pPr>
            <w:r>
              <w:rPr>
                <w:b/>
                <w:sz w:val="18"/>
              </w:rPr>
              <w:t>产品产量</w:t>
            </w:r>
          </w:p>
          <w:p>
            <w:pPr>
              <w:pStyle w:val="TableParagraph"/>
              <w:spacing w:before="2"/>
              <w:ind w:left="81" w:right="67"/>
              <w:rPr>
                <w:rFonts w:ascii="Times New Roman"/>
                <w:b/>
                <w:sz w:val="18"/>
              </w:rPr>
            </w:pPr>
            <w:r>
              <w:rPr>
                <w:rFonts w:ascii="Times New Roman"/>
                <w:b/>
                <w:sz w:val="18"/>
              </w:rPr>
              <w:t>(t/a)</w:t>
            </w:r>
          </w:p>
        </w:tc>
        <w:tc>
          <w:tcPr>
            <w:tcW w:w="924" w:type="dxa"/>
          </w:tcPr>
          <w:p>
            <w:pPr>
              <w:pStyle w:val="TableParagraph"/>
              <w:spacing w:line="242" w:lineRule="auto"/>
              <w:ind w:left="190" w:right="87" w:hanging="89"/>
              <w:jc w:val="left"/>
              <w:rPr>
                <w:b/>
                <w:sz w:val="18"/>
              </w:rPr>
            </w:pPr>
            <w:r>
              <w:rPr>
                <w:b/>
                <w:sz w:val="18"/>
              </w:rPr>
              <w:t>单位产品碳排放</w:t>
            </w:r>
          </w:p>
          <w:p>
            <w:pPr>
              <w:pStyle w:val="TableParagraph"/>
              <w:spacing w:line="215" w:lineRule="exact"/>
              <w:ind w:left="114"/>
              <w:jc w:val="left"/>
              <w:rPr>
                <w:rFonts w:ascii="Times New Roman" w:eastAsia="Times New Roman"/>
                <w:b/>
                <w:sz w:val="18"/>
              </w:rPr>
            </w:pPr>
            <w:r>
              <w:rPr>
                <w:rFonts w:ascii="Times New Roman" w:eastAsia="Times New Roman"/>
                <w:b/>
                <w:sz w:val="18"/>
              </w:rPr>
              <w:t>(t/t </w:t>
            </w:r>
            <w:r>
              <w:rPr>
                <w:b/>
                <w:sz w:val="18"/>
              </w:rPr>
              <w:t>产品</w:t>
            </w:r>
            <w:r>
              <w:rPr>
                <w:rFonts w:ascii="Times New Roman" w:eastAsia="Times New Roman"/>
                <w:b/>
                <w:sz w:val="18"/>
              </w:rPr>
              <w:t>)</w:t>
            </w:r>
          </w:p>
        </w:tc>
        <w:tc>
          <w:tcPr>
            <w:tcW w:w="927" w:type="dxa"/>
          </w:tcPr>
          <w:p>
            <w:pPr>
              <w:pStyle w:val="TableParagraph"/>
              <w:spacing w:before="115"/>
              <w:ind w:left="190"/>
              <w:jc w:val="left"/>
              <w:rPr>
                <w:b/>
                <w:sz w:val="18"/>
              </w:rPr>
            </w:pPr>
            <w:r>
              <w:rPr>
                <w:b/>
                <w:sz w:val="18"/>
              </w:rPr>
              <w:t>总能耗</w:t>
            </w:r>
          </w:p>
          <w:p>
            <w:pPr>
              <w:pStyle w:val="TableParagraph"/>
              <w:spacing w:before="4"/>
              <w:ind w:left="99"/>
              <w:jc w:val="left"/>
              <w:rPr>
                <w:rFonts w:ascii="Times New Roman" w:eastAsia="Times New Roman"/>
                <w:b/>
                <w:sz w:val="18"/>
              </w:rPr>
            </w:pPr>
            <w:r>
              <w:rPr>
                <w:rFonts w:ascii="Times New Roman" w:eastAsia="Times New Roman"/>
                <w:b/>
                <w:sz w:val="18"/>
              </w:rPr>
              <w:t>(t </w:t>
            </w:r>
            <w:r>
              <w:rPr>
                <w:b/>
                <w:sz w:val="18"/>
              </w:rPr>
              <w:t>标煤</w:t>
            </w:r>
            <w:r>
              <w:rPr>
                <w:rFonts w:ascii="Times New Roman" w:eastAsia="Times New Roman"/>
                <w:b/>
                <w:sz w:val="18"/>
              </w:rPr>
              <w:t>/a)</w:t>
            </w:r>
          </w:p>
        </w:tc>
        <w:tc>
          <w:tcPr>
            <w:tcW w:w="922" w:type="dxa"/>
          </w:tcPr>
          <w:p>
            <w:pPr>
              <w:pStyle w:val="TableParagraph"/>
              <w:spacing w:line="242" w:lineRule="auto"/>
              <w:ind w:left="188" w:right="88" w:hanging="89"/>
              <w:jc w:val="left"/>
              <w:rPr>
                <w:b/>
                <w:sz w:val="18"/>
              </w:rPr>
            </w:pPr>
            <w:r>
              <w:rPr>
                <w:b/>
                <w:sz w:val="18"/>
              </w:rPr>
              <w:t>单位能耗碳排放</w:t>
            </w:r>
          </w:p>
          <w:p>
            <w:pPr>
              <w:pStyle w:val="TableParagraph"/>
              <w:spacing w:line="215" w:lineRule="exact"/>
              <w:ind w:left="111"/>
              <w:jc w:val="left"/>
              <w:rPr>
                <w:rFonts w:ascii="Times New Roman" w:eastAsia="Times New Roman"/>
                <w:b/>
                <w:sz w:val="18"/>
              </w:rPr>
            </w:pPr>
            <w:r>
              <w:rPr>
                <w:rFonts w:ascii="Times New Roman" w:eastAsia="Times New Roman"/>
                <w:b/>
                <w:sz w:val="18"/>
              </w:rPr>
              <w:t>(t/t </w:t>
            </w:r>
            <w:r>
              <w:rPr>
                <w:b/>
                <w:sz w:val="18"/>
              </w:rPr>
              <w:t>标煤</w:t>
            </w:r>
            <w:r>
              <w:rPr>
                <w:rFonts w:ascii="Times New Roman" w:eastAsia="Times New Roman"/>
                <w:b/>
                <w:sz w:val="18"/>
              </w:rPr>
              <w:t>)</w:t>
            </w:r>
          </w:p>
        </w:tc>
      </w:tr>
      <w:tr>
        <w:trPr>
          <w:trHeight w:val="465" w:hRule="atLeast"/>
        </w:trPr>
        <w:tc>
          <w:tcPr>
            <w:tcW w:w="1034" w:type="dxa"/>
          </w:tcPr>
          <w:p>
            <w:pPr>
              <w:pStyle w:val="TableParagraph"/>
              <w:spacing w:line="230" w:lineRule="exact"/>
              <w:ind w:left="66"/>
              <w:jc w:val="left"/>
              <w:rPr>
                <w:sz w:val="18"/>
              </w:rPr>
            </w:pPr>
            <w:r>
              <w:rPr>
                <w:sz w:val="18"/>
              </w:rPr>
              <w:t>企业现有项</w:t>
            </w:r>
          </w:p>
          <w:p>
            <w:pPr>
              <w:pStyle w:val="TableParagraph"/>
              <w:spacing w:line="213" w:lineRule="exact" w:before="2"/>
              <w:ind w:left="35"/>
              <w:jc w:val="left"/>
              <w:rPr>
                <w:sz w:val="18"/>
              </w:rPr>
            </w:pPr>
            <w:r>
              <w:rPr>
                <w:spacing w:val="-72"/>
                <w:sz w:val="18"/>
              </w:rPr>
              <w:t>目 </w:t>
            </w:r>
            <w:r>
              <w:rPr>
                <w:sz w:val="18"/>
              </w:rPr>
              <w:t>（</w:t>
            </w:r>
            <w:r>
              <w:rPr>
                <w:rFonts w:ascii="Times New Roman" w:eastAsia="Times New Roman"/>
                <w:sz w:val="18"/>
              </w:rPr>
              <w:t>2021</w:t>
            </w:r>
            <w:r>
              <w:rPr>
                <w:rFonts w:ascii="Times New Roman" w:eastAsia="Times New Roman"/>
                <w:spacing w:val="-20"/>
                <w:sz w:val="18"/>
              </w:rPr>
              <w:t> </w:t>
            </w:r>
            <w:r>
              <w:rPr>
                <w:sz w:val="18"/>
              </w:rPr>
              <w:t>年</w:t>
            </w:r>
          </w:p>
        </w:tc>
        <w:tc>
          <w:tcPr>
            <w:tcW w:w="859" w:type="dxa"/>
          </w:tcPr>
          <w:p>
            <w:pPr>
              <w:pStyle w:val="TableParagraph"/>
              <w:spacing w:line="206" w:lineRule="auto" w:before="137"/>
              <w:ind w:left="-125" w:right="190"/>
              <w:jc w:val="right"/>
              <w:rPr>
                <w:rFonts w:ascii="Times New Roman" w:eastAsia="Times New Roman"/>
                <w:sz w:val="18"/>
              </w:rPr>
            </w:pPr>
            <w:r>
              <w:rPr>
                <w:position w:val="-11"/>
                <w:sz w:val="18"/>
              </w:rPr>
              <w:t>）</w:t>
            </w:r>
            <w:r>
              <w:rPr>
                <w:spacing w:val="59"/>
                <w:position w:val="-11"/>
                <w:sz w:val="18"/>
              </w:rPr>
              <w:t> </w:t>
            </w:r>
            <w:r>
              <w:rPr>
                <w:rFonts w:ascii="Times New Roman" w:eastAsia="Times New Roman"/>
                <w:spacing w:val="-3"/>
                <w:sz w:val="18"/>
              </w:rPr>
              <w:t>26454</w:t>
            </w:r>
          </w:p>
        </w:tc>
        <w:tc>
          <w:tcPr>
            <w:tcW w:w="838" w:type="dxa"/>
          </w:tcPr>
          <w:p>
            <w:pPr>
              <w:pStyle w:val="TableParagraph"/>
              <w:spacing w:before="129"/>
              <w:ind w:left="55" w:right="45"/>
              <w:rPr>
                <w:rFonts w:ascii="Times New Roman"/>
                <w:sz w:val="18"/>
              </w:rPr>
            </w:pPr>
            <w:r>
              <w:rPr>
                <w:rFonts w:ascii="Times New Roman"/>
                <w:sz w:val="18"/>
              </w:rPr>
              <w:t>10317.69</w:t>
            </w:r>
          </w:p>
        </w:tc>
        <w:tc>
          <w:tcPr>
            <w:tcW w:w="1010" w:type="dxa"/>
          </w:tcPr>
          <w:p>
            <w:pPr>
              <w:pStyle w:val="TableParagraph"/>
              <w:spacing w:before="129"/>
              <w:ind w:left="391"/>
              <w:jc w:val="left"/>
              <w:rPr>
                <w:rFonts w:ascii="Times New Roman"/>
                <w:sz w:val="18"/>
              </w:rPr>
            </w:pPr>
            <w:r>
              <w:rPr>
                <w:rFonts w:ascii="Times New Roman"/>
                <w:sz w:val="18"/>
              </w:rPr>
              <w:t>2.5</w:t>
            </w:r>
          </w:p>
        </w:tc>
        <w:tc>
          <w:tcPr>
            <w:tcW w:w="828" w:type="dxa"/>
          </w:tcPr>
          <w:p>
            <w:pPr>
              <w:pStyle w:val="TableParagraph"/>
              <w:spacing w:before="129"/>
              <w:ind w:left="52" w:right="40"/>
              <w:rPr>
                <w:rFonts w:ascii="Times New Roman"/>
                <w:sz w:val="18"/>
              </w:rPr>
            </w:pPr>
            <w:r>
              <w:rPr>
                <w:rFonts w:ascii="Times New Roman"/>
                <w:sz w:val="18"/>
              </w:rPr>
              <w:t>33498.81</w:t>
            </w:r>
          </w:p>
        </w:tc>
        <w:tc>
          <w:tcPr>
            <w:tcW w:w="1020" w:type="dxa"/>
          </w:tcPr>
          <w:p>
            <w:pPr>
              <w:pStyle w:val="TableParagraph"/>
              <w:spacing w:before="129"/>
              <w:ind w:left="58" w:right="46"/>
              <w:rPr>
                <w:rFonts w:ascii="Times New Roman"/>
                <w:sz w:val="18"/>
              </w:rPr>
            </w:pPr>
            <w:r>
              <w:rPr>
                <w:rFonts w:ascii="Times New Roman"/>
                <w:sz w:val="18"/>
              </w:rPr>
              <w:t>0.78</w:t>
            </w:r>
          </w:p>
        </w:tc>
        <w:tc>
          <w:tcPr>
            <w:tcW w:w="924" w:type="dxa"/>
          </w:tcPr>
          <w:p>
            <w:pPr>
              <w:pStyle w:val="TableParagraph"/>
              <w:spacing w:before="129"/>
              <w:ind w:left="81" w:right="68"/>
              <w:rPr>
                <w:rFonts w:ascii="Times New Roman"/>
                <w:sz w:val="18"/>
              </w:rPr>
            </w:pPr>
            <w:r>
              <w:rPr>
                <w:rFonts w:ascii="Times New Roman"/>
                <w:sz w:val="18"/>
              </w:rPr>
              <w:t>15704.53</w:t>
            </w:r>
          </w:p>
        </w:tc>
        <w:tc>
          <w:tcPr>
            <w:tcW w:w="924" w:type="dxa"/>
          </w:tcPr>
          <w:p>
            <w:pPr>
              <w:pStyle w:val="TableParagraph"/>
              <w:spacing w:before="129"/>
              <w:ind w:left="81" w:right="68"/>
              <w:rPr>
                <w:rFonts w:ascii="Times New Roman"/>
                <w:sz w:val="18"/>
              </w:rPr>
            </w:pPr>
            <w:r>
              <w:rPr>
                <w:rFonts w:ascii="Times New Roman"/>
                <w:sz w:val="18"/>
              </w:rPr>
              <w:t>1.68</w:t>
            </w:r>
          </w:p>
        </w:tc>
        <w:tc>
          <w:tcPr>
            <w:tcW w:w="927" w:type="dxa"/>
          </w:tcPr>
          <w:p>
            <w:pPr>
              <w:pStyle w:val="TableParagraph"/>
              <w:spacing w:before="129"/>
              <w:ind w:left="61" w:right="51"/>
              <w:rPr>
                <w:rFonts w:ascii="Times New Roman"/>
                <w:sz w:val="18"/>
              </w:rPr>
            </w:pPr>
            <w:r>
              <w:rPr>
                <w:rFonts w:ascii="Times New Roman"/>
                <w:sz w:val="18"/>
              </w:rPr>
              <w:t>9103.162</w:t>
            </w:r>
          </w:p>
        </w:tc>
        <w:tc>
          <w:tcPr>
            <w:tcW w:w="922" w:type="dxa"/>
          </w:tcPr>
          <w:p>
            <w:pPr>
              <w:pStyle w:val="TableParagraph"/>
              <w:spacing w:before="129"/>
              <w:ind w:right="290"/>
              <w:jc w:val="right"/>
              <w:rPr>
                <w:rFonts w:ascii="Times New Roman"/>
                <w:sz w:val="18"/>
              </w:rPr>
            </w:pPr>
            <w:r>
              <w:rPr>
                <w:rFonts w:ascii="Times New Roman"/>
                <w:sz w:val="18"/>
              </w:rPr>
              <w:t>2.90</w:t>
            </w:r>
          </w:p>
        </w:tc>
      </w:tr>
      <w:tr>
        <w:trPr>
          <w:trHeight w:val="467" w:hRule="atLeast"/>
        </w:trPr>
        <w:tc>
          <w:tcPr>
            <w:tcW w:w="1034" w:type="dxa"/>
          </w:tcPr>
          <w:p>
            <w:pPr>
              <w:pStyle w:val="TableParagraph"/>
              <w:ind w:left="47" w:right="37"/>
              <w:rPr>
                <w:sz w:val="18"/>
              </w:rPr>
            </w:pPr>
            <w:r>
              <w:rPr>
                <w:sz w:val="18"/>
              </w:rPr>
              <w:t>拟实施建设</w:t>
            </w:r>
          </w:p>
          <w:p>
            <w:pPr>
              <w:pStyle w:val="TableParagraph"/>
              <w:spacing w:line="213" w:lineRule="exact" w:before="4"/>
              <w:ind w:left="44" w:right="37"/>
              <w:rPr>
                <w:sz w:val="18"/>
              </w:rPr>
            </w:pPr>
            <w:r>
              <w:rPr>
                <w:sz w:val="18"/>
              </w:rPr>
              <w:t>项目</w:t>
            </w:r>
          </w:p>
        </w:tc>
        <w:tc>
          <w:tcPr>
            <w:tcW w:w="859" w:type="dxa"/>
          </w:tcPr>
          <w:p>
            <w:pPr>
              <w:pStyle w:val="TableParagraph"/>
              <w:spacing w:before="131"/>
              <w:ind w:left="-125" w:right="169"/>
              <w:jc w:val="right"/>
              <w:rPr>
                <w:rFonts w:ascii="Times New Roman"/>
                <w:sz w:val="18"/>
              </w:rPr>
            </w:pPr>
            <w:r>
              <w:rPr>
                <w:rFonts w:ascii="Times New Roman"/>
                <w:sz w:val="18"/>
              </w:rPr>
              <w:t>2729.5</w:t>
            </w:r>
          </w:p>
        </w:tc>
        <w:tc>
          <w:tcPr>
            <w:tcW w:w="838" w:type="dxa"/>
          </w:tcPr>
          <w:p>
            <w:pPr>
              <w:pStyle w:val="TableParagraph"/>
              <w:spacing w:before="131"/>
              <w:ind w:left="53" w:right="45"/>
              <w:rPr>
                <w:rFonts w:ascii="Times New Roman"/>
                <w:sz w:val="18"/>
              </w:rPr>
            </w:pPr>
            <w:r>
              <w:rPr>
                <w:rFonts w:ascii="Times New Roman"/>
                <w:sz w:val="18"/>
              </w:rPr>
              <w:t>2271.2</w:t>
            </w:r>
          </w:p>
        </w:tc>
        <w:tc>
          <w:tcPr>
            <w:tcW w:w="1010" w:type="dxa"/>
          </w:tcPr>
          <w:p>
            <w:pPr>
              <w:pStyle w:val="TableParagraph"/>
              <w:spacing w:before="131"/>
              <w:ind w:left="391"/>
              <w:jc w:val="left"/>
              <w:rPr>
                <w:rFonts w:ascii="Times New Roman"/>
                <w:sz w:val="18"/>
              </w:rPr>
            </w:pPr>
            <w:r>
              <w:rPr>
                <w:rFonts w:ascii="Times New Roman"/>
                <w:sz w:val="18"/>
              </w:rPr>
              <w:t>1.2</w:t>
            </w:r>
          </w:p>
        </w:tc>
        <w:tc>
          <w:tcPr>
            <w:tcW w:w="828" w:type="dxa"/>
          </w:tcPr>
          <w:p>
            <w:pPr>
              <w:pStyle w:val="TableParagraph"/>
              <w:spacing w:before="131"/>
              <w:ind w:left="50" w:right="40"/>
              <w:rPr>
                <w:rFonts w:ascii="Times New Roman"/>
                <w:sz w:val="18"/>
              </w:rPr>
            </w:pPr>
            <w:r>
              <w:rPr>
                <w:rFonts w:ascii="Times New Roman"/>
                <w:sz w:val="18"/>
              </w:rPr>
              <w:t>8000</w:t>
            </w:r>
          </w:p>
        </w:tc>
        <w:tc>
          <w:tcPr>
            <w:tcW w:w="1020" w:type="dxa"/>
          </w:tcPr>
          <w:p>
            <w:pPr>
              <w:pStyle w:val="TableParagraph"/>
              <w:spacing w:before="131"/>
              <w:ind w:left="58" w:right="46"/>
              <w:rPr>
                <w:rFonts w:ascii="Times New Roman"/>
                <w:sz w:val="18"/>
              </w:rPr>
            </w:pPr>
            <w:r>
              <w:rPr>
                <w:rFonts w:ascii="Times New Roman"/>
                <w:sz w:val="18"/>
              </w:rPr>
              <w:t>0.34</w:t>
            </w:r>
          </w:p>
        </w:tc>
        <w:tc>
          <w:tcPr>
            <w:tcW w:w="924" w:type="dxa"/>
          </w:tcPr>
          <w:p>
            <w:pPr>
              <w:pStyle w:val="TableParagraph"/>
              <w:spacing w:before="131"/>
              <w:ind w:left="81" w:right="66"/>
              <w:rPr>
                <w:rFonts w:ascii="Times New Roman"/>
                <w:sz w:val="18"/>
              </w:rPr>
            </w:pPr>
            <w:r>
              <w:rPr>
                <w:rFonts w:ascii="Times New Roman"/>
                <w:sz w:val="18"/>
              </w:rPr>
              <w:t>500</w:t>
            </w:r>
          </w:p>
        </w:tc>
        <w:tc>
          <w:tcPr>
            <w:tcW w:w="924" w:type="dxa"/>
          </w:tcPr>
          <w:p>
            <w:pPr>
              <w:pStyle w:val="TableParagraph"/>
              <w:spacing w:before="131"/>
              <w:ind w:left="81" w:right="68"/>
              <w:rPr>
                <w:rFonts w:ascii="Times New Roman"/>
                <w:sz w:val="18"/>
              </w:rPr>
            </w:pPr>
            <w:r>
              <w:rPr>
                <w:rFonts w:ascii="Times New Roman"/>
                <w:sz w:val="18"/>
              </w:rPr>
              <w:t>5.46</w:t>
            </w:r>
          </w:p>
        </w:tc>
        <w:tc>
          <w:tcPr>
            <w:tcW w:w="927" w:type="dxa"/>
          </w:tcPr>
          <w:p>
            <w:pPr>
              <w:pStyle w:val="TableParagraph"/>
              <w:spacing w:before="131"/>
              <w:ind w:left="58" w:right="51"/>
              <w:rPr>
                <w:rFonts w:ascii="Times New Roman"/>
                <w:sz w:val="18"/>
              </w:rPr>
            </w:pPr>
            <w:r>
              <w:rPr>
                <w:rFonts w:ascii="Times New Roman"/>
                <w:sz w:val="18"/>
              </w:rPr>
              <w:t>898.85</w:t>
            </w:r>
          </w:p>
        </w:tc>
        <w:tc>
          <w:tcPr>
            <w:tcW w:w="922" w:type="dxa"/>
          </w:tcPr>
          <w:p>
            <w:pPr>
              <w:pStyle w:val="TableParagraph"/>
              <w:spacing w:before="131"/>
              <w:ind w:right="291"/>
              <w:jc w:val="right"/>
              <w:rPr>
                <w:rFonts w:ascii="Times New Roman"/>
                <w:sz w:val="18"/>
              </w:rPr>
            </w:pPr>
            <w:r>
              <w:rPr>
                <w:rFonts w:ascii="Times New Roman"/>
                <w:sz w:val="18"/>
              </w:rPr>
              <w:t>3.04</w:t>
            </w:r>
          </w:p>
        </w:tc>
      </w:tr>
      <w:tr>
        <w:trPr>
          <w:trHeight w:val="285" w:hRule="atLeast"/>
        </w:trPr>
        <w:tc>
          <w:tcPr>
            <w:tcW w:w="1034" w:type="dxa"/>
          </w:tcPr>
          <w:p>
            <w:pPr>
              <w:pStyle w:val="TableParagraph"/>
              <w:spacing w:before="26"/>
              <w:ind w:left="66"/>
              <w:jc w:val="left"/>
              <w:rPr>
                <w:sz w:val="18"/>
              </w:rPr>
            </w:pPr>
            <w:r>
              <w:rPr>
                <w:sz w:val="18"/>
              </w:rPr>
              <w:t>实施后全厂</w:t>
            </w:r>
          </w:p>
        </w:tc>
        <w:tc>
          <w:tcPr>
            <w:tcW w:w="859" w:type="dxa"/>
          </w:tcPr>
          <w:p>
            <w:pPr>
              <w:pStyle w:val="TableParagraph"/>
              <w:spacing w:before="38"/>
              <w:ind w:left="-125" w:right="123"/>
              <w:jc w:val="right"/>
              <w:rPr>
                <w:rFonts w:ascii="Times New Roman"/>
                <w:sz w:val="18"/>
              </w:rPr>
            </w:pPr>
            <w:r>
              <w:rPr>
                <w:rFonts w:ascii="Times New Roman"/>
                <w:sz w:val="18"/>
              </w:rPr>
              <w:t>29183.5</w:t>
            </w:r>
          </w:p>
        </w:tc>
        <w:tc>
          <w:tcPr>
            <w:tcW w:w="838" w:type="dxa"/>
          </w:tcPr>
          <w:p>
            <w:pPr>
              <w:pStyle w:val="TableParagraph"/>
              <w:spacing w:before="38"/>
              <w:ind w:left="55" w:right="45"/>
              <w:rPr>
                <w:rFonts w:ascii="Times New Roman"/>
                <w:sz w:val="18"/>
              </w:rPr>
            </w:pPr>
            <w:r>
              <w:rPr>
                <w:rFonts w:ascii="Times New Roman"/>
                <w:sz w:val="18"/>
              </w:rPr>
              <w:t>12588.89</w:t>
            </w:r>
          </w:p>
        </w:tc>
        <w:tc>
          <w:tcPr>
            <w:tcW w:w="1010" w:type="dxa"/>
          </w:tcPr>
          <w:p>
            <w:pPr>
              <w:pStyle w:val="TableParagraph"/>
              <w:spacing w:before="38"/>
              <w:ind w:left="391"/>
              <w:jc w:val="left"/>
              <w:rPr>
                <w:rFonts w:ascii="Times New Roman"/>
                <w:sz w:val="18"/>
              </w:rPr>
            </w:pPr>
            <w:r>
              <w:rPr>
                <w:rFonts w:ascii="Times New Roman"/>
                <w:sz w:val="18"/>
              </w:rPr>
              <w:t>2.3</w:t>
            </w:r>
          </w:p>
        </w:tc>
        <w:tc>
          <w:tcPr>
            <w:tcW w:w="828" w:type="dxa"/>
          </w:tcPr>
          <w:p>
            <w:pPr>
              <w:pStyle w:val="TableParagraph"/>
              <w:spacing w:before="38"/>
              <w:ind w:left="52" w:right="40"/>
              <w:rPr>
                <w:rFonts w:ascii="Times New Roman"/>
                <w:sz w:val="18"/>
              </w:rPr>
            </w:pPr>
            <w:r>
              <w:rPr>
                <w:rFonts w:ascii="Times New Roman"/>
                <w:sz w:val="18"/>
              </w:rPr>
              <w:t>41498.81</w:t>
            </w:r>
          </w:p>
        </w:tc>
        <w:tc>
          <w:tcPr>
            <w:tcW w:w="1020" w:type="dxa"/>
          </w:tcPr>
          <w:p>
            <w:pPr>
              <w:pStyle w:val="TableParagraph"/>
              <w:spacing w:before="38"/>
              <w:ind w:left="58" w:right="46"/>
              <w:rPr>
                <w:rFonts w:ascii="Times New Roman"/>
                <w:sz w:val="18"/>
              </w:rPr>
            </w:pPr>
            <w:r>
              <w:rPr>
                <w:rFonts w:ascii="Times New Roman"/>
                <w:sz w:val="18"/>
              </w:rPr>
              <w:t>0.70</w:t>
            </w:r>
          </w:p>
        </w:tc>
        <w:tc>
          <w:tcPr>
            <w:tcW w:w="924" w:type="dxa"/>
          </w:tcPr>
          <w:p>
            <w:pPr>
              <w:pStyle w:val="TableParagraph"/>
              <w:spacing w:before="38"/>
              <w:ind w:left="81" w:right="68"/>
              <w:rPr>
                <w:rFonts w:ascii="Times New Roman"/>
                <w:sz w:val="18"/>
              </w:rPr>
            </w:pPr>
            <w:r>
              <w:rPr>
                <w:rFonts w:ascii="Times New Roman"/>
                <w:sz w:val="18"/>
              </w:rPr>
              <w:t>16204.53</w:t>
            </w:r>
          </w:p>
        </w:tc>
        <w:tc>
          <w:tcPr>
            <w:tcW w:w="924" w:type="dxa"/>
          </w:tcPr>
          <w:p>
            <w:pPr>
              <w:pStyle w:val="TableParagraph"/>
              <w:spacing w:before="38"/>
              <w:ind w:left="81" w:right="69"/>
              <w:rPr>
                <w:rFonts w:ascii="Times New Roman"/>
                <w:sz w:val="18"/>
              </w:rPr>
            </w:pPr>
            <w:r>
              <w:rPr>
                <w:rFonts w:ascii="Times New Roman"/>
                <w:sz w:val="18"/>
              </w:rPr>
              <w:t>1.8</w:t>
            </w:r>
          </w:p>
        </w:tc>
        <w:tc>
          <w:tcPr>
            <w:tcW w:w="927" w:type="dxa"/>
          </w:tcPr>
          <w:p>
            <w:pPr>
              <w:pStyle w:val="TableParagraph"/>
              <w:spacing w:before="38"/>
              <w:ind w:left="61" w:right="51"/>
              <w:rPr>
                <w:rFonts w:ascii="Times New Roman"/>
                <w:sz w:val="18"/>
              </w:rPr>
            </w:pPr>
            <w:r>
              <w:rPr>
                <w:rFonts w:ascii="Times New Roman"/>
                <w:sz w:val="18"/>
              </w:rPr>
              <w:t>10002.012</w:t>
            </w:r>
          </w:p>
        </w:tc>
        <w:tc>
          <w:tcPr>
            <w:tcW w:w="922" w:type="dxa"/>
          </w:tcPr>
          <w:p>
            <w:pPr>
              <w:pStyle w:val="TableParagraph"/>
              <w:spacing w:before="38"/>
              <w:ind w:right="290"/>
              <w:jc w:val="right"/>
              <w:rPr>
                <w:rFonts w:ascii="Times New Roman"/>
                <w:sz w:val="18"/>
              </w:rPr>
            </w:pPr>
            <w:r>
              <w:rPr>
                <w:rFonts w:ascii="Times New Roman"/>
                <w:sz w:val="18"/>
              </w:rPr>
              <w:t>2.92</w:t>
            </w:r>
          </w:p>
        </w:tc>
      </w:tr>
    </w:tbl>
    <w:p>
      <w:pPr>
        <w:pStyle w:val="ListParagraph"/>
        <w:numPr>
          <w:ilvl w:val="2"/>
          <w:numId w:val="39"/>
        </w:numPr>
        <w:tabs>
          <w:tab w:pos="759" w:val="left" w:leader="none"/>
        </w:tabs>
        <w:spacing w:line="362" w:lineRule="auto" w:before="123" w:after="0"/>
        <w:ind w:left="701" w:right="7079" w:hanging="483"/>
        <w:jc w:val="left"/>
        <w:rPr>
          <w:b/>
          <w:sz w:val="24"/>
        </w:rPr>
      </w:pPr>
      <w:r>
        <w:rPr>
          <w:b/>
          <w:spacing w:val="-3"/>
          <w:sz w:val="24"/>
        </w:rPr>
        <w:t>项目碳排放评价</w:t>
      </w:r>
      <w:r>
        <w:rPr>
          <w:b/>
          <w:sz w:val="24"/>
        </w:rPr>
        <w:t>一、横向评价</w:t>
      </w:r>
    </w:p>
    <w:p>
      <w:pPr>
        <w:pStyle w:val="BodyText"/>
        <w:spacing w:before="4"/>
        <w:ind w:left="701"/>
      </w:pPr>
      <w:r>
        <w:rPr/>
        <w:t>根据上述计算，本项目碳排放量涉及的其他指标计算汇总如下。</w:t>
      </w:r>
    </w:p>
    <w:p>
      <w:pPr>
        <w:pStyle w:val="BodyText"/>
        <w:spacing w:before="159"/>
        <w:ind w:left="701"/>
      </w:pPr>
      <w:r>
        <w:rPr>
          <w:rFonts w:ascii="Times New Roman" w:eastAsia="Times New Roman"/>
        </w:rPr>
        <w:t>1</w:t>
      </w:r>
      <w:r>
        <w:rPr/>
        <w:t>、单位工业增加值碳排放</w:t>
      </w:r>
    </w:p>
    <w:p>
      <w:pPr>
        <w:pStyle w:val="BodyText"/>
        <w:spacing w:line="364" w:lineRule="auto" w:before="159"/>
        <w:ind w:left="701" w:right="107"/>
      </w:pPr>
      <w:r>
        <w:rPr>
          <w:position w:val="2"/>
        </w:rPr>
        <w:t>本项目工业增加值 </w:t>
      </w:r>
      <w:r>
        <w:rPr>
          <w:rFonts w:ascii="Times New Roman" w:eastAsia="Times New Roman"/>
          <w:position w:val="2"/>
        </w:rPr>
        <w:t>2271.2 </w:t>
      </w:r>
      <w:r>
        <w:rPr>
          <w:position w:val="2"/>
        </w:rPr>
        <w:t>万元，折合单位工业增加值碳排放为 </w:t>
      </w:r>
      <w:r>
        <w:rPr>
          <w:rFonts w:ascii="Times New Roman" w:eastAsia="Times New Roman"/>
          <w:position w:val="2"/>
        </w:rPr>
        <w:t>1.2 tCO</w:t>
      </w:r>
      <w:r>
        <w:rPr>
          <w:rFonts w:ascii="Times New Roman" w:eastAsia="Times New Roman"/>
          <w:sz w:val="16"/>
        </w:rPr>
        <w:t>2</w:t>
      </w:r>
      <w:r>
        <w:rPr>
          <w:rFonts w:ascii="Times New Roman" w:eastAsia="Times New Roman"/>
          <w:position w:val="2"/>
        </w:rPr>
        <w:t>e/</w:t>
      </w:r>
      <w:r>
        <w:rPr>
          <w:position w:val="2"/>
        </w:rPr>
        <w:t>万元。</w:t>
      </w:r>
      <w:r>
        <w:rPr>
          <w:rFonts w:ascii="Times New Roman" w:eastAsia="Times New Roman"/>
        </w:rPr>
        <w:t>2</w:t>
      </w:r>
      <w:r>
        <w:rPr/>
        <w:t>、单位工业总产值碳排放</w:t>
      </w:r>
    </w:p>
    <w:p>
      <w:pPr>
        <w:pStyle w:val="BodyText"/>
        <w:spacing w:line="364" w:lineRule="auto"/>
        <w:ind w:left="701" w:right="330"/>
      </w:pPr>
      <w:r>
        <w:rPr>
          <w:position w:val="2"/>
        </w:rPr>
        <w:t>本项目工业产值 </w:t>
      </w:r>
      <w:r>
        <w:rPr>
          <w:rFonts w:ascii="Times New Roman" w:eastAsia="Times New Roman"/>
          <w:position w:val="2"/>
        </w:rPr>
        <w:t>8000 </w:t>
      </w:r>
      <w:r>
        <w:rPr>
          <w:position w:val="2"/>
        </w:rPr>
        <w:t>万元，折合单位工业总产值碳排放为 </w:t>
      </w:r>
      <w:r>
        <w:rPr>
          <w:rFonts w:ascii="Times New Roman" w:eastAsia="Times New Roman"/>
          <w:position w:val="2"/>
        </w:rPr>
        <w:t>0.34 tCO</w:t>
      </w:r>
      <w:r>
        <w:rPr>
          <w:rFonts w:ascii="Times New Roman" w:eastAsia="Times New Roman"/>
          <w:sz w:val="16"/>
        </w:rPr>
        <w:t>2</w:t>
      </w:r>
      <w:r>
        <w:rPr>
          <w:rFonts w:ascii="Times New Roman" w:eastAsia="Times New Roman"/>
          <w:position w:val="2"/>
        </w:rPr>
        <w:t>e/</w:t>
      </w:r>
      <w:r>
        <w:rPr>
          <w:position w:val="2"/>
        </w:rPr>
        <w:t>万元。</w:t>
      </w:r>
      <w:r>
        <w:rPr>
          <w:rFonts w:ascii="Times New Roman" w:eastAsia="Times New Roman"/>
        </w:rPr>
        <w:t>3</w:t>
      </w:r>
      <w:r>
        <w:rPr/>
        <w:t>、单位产品碳排放</w:t>
      </w:r>
    </w:p>
    <w:p>
      <w:pPr>
        <w:pStyle w:val="BodyText"/>
        <w:ind w:left="701"/>
      </w:pPr>
      <w:r>
        <w:rPr/>
        <w:t>本项目产品三环唑及三环唑可湿性粉剂为 </w:t>
      </w:r>
      <w:r>
        <w:rPr>
          <w:rFonts w:ascii="Times New Roman" w:eastAsia="Times New Roman"/>
        </w:rPr>
        <w:t>500 </w:t>
      </w:r>
      <w:r>
        <w:rPr/>
        <w:t>吨，折合项目产品的单位产品碳排</w:t>
      </w:r>
    </w:p>
    <w:p>
      <w:pPr>
        <w:pStyle w:val="BodyText"/>
        <w:spacing w:before="157"/>
        <w:ind w:left="218"/>
      </w:pPr>
      <w:r>
        <w:rPr>
          <w:position w:val="2"/>
        </w:rPr>
        <w:t>放为 </w:t>
      </w:r>
      <w:r>
        <w:rPr>
          <w:rFonts w:ascii="Times New Roman" w:eastAsia="Times New Roman"/>
          <w:position w:val="2"/>
        </w:rPr>
        <w:t>5.46 tCO</w:t>
      </w:r>
      <w:r>
        <w:rPr>
          <w:rFonts w:ascii="Times New Roman" w:eastAsia="Times New Roman"/>
          <w:sz w:val="16"/>
        </w:rPr>
        <w:t>2</w:t>
      </w:r>
      <w:r>
        <w:rPr>
          <w:rFonts w:ascii="Times New Roman" w:eastAsia="Times New Roman"/>
          <w:position w:val="2"/>
        </w:rPr>
        <w:t>e/t</w:t>
      </w:r>
      <w:r>
        <w:rPr>
          <w:position w:val="2"/>
        </w:rPr>
        <w:t>。</w:t>
      </w:r>
    </w:p>
    <w:p>
      <w:pPr>
        <w:pStyle w:val="BodyText"/>
        <w:spacing w:before="161"/>
        <w:ind w:left="701"/>
      </w:pPr>
      <w:r>
        <w:rPr>
          <w:rFonts w:ascii="Times New Roman" w:eastAsia="Times New Roman"/>
        </w:rPr>
        <w:t>4</w:t>
      </w:r>
      <w:r>
        <w:rPr/>
        <w:t>、单位能耗碳排放</w:t>
      </w:r>
    </w:p>
    <w:p>
      <w:pPr>
        <w:pStyle w:val="BodyText"/>
        <w:spacing w:line="364" w:lineRule="auto" w:before="157"/>
        <w:ind w:left="218" w:right="244" w:firstLine="484"/>
      </w:pPr>
      <w:r>
        <w:rPr>
          <w:position w:val="2"/>
        </w:rPr>
        <w:t>本项目总能耗为 </w:t>
      </w:r>
      <w:r>
        <w:rPr>
          <w:rFonts w:ascii="Times New Roman" w:eastAsia="Times New Roman"/>
          <w:spacing w:val="2"/>
          <w:position w:val="2"/>
        </w:rPr>
        <w:t>898.8</w:t>
      </w:r>
      <w:r>
        <w:rPr>
          <w:rFonts w:ascii="Times New Roman" w:eastAsia="Times New Roman"/>
          <w:position w:val="2"/>
        </w:rPr>
        <w:t>5 t  </w:t>
      </w:r>
      <w:r>
        <w:rPr>
          <w:spacing w:val="-3"/>
          <w:position w:val="2"/>
        </w:rPr>
        <w:t>标煤</w:t>
      </w:r>
      <w:r>
        <w:rPr>
          <w:spacing w:val="4"/>
          <w:position w:val="2"/>
        </w:rPr>
        <w:t>（等价值</w:t>
      </w:r>
      <w:r>
        <w:rPr>
          <w:spacing w:val="-115"/>
          <w:position w:val="2"/>
        </w:rPr>
        <w:t>）</w:t>
      </w:r>
      <w:r>
        <w:rPr>
          <w:spacing w:val="-5"/>
          <w:position w:val="2"/>
        </w:rPr>
        <w:t>，折合单位能耗碳排放为 </w:t>
      </w:r>
      <w:r>
        <w:rPr>
          <w:rFonts w:ascii="Times New Roman" w:eastAsia="Times New Roman"/>
          <w:position w:val="2"/>
        </w:rPr>
        <w:t>3</w:t>
      </w:r>
      <w:r>
        <w:rPr>
          <w:rFonts w:ascii="Times New Roman" w:eastAsia="Times New Roman"/>
          <w:spacing w:val="2"/>
          <w:position w:val="2"/>
        </w:rPr>
        <w:t>.</w:t>
      </w:r>
      <w:r>
        <w:rPr>
          <w:rFonts w:ascii="Times New Roman" w:eastAsia="Times New Roman"/>
          <w:position w:val="2"/>
        </w:rPr>
        <w:t>04 tC</w:t>
      </w:r>
      <w:r>
        <w:rPr>
          <w:rFonts w:ascii="Times New Roman" w:eastAsia="Times New Roman"/>
          <w:w w:val="99"/>
          <w:position w:val="2"/>
        </w:rPr>
        <w:t>O</w:t>
      </w:r>
      <w:r>
        <w:rPr>
          <w:rFonts w:ascii="Times New Roman" w:eastAsia="Times New Roman"/>
          <w:spacing w:val="1"/>
          <w:w w:val="100"/>
          <w:sz w:val="16"/>
        </w:rPr>
        <w:t>2</w:t>
      </w:r>
      <w:r>
        <w:rPr>
          <w:rFonts w:ascii="Times New Roman" w:eastAsia="Times New Roman"/>
          <w:spacing w:val="-1"/>
          <w:position w:val="2"/>
        </w:rPr>
        <w:t>e</w:t>
      </w:r>
      <w:r>
        <w:rPr>
          <w:rFonts w:ascii="Times New Roman" w:eastAsia="Times New Roman"/>
          <w:position w:val="2"/>
        </w:rPr>
        <w:t>/t </w:t>
      </w:r>
      <w:r>
        <w:rPr>
          <w:position w:val="2"/>
        </w:rPr>
        <w:t>标</w:t>
      </w:r>
      <w:r>
        <w:rPr>
          <w:spacing w:val="12"/>
        </w:rPr>
        <w:t>煤。</w:t>
      </w:r>
    </w:p>
    <w:p>
      <w:pPr>
        <w:spacing w:after="0" w:line="364" w:lineRule="auto"/>
        <w:sectPr>
          <w:type w:val="continuous"/>
          <w:pgSz w:w="11910" w:h="16840"/>
          <w:pgMar w:top="1420" w:bottom="280" w:left="1200" w:right="1180"/>
        </w:sectPr>
      </w:pPr>
    </w:p>
    <w:p>
      <w:pPr>
        <w:pStyle w:val="BodyText"/>
        <w:spacing w:before="84"/>
        <w:ind w:left="698"/>
      </w:pPr>
      <w:r>
        <w:rPr>
          <w:rFonts w:ascii="Times New Roman" w:eastAsia="Times New Roman"/>
        </w:rPr>
        <w:t>5</w:t>
      </w:r>
      <w:r>
        <w:rPr/>
        <w:t>、本项目碳排放量及碳排放强度详见下表。</w:t>
      </w:r>
    </w:p>
    <w:p>
      <w:pPr>
        <w:pStyle w:val="BodyText"/>
        <w:spacing w:before="5"/>
        <w:rPr>
          <w:sz w:val="23"/>
        </w:rPr>
      </w:pPr>
    </w:p>
    <w:p>
      <w:pPr>
        <w:pStyle w:val="Heading4"/>
        <w:tabs>
          <w:tab w:pos="1443" w:val="left" w:leader="none"/>
        </w:tabs>
        <w:spacing w:before="1" w:after="28"/>
        <w:ind w:left="221"/>
        <w:jc w:val="center"/>
      </w:pPr>
      <w:r>
        <w:rPr/>
        <w:t>表</w:t>
      </w:r>
      <w:r>
        <w:rPr>
          <w:spacing w:val="-60"/>
        </w:rPr>
        <w:t> </w:t>
      </w:r>
      <w:r>
        <w:rPr>
          <w:rFonts w:ascii="Times New Roman" w:eastAsia="Times New Roman"/>
        </w:rPr>
        <w:t>7.4.4-1</w:t>
        <w:tab/>
      </w:r>
      <w:r>
        <w:rPr/>
        <w:t>本项目年温室气体排放量及碳排放强度汇总表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35"/>
        <w:gridCol w:w="3737"/>
        <w:gridCol w:w="1815"/>
      </w:tblGrid>
      <w:tr>
        <w:trPr>
          <w:trHeight w:val="285" w:hRule="atLeast"/>
        </w:trPr>
        <w:tc>
          <w:tcPr>
            <w:tcW w:w="7472" w:type="dxa"/>
            <w:gridSpan w:val="2"/>
          </w:tcPr>
          <w:p>
            <w:pPr>
              <w:pStyle w:val="TableParagraph"/>
              <w:spacing w:line="257" w:lineRule="exact" w:before="8"/>
              <w:ind w:left="1194" w:right="1194"/>
              <w:rPr>
                <w:b/>
                <w:sz w:val="21"/>
              </w:rPr>
            </w:pPr>
            <w:r>
              <w:rPr>
                <w:b/>
                <w:sz w:val="21"/>
              </w:rPr>
              <w:t>排放源类型</w:t>
            </w:r>
          </w:p>
        </w:tc>
        <w:tc>
          <w:tcPr>
            <w:tcW w:w="1815" w:type="dxa"/>
          </w:tcPr>
          <w:p>
            <w:pPr>
              <w:pStyle w:val="TableParagraph"/>
              <w:spacing w:line="257" w:lineRule="exact" w:before="8"/>
              <w:ind w:left="143" w:right="145"/>
              <w:rPr>
                <w:b/>
                <w:sz w:val="21"/>
              </w:rPr>
            </w:pPr>
            <w:r>
              <w:rPr>
                <w:b/>
                <w:sz w:val="21"/>
              </w:rPr>
              <w:t>本项目碳排放量</w:t>
            </w:r>
          </w:p>
        </w:tc>
      </w:tr>
      <w:tr>
        <w:trPr>
          <w:trHeight w:val="282" w:hRule="atLeast"/>
        </w:trPr>
        <w:tc>
          <w:tcPr>
            <w:tcW w:w="7472" w:type="dxa"/>
            <w:gridSpan w:val="2"/>
          </w:tcPr>
          <w:p>
            <w:pPr>
              <w:pStyle w:val="TableParagraph"/>
              <w:spacing w:line="258" w:lineRule="exact" w:before="5"/>
              <w:ind w:left="1196" w:right="1194"/>
              <w:rPr>
                <w:rFonts w:ascii="Times New Roman" w:eastAsia="Times New Roman"/>
                <w:sz w:val="21"/>
              </w:rPr>
            </w:pPr>
            <w:r>
              <w:rPr>
                <w:position w:val="2"/>
                <w:sz w:val="21"/>
              </w:rPr>
              <w:t>购入电力产生的 </w:t>
            </w:r>
            <w:r>
              <w:rPr>
                <w:rFonts w:ascii="Times New Roman" w:eastAsia="Times New Roman"/>
                <w:position w:val="2"/>
                <w:sz w:val="21"/>
              </w:rPr>
              <w:t>CO</w:t>
            </w:r>
            <w:r>
              <w:rPr>
                <w:rFonts w:ascii="Times New Roman" w:eastAsia="Times New Roman"/>
                <w:sz w:val="14"/>
              </w:rPr>
              <w:t>2 </w:t>
            </w:r>
            <w:r>
              <w:rPr>
                <w:position w:val="2"/>
                <w:sz w:val="21"/>
              </w:rPr>
              <w:t>排放</w:t>
            </w:r>
            <w:r>
              <w:rPr>
                <w:rFonts w:ascii="Times New Roman" w:eastAsia="Times New Roman"/>
                <w:position w:val="2"/>
                <w:sz w:val="21"/>
              </w:rPr>
              <w:t>/tCO</w:t>
            </w:r>
            <w:r>
              <w:rPr>
                <w:rFonts w:ascii="Times New Roman" w:eastAsia="Times New Roman"/>
                <w:sz w:val="14"/>
              </w:rPr>
              <w:t>2</w:t>
            </w:r>
            <w:r>
              <w:rPr>
                <w:rFonts w:ascii="Times New Roman" w:eastAsia="Times New Roman"/>
                <w:position w:val="2"/>
                <w:sz w:val="21"/>
              </w:rPr>
              <w:t>e</w:t>
            </w:r>
          </w:p>
        </w:tc>
        <w:tc>
          <w:tcPr>
            <w:tcW w:w="1815" w:type="dxa"/>
          </w:tcPr>
          <w:p>
            <w:pPr>
              <w:pStyle w:val="TableParagraph"/>
              <w:spacing w:line="241" w:lineRule="exact" w:before="22"/>
              <w:ind w:left="143" w:right="139"/>
              <w:rPr>
                <w:rFonts w:ascii="Times New Roman"/>
                <w:sz w:val="21"/>
              </w:rPr>
            </w:pPr>
            <w:r>
              <w:rPr>
                <w:rFonts w:ascii="Times New Roman"/>
                <w:sz w:val="21"/>
              </w:rPr>
              <w:t>847.2</w:t>
            </w:r>
          </w:p>
        </w:tc>
      </w:tr>
      <w:tr>
        <w:trPr>
          <w:trHeight w:val="285" w:hRule="atLeast"/>
        </w:trPr>
        <w:tc>
          <w:tcPr>
            <w:tcW w:w="7472" w:type="dxa"/>
            <w:gridSpan w:val="2"/>
          </w:tcPr>
          <w:p>
            <w:pPr>
              <w:pStyle w:val="TableParagraph"/>
              <w:spacing w:line="258" w:lineRule="exact" w:before="7"/>
              <w:ind w:left="1198" w:right="1194"/>
              <w:rPr>
                <w:rFonts w:ascii="Times New Roman" w:eastAsia="Times New Roman"/>
                <w:sz w:val="21"/>
              </w:rPr>
            </w:pPr>
            <w:r>
              <w:rPr>
                <w:position w:val="2"/>
                <w:sz w:val="21"/>
              </w:rPr>
              <w:t>购入热力的 </w:t>
            </w:r>
            <w:r>
              <w:rPr>
                <w:rFonts w:ascii="Times New Roman" w:eastAsia="Times New Roman"/>
                <w:position w:val="2"/>
                <w:sz w:val="21"/>
              </w:rPr>
              <w:t>CO</w:t>
            </w:r>
            <w:r>
              <w:rPr>
                <w:rFonts w:ascii="Times New Roman" w:eastAsia="Times New Roman"/>
                <w:sz w:val="14"/>
              </w:rPr>
              <w:t>2 </w:t>
            </w:r>
            <w:r>
              <w:rPr>
                <w:position w:val="2"/>
                <w:sz w:val="21"/>
              </w:rPr>
              <w:t>排放</w:t>
            </w:r>
            <w:r>
              <w:rPr>
                <w:rFonts w:ascii="Times New Roman" w:eastAsia="Times New Roman"/>
                <w:position w:val="2"/>
                <w:sz w:val="21"/>
              </w:rPr>
              <w:t>/tCO</w:t>
            </w:r>
            <w:r>
              <w:rPr>
                <w:rFonts w:ascii="Times New Roman" w:eastAsia="Times New Roman"/>
                <w:sz w:val="14"/>
              </w:rPr>
              <w:t>2</w:t>
            </w:r>
            <w:r>
              <w:rPr>
                <w:rFonts w:ascii="Times New Roman" w:eastAsia="Times New Roman"/>
                <w:position w:val="2"/>
                <w:sz w:val="21"/>
              </w:rPr>
              <w:t>e</w:t>
            </w:r>
          </w:p>
        </w:tc>
        <w:tc>
          <w:tcPr>
            <w:tcW w:w="1815" w:type="dxa"/>
          </w:tcPr>
          <w:p>
            <w:pPr>
              <w:pStyle w:val="TableParagraph"/>
              <w:spacing w:before="22"/>
              <w:ind w:left="143" w:right="139"/>
              <w:rPr>
                <w:rFonts w:ascii="Times New Roman"/>
                <w:sz w:val="21"/>
              </w:rPr>
            </w:pPr>
            <w:r>
              <w:rPr>
                <w:rFonts w:ascii="Times New Roman"/>
                <w:sz w:val="21"/>
              </w:rPr>
              <w:t>1882.3</w:t>
            </w:r>
          </w:p>
        </w:tc>
      </w:tr>
      <w:tr>
        <w:trPr>
          <w:trHeight w:val="544" w:hRule="atLeast"/>
        </w:trPr>
        <w:tc>
          <w:tcPr>
            <w:tcW w:w="3735" w:type="dxa"/>
          </w:tcPr>
          <w:p>
            <w:pPr>
              <w:pStyle w:val="TableParagraph"/>
              <w:spacing w:before="137"/>
              <w:ind w:left="479"/>
              <w:jc w:val="left"/>
              <w:rPr>
                <w:rFonts w:ascii="Times New Roman" w:eastAsia="Times New Roman"/>
                <w:sz w:val="21"/>
              </w:rPr>
            </w:pPr>
            <w:r>
              <w:rPr>
                <w:position w:val="2"/>
                <w:sz w:val="21"/>
              </w:rPr>
              <w:t>企业温室气体排放总量</w:t>
            </w:r>
            <w:r>
              <w:rPr>
                <w:rFonts w:ascii="Times New Roman" w:eastAsia="Times New Roman"/>
                <w:position w:val="2"/>
                <w:sz w:val="21"/>
              </w:rPr>
              <w:t>/tCO</w:t>
            </w:r>
            <w:r>
              <w:rPr>
                <w:rFonts w:ascii="Times New Roman" w:eastAsia="Times New Roman"/>
                <w:sz w:val="14"/>
              </w:rPr>
              <w:t>2</w:t>
            </w:r>
            <w:r>
              <w:rPr>
                <w:rFonts w:ascii="Times New Roman" w:eastAsia="Times New Roman"/>
                <w:position w:val="2"/>
                <w:sz w:val="21"/>
              </w:rPr>
              <w:t>e</w:t>
            </w:r>
          </w:p>
        </w:tc>
        <w:tc>
          <w:tcPr>
            <w:tcW w:w="3737" w:type="dxa"/>
          </w:tcPr>
          <w:p>
            <w:pPr>
              <w:pStyle w:val="TableParagraph"/>
              <w:spacing w:before="1"/>
              <w:ind w:left="63" w:right="54"/>
              <w:rPr>
                <w:sz w:val="21"/>
              </w:rPr>
            </w:pPr>
            <w:r>
              <w:rPr>
                <w:sz w:val="21"/>
              </w:rPr>
              <w:t>包括购入、输出电力和热力隐含的二氧</w:t>
            </w:r>
          </w:p>
          <w:p>
            <w:pPr>
              <w:pStyle w:val="TableParagraph"/>
              <w:spacing w:line="250" w:lineRule="exact" w:before="4"/>
              <w:ind w:left="60" w:right="54"/>
              <w:rPr>
                <w:sz w:val="21"/>
              </w:rPr>
            </w:pPr>
            <w:r>
              <w:rPr>
                <w:sz w:val="21"/>
              </w:rPr>
              <w:t>化碳排放</w:t>
            </w:r>
          </w:p>
        </w:tc>
        <w:tc>
          <w:tcPr>
            <w:tcW w:w="1815" w:type="dxa"/>
          </w:tcPr>
          <w:p>
            <w:pPr>
              <w:pStyle w:val="TableParagraph"/>
              <w:spacing w:before="151"/>
              <w:ind w:left="143" w:right="139"/>
              <w:rPr>
                <w:rFonts w:ascii="Times New Roman"/>
                <w:sz w:val="21"/>
              </w:rPr>
            </w:pPr>
            <w:r>
              <w:rPr>
                <w:rFonts w:ascii="Times New Roman"/>
                <w:sz w:val="21"/>
              </w:rPr>
              <w:t>2729.5</w:t>
            </w:r>
          </w:p>
        </w:tc>
      </w:tr>
      <w:tr>
        <w:trPr>
          <w:trHeight w:val="282" w:hRule="atLeast"/>
        </w:trPr>
        <w:tc>
          <w:tcPr>
            <w:tcW w:w="7472" w:type="dxa"/>
            <w:gridSpan w:val="2"/>
          </w:tcPr>
          <w:p>
            <w:pPr>
              <w:pStyle w:val="TableParagraph"/>
              <w:spacing w:line="255" w:lineRule="exact" w:before="8"/>
              <w:ind w:left="1199" w:right="1194"/>
              <w:rPr>
                <w:rFonts w:ascii="Times New Roman" w:eastAsia="Times New Roman"/>
                <w:sz w:val="21"/>
              </w:rPr>
            </w:pPr>
            <w:r>
              <w:rPr>
                <w:sz w:val="21"/>
              </w:rPr>
              <w:t>单位生产总值温室气体排放量</w:t>
            </w:r>
            <w:r>
              <w:rPr>
                <w:rFonts w:ascii="Times New Roman" w:eastAsia="Times New Roman"/>
                <w:sz w:val="21"/>
              </w:rPr>
              <w:t>(</w:t>
            </w:r>
            <w:r>
              <w:rPr>
                <w:sz w:val="21"/>
              </w:rPr>
              <w:t>吨二氧化碳当量</w:t>
            </w:r>
            <w:r>
              <w:rPr>
                <w:rFonts w:ascii="Times New Roman" w:eastAsia="Times New Roman"/>
                <w:sz w:val="21"/>
              </w:rPr>
              <w:t>/</w:t>
            </w:r>
            <w:r>
              <w:rPr>
                <w:sz w:val="21"/>
              </w:rPr>
              <w:t>万元</w:t>
            </w:r>
            <w:r>
              <w:rPr>
                <w:rFonts w:ascii="Times New Roman" w:eastAsia="Times New Roman"/>
                <w:sz w:val="21"/>
              </w:rPr>
              <w:t>)</w:t>
            </w:r>
          </w:p>
        </w:tc>
        <w:tc>
          <w:tcPr>
            <w:tcW w:w="1815" w:type="dxa"/>
          </w:tcPr>
          <w:p>
            <w:pPr>
              <w:pStyle w:val="TableParagraph"/>
              <w:spacing w:line="241" w:lineRule="exact" w:before="22"/>
              <w:ind w:left="143" w:right="141"/>
              <w:rPr>
                <w:rFonts w:ascii="Times New Roman"/>
                <w:sz w:val="21"/>
              </w:rPr>
            </w:pPr>
            <w:r>
              <w:rPr>
                <w:rFonts w:ascii="Times New Roman"/>
                <w:sz w:val="21"/>
              </w:rPr>
              <w:t>0.34</w:t>
            </w:r>
          </w:p>
        </w:tc>
      </w:tr>
      <w:tr>
        <w:trPr>
          <w:trHeight w:val="285" w:hRule="atLeast"/>
        </w:trPr>
        <w:tc>
          <w:tcPr>
            <w:tcW w:w="7472" w:type="dxa"/>
            <w:gridSpan w:val="2"/>
          </w:tcPr>
          <w:p>
            <w:pPr>
              <w:pStyle w:val="TableParagraph"/>
              <w:spacing w:line="257" w:lineRule="exact" w:before="8"/>
              <w:ind w:left="1199" w:right="1194"/>
              <w:rPr>
                <w:rFonts w:ascii="Times New Roman" w:eastAsia="Times New Roman"/>
                <w:sz w:val="21"/>
              </w:rPr>
            </w:pPr>
            <w:r>
              <w:rPr>
                <w:sz w:val="21"/>
              </w:rPr>
              <w:t>单位工业增加值温室气体排放量</w:t>
            </w:r>
            <w:r>
              <w:rPr>
                <w:rFonts w:ascii="Times New Roman" w:eastAsia="Times New Roman"/>
                <w:sz w:val="21"/>
              </w:rPr>
              <w:t>(</w:t>
            </w:r>
            <w:r>
              <w:rPr>
                <w:sz w:val="21"/>
              </w:rPr>
              <w:t>吨二氧化碳当量</w:t>
            </w:r>
            <w:r>
              <w:rPr>
                <w:rFonts w:ascii="Times New Roman" w:eastAsia="Times New Roman"/>
                <w:sz w:val="21"/>
              </w:rPr>
              <w:t>/</w:t>
            </w:r>
            <w:r>
              <w:rPr>
                <w:sz w:val="21"/>
              </w:rPr>
              <w:t>万元</w:t>
            </w:r>
            <w:r>
              <w:rPr>
                <w:rFonts w:ascii="Times New Roman" w:eastAsia="Times New Roman"/>
                <w:sz w:val="21"/>
              </w:rPr>
              <w:t>)</w:t>
            </w:r>
          </w:p>
        </w:tc>
        <w:tc>
          <w:tcPr>
            <w:tcW w:w="1815" w:type="dxa"/>
          </w:tcPr>
          <w:p>
            <w:pPr>
              <w:pStyle w:val="TableParagraph"/>
              <w:spacing w:before="22"/>
              <w:ind w:left="143" w:right="138"/>
              <w:rPr>
                <w:rFonts w:ascii="Times New Roman"/>
                <w:sz w:val="21"/>
              </w:rPr>
            </w:pPr>
            <w:r>
              <w:rPr>
                <w:rFonts w:ascii="Times New Roman"/>
                <w:sz w:val="21"/>
              </w:rPr>
              <w:t>1.2</w:t>
            </w:r>
          </w:p>
        </w:tc>
      </w:tr>
      <w:tr>
        <w:trPr>
          <w:trHeight w:val="285" w:hRule="atLeast"/>
        </w:trPr>
        <w:tc>
          <w:tcPr>
            <w:tcW w:w="7472" w:type="dxa"/>
            <w:gridSpan w:val="2"/>
          </w:tcPr>
          <w:p>
            <w:pPr>
              <w:pStyle w:val="TableParagraph"/>
              <w:spacing w:line="257" w:lineRule="exact" w:before="8"/>
              <w:ind w:left="1199" w:right="1194"/>
              <w:rPr>
                <w:rFonts w:ascii="Times New Roman" w:eastAsia="Times New Roman"/>
                <w:sz w:val="21"/>
              </w:rPr>
            </w:pPr>
            <w:r>
              <w:rPr>
                <w:sz w:val="21"/>
              </w:rPr>
              <w:t>单位产品温室气体排放量</w:t>
            </w:r>
            <w:r>
              <w:rPr>
                <w:rFonts w:ascii="Times New Roman" w:eastAsia="Times New Roman"/>
                <w:sz w:val="21"/>
              </w:rPr>
              <w:t>(</w:t>
            </w:r>
            <w:r>
              <w:rPr>
                <w:sz w:val="21"/>
              </w:rPr>
              <w:t>吨二氧化碳当量</w:t>
            </w:r>
            <w:r>
              <w:rPr>
                <w:rFonts w:ascii="Times New Roman" w:eastAsia="Times New Roman"/>
                <w:sz w:val="21"/>
              </w:rPr>
              <w:t>/</w:t>
            </w:r>
            <w:r>
              <w:rPr>
                <w:sz w:val="21"/>
              </w:rPr>
              <w:t>金吨产品</w:t>
            </w:r>
            <w:r>
              <w:rPr>
                <w:rFonts w:ascii="Times New Roman" w:eastAsia="Times New Roman"/>
                <w:sz w:val="21"/>
              </w:rPr>
              <w:t>)</w:t>
            </w:r>
          </w:p>
        </w:tc>
        <w:tc>
          <w:tcPr>
            <w:tcW w:w="1815" w:type="dxa"/>
          </w:tcPr>
          <w:p>
            <w:pPr>
              <w:pStyle w:val="TableParagraph"/>
              <w:spacing w:before="22"/>
              <w:ind w:left="143" w:right="141"/>
              <w:rPr>
                <w:rFonts w:ascii="Times New Roman"/>
                <w:sz w:val="21"/>
              </w:rPr>
            </w:pPr>
            <w:r>
              <w:rPr>
                <w:rFonts w:ascii="Times New Roman"/>
                <w:sz w:val="21"/>
              </w:rPr>
              <w:t>5.46</w:t>
            </w:r>
          </w:p>
        </w:tc>
      </w:tr>
    </w:tbl>
    <w:p>
      <w:pPr>
        <w:pStyle w:val="BodyText"/>
        <w:spacing w:before="1"/>
        <w:ind w:left="698"/>
      </w:pPr>
      <w:r>
        <w:rPr>
          <w:spacing w:val="1"/>
          <w:position w:val="2"/>
        </w:rPr>
        <w:t>由上表可知，本项目单位工业增加值碳排放为 </w:t>
      </w:r>
      <w:r>
        <w:rPr>
          <w:rFonts w:ascii="Times New Roman" w:eastAsia="Times New Roman"/>
          <w:spacing w:val="4"/>
          <w:position w:val="2"/>
        </w:rPr>
        <w:t>1.2</w:t>
      </w:r>
      <w:r>
        <w:rPr>
          <w:rFonts w:ascii="Times New Roman" w:eastAsia="Times New Roman"/>
          <w:spacing w:val="8"/>
          <w:position w:val="2"/>
        </w:rPr>
        <w:t>  </w:t>
      </w:r>
      <w:r>
        <w:rPr>
          <w:rFonts w:ascii="Times New Roman" w:eastAsia="Times New Roman"/>
          <w:spacing w:val="3"/>
          <w:position w:val="2"/>
        </w:rPr>
        <w:t>tCO</w:t>
      </w:r>
      <w:r>
        <w:rPr>
          <w:rFonts w:ascii="Times New Roman" w:eastAsia="Times New Roman"/>
          <w:spacing w:val="3"/>
          <w:sz w:val="16"/>
        </w:rPr>
        <w:t>2</w:t>
      </w:r>
      <w:r>
        <w:rPr>
          <w:rFonts w:ascii="Times New Roman" w:eastAsia="Times New Roman"/>
          <w:spacing w:val="3"/>
          <w:position w:val="2"/>
        </w:rPr>
        <w:t>e/</w:t>
      </w:r>
      <w:r>
        <w:rPr>
          <w:position w:val="2"/>
        </w:rPr>
        <w:t>万元，低于化工行业工</w:t>
      </w:r>
    </w:p>
    <w:p>
      <w:pPr>
        <w:pStyle w:val="BodyText"/>
        <w:spacing w:before="158"/>
        <w:ind w:left="218"/>
      </w:pPr>
      <w:r>
        <w:rPr>
          <w:spacing w:val="-3"/>
          <w:position w:val="2"/>
        </w:rPr>
        <w:t>业增加值碳排放参考值 </w:t>
      </w:r>
      <w:r>
        <w:rPr>
          <w:rFonts w:ascii="Times New Roman" w:eastAsia="Times New Roman"/>
          <w:position w:val="2"/>
        </w:rPr>
        <w:t>3.44</w:t>
      </w:r>
      <w:r>
        <w:rPr>
          <w:rFonts w:ascii="Times New Roman" w:eastAsia="Times New Roman"/>
          <w:spacing w:val="3"/>
          <w:position w:val="2"/>
        </w:rPr>
        <w:t>  tCO</w:t>
      </w:r>
      <w:r>
        <w:rPr>
          <w:rFonts w:ascii="Times New Roman" w:eastAsia="Times New Roman"/>
          <w:spacing w:val="3"/>
          <w:sz w:val="16"/>
        </w:rPr>
        <w:t>2</w:t>
      </w:r>
      <w:r>
        <w:rPr>
          <w:rFonts w:ascii="Times New Roman" w:eastAsia="Times New Roman"/>
          <w:spacing w:val="3"/>
          <w:position w:val="2"/>
        </w:rPr>
        <w:t>e/</w:t>
      </w:r>
      <w:r>
        <w:rPr>
          <w:spacing w:val="12"/>
          <w:position w:val="2"/>
        </w:rPr>
        <w:t>万元（</w:t>
      </w:r>
      <w:r>
        <w:rPr>
          <w:position w:val="2"/>
        </w:rPr>
        <w:t>来源《浙江省建设项目碳排放评价编制指南</w:t>
      </w:r>
    </w:p>
    <w:p>
      <w:pPr>
        <w:pStyle w:val="BodyText"/>
        <w:spacing w:before="162"/>
        <w:ind w:left="218"/>
      </w:pPr>
      <w:r>
        <w:rPr/>
        <w:t>（试行</w:t>
      </w:r>
      <w:r>
        <w:rPr>
          <w:spacing w:val="-113"/>
        </w:rPr>
        <w:t>）</w:t>
      </w:r>
      <w:r>
        <w:rPr>
          <w:spacing w:val="11"/>
        </w:rPr>
        <w:t>》附录六</w:t>
      </w:r>
      <w:r>
        <w:rPr>
          <w:spacing w:val="15"/>
        </w:rPr>
        <w:t>）</w:t>
      </w:r>
      <w:r>
        <w:rPr/>
        <w:t>。</w:t>
      </w:r>
    </w:p>
    <w:p>
      <w:pPr>
        <w:pStyle w:val="BodyText"/>
        <w:spacing w:line="364" w:lineRule="auto" w:before="158"/>
        <w:ind w:left="701" w:right="2104" w:hanging="3"/>
        <w:rPr>
          <w:b/>
        </w:rPr>
      </w:pPr>
      <w:r>
        <w:rPr/>
        <w:t>本项目评价指标无法获取相关绩效基准（标准），暂时不评价。</w:t>
      </w:r>
      <w:r>
        <w:rPr>
          <w:b/>
        </w:rPr>
        <w:t>二、纵向评价</w:t>
      </w:r>
    </w:p>
    <w:p>
      <w:pPr>
        <w:pStyle w:val="BodyText"/>
        <w:spacing w:line="364" w:lineRule="auto"/>
        <w:ind w:left="218" w:right="184" w:firstLine="480"/>
      </w:pPr>
      <w:r>
        <w:rPr/>
        <w:t>根据碳排放绩效核算可知，本项目单位工业增加值碳排放强度低于企业现有项目， 项目实施后，全厂的单位工业增加值碳排放得到下降，对碳减排工作具有正效应。</w:t>
      </w:r>
    </w:p>
    <w:p>
      <w:pPr>
        <w:pStyle w:val="BodyText"/>
        <w:spacing w:line="364" w:lineRule="auto"/>
        <w:ind w:left="218" w:right="235" w:firstLine="480"/>
        <w:jc w:val="both"/>
      </w:pPr>
      <w:r>
        <w:rPr/>
        <w:t>由于目前未公布绍兴市</w:t>
      </w:r>
      <w:r>
        <w:rPr>
          <w:rFonts w:ascii="Times New Roman" w:hAnsi="Times New Roman" w:eastAsia="Times New Roman"/>
        </w:rPr>
        <w:t>“</w:t>
      </w:r>
      <w:r>
        <w:rPr/>
        <w:t>十四五</w:t>
      </w:r>
      <w:r>
        <w:rPr>
          <w:rFonts w:ascii="Times New Roman" w:hAnsi="Times New Roman" w:eastAsia="Times New Roman"/>
        </w:rPr>
        <w:t>”</w:t>
      </w:r>
      <w:r>
        <w:rPr>
          <w:spacing w:val="-3"/>
        </w:rPr>
        <w:t>末考核年碳排放强度数据，此根据《浙江省建设项</w:t>
      </w:r>
      <w:r>
        <w:rPr/>
        <w:t>目碳排放评价编制指南（试行）</w:t>
      </w:r>
      <w:r>
        <w:rPr>
          <w:spacing w:val="-7"/>
        </w:rPr>
        <w:t>》规定，暂不核算 </w:t>
      </w:r>
      <w:r>
        <w:rPr>
          <w:rFonts w:ascii="Times New Roman" w:hAnsi="Times New Roman" w:eastAsia="Times New Roman"/>
        </w:rPr>
        <w:t>α</w:t>
      </w:r>
      <w:r>
        <w:rPr/>
        <w:t>（</w:t>
      </w:r>
      <w:r>
        <w:rPr>
          <w:spacing w:val="-2"/>
        </w:rPr>
        <w:t>项目增加值排放对设区市碳排放</w:t>
      </w:r>
      <w:r>
        <w:rPr/>
        <w:t>强度影响比例）</w:t>
      </w:r>
      <w:r>
        <w:rPr>
          <w:spacing w:val="-31"/>
        </w:rPr>
        <w:t>和 </w:t>
      </w:r>
      <w:r>
        <w:rPr>
          <w:rFonts w:ascii="Times New Roman" w:hAnsi="Times New Roman" w:eastAsia="Times New Roman"/>
        </w:rPr>
        <w:t>β </w:t>
      </w:r>
      <w:r>
        <w:rPr/>
        <w:t>值（项目碳排放量占区域达峰年年度碳排放总量比例）。</w:t>
      </w:r>
    </w:p>
    <w:p>
      <w:pPr>
        <w:pStyle w:val="Heading4"/>
        <w:numPr>
          <w:ilvl w:val="2"/>
          <w:numId w:val="39"/>
        </w:numPr>
        <w:tabs>
          <w:tab w:pos="759" w:val="left" w:leader="none"/>
        </w:tabs>
        <w:spacing w:line="240" w:lineRule="auto" w:before="0" w:after="0"/>
        <w:ind w:left="758" w:right="0" w:hanging="541"/>
        <w:jc w:val="both"/>
      </w:pPr>
      <w:r>
        <w:rPr/>
        <w:t>碳排放控制措施与监测计划</w:t>
      </w:r>
    </w:p>
    <w:p>
      <w:pPr>
        <w:spacing w:before="156"/>
        <w:ind w:left="701" w:right="0" w:firstLine="0"/>
        <w:jc w:val="left"/>
        <w:rPr>
          <w:b/>
          <w:sz w:val="24"/>
        </w:rPr>
      </w:pPr>
      <w:r>
        <w:rPr>
          <w:rFonts w:ascii="Times New Roman" w:eastAsia="Times New Roman"/>
          <w:b/>
          <w:sz w:val="24"/>
        </w:rPr>
        <w:t>1</w:t>
      </w:r>
      <w:r>
        <w:rPr>
          <w:b/>
          <w:sz w:val="24"/>
        </w:rPr>
        <w:t>、碳排放控制措施</w:t>
      </w:r>
    </w:p>
    <w:p>
      <w:pPr>
        <w:pStyle w:val="ListParagraph"/>
        <w:numPr>
          <w:ilvl w:val="3"/>
          <w:numId w:val="39"/>
        </w:numPr>
        <w:tabs>
          <w:tab w:pos="1306" w:val="left" w:leader="none"/>
        </w:tabs>
        <w:spacing w:line="364" w:lineRule="auto" w:before="160" w:after="0"/>
        <w:ind w:left="218" w:right="118" w:firstLine="480"/>
        <w:jc w:val="left"/>
        <w:rPr>
          <w:sz w:val="24"/>
        </w:rPr>
      </w:pPr>
      <w:r>
        <w:rPr>
          <w:sz w:val="24"/>
        </w:rPr>
        <w:t>在工艺上，合理调整工艺路线，使得物流通畅、运输便捷，降低能源消耗， </w:t>
      </w:r>
      <w:r>
        <w:rPr>
          <w:spacing w:val="-5"/>
          <w:sz w:val="24"/>
        </w:rPr>
        <w:t>以达到节能目的；在满足生产的情况下，设备仪表本着高效、先进和适用的原则，采用</w:t>
      </w:r>
      <w:r>
        <w:rPr>
          <w:spacing w:val="-9"/>
          <w:sz w:val="24"/>
        </w:rPr>
        <w:t>国家推荐的节能型产品，杜绝高能耗产品；变配电设备选用节能型电器，选择合理的补</w:t>
      </w:r>
      <w:r>
        <w:rPr>
          <w:spacing w:val="-17"/>
          <w:sz w:val="24"/>
        </w:rPr>
        <w:t>偿和最优供电方案，力求降低电能损耗；在平面布置上，动力设备要尽量靠近负荷中心， </w:t>
      </w:r>
      <w:r>
        <w:rPr>
          <w:spacing w:val="-5"/>
          <w:sz w:val="24"/>
        </w:rPr>
        <w:t>以降低能耗，节约能源；总图布置上力求紧凑，原料仓库靠近生产车间，按物料流向布</w:t>
      </w:r>
      <w:r>
        <w:rPr>
          <w:spacing w:val="-13"/>
          <w:sz w:val="24"/>
        </w:rPr>
        <w:t>置，缩短原料及成品的输送距离，尽量避免原材料和产成品的二次倒运</w:t>
      </w:r>
      <w:r>
        <w:rPr>
          <w:rFonts w:ascii="Times New Roman" w:eastAsia="Times New Roman"/>
          <w:sz w:val="24"/>
        </w:rPr>
        <w:t>;</w:t>
      </w:r>
      <w:r>
        <w:rPr>
          <w:sz w:val="24"/>
        </w:rPr>
        <w:t>管理部门要加强</w:t>
      </w:r>
      <w:r>
        <w:rPr>
          <w:spacing w:val="-6"/>
          <w:sz w:val="24"/>
        </w:rPr>
        <w:t>能源管理工作，对使用水、电、汽等能源的部门，完善检测计量装置，严格考核和监督制度，努力降低能源消耗。</w:t>
      </w:r>
    </w:p>
    <w:p>
      <w:pPr>
        <w:pStyle w:val="ListParagraph"/>
        <w:numPr>
          <w:ilvl w:val="3"/>
          <w:numId w:val="39"/>
        </w:numPr>
        <w:tabs>
          <w:tab w:pos="1300" w:val="left" w:leader="none"/>
        </w:tabs>
        <w:spacing w:line="364" w:lineRule="auto" w:before="0" w:after="0"/>
        <w:ind w:left="218" w:right="124" w:firstLine="480"/>
        <w:jc w:val="left"/>
        <w:rPr>
          <w:sz w:val="24"/>
        </w:rPr>
      </w:pPr>
      <w:r>
        <w:rPr>
          <w:spacing w:val="-5"/>
          <w:sz w:val="24"/>
        </w:rPr>
        <w:t>风机和水泵类设备均采用了与 </w:t>
      </w:r>
      <w:r>
        <w:rPr>
          <w:rFonts w:ascii="Times New Roman" w:eastAsia="Times New Roman"/>
          <w:sz w:val="24"/>
        </w:rPr>
        <w:t>PLC(</w:t>
      </w:r>
      <w:r>
        <w:rPr>
          <w:sz w:val="24"/>
        </w:rPr>
        <w:t>可编程序控制器</w:t>
      </w:r>
      <w:r>
        <w:rPr>
          <w:rFonts w:ascii="Times New Roman" w:eastAsia="Times New Roman"/>
          <w:sz w:val="24"/>
        </w:rPr>
        <w:t>)</w:t>
      </w:r>
      <w:r>
        <w:rPr>
          <w:spacing w:val="-2"/>
          <w:sz w:val="24"/>
        </w:rPr>
        <w:t>相结合的变频调速技术。</w:t>
      </w:r>
      <w:r>
        <w:rPr>
          <w:spacing w:val="-1"/>
          <w:sz w:val="24"/>
        </w:rPr>
        <w:t>采用具有自关断能力的器件，如 </w:t>
      </w:r>
      <w:r>
        <w:rPr>
          <w:rFonts w:ascii="Times New Roman" w:eastAsia="Times New Roman"/>
          <w:sz w:val="24"/>
        </w:rPr>
        <w:t>MOSFET(</w:t>
      </w:r>
      <w:r>
        <w:rPr>
          <w:sz w:val="24"/>
        </w:rPr>
        <w:t>功率场效应晶体管</w:t>
      </w:r>
      <w:r>
        <w:rPr>
          <w:rFonts w:ascii="Times New Roman" w:eastAsia="Times New Roman"/>
          <w:sz w:val="24"/>
        </w:rPr>
        <w:t>)</w:t>
      </w:r>
      <w:r>
        <w:rPr>
          <w:sz w:val="24"/>
        </w:rPr>
        <w:t>、</w:t>
      </w:r>
      <w:r>
        <w:rPr>
          <w:rFonts w:ascii="Times New Roman" w:eastAsia="Times New Roman"/>
          <w:sz w:val="24"/>
        </w:rPr>
        <w:t>GTR(</w:t>
      </w:r>
      <w:r>
        <w:rPr>
          <w:sz w:val="24"/>
        </w:rPr>
        <w:t>大功率晶体管</w:t>
      </w:r>
      <w:r>
        <w:rPr>
          <w:rFonts w:ascii="Times New Roman" w:eastAsia="Times New Roman"/>
          <w:sz w:val="24"/>
        </w:rPr>
        <w:t>)</w:t>
      </w:r>
      <w:r>
        <w:rPr>
          <w:sz w:val="24"/>
        </w:rPr>
        <w:t>或</w:t>
      </w:r>
      <w:r>
        <w:rPr>
          <w:rFonts w:ascii="Times New Roman" w:eastAsia="Times New Roman"/>
          <w:sz w:val="24"/>
        </w:rPr>
        <w:t>IGBT(</w:t>
      </w:r>
      <w:r>
        <w:rPr>
          <w:sz w:val="24"/>
        </w:rPr>
        <w:t>绝缘栅晶体管</w:t>
      </w:r>
      <w:r>
        <w:rPr>
          <w:rFonts w:ascii="Times New Roman" w:eastAsia="Times New Roman"/>
          <w:sz w:val="24"/>
        </w:rPr>
        <w:t>)</w:t>
      </w:r>
      <w:r>
        <w:rPr>
          <w:spacing w:val="-5"/>
          <w:sz w:val="24"/>
        </w:rPr>
        <w:t>等变频调速器，对晶体管有规律的通、断控制，实现对输出电压和</w:t>
      </w:r>
    </w:p>
    <w:p>
      <w:pPr>
        <w:spacing w:after="0" w:line="364" w:lineRule="auto"/>
        <w:jc w:val="left"/>
        <w:rPr>
          <w:sz w:val="24"/>
        </w:rPr>
        <w:sectPr>
          <w:pgSz w:w="11910" w:h="16840"/>
          <w:pgMar w:header="872" w:footer="803" w:top="1320" w:bottom="1000" w:left="1200" w:right="1180"/>
        </w:sectPr>
      </w:pPr>
    </w:p>
    <w:p>
      <w:pPr>
        <w:pStyle w:val="BodyText"/>
        <w:spacing w:line="364" w:lineRule="auto" w:before="84"/>
        <w:ind w:left="218" w:right="234"/>
        <w:jc w:val="both"/>
      </w:pPr>
      <w:r>
        <w:rPr>
          <w:spacing w:val="-6"/>
        </w:rPr>
        <w:t>输出频率的控制，使异步电动机的调速性能得到极大的改善，具有调速范围宽、低速性</w:t>
      </w:r>
      <w:r>
        <w:rPr>
          <w:spacing w:val="2"/>
        </w:rPr>
        <w:t>能好、效率高等特点。当今流行的 </w:t>
      </w:r>
      <w:r>
        <w:rPr>
          <w:rFonts w:ascii="Times New Roman" w:eastAsia="Times New Roman"/>
        </w:rPr>
        <w:t>PWM(</w:t>
      </w:r>
      <w:r>
        <w:rPr/>
        <w:t>脉冲宽度调制</w:t>
      </w:r>
      <w:r>
        <w:rPr>
          <w:rFonts w:ascii="Times New Roman" w:eastAsia="Times New Roman"/>
        </w:rPr>
        <w:t>)</w:t>
      </w:r>
      <w:r>
        <w:rPr>
          <w:spacing w:val="-1"/>
        </w:rPr>
        <w:t>调速装置使逆变器的输入功率</w:t>
      </w:r>
      <w:r>
        <w:rPr>
          <w:spacing w:val="-7"/>
        </w:rPr>
        <w:t>因数高、输出波形好，在一般负载下，可节电 </w:t>
      </w:r>
      <w:r>
        <w:rPr>
          <w:rFonts w:ascii="Times New Roman" w:eastAsia="Times New Roman"/>
        </w:rPr>
        <w:t>5%~10%</w:t>
      </w:r>
      <w:r>
        <w:rPr>
          <w:spacing w:val="-4"/>
        </w:rPr>
        <w:t>；对风机、泵类负载，节电效果</w:t>
      </w:r>
      <w:r>
        <w:rPr>
          <w:spacing w:val="-21"/>
        </w:rPr>
        <w:t>可达 </w:t>
      </w:r>
      <w:r>
        <w:rPr>
          <w:rFonts w:ascii="Times New Roman" w:eastAsia="Times New Roman"/>
        </w:rPr>
        <w:t>20%~60%</w:t>
      </w:r>
      <w:r>
        <w:rPr>
          <w:spacing w:val="-4"/>
        </w:rPr>
        <w:t>；在空载运行方式下可节约有功 </w:t>
      </w:r>
      <w:r>
        <w:rPr>
          <w:rFonts w:ascii="Times New Roman" w:eastAsia="Times New Roman"/>
        </w:rPr>
        <w:t>70%</w:t>
      </w:r>
      <w:r>
        <w:rPr/>
        <w:t>左右。</w:t>
      </w:r>
    </w:p>
    <w:p>
      <w:pPr>
        <w:pStyle w:val="ListParagraph"/>
        <w:numPr>
          <w:ilvl w:val="3"/>
          <w:numId w:val="39"/>
        </w:numPr>
        <w:tabs>
          <w:tab w:pos="1306" w:val="left" w:leader="none"/>
        </w:tabs>
        <w:spacing w:line="362" w:lineRule="auto" w:before="0" w:after="0"/>
        <w:ind w:left="218" w:right="236" w:firstLine="480"/>
        <w:jc w:val="left"/>
        <w:rPr>
          <w:sz w:val="24"/>
        </w:rPr>
      </w:pPr>
      <w:r>
        <w:rPr>
          <w:spacing w:val="-1"/>
          <w:sz w:val="24"/>
        </w:rPr>
        <w:t>项目采用的螺杆式空气压缩机比功率达到了《容积式空气压缩机能效限定值</w:t>
      </w:r>
      <w:r>
        <w:rPr>
          <w:sz w:val="24"/>
        </w:rPr>
        <w:t>及能效等级》</w:t>
      </w:r>
      <w:r>
        <w:rPr>
          <w:rFonts w:ascii="Times New Roman" w:eastAsia="Times New Roman"/>
          <w:sz w:val="24"/>
        </w:rPr>
        <w:t>(GB19153-2019</w:t>
      </w:r>
      <w:r>
        <w:rPr>
          <w:sz w:val="24"/>
        </w:rPr>
        <w:t>）中二级能效要求，属于节能型空压机。</w:t>
      </w:r>
    </w:p>
    <w:p>
      <w:pPr>
        <w:pStyle w:val="ListParagraph"/>
        <w:numPr>
          <w:ilvl w:val="3"/>
          <w:numId w:val="39"/>
        </w:numPr>
        <w:tabs>
          <w:tab w:pos="1300" w:val="left" w:leader="none"/>
        </w:tabs>
        <w:spacing w:line="364" w:lineRule="auto" w:before="3" w:after="0"/>
        <w:ind w:left="218" w:right="232" w:firstLine="480"/>
        <w:jc w:val="left"/>
        <w:rPr>
          <w:sz w:val="24"/>
        </w:rPr>
      </w:pPr>
      <w:r>
        <w:rPr>
          <w:spacing w:val="-5"/>
          <w:sz w:val="24"/>
        </w:rPr>
        <w:t>项目在设备电机选型时，应优先选用 </w:t>
      </w:r>
      <w:r>
        <w:rPr>
          <w:rFonts w:ascii="Times New Roman" w:eastAsia="Times New Roman"/>
          <w:sz w:val="24"/>
        </w:rPr>
        <w:t>YE3 </w:t>
      </w:r>
      <w:r>
        <w:rPr>
          <w:spacing w:val="-2"/>
          <w:sz w:val="24"/>
        </w:rPr>
        <w:t>系列的高效电机，电机负荷率应达</w:t>
      </w:r>
      <w:r>
        <w:rPr>
          <w:spacing w:val="-30"/>
          <w:sz w:val="24"/>
        </w:rPr>
        <w:t>到 </w:t>
      </w:r>
      <w:r>
        <w:rPr>
          <w:rFonts w:ascii="Times New Roman" w:eastAsia="Times New Roman"/>
          <w:sz w:val="24"/>
        </w:rPr>
        <w:t>60%</w:t>
      </w:r>
      <w:r>
        <w:rPr>
          <w:sz w:val="24"/>
        </w:rPr>
        <w:t>以上。</w:t>
      </w:r>
    </w:p>
    <w:p>
      <w:pPr>
        <w:pStyle w:val="ListParagraph"/>
        <w:numPr>
          <w:ilvl w:val="3"/>
          <w:numId w:val="39"/>
        </w:numPr>
        <w:tabs>
          <w:tab w:pos="1306" w:val="left" w:leader="none"/>
        </w:tabs>
        <w:spacing w:line="364" w:lineRule="auto" w:before="0" w:after="0"/>
        <w:ind w:left="218" w:right="237" w:firstLine="480"/>
        <w:jc w:val="left"/>
        <w:rPr>
          <w:sz w:val="24"/>
        </w:rPr>
      </w:pPr>
      <w:r>
        <w:rPr>
          <w:sz w:val="24"/>
        </w:rPr>
        <w:t>照明灯具采用节能高效灯具，车间光源采用金属卤化物灯，辅助设施和生活设施采用细管径直管荧光灯、紧凑型荧光灯或小功率金属卤化物灯等高效新光源。</w:t>
      </w:r>
    </w:p>
    <w:p>
      <w:pPr>
        <w:pStyle w:val="Heading4"/>
        <w:spacing w:line="307" w:lineRule="exact"/>
      </w:pPr>
      <w:r>
        <w:rPr>
          <w:rFonts w:ascii="Times New Roman" w:eastAsia="Times New Roman"/>
        </w:rPr>
        <w:t>2</w:t>
      </w:r>
      <w:r>
        <w:rPr/>
        <w:t>、监测计划</w:t>
      </w:r>
    </w:p>
    <w:p>
      <w:pPr>
        <w:pStyle w:val="BodyText"/>
        <w:spacing w:line="364" w:lineRule="auto" w:before="159"/>
        <w:ind w:left="218" w:right="234" w:firstLine="480"/>
        <w:jc w:val="both"/>
      </w:pPr>
      <w:r>
        <w:rPr>
          <w:spacing w:val="-2"/>
        </w:rPr>
        <w:t>企业应设置日常监测机构，并配备监测</w:t>
      </w:r>
      <w:r>
        <w:rPr/>
        <w:t>（分析</w:t>
      </w:r>
      <w:r>
        <w:rPr>
          <w:spacing w:val="-10"/>
        </w:rPr>
        <w:t>）</w:t>
      </w:r>
      <w:r>
        <w:rPr>
          <w:spacing w:val="-5"/>
        </w:rPr>
        <w:t>人员、仪器和设备等，重点是用电</w:t>
      </w:r>
      <w:r>
        <w:rPr>
          <w:spacing w:val="-6"/>
        </w:rPr>
        <w:t>和用热力监测，同时制订监测制度，定期对企业用电、用热进行监测，并做好监测数据</w:t>
      </w:r>
      <w:r>
        <w:rPr/>
        <w:t>的归档工作。</w:t>
      </w:r>
    </w:p>
    <w:p>
      <w:pPr>
        <w:pStyle w:val="BodyText"/>
        <w:spacing w:line="364" w:lineRule="auto"/>
        <w:ind w:left="218" w:right="174" w:firstLine="480"/>
      </w:pPr>
      <w:r>
        <w:rPr/>
        <w:t>项目的碳排放主要在营运期。营运期的碳排放主要为购入的电力、热力等。根据项目建设特点，要求本工程环境监测计划如下。</w:t>
      </w:r>
    </w:p>
    <w:p>
      <w:pPr>
        <w:pStyle w:val="Heading4"/>
        <w:tabs>
          <w:tab w:pos="4160" w:val="left" w:leader="none"/>
        </w:tabs>
        <w:spacing w:line="306" w:lineRule="exact"/>
        <w:ind w:left="2938"/>
      </w:pPr>
      <w:r>
        <w:rPr/>
        <w:t>表</w:t>
      </w:r>
      <w:r>
        <w:rPr>
          <w:spacing w:val="-60"/>
        </w:rPr>
        <w:t> </w:t>
      </w:r>
      <w:r>
        <w:rPr>
          <w:rFonts w:ascii="Times New Roman" w:eastAsia="Times New Roman"/>
        </w:rPr>
        <w:t>7.4.5-1</w:t>
        <w:tab/>
      </w:r>
      <w:r>
        <w:rPr/>
        <w:t>营运期碳排放监测计划</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3"/>
        <w:gridCol w:w="1734"/>
        <w:gridCol w:w="1741"/>
        <w:gridCol w:w="1353"/>
        <w:gridCol w:w="1264"/>
        <w:gridCol w:w="1668"/>
      </w:tblGrid>
      <w:tr>
        <w:trPr>
          <w:trHeight w:val="544" w:hRule="atLeast"/>
        </w:trPr>
        <w:tc>
          <w:tcPr>
            <w:tcW w:w="1433" w:type="dxa"/>
          </w:tcPr>
          <w:p>
            <w:pPr>
              <w:pStyle w:val="TableParagraph"/>
              <w:spacing w:before="138"/>
              <w:ind w:left="153" w:right="146"/>
              <w:rPr>
                <w:b/>
                <w:sz w:val="21"/>
              </w:rPr>
            </w:pPr>
            <w:r>
              <w:rPr>
                <w:b/>
                <w:sz w:val="21"/>
              </w:rPr>
              <w:t>参数</w:t>
            </w:r>
          </w:p>
        </w:tc>
        <w:tc>
          <w:tcPr>
            <w:tcW w:w="1734" w:type="dxa"/>
          </w:tcPr>
          <w:p>
            <w:pPr>
              <w:pStyle w:val="TableParagraph"/>
              <w:spacing w:before="138"/>
              <w:ind w:left="110" w:right="98"/>
              <w:rPr>
                <w:b/>
                <w:sz w:val="21"/>
              </w:rPr>
            </w:pPr>
            <w:r>
              <w:rPr>
                <w:b/>
                <w:sz w:val="21"/>
              </w:rPr>
              <w:t>监测设备及型号</w:t>
            </w:r>
          </w:p>
        </w:tc>
        <w:tc>
          <w:tcPr>
            <w:tcW w:w="1741" w:type="dxa"/>
          </w:tcPr>
          <w:p>
            <w:pPr>
              <w:pStyle w:val="TableParagraph"/>
              <w:spacing w:before="1"/>
              <w:ind w:left="112" w:right="103"/>
              <w:rPr>
                <w:b/>
                <w:sz w:val="21"/>
              </w:rPr>
            </w:pPr>
            <w:r>
              <w:rPr>
                <w:b/>
                <w:sz w:val="21"/>
              </w:rPr>
              <w:t>监测设备安装位</w:t>
            </w:r>
          </w:p>
          <w:p>
            <w:pPr>
              <w:pStyle w:val="TableParagraph"/>
              <w:spacing w:line="250" w:lineRule="exact" w:before="5"/>
              <w:ind w:left="4"/>
              <w:rPr>
                <w:b/>
                <w:sz w:val="21"/>
              </w:rPr>
            </w:pPr>
            <w:r>
              <w:rPr>
                <w:b/>
                <w:w w:val="100"/>
                <w:sz w:val="21"/>
              </w:rPr>
              <w:t>置</w:t>
            </w:r>
          </w:p>
        </w:tc>
        <w:tc>
          <w:tcPr>
            <w:tcW w:w="1353" w:type="dxa"/>
          </w:tcPr>
          <w:p>
            <w:pPr>
              <w:pStyle w:val="TableParagraph"/>
              <w:spacing w:before="138"/>
              <w:ind w:left="230" w:right="228"/>
              <w:rPr>
                <w:b/>
                <w:sz w:val="21"/>
              </w:rPr>
            </w:pPr>
            <w:r>
              <w:rPr>
                <w:b/>
                <w:sz w:val="21"/>
              </w:rPr>
              <w:t>监测频次</w:t>
            </w:r>
          </w:p>
        </w:tc>
        <w:tc>
          <w:tcPr>
            <w:tcW w:w="1264" w:type="dxa"/>
          </w:tcPr>
          <w:p>
            <w:pPr>
              <w:pStyle w:val="TableParagraph"/>
              <w:spacing w:before="1"/>
              <w:ind w:left="79" w:right="80"/>
              <w:rPr>
                <w:b/>
                <w:sz w:val="21"/>
              </w:rPr>
            </w:pPr>
            <w:r>
              <w:rPr>
                <w:b/>
                <w:sz w:val="21"/>
              </w:rPr>
              <w:t>监测设备精</w:t>
            </w:r>
          </w:p>
          <w:p>
            <w:pPr>
              <w:pStyle w:val="TableParagraph"/>
              <w:spacing w:line="250" w:lineRule="exact" w:before="5"/>
              <w:ind w:right="1"/>
              <w:rPr>
                <w:b/>
                <w:sz w:val="21"/>
              </w:rPr>
            </w:pPr>
            <w:r>
              <w:rPr>
                <w:b/>
                <w:w w:val="100"/>
                <w:sz w:val="21"/>
              </w:rPr>
              <w:t>度</w:t>
            </w:r>
          </w:p>
        </w:tc>
        <w:tc>
          <w:tcPr>
            <w:tcW w:w="1668" w:type="dxa"/>
          </w:tcPr>
          <w:p>
            <w:pPr>
              <w:pStyle w:val="TableParagraph"/>
              <w:spacing w:before="138"/>
              <w:ind w:left="168" w:right="168"/>
              <w:rPr>
                <w:b/>
                <w:sz w:val="21"/>
              </w:rPr>
            </w:pPr>
            <w:r>
              <w:rPr>
                <w:b/>
                <w:sz w:val="21"/>
              </w:rPr>
              <w:t>数据记录频次</w:t>
            </w:r>
          </w:p>
        </w:tc>
      </w:tr>
      <w:tr>
        <w:trPr>
          <w:trHeight w:val="513" w:hRule="atLeast"/>
        </w:trPr>
        <w:tc>
          <w:tcPr>
            <w:tcW w:w="1433" w:type="dxa"/>
          </w:tcPr>
          <w:p>
            <w:pPr>
              <w:pStyle w:val="TableParagraph"/>
              <w:spacing w:before="1"/>
              <w:ind w:left="153" w:right="144"/>
              <w:rPr>
                <w:sz w:val="21"/>
              </w:rPr>
            </w:pPr>
            <w:r>
              <w:rPr>
                <w:sz w:val="21"/>
              </w:rPr>
              <w:t>净购入电量</w:t>
            </w:r>
          </w:p>
          <w:p>
            <w:pPr>
              <w:pStyle w:val="TableParagraph"/>
              <w:spacing w:line="221" w:lineRule="exact" w:before="1"/>
              <w:ind w:left="153" w:right="143"/>
              <w:rPr>
                <w:rFonts w:ascii="Times New Roman"/>
                <w:sz w:val="21"/>
              </w:rPr>
            </w:pPr>
            <w:r>
              <w:rPr>
                <w:rFonts w:ascii="Times New Roman"/>
                <w:sz w:val="21"/>
              </w:rPr>
              <w:t>(MWh)</w:t>
            </w:r>
          </w:p>
        </w:tc>
        <w:tc>
          <w:tcPr>
            <w:tcW w:w="1734" w:type="dxa"/>
          </w:tcPr>
          <w:p>
            <w:pPr>
              <w:pStyle w:val="TableParagraph"/>
              <w:spacing w:before="123"/>
              <w:ind w:left="110" w:right="98"/>
              <w:rPr>
                <w:sz w:val="21"/>
              </w:rPr>
            </w:pPr>
            <w:r>
              <w:rPr>
                <w:sz w:val="21"/>
              </w:rPr>
              <w:t>总进线电能表</w:t>
            </w:r>
          </w:p>
        </w:tc>
        <w:tc>
          <w:tcPr>
            <w:tcW w:w="1741" w:type="dxa"/>
          </w:tcPr>
          <w:p>
            <w:pPr>
              <w:pStyle w:val="TableParagraph"/>
              <w:spacing w:before="123"/>
              <w:ind w:left="109" w:right="103"/>
              <w:rPr>
                <w:sz w:val="21"/>
              </w:rPr>
            </w:pPr>
            <w:r>
              <w:rPr>
                <w:rFonts w:ascii="Times New Roman" w:eastAsia="Times New Roman"/>
                <w:sz w:val="21"/>
              </w:rPr>
              <w:t>110kw </w:t>
            </w:r>
            <w:r>
              <w:rPr>
                <w:sz w:val="21"/>
              </w:rPr>
              <w:t>总变</w:t>
            </w:r>
          </w:p>
        </w:tc>
        <w:tc>
          <w:tcPr>
            <w:tcW w:w="1353" w:type="dxa"/>
          </w:tcPr>
          <w:p>
            <w:pPr>
              <w:pStyle w:val="TableParagraph"/>
              <w:spacing w:before="123"/>
              <w:ind w:left="230" w:right="226"/>
              <w:rPr>
                <w:sz w:val="21"/>
              </w:rPr>
            </w:pPr>
            <w:r>
              <w:rPr>
                <w:sz w:val="21"/>
              </w:rPr>
              <w:t>连续监测</w:t>
            </w:r>
          </w:p>
        </w:tc>
        <w:tc>
          <w:tcPr>
            <w:tcW w:w="1264" w:type="dxa"/>
          </w:tcPr>
          <w:p>
            <w:pPr>
              <w:pStyle w:val="TableParagraph"/>
              <w:spacing w:before="123"/>
              <w:ind w:left="79" w:right="80"/>
              <w:rPr>
                <w:sz w:val="21"/>
              </w:rPr>
            </w:pPr>
            <w:r>
              <w:rPr>
                <w:rFonts w:ascii="Times New Roman" w:eastAsia="Times New Roman"/>
                <w:sz w:val="21"/>
              </w:rPr>
              <w:t>0.5S </w:t>
            </w:r>
            <w:r>
              <w:rPr>
                <w:sz w:val="21"/>
              </w:rPr>
              <w:t>级</w:t>
            </w:r>
          </w:p>
        </w:tc>
        <w:tc>
          <w:tcPr>
            <w:tcW w:w="1668" w:type="dxa"/>
          </w:tcPr>
          <w:p>
            <w:pPr>
              <w:pStyle w:val="TableParagraph"/>
              <w:spacing w:before="123"/>
              <w:ind w:left="167" w:right="168"/>
              <w:rPr>
                <w:sz w:val="21"/>
              </w:rPr>
            </w:pPr>
            <w:r>
              <w:rPr>
                <w:sz w:val="21"/>
              </w:rPr>
              <w:t>一次</w:t>
            </w:r>
            <w:r>
              <w:rPr>
                <w:rFonts w:ascii="Times New Roman" w:eastAsia="Times New Roman"/>
                <w:sz w:val="21"/>
              </w:rPr>
              <w:t>/</w:t>
            </w:r>
            <w:r>
              <w:rPr>
                <w:sz w:val="21"/>
              </w:rPr>
              <w:t>日</w:t>
            </w:r>
          </w:p>
        </w:tc>
      </w:tr>
      <w:tr>
        <w:trPr>
          <w:trHeight w:val="515" w:hRule="atLeast"/>
        </w:trPr>
        <w:tc>
          <w:tcPr>
            <w:tcW w:w="1433" w:type="dxa"/>
          </w:tcPr>
          <w:p>
            <w:pPr>
              <w:pStyle w:val="TableParagraph"/>
              <w:spacing w:before="3"/>
              <w:ind w:left="153" w:right="144"/>
              <w:rPr>
                <w:sz w:val="21"/>
              </w:rPr>
            </w:pPr>
            <w:r>
              <w:rPr>
                <w:sz w:val="21"/>
              </w:rPr>
              <w:t>净购入热量</w:t>
            </w:r>
          </w:p>
          <w:p>
            <w:pPr>
              <w:pStyle w:val="TableParagraph"/>
              <w:spacing w:line="221" w:lineRule="exact" w:before="2"/>
              <w:ind w:left="153" w:right="145"/>
              <w:rPr>
                <w:rFonts w:ascii="Times New Roman"/>
                <w:sz w:val="21"/>
              </w:rPr>
            </w:pPr>
            <w:r>
              <w:rPr>
                <w:rFonts w:ascii="Times New Roman"/>
                <w:sz w:val="21"/>
              </w:rPr>
              <w:t>(GJ)</w:t>
            </w:r>
          </w:p>
        </w:tc>
        <w:tc>
          <w:tcPr>
            <w:tcW w:w="1734" w:type="dxa"/>
          </w:tcPr>
          <w:p>
            <w:pPr>
              <w:pStyle w:val="TableParagraph"/>
              <w:spacing w:before="137"/>
              <w:ind w:left="107" w:right="98"/>
              <w:rPr>
                <w:rFonts w:ascii="Times New Roman"/>
                <w:sz w:val="21"/>
              </w:rPr>
            </w:pPr>
            <w:r>
              <w:rPr>
                <w:rFonts w:ascii="Times New Roman"/>
                <w:sz w:val="21"/>
              </w:rPr>
              <w:t>DN516</w:t>
            </w:r>
          </w:p>
        </w:tc>
        <w:tc>
          <w:tcPr>
            <w:tcW w:w="1741" w:type="dxa"/>
          </w:tcPr>
          <w:p>
            <w:pPr>
              <w:pStyle w:val="TableParagraph"/>
              <w:spacing w:before="123"/>
              <w:ind w:left="112" w:right="103"/>
              <w:rPr>
                <w:sz w:val="21"/>
              </w:rPr>
            </w:pPr>
            <w:r>
              <w:rPr>
                <w:sz w:val="21"/>
              </w:rPr>
              <w:t>厂区蒸汽总管</w:t>
            </w:r>
          </w:p>
        </w:tc>
        <w:tc>
          <w:tcPr>
            <w:tcW w:w="1353" w:type="dxa"/>
          </w:tcPr>
          <w:p>
            <w:pPr>
              <w:pStyle w:val="TableParagraph"/>
              <w:spacing w:before="123"/>
              <w:ind w:left="230" w:right="226"/>
              <w:rPr>
                <w:sz w:val="21"/>
              </w:rPr>
            </w:pPr>
            <w:r>
              <w:rPr>
                <w:sz w:val="21"/>
              </w:rPr>
              <w:t>连续监测</w:t>
            </w:r>
          </w:p>
        </w:tc>
        <w:tc>
          <w:tcPr>
            <w:tcW w:w="1264" w:type="dxa"/>
          </w:tcPr>
          <w:p>
            <w:pPr>
              <w:pStyle w:val="TableParagraph"/>
              <w:spacing w:before="123"/>
              <w:ind w:left="79" w:right="79"/>
              <w:rPr>
                <w:rFonts w:ascii="Times New Roman" w:hAnsi="Times New Roman"/>
                <w:sz w:val="21"/>
              </w:rPr>
            </w:pPr>
            <w:r>
              <w:rPr>
                <w:sz w:val="21"/>
              </w:rPr>
              <w:t>±</w:t>
            </w:r>
            <w:r>
              <w:rPr>
                <w:rFonts w:ascii="Times New Roman" w:hAnsi="Times New Roman"/>
                <w:sz w:val="21"/>
              </w:rPr>
              <w:t>0.6%</w:t>
            </w:r>
          </w:p>
        </w:tc>
        <w:tc>
          <w:tcPr>
            <w:tcW w:w="1668" w:type="dxa"/>
          </w:tcPr>
          <w:p>
            <w:pPr>
              <w:pStyle w:val="TableParagraph"/>
              <w:spacing w:before="123"/>
              <w:ind w:left="167" w:right="168"/>
              <w:rPr>
                <w:sz w:val="21"/>
              </w:rPr>
            </w:pPr>
            <w:r>
              <w:rPr>
                <w:sz w:val="21"/>
              </w:rPr>
              <w:t>一次</w:t>
            </w:r>
            <w:r>
              <w:rPr>
                <w:rFonts w:ascii="Times New Roman" w:eastAsia="Times New Roman"/>
                <w:sz w:val="21"/>
              </w:rPr>
              <w:t>/</w:t>
            </w:r>
            <w:r>
              <w:rPr>
                <w:sz w:val="21"/>
              </w:rPr>
              <w:t>日</w:t>
            </w:r>
          </w:p>
        </w:tc>
      </w:tr>
    </w:tbl>
    <w:p>
      <w:pPr>
        <w:pStyle w:val="ListParagraph"/>
        <w:numPr>
          <w:ilvl w:val="2"/>
          <w:numId w:val="39"/>
        </w:numPr>
        <w:tabs>
          <w:tab w:pos="999" w:val="left" w:leader="none"/>
        </w:tabs>
        <w:spacing w:line="240" w:lineRule="auto" w:before="2" w:after="0"/>
        <w:ind w:left="998" w:right="0" w:hanging="541"/>
        <w:jc w:val="left"/>
        <w:rPr>
          <w:b/>
          <w:sz w:val="24"/>
        </w:rPr>
      </w:pPr>
      <w:r>
        <w:rPr>
          <w:b/>
          <w:sz w:val="24"/>
        </w:rPr>
        <w:t>碳排放评价结论</w:t>
      </w:r>
    </w:p>
    <w:p>
      <w:pPr>
        <w:pStyle w:val="BodyText"/>
        <w:spacing w:line="364" w:lineRule="auto" w:before="158"/>
        <w:ind w:left="218" w:right="114" w:firstLine="480"/>
      </w:pPr>
      <w:r>
        <w:rPr>
          <w:spacing w:val="-9"/>
        </w:rPr>
        <w:t>本项目位于杭州湾上虞经济技术开发区内，通过采取工艺路线优化、节能设备选型、</w:t>
      </w:r>
      <w:r>
        <w:rPr>
          <w:spacing w:val="-4"/>
        </w:rPr>
        <w:t>节能灯具选择等碳排放控制措施。经核算，本项目实施后较现有企业单位工业增加值碳排放下降。因此本项目的实施对实现碳中和的目标具有促进作用。</w:t>
      </w:r>
    </w:p>
    <w:p>
      <w:pPr>
        <w:spacing w:after="0" w:line="364" w:lineRule="auto"/>
        <w:sectPr>
          <w:pgSz w:w="11910" w:h="16840"/>
          <w:pgMar w:header="872" w:footer="803" w:top="1320" w:bottom="1000" w:left="1200" w:right="1180"/>
        </w:sectPr>
      </w:pPr>
    </w:p>
    <w:p>
      <w:pPr>
        <w:pStyle w:val="Heading2"/>
        <w:numPr>
          <w:ilvl w:val="0"/>
          <w:numId w:val="23"/>
        </w:numPr>
        <w:tabs>
          <w:tab w:pos="445" w:val="left" w:leader="none"/>
        </w:tabs>
        <w:spacing w:line="240" w:lineRule="auto" w:before="84" w:after="0"/>
        <w:ind w:left="444" w:right="0" w:hanging="227"/>
        <w:jc w:val="left"/>
        <w:rPr>
          <w:rFonts w:ascii="Times New Roman" w:eastAsia="Times New Roman"/>
        </w:rPr>
      </w:pPr>
      <w:bookmarkStart w:name="_bookmark47" w:id="95"/>
      <w:bookmarkEnd w:id="95"/>
      <w:r>
        <w:rPr>
          <w:b w:val="0"/>
        </w:rPr>
      </w:r>
      <w:bookmarkStart w:name="_bookmark47" w:id="96"/>
      <w:bookmarkEnd w:id="96"/>
      <w:r>
        <w:rPr/>
        <w:t>环境风险评价</w:t>
      </w:r>
    </w:p>
    <w:p>
      <w:pPr>
        <w:pStyle w:val="Heading3"/>
        <w:numPr>
          <w:ilvl w:val="1"/>
          <w:numId w:val="23"/>
        </w:numPr>
        <w:tabs>
          <w:tab w:pos="639" w:val="left" w:leader="none"/>
        </w:tabs>
        <w:spacing w:line="240" w:lineRule="auto" w:before="200" w:after="0"/>
        <w:ind w:left="638" w:right="0" w:hanging="421"/>
        <w:jc w:val="left"/>
      </w:pPr>
      <w:bookmarkStart w:name="_bookmark48" w:id="97"/>
      <w:bookmarkEnd w:id="97"/>
      <w:r>
        <w:rPr>
          <w:b w:val="0"/>
        </w:rPr>
      </w:r>
      <w:bookmarkStart w:name="_bookmark48" w:id="98"/>
      <w:bookmarkEnd w:id="98"/>
      <w:r>
        <w:rPr/>
        <w:t>建设项目风险源调查</w:t>
      </w:r>
    </w:p>
    <w:p>
      <w:pPr>
        <w:pStyle w:val="Heading4"/>
        <w:spacing w:before="185"/>
      </w:pPr>
      <w:r>
        <w:rPr>
          <w:rFonts w:ascii="Times New Roman" w:eastAsia="Times New Roman"/>
        </w:rPr>
        <w:t>1</w:t>
      </w:r>
      <w:r>
        <w:rPr/>
        <w:t>、物质危险性调查</w:t>
      </w:r>
    </w:p>
    <w:p>
      <w:pPr>
        <w:pStyle w:val="ListParagraph"/>
        <w:numPr>
          <w:ilvl w:val="0"/>
          <w:numId w:val="42"/>
        </w:numPr>
        <w:tabs>
          <w:tab w:pos="1300" w:val="left" w:leader="none"/>
        </w:tabs>
        <w:spacing w:line="240" w:lineRule="auto" w:before="159" w:after="0"/>
        <w:ind w:left="1299" w:right="0" w:hanging="602"/>
        <w:jc w:val="left"/>
        <w:rPr>
          <w:sz w:val="24"/>
        </w:rPr>
      </w:pPr>
      <w:r>
        <w:rPr>
          <w:sz w:val="24"/>
        </w:rPr>
        <w:t>危险物质的数量和分布情况</w:t>
      </w:r>
    </w:p>
    <w:p>
      <w:pPr>
        <w:pStyle w:val="BodyText"/>
        <w:spacing w:line="364" w:lineRule="auto" w:before="160"/>
        <w:ind w:left="218" w:right="275" w:firstLine="480"/>
      </w:pPr>
      <w:r>
        <w:rPr/>
        <w:t>对照</w:t>
      </w:r>
      <w:r>
        <w:rPr>
          <w:rFonts w:ascii="Times New Roman" w:eastAsia="Times New Roman"/>
        </w:rPr>
        <w:t>HJ169-2018</w:t>
      </w:r>
      <w:r>
        <w:rPr/>
        <w:t>《建设项目环境风险评价技术导则》附录</w:t>
      </w:r>
      <w:r>
        <w:rPr>
          <w:rFonts w:ascii="Times New Roman" w:eastAsia="Times New Roman"/>
        </w:rPr>
        <w:t>B</w:t>
      </w:r>
      <w:r>
        <w:rPr/>
        <w:t>，本项目涉及到的危险物质见下表。</w:t>
      </w:r>
    </w:p>
    <w:p>
      <w:pPr>
        <w:pStyle w:val="Heading4"/>
        <w:tabs>
          <w:tab w:pos="3828" w:val="left" w:leader="none"/>
        </w:tabs>
        <w:spacing w:before="140" w:after="29"/>
        <w:ind w:left="2787"/>
      </w:pPr>
      <w:r>
        <w:rPr/>
        <w:t>表</w:t>
      </w:r>
      <w:r>
        <w:rPr>
          <w:spacing w:val="-60"/>
        </w:rPr>
        <w:t> </w:t>
      </w:r>
      <w:r>
        <w:rPr>
          <w:rFonts w:ascii="Times New Roman" w:eastAsia="Times New Roman"/>
        </w:rPr>
        <w:t>8.1-1</w:t>
        <w:tab/>
      </w:r>
      <w:r>
        <w:rPr/>
        <w:t>项目涉及到的危险物质情况</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384"/>
        <w:gridCol w:w="1985"/>
        <w:gridCol w:w="847"/>
        <w:gridCol w:w="1620"/>
        <w:gridCol w:w="1214"/>
        <w:gridCol w:w="1668"/>
      </w:tblGrid>
      <w:tr>
        <w:trPr>
          <w:trHeight w:val="544" w:hRule="atLeast"/>
        </w:trPr>
        <w:tc>
          <w:tcPr>
            <w:tcW w:w="566" w:type="dxa"/>
          </w:tcPr>
          <w:p>
            <w:pPr>
              <w:pStyle w:val="TableParagraph"/>
              <w:spacing w:before="1"/>
              <w:ind w:left="177"/>
              <w:jc w:val="left"/>
              <w:rPr>
                <w:b/>
                <w:sz w:val="21"/>
              </w:rPr>
            </w:pPr>
            <w:r>
              <w:rPr>
                <w:b/>
                <w:w w:val="100"/>
                <w:sz w:val="21"/>
              </w:rPr>
              <w:t>序</w:t>
            </w:r>
          </w:p>
          <w:p>
            <w:pPr>
              <w:pStyle w:val="TableParagraph"/>
              <w:spacing w:line="250" w:lineRule="exact" w:before="4"/>
              <w:ind w:left="177"/>
              <w:jc w:val="left"/>
              <w:rPr>
                <w:b/>
                <w:sz w:val="21"/>
              </w:rPr>
            </w:pPr>
            <w:r>
              <w:rPr>
                <w:b/>
                <w:w w:val="100"/>
                <w:sz w:val="21"/>
              </w:rPr>
              <w:t>号</w:t>
            </w:r>
          </w:p>
        </w:tc>
        <w:tc>
          <w:tcPr>
            <w:tcW w:w="1384" w:type="dxa"/>
          </w:tcPr>
          <w:p>
            <w:pPr>
              <w:pStyle w:val="TableParagraph"/>
              <w:spacing w:before="137"/>
              <w:ind w:left="144" w:right="136"/>
              <w:rPr>
                <w:b/>
                <w:sz w:val="21"/>
              </w:rPr>
            </w:pPr>
            <w:r>
              <w:rPr>
                <w:b/>
                <w:sz w:val="21"/>
              </w:rPr>
              <w:t>来源</w:t>
            </w:r>
          </w:p>
        </w:tc>
        <w:tc>
          <w:tcPr>
            <w:tcW w:w="1985" w:type="dxa"/>
          </w:tcPr>
          <w:p>
            <w:pPr>
              <w:pStyle w:val="TableParagraph"/>
              <w:spacing w:before="137"/>
              <w:ind w:left="43" w:right="29"/>
              <w:rPr>
                <w:b/>
                <w:sz w:val="21"/>
              </w:rPr>
            </w:pPr>
            <w:r>
              <w:rPr>
                <w:b/>
                <w:sz w:val="21"/>
              </w:rPr>
              <w:t>物质名称</w:t>
            </w:r>
          </w:p>
        </w:tc>
        <w:tc>
          <w:tcPr>
            <w:tcW w:w="847" w:type="dxa"/>
          </w:tcPr>
          <w:p>
            <w:pPr>
              <w:pStyle w:val="TableParagraph"/>
              <w:spacing w:before="1"/>
              <w:ind w:left="10"/>
              <w:rPr>
                <w:b/>
                <w:sz w:val="21"/>
              </w:rPr>
            </w:pPr>
            <w:r>
              <w:rPr>
                <w:b/>
                <w:w w:val="100"/>
                <w:sz w:val="21"/>
              </w:rPr>
              <w:t>规</w:t>
            </w:r>
          </w:p>
          <w:p>
            <w:pPr>
              <w:pStyle w:val="TableParagraph"/>
              <w:spacing w:line="250" w:lineRule="exact" w:before="4"/>
              <w:ind w:left="90" w:right="75"/>
              <w:rPr>
                <w:rFonts w:ascii="Times New Roman" w:eastAsia="Times New Roman"/>
                <w:b/>
                <w:sz w:val="21"/>
              </w:rPr>
            </w:pPr>
            <w:r>
              <w:rPr>
                <w:b/>
                <w:sz w:val="21"/>
              </w:rPr>
              <w:t>格</w:t>
            </w:r>
            <w:r>
              <w:rPr>
                <w:rFonts w:ascii="Times New Roman" w:eastAsia="Times New Roman"/>
                <w:b/>
                <w:sz w:val="21"/>
              </w:rPr>
              <w:t>%</w:t>
            </w:r>
          </w:p>
        </w:tc>
        <w:tc>
          <w:tcPr>
            <w:tcW w:w="1620" w:type="dxa"/>
          </w:tcPr>
          <w:p>
            <w:pPr>
              <w:pStyle w:val="TableParagraph"/>
              <w:spacing w:before="17"/>
              <w:ind w:left="61" w:right="46"/>
              <w:rPr>
                <w:b/>
                <w:sz w:val="21"/>
              </w:rPr>
            </w:pPr>
            <w:r>
              <w:rPr>
                <w:b/>
                <w:sz w:val="21"/>
              </w:rPr>
              <w:t>用量或在线量</w:t>
            </w:r>
          </w:p>
          <w:p>
            <w:pPr>
              <w:pStyle w:val="TableParagraph"/>
              <w:spacing w:line="236" w:lineRule="exact" w:before="2"/>
              <w:ind w:left="61" w:right="48"/>
              <w:rPr>
                <w:rFonts w:ascii="Times New Roman"/>
                <w:b/>
                <w:sz w:val="21"/>
              </w:rPr>
            </w:pPr>
            <w:r>
              <w:rPr>
                <w:rFonts w:ascii="Times New Roman"/>
                <w:b/>
                <w:sz w:val="21"/>
              </w:rPr>
              <w:t>t/a</w:t>
            </w:r>
          </w:p>
        </w:tc>
        <w:tc>
          <w:tcPr>
            <w:tcW w:w="1214" w:type="dxa"/>
          </w:tcPr>
          <w:p>
            <w:pPr>
              <w:pStyle w:val="TableParagraph"/>
              <w:spacing w:before="137"/>
              <w:ind w:left="60" w:right="46"/>
              <w:rPr>
                <w:b/>
                <w:sz w:val="21"/>
              </w:rPr>
            </w:pPr>
            <w:r>
              <w:rPr>
                <w:b/>
                <w:sz w:val="21"/>
              </w:rPr>
              <w:t>储存方式</w:t>
            </w:r>
          </w:p>
        </w:tc>
        <w:tc>
          <w:tcPr>
            <w:tcW w:w="1668" w:type="dxa"/>
          </w:tcPr>
          <w:p>
            <w:pPr>
              <w:pStyle w:val="TableParagraph"/>
              <w:spacing w:before="1"/>
              <w:ind w:left="176" w:right="159"/>
              <w:rPr>
                <w:b/>
                <w:sz w:val="21"/>
              </w:rPr>
            </w:pPr>
            <w:r>
              <w:rPr>
                <w:b/>
                <w:sz w:val="21"/>
              </w:rPr>
              <w:t>危险物质储存</w:t>
            </w:r>
          </w:p>
          <w:p>
            <w:pPr>
              <w:pStyle w:val="TableParagraph"/>
              <w:spacing w:line="250" w:lineRule="exact" w:before="4"/>
              <w:ind w:left="176" w:right="163"/>
              <w:rPr>
                <w:b/>
                <w:sz w:val="21"/>
              </w:rPr>
            </w:pPr>
            <w:r>
              <w:rPr>
                <w:b/>
                <w:sz w:val="21"/>
              </w:rPr>
              <w:t>位置</w:t>
            </w:r>
          </w:p>
        </w:tc>
      </w:tr>
      <w:tr>
        <w:trPr>
          <w:trHeight w:val="273" w:hRule="atLeast"/>
        </w:trPr>
        <w:tc>
          <w:tcPr>
            <w:tcW w:w="566" w:type="dxa"/>
          </w:tcPr>
          <w:p>
            <w:pPr>
              <w:pStyle w:val="TableParagraph"/>
              <w:spacing w:line="238" w:lineRule="exact" w:before="15"/>
              <w:ind w:right="218"/>
              <w:jc w:val="right"/>
              <w:rPr>
                <w:rFonts w:ascii="Times New Roman"/>
                <w:sz w:val="21"/>
              </w:rPr>
            </w:pPr>
            <w:r>
              <w:rPr>
                <w:rFonts w:ascii="Times New Roman"/>
                <w:w w:val="100"/>
                <w:sz w:val="21"/>
              </w:rPr>
              <w:t>1</w:t>
            </w:r>
          </w:p>
        </w:tc>
        <w:tc>
          <w:tcPr>
            <w:tcW w:w="1384" w:type="dxa"/>
          </w:tcPr>
          <w:p>
            <w:pPr>
              <w:pStyle w:val="TableParagraph"/>
              <w:spacing w:line="252" w:lineRule="exact" w:before="1"/>
              <w:ind w:left="147" w:right="134"/>
              <w:rPr>
                <w:sz w:val="21"/>
              </w:rPr>
            </w:pPr>
            <w:r>
              <w:rPr>
                <w:sz w:val="21"/>
              </w:rPr>
              <w:t>原料</w:t>
            </w:r>
          </w:p>
        </w:tc>
        <w:tc>
          <w:tcPr>
            <w:tcW w:w="1985" w:type="dxa"/>
          </w:tcPr>
          <w:p>
            <w:pPr>
              <w:pStyle w:val="TableParagraph"/>
              <w:spacing w:line="252" w:lineRule="exact" w:before="1"/>
              <w:ind w:left="43" w:right="28"/>
              <w:rPr>
                <w:sz w:val="21"/>
              </w:rPr>
            </w:pPr>
            <w:r>
              <w:rPr>
                <w:sz w:val="21"/>
              </w:rPr>
              <w:t>甲酸</w:t>
            </w:r>
          </w:p>
        </w:tc>
        <w:tc>
          <w:tcPr>
            <w:tcW w:w="847" w:type="dxa"/>
          </w:tcPr>
          <w:p>
            <w:pPr>
              <w:pStyle w:val="TableParagraph"/>
              <w:spacing w:line="238" w:lineRule="exact" w:before="15"/>
              <w:ind w:left="87" w:right="77"/>
              <w:rPr>
                <w:rFonts w:ascii="Times New Roman"/>
                <w:sz w:val="21"/>
              </w:rPr>
            </w:pPr>
            <w:r>
              <w:rPr>
                <w:rFonts w:ascii="Times New Roman"/>
                <w:sz w:val="21"/>
              </w:rPr>
              <w:t>50</w:t>
            </w:r>
          </w:p>
        </w:tc>
        <w:tc>
          <w:tcPr>
            <w:tcW w:w="1620" w:type="dxa"/>
          </w:tcPr>
          <w:p>
            <w:pPr>
              <w:pStyle w:val="TableParagraph"/>
              <w:spacing w:line="238" w:lineRule="exact" w:before="15"/>
              <w:ind w:left="61" w:right="48"/>
              <w:rPr>
                <w:rFonts w:ascii="Times New Roman"/>
                <w:sz w:val="21"/>
              </w:rPr>
            </w:pPr>
            <w:r>
              <w:rPr>
                <w:rFonts w:ascii="Times New Roman"/>
                <w:sz w:val="21"/>
              </w:rPr>
              <w:t>1781.25</w:t>
            </w:r>
          </w:p>
        </w:tc>
        <w:tc>
          <w:tcPr>
            <w:tcW w:w="1214" w:type="dxa"/>
          </w:tcPr>
          <w:p>
            <w:pPr>
              <w:pStyle w:val="TableParagraph"/>
              <w:spacing w:line="252" w:lineRule="exact" w:before="1"/>
              <w:ind w:left="60" w:right="46"/>
              <w:rPr>
                <w:sz w:val="21"/>
              </w:rPr>
            </w:pPr>
            <w:r>
              <w:rPr>
                <w:sz w:val="21"/>
              </w:rPr>
              <w:t>储罐</w:t>
            </w:r>
          </w:p>
        </w:tc>
        <w:tc>
          <w:tcPr>
            <w:tcW w:w="1668" w:type="dxa"/>
          </w:tcPr>
          <w:p>
            <w:pPr>
              <w:pStyle w:val="TableParagraph"/>
              <w:spacing w:line="252" w:lineRule="exact" w:before="1"/>
              <w:ind w:left="176" w:right="158"/>
              <w:rPr>
                <w:sz w:val="21"/>
              </w:rPr>
            </w:pPr>
            <w:r>
              <w:rPr>
                <w:sz w:val="21"/>
              </w:rPr>
              <w:t>储罐区</w:t>
            </w:r>
          </w:p>
        </w:tc>
      </w:tr>
      <w:tr>
        <w:trPr>
          <w:trHeight w:val="544" w:hRule="atLeast"/>
        </w:trPr>
        <w:tc>
          <w:tcPr>
            <w:tcW w:w="566" w:type="dxa"/>
          </w:tcPr>
          <w:p>
            <w:pPr>
              <w:pStyle w:val="TableParagraph"/>
              <w:spacing w:before="151"/>
              <w:ind w:right="218"/>
              <w:jc w:val="right"/>
              <w:rPr>
                <w:rFonts w:ascii="Times New Roman"/>
                <w:sz w:val="21"/>
              </w:rPr>
            </w:pPr>
            <w:r>
              <w:rPr>
                <w:rFonts w:ascii="Times New Roman"/>
                <w:w w:val="100"/>
                <w:sz w:val="21"/>
              </w:rPr>
              <w:t>2</w:t>
            </w:r>
          </w:p>
        </w:tc>
        <w:tc>
          <w:tcPr>
            <w:tcW w:w="1384" w:type="dxa"/>
          </w:tcPr>
          <w:p>
            <w:pPr>
              <w:pStyle w:val="TableParagraph"/>
              <w:spacing w:before="138"/>
              <w:ind w:left="147" w:right="136"/>
              <w:rPr>
                <w:sz w:val="21"/>
              </w:rPr>
            </w:pPr>
            <w:r>
              <w:rPr>
                <w:sz w:val="21"/>
              </w:rPr>
              <w:t>废气污染物</w:t>
            </w:r>
          </w:p>
        </w:tc>
        <w:tc>
          <w:tcPr>
            <w:tcW w:w="1985" w:type="dxa"/>
          </w:tcPr>
          <w:p>
            <w:pPr>
              <w:pStyle w:val="TableParagraph"/>
              <w:spacing w:before="138"/>
              <w:ind w:left="43" w:right="34"/>
              <w:rPr>
                <w:sz w:val="21"/>
              </w:rPr>
            </w:pPr>
            <w:r>
              <w:rPr>
                <w:sz w:val="21"/>
              </w:rPr>
              <w:t>甲酸废气</w:t>
            </w:r>
          </w:p>
        </w:tc>
        <w:tc>
          <w:tcPr>
            <w:tcW w:w="847" w:type="dxa"/>
          </w:tcPr>
          <w:p>
            <w:pPr>
              <w:pStyle w:val="TableParagraph"/>
              <w:spacing w:before="151"/>
              <w:ind w:left="11"/>
              <w:rPr>
                <w:rFonts w:ascii="Times New Roman"/>
                <w:sz w:val="21"/>
              </w:rPr>
            </w:pPr>
            <w:r>
              <w:rPr>
                <w:rFonts w:ascii="Times New Roman"/>
                <w:w w:val="100"/>
                <w:sz w:val="21"/>
              </w:rPr>
              <w:t>/</w:t>
            </w:r>
          </w:p>
        </w:tc>
        <w:tc>
          <w:tcPr>
            <w:tcW w:w="1620" w:type="dxa"/>
          </w:tcPr>
          <w:p>
            <w:pPr>
              <w:pStyle w:val="TableParagraph"/>
              <w:spacing w:before="1"/>
              <w:ind w:left="181"/>
              <w:jc w:val="left"/>
              <w:rPr>
                <w:sz w:val="21"/>
              </w:rPr>
            </w:pPr>
            <w:r>
              <w:rPr>
                <w:spacing w:val="-2"/>
                <w:sz w:val="21"/>
              </w:rPr>
              <w:t>废气在线量较</w:t>
            </w:r>
          </w:p>
          <w:p>
            <w:pPr>
              <w:pStyle w:val="TableParagraph"/>
              <w:spacing w:line="252" w:lineRule="exact" w:before="2"/>
              <w:ind w:left="181"/>
              <w:jc w:val="left"/>
              <w:rPr>
                <w:sz w:val="21"/>
              </w:rPr>
            </w:pPr>
            <w:r>
              <w:rPr>
                <w:spacing w:val="-2"/>
                <w:sz w:val="21"/>
              </w:rPr>
              <w:t>小，不再定量</w:t>
            </w:r>
          </w:p>
        </w:tc>
        <w:tc>
          <w:tcPr>
            <w:tcW w:w="1214" w:type="dxa"/>
          </w:tcPr>
          <w:p>
            <w:pPr>
              <w:pStyle w:val="TableParagraph"/>
              <w:spacing w:before="151"/>
              <w:ind w:left="10"/>
              <w:rPr>
                <w:rFonts w:ascii="Times New Roman"/>
                <w:sz w:val="21"/>
              </w:rPr>
            </w:pPr>
            <w:r>
              <w:rPr>
                <w:rFonts w:ascii="Times New Roman"/>
                <w:w w:val="100"/>
                <w:sz w:val="21"/>
              </w:rPr>
              <w:t>/</w:t>
            </w:r>
          </w:p>
        </w:tc>
        <w:tc>
          <w:tcPr>
            <w:tcW w:w="1668" w:type="dxa"/>
          </w:tcPr>
          <w:p>
            <w:pPr>
              <w:pStyle w:val="TableParagraph"/>
              <w:spacing w:before="138"/>
              <w:ind w:left="176" w:right="163"/>
              <w:rPr>
                <w:sz w:val="21"/>
              </w:rPr>
            </w:pPr>
            <w:r>
              <w:rPr>
                <w:sz w:val="21"/>
              </w:rPr>
              <w:t>生产车间</w:t>
            </w:r>
          </w:p>
        </w:tc>
      </w:tr>
      <w:tr>
        <w:trPr>
          <w:trHeight w:val="818" w:hRule="atLeast"/>
        </w:trPr>
        <w:tc>
          <w:tcPr>
            <w:tcW w:w="566" w:type="dxa"/>
          </w:tcPr>
          <w:p>
            <w:pPr>
              <w:pStyle w:val="TableParagraph"/>
              <w:spacing w:before="6"/>
              <w:jc w:val="left"/>
              <w:rPr>
                <w:b/>
                <w:sz w:val="22"/>
              </w:rPr>
            </w:pPr>
          </w:p>
          <w:p>
            <w:pPr>
              <w:pStyle w:val="TableParagraph"/>
              <w:ind w:right="218"/>
              <w:jc w:val="right"/>
              <w:rPr>
                <w:rFonts w:ascii="Times New Roman"/>
                <w:sz w:val="21"/>
              </w:rPr>
            </w:pPr>
            <w:r>
              <w:rPr>
                <w:rFonts w:ascii="Times New Roman"/>
                <w:w w:val="100"/>
                <w:sz w:val="21"/>
              </w:rPr>
              <w:t>3</w:t>
            </w:r>
          </w:p>
        </w:tc>
        <w:tc>
          <w:tcPr>
            <w:tcW w:w="1384" w:type="dxa"/>
          </w:tcPr>
          <w:p>
            <w:pPr>
              <w:pStyle w:val="TableParagraph"/>
              <w:spacing w:before="5"/>
              <w:jc w:val="left"/>
              <w:rPr>
                <w:b/>
                <w:sz w:val="21"/>
              </w:rPr>
            </w:pPr>
          </w:p>
          <w:p>
            <w:pPr>
              <w:pStyle w:val="TableParagraph"/>
              <w:ind w:left="147" w:right="136"/>
              <w:rPr>
                <w:sz w:val="21"/>
              </w:rPr>
            </w:pPr>
            <w:r>
              <w:rPr>
                <w:sz w:val="21"/>
              </w:rPr>
              <w:t>危险废物</w:t>
            </w:r>
          </w:p>
        </w:tc>
        <w:tc>
          <w:tcPr>
            <w:tcW w:w="1985" w:type="dxa"/>
          </w:tcPr>
          <w:p>
            <w:pPr>
              <w:pStyle w:val="TableParagraph"/>
              <w:spacing w:before="1"/>
              <w:ind w:left="43" w:right="32"/>
              <w:rPr>
                <w:sz w:val="21"/>
              </w:rPr>
            </w:pPr>
            <w:r>
              <w:rPr>
                <w:sz w:val="21"/>
              </w:rPr>
              <w:t>含农药成分的污</w:t>
            </w:r>
          </w:p>
          <w:p>
            <w:pPr>
              <w:pStyle w:val="TableParagraph"/>
              <w:spacing w:line="270" w:lineRule="atLeast" w:before="3"/>
              <w:ind w:left="152" w:right="138"/>
              <w:rPr>
                <w:sz w:val="21"/>
              </w:rPr>
            </w:pPr>
            <w:r>
              <w:rPr>
                <w:sz w:val="21"/>
              </w:rPr>
              <w:t>泥、含危险化学品的包装袋</w:t>
            </w:r>
          </w:p>
        </w:tc>
        <w:tc>
          <w:tcPr>
            <w:tcW w:w="847" w:type="dxa"/>
          </w:tcPr>
          <w:p>
            <w:pPr>
              <w:pStyle w:val="TableParagraph"/>
              <w:spacing w:before="6"/>
              <w:jc w:val="left"/>
              <w:rPr>
                <w:b/>
                <w:sz w:val="22"/>
              </w:rPr>
            </w:pPr>
          </w:p>
          <w:p>
            <w:pPr>
              <w:pStyle w:val="TableParagraph"/>
              <w:ind w:left="11"/>
              <w:rPr>
                <w:rFonts w:ascii="Times New Roman"/>
                <w:sz w:val="21"/>
              </w:rPr>
            </w:pPr>
            <w:r>
              <w:rPr>
                <w:rFonts w:ascii="Times New Roman"/>
                <w:w w:val="100"/>
                <w:sz w:val="21"/>
              </w:rPr>
              <w:t>/</w:t>
            </w:r>
          </w:p>
        </w:tc>
        <w:tc>
          <w:tcPr>
            <w:tcW w:w="1620" w:type="dxa"/>
          </w:tcPr>
          <w:p>
            <w:pPr>
              <w:pStyle w:val="TableParagraph"/>
              <w:spacing w:before="6"/>
              <w:jc w:val="left"/>
              <w:rPr>
                <w:b/>
                <w:sz w:val="22"/>
              </w:rPr>
            </w:pPr>
          </w:p>
          <w:p>
            <w:pPr>
              <w:pStyle w:val="TableParagraph"/>
              <w:ind w:left="61" w:right="45"/>
              <w:rPr>
                <w:rFonts w:ascii="Times New Roman"/>
                <w:sz w:val="21"/>
              </w:rPr>
            </w:pPr>
            <w:r>
              <w:rPr>
                <w:rFonts w:ascii="Times New Roman"/>
                <w:sz w:val="21"/>
              </w:rPr>
              <w:t>105</w:t>
            </w:r>
          </w:p>
        </w:tc>
        <w:tc>
          <w:tcPr>
            <w:tcW w:w="1214" w:type="dxa"/>
          </w:tcPr>
          <w:p>
            <w:pPr>
              <w:pStyle w:val="TableParagraph"/>
              <w:spacing w:before="5"/>
              <w:jc w:val="left"/>
              <w:rPr>
                <w:b/>
                <w:sz w:val="21"/>
              </w:rPr>
            </w:pPr>
          </w:p>
          <w:p>
            <w:pPr>
              <w:pStyle w:val="TableParagraph"/>
              <w:ind w:left="60" w:right="46"/>
              <w:rPr>
                <w:sz w:val="21"/>
              </w:rPr>
            </w:pPr>
            <w:r>
              <w:rPr>
                <w:sz w:val="21"/>
              </w:rPr>
              <w:t>袋装</w:t>
            </w:r>
          </w:p>
        </w:tc>
        <w:tc>
          <w:tcPr>
            <w:tcW w:w="1668" w:type="dxa"/>
          </w:tcPr>
          <w:p>
            <w:pPr>
              <w:pStyle w:val="TableParagraph"/>
              <w:spacing w:before="5"/>
              <w:jc w:val="left"/>
              <w:rPr>
                <w:b/>
                <w:sz w:val="21"/>
              </w:rPr>
            </w:pPr>
          </w:p>
          <w:p>
            <w:pPr>
              <w:pStyle w:val="TableParagraph"/>
              <w:ind w:left="176" w:right="161"/>
              <w:rPr>
                <w:sz w:val="21"/>
              </w:rPr>
            </w:pPr>
            <w:r>
              <w:rPr>
                <w:sz w:val="21"/>
              </w:rPr>
              <w:t>危废仓库</w:t>
            </w:r>
          </w:p>
        </w:tc>
      </w:tr>
    </w:tbl>
    <w:p>
      <w:pPr>
        <w:pStyle w:val="ListParagraph"/>
        <w:numPr>
          <w:ilvl w:val="0"/>
          <w:numId w:val="42"/>
        </w:numPr>
        <w:tabs>
          <w:tab w:pos="1300" w:val="left" w:leader="none"/>
        </w:tabs>
        <w:spacing w:line="240" w:lineRule="auto" w:before="2" w:after="0"/>
        <w:ind w:left="1299" w:right="0" w:hanging="602"/>
        <w:jc w:val="left"/>
        <w:rPr>
          <w:rFonts w:ascii="Times New Roman" w:eastAsia="Times New Roman"/>
          <w:sz w:val="24"/>
        </w:rPr>
      </w:pPr>
      <w:r>
        <w:rPr>
          <w:sz w:val="24"/>
        </w:rPr>
        <w:t>危险物质</w:t>
      </w:r>
      <w:r>
        <w:rPr>
          <w:rFonts w:ascii="Times New Roman" w:eastAsia="Times New Roman"/>
          <w:sz w:val="24"/>
        </w:rPr>
        <w:t>MSDS</w:t>
      </w:r>
    </w:p>
    <w:p>
      <w:pPr>
        <w:pStyle w:val="BodyText"/>
        <w:spacing w:before="158"/>
        <w:ind w:left="818"/>
      </w:pPr>
      <w:r>
        <w:rPr/>
        <w:t>危险物质的 </w:t>
      </w:r>
      <w:r>
        <w:rPr>
          <w:rFonts w:ascii="Times New Roman" w:eastAsia="Times New Roman"/>
        </w:rPr>
        <w:t>MSDS </w:t>
      </w:r>
      <w:r>
        <w:rPr/>
        <w:t>详见下表。</w:t>
      </w:r>
    </w:p>
    <w:p>
      <w:pPr>
        <w:pStyle w:val="Heading4"/>
        <w:tabs>
          <w:tab w:pos="1041" w:val="left" w:leader="none"/>
        </w:tabs>
        <w:spacing w:before="168" w:after="10"/>
        <w:ind w:left="0" w:right="13"/>
        <w:jc w:val="center"/>
      </w:pPr>
      <w:r>
        <w:rPr/>
        <w:t>表</w:t>
      </w:r>
      <w:r>
        <w:rPr>
          <w:spacing w:val="-60"/>
        </w:rPr>
        <w:t> </w:t>
      </w:r>
      <w:r>
        <w:rPr>
          <w:rFonts w:ascii="Times New Roman" w:eastAsia="Times New Roman"/>
        </w:rPr>
        <w:t>8.1-2</w:t>
        <w:tab/>
      </w:r>
      <w:r>
        <w:rPr/>
        <w:t>甲酸</w:t>
      </w:r>
    </w:p>
    <w:tbl>
      <w:tblPr>
        <w:tblW w:w="0" w:type="auto"/>
        <w:jc w:val="left"/>
        <w:tblInd w:w="2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96"/>
        <w:gridCol w:w="998"/>
        <w:gridCol w:w="1419"/>
        <w:gridCol w:w="876"/>
        <w:gridCol w:w="106"/>
        <w:gridCol w:w="804"/>
        <w:gridCol w:w="1265"/>
        <w:gridCol w:w="2931"/>
      </w:tblGrid>
      <w:tr>
        <w:trPr>
          <w:trHeight w:val="239" w:hRule="atLeast"/>
        </w:trPr>
        <w:tc>
          <w:tcPr>
            <w:tcW w:w="696" w:type="dxa"/>
            <w:vMerge w:val="restart"/>
          </w:tcPr>
          <w:p>
            <w:pPr>
              <w:pStyle w:val="TableParagraph"/>
              <w:spacing w:before="5"/>
              <w:jc w:val="left"/>
              <w:rPr>
                <w:b/>
                <w:sz w:val="25"/>
              </w:rPr>
            </w:pPr>
          </w:p>
          <w:p>
            <w:pPr>
              <w:pStyle w:val="TableParagraph"/>
              <w:spacing w:line="340" w:lineRule="auto" w:before="1"/>
              <w:ind w:left="165" w:right="158"/>
              <w:jc w:val="left"/>
              <w:rPr>
                <w:rFonts w:ascii="黑体" w:eastAsia="黑体" w:hint="eastAsia"/>
                <w:b/>
                <w:sz w:val="18"/>
              </w:rPr>
            </w:pPr>
            <w:r>
              <w:rPr>
                <w:rFonts w:ascii="黑体" w:eastAsia="黑体" w:hint="eastAsia"/>
                <w:b/>
                <w:sz w:val="18"/>
              </w:rPr>
              <w:t>标识信息</w:t>
            </w:r>
          </w:p>
        </w:tc>
        <w:tc>
          <w:tcPr>
            <w:tcW w:w="998" w:type="dxa"/>
          </w:tcPr>
          <w:p>
            <w:pPr>
              <w:pStyle w:val="TableParagraph"/>
              <w:spacing w:line="208" w:lineRule="exact" w:before="12"/>
              <w:ind w:left="27" w:right="20"/>
              <w:rPr>
                <w:sz w:val="18"/>
              </w:rPr>
            </w:pPr>
            <w:r>
              <w:rPr>
                <w:sz w:val="18"/>
              </w:rPr>
              <w:t>分子式</w:t>
            </w:r>
          </w:p>
        </w:tc>
        <w:tc>
          <w:tcPr>
            <w:tcW w:w="1419" w:type="dxa"/>
          </w:tcPr>
          <w:p>
            <w:pPr>
              <w:pStyle w:val="TableParagraph"/>
              <w:spacing w:line="196" w:lineRule="exact" w:before="23"/>
              <w:ind w:right="451"/>
              <w:jc w:val="right"/>
              <w:rPr>
                <w:rFonts w:ascii="Times New Roman"/>
                <w:sz w:val="12"/>
              </w:rPr>
            </w:pPr>
            <w:r>
              <w:rPr>
                <w:rFonts w:ascii="Times New Roman"/>
                <w:position w:val="1"/>
                <w:sz w:val="18"/>
              </w:rPr>
              <w:t>CH</w:t>
            </w:r>
            <w:r>
              <w:rPr>
                <w:rFonts w:ascii="Times New Roman"/>
                <w:sz w:val="12"/>
              </w:rPr>
              <w:t>2</w:t>
            </w:r>
            <w:r>
              <w:rPr>
                <w:rFonts w:ascii="Times New Roman"/>
                <w:position w:val="1"/>
                <w:sz w:val="18"/>
              </w:rPr>
              <w:t>O</w:t>
            </w:r>
            <w:r>
              <w:rPr>
                <w:rFonts w:ascii="Times New Roman"/>
                <w:sz w:val="12"/>
              </w:rPr>
              <w:t>2</w:t>
            </w:r>
          </w:p>
        </w:tc>
        <w:tc>
          <w:tcPr>
            <w:tcW w:w="876" w:type="dxa"/>
          </w:tcPr>
          <w:p>
            <w:pPr>
              <w:pStyle w:val="TableParagraph"/>
              <w:spacing w:line="208" w:lineRule="exact" w:before="12"/>
              <w:ind w:left="85" w:right="80"/>
              <w:rPr>
                <w:sz w:val="18"/>
              </w:rPr>
            </w:pPr>
            <w:r>
              <w:rPr>
                <w:sz w:val="18"/>
              </w:rPr>
              <w:t>分子量</w:t>
            </w:r>
          </w:p>
        </w:tc>
        <w:tc>
          <w:tcPr>
            <w:tcW w:w="910" w:type="dxa"/>
            <w:gridSpan w:val="2"/>
          </w:tcPr>
          <w:p>
            <w:pPr>
              <w:pStyle w:val="TableParagraph"/>
              <w:spacing w:line="196" w:lineRule="exact" w:before="24"/>
              <w:ind w:left="249"/>
              <w:jc w:val="left"/>
              <w:rPr>
                <w:rFonts w:ascii="Times New Roman"/>
                <w:sz w:val="18"/>
              </w:rPr>
            </w:pPr>
            <w:r>
              <w:rPr>
                <w:rFonts w:ascii="Times New Roman"/>
                <w:sz w:val="18"/>
              </w:rPr>
              <w:t>46.03</w:t>
            </w:r>
          </w:p>
        </w:tc>
        <w:tc>
          <w:tcPr>
            <w:tcW w:w="1265" w:type="dxa"/>
          </w:tcPr>
          <w:p>
            <w:pPr>
              <w:pStyle w:val="TableParagraph"/>
              <w:spacing w:line="208" w:lineRule="exact" w:before="12"/>
              <w:ind w:left="47" w:right="47"/>
              <w:rPr>
                <w:sz w:val="18"/>
              </w:rPr>
            </w:pPr>
            <w:r>
              <w:rPr>
                <w:sz w:val="18"/>
              </w:rPr>
              <w:t>危险性类别</w:t>
            </w:r>
          </w:p>
        </w:tc>
        <w:tc>
          <w:tcPr>
            <w:tcW w:w="2931" w:type="dxa"/>
          </w:tcPr>
          <w:p>
            <w:pPr>
              <w:pStyle w:val="TableParagraph"/>
              <w:spacing w:line="196" w:lineRule="exact" w:before="24"/>
              <w:rPr>
                <w:rFonts w:ascii="Times New Roman"/>
                <w:sz w:val="18"/>
              </w:rPr>
            </w:pPr>
            <w:r>
              <w:rPr>
                <w:rFonts w:ascii="Times New Roman"/>
                <w:sz w:val="18"/>
              </w:rPr>
              <w:t>/</w:t>
            </w:r>
          </w:p>
        </w:tc>
      </w:tr>
      <w:tr>
        <w:trPr>
          <w:trHeight w:val="479" w:hRule="atLeast"/>
        </w:trPr>
        <w:tc>
          <w:tcPr>
            <w:tcW w:w="696" w:type="dxa"/>
            <w:vMerge/>
            <w:tcBorders>
              <w:top w:val="nil"/>
            </w:tcBorders>
          </w:tcPr>
          <w:p>
            <w:pPr>
              <w:rPr>
                <w:sz w:val="2"/>
                <w:szCs w:val="2"/>
              </w:rPr>
            </w:pPr>
          </w:p>
        </w:tc>
        <w:tc>
          <w:tcPr>
            <w:tcW w:w="998" w:type="dxa"/>
          </w:tcPr>
          <w:p>
            <w:pPr>
              <w:pStyle w:val="TableParagraph"/>
              <w:spacing w:before="132"/>
              <w:ind w:left="26" w:right="21"/>
              <w:rPr>
                <w:sz w:val="18"/>
              </w:rPr>
            </w:pPr>
            <w:r>
              <w:rPr>
                <w:rFonts w:ascii="Times New Roman" w:eastAsia="Times New Roman"/>
                <w:sz w:val="18"/>
              </w:rPr>
              <w:t>CAS </w:t>
            </w:r>
            <w:r>
              <w:rPr>
                <w:sz w:val="18"/>
              </w:rPr>
              <w:t>号</w:t>
            </w:r>
          </w:p>
        </w:tc>
        <w:tc>
          <w:tcPr>
            <w:tcW w:w="1419" w:type="dxa"/>
          </w:tcPr>
          <w:p>
            <w:pPr>
              <w:pStyle w:val="TableParagraph"/>
              <w:spacing w:before="144"/>
              <w:ind w:right="416"/>
              <w:jc w:val="right"/>
              <w:rPr>
                <w:rFonts w:ascii="Times New Roman"/>
                <w:sz w:val="18"/>
              </w:rPr>
            </w:pPr>
            <w:r>
              <w:rPr>
                <w:rFonts w:ascii="Times New Roman"/>
                <w:sz w:val="18"/>
              </w:rPr>
              <w:t>64-18-6</w:t>
            </w:r>
          </w:p>
        </w:tc>
        <w:tc>
          <w:tcPr>
            <w:tcW w:w="876" w:type="dxa"/>
          </w:tcPr>
          <w:p>
            <w:pPr>
              <w:pStyle w:val="TableParagraph"/>
              <w:spacing w:before="132"/>
              <w:ind w:left="85" w:right="80"/>
              <w:rPr>
                <w:sz w:val="18"/>
              </w:rPr>
            </w:pPr>
            <w:r>
              <w:rPr>
                <w:rFonts w:ascii="Times New Roman" w:eastAsia="Times New Roman"/>
                <w:sz w:val="18"/>
              </w:rPr>
              <w:t>UN </w:t>
            </w:r>
            <w:r>
              <w:rPr>
                <w:sz w:val="18"/>
              </w:rPr>
              <w:t>编号</w:t>
            </w:r>
          </w:p>
        </w:tc>
        <w:tc>
          <w:tcPr>
            <w:tcW w:w="910" w:type="dxa"/>
            <w:gridSpan w:val="2"/>
          </w:tcPr>
          <w:p>
            <w:pPr>
              <w:pStyle w:val="TableParagraph"/>
              <w:spacing w:before="144"/>
              <w:ind w:left="273"/>
              <w:jc w:val="left"/>
              <w:rPr>
                <w:rFonts w:ascii="Times New Roman"/>
                <w:sz w:val="18"/>
              </w:rPr>
            </w:pPr>
            <w:r>
              <w:rPr>
                <w:rFonts w:ascii="Times New Roman"/>
                <w:sz w:val="18"/>
              </w:rPr>
              <w:t>1779</w:t>
            </w:r>
          </w:p>
        </w:tc>
        <w:tc>
          <w:tcPr>
            <w:tcW w:w="1265" w:type="dxa"/>
          </w:tcPr>
          <w:p>
            <w:pPr>
              <w:pStyle w:val="TableParagraph"/>
              <w:spacing w:line="240" w:lineRule="atLeast" w:before="2"/>
              <w:ind w:left="271" w:right="60" w:hanging="202"/>
              <w:jc w:val="left"/>
              <w:rPr>
                <w:sz w:val="18"/>
              </w:rPr>
            </w:pPr>
            <w:r>
              <w:rPr>
                <w:rFonts w:ascii="Times New Roman" w:eastAsia="Times New Roman"/>
                <w:sz w:val="18"/>
              </w:rPr>
              <w:t>2015 </w:t>
            </w:r>
            <w:r>
              <w:rPr>
                <w:sz w:val="18"/>
              </w:rPr>
              <w:t>版危险化学品序号</w:t>
            </w:r>
          </w:p>
        </w:tc>
        <w:tc>
          <w:tcPr>
            <w:tcW w:w="2931" w:type="dxa"/>
          </w:tcPr>
          <w:p>
            <w:pPr>
              <w:pStyle w:val="TableParagraph"/>
              <w:spacing w:before="144"/>
              <w:ind w:left="2"/>
              <w:rPr>
                <w:rFonts w:ascii="Times New Roman"/>
                <w:sz w:val="18"/>
              </w:rPr>
            </w:pPr>
            <w:r>
              <w:rPr>
                <w:rFonts w:ascii="Times New Roman"/>
                <w:sz w:val="18"/>
              </w:rPr>
              <w:t>1175</w:t>
            </w:r>
          </w:p>
        </w:tc>
      </w:tr>
      <w:tr>
        <w:trPr>
          <w:trHeight w:val="478" w:hRule="atLeast"/>
        </w:trPr>
        <w:tc>
          <w:tcPr>
            <w:tcW w:w="696" w:type="dxa"/>
            <w:vMerge/>
            <w:tcBorders>
              <w:top w:val="nil"/>
            </w:tcBorders>
          </w:tcPr>
          <w:p>
            <w:pPr>
              <w:rPr>
                <w:sz w:val="2"/>
                <w:szCs w:val="2"/>
              </w:rPr>
            </w:pPr>
          </w:p>
        </w:tc>
        <w:tc>
          <w:tcPr>
            <w:tcW w:w="998" w:type="dxa"/>
          </w:tcPr>
          <w:p>
            <w:pPr>
              <w:pStyle w:val="TableParagraph"/>
              <w:spacing w:line="240" w:lineRule="atLeast"/>
              <w:ind w:left="230" w:right="16" w:hanging="202"/>
              <w:jc w:val="left"/>
              <w:rPr>
                <w:sz w:val="18"/>
              </w:rPr>
            </w:pPr>
            <w:r>
              <w:rPr>
                <w:rFonts w:ascii="Times New Roman" w:eastAsia="Times New Roman"/>
                <w:sz w:val="18"/>
              </w:rPr>
              <w:t>2015 </w:t>
            </w:r>
            <w:r>
              <w:rPr>
                <w:sz w:val="18"/>
              </w:rPr>
              <w:t>版危险性类别</w:t>
            </w:r>
          </w:p>
        </w:tc>
        <w:tc>
          <w:tcPr>
            <w:tcW w:w="7401" w:type="dxa"/>
            <w:gridSpan w:val="6"/>
          </w:tcPr>
          <w:p>
            <w:pPr>
              <w:pStyle w:val="TableParagraph"/>
              <w:spacing w:before="9"/>
              <w:ind w:left="29"/>
              <w:jc w:val="left"/>
              <w:rPr>
                <w:rFonts w:ascii="Times New Roman" w:eastAsia="Times New Roman"/>
                <w:sz w:val="18"/>
              </w:rPr>
            </w:pPr>
            <w:r>
              <w:rPr>
                <w:sz w:val="18"/>
              </w:rPr>
              <w:t>皮肤腐蚀</w:t>
            </w:r>
            <w:r>
              <w:rPr>
                <w:rFonts w:ascii="Times New Roman" w:eastAsia="Times New Roman"/>
                <w:sz w:val="18"/>
              </w:rPr>
              <w:t>/</w:t>
            </w:r>
            <w:r>
              <w:rPr>
                <w:sz w:val="18"/>
              </w:rPr>
              <w:t>刺激</w:t>
            </w:r>
            <w:r>
              <w:rPr>
                <w:rFonts w:ascii="Times New Roman" w:eastAsia="Times New Roman"/>
                <w:sz w:val="18"/>
              </w:rPr>
              <w:t>,</w:t>
            </w:r>
            <w:r>
              <w:rPr>
                <w:sz w:val="18"/>
              </w:rPr>
              <w:t>类别 </w:t>
            </w:r>
            <w:r>
              <w:rPr>
                <w:rFonts w:ascii="Times New Roman" w:eastAsia="Times New Roman"/>
                <w:sz w:val="18"/>
              </w:rPr>
              <w:t>1A</w:t>
            </w:r>
          </w:p>
          <w:p>
            <w:pPr>
              <w:pStyle w:val="TableParagraph"/>
              <w:spacing w:line="208" w:lineRule="exact" w:before="10"/>
              <w:ind w:left="29"/>
              <w:jc w:val="left"/>
              <w:rPr>
                <w:rFonts w:ascii="Times New Roman" w:eastAsia="Times New Roman"/>
                <w:sz w:val="18"/>
              </w:rPr>
            </w:pPr>
            <w:r>
              <w:rPr>
                <w:sz w:val="18"/>
              </w:rPr>
              <w:t>严重眼损伤</w:t>
            </w:r>
            <w:r>
              <w:rPr>
                <w:rFonts w:ascii="Times New Roman" w:eastAsia="Times New Roman"/>
                <w:sz w:val="18"/>
              </w:rPr>
              <w:t>/</w:t>
            </w:r>
            <w:r>
              <w:rPr>
                <w:sz w:val="18"/>
              </w:rPr>
              <w:t>眼刺激</w:t>
            </w:r>
            <w:r>
              <w:rPr>
                <w:rFonts w:ascii="Times New Roman" w:eastAsia="Times New Roman"/>
                <w:sz w:val="18"/>
              </w:rPr>
              <w:t>,</w:t>
            </w:r>
            <w:r>
              <w:rPr>
                <w:sz w:val="18"/>
              </w:rPr>
              <w:t>类别 </w:t>
            </w:r>
            <w:r>
              <w:rPr>
                <w:rFonts w:ascii="Times New Roman" w:eastAsia="Times New Roman"/>
                <w:sz w:val="18"/>
              </w:rPr>
              <w:t>1</w:t>
            </w:r>
          </w:p>
        </w:tc>
      </w:tr>
      <w:tr>
        <w:trPr>
          <w:trHeight w:val="237" w:hRule="atLeast"/>
        </w:trPr>
        <w:tc>
          <w:tcPr>
            <w:tcW w:w="696" w:type="dxa"/>
            <w:vMerge w:val="restart"/>
          </w:tcPr>
          <w:p>
            <w:pPr>
              <w:pStyle w:val="TableParagraph"/>
              <w:jc w:val="left"/>
              <w:rPr>
                <w:b/>
                <w:sz w:val="18"/>
              </w:rPr>
            </w:pPr>
          </w:p>
          <w:p>
            <w:pPr>
              <w:pStyle w:val="TableParagraph"/>
              <w:spacing w:before="11"/>
              <w:jc w:val="left"/>
              <w:rPr>
                <w:b/>
                <w:sz w:val="16"/>
              </w:rPr>
            </w:pPr>
          </w:p>
          <w:p>
            <w:pPr>
              <w:pStyle w:val="TableParagraph"/>
              <w:spacing w:line="340" w:lineRule="auto"/>
              <w:ind w:left="165" w:right="158"/>
              <w:jc w:val="left"/>
              <w:rPr>
                <w:rFonts w:ascii="黑体" w:eastAsia="黑体" w:hint="eastAsia"/>
                <w:b/>
                <w:sz w:val="18"/>
              </w:rPr>
            </w:pPr>
            <w:r>
              <w:rPr>
                <w:rFonts w:ascii="黑体" w:eastAsia="黑体" w:hint="eastAsia"/>
                <w:b/>
                <w:sz w:val="18"/>
              </w:rPr>
              <w:t>理化性质</w:t>
            </w:r>
          </w:p>
        </w:tc>
        <w:tc>
          <w:tcPr>
            <w:tcW w:w="998" w:type="dxa"/>
          </w:tcPr>
          <w:p>
            <w:pPr>
              <w:pStyle w:val="TableParagraph"/>
              <w:spacing w:line="208" w:lineRule="exact" w:before="10"/>
              <w:ind w:left="26" w:right="21"/>
              <w:rPr>
                <w:sz w:val="18"/>
              </w:rPr>
            </w:pPr>
            <w:r>
              <w:rPr>
                <w:sz w:val="18"/>
              </w:rPr>
              <w:t>外观性状</w:t>
            </w:r>
          </w:p>
        </w:tc>
        <w:tc>
          <w:tcPr>
            <w:tcW w:w="7401" w:type="dxa"/>
            <w:gridSpan w:val="6"/>
          </w:tcPr>
          <w:p>
            <w:pPr>
              <w:pStyle w:val="TableParagraph"/>
              <w:spacing w:line="208" w:lineRule="exact" w:before="10"/>
              <w:ind w:left="29"/>
              <w:jc w:val="left"/>
              <w:rPr>
                <w:sz w:val="18"/>
              </w:rPr>
            </w:pPr>
            <w:r>
              <w:rPr>
                <w:sz w:val="18"/>
              </w:rPr>
              <w:t>有腐蚀性、无色、发烟液体</w:t>
            </w:r>
          </w:p>
        </w:tc>
      </w:tr>
      <w:tr>
        <w:trPr>
          <w:trHeight w:val="239" w:hRule="atLeast"/>
        </w:trPr>
        <w:tc>
          <w:tcPr>
            <w:tcW w:w="696" w:type="dxa"/>
            <w:vMerge/>
            <w:tcBorders>
              <w:top w:val="nil"/>
            </w:tcBorders>
          </w:tcPr>
          <w:p>
            <w:pPr>
              <w:rPr>
                <w:sz w:val="2"/>
                <w:szCs w:val="2"/>
              </w:rPr>
            </w:pPr>
          </w:p>
        </w:tc>
        <w:tc>
          <w:tcPr>
            <w:tcW w:w="998" w:type="dxa"/>
          </w:tcPr>
          <w:p>
            <w:pPr>
              <w:pStyle w:val="TableParagraph"/>
              <w:spacing w:line="208" w:lineRule="exact" w:before="12"/>
              <w:ind w:left="27" w:right="21"/>
              <w:rPr>
                <w:rFonts w:ascii="Times New Roman" w:hAnsi="Times New Roman" w:eastAsia="Times New Roman"/>
                <w:sz w:val="18"/>
              </w:rPr>
            </w:pPr>
            <w:r>
              <w:rPr>
                <w:sz w:val="18"/>
              </w:rPr>
              <w:t>沸 点 </w:t>
            </w:r>
            <w:r>
              <w:rPr>
                <w:rFonts w:ascii="Times New Roman" w:hAnsi="Times New Roman" w:eastAsia="Times New Roman"/>
                <w:sz w:val="18"/>
              </w:rPr>
              <w:t>℃</w:t>
            </w:r>
          </w:p>
        </w:tc>
        <w:tc>
          <w:tcPr>
            <w:tcW w:w="1419" w:type="dxa"/>
          </w:tcPr>
          <w:p>
            <w:pPr>
              <w:pStyle w:val="TableParagraph"/>
              <w:spacing w:line="196" w:lineRule="exact" w:before="24"/>
              <w:ind w:left="487" w:right="482"/>
              <w:rPr>
                <w:rFonts w:ascii="Times New Roman"/>
                <w:sz w:val="18"/>
              </w:rPr>
            </w:pPr>
            <w:r>
              <w:rPr>
                <w:rFonts w:ascii="Times New Roman"/>
                <w:sz w:val="18"/>
              </w:rPr>
              <w:t>100.8</w:t>
            </w:r>
          </w:p>
        </w:tc>
        <w:tc>
          <w:tcPr>
            <w:tcW w:w="982" w:type="dxa"/>
            <w:gridSpan w:val="2"/>
          </w:tcPr>
          <w:p>
            <w:pPr>
              <w:pStyle w:val="TableParagraph"/>
              <w:spacing w:line="208" w:lineRule="exact" w:before="12"/>
              <w:ind w:left="127"/>
              <w:jc w:val="left"/>
              <w:rPr>
                <w:rFonts w:ascii="Times New Roman" w:hAnsi="Times New Roman" w:eastAsia="Times New Roman"/>
                <w:sz w:val="18"/>
              </w:rPr>
            </w:pPr>
            <w:r>
              <w:rPr>
                <w:sz w:val="18"/>
              </w:rPr>
              <w:t>熔 点 </w:t>
            </w:r>
            <w:r>
              <w:rPr>
                <w:rFonts w:ascii="Times New Roman" w:hAnsi="Times New Roman" w:eastAsia="Times New Roman"/>
                <w:sz w:val="18"/>
              </w:rPr>
              <w:t>℃</w:t>
            </w:r>
          </w:p>
        </w:tc>
        <w:tc>
          <w:tcPr>
            <w:tcW w:w="804" w:type="dxa"/>
          </w:tcPr>
          <w:p>
            <w:pPr>
              <w:pStyle w:val="TableParagraph"/>
              <w:spacing w:line="196" w:lineRule="exact" w:before="24"/>
              <w:ind w:left="168" w:right="165"/>
              <w:rPr>
                <w:rFonts w:ascii="Times New Roman"/>
                <w:sz w:val="18"/>
              </w:rPr>
            </w:pPr>
            <w:r>
              <w:rPr>
                <w:rFonts w:ascii="Times New Roman"/>
                <w:sz w:val="18"/>
              </w:rPr>
              <w:t>8.2</w:t>
            </w:r>
          </w:p>
        </w:tc>
        <w:tc>
          <w:tcPr>
            <w:tcW w:w="1265" w:type="dxa"/>
          </w:tcPr>
          <w:p>
            <w:pPr>
              <w:pStyle w:val="TableParagraph"/>
              <w:spacing w:line="208" w:lineRule="exact" w:before="12"/>
              <w:ind w:left="47" w:right="47"/>
              <w:rPr>
                <w:sz w:val="18"/>
              </w:rPr>
            </w:pPr>
            <w:r>
              <w:rPr>
                <w:sz w:val="18"/>
              </w:rPr>
              <w:t>溶解性</w:t>
            </w:r>
          </w:p>
        </w:tc>
        <w:tc>
          <w:tcPr>
            <w:tcW w:w="2931" w:type="dxa"/>
          </w:tcPr>
          <w:p>
            <w:pPr>
              <w:pStyle w:val="TableParagraph"/>
              <w:spacing w:line="208" w:lineRule="exact" w:before="12"/>
              <w:ind w:left="6"/>
              <w:rPr>
                <w:sz w:val="18"/>
              </w:rPr>
            </w:pPr>
            <w:r>
              <w:rPr>
                <w:sz w:val="18"/>
              </w:rPr>
              <w:t>与水混溶，不溶于烃类，可溶于醇。</w:t>
            </w:r>
          </w:p>
        </w:tc>
      </w:tr>
      <w:tr>
        <w:trPr>
          <w:trHeight w:val="479" w:hRule="atLeast"/>
        </w:trPr>
        <w:tc>
          <w:tcPr>
            <w:tcW w:w="696" w:type="dxa"/>
            <w:vMerge/>
            <w:tcBorders>
              <w:top w:val="nil"/>
            </w:tcBorders>
          </w:tcPr>
          <w:p>
            <w:pPr>
              <w:rPr>
                <w:sz w:val="2"/>
                <w:szCs w:val="2"/>
              </w:rPr>
            </w:pPr>
          </w:p>
        </w:tc>
        <w:tc>
          <w:tcPr>
            <w:tcW w:w="998" w:type="dxa"/>
          </w:tcPr>
          <w:p>
            <w:pPr>
              <w:pStyle w:val="TableParagraph"/>
              <w:spacing w:before="12"/>
              <w:ind w:left="26" w:right="21"/>
              <w:rPr>
                <w:sz w:val="18"/>
              </w:rPr>
            </w:pPr>
            <w:r>
              <w:rPr>
                <w:sz w:val="18"/>
              </w:rPr>
              <w:t>相对密度</w:t>
            </w:r>
          </w:p>
          <w:p>
            <w:pPr>
              <w:pStyle w:val="TableParagraph"/>
              <w:spacing w:line="208" w:lineRule="exact" w:before="9"/>
              <w:ind w:left="27" w:right="20"/>
              <w:rPr>
                <w:rFonts w:ascii="Times New Roman" w:eastAsia="Times New Roman"/>
                <w:sz w:val="18"/>
              </w:rPr>
            </w:pPr>
            <w:r>
              <w:rPr>
                <w:rFonts w:ascii="Times New Roman" w:eastAsia="Times New Roman"/>
                <w:sz w:val="18"/>
              </w:rPr>
              <w:t>(</w:t>
            </w:r>
            <w:r>
              <w:rPr>
                <w:sz w:val="18"/>
              </w:rPr>
              <w:t>水</w:t>
            </w:r>
            <w:r>
              <w:rPr>
                <w:rFonts w:ascii="Times New Roman" w:eastAsia="Times New Roman"/>
                <w:sz w:val="18"/>
              </w:rPr>
              <w:t>=1)</w:t>
            </w:r>
          </w:p>
        </w:tc>
        <w:tc>
          <w:tcPr>
            <w:tcW w:w="1419" w:type="dxa"/>
          </w:tcPr>
          <w:p>
            <w:pPr>
              <w:pStyle w:val="TableParagraph"/>
              <w:spacing w:before="144"/>
              <w:ind w:left="486" w:right="482"/>
              <w:rPr>
                <w:rFonts w:ascii="Times New Roman"/>
                <w:sz w:val="18"/>
              </w:rPr>
            </w:pPr>
            <w:r>
              <w:rPr>
                <w:rFonts w:ascii="Times New Roman"/>
                <w:sz w:val="18"/>
              </w:rPr>
              <w:t>1.23</w:t>
            </w:r>
          </w:p>
        </w:tc>
        <w:tc>
          <w:tcPr>
            <w:tcW w:w="982" w:type="dxa"/>
            <w:gridSpan w:val="2"/>
          </w:tcPr>
          <w:p>
            <w:pPr>
              <w:pStyle w:val="TableParagraph"/>
              <w:spacing w:line="240" w:lineRule="atLeast" w:before="2"/>
              <w:ind w:left="65" w:right="33" w:hanging="24"/>
              <w:jc w:val="left"/>
              <w:rPr>
                <w:rFonts w:ascii="Times New Roman" w:eastAsia="Times New Roman"/>
                <w:sz w:val="18"/>
              </w:rPr>
            </w:pPr>
            <w:r>
              <w:rPr>
                <w:sz w:val="18"/>
              </w:rPr>
              <w:t>蒸气相对密度</w:t>
            </w:r>
            <w:r>
              <w:rPr>
                <w:rFonts w:ascii="Times New Roman" w:eastAsia="Times New Roman"/>
                <w:sz w:val="18"/>
              </w:rPr>
              <w:t>(</w:t>
            </w:r>
            <w:r>
              <w:rPr>
                <w:sz w:val="18"/>
              </w:rPr>
              <w:t>空气</w:t>
            </w:r>
            <w:r>
              <w:rPr>
                <w:rFonts w:ascii="Times New Roman" w:eastAsia="Times New Roman"/>
                <w:sz w:val="18"/>
              </w:rPr>
              <w:t>=1)</w:t>
            </w:r>
          </w:p>
        </w:tc>
        <w:tc>
          <w:tcPr>
            <w:tcW w:w="804" w:type="dxa"/>
          </w:tcPr>
          <w:p>
            <w:pPr>
              <w:pStyle w:val="TableParagraph"/>
              <w:spacing w:before="144"/>
              <w:ind w:left="165" w:right="165"/>
              <w:rPr>
                <w:rFonts w:ascii="Times New Roman"/>
                <w:sz w:val="18"/>
              </w:rPr>
            </w:pPr>
            <w:r>
              <w:rPr>
                <w:rFonts w:ascii="Times New Roman"/>
                <w:sz w:val="18"/>
              </w:rPr>
              <w:t>1.59</w:t>
            </w:r>
          </w:p>
        </w:tc>
        <w:tc>
          <w:tcPr>
            <w:tcW w:w="1265" w:type="dxa"/>
          </w:tcPr>
          <w:p>
            <w:pPr>
              <w:pStyle w:val="TableParagraph"/>
              <w:spacing w:before="132"/>
              <w:ind w:left="51" w:right="44"/>
              <w:rPr>
                <w:sz w:val="18"/>
              </w:rPr>
            </w:pPr>
            <w:r>
              <w:rPr>
                <w:rFonts w:ascii="Times New Roman" w:eastAsia="Times New Roman"/>
                <w:sz w:val="18"/>
              </w:rPr>
              <w:t>pH </w:t>
            </w:r>
            <w:r>
              <w:rPr>
                <w:sz w:val="18"/>
              </w:rPr>
              <w:t>值</w:t>
            </w:r>
          </w:p>
        </w:tc>
        <w:tc>
          <w:tcPr>
            <w:tcW w:w="2931" w:type="dxa"/>
          </w:tcPr>
          <w:p>
            <w:pPr>
              <w:pStyle w:val="TableParagraph"/>
              <w:spacing w:before="144"/>
              <w:rPr>
                <w:rFonts w:ascii="Times New Roman"/>
                <w:sz w:val="18"/>
              </w:rPr>
            </w:pPr>
            <w:r>
              <w:rPr>
                <w:rFonts w:ascii="Times New Roman"/>
                <w:sz w:val="18"/>
              </w:rPr>
              <w:t>/</w:t>
            </w:r>
          </w:p>
        </w:tc>
      </w:tr>
      <w:tr>
        <w:trPr>
          <w:trHeight w:val="477" w:hRule="atLeast"/>
        </w:trPr>
        <w:tc>
          <w:tcPr>
            <w:tcW w:w="696" w:type="dxa"/>
            <w:vMerge/>
            <w:tcBorders>
              <w:top w:val="nil"/>
            </w:tcBorders>
          </w:tcPr>
          <w:p>
            <w:pPr>
              <w:rPr>
                <w:sz w:val="2"/>
                <w:szCs w:val="2"/>
              </w:rPr>
            </w:pPr>
          </w:p>
        </w:tc>
        <w:tc>
          <w:tcPr>
            <w:tcW w:w="998" w:type="dxa"/>
          </w:tcPr>
          <w:p>
            <w:pPr>
              <w:pStyle w:val="TableParagraph"/>
              <w:spacing w:before="129"/>
              <w:ind w:left="27" w:right="21"/>
              <w:rPr>
                <w:rFonts w:ascii="Times New Roman" w:hAnsi="Times New Roman" w:eastAsia="Times New Roman"/>
                <w:sz w:val="18"/>
              </w:rPr>
            </w:pPr>
            <w:r>
              <w:rPr>
                <w:sz w:val="18"/>
              </w:rPr>
              <w:t>临界温度</w:t>
            </w:r>
            <w:r>
              <w:rPr>
                <w:rFonts w:ascii="Times New Roman" w:hAnsi="Times New Roman" w:eastAsia="Times New Roman"/>
                <w:sz w:val="18"/>
              </w:rPr>
              <w:t>℃</w:t>
            </w:r>
          </w:p>
        </w:tc>
        <w:tc>
          <w:tcPr>
            <w:tcW w:w="1419" w:type="dxa"/>
          </w:tcPr>
          <w:p>
            <w:pPr>
              <w:pStyle w:val="TableParagraph"/>
              <w:spacing w:before="141"/>
              <w:ind w:left="487" w:right="482"/>
              <w:rPr>
                <w:rFonts w:ascii="Times New Roman"/>
                <w:sz w:val="18"/>
              </w:rPr>
            </w:pPr>
            <w:r>
              <w:rPr>
                <w:rFonts w:ascii="Times New Roman"/>
                <w:sz w:val="18"/>
              </w:rPr>
              <w:t>306.8</w:t>
            </w:r>
          </w:p>
        </w:tc>
        <w:tc>
          <w:tcPr>
            <w:tcW w:w="982" w:type="dxa"/>
            <w:gridSpan w:val="2"/>
          </w:tcPr>
          <w:p>
            <w:pPr>
              <w:pStyle w:val="TableParagraph"/>
              <w:spacing w:before="9"/>
              <w:ind w:left="109" w:right="107"/>
              <w:rPr>
                <w:sz w:val="18"/>
              </w:rPr>
            </w:pPr>
            <w:r>
              <w:rPr>
                <w:sz w:val="18"/>
              </w:rPr>
              <w:t>临界压力</w:t>
            </w:r>
          </w:p>
          <w:p>
            <w:pPr>
              <w:pStyle w:val="TableParagraph"/>
              <w:spacing w:line="196" w:lineRule="exact" w:before="22"/>
              <w:ind w:left="109" w:right="107"/>
              <w:rPr>
                <w:rFonts w:ascii="Times New Roman"/>
                <w:sz w:val="18"/>
              </w:rPr>
            </w:pPr>
            <w:r>
              <w:rPr>
                <w:rFonts w:ascii="Times New Roman"/>
                <w:sz w:val="18"/>
              </w:rPr>
              <w:t>(MPa)</w:t>
            </w:r>
          </w:p>
        </w:tc>
        <w:tc>
          <w:tcPr>
            <w:tcW w:w="804" w:type="dxa"/>
          </w:tcPr>
          <w:p>
            <w:pPr>
              <w:pStyle w:val="TableParagraph"/>
              <w:spacing w:before="141"/>
              <w:ind w:left="165" w:right="165"/>
              <w:rPr>
                <w:rFonts w:ascii="Times New Roman"/>
                <w:sz w:val="18"/>
              </w:rPr>
            </w:pPr>
            <w:r>
              <w:rPr>
                <w:rFonts w:ascii="Times New Roman"/>
                <w:sz w:val="18"/>
              </w:rPr>
              <w:t>8.63</w:t>
            </w:r>
          </w:p>
        </w:tc>
        <w:tc>
          <w:tcPr>
            <w:tcW w:w="1265" w:type="dxa"/>
          </w:tcPr>
          <w:p>
            <w:pPr>
              <w:pStyle w:val="TableParagraph"/>
              <w:spacing w:before="129"/>
              <w:ind w:left="51" w:right="47"/>
              <w:rPr>
                <w:rFonts w:ascii="Times New Roman" w:eastAsia="Times New Roman"/>
                <w:sz w:val="18"/>
              </w:rPr>
            </w:pPr>
            <w:r>
              <w:rPr>
                <w:sz w:val="18"/>
              </w:rPr>
              <w:t>燃烧热 </w:t>
            </w:r>
            <w:r>
              <w:rPr>
                <w:rFonts w:ascii="Times New Roman" w:eastAsia="Times New Roman"/>
                <w:sz w:val="18"/>
              </w:rPr>
              <w:t>kJ/mol</w:t>
            </w:r>
          </w:p>
        </w:tc>
        <w:tc>
          <w:tcPr>
            <w:tcW w:w="2931" w:type="dxa"/>
          </w:tcPr>
          <w:p>
            <w:pPr>
              <w:pStyle w:val="TableParagraph"/>
              <w:spacing w:before="141"/>
              <w:rPr>
                <w:rFonts w:ascii="Times New Roman"/>
                <w:sz w:val="18"/>
              </w:rPr>
            </w:pPr>
            <w:r>
              <w:rPr>
                <w:rFonts w:ascii="Times New Roman"/>
                <w:sz w:val="18"/>
              </w:rPr>
              <w:t>254.4</w:t>
            </w:r>
          </w:p>
        </w:tc>
      </w:tr>
      <w:tr>
        <w:trPr>
          <w:trHeight w:val="239" w:hRule="atLeast"/>
        </w:trPr>
        <w:tc>
          <w:tcPr>
            <w:tcW w:w="696" w:type="dxa"/>
            <w:vMerge w:val="restart"/>
          </w:tcPr>
          <w:p>
            <w:pPr>
              <w:pStyle w:val="TableParagraph"/>
              <w:spacing w:before="3"/>
              <w:jc w:val="left"/>
              <w:rPr>
                <w:b/>
                <w:sz w:val="19"/>
              </w:rPr>
            </w:pPr>
          </w:p>
          <w:p>
            <w:pPr>
              <w:pStyle w:val="TableParagraph"/>
              <w:spacing w:line="338" w:lineRule="auto"/>
              <w:ind w:left="165" w:right="158"/>
              <w:jc w:val="both"/>
              <w:rPr>
                <w:rFonts w:ascii="黑体" w:eastAsia="黑体" w:hint="eastAsia"/>
                <w:b/>
                <w:sz w:val="18"/>
              </w:rPr>
            </w:pPr>
            <w:r>
              <w:rPr>
                <w:rFonts w:ascii="黑体" w:eastAsia="黑体" w:hint="eastAsia"/>
                <w:b/>
                <w:sz w:val="18"/>
              </w:rPr>
              <w:t>燃烧爆炸危险特性</w:t>
            </w:r>
          </w:p>
        </w:tc>
        <w:tc>
          <w:tcPr>
            <w:tcW w:w="998" w:type="dxa"/>
          </w:tcPr>
          <w:p>
            <w:pPr>
              <w:pStyle w:val="TableParagraph"/>
              <w:spacing w:line="208" w:lineRule="exact" w:before="12"/>
              <w:ind w:left="27" w:right="20"/>
              <w:rPr>
                <w:sz w:val="18"/>
              </w:rPr>
            </w:pPr>
            <w:r>
              <w:rPr>
                <w:sz w:val="18"/>
              </w:rPr>
              <w:t>燃烧性</w:t>
            </w:r>
          </w:p>
        </w:tc>
        <w:tc>
          <w:tcPr>
            <w:tcW w:w="3205" w:type="dxa"/>
            <w:gridSpan w:val="4"/>
          </w:tcPr>
          <w:p>
            <w:pPr>
              <w:pStyle w:val="TableParagraph"/>
              <w:spacing w:line="208" w:lineRule="exact" w:before="12"/>
              <w:ind w:left="1312" w:right="1307"/>
              <w:rPr>
                <w:sz w:val="18"/>
              </w:rPr>
            </w:pPr>
            <w:r>
              <w:rPr>
                <w:sz w:val="18"/>
              </w:rPr>
              <w:t>可燃。</w:t>
            </w:r>
          </w:p>
        </w:tc>
        <w:tc>
          <w:tcPr>
            <w:tcW w:w="1265" w:type="dxa"/>
          </w:tcPr>
          <w:p>
            <w:pPr>
              <w:pStyle w:val="TableParagraph"/>
              <w:spacing w:line="208" w:lineRule="exact" w:before="12"/>
              <w:ind w:left="47" w:right="47"/>
              <w:rPr>
                <w:sz w:val="18"/>
              </w:rPr>
            </w:pPr>
            <w:r>
              <w:rPr>
                <w:sz w:val="18"/>
              </w:rPr>
              <w:t>燃烧产物</w:t>
            </w:r>
          </w:p>
        </w:tc>
        <w:tc>
          <w:tcPr>
            <w:tcW w:w="2931" w:type="dxa"/>
          </w:tcPr>
          <w:p>
            <w:pPr>
              <w:pStyle w:val="TableParagraph"/>
              <w:spacing w:line="196" w:lineRule="exact" w:before="24"/>
              <w:ind w:left="2"/>
              <w:rPr>
                <w:rFonts w:ascii="Times New Roman"/>
                <w:sz w:val="18"/>
              </w:rPr>
            </w:pPr>
            <w:r>
              <w:rPr>
                <w:rFonts w:ascii="Times New Roman"/>
                <w:sz w:val="18"/>
              </w:rPr>
              <w:t>CO</w:t>
            </w:r>
          </w:p>
        </w:tc>
      </w:tr>
      <w:tr>
        <w:trPr>
          <w:trHeight w:val="239" w:hRule="atLeast"/>
        </w:trPr>
        <w:tc>
          <w:tcPr>
            <w:tcW w:w="696" w:type="dxa"/>
            <w:vMerge/>
            <w:tcBorders>
              <w:top w:val="nil"/>
            </w:tcBorders>
          </w:tcPr>
          <w:p>
            <w:pPr>
              <w:rPr>
                <w:sz w:val="2"/>
                <w:szCs w:val="2"/>
              </w:rPr>
            </w:pPr>
          </w:p>
        </w:tc>
        <w:tc>
          <w:tcPr>
            <w:tcW w:w="998" w:type="dxa"/>
          </w:tcPr>
          <w:p>
            <w:pPr>
              <w:pStyle w:val="TableParagraph"/>
              <w:spacing w:line="208" w:lineRule="exact" w:before="12"/>
              <w:ind w:left="27" w:right="21"/>
              <w:rPr>
                <w:rFonts w:ascii="Times New Roman" w:hAnsi="Times New Roman" w:eastAsia="Times New Roman"/>
                <w:sz w:val="18"/>
              </w:rPr>
            </w:pPr>
            <w:r>
              <w:rPr>
                <w:sz w:val="18"/>
              </w:rPr>
              <w:t>引燃温度</w:t>
            </w:r>
            <w:r>
              <w:rPr>
                <w:rFonts w:ascii="Times New Roman" w:hAnsi="Times New Roman" w:eastAsia="Times New Roman"/>
                <w:sz w:val="18"/>
              </w:rPr>
              <w:t>℃</w:t>
            </w:r>
          </w:p>
        </w:tc>
        <w:tc>
          <w:tcPr>
            <w:tcW w:w="1419" w:type="dxa"/>
          </w:tcPr>
          <w:p>
            <w:pPr>
              <w:pStyle w:val="TableParagraph"/>
              <w:spacing w:line="196" w:lineRule="exact" w:before="24"/>
              <w:ind w:left="487" w:right="480"/>
              <w:rPr>
                <w:rFonts w:ascii="Times New Roman"/>
                <w:sz w:val="18"/>
              </w:rPr>
            </w:pPr>
            <w:r>
              <w:rPr>
                <w:rFonts w:ascii="Times New Roman"/>
                <w:sz w:val="18"/>
              </w:rPr>
              <w:t>410</w:t>
            </w:r>
          </w:p>
        </w:tc>
        <w:tc>
          <w:tcPr>
            <w:tcW w:w="982" w:type="dxa"/>
            <w:gridSpan w:val="2"/>
          </w:tcPr>
          <w:p>
            <w:pPr>
              <w:pStyle w:val="TableParagraph"/>
              <w:spacing w:line="208" w:lineRule="exact" w:before="12"/>
              <w:ind w:left="127"/>
              <w:jc w:val="left"/>
              <w:rPr>
                <w:rFonts w:ascii="Times New Roman" w:hAnsi="Times New Roman" w:eastAsia="Times New Roman"/>
                <w:sz w:val="18"/>
              </w:rPr>
            </w:pPr>
            <w:r>
              <w:rPr>
                <w:sz w:val="18"/>
              </w:rPr>
              <w:t>闪 点 </w:t>
            </w:r>
            <w:r>
              <w:rPr>
                <w:rFonts w:ascii="Times New Roman" w:hAnsi="Times New Roman" w:eastAsia="Times New Roman"/>
                <w:sz w:val="18"/>
              </w:rPr>
              <w:t>℃</w:t>
            </w:r>
          </w:p>
        </w:tc>
        <w:tc>
          <w:tcPr>
            <w:tcW w:w="804" w:type="dxa"/>
          </w:tcPr>
          <w:p>
            <w:pPr>
              <w:pStyle w:val="TableParagraph"/>
              <w:spacing w:line="196" w:lineRule="exact" w:before="24"/>
              <w:ind w:left="165" w:right="165"/>
              <w:rPr>
                <w:rFonts w:ascii="Times New Roman"/>
                <w:sz w:val="18"/>
              </w:rPr>
            </w:pPr>
            <w:r>
              <w:rPr>
                <w:rFonts w:ascii="Times New Roman"/>
                <w:sz w:val="18"/>
              </w:rPr>
              <w:t>68.9</w:t>
            </w:r>
          </w:p>
        </w:tc>
        <w:tc>
          <w:tcPr>
            <w:tcW w:w="1265" w:type="dxa"/>
          </w:tcPr>
          <w:p>
            <w:pPr>
              <w:pStyle w:val="TableParagraph"/>
              <w:spacing w:line="208" w:lineRule="exact" w:before="12"/>
              <w:ind w:left="2" w:right="-15"/>
              <w:rPr>
                <w:sz w:val="18"/>
              </w:rPr>
            </w:pPr>
            <w:r>
              <w:rPr>
                <w:sz w:val="18"/>
              </w:rPr>
              <w:t>爆炸上、下限％</w:t>
            </w:r>
          </w:p>
        </w:tc>
        <w:tc>
          <w:tcPr>
            <w:tcW w:w="2931" w:type="dxa"/>
          </w:tcPr>
          <w:p>
            <w:pPr>
              <w:pStyle w:val="TableParagraph"/>
              <w:spacing w:line="196" w:lineRule="exact" w:before="24"/>
              <w:rPr>
                <w:rFonts w:ascii="Times New Roman"/>
                <w:sz w:val="18"/>
              </w:rPr>
            </w:pPr>
            <w:r>
              <w:rPr>
                <w:rFonts w:ascii="Times New Roman"/>
                <w:sz w:val="18"/>
              </w:rPr>
              <w:t>18.0~57.0</w:t>
            </w:r>
          </w:p>
        </w:tc>
      </w:tr>
      <w:tr>
        <w:trPr>
          <w:trHeight w:val="479" w:hRule="atLeast"/>
        </w:trPr>
        <w:tc>
          <w:tcPr>
            <w:tcW w:w="696" w:type="dxa"/>
            <w:vMerge/>
            <w:tcBorders>
              <w:top w:val="nil"/>
            </w:tcBorders>
          </w:tcPr>
          <w:p>
            <w:pPr>
              <w:rPr>
                <w:sz w:val="2"/>
                <w:szCs w:val="2"/>
              </w:rPr>
            </w:pPr>
          </w:p>
        </w:tc>
        <w:tc>
          <w:tcPr>
            <w:tcW w:w="8399" w:type="dxa"/>
            <w:gridSpan w:val="7"/>
          </w:tcPr>
          <w:p>
            <w:pPr>
              <w:pStyle w:val="TableParagraph"/>
              <w:spacing w:line="240" w:lineRule="atLeast" w:before="2"/>
              <w:ind w:left="28" w:right="82"/>
              <w:jc w:val="left"/>
              <w:rPr>
                <w:sz w:val="18"/>
              </w:rPr>
            </w:pPr>
            <w:r>
              <w:rPr>
                <w:sz w:val="18"/>
              </w:rPr>
              <w:t>危险特性：可燃。其蒸气与空气可形成爆炸性混合物，遇明火、高热能引起燃烧爆炸。与强氧化剂接触可发生化学反应。具有较强的腐蚀性。</w:t>
            </w:r>
          </w:p>
        </w:tc>
      </w:tr>
      <w:tr>
        <w:trPr>
          <w:trHeight w:val="240" w:hRule="atLeast"/>
        </w:trPr>
        <w:tc>
          <w:tcPr>
            <w:tcW w:w="696" w:type="dxa"/>
            <w:vMerge/>
            <w:tcBorders>
              <w:top w:val="nil"/>
            </w:tcBorders>
          </w:tcPr>
          <w:p>
            <w:pPr>
              <w:rPr>
                <w:sz w:val="2"/>
                <w:szCs w:val="2"/>
              </w:rPr>
            </w:pPr>
          </w:p>
        </w:tc>
        <w:tc>
          <w:tcPr>
            <w:tcW w:w="998" w:type="dxa"/>
          </w:tcPr>
          <w:p>
            <w:pPr>
              <w:pStyle w:val="TableParagraph"/>
              <w:spacing w:line="208" w:lineRule="exact" w:before="12"/>
              <w:ind w:left="26" w:right="21"/>
              <w:rPr>
                <w:sz w:val="18"/>
              </w:rPr>
            </w:pPr>
            <w:r>
              <w:rPr>
                <w:sz w:val="18"/>
              </w:rPr>
              <w:t>聚合危害</w:t>
            </w:r>
          </w:p>
        </w:tc>
        <w:tc>
          <w:tcPr>
            <w:tcW w:w="1419" w:type="dxa"/>
          </w:tcPr>
          <w:p>
            <w:pPr>
              <w:pStyle w:val="TableParagraph"/>
              <w:spacing w:line="208" w:lineRule="exact" w:before="12"/>
              <w:ind w:right="432"/>
              <w:jc w:val="right"/>
              <w:rPr>
                <w:sz w:val="18"/>
              </w:rPr>
            </w:pPr>
            <w:r>
              <w:rPr>
                <w:sz w:val="18"/>
              </w:rPr>
              <w:t>不聚合</w:t>
            </w:r>
          </w:p>
        </w:tc>
        <w:tc>
          <w:tcPr>
            <w:tcW w:w="982" w:type="dxa"/>
            <w:gridSpan w:val="2"/>
          </w:tcPr>
          <w:p>
            <w:pPr>
              <w:pStyle w:val="TableParagraph"/>
              <w:spacing w:line="208" w:lineRule="exact" w:before="12"/>
              <w:ind w:left="221"/>
              <w:jc w:val="left"/>
              <w:rPr>
                <w:sz w:val="18"/>
              </w:rPr>
            </w:pPr>
            <w:r>
              <w:rPr>
                <w:sz w:val="18"/>
              </w:rPr>
              <w:t>稳定性</w:t>
            </w:r>
          </w:p>
        </w:tc>
        <w:tc>
          <w:tcPr>
            <w:tcW w:w="804" w:type="dxa"/>
          </w:tcPr>
          <w:p>
            <w:pPr>
              <w:pStyle w:val="TableParagraph"/>
              <w:spacing w:line="208" w:lineRule="exact" w:before="12"/>
              <w:ind w:left="167" w:right="165"/>
              <w:rPr>
                <w:sz w:val="18"/>
              </w:rPr>
            </w:pPr>
            <w:r>
              <w:rPr>
                <w:sz w:val="18"/>
              </w:rPr>
              <w:t>稳定</w:t>
            </w:r>
          </w:p>
        </w:tc>
        <w:tc>
          <w:tcPr>
            <w:tcW w:w="1265" w:type="dxa"/>
          </w:tcPr>
          <w:p>
            <w:pPr>
              <w:pStyle w:val="TableParagraph"/>
              <w:spacing w:line="208" w:lineRule="exact" w:before="12"/>
              <w:ind w:left="47" w:right="47"/>
              <w:rPr>
                <w:sz w:val="18"/>
              </w:rPr>
            </w:pPr>
            <w:r>
              <w:rPr>
                <w:sz w:val="18"/>
              </w:rPr>
              <w:t>禁忌物</w:t>
            </w:r>
          </w:p>
        </w:tc>
        <w:tc>
          <w:tcPr>
            <w:tcW w:w="2931" w:type="dxa"/>
          </w:tcPr>
          <w:p>
            <w:pPr>
              <w:pStyle w:val="TableParagraph"/>
              <w:spacing w:line="208" w:lineRule="exact" w:before="12"/>
              <w:ind w:left="2"/>
              <w:rPr>
                <w:sz w:val="18"/>
              </w:rPr>
            </w:pPr>
            <w:r>
              <w:rPr>
                <w:sz w:val="18"/>
              </w:rPr>
              <w:t>强氧化剂、强碱、活性金属粉末</w:t>
            </w:r>
          </w:p>
        </w:tc>
      </w:tr>
      <w:tr>
        <w:trPr>
          <w:trHeight w:val="479" w:hRule="atLeast"/>
        </w:trPr>
        <w:tc>
          <w:tcPr>
            <w:tcW w:w="696" w:type="dxa"/>
            <w:vMerge/>
            <w:tcBorders>
              <w:top w:val="nil"/>
            </w:tcBorders>
          </w:tcPr>
          <w:p>
            <w:pPr>
              <w:rPr>
                <w:sz w:val="2"/>
                <w:szCs w:val="2"/>
              </w:rPr>
            </w:pPr>
          </w:p>
        </w:tc>
        <w:tc>
          <w:tcPr>
            <w:tcW w:w="8399" w:type="dxa"/>
            <w:gridSpan w:val="7"/>
          </w:tcPr>
          <w:p>
            <w:pPr>
              <w:pStyle w:val="TableParagraph"/>
              <w:spacing w:line="240" w:lineRule="atLeast" w:before="2"/>
              <w:ind w:left="28" w:right="52"/>
              <w:jc w:val="left"/>
              <w:rPr>
                <w:sz w:val="18"/>
              </w:rPr>
            </w:pPr>
            <w:r>
              <w:rPr>
                <w:spacing w:val="-14"/>
                <w:sz w:val="18"/>
              </w:rPr>
              <w:t>灭火方法： 消防人员须穿全身防护服、佩戴氧气呼吸器灭火。用水保持火场容器冷却，并用水喷淋保护去堵漏的</w:t>
            </w:r>
            <w:r>
              <w:rPr>
                <w:spacing w:val="-13"/>
                <w:sz w:val="18"/>
              </w:rPr>
              <w:t>人员。灭火剂</w:t>
            </w:r>
            <w:r>
              <w:rPr>
                <w:rFonts w:ascii="Times New Roman" w:eastAsia="Times New Roman"/>
                <w:spacing w:val="-5"/>
                <w:sz w:val="18"/>
              </w:rPr>
              <w:t>:</w:t>
            </w:r>
            <w:r>
              <w:rPr>
                <w:spacing w:val="-12"/>
                <w:sz w:val="18"/>
              </w:rPr>
              <w:t>抗溶性泡沫、干粉、二氧化碳。</w:t>
            </w:r>
          </w:p>
        </w:tc>
      </w:tr>
      <w:tr>
        <w:trPr>
          <w:trHeight w:val="237" w:hRule="atLeast"/>
        </w:trPr>
        <w:tc>
          <w:tcPr>
            <w:tcW w:w="696" w:type="dxa"/>
            <w:vMerge w:val="restart"/>
          </w:tcPr>
          <w:p>
            <w:pPr>
              <w:pStyle w:val="TableParagraph"/>
              <w:spacing w:line="340" w:lineRule="auto" w:before="120"/>
              <w:ind w:left="165" w:right="158"/>
              <w:rPr>
                <w:rFonts w:ascii="黑体" w:eastAsia="黑体" w:hint="eastAsia"/>
                <w:b/>
                <w:sz w:val="18"/>
              </w:rPr>
            </w:pPr>
            <w:r>
              <w:rPr>
                <w:rFonts w:ascii="黑体" w:eastAsia="黑体" w:hint="eastAsia"/>
                <w:b/>
                <w:spacing w:val="-7"/>
                <w:sz w:val="18"/>
              </w:rPr>
              <w:t>毒性</w:t>
            </w:r>
            <w:r>
              <w:rPr>
                <w:rFonts w:ascii="黑体" w:eastAsia="黑体" w:hint="eastAsia"/>
                <w:b/>
                <w:sz w:val="18"/>
              </w:rPr>
              <w:t>与 </w:t>
            </w:r>
            <w:r>
              <w:rPr>
                <w:rFonts w:ascii="黑体" w:eastAsia="黑体" w:hint="eastAsia"/>
                <w:b/>
                <w:spacing w:val="-7"/>
                <w:sz w:val="18"/>
              </w:rPr>
              <w:t>健康危害</w:t>
            </w:r>
          </w:p>
        </w:tc>
        <w:tc>
          <w:tcPr>
            <w:tcW w:w="8399" w:type="dxa"/>
            <w:gridSpan w:val="7"/>
          </w:tcPr>
          <w:p>
            <w:pPr>
              <w:pStyle w:val="TableParagraph"/>
              <w:spacing w:line="208" w:lineRule="exact" w:before="9"/>
              <w:ind w:left="28"/>
              <w:jc w:val="left"/>
              <w:rPr>
                <w:sz w:val="18"/>
              </w:rPr>
            </w:pPr>
            <w:r>
              <w:rPr>
                <w:sz w:val="18"/>
              </w:rPr>
              <w:t>毒理资料： </w:t>
            </w:r>
            <w:r>
              <w:rPr>
                <w:rFonts w:ascii="Times New Roman" w:eastAsia="Times New Roman"/>
                <w:sz w:val="18"/>
              </w:rPr>
              <w:t>LD50</w:t>
            </w:r>
            <w:r>
              <w:rPr>
                <w:sz w:val="18"/>
              </w:rPr>
              <w:t>：</w:t>
            </w:r>
            <w:r>
              <w:rPr>
                <w:rFonts w:ascii="Times New Roman" w:eastAsia="Times New Roman"/>
                <w:sz w:val="18"/>
              </w:rPr>
              <w:t>1100mg/kg</w:t>
            </w:r>
            <w:r>
              <w:rPr>
                <w:sz w:val="18"/>
              </w:rPr>
              <w:t>（大鼠经口）；</w:t>
            </w:r>
            <w:r>
              <w:rPr>
                <w:rFonts w:ascii="Times New Roman" w:eastAsia="Times New Roman"/>
                <w:sz w:val="18"/>
              </w:rPr>
              <w:t>LC50</w:t>
            </w:r>
            <w:r>
              <w:rPr>
                <w:sz w:val="18"/>
              </w:rPr>
              <w:t>：</w:t>
            </w:r>
            <w:r>
              <w:rPr>
                <w:rFonts w:ascii="Times New Roman" w:eastAsia="Times New Roman"/>
                <w:sz w:val="18"/>
              </w:rPr>
              <w:t>15000 mg/m</w:t>
            </w:r>
            <w:r>
              <w:rPr>
                <w:rFonts w:ascii="Times New Roman" w:eastAsia="Times New Roman"/>
                <w:position w:val="6"/>
                <w:sz w:val="12"/>
              </w:rPr>
              <w:t>3 </w:t>
            </w:r>
            <w:r>
              <w:rPr>
                <w:sz w:val="18"/>
              </w:rPr>
              <w:t>，</w:t>
            </w:r>
            <w:r>
              <w:rPr>
                <w:rFonts w:ascii="Times New Roman" w:eastAsia="Times New Roman"/>
                <w:sz w:val="18"/>
              </w:rPr>
              <w:t>15 </w:t>
            </w:r>
            <w:r>
              <w:rPr>
                <w:sz w:val="18"/>
              </w:rPr>
              <w:t>分钟（大鼠吸入）</w:t>
            </w:r>
          </w:p>
        </w:tc>
      </w:tr>
      <w:tr>
        <w:trPr>
          <w:trHeight w:val="240" w:hRule="atLeast"/>
        </w:trPr>
        <w:tc>
          <w:tcPr>
            <w:tcW w:w="696" w:type="dxa"/>
            <w:vMerge/>
            <w:tcBorders>
              <w:top w:val="nil"/>
            </w:tcBorders>
          </w:tcPr>
          <w:p>
            <w:pPr>
              <w:rPr>
                <w:sz w:val="2"/>
                <w:szCs w:val="2"/>
              </w:rPr>
            </w:pPr>
          </w:p>
        </w:tc>
        <w:tc>
          <w:tcPr>
            <w:tcW w:w="8399" w:type="dxa"/>
            <w:gridSpan w:val="7"/>
          </w:tcPr>
          <w:p>
            <w:pPr>
              <w:pStyle w:val="TableParagraph"/>
              <w:spacing w:line="208" w:lineRule="exact" w:before="12"/>
              <w:ind w:left="28"/>
              <w:jc w:val="left"/>
              <w:rPr>
                <w:sz w:val="18"/>
              </w:rPr>
            </w:pPr>
            <w:r>
              <w:rPr>
                <w:sz w:val="18"/>
              </w:rPr>
              <w:t>侵入途经： 吸入，食入，经皮吸收</w:t>
            </w:r>
          </w:p>
        </w:tc>
      </w:tr>
      <w:tr>
        <w:trPr>
          <w:trHeight w:val="719" w:hRule="atLeast"/>
        </w:trPr>
        <w:tc>
          <w:tcPr>
            <w:tcW w:w="696" w:type="dxa"/>
            <w:vMerge/>
            <w:tcBorders>
              <w:top w:val="nil"/>
            </w:tcBorders>
          </w:tcPr>
          <w:p>
            <w:pPr>
              <w:rPr>
                <w:sz w:val="2"/>
                <w:szCs w:val="2"/>
              </w:rPr>
            </w:pPr>
          </w:p>
        </w:tc>
        <w:tc>
          <w:tcPr>
            <w:tcW w:w="8399" w:type="dxa"/>
            <w:gridSpan w:val="7"/>
          </w:tcPr>
          <w:p>
            <w:pPr>
              <w:pStyle w:val="TableParagraph"/>
              <w:spacing w:line="240" w:lineRule="atLeast" w:before="2"/>
              <w:ind w:left="28" w:right="27"/>
              <w:jc w:val="both"/>
              <w:rPr>
                <w:sz w:val="18"/>
              </w:rPr>
            </w:pPr>
            <w:r>
              <w:rPr>
                <w:sz w:val="18"/>
              </w:rPr>
              <w:t>健康危害：主要引起皮肤、粘膜的刺激症状。接触后可引起结膜炎、眼睑水肿、鼻炎、支气管炎，重者可引起急性化学性肺炎。浓甲酸口服后可腐蚀口腔及消化道粘膜，引起呕吐、腹泻及胃肠出血，甚至因急性肾功能衰竭或呼吸功能衰竭而致死。皮肤接触可引起炎症和溃疡。偶有过敏反应。</w:t>
            </w:r>
          </w:p>
        </w:tc>
      </w:tr>
      <w:tr>
        <w:trPr>
          <w:trHeight w:val="237" w:hRule="atLeast"/>
        </w:trPr>
        <w:tc>
          <w:tcPr>
            <w:tcW w:w="696" w:type="dxa"/>
            <w:vMerge/>
            <w:tcBorders>
              <w:top w:val="nil"/>
            </w:tcBorders>
          </w:tcPr>
          <w:p>
            <w:pPr>
              <w:rPr>
                <w:sz w:val="2"/>
                <w:szCs w:val="2"/>
              </w:rPr>
            </w:pPr>
          </w:p>
        </w:tc>
        <w:tc>
          <w:tcPr>
            <w:tcW w:w="8399" w:type="dxa"/>
            <w:gridSpan w:val="7"/>
          </w:tcPr>
          <w:p>
            <w:pPr>
              <w:pStyle w:val="TableParagraph"/>
              <w:spacing w:line="208" w:lineRule="exact" w:before="9"/>
              <w:ind w:left="28"/>
              <w:jc w:val="left"/>
              <w:rPr>
                <w:rFonts w:ascii="Times New Roman" w:eastAsia="Times New Roman"/>
                <w:sz w:val="18"/>
              </w:rPr>
            </w:pPr>
            <w:r>
              <w:rPr>
                <w:sz w:val="18"/>
              </w:rPr>
              <w:t>职业接触限值：</w:t>
            </w:r>
            <w:r>
              <w:rPr>
                <w:rFonts w:ascii="Times New Roman" w:eastAsia="Times New Roman"/>
                <w:sz w:val="18"/>
              </w:rPr>
              <w:t>/</w:t>
            </w:r>
          </w:p>
        </w:tc>
      </w:tr>
      <w:tr>
        <w:trPr>
          <w:trHeight w:val="978" w:hRule="atLeast"/>
        </w:trPr>
        <w:tc>
          <w:tcPr>
            <w:tcW w:w="696" w:type="dxa"/>
          </w:tcPr>
          <w:p>
            <w:pPr>
              <w:pStyle w:val="TableParagraph"/>
              <w:spacing w:before="48"/>
              <w:ind w:left="256" w:hanging="92"/>
              <w:jc w:val="left"/>
              <w:rPr>
                <w:rFonts w:ascii="黑体" w:eastAsia="黑体" w:hint="eastAsia"/>
                <w:b/>
                <w:sz w:val="18"/>
              </w:rPr>
            </w:pPr>
            <w:r>
              <w:rPr>
                <w:rFonts w:ascii="黑体" w:eastAsia="黑体" w:hint="eastAsia"/>
                <w:b/>
                <w:sz w:val="18"/>
              </w:rPr>
              <w:t>包装</w:t>
            </w:r>
          </w:p>
          <w:p>
            <w:pPr>
              <w:pStyle w:val="TableParagraph"/>
              <w:spacing w:line="320" w:lineRule="atLeast" w:before="6"/>
              <w:ind w:left="165" w:right="158" w:firstLine="91"/>
              <w:jc w:val="left"/>
              <w:rPr>
                <w:rFonts w:ascii="黑体" w:eastAsia="黑体" w:hint="eastAsia"/>
                <w:b/>
                <w:sz w:val="18"/>
              </w:rPr>
            </w:pPr>
            <w:r>
              <w:rPr>
                <w:rFonts w:ascii="黑体" w:eastAsia="黑体" w:hint="eastAsia"/>
                <w:b/>
                <w:sz w:val="18"/>
              </w:rPr>
              <w:t>与</w:t>
            </w:r>
            <w:r>
              <w:rPr>
                <w:rFonts w:ascii="黑体" w:eastAsia="黑体" w:hint="eastAsia"/>
                <w:b/>
                <w:spacing w:val="-7"/>
                <w:sz w:val="18"/>
              </w:rPr>
              <w:t>储运</w:t>
            </w:r>
          </w:p>
        </w:tc>
        <w:tc>
          <w:tcPr>
            <w:tcW w:w="8399" w:type="dxa"/>
            <w:gridSpan w:val="7"/>
          </w:tcPr>
          <w:p>
            <w:pPr>
              <w:pStyle w:val="TableParagraph"/>
              <w:spacing w:before="21"/>
              <w:ind w:left="28"/>
              <w:jc w:val="both"/>
              <w:rPr>
                <w:sz w:val="18"/>
              </w:rPr>
            </w:pPr>
            <w:r>
              <w:rPr>
                <w:sz w:val="18"/>
              </w:rPr>
              <w:t>包装标志：</w:t>
            </w:r>
            <w:r>
              <w:rPr>
                <w:rFonts w:ascii="Times New Roman" w:hAnsi="Times New Roman" w:eastAsia="Times New Roman"/>
                <w:sz w:val="18"/>
              </w:rPr>
              <w:t>/ </w:t>
            </w:r>
            <w:r>
              <w:rPr>
                <w:sz w:val="18"/>
              </w:rPr>
              <w:t>包装类别：Ⅱ</w:t>
            </w:r>
          </w:p>
          <w:p>
            <w:pPr>
              <w:pStyle w:val="TableParagraph"/>
              <w:spacing w:line="240" w:lineRule="atLeast"/>
              <w:ind w:left="28" w:right="4"/>
              <w:jc w:val="both"/>
              <w:rPr>
                <w:sz w:val="18"/>
              </w:rPr>
            </w:pPr>
            <w:r>
              <w:rPr>
                <w:spacing w:val="-21"/>
                <w:sz w:val="18"/>
              </w:rPr>
              <w:t>储运条件：储存于阴凉、通风的库房。远离火种、热源。库温不超过</w:t>
            </w:r>
            <w:r>
              <w:rPr>
                <w:rFonts w:ascii="Times New Roman" w:hAnsi="Times New Roman" w:eastAsia="Times New Roman"/>
                <w:spacing w:val="-6"/>
                <w:sz w:val="18"/>
              </w:rPr>
              <w:t>30</w:t>
            </w:r>
            <w:r>
              <w:rPr>
                <w:spacing w:val="-20"/>
                <w:sz w:val="18"/>
              </w:rPr>
              <w:t>℃ </w:t>
            </w:r>
            <w:r>
              <w:rPr>
                <w:rFonts w:ascii="Times New Roman" w:hAnsi="Times New Roman" w:eastAsia="Times New Roman"/>
                <w:spacing w:val="-7"/>
                <w:sz w:val="18"/>
              </w:rPr>
              <w:t>,</w:t>
            </w:r>
            <w:r>
              <w:rPr>
                <w:spacing w:val="-12"/>
                <w:sz w:val="18"/>
              </w:rPr>
              <w:t>相对湿度不超过</w:t>
            </w:r>
            <w:r>
              <w:rPr>
                <w:rFonts w:ascii="Times New Roman" w:hAnsi="Times New Roman" w:eastAsia="Times New Roman"/>
                <w:spacing w:val="-8"/>
                <w:sz w:val="18"/>
              </w:rPr>
              <w:t>85%</w:t>
            </w:r>
            <w:r>
              <w:rPr>
                <w:spacing w:val="-18"/>
                <w:sz w:val="18"/>
              </w:rPr>
              <w:t>。保持容器密封。应</w:t>
            </w:r>
            <w:r>
              <w:rPr>
                <w:spacing w:val="-21"/>
                <w:sz w:val="18"/>
              </w:rPr>
              <w:t>与氧化剂、碱类、活性金属粉末分开存放，切忌混储。配备相应品种和数量的消防器材。储区应备有泄漏应急处理设</w:t>
            </w:r>
            <w:r>
              <w:rPr>
                <w:spacing w:val="-17"/>
                <w:sz w:val="18"/>
              </w:rPr>
              <w:t>备和合适的收容材料。搬运时应轻装轻卸，防止包装及容器损坏。</w:t>
            </w:r>
          </w:p>
        </w:tc>
      </w:tr>
    </w:tbl>
    <w:p>
      <w:pPr>
        <w:spacing w:after="0" w:line="240" w:lineRule="atLeast"/>
        <w:jc w:val="both"/>
        <w:rPr>
          <w:sz w:val="18"/>
        </w:rPr>
        <w:sectPr>
          <w:footerReference w:type="default" r:id="rId129"/>
          <w:pgSz w:w="11910" w:h="16840"/>
          <w:pgMar w:footer="945" w:header="872" w:top="1320" w:bottom="1140" w:left="1200" w:right="1180"/>
          <w:pgNumType w:start="204"/>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8"/>
        </w:rPr>
      </w:pPr>
    </w:p>
    <w:p>
      <w:pPr>
        <w:spacing w:before="75"/>
        <w:ind w:left="0" w:right="152" w:firstLine="0"/>
        <w:jc w:val="right"/>
        <w:rPr>
          <w:sz w:val="18"/>
        </w:rPr>
      </w:pPr>
      <w:r>
        <w:rPr/>
        <w:pict>
          <v:shape style="position:absolute;margin-left:70.223999pt;margin-top:-129.590042pt;width:455.15pt;height:213.9pt;mso-position-horizontal-relative:page;mso-position-vertical-relative:paragraph;z-index:251906048" type="#_x0000_t202" filled="false" stroked="false">
            <v:textbox inset="0,0,0,0">
              <w:txbxContent>
                <w:tbl>
                  <w:tblPr>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96"/>
                    <w:gridCol w:w="8399"/>
                  </w:tblGrid>
                  <w:tr>
                    <w:trPr>
                      <w:trHeight w:val="1200" w:hRule="atLeast"/>
                    </w:trPr>
                    <w:tc>
                      <w:tcPr>
                        <w:tcW w:w="696" w:type="dxa"/>
                      </w:tcPr>
                      <w:p>
                        <w:pPr>
                          <w:pStyle w:val="TableParagraph"/>
                          <w:jc w:val="left"/>
                          <w:rPr>
                            <w:b/>
                            <w:sz w:val="18"/>
                          </w:rPr>
                        </w:pPr>
                      </w:p>
                      <w:p>
                        <w:pPr>
                          <w:pStyle w:val="TableParagraph"/>
                          <w:spacing w:before="11"/>
                          <w:jc w:val="left"/>
                          <w:rPr>
                            <w:b/>
                            <w:sz w:val="19"/>
                          </w:rPr>
                        </w:pPr>
                      </w:p>
                      <w:p>
                        <w:pPr>
                          <w:pStyle w:val="TableParagraph"/>
                          <w:ind w:left="165"/>
                          <w:jc w:val="left"/>
                          <w:rPr>
                            <w:rFonts w:ascii="黑体" w:eastAsia="黑体" w:hint="eastAsia"/>
                            <w:b/>
                            <w:sz w:val="18"/>
                          </w:rPr>
                        </w:pPr>
                        <w:r>
                          <w:rPr>
                            <w:rFonts w:ascii="黑体" w:eastAsia="黑体" w:hint="eastAsia"/>
                            <w:b/>
                            <w:sz w:val="18"/>
                          </w:rPr>
                          <w:t>急救</w:t>
                        </w:r>
                      </w:p>
                    </w:tc>
                    <w:tc>
                      <w:tcPr>
                        <w:tcW w:w="8399" w:type="dxa"/>
                      </w:tcPr>
                      <w:p>
                        <w:pPr>
                          <w:pStyle w:val="TableParagraph"/>
                          <w:spacing w:before="12"/>
                          <w:ind w:left="28"/>
                          <w:jc w:val="left"/>
                          <w:rPr>
                            <w:sz w:val="18"/>
                          </w:rPr>
                        </w:pPr>
                        <w:r>
                          <w:rPr>
                            <w:sz w:val="18"/>
                          </w:rPr>
                          <w:t>皮肤接触：立即脱去污染的衣着，用大量流动清水冲洗至少 </w:t>
                        </w:r>
                        <w:r>
                          <w:rPr>
                            <w:rFonts w:ascii="Times New Roman" w:eastAsia="Times New Roman"/>
                            <w:sz w:val="18"/>
                          </w:rPr>
                          <w:t>15 </w:t>
                        </w:r>
                        <w:r>
                          <w:rPr>
                            <w:sz w:val="18"/>
                          </w:rPr>
                          <w:t>分钟。就医。</w:t>
                        </w:r>
                      </w:p>
                      <w:p>
                        <w:pPr>
                          <w:pStyle w:val="TableParagraph"/>
                          <w:spacing w:before="9"/>
                          <w:ind w:left="28"/>
                          <w:jc w:val="left"/>
                          <w:rPr>
                            <w:sz w:val="18"/>
                          </w:rPr>
                        </w:pPr>
                        <w:r>
                          <w:rPr>
                            <w:sz w:val="18"/>
                          </w:rPr>
                          <w:t>眼睛接触：立即提起眼睑，用大量流动清水或生理盐水彻底冲洗至少 </w:t>
                        </w:r>
                        <w:r>
                          <w:rPr>
                            <w:rFonts w:ascii="Times New Roman" w:eastAsia="Times New Roman"/>
                            <w:sz w:val="18"/>
                          </w:rPr>
                          <w:t>15 </w:t>
                        </w:r>
                        <w:r>
                          <w:rPr>
                            <w:sz w:val="18"/>
                          </w:rPr>
                          <w:t>分钟。就医。</w:t>
                        </w:r>
                      </w:p>
                      <w:p>
                        <w:pPr>
                          <w:pStyle w:val="TableParagraph"/>
                          <w:spacing w:line="249" w:lineRule="auto" w:before="10"/>
                          <w:ind w:left="28" w:right="82"/>
                          <w:jc w:val="left"/>
                          <w:rPr>
                            <w:sz w:val="18"/>
                          </w:rPr>
                        </w:pPr>
                        <w:r>
                          <w:rPr>
                            <w:sz w:val="18"/>
                          </w:rPr>
                          <w:t>吸入：迅速脱离现场至空气新鲜处。保持呼吸道通畅。如呼吸困难，给输氧。如呼吸停止，立即进行人工呼吸。就医。</w:t>
                        </w:r>
                      </w:p>
                      <w:p>
                        <w:pPr>
                          <w:pStyle w:val="TableParagraph"/>
                          <w:spacing w:line="208" w:lineRule="exact"/>
                          <w:ind w:left="28"/>
                          <w:jc w:val="left"/>
                          <w:rPr>
                            <w:sz w:val="18"/>
                          </w:rPr>
                        </w:pPr>
                        <w:r>
                          <w:rPr>
                            <w:sz w:val="18"/>
                          </w:rPr>
                          <w:t>食入：用水漱口，给饮牛奶或蛋清。就医。</w:t>
                        </w:r>
                      </w:p>
                    </w:tc>
                  </w:tr>
                  <w:tr>
                    <w:trPr>
                      <w:trHeight w:val="1439" w:hRule="atLeast"/>
                    </w:trPr>
                    <w:tc>
                      <w:tcPr>
                        <w:tcW w:w="696" w:type="dxa"/>
                      </w:tcPr>
                      <w:p>
                        <w:pPr>
                          <w:pStyle w:val="TableParagraph"/>
                          <w:jc w:val="left"/>
                          <w:rPr>
                            <w:b/>
                            <w:sz w:val="18"/>
                          </w:rPr>
                        </w:pPr>
                      </w:p>
                      <w:p>
                        <w:pPr>
                          <w:pStyle w:val="TableParagraph"/>
                          <w:spacing w:before="5"/>
                          <w:jc w:val="left"/>
                          <w:rPr>
                            <w:b/>
                            <w:sz w:val="16"/>
                          </w:rPr>
                        </w:pPr>
                      </w:p>
                      <w:p>
                        <w:pPr>
                          <w:pStyle w:val="TableParagraph"/>
                          <w:spacing w:line="340" w:lineRule="auto" w:before="1"/>
                          <w:ind w:left="165" w:right="158"/>
                          <w:jc w:val="left"/>
                          <w:rPr>
                            <w:rFonts w:ascii="黑体" w:eastAsia="黑体" w:hint="eastAsia"/>
                            <w:b/>
                            <w:sz w:val="18"/>
                          </w:rPr>
                        </w:pPr>
                        <w:r>
                          <w:rPr>
                            <w:rFonts w:ascii="黑体" w:eastAsia="黑体" w:hint="eastAsia"/>
                            <w:b/>
                            <w:sz w:val="18"/>
                          </w:rPr>
                          <w:t>防护措施</w:t>
                        </w:r>
                      </w:p>
                    </w:tc>
                    <w:tc>
                      <w:tcPr>
                        <w:tcW w:w="8399" w:type="dxa"/>
                      </w:tcPr>
                      <w:p>
                        <w:pPr>
                          <w:pStyle w:val="TableParagraph"/>
                          <w:spacing w:before="12"/>
                          <w:ind w:left="28"/>
                          <w:jc w:val="left"/>
                          <w:rPr>
                            <w:sz w:val="18"/>
                          </w:rPr>
                        </w:pPr>
                        <w:r>
                          <w:rPr>
                            <w:sz w:val="18"/>
                          </w:rPr>
                          <w:t>工程控制： 生产过程密闭，加强通风。提供安全淋浴和洗眼设备。</w:t>
                        </w:r>
                      </w:p>
                      <w:p>
                        <w:pPr>
                          <w:pStyle w:val="TableParagraph"/>
                          <w:spacing w:line="249" w:lineRule="auto" w:before="9"/>
                          <w:ind w:left="28" w:right="82"/>
                          <w:jc w:val="left"/>
                          <w:rPr>
                            <w:sz w:val="18"/>
                          </w:rPr>
                        </w:pPr>
                        <w:r>
                          <w:rPr>
                            <w:sz w:val="18"/>
                          </w:rPr>
                          <w:t>呼吸系统防护、眼睛防护：可能接触其蒸气时，必须佩戴自吸过滤式防毒面具（全面罩）或自吸式长管面具。紧急事态抢救或撤离时，建议佩戴空气呼吸器。</w:t>
                        </w:r>
                      </w:p>
                      <w:p>
                        <w:pPr>
                          <w:pStyle w:val="TableParagraph"/>
                          <w:spacing w:line="249" w:lineRule="auto"/>
                          <w:ind w:left="28" w:right="6023"/>
                          <w:jc w:val="left"/>
                          <w:rPr>
                            <w:sz w:val="18"/>
                          </w:rPr>
                        </w:pPr>
                        <w:r>
                          <w:rPr>
                            <w:sz w:val="18"/>
                          </w:rPr>
                          <w:t>身体防护：穿橡胶耐酸碱服。手防护：戴橡胶耐酸碱手套。</w:t>
                        </w:r>
                      </w:p>
                      <w:p>
                        <w:pPr>
                          <w:pStyle w:val="TableParagraph"/>
                          <w:tabs>
                            <w:tab w:pos="482" w:val="left" w:leader="none"/>
                          </w:tabs>
                          <w:spacing w:line="208" w:lineRule="exact" w:before="1"/>
                          <w:ind w:left="28"/>
                          <w:jc w:val="left"/>
                          <w:rPr>
                            <w:sz w:val="18"/>
                          </w:rPr>
                        </w:pPr>
                        <w:r>
                          <w:rPr>
                            <w:sz w:val="18"/>
                          </w:rPr>
                          <w:t>其</w:t>
                          <w:tab/>
                          <w:t>它：工作现场禁止吸烟</w:t>
                        </w:r>
                        <w:r>
                          <w:rPr>
                            <w:spacing w:val="-3"/>
                            <w:sz w:val="18"/>
                          </w:rPr>
                          <w:t>、</w:t>
                        </w:r>
                        <w:r>
                          <w:rPr>
                            <w:sz w:val="18"/>
                          </w:rPr>
                          <w:t>进食和饮水。工作完毕，淋浴更衣。注意个人清洁卫生。</w:t>
                        </w:r>
                      </w:p>
                    </w:tc>
                  </w:tr>
                  <w:tr>
                    <w:trPr>
                      <w:trHeight w:val="959" w:hRule="atLeast"/>
                    </w:trPr>
                    <w:tc>
                      <w:tcPr>
                        <w:tcW w:w="696" w:type="dxa"/>
                      </w:tcPr>
                      <w:p>
                        <w:pPr>
                          <w:pStyle w:val="TableParagraph"/>
                          <w:spacing w:before="9"/>
                          <w:jc w:val="left"/>
                          <w:rPr>
                            <w:b/>
                            <w:sz w:val="15"/>
                          </w:rPr>
                        </w:pPr>
                      </w:p>
                      <w:p>
                        <w:pPr>
                          <w:pStyle w:val="TableParagraph"/>
                          <w:spacing w:line="340" w:lineRule="auto"/>
                          <w:ind w:left="165" w:right="158"/>
                          <w:jc w:val="left"/>
                          <w:rPr>
                            <w:rFonts w:ascii="黑体" w:eastAsia="黑体" w:hint="eastAsia"/>
                            <w:b/>
                            <w:sz w:val="18"/>
                          </w:rPr>
                        </w:pPr>
                        <w:r>
                          <w:rPr>
                            <w:rFonts w:ascii="黑体" w:eastAsia="黑体" w:hint="eastAsia"/>
                            <w:b/>
                            <w:sz w:val="18"/>
                          </w:rPr>
                          <w:t>泄漏处理</w:t>
                        </w:r>
                      </w:p>
                    </w:tc>
                    <w:tc>
                      <w:tcPr>
                        <w:tcW w:w="8399" w:type="dxa"/>
                      </w:tcPr>
                      <w:p>
                        <w:pPr>
                          <w:pStyle w:val="TableParagraph"/>
                          <w:spacing w:line="240" w:lineRule="atLeast" w:before="2"/>
                          <w:ind w:left="28" w:right="2"/>
                          <w:jc w:val="left"/>
                          <w:rPr>
                            <w:sz w:val="18"/>
                          </w:rPr>
                        </w:pPr>
                        <w:r>
                          <w:rPr>
                            <w:spacing w:val="-25"/>
                            <w:sz w:val="18"/>
                          </w:rPr>
                          <w:t>泄漏处理：疏散泄漏污染区人员至安全区，禁止无关人员进入污染区，切断火源。建议应急处理人员戴自给式呼吸器</w:t>
                        </w:r>
                        <w:r>
                          <w:rPr>
                            <w:spacing w:val="-21"/>
                            <w:sz w:val="18"/>
                          </w:rPr>
                          <w:t>穿化学防护服。不要直接接触泄漏物，在确保安全情况下堵漏。用沙土或其它不燃性吸附剂混合吸收，然后收集运至</w:t>
                        </w:r>
                        <w:r>
                          <w:rPr>
                            <w:spacing w:val="-22"/>
                            <w:sz w:val="18"/>
                          </w:rPr>
                          <w:t>废物处理场所处置。也可以将地面洒上苏打灰，用大量水冲洗，经稀释的洗水放入废水系统。如果大量泄漏，利用围</w:t>
                        </w:r>
                        <w:r>
                          <w:rPr>
                            <w:spacing w:val="-17"/>
                            <w:sz w:val="18"/>
                          </w:rPr>
                          <w:t>堤收容，然后收集、转移、回收或无害处理后废弃。</w:t>
                        </w:r>
                      </w:p>
                    </w:tc>
                  </w:tr>
                  <w:tr>
                    <w:trPr>
                      <w:trHeight w:val="651" w:hRule="atLeast"/>
                    </w:trPr>
                    <w:tc>
                      <w:tcPr>
                        <w:tcW w:w="696" w:type="dxa"/>
                      </w:tcPr>
                      <w:p>
                        <w:pPr>
                          <w:pStyle w:val="TableParagraph"/>
                          <w:spacing w:before="45"/>
                          <w:ind w:left="165"/>
                          <w:jc w:val="left"/>
                          <w:rPr>
                            <w:rFonts w:ascii="黑体" w:eastAsia="黑体" w:hint="eastAsia"/>
                            <w:b/>
                            <w:sz w:val="18"/>
                          </w:rPr>
                        </w:pPr>
                        <w:r>
                          <w:rPr>
                            <w:rFonts w:ascii="黑体" w:eastAsia="黑体" w:hint="eastAsia"/>
                            <w:b/>
                            <w:sz w:val="18"/>
                          </w:rPr>
                          <w:t>法规</w:t>
                        </w:r>
                      </w:p>
                      <w:p>
                        <w:pPr>
                          <w:pStyle w:val="TableParagraph"/>
                          <w:spacing w:before="97"/>
                          <w:ind w:left="165"/>
                          <w:jc w:val="left"/>
                          <w:rPr>
                            <w:rFonts w:ascii="黑体" w:eastAsia="黑体" w:hint="eastAsia"/>
                            <w:b/>
                            <w:sz w:val="18"/>
                          </w:rPr>
                        </w:pPr>
                        <w:r>
                          <w:rPr>
                            <w:rFonts w:ascii="黑体" w:eastAsia="黑体" w:hint="eastAsia"/>
                            <w:b/>
                            <w:sz w:val="18"/>
                          </w:rPr>
                          <w:t>信息</w:t>
                        </w:r>
                      </w:p>
                    </w:tc>
                    <w:tc>
                      <w:tcPr>
                        <w:tcW w:w="8399" w:type="dxa"/>
                      </w:tcPr>
                      <w:p>
                        <w:pPr>
                          <w:pStyle w:val="TableParagraph"/>
                          <w:spacing w:line="249" w:lineRule="auto" w:before="96"/>
                          <w:ind w:left="28" w:right="33"/>
                          <w:jc w:val="left"/>
                          <w:rPr>
                            <w:sz w:val="18"/>
                          </w:rPr>
                        </w:pPr>
                        <w:r>
                          <w:rPr>
                            <w:sz w:val="18"/>
                          </w:rPr>
                          <w:t>《危险化学品安全管理条例》</w:t>
                        </w:r>
                        <w:r>
                          <w:rPr>
                            <w:rFonts w:ascii="Times New Roman" w:eastAsia="Times New Roman"/>
                            <w:sz w:val="18"/>
                          </w:rPr>
                          <w:t>(2013 </w:t>
                        </w:r>
                        <w:r>
                          <w:rPr>
                            <w:sz w:val="18"/>
                          </w:rPr>
                          <w:t>修正本</w:t>
                        </w:r>
                        <w:r>
                          <w:rPr>
                            <w:rFonts w:ascii="Times New Roman" w:eastAsia="Times New Roman"/>
                            <w:sz w:val="18"/>
                          </w:rPr>
                          <w:t>)</w:t>
                        </w:r>
                        <w:r>
                          <w:rPr>
                            <w:spacing w:val="-1"/>
                            <w:sz w:val="18"/>
                          </w:rPr>
                          <w:t>，《工作场所安全使用化学品规定》</w:t>
                        </w:r>
                        <w:r>
                          <w:rPr>
                            <w:rFonts w:ascii="Times New Roman" w:eastAsia="Times New Roman"/>
                            <w:sz w:val="18"/>
                          </w:rPr>
                          <w:t>([1996]</w:t>
                        </w:r>
                        <w:r>
                          <w:rPr>
                            <w:spacing w:val="-13"/>
                            <w:sz w:val="18"/>
                          </w:rPr>
                          <w:t>劳部发 </w:t>
                        </w:r>
                        <w:r>
                          <w:rPr>
                            <w:rFonts w:ascii="Times New Roman" w:eastAsia="Times New Roman"/>
                            <w:sz w:val="18"/>
                          </w:rPr>
                          <w:t>423 </w:t>
                        </w:r>
                        <w:r>
                          <w:rPr>
                            <w:sz w:val="18"/>
                          </w:rPr>
                          <w:t>号</w:t>
                        </w:r>
                        <w:r>
                          <w:rPr>
                            <w:rFonts w:ascii="Times New Roman" w:eastAsia="Times New Roman"/>
                            <w:sz w:val="18"/>
                          </w:rPr>
                          <w:t>)</w:t>
                        </w:r>
                        <w:r>
                          <w:rPr>
                            <w:sz w:val="18"/>
                          </w:rPr>
                          <w:t>等法规，针对危险化学品的安全使用、生产、储存、运输、装卸等方面均作了相应规定。</w:t>
                        </w:r>
                      </w:p>
                    </w:tc>
                  </w:tr>
                </w:tbl>
                <w:p>
                  <w:pPr>
                    <w:pStyle w:val="BodyText"/>
                  </w:pPr>
                </w:p>
              </w:txbxContent>
            </v:textbox>
            <w10:wrap type="none"/>
          </v:shape>
        </w:pict>
      </w:r>
      <w:r>
        <w:rPr>
          <w:sz w:val="18"/>
        </w:rPr>
        <w:t>，</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1"/>
        <w:rPr>
          <w:sz w:val="17"/>
        </w:rPr>
      </w:pPr>
    </w:p>
    <w:p>
      <w:pPr>
        <w:pStyle w:val="BodyText"/>
        <w:ind w:left="698"/>
      </w:pPr>
      <w:r>
        <w:rPr>
          <w:rFonts w:ascii="Times New Roman" w:eastAsia="Times New Roman"/>
        </w:rPr>
        <w:t>2</w:t>
      </w:r>
      <w:r>
        <w:rPr/>
        <w:t>、生产工艺危险性调查</w:t>
      </w:r>
    </w:p>
    <w:p>
      <w:pPr>
        <w:pStyle w:val="BodyText"/>
        <w:spacing w:before="5"/>
        <w:rPr>
          <w:sz w:val="23"/>
        </w:rPr>
      </w:pPr>
    </w:p>
    <w:p>
      <w:pPr>
        <w:pStyle w:val="Heading4"/>
        <w:tabs>
          <w:tab w:pos="1042" w:val="left" w:leader="none"/>
        </w:tabs>
        <w:spacing w:after="29"/>
        <w:ind w:left="0" w:right="20"/>
        <w:jc w:val="center"/>
      </w:pPr>
      <w:r>
        <w:rPr/>
        <w:t>表</w:t>
      </w:r>
      <w:r>
        <w:rPr>
          <w:spacing w:val="-59"/>
        </w:rPr>
        <w:t> </w:t>
      </w:r>
      <w:r>
        <w:rPr>
          <w:rFonts w:ascii="Times New Roman" w:eastAsia="Times New Roman"/>
        </w:rPr>
        <w:t>8.1-3</w:t>
        <w:tab/>
      </w:r>
      <w:r>
        <w:rPr/>
        <w:t>项目涉及到的生产工艺危险性分析</w:t>
      </w:r>
    </w:p>
    <w:tbl>
      <w:tblPr>
        <w:tblW w:w="0" w:type="auto"/>
        <w:jc w:val="left"/>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49"/>
        <w:gridCol w:w="991"/>
        <w:gridCol w:w="1277"/>
        <w:gridCol w:w="5864"/>
      </w:tblGrid>
      <w:tr>
        <w:trPr>
          <w:trHeight w:val="546" w:hRule="atLeast"/>
        </w:trPr>
        <w:tc>
          <w:tcPr>
            <w:tcW w:w="1049" w:type="dxa"/>
          </w:tcPr>
          <w:p>
            <w:pPr>
              <w:pStyle w:val="TableParagraph"/>
              <w:spacing w:line="270" w:lineRule="atLeast" w:before="2"/>
              <w:ind w:left="417" w:right="192" w:hanging="212"/>
              <w:jc w:val="left"/>
              <w:rPr>
                <w:b/>
                <w:sz w:val="21"/>
              </w:rPr>
            </w:pPr>
            <w:r>
              <w:rPr>
                <w:b/>
                <w:sz w:val="21"/>
              </w:rPr>
              <w:t>产品名称</w:t>
            </w:r>
          </w:p>
        </w:tc>
        <w:tc>
          <w:tcPr>
            <w:tcW w:w="991" w:type="dxa"/>
          </w:tcPr>
          <w:p>
            <w:pPr>
              <w:pStyle w:val="TableParagraph"/>
              <w:spacing w:line="270" w:lineRule="atLeast" w:before="2"/>
              <w:ind w:left="177" w:right="163"/>
              <w:jc w:val="left"/>
              <w:rPr>
                <w:b/>
                <w:sz w:val="21"/>
              </w:rPr>
            </w:pPr>
            <w:r>
              <w:rPr>
                <w:b/>
                <w:sz w:val="21"/>
              </w:rPr>
              <w:t>化工单元操作</w:t>
            </w:r>
          </w:p>
        </w:tc>
        <w:tc>
          <w:tcPr>
            <w:tcW w:w="1277" w:type="dxa"/>
          </w:tcPr>
          <w:p>
            <w:pPr>
              <w:pStyle w:val="TableParagraph"/>
              <w:spacing w:line="270" w:lineRule="atLeast" w:before="2"/>
              <w:ind w:left="110" w:right="93"/>
              <w:jc w:val="left"/>
              <w:rPr>
                <w:b/>
                <w:sz w:val="21"/>
              </w:rPr>
            </w:pPr>
            <w:r>
              <w:rPr>
                <w:b/>
                <w:sz w:val="21"/>
              </w:rPr>
              <w:t>主要存在的危险化学品</w:t>
            </w:r>
          </w:p>
        </w:tc>
        <w:tc>
          <w:tcPr>
            <w:tcW w:w="5864" w:type="dxa"/>
          </w:tcPr>
          <w:p>
            <w:pPr>
              <w:pStyle w:val="TableParagraph"/>
              <w:spacing w:before="137"/>
              <w:ind w:left="2491" w:right="2474"/>
              <w:rPr>
                <w:b/>
                <w:sz w:val="21"/>
              </w:rPr>
            </w:pPr>
            <w:r>
              <w:rPr>
                <w:b/>
                <w:sz w:val="21"/>
              </w:rPr>
              <w:t>危险特点</w:t>
            </w:r>
          </w:p>
        </w:tc>
      </w:tr>
      <w:tr>
        <w:trPr>
          <w:trHeight w:val="282" w:hRule="atLeast"/>
        </w:trPr>
        <w:tc>
          <w:tcPr>
            <w:tcW w:w="1049" w:type="dxa"/>
          </w:tcPr>
          <w:p>
            <w:pPr>
              <w:pStyle w:val="TableParagraph"/>
              <w:spacing w:line="257" w:lineRule="exact" w:before="5"/>
              <w:ind w:right="189"/>
              <w:jc w:val="right"/>
              <w:rPr>
                <w:sz w:val="21"/>
              </w:rPr>
            </w:pPr>
            <w:r>
              <w:rPr>
                <w:sz w:val="21"/>
              </w:rPr>
              <w:t>三环唑</w:t>
            </w:r>
          </w:p>
        </w:tc>
        <w:tc>
          <w:tcPr>
            <w:tcW w:w="991" w:type="dxa"/>
          </w:tcPr>
          <w:p>
            <w:pPr>
              <w:pStyle w:val="TableParagraph"/>
              <w:spacing w:line="257" w:lineRule="exact" w:before="5"/>
              <w:ind w:left="292"/>
              <w:jc w:val="left"/>
              <w:rPr>
                <w:sz w:val="21"/>
              </w:rPr>
            </w:pPr>
            <w:r>
              <w:rPr>
                <w:sz w:val="21"/>
              </w:rPr>
              <w:t>扩环</w:t>
            </w:r>
          </w:p>
        </w:tc>
        <w:tc>
          <w:tcPr>
            <w:tcW w:w="1277" w:type="dxa"/>
          </w:tcPr>
          <w:p>
            <w:pPr>
              <w:pStyle w:val="TableParagraph"/>
              <w:spacing w:line="257" w:lineRule="exact" w:before="5"/>
              <w:ind w:left="426"/>
              <w:jc w:val="left"/>
              <w:rPr>
                <w:sz w:val="21"/>
              </w:rPr>
            </w:pPr>
            <w:r>
              <w:rPr>
                <w:sz w:val="21"/>
              </w:rPr>
              <w:t>甲酸</w:t>
            </w:r>
          </w:p>
        </w:tc>
        <w:tc>
          <w:tcPr>
            <w:tcW w:w="5864" w:type="dxa"/>
          </w:tcPr>
          <w:p>
            <w:pPr>
              <w:pStyle w:val="TableParagraph"/>
              <w:spacing w:line="257" w:lineRule="exact" w:before="5"/>
              <w:ind w:left="108"/>
              <w:jc w:val="left"/>
              <w:rPr>
                <w:sz w:val="21"/>
              </w:rPr>
            </w:pPr>
            <w:r>
              <w:rPr>
                <w:sz w:val="21"/>
              </w:rPr>
              <w:t>反应控制不当，引起反应超温超压，发生火灾事故。</w:t>
            </w:r>
          </w:p>
        </w:tc>
      </w:tr>
      <w:tr>
        <w:trPr>
          <w:trHeight w:val="1636" w:hRule="atLeast"/>
        </w:trPr>
        <w:tc>
          <w:tcPr>
            <w:tcW w:w="1049" w:type="dxa"/>
          </w:tcPr>
          <w:p>
            <w:pPr>
              <w:pStyle w:val="TableParagraph"/>
              <w:jc w:val="left"/>
              <w:rPr>
                <w:b/>
                <w:sz w:val="20"/>
              </w:rPr>
            </w:pPr>
          </w:p>
          <w:p>
            <w:pPr>
              <w:pStyle w:val="TableParagraph"/>
              <w:jc w:val="left"/>
              <w:rPr>
                <w:b/>
                <w:sz w:val="20"/>
              </w:rPr>
            </w:pPr>
          </w:p>
          <w:p>
            <w:pPr>
              <w:pStyle w:val="TableParagraph"/>
              <w:spacing w:before="170"/>
              <w:ind w:right="189"/>
              <w:jc w:val="right"/>
              <w:rPr>
                <w:sz w:val="21"/>
              </w:rPr>
            </w:pPr>
            <w:r>
              <w:rPr>
                <w:sz w:val="21"/>
              </w:rPr>
              <w:t>三环唑</w:t>
            </w:r>
          </w:p>
        </w:tc>
        <w:tc>
          <w:tcPr>
            <w:tcW w:w="991" w:type="dxa"/>
          </w:tcPr>
          <w:p>
            <w:pPr>
              <w:pStyle w:val="TableParagraph"/>
              <w:jc w:val="left"/>
              <w:rPr>
                <w:b/>
                <w:sz w:val="20"/>
              </w:rPr>
            </w:pPr>
          </w:p>
          <w:p>
            <w:pPr>
              <w:pStyle w:val="TableParagraph"/>
              <w:spacing w:before="7"/>
              <w:jc w:val="left"/>
              <w:rPr>
                <w:b/>
                <w:sz w:val="22"/>
              </w:rPr>
            </w:pPr>
          </w:p>
          <w:p>
            <w:pPr>
              <w:pStyle w:val="TableParagraph"/>
              <w:spacing w:line="244" w:lineRule="auto"/>
              <w:ind w:left="393" w:right="122" w:hanging="286"/>
              <w:jc w:val="left"/>
              <w:rPr>
                <w:sz w:val="21"/>
              </w:rPr>
            </w:pPr>
            <w:r>
              <w:rPr>
                <w:spacing w:val="-30"/>
                <w:sz w:val="21"/>
              </w:rPr>
              <w:t>蒸馏、精</w:t>
            </w:r>
            <w:r>
              <w:rPr>
                <w:sz w:val="21"/>
              </w:rPr>
              <w:t>馏</w:t>
            </w:r>
          </w:p>
        </w:tc>
        <w:tc>
          <w:tcPr>
            <w:tcW w:w="1277" w:type="dxa"/>
          </w:tcPr>
          <w:p>
            <w:pPr>
              <w:pStyle w:val="TableParagraph"/>
              <w:jc w:val="left"/>
              <w:rPr>
                <w:b/>
                <w:sz w:val="20"/>
              </w:rPr>
            </w:pPr>
          </w:p>
          <w:p>
            <w:pPr>
              <w:pStyle w:val="TableParagraph"/>
              <w:jc w:val="left"/>
              <w:rPr>
                <w:b/>
                <w:sz w:val="20"/>
              </w:rPr>
            </w:pPr>
          </w:p>
          <w:p>
            <w:pPr>
              <w:pStyle w:val="TableParagraph"/>
              <w:spacing w:before="170"/>
              <w:ind w:left="426"/>
              <w:jc w:val="left"/>
              <w:rPr>
                <w:sz w:val="21"/>
              </w:rPr>
            </w:pPr>
            <w:r>
              <w:rPr>
                <w:sz w:val="21"/>
              </w:rPr>
              <w:t>甲酸</w:t>
            </w:r>
          </w:p>
        </w:tc>
        <w:tc>
          <w:tcPr>
            <w:tcW w:w="5864" w:type="dxa"/>
          </w:tcPr>
          <w:p>
            <w:pPr>
              <w:pStyle w:val="TableParagraph"/>
              <w:spacing w:line="242" w:lineRule="auto" w:before="1"/>
              <w:ind w:left="108" w:right="85"/>
              <w:jc w:val="both"/>
              <w:rPr>
                <w:sz w:val="21"/>
              </w:rPr>
            </w:pPr>
            <w:r>
              <w:rPr>
                <w:spacing w:val="-5"/>
                <w:sz w:val="21"/>
              </w:rPr>
              <w:t>该单元的危险性主要集中在蒸馏、精馏系统，引发事故的原因</w:t>
            </w:r>
            <w:r>
              <w:rPr>
                <w:spacing w:val="-7"/>
                <w:sz w:val="21"/>
              </w:rPr>
              <w:t>主要有：①当冷却水在事故状态下突然漏入塔内，因塔内的局部蒸馏温度高于水的沸点，会使水迅速汽化，塔内的局部压力</w:t>
            </w:r>
            <w:r>
              <w:rPr>
                <w:spacing w:val="-6"/>
                <w:sz w:val="21"/>
              </w:rPr>
              <w:t>突然增高，导致物料冲出或可能发生超压损坏设备；②当冷却</w:t>
            </w:r>
            <w:r>
              <w:rPr>
                <w:spacing w:val="-5"/>
                <w:sz w:val="21"/>
              </w:rPr>
              <w:t>水在事故状态下突然中断会使得未冷凝的易燃蒸汽逸出，使局</w:t>
            </w:r>
          </w:p>
          <w:p>
            <w:pPr>
              <w:pStyle w:val="TableParagraph"/>
              <w:spacing w:line="252" w:lineRule="exact" w:before="4"/>
              <w:ind w:left="108"/>
              <w:jc w:val="left"/>
              <w:rPr>
                <w:sz w:val="21"/>
              </w:rPr>
            </w:pPr>
            <w:r>
              <w:rPr>
                <w:sz w:val="21"/>
              </w:rPr>
              <w:t>部温度增高或窜出。</w:t>
            </w:r>
          </w:p>
        </w:tc>
      </w:tr>
    </w:tbl>
    <w:p>
      <w:pPr>
        <w:pStyle w:val="Heading3"/>
        <w:numPr>
          <w:ilvl w:val="1"/>
          <w:numId w:val="23"/>
        </w:numPr>
        <w:tabs>
          <w:tab w:pos="711" w:val="left" w:leader="none"/>
        </w:tabs>
        <w:spacing w:line="240" w:lineRule="auto" w:before="3" w:after="0"/>
        <w:ind w:left="710" w:right="0" w:hanging="493"/>
        <w:jc w:val="left"/>
      </w:pPr>
      <w:bookmarkStart w:name="_bookmark49" w:id="99"/>
      <w:bookmarkEnd w:id="99"/>
      <w:r>
        <w:rPr>
          <w:b w:val="0"/>
        </w:rPr>
      </w:r>
      <w:bookmarkStart w:name="_bookmark49" w:id="100"/>
      <w:bookmarkEnd w:id="100"/>
      <w:r>
        <w:rPr/>
        <w:t>环境敏感目标调查</w:t>
      </w:r>
    </w:p>
    <w:p>
      <w:pPr>
        <w:pStyle w:val="BodyText"/>
        <w:spacing w:before="186"/>
        <w:ind w:left="698"/>
      </w:pPr>
      <w:r>
        <w:rPr/>
        <w:t>根据危险物质的影响途径，确定本项目风险评价环境敏感目标如下。</w:t>
      </w:r>
    </w:p>
    <w:p>
      <w:pPr>
        <w:pStyle w:val="BodyText"/>
        <w:spacing w:before="4"/>
        <w:rPr>
          <w:sz w:val="23"/>
        </w:rPr>
      </w:pPr>
    </w:p>
    <w:p>
      <w:pPr>
        <w:pStyle w:val="Heading4"/>
        <w:spacing w:before="1" w:after="28"/>
        <w:ind w:left="0" w:right="19"/>
        <w:jc w:val="center"/>
      </w:pPr>
      <w:r>
        <w:rPr/>
        <w:t>表 </w:t>
      </w:r>
      <w:r>
        <w:rPr>
          <w:rFonts w:ascii="Times New Roman" w:eastAsia="Times New Roman"/>
        </w:rPr>
        <w:t>8.2-1  </w:t>
      </w:r>
      <w:r>
        <w:rPr/>
        <w:t>建设项目环境敏感特征表</w:t>
      </w: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8"/>
        <w:gridCol w:w="609"/>
        <w:gridCol w:w="2141"/>
        <w:gridCol w:w="1159"/>
        <w:gridCol w:w="1205"/>
        <w:gridCol w:w="2129"/>
        <w:gridCol w:w="1132"/>
      </w:tblGrid>
      <w:tr>
        <w:trPr>
          <w:trHeight w:val="285" w:hRule="atLeast"/>
        </w:trPr>
        <w:tc>
          <w:tcPr>
            <w:tcW w:w="698" w:type="dxa"/>
          </w:tcPr>
          <w:p>
            <w:pPr>
              <w:pStyle w:val="TableParagraph"/>
              <w:spacing w:line="262" w:lineRule="exact" w:before="3"/>
              <w:ind w:left="136"/>
              <w:jc w:val="left"/>
              <w:rPr>
                <w:b/>
                <w:sz w:val="21"/>
              </w:rPr>
            </w:pPr>
            <w:r>
              <w:rPr>
                <w:b/>
                <w:sz w:val="21"/>
              </w:rPr>
              <w:t>类别</w:t>
            </w:r>
          </w:p>
        </w:tc>
        <w:tc>
          <w:tcPr>
            <w:tcW w:w="8375" w:type="dxa"/>
            <w:gridSpan w:val="6"/>
          </w:tcPr>
          <w:p>
            <w:pPr>
              <w:pStyle w:val="TableParagraph"/>
              <w:spacing w:line="262" w:lineRule="exact" w:before="3"/>
              <w:ind w:left="3245" w:right="3233"/>
              <w:rPr>
                <w:b/>
                <w:sz w:val="21"/>
              </w:rPr>
            </w:pPr>
            <w:r>
              <w:rPr>
                <w:b/>
                <w:sz w:val="21"/>
              </w:rPr>
              <w:t>环境敏感特征</w:t>
            </w:r>
          </w:p>
        </w:tc>
      </w:tr>
      <w:tr>
        <w:trPr>
          <w:trHeight w:val="282" w:hRule="atLeast"/>
        </w:trPr>
        <w:tc>
          <w:tcPr>
            <w:tcW w:w="698"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6"/>
              <w:jc w:val="left"/>
              <w:rPr>
                <w:b/>
                <w:sz w:val="29"/>
              </w:rPr>
            </w:pPr>
          </w:p>
          <w:p>
            <w:pPr>
              <w:pStyle w:val="TableParagraph"/>
              <w:spacing w:line="213" w:lineRule="auto"/>
              <w:ind w:left="139" w:right="124"/>
              <w:jc w:val="left"/>
              <w:rPr>
                <w:sz w:val="21"/>
              </w:rPr>
            </w:pPr>
            <w:r>
              <w:rPr>
                <w:sz w:val="21"/>
              </w:rPr>
              <w:t>环境空气</w:t>
            </w:r>
          </w:p>
        </w:tc>
        <w:tc>
          <w:tcPr>
            <w:tcW w:w="8375" w:type="dxa"/>
            <w:gridSpan w:val="6"/>
          </w:tcPr>
          <w:p>
            <w:pPr>
              <w:pStyle w:val="TableParagraph"/>
              <w:spacing w:line="259" w:lineRule="exact" w:before="3"/>
              <w:ind w:left="3248" w:right="3233"/>
              <w:rPr>
                <w:sz w:val="21"/>
              </w:rPr>
            </w:pPr>
            <w:r>
              <w:rPr>
                <w:sz w:val="21"/>
              </w:rPr>
              <w:t>厂址周边</w:t>
            </w:r>
            <w:r>
              <w:rPr>
                <w:rFonts w:ascii="Times New Roman" w:eastAsia="Times New Roman"/>
                <w:sz w:val="21"/>
              </w:rPr>
              <w:t>5km</w:t>
            </w:r>
            <w:r>
              <w:rPr>
                <w:sz w:val="21"/>
              </w:rPr>
              <w:t>范围内</w:t>
            </w:r>
          </w:p>
        </w:tc>
      </w:tr>
      <w:tr>
        <w:trPr>
          <w:trHeight w:val="479" w:hRule="atLeast"/>
        </w:trPr>
        <w:tc>
          <w:tcPr>
            <w:tcW w:w="698" w:type="dxa"/>
            <w:vMerge/>
            <w:tcBorders>
              <w:top w:val="nil"/>
            </w:tcBorders>
          </w:tcPr>
          <w:p>
            <w:pPr>
              <w:rPr>
                <w:sz w:val="2"/>
                <w:szCs w:val="2"/>
              </w:rPr>
            </w:pPr>
          </w:p>
        </w:tc>
        <w:tc>
          <w:tcPr>
            <w:tcW w:w="609" w:type="dxa"/>
          </w:tcPr>
          <w:p>
            <w:pPr>
              <w:pStyle w:val="TableParagraph"/>
              <w:spacing w:line="236" w:lineRule="exact"/>
              <w:ind w:left="199"/>
              <w:jc w:val="left"/>
              <w:rPr>
                <w:sz w:val="21"/>
              </w:rPr>
            </w:pPr>
            <w:r>
              <w:rPr>
                <w:w w:val="100"/>
                <w:sz w:val="21"/>
              </w:rPr>
              <w:t>序</w:t>
            </w:r>
          </w:p>
          <w:p>
            <w:pPr>
              <w:pStyle w:val="TableParagraph"/>
              <w:spacing w:line="223" w:lineRule="exact"/>
              <w:ind w:left="199"/>
              <w:jc w:val="left"/>
              <w:rPr>
                <w:sz w:val="21"/>
              </w:rPr>
            </w:pPr>
            <w:r>
              <w:rPr>
                <w:w w:val="100"/>
                <w:sz w:val="21"/>
              </w:rPr>
              <w:t>号</w:t>
            </w:r>
          </w:p>
        </w:tc>
        <w:tc>
          <w:tcPr>
            <w:tcW w:w="2141" w:type="dxa"/>
          </w:tcPr>
          <w:p>
            <w:pPr>
              <w:pStyle w:val="TableParagraph"/>
              <w:spacing w:before="101"/>
              <w:ind w:left="210" w:right="199"/>
              <w:rPr>
                <w:sz w:val="21"/>
              </w:rPr>
            </w:pPr>
            <w:r>
              <w:rPr>
                <w:sz w:val="21"/>
              </w:rPr>
              <w:t>敏感目标名称</w:t>
            </w:r>
          </w:p>
        </w:tc>
        <w:tc>
          <w:tcPr>
            <w:tcW w:w="1159" w:type="dxa"/>
          </w:tcPr>
          <w:p>
            <w:pPr>
              <w:pStyle w:val="TableParagraph"/>
              <w:spacing w:before="101"/>
              <w:ind w:left="140" w:right="128"/>
              <w:rPr>
                <w:sz w:val="21"/>
              </w:rPr>
            </w:pPr>
            <w:r>
              <w:rPr>
                <w:sz w:val="21"/>
              </w:rPr>
              <w:t>相对方位</w:t>
            </w:r>
          </w:p>
        </w:tc>
        <w:tc>
          <w:tcPr>
            <w:tcW w:w="1205" w:type="dxa"/>
          </w:tcPr>
          <w:p>
            <w:pPr>
              <w:pStyle w:val="TableParagraph"/>
              <w:spacing w:before="101"/>
              <w:ind w:left="53" w:right="41"/>
              <w:rPr>
                <w:rFonts w:ascii="Times New Roman" w:eastAsia="Times New Roman"/>
                <w:sz w:val="21"/>
              </w:rPr>
            </w:pPr>
            <w:r>
              <w:rPr>
                <w:sz w:val="21"/>
              </w:rPr>
              <w:t>距离</w:t>
            </w:r>
            <w:r>
              <w:rPr>
                <w:rFonts w:ascii="Times New Roman" w:eastAsia="Times New Roman"/>
                <w:sz w:val="21"/>
              </w:rPr>
              <w:t>/m</w:t>
            </w:r>
          </w:p>
        </w:tc>
        <w:tc>
          <w:tcPr>
            <w:tcW w:w="2129" w:type="dxa"/>
          </w:tcPr>
          <w:p>
            <w:pPr>
              <w:pStyle w:val="TableParagraph"/>
              <w:spacing w:before="101"/>
              <w:ind w:left="101" w:right="86"/>
              <w:rPr>
                <w:sz w:val="21"/>
              </w:rPr>
            </w:pPr>
            <w:r>
              <w:rPr>
                <w:sz w:val="21"/>
              </w:rPr>
              <w:t>属性</w:t>
            </w:r>
          </w:p>
        </w:tc>
        <w:tc>
          <w:tcPr>
            <w:tcW w:w="1132" w:type="dxa"/>
          </w:tcPr>
          <w:p>
            <w:pPr>
              <w:pStyle w:val="TableParagraph"/>
              <w:spacing w:before="101"/>
              <w:ind w:left="125" w:right="111"/>
              <w:rPr>
                <w:sz w:val="21"/>
              </w:rPr>
            </w:pPr>
            <w:r>
              <w:rPr>
                <w:sz w:val="21"/>
              </w:rPr>
              <w:t>人口数</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252"/>
              <w:jc w:val="left"/>
              <w:rPr>
                <w:rFonts w:ascii="Times New Roman"/>
                <w:sz w:val="21"/>
              </w:rPr>
            </w:pPr>
            <w:r>
              <w:rPr>
                <w:rFonts w:ascii="Times New Roman"/>
                <w:w w:val="100"/>
                <w:sz w:val="21"/>
              </w:rPr>
              <w:t>1</w:t>
            </w:r>
          </w:p>
        </w:tc>
        <w:tc>
          <w:tcPr>
            <w:tcW w:w="2141" w:type="dxa"/>
          </w:tcPr>
          <w:p>
            <w:pPr>
              <w:pStyle w:val="TableParagraph"/>
              <w:spacing w:line="259" w:lineRule="exact" w:before="5"/>
              <w:ind w:left="212" w:right="199"/>
              <w:rPr>
                <w:sz w:val="21"/>
              </w:rPr>
            </w:pPr>
            <w:r>
              <w:rPr>
                <w:sz w:val="21"/>
              </w:rPr>
              <w:t>园区生活区</w:t>
            </w:r>
          </w:p>
        </w:tc>
        <w:tc>
          <w:tcPr>
            <w:tcW w:w="1159" w:type="dxa"/>
          </w:tcPr>
          <w:p>
            <w:pPr>
              <w:pStyle w:val="TableParagraph"/>
              <w:spacing w:before="19"/>
              <w:ind w:left="140" w:right="125"/>
              <w:rPr>
                <w:rFonts w:ascii="Times New Roman"/>
                <w:sz w:val="21"/>
              </w:rPr>
            </w:pPr>
            <w:r>
              <w:rPr>
                <w:rFonts w:ascii="Times New Roman"/>
                <w:sz w:val="21"/>
              </w:rPr>
              <w:t>SW</w:t>
            </w:r>
          </w:p>
        </w:tc>
        <w:tc>
          <w:tcPr>
            <w:tcW w:w="1205" w:type="dxa"/>
          </w:tcPr>
          <w:p>
            <w:pPr>
              <w:pStyle w:val="TableParagraph"/>
              <w:spacing w:before="19"/>
              <w:ind w:left="53" w:right="42"/>
              <w:rPr>
                <w:rFonts w:ascii="Times New Roman"/>
                <w:sz w:val="21"/>
              </w:rPr>
            </w:pPr>
            <w:r>
              <w:rPr>
                <w:rFonts w:ascii="Times New Roman"/>
                <w:sz w:val="21"/>
              </w:rPr>
              <w:t>~2.4km</w:t>
            </w:r>
          </w:p>
        </w:tc>
        <w:tc>
          <w:tcPr>
            <w:tcW w:w="2129" w:type="dxa"/>
          </w:tcPr>
          <w:p>
            <w:pPr>
              <w:pStyle w:val="TableParagraph"/>
              <w:spacing w:line="259" w:lineRule="exact" w:before="5"/>
              <w:ind w:left="101" w:right="88"/>
              <w:rPr>
                <w:sz w:val="21"/>
              </w:rPr>
            </w:pPr>
            <w:r>
              <w:rPr>
                <w:sz w:val="21"/>
              </w:rPr>
              <w:t>居住、办公与商业区</w:t>
            </w:r>
          </w:p>
        </w:tc>
        <w:tc>
          <w:tcPr>
            <w:tcW w:w="1132" w:type="dxa"/>
          </w:tcPr>
          <w:p>
            <w:pPr>
              <w:pStyle w:val="TableParagraph"/>
              <w:spacing w:line="259" w:lineRule="exact" w:before="5"/>
              <w:ind w:left="126" w:right="109"/>
              <w:rPr>
                <w:sz w:val="21"/>
              </w:rPr>
            </w:pPr>
            <w:r>
              <w:rPr>
                <w:rFonts w:ascii="Times New Roman" w:eastAsia="Times New Roman"/>
                <w:sz w:val="21"/>
              </w:rPr>
              <w:t>~2200</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252"/>
              <w:jc w:val="left"/>
              <w:rPr>
                <w:rFonts w:ascii="Times New Roman"/>
                <w:sz w:val="21"/>
              </w:rPr>
            </w:pPr>
            <w:r>
              <w:rPr>
                <w:rFonts w:ascii="Times New Roman"/>
                <w:w w:val="100"/>
                <w:sz w:val="21"/>
              </w:rPr>
              <w:t>2</w:t>
            </w:r>
          </w:p>
        </w:tc>
        <w:tc>
          <w:tcPr>
            <w:tcW w:w="2141" w:type="dxa"/>
          </w:tcPr>
          <w:p>
            <w:pPr>
              <w:pStyle w:val="TableParagraph"/>
              <w:spacing w:line="259" w:lineRule="exact" w:before="3"/>
              <w:ind w:left="212" w:right="199"/>
              <w:rPr>
                <w:sz w:val="21"/>
              </w:rPr>
            </w:pPr>
            <w:r>
              <w:rPr>
                <w:sz w:val="21"/>
              </w:rPr>
              <w:t>东一区职工生活区</w:t>
            </w:r>
          </w:p>
        </w:tc>
        <w:tc>
          <w:tcPr>
            <w:tcW w:w="1159" w:type="dxa"/>
          </w:tcPr>
          <w:p>
            <w:pPr>
              <w:pStyle w:val="TableParagraph"/>
              <w:spacing w:before="17"/>
              <w:ind w:left="12"/>
              <w:rPr>
                <w:rFonts w:ascii="Times New Roman"/>
                <w:sz w:val="21"/>
              </w:rPr>
            </w:pPr>
            <w:r>
              <w:rPr>
                <w:rFonts w:ascii="Times New Roman"/>
                <w:w w:val="100"/>
                <w:sz w:val="21"/>
              </w:rPr>
              <w:t>W</w:t>
            </w:r>
          </w:p>
        </w:tc>
        <w:tc>
          <w:tcPr>
            <w:tcW w:w="1205" w:type="dxa"/>
          </w:tcPr>
          <w:p>
            <w:pPr>
              <w:pStyle w:val="TableParagraph"/>
              <w:spacing w:before="17"/>
              <w:ind w:left="53" w:right="42"/>
              <w:rPr>
                <w:rFonts w:ascii="Times New Roman"/>
                <w:sz w:val="21"/>
              </w:rPr>
            </w:pPr>
            <w:r>
              <w:rPr>
                <w:rFonts w:ascii="Times New Roman"/>
                <w:sz w:val="21"/>
              </w:rPr>
              <w:t>~4.5km</w:t>
            </w:r>
          </w:p>
        </w:tc>
        <w:tc>
          <w:tcPr>
            <w:tcW w:w="2129" w:type="dxa"/>
          </w:tcPr>
          <w:p>
            <w:pPr>
              <w:pStyle w:val="TableParagraph"/>
              <w:spacing w:line="259" w:lineRule="exact" w:before="3"/>
              <w:ind w:left="101" w:right="86"/>
              <w:rPr>
                <w:sz w:val="21"/>
              </w:rPr>
            </w:pPr>
            <w:r>
              <w:rPr>
                <w:sz w:val="21"/>
              </w:rPr>
              <w:t>居住区</w:t>
            </w:r>
          </w:p>
        </w:tc>
        <w:tc>
          <w:tcPr>
            <w:tcW w:w="1132" w:type="dxa"/>
          </w:tcPr>
          <w:p>
            <w:pPr>
              <w:pStyle w:val="TableParagraph"/>
              <w:spacing w:line="259" w:lineRule="exact" w:before="3"/>
              <w:ind w:left="126" w:right="109"/>
              <w:rPr>
                <w:sz w:val="21"/>
              </w:rPr>
            </w:pPr>
            <w:r>
              <w:rPr>
                <w:rFonts w:ascii="Times New Roman" w:eastAsia="Times New Roman"/>
                <w:sz w:val="21"/>
              </w:rPr>
              <w:t>~2000</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252"/>
              <w:jc w:val="left"/>
              <w:rPr>
                <w:rFonts w:ascii="Times New Roman"/>
                <w:sz w:val="21"/>
              </w:rPr>
            </w:pPr>
            <w:r>
              <w:rPr>
                <w:rFonts w:ascii="Times New Roman"/>
                <w:w w:val="100"/>
                <w:sz w:val="21"/>
              </w:rPr>
              <w:t>3</w:t>
            </w:r>
          </w:p>
        </w:tc>
        <w:tc>
          <w:tcPr>
            <w:tcW w:w="2141" w:type="dxa"/>
          </w:tcPr>
          <w:p>
            <w:pPr>
              <w:pStyle w:val="TableParagraph"/>
              <w:spacing w:line="259" w:lineRule="exact" w:before="6"/>
              <w:ind w:left="210" w:right="199"/>
              <w:rPr>
                <w:sz w:val="21"/>
              </w:rPr>
            </w:pPr>
            <w:r>
              <w:rPr>
                <w:sz w:val="21"/>
              </w:rPr>
              <w:t>世海村</w:t>
            </w:r>
          </w:p>
        </w:tc>
        <w:tc>
          <w:tcPr>
            <w:tcW w:w="1159" w:type="dxa"/>
          </w:tcPr>
          <w:p>
            <w:pPr>
              <w:pStyle w:val="TableParagraph"/>
              <w:spacing w:before="19"/>
              <w:ind w:left="140" w:right="125"/>
              <w:rPr>
                <w:rFonts w:ascii="Times New Roman"/>
                <w:sz w:val="21"/>
              </w:rPr>
            </w:pPr>
            <w:r>
              <w:rPr>
                <w:rFonts w:ascii="Times New Roman"/>
                <w:sz w:val="21"/>
              </w:rPr>
              <w:t>SW</w:t>
            </w:r>
          </w:p>
        </w:tc>
        <w:tc>
          <w:tcPr>
            <w:tcW w:w="1205" w:type="dxa"/>
          </w:tcPr>
          <w:p>
            <w:pPr>
              <w:pStyle w:val="TableParagraph"/>
              <w:spacing w:before="19"/>
              <w:ind w:left="53" w:right="42"/>
              <w:rPr>
                <w:rFonts w:ascii="Times New Roman"/>
                <w:sz w:val="21"/>
              </w:rPr>
            </w:pPr>
            <w:r>
              <w:rPr>
                <w:rFonts w:ascii="Times New Roman"/>
                <w:sz w:val="21"/>
              </w:rPr>
              <w:t>~5.1km</w:t>
            </w:r>
          </w:p>
        </w:tc>
        <w:tc>
          <w:tcPr>
            <w:tcW w:w="2129" w:type="dxa"/>
          </w:tcPr>
          <w:p>
            <w:pPr>
              <w:pStyle w:val="TableParagraph"/>
              <w:spacing w:line="259" w:lineRule="exact" w:before="6"/>
              <w:ind w:left="101" w:right="86"/>
              <w:rPr>
                <w:sz w:val="21"/>
              </w:rPr>
            </w:pPr>
            <w:r>
              <w:rPr>
                <w:sz w:val="21"/>
              </w:rPr>
              <w:t>居住区</w:t>
            </w:r>
          </w:p>
        </w:tc>
        <w:tc>
          <w:tcPr>
            <w:tcW w:w="1132" w:type="dxa"/>
          </w:tcPr>
          <w:p>
            <w:pPr>
              <w:pStyle w:val="TableParagraph"/>
              <w:spacing w:line="259" w:lineRule="exact" w:before="6"/>
              <w:ind w:left="126" w:right="109"/>
              <w:rPr>
                <w:sz w:val="21"/>
              </w:rPr>
            </w:pPr>
            <w:r>
              <w:rPr>
                <w:rFonts w:ascii="Times New Roman" w:eastAsia="Times New Roman"/>
                <w:sz w:val="21"/>
              </w:rPr>
              <w:t>~3476</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252"/>
              <w:jc w:val="left"/>
              <w:rPr>
                <w:rFonts w:ascii="Times New Roman"/>
                <w:sz w:val="21"/>
              </w:rPr>
            </w:pPr>
            <w:r>
              <w:rPr>
                <w:rFonts w:ascii="Times New Roman"/>
                <w:w w:val="100"/>
                <w:sz w:val="21"/>
              </w:rPr>
              <w:t>4</w:t>
            </w:r>
          </w:p>
        </w:tc>
        <w:tc>
          <w:tcPr>
            <w:tcW w:w="2141" w:type="dxa"/>
          </w:tcPr>
          <w:p>
            <w:pPr>
              <w:pStyle w:val="TableParagraph"/>
              <w:spacing w:line="259" w:lineRule="exact" w:before="3"/>
              <w:ind w:left="212" w:right="199"/>
              <w:rPr>
                <w:sz w:val="21"/>
              </w:rPr>
            </w:pPr>
            <w:r>
              <w:rPr>
                <w:sz w:val="21"/>
              </w:rPr>
              <w:t>夏盖山村</w:t>
            </w:r>
          </w:p>
        </w:tc>
        <w:tc>
          <w:tcPr>
            <w:tcW w:w="1159" w:type="dxa"/>
          </w:tcPr>
          <w:p>
            <w:pPr>
              <w:pStyle w:val="TableParagraph"/>
              <w:spacing w:before="17"/>
              <w:ind w:left="140" w:right="126"/>
              <w:rPr>
                <w:rFonts w:ascii="Times New Roman"/>
                <w:sz w:val="21"/>
              </w:rPr>
            </w:pPr>
            <w:r>
              <w:rPr>
                <w:rFonts w:ascii="Times New Roman"/>
                <w:sz w:val="21"/>
              </w:rPr>
              <w:t>SW</w:t>
            </w:r>
          </w:p>
        </w:tc>
        <w:tc>
          <w:tcPr>
            <w:tcW w:w="1205" w:type="dxa"/>
          </w:tcPr>
          <w:p>
            <w:pPr>
              <w:pStyle w:val="TableParagraph"/>
              <w:spacing w:before="17"/>
              <w:ind w:left="53" w:right="42"/>
              <w:rPr>
                <w:rFonts w:ascii="Times New Roman"/>
                <w:sz w:val="21"/>
              </w:rPr>
            </w:pPr>
            <w:r>
              <w:rPr>
                <w:rFonts w:ascii="Times New Roman"/>
                <w:sz w:val="21"/>
              </w:rPr>
              <w:t>~4.9km</w:t>
            </w:r>
          </w:p>
        </w:tc>
        <w:tc>
          <w:tcPr>
            <w:tcW w:w="2129" w:type="dxa"/>
          </w:tcPr>
          <w:p>
            <w:pPr>
              <w:pStyle w:val="TableParagraph"/>
              <w:spacing w:line="259" w:lineRule="exact" w:before="3"/>
              <w:ind w:left="101" w:right="86"/>
              <w:rPr>
                <w:sz w:val="21"/>
              </w:rPr>
            </w:pPr>
            <w:r>
              <w:rPr>
                <w:sz w:val="21"/>
              </w:rPr>
              <w:t>居住区</w:t>
            </w:r>
          </w:p>
        </w:tc>
        <w:tc>
          <w:tcPr>
            <w:tcW w:w="1132" w:type="dxa"/>
          </w:tcPr>
          <w:p>
            <w:pPr>
              <w:pStyle w:val="TableParagraph"/>
              <w:spacing w:line="259" w:lineRule="exact" w:before="3"/>
              <w:ind w:left="126" w:right="109"/>
              <w:rPr>
                <w:sz w:val="21"/>
              </w:rPr>
            </w:pPr>
            <w:r>
              <w:rPr>
                <w:rFonts w:ascii="Times New Roman" w:eastAsia="Times New Roman"/>
                <w:sz w:val="21"/>
              </w:rPr>
              <w:t>~2889</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20"/>
              <w:ind w:left="252"/>
              <w:jc w:val="left"/>
              <w:rPr>
                <w:rFonts w:ascii="Times New Roman"/>
                <w:sz w:val="21"/>
              </w:rPr>
            </w:pPr>
            <w:r>
              <w:rPr>
                <w:rFonts w:ascii="Times New Roman"/>
                <w:w w:val="100"/>
                <w:sz w:val="21"/>
              </w:rPr>
              <w:t>5</w:t>
            </w:r>
          </w:p>
        </w:tc>
        <w:tc>
          <w:tcPr>
            <w:tcW w:w="2141" w:type="dxa"/>
          </w:tcPr>
          <w:p>
            <w:pPr>
              <w:pStyle w:val="TableParagraph"/>
              <w:spacing w:line="259" w:lineRule="exact" w:before="6"/>
              <w:ind w:left="210" w:right="199"/>
              <w:rPr>
                <w:sz w:val="21"/>
              </w:rPr>
            </w:pPr>
            <w:r>
              <w:rPr>
                <w:sz w:val="21"/>
              </w:rPr>
              <w:t>兴海村</w:t>
            </w:r>
          </w:p>
        </w:tc>
        <w:tc>
          <w:tcPr>
            <w:tcW w:w="1159" w:type="dxa"/>
          </w:tcPr>
          <w:p>
            <w:pPr>
              <w:pStyle w:val="TableParagraph"/>
              <w:spacing w:before="20"/>
              <w:ind w:left="140" w:right="125"/>
              <w:rPr>
                <w:rFonts w:ascii="Times New Roman"/>
                <w:sz w:val="21"/>
              </w:rPr>
            </w:pPr>
            <w:r>
              <w:rPr>
                <w:rFonts w:ascii="Times New Roman"/>
                <w:sz w:val="21"/>
              </w:rPr>
              <w:t>SW</w:t>
            </w:r>
          </w:p>
        </w:tc>
        <w:tc>
          <w:tcPr>
            <w:tcW w:w="1205" w:type="dxa"/>
          </w:tcPr>
          <w:p>
            <w:pPr>
              <w:pStyle w:val="TableParagraph"/>
              <w:spacing w:before="20"/>
              <w:ind w:left="53" w:right="42"/>
              <w:rPr>
                <w:rFonts w:ascii="Times New Roman"/>
                <w:sz w:val="21"/>
              </w:rPr>
            </w:pPr>
            <w:r>
              <w:rPr>
                <w:rFonts w:ascii="Times New Roman"/>
                <w:sz w:val="21"/>
              </w:rPr>
              <w:t>~4.5km</w:t>
            </w:r>
          </w:p>
        </w:tc>
        <w:tc>
          <w:tcPr>
            <w:tcW w:w="2129" w:type="dxa"/>
          </w:tcPr>
          <w:p>
            <w:pPr>
              <w:pStyle w:val="TableParagraph"/>
              <w:spacing w:line="259" w:lineRule="exact" w:before="6"/>
              <w:ind w:left="101" w:right="86"/>
              <w:rPr>
                <w:sz w:val="21"/>
              </w:rPr>
            </w:pPr>
            <w:r>
              <w:rPr>
                <w:sz w:val="21"/>
              </w:rPr>
              <w:t>居住区</w:t>
            </w:r>
          </w:p>
        </w:tc>
        <w:tc>
          <w:tcPr>
            <w:tcW w:w="1132" w:type="dxa"/>
          </w:tcPr>
          <w:p>
            <w:pPr>
              <w:pStyle w:val="TableParagraph"/>
              <w:spacing w:line="259" w:lineRule="exact" w:before="6"/>
              <w:ind w:left="126" w:right="109"/>
              <w:rPr>
                <w:sz w:val="21"/>
              </w:rPr>
            </w:pPr>
            <w:r>
              <w:rPr>
                <w:rFonts w:ascii="Times New Roman" w:eastAsia="Times New Roman"/>
                <w:sz w:val="21"/>
              </w:rPr>
              <w:t>~3025</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252"/>
              <w:jc w:val="left"/>
              <w:rPr>
                <w:rFonts w:ascii="Times New Roman"/>
                <w:sz w:val="21"/>
              </w:rPr>
            </w:pPr>
            <w:r>
              <w:rPr>
                <w:rFonts w:ascii="Times New Roman"/>
                <w:w w:val="100"/>
                <w:sz w:val="21"/>
              </w:rPr>
              <w:t>6</w:t>
            </w:r>
          </w:p>
        </w:tc>
        <w:tc>
          <w:tcPr>
            <w:tcW w:w="2141" w:type="dxa"/>
          </w:tcPr>
          <w:p>
            <w:pPr>
              <w:pStyle w:val="TableParagraph"/>
              <w:spacing w:line="259" w:lineRule="exact" w:before="3"/>
              <w:ind w:left="210" w:right="199"/>
              <w:rPr>
                <w:sz w:val="21"/>
              </w:rPr>
            </w:pPr>
            <w:r>
              <w:rPr>
                <w:sz w:val="21"/>
              </w:rPr>
              <w:t>新河村</w:t>
            </w:r>
          </w:p>
        </w:tc>
        <w:tc>
          <w:tcPr>
            <w:tcW w:w="1159" w:type="dxa"/>
          </w:tcPr>
          <w:p>
            <w:pPr>
              <w:pStyle w:val="TableParagraph"/>
              <w:spacing w:before="17"/>
              <w:ind w:left="140" w:right="125"/>
              <w:rPr>
                <w:rFonts w:ascii="Times New Roman"/>
                <w:sz w:val="21"/>
              </w:rPr>
            </w:pPr>
            <w:r>
              <w:rPr>
                <w:rFonts w:ascii="Times New Roman"/>
                <w:sz w:val="21"/>
              </w:rPr>
              <w:t>SW</w:t>
            </w:r>
          </w:p>
        </w:tc>
        <w:tc>
          <w:tcPr>
            <w:tcW w:w="1205" w:type="dxa"/>
          </w:tcPr>
          <w:p>
            <w:pPr>
              <w:pStyle w:val="TableParagraph"/>
              <w:spacing w:before="17"/>
              <w:ind w:left="53" w:right="42"/>
              <w:rPr>
                <w:rFonts w:ascii="Times New Roman"/>
                <w:sz w:val="21"/>
              </w:rPr>
            </w:pPr>
            <w:r>
              <w:rPr>
                <w:rFonts w:ascii="Times New Roman"/>
                <w:sz w:val="21"/>
              </w:rPr>
              <w:t>~3.6km</w:t>
            </w:r>
          </w:p>
        </w:tc>
        <w:tc>
          <w:tcPr>
            <w:tcW w:w="2129" w:type="dxa"/>
          </w:tcPr>
          <w:p>
            <w:pPr>
              <w:pStyle w:val="TableParagraph"/>
              <w:spacing w:line="259" w:lineRule="exact" w:before="3"/>
              <w:ind w:left="101" w:right="86"/>
              <w:rPr>
                <w:sz w:val="21"/>
              </w:rPr>
            </w:pPr>
            <w:r>
              <w:rPr>
                <w:sz w:val="21"/>
              </w:rPr>
              <w:t>居住区</w:t>
            </w:r>
          </w:p>
        </w:tc>
        <w:tc>
          <w:tcPr>
            <w:tcW w:w="1132" w:type="dxa"/>
          </w:tcPr>
          <w:p>
            <w:pPr>
              <w:pStyle w:val="TableParagraph"/>
              <w:spacing w:line="259" w:lineRule="exact" w:before="3"/>
              <w:ind w:left="126" w:right="109"/>
              <w:rPr>
                <w:sz w:val="21"/>
              </w:rPr>
            </w:pPr>
            <w:r>
              <w:rPr>
                <w:rFonts w:ascii="Times New Roman" w:eastAsia="Times New Roman"/>
                <w:sz w:val="21"/>
              </w:rPr>
              <w:t>~2019</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252"/>
              <w:jc w:val="left"/>
              <w:rPr>
                <w:rFonts w:ascii="Times New Roman"/>
                <w:sz w:val="21"/>
              </w:rPr>
            </w:pPr>
            <w:r>
              <w:rPr>
                <w:rFonts w:ascii="Times New Roman"/>
                <w:w w:val="100"/>
                <w:sz w:val="21"/>
              </w:rPr>
              <w:t>7</w:t>
            </w:r>
          </w:p>
        </w:tc>
        <w:tc>
          <w:tcPr>
            <w:tcW w:w="2141" w:type="dxa"/>
          </w:tcPr>
          <w:p>
            <w:pPr>
              <w:pStyle w:val="TableParagraph"/>
              <w:spacing w:line="259" w:lineRule="exact" w:before="5"/>
              <w:ind w:left="210" w:right="199"/>
              <w:rPr>
                <w:sz w:val="21"/>
              </w:rPr>
            </w:pPr>
            <w:r>
              <w:rPr>
                <w:sz w:val="21"/>
              </w:rPr>
              <w:t>联合村</w:t>
            </w:r>
          </w:p>
        </w:tc>
        <w:tc>
          <w:tcPr>
            <w:tcW w:w="1159" w:type="dxa"/>
          </w:tcPr>
          <w:p>
            <w:pPr>
              <w:pStyle w:val="TableParagraph"/>
              <w:spacing w:before="19"/>
              <w:ind w:left="140" w:right="128"/>
              <w:rPr>
                <w:rFonts w:ascii="Times New Roman"/>
                <w:sz w:val="21"/>
              </w:rPr>
            </w:pPr>
            <w:r>
              <w:rPr>
                <w:rFonts w:ascii="Times New Roman"/>
                <w:sz w:val="21"/>
              </w:rPr>
              <w:t>SSW</w:t>
            </w:r>
          </w:p>
        </w:tc>
        <w:tc>
          <w:tcPr>
            <w:tcW w:w="1205" w:type="dxa"/>
          </w:tcPr>
          <w:p>
            <w:pPr>
              <w:pStyle w:val="TableParagraph"/>
              <w:spacing w:before="19"/>
              <w:ind w:left="53" w:right="42"/>
              <w:rPr>
                <w:rFonts w:ascii="Times New Roman"/>
                <w:sz w:val="21"/>
              </w:rPr>
            </w:pPr>
            <w:r>
              <w:rPr>
                <w:rFonts w:ascii="Times New Roman"/>
                <w:sz w:val="21"/>
              </w:rPr>
              <w:t>~2.1km</w:t>
            </w:r>
          </w:p>
        </w:tc>
        <w:tc>
          <w:tcPr>
            <w:tcW w:w="2129" w:type="dxa"/>
          </w:tcPr>
          <w:p>
            <w:pPr>
              <w:pStyle w:val="TableParagraph"/>
              <w:spacing w:line="259" w:lineRule="exact" w:before="5"/>
              <w:ind w:left="101" w:right="86"/>
              <w:rPr>
                <w:sz w:val="21"/>
              </w:rPr>
            </w:pPr>
            <w:r>
              <w:rPr>
                <w:sz w:val="21"/>
              </w:rPr>
              <w:t>居住区</w:t>
            </w:r>
          </w:p>
        </w:tc>
        <w:tc>
          <w:tcPr>
            <w:tcW w:w="1132" w:type="dxa"/>
          </w:tcPr>
          <w:p>
            <w:pPr>
              <w:pStyle w:val="TableParagraph"/>
              <w:spacing w:line="259" w:lineRule="exact" w:before="5"/>
              <w:ind w:left="126" w:right="109"/>
              <w:rPr>
                <w:sz w:val="21"/>
              </w:rPr>
            </w:pPr>
            <w:r>
              <w:rPr>
                <w:rFonts w:ascii="Times New Roman" w:eastAsia="Times New Roman"/>
                <w:sz w:val="21"/>
              </w:rPr>
              <w:t>~2561</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252"/>
              <w:jc w:val="left"/>
              <w:rPr>
                <w:rFonts w:ascii="Times New Roman"/>
                <w:sz w:val="21"/>
              </w:rPr>
            </w:pPr>
            <w:r>
              <w:rPr>
                <w:rFonts w:ascii="Times New Roman"/>
                <w:w w:val="100"/>
                <w:sz w:val="21"/>
              </w:rPr>
              <w:t>8</w:t>
            </w:r>
          </w:p>
        </w:tc>
        <w:tc>
          <w:tcPr>
            <w:tcW w:w="2141" w:type="dxa"/>
          </w:tcPr>
          <w:p>
            <w:pPr>
              <w:pStyle w:val="TableParagraph"/>
              <w:spacing w:line="259" w:lineRule="exact" w:before="3"/>
              <w:ind w:left="210" w:right="199"/>
              <w:rPr>
                <w:sz w:val="21"/>
              </w:rPr>
            </w:pPr>
            <w:r>
              <w:rPr>
                <w:sz w:val="21"/>
              </w:rPr>
              <w:t>珠海村</w:t>
            </w:r>
          </w:p>
        </w:tc>
        <w:tc>
          <w:tcPr>
            <w:tcW w:w="1159" w:type="dxa"/>
          </w:tcPr>
          <w:p>
            <w:pPr>
              <w:pStyle w:val="TableParagraph"/>
              <w:spacing w:before="17"/>
              <w:ind w:left="12"/>
              <w:rPr>
                <w:rFonts w:ascii="Times New Roman"/>
                <w:sz w:val="21"/>
              </w:rPr>
            </w:pPr>
            <w:r>
              <w:rPr>
                <w:rFonts w:ascii="Times New Roman"/>
                <w:w w:val="100"/>
                <w:sz w:val="21"/>
              </w:rPr>
              <w:t>S</w:t>
            </w:r>
          </w:p>
        </w:tc>
        <w:tc>
          <w:tcPr>
            <w:tcW w:w="1205" w:type="dxa"/>
          </w:tcPr>
          <w:p>
            <w:pPr>
              <w:pStyle w:val="TableParagraph"/>
              <w:spacing w:before="17"/>
              <w:ind w:left="53" w:right="42"/>
              <w:rPr>
                <w:rFonts w:ascii="Times New Roman"/>
                <w:sz w:val="21"/>
              </w:rPr>
            </w:pPr>
            <w:r>
              <w:rPr>
                <w:rFonts w:ascii="Times New Roman"/>
                <w:sz w:val="21"/>
              </w:rPr>
              <w:t>~1.9km</w:t>
            </w:r>
          </w:p>
        </w:tc>
        <w:tc>
          <w:tcPr>
            <w:tcW w:w="2129" w:type="dxa"/>
          </w:tcPr>
          <w:p>
            <w:pPr>
              <w:pStyle w:val="TableParagraph"/>
              <w:spacing w:line="259" w:lineRule="exact" w:before="3"/>
              <w:ind w:left="101" w:right="86"/>
              <w:rPr>
                <w:sz w:val="21"/>
              </w:rPr>
            </w:pPr>
            <w:r>
              <w:rPr>
                <w:sz w:val="21"/>
              </w:rPr>
              <w:t>居住区</w:t>
            </w:r>
          </w:p>
        </w:tc>
        <w:tc>
          <w:tcPr>
            <w:tcW w:w="1132" w:type="dxa"/>
          </w:tcPr>
          <w:p>
            <w:pPr>
              <w:pStyle w:val="TableParagraph"/>
              <w:spacing w:line="259" w:lineRule="exact" w:before="3"/>
              <w:ind w:left="126" w:right="109"/>
              <w:rPr>
                <w:sz w:val="21"/>
              </w:rPr>
            </w:pPr>
            <w:r>
              <w:rPr>
                <w:rFonts w:ascii="Times New Roman" w:eastAsia="Times New Roman"/>
                <w:sz w:val="21"/>
              </w:rPr>
              <w:t>~2400</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252"/>
              <w:jc w:val="left"/>
              <w:rPr>
                <w:rFonts w:ascii="Times New Roman"/>
                <w:sz w:val="21"/>
              </w:rPr>
            </w:pPr>
            <w:r>
              <w:rPr>
                <w:rFonts w:ascii="Times New Roman"/>
                <w:w w:val="100"/>
                <w:sz w:val="21"/>
              </w:rPr>
              <w:t>9</w:t>
            </w:r>
          </w:p>
        </w:tc>
        <w:tc>
          <w:tcPr>
            <w:tcW w:w="2141" w:type="dxa"/>
          </w:tcPr>
          <w:p>
            <w:pPr>
              <w:pStyle w:val="TableParagraph"/>
              <w:spacing w:line="259" w:lineRule="exact" w:before="6"/>
              <w:ind w:left="210" w:right="199"/>
              <w:rPr>
                <w:sz w:val="21"/>
              </w:rPr>
            </w:pPr>
            <w:r>
              <w:rPr>
                <w:sz w:val="21"/>
              </w:rPr>
              <w:t>丰富村</w:t>
            </w:r>
          </w:p>
        </w:tc>
        <w:tc>
          <w:tcPr>
            <w:tcW w:w="1159" w:type="dxa"/>
          </w:tcPr>
          <w:p>
            <w:pPr>
              <w:pStyle w:val="TableParagraph"/>
              <w:spacing w:before="19"/>
              <w:ind w:left="140" w:right="128"/>
              <w:rPr>
                <w:rFonts w:ascii="Times New Roman"/>
                <w:sz w:val="21"/>
              </w:rPr>
            </w:pPr>
            <w:r>
              <w:rPr>
                <w:rFonts w:ascii="Times New Roman"/>
                <w:sz w:val="21"/>
              </w:rPr>
              <w:t>SE</w:t>
            </w:r>
          </w:p>
        </w:tc>
        <w:tc>
          <w:tcPr>
            <w:tcW w:w="1205" w:type="dxa"/>
          </w:tcPr>
          <w:p>
            <w:pPr>
              <w:pStyle w:val="TableParagraph"/>
              <w:spacing w:before="19"/>
              <w:ind w:left="53" w:right="42"/>
              <w:rPr>
                <w:rFonts w:ascii="Times New Roman"/>
                <w:sz w:val="21"/>
              </w:rPr>
            </w:pPr>
            <w:r>
              <w:rPr>
                <w:rFonts w:ascii="Times New Roman"/>
                <w:sz w:val="21"/>
              </w:rPr>
              <w:t>~3.4km</w:t>
            </w:r>
          </w:p>
        </w:tc>
        <w:tc>
          <w:tcPr>
            <w:tcW w:w="2129" w:type="dxa"/>
          </w:tcPr>
          <w:p>
            <w:pPr>
              <w:pStyle w:val="TableParagraph"/>
              <w:spacing w:line="259" w:lineRule="exact" w:before="6"/>
              <w:ind w:left="101" w:right="86"/>
              <w:rPr>
                <w:sz w:val="21"/>
              </w:rPr>
            </w:pPr>
            <w:r>
              <w:rPr>
                <w:sz w:val="21"/>
              </w:rPr>
              <w:t>居住区</w:t>
            </w:r>
          </w:p>
        </w:tc>
        <w:tc>
          <w:tcPr>
            <w:tcW w:w="1132" w:type="dxa"/>
          </w:tcPr>
          <w:p>
            <w:pPr>
              <w:pStyle w:val="TableParagraph"/>
              <w:spacing w:line="259" w:lineRule="exact" w:before="6"/>
              <w:ind w:left="126" w:right="109"/>
              <w:rPr>
                <w:sz w:val="21"/>
              </w:rPr>
            </w:pPr>
            <w:r>
              <w:rPr>
                <w:rFonts w:ascii="Times New Roman" w:eastAsia="Times New Roman"/>
                <w:sz w:val="21"/>
              </w:rPr>
              <w:t>~2737</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199"/>
              <w:jc w:val="left"/>
              <w:rPr>
                <w:rFonts w:ascii="Times New Roman"/>
                <w:sz w:val="21"/>
              </w:rPr>
            </w:pPr>
            <w:r>
              <w:rPr>
                <w:rFonts w:ascii="Times New Roman"/>
                <w:sz w:val="21"/>
              </w:rPr>
              <w:t>10</w:t>
            </w:r>
          </w:p>
        </w:tc>
        <w:tc>
          <w:tcPr>
            <w:tcW w:w="2141" w:type="dxa"/>
          </w:tcPr>
          <w:p>
            <w:pPr>
              <w:pStyle w:val="TableParagraph"/>
              <w:spacing w:line="259" w:lineRule="exact" w:before="3"/>
              <w:ind w:left="210" w:right="199"/>
              <w:rPr>
                <w:sz w:val="21"/>
              </w:rPr>
            </w:pPr>
            <w:r>
              <w:rPr>
                <w:sz w:val="21"/>
              </w:rPr>
              <w:t>丰棉村</w:t>
            </w:r>
          </w:p>
        </w:tc>
        <w:tc>
          <w:tcPr>
            <w:tcW w:w="1159" w:type="dxa"/>
          </w:tcPr>
          <w:p>
            <w:pPr>
              <w:pStyle w:val="TableParagraph"/>
              <w:spacing w:before="17"/>
              <w:ind w:left="140" w:right="126"/>
              <w:rPr>
                <w:rFonts w:ascii="Times New Roman"/>
                <w:sz w:val="21"/>
              </w:rPr>
            </w:pPr>
            <w:r>
              <w:rPr>
                <w:rFonts w:ascii="Times New Roman"/>
                <w:sz w:val="21"/>
              </w:rPr>
              <w:t>SSE</w:t>
            </w:r>
          </w:p>
        </w:tc>
        <w:tc>
          <w:tcPr>
            <w:tcW w:w="1205" w:type="dxa"/>
          </w:tcPr>
          <w:p>
            <w:pPr>
              <w:pStyle w:val="TableParagraph"/>
              <w:spacing w:before="17"/>
              <w:ind w:left="53" w:right="42"/>
              <w:rPr>
                <w:rFonts w:ascii="Times New Roman"/>
                <w:sz w:val="21"/>
              </w:rPr>
            </w:pPr>
            <w:r>
              <w:rPr>
                <w:rFonts w:ascii="Times New Roman"/>
                <w:sz w:val="21"/>
              </w:rPr>
              <w:t>~2.1km</w:t>
            </w:r>
          </w:p>
        </w:tc>
        <w:tc>
          <w:tcPr>
            <w:tcW w:w="2129" w:type="dxa"/>
          </w:tcPr>
          <w:p>
            <w:pPr>
              <w:pStyle w:val="TableParagraph"/>
              <w:spacing w:line="259" w:lineRule="exact" w:before="3"/>
              <w:ind w:left="101" w:right="86"/>
              <w:rPr>
                <w:sz w:val="21"/>
              </w:rPr>
            </w:pPr>
            <w:r>
              <w:rPr>
                <w:sz w:val="21"/>
              </w:rPr>
              <w:t>居住区</w:t>
            </w:r>
          </w:p>
        </w:tc>
        <w:tc>
          <w:tcPr>
            <w:tcW w:w="1132" w:type="dxa"/>
          </w:tcPr>
          <w:p>
            <w:pPr>
              <w:pStyle w:val="TableParagraph"/>
              <w:spacing w:line="259" w:lineRule="exact" w:before="3"/>
              <w:ind w:left="126" w:right="109"/>
              <w:rPr>
                <w:sz w:val="21"/>
              </w:rPr>
            </w:pPr>
            <w:r>
              <w:rPr>
                <w:rFonts w:ascii="Times New Roman" w:eastAsia="Times New Roman"/>
                <w:sz w:val="21"/>
              </w:rPr>
              <w:t>~3070</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204"/>
              <w:jc w:val="left"/>
              <w:rPr>
                <w:rFonts w:ascii="Times New Roman"/>
                <w:sz w:val="21"/>
              </w:rPr>
            </w:pPr>
            <w:r>
              <w:rPr>
                <w:rFonts w:ascii="Times New Roman"/>
                <w:sz w:val="21"/>
              </w:rPr>
              <w:t>11</w:t>
            </w:r>
          </w:p>
        </w:tc>
        <w:tc>
          <w:tcPr>
            <w:tcW w:w="2141" w:type="dxa"/>
          </w:tcPr>
          <w:p>
            <w:pPr>
              <w:pStyle w:val="TableParagraph"/>
              <w:spacing w:line="259" w:lineRule="exact" w:before="5"/>
              <w:ind w:left="210" w:right="199"/>
              <w:rPr>
                <w:sz w:val="21"/>
              </w:rPr>
            </w:pPr>
            <w:r>
              <w:rPr>
                <w:sz w:val="21"/>
              </w:rPr>
              <w:t>镇东村</w:t>
            </w:r>
          </w:p>
        </w:tc>
        <w:tc>
          <w:tcPr>
            <w:tcW w:w="1159" w:type="dxa"/>
          </w:tcPr>
          <w:p>
            <w:pPr>
              <w:pStyle w:val="TableParagraph"/>
              <w:spacing w:before="19"/>
              <w:ind w:left="139" w:right="128"/>
              <w:rPr>
                <w:rFonts w:ascii="Times New Roman"/>
                <w:sz w:val="21"/>
              </w:rPr>
            </w:pPr>
            <w:r>
              <w:rPr>
                <w:rFonts w:ascii="Times New Roman"/>
                <w:sz w:val="21"/>
              </w:rPr>
              <w:t>SE</w:t>
            </w:r>
          </w:p>
        </w:tc>
        <w:tc>
          <w:tcPr>
            <w:tcW w:w="1205" w:type="dxa"/>
          </w:tcPr>
          <w:p>
            <w:pPr>
              <w:pStyle w:val="TableParagraph"/>
              <w:spacing w:before="19"/>
              <w:ind w:left="53" w:right="42"/>
              <w:rPr>
                <w:rFonts w:ascii="Times New Roman"/>
                <w:sz w:val="21"/>
              </w:rPr>
            </w:pPr>
            <w:r>
              <w:rPr>
                <w:rFonts w:ascii="Times New Roman"/>
                <w:sz w:val="21"/>
              </w:rPr>
              <w:t>~2.5km</w:t>
            </w:r>
          </w:p>
        </w:tc>
        <w:tc>
          <w:tcPr>
            <w:tcW w:w="2129" w:type="dxa"/>
          </w:tcPr>
          <w:p>
            <w:pPr>
              <w:pStyle w:val="TableParagraph"/>
              <w:spacing w:line="259" w:lineRule="exact" w:before="5"/>
              <w:ind w:left="101" w:right="86"/>
              <w:rPr>
                <w:sz w:val="21"/>
              </w:rPr>
            </w:pPr>
            <w:r>
              <w:rPr>
                <w:sz w:val="21"/>
              </w:rPr>
              <w:t>居住区</w:t>
            </w:r>
          </w:p>
        </w:tc>
        <w:tc>
          <w:tcPr>
            <w:tcW w:w="1132" w:type="dxa"/>
          </w:tcPr>
          <w:p>
            <w:pPr>
              <w:pStyle w:val="TableParagraph"/>
              <w:spacing w:line="259" w:lineRule="exact" w:before="5"/>
              <w:ind w:left="126" w:right="109"/>
              <w:rPr>
                <w:sz w:val="21"/>
              </w:rPr>
            </w:pPr>
            <w:r>
              <w:rPr>
                <w:rFonts w:ascii="Times New Roman" w:eastAsia="Times New Roman"/>
                <w:sz w:val="21"/>
              </w:rPr>
              <w:t>~2576</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199"/>
              <w:jc w:val="left"/>
              <w:rPr>
                <w:rFonts w:ascii="Times New Roman"/>
                <w:sz w:val="21"/>
              </w:rPr>
            </w:pPr>
            <w:r>
              <w:rPr>
                <w:rFonts w:ascii="Times New Roman"/>
                <w:sz w:val="21"/>
              </w:rPr>
              <w:t>12</w:t>
            </w:r>
          </w:p>
        </w:tc>
        <w:tc>
          <w:tcPr>
            <w:tcW w:w="2141" w:type="dxa"/>
          </w:tcPr>
          <w:p>
            <w:pPr>
              <w:pStyle w:val="TableParagraph"/>
              <w:spacing w:line="259" w:lineRule="exact" w:before="3"/>
              <w:ind w:left="210" w:right="199"/>
              <w:rPr>
                <w:sz w:val="21"/>
              </w:rPr>
            </w:pPr>
            <w:r>
              <w:rPr>
                <w:sz w:val="21"/>
              </w:rPr>
              <w:t>镇海村</w:t>
            </w:r>
          </w:p>
        </w:tc>
        <w:tc>
          <w:tcPr>
            <w:tcW w:w="1159" w:type="dxa"/>
          </w:tcPr>
          <w:p>
            <w:pPr>
              <w:pStyle w:val="TableParagraph"/>
              <w:spacing w:before="17"/>
              <w:ind w:left="140" w:right="128"/>
              <w:rPr>
                <w:rFonts w:ascii="Times New Roman"/>
                <w:sz w:val="21"/>
              </w:rPr>
            </w:pPr>
            <w:r>
              <w:rPr>
                <w:rFonts w:ascii="Times New Roman"/>
                <w:sz w:val="21"/>
              </w:rPr>
              <w:t>SE</w:t>
            </w:r>
          </w:p>
        </w:tc>
        <w:tc>
          <w:tcPr>
            <w:tcW w:w="1205" w:type="dxa"/>
          </w:tcPr>
          <w:p>
            <w:pPr>
              <w:pStyle w:val="TableParagraph"/>
              <w:spacing w:before="17"/>
              <w:ind w:left="53" w:right="42"/>
              <w:rPr>
                <w:rFonts w:ascii="Times New Roman"/>
                <w:sz w:val="21"/>
              </w:rPr>
            </w:pPr>
            <w:r>
              <w:rPr>
                <w:rFonts w:ascii="Times New Roman"/>
                <w:sz w:val="21"/>
              </w:rPr>
              <w:t>~2.0km</w:t>
            </w:r>
          </w:p>
        </w:tc>
        <w:tc>
          <w:tcPr>
            <w:tcW w:w="2129" w:type="dxa"/>
          </w:tcPr>
          <w:p>
            <w:pPr>
              <w:pStyle w:val="TableParagraph"/>
              <w:spacing w:line="259" w:lineRule="exact" w:before="3"/>
              <w:ind w:left="101" w:right="86"/>
              <w:rPr>
                <w:sz w:val="21"/>
              </w:rPr>
            </w:pPr>
            <w:r>
              <w:rPr>
                <w:sz w:val="21"/>
              </w:rPr>
              <w:t>居住区</w:t>
            </w:r>
          </w:p>
        </w:tc>
        <w:tc>
          <w:tcPr>
            <w:tcW w:w="1132" w:type="dxa"/>
          </w:tcPr>
          <w:p>
            <w:pPr>
              <w:pStyle w:val="TableParagraph"/>
              <w:spacing w:line="259" w:lineRule="exact" w:before="3"/>
              <w:ind w:left="126" w:right="109"/>
              <w:rPr>
                <w:sz w:val="21"/>
              </w:rPr>
            </w:pPr>
            <w:r>
              <w:rPr>
                <w:rFonts w:ascii="Times New Roman" w:eastAsia="Times New Roman"/>
                <w:sz w:val="21"/>
              </w:rPr>
              <w:t>~1871</w:t>
            </w:r>
            <w:r>
              <w:rPr>
                <w:sz w:val="21"/>
              </w:rPr>
              <w:t>人</w:t>
            </w:r>
          </w:p>
        </w:tc>
      </w:tr>
    </w:tbl>
    <w:p>
      <w:pPr>
        <w:spacing w:after="0" w:line="259" w:lineRule="exact"/>
        <w:rPr>
          <w:sz w:val="21"/>
        </w:rPr>
        <w:sectPr>
          <w:pgSz w:w="11910" w:h="16840"/>
          <w:pgMar w:header="872" w:footer="945" w:top="1320" w:bottom="1140" w:left="1200" w:right="1180"/>
        </w:sectPr>
      </w:pPr>
    </w:p>
    <w:p>
      <w:pPr>
        <w:pStyle w:val="BodyText"/>
        <w:spacing w:before="1"/>
        <w:rPr>
          <w:rFonts w:ascii="Times New Roman"/>
          <w:sz w:val="7"/>
        </w:r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8"/>
        <w:gridCol w:w="609"/>
        <w:gridCol w:w="943"/>
        <w:gridCol w:w="740"/>
        <w:gridCol w:w="459"/>
        <w:gridCol w:w="817"/>
        <w:gridCol w:w="312"/>
        <w:gridCol w:w="1239"/>
        <w:gridCol w:w="851"/>
        <w:gridCol w:w="1281"/>
        <w:gridCol w:w="1134"/>
      </w:tblGrid>
      <w:tr>
        <w:trPr>
          <w:trHeight w:val="282" w:hRule="atLeast"/>
        </w:trPr>
        <w:tc>
          <w:tcPr>
            <w:tcW w:w="698" w:type="dxa"/>
          </w:tcPr>
          <w:p>
            <w:pPr>
              <w:pStyle w:val="TableParagraph"/>
              <w:spacing w:line="259" w:lineRule="exact" w:before="3"/>
              <w:ind w:left="136"/>
              <w:jc w:val="left"/>
              <w:rPr>
                <w:b/>
                <w:sz w:val="21"/>
              </w:rPr>
            </w:pPr>
            <w:r>
              <w:rPr>
                <w:b/>
                <w:sz w:val="21"/>
              </w:rPr>
              <w:t>类别</w:t>
            </w:r>
          </w:p>
        </w:tc>
        <w:tc>
          <w:tcPr>
            <w:tcW w:w="8385" w:type="dxa"/>
            <w:gridSpan w:val="10"/>
          </w:tcPr>
          <w:p>
            <w:pPr>
              <w:pStyle w:val="TableParagraph"/>
              <w:spacing w:line="259" w:lineRule="exact" w:before="3"/>
              <w:ind w:left="3536" w:right="3534"/>
              <w:rPr>
                <w:b/>
                <w:sz w:val="21"/>
              </w:rPr>
            </w:pPr>
            <w:r>
              <w:rPr>
                <w:b/>
                <w:sz w:val="21"/>
              </w:rPr>
              <w:t>环境敏感特征</w:t>
            </w:r>
          </w:p>
        </w:tc>
      </w:tr>
      <w:tr>
        <w:trPr>
          <w:trHeight w:val="285" w:hRule="atLeast"/>
        </w:trPr>
        <w:tc>
          <w:tcPr>
            <w:tcW w:w="698" w:type="dxa"/>
            <w:vMerge w:val="restart"/>
          </w:tcPr>
          <w:p>
            <w:pPr>
              <w:pStyle w:val="TableParagraph"/>
              <w:jc w:val="left"/>
              <w:rPr>
                <w:rFonts w:ascii="Times New Roman"/>
                <w:sz w:val="20"/>
              </w:rPr>
            </w:pPr>
          </w:p>
        </w:tc>
        <w:tc>
          <w:tcPr>
            <w:tcW w:w="609" w:type="dxa"/>
          </w:tcPr>
          <w:p>
            <w:pPr>
              <w:pStyle w:val="TableParagraph"/>
              <w:spacing w:before="20"/>
              <w:ind w:left="179" w:right="169"/>
              <w:rPr>
                <w:rFonts w:ascii="Times New Roman"/>
                <w:sz w:val="21"/>
              </w:rPr>
            </w:pPr>
            <w:r>
              <w:rPr>
                <w:rFonts w:ascii="Times New Roman"/>
                <w:sz w:val="21"/>
              </w:rPr>
              <w:t>13</w:t>
            </w:r>
          </w:p>
        </w:tc>
        <w:tc>
          <w:tcPr>
            <w:tcW w:w="2142" w:type="dxa"/>
            <w:gridSpan w:val="3"/>
          </w:tcPr>
          <w:p>
            <w:pPr>
              <w:pStyle w:val="TableParagraph"/>
              <w:spacing w:line="259" w:lineRule="exact" w:before="6"/>
              <w:ind w:left="736" w:right="726"/>
              <w:rPr>
                <w:sz w:val="21"/>
              </w:rPr>
            </w:pPr>
            <w:r>
              <w:rPr>
                <w:sz w:val="21"/>
              </w:rPr>
              <w:t>建塘村</w:t>
            </w:r>
          </w:p>
        </w:tc>
        <w:tc>
          <w:tcPr>
            <w:tcW w:w="1129" w:type="dxa"/>
            <w:gridSpan w:val="2"/>
          </w:tcPr>
          <w:p>
            <w:pPr>
              <w:pStyle w:val="TableParagraph"/>
              <w:spacing w:before="20"/>
              <w:ind w:left="70" w:right="27"/>
              <w:rPr>
                <w:rFonts w:ascii="Times New Roman"/>
                <w:sz w:val="21"/>
              </w:rPr>
            </w:pPr>
            <w:r>
              <w:rPr>
                <w:rFonts w:ascii="Times New Roman"/>
                <w:sz w:val="21"/>
              </w:rPr>
              <w:t>SW</w:t>
            </w:r>
          </w:p>
        </w:tc>
        <w:tc>
          <w:tcPr>
            <w:tcW w:w="1239" w:type="dxa"/>
          </w:tcPr>
          <w:p>
            <w:pPr>
              <w:pStyle w:val="TableParagraph"/>
              <w:spacing w:before="20"/>
              <w:ind w:right="271"/>
              <w:jc w:val="right"/>
              <w:rPr>
                <w:rFonts w:ascii="Times New Roman"/>
                <w:sz w:val="21"/>
              </w:rPr>
            </w:pPr>
            <w:r>
              <w:rPr>
                <w:rFonts w:ascii="Times New Roman"/>
                <w:sz w:val="21"/>
              </w:rPr>
              <w:t>~5.0km</w:t>
            </w:r>
          </w:p>
        </w:tc>
        <w:tc>
          <w:tcPr>
            <w:tcW w:w="2132" w:type="dxa"/>
            <w:gridSpan w:val="2"/>
          </w:tcPr>
          <w:p>
            <w:pPr>
              <w:pStyle w:val="TableParagraph"/>
              <w:spacing w:line="259" w:lineRule="exact" w:before="6"/>
              <w:ind w:left="103" w:right="101"/>
              <w:rPr>
                <w:sz w:val="21"/>
              </w:rPr>
            </w:pPr>
            <w:r>
              <w:rPr>
                <w:sz w:val="21"/>
              </w:rPr>
              <w:t>居住区</w:t>
            </w:r>
          </w:p>
        </w:tc>
        <w:tc>
          <w:tcPr>
            <w:tcW w:w="1134" w:type="dxa"/>
          </w:tcPr>
          <w:p>
            <w:pPr>
              <w:pStyle w:val="TableParagraph"/>
              <w:spacing w:line="259" w:lineRule="exact" w:before="6"/>
              <w:ind w:left="115" w:right="115"/>
              <w:rPr>
                <w:sz w:val="21"/>
              </w:rPr>
            </w:pPr>
            <w:r>
              <w:rPr>
                <w:rFonts w:ascii="Times New Roman" w:eastAsia="Times New Roman"/>
                <w:sz w:val="21"/>
              </w:rPr>
              <w:t>~488</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179" w:right="169"/>
              <w:rPr>
                <w:rFonts w:ascii="Times New Roman"/>
                <w:sz w:val="21"/>
              </w:rPr>
            </w:pPr>
            <w:r>
              <w:rPr>
                <w:rFonts w:ascii="Times New Roman"/>
                <w:sz w:val="21"/>
              </w:rPr>
              <w:t>14</w:t>
            </w:r>
          </w:p>
        </w:tc>
        <w:tc>
          <w:tcPr>
            <w:tcW w:w="2142" w:type="dxa"/>
            <w:gridSpan w:val="3"/>
          </w:tcPr>
          <w:p>
            <w:pPr>
              <w:pStyle w:val="TableParagraph"/>
              <w:spacing w:line="259" w:lineRule="exact" w:before="3"/>
              <w:ind w:left="736" w:right="726"/>
              <w:rPr>
                <w:sz w:val="21"/>
              </w:rPr>
            </w:pPr>
            <w:r>
              <w:rPr>
                <w:sz w:val="21"/>
              </w:rPr>
              <w:t>岑仓村</w:t>
            </w:r>
          </w:p>
        </w:tc>
        <w:tc>
          <w:tcPr>
            <w:tcW w:w="1129" w:type="dxa"/>
            <w:gridSpan w:val="2"/>
          </w:tcPr>
          <w:p>
            <w:pPr>
              <w:pStyle w:val="TableParagraph"/>
              <w:spacing w:before="17"/>
              <w:ind w:left="70" w:right="27"/>
              <w:rPr>
                <w:rFonts w:ascii="Times New Roman"/>
                <w:sz w:val="21"/>
              </w:rPr>
            </w:pPr>
            <w:r>
              <w:rPr>
                <w:rFonts w:ascii="Times New Roman"/>
                <w:sz w:val="21"/>
              </w:rPr>
              <w:t>SW</w:t>
            </w:r>
          </w:p>
        </w:tc>
        <w:tc>
          <w:tcPr>
            <w:tcW w:w="1239" w:type="dxa"/>
          </w:tcPr>
          <w:p>
            <w:pPr>
              <w:pStyle w:val="TableParagraph"/>
              <w:spacing w:before="17"/>
              <w:ind w:right="271"/>
              <w:jc w:val="right"/>
              <w:rPr>
                <w:rFonts w:ascii="Times New Roman"/>
                <w:sz w:val="21"/>
              </w:rPr>
            </w:pPr>
            <w:r>
              <w:rPr>
                <w:rFonts w:ascii="Times New Roman"/>
                <w:sz w:val="21"/>
              </w:rPr>
              <w:t>~5.2km</w:t>
            </w:r>
          </w:p>
        </w:tc>
        <w:tc>
          <w:tcPr>
            <w:tcW w:w="2132" w:type="dxa"/>
            <w:gridSpan w:val="2"/>
          </w:tcPr>
          <w:p>
            <w:pPr>
              <w:pStyle w:val="TableParagraph"/>
              <w:spacing w:line="259" w:lineRule="exact" w:before="3"/>
              <w:ind w:left="103" w:right="101"/>
              <w:rPr>
                <w:sz w:val="21"/>
              </w:rPr>
            </w:pPr>
            <w:r>
              <w:rPr>
                <w:sz w:val="21"/>
              </w:rPr>
              <w:t>居住区</w:t>
            </w:r>
          </w:p>
        </w:tc>
        <w:tc>
          <w:tcPr>
            <w:tcW w:w="1134" w:type="dxa"/>
          </w:tcPr>
          <w:p>
            <w:pPr>
              <w:pStyle w:val="TableParagraph"/>
              <w:spacing w:line="259" w:lineRule="exact" w:before="3"/>
              <w:ind w:left="115" w:right="115"/>
              <w:rPr>
                <w:sz w:val="21"/>
              </w:rPr>
            </w:pPr>
            <w:r>
              <w:rPr>
                <w:rFonts w:ascii="Times New Roman" w:eastAsia="Times New Roman"/>
                <w:sz w:val="21"/>
              </w:rPr>
              <w:t>~1804</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179" w:right="169"/>
              <w:rPr>
                <w:rFonts w:ascii="Times New Roman"/>
                <w:sz w:val="21"/>
              </w:rPr>
            </w:pPr>
            <w:r>
              <w:rPr>
                <w:rFonts w:ascii="Times New Roman"/>
                <w:sz w:val="21"/>
              </w:rPr>
              <w:t>15</w:t>
            </w:r>
          </w:p>
        </w:tc>
        <w:tc>
          <w:tcPr>
            <w:tcW w:w="2142" w:type="dxa"/>
            <w:gridSpan w:val="3"/>
          </w:tcPr>
          <w:p>
            <w:pPr>
              <w:pStyle w:val="TableParagraph"/>
              <w:spacing w:line="259" w:lineRule="exact" w:before="6"/>
              <w:ind w:left="736" w:right="726"/>
              <w:rPr>
                <w:sz w:val="21"/>
              </w:rPr>
            </w:pPr>
            <w:r>
              <w:rPr>
                <w:sz w:val="21"/>
              </w:rPr>
              <w:t>晋生村</w:t>
            </w:r>
          </w:p>
        </w:tc>
        <w:tc>
          <w:tcPr>
            <w:tcW w:w="1129" w:type="dxa"/>
            <w:gridSpan w:val="2"/>
          </w:tcPr>
          <w:p>
            <w:pPr>
              <w:pStyle w:val="TableParagraph"/>
              <w:spacing w:before="19"/>
              <w:ind w:left="40"/>
              <w:rPr>
                <w:rFonts w:ascii="Times New Roman"/>
                <w:sz w:val="21"/>
              </w:rPr>
            </w:pPr>
            <w:r>
              <w:rPr>
                <w:rFonts w:ascii="Times New Roman"/>
                <w:w w:val="100"/>
                <w:sz w:val="21"/>
              </w:rPr>
              <w:t>S</w:t>
            </w:r>
          </w:p>
        </w:tc>
        <w:tc>
          <w:tcPr>
            <w:tcW w:w="1239" w:type="dxa"/>
          </w:tcPr>
          <w:p>
            <w:pPr>
              <w:pStyle w:val="TableParagraph"/>
              <w:spacing w:before="19"/>
              <w:ind w:right="271"/>
              <w:jc w:val="right"/>
              <w:rPr>
                <w:rFonts w:ascii="Times New Roman"/>
                <w:sz w:val="21"/>
              </w:rPr>
            </w:pPr>
            <w:r>
              <w:rPr>
                <w:rFonts w:ascii="Times New Roman"/>
                <w:sz w:val="21"/>
              </w:rPr>
              <w:t>~5.0km</w:t>
            </w:r>
          </w:p>
        </w:tc>
        <w:tc>
          <w:tcPr>
            <w:tcW w:w="2132" w:type="dxa"/>
            <w:gridSpan w:val="2"/>
          </w:tcPr>
          <w:p>
            <w:pPr>
              <w:pStyle w:val="TableParagraph"/>
              <w:spacing w:line="259" w:lineRule="exact" w:before="6"/>
              <w:ind w:left="103" w:right="101"/>
              <w:rPr>
                <w:sz w:val="21"/>
              </w:rPr>
            </w:pPr>
            <w:r>
              <w:rPr>
                <w:sz w:val="21"/>
              </w:rPr>
              <w:t>居住区</w:t>
            </w:r>
          </w:p>
        </w:tc>
        <w:tc>
          <w:tcPr>
            <w:tcW w:w="1134" w:type="dxa"/>
          </w:tcPr>
          <w:p>
            <w:pPr>
              <w:pStyle w:val="TableParagraph"/>
              <w:spacing w:line="259" w:lineRule="exact" w:before="6"/>
              <w:ind w:left="115" w:right="115"/>
              <w:rPr>
                <w:sz w:val="21"/>
              </w:rPr>
            </w:pPr>
            <w:r>
              <w:rPr>
                <w:rFonts w:ascii="Times New Roman" w:eastAsia="Times New Roman"/>
                <w:sz w:val="21"/>
              </w:rPr>
              <w:t>~2333</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179" w:right="169"/>
              <w:rPr>
                <w:rFonts w:ascii="Times New Roman"/>
                <w:sz w:val="21"/>
              </w:rPr>
            </w:pPr>
            <w:r>
              <w:rPr>
                <w:rFonts w:ascii="Times New Roman"/>
                <w:sz w:val="21"/>
              </w:rPr>
              <w:t>16</w:t>
            </w:r>
          </w:p>
        </w:tc>
        <w:tc>
          <w:tcPr>
            <w:tcW w:w="2142" w:type="dxa"/>
            <w:gridSpan w:val="3"/>
          </w:tcPr>
          <w:p>
            <w:pPr>
              <w:pStyle w:val="TableParagraph"/>
              <w:spacing w:line="259" w:lineRule="exact" w:before="3"/>
              <w:ind w:left="651"/>
              <w:jc w:val="left"/>
              <w:rPr>
                <w:sz w:val="21"/>
              </w:rPr>
            </w:pPr>
            <w:r>
              <w:rPr>
                <w:sz w:val="21"/>
              </w:rPr>
              <w:t>十六户村</w:t>
            </w:r>
          </w:p>
        </w:tc>
        <w:tc>
          <w:tcPr>
            <w:tcW w:w="1129" w:type="dxa"/>
            <w:gridSpan w:val="2"/>
          </w:tcPr>
          <w:p>
            <w:pPr>
              <w:pStyle w:val="TableParagraph"/>
              <w:spacing w:before="17"/>
              <w:ind w:left="70" w:right="27"/>
              <w:rPr>
                <w:rFonts w:ascii="Times New Roman"/>
                <w:sz w:val="21"/>
              </w:rPr>
            </w:pPr>
            <w:r>
              <w:rPr>
                <w:rFonts w:ascii="Times New Roman"/>
                <w:sz w:val="21"/>
              </w:rPr>
              <w:t>SW</w:t>
            </w:r>
          </w:p>
        </w:tc>
        <w:tc>
          <w:tcPr>
            <w:tcW w:w="1239" w:type="dxa"/>
          </w:tcPr>
          <w:p>
            <w:pPr>
              <w:pStyle w:val="TableParagraph"/>
              <w:spacing w:before="17"/>
              <w:ind w:right="271"/>
              <w:jc w:val="right"/>
              <w:rPr>
                <w:rFonts w:ascii="Times New Roman"/>
                <w:sz w:val="21"/>
              </w:rPr>
            </w:pPr>
            <w:r>
              <w:rPr>
                <w:rFonts w:ascii="Times New Roman"/>
                <w:sz w:val="21"/>
              </w:rPr>
              <w:t>~3.6km</w:t>
            </w:r>
          </w:p>
        </w:tc>
        <w:tc>
          <w:tcPr>
            <w:tcW w:w="2132" w:type="dxa"/>
            <w:gridSpan w:val="2"/>
          </w:tcPr>
          <w:p>
            <w:pPr>
              <w:pStyle w:val="TableParagraph"/>
              <w:spacing w:line="259" w:lineRule="exact" w:before="3"/>
              <w:ind w:left="103" w:right="101"/>
              <w:rPr>
                <w:sz w:val="21"/>
              </w:rPr>
            </w:pPr>
            <w:r>
              <w:rPr>
                <w:sz w:val="21"/>
              </w:rPr>
              <w:t>居住区</w:t>
            </w:r>
          </w:p>
        </w:tc>
        <w:tc>
          <w:tcPr>
            <w:tcW w:w="1134" w:type="dxa"/>
          </w:tcPr>
          <w:p>
            <w:pPr>
              <w:pStyle w:val="TableParagraph"/>
              <w:spacing w:line="259" w:lineRule="exact" w:before="3"/>
              <w:ind w:left="115" w:right="115"/>
              <w:rPr>
                <w:sz w:val="21"/>
              </w:rPr>
            </w:pPr>
            <w:r>
              <w:rPr>
                <w:rFonts w:ascii="Times New Roman" w:eastAsia="Times New Roman"/>
                <w:sz w:val="21"/>
              </w:rPr>
              <w:t>~4557</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179" w:right="169"/>
              <w:rPr>
                <w:rFonts w:ascii="Times New Roman"/>
                <w:sz w:val="21"/>
              </w:rPr>
            </w:pPr>
            <w:r>
              <w:rPr>
                <w:rFonts w:ascii="Times New Roman"/>
                <w:sz w:val="21"/>
              </w:rPr>
              <w:t>17</w:t>
            </w:r>
          </w:p>
        </w:tc>
        <w:tc>
          <w:tcPr>
            <w:tcW w:w="2142" w:type="dxa"/>
            <w:gridSpan w:val="3"/>
          </w:tcPr>
          <w:p>
            <w:pPr>
              <w:pStyle w:val="TableParagraph"/>
              <w:spacing w:line="259" w:lineRule="exact" w:before="5"/>
              <w:ind w:left="736" w:right="726"/>
              <w:rPr>
                <w:sz w:val="21"/>
              </w:rPr>
            </w:pPr>
            <w:r>
              <w:rPr>
                <w:sz w:val="21"/>
              </w:rPr>
              <w:t>横塘村</w:t>
            </w:r>
          </w:p>
        </w:tc>
        <w:tc>
          <w:tcPr>
            <w:tcW w:w="1129" w:type="dxa"/>
            <w:gridSpan w:val="2"/>
          </w:tcPr>
          <w:p>
            <w:pPr>
              <w:pStyle w:val="TableParagraph"/>
              <w:spacing w:before="19"/>
              <w:ind w:left="70" w:right="27"/>
              <w:rPr>
                <w:rFonts w:ascii="Times New Roman"/>
                <w:sz w:val="21"/>
              </w:rPr>
            </w:pPr>
            <w:r>
              <w:rPr>
                <w:rFonts w:ascii="Times New Roman"/>
                <w:sz w:val="21"/>
              </w:rPr>
              <w:t>SW</w:t>
            </w:r>
          </w:p>
        </w:tc>
        <w:tc>
          <w:tcPr>
            <w:tcW w:w="1239" w:type="dxa"/>
          </w:tcPr>
          <w:p>
            <w:pPr>
              <w:pStyle w:val="TableParagraph"/>
              <w:spacing w:before="19"/>
              <w:ind w:right="271"/>
              <w:jc w:val="right"/>
              <w:rPr>
                <w:rFonts w:ascii="Times New Roman"/>
                <w:sz w:val="21"/>
              </w:rPr>
            </w:pPr>
            <w:r>
              <w:rPr>
                <w:rFonts w:ascii="Times New Roman"/>
                <w:sz w:val="21"/>
              </w:rPr>
              <w:t>~4.1km</w:t>
            </w:r>
          </w:p>
        </w:tc>
        <w:tc>
          <w:tcPr>
            <w:tcW w:w="2132" w:type="dxa"/>
            <w:gridSpan w:val="2"/>
          </w:tcPr>
          <w:p>
            <w:pPr>
              <w:pStyle w:val="TableParagraph"/>
              <w:spacing w:line="259" w:lineRule="exact" w:before="5"/>
              <w:ind w:left="103" w:right="101"/>
              <w:rPr>
                <w:sz w:val="21"/>
              </w:rPr>
            </w:pPr>
            <w:r>
              <w:rPr>
                <w:sz w:val="21"/>
              </w:rPr>
              <w:t>居住区</w:t>
            </w:r>
          </w:p>
        </w:tc>
        <w:tc>
          <w:tcPr>
            <w:tcW w:w="1134" w:type="dxa"/>
          </w:tcPr>
          <w:p>
            <w:pPr>
              <w:pStyle w:val="TableParagraph"/>
              <w:spacing w:line="259" w:lineRule="exact" w:before="5"/>
              <w:ind w:left="115" w:right="115"/>
              <w:rPr>
                <w:sz w:val="21"/>
              </w:rPr>
            </w:pPr>
            <w:r>
              <w:rPr>
                <w:rFonts w:ascii="Times New Roman" w:eastAsia="Times New Roman"/>
                <w:sz w:val="21"/>
              </w:rPr>
              <w:t>~4814</w:t>
            </w:r>
            <w:r>
              <w:rPr>
                <w:sz w:val="21"/>
              </w:rPr>
              <w:t>人</w:t>
            </w:r>
          </w:p>
        </w:tc>
      </w:tr>
      <w:tr>
        <w:trPr>
          <w:trHeight w:val="282" w:hRule="atLeast"/>
        </w:trPr>
        <w:tc>
          <w:tcPr>
            <w:tcW w:w="698" w:type="dxa"/>
            <w:vMerge/>
            <w:tcBorders>
              <w:top w:val="nil"/>
            </w:tcBorders>
          </w:tcPr>
          <w:p>
            <w:pPr>
              <w:rPr>
                <w:sz w:val="2"/>
                <w:szCs w:val="2"/>
              </w:rPr>
            </w:pPr>
          </w:p>
        </w:tc>
        <w:tc>
          <w:tcPr>
            <w:tcW w:w="609" w:type="dxa"/>
          </w:tcPr>
          <w:p>
            <w:pPr>
              <w:pStyle w:val="TableParagraph"/>
              <w:spacing w:before="17"/>
              <w:ind w:left="179" w:right="169"/>
              <w:rPr>
                <w:rFonts w:ascii="Times New Roman"/>
                <w:sz w:val="21"/>
              </w:rPr>
            </w:pPr>
            <w:r>
              <w:rPr>
                <w:rFonts w:ascii="Times New Roman"/>
                <w:sz w:val="21"/>
              </w:rPr>
              <w:t>18</w:t>
            </w:r>
          </w:p>
        </w:tc>
        <w:tc>
          <w:tcPr>
            <w:tcW w:w="2142" w:type="dxa"/>
            <w:gridSpan w:val="3"/>
          </w:tcPr>
          <w:p>
            <w:pPr>
              <w:pStyle w:val="TableParagraph"/>
              <w:spacing w:line="259" w:lineRule="exact" w:before="3"/>
              <w:ind w:left="651"/>
              <w:jc w:val="left"/>
              <w:rPr>
                <w:sz w:val="21"/>
              </w:rPr>
            </w:pPr>
            <w:r>
              <w:rPr>
                <w:sz w:val="21"/>
              </w:rPr>
              <w:t>韩夏新村</w:t>
            </w:r>
          </w:p>
        </w:tc>
        <w:tc>
          <w:tcPr>
            <w:tcW w:w="1129" w:type="dxa"/>
            <w:gridSpan w:val="2"/>
          </w:tcPr>
          <w:p>
            <w:pPr>
              <w:pStyle w:val="TableParagraph"/>
              <w:spacing w:before="17"/>
              <w:ind w:left="70" w:right="27"/>
              <w:rPr>
                <w:rFonts w:ascii="Times New Roman"/>
                <w:sz w:val="21"/>
              </w:rPr>
            </w:pPr>
            <w:r>
              <w:rPr>
                <w:rFonts w:ascii="Times New Roman"/>
                <w:sz w:val="21"/>
              </w:rPr>
              <w:t>SW</w:t>
            </w:r>
          </w:p>
        </w:tc>
        <w:tc>
          <w:tcPr>
            <w:tcW w:w="1239" w:type="dxa"/>
          </w:tcPr>
          <w:p>
            <w:pPr>
              <w:pStyle w:val="TableParagraph"/>
              <w:spacing w:before="17"/>
              <w:ind w:right="271"/>
              <w:jc w:val="right"/>
              <w:rPr>
                <w:rFonts w:ascii="Times New Roman"/>
                <w:sz w:val="21"/>
              </w:rPr>
            </w:pPr>
            <w:r>
              <w:rPr>
                <w:rFonts w:ascii="Times New Roman"/>
                <w:sz w:val="21"/>
              </w:rPr>
              <w:t>~4.9km</w:t>
            </w:r>
          </w:p>
        </w:tc>
        <w:tc>
          <w:tcPr>
            <w:tcW w:w="2132" w:type="dxa"/>
            <w:gridSpan w:val="2"/>
          </w:tcPr>
          <w:p>
            <w:pPr>
              <w:pStyle w:val="TableParagraph"/>
              <w:spacing w:line="259" w:lineRule="exact" w:before="3"/>
              <w:ind w:left="103" w:right="101"/>
              <w:rPr>
                <w:sz w:val="21"/>
              </w:rPr>
            </w:pPr>
            <w:r>
              <w:rPr>
                <w:sz w:val="21"/>
              </w:rPr>
              <w:t>居住区</w:t>
            </w:r>
          </w:p>
        </w:tc>
        <w:tc>
          <w:tcPr>
            <w:tcW w:w="1134" w:type="dxa"/>
          </w:tcPr>
          <w:p>
            <w:pPr>
              <w:pStyle w:val="TableParagraph"/>
              <w:spacing w:line="259" w:lineRule="exact" w:before="3"/>
              <w:ind w:left="115" w:right="115"/>
              <w:rPr>
                <w:sz w:val="21"/>
              </w:rPr>
            </w:pPr>
            <w:r>
              <w:rPr>
                <w:rFonts w:ascii="Times New Roman" w:eastAsia="Times New Roman"/>
                <w:sz w:val="21"/>
              </w:rPr>
              <w:t>~1318</w:t>
            </w:r>
            <w:r>
              <w:rPr>
                <w:sz w:val="21"/>
              </w:rPr>
              <w:t>人</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9"/>
              <w:ind w:left="179" w:right="169"/>
              <w:rPr>
                <w:rFonts w:ascii="Times New Roman"/>
                <w:sz w:val="21"/>
              </w:rPr>
            </w:pPr>
            <w:r>
              <w:rPr>
                <w:rFonts w:ascii="Times New Roman"/>
                <w:sz w:val="21"/>
              </w:rPr>
              <w:t>19</w:t>
            </w:r>
          </w:p>
        </w:tc>
        <w:tc>
          <w:tcPr>
            <w:tcW w:w="2142" w:type="dxa"/>
            <w:gridSpan w:val="3"/>
          </w:tcPr>
          <w:p>
            <w:pPr>
              <w:pStyle w:val="TableParagraph"/>
              <w:spacing w:line="259" w:lineRule="exact" w:before="6"/>
              <w:ind w:left="736" w:right="726"/>
              <w:rPr>
                <w:sz w:val="21"/>
              </w:rPr>
            </w:pPr>
            <w:r>
              <w:rPr>
                <w:sz w:val="21"/>
              </w:rPr>
              <w:t>盖北镇</w:t>
            </w:r>
          </w:p>
        </w:tc>
        <w:tc>
          <w:tcPr>
            <w:tcW w:w="1129" w:type="dxa"/>
            <w:gridSpan w:val="2"/>
          </w:tcPr>
          <w:p>
            <w:pPr>
              <w:pStyle w:val="TableParagraph"/>
              <w:spacing w:before="19"/>
              <w:ind w:left="70" w:right="27"/>
              <w:rPr>
                <w:rFonts w:ascii="Times New Roman"/>
                <w:sz w:val="21"/>
              </w:rPr>
            </w:pPr>
            <w:r>
              <w:rPr>
                <w:rFonts w:ascii="Times New Roman"/>
                <w:sz w:val="21"/>
              </w:rPr>
              <w:t>SW</w:t>
            </w:r>
          </w:p>
        </w:tc>
        <w:tc>
          <w:tcPr>
            <w:tcW w:w="1239" w:type="dxa"/>
          </w:tcPr>
          <w:p>
            <w:pPr>
              <w:pStyle w:val="TableParagraph"/>
              <w:spacing w:before="19"/>
              <w:ind w:right="271"/>
              <w:jc w:val="right"/>
              <w:rPr>
                <w:rFonts w:ascii="Times New Roman"/>
                <w:sz w:val="21"/>
              </w:rPr>
            </w:pPr>
            <w:r>
              <w:rPr>
                <w:rFonts w:ascii="Times New Roman"/>
                <w:sz w:val="21"/>
              </w:rPr>
              <w:t>~3.6km</w:t>
            </w:r>
          </w:p>
        </w:tc>
        <w:tc>
          <w:tcPr>
            <w:tcW w:w="2132" w:type="dxa"/>
            <w:gridSpan w:val="2"/>
          </w:tcPr>
          <w:p>
            <w:pPr>
              <w:pStyle w:val="TableParagraph"/>
              <w:spacing w:line="259" w:lineRule="exact" w:before="6"/>
              <w:ind w:left="103" w:right="101"/>
              <w:rPr>
                <w:sz w:val="21"/>
              </w:rPr>
            </w:pPr>
            <w:r>
              <w:rPr>
                <w:sz w:val="21"/>
              </w:rPr>
              <w:t>居住区</w:t>
            </w:r>
          </w:p>
        </w:tc>
        <w:tc>
          <w:tcPr>
            <w:tcW w:w="1134" w:type="dxa"/>
          </w:tcPr>
          <w:p>
            <w:pPr>
              <w:pStyle w:val="TableParagraph"/>
              <w:spacing w:line="259" w:lineRule="exact" w:before="6"/>
              <w:ind w:left="115" w:right="115"/>
              <w:rPr>
                <w:sz w:val="21"/>
              </w:rPr>
            </w:pPr>
            <w:r>
              <w:rPr>
                <w:rFonts w:ascii="Times New Roman" w:eastAsia="Times New Roman"/>
                <w:sz w:val="21"/>
              </w:rPr>
              <w:t>~4886</w:t>
            </w:r>
            <w:r>
              <w:rPr>
                <w:sz w:val="21"/>
              </w:rPr>
              <w:t>人</w:t>
            </w:r>
          </w:p>
        </w:tc>
      </w:tr>
      <w:tr>
        <w:trPr>
          <w:trHeight w:val="479" w:hRule="atLeast"/>
        </w:trPr>
        <w:tc>
          <w:tcPr>
            <w:tcW w:w="698" w:type="dxa"/>
            <w:vMerge/>
            <w:tcBorders>
              <w:top w:val="nil"/>
            </w:tcBorders>
          </w:tcPr>
          <w:p>
            <w:pPr>
              <w:rPr>
                <w:sz w:val="2"/>
                <w:szCs w:val="2"/>
              </w:rPr>
            </w:pPr>
          </w:p>
        </w:tc>
        <w:tc>
          <w:tcPr>
            <w:tcW w:w="7251" w:type="dxa"/>
            <w:gridSpan w:val="9"/>
          </w:tcPr>
          <w:p>
            <w:pPr>
              <w:pStyle w:val="TableParagraph"/>
              <w:spacing w:before="102"/>
              <w:ind w:left="2104" w:right="2098"/>
              <w:rPr>
                <w:sz w:val="21"/>
              </w:rPr>
            </w:pPr>
            <w:r>
              <w:rPr>
                <w:sz w:val="21"/>
              </w:rPr>
              <w:t>厂址周边</w:t>
            </w:r>
            <w:r>
              <w:rPr>
                <w:rFonts w:ascii="Times New Roman" w:eastAsia="Times New Roman"/>
                <w:sz w:val="21"/>
              </w:rPr>
              <w:t>500m</w:t>
            </w:r>
            <w:r>
              <w:rPr>
                <w:sz w:val="21"/>
              </w:rPr>
              <w:t>范围内人口数小计</w:t>
            </w:r>
          </w:p>
        </w:tc>
        <w:tc>
          <w:tcPr>
            <w:tcW w:w="1134" w:type="dxa"/>
          </w:tcPr>
          <w:p>
            <w:pPr>
              <w:pStyle w:val="TableParagraph"/>
              <w:spacing w:line="236" w:lineRule="exact"/>
              <w:ind w:left="133"/>
              <w:jc w:val="left"/>
              <w:rPr>
                <w:sz w:val="21"/>
              </w:rPr>
            </w:pPr>
            <w:r>
              <w:rPr>
                <w:rFonts w:ascii="Times New Roman" w:eastAsia="Times New Roman"/>
                <w:sz w:val="21"/>
              </w:rPr>
              <w:t>&gt;500</w:t>
            </w:r>
            <w:r>
              <w:rPr>
                <w:sz w:val="21"/>
              </w:rPr>
              <w:t>人，</w:t>
            </w:r>
          </w:p>
          <w:p>
            <w:pPr>
              <w:pStyle w:val="TableParagraph"/>
              <w:spacing w:line="223" w:lineRule="exact"/>
              <w:ind w:left="185"/>
              <w:jc w:val="left"/>
              <w:rPr>
                <w:sz w:val="21"/>
              </w:rPr>
            </w:pPr>
            <w:r>
              <w:rPr>
                <w:rFonts w:ascii="Times New Roman" w:eastAsia="Times New Roman"/>
                <w:sz w:val="21"/>
              </w:rPr>
              <w:t>&lt;1000</w:t>
            </w:r>
            <w:r>
              <w:rPr>
                <w:sz w:val="21"/>
              </w:rPr>
              <w:t>人</w:t>
            </w:r>
          </w:p>
        </w:tc>
      </w:tr>
      <w:tr>
        <w:trPr>
          <w:trHeight w:val="282" w:hRule="atLeast"/>
        </w:trPr>
        <w:tc>
          <w:tcPr>
            <w:tcW w:w="698" w:type="dxa"/>
            <w:vMerge/>
            <w:tcBorders>
              <w:top w:val="nil"/>
            </w:tcBorders>
          </w:tcPr>
          <w:p>
            <w:pPr>
              <w:rPr>
                <w:sz w:val="2"/>
                <w:szCs w:val="2"/>
              </w:rPr>
            </w:pPr>
          </w:p>
        </w:tc>
        <w:tc>
          <w:tcPr>
            <w:tcW w:w="7251" w:type="dxa"/>
            <w:gridSpan w:val="9"/>
          </w:tcPr>
          <w:p>
            <w:pPr>
              <w:pStyle w:val="TableParagraph"/>
              <w:spacing w:line="259" w:lineRule="exact" w:before="3"/>
              <w:ind w:left="2104" w:right="2098"/>
              <w:rPr>
                <w:sz w:val="21"/>
              </w:rPr>
            </w:pPr>
            <w:r>
              <w:rPr>
                <w:sz w:val="21"/>
              </w:rPr>
              <w:t>厂址周边</w:t>
            </w:r>
            <w:r>
              <w:rPr>
                <w:rFonts w:ascii="Times New Roman" w:eastAsia="Times New Roman"/>
                <w:sz w:val="21"/>
              </w:rPr>
              <w:t>5km</w:t>
            </w:r>
            <w:r>
              <w:rPr>
                <w:sz w:val="21"/>
              </w:rPr>
              <w:t>范围内人口数小计</w:t>
            </w:r>
          </w:p>
        </w:tc>
        <w:tc>
          <w:tcPr>
            <w:tcW w:w="1134" w:type="dxa"/>
          </w:tcPr>
          <w:p>
            <w:pPr>
              <w:pStyle w:val="TableParagraph"/>
              <w:spacing w:line="259" w:lineRule="exact" w:before="3"/>
              <w:ind w:left="115" w:right="115"/>
              <w:rPr>
                <w:sz w:val="21"/>
              </w:rPr>
            </w:pPr>
            <w:r>
              <w:rPr>
                <w:rFonts w:ascii="Times New Roman" w:eastAsia="Times New Roman"/>
                <w:sz w:val="21"/>
              </w:rPr>
              <w:t>&gt;50000</w:t>
            </w:r>
            <w:r>
              <w:rPr>
                <w:sz w:val="21"/>
              </w:rPr>
              <w:t>人</w:t>
            </w:r>
          </w:p>
        </w:tc>
      </w:tr>
      <w:tr>
        <w:trPr>
          <w:trHeight w:val="285" w:hRule="atLeast"/>
        </w:trPr>
        <w:tc>
          <w:tcPr>
            <w:tcW w:w="698" w:type="dxa"/>
            <w:vMerge/>
            <w:tcBorders>
              <w:top w:val="nil"/>
            </w:tcBorders>
          </w:tcPr>
          <w:p>
            <w:pPr>
              <w:rPr>
                <w:sz w:val="2"/>
                <w:szCs w:val="2"/>
              </w:rPr>
            </w:pPr>
          </w:p>
        </w:tc>
        <w:tc>
          <w:tcPr>
            <w:tcW w:w="7251" w:type="dxa"/>
            <w:gridSpan w:val="9"/>
          </w:tcPr>
          <w:p>
            <w:pPr>
              <w:pStyle w:val="TableParagraph"/>
              <w:spacing w:line="259" w:lineRule="exact" w:before="6"/>
              <w:ind w:left="2101" w:right="2098"/>
              <w:rPr>
                <w:sz w:val="21"/>
              </w:rPr>
            </w:pPr>
            <w:r>
              <w:rPr>
                <w:sz w:val="21"/>
              </w:rPr>
              <w:t>大气环境敏感程度</w:t>
            </w:r>
            <w:r>
              <w:rPr>
                <w:rFonts w:ascii="Times New Roman" w:eastAsia="Times New Roman"/>
                <w:sz w:val="21"/>
              </w:rPr>
              <w:t>E</w:t>
            </w:r>
            <w:r>
              <w:rPr>
                <w:sz w:val="21"/>
              </w:rPr>
              <w:t>值</w:t>
            </w:r>
          </w:p>
        </w:tc>
        <w:tc>
          <w:tcPr>
            <w:tcW w:w="1134" w:type="dxa"/>
          </w:tcPr>
          <w:p>
            <w:pPr>
              <w:pStyle w:val="TableParagraph"/>
              <w:spacing w:before="19"/>
              <w:ind w:left="114" w:right="115"/>
              <w:rPr>
                <w:rFonts w:ascii="Times New Roman"/>
                <w:sz w:val="21"/>
              </w:rPr>
            </w:pPr>
            <w:r>
              <w:rPr>
                <w:rFonts w:ascii="Times New Roman"/>
                <w:sz w:val="21"/>
              </w:rPr>
              <w:t>E1</w:t>
            </w:r>
          </w:p>
        </w:tc>
      </w:tr>
      <w:tr>
        <w:trPr>
          <w:trHeight w:val="282" w:hRule="atLeast"/>
        </w:trPr>
        <w:tc>
          <w:tcPr>
            <w:tcW w:w="698" w:type="dxa"/>
            <w:vMerge w:val="restart"/>
          </w:tcPr>
          <w:p>
            <w:pPr>
              <w:pStyle w:val="TableParagraph"/>
              <w:jc w:val="left"/>
              <w:rPr>
                <w:rFonts w:ascii="Times New Roman"/>
                <w:sz w:val="20"/>
              </w:rPr>
            </w:pPr>
          </w:p>
          <w:p>
            <w:pPr>
              <w:pStyle w:val="TableParagraph"/>
              <w:spacing w:line="213" w:lineRule="auto" w:before="118"/>
              <w:ind w:left="242" w:right="124" w:hanging="104"/>
              <w:jc w:val="left"/>
              <w:rPr>
                <w:sz w:val="21"/>
              </w:rPr>
            </w:pPr>
            <w:r>
              <w:rPr>
                <w:sz w:val="21"/>
              </w:rPr>
              <w:t>地表水</w:t>
            </w:r>
          </w:p>
        </w:tc>
        <w:tc>
          <w:tcPr>
            <w:tcW w:w="8385" w:type="dxa"/>
            <w:gridSpan w:val="10"/>
          </w:tcPr>
          <w:p>
            <w:pPr>
              <w:pStyle w:val="TableParagraph"/>
              <w:spacing w:line="259" w:lineRule="exact" w:before="3"/>
              <w:ind w:left="3536" w:right="3532"/>
              <w:rPr>
                <w:sz w:val="21"/>
              </w:rPr>
            </w:pPr>
            <w:r>
              <w:rPr>
                <w:sz w:val="21"/>
              </w:rPr>
              <w:t>受纳水体</w:t>
            </w:r>
          </w:p>
        </w:tc>
      </w:tr>
      <w:tr>
        <w:trPr>
          <w:trHeight w:val="285" w:hRule="atLeast"/>
        </w:trPr>
        <w:tc>
          <w:tcPr>
            <w:tcW w:w="698" w:type="dxa"/>
            <w:vMerge/>
            <w:tcBorders>
              <w:top w:val="nil"/>
            </w:tcBorders>
          </w:tcPr>
          <w:p>
            <w:pPr>
              <w:rPr>
                <w:sz w:val="2"/>
                <w:szCs w:val="2"/>
              </w:rPr>
            </w:pPr>
          </w:p>
        </w:tc>
        <w:tc>
          <w:tcPr>
            <w:tcW w:w="1552" w:type="dxa"/>
            <w:gridSpan w:val="2"/>
          </w:tcPr>
          <w:p>
            <w:pPr>
              <w:pStyle w:val="TableParagraph"/>
              <w:spacing w:line="259" w:lineRule="exact" w:before="5"/>
              <w:ind w:left="545" w:right="537"/>
              <w:rPr>
                <w:sz w:val="21"/>
              </w:rPr>
            </w:pPr>
            <w:r>
              <w:rPr>
                <w:sz w:val="21"/>
              </w:rPr>
              <w:t>序号</w:t>
            </w:r>
          </w:p>
        </w:tc>
        <w:tc>
          <w:tcPr>
            <w:tcW w:w="2016" w:type="dxa"/>
            <w:gridSpan w:val="3"/>
          </w:tcPr>
          <w:p>
            <w:pPr>
              <w:pStyle w:val="TableParagraph"/>
              <w:spacing w:line="259" w:lineRule="exact" w:before="5"/>
              <w:ind w:left="375"/>
              <w:jc w:val="left"/>
              <w:rPr>
                <w:sz w:val="21"/>
              </w:rPr>
            </w:pPr>
            <w:r>
              <w:rPr>
                <w:sz w:val="21"/>
              </w:rPr>
              <w:t>受纳水体名称</w:t>
            </w:r>
          </w:p>
        </w:tc>
        <w:tc>
          <w:tcPr>
            <w:tcW w:w="2402" w:type="dxa"/>
            <w:gridSpan w:val="3"/>
          </w:tcPr>
          <w:p>
            <w:pPr>
              <w:pStyle w:val="TableParagraph"/>
              <w:spacing w:line="259" w:lineRule="exact" w:before="5"/>
              <w:ind w:left="251"/>
              <w:jc w:val="left"/>
              <w:rPr>
                <w:sz w:val="21"/>
              </w:rPr>
            </w:pPr>
            <w:r>
              <w:rPr>
                <w:sz w:val="21"/>
              </w:rPr>
              <w:t>排放点水域环境功能</w:t>
            </w:r>
          </w:p>
        </w:tc>
        <w:tc>
          <w:tcPr>
            <w:tcW w:w="2415" w:type="dxa"/>
            <w:gridSpan w:val="2"/>
          </w:tcPr>
          <w:p>
            <w:pPr>
              <w:pStyle w:val="TableParagraph"/>
              <w:spacing w:line="259" w:lineRule="exact" w:before="5"/>
              <w:ind w:left="352"/>
              <w:jc w:val="left"/>
              <w:rPr>
                <w:rFonts w:ascii="Times New Roman" w:eastAsia="Times New Roman"/>
                <w:sz w:val="21"/>
              </w:rPr>
            </w:pPr>
            <w:r>
              <w:rPr>
                <w:rFonts w:ascii="Times New Roman" w:eastAsia="Times New Roman"/>
                <w:sz w:val="21"/>
              </w:rPr>
              <w:t>24h</w:t>
            </w:r>
            <w:r>
              <w:rPr>
                <w:sz w:val="21"/>
              </w:rPr>
              <w:t>内流经范围</w:t>
            </w:r>
            <w:r>
              <w:rPr>
                <w:rFonts w:ascii="Times New Roman" w:eastAsia="Times New Roman"/>
                <w:sz w:val="21"/>
              </w:rPr>
              <w:t>/km</w:t>
            </w:r>
          </w:p>
        </w:tc>
      </w:tr>
      <w:tr>
        <w:trPr>
          <w:trHeight w:val="283" w:hRule="atLeast"/>
        </w:trPr>
        <w:tc>
          <w:tcPr>
            <w:tcW w:w="698" w:type="dxa"/>
            <w:vMerge/>
            <w:tcBorders>
              <w:top w:val="nil"/>
            </w:tcBorders>
          </w:tcPr>
          <w:p>
            <w:pPr>
              <w:rPr>
                <w:sz w:val="2"/>
                <w:szCs w:val="2"/>
              </w:rPr>
            </w:pPr>
          </w:p>
        </w:tc>
        <w:tc>
          <w:tcPr>
            <w:tcW w:w="1552" w:type="dxa"/>
            <w:gridSpan w:val="2"/>
          </w:tcPr>
          <w:p>
            <w:pPr>
              <w:pStyle w:val="TableParagraph"/>
              <w:spacing w:before="18"/>
              <w:ind w:left="9"/>
              <w:rPr>
                <w:rFonts w:ascii="Times New Roman"/>
                <w:sz w:val="21"/>
              </w:rPr>
            </w:pPr>
            <w:r>
              <w:rPr>
                <w:rFonts w:ascii="Times New Roman"/>
                <w:w w:val="100"/>
                <w:sz w:val="21"/>
              </w:rPr>
              <w:t>/</w:t>
            </w:r>
          </w:p>
        </w:tc>
        <w:tc>
          <w:tcPr>
            <w:tcW w:w="2016" w:type="dxa"/>
            <w:gridSpan w:val="3"/>
          </w:tcPr>
          <w:p>
            <w:pPr>
              <w:pStyle w:val="TableParagraph"/>
              <w:spacing w:before="18"/>
              <w:ind w:left="9"/>
              <w:rPr>
                <w:rFonts w:ascii="Times New Roman"/>
                <w:sz w:val="21"/>
              </w:rPr>
            </w:pPr>
            <w:r>
              <w:rPr>
                <w:rFonts w:ascii="Times New Roman"/>
                <w:w w:val="100"/>
                <w:sz w:val="21"/>
              </w:rPr>
              <w:t>/</w:t>
            </w:r>
          </w:p>
        </w:tc>
        <w:tc>
          <w:tcPr>
            <w:tcW w:w="2402" w:type="dxa"/>
            <w:gridSpan w:val="3"/>
          </w:tcPr>
          <w:p>
            <w:pPr>
              <w:pStyle w:val="TableParagraph"/>
              <w:spacing w:before="18"/>
              <w:ind w:left="3"/>
              <w:rPr>
                <w:rFonts w:ascii="Times New Roman"/>
                <w:sz w:val="21"/>
              </w:rPr>
            </w:pPr>
            <w:r>
              <w:rPr>
                <w:rFonts w:ascii="Times New Roman"/>
                <w:w w:val="100"/>
                <w:sz w:val="21"/>
              </w:rPr>
              <w:t>/</w:t>
            </w:r>
          </w:p>
        </w:tc>
        <w:tc>
          <w:tcPr>
            <w:tcW w:w="2415" w:type="dxa"/>
            <w:gridSpan w:val="2"/>
          </w:tcPr>
          <w:p>
            <w:pPr>
              <w:pStyle w:val="TableParagraph"/>
              <w:spacing w:before="18"/>
              <w:ind w:right="2"/>
              <w:rPr>
                <w:rFonts w:ascii="Times New Roman"/>
                <w:sz w:val="21"/>
              </w:rPr>
            </w:pPr>
            <w:r>
              <w:rPr>
                <w:rFonts w:ascii="Times New Roman"/>
                <w:w w:val="100"/>
                <w:sz w:val="21"/>
              </w:rPr>
              <w:t>/</w:t>
            </w:r>
          </w:p>
        </w:tc>
      </w:tr>
      <w:tr>
        <w:trPr>
          <w:trHeight w:val="285" w:hRule="atLeast"/>
        </w:trPr>
        <w:tc>
          <w:tcPr>
            <w:tcW w:w="698" w:type="dxa"/>
            <w:vMerge/>
            <w:tcBorders>
              <w:top w:val="nil"/>
            </w:tcBorders>
          </w:tcPr>
          <w:p>
            <w:pPr>
              <w:rPr>
                <w:sz w:val="2"/>
                <w:szCs w:val="2"/>
              </w:rPr>
            </w:pPr>
          </w:p>
        </w:tc>
        <w:tc>
          <w:tcPr>
            <w:tcW w:w="7251" w:type="dxa"/>
            <w:gridSpan w:val="9"/>
          </w:tcPr>
          <w:p>
            <w:pPr>
              <w:pStyle w:val="TableParagraph"/>
              <w:spacing w:line="259" w:lineRule="exact" w:before="5"/>
              <w:ind w:left="2102" w:right="2098"/>
              <w:rPr>
                <w:sz w:val="21"/>
              </w:rPr>
            </w:pPr>
            <w:r>
              <w:rPr>
                <w:sz w:val="21"/>
              </w:rPr>
              <w:t>地表水环境敏感程度</w:t>
            </w:r>
            <w:r>
              <w:rPr>
                <w:rFonts w:ascii="Times New Roman" w:eastAsia="Times New Roman"/>
                <w:sz w:val="21"/>
              </w:rPr>
              <w:t>E</w:t>
            </w:r>
            <w:r>
              <w:rPr>
                <w:sz w:val="21"/>
              </w:rPr>
              <w:t>值</w:t>
            </w:r>
          </w:p>
        </w:tc>
        <w:tc>
          <w:tcPr>
            <w:tcW w:w="1134" w:type="dxa"/>
          </w:tcPr>
          <w:p>
            <w:pPr>
              <w:pStyle w:val="TableParagraph"/>
              <w:spacing w:before="19"/>
              <w:ind w:left="114" w:right="115"/>
              <w:rPr>
                <w:rFonts w:ascii="Times New Roman"/>
                <w:sz w:val="21"/>
              </w:rPr>
            </w:pPr>
            <w:r>
              <w:rPr>
                <w:rFonts w:ascii="Times New Roman"/>
                <w:sz w:val="21"/>
              </w:rPr>
              <w:t>E3</w:t>
            </w:r>
          </w:p>
        </w:tc>
      </w:tr>
      <w:tr>
        <w:trPr>
          <w:trHeight w:val="479" w:hRule="atLeast"/>
        </w:trPr>
        <w:tc>
          <w:tcPr>
            <w:tcW w:w="698" w:type="dxa"/>
            <w:vMerge w:val="restart"/>
          </w:tcPr>
          <w:p>
            <w:pPr>
              <w:pStyle w:val="TableParagraph"/>
              <w:spacing w:before="1"/>
              <w:jc w:val="left"/>
              <w:rPr>
                <w:rFonts w:ascii="Times New Roman"/>
                <w:sz w:val="26"/>
              </w:rPr>
            </w:pPr>
          </w:p>
          <w:p>
            <w:pPr>
              <w:pStyle w:val="TableParagraph"/>
              <w:spacing w:line="213" w:lineRule="auto"/>
              <w:ind w:left="242" w:right="124" w:hanging="104"/>
              <w:jc w:val="left"/>
              <w:rPr>
                <w:sz w:val="21"/>
              </w:rPr>
            </w:pPr>
            <w:r>
              <w:rPr>
                <w:sz w:val="21"/>
              </w:rPr>
              <w:t>地下水</w:t>
            </w:r>
          </w:p>
        </w:tc>
        <w:tc>
          <w:tcPr>
            <w:tcW w:w="609" w:type="dxa"/>
          </w:tcPr>
          <w:p>
            <w:pPr>
              <w:pStyle w:val="TableParagraph"/>
              <w:spacing w:line="236" w:lineRule="exact"/>
              <w:ind w:left="199"/>
              <w:jc w:val="left"/>
              <w:rPr>
                <w:sz w:val="21"/>
              </w:rPr>
            </w:pPr>
            <w:r>
              <w:rPr>
                <w:w w:val="100"/>
                <w:sz w:val="21"/>
              </w:rPr>
              <w:t>序</w:t>
            </w:r>
          </w:p>
          <w:p>
            <w:pPr>
              <w:pStyle w:val="TableParagraph"/>
              <w:spacing w:line="223" w:lineRule="exact"/>
              <w:ind w:left="199"/>
              <w:jc w:val="left"/>
              <w:rPr>
                <w:sz w:val="21"/>
              </w:rPr>
            </w:pPr>
            <w:r>
              <w:rPr>
                <w:w w:val="100"/>
                <w:sz w:val="21"/>
              </w:rPr>
              <w:t>号</w:t>
            </w:r>
          </w:p>
        </w:tc>
        <w:tc>
          <w:tcPr>
            <w:tcW w:w="1683" w:type="dxa"/>
            <w:gridSpan w:val="2"/>
          </w:tcPr>
          <w:p>
            <w:pPr>
              <w:pStyle w:val="TableParagraph"/>
              <w:spacing w:line="236" w:lineRule="exact"/>
              <w:ind w:left="193" w:right="180"/>
              <w:rPr>
                <w:sz w:val="21"/>
              </w:rPr>
            </w:pPr>
            <w:r>
              <w:rPr>
                <w:sz w:val="21"/>
              </w:rPr>
              <w:t>环境敏感区名</w:t>
            </w:r>
          </w:p>
          <w:p>
            <w:pPr>
              <w:pStyle w:val="TableParagraph"/>
              <w:spacing w:line="223" w:lineRule="exact"/>
              <w:ind w:left="8"/>
              <w:rPr>
                <w:sz w:val="21"/>
              </w:rPr>
            </w:pPr>
            <w:r>
              <w:rPr>
                <w:w w:val="100"/>
                <w:sz w:val="21"/>
              </w:rPr>
              <w:t>称</w:t>
            </w:r>
          </w:p>
        </w:tc>
        <w:tc>
          <w:tcPr>
            <w:tcW w:w="1588" w:type="dxa"/>
            <w:gridSpan w:val="3"/>
          </w:tcPr>
          <w:p>
            <w:pPr>
              <w:pStyle w:val="TableParagraph"/>
              <w:spacing w:before="101"/>
              <w:ind w:left="144"/>
              <w:jc w:val="left"/>
              <w:rPr>
                <w:sz w:val="21"/>
              </w:rPr>
            </w:pPr>
            <w:r>
              <w:rPr>
                <w:sz w:val="21"/>
              </w:rPr>
              <w:t>环境敏感特征</w:t>
            </w:r>
          </w:p>
        </w:tc>
        <w:tc>
          <w:tcPr>
            <w:tcW w:w="1239" w:type="dxa"/>
          </w:tcPr>
          <w:p>
            <w:pPr>
              <w:pStyle w:val="TableParagraph"/>
              <w:spacing w:before="101"/>
              <w:ind w:right="207"/>
              <w:jc w:val="right"/>
              <w:rPr>
                <w:sz w:val="21"/>
              </w:rPr>
            </w:pPr>
            <w:r>
              <w:rPr>
                <w:sz w:val="21"/>
              </w:rPr>
              <w:t>水质目标</w:t>
            </w:r>
          </w:p>
        </w:tc>
        <w:tc>
          <w:tcPr>
            <w:tcW w:w="2132" w:type="dxa"/>
            <w:gridSpan w:val="2"/>
          </w:tcPr>
          <w:p>
            <w:pPr>
              <w:pStyle w:val="TableParagraph"/>
              <w:spacing w:line="236" w:lineRule="exact"/>
              <w:ind w:left="103" w:right="101"/>
              <w:rPr>
                <w:sz w:val="21"/>
              </w:rPr>
            </w:pPr>
            <w:r>
              <w:rPr>
                <w:sz w:val="21"/>
              </w:rPr>
              <w:t>包气带</w:t>
            </w:r>
          </w:p>
          <w:p>
            <w:pPr>
              <w:pStyle w:val="TableParagraph"/>
              <w:spacing w:line="223" w:lineRule="exact"/>
              <w:ind w:left="101" w:right="101"/>
              <w:rPr>
                <w:sz w:val="21"/>
              </w:rPr>
            </w:pPr>
            <w:r>
              <w:rPr>
                <w:spacing w:val="-1"/>
                <w:sz w:val="21"/>
              </w:rPr>
              <w:t>防污性能</w:t>
            </w:r>
          </w:p>
        </w:tc>
        <w:tc>
          <w:tcPr>
            <w:tcW w:w="1134" w:type="dxa"/>
          </w:tcPr>
          <w:p>
            <w:pPr>
              <w:pStyle w:val="TableParagraph"/>
              <w:spacing w:line="236" w:lineRule="exact"/>
              <w:ind w:left="140"/>
              <w:jc w:val="left"/>
              <w:rPr>
                <w:sz w:val="21"/>
              </w:rPr>
            </w:pPr>
            <w:r>
              <w:rPr>
                <w:spacing w:val="-1"/>
                <w:sz w:val="21"/>
              </w:rPr>
              <w:t>与下游厂</w:t>
            </w:r>
          </w:p>
          <w:p>
            <w:pPr>
              <w:pStyle w:val="TableParagraph"/>
              <w:spacing w:line="223" w:lineRule="exact"/>
              <w:ind w:left="133"/>
              <w:jc w:val="left"/>
              <w:rPr>
                <w:rFonts w:ascii="Times New Roman" w:eastAsia="Times New Roman"/>
                <w:sz w:val="21"/>
              </w:rPr>
            </w:pPr>
            <w:r>
              <w:rPr>
                <w:spacing w:val="-1"/>
                <w:sz w:val="21"/>
              </w:rPr>
              <w:t>界距离</w:t>
            </w:r>
            <w:r>
              <w:rPr>
                <w:rFonts w:ascii="Times New Roman" w:eastAsia="Times New Roman"/>
                <w:spacing w:val="-1"/>
                <w:sz w:val="21"/>
              </w:rPr>
              <w:t>/m</w:t>
            </w:r>
          </w:p>
        </w:tc>
      </w:tr>
      <w:tr>
        <w:trPr>
          <w:trHeight w:val="285" w:hRule="atLeast"/>
        </w:trPr>
        <w:tc>
          <w:tcPr>
            <w:tcW w:w="698" w:type="dxa"/>
            <w:vMerge/>
            <w:tcBorders>
              <w:top w:val="nil"/>
            </w:tcBorders>
          </w:tcPr>
          <w:p>
            <w:pPr>
              <w:rPr>
                <w:sz w:val="2"/>
                <w:szCs w:val="2"/>
              </w:rPr>
            </w:pPr>
          </w:p>
        </w:tc>
        <w:tc>
          <w:tcPr>
            <w:tcW w:w="609" w:type="dxa"/>
          </w:tcPr>
          <w:p>
            <w:pPr>
              <w:pStyle w:val="TableParagraph"/>
              <w:spacing w:before="17"/>
              <w:ind w:left="11"/>
              <w:rPr>
                <w:rFonts w:ascii="Times New Roman"/>
                <w:sz w:val="21"/>
              </w:rPr>
            </w:pPr>
            <w:r>
              <w:rPr>
                <w:rFonts w:ascii="Times New Roman"/>
                <w:w w:val="100"/>
                <w:sz w:val="21"/>
              </w:rPr>
              <w:t>/</w:t>
            </w:r>
          </w:p>
        </w:tc>
        <w:tc>
          <w:tcPr>
            <w:tcW w:w="1683" w:type="dxa"/>
            <w:gridSpan w:val="2"/>
          </w:tcPr>
          <w:p>
            <w:pPr>
              <w:pStyle w:val="TableParagraph"/>
              <w:spacing w:before="17"/>
              <w:ind w:left="9"/>
              <w:rPr>
                <w:rFonts w:ascii="Times New Roman"/>
                <w:sz w:val="21"/>
              </w:rPr>
            </w:pPr>
            <w:r>
              <w:rPr>
                <w:rFonts w:ascii="Times New Roman"/>
                <w:w w:val="100"/>
                <w:sz w:val="21"/>
              </w:rPr>
              <w:t>/</w:t>
            </w:r>
          </w:p>
        </w:tc>
        <w:tc>
          <w:tcPr>
            <w:tcW w:w="1588" w:type="dxa"/>
            <w:gridSpan w:val="3"/>
          </w:tcPr>
          <w:p>
            <w:pPr>
              <w:pStyle w:val="TableParagraph"/>
              <w:spacing w:before="17"/>
              <w:ind w:right="23"/>
              <w:rPr>
                <w:rFonts w:ascii="Times New Roman"/>
                <w:sz w:val="21"/>
              </w:rPr>
            </w:pPr>
            <w:r>
              <w:rPr>
                <w:rFonts w:ascii="Times New Roman"/>
                <w:w w:val="100"/>
                <w:sz w:val="21"/>
              </w:rPr>
              <w:t>/</w:t>
            </w:r>
          </w:p>
        </w:tc>
        <w:tc>
          <w:tcPr>
            <w:tcW w:w="1239" w:type="dxa"/>
          </w:tcPr>
          <w:p>
            <w:pPr>
              <w:pStyle w:val="TableParagraph"/>
              <w:spacing w:before="17"/>
              <w:ind w:right="32"/>
              <w:rPr>
                <w:rFonts w:ascii="Times New Roman"/>
                <w:sz w:val="21"/>
              </w:rPr>
            </w:pPr>
            <w:r>
              <w:rPr>
                <w:rFonts w:ascii="Times New Roman"/>
                <w:w w:val="100"/>
                <w:sz w:val="21"/>
              </w:rPr>
              <w:t>/</w:t>
            </w:r>
          </w:p>
        </w:tc>
        <w:tc>
          <w:tcPr>
            <w:tcW w:w="2132" w:type="dxa"/>
            <w:gridSpan w:val="2"/>
          </w:tcPr>
          <w:p>
            <w:pPr>
              <w:pStyle w:val="TableParagraph"/>
              <w:spacing w:before="17"/>
              <w:ind w:left="104" w:right="101"/>
              <w:rPr>
                <w:rFonts w:ascii="Times New Roman"/>
                <w:sz w:val="21"/>
              </w:rPr>
            </w:pPr>
            <w:r>
              <w:rPr>
                <w:rFonts w:ascii="Times New Roman"/>
                <w:sz w:val="21"/>
              </w:rPr>
              <w:t>D2</w:t>
            </w:r>
          </w:p>
        </w:tc>
        <w:tc>
          <w:tcPr>
            <w:tcW w:w="1134" w:type="dxa"/>
          </w:tcPr>
          <w:p>
            <w:pPr>
              <w:pStyle w:val="TableParagraph"/>
              <w:spacing w:before="17"/>
              <w:rPr>
                <w:rFonts w:ascii="Times New Roman"/>
                <w:sz w:val="21"/>
              </w:rPr>
            </w:pPr>
            <w:r>
              <w:rPr>
                <w:rFonts w:ascii="Times New Roman"/>
                <w:w w:val="100"/>
                <w:sz w:val="21"/>
              </w:rPr>
              <w:t>/</w:t>
            </w:r>
          </w:p>
        </w:tc>
      </w:tr>
      <w:tr>
        <w:trPr>
          <w:trHeight w:val="282" w:hRule="atLeast"/>
        </w:trPr>
        <w:tc>
          <w:tcPr>
            <w:tcW w:w="698" w:type="dxa"/>
            <w:vMerge/>
            <w:tcBorders>
              <w:top w:val="nil"/>
            </w:tcBorders>
          </w:tcPr>
          <w:p>
            <w:pPr>
              <w:rPr>
                <w:sz w:val="2"/>
                <w:szCs w:val="2"/>
              </w:rPr>
            </w:pPr>
          </w:p>
        </w:tc>
        <w:tc>
          <w:tcPr>
            <w:tcW w:w="7251" w:type="dxa"/>
            <w:gridSpan w:val="9"/>
          </w:tcPr>
          <w:p>
            <w:pPr>
              <w:pStyle w:val="TableParagraph"/>
              <w:spacing w:line="259" w:lineRule="exact" w:before="3"/>
              <w:ind w:left="2102" w:right="2098"/>
              <w:rPr>
                <w:sz w:val="21"/>
              </w:rPr>
            </w:pPr>
            <w:r>
              <w:rPr>
                <w:sz w:val="21"/>
              </w:rPr>
              <w:t>地下水环境敏感程度</w:t>
            </w:r>
            <w:r>
              <w:rPr>
                <w:rFonts w:ascii="Times New Roman" w:eastAsia="Times New Roman"/>
                <w:sz w:val="21"/>
              </w:rPr>
              <w:t>E</w:t>
            </w:r>
            <w:r>
              <w:rPr>
                <w:sz w:val="21"/>
              </w:rPr>
              <w:t>值</w:t>
            </w:r>
          </w:p>
        </w:tc>
        <w:tc>
          <w:tcPr>
            <w:tcW w:w="1134" w:type="dxa"/>
          </w:tcPr>
          <w:p>
            <w:pPr>
              <w:pStyle w:val="TableParagraph"/>
              <w:spacing w:before="17"/>
              <w:ind w:left="115" w:right="115"/>
              <w:rPr>
                <w:rFonts w:ascii="Times New Roman"/>
                <w:sz w:val="21"/>
              </w:rPr>
            </w:pPr>
            <w:r>
              <w:rPr>
                <w:rFonts w:ascii="Times New Roman"/>
                <w:sz w:val="21"/>
              </w:rPr>
              <w:t>E3</w:t>
            </w:r>
          </w:p>
        </w:tc>
      </w:tr>
    </w:tbl>
    <w:p>
      <w:pPr>
        <w:spacing w:after="0"/>
        <w:rPr>
          <w:rFonts w:ascii="Times New Roman"/>
          <w:sz w:val="21"/>
        </w:rPr>
        <w:sectPr>
          <w:pgSz w:w="11910" w:h="16840"/>
          <w:pgMar w:header="872" w:footer="945" w:top="1320" w:bottom="1140" w:left="1200" w:right="1180"/>
        </w:sectPr>
      </w:pPr>
    </w:p>
    <w:p>
      <w:pPr>
        <w:pStyle w:val="BodyText"/>
        <w:spacing w:before="2"/>
        <w:rPr>
          <w:rFonts w:ascii="Times New Roman"/>
          <w:sz w:val="7"/>
        </w:rPr>
      </w:pPr>
    </w:p>
    <w:p>
      <w:pPr>
        <w:pStyle w:val="BodyText"/>
        <w:ind w:left="545"/>
        <w:rPr>
          <w:rFonts w:ascii="Times New Roman"/>
          <w:sz w:val="20"/>
        </w:rPr>
      </w:pPr>
      <w:r>
        <w:rPr>
          <w:rFonts w:ascii="Times New Roman"/>
          <w:sz w:val="20"/>
        </w:rPr>
        <w:pict>
          <v:group style="width:417.05pt;height:425.65pt;mso-position-horizontal-relative:char;mso-position-vertical-relative:line" coordorigin="0,0" coordsize="8341,8513">
            <v:shape style="position:absolute;left:0;top:0;width:8341;height:8513" type="#_x0000_t75" stroked="false">
              <v:imagedata r:id="rId130" o:title=""/>
            </v:shape>
            <v:rect style="position:absolute;left:121;top:138;width:8109;height:8252" filled="false" stroked="true" strokeweight="2.165987pt" strokecolor="#ff0000">
              <v:stroke dashstyle="solid"/>
            </v:rect>
            <v:shape style="position:absolute;left:496;top:3751;width:161;height:161" type="#_x0000_t75" stroked="false">
              <v:imagedata r:id="rId131" o:title=""/>
            </v:shape>
            <v:shape style="position:absolute;left:2956;top:5967;width:160;height:161" type="#_x0000_t75" stroked="false">
              <v:imagedata r:id="rId132" o:title=""/>
            </v:shape>
            <v:shape style="position:absolute;left:3372;top:6621;width:161;height:161" type="#_x0000_t75" stroked="false">
              <v:imagedata r:id="rId133" o:title=""/>
            </v:shape>
            <v:shape style="position:absolute;left:3997;top:6143;width:161;height:161" type="#_x0000_t75" stroked="false">
              <v:imagedata r:id="rId134" o:title=""/>
            </v:shape>
            <v:shape style="position:absolute;left:5762;top:5439;width:160;height:161" type="#_x0000_t75" stroked="false">
              <v:imagedata r:id="rId135" o:title=""/>
            </v:shape>
            <v:shape style="position:absolute;left:5647;top:6307;width:160;height:161" type="#_x0000_t75" stroked="false">
              <v:imagedata r:id="rId136" o:title=""/>
            </v:shape>
            <v:shape style="position:absolute;left:6142;top:5851;width:161;height:161" type="#_x0000_t75" stroked="false">
              <v:imagedata r:id="rId137" o:title=""/>
            </v:shape>
            <v:shape style="position:absolute;left:2642;top:7180;width:161;height:161" type="#_x0000_t75" stroked="false">
              <v:imagedata r:id="rId138" o:title=""/>
            </v:shape>
            <v:shape style="position:absolute;left:2785;top:7619;width:161;height:161" type="#_x0000_t75" stroked="false">
              <v:imagedata r:id="rId139" o:title=""/>
            </v:shape>
            <v:shape style="position:absolute;left:1600;top:8103;width:160;height:161" type="#_x0000_t75" stroked="false">
              <v:imagedata r:id="rId140" o:title=""/>
            </v:shape>
            <v:shape style="position:absolute;left:3208;top:8096;width:161;height:161" type="#_x0000_t75" stroked="false">
              <v:imagedata r:id="rId141" o:title=""/>
            </v:shape>
            <v:shape style="position:absolute;left:4680;top:7180;width:160;height:161" type="#_x0000_t75" stroked="false">
              <v:imagedata r:id="rId142" o:title=""/>
            </v:shape>
            <v:shape style="position:absolute;left:5026;top:7804;width:161;height:161" type="#_x0000_t75" stroked="false">
              <v:imagedata r:id="rId143" o:title=""/>
            </v:shape>
            <v:shape style="position:absolute;left:6383;top:7783;width:161;height:161" type="#_x0000_t75" stroked="false">
              <v:imagedata r:id="rId144" o:title=""/>
            </v:shape>
            <v:shape style="position:absolute;left:6144;top:8096;width:161;height:161" type="#_x0000_t75" stroked="false">
              <v:imagedata r:id="rId145" o:title=""/>
            </v:shape>
            <v:shape style="position:absolute;left:7200;top:5644;width:161;height:161" type="#_x0000_t75" stroked="false">
              <v:imagedata r:id="rId146" o:title=""/>
            </v:shape>
            <v:shape style="position:absolute;left:7920;top:5145;width:160;height:161" type="#_x0000_t75" stroked="false">
              <v:imagedata r:id="rId135" o:title=""/>
            </v:shape>
            <v:shape style="position:absolute;left:7984;top:6594;width:160;height:161" type="#_x0000_t75" stroked="false">
              <v:imagedata r:id="rId147" o:title=""/>
            </v:shape>
            <v:shape style="position:absolute;left:3358;top:7180;width:160;height:161" type="#_x0000_t75" stroked="false">
              <v:imagedata r:id="rId142" o:title=""/>
            </v:shape>
            <v:shape style="position:absolute;left:7767;top:192;width:528;height:855" type="#_x0000_t75" stroked="false">
              <v:imagedata r:id="rId148" o:title=""/>
            </v:shape>
            <v:shape style="position:absolute;left:276;top:3323;width:821;height:355" type="#_x0000_t202" filled="false" stroked="false">
              <v:textbox inset="0,0,0,0">
                <w:txbxContent>
                  <w:p>
                    <w:pPr>
                      <w:spacing w:line="223" w:lineRule="auto" w:before="0"/>
                      <w:ind w:left="159" w:right="18" w:hanging="160"/>
                      <w:jc w:val="left"/>
                      <w:rPr>
                        <w:b/>
                        <w:sz w:val="16"/>
                      </w:rPr>
                    </w:pPr>
                    <w:r>
                      <w:rPr>
                        <w:b/>
                        <w:color w:val="FFFF00"/>
                        <w:sz w:val="16"/>
                      </w:rPr>
                      <w:t>东一区职工居住区</w:t>
                    </w:r>
                  </w:p>
                </w:txbxContent>
              </v:textbox>
              <w10:wrap type="none"/>
            </v:shape>
            <v:shape style="position:absolute;left:4246;top:3706;width:822;height:163" type="#_x0000_t202" filled="false" stroked="false">
              <v:textbox inset="0,0,0,0">
                <w:txbxContent>
                  <w:p>
                    <w:pPr>
                      <w:spacing w:line="163" w:lineRule="exact" w:before="0"/>
                      <w:ind w:left="0" w:right="0" w:firstLine="0"/>
                      <w:jc w:val="left"/>
                      <w:rPr>
                        <w:b/>
                        <w:sz w:val="16"/>
                      </w:rPr>
                    </w:pPr>
                    <w:r>
                      <w:rPr>
                        <w:b/>
                        <w:color w:val="FF0000"/>
                        <w:sz w:val="16"/>
                      </w:rPr>
                      <w:t>项目拟建地</w:t>
                    </w:r>
                  </w:p>
                </w:txbxContent>
              </v:textbox>
              <w10:wrap type="none"/>
            </v:shape>
            <v:shape style="position:absolute;left:7399;top:5139;width:497;height:164" type="#_x0000_t202" filled="false" stroked="false">
              <v:textbox inset="0,0,0,0">
                <w:txbxContent>
                  <w:p>
                    <w:pPr>
                      <w:spacing w:line="163" w:lineRule="exact" w:before="0"/>
                      <w:ind w:left="0" w:right="0" w:firstLine="0"/>
                      <w:jc w:val="left"/>
                      <w:rPr>
                        <w:b/>
                        <w:sz w:val="16"/>
                      </w:rPr>
                    </w:pPr>
                    <w:r>
                      <w:rPr>
                        <w:b/>
                        <w:color w:val="FFFF00"/>
                        <w:sz w:val="16"/>
                      </w:rPr>
                      <w:t>横塘村</w:t>
                    </w:r>
                  </w:p>
                </w:txbxContent>
              </v:textbox>
              <w10:wrap type="none"/>
            </v:shape>
            <v:shape style="position:absolute;left:5267;top:5430;width:497;height:163" type="#_x0000_t202" filled="false" stroked="false">
              <v:textbox inset="0,0,0,0">
                <w:txbxContent>
                  <w:p>
                    <w:pPr>
                      <w:spacing w:line="163" w:lineRule="exact" w:before="0"/>
                      <w:ind w:left="0" w:right="0" w:firstLine="0"/>
                      <w:jc w:val="left"/>
                      <w:rPr>
                        <w:b/>
                        <w:sz w:val="16"/>
                      </w:rPr>
                    </w:pPr>
                    <w:r>
                      <w:rPr>
                        <w:b/>
                        <w:color w:val="FFFF00"/>
                        <w:sz w:val="16"/>
                      </w:rPr>
                      <w:t>镇海村</w:t>
                    </w:r>
                  </w:p>
                </w:txbxContent>
              </v:textbox>
              <w10:wrap type="none"/>
            </v:shape>
            <v:shape style="position:absolute;left:6507;top:5643;width:659;height:164" type="#_x0000_t202" filled="false" stroked="false">
              <v:textbox inset="0,0,0,0">
                <w:txbxContent>
                  <w:p>
                    <w:pPr>
                      <w:spacing w:line="163" w:lineRule="exact" w:before="0"/>
                      <w:ind w:left="0" w:right="0" w:firstLine="0"/>
                      <w:jc w:val="left"/>
                      <w:rPr>
                        <w:b/>
                        <w:sz w:val="16"/>
                      </w:rPr>
                    </w:pPr>
                    <w:r>
                      <w:rPr>
                        <w:b/>
                        <w:color w:val="FFFF00"/>
                        <w:sz w:val="16"/>
                      </w:rPr>
                      <w:t>十六户村</w:t>
                    </w:r>
                  </w:p>
                </w:txbxContent>
              </v:textbox>
              <w10:wrap type="none"/>
            </v:shape>
            <v:shape style="position:absolute;left:2310;top:5795;width:823;height:164" type="#_x0000_t202" filled="false" stroked="false">
              <v:textbox inset="0,0,0,0">
                <w:txbxContent>
                  <w:p>
                    <w:pPr>
                      <w:spacing w:line="163" w:lineRule="exact" w:before="0"/>
                      <w:ind w:left="0" w:right="0" w:firstLine="0"/>
                      <w:jc w:val="left"/>
                      <w:rPr>
                        <w:b/>
                        <w:sz w:val="16"/>
                      </w:rPr>
                    </w:pPr>
                    <w:r>
                      <w:rPr>
                        <w:b/>
                        <w:color w:val="FFFF00"/>
                        <w:sz w:val="16"/>
                      </w:rPr>
                      <w:t>园区生活区</w:t>
                    </w:r>
                  </w:p>
                </w:txbxContent>
              </v:textbox>
              <w10:wrap type="none"/>
            </v:shape>
            <v:shape style="position:absolute;left:5677;top:5846;width:497;height:164" type="#_x0000_t202" filled="false" stroked="false">
              <v:textbox inset="0,0,0,0">
                <w:txbxContent>
                  <w:p>
                    <w:pPr>
                      <w:spacing w:line="163" w:lineRule="exact" w:before="0"/>
                      <w:ind w:left="0" w:right="0" w:firstLine="0"/>
                      <w:jc w:val="left"/>
                      <w:rPr>
                        <w:b/>
                        <w:sz w:val="16"/>
                      </w:rPr>
                    </w:pPr>
                    <w:r>
                      <w:rPr>
                        <w:b/>
                        <w:color w:val="FFFF00"/>
                        <w:sz w:val="16"/>
                      </w:rPr>
                      <w:t>镇东村</w:t>
                    </w:r>
                  </w:p>
                </w:txbxContent>
              </v:textbox>
              <w10:wrap type="none"/>
            </v:shape>
            <v:shape style="position:absolute;left:4230;top:6168;width:497;height:164" type="#_x0000_t202" filled="false" stroked="false">
              <v:textbox inset="0,0,0,0">
                <w:txbxContent>
                  <w:p>
                    <w:pPr>
                      <w:spacing w:line="163" w:lineRule="exact" w:before="0"/>
                      <w:ind w:left="0" w:right="0" w:firstLine="0"/>
                      <w:jc w:val="left"/>
                      <w:rPr>
                        <w:b/>
                        <w:sz w:val="16"/>
                      </w:rPr>
                    </w:pPr>
                    <w:r>
                      <w:rPr>
                        <w:b/>
                        <w:color w:val="FFFF00"/>
                        <w:sz w:val="16"/>
                      </w:rPr>
                      <w:t>珠海村</w:t>
                    </w:r>
                  </w:p>
                </w:txbxContent>
              </v:textbox>
              <w10:wrap type="none"/>
            </v:shape>
            <v:shape style="position:absolute;left:5123;top:6319;width:496;height:163" type="#_x0000_t202" filled="false" stroked="false">
              <v:textbox inset="0,0,0,0">
                <w:txbxContent>
                  <w:p>
                    <w:pPr>
                      <w:spacing w:line="163" w:lineRule="exact" w:before="0"/>
                      <w:ind w:left="0" w:right="0" w:firstLine="0"/>
                      <w:jc w:val="left"/>
                      <w:rPr>
                        <w:b/>
                        <w:sz w:val="16"/>
                      </w:rPr>
                    </w:pPr>
                    <w:r>
                      <w:rPr>
                        <w:b/>
                        <w:color w:val="FFFF00"/>
                        <w:sz w:val="16"/>
                      </w:rPr>
                      <w:t>丰棉村</w:t>
                    </w:r>
                  </w:p>
                </w:txbxContent>
              </v:textbox>
              <w10:wrap type="none"/>
            </v:shape>
            <v:shape style="position:absolute;left:3217;top:6450;width:497;height:163" type="#_x0000_t202" filled="false" stroked="false">
              <v:textbox inset="0,0,0,0">
                <w:txbxContent>
                  <w:p>
                    <w:pPr>
                      <w:spacing w:line="163" w:lineRule="exact" w:before="0"/>
                      <w:ind w:left="0" w:right="0" w:firstLine="0"/>
                      <w:jc w:val="left"/>
                      <w:rPr>
                        <w:b/>
                        <w:sz w:val="16"/>
                      </w:rPr>
                    </w:pPr>
                    <w:r>
                      <w:rPr>
                        <w:b/>
                        <w:color w:val="FFFF00"/>
                        <w:sz w:val="16"/>
                      </w:rPr>
                      <w:t>联合村</w:t>
                    </w:r>
                  </w:p>
                </w:txbxContent>
              </v:textbox>
              <w10:wrap type="none"/>
            </v:shape>
            <v:shape style="position:absolute;left:7346;top:6620;width:660;height:164" type="#_x0000_t202" filled="false" stroked="false">
              <v:textbox inset="0,0,0,0">
                <w:txbxContent>
                  <w:p>
                    <w:pPr>
                      <w:spacing w:line="163" w:lineRule="exact" w:before="0"/>
                      <w:ind w:left="0" w:right="0" w:firstLine="0"/>
                      <w:jc w:val="left"/>
                      <w:rPr>
                        <w:b/>
                        <w:sz w:val="16"/>
                      </w:rPr>
                    </w:pPr>
                    <w:r>
                      <w:rPr>
                        <w:b/>
                        <w:color w:val="FFFF00"/>
                        <w:sz w:val="16"/>
                      </w:rPr>
                      <w:t>韩夏新村</w:t>
                    </w:r>
                  </w:p>
                </w:txbxContent>
              </v:textbox>
              <w10:wrap type="none"/>
            </v:shape>
            <v:shape style="position:absolute;left:4527;top:7010;width:497;height:163" type="#_x0000_t202" filled="false" stroked="false">
              <v:textbox inset="0,0,0,0">
                <w:txbxContent>
                  <w:p>
                    <w:pPr>
                      <w:spacing w:line="163" w:lineRule="exact" w:before="0"/>
                      <w:ind w:left="0" w:right="0" w:firstLine="0"/>
                      <w:jc w:val="left"/>
                      <w:rPr>
                        <w:b/>
                        <w:sz w:val="16"/>
                      </w:rPr>
                    </w:pPr>
                    <w:r>
                      <w:rPr>
                        <w:b/>
                        <w:color w:val="FFFF00"/>
                        <w:sz w:val="16"/>
                      </w:rPr>
                      <w:t>丰富村</w:t>
                    </w:r>
                  </w:p>
                </w:txbxContent>
              </v:textbox>
              <w10:wrap type="none"/>
            </v:shape>
            <v:shape style="position:absolute;left:2117;top:7199;width:496;height:163" type="#_x0000_t202" filled="false" stroked="false">
              <v:textbox inset="0,0,0,0">
                <w:txbxContent>
                  <w:p>
                    <w:pPr>
                      <w:spacing w:line="163" w:lineRule="exact" w:before="0"/>
                      <w:ind w:left="0" w:right="0" w:firstLine="0"/>
                      <w:jc w:val="left"/>
                      <w:rPr>
                        <w:b/>
                        <w:sz w:val="16"/>
                      </w:rPr>
                    </w:pPr>
                    <w:r>
                      <w:rPr>
                        <w:b/>
                        <w:color w:val="FFFF00"/>
                        <w:sz w:val="16"/>
                      </w:rPr>
                      <w:t>新河村</w:t>
                    </w:r>
                  </w:p>
                </w:txbxContent>
              </v:textbox>
              <w10:wrap type="none"/>
            </v:shape>
            <v:shape style="position:absolute;left:3210;top:7344;width:497;height:164" type="#_x0000_t202" filled="false" stroked="false">
              <v:textbox inset="0,0,0,0">
                <w:txbxContent>
                  <w:p>
                    <w:pPr>
                      <w:spacing w:line="163" w:lineRule="exact" w:before="0"/>
                      <w:ind w:left="0" w:right="0" w:firstLine="0"/>
                      <w:jc w:val="left"/>
                      <w:rPr>
                        <w:b/>
                        <w:sz w:val="16"/>
                      </w:rPr>
                    </w:pPr>
                    <w:r>
                      <w:rPr>
                        <w:b/>
                        <w:color w:val="FFFF00"/>
                        <w:sz w:val="16"/>
                      </w:rPr>
                      <w:t>盖北镇</w:t>
                    </w:r>
                  </w:p>
                </w:txbxContent>
              </v:textbox>
              <w10:wrap type="none"/>
            </v:shape>
            <v:shape style="position:absolute;left:2286;top:7634;width:497;height:164" type="#_x0000_t202" filled="false" stroked="false">
              <v:textbox inset="0,0,0,0">
                <w:txbxContent>
                  <w:p>
                    <w:pPr>
                      <w:spacing w:line="163" w:lineRule="exact" w:before="0"/>
                      <w:ind w:left="0" w:right="0" w:firstLine="0"/>
                      <w:jc w:val="left"/>
                      <w:rPr>
                        <w:b/>
                        <w:sz w:val="16"/>
                      </w:rPr>
                    </w:pPr>
                    <w:r>
                      <w:rPr>
                        <w:b/>
                        <w:color w:val="FFFF00"/>
                        <w:sz w:val="16"/>
                      </w:rPr>
                      <w:t>兴海村</w:t>
                    </w:r>
                  </w:p>
                </w:txbxContent>
              </v:textbox>
              <w10:wrap type="none"/>
            </v:shape>
            <v:shape style="position:absolute;left:6026;top:7613;width:497;height:164" type="#_x0000_t202" filled="false" stroked="false">
              <v:textbox inset="0,0,0,0">
                <w:txbxContent>
                  <w:p>
                    <w:pPr>
                      <w:spacing w:line="163" w:lineRule="exact" w:before="0"/>
                      <w:ind w:left="0" w:right="0" w:firstLine="0"/>
                      <w:jc w:val="left"/>
                      <w:rPr>
                        <w:b/>
                        <w:sz w:val="16"/>
                      </w:rPr>
                    </w:pPr>
                    <w:r>
                      <w:rPr>
                        <w:b/>
                        <w:color w:val="FFFF00"/>
                        <w:sz w:val="16"/>
                      </w:rPr>
                      <w:t>岑仓村</w:t>
                    </w:r>
                  </w:p>
                </w:txbxContent>
              </v:textbox>
              <w10:wrap type="none"/>
            </v:shape>
            <v:shape style="position:absolute;left:4520;top:7802;width:496;height:163" type="#_x0000_t202" filled="false" stroked="false">
              <v:textbox inset="0,0,0,0">
                <w:txbxContent>
                  <w:p>
                    <w:pPr>
                      <w:spacing w:line="163" w:lineRule="exact" w:before="0"/>
                      <w:ind w:left="0" w:right="0" w:firstLine="0"/>
                      <w:jc w:val="left"/>
                      <w:rPr>
                        <w:b/>
                        <w:sz w:val="16"/>
                      </w:rPr>
                    </w:pPr>
                    <w:r>
                      <w:rPr>
                        <w:b/>
                        <w:color w:val="FFFF00"/>
                        <w:sz w:val="16"/>
                      </w:rPr>
                      <w:t>晋生村</w:t>
                    </w:r>
                  </w:p>
                </w:txbxContent>
              </v:textbox>
              <w10:wrap type="none"/>
            </v:shape>
            <v:shape style="position:absolute;left:1401;top:7928;width:497;height:163" type="#_x0000_t202" filled="false" stroked="false">
              <v:textbox inset="0,0,0,0">
                <w:txbxContent>
                  <w:p>
                    <w:pPr>
                      <w:spacing w:line="163" w:lineRule="exact" w:before="0"/>
                      <w:ind w:left="0" w:right="0" w:firstLine="0"/>
                      <w:jc w:val="left"/>
                      <w:rPr>
                        <w:b/>
                        <w:sz w:val="16"/>
                      </w:rPr>
                    </w:pPr>
                    <w:r>
                      <w:rPr>
                        <w:b/>
                        <w:color w:val="FFFF00"/>
                        <w:sz w:val="16"/>
                      </w:rPr>
                      <w:t>世海村</w:t>
                    </w:r>
                  </w:p>
                </w:txbxContent>
              </v:textbox>
              <w10:wrap type="none"/>
            </v:shape>
            <v:shape style="position:absolute;left:2553;top:8096;width:660;height:164" type="#_x0000_t202" filled="false" stroked="false">
              <v:textbox inset="0,0,0,0">
                <w:txbxContent>
                  <w:p>
                    <w:pPr>
                      <w:spacing w:line="163" w:lineRule="exact" w:before="0"/>
                      <w:ind w:left="0" w:right="0" w:firstLine="0"/>
                      <w:jc w:val="left"/>
                      <w:rPr>
                        <w:b/>
                        <w:sz w:val="16"/>
                      </w:rPr>
                    </w:pPr>
                    <w:r>
                      <w:rPr>
                        <w:b/>
                        <w:color w:val="FFFF00"/>
                        <w:sz w:val="16"/>
                      </w:rPr>
                      <w:t>夏盖山村</w:t>
                    </w:r>
                  </w:p>
                </w:txbxContent>
              </v:textbox>
              <w10:wrap type="none"/>
            </v:shape>
            <v:shape style="position:absolute;left:5617;top:8106;width:496;height:163" type="#_x0000_t202" filled="false" stroked="false">
              <v:textbox inset="0,0,0,0">
                <w:txbxContent>
                  <w:p>
                    <w:pPr>
                      <w:spacing w:line="163" w:lineRule="exact" w:before="0"/>
                      <w:ind w:left="0" w:right="0" w:firstLine="0"/>
                      <w:jc w:val="left"/>
                      <w:rPr>
                        <w:b/>
                        <w:sz w:val="16"/>
                      </w:rPr>
                    </w:pPr>
                    <w:r>
                      <w:rPr>
                        <w:b/>
                        <w:color w:val="FFFF00"/>
                        <w:sz w:val="16"/>
                      </w:rPr>
                      <w:t>建塘村</w:t>
                    </w:r>
                  </w:p>
                </w:txbxContent>
              </v:textbox>
              <w10:wrap type="none"/>
            </v:shape>
          </v:group>
        </w:pict>
      </w:r>
      <w:r>
        <w:rPr>
          <w:rFonts w:ascii="Times New Roman"/>
          <w:sz w:val="20"/>
        </w:rPr>
      </w:r>
    </w:p>
    <w:p>
      <w:pPr>
        <w:spacing w:before="113"/>
        <w:ind w:left="2847" w:right="0" w:firstLine="0"/>
        <w:jc w:val="left"/>
        <w:rPr>
          <w:b/>
          <w:sz w:val="24"/>
        </w:rPr>
      </w:pPr>
      <w:r>
        <w:rPr>
          <w:b/>
          <w:sz w:val="24"/>
        </w:rPr>
        <w:t>图 </w:t>
      </w:r>
      <w:r>
        <w:rPr>
          <w:rFonts w:ascii="Times New Roman" w:eastAsia="Times New Roman"/>
          <w:b/>
          <w:sz w:val="24"/>
        </w:rPr>
        <w:t>8.2-1  </w:t>
      </w:r>
      <w:r>
        <w:rPr>
          <w:b/>
          <w:sz w:val="24"/>
        </w:rPr>
        <w:t>建设项目环境敏感点示意图</w:t>
      </w:r>
    </w:p>
    <w:p>
      <w:pPr>
        <w:pStyle w:val="Heading3"/>
        <w:numPr>
          <w:ilvl w:val="1"/>
          <w:numId w:val="23"/>
        </w:numPr>
        <w:tabs>
          <w:tab w:pos="711" w:val="left" w:leader="none"/>
        </w:tabs>
        <w:spacing w:line="240" w:lineRule="auto" w:before="161" w:after="0"/>
        <w:ind w:left="710" w:right="0" w:hanging="493"/>
        <w:jc w:val="left"/>
      </w:pPr>
      <w:bookmarkStart w:name="_bookmark50" w:id="101"/>
      <w:bookmarkEnd w:id="101"/>
      <w:r>
        <w:rPr>
          <w:b w:val="0"/>
        </w:rPr>
      </w:r>
      <w:bookmarkStart w:name="_bookmark50" w:id="102"/>
      <w:bookmarkEnd w:id="102"/>
      <w:r>
        <w:rPr/>
        <w:t>环境风险潜势初判及评价等级判定</w:t>
      </w:r>
    </w:p>
    <w:p>
      <w:pPr>
        <w:pStyle w:val="ListParagraph"/>
        <w:numPr>
          <w:ilvl w:val="2"/>
          <w:numId w:val="23"/>
        </w:numPr>
        <w:tabs>
          <w:tab w:pos="1059" w:val="left" w:leader="none"/>
        </w:tabs>
        <w:spacing w:line="240" w:lineRule="auto" w:before="185" w:after="0"/>
        <w:ind w:left="1058" w:right="0" w:hanging="601"/>
        <w:jc w:val="left"/>
        <w:rPr>
          <w:b/>
          <w:sz w:val="24"/>
        </w:rPr>
      </w:pPr>
      <w:r>
        <w:rPr>
          <w:b/>
          <w:sz w:val="24"/>
        </w:rPr>
        <w:t>风险潜势初判</w:t>
      </w:r>
    </w:p>
    <w:p>
      <w:pPr>
        <w:pStyle w:val="BodyText"/>
        <w:spacing w:before="159"/>
        <w:ind w:left="698"/>
      </w:pPr>
      <w:r>
        <w:rPr>
          <w:rFonts w:ascii="Times New Roman" w:eastAsia="Times New Roman"/>
        </w:rPr>
        <w:t>1</w:t>
      </w:r>
      <w:r>
        <w:rPr/>
        <w:t>、</w:t>
      </w:r>
      <w:r>
        <w:rPr>
          <w:rFonts w:ascii="Times New Roman" w:eastAsia="Times New Roman"/>
        </w:rPr>
        <w:t>P</w:t>
      </w:r>
      <w:r>
        <w:rPr/>
        <w:t>的分级确定</w:t>
      </w:r>
    </w:p>
    <w:p>
      <w:pPr>
        <w:pStyle w:val="ListParagraph"/>
        <w:numPr>
          <w:ilvl w:val="0"/>
          <w:numId w:val="43"/>
        </w:numPr>
        <w:tabs>
          <w:tab w:pos="1300" w:val="left" w:leader="none"/>
        </w:tabs>
        <w:spacing w:line="240" w:lineRule="auto" w:before="160" w:after="0"/>
        <w:ind w:left="1299" w:right="0" w:hanging="602"/>
        <w:jc w:val="left"/>
        <w:rPr>
          <w:sz w:val="24"/>
        </w:rPr>
      </w:pPr>
      <w:r>
        <w:rPr>
          <w:sz w:val="24"/>
        </w:rPr>
        <w:t>危险物质数量与临界量比值（</w:t>
      </w:r>
      <w:r>
        <w:rPr>
          <w:rFonts w:ascii="Times New Roman" w:eastAsia="Times New Roman"/>
          <w:sz w:val="24"/>
        </w:rPr>
        <w:t>Q</w:t>
      </w:r>
      <w:r>
        <w:rPr>
          <w:sz w:val="24"/>
        </w:rPr>
        <w:t>）</w:t>
      </w:r>
    </w:p>
    <w:p>
      <w:pPr>
        <w:pStyle w:val="BodyText"/>
        <w:spacing w:line="364" w:lineRule="auto" w:before="158"/>
        <w:ind w:left="218" w:right="234" w:firstLine="480"/>
        <w:jc w:val="both"/>
      </w:pPr>
      <w:r>
        <w:rPr>
          <w:spacing w:val="-3"/>
        </w:rPr>
        <w:t>计算所涉及的每种危险物质在厂界内的最大存在总量与其在《建设项目环境风险评</w:t>
      </w:r>
      <w:r>
        <w:rPr>
          <w:spacing w:val="-6"/>
        </w:rPr>
        <w:t>价技术导则》</w:t>
      </w:r>
      <w:r>
        <w:rPr>
          <w:spacing w:val="-3"/>
        </w:rPr>
        <w:t>（</w:t>
      </w:r>
      <w:r>
        <w:rPr>
          <w:rFonts w:ascii="Times New Roman" w:hAnsi="Times New Roman" w:eastAsia="Times New Roman"/>
          <w:spacing w:val="-3"/>
        </w:rPr>
        <w:t>HJ169-2018</w:t>
      </w:r>
      <w:r>
        <w:rPr>
          <w:spacing w:val="-3"/>
        </w:rPr>
        <w:t>）（</w:t>
      </w:r>
      <w:r>
        <w:rPr/>
        <w:t>以下称</w:t>
      </w:r>
      <w:r>
        <w:rPr>
          <w:rFonts w:ascii="Times New Roman" w:hAnsi="Times New Roman" w:eastAsia="Times New Roman"/>
        </w:rPr>
        <w:t>“</w:t>
      </w:r>
      <w:r>
        <w:rPr/>
        <w:t>风险导则</w:t>
      </w:r>
      <w:r>
        <w:rPr>
          <w:rFonts w:ascii="Times New Roman" w:hAnsi="Times New Roman" w:eastAsia="Times New Roman"/>
          <w:spacing w:val="-9"/>
        </w:rPr>
        <w:t>”</w:t>
      </w:r>
      <w:r>
        <w:rPr>
          <w:spacing w:val="-9"/>
        </w:rPr>
        <w:t>）</w:t>
      </w:r>
      <w:r>
        <w:rPr/>
        <w:t>附录</w:t>
      </w:r>
      <w:r>
        <w:rPr>
          <w:rFonts w:ascii="Times New Roman" w:hAnsi="Times New Roman" w:eastAsia="Times New Roman"/>
        </w:rPr>
        <w:t>B</w:t>
      </w:r>
      <w:r>
        <w:rPr/>
        <w:t>中对应临界量的比值</w:t>
      </w:r>
      <w:r>
        <w:rPr>
          <w:rFonts w:ascii="Times New Roman" w:hAnsi="Times New Roman" w:eastAsia="Times New Roman"/>
        </w:rPr>
        <w:t>Q</w:t>
      </w:r>
      <w:r>
        <w:rPr>
          <w:spacing w:val="-10"/>
        </w:rPr>
        <w:t>。在不</w:t>
      </w:r>
      <w:r>
        <w:rPr/>
        <w:t>同厂区的同一种物质，按其在厂界内的最大存在总量计算。</w:t>
      </w:r>
    </w:p>
    <w:p>
      <w:pPr>
        <w:pStyle w:val="BodyText"/>
        <w:ind w:left="698"/>
      </w:pPr>
      <w:r>
        <w:rPr/>
        <w:t>①当至涉及一种危险物质时，计算该物质的总量与其临界量比值，即为</w:t>
      </w:r>
      <w:r>
        <w:rPr>
          <w:rFonts w:ascii="Times New Roman" w:hAnsi="Times New Roman" w:eastAsia="Times New Roman"/>
        </w:rPr>
        <w:t>Q</w:t>
      </w:r>
      <w:r>
        <w:rPr/>
        <w:t>；</w:t>
      </w:r>
    </w:p>
    <w:p>
      <w:pPr>
        <w:pStyle w:val="BodyText"/>
        <w:spacing w:before="158"/>
        <w:ind w:left="698"/>
      </w:pPr>
      <w:r>
        <w:rPr/>
        <w:t>②但存在多种危险物质时，按下式计算：</w:t>
      </w:r>
    </w:p>
    <w:p>
      <w:pPr>
        <w:pStyle w:val="BodyText"/>
        <w:spacing w:before="157"/>
        <w:ind w:left="477" w:right="16"/>
        <w:jc w:val="center"/>
        <w:rPr>
          <w:rFonts w:ascii="Times New Roman" w:hAnsi="Times New Roman"/>
        </w:rPr>
      </w:pPr>
      <w:r>
        <w:rPr>
          <w:rFonts w:ascii="Times New Roman" w:hAnsi="Times New Roman"/>
        </w:rPr>
        <w:t>Q=q1/Q1+ q2/Q2+……+qn/Qn</w:t>
      </w:r>
    </w:p>
    <w:p>
      <w:pPr>
        <w:spacing w:after="0"/>
        <w:jc w:val="center"/>
        <w:rPr>
          <w:rFonts w:ascii="Times New Roman" w:hAnsi="Times New Roman"/>
        </w:rPr>
        <w:sectPr>
          <w:pgSz w:w="11910" w:h="16840"/>
          <w:pgMar w:header="872" w:footer="945" w:top="1320" w:bottom="1140" w:left="1200" w:right="1180"/>
        </w:sectPr>
      </w:pPr>
    </w:p>
    <w:p>
      <w:pPr>
        <w:pStyle w:val="BodyText"/>
        <w:spacing w:before="84"/>
        <w:ind w:left="698"/>
      </w:pPr>
      <w:r>
        <w:rPr/>
        <w:t>式中：</w:t>
      </w:r>
      <w:r>
        <w:rPr>
          <w:rFonts w:ascii="Times New Roman" w:hAnsi="Times New Roman" w:eastAsia="Times New Roman"/>
        </w:rPr>
        <w:t>q1,q2……qn—</w:t>
      </w:r>
      <w:r>
        <w:rPr/>
        <w:t>每种危险物质最大存在量</w:t>
      </w:r>
      <w:r>
        <w:rPr>
          <w:rFonts w:ascii="Times New Roman" w:hAnsi="Times New Roman" w:eastAsia="Times New Roman"/>
        </w:rPr>
        <w:t>(t)</w:t>
      </w:r>
      <w:r>
        <w:rPr/>
        <w:t>；</w:t>
      </w:r>
    </w:p>
    <w:p>
      <w:pPr>
        <w:pStyle w:val="BodyText"/>
        <w:spacing w:line="364" w:lineRule="auto" w:before="159"/>
        <w:ind w:left="698" w:right="3578" w:firstLine="719"/>
      </w:pPr>
      <w:r>
        <w:rPr>
          <w:rFonts w:ascii="Times New Roman" w:hAnsi="Times New Roman" w:eastAsia="Times New Roman"/>
        </w:rPr>
        <w:t>Q1,Q2……Qn—</w:t>
      </w:r>
      <w:r>
        <w:rPr/>
        <w:t>每种危险物质的临界量</w:t>
      </w:r>
      <w:r>
        <w:rPr>
          <w:rFonts w:ascii="Times New Roman" w:hAnsi="Times New Roman" w:eastAsia="Times New Roman"/>
        </w:rPr>
        <w:t>(t)</w:t>
      </w:r>
      <w:r>
        <w:rPr/>
        <w:t>。按数值大小，将 </w:t>
      </w:r>
      <w:r>
        <w:rPr>
          <w:rFonts w:ascii="Times New Roman" w:hAnsi="Times New Roman" w:eastAsia="Times New Roman"/>
        </w:rPr>
        <w:t>Q </w:t>
      </w:r>
      <w:r>
        <w:rPr/>
        <w:t>划分为 </w:t>
      </w:r>
      <w:r>
        <w:rPr>
          <w:rFonts w:ascii="Times New Roman" w:hAnsi="Times New Roman" w:eastAsia="Times New Roman"/>
        </w:rPr>
        <w:t>4 </w:t>
      </w:r>
      <w:r>
        <w:rPr/>
        <w:t>个水平：</w:t>
      </w:r>
    </w:p>
    <w:p>
      <w:pPr>
        <w:pStyle w:val="BodyText"/>
        <w:spacing w:line="306" w:lineRule="exact"/>
        <w:ind w:left="698"/>
      </w:pPr>
      <w:r>
        <w:rPr/>
        <w:t>当 </w:t>
      </w:r>
      <w:r>
        <w:rPr>
          <w:rFonts w:ascii="Times New Roman" w:hAnsi="Times New Roman" w:eastAsia="Times New Roman"/>
        </w:rPr>
        <w:t>Q&lt;1 </w:t>
      </w:r>
      <w:r>
        <w:rPr/>
        <w:t>时，该项目环境风险潜势为</w:t>
      </w:r>
      <w:r>
        <w:rPr>
          <w:rFonts w:ascii="Times New Roman" w:hAnsi="Times New Roman" w:eastAsia="Times New Roman"/>
        </w:rPr>
        <w:t>Ⅰ</w:t>
      </w:r>
      <w:r>
        <w:rPr/>
        <w:t>。</w:t>
      </w:r>
    </w:p>
    <w:p>
      <w:pPr>
        <w:pStyle w:val="BodyText"/>
        <w:spacing w:before="160"/>
        <w:ind w:left="698"/>
      </w:pPr>
      <w:r>
        <w:rPr>
          <w:spacing w:val="-31"/>
        </w:rPr>
        <w:t>当 </w:t>
      </w:r>
      <w:r>
        <w:rPr>
          <w:rFonts w:ascii="Times New Roman" w:hAnsi="Times New Roman" w:eastAsia="Times New Roman"/>
          <w:spacing w:val="-1"/>
        </w:rPr>
        <w:t>Q≥</w:t>
      </w:r>
      <w:r>
        <w:rPr>
          <w:rFonts w:ascii="Times New Roman" w:hAnsi="Times New Roman" w:eastAsia="Times New Roman"/>
        </w:rPr>
        <w:t>1</w:t>
      </w:r>
      <w:r>
        <w:rPr>
          <w:rFonts w:ascii="Times New Roman" w:hAnsi="Times New Roman" w:eastAsia="Times New Roman"/>
          <w:spacing w:val="-1"/>
        </w:rPr>
        <w:t> </w:t>
      </w:r>
      <w:r>
        <w:rPr>
          <w:spacing w:val="-15"/>
        </w:rPr>
        <w:t>时，将 </w:t>
      </w:r>
      <w:r>
        <w:rPr>
          <w:rFonts w:ascii="Times New Roman" w:hAnsi="Times New Roman" w:eastAsia="Times New Roman"/>
          <w:w w:val="99"/>
        </w:rPr>
        <w:t>Q</w:t>
      </w:r>
      <w:r>
        <w:rPr>
          <w:rFonts w:ascii="Times New Roman" w:hAnsi="Times New Roman" w:eastAsia="Times New Roman"/>
          <w:spacing w:val="-1"/>
        </w:rPr>
        <w:t> </w:t>
      </w:r>
      <w:r>
        <w:rPr>
          <w:spacing w:val="-24"/>
        </w:rPr>
        <w:t>值划分为：</w:t>
      </w:r>
      <w:r>
        <w:rPr/>
        <w:t>（</w:t>
      </w:r>
      <w:r>
        <w:rPr>
          <w:rFonts w:ascii="Times New Roman" w:hAnsi="Times New Roman" w:eastAsia="Times New Roman"/>
        </w:rPr>
        <w:t>1</w:t>
      </w:r>
      <w:r>
        <w:rPr/>
        <w:t>）</w:t>
      </w:r>
      <w:r>
        <w:rPr>
          <w:rFonts w:ascii="Times New Roman" w:hAnsi="Times New Roman" w:eastAsia="Times New Roman"/>
        </w:rPr>
        <w:t>1≤</w:t>
      </w:r>
      <w:r>
        <w:rPr>
          <w:rFonts w:ascii="Times New Roman" w:hAnsi="Times New Roman" w:eastAsia="Times New Roman"/>
          <w:spacing w:val="-1"/>
        </w:rPr>
        <w:t>Q</w:t>
      </w:r>
      <w:r>
        <w:rPr/>
        <w:t>＜</w:t>
      </w:r>
      <w:r>
        <w:rPr>
          <w:rFonts w:ascii="Times New Roman" w:hAnsi="Times New Roman" w:eastAsia="Times New Roman"/>
        </w:rPr>
        <w:t>10</w:t>
      </w:r>
      <w:r>
        <w:rPr>
          <w:spacing w:val="-120"/>
        </w:rPr>
        <w:t>；</w:t>
      </w:r>
      <w:r>
        <w:rPr/>
        <w:t>（</w:t>
      </w:r>
      <w:r>
        <w:rPr>
          <w:rFonts w:ascii="Times New Roman" w:hAnsi="Times New Roman" w:eastAsia="Times New Roman"/>
        </w:rPr>
        <w:t>2</w:t>
      </w:r>
      <w:r>
        <w:rPr/>
        <w:t>）</w:t>
      </w:r>
      <w:r>
        <w:rPr>
          <w:rFonts w:ascii="Times New Roman" w:hAnsi="Times New Roman" w:eastAsia="Times New Roman"/>
        </w:rPr>
        <w:t>10≤</w:t>
      </w:r>
      <w:r>
        <w:rPr>
          <w:rFonts w:ascii="Times New Roman" w:hAnsi="Times New Roman" w:eastAsia="Times New Roman"/>
          <w:spacing w:val="-1"/>
        </w:rPr>
        <w:t>Q</w:t>
      </w:r>
      <w:r>
        <w:rPr/>
        <w:t>＜</w:t>
      </w:r>
      <w:r>
        <w:rPr>
          <w:rFonts w:ascii="Times New Roman" w:hAnsi="Times New Roman" w:eastAsia="Times New Roman"/>
        </w:rPr>
        <w:t>100</w:t>
      </w:r>
      <w:r>
        <w:rPr>
          <w:spacing w:val="-120"/>
        </w:rPr>
        <w:t>；</w:t>
      </w:r>
      <w:r>
        <w:rPr/>
        <w:t>（</w:t>
      </w:r>
      <w:r>
        <w:rPr>
          <w:rFonts w:ascii="Times New Roman" w:hAnsi="Times New Roman" w:eastAsia="Times New Roman"/>
        </w:rPr>
        <w:t>3</w:t>
      </w:r>
      <w:r>
        <w:rPr/>
        <w:t>）</w:t>
      </w:r>
      <w:r>
        <w:rPr>
          <w:rFonts w:ascii="Times New Roman" w:hAnsi="Times New Roman" w:eastAsia="Times New Roman"/>
          <w:spacing w:val="-1"/>
        </w:rPr>
        <w:t>Q≥10</w:t>
      </w:r>
      <w:r>
        <w:rPr>
          <w:rFonts w:ascii="Times New Roman" w:hAnsi="Times New Roman" w:eastAsia="Times New Roman"/>
        </w:rPr>
        <w:t>0</w:t>
      </w:r>
      <w:r>
        <w:rPr/>
        <w:t>。</w:t>
      </w:r>
    </w:p>
    <w:p>
      <w:pPr>
        <w:pStyle w:val="BodyText"/>
        <w:spacing w:line="364" w:lineRule="auto" w:before="158"/>
        <w:ind w:left="218" w:right="173" w:firstLine="480"/>
      </w:pPr>
      <w:r>
        <w:rPr/>
        <w:t>本项目危险物质贮存主要在新建的储罐区，根据风险导则本项目原辅材料临界量比值</w:t>
      </w:r>
      <w:r>
        <w:rPr>
          <w:rFonts w:ascii="Times New Roman" w:eastAsia="Times New Roman"/>
        </w:rPr>
        <w:t>Q</w:t>
      </w:r>
      <w:r>
        <w:rPr/>
        <w:t>值计算如下。</w:t>
      </w:r>
    </w:p>
    <w:p>
      <w:pPr>
        <w:pStyle w:val="Heading4"/>
        <w:spacing w:before="143" w:after="29"/>
        <w:ind w:left="1728"/>
      </w:pPr>
      <w:r>
        <w:rPr/>
        <w:t>表 </w:t>
      </w:r>
      <w:r>
        <w:rPr>
          <w:rFonts w:ascii="Times New Roman" w:eastAsia="Times New Roman"/>
        </w:rPr>
        <w:t>8.3-1  </w:t>
      </w:r>
      <w:r>
        <w:rPr/>
        <w:t>本项目实施后全厂涉及主要危险物质 </w:t>
      </w:r>
      <w:r>
        <w:rPr>
          <w:rFonts w:ascii="Times New Roman" w:eastAsia="Times New Roman"/>
        </w:rPr>
        <w:t>Q </w:t>
      </w:r>
      <w:r>
        <w:rPr/>
        <w:t>值确定表</w:t>
      </w:r>
    </w:p>
    <w:tbl>
      <w:tblPr>
        <w:tblW w:w="0" w:type="auto"/>
        <w:jc w:val="left"/>
        <w:tblInd w:w="2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82"/>
        <w:gridCol w:w="1442"/>
        <w:gridCol w:w="2127"/>
        <w:gridCol w:w="1560"/>
        <w:gridCol w:w="1420"/>
        <w:gridCol w:w="1649"/>
      </w:tblGrid>
      <w:tr>
        <w:trPr>
          <w:trHeight w:val="530" w:hRule="atLeast"/>
        </w:trPr>
        <w:tc>
          <w:tcPr>
            <w:tcW w:w="782" w:type="dxa"/>
          </w:tcPr>
          <w:p>
            <w:pPr>
              <w:pStyle w:val="TableParagraph"/>
              <w:spacing w:before="138"/>
              <w:ind w:left="157" w:right="157"/>
              <w:rPr>
                <w:b/>
                <w:sz w:val="21"/>
              </w:rPr>
            </w:pPr>
            <w:r>
              <w:rPr>
                <w:b/>
                <w:sz w:val="21"/>
              </w:rPr>
              <w:t>序号</w:t>
            </w:r>
          </w:p>
        </w:tc>
        <w:tc>
          <w:tcPr>
            <w:tcW w:w="1442" w:type="dxa"/>
            <w:tcBorders>
              <w:right w:val="single" w:sz="4" w:space="0" w:color="000000"/>
            </w:tcBorders>
          </w:tcPr>
          <w:p>
            <w:pPr>
              <w:pStyle w:val="TableParagraph"/>
              <w:spacing w:before="138"/>
              <w:ind w:left="278" w:right="273"/>
              <w:rPr>
                <w:b/>
                <w:sz w:val="21"/>
              </w:rPr>
            </w:pPr>
            <w:r>
              <w:rPr>
                <w:b/>
                <w:sz w:val="21"/>
              </w:rPr>
              <w:t>来源</w:t>
            </w:r>
          </w:p>
        </w:tc>
        <w:tc>
          <w:tcPr>
            <w:tcW w:w="2127" w:type="dxa"/>
            <w:tcBorders>
              <w:left w:val="single" w:sz="4" w:space="0" w:color="000000"/>
            </w:tcBorders>
          </w:tcPr>
          <w:p>
            <w:pPr>
              <w:pStyle w:val="TableParagraph"/>
              <w:spacing w:before="138"/>
              <w:ind w:left="411" w:right="402"/>
              <w:rPr>
                <w:b/>
                <w:sz w:val="21"/>
              </w:rPr>
            </w:pPr>
            <w:r>
              <w:rPr>
                <w:b/>
                <w:sz w:val="21"/>
              </w:rPr>
              <w:t>危险物质名称</w:t>
            </w:r>
          </w:p>
        </w:tc>
        <w:tc>
          <w:tcPr>
            <w:tcW w:w="1560" w:type="dxa"/>
          </w:tcPr>
          <w:p>
            <w:pPr>
              <w:pStyle w:val="TableParagraph"/>
              <w:spacing w:before="18"/>
              <w:ind w:left="24" w:right="18"/>
              <w:rPr>
                <w:b/>
                <w:sz w:val="21"/>
              </w:rPr>
            </w:pPr>
            <w:r>
              <w:rPr>
                <w:b/>
                <w:sz w:val="21"/>
              </w:rPr>
              <w:t>最大存在量</w:t>
            </w:r>
          </w:p>
          <w:p>
            <w:pPr>
              <w:pStyle w:val="TableParagraph"/>
              <w:spacing w:line="222" w:lineRule="exact" w:before="2"/>
              <w:ind w:left="22" w:right="18"/>
              <w:rPr>
                <w:rFonts w:ascii="Times New Roman"/>
                <w:b/>
                <w:sz w:val="21"/>
              </w:rPr>
            </w:pPr>
            <w:r>
              <w:rPr>
                <w:rFonts w:ascii="Times New Roman"/>
                <w:b/>
                <w:sz w:val="21"/>
              </w:rPr>
              <w:t>qn/t</w:t>
            </w:r>
          </w:p>
        </w:tc>
        <w:tc>
          <w:tcPr>
            <w:tcW w:w="1420" w:type="dxa"/>
          </w:tcPr>
          <w:p>
            <w:pPr>
              <w:pStyle w:val="TableParagraph"/>
              <w:spacing w:before="18"/>
              <w:ind w:left="374" w:right="367"/>
              <w:rPr>
                <w:b/>
                <w:sz w:val="21"/>
              </w:rPr>
            </w:pPr>
            <w:r>
              <w:rPr>
                <w:b/>
                <w:sz w:val="21"/>
              </w:rPr>
              <w:t>临界量</w:t>
            </w:r>
          </w:p>
          <w:p>
            <w:pPr>
              <w:pStyle w:val="TableParagraph"/>
              <w:spacing w:line="222" w:lineRule="exact" w:before="2"/>
              <w:ind w:left="374" w:right="366"/>
              <w:rPr>
                <w:rFonts w:ascii="Times New Roman"/>
                <w:b/>
                <w:sz w:val="21"/>
              </w:rPr>
            </w:pPr>
            <w:r>
              <w:rPr>
                <w:rFonts w:ascii="Times New Roman"/>
                <w:b/>
                <w:sz w:val="21"/>
              </w:rPr>
              <w:t>Qn/t</w:t>
            </w:r>
          </w:p>
        </w:tc>
        <w:tc>
          <w:tcPr>
            <w:tcW w:w="1649" w:type="dxa"/>
          </w:tcPr>
          <w:p>
            <w:pPr>
              <w:pStyle w:val="TableParagraph"/>
              <w:spacing w:before="152"/>
              <w:ind w:left="540"/>
              <w:jc w:val="left"/>
              <w:rPr>
                <w:rFonts w:ascii="Times New Roman"/>
                <w:b/>
                <w:sz w:val="21"/>
              </w:rPr>
            </w:pPr>
            <w:r>
              <w:rPr>
                <w:rFonts w:ascii="Times New Roman"/>
                <w:b/>
                <w:sz w:val="21"/>
              </w:rPr>
              <w:t>qn/Qn</w:t>
            </w:r>
          </w:p>
        </w:tc>
      </w:tr>
      <w:tr>
        <w:trPr>
          <w:trHeight w:val="287" w:hRule="atLeast"/>
        </w:trPr>
        <w:tc>
          <w:tcPr>
            <w:tcW w:w="782" w:type="dxa"/>
          </w:tcPr>
          <w:p>
            <w:pPr>
              <w:pStyle w:val="TableParagraph"/>
              <w:spacing w:line="236" w:lineRule="exact" w:before="32"/>
              <w:rPr>
                <w:rFonts w:ascii="Times New Roman"/>
                <w:sz w:val="21"/>
              </w:rPr>
            </w:pPr>
            <w:r>
              <w:rPr>
                <w:rFonts w:ascii="Times New Roman"/>
                <w:w w:val="100"/>
                <w:sz w:val="21"/>
              </w:rPr>
              <w:t>1</w:t>
            </w:r>
          </w:p>
        </w:tc>
        <w:tc>
          <w:tcPr>
            <w:tcW w:w="1442" w:type="dxa"/>
            <w:tcBorders>
              <w:right w:val="single" w:sz="4" w:space="0" w:color="000000"/>
            </w:tcBorders>
          </w:tcPr>
          <w:p>
            <w:pPr>
              <w:pStyle w:val="TableParagraph"/>
              <w:spacing w:line="250" w:lineRule="exact" w:before="18"/>
              <w:ind w:left="281" w:right="271"/>
              <w:rPr>
                <w:sz w:val="21"/>
              </w:rPr>
            </w:pPr>
            <w:r>
              <w:rPr>
                <w:sz w:val="21"/>
              </w:rPr>
              <w:t>储罐区</w:t>
            </w:r>
          </w:p>
        </w:tc>
        <w:tc>
          <w:tcPr>
            <w:tcW w:w="2127" w:type="dxa"/>
            <w:tcBorders>
              <w:left w:val="single" w:sz="4" w:space="0" w:color="000000"/>
            </w:tcBorders>
          </w:tcPr>
          <w:p>
            <w:pPr>
              <w:pStyle w:val="TableParagraph"/>
              <w:spacing w:line="250" w:lineRule="exact" w:before="18"/>
              <w:ind w:left="411" w:right="402"/>
              <w:rPr>
                <w:sz w:val="21"/>
              </w:rPr>
            </w:pPr>
            <w:r>
              <w:rPr>
                <w:sz w:val="21"/>
              </w:rPr>
              <w:t>甲酸</w:t>
            </w:r>
          </w:p>
        </w:tc>
        <w:tc>
          <w:tcPr>
            <w:tcW w:w="1560" w:type="dxa"/>
          </w:tcPr>
          <w:p>
            <w:pPr>
              <w:pStyle w:val="TableParagraph"/>
              <w:spacing w:line="236" w:lineRule="exact" w:before="32"/>
              <w:ind w:right="534"/>
              <w:jc w:val="right"/>
              <w:rPr>
                <w:rFonts w:ascii="Times New Roman"/>
                <w:sz w:val="21"/>
              </w:rPr>
            </w:pPr>
            <w:r>
              <w:rPr>
                <w:rFonts w:ascii="Times New Roman"/>
                <w:sz w:val="21"/>
              </w:rPr>
              <w:t>100.8</w:t>
            </w:r>
          </w:p>
        </w:tc>
        <w:tc>
          <w:tcPr>
            <w:tcW w:w="1420" w:type="dxa"/>
          </w:tcPr>
          <w:p>
            <w:pPr>
              <w:pStyle w:val="TableParagraph"/>
              <w:spacing w:line="236" w:lineRule="exact" w:before="32"/>
              <w:ind w:left="374" w:right="367"/>
              <w:rPr>
                <w:rFonts w:ascii="Times New Roman"/>
                <w:sz w:val="21"/>
              </w:rPr>
            </w:pPr>
            <w:r>
              <w:rPr>
                <w:rFonts w:ascii="Times New Roman"/>
                <w:sz w:val="21"/>
              </w:rPr>
              <w:t>10</w:t>
            </w:r>
          </w:p>
        </w:tc>
        <w:tc>
          <w:tcPr>
            <w:tcW w:w="1649" w:type="dxa"/>
          </w:tcPr>
          <w:p>
            <w:pPr>
              <w:pStyle w:val="TableParagraph"/>
              <w:spacing w:line="236" w:lineRule="exact" w:before="32"/>
              <w:ind w:left="640"/>
              <w:jc w:val="left"/>
              <w:rPr>
                <w:rFonts w:ascii="Times New Roman"/>
                <w:b/>
                <w:sz w:val="21"/>
              </w:rPr>
            </w:pPr>
            <w:r>
              <w:rPr>
                <w:rFonts w:ascii="Times New Roman"/>
                <w:b/>
                <w:sz w:val="21"/>
              </w:rPr>
              <w:t>10.1</w:t>
            </w:r>
          </w:p>
        </w:tc>
      </w:tr>
      <w:tr>
        <w:trPr>
          <w:trHeight w:val="290" w:hRule="atLeast"/>
        </w:trPr>
        <w:tc>
          <w:tcPr>
            <w:tcW w:w="782" w:type="dxa"/>
          </w:tcPr>
          <w:p>
            <w:pPr>
              <w:pStyle w:val="TableParagraph"/>
              <w:spacing w:line="236" w:lineRule="exact" w:before="34"/>
              <w:rPr>
                <w:rFonts w:ascii="Times New Roman"/>
                <w:sz w:val="21"/>
              </w:rPr>
            </w:pPr>
            <w:r>
              <w:rPr>
                <w:rFonts w:ascii="Times New Roman"/>
                <w:w w:val="100"/>
                <w:sz w:val="21"/>
              </w:rPr>
              <w:t>2</w:t>
            </w:r>
          </w:p>
        </w:tc>
        <w:tc>
          <w:tcPr>
            <w:tcW w:w="1442" w:type="dxa"/>
            <w:tcBorders>
              <w:right w:val="single" w:sz="4" w:space="0" w:color="000000"/>
            </w:tcBorders>
          </w:tcPr>
          <w:p>
            <w:pPr>
              <w:pStyle w:val="TableParagraph"/>
              <w:spacing w:line="250" w:lineRule="exact" w:before="20"/>
              <w:ind w:left="281" w:right="273"/>
              <w:rPr>
                <w:sz w:val="21"/>
              </w:rPr>
            </w:pPr>
            <w:r>
              <w:rPr>
                <w:sz w:val="21"/>
              </w:rPr>
              <w:t>生产装置</w:t>
            </w:r>
          </w:p>
        </w:tc>
        <w:tc>
          <w:tcPr>
            <w:tcW w:w="2127" w:type="dxa"/>
            <w:tcBorders>
              <w:left w:val="single" w:sz="4" w:space="0" w:color="000000"/>
            </w:tcBorders>
          </w:tcPr>
          <w:p>
            <w:pPr>
              <w:pStyle w:val="TableParagraph"/>
              <w:spacing w:line="250" w:lineRule="exact" w:before="20"/>
              <w:ind w:left="411" w:right="402"/>
              <w:rPr>
                <w:sz w:val="21"/>
              </w:rPr>
            </w:pPr>
            <w:r>
              <w:rPr>
                <w:sz w:val="21"/>
              </w:rPr>
              <w:t>甲酸</w:t>
            </w:r>
          </w:p>
        </w:tc>
        <w:tc>
          <w:tcPr>
            <w:tcW w:w="1560" w:type="dxa"/>
          </w:tcPr>
          <w:p>
            <w:pPr>
              <w:pStyle w:val="TableParagraph"/>
              <w:spacing w:line="236" w:lineRule="exact" w:before="34"/>
              <w:ind w:left="24" w:right="18"/>
              <w:rPr>
                <w:rFonts w:ascii="Times New Roman"/>
                <w:sz w:val="21"/>
              </w:rPr>
            </w:pPr>
            <w:r>
              <w:rPr>
                <w:rFonts w:ascii="Times New Roman"/>
                <w:sz w:val="21"/>
              </w:rPr>
              <w:t>0.7</w:t>
            </w:r>
          </w:p>
        </w:tc>
        <w:tc>
          <w:tcPr>
            <w:tcW w:w="1420" w:type="dxa"/>
          </w:tcPr>
          <w:p>
            <w:pPr>
              <w:pStyle w:val="TableParagraph"/>
              <w:spacing w:line="236" w:lineRule="exact" w:before="34"/>
              <w:ind w:left="374" w:right="367"/>
              <w:rPr>
                <w:rFonts w:ascii="Times New Roman"/>
                <w:sz w:val="21"/>
              </w:rPr>
            </w:pPr>
            <w:r>
              <w:rPr>
                <w:rFonts w:ascii="Times New Roman"/>
                <w:sz w:val="21"/>
              </w:rPr>
              <w:t>10</w:t>
            </w:r>
          </w:p>
        </w:tc>
        <w:tc>
          <w:tcPr>
            <w:tcW w:w="1649" w:type="dxa"/>
          </w:tcPr>
          <w:p>
            <w:pPr>
              <w:pStyle w:val="TableParagraph"/>
              <w:spacing w:line="236" w:lineRule="exact" w:before="34"/>
              <w:ind w:left="640"/>
              <w:jc w:val="left"/>
              <w:rPr>
                <w:rFonts w:ascii="Times New Roman"/>
                <w:b/>
                <w:sz w:val="21"/>
              </w:rPr>
            </w:pPr>
            <w:r>
              <w:rPr>
                <w:rFonts w:ascii="Times New Roman"/>
                <w:b/>
                <w:sz w:val="21"/>
              </w:rPr>
              <w:t>0.07</w:t>
            </w:r>
          </w:p>
        </w:tc>
      </w:tr>
      <w:tr>
        <w:trPr>
          <w:trHeight w:val="290" w:hRule="atLeast"/>
        </w:trPr>
        <w:tc>
          <w:tcPr>
            <w:tcW w:w="782" w:type="dxa"/>
          </w:tcPr>
          <w:p>
            <w:pPr>
              <w:pStyle w:val="TableParagraph"/>
              <w:spacing w:line="238" w:lineRule="exact" w:before="32"/>
              <w:rPr>
                <w:rFonts w:ascii="Times New Roman"/>
                <w:sz w:val="21"/>
              </w:rPr>
            </w:pPr>
            <w:r>
              <w:rPr>
                <w:rFonts w:ascii="Times New Roman"/>
                <w:w w:val="100"/>
                <w:sz w:val="21"/>
              </w:rPr>
              <w:t>3</w:t>
            </w:r>
          </w:p>
        </w:tc>
        <w:tc>
          <w:tcPr>
            <w:tcW w:w="1442" w:type="dxa"/>
            <w:tcBorders>
              <w:right w:val="single" w:sz="4" w:space="0" w:color="000000"/>
            </w:tcBorders>
          </w:tcPr>
          <w:p>
            <w:pPr>
              <w:pStyle w:val="TableParagraph"/>
              <w:spacing w:line="252" w:lineRule="exact" w:before="18"/>
              <w:ind w:left="281" w:right="273"/>
              <w:rPr>
                <w:sz w:val="21"/>
              </w:rPr>
            </w:pPr>
            <w:r>
              <w:rPr>
                <w:sz w:val="21"/>
              </w:rPr>
              <w:t>危险废物</w:t>
            </w:r>
          </w:p>
        </w:tc>
        <w:tc>
          <w:tcPr>
            <w:tcW w:w="2127" w:type="dxa"/>
            <w:tcBorders>
              <w:left w:val="single" w:sz="4" w:space="0" w:color="000000"/>
            </w:tcBorders>
          </w:tcPr>
          <w:p>
            <w:pPr>
              <w:pStyle w:val="TableParagraph"/>
              <w:spacing w:line="252" w:lineRule="exact" w:before="18"/>
              <w:ind w:left="411" w:right="402"/>
              <w:rPr>
                <w:sz w:val="21"/>
              </w:rPr>
            </w:pPr>
            <w:r>
              <w:rPr>
                <w:sz w:val="21"/>
              </w:rPr>
              <w:t>污泥等</w:t>
            </w:r>
          </w:p>
        </w:tc>
        <w:tc>
          <w:tcPr>
            <w:tcW w:w="1560" w:type="dxa"/>
          </w:tcPr>
          <w:p>
            <w:pPr>
              <w:pStyle w:val="TableParagraph"/>
              <w:spacing w:line="238" w:lineRule="exact" w:before="32"/>
              <w:ind w:right="587"/>
              <w:jc w:val="right"/>
              <w:rPr>
                <w:rFonts w:ascii="Times New Roman"/>
                <w:sz w:val="21"/>
              </w:rPr>
            </w:pPr>
            <w:r>
              <w:rPr>
                <w:rFonts w:ascii="Times New Roman"/>
                <w:sz w:val="21"/>
              </w:rPr>
              <w:t>10.5</w:t>
            </w:r>
          </w:p>
        </w:tc>
        <w:tc>
          <w:tcPr>
            <w:tcW w:w="1420" w:type="dxa"/>
          </w:tcPr>
          <w:p>
            <w:pPr>
              <w:pStyle w:val="TableParagraph"/>
              <w:spacing w:line="262" w:lineRule="exact" w:before="8"/>
              <w:ind w:left="374" w:right="367"/>
              <w:rPr>
                <w:sz w:val="11"/>
              </w:rPr>
            </w:pPr>
            <w:r>
              <w:rPr>
                <w:rFonts w:ascii="Times New Roman" w:hAnsi="Times New Roman"/>
                <w:sz w:val="21"/>
              </w:rPr>
              <w:t>50</w:t>
            </w:r>
            <w:r>
              <w:rPr>
                <w:position w:val="11"/>
                <w:sz w:val="11"/>
              </w:rPr>
              <w:t>①</w:t>
            </w:r>
          </w:p>
        </w:tc>
        <w:tc>
          <w:tcPr>
            <w:tcW w:w="1649" w:type="dxa"/>
          </w:tcPr>
          <w:p>
            <w:pPr>
              <w:pStyle w:val="TableParagraph"/>
              <w:spacing w:line="238" w:lineRule="exact" w:before="32"/>
              <w:ind w:left="640"/>
              <w:jc w:val="left"/>
              <w:rPr>
                <w:rFonts w:ascii="Times New Roman"/>
                <w:b/>
                <w:sz w:val="21"/>
              </w:rPr>
            </w:pPr>
            <w:r>
              <w:rPr>
                <w:rFonts w:ascii="Times New Roman"/>
                <w:b/>
                <w:sz w:val="21"/>
              </w:rPr>
              <w:t>0.21</w:t>
            </w:r>
          </w:p>
        </w:tc>
      </w:tr>
      <w:tr>
        <w:trPr>
          <w:trHeight w:val="287" w:hRule="atLeast"/>
        </w:trPr>
        <w:tc>
          <w:tcPr>
            <w:tcW w:w="7331" w:type="dxa"/>
            <w:gridSpan w:val="5"/>
          </w:tcPr>
          <w:p>
            <w:pPr>
              <w:pStyle w:val="TableParagraph"/>
              <w:spacing w:line="250" w:lineRule="exact" w:before="18"/>
              <w:ind w:left="3435" w:right="3431"/>
              <w:rPr>
                <w:sz w:val="21"/>
              </w:rPr>
            </w:pPr>
            <w:r>
              <w:rPr>
                <w:sz w:val="21"/>
              </w:rPr>
              <w:t>合计</w:t>
            </w:r>
          </w:p>
        </w:tc>
        <w:tc>
          <w:tcPr>
            <w:tcW w:w="1649" w:type="dxa"/>
          </w:tcPr>
          <w:p>
            <w:pPr>
              <w:pStyle w:val="TableParagraph"/>
              <w:spacing w:line="236" w:lineRule="exact" w:before="32"/>
              <w:ind w:left="588"/>
              <w:jc w:val="left"/>
              <w:rPr>
                <w:rFonts w:ascii="Times New Roman"/>
                <w:b/>
                <w:sz w:val="21"/>
              </w:rPr>
            </w:pPr>
            <w:r>
              <w:rPr>
                <w:rFonts w:ascii="Times New Roman"/>
                <w:b/>
                <w:sz w:val="21"/>
              </w:rPr>
              <w:t>10.29</w:t>
            </w:r>
          </w:p>
        </w:tc>
      </w:tr>
    </w:tbl>
    <w:p>
      <w:pPr>
        <w:spacing w:before="1"/>
        <w:ind w:left="218" w:right="0" w:firstLine="0"/>
        <w:jc w:val="left"/>
        <w:rPr>
          <w:b/>
          <w:sz w:val="21"/>
        </w:rPr>
      </w:pPr>
      <w:r>
        <w:rPr>
          <w:b/>
          <w:sz w:val="21"/>
        </w:rPr>
        <w:t>注：未列入 </w:t>
      </w:r>
      <w:r>
        <w:rPr>
          <w:rFonts w:ascii="Times New Roman" w:eastAsia="Times New Roman"/>
          <w:b/>
          <w:sz w:val="21"/>
        </w:rPr>
        <w:t>HJ169-2018 </w:t>
      </w:r>
      <w:r>
        <w:rPr>
          <w:b/>
          <w:sz w:val="21"/>
        </w:rPr>
        <w:t>表 </w:t>
      </w:r>
      <w:r>
        <w:rPr>
          <w:rFonts w:ascii="Times New Roman" w:eastAsia="Times New Roman"/>
          <w:b/>
          <w:sz w:val="21"/>
        </w:rPr>
        <w:t>B.1</w:t>
      </w:r>
      <w:r>
        <w:rPr>
          <w:b/>
          <w:sz w:val="21"/>
        </w:rPr>
        <w:t>，参照表 </w:t>
      </w:r>
      <w:r>
        <w:rPr>
          <w:rFonts w:ascii="Times New Roman" w:eastAsia="Times New Roman"/>
          <w:b/>
          <w:sz w:val="21"/>
        </w:rPr>
        <w:t>B.2 </w:t>
      </w:r>
      <w:r>
        <w:rPr>
          <w:b/>
          <w:sz w:val="21"/>
        </w:rPr>
        <w:t>选取</w:t>
      </w:r>
    </w:p>
    <w:p>
      <w:pPr>
        <w:pStyle w:val="Heading4"/>
        <w:spacing w:before="142"/>
      </w:pPr>
      <w:r>
        <w:rPr>
          <w:w w:val="99"/>
        </w:rPr>
        <w:t>根据以上计算结果可知，公司危险物质数量与临界量比值</w:t>
      </w:r>
      <w:r>
        <w:rPr>
          <w:spacing w:val="-57"/>
        </w:rPr>
        <w:t> </w:t>
      </w:r>
      <w:r>
        <w:rPr>
          <w:rFonts w:ascii="Times New Roman" w:hAnsi="Times New Roman" w:eastAsia="Times New Roman"/>
        </w:rPr>
        <w:t>Q=10.2</w:t>
      </w:r>
      <w:r>
        <w:rPr>
          <w:rFonts w:ascii="Times New Roman" w:hAnsi="Times New Roman" w:eastAsia="Times New Roman"/>
          <w:spacing w:val="-2"/>
        </w:rPr>
        <w:t>9</w:t>
      </w:r>
      <w:r>
        <w:rPr>
          <w:w w:val="99"/>
        </w:rPr>
        <w:t>（</w:t>
      </w:r>
      <w:r>
        <w:rPr>
          <w:rFonts w:ascii="Times New Roman" w:hAnsi="Times New Roman" w:eastAsia="Times New Roman"/>
        </w:rPr>
        <w:t>10≤</w:t>
      </w:r>
      <w:r>
        <w:rPr>
          <w:rFonts w:ascii="Times New Roman" w:hAnsi="Times New Roman" w:eastAsia="Times New Roman"/>
          <w:spacing w:val="1"/>
        </w:rPr>
        <w:t>Q</w:t>
      </w:r>
      <w:r>
        <w:rPr>
          <w:spacing w:val="2"/>
          <w:w w:val="99"/>
        </w:rPr>
        <w:t>＜</w:t>
      </w:r>
      <w:r>
        <w:rPr>
          <w:rFonts w:ascii="Times New Roman" w:hAnsi="Times New Roman" w:eastAsia="Times New Roman"/>
        </w:rPr>
        <w:t>10</w:t>
      </w:r>
      <w:r>
        <w:rPr>
          <w:rFonts w:ascii="Times New Roman" w:hAnsi="Times New Roman" w:eastAsia="Times New Roman"/>
          <w:spacing w:val="-3"/>
        </w:rPr>
        <w:t>0</w:t>
      </w:r>
      <w:r>
        <w:rPr>
          <w:spacing w:val="-120"/>
          <w:w w:val="99"/>
        </w:rPr>
        <w:t>）</w:t>
      </w:r>
      <w:r>
        <w:rPr>
          <w:w w:val="99"/>
        </w:rPr>
        <w:t>。</w:t>
      </w:r>
    </w:p>
    <w:p>
      <w:pPr>
        <w:pStyle w:val="ListParagraph"/>
        <w:numPr>
          <w:ilvl w:val="0"/>
          <w:numId w:val="43"/>
        </w:numPr>
        <w:tabs>
          <w:tab w:pos="1300" w:val="left" w:leader="none"/>
        </w:tabs>
        <w:spacing w:line="240" w:lineRule="auto" w:before="159" w:after="0"/>
        <w:ind w:left="1299" w:right="0" w:hanging="602"/>
        <w:jc w:val="left"/>
        <w:rPr>
          <w:sz w:val="24"/>
        </w:rPr>
      </w:pPr>
      <w:r>
        <w:rPr>
          <w:sz w:val="24"/>
        </w:rPr>
        <w:t>行业及生产工艺（</w:t>
      </w:r>
      <w:r>
        <w:rPr>
          <w:rFonts w:ascii="Times New Roman" w:eastAsia="Times New Roman"/>
          <w:sz w:val="24"/>
        </w:rPr>
        <w:t>M</w:t>
      </w:r>
      <w:r>
        <w:rPr>
          <w:sz w:val="24"/>
        </w:rPr>
        <w:t>）</w:t>
      </w:r>
    </w:p>
    <w:p>
      <w:pPr>
        <w:pStyle w:val="BodyText"/>
        <w:spacing w:line="362" w:lineRule="auto" w:before="160"/>
        <w:ind w:left="278" w:right="280" w:firstLine="463"/>
      </w:pPr>
      <w:r>
        <w:rPr/>
        <w:t>分析项目所属行业及生产工艺特点，按照风险导则附表</w:t>
      </w:r>
      <w:r>
        <w:rPr>
          <w:rFonts w:ascii="Times New Roman" w:eastAsia="Times New Roman"/>
        </w:rPr>
        <w:t>C.1</w:t>
      </w:r>
      <w:r>
        <w:rPr/>
        <w:t>评估生产工艺情况。具有多套工艺单元的项目，对每套生产工艺分别评分并求和。将</w:t>
      </w:r>
      <w:r>
        <w:rPr>
          <w:rFonts w:ascii="Times New Roman" w:eastAsia="Times New Roman"/>
        </w:rPr>
        <w:t>M</w:t>
      </w:r>
      <w:r>
        <w:rPr/>
        <w:t>划分为（</w:t>
      </w:r>
      <w:r>
        <w:rPr>
          <w:rFonts w:ascii="Times New Roman" w:eastAsia="Times New Roman"/>
        </w:rPr>
        <w:t>1</w:t>
      </w:r>
      <w:r>
        <w:rPr/>
        <w:t>）</w:t>
      </w:r>
      <w:r>
        <w:rPr>
          <w:rFonts w:ascii="Times New Roman" w:eastAsia="Times New Roman"/>
        </w:rPr>
        <w:t>M</w:t>
      </w:r>
      <w:r>
        <w:rPr/>
        <w:t>＞</w:t>
      </w:r>
      <w:r>
        <w:rPr>
          <w:rFonts w:ascii="Times New Roman" w:eastAsia="Times New Roman"/>
        </w:rPr>
        <w:t>20</w:t>
      </w:r>
      <w:r>
        <w:rPr/>
        <w:t>；</w:t>
      </w:r>
    </w:p>
    <w:p>
      <w:pPr>
        <w:pStyle w:val="BodyText"/>
        <w:spacing w:before="5"/>
        <w:ind w:left="218"/>
      </w:pPr>
      <w:r>
        <w:rPr/>
        <w:t>（</w:t>
      </w:r>
      <w:r>
        <w:rPr>
          <w:rFonts w:ascii="Times New Roman" w:hAnsi="Times New Roman" w:eastAsia="Times New Roman"/>
        </w:rPr>
        <w:t>2</w:t>
      </w:r>
      <w:r>
        <w:rPr/>
        <w:t>）</w:t>
      </w:r>
      <w:r>
        <w:rPr>
          <w:rFonts w:ascii="Times New Roman" w:hAnsi="Times New Roman" w:eastAsia="Times New Roman"/>
        </w:rPr>
        <w:t>10</w:t>
      </w:r>
      <w:r>
        <w:rPr/>
        <w:t>＜</w:t>
      </w:r>
      <w:r>
        <w:rPr>
          <w:rFonts w:ascii="Times New Roman" w:hAnsi="Times New Roman" w:eastAsia="Times New Roman"/>
        </w:rPr>
        <w:t>M≤20</w:t>
      </w:r>
      <w:r>
        <w:rPr/>
        <w:t>；（</w:t>
      </w:r>
      <w:r>
        <w:rPr>
          <w:rFonts w:ascii="Times New Roman" w:hAnsi="Times New Roman" w:eastAsia="Times New Roman"/>
        </w:rPr>
        <w:t>3</w:t>
      </w:r>
      <w:r>
        <w:rPr/>
        <w:t>）</w:t>
      </w:r>
      <w:r>
        <w:rPr>
          <w:rFonts w:ascii="Times New Roman" w:hAnsi="Times New Roman" w:eastAsia="Times New Roman"/>
        </w:rPr>
        <w:t>5</w:t>
      </w:r>
      <w:r>
        <w:rPr/>
        <w:t>＜</w:t>
      </w:r>
      <w:r>
        <w:rPr>
          <w:rFonts w:ascii="Times New Roman" w:hAnsi="Times New Roman" w:eastAsia="Times New Roman"/>
        </w:rPr>
        <w:t>M≤10</w:t>
      </w:r>
      <w:r>
        <w:rPr/>
        <w:t>；（</w:t>
      </w:r>
      <w:r>
        <w:rPr>
          <w:rFonts w:ascii="Times New Roman" w:hAnsi="Times New Roman" w:eastAsia="Times New Roman"/>
        </w:rPr>
        <w:t>4</w:t>
      </w:r>
      <w:r>
        <w:rPr/>
        <w:t>）</w:t>
      </w:r>
      <w:r>
        <w:rPr>
          <w:rFonts w:ascii="Times New Roman" w:hAnsi="Times New Roman" w:eastAsia="Times New Roman"/>
        </w:rPr>
        <w:t>M=5</w:t>
      </w:r>
      <w:r>
        <w:rPr/>
        <w:t>，分别以</w:t>
      </w:r>
      <w:r>
        <w:rPr>
          <w:rFonts w:ascii="Times New Roman" w:hAnsi="Times New Roman" w:eastAsia="Times New Roman"/>
        </w:rPr>
        <w:t>M1</w:t>
      </w:r>
      <w:r>
        <w:rPr/>
        <w:t>、</w:t>
      </w:r>
      <w:r>
        <w:rPr>
          <w:rFonts w:ascii="Times New Roman" w:hAnsi="Times New Roman" w:eastAsia="Times New Roman"/>
        </w:rPr>
        <w:t>M2</w:t>
      </w:r>
      <w:r>
        <w:rPr/>
        <w:t>、</w:t>
      </w:r>
      <w:r>
        <w:rPr>
          <w:rFonts w:ascii="Times New Roman" w:hAnsi="Times New Roman" w:eastAsia="Times New Roman"/>
        </w:rPr>
        <w:t>M3</w:t>
      </w:r>
      <w:r>
        <w:rPr/>
        <w:t>和</w:t>
      </w:r>
      <w:r>
        <w:rPr>
          <w:rFonts w:ascii="Times New Roman" w:hAnsi="Times New Roman" w:eastAsia="Times New Roman"/>
        </w:rPr>
        <w:t>M4</w:t>
      </w:r>
      <w:r>
        <w:rPr/>
        <w:t>表示。</w:t>
      </w:r>
    </w:p>
    <w:p>
      <w:pPr>
        <w:pStyle w:val="BodyText"/>
        <w:spacing w:before="5"/>
        <w:rPr>
          <w:sz w:val="23"/>
        </w:rPr>
      </w:pPr>
    </w:p>
    <w:p>
      <w:pPr>
        <w:pStyle w:val="Heading4"/>
        <w:tabs>
          <w:tab w:pos="1041" w:val="left" w:leader="none"/>
        </w:tabs>
        <w:spacing w:after="29"/>
        <w:ind w:left="0" w:right="18"/>
        <w:jc w:val="center"/>
      </w:pPr>
      <w:r>
        <w:rPr/>
        <w:t>表</w:t>
      </w:r>
      <w:r>
        <w:rPr>
          <w:spacing w:val="-60"/>
        </w:rPr>
        <w:t> </w:t>
      </w:r>
      <w:r>
        <w:rPr>
          <w:rFonts w:ascii="Times New Roman" w:eastAsia="Times New Roman"/>
        </w:rPr>
        <w:t>8.3-2</w:t>
        <w:tab/>
      </w:r>
      <w:r>
        <w:rPr/>
        <w:t>企业生产工艺过程评估</w:t>
      </w: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4"/>
        <w:gridCol w:w="5103"/>
        <w:gridCol w:w="991"/>
        <w:gridCol w:w="1985"/>
      </w:tblGrid>
      <w:tr>
        <w:trPr>
          <w:trHeight w:val="285" w:hRule="atLeast"/>
        </w:trPr>
        <w:tc>
          <w:tcPr>
            <w:tcW w:w="984" w:type="dxa"/>
          </w:tcPr>
          <w:p>
            <w:pPr>
              <w:pStyle w:val="TableParagraph"/>
              <w:spacing w:line="257" w:lineRule="exact" w:before="8"/>
              <w:ind w:left="260" w:right="251"/>
              <w:rPr>
                <w:b/>
                <w:sz w:val="21"/>
              </w:rPr>
            </w:pPr>
            <w:r>
              <w:rPr>
                <w:b/>
                <w:sz w:val="21"/>
              </w:rPr>
              <w:t>行业</w:t>
            </w:r>
          </w:p>
        </w:tc>
        <w:tc>
          <w:tcPr>
            <w:tcW w:w="5103" w:type="dxa"/>
          </w:tcPr>
          <w:p>
            <w:pPr>
              <w:pStyle w:val="TableParagraph"/>
              <w:spacing w:line="257" w:lineRule="exact" w:before="8"/>
              <w:ind w:left="31" w:right="21"/>
              <w:rPr>
                <w:b/>
                <w:sz w:val="21"/>
              </w:rPr>
            </w:pPr>
            <w:r>
              <w:rPr>
                <w:b/>
                <w:sz w:val="21"/>
              </w:rPr>
              <w:t>评估依据</w:t>
            </w:r>
          </w:p>
        </w:tc>
        <w:tc>
          <w:tcPr>
            <w:tcW w:w="991" w:type="dxa"/>
          </w:tcPr>
          <w:p>
            <w:pPr>
              <w:pStyle w:val="TableParagraph"/>
              <w:spacing w:line="257" w:lineRule="exact" w:before="8"/>
              <w:ind w:left="8"/>
              <w:rPr>
                <w:b/>
                <w:sz w:val="21"/>
              </w:rPr>
            </w:pPr>
            <w:r>
              <w:rPr>
                <w:b/>
                <w:sz w:val="21"/>
              </w:rPr>
              <w:t>分值</w:t>
            </w:r>
          </w:p>
        </w:tc>
        <w:tc>
          <w:tcPr>
            <w:tcW w:w="1985" w:type="dxa"/>
          </w:tcPr>
          <w:p>
            <w:pPr>
              <w:pStyle w:val="TableParagraph"/>
              <w:spacing w:line="257" w:lineRule="exact" w:before="8"/>
              <w:ind w:left="43" w:right="31"/>
              <w:rPr>
                <w:b/>
                <w:sz w:val="21"/>
              </w:rPr>
            </w:pPr>
            <w:r>
              <w:rPr>
                <w:b/>
                <w:sz w:val="21"/>
              </w:rPr>
              <w:t>企业情况</w:t>
            </w:r>
          </w:p>
        </w:tc>
      </w:tr>
      <w:tr>
        <w:trPr>
          <w:trHeight w:val="1360" w:hRule="atLeast"/>
        </w:trPr>
        <w:tc>
          <w:tcPr>
            <w:tcW w:w="984" w:type="dxa"/>
            <w:vMerge w:val="restart"/>
          </w:tcPr>
          <w:p>
            <w:pPr>
              <w:pStyle w:val="TableParagraph"/>
              <w:spacing w:before="7"/>
              <w:jc w:val="left"/>
              <w:rPr>
                <w:b/>
                <w:sz w:val="22"/>
              </w:rPr>
            </w:pPr>
          </w:p>
          <w:p>
            <w:pPr>
              <w:pStyle w:val="TableParagraph"/>
              <w:spacing w:line="242" w:lineRule="auto"/>
              <w:ind w:left="107" w:right="93" w:hanging="1"/>
              <w:rPr>
                <w:sz w:val="21"/>
              </w:rPr>
            </w:pPr>
            <w:r>
              <w:rPr>
                <w:spacing w:val="-23"/>
                <w:sz w:val="21"/>
              </w:rPr>
              <w:t>石化、化</w:t>
            </w:r>
            <w:r>
              <w:rPr>
                <w:sz w:val="21"/>
              </w:rPr>
              <w:t>工、医药、轻工、化</w:t>
            </w:r>
            <w:r>
              <w:rPr>
                <w:spacing w:val="-24"/>
                <w:sz w:val="21"/>
              </w:rPr>
              <w:t>纤、有色</w:t>
            </w:r>
            <w:r>
              <w:rPr>
                <w:sz w:val="21"/>
              </w:rPr>
              <w:t>冶炼</w:t>
            </w:r>
          </w:p>
        </w:tc>
        <w:tc>
          <w:tcPr>
            <w:tcW w:w="5103" w:type="dxa"/>
          </w:tcPr>
          <w:p>
            <w:pPr>
              <w:pStyle w:val="TableParagraph"/>
              <w:spacing w:line="242" w:lineRule="auto" w:before="1"/>
              <w:ind w:left="107" w:right="-15"/>
              <w:jc w:val="left"/>
              <w:rPr>
                <w:sz w:val="21"/>
              </w:rPr>
            </w:pPr>
            <w:r>
              <w:rPr>
                <w:spacing w:val="-11"/>
                <w:sz w:val="21"/>
              </w:rPr>
              <w:t>涉及光气及光气化工艺、电解工艺</w:t>
            </w:r>
            <w:r>
              <w:rPr>
                <w:sz w:val="21"/>
              </w:rPr>
              <w:t>（</w:t>
            </w:r>
            <w:r>
              <w:rPr>
                <w:spacing w:val="-2"/>
                <w:sz w:val="21"/>
              </w:rPr>
              <w:t>氯碱</w:t>
            </w:r>
            <w:r>
              <w:rPr>
                <w:spacing w:val="-108"/>
                <w:sz w:val="21"/>
              </w:rPr>
              <w:t>）</w:t>
            </w:r>
            <w:r>
              <w:rPr>
                <w:spacing w:val="-10"/>
                <w:sz w:val="21"/>
              </w:rPr>
              <w:t>、氯化工艺、</w:t>
            </w:r>
            <w:r>
              <w:rPr>
                <w:spacing w:val="-5"/>
                <w:sz w:val="21"/>
              </w:rPr>
              <w:t>硝化工艺、合成氨工艺、裂解</w:t>
            </w:r>
            <w:r>
              <w:rPr>
                <w:spacing w:val="-3"/>
                <w:sz w:val="21"/>
              </w:rPr>
              <w:t>（</w:t>
            </w:r>
            <w:r>
              <w:rPr>
                <w:spacing w:val="-2"/>
                <w:sz w:val="21"/>
              </w:rPr>
              <w:t>裂化</w:t>
            </w:r>
            <w:r>
              <w:rPr>
                <w:sz w:val="21"/>
              </w:rPr>
              <w:t>）</w:t>
            </w:r>
            <w:r>
              <w:rPr>
                <w:spacing w:val="-3"/>
                <w:sz w:val="21"/>
              </w:rPr>
              <w:t>工艺、氟化工</w:t>
            </w:r>
            <w:r>
              <w:rPr>
                <w:spacing w:val="-9"/>
                <w:sz w:val="21"/>
              </w:rPr>
              <w:t>艺、加氢工艺、重氮化工艺、氧化工艺、过氧化工艺、</w:t>
            </w:r>
            <w:r>
              <w:rPr>
                <w:spacing w:val="-5"/>
                <w:sz w:val="21"/>
              </w:rPr>
              <w:t>胺基化工艺、磺化工艺、聚合工艺、烷基化工艺、新</w:t>
            </w:r>
          </w:p>
          <w:p>
            <w:pPr>
              <w:pStyle w:val="TableParagraph"/>
              <w:spacing w:line="250" w:lineRule="exact" w:before="2"/>
              <w:ind w:left="554"/>
              <w:jc w:val="left"/>
              <w:rPr>
                <w:sz w:val="21"/>
              </w:rPr>
            </w:pPr>
            <w:r>
              <w:rPr>
                <w:sz w:val="21"/>
              </w:rPr>
              <w:t>型煤化工工艺、电石生产工艺、偶氮化工艺</w:t>
            </w:r>
          </w:p>
        </w:tc>
        <w:tc>
          <w:tcPr>
            <w:tcW w:w="991" w:type="dxa"/>
          </w:tcPr>
          <w:p>
            <w:pPr>
              <w:pStyle w:val="TableParagraph"/>
              <w:jc w:val="left"/>
              <w:rPr>
                <w:b/>
                <w:sz w:val="22"/>
              </w:rPr>
            </w:pPr>
          </w:p>
          <w:p>
            <w:pPr>
              <w:pStyle w:val="TableParagraph"/>
              <w:spacing w:before="7"/>
              <w:jc w:val="left"/>
              <w:rPr>
                <w:b/>
                <w:sz w:val="20"/>
              </w:rPr>
            </w:pPr>
          </w:p>
          <w:p>
            <w:pPr>
              <w:pStyle w:val="TableParagraph"/>
              <w:ind w:left="12"/>
              <w:rPr>
                <w:sz w:val="21"/>
              </w:rPr>
            </w:pPr>
            <w:r>
              <w:rPr>
                <w:rFonts w:ascii="Times New Roman" w:eastAsia="Times New Roman"/>
                <w:sz w:val="21"/>
              </w:rPr>
              <w:t>10/</w:t>
            </w:r>
            <w:r>
              <w:rPr>
                <w:sz w:val="21"/>
              </w:rPr>
              <w:t>套</w:t>
            </w:r>
          </w:p>
        </w:tc>
        <w:tc>
          <w:tcPr>
            <w:tcW w:w="1985" w:type="dxa"/>
          </w:tcPr>
          <w:p>
            <w:pPr>
              <w:pStyle w:val="TableParagraph"/>
              <w:jc w:val="left"/>
              <w:rPr>
                <w:b/>
                <w:sz w:val="20"/>
              </w:rPr>
            </w:pPr>
          </w:p>
          <w:p>
            <w:pPr>
              <w:pStyle w:val="TableParagraph"/>
              <w:spacing w:line="244" w:lineRule="auto" w:before="152"/>
              <w:ind w:left="886" w:right="47" w:hanging="779"/>
              <w:jc w:val="left"/>
              <w:rPr>
                <w:sz w:val="21"/>
              </w:rPr>
            </w:pPr>
            <w:r>
              <w:rPr>
                <w:sz w:val="21"/>
              </w:rPr>
              <w:t>不涉及以上工艺，</w:t>
            </w:r>
            <w:r>
              <w:rPr>
                <w:rFonts w:ascii="Times New Roman" w:eastAsia="Times New Roman"/>
                <w:sz w:val="21"/>
              </w:rPr>
              <w:t>0 </w:t>
            </w:r>
            <w:r>
              <w:rPr>
                <w:sz w:val="21"/>
              </w:rPr>
              <w:t>分</w:t>
            </w:r>
          </w:p>
        </w:tc>
      </w:tr>
      <w:tr>
        <w:trPr>
          <w:trHeight w:val="285" w:hRule="atLeast"/>
        </w:trPr>
        <w:tc>
          <w:tcPr>
            <w:tcW w:w="984" w:type="dxa"/>
            <w:vMerge/>
            <w:tcBorders>
              <w:top w:val="nil"/>
            </w:tcBorders>
          </w:tcPr>
          <w:p>
            <w:pPr>
              <w:rPr>
                <w:sz w:val="2"/>
                <w:szCs w:val="2"/>
              </w:rPr>
            </w:pPr>
          </w:p>
        </w:tc>
        <w:tc>
          <w:tcPr>
            <w:tcW w:w="5103" w:type="dxa"/>
          </w:tcPr>
          <w:p>
            <w:pPr>
              <w:pStyle w:val="TableParagraph"/>
              <w:spacing w:line="257" w:lineRule="exact" w:before="8"/>
              <w:ind w:left="27" w:right="21"/>
              <w:rPr>
                <w:sz w:val="21"/>
              </w:rPr>
            </w:pPr>
            <w:r>
              <w:rPr>
                <w:sz w:val="21"/>
              </w:rPr>
              <w:t>无机酸制造工艺、焦化工艺</w:t>
            </w:r>
          </w:p>
        </w:tc>
        <w:tc>
          <w:tcPr>
            <w:tcW w:w="991" w:type="dxa"/>
          </w:tcPr>
          <w:p>
            <w:pPr>
              <w:pStyle w:val="TableParagraph"/>
              <w:spacing w:line="257" w:lineRule="exact" w:before="8"/>
              <w:ind w:left="8"/>
              <w:rPr>
                <w:sz w:val="21"/>
              </w:rPr>
            </w:pPr>
            <w:r>
              <w:rPr>
                <w:rFonts w:ascii="Times New Roman" w:eastAsia="Times New Roman"/>
                <w:sz w:val="21"/>
              </w:rPr>
              <w:t>5/</w:t>
            </w:r>
            <w:r>
              <w:rPr>
                <w:sz w:val="21"/>
              </w:rPr>
              <w:t>套</w:t>
            </w:r>
          </w:p>
        </w:tc>
        <w:tc>
          <w:tcPr>
            <w:tcW w:w="1985" w:type="dxa"/>
          </w:tcPr>
          <w:p>
            <w:pPr>
              <w:pStyle w:val="TableParagraph"/>
              <w:spacing w:line="257" w:lineRule="exact" w:before="8"/>
              <w:ind w:left="43" w:right="30"/>
              <w:rPr>
                <w:sz w:val="21"/>
              </w:rPr>
            </w:pPr>
            <w:r>
              <w:rPr>
                <w:sz w:val="21"/>
              </w:rPr>
              <w:t>不属于该工艺，</w:t>
            </w:r>
            <w:r>
              <w:rPr>
                <w:rFonts w:ascii="Times New Roman" w:eastAsia="Times New Roman"/>
                <w:sz w:val="21"/>
              </w:rPr>
              <w:t>0 </w:t>
            </w:r>
            <w:r>
              <w:rPr>
                <w:sz w:val="21"/>
              </w:rPr>
              <w:t>分</w:t>
            </w:r>
          </w:p>
        </w:tc>
      </w:tr>
      <w:tr>
        <w:trPr>
          <w:trHeight w:val="544" w:hRule="atLeast"/>
        </w:trPr>
        <w:tc>
          <w:tcPr>
            <w:tcW w:w="984" w:type="dxa"/>
            <w:vMerge/>
            <w:tcBorders>
              <w:top w:val="nil"/>
            </w:tcBorders>
          </w:tcPr>
          <w:p>
            <w:pPr>
              <w:rPr>
                <w:sz w:val="2"/>
                <w:szCs w:val="2"/>
              </w:rPr>
            </w:pPr>
          </w:p>
        </w:tc>
        <w:tc>
          <w:tcPr>
            <w:tcW w:w="5103" w:type="dxa"/>
          </w:tcPr>
          <w:p>
            <w:pPr>
              <w:pStyle w:val="TableParagraph"/>
              <w:spacing w:before="1"/>
              <w:ind w:left="33" w:right="21"/>
              <w:rPr>
                <w:sz w:val="21"/>
              </w:rPr>
            </w:pPr>
            <w:r>
              <w:rPr>
                <w:sz w:val="21"/>
              </w:rPr>
              <w:t>其他高温或高压、且涉及危险物质的工艺过程 </w:t>
            </w:r>
            <w:r>
              <w:rPr>
                <w:rFonts w:ascii="Times New Roman" w:eastAsia="Times New Roman"/>
                <w:position w:val="7"/>
                <w:sz w:val="14"/>
              </w:rPr>
              <w:t>a</w:t>
            </w:r>
            <w:r>
              <w:rPr>
                <w:sz w:val="21"/>
              </w:rPr>
              <w:t>、危险</w:t>
            </w:r>
          </w:p>
          <w:p>
            <w:pPr>
              <w:pStyle w:val="TableParagraph"/>
              <w:spacing w:line="250" w:lineRule="exact" w:before="4"/>
              <w:ind w:left="31" w:right="21"/>
              <w:rPr>
                <w:sz w:val="21"/>
              </w:rPr>
            </w:pPr>
            <w:r>
              <w:rPr>
                <w:sz w:val="21"/>
              </w:rPr>
              <w:t>物质储存罐区</w:t>
            </w:r>
          </w:p>
        </w:tc>
        <w:tc>
          <w:tcPr>
            <w:tcW w:w="991" w:type="dxa"/>
          </w:tcPr>
          <w:p>
            <w:pPr>
              <w:pStyle w:val="TableParagraph"/>
              <w:spacing w:before="1"/>
              <w:ind w:left="8"/>
              <w:rPr>
                <w:sz w:val="21"/>
              </w:rPr>
            </w:pPr>
            <w:r>
              <w:rPr>
                <w:rFonts w:ascii="Times New Roman" w:eastAsia="Times New Roman"/>
                <w:sz w:val="21"/>
              </w:rPr>
              <w:t>5/</w:t>
            </w:r>
            <w:r>
              <w:rPr>
                <w:sz w:val="21"/>
              </w:rPr>
              <w:t>套</w:t>
            </w:r>
          </w:p>
          <w:p>
            <w:pPr>
              <w:pStyle w:val="TableParagraph"/>
              <w:spacing w:line="250" w:lineRule="exact" w:before="4"/>
              <w:ind w:left="77"/>
              <w:rPr>
                <w:sz w:val="21"/>
              </w:rPr>
            </w:pPr>
            <w:r>
              <w:rPr>
                <w:sz w:val="21"/>
              </w:rPr>
              <w:t>（罐区）</w:t>
            </w:r>
          </w:p>
        </w:tc>
        <w:tc>
          <w:tcPr>
            <w:tcW w:w="1985" w:type="dxa"/>
          </w:tcPr>
          <w:p>
            <w:pPr>
              <w:pStyle w:val="TableParagraph"/>
              <w:spacing w:before="1"/>
              <w:ind w:left="43" w:right="33"/>
              <w:rPr>
                <w:sz w:val="21"/>
              </w:rPr>
            </w:pPr>
            <w:r>
              <w:rPr>
                <w:sz w:val="21"/>
              </w:rPr>
              <w:t>设置危险物质储存</w:t>
            </w:r>
          </w:p>
          <w:p>
            <w:pPr>
              <w:pStyle w:val="TableParagraph"/>
              <w:spacing w:line="250" w:lineRule="exact" w:before="4"/>
              <w:ind w:left="43" w:right="30"/>
              <w:rPr>
                <w:sz w:val="21"/>
              </w:rPr>
            </w:pPr>
            <w:r>
              <w:rPr>
                <w:sz w:val="21"/>
              </w:rPr>
              <w:t>罐区 </w:t>
            </w:r>
            <w:r>
              <w:rPr>
                <w:rFonts w:ascii="Times New Roman" w:eastAsia="Times New Roman"/>
                <w:sz w:val="21"/>
              </w:rPr>
              <w:t>1 </w:t>
            </w:r>
            <w:r>
              <w:rPr>
                <w:sz w:val="21"/>
              </w:rPr>
              <w:t>处，</w:t>
            </w:r>
            <w:r>
              <w:rPr>
                <w:rFonts w:ascii="Times New Roman" w:eastAsia="Times New Roman"/>
                <w:sz w:val="21"/>
              </w:rPr>
              <w:t>5 </w:t>
            </w:r>
            <w:r>
              <w:rPr>
                <w:sz w:val="21"/>
              </w:rPr>
              <w:t>分</w:t>
            </w:r>
          </w:p>
        </w:tc>
      </w:tr>
      <w:tr>
        <w:trPr>
          <w:trHeight w:val="818" w:hRule="atLeast"/>
        </w:trPr>
        <w:tc>
          <w:tcPr>
            <w:tcW w:w="984" w:type="dxa"/>
          </w:tcPr>
          <w:p>
            <w:pPr>
              <w:pStyle w:val="TableParagraph"/>
              <w:spacing w:before="1"/>
              <w:ind w:left="146" w:hanging="39"/>
              <w:jc w:val="left"/>
              <w:rPr>
                <w:sz w:val="21"/>
              </w:rPr>
            </w:pPr>
            <w:r>
              <w:rPr>
                <w:sz w:val="21"/>
              </w:rPr>
              <w:t>管道、港</w:t>
            </w:r>
          </w:p>
          <w:p>
            <w:pPr>
              <w:pStyle w:val="TableParagraph"/>
              <w:spacing w:line="270" w:lineRule="atLeast" w:before="4"/>
              <w:ind w:left="386" w:right="134" w:hanging="240"/>
              <w:jc w:val="left"/>
              <w:rPr>
                <w:sz w:val="21"/>
              </w:rPr>
            </w:pPr>
            <w:r>
              <w:rPr>
                <w:sz w:val="21"/>
              </w:rPr>
              <w:t>口</w:t>
            </w:r>
            <w:r>
              <w:rPr>
                <w:rFonts w:ascii="Times New Roman" w:eastAsia="Times New Roman"/>
                <w:sz w:val="21"/>
              </w:rPr>
              <w:t>/</w:t>
            </w:r>
            <w:r>
              <w:rPr>
                <w:sz w:val="21"/>
              </w:rPr>
              <w:t>码头等</w:t>
            </w:r>
          </w:p>
        </w:tc>
        <w:tc>
          <w:tcPr>
            <w:tcW w:w="5103" w:type="dxa"/>
          </w:tcPr>
          <w:p>
            <w:pPr>
              <w:pStyle w:val="TableParagraph"/>
              <w:spacing w:before="6"/>
              <w:jc w:val="left"/>
              <w:rPr>
                <w:b/>
                <w:sz w:val="21"/>
              </w:rPr>
            </w:pPr>
          </w:p>
          <w:p>
            <w:pPr>
              <w:pStyle w:val="TableParagraph"/>
              <w:ind w:left="32" w:right="21"/>
              <w:rPr>
                <w:sz w:val="21"/>
              </w:rPr>
            </w:pPr>
            <w:r>
              <w:rPr>
                <w:sz w:val="21"/>
              </w:rPr>
              <w:t>涉及危险物质管道运输项目、港口</w:t>
            </w:r>
            <w:r>
              <w:rPr>
                <w:rFonts w:ascii="Times New Roman" w:eastAsia="Times New Roman"/>
                <w:sz w:val="21"/>
              </w:rPr>
              <w:t>/</w:t>
            </w:r>
            <w:r>
              <w:rPr>
                <w:sz w:val="21"/>
              </w:rPr>
              <w:t>码头等</w:t>
            </w:r>
          </w:p>
        </w:tc>
        <w:tc>
          <w:tcPr>
            <w:tcW w:w="991" w:type="dxa"/>
          </w:tcPr>
          <w:p>
            <w:pPr>
              <w:pStyle w:val="TableParagraph"/>
              <w:spacing w:before="7"/>
              <w:jc w:val="left"/>
              <w:rPr>
                <w:b/>
                <w:sz w:val="22"/>
              </w:rPr>
            </w:pPr>
          </w:p>
          <w:p>
            <w:pPr>
              <w:pStyle w:val="TableParagraph"/>
              <w:ind w:left="8"/>
              <w:rPr>
                <w:rFonts w:ascii="Times New Roman"/>
                <w:sz w:val="21"/>
              </w:rPr>
            </w:pPr>
            <w:r>
              <w:rPr>
                <w:rFonts w:ascii="Times New Roman"/>
                <w:sz w:val="21"/>
              </w:rPr>
              <w:t>10</w:t>
            </w:r>
          </w:p>
        </w:tc>
        <w:tc>
          <w:tcPr>
            <w:tcW w:w="1985" w:type="dxa"/>
            <w:vMerge w:val="restart"/>
          </w:tcPr>
          <w:p>
            <w:pPr>
              <w:pStyle w:val="TableParagraph"/>
              <w:jc w:val="left"/>
              <w:rPr>
                <w:b/>
                <w:sz w:val="22"/>
              </w:rPr>
            </w:pPr>
          </w:p>
          <w:p>
            <w:pPr>
              <w:pStyle w:val="TableParagraph"/>
              <w:jc w:val="left"/>
              <w:rPr>
                <w:b/>
                <w:sz w:val="22"/>
              </w:rPr>
            </w:pPr>
          </w:p>
          <w:p>
            <w:pPr>
              <w:pStyle w:val="TableParagraph"/>
              <w:spacing w:before="1"/>
              <w:jc w:val="left"/>
              <w:rPr>
                <w:b/>
                <w:sz w:val="21"/>
              </w:rPr>
            </w:pPr>
          </w:p>
          <w:p>
            <w:pPr>
              <w:pStyle w:val="TableParagraph"/>
              <w:ind w:left="204"/>
              <w:jc w:val="left"/>
              <w:rPr>
                <w:rFonts w:ascii="Times New Roman" w:eastAsia="Times New Roman"/>
                <w:sz w:val="21"/>
              </w:rPr>
            </w:pPr>
            <w:r>
              <w:rPr>
                <w:sz w:val="21"/>
              </w:rPr>
              <w:t>不属于该行业，</w:t>
            </w:r>
            <w:r>
              <w:rPr>
                <w:rFonts w:ascii="Times New Roman" w:eastAsia="Times New Roman"/>
                <w:sz w:val="21"/>
              </w:rPr>
              <w:t>0</w:t>
            </w:r>
          </w:p>
        </w:tc>
      </w:tr>
      <w:tr>
        <w:trPr>
          <w:trHeight w:val="815" w:hRule="atLeast"/>
        </w:trPr>
        <w:tc>
          <w:tcPr>
            <w:tcW w:w="984" w:type="dxa"/>
          </w:tcPr>
          <w:p>
            <w:pPr>
              <w:pStyle w:val="TableParagraph"/>
              <w:spacing w:line="242" w:lineRule="auto" w:before="138"/>
              <w:ind w:left="280" w:right="163" w:hanging="106"/>
              <w:jc w:val="left"/>
              <w:rPr>
                <w:sz w:val="21"/>
              </w:rPr>
            </w:pPr>
            <w:r>
              <w:rPr>
                <w:sz w:val="21"/>
              </w:rPr>
              <w:t>石油天然气</w:t>
            </w:r>
          </w:p>
        </w:tc>
        <w:tc>
          <w:tcPr>
            <w:tcW w:w="5103" w:type="dxa"/>
          </w:tcPr>
          <w:p>
            <w:pPr>
              <w:pStyle w:val="TableParagraph"/>
              <w:spacing w:line="242" w:lineRule="auto" w:before="1"/>
              <w:ind w:left="107" w:right="95"/>
              <w:rPr>
                <w:rFonts w:ascii="Times New Roman" w:eastAsia="Times New Roman"/>
                <w:sz w:val="21"/>
              </w:rPr>
            </w:pPr>
            <w:r>
              <w:rPr>
                <w:spacing w:val="-7"/>
                <w:w w:val="100"/>
                <w:sz w:val="21"/>
              </w:rPr>
              <w:t>石油、天然气、页岩气开采</w:t>
            </w:r>
            <w:r>
              <w:rPr>
                <w:w w:val="100"/>
                <w:sz w:val="21"/>
              </w:rPr>
              <w:t>（</w:t>
            </w:r>
            <w:r>
              <w:rPr>
                <w:spacing w:val="-3"/>
                <w:w w:val="100"/>
                <w:sz w:val="21"/>
              </w:rPr>
              <w:t>含净化</w:t>
            </w:r>
            <w:r>
              <w:rPr>
                <w:spacing w:val="-106"/>
                <w:w w:val="100"/>
                <w:sz w:val="21"/>
              </w:rPr>
              <w:t>）</w:t>
            </w:r>
            <w:r>
              <w:rPr>
                <w:spacing w:val="-9"/>
                <w:w w:val="100"/>
                <w:sz w:val="21"/>
              </w:rPr>
              <w:t>，气库</w:t>
            </w:r>
            <w:r>
              <w:rPr>
                <w:w w:val="100"/>
                <w:sz w:val="21"/>
              </w:rPr>
              <w:t>（</w:t>
            </w:r>
            <w:r>
              <w:rPr>
                <w:spacing w:val="-2"/>
                <w:w w:val="100"/>
                <w:sz w:val="21"/>
              </w:rPr>
              <w:t>不含加</w:t>
            </w:r>
            <w:r>
              <w:rPr>
                <w:spacing w:val="-3"/>
                <w:sz w:val="21"/>
              </w:rPr>
              <w:t>气站的气库</w:t>
            </w:r>
            <w:r>
              <w:rPr>
                <w:spacing w:val="-71"/>
                <w:sz w:val="21"/>
              </w:rPr>
              <w:t>）</w:t>
            </w:r>
            <w:r>
              <w:rPr>
                <w:spacing w:val="-36"/>
                <w:sz w:val="21"/>
              </w:rPr>
              <w:t>，油库</w:t>
            </w:r>
            <w:r>
              <w:rPr>
                <w:sz w:val="21"/>
              </w:rPr>
              <w:t>（</w:t>
            </w:r>
            <w:r>
              <w:rPr>
                <w:spacing w:val="-3"/>
                <w:sz w:val="21"/>
              </w:rPr>
              <w:t>不含加气站的油库</w:t>
            </w:r>
            <w:r>
              <w:rPr>
                <w:spacing w:val="-108"/>
                <w:sz w:val="21"/>
              </w:rPr>
              <w:t>）</w:t>
            </w:r>
            <w:r>
              <w:rPr>
                <w:spacing w:val="-13"/>
                <w:sz w:val="21"/>
              </w:rPr>
              <w:t>、油气管线 </w:t>
            </w:r>
            <w:r>
              <w:rPr>
                <w:rFonts w:ascii="Times New Roman" w:eastAsia="Times New Roman"/>
                <w:sz w:val="21"/>
              </w:rPr>
              <w:t>b</w:t>
            </w:r>
          </w:p>
          <w:p>
            <w:pPr>
              <w:pStyle w:val="TableParagraph"/>
              <w:spacing w:line="250" w:lineRule="exact" w:before="1"/>
              <w:ind w:left="30" w:right="21"/>
              <w:rPr>
                <w:sz w:val="21"/>
              </w:rPr>
            </w:pPr>
            <w:r>
              <w:rPr>
                <w:sz w:val="21"/>
              </w:rPr>
              <w:t>（不含城镇燃气管线）</w:t>
            </w:r>
          </w:p>
        </w:tc>
        <w:tc>
          <w:tcPr>
            <w:tcW w:w="991" w:type="dxa"/>
          </w:tcPr>
          <w:p>
            <w:pPr>
              <w:pStyle w:val="TableParagraph"/>
              <w:spacing w:before="4"/>
              <w:jc w:val="left"/>
              <w:rPr>
                <w:b/>
                <w:sz w:val="22"/>
              </w:rPr>
            </w:pPr>
          </w:p>
          <w:p>
            <w:pPr>
              <w:pStyle w:val="TableParagraph"/>
              <w:ind w:left="8"/>
              <w:rPr>
                <w:rFonts w:ascii="Times New Roman"/>
                <w:sz w:val="21"/>
              </w:rPr>
            </w:pPr>
            <w:r>
              <w:rPr>
                <w:rFonts w:ascii="Times New Roman"/>
                <w:sz w:val="21"/>
              </w:rPr>
              <w:t>10</w:t>
            </w:r>
          </w:p>
        </w:tc>
        <w:tc>
          <w:tcPr>
            <w:tcW w:w="1985" w:type="dxa"/>
            <w:vMerge/>
            <w:tcBorders>
              <w:top w:val="nil"/>
            </w:tcBorders>
          </w:tcPr>
          <w:p>
            <w:pPr>
              <w:rPr>
                <w:sz w:val="2"/>
                <w:szCs w:val="2"/>
              </w:rPr>
            </w:pPr>
          </w:p>
        </w:tc>
      </w:tr>
      <w:tr>
        <w:trPr>
          <w:trHeight w:val="285" w:hRule="atLeast"/>
        </w:trPr>
        <w:tc>
          <w:tcPr>
            <w:tcW w:w="984" w:type="dxa"/>
          </w:tcPr>
          <w:p>
            <w:pPr>
              <w:pStyle w:val="TableParagraph"/>
              <w:spacing w:line="257" w:lineRule="exact" w:before="8"/>
              <w:ind w:left="260" w:right="251"/>
              <w:rPr>
                <w:sz w:val="21"/>
              </w:rPr>
            </w:pPr>
            <w:r>
              <w:rPr>
                <w:sz w:val="21"/>
              </w:rPr>
              <w:t>其他</w:t>
            </w:r>
          </w:p>
        </w:tc>
        <w:tc>
          <w:tcPr>
            <w:tcW w:w="5103" w:type="dxa"/>
          </w:tcPr>
          <w:p>
            <w:pPr>
              <w:pStyle w:val="TableParagraph"/>
              <w:spacing w:line="257" w:lineRule="exact" w:before="8"/>
              <w:ind w:left="32" w:right="21"/>
              <w:rPr>
                <w:sz w:val="21"/>
              </w:rPr>
            </w:pPr>
            <w:r>
              <w:rPr>
                <w:sz w:val="21"/>
              </w:rPr>
              <w:t>涉及危险物质使用、贮存的项目</w:t>
            </w:r>
          </w:p>
        </w:tc>
        <w:tc>
          <w:tcPr>
            <w:tcW w:w="991" w:type="dxa"/>
          </w:tcPr>
          <w:p>
            <w:pPr>
              <w:pStyle w:val="TableParagraph"/>
              <w:spacing w:before="22"/>
              <w:ind w:left="8"/>
              <w:rPr>
                <w:rFonts w:ascii="Times New Roman"/>
                <w:sz w:val="21"/>
              </w:rPr>
            </w:pPr>
            <w:r>
              <w:rPr>
                <w:rFonts w:ascii="Times New Roman"/>
                <w:w w:val="100"/>
                <w:sz w:val="21"/>
              </w:rPr>
              <w:t>5</w:t>
            </w:r>
          </w:p>
        </w:tc>
        <w:tc>
          <w:tcPr>
            <w:tcW w:w="1985" w:type="dxa"/>
            <w:vMerge/>
            <w:tcBorders>
              <w:top w:val="nil"/>
            </w:tcBorders>
          </w:tcPr>
          <w:p>
            <w:pPr>
              <w:rPr>
                <w:sz w:val="2"/>
                <w:szCs w:val="2"/>
              </w:rPr>
            </w:pPr>
          </w:p>
        </w:tc>
      </w:tr>
      <w:tr>
        <w:trPr>
          <w:trHeight w:val="544" w:hRule="atLeast"/>
        </w:trPr>
        <w:tc>
          <w:tcPr>
            <w:tcW w:w="9063" w:type="dxa"/>
            <w:gridSpan w:val="4"/>
          </w:tcPr>
          <w:p>
            <w:pPr>
              <w:pStyle w:val="TableParagraph"/>
              <w:spacing w:before="1"/>
              <w:ind w:left="107"/>
              <w:jc w:val="left"/>
              <w:rPr>
                <w:sz w:val="21"/>
              </w:rPr>
            </w:pPr>
            <w:r>
              <w:rPr>
                <w:rFonts w:ascii="Times New Roman" w:hAnsi="Times New Roman" w:eastAsia="Times New Roman"/>
                <w:sz w:val="21"/>
              </w:rPr>
              <w:t>a</w:t>
            </w:r>
            <w:r>
              <w:rPr>
                <w:sz w:val="21"/>
              </w:rPr>
              <w:t>：高温指工艺温度</w:t>
            </w:r>
            <w:r>
              <w:rPr>
                <w:rFonts w:ascii="Times New Roman" w:hAnsi="Times New Roman" w:eastAsia="Times New Roman"/>
                <w:sz w:val="21"/>
              </w:rPr>
              <w:t>≥300℃</w:t>
            </w:r>
            <w:r>
              <w:rPr>
                <w:sz w:val="21"/>
              </w:rPr>
              <w:t>，高压指压力容器的设计压力（</w:t>
            </w:r>
            <w:r>
              <w:rPr>
                <w:rFonts w:ascii="Times New Roman" w:hAnsi="Times New Roman" w:eastAsia="Times New Roman"/>
                <w:sz w:val="21"/>
              </w:rPr>
              <w:t>p</w:t>
            </w:r>
            <w:r>
              <w:rPr>
                <w:sz w:val="21"/>
              </w:rPr>
              <w:t>）</w:t>
            </w:r>
            <w:r>
              <w:rPr>
                <w:rFonts w:ascii="Times New Roman" w:hAnsi="Times New Roman" w:eastAsia="Times New Roman"/>
                <w:sz w:val="21"/>
              </w:rPr>
              <w:t>≥10.0MPa</w:t>
            </w:r>
            <w:r>
              <w:rPr>
                <w:sz w:val="21"/>
              </w:rPr>
              <w:t>；</w:t>
            </w:r>
          </w:p>
          <w:p>
            <w:pPr>
              <w:pStyle w:val="TableParagraph"/>
              <w:spacing w:line="252" w:lineRule="exact" w:before="2"/>
              <w:ind w:left="107"/>
              <w:jc w:val="left"/>
              <w:rPr>
                <w:sz w:val="21"/>
              </w:rPr>
            </w:pPr>
            <w:r>
              <w:rPr>
                <w:rFonts w:ascii="Times New Roman" w:eastAsia="Times New Roman"/>
                <w:sz w:val="21"/>
              </w:rPr>
              <w:t>b</w:t>
            </w:r>
            <w:r>
              <w:rPr>
                <w:sz w:val="21"/>
              </w:rPr>
              <w:t>：长输管道运输项目应按站场、管线分段进行评价。</w:t>
            </w:r>
          </w:p>
        </w:tc>
      </w:tr>
    </w:tbl>
    <w:p>
      <w:pPr>
        <w:spacing w:after="0" w:line="252" w:lineRule="exact"/>
        <w:jc w:val="left"/>
        <w:rPr>
          <w:sz w:val="21"/>
        </w:rPr>
        <w:sectPr>
          <w:pgSz w:w="11910" w:h="16840"/>
          <w:pgMar w:header="872" w:footer="945" w:top="1320" w:bottom="1140" w:left="1200" w:right="1180"/>
        </w:sectPr>
      </w:pPr>
    </w:p>
    <w:p>
      <w:pPr>
        <w:pStyle w:val="BodyText"/>
        <w:spacing w:before="84"/>
        <w:ind w:left="698"/>
      </w:pPr>
      <w:r>
        <w:rPr/>
        <w:t>根据上表可以知</w:t>
      </w:r>
      <w:r>
        <w:rPr>
          <w:rFonts w:ascii="Times New Roman" w:eastAsia="Times New Roman"/>
        </w:rPr>
        <w:t>M</w:t>
      </w:r>
      <w:r>
        <w:rPr/>
        <w:t>值为</w:t>
      </w:r>
      <w:r>
        <w:rPr>
          <w:rFonts w:ascii="Times New Roman" w:eastAsia="Times New Roman"/>
        </w:rPr>
        <w:t>5</w:t>
      </w:r>
      <w:r>
        <w:rPr/>
        <w:t>分，等级为</w:t>
      </w:r>
      <w:r>
        <w:rPr>
          <w:rFonts w:ascii="Times New Roman" w:eastAsia="Times New Roman"/>
        </w:rPr>
        <w:t>M4</w:t>
      </w:r>
      <w:r>
        <w:rPr/>
        <w:t>。</w:t>
      </w:r>
    </w:p>
    <w:p>
      <w:pPr>
        <w:pStyle w:val="ListParagraph"/>
        <w:numPr>
          <w:ilvl w:val="0"/>
          <w:numId w:val="43"/>
        </w:numPr>
        <w:tabs>
          <w:tab w:pos="1300" w:val="left" w:leader="none"/>
        </w:tabs>
        <w:spacing w:line="240" w:lineRule="auto" w:before="159" w:after="0"/>
        <w:ind w:left="1299" w:right="0" w:hanging="602"/>
        <w:jc w:val="left"/>
        <w:rPr>
          <w:sz w:val="24"/>
        </w:rPr>
      </w:pPr>
      <w:r>
        <w:rPr>
          <w:sz w:val="24"/>
        </w:rPr>
        <w:t>危险物质及工艺系统危险性（</w:t>
      </w:r>
      <w:r>
        <w:rPr>
          <w:rFonts w:ascii="Times New Roman" w:eastAsia="Times New Roman"/>
          <w:sz w:val="24"/>
        </w:rPr>
        <w:t>P</w:t>
      </w:r>
      <w:r>
        <w:rPr>
          <w:sz w:val="24"/>
        </w:rPr>
        <w:t>）的确定</w:t>
      </w:r>
    </w:p>
    <w:p>
      <w:pPr>
        <w:pStyle w:val="BodyText"/>
        <w:spacing w:line="362" w:lineRule="auto" w:before="160"/>
        <w:ind w:left="218" w:right="256" w:firstLine="480"/>
      </w:pPr>
      <w:r>
        <w:rPr/>
        <w:t>根据危险物质数量与临界量</w:t>
      </w:r>
      <w:r>
        <w:rPr>
          <w:rFonts w:ascii="Times New Roman" w:eastAsia="Times New Roman"/>
        </w:rPr>
        <w:t>Q</w:t>
      </w:r>
      <w:r>
        <w:rPr/>
        <w:t>和行业及生产工艺</w:t>
      </w:r>
      <w:r>
        <w:rPr>
          <w:rFonts w:ascii="Times New Roman" w:eastAsia="Times New Roman"/>
        </w:rPr>
        <w:t>M</w:t>
      </w:r>
      <w:r>
        <w:rPr/>
        <w:t>，按照风险导则附录</w:t>
      </w:r>
      <w:r>
        <w:rPr>
          <w:rFonts w:ascii="Times New Roman" w:eastAsia="Times New Roman"/>
        </w:rPr>
        <w:t>C</w:t>
      </w:r>
      <w:r>
        <w:rPr/>
        <w:t>表</w:t>
      </w:r>
      <w:r>
        <w:rPr>
          <w:rFonts w:ascii="Times New Roman" w:eastAsia="Times New Roman"/>
        </w:rPr>
        <w:t>C.2</w:t>
      </w:r>
      <w:r>
        <w:rPr/>
        <w:t>确定危险物质及工艺系统危险等级</w:t>
      </w:r>
      <w:r>
        <w:rPr>
          <w:rFonts w:ascii="Times New Roman" w:eastAsia="Times New Roman"/>
        </w:rPr>
        <w:t>P</w:t>
      </w:r>
      <w:r>
        <w:rPr/>
        <w:t>。</w:t>
      </w:r>
    </w:p>
    <w:p>
      <w:pPr>
        <w:pStyle w:val="Heading4"/>
        <w:tabs>
          <w:tab w:pos="3243" w:val="left" w:leader="none"/>
        </w:tabs>
        <w:spacing w:before="147" w:after="29"/>
        <w:ind w:left="2201"/>
        <w:rPr>
          <w:rFonts w:ascii="Times New Roman" w:eastAsia="Times New Roman"/>
        </w:rPr>
      </w:pPr>
      <w:r>
        <w:rPr/>
        <w:t>表</w:t>
      </w:r>
      <w:r>
        <w:rPr>
          <w:spacing w:val="-60"/>
        </w:rPr>
        <w:t> </w:t>
      </w:r>
      <w:r>
        <w:rPr>
          <w:rFonts w:ascii="Times New Roman" w:eastAsia="Times New Roman"/>
        </w:rPr>
        <w:t>8.3-3</w:t>
        <w:tab/>
      </w:r>
      <w:r>
        <w:rPr/>
        <w:t>危险物质及工艺系统危险性等级判断</w:t>
      </w:r>
      <w:r>
        <w:rPr>
          <w:spacing w:val="-57"/>
        </w:rPr>
        <w:t> </w:t>
      </w:r>
      <w:r>
        <w:rPr>
          <w:rFonts w:ascii="Times New Roman" w:eastAsia="Times New Roman"/>
        </w:rPr>
        <w:t>P</w:t>
      </w:r>
    </w:p>
    <w:tbl>
      <w:tblPr>
        <w:tblW w:w="0" w:type="auto"/>
        <w:jc w:val="left"/>
        <w:tblInd w:w="2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726"/>
        <w:gridCol w:w="1859"/>
        <w:gridCol w:w="1856"/>
        <w:gridCol w:w="1858"/>
        <w:gridCol w:w="1729"/>
      </w:tblGrid>
      <w:tr>
        <w:trPr>
          <w:trHeight w:val="282" w:hRule="atLeast"/>
        </w:trPr>
        <w:tc>
          <w:tcPr>
            <w:tcW w:w="1726" w:type="dxa"/>
            <w:vMerge w:val="restart"/>
          </w:tcPr>
          <w:p>
            <w:pPr>
              <w:pStyle w:val="TableParagraph"/>
              <w:spacing w:line="270" w:lineRule="atLeast" w:before="14"/>
              <w:ind w:left="225" w:right="118" w:hanging="104"/>
              <w:jc w:val="left"/>
              <w:rPr>
                <w:rFonts w:ascii="Times New Roman" w:eastAsia="Times New Roman"/>
                <w:b/>
                <w:sz w:val="21"/>
              </w:rPr>
            </w:pPr>
            <w:r>
              <w:rPr>
                <w:b/>
                <w:sz w:val="21"/>
              </w:rPr>
              <w:t>危险物质数量与临界量比值 </w:t>
            </w:r>
            <w:r>
              <w:rPr>
                <w:rFonts w:ascii="Times New Roman" w:eastAsia="Times New Roman"/>
                <w:b/>
                <w:sz w:val="21"/>
              </w:rPr>
              <w:t>Q</w:t>
            </w:r>
          </w:p>
        </w:tc>
        <w:tc>
          <w:tcPr>
            <w:tcW w:w="7302" w:type="dxa"/>
            <w:gridSpan w:val="4"/>
          </w:tcPr>
          <w:p>
            <w:pPr>
              <w:pStyle w:val="TableParagraph"/>
              <w:spacing w:line="257" w:lineRule="exact" w:before="6"/>
              <w:ind w:left="2741" w:right="2735"/>
              <w:rPr>
                <w:rFonts w:ascii="Times New Roman" w:eastAsia="Times New Roman"/>
                <w:b/>
                <w:sz w:val="21"/>
              </w:rPr>
            </w:pPr>
            <w:r>
              <w:rPr>
                <w:b/>
                <w:sz w:val="21"/>
              </w:rPr>
              <w:t>行业及生产工艺 </w:t>
            </w:r>
            <w:r>
              <w:rPr>
                <w:rFonts w:ascii="Times New Roman" w:eastAsia="Times New Roman"/>
                <w:b/>
                <w:sz w:val="21"/>
              </w:rPr>
              <w:t>M</w:t>
            </w:r>
          </w:p>
        </w:tc>
      </w:tr>
      <w:tr>
        <w:trPr>
          <w:trHeight w:val="285" w:hRule="atLeast"/>
        </w:trPr>
        <w:tc>
          <w:tcPr>
            <w:tcW w:w="1726" w:type="dxa"/>
            <w:vMerge/>
            <w:tcBorders>
              <w:top w:val="nil"/>
            </w:tcBorders>
          </w:tcPr>
          <w:p>
            <w:pPr>
              <w:rPr>
                <w:sz w:val="2"/>
                <w:szCs w:val="2"/>
              </w:rPr>
            </w:pPr>
          </w:p>
        </w:tc>
        <w:tc>
          <w:tcPr>
            <w:tcW w:w="1859" w:type="dxa"/>
          </w:tcPr>
          <w:p>
            <w:pPr>
              <w:pStyle w:val="TableParagraph"/>
              <w:spacing w:before="22"/>
              <w:ind w:left="777"/>
              <w:jc w:val="left"/>
              <w:rPr>
                <w:rFonts w:ascii="Times New Roman"/>
                <w:b/>
                <w:sz w:val="21"/>
              </w:rPr>
            </w:pPr>
            <w:r>
              <w:rPr>
                <w:rFonts w:ascii="Times New Roman"/>
                <w:b/>
                <w:sz w:val="21"/>
              </w:rPr>
              <w:t>M1</w:t>
            </w:r>
          </w:p>
        </w:tc>
        <w:tc>
          <w:tcPr>
            <w:tcW w:w="1856" w:type="dxa"/>
          </w:tcPr>
          <w:p>
            <w:pPr>
              <w:pStyle w:val="TableParagraph"/>
              <w:spacing w:before="22"/>
              <w:ind w:left="754" w:right="753"/>
              <w:rPr>
                <w:rFonts w:ascii="Times New Roman"/>
                <w:b/>
                <w:sz w:val="21"/>
              </w:rPr>
            </w:pPr>
            <w:r>
              <w:rPr>
                <w:rFonts w:ascii="Times New Roman"/>
                <w:b/>
                <w:sz w:val="21"/>
              </w:rPr>
              <w:t>M2</w:t>
            </w:r>
          </w:p>
        </w:tc>
        <w:tc>
          <w:tcPr>
            <w:tcW w:w="1858" w:type="dxa"/>
          </w:tcPr>
          <w:p>
            <w:pPr>
              <w:pStyle w:val="TableParagraph"/>
              <w:spacing w:before="22"/>
              <w:ind w:left="756" w:right="753"/>
              <w:rPr>
                <w:rFonts w:ascii="Times New Roman"/>
                <w:b/>
                <w:sz w:val="21"/>
              </w:rPr>
            </w:pPr>
            <w:r>
              <w:rPr>
                <w:rFonts w:ascii="Times New Roman"/>
                <w:b/>
                <w:sz w:val="21"/>
              </w:rPr>
              <w:t>M3</w:t>
            </w:r>
          </w:p>
        </w:tc>
        <w:tc>
          <w:tcPr>
            <w:tcW w:w="1729" w:type="dxa"/>
          </w:tcPr>
          <w:p>
            <w:pPr>
              <w:pStyle w:val="TableParagraph"/>
              <w:spacing w:before="22"/>
              <w:ind w:left="711"/>
              <w:jc w:val="left"/>
              <w:rPr>
                <w:rFonts w:ascii="Times New Roman"/>
                <w:b/>
                <w:sz w:val="21"/>
              </w:rPr>
            </w:pPr>
            <w:r>
              <w:rPr>
                <w:rFonts w:ascii="Times New Roman"/>
                <w:b/>
                <w:sz w:val="21"/>
              </w:rPr>
              <w:t>M4</w:t>
            </w:r>
          </w:p>
        </w:tc>
      </w:tr>
      <w:tr>
        <w:trPr>
          <w:trHeight w:val="283" w:hRule="atLeast"/>
        </w:trPr>
        <w:tc>
          <w:tcPr>
            <w:tcW w:w="1726" w:type="dxa"/>
          </w:tcPr>
          <w:p>
            <w:pPr>
              <w:pStyle w:val="TableParagraph"/>
              <w:spacing w:before="20"/>
              <w:ind w:left="339" w:right="339"/>
              <w:rPr>
                <w:rFonts w:ascii="Times New Roman" w:hAnsi="Times New Roman"/>
                <w:sz w:val="21"/>
              </w:rPr>
            </w:pPr>
            <w:r>
              <w:rPr>
                <w:rFonts w:ascii="Times New Roman" w:hAnsi="Times New Roman"/>
                <w:sz w:val="21"/>
              </w:rPr>
              <w:t>Q≥100</w:t>
            </w:r>
          </w:p>
        </w:tc>
        <w:tc>
          <w:tcPr>
            <w:tcW w:w="1859" w:type="dxa"/>
          </w:tcPr>
          <w:p>
            <w:pPr>
              <w:pStyle w:val="TableParagraph"/>
              <w:spacing w:before="20"/>
              <w:ind w:left="818"/>
              <w:jc w:val="left"/>
              <w:rPr>
                <w:rFonts w:ascii="Times New Roman"/>
                <w:sz w:val="21"/>
              </w:rPr>
            </w:pPr>
            <w:r>
              <w:rPr>
                <w:rFonts w:ascii="Times New Roman"/>
                <w:sz w:val="21"/>
              </w:rPr>
              <w:t>P1</w:t>
            </w:r>
          </w:p>
        </w:tc>
        <w:tc>
          <w:tcPr>
            <w:tcW w:w="1856" w:type="dxa"/>
          </w:tcPr>
          <w:p>
            <w:pPr>
              <w:pStyle w:val="TableParagraph"/>
              <w:spacing w:before="20"/>
              <w:ind w:left="754" w:right="753"/>
              <w:rPr>
                <w:rFonts w:ascii="Times New Roman"/>
                <w:sz w:val="21"/>
              </w:rPr>
            </w:pPr>
            <w:r>
              <w:rPr>
                <w:rFonts w:ascii="Times New Roman"/>
                <w:sz w:val="21"/>
              </w:rPr>
              <w:t>P1</w:t>
            </w:r>
          </w:p>
        </w:tc>
        <w:tc>
          <w:tcPr>
            <w:tcW w:w="1858" w:type="dxa"/>
          </w:tcPr>
          <w:p>
            <w:pPr>
              <w:pStyle w:val="TableParagraph"/>
              <w:spacing w:before="20"/>
              <w:ind w:left="756" w:right="753"/>
              <w:rPr>
                <w:rFonts w:ascii="Times New Roman"/>
                <w:sz w:val="21"/>
              </w:rPr>
            </w:pPr>
            <w:r>
              <w:rPr>
                <w:rFonts w:ascii="Times New Roman"/>
                <w:sz w:val="21"/>
              </w:rPr>
              <w:t>P2</w:t>
            </w:r>
          </w:p>
        </w:tc>
        <w:tc>
          <w:tcPr>
            <w:tcW w:w="1729" w:type="dxa"/>
          </w:tcPr>
          <w:p>
            <w:pPr>
              <w:pStyle w:val="TableParagraph"/>
              <w:spacing w:before="20"/>
              <w:ind w:left="752"/>
              <w:jc w:val="left"/>
              <w:rPr>
                <w:rFonts w:ascii="Times New Roman"/>
                <w:sz w:val="21"/>
              </w:rPr>
            </w:pPr>
            <w:r>
              <w:rPr>
                <w:rFonts w:ascii="Times New Roman"/>
                <w:sz w:val="21"/>
              </w:rPr>
              <w:t>P3</w:t>
            </w:r>
          </w:p>
        </w:tc>
      </w:tr>
      <w:tr>
        <w:trPr>
          <w:trHeight w:val="285" w:hRule="atLeast"/>
        </w:trPr>
        <w:tc>
          <w:tcPr>
            <w:tcW w:w="1726" w:type="dxa"/>
          </w:tcPr>
          <w:p>
            <w:pPr>
              <w:pStyle w:val="TableParagraph"/>
              <w:spacing w:line="257" w:lineRule="exact" w:before="8"/>
              <w:ind w:left="340" w:right="339"/>
              <w:rPr>
                <w:rFonts w:ascii="Times New Roman" w:hAnsi="Times New Roman" w:eastAsia="Times New Roman"/>
                <w:sz w:val="21"/>
              </w:rPr>
            </w:pPr>
            <w:r>
              <w:rPr>
                <w:rFonts w:ascii="Times New Roman" w:hAnsi="Times New Roman" w:eastAsia="Times New Roman"/>
                <w:sz w:val="21"/>
              </w:rPr>
              <w:t>10≤Q</w:t>
            </w:r>
            <w:r>
              <w:rPr>
                <w:sz w:val="21"/>
              </w:rPr>
              <w:t>＜</w:t>
            </w:r>
            <w:r>
              <w:rPr>
                <w:rFonts w:ascii="Times New Roman" w:hAnsi="Times New Roman" w:eastAsia="Times New Roman"/>
                <w:sz w:val="21"/>
              </w:rPr>
              <w:t>100</w:t>
            </w:r>
          </w:p>
        </w:tc>
        <w:tc>
          <w:tcPr>
            <w:tcW w:w="1859" w:type="dxa"/>
          </w:tcPr>
          <w:p>
            <w:pPr>
              <w:pStyle w:val="TableParagraph"/>
              <w:spacing w:before="22"/>
              <w:ind w:left="818"/>
              <w:jc w:val="left"/>
              <w:rPr>
                <w:rFonts w:ascii="Times New Roman"/>
                <w:sz w:val="21"/>
              </w:rPr>
            </w:pPr>
            <w:r>
              <w:rPr>
                <w:rFonts w:ascii="Times New Roman"/>
                <w:sz w:val="21"/>
              </w:rPr>
              <w:t>P1</w:t>
            </w:r>
          </w:p>
        </w:tc>
        <w:tc>
          <w:tcPr>
            <w:tcW w:w="1856" w:type="dxa"/>
          </w:tcPr>
          <w:p>
            <w:pPr>
              <w:pStyle w:val="TableParagraph"/>
              <w:spacing w:before="22"/>
              <w:ind w:left="754" w:right="753"/>
              <w:rPr>
                <w:rFonts w:ascii="Times New Roman"/>
                <w:sz w:val="21"/>
              </w:rPr>
            </w:pPr>
            <w:r>
              <w:rPr>
                <w:rFonts w:ascii="Times New Roman"/>
                <w:sz w:val="21"/>
              </w:rPr>
              <w:t>P2</w:t>
            </w:r>
          </w:p>
        </w:tc>
        <w:tc>
          <w:tcPr>
            <w:tcW w:w="1858" w:type="dxa"/>
          </w:tcPr>
          <w:p>
            <w:pPr>
              <w:pStyle w:val="TableParagraph"/>
              <w:spacing w:before="22"/>
              <w:ind w:left="756" w:right="753"/>
              <w:rPr>
                <w:rFonts w:ascii="Times New Roman"/>
                <w:sz w:val="21"/>
              </w:rPr>
            </w:pPr>
            <w:r>
              <w:rPr>
                <w:rFonts w:ascii="Times New Roman"/>
                <w:sz w:val="21"/>
              </w:rPr>
              <w:t>P3</w:t>
            </w:r>
          </w:p>
        </w:tc>
        <w:tc>
          <w:tcPr>
            <w:tcW w:w="1729" w:type="dxa"/>
          </w:tcPr>
          <w:p>
            <w:pPr>
              <w:pStyle w:val="TableParagraph"/>
              <w:spacing w:before="22"/>
              <w:ind w:left="752"/>
              <w:jc w:val="left"/>
              <w:rPr>
                <w:rFonts w:ascii="Times New Roman"/>
                <w:sz w:val="21"/>
              </w:rPr>
            </w:pPr>
            <w:r>
              <w:rPr>
                <w:rFonts w:ascii="Times New Roman"/>
                <w:sz w:val="21"/>
              </w:rPr>
              <w:t>P4</w:t>
            </w:r>
          </w:p>
        </w:tc>
      </w:tr>
      <w:tr>
        <w:trPr>
          <w:trHeight w:val="283" w:hRule="atLeast"/>
        </w:trPr>
        <w:tc>
          <w:tcPr>
            <w:tcW w:w="1726" w:type="dxa"/>
          </w:tcPr>
          <w:p>
            <w:pPr>
              <w:pStyle w:val="TableParagraph"/>
              <w:spacing w:line="257" w:lineRule="exact" w:before="6"/>
              <w:ind w:left="339" w:right="339"/>
              <w:rPr>
                <w:rFonts w:ascii="Times New Roman" w:hAnsi="Times New Roman" w:eastAsia="Times New Roman"/>
                <w:sz w:val="21"/>
              </w:rPr>
            </w:pPr>
            <w:r>
              <w:rPr>
                <w:rFonts w:ascii="Times New Roman" w:hAnsi="Times New Roman" w:eastAsia="Times New Roman"/>
                <w:sz w:val="21"/>
              </w:rPr>
              <w:t>1≤Q</w:t>
            </w:r>
            <w:r>
              <w:rPr>
                <w:sz w:val="21"/>
              </w:rPr>
              <w:t>＜</w:t>
            </w:r>
            <w:r>
              <w:rPr>
                <w:rFonts w:ascii="Times New Roman" w:hAnsi="Times New Roman" w:eastAsia="Times New Roman"/>
                <w:sz w:val="21"/>
              </w:rPr>
              <w:t>10</w:t>
            </w:r>
          </w:p>
        </w:tc>
        <w:tc>
          <w:tcPr>
            <w:tcW w:w="1859" w:type="dxa"/>
          </w:tcPr>
          <w:p>
            <w:pPr>
              <w:pStyle w:val="TableParagraph"/>
              <w:spacing w:before="20"/>
              <w:ind w:left="818"/>
              <w:jc w:val="left"/>
              <w:rPr>
                <w:rFonts w:ascii="Times New Roman"/>
                <w:sz w:val="21"/>
              </w:rPr>
            </w:pPr>
            <w:r>
              <w:rPr>
                <w:rFonts w:ascii="Times New Roman"/>
                <w:sz w:val="21"/>
              </w:rPr>
              <w:t>P2</w:t>
            </w:r>
          </w:p>
        </w:tc>
        <w:tc>
          <w:tcPr>
            <w:tcW w:w="1856" w:type="dxa"/>
          </w:tcPr>
          <w:p>
            <w:pPr>
              <w:pStyle w:val="TableParagraph"/>
              <w:spacing w:before="20"/>
              <w:ind w:left="754" w:right="753"/>
              <w:rPr>
                <w:rFonts w:ascii="Times New Roman"/>
                <w:sz w:val="21"/>
              </w:rPr>
            </w:pPr>
            <w:r>
              <w:rPr>
                <w:rFonts w:ascii="Times New Roman"/>
                <w:sz w:val="21"/>
              </w:rPr>
              <w:t>P3</w:t>
            </w:r>
          </w:p>
        </w:tc>
        <w:tc>
          <w:tcPr>
            <w:tcW w:w="1858" w:type="dxa"/>
          </w:tcPr>
          <w:p>
            <w:pPr>
              <w:pStyle w:val="TableParagraph"/>
              <w:spacing w:before="20"/>
              <w:ind w:left="756" w:right="753"/>
              <w:rPr>
                <w:rFonts w:ascii="Times New Roman"/>
                <w:sz w:val="21"/>
              </w:rPr>
            </w:pPr>
            <w:r>
              <w:rPr>
                <w:rFonts w:ascii="Times New Roman"/>
                <w:sz w:val="21"/>
              </w:rPr>
              <w:t>P4</w:t>
            </w:r>
          </w:p>
        </w:tc>
        <w:tc>
          <w:tcPr>
            <w:tcW w:w="1729" w:type="dxa"/>
          </w:tcPr>
          <w:p>
            <w:pPr>
              <w:pStyle w:val="TableParagraph"/>
              <w:spacing w:before="20"/>
              <w:ind w:left="752"/>
              <w:jc w:val="left"/>
              <w:rPr>
                <w:rFonts w:ascii="Times New Roman"/>
                <w:sz w:val="21"/>
              </w:rPr>
            </w:pPr>
            <w:r>
              <w:rPr>
                <w:rFonts w:ascii="Times New Roman"/>
                <w:sz w:val="21"/>
              </w:rPr>
              <w:t>P4</w:t>
            </w:r>
          </w:p>
        </w:tc>
      </w:tr>
    </w:tbl>
    <w:p>
      <w:pPr>
        <w:spacing w:before="2"/>
        <w:ind w:left="701" w:right="0" w:firstLine="0"/>
        <w:jc w:val="left"/>
        <w:rPr>
          <w:b/>
          <w:sz w:val="24"/>
        </w:rPr>
      </w:pPr>
      <w:r>
        <w:rPr>
          <w:b/>
          <w:sz w:val="24"/>
        </w:rPr>
        <w:t>对照表格可得，本项目</w:t>
      </w:r>
      <w:r>
        <w:rPr>
          <w:rFonts w:ascii="Times New Roman" w:eastAsia="Times New Roman"/>
          <w:b/>
          <w:sz w:val="24"/>
        </w:rPr>
        <w:t>P</w:t>
      </w:r>
      <w:r>
        <w:rPr>
          <w:b/>
          <w:sz w:val="24"/>
        </w:rPr>
        <w:t>等级为</w:t>
      </w:r>
      <w:r>
        <w:rPr>
          <w:rFonts w:ascii="Times New Roman" w:eastAsia="Times New Roman"/>
          <w:b/>
          <w:sz w:val="24"/>
        </w:rPr>
        <w:t>P4</w:t>
      </w:r>
      <w:r>
        <w:rPr>
          <w:b/>
          <w:sz w:val="24"/>
        </w:rPr>
        <w:t>。</w:t>
      </w:r>
    </w:p>
    <w:p>
      <w:pPr>
        <w:pStyle w:val="BodyText"/>
        <w:spacing w:before="161"/>
        <w:ind w:left="698"/>
      </w:pPr>
      <w:r>
        <w:rPr>
          <w:rFonts w:ascii="Times New Roman" w:eastAsia="Times New Roman"/>
        </w:rPr>
        <w:t>2</w:t>
      </w:r>
      <w:r>
        <w:rPr/>
        <w:t>、</w:t>
      </w:r>
      <w:r>
        <w:rPr>
          <w:rFonts w:ascii="Times New Roman" w:eastAsia="Times New Roman"/>
        </w:rPr>
        <w:t>E</w:t>
      </w:r>
      <w:r>
        <w:rPr/>
        <w:t>的分级确定</w:t>
      </w:r>
    </w:p>
    <w:p>
      <w:pPr>
        <w:pStyle w:val="ListParagraph"/>
        <w:numPr>
          <w:ilvl w:val="0"/>
          <w:numId w:val="44"/>
        </w:numPr>
        <w:tabs>
          <w:tab w:pos="1300" w:val="left" w:leader="none"/>
        </w:tabs>
        <w:spacing w:line="240" w:lineRule="auto" w:before="158" w:after="0"/>
        <w:ind w:left="1299" w:right="0" w:hanging="602"/>
        <w:jc w:val="left"/>
        <w:rPr>
          <w:sz w:val="24"/>
        </w:rPr>
      </w:pPr>
      <w:r>
        <w:rPr>
          <w:sz w:val="24"/>
        </w:rPr>
        <w:t>大气环境</w:t>
      </w:r>
    </w:p>
    <w:p>
      <w:pPr>
        <w:pStyle w:val="BodyText"/>
        <w:spacing w:line="364" w:lineRule="auto" w:before="161"/>
        <w:ind w:left="218" w:right="235" w:firstLine="480"/>
        <w:jc w:val="both"/>
      </w:pPr>
      <w:r>
        <w:rPr/>
        <w:t>依据环境敏感目标环境敏感性及人口密度划分环境风险受体的敏感性共分三种类型，</w:t>
      </w:r>
      <w:r>
        <w:rPr>
          <w:rFonts w:ascii="Times New Roman" w:eastAsia="Times New Roman"/>
        </w:rPr>
        <w:t>E1</w:t>
      </w:r>
      <w:r>
        <w:rPr/>
        <w:t>为环境高度敏感区，</w:t>
      </w:r>
      <w:r>
        <w:rPr>
          <w:rFonts w:ascii="Times New Roman" w:eastAsia="Times New Roman"/>
        </w:rPr>
        <w:t>E2</w:t>
      </w:r>
      <w:r>
        <w:rPr/>
        <w:t>为环境中度敏感区，</w:t>
      </w:r>
      <w:r>
        <w:rPr>
          <w:rFonts w:ascii="Times New Roman" w:eastAsia="Times New Roman"/>
        </w:rPr>
        <w:t>E3</w:t>
      </w:r>
      <w:r>
        <w:rPr/>
        <w:t>为环境低度敏感区，分级原则见下表。</w:t>
      </w:r>
    </w:p>
    <w:p>
      <w:pPr>
        <w:pStyle w:val="Heading4"/>
        <w:spacing w:before="138" w:after="29"/>
        <w:ind w:left="3147"/>
        <w:jc w:val="both"/>
      </w:pPr>
      <w:r>
        <w:rPr/>
        <w:t>表 </w:t>
      </w:r>
      <w:r>
        <w:rPr>
          <w:rFonts w:ascii="Times New Roman" w:eastAsia="Times New Roman"/>
        </w:rPr>
        <w:t>8.3-4  </w:t>
      </w:r>
      <w:r>
        <w:rPr/>
        <w:t>大气环境敏感度分级</w:t>
      </w:r>
    </w:p>
    <w:tbl>
      <w:tblPr>
        <w:tblW w:w="0" w:type="auto"/>
        <w:jc w:val="left"/>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6"/>
        <w:gridCol w:w="8248"/>
      </w:tblGrid>
      <w:tr>
        <w:trPr>
          <w:trHeight w:val="285" w:hRule="atLeast"/>
        </w:trPr>
        <w:tc>
          <w:tcPr>
            <w:tcW w:w="866" w:type="dxa"/>
          </w:tcPr>
          <w:p>
            <w:pPr>
              <w:pStyle w:val="TableParagraph"/>
              <w:spacing w:line="257" w:lineRule="exact" w:before="8"/>
              <w:ind w:left="200" w:right="193"/>
              <w:rPr>
                <w:b/>
                <w:sz w:val="21"/>
              </w:rPr>
            </w:pPr>
            <w:r>
              <w:rPr>
                <w:b/>
                <w:sz w:val="21"/>
              </w:rPr>
              <w:t>分级</w:t>
            </w:r>
          </w:p>
        </w:tc>
        <w:tc>
          <w:tcPr>
            <w:tcW w:w="8248" w:type="dxa"/>
          </w:tcPr>
          <w:p>
            <w:pPr>
              <w:pStyle w:val="TableParagraph"/>
              <w:spacing w:line="257" w:lineRule="exact" w:before="8"/>
              <w:ind w:left="3363" w:right="3358"/>
              <w:rPr>
                <w:b/>
                <w:sz w:val="21"/>
              </w:rPr>
            </w:pPr>
            <w:r>
              <w:rPr>
                <w:b/>
                <w:sz w:val="21"/>
              </w:rPr>
              <w:t>大气环境敏感性</w:t>
            </w:r>
          </w:p>
        </w:tc>
      </w:tr>
      <w:tr>
        <w:trPr>
          <w:trHeight w:val="816" w:hRule="atLeast"/>
        </w:trPr>
        <w:tc>
          <w:tcPr>
            <w:tcW w:w="866" w:type="dxa"/>
          </w:tcPr>
          <w:p>
            <w:pPr>
              <w:pStyle w:val="TableParagraph"/>
              <w:spacing w:before="4"/>
              <w:jc w:val="left"/>
              <w:rPr>
                <w:b/>
                <w:sz w:val="22"/>
              </w:rPr>
            </w:pPr>
          </w:p>
          <w:p>
            <w:pPr>
              <w:pStyle w:val="TableParagraph"/>
              <w:ind w:left="200" w:right="188"/>
              <w:rPr>
                <w:rFonts w:ascii="Times New Roman"/>
                <w:sz w:val="21"/>
              </w:rPr>
            </w:pPr>
            <w:r>
              <w:rPr>
                <w:rFonts w:ascii="Times New Roman"/>
                <w:sz w:val="21"/>
              </w:rPr>
              <w:t>E1</w:t>
            </w:r>
          </w:p>
        </w:tc>
        <w:tc>
          <w:tcPr>
            <w:tcW w:w="8248" w:type="dxa"/>
          </w:tcPr>
          <w:p>
            <w:pPr>
              <w:pStyle w:val="TableParagraph"/>
              <w:spacing w:before="1"/>
              <w:ind w:left="105"/>
              <w:jc w:val="left"/>
              <w:rPr>
                <w:rFonts w:ascii="Times New Roman" w:eastAsia="Times New Roman"/>
                <w:sz w:val="21"/>
              </w:rPr>
            </w:pPr>
            <w:r>
              <w:rPr>
                <w:spacing w:val="-14"/>
                <w:sz w:val="21"/>
              </w:rPr>
              <w:t>周边 </w:t>
            </w:r>
            <w:r>
              <w:rPr>
                <w:rFonts w:ascii="Times New Roman" w:eastAsia="Times New Roman"/>
                <w:sz w:val="21"/>
              </w:rPr>
              <w:t>5km</w:t>
            </w:r>
            <w:r>
              <w:rPr>
                <w:rFonts w:ascii="Times New Roman" w:eastAsia="Times New Roman"/>
                <w:spacing w:val="13"/>
                <w:sz w:val="21"/>
              </w:rPr>
              <w:t> </w:t>
            </w:r>
            <w:r>
              <w:rPr>
                <w:spacing w:val="-5"/>
                <w:sz w:val="21"/>
              </w:rPr>
              <w:t>范围内居住区、医疗卫生、文化教育、科研、行政办公等机构人口总数大于 </w:t>
            </w:r>
            <w:r>
              <w:rPr>
                <w:rFonts w:ascii="Times New Roman" w:eastAsia="Times New Roman"/>
                <w:sz w:val="21"/>
              </w:rPr>
              <w:t>5</w:t>
            </w:r>
          </w:p>
          <w:p>
            <w:pPr>
              <w:pStyle w:val="TableParagraph"/>
              <w:spacing w:before="2"/>
              <w:ind w:left="105"/>
              <w:jc w:val="left"/>
              <w:rPr>
                <w:sz w:val="21"/>
              </w:rPr>
            </w:pPr>
            <w:r>
              <w:rPr>
                <w:spacing w:val="-6"/>
                <w:sz w:val="21"/>
              </w:rPr>
              <w:t>万人，或其他需要特殊保护区域；或周边 </w:t>
            </w:r>
            <w:r>
              <w:rPr>
                <w:rFonts w:ascii="Times New Roman" w:eastAsia="Times New Roman"/>
                <w:sz w:val="21"/>
              </w:rPr>
              <w:t>500m</w:t>
            </w:r>
            <w:r>
              <w:rPr>
                <w:rFonts w:ascii="Times New Roman" w:eastAsia="Times New Roman"/>
                <w:spacing w:val="7"/>
                <w:sz w:val="21"/>
              </w:rPr>
              <w:t> </w:t>
            </w:r>
            <w:r>
              <w:rPr>
                <w:spacing w:val="-7"/>
                <w:sz w:val="21"/>
              </w:rPr>
              <w:t>范围内人口总数大于 </w:t>
            </w:r>
            <w:r>
              <w:rPr>
                <w:rFonts w:ascii="Times New Roman" w:eastAsia="Times New Roman"/>
                <w:sz w:val="21"/>
              </w:rPr>
              <w:t>1000</w:t>
            </w:r>
            <w:r>
              <w:rPr>
                <w:rFonts w:ascii="Times New Roman" w:eastAsia="Times New Roman"/>
                <w:spacing w:val="7"/>
                <w:sz w:val="21"/>
              </w:rPr>
              <w:t> </w:t>
            </w:r>
            <w:r>
              <w:rPr>
                <w:spacing w:val="-3"/>
                <w:sz w:val="21"/>
              </w:rPr>
              <w:t>人；油气、化</w:t>
            </w:r>
          </w:p>
          <w:p>
            <w:pPr>
              <w:pStyle w:val="TableParagraph"/>
              <w:spacing w:line="250" w:lineRule="exact" w:before="5"/>
              <w:ind w:left="105"/>
              <w:jc w:val="left"/>
              <w:rPr>
                <w:sz w:val="21"/>
              </w:rPr>
            </w:pPr>
            <w:r>
              <w:rPr>
                <w:sz w:val="21"/>
              </w:rPr>
              <w:t>学品输送管线管段周边 </w:t>
            </w:r>
            <w:r>
              <w:rPr>
                <w:rFonts w:ascii="Times New Roman" w:eastAsia="Times New Roman"/>
                <w:sz w:val="21"/>
              </w:rPr>
              <w:t>200m </w:t>
            </w:r>
            <w:r>
              <w:rPr>
                <w:sz w:val="21"/>
              </w:rPr>
              <w:t>范围内，每千米管段人口数大于 </w:t>
            </w:r>
            <w:r>
              <w:rPr>
                <w:rFonts w:ascii="Times New Roman" w:eastAsia="Times New Roman"/>
                <w:sz w:val="21"/>
              </w:rPr>
              <w:t>200 </w:t>
            </w:r>
            <w:r>
              <w:rPr>
                <w:sz w:val="21"/>
              </w:rPr>
              <w:t>人</w:t>
            </w:r>
          </w:p>
        </w:tc>
      </w:tr>
      <w:tr>
        <w:trPr>
          <w:trHeight w:val="817" w:hRule="atLeast"/>
        </w:trPr>
        <w:tc>
          <w:tcPr>
            <w:tcW w:w="866" w:type="dxa"/>
          </w:tcPr>
          <w:p>
            <w:pPr>
              <w:pStyle w:val="TableParagraph"/>
              <w:spacing w:before="6"/>
              <w:jc w:val="left"/>
              <w:rPr>
                <w:b/>
                <w:sz w:val="22"/>
              </w:rPr>
            </w:pPr>
          </w:p>
          <w:p>
            <w:pPr>
              <w:pStyle w:val="TableParagraph"/>
              <w:ind w:left="200" w:right="188"/>
              <w:rPr>
                <w:rFonts w:ascii="Times New Roman"/>
                <w:sz w:val="21"/>
              </w:rPr>
            </w:pPr>
            <w:r>
              <w:rPr>
                <w:rFonts w:ascii="Times New Roman"/>
                <w:sz w:val="21"/>
              </w:rPr>
              <w:t>E2</w:t>
            </w:r>
          </w:p>
        </w:tc>
        <w:tc>
          <w:tcPr>
            <w:tcW w:w="8248" w:type="dxa"/>
          </w:tcPr>
          <w:p>
            <w:pPr>
              <w:pStyle w:val="TableParagraph"/>
              <w:spacing w:before="3"/>
              <w:ind w:left="105"/>
              <w:jc w:val="left"/>
              <w:rPr>
                <w:rFonts w:ascii="Times New Roman" w:eastAsia="Times New Roman"/>
                <w:sz w:val="21"/>
              </w:rPr>
            </w:pPr>
            <w:r>
              <w:rPr>
                <w:spacing w:val="-14"/>
                <w:sz w:val="21"/>
              </w:rPr>
              <w:t>周边 </w:t>
            </w:r>
            <w:r>
              <w:rPr>
                <w:rFonts w:ascii="Times New Roman" w:eastAsia="Times New Roman"/>
                <w:sz w:val="21"/>
              </w:rPr>
              <w:t>5km</w:t>
            </w:r>
            <w:r>
              <w:rPr>
                <w:rFonts w:ascii="Times New Roman" w:eastAsia="Times New Roman"/>
                <w:spacing w:val="13"/>
                <w:sz w:val="21"/>
              </w:rPr>
              <w:t> </w:t>
            </w:r>
            <w:r>
              <w:rPr>
                <w:spacing w:val="-5"/>
                <w:sz w:val="21"/>
              </w:rPr>
              <w:t>范围内居住区、医疗卫生、文化教育、科研、行政办公等机构人口总数大于 </w:t>
            </w:r>
            <w:r>
              <w:rPr>
                <w:rFonts w:ascii="Times New Roman" w:eastAsia="Times New Roman"/>
                <w:sz w:val="21"/>
              </w:rPr>
              <w:t>1</w:t>
            </w:r>
          </w:p>
          <w:p>
            <w:pPr>
              <w:pStyle w:val="TableParagraph"/>
              <w:spacing w:before="2"/>
              <w:ind w:left="105"/>
              <w:jc w:val="left"/>
              <w:rPr>
                <w:sz w:val="21"/>
              </w:rPr>
            </w:pPr>
            <w:r>
              <w:rPr>
                <w:spacing w:val="-11"/>
                <w:sz w:val="21"/>
              </w:rPr>
              <w:t>万人，小于 </w:t>
            </w:r>
            <w:r>
              <w:rPr>
                <w:rFonts w:ascii="Times New Roman" w:eastAsia="Times New Roman"/>
                <w:sz w:val="21"/>
              </w:rPr>
              <w:t>5</w:t>
            </w:r>
            <w:r>
              <w:rPr>
                <w:rFonts w:ascii="Times New Roman" w:eastAsia="Times New Roman"/>
                <w:spacing w:val="5"/>
                <w:sz w:val="21"/>
              </w:rPr>
              <w:t> </w:t>
            </w:r>
            <w:r>
              <w:rPr>
                <w:spacing w:val="-10"/>
                <w:sz w:val="21"/>
              </w:rPr>
              <w:t>万人；或周边 </w:t>
            </w:r>
            <w:r>
              <w:rPr>
                <w:rFonts w:ascii="Times New Roman" w:eastAsia="Times New Roman"/>
                <w:sz w:val="21"/>
              </w:rPr>
              <w:t>500m </w:t>
            </w:r>
            <w:r>
              <w:rPr>
                <w:spacing w:val="-8"/>
                <w:sz w:val="21"/>
              </w:rPr>
              <w:t>范围内人口总数大于 </w:t>
            </w:r>
            <w:r>
              <w:rPr>
                <w:rFonts w:ascii="Times New Roman" w:eastAsia="Times New Roman"/>
                <w:sz w:val="21"/>
              </w:rPr>
              <w:t>500</w:t>
            </w:r>
            <w:r>
              <w:rPr>
                <w:rFonts w:ascii="Times New Roman" w:eastAsia="Times New Roman"/>
                <w:spacing w:val="5"/>
                <w:sz w:val="21"/>
              </w:rPr>
              <w:t> </w:t>
            </w:r>
            <w:r>
              <w:rPr>
                <w:spacing w:val="-13"/>
                <w:sz w:val="21"/>
              </w:rPr>
              <w:t>人，小于 </w:t>
            </w:r>
            <w:r>
              <w:rPr>
                <w:rFonts w:ascii="Times New Roman" w:eastAsia="Times New Roman"/>
                <w:sz w:val="21"/>
              </w:rPr>
              <w:t>1000</w:t>
            </w:r>
            <w:r>
              <w:rPr>
                <w:rFonts w:ascii="Times New Roman" w:eastAsia="Times New Roman"/>
                <w:spacing w:val="5"/>
                <w:sz w:val="21"/>
              </w:rPr>
              <w:t> </w:t>
            </w:r>
            <w:r>
              <w:rPr>
                <w:spacing w:val="-3"/>
                <w:sz w:val="21"/>
              </w:rPr>
              <w:t>人；油气、化</w:t>
            </w:r>
          </w:p>
          <w:p>
            <w:pPr>
              <w:pStyle w:val="TableParagraph"/>
              <w:spacing w:line="250" w:lineRule="exact" w:before="5"/>
              <w:ind w:left="105"/>
              <w:jc w:val="left"/>
              <w:rPr>
                <w:sz w:val="21"/>
              </w:rPr>
            </w:pPr>
            <w:r>
              <w:rPr>
                <w:sz w:val="21"/>
              </w:rPr>
              <w:t>学品输送管线管段周边 </w:t>
            </w:r>
            <w:r>
              <w:rPr>
                <w:rFonts w:ascii="Times New Roman" w:eastAsia="Times New Roman"/>
                <w:sz w:val="21"/>
              </w:rPr>
              <w:t>200m </w:t>
            </w:r>
            <w:r>
              <w:rPr>
                <w:sz w:val="21"/>
              </w:rPr>
              <w:t>范围内，每千米管段人口数大于 </w:t>
            </w:r>
            <w:r>
              <w:rPr>
                <w:rFonts w:ascii="Times New Roman" w:eastAsia="Times New Roman"/>
                <w:sz w:val="21"/>
              </w:rPr>
              <w:t>100 </w:t>
            </w:r>
            <w:r>
              <w:rPr>
                <w:sz w:val="21"/>
              </w:rPr>
              <w:t>人，小于 </w:t>
            </w:r>
            <w:r>
              <w:rPr>
                <w:rFonts w:ascii="Times New Roman" w:eastAsia="Times New Roman"/>
                <w:sz w:val="21"/>
              </w:rPr>
              <w:t>200 </w:t>
            </w:r>
            <w:r>
              <w:rPr>
                <w:sz w:val="21"/>
              </w:rPr>
              <w:t>人</w:t>
            </w:r>
          </w:p>
        </w:tc>
      </w:tr>
      <w:tr>
        <w:trPr>
          <w:trHeight w:val="817" w:hRule="atLeast"/>
        </w:trPr>
        <w:tc>
          <w:tcPr>
            <w:tcW w:w="866" w:type="dxa"/>
          </w:tcPr>
          <w:p>
            <w:pPr>
              <w:pStyle w:val="TableParagraph"/>
              <w:spacing w:before="6"/>
              <w:jc w:val="left"/>
              <w:rPr>
                <w:b/>
                <w:sz w:val="22"/>
              </w:rPr>
            </w:pPr>
          </w:p>
          <w:p>
            <w:pPr>
              <w:pStyle w:val="TableParagraph"/>
              <w:ind w:left="200" w:right="188"/>
              <w:rPr>
                <w:rFonts w:ascii="Times New Roman"/>
                <w:sz w:val="21"/>
              </w:rPr>
            </w:pPr>
            <w:r>
              <w:rPr>
                <w:rFonts w:ascii="Times New Roman"/>
                <w:sz w:val="21"/>
              </w:rPr>
              <w:t>E3</w:t>
            </w:r>
          </w:p>
        </w:tc>
        <w:tc>
          <w:tcPr>
            <w:tcW w:w="8248" w:type="dxa"/>
          </w:tcPr>
          <w:p>
            <w:pPr>
              <w:pStyle w:val="TableParagraph"/>
              <w:spacing w:before="1"/>
              <w:ind w:left="105"/>
              <w:jc w:val="left"/>
              <w:rPr>
                <w:rFonts w:ascii="Times New Roman" w:eastAsia="Times New Roman"/>
                <w:sz w:val="21"/>
              </w:rPr>
            </w:pPr>
            <w:r>
              <w:rPr>
                <w:sz w:val="21"/>
              </w:rPr>
              <w:t>周边 </w:t>
            </w:r>
            <w:r>
              <w:rPr>
                <w:rFonts w:ascii="Times New Roman" w:eastAsia="Times New Roman"/>
                <w:sz w:val="21"/>
              </w:rPr>
              <w:t>5km </w:t>
            </w:r>
            <w:r>
              <w:rPr>
                <w:sz w:val="21"/>
              </w:rPr>
              <w:t>范围内居住区、医疗卫生、文化教育、科研、行政办公等机构人口总数小于 </w:t>
            </w:r>
            <w:r>
              <w:rPr>
                <w:rFonts w:ascii="Times New Roman" w:eastAsia="Times New Roman"/>
                <w:sz w:val="21"/>
              </w:rPr>
              <w:t>1</w:t>
            </w:r>
          </w:p>
          <w:p>
            <w:pPr>
              <w:pStyle w:val="TableParagraph"/>
              <w:spacing w:before="4"/>
              <w:ind w:left="105"/>
              <w:jc w:val="left"/>
              <w:rPr>
                <w:rFonts w:ascii="Times New Roman" w:eastAsia="Times New Roman"/>
                <w:sz w:val="21"/>
              </w:rPr>
            </w:pPr>
            <w:r>
              <w:rPr>
                <w:spacing w:val="-10"/>
                <w:sz w:val="21"/>
              </w:rPr>
              <w:t>万人；或周边 </w:t>
            </w:r>
            <w:r>
              <w:rPr>
                <w:rFonts w:ascii="Times New Roman" w:eastAsia="Times New Roman"/>
                <w:sz w:val="21"/>
              </w:rPr>
              <w:t>500m </w:t>
            </w:r>
            <w:r>
              <w:rPr>
                <w:spacing w:val="-8"/>
                <w:sz w:val="21"/>
              </w:rPr>
              <w:t>范围内人口总数小于 </w:t>
            </w:r>
            <w:r>
              <w:rPr>
                <w:rFonts w:ascii="Times New Roman" w:eastAsia="Times New Roman"/>
                <w:sz w:val="21"/>
              </w:rPr>
              <w:t>500 </w:t>
            </w:r>
            <w:r>
              <w:rPr>
                <w:spacing w:val="-7"/>
                <w:sz w:val="21"/>
              </w:rPr>
              <w:t>人；油气、化学品输送管线管段周边 </w:t>
            </w:r>
            <w:r>
              <w:rPr>
                <w:rFonts w:ascii="Times New Roman" w:eastAsia="Times New Roman"/>
                <w:sz w:val="21"/>
              </w:rPr>
              <w:t>200m</w:t>
            </w:r>
          </w:p>
          <w:p>
            <w:pPr>
              <w:pStyle w:val="TableParagraph"/>
              <w:spacing w:line="252" w:lineRule="exact" w:before="2"/>
              <w:ind w:left="105"/>
              <w:jc w:val="left"/>
              <w:rPr>
                <w:sz w:val="21"/>
              </w:rPr>
            </w:pPr>
            <w:r>
              <w:rPr>
                <w:sz w:val="21"/>
              </w:rPr>
              <w:t>范围内，每千米管段人口数小于 </w:t>
            </w:r>
            <w:r>
              <w:rPr>
                <w:rFonts w:ascii="Times New Roman" w:eastAsia="Times New Roman"/>
                <w:sz w:val="21"/>
              </w:rPr>
              <w:t>100 </w:t>
            </w:r>
            <w:r>
              <w:rPr>
                <w:sz w:val="21"/>
              </w:rPr>
              <w:t>人</w:t>
            </w:r>
          </w:p>
        </w:tc>
      </w:tr>
    </w:tbl>
    <w:p>
      <w:pPr>
        <w:spacing w:line="362" w:lineRule="auto" w:before="2"/>
        <w:ind w:left="218" w:right="232" w:firstLine="482"/>
        <w:jc w:val="left"/>
        <w:rPr>
          <w:b/>
          <w:sz w:val="24"/>
        </w:rPr>
      </w:pPr>
      <w:r>
        <w:rPr>
          <w:b/>
          <w:sz w:val="24"/>
        </w:rPr>
        <w:t>根据现场调查，企业周边居住区、医疗卫生、文化教育、科研、行政办公等机构</w:t>
      </w:r>
      <w:r>
        <w:rPr>
          <w:rFonts w:ascii="Times New Roman" w:eastAsia="Times New Roman"/>
          <w:b/>
          <w:sz w:val="24"/>
        </w:rPr>
        <w:t>5 </w:t>
      </w:r>
      <w:r>
        <w:rPr>
          <w:b/>
          <w:sz w:val="24"/>
        </w:rPr>
        <w:t>公里范围内人数大于</w:t>
      </w:r>
      <w:r>
        <w:rPr>
          <w:rFonts w:ascii="Times New Roman" w:eastAsia="Times New Roman"/>
          <w:b/>
          <w:sz w:val="24"/>
        </w:rPr>
        <w:t>5</w:t>
      </w:r>
      <w:r>
        <w:rPr>
          <w:b/>
          <w:sz w:val="24"/>
        </w:rPr>
        <w:t>万人，所以项目的大气环境敏感性为</w:t>
      </w:r>
      <w:r>
        <w:rPr>
          <w:rFonts w:ascii="Times New Roman" w:eastAsia="Times New Roman"/>
          <w:b/>
          <w:sz w:val="24"/>
        </w:rPr>
        <w:t>E1</w:t>
      </w:r>
      <w:r>
        <w:rPr>
          <w:b/>
          <w:sz w:val="24"/>
        </w:rPr>
        <w:t>。</w:t>
      </w:r>
    </w:p>
    <w:p>
      <w:pPr>
        <w:pStyle w:val="ListParagraph"/>
        <w:numPr>
          <w:ilvl w:val="0"/>
          <w:numId w:val="44"/>
        </w:numPr>
        <w:tabs>
          <w:tab w:pos="1303" w:val="left" w:leader="none"/>
        </w:tabs>
        <w:spacing w:line="240" w:lineRule="auto" w:before="5" w:after="0"/>
        <w:ind w:left="1302" w:right="0" w:hanging="602"/>
        <w:jc w:val="left"/>
        <w:rPr>
          <w:sz w:val="24"/>
        </w:rPr>
      </w:pPr>
      <w:r>
        <w:rPr>
          <w:sz w:val="24"/>
        </w:rPr>
        <w:t>地表水环境环境敏感程度分级</w:t>
      </w:r>
    </w:p>
    <w:p>
      <w:pPr>
        <w:pStyle w:val="BodyText"/>
        <w:spacing w:line="364" w:lineRule="auto" w:before="158"/>
        <w:ind w:left="218" w:right="233" w:firstLine="482"/>
        <w:jc w:val="both"/>
      </w:pPr>
      <w:r>
        <w:rPr>
          <w:spacing w:val="-3"/>
        </w:rPr>
        <w:t>依据事故情况下危险物质泄漏到水体的排放点受纳地表水体功能敏感性，与下游环</w:t>
      </w:r>
      <w:r>
        <w:rPr>
          <w:spacing w:val="-1"/>
        </w:rPr>
        <w:t>境敏感目标情况，共分为三种类型，</w:t>
      </w:r>
      <w:r>
        <w:rPr>
          <w:rFonts w:ascii="Times New Roman" w:eastAsia="Times New Roman"/>
        </w:rPr>
        <w:t>E1 </w:t>
      </w:r>
      <w:r>
        <w:rPr/>
        <w:t>为环境高度敏感区，</w:t>
      </w:r>
      <w:r>
        <w:rPr>
          <w:rFonts w:ascii="Times New Roman" w:eastAsia="Times New Roman"/>
        </w:rPr>
        <w:t>E2 </w:t>
      </w:r>
      <w:r>
        <w:rPr>
          <w:spacing w:val="-1"/>
        </w:rPr>
        <w:t>为环境中度敏感区，</w:t>
      </w:r>
      <w:r>
        <w:rPr>
          <w:rFonts w:ascii="Times New Roman" w:eastAsia="Times New Roman"/>
          <w:spacing w:val="-6"/>
        </w:rPr>
        <w:t>E3 </w:t>
      </w:r>
      <w:r>
        <w:rPr>
          <w:spacing w:val="-6"/>
        </w:rPr>
        <w:t>为环境低度敏感区，分级原则见下表，其中地表水功能敏感性分区和环境敏感目标分级</w:t>
      </w:r>
      <w:r>
        <w:rPr>
          <w:spacing w:val="-21"/>
        </w:rPr>
        <w:t>见表 </w:t>
      </w:r>
      <w:r>
        <w:rPr>
          <w:rFonts w:ascii="Times New Roman" w:eastAsia="Times New Roman"/>
        </w:rPr>
        <w:t>8.3-5</w:t>
      </w:r>
      <w:r>
        <w:rPr/>
        <w:t>、</w:t>
      </w:r>
      <w:r>
        <w:rPr>
          <w:rFonts w:ascii="Times New Roman" w:eastAsia="Times New Roman"/>
        </w:rPr>
        <w:t>8.3-6</w:t>
      </w:r>
      <w:r>
        <w:rPr/>
        <w:t>。</w:t>
      </w:r>
    </w:p>
    <w:p>
      <w:pPr>
        <w:spacing w:after="0" w:line="364" w:lineRule="auto"/>
        <w:jc w:val="both"/>
        <w:sectPr>
          <w:pgSz w:w="11910" w:h="16840"/>
          <w:pgMar w:header="872" w:footer="945" w:top="1320" w:bottom="1140" w:left="1200" w:right="1180"/>
        </w:sectPr>
      </w:pPr>
    </w:p>
    <w:p>
      <w:pPr>
        <w:pStyle w:val="BodyText"/>
        <w:spacing w:before="11"/>
        <w:rPr>
          <w:sz w:val="11"/>
        </w:rPr>
      </w:pPr>
    </w:p>
    <w:p>
      <w:pPr>
        <w:pStyle w:val="Heading4"/>
        <w:tabs>
          <w:tab w:pos="1041" w:val="left" w:leader="none"/>
        </w:tabs>
        <w:spacing w:before="74" w:after="29"/>
        <w:ind w:left="0" w:right="19"/>
        <w:jc w:val="center"/>
      </w:pPr>
      <w:r>
        <w:rPr/>
        <w:t>表</w:t>
      </w:r>
      <w:r>
        <w:rPr>
          <w:spacing w:val="-60"/>
        </w:rPr>
        <w:t> </w:t>
      </w:r>
      <w:r>
        <w:rPr>
          <w:rFonts w:ascii="Times New Roman" w:eastAsia="Times New Roman"/>
        </w:rPr>
        <w:t>8.3-5</w:t>
        <w:tab/>
      </w:r>
      <w:r>
        <w:rPr/>
        <w:t>地表水环境敏感程度分级</w:t>
      </w:r>
    </w:p>
    <w:tbl>
      <w:tblPr>
        <w:tblW w:w="0" w:type="auto"/>
        <w:jc w:val="left"/>
        <w:tblInd w:w="2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203"/>
        <w:gridCol w:w="2321"/>
        <w:gridCol w:w="2323"/>
        <w:gridCol w:w="2215"/>
      </w:tblGrid>
      <w:tr>
        <w:trPr>
          <w:trHeight w:val="282" w:hRule="atLeast"/>
        </w:trPr>
        <w:tc>
          <w:tcPr>
            <w:tcW w:w="2203" w:type="dxa"/>
            <w:vMerge w:val="restart"/>
          </w:tcPr>
          <w:p>
            <w:pPr>
              <w:pStyle w:val="TableParagraph"/>
              <w:spacing w:before="152"/>
              <w:ind w:left="467"/>
              <w:jc w:val="left"/>
              <w:rPr>
                <w:b/>
                <w:sz w:val="21"/>
              </w:rPr>
            </w:pPr>
            <w:r>
              <w:rPr>
                <w:b/>
                <w:sz w:val="21"/>
              </w:rPr>
              <w:t>环境敏感目标</w:t>
            </w:r>
          </w:p>
        </w:tc>
        <w:tc>
          <w:tcPr>
            <w:tcW w:w="6859" w:type="dxa"/>
            <w:gridSpan w:val="3"/>
          </w:tcPr>
          <w:p>
            <w:pPr>
              <w:pStyle w:val="TableParagraph"/>
              <w:spacing w:line="257" w:lineRule="exact" w:before="6"/>
              <w:ind w:left="2566" w:right="2560"/>
              <w:rPr>
                <w:b/>
                <w:sz w:val="21"/>
              </w:rPr>
            </w:pPr>
            <w:r>
              <w:rPr>
                <w:b/>
                <w:sz w:val="21"/>
              </w:rPr>
              <w:t>地表水功能敏感性</w:t>
            </w:r>
          </w:p>
        </w:tc>
      </w:tr>
      <w:tr>
        <w:trPr>
          <w:trHeight w:val="285" w:hRule="atLeast"/>
        </w:trPr>
        <w:tc>
          <w:tcPr>
            <w:tcW w:w="2203" w:type="dxa"/>
            <w:vMerge/>
            <w:tcBorders>
              <w:top w:val="nil"/>
            </w:tcBorders>
          </w:tcPr>
          <w:p>
            <w:pPr>
              <w:rPr>
                <w:sz w:val="2"/>
                <w:szCs w:val="2"/>
              </w:rPr>
            </w:pPr>
          </w:p>
        </w:tc>
        <w:tc>
          <w:tcPr>
            <w:tcW w:w="2321" w:type="dxa"/>
          </w:tcPr>
          <w:p>
            <w:pPr>
              <w:pStyle w:val="TableParagraph"/>
              <w:spacing w:before="22"/>
              <w:ind w:left="1025" w:right="1017"/>
              <w:rPr>
                <w:rFonts w:ascii="Times New Roman"/>
                <w:b/>
                <w:sz w:val="21"/>
              </w:rPr>
            </w:pPr>
            <w:r>
              <w:rPr>
                <w:rFonts w:ascii="Times New Roman"/>
                <w:b/>
                <w:sz w:val="21"/>
              </w:rPr>
              <w:t>F1</w:t>
            </w:r>
          </w:p>
        </w:tc>
        <w:tc>
          <w:tcPr>
            <w:tcW w:w="2323" w:type="dxa"/>
          </w:tcPr>
          <w:p>
            <w:pPr>
              <w:pStyle w:val="TableParagraph"/>
              <w:spacing w:before="22"/>
              <w:ind w:left="1025" w:right="1018"/>
              <w:rPr>
                <w:rFonts w:ascii="Times New Roman"/>
                <w:b/>
                <w:sz w:val="21"/>
              </w:rPr>
            </w:pPr>
            <w:r>
              <w:rPr>
                <w:rFonts w:ascii="Times New Roman"/>
                <w:b/>
                <w:sz w:val="21"/>
              </w:rPr>
              <w:t>F2</w:t>
            </w:r>
          </w:p>
        </w:tc>
        <w:tc>
          <w:tcPr>
            <w:tcW w:w="2215" w:type="dxa"/>
          </w:tcPr>
          <w:p>
            <w:pPr>
              <w:pStyle w:val="TableParagraph"/>
              <w:spacing w:before="22"/>
              <w:ind w:right="980"/>
              <w:jc w:val="right"/>
              <w:rPr>
                <w:rFonts w:ascii="Times New Roman"/>
                <w:b/>
                <w:sz w:val="21"/>
              </w:rPr>
            </w:pPr>
            <w:r>
              <w:rPr>
                <w:rFonts w:ascii="Times New Roman"/>
                <w:b/>
                <w:sz w:val="21"/>
              </w:rPr>
              <w:t>F3</w:t>
            </w:r>
          </w:p>
        </w:tc>
      </w:tr>
      <w:tr>
        <w:trPr>
          <w:trHeight w:val="283" w:hRule="atLeast"/>
        </w:trPr>
        <w:tc>
          <w:tcPr>
            <w:tcW w:w="2203" w:type="dxa"/>
          </w:tcPr>
          <w:p>
            <w:pPr>
              <w:pStyle w:val="TableParagraph"/>
              <w:spacing w:before="20"/>
              <w:ind w:left="971" w:right="964"/>
              <w:rPr>
                <w:rFonts w:ascii="Times New Roman"/>
                <w:sz w:val="21"/>
              </w:rPr>
            </w:pPr>
            <w:r>
              <w:rPr>
                <w:rFonts w:ascii="Times New Roman"/>
                <w:sz w:val="21"/>
              </w:rPr>
              <w:t>S1</w:t>
            </w:r>
          </w:p>
        </w:tc>
        <w:tc>
          <w:tcPr>
            <w:tcW w:w="2321" w:type="dxa"/>
          </w:tcPr>
          <w:p>
            <w:pPr>
              <w:pStyle w:val="TableParagraph"/>
              <w:spacing w:before="20"/>
              <w:ind w:left="1025" w:right="1017"/>
              <w:rPr>
                <w:rFonts w:ascii="Times New Roman"/>
                <w:sz w:val="21"/>
              </w:rPr>
            </w:pPr>
            <w:r>
              <w:rPr>
                <w:rFonts w:ascii="Times New Roman"/>
                <w:sz w:val="21"/>
              </w:rPr>
              <w:t>E1</w:t>
            </w:r>
          </w:p>
        </w:tc>
        <w:tc>
          <w:tcPr>
            <w:tcW w:w="2323" w:type="dxa"/>
          </w:tcPr>
          <w:p>
            <w:pPr>
              <w:pStyle w:val="TableParagraph"/>
              <w:spacing w:before="20"/>
              <w:ind w:left="1025" w:right="1018"/>
              <w:rPr>
                <w:rFonts w:ascii="Times New Roman"/>
                <w:sz w:val="21"/>
              </w:rPr>
            </w:pPr>
            <w:r>
              <w:rPr>
                <w:rFonts w:ascii="Times New Roman"/>
                <w:sz w:val="21"/>
              </w:rPr>
              <w:t>E1</w:t>
            </w:r>
          </w:p>
        </w:tc>
        <w:tc>
          <w:tcPr>
            <w:tcW w:w="2215" w:type="dxa"/>
          </w:tcPr>
          <w:p>
            <w:pPr>
              <w:pStyle w:val="TableParagraph"/>
              <w:spacing w:before="20"/>
              <w:ind w:right="980"/>
              <w:jc w:val="right"/>
              <w:rPr>
                <w:rFonts w:ascii="Times New Roman"/>
                <w:sz w:val="21"/>
              </w:rPr>
            </w:pPr>
            <w:r>
              <w:rPr>
                <w:rFonts w:ascii="Times New Roman"/>
                <w:sz w:val="21"/>
              </w:rPr>
              <w:t>E2</w:t>
            </w:r>
          </w:p>
        </w:tc>
      </w:tr>
      <w:tr>
        <w:trPr>
          <w:trHeight w:val="282" w:hRule="atLeast"/>
        </w:trPr>
        <w:tc>
          <w:tcPr>
            <w:tcW w:w="2203" w:type="dxa"/>
          </w:tcPr>
          <w:p>
            <w:pPr>
              <w:pStyle w:val="TableParagraph"/>
              <w:spacing w:line="241" w:lineRule="exact" w:before="22"/>
              <w:ind w:left="971" w:right="964"/>
              <w:rPr>
                <w:rFonts w:ascii="Times New Roman"/>
                <w:sz w:val="21"/>
              </w:rPr>
            </w:pPr>
            <w:r>
              <w:rPr>
                <w:rFonts w:ascii="Times New Roman"/>
                <w:sz w:val="21"/>
              </w:rPr>
              <w:t>S2</w:t>
            </w:r>
          </w:p>
        </w:tc>
        <w:tc>
          <w:tcPr>
            <w:tcW w:w="2321" w:type="dxa"/>
          </w:tcPr>
          <w:p>
            <w:pPr>
              <w:pStyle w:val="TableParagraph"/>
              <w:spacing w:line="241" w:lineRule="exact" w:before="22"/>
              <w:ind w:left="1025" w:right="1017"/>
              <w:rPr>
                <w:rFonts w:ascii="Times New Roman"/>
                <w:sz w:val="21"/>
              </w:rPr>
            </w:pPr>
            <w:r>
              <w:rPr>
                <w:rFonts w:ascii="Times New Roman"/>
                <w:sz w:val="21"/>
              </w:rPr>
              <w:t>E1</w:t>
            </w:r>
          </w:p>
        </w:tc>
        <w:tc>
          <w:tcPr>
            <w:tcW w:w="2323" w:type="dxa"/>
          </w:tcPr>
          <w:p>
            <w:pPr>
              <w:pStyle w:val="TableParagraph"/>
              <w:spacing w:line="241" w:lineRule="exact" w:before="22"/>
              <w:ind w:left="1025" w:right="1018"/>
              <w:rPr>
                <w:rFonts w:ascii="Times New Roman"/>
                <w:sz w:val="21"/>
              </w:rPr>
            </w:pPr>
            <w:r>
              <w:rPr>
                <w:rFonts w:ascii="Times New Roman"/>
                <w:sz w:val="21"/>
              </w:rPr>
              <w:t>E2</w:t>
            </w:r>
          </w:p>
        </w:tc>
        <w:tc>
          <w:tcPr>
            <w:tcW w:w="2215" w:type="dxa"/>
          </w:tcPr>
          <w:p>
            <w:pPr>
              <w:pStyle w:val="TableParagraph"/>
              <w:spacing w:line="241" w:lineRule="exact" w:before="22"/>
              <w:ind w:right="980"/>
              <w:jc w:val="right"/>
              <w:rPr>
                <w:rFonts w:ascii="Times New Roman"/>
                <w:sz w:val="21"/>
              </w:rPr>
            </w:pPr>
            <w:r>
              <w:rPr>
                <w:rFonts w:ascii="Times New Roman"/>
                <w:sz w:val="21"/>
              </w:rPr>
              <w:t>E3</w:t>
            </w:r>
          </w:p>
        </w:tc>
      </w:tr>
      <w:tr>
        <w:trPr>
          <w:trHeight w:val="285" w:hRule="atLeast"/>
        </w:trPr>
        <w:tc>
          <w:tcPr>
            <w:tcW w:w="2203" w:type="dxa"/>
          </w:tcPr>
          <w:p>
            <w:pPr>
              <w:pStyle w:val="TableParagraph"/>
              <w:spacing w:before="22"/>
              <w:ind w:left="971" w:right="964"/>
              <w:rPr>
                <w:rFonts w:ascii="Times New Roman"/>
                <w:sz w:val="21"/>
              </w:rPr>
            </w:pPr>
            <w:r>
              <w:rPr>
                <w:rFonts w:ascii="Times New Roman"/>
                <w:sz w:val="21"/>
              </w:rPr>
              <w:t>S3</w:t>
            </w:r>
          </w:p>
        </w:tc>
        <w:tc>
          <w:tcPr>
            <w:tcW w:w="2321" w:type="dxa"/>
          </w:tcPr>
          <w:p>
            <w:pPr>
              <w:pStyle w:val="TableParagraph"/>
              <w:spacing w:before="22"/>
              <w:ind w:left="1025" w:right="1017"/>
              <w:rPr>
                <w:rFonts w:ascii="Times New Roman"/>
                <w:sz w:val="21"/>
              </w:rPr>
            </w:pPr>
            <w:r>
              <w:rPr>
                <w:rFonts w:ascii="Times New Roman"/>
                <w:sz w:val="21"/>
              </w:rPr>
              <w:t>E1</w:t>
            </w:r>
          </w:p>
        </w:tc>
        <w:tc>
          <w:tcPr>
            <w:tcW w:w="2323" w:type="dxa"/>
          </w:tcPr>
          <w:p>
            <w:pPr>
              <w:pStyle w:val="TableParagraph"/>
              <w:spacing w:before="22"/>
              <w:ind w:left="1025" w:right="1018"/>
              <w:rPr>
                <w:rFonts w:ascii="Times New Roman"/>
                <w:sz w:val="21"/>
              </w:rPr>
            </w:pPr>
            <w:r>
              <w:rPr>
                <w:rFonts w:ascii="Times New Roman"/>
                <w:sz w:val="21"/>
              </w:rPr>
              <w:t>E2</w:t>
            </w:r>
          </w:p>
        </w:tc>
        <w:tc>
          <w:tcPr>
            <w:tcW w:w="2215" w:type="dxa"/>
          </w:tcPr>
          <w:p>
            <w:pPr>
              <w:pStyle w:val="TableParagraph"/>
              <w:spacing w:before="22"/>
              <w:ind w:right="980"/>
              <w:jc w:val="right"/>
              <w:rPr>
                <w:rFonts w:ascii="Times New Roman"/>
                <w:sz w:val="21"/>
              </w:rPr>
            </w:pPr>
            <w:r>
              <w:rPr>
                <w:rFonts w:ascii="Times New Roman"/>
                <w:sz w:val="21"/>
              </w:rPr>
              <w:t>E3</w:t>
            </w:r>
          </w:p>
        </w:tc>
      </w:tr>
    </w:tbl>
    <w:p>
      <w:pPr>
        <w:tabs>
          <w:tab w:pos="1041" w:val="left" w:leader="none"/>
        </w:tabs>
        <w:spacing w:before="144" w:after="28"/>
        <w:ind w:left="0" w:right="19" w:firstLine="0"/>
        <w:jc w:val="center"/>
        <w:rPr>
          <w:b/>
          <w:sz w:val="24"/>
        </w:rPr>
      </w:pPr>
      <w:r>
        <w:rPr>
          <w:b/>
          <w:sz w:val="24"/>
        </w:rPr>
        <w:t>表</w:t>
      </w:r>
      <w:r>
        <w:rPr>
          <w:b/>
          <w:spacing w:val="-60"/>
          <w:sz w:val="24"/>
        </w:rPr>
        <w:t> </w:t>
      </w:r>
      <w:r>
        <w:rPr>
          <w:rFonts w:ascii="Times New Roman" w:eastAsia="Times New Roman"/>
          <w:b/>
          <w:sz w:val="24"/>
        </w:rPr>
        <w:t>8.3-6</w:t>
        <w:tab/>
      </w:r>
      <w:r>
        <w:rPr>
          <w:b/>
          <w:sz w:val="24"/>
        </w:rPr>
        <w:t>地表水功能敏感性分区</w:t>
      </w:r>
    </w:p>
    <w:tbl>
      <w:tblPr>
        <w:tblW w:w="0" w:type="auto"/>
        <w:jc w:val="left"/>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2"/>
        <w:gridCol w:w="8353"/>
      </w:tblGrid>
      <w:tr>
        <w:trPr>
          <w:trHeight w:val="282" w:hRule="atLeast"/>
        </w:trPr>
        <w:tc>
          <w:tcPr>
            <w:tcW w:w="722" w:type="dxa"/>
          </w:tcPr>
          <w:p>
            <w:pPr>
              <w:pStyle w:val="TableParagraph"/>
              <w:spacing w:line="255" w:lineRule="exact" w:before="8"/>
              <w:ind w:left="43"/>
              <w:jc w:val="left"/>
              <w:rPr>
                <w:b/>
                <w:sz w:val="21"/>
              </w:rPr>
            </w:pPr>
            <w:r>
              <w:rPr>
                <w:b/>
                <w:sz w:val="21"/>
              </w:rPr>
              <w:t>敏感性</w:t>
            </w:r>
          </w:p>
        </w:tc>
        <w:tc>
          <w:tcPr>
            <w:tcW w:w="8353" w:type="dxa"/>
          </w:tcPr>
          <w:p>
            <w:pPr>
              <w:pStyle w:val="TableParagraph"/>
              <w:spacing w:line="255" w:lineRule="exact" w:before="8"/>
              <w:ind w:left="3207" w:right="3197"/>
              <w:rPr>
                <w:b/>
                <w:sz w:val="21"/>
              </w:rPr>
            </w:pPr>
            <w:r>
              <w:rPr>
                <w:b/>
                <w:sz w:val="21"/>
              </w:rPr>
              <w:t>地表水环境敏感特征</w:t>
            </w:r>
          </w:p>
        </w:tc>
      </w:tr>
      <w:tr>
        <w:trPr>
          <w:trHeight w:val="818" w:hRule="atLeast"/>
        </w:trPr>
        <w:tc>
          <w:tcPr>
            <w:tcW w:w="722" w:type="dxa"/>
          </w:tcPr>
          <w:p>
            <w:pPr>
              <w:pStyle w:val="TableParagraph"/>
              <w:spacing w:before="5"/>
              <w:jc w:val="left"/>
              <w:rPr>
                <w:b/>
                <w:sz w:val="21"/>
              </w:rPr>
            </w:pPr>
          </w:p>
          <w:p>
            <w:pPr>
              <w:pStyle w:val="TableParagraph"/>
              <w:ind w:left="14"/>
              <w:jc w:val="left"/>
              <w:rPr>
                <w:rFonts w:ascii="Times New Roman" w:eastAsia="Times New Roman"/>
                <w:sz w:val="21"/>
              </w:rPr>
            </w:pPr>
            <w:r>
              <w:rPr>
                <w:spacing w:val="-17"/>
                <w:sz w:val="21"/>
              </w:rPr>
              <w:t>敏感 </w:t>
            </w:r>
            <w:r>
              <w:rPr>
                <w:rFonts w:ascii="Times New Roman" w:eastAsia="Times New Roman"/>
                <w:spacing w:val="-10"/>
                <w:sz w:val="21"/>
              </w:rPr>
              <w:t>F1</w:t>
            </w:r>
          </w:p>
        </w:tc>
        <w:tc>
          <w:tcPr>
            <w:tcW w:w="8353" w:type="dxa"/>
          </w:tcPr>
          <w:p>
            <w:pPr>
              <w:pStyle w:val="TableParagraph"/>
              <w:spacing w:before="3"/>
              <w:ind w:left="4"/>
              <w:jc w:val="left"/>
              <w:rPr>
                <w:sz w:val="21"/>
              </w:rPr>
            </w:pPr>
            <w:r>
              <w:rPr>
                <w:sz w:val="21"/>
              </w:rPr>
              <w:t>排放点进入地表水水域环境功能为</w:t>
            </w:r>
            <w:r>
              <w:rPr>
                <w:rFonts w:ascii="Times New Roman" w:hAnsi="Times New Roman" w:eastAsia="Times New Roman"/>
                <w:sz w:val="21"/>
              </w:rPr>
              <w:t>Ⅱ</w:t>
            </w:r>
            <w:r>
              <w:rPr>
                <w:sz w:val="21"/>
              </w:rPr>
              <w:t>类及以上，或海水水质分类第一类；</w:t>
            </w:r>
          </w:p>
          <w:p>
            <w:pPr>
              <w:pStyle w:val="TableParagraph"/>
              <w:spacing w:before="2"/>
              <w:ind w:left="4"/>
              <w:jc w:val="left"/>
              <w:rPr>
                <w:rFonts w:ascii="Times New Roman" w:eastAsia="Times New Roman"/>
                <w:sz w:val="21"/>
              </w:rPr>
            </w:pPr>
            <w:r>
              <w:rPr>
                <w:sz w:val="21"/>
              </w:rPr>
              <w:t>或以发生事故时，危险物质泄漏到水体的排放点算起，排放进入受纳河流最大流速时，</w:t>
            </w:r>
            <w:r>
              <w:rPr>
                <w:rFonts w:ascii="Times New Roman" w:eastAsia="Times New Roman"/>
                <w:sz w:val="21"/>
              </w:rPr>
              <w:t>24</w:t>
            </w:r>
          </w:p>
          <w:p>
            <w:pPr>
              <w:pStyle w:val="TableParagraph"/>
              <w:spacing w:line="250" w:lineRule="exact" w:before="5"/>
              <w:ind w:left="4"/>
              <w:jc w:val="left"/>
              <w:rPr>
                <w:sz w:val="21"/>
              </w:rPr>
            </w:pPr>
            <w:r>
              <w:rPr>
                <w:sz w:val="21"/>
              </w:rPr>
              <w:t>小时流经范围内涉跨国界的</w:t>
            </w:r>
          </w:p>
        </w:tc>
      </w:tr>
      <w:tr>
        <w:trPr>
          <w:trHeight w:val="818" w:hRule="atLeast"/>
        </w:trPr>
        <w:tc>
          <w:tcPr>
            <w:tcW w:w="722" w:type="dxa"/>
          </w:tcPr>
          <w:p>
            <w:pPr>
              <w:pStyle w:val="TableParagraph"/>
              <w:spacing w:before="152"/>
              <w:ind w:left="23" w:right="11"/>
              <w:rPr>
                <w:sz w:val="21"/>
              </w:rPr>
            </w:pPr>
            <w:r>
              <w:rPr>
                <w:sz w:val="21"/>
              </w:rPr>
              <w:t>较敏感</w:t>
            </w:r>
          </w:p>
          <w:p>
            <w:pPr>
              <w:pStyle w:val="TableParagraph"/>
              <w:spacing w:before="5"/>
              <w:ind w:left="23" w:right="13"/>
              <w:rPr>
                <w:rFonts w:ascii="Times New Roman"/>
                <w:sz w:val="21"/>
              </w:rPr>
            </w:pPr>
            <w:r>
              <w:rPr>
                <w:rFonts w:ascii="Times New Roman"/>
                <w:sz w:val="21"/>
              </w:rPr>
              <w:t>F2</w:t>
            </w:r>
          </w:p>
        </w:tc>
        <w:tc>
          <w:tcPr>
            <w:tcW w:w="8353" w:type="dxa"/>
          </w:tcPr>
          <w:p>
            <w:pPr>
              <w:pStyle w:val="TableParagraph"/>
              <w:spacing w:before="1"/>
              <w:ind w:left="4"/>
              <w:jc w:val="left"/>
              <w:rPr>
                <w:sz w:val="21"/>
              </w:rPr>
            </w:pPr>
            <w:r>
              <w:rPr>
                <w:sz w:val="21"/>
              </w:rPr>
              <w:t>排放点进入地表水水域环境功能为</w:t>
            </w:r>
            <w:r>
              <w:rPr>
                <w:rFonts w:ascii="Times New Roman" w:hAnsi="Times New Roman" w:eastAsia="Times New Roman"/>
                <w:sz w:val="21"/>
              </w:rPr>
              <w:t>Ⅲ</w:t>
            </w:r>
            <w:r>
              <w:rPr>
                <w:sz w:val="21"/>
              </w:rPr>
              <w:t>类及以上，或海水水质分类第二类；</w:t>
            </w:r>
          </w:p>
          <w:p>
            <w:pPr>
              <w:pStyle w:val="TableParagraph"/>
              <w:spacing w:line="270" w:lineRule="atLeast" w:before="3"/>
              <w:ind w:left="4" w:right="138"/>
              <w:jc w:val="left"/>
              <w:rPr>
                <w:sz w:val="21"/>
              </w:rPr>
            </w:pPr>
            <w:r>
              <w:rPr>
                <w:sz w:val="21"/>
              </w:rPr>
              <w:t>或以发生事故时，危险物质泄漏到水体的排放点算起，排放进入受纳河流最大流速时，</w:t>
            </w:r>
            <w:r>
              <w:rPr>
                <w:rFonts w:ascii="Times New Roman" w:eastAsia="Times New Roman"/>
                <w:sz w:val="21"/>
              </w:rPr>
              <w:t>24 </w:t>
            </w:r>
            <w:r>
              <w:rPr>
                <w:sz w:val="21"/>
              </w:rPr>
              <w:t>小时流经范围内涉跨省界的</w:t>
            </w:r>
          </w:p>
        </w:tc>
      </w:tr>
      <w:tr>
        <w:trPr>
          <w:trHeight w:val="513" w:hRule="atLeast"/>
        </w:trPr>
        <w:tc>
          <w:tcPr>
            <w:tcW w:w="722" w:type="dxa"/>
          </w:tcPr>
          <w:p>
            <w:pPr>
              <w:pStyle w:val="TableParagraph"/>
              <w:spacing w:before="1"/>
              <w:ind w:left="22" w:right="15"/>
              <w:rPr>
                <w:b/>
                <w:sz w:val="21"/>
              </w:rPr>
            </w:pPr>
            <w:r>
              <w:rPr>
                <w:b/>
                <w:sz w:val="21"/>
              </w:rPr>
              <w:t>低敏感</w:t>
            </w:r>
          </w:p>
          <w:p>
            <w:pPr>
              <w:pStyle w:val="TableParagraph"/>
              <w:spacing w:line="221" w:lineRule="exact" w:before="1"/>
              <w:ind w:left="23" w:right="11"/>
              <w:rPr>
                <w:rFonts w:ascii="Times New Roman"/>
                <w:b/>
                <w:sz w:val="21"/>
              </w:rPr>
            </w:pPr>
            <w:r>
              <w:rPr>
                <w:rFonts w:ascii="Times New Roman"/>
                <w:b/>
                <w:sz w:val="21"/>
              </w:rPr>
              <w:t>F3</w:t>
            </w:r>
          </w:p>
        </w:tc>
        <w:tc>
          <w:tcPr>
            <w:tcW w:w="8353" w:type="dxa"/>
          </w:tcPr>
          <w:p>
            <w:pPr>
              <w:pStyle w:val="TableParagraph"/>
              <w:spacing w:before="121"/>
              <w:ind w:left="4"/>
              <w:jc w:val="left"/>
              <w:rPr>
                <w:b/>
                <w:sz w:val="21"/>
              </w:rPr>
            </w:pPr>
            <w:r>
              <w:rPr>
                <w:b/>
                <w:sz w:val="21"/>
              </w:rPr>
              <w:t>上述地区之外的其他地区</w:t>
            </w:r>
          </w:p>
        </w:tc>
      </w:tr>
    </w:tbl>
    <w:p>
      <w:pPr>
        <w:pStyle w:val="BodyText"/>
        <w:spacing w:line="364" w:lineRule="auto" w:before="2"/>
        <w:ind w:left="218" w:right="232" w:firstLine="482"/>
        <w:jc w:val="both"/>
      </w:pPr>
      <w:r>
        <w:rPr>
          <w:spacing w:val="3"/>
        </w:rPr>
        <w:t>本项目废水经厂区废水处理设施处理后送至上虞污水处理厂集中处理达标后排入</w:t>
      </w:r>
      <w:r>
        <w:rPr>
          <w:spacing w:val="-5"/>
        </w:rPr>
        <w:t>杭州湾，不直接排放周边地表水水体。事故情景时，废水纳入厂区事故应急池，能够满</w:t>
      </w:r>
      <w:r>
        <w:rPr/>
        <w:t>足厂区内废水事故性排放，废水不会直接进入周边水体，故地表水环境敏感性为</w:t>
      </w:r>
      <w:r>
        <w:rPr>
          <w:rFonts w:ascii="Times New Roman" w:eastAsia="Times New Roman"/>
        </w:rPr>
        <w:t>F3</w:t>
      </w:r>
      <w:r>
        <w:rPr/>
        <w:t>。</w:t>
      </w:r>
    </w:p>
    <w:p>
      <w:pPr>
        <w:pStyle w:val="Heading4"/>
        <w:spacing w:before="141"/>
        <w:ind w:left="3269"/>
        <w:jc w:val="both"/>
      </w:pPr>
      <w:r>
        <w:rPr/>
        <w:t>表 </w:t>
      </w:r>
      <w:r>
        <w:rPr>
          <w:rFonts w:ascii="Times New Roman" w:eastAsia="Times New Roman"/>
        </w:rPr>
        <w:t>8.3-7  </w:t>
      </w:r>
      <w:r>
        <w:rPr/>
        <w:t>环境敏感目标分级</w:t>
      </w:r>
    </w:p>
    <w:p>
      <w:pPr>
        <w:pStyle w:val="BodyText"/>
        <w:spacing w:before="2"/>
        <w:rPr>
          <w:b/>
          <w:sz w:val="12"/>
        </w:rPr>
      </w:pPr>
      <w:r>
        <w:rPr/>
        <w:drawing>
          <wp:anchor distT="0" distB="0" distL="0" distR="0" allowOverlap="1" layoutInCell="1" locked="0" behindDoc="0" simplePos="0" relativeHeight="264">
            <wp:simplePos x="0" y="0"/>
            <wp:positionH relativeFrom="page">
              <wp:posOffset>926486</wp:posOffset>
            </wp:positionH>
            <wp:positionV relativeFrom="paragraph">
              <wp:posOffset>123963</wp:posOffset>
            </wp:positionV>
            <wp:extent cx="5692910" cy="1930146"/>
            <wp:effectExtent l="0" t="0" r="0" b="0"/>
            <wp:wrapTopAndBottom/>
            <wp:docPr id="75" name="image79.jpeg"/>
            <wp:cNvGraphicFramePr>
              <a:graphicFrameLocks noChangeAspect="1"/>
            </wp:cNvGraphicFramePr>
            <a:graphic>
              <a:graphicData uri="http://schemas.openxmlformats.org/drawingml/2006/picture">
                <pic:pic>
                  <pic:nvPicPr>
                    <pic:cNvPr id="76" name="image79.jpeg"/>
                    <pic:cNvPicPr/>
                  </pic:nvPicPr>
                  <pic:blipFill>
                    <a:blip r:embed="rId150" cstate="print"/>
                    <a:stretch>
                      <a:fillRect/>
                    </a:stretch>
                  </pic:blipFill>
                  <pic:spPr>
                    <a:xfrm>
                      <a:off x="0" y="0"/>
                      <a:ext cx="5692910" cy="1930146"/>
                    </a:xfrm>
                    <a:prstGeom prst="rect">
                      <a:avLst/>
                    </a:prstGeom>
                  </pic:spPr>
                </pic:pic>
              </a:graphicData>
            </a:graphic>
          </wp:anchor>
        </w:drawing>
      </w:r>
    </w:p>
    <w:p>
      <w:pPr>
        <w:spacing w:line="364" w:lineRule="auto" w:before="87"/>
        <w:ind w:left="701" w:right="642" w:hanging="3"/>
        <w:jc w:val="left"/>
        <w:rPr>
          <w:b/>
          <w:sz w:val="24"/>
        </w:rPr>
      </w:pPr>
      <w:r>
        <w:rPr>
          <w:spacing w:val="-11"/>
          <w:sz w:val="24"/>
        </w:rPr>
        <w:t>项目所在地 </w:t>
      </w:r>
      <w:r>
        <w:rPr>
          <w:rFonts w:ascii="Times New Roman" w:eastAsia="Times New Roman"/>
          <w:sz w:val="24"/>
        </w:rPr>
        <w:t>10km </w:t>
      </w:r>
      <w:r>
        <w:rPr>
          <w:spacing w:val="-7"/>
          <w:sz w:val="24"/>
        </w:rPr>
        <w:t>范围内无上述类型 </w:t>
      </w:r>
      <w:r>
        <w:rPr>
          <w:rFonts w:ascii="Times New Roman" w:eastAsia="Times New Roman"/>
          <w:sz w:val="24"/>
        </w:rPr>
        <w:t>1 </w:t>
      </w:r>
      <w:r>
        <w:rPr>
          <w:spacing w:val="-15"/>
          <w:sz w:val="24"/>
        </w:rPr>
        <w:t>和类型 </w:t>
      </w:r>
      <w:r>
        <w:rPr>
          <w:rFonts w:ascii="Times New Roman" w:eastAsia="Times New Roman"/>
          <w:sz w:val="24"/>
        </w:rPr>
        <w:t>2 </w:t>
      </w:r>
      <w:r>
        <w:rPr>
          <w:spacing w:val="-5"/>
          <w:sz w:val="24"/>
        </w:rPr>
        <w:t>包括的敏感保护目标，为 </w:t>
      </w:r>
      <w:r>
        <w:rPr>
          <w:rFonts w:ascii="Times New Roman" w:eastAsia="Times New Roman"/>
          <w:sz w:val="24"/>
        </w:rPr>
        <w:t>S3</w:t>
      </w:r>
      <w:r>
        <w:rPr>
          <w:spacing w:val="-13"/>
          <w:sz w:val="24"/>
        </w:rPr>
        <w:t>。</w:t>
      </w:r>
      <w:r>
        <w:rPr>
          <w:b/>
          <w:spacing w:val="-5"/>
          <w:sz w:val="24"/>
        </w:rPr>
        <w:t>所以项目地表水环境敏感程度为 </w:t>
      </w:r>
      <w:r>
        <w:rPr>
          <w:rFonts w:ascii="Times New Roman" w:eastAsia="Times New Roman"/>
          <w:b/>
          <w:sz w:val="24"/>
        </w:rPr>
        <w:t>E3</w:t>
      </w:r>
      <w:r>
        <w:rPr>
          <w:b/>
          <w:sz w:val="24"/>
        </w:rPr>
        <w:t>（环境低敏感区</w:t>
      </w:r>
      <w:r>
        <w:rPr>
          <w:b/>
          <w:spacing w:val="-118"/>
          <w:sz w:val="24"/>
        </w:rPr>
        <w:t>）</w:t>
      </w:r>
      <w:r>
        <w:rPr>
          <w:b/>
          <w:sz w:val="24"/>
        </w:rPr>
        <w:t>。</w:t>
      </w:r>
    </w:p>
    <w:p>
      <w:pPr>
        <w:pStyle w:val="ListParagraph"/>
        <w:numPr>
          <w:ilvl w:val="0"/>
          <w:numId w:val="44"/>
        </w:numPr>
        <w:tabs>
          <w:tab w:pos="1300" w:val="left" w:leader="none"/>
        </w:tabs>
        <w:spacing w:line="306" w:lineRule="exact" w:before="0" w:after="0"/>
        <w:ind w:left="1299" w:right="0" w:hanging="602"/>
        <w:jc w:val="left"/>
        <w:rPr>
          <w:sz w:val="24"/>
        </w:rPr>
      </w:pPr>
      <w:r>
        <w:rPr>
          <w:sz w:val="24"/>
        </w:rPr>
        <w:t>地下水环境敏感分级</w:t>
      </w:r>
    </w:p>
    <w:p>
      <w:pPr>
        <w:pStyle w:val="BodyText"/>
        <w:spacing w:line="364" w:lineRule="auto" w:before="161"/>
        <w:ind w:left="218" w:right="234" w:firstLine="480"/>
        <w:jc w:val="both"/>
      </w:pPr>
      <w:r>
        <w:rPr/>
        <w:t>依据地下水功能敏感性与包气带防污性能，共分为三种类型，</w:t>
      </w:r>
      <w:r>
        <w:rPr>
          <w:rFonts w:ascii="Times New Roman" w:eastAsia="Times New Roman"/>
        </w:rPr>
        <w:t>E1 </w:t>
      </w:r>
      <w:r>
        <w:rPr>
          <w:spacing w:val="-2"/>
        </w:rPr>
        <w:t>为环境高度敏感</w:t>
      </w:r>
      <w:r>
        <w:rPr/>
        <w:t>区，</w:t>
      </w:r>
      <w:r>
        <w:rPr>
          <w:rFonts w:ascii="Times New Roman" w:eastAsia="Times New Roman"/>
        </w:rPr>
        <w:t>E2 </w:t>
      </w:r>
      <w:r>
        <w:rPr/>
        <w:t>为环境中度敏感区，</w:t>
      </w:r>
      <w:r>
        <w:rPr>
          <w:rFonts w:ascii="Times New Roman" w:eastAsia="Times New Roman"/>
        </w:rPr>
        <w:t>E3 </w:t>
      </w:r>
      <w:r>
        <w:rPr>
          <w:spacing w:val="-1"/>
        </w:rPr>
        <w:t>为环境低度敏感区，分级原则见下表，其中地下水功能</w:t>
      </w:r>
      <w:r>
        <w:rPr>
          <w:spacing w:val="-4"/>
        </w:rPr>
        <w:t>敏感区分区和包气带防污性能分级见表 </w:t>
      </w:r>
      <w:r>
        <w:rPr>
          <w:rFonts w:ascii="Times New Roman" w:eastAsia="Times New Roman"/>
        </w:rPr>
        <w:t>8.3-9</w:t>
      </w:r>
      <w:r>
        <w:rPr>
          <w:spacing w:val="-41"/>
        </w:rPr>
        <w:t>、</w:t>
      </w:r>
      <w:r>
        <w:rPr>
          <w:rFonts w:ascii="Times New Roman" w:eastAsia="Times New Roman"/>
          <w:spacing w:val="-6"/>
        </w:rPr>
        <w:t>8.3-10</w:t>
      </w:r>
      <w:r>
        <w:rPr>
          <w:spacing w:val="-7"/>
        </w:rPr>
        <w:t>，当同一建设项目涉及两个 </w:t>
      </w:r>
      <w:r>
        <w:rPr>
          <w:rFonts w:ascii="Times New Roman" w:eastAsia="Times New Roman"/>
        </w:rPr>
        <w:t>G </w:t>
      </w:r>
      <w:r>
        <w:rPr>
          <w:spacing w:val="-7"/>
        </w:rPr>
        <w:t>分区</w:t>
      </w:r>
      <w:r>
        <w:rPr>
          <w:spacing w:val="-31"/>
        </w:rPr>
        <w:t>或 </w:t>
      </w:r>
      <w:r>
        <w:rPr>
          <w:rFonts w:ascii="Times New Roman" w:eastAsia="Times New Roman"/>
        </w:rPr>
        <w:t>D </w:t>
      </w:r>
      <w:r>
        <w:rPr/>
        <w:t>分级及以上时，取相对高值。</w:t>
      </w:r>
    </w:p>
    <w:p>
      <w:pPr>
        <w:spacing w:after="0" w:line="364" w:lineRule="auto"/>
        <w:jc w:val="both"/>
        <w:sectPr>
          <w:footerReference w:type="default" r:id="rId149"/>
          <w:pgSz w:w="11910" w:h="16840"/>
          <w:pgMar w:footer="945" w:header="872" w:top="1320" w:bottom="1140" w:left="1200" w:right="1180"/>
        </w:sectPr>
      </w:pPr>
    </w:p>
    <w:p>
      <w:pPr>
        <w:pStyle w:val="BodyText"/>
        <w:spacing w:before="11"/>
        <w:rPr>
          <w:sz w:val="11"/>
        </w:rPr>
      </w:pPr>
    </w:p>
    <w:p>
      <w:pPr>
        <w:pStyle w:val="Heading4"/>
        <w:tabs>
          <w:tab w:pos="1041" w:val="left" w:leader="none"/>
        </w:tabs>
        <w:spacing w:before="74" w:after="29"/>
        <w:ind w:left="0" w:right="19"/>
        <w:jc w:val="center"/>
      </w:pPr>
      <w:r>
        <w:rPr/>
        <w:t>表</w:t>
      </w:r>
      <w:r>
        <w:rPr>
          <w:spacing w:val="-60"/>
        </w:rPr>
        <w:t> </w:t>
      </w:r>
      <w:r>
        <w:rPr>
          <w:rFonts w:ascii="Times New Roman" w:eastAsia="Times New Roman"/>
        </w:rPr>
        <w:t>8.3-8</w:t>
        <w:tab/>
      </w:r>
      <w:r>
        <w:rPr/>
        <w:t>地下水环境敏感程度分级</w:t>
      </w:r>
    </w:p>
    <w:tbl>
      <w:tblPr>
        <w:tblW w:w="0" w:type="auto"/>
        <w:jc w:val="left"/>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13"/>
        <w:gridCol w:w="2322"/>
        <w:gridCol w:w="2324"/>
        <w:gridCol w:w="2075"/>
      </w:tblGrid>
      <w:tr>
        <w:trPr>
          <w:trHeight w:val="282" w:hRule="atLeast"/>
        </w:trPr>
        <w:tc>
          <w:tcPr>
            <w:tcW w:w="2213" w:type="dxa"/>
            <w:vMerge w:val="restart"/>
          </w:tcPr>
          <w:p>
            <w:pPr>
              <w:pStyle w:val="TableParagraph"/>
              <w:spacing w:before="154"/>
              <w:ind w:left="367"/>
              <w:jc w:val="left"/>
              <w:rPr>
                <w:b/>
                <w:sz w:val="21"/>
              </w:rPr>
            </w:pPr>
            <w:r>
              <w:rPr>
                <w:b/>
                <w:sz w:val="21"/>
              </w:rPr>
              <w:t>包气带防污性能</w:t>
            </w:r>
          </w:p>
        </w:tc>
        <w:tc>
          <w:tcPr>
            <w:tcW w:w="6721" w:type="dxa"/>
            <w:gridSpan w:val="3"/>
          </w:tcPr>
          <w:p>
            <w:pPr>
              <w:pStyle w:val="TableParagraph"/>
              <w:spacing w:line="257" w:lineRule="exact" w:before="5"/>
              <w:ind w:left="2496" w:right="2487"/>
              <w:rPr>
                <w:b/>
                <w:sz w:val="21"/>
              </w:rPr>
            </w:pPr>
            <w:r>
              <w:rPr>
                <w:b/>
                <w:sz w:val="21"/>
              </w:rPr>
              <w:t>地下水功能敏感性</w:t>
            </w:r>
          </w:p>
        </w:tc>
      </w:tr>
      <w:tr>
        <w:trPr>
          <w:trHeight w:val="285" w:hRule="atLeast"/>
        </w:trPr>
        <w:tc>
          <w:tcPr>
            <w:tcW w:w="2213" w:type="dxa"/>
            <w:vMerge/>
            <w:tcBorders>
              <w:top w:val="nil"/>
            </w:tcBorders>
          </w:tcPr>
          <w:p>
            <w:pPr>
              <w:rPr>
                <w:sz w:val="2"/>
                <w:szCs w:val="2"/>
              </w:rPr>
            </w:pPr>
          </w:p>
        </w:tc>
        <w:tc>
          <w:tcPr>
            <w:tcW w:w="2322" w:type="dxa"/>
          </w:tcPr>
          <w:p>
            <w:pPr>
              <w:pStyle w:val="TableParagraph"/>
              <w:spacing w:before="22"/>
              <w:ind w:left="719" w:right="709"/>
              <w:rPr>
                <w:rFonts w:ascii="Times New Roman"/>
                <w:b/>
                <w:sz w:val="21"/>
              </w:rPr>
            </w:pPr>
            <w:r>
              <w:rPr>
                <w:rFonts w:ascii="Times New Roman"/>
                <w:b/>
                <w:sz w:val="21"/>
              </w:rPr>
              <w:t>G1</w:t>
            </w:r>
          </w:p>
        </w:tc>
        <w:tc>
          <w:tcPr>
            <w:tcW w:w="2324" w:type="dxa"/>
          </w:tcPr>
          <w:p>
            <w:pPr>
              <w:pStyle w:val="TableParagraph"/>
              <w:spacing w:before="22"/>
              <w:ind w:left="929" w:right="918"/>
              <w:rPr>
                <w:rFonts w:ascii="Times New Roman"/>
                <w:b/>
                <w:sz w:val="21"/>
              </w:rPr>
            </w:pPr>
            <w:r>
              <w:rPr>
                <w:rFonts w:ascii="Times New Roman"/>
                <w:b/>
                <w:sz w:val="21"/>
              </w:rPr>
              <w:t>G2</w:t>
            </w:r>
          </w:p>
        </w:tc>
        <w:tc>
          <w:tcPr>
            <w:tcW w:w="2075" w:type="dxa"/>
          </w:tcPr>
          <w:p>
            <w:pPr>
              <w:pStyle w:val="TableParagraph"/>
              <w:spacing w:before="22"/>
              <w:ind w:right="893"/>
              <w:jc w:val="right"/>
              <w:rPr>
                <w:rFonts w:ascii="Times New Roman"/>
                <w:b/>
                <w:sz w:val="21"/>
              </w:rPr>
            </w:pPr>
            <w:r>
              <w:rPr>
                <w:rFonts w:ascii="Times New Roman"/>
                <w:b/>
                <w:sz w:val="21"/>
              </w:rPr>
              <w:t>G3</w:t>
            </w:r>
          </w:p>
        </w:tc>
      </w:tr>
      <w:tr>
        <w:trPr>
          <w:trHeight w:val="282" w:hRule="atLeast"/>
        </w:trPr>
        <w:tc>
          <w:tcPr>
            <w:tcW w:w="2213" w:type="dxa"/>
          </w:tcPr>
          <w:p>
            <w:pPr>
              <w:pStyle w:val="TableParagraph"/>
              <w:spacing w:before="19"/>
              <w:ind w:left="845" w:right="835"/>
              <w:rPr>
                <w:rFonts w:ascii="Times New Roman"/>
                <w:sz w:val="21"/>
              </w:rPr>
            </w:pPr>
            <w:r>
              <w:rPr>
                <w:rFonts w:ascii="Times New Roman"/>
                <w:sz w:val="21"/>
              </w:rPr>
              <w:t>D1</w:t>
            </w:r>
          </w:p>
        </w:tc>
        <w:tc>
          <w:tcPr>
            <w:tcW w:w="2322" w:type="dxa"/>
          </w:tcPr>
          <w:p>
            <w:pPr>
              <w:pStyle w:val="TableParagraph"/>
              <w:spacing w:before="19"/>
              <w:ind w:left="719" w:right="708"/>
              <w:rPr>
                <w:rFonts w:ascii="Times New Roman"/>
                <w:sz w:val="21"/>
              </w:rPr>
            </w:pPr>
            <w:r>
              <w:rPr>
                <w:rFonts w:ascii="Times New Roman"/>
                <w:sz w:val="21"/>
              </w:rPr>
              <w:t>E1</w:t>
            </w:r>
          </w:p>
        </w:tc>
        <w:tc>
          <w:tcPr>
            <w:tcW w:w="2324" w:type="dxa"/>
          </w:tcPr>
          <w:p>
            <w:pPr>
              <w:pStyle w:val="TableParagraph"/>
              <w:spacing w:before="19"/>
              <w:ind w:left="929" w:right="921"/>
              <w:rPr>
                <w:rFonts w:ascii="Times New Roman"/>
                <w:sz w:val="21"/>
              </w:rPr>
            </w:pPr>
            <w:r>
              <w:rPr>
                <w:rFonts w:ascii="Times New Roman"/>
                <w:sz w:val="21"/>
              </w:rPr>
              <w:t>E1</w:t>
            </w:r>
          </w:p>
        </w:tc>
        <w:tc>
          <w:tcPr>
            <w:tcW w:w="2075" w:type="dxa"/>
          </w:tcPr>
          <w:p>
            <w:pPr>
              <w:pStyle w:val="TableParagraph"/>
              <w:spacing w:before="19"/>
              <w:ind w:right="909"/>
              <w:jc w:val="right"/>
              <w:rPr>
                <w:rFonts w:ascii="Times New Roman"/>
                <w:sz w:val="21"/>
              </w:rPr>
            </w:pPr>
            <w:r>
              <w:rPr>
                <w:rFonts w:ascii="Times New Roman"/>
                <w:sz w:val="21"/>
              </w:rPr>
              <w:t>E2</w:t>
            </w:r>
          </w:p>
        </w:tc>
      </w:tr>
      <w:tr>
        <w:trPr>
          <w:trHeight w:val="285" w:hRule="atLeast"/>
        </w:trPr>
        <w:tc>
          <w:tcPr>
            <w:tcW w:w="2213" w:type="dxa"/>
          </w:tcPr>
          <w:p>
            <w:pPr>
              <w:pStyle w:val="TableParagraph"/>
              <w:spacing w:before="22"/>
              <w:ind w:left="845" w:right="835"/>
              <w:rPr>
                <w:rFonts w:ascii="Times New Roman"/>
                <w:sz w:val="21"/>
              </w:rPr>
            </w:pPr>
            <w:r>
              <w:rPr>
                <w:rFonts w:ascii="Times New Roman"/>
                <w:sz w:val="21"/>
              </w:rPr>
              <w:t>D2</w:t>
            </w:r>
          </w:p>
        </w:tc>
        <w:tc>
          <w:tcPr>
            <w:tcW w:w="2322" w:type="dxa"/>
          </w:tcPr>
          <w:p>
            <w:pPr>
              <w:pStyle w:val="TableParagraph"/>
              <w:spacing w:before="22"/>
              <w:ind w:left="719" w:right="708"/>
              <w:rPr>
                <w:rFonts w:ascii="Times New Roman"/>
                <w:sz w:val="21"/>
              </w:rPr>
            </w:pPr>
            <w:r>
              <w:rPr>
                <w:rFonts w:ascii="Times New Roman"/>
                <w:sz w:val="21"/>
              </w:rPr>
              <w:t>E1</w:t>
            </w:r>
          </w:p>
        </w:tc>
        <w:tc>
          <w:tcPr>
            <w:tcW w:w="2324" w:type="dxa"/>
          </w:tcPr>
          <w:p>
            <w:pPr>
              <w:pStyle w:val="TableParagraph"/>
              <w:spacing w:before="22"/>
              <w:ind w:left="929" w:right="921"/>
              <w:rPr>
                <w:rFonts w:ascii="Times New Roman"/>
                <w:sz w:val="21"/>
              </w:rPr>
            </w:pPr>
            <w:r>
              <w:rPr>
                <w:rFonts w:ascii="Times New Roman"/>
                <w:sz w:val="21"/>
              </w:rPr>
              <w:t>E2</w:t>
            </w:r>
          </w:p>
        </w:tc>
        <w:tc>
          <w:tcPr>
            <w:tcW w:w="2075" w:type="dxa"/>
          </w:tcPr>
          <w:p>
            <w:pPr>
              <w:pStyle w:val="TableParagraph"/>
              <w:spacing w:before="22"/>
              <w:ind w:right="909"/>
              <w:jc w:val="right"/>
              <w:rPr>
                <w:rFonts w:ascii="Times New Roman"/>
                <w:sz w:val="21"/>
              </w:rPr>
            </w:pPr>
            <w:r>
              <w:rPr>
                <w:rFonts w:ascii="Times New Roman"/>
                <w:sz w:val="21"/>
              </w:rPr>
              <w:t>E3</w:t>
            </w:r>
          </w:p>
        </w:tc>
      </w:tr>
      <w:tr>
        <w:trPr>
          <w:trHeight w:val="282" w:hRule="atLeast"/>
        </w:trPr>
        <w:tc>
          <w:tcPr>
            <w:tcW w:w="2213" w:type="dxa"/>
          </w:tcPr>
          <w:p>
            <w:pPr>
              <w:pStyle w:val="TableParagraph"/>
              <w:spacing w:before="19"/>
              <w:ind w:left="845" w:right="835"/>
              <w:rPr>
                <w:rFonts w:ascii="Times New Roman"/>
                <w:sz w:val="21"/>
              </w:rPr>
            </w:pPr>
            <w:r>
              <w:rPr>
                <w:rFonts w:ascii="Times New Roman"/>
                <w:sz w:val="21"/>
              </w:rPr>
              <w:t>D3</w:t>
            </w:r>
          </w:p>
        </w:tc>
        <w:tc>
          <w:tcPr>
            <w:tcW w:w="2322" w:type="dxa"/>
          </w:tcPr>
          <w:p>
            <w:pPr>
              <w:pStyle w:val="TableParagraph"/>
              <w:spacing w:before="19"/>
              <w:ind w:left="719" w:right="708"/>
              <w:rPr>
                <w:rFonts w:ascii="Times New Roman"/>
                <w:sz w:val="21"/>
              </w:rPr>
            </w:pPr>
            <w:r>
              <w:rPr>
                <w:rFonts w:ascii="Times New Roman"/>
                <w:sz w:val="21"/>
              </w:rPr>
              <w:t>E2</w:t>
            </w:r>
          </w:p>
        </w:tc>
        <w:tc>
          <w:tcPr>
            <w:tcW w:w="2324" w:type="dxa"/>
          </w:tcPr>
          <w:p>
            <w:pPr>
              <w:pStyle w:val="TableParagraph"/>
              <w:spacing w:before="19"/>
              <w:ind w:left="929" w:right="921"/>
              <w:rPr>
                <w:rFonts w:ascii="Times New Roman"/>
                <w:sz w:val="21"/>
              </w:rPr>
            </w:pPr>
            <w:r>
              <w:rPr>
                <w:rFonts w:ascii="Times New Roman"/>
                <w:sz w:val="21"/>
              </w:rPr>
              <w:t>E3</w:t>
            </w:r>
          </w:p>
        </w:tc>
        <w:tc>
          <w:tcPr>
            <w:tcW w:w="2075" w:type="dxa"/>
          </w:tcPr>
          <w:p>
            <w:pPr>
              <w:pStyle w:val="TableParagraph"/>
              <w:spacing w:before="19"/>
              <w:ind w:right="909"/>
              <w:jc w:val="right"/>
              <w:rPr>
                <w:rFonts w:ascii="Times New Roman"/>
                <w:sz w:val="21"/>
              </w:rPr>
            </w:pPr>
            <w:r>
              <w:rPr>
                <w:rFonts w:ascii="Times New Roman"/>
                <w:sz w:val="21"/>
              </w:rPr>
              <w:t>E3</w:t>
            </w:r>
          </w:p>
        </w:tc>
      </w:tr>
    </w:tbl>
    <w:p>
      <w:pPr>
        <w:tabs>
          <w:tab w:pos="1041" w:val="left" w:leader="none"/>
        </w:tabs>
        <w:spacing w:before="144"/>
        <w:ind w:left="0" w:right="19" w:firstLine="0"/>
        <w:jc w:val="center"/>
        <w:rPr>
          <w:b/>
          <w:sz w:val="24"/>
        </w:rPr>
      </w:pPr>
      <w:r>
        <w:rPr>
          <w:b/>
          <w:sz w:val="24"/>
        </w:rPr>
        <w:t>表</w:t>
      </w:r>
      <w:r>
        <w:rPr>
          <w:b/>
          <w:spacing w:val="-60"/>
          <w:sz w:val="24"/>
        </w:rPr>
        <w:t> </w:t>
      </w:r>
      <w:r>
        <w:rPr>
          <w:rFonts w:ascii="Times New Roman" w:eastAsia="Times New Roman"/>
          <w:b/>
          <w:sz w:val="24"/>
        </w:rPr>
        <w:t>8.3-9</w:t>
        <w:tab/>
      </w:r>
      <w:r>
        <w:rPr>
          <w:b/>
          <w:sz w:val="24"/>
        </w:rPr>
        <w:t>地下水功能敏感性分区</w:t>
      </w:r>
    </w:p>
    <w:p>
      <w:pPr>
        <w:pStyle w:val="BodyText"/>
        <w:spacing w:before="5"/>
        <w:rPr>
          <w:b/>
          <w:sz w:val="14"/>
        </w:rPr>
      </w:pPr>
      <w:r>
        <w:rPr/>
        <w:drawing>
          <wp:anchor distT="0" distB="0" distL="0" distR="0" allowOverlap="1" layoutInCell="1" locked="0" behindDoc="0" simplePos="0" relativeHeight="265">
            <wp:simplePos x="0" y="0"/>
            <wp:positionH relativeFrom="page">
              <wp:posOffset>925976</wp:posOffset>
            </wp:positionH>
            <wp:positionV relativeFrom="paragraph">
              <wp:posOffset>141852</wp:posOffset>
            </wp:positionV>
            <wp:extent cx="5591630" cy="1480566"/>
            <wp:effectExtent l="0" t="0" r="0" b="0"/>
            <wp:wrapTopAndBottom/>
            <wp:docPr id="77" name="image80.jpeg"/>
            <wp:cNvGraphicFramePr>
              <a:graphicFrameLocks noChangeAspect="1"/>
            </wp:cNvGraphicFramePr>
            <a:graphic>
              <a:graphicData uri="http://schemas.openxmlformats.org/drawingml/2006/picture">
                <pic:pic>
                  <pic:nvPicPr>
                    <pic:cNvPr id="78" name="image80.jpeg"/>
                    <pic:cNvPicPr/>
                  </pic:nvPicPr>
                  <pic:blipFill>
                    <a:blip r:embed="rId152" cstate="print"/>
                    <a:stretch>
                      <a:fillRect/>
                    </a:stretch>
                  </pic:blipFill>
                  <pic:spPr>
                    <a:xfrm>
                      <a:off x="0" y="0"/>
                      <a:ext cx="5591630" cy="1480566"/>
                    </a:xfrm>
                    <a:prstGeom prst="rect">
                      <a:avLst/>
                    </a:prstGeom>
                  </pic:spPr>
                </pic:pic>
              </a:graphicData>
            </a:graphic>
          </wp:anchor>
        </w:drawing>
      </w:r>
    </w:p>
    <w:p>
      <w:pPr>
        <w:pStyle w:val="BodyText"/>
        <w:spacing w:before="1"/>
        <w:rPr>
          <w:b/>
          <w:sz w:val="20"/>
        </w:rPr>
      </w:pPr>
    </w:p>
    <w:p>
      <w:pPr>
        <w:tabs>
          <w:tab w:pos="1161" w:val="left" w:leader="none"/>
        </w:tabs>
        <w:spacing w:before="0"/>
        <w:ind w:left="0" w:right="19" w:firstLine="0"/>
        <w:jc w:val="center"/>
        <w:rPr>
          <w:b/>
          <w:sz w:val="24"/>
        </w:rPr>
      </w:pPr>
      <w:r>
        <w:rPr>
          <w:b/>
          <w:sz w:val="24"/>
        </w:rPr>
        <w:t>表</w:t>
      </w:r>
      <w:r>
        <w:rPr>
          <w:b/>
          <w:spacing w:val="-60"/>
          <w:sz w:val="24"/>
        </w:rPr>
        <w:t> </w:t>
      </w:r>
      <w:r>
        <w:rPr>
          <w:rFonts w:ascii="Times New Roman" w:eastAsia="Times New Roman"/>
          <w:b/>
          <w:sz w:val="24"/>
        </w:rPr>
        <w:t>8.3-10</w:t>
        <w:tab/>
      </w:r>
      <w:r>
        <w:rPr>
          <w:b/>
          <w:sz w:val="24"/>
        </w:rPr>
        <w:t>包气带防污性能分级</w:t>
      </w:r>
    </w:p>
    <w:p>
      <w:pPr>
        <w:pStyle w:val="BodyText"/>
        <w:spacing w:before="4"/>
        <w:rPr>
          <w:b/>
          <w:sz w:val="8"/>
        </w:rPr>
      </w:pPr>
      <w:r>
        <w:rPr/>
        <w:drawing>
          <wp:anchor distT="0" distB="0" distL="0" distR="0" allowOverlap="1" layoutInCell="1" locked="0" behindDoc="0" simplePos="0" relativeHeight="266">
            <wp:simplePos x="0" y="0"/>
            <wp:positionH relativeFrom="page">
              <wp:posOffset>900430</wp:posOffset>
            </wp:positionH>
            <wp:positionV relativeFrom="paragraph">
              <wp:posOffset>92430</wp:posOffset>
            </wp:positionV>
            <wp:extent cx="5706022" cy="1178814"/>
            <wp:effectExtent l="0" t="0" r="0" b="0"/>
            <wp:wrapTopAndBottom/>
            <wp:docPr id="79" name="image81.jpeg"/>
            <wp:cNvGraphicFramePr>
              <a:graphicFrameLocks noChangeAspect="1"/>
            </wp:cNvGraphicFramePr>
            <a:graphic>
              <a:graphicData uri="http://schemas.openxmlformats.org/drawingml/2006/picture">
                <pic:pic>
                  <pic:nvPicPr>
                    <pic:cNvPr id="80" name="image81.jpeg"/>
                    <pic:cNvPicPr/>
                  </pic:nvPicPr>
                  <pic:blipFill>
                    <a:blip r:embed="rId153" cstate="print"/>
                    <a:stretch>
                      <a:fillRect/>
                    </a:stretch>
                  </pic:blipFill>
                  <pic:spPr>
                    <a:xfrm>
                      <a:off x="0" y="0"/>
                      <a:ext cx="5706022" cy="1178814"/>
                    </a:xfrm>
                    <a:prstGeom prst="rect">
                      <a:avLst/>
                    </a:prstGeom>
                  </pic:spPr>
                </pic:pic>
              </a:graphicData>
            </a:graphic>
          </wp:anchor>
        </w:drawing>
      </w:r>
    </w:p>
    <w:p>
      <w:pPr>
        <w:pStyle w:val="BodyText"/>
        <w:spacing w:line="364" w:lineRule="auto" w:before="16"/>
        <w:ind w:left="218" w:right="235" w:firstLine="480"/>
        <w:jc w:val="both"/>
      </w:pPr>
      <w:r>
        <w:rPr>
          <w:spacing w:val="-6"/>
        </w:rPr>
        <w:t>根据上表可知，项目属于地下水不敏感区 </w:t>
      </w:r>
      <w:r>
        <w:rPr>
          <w:rFonts w:ascii="Times New Roman" w:eastAsia="Times New Roman"/>
        </w:rPr>
        <w:t>G3</w:t>
      </w:r>
      <w:r>
        <w:rPr>
          <w:spacing w:val="-10"/>
        </w:rPr>
        <w:t>、包气带防污性能 </w:t>
      </w:r>
      <w:r>
        <w:rPr>
          <w:rFonts w:ascii="Times New Roman" w:eastAsia="Times New Roman"/>
          <w:spacing w:val="-5"/>
        </w:rPr>
        <w:t>D2</w:t>
      </w:r>
      <w:r>
        <w:rPr>
          <w:spacing w:val="-4"/>
        </w:rPr>
        <w:t>，所以地下水环</w:t>
      </w:r>
      <w:r>
        <w:rPr>
          <w:spacing w:val="-21"/>
        </w:rPr>
        <w:t>境为 </w:t>
      </w:r>
      <w:r>
        <w:rPr>
          <w:rFonts w:ascii="Times New Roman" w:eastAsia="Times New Roman"/>
        </w:rPr>
        <w:t>E3</w:t>
      </w:r>
      <w:r>
        <w:rPr/>
        <w:t>（环境低敏感区</w:t>
      </w:r>
      <w:r>
        <w:rPr>
          <w:spacing w:val="-120"/>
        </w:rPr>
        <w:t>）</w:t>
      </w:r>
      <w:r>
        <w:rPr/>
        <w:t>。</w:t>
      </w:r>
    </w:p>
    <w:p>
      <w:pPr>
        <w:pStyle w:val="Heading4"/>
        <w:spacing w:line="307" w:lineRule="exact"/>
      </w:pPr>
      <w:r>
        <w:rPr/>
        <w:t>根据上述分析可知，项目大气、地表水和地下水的敏感度为 </w:t>
      </w:r>
      <w:r>
        <w:rPr>
          <w:rFonts w:ascii="Times New Roman" w:eastAsia="Times New Roman"/>
        </w:rPr>
        <w:t>E1</w:t>
      </w:r>
      <w:r>
        <w:rPr/>
        <w:t>、</w:t>
      </w:r>
      <w:r>
        <w:rPr>
          <w:rFonts w:ascii="Times New Roman" w:eastAsia="Times New Roman"/>
        </w:rPr>
        <w:t>E3 </w:t>
      </w:r>
      <w:r>
        <w:rPr/>
        <w:t>和 </w:t>
      </w:r>
      <w:r>
        <w:rPr>
          <w:rFonts w:ascii="Times New Roman" w:eastAsia="Times New Roman"/>
        </w:rPr>
        <w:t>E3</w:t>
      </w:r>
      <w:r>
        <w:rPr/>
        <w:t>。</w:t>
      </w:r>
    </w:p>
    <w:p>
      <w:pPr>
        <w:pStyle w:val="BodyText"/>
        <w:spacing w:before="161"/>
        <w:ind w:left="698"/>
      </w:pPr>
      <w:r>
        <w:rPr>
          <w:rFonts w:ascii="Times New Roman" w:eastAsia="Times New Roman"/>
        </w:rPr>
        <w:t>3</w:t>
      </w:r>
      <w:r>
        <w:rPr/>
        <w:t>、环境风险潜势判断</w:t>
      </w:r>
    </w:p>
    <w:p>
      <w:pPr>
        <w:pStyle w:val="BodyText"/>
        <w:spacing w:line="364" w:lineRule="auto" w:before="158"/>
        <w:ind w:left="218" w:right="115" w:firstLine="480"/>
        <w:jc w:val="both"/>
      </w:pPr>
      <w:r>
        <w:rPr/>
        <w:t>建设项目环境风险潜势划分为</w:t>
      </w:r>
      <w:r>
        <w:rPr>
          <w:rFonts w:ascii="Times New Roman" w:hAnsi="Times New Roman" w:eastAsia="Times New Roman"/>
        </w:rPr>
        <w:t>Ⅰ</w:t>
      </w:r>
      <w:r>
        <w:rPr>
          <w:spacing w:val="-5"/>
        </w:rPr>
        <w:t>、</w:t>
      </w:r>
      <w:r>
        <w:rPr>
          <w:rFonts w:ascii="Times New Roman" w:hAnsi="Times New Roman" w:eastAsia="Times New Roman"/>
        </w:rPr>
        <w:t>Ⅱ</w:t>
      </w:r>
      <w:r>
        <w:rPr>
          <w:spacing w:val="-5"/>
        </w:rPr>
        <w:t>、</w:t>
      </w:r>
      <w:r>
        <w:rPr>
          <w:rFonts w:ascii="Times New Roman" w:hAnsi="Times New Roman" w:eastAsia="Times New Roman"/>
        </w:rPr>
        <w:t>Ⅲ</w:t>
      </w:r>
      <w:r>
        <w:rPr>
          <w:spacing w:val="-5"/>
        </w:rPr>
        <w:t>、</w:t>
      </w:r>
      <w:r>
        <w:rPr>
          <w:rFonts w:ascii="Times New Roman" w:hAnsi="Times New Roman" w:eastAsia="Times New Roman"/>
        </w:rPr>
        <w:t>Ⅳ/Ⅳ+</w:t>
      </w:r>
      <w:r>
        <w:rPr>
          <w:spacing w:val="-2"/>
        </w:rPr>
        <w:t>级。根据建设项目涉及的物质和工</w:t>
      </w:r>
      <w:r>
        <w:rPr>
          <w:spacing w:val="-5"/>
        </w:rPr>
        <w:t>艺系统的危险性及其所在地的环境敏感程度，结合事故情形下环境影响途径，对建设项</w:t>
      </w:r>
      <w:r>
        <w:rPr>
          <w:spacing w:val="-12"/>
        </w:rPr>
        <w:t>目潜在环境危害程度进行概化分析，按照下表</w:t>
      </w:r>
      <w:r>
        <w:rPr/>
        <w:t>（参见风险导则表 </w:t>
      </w:r>
      <w:r>
        <w:rPr>
          <w:rFonts w:ascii="Times New Roman" w:hAnsi="Times New Roman" w:eastAsia="Times New Roman"/>
          <w:spacing w:val="-28"/>
        </w:rPr>
        <w:t>2</w:t>
      </w:r>
      <w:r>
        <w:rPr>
          <w:spacing w:val="-28"/>
        </w:rPr>
        <w:t>）</w:t>
      </w:r>
      <w:r>
        <w:rPr>
          <w:spacing w:val="-2"/>
        </w:rPr>
        <w:t>确定环境风险潜势。</w:t>
      </w:r>
    </w:p>
    <w:p>
      <w:pPr>
        <w:pStyle w:val="Heading4"/>
        <w:spacing w:before="141" w:after="29"/>
        <w:ind w:left="2732"/>
        <w:jc w:val="both"/>
      </w:pPr>
      <w:r>
        <w:rPr/>
        <w:t>表 </w:t>
      </w:r>
      <w:r>
        <w:rPr>
          <w:rFonts w:ascii="Times New Roman" w:eastAsia="Times New Roman"/>
        </w:rPr>
        <w:t>8.3-11 </w:t>
      </w:r>
      <w:r>
        <w:rPr/>
        <w:t>建设项目环境风险潜势划分</w:t>
      </w:r>
    </w:p>
    <w:tbl>
      <w:tblPr>
        <w:tblW w:w="0" w:type="auto"/>
        <w:jc w:val="left"/>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8"/>
        <w:gridCol w:w="1702"/>
        <w:gridCol w:w="1702"/>
        <w:gridCol w:w="1649"/>
        <w:gridCol w:w="1753"/>
      </w:tblGrid>
      <w:tr>
        <w:trPr>
          <w:trHeight w:val="282" w:hRule="atLeast"/>
        </w:trPr>
        <w:tc>
          <w:tcPr>
            <w:tcW w:w="2268" w:type="dxa"/>
            <w:vMerge w:val="restart"/>
          </w:tcPr>
          <w:p>
            <w:pPr>
              <w:pStyle w:val="TableParagraph"/>
              <w:spacing w:before="155"/>
              <w:ind w:left="220"/>
              <w:jc w:val="left"/>
              <w:rPr>
                <w:b/>
                <w:sz w:val="21"/>
              </w:rPr>
            </w:pPr>
            <w:r>
              <w:rPr>
                <w:b/>
                <w:sz w:val="21"/>
              </w:rPr>
              <w:t>环境敏感程度（</w:t>
            </w:r>
            <w:r>
              <w:rPr>
                <w:rFonts w:ascii="Times New Roman" w:eastAsia="Times New Roman"/>
                <w:b/>
                <w:sz w:val="21"/>
              </w:rPr>
              <w:t>E</w:t>
            </w:r>
            <w:r>
              <w:rPr>
                <w:b/>
                <w:sz w:val="21"/>
              </w:rPr>
              <w:t>）</w:t>
            </w:r>
          </w:p>
        </w:tc>
        <w:tc>
          <w:tcPr>
            <w:tcW w:w="6806" w:type="dxa"/>
            <w:gridSpan w:val="4"/>
          </w:tcPr>
          <w:p>
            <w:pPr>
              <w:pStyle w:val="TableParagraph"/>
              <w:spacing w:line="257" w:lineRule="exact" w:before="6"/>
              <w:ind w:left="2335" w:right="2324"/>
              <w:rPr>
                <w:b/>
                <w:sz w:val="21"/>
              </w:rPr>
            </w:pPr>
            <w:r>
              <w:rPr>
                <w:b/>
                <w:sz w:val="21"/>
              </w:rPr>
              <w:t>行业及生产工艺（</w:t>
            </w:r>
            <w:r>
              <w:rPr>
                <w:rFonts w:ascii="Times New Roman" w:eastAsia="Times New Roman"/>
                <w:b/>
                <w:sz w:val="21"/>
              </w:rPr>
              <w:t>M</w:t>
            </w:r>
            <w:r>
              <w:rPr>
                <w:b/>
                <w:sz w:val="21"/>
              </w:rPr>
              <w:t>）</w:t>
            </w:r>
          </w:p>
        </w:tc>
      </w:tr>
      <w:tr>
        <w:trPr>
          <w:trHeight w:val="285" w:hRule="atLeast"/>
        </w:trPr>
        <w:tc>
          <w:tcPr>
            <w:tcW w:w="2268" w:type="dxa"/>
            <w:vMerge/>
            <w:tcBorders>
              <w:top w:val="nil"/>
            </w:tcBorders>
          </w:tcPr>
          <w:p>
            <w:pPr>
              <w:rPr>
                <w:sz w:val="2"/>
                <w:szCs w:val="2"/>
              </w:rPr>
            </w:pPr>
          </w:p>
        </w:tc>
        <w:tc>
          <w:tcPr>
            <w:tcW w:w="1702" w:type="dxa"/>
          </w:tcPr>
          <w:p>
            <w:pPr>
              <w:pStyle w:val="TableParagraph"/>
              <w:spacing w:line="257" w:lineRule="exact" w:before="9"/>
              <w:ind w:left="21"/>
              <w:rPr>
                <w:b/>
                <w:sz w:val="21"/>
              </w:rPr>
            </w:pPr>
            <w:r>
              <w:rPr>
                <w:b/>
                <w:sz w:val="21"/>
              </w:rPr>
              <w:t>极高危害（</w:t>
            </w:r>
            <w:r>
              <w:rPr>
                <w:rFonts w:ascii="Times New Roman" w:eastAsia="Times New Roman"/>
                <w:b/>
                <w:sz w:val="21"/>
              </w:rPr>
              <w:t>P1</w:t>
            </w:r>
            <w:r>
              <w:rPr>
                <w:b/>
                <w:sz w:val="21"/>
              </w:rPr>
              <w:t>）</w:t>
            </w:r>
          </w:p>
        </w:tc>
        <w:tc>
          <w:tcPr>
            <w:tcW w:w="1702" w:type="dxa"/>
          </w:tcPr>
          <w:p>
            <w:pPr>
              <w:pStyle w:val="TableParagraph"/>
              <w:spacing w:line="257" w:lineRule="exact" w:before="9"/>
              <w:ind w:left="21"/>
              <w:rPr>
                <w:b/>
                <w:sz w:val="21"/>
              </w:rPr>
            </w:pPr>
            <w:r>
              <w:rPr>
                <w:b/>
                <w:sz w:val="21"/>
              </w:rPr>
              <w:t>高度危害（</w:t>
            </w:r>
            <w:r>
              <w:rPr>
                <w:rFonts w:ascii="Times New Roman" w:eastAsia="Times New Roman"/>
                <w:b/>
                <w:sz w:val="21"/>
              </w:rPr>
              <w:t>P2</w:t>
            </w:r>
            <w:r>
              <w:rPr>
                <w:b/>
                <w:sz w:val="21"/>
              </w:rPr>
              <w:t>）</w:t>
            </w:r>
          </w:p>
        </w:tc>
        <w:tc>
          <w:tcPr>
            <w:tcW w:w="1649" w:type="dxa"/>
          </w:tcPr>
          <w:p>
            <w:pPr>
              <w:pStyle w:val="TableParagraph"/>
              <w:spacing w:line="257" w:lineRule="exact" w:before="9"/>
              <w:ind w:left="86" w:right="14"/>
              <w:rPr>
                <w:b/>
                <w:sz w:val="21"/>
              </w:rPr>
            </w:pPr>
            <w:r>
              <w:rPr>
                <w:b/>
                <w:sz w:val="21"/>
              </w:rPr>
              <w:t>中度危害（</w:t>
            </w:r>
            <w:r>
              <w:rPr>
                <w:rFonts w:ascii="Times New Roman" w:eastAsia="Times New Roman"/>
                <w:b/>
                <w:sz w:val="21"/>
              </w:rPr>
              <w:t>P3</w:t>
            </w:r>
            <w:r>
              <w:rPr>
                <w:b/>
                <w:sz w:val="21"/>
              </w:rPr>
              <w:t>）</w:t>
            </w:r>
          </w:p>
        </w:tc>
        <w:tc>
          <w:tcPr>
            <w:tcW w:w="1753" w:type="dxa"/>
          </w:tcPr>
          <w:p>
            <w:pPr>
              <w:pStyle w:val="TableParagraph"/>
              <w:spacing w:line="257" w:lineRule="exact" w:before="9"/>
              <w:ind w:left="106" w:right="97"/>
              <w:rPr>
                <w:b/>
                <w:sz w:val="21"/>
              </w:rPr>
            </w:pPr>
            <w:r>
              <w:rPr>
                <w:b/>
                <w:sz w:val="21"/>
              </w:rPr>
              <w:t>轻度危害（</w:t>
            </w:r>
            <w:r>
              <w:rPr>
                <w:rFonts w:ascii="Times New Roman" w:eastAsia="Times New Roman"/>
                <w:b/>
                <w:sz w:val="21"/>
              </w:rPr>
              <w:t>P4</w:t>
            </w:r>
            <w:r>
              <w:rPr>
                <w:b/>
                <w:sz w:val="21"/>
              </w:rPr>
              <w:t>）</w:t>
            </w:r>
          </w:p>
        </w:tc>
      </w:tr>
      <w:tr>
        <w:trPr>
          <w:trHeight w:val="282" w:hRule="atLeast"/>
        </w:trPr>
        <w:tc>
          <w:tcPr>
            <w:tcW w:w="2268" w:type="dxa"/>
          </w:tcPr>
          <w:p>
            <w:pPr>
              <w:pStyle w:val="TableParagraph"/>
              <w:spacing w:line="257" w:lineRule="exact" w:before="6"/>
              <w:ind w:right="21"/>
              <w:jc w:val="right"/>
              <w:rPr>
                <w:sz w:val="21"/>
              </w:rPr>
            </w:pPr>
            <w:r>
              <w:rPr>
                <w:sz w:val="21"/>
              </w:rPr>
              <w:t>环境高度敏感区（</w:t>
            </w:r>
            <w:r>
              <w:rPr>
                <w:rFonts w:ascii="Times New Roman" w:eastAsia="Times New Roman"/>
                <w:sz w:val="21"/>
              </w:rPr>
              <w:t>E1</w:t>
            </w:r>
            <w:r>
              <w:rPr>
                <w:sz w:val="21"/>
              </w:rPr>
              <w:t>）</w:t>
            </w:r>
          </w:p>
        </w:tc>
        <w:tc>
          <w:tcPr>
            <w:tcW w:w="1702" w:type="dxa"/>
          </w:tcPr>
          <w:p>
            <w:pPr>
              <w:pStyle w:val="TableParagraph"/>
              <w:spacing w:line="245" w:lineRule="exact" w:before="18"/>
              <w:ind w:left="11"/>
              <w:rPr>
                <w:rFonts w:ascii="Times New Roman" w:hAnsi="Times New Roman"/>
                <w:sz w:val="14"/>
              </w:rPr>
            </w:pPr>
            <w:r>
              <w:rPr>
                <w:rFonts w:ascii="Times New Roman" w:hAnsi="Times New Roman"/>
                <w:position w:val="-6"/>
                <w:sz w:val="21"/>
              </w:rPr>
              <w:t>Ⅳ</w:t>
            </w:r>
            <w:r>
              <w:rPr>
                <w:rFonts w:ascii="Times New Roman" w:hAnsi="Times New Roman"/>
                <w:sz w:val="14"/>
              </w:rPr>
              <w:t>+</w:t>
            </w:r>
          </w:p>
        </w:tc>
        <w:tc>
          <w:tcPr>
            <w:tcW w:w="1702" w:type="dxa"/>
          </w:tcPr>
          <w:p>
            <w:pPr>
              <w:pStyle w:val="TableParagraph"/>
              <w:spacing w:line="241" w:lineRule="exact" w:before="22"/>
              <w:ind w:left="8"/>
              <w:rPr>
                <w:rFonts w:ascii="Times New Roman" w:hAnsi="Times New Roman"/>
                <w:sz w:val="21"/>
              </w:rPr>
            </w:pPr>
            <w:r>
              <w:rPr>
                <w:rFonts w:ascii="Times New Roman" w:hAnsi="Times New Roman"/>
                <w:w w:val="100"/>
                <w:sz w:val="21"/>
              </w:rPr>
              <w:t>Ⅳ</w:t>
            </w:r>
          </w:p>
        </w:tc>
        <w:tc>
          <w:tcPr>
            <w:tcW w:w="1649" w:type="dxa"/>
          </w:tcPr>
          <w:p>
            <w:pPr>
              <w:pStyle w:val="TableParagraph"/>
              <w:spacing w:line="241" w:lineRule="exact" w:before="22"/>
              <w:ind w:left="3"/>
              <w:rPr>
                <w:rFonts w:ascii="Times New Roman" w:hAnsi="Times New Roman"/>
                <w:sz w:val="21"/>
              </w:rPr>
            </w:pPr>
            <w:r>
              <w:rPr>
                <w:rFonts w:ascii="Times New Roman" w:hAnsi="Times New Roman"/>
                <w:w w:val="100"/>
                <w:sz w:val="21"/>
              </w:rPr>
              <w:t>Ⅲ</w:t>
            </w:r>
          </w:p>
        </w:tc>
        <w:tc>
          <w:tcPr>
            <w:tcW w:w="1753" w:type="dxa"/>
          </w:tcPr>
          <w:p>
            <w:pPr>
              <w:pStyle w:val="TableParagraph"/>
              <w:spacing w:line="241" w:lineRule="exact" w:before="22"/>
              <w:ind w:left="10"/>
              <w:rPr>
                <w:rFonts w:ascii="Times New Roman" w:hAnsi="Times New Roman"/>
                <w:sz w:val="21"/>
              </w:rPr>
            </w:pPr>
            <w:r>
              <w:rPr>
                <w:rFonts w:ascii="Times New Roman" w:hAnsi="Times New Roman"/>
                <w:w w:val="100"/>
                <w:sz w:val="21"/>
              </w:rPr>
              <w:t>Ⅲ</w:t>
            </w:r>
          </w:p>
        </w:tc>
      </w:tr>
      <w:tr>
        <w:trPr>
          <w:trHeight w:val="285" w:hRule="atLeast"/>
        </w:trPr>
        <w:tc>
          <w:tcPr>
            <w:tcW w:w="2268" w:type="dxa"/>
          </w:tcPr>
          <w:p>
            <w:pPr>
              <w:pStyle w:val="TableParagraph"/>
              <w:spacing w:line="257" w:lineRule="exact" w:before="8"/>
              <w:ind w:right="21"/>
              <w:jc w:val="right"/>
              <w:rPr>
                <w:sz w:val="21"/>
              </w:rPr>
            </w:pPr>
            <w:r>
              <w:rPr>
                <w:sz w:val="21"/>
              </w:rPr>
              <w:t>环境中度敏感区（</w:t>
            </w:r>
            <w:r>
              <w:rPr>
                <w:rFonts w:ascii="Times New Roman" w:eastAsia="Times New Roman"/>
                <w:sz w:val="21"/>
              </w:rPr>
              <w:t>E2</w:t>
            </w:r>
            <w:r>
              <w:rPr>
                <w:sz w:val="21"/>
              </w:rPr>
              <w:t>）</w:t>
            </w:r>
          </w:p>
        </w:tc>
        <w:tc>
          <w:tcPr>
            <w:tcW w:w="1702" w:type="dxa"/>
          </w:tcPr>
          <w:p>
            <w:pPr>
              <w:pStyle w:val="TableParagraph"/>
              <w:spacing w:before="22"/>
              <w:ind w:left="9"/>
              <w:rPr>
                <w:rFonts w:ascii="Times New Roman" w:hAnsi="Times New Roman"/>
                <w:sz w:val="21"/>
              </w:rPr>
            </w:pPr>
            <w:r>
              <w:rPr>
                <w:rFonts w:ascii="Times New Roman" w:hAnsi="Times New Roman"/>
                <w:w w:val="100"/>
                <w:sz w:val="21"/>
              </w:rPr>
              <w:t>Ⅳ</w:t>
            </w:r>
          </w:p>
        </w:tc>
        <w:tc>
          <w:tcPr>
            <w:tcW w:w="1702" w:type="dxa"/>
          </w:tcPr>
          <w:p>
            <w:pPr>
              <w:pStyle w:val="TableParagraph"/>
              <w:spacing w:before="22"/>
              <w:ind w:left="8"/>
              <w:rPr>
                <w:rFonts w:ascii="Times New Roman" w:hAnsi="Times New Roman"/>
                <w:sz w:val="21"/>
              </w:rPr>
            </w:pPr>
            <w:r>
              <w:rPr>
                <w:rFonts w:ascii="Times New Roman" w:hAnsi="Times New Roman"/>
                <w:w w:val="100"/>
                <w:sz w:val="21"/>
              </w:rPr>
              <w:t>Ⅲ</w:t>
            </w:r>
          </w:p>
        </w:tc>
        <w:tc>
          <w:tcPr>
            <w:tcW w:w="1649" w:type="dxa"/>
          </w:tcPr>
          <w:p>
            <w:pPr>
              <w:pStyle w:val="TableParagraph"/>
              <w:spacing w:before="22"/>
              <w:ind w:left="3"/>
              <w:rPr>
                <w:rFonts w:ascii="Times New Roman" w:hAnsi="Times New Roman"/>
                <w:sz w:val="21"/>
              </w:rPr>
            </w:pPr>
            <w:r>
              <w:rPr>
                <w:rFonts w:ascii="Times New Roman" w:hAnsi="Times New Roman"/>
                <w:w w:val="100"/>
                <w:sz w:val="21"/>
              </w:rPr>
              <w:t>Ⅲ</w:t>
            </w:r>
          </w:p>
        </w:tc>
        <w:tc>
          <w:tcPr>
            <w:tcW w:w="1753" w:type="dxa"/>
          </w:tcPr>
          <w:p>
            <w:pPr>
              <w:pStyle w:val="TableParagraph"/>
              <w:spacing w:before="22"/>
              <w:ind w:left="6"/>
              <w:rPr>
                <w:rFonts w:ascii="Times New Roman" w:hAnsi="Times New Roman"/>
                <w:sz w:val="21"/>
              </w:rPr>
            </w:pPr>
            <w:r>
              <w:rPr>
                <w:rFonts w:ascii="Times New Roman" w:hAnsi="Times New Roman"/>
                <w:w w:val="100"/>
                <w:sz w:val="21"/>
              </w:rPr>
              <w:t>Ⅱ</w:t>
            </w:r>
          </w:p>
        </w:tc>
      </w:tr>
      <w:tr>
        <w:trPr>
          <w:trHeight w:val="285" w:hRule="atLeast"/>
        </w:trPr>
        <w:tc>
          <w:tcPr>
            <w:tcW w:w="2268" w:type="dxa"/>
          </w:tcPr>
          <w:p>
            <w:pPr>
              <w:pStyle w:val="TableParagraph"/>
              <w:spacing w:line="259" w:lineRule="exact" w:before="5"/>
              <w:ind w:right="21"/>
              <w:jc w:val="right"/>
              <w:rPr>
                <w:sz w:val="21"/>
              </w:rPr>
            </w:pPr>
            <w:r>
              <w:rPr>
                <w:sz w:val="21"/>
              </w:rPr>
              <w:t>环境低度敏感区（</w:t>
            </w:r>
            <w:r>
              <w:rPr>
                <w:rFonts w:ascii="Times New Roman" w:eastAsia="Times New Roman"/>
                <w:sz w:val="21"/>
              </w:rPr>
              <w:t>E3</w:t>
            </w:r>
            <w:r>
              <w:rPr>
                <w:sz w:val="21"/>
              </w:rPr>
              <w:t>）</w:t>
            </w:r>
          </w:p>
        </w:tc>
        <w:tc>
          <w:tcPr>
            <w:tcW w:w="1702" w:type="dxa"/>
          </w:tcPr>
          <w:p>
            <w:pPr>
              <w:pStyle w:val="TableParagraph"/>
              <w:spacing w:before="19"/>
              <w:ind w:left="8"/>
              <w:rPr>
                <w:rFonts w:ascii="Times New Roman" w:hAnsi="Times New Roman"/>
                <w:sz w:val="21"/>
              </w:rPr>
            </w:pPr>
            <w:r>
              <w:rPr>
                <w:rFonts w:ascii="Times New Roman" w:hAnsi="Times New Roman"/>
                <w:w w:val="100"/>
                <w:sz w:val="21"/>
              </w:rPr>
              <w:t>Ⅲ</w:t>
            </w:r>
          </w:p>
        </w:tc>
        <w:tc>
          <w:tcPr>
            <w:tcW w:w="1702" w:type="dxa"/>
          </w:tcPr>
          <w:p>
            <w:pPr>
              <w:pStyle w:val="TableParagraph"/>
              <w:spacing w:before="19"/>
              <w:ind w:left="8"/>
              <w:rPr>
                <w:rFonts w:ascii="Times New Roman" w:hAnsi="Times New Roman"/>
                <w:sz w:val="21"/>
              </w:rPr>
            </w:pPr>
            <w:r>
              <w:rPr>
                <w:rFonts w:ascii="Times New Roman" w:hAnsi="Times New Roman"/>
                <w:w w:val="100"/>
                <w:sz w:val="21"/>
              </w:rPr>
              <w:t>Ⅲ</w:t>
            </w:r>
          </w:p>
        </w:tc>
        <w:tc>
          <w:tcPr>
            <w:tcW w:w="1649" w:type="dxa"/>
          </w:tcPr>
          <w:p>
            <w:pPr>
              <w:pStyle w:val="TableParagraph"/>
              <w:spacing w:before="19"/>
              <w:ind w:left="4"/>
              <w:rPr>
                <w:rFonts w:ascii="Times New Roman" w:hAnsi="Times New Roman"/>
                <w:sz w:val="21"/>
              </w:rPr>
            </w:pPr>
            <w:r>
              <w:rPr>
                <w:rFonts w:ascii="Times New Roman" w:hAnsi="Times New Roman"/>
                <w:w w:val="100"/>
                <w:sz w:val="21"/>
              </w:rPr>
              <w:t>Ⅱ</w:t>
            </w:r>
          </w:p>
        </w:tc>
        <w:tc>
          <w:tcPr>
            <w:tcW w:w="1753" w:type="dxa"/>
          </w:tcPr>
          <w:p>
            <w:pPr>
              <w:pStyle w:val="TableParagraph"/>
              <w:spacing w:before="19"/>
              <w:ind w:left="7"/>
              <w:rPr>
                <w:rFonts w:ascii="Times New Roman" w:hAnsi="Times New Roman"/>
                <w:sz w:val="21"/>
              </w:rPr>
            </w:pPr>
            <w:r>
              <w:rPr>
                <w:rFonts w:ascii="Times New Roman" w:hAnsi="Times New Roman"/>
                <w:w w:val="100"/>
                <w:sz w:val="21"/>
              </w:rPr>
              <w:t>Ⅰ</w:t>
            </w:r>
          </w:p>
        </w:tc>
      </w:tr>
    </w:tbl>
    <w:p>
      <w:pPr>
        <w:spacing w:line="362" w:lineRule="auto" w:before="2"/>
        <w:ind w:left="218" w:right="261" w:firstLine="482"/>
        <w:jc w:val="left"/>
        <w:rPr>
          <w:b/>
          <w:sz w:val="24"/>
        </w:rPr>
      </w:pPr>
      <w:r>
        <w:rPr>
          <w:b/>
          <w:sz w:val="24"/>
        </w:rPr>
        <w:t>经判定得本项目大气环境风险潜势为</w:t>
      </w:r>
      <w:r>
        <w:rPr>
          <w:rFonts w:ascii="Times New Roman" w:hAnsi="Times New Roman" w:eastAsia="Times New Roman"/>
          <w:b/>
          <w:sz w:val="24"/>
        </w:rPr>
        <w:t>Ⅲ</w:t>
      </w:r>
      <w:r>
        <w:rPr>
          <w:b/>
          <w:sz w:val="24"/>
        </w:rPr>
        <w:t>，地表水环境风险潜势为</w:t>
      </w:r>
      <w:r>
        <w:rPr>
          <w:rFonts w:ascii="Times New Roman" w:hAnsi="Times New Roman" w:eastAsia="Times New Roman"/>
          <w:b/>
          <w:sz w:val="24"/>
        </w:rPr>
        <w:t>Ⅰ</w:t>
      </w:r>
      <w:r>
        <w:rPr>
          <w:b/>
          <w:sz w:val="24"/>
        </w:rPr>
        <w:t>、地下水环境风险潜势为</w:t>
      </w:r>
      <w:r>
        <w:rPr>
          <w:rFonts w:ascii="Times New Roman" w:hAnsi="Times New Roman" w:eastAsia="Times New Roman"/>
          <w:b/>
          <w:sz w:val="24"/>
        </w:rPr>
        <w:t>Ⅰ</w:t>
      </w:r>
      <w:r>
        <w:rPr>
          <w:b/>
          <w:sz w:val="24"/>
        </w:rPr>
        <w:t>；综合风险潜势为</w:t>
      </w:r>
      <w:r>
        <w:rPr>
          <w:rFonts w:ascii="Times New Roman" w:hAnsi="Times New Roman" w:eastAsia="Times New Roman"/>
          <w:b/>
          <w:sz w:val="24"/>
        </w:rPr>
        <w:t>Ⅲ</w:t>
      </w:r>
      <w:r>
        <w:rPr>
          <w:b/>
          <w:sz w:val="24"/>
        </w:rPr>
        <w:t>。</w:t>
      </w:r>
    </w:p>
    <w:p>
      <w:pPr>
        <w:spacing w:after="0" w:line="362" w:lineRule="auto"/>
        <w:jc w:val="left"/>
        <w:rPr>
          <w:sz w:val="24"/>
        </w:rPr>
        <w:sectPr>
          <w:footerReference w:type="default" r:id="rId151"/>
          <w:pgSz w:w="11910" w:h="16840"/>
          <w:pgMar w:footer="945" w:header="872" w:top="1320" w:bottom="1140" w:left="1200" w:right="1180"/>
          <w:pgNumType w:start="211"/>
        </w:sectPr>
      </w:pPr>
    </w:p>
    <w:p>
      <w:pPr>
        <w:pStyle w:val="ListParagraph"/>
        <w:numPr>
          <w:ilvl w:val="2"/>
          <w:numId w:val="23"/>
        </w:numPr>
        <w:tabs>
          <w:tab w:pos="1059" w:val="left" w:leader="none"/>
        </w:tabs>
        <w:spacing w:line="240" w:lineRule="auto" w:before="84" w:after="0"/>
        <w:ind w:left="1058" w:right="0" w:hanging="601"/>
        <w:jc w:val="left"/>
        <w:rPr>
          <w:b/>
          <w:sz w:val="24"/>
        </w:rPr>
      </w:pPr>
      <w:r>
        <w:rPr>
          <w:b/>
          <w:sz w:val="24"/>
        </w:rPr>
        <w:t>确定评价等级</w:t>
      </w:r>
    </w:p>
    <w:p>
      <w:pPr>
        <w:pStyle w:val="BodyText"/>
        <w:spacing w:line="364" w:lineRule="auto" w:before="159"/>
        <w:ind w:left="218" w:right="425" w:firstLine="480"/>
      </w:pPr>
      <w:r>
        <w:rPr/>
        <w:t>根据建设项目涉及的物质及工艺系统危险性和所在地的环境敏感性确定环境风险潜势，按照下表（风险导则表 </w:t>
      </w:r>
      <w:r>
        <w:rPr>
          <w:rFonts w:ascii="Times New Roman" w:eastAsia="Times New Roman"/>
        </w:rPr>
        <w:t>1</w:t>
      </w:r>
      <w:r>
        <w:rPr/>
        <w:t>）确定评价工作等级。</w:t>
      </w:r>
    </w:p>
    <w:p>
      <w:pPr>
        <w:pStyle w:val="Heading4"/>
        <w:tabs>
          <w:tab w:pos="4248" w:val="left" w:leader="none"/>
        </w:tabs>
        <w:spacing w:before="140" w:after="29"/>
        <w:ind w:left="3087"/>
      </w:pPr>
      <w:r>
        <w:rPr/>
        <w:t>表</w:t>
      </w:r>
      <w:r>
        <w:rPr>
          <w:spacing w:val="-60"/>
        </w:rPr>
        <w:t> </w:t>
      </w:r>
      <w:r>
        <w:rPr>
          <w:rFonts w:ascii="Times New Roman" w:eastAsia="Times New Roman"/>
        </w:rPr>
        <w:t>8.3-12</w:t>
        <w:tab/>
      </w:r>
      <w:r>
        <w:rPr/>
        <w:t>评价工作等级划分表</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7"/>
        <w:gridCol w:w="1556"/>
        <w:gridCol w:w="1793"/>
        <w:gridCol w:w="2374"/>
        <w:gridCol w:w="1796"/>
      </w:tblGrid>
      <w:tr>
        <w:trPr>
          <w:trHeight w:val="285" w:hRule="atLeast"/>
        </w:trPr>
        <w:tc>
          <w:tcPr>
            <w:tcW w:w="1567" w:type="dxa"/>
          </w:tcPr>
          <w:p>
            <w:pPr>
              <w:pStyle w:val="TableParagraph"/>
              <w:spacing w:line="257" w:lineRule="exact" w:before="8"/>
              <w:ind w:left="132" w:right="120"/>
              <w:rPr>
                <w:b/>
                <w:sz w:val="21"/>
              </w:rPr>
            </w:pPr>
            <w:r>
              <w:rPr>
                <w:b/>
                <w:sz w:val="21"/>
              </w:rPr>
              <w:t>环境风险潜势</w:t>
            </w:r>
          </w:p>
        </w:tc>
        <w:tc>
          <w:tcPr>
            <w:tcW w:w="1556" w:type="dxa"/>
          </w:tcPr>
          <w:p>
            <w:pPr>
              <w:pStyle w:val="TableParagraph"/>
              <w:spacing w:line="257" w:lineRule="exact" w:before="8"/>
              <w:ind w:left="360" w:right="348"/>
              <w:rPr>
                <w:rFonts w:ascii="Times New Roman" w:hAnsi="Times New Roman" w:eastAsia="Times New Roman"/>
                <w:b/>
                <w:sz w:val="21"/>
              </w:rPr>
            </w:pPr>
            <w:r>
              <w:rPr>
                <w:rFonts w:ascii="Times New Roman" w:hAnsi="Times New Roman" w:eastAsia="Times New Roman"/>
                <w:b/>
                <w:sz w:val="21"/>
              </w:rPr>
              <w:t>Ⅳ</w:t>
            </w:r>
            <w:r>
              <w:rPr>
                <w:b/>
                <w:sz w:val="21"/>
              </w:rPr>
              <w:t>、</w:t>
            </w:r>
            <w:r>
              <w:rPr>
                <w:rFonts w:ascii="Times New Roman" w:hAnsi="Times New Roman" w:eastAsia="Times New Roman"/>
                <w:b/>
                <w:sz w:val="21"/>
              </w:rPr>
              <w:t>Ⅳ+</w:t>
            </w:r>
          </w:p>
        </w:tc>
        <w:tc>
          <w:tcPr>
            <w:tcW w:w="1793" w:type="dxa"/>
          </w:tcPr>
          <w:p>
            <w:pPr>
              <w:pStyle w:val="TableParagraph"/>
              <w:spacing w:before="22"/>
              <w:ind w:left="774"/>
              <w:jc w:val="left"/>
              <w:rPr>
                <w:rFonts w:ascii="Times New Roman" w:hAnsi="Times New Roman"/>
                <w:b/>
                <w:sz w:val="21"/>
              </w:rPr>
            </w:pPr>
            <w:r>
              <w:rPr>
                <w:rFonts w:ascii="Times New Roman" w:hAnsi="Times New Roman"/>
                <w:b/>
                <w:w w:val="100"/>
                <w:sz w:val="21"/>
              </w:rPr>
              <w:t>Ⅲ</w:t>
            </w:r>
          </w:p>
        </w:tc>
        <w:tc>
          <w:tcPr>
            <w:tcW w:w="2374" w:type="dxa"/>
          </w:tcPr>
          <w:p>
            <w:pPr>
              <w:pStyle w:val="TableParagraph"/>
              <w:spacing w:before="22"/>
              <w:ind w:left="5"/>
              <w:rPr>
                <w:rFonts w:ascii="Times New Roman" w:hAnsi="Times New Roman"/>
                <w:b/>
                <w:sz w:val="21"/>
              </w:rPr>
            </w:pPr>
            <w:r>
              <w:rPr>
                <w:rFonts w:ascii="Times New Roman" w:hAnsi="Times New Roman"/>
                <w:b/>
                <w:w w:val="100"/>
                <w:sz w:val="21"/>
              </w:rPr>
              <w:t>Ⅱ</w:t>
            </w:r>
          </w:p>
        </w:tc>
        <w:tc>
          <w:tcPr>
            <w:tcW w:w="1796" w:type="dxa"/>
          </w:tcPr>
          <w:p>
            <w:pPr>
              <w:pStyle w:val="TableParagraph"/>
              <w:spacing w:before="22"/>
              <w:ind w:left="5"/>
              <w:rPr>
                <w:rFonts w:ascii="Times New Roman" w:hAnsi="Times New Roman"/>
                <w:b/>
                <w:sz w:val="21"/>
              </w:rPr>
            </w:pPr>
            <w:r>
              <w:rPr>
                <w:rFonts w:ascii="Times New Roman" w:hAnsi="Times New Roman"/>
                <w:b/>
                <w:w w:val="100"/>
                <w:sz w:val="21"/>
              </w:rPr>
              <w:t>Ⅰ</w:t>
            </w:r>
          </w:p>
        </w:tc>
      </w:tr>
      <w:tr>
        <w:trPr>
          <w:trHeight w:val="282" w:hRule="atLeast"/>
        </w:trPr>
        <w:tc>
          <w:tcPr>
            <w:tcW w:w="1567" w:type="dxa"/>
          </w:tcPr>
          <w:p>
            <w:pPr>
              <w:pStyle w:val="TableParagraph"/>
              <w:spacing w:line="255" w:lineRule="exact" w:before="8"/>
              <w:ind w:left="132" w:right="120"/>
              <w:rPr>
                <w:sz w:val="21"/>
              </w:rPr>
            </w:pPr>
            <w:r>
              <w:rPr>
                <w:sz w:val="21"/>
              </w:rPr>
              <w:t>评价工作等级</w:t>
            </w:r>
          </w:p>
        </w:tc>
        <w:tc>
          <w:tcPr>
            <w:tcW w:w="1556" w:type="dxa"/>
          </w:tcPr>
          <w:p>
            <w:pPr>
              <w:pStyle w:val="TableParagraph"/>
              <w:spacing w:line="255" w:lineRule="exact" w:before="8"/>
              <w:ind w:left="9"/>
              <w:rPr>
                <w:sz w:val="21"/>
              </w:rPr>
            </w:pPr>
            <w:r>
              <w:rPr>
                <w:w w:val="100"/>
                <w:sz w:val="21"/>
              </w:rPr>
              <w:t>一</w:t>
            </w:r>
          </w:p>
        </w:tc>
        <w:tc>
          <w:tcPr>
            <w:tcW w:w="1793" w:type="dxa"/>
          </w:tcPr>
          <w:p>
            <w:pPr>
              <w:pStyle w:val="TableParagraph"/>
              <w:spacing w:line="255" w:lineRule="exact" w:before="8"/>
              <w:ind w:left="789"/>
              <w:jc w:val="left"/>
              <w:rPr>
                <w:sz w:val="21"/>
              </w:rPr>
            </w:pPr>
            <w:r>
              <w:rPr>
                <w:w w:val="100"/>
                <w:sz w:val="21"/>
              </w:rPr>
              <w:t>二</w:t>
            </w:r>
          </w:p>
        </w:tc>
        <w:tc>
          <w:tcPr>
            <w:tcW w:w="2374" w:type="dxa"/>
          </w:tcPr>
          <w:p>
            <w:pPr>
              <w:pStyle w:val="TableParagraph"/>
              <w:spacing w:line="255" w:lineRule="exact" w:before="8"/>
              <w:ind w:left="7"/>
              <w:rPr>
                <w:sz w:val="21"/>
              </w:rPr>
            </w:pPr>
            <w:r>
              <w:rPr>
                <w:w w:val="100"/>
                <w:sz w:val="21"/>
              </w:rPr>
              <w:t>三</w:t>
            </w:r>
          </w:p>
        </w:tc>
        <w:tc>
          <w:tcPr>
            <w:tcW w:w="1796" w:type="dxa"/>
          </w:tcPr>
          <w:p>
            <w:pPr>
              <w:pStyle w:val="TableParagraph"/>
              <w:spacing w:line="255" w:lineRule="exact" w:before="8"/>
              <w:ind w:left="371" w:right="366"/>
              <w:rPr>
                <w:rFonts w:ascii="Times New Roman" w:eastAsia="Times New Roman"/>
                <w:sz w:val="14"/>
              </w:rPr>
            </w:pPr>
            <w:r>
              <w:rPr>
                <w:sz w:val="21"/>
              </w:rPr>
              <w:t>简单分析 </w:t>
            </w:r>
            <w:r>
              <w:rPr>
                <w:rFonts w:ascii="Times New Roman" w:eastAsia="Times New Roman"/>
                <w:position w:val="7"/>
                <w:sz w:val="14"/>
              </w:rPr>
              <w:t>a</w:t>
            </w:r>
          </w:p>
        </w:tc>
      </w:tr>
      <w:tr>
        <w:trPr>
          <w:trHeight w:val="546" w:hRule="atLeast"/>
        </w:trPr>
        <w:tc>
          <w:tcPr>
            <w:tcW w:w="9086" w:type="dxa"/>
            <w:gridSpan w:val="5"/>
          </w:tcPr>
          <w:p>
            <w:pPr>
              <w:pStyle w:val="TableParagraph"/>
              <w:spacing w:line="270" w:lineRule="atLeast" w:before="2"/>
              <w:ind w:left="107" w:right="91"/>
              <w:jc w:val="left"/>
              <w:rPr>
                <w:sz w:val="21"/>
              </w:rPr>
            </w:pPr>
            <w:r>
              <w:rPr>
                <w:rFonts w:ascii="Times New Roman" w:eastAsia="Times New Roman"/>
                <w:spacing w:val="-6"/>
                <w:sz w:val="21"/>
              </w:rPr>
              <w:t>a</w:t>
            </w:r>
            <w:r>
              <w:rPr>
                <w:spacing w:val="-7"/>
                <w:sz w:val="21"/>
              </w:rPr>
              <w:t>：相对于详细评价工作内容而言，在描述危险物质、环境影响途径、环境危害后果、风险防范措</w:t>
            </w:r>
            <w:r>
              <w:rPr>
                <w:spacing w:val="-2"/>
                <w:sz w:val="21"/>
              </w:rPr>
              <w:t>施等方面给出定性说明，项目导则附录</w:t>
            </w:r>
            <w:r>
              <w:rPr>
                <w:rFonts w:ascii="Times New Roman" w:eastAsia="Times New Roman"/>
                <w:sz w:val="21"/>
              </w:rPr>
              <w:t>A</w:t>
            </w:r>
            <w:r>
              <w:rPr>
                <w:sz w:val="21"/>
              </w:rPr>
              <w:t>。</w:t>
            </w:r>
          </w:p>
        </w:tc>
      </w:tr>
    </w:tbl>
    <w:p>
      <w:pPr>
        <w:pStyle w:val="BodyText"/>
        <w:spacing w:line="364" w:lineRule="auto" w:before="2"/>
        <w:ind w:left="218" w:right="184" w:firstLine="480"/>
        <w:jc w:val="both"/>
        <w:rPr>
          <w:b/>
        </w:rPr>
      </w:pPr>
      <w:r>
        <w:rPr>
          <w:spacing w:val="-5"/>
        </w:rPr>
        <w:t>对上表可见，本项目大气环境风险评价工作等级为二级，大气环境风险评价范围为距建设项目边界</w:t>
      </w:r>
      <w:r>
        <w:rPr>
          <w:rFonts w:ascii="Times New Roman" w:eastAsia="Times New Roman"/>
          <w:spacing w:val="-5"/>
        </w:rPr>
        <w:t>5km</w:t>
      </w:r>
      <w:r>
        <w:rPr>
          <w:spacing w:val="-5"/>
        </w:rPr>
        <w:t>的区域，需选取最不利气象条件，选择适用的数值方法进行分析预</w:t>
      </w:r>
      <w:r>
        <w:rPr>
          <w:spacing w:val="-7"/>
        </w:rPr>
        <w:t>测，给出风险事故情形下危险物质释放可能造成的大气环境影响范围与程度；地表水环</w:t>
      </w:r>
      <w:r>
        <w:rPr>
          <w:spacing w:val="-8"/>
        </w:rPr>
        <w:t>境风险及地下水环境风险评价工作等级为简单分析，在描述危险物质、环境影响途径、</w:t>
      </w:r>
      <w:r>
        <w:rPr/>
        <w:t>环境危害后果、风险防范措施等方面给出定性的说明。</w:t>
      </w:r>
      <w:r>
        <w:rPr>
          <w:b/>
        </w:rPr>
        <w:t>综合评价等级为二级。</w:t>
      </w:r>
    </w:p>
    <w:p>
      <w:pPr>
        <w:pStyle w:val="Heading3"/>
        <w:numPr>
          <w:ilvl w:val="1"/>
          <w:numId w:val="23"/>
        </w:numPr>
        <w:tabs>
          <w:tab w:pos="639" w:val="left" w:leader="none"/>
        </w:tabs>
        <w:spacing w:line="356" w:lineRule="exact" w:before="0" w:after="0"/>
        <w:ind w:left="638" w:right="0" w:hanging="421"/>
        <w:jc w:val="left"/>
      </w:pPr>
      <w:bookmarkStart w:name="_bookmark51" w:id="103"/>
      <w:bookmarkEnd w:id="103"/>
      <w:r>
        <w:rPr>
          <w:b w:val="0"/>
        </w:rPr>
      </w:r>
      <w:bookmarkStart w:name="_bookmark51" w:id="104"/>
      <w:bookmarkEnd w:id="104"/>
      <w:r>
        <w:rPr/>
        <w:t>风险识别</w:t>
      </w:r>
    </w:p>
    <w:p>
      <w:pPr>
        <w:pStyle w:val="Heading4"/>
        <w:numPr>
          <w:ilvl w:val="2"/>
          <w:numId w:val="23"/>
        </w:numPr>
        <w:tabs>
          <w:tab w:pos="1059" w:val="left" w:leader="none"/>
        </w:tabs>
        <w:spacing w:line="240" w:lineRule="auto" w:before="185" w:after="0"/>
        <w:ind w:left="1058" w:right="0" w:hanging="601"/>
        <w:jc w:val="left"/>
      </w:pPr>
      <w:r>
        <w:rPr>
          <w:w w:val="95"/>
        </w:rPr>
        <w:t>物质危险性识别</w:t>
      </w:r>
    </w:p>
    <w:p>
      <w:pPr>
        <w:pStyle w:val="BodyText"/>
        <w:spacing w:before="161"/>
        <w:ind w:left="698"/>
      </w:pPr>
      <w:r>
        <w:rPr/>
        <w:t>本项目物质识别内容如下表。</w:t>
      </w:r>
    </w:p>
    <w:p>
      <w:pPr>
        <w:pStyle w:val="BodyText"/>
        <w:spacing w:before="5"/>
        <w:rPr>
          <w:sz w:val="23"/>
        </w:rPr>
      </w:pPr>
    </w:p>
    <w:p>
      <w:pPr>
        <w:pStyle w:val="Heading4"/>
        <w:tabs>
          <w:tab w:pos="1041" w:val="left" w:leader="none"/>
        </w:tabs>
        <w:spacing w:after="29"/>
        <w:ind w:left="0" w:right="17"/>
        <w:jc w:val="center"/>
      </w:pPr>
      <w:r>
        <w:rPr/>
        <w:t>表</w:t>
      </w:r>
      <w:r>
        <w:rPr>
          <w:spacing w:val="-60"/>
        </w:rPr>
        <w:t> </w:t>
      </w:r>
      <w:r>
        <w:rPr>
          <w:rFonts w:ascii="Times New Roman" w:eastAsia="Times New Roman"/>
        </w:rPr>
        <w:t>8.4-1</w:t>
        <w:tab/>
      </w:r>
      <w:r>
        <w:rPr/>
        <w:t>本项目涉及的物质情况汇总</w:t>
      </w:r>
    </w:p>
    <w:tbl>
      <w:tblPr>
        <w:tblW w:w="0" w:type="auto"/>
        <w:jc w:val="left"/>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5"/>
        <w:gridCol w:w="1214"/>
        <w:gridCol w:w="4352"/>
        <w:gridCol w:w="2552"/>
      </w:tblGrid>
      <w:tr>
        <w:trPr>
          <w:trHeight w:val="285" w:hRule="atLeast"/>
        </w:trPr>
        <w:tc>
          <w:tcPr>
            <w:tcW w:w="955" w:type="dxa"/>
          </w:tcPr>
          <w:p>
            <w:pPr>
              <w:pStyle w:val="TableParagraph"/>
              <w:spacing w:line="257" w:lineRule="exact" w:before="8"/>
              <w:ind w:left="244" w:right="239"/>
              <w:rPr>
                <w:b/>
                <w:sz w:val="21"/>
              </w:rPr>
            </w:pPr>
            <w:r>
              <w:rPr>
                <w:b/>
                <w:sz w:val="21"/>
              </w:rPr>
              <w:t>序号</w:t>
            </w:r>
          </w:p>
        </w:tc>
        <w:tc>
          <w:tcPr>
            <w:tcW w:w="1214" w:type="dxa"/>
          </w:tcPr>
          <w:p>
            <w:pPr>
              <w:pStyle w:val="TableParagraph"/>
              <w:spacing w:line="257" w:lineRule="exact" w:before="8"/>
              <w:ind w:left="58" w:right="53"/>
              <w:rPr>
                <w:b/>
                <w:sz w:val="21"/>
              </w:rPr>
            </w:pPr>
            <w:r>
              <w:rPr>
                <w:b/>
                <w:sz w:val="21"/>
              </w:rPr>
              <w:t>来源</w:t>
            </w:r>
          </w:p>
        </w:tc>
        <w:tc>
          <w:tcPr>
            <w:tcW w:w="4352" w:type="dxa"/>
          </w:tcPr>
          <w:p>
            <w:pPr>
              <w:pStyle w:val="TableParagraph"/>
              <w:spacing w:line="257" w:lineRule="exact" w:before="8"/>
              <w:ind w:left="904" w:right="896"/>
              <w:rPr>
                <w:b/>
                <w:sz w:val="21"/>
              </w:rPr>
            </w:pPr>
            <w:r>
              <w:rPr>
                <w:b/>
                <w:sz w:val="21"/>
              </w:rPr>
              <w:t>原料</w:t>
            </w:r>
          </w:p>
        </w:tc>
        <w:tc>
          <w:tcPr>
            <w:tcW w:w="2552" w:type="dxa"/>
          </w:tcPr>
          <w:p>
            <w:pPr>
              <w:pStyle w:val="TableParagraph"/>
              <w:spacing w:line="257" w:lineRule="exact" w:before="8"/>
              <w:ind w:left="413" w:right="406"/>
              <w:rPr>
                <w:b/>
                <w:sz w:val="21"/>
              </w:rPr>
            </w:pPr>
            <w:r>
              <w:rPr>
                <w:b/>
                <w:sz w:val="21"/>
              </w:rPr>
              <w:t>存在位置</w:t>
            </w:r>
          </w:p>
        </w:tc>
      </w:tr>
      <w:tr>
        <w:trPr>
          <w:trHeight w:val="283" w:hRule="atLeast"/>
        </w:trPr>
        <w:tc>
          <w:tcPr>
            <w:tcW w:w="955" w:type="dxa"/>
          </w:tcPr>
          <w:p>
            <w:pPr>
              <w:pStyle w:val="TableParagraph"/>
              <w:spacing w:line="241" w:lineRule="exact" w:before="22"/>
              <w:ind w:left="5"/>
              <w:rPr>
                <w:rFonts w:ascii="Times New Roman"/>
                <w:sz w:val="21"/>
              </w:rPr>
            </w:pPr>
            <w:r>
              <w:rPr>
                <w:rFonts w:ascii="Times New Roman"/>
                <w:w w:val="100"/>
                <w:sz w:val="21"/>
              </w:rPr>
              <w:t>1</w:t>
            </w:r>
          </w:p>
        </w:tc>
        <w:tc>
          <w:tcPr>
            <w:tcW w:w="1214" w:type="dxa"/>
          </w:tcPr>
          <w:p>
            <w:pPr>
              <w:pStyle w:val="TableParagraph"/>
              <w:spacing w:line="257" w:lineRule="exact" w:before="5"/>
              <w:ind w:left="60" w:right="53"/>
              <w:rPr>
                <w:sz w:val="21"/>
              </w:rPr>
            </w:pPr>
            <w:r>
              <w:rPr>
                <w:sz w:val="21"/>
              </w:rPr>
              <w:t>原辅材料</w:t>
            </w:r>
          </w:p>
        </w:tc>
        <w:tc>
          <w:tcPr>
            <w:tcW w:w="4352" w:type="dxa"/>
          </w:tcPr>
          <w:p>
            <w:pPr>
              <w:pStyle w:val="TableParagraph"/>
              <w:spacing w:line="257" w:lineRule="exact" w:before="5"/>
              <w:ind w:left="909" w:right="896"/>
              <w:rPr>
                <w:rFonts w:ascii="Times New Roman" w:eastAsia="Times New Roman"/>
                <w:sz w:val="21"/>
              </w:rPr>
            </w:pPr>
            <w:r>
              <w:rPr>
                <w:sz w:val="21"/>
              </w:rPr>
              <w:t>甲酸，详见 </w:t>
            </w:r>
            <w:r>
              <w:rPr>
                <w:rFonts w:ascii="Times New Roman" w:eastAsia="Times New Roman"/>
                <w:sz w:val="21"/>
              </w:rPr>
              <w:t>Pg205 </w:t>
            </w:r>
            <w:r>
              <w:rPr>
                <w:sz w:val="21"/>
              </w:rPr>
              <w:t>表 </w:t>
            </w:r>
            <w:r>
              <w:rPr>
                <w:rFonts w:ascii="Times New Roman" w:eastAsia="Times New Roman"/>
                <w:sz w:val="21"/>
              </w:rPr>
              <w:t>8.1-1</w:t>
            </w:r>
          </w:p>
        </w:tc>
        <w:tc>
          <w:tcPr>
            <w:tcW w:w="2552" w:type="dxa"/>
          </w:tcPr>
          <w:p>
            <w:pPr>
              <w:pStyle w:val="TableParagraph"/>
              <w:spacing w:line="257" w:lineRule="exact" w:before="5"/>
              <w:ind w:left="416" w:right="406"/>
              <w:rPr>
                <w:sz w:val="21"/>
              </w:rPr>
            </w:pPr>
            <w:r>
              <w:rPr>
                <w:sz w:val="21"/>
              </w:rPr>
              <w:t>储罐区、生产车间</w:t>
            </w:r>
          </w:p>
        </w:tc>
      </w:tr>
      <w:tr>
        <w:trPr>
          <w:trHeight w:val="285" w:hRule="atLeast"/>
        </w:trPr>
        <w:tc>
          <w:tcPr>
            <w:tcW w:w="955" w:type="dxa"/>
          </w:tcPr>
          <w:p>
            <w:pPr>
              <w:pStyle w:val="TableParagraph"/>
              <w:spacing w:before="22"/>
              <w:ind w:left="5"/>
              <w:rPr>
                <w:rFonts w:ascii="Times New Roman"/>
                <w:sz w:val="21"/>
              </w:rPr>
            </w:pPr>
            <w:r>
              <w:rPr>
                <w:rFonts w:ascii="Times New Roman"/>
                <w:w w:val="100"/>
                <w:sz w:val="21"/>
              </w:rPr>
              <w:t>2</w:t>
            </w:r>
          </w:p>
        </w:tc>
        <w:tc>
          <w:tcPr>
            <w:tcW w:w="1214" w:type="dxa"/>
          </w:tcPr>
          <w:p>
            <w:pPr>
              <w:pStyle w:val="TableParagraph"/>
              <w:spacing w:line="257" w:lineRule="exact" w:before="8"/>
              <w:ind w:left="60" w:right="53"/>
              <w:rPr>
                <w:sz w:val="21"/>
              </w:rPr>
            </w:pPr>
            <w:r>
              <w:rPr>
                <w:sz w:val="21"/>
              </w:rPr>
              <w:t>废气污染物</w:t>
            </w:r>
          </w:p>
        </w:tc>
        <w:tc>
          <w:tcPr>
            <w:tcW w:w="4352" w:type="dxa"/>
          </w:tcPr>
          <w:p>
            <w:pPr>
              <w:pStyle w:val="TableParagraph"/>
              <w:spacing w:line="257" w:lineRule="exact" w:before="8"/>
              <w:ind w:left="907" w:right="896"/>
              <w:rPr>
                <w:sz w:val="21"/>
              </w:rPr>
            </w:pPr>
            <w:r>
              <w:rPr>
                <w:sz w:val="21"/>
              </w:rPr>
              <w:t>甲酸废气等</w:t>
            </w:r>
          </w:p>
        </w:tc>
        <w:tc>
          <w:tcPr>
            <w:tcW w:w="2552" w:type="dxa"/>
          </w:tcPr>
          <w:p>
            <w:pPr>
              <w:pStyle w:val="TableParagraph"/>
              <w:spacing w:line="257" w:lineRule="exact" w:before="8"/>
              <w:ind w:left="413" w:right="406"/>
              <w:rPr>
                <w:sz w:val="21"/>
              </w:rPr>
            </w:pPr>
            <w:r>
              <w:rPr>
                <w:sz w:val="21"/>
              </w:rPr>
              <w:t>生产车间</w:t>
            </w:r>
          </w:p>
        </w:tc>
      </w:tr>
    </w:tbl>
    <w:p>
      <w:pPr>
        <w:pStyle w:val="BodyText"/>
        <w:spacing w:before="2"/>
        <w:ind w:left="698"/>
      </w:pPr>
      <w:r>
        <w:rPr/>
        <w:t>本项目涉及的危险物质危险性情况详见表 </w:t>
      </w:r>
      <w:r>
        <w:rPr>
          <w:rFonts w:ascii="Times New Roman" w:eastAsia="Times New Roman"/>
        </w:rPr>
        <w:t>8.4-2~8.4-3</w:t>
      </w:r>
      <w:r>
        <w:rPr/>
        <w:t>。</w:t>
      </w:r>
    </w:p>
    <w:p>
      <w:pPr>
        <w:pStyle w:val="BodyText"/>
        <w:spacing w:before="7"/>
        <w:rPr>
          <w:sz w:val="23"/>
        </w:rPr>
      </w:pPr>
    </w:p>
    <w:p>
      <w:pPr>
        <w:pStyle w:val="Heading4"/>
        <w:tabs>
          <w:tab w:pos="1042" w:val="left" w:leader="none"/>
        </w:tabs>
        <w:spacing w:before="1" w:after="28"/>
        <w:ind w:left="0" w:right="20"/>
        <w:jc w:val="center"/>
      </w:pPr>
      <w:r>
        <w:rPr/>
        <w:t>表</w:t>
      </w:r>
      <w:r>
        <w:rPr>
          <w:spacing w:val="-59"/>
        </w:rPr>
        <w:t> </w:t>
      </w:r>
      <w:r>
        <w:rPr>
          <w:rFonts w:ascii="Times New Roman" w:eastAsia="Times New Roman"/>
        </w:rPr>
        <w:t>8.4-2</w:t>
        <w:tab/>
      </w:r>
      <w:r>
        <w:rPr/>
        <w:t>评价项目主要物料基本情况一览表</w:t>
      </w:r>
    </w:p>
    <w:tbl>
      <w:tblPr>
        <w:tblW w:w="0" w:type="auto"/>
        <w:jc w:val="left"/>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1120"/>
        <w:gridCol w:w="1116"/>
        <w:gridCol w:w="1881"/>
        <w:gridCol w:w="1277"/>
        <w:gridCol w:w="3147"/>
      </w:tblGrid>
      <w:tr>
        <w:trPr>
          <w:trHeight w:val="544" w:hRule="atLeast"/>
        </w:trPr>
        <w:tc>
          <w:tcPr>
            <w:tcW w:w="590" w:type="dxa"/>
          </w:tcPr>
          <w:p>
            <w:pPr>
              <w:pStyle w:val="TableParagraph"/>
              <w:spacing w:before="135"/>
              <w:ind w:left="60" w:right="50"/>
              <w:rPr>
                <w:b/>
                <w:sz w:val="21"/>
              </w:rPr>
            </w:pPr>
            <w:r>
              <w:rPr>
                <w:b/>
                <w:sz w:val="21"/>
              </w:rPr>
              <w:t>序号</w:t>
            </w:r>
          </w:p>
        </w:tc>
        <w:tc>
          <w:tcPr>
            <w:tcW w:w="1120" w:type="dxa"/>
          </w:tcPr>
          <w:p>
            <w:pPr>
              <w:pStyle w:val="TableParagraph"/>
              <w:spacing w:before="135"/>
              <w:ind w:left="350"/>
              <w:jc w:val="left"/>
              <w:rPr>
                <w:b/>
                <w:sz w:val="21"/>
              </w:rPr>
            </w:pPr>
            <w:r>
              <w:rPr>
                <w:b/>
                <w:sz w:val="21"/>
              </w:rPr>
              <w:t>品名</w:t>
            </w:r>
          </w:p>
        </w:tc>
        <w:tc>
          <w:tcPr>
            <w:tcW w:w="1116" w:type="dxa"/>
          </w:tcPr>
          <w:p>
            <w:pPr>
              <w:pStyle w:val="TableParagraph"/>
              <w:spacing w:before="135"/>
              <w:ind w:left="348"/>
              <w:jc w:val="left"/>
              <w:rPr>
                <w:b/>
                <w:sz w:val="21"/>
              </w:rPr>
            </w:pPr>
            <w:r>
              <w:rPr>
                <w:b/>
                <w:sz w:val="21"/>
              </w:rPr>
              <w:t>别名</w:t>
            </w:r>
          </w:p>
        </w:tc>
        <w:tc>
          <w:tcPr>
            <w:tcW w:w="1881" w:type="dxa"/>
          </w:tcPr>
          <w:p>
            <w:pPr>
              <w:pStyle w:val="TableParagraph"/>
              <w:spacing w:before="1"/>
              <w:ind w:left="54" w:right="38"/>
              <w:rPr>
                <w:b/>
                <w:sz w:val="21"/>
              </w:rPr>
            </w:pPr>
            <w:r>
              <w:rPr>
                <w:b/>
                <w:sz w:val="21"/>
              </w:rPr>
              <w:t>《</w:t>
            </w:r>
            <w:r>
              <w:rPr>
                <w:rFonts w:ascii="Times New Roman" w:eastAsia="Times New Roman"/>
                <w:b/>
                <w:sz w:val="21"/>
              </w:rPr>
              <w:t>2015 </w:t>
            </w:r>
            <w:r>
              <w:rPr>
                <w:b/>
                <w:sz w:val="21"/>
              </w:rPr>
              <w:t>年危险化学</w:t>
            </w:r>
          </w:p>
          <w:p>
            <w:pPr>
              <w:pStyle w:val="TableParagraph"/>
              <w:spacing w:line="252" w:lineRule="exact" w:before="2"/>
              <w:ind w:left="54" w:right="36"/>
              <w:rPr>
                <w:b/>
                <w:sz w:val="21"/>
              </w:rPr>
            </w:pPr>
            <w:r>
              <w:rPr>
                <w:b/>
                <w:sz w:val="21"/>
              </w:rPr>
              <w:t>品目录》序号</w:t>
            </w:r>
          </w:p>
        </w:tc>
        <w:tc>
          <w:tcPr>
            <w:tcW w:w="1277" w:type="dxa"/>
          </w:tcPr>
          <w:p>
            <w:pPr>
              <w:pStyle w:val="TableParagraph"/>
              <w:spacing w:before="135"/>
              <w:ind w:left="16" w:right="4"/>
              <w:rPr>
                <w:b/>
                <w:sz w:val="21"/>
              </w:rPr>
            </w:pPr>
            <w:r>
              <w:rPr>
                <w:rFonts w:ascii="Times New Roman" w:eastAsia="Times New Roman"/>
                <w:b/>
                <w:sz w:val="21"/>
              </w:rPr>
              <w:t>CAS </w:t>
            </w:r>
            <w:r>
              <w:rPr>
                <w:b/>
                <w:sz w:val="21"/>
              </w:rPr>
              <w:t>号</w:t>
            </w:r>
          </w:p>
        </w:tc>
        <w:tc>
          <w:tcPr>
            <w:tcW w:w="3147" w:type="dxa"/>
          </w:tcPr>
          <w:p>
            <w:pPr>
              <w:pStyle w:val="TableParagraph"/>
              <w:spacing w:before="135"/>
              <w:ind w:left="1046"/>
              <w:jc w:val="left"/>
              <w:rPr>
                <w:b/>
                <w:sz w:val="21"/>
              </w:rPr>
            </w:pPr>
            <w:r>
              <w:rPr>
                <w:b/>
                <w:sz w:val="21"/>
              </w:rPr>
              <w:t>危险性类别</w:t>
            </w:r>
          </w:p>
        </w:tc>
      </w:tr>
      <w:tr>
        <w:trPr>
          <w:trHeight w:val="544" w:hRule="atLeast"/>
        </w:trPr>
        <w:tc>
          <w:tcPr>
            <w:tcW w:w="590" w:type="dxa"/>
          </w:tcPr>
          <w:p>
            <w:pPr>
              <w:pStyle w:val="TableParagraph"/>
              <w:spacing w:before="179"/>
              <w:ind w:right="37"/>
              <w:rPr>
                <w:rFonts w:ascii="Times New Roman"/>
                <w:sz w:val="18"/>
              </w:rPr>
            </w:pPr>
            <w:r>
              <w:rPr>
                <w:rFonts w:ascii="Times New Roman"/>
                <w:sz w:val="18"/>
              </w:rPr>
              <w:t>1</w:t>
            </w:r>
          </w:p>
        </w:tc>
        <w:tc>
          <w:tcPr>
            <w:tcW w:w="1120" w:type="dxa"/>
          </w:tcPr>
          <w:p>
            <w:pPr>
              <w:pStyle w:val="TableParagraph"/>
              <w:spacing w:before="138"/>
              <w:ind w:left="350"/>
              <w:jc w:val="left"/>
              <w:rPr>
                <w:sz w:val="21"/>
              </w:rPr>
            </w:pPr>
            <w:r>
              <w:rPr>
                <w:sz w:val="21"/>
              </w:rPr>
              <w:t>甲酸</w:t>
            </w:r>
          </w:p>
        </w:tc>
        <w:tc>
          <w:tcPr>
            <w:tcW w:w="1116" w:type="dxa"/>
          </w:tcPr>
          <w:p>
            <w:pPr>
              <w:pStyle w:val="TableParagraph"/>
              <w:spacing w:before="138"/>
              <w:ind w:left="348"/>
              <w:jc w:val="left"/>
              <w:rPr>
                <w:sz w:val="21"/>
              </w:rPr>
            </w:pPr>
            <w:r>
              <w:rPr>
                <w:sz w:val="21"/>
              </w:rPr>
              <w:t>蚁酸</w:t>
            </w:r>
          </w:p>
        </w:tc>
        <w:tc>
          <w:tcPr>
            <w:tcW w:w="1881" w:type="dxa"/>
          </w:tcPr>
          <w:p>
            <w:pPr>
              <w:pStyle w:val="TableParagraph"/>
              <w:spacing w:before="151"/>
              <w:ind w:left="54" w:right="36"/>
              <w:rPr>
                <w:rFonts w:ascii="Times New Roman"/>
                <w:sz w:val="21"/>
              </w:rPr>
            </w:pPr>
            <w:r>
              <w:rPr>
                <w:rFonts w:ascii="Times New Roman"/>
                <w:sz w:val="21"/>
              </w:rPr>
              <w:t>1175</w:t>
            </w:r>
          </w:p>
        </w:tc>
        <w:tc>
          <w:tcPr>
            <w:tcW w:w="1277" w:type="dxa"/>
          </w:tcPr>
          <w:p>
            <w:pPr>
              <w:pStyle w:val="TableParagraph"/>
              <w:spacing w:before="151"/>
              <w:ind w:left="18" w:right="4"/>
              <w:rPr>
                <w:rFonts w:ascii="Times New Roman"/>
                <w:sz w:val="21"/>
              </w:rPr>
            </w:pPr>
            <w:r>
              <w:rPr>
                <w:rFonts w:ascii="Times New Roman"/>
                <w:sz w:val="21"/>
              </w:rPr>
              <w:t>64-18-6</w:t>
            </w:r>
          </w:p>
        </w:tc>
        <w:tc>
          <w:tcPr>
            <w:tcW w:w="3147" w:type="dxa"/>
          </w:tcPr>
          <w:p>
            <w:pPr>
              <w:pStyle w:val="TableParagraph"/>
              <w:spacing w:before="1"/>
              <w:ind w:left="340" w:right="332"/>
              <w:rPr>
                <w:rFonts w:ascii="Times New Roman" w:eastAsia="Times New Roman"/>
                <w:sz w:val="21"/>
              </w:rPr>
            </w:pPr>
            <w:r>
              <w:rPr>
                <w:sz w:val="21"/>
              </w:rPr>
              <w:t>皮肤腐蚀</w:t>
            </w:r>
            <w:r>
              <w:rPr>
                <w:rFonts w:ascii="Times New Roman" w:eastAsia="Times New Roman"/>
                <w:sz w:val="21"/>
              </w:rPr>
              <w:t>/</w:t>
            </w:r>
            <w:r>
              <w:rPr>
                <w:sz w:val="21"/>
              </w:rPr>
              <w:t>刺激</w:t>
            </w:r>
            <w:r>
              <w:rPr>
                <w:rFonts w:ascii="Times New Roman" w:eastAsia="Times New Roman"/>
                <w:sz w:val="21"/>
              </w:rPr>
              <w:t>,</w:t>
            </w:r>
            <w:r>
              <w:rPr>
                <w:sz w:val="21"/>
              </w:rPr>
              <w:t>类别 </w:t>
            </w:r>
            <w:r>
              <w:rPr>
                <w:rFonts w:ascii="Times New Roman" w:eastAsia="Times New Roman"/>
                <w:sz w:val="21"/>
              </w:rPr>
              <w:t>1A</w:t>
            </w:r>
          </w:p>
          <w:p>
            <w:pPr>
              <w:pStyle w:val="TableParagraph"/>
              <w:spacing w:line="252" w:lineRule="exact" w:before="2"/>
              <w:ind w:left="344" w:right="332"/>
              <w:rPr>
                <w:rFonts w:ascii="Times New Roman" w:eastAsia="Times New Roman"/>
                <w:sz w:val="21"/>
              </w:rPr>
            </w:pPr>
            <w:r>
              <w:rPr>
                <w:sz w:val="21"/>
              </w:rPr>
              <w:t>严重眼损伤</w:t>
            </w:r>
            <w:r>
              <w:rPr>
                <w:rFonts w:ascii="Times New Roman" w:eastAsia="Times New Roman"/>
                <w:sz w:val="21"/>
              </w:rPr>
              <w:t>/</w:t>
            </w:r>
            <w:r>
              <w:rPr>
                <w:sz w:val="21"/>
              </w:rPr>
              <w:t>眼刺激</w:t>
            </w:r>
            <w:r>
              <w:rPr>
                <w:rFonts w:ascii="Times New Roman" w:eastAsia="Times New Roman"/>
                <w:sz w:val="21"/>
              </w:rPr>
              <w:t>,</w:t>
            </w:r>
            <w:r>
              <w:rPr>
                <w:sz w:val="21"/>
              </w:rPr>
              <w:t>类别 </w:t>
            </w:r>
            <w:r>
              <w:rPr>
                <w:rFonts w:ascii="Times New Roman" w:eastAsia="Times New Roman"/>
                <w:sz w:val="21"/>
              </w:rPr>
              <w:t>1</w:t>
            </w:r>
          </w:p>
        </w:tc>
      </w:tr>
    </w:tbl>
    <w:p>
      <w:pPr>
        <w:tabs>
          <w:tab w:pos="1222" w:val="left" w:leader="none"/>
        </w:tabs>
        <w:spacing w:before="144" w:after="29"/>
        <w:ind w:left="0" w:right="20" w:firstLine="0"/>
        <w:jc w:val="center"/>
        <w:rPr>
          <w:b/>
          <w:sz w:val="24"/>
        </w:rPr>
      </w:pPr>
      <w:r>
        <w:rPr>
          <w:b/>
          <w:sz w:val="24"/>
        </w:rPr>
        <w:t>表</w:t>
      </w:r>
      <w:r>
        <w:rPr>
          <w:b/>
          <w:spacing w:val="-60"/>
          <w:sz w:val="24"/>
        </w:rPr>
        <w:t> </w:t>
      </w:r>
      <w:r>
        <w:rPr>
          <w:rFonts w:ascii="Times New Roman" w:eastAsia="Times New Roman"/>
          <w:b/>
          <w:sz w:val="24"/>
        </w:rPr>
        <w:t>7.4.4-3</w:t>
        <w:tab/>
      </w:r>
      <w:r>
        <w:rPr>
          <w:b/>
          <w:sz w:val="24"/>
        </w:rPr>
        <w:t>危险化学品主要危险、有害特性数据表</w:t>
      </w: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3"/>
        <w:gridCol w:w="1135"/>
        <w:gridCol w:w="1133"/>
        <w:gridCol w:w="1365"/>
        <w:gridCol w:w="1389"/>
        <w:gridCol w:w="1062"/>
        <w:gridCol w:w="1259"/>
        <w:gridCol w:w="1069"/>
      </w:tblGrid>
      <w:tr>
        <w:trPr>
          <w:trHeight w:val="544" w:hRule="atLeast"/>
        </w:trPr>
        <w:tc>
          <w:tcPr>
            <w:tcW w:w="763" w:type="dxa"/>
          </w:tcPr>
          <w:p>
            <w:pPr>
              <w:pStyle w:val="TableParagraph"/>
              <w:spacing w:before="137"/>
              <w:ind w:left="18" w:right="9"/>
              <w:rPr>
                <w:b/>
                <w:sz w:val="21"/>
              </w:rPr>
            </w:pPr>
            <w:r>
              <w:rPr>
                <w:b/>
                <w:sz w:val="21"/>
              </w:rPr>
              <w:t>序号</w:t>
            </w:r>
          </w:p>
        </w:tc>
        <w:tc>
          <w:tcPr>
            <w:tcW w:w="1135" w:type="dxa"/>
          </w:tcPr>
          <w:p>
            <w:pPr>
              <w:pStyle w:val="TableParagraph"/>
              <w:spacing w:before="137"/>
              <w:ind w:left="15" w:right="8"/>
              <w:rPr>
                <w:b/>
                <w:sz w:val="21"/>
              </w:rPr>
            </w:pPr>
            <w:r>
              <w:rPr>
                <w:b/>
                <w:sz w:val="21"/>
              </w:rPr>
              <w:t>物质名称</w:t>
            </w:r>
          </w:p>
        </w:tc>
        <w:tc>
          <w:tcPr>
            <w:tcW w:w="1133" w:type="dxa"/>
          </w:tcPr>
          <w:p>
            <w:pPr>
              <w:pStyle w:val="TableParagraph"/>
              <w:spacing w:before="137"/>
              <w:ind w:left="16" w:right="6"/>
              <w:rPr>
                <w:b/>
                <w:sz w:val="21"/>
              </w:rPr>
            </w:pPr>
            <w:r>
              <w:rPr>
                <w:b/>
                <w:sz w:val="21"/>
              </w:rPr>
              <w:t>火险类别</w:t>
            </w:r>
          </w:p>
        </w:tc>
        <w:tc>
          <w:tcPr>
            <w:tcW w:w="1365" w:type="dxa"/>
          </w:tcPr>
          <w:p>
            <w:pPr>
              <w:pStyle w:val="TableParagraph"/>
              <w:spacing w:before="137"/>
              <w:ind w:left="128" w:right="116"/>
              <w:rPr>
                <w:rFonts w:ascii="Times New Roman" w:hAnsi="Times New Roman" w:eastAsia="Times New Roman"/>
                <w:b/>
                <w:sz w:val="21"/>
              </w:rPr>
            </w:pPr>
            <w:r>
              <w:rPr>
                <w:b/>
                <w:sz w:val="21"/>
              </w:rPr>
              <w:t>引燃温度</w:t>
            </w:r>
            <w:r>
              <w:rPr>
                <w:rFonts w:ascii="Times New Roman" w:hAnsi="Times New Roman" w:eastAsia="Times New Roman"/>
                <w:b/>
                <w:sz w:val="21"/>
              </w:rPr>
              <w:t>℃</w:t>
            </w:r>
          </w:p>
        </w:tc>
        <w:tc>
          <w:tcPr>
            <w:tcW w:w="1389" w:type="dxa"/>
          </w:tcPr>
          <w:p>
            <w:pPr>
              <w:pStyle w:val="TableParagraph"/>
              <w:spacing w:before="137"/>
              <w:ind w:left="354" w:right="344"/>
              <w:rPr>
                <w:b/>
                <w:sz w:val="21"/>
              </w:rPr>
            </w:pPr>
            <w:r>
              <w:rPr>
                <w:b/>
                <w:sz w:val="21"/>
              </w:rPr>
              <w:t>沸点℃</w:t>
            </w:r>
          </w:p>
        </w:tc>
        <w:tc>
          <w:tcPr>
            <w:tcW w:w="1062" w:type="dxa"/>
          </w:tcPr>
          <w:p>
            <w:pPr>
              <w:pStyle w:val="TableParagraph"/>
              <w:spacing w:before="137"/>
              <w:ind w:left="189" w:right="174"/>
              <w:rPr>
                <w:rFonts w:ascii="Times New Roman" w:hAnsi="Times New Roman" w:eastAsia="Times New Roman"/>
                <w:b/>
                <w:sz w:val="21"/>
              </w:rPr>
            </w:pPr>
            <w:r>
              <w:rPr>
                <w:b/>
                <w:sz w:val="21"/>
              </w:rPr>
              <w:t>闪点</w:t>
            </w:r>
            <w:r>
              <w:rPr>
                <w:rFonts w:ascii="Times New Roman" w:hAnsi="Times New Roman" w:eastAsia="Times New Roman"/>
                <w:b/>
                <w:sz w:val="21"/>
              </w:rPr>
              <w:t>℃</w:t>
            </w:r>
          </w:p>
        </w:tc>
        <w:tc>
          <w:tcPr>
            <w:tcW w:w="1259" w:type="dxa"/>
          </w:tcPr>
          <w:p>
            <w:pPr>
              <w:pStyle w:val="TableParagraph"/>
              <w:spacing w:before="17"/>
              <w:ind w:left="192" w:right="172"/>
              <w:rPr>
                <w:b/>
                <w:sz w:val="21"/>
              </w:rPr>
            </w:pPr>
            <w:r>
              <w:rPr>
                <w:b/>
                <w:sz w:val="21"/>
              </w:rPr>
              <w:t>爆炸极限</w:t>
            </w:r>
          </w:p>
          <w:p>
            <w:pPr>
              <w:pStyle w:val="TableParagraph"/>
              <w:spacing w:line="236" w:lineRule="exact" w:before="2"/>
              <w:ind w:left="192" w:right="171"/>
              <w:rPr>
                <w:rFonts w:ascii="Times New Roman"/>
                <w:b/>
                <w:sz w:val="21"/>
              </w:rPr>
            </w:pPr>
            <w:r>
              <w:rPr>
                <w:rFonts w:ascii="Times New Roman"/>
                <w:b/>
                <w:sz w:val="21"/>
              </w:rPr>
              <w:t>V%</w:t>
            </w:r>
          </w:p>
        </w:tc>
        <w:tc>
          <w:tcPr>
            <w:tcW w:w="1069" w:type="dxa"/>
          </w:tcPr>
          <w:p>
            <w:pPr>
              <w:pStyle w:val="TableParagraph"/>
              <w:spacing w:before="1"/>
              <w:ind w:left="28" w:right="7"/>
              <w:rPr>
                <w:b/>
                <w:sz w:val="21"/>
              </w:rPr>
            </w:pPr>
            <w:r>
              <w:rPr>
                <w:b/>
                <w:sz w:val="21"/>
              </w:rPr>
              <w:t>毒性危害</w:t>
            </w:r>
          </w:p>
          <w:p>
            <w:pPr>
              <w:pStyle w:val="TableParagraph"/>
              <w:spacing w:line="250" w:lineRule="exact" w:before="4"/>
              <w:ind w:left="28" w:right="7"/>
              <w:rPr>
                <w:b/>
                <w:sz w:val="21"/>
              </w:rPr>
            </w:pPr>
            <w:r>
              <w:rPr>
                <w:b/>
                <w:sz w:val="21"/>
              </w:rPr>
              <w:t>分级</w:t>
            </w:r>
          </w:p>
        </w:tc>
      </w:tr>
      <w:tr>
        <w:trPr>
          <w:trHeight w:val="273" w:hRule="atLeast"/>
        </w:trPr>
        <w:tc>
          <w:tcPr>
            <w:tcW w:w="763" w:type="dxa"/>
          </w:tcPr>
          <w:p>
            <w:pPr>
              <w:pStyle w:val="TableParagraph"/>
              <w:spacing w:before="43"/>
              <w:ind w:left="99"/>
              <w:rPr>
                <w:rFonts w:ascii="Times New Roman"/>
                <w:sz w:val="18"/>
              </w:rPr>
            </w:pPr>
            <w:r>
              <w:rPr>
                <w:rFonts w:ascii="Times New Roman"/>
                <w:sz w:val="18"/>
              </w:rPr>
              <w:t>1</w:t>
            </w:r>
          </w:p>
        </w:tc>
        <w:tc>
          <w:tcPr>
            <w:tcW w:w="1135" w:type="dxa"/>
          </w:tcPr>
          <w:p>
            <w:pPr>
              <w:pStyle w:val="TableParagraph"/>
              <w:spacing w:line="252" w:lineRule="exact" w:before="1"/>
              <w:ind w:left="15" w:right="8"/>
              <w:rPr>
                <w:sz w:val="21"/>
              </w:rPr>
            </w:pPr>
            <w:r>
              <w:rPr>
                <w:sz w:val="21"/>
              </w:rPr>
              <w:t>甲酸</w:t>
            </w:r>
          </w:p>
        </w:tc>
        <w:tc>
          <w:tcPr>
            <w:tcW w:w="1133" w:type="dxa"/>
          </w:tcPr>
          <w:p>
            <w:pPr>
              <w:pStyle w:val="TableParagraph"/>
              <w:spacing w:line="252" w:lineRule="exact" w:before="1"/>
              <w:ind w:left="10"/>
              <w:rPr>
                <w:sz w:val="21"/>
              </w:rPr>
            </w:pPr>
            <w:r>
              <w:rPr>
                <w:w w:val="100"/>
                <w:sz w:val="21"/>
              </w:rPr>
              <w:t>丙</w:t>
            </w:r>
          </w:p>
        </w:tc>
        <w:tc>
          <w:tcPr>
            <w:tcW w:w="1365" w:type="dxa"/>
          </w:tcPr>
          <w:p>
            <w:pPr>
              <w:pStyle w:val="TableParagraph"/>
              <w:spacing w:line="238" w:lineRule="exact" w:before="15"/>
              <w:ind w:left="128" w:right="114"/>
              <w:rPr>
                <w:rFonts w:ascii="Times New Roman"/>
                <w:sz w:val="21"/>
              </w:rPr>
            </w:pPr>
            <w:r>
              <w:rPr>
                <w:rFonts w:ascii="Times New Roman"/>
                <w:sz w:val="21"/>
              </w:rPr>
              <w:t>410</w:t>
            </w:r>
          </w:p>
        </w:tc>
        <w:tc>
          <w:tcPr>
            <w:tcW w:w="1389" w:type="dxa"/>
          </w:tcPr>
          <w:p>
            <w:pPr>
              <w:pStyle w:val="TableParagraph"/>
              <w:spacing w:line="238" w:lineRule="exact" w:before="15"/>
              <w:ind w:left="354" w:right="344"/>
              <w:rPr>
                <w:rFonts w:ascii="Times New Roman"/>
                <w:sz w:val="21"/>
              </w:rPr>
            </w:pPr>
            <w:r>
              <w:rPr>
                <w:rFonts w:ascii="Times New Roman"/>
                <w:sz w:val="21"/>
              </w:rPr>
              <w:t>100.8</w:t>
            </w:r>
          </w:p>
        </w:tc>
        <w:tc>
          <w:tcPr>
            <w:tcW w:w="1062" w:type="dxa"/>
          </w:tcPr>
          <w:p>
            <w:pPr>
              <w:pStyle w:val="TableParagraph"/>
              <w:spacing w:line="238" w:lineRule="exact" w:before="15"/>
              <w:ind w:left="187" w:right="174"/>
              <w:rPr>
                <w:rFonts w:ascii="Times New Roman"/>
                <w:sz w:val="21"/>
              </w:rPr>
            </w:pPr>
            <w:r>
              <w:rPr>
                <w:rFonts w:ascii="Times New Roman"/>
                <w:sz w:val="21"/>
              </w:rPr>
              <w:t>68.9</w:t>
            </w:r>
          </w:p>
        </w:tc>
        <w:tc>
          <w:tcPr>
            <w:tcW w:w="1259" w:type="dxa"/>
          </w:tcPr>
          <w:p>
            <w:pPr>
              <w:pStyle w:val="TableParagraph"/>
              <w:spacing w:line="238" w:lineRule="exact" w:before="15"/>
              <w:ind w:left="231"/>
              <w:jc w:val="left"/>
              <w:rPr>
                <w:rFonts w:ascii="Times New Roman"/>
                <w:sz w:val="21"/>
              </w:rPr>
            </w:pPr>
            <w:r>
              <w:rPr>
                <w:rFonts w:ascii="Times New Roman"/>
                <w:sz w:val="21"/>
              </w:rPr>
              <w:t>18.0-57.0</w:t>
            </w:r>
          </w:p>
        </w:tc>
        <w:tc>
          <w:tcPr>
            <w:tcW w:w="1069" w:type="dxa"/>
          </w:tcPr>
          <w:p>
            <w:pPr>
              <w:pStyle w:val="TableParagraph"/>
              <w:spacing w:line="238" w:lineRule="exact" w:before="15"/>
              <w:ind w:left="22"/>
              <w:rPr>
                <w:rFonts w:ascii="Times New Roman" w:hAnsi="Times New Roman"/>
                <w:sz w:val="21"/>
              </w:rPr>
            </w:pPr>
            <w:r>
              <w:rPr>
                <w:rFonts w:ascii="Times New Roman" w:hAnsi="Times New Roman"/>
                <w:w w:val="100"/>
                <w:sz w:val="21"/>
              </w:rPr>
              <w:t>Ⅳ</w:t>
            </w:r>
          </w:p>
        </w:tc>
      </w:tr>
    </w:tbl>
    <w:p>
      <w:pPr>
        <w:pStyle w:val="ListParagraph"/>
        <w:numPr>
          <w:ilvl w:val="2"/>
          <w:numId w:val="23"/>
        </w:numPr>
        <w:tabs>
          <w:tab w:pos="1059" w:val="left" w:leader="none"/>
        </w:tabs>
        <w:spacing w:line="240" w:lineRule="auto" w:before="3" w:after="0"/>
        <w:ind w:left="1058" w:right="0" w:hanging="601"/>
        <w:jc w:val="left"/>
        <w:rPr>
          <w:b/>
          <w:sz w:val="24"/>
        </w:rPr>
      </w:pPr>
      <w:r>
        <w:rPr>
          <w:b/>
          <w:sz w:val="24"/>
        </w:rPr>
        <w:t>生产系统危险性识别</w:t>
      </w:r>
    </w:p>
    <w:p>
      <w:pPr>
        <w:pStyle w:val="BodyText"/>
        <w:spacing w:line="364" w:lineRule="auto" w:before="158"/>
        <w:ind w:left="218" w:right="173" w:firstLine="480"/>
      </w:pPr>
      <w:r>
        <w:rPr/>
        <w:t>本项目生产系统危险性主要从生产装置、储罐区和污染物收集处理区域等方面进行分析。</w:t>
      </w:r>
    </w:p>
    <w:p>
      <w:pPr>
        <w:pStyle w:val="Heading4"/>
        <w:spacing w:before="1"/>
      </w:pPr>
      <w:r>
        <w:rPr>
          <w:rFonts w:ascii="Times New Roman" w:eastAsia="Times New Roman"/>
        </w:rPr>
        <w:t>1</w:t>
      </w:r>
      <w:r>
        <w:rPr/>
        <w:t>、生产装置区</w:t>
      </w:r>
    </w:p>
    <w:p>
      <w:pPr>
        <w:pStyle w:val="BodyText"/>
        <w:spacing w:before="158"/>
        <w:ind w:left="698"/>
      </w:pPr>
      <w:r>
        <w:rPr>
          <w:spacing w:val="-10"/>
        </w:rPr>
        <w:t>设备、装置故障</w:t>
      </w:r>
      <w:r>
        <w:rPr/>
        <w:t>（含缺陷</w:t>
      </w:r>
      <w:r>
        <w:rPr>
          <w:spacing w:val="-29"/>
        </w:rPr>
        <w:t>）</w:t>
      </w:r>
      <w:r>
        <w:rPr>
          <w:spacing w:val="-7"/>
        </w:rPr>
        <w:t>是导致事故的主要因素之一，设备、装置故障</w:t>
      </w:r>
      <w:r>
        <w:rPr/>
        <w:t>（含缺陷）</w:t>
      </w:r>
    </w:p>
    <w:p>
      <w:pPr>
        <w:spacing w:after="0"/>
        <w:sectPr>
          <w:pgSz w:w="11910" w:h="16840"/>
          <w:pgMar w:header="872" w:footer="945" w:top="1320" w:bottom="1140" w:left="1200" w:right="1180"/>
        </w:sectPr>
      </w:pPr>
    </w:p>
    <w:p>
      <w:pPr>
        <w:pStyle w:val="BodyText"/>
        <w:spacing w:line="364" w:lineRule="auto" w:before="84"/>
        <w:ind w:left="218" w:right="115"/>
      </w:pPr>
      <w:r>
        <w:rPr>
          <w:spacing w:val="-5"/>
        </w:rPr>
        <w:t>大体表现在以下几个方面：设备、设施、附件的结构不合理，强度不够，材质不符合设</w:t>
      </w:r>
      <w:r>
        <w:rPr>
          <w:spacing w:val="-14"/>
        </w:rPr>
        <w:t>计要求；设备、设施、附件的制造、维修、调整不良；缺少安全防护装置</w:t>
      </w:r>
      <w:r>
        <w:rPr/>
        <w:t>（</w:t>
      </w:r>
      <w:r>
        <w:rPr>
          <w:spacing w:val="-7"/>
        </w:rPr>
        <w:t>保护、保险、</w:t>
      </w:r>
      <w:r>
        <w:rPr/>
        <w:t>信号装置等</w:t>
      </w:r>
      <w:r>
        <w:rPr>
          <w:spacing w:val="-44"/>
        </w:rPr>
        <w:t>）</w:t>
      </w:r>
      <w:r>
        <w:rPr>
          <w:spacing w:val="-7"/>
        </w:rPr>
        <w:t>或者安全装置有缺陷，无警戒设施或警戒有缺陷</w:t>
      </w:r>
      <w:r>
        <w:rPr/>
        <w:t>（</w:t>
      </w:r>
      <w:r>
        <w:rPr>
          <w:spacing w:val="-8"/>
        </w:rPr>
        <w:t>如警戒区不明、无标志、</w:t>
      </w:r>
      <w:r>
        <w:rPr/>
        <w:t>无栅栏等</w:t>
      </w:r>
      <w:r>
        <w:rPr>
          <w:spacing w:val="-120"/>
        </w:rPr>
        <w:t>）</w:t>
      </w:r>
      <w:r>
        <w:rPr/>
        <w:t>。在生产过程中易发生事故的设备、装置主要有：</w:t>
      </w:r>
    </w:p>
    <w:p>
      <w:pPr>
        <w:pStyle w:val="Heading4"/>
        <w:numPr>
          <w:ilvl w:val="0"/>
          <w:numId w:val="45"/>
        </w:numPr>
        <w:tabs>
          <w:tab w:pos="983" w:val="left" w:leader="none"/>
        </w:tabs>
        <w:spacing w:line="306" w:lineRule="exact" w:before="0" w:after="0"/>
        <w:ind w:left="982" w:right="0" w:hanging="282"/>
        <w:jc w:val="left"/>
      </w:pPr>
      <w:r>
        <w:rPr/>
        <w:t>反应釜</w:t>
      </w:r>
    </w:p>
    <w:p>
      <w:pPr>
        <w:pStyle w:val="BodyText"/>
        <w:spacing w:line="364" w:lineRule="auto" w:before="158"/>
        <w:ind w:left="218" w:right="185" w:firstLine="480"/>
        <w:jc w:val="both"/>
      </w:pPr>
      <w:r>
        <w:rPr/>
        <w:t>本项目反应釜可能因选材不当、设计失误、制造本身的质量缺陷，或不具备抗压、抗高温性能、超期使用，而导致设备因腐蚀、摩擦穿孔、设备变形开裂造成危险化学品泄漏，而引起燃烧、爆炸和中毒的危险、危害。</w:t>
      </w:r>
    </w:p>
    <w:p>
      <w:pPr>
        <w:pStyle w:val="BodyText"/>
        <w:spacing w:line="364" w:lineRule="auto"/>
        <w:ind w:left="218" w:right="115" w:firstLine="480"/>
      </w:pPr>
      <w:r>
        <w:rPr>
          <w:spacing w:val="-4"/>
        </w:rPr>
        <w:t>反应釜如果设计不合理，很容易造成火灾、爆炸事故事故。换热设备不能及时导出</w:t>
      </w:r>
      <w:r>
        <w:rPr>
          <w:spacing w:val="-8"/>
        </w:rPr>
        <w:t>反应器中过多的热量、因器壁结垢传热效果变差、冷却水供给设备发生故障等原因，都</w:t>
      </w:r>
      <w:r>
        <w:rPr>
          <w:spacing w:val="-10"/>
        </w:rPr>
        <w:t>可能导致反应热未能及时移出而发生事故。反应釜缺少安全装置和防护设施，或者安全</w:t>
      </w:r>
      <w:r>
        <w:rPr>
          <w:spacing w:val="-17"/>
        </w:rPr>
        <w:t>装置和防护设施有缺陷可能引起事故，如缺少液位计、压力表、温度计容易造成误操作； </w:t>
      </w:r>
      <w:r>
        <w:rPr/>
        <w:t>缺少止逆阀、安全阀、爆破片等安全附件，容易造成操作失控。</w:t>
      </w:r>
    </w:p>
    <w:p>
      <w:pPr>
        <w:pStyle w:val="BodyText"/>
        <w:spacing w:line="364" w:lineRule="auto"/>
        <w:ind w:left="218" w:right="184" w:firstLine="480"/>
        <w:jc w:val="both"/>
      </w:pPr>
      <w:r>
        <w:rPr/>
        <w:t>生产设备的自动控制水平、仪表安装位置是否正常，对安全情况也有着重要影响， 如果缺少自控报警装置、自动联锁控制装置或者装置不完善，将无法应对突发性事故， 而引发安全事故。</w:t>
      </w:r>
    </w:p>
    <w:p>
      <w:pPr>
        <w:pStyle w:val="Heading4"/>
        <w:numPr>
          <w:ilvl w:val="0"/>
          <w:numId w:val="45"/>
        </w:numPr>
        <w:tabs>
          <w:tab w:pos="983" w:val="left" w:leader="none"/>
        </w:tabs>
        <w:spacing w:line="304" w:lineRule="exact" w:before="0" w:after="0"/>
        <w:ind w:left="982" w:right="0" w:hanging="282"/>
        <w:jc w:val="left"/>
      </w:pPr>
      <w:r>
        <w:rPr/>
        <w:t>蒸馏釜</w:t>
      </w:r>
    </w:p>
    <w:p>
      <w:pPr>
        <w:pStyle w:val="BodyText"/>
        <w:spacing w:line="364" w:lineRule="auto" w:before="159"/>
        <w:ind w:left="218" w:right="232" w:firstLine="480"/>
        <w:jc w:val="both"/>
      </w:pPr>
      <w:r>
        <w:rPr>
          <w:spacing w:val="-4"/>
        </w:rPr>
        <w:t>蒸馏过程因对温度的控制要求非常严格，温度过高或过低都会引起事故。蒸馏对设</w:t>
      </w:r>
      <w:r>
        <w:rPr>
          <w:spacing w:val="-5"/>
        </w:rPr>
        <w:t>备的密闭性要求很高，物料泄漏或空气进入系统都容易引起事故。蒸馏设备的出口管道</w:t>
      </w:r>
      <w:r>
        <w:rPr>
          <w:spacing w:val="-8"/>
        </w:rPr>
        <w:t>被凝结、堵塞，会造成设备内压力升高，发生爆炸。冷却水或加热蒸汽进入系统，会引</w:t>
      </w:r>
      <w:r>
        <w:rPr/>
        <w:t>起蒸馏釜爆炸。</w:t>
      </w:r>
    </w:p>
    <w:p>
      <w:pPr>
        <w:pStyle w:val="Heading4"/>
        <w:numPr>
          <w:ilvl w:val="0"/>
          <w:numId w:val="45"/>
        </w:numPr>
        <w:tabs>
          <w:tab w:pos="982" w:val="left" w:leader="none"/>
        </w:tabs>
        <w:spacing w:line="305" w:lineRule="exact" w:before="0" w:after="0"/>
        <w:ind w:left="981" w:right="0" w:hanging="281"/>
        <w:jc w:val="left"/>
      </w:pPr>
      <w:r>
        <w:rPr/>
        <w:t>管道</w:t>
      </w:r>
    </w:p>
    <w:p>
      <w:pPr>
        <w:pStyle w:val="BodyText"/>
        <w:spacing w:line="364" w:lineRule="auto" w:before="161"/>
        <w:ind w:left="218" w:right="233" w:firstLine="480"/>
        <w:jc w:val="both"/>
      </w:pPr>
      <w:r>
        <w:rPr>
          <w:spacing w:val="2"/>
        </w:rPr>
        <w:t>物料的输送管道（</w:t>
      </w:r>
      <w:r>
        <w:rPr/>
        <w:t>包括法兰、弯头、垫片等管道附件</w:t>
      </w:r>
      <w:r>
        <w:rPr>
          <w:spacing w:val="-118"/>
        </w:rPr>
        <w:t>）</w:t>
      </w:r>
      <w:r>
        <w:rPr/>
        <w:t>，均有发生泄漏的可能。如</w:t>
      </w:r>
      <w:r>
        <w:rPr>
          <w:spacing w:val="-6"/>
        </w:rPr>
        <w:t>这些输送管道的材料缺陷、机械损伤、各种腐蚀、焊缝裂纹或缺陷、外力破坏、施工缺</w:t>
      </w:r>
      <w:r>
        <w:rPr>
          <w:spacing w:val="-4"/>
        </w:rPr>
        <w:t>陷和特殊因素等都可能导致管道局部泄漏。管道堵塞，会造成系统内压力升高，引起爆</w:t>
      </w:r>
      <w:r>
        <w:rPr>
          <w:spacing w:val="-7"/>
        </w:rPr>
        <w:t>炸事故。物料在管道中输送过程中容易产生静电，若管道的静电跨接不符合要求，容易</w:t>
      </w:r>
      <w:r>
        <w:rPr/>
        <w:t>引起火灾、爆炸事故。</w:t>
      </w:r>
    </w:p>
    <w:p>
      <w:pPr>
        <w:pStyle w:val="Heading4"/>
        <w:numPr>
          <w:ilvl w:val="0"/>
          <w:numId w:val="45"/>
        </w:numPr>
        <w:tabs>
          <w:tab w:pos="983" w:val="left" w:leader="none"/>
        </w:tabs>
        <w:spacing w:line="304" w:lineRule="exact" w:before="0" w:after="0"/>
        <w:ind w:left="982" w:right="0" w:hanging="282"/>
        <w:jc w:val="left"/>
      </w:pPr>
      <w:r>
        <w:rPr/>
        <w:t>机泵、阀门</w:t>
      </w:r>
    </w:p>
    <w:p>
      <w:pPr>
        <w:pStyle w:val="BodyText"/>
        <w:spacing w:line="362" w:lineRule="auto" w:before="160"/>
        <w:ind w:left="218" w:right="232" w:firstLine="480"/>
      </w:pPr>
      <w:r>
        <w:rPr>
          <w:spacing w:val="-8"/>
        </w:rPr>
        <w:t>泵体、轴封缺陷，排放阀、润滑系统缺陷及管道系统的阀门、法兰等密封不好或填料缺陷，正常腐蚀，操作失误等易造成泄漏。尤其是装卸物料时，所接的临时接口，更</w:t>
      </w:r>
    </w:p>
    <w:p>
      <w:pPr>
        <w:spacing w:after="0" w:line="362" w:lineRule="auto"/>
        <w:sectPr>
          <w:pgSz w:w="11910" w:h="16840"/>
          <w:pgMar w:header="872" w:footer="945" w:top="1320" w:bottom="1140" w:left="1200" w:right="1180"/>
        </w:sectPr>
      </w:pPr>
    </w:p>
    <w:p>
      <w:pPr>
        <w:pStyle w:val="BodyText"/>
        <w:spacing w:before="84"/>
        <w:ind w:left="218"/>
      </w:pPr>
      <w:r>
        <w:rPr/>
        <w:t>易发生泄漏。</w:t>
      </w:r>
    </w:p>
    <w:p>
      <w:pPr>
        <w:pStyle w:val="Heading4"/>
        <w:numPr>
          <w:ilvl w:val="0"/>
          <w:numId w:val="45"/>
        </w:numPr>
        <w:tabs>
          <w:tab w:pos="983" w:val="left" w:leader="none"/>
        </w:tabs>
        <w:spacing w:line="240" w:lineRule="auto" w:before="159" w:after="0"/>
        <w:ind w:left="982" w:right="0" w:hanging="282"/>
        <w:jc w:val="left"/>
      </w:pPr>
      <w:r>
        <w:rPr/>
        <w:t>自动控制及联锁系统</w:t>
      </w:r>
    </w:p>
    <w:p>
      <w:pPr>
        <w:pStyle w:val="BodyText"/>
        <w:spacing w:line="364" w:lineRule="auto" w:before="160"/>
        <w:ind w:left="218" w:right="232" w:firstLine="480"/>
        <w:jc w:val="both"/>
      </w:pPr>
      <w:r>
        <w:rPr>
          <w:spacing w:val="-4"/>
        </w:rPr>
        <w:t>本项目采用 </w:t>
      </w:r>
      <w:r>
        <w:rPr>
          <w:rFonts w:ascii="Times New Roman" w:hAnsi="Times New Roman" w:eastAsia="Times New Roman"/>
        </w:rPr>
        <w:t>DCS </w:t>
      </w:r>
      <w:r>
        <w:rPr>
          <w:spacing w:val="-1"/>
        </w:rPr>
        <w:t>自动化控制系统，控制台可实时采集、显示所有相关电动阀门信</w:t>
      </w:r>
      <w:r>
        <w:rPr>
          <w:spacing w:val="-7"/>
        </w:rPr>
        <w:t>息，可对各阀门进行开关操作等，并通过光缆将信息传送到控制室。导致自动控制及联</w:t>
      </w:r>
      <w:r>
        <w:rPr>
          <w:spacing w:val="-5"/>
        </w:rPr>
        <w:t>锁系统瘫痪的原因主要如下：①雷电及运行过程中产生过电压、雷电感应波的雷击；② </w:t>
      </w:r>
      <w:r>
        <w:rPr>
          <w:spacing w:val="-6"/>
        </w:rPr>
        <w:t>电缆故障或失火；③抗干扰、自诊断、自恢复能力差；④分散控制系统失灵；⑤封盖不</w:t>
      </w:r>
      <w:r>
        <w:rPr>
          <w:spacing w:val="-7"/>
        </w:rPr>
        <w:t>严鼠类等小动物进入损坏电缆；⑥裕度及冗余度不够；⑦后备电源不可靠；⑧系统接地</w:t>
      </w:r>
      <w:r>
        <w:rPr>
          <w:spacing w:val="-9"/>
        </w:rPr>
        <w:t>不合要求，控制信号电缆质量不好；⑨重要操作按钮不能满足各种工况下的要求；⑩供</w:t>
      </w:r>
      <w:r>
        <w:rPr/>
        <w:t>电系统失电或断电。</w:t>
      </w:r>
    </w:p>
    <w:p>
      <w:pPr>
        <w:pStyle w:val="BodyText"/>
        <w:spacing w:line="364" w:lineRule="auto"/>
        <w:ind w:left="218" w:right="235" w:firstLine="480"/>
        <w:jc w:val="both"/>
      </w:pPr>
      <w:r>
        <w:rPr>
          <w:rFonts w:ascii="Times New Roman" w:eastAsia="Times New Roman"/>
        </w:rPr>
        <w:t>DCS </w:t>
      </w:r>
      <w:r>
        <w:rPr>
          <w:spacing w:val="-10"/>
        </w:rPr>
        <w:t>控制系统断电、控制站失灵和电气联锁失效将导致系统的非正常停机。对于带</w:t>
      </w:r>
      <w:r>
        <w:rPr>
          <w:spacing w:val="-4"/>
        </w:rPr>
        <w:t>压设备而言可能导致危险物料等泄漏，引发火灾、爆炸或中毒事故；主要危险因素存在</w:t>
      </w:r>
      <w:r>
        <w:rPr>
          <w:spacing w:val="-13"/>
        </w:rPr>
        <w:t>的部位是 </w:t>
      </w:r>
      <w:r>
        <w:rPr>
          <w:rFonts w:ascii="Times New Roman" w:eastAsia="Times New Roman"/>
        </w:rPr>
        <w:t>UPS </w:t>
      </w:r>
      <w:r>
        <w:rPr/>
        <w:t>控制器和可编程控制器。</w:t>
      </w:r>
    </w:p>
    <w:p>
      <w:pPr>
        <w:pStyle w:val="BodyText"/>
        <w:spacing w:line="364" w:lineRule="auto"/>
        <w:ind w:left="218" w:right="234" w:firstLine="480"/>
        <w:jc w:val="both"/>
      </w:pPr>
      <w:r>
        <w:rPr>
          <w:spacing w:val="-4"/>
        </w:rPr>
        <w:t>仪表损坏将导致系统的非正常运行，特别是执行机构损坏将导致控制失灵，可能导</w:t>
      </w:r>
      <w:r>
        <w:rPr>
          <w:spacing w:val="-8"/>
        </w:rPr>
        <w:t>致易燃、有毒物质的泄漏，引发火灾、爆炸或中毒事故。同时，在大修或仪表检修、更</w:t>
      </w:r>
      <w:r>
        <w:rPr>
          <w:spacing w:val="-6"/>
        </w:rPr>
        <w:t>新之后，由于仪表选用不当或参数设置不当甚至设置反向，可能造成在事故状态时</w:t>
      </w:r>
      <w:r>
        <w:rPr/>
        <w:t>（</w:t>
      </w:r>
      <w:r>
        <w:rPr>
          <w:spacing w:val="-15"/>
        </w:rPr>
        <w:t>如</w:t>
      </w:r>
      <w:r>
        <w:rPr>
          <w:spacing w:val="-4"/>
        </w:rPr>
        <w:t>突然停气、停电等</w:t>
      </w:r>
      <w:r>
        <w:rPr>
          <w:spacing w:val="-17"/>
        </w:rPr>
        <w:t>）</w:t>
      </w:r>
      <w:r>
        <w:rPr>
          <w:spacing w:val="-3"/>
        </w:rPr>
        <w:t>或需要紧急停车时，发生仪表不能按要求完成动作甚至出现错误动</w:t>
      </w:r>
      <w:r>
        <w:rPr>
          <w:spacing w:val="-7"/>
        </w:rPr>
        <w:t>作的情况，造成事故扩大甚至引起火灾、爆炸、中毒事故。危险因素存在的部位是现场</w:t>
      </w:r>
      <w:r>
        <w:rPr>
          <w:spacing w:val="-5"/>
        </w:rPr>
        <w:t>的检测仪表、执行机构及 </w:t>
      </w:r>
      <w:r>
        <w:rPr>
          <w:rFonts w:ascii="Times New Roman" w:eastAsia="Times New Roman"/>
        </w:rPr>
        <w:t>DCS </w:t>
      </w:r>
      <w:r>
        <w:rPr/>
        <w:t>系统的参数设置。</w:t>
      </w:r>
    </w:p>
    <w:p>
      <w:pPr>
        <w:pStyle w:val="Heading4"/>
        <w:spacing w:line="304" w:lineRule="exact"/>
      </w:pPr>
      <w:r>
        <w:rPr>
          <w:rFonts w:ascii="Times New Roman" w:eastAsia="Times New Roman"/>
        </w:rPr>
        <w:t>2</w:t>
      </w:r>
      <w:r>
        <w:rPr/>
        <w:t>、储罐区</w:t>
      </w:r>
    </w:p>
    <w:p>
      <w:pPr>
        <w:pStyle w:val="ListParagraph"/>
        <w:numPr>
          <w:ilvl w:val="0"/>
          <w:numId w:val="46"/>
        </w:numPr>
        <w:tabs>
          <w:tab w:pos="1216" w:val="left" w:leader="none"/>
        </w:tabs>
        <w:spacing w:line="364" w:lineRule="auto" w:before="155" w:after="0"/>
        <w:ind w:left="218" w:right="230" w:firstLine="396"/>
        <w:jc w:val="both"/>
        <w:rPr>
          <w:sz w:val="24"/>
        </w:rPr>
      </w:pPr>
      <w:r>
        <w:rPr>
          <w:spacing w:val="-2"/>
          <w:sz w:val="24"/>
        </w:rPr>
        <w:t>罐区及装置内的储存设施</w:t>
      </w:r>
      <w:r>
        <w:rPr>
          <w:sz w:val="24"/>
        </w:rPr>
        <w:t>（</w:t>
      </w:r>
      <w:r>
        <w:rPr>
          <w:spacing w:val="-3"/>
          <w:sz w:val="24"/>
        </w:rPr>
        <w:t>储罐、容器</w:t>
      </w:r>
      <w:r>
        <w:rPr>
          <w:spacing w:val="-12"/>
          <w:sz w:val="24"/>
        </w:rPr>
        <w:t>）</w:t>
      </w:r>
      <w:r>
        <w:rPr>
          <w:spacing w:val="-7"/>
          <w:sz w:val="24"/>
        </w:rPr>
        <w:t>等的设计、制造、使用、管理、维护</w:t>
      </w:r>
      <w:r>
        <w:rPr>
          <w:spacing w:val="-9"/>
          <w:sz w:val="24"/>
        </w:rPr>
        <w:t>不到位，储存管理欠缺，储罐安全附件如液位计等失灵，有可能因超压引起容器或管道</w:t>
      </w:r>
      <w:r>
        <w:rPr>
          <w:spacing w:val="-8"/>
          <w:sz w:val="24"/>
        </w:rPr>
        <w:t>的泄漏、爆裂，有毒有害物质的大量泄漏，会造成中毒、化学灼伤等事故。围堰、隔堤</w:t>
      </w:r>
      <w:r>
        <w:rPr>
          <w:sz w:val="24"/>
        </w:rPr>
        <w:t>等设施不符合规范，一旦发生泄漏，造成的事故不利于事故控制。</w:t>
      </w:r>
    </w:p>
    <w:p>
      <w:pPr>
        <w:pStyle w:val="ListParagraph"/>
        <w:numPr>
          <w:ilvl w:val="0"/>
          <w:numId w:val="46"/>
        </w:numPr>
        <w:tabs>
          <w:tab w:pos="1216" w:val="left" w:leader="none"/>
        </w:tabs>
        <w:spacing w:line="364" w:lineRule="auto" w:before="0" w:after="0"/>
        <w:ind w:left="218" w:right="149" w:firstLine="396"/>
        <w:jc w:val="left"/>
        <w:rPr>
          <w:sz w:val="24"/>
        </w:rPr>
      </w:pPr>
      <w:r>
        <w:rPr>
          <w:spacing w:val="-1"/>
          <w:sz w:val="24"/>
        </w:rPr>
        <w:t>储罐和相应管道及其安全附件设计、制造有缺陷，或使用过程中管理、维护、</w:t>
      </w:r>
      <w:r>
        <w:rPr>
          <w:spacing w:val="-5"/>
          <w:sz w:val="24"/>
        </w:rPr>
        <w:t>检测不到位，可因安全附件失效导致过载运行、金属材料疲劳出现裂缝、受热膨胀受冷</w:t>
      </w:r>
      <w:r>
        <w:rPr>
          <w:spacing w:val="-10"/>
          <w:sz w:val="24"/>
        </w:rPr>
        <w:t>收缩等原因，出现储罐、管道、阀门等破裂或渗漏，引起储罐爆破事故。如储罐未按规定要求安装阻火器、呼吸阀等，可能会导致储罐内压力增加，有容器爆炸的危险。</w:t>
      </w:r>
    </w:p>
    <w:p>
      <w:pPr>
        <w:pStyle w:val="ListParagraph"/>
        <w:numPr>
          <w:ilvl w:val="0"/>
          <w:numId w:val="46"/>
        </w:numPr>
        <w:tabs>
          <w:tab w:pos="1216" w:val="left" w:leader="none"/>
        </w:tabs>
        <w:spacing w:line="364" w:lineRule="auto" w:before="0" w:after="0"/>
        <w:ind w:left="218" w:right="234" w:firstLine="396"/>
        <w:jc w:val="both"/>
        <w:rPr>
          <w:sz w:val="24"/>
        </w:rPr>
      </w:pPr>
      <w:r>
        <w:rPr>
          <w:spacing w:val="-4"/>
          <w:sz w:val="24"/>
        </w:rPr>
        <w:t>物料输送管道管理不到位，管道系统本体缺陷等原因导致有毒物质泄漏，可</w:t>
      </w:r>
      <w:r>
        <w:rPr>
          <w:spacing w:val="-9"/>
          <w:sz w:val="24"/>
        </w:rPr>
        <w:t>造成中毒、化学灼伤等事故。检修槽、罐等过程因清洗置换不彻底、安全措施不到位， </w:t>
      </w:r>
      <w:r>
        <w:rPr>
          <w:spacing w:val="-4"/>
          <w:sz w:val="24"/>
        </w:rPr>
        <w:t>有窒息、中毒的危险。</w:t>
      </w:r>
    </w:p>
    <w:p>
      <w:pPr>
        <w:spacing w:after="0" w:line="364" w:lineRule="auto"/>
        <w:jc w:val="both"/>
        <w:rPr>
          <w:sz w:val="24"/>
        </w:rPr>
        <w:sectPr>
          <w:pgSz w:w="11910" w:h="16840"/>
          <w:pgMar w:header="872" w:footer="945" w:top="1320" w:bottom="1140" w:left="1200" w:right="1180"/>
        </w:sectPr>
      </w:pPr>
    </w:p>
    <w:p>
      <w:pPr>
        <w:pStyle w:val="ListParagraph"/>
        <w:numPr>
          <w:ilvl w:val="0"/>
          <w:numId w:val="46"/>
        </w:numPr>
        <w:tabs>
          <w:tab w:pos="1216" w:val="left" w:leader="none"/>
        </w:tabs>
        <w:spacing w:line="364" w:lineRule="auto" w:before="84" w:after="0"/>
        <w:ind w:left="218" w:right="149" w:firstLine="396"/>
        <w:jc w:val="left"/>
        <w:rPr>
          <w:sz w:val="24"/>
        </w:rPr>
      </w:pPr>
      <w:r>
        <w:rPr>
          <w:spacing w:val="-1"/>
          <w:sz w:val="24"/>
        </w:rPr>
        <w:t>物料在管道输送时，采用的泵、管道材料、管径以及输送速度、落差等不当， </w:t>
      </w:r>
      <w:r>
        <w:rPr>
          <w:spacing w:val="-6"/>
          <w:sz w:val="24"/>
        </w:rPr>
        <w:t>系统内易产生、集聚静电，当系统内有空气存在时形成的爆炸性混合物遇静电火花极易发生爆炸。</w:t>
      </w:r>
    </w:p>
    <w:p>
      <w:pPr>
        <w:pStyle w:val="ListParagraph"/>
        <w:numPr>
          <w:ilvl w:val="0"/>
          <w:numId w:val="46"/>
        </w:numPr>
        <w:tabs>
          <w:tab w:pos="1216" w:val="left" w:leader="none"/>
        </w:tabs>
        <w:spacing w:line="364" w:lineRule="auto" w:before="0" w:after="0"/>
        <w:ind w:left="218" w:right="184" w:firstLine="396"/>
        <w:jc w:val="both"/>
        <w:rPr>
          <w:sz w:val="24"/>
        </w:rPr>
      </w:pPr>
      <w:r>
        <w:rPr>
          <w:spacing w:val="-4"/>
          <w:sz w:val="24"/>
        </w:rPr>
        <w:t>在向储罐输送物料时，如控制系统出现故障或操作与判断失误，可能导致物料</w:t>
      </w:r>
      <w:r>
        <w:rPr>
          <w:spacing w:val="-7"/>
          <w:sz w:val="24"/>
        </w:rPr>
        <w:t>溢罐，会引起人员中毒和化学灼伤事故。原料卸料</w:t>
      </w:r>
      <w:r>
        <w:rPr>
          <w:sz w:val="24"/>
        </w:rPr>
        <w:t>（从槽车卸入储罐</w:t>
      </w:r>
      <w:r>
        <w:rPr>
          <w:spacing w:val="-10"/>
          <w:sz w:val="24"/>
        </w:rPr>
        <w:t>）</w:t>
      </w:r>
      <w:r>
        <w:rPr>
          <w:spacing w:val="-2"/>
          <w:sz w:val="24"/>
        </w:rPr>
        <w:t>作业过程中，储存容器（储罐、槽车等）</w:t>
      </w:r>
      <w:r>
        <w:rPr>
          <w:spacing w:val="-3"/>
          <w:sz w:val="24"/>
        </w:rPr>
        <w:t>泄漏、卸料管内剩余物料等泄漏或挥发、作业人员操作失误， 导致有毒有害物料的泄漏，会导致人员中毒和化学灼伤事故。毒害性物料泄漏时易引起人员中毒窒息事故。</w:t>
      </w:r>
    </w:p>
    <w:p>
      <w:pPr>
        <w:pStyle w:val="ListParagraph"/>
        <w:numPr>
          <w:ilvl w:val="0"/>
          <w:numId w:val="46"/>
        </w:numPr>
        <w:tabs>
          <w:tab w:pos="1216" w:val="left" w:leader="none"/>
        </w:tabs>
        <w:spacing w:line="364" w:lineRule="auto" w:before="0" w:after="0"/>
        <w:ind w:left="218" w:right="231" w:firstLine="396"/>
        <w:jc w:val="both"/>
        <w:rPr>
          <w:sz w:val="24"/>
        </w:rPr>
      </w:pPr>
      <w:r>
        <w:rPr>
          <w:spacing w:val="-4"/>
          <w:sz w:val="24"/>
        </w:rPr>
        <w:t>管道由于设计和选材不合理、材料选用不当、安装不合理，或使用过程中由</w:t>
      </w:r>
      <w:r>
        <w:rPr>
          <w:spacing w:val="-8"/>
          <w:sz w:val="24"/>
        </w:rPr>
        <w:t>于管理、检修、维护、检验不到位、工艺介质异常等原因，使管道出现腐蚀、裂缝、密</w:t>
      </w:r>
      <w:r>
        <w:rPr>
          <w:spacing w:val="-10"/>
          <w:sz w:val="24"/>
        </w:rPr>
        <w:t>封不严等缺陷，导致泄漏甚至爆裂；阀门选型、选材、安装不合理，或使用过程中由于</w:t>
      </w:r>
      <w:r>
        <w:rPr>
          <w:spacing w:val="-8"/>
          <w:sz w:val="24"/>
        </w:rPr>
        <w:t>管理、维护不到位、工艺介质异常等原因，阀门会出现本体裂纹、沙孔、腐蚀、密封面</w:t>
      </w:r>
      <w:r>
        <w:rPr>
          <w:spacing w:val="-3"/>
          <w:sz w:val="24"/>
        </w:rPr>
        <w:t>不严等缺陷，导致泄漏。这些都会引发中毒、化学灼伤、烫伤、火灾、爆炸事故。</w:t>
      </w:r>
    </w:p>
    <w:p>
      <w:pPr>
        <w:pStyle w:val="ListParagraph"/>
        <w:numPr>
          <w:ilvl w:val="0"/>
          <w:numId w:val="46"/>
        </w:numPr>
        <w:tabs>
          <w:tab w:pos="1216" w:val="left" w:leader="none"/>
        </w:tabs>
        <w:spacing w:line="364" w:lineRule="auto" w:before="0" w:after="0"/>
        <w:ind w:left="218" w:right="234" w:firstLine="396"/>
        <w:jc w:val="left"/>
        <w:rPr>
          <w:sz w:val="24"/>
        </w:rPr>
      </w:pPr>
      <w:r>
        <w:rPr>
          <w:spacing w:val="-9"/>
          <w:sz w:val="24"/>
        </w:rPr>
        <w:t>若储槽、管道和阀门在设计、选材、制造时有缺陷，或管理、维护、检测不到</w:t>
      </w:r>
      <w:r>
        <w:rPr>
          <w:sz w:val="24"/>
        </w:rPr>
        <w:t>位，或操作失误，可导致物料的泄漏，可造成中毒事故，遇到点火源</w:t>
      </w:r>
      <w:r>
        <w:rPr>
          <w:rFonts w:ascii="Times New Roman" w:eastAsia="Times New Roman"/>
          <w:sz w:val="24"/>
        </w:rPr>
        <w:t>(</w:t>
      </w:r>
      <w:r>
        <w:rPr>
          <w:sz w:val="24"/>
        </w:rPr>
        <w:t>如作业过程中产生的静电、敲击产生的火花、其它明火</w:t>
      </w:r>
      <w:r>
        <w:rPr>
          <w:rFonts w:ascii="Times New Roman" w:eastAsia="Times New Roman"/>
          <w:sz w:val="24"/>
        </w:rPr>
        <w:t>)</w:t>
      </w:r>
      <w:r>
        <w:rPr>
          <w:sz w:val="24"/>
        </w:rPr>
        <w:t>，会发生火灾、爆炸事故。</w:t>
      </w:r>
    </w:p>
    <w:p>
      <w:pPr>
        <w:pStyle w:val="ListParagraph"/>
        <w:numPr>
          <w:ilvl w:val="0"/>
          <w:numId w:val="46"/>
        </w:numPr>
        <w:tabs>
          <w:tab w:pos="1216" w:val="left" w:leader="none"/>
        </w:tabs>
        <w:spacing w:line="364" w:lineRule="auto" w:before="0" w:after="0"/>
        <w:ind w:left="218" w:right="233" w:firstLine="396"/>
        <w:jc w:val="left"/>
        <w:rPr>
          <w:sz w:val="24"/>
        </w:rPr>
      </w:pPr>
      <w:r>
        <w:rPr>
          <w:spacing w:val="-6"/>
          <w:sz w:val="24"/>
        </w:rPr>
        <w:t>物料输送泵如果安装、使用不当，或材质、型号选择错误，因泵出口压力超过</w:t>
      </w:r>
      <w:r>
        <w:rPr>
          <w:sz w:val="24"/>
        </w:rPr>
        <w:t>泵壳压力或泵被腐蚀，有可能导致工艺中物料的外泄发生人员化学灼伤和中毒。</w:t>
      </w:r>
    </w:p>
    <w:p>
      <w:pPr>
        <w:pStyle w:val="ListParagraph"/>
        <w:numPr>
          <w:ilvl w:val="0"/>
          <w:numId w:val="46"/>
        </w:numPr>
        <w:tabs>
          <w:tab w:pos="1216" w:val="left" w:leader="none"/>
        </w:tabs>
        <w:spacing w:line="364" w:lineRule="auto" w:before="0" w:after="0"/>
        <w:ind w:left="218" w:right="113" w:firstLine="396"/>
        <w:jc w:val="left"/>
        <w:rPr>
          <w:sz w:val="24"/>
        </w:rPr>
      </w:pPr>
      <w:r>
        <w:rPr>
          <w:sz w:val="24"/>
        </w:rPr>
        <w:t>物料输送泵如果转动部分不清洁、润滑性差，摩擦产生高温，轴承冒烟着火， </w:t>
      </w:r>
      <w:r>
        <w:rPr>
          <w:spacing w:val="-12"/>
          <w:sz w:val="24"/>
        </w:rPr>
        <w:t>可能引发燃烧爆炸事故。泵类设备防护设施不当可产生机械伤害。泵类设备还产生噪声。</w:t>
      </w:r>
      <w:r>
        <w:rPr>
          <w:spacing w:val="-6"/>
          <w:sz w:val="24"/>
        </w:rPr>
        <w:t>物料在管道输送时，采用的泵、管道材料、管径以及输送速度、落差等不当，系统内易</w:t>
      </w:r>
      <w:r>
        <w:rPr>
          <w:spacing w:val="-9"/>
          <w:sz w:val="24"/>
        </w:rPr>
        <w:t>产生、集聚静电，若接地措施不当，当系统内有空气存在时形成的爆炸性混合物遇静电</w:t>
      </w:r>
      <w:r>
        <w:rPr>
          <w:spacing w:val="-11"/>
          <w:sz w:val="24"/>
        </w:rPr>
        <w:t>火花极易发生爆炸。如采用离心泵输送液体，其叶轮如果不是有色金属，则可能由于撞击产生火花，引起火灾或爆炸。</w:t>
      </w:r>
    </w:p>
    <w:p>
      <w:pPr>
        <w:pStyle w:val="Heading4"/>
        <w:spacing w:line="306" w:lineRule="exact"/>
      </w:pPr>
      <w:r>
        <w:rPr>
          <w:rFonts w:ascii="Times New Roman" w:eastAsia="Times New Roman"/>
        </w:rPr>
        <w:t>3</w:t>
      </w:r>
      <w:r>
        <w:rPr/>
        <w:t>、部分公用工程</w:t>
      </w:r>
    </w:p>
    <w:p>
      <w:pPr>
        <w:pStyle w:val="BodyText"/>
        <w:spacing w:before="149"/>
        <w:ind w:left="698"/>
      </w:pPr>
      <w:r>
        <w:rPr/>
        <w:t>本项目的公用工程包括：给排水、供电等。</w:t>
      </w:r>
    </w:p>
    <w:p>
      <w:pPr>
        <w:pStyle w:val="ListParagraph"/>
        <w:numPr>
          <w:ilvl w:val="1"/>
          <w:numId w:val="46"/>
        </w:numPr>
        <w:tabs>
          <w:tab w:pos="1300" w:val="left" w:leader="none"/>
        </w:tabs>
        <w:spacing w:line="240" w:lineRule="auto" w:before="161" w:after="0"/>
        <w:ind w:left="1299" w:right="0" w:hanging="602"/>
        <w:jc w:val="left"/>
        <w:rPr>
          <w:sz w:val="24"/>
        </w:rPr>
      </w:pPr>
      <w:r>
        <w:rPr>
          <w:sz w:val="24"/>
        </w:rPr>
        <w:t>给排水</w:t>
      </w:r>
    </w:p>
    <w:p>
      <w:pPr>
        <w:pStyle w:val="BodyText"/>
        <w:spacing w:line="364" w:lineRule="auto" w:before="158"/>
        <w:ind w:left="218" w:right="185" w:firstLine="480"/>
      </w:pPr>
      <w:r>
        <w:rPr>
          <w:spacing w:val="-4"/>
        </w:rPr>
        <w:t>①如果厂区供水能力不足，容易引发冷却水系统、消防水系统供应水量不足，导致</w:t>
      </w:r>
      <w:r>
        <w:rPr>
          <w:spacing w:val="-5"/>
        </w:rPr>
        <w:t>生产过程中事故多发，或者发生事故后未能得到充分的消防救援，导致事故后果扩大。</w:t>
      </w:r>
    </w:p>
    <w:p>
      <w:pPr>
        <w:pStyle w:val="BodyText"/>
        <w:spacing w:line="306" w:lineRule="exact"/>
        <w:ind w:left="698"/>
      </w:pPr>
      <w:r>
        <w:rPr>
          <w:spacing w:val="-2"/>
        </w:rPr>
        <w:t>②如果本项目的工艺废水未经必要的环保处理就直接向外界排放，造成对环境的污</w:t>
      </w:r>
    </w:p>
    <w:p>
      <w:pPr>
        <w:spacing w:after="0" w:line="306" w:lineRule="exact"/>
        <w:sectPr>
          <w:pgSz w:w="11910" w:h="16840"/>
          <w:pgMar w:header="872" w:footer="945" w:top="1320" w:bottom="1140" w:left="1200" w:right="1180"/>
        </w:sectPr>
      </w:pPr>
    </w:p>
    <w:p>
      <w:pPr>
        <w:pStyle w:val="BodyText"/>
        <w:spacing w:before="84"/>
        <w:ind w:left="218"/>
      </w:pPr>
      <w:r>
        <w:rPr/>
        <w:t>染，引发社会公共安全。</w:t>
      </w:r>
    </w:p>
    <w:p>
      <w:pPr>
        <w:pStyle w:val="ListParagraph"/>
        <w:numPr>
          <w:ilvl w:val="1"/>
          <w:numId w:val="46"/>
        </w:numPr>
        <w:tabs>
          <w:tab w:pos="1300" w:val="left" w:leader="none"/>
        </w:tabs>
        <w:spacing w:line="240" w:lineRule="auto" w:before="159" w:after="0"/>
        <w:ind w:left="1299" w:right="0" w:hanging="602"/>
        <w:jc w:val="left"/>
        <w:rPr>
          <w:sz w:val="24"/>
        </w:rPr>
      </w:pPr>
      <w:r>
        <w:rPr>
          <w:sz w:val="24"/>
        </w:rPr>
        <w:t>供气</w:t>
      </w:r>
    </w:p>
    <w:p>
      <w:pPr>
        <w:pStyle w:val="BodyText"/>
        <w:spacing w:line="364" w:lineRule="auto" w:before="160"/>
        <w:ind w:left="218" w:right="234" w:firstLine="480"/>
        <w:jc w:val="both"/>
      </w:pPr>
      <w:r>
        <w:rPr>
          <w:spacing w:val="3"/>
        </w:rPr>
        <w:t>空压机是具有一定压力的传动设备和静止设备的组合体。空压机如果制造质量不</w:t>
      </w:r>
      <w:r>
        <w:rPr>
          <w:spacing w:val="-7"/>
        </w:rPr>
        <w:t>良、安装不符合要求和操作不当，都会发生事故。特别是气缸和气罐爆炸，造成伤亡事故。一般应选用无油润滑螺杆压缩机，可以避免润滑油管理、使用不当造成的事故。但</w:t>
      </w:r>
      <w:r>
        <w:rPr>
          <w:spacing w:val="-5"/>
        </w:rPr>
        <w:t>若空气吸入口的空气不干净，含有可燃气体，形成爆炸性混合气体进入气缸压缩，会发</w:t>
      </w:r>
      <w:r>
        <w:rPr>
          <w:spacing w:val="-8"/>
        </w:rPr>
        <w:t>生爆炸。安全附件不全、失灵和安全装置不符合要求，安全阀不能动作和压力表指示不</w:t>
      </w:r>
      <w:r>
        <w:rPr>
          <w:spacing w:val="-7"/>
        </w:rPr>
        <w:t>准确，造成超压而爆炸；检修时如用汽油等清洗气缸、活塞等，在运行时因汽油挥发形</w:t>
      </w:r>
      <w:r>
        <w:rPr>
          <w:spacing w:val="-6"/>
        </w:rPr>
        <w:t>成爆炸性混合气体，运行时发生爆炸；或检修完毕，缸内留有工具等杂物，造成顶缸事</w:t>
      </w:r>
      <w:r>
        <w:rPr/>
        <w:t>故。</w:t>
      </w:r>
    </w:p>
    <w:p>
      <w:pPr>
        <w:pStyle w:val="Heading4"/>
        <w:spacing w:line="304" w:lineRule="exact"/>
      </w:pPr>
      <w:r>
        <w:rPr>
          <w:rFonts w:ascii="Times New Roman" w:eastAsia="Times New Roman"/>
        </w:rPr>
        <w:t>4</w:t>
      </w:r>
      <w:r>
        <w:rPr/>
        <w:t>、污染物治理设施</w:t>
      </w:r>
    </w:p>
    <w:p>
      <w:pPr>
        <w:pStyle w:val="ListParagraph"/>
        <w:numPr>
          <w:ilvl w:val="0"/>
          <w:numId w:val="47"/>
        </w:numPr>
        <w:tabs>
          <w:tab w:pos="1300" w:val="left" w:leader="none"/>
        </w:tabs>
        <w:spacing w:line="240" w:lineRule="auto" w:before="160" w:after="0"/>
        <w:ind w:left="1299" w:right="0" w:hanging="602"/>
        <w:jc w:val="left"/>
        <w:rPr>
          <w:sz w:val="24"/>
        </w:rPr>
      </w:pPr>
      <w:r>
        <w:rPr>
          <w:sz w:val="24"/>
        </w:rPr>
        <w:t>废气处理系统</w:t>
      </w:r>
    </w:p>
    <w:p>
      <w:pPr>
        <w:pStyle w:val="BodyText"/>
        <w:spacing w:line="364" w:lineRule="auto" w:before="158"/>
        <w:ind w:left="218" w:right="235" w:firstLine="480"/>
        <w:jc w:val="both"/>
      </w:pPr>
      <w:r>
        <w:rPr>
          <w:spacing w:val="-5"/>
        </w:rPr>
        <w:t>废气处理系统作为环保设备，若设计、安装未考虑安全措施，如含有易燃气体的管道未采取静电跨接和接地；管道未设置阻火器等以及管道布置不合理，弯道过多；禁忌</w:t>
      </w:r>
      <w:r>
        <w:rPr/>
        <w:t>物质同一管道输送等，都可能引起火灾、爆炸事故。</w:t>
      </w:r>
    </w:p>
    <w:p>
      <w:pPr>
        <w:pStyle w:val="ListParagraph"/>
        <w:numPr>
          <w:ilvl w:val="0"/>
          <w:numId w:val="47"/>
        </w:numPr>
        <w:tabs>
          <w:tab w:pos="1379" w:val="left" w:leader="none"/>
        </w:tabs>
        <w:spacing w:line="307" w:lineRule="exact" w:before="0" w:after="0"/>
        <w:ind w:left="1379" w:right="0" w:hanging="601"/>
        <w:jc w:val="left"/>
        <w:rPr>
          <w:sz w:val="24"/>
        </w:rPr>
      </w:pPr>
      <w:r>
        <w:rPr>
          <w:sz w:val="24"/>
        </w:rPr>
        <w:t>废水收集及污水处理站</w:t>
      </w:r>
    </w:p>
    <w:p>
      <w:pPr>
        <w:pStyle w:val="BodyText"/>
        <w:spacing w:line="364" w:lineRule="auto" w:before="158"/>
        <w:ind w:left="218" w:right="172" w:firstLine="480"/>
      </w:pPr>
      <w:r>
        <w:rPr/>
        <w:t>车间废水收集设施泄漏导致废水泄漏至地面，进入雨水系统，继而影响周边地表水系统，或废水由污水站池底或池壁渗入地下水系统中。</w:t>
      </w:r>
    </w:p>
    <w:p>
      <w:pPr>
        <w:pStyle w:val="ListParagraph"/>
        <w:numPr>
          <w:ilvl w:val="0"/>
          <w:numId w:val="47"/>
        </w:numPr>
        <w:tabs>
          <w:tab w:pos="1379" w:val="left" w:leader="none"/>
        </w:tabs>
        <w:spacing w:line="307" w:lineRule="exact" w:before="0" w:after="0"/>
        <w:ind w:left="1379" w:right="0" w:hanging="601"/>
        <w:jc w:val="left"/>
        <w:rPr>
          <w:sz w:val="24"/>
        </w:rPr>
      </w:pPr>
      <w:r>
        <w:rPr>
          <w:sz w:val="24"/>
        </w:rPr>
        <w:t>危险废物暂存场所</w:t>
      </w:r>
    </w:p>
    <w:p>
      <w:pPr>
        <w:pStyle w:val="BodyText"/>
        <w:spacing w:before="161"/>
        <w:ind w:left="778"/>
      </w:pPr>
      <w:r>
        <w:rPr/>
        <w:t>危险废物暂存场所储存有本项目涉及的各类固废，若发生泄漏则造成污染。</w:t>
      </w:r>
    </w:p>
    <w:p>
      <w:pPr>
        <w:pStyle w:val="Heading4"/>
        <w:numPr>
          <w:ilvl w:val="2"/>
          <w:numId w:val="23"/>
        </w:numPr>
        <w:tabs>
          <w:tab w:pos="1059" w:val="left" w:leader="none"/>
        </w:tabs>
        <w:spacing w:line="240" w:lineRule="auto" w:before="158" w:after="0"/>
        <w:ind w:left="1058" w:right="0" w:hanging="601"/>
        <w:jc w:val="both"/>
      </w:pPr>
      <w:r>
        <w:rPr/>
        <w:t>国内外化工事故统计</w:t>
      </w:r>
    </w:p>
    <w:p>
      <w:pPr>
        <w:pStyle w:val="BodyText"/>
        <w:spacing w:line="364" w:lineRule="auto" w:before="161"/>
        <w:ind w:left="218" w:right="234" w:firstLine="480"/>
        <w:jc w:val="both"/>
      </w:pPr>
      <w:r>
        <w:rPr>
          <w:spacing w:val="-25"/>
        </w:rPr>
        <w:t>据 </w:t>
      </w:r>
      <w:r>
        <w:rPr>
          <w:rFonts w:ascii="Times New Roman" w:eastAsia="Times New Roman"/>
        </w:rPr>
        <w:t>1969 </w:t>
      </w:r>
      <w:r>
        <w:rPr>
          <w:spacing w:val="-16"/>
        </w:rPr>
        <w:t>年至 </w:t>
      </w:r>
      <w:r>
        <w:rPr>
          <w:rFonts w:ascii="Times New Roman" w:eastAsia="Times New Roman"/>
        </w:rPr>
        <w:t>1987 </w:t>
      </w:r>
      <w:r>
        <w:rPr>
          <w:spacing w:val="-16"/>
        </w:rPr>
        <w:t>年在 </w:t>
      </w:r>
      <w:r>
        <w:rPr>
          <w:rFonts w:ascii="Times New Roman" w:eastAsia="Times New Roman"/>
        </w:rPr>
        <w:t>95 </w:t>
      </w:r>
      <w:r>
        <w:rPr>
          <w:spacing w:val="-1"/>
        </w:rPr>
        <w:t>个国家的化工企业事故统计，发生突发性化学事故分析</w:t>
      </w:r>
      <w:r>
        <w:rPr>
          <w:spacing w:val="-6"/>
        </w:rPr>
        <w:t>分类比例见下表，由表可知，在统计时间内国内外化工事故所占比例最大的类别从物质</w:t>
      </w:r>
      <w:r>
        <w:rPr/>
        <w:t>形态方面分析为液体，从生产系统上分析为运输，从事故来源上主要是机械故障。</w:t>
      </w:r>
    </w:p>
    <w:p>
      <w:pPr>
        <w:pStyle w:val="Heading4"/>
        <w:spacing w:before="140" w:after="30"/>
        <w:ind w:left="2907"/>
        <w:jc w:val="both"/>
      </w:pPr>
      <w:r>
        <w:rPr/>
        <w:t>表 </w:t>
      </w:r>
      <w:r>
        <w:rPr>
          <w:rFonts w:ascii="Times New Roman" w:eastAsia="Times New Roman"/>
        </w:rPr>
        <w:t>8.4-4  </w:t>
      </w:r>
      <w:r>
        <w:rPr/>
        <w:t>国内外化工事故分类情况</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1"/>
        <w:gridCol w:w="2322"/>
        <w:gridCol w:w="2324"/>
        <w:gridCol w:w="2322"/>
      </w:tblGrid>
      <w:tr>
        <w:trPr>
          <w:trHeight w:val="282" w:hRule="atLeast"/>
        </w:trPr>
        <w:tc>
          <w:tcPr>
            <w:tcW w:w="2321" w:type="dxa"/>
          </w:tcPr>
          <w:p>
            <w:pPr>
              <w:pStyle w:val="TableParagraph"/>
              <w:spacing w:line="257" w:lineRule="exact" w:before="5"/>
              <w:ind w:left="927" w:right="921"/>
              <w:rPr>
                <w:b/>
                <w:sz w:val="21"/>
              </w:rPr>
            </w:pPr>
            <w:r>
              <w:rPr>
                <w:b/>
                <w:sz w:val="21"/>
              </w:rPr>
              <w:t>类别</w:t>
            </w:r>
          </w:p>
        </w:tc>
        <w:tc>
          <w:tcPr>
            <w:tcW w:w="2322" w:type="dxa"/>
          </w:tcPr>
          <w:p>
            <w:pPr>
              <w:pStyle w:val="TableParagraph"/>
              <w:spacing w:line="257" w:lineRule="exact" w:before="5"/>
              <w:ind w:left="717" w:right="711"/>
              <w:rPr>
                <w:b/>
                <w:sz w:val="21"/>
              </w:rPr>
            </w:pPr>
            <w:r>
              <w:rPr>
                <w:b/>
                <w:sz w:val="21"/>
              </w:rPr>
              <w:t>名称</w:t>
            </w:r>
          </w:p>
        </w:tc>
        <w:tc>
          <w:tcPr>
            <w:tcW w:w="2324" w:type="dxa"/>
          </w:tcPr>
          <w:p>
            <w:pPr>
              <w:pStyle w:val="TableParagraph"/>
              <w:spacing w:line="257" w:lineRule="exact" w:before="5"/>
              <w:ind w:left="929" w:right="922"/>
              <w:rPr>
                <w:b/>
                <w:sz w:val="21"/>
              </w:rPr>
            </w:pPr>
            <w:r>
              <w:rPr>
                <w:b/>
                <w:sz w:val="21"/>
              </w:rPr>
              <w:t>比例</w:t>
            </w:r>
          </w:p>
        </w:tc>
        <w:tc>
          <w:tcPr>
            <w:tcW w:w="2322" w:type="dxa"/>
          </w:tcPr>
          <w:p>
            <w:pPr>
              <w:pStyle w:val="TableParagraph"/>
              <w:spacing w:line="257" w:lineRule="exact" w:before="5"/>
              <w:ind w:left="714" w:right="711"/>
              <w:rPr>
                <w:b/>
                <w:sz w:val="21"/>
              </w:rPr>
            </w:pPr>
            <w:r>
              <w:rPr>
                <w:b/>
                <w:sz w:val="21"/>
              </w:rPr>
              <w:t>排名</w:t>
            </w:r>
          </w:p>
        </w:tc>
      </w:tr>
      <w:tr>
        <w:trPr>
          <w:trHeight w:val="285" w:hRule="atLeast"/>
        </w:trPr>
        <w:tc>
          <w:tcPr>
            <w:tcW w:w="2321" w:type="dxa"/>
            <w:vMerge w:val="restart"/>
          </w:tcPr>
          <w:p>
            <w:pPr>
              <w:pStyle w:val="TableParagraph"/>
              <w:spacing w:before="5"/>
              <w:jc w:val="left"/>
              <w:rPr>
                <w:b/>
                <w:sz w:val="24"/>
              </w:rPr>
            </w:pPr>
          </w:p>
          <w:p>
            <w:pPr>
              <w:pStyle w:val="TableParagraph"/>
              <w:spacing w:line="242" w:lineRule="auto"/>
              <w:ind w:left="738" w:right="727" w:firstLine="105"/>
              <w:jc w:val="left"/>
              <w:rPr>
                <w:sz w:val="21"/>
              </w:rPr>
            </w:pPr>
            <w:r>
              <w:rPr>
                <w:sz w:val="21"/>
              </w:rPr>
              <w:t>化学品物质形态</w:t>
            </w:r>
          </w:p>
        </w:tc>
        <w:tc>
          <w:tcPr>
            <w:tcW w:w="2322" w:type="dxa"/>
          </w:tcPr>
          <w:p>
            <w:pPr>
              <w:pStyle w:val="TableParagraph"/>
              <w:spacing w:line="257" w:lineRule="exact" w:before="8"/>
              <w:ind w:left="719" w:right="708"/>
              <w:rPr>
                <w:sz w:val="21"/>
              </w:rPr>
            </w:pPr>
            <w:r>
              <w:rPr>
                <w:sz w:val="21"/>
              </w:rPr>
              <w:t>液体</w:t>
            </w:r>
          </w:p>
        </w:tc>
        <w:tc>
          <w:tcPr>
            <w:tcW w:w="2324" w:type="dxa"/>
          </w:tcPr>
          <w:p>
            <w:pPr>
              <w:pStyle w:val="TableParagraph"/>
              <w:spacing w:before="22"/>
              <w:ind w:left="929" w:right="922"/>
              <w:rPr>
                <w:rFonts w:ascii="Times New Roman"/>
                <w:sz w:val="21"/>
              </w:rPr>
            </w:pPr>
            <w:r>
              <w:rPr>
                <w:rFonts w:ascii="Times New Roman"/>
                <w:sz w:val="21"/>
              </w:rPr>
              <w:t>47.8</w:t>
            </w:r>
          </w:p>
        </w:tc>
        <w:tc>
          <w:tcPr>
            <w:tcW w:w="2322" w:type="dxa"/>
          </w:tcPr>
          <w:p>
            <w:pPr>
              <w:pStyle w:val="TableParagraph"/>
              <w:spacing w:before="22"/>
              <w:ind w:left="4"/>
              <w:rPr>
                <w:rFonts w:ascii="Times New Roman"/>
                <w:sz w:val="21"/>
              </w:rPr>
            </w:pPr>
            <w:r>
              <w:rPr>
                <w:rFonts w:ascii="Times New Roman"/>
                <w:w w:val="100"/>
                <w:sz w:val="21"/>
              </w:rPr>
              <w:t>1</w:t>
            </w:r>
          </w:p>
        </w:tc>
      </w:tr>
      <w:tr>
        <w:trPr>
          <w:trHeight w:val="282" w:hRule="atLeast"/>
        </w:trPr>
        <w:tc>
          <w:tcPr>
            <w:tcW w:w="2321" w:type="dxa"/>
            <w:vMerge/>
            <w:tcBorders>
              <w:top w:val="nil"/>
            </w:tcBorders>
          </w:tcPr>
          <w:p>
            <w:pPr>
              <w:rPr>
                <w:sz w:val="2"/>
                <w:szCs w:val="2"/>
              </w:rPr>
            </w:pPr>
          </w:p>
        </w:tc>
        <w:tc>
          <w:tcPr>
            <w:tcW w:w="2322" w:type="dxa"/>
          </w:tcPr>
          <w:p>
            <w:pPr>
              <w:pStyle w:val="TableParagraph"/>
              <w:spacing w:line="257" w:lineRule="exact" w:before="6"/>
              <w:ind w:left="719" w:right="708"/>
              <w:rPr>
                <w:sz w:val="21"/>
              </w:rPr>
            </w:pPr>
            <w:r>
              <w:rPr>
                <w:sz w:val="21"/>
              </w:rPr>
              <w:t>液化气</w:t>
            </w:r>
          </w:p>
        </w:tc>
        <w:tc>
          <w:tcPr>
            <w:tcW w:w="2324" w:type="dxa"/>
          </w:tcPr>
          <w:p>
            <w:pPr>
              <w:pStyle w:val="TableParagraph"/>
              <w:spacing w:before="19"/>
              <w:ind w:left="929" w:right="922"/>
              <w:rPr>
                <w:rFonts w:ascii="Times New Roman"/>
                <w:sz w:val="21"/>
              </w:rPr>
            </w:pPr>
            <w:r>
              <w:rPr>
                <w:rFonts w:ascii="Times New Roman"/>
                <w:sz w:val="21"/>
              </w:rPr>
              <w:t>27.6</w:t>
            </w:r>
          </w:p>
        </w:tc>
        <w:tc>
          <w:tcPr>
            <w:tcW w:w="2322" w:type="dxa"/>
          </w:tcPr>
          <w:p>
            <w:pPr>
              <w:pStyle w:val="TableParagraph"/>
              <w:spacing w:before="19"/>
              <w:ind w:left="4"/>
              <w:rPr>
                <w:rFonts w:ascii="Times New Roman"/>
                <w:sz w:val="21"/>
              </w:rPr>
            </w:pPr>
            <w:r>
              <w:rPr>
                <w:rFonts w:ascii="Times New Roman"/>
                <w:w w:val="100"/>
                <w:sz w:val="21"/>
              </w:rPr>
              <w:t>2</w:t>
            </w:r>
          </w:p>
        </w:tc>
      </w:tr>
      <w:tr>
        <w:trPr>
          <w:trHeight w:val="285" w:hRule="atLeast"/>
        </w:trPr>
        <w:tc>
          <w:tcPr>
            <w:tcW w:w="2321" w:type="dxa"/>
            <w:vMerge/>
            <w:tcBorders>
              <w:top w:val="nil"/>
            </w:tcBorders>
          </w:tcPr>
          <w:p>
            <w:pPr>
              <w:rPr>
                <w:sz w:val="2"/>
                <w:szCs w:val="2"/>
              </w:rPr>
            </w:pPr>
          </w:p>
        </w:tc>
        <w:tc>
          <w:tcPr>
            <w:tcW w:w="2322" w:type="dxa"/>
          </w:tcPr>
          <w:p>
            <w:pPr>
              <w:pStyle w:val="TableParagraph"/>
              <w:spacing w:line="257" w:lineRule="exact" w:before="8"/>
              <w:ind w:left="719" w:right="708"/>
              <w:rPr>
                <w:sz w:val="21"/>
              </w:rPr>
            </w:pPr>
            <w:r>
              <w:rPr>
                <w:sz w:val="21"/>
              </w:rPr>
              <w:t>气体</w:t>
            </w:r>
          </w:p>
        </w:tc>
        <w:tc>
          <w:tcPr>
            <w:tcW w:w="2324" w:type="dxa"/>
          </w:tcPr>
          <w:p>
            <w:pPr>
              <w:pStyle w:val="TableParagraph"/>
              <w:spacing w:before="22"/>
              <w:ind w:left="929" w:right="922"/>
              <w:rPr>
                <w:rFonts w:ascii="Times New Roman"/>
                <w:sz w:val="21"/>
              </w:rPr>
            </w:pPr>
            <w:r>
              <w:rPr>
                <w:rFonts w:ascii="Times New Roman"/>
                <w:sz w:val="21"/>
              </w:rPr>
              <w:t>18.8</w:t>
            </w:r>
          </w:p>
        </w:tc>
        <w:tc>
          <w:tcPr>
            <w:tcW w:w="2322" w:type="dxa"/>
          </w:tcPr>
          <w:p>
            <w:pPr>
              <w:pStyle w:val="TableParagraph"/>
              <w:spacing w:before="22"/>
              <w:ind w:left="4"/>
              <w:rPr>
                <w:rFonts w:ascii="Times New Roman"/>
                <w:sz w:val="21"/>
              </w:rPr>
            </w:pPr>
            <w:r>
              <w:rPr>
                <w:rFonts w:ascii="Times New Roman"/>
                <w:w w:val="100"/>
                <w:sz w:val="21"/>
              </w:rPr>
              <w:t>3</w:t>
            </w:r>
          </w:p>
        </w:tc>
      </w:tr>
      <w:tr>
        <w:trPr>
          <w:trHeight w:val="282" w:hRule="atLeast"/>
        </w:trPr>
        <w:tc>
          <w:tcPr>
            <w:tcW w:w="2321" w:type="dxa"/>
            <w:vMerge/>
            <w:tcBorders>
              <w:top w:val="nil"/>
            </w:tcBorders>
          </w:tcPr>
          <w:p>
            <w:pPr>
              <w:rPr>
                <w:sz w:val="2"/>
                <w:szCs w:val="2"/>
              </w:rPr>
            </w:pPr>
          </w:p>
        </w:tc>
        <w:tc>
          <w:tcPr>
            <w:tcW w:w="2322" w:type="dxa"/>
          </w:tcPr>
          <w:p>
            <w:pPr>
              <w:pStyle w:val="TableParagraph"/>
              <w:spacing w:line="257" w:lineRule="exact" w:before="5"/>
              <w:ind w:left="719" w:right="708"/>
              <w:rPr>
                <w:sz w:val="21"/>
              </w:rPr>
            </w:pPr>
            <w:r>
              <w:rPr>
                <w:sz w:val="21"/>
              </w:rPr>
              <w:t>固体</w:t>
            </w:r>
          </w:p>
        </w:tc>
        <w:tc>
          <w:tcPr>
            <w:tcW w:w="2324" w:type="dxa"/>
          </w:tcPr>
          <w:p>
            <w:pPr>
              <w:pStyle w:val="TableParagraph"/>
              <w:spacing w:before="19"/>
              <w:ind w:left="929" w:right="922"/>
              <w:rPr>
                <w:rFonts w:ascii="Times New Roman"/>
                <w:sz w:val="21"/>
              </w:rPr>
            </w:pPr>
            <w:r>
              <w:rPr>
                <w:rFonts w:ascii="Times New Roman"/>
                <w:sz w:val="21"/>
              </w:rPr>
              <w:t>8.2</w:t>
            </w:r>
          </w:p>
        </w:tc>
        <w:tc>
          <w:tcPr>
            <w:tcW w:w="2322" w:type="dxa"/>
          </w:tcPr>
          <w:p>
            <w:pPr>
              <w:pStyle w:val="TableParagraph"/>
              <w:spacing w:before="19"/>
              <w:ind w:left="4"/>
              <w:rPr>
                <w:rFonts w:ascii="Times New Roman"/>
                <w:sz w:val="21"/>
              </w:rPr>
            </w:pPr>
            <w:r>
              <w:rPr>
                <w:rFonts w:ascii="Times New Roman"/>
                <w:w w:val="100"/>
                <w:sz w:val="21"/>
              </w:rPr>
              <w:t>4</w:t>
            </w:r>
          </w:p>
        </w:tc>
      </w:tr>
      <w:tr>
        <w:trPr>
          <w:trHeight w:val="285" w:hRule="atLeast"/>
        </w:trPr>
        <w:tc>
          <w:tcPr>
            <w:tcW w:w="2321" w:type="dxa"/>
            <w:vMerge w:val="restart"/>
          </w:tcPr>
          <w:p>
            <w:pPr>
              <w:pStyle w:val="TableParagraph"/>
              <w:spacing w:before="154"/>
              <w:ind w:left="738"/>
              <w:jc w:val="left"/>
              <w:rPr>
                <w:sz w:val="21"/>
              </w:rPr>
            </w:pPr>
            <w:r>
              <w:rPr>
                <w:sz w:val="21"/>
              </w:rPr>
              <w:t>生产系统</w:t>
            </w:r>
          </w:p>
        </w:tc>
        <w:tc>
          <w:tcPr>
            <w:tcW w:w="2322" w:type="dxa"/>
          </w:tcPr>
          <w:p>
            <w:pPr>
              <w:pStyle w:val="TableParagraph"/>
              <w:spacing w:line="257" w:lineRule="exact" w:before="8"/>
              <w:ind w:left="719" w:right="708"/>
              <w:rPr>
                <w:sz w:val="21"/>
              </w:rPr>
            </w:pPr>
            <w:r>
              <w:rPr>
                <w:sz w:val="21"/>
              </w:rPr>
              <w:t>运输</w:t>
            </w:r>
          </w:p>
        </w:tc>
        <w:tc>
          <w:tcPr>
            <w:tcW w:w="2324" w:type="dxa"/>
          </w:tcPr>
          <w:p>
            <w:pPr>
              <w:pStyle w:val="TableParagraph"/>
              <w:spacing w:before="22"/>
              <w:ind w:left="929" w:right="922"/>
              <w:rPr>
                <w:rFonts w:ascii="Times New Roman"/>
                <w:sz w:val="21"/>
              </w:rPr>
            </w:pPr>
            <w:r>
              <w:rPr>
                <w:rFonts w:ascii="Times New Roman"/>
                <w:sz w:val="21"/>
              </w:rPr>
              <w:t>34.2</w:t>
            </w:r>
          </w:p>
        </w:tc>
        <w:tc>
          <w:tcPr>
            <w:tcW w:w="2322" w:type="dxa"/>
          </w:tcPr>
          <w:p>
            <w:pPr>
              <w:pStyle w:val="TableParagraph"/>
              <w:spacing w:before="22"/>
              <w:ind w:left="4"/>
              <w:rPr>
                <w:rFonts w:ascii="Times New Roman"/>
                <w:sz w:val="21"/>
              </w:rPr>
            </w:pPr>
            <w:r>
              <w:rPr>
                <w:rFonts w:ascii="Times New Roman"/>
                <w:w w:val="100"/>
                <w:sz w:val="21"/>
              </w:rPr>
              <w:t>1</w:t>
            </w:r>
          </w:p>
        </w:tc>
      </w:tr>
      <w:tr>
        <w:trPr>
          <w:trHeight w:val="282" w:hRule="atLeast"/>
        </w:trPr>
        <w:tc>
          <w:tcPr>
            <w:tcW w:w="2321" w:type="dxa"/>
            <w:vMerge/>
            <w:tcBorders>
              <w:top w:val="nil"/>
            </w:tcBorders>
          </w:tcPr>
          <w:p>
            <w:pPr>
              <w:rPr>
                <w:sz w:val="2"/>
                <w:szCs w:val="2"/>
              </w:rPr>
            </w:pPr>
          </w:p>
        </w:tc>
        <w:tc>
          <w:tcPr>
            <w:tcW w:w="2322" w:type="dxa"/>
          </w:tcPr>
          <w:p>
            <w:pPr>
              <w:pStyle w:val="TableParagraph"/>
              <w:spacing w:line="257" w:lineRule="exact" w:before="5"/>
              <w:ind w:left="719" w:right="710"/>
              <w:rPr>
                <w:sz w:val="21"/>
              </w:rPr>
            </w:pPr>
            <w:r>
              <w:rPr>
                <w:sz w:val="21"/>
              </w:rPr>
              <w:t>工艺过程</w:t>
            </w:r>
          </w:p>
        </w:tc>
        <w:tc>
          <w:tcPr>
            <w:tcW w:w="2324" w:type="dxa"/>
          </w:tcPr>
          <w:p>
            <w:pPr>
              <w:pStyle w:val="TableParagraph"/>
              <w:spacing w:before="19"/>
              <w:ind w:left="929" w:right="922"/>
              <w:rPr>
                <w:rFonts w:ascii="Times New Roman"/>
                <w:sz w:val="21"/>
              </w:rPr>
            </w:pPr>
            <w:r>
              <w:rPr>
                <w:rFonts w:ascii="Times New Roman"/>
                <w:sz w:val="21"/>
              </w:rPr>
              <w:t>33.0</w:t>
            </w:r>
          </w:p>
        </w:tc>
        <w:tc>
          <w:tcPr>
            <w:tcW w:w="2322" w:type="dxa"/>
          </w:tcPr>
          <w:p>
            <w:pPr>
              <w:pStyle w:val="TableParagraph"/>
              <w:spacing w:before="19"/>
              <w:ind w:left="4"/>
              <w:rPr>
                <w:rFonts w:ascii="Times New Roman"/>
                <w:sz w:val="21"/>
              </w:rPr>
            </w:pPr>
            <w:r>
              <w:rPr>
                <w:rFonts w:ascii="Times New Roman"/>
                <w:w w:val="100"/>
                <w:sz w:val="21"/>
              </w:rPr>
              <w:t>2</w:t>
            </w:r>
          </w:p>
        </w:tc>
      </w:tr>
    </w:tbl>
    <w:p>
      <w:pPr>
        <w:spacing w:after="0"/>
        <w:rPr>
          <w:rFonts w:ascii="Times New Roman"/>
          <w:sz w:val="21"/>
        </w:rPr>
        <w:sectPr>
          <w:pgSz w:w="11910" w:h="16840"/>
          <w:pgMar w:header="872" w:footer="945" w:top="1320" w:bottom="1140" w:left="1200" w:right="1180"/>
        </w:sectPr>
      </w:pPr>
    </w:p>
    <w:p>
      <w:pPr>
        <w:pStyle w:val="BodyText"/>
        <w:spacing w:before="5"/>
        <w:rPr>
          <w:b/>
          <w:sz w:val="6"/>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1"/>
        <w:gridCol w:w="2322"/>
        <w:gridCol w:w="2324"/>
        <w:gridCol w:w="2322"/>
      </w:tblGrid>
      <w:tr>
        <w:trPr>
          <w:trHeight w:val="282" w:hRule="atLeast"/>
        </w:trPr>
        <w:tc>
          <w:tcPr>
            <w:tcW w:w="2321" w:type="dxa"/>
          </w:tcPr>
          <w:p>
            <w:pPr>
              <w:pStyle w:val="TableParagraph"/>
              <w:spacing w:line="257" w:lineRule="exact" w:before="6"/>
              <w:ind w:left="927" w:right="921"/>
              <w:rPr>
                <w:b/>
                <w:sz w:val="21"/>
              </w:rPr>
            </w:pPr>
            <w:r>
              <w:rPr>
                <w:b/>
                <w:sz w:val="21"/>
              </w:rPr>
              <w:t>类别</w:t>
            </w:r>
          </w:p>
        </w:tc>
        <w:tc>
          <w:tcPr>
            <w:tcW w:w="2322" w:type="dxa"/>
          </w:tcPr>
          <w:p>
            <w:pPr>
              <w:pStyle w:val="TableParagraph"/>
              <w:spacing w:line="257" w:lineRule="exact" w:before="6"/>
              <w:ind w:left="717" w:right="711"/>
              <w:rPr>
                <w:b/>
                <w:sz w:val="21"/>
              </w:rPr>
            </w:pPr>
            <w:r>
              <w:rPr>
                <w:b/>
                <w:sz w:val="21"/>
              </w:rPr>
              <w:t>名称</w:t>
            </w:r>
          </w:p>
        </w:tc>
        <w:tc>
          <w:tcPr>
            <w:tcW w:w="2324" w:type="dxa"/>
          </w:tcPr>
          <w:p>
            <w:pPr>
              <w:pStyle w:val="TableParagraph"/>
              <w:spacing w:line="257" w:lineRule="exact" w:before="6"/>
              <w:ind w:left="929" w:right="922"/>
              <w:rPr>
                <w:b/>
                <w:sz w:val="21"/>
              </w:rPr>
            </w:pPr>
            <w:r>
              <w:rPr>
                <w:b/>
                <w:sz w:val="21"/>
              </w:rPr>
              <w:t>比例</w:t>
            </w:r>
          </w:p>
        </w:tc>
        <w:tc>
          <w:tcPr>
            <w:tcW w:w="2322" w:type="dxa"/>
          </w:tcPr>
          <w:p>
            <w:pPr>
              <w:pStyle w:val="TableParagraph"/>
              <w:spacing w:line="257" w:lineRule="exact" w:before="6"/>
              <w:ind w:left="714" w:right="711"/>
              <w:rPr>
                <w:b/>
                <w:sz w:val="21"/>
              </w:rPr>
            </w:pPr>
            <w:r>
              <w:rPr>
                <w:b/>
                <w:sz w:val="21"/>
              </w:rPr>
              <w:t>排名</w:t>
            </w:r>
          </w:p>
        </w:tc>
      </w:tr>
      <w:tr>
        <w:trPr>
          <w:trHeight w:val="285" w:hRule="atLeast"/>
        </w:trPr>
        <w:tc>
          <w:tcPr>
            <w:tcW w:w="2321" w:type="dxa"/>
            <w:vMerge w:val="restart"/>
          </w:tcPr>
          <w:p>
            <w:pPr>
              <w:pStyle w:val="TableParagraph"/>
              <w:jc w:val="left"/>
              <w:rPr>
                <w:rFonts w:ascii="Times New Roman"/>
                <w:sz w:val="22"/>
              </w:rPr>
            </w:pPr>
          </w:p>
        </w:tc>
        <w:tc>
          <w:tcPr>
            <w:tcW w:w="2322" w:type="dxa"/>
          </w:tcPr>
          <w:p>
            <w:pPr>
              <w:pStyle w:val="TableParagraph"/>
              <w:spacing w:line="257" w:lineRule="exact" w:before="8"/>
              <w:ind w:left="719" w:right="708"/>
              <w:rPr>
                <w:sz w:val="21"/>
              </w:rPr>
            </w:pPr>
            <w:r>
              <w:rPr>
                <w:sz w:val="21"/>
              </w:rPr>
              <w:t>储存</w:t>
            </w:r>
          </w:p>
        </w:tc>
        <w:tc>
          <w:tcPr>
            <w:tcW w:w="2324" w:type="dxa"/>
          </w:tcPr>
          <w:p>
            <w:pPr>
              <w:pStyle w:val="TableParagraph"/>
              <w:spacing w:before="22"/>
              <w:ind w:left="929" w:right="922"/>
              <w:rPr>
                <w:rFonts w:ascii="Times New Roman"/>
                <w:sz w:val="21"/>
              </w:rPr>
            </w:pPr>
            <w:r>
              <w:rPr>
                <w:rFonts w:ascii="Times New Roman"/>
                <w:sz w:val="21"/>
              </w:rPr>
              <w:t>23.1</w:t>
            </w:r>
          </w:p>
        </w:tc>
        <w:tc>
          <w:tcPr>
            <w:tcW w:w="2322" w:type="dxa"/>
          </w:tcPr>
          <w:p>
            <w:pPr>
              <w:pStyle w:val="TableParagraph"/>
              <w:spacing w:before="22"/>
              <w:ind w:left="4"/>
              <w:rPr>
                <w:rFonts w:ascii="Times New Roman"/>
                <w:sz w:val="21"/>
              </w:rPr>
            </w:pPr>
            <w:r>
              <w:rPr>
                <w:rFonts w:ascii="Times New Roman"/>
                <w:w w:val="100"/>
                <w:sz w:val="21"/>
              </w:rPr>
              <w:t>3</w:t>
            </w:r>
          </w:p>
        </w:tc>
      </w:tr>
      <w:tr>
        <w:trPr>
          <w:trHeight w:val="282" w:hRule="atLeast"/>
        </w:trPr>
        <w:tc>
          <w:tcPr>
            <w:tcW w:w="2321" w:type="dxa"/>
            <w:vMerge/>
            <w:tcBorders>
              <w:top w:val="nil"/>
            </w:tcBorders>
          </w:tcPr>
          <w:p>
            <w:pPr>
              <w:rPr>
                <w:sz w:val="2"/>
                <w:szCs w:val="2"/>
              </w:rPr>
            </w:pPr>
          </w:p>
        </w:tc>
        <w:tc>
          <w:tcPr>
            <w:tcW w:w="2322" w:type="dxa"/>
          </w:tcPr>
          <w:p>
            <w:pPr>
              <w:pStyle w:val="TableParagraph"/>
              <w:spacing w:line="257" w:lineRule="exact" w:before="6"/>
              <w:ind w:left="719" w:right="708"/>
              <w:rPr>
                <w:sz w:val="21"/>
              </w:rPr>
            </w:pPr>
            <w:r>
              <w:rPr>
                <w:sz w:val="21"/>
              </w:rPr>
              <w:t>搬运</w:t>
            </w:r>
          </w:p>
        </w:tc>
        <w:tc>
          <w:tcPr>
            <w:tcW w:w="2324" w:type="dxa"/>
          </w:tcPr>
          <w:p>
            <w:pPr>
              <w:pStyle w:val="TableParagraph"/>
              <w:spacing w:before="19"/>
              <w:ind w:left="929" w:right="922"/>
              <w:rPr>
                <w:rFonts w:ascii="Times New Roman"/>
                <w:sz w:val="21"/>
              </w:rPr>
            </w:pPr>
            <w:r>
              <w:rPr>
                <w:rFonts w:ascii="Times New Roman"/>
                <w:sz w:val="21"/>
              </w:rPr>
              <w:t>9.6</w:t>
            </w:r>
          </w:p>
        </w:tc>
        <w:tc>
          <w:tcPr>
            <w:tcW w:w="2322" w:type="dxa"/>
          </w:tcPr>
          <w:p>
            <w:pPr>
              <w:pStyle w:val="TableParagraph"/>
              <w:spacing w:before="19"/>
              <w:ind w:left="4"/>
              <w:rPr>
                <w:rFonts w:ascii="Times New Roman"/>
                <w:sz w:val="21"/>
              </w:rPr>
            </w:pPr>
            <w:r>
              <w:rPr>
                <w:rFonts w:ascii="Times New Roman"/>
                <w:w w:val="100"/>
                <w:sz w:val="21"/>
              </w:rPr>
              <w:t>4</w:t>
            </w:r>
          </w:p>
        </w:tc>
      </w:tr>
      <w:tr>
        <w:trPr>
          <w:trHeight w:val="285" w:hRule="atLeast"/>
        </w:trPr>
        <w:tc>
          <w:tcPr>
            <w:tcW w:w="2321" w:type="dxa"/>
            <w:vMerge w:val="restart"/>
          </w:tcPr>
          <w:p>
            <w:pPr>
              <w:pStyle w:val="TableParagraph"/>
              <w:jc w:val="left"/>
              <w:rPr>
                <w:b/>
                <w:sz w:val="20"/>
              </w:rPr>
            </w:pPr>
          </w:p>
          <w:p>
            <w:pPr>
              <w:pStyle w:val="TableParagraph"/>
              <w:spacing w:before="1"/>
              <w:jc w:val="left"/>
              <w:rPr>
                <w:b/>
                <w:sz w:val="15"/>
              </w:rPr>
            </w:pPr>
          </w:p>
          <w:p>
            <w:pPr>
              <w:pStyle w:val="TableParagraph"/>
              <w:ind w:left="738"/>
              <w:jc w:val="left"/>
              <w:rPr>
                <w:sz w:val="21"/>
              </w:rPr>
            </w:pPr>
            <w:r>
              <w:rPr>
                <w:sz w:val="21"/>
              </w:rPr>
              <w:t>事故来源</w:t>
            </w:r>
          </w:p>
        </w:tc>
        <w:tc>
          <w:tcPr>
            <w:tcW w:w="2322" w:type="dxa"/>
          </w:tcPr>
          <w:p>
            <w:pPr>
              <w:pStyle w:val="TableParagraph"/>
              <w:spacing w:line="257" w:lineRule="exact" w:before="8"/>
              <w:ind w:left="717" w:right="711"/>
              <w:rPr>
                <w:sz w:val="21"/>
              </w:rPr>
            </w:pPr>
            <w:r>
              <w:rPr>
                <w:sz w:val="21"/>
              </w:rPr>
              <w:t>机械故障</w:t>
            </w:r>
          </w:p>
        </w:tc>
        <w:tc>
          <w:tcPr>
            <w:tcW w:w="2324" w:type="dxa"/>
          </w:tcPr>
          <w:p>
            <w:pPr>
              <w:pStyle w:val="TableParagraph"/>
              <w:spacing w:before="22"/>
              <w:ind w:left="929" w:right="922"/>
              <w:rPr>
                <w:rFonts w:ascii="Times New Roman"/>
                <w:sz w:val="21"/>
              </w:rPr>
            </w:pPr>
            <w:r>
              <w:rPr>
                <w:rFonts w:ascii="Times New Roman"/>
                <w:sz w:val="21"/>
              </w:rPr>
              <w:t>34.2</w:t>
            </w:r>
          </w:p>
        </w:tc>
        <w:tc>
          <w:tcPr>
            <w:tcW w:w="2322" w:type="dxa"/>
          </w:tcPr>
          <w:p>
            <w:pPr>
              <w:pStyle w:val="TableParagraph"/>
              <w:spacing w:before="22"/>
              <w:ind w:left="4"/>
              <w:rPr>
                <w:rFonts w:ascii="Times New Roman"/>
                <w:sz w:val="21"/>
              </w:rPr>
            </w:pPr>
            <w:r>
              <w:rPr>
                <w:rFonts w:ascii="Times New Roman"/>
                <w:w w:val="100"/>
                <w:sz w:val="21"/>
              </w:rPr>
              <w:t>1</w:t>
            </w:r>
          </w:p>
        </w:tc>
      </w:tr>
      <w:tr>
        <w:trPr>
          <w:trHeight w:val="282" w:hRule="atLeast"/>
        </w:trPr>
        <w:tc>
          <w:tcPr>
            <w:tcW w:w="2321" w:type="dxa"/>
            <w:vMerge/>
            <w:tcBorders>
              <w:top w:val="nil"/>
            </w:tcBorders>
          </w:tcPr>
          <w:p>
            <w:pPr>
              <w:rPr>
                <w:sz w:val="2"/>
                <w:szCs w:val="2"/>
              </w:rPr>
            </w:pPr>
          </w:p>
        </w:tc>
        <w:tc>
          <w:tcPr>
            <w:tcW w:w="2322" w:type="dxa"/>
          </w:tcPr>
          <w:p>
            <w:pPr>
              <w:pStyle w:val="TableParagraph"/>
              <w:spacing w:line="257" w:lineRule="exact" w:before="5"/>
              <w:ind w:left="719" w:right="710"/>
              <w:rPr>
                <w:sz w:val="21"/>
              </w:rPr>
            </w:pPr>
            <w:r>
              <w:rPr>
                <w:sz w:val="21"/>
              </w:rPr>
              <w:t>碰撞事故</w:t>
            </w:r>
          </w:p>
        </w:tc>
        <w:tc>
          <w:tcPr>
            <w:tcW w:w="2324" w:type="dxa"/>
          </w:tcPr>
          <w:p>
            <w:pPr>
              <w:pStyle w:val="TableParagraph"/>
              <w:spacing w:before="19"/>
              <w:ind w:left="929" w:right="922"/>
              <w:rPr>
                <w:rFonts w:ascii="Times New Roman"/>
                <w:sz w:val="21"/>
              </w:rPr>
            </w:pPr>
            <w:r>
              <w:rPr>
                <w:rFonts w:ascii="Times New Roman"/>
                <w:sz w:val="21"/>
              </w:rPr>
              <w:t>26.8</w:t>
            </w:r>
          </w:p>
        </w:tc>
        <w:tc>
          <w:tcPr>
            <w:tcW w:w="2322" w:type="dxa"/>
          </w:tcPr>
          <w:p>
            <w:pPr>
              <w:pStyle w:val="TableParagraph"/>
              <w:spacing w:before="19"/>
              <w:ind w:left="4"/>
              <w:rPr>
                <w:rFonts w:ascii="Times New Roman"/>
                <w:sz w:val="21"/>
              </w:rPr>
            </w:pPr>
            <w:r>
              <w:rPr>
                <w:rFonts w:ascii="Times New Roman"/>
                <w:w w:val="100"/>
                <w:sz w:val="21"/>
              </w:rPr>
              <w:t>2</w:t>
            </w:r>
          </w:p>
        </w:tc>
      </w:tr>
      <w:tr>
        <w:trPr>
          <w:trHeight w:val="285" w:hRule="atLeast"/>
        </w:trPr>
        <w:tc>
          <w:tcPr>
            <w:tcW w:w="2321" w:type="dxa"/>
            <w:vMerge/>
            <w:tcBorders>
              <w:top w:val="nil"/>
            </w:tcBorders>
          </w:tcPr>
          <w:p>
            <w:pPr>
              <w:rPr>
                <w:sz w:val="2"/>
                <w:szCs w:val="2"/>
              </w:rPr>
            </w:pPr>
          </w:p>
        </w:tc>
        <w:tc>
          <w:tcPr>
            <w:tcW w:w="2322" w:type="dxa"/>
          </w:tcPr>
          <w:p>
            <w:pPr>
              <w:pStyle w:val="TableParagraph"/>
              <w:spacing w:line="257" w:lineRule="exact" w:before="8"/>
              <w:ind w:left="719" w:right="710"/>
              <w:rPr>
                <w:sz w:val="21"/>
              </w:rPr>
            </w:pPr>
            <w:r>
              <w:rPr>
                <w:sz w:val="21"/>
              </w:rPr>
              <w:t>人为因素</w:t>
            </w:r>
          </w:p>
        </w:tc>
        <w:tc>
          <w:tcPr>
            <w:tcW w:w="2324" w:type="dxa"/>
          </w:tcPr>
          <w:p>
            <w:pPr>
              <w:pStyle w:val="TableParagraph"/>
              <w:spacing w:before="22"/>
              <w:ind w:left="929" w:right="922"/>
              <w:rPr>
                <w:rFonts w:ascii="Times New Roman"/>
                <w:sz w:val="21"/>
              </w:rPr>
            </w:pPr>
            <w:r>
              <w:rPr>
                <w:rFonts w:ascii="Times New Roman"/>
                <w:sz w:val="21"/>
              </w:rPr>
              <w:t>22.8</w:t>
            </w:r>
          </w:p>
        </w:tc>
        <w:tc>
          <w:tcPr>
            <w:tcW w:w="2322" w:type="dxa"/>
          </w:tcPr>
          <w:p>
            <w:pPr>
              <w:pStyle w:val="TableParagraph"/>
              <w:spacing w:before="22"/>
              <w:ind w:left="4"/>
              <w:rPr>
                <w:rFonts w:ascii="Times New Roman"/>
                <w:sz w:val="21"/>
              </w:rPr>
            </w:pPr>
            <w:r>
              <w:rPr>
                <w:rFonts w:ascii="Times New Roman"/>
                <w:w w:val="100"/>
                <w:sz w:val="21"/>
              </w:rPr>
              <w:t>3</w:t>
            </w:r>
          </w:p>
        </w:tc>
      </w:tr>
      <w:tr>
        <w:trPr>
          <w:trHeight w:val="282" w:hRule="atLeast"/>
        </w:trPr>
        <w:tc>
          <w:tcPr>
            <w:tcW w:w="2321" w:type="dxa"/>
            <w:vMerge/>
            <w:tcBorders>
              <w:top w:val="nil"/>
            </w:tcBorders>
          </w:tcPr>
          <w:p>
            <w:pPr>
              <w:rPr>
                <w:sz w:val="2"/>
                <w:szCs w:val="2"/>
              </w:rPr>
            </w:pPr>
          </w:p>
        </w:tc>
        <w:tc>
          <w:tcPr>
            <w:tcW w:w="2322" w:type="dxa"/>
          </w:tcPr>
          <w:p>
            <w:pPr>
              <w:pStyle w:val="TableParagraph"/>
              <w:spacing w:line="257" w:lineRule="exact" w:before="6"/>
              <w:ind w:left="719" w:right="710"/>
              <w:rPr>
                <w:sz w:val="21"/>
              </w:rPr>
            </w:pPr>
            <w:r>
              <w:rPr>
                <w:sz w:val="21"/>
              </w:rPr>
              <w:t>外部因素</w:t>
            </w:r>
          </w:p>
        </w:tc>
        <w:tc>
          <w:tcPr>
            <w:tcW w:w="2324" w:type="dxa"/>
          </w:tcPr>
          <w:p>
            <w:pPr>
              <w:pStyle w:val="TableParagraph"/>
              <w:spacing w:before="19"/>
              <w:ind w:left="929" w:right="922"/>
              <w:rPr>
                <w:rFonts w:ascii="Times New Roman"/>
                <w:sz w:val="21"/>
              </w:rPr>
            </w:pPr>
            <w:r>
              <w:rPr>
                <w:rFonts w:ascii="Times New Roman"/>
                <w:sz w:val="21"/>
              </w:rPr>
              <w:t>15.2</w:t>
            </w:r>
          </w:p>
        </w:tc>
        <w:tc>
          <w:tcPr>
            <w:tcW w:w="2322" w:type="dxa"/>
          </w:tcPr>
          <w:p>
            <w:pPr>
              <w:pStyle w:val="TableParagraph"/>
              <w:spacing w:before="19"/>
              <w:ind w:left="4"/>
              <w:rPr>
                <w:rFonts w:ascii="Times New Roman"/>
                <w:sz w:val="21"/>
              </w:rPr>
            </w:pPr>
            <w:r>
              <w:rPr>
                <w:rFonts w:ascii="Times New Roman"/>
                <w:w w:val="100"/>
                <w:sz w:val="21"/>
              </w:rPr>
              <w:t>4</w:t>
            </w:r>
          </w:p>
        </w:tc>
      </w:tr>
    </w:tbl>
    <w:p>
      <w:pPr>
        <w:pStyle w:val="ListParagraph"/>
        <w:numPr>
          <w:ilvl w:val="2"/>
          <w:numId w:val="48"/>
        </w:numPr>
        <w:tabs>
          <w:tab w:pos="1059" w:val="left" w:leader="none"/>
        </w:tabs>
        <w:spacing w:line="364" w:lineRule="auto" w:before="2" w:after="0"/>
        <w:ind w:left="698" w:right="6185" w:hanging="240"/>
        <w:jc w:val="left"/>
        <w:rPr>
          <w:sz w:val="24"/>
        </w:rPr>
      </w:pPr>
      <w:r>
        <w:rPr>
          <w:b/>
          <w:sz w:val="24"/>
        </w:rPr>
        <w:t>事故风险典型案例 </w:t>
      </w:r>
      <w:r>
        <w:rPr>
          <w:spacing w:val="-2"/>
          <w:sz w:val="24"/>
        </w:rPr>
        <w:t>一、甲酸运输车侧翻事故</w:t>
      </w:r>
      <w:r>
        <w:rPr>
          <w:rFonts w:ascii="Times New Roman" w:eastAsia="Times New Roman"/>
          <w:sz w:val="24"/>
        </w:rPr>
        <w:t>1</w:t>
      </w:r>
      <w:r>
        <w:rPr>
          <w:sz w:val="24"/>
        </w:rPr>
        <w:t>、事故经过</w:t>
      </w:r>
    </w:p>
    <w:p>
      <w:pPr>
        <w:pStyle w:val="BodyText"/>
        <w:spacing w:line="364" w:lineRule="auto"/>
        <w:ind w:left="218" w:right="244" w:firstLine="480"/>
        <w:jc w:val="both"/>
      </w:pPr>
      <w:r>
        <w:rPr>
          <w:spacing w:val="-5"/>
        </w:rPr>
        <w:t>潼南区消防支队指挥中心于 </w:t>
      </w:r>
      <w:r>
        <w:rPr>
          <w:rFonts w:ascii="Times New Roman" w:eastAsia="Times New Roman"/>
        </w:rPr>
        <w:t>4 </w:t>
      </w:r>
      <w:r>
        <w:rPr>
          <w:spacing w:val="-30"/>
        </w:rPr>
        <w:t>月 </w:t>
      </w:r>
      <w:r>
        <w:rPr>
          <w:rFonts w:ascii="Times New Roman" w:eastAsia="Times New Roman"/>
        </w:rPr>
        <w:t>7 </w:t>
      </w:r>
      <w:r>
        <w:rPr>
          <w:spacing w:val="-20"/>
        </w:rPr>
        <w:t>日晚 </w:t>
      </w:r>
      <w:r>
        <w:rPr>
          <w:rFonts w:ascii="Times New Roman" w:eastAsia="Times New Roman"/>
        </w:rPr>
        <w:t>11 </w:t>
      </w:r>
      <w:r>
        <w:rPr>
          <w:spacing w:val="-30"/>
        </w:rPr>
        <w:t>时 </w:t>
      </w:r>
      <w:r>
        <w:rPr>
          <w:rFonts w:ascii="Times New Roman" w:eastAsia="Times New Roman"/>
        </w:rPr>
        <w:t>29 </w:t>
      </w:r>
      <w:r>
        <w:rPr/>
        <w:t>分接到报警，</w:t>
      </w:r>
      <w:r>
        <w:rPr>
          <w:rFonts w:ascii="Times New Roman" w:eastAsia="Times New Roman"/>
        </w:rPr>
        <w:t>11 </w:t>
      </w:r>
      <w:r>
        <w:rPr>
          <w:spacing w:val="-30"/>
        </w:rPr>
        <w:t>时 </w:t>
      </w:r>
      <w:r>
        <w:rPr>
          <w:rFonts w:ascii="Times New Roman" w:eastAsia="Times New Roman"/>
        </w:rPr>
        <w:t>49 </w:t>
      </w:r>
      <w:r>
        <w:rPr>
          <w:spacing w:val="-4"/>
        </w:rPr>
        <w:t>分，消防战</w:t>
      </w:r>
      <w:r>
        <w:rPr/>
        <w:t>士赶到事发现场。</w:t>
      </w:r>
    </w:p>
    <w:p>
      <w:pPr>
        <w:pStyle w:val="BodyText"/>
        <w:spacing w:line="364" w:lineRule="auto"/>
        <w:ind w:left="218" w:right="233" w:firstLine="480"/>
        <w:jc w:val="both"/>
      </w:pPr>
      <w:r>
        <w:rPr>
          <w:spacing w:val="-4"/>
        </w:rPr>
        <w:t>通过参与救援的消防战士介绍，当时现场充斥着一股刺鼻的气味。一辆四川牌照大</w:t>
      </w:r>
      <w:r>
        <w:rPr>
          <w:spacing w:val="-5"/>
        </w:rPr>
        <w:t>货车侧翻在高速公路边，车头严重变形，装载货物大部分已倾倒在路面上，化学品装载</w:t>
      </w:r>
      <w:r>
        <w:rPr/>
        <w:t>桶部分已破裂并泄漏。</w:t>
      </w:r>
    </w:p>
    <w:p>
      <w:pPr>
        <w:pStyle w:val="BodyText"/>
        <w:spacing w:line="307" w:lineRule="exact"/>
        <w:ind w:left="698"/>
      </w:pPr>
      <w:r>
        <w:rPr>
          <w:rFonts w:ascii="Times New Roman" w:eastAsia="Times New Roman"/>
        </w:rPr>
        <w:t>2</w:t>
      </w:r>
      <w:r>
        <w:rPr/>
        <w:t>、事故处理</w:t>
      </w:r>
    </w:p>
    <w:p>
      <w:pPr>
        <w:pStyle w:val="BodyText"/>
        <w:spacing w:line="364" w:lineRule="auto" w:before="157"/>
        <w:ind w:left="218" w:right="233" w:firstLine="480"/>
        <w:jc w:val="both"/>
      </w:pPr>
      <w:r>
        <w:rPr>
          <w:spacing w:val="-6"/>
        </w:rPr>
        <w:t>消防方面立即疏散车辆，在现场设立警戒区域，并为 </w:t>
      </w:r>
      <w:r>
        <w:rPr>
          <w:rFonts w:ascii="Times New Roman" w:eastAsia="Times New Roman"/>
        </w:rPr>
        <w:t>120 </w:t>
      </w:r>
      <w:r>
        <w:rPr>
          <w:spacing w:val="-4"/>
        </w:rPr>
        <w:t>急救车开辟救援通道，将</w:t>
      </w:r>
      <w:r>
        <w:rPr>
          <w:spacing w:val="-6"/>
        </w:rPr>
        <w:t>大货车内的两名伤者送往医院救治。当地应急办、安监、环保、交委、田家镇等部门相</w:t>
      </w:r>
      <w:r>
        <w:rPr/>
        <w:t>关负责人也相继赶到现场，成立现场指挥部，快速制定救援方案。</w:t>
      </w:r>
    </w:p>
    <w:p>
      <w:pPr>
        <w:pStyle w:val="BodyText"/>
        <w:ind w:left="698"/>
      </w:pPr>
      <w:r>
        <w:rPr>
          <w:rFonts w:ascii="Times New Roman" w:eastAsia="Times New Roman"/>
        </w:rPr>
        <w:t>3</w:t>
      </w:r>
      <w:r>
        <w:rPr/>
        <w:t>、事故调查及结果</w:t>
      </w:r>
    </w:p>
    <w:p>
      <w:pPr>
        <w:pStyle w:val="BodyText"/>
        <w:spacing w:before="158"/>
        <w:ind w:left="698"/>
      </w:pPr>
      <w:r>
        <w:rPr/>
        <w:t>①事故调查</w:t>
      </w:r>
    </w:p>
    <w:p>
      <w:pPr>
        <w:pStyle w:val="BodyText"/>
        <w:spacing w:line="364" w:lineRule="auto" w:before="161"/>
        <w:ind w:left="218" w:right="232" w:firstLine="480"/>
        <w:jc w:val="both"/>
      </w:pPr>
      <w:r>
        <w:rPr>
          <w:spacing w:val="-4"/>
        </w:rPr>
        <w:t>经过现场侦查与联系厂方技术人员，救援人员确定泄漏化学品为工业甲酸，装载数</w:t>
      </w:r>
      <w:r>
        <w:rPr>
          <w:spacing w:val="-30"/>
        </w:rPr>
        <w:t>量 </w:t>
      </w:r>
      <w:r>
        <w:rPr>
          <w:rFonts w:ascii="Times New Roman" w:eastAsia="Times New Roman"/>
        </w:rPr>
        <w:t>1000 </w:t>
      </w:r>
      <w:r>
        <w:rPr>
          <w:spacing w:val="-13"/>
        </w:rPr>
        <w:t>桶，共计约 </w:t>
      </w:r>
      <w:r>
        <w:rPr>
          <w:rFonts w:ascii="Times New Roman" w:eastAsia="Times New Roman"/>
        </w:rPr>
        <w:t>35 </w:t>
      </w:r>
      <w:r>
        <w:rPr>
          <w:spacing w:val="-6"/>
        </w:rPr>
        <w:t>吨。甲酸易溶于水，对人体黏膜和皮肤有强刺激性和腐蚀性，其</w:t>
      </w:r>
      <w:r>
        <w:rPr/>
        <w:t>挥发气体与空气混合遇明火能发生燃烧爆炸。</w:t>
      </w:r>
    </w:p>
    <w:p>
      <w:pPr>
        <w:pStyle w:val="BodyText"/>
        <w:spacing w:line="307" w:lineRule="exact"/>
        <w:ind w:left="698"/>
      </w:pPr>
      <w:r>
        <w:rPr/>
        <w:t>②事故结果</w:t>
      </w:r>
    </w:p>
    <w:p>
      <w:pPr>
        <w:pStyle w:val="BodyText"/>
        <w:spacing w:before="158"/>
        <w:ind w:left="698"/>
      </w:pPr>
      <w:r>
        <w:rPr/>
        <w:t>经过一整夜连续奋战，</w:t>
      </w:r>
      <w:r>
        <w:rPr>
          <w:rFonts w:ascii="Times New Roman" w:eastAsia="Times New Roman"/>
        </w:rPr>
        <w:t>4 </w:t>
      </w:r>
      <w:r>
        <w:rPr/>
        <w:t>月 </w:t>
      </w:r>
      <w:r>
        <w:rPr>
          <w:rFonts w:ascii="Times New Roman" w:eastAsia="Times New Roman"/>
        </w:rPr>
        <w:t>8 </w:t>
      </w:r>
      <w:r>
        <w:rPr/>
        <w:t>日上午 </w:t>
      </w:r>
      <w:r>
        <w:rPr>
          <w:rFonts w:ascii="Times New Roman" w:eastAsia="Times New Roman"/>
        </w:rPr>
        <w:t>8 </w:t>
      </w:r>
      <w:r>
        <w:rPr/>
        <w:t>时，消防战士成功将 </w:t>
      </w:r>
      <w:r>
        <w:rPr>
          <w:rFonts w:ascii="Times New Roman" w:eastAsia="Times New Roman"/>
        </w:rPr>
        <w:t>860 </w:t>
      </w:r>
      <w:r>
        <w:rPr/>
        <w:t>桶完好的甲酸桶转</w:t>
      </w:r>
    </w:p>
    <w:p>
      <w:pPr>
        <w:pStyle w:val="BodyText"/>
        <w:spacing w:line="362" w:lineRule="auto" w:before="160"/>
        <w:ind w:left="218" w:right="232"/>
      </w:pPr>
      <w:r>
        <w:rPr>
          <w:spacing w:val="-6"/>
        </w:rPr>
        <w:t>运至安全地带。</w:t>
      </w:r>
      <w:r>
        <w:rPr>
          <w:rFonts w:ascii="Times New Roman" w:eastAsia="Times New Roman"/>
        </w:rPr>
        <w:t>9 </w:t>
      </w:r>
      <w:r>
        <w:rPr>
          <w:spacing w:val="-30"/>
        </w:rPr>
        <w:t>时 </w:t>
      </w:r>
      <w:r>
        <w:rPr>
          <w:rFonts w:ascii="Times New Roman" w:eastAsia="Times New Roman"/>
        </w:rPr>
        <w:t>30 </w:t>
      </w:r>
      <w:r>
        <w:rPr>
          <w:spacing w:val="-11"/>
        </w:rPr>
        <w:t>分，厂方技术人员赶到现场后，协助消防战士对损坏的 </w:t>
      </w:r>
      <w:r>
        <w:rPr>
          <w:rFonts w:ascii="Times New Roman" w:eastAsia="Times New Roman"/>
        </w:rPr>
        <w:t>140 </w:t>
      </w:r>
      <w:r>
        <w:rPr>
          <w:spacing w:val="-8"/>
        </w:rPr>
        <w:t>桶甲</w:t>
      </w:r>
      <w:r>
        <w:rPr/>
        <w:t>酸进行倒灌转运，并对地面残留甲酸与流入池内的甲酸进行了中和。</w:t>
      </w:r>
    </w:p>
    <w:p>
      <w:pPr>
        <w:pStyle w:val="BodyText"/>
        <w:spacing w:before="6"/>
        <w:ind w:left="698"/>
      </w:pPr>
      <w:r>
        <w:rPr>
          <w:rFonts w:ascii="Times New Roman" w:eastAsia="Times New Roman"/>
        </w:rPr>
        <w:t>4</w:t>
      </w:r>
      <w:r>
        <w:rPr/>
        <w:t>、同类事故预防措施</w:t>
      </w:r>
    </w:p>
    <w:p>
      <w:pPr>
        <w:pStyle w:val="BodyText"/>
        <w:spacing w:before="158"/>
        <w:ind w:left="698"/>
      </w:pPr>
      <w:r>
        <w:rPr/>
        <w:t>①危险化学品运输时需严格按照相关标准进行储存运输。 </w:t>
      </w:r>
    </w:p>
    <w:p>
      <w:pPr>
        <w:pStyle w:val="BodyText"/>
        <w:spacing w:line="362" w:lineRule="auto" w:before="160"/>
        <w:ind w:left="218" w:right="172" w:firstLine="480"/>
      </w:pPr>
      <w:r>
        <w:rPr/>
        <w:t>②企业需按国家和省的有关规定进行规划、审批、管理和验收，工厂压力容器、压力管道等设备进行安装验收、登记、检验、发证。</w:t>
      </w:r>
    </w:p>
    <w:p>
      <w:pPr>
        <w:spacing w:after="0" w:line="362" w:lineRule="auto"/>
        <w:sectPr>
          <w:pgSz w:w="11910" w:h="16840"/>
          <w:pgMar w:header="872" w:footer="945" w:top="1320" w:bottom="1140" w:left="1200" w:right="1180"/>
        </w:sectPr>
      </w:pPr>
    </w:p>
    <w:p>
      <w:pPr>
        <w:pStyle w:val="BodyText"/>
        <w:spacing w:before="84"/>
        <w:ind w:left="698"/>
      </w:pPr>
      <w:r>
        <w:rPr/>
        <w:t>③严格执行化工部颁发的各项安全规章制度。</w:t>
      </w:r>
    </w:p>
    <w:p>
      <w:pPr>
        <w:pStyle w:val="BodyText"/>
        <w:spacing w:before="159"/>
        <w:ind w:left="698"/>
      </w:pPr>
      <w:r>
        <w:rPr/>
        <w:t>④操作人员必须经过专门培训，严格遵守操作规程。</w:t>
      </w:r>
    </w:p>
    <w:p>
      <w:pPr>
        <w:pStyle w:val="Heading4"/>
        <w:numPr>
          <w:ilvl w:val="2"/>
          <w:numId w:val="48"/>
        </w:numPr>
        <w:tabs>
          <w:tab w:pos="1059" w:val="left" w:leader="none"/>
        </w:tabs>
        <w:spacing w:line="240" w:lineRule="auto" w:before="160" w:after="0"/>
        <w:ind w:left="1058" w:right="0" w:hanging="601"/>
        <w:jc w:val="left"/>
      </w:pPr>
      <w:r>
        <w:rPr/>
        <w:t>环境风险类型及危害分析</w:t>
      </w:r>
    </w:p>
    <w:p>
      <w:pPr>
        <w:pStyle w:val="BodyText"/>
        <w:spacing w:before="158"/>
        <w:ind w:left="698"/>
      </w:pPr>
      <w:r>
        <w:rPr/>
        <w:t>根据上述风险识别结果，汇总本项目环境风险识别表见下表。</w:t>
      </w:r>
    </w:p>
    <w:p>
      <w:pPr>
        <w:pStyle w:val="BodyText"/>
        <w:spacing w:before="8"/>
        <w:rPr>
          <w:sz w:val="23"/>
        </w:rPr>
      </w:pPr>
    </w:p>
    <w:p>
      <w:pPr>
        <w:pStyle w:val="Heading4"/>
        <w:tabs>
          <w:tab w:pos="1161" w:val="left" w:leader="none"/>
        </w:tabs>
        <w:spacing w:after="29"/>
        <w:ind w:left="0" w:right="19"/>
        <w:jc w:val="center"/>
      </w:pPr>
      <w:r>
        <w:rPr/>
        <w:t>表</w:t>
      </w:r>
      <w:r>
        <w:rPr>
          <w:spacing w:val="-60"/>
        </w:rPr>
        <w:t> </w:t>
      </w:r>
      <w:r>
        <w:rPr>
          <w:rFonts w:ascii="Times New Roman" w:eastAsia="Times New Roman"/>
        </w:rPr>
        <w:t>8.4-5</w:t>
        <w:tab/>
      </w:r>
      <w:r>
        <w:rPr/>
        <w:t>建设项目环境风险识别表</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47"/>
        <w:gridCol w:w="1133"/>
        <w:gridCol w:w="1026"/>
        <w:gridCol w:w="2062"/>
        <w:gridCol w:w="1770"/>
        <w:gridCol w:w="1175"/>
        <w:gridCol w:w="1278"/>
      </w:tblGrid>
      <w:tr>
        <w:trPr>
          <w:trHeight w:val="815" w:hRule="atLeast"/>
        </w:trPr>
        <w:tc>
          <w:tcPr>
            <w:tcW w:w="847" w:type="dxa"/>
          </w:tcPr>
          <w:p>
            <w:pPr>
              <w:pStyle w:val="TableParagraph"/>
              <w:spacing w:before="5"/>
              <w:jc w:val="left"/>
              <w:rPr>
                <w:b/>
                <w:sz w:val="21"/>
              </w:rPr>
            </w:pPr>
          </w:p>
          <w:p>
            <w:pPr>
              <w:pStyle w:val="TableParagraph"/>
              <w:ind w:left="31" w:right="29"/>
              <w:rPr>
                <w:b/>
                <w:sz w:val="21"/>
              </w:rPr>
            </w:pPr>
            <w:r>
              <w:rPr>
                <w:b/>
                <w:sz w:val="21"/>
              </w:rPr>
              <w:t>序号</w:t>
            </w:r>
          </w:p>
        </w:tc>
        <w:tc>
          <w:tcPr>
            <w:tcW w:w="1133" w:type="dxa"/>
          </w:tcPr>
          <w:p>
            <w:pPr>
              <w:pStyle w:val="TableParagraph"/>
              <w:spacing w:before="5"/>
              <w:jc w:val="left"/>
              <w:rPr>
                <w:b/>
                <w:sz w:val="21"/>
              </w:rPr>
            </w:pPr>
          </w:p>
          <w:p>
            <w:pPr>
              <w:pStyle w:val="TableParagraph"/>
              <w:ind w:left="7" w:right="3"/>
              <w:rPr>
                <w:b/>
                <w:sz w:val="21"/>
              </w:rPr>
            </w:pPr>
            <w:r>
              <w:rPr>
                <w:b/>
                <w:sz w:val="21"/>
              </w:rPr>
              <w:t>危险单元</w:t>
            </w:r>
          </w:p>
        </w:tc>
        <w:tc>
          <w:tcPr>
            <w:tcW w:w="1026" w:type="dxa"/>
          </w:tcPr>
          <w:p>
            <w:pPr>
              <w:pStyle w:val="TableParagraph"/>
              <w:spacing w:before="5"/>
              <w:jc w:val="left"/>
              <w:rPr>
                <w:b/>
                <w:sz w:val="21"/>
              </w:rPr>
            </w:pPr>
          </w:p>
          <w:p>
            <w:pPr>
              <w:pStyle w:val="TableParagraph"/>
              <w:ind w:left="71" w:right="66"/>
              <w:rPr>
                <w:b/>
                <w:sz w:val="21"/>
              </w:rPr>
            </w:pPr>
            <w:r>
              <w:rPr>
                <w:b/>
                <w:sz w:val="21"/>
              </w:rPr>
              <w:t>风险源</w:t>
            </w:r>
          </w:p>
        </w:tc>
        <w:tc>
          <w:tcPr>
            <w:tcW w:w="2062" w:type="dxa"/>
          </w:tcPr>
          <w:p>
            <w:pPr>
              <w:pStyle w:val="TableParagraph"/>
              <w:spacing w:before="5"/>
              <w:jc w:val="left"/>
              <w:rPr>
                <w:b/>
                <w:sz w:val="21"/>
              </w:rPr>
            </w:pPr>
          </w:p>
          <w:p>
            <w:pPr>
              <w:pStyle w:val="TableParagraph"/>
              <w:ind w:left="32" w:right="27"/>
              <w:rPr>
                <w:b/>
                <w:sz w:val="21"/>
              </w:rPr>
            </w:pPr>
            <w:r>
              <w:rPr>
                <w:b/>
                <w:sz w:val="21"/>
              </w:rPr>
              <w:t>主要危险物质</w:t>
            </w:r>
          </w:p>
        </w:tc>
        <w:tc>
          <w:tcPr>
            <w:tcW w:w="1770" w:type="dxa"/>
          </w:tcPr>
          <w:p>
            <w:pPr>
              <w:pStyle w:val="TableParagraph"/>
              <w:spacing w:before="5"/>
              <w:jc w:val="left"/>
              <w:rPr>
                <w:b/>
                <w:sz w:val="21"/>
              </w:rPr>
            </w:pPr>
          </w:p>
          <w:p>
            <w:pPr>
              <w:pStyle w:val="TableParagraph"/>
              <w:ind w:left="39" w:right="39"/>
              <w:rPr>
                <w:b/>
                <w:sz w:val="21"/>
              </w:rPr>
            </w:pPr>
            <w:r>
              <w:rPr>
                <w:b/>
                <w:sz w:val="21"/>
              </w:rPr>
              <w:t>环境风险类型</w:t>
            </w:r>
          </w:p>
        </w:tc>
        <w:tc>
          <w:tcPr>
            <w:tcW w:w="1175" w:type="dxa"/>
          </w:tcPr>
          <w:p>
            <w:pPr>
              <w:pStyle w:val="TableParagraph"/>
              <w:spacing w:line="242" w:lineRule="auto" w:before="138"/>
              <w:ind w:left="372" w:right="161" w:hanging="212"/>
              <w:jc w:val="left"/>
              <w:rPr>
                <w:b/>
                <w:sz w:val="21"/>
              </w:rPr>
            </w:pPr>
            <w:r>
              <w:rPr>
                <w:b/>
                <w:sz w:val="21"/>
              </w:rPr>
              <w:t>环境影响途径</w:t>
            </w:r>
          </w:p>
        </w:tc>
        <w:tc>
          <w:tcPr>
            <w:tcW w:w="1278" w:type="dxa"/>
          </w:tcPr>
          <w:p>
            <w:pPr>
              <w:pStyle w:val="TableParagraph"/>
              <w:spacing w:before="1"/>
              <w:ind w:left="107"/>
              <w:jc w:val="left"/>
              <w:rPr>
                <w:b/>
                <w:sz w:val="21"/>
              </w:rPr>
            </w:pPr>
            <w:r>
              <w:rPr>
                <w:b/>
                <w:sz w:val="21"/>
              </w:rPr>
              <w:t>可能受影响</w:t>
            </w:r>
          </w:p>
          <w:p>
            <w:pPr>
              <w:pStyle w:val="TableParagraph"/>
              <w:spacing w:line="270" w:lineRule="atLeast" w:before="3"/>
              <w:ind w:left="422" w:right="107" w:hanging="315"/>
              <w:jc w:val="left"/>
              <w:rPr>
                <w:b/>
                <w:sz w:val="21"/>
              </w:rPr>
            </w:pPr>
            <w:r>
              <w:rPr>
                <w:b/>
                <w:sz w:val="21"/>
              </w:rPr>
              <w:t>的环境敏感目标</w:t>
            </w:r>
          </w:p>
        </w:tc>
      </w:tr>
      <w:tr>
        <w:trPr>
          <w:trHeight w:val="285" w:hRule="atLeast"/>
        </w:trPr>
        <w:tc>
          <w:tcPr>
            <w:tcW w:w="847" w:type="dxa"/>
            <w:vMerge w:val="restart"/>
          </w:tcPr>
          <w:p>
            <w:pPr>
              <w:pStyle w:val="TableParagraph"/>
              <w:jc w:val="left"/>
              <w:rPr>
                <w:b/>
                <w:sz w:val="22"/>
              </w:rPr>
            </w:pPr>
          </w:p>
          <w:p>
            <w:pPr>
              <w:pStyle w:val="TableParagraph"/>
              <w:jc w:val="left"/>
              <w:rPr>
                <w:b/>
                <w:sz w:val="22"/>
              </w:rPr>
            </w:pPr>
          </w:p>
          <w:p>
            <w:pPr>
              <w:pStyle w:val="TableParagraph"/>
              <w:spacing w:before="145"/>
              <w:ind w:left="2"/>
              <w:rPr>
                <w:rFonts w:ascii="Times New Roman"/>
                <w:sz w:val="21"/>
              </w:rPr>
            </w:pPr>
            <w:r>
              <w:rPr>
                <w:rFonts w:ascii="Times New Roman"/>
                <w:w w:val="100"/>
                <w:sz w:val="21"/>
              </w:rPr>
              <w:t>1</w:t>
            </w:r>
          </w:p>
        </w:tc>
        <w:tc>
          <w:tcPr>
            <w:tcW w:w="1133" w:type="dxa"/>
            <w:vMerge w:val="restart"/>
          </w:tcPr>
          <w:p>
            <w:pPr>
              <w:pStyle w:val="TableParagraph"/>
              <w:jc w:val="left"/>
              <w:rPr>
                <w:b/>
                <w:sz w:val="20"/>
              </w:rPr>
            </w:pPr>
          </w:p>
          <w:p>
            <w:pPr>
              <w:pStyle w:val="TableParagraph"/>
              <w:jc w:val="left"/>
              <w:rPr>
                <w:b/>
                <w:sz w:val="20"/>
              </w:rPr>
            </w:pPr>
          </w:p>
          <w:p>
            <w:pPr>
              <w:pStyle w:val="TableParagraph"/>
              <w:spacing w:before="2"/>
              <w:jc w:val="left"/>
              <w:rPr>
                <w:b/>
                <w:sz w:val="14"/>
              </w:rPr>
            </w:pPr>
          </w:p>
          <w:p>
            <w:pPr>
              <w:pStyle w:val="TableParagraph"/>
              <w:spacing w:before="1"/>
              <w:ind w:left="144"/>
              <w:jc w:val="left"/>
              <w:rPr>
                <w:sz w:val="21"/>
              </w:rPr>
            </w:pPr>
            <w:r>
              <w:rPr>
                <w:sz w:val="21"/>
              </w:rPr>
              <w:t>生产车间</w:t>
            </w:r>
          </w:p>
        </w:tc>
        <w:tc>
          <w:tcPr>
            <w:tcW w:w="1026" w:type="dxa"/>
            <w:vMerge w:val="restart"/>
          </w:tcPr>
          <w:p>
            <w:pPr>
              <w:pStyle w:val="TableParagraph"/>
              <w:jc w:val="left"/>
              <w:rPr>
                <w:b/>
                <w:sz w:val="20"/>
              </w:rPr>
            </w:pPr>
          </w:p>
          <w:p>
            <w:pPr>
              <w:pStyle w:val="TableParagraph"/>
              <w:spacing w:before="162"/>
              <w:ind w:left="93"/>
              <w:jc w:val="left"/>
              <w:rPr>
                <w:sz w:val="21"/>
              </w:rPr>
            </w:pPr>
            <w:r>
              <w:rPr>
                <w:sz w:val="21"/>
              </w:rPr>
              <w:t>生产区域</w:t>
            </w:r>
          </w:p>
        </w:tc>
        <w:tc>
          <w:tcPr>
            <w:tcW w:w="2062" w:type="dxa"/>
            <w:vMerge w:val="restart"/>
          </w:tcPr>
          <w:p>
            <w:pPr>
              <w:pStyle w:val="TableParagraph"/>
              <w:spacing w:before="4"/>
              <w:jc w:val="left"/>
              <w:rPr>
                <w:b/>
                <w:sz w:val="23"/>
              </w:rPr>
            </w:pPr>
          </w:p>
          <w:p>
            <w:pPr>
              <w:pStyle w:val="TableParagraph"/>
              <w:ind w:left="810" w:right="20" w:hanging="783"/>
              <w:jc w:val="left"/>
              <w:rPr>
                <w:rFonts w:ascii="Times New Roman" w:eastAsia="Times New Roman"/>
                <w:sz w:val="21"/>
              </w:rPr>
            </w:pPr>
            <w:r>
              <w:rPr>
                <w:spacing w:val="-14"/>
                <w:sz w:val="21"/>
              </w:rPr>
              <w:t>甲酸，详见 </w:t>
            </w:r>
            <w:r>
              <w:rPr>
                <w:rFonts w:ascii="Times New Roman" w:eastAsia="Times New Roman"/>
                <w:spacing w:val="-6"/>
                <w:sz w:val="21"/>
              </w:rPr>
              <w:t>Pg205</w:t>
            </w:r>
            <w:r>
              <w:rPr>
                <w:spacing w:val="-10"/>
                <w:sz w:val="21"/>
              </w:rPr>
              <w:t>，表</w:t>
            </w:r>
            <w:r>
              <w:rPr>
                <w:rFonts w:ascii="Times New Roman" w:eastAsia="Times New Roman"/>
                <w:sz w:val="21"/>
              </w:rPr>
              <w:t>8.1-1</w:t>
            </w:r>
          </w:p>
        </w:tc>
        <w:tc>
          <w:tcPr>
            <w:tcW w:w="1770" w:type="dxa"/>
          </w:tcPr>
          <w:p>
            <w:pPr>
              <w:pStyle w:val="TableParagraph"/>
              <w:spacing w:line="257" w:lineRule="exact" w:before="8"/>
              <w:ind w:left="39" w:right="39"/>
              <w:rPr>
                <w:sz w:val="21"/>
              </w:rPr>
            </w:pPr>
            <w:r>
              <w:rPr>
                <w:sz w:val="21"/>
              </w:rPr>
              <w:t>危险物质泄漏</w:t>
            </w:r>
          </w:p>
        </w:tc>
        <w:tc>
          <w:tcPr>
            <w:tcW w:w="1175" w:type="dxa"/>
            <w:vMerge w:val="restart"/>
          </w:tcPr>
          <w:p>
            <w:pPr>
              <w:pStyle w:val="TableParagraph"/>
              <w:spacing w:line="242" w:lineRule="auto" w:before="147"/>
              <w:ind w:left="58" w:right="56"/>
              <w:rPr>
                <w:sz w:val="21"/>
              </w:rPr>
            </w:pPr>
            <w:r>
              <w:rPr>
                <w:sz w:val="21"/>
              </w:rPr>
              <w:t>环境空气、地表水、地下水</w:t>
            </w:r>
          </w:p>
        </w:tc>
        <w:tc>
          <w:tcPr>
            <w:tcW w:w="1278" w:type="dxa"/>
            <w:vMerge w:val="restart"/>
          </w:tcPr>
          <w:p>
            <w:pPr>
              <w:pStyle w:val="TableParagraph"/>
              <w:spacing w:line="242" w:lineRule="auto" w:before="147"/>
              <w:ind w:left="107" w:right="109"/>
              <w:rPr>
                <w:sz w:val="21"/>
              </w:rPr>
            </w:pPr>
            <w:r>
              <w:rPr>
                <w:spacing w:val="-4"/>
                <w:sz w:val="21"/>
              </w:rPr>
              <w:t>周边居民点</w:t>
            </w:r>
            <w:r>
              <w:rPr>
                <w:spacing w:val="-1"/>
                <w:sz w:val="21"/>
              </w:rPr>
              <w:t>附近水体 </w:t>
            </w:r>
            <w:r>
              <w:rPr>
                <w:spacing w:val="-5"/>
                <w:sz w:val="21"/>
              </w:rPr>
              <w:t>周边地下水</w:t>
            </w:r>
          </w:p>
        </w:tc>
      </w:tr>
      <w:tr>
        <w:trPr>
          <w:trHeight w:val="816" w:hRule="atLeast"/>
        </w:trPr>
        <w:tc>
          <w:tcPr>
            <w:tcW w:w="847" w:type="dxa"/>
            <w:vMerge/>
            <w:tcBorders>
              <w:top w:val="nil"/>
            </w:tcBorders>
          </w:tcPr>
          <w:p>
            <w:pPr>
              <w:rPr>
                <w:sz w:val="2"/>
                <w:szCs w:val="2"/>
              </w:rPr>
            </w:pPr>
          </w:p>
        </w:tc>
        <w:tc>
          <w:tcPr>
            <w:tcW w:w="1133" w:type="dxa"/>
            <w:vMerge/>
            <w:tcBorders>
              <w:top w:val="nil"/>
            </w:tcBorders>
          </w:tcPr>
          <w:p>
            <w:pPr>
              <w:rPr>
                <w:sz w:val="2"/>
                <w:szCs w:val="2"/>
              </w:rPr>
            </w:pPr>
          </w:p>
        </w:tc>
        <w:tc>
          <w:tcPr>
            <w:tcW w:w="1026" w:type="dxa"/>
            <w:vMerge/>
            <w:tcBorders>
              <w:top w:val="nil"/>
            </w:tcBorders>
          </w:tcPr>
          <w:p>
            <w:pPr>
              <w:rPr>
                <w:sz w:val="2"/>
                <w:szCs w:val="2"/>
              </w:rPr>
            </w:pPr>
          </w:p>
        </w:tc>
        <w:tc>
          <w:tcPr>
            <w:tcW w:w="2062" w:type="dxa"/>
            <w:vMerge/>
            <w:tcBorders>
              <w:top w:val="nil"/>
            </w:tcBorders>
          </w:tcPr>
          <w:p>
            <w:pPr>
              <w:rPr>
                <w:sz w:val="2"/>
                <w:szCs w:val="2"/>
              </w:rPr>
            </w:pPr>
          </w:p>
        </w:tc>
        <w:tc>
          <w:tcPr>
            <w:tcW w:w="1770" w:type="dxa"/>
          </w:tcPr>
          <w:p>
            <w:pPr>
              <w:pStyle w:val="TableParagraph"/>
              <w:spacing w:line="242" w:lineRule="auto" w:before="1"/>
              <w:ind w:left="39" w:right="40"/>
              <w:rPr>
                <w:sz w:val="21"/>
              </w:rPr>
            </w:pPr>
            <w:r>
              <w:rPr>
                <w:sz w:val="21"/>
              </w:rPr>
              <w:t>发生火灾导致危险物质释放及次生污</w:t>
            </w:r>
          </w:p>
          <w:p>
            <w:pPr>
              <w:pStyle w:val="TableParagraph"/>
              <w:spacing w:line="250" w:lineRule="exact" w:before="2"/>
              <w:ind w:right="2"/>
              <w:rPr>
                <w:sz w:val="21"/>
              </w:rPr>
            </w:pPr>
            <w:r>
              <w:rPr>
                <w:w w:val="100"/>
                <w:sz w:val="21"/>
              </w:rPr>
              <w:t>染</w:t>
            </w:r>
          </w:p>
        </w:tc>
        <w:tc>
          <w:tcPr>
            <w:tcW w:w="1175" w:type="dxa"/>
            <w:vMerge/>
            <w:tcBorders>
              <w:top w:val="nil"/>
            </w:tcBorders>
          </w:tcPr>
          <w:p>
            <w:pPr>
              <w:rPr>
                <w:sz w:val="2"/>
                <w:szCs w:val="2"/>
              </w:rPr>
            </w:pPr>
          </w:p>
        </w:tc>
        <w:tc>
          <w:tcPr>
            <w:tcW w:w="1278" w:type="dxa"/>
            <w:vMerge/>
            <w:tcBorders>
              <w:top w:val="nil"/>
            </w:tcBorders>
          </w:tcPr>
          <w:p>
            <w:pPr>
              <w:rPr>
                <w:sz w:val="2"/>
                <w:szCs w:val="2"/>
              </w:rPr>
            </w:pPr>
          </w:p>
        </w:tc>
      </w:tr>
      <w:tr>
        <w:trPr>
          <w:trHeight w:val="544" w:hRule="atLeast"/>
        </w:trPr>
        <w:tc>
          <w:tcPr>
            <w:tcW w:w="847" w:type="dxa"/>
            <w:vMerge/>
            <w:tcBorders>
              <w:top w:val="nil"/>
            </w:tcBorders>
          </w:tcPr>
          <w:p>
            <w:pPr>
              <w:rPr>
                <w:sz w:val="2"/>
                <w:szCs w:val="2"/>
              </w:rPr>
            </w:pPr>
          </w:p>
        </w:tc>
        <w:tc>
          <w:tcPr>
            <w:tcW w:w="1133" w:type="dxa"/>
            <w:vMerge/>
            <w:tcBorders>
              <w:top w:val="nil"/>
            </w:tcBorders>
          </w:tcPr>
          <w:p>
            <w:pPr>
              <w:rPr>
                <w:sz w:val="2"/>
                <w:szCs w:val="2"/>
              </w:rPr>
            </w:pPr>
          </w:p>
        </w:tc>
        <w:tc>
          <w:tcPr>
            <w:tcW w:w="1026" w:type="dxa"/>
          </w:tcPr>
          <w:p>
            <w:pPr>
              <w:pStyle w:val="TableParagraph"/>
              <w:spacing w:before="1"/>
              <w:ind w:left="74" w:right="66"/>
              <w:rPr>
                <w:sz w:val="21"/>
              </w:rPr>
            </w:pPr>
            <w:r>
              <w:rPr>
                <w:sz w:val="21"/>
              </w:rPr>
              <w:t>废水收集</w:t>
            </w:r>
          </w:p>
          <w:p>
            <w:pPr>
              <w:pStyle w:val="TableParagraph"/>
              <w:spacing w:line="250" w:lineRule="exact" w:before="4"/>
              <w:ind w:left="71" w:right="66"/>
              <w:rPr>
                <w:sz w:val="21"/>
              </w:rPr>
            </w:pPr>
            <w:r>
              <w:rPr>
                <w:sz w:val="21"/>
              </w:rPr>
              <w:t>设施</w:t>
            </w:r>
          </w:p>
        </w:tc>
        <w:tc>
          <w:tcPr>
            <w:tcW w:w="2062" w:type="dxa"/>
          </w:tcPr>
          <w:p>
            <w:pPr>
              <w:pStyle w:val="TableParagraph"/>
              <w:spacing w:before="138"/>
              <w:ind w:left="32" w:right="27"/>
              <w:rPr>
                <w:sz w:val="21"/>
              </w:rPr>
            </w:pPr>
            <w:r>
              <w:rPr>
                <w:rFonts w:ascii="Times New Roman" w:eastAsia="Times New Roman"/>
                <w:sz w:val="21"/>
              </w:rPr>
              <w:t>COD</w:t>
            </w:r>
            <w:r>
              <w:rPr>
                <w:sz w:val="21"/>
              </w:rPr>
              <w:t>、总氮、氨氮等</w:t>
            </w:r>
          </w:p>
        </w:tc>
        <w:tc>
          <w:tcPr>
            <w:tcW w:w="1770" w:type="dxa"/>
          </w:tcPr>
          <w:p>
            <w:pPr>
              <w:pStyle w:val="TableParagraph"/>
              <w:spacing w:before="138"/>
              <w:ind w:left="38" w:right="40"/>
              <w:rPr>
                <w:sz w:val="21"/>
              </w:rPr>
            </w:pPr>
            <w:r>
              <w:rPr>
                <w:sz w:val="21"/>
              </w:rPr>
              <w:t>废水泄漏</w:t>
            </w:r>
          </w:p>
        </w:tc>
        <w:tc>
          <w:tcPr>
            <w:tcW w:w="1175" w:type="dxa"/>
          </w:tcPr>
          <w:p>
            <w:pPr>
              <w:pStyle w:val="TableParagraph"/>
              <w:spacing w:before="1"/>
              <w:ind w:left="40" w:right="40"/>
              <w:rPr>
                <w:sz w:val="21"/>
              </w:rPr>
            </w:pPr>
            <w:r>
              <w:rPr>
                <w:sz w:val="21"/>
              </w:rPr>
              <w:t>地表水、地</w:t>
            </w:r>
          </w:p>
          <w:p>
            <w:pPr>
              <w:pStyle w:val="TableParagraph"/>
              <w:spacing w:line="250" w:lineRule="exact" w:before="4"/>
              <w:ind w:left="161" w:right="161"/>
              <w:rPr>
                <w:sz w:val="21"/>
              </w:rPr>
            </w:pPr>
            <w:r>
              <w:rPr>
                <w:sz w:val="21"/>
              </w:rPr>
              <w:t>下水</w:t>
            </w:r>
          </w:p>
        </w:tc>
        <w:tc>
          <w:tcPr>
            <w:tcW w:w="1278" w:type="dxa"/>
          </w:tcPr>
          <w:p>
            <w:pPr>
              <w:pStyle w:val="TableParagraph"/>
              <w:spacing w:before="1"/>
              <w:ind w:left="107" w:right="109"/>
              <w:rPr>
                <w:sz w:val="21"/>
              </w:rPr>
            </w:pPr>
            <w:r>
              <w:rPr>
                <w:sz w:val="21"/>
              </w:rPr>
              <w:t>附近水体</w:t>
            </w:r>
          </w:p>
          <w:p>
            <w:pPr>
              <w:pStyle w:val="TableParagraph"/>
              <w:spacing w:line="250" w:lineRule="exact" w:before="4"/>
              <w:ind w:left="90" w:right="92"/>
              <w:rPr>
                <w:sz w:val="21"/>
              </w:rPr>
            </w:pPr>
            <w:r>
              <w:rPr>
                <w:sz w:val="21"/>
              </w:rPr>
              <w:t>周边地下水</w:t>
            </w:r>
          </w:p>
        </w:tc>
      </w:tr>
      <w:tr>
        <w:trPr>
          <w:trHeight w:val="544" w:hRule="atLeast"/>
        </w:trPr>
        <w:tc>
          <w:tcPr>
            <w:tcW w:w="847" w:type="dxa"/>
          </w:tcPr>
          <w:p>
            <w:pPr>
              <w:pStyle w:val="TableParagraph"/>
              <w:spacing w:before="152"/>
              <w:ind w:left="2"/>
              <w:rPr>
                <w:rFonts w:ascii="Times New Roman"/>
                <w:sz w:val="21"/>
              </w:rPr>
            </w:pPr>
            <w:r>
              <w:rPr>
                <w:rFonts w:ascii="Times New Roman"/>
                <w:w w:val="100"/>
                <w:sz w:val="21"/>
              </w:rPr>
              <w:t>2</w:t>
            </w:r>
          </w:p>
        </w:tc>
        <w:tc>
          <w:tcPr>
            <w:tcW w:w="1133" w:type="dxa"/>
          </w:tcPr>
          <w:p>
            <w:pPr>
              <w:pStyle w:val="TableParagraph"/>
              <w:spacing w:line="270" w:lineRule="atLeast" w:before="2"/>
              <w:ind w:left="458" w:right="33" w:hanging="420"/>
              <w:jc w:val="left"/>
              <w:rPr>
                <w:sz w:val="21"/>
              </w:rPr>
            </w:pPr>
            <w:r>
              <w:rPr>
                <w:sz w:val="21"/>
              </w:rPr>
              <w:t>废气处理装置</w:t>
            </w:r>
          </w:p>
        </w:tc>
        <w:tc>
          <w:tcPr>
            <w:tcW w:w="1026" w:type="dxa"/>
          </w:tcPr>
          <w:p>
            <w:pPr>
              <w:pStyle w:val="TableParagraph"/>
              <w:spacing w:before="138"/>
              <w:ind w:left="74" w:right="66"/>
              <w:rPr>
                <w:sz w:val="21"/>
              </w:rPr>
            </w:pPr>
            <w:r>
              <w:rPr>
                <w:sz w:val="21"/>
              </w:rPr>
              <w:t>废气处理</w:t>
            </w:r>
          </w:p>
        </w:tc>
        <w:tc>
          <w:tcPr>
            <w:tcW w:w="2062" w:type="dxa"/>
          </w:tcPr>
          <w:p>
            <w:pPr>
              <w:pStyle w:val="TableParagraph"/>
              <w:spacing w:before="138"/>
              <w:ind w:left="32" w:right="27"/>
              <w:rPr>
                <w:sz w:val="21"/>
              </w:rPr>
            </w:pPr>
            <w:r>
              <w:rPr>
                <w:sz w:val="21"/>
              </w:rPr>
              <w:t>甲酸</w:t>
            </w:r>
          </w:p>
        </w:tc>
        <w:tc>
          <w:tcPr>
            <w:tcW w:w="1770" w:type="dxa"/>
          </w:tcPr>
          <w:p>
            <w:pPr>
              <w:pStyle w:val="TableParagraph"/>
              <w:spacing w:line="270" w:lineRule="atLeast" w:before="2"/>
              <w:ind w:left="39" w:right="40"/>
              <w:jc w:val="left"/>
              <w:rPr>
                <w:sz w:val="21"/>
              </w:rPr>
            </w:pPr>
            <w:r>
              <w:rPr>
                <w:sz w:val="21"/>
              </w:rPr>
              <w:t>废气处理设施故障导致处理效率下降</w:t>
            </w:r>
          </w:p>
        </w:tc>
        <w:tc>
          <w:tcPr>
            <w:tcW w:w="1175" w:type="dxa"/>
          </w:tcPr>
          <w:p>
            <w:pPr>
              <w:pStyle w:val="TableParagraph"/>
              <w:spacing w:before="138"/>
              <w:ind w:left="163"/>
              <w:jc w:val="left"/>
              <w:rPr>
                <w:sz w:val="21"/>
              </w:rPr>
            </w:pPr>
            <w:r>
              <w:rPr>
                <w:sz w:val="21"/>
              </w:rPr>
              <w:t>环境空气</w:t>
            </w:r>
          </w:p>
        </w:tc>
        <w:tc>
          <w:tcPr>
            <w:tcW w:w="1278" w:type="dxa"/>
          </w:tcPr>
          <w:p>
            <w:pPr>
              <w:pStyle w:val="TableParagraph"/>
              <w:spacing w:before="138"/>
              <w:ind w:left="107"/>
              <w:jc w:val="left"/>
              <w:rPr>
                <w:sz w:val="21"/>
              </w:rPr>
            </w:pPr>
            <w:r>
              <w:rPr>
                <w:sz w:val="21"/>
              </w:rPr>
              <w:t>周边居民点</w:t>
            </w:r>
          </w:p>
        </w:tc>
      </w:tr>
      <w:tr>
        <w:trPr>
          <w:trHeight w:val="818" w:hRule="atLeast"/>
        </w:trPr>
        <w:tc>
          <w:tcPr>
            <w:tcW w:w="847" w:type="dxa"/>
          </w:tcPr>
          <w:p>
            <w:pPr>
              <w:pStyle w:val="TableParagraph"/>
              <w:spacing w:before="6"/>
              <w:jc w:val="left"/>
              <w:rPr>
                <w:b/>
                <w:sz w:val="22"/>
              </w:rPr>
            </w:pPr>
          </w:p>
          <w:p>
            <w:pPr>
              <w:pStyle w:val="TableParagraph"/>
              <w:ind w:left="2"/>
              <w:rPr>
                <w:rFonts w:ascii="Times New Roman"/>
                <w:sz w:val="21"/>
              </w:rPr>
            </w:pPr>
            <w:r>
              <w:rPr>
                <w:rFonts w:ascii="Times New Roman"/>
                <w:w w:val="100"/>
                <w:sz w:val="21"/>
              </w:rPr>
              <w:t>3</w:t>
            </w:r>
          </w:p>
        </w:tc>
        <w:tc>
          <w:tcPr>
            <w:tcW w:w="1133" w:type="dxa"/>
          </w:tcPr>
          <w:p>
            <w:pPr>
              <w:pStyle w:val="TableParagraph"/>
              <w:spacing w:before="5"/>
              <w:jc w:val="left"/>
              <w:rPr>
                <w:b/>
                <w:sz w:val="21"/>
              </w:rPr>
            </w:pPr>
          </w:p>
          <w:p>
            <w:pPr>
              <w:pStyle w:val="TableParagraph"/>
              <w:ind w:left="7" w:right="3"/>
              <w:rPr>
                <w:sz w:val="21"/>
              </w:rPr>
            </w:pPr>
            <w:r>
              <w:rPr>
                <w:sz w:val="21"/>
              </w:rPr>
              <w:t>储罐区</w:t>
            </w:r>
          </w:p>
        </w:tc>
        <w:tc>
          <w:tcPr>
            <w:tcW w:w="1026" w:type="dxa"/>
          </w:tcPr>
          <w:p>
            <w:pPr>
              <w:pStyle w:val="TableParagraph"/>
              <w:spacing w:before="5"/>
              <w:jc w:val="left"/>
              <w:rPr>
                <w:b/>
                <w:sz w:val="21"/>
              </w:rPr>
            </w:pPr>
          </w:p>
          <w:p>
            <w:pPr>
              <w:pStyle w:val="TableParagraph"/>
              <w:ind w:left="74" w:right="66"/>
              <w:rPr>
                <w:sz w:val="21"/>
              </w:rPr>
            </w:pPr>
            <w:r>
              <w:rPr>
                <w:sz w:val="21"/>
              </w:rPr>
              <w:t>危险物质</w:t>
            </w:r>
          </w:p>
        </w:tc>
        <w:tc>
          <w:tcPr>
            <w:tcW w:w="2062" w:type="dxa"/>
          </w:tcPr>
          <w:p>
            <w:pPr>
              <w:pStyle w:val="TableParagraph"/>
              <w:spacing w:before="154"/>
              <w:ind w:left="32" w:right="29"/>
              <w:rPr>
                <w:sz w:val="21"/>
              </w:rPr>
            </w:pPr>
            <w:r>
              <w:rPr>
                <w:sz w:val="21"/>
              </w:rPr>
              <w:t>甲酸，详见 </w:t>
            </w:r>
            <w:r>
              <w:rPr>
                <w:rFonts w:ascii="Times New Roman" w:eastAsia="Times New Roman"/>
                <w:sz w:val="21"/>
              </w:rPr>
              <w:t>Pg205 </w:t>
            </w:r>
            <w:r>
              <w:rPr>
                <w:sz w:val="21"/>
              </w:rPr>
              <w:t>表</w:t>
            </w:r>
          </w:p>
          <w:p>
            <w:pPr>
              <w:pStyle w:val="TableParagraph"/>
              <w:spacing w:before="2"/>
              <w:ind w:left="32" w:right="29"/>
              <w:rPr>
                <w:rFonts w:ascii="Times New Roman"/>
                <w:sz w:val="21"/>
              </w:rPr>
            </w:pPr>
            <w:r>
              <w:rPr>
                <w:rFonts w:ascii="Times New Roman"/>
                <w:sz w:val="21"/>
              </w:rPr>
              <w:t>8.1-1</w:t>
            </w:r>
          </w:p>
        </w:tc>
        <w:tc>
          <w:tcPr>
            <w:tcW w:w="1770" w:type="dxa"/>
          </w:tcPr>
          <w:p>
            <w:pPr>
              <w:pStyle w:val="TableParagraph"/>
              <w:spacing w:before="5"/>
              <w:jc w:val="left"/>
              <w:rPr>
                <w:b/>
                <w:sz w:val="21"/>
              </w:rPr>
            </w:pPr>
          </w:p>
          <w:p>
            <w:pPr>
              <w:pStyle w:val="TableParagraph"/>
              <w:ind w:left="39" w:right="39"/>
              <w:rPr>
                <w:sz w:val="21"/>
              </w:rPr>
            </w:pPr>
            <w:r>
              <w:rPr>
                <w:sz w:val="21"/>
              </w:rPr>
              <w:t>危险物质泄漏</w:t>
            </w:r>
          </w:p>
        </w:tc>
        <w:tc>
          <w:tcPr>
            <w:tcW w:w="1175" w:type="dxa"/>
          </w:tcPr>
          <w:p>
            <w:pPr>
              <w:pStyle w:val="TableParagraph"/>
              <w:spacing w:line="242" w:lineRule="auto" w:before="3"/>
              <w:ind w:left="58" w:right="56"/>
              <w:rPr>
                <w:sz w:val="21"/>
              </w:rPr>
            </w:pPr>
            <w:r>
              <w:rPr>
                <w:sz w:val="21"/>
              </w:rPr>
              <w:t>环境空气、地表水、地</w:t>
            </w:r>
          </w:p>
          <w:p>
            <w:pPr>
              <w:pStyle w:val="TableParagraph"/>
              <w:spacing w:line="250" w:lineRule="exact" w:before="1"/>
              <w:ind w:left="161" w:right="161"/>
              <w:rPr>
                <w:sz w:val="21"/>
              </w:rPr>
            </w:pPr>
            <w:r>
              <w:rPr>
                <w:sz w:val="21"/>
              </w:rPr>
              <w:t>下水</w:t>
            </w:r>
          </w:p>
        </w:tc>
        <w:tc>
          <w:tcPr>
            <w:tcW w:w="1278" w:type="dxa"/>
          </w:tcPr>
          <w:p>
            <w:pPr>
              <w:pStyle w:val="TableParagraph"/>
              <w:spacing w:line="242" w:lineRule="auto" w:before="3"/>
              <w:ind w:left="213" w:right="109" w:hanging="106"/>
              <w:jc w:val="left"/>
              <w:rPr>
                <w:sz w:val="21"/>
              </w:rPr>
            </w:pPr>
            <w:r>
              <w:rPr>
                <w:sz w:val="21"/>
              </w:rPr>
              <w:t>周边居民点附近水体</w:t>
            </w:r>
          </w:p>
          <w:p>
            <w:pPr>
              <w:pStyle w:val="TableParagraph"/>
              <w:spacing w:line="250" w:lineRule="exact" w:before="1"/>
              <w:ind w:left="107"/>
              <w:jc w:val="left"/>
              <w:rPr>
                <w:sz w:val="21"/>
              </w:rPr>
            </w:pPr>
            <w:r>
              <w:rPr>
                <w:sz w:val="21"/>
              </w:rPr>
              <w:t>周边地下水</w:t>
            </w:r>
          </w:p>
        </w:tc>
      </w:tr>
      <w:tr>
        <w:trPr>
          <w:trHeight w:val="544" w:hRule="atLeast"/>
        </w:trPr>
        <w:tc>
          <w:tcPr>
            <w:tcW w:w="847" w:type="dxa"/>
          </w:tcPr>
          <w:p>
            <w:pPr>
              <w:pStyle w:val="TableParagraph"/>
              <w:spacing w:before="152"/>
              <w:ind w:left="2"/>
              <w:rPr>
                <w:rFonts w:ascii="Times New Roman"/>
                <w:sz w:val="21"/>
              </w:rPr>
            </w:pPr>
            <w:r>
              <w:rPr>
                <w:rFonts w:ascii="Times New Roman"/>
                <w:w w:val="100"/>
                <w:sz w:val="21"/>
              </w:rPr>
              <w:t>4</w:t>
            </w:r>
          </w:p>
        </w:tc>
        <w:tc>
          <w:tcPr>
            <w:tcW w:w="1133" w:type="dxa"/>
          </w:tcPr>
          <w:p>
            <w:pPr>
              <w:pStyle w:val="TableParagraph"/>
              <w:spacing w:before="1"/>
              <w:ind w:left="5" w:right="3"/>
              <w:rPr>
                <w:sz w:val="21"/>
              </w:rPr>
            </w:pPr>
            <w:r>
              <w:rPr>
                <w:sz w:val="21"/>
              </w:rPr>
              <w:t>废水集中处</w:t>
            </w:r>
          </w:p>
          <w:p>
            <w:pPr>
              <w:pStyle w:val="TableParagraph"/>
              <w:spacing w:line="250" w:lineRule="exact" w:before="4"/>
              <w:rPr>
                <w:sz w:val="21"/>
              </w:rPr>
            </w:pPr>
            <w:r>
              <w:rPr>
                <w:w w:val="100"/>
                <w:sz w:val="21"/>
              </w:rPr>
              <w:t>理</w:t>
            </w:r>
          </w:p>
        </w:tc>
        <w:tc>
          <w:tcPr>
            <w:tcW w:w="1026" w:type="dxa"/>
          </w:tcPr>
          <w:p>
            <w:pPr>
              <w:pStyle w:val="TableParagraph"/>
              <w:spacing w:before="138"/>
              <w:ind w:left="71" w:right="66"/>
              <w:rPr>
                <w:sz w:val="21"/>
              </w:rPr>
            </w:pPr>
            <w:r>
              <w:rPr>
                <w:sz w:val="21"/>
              </w:rPr>
              <w:t>废水站</w:t>
            </w:r>
          </w:p>
        </w:tc>
        <w:tc>
          <w:tcPr>
            <w:tcW w:w="2062" w:type="dxa"/>
          </w:tcPr>
          <w:p>
            <w:pPr>
              <w:pStyle w:val="TableParagraph"/>
              <w:spacing w:before="138"/>
              <w:ind w:left="32" w:right="27"/>
              <w:rPr>
                <w:sz w:val="21"/>
              </w:rPr>
            </w:pPr>
            <w:r>
              <w:rPr>
                <w:rFonts w:ascii="Times New Roman" w:eastAsia="Times New Roman"/>
                <w:sz w:val="21"/>
              </w:rPr>
              <w:t>COD</w:t>
            </w:r>
            <w:r>
              <w:rPr>
                <w:sz w:val="21"/>
              </w:rPr>
              <w:t>、氨氮、总氮等</w:t>
            </w:r>
          </w:p>
        </w:tc>
        <w:tc>
          <w:tcPr>
            <w:tcW w:w="1770" w:type="dxa"/>
          </w:tcPr>
          <w:p>
            <w:pPr>
              <w:pStyle w:val="TableParagraph"/>
              <w:spacing w:before="138"/>
              <w:ind w:left="39" w:right="39"/>
              <w:rPr>
                <w:sz w:val="21"/>
              </w:rPr>
            </w:pPr>
            <w:r>
              <w:rPr>
                <w:sz w:val="21"/>
              </w:rPr>
              <w:t>废水泄漏</w:t>
            </w:r>
          </w:p>
        </w:tc>
        <w:tc>
          <w:tcPr>
            <w:tcW w:w="1175" w:type="dxa"/>
          </w:tcPr>
          <w:p>
            <w:pPr>
              <w:pStyle w:val="TableParagraph"/>
              <w:spacing w:before="1"/>
              <w:ind w:left="40" w:right="40"/>
              <w:rPr>
                <w:sz w:val="21"/>
              </w:rPr>
            </w:pPr>
            <w:r>
              <w:rPr>
                <w:sz w:val="21"/>
              </w:rPr>
              <w:t>地表水、地</w:t>
            </w:r>
          </w:p>
          <w:p>
            <w:pPr>
              <w:pStyle w:val="TableParagraph"/>
              <w:spacing w:line="250" w:lineRule="exact" w:before="4"/>
              <w:ind w:left="161" w:right="161"/>
              <w:rPr>
                <w:sz w:val="21"/>
              </w:rPr>
            </w:pPr>
            <w:r>
              <w:rPr>
                <w:sz w:val="21"/>
              </w:rPr>
              <w:t>下水</w:t>
            </w:r>
          </w:p>
        </w:tc>
        <w:tc>
          <w:tcPr>
            <w:tcW w:w="1278" w:type="dxa"/>
          </w:tcPr>
          <w:p>
            <w:pPr>
              <w:pStyle w:val="TableParagraph"/>
              <w:spacing w:before="1"/>
              <w:ind w:left="107" w:right="109"/>
              <w:rPr>
                <w:sz w:val="21"/>
              </w:rPr>
            </w:pPr>
            <w:r>
              <w:rPr>
                <w:sz w:val="21"/>
              </w:rPr>
              <w:t>附近水体</w:t>
            </w:r>
          </w:p>
          <w:p>
            <w:pPr>
              <w:pStyle w:val="TableParagraph"/>
              <w:spacing w:line="250" w:lineRule="exact" w:before="4"/>
              <w:ind w:left="90" w:right="92"/>
              <w:rPr>
                <w:sz w:val="21"/>
              </w:rPr>
            </w:pPr>
            <w:r>
              <w:rPr>
                <w:sz w:val="21"/>
              </w:rPr>
              <w:t>周边地下水</w:t>
            </w:r>
          </w:p>
        </w:tc>
      </w:tr>
      <w:tr>
        <w:trPr>
          <w:trHeight w:val="544" w:hRule="atLeast"/>
        </w:trPr>
        <w:tc>
          <w:tcPr>
            <w:tcW w:w="847" w:type="dxa"/>
          </w:tcPr>
          <w:p>
            <w:pPr>
              <w:pStyle w:val="TableParagraph"/>
              <w:spacing w:before="152"/>
              <w:ind w:left="2"/>
              <w:rPr>
                <w:rFonts w:ascii="Times New Roman"/>
                <w:sz w:val="21"/>
              </w:rPr>
            </w:pPr>
            <w:r>
              <w:rPr>
                <w:rFonts w:ascii="Times New Roman"/>
                <w:w w:val="100"/>
                <w:sz w:val="21"/>
              </w:rPr>
              <w:t>5</w:t>
            </w:r>
          </w:p>
        </w:tc>
        <w:tc>
          <w:tcPr>
            <w:tcW w:w="1133" w:type="dxa"/>
          </w:tcPr>
          <w:p>
            <w:pPr>
              <w:pStyle w:val="TableParagraph"/>
              <w:spacing w:before="138"/>
              <w:ind w:left="5" w:right="3"/>
              <w:rPr>
                <w:sz w:val="21"/>
              </w:rPr>
            </w:pPr>
            <w:r>
              <w:rPr>
                <w:sz w:val="21"/>
              </w:rPr>
              <w:t>危废暂存库</w:t>
            </w:r>
          </w:p>
        </w:tc>
        <w:tc>
          <w:tcPr>
            <w:tcW w:w="1026" w:type="dxa"/>
          </w:tcPr>
          <w:p>
            <w:pPr>
              <w:pStyle w:val="TableParagraph"/>
              <w:spacing w:before="138"/>
              <w:ind w:left="74" w:right="66"/>
              <w:rPr>
                <w:sz w:val="21"/>
              </w:rPr>
            </w:pPr>
            <w:r>
              <w:rPr>
                <w:sz w:val="21"/>
              </w:rPr>
              <w:t>危险废物</w:t>
            </w:r>
          </w:p>
        </w:tc>
        <w:tc>
          <w:tcPr>
            <w:tcW w:w="2062" w:type="dxa"/>
          </w:tcPr>
          <w:p>
            <w:pPr>
              <w:pStyle w:val="TableParagraph"/>
              <w:spacing w:before="138"/>
              <w:ind w:left="32" w:right="29"/>
              <w:rPr>
                <w:sz w:val="21"/>
              </w:rPr>
            </w:pPr>
            <w:r>
              <w:rPr>
                <w:sz w:val="21"/>
              </w:rPr>
              <w:t>含农药成分的污泥等</w:t>
            </w:r>
          </w:p>
        </w:tc>
        <w:tc>
          <w:tcPr>
            <w:tcW w:w="1770" w:type="dxa"/>
          </w:tcPr>
          <w:p>
            <w:pPr>
              <w:pStyle w:val="TableParagraph"/>
              <w:spacing w:before="138"/>
              <w:ind w:left="22" w:right="22"/>
              <w:rPr>
                <w:sz w:val="21"/>
              </w:rPr>
            </w:pPr>
            <w:r>
              <w:rPr>
                <w:sz w:val="21"/>
              </w:rPr>
              <w:t>有毒有害物质泄漏</w:t>
            </w:r>
          </w:p>
        </w:tc>
        <w:tc>
          <w:tcPr>
            <w:tcW w:w="1175" w:type="dxa"/>
          </w:tcPr>
          <w:p>
            <w:pPr>
              <w:pStyle w:val="TableParagraph"/>
              <w:spacing w:before="1"/>
              <w:ind w:left="40" w:right="40"/>
              <w:rPr>
                <w:sz w:val="21"/>
              </w:rPr>
            </w:pPr>
            <w:r>
              <w:rPr>
                <w:sz w:val="21"/>
              </w:rPr>
              <w:t>地表水、地</w:t>
            </w:r>
          </w:p>
          <w:p>
            <w:pPr>
              <w:pStyle w:val="TableParagraph"/>
              <w:spacing w:line="250" w:lineRule="exact" w:before="4"/>
              <w:ind w:left="161" w:right="161"/>
              <w:rPr>
                <w:sz w:val="21"/>
              </w:rPr>
            </w:pPr>
            <w:r>
              <w:rPr>
                <w:sz w:val="21"/>
              </w:rPr>
              <w:t>下水</w:t>
            </w:r>
          </w:p>
        </w:tc>
        <w:tc>
          <w:tcPr>
            <w:tcW w:w="1278" w:type="dxa"/>
          </w:tcPr>
          <w:p>
            <w:pPr>
              <w:pStyle w:val="TableParagraph"/>
              <w:spacing w:before="1"/>
              <w:ind w:left="107" w:right="109"/>
              <w:rPr>
                <w:sz w:val="21"/>
              </w:rPr>
            </w:pPr>
            <w:r>
              <w:rPr>
                <w:sz w:val="21"/>
              </w:rPr>
              <w:t>附近水体</w:t>
            </w:r>
          </w:p>
          <w:p>
            <w:pPr>
              <w:pStyle w:val="TableParagraph"/>
              <w:spacing w:line="250" w:lineRule="exact" w:before="4"/>
              <w:ind w:left="90" w:right="92"/>
              <w:rPr>
                <w:sz w:val="21"/>
              </w:rPr>
            </w:pPr>
            <w:r>
              <w:rPr>
                <w:sz w:val="21"/>
              </w:rPr>
              <w:t>周边地下水</w:t>
            </w:r>
          </w:p>
        </w:tc>
      </w:tr>
      <w:tr>
        <w:trPr>
          <w:trHeight w:val="285" w:hRule="atLeast"/>
        </w:trPr>
        <w:tc>
          <w:tcPr>
            <w:tcW w:w="9291" w:type="dxa"/>
            <w:gridSpan w:val="7"/>
          </w:tcPr>
          <w:p>
            <w:pPr>
              <w:pStyle w:val="TableParagraph"/>
              <w:spacing w:line="257" w:lineRule="exact" w:before="8"/>
              <w:ind w:left="28"/>
              <w:jc w:val="left"/>
              <w:rPr>
                <w:b/>
                <w:sz w:val="21"/>
              </w:rPr>
            </w:pPr>
            <w:r>
              <w:rPr>
                <w:b/>
                <w:sz w:val="21"/>
              </w:rPr>
              <w:t>危险单元分布图如下</w:t>
            </w:r>
          </w:p>
        </w:tc>
      </w:tr>
    </w:tbl>
    <w:p>
      <w:pPr>
        <w:spacing w:after="0" w:line="257" w:lineRule="exact"/>
        <w:jc w:val="left"/>
        <w:rPr>
          <w:sz w:val="21"/>
        </w:rPr>
        <w:sectPr>
          <w:pgSz w:w="11910" w:h="16840"/>
          <w:pgMar w:header="872" w:footer="945" w:top="1320" w:bottom="1140" w:left="1200" w:right="11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rPr>
      </w:pPr>
    </w:p>
    <w:p>
      <w:pPr>
        <w:spacing w:line="153" w:lineRule="exact" w:before="89"/>
        <w:ind w:left="1364" w:right="16" w:firstLine="0"/>
        <w:jc w:val="center"/>
        <w:rPr>
          <w:sz w:val="12"/>
        </w:rPr>
      </w:pPr>
      <w:r>
        <w:rPr/>
        <w:pict>
          <v:group style="position:absolute;margin-left:72.631439pt;margin-top:-433.761444pt;width:450.2pt;height:588.7pt;mso-position-horizontal-relative:page;mso-position-vertical-relative:paragraph;z-index:-317654016" coordorigin="1453,-8675" coordsize="9004,11774">
            <v:shape style="position:absolute;left:1452;top:-8676;width:9004;height:11774" type="#_x0000_t75" stroked="false">
              <v:imagedata r:id="rId81" o:title=""/>
            </v:shape>
            <v:shape style="position:absolute;left:5262;top:-5536;width:1615;height:1211" type="#_x0000_t75" stroked="false">
              <v:imagedata r:id="rId154" o:title=""/>
            </v:shape>
            <v:shape style="position:absolute;left:6229;top:-55;width:808;height:593" coordorigin="6230,-54" coordsize="808,593" path="m6897,-54l6230,190,6370,539,7037,295,6897,-54xe" filled="true" fillcolor="#ffffff" stroked="false">
              <v:path arrowok="t"/>
              <v:fill type="solid"/>
            </v:shape>
            <v:shape style="position:absolute;left:6229;top:-55;width:808;height:593" coordorigin="6230,-54" coordsize="808,593" path="m6897,-54l6230,190,6370,539,7037,295,6897,-54xe" filled="false" stroked="true" strokeweight=".800111pt" strokecolor="#ff0000">
              <v:path arrowok="t"/>
              <v:stroke dashstyle="solid"/>
            </v:shape>
            <v:shape style="position:absolute;left:7187;top:792;width:2183;height:1477" type="#_x0000_t75" stroked="false">
              <v:imagedata r:id="rId155" o:title=""/>
            </v:shape>
            <v:shape style="position:absolute;left:7375;top:-394;width:1162;height:705" type="#_x0000_t75" stroked="false">
              <v:imagedata r:id="rId156" o:title=""/>
            </v:shape>
            <w10:wrap type="none"/>
          </v:group>
        </w:pict>
      </w:r>
      <w:r>
        <w:rPr>
          <w:color w:val="FF0000"/>
          <w:w w:val="105"/>
          <w:sz w:val="12"/>
        </w:rPr>
        <w:t>危废暂存库</w:t>
      </w:r>
    </w:p>
    <w:p>
      <w:pPr>
        <w:spacing w:line="153" w:lineRule="exact" w:before="0"/>
        <w:ind w:left="1363" w:right="16" w:firstLine="0"/>
        <w:jc w:val="center"/>
        <w:rPr>
          <w:sz w:val="12"/>
        </w:rPr>
      </w:pPr>
      <w:r>
        <w:rPr>
          <w:color w:val="FF0000"/>
          <w:spacing w:val="-1"/>
          <w:w w:val="105"/>
          <w:sz w:val="12"/>
        </w:rPr>
        <w:t>危险单元</w:t>
      </w:r>
      <w:r>
        <w:rPr>
          <w:color w:val="FF0000"/>
          <w:w w:val="105"/>
          <w:sz w:val="12"/>
        </w:rPr>
        <w:t>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4"/>
        </w:rPr>
      </w:pPr>
    </w:p>
    <w:p>
      <w:pPr>
        <w:spacing w:before="76"/>
        <w:ind w:left="751" w:right="0" w:firstLine="0"/>
        <w:jc w:val="left"/>
        <w:rPr>
          <w:sz w:val="17"/>
        </w:rPr>
      </w:pPr>
      <w:r>
        <w:rPr>
          <w:color w:val="FF0000"/>
          <w:w w:val="105"/>
          <w:sz w:val="17"/>
        </w:rPr>
        <w:t>注：危险单元仅涉及本项目所涉及构筑物</w:t>
      </w:r>
    </w:p>
    <w:p>
      <w:pPr>
        <w:spacing w:after="0"/>
        <w:jc w:val="left"/>
        <w:rPr>
          <w:sz w:val="17"/>
        </w:rPr>
        <w:sectPr>
          <w:pgSz w:w="11910" w:h="16840"/>
          <w:pgMar w:header="872" w:footer="945" w:top="1320" w:bottom="1140" w:left="1200" w:right="1180"/>
        </w:sectPr>
      </w:pPr>
    </w:p>
    <w:p>
      <w:pPr>
        <w:pStyle w:val="Heading3"/>
        <w:numPr>
          <w:ilvl w:val="1"/>
          <w:numId w:val="23"/>
        </w:numPr>
        <w:tabs>
          <w:tab w:pos="639" w:val="left" w:leader="none"/>
        </w:tabs>
        <w:spacing w:line="240" w:lineRule="auto" w:before="85" w:after="0"/>
        <w:ind w:left="638" w:right="0" w:hanging="421"/>
        <w:jc w:val="left"/>
      </w:pPr>
      <w:bookmarkStart w:name="_bookmark52" w:id="105"/>
      <w:bookmarkEnd w:id="105"/>
      <w:r>
        <w:rPr>
          <w:b w:val="0"/>
        </w:rPr>
      </w:r>
      <w:bookmarkStart w:name="_bookmark52" w:id="106"/>
      <w:bookmarkEnd w:id="106"/>
      <w:r>
        <w:rPr/>
        <w:t>风险事故情形分析</w:t>
      </w:r>
    </w:p>
    <w:p>
      <w:pPr>
        <w:pStyle w:val="Heading4"/>
        <w:numPr>
          <w:ilvl w:val="2"/>
          <w:numId w:val="23"/>
        </w:numPr>
        <w:tabs>
          <w:tab w:pos="1059" w:val="left" w:leader="none"/>
        </w:tabs>
        <w:spacing w:line="240" w:lineRule="auto" w:before="186" w:after="0"/>
        <w:ind w:left="1058" w:right="0" w:hanging="601"/>
        <w:jc w:val="both"/>
      </w:pPr>
      <w:r>
        <w:rPr/>
        <w:t>风险事故情形设定</w:t>
      </w:r>
    </w:p>
    <w:p>
      <w:pPr>
        <w:pStyle w:val="BodyText"/>
        <w:spacing w:line="364" w:lineRule="auto" w:before="158"/>
        <w:ind w:left="218" w:right="232" w:firstLine="480"/>
        <w:jc w:val="both"/>
      </w:pPr>
      <w:r>
        <w:rPr>
          <w:spacing w:val="-6"/>
        </w:rPr>
        <w:t>根据导则要求，设定的风险事故情形发生可能性应处于合理的区间，并与经济发展</w:t>
      </w:r>
      <w:r>
        <w:rPr>
          <w:spacing w:val="-9"/>
        </w:rPr>
        <w:t>水平相适应，一般而言，发生频率小于导则 </w:t>
      </w:r>
      <w:r>
        <w:rPr>
          <w:rFonts w:ascii="Times New Roman" w:eastAsia="Times New Roman"/>
        </w:rPr>
        <w:t>10</w:t>
      </w:r>
      <w:r>
        <w:rPr>
          <w:rFonts w:ascii="Times New Roman" w:eastAsia="Times New Roman"/>
          <w:position w:val="9"/>
          <w:sz w:val="16"/>
        </w:rPr>
        <w:t>-6</w:t>
      </w:r>
      <w:r>
        <w:rPr>
          <w:rFonts w:ascii="Times New Roman" w:eastAsia="Times New Roman"/>
        </w:rPr>
        <w:t>/</w:t>
      </w:r>
      <w:r>
        <w:rPr>
          <w:spacing w:val="-3"/>
        </w:rPr>
        <w:t>年的事件是极小概率事件，可作为代表性事故情形中最大可信事故设定的参考。</w:t>
      </w:r>
    </w:p>
    <w:p>
      <w:pPr>
        <w:pStyle w:val="BodyText"/>
        <w:spacing w:line="307" w:lineRule="exact"/>
        <w:ind w:left="698"/>
      </w:pPr>
      <w:r>
        <w:rPr/>
        <w:t>通过风险识别，本项目风险事故情形设定如下表。</w:t>
      </w:r>
    </w:p>
    <w:p>
      <w:pPr>
        <w:pStyle w:val="BodyText"/>
        <w:spacing w:before="5"/>
        <w:rPr>
          <w:sz w:val="23"/>
        </w:rPr>
      </w:pPr>
    </w:p>
    <w:p>
      <w:pPr>
        <w:pStyle w:val="Heading4"/>
        <w:tabs>
          <w:tab w:pos="1041" w:val="left" w:leader="none"/>
        </w:tabs>
        <w:spacing w:after="29"/>
        <w:ind w:left="0" w:right="18"/>
        <w:jc w:val="center"/>
      </w:pPr>
      <w:r>
        <w:rPr/>
        <w:t>表</w:t>
      </w:r>
      <w:r>
        <w:rPr>
          <w:spacing w:val="-60"/>
        </w:rPr>
        <w:t> </w:t>
      </w:r>
      <w:r>
        <w:rPr>
          <w:rFonts w:ascii="Times New Roman" w:eastAsia="Times New Roman"/>
        </w:rPr>
        <w:t>8.5-1</w:t>
        <w:tab/>
      </w:r>
      <w:r>
        <w:rPr/>
        <w:t>本项目最大</w:t>
      </w:r>
      <w:r>
        <w:rPr>
          <w:spacing w:val="3"/>
        </w:rPr>
        <w:t>可</w:t>
      </w:r>
      <w:r>
        <w:rPr/>
        <w:t>信事故</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896"/>
        <w:gridCol w:w="1125"/>
        <w:gridCol w:w="2409"/>
        <w:gridCol w:w="1377"/>
        <w:gridCol w:w="2479"/>
      </w:tblGrid>
      <w:tr>
        <w:trPr>
          <w:trHeight w:val="546" w:hRule="atLeast"/>
        </w:trPr>
        <w:tc>
          <w:tcPr>
            <w:tcW w:w="850" w:type="dxa"/>
          </w:tcPr>
          <w:p>
            <w:pPr>
              <w:pStyle w:val="TableParagraph"/>
              <w:spacing w:line="270" w:lineRule="atLeast" w:before="2"/>
              <w:ind w:left="319" w:right="96" w:hanging="212"/>
              <w:jc w:val="left"/>
              <w:rPr>
                <w:b/>
                <w:sz w:val="21"/>
              </w:rPr>
            </w:pPr>
            <w:r>
              <w:rPr>
                <w:b/>
                <w:sz w:val="21"/>
              </w:rPr>
              <w:t>事故类别</w:t>
            </w:r>
          </w:p>
        </w:tc>
        <w:tc>
          <w:tcPr>
            <w:tcW w:w="896" w:type="dxa"/>
          </w:tcPr>
          <w:p>
            <w:pPr>
              <w:pStyle w:val="TableParagraph"/>
              <w:spacing w:line="270" w:lineRule="atLeast" w:before="2"/>
              <w:ind w:left="340" w:right="121" w:hanging="212"/>
              <w:jc w:val="left"/>
              <w:rPr>
                <w:b/>
                <w:sz w:val="21"/>
              </w:rPr>
            </w:pPr>
            <w:r>
              <w:rPr>
                <w:b/>
                <w:sz w:val="21"/>
              </w:rPr>
              <w:t>事故位置</w:t>
            </w:r>
          </w:p>
        </w:tc>
        <w:tc>
          <w:tcPr>
            <w:tcW w:w="1125" w:type="dxa"/>
          </w:tcPr>
          <w:p>
            <w:pPr>
              <w:pStyle w:val="TableParagraph"/>
              <w:spacing w:before="138"/>
              <w:ind w:left="135"/>
              <w:jc w:val="left"/>
              <w:rPr>
                <w:b/>
                <w:sz w:val="21"/>
              </w:rPr>
            </w:pPr>
            <w:r>
              <w:rPr>
                <w:b/>
                <w:sz w:val="21"/>
              </w:rPr>
              <w:t>假设事故</w:t>
            </w:r>
          </w:p>
        </w:tc>
        <w:tc>
          <w:tcPr>
            <w:tcW w:w="2409" w:type="dxa"/>
          </w:tcPr>
          <w:p>
            <w:pPr>
              <w:pStyle w:val="TableParagraph"/>
              <w:spacing w:before="138"/>
              <w:rPr>
                <w:b/>
                <w:sz w:val="21"/>
              </w:rPr>
            </w:pPr>
            <w:r>
              <w:rPr>
                <w:b/>
                <w:sz w:val="21"/>
              </w:rPr>
              <w:t>事故影响类型</w:t>
            </w:r>
          </w:p>
        </w:tc>
        <w:tc>
          <w:tcPr>
            <w:tcW w:w="1377" w:type="dxa"/>
          </w:tcPr>
          <w:p>
            <w:pPr>
              <w:pStyle w:val="TableParagraph"/>
              <w:spacing w:before="138"/>
              <w:ind w:left="34" w:right="32"/>
              <w:rPr>
                <w:b/>
                <w:sz w:val="21"/>
              </w:rPr>
            </w:pPr>
            <w:r>
              <w:rPr>
                <w:b/>
                <w:sz w:val="21"/>
              </w:rPr>
              <w:t>影响因子</w:t>
            </w:r>
          </w:p>
        </w:tc>
        <w:tc>
          <w:tcPr>
            <w:tcW w:w="2479" w:type="dxa"/>
          </w:tcPr>
          <w:p>
            <w:pPr>
              <w:pStyle w:val="TableParagraph"/>
              <w:spacing w:before="138"/>
              <w:ind w:left="20" w:right="21"/>
              <w:rPr>
                <w:b/>
                <w:sz w:val="21"/>
              </w:rPr>
            </w:pPr>
            <w:r>
              <w:rPr>
                <w:b/>
                <w:sz w:val="21"/>
              </w:rPr>
              <w:t>预测内容</w:t>
            </w:r>
          </w:p>
        </w:tc>
      </w:tr>
      <w:tr>
        <w:trPr>
          <w:trHeight w:val="545" w:hRule="atLeast"/>
        </w:trPr>
        <w:tc>
          <w:tcPr>
            <w:tcW w:w="850" w:type="dxa"/>
            <w:vMerge w:val="restart"/>
          </w:tcPr>
          <w:p>
            <w:pPr>
              <w:pStyle w:val="TableParagraph"/>
              <w:spacing w:before="12"/>
              <w:jc w:val="left"/>
              <w:rPr>
                <w:b/>
                <w:sz w:val="22"/>
              </w:rPr>
            </w:pPr>
          </w:p>
          <w:p>
            <w:pPr>
              <w:pStyle w:val="TableParagraph"/>
              <w:spacing w:line="244" w:lineRule="auto"/>
              <w:ind w:left="107" w:right="96"/>
              <w:jc w:val="left"/>
              <w:rPr>
                <w:sz w:val="21"/>
              </w:rPr>
            </w:pPr>
            <w:r>
              <w:rPr>
                <w:sz w:val="21"/>
              </w:rPr>
              <w:t>泄漏导致火灾</w:t>
            </w:r>
          </w:p>
        </w:tc>
        <w:tc>
          <w:tcPr>
            <w:tcW w:w="896" w:type="dxa"/>
            <w:vMerge w:val="restart"/>
          </w:tcPr>
          <w:p>
            <w:pPr>
              <w:pStyle w:val="TableParagraph"/>
              <w:jc w:val="left"/>
              <w:rPr>
                <w:b/>
                <w:sz w:val="20"/>
              </w:rPr>
            </w:pPr>
          </w:p>
          <w:p>
            <w:pPr>
              <w:pStyle w:val="TableParagraph"/>
              <w:spacing w:before="175"/>
              <w:ind w:left="25"/>
              <w:jc w:val="left"/>
              <w:rPr>
                <w:sz w:val="21"/>
              </w:rPr>
            </w:pPr>
            <w:r>
              <w:rPr>
                <w:sz w:val="21"/>
              </w:rPr>
              <w:t>生产车间</w:t>
            </w:r>
          </w:p>
        </w:tc>
        <w:tc>
          <w:tcPr>
            <w:tcW w:w="1125" w:type="dxa"/>
            <w:vMerge w:val="restart"/>
          </w:tcPr>
          <w:p>
            <w:pPr>
              <w:pStyle w:val="TableParagraph"/>
              <w:spacing w:line="242" w:lineRule="auto" w:before="157"/>
              <w:ind w:left="32" w:right="27"/>
              <w:rPr>
                <w:sz w:val="21"/>
              </w:rPr>
            </w:pPr>
            <w:r>
              <w:rPr>
                <w:sz w:val="21"/>
              </w:rPr>
              <w:t>反应釜发生事故导致火灾爆炸</w:t>
            </w:r>
          </w:p>
        </w:tc>
        <w:tc>
          <w:tcPr>
            <w:tcW w:w="2409" w:type="dxa"/>
          </w:tcPr>
          <w:p>
            <w:pPr>
              <w:pStyle w:val="TableParagraph"/>
              <w:spacing w:before="1"/>
              <w:rPr>
                <w:sz w:val="21"/>
              </w:rPr>
            </w:pPr>
            <w:r>
              <w:rPr>
                <w:sz w:val="21"/>
              </w:rPr>
              <w:t>毒物扩散火灾导致烟雾、</w:t>
            </w:r>
          </w:p>
          <w:p>
            <w:pPr>
              <w:pStyle w:val="TableParagraph"/>
              <w:spacing w:line="252" w:lineRule="exact" w:before="2"/>
              <w:rPr>
                <w:sz w:val="21"/>
              </w:rPr>
            </w:pPr>
            <w:r>
              <w:rPr>
                <w:rFonts w:ascii="Times New Roman" w:eastAsia="Times New Roman"/>
                <w:sz w:val="21"/>
              </w:rPr>
              <w:t>CO </w:t>
            </w:r>
            <w:r>
              <w:rPr>
                <w:sz w:val="21"/>
              </w:rPr>
              <w:t>影响大气</w:t>
            </w:r>
          </w:p>
        </w:tc>
        <w:tc>
          <w:tcPr>
            <w:tcW w:w="1377" w:type="dxa"/>
          </w:tcPr>
          <w:p>
            <w:pPr>
              <w:pStyle w:val="TableParagraph"/>
              <w:spacing w:before="152"/>
              <w:ind w:left="32" w:right="32"/>
              <w:rPr>
                <w:rFonts w:ascii="Times New Roman"/>
                <w:sz w:val="21"/>
              </w:rPr>
            </w:pPr>
            <w:r>
              <w:rPr>
                <w:rFonts w:ascii="Times New Roman"/>
                <w:sz w:val="21"/>
              </w:rPr>
              <w:t>CO</w:t>
            </w:r>
          </w:p>
        </w:tc>
        <w:tc>
          <w:tcPr>
            <w:tcW w:w="2479" w:type="dxa"/>
            <w:vMerge w:val="restart"/>
          </w:tcPr>
          <w:p>
            <w:pPr>
              <w:pStyle w:val="TableParagraph"/>
              <w:spacing w:line="242" w:lineRule="auto" w:before="157"/>
              <w:ind w:left="20" w:right="21"/>
              <w:rPr>
                <w:sz w:val="21"/>
              </w:rPr>
            </w:pPr>
            <w:r>
              <w:rPr>
                <w:spacing w:val="-13"/>
                <w:sz w:val="21"/>
              </w:rPr>
              <w:t>预测对大气的影响；分析事</w:t>
            </w:r>
            <w:r>
              <w:rPr>
                <w:spacing w:val="-3"/>
                <w:sz w:val="21"/>
              </w:rPr>
              <w:t>故废水外排对周边河道的影响</w:t>
            </w:r>
          </w:p>
        </w:tc>
      </w:tr>
      <w:tr>
        <w:trPr>
          <w:trHeight w:val="282" w:hRule="atLeast"/>
        </w:trPr>
        <w:tc>
          <w:tcPr>
            <w:tcW w:w="850" w:type="dxa"/>
            <w:vMerge/>
            <w:tcBorders>
              <w:top w:val="nil"/>
            </w:tcBorders>
          </w:tcPr>
          <w:p>
            <w:pPr>
              <w:rPr>
                <w:sz w:val="2"/>
                <w:szCs w:val="2"/>
              </w:rPr>
            </w:pPr>
          </w:p>
        </w:tc>
        <w:tc>
          <w:tcPr>
            <w:tcW w:w="896" w:type="dxa"/>
            <w:vMerge/>
            <w:tcBorders>
              <w:top w:val="nil"/>
            </w:tcBorders>
          </w:tcPr>
          <w:p>
            <w:pPr>
              <w:rPr>
                <w:sz w:val="2"/>
                <w:szCs w:val="2"/>
              </w:rPr>
            </w:pPr>
          </w:p>
        </w:tc>
        <w:tc>
          <w:tcPr>
            <w:tcW w:w="1125" w:type="dxa"/>
            <w:vMerge/>
            <w:tcBorders>
              <w:top w:val="nil"/>
            </w:tcBorders>
          </w:tcPr>
          <w:p>
            <w:pPr>
              <w:rPr>
                <w:sz w:val="2"/>
                <w:szCs w:val="2"/>
              </w:rPr>
            </w:pPr>
          </w:p>
        </w:tc>
        <w:tc>
          <w:tcPr>
            <w:tcW w:w="2409" w:type="dxa"/>
          </w:tcPr>
          <w:p>
            <w:pPr>
              <w:pStyle w:val="TableParagraph"/>
              <w:spacing w:line="257" w:lineRule="exact" w:before="6"/>
              <w:rPr>
                <w:sz w:val="21"/>
              </w:rPr>
            </w:pPr>
            <w:r>
              <w:rPr>
                <w:sz w:val="21"/>
              </w:rPr>
              <w:t>未燃烧物质释放影响大气</w:t>
            </w:r>
          </w:p>
        </w:tc>
        <w:tc>
          <w:tcPr>
            <w:tcW w:w="1377" w:type="dxa"/>
          </w:tcPr>
          <w:p>
            <w:pPr>
              <w:pStyle w:val="TableParagraph"/>
              <w:spacing w:line="257" w:lineRule="exact" w:before="6"/>
              <w:ind w:left="34" w:right="32"/>
              <w:rPr>
                <w:sz w:val="21"/>
              </w:rPr>
            </w:pPr>
            <w:r>
              <w:rPr>
                <w:sz w:val="21"/>
              </w:rPr>
              <w:t>甲酸</w:t>
            </w:r>
          </w:p>
        </w:tc>
        <w:tc>
          <w:tcPr>
            <w:tcW w:w="2479" w:type="dxa"/>
            <w:vMerge/>
            <w:tcBorders>
              <w:top w:val="nil"/>
            </w:tcBorders>
          </w:tcPr>
          <w:p>
            <w:pPr>
              <w:rPr>
                <w:sz w:val="2"/>
                <w:szCs w:val="2"/>
              </w:rPr>
            </w:pPr>
          </w:p>
        </w:tc>
      </w:tr>
      <w:tr>
        <w:trPr>
          <w:trHeight w:val="285" w:hRule="atLeast"/>
        </w:trPr>
        <w:tc>
          <w:tcPr>
            <w:tcW w:w="850" w:type="dxa"/>
            <w:vMerge/>
            <w:tcBorders>
              <w:top w:val="nil"/>
            </w:tcBorders>
          </w:tcPr>
          <w:p>
            <w:pPr>
              <w:rPr>
                <w:sz w:val="2"/>
                <w:szCs w:val="2"/>
              </w:rPr>
            </w:pPr>
          </w:p>
        </w:tc>
        <w:tc>
          <w:tcPr>
            <w:tcW w:w="896" w:type="dxa"/>
            <w:vMerge/>
            <w:tcBorders>
              <w:top w:val="nil"/>
            </w:tcBorders>
          </w:tcPr>
          <w:p>
            <w:pPr>
              <w:rPr>
                <w:sz w:val="2"/>
                <w:szCs w:val="2"/>
              </w:rPr>
            </w:pPr>
          </w:p>
        </w:tc>
        <w:tc>
          <w:tcPr>
            <w:tcW w:w="1125" w:type="dxa"/>
            <w:vMerge/>
            <w:tcBorders>
              <w:top w:val="nil"/>
            </w:tcBorders>
          </w:tcPr>
          <w:p>
            <w:pPr>
              <w:rPr>
                <w:sz w:val="2"/>
                <w:szCs w:val="2"/>
              </w:rPr>
            </w:pPr>
          </w:p>
        </w:tc>
        <w:tc>
          <w:tcPr>
            <w:tcW w:w="2409" w:type="dxa"/>
          </w:tcPr>
          <w:p>
            <w:pPr>
              <w:pStyle w:val="TableParagraph"/>
              <w:spacing w:line="257" w:lineRule="exact" w:before="8"/>
              <w:rPr>
                <w:sz w:val="21"/>
              </w:rPr>
            </w:pPr>
            <w:r>
              <w:rPr>
                <w:sz w:val="21"/>
              </w:rPr>
              <w:t>事故处理废水影响地表水</w:t>
            </w:r>
          </w:p>
        </w:tc>
        <w:tc>
          <w:tcPr>
            <w:tcW w:w="1377" w:type="dxa"/>
          </w:tcPr>
          <w:p>
            <w:pPr>
              <w:pStyle w:val="TableParagraph"/>
              <w:spacing w:before="22"/>
              <w:ind w:left="34" w:right="32"/>
              <w:rPr>
                <w:rFonts w:ascii="Times New Roman"/>
                <w:sz w:val="21"/>
              </w:rPr>
            </w:pPr>
            <w:r>
              <w:rPr>
                <w:rFonts w:ascii="Times New Roman"/>
                <w:sz w:val="21"/>
              </w:rPr>
              <w:t>CODcr</w:t>
            </w:r>
          </w:p>
        </w:tc>
        <w:tc>
          <w:tcPr>
            <w:tcW w:w="2479" w:type="dxa"/>
            <w:vMerge/>
            <w:tcBorders>
              <w:top w:val="nil"/>
            </w:tcBorders>
          </w:tcPr>
          <w:p>
            <w:pPr>
              <w:rPr>
                <w:sz w:val="2"/>
                <w:szCs w:val="2"/>
              </w:rPr>
            </w:pPr>
          </w:p>
        </w:tc>
      </w:tr>
      <w:tr>
        <w:trPr>
          <w:trHeight w:val="282" w:hRule="atLeast"/>
        </w:trPr>
        <w:tc>
          <w:tcPr>
            <w:tcW w:w="850" w:type="dxa"/>
            <w:vMerge w:val="restart"/>
          </w:tcPr>
          <w:p>
            <w:pPr>
              <w:pStyle w:val="TableParagraph"/>
              <w:spacing w:line="270" w:lineRule="atLeast" w:before="17"/>
              <w:ind w:left="319" w:right="96" w:hanging="212"/>
              <w:jc w:val="left"/>
              <w:rPr>
                <w:sz w:val="21"/>
              </w:rPr>
            </w:pPr>
            <w:r>
              <w:rPr>
                <w:sz w:val="21"/>
              </w:rPr>
              <w:t>毒物泄露</w:t>
            </w:r>
          </w:p>
        </w:tc>
        <w:tc>
          <w:tcPr>
            <w:tcW w:w="896" w:type="dxa"/>
            <w:vMerge w:val="restart"/>
          </w:tcPr>
          <w:p>
            <w:pPr>
              <w:pStyle w:val="TableParagraph"/>
              <w:spacing w:before="154"/>
              <w:ind w:left="128"/>
              <w:jc w:val="left"/>
              <w:rPr>
                <w:sz w:val="21"/>
              </w:rPr>
            </w:pPr>
            <w:r>
              <w:rPr>
                <w:sz w:val="21"/>
              </w:rPr>
              <w:t>储罐区</w:t>
            </w:r>
          </w:p>
        </w:tc>
        <w:tc>
          <w:tcPr>
            <w:tcW w:w="1125" w:type="dxa"/>
            <w:vMerge w:val="restart"/>
          </w:tcPr>
          <w:p>
            <w:pPr>
              <w:pStyle w:val="TableParagraph"/>
              <w:spacing w:line="270" w:lineRule="atLeast" w:before="17"/>
              <w:ind w:left="452" w:right="27" w:hanging="420"/>
              <w:jc w:val="left"/>
              <w:rPr>
                <w:sz w:val="21"/>
              </w:rPr>
            </w:pPr>
            <w:r>
              <w:rPr>
                <w:sz w:val="21"/>
              </w:rPr>
              <w:t>甲酸储罐泄漏</w:t>
            </w:r>
          </w:p>
        </w:tc>
        <w:tc>
          <w:tcPr>
            <w:tcW w:w="2409" w:type="dxa"/>
          </w:tcPr>
          <w:p>
            <w:pPr>
              <w:pStyle w:val="TableParagraph"/>
              <w:spacing w:line="257" w:lineRule="exact" w:before="6"/>
              <w:ind w:left="3"/>
              <w:rPr>
                <w:sz w:val="21"/>
              </w:rPr>
            </w:pPr>
            <w:r>
              <w:rPr>
                <w:sz w:val="21"/>
              </w:rPr>
              <w:t>甲酸挥发影响大气</w:t>
            </w:r>
          </w:p>
        </w:tc>
        <w:tc>
          <w:tcPr>
            <w:tcW w:w="1377" w:type="dxa"/>
          </w:tcPr>
          <w:p>
            <w:pPr>
              <w:pStyle w:val="TableParagraph"/>
              <w:spacing w:line="257" w:lineRule="exact" w:before="6"/>
              <w:ind w:left="34" w:right="32"/>
              <w:rPr>
                <w:sz w:val="21"/>
              </w:rPr>
            </w:pPr>
            <w:r>
              <w:rPr>
                <w:sz w:val="21"/>
              </w:rPr>
              <w:t>甲酸</w:t>
            </w:r>
          </w:p>
        </w:tc>
        <w:tc>
          <w:tcPr>
            <w:tcW w:w="2479" w:type="dxa"/>
          </w:tcPr>
          <w:p>
            <w:pPr>
              <w:pStyle w:val="TableParagraph"/>
              <w:spacing w:line="257" w:lineRule="exact" w:before="6"/>
              <w:ind w:left="17" w:right="21"/>
              <w:rPr>
                <w:sz w:val="21"/>
              </w:rPr>
            </w:pPr>
            <w:r>
              <w:rPr>
                <w:sz w:val="21"/>
              </w:rPr>
              <w:t>预测对大气的影响</w:t>
            </w:r>
          </w:p>
        </w:tc>
      </w:tr>
      <w:tr>
        <w:trPr>
          <w:trHeight w:val="285" w:hRule="atLeast"/>
        </w:trPr>
        <w:tc>
          <w:tcPr>
            <w:tcW w:w="850" w:type="dxa"/>
            <w:vMerge/>
            <w:tcBorders>
              <w:top w:val="nil"/>
            </w:tcBorders>
          </w:tcPr>
          <w:p>
            <w:pPr>
              <w:rPr>
                <w:sz w:val="2"/>
                <w:szCs w:val="2"/>
              </w:rPr>
            </w:pPr>
          </w:p>
        </w:tc>
        <w:tc>
          <w:tcPr>
            <w:tcW w:w="896" w:type="dxa"/>
            <w:vMerge/>
            <w:tcBorders>
              <w:top w:val="nil"/>
            </w:tcBorders>
          </w:tcPr>
          <w:p>
            <w:pPr>
              <w:rPr>
                <w:sz w:val="2"/>
                <w:szCs w:val="2"/>
              </w:rPr>
            </w:pPr>
          </w:p>
        </w:tc>
        <w:tc>
          <w:tcPr>
            <w:tcW w:w="1125" w:type="dxa"/>
            <w:vMerge/>
            <w:tcBorders>
              <w:top w:val="nil"/>
            </w:tcBorders>
          </w:tcPr>
          <w:p>
            <w:pPr>
              <w:rPr>
                <w:sz w:val="2"/>
                <w:szCs w:val="2"/>
              </w:rPr>
            </w:pPr>
          </w:p>
        </w:tc>
        <w:tc>
          <w:tcPr>
            <w:tcW w:w="2409" w:type="dxa"/>
          </w:tcPr>
          <w:p>
            <w:pPr>
              <w:pStyle w:val="TableParagraph"/>
              <w:spacing w:line="257" w:lineRule="exact" w:before="8"/>
              <w:rPr>
                <w:sz w:val="21"/>
              </w:rPr>
            </w:pPr>
            <w:r>
              <w:rPr>
                <w:sz w:val="21"/>
              </w:rPr>
              <w:t>甲酸渗入地下</w:t>
            </w:r>
          </w:p>
        </w:tc>
        <w:tc>
          <w:tcPr>
            <w:tcW w:w="1377" w:type="dxa"/>
          </w:tcPr>
          <w:p>
            <w:pPr>
              <w:pStyle w:val="TableParagraph"/>
              <w:spacing w:line="257" w:lineRule="exact" w:before="8"/>
              <w:ind w:left="34" w:right="32"/>
              <w:rPr>
                <w:sz w:val="21"/>
              </w:rPr>
            </w:pPr>
            <w:r>
              <w:rPr>
                <w:sz w:val="21"/>
              </w:rPr>
              <w:t>甲酸</w:t>
            </w:r>
          </w:p>
        </w:tc>
        <w:tc>
          <w:tcPr>
            <w:tcW w:w="2479" w:type="dxa"/>
          </w:tcPr>
          <w:p>
            <w:pPr>
              <w:pStyle w:val="TableParagraph"/>
              <w:spacing w:line="257" w:lineRule="exact" w:before="8"/>
              <w:ind w:left="20" w:right="21"/>
              <w:rPr>
                <w:sz w:val="21"/>
              </w:rPr>
            </w:pPr>
            <w:r>
              <w:rPr>
                <w:sz w:val="21"/>
              </w:rPr>
              <w:t>分析甲酸对地下水的影响</w:t>
            </w:r>
          </w:p>
        </w:tc>
      </w:tr>
      <w:tr>
        <w:trPr>
          <w:trHeight w:val="544" w:hRule="atLeast"/>
        </w:trPr>
        <w:tc>
          <w:tcPr>
            <w:tcW w:w="850" w:type="dxa"/>
          </w:tcPr>
          <w:p>
            <w:pPr>
              <w:pStyle w:val="TableParagraph"/>
              <w:spacing w:before="1"/>
              <w:ind w:left="107"/>
              <w:jc w:val="left"/>
              <w:rPr>
                <w:sz w:val="21"/>
              </w:rPr>
            </w:pPr>
            <w:r>
              <w:rPr>
                <w:sz w:val="21"/>
              </w:rPr>
              <w:t>农药粉</w:t>
            </w:r>
          </w:p>
          <w:p>
            <w:pPr>
              <w:pStyle w:val="TableParagraph"/>
              <w:spacing w:line="252" w:lineRule="exact" w:before="2"/>
              <w:ind w:left="107"/>
              <w:jc w:val="left"/>
              <w:rPr>
                <w:sz w:val="21"/>
              </w:rPr>
            </w:pPr>
            <w:r>
              <w:rPr>
                <w:sz w:val="21"/>
              </w:rPr>
              <w:t>尘泄漏</w:t>
            </w:r>
          </w:p>
        </w:tc>
        <w:tc>
          <w:tcPr>
            <w:tcW w:w="896" w:type="dxa"/>
          </w:tcPr>
          <w:p>
            <w:pPr>
              <w:pStyle w:val="TableParagraph"/>
              <w:spacing w:before="138"/>
              <w:ind w:left="25"/>
              <w:jc w:val="left"/>
              <w:rPr>
                <w:sz w:val="21"/>
              </w:rPr>
            </w:pPr>
            <w:r>
              <w:rPr>
                <w:sz w:val="21"/>
              </w:rPr>
              <w:t>生产车间</w:t>
            </w:r>
          </w:p>
        </w:tc>
        <w:tc>
          <w:tcPr>
            <w:tcW w:w="1125" w:type="dxa"/>
          </w:tcPr>
          <w:p>
            <w:pPr>
              <w:pStyle w:val="TableParagraph"/>
              <w:spacing w:before="1"/>
              <w:ind w:left="13" w:right="11"/>
              <w:rPr>
                <w:sz w:val="21"/>
              </w:rPr>
            </w:pPr>
            <w:r>
              <w:rPr>
                <w:sz w:val="21"/>
              </w:rPr>
              <w:t>废气处理装</w:t>
            </w:r>
          </w:p>
          <w:p>
            <w:pPr>
              <w:pStyle w:val="TableParagraph"/>
              <w:spacing w:line="252" w:lineRule="exact" w:before="2"/>
              <w:ind w:left="27" w:right="27"/>
              <w:rPr>
                <w:sz w:val="21"/>
              </w:rPr>
            </w:pPr>
            <w:r>
              <w:rPr>
                <w:sz w:val="21"/>
              </w:rPr>
              <w:t>置故障</w:t>
            </w:r>
          </w:p>
        </w:tc>
        <w:tc>
          <w:tcPr>
            <w:tcW w:w="2409" w:type="dxa"/>
          </w:tcPr>
          <w:p>
            <w:pPr>
              <w:pStyle w:val="TableParagraph"/>
              <w:spacing w:before="138"/>
              <w:ind w:left="3"/>
              <w:rPr>
                <w:sz w:val="21"/>
              </w:rPr>
            </w:pPr>
            <w:r>
              <w:rPr>
                <w:sz w:val="21"/>
              </w:rPr>
              <w:t>农药粉尘影响大气</w:t>
            </w:r>
          </w:p>
        </w:tc>
        <w:tc>
          <w:tcPr>
            <w:tcW w:w="1377" w:type="dxa"/>
          </w:tcPr>
          <w:p>
            <w:pPr>
              <w:pStyle w:val="TableParagraph"/>
              <w:spacing w:before="1"/>
              <w:ind w:left="34" w:right="32"/>
              <w:rPr>
                <w:sz w:val="21"/>
              </w:rPr>
            </w:pPr>
            <w:r>
              <w:rPr>
                <w:sz w:val="21"/>
              </w:rPr>
              <w:t>含农药成分的</w:t>
            </w:r>
          </w:p>
          <w:p>
            <w:pPr>
              <w:pStyle w:val="TableParagraph"/>
              <w:spacing w:line="252" w:lineRule="exact" w:before="2"/>
              <w:ind w:left="34" w:right="32"/>
              <w:rPr>
                <w:sz w:val="21"/>
              </w:rPr>
            </w:pPr>
            <w:r>
              <w:rPr>
                <w:sz w:val="21"/>
              </w:rPr>
              <w:t>颗粒物</w:t>
            </w:r>
          </w:p>
        </w:tc>
        <w:tc>
          <w:tcPr>
            <w:tcW w:w="2479" w:type="dxa"/>
          </w:tcPr>
          <w:p>
            <w:pPr>
              <w:pStyle w:val="TableParagraph"/>
              <w:spacing w:before="138"/>
              <w:ind w:left="17" w:right="21"/>
              <w:rPr>
                <w:sz w:val="21"/>
              </w:rPr>
            </w:pPr>
            <w:r>
              <w:rPr>
                <w:sz w:val="21"/>
              </w:rPr>
              <w:t>分析对大气的影响</w:t>
            </w:r>
          </w:p>
        </w:tc>
      </w:tr>
    </w:tbl>
    <w:p>
      <w:pPr>
        <w:pStyle w:val="BodyText"/>
        <w:spacing w:line="364" w:lineRule="auto" w:before="2"/>
        <w:ind w:left="218" w:right="235" w:firstLine="480"/>
        <w:jc w:val="both"/>
      </w:pPr>
      <w:r>
        <w:rPr>
          <w:spacing w:val="-7"/>
        </w:rPr>
        <w:t>参考风险导则附录 </w:t>
      </w:r>
      <w:r>
        <w:rPr>
          <w:rFonts w:ascii="Times New Roman" w:hAnsi="Times New Roman" w:eastAsia="Times New Roman"/>
        </w:rPr>
        <w:t>E</w:t>
      </w:r>
      <w:r>
        <w:rPr>
          <w:spacing w:val="-16"/>
        </w:rPr>
        <w:t>，储罐全破裂发生的概率为 </w:t>
      </w:r>
      <w:r>
        <w:rPr>
          <w:rFonts w:ascii="Times New Roman" w:hAnsi="Times New Roman" w:eastAsia="Times New Roman"/>
          <w:spacing w:val="2"/>
        </w:rPr>
        <w:t>5</w:t>
      </w:r>
      <w:r>
        <w:rPr>
          <w:rFonts w:ascii="Times New Roman" w:hAnsi="Times New Roman" w:eastAsia="Times New Roman"/>
          <w:spacing w:val="-29"/>
        </w:rPr>
        <w:t>×</w:t>
      </w:r>
      <w:r>
        <w:rPr>
          <w:rFonts w:ascii="Times New Roman" w:hAnsi="Times New Roman" w:eastAsia="Times New Roman"/>
        </w:rPr>
        <w:t>10 </w:t>
      </w:r>
      <w:r>
        <w:rPr>
          <w:rFonts w:ascii="Times New Roman" w:hAnsi="Times New Roman" w:eastAsia="Times New Roman"/>
          <w:spacing w:val="-1"/>
          <w:w w:val="100"/>
          <w:position w:val="9"/>
          <w:sz w:val="16"/>
        </w:rPr>
        <w:t>-</w:t>
      </w:r>
      <w:r>
        <w:rPr>
          <w:rFonts w:ascii="Times New Roman" w:hAnsi="Times New Roman" w:eastAsia="Times New Roman"/>
          <w:w w:val="100"/>
          <w:position w:val="9"/>
          <w:sz w:val="16"/>
        </w:rPr>
        <w:t>6</w:t>
      </w:r>
      <w:r>
        <w:rPr>
          <w:rFonts w:ascii="Times New Roman" w:hAnsi="Times New Roman" w:eastAsia="Times New Roman"/>
          <w:position w:val="9"/>
          <w:sz w:val="16"/>
        </w:rPr>
        <w:t> </w:t>
      </w:r>
      <w:r>
        <w:rPr/>
        <w:t>次</w:t>
      </w:r>
      <w:r>
        <w:rPr>
          <w:rFonts w:ascii="Times New Roman" w:hAnsi="Times New Roman" w:eastAsia="Times New Roman"/>
        </w:rPr>
        <w:t>/</w:t>
      </w:r>
      <w:r>
        <w:rPr>
          <w:spacing w:val="-23"/>
        </w:rPr>
        <w:t>年；参考胡二邦主编的《环</w:t>
      </w:r>
      <w:r>
        <w:rPr>
          <w:spacing w:val="-5"/>
        </w:rPr>
        <w:t>境风险评价实用技术、方法和案例》并结合事故树分析和国内一些对化学品爆炸、泄漏</w:t>
      </w:r>
      <w:r>
        <w:rPr>
          <w:spacing w:val="-3"/>
        </w:rPr>
        <w:t>概率的统计，生产车间泄漏导致火灾发生的概率为 </w:t>
      </w:r>
      <w:r>
        <w:rPr>
          <w:rFonts w:ascii="Times New Roman" w:hAnsi="Times New Roman" w:eastAsia="Times New Roman"/>
          <w:spacing w:val="-9"/>
        </w:rPr>
        <w:t>5×1 </w:t>
      </w:r>
      <w:r>
        <w:rPr>
          <w:rFonts w:ascii="Times New Roman" w:hAnsi="Times New Roman" w:eastAsia="Times New Roman"/>
        </w:rPr>
        <w:t>0</w:t>
      </w:r>
      <w:r>
        <w:rPr>
          <w:rFonts w:ascii="Times New Roman" w:hAnsi="Times New Roman" w:eastAsia="Times New Roman"/>
          <w:position w:val="9"/>
          <w:sz w:val="16"/>
        </w:rPr>
        <w:t>-7 </w:t>
      </w:r>
      <w:r>
        <w:rPr/>
        <w:t>次</w:t>
      </w:r>
      <w:r>
        <w:rPr>
          <w:rFonts w:ascii="Times New Roman" w:hAnsi="Times New Roman" w:eastAsia="Times New Roman"/>
        </w:rPr>
        <w:t>/</w:t>
      </w:r>
      <w:r>
        <w:rPr/>
        <w:t>年。</w:t>
      </w:r>
    </w:p>
    <w:p>
      <w:pPr>
        <w:pStyle w:val="Heading4"/>
        <w:numPr>
          <w:ilvl w:val="2"/>
          <w:numId w:val="23"/>
        </w:numPr>
        <w:tabs>
          <w:tab w:pos="1059" w:val="left" w:leader="none"/>
        </w:tabs>
        <w:spacing w:line="307" w:lineRule="exact" w:before="0" w:after="0"/>
        <w:ind w:left="1058" w:right="0" w:hanging="601"/>
        <w:jc w:val="both"/>
      </w:pPr>
      <w:r>
        <w:rPr/>
        <w:t>源项分析</w:t>
      </w:r>
    </w:p>
    <w:p>
      <w:pPr>
        <w:pStyle w:val="BodyText"/>
        <w:spacing w:before="159"/>
        <w:ind w:left="698"/>
      </w:pPr>
      <w:r>
        <w:rPr>
          <w:rFonts w:ascii="Times New Roman" w:eastAsia="Times New Roman"/>
          <w:spacing w:val="-1"/>
        </w:rPr>
        <w:t>1</w:t>
      </w:r>
      <w:r>
        <w:rPr/>
        <w:t>、生产车间反应釜发生事故泄漏导致火灾爆炸</w:t>
      </w:r>
    </w:p>
    <w:p>
      <w:pPr>
        <w:pStyle w:val="BodyText"/>
        <w:spacing w:line="364" w:lineRule="auto" w:before="160"/>
        <w:ind w:left="218" w:right="236" w:firstLine="480"/>
        <w:jc w:val="both"/>
      </w:pPr>
      <w:r>
        <w:rPr>
          <w:spacing w:val="-5"/>
        </w:rPr>
        <w:t>本项目仅涉及一个生产车间，选择该扩环反应釜发生事故泄漏导致火灾爆炸的情形</w:t>
      </w:r>
      <w:r>
        <w:rPr>
          <w:spacing w:val="-1"/>
        </w:rPr>
        <w:t>进行分析。如该反应釜发生事故泄漏，单批泄漏量如下：甲酸 </w:t>
      </w:r>
      <w:r>
        <w:rPr>
          <w:rFonts w:ascii="Times New Roman" w:eastAsia="Times New Roman"/>
        </w:rPr>
        <w:t>0.72t/</w:t>
      </w:r>
      <w:r>
        <w:rPr/>
        <w:t>批，</w:t>
      </w:r>
      <w:r>
        <w:rPr>
          <w:rFonts w:ascii="Times New Roman" w:eastAsia="Times New Roman"/>
        </w:rPr>
        <w:t>4-</w:t>
      </w:r>
      <w:r>
        <w:rPr/>
        <w:t>甲基</w:t>
      </w:r>
      <w:r>
        <w:rPr>
          <w:rFonts w:ascii="Times New Roman" w:eastAsia="Times New Roman"/>
        </w:rPr>
        <w:t>-2-</w:t>
      </w:r>
      <w:r>
        <w:rPr>
          <w:spacing w:val="-7"/>
        </w:rPr>
        <w:t>肼基</w:t>
      </w:r>
      <w:r>
        <w:rPr>
          <w:spacing w:val="-13"/>
        </w:rPr>
        <w:t>苯并噻唑 </w:t>
      </w:r>
      <w:r>
        <w:rPr>
          <w:rFonts w:ascii="Times New Roman" w:eastAsia="Times New Roman"/>
        </w:rPr>
        <w:t>0.25t/</w:t>
      </w:r>
      <w:r>
        <w:rPr>
          <w:spacing w:val="-5"/>
        </w:rPr>
        <w:t>批，该泄漏量燃烧时间以 </w:t>
      </w:r>
      <w:r>
        <w:rPr>
          <w:rFonts w:ascii="Times New Roman" w:eastAsia="Times New Roman"/>
        </w:rPr>
        <w:t>15min </w:t>
      </w:r>
      <w:r>
        <w:rPr/>
        <w:t>计。</w:t>
      </w:r>
    </w:p>
    <w:p>
      <w:pPr>
        <w:pStyle w:val="BodyText"/>
        <w:spacing w:line="304" w:lineRule="exact"/>
        <w:ind w:left="698"/>
      </w:pPr>
      <w:r>
        <w:rPr/>
        <w:t>⑴</w:t>
      </w:r>
      <w:r>
        <w:rPr>
          <w:rFonts w:ascii="Times New Roman" w:hAnsi="Times New Roman" w:eastAsia="Times New Roman"/>
        </w:rPr>
        <w:t>CO </w:t>
      </w:r>
      <w:r>
        <w:rPr/>
        <w:t>产生量</w:t>
      </w:r>
    </w:p>
    <w:p>
      <w:pPr>
        <w:pStyle w:val="BodyText"/>
        <w:spacing w:before="161"/>
        <w:ind w:left="698"/>
      </w:pPr>
      <w:r>
        <w:rPr/>
        <w:t>根据附录 </w:t>
      </w:r>
      <w:r>
        <w:rPr>
          <w:rFonts w:ascii="Times New Roman" w:eastAsia="Times New Roman"/>
        </w:rPr>
        <w:t>F.3</w:t>
      </w:r>
      <w:r>
        <w:rPr/>
        <w:t>，火灾伴生</w:t>
      </w:r>
      <w:r>
        <w:rPr>
          <w:rFonts w:ascii="Times New Roman" w:eastAsia="Times New Roman"/>
        </w:rPr>
        <w:t>/</w:t>
      </w:r>
      <w:r>
        <w:rPr/>
        <w:t>次生一氧化碳产生量按下式计算。</w:t>
      </w:r>
    </w:p>
    <w:p>
      <w:pPr>
        <w:pStyle w:val="BodyText"/>
        <w:spacing w:before="11"/>
        <w:rPr>
          <w:sz w:val="26"/>
        </w:rPr>
      </w:pPr>
      <w:r>
        <w:rPr/>
        <w:drawing>
          <wp:anchor distT="0" distB="0" distL="0" distR="0" allowOverlap="1" layoutInCell="1" locked="0" behindDoc="0" simplePos="0" relativeHeight="268">
            <wp:simplePos x="0" y="0"/>
            <wp:positionH relativeFrom="page">
              <wp:posOffset>1285538</wp:posOffset>
            </wp:positionH>
            <wp:positionV relativeFrom="paragraph">
              <wp:posOffset>243790</wp:posOffset>
            </wp:positionV>
            <wp:extent cx="2959790" cy="936116"/>
            <wp:effectExtent l="0" t="0" r="0" b="0"/>
            <wp:wrapTopAndBottom/>
            <wp:docPr id="81" name="image85.jpeg"/>
            <wp:cNvGraphicFramePr>
              <a:graphicFrameLocks noChangeAspect="1"/>
            </wp:cNvGraphicFramePr>
            <a:graphic>
              <a:graphicData uri="http://schemas.openxmlformats.org/drawingml/2006/picture">
                <pic:pic>
                  <pic:nvPicPr>
                    <pic:cNvPr id="82" name="image85.jpeg"/>
                    <pic:cNvPicPr/>
                  </pic:nvPicPr>
                  <pic:blipFill>
                    <a:blip r:embed="rId158" cstate="print"/>
                    <a:stretch>
                      <a:fillRect/>
                    </a:stretch>
                  </pic:blipFill>
                  <pic:spPr>
                    <a:xfrm>
                      <a:off x="0" y="0"/>
                      <a:ext cx="2959790" cy="936116"/>
                    </a:xfrm>
                    <a:prstGeom prst="rect">
                      <a:avLst/>
                    </a:prstGeom>
                  </pic:spPr>
                </pic:pic>
              </a:graphicData>
            </a:graphic>
          </wp:anchor>
        </w:drawing>
      </w:r>
    </w:p>
    <w:p>
      <w:pPr>
        <w:pStyle w:val="BodyText"/>
        <w:spacing w:before="6"/>
        <w:rPr>
          <w:sz w:val="21"/>
        </w:rPr>
      </w:pPr>
    </w:p>
    <w:p>
      <w:pPr>
        <w:pStyle w:val="BodyText"/>
        <w:ind w:left="698"/>
      </w:pPr>
      <w:r>
        <w:rPr/>
        <w:t>根据估算，一氧化碳的产生量 </w:t>
      </w:r>
      <w:r>
        <w:rPr>
          <w:rFonts w:ascii="Times New Roman" w:eastAsia="Times New Roman"/>
        </w:rPr>
        <w:t>0.128kg/s</w:t>
      </w:r>
      <w:r>
        <w:rPr/>
        <w:t>。</w:t>
      </w:r>
    </w:p>
    <w:p>
      <w:pPr>
        <w:pStyle w:val="BodyText"/>
        <w:spacing w:before="161"/>
        <w:ind w:left="698"/>
      </w:pPr>
      <w:r>
        <w:rPr/>
        <w:t>⑵甲酸废气产生量</w:t>
      </w:r>
    </w:p>
    <w:p>
      <w:pPr>
        <w:spacing w:after="0"/>
        <w:sectPr>
          <w:footerReference w:type="default" r:id="rId157"/>
          <w:pgSz w:w="11910" w:h="16840"/>
          <w:pgMar w:footer="945" w:header="872" w:top="1320" w:bottom="1140" w:left="1200" w:right="1180"/>
        </w:sectPr>
      </w:pPr>
    </w:p>
    <w:p>
      <w:pPr>
        <w:pStyle w:val="BodyText"/>
        <w:spacing w:line="364" w:lineRule="auto" w:before="84"/>
        <w:ind w:left="218" w:right="109" w:firstLine="480"/>
      </w:pPr>
      <w:r>
        <w:rPr>
          <w:spacing w:val="-3"/>
        </w:rPr>
        <w:t>事故焚烧时，以全部甲酸未焚烧转化，甲酸最大产生量 </w:t>
      </w:r>
      <w:r>
        <w:rPr>
          <w:rFonts w:ascii="Times New Roman" w:eastAsia="Times New Roman"/>
        </w:rPr>
        <w:t>0.72t</w:t>
      </w:r>
      <w:r>
        <w:rPr>
          <w:spacing w:val="-9"/>
        </w:rPr>
        <w:t>；根据附录 </w:t>
      </w:r>
      <w:r>
        <w:rPr>
          <w:rFonts w:ascii="Times New Roman" w:eastAsia="Times New Roman"/>
          <w:spacing w:val="-6"/>
        </w:rPr>
        <w:t>F.2</w:t>
      </w:r>
      <w:r>
        <w:rPr>
          <w:spacing w:val="-2"/>
        </w:rPr>
        <w:t>，火灾</w:t>
      </w:r>
      <w:r>
        <w:rPr>
          <w:spacing w:val="-4"/>
          <w:position w:val="2"/>
        </w:rPr>
        <w:t>爆炸事故中未参与燃烧有毒有害物质的释放比例取值见表 </w:t>
      </w:r>
      <w:r>
        <w:rPr>
          <w:rFonts w:ascii="Times New Roman" w:eastAsia="Times New Roman"/>
          <w:spacing w:val="-19"/>
          <w:position w:val="2"/>
        </w:rPr>
        <w:t>F.4</w:t>
      </w:r>
      <w:r>
        <w:rPr>
          <w:spacing w:val="-19"/>
          <w:position w:val="2"/>
        </w:rPr>
        <w:t>，甲酸 </w:t>
      </w:r>
      <w:r>
        <w:rPr>
          <w:rFonts w:ascii="Times New Roman" w:eastAsia="Times New Roman"/>
          <w:spacing w:val="-4"/>
          <w:position w:val="2"/>
        </w:rPr>
        <w:t>LC</w:t>
      </w:r>
      <w:r>
        <w:rPr>
          <w:rFonts w:ascii="Times New Roman" w:eastAsia="Times New Roman"/>
          <w:spacing w:val="-4"/>
          <w:sz w:val="16"/>
        </w:rPr>
        <w:t>50</w:t>
      </w:r>
      <w:r>
        <w:rPr>
          <w:spacing w:val="-4"/>
          <w:position w:val="2"/>
        </w:rPr>
        <w:t>：</w:t>
      </w:r>
      <w:r>
        <w:rPr>
          <w:rFonts w:ascii="Times New Roman" w:eastAsia="Times New Roman"/>
          <w:spacing w:val="-4"/>
          <w:position w:val="2"/>
        </w:rPr>
        <w:t>15000mg/kg</w:t>
      </w:r>
      <w:r>
        <w:rPr>
          <w:spacing w:val="-4"/>
          <w:position w:val="2"/>
        </w:rPr>
        <w:t>， </w:t>
      </w:r>
      <w:r>
        <w:rPr>
          <w:spacing w:val="-16"/>
        </w:rPr>
        <w:t>对照表 </w:t>
      </w:r>
      <w:r>
        <w:rPr>
          <w:rFonts w:ascii="Times New Roman" w:eastAsia="Times New Roman"/>
          <w:spacing w:val="-21"/>
          <w:w w:val="99"/>
        </w:rPr>
        <w:t>F</w:t>
      </w:r>
      <w:r>
        <w:rPr>
          <w:rFonts w:ascii="Times New Roman" w:eastAsia="Times New Roman"/>
        </w:rPr>
        <w:t>.4 </w:t>
      </w:r>
      <w:r>
        <w:rPr>
          <w:spacing w:val="-4"/>
        </w:rPr>
        <w:t>甲酸未参与燃烧有毒有害物质的释放比例为 </w:t>
      </w:r>
      <w:r>
        <w:rPr>
          <w:rFonts w:ascii="Times New Roman" w:eastAsia="Times New Roman"/>
        </w:rPr>
        <w:t>10</w:t>
      </w:r>
      <w:r>
        <w:rPr>
          <w:rFonts w:ascii="Times New Roman" w:eastAsia="Times New Roman"/>
          <w:spacing w:val="-1"/>
        </w:rPr>
        <w:t>%</w:t>
      </w:r>
      <w:r>
        <w:rPr>
          <w:spacing w:val="-22"/>
        </w:rPr>
        <w:t>，平均释放时间以 </w:t>
      </w:r>
      <w:r>
        <w:rPr>
          <w:rFonts w:ascii="Times New Roman" w:eastAsia="Times New Roman"/>
        </w:rPr>
        <w:t>15min </w:t>
      </w:r>
      <w:r>
        <w:rPr>
          <w:spacing w:val="-7"/>
        </w:rPr>
        <w:t>计，则甲酸废气排放量 </w:t>
      </w:r>
      <w:r>
        <w:rPr>
          <w:rFonts w:ascii="Times New Roman" w:eastAsia="Times New Roman"/>
        </w:rPr>
        <w:t>0.08kg/s</w:t>
      </w:r>
      <w:r>
        <w:rPr/>
        <w:t>。</w:t>
      </w:r>
    </w:p>
    <w:p>
      <w:pPr>
        <w:pStyle w:val="BodyText"/>
        <w:spacing w:line="306" w:lineRule="exact"/>
        <w:ind w:left="698"/>
      </w:pPr>
      <w:r>
        <w:rPr/>
        <w:t>⑶事故处理废水排放量</w:t>
      </w:r>
    </w:p>
    <w:p>
      <w:pPr>
        <w:pStyle w:val="BodyText"/>
        <w:spacing w:line="364" w:lineRule="auto" w:before="158"/>
        <w:ind w:left="218" w:right="173" w:firstLine="480"/>
      </w:pPr>
      <w:r>
        <w:rPr/>
        <w:t>车间和储罐区发生事故泄漏导致火灾爆炸后，将产生事故处理废水。事故废水量确定如下：</w:t>
      </w:r>
    </w:p>
    <w:p>
      <w:pPr>
        <w:pStyle w:val="BodyText"/>
        <w:spacing w:line="362" w:lineRule="auto" w:before="1"/>
        <w:ind w:left="218" w:right="232" w:firstLine="480"/>
      </w:pPr>
      <w:r>
        <w:rPr>
          <w:spacing w:val="-6"/>
        </w:rPr>
        <w:t>根据《化工建设项目环境保护设计规范</w:t>
      </w:r>
      <w:r>
        <w:rPr>
          <w:spacing w:val="-154"/>
        </w:rPr>
        <w:t>》</w:t>
      </w:r>
      <w:r>
        <w:rPr/>
        <w:t>（</w:t>
      </w:r>
      <w:r>
        <w:rPr>
          <w:rFonts w:ascii="Times New Roman" w:eastAsia="Times New Roman"/>
        </w:rPr>
        <w:t>GB50483</w:t>
      </w:r>
      <w:r>
        <w:rPr>
          <w:rFonts w:ascii="Times New Roman" w:eastAsia="Times New Roman"/>
          <w:spacing w:val="-1"/>
        </w:rPr>
        <w:t>-</w:t>
      </w:r>
      <w:r>
        <w:rPr>
          <w:rFonts w:ascii="Times New Roman" w:eastAsia="Times New Roman"/>
        </w:rPr>
        <w:t>2009</w:t>
      </w:r>
      <w:r>
        <w:rPr>
          <w:spacing w:val="-120"/>
        </w:rPr>
        <w:t>）</w:t>
      </w:r>
      <w:r>
        <w:rPr>
          <w:spacing w:val="-7"/>
        </w:rPr>
        <w:t>，应急事故水池的容量应</w:t>
      </w:r>
      <w:r>
        <w:rPr/>
        <w:t>考虑各方面的因素，应急事故废水的最大量的计量为：</w:t>
      </w:r>
    </w:p>
    <w:p>
      <w:pPr>
        <w:spacing w:before="5"/>
        <w:ind w:left="698" w:right="0" w:firstLine="0"/>
        <w:jc w:val="left"/>
        <w:rPr>
          <w:rFonts w:ascii="Times New Roman" w:eastAsia="Times New Roman"/>
          <w:sz w:val="16"/>
        </w:rPr>
      </w:pPr>
      <w:r>
        <w:rPr>
          <w:rFonts w:ascii="Times New Roman" w:eastAsia="Times New Roman"/>
          <w:position w:val="2"/>
          <w:sz w:val="24"/>
        </w:rPr>
        <w:t>V </w:t>
      </w:r>
      <w:r>
        <w:rPr>
          <w:sz w:val="12"/>
        </w:rPr>
        <w:t>总</w:t>
      </w:r>
      <w:r>
        <w:rPr>
          <w:rFonts w:ascii="Times New Roman" w:eastAsia="Times New Roman"/>
          <w:position w:val="2"/>
          <w:sz w:val="24"/>
        </w:rPr>
        <w:t>= </w:t>
      </w:r>
      <w:r>
        <w:rPr>
          <w:position w:val="2"/>
          <w:sz w:val="24"/>
        </w:rPr>
        <w:t>（</w:t>
      </w:r>
      <w:r>
        <w:rPr>
          <w:rFonts w:ascii="Times New Roman" w:eastAsia="Times New Roman"/>
          <w:position w:val="2"/>
          <w:sz w:val="24"/>
        </w:rPr>
        <w:t>V</w:t>
      </w:r>
      <w:r>
        <w:rPr>
          <w:rFonts w:ascii="Times New Roman" w:eastAsia="Times New Roman"/>
          <w:sz w:val="16"/>
        </w:rPr>
        <w:t>1</w:t>
      </w:r>
      <w:r>
        <w:rPr>
          <w:rFonts w:ascii="Times New Roman" w:eastAsia="Times New Roman"/>
          <w:position w:val="2"/>
          <w:sz w:val="24"/>
        </w:rPr>
        <w:t>+ V</w:t>
      </w:r>
      <w:r>
        <w:rPr>
          <w:rFonts w:ascii="Times New Roman" w:eastAsia="Times New Roman"/>
          <w:sz w:val="16"/>
        </w:rPr>
        <w:t>2</w:t>
      </w:r>
      <w:r>
        <w:rPr>
          <w:rFonts w:ascii="Times New Roman" w:eastAsia="Times New Roman"/>
          <w:position w:val="2"/>
          <w:sz w:val="24"/>
        </w:rPr>
        <w:t>- V</w:t>
      </w:r>
      <w:r>
        <w:rPr>
          <w:rFonts w:ascii="Times New Roman" w:eastAsia="Times New Roman"/>
          <w:sz w:val="16"/>
        </w:rPr>
        <w:t>3</w:t>
      </w:r>
      <w:r>
        <w:rPr>
          <w:position w:val="2"/>
          <w:sz w:val="24"/>
        </w:rPr>
        <w:t>）</w:t>
      </w:r>
      <w:r>
        <w:rPr>
          <w:rFonts w:ascii="Times New Roman" w:eastAsia="Times New Roman"/>
          <w:sz w:val="16"/>
        </w:rPr>
        <w:t>max </w:t>
      </w:r>
      <w:r>
        <w:rPr>
          <w:rFonts w:ascii="Times New Roman" w:eastAsia="Times New Roman"/>
          <w:position w:val="2"/>
          <w:sz w:val="24"/>
        </w:rPr>
        <w:t>+ V</w:t>
      </w:r>
      <w:r>
        <w:rPr>
          <w:rFonts w:ascii="Times New Roman" w:eastAsia="Times New Roman"/>
          <w:sz w:val="16"/>
        </w:rPr>
        <w:t>4</w:t>
      </w:r>
      <w:r>
        <w:rPr>
          <w:rFonts w:ascii="Times New Roman" w:eastAsia="Times New Roman"/>
          <w:position w:val="2"/>
          <w:sz w:val="24"/>
        </w:rPr>
        <w:t>+ V</w:t>
      </w:r>
      <w:r>
        <w:rPr>
          <w:rFonts w:ascii="Times New Roman" w:eastAsia="Times New Roman"/>
          <w:sz w:val="16"/>
        </w:rPr>
        <w:t>5</w:t>
      </w:r>
    </w:p>
    <w:p>
      <w:pPr>
        <w:pStyle w:val="BodyText"/>
        <w:spacing w:line="364" w:lineRule="auto" w:before="158"/>
        <w:ind w:left="218" w:right="155" w:firstLine="480"/>
      </w:pPr>
      <w:r>
        <w:rPr>
          <w:spacing w:val="-60"/>
          <w:position w:val="2"/>
        </w:rPr>
        <w:t>注：</w:t>
      </w:r>
      <w:r>
        <w:rPr>
          <w:spacing w:val="-1"/>
          <w:position w:val="2"/>
        </w:rPr>
        <w:t>（</w:t>
      </w:r>
      <w:r>
        <w:rPr>
          <w:rFonts w:ascii="Times New Roman" w:eastAsia="Times New Roman"/>
          <w:spacing w:val="-1"/>
          <w:w w:val="99"/>
          <w:position w:val="2"/>
        </w:rPr>
        <w:t>V</w:t>
      </w:r>
      <w:r>
        <w:rPr>
          <w:rFonts w:ascii="Times New Roman" w:eastAsia="Times New Roman"/>
          <w:spacing w:val="1"/>
          <w:w w:val="100"/>
          <w:sz w:val="16"/>
        </w:rPr>
        <w:t>1</w:t>
      </w:r>
      <w:r>
        <w:rPr>
          <w:rFonts w:ascii="Times New Roman" w:eastAsia="Times New Roman"/>
          <w:spacing w:val="-3"/>
          <w:position w:val="2"/>
        </w:rPr>
        <w:t>+ </w:t>
      </w:r>
      <w:r>
        <w:rPr>
          <w:rFonts w:ascii="Times New Roman" w:eastAsia="Times New Roman"/>
          <w:spacing w:val="-1"/>
          <w:w w:val="99"/>
          <w:position w:val="2"/>
        </w:rPr>
        <w:t>V</w:t>
      </w:r>
      <w:r>
        <w:rPr>
          <w:rFonts w:ascii="Times New Roman" w:eastAsia="Times New Roman"/>
          <w:spacing w:val="1"/>
          <w:w w:val="100"/>
          <w:sz w:val="16"/>
        </w:rPr>
        <w:t>2</w:t>
      </w:r>
      <w:r>
        <w:rPr>
          <w:rFonts w:ascii="Times New Roman" w:eastAsia="Times New Roman"/>
          <w:spacing w:val="-3"/>
          <w:w w:val="99"/>
          <w:position w:val="2"/>
        </w:rPr>
        <w:t>- </w:t>
      </w:r>
      <w:r>
        <w:rPr>
          <w:rFonts w:ascii="Times New Roman" w:eastAsia="Times New Roman"/>
          <w:spacing w:val="-1"/>
          <w:w w:val="99"/>
          <w:position w:val="2"/>
        </w:rPr>
        <w:t>V</w:t>
      </w:r>
      <w:r>
        <w:rPr>
          <w:rFonts w:ascii="Times New Roman" w:eastAsia="Times New Roman"/>
          <w:spacing w:val="1"/>
          <w:w w:val="100"/>
          <w:sz w:val="16"/>
        </w:rPr>
        <w:t>3</w:t>
      </w:r>
      <w:r>
        <w:rPr>
          <w:position w:val="2"/>
        </w:rPr>
        <w:t>）</w:t>
      </w:r>
      <w:r>
        <w:rPr>
          <w:rFonts w:ascii="Times New Roman" w:eastAsia="Times New Roman"/>
          <w:w w:val="100"/>
          <w:sz w:val="16"/>
        </w:rPr>
        <w:t>m</w:t>
      </w:r>
      <w:r>
        <w:rPr>
          <w:rFonts w:ascii="Times New Roman" w:eastAsia="Times New Roman"/>
          <w:spacing w:val="-3"/>
          <w:w w:val="100"/>
          <w:sz w:val="16"/>
        </w:rPr>
        <w:t>a</w:t>
      </w:r>
      <w:r>
        <w:rPr>
          <w:rFonts w:ascii="Times New Roman" w:eastAsia="Times New Roman"/>
          <w:w w:val="100"/>
          <w:sz w:val="16"/>
        </w:rPr>
        <w:t>x</w:t>
      </w:r>
      <w:r>
        <w:rPr>
          <w:rFonts w:ascii="Times New Roman" w:eastAsia="Times New Roman"/>
          <w:sz w:val="16"/>
        </w:rPr>
        <w:t> </w:t>
      </w:r>
      <w:r>
        <w:rPr>
          <w:spacing w:val="-3"/>
          <w:position w:val="2"/>
        </w:rPr>
        <w:t>是指对收集系统范围内不同罐组或装置分别计算 </w:t>
      </w:r>
      <w:r>
        <w:rPr>
          <w:rFonts w:ascii="Times New Roman" w:eastAsia="Times New Roman"/>
          <w:w w:val="99"/>
          <w:position w:val="2"/>
        </w:rPr>
        <w:t>V</w:t>
      </w:r>
      <w:r>
        <w:rPr>
          <w:rFonts w:ascii="Times New Roman" w:eastAsia="Times New Roman"/>
          <w:spacing w:val="1"/>
          <w:w w:val="100"/>
          <w:sz w:val="16"/>
        </w:rPr>
        <w:t>1</w:t>
      </w:r>
      <w:r>
        <w:rPr>
          <w:rFonts w:ascii="Times New Roman" w:eastAsia="Times New Roman"/>
          <w:spacing w:val="-3"/>
          <w:position w:val="2"/>
        </w:rPr>
        <w:t>+ </w:t>
      </w:r>
      <w:r>
        <w:rPr>
          <w:rFonts w:ascii="Times New Roman" w:eastAsia="Times New Roman"/>
          <w:spacing w:val="-1"/>
          <w:w w:val="99"/>
          <w:position w:val="2"/>
        </w:rPr>
        <w:t>V</w:t>
      </w:r>
      <w:r>
        <w:rPr>
          <w:rFonts w:ascii="Times New Roman" w:eastAsia="Times New Roman"/>
          <w:spacing w:val="1"/>
          <w:w w:val="100"/>
          <w:sz w:val="16"/>
        </w:rPr>
        <w:t>2</w:t>
      </w:r>
      <w:r>
        <w:rPr>
          <w:rFonts w:ascii="Times New Roman" w:eastAsia="Times New Roman"/>
          <w:spacing w:val="-3"/>
          <w:w w:val="99"/>
          <w:position w:val="2"/>
        </w:rPr>
        <w:t>- </w:t>
      </w:r>
      <w:r>
        <w:rPr>
          <w:rFonts w:ascii="Times New Roman" w:eastAsia="Times New Roman"/>
          <w:spacing w:val="-1"/>
          <w:w w:val="99"/>
          <w:position w:val="2"/>
        </w:rPr>
        <w:t>V</w:t>
      </w:r>
      <w:r>
        <w:rPr>
          <w:rFonts w:ascii="Times New Roman" w:eastAsia="Times New Roman"/>
          <w:spacing w:val="1"/>
          <w:w w:val="100"/>
          <w:sz w:val="16"/>
        </w:rPr>
        <w:t>3</w:t>
      </w:r>
      <w:r>
        <w:rPr>
          <w:position w:val="2"/>
        </w:rPr>
        <w:t>，</w:t>
      </w:r>
      <w:r>
        <w:rPr/>
        <w:t>取其中最大值。</w:t>
      </w:r>
    </w:p>
    <w:p>
      <w:pPr>
        <w:pStyle w:val="BodyText"/>
        <w:spacing w:line="306" w:lineRule="exact"/>
        <w:ind w:left="667"/>
      </w:pPr>
      <w:r>
        <w:rPr>
          <w:rFonts w:ascii="Times New Roman" w:hAnsi="Times New Roman" w:eastAsia="Times New Roman"/>
          <w:position w:val="2"/>
        </w:rPr>
        <w:t>V</w:t>
      </w:r>
      <w:r>
        <w:rPr>
          <w:rFonts w:ascii="Times New Roman" w:hAnsi="Times New Roman" w:eastAsia="Times New Roman"/>
          <w:sz w:val="16"/>
        </w:rPr>
        <w:t>1</w:t>
      </w:r>
      <w:r>
        <w:rPr>
          <w:rFonts w:ascii="Times New Roman" w:hAnsi="Times New Roman" w:eastAsia="Times New Roman"/>
          <w:position w:val="2"/>
        </w:rPr>
        <w:t>——</w:t>
      </w:r>
      <w:r>
        <w:rPr>
          <w:position w:val="2"/>
        </w:rPr>
        <w:t>收集系统范围内发生事故的一个罐组或一套装置的物料量。</w:t>
      </w:r>
    </w:p>
    <w:p>
      <w:pPr>
        <w:pStyle w:val="BodyText"/>
        <w:spacing w:line="362" w:lineRule="auto" w:before="162"/>
        <w:ind w:left="218" w:right="232" w:firstLine="480"/>
      </w:pPr>
      <w:r>
        <w:rPr>
          <w:spacing w:val="-7"/>
        </w:rPr>
        <w:t>注：储存相同物料的罐组按一个最大储罐计，装置物料量按存留最大物料量的一台</w:t>
      </w:r>
      <w:r>
        <w:rPr/>
        <w:t>反应器或中间储罐计；</w:t>
      </w:r>
    </w:p>
    <w:p>
      <w:pPr>
        <w:pStyle w:val="BodyText"/>
        <w:spacing w:line="372" w:lineRule="auto" w:before="4"/>
        <w:ind w:left="698" w:right="3743"/>
        <w:rPr>
          <w:sz w:val="12"/>
        </w:rPr>
      </w:pPr>
      <w:r>
        <w:rPr>
          <w:rFonts w:ascii="Times New Roman" w:hAnsi="Times New Roman" w:eastAsia="Times New Roman"/>
          <w:position w:val="2"/>
        </w:rPr>
        <w:t>V</w:t>
      </w:r>
      <w:r>
        <w:rPr>
          <w:rFonts w:ascii="Times New Roman" w:hAnsi="Times New Roman" w:eastAsia="Times New Roman"/>
          <w:sz w:val="16"/>
        </w:rPr>
        <w:t>2</w:t>
      </w:r>
      <w:r>
        <w:rPr>
          <w:rFonts w:ascii="Times New Roman" w:hAnsi="Times New Roman" w:eastAsia="Times New Roman"/>
          <w:position w:val="2"/>
        </w:rPr>
        <w:t>——</w:t>
      </w:r>
      <w:r>
        <w:rPr>
          <w:position w:val="2"/>
        </w:rPr>
        <w:t>发生事故的储罐或装置的消防水量，</w:t>
      </w:r>
      <w:r>
        <w:rPr>
          <w:rFonts w:ascii="Times New Roman" w:hAnsi="Times New Roman" w:eastAsia="Times New Roman"/>
          <w:position w:val="2"/>
        </w:rPr>
        <w:t>m</w:t>
      </w:r>
      <w:r>
        <w:rPr>
          <w:rFonts w:ascii="Times New Roman" w:hAnsi="Times New Roman" w:eastAsia="Times New Roman"/>
          <w:position w:val="2"/>
          <w:vertAlign w:val="superscript"/>
        </w:rPr>
        <w:t>3</w:t>
      </w:r>
      <w:r>
        <w:rPr>
          <w:position w:val="2"/>
          <w:vertAlign w:val="baseline"/>
        </w:rPr>
        <w:t>； </w:t>
      </w:r>
      <w:r>
        <w:rPr>
          <w:rFonts w:ascii="Times New Roman" w:hAnsi="Times New Roman" w:eastAsia="Times New Roman"/>
          <w:position w:val="2"/>
          <w:vertAlign w:val="baseline"/>
        </w:rPr>
        <w:t>V</w:t>
      </w:r>
      <w:r>
        <w:rPr>
          <w:rFonts w:ascii="Times New Roman" w:hAnsi="Times New Roman" w:eastAsia="Times New Roman"/>
          <w:sz w:val="16"/>
          <w:vertAlign w:val="baseline"/>
        </w:rPr>
        <w:t>2</w:t>
      </w:r>
      <w:r>
        <w:rPr>
          <w:rFonts w:ascii="Times New Roman" w:hAnsi="Times New Roman" w:eastAsia="Times New Roman"/>
          <w:position w:val="2"/>
          <w:vertAlign w:val="baseline"/>
        </w:rPr>
        <w:t>=∑Q </w:t>
      </w:r>
      <w:r>
        <w:rPr>
          <w:sz w:val="12"/>
          <w:vertAlign w:val="baseline"/>
        </w:rPr>
        <w:t>消 </w:t>
      </w:r>
      <w:r>
        <w:rPr>
          <w:rFonts w:ascii="Times New Roman" w:hAnsi="Times New Roman" w:eastAsia="Times New Roman"/>
          <w:position w:val="2"/>
          <w:vertAlign w:val="baseline"/>
        </w:rPr>
        <w:t>t </w:t>
      </w:r>
      <w:r>
        <w:rPr>
          <w:sz w:val="12"/>
          <w:vertAlign w:val="baseline"/>
        </w:rPr>
        <w:t>消</w:t>
      </w:r>
    </w:p>
    <w:p>
      <w:pPr>
        <w:pStyle w:val="BodyText"/>
        <w:spacing w:before="22"/>
        <w:ind w:left="698"/>
      </w:pPr>
      <w:r>
        <w:rPr>
          <w:rFonts w:ascii="Times New Roman" w:hAnsi="Times New Roman" w:eastAsia="Times New Roman"/>
          <w:position w:val="2"/>
        </w:rPr>
        <w:t>Q </w:t>
      </w:r>
      <w:r>
        <w:rPr>
          <w:sz w:val="12"/>
        </w:rPr>
        <w:t>消</w:t>
      </w:r>
      <w:r>
        <w:rPr>
          <w:rFonts w:ascii="Times New Roman" w:hAnsi="Times New Roman" w:eastAsia="Times New Roman"/>
          <w:position w:val="2"/>
        </w:rPr>
        <w:t>——</w:t>
      </w:r>
      <w:r>
        <w:rPr>
          <w:position w:val="2"/>
        </w:rPr>
        <w:t>发生事故的储罐或装置的同时使用的消防设施给水流量，</w:t>
      </w:r>
      <w:r>
        <w:rPr>
          <w:rFonts w:ascii="Times New Roman" w:hAnsi="Times New Roman" w:eastAsia="Times New Roman"/>
          <w:position w:val="2"/>
        </w:rPr>
        <w:t>m</w:t>
      </w:r>
      <w:r>
        <w:rPr>
          <w:rFonts w:ascii="Times New Roman" w:hAnsi="Times New Roman" w:eastAsia="Times New Roman"/>
          <w:position w:val="2"/>
          <w:vertAlign w:val="superscript"/>
        </w:rPr>
        <w:t>3</w:t>
      </w:r>
      <w:r>
        <w:rPr>
          <w:rFonts w:ascii="Times New Roman" w:hAnsi="Times New Roman" w:eastAsia="Times New Roman"/>
          <w:position w:val="2"/>
          <w:vertAlign w:val="baseline"/>
        </w:rPr>
        <w:t>/h</w:t>
      </w:r>
      <w:r>
        <w:rPr>
          <w:position w:val="2"/>
          <w:vertAlign w:val="baseline"/>
        </w:rPr>
        <w:t>；</w:t>
      </w:r>
    </w:p>
    <w:p>
      <w:pPr>
        <w:pStyle w:val="BodyText"/>
        <w:spacing w:before="154"/>
        <w:ind w:left="698"/>
      </w:pPr>
      <w:r>
        <w:rPr>
          <w:rFonts w:ascii="Times New Roman" w:hAnsi="Times New Roman" w:eastAsia="Times New Roman"/>
          <w:position w:val="2"/>
        </w:rPr>
        <w:t>t </w:t>
      </w:r>
      <w:r>
        <w:rPr>
          <w:sz w:val="12"/>
        </w:rPr>
        <w:t>消</w:t>
      </w:r>
      <w:r>
        <w:rPr>
          <w:rFonts w:ascii="Times New Roman" w:hAnsi="Times New Roman" w:eastAsia="Times New Roman"/>
          <w:position w:val="2"/>
        </w:rPr>
        <w:t>——</w:t>
      </w:r>
      <w:r>
        <w:rPr>
          <w:position w:val="2"/>
        </w:rPr>
        <w:t>消防设施对应的设计消防历时，</w:t>
      </w:r>
      <w:r>
        <w:rPr>
          <w:rFonts w:ascii="Times New Roman" w:hAnsi="Times New Roman" w:eastAsia="Times New Roman"/>
          <w:position w:val="2"/>
        </w:rPr>
        <w:t>h</w:t>
      </w:r>
      <w:r>
        <w:rPr>
          <w:position w:val="2"/>
        </w:rPr>
        <w:t>；</w:t>
      </w:r>
    </w:p>
    <w:p>
      <w:pPr>
        <w:pStyle w:val="BodyText"/>
        <w:spacing w:line="360" w:lineRule="auto" w:before="160"/>
        <w:ind w:left="698" w:right="2171" w:hanging="24"/>
      </w:pPr>
      <w:r>
        <w:rPr>
          <w:rFonts w:ascii="Times New Roman" w:hAnsi="Times New Roman" w:eastAsia="Times New Roman"/>
          <w:spacing w:val="-6"/>
          <w:position w:val="2"/>
        </w:rPr>
        <w:t>V</w:t>
      </w:r>
      <w:r>
        <w:rPr>
          <w:rFonts w:ascii="Times New Roman" w:hAnsi="Times New Roman" w:eastAsia="Times New Roman"/>
          <w:spacing w:val="-6"/>
          <w:sz w:val="16"/>
        </w:rPr>
        <w:t>3</w:t>
      </w:r>
      <w:r>
        <w:rPr>
          <w:rFonts w:ascii="Times New Roman" w:hAnsi="Times New Roman" w:eastAsia="Times New Roman"/>
          <w:spacing w:val="-6"/>
          <w:position w:val="2"/>
        </w:rPr>
        <w:t>——</w:t>
      </w:r>
      <w:r>
        <w:rPr>
          <w:spacing w:val="-12"/>
          <w:position w:val="2"/>
        </w:rPr>
        <w:t>发生事故时可以转输到其他储存或处理设施的物料量，</w:t>
      </w:r>
      <w:r>
        <w:rPr>
          <w:rFonts w:ascii="Times New Roman" w:hAnsi="Times New Roman" w:eastAsia="Times New Roman"/>
          <w:spacing w:val="-7"/>
          <w:position w:val="2"/>
        </w:rPr>
        <w:t>m</w:t>
      </w:r>
      <w:r>
        <w:rPr>
          <w:rFonts w:ascii="Times New Roman" w:hAnsi="Times New Roman" w:eastAsia="Times New Roman"/>
          <w:spacing w:val="-7"/>
          <w:position w:val="2"/>
          <w:vertAlign w:val="superscript"/>
        </w:rPr>
        <w:t>3</w:t>
      </w:r>
      <w:r>
        <w:rPr>
          <w:spacing w:val="-7"/>
          <w:position w:val="2"/>
          <w:vertAlign w:val="baseline"/>
        </w:rPr>
        <w:t>； </w:t>
      </w:r>
      <w:r>
        <w:rPr>
          <w:rFonts w:ascii="Times New Roman" w:hAnsi="Times New Roman" w:eastAsia="Times New Roman"/>
          <w:position w:val="2"/>
          <w:vertAlign w:val="baseline"/>
        </w:rPr>
        <w:t>V</w:t>
      </w:r>
      <w:r>
        <w:rPr>
          <w:rFonts w:ascii="Times New Roman" w:hAnsi="Times New Roman" w:eastAsia="Times New Roman"/>
          <w:sz w:val="16"/>
          <w:vertAlign w:val="baseline"/>
        </w:rPr>
        <w:t>4</w:t>
      </w:r>
      <w:r>
        <w:rPr>
          <w:rFonts w:ascii="Times New Roman" w:hAnsi="Times New Roman" w:eastAsia="Times New Roman"/>
          <w:position w:val="2"/>
          <w:vertAlign w:val="baseline"/>
        </w:rPr>
        <w:t>——</w:t>
      </w:r>
      <w:r>
        <w:rPr>
          <w:position w:val="2"/>
          <w:vertAlign w:val="baseline"/>
        </w:rPr>
        <w:t>发生事故时仍必须进入该收集系统的生产废水量，</w:t>
      </w:r>
      <w:r>
        <w:rPr>
          <w:rFonts w:ascii="Times New Roman" w:hAnsi="Times New Roman" w:eastAsia="Times New Roman"/>
          <w:position w:val="2"/>
          <w:vertAlign w:val="baseline"/>
        </w:rPr>
        <w:t>m</w:t>
      </w:r>
      <w:r>
        <w:rPr>
          <w:rFonts w:ascii="Times New Roman" w:hAnsi="Times New Roman" w:eastAsia="Times New Roman"/>
          <w:position w:val="2"/>
          <w:vertAlign w:val="superscript"/>
        </w:rPr>
        <w:t>3</w:t>
      </w:r>
      <w:r>
        <w:rPr>
          <w:position w:val="2"/>
          <w:vertAlign w:val="baseline"/>
        </w:rPr>
        <w:t>； </w:t>
      </w:r>
      <w:r>
        <w:rPr>
          <w:rFonts w:ascii="Times New Roman" w:hAnsi="Times New Roman" w:eastAsia="Times New Roman"/>
          <w:position w:val="2"/>
          <w:vertAlign w:val="baseline"/>
        </w:rPr>
        <w:t>V</w:t>
      </w:r>
      <w:r>
        <w:rPr>
          <w:rFonts w:ascii="Times New Roman" w:hAnsi="Times New Roman" w:eastAsia="Times New Roman"/>
          <w:sz w:val="16"/>
          <w:vertAlign w:val="baseline"/>
        </w:rPr>
        <w:t>5</w:t>
      </w:r>
      <w:r>
        <w:rPr>
          <w:rFonts w:ascii="Times New Roman" w:hAnsi="Times New Roman" w:eastAsia="Times New Roman"/>
          <w:position w:val="2"/>
          <w:vertAlign w:val="baseline"/>
        </w:rPr>
        <w:t>——</w:t>
      </w:r>
      <w:r>
        <w:rPr>
          <w:position w:val="2"/>
          <w:vertAlign w:val="baseline"/>
        </w:rPr>
        <w:t>发生事故时可能进入该收集系统的降雨量，</w:t>
      </w:r>
      <w:r>
        <w:rPr>
          <w:rFonts w:ascii="Times New Roman" w:hAnsi="Times New Roman" w:eastAsia="Times New Roman"/>
          <w:position w:val="2"/>
          <w:vertAlign w:val="baseline"/>
        </w:rPr>
        <w:t>m</w:t>
      </w:r>
      <w:r>
        <w:rPr>
          <w:rFonts w:ascii="Times New Roman" w:hAnsi="Times New Roman" w:eastAsia="Times New Roman"/>
          <w:position w:val="2"/>
          <w:vertAlign w:val="superscript"/>
        </w:rPr>
        <w:t>3</w:t>
      </w:r>
      <w:r>
        <w:rPr>
          <w:position w:val="2"/>
          <w:vertAlign w:val="baseline"/>
        </w:rPr>
        <w:t>。</w:t>
      </w:r>
    </w:p>
    <w:p>
      <w:pPr>
        <w:pStyle w:val="BodyText"/>
        <w:spacing w:before="6"/>
        <w:ind w:left="698"/>
      </w:pPr>
      <w:r>
        <w:rPr/>
        <w:t>项目应急事故水池容积确定</w:t>
      </w:r>
    </w:p>
    <w:p>
      <w:pPr>
        <w:pStyle w:val="BodyText"/>
        <w:spacing w:before="5"/>
        <w:rPr>
          <w:sz w:val="23"/>
        </w:rPr>
      </w:pPr>
    </w:p>
    <w:p>
      <w:pPr>
        <w:pStyle w:val="Heading4"/>
        <w:tabs>
          <w:tab w:pos="1042" w:val="left" w:leader="none"/>
          <w:tab w:pos="4536" w:val="left" w:leader="none"/>
        </w:tabs>
        <w:spacing w:after="29"/>
        <w:ind w:left="0" w:right="17"/>
        <w:jc w:val="center"/>
        <w:rPr>
          <w:rFonts w:ascii="Times New Roman" w:eastAsia="Times New Roman"/>
          <w:sz w:val="16"/>
        </w:rPr>
      </w:pPr>
      <w:r>
        <w:rPr/>
        <w:t>表</w:t>
      </w:r>
      <w:r>
        <w:rPr>
          <w:spacing w:val="-60"/>
        </w:rPr>
        <w:t> </w:t>
      </w:r>
      <w:r>
        <w:rPr>
          <w:rFonts w:ascii="Times New Roman" w:eastAsia="Times New Roman"/>
        </w:rPr>
        <w:t>8.5-2</w:t>
        <w:tab/>
      </w:r>
      <w:r>
        <w:rPr/>
        <w:t>项目事故应急池最小容积计算</w:t>
        <w:tab/>
        <w:t>单位：</w:t>
      </w:r>
      <w:r>
        <w:rPr>
          <w:rFonts w:ascii="Times New Roman" w:eastAsia="Times New Roman"/>
        </w:rPr>
        <w:t>m</w:t>
      </w:r>
      <w:r>
        <w:rPr>
          <w:rFonts w:ascii="Times New Roman" w:eastAsia="Times New Roman"/>
          <w:position w:val="8"/>
          <w:sz w:val="16"/>
        </w:rPr>
        <w:t>3</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239"/>
        <w:gridCol w:w="1076"/>
        <w:gridCol w:w="1073"/>
        <w:gridCol w:w="715"/>
        <w:gridCol w:w="1745"/>
        <w:gridCol w:w="564"/>
        <w:gridCol w:w="939"/>
        <w:gridCol w:w="936"/>
      </w:tblGrid>
      <w:tr>
        <w:trPr>
          <w:trHeight w:val="283" w:hRule="atLeast"/>
        </w:trPr>
        <w:tc>
          <w:tcPr>
            <w:tcW w:w="2239" w:type="dxa"/>
          </w:tcPr>
          <w:p>
            <w:pPr>
              <w:pStyle w:val="TableParagraph"/>
              <w:spacing w:line="255" w:lineRule="exact" w:before="8"/>
              <w:ind w:left="88" w:right="81"/>
              <w:rPr>
                <w:b/>
                <w:sz w:val="21"/>
              </w:rPr>
            </w:pPr>
            <w:r>
              <w:rPr>
                <w:b/>
                <w:sz w:val="21"/>
              </w:rPr>
              <w:t>事故位置</w:t>
            </w:r>
          </w:p>
        </w:tc>
        <w:tc>
          <w:tcPr>
            <w:tcW w:w="1076" w:type="dxa"/>
          </w:tcPr>
          <w:p>
            <w:pPr>
              <w:pStyle w:val="TableParagraph"/>
              <w:spacing w:line="241" w:lineRule="exact" w:before="22"/>
              <w:ind w:left="32" w:right="26"/>
              <w:rPr>
                <w:rFonts w:ascii="Times New Roman"/>
                <w:b/>
                <w:sz w:val="21"/>
              </w:rPr>
            </w:pPr>
            <w:r>
              <w:rPr>
                <w:rFonts w:ascii="Times New Roman"/>
                <w:b/>
                <w:sz w:val="21"/>
              </w:rPr>
              <w:t>V1</w:t>
            </w:r>
          </w:p>
        </w:tc>
        <w:tc>
          <w:tcPr>
            <w:tcW w:w="1073" w:type="dxa"/>
          </w:tcPr>
          <w:p>
            <w:pPr>
              <w:pStyle w:val="TableParagraph"/>
              <w:spacing w:line="241" w:lineRule="exact" w:before="22"/>
              <w:ind w:left="359" w:right="353"/>
              <w:rPr>
                <w:rFonts w:ascii="Times New Roman"/>
                <w:b/>
                <w:sz w:val="21"/>
              </w:rPr>
            </w:pPr>
            <w:r>
              <w:rPr>
                <w:rFonts w:ascii="Times New Roman"/>
                <w:b/>
                <w:sz w:val="21"/>
              </w:rPr>
              <w:t>V2</w:t>
            </w:r>
          </w:p>
        </w:tc>
        <w:tc>
          <w:tcPr>
            <w:tcW w:w="715" w:type="dxa"/>
          </w:tcPr>
          <w:p>
            <w:pPr>
              <w:pStyle w:val="TableParagraph"/>
              <w:spacing w:line="241" w:lineRule="exact" w:before="22"/>
              <w:ind w:left="151" w:right="146"/>
              <w:rPr>
                <w:rFonts w:ascii="Times New Roman"/>
                <w:b/>
                <w:sz w:val="21"/>
              </w:rPr>
            </w:pPr>
            <w:r>
              <w:rPr>
                <w:rFonts w:ascii="Times New Roman"/>
                <w:b/>
                <w:sz w:val="21"/>
              </w:rPr>
              <w:t>V3</w:t>
            </w:r>
          </w:p>
        </w:tc>
        <w:tc>
          <w:tcPr>
            <w:tcW w:w="1745" w:type="dxa"/>
          </w:tcPr>
          <w:p>
            <w:pPr>
              <w:pStyle w:val="TableParagraph"/>
              <w:spacing w:line="241" w:lineRule="exact" w:before="22"/>
              <w:ind w:left="110" w:right="104"/>
              <w:rPr>
                <w:rFonts w:ascii="Times New Roman"/>
                <w:b/>
                <w:sz w:val="21"/>
              </w:rPr>
            </w:pPr>
            <w:r>
              <w:rPr>
                <w:rFonts w:ascii="Times New Roman"/>
                <w:b/>
                <w:sz w:val="21"/>
              </w:rPr>
              <w:t>(V1+V2-V3)max</w:t>
            </w:r>
          </w:p>
        </w:tc>
        <w:tc>
          <w:tcPr>
            <w:tcW w:w="564" w:type="dxa"/>
          </w:tcPr>
          <w:p>
            <w:pPr>
              <w:pStyle w:val="TableParagraph"/>
              <w:spacing w:line="241" w:lineRule="exact" w:before="22"/>
              <w:ind w:left="135" w:right="127"/>
              <w:rPr>
                <w:rFonts w:ascii="Times New Roman"/>
                <w:b/>
                <w:sz w:val="21"/>
              </w:rPr>
            </w:pPr>
            <w:r>
              <w:rPr>
                <w:rFonts w:ascii="Times New Roman"/>
                <w:b/>
                <w:sz w:val="21"/>
              </w:rPr>
              <w:t>V4</w:t>
            </w:r>
          </w:p>
        </w:tc>
        <w:tc>
          <w:tcPr>
            <w:tcW w:w="939" w:type="dxa"/>
          </w:tcPr>
          <w:p>
            <w:pPr>
              <w:pStyle w:val="TableParagraph"/>
              <w:spacing w:line="241" w:lineRule="exact" w:before="22"/>
              <w:ind w:left="221" w:right="214"/>
              <w:rPr>
                <w:rFonts w:ascii="Times New Roman"/>
                <w:b/>
                <w:sz w:val="21"/>
              </w:rPr>
            </w:pPr>
            <w:r>
              <w:rPr>
                <w:rFonts w:ascii="Times New Roman"/>
                <w:b/>
                <w:sz w:val="21"/>
              </w:rPr>
              <w:t>V5</w:t>
            </w:r>
          </w:p>
        </w:tc>
        <w:tc>
          <w:tcPr>
            <w:tcW w:w="936" w:type="dxa"/>
          </w:tcPr>
          <w:p>
            <w:pPr>
              <w:pStyle w:val="TableParagraph"/>
              <w:spacing w:line="255" w:lineRule="exact" w:before="8"/>
              <w:ind w:left="239" w:right="237"/>
              <w:rPr>
                <w:b/>
                <w:sz w:val="21"/>
              </w:rPr>
            </w:pPr>
            <w:r>
              <w:rPr>
                <w:rFonts w:ascii="Times New Roman" w:eastAsia="Times New Roman"/>
                <w:b/>
                <w:sz w:val="21"/>
              </w:rPr>
              <w:t>V </w:t>
            </w:r>
            <w:r>
              <w:rPr>
                <w:b/>
                <w:sz w:val="21"/>
              </w:rPr>
              <w:t>总</w:t>
            </w:r>
          </w:p>
        </w:tc>
      </w:tr>
      <w:tr>
        <w:trPr>
          <w:trHeight w:val="285" w:hRule="atLeast"/>
        </w:trPr>
        <w:tc>
          <w:tcPr>
            <w:tcW w:w="2239" w:type="dxa"/>
          </w:tcPr>
          <w:p>
            <w:pPr>
              <w:pStyle w:val="TableParagraph"/>
              <w:spacing w:line="257" w:lineRule="exact" w:before="9"/>
              <w:ind w:left="88" w:right="81"/>
              <w:rPr>
                <w:sz w:val="21"/>
              </w:rPr>
            </w:pPr>
            <w:r>
              <w:rPr>
                <w:sz w:val="21"/>
              </w:rPr>
              <w:t>生产区</w:t>
            </w:r>
          </w:p>
        </w:tc>
        <w:tc>
          <w:tcPr>
            <w:tcW w:w="1076" w:type="dxa"/>
          </w:tcPr>
          <w:p>
            <w:pPr>
              <w:pStyle w:val="TableParagraph"/>
              <w:spacing w:before="23"/>
              <w:ind w:left="5"/>
              <w:rPr>
                <w:rFonts w:ascii="Times New Roman"/>
                <w:sz w:val="21"/>
              </w:rPr>
            </w:pPr>
            <w:r>
              <w:rPr>
                <w:rFonts w:ascii="Times New Roman"/>
                <w:w w:val="100"/>
                <w:sz w:val="21"/>
              </w:rPr>
              <w:t>5</w:t>
            </w:r>
          </w:p>
        </w:tc>
        <w:tc>
          <w:tcPr>
            <w:tcW w:w="1073" w:type="dxa"/>
          </w:tcPr>
          <w:p>
            <w:pPr>
              <w:pStyle w:val="TableParagraph"/>
              <w:spacing w:before="23"/>
              <w:ind w:left="359" w:right="353"/>
              <w:rPr>
                <w:rFonts w:ascii="Times New Roman"/>
                <w:sz w:val="21"/>
              </w:rPr>
            </w:pPr>
            <w:r>
              <w:rPr>
                <w:rFonts w:ascii="Times New Roman"/>
                <w:sz w:val="21"/>
              </w:rPr>
              <w:t>450</w:t>
            </w:r>
          </w:p>
        </w:tc>
        <w:tc>
          <w:tcPr>
            <w:tcW w:w="715" w:type="dxa"/>
          </w:tcPr>
          <w:p>
            <w:pPr>
              <w:pStyle w:val="TableParagraph"/>
              <w:spacing w:before="23"/>
              <w:ind w:left="4"/>
              <w:rPr>
                <w:rFonts w:ascii="Times New Roman"/>
                <w:sz w:val="21"/>
              </w:rPr>
            </w:pPr>
            <w:r>
              <w:rPr>
                <w:rFonts w:ascii="Times New Roman"/>
                <w:w w:val="100"/>
                <w:sz w:val="21"/>
              </w:rPr>
              <w:t>0</w:t>
            </w:r>
          </w:p>
        </w:tc>
        <w:tc>
          <w:tcPr>
            <w:tcW w:w="1745" w:type="dxa"/>
          </w:tcPr>
          <w:p>
            <w:pPr>
              <w:pStyle w:val="TableParagraph"/>
              <w:spacing w:before="23"/>
              <w:ind w:left="110" w:right="103"/>
              <w:rPr>
                <w:rFonts w:ascii="Times New Roman"/>
                <w:sz w:val="21"/>
              </w:rPr>
            </w:pPr>
            <w:r>
              <w:rPr>
                <w:rFonts w:ascii="Times New Roman"/>
                <w:sz w:val="21"/>
              </w:rPr>
              <w:t>455</w:t>
            </w:r>
          </w:p>
        </w:tc>
        <w:tc>
          <w:tcPr>
            <w:tcW w:w="564" w:type="dxa"/>
          </w:tcPr>
          <w:p>
            <w:pPr>
              <w:pStyle w:val="TableParagraph"/>
              <w:spacing w:before="23"/>
              <w:ind w:left="2"/>
              <w:rPr>
                <w:rFonts w:ascii="Times New Roman"/>
                <w:sz w:val="21"/>
              </w:rPr>
            </w:pPr>
            <w:r>
              <w:rPr>
                <w:rFonts w:ascii="Times New Roman"/>
                <w:w w:val="100"/>
                <w:sz w:val="21"/>
              </w:rPr>
              <w:t>0</w:t>
            </w:r>
          </w:p>
        </w:tc>
        <w:tc>
          <w:tcPr>
            <w:tcW w:w="939" w:type="dxa"/>
          </w:tcPr>
          <w:p>
            <w:pPr>
              <w:pStyle w:val="TableParagraph"/>
              <w:spacing w:before="23"/>
              <w:ind w:left="2"/>
              <w:rPr>
                <w:rFonts w:ascii="Times New Roman"/>
                <w:sz w:val="21"/>
              </w:rPr>
            </w:pPr>
            <w:r>
              <w:rPr>
                <w:rFonts w:ascii="Times New Roman"/>
                <w:w w:val="100"/>
                <w:sz w:val="21"/>
              </w:rPr>
              <w:t>0</w:t>
            </w:r>
          </w:p>
        </w:tc>
        <w:tc>
          <w:tcPr>
            <w:tcW w:w="936" w:type="dxa"/>
          </w:tcPr>
          <w:p>
            <w:pPr>
              <w:pStyle w:val="TableParagraph"/>
              <w:spacing w:before="23"/>
              <w:ind w:left="239" w:right="234"/>
              <w:rPr>
                <w:rFonts w:ascii="Times New Roman"/>
                <w:sz w:val="21"/>
              </w:rPr>
            </w:pPr>
            <w:r>
              <w:rPr>
                <w:rFonts w:ascii="Times New Roman"/>
                <w:sz w:val="21"/>
              </w:rPr>
              <w:t>455</w:t>
            </w:r>
          </w:p>
        </w:tc>
      </w:tr>
      <w:tr>
        <w:trPr>
          <w:trHeight w:val="283" w:hRule="atLeast"/>
        </w:trPr>
        <w:tc>
          <w:tcPr>
            <w:tcW w:w="2239" w:type="dxa"/>
          </w:tcPr>
          <w:p>
            <w:pPr>
              <w:pStyle w:val="TableParagraph"/>
              <w:spacing w:line="257" w:lineRule="exact" w:before="6"/>
              <w:ind w:left="88" w:right="81"/>
              <w:rPr>
                <w:sz w:val="21"/>
              </w:rPr>
            </w:pPr>
            <w:r>
              <w:rPr>
                <w:sz w:val="21"/>
              </w:rPr>
              <w:t>储罐区</w:t>
            </w:r>
          </w:p>
        </w:tc>
        <w:tc>
          <w:tcPr>
            <w:tcW w:w="1076" w:type="dxa"/>
          </w:tcPr>
          <w:p>
            <w:pPr>
              <w:pStyle w:val="TableParagraph"/>
              <w:spacing w:before="20"/>
              <w:ind w:left="31" w:right="26"/>
              <w:rPr>
                <w:rFonts w:ascii="Times New Roman"/>
                <w:sz w:val="21"/>
              </w:rPr>
            </w:pPr>
            <w:r>
              <w:rPr>
                <w:rFonts w:ascii="Times New Roman"/>
                <w:sz w:val="21"/>
              </w:rPr>
              <w:t>100</w:t>
            </w:r>
          </w:p>
        </w:tc>
        <w:tc>
          <w:tcPr>
            <w:tcW w:w="1073" w:type="dxa"/>
          </w:tcPr>
          <w:p>
            <w:pPr>
              <w:pStyle w:val="TableParagraph"/>
              <w:spacing w:before="20"/>
              <w:ind w:left="359" w:right="353"/>
              <w:rPr>
                <w:rFonts w:ascii="Times New Roman"/>
                <w:sz w:val="21"/>
              </w:rPr>
            </w:pPr>
            <w:r>
              <w:rPr>
                <w:rFonts w:ascii="Times New Roman"/>
                <w:sz w:val="21"/>
              </w:rPr>
              <w:t>450</w:t>
            </w:r>
          </w:p>
        </w:tc>
        <w:tc>
          <w:tcPr>
            <w:tcW w:w="715" w:type="dxa"/>
          </w:tcPr>
          <w:p>
            <w:pPr>
              <w:pStyle w:val="TableParagraph"/>
              <w:spacing w:before="20"/>
              <w:ind w:left="4"/>
              <w:rPr>
                <w:rFonts w:ascii="Times New Roman"/>
                <w:sz w:val="21"/>
              </w:rPr>
            </w:pPr>
            <w:r>
              <w:rPr>
                <w:rFonts w:ascii="Times New Roman"/>
                <w:w w:val="100"/>
                <w:sz w:val="21"/>
              </w:rPr>
              <w:t>0</w:t>
            </w:r>
          </w:p>
        </w:tc>
        <w:tc>
          <w:tcPr>
            <w:tcW w:w="1745" w:type="dxa"/>
          </w:tcPr>
          <w:p>
            <w:pPr>
              <w:pStyle w:val="TableParagraph"/>
              <w:spacing w:before="20"/>
              <w:ind w:left="110" w:right="103"/>
              <w:rPr>
                <w:rFonts w:ascii="Times New Roman"/>
                <w:sz w:val="21"/>
              </w:rPr>
            </w:pPr>
            <w:r>
              <w:rPr>
                <w:rFonts w:ascii="Times New Roman"/>
                <w:sz w:val="21"/>
              </w:rPr>
              <w:t>550</w:t>
            </w:r>
          </w:p>
        </w:tc>
        <w:tc>
          <w:tcPr>
            <w:tcW w:w="564" w:type="dxa"/>
          </w:tcPr>
          <w:p>
            <w:pPr>
              <w:pStyle w:val="TableParagraph"/>
              <w:spacing w:before="20"/>
              <w:ind w:left="2"/>
              <w:rPr>
                <w:rFonts w:ascii="Times New Roman"/>
                <w:sz w:val="21"/>
              </w:rPr>
            </w:pPr>
            <w:r>
              <w:rPr>
                <w:rFonts w:ascii="Times New Roman"/>
                <w:w w:val="100"/>
                <w:sz w:val="21"/>
              </w:rPr>
              <w:t>0</w:t>
            </w:r>
          </w:p>
        </w:tc>
        <w:tc>
          <w:tcPr>
            <w:tcW w:w="939" w:type="dxa"/>
          </w:tcPr>
          <w:p>
            <w:pPr>
              <w:pStyle w:val="TableParagraph"/>
              <w:spacing w:before="20"/>
              <w:ind w:left="2"/>
              <w:rPr>
                <w:rFonts w:ascii="Times New Roman"/>
                <w:sz w:val="21"/>
              </w:rPr>
            </w:pPr>
            <w:r>
              <w:rPr>
                <w:rFonts w:ascii="Times New Roman"/>
                <w:w w:val="100"/>
                <w:sz w:val="21"/>
              </w:rPr>
              <w:t>0</w:t>
            </w:r>
          </w:p>
        </w:tc>
        <w:tc>
          <w:tcPr>
            <w:tcW w:w="936" w:type="dxa"/>
          </w:tcPr>
          <w:p>
            <w:pPr>
              <w:pStyle w:val="TableParagraph"/>
              <w:spacing w:before="20"/>
              <w:ind w:left="239" w:right="234"/>
              <w:rPr>
                <w:rFonts w:ascii="Times New Roman"/>
                <w:sz w:val="21"/>
              </w:rPr>
            </w:pPr>
            <w:r>
              <w:rPr>
                <w:rFonts w:ascii="Times New Roman"/>
                <w:sz w:val="21"/>
              </w:rPr>
              <w:t>550</w:t>
            </w:r>
          </w:p>
        </w:tc>
      </w:tr>
      <w:tr>
        <w:trPr>
          <w:trHeight w:val="544" w:hRule="atLeast"/>
        </w:trPr>
        <w:tc>
          <w:tcPr>
            <w:tcW w:w="9287" w:type="dxa"/>
            <w:gridSpan w:val="8"/>
          </w:tcPr>
          <w:p>
            <w:pPr>
              <w:pStyle w:val="TableParagraph"/>
              <w:spacing w:before="1"/>
              <w:ind w:left="107"/>
              <w:jc w:val="left"/>
              <w:rPr>
                <w:sz w:val="21"/>
              </w:rPr>
            </w:pPr>
            <w:r>
              <w:rPr>
                <w:spacing w:val="-9"/>
                <w:sz w:val="21"/>
              </w:rPr>
              <w:t>注：项目消防用水量按 </w:t>
            </w:r>
            <w:r>
              <w:rPr>
                <w:rFonts w:ascii="Times New Roman" w:eastAsia="Times New Roman"/>
                <w:sz w:val="21"/>
              </w:rPr>
              <w:t>25L/S </w:t>
            </w:r>
            <w:r>
              <w:rPr>
                <w:spacing w:val="-9"/>
                <w:sz w:val="21"/>
              </w:rPr>
              <w:t>计。发生事故时，消防用水持续时间按 </w:t>
            </w:r>
            <w:r>
              <w:rPr>
                <w:rFonts w:ascii="Times New Roman" w:eastAsia="Times New Roman"/>
                <w:sz w:val="21"/>
              </w:rPr>
              <w:t>300 </w:t>
            </w:r>
            <w:r>
              <w:rPr>
                <w:spacing w:val="-6"/>
                <w:sz w:val="21"/>
              </w:rPr>
              <w:t>分钟计。</w:t>
            </w:r>
            <w:r>
              <w:rPr>
                <w:rFonts w:ascii="Times New Roman" w:eastAsia="Times New Roman"/>
                <w:sz w:val="21"/>
              </w:rPr>
              <w:t>V1 </w:t>
            </w:r>
            <w:r>
              <w:rPr>
                <w:spacing w:val="-3"/>
                <w:sz w:val="21"/>
              </w:rPr>
              <w:t>为按照生产区</w:t>
            </w:r>
          </w:p>
          <w:p>
            <w:pPr>
              <w:pStyle w:val="TableParagraph"/>
              <w:spacing w:line="250" w:lineRule="exact" w:before="4"/>
              <w:ind w:left="107"/>
              <w:jc w:val="left"/>
              <w:rPr>
                <w:sz w:val="21"/>
              </w:rPr>
            </w:pPr>
            <w:r>
              <w:rPr>
                <w:sz w:val="21"/>
              </w:rPr>
              <w:t>车间最大 </w:t>
            </w:r>
            <w:r>
              <w:rPr>
                <w:rFonts w:ascii="Times New Roman" w:eastAsia="Times New Roman"/>
                <w:sz w:val="21"/>
              </w:rPr>
              <w:t>1 </w:t>
            </w:r>
            <w:r>
              <w:rPr>
                <w:sz w:val="21"/>
              </w:rPr>
              <w:t>台生产设备泄漏进行计算；储罐区按照甲酸储罐泄漏进行计算。</w:t>
            </w:r>
          </w:p>
        </w:tc>
      </w:tr>
    </w:tbl>
    <w:p>
      <w:pPr>
        <w:pStyle w:val="BodyText"/>
        <w:spacing w:line="364" w:lineRule="auto" w:before="2"/>
        <w:ind w:left="218" w:right="234" w:firstLine="480"/>
        <w:jc w:val="both"/>
      </w:pPr>
      <w:r>
        <w:rPr>
          <w:spacing w:val="-3"/>
        </w:rPr>
        <w:t>根据计算可以得到本项目厂区事故水废水量约为 </w:t>
      </w:r>
      <w:r>
        <w:rPr>
          <w:rFonts w:ascii="Times New Roman" w:eastAsia="Times New Roman"/>
        </w:rPr>
        <w:t>550m</w:t>
      </w:r>
      <w:r>
        <w:rPr>
          <w:rFonts w:ascii="Times New Roman" w:eastAsia="Times New Roman"/>
          <w:position w:val="9"/>
          <w:sz w:val="16"/>
        </w:rPr>
        <w:t>3</w:t>
      </w:r>
      <w:r>
        <w:rPr>
          <w:spacing w:val="-5"/>
        </w:rPr>
        <w:t>。本项目企业拟新建一个容</w:t>
      </w:r>
      <w:r>
        <w:rPr>
          <w:spacing w:val="-7"/>
        </w:rPr>
        <w:t>积为 </w:t>
      </w:r>
      <w:r>
        <w:rPr>
          <w:rFonts w:ascii="Times New Roman" w:eastAsia="Times New Roman"/>
        </w:rPr>
        <w:t>2600m</w:t>
      </w:r>
      <w:r>
        <w:rPr>
          <w:rFonts w:ascii="Times New Roman" w:eastAsia="Times New Roman"/>
          <w:position w:val="9"/>
          <w:sz w:val="16"/>
        </w:rPr>
        <w:t>3 </w:t>
      </w:r>
      <w:r>
        <w:rPr>
          <w:spacing w:val="-2"/>
        </w:rPr>
        <w:t>的事故应急池，发生事故时可以将事故废水全部收集，可以满足事故废水</w:t>
      </w:r>
      <w:r>
        <w:rPr/>
        <w:t>收集需求。</w:t>
      </w:r>
    </w:p>
    <w:p>
      <w:pPr>
        <w:spacing w:after="0" w:line="364" w:lineRule="auto"/>
        <w:jc w:val="both"/>
        <w:sectPr>
          <w:footerReference w:type="default" r:id="rId159"/>
          <w:pgSz w:w="11910" w:h="16840"/>
          <w:pgMar w:footer="945" w:header="872" w:top="1320" w:bottom="1140" w:left="1200" w:right="1180"/>
          <w:pgNumType w:start="221"/>
        </w:sectPr>
      </w:pPr>
    </w:p>
    <w:p>
      <w:pPr>
        <w:pStyle w:val="Heading4"/>
        <w:spacing w:before="84"/>
      </w:pPr>
      <w:r>
        <w:rPr>
          <w:rFonts w:ascii="Times New Roman" w:eastAsia="Times New Roman"/>
        </w:rPr>
        <w:t>2</w:t>
      </w:r>
      <w:r>
        <w:rPr/>
        <w:t>、甲酸储罐泄漏事故源强确定</w:t>
      </w:r>
    </w:p>
    <w:p>
      <w:pPr>
        <w:pStyle w:val="BodyText"/>
        <w:spacing w:line="364" w:lineRule="auto" w:before="159"/>
        <w:ind w:left="218" w:right="234" w:firstLine="480"/>
      </w:pPr>
      <w:r>
        <w:rPr>
          <w:spacing w:val="-7"/>
        </w:rPr>
        <w:t>本项目涉及甲酸储罐 </w:t>
      </w:r>
      <w:r>
        <w:rPr>
          <w:rFonts w:ascii="Times New Roman" w:eastAsia="Times New Roman"/>
        </w:rPr>
        <w:t>1 </w:t>
      </w:r>
      <w:r>
        <w:rPr>
          <w:spacing w:val="-12"/>
        </w:rPr>
        <w:t>只，容积均为 </w:t>
      </w:r>
      <w:r>
        <w:rPr>
          <w:rFonts w:ascii="Times New Roman" w:eastAsia="Times New Roman"/>
        </w:rPr>
        <w:t>100 </w:t>
      </w:r>
      <w:r>
        <w:rPr>
          <w:spacing w:val="-7"/>
        </w:rPr>
        <w:t>立方，根据危险性分析，以甲酸储罐泄漏</w:t>
      </w:r>
      <w:r>
        <w:rPr/>
        <w:t>的情况作为事故风险。</w:t>
      </w:r>
    </w:p>
    <w:p>
      <w:pPr>
        <w:pStyle w:val="BodyText"/>
        <w:spacing w:line="306" w:lineRule="exact"/>
        <w:ind w:left="698"/>
      </w:pPr>
      <w:r>
        <w:rPr/>
        <w:t>⑴计算模式</w:t>
      </w:r>
    </w:p>
    <w:p>
      <w:pPr>
        <w:pStyle w:val="BodyText"/>
        <w:spacing w:line="362" w:lineRule="auto" w:before="160"/>
        <w:ind w:left="218" w:right="186" w:firstLine="480"/>
      </w:pPr>
      <w:r>
        <w:rPr/>
        <w:t>本评价采用 </w:t>
      </w:r>
      <w:r>
        <w:rPr>
          <w:rFonts w:ascii="Times New Roman" w:eastAsia="Times New Roman"/>
        </w:rPr>
        <w:t>HJ/T169-2018 </w:t>
      </w:r>
      <w:r>
        <w:rPr/>
        <w:t>附录 </w:t>
      </w:r>
      <w:r>
        <w:rPr>
          <w:rFonts w:ascii="Times New Roman" w:eastAsia="Times New Roman"/>
        </w:rPr>
        <w:t>F </w:t>
      </w:r>
      <w:r>
        <w:rPr/>
        <w:t>中相关标准确定泄漏计算源强。按上述假定典型</w:t>
      </w:r>
      <w:r>
        <w:rPr>
          <w:position w:val="2"/>
        </w:rPr>
        <w:t>事故，液体泄漏速度 </w:t>
      </w:r>
      <w:r>
        <w:rPr>
          <w:rFonts w:ascii="Times New Roman" w:eastAsia="Times New Roman"/>
          <w:i/>
          <w:position w:val="2"/>
        </w:rPr>
        <w:t>Q</w:t>
      </w:r>
      <w:r>
        <w:rPr>
          <w:rFonts w:ascii="Times New Roman" w:eastAsia="Times New Roman"/>
          <w:i/>
          <w:sz w:val="16"/>
        </w:rPr>
        <w:t>L </w:t>
      </w:r>
      <w:r>
        <w:rPr>
          <w:position w:val="2"/>
        </w:rPr>
        <w:t>用柏努利方程计算：</w:t>
      </w:r>
    </w:p>
    <w:p>
      <w:pPr>
        <w:pStyle w:val="BodyText"/>
        <w:spacing w:before="12"/>
      </w:pPr>
    </w:p>
    <w:p>
      <w:pPr>
        <w:spacing w:before="106"/>
        <w:ind w:left="1865" w:right="0" w:firstLine="0"/>
        <w:jc w:val="left"/>
        <w:rPr>
          <w:rFonts w:ascii="Symbol" w:hAnsi="Symbol"/>
          <w:i/>
          <w:sz w:val="25"/>
        </w:rPr>
      </w:pPr>
      <w:r>
        <w:rPr/>
        <w:pict>
          <v:group style="position:absolute;margin-left:208.849976pt;margin-top:-2.036583pt;width:88.6pt;height:33.15pt;mso-position-horizontal-relative:page;mso-position-vertical-relative:paragraph;z-index:251935744" coordorigin="4177,-41" coordsize="1772,663">
            <v:shape style="position:absolute;left:1153;top:11914;width:1131;height:93" coordorigin="1154,11914" coordsize="1131,93" path="m4339,297l5304,297m4182,386l4212,369e" filled="false" stroked="true" strokeweight=".500526pt" strokecolor="#000000">
              <v:path arrowok="t"/>
              <v:stroke dashstyle="solid"/>
            </v:shape>
            <v:line style="position:absolute" from="4212,373" to="4257,611" stroked="true" strokeweight="1.010276pt" strokecolor="#000000">
              <v:stroke dashstyle="solid"/>
            </v:line>
            <v:line style="position:absolute" from="4291,-33" to="4291,617" stroked="true" strokeweight="3.44164pt" strokecolor="#000000">
              <v:stroke dashstyle="solid"/>
            </v:line>
            <v:line style="position:absolute" from="4321,-28" to="5941,-28" stroked="true" strokeweight=".495565pt" strokecolor="#000000">
              <v:stroke dashstyle="solid"/>
            </v:line>
            <v:shape style="position:absolute;left:4340;top:-41;width:1608;height:471" type="#_x0000_t202" filled="false" stroked="false">
              <v:textbox inset="0,0,0,0">
                <w:txbxContent>
                  <w:p>
                    <w:pPr>
                      <w:spacing w:before="2"/>
                      <w:ind w:left="0" w:right="0" w:firstLine="0"/>
                      <w:jc w:val="left"/>
                      <w:rPr>
                        <w:rFonts w:ascii="Times New Roman" w:hAnsi="Times New Roman"/>
                        <w:i/>
                        <w:sz w:val="24"/>
                      </w:rPr>
                    </w:pPr>
                    <w:r>
                      <w:rPr>
                        <w:rFonts w:ascii="Courier New" w:hAnsi="Courier New"/>
                        <w:i/>
                        <w:spacing w:val="-13"/>
                        <w:w w:val="102"/>
                        <w:sz w:val="24"/>
                      </w:rPr>
                      <w:t>2</w:t>
                    </w:r>
                    <w:r>
                      <w:rPr>
                        <w:rFonts w:ascii="Times New Roman" w:hAnsi="Times New Roman"/>
                        <w:i/>
                        <w:w w:val="102"/>
                        <w:sz w:val="24"/>
                      </w:rPr>
                      <w:t>(</w:t>
                    </w:r>
                    <w:r>
                      <w:rPr>
                        <w:rFonts w:ascii="Times New Roman" w:hAnsi="Times New Roman"/>
                        <w:i/>
                        <w:spacing w:val="-15"/>
                        <w:sz w:val="24"/>
                      </w:rPr>
                      <w:t> </w:t>
                    </w:r>
                    <w:r>
                      <w:rPr>
                        <w:rFonts w:ascii="Times New Roman" w:hAnsi="Times New Roman"/>
                        <w:i/>
                        <w:w w:val="102"/>
                        <w:sz w:val="24"/>
                      </w:rPr>
                      <w:t>P</w:t>
                    </w:r>
                    <w:r>
                      <w:rPr>
                        <w:rFonts w:ascii="Times New Roman" w:hAnsi="Times New Roman"/>
                        <w:i/>
                        <w:spacing w:val="-14"/>
                        <w:sz w:val="24"/>
                      </w:rPr>
                      <w:t> </w:t>
                    </w:r>
                    <w:r>
                      <w:rPr>
                        <w:rFonts w:ascii="Symbol" w:hAnsi="Symbol"/>
                        <w:w w:val="102"/>
                        <w:sz w:val="24"/>
                      </w:rPr>
                      <w:t></w:t>
                    </w:r>
                    <w:r>
                      <w:rPr>
                        <w:rFonts w:ascii="Times New Roman" w:hAnsi="Times New Roman"/>
                        <w:spacing w:val="-10"/>
                        <w:sz w:val="24"/>
                      </w:rPr>
                      <w:t> </w:t>
                    </w:r>
                    <w:r>
                      <w:rPr>
                        <w:rFonts w:ascii="Times New Roman" w:hAnsi="Times New Roman"/>
                        <w:i/>
                        <w:spacing w:val="-62"/>
                        <w:w w:val="102"/>
                        <w:sz w:val="24"/>
                      </w:rPr>
                      <w:t>P</w:t>
                    </w:r>
                    <w:r>
                      <w:rPr>
                        <w:rFonts w:ascii="Courier New" w:hAnsi="Courier New"/>
                        <w:i/>
                        <w:w w:val="102"/>
                        <w:position w:val="-5"/>
                        <w:sz w:val="14"/>
                      </w:rPr>
                      <w:t>0</w:t>
                    </w:r>
                    <w:r>
                      <w:rPr>
                        <w:rFonts w:ascii="Courier New" w:hAnsi="Courier New"/>
                        <w:i/>
                        <w:spacing w:val="-24"/>
                        <w:position w:val="-5"/>
                        <w:sz w:val="14"/>
                      </w:rPr>
                      <w:t> </w:t>
                    </w:r>
                    <w:r>
                      <w:rPr>
                        <w:rFonts w:ascii="Times New Roman" w:hAnsi="Times New Roman"/>
                        <w:i/>
                        <w:w w:val="102"/>
                        <w:sz w:val="24"/>
                      </w:rPr>
                      <w:t>)</w:t>
                    </w:r>
                    <w:r>
                      <w:rPr>
                        <w:rFonts w:ascii="Times New Roman" w:hAnsi="Times New Roman"/>
                        <w:i/>
                        <w:spacing w:val="-8"/>
                        <w:sz w:val="24"/>
                      </w:rPr>
                      <w:t> </w:t>
                    </w:r>
                    <w:r>
                      <w:rPr>
                        <w:rFonts w:ascii="Symbol" w:hAnsi="Symbol"/>
                        <w:w w:val="102"/>
                        <w:position w:val="-14"/>
                        <w:sz w:val="24"/>
                      </w:rPr>
                      <w:t></w:t>
                    </w:r>
                    <w:r>
                      <w:rPr>
                        <w:rFonts w:ascii="Times New Roman" w:hAnsi="Times New Roman"/>
                        <w:spacing w:val="-28"/>
                        <w:position w:val="-14"/>
                        <w:sz w:val="24"/>
                      </w:rPr>
                      <w:t> </w:t>
                    </w:r>
                    <w:r>
                      <w:rPr>
                        <w:rFonts w:ascii="Courier New" w:hAnsi="Courier New"/>
                        <w:i/>
                        <w:spacing w:val="13"/>
                        <w:w w:val="102"/>
                        <w:position w:val="-14"/>
                        <w:sz w:val="24"/>
                      </w:rPr>
                      <w:t>2</w:t>
                    </w:r>
                    <w:r>
                      <w:rPr>
                        <w:rFonts w:ascii="Times New Roman" w:hAnsi="Times New Roman"/>
                        <w:i/>
                        <w:spacing w:val="-4"/>
                        <w:w w:val="102"/>
                        <w:position w:val="-14"/>
                        <w:sz w:val="24"/>
                      </w:rPr>
                      <w:t>gh</w:t>
                    </w:r>
                  </w:p>
                </w:txbxContent>
              </v:textbox>
              <w10:wrap type="none"/>
            </v:shape>
            <v:shape style="position:absolute;left:4754;top:291;width:156;height:314" type="#_x0000_t202" filled="false" stroked="false">
              <v:textbox inset="0,0,0,0">
                <w:txbxContent>
                  <w:p>
                    <w:pPr>
                      <w:spacing w:before="5"/>
                      <w:ind w:left="0" w:right="0" w:firstLine="0"/>
                      <w:jc w:val="left"/>
                      <w:rPr>
                        <w:rFonts w:ascii="Symbol" w:hAnsi="Symbol"/>
                        <w:i/>
                        <w:sz w:val="25"/>
                      </w:rPr>
                    </w:pPr>
                    <w:r>
                      <w:rPr>
                        <w:rFonts w:ascii="Symbol" w:hAnsi="Symbol"/>
                        <w:i/>
                        <w:w w:val="98"/>
                        <w:sz w:val="25"/>
                      </w:rPr>
                      <w:t></w:t>
                    </w:r>
                  </w:p>
                </w:txbxContent>
              </v:textbox>
              <w10:wrap type="none"/>
            </v:shape>
            <w10:wrap type="none"/>
          </v:group>
        </w:pict>
      </w:r>
      <w:r>
        <w:rPr>
          <w:rFonts w:ascii="Times New Roman" w:hAnsi="Times New Roman"/>
          <w:i/>
          <w:sz w:val="24"/>
        </w:rPr>
        <w:t>Q</w:t>
      </w:r>
      <w:r>
        <w:rPr>
          <w:rFonts w:ascii="Times New Roman" w:hAnsi="Times New Roman"/>
          <w:i/>
          <w:position w:val="-5"/>
          <w:sz w:val="14"/>
        </w:rPr>
        <w:t>L </w:t>
      </w:r>
      <w:r>
        <w:rPr>
          <w:rFonts w:ascii="Symbol" w:hAnsi="Symbol"/>
          <w:sz w:val="24"/>
        </w:rPr>
        <w:t></w:t>
      </w:r>
      <w:r>
        <w:rPr>
          <w:rFonts w:ascii="Times New Roman" w:hAnsi="Times New Roman"/>
          <w:sz w:val="24"/>
        </w:rPr>
        <w:t> </w:t>
      </w:r>
      <w:r>
        <w:rPr>
          <w:rFonts w:ascii="Times New Roman" w:hAnsi="Times New Roman"/>
          <w:i/>
          <w:sz w:val="24"/>
        </w:rPr>
        <w:t>C</w:t>
      </w:r>
      <w:r>
        <w:rPr>
          <w:rFonts w:ascii="Times New Roman" w:hAnsi="Times New Roman"/>
          <w:i/>
          <w:position w:val="-5"/>
          <w:sz w:val="14"/>
        </w:rPr>
        <w:t>d </w:t>
      </w:r>
      <w:r>
        <w:rPr>
          <w:rFonts w:ascii="Times New Roman" w:hAnsi="Times New Roman"/>
          <w:i/>
          <w:sz w:val="24"/>
        </w:rPr>
        <w:t>A</w:t>
      </w:r>
      <w:r>
        <w:rPr>
          <w:rFonts w:ascii="Symbol" w:hAnsi="Symbol"/>
          <w:i/>
          <w:sz w:val="25"/>
        </w:rPr>
        <w:t></w:t>
      </w:r>
    </w:p>
    <w:p>
      <w:pPr>
        <w:pStyle w:val="BodyText"/>
        <w:spacing w:before="8"/>
        <w:rPr>
          <w:rFonts w:ascii="Symbol" w:hAnsi="Symbol"/>
          <w:i/>
        </w:rPr>
      </w:pPr>
    </w:p>
    <w:p>
      <w:pPr>
        <w:pStyle w:val="BodyText"/>
        <w:spacing w:before="73"/>
        <w:ind w:left="698"/>
      </w:pPr>
      <w:r>
        <w:rPr>
          <w:position w:val="2"/>
        </w:rPr>
        <w:t>式中：</w:t>
      </w:r>
      <w:r>
        <w:rPr>
          <w:rFonts w:ascii="Times New Roman" w:hAnsi="Times New Roman" w:eastAsia="Times New Roman"/>
          <w:i/>
          <w:position w:val="2"/>
        </w:rPr>
        <w:t>Q</w:t>
      </w:r>
      <w:r>
        <w:rPr>
          <w:rFonts w:ascii="Times New Roman" w:hAnsi="Times New Roman" w:eastAsia="Times New Roman"/>
          <w:i/>
          <w:sz w:val="16"/>
        </w:rPr>
        <w:t>L</w:t>
      </w:r>
      <w:r>
        <w:rPr>
          <w:rFonts w:ascii="Times New Roman" w:hAnsi="Times New Roman" w:eastAsia="Times New Roman"/>
          <w:position w:val="2"/>
        </w:rPr>
        <w:t>——</w:t>
      </w:r>
      <w:r>
        <w:rPr>
          <w:position w:val="2"/>
        </w:rPr>
        <w:t>液体泄漏速度，</w:t>
      </w:r>
      <w:r>
        <w:rPr>
          <w:rFonts w:ascii="Times New Roman" w:hAnsi="Times New Roman" w:eastAsia="Times New Roman"/>
          <w:position w:val="2"/>
        </w:rPr>
        <w:t>kg/s</w:t>
      </w:r>
      <w:r>
        <w:rPr>
          <w:position w:val="2"/>
        </w:rPr>
        <w:t>；</w:t>
      </w:r>
    </w:p>
    <w:p>
      <w:pPr>
        <w:pStyle w:val="BodyText"/>
        <w:spacing w:before="161"/>
        <w:ind w:left="1418"/>
      </w:pPr>
      <w:r>
        <w:rPr>
          <w:rFonts w:ascii="Times New Roman" w:hAnsi="Times New Roman" w:eastAsia="Times New Roman"/>
          <w:i/>
          <w:position w:val="2"/>
        </w:rPr>
        <w:t>C</w:t>
      </w:r>
      <w:r>
        <w:rPr>
          <w:rFonts w:ascii="Times New Roman" w:hAnsi="Times New Roman" w:eastAsia="Times New Roman"/>
          <w:i/>
          <w:sz w:val="16"/>
        </w:rPr>
        <w:t>d</w:t>
      </w:r>
      <w:r>
        <w:rPr>
          <w:rFonts w:ascii="Times New Roman" w:hAnsi="Times New Roman" w:eastAsia="Times New Roman"/>
          <w:position w:val="2"/>
        </w:rPr>
        <w:t>——</w:t>
      </w:r>
      <w:r>
        <w:rPr>
          <w:position w:val="2"/>
        </w:rPr>
        <w:t>液体泄漏系数，根据 </w:t>
      </w:r>
      <w:r>
        <w:rPr>
          <w:rFonts w:ascii="Times New Roman" w:hAnsi="Times New Roman" w:eastAsia="Times New Roman"/>
          <w:position w:val="2"/>
        </w:rPr>
        <w:t>HJ/T169-2018 </w:t>
      </w:r>
      <w:r>
        <w:rPr>
          <w:position w:val="2"/>
        </w:rPr>
        <w:t>表 </w:t>
      </w:r>
      <w:r>
        <w:rPr>
          <w:rFonts w:ascii="Times New Roman" w:hAnsi="Times New Roman" w:eastAsia="Times New Roman"/>
          <w:position w:val="2"/>
        </w:rPr>
        <w:t>F.1</w:t>
      </w:r>
      <w:r>
        <w:rPr>
          <w:position w:val="2"/>
        </w:rPr>
        <w:t>，本报告取 </w:t>
      </w:r>
      <w:r>
        <w:rPr>
          <w:rFonts w:ascii="Times New Roman" w:hAnsi="Times New Roman" w:eastAsia="Times New Roman"/>
          <w:position w:val="2"/>
        </w:rPr>
        <w:t>0.65</w:t>
      </w:r>
      <w:r>
        <w:rPr>
          <w:position w:val="2"/>
        </w:rPr>
        <w:t>。</w:t>
      </w:r>
    </w:p>
    <w:p>
      <w:pPr>
        <w:pStyle w:val="BodyText"/>
        <w:spacing w:line="364" w:lineRule="auto" w:before="159"/>
        <w:ind w:left="1418" w:right="5065"/>
      </w:pPr>
      <w:r>
        <w:rPr>
          <w:rFonts w:ascii="Times New Roman" w:hAnsi="Times New Roman" w:eastAsia="Times New Roman"/>
          <w:i/>
        </w:rPr>
        <w:t>A</w:t>
      </w:r>
      <w:r>
        <w:rPr>
          <w:rFonts w:ascii="Times New Roman" w:hAnsi="Times New Roman" w:eastAsia="Times New Roman"/>
        </w:rPr>
        <w:t>—— </w:t>
      </w:r>
      <w:r>
        <w:rPr/>
        <w:t>裂 口 面 积 ，</w:t>
      </w:r>
      <w:r>
        <w:rPr>
          <w:rFonts w:ascii="Times New Roman" w:hAnsi="Times New Roman" w:eastAsia="Times New Roman"/>
        </w:rPr>
        <w:t>m</w:t>
      </w:r>
      <w:r>
        <w:rPr>
          <w:rFonts w:ascii="Times New Roman" w:hAnsi="Times New Roman" w:eastAsia="Times New Roman"/>
          <w:position w:val="9"/>
          <w:sz w:val="16"/>
        </w:rPr>
        <w:t>2</w:t>
      </w:r>
      <w:r>
        <w:rPr/>
        <w:t>； </w:t>
      </w:r>
      <w:r>
        <w:rPr>
          <w:rFonts w:ascii="Times New Roman" w:hAnsi="Times New Roman" w:eastAsia="Times New Roman"/>
        </w:rPr>
        <w:t>ρ——</w:t>
      </w:r>
      <w:r>
        <w:rPr/>
        <w:t>液体密度，</w:t>
      </w:r>
      <w:r>
        <w:rPr>
          <w:rFonts w:ascii="Times New Roman" w:hAnsi="Times New Roman" w:eastAsia="Times New Roman"/>
        </w:rPr>
        <w:t>kg/m</w:t>
      </w:r>
      <w:r>
        <w:rPr>
          <w:rFonts w:ascii="Times New Roman" w:hAnsi="Times New Roman" w:eastAsia="Times New Roman"/>
          <w:position w:val="9"/>
          <w:sz w:val="16"/>
        </w:rPr>
        <w:t>3</w:t>
      </w:r>
      <w:r>
        <w:rPr/>
        <w:t>； </w:t>
      </w:r>
      <w:r>
        <w:rPr>
          <w:rFonts w:ascii="Times New Roman" w:hAnsi="Times New Roman" w:eastAsia="Times New Roman"/>
          <w:i/>
        </w:rPr>
        <w:t>P</w:t>
      </w:r>
      <w:r>
        <w:rPr>
          <w:rFonts w:ascii="Times New Roman" w:hAnsi="Times New Roman" w:eastAsia="Times New Roman"/>
        </w:rPr>
        <w:t>——</w:t>
      </w:r>
      <w:r>
        <w:rPr/>
        <w:t>容器内介质压力，</w:t>
      </w:r>
      <w:r>
        <w:rPr>
          <w:rFonts w:ascii="Times New Roman" w:hAnsi="Times New Roman" w:eastAsia="Times New Roman"/>
        </w:rPr>
        <w:t>Pa</w:t>
      </w:r>
      <w:r>
        <w:rPr/>
        <w:t>； </w:t>
      </w:r>
      <w:r>
        <w:rPr>
          <w:rFonts w:ascii="Times New Roman" w:hAnsi="Times New Roman" w:eastAsia="Times New Roman"/>
          <w:i/>
          <w:position w:val="2"/>
        </w:rPr>
        <w:t>P</w:t>
      </w:r>
      <w:r>
        <w:rPr>
          <w:rFonts w:ascii="Times New Roman" w:hAnsi="Times New Roman" w:eastAsia="Times New Roman"/>
          <w:i/>
          <w:sz w:val="16"/>
        </w:rPr>
        <w:t>0</w:t>
      </w:r>
      <w:r>
        <w:rPr>
          <w:rFonts w:ascii="Times New Roman" w:hAnsi="Times New Roman" w:eastAsia="Times New Roman"/>
          <w:position w:val="2"/>
        </w:rPr>
        <w:t>——</w:t>
      </w:r>
      <w:r>
        <w:rPr>
          <w:position w:val="2"/>
        </w:rPr>
        <w:t>环境压力，</w:t>
      </w:r>
      <w:r>
        <w:rPr>
          <w:rFonts w:ascii="Times New Roman" w:hAnsi="Times New Roman" w:eastAsia="Times New Roman"/>
          <w:position w:val="2"/>
        </w:rPr>
        <w:t>Pa</w:t>
      </w:r>
      <w:r>
        <w:rPr>
          <w:position w:val="2"/>
        </w:rPr>
        <w:t>；</w:t>
      </w:r>
    </w:p>
    <w:p>
      <w:pPr>
        <w:pStyle w:val="BodyText"/>
        <w:ind w:left="1418"/>
      </w:pPr>
      <w:r>
        <w:rPr>
          <w:rFonts w:ascii="Times New Roman" w:hAnsi="Times New Roman" w:eastAsia="Times New Roman"/>
          <w:i/>
        </w:rPr>
        <w:t>g </w:t>
      </w:r>
      <w:r>
        <w:rPr>
          <w:rFonts w:ascii="Times New Roman" w:hAnsi="Times New Roman" w:eastAsia="Times New Roman"/>
        </w:rPr>
        <w:t>——</w:t>
      </w:r>
      <w:r>
        <w:rPr/>
        <w:t>重力加速度。</w:t>
      </w:r>
    </w:p>
    <w:p>
      <w:pPr>
        <w:pStyle w:val="BodyText"/>
        <w:spacing w:before="158"/>
        <w:ind w:left="1418"/>
      </w:pPr>
      <w:r>
        <w:rPr>
          <w:rFonts w:ascii="Times New Roman" w:hAnsi="Times New Roman" w:eastAsia="Times New Roman"/>
          <w:i/>
        </w:rPr>
        <w:t>h </w:t>
      </w:r>
      <w:r>
        <w:rPr>
          <w:rFonts w:ascii="Times New Roman" w:hAnsi="Times New Roman" w:eastAsia="Times New Roman"/>
        </w:rPr>
        <w:t>——</w:t>
      </w:r>
      <w:r>
        <w:rPr/>
        <w:t>裂口之上液位高度，</w:t>
      </w:r>
      <w:r>
        <w:rPr>
          <w:rFonts w:ascii="Times New Roman" w:hAnsi="Times New Roman" w:eastAsia="Times New Roman"/>
        </w:rPr>
        <w:t>m</w:t>
      </w:r>
      <w:r>
        <w:rPr/>
        <w:t>（</w:t>
      </w:r>
      <w:r>
        <w:rPr>
          <w:spacing w:val="-12"/>
        </w:rPr>
        <w:t>本报告取 </w:t>
      </w:r>
      <w:r>
        <w:rPr>
          <w:rFonts w:ascii="Times New Roman" w:hAnsi="Times New Roman" w:eastAsia="Times New Roman"/>
        </w:rPr>
        <w:t>5m</w:t>
      </w:r>
      <w:r>
        <w:rPr>
          <w:spacing w:val="-120"/>
        </w:rPr>
        <w:t>）。</w:t>
      </w:r>
    </w:p>
    <w:p>
      <w:pPr>
        <w:pStyle w:val="BodyText"/>
        <w:spacing w:line="362" w:lineRule="auto" w:before="161"/>
        <w:ind w:left="218" w:right="241" w:firstLine="480"/>
      </w:pPr>
      <w:r>
        <w:rPr>
          <w:spacing w:val="-7"/>
        </w:rPr>
        <w:t>根据胡二邦《环境风险评价实用技术和方法》，泄漏事故典型源强计算中泄漏裂口</w:t>
      </w:r>
      <w:r>
        <w:rPr>
          <w:spacing w:val="-13"/>
        </w:rPr>
        <w:t>直径可按 </w:t>
      </w:r>
      <w:r>
        <w:rPr>
          <w:rFonts w:ascii="Times New Roman" w:eastAsia="Times New Roman"/>
        </w:rPr>
        <w:t>0.01m</w:t>
      </w:r>
      <w:r>
        <w:rPr/>
        <w:t>。</w:t>
      </w:r>
    </w:p>
    <w:p>
      <w:pPr>
        <w:pStyle w:val="BodyText"/>
        <w:spacing w:before="5"/>
        <w:ind w:left="698"/>
      </w:pPr>
      <w:r>
        <w:rPr/>
        <w:t>⑵源强计算结果</w:t>
      </w:r>
    </w:p>
    <w:p>
      <w:pPr>
        <w:pStyle w:val="BodyText"/>
        <w:spacing w:line="364" w:lineRule="auto" w:before="158"/>
        <w:ind w:left="218" w:right="114" w:firstLine="480"/>
        <w:jc w:val="both"/>
      </w:pPr>
      <w:r>
        <w:rPr>
          <w:rFonts w:ascii="Times New Roman" w:eastAsia="Times New Roman"/>
        </w:rPr>
        <w:t>50%</w:t>
      </w:r>
      <w:r>
        <w:rPr>
          <w:spacing w:val="-13"/>
        </w:rPr>
        <w:t>甲酸密度 </w:t>
      </w:r>
      <w:r>
        <w:rPr>
          <w:rFonts w:ascii="Times New Roman" w:eastAsia="Times New Roman"/>
          <w:spacing w:val="-5"/>
        </w:rPr>
        <w:t>1120kg/m</w:t>
      </w:r>
      <w:r>
        <w:rPr>
          <w:rFonts w:ascii="Times New Roman" w:eastAsia="Times New Roman"/>
          <w:spacing w:val="-5"/>
          <w:position w:val="9"/>
          <w:sz w:val="16"/>
        </w:rPr>
        <w:t>3</w:t>
      </w:r>
      <w:r>
        <w:rPr>
          <w:spacing w:val="-10"/>
        </w:rPr>
        <w:t>，根据上述计算，可以计算得出甲酸泄漏速率为 </w:t>
      </w:r>
      <w:r>
        <w:rPr>
          <w:rFonts w:ascii="Times New Roman" w:eastAsia="Times New Roman"/>
        </w:rPr>
        <w:t>0.579kg/s</w:t>
      </w:r>
      <w:r>
        <w:rPr/>
        <w:t>， </w:t>
      </w:r>
      <w:r>
        <w:rPr>
          <w:spacing w:val="-20"/>
        </w:rPr>
        <w:t>假设 </w:t>
      </w:r>
      <w:r>
        <w:rPr>
          <w:rFonts w:ascii="Times New Roman" w:eastAsia="Times New Roman"/>
        </w:rPr>
        <w:t>30min </w:t>
      </w:r>
      <w:r>
        <w:rPr>
          <w:spacing w:val="-3"/>
        </w:rPr>
        <w:t>应急时间内，泄漏甲酸得到控制，则可计算甲酸泄漏量为 </w:t>
      </w:r>
      <w:r>
        <w:rPr>
          <w:rFonts w:ascii="Times New Roman" w:eastAsia="Times New Roman"/>
        </w:rPr>
        <w:t>1.042t</w:t>
      </w:r>
      <w:r>
        <w:rPr/>
        <w:t>。</w:t>
      </w:r>
    </w:p>
    <w:p>
      <w:pPr>
        <w:pStyle w:val="BodyText"/>
        <w:spacing w:line="364" w:lineRule="auto"/>
        <w:ind w:left="218" w:right="185" w:firstLine="480"/>
        <w:jc w:val="both"/>
      </w:pPr>
      <w:r>
        <w:rPr/>
        <w:t>甲酸储罐泄漏在围堰内形成液池，然后蒸发。一般泄漏液体的蒸发分为闪蒸蒸发、热量蒸发和质量蒸发三种，而本项目甲酸为常温常压液体，无闪蒸蒸发和热量蒸发，故其蒸发量只有质量蒸发，即液池表面气流运动造成的液体蒸发。</w:t>
      </w:r>
    </w:p>
    <w:p>
      <w:pPr>
        <w:pStyle w:val="BodyText"/>
        <w:spacing w:line="307" w:lineRule="exact"/>
        <w:ind w:left="698"/>
        <w:jc w:val="both"/>
      </w:pPr>
      <w:r>
        <w:rPr>
          <w:spacing w:val="-9"/>
        </w:rPr>
        <w:t>根据导则附录 </w:t>
      </w:r>
      <w:r>
        <w:rPr>
          <w:rFonts w:ascii="Times New Roman" w:eastAsia="Times New Roman"/>
        </w:rPr>
        <w:t>A</w:t>
      </w:r>
      <w:r>
        <w:rPr>
          <w:rFonts w:ascii="Times New Roman" w:eastAsia="Times New Roman"/>
          <w:spacing w:val="-1"/>
        </w:rPr>
        <w:t> </w:t>
      </w:r>
      <w:r>
        <w:rPr/>
        <w:t>提供的质量蒸发估算公式：</w:t>
      </w:r>
    </w:p>
    <w:p>
      <w:pPr>
        <w:spacing w:before="138"/>
        <w:ind w:left="1418" w:right="0" w:firstLine="0"/>
        <w:jc w:val="left"/>
        <w:rPr>
          <w:rFonts w:ascii="Times New Roman" w:hAnsi="Times New Roman"/>
          <w:sz w:val="16"/>
        </w:rPr>
      </w:pPr>
      <w:r>
        <w:rPr>
          <w:rFonts w:ascii="Times New Roman" w:hAnsi="Times New Roman"/>
          <w:spacing w:val="-7"/>
          <w:position w:val="-8"/>
          <w:sz w:val="24"/>
        </w:rPr>
        <w:t>Q</w:t>
      </w:r>
      <w:r>
        <w:rPr>
          <w:rFonts w:ascii="Times New Roman" w:hAnsi="Times New Roman"/>
          <w:spacing w:val="-7"/>
          <w:position w:val="-10"/>
          <w:sz w:val="16"/>
        </w:rPr>
        <w:t>3</w:t>
      </w:r>
      <w:r>
        <w:rPr>
          <w:rFonts w:ascii="Times New Roman" w:hAnsi="Times New Roman"/>
          <w:spacing w:val="-7"/>
          <w:position w:val="-8"/>
          <w:sz w:val="24"/>
        </w:rPr>
        <w:t>=α×p×M/(R×T </w:t>
      </w:r>
      <w:r>
        <w:rPr>
          <w:rFonts w:ascii="Times New Roman" w:hAnsi="Times New Roman"/>
          <w:position w:val="-10"/>
          <w:sz w:val="16"/>
        </w:rPr>
        <w:t>0</w:t>
      </w:r>
      <w:r>
        <w:rPr>
          <w:rFonts w:ascii="Times New Roman" w:hAnsi="Times New Roman"/>
          <w:position w:val="-8"/>
          <w:sz w:val="24"/>
        </w:rPr>
        <w:t>) </w:t>
      </w:r>
      <w:r>
        <w:rPr>
          <w:rFonts w:ascii="Times New Roman" w:hAnsi="Times New Roman"/>
          <w:spacing w:val="-15"/>
          <w:position w:val="-8"/>
          <w:sz w:val="24"/>
        </w:rPr>
        <w:t>×u </w:t>
      </w:r>
      <w:r>
        <w:rPr>
          <w:rFonts w:ascii="Times New Roman" w:hAnsi="Times New Roman"/>
          <w:sz w:val="16"/>
        </w:rPr>
        <w:t>(2-n)/(2+n)  </w:t>
      </w:r>
      <w:r>
        <w:rPr>
          <w:rFonts w:ascii="Times New Roman" w:hAnsi="Times New Roman"/>
          <w:spacing w:val="-14"/>
          <w:position w:val="-8"/>
          <w:sz w:val="24"/>
        </w:rPr>
        <w:t>×r</w:t>
      </w:r>
      <w:r>
        <w:rPr>
          <w:rFonts w:ascii="Times New Roman" w:hAnsi="Times New Roman"/>
          <w:spacing w:val="-44"/>
          <w:position w:val="-8"/>
          <w:sz w:val="24"/>
        </w:rPr>
        <w:t> </w:t>
      </w:r>
      <w:r>
        <w:rPr>
          <w:rFonts w:ascii="Times New Roman" w:hAnsi="Times New Roman"/>
          <w:sz w:val="16"/>
        </w:rPr>
        <w:t>(4+n)/(2+n)</w:t>
      </w:r>
    </w:p>
    <w:p>
      <w:pPr>
        <w:pStyle w:val="BodyText"/>
        <w:spacing w:before="140"/>
        <w:ind w:left="698"/>
      </w:pPr>
      <w:r>
        <w:rPr>
          <w:position w:val="2"/>
        </w:rPr>
        <w:t>式中：</w:t>
      </w:r>
      <w:r>
        <w:rPr>
          <w:rFonts w:ascii="Times New Roman" w:hAnsi="Times New Roman" w:eastAsia="Times New Roman"/>
          <w:position w:val="2"/>
        </w:rPr>
        <w:t>Q</w:t>
      </w:r>
      <w:r>
        <w:rPr>
          <w:rFonts w:ascii="Times New Roman" w:hAnsi="Times New Roman" w:eastAsia="Times New Roman"/>
          <w:sz w:val="16"/>
        </w:rPr>
        <w:t>3</w:t>
      </w:r>
      <w:r>
        <w:rPr>
          <w:rFonts w:ascii="Times New Roman" w:hAnsi="Times New Roman" w:eastAsia="Times New Roman"/>
          <w:position w:val="2"/>
        </w:rPr>
        <w:t>——</w:t>
      </w:r>
      <w:r>
        <w:rPr>
          <w:position w:val="2"/>
        </w:rPr>
        <w:t>质量蒸发速度，</w:t>
      </w:r>
      <w:r>
        <w:rPr>
          <w:rFonts w:ascii="Times New Roman" w:hAnsi="Times New Roman" w:eastAsia="Times New Roman"/>
          <w:position w:val="2"/>
        </w:rPr>
        <w:t>kg/s</w:t>
      </w:r>
      <w:r>
        <w:rPr>
          <w:position w:val="2"/>
        </w:rPr>
        <w:t>；</w:t>
      </w:r>
    </w:p>
    <w:p>
      <w:pPr>
        <w:pStyle w:val="BodyText"/>
        <w:spacing w:before="159"/>
        <w:ind w:left="1538"/>
      </w:pPr>
      <w:r>
        <w:rPr>
          <w:rFonts w:ascii="Times New Roman" w:hAnsi="Times New Roman" w:eastAsia="Times New Roman"/>
        </w:rPr>
        <w:t>α</w:t>
      </w:r>
      <w:r>
        <w:rPr/>
        <w:t>，</w:t>
      </w:r>
      <w:r>
        <w:rPr>
          <w:rFonts w:ascii="Times New Roman" w:hAnsi="Times New Roman" w:eastAsia="Times New Roman"/>
        </w:rPr>
        <w:t>n——</w:t>
      </w:r>
      <w:r>
        <w:rPr/>
        <w:t>大气稳定度系数，</w:t>
      </w:r>
      <w:r>
        <w:rPr>
          <w:rFonts w:ascii="Times New Roman" w:hAnsi="Times New Roman" w:eastAsia="Times New Roman"/>
        </w:rPr>
        <w:t>D </w:t>
      </w:r>
      <w:r>
        <w:rPr/>
        <w:t>稳定度下 </w:t>
      </w:r>
      <w:r>
        <w:rPr>
          <w:rFonts w:ascii="Times New Roman" w:hAnsi="Times New Roman" w:eastAsia="Times New Roman"/>
        </w:rPr>
        <w:t>n </w:t>
      </w:r>
      <w:r>
        <w:rPr/>
        <w:t>为 </w:t>
      </w:r>
      <w:r>
        <w:rPr>
          <w:rFonts w:ascii="Times New Roman" w:hAnsi="Times New Roman" w:eastAsia="Times New Roman"/>
        </w:rPr>
        <w:t>0.25</w:t>
      </w:r>
      <w:r>
        <w:rPr/>
        <w:t>，</w:t>
      </w:r>
      <w:r>
        <w:rPr>
          <w:rFonts w:ascii="Times New Roman" w:hAnsi="Times New Roman" w:eastAsia="Times New Roman"/>
        </w:rPr>
        <w:t>α </w:t>
      </w:r>
      <w:r>
        <w:rPr/>
        <w:t>为 </w:t>
      </w:r>
      <w:r>
        <w:rPr>
          <w:rFonts w:ascii="Times New Roman" w:hAnsi="Times New Roman" w:eastAsia="Times New Roman"/>
        </w:rPr>
        <w:t>4.685×10 </w:t>
      </w:r>
      <w:r>
        <w:rPr>
          <w:rFonts w:ascii="Times New Roman" w:hAnsi="Times New Roman" w:eastAsia="Times New Roman"/>
          <w:position w:val="9"/>
          <w:sz w:val="16"/>
        </w:rPr>
        <w:t>-3</w:t>
      </w:r>
      <w:r>
        <w:rPr/>
        <w:t>；</w:t>
      </w:r>
    </w:p>
    <w:p>
      <w:pPr>
        <w:pStyle w:val="BodyText"/>
        <w:spacing w:before="160"/>
        <w:ind w:left="1538"/>
      </w:pPr>
      <w:r>
        <w:rPr>
          <w:rFonts w:ascii="Times New Roman" w:hAnsi="Times New Roman" w:eastAsia="Times New Roman"/>
        </w:rPr>
        <w:t>p——</w:t>
      </w:r>
      <w:r>
        <w:rPr/>
        <w:t>液体的表面蒸汽压，</w:t>
      </w:r>
      <w:r>
        <w:rPr>
          <w:rFonts w:ascii="Times New Roman" w:hAnsi="Times New Roman" w:eastAsia="Times New Roman"/>
        </w:rPr>
        <w:t>Pa</w:t>
      </w:r>
      <w:r>
        <w:rPr/>
        <w:t>；（</w:t>
      </w:r>
      <w:r>
        <w:rPr>
          <w:rFonts w:ascii="Times New Roman" w:hAnsi="Times New Roman" w:eastAsia="Times New Roman"/>
        </w:rPr>
        <w:t>5330Pa</w:t>
      </w:r>
      <w:r>
        <w:rPr/>
        <w:t>）</w:t>
      </w:r>
    </w:p>
    <w:p>
      <w:pPr>
        <w:spacing w:after="0"/>
        <w:sectPr>
          <w:pgSz w:w="11910" w:h="16840"/>
          <w:pgMar w:header="872" w:footer="945" w:top="1320" w:bottom="1140" w:left="1200" w:right="1180"/>
        </w:sectPr>
      </w:pPr>
    </w:p>
    <w:p>
      <w:pPr>
        <w:pStyle w:val="BodyText"/>
        <w:spacing w:line="364" w:lineRule="auto" w:before="84"/>
        <w:ind w:left="1538" w:right="4085"/>
      </w:pPr>
      <w:r>
        <w:rPr>
          <w:rFonts w:ascii="Times New Roman" w:hAnsi="Times New Roman" w:eastAsia="Times New Roman"/>
        </w:rPr>
        <w:t>M——</w:t>
      </w:r>
      <w:r>
        <w:rPr/>
        <w:t>液体分子量，（</w:t>
      </w:r>
      <w:r>
        <w:rPr>
          <w:rFonts w:ascii="Times New Roman" w:hAnsi="Times New Roman" w:eastAsia="Times New Roman"/>
        </w:rPr>
        <w:t>0.046kg/mol</w:t>
      </w:r>
      <w:r>
        <w:rPr/>
        <w:t>） </w:t>
      </w:r>
      <w:r>
        <w:rPr>
          <w:rFonts w:ascii="Times New Roman" w:hAnsi="Times New Roman" w:eastAsia="Times New Roman"/>
        </w:rPr>
        <w:t>R—— </w:t>
      </w:r>
      <w:r>
        <w:rPr/>
        <w:t>气 体 常 数 ，</w:t>
      </w:r>
      <w:r>
        <w:rPr>
          <w:rFonts w:ascii="Times New Roman" w:hAnsi="Times New Roman" w:eastAsia="Times New Roman"/>
        </w:rPr>
        <w:t>8.31J/mol·K </w:t>
      </w:r>
      <w:r>
        <w:rPr/>
        <w:t>； </w:t>
      </w:r>
      <w:r>
        <w:rPr>
          <w:rFonts w:ascii="Times New Roman" w:hAnsi="Times New Roman" w:eastAsia="Times New Roman"/>
          <w:position w:val="2"/>
        </w:rPr>
        <w:t>T</w:t>
      </w:r>
      <w:r>
        <w:rPr>
          <w:rFonts w:ascii="Times New Roman" w:hAnsi="Times New Roman" w:eastAsia="Times New Roman"/>
          <w:sz w:val="16"/>
        </w:rPr>
        <w:t>0</w:t>
      </w:r>
      <w:r>
        <w:rPr>
          <w:rFonts w:ascii="Times New Roman" w:hAnsi="Times New Roman" w:eastAsia="Times New Roman"/>
          <w:position w:val="2"/>
        </w:rPr>
        <w:t>——</w:t>
      </w:r>
      <w:r>
        <w:rPr>
          <w:position w:val="2"/>
        </w:rPr>
        <w:t>环境温度，取 </w:t>
      </w:r>
      <w:r>
        <w:rPr>
          <w:rFonts w:ascii="Times New Roman" w:hAnsi="Times New Roman" w:eastAsia="Times New Roman"/>
          <w:position w:val="2"/>
        </w:rPr>
        <w:t>303K</w:t>
      </w:r>
      <w:r>
        <w:rPr>
          <w:position w:val="2"/>
        </w:rPr>
        <w:t>；</w:t>
      </w:r>
    </w:p>
    <w:p>
      <w:pPr>
        <w:pStyle w:val="BodyText"/>
        <w:spacing w:line="364" w:lineRule="auto"/>
        <w:ind w:left="1538" w:right="3811"/>
        <w:jc w:val="both"/>
      </w:pPr>
      <w:r>
        <w:rPr>
          <w:rFonts w:ascii="Times New Roman" w:hAnsi="Times New Roman" w:eastAsia="Times New Roman"/>
        </w:rPr>
        <w:t>u——</w:t>
      </w:r>
      <w:r>
        <w:rPr>
          <w:spacing w:val="-6"/>
        </w:rPr>
        <w:t>风速，按年平均风速取 </w:t>
      </w:r>
      <w:r>
        <w:rPr>
          <w:rFonts w:ascii="Times New Roman" w:hAnsi="Times New Roman" w:eastAsia="Times New Roman"/>
        </w:rPr>
        <w:t>2.4m/s</w:t>
      </w:r>
      <w:r>
        <w:rPr/>
        <w:t>； </w:t>
      </w:r>
      <w:r>
        <w:rPr>
          <w:rFonts w:ascii="Times New Roman" w:hAnsi="Times New Roman" w:eastAsia="Times New Roman"/>
        </w:rPr>
        <w:t>r——</w:t>
      </w:r>
      <w:r>
        <w:rPr/>
        <w:t>液池半径，</w:t>
      </w:r>
      <w:r>
        <w:rPr>
          <w:rFonts w:ascii="Times New Roman" w:hAnsi="Times New Roman" w:eastAsia="Times New Roman"/>
        </w:rPr>
        <w:t>m</w:t>
      </w:r>
      <w:r>
        <w:rPr/>
        <w:t>（</w:t>
      </w:r>
      <w:r>
        <w:rPr>
          <w:spacing w:val="-13"/>
        </w:rPr>
        <w:t>本报告取 </w:t>
      </w:r>
      <w:r>
        <w:rPr>
          <w:rFonts w:ascii="Times New Roman" w:hAnsi="Times New Roman" w:eastAsia="Times New Roman"/>
        </w:rPr>
        <w:t>6.0m</w:t>
      </w:r>
      <w:r>
        <w:rPr/>
        <w:t>）</w:t>
      </w:r>
      <w:r>
        <w:rPr>
          <w:spacing w:val="-15"/>
        </w:rPr>
        <w:t>。</w:t>
      </w:r>
    </w:p>
    <w:p>
      <w:pPr>
        <w:pStyle w:val="BodyText"/>
        <w:spacing w:line="364" w:lineRule="auto"/>
        <w:ind w:left="218" w:right="185" w:firstLine="480"/>
        <w:jc w:val="both"/>
      </w:pPr>
      <w:r>
        <w:rPr/>
        <w:t>液池最大直径取决于泄漏点附近的地域构型、泄漏的连续性或瞬时性。有围堰时， 以围堰最大等效半径为液池半径；无围堰时，设定液体瞬间扩散到最小厚度时，推算液池等效半径。</w:t>
      </w:r>
    </w:p>
    <w:p>
      <w:pPr>
        <w:pStyle w:val="BodyText"/>
        <w:spacing w:line="364" w:lineRule="auto"/>
        <w:ind w:left="218" w:right="234" w:firstLine="480"/>
        <w:jc w:val="both"/>
      </w:pPr>
      <w:r>
        <w:rPr>
          <w:spacing w:val="-3"/>
        </w:rPr>
        <w:t>根据以上数据，计算出甲酸储罐泄漏后蒸发速率为 </w:t>
      </w:r>
      <w:r>
        <w:rPr>
          <w:rFonts w:ascii="Times New Roman" w:eastAsia="Times New Roman"/>
        </w:rPr>
        <w:t>0.0266kg/s</w:t>
      </w:r>
      <w:r>
        <w:rPr>
          <w:spacing w:val="-14"/>
        </w:rPr>
        <w:t>。假设 </w:t>
      </w:r>
      <w:r>
        <w:rPr>
          <w:rFonts w:ascii="Times New Roman" w:eastAsia="Times New Roman"/>
        </w:rPr>
        <w:t>30min </w:t>
      </w:r>
      <w:r>
        <w:rPr>
          <w:spacing w:val="-5"/>
        </w:rPr>
        <w:t>应急时</w:t>
      </w:r>
      <w:r>
        <w:rPr/>
        <w:t>间内，</w:t>
      </w:r>
      <w:r>
        <w:rPr>
          <w:rFonts w:ascii="Times New Roman" w:eastAsia="Times New Roman"/>
        </w:rPr>
        <w:t>30min </w:t>
      </w:r>
      <w:r>
        <w:rPr>
          <w:spacing w:val="-6"/>
        </w:rPr>
        <w:t>钟内蒸发的甲酸量为 </w:t>
      </w:r>
      <w:r>
        <w:rPr>
          <w:rFonts w:ascii="Times New Roman" w:eastAsia="Times New Roman"/>
        </w:rPr>
        <w:t>47.88kg</w:t>
      </w:r>
      <w:r>
        <w:rPr/>
        <w:t>。</w:t>
      </w:r>
    </w:p>
    <w:p>
      <w:pPr>
        <w:pStyle w:val="BodyText"/>
        <w:spacing w:line="307" w:lineRule="exact"/>
        <w:ind w:left="698"/>
      </w:pPr>
      <w:r>
        <w:rPr/>
        <w:t>⑶甲酸储罐泄漏地下水污染分析</w:t>
      </w:r>
    </w:p>
    <w:p>
      <w:pPr>
        <w:pStyle w:val="BodyText"/>
        <w:spacing w:line="362" w:lineRule="auto" w:before="156"/>
        <w:ind w:left="218" w:right="128" w:firstLine="480"/>
        <w:jc w:val="both"/>
      </w:pPr>
      <w:r>
        <w:rPr>
          <w:spacing w:val="-3"/>
        </w:rPr>
        <w:t>根据液体泄漏伯努力方程计算甲酸泄漏速度为 </w:t>
      </w:r>
      <w:r>
        <w:rPr>
          <w:rFonts w:ascii="Times New Roman" w:eastAsia="Times New Roman"/>
        </w:rPr>
        <w:t>0.579kg/s</w:t>
      </w:r>
      <w:r>
        <w:rPr>
          <w:spacing w:val="-15"/>
        </w:rPr>
        <w:t>，假设 </w:t>
      </w:r>
      <w:r>
        <w:rPr>
          <w:rFonts w:ascii="Times New Roman" w:eastAsia="Times New Roman"/>
        </w:rPr>
        <w:t>30min </w:t>
      </w:r>
      <w:r>
        <w:rPr>
          <w:spacing w:val="-3"/>
        </w:rPr>
        <w:t>应急时间内， </w:t>
      </w:r>
      <w:r>
        <w:rPr>
          <w:spacing w:val="-4"/>
        </w:rPr>
        <w:t>泄漏甲酸得到控制，则可计算甲酸泄漏量为 </w:t>
      </w:r>
      <w:r>
        <w:rPr>
          <w:rFonts w:ascii="Times New Roman" w:eastAsia="Times New Roman"/>
        </w:rPr>
        <w:t>1.042t</w:t>
      </w:r>
      <w:r>
        <w:rPr/>
        <w:t>。</w:t>
      </w:r>
    </w:p>
    <w:p>
      <w:pPr>
        <w:pStyle w:val="BodyText"/>
        <w:spacing w:line="364" w:lineRule="auto" w:before="5"/>
        <w:ind w:left="218" w:right="233" w:firstLine="480"/>
        <w:jc w:val="both"/>
      </w:pPr>
      <w:r>
        <w:rPr>
          <w:spacing w:val="-4"/>
        </w:rPr>
        <w:t>由于环境风险发生时间较短，企业采取了有效的风险防范和应急措施，储罐建有围</w:t>
      </w:r>
      <w:r>
        <w:rPr>
          <w:spacing w:val="-7"/>
        </w:rPr>
        <w:t>堰，围堰区内采取了防渗措施，泄漏液可有效收集后在短时间内得到处置和清理，不会</w:t>
      </w:r>
      <w:r>
        <w:rPr/>
        <w:t>因慢慢渗漏而污染地下水。</w:t>
      </w:r>
    </w:p>
    <w:p>
      <w:pPr>
        <w:pStyle w:val="Heading4"/>
        <w:spacing w:line="304" w:lineRule="exact"/>
      </w:pPr>
      <w:r>
        <w:rPr>
          <w:rFonts w:ascii="Times New Roman" w:eastAsia="Times New Roman"/>
        </w:rPr>
        <w:t>3</w:t>
      </w:r>
      <w:r>
        <w:rPr/>
        <w:t>、农药粉尘泄漏的事故影响分析</w:t>
      </w:r>
    </w:p>
    <w:p>
      <w:pPr>
        <w:pStyle w:val="BodyText"/>
        <w:spacing w:line="364" w:lineRule="auto" w:before="161"/>
        <w:ind w:left="218" w:right="185" w:firstLine="480"/>
        <w:jc w:val="both"/>
      </w:pPr>
      <w:r>
        <w:rPr>
          <w:spacing w:val="-3"/>
        </w:rPr>
        <w:t>三环唑作为农业生产不可或缺的杀菌农药，其生产过程中的粉尘控制及其重要。其</w:t>
      </w:r>
      <w:r>
        <w:rPr>
          <w:spacing w:val="-4"/>
        </w:rPr>
        <w:t>粉体与空气混合，能形成爆炸性混合物。粉尘质量浓度是影响其爆炸压力的极值因素， </w:t>
      </w:r>
      <w:r>
        <w:rPr>
          <w:spacing w:val="-3"/>
        </w:rPr>
        <w:t>爆炸压力随粉尘质量浓度的逐渐增加。项目三环唑烘干采用双锥干燥，非闪蒸，粉尘经</w:t>
      </w:r>
      <w:r>
        <w:rPr>
          <w:spacing w:val="-8"/>
        </w:rPr>
        <w:t>收集处理后，农药粉尘的排放量较小。且正常状况下，涉及三环唑粉末操作的设备均为密闭，废气处理装置正常运行时，空气中农药粉尘的浓度较低，不容易形成爆炸性混合</w:t>
      </w:r>
      <w:r>
        <w:rPr>
          <w:spacing w:val="-7"/>
        </w:rPr>
        <w:t>物。故若设备故障损坏或废气处理装置发生故障，企业应及时停产进行检修，以防农药粉尘扩散。</w:t>
      </w:r>
    </w:p>
    <w:p>
      <w:pPr>
        <w:pStyle w:val="BodyText"/>
        <w:spacing w:line="364" w:lineRule="auto"/>
        <w:ind w:left="218" w:right="232" w:firstLine="480"/>
        <w:jc w:val="both"/>
      </w:pPr>
      <w:r>
        <w:rPr>
          <w:spacing w:val="-6"/>
        </w:rPr>
        <w:t>三环唑存在累积性毒性，中毒后表现为四肢无力、步态蹒跚、肌肉震颤，严重者会</w:t>
      </w:r>
      <w:r>
        <w:rPr>
          <w:spacing w:val="-7"/>
        </w:rPr>
        <w:t>瘫痪。涉及三环唑粉末时应密闭操作，局部排风。防止粉尘释放到车间空气中。操作人</w:t>
      </w:r>
      <w:r>
        <w:rPr>
          <w:spacing w:val="-5"/>
        </w:rPr>
        <w:t>员必须经过专门培训，严格遵守操作规程。建议操作人员佩戴自吸过滤式防尘口罩，戴</w:t>
      </w:r>
      <w:r>
        <w:rPr/>
        <w:t>化学安全防护眼镜，穿防毒物渗透工作服，戴乳胶手套。</w:t>
      </w:r>
    </w:p>
    <w:p>
      <w:pPr>
        <w:pStyle w:val="BodyText"/>
        <w:spacing w:line="362" w:lineRule="auto"/>
        <w:ind w:left="218" w:right="186" w:firstLine="480"/>
      </w:pPr>
      <w:r>
        <w:rPr/>
        <w:t>三环唑是防治稻瘟病专用杀菌剂，杀菌作用机理主要是抑制附着孢黑色素的形成， 从而抑制孢子萌发和附着孢形成，阻止病菌侵人和减少稻瘟病菌孢子的产生。本项目所</w:t>
      </w:r>
    </w:p>
    <w:p>
      <w:pPr>
        <w:spacing w:after="0" w:line="362" w:lineRule="auto"/>
        <w:sectPr>
          <w:pgSz w:w="11910" w:h="16840"/>
          <w:pgMar w:header="872" w:footer="945" w:top="1320" w:bottom="1140" w:left="1200" w:right="1180"/>
        </w:sectPr>
      </w:pPr>
    </w:p>
    <w:p>
      <w:pPr>
        <w:pStyle w:val="BodyText"/>
        <w:spacing w:line="364" w:lineRule="auto" w:before="84"/>
        <w:ind w:left="218" w:right="172"/>
      </w:pPr>
      <w:r>
        <w:rPr/>
        <w:t>用农药在正常施药范围内主要是杀菌作用，对农作物正常生长基本无影响，且本项目原药粉尘经正常处理后排放量较小，对周边农作物的生态影响较小。</w:t>
      </w:r>
    </w:p>
    <w:p>
      <w:pPr>
        <w:pStyle w:val="Heading4"/>
        <w:spacing w:line="307" w:lineRule="exact"/>
      </w:pPr>
      <w:r>
        <w:rPr>
          <w:rFonts w:ascii="Times New Roman" w:eastAsia="Times New Roman"/>
        </w:rPr>
        <w:t>4</w:t>
      </w:r>
      <w:r>
        <w:rPr/>
        <w:t>、环境风险源强一览表</w:t>
      </w:r>
    </w:p>
    <w:p>
      <w:pPr>
        <w:pStyle w:val="BodyText"/>
        <w:spacing w:before="5"/>
        <w:rPr>
          <w:b/>
          <w:sz w:val="23"/>
        </w:rPr>
      </w:pPr>
    </w:p>
    <w:p>
      <w:pPr>
        <w:tabs>
          <w:tab w:pos="1041" w:val="left" w:leader="none"/>
        </w:tabs>
        <w:spacing w:before="0" w:after="29"/>
        <w:ind w:left="0" w:right="19" w:firstLine="0"/>
        <w:jc w:val="center"/>
        <w:rPr>
          <w:b/>
          <w:sz w:val="24"/>
        </w:rPr>
      </w:pPr>
      <w:r>
        <w:rPr>
          <w:b/>
          <w:sz w:val="24"/>
        </w:rPr>
        <w:t>表</w:t>
      </w:r>
      <w:r>
        <w:rPr>
          <w:b/>
          <w:spacing w:val="-60"/>
          <w:sz w:val="24"/>
        </w:rPr>
        <w:t> </w:t>
      </w:r>
      <w:r>
        <w:rPr>
          <w:rFonts w:ascii="Times New Roman" w:eastAsia="Times New Roman"/>
          <w:b/>
          <w:sz w:val="24"/>
        </w:rPr>
        <w:t>8.5-3</w:t>
        <w:tab/>
      </w:r>
      <w:r>
        <w:rPr>
          <w:b/>
          <w:sz w:val="24"/>
        </w:rPr>
        <w:t>建设项目源强一览表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953"/>
        <w:gridCol w:w="828"/>
        <w:gridCol w:w="1169"/>
        <w:gridCol w:w="967"/>
        <w:gridCol w:w="1123"/>
        <w:gridCol w:w="1475"/>
        <w:gridCol w:w="1236"/>
        <w:gridCol w:w="1106"/>
      </w:tblGrid>
      <w:tr>
        <w:trPr>
          <w:trHeight w:val="481" w:hRule="atLeast"/>
        </w:trPr>
        <w:tc>
          <w:tcPr>
            <w:tcW w:w="427" w:type="dxa"/>
          </w:tcPr>
          <w:p>
            <w:pPr>
              <w:pStyle w:val="TableParagraph"/>
              <w:spacing w:line="240" w:lineRule="exact" w:before="2"/>
              <w:ind w:left="105" w:right="98"/>
              <w:jc w:val="left"/>
              <w:rPr>
                <w:b/>
                <w:sz w:val="21"/>
              </w:rPr>
            </w:pPr>
            <w:r>
              <w:rPr>
                <w:b/>
                <w:sz w:val="21"/>
              </w:rPr>
              <w:t>序号</w:t>
            </w:r>
          </w:p>
        </w:tc>
        <w:tc>
          <w:tcPr>
            <w:tcW w:w="953" w:type="dxa"/>
          </w:tcPr>
          <w:p>
            <w:pPr>
              <w:pStyle w:val="TableParagraph"/>
              <w:spacing w:line="240" w:lineRule="exact" w:before="2"/>
              <w:ind w:left="52" w:right="43"/>
              <w:jc w:val="left"/>
              <w:rPr>
                <w:b/>
                <w:sz w:val="21"/>
              </w:rPr>
            </w:pPr>
            <w:r>
              <w:rPr>
                <w:b/>
                <w:sz w:val="21"/>
              </w:rPr>
              <w:t>风险事故情形描述</w:t>
            </w:r>
          </w:p>
        </w:tc>
        <w:tc>
          <w:tcPr>
            <w:tcW w:w="828" w:type="dxa"/>
          </w:tcPr>
          <w:p>
            <w:pPr>
              <w:pStyle w:val="TableParagraph"/>
              <w:spacing w:line="240" w:lineRule="exact" w:before="2"/>
              <w:ind w:left="306" w:right="86" w:hanging="212"/>
              <w:jc w:val="left"/>
              <w:rPr>
                <w:b/>
                <w:sz w:val="21"/>
              </w:rPr>
            </w:pPr>
            <w:r>
              <w:rPr>
                <w:b/>
                <w:sz w:val="21"/>
              </w:rPr>
              <w:t>危险单元</w:t>
            </w:r>
          </w:p>
        </w:tc>
        <w:tc>
          <w:tcPr>
            <w:tcW w:w="1169" w:type="dxa"/>
          </w:tcPr>
          <w:p>
            <w:pPr>
              <w:pStyle w:val="TableParagraph"/>
              <w:spacing w:before="104"/>
              <w:ind w:left="143" w:right="132"/>
              <w:rPr>
                <w:b/>
                <w:sz w:val="21"/>
              </w:rPr>
            </w:pPr>
            <w:r>
              <w:rPr>
                <w:b/>
                <w:sz w:val="21"/>
              </w:rPr>
              <w:t>危险物质</w:t>
            </w:r>
          </w:p>
        </w:tc>
        <w:tc>
          <w:tcPr>
            <w:tcW w:w="967" w:type="dxa"/>
          </w:tcPr>
          <w:p>
            <w:pPr>
              <w:pStyle w:val="TableParagraph"/>
              <w:spacing w:line="240" w:lineRule="exact" w:before="2"/>
              <w:ind w:left="273" w:right="258"/>
              <w:jc w:val="left"/>
              <w:rPr>
                <w:b/>
                <w:sz w:val="21"/>
              </w:rPr>
            </w:pPr>
            <w:r>
              <w:rPr>
                <w:b/>
                <w:sz w:val="21"/>
              </w:rPr>
              <w:t>影响途径</w:t>
            </w:r>
          </w:p>
        </w:tc>
        <w:tc>
          <w:tcPr>
            <w:tcW w:w="1123" w:type="dxa"/>
          </w:tcPr>
          <w:p>
            <w:pPr>
              <w:pStyle w:val="TableParagraph"/>
              <w:spacing w:line="240" w:lineRule="exact" w:before="2"/>
              <w:ind w:left="350" w:right="18" w:hanging="315"/>
              <w:jc w:val="left"/>
              <w:rPr>
                <w:b/>
                <w:sz w:val="21"/>
              </w:rPr>
            </w:pPr>
            <w:r>
              <w:rPr>
                <w:b/>
                <w:sz w:val="21"/>
              </w:rPr>
              <w:t>释放或泄露速率</w:t>
            </w:r>
          </w:p>
        </w:tc>
        <w:tc>
          <w:tcPr>
            <w:tcW w:w="1475" w:type="dxa"/>
          </w:tcPr>
          <w:p>
            <w:pPr>
              <w:pStyle w:val="TableParagraph"/>
              <w:spacing w:before="104"/>
              <w:ind w:left="92" w:right="80"/>
              <w:rPr>
                <w:rFonts w:ascii="Times New Roman" w:eastAsia="Times New Roman"/>
                <w:b/>
                <w:sz w:val="21"/>
              </w:rPr>
            </w:pPr>
            <w:r>
              <w:rPr>
                <w:b/>
                <w:sz w:val="21"/>
              </w:rPr>
              <w:t>泄露时间</w:t>
            </w:r>
            <w:r>
              <w:rPr>
                <w:rFonts w:ascii="Times New Roman" w:eastAsia="Times New Roman"/>
                <w:b/>
                <w:sz w:val="21"/>
              </w:rPr>
              <w:t>/min</w:t>
            </w:r>
          </w:p>
        </w:tc>
        <w:tc>
          <w:tcPr>
            <w:tcW w:w="1236" w:type="dxa"/>
          </w:tcPr>
          <w:p>
            <w:pPr>
              <w:pStyle w:val="TableParagraph"/>
              <w:spacing w:before="104"/>
              <w:ind w:left="71" w:right="60"/>
              <w:rPr>
                <w:b/>
                <w:sz w:val="21"/>
              </w:rPr>
            </w:pPr>
            <w:r>
              <w:rPr>
                <w:b/>
                <w:sz w:val="21"/>
              </w:rPr>
              <w:t>最大泄漏量</w:t>
            </w:r>
          </w:p>
        </w:tc>
        <w:tc>
          <w:tcPr>
            <w:tcW w:w="1106" w:type="dxa"/>
          </w:tcPr>
          <w:p>
            <w:pPr>
              <w:pStyle w:val="TableParagraph"/>
              <w:spacing w:line="240" w:lineRule="exact" w:before="2"/>
              <w:ind w:left="240" w:right="114" w:hanging="106"/>
              <w:jc w:val="left"/>
              <w:rPr>
                <w:b/>
                <w:sz w:val="21"/>
              </w:rPr>
            </w:pPr>
            <w:r>
              <w:rPr>
                <w:b/>
                <w:sz w:val="21"/>
              </w:rPr>
              <w:t>泄漏液体蒸发量</w:t>
            </w:r>
          </w:p>
        </w:tc>
      </w:tr>
      <w:tr>
        <w:trPr>
          <w:trHeight w:val="282" w:hRule="atLeast"/>
        </w:trPr>
        <w:tc>
          <w:tcPr>
            <w:tcW w:w="427" w:type="dxa"/>
            <w:vMerge w:val="restart"/>
          </w:tcPr>
          <w:p>
            <w:pPr>
              <w:pStyle w:val="TableParagraph"/>
              <w:spacing w:before="2"/>
              <w:jc w:val="left"/>
              <w:rPr>
                <w:b/>
                <w:sz w:val="24"/>
              </w:rPr>
            </w:pPr>
          </w:p>
          <w:p>
            <w:pPr>
              <w:pStyle w:val="TableParagraph"/>
              <w:ind w:left="5"/>
              <w:rPr>
                <w:rFonts w:ascii="Times New Roman"/>
                <w:sz w:val="21"/>
              </w:rPr>
            </w:pPr>
            <w:r>
              <w:rPr>
                <w:rFonts w:ascii="Times New Roman"/>
                <w:w w:val="100"/>
                <w:sz w:val="21"/>
              </w:rPr>
              <w:t>1</w:t>
            </w:r>
          </w:p>
        </w:tc>
        <w:tc>
          <w:tcPr>
            <w:tcW w:w="953" w:type="dxa"/>
            <w:vMerge w:val="restart"/>
          </w:tcPr>
          <w:p>
            <w:pPr>
              <w:pStyle w:val="TableParagraph"/>
              <w:spacing w:before="7"/>
              <w:jc w:val="left"/>
              <w:rPr>
                <w:b/>
                <w:sz w:val="15"/>
              </w:rPr>
            </w:pPr>
          </w:p>
          <w:p>
            <w:pPr>
              <w:pStyle w:val="TableParagraph"/>
              <w:spacing w:line="213" w:lineRule="auto"/>
              <w:ind w:left="263" w:right="45" w:hanging="212"/>
              <w:jc w:val="left"/>
              <w:rPr>
                <w:sz w:val="21"/>
              </w:rPr>
            </w:pPr>
            <w:r>
              <w:rPr>
                <w:sz w:val="21"/>
              </w:rPr>
              <w:t>泄漏导致火灾</w:t>
            </w:r>
          </w:p>
        </w:tc>
        <w:tc>
          <w:tcPr>
            <w:tcW w:w="828" w:type="dxa"/>
            <w:vMerge w:val="restart"/>
          </w:tcPr>
          <w:p>
            <w:pPr>
              <w:pStyle w:val="TableParagraph"/>
              <w:spacing w:before="7"/>
              <w:jc w:val="left"/>
              <w:rPr>
                <w:b/>
                <w:sz w:val="15"/>
              </w:rPr>
            </w:pPr>
          </w:p>
          <w:p>
            <w:pPr>
              <w:pStyle w:val="TableParagraph"/>
              <w:spacing w:line="213" w:lineRule="auto"/>
              <w:ind w:left="306" w:right="86" w:hanging="212"/>
              <w:jc w:val="left"/>
              <w:rPr>
                <w:sz w:val="21"/>
              </w:rPr>
            </w:pPr>
            <w:r>
              <w:rPr>
                <w:sz w:val="21"/>
              </w:rPr>
              <w:t>生产车间</w:t>
            </w:r>
          </w:p>
        </w:tc>
        <w:tc>
          <w:tcPr>
            <w:tcW w:w="1169" w:type="dxa"/>
          </w:tcPr>
          <w:p>
            <w:pPr>
              <w:pStyle w:val="TableParagraph"/>
              <w:spacing w:before="17"/>
              <w:ind w:left="142" w:right="132"/>
              <w:rPr>
                <w:rFonts w:ascii="Times New Roman"/>
                <w:sz w:val="21"/>
              </w:rPr>
            </w:pPr>
            <w:r>
              <w:rPr>
                <w:rFonts w:ascii="Times New Roman"/>
                <w:sz w:val="21"/>
              </w:rPr>
              <w:t>CO</w:t>
            </w:r>
          </w:p>
        </w:tc>
        <w:tc>
          <w:tcPr>
            <w:tcW w:w="967" w:type="dxa"/>
          </w:tcPr>
          <w:p>
            <w:pPr>
              <w:pStyle w:val="TableParagraph"/>
              <w:spacing w:line="259" w:lineRule="exact" w:before="3"/>
              <w:ind w:left="141" w:right="129"/>
              <w:rPr>
                <w:sz w:val="21"/>
              </w:rPr>
            </w:pPr>
            <w:r>
              <w:rPr>
                <w:sz w:val="21"/>
              </w:rPr>
              <w:t>大气</w:t>
            </w:r>
          </w:p>
        </w:tc>
        <w:tc>
          <w:tcPr>
            <w:tcW w:w="1123" w:type="dxa"/>
          </w:tcPr>
          <w:p>
            <w:pPr>
              <w:pStyle w:val="TableParagraph"/>
              <w:spacing w:before="17"/>
              <w:ind w:left="151"/>
              <w:jc w:val="left"/>
              <w:rPr>
                <w:rFonts w:ascii="Times New Roman"/>
                <w:sz w:val="21"/>
              </w:rPr>
            </w:pPr>
            <w:r>
              <w:rPr>
                <w:rFonts w:ascii="Times New Roman"/>
                <w:sz w:val="21"/>
              </w:rPr>
              <w:t>0.128kg/s</w:t>
            </w:r>
          </w:p>
        </w:tc>
        <w:tc>
          <w:tcPr>
            <w:tcW w:w="1475" w:type="dxa"/>
          </w:tcPr>
          <w:p>
            <w:pPr>
              <w:pStyle w:val="TableParagraph"/>
              <w:spacing w:before="17"/>
              <w:ind w:left="90" w:right="80"/>
              <w:rPr>
                <w:rFonts w:ascii="Times New Roman"/>
                <w:sz w:val="21"/>
              </w:rPr>
            </w:pPr>
            <w:r>
              <w:rPr>
                <w:rFonts w:ascii="Times New Roman"/>
                <w:sz w:val="21"/>
              </w:rPr>
              <w:t>15</w:t>
            </w:r>
          </w:p>
        </w:tc>
        <w:tc>
          <w:tcPr>
            <w:tcW w:w="1236" w:type="dxa"/>
          </w:tcPr>
          <w:p>
            <w:pPr>
              <w:pStyle w:val="TableParagraph"/>
              <w:spacing w:before="17"/>
              <w:ind w:left="12"/>
              <w:rPr>
                <w:rFonts w:ascii="Times New Roman"/>
                <w:sz w:val="21"/>
              </w:rPr>
            </w:pPr>
            <w:r>
              <w:rPr>
                <w:rFonts w:ascii="Times New Roman"/>
                <w:w w:val="100"/>
                <w:sz w:val="21"/>
              </w:rPr>
              <w:t>/</w:t>
            </w:r>
          </w:p>
        </w:tc>
        <w:tc>
          <w:tcPr>
            <w:tcW w:w="1106" w:type="dxa"/>
          </w:tcPr>
          <w:p>
            <w:pPr>
              <w:pStyle w:val="TableParagraph"/>
              <w:spacing w:before="17"/>
              <w:ind w:left="18"/>
              <w:rPr>
                <w:rFonts w:ascii="Times New Roman"/>
                <w:sz w:val="21"/>
              </w:rPr>
            </w:pPr>
            <w:r>
              <w:rPr>
                <w:rFonts w:ascii="Times New Roman"/>
                <w:w w:val="100"/>
                <w:sz w:val="21"/>
              </w:rPr>
              <w:t>/</w:t>
            </w:r>
          </w:p>
        </w:tc>
      </w:tr>
      <w:tr>
        <w:trPr>
          <w:trHeight w:val="285" w:hRule="atLeast"/>
        </w:trPr>
        <w:tc>
          <w:tcPr>
            <w:tcW w:w="427" w:type="dxa"/>
            <w:vMerge/>
            <w:tcBorders>
              <w:top w:val="nil"/>
            </w:tcBorders>
          </w:tcPr>
          <w:p>
            <w:pPr>
              <w:rPr>
                <w:sz w:val="2"/>
                <w:szCs w:val="2"/>
              </w:rPr>
            </w:pPr>
          </w:p>
        </w:tc>
        <w:tc>
          <w:tcPr>
            <w:tcW w:w="953" w:type="dxa"/>
            <w:vMerge/>
            <w:tcBorders>
              <w:top w:val="nil"/>
            </w:tcBorders>
          </w:tcPr>
          <w:p>
            <w:pPr>
              <w:rPr>
                <w:sz w:val="2"/>
                <w:szCs w:val="2"/>
              </w:rPr>
            </w:pPr>
          </w:p>
        </w:tc>
        <w:tc>
          <w:tcPr>
            <w:tcW w:w="828" w:type="dxa"/>
            <w:vMerge/>
            <w:tcBorders>
              <w:top w:val="nil"/>
            </w:tcBorders>
          </w:tcPr>
          <w:p>
            <w:pPr>
              <w:rPr>
                <w:sz w:val="2"/>
                <w:szCs w:val="2"/>
              </w:rPr>
            </w:pPr>
          </w:p>
        </w:tc>
        <w:tc>
          <w:tcPr>
            <w:tcW w:w="1169" w:type="dxa"/>
          </w:tcPr>
          <w:p>
            <w:pPr>
              <w:pStyle w:val="TableParagraph"/>
              <w:spacing w:line="262" w:lineRule="exact" w:before="3"/>
              <w:ind w:left="143" w:right="132"/>
              <w:rPr>
                <w:sz w:val="21"/>
              </w:rPr>
            </w:pPr>
            <w:r>
              <w:rPr>
                <w:sz w:val="21"/>
              </w:rPr>
              <w:t>甲酸</w:t>
            </w:r>
          </w:p>
        </w:tc>
        <w:tc>
          <w:tcPr>
            <w:tcW w:w="967" w:type="dxa"/>
          </w:tcPr>
          <w:p>
            <w:pPr>
              <w:pStyle w:val="TableParagraph"/>
              <w:spacing w:line="262" w:lineRule="exact" w:before="3"/>
              <w:ind w:left="141" w:right="129"/>
              <w:rPr>
                <w:sz w:val="21"/>
              </w:rPr>
            </w:pPr>
            <w:r>
              <w:rPr>
                <w:sz w:val="21"/>
              </w:rPr>
              <w:t>大气</w:t>
            </w:r>
          </w:p>
        </w:tc>
        <w:tc>
          <w:tcPr>
            <w:tcW w:w="1123" w:type="dxa"/>
          </w:tcPr>
          <w:p>
            <w:pPr>
              <w:pStyle w:val="TableParagraph"/>
              <w:spacing w:before="17"/>
              <w:ind w:left="204"/>
              <w:jc w:val="left"/>
              <w:rPr>
                <w:rFonts w:ascii="Times New Roman"/>
                <w:sz w:val="21"/>
              </w:rPr>
            </w:pPr>
            <w:r>
              <w:rPr>
                <w:rFonts w:ascii="Times New Roman"/>
                <w:sz w:val="21"/>
              </w:rPr>
              <w:t>0.08kg/s</w:t>
            </w:r>
          </w:p>
        </w:tc>
        <w:tc>
          <w:tcPr>
            <w:tcW w:w="1475" w:type="dxa"/>
          </w:tcPr>
          <w:p>
            <w:pPr>
              <w:pStyle w:val="TableParagraph"/>
              <w:spacing w:before="17"/>
              <w:ind w:left="90" w:right="80"/>
              <w:rPr>
                <w:rFonts w:ascii="Times New Roman"/>
                <w:sz w:val="21"/>
              </w:rPr>
            </w:pPr>
            <w:r>
              <w:rPr>
                <w:rFonts w:ascii="Times New Roman"/>
                <w:sz w:val="21"/>
              </w:rPr>
              <w:t>15</w:t>
            </w:r>
          </w:p>
        </w:tc>
        <w:tc>
          <w:tcPr>
            <w:tcW w:w="1236" w:type="dxa"/>
          </w:tcPr>
          <w:p>
            <w:pPr>
              <w:pStyle w:val="TableParagraph"/>
              <w:spacing w:before="17"/>
              <w:ind w:left="12"/>
              <w:rPr>
                <w:rFonts w:ascii="Times New Roman"/>
                <w:sz w:val="21"/>
              </w:rPr>
            </w:pPr>
            <w:r>
              <w:rPr>
                <w:rFonts w:ascii="Times New Roman"/>
                <w:w w:val="100"/>
                <w:sz w:val="21"/>
              </w:rPr>
              <w:t>/</w:t>
            </w:r>
          </w:p>
        </w:tc>
        <w:tc>
          <w:tcPr>
            <w:tcW w:w="1106" w:type="dxa"/>
          </w:tcPr>
          <w:p>
            <w:pPr>
              <w:pStyle w:val="TableParagraph"/>
              <w:spacing w:before="17"/>
              <w:ind w:left="18"/>
              <w:rPr>
                <w:rFonts w:ascii="Times New Roman"/>
                <w:sz w:val="21"/>
              </w:rPr>
            </w:pPr>
            <w:r>
              <w:rPr>
                <w:rFonts w:ascii="Times New Roman"/>
                <w:w w:val="100"/>
                <w:sz w:val="21"/>
              </w:rPr>
              <w:t>/</w:t>
            </w:r>
          </w:p>
        </w:tc>
      </w:tr>
      <w:tr>
        <w:trPr>
          <w:trHeight w:val="282" w:hRule="atLeast"/>
        </w:trPr>
        <w:tc>
          <w:tcPr>
            <w:tcW w:w="427" w:type="dxa"/>
            <w:vMerge/>
            <w:tcBorders>
              <w:top w:val="nil"/>
            </w:tcBorders>
          </w:tcPr>
          <w:p>
            <w:pPr>
              <w:rPr>
                <w:sz w:val="2"/>
                <w:szCs w:val="2"/>
              </w:rPr>
            </w:pPr>
          </w:p>
        </w:tc>
        <w:tc>
          <w:tcPr>
            <w:tcW w:w="953" w:type="dxa"/>
            <w:vMerge/>
            <w:tcBorders>
              <w:top w:val="nil"/>
            </w:tcBorders>
          </w:tcPr>
          <w:p>
            <w:pPr>
              <w:rPr>
                <w:sz w:val="2"/>
                <w:szCs w:val="2"/>
              </w:rPr>
            </w:pPr>
          </w:p>
        </w:tc>
        <w:tc>
          <w:tcPr>
            <w:tcW w:w="828" w:type="dxa"/>
            <w:vMerge/>
            <w:tcBorders>
              <w:top w:val="nil"/>
            </w:tcBorders>
          </w:tcPr>
          <w:p>
            <w:pPr>
              <w:rPr>
                <w:sz w:val="2"/>
                <w:szCs w:val="2"/>
              </w:rPr>
            </w:pPr>
          </w:p>
        </w:tc>
        <w:tc>
          <w:tcPr>
            <w:tcW w:w="1169" w:type="dxa"/>
          </w:tcPr>
          <w:p>
            <w:pPr>
              <w:pStyle w:val="TableParagraph"/>
              <w:spacing w:line="259" w:lineRule="exact" w:before="3"/>
              <w:ind w:left="141" w:right="132"/>
              <w:rPr>
                <w:sz w:val="21"/>
              </w:rPr>
            </w:pPr>
            <w:r>
              <w:rPr>
                <w:sz w:val="21"/>
              </w:rPr>
              <w:t>事故废水</w:t>
            </w:r>
          </w:p>
        </w:tc>
        <w:tc>
          <w:tcPr>
            <w:tcW w:w="967" w:type="dxa"/>
          </w:tcPr>
          <w:p>
            <w:pPr>
              <w:pStyle w:val="TableParagraph"/>
              <w:spacing w:line="259" w:lineRule="exact" w:before="3"/>
              <w:ind w:left="141" w:right="129"/>
              <w:rPr>
                <w:sz w:val="21"/>
              </w:rPr>
            </w:pPr>
            <w:r>
              <w:rPr>
                <w:sz w:val="21"/>
              </w:rPr>
              <w:t>地表水</w:t>
            </w:r>
          </w:p>
        </w:tc>
        <w:tc>
          <w:tcPr>
            <w:tcW w:w="4940" w:type="dxa"/>
            <w:gridSpan w:val="4"/>
          </w:tcPr>
          <w:p>
            <w:pPr>
              <w:pStyle w:val="TableParagraph"/>
              <w:spacing w:line="259" w:lineRule="exact" w:before="3"/>
              <w:ind w:left="2031" w:right="2018"/>
              <w:rPr>
                <w:sz w:val="21"/>
              </w:rPr>
            </w:pPr>
            <w:r>
              <w:rPr>
                <w:sz w:val="21"/>
              </w:rPr>
              <w:t>定性分析</w:t>
            </w:r>
          </w:p>
        </w:tc>
      </w:tr>
      <w:tr>
        <w:trPr>
          <w:trHeight w:val="479" w:hRule="atLeast"/>
        </w:trPr>
        <w:tc>
          <w:tcPr>
            <w:tcW w:w="427" w:type="dxa"/>
            <w:vMerge w:val="restart"/>
          </w:tcPr>
          <w:p>
            <w:pPr>
              <w:pStyle w:val="TableParagraph"/>
              <w:spacing w:before="8"/>
              <w:jc w:val="left"/>
              <w:rPr>
                <w:b/>
                <w:sz w:val="20"/>
              </w:rPr>
            </w:pPr>
          </w:p>
          <w:p>
            <w:pPr>
              <w:pStyle w:val="TableParagraph"/>
              <w:ind w:left="5"/>
              <w:rPr>
                <w:rFonts w:ascii="Times New Roman"/>
                <w:sz w:val="21"/>
              </w:rPr>
            </w:pPr>
            <w:r>
              <w:rPr>
                <w:rFonts w:ascii="Times New Roman"/>
                <w:w w:val="100"/>
                <w:sz w:val="21"/>
              </w:rPr>
              <w:t>2</w:t>
            </w:r>
          </w:p>
        </w:tc>
        <w:tc>
          <w:tcPr>
            <w:tcW w:w="953" w:type="dxa"/>
            <w:vMerge w:val="restart"/>
          </w:tcPr>
          <w:p>
            <w:pPr>
              <w:pStyle w:val="TableParagraph"/>
              <w:spacing w:before="7"/>
              <w:jc w:val="left"/>
              <w:rPr>
                <w:b/>
                <w:sz w:val="19"/>
              </w:rPr>
            </w:pPr>
          </w:p>
          <w:p>
            <w:pPr>
              <w:pStyle w:val="TableParagraph"/>
              <w:ind w:left="263"/>
              <w:jc w:val="left"/>
              <w:rPr>
                <w:sz w:val="21"/>
              </w:rPr>
            </w:pPr>
            <w:r>
              <w:rPr>
                <w:sz w:val="21"/>
              </w:rPr>
              <w:t>泄漏</w:t>
            </w:r>
          </w:p>
        </w:tc>
        <w:tc>
          <w:tcPr>
            <w:tcW w:w="828" w:type="dxa"/>
            <w:vMerge w:val="restart"/>
          </w:tcPr>
          <w:p>
            <w:pPr>
              <w:pStyle w:val="TableParagraph"/>
              <w:spacing w:before="7"/>
              <w:jc w:val="left"/>
              <w:rPr>
                <w:b/>
                <w:sz w:val="19"/>
              </w:rPr>
            </w:pPr>
          </w:p>
          <w:p>
            <w:pPr>
              <w:pStyle w:val="TableParagraph"/>
              <w:ind w:left="201"/>
              <w:jc w:val="left"/>
              <w:rPr>
                <w:sz w:val="21"/>
              </w:rPr>
            </w:pPr>
            <w:r>
              <w:rPr>
                <w:sz w:val="21"/>
              </w:rPr>
              <w:t>储罐</w:t>
            </w:r>
          </w:p>
        </w:tc>
        <w:tc>
          <w:tcPr>
            <w:tcW w:w="1169" w:type="dxa"/>
          </w:tcPr>
          <w:p>
            <w:pPr>
              <w:pStyle w:val="TableParagraph"/>
              <w:spacing w:before="102"/>
              <w:ind w:left="143" w:right="132"/>
              <w:rPr>
                <w:sz w:val="21"/>
              </w:rPr>
            </w:pPr>
            <w:r>
              <w:rPr>
                <w:sz w:val="21"/>
              </w:rPr>
              <w:t>甲酸</w:t>
            </w:r>
          </w:p>
        </w:tc>
        <w:tc>
          <w:tcPr>
            <w:tcW w:w="967" w:type="dxa"/>
          </w:tcPr>
          <w:p>
            <w:pPr>
              <w:pStyle w:val="TableParagraph"/>
              <w:spacing w:before="102"/>
              <w:ind w:left="141" w:right="129"/>
              <w:rPr>
                <w:sz w:val="21"/>
              </w:rPr>
            </w:pPr>
            <w:r>
              <w:rPr>
                <w:sz w:val="21"/>
              </w:rPr>
              <w:t>大气</w:t>
            </w:r>
          </w:p>
        </w:tc>
        <w:tc>
          <w:tcPr>
            <w:tcW w:w="1123" w:type="dxa"/>
          </w:tcPr>
          <w:p>
            <w:pPr>
              <w:pStyle w:val="TableParagraph"/>
              <w:spacing w:before="115"/>
              <w:ind w:left="151"/>
              <w:jc w:val="left"/>
              <w:rPr>
                <w:rFonts w:ascii="Times New Roman"/>
                <w:sz w:val="21"/>
              </w:rPr>
            </w:pPr>
            <w:r>
              <w:rPr>
                <w:rFonts w:ascii="Times New Roman"/>
                <w:sz w:val="21"/>
              </w:rPr>
              <w:t>0.579kg/s</w:t>
            </w:r>
          </w:p>
        </w:tc>
        <w:tc>
          <w:tcPr>
            <w:tcW w:w="1475" w:type="dxa"/>
          </w:tcPr>
          <w:p>
            <w:pPr>
              <w:pStyle w:val="TableParagraph"/>
              <w:spacing w:before="115"/>
              <w:ind w:left="90" w:right="80"/>
              <w:rPr>
                <w:rFonts w:ascii="Times New Roman"/>
                <w:sz w:val="21"/>
              </w:rPr>
            </w:pPr>
            <w:r>
              <w:rPr>
                <w:rFonts w:ascii="Times New Roman"/>
                <w:sz w:val="21"/>
              </w:rPr>
              <w:t>30</w:t>
            </w:r>
          </w:p>
        </w:tc>
        <w:tc>
          <w:tcPr>
            <w:tcW w:w="1236" w:type="dxa"/>
          </w:tcPr>
          <w:p>
            <w:pPr>
              <w:pStyle w:val="TableParagraph"/>
              <w:spacing w:before="115"/>
              <w:ind w:left="71" w:right="59"/>
              <w:rPr>
                <w:rFonts w:ascii="Times New Roman"/>
                <w:sz w:val="21"/>
              </w:rPr>
            </w:pPr>
            <w:r>
              <w:rPr>
                <w:rFonts w:ascii="Times New Roman"/>
                <w:sz w:val="21"/>
              </w:rPr>
              <w:t>1.042t</w:t>
            </w:r>
          </w:p>
        </w:tc>
        <w:tc>
          <w:tcPr>
            <w:tcW w:w="1106" w:type="dxa"/>
          </w:tcPr>
          <w:p>
            <w:pPr>
              <w:pStyle w:val="TableParagraph"/>
              <w:spacing w:line="236" w:lineRule="exact"/>
              <w:ind w:left="266"/>
              <w:jc w:val="left"/>
              <w:rPr>
                <w:rFonts w:ascii="Times New Roman"/>
                <w:sz w:val="21"/>
              </w:rPr>
            </w:pPr>
            <w:r>
              <w:rPr>
                <w:rFonts w:ascii="Times New Roman"/>
                <w:sz w:val="21"/>
              </w:rPr>
              <w:t>0.0266</w:t>
            </w:r>
          </w:p>
          <w:p>
            <w:pPr>
              <w:pStyle w:val="TableParagraph"/>
              <w:spacing w:line="223" w:lineRule="exact"/>
              <w:ind w:left="381"/>
              <w:jc w:val="left"/>
              <w:rPr>
                <w:rFonts w:ascii="Times New Roman"/>
                <w:sz w:val="21"/>
              </w:rPr>
            </w:pPr>
            <w:r>
              <w:rPr>
                <w:rFonts w:ascii="Times New Roman"/>
                <w:sz w:val="21"/>
              </w:rPr>
              <w:t>kg/s</w:t>
            </w:r>
          </w:p>
        </w:tc>
      </w:tr>
      <w:tr>
        <w:trPr>
          <w:trHeight w:val="285" w:hRule="atLeast"/>
        </w:trPr>
        <w:tc>
          <w:tcPr>
            <w:tcW w:w="427" w:type="dxa"/>
            <w:vMerge/>
            <w:tcBorders>
              <w:top w:val="nil"/>
            </w:tcBorders>
          </w:tcPr>
          <w:p>
            <w:pPr>
              <w:rPr>
                <w:sz w:val="2"/>
                <w:szCs w:val="2"/>
              </w:rPr>
            </w:pPr>
          </w:p>
        </w:tc>
        <w:tc>
          <w:tcPr>
            <w:tcW w:w="953" w:type="dxa"/>
            <w:vMerge/>
            <w:tcBorders>
              <w:top w:val="nil"/>
            </w:tcBorders>
          </w:tcPr>
          <w:p>
            <w:pPr>
              <w:rPr>
                <w:sz w:val="2"/>
                <w:szCs w:val="2"/>
              </w:rPr>
            </w:pPr>
          </w:p>
        </w:tc>
        <w:tc>
          <w:tcPr>
            <w:tcW w:w="828" w:type="dxa"/>
            <w:vMerge/>
            <w:tcBorders>
              <w:top w:val="nil"/>
            </w:tcBorders>
          </w:tcPr>
          <w:p>
            <w:pPr>
              <w:rPr>
                <w:sz w:val="2"/>
                <w:szCs w:val="2"/>
              </w:rPr>
            </w:pPr>
          </w:p>
        </w:tc>
        <w:tc>
          <w:tcPr>
            <w:tcW w:w="1169" w:type="dxa"/>
          </w:tcPr>
          <w:p>
            <w:pPr>
              <w:pStyle w:val="TableParagraph"/>
              <w:spacing w:line="259" w:lineRule="exact" w:before="5"/>
              <w:ind w:left="143" w:right="132"/>
              <w:rPr>
                <w:sz w:val="21"/>
              </w:rPr>
            </w:pPr>
            <w:r>
              <w:rPr>
                <w:sz w:val="21"/>
              </w:rPr>
              <w:t>甲酸</w:t>
            </w:r>
          </w:p>
        </w:tc>
        <w:tc>
          <w:tcPr>
            <w:tcW w:w="967" w:type="dxa"/>
          </w:tcPr>
          <w:p>
            <w:pPr>
              <w:pStyle w:val="TableParagraph"/>
              <w:spacing w:line="259" w:lineRule="exact" w:before="5"/>
              <w:ind w:left="141" w:right="129"/>
              <w:rPr>
                <w:sz w:val="21"/>
              </w:rPr>
            </w:pPr>
            <w:r>
              <w:rPr>
                <w:sz w:val="21"/>
              </w:rPr>
              <w:t>地下水</w:t>
            </w:r>
          </w:p>
        </w:tc>
        <w:tc>
          <w:tcPr>
            <w:tcW w:w="4940" w:type="dxa"/>
            <w:gridSpan w:val="4"/>
          </w:tcPr>
          <w:p>
            <w:pPr>
              <w:pStyle w:val="TableParagraph"/>
              <w:spacing w:line="259" w:lineRule="exact" w:before="5"/>
              <w:ind w:left="2031" w:right="2018"/>
              <w:rPr>
                <w:sz w:val="21"/>
              </w:rPr>
            </w:pPr>
            <w:r>
              <w:rPr>
                <w:sz w:val="21"/>
              </w:rPr>
              <w:t>定性分析</w:t>
            </w:r>
          </w:p>
        </w:tc>
      </w:tr>
      <w:tr>
        <w:trPr>
          <w:trHeight w:val="480" w:hRule="atLeast"/>
        </w:trPr>
        <w:tc>
          <w:tcPr>
            <w:tcW w:w="427" w:type="dxa"/>
          </w:tcPr>
          <w:p>
            <w:pPr>
              <w:pStyle w:val="TableParagraph"/>
              <w:spacing w:before="116"/>
              <w:ind w:left="5"/>
              <w:rPr>
                <w:rFonts w:ascii="Times New Roman"/>
                <w:sz w:val="21"/>
              </w:rPr>
            </w:pPr>
            <w:r>
              <w:rPr>
                <w:rFonts w:ascii="Times New Roman"/>
                <w:w w:val="100"/>
                <w:sz w:val="21"/>
              </w:rPr>
              <w:t>3</w:t>
            </w:r>
          </w:p>
        </w:tc>
        <w:tc>
          <w:tcPr>
            <w:tcW w:w="953" w:type="dxa"/>
          </w:tcPr>
          <w:p>
            <w:pPr>
              <w:pStyle w:val="TableParagraph"/>
              <w:spacing w:before="102"/>
              <w:ind w:left="263"/>
              <w:jc w:val="left"/>
              <w:rPr>
                <w:sz w:val="21"/>
              </w:rPr>
            </w:pPr>
            <w:r>
              <w:rPr>
                <w:sz w:val="21"/>
              </w:rPr>
              <w:t>泄漏</w:t>
            </w:r>
          </w:p>
        </w:tc>
        <w:tc>
          <w:tcPr>
            <w:tcW w:w="828" w:type="dxa"/>
          </w:tcPr>
          <w:p>
            <w:pPr>
              <w:pStyle w:val="TableParagraph"/>
              <w:spacing w:line="240" w:lineRule="exact"/>
              <w:ind w:left="306" w:right="86" w:hanging="212"/>
              <w:jc w:val="left"/>
              <w:rPr>
                <w:sz w:val="21"/>
              </w:rPr>
            </w:pPr>
            <w:r>
              <w:rPr>
                <w:sz w:val="21"/>
              </w:rPr>
              <w:t>生产车间</w:t>
            </w:r>
          </w:p>
        </w:tc>
        <w:tc>
          <w:tcPr>
            <w:tcW w:w="1169" w:type="dxa"/>
          </w:tcPr>
          <w:p>
            <w:pPr>
              <w:pStyle w:val="TableParagraph"/>
              <w:spacing w:before="102"/>
              <w:ind w:left="141" w:right="132"/>
              <w:rPr>
                <w:sz w:val="21"/>
              </w:rPr>
            </w:pPr>
            <w:r>
              <w:rPr>
                <w:sz w:val="21"/>
              </w:rPr>
              <w:t>农药粉尘</w:t>
            </w:r>
          </w:p>
        </w:tc>
        <w:tc>
          <w:tcPr>
            <w:tcW w:w="967" w:type="dxa"/>
          </w:tcPr>
          <w:p>
            <w:pPr>
              <w:pStyle w:val="TableParagraph"/>
              <w:spacing w:before="102"/>
              <w:ind w:left="141" w:right="129"/>
              <w:rPr>
                <w:sz w:val="21"/>
              </w:rPr>
            </w:pPr>
            <w:r>
              <w:rPr>
                <w:sz w:val="21"/>
              </w:rPr>
              <w:t>大气</w:t>
            </w:r>
          </w:p>
        </w:tc>
        <w:tc>
          <w:tcPr>
            <w:tcW w:w="4940" w:type="dxa"/>
            <w:gridSpan w:val="4"/>
          </w:tcPr>
          <w:p>
            <w:pPr>
              <w:pStyle w:val="TableParagraph"/>
              <w:spacing w:before="102"/>
              <w:ind w:left="2031" w:right="2018"/>
              <w:rPr>
                <w:sz w:val="21"/>
              </w:rPr>
            </w:pPr>
            <w:r>
              <w:rPr>
                <w:sz w:val="21"/>
              </w:rPr>
              <w:t>定性分析</w:t>
            </w:r>
          </w:p>
        </w:tc>
      </w:tr>
    </w:tbl>
    <w:p>
      <w:pPr>
        <w:pStyle w:val="Heading3"/>
        <w:numPr>
          <w:ilvl w:val="1"/>
          <w:numId w:val="23"/>
        </w:numPr>
        <w:tabs>
          <w:tab w:pos="639" w:val="left" w:leader="none"/>
        </w:tabs>
        <w:spacing w:line="240" w:lineRule="auto" w:before="3" w:after="0"/>
        <w:ind w:left="638" w:right="0" w:hanging="421"/>
        <w:jc w:val="left"/>
      </w:pPr>
      <w:bookmarkStart w:name="_bookmark53" w:id="107"/>
      <w:bookmarkEnd w:id="107"/>
      <w:r>
        <w:rPr>
          <w:b w:val="0"/>
        </w:rPr>
      </w:r>
      <w:bookmarkStart w:name="_bookmark53" w:id="108"/>
      <w:bookmarkEnd w:id="108"/>
      <w:r>
        <w:rPr/>
        <w:t>风险预测与评价</w:t>
      </w:r>
    </w:p>
    <w:p>
      <w:pPr>
        <w:pStyle w:val="ListParagraph"/>
        <w:numPr>
          <w:ilvl w:val="2"/>
          <w:numId w:val="23"/>
        </w:numPr>
        <w:tabs>
          <w:tab w:pos="999" w:val="left" w:leader="none"/>
        </w:tabs>
        <w:spacing w:line="240" w:lineRule="auto" w:before="185" w:after="0"/>
        <w:ind w:left="998" w:right="0" w:hanging="541"/>
        <w:jc w:val="left"/>
        <w:rPr>
          <w:b/>
          <w:sz w:val="24"/>
        </w:rPr>
      </w:pPr>
      <w:r>
        <w:rPr>
          <w:b/>
          <w:sz w:val="24"/>
        </w:rPr>
        <w:t>风险预测（有毒有害物质在大气中的扩散）</w:t>
      </w:r>
    </w:p>
    <w:p>
      <w:pPr>
        <w:spacing w:before="161"/>
        <w:ind w:left="701" w:right="0" w:firstLine="0"/>
        <w:jc w:val="left"/>
        <w:rPr>
          <w:b/>
          <w:sz w:val="24"/>
        </w:rPr>
      </w:pPr>
      <w:r>
        <w:rPr>
          <w:b/>
          <w:sz w:val="24"/>
        </w:rPr>
        <w:t>1、参数设置</w:t>
      </w:r>
    </w:p>
    <w:p>
      <w:pPr>
        <w:pStyle w:val="BodyText"/>
        <w:spacing w:before="158"/>
        <w:ind w:left="698"/>
      </w:pPr>
      <w:r>
        <w:rPr/>
        <w:t>①判断气体性质</w:t>
      </w:r>
    </w:p>
    <w:p>
      <w:pPr>
        <w:pStyle w:val="BodyText"/>
        <w:spacing w:before="160"/>
        <w:ind w:left="698"/>
      </w:pPr>
      <w:r>
        <w:rPr/>
        <w:t>采用理查德森数（</w:t>
      </w:r>
      <w:r>
        <w:rPr>
          <w:rFonts w:ascii="Times New Roman" w:eastAsia="Times New Roman"/>
        </w:rPr>
        <w:t>Ri</w:t>
      </w:r>
      <w:r>
        <w:rPr/>
        <w:t>）来判断烟团</w:t>
      </w:r>
      <w:r>
        <w:rPr>
          <w:rFonts w:ascii="Times New Roman" w:eastAsia="Times New Roman"/>
        </w:rPr>
        <w:t>/</w:t>
      </w:r>
      <w:r>
        <w:rPr/>
        <w:t>烟羽是否为重质气体。</w:t>
      </w:r>
    </w:p>
    <w:p>
      <w:pPr>
        <w:pStyle w:val="BodyText"/>
        <w:spacing w:before="158"/>
        <w:ind w:left="698"/>
      </w:pPr>
      <w:r>
        <w:rPr>
          <w:spacing w:val="10"/>
        </w:rPr>
        <w:t>对比排放时间 </w:t>
      </w:r>
      <w:r>
        <w:rPr>
          <w:rFonts w:ascii="Times New Roman" w:eastAsia="Times New Roman"/>
        </w:rPr>
        <w:t>Td</w:t>
      </w:r>
      <w:r>
        <w:rPr>
          <w:rFonts w:ascii="Times New Roman" w:eastAsia="Times New Roman"/>
          <w:spacing w:val="6"/>
        </w:rPr>
        <w:t>  </w:t>
      </w:r>
      <w:r>
        <w:rPr>
          <w:spacing w:val="9"/>
        </w:rPr>
        <w:t>和污染物到达最近的受体点</w:t>
      </w:r>
      <w:r>
        <w:rPr>
          <w:spacing w:val="11"/>
        </w:rPr>
        <w:t>（</w:t>
      </w:r>
      <w:r>
        <w:rPr>
          <w:spacing w:val="9"/>
        </w:rPr>
        <w:t>网格点或敏感点</w:t>
      </w:r>
      <w:r>
        <w:rPr>
          <w:spacing w:val="11"/>
        </w:rPr>
        <w:t>）的时间 </w:t>
      </w:r>
      <w:r>
        <w:rPr>
          <w:rFonts w:ascii="Times New Roman" w:eastAsia="Times New Roman"/>
          <w:spacing w:val="5"/>
        </w:rPr>
        <w:t>T</w:t>
      </w:r>
      <w:r>
        <w:rPr>
          <w:spacing w:val="5"/>
        </w:rPr>
        <w:t>：</w:t>
      </w:r>
    </w:p>
    <w:p>
      <w:pPr>
        <w:pStyle w:val="BodyText"/>
        <w:spacing w:before="161"/>
        <w:ind w:left="218"/>
        <w:rPr>
          <w:rFonts w:ascii="Times New Roman" w:hAnsi="Times New Roman" w:eastAsia="Times New Roman"/>
        </w:rPr>
      </w:pPr>
      <w:r>
        <w:rPr>
          <w:rFonts w:ascii="Times New Roman" w:hAnsi="Times New Roman" w:eastAsia="Times New Roman"/>
          <w:spacing w:val="-1"/>
        </w:rPr>
        <w:t>T=</w:t>
      </w:r>
      <w:r>
        <w:rPr>
          <w:rFonts w:ascii="Times New Roman" w:hAnsi="Times New Roman" w:eastAsia="Times New Roman"/>
          <w:w w:val="99"/>
        </w:rPr>
        <w:t>2X/</w:t>
      </w:r>
      <w:r>
        <w:rPr>
          <w:rFonts w:ascii="Times New Roman" w:hAnsi="Times New Roman" w:eastAsia="Times New Roman"/>
          <w:spacing w:val="-42"/>
          <w:w w:val="99"/>
        </w:rPr>
        <w:t>U</w:t>
      </w:r>
      <w:r>
        <w:rPr>
          <w:spacing w:val="-199"/>
        </w:rPr>
        <w:t>（</w:t>
      </w:r>
      <w:r>
        <w:rPr>
          <w:rFonts w:ascii="Times New Roman" w:hAnsi="Times New Roman" w:eastAsia="Times New Roman"/>
        </w:rPr>
        <w:t>r</w:t>
      </w:r>
      <w:r>
        <w:rPr>
          <w:rFonts w:ascii="Times New Roman" w:hAnsi="Times New Roman" w:eastAsia="Times New Roman"/>
          <w:spacing w:val="-1"/>
        </w:rPr>
        <w:t>  </w:t>
      </w:r>
      <w:r>
        <w:rPr>
          <w:rFonts w:ascii="Times New Roman" w:hAnsi="Times New Roman" w:eastAsia="Times New Roman"/>
          <w:w w:val="99"/>
        </w:rPr>
        <w:t>X</w:t>
      </w:r>
      <w:r>
        <w:rPr>
          <w:rFonts w:ascii="Times New Roman" w:hAnsi="Times New Roman" w:eastAsia="Times New Roman"/>
          <w:spacing w:val="-1"/>
        </w:rPr>
        <w:t> ——</w:t>
      </w:r>
      <w:r>
        <w:rPr>
          <w:spacing w:val="-10"/>
        </w:rPr>
        <w:t>事故发生地与计算点的距离，</w:t>
      </w:r>
      <w:r>
        <w:rPr>
          <w:rFonts w:ascii="Times New Roman" w:hAnsi="Times New Roman" w:eastAsia="Times New Roman"/>
        </w:rPr>
        <w:t>m</w:t>
      </w:r>
      <w:r>
        <w:rPr>
          <w:spacing w:val="-20"/>
        </w:rPr>
        <w:t>，本项目取最近网格点 </w:t>
      </w:r>
      <w:r>
        <w:rPr>
          <w:rFonts w:ascii="Times New Roman" w:hAnsi="Times New Roman" w:eastAsia="Times New Roman"/>
        </w:rPr>
        <w:t>100m</w:t>
      </w:r>
      <w:r>
        <w:rPr>
          <w:spacing w:val="-120"/>
        </w:rPr>
        <w:t>；</w:t>
      </w:r>
      <w:r>
        <w:rPr>
          <w:rFonts w:ascii="Times New Roman" w:hAnsi="Times New Roman" w:eastAsia="Times New Roman"/>
          <w:spacing w:val="-1"/>
          <w:w w:val="99"/>
        </w:rPr>
        <w:t>Ur</w:t>
      </w:r>
      <w:r>
        <w:rPr>
          <w:rFonts w:ascii="Times New Roman" w:hAnsi="Times New Roman" w:eastAsia="Times New Roman"/>
        </w:rPr>
        <w:t>——10m</w:t>
      </w:r>
    </w:p>
    <w:p>
      <w:pPr>
        <w:pStyle w:val="BodyText"/>
        <w:spacing w:line="364" w:lineRule="auto" w:before="158"/>
        <w:ind w:left="218" w:right="234"/>
      </w:pPr>
      <w:r>
        <w:rPr>
          <w:spacing w:val="-2"/>
        </w:rPr>
        <w:t>高处风速，</w:t>
      </w:r>
      <w:r>
        <w:rPr>
          <w:rFonts w:ascii="Times New Roman" w:eastAsia="Times New Roman"/>
          <w:spacing w:val="-6"/>
        </w:rPr>
        <w:t>m/s</w:t>
      </w:r>
      <w:r>
        <w:rPr>
          <w:spacing w:val="-8"/>
        </w:rPr>
        <w:t>，本项目取上虞区年平均风速 </w:t>
      </w:r>
      <w:r>
        <w:rPr>
          <w:rFonts w:ascii="Times New Roman" w:eastAsia="Times New Roman"/>
        </w:rPr>
        <w:t>2.4m/s</w:t>
      </w:r>
      <w:r>
        <w:rPr>
          <w:spacing w:val="-4"/>
        </w:rPr>
        <w:t>。假设风速和风向在 </w:t>
      </w:r>
      <w:r>
        <w:rPr>
          <w:rFonts w:ascii="Times New Roman" w:eastAsia="Times New Roman"/>
        </w:rPr>
        <w:t>T</w:t>
      </w:r>
      <w:r>
        <w:rPr>
          <w:rFonts w:ascii="Times New Roman" w:eastAsia="Times New Roman"/>
          <w:spacing w:val="55"/>
        </w:rPr>
        <w:t> </w:t>
      </w:r>
      <w:r>
        <w:rPr/>
        <w:t>时间段内保持不变</w:t>
      </w:r>
      <w:r>
        <w:rPr>
          <w:spacing w:val="-120"/>
        </w:rPr>
        <w:t>）</w:t>
      </w:r>
      <w:r>
        <w:rPr>
          <w:spacing w:val="-21"/>
        </w:rPr>
        <w:t>，得 </w:t>
      </w:r>
      <w:r>
        <w:rPr>
          <w:rFonts w:ascii="Times New Roman" w:eastAsia="Times New Roman"/>
        </w:rPr>
        <w:t>T</w:t>
      </w:r>
      <w:r>
        <w:rPr>
          <w:rFonts w:ascii="Times New Roman" w:eastAsia="Times New Roman"/>
          <w:spacing w:val="-2"/>
        </w:rPr>
        <w:t>=</w:t>
      </w:r>
      <w:r>
        <w:rPr>
          <w:rFonts w:ascii="Times New Roman" w:eastAsia="Times New Roman"/>
        </w:rPr>
        <w:t>83.3s</w:t>
      </w:r>
      <w:r>
        <w:rPr>
          <w:spacing w:val="-15"/>
        </w:rPr>
        <w:t>，因此 </w:t>
      </w:r>
      <w:r>
        <w:rPr>
          <w:rFonts w:ascii="Times New Roman" w:eastAsia="Times New Roman"/>
          <w:spacing w:val="-1"/>
        </w:rPr>
        <w:t>T</w:t>
      </w:r>
      <w:r>
        <w:rPr>
          <w:rFonts w:ascii="Times New Roman" w:eastAsia="Times New Roman"/>
        </w:rPr>
        <w:t>d</w:t>
      </w:r>
      <w:r>
        <w:rPr/>
        <w:t>＞</w:t>
      </w:r>
      <w:r>
        <w:rPr>
          <w:rFonts w:ascii="Times New Roman" w:eastAsia="Times New Roman"/>
          <w:spacing w:val="-1"/>
        </w:rPr>
        <w:t>T</w:t>
      </w:r>
      <w:r>
        <w:rPr/>
        <w:t>，可认为本项目为连续排放。</w:t>
      </w:r>
    </w:p>
    <w:p>
      <w:pPr>
        <w:pStyle w:val="BodyText"/>
        <w:spacing w:line="306" w:lineRule="exact"/>
        <w:ind w:left="698"/>
      </w:pPr>
      <w:r>
        <w:rPr/>
        <w:t>连续排放，理查德森数计算如下：</w:t>
      </w:r>
    </w:p>
    <w:p>
      <w:pPr>
        <w:pStyle w:val="BodyText"/>
        <w:spacing w:before="6"/>
      </w:pPr>
      <w:r>
        <w:rPr/>
        <w:drawing>
          <wp:anchor distT="0" distB="0" distL="0" distR="0" allowOverlap="1" layoutInCell="1" locked="0" behindDoc="0" simplePos="0" relativeHeight="272">
            <wp:simplePos x="0" y="0"/>
            <wp:positionH relativeFrom="page">
              <wp:posOffset>1500825</wp:posOffset>
            </wp:positionH>
            <wp:positionV relativeFrom="paragraph">
              <wp:posOffset>224107</wp:posOffset>
            </wp:positionV>
            <wp:extent cx="1610019" cy="495300"/>
            <wp:effectExtent l="0" t="0" r="0" b="0"/>
            <wp:wrapTopAndBottom/>
            <wp:docPr id="83" name="image86.jpeg"/>
            <wp:cNvGraphicFramePr>
              <a:graphicFrameLocks noChangeAspect="1"/>
            </wp:cNvGraphicFramePr>
            <a:graphic>
              <a:graphicData uri="http://schemas.openxmlformats.org/drawingml/2006/picture">
                <pic:pic>
                  <pic:nvPicPr>
                    <pic:cNvPr id="84" name="image86.jpeg"/>
                    <pic:cNvPicPr/>
                  </pic:nvPicPr>
                  <pic:blipFill>
                    <a:blip r:embed="rId160" cstate="print"/>
                    <a:stretch>
                      <a:fillRect/>
                    </a:stretch>
                  </pic:blipFill>
                  <pic:spPr>
                    <a:xfrm>
                      <a:off x="0" y="0"/>
                      <a:ext cx="1610019" cy="495300"/>
                    </a:xfrm>
                    <a:prstGeom prst="rect">
                      <a:avLst/>
                    </a:prstGeom>
                  </pic:spPr>
                </pic:pic>
              </a:graphicData>
            </a:graphic>
          </wp:anchor>
        </w:drawing>
      </w:r>
    </w:p>
    <w:p>
      <w:pPr>
        <w:pStyle w:val="BodyText"/>
        <w:spacing w:before="3"/>
        <w:rPr>
          <w:sz w:val="19"/>
        </w:rPr>
      </w:pPr>
    </w:p>
    <w:p>
      <w:pPr>
        <w:pStyle w:val="BodyText"/>
        <w:spacing w:line="362" w:lineRule="auto"/>
        <w:ind w:left="218" w:right="232" w:firstLine="480"/>
      </w:pPr>
      <w:r>
        <w:rPr/>
        <w:t>式中：</w:t>
      </w:r>
      <w:r>
        <w:rPr>
          <w:rFonts w:ascii="Times New Roman" w:hAnsi="Times New Roman" w:eastAsia="Times New Roman"/>
        </w:rPr>
        <w:t>ρrel ——</w:t>
      </w:r>
      <w:r>
        <w:rPr/>
        <w:t>排放物质进入大气的初始密度，</w:t>
      </w:r>
      <w:r>
        <w:rPr>
          <w:rFonts w:ascii="Times New Roman" w:hAnsi="Times New Roman" w:eastAsia="Times New Roman"/>
        </w:rPr>
        <w:t>kg/m</w:t>
      </w:r>
      <w:r>
        <w:rPr>
          <w:rFonts w:ascii="Times New Roman" w:hAnsi="Times New Roman" w:eastAsia="Times New Roman"/>
          <w:position w:val="9"/>
          <w:sz w:val="16"/>
        </w:rPr>
        <w:t>3</w:t>
      </w:r>
      <w:r>
        <w:rPr/>
        <w:t>，一氧化碳 </w:t>
      </w:r>
      <w:r>
        <w:rPr>
          <w:rFonts w:ascii="Times New Roman" w:hAnsi="Times New Roman" w:eastAsia="Times New Roman"/>
        </w:rPr>
        <w:t>1.25kg/m</w:t>
      </w:r>
      <w:r>
        <w:rPr>
          <w:rFonts w:ascii="Times New Roman" w:hAnsi="Times New Roman" w:eastAsia="Times New Roman"/>
          <w:position w:val="9"/>
          <w:sz w:val="16"/>
        </w:rPr>
        <w:t>3</w:t>
      </w:r>
      <w:r>
        <w:rPr/>
        <w:t>，甲酸</w:t>
      </w:r>
      <w:r>
        <w:rPr>
          <w:rFonts w:ascii="Times New Roman" w:hAnsi="Times New Roman" w:eastAsia="Times New Roman"/>
        </w:rPr>
        <w:t>1120kg/m</w:t>
      </w:r>
      <w:r>
        <w:rPr>
          <w:rFonts w:ascii="Times New Roman" w:hAnsi="Times New Roman" w:eastAsia="Times New Roman"/>
          <w:position w:val="9"/>
          <w:sz w:val="16"/>
        </w:rPr>
        <w:t>3</w:t>
      </w:r>
      <w:r>
        <w:rPr/>
        <w:t>；</w:t>
      </w:r>
    </w:p>
    <w:p>
      <w:pPr>
        <w:pStyle w:val="BodyText"/>
        <w:spacing w:before="6"/>
        <w:ind w:left="698"/>
      </w:pPr>
      <w:r>
        <w:rPr>
          <w:rFonts w:ascii="Times New Roman" w:hAnsi="Times New Roman" w:eastAsia="Times New Roman"/>
        </w:rPr>
        <w:t>ρa—</w:t>
      </w:r>
      <w:r>
        <w:rPr/>
        <w:t>环境空气密度，</w:t>
      </w:r>
      <w:r>
        <w:rPr>
          <w:rFonts w:ascii="Times New Roman" w:hAnsi="Times New Roman" w:eastAsia="Times New Roman"/>
        </w:rPr>
        <w:t>kg/m</w:t>
      </w:r>
      <w:r>
        <w:rPr>
          <w:rFonts w:ascii="Times New Roman" w:hAnsi="Times New Roman" w:eastAsia="Times New Roman"/>
          <w:position w:val="9"/>
          <w:sz w:val="16"/>
        </w:rPr>
        <w:t>3</w:t>
      </w:r>
      <w:r>
        <w:rPr/>
        <w:t>，</w:t>
      </w:r>
      <w:r>
        <w:rPr>
          <w:rFonts w:ascii="Times New Roman" w:hAnsi="Times New Roman" w:eastAsia="Times New Roman"/>
        </w:rPr>
        <w:t>1.29 kg/m</w:t>
      </w:r>
      <w:r>
        <w:rPr>
          <w:rFonts w:ascii="Times New Roman" w:hAnsi="Times New Roman" w:eastAsia="Times New Roman"/>
          <w:position w:val="9"/>
          <w:sz w:val="16"/>
        </w:rPr>
        <w:t>3</w:t>
      </w:r>
      <w:r>
        <w:rPr/>
        <w:t>；</w:t>
      </w:r>
    </w:p>
    <w:p>
      <w:pPr>
        <w:pStyle w:val="BodyText"/>
        <w:spacing w:line="364" w:lineRule="auto" w:before="158"/>
        <w:ind w:left="698" w:right="908"/>
      </w:pPr>
      <w:r>
        <w:rPr>
          <w:rFonts w:ascii="Times New Roman" w:hAnsi="Times New Roman" w:eastAsia="Times New Roman"/>
        </w:rPr>
        <w:t>Q—</w:t>
      </w:r>
      <w:r>
        <w:rPr/>
        <w:t>连续排放烟羽的排放速率，</w:t>
      </w:r>
      <w:r>
        <w:rPr>
          <w:rFonts w:ascii="Times New Roman" w:hAnsi="Times New Roman" w:eastAsia="Times New Roman"/>
        </w:rPr>
        <w:t>kg/s</w:t>
      </w:r>
      <w:r>
        <w:rPr>
          <w:spacing w:val="-10"/>
        </w:rPr>
        <w:t>，一氧化碳 </w:t>
      </w:r>
      <w:r>
        <w:rPr>
          <w:rFonts w:ascii="Times New Roman" w:hAnsi="Times New Roman" w:eastAsia="Times New Roman"/>
        </w:rPr>
        <w:t>0.128 kg/s</w:t>
      </w:r>
      <w:r>
        <w:rPr>
          <w:spacing w:val="-15"/>
        </w:rPr>
        <w:t>，甲酸 </w:t>
      </w:r>
      <w:r>
        <w:rPr>
          <w:rFonts w:ascii="Times New Roman" w:hAnsi="Times New Roman" w:eastAsia="Times New Roman"/>
        </w:rPr>
        <w:t>0.579kg/s</w:t>
      </w:r>
      <w:r>
        <w:rPr>
          <w:spacing w:val="-14"/>
        </w:rPr>
        <w:t>。</w:t>
      </w:r>
      <w:r>
        <w:rPr>
          <w:rFonts w:ascii="Times New Roman" w:hAnsi="Times New Roman" w:eastAsia="Times New Roman"/>
        </w:rPr>
        <w:t>Drel—</w:t>
      </w:r>
      <w:r>
        <w:rPr/>
        <w:t>初始的烟团宽度，即源直径，</w:t>
      </w:r>
      <w:r>
        <w:rPr>
          <w:rFonts w:ascii="Times New Roman" w:hAnsi="Times New Roman" w:eastAsia="Times New Roman"/>
        </w:rPr>
        <w:t>m</w:t>
      </w:r>
      <w:r>
        <w:rPr/>
        <w:t>。</w:t>
      </w:r>
    </w:p>
    <w:p>
      <w:pPr>
        <w:pStyle w:val="BodyText"/>
        <w:spacing w:line="306" w:lineRule="exact"/>
        <w:ind w:left="698"/>
      </w:pPr>
      <w:r>
        <w:rPr>
          <w:rFonts w:ascii="Times New Roman" w:hAnsi="Times New Roman" w:eastAsia="Times New Roman"/>
        </w:rPr>
        <w:t>Ur—10m</w:t>
      </w:r>
      <w:r>
        <w:rPr>
          <w:rFonts w:ascii="Times New Roman" w:hAnsi="Times New Roman" w:eastAsia="Times New Roman"/>
          <w:spacing w:val="59"/>
        </w:rPr>
        <w:t> </w:t>
      </w:r>
      <w:r>
        <w:rPr/>
        <w:t>高处风速，</w:t>
      </w:r>
      <w:r>
        <w:rPr>
          <w:rFonts w:ascii="Times New Roman" w:hAnsi="Times New Roman" w:eastAsia="Times New Roman"/>
        </w:rPr>
        <w:t>m/s</w:t>
      </w:r>
      <w:r>
        <w:rPr>
          <w:spacing w:val="-20"/>
        </w:rPr>
        <w:t>，取 </w:t>
      </w:r>
      <w:r>
        <w:rPr>
          <w:rFonts w:ascii="Times New Roman" w:hAnsi="Times New Roman" w:eastAsia="Times New Roman"/>
        </w:rPr>
        <w:t>2.4m/s</w:t>
      </w:r>
      <w:r>
        <w:rPr/>
        <w:t>。</w:t>
      </w:r>
    </w:p>
    <w:p>
      <w:pPr>
        <w:pStyle w:val="BodyText"/>
        <w:spacing w:before="161"/>
        <w:ind w:left="698"/>
      </w:pPr>
      <w:r>
        <w:rPr/>
        <w:t>其中一氧化碳密度小于空气密度，为轻质气体，同时，计算得甲酸＞</w:t>
      </w:r>
      <w:r>
        <w:rPr>
          <w:rFonts w:ascii="Times New Roman" w:eastAsia="Times New Roman"/>
        </w:rPr>
        <w:t>1/6</w:t>
      </w:r>
      <w:r>
        <w:rPr/>
        <w:t>，为重质气</w:t>
      </w:r>
    </w:p>
    <w:p>
      <w:pPr>
        <w:spacing w:after="0"/>
        <w:sectPr>
          <w:pgSz w:w="11910" w:h="16840"/>
          <w:pgMar w:header="872" w:footer="945" w:top="1320" w:bottom="1140" w:left="1200" w:right="1180"/>
        </w:sectPr>
      </w:pPr>
    </w:p>
    <w:p>
      <w:pPr>
        <w:pStyle w:val="BodyText"/>
        <w:spacing w:before="84"/>
        <w:ind w:left="218"/>
      </w:pPr>
      <w:r>
        <w:rPr/>
        <w:t>体。</w:t>
      </w:r>
    </w:p>
    <w:p>
      <w:pPr>
        <w:pStyle w:val="BodyText"/>
        <w:spacing w:before="159"/>
        <w:ind w:left="698"/>
      </w:pPr>
      <w:r>
        <w:rPr/>
        <w:t>②模型选择</w:t>
      </w:r>
    </w:p>
    <w:p>
      <w:pPr>
        <w:pStyle w:val="BodyText"/>
        <w:spacing w:line="364" w:lineRule="auto" w:before="160"/>
        <w:ind w:left="218" w:right="225" w:firstLine="480"/>
        <w:jc w:val="both"/>
      </w:pPr>
      <w:r>
        <w:rPr>
          <w:spacing w:val="-4"/>
        </w:rPr>
        <w:t>本项目所在地形平坦，根据风险导则附录 </w:t>
      </w:r>
      <w:r>
        <w:rPr>
          <w:rFonts w:ascii="Times New Roman" w:eastAsia="Times New Roman"/>
        </w:rPr>
        <w:t>G</w:t>
      </w:r>
      <w:r>
        <w:rPr>
          <w:spacing w:val="-6"/>
        </w:rPr>
        <w:t>，轻质气体推荐模型为 </w:t>
      </w:r>
      <w:r>
        <w:rPr>
          <w:rFonts w:ascii="Times New Roman" w:eastAsia="Times New Roman"/>
        </w:rPr>
        <w:t>AFTOX </w:t>
      </w:r>
      <w:r>
        <w:rPr/>
        <w:t>模型。</w:t>
      </w:r>
      <w:r>
        <w:rPr>
          <w:rFonts w:ascii="Times New Roman" w:eastAsia="Times New Roman"/>
        </w:rPr>
        <w:t>AFTOX</w:t>
      </w:r>
      <w:r>
        <w:rPr>
          <w:rFonts w:ascii="Times New Roman" w:eastAsia="Times New Roman"/>
          <w:spacing w:val="59"/>
        </w:rPr>
        <w:t> </w:t>
      </w:r>
      <w:r>
        <w:rPr>
          <w:spacing w:val="7"/>
        </w:rPr>
        <w:t>模型适用于平坦地形下中性气体和轻质气体排放以及液池蒸发气体的扩散模</w:t>
      </w:r>
      <w:r>
        <w:rPr>
          <w:spacing w:val="-5"/>
        </w:rPr>
        <w:t>拟；重质气体采用推荐模型 </w:t>
      </w:r>
      <w:r>
        <w:rPr>
          <w:rFonts w:ascii="Times New Roman" w:eastAsia="Times New Roman"/>
        </w:rPr>
        <w:t>SLAB </w:t>
      </w:r>
      <w:r>
        <w:rPr/>
        <w:t>模式。</w:t>
      </w:r>
    </w:p>
    <w:p>
      <w:pPr>
        <w:pStyle w:val="BodyText"/>
        <w:spacing w:line="305" w:lineRule="exact"/>
        <w:ind w:left="698"/>
      </w:pPr>
      <w:r>
        <w:rPr/>
        <w:t>③预测范围与计算点</w:t>
      </w:r>
    </w:p>
    <w:p>
      <w:pPr>
        <w:pStyle w:val="ListParagraph"/>
        <w:numPr>
          <w:ilvl w:val="0"/>
          <w:numId w:val="49"/>
        </w:numPr>
        <w:tabs>
          <w:tab w:pos="866" w:val="left" w:leader="none"/>
        </w:tabs>
        <w:spacing w:line="240" w:lineRule="auto" w:before="161" w:after="0"/>
        <w:ind w:left="865" w:right="0" w:hanging="168"/>
        <w:jc w:val="left"/>
        <w:rPr>
          <w:sz w:val="24"/>
        </w:rPr>
      </w:pPr>
      <w:r>
        <w:rPr>
          <w:spacing w:val="-4"/>
          <w:sz w:val="24"/>
        </w:rPr>
        <w:t>本项目预测范围取距建设项目边界 </w:t>
      </w:r>
      <w:r>
        <w:rPr>
          <w:rFonts w:ascii="Times New Roman" w:eastAsia="Times New Roman"/>
          <w:sz w:val="24"/>
        </w:rPr>
        <w:t>5 km </w:t>
      </w:r>
      <w:r>
        <w:rPr>
          <w:sz w:val="24"/>
        </w:rPr>
        <w:t>的范围。</w:t>
      </w:r>
    </w:p>
    <w:p>
      <w:pPr>
        <w:pStyle w:val="ListParagraph"/>
        <w:numPr>
          <w:ilvl w:val="0"/>
          <w:numId w:val="49"/>
        </w:numPr>
        <w:tabs>
          <w:tab w:pos="880" w:val="left" w:leader="none"/>
        </w:tabs>
        <w:spacing w:line="240" w:lineRule="auto" w:before="160" w:after="0"/>
        <w:ind w:left="879" w:right="0" w:hanging="182"/>
        <w:jc w:val="left"/>
        <w:rPr>
          <w:sz w:val="24"/>
        </w:rPr>
      </w:pPr>
      <w:r>
        <w:rPr>
          <w:spacing w:val="-3"/>
          <w:sz w:val="24"/>
        </w:rPr>
        <w:t>计算点。本项目一般计算点的设置为：网格间距 </w:t>
      </w:r>
      <w:r>
        <w:rPr>
          <w:rFonts w:ascii="Times New Roman" w:eastAsia="Times New Roman"/>
          <w:sz w:val="24"/>
        </w:rPr>
        <w:t>50m</w:t>
      </w:r>
      <w:r>
        <w:rPr>
          <w:sz w:val="24"/>
        </w:rPr>
        <w:t>。</w:t>
      </w:r>
    </w:p>
    <w:p>
      <w:pPr>
        <w:pStyle w:val="BodyText"/>
        <w:spacing w:before="158"/>
        <w:ind w:left="698"/>
      </w:pPr>
      <w:r>
        <w:rPr/>
        <w:t>④主要参数表</w:t>
      </w:r>
    </w:p>
    <w:p>
      <w:pPr>
        <w:pStyle w:val="BodyText"/>
        <w:spacing w:before="8"/>
        <w:rPr>
          <w:sz w:val="23"/>
        </w:rPr>
      </w:pPr>
    </w:p>
    <w:p>
      <w:pPr>
        <w:pStyle w:val="Heading4"/>
        <w:tabs>
          <w:tab w:pos="1042" w:val="left" w:leader="none"/>
        </w:tabs>
        <w:spacing w:after="29"/>
        <w:ind w:left="0" w:right="17"/>
        <w:jc w:val="center"/>
      </w:pPr>
      <w:r>
        <w:rPr/>
        <w:t>表</w:t>
      </w:r>
      <w:r>
        <w:rPr>
          <w:spacing w:val="-59"/>
        </w:rPr>
        <w:t> </w:t>
      </w:r>
      <w:r>
        <w:rPr>
          <w:rFonts w:ascii="Times New Roman" w:eastAsia="Times New Roman"/>
        </w:rPr>
        <w:t>8.6-1</w:t>
        <w:tab/>
      </w:r>
      <w:r>
        <w:rPr/>
        <w:t>大气风险预测模型主要参数表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6"/>
        <w:gridCol w:w="1696"/>
        <w:gridCol w:w="3437"/>
        <w:gridCol w:w="3465"/>
      </w:tblGrid>
      <w:tr>
        <w:trPr>
          <w:trHeight w:val="479" w:hRule="atLeast"/>
        </w:trPr>
        <w:tc>
          <w:tcPr>
            <w:tcW w:w="686" w:type="dxa"/>
          </w:tcPr>
          <w:p>
            <w:pPr>
              <w:pStyle w:val="TableParagraph"/>
              <w:spacing w:line="236" w:lineRule="exact"/>
              <w:ind w:left="131"/>
              <w:jc w:val="left"/>
              <w:rPr>
                <w:b/>
                <w:sz w:val="21"/>
              </w:rPr>
            </w:pPr>
            <w:r>
              <w:rPr>
                <w:b/>
                <w:sz w:val="21"/>
              </w:rPr>
              <w:t>参数</w:t>
            </w:r>
          </w:p>
          <w:p>
            <w:pPr>
              <w:pStyle w:val="TableParagraph"/>
              <w:spacing w:line="223" w:lineRule="exact"/>
              <w:ind w:left="131"/>
              <w:jc w:val="left"/>
              <w:rPr>
                <w:b/>
                <w:sz w:val="21"/>
              </w:rPr>
            </w:pPr>
            <w:r>
              <w:rPr>
                <w:b/>
                <w:sz w:val="21"/>
              </w:rPr>
              <w:t>类型</w:t>
            </w:r>
          </w:p>
        </w:tc>
        <w:tc>
          <w:tcPr>
            <w:tcW w:w="1696" w:type="dxa"/>
          </w:tcPr>
          <w:p>
            <w:pPr>
              <w:pStyle w:val="TableParagraph"/>
              <w:spacing w:before="101"/>
              <w:ind w:left="89" w:right="81"/>
              <w:rPr>
                <w:b/>
                <w:sz w:val="21"/>
              </w:rPr>
            </w:pPr>
            <w:r>
              <w:rPr>
                <w:b/>
                <w:sz w:val="21"/>
              </w:rPr>
              <w:t>选项</w:t>
            </w:r>
          </w:p>
        </w:tc>
        <w:tc>
          <w:tcPr>
            <w:tcW w:w="6902" w:type="dxa"/>
            <w:gridSpan w:val="2"/>
          </w:tcPr>
          <w:p>
            <w:pPr>
              <w:pStyle w:val="TableParagraph"/>
              <w:spacing w:before="104"/>
              <w:ind w:left="2907" w:right="2893"/>
              <w:rPr>
                <w:b/>
                <w:sz w:val="21"/>
              </w:rPr>
            </w:pPr>
            <w:r>
              <w:rPr>
                <w:b/>
                <w:sz w:val="21"/>
              </w:rPr>
              <w:t>参数</w:t>
            </w:r>
          </w:p>
        </w:tc>
      </w:tr>
      <w:tr>
        <w:trPr>
          <w:trHeight w:val="282" w:hRule="atLeast"/>
        </w:trPr>
        <w:tc>
          <w:tcPr>
            <w:tcW w:w="686" w:type="dxa"/>
            <w:vMerge w:val="restart"/>
          </w:tcPr>
          <w:p>
            <w:pPr>
              <w:pStyle w:val="TableParagraph"/>
              <w:spacing w:before="9"/>
              <w:jc w:val="left"/>
              <w:rPr>
                <w:b/>
                <w:sz w:val="15"/>
              </w:rPr>
            </w:pPr>
          </w:p>
          <w:p>
            <w:pPr>
              <w:pStyle w:val="TableParagraph"/>
              <w:spacing w:line="213" w:lineRule="auto"/>
              <w:ind w:left="131" w:right="119"/>
              <w:jc w:val="left"/>
              <w:rPr>
                <w:sz w:val="21"/>
              </w:rPr>
            </w:pPr>
            <w:r>
              <w:rPr>
                <w:sz w:val="21"/>
              </w:rPr>
              <w:t>基本情况</w:t>
            </w:r>
          </w:p>
        </w:tc>
        <w:tc>
          <w:tcPr>
            <w:tcW w:w="1696" w:type="dxa"/>
          </w:tcPr>
          <w:p>
            <w:pPr>
              <w:pStyle w:val="TableParagraph"/>
              <w:spacing w:line="259" w:lineRule="exact" w:before="3"/>
              <w:ind w:left="92" w:right="81"/>
              <w:rPr>
                <w:sz w:val="21"/>
              </w:rPr>
            </w:pPr>
            <w:r>
              <w:rPr>
                <w:sz w:val="21"/>
              </w:rPr>
              <w:t>事故经度</w:t>
            </w:r>
          </w:p>
        </w:tc>
        <w:tc>
          <w:tcPr>
            <w:tcW w:w="3437" w:type="dxa"/>
          </w:tcPr>
          <w:p>
            <w:pPr>
              <w:pStyle w:val="TableParagraph"/>
              <w:spacing w:line="257" w:lineRule="exact" w:before="5"/>
              <w:ind w:left="649" w:right="637"/>
              <w:rPr>
                <w:sz w:val="21"/>
              </w:rPr>
            </w:pPr>
            <w:r>
              <w:rPr>
                <w:rFonts w:ascii="Times New Roman" w:eastAsia="Times New Roman"/>
                <w:sz w:val="21"/>
              </w:rPr>
              <w:t>120.897580</w:t>
            </w:r>
            <w:r>
              <w:rPr>
                <w:rFonts w:ascii="Times New Roman" w:eastAsia="Times New Roman"/>
                <w:spacing w:val="51"/>
                <w:sz w:val="21"/>
              </w:rPr>
              <w:t> </w:t>
            </w:r>
            <w:r>
              <w:rPr>
                <w:spacing w:val="-3"/>
                <w:sz w:val="21"/>
              </w:rPr>
              <w:t>东经</w:t>
            </w:r>
          </w:p>
        </w:tc>
        <w:tc>
          <w:tcPr>
            <w:tcW w:w="3465" w:type="dxa"/>
          </w:tcPr>
          <w:p>
            <w:pPr>
              <w:pStyle w:val="TableParagraph"/>
              <w:spacing w:line="257" w:lineRule="exact" w:before="5"/>
              <w:ind w:left="997"/>
              <w:jc w:val="left"/>
              <w:rPr>
                <w:sz w:val="21"/>
              </w:rPr>
            </w:pPr>
            <w:r>
              <w:rPr>
                <w:rFonts w:ascii="Times New Roman" w:eastAsia="Times New Roman"/>
                <w:sz w:val="21"/>
              </w:rPr>
              <w:t>120.898846 </w:t>
            </w:r>
            <w:r>
              <w:rPr>
                <w:sz w:val="21"/>
              </w:rPr>
              <w:t>东经</w:t>
            </w:r>
          </w:p>
        </w:tc>
      </w:tr>
      <w:tr>
        <w:trPr>
          <w:trHeight w:val="285" w:hRule="atLeast"/>
        </w:trPr>
        <w:tc>
          <w:tcPr>
            <w:tcW w:w="686" w:type="dxa"/>
            <w:vMerge/>
            <w:tcBorders>
              <w:top w:val="nil"/>
            </w:tcBorders>
          </w:tcPr>
          <w:p>
            <w:pPr>
              <w:rPr>
                <w:sz w:val="2"/>
                <w:szCs w:val="2"/>
              </w:rPr>
            </w:pPr>
          </w:p>
        </w:tc>
        <w:tc>
          <w:tcPr>
            <w:tcW w:w="1696" w:type="dxa"/>
          </w:tcPr>
          <w:p>
            <w:pPr>
              <w:pStyle w:val="TableParagraph"/>
              <w:spacing w:line="259" w:lineRule="exact" w:before="5"/>
              <w:ind w:left="92" w:right="81"/>
              <w:rPr>
                <w:sz w:val="21"/>
              </w:rPr>
            </w:pPr>
            <w:r>
              <w:rPr>
                <w:sz w:val="21"/>
              </w:rPr>
              <w:t>事故纬度</w:t>
            </w:r>
          </w:p>
        </w:tc>
        <w:tc>
          <w:tcPr>
            <w:tcW w:w="3437" w:type="dxa"/>
          </w:tcPr>
          <w:p>
            <w:pPr>
              <w:pStyle w:val="TableParagraph"/>
              <w:spacing w:line="257" w:lineRule="exact" w:before="8"/>
              <w:ind w:left="649" w:right="637"/>
              <w:rPr>
                <w:sz w:val="21"/>
              </w:rPr>
            </w:pPr>
            <w:r>
              <w:rPr>
                <w:rFonts w:ascii="Times New Roman" w:eastAsia="Times New Roman"/>
                <w:sz w:val="21"/>
              </w:rPr>
              <w:t>30.172249 </w:t>
            </w:r>
            <w:r>
              <w:rPr>
                <w:sz w:val="21"/>
              </w:rPr>
              <w:t>北纬</w:t>
            </w:r>
          </w:p>
        </w:tc>
        <w:tc>
          <w:tcPr>
            <w:tcW w:w="3465" w:type="dxa"/>
          </w:tcPr>
          <w:p>
            <w:pPr>
              <w:pStyle w:val="TableParagraph"/>
              <w:spacing w:line="257" w:lineRule="exact" w:before="8"/>
              <w:ind w:left="1050"/>
              <w:jc w:val="left"/>
              <w:rPr>
                <w:sz w:val="21"/>
              </w:rPr>
            </w:pPr>
            <w:r>
              <w:rPr>
                <w:rFonts w:ascii="Times New Roman" w:eastAsia="Times New Roman"/>
                <w:sz w:val="21"/>
              </w:rPr>
              <w:t>30.169266 </w:t>
            </w:r>
            <w:r>
              <w:rPr>
                <w:sz w:val="21"/>
              </w:rPr>
              <w:t>北纬</w:t>
            </w:r>
          </w:p>
        </w:tc>
      </w:tr>
      <w:tr>
        <w:trPr>
          <w:trHeight w:val="282" w:hRule="atLeast"/>
        </w:trPr>
        <w:tc>
          <w:tcPr>
            <w:tcW w:w="686" w:type="dxa"/>
            <w:vMerge/>
            <w:tcBorders>
              <w:top w:val="nil"/>
            </w:tcBorders>
          </w:tcPr>
          <w:p>
            <w:pPr>
              <w:rPr>
                <w:sz w:val="2"/>
                <w:szCs w:val="2"/>
              </w:rPr>
            </w:pPr>
          </w:p>
        </w:tc>
        <w:tc>
          <w:tcPr>
            <w:tcW w:w="1696" w:type="dxa"/>
          </w:tcPr>
          <w:p>
            <w:pPr>
              <w:pStyle w:val="TableParagraph"/>
              <w:spacing w:line="259" w:lineRule="exact" w:before="3"/>
              <w:ind w:left="92" w:right="81"/>
              <w:rPr>
                <w:sz w:val="21"/>
              </w:rPr>
            </w:pPr>
            <w:r>
              <w:rPr>
                <w:sz w:val="21"/>
              </w:rPr>
              <w:t>事故类型</w:t>
            </w:r>
          </w:p>
        </w:tc>
        <w:tc>
          <w:tcPr>
            <w:tcW w:w="3437" w:type="dxa"/>
          </w:tcPr>
          <w:p>
            <w:pPr>
              <w:pStyle w:val="TableParagraph"/>
              <w:spacing w:line="257" w:lineRule="exact" w:before="5"/>
              <w:ind w:left="650" w:right="637"/>
              <w:rPr>
                <w:sz w:val="21"/>
              </w:rPr>
            </w:pPr>
            <w:r>
              <w:rPr>
                <w:sz w:val="21"/>
              </w:rPr>
              <w:t>生产车间泄漏导致火灾</w:t>
            </w:r>
          </w:p>
        </w:tc>
        <w:tc>
          <w:tcPr>
            <w:tcW w:w="3465" w:type="dxa"/>
          </w:tcPr>
          <w:p>
            <w:pPr>
              <w:pStyle w:val="TableParagraph"/>
              <w:spacing w:line="257" w:lineRule="exact" w:before="5"/>
              <w:ind w:left="997"/>
              <w:jc w:val="left"/>
              <w:rPr>
                <w:sz w:val="21"/>
              </w:rPr>
            </w:pPr>
            <w:r>
              <w:rPr>
                <w:sz w:val="21"/>
              </w:rPr>
              <w:t>储罐区甲酸泄漏</w:t>
            </w:r>
          </w:p>
        </w:tc>
      </w:tr>
      <w:tr>
        <w:trPr>
          <w:trHeight w:val="285" w:hRule="atLeast"/>
        </w:trPr>
        <w:tc>
          <w:tcPr>
            <w:tcW w:w="686" w:type="dxa"/>
            <w:vMerge w:val="restart"/>
          </w:tcPr>
          <w:p>
            <w:pPr>
              <w:pStyle w:val="TableParagraph"/>
              <w:jc w:val="left"/>
              <w:rPr>
                <w:b/>
                <w:sz w:val="20"/>
              </w:rPr>
            </w:pPr>
          </w:p>
          <w:p>
            <w:pPr>
              <w:pStyle w:val="TableParagraph"/>
              <w:spacing w:before="10"/>
              <w:jc w:val="left"/>
              <w:rPr>
                <w:b/>
                <w:sz w:val="18"/>
              </w:rPr>
            </w:pPr>
          </w:p>
          <w:p>
            <w:pPr>
              <w:pStyle w:val="TableParagraph"/>
              <w:spacing w:line="213" w:lineRule="auto"/>
              <w:ind w:left="131" w:right="119"/>
              <w:jc w:val="left"/>
              <w:rPr>
                <w:sz w:val="21"/>
              </w:rPr>
            </w:pPr>
            <w:r>
              <w:rPr>
                <w:sz w:val="21"/>
              </w:rPr>
              <w:t>气象参数</w:t>
            </w:r>
          </w:p>
        </w:tc>
        <w:tc>
          <w:tcPr>
            <w:tcW w:w="1696" w:type="dxa"/>
          </w:tcPr>
          <w:p>
            <w:pPr>
              <w:pStyle w:val="TableParagraph"/>
              <w:spacing w:line="259" w:lineRule="exact" w:before="6"/>
              <w:ind w:left="94" w:right="81"/>
              <w:rPr>
                <w:sz w:val="21"/>
              </w:rPr>
            </w:pPr>
            <w:r>
              <w:rPr>
                <w:sz w:val="21"/>
              </w:rPr>
              <w:t>①气象条件类型</w:t>
            </w:r>
          </w:p>
        </w:tc>
        <w:tc>
          <w:tcPr>
            <w:tcW w:w="6902" w:type="dxa"/>
            <w:gridSpan w:val="2"/>
          </w:tcPr>
          <w:p>
            <w:pPr>
              <w:pStyle w:val="TableParagraph"/>
              <w:spacing w:line="257" w:lineRule="exact" w:before="8"/>
              <w:ind w:left="2909" w:right="2893"/>
              <w:rPr>
                <w:sz w:val="21"/>
              </w:rPr>
            </w:pPr>
            <w:r>
              <w:rPr>
                <w:sz w:val="21"/>
              </w:rPr>
              <w:t>最不利气象</w:t>
            </w:r>
          </w:p>
        </w:tc>
      </w:tr>
      <w:tr>
        <w:trPr>
          <w:trHeight w:val="282" w:hRule="atLeast"/>
        </w:trPr>
        <w:tc>
          <w:tcPr>
            <w:tcW w:w="686" w:type="dxa"/>
            <w:vMerge/>
            <w:tcBorders>
              <w:top w:val="nil"/>
            </w:tcBorders>
          </w:tcPr>
          <w:p>
            <w:pPr>
              <w:rPr>
                <w:sz w:val="2"/>
                <w:szCs w:val="2"/>
              </w:rPr>
            </w:pPr>
          </w:p>
        </w:tc>
        <w:tc>
          <w:tcPr>
            <w:tcW w:w="1696" w:type="dxa"/>
          </w:tcPr>
          <w:p>
            <w:pPr>
              <w:pStyle w:val="TableParagraph"/>
              <w:spacing w:line="259" w:lineRule="exact" w:before="3"/>
              <w:ind w:left="91" w:right="81"/>
              <w:rPr>
                <w:rFonts w:ascii="Times New Roman" w:eastAsia="Times New Roman"/>
                <w:sz w:val="21"/>
              </w:rPr>
            </w:pPr>
            <w:r>
              <w:rPr>
                <w:sz w:val="21"/>
              </w:rPr>
              <w:t>风速</w:t>
            </w:r>
            <w:r>
              <w:rPr>
                <w:rFonts w:ascii="Times New Roman" w:eastAsia="Times New Roman"/>
                <w:sz w:val="21"/>
              </w:rPr>
              <w:t>(m/s)</w:t>
            </w:r>
          </w:p>
        </w:tc>
        <w:tc>
          <w:tcPr>
            <w:tcW w:w="6902" w:type="dxa"/>
            <w:gridSpan w:val="2"/>
          </w:tcPr>
          <w:p>
            <w:pPr>
              <w:pStyle w:val="TableParagraph"/>
              <w:spacing w:before="19"/>
              <w:ind w:left="2907" w:right="2893"/>
              <w:rPr>
                <w:rFonts w:ascii="Times New Roman"/>
                <w:sz w:val="21"/>
              </w:rPr>
            </w:pPr>
            <w:r>
              <w:rPr>
                <w:rFonts w:ascii="Times New Roman"/>
                <w:sz w:val="21"/>
              </w:rPr>
              <w:t>1.5</w:t>
            </w:r>
          </w:p>
        </w:tc>
      </w:tr>
      <w:tr>
        <w:trPr>
          <w:trHeight w:val="285" w:hRule="atLeast"/>
        </w:trPr>
        <w:tc>
          <w:tcPr>
            <w:tcW w:w="686" w:type="dxa"/>
            <w:vMerge/>
            <w:tcBorders>
              <w:top w:val="nil"/>
            </w:tcBorders>
          </w:tcPr>
          <w:p>
            <w:pPr>
              <w:rPr>
                <w:sz w:val="2"/>
                <w:szCs w:val="2"/>
              </w:rPr>
            </w:pPr>
          </w:p>
        </w:tc>
        <w:tc>
          <w:tcPr>
            <w:tcW w:w="1696" w:type="dxa"/>
          </w:tcPr>
          <w:p>
            <w:pPr>
              <w:pStyle w:val="TableParagraph"/>
              <w:spacing w:line="259" w:lineRule="exact" w:before="6"/>
              <w:ind w:left="93" w:right="81"/>
              <w:rPr>
                <w:rFonts w:ascii="Times New Roman" w:hAnsi="Times New Roman" w:eastAsia="Times New Roman"/>
                <w:sz w:val="21"/>
              </w:rPr>
            </w:pPr>
            <w:r>
              <w:rPr>
                <w:sz w:val="21"/>
              </w:rPr>
              <w:t>相对温度</w:t>
            </w:r>
            <w:r>
              <w:rPr>
                <w:rFonts w:ascii="Times New Roman" w:hAnsi="Times New Roman" w:eastAsia="Times New Roman"/>
                <w:sz w:val="21"/>
              </w:rPr>
              <w:t>(℃)</w:t>
            </w:r>
          </w:p>
        </w:tc>
        <w:tc>
          <w:tcPr>
            <w:tcW w:w="6902" w:type="dxa"/>
            <w:gridSpan w:val="2"/>
          </w:tcPr>
          <w:p>
            <w:pPr>
              <w:pStyle w:val="TableParagraph"/>
              <w:spacing w:before="22"/>
              <w:ind w:left="2907" w:right="2893"/>
              <w:rPr>
                <w:rFonts w:ascii="Times New Roman"/>
                <w:sz w:val="21"/>
              </w:rPr>
            </w:pPr>
            <w:r>
              <w:rPr>
                <w:rFonts w:ascii="Times New Roman"/>
                <w:sz w:val="21"/>
              </w:rPr>
              <w:t>25</w:t>
            </w:r>
          </w:p>
        </w:tc>
      </w:tr>
      <w:tr>
        <w:trPr>
          <w:trHeight w:val="282" w:hRule="atLeast"/>
        </w:trPr>
        <w:tc>
          <w:tcPr>
            <w:tcW w:w="686" w:type="dxa"/>
            <w:vMerge/>
            <w:tcBorders>
              <w:top w:val="nil"/>
            </w:tcBorders>
          </w:tcPr>
          <w:p>
            <w:pPr>
              <w:rPr>
                <w:sz w:val="2"/>
                <w:szCs w:val="2"/>
              </w:rPr>
            </w:pPr>
          </w:p>
        </w:tc>
        <w:tc>
          <w:tcPr>
            <w:tcW w:w="1696" w:type="dxa"/>
          </w:tcPr>
          <w:p>
            <w:pPr>
              <w:pStyle w:val="TableParagraph"/>
              <w:spacing w:line="259" w:lineRule="exact" w:before="3"/>
              <w:ind w:left="94" w:right="81"/>
              <w:rPr>
                <w:rFonts w:ascii="Times New Roman" w:eastAsia="Times New Roman"/>
                <w:sz w:val="21"/>
              </w:rPr>
            </w:pPr>
            <w:r>
              <w:rPr>
                <w:sz w:val="21"/>
              </w:rPr>
              <w:t>相对湿度</w:t>
            </w:r>
            <w:r>
              <w:rPr>
                <w:rFonts w:ascii="Times New Roman" w:eastAsia="Times New Roman"/>
                <w:sz w:val="21"/>
              </w:rPr>
              <w:t>(%)</w:t>
            </w:r>
          </w:p>
        </w:tc>
        <w:tc>
          <w:tcPr>
            <w:tcW w:w="6902" w:type="dxa"/>
            <w:gridSpan w:val="2"/>
          </w:tcPr>
          <w:p>
            <w:pPr>
              <w:pStyle w:val="TableParagraph"/>
              <w:spacing w:before="19"/>
              <w:ind w:left="2907" w:right="2893"/>
              <w:rPr>
                <w:rFonts w:ascii="Times New Roman"/>
                <w:sz w:val="21"/>
              </w:rPr>
            </w:pPr>
            <w:r>
              <w:rPr>
                <w:rFonts w:ascii="Times New Roman"/>
                <w:sz w:val="21"/>
              </w:rPr>
              <w:t>50</w:t>
            </w:r>
          </w:p>
        </w:tc>
      </w:tr>
      <w:tr>
        <w:trPr>
          <w:trHeight w:val="285" w:hRule="atLeast"/>
        </w:trPr>
        <w:tc>
          <w:tcPr>
            <w:tcW w:w="686" w:type="dxa"/>
            <w:vMerge/>
            <w:tcBorders>
              <w:top w:val="nil"/>
            </w:tcBorders>
          </w:tcPr>
          <w:p>
            <w:pPr>
              <w:rPr>
                <w:sz w:val="2"/>
                <w:szCs w:val="2"/>
              </w:rPr>
            </w:pPr>
          </w:p>
        </w:tc>
        <w:tc>
          <w:tcPr>
            <w:tcW w:w="1696" w:type="dxa"/>
          </w:tcPr>
          <w:p>
            <w:pPr>
              <w:pStyle w:val="TableParagraph"/>
              <w:spacing w:line="259" w:lineRule="exact" w:before="5"/>
              <w:ind w:left="94" w:right="81"/>
              <w:rPr>
                <w:sz w:val="21"/>
              </w:rPr>
            </w:pPr>
            <w:r>
              <w:rPr>
                <w:sz w:val="21"/>
              </w:rPr>
              <w:t>稳定度</w:t>
            </w:r>
          </w:p>
        </w:tc>
        <w:tc>
          <w:tcPr>
            <w:tcW w:w="6902" w:type="dxa"/>
            <w:gridSpan w:val="2"/>
          </w:tcPr>
          <w:p>
            <w:pPr>
              <w:pStyle w:val="TableParagraph"/>
              <w:spacing w:before="22"/>
              <w:ind w:left="11"/>
              <w:rPr>
                <w:rFonts w:ascii="Times New Roman"/>
                <w:sz w:val="21"/>
              </w:rPr>
            </w:pPr>
            <w:r>
              <w:rPr>
                <w:rFonts w:ascii="Times New Roman"/>
                <w:w w:val="100"/>
                <w:sz w:val="21"/>
              </w:rPr>
              <w:t>F</w:t>
            </w:r>
          </w:p>
        </w:tc>
      </w:tr>
      <w:tr>
        <w:trPr>
          <w:trHeight w:val="282" w:hRule="atLeast"/>
        </w:trPr>
        <w:tc>
          <w:tcPr>
            <w:tcW w:w="686" w:type="dxa"/>
            <w:vMerge w:val="restart"/>
          </w:tcPr>
          <w:p>
            <w:pPr>
              <w:pStyle w:val="TableParagraph"/>
              <w:spacing w:line="213" w:lineRule="auto" w:before="53"/>
              <w:ind w:left="131" w:right="119"/>
              <w:jc w:val="left"/>
              <w:rPr>
                <w:sz w:val="21"/>
              </w:rPr>
            </w:pPr>
            <w:r>
              <w:rPr>
                <w:sz w:val="21"/>
              </w:rPr>
              <w:t>其它参数</w:t>
            </w:r>
          </w:p>
        </w:tc>
        <w:tc>
          <w:tcPr>
            <w:tcW w:w="1696" w:type="dxa"/>
          </w:tcPr>
          <w:p>
            <w:pPr>
              <w:pStyle w:val="TableParagraph"/>
              <w:spacing w:line="259" w:lineRule="exact" w:before="3"/>
              <w:ind w:left="94" w:right="80"/>
              <w:rPr>
                <w:rFonts w:ascii="Times New Roman" w:eastAsia="Times New Roman"/>
                <w:sz w:val="21"/>
              </w:rPr>
            </w:pPr>
            <w:r>
              <w:rPr>
                <w:sz w:val="21"/>
              </w:rPr>
              <w:t>地表粗糙度</w:t>
            </w:r>
            <w:r>
              <w:rPr>
                <w:rFonts w:ascii="Times New Roman" w:eastAsia="Times New Roman"/>
                <w:sz w:val="21"/>
              </w:rPr>
              <w:t>(cm)</w:t>
            </w:r>
          </w:p>
        </w:tc>
        <w:tc>
          <w:tcPr>
            <w:tcW w:w="6902" w:type="dxa"/>
            <w:gridSpan w:val="2"/>
          </w:tcPr>
          <w:p>
            <w:pPr>
              <w:pStyle w:val="TableParagraph"/>
              <w:spacing w:before="19"/>
              <w:ind w:left="2907" w:right="2893"/>
              <w:rPr>
                <w:rFonts w:ascii="Times New Roman"/>
                <w:sz w:val="21"/>
              </w:rPr>
            </w:pPr>
            <w:r>
              <w:rPr>
                <w:rFonts w:ascii="Times New Roman"/>
                <w:sz w:val="21"/>
              </w:rPr>
              <w:t>3.0</w:t>
            </w:r>
          </w:p>
        </w:tc>
      </w:tr>
      <w:tr>
        <w:trPr>
          <w:trHeight w:val="285" w:hRule="atLeast"/>
        </w:trPr>
        <w:tc>
          <w:tcPr>
            <w:tcW w:w="686" w:type="dxa"/>
            <w:vMerge/>
            <w:tcBorders>
              <w:top w:val="nil"/>
            </w:tcBorders>
          </w:tcPr>
          <w:p>
            <w:pPr>
              <w:rPr>
                <w:sz w:val="2"/>
                <w:szCs w:val="2"/>
              </w:rPr>
            </w:pPr>
          </w:p>
        </w:tc>
        <w:tc>
          <w:tcPr>
            <w:tcW w:w="1696" w:type="dxa"/>
          </w:tcPr>
          <w:p>
            <w:pPr>
              <w:pStyle w:val="TableParagraph"/>
              <w:spacing w:line="259" w:lineRule="exact" w:before="6"/>
              <w:ind w:left="94" w:right="81"/>
              <w:rPr>
                <w:sz w:val="21"/>
              </w:rPr>
            </w:pPr>
            <w:r>
              <w:rPr>
                <w:sz w:val="21"/>
              </w:rPr>
              <w:t>是否考虑地形</w:t>
            </w:r>
          </w:p>
        </w:tc>
        <w:tc>
          <w:tcPr>
            <w:tcW w:w="6902" w:type="dxa"/>
            <w:gridSpan w:val="2"/>
          </w:tcPr>
          <w:p>
            <w:pPr>
              <w:pStyle w:val="TableParagraph"/>
              <w:spacing w:line="257" w:lineRule="exact" w:before="8"/>
              <w:ind w:left="14"/>
              <w:rPr>
                <w:sz w:val="21"/>
              </w:rPr>
            </w:pPr>
            <w:r>
              <w:rPr>
                <w:w w:val="100"/>
                <w:sz w:val="21"/>
              </w:rPr>
              <w:t>否</w:t>
            </w:r>
          </w:p>
        </w:tc>
      </w:tr>
    </w:tbl>
    <w:p>
      <w:pPr>
        <w:pStyle w:val="BodyText"/>
        <w:spacing w:before="2"/>
        <w:ind w:left="698"/>
      </w:pPr>
      <w:r>
        <w:rPr>
          <w:spacing w:val="-1"/>
        </w:rPr>
        <w:t>⑤大气毒性终点值选取</w:t>
      </w:r>
    </w:p>
    <w:p>
      <w:pPr>
        <w:pStyle w:val="BodyText"/>
        <w:spacing w:line="364" w:lineRule="auto" w:before="158"/>
        <w:ind w:left="218" w:right="124" w:firstLine="480"/>
      </w:pPr>
      <w:r>
        <w:rPr>
          <w:spacing w:val="-7"/>
        </w:rPr>
        <w:t>根据风险导则附录 </w:t>
      </w:r>
      <w:r>
        <w:rPr>
          <w:rFonts w:ascii="Times New Roman" w:eastAsia="Times New Roman"/>
        </w:rPr>
        <w:t>H</w:t>
      </w:r>
      <w:r>
        <w:rPr>
          <w:rFonts w:ascii="Times New Roman" w:eastAsia="Times New Roman"/>
          <w:spacing w:val="-1"/>
        </w:rPr>
        <w:t> </w:t>
      </w:r>
      <w:r>
        <w:rPr>
          <w:spacing w:val="-30"/>
        </w:rPr>
        <w:t>表 </w:t>
      </w:r>
      <w:r>
        <w:rPr>
          <w:rFonts w:ascii="Times New Roman" w:eastAsia="Times New Roman"/>
        </w:rPr>
        <w:t>H.1</w:t>
      </w:r>
      <w:r>
        <w:rPr>
          <w:rFonts w:ascii="Times New Roman" w:eastAsia="Times New Roman"/>
          <w:spacing w:val="-1"/>
        </w:rPr>
        <w:t> </w:t>
      </w:r>
      <w:r>
        <w:rPr>
          <w:spacing w:val="-20"/>
        </w:rPr>
        <w:t>选择 </w:t>
      </w:r>
      <w:r>
        <w:rPr>
          <w:rFonts w:ascii="Times New Roman" w:eastAsia="Times New Roman"/>
        </w:rPr>
        <w:t>CO</w:t>
      </w:r>
      <w:r>
        <w:rPr>
          <w:rFonts w:ascii="Times New Roman" w:eastAsia="Times New Roman"/>
          <w:spacing w:val="-1"/>
        </w:rPr>
        <w:t> </w:t>
      </w:r>
      <w:r>
        <w:rPr>
          <w:spacing w:val="-16"/>
        </w:rPr>
        <w:t>和甲酸的毒性终点值，具体见下表。其中 </w:t>
      </w:r>
      <w:r>
        <w:rPr>
          <w:rFonts w:ascii="Times New Roman" w:eastAsia="Times New Roman"/>
        </w:rPr>
        <w:t>1  </w:t>
      </w:r>
      <w:r>
        <w:rPr/>
        <w:t>级为当大气中危险物质浓度低于该限值时，绝大多数人员暴露 </w:t>
      </w:r>
      <w:r>
        <w:rPr>
          <w:rFonts w:ascii="Times New Roman" w:eastAsia="Times New Roman"/>
        </w:rPr>
        <w:t>1 h </w:t>
      </w:r>
      <w:r>
        <w:rPr>
          <w:spacing w:val="-2"/>
        </w:rPr>
        <w:t>不会对生命造成威胁， </w:t>
      </w:r>
      <w:r>
        <w:rPr>
          <w:spacing w:val="-4"/>
        </w:rPr>
        <w:t>当超过该限值时，有可能对人群造成生命威胁；</w:t>
      </w:r>
      <w:r>
        <w:rPr>
          <w:rFonts w:ascii="Times New Roman" w:eastAsia="Times New Roman"/>
          <w:spacing w:val="-12"/>
        </w:rPr>
        <w:t>2</w:t>
      </w:r>
      <w:r>
        <w:rPr>
          <w:rFonts w:ascii="Times New Roman" w:eastAsia="Times New Roman"/>
          <w:spacing w:val="12"/>
        </w:rPr>
        <w:t> </w:t>
      </w:r>
      <w:r>
        <w:rPr/>
        <w:t>级为当大气中危险物质浓度低于该限</w:t>
      </w:r>
      <w:r>
        <w:rPr>
          <w:spacing w:val="-11"/>
        </w:rPr>
        <w:t>值时，暴露 </w:t>
      </w:r>
      <w:r>
        <w:rPr>
          <w:rFonts w:ascii="Times New Roman" w:eastAsia="Times New Roman"/>
        </w:rPr>
        <w:t>1 h </w:t>
      </w:r>
      <w:r>
        <w:rPr>
          <w:spacing w:val="-4"/>
        </w:rPr>
        <w:t>一般不会对人体造成不可逆的伤害，或出现的症状一般不会损伤该个体采取有效防护措施的能力。</w:t>
      </w:r>
    </w:p>
    <w:p>
      <w:pPr>
        <w:pStyle w:val="Heading4"/>
        <w:tabs>
          <w:tab w:pos="4671" w:val="left" w:leader="none"/>
        </w:tabs>
        <w:spacing w:before="140" w:after="29"/>
        <w:ind w:left="3629"/>
      </w:pPr>
      <w:r>
        <w:rPr/>
        <w:t>表</w:t>
      </w:r>
      <w:r>
        <w:rPr>
          <w:spacing w:val="-60"/>
        </w:rPr>
        <w:t> </w:t>
      </w:r>
      <w:r>
        <w:rPr>
          <w:rFonts w:ascii="Times New Roman" w:eastAsia="Times New Roman"/>
        </w:rPr>
        <w:t>8.6-2</w:t>
        <w:tab/>
      </w:r>
      <w:r>
        <w:rPr/>
        <w:t>毒性终点值</w:t>
      </w:r>
    </w:p>
    <w:tbl>
      <w:tblPr>
        <w:tblW w:w="0" w:type="auto"/>
        <w:jc w:val="left"/>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10"/>
        <w:gridCol w:w="1255"/>
        <w:gridCol w:w="1426"/>
        <w:gridCol w:w="2818"/>
        <w:gridCol w:w="3077"/>
      </w:tblGrid>
      <w:tr>
        <w:trPr>
          <w:trHeight w:val="286" w:hRule="atLeast"/>
        </w:trPr>
        <w:tc>
          <w:tcPr>
            <w:tcW w:w="710" w:type="dxa"/>
          </w:tcPr>
          <w:p>
            <w:pPr>
              <w:pStyle w:val="TableParagraph"/>
              <w:spacing w:line="258" w:lineRule="exact" w:before="8"/>
              <w:ind w:left="124" w:right="119"/>
              <w:rPr>
                <w:b/>
                <w:sz w:val="21"/>
              </w:rPr>
            </w:pPr>
            <w:r>
              <w:rPr>
                <w:b/>
                <w:sz w:val="21"/>
              </w:rPr>
              <w:t>序号</w:t>
            </w:r>
          </w:p>
        </w:tc>
        <w:tc>
          <w:tcPr>
            <w:tcW w:w="1255" w:type="dxa"/>
          </w:tcPr>
          <w:p>
            <w:pPr>
              <w:pStyle w:val="TableParagraph"/>
              <w:spacing w:line="258" w:lineRule="exact" w:before="8"/>
              <w:ind w:left="187" w:right="179"/>
              <w:rPr>
                <w:b/>
                <w:sz w:val="21"/>
              </w:rPr>
            </w:pPr>
            <w:r>
              <w:rPr>
                <w:b/>
                <w:sz w:val="21"/>
              </w:rPr>
              <w:t>物质名称</w:t>
            </w:r>
          </w:p>
        </w:tc>
        <w:tc>
          <w:tcPr>
            <w:tcW w:w="1426" w:type="dxa"/>
          </w:tcPr>
          <w:p>
            <w:pPr>
              <w:pStyle w:val="TableParagraph"/>
              <w:spacing w:line="258" w:lineRule="exact" w:before="8"/>
              <w:ind w:left="370"/>
              <w:jc w:val="left"/>
              <w:rPr>
                <w:b/>
                <w:sz w:val="21"/>
              </w:rPr>
            </w:pPr>
            <w:r>
              <w:rPr>
                <w:rFonts w:ascii="Times New Roman" w:eastAsia="Times New Roman"/>
                <w:b/>
                <w:sz w:val="21"/>
              </w:rPr>
              <w:t>CAS </w:t>
            </w:r>
            <w:r>
              <w:rPr>
                <w:b/>
                <w:sz w:val="21"/>
              </w:rPr>
              <w:t>号</w:t>
            </w:r>
          </w:p>
        </w:tc>
        <w:tc>
          <w:tcPr>
            <w:tcW w:w="2818" w:type="dxa"/>
          </w:tcPr>
          <w:p>
            <w:pPr>
              <w:pStyle w:val="TableParagraph"/>
              <w:spacing w:line="258" w:lineRule="exact" w:before="8"/>
              <w:ind w:left="136" w:right="133"/>
              <w:rPr>
                <w:b/>
                <w:sz w:val="21"/>
              </w:rPr>
            </w:pPr>
            <w:r>
              <w:rPr>
                <w:b/>
                <w:sz w:val="21"/>
              </w:rPr>
              <w:t>毒性终点浓度</w:t>
            </w:r>
            <w:r>
              <w:rPr>
                <w:rFonts w:ascii="Times New Roman" w:eastAsia="Times New Roman"/>
                <w:b/>
                <w:sz w:val="21"/>
              </w:rPr>
              <w:t>-1/</w:t>
            </w: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c>
          <w:tcPr>
            <w:tcW w:w="3077" w:type="dxa"/>
          </w:tcPr>
          <w:p>
            <w:pPr>
              <w:pStyle w:val="TableParagraph"/>
              <w:spacing w:line="258" w:lineRule="exact" w:before="8"/>
              <w:ind w:left="256" w:right="252"/>
              <w:rPr>
                <w:b/>
                <w:sz w:val="21"/>
              </w:rPr>
            </w:pPr>
            <w:r>
              <w:rPr>
                <w:b/>
                <w:sz w:val="21"/>
              </w:rPr>
              <w:t>毒性终点浓度</w:t>
            </w:r>
            <w:r>
              <w:rPr>
                <w:rFonts w:ascii="Times New Roman" w:eastAsia="Times New Roman"/>
                <w:b/>
                <w:sz w:val="21"/>
              </w:rPr>
              <w:t>-2/</w:t>
            </w:r>
            <w:r>
              <w:rPr>
                <w:b/>
                <w:sz w:val="21"/>
              </w:rPr>
              <w:t>（</w:t>
            </w:r>
            <w:r>
              <w:rPr>
                <w:rFonts w:ascii="Times New Roman" w:eastAsia="Times New Roman"/>
                <w:b/>
                <w:sz w:val="21"/>
              </w:rPr>
              <w:t>mg/m</w:t>
            </w:r>
            <w:r>
              <w:rPr>
                <w:rFonts w:ascii="Times New Roman" w:eastAsia="Times New Roman"/>
                <w:b/>
                <w:position w:val="7"/>
                <w:sz w:val="14"/>
              </w:rPr>
              <w:t>3</w:t>
            </w:r>
            <w:r>
              <w:rPr>
                <w:b/>
                <w:sz w:val="21"/>
              </w:rPr>
              <w:t>）</w:t>
            </w:r>
          </w:p>
        </w:tc>
      </w:tr>
      <w:tr>
        <w:trPr>
          <w:trHeight w:val="282" w:hRule="atLeast"/>
        </w:trPr>
        <w:tc>
          <w:tcPr>
            <w:tcW w:w="710" w:type="dxa"/>
          </w:tcPr>
          <w:p>
            <w:pPr>
              <w:pStyle w:val="TableParagraph"/>
              <w:spacing w:before="20"/>
              <w:ind w:left="5"/>
              <w:rPr>
                <w:rFonts w:ascii="Times New Roman"/>
                <w:sz w:val="21"/>
              </w:rPr>
            </w:pPr>
            <w:r>
              <w:rPr>
                <w:rFonts w:ascii="Times New Roman"/>
                <w:w w:val="100"/>
                <w:sz w:val="21"/>
              </w:rPr>
              <w:t>1</w:t>
            </w:r>
          </w:p>
        </w:tc>
        <w:tc>
          <w:tcPr>
            <w:tcW w:w="1255" w:type="dxa"/>
          </w:tcPr>
          <w:p>
            <w:pPr>
              <w:pStyle w:val="TableParagraph"/>
              <w:spacing w:before="20"/>
              <w:ind w:left="184" w:right="179"/>
              <w:rPr>
                <w:rFonts w:ascii="Times New Roman"/>
                <w:sz w:val="21"/>
              </w:rPr>
            </w:pPr>
            <w:r>
              <w:rPr>
                <w:rFonts w:ascii="Times New Roman"/>
                <w:sz w:val="21"/>
              </w:rPr>
              <w:t>CO</w:t>
            </w:r>
          </w:p>
        </w:tc>
        <w:tc>
          <w:tcPr>
            <w:tcW w:w="1426" w:type="dxa"/>
          </w:tcPr>
          <w:p>
            <w:pPr>
              <w:pStyle w:val="TableParagraph"/>
              <w:spacing w:before="20"/>
              <w:ind w:left="326"/>
              <w:jc w:val="left"/>
              <w:rPr>
                <w:rFonts w:ascii="Times New Roman"/>
                <w:sz w:val="21"/>
              </w:rPr>
            </w:pPr>
            <w:r>
              <w:rPr>
                <w:rFonts w:ascii="Times New Roman"/>
                <w:sz w:val="21"/>
              </w:rPr>
              <w:t>630-08-0</w:t>
            </w:r>
          </w:p>
        </w:tc>
        <w:tc>
          <w:tcPr>
            <w:tcW w:w="2818" w:type="dxa"/>
          </w:tcPr>
          <w:p>
            <w:pPr>
              <w:pStyle w:val="TableParagraph"/>
              <w:spacing w:before="20"/>
              <w:ind w:left="136" w:right="131"/>
              <w:rPr>
                <w:rFonts w:ascii="Times New Roman"/>
                <w:sz w:val="21"/>
              </w:rPr>
            </w:pPr>
            <w:r>
              <w:rPr>
                <w:rFonts w:ascii="Times New Roman"/>
                <w:sz w:val="21"/>
              </w:rPr>
              <w:t>380</w:t>
            </w:r>
          </w:p>
        </w:tc>
        <w:tc>
          <w:tcPr>
            <w:tcW w:w="3077" w:type="dxa"/>
          </w:tcPr>
          <w:p>
            <w:pPr>
              <w:pStyle w:val="TableParagraph"/>
              <w:spacing w:before="20"/>
              <w:ind w:left="258" w:right="252"/>
              <w:rPr>
                <w:rFonts w:ascii="Times New Roman"/>
                <w:sz w:val="21"/>
              </w:rPr>
            </w:pPr>
            <w:r>
              <w:rPr>
                <w:rFonts w:ascii="Times New Roman"/>
                <w:sz w:val="21"/>
              </w:rPr>
              <w:t>95</w:t>
            </w:r>
          </w:p>
        </w:tc>
      </w:tr>
      <w:tr>
        <w:trPr>
          <w:trHeight w:val="283" w:hRule="atLeast"/>
        </w:trPr>
        <w:tc>
          <w:tcPr>
            <w:tcW w:w="710" w:type="dxa"/>
          </w:tcPr>
          <w:p>
            <w:pPr>
              <w:pStyle w:val="TableParagraph"/>
              <w:spacing w:line="241" w:lineRule="exact" w:before="22"/>
              <w:ind w:left="5"/>
              <w:rPr>
                <w:rFonts w:ascii="Times New Roman"/>
                <w:sz w:val="21"/>
              </w:rPr>
            </w:pPr>
            <w:r>
              <w:rPr>
                <w:rFonts w:ascii="Times New Roman"/>
                <w:w w:val="100"/>
                <w:sz w:val="21"/>
              </w:rPr>
              <w:t>2</w:t>
            </w:r>
          </w:p>
        </w:tc>
        <w:tc>
          <w:tcPr>
            <w:tcW w:w="1255" w:type="dxa"/>
          </w:tcPr>
          <w:p>
            <w:pPr>
              <w:pStyle w:val="TableParagraph"/>
              <w:spacing w:line="257" w:lineRule="exact" w:before="6"/>
              <w:ind w:left="187" w:right="179"/>
              <w:rPr>
                <w:sz w:val="21"/>
              </w:rPr>
            </w:pPr>
            <w:r>
              <w:rPr>
                <w:sz w:val="21"/>
              </w:rPr>
              <w:t>甲酸</w:t>
            </w:r>
          </w:p>
        </w:tc>
        <w:tc>
          <w:tcPr>
            <w:tcW w:w="1426" w:type="dxa"/>
          </w:tcPr>
          <w:p>
            <w:pPr>
              <w:pStyle w:val="TableParagraph"/>
              <w:spacing w:line="241" w:lineRule="exact" w:before="22"/>
              <w:ind w:left="379"/>
              <w:jc w:val="left"/>
              <w:rPr>
                <w:rFonts w:ascii="Times New Roman"/>
                <w:sz w:val="21"/>
              </w:rPr>
            </w:pPr>
            <w:r>
              <w:rPr>
                <w:rFonts w:ascii="Times New Roman"/>
                <w:sz w:val="21"/>
              </w:rPr>
              <w:t>75-56-9</w:t>
            </w:r>
          </w:p>
        </w:tc>
        <w:tc>
          <w:tcPr>
            <w:tcW w:w="2818" w:type="dxa"/>
          </w:tcPr>
          <w:p>
            <w:pPr>
              <w:pStyle w:val="TableParagraph"/>
              <w:spacing w:line="241" w:lineRule="exact" w:before="22"/>
              <w:ind w:left="136" w:right="131"/>
              <w:rPr>
                <w:rFonts w:ascii="Times New Roman"/>
                <w:sz w:val="21"/>
              </w:rPr>
            </w:pPr>
            <w:r>
              <w:rPr>
                <w:rFonts w:ascii="Times New Roman"/>
                <w:sz w:val="21"/>
              </w:rPr>
              <w:t>470</w:t>
            </w:r>
          </w:p>
        </w:tc>
        <w:tc>
          <w:tcPr>
            <w:tcW w:w="3077" w:type="dxa"/>
          </w:tcPr>
          <w:p>
            <w:pPr>
              <w:pStyle w:val="TableParagraph"/>
              <w:spacing w:line="241" w:lineRule="exact" w:before="22"/>
              <w:ind w:left="258" w:right="252"/>
              <w:rPr>
                <w:rFonts w:ascii="Times New Roman"/>
                <w:sz w:val="21"/>
              </w:rPr>
            </w:pPr>
            <w:r>
              <w:rPr>
                <w:rFonts w:ascii="Times New Roman"/>
                <w:sz w:val="21"/>
              </w:rPr>
              <w:t>47</w:t>
            </w:r>
          </w:p>
        </w:tc>
      </w:tr>
    </w:tbl>
    <w:p>
      <w:pPr>
        <w:spacing w:before="2"/>
        <w:ind w:left="701" w:right="0" w:firstLine="0"/>
        <w:jc w:val="left"/>
        <w:rPr>
          <w:b/>
          <w:sz w:val="24"/>
        </w:rPr>
      </w:pPr>
      <w:r>
        <w:rPr>
          <w:rFonts w:ascii="Times New Roman" w:eastAsia="Times New Roman"/>
          <w:b/>
          <w:sz w:val="24"/>
        </w:rPr>
        <w:t>2</w:t>
      </w:r>
      <w:r>
        <w:rPr>
          <w:b/>
          <w:sz w:val="24"/>
        </w:rPr>
        <w:t>、预测结果</w:t>
      </w:r>
    </w:p>
    <w:p>
      <w:pPr>
        <w:pStyle w:val="BodyText"/>
        <w:spacing w:before="161"/>
        <w:ind w:left="698"/>
        <w:rPr>
          <w:rFonts w:ascii="Times New Roman" w:hAnsi="Times New Roman"/>
        </w:rPr>
      </w:pPr>
      <w:r>
        <w:rPr/>
        <w:t>①</w:t>
      </w:r>
      <w:r>
        <w:rPr>
          <w:rFonts w:ascii="Times New Roman" w:hAnsi="Times New Roman"/>
        </w:rPr>
        <w:t>CO</w:t>
      </w:r>
    </w:p>
    <w:p>
      <w:pPr>
        <w:pStyle w:val="BodyText"/>
        <w:spacing w:before="2"/>
        <w:rPr>
          <w:rFonts w:ascii="Times New Roman"/>
          <w:sz w:val="26"/>
        </w:rPr>
      </w:pPr>
    </w:p>
    <w:p>
      <w:pPr>
        <w:pStyle w:val="Heading4"/>
        <w:tabs>
          <w:tab w:pos="1041" w:val="left" w:leader="none"/>
        </w:tabs>
        <w:spacing w:before="1" w:after="28"/>
        <w:ind w:left="0" w:right="16"/>
        <w:jc w:val="center"/>
      </w:pPr>
      <w:r>
        <w:rPr/>
        <w:t>表</w:t>
      </w:r>
      <w:r>
        <w:rPr>
          <w:spacing w:val="-60"/>
        </w:rPr>
        <w:t> </w:t>
      </w:r>
      <w:r>
        <w:rPr>
          <w:rFonts w:ascii="Times New Roman" w:eastAsia="Times New Roman"/>
        </w:rPr>
        <w:t>8.6-3</w:t>
        <w:tab/>
        <w:t>CO </w:t>
      </w:r>
      <w:r>
        <w:rPr/>
        <w:t>泄漏预测后果信息表</w:t>
      </w: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8"/>
        <w:gridCol w:w="2105"/>
        <w:gridCol w:w="1750"/>
        <w:gridCol w:w="2078"/>
        <w:gridCol w:w="1419"/>
      </w:tblGrid>
      <w:tr>
        <w:trPr>
          <w:trHeight w:val="282" w:hRule="atLeast"/>
        </w:trPr>
        <w:tc>
          <w:tcPr>
            <w:tcW w:w="1718" w:type="dxa"/>
          </w:tcPr>
          <w:p>
            <w:pPr>
              <w:pStyle w:val="TableParagraph"/>
              <w:spacing w:line="257" w:lineRule="exact" w:before="5"/>
              <w:ind w:left="225"/>
              <w:jc w:val="left"/>
              <w:rPr>
                <w:b/>
                <w:sz w:val="21"/>
              </w:rPr>
            </w:pPr>
            <w:r>
              <w:rPr>
                <w:b/>
                <w:sz w:val="21"/>
              </w:rPr>
              <w:t>预测气象条件</w:t>
            </w:r>
          </w:p>
        </w:tc>
        <w:tc>
          <w:tcPr>
            <w:tcW w:w="2105" w:type="dxa"/>
          </w:tcPr>
          <w:p>
            <w:pPr>
              <w:pStyle w:val="TableParagraph"/>
              <w:spacing w:line="257" w:lineRule="exact" w:before="5"/>
              <w:ind w:left="101" w:right="93"/>
              <w:rPr>
                <w:b/>
                <w:sz w:val="21"/>
              </w:rPr>
            </w:pPr>
            <w:r>
              <w:rPr>
                <w:b/>
                <w:sz w:val="21"/>
              </w:rPr>
              <w:t>指标</w:t>
            </w:r>
          </w:p>
        </w:tc>
        <w:tc>
          <w:tcPr>
            <w:tcW w:w="1750" w:type="dxa"/>
          </w:tcPr>
          <w:p>
            <w:pPr>
              <w:pStyle w:val="TableParagraph"/>
              <w:spacing w:line="257" w:lineRule="exact" w:before="5"/>
              <w:ind w:left="108" w:right="-15"/>
              <w:jc w:val="left"/>
              <w:rPr>
                <w:b/>
                <w:sz w:val="21"/>
              </w:rPr>
            </w:pPr>
            <w:r>
              <w:rPr>
                <w:b/>
                <w:sz w:val="21"/>
              </w:rPr>
              <w:t>浓度值（</w:t>
            </w:r>
            <w:r>
              <w:rPr>
                <w:rFonts w:ascii="Times New Roman" w:eastAsia="Times New Roman"/>
                <w:b/>
                <w:sz w:val="21"/>
              </w:rPr>
              <w:t>mg/m</w:t>
            </w:r>
            <w:r>
              <w:rPr>
                <w:rFonts w:ascii="Times New Roman" w:eastAsia="Times New Roman"/>
                <w:b/>
                <w:position w:val="7"/>
                <w:sz w:val="14"/>
              </w:rPr>
              <w:t>3</w:t>
            </w:r>
            <w:r>
              <w:rPr>
                <w:b/>
                <w:sz w:val="21"/>
              </w:rPr>
              <w:t>）</w:t>
            </w:r>
          </w:p>
        </w:tc>
        <w:tc>
          <w:tcPr>
            <w:tcW w:w="2078" w:type="dxa"/>
          </w:tcPr>
          <w:p>
            <w:pPr>
              <w:pStyle w:val="TableParagraph"/>
              <w:spacing w:line="257" w:lineRule="exact" w:before="5"/>
              <w:ind w:left="108"/>
              <w:jc w:val="left"/>
              <w:rPr>
                <w:b/>
                <w:sz w:val="21"/>
              </w:rPr>
            </w:pPr>
            <w:r>
              <w:rPr>
                <w:b/>
                <w:sz w:val="21"/>
              </w:rPr>
              <w:t>最远影响距离（</w:t>
            </w:r>
            <w:r>
              <w:rPr>
                <w:rFonts w:ascii="Times New Roman" w:eastAsia="Times New Roman"/>
                <w:b/>
                <w:sz w:val="21"/>
              </w:rPr>
              <w:t>m</w:t>
            </w:r>
            <w:r>
              <w:rPr>
                <w:b/>
                <w:sz w:val="21"/>
              </w:rPr>
              <w:t>）</w:t>
            </w:r>
          </w:p>
        </w:tc>
        <w:tc>
          <w:tcPr>
            <w:tcW w:w="1419" w:type="dxa"/>
          </w:tcPr>
          <w:p>
            <w:pPr>
              <w:pStyle w:val="TableParagraph"/>
              <w:spacing w:line="257" w:lineRule="exact" w:before="5"/>
              <w:ind w:left="287"/>
              <w:jc w:val="left"/>
              <w:rPr>
                <w:b/>
                <w:sz w:val="21"/>
              </w:rPr>
            </w:pPr>
            <w:r>
              <w:rPr>
                <w:b/>
                <w:sz w:val="21"/>
              </w:rPr>
              <w:t>达到时间</w:t>
            </w:r>
          </w:p>
        </w:tc>
      </w:tr>
    </w:tbl>
    <w:p>
      <w:pPr>
        <w:spacing w:after="0" w:line="257" w:lineRule="exact"/>
        <w:jc w:val="left"/>
        <w:rPr>
          <w:sz w:val="21"/>
        </w:rPr>
        <w:sectPr>
          <w:pgSz w:w="11910" w:h="16840"/>
          <w:pgMar w:header="872" w:footer="945" w:top="1320" w:bottom="1140" w:left="1200" w:right="1180"/>
        </w:sectPr>
      </w:pPr>
    </w:p>
    <w:p>
      <w:pPr>
        <w:pStyle w:val="BodyText"/>
        <w:spacing w:before="5"/>
        <w:rPr>
          <w:b/>
          <w:sz w:val="6"/>
        </w:rPr>
      </w:pPr>
    </w:p>
    <w:tbl>
      <w:tblPr>
        <w:tblW w:w="0" w:type="auto"/>
        <w:jc w:val="lef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8"/>
        <w:gridCol w:w="2105"/>
        <w:gridCol w:w="1750"/>
        <w:gridCol w:w="2078"/>
        <w:gridCol w:w="1419"/>
      </w:tblGrid>
      <w:tr>
        <w:trPr>
          <w:trHeight w:val="282" w:hRule="atLeast"/>
        </w:trPr>
        <w:tc>
          <w:tcPr>
            <w:tcW w:w="1718" w:type="dxa"/>
          </w:tcPr>
          <w:p>
            <w:pPr>
              <w:pStyle w:val="TableParagraph"/>
              <w:jc w:val="left"/>
              <w:rPr>
                <w:rFonts w:ascii="Times New Roman"/>
                <w:sz w:val="20"/>
              </w:rPr>
            </w:pPr>
          </w:p>
        </w:tc>
        <w:tc>
          <w:tcPr>
            <w:tcW w:w="2105" w:type="dxa"/>
          </w:tcPr>
          <w:p>
            <w:pPr>
              <w:pStyle w:val="TableParagraph"/>
              <w:jc w:val="left"/>
              <w:rPr>
                <w:rFonts w:ascii="Times New Roman"/>
                <w:sz w:val="20"/>
              </w:rPr>
            </w:pPr>
          </w:p>
        </w:tc>
        <w:tc>
          <w:tcPr>
            <w:tcW w:w="1750" w:type="dxa"/>
          </w:tcPr>
          <w:p>
            <w:pPr>
              <w:pStyle w:val="TableParagraph"/>
              <w:jc w:val="left"/>
              <w:rPr>
                <w:rFonts w:ascii="Times New Roman"/>
                <w:sz w:val="20"/>
              </w:rPr>
            </w:pPr>
          </w:p>
        </w:tc>
        <w:tc>
          <w:tcPr>
            <w:tcW w:w="2078" w:type="dxa"/>
          </w:tcPr>
          <w:p>
            <w:pPr>
              <w:pStyle w:val="TableParagraph"/>
              <w:jc w:val="left"/>
              <w:rPr>
                <w:rFonts w:ascii="Times New Roman"/>
                <w:sz w:val="20"/>
              </w:rPr>
            </w:pPr>
          </w:p>
        </w:tc>
        <w:tc>
          <w:tcPr>
            <w:tcW w:w="1419" w:type="dxa"/>
          </w:tcPr>
          <w:p>
            <w:pPr>
              <w:pStyle w:val="TableParagraph"/>
              <w:spacing w:line="262" w:lineRule="exact" w:before="1"/>
              <w:ind w:left="10"/>
              <w:rPr>
                <w:b/>
                <w:sz w:val="21"/>
              </w:rPr>
            </w:pPr>
            <w:r>
              <w:rPr>
                <w:b/>
                <w:sz w:val="21"/>
              </w:rPr>
              <w:t>（</w:t>
            </w:r>
            <w:r>
              <w:rPr>
                <w:rFonts w:ascii="Times New Roman" w:eastAsia="Times New Roman"/>
                <w:b/>
                <w:sz w:val="21"/>
              </w:rPr>
              <w:t>min</w:t>
            </w:r>
            <w:r>
              <w:rPr>
                <w:b/>
                <w:sz w:val="21"/>
              </w:rPr>
              <w:t>）</w:t>
            </w:r>
          </w:p>
        </w:tc>
      </w:tr>
      <w:tr>
        <w:trPr>
          <w:trHeight w:val="285" w:hRule="atLeast"/>
        </w:trPr>
        <w:tc>
          <w:tcPr>
            <w:tcW w:w="1718" w:type="dxa"/>
            <w:vMerge w:val="restart"/>
          </w:tcPr>
          <w:p>
            <w:pPr>
              <w:pStyle w:val="TableParagraph"/>
              <w:spacing w:before="155"/>
              <w:ind w:left="122"/>
              <w:jc w:val="left"/>
              <w:rPr>
                <w:sz w:val="21"/>
              </w:rPr>
            </w:pPr>
            <w:r>
              <w:rPr>
                <w:sz w:val="21"/>
              </w:rPr>
              <w:t>最不利气象条件</w:t>
            </w:r>
          </w:p>
        </w:tc>
        <w:tc>
          <w:tcPr>
            <w:tcW w:w="2105" w:type="dxa"/>
          </w:tcPr>
          <w:p>
            <w:pPr>
              <w:pStyle w:val="TableParagraph"/>
              <w:spacing w:line="257" w:lineRule="exact" w:before="8"/>
              <w:ind w:left="106" w:right="93"/>
              <w:rPr>
                <w:rFonts w:ascii="Times New Roman" w:eastAsia="Times New Roman"/>
                <w:sz w:val="21"/>
              </w:rPr>
            </w:pPr>
            <w:r>
              <w:rPr>
                <w:sz w:val="21"/>
              </w:rPr>
              <w:t>大气毒性终点浓度</w:t>
            </w:r>
            <w:r>
              <w:rPr>
                <w:rFonts w:ascii="Times New Roman" w:eastAsia="Times New Roman"/>
                <w:sz w:val="21"/>
              </w:rPr>
              <w:t>-1</w:t>
            </w:r>
          </w:p>
        </w:tc>
        <w:tc>
          <w:tcPr>
            <w:tcW w:w="1750" w:type="dxa"/>
          </w:tcPr>
          <w:p>
            <w:pPr>
              <w:pStyle w:val="TableParagraph"/>
              <w:spacing w:before="22"/>
              <w:ind w:left="718"/>
              <w:jc w:val="left"/>
              <w:rPr>
                <w:rFonts w:ascii="Times New Roman"/>
                <w:sz w:val="21"/>
              </w:rPr>
            </w:pPr>
            <w:r>
              <w:rPr>
                <w:rFonts w:ascii="Times New Roman"/>
                <w:sz w:val="21"/>
              </w:rPr>
              <w:t>380</w:t>
            </w:r>
          </w:p>
        </w:tc>
        <w:tc>
          <w:tcPr>
            <w:tcW w:w="2078" w:type="dxa"/>
          </w:tcPr>
          <w:p>
            <w:pPr>
              <w:pStyle w:val="TableParagraph"/>
              <w:spacing w:before="22"/>
              <w:ind w:left="881"/>
              <w:jc w:val="left"/>
              <w:rPr>
                <w:rFonts w:ascii="Times New Roman"/>
                <w:sz w:val="21"/>
              </w:rPr>
            </w:pPr>
            <w:r>
              <w:rPr>
                <w:rFonts w:ascii="Times New Roman"/>
                <w:sz w:val="21"/>
              </w:rPr>
              <w:t>660</w:t>
            </w:r>
          </w:p>
        </w:tc>
        <w:tc>
          <w:tcPr>
            <w:tcW w:w="1419" w:type="dxa"/>
          </w:tcPr>
          <w:p>
            <w:pPr>
              <w:pStyle w:val="TableParagraph"/>
              <w:spacing w:before="22"/>
              <w:ind w:left="10"/>
              <w:rPr>
                <w:rFonts w:ascii="Times New Roman"/>
                <w:sz w:val="21"/>
              </w:rPr>
            </w:pPr>
            <w:r>
              <w:rPr>
                <w:rFonts w:ascii="Times New Roman"/>
                <w:sz w:val="21"/>
              </w:rPr>
              <w:t>7.33</w:t>
            </w:r>
          </w:p>
        </w:tc>
      </w:tr>
      <w:tr>
        <w:trPr>
          <w:trHeight w:val="282" w:hRule="atLeast"/>
        </w:trPr>
        <w:tc>
          <w:tcPr>
            <w:tcW w:w="1718" w:type="dxa"/>
            <w:vMerge/>
            <w:tcBorders>
              <w:top w:val="nil"/>
            </w:tcBorders>
          </w:tcPr>
          <w:p>
            <w:pPr>
              <w:rPr>
                <w:sz w:val="2"/>
                <w:szCs w:val="2"/>
              </w:rPr>
            </w:pPr>
          </w:p>
        </w:tc>
        <w:tc>
          <w:tcPr>
            <w:tcW w:w="2105" w:type="dxa"/>
          </w:tcPr>
          <w:p>
            <w:pPr>
              <w:pStyle w:val="TableParagraph"/>
              <w:spacing w:line="257" w:lineRule="exact" w:before="6"/>
              <w:ind w:left="106" w:right="93"/>
              <w:rPr>
                <w:rFonts w:ascii="Times New Roman" w:eastAsia="Times New Roman"/>
                <w:sz w:val="21"/>
              </w:rPr>
            </w:pPr>
            <w:r>
              <w:rPr>
                <w:sz w:val="21"/>
              </w:rPr>
              <w:t>大气毒性终点浓度</w:t>
            </w:r>
            <w:r>
              <w:rPr>
                <w:rFonts w:ascii="Times New Roman" w:eastAsia="Times New Roman"/>
                <w:sz w:val="21"/>
              </w:rPr>
              <w:t>-2</w:t>
            </w:r>
          </w:p>
        </w:tc>
        <w:tc>
          <w:tcPr>
            <w:tcW w:w="1750" w:type="dxa"/>
          </w:tcPr>
          <w:p>
            <w:pPr>
              <w:pStyle w:val="TableParagraph"/>
              <w:spacing w:before="19"/>
              <w:ind w:left="768"/>
              <w:jc w:val="left"/>
              <w:rPr>
                <w:rFonts w:ascii="Times New Roman"/>
                <w:sz w:val="21"/>
              </w:rPr>
            </w:pPr>
            <w:r>
              <w:rPr>
                <w:rFonts w:ascii="Times New Roman"/>
                <w:sz w:val="21"/>
              </w:rPr>
              <w:t>95</w:t>
            </w:r>
          </w:p>
        </w:tc>
        <w:tc>
          <w:tcPr>
            <w:tcW w:w="2078" w:type="dxa"/>
          </w:tcPr>
          <w:p>
            <w:pPr>
              <w:pStyle w:val="TableParagraph"/>
              <w:spacing w:before="19"/>
              <w:ind w:left="828"/>
              <w:jc w:val="left"/>
              <w:rPr>
                <w:rFonts w:ascii="Times New Roman"/>
                <w:sz w:val="21"/>
              </w:rPr>
            </w:pPr>
            <w:r>
              <w:rPr>
                <w:rFonts w:ascii="Times New Roman"/>
                <w:sz w:val="21"/>
              </w:rPr>
              <w:t>1610</w:t>
            </w:r>
          </w:p>
        </w:tc>
        <w:tc>
          <w:tcPr>
            <w:tcW w:w="1419" w:type="dxa"/>
          </w:tcPr>
          <w:p>
            <w:pPr>
              <w:pStyle w:val="TableParagraph"/>
              <w:spacing w:before="19"/>
              <w:ind w:left="10"/>
              <w:rPr>
                <w:rFonts w:ascii="Times New Roman"/>
                <w:sz w:val="21"/>
              </w:rPr>
            </w:pPr>
            <w:r>
              <w:rPr>
                <w:rFonts w:ascii="Times New Roman"/>
                <w:sz w:val="21"/>
              </w:rPr>
              <w:t>17.89</w:t>
            </w:r>
          </w:p>
        </w:tc>
      </w:tr>
    </w:tbl>
    <w:p>
      <w:pPr>
        <w:pStyle w:val="BodyText"/>
        <w:spacing w:before="8"/>
        <w:rPr>
          <w:b/>
          <w:sz w:val="4"/>
        </w:rPr>
      </w:pPr>
    </w:p>
    <w:p>
      <w:pPr>
        <w:pStyle w:val="BodyText"/>
        <w:ind w:left="223"/>
        <w:rPr>
          <w:sz w:val="20"/>
        </w:rPr>
      </w:pPr>
      <w:r>
        <w:rPr>
          <w:sz w:val="20"/>
        </w:rPr>
        <w:drawing>
          <wp:inline distT="0" distB="0" distL="0" distR="0">
            <wp:extent cx="5706135" cy="3487292"/>
            <wp:effectExtent l="0" t="0" r="0" b="0"/>
            <wp:docPr id="85" name="image87.jpeg"/>
            <wp:cNvGraphicFramePr>
              <a:graphicFrameLocks noChangeAspect="1"/>
            </wp:cNvGraphicFramePr>
            <a:graphic>
              <a:graphicData uri="http://schemas.openxmlformats.org/drawingml/2006/picture">
                <pic:pic>
                  <pic:nvPicPr>
                    <pic:cNvPr id="86" name="image87.jpeg"/>
                    <pic:cNvPicPr/>
                  </pic:nvPicPr>
                  <pic:blipFill>
                    <a:blip r:embed="rId161" cstate="print"/>
                    <a:stretch>
                      <a:fillRect/>
                    </a:stretch>
                  </pic:blipFill>
                  <pic:spPr>
                    <a:xfrm>
                      <a:off x="0" y="0"/>
                      <a:ext cx="5706135" cy="3487292"/>
                    </a:xfrm>
                    <a:prstGeom prst="rect">
                      <a:avLst/>
                    </a:prstGeom>
                  </pic:spPr>
                </pic:pic>
              </a:graphicData>
            </a:graphic>
          </wp:inline>
        </w:drawing>
      </w:r>
      <w:r>
        <w:rPr>
          <w:sz w:val="20"/>
        </w:rPr>
      </w:r>
    </w:p>
    <w:p>
      <w:pPr>
        <w:spacing w:line="362" w:lineRule="auto" w:before="51"/>
        <w:ind w:left="698" w:right="2353" w:firstLine="1636"/>
        <w:jc w:val="both"/>
        <w:rPr>
          <w:sz w:val="24"/>
        </w:rPr>
      </w:pPr>
      <w:r>
        <w:rPr>
          <w:b/>
          <w:spacing w:val="-30"/>
          <w:sz w:val="24"/>
        </w:rPr>
        <w:t>图 </w:t>
      </w:r>
      <w:r>
        <w:rPr>
          <w:rFonts w:ascii="Times New Roman" w:eastAsia="Times New Roman"/>
          <w:b/>
          <w:sz w:val="24"/>
        </w:rPr>
        <w:t>8.6-1</w:t>
      </w:r>
      <w:r>
        <w:rPr>
          <w:rFonts w:ascii="Times New Roman" w:eastAsia="Times New Roman"/>
          <w:b/>
          <w:spacing w:val="58"/>
          <w:sz w:val="24"/>
        </w:rPr>
        <w:t> </w:t>
      </w:r>
      <w:r>
        <w:rPr>
          <w:rFonts w:ascii="Times New Roman" w:eastAsia="Times New Roman"/>
          <w:b/>
          <w:sz w:val="24"/>
        </w:rPr>
        <w:t>CO </w:t>
      </w:r>
      <w:r>
        <w:rPr>
          <w:b/>
          <w:sz w:val="24"/>
        </w:rPr>
        <w:t>预测结果图（最不利气象条件</w:t>
      </w:r>
      <w:r>
        <w:rPr>
          <w:b/>
          <w:spacing w:val="-13"/>
          <w:sz w:val="24"/>
        </w:rPr>
        <w:t>） </w:t>
      </w:r>
      <w:r>
        <w:rPr>
          <w:sz w:val="24"/>
        </w:rPr>
        <w:t>由预测结果可知：</w:t>
      </w:r>
    </w:p>
    <w:p>
      <w:pPr>
        <w:pStyle w:val="BodyText"/>
        <w:spacing w:line="364" w:lineRule="auto" w:before="5"/>
        <w:ind w:left="218" w:right="229" w:firstLine="480"/>
        <w:jc w:val="both"/>
      </w:pPr>
      <w:r>
        <w:rPr>
          <w:spacing w:val="-5"/>
        </w:rPr>
        <w:t>最不利气象条件下，在距排放源中心 </w:t>
      </w:r>
      <w:r>
        <w:rPr>
          <w:rFonts w:ascii="Times New Roman" w:eastAsia="Times New Roman"/>
        </w:rPr>
        <w:t>660m </w:t>
      </w:r>
      <w:r>
        <w:rPr/>
        <w:t>的范围内，</w:t>
      </w:r>
      <w:r>
        <w:rPr>
          <w:rFonts w:ascii="Times New Roman" w:eastAsia="Times New Roman"/>
        </w:rPr>
        <w:t>CO </w:t>
      </w:r>
      <w:r>
        <w:rPr>
          <w:spacing w:val="-13"/>
        </w:rPr>
        <w:t>浓度大于 </w:t>
      </w:r>
      <w:r>
        <w:rPr>
          <w:rFonts w:ascii="Times New Roman" w:eastAsia="Times New Roman"/>
        </w:rPr>
        <w:t>380mg/m</w:t>
      </w:r>
      <w:r>
        <w:rPr>
          <w:rFonts w:ascii="Times New Roman" w:eastAsia="Times New Roman"/>
          <w:position w:val="9"/>
          <w:sz w:val="16"/>
        </w:rPr>
        <w:t>3</w:t>
      </w:r>
      <w:r>
        <w:rPr>
          <w:spacing w:val="-2"/>
        </w:rPr>
        <w:t>，此</w:t>
      </w:r>
      <w:r>
        <w:rPr>
          <w:spacing w:val="-16"/>
        </w:rPr>
        <w:t>范围内 </w:t>
      </w:r>
      <w:r>
        <w:rPr>
          <w:rFonts w:ascii="Times New Roman" w:eastAsia="Times New Roman"/>
        </w:rPr>
        <w:t>CO </w:t>
      </w:r>
      <w:r>
        <w:rPr>
          <w:spacing w:val="-6"/>
        </w:rPr>
        <w:t>浓度大于毒性终点浓度 </w:t>
      </w:r>
      <w:r>
        <w:rPr>
          <w:rFonts w:ascii="Times New Roman" w:eastAsia="Times New Roman"/>
        </w:rPr>
        <w:t>1 </w:t>
      </w:r>
      <w:r>
        <w:rPr>
          <w:spacing w:val="-4"/>
        </w:rPr>
        <w:t>级，此范围能对人群造成生命威胁，主要在本厂区</w:t>
      </w:r>
      <w:r>
        <w:rPr>
          <w:spacing w:val="-8"/>
        </w:rPr>
        <w:t>内及周边企业厂区；在距排放源中心 </w:t>
      </w:r>
      <w:r>
        <w:rPr>
          <w:rFonts w:ascii="Times New Roman" w:eastAsia="Times New Roman"/>
        </w:rPr>
        <w:t>1610m </w:t>
      </w:r>
      <w:r>
        <w:rPr/>
        <w:t>的范围内，</w:t>
      </w:r>
      <w:r>
        <w:rPr>
          <w:rFonts w:ascii="Times New Roman" w:eastAsia="Times New Roman"/>
        </w:rPr>
        <w:t>CO </w:t>
      </w:r>
      <w:r>
        <w:rPr>
          <w:spacing w:val="-13"/>
        </w:rPr>
        <w:t>浓度大于 </w:t>
      </w:r>
      <w:r>
        <w:rPr>
          <w:rFonts w:ascii="Times New Roman" w:eastAsia="Times New Roman"/>
        </w:rPr>
        <w:t>95mg/m</w:t>
      </w:r>
      <w:r>
        <w:rPr>
          <w:rFonts w:ascii="Times New Roman" w:eastAsia="Times New Roman"/>
          <w:position w:val="9"/>
          <w:sz w:val="16"/>
        </w:rPr>
        <w:t>3</w:t>
      </w:r>
      <w:r>
        <w:rPr>
          <w:spacing w:val="-3"/>
        </w:rPr>
        <w:t>，此范围</w:t>
      </w:r>
      <w:r>
        <w:rPr>
          <w:spacing w:val="-30"/>
        </w:rPr>
        <w:t>内 </w:t>
      </w:r>
      <w:r>
        <w:rPr>
          <w:rFonts w:ascii="Times New Roman" w:eastAsia="Times New Roman"/>
        </w:rPr>
        <w:t>CO </w:t>
      </w:r>
      <w:r>
        <w:rPr>
          <w:spacing w:val="-6"/>
        </w:rPr>
        <w:t>浓度介于毒性终点浓度 </w:t>
      </w:r>
      <w:r>
        <w:rPr>
          <w:rFonts w:ascii="Times New Roman" w:eastAsia="Times New Roman"/>
        </w:rPr>
        <w:t>1 </w:t>
      </w:r>
      <w:r>
        <w:rPr>
          <w:spacing w:val="-20"/>
        </w:rPr>
        <w:t>级和 </w:t>
      </w:r>
      <w:r>
        <w:rPr>
          <w:rFonts w:ascii="Times New Roman" w:eastAsia="Times New Roman"/>
        </w:rPr>
        <w:t>2 </w:t>
      </w:r>
      <w:r>
        <w:rPr>
          <w:spacing w:val="-10"/>
        </w:rPr>
        <w:t>级之间，绝大多数人员暴露 </w:t>
      </w:r>
      <w:r>
        <w:rPr>
          <w:rFonts w:ascii="Times New Roman" w:eastAsia="Times New Roman"/>
        </w:rPr>
        <w:t>1 h  </w:t>
      </w:r>
      <w:r>
        <w:rPr/>
        <w:t>不会对生命造成</w:t>
      </w:r>
      <w:r>
        <w:rPr>
          <w:spacing w:val="-9"/>
        </w:rPr>
        <w:t>威胁；在距排放源中心 </w:t>
      </w:r>
      <w:r>
        <w:rPr>
          <w:rFonts w:ascii="Times New Roman" w:eastAsia="Times New Roman"/>
        </w:rPr>
        <w:t>1610m </w:t>
      </w:r>
      <w:r>
        <w:rPr>
          <w:spacing w:val="-1"/>
        </w:rPr>
        <w:t>的范围外，</w:t>
      </w:r>
      <w:r>
        <w:rPr>
          <w:rFonts w:ascii="Times New Roman" w:eastAsia="Times New Roman"/>
          <w:spacing w:val="-4"/>
        </w:rPr>
        <w:t>CO </w:t>
      </w:r>
      <w:r>
        <w:rPr>
          <w:spacing w:val="-6"/>
        </w:rPr>
        <w:t>浓度低于毒性终点浓度 </w:t>
      </w:r>
      <w:r>
        <w:rPr>
          <w:rFonts w:ascii="Times New Roman" w:eastAsia="Times New Roman"/>
        </w:rPr>
        <w:t>2 </w:t>
      </w:r>
      <w:r>
        <w:rPr>
          <w:spacing w:val="-3"/>
        </w:rPr>
        <w:t>级，此范围内暴露 </w:t>
      </w:r>
      <w:r>
        <w:rPr>
          <w:rFonts w:ascii="Times New Roman" w:eastAsia="Times New Roman"/>
          <w:spacing w:val="-3"/>
        </w:rPr>
        <w:t>1 h</w:t>
      </w:r>
      <w:r>
        <w:rPr>
          <w:rFonts w:ascii="Times New Roman" w:eastAsia="Times New Roman"/>
          <w:spacing w:val="59"/>
        </w:rPr>
        <w:t> </w:t>
      </w:r>
      <w:r>
        <w:rPr>
          <w:spacing w:val="-7"/>
        </w:rPr>
        <w:t>一般不会对人体造成不可逆的伤害，或出现的症状一般不会损伤该个体采取有效防护措施的能力。</w:t>
      </w:r>
    </w:p>
    <w:p>
      <w:pPr>
        <w:pStyle w:val="BodyText"/>
        <w:spacing w:line="305" w:lineRule="exact"/>
        <w:ind w:left="698"/>
      </w:pPr>
      <w:r>
        <w:rPr/>
        <w:t>②甲酸</w:t>
      </w:r>
    </w:p>
    <w:p>
      <w:pPr>
        <w:pStyle w:val="BodyText"/>
        <w:spacing w:before="5"/>
        <w:rPr>
          <w:sz w:val="23"/>
        </w:rPr>
      </w:pPr>
    </w:p>
    <w:p>
      <w:pPr>
        <w:pStyle w:val="Heading4"/>
        <w:tabs>
          <w:tab w:pos="1041" w:val="left" w:leader="none"/>
        </w:tabs>
        <w:spacing w:after="29"/>
        <w:ind w:left="0" w:right="19"/>
        <w:jc w:val="center"/>
      </w:pPr>
      <w:r>
        <w:rPr/>
        <w:t>表</w:t>
      </w:r>
      <w:r>
        <w:rPr>
          <w:spacing w:val="-60"/>
        </w:rPr>
        <w:t> </w:t>
      </w:r>
      <w:r>
        <w:rPr>
          <w:rFonts w:ascii="Times New Roman" w:eastAsia="Times New Roman"/>
        </w:rPr>
        <w:t>8.6-4</w:t>
        <w:tab/>
      </w:r>
      <w:r>
        <w:rPr/>
        <w:t>甲酸泄漏预测后果信息表</w:t>
      </w: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4"/>
        <w:gridCol w:w="2153"/>
        <w:gridCol w:w="1793"/>
        <w:gridCol w:w="1790"/>
        <w:gridCol w:w="1786"/>
      </w:tblGrid>
      <w:tr>
        <w:trPr>
          <w:trHeight w:val="480" w:hRule="atLeast"/>
        </w:trPr>
        <w:tc>
          <w:tcPr>
            <w:tcW w:w="1764" w:type="dxa"/>
          </w:tcPr>
          <w:p>
            <w:pPr>
              <w:pStyle w:val="TableParagraph"/>
              <w:spacing w:before="102"/>
              <w:ind w:left="249"/>
              <w:jc w:val="left"/>
              <w:rPr>
                <w:b/>
                <w:sz w:val="21"/>
              </w:rPr>
            </w:pPr>
            <w:r>
              <w:rPr>
                <w:b/>
                <w:sz w:val="21"/>
              </w:rPr>
              <w:t>预测气象条件</w:t>
            </w:r>
          </w:p>
        </w:tc>
        <w:tc>
          <w:tcPr>
            <w:tcW w:w="2153" w:type="dxa"/>
          </w:tcPr>
          <w:p>
            <w:pPr>
              <w:pStyle w:val="TableParagraph"/>
              <w:spacing w:before="102"/>
              <w:ind w:left="123" w:right="120"/>
              <w:rPr>
                <w:b/>
                <w:sz w:val="21"/>
              </w:rPr>
            </w:pPr>
            <w:r>
              <w:rPr>
                <w:b/>
                <w:sz w:val="21"/>
              </w:rPr>
              <w:t>指标</w:t>
            </w:r>
          </w:p>
        </w:tc>
        <w:tc>
          <w:tcPr>
            <w:tcW w:w="1793" w:type="dxa"/>
          </w:tcPr>
          <w:p>
            <w:pPr>
              <w:pStyle w:val="TableParagraph"/>
              <w:spacing w:before="102"/>
              <w:ind w:left="88" w:right="16"/>
              <w:rPr>
                <w:b/>
                <w:sz w:val="21"/>
              </w:rPr>
            </w:pPr>
            <w:r>
              <w:rPr>
                <w:b/>
                <w:sz w:val="21"/>
              </w:rPr>
              <w:t>浓度值（</w:t>
            </w:r>
            <w:r>
              <w:rPr>
                <w:rFonts w:ascii="Times New Roman" w:eastAsia="Times New Roman"/>
                <w:b/>
                <w:sz w:val="21"/>
              </w:rPr>
              <w:t>mg/m</w:t>
            </w:r>
            <w:r>
              <w:rPr>
                <w:rFonts w:ascii="Times New Roman" w:eastAsia="Times New Roman"/>
                <w:b/>
                <w:position w:val="7"/>
                <w:sz w:val="14"/>
              </w:rPr>
              <w:t>3</w:t>
            </w:r>
            <w:r>
              <w:rPr>
                <w:b/>
                <w:sz w:val="21"/>
              </w:rPr>
              <w:t>）</w:t>
            </w:r>
          </w:p>
        </w:tc>
        <w:tc>
          <w:tcPr>
            <w:tcW w:w="1790" w:type="dxa"/>
          </w:tcPr>
          <w:p>
            <w:pPr>
              <w:pStyle w:val="TableParagraph"/>
              <w:spacing w:line="237" w:lineRule="exact"/>
              <w:ind w:left="243" w:right="232"/>
              <w:rPr>
                <w:b/>
                <w:sz w:val="21"/>
              </w:rPr>
            </w:pPr>
            <w:r>
              <w:rPr>
                <w:b/>
                <w:sz w:val="21"/>
              </w:rPr>
              <w:t>最远影响距离</w:t>
            </w:r>
          </w:p>
          <w:p>
            <w:pPr>
              <w:pStyle w:val="TableParagraph"/>
              <w:spacing w:line="223" w:lineRule="exact"/>
              <w:ind w:left="240" w:right="232"/>
              <w:rPr>
                <w:b/>
                <w:sz w:val="21"/>
              </w:rPr>
            </w:pPr>
            <w:r>
              <w:rPr>
                <w:b/>
                <w:sz w:val="21"/>
              </w:rPr>
              <w:t>（</w:t>
            </w:r>
            <w:r>
              <w:rPr>
                <w:rFonts w:ascii="Times New Roman" w:eastAsia="Times New Roman"/>
                <w:b/>
                <w:sz w:val="21"/>
              </w:rPr>
              <w:t>m</w:t>
            </w:r>
            <w:r>
              <w:rPr>
                <w:b/>
                <w:sz w:val="21"/>
              </w:rPr>
              <w:t>）</w:t>
            </w:r>
          </w:p>
        </w:tc>
        <w:tc>
          <w:tcPr>
            <w:tcW w:w="1786" w:type="dxa"/>
          </w:tcPr>
          <w:p>
            <w:pPr>
              <w:pStyle w:val="TableParagraph"/>
              <w:spacing w:before="102"/>
              <w:ind w:left="452" w:right="440"/>
              <w:rPr>
                <w:b/>
                <w:sz w:val="21"/>
              </w:rPr>
            </w:pPr>
            <w:r>
              <w:rPr>
                <w:b/>
                <w:sz w:val="21"/>
              </w:rPr>
              <w:t>到达时间</w:t>
            </w:r>
          </w:p>
        </w:tc>
      </w:tr>
      <w:tr>
        <w:trPr>
          <w:trHeight w:val="285" w:hRule="atLeast"/>
        </w:trPr>
        <w:tc>
          <w:tcPr>
            <w:tcW w:w="1764" w:type="dxa"/>
            <w:vMerge w:val="restart"/>
          </w:tcPr>
          <w:p>
            <w:pPr>
              <w:pStyle w:val="TableParagraph"/>
              <w:spacing w:before="152"/>
              <w:ind w:left="146"/>
              <w:jc w:val="left"/>
              <w:rPr>
                <w:sz w:val="21"/>
              </w:rPr>
            </w:pPr>
            <w:r>
              <w:rPr>
                <w:sz w:val="21"/>
              </w:rPr>
              <w:t>最不利气象条件</w:t>
            </w:r>
          </w:p>
        </w:tc>
        <w:tc>
          <w:tcPr>
            <w:tcW w:w="2153" w:type="dxa"/>
          </w:tcPr>
          <w:p>
            <w:pPr>
              <w:pStyle w:val="TableParagraph"/>
              <w:spacing w:line="259" w:lineRule="exact" w:before="6"/>
              <w:ind w:left="127" w:right="120"/>
              <w:rPr>
                <w:rFonts w:ascii="Times New Roman" w:eastAsia="Times New Roman"/>
                <w:sz w:val="21"/>
              </w:rPr>
            </w:pPr>
            <w:r>
              <w:rPr>
                <w:sz w:val="21"/>
              </w:rPr>
              <w:t>大气毒性终点浓度</w:t>
            </w:r>
            <w:r>
              <w:rPr>
                <w:rFonts w:ascii="Times New Roman" w:eastAsia="Times New Roman"/>
                <w:sz w:val="21"/>
              </w:rPr>
              <w:t>-1</w:t>
            </w:r>
          </w:p>
        </w:tc>
        <w:tc>
          <w:tcPr>
            <w:tcW w:w="1793" w:type="dxa"/>
          </w:tcPr>
          <w:p>
            <w:pPr>
              <w:pStyle w:val="TableParagraph"/>
              <w:spacing w:before="19"/>
              <w:ind w:left="28" w:right="16"/>
              <w:rPr>
                <w:rFonts w:ascii="Times New Roman"/>
                <w:sz w:val="21"/>
              </w:rPr>
            </w:pPr>
            <w:r>
              <w:rPr>
                <w:rFonts w:ascii="Times New Roman"/>
                <w:sz w:val="21"/>
              </w:rPr>
              <w:t>470</w:t>
            </w:r>
          </w:p>
        </w:tc>
        <w:tc>
          <w:tcPr>
            <w:tcW w:w="1790" w:type="dxa"/>
          </w:tcPr>
          <w:p>
            <w:pPr>
              <w:pStyle w:val="TableParagraph"/>
              <w:spacing w:before="19"/>
              <w:ind w:right="776"/>
              <w:jc w:val="right"/>
              <w:rPr>
                <w:rFonts w:ascii="Times New Roman"/>
                <w:sz w:val="21"/>
              </w:rPr>
            </w:pPr>
            <w:r>
              <w:rPr>
                <w:rFonts w:ascii="Times New Roman"/>
                <w:sz w:val="21"/>
              </w:rPr>
              <w:t>30</w:t>
            </w:r>
          </w:p>
        </w:tc>
        <w:tc>
          <w:tcPr>
            <w:tcW w:w="1786" w:type="dxa"/>
          </w:tcPr>
          <w:p>
            <w:pPr>
              <w:pStyle w:val="TableParagraph"/>
              <w:spacing w:line="240" w:lineRule="exact"/>
              <w:ind w:left="452" w:right="440"/>
              <w:rPr>
                <w:rFonts w:ascii="Times New Roman"/>
                <w:sz w:val="21"/>
              </w:rPr>
            </w:pPr>
            <w:r>
              <w:rPr>
                <w:rFonts w:ascii="Times New Roman"/>
                <w:sz w:val="21"/>
              </w:rPr>
              <w:t>0.33</w:t>
            </w:r>
          </w:p>
        </w:tc>
      </w:tr>
      <w:tr>
        <w:trPr>
          <w:trHeight w:val="285" w:hRule="atLeast"/>
        </w:trPr>
        <w:tc>
          <w:tcPr>
            <w:tcW w:w="1764" w:type="dxa"/>
            <w:vMerge/>
            <w:tcBorders>
              <w:top w:val="nil"/>
            </w:tcBorders>
          </w:tcPr>
          <w:p>
            <w:pPr>
              <w:rPr>
                <w:sz w:val="2"/>
                <w:szCs w:val="2"/>
              </w:rPr>
            </w:pPr>
          </w:p>
        </w:tc>
        <w:tc>
          <w:tcPr>
            <w:tcW w:w="2153" w:type="dxa"/>
          </w:tcPr>
          <w:p>
            <w:pPr>
              <w:pStyle w:val="TableParagraph"/>
              <w:spacing w:line="262" w:lineRule="exact" w:before="3"/>
              <w:ind w:left="127" w:right="120"/>
              <w:rPr>
                <w:rFonts w:ascii="Times New Roman" w:eastAsia="Times New Roman"/>
                <w:sz w:val="21"/>
              </w:rPr>
            </w:pPr>
            <w:r>
              <w:rPr>
                <w:sz w:val="21"/>
              </w:rPr>
              <w:t>大气毒性终点浓度</w:t>
            </w:r>
            <w:r>
              <w:rPr>
                <w:rFonts w:ascii="Times New Roman" w:eastAsia="Times New Roman"/>
                <w:sz w:val="21"/>
              </w:rPr>
              <w:t>-2</w:t>
            </w:r>
          </w:p>
        </w:tc>
        <w:tc>
          <w:tcPr>
            <w:tcW w:w="1793" w:type="dxa"/>
          </w:tcPr>
          <w:p>
            <w:pPr>
              <w:pStyle w:val="TableParagraph"/>
              <w:spacing w:before="17"/>
              <w:ind w:left="23" w:right="16"/>
              <w:rPr>
                <w:rFonts w:ascii="Times New Roman"/>
                <w:sz w:val="21"/>
              </w:rPr>
            </w:pPr>
            <w:r>
              <w:rPr>
                <w:rFonts w:ascii="Times New Roman"/>
                <w:sz w:val="21"/>
              </w:rPr>
              <w:t>47</w:t>
            </w:r>
          </w:p>
        </w:tc>
        <w:tc>
          <w:tcPr>
            <w:tcW w:w="1790" w:type="dxa"/>
          </w:tcPr>
          <w:p>
            <w:pPr>
              <w:pStyle w:val="TableParagraph"/>
              <w:spacing w:before="17"/>
              <w:ind w:right="724"/>
              <w:jc w:val="right"/>
              <w:rPr>
                <w:rFonts w:ascii="Times New Roman"/>
                <w:sz w:val="21"/>
              </w:rPr>
            </w:pPr>
            <w:r>
              <w:rPr>
                <w:rFonts w:ascii="Times New Roman"/>
                <w:sz w:val="21"/>
              </w:rPr>
              <w:t>610</w:t>
            </w:r>
          </w:p>
        </w:tc>
        <w:tc>
          <w:tcPr>
            <w:tcW w:w="1786" w:type="dxa"/>
          </w:tcPr>
          <w:p>
            <w:pPr>
              <w:pStyle w:val="TableParagraph"/>
              <w:spacing w:line="237" w:lineRule="exact"/>
              <w:ind w:left="452" w:right="440"/>
              <w:rPr>
                <w:rFonts w:ascii="Times New Roman"/>
                <w:sz w:val="21"/>
              </w:rPr>
            </w:pPr>
            <w:r>
              <w:rPr>
                <w:rFonts w:ascii="Times New Roman"/>
                <w:sz w:val="21"/>
              </w:rPr>
              <w:t>6.78</w:t>
            </w:r>
          </w:p>
        </w:tc>
      </w:tr>
    </w:tbl>
    <w:p>
      <w:pPr>
        <w:spacing w:after="0" w:line="237" w:lineRule="exact"/>
        <w:rPr>
          <w:rFonts w:ascii="Times New Roman"/>
          <w:sz w:val="21"/>
        </w:rPr>
        <w:sectPr>
          <w:pgSz w:w="11910" w:h="16840"/>
          <w:pgMar w:header="872" w:footer="945" w:top="1320" w:bottom="1140" w:left="1200" w:right="1180"/>
        </w:sectPr>
      </w:pPr>
    </w:p>
    <w:p>
      <w:pPr>
        <w:pStyle w:val="BodyText"/>
        <w:spacing w:before="4"/>
        <w:rPr>
          <w:b/>
          <w:sz w:val="6"/>
        </w:rPr>
      </w:pPr>
    </w:p>
    <w:p>
      <w:pPr>
        <w:pStyle w:val="BodyText"/>
        <w:ind w:left="223"/>
        <w:rPr>
          <w:sz w:val="20"/>
        </w:rPr>
      </w:pPr>
      <w:r>
        <w:rPr>
          <w:sz w:val="20"/>
        </w:rPr>
        <w:drawing>
          <wp:inline distT="0" distB="0" distL="0" distR="0">
            <wp:extent cx="5706135" cy="3487292"/>
            <wp:effectExtent l="0" t="0" r="0" b="0"/>
            <wp:docPr id="87" name="image88.jpeg"/>
            <wp:cNvGraphicFramePr>
              <a:graphicFrameLocks noChangeAspect="1"/>
            </wp:cNvGraphicFramePr>
            <a:graphic>
              <a:graphicData uri="http://schemas.openxmlformats.org/drawingml/2006/picture">
                <pic:pic>
                  <pic:nvPicPr>
                    <pic:cNvPr id="88" name="image88.jpeg"/>
                    <pic:cNvPicPr/>
                  </pic:nvPicPr>
                  <pic:blipFill>
                    <a:blip r:embed="rId162" cstate="print"/>
                    <a:stretch>
                      <a:fillRect/>
                    </a:stretch>
                  </pic:blipFill>
                  <pic:spPr>
                    <a:xfrm>
                      <a:off x="0" y="0"/>
                      <a:ext cx="5706135" cy="3487292"/>
                    </a:xfrm>
                    <a:prstGeom prst="rect">
                      <a:avLst/>
                    </a:prstGeom>
                  </pic:spPr>
                </pic:pic>
              </a:graphicData>
            </a:graphic>
          </wp:inline>
        </w:drawing>
      </w:r>
      <w:r>
        <w:rPr>
          <w:sz w:val="20"/>
        </w:rPr>
      </w:r>
    </w:p>
    <w:p>
      <w:pPr>
        <w:spacing w:line="364" w:lineRule="auto" w:before="49"/>
        <w:ind w:left="698" w:right="2324" w:firstLine="1605"/>
        <w:jc w:val="both"/>
        <w:rPr>
          <w:sz w:val="24"/>
        </w:rPr>
      </w:pPr>
      <w:r>
        <w:rPr>
          <w:b/>
          <w:spacing w:val="-30"/>
          <w:sz w:val="24"/>
        </w:rPr>
        <w:t>图 </w:t>
      </w:r>
      <w:r>
        <w:rPr>
          <w:rFonts w:ascii="Times New Roman" w:eastAsia="Times New Roman"/>
          <w:b/>
          <w:sz w:val="24"/>
        </w:rPr>
        <w:t>8.6-2</w:t>
      </w:r>
      <w:r>
        <w:rPr>
          <w:rFonts w:ascii="Times New Roman" w:eastAsia="Times New Roman"/>
          <w:b/>
          <w:spacing w:val="56"/>
          <w:sz w:val="24"/>
        </w:rPr>
        <w:t> </w:t>
      </w:r>
      <w:r>
        <w:rPr>
          <w:b/>
          <w:sz w:val="24"/>
        </w:rPr>
        <w:t>甲酸预测结果图（最不利气象条件</w:t>
      </w:r>
      <w:r>
        <w:rPr>
          <w:b/>
          <w:spacing w:val="-14"/>
          <w:sz w:val="24"/>
        </w:rPr>
        <w:t>） </w:t>
      </w:r>
      <w:r>
        <w:rPr>
          <w:sz w:val="24"/>
        </w:rPr>
        <w:t>由预测结果可知：</w:t>
      </w:r>
    </w:p>
    <w:p>
      <w:pPr>
        <w:pStyle w:val="BodyText"/>
        <w:spacing w:line="364" w:lineRule="auto"/>
        <w:ind w:left="218" w:right="232" w:firstLine="480"/>
        <w:jc w:val="both"/>
      </w:pPr>
      <w:r>
        <w:rPr>
          <w:spacing w:val="-4"/>
        </w:rPr>
        <w:t>最不利气象条件下，在距排放源中心 </w:t>
      </w:r>
      <w:r>
        <w:rPr>
          <w:rFonts w:ascii="Times New Roman" w:eastAsia="Times New Roman"/>
        </w:rPr>
        <w:t>30m </w:t>
      </w:r>
      <w:r>
        <w:rPr>
          <w:spacing w:val="-5"/>
        </w:rPr>
        <w:t>的范围内，甲酸浓度大于 </w:t>
      </w:r>
      <w:r>
        <w:rPr>
          <w:rFonts w:ascii="Times New Roman" w:eastAsia="Times New Roman"/>
        </w:rPr>
        <w:t>470mg/m</w:t>
      </w:r>
      <w:r>
        <w:rPr>
          <w:rFonts w:ascii="Times New Roman" w:eastAsia="Times New Roman"/>
          <w:position w:val="9"/>
          <w:sz w:val="16"/>
        </w:rPr>
        <w:t>3</w:t>
      </w:r>
      <w:r>
        <w:rPr>
          <w:spacing w:val="-7"/>
        </w:rPr>
        <w:t>，此</w:t>
      </w:r>
      <w:r>
        <w:rPr>
          <w:spacing w:val="-4"/>
        </w:rPr>
        <w:t>范围内甲酸浓度大于毒性终点浓度 </w:t>
      </w:r>
      <w:r>
        <w:rPr>
          <w:rFonts w:ascii="Times New Roman" w:eastAsia="Times New Roman"/>
        </w:rPr>
        <w:t>1 </w:t>
      </w:r>
      <w:r>
        <w:rPr>
          <w:spacing w:val="-8"/>
        </w:rPr>
        <w:t>级，此范围能对人群造成生命威胁，主要在本厂区</w:t>
      </w:r>
      <w:r>
        <w:rPr>
          <w:spacing w:val="-6"/>
        </w:rPr>
        <w:t>内；在距排放源中心 </w:t>
      </w:r>
      <w:r>
        <w:rPr>
          <w:rFonts w:ascii="Times New Roman" w:eastAsia="Times New Roman"/>
        </w:rPr>
        <w:t>610m </w:t>
      </w:r>
      <w:r>
        <w:rPr>
          <w:spacing w:val="-5"/>
        </w:rPr>
        <w:t>的范围内，甲酸浓度大于 </w:t>
      </w:r>
      <w:r>
        <w:rPr>
          <w:rFonts w:ascii="Times New Roman" w:eastAsia="Times New Roman"/>
        </w:rPr>
        <w:t>47mg/m</w:t>
      </w:r>
      <w:r>
        <w:rPr>
          <w:rFonts w:ascii="Times New Roman" w:eastAsia="Times New Roman"/>
          <w:position w:val="9"/>
          <w:sz w:val="16"/>
        </w:rPr>
        <w:t>3</w:t>
      </w:r>
      <w:r>
        <w:rPr>
          <w:spacing w:val="-1"/>
        </w:rPr>
        <w:t>，此范围内甲酸浓度介于</w:t>
      </w:r>
      <w:r>
        <w:rPr>
          <w:spacing w:val="-10"/>
        </w:rPr>
        <w:t>毒性终点浓度 </w:t>
      </w:r>
      <w:r>
        <w:rPr>
          <w:rFonts w:ascii="Times New Roman" w:eastAsia="Times New Roman"/>
        </w:rPr>
        <w:t>1 </w:t>
      </w:r>
      <w:r>
        <w:rPr>
          <w:spacing w:val="-20"/>
        </w:rPr>
        <w:t>级和 </w:t>
      </w:r>
      <w:r>
        <w:rPr>
          <w:rFonts w:ascii="Times New Roman" w:eastAsia="Times New Roman"/>
        </w:rPr>
        <w:t>2 </w:t>
      </w:r>
      <w:r>
        <w:rPr>
          <w:spacing w:val="-8"/>
        </w:rPr>
        <w:t>级之间，绝大多数人员暴露 </w:t>
      </w:r>
      <w:r>
        <w:rPr>
          <w:rFonts w:ascii="Times New Roman" w:eastAsia="Times New Roman"/>
        </w:rPr>
        <w:t>1 h </w:t>
      </w:r>
      <w:r>
        <w:rPr>
          <w:spacing w:val="-7"/>
        </w:rPr>
        <w:t>不会对生命造成威胁；在距排放</w:t>
      </w:r>
      <w:r>
        <w:rPr>
          <w:spacing w:val="-16"/>
        </w:rPr>
        <w:t>源中心 </w:t>
      </w:r>
      <w:r>
        <w:rPr>
          <w:rFonts w:ascii="Times New Roman" w:eastAsia="Times New Roman"/>
        </w:rPr>
        <w:t>610m </w:t>
      </w:r>
      <w:r>
        <w:rPr>
          <w:spacing w:val="-9"/>
        </w:rPr>
        <w:t>的范围外，甲酸浓度低于毒性终点浓度 </w:t>
      </w:r>
      <w:r>
        <w:rPr>
          <w:rFonts w:ascii="Times New Roman" w:eastAsia="Times New Roman"/>
        </w:rPr>
        <w:t>2 </w:t>
      </w:r>
      <w:r>
        <w:rPr>
          <w:spacing w:val="-6"/>
        </w:rPr>
        <w:t>级，此范围内暴露 </w:t>
      </w:r>
      <w:r>
        <w:rPr>
          <w:rFonts w:ascii="Times New Roman" w:eastAsia="Times New Roman"/>
        </w:rPr>
        <w:t>1 h </w:t>
      </w:r>
      <w:r>
        <w:rPr>
          <w:spacing w:val="-3"/>
        </w:rPr>
        <w:t>一般不会</w:t>
      </w:r>
      <w:r>
        <w:rPr>
          <w:spacing w:val="3"/>
        </w:rPr>
        <w:t>对人体造成不可逆的伤害，或出现的症状一般不会损伤该个体采取有效防护措施的能力。</w:t>
      </w:r>
    </w:p>
    <w:p>
      <w:pPr>
        <w:pStyle w:val="Heading4"/>
        <w:numPr>
          <w:ilvl w:val="2"/>
          <w:numId w:val="23"/>
        </w:numPr>
        <w:tabs>
          <w:tab w:pos="999" w:val="left" w:leader="none"/>
        </w:tabs>
        <w:spacing w:line="305" w:lineRule="exact" w:before="0" w:after="0"/>
        <w:ind w:left="998" w:right="0" w:hanging="541"/>
        <w:jc w:val="both"/>
      </w:pPr>
      <w:r>
        <w:rPr/>
        <w:t>环境风险评价</w:t>
      </w:r>
    </w:p>
    <w:p>
      <w:pPr>
        <w:spacing w:before="159"/>
        <w:ind w:left="701" w:right="0" w:firstLine="0"/>
        <w:jc w:val="left"/>
        <w:rPr>
          <w:b/>
          <w:sz w:val="24"/>
        </w:rPr>
      </w:pPr>
      <w:r>
        <w:rPr>
          <w:rFonts w:ascii="Times New Roman" w:eastAsia="Times New Roman"/>
          <w:b/>
          <w:sz w:val="24"/>
        </w:rPr>
        <w:t>1</w:t>
      </w:r>
      <w:r>
        <w:rPr>
          <w:b/>
          <w:sz w:val="24"/>
        </w:rPr>
        <w:t>、大气环境风险评价</w:t>
      </w:r>
    </w:p>
    <w:p>
      <w:pPr>
        <w:pStyle w:val="ListParagraph"/>
        <w:numPr>
          <w:ilvl w:val="0"/>
          <w:numId w:val="50"/>
        </w:numPr>
        <w:tabs>
          <w:tab w:pos="1300" w:val="left" w:leader="none"/>
        </w:tabs>
        <w:spacing w:line="364" w:lineRule="auto" w:before="159" w:after="0"/>
        <w:ind w:left="218" w:right="114" w:firstLine="480"/>
        <w:jc w:val="left"/>
        <w:rPr>
          <w:sz w:val="22"/>
        </w:rPr>
      </w:pPr>
      <w:r>
        <w:rPr>
          <w:sz w:val="24"/>
        </w:rPr>
        <w:t>最不利气象条件下，一氧化碳大气毒性终点浓度</w:t>
      </w:r>
      <w:r>
        <w:rPr>
          <w:rFonts w:ascii="Times New Roman" w:eastAsia="Times New Roman"/>
          <w:sz w:val="24"/>
        </w:rPr>
        <w:t>-1</w:t>
      </w:r>
      <w:r>
        <w:rPr>
          <w:rFonts w:ascii="Times New Roman" w:eastAsia="Times New Roman"/>
          <w:spacing w:val="-1"/>
          <w:sz w:val="24"/>
        </w:rPr>
        <w:t> </w:t>
      </w:r>
      <w:r>
        <w:rPr>
          <w:spacing w:val="-7"/>
          <w:sz w:val="24"/>
        </w:rPr>
        <w:t>的最大影响范围为 </w:t>
      </w:r>
      <w:r>
        <w:rPr>
          <w:rFonts w:ascii="Times New Roman" w:eastAsia="Times New Roman"/>
          <w:sz w:val="24"/>
        </w:rPr>
        <w:t>660m</w:t>
      </w:r>
      <w:r>
        <w:rPr>
          <w:sz w:val="24"/>
        </w:rPr>
        <w:t>， </w:t>
      </w:r>
      <w:r>
        <w:rPr>
          <w:spacing w:val="-11"/>
          <w:sz w:val="24"/>
        </w:rPr>
        <w:t>到达时间为 </w:t>
      </w:r>
      <w:r>
        <w:rPr>
          <w:rFonts w:ascii="Times New Roman" w:eastAsia="Times New Roman"/>
          <w:sz w:val="24"/>
        </w:rPr>
        <w:t>7.33min</w:t>
      </w:r>
      <w:r>
        <w:rPr>
          <w:sz w:val="24"/>
        </w:rPr>
        <w:t>，涉及范围主要为厂内职工及园区周边企业职工，此范围能对人群</w:t>
      </w:r>
      <w:r>
        <w:rPr>
          <w:spacing w:val="-7"/>
          <w:sz w:val="24"/>
        </w:rPr>
        <w:t>造成生命威胁；甲酸大气毒性终点浓度</w:t>
      </w:r>
      <w:r>
        <w:rPr>
          <w:rFonts w:ascii="Times New Roman" w:eastAsia="Times New Roman"/>
          <w:sz w:val="24"/>
        </w:rPr>
        <w:t>-1</w:t>
      </w:r>
      <w:r>
        <w:rPr>
          <w:rFonts w:ascii="Times New Roman" w:eastAsia="Times New Roman"/>
          <w:spacing w:val="-4"/>
          <w:sz w:val="24"/>
        </w:rPr>
        <w:t> </w:t>
      </w:r>
      <w:r>
        <w:rPr>
          <w:spacing w:val="-7"/>
          <w:sz w:val="24"/>
        </w:rPr>
        <w:t>的最大影响范围为 </w:t>
      </w:r>
      <w:r>
        <w:rPr>
          <w:rFonts w:ascii="Times New Roman" w:eastAsia="Times New Roman"/>
          <w:spacing w:val="-12"/>
          <w:sz w:val="24"/>
        </w:rPr>
        <w:t>30m</w:t>
      </w:r>
      <w:r>
        <w:rPr>
          <w:spacing w:val="-12"/>
          <w:sz w:val="24"/>
        </w:rPr>
        <w:t>，到达时间为 </w:t>
      </w:r>
      <w:r>
        <w:rPr>
          <w:rFonts w:ascii="Times New Roman" w:eastAsia="Times New Roman"/>
          <w:sz w:val="24"/>
        </w:rPr>
        <w:t>0.33min</w:t>
      </w:r>
      <w:r>
        <w:rPr>
          <w:sz w:val="24"/>
        </w:rPr>
        <w:t>， 涉及范围主要为厂内职工，此范围能对人群造成生命威胁。</w:t>
      </w:r>
    </w:p>
    <w:p>
      <w:pPr>
        <w:pStyle w:val="ListParagraph"/>
        <w:numPr>
          <w:ilvl w:val="0"/>
          <w:numId w:val="50"/>
        </w:numPr>
        <w:tabs>
          <w:tab w:pos="1300" w:val="left" w:leader="none"/>
        </w:tabs>
        <w:spacing w:line="306" w:lineRule="exact" w:before="0" w:after="0"/>
        <w:ind w:left="1299" w:right="0" w:hanging="602"/>
        <w:jc w:val="left"/>
        <w:rPr>
          <w:sz w:val="22"/>
        </w:rPr>
      </w:pPr>
      <w:r>
        <w:rPr>
          <w:sz w:val="24"/>
        </w:rPr>
        <w:t>风险概率计算</w:t>
      </w:r>
    </w:p>
    <w:p>
      <w:pPr>
        <w:pStyle w:val="BodyText"/>
        <w:spacing w:line="362" w:lineRule="auto" w:before="160"/>
        <w:ind w:left="218" w:right="193" w:firstLine="480"/>
      </w:pPr>
      <w:r>
        <w:rPr/>
        <w:t>根据导则附录 </w:t>
      </w:r>
      <w:r>
        <w:rPr>
          <w:rFonts w:ascii="Times New Roman" w:eastAsia="Times New Roman"/>
        </w:rPr>
        <w:t>I</w:t>
      </w:r>
      <w:r>
        <w:rPr/>
        <w:t>，暴露于有毒有害物质气团下、无任何防护的人员，因物质毒性终点浓度 </w:t>
      </w:r>
      <w:r>
        <w:rPr>
          <w:rFonts w:ascii="Times New Roman" w:eastAsia="Times New Roman"/>
        </w:rPr>
        <w:t>1 </w:t>
      </w:r>
      <w:r>
        <w:rPr/>
        <w:t>导致死亡的概率按下式估算：</w:t>
      </w:r>
    </w:p>
    <w:p>
      <w:pPr>
        <w:spacing w:after="0" w:line="362" w:lineRule="auto"/>
        <w:sectPr>
          <w:pgSz w:w="11910" w:h="16840"/>
          <w:pgMar w:header="872" w:footer="945" w:top="1320" w:bottom="1140" w:left="1200" w:right="1180"/>
        </w:sectPr>
      </w:pPr>
    </w:p>
    <w:p>
      <w:pPr>
        <w:pStyle w:val="BodyText"/>
        <w:spacing w:before="3"/>
        <w:rPr>
          <w:sz w:val="13"/>
        </w:rPr>
      </w:pPr>
    </w:p>
    <w:p>
      <w:pPr>
        <w:pStyle w:val="BodyText"/>
        <w:ind w:left="230"/>
        <w:rPr>
          <w:sz w:val="20"/>
        </w:rPr>
      </w:pPr>
      <w:r>
        <w:rPr>
          <w:sz w:val="20"/>
        </w:rPr>
        <w:pict>
          <v:group style="width:259.05pt;height:129.65pt;mso-position-horizontal-relative:char;mso-position-vertical-relative:line" coordorigin="0,0" coordsize="5181,2593">
            <v:shape style="position:absolute;left:0;top:0;width:5181;height:2101" type="#_x0000_t75" stroked="false">
              <v:imagedata r:id="rId163" o:title=""/>
            </v:shape>
            <v:shape style="position:absolute;left:1258;top:2150;width:2585;height:442" type="#_x0000_t75" stroked="false">
              <v:imagedata r:id="rId164" o:title=""/>
            </v:shape>
          </v:group>
        </w:pict>
      </w:r>
      <w:r>
        <w:rPr>
          <w:sz w:val="20"/>
        </w:rPr>
      </w:r>
    </w:p>
    <w:p>
      <w:pPr>
        <w:pStyle w:val="BodyText"/>
        <w:spacing w:before="8"/>
        <w:rPr>
          <w:sz w:val="8"/>
        </w:rPr>
      </w:pPr>
    </w:p>
    <w:p>
      <w:pPr>
        <w:pStyle w:val="BodyText"/>
        <w:spacing w:line="364" w:lineRule="auto" w:before="73"/>
        <w:ind w:left="1418" w:right="3789" w:hanging="720"/>
      </w:pPr>
      <w:r>
        <w:rPr>
          <w:position w:val="2"/>
        </w:rPr>
        <w:t>式中，</w:t>
      </w:r>
      <w:r>
        <w:rPr>
          <w:rFonts w:ascii="Times New Roman" w:hAnsi="Times New Roman" w:eastAsia="Times New Roman"/>
          <w:position w:val="2"/>
        </w:rPr>
        <w:t>A</w:t>
      </w:r>
      <w:r>
        <w:rPr>
          <w:rFonts w:ascii="Times New Roman" w:hAnsi="Times New Roman" w:eastAsia="Times New Roman"/>
          <w:sz w:val="16"/>
        </w:rPr>
        <w:t>t</w:t>
      </w:r>
      <w:r>
        <w:rPr>
          <w:position w:val="2"/>
        </w:rPr>
        <w:t>、</w:t>
      </w:r>
      <w:r>
        <w:rPr>
          <w:rFonts w:ascii="Times New Roman" w:hAnsi="Times New Roman" w:eastAsia="Times New Roman"/>
          <w:position w:val="2"/>
        </w:rPr>
        <w:t>B</w:t>
      </w:r>
      <w:r>
        <w:rPr>
          <w:rFonts w:ascii="Times New Roman" w:hAnsi="Times New Roman" w:eastAsia="Times New Roman"/>
          <w:sz w:val="16"/>
        </w:rPr>
        <w:t>t </w:t>
      </w:r>
      <w:r>
        <w:rPr>
          <w:position w:val="2"/>
        </w:rPr>
        <w:t>和 </w:t>
      </w:r>
      <w:r>
        <w:rPr>
          <w:rFonts w:ascii="Times New Roman" w:hAnsi="Times New Roman" w:eastAsia="Times New Roman"/>
          <w:position w:val="2"/>
        </w:rPr>
        <w:t>n——</w:t>
      </w:r>
      <w:r>
        <w:rPr>
          <w:position w:val="2"/>
        </w:rPr>
        <w:t>取决于毒物性质的常数； </w:t>
      </w:r>
      <w:r>
        <w:rPr>
          <w:rFonts w:ascii="Times New Roman" w:hAnsi="Times New Roman" w:eastAsia="Times New Roman"/>
        </w:rPr>
        <w:t>C——</w:t>
      </w:r>
      <w:r>
        <w:rPr/>
        <w:t>接触的质量浓度，</w:t>
      </w:r>
      <w:r>
        <w:rPr>
          <w:rFonts w:ascii="Times New Roman" w:hAnsi="Times New Roman" w:eastAsia="Times New Roman"/>
        </w:rPr>
        <w:t>mg/m</w:t>
      </w:r>
      <w:r>
        <w:rPr>
          <w:rFonts w:ascii="Times New Roman" w:hAnsi="Times New Roman" w:eastAsia="Times New Roman"/>
          <w:position w:val="9"/>
          <w:sz w:val="16"/>
        </w:rPr>
        <w:t>3</w:t>
      </w:r>
      <w:r>
        <w:rPr/>
        <w:t>；</w:t>
      </w:r>
    </w:p>
    <w:p>
      <w:pPr>
        <w:pStyle w:val="BodyText"/>
        <w:spacing w:line="306" w:lineRule="exact"/>
        <w:ind w:left="1418"/>
      </w:pPr>
      <w:r>
        <w:rPr>
          <w:rFonts w:ascii="Times New Roman" w:hAnsi="Times New Roman" w:eastAsia="Times New Roman"/>
          <w:position w:val="2"/>
        </w:rPr>
        <w:t>t</w:t>
      </w:r>
      <w:r>
        <w:rPr>
          <w:rFonts w:ascii="Times New Roman" w:hAnsi="Times New Roman" w:eastAsia="Times New Roman"/>
          <w:sz w:val="16"/>
        </w:rPr>
        <w:t>e</w:t>
      </w:r>
      <w:r>
        <w:rPr>
          <w:rFonts w:ascii="Times New Roman" w:hAnsi="Times New Roman" w:eastAsia="Times New Roman"/>
          <w:position w:val="2"/>
        </w:rPr>
        <w:t>——</w:t>
      </w:r>
      <w:r>
        <w:rPr>
          <w:position w:val="2"/>
        </w:rPr>
        <w:t>接触 </w:t>
      </w:r>
      <w:r>
        <w:rPr>
          <w:rFonts w:ascii="Times New Roman" w:hAnsi="Times New Roman" w:eastAsia="Times New Roman"/>
          <w:position w:val="2"/>
        </w:rPr>
        <w:t>C </w:t>
      </w:r>
      <w:r>
        <w:rPr>
          <w:position w:val="2"/>
        </w:rPr>
        <w:t>质量浓度的时间，</w:t>
      </w:r>
      <w:r>
        <w:rPr>
          <w:rFonts w:ascii="Times New Roman" w:hAnsi="Times New Roman" w:eastAsia="Times New Roman"/>
          <w:position w:val="2"/>
        </w:rPr>
        <w:t>min</w:t>
      </w:r>
      <w:r>
        <w:rPr>
          <w:position w:val="2"/>
        </w:rPr>
        <w:t>。</w:t>
      </w:r>
    </w:p>
    <w:p>
      <w:pPr>
        <w:pStyle w:val="BodyText"/>
        <w:spacing w:line="362" w:lineRule="auto" w:before="162"/>
        <w:ind w:left="698" w:right="114"/>
      </w:pPr>
      <w:r>
        <w:rPr>
          <w:spacing w:val="-9"/>
        </w:rPr>
        <w:t>根据导则附录 </w:t>
      </w:r>
      <w:r>
        <w:rPr>
          <w:rFonts w:ascii="Times New Roman" w:eastAsia="Times New Roman"/>
        </w:rPr>
        <w:t>I </w:t>
      </w:r>
      <w:r>
        <w:rPr>
          <w:spacing w:val="-20"/>
        </w:rPr>
        <w:t>中表 </w:t>
      </w:r>
      <w:r>
        <w:rPr>
          <w:rFonts w:ascii="Times New Roman" w:eastAsia="Times New Roman"/>
          <w:spacing w:val="-9"/>
        </w:rPr>
        <w:t>1.2</w:t>
      </w:r>
      <w:r>
        <w:rPr>
          <w:spacing w:val="-13"/>
        </w:rPr>
        <w:t>，一氧化碳 </w:t>
      </w:r>
      <w:r>
        <w:rPr>
          <w:rFonts w:ascii="Times New Roman" w:eastAsia="Times New Roman"/>
        </w:rPr>
        <w:t>A</w:t>
      </w:r>
      <w:r>
        <w:rPr>
          <w:spacing w:val="-36"/>
        </w:rPr>
        <w:t>、</w:t>
      </w:r>
      <w:r>
        <w:rPr>
          <w:rFonts w:ascii="Times New Roman" w:eastAsia="Times New Roman"/>
        </w:rPr>
        <w:t>B </w:t>
      </w:r>
      <w:r>
        <w:rPr>
          <w:spacing w:val="-30"/>
        </w:rPr>
        <w:t>及 </w:t>
      </w:r>
      <w:r>
        <w:rPr>
          <w:rFonts w:ascii="Times New Roman" w:eastAsia="Times New Roman"/>
        </w:rPr>
        <w:t>n </w:t>
      </w:r>
      <w:r>
        <w:rPr/>
        <w:t>分别为</w:t>
      </w:r>
      <w:r>
        <w:rPr>
          <w:rFonts w:ascii="Times New Roman" w:eastAsia="Times New Roman"/>
        </w:rPr>
        <w:t>-7.4</w:t>
      </w:r>
      <w:r>
        <w:rPr>
          <w:spacing w:val="-36"/>
        </w:rPr>
        <w:t>、</w:t>
      </w:r>
      <w:r>
        <w:rPr>
          <w:rFonts w:ascii="Times New Roman" w:eastAsia="Times New Roman"/>
        </w:rPr>
        <w:t>1</w:t>
      </w:r>
      <w:r>
        <w:rPr>
          <w:spacing w:val="-36"/>
        </w:rPr>
        <w:t>、</w:t>
      </w:r>
      <w:r>
        <w:rPr>
          <w:rFonts w:ascii="Times New Roman" w:eastAsia="Times New Roman"/>
          <w:spacing w:val="-18"/>
        </w:rPr>
        <w:t>1</w:t>
      </w:r>
      <w:r>
        <w:rPr>
          <w:spacing w:val="-16"/>
        </w:rPr>
        <w:t>，计算得 </w:t>
      </w:r>
      <w:r>
        <w:rPr>
          <w:rFonts w:ascii="Times New Roman" w:eastAsia="Times New Roman"/>
        </w:rPr>
        <w:t>Y</w:t>
      </w:r>
      <w:r>
        <w:rPr/>
        <w:t>＝</w:t>
      </w:r>
      <w:r>
        <w:rPr>
          <w:rFonts w:ascii="Times New Roman" w:eastAsia="Times New Roman"/>
        </w:rPr>
        <w:t>0.532</w:t>
      </w:r>
      <w:r>
        <w:rPr>
          <w:spacing w:val="-11"/>
        </w:rPr>
        <w:t>。</w:t>
      </w:r>
      <w:r>
        <w:rPr>
          <w:spacing w:val="-16"/>
        </w:rPr>
        <w:t>计算得 </w:t>
      </w:r>
      <w:r>
        <w:rPr>
          <w:rFonts w:ascii="Times New Roman" w:eastAsia="Times New Roman"/>
        </w:rPr>
        <w:t>CO </w:t>
      </w:r>
      <w:r>
        <w:rPr>
          <w:spacing w:val="-8"/>
        </w:rPr>
        <w:t>事故死亡概率为 </w:t>
      </w:r>
      <w:r>
        <w:rPr>
          <w:rFonts w:ascii="Times New Roman" w:eastAsia="Times New Roman"/>
        </w:rPr>
        <w:t>0.0004%</w:t>
      </w:r>
      <w:r>
        <w:rPr/>
        <w:t>。</w:t>
      </w:r>
    </w:p>
    <w:p>
      <w:pPr>
        <w:pStyle w:val="BodyText"/>
        <w:spacing w:before="5"/>
        <w:ind w:left="698"/>
        <w:rPr>
          <w:rFonts w:ascii="Times New Roman" w:eastAsia="Times New Roman"/>
        </w:rPr>
      </w:pPr>
      <w:r>
        <w:rPr/>
        <w:t>根据调查项目该范围内涉及项目厂区、周边企业，</w:t>
      </w:r>
      <w:r>
        <w:rPr>
          <w:rFonts w:ascii="Times New Roman" w:eastAsia="Times New Roman"/>
        </w:rPr>
        <w:t>CO </w:t>
      </w:r>
      <w:r>
        <w:rPr/>
        <w:t>事故时最大当班人数约 </w:t>
      </w:r>
      <w:r>
        <w:rPr>
          <w:rFonts w:ascii="Times New Roman" w:eastAsia="Times New Roman"/>
        </w:rPr>
        <w:t>800</w:t>
      </w:r>
    </w:p>
    <w:p>
      <w:pPr>
        <w:pStyle w:val="BodyText"/>
        <w:spacing w:before="160"/>
        <w:ind w:left="218"/>
      </w:pPr>
      <w:r>
        <w:rPr/>
        <w:t>人左右，则死亡人数约 </w:t>
      </w:r>
      <w:r>
        <w:rPr>
          <w:rFonts w:ascii="Times New Roman" w:eastAsia="Times New Roman"/>
        </w:rPr>
        <w:t>0.003 </w:t>
      </w:r>
      <w:r>
        <w:rPr/>
        <w:t>人，少于 </w:t>
      </w:r>
      <w:r>
        <w:rPr>
          <w:rFonts w:ascii="Times New Roman" w:eastAsia="Times New Roman"/>
        </w:rPr>
        <w:t>1 </w:t>
      </w:r>
      <w:r>
        <w:rPr/>
        <w:t>人。</w:t>
      </w:r>
    </w:p>
    <w:p>
      <w:pPr>
        <w:pStyle w:val="ListParagraph"/>
        <w:numPr>
          <w:ilvl w:val="0"/>
          <w:numId w:val="50"/>
        </w:numPr>
        <w:tabs>
          <w:tab w:pos="1300" w:val="left" w:leader="none"/>
        </w:tabs>
        <w:spacing w:line="240" w:lineRule="auto" w:before="158" w:after="0"/>
        <w:ind w:left="1299" w:right="0" w:hanging="602"/>
        <w:jc w:val="left"/>
        <w:rPr>
          <w:sz w:val="22"/>
        </w:rPr>
      </w:pPr>
      <w:r>
        <w:rPr>
          <w:sz w:val="24"/>
        </w:rPr>
        <w:t>风险值计算</w:t>
      </w:r>
    </w:p>
    <w:p>
      <w:pPr>
        <w:pStyle w:val="BodyText"/>
        <w:spacing w:before="161"/>
        <w:ind w:left="698"/>
      </w:pPr>
      <w:r>
        <w:rPr/>
        <w:t>风险值是风险评价表征量，包括事故的发生概率和事故的危害程度。定义为：</w:t>
      </w:r>
    </w:p>
    <w:p>
      <w:pPr>
        <w:pStyle w:val="BodyText"/>
        <w:rPr>
          <w:sz w:val="9"/>
        </w:rPr>
      </w:pPr>
      <w:r>
        <w:rPr/>
        <w:drawing>
          <wp:anchor distT="0" distB="0" distL="0" distR="0" allowOverlap="1" layoutInCell="1" locked="0" behindDoc="0" simplePos="0" relativeHeight="274">
            <wp:simplePos x="0" y="0"/>
            <wp:positionH relativeFrom="page">
              <wp:posOffset>1240339</wp:posOffset>
            </wp:positionH>
            <wp:positionV relativeFrom="paragraph">
              <wp:posOffset>98537</wp:posOffset>
            </wp:positionV>
            <wp:extent cx="3859142" cy="444055"/>
            <wp:effectExtent l="0" t="0" r="0" b="0"/>
            <wp:wrapTopAndBottom/>
            <wp:docPr id="89" name="image91.png"/>
            <wp:cNvGraphicFramePr>
              <a:graphicFrameLocks noChangeAspect="1"/>
            </wp:cNvGraphicFramePr>
            <a:graphic>
              <a:graphicData uri="http://schemas.openxmlformats.org/drawingml/2006/picture">
                <pic:pic>
                  <pic:nvPicPr>
                    <pic:cNvPr id="90" name="image91.png"/>
                    <pic:cNvPicPr/>
                  </pic:nvPicPr>
                  <pic:blipFill>
                    <a:blip r:embed="rId165" cstate="print"/>
                    <a:stretch>
                      <a:fillRect/>
                    </a:stretch>
                  </pic:blipFill>
                  <pic:spPr>
                    <a:xfrm>
                      <a:off x="0" y="0"/>
                      <a:ext cx="3859142" cy="444055"/>
                    </a:xfrm>
                    <a:prstGeom prst="rect">
                      <a:avLst/>
                    </a:prstGeom>
                  </pic:spPr>
                </pic:pic>
              </a:graphicData>
            </a:graphic>
          </wp:anchor>
        </w:drawing>
      </w:r>
    </w:p>
    <w:p>
      <w:pPr>
        <w:pStyle w:val="BodyText"/>
        <w:spacing w:line="364" w:lineRule="auto" w:before="108"/>
        <w:ind w:left="698" w:right="6157"/>
      </w:pPr>
      <w:r>
        <w:rPr/>
        <w:t>其中计算公式为：</w:t>
      </w:r>
      <w:r>
        <w:rPr>
          <w:rFonts w:ascii="Times New Roman" w:hAnsi="Times New Roman" w:eastAsia="Times New Roman"/>
        </w:rPr>
        <w:t>R=P×C </w:t>
      </w:r>
      <w:r>
        <w:rPr/>
        <w:t>式中：</w:t>
      </w:r>
      <w:r>
        <w:rPr>
          <w:rFonts w:ascii="Times New Roman" w:hAnsi="Times New Roman" w:eastAsia="Times New Roman"/>
        </w:rPr>
        <w:t>R—</w:t>
      </w:r>
      <w:r>
        <w:rPr/>
        <w:t>风险值；</w:t>
      </w:r>
    </w:p>
    <w:p>
      <w:pPr>
        <w:pStyle w:val="BodyText"/>
        <w:spacing w:line="362" w:lineRule="auto" w:before="1"/>
        <w:ind w:left="1418" w:right="3505"/>
      </w:pPr>
      <w:r>
        <w:rPr>
          <w:rFonts w:ascii="Times New Roman" w:hAnsi="Times New Roman" w:eastAsia="Times New Roman"/>
        </w:rPr>
        <w:t>P—</w:t>
      </w:r>
      <w:r>
        <w:rPr/>
        <w:t>最大可信事故概率 </w:t>
      </w:r>
      <w:r>
        <w:rPr>
          <w:rFonts w:ascii="Times New Roman" w:hAnsi="Times New Roman" w:eastAsia="Times New Roman"/>
        </w:rPr>
        <w:t>(</w:t>
      </w:r>
      <w:r>
        <w:rPr/>
        <w:t>事件数</w:t>
      </w:r>
      <w:r>
        <w:rPr>
          <w:rFonts w:ascii="Times New Roman" w:hAnsi="Times New Roman" w:eastAsia="Times New Roman"/>
        </w:rPr>
        <w:t>/</w:t>
      </w:r>
      <w:r>
        <w:rPr/>
        <w:t>单位时间</w:t>
      </w:r>
      <w:r>
        <w:rPr>
          <w:rFonts w:ascii="Times New Roman" w:hAnsi="Times New Roman" w:eastAsia="Times New Roman"/>
        </w:rPr>
        <w:t>)</w:t>
      </w:r>
      <w:r>
        <w:rPr/>
        <w:t>； </w:t>
      </w:r>
      <w:r>
        <w:rPr>
          <w:rFonts w:ascii="Times New Roman" w:hAnsi="Times New Roman" w:eastAsia="Times New Roman"/>
        </w:rPr>
        <w:t>C—</w:t>
      </w:r>
      <w:r>
        <w:rPr/>
        <w:t>最大可信事故造成的危害 </w:t>
      </w:r>
      <w:r>
        <w:rPr>
          <w:rFonts w:ascii="Times New Roman" w:hAnsi="Times New Roman" w:eastAsia="Times New Roman"/>
        </w:rPr>
        <w:t>(</w:t>
      </w:r>
      <w:r>
        <w:rPr/>
        <w:t>损害</w:t>
      </w:r>
      <w:r>
        <w:rPr>
          <w:rFonts w:ascii="Times New Roman" w:hAnsi="Times New Roman" w:eastAsia="Times New Roman"/>
        </w:rPr>
        <w:t>/</w:t>
      </w:r>
      <w:r>
        <w:rPr/>
        <w:t>事件</w:t>
      </w:r>
      <w:r>
        <w:rPr>
          <w:rFonts w:ascii="Times New Roman" w:hAnsi="Times New Roman" w:eastAsia="Times New Roman"/>
        </w:rPr>
        <w:t>)</w:t>
      </w:r>
      <w:r>
        <w:rPr/>
        <w:t>；</w:t>
      </w:r>
    </w:p>
    <w:p>
      <w:pPr>
        <w:pStyle w:val="BodyText"/>
        <w:spacing w:before="5"/>
        <w:ind w:left="698"/>
      </w:pPr>
      <w:r>
        <w:rPr/>
        <w:t>一氧化碳最大可信事故造成的危害风险值计算如下：</w:t>
      </w:r>
    </w:p>
    <w:p>
      <w:pPr>
        <w:pStyle w:val="BodyText"/>
        <w:spacing w:line="364" w:lineRule="auto" w:before="158"/>
        <w:ind w:left="698" w:right="2721" w:firstLine="719"/>
      </w:pPr>
      <w:r>
        <w:rPr>
          <w:rFonts w:ascii="Times New Roman" w:hAnsi="Times New Roman" w:eastAsia="Times New Roman"/>
          <w:spacing w:val="-4"/>
        </w:rPr>
        <w:t>Rmax</w:t>
      </w:r>
      <w:r>
        <w:rPr>
          <w:spacing w:val="-4"/>
        </w:rPr>
        <w:t>＝</w:t>
      </w:r>
      <w:r>
        <w:rPr>
          <w:rFonts w:ascii="Times New Roman" w:hAnsi="Times New Roman" w:eastAsia="Times New Roman"/>
          <w:spacing w:val="-4"/>
        </w:rPr>
        <w:t>P×C</w:t>
      </w:r>
      <w:r>
        <w:rPr>
          <w:rFonts w:ascii="Times New Roman" w:hAnsi="Times New Roman" w:eastAsia="Times New Roman"/>
          <w:spacing w:val="-32"/>
        </w:rPr>
        <w:t> </w:t>
      </w:r>
      <w:r>
        <w:rPr>
          <w:spacing w:val="-6"/>
        </w:rPr>
        <w:t>＝</w:t>
      </w:r>
      <w:r>
        <w:rPr>
          <w:rFonts w:ascii="Times New Roman" w:hAnsi="Times New Roman" w:eastAsia="Times New Roman"/>
          <w:spacing w:val="-6"/>
        </w:rPr>
        <w:t>5×10</w:t>
      </w:r>
      <w:r>
        <w:rPr>
          <w:rFonts w:ascii="Times New Roman" w:hAnsi="Times New Roman" w:eastAsia="Times New Roman"/>
          <w:spacing w:val="-33"/>
        </w:rPr>
        <w:t> </w:t>
      </w:r>
      <w:r>
        <w:rPr>
          <w:rFonts w:ascii="Times New Roman" w:hAnsi="Times New Roman" w:eastAsia="Times New Roman"/>
          <w:spacing w:val="-4"/>
          <w:position w:val="9"/>
          <w:sz w:val="16"/>
        </w:rPr>
        <w:t>-7</w:t>
      </w:r>
      <w:r>
        <w:rPr>
          <w:rFonts w:ascii="Times New Roman" w:hAnsi="Times New Roman" w:eastAsia="Times New Roman"/>
          <w:spacing w:val="-4"/>
        </w:rPr>
        <w:t>×0.003</w:t>
      </w:r>
      <w:r>
        <w:rPr>
          <w:rFonts w:ascii="Times New Roman" w:hAnsi="Times New Roman" w:eastAsia="Times New Roman"/>
          <w:spacing w:val="-33"/>
        </w:rPr>
        <w:t> </w:t>
      </w:r>
      <w:r>
        <w:rPr>
          <w:spacing w:val="-4"/>
        </w:rPr>
        <w:t>＝</w:t>
      </w:r>
      <w:r>
        <w:rPr>
          <w:rFonts w:ascii="Times New Roman" w:hAnsi="Times New Roman" w:eastAsia="Times New Roman"/>
          <w:spacing w:val="-4"/>
        </w:rPr>
        <w:t>1.5×10</w:t>
      </w:r>
      <w:r>
        <w:rPr>
          <w:rFonts w:ascii="Times New Roman" w:hAnsi="Times New Roman" w:eastAsia="Times New Roman"/>
          <w:spacing w:val="-33"/>
        </w:rPr>
        <w:t> </w:t>
      </w:r>
      <w:r>
        <w:rPr>
          <w:rFonts w:ascii="Times New Roman" w:hAnsi="Times New Roman" w:eastAsia="Times New Roman"/>
          <w:position w:val="9"/>
          <w:sz w:val="16"/>
        </w:rPr>
        <w:t>-9</w:t>
      </w:r>
      <w:r>
        <w:rPr>
          <w:rFonts w:ascii="Times New Roman" w:hAnsi="Times New Roman" w:eastAsia="Times New Roman"/>
          <w:spacing w:val="5"/>
          <w:position w:val="9"/>
          <w:sz w:val="16"/>
        </w:rPr>
        <w:t> </w:t>
      </w:r>
      <w:r>
        <w:rPr/>
        <w:t>死亡人数</w:t>
      </w:r>
      <w:r>
        <w:rPr>
          <w:rFonts w:ascii="Times New Roman" w:hAnsi="Times New Roman" w:eastAsia="Times New Roman"/>
        </w:rPr>
        <w:t>/</w:t>
      </w:r>
      <w:r>
        <w:rPr/>
        <w:t>年。</w:t>
      </w:r>
      <w:r>
        <w:rPr>
          <w:spacing w:val="-9"/>
        </w:rPr>
        <w:t>即项目风险值 </w:t>
      </w:r>
      <w:r>
        <w:rPr>
          <w:rFonts w:ascii="Times New Roman" w:hAnsi="Times New Roman" w:eastAsia="Times New Roman"/>
        </w:rPr>
        <w:t>R </w:t>
      </w:r>
      <w:r>
        <w:rPr>
          <w:spacing w:val="-30"/>
        </w:rPr>
        <w:t>为 </w:t>
      </w:r>
      <w:r>
        <w:rPr>
          <w:rFonts w:ascii="Times New Roman" w:hAnsi="Times New Roman" w:eastAsia="Times New Roman"/>
          <w:spacing w:val="-5"/>
        </w:rPr>
        <w:t>1.6×10</w:t>
      </w:r>
      <w:r>
        <w:rPr>
          <w:rFonts w:ascii="Times New Roman" w:hAnsi="Times New Roman" w:eastAsia="Times New Roman"/>
          <w:spacing w:val="-34"/>
        </w:rPr>
        <w:t> </w:t>
      </w:r>
      <w:r>
        <w:rPr>
          <w:rFonts w:ascii="Times New Roman" w:hAnsi="Times New Roman" w:eastAsia="Times New Roman"/>
          <w:position w:val="9"/>
          <w:sz w:val="16"/>
        </w:rPr>
        <w:t>-9</w:t>
      </w:r>
      <w:r>
        <w:rPr/>
        <w:t>。</w:t>
      </w:r>
    </w:p>
    <w:p>
      <w:pPr>
        <w:pStyle w:val="BodyText"/>
        <w:spacing w:line="306" w:lineRule="exact"/>
        <w:ind w:left="698"/>
        <w:rPr>
          <w:rFonts w:ascii="Times New Roman" w:hAnsi="Times New Roman" w:eastAsia="Times New Roman"/>
          <w:sz w:val="16"/>
        </w:rPr>
      </w:pPr>
      <w:r>
        <w:rPr/>
        <w:t>本次项目最大可信事故风险 </w:t>
      </w:r>
      <w:r>
        <w:rPr>
          <w:rFonts w:ascii="Times New Roman" w:hAnsi="Times New Roman" w:eastAsia="Times New Roman"/>
        </w:rPr>
        <w:t>R=1.6×10 </w:t>
      </w:r>
      <w:r>
        <w:rPr>
          <w:rFonts w:ascii="Times New Roman" w:hAnsi="Times New Roman" w:eastAsia="Times New Roman"/>
          <w:position w:val="9"/>
          <w:sz w:val="16"/>
        </w:rPr>
        <w:t>-9</w:t>
      </w:r>
      <w:r>
        <w:rPr/>
        <w:t>，小于化工行业可接受风险水平 </w:t>
      </w:r>
      <w:r>
        <w:rPr>
          <w:rFonts w:ascii="Times New Roman" w:hAnsi="Times New Roman" w:eastAsia="Times New Roman"/>
        </w:rPr>
        <w:t>8.33×10 </w:t>
      </w:r>
      <w:r>
        <w:rPr>
          <w:rFonts w:ascii="Times New Roman" w:hAnsi="Times New Roman" w:eastAsia="Times New Roman"/>
          <w:position w:val="9"/>
          <w:sz w:val="16"/>
        </w:rPr>
        <w:t>-5</w:t>
      </w:r>
    </w:p>
    <w:p>
      <w:pPr>
        <w:pStyle w:val="BodyText"/>
        <w:spacing w:line="362" w:lineRule="auto" w:before="161"/>
        <w:ind w:left="218" w:right="235"/>
      </w:pPr>
      <w:r>
        <w:rPr/>
        <w:t>（</w:t>
      </w:r>
      <w:r>
        <w:rPr>
          <w:spacing w:val="-11"/>
        </w:rPr>
        <w:t>胡二邦《环境风险评价实用技术和方法》</w:t>
      </w:r>
      <w:r>
        <w:rPr>
          <w:spacing w:val="-120"/>
        </w:rPr>
        <w:t>）</w:t>
      </w:r>
      <w:r>
        <w:rPr>
          <w:spacing w:val="-7"/>
        </w:rPr>
        <w:t>，所以，本次项目的最大可信事故风险是可</w:t>
      </w:r>
      <w:r>
        <w:rPr/>
        <w:t>以接受的。</w:t>
      </w:r>
    </w:p>
    <w:p>
      <w:pPr>
        <w:pStyle w:val="Heading4"/>
        <w:spacing w:before="5"/>
      </w:pPr>
      <w:r>
        <w:rPr>
          <w:rFonts w:ascii="Times New Roman" w:eastAsia="Times New Roman"/>
        </w:rPr>
        <w:t>2</w:t>
      </w:r>
      <w:r>
        <w:rPr/>
        <w:t>、地表水环境风险评价</w:t>
      </w:r>
    </w:p>
    <w:p>
      <w:pPr>
        <w:pStyle w:val="BodyText"/>
        <w:spacing w:line="364" w:lineRule="auto" w:before="158"/>
        <w:ind w:left="218" w:right="112" w:firstLine="480"/>
      </w:pPr>
      <w:r>
        <w:rPr>
          <w:spacing w:val="-3"/>
        </w:rPr>
        <w:t>储罐区甲酸储罐泄漏导致火灾爆炸后，将产生事故处理废水。根据计算可以得到项</w:t>
      </w:r>
      <w:r>
        <w:rPr>
          <w:spacing w:val="-8"/>
        </w:rPr>
        <w:t>目厂区事故水废水量约为 </w:t>
      </w:r>
      <w:r>
        <w:rPr>
          <w:rFonts w:ascii="Times New Roman" w:eastAsia="Times New Roman"/>
        </w:rPr>
        <w:t>550m</w:t>
      </w:r>
      <w:r>
        <w:rPr>
          <w:rFonts w:ascii="Times New Roman" w:eastAsia="Times New Roman"/>
          <w:position w:val="9"/>
          <w:sz w:val="16"/>
        </w:rPr>
        <w:t>3</w:t>
      </w:r>
      <w:r>
        <w:rPr>
          <w:spacing w:val="-9"/>
        </w:rPr>
        <w:t>。本项目企业拟新建一个容积为 </w:t>
      </w:r>
      <w:r>
        <w:rPr>
          <w:rFonts w:ascii="Times New Roman" w:eastAsia="Times New Roman"/>
        </w:rPr>
        <w:t>2600m</w:t>
      </w:r>
      <w:r>
        <w:rPr>
          <w:rFonts w:ascii="Times New Roman" w:eastAsia="Times New Roman"/>
          <w:position w:val="9"/>
          <w:sz w:val="16"/>
        </w:rPr>
        <w:t>3 </w:t>
      </w:r>
      <w:r>
        <w:rPr>
          <w:spacing w:val="-2"/>
        </w:rPr>
        <w:t>的事故应急池，</w:t>
      </w:r>
    </w:p>
    <w:p>
      <w:pPr>
        <w:spacing w:after="0" w:line="364" w:lineRule="auto"/>
        <w:sectPr>
          <w:pgSz w:w="11910" w:h="16840"/>
          <w:pgMar w:header="872" w:footer="945" w:top="1320" w:bottom="1140" w:left="1200" w:right="1180"/>
        </w:sectPr>
      </w:pPr>
    </w:p>
    <w:p>
      <w:pPr>
        <w:pStyle w:val="BodyText"/>
        <w:spacing w:before="84"/>
        <w:ind w:left="218"/>
      </w:pPr>
      <w:r>
        <w:rPr/>
        <w:t>发生事故时可以将事故废水全部收集。</w:t>
      </w:r>
    </w:p>
    <w:p>
      <w:pPr>
        <w:pStyle w:val="BodyText"/>
        <w:spacing w:line="364" w:lineRule="auto" w:before="159"/>
        <w:ind w:left="218" w:right="233" w:firstLine="480"/>
        <w:jc w:val="both"/>
      </w:pPr>
      <w:r>
        <w:rPr>
          <w:spacing w:val="-6"/>
        </w:rPr>
        <w:t>事故发生时，为保证事故废水不直接排到周围水体中，要求企业建设相应的事故废水收集暂存系统，配套污水泵、输送管线，收集生产装置及贮罐区事故废水，经处理达标后纳管排放；在各路雨水管道和事故应急池加装截止阀门，与污水站相通，保证初期</w:t>
      </w:r>
      <w:r>
        <w:rPr>
          <w:spacing w:val="-4"/>
        </w:rPr>
        <w:t>雨水和事故消防水能纳入污水站处理，对于雨水收集池，应加装应急阀门，确保事故状</w:t>
      </w:r>
      <w:r>
        <w:rPr/>
        <w:t>态下能及时关闭阀门，使受污染的雨水纳入污水站处理，杜绝事故废水排放。</w:t>
      </w:r>
    </w:p>
    <w:p>
      <w:pPr>
        <w:pStyle w:val="BodyText"/>
        <w:spacing w:line="364" w:lineRule="auto"/>
        <w:ind w:left="218" w:right="115" w:firstLine="480"/>
      </w:pPr>
      <w:r>
        <w:rPr>
          <w:spacing w:val="-6"/>
        </w:rPr>
        <w:t>同时，项目所在区域环境风险应急措施比较完善，即使进入内河，由于园区河道建</w:t>
      </w:r>
      <w:r>
        <w:rPr>
          <w:spacing w:val="-15"/>
        </w:rPr>
        <w:t>有多道闸门，与杭州湾之间的水力联系也通过闸门控制；因此，即使事故废水泄漏入河， </w:t>
      </w:r>
      <w:r>
        <w:rPr/>
        <w:t>也能通过河道闸门切断与杭州湾之间的水力联系，将影响范围控制在两个闸门之间。</w:t>
      </w:r>
    </w:p>
    <w:p>
      <w:pPr>
        <w:pStyle w:val="Heading4"/>
      </w:pPr>
      <w:r>
        <w:rPr>
          <w:rFonts w:ascii="Times New Roman" w:eastAsia="Times New Roman"/>
        </w:rPr>
        <w:t>3</w:t>
      </w:r>
      <w:r>
        <w:rPr/>
        <w:t>、地下水环境风险评价</w:t>
      </w:r>
    </w:p>
    <w:p>
      <w:pPr>
        <w:pStyle w:val="BodyText"/>
        <w:spacing w:line="364" w:lineRule="auto" w:before="156"/>
        <w:ind w:left="218" w:right="112" w:firstLine="480"/>
      </w:pPr>
      <w:r>
        <w:rPr>
          <w:spacing w:val="-12"/>
        </w:rPr>
        <w:t>在不采取防渗措施前提下，废水通过渗透作用可能对地下水造成一定的影响，因此， </w:t>
      </w:r>
      <w:r>
        <w:rPr>
          <w:spacing w:val="-4"/>
        </w:rPr>
        <w:t>企业需对主要污染部位如废水区、固废堆放场所、生产区域等采取防渗措施，确保污染物不进入地下水。</w:t>
      </w:r>
    </w:p>
    <w:p>
      <w:pPr>
        <w:pStyle w:val="BodyText"/>
        <w:spacing w:line="364" w:lineRule="auto"/>
        <w:ind w:left="218" w:right="237" w:firstLine="480"/>
        <w:jc w:val="both"/>
      </w:pPr>
      <w:r>
        <w:rPr>
          <w:spacing w:val="-3"/>
        </w:rPr>
        <w:t>建设单位应切实落实好建设项目的废水集中收集处理工作，做好厂内的地面硬化防</w:t>
      </w:r>
      <w:r>
        <w:rPr>
          <w:spacing w:val="-7"/>
        </w:rPr>
        <w:t>渗，包括生产装置区、废水处理区、废气处理区和固废暂存区域等的地面防渗工作，特</w:t>
      </w:r>
      <w:r>
        <w:rPr/>
        <w:t>别是污水收集设施构筑物的防沉降措施，则对地下水环境影响较小。</w:t>
      </w:r>
    </w:p>
    <w:p>
      <w:pPr>
        <w:pStyle w:val="Heading4"/>
        <w:numPr>
          <w:ilvl w:val="0"/>
          <w:numId w:val="50"/>
        </w:numPr>
        <w:tabs>
          <w:tab w:pos="1305" w:val="left" w:leader="none"/>
        </w:tabs>
        <w:spacing w:line="304" w:lineRule="exact" w:before="0" w:after="0"/>
        <w:ind w:left="1304" w:right="0" w:hanging="604"/>
        <w:jc w:val="left"/>
        <w:rPr>
          <w:sz w:val="22"/>
        </w:rPr>
      </w:pPr>
      <w:r>
        <w:rPr/>
        <w:t>事故源项及事故后果基本信息表</w:t>
      </w:r>
    </w:p>
    <w:p>
      <w:pPr>
        <w:pStyle w:val="BodyText"/>
        <w:spacing w:before="7"/>
        <w:rPr>
          <w:b/>
          <w:sz w:val="23"/>
        </w:rPr>
      </w:pPr>
    </w:p>
    <w:p>
      <w:pPr>
        <w:tabs>
          <w:tab w:pos="1162" w:val="left" w:leader="none"/>
        </w:tabs>
        <w:spacing w:before="0" w:after="29"/>
        <w:ind w:left="0" w:right="20" w:firstLine="0"/>
        <w:jc w:val="center"/>
        <w:rPr>
          <w:b/>
          <w:sz w:val="24"/>
        </w:rPr>
      </w:pPr>
      <w:r>
        <w:rPr>
          <w:b/>
          <w:sz w:val="24"/>
        </w:rPr>
        <w:t>表</w:t>
      </w:r>
      <w:r>
        <w:rPr>
          <w:b/>
          <w:spacing w:val="-59"/>
          <w:sz w:val="24"/>
        </w:rPr>
        <w:t> </w:t>
      </w:r>
      <w:r>
        <w:rPr>
          <w:rFonts w:ascii="Times New Roman" w:eastAsia="Times New Roman"/>
          <w:b/>
          <w:sz w:val="24"/>
        </w:rPr>
        <w:t>8.6-5</w:t>
        <w:tab/>
      </w:r>
      <w:r>
        <w:rPr>
          <w:b/>
          <w:sz w:val="24"/>
        </w:rPr>
        <w:t>事故源项及事故后果基本信息表</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1"/>
        <w:gridCol w:w="1129"/>
        <w:gridCol w:w="380"/>
        <w:gridCol w:w="1520"/>
        <w:gridCol w:w="229"/>
        <w:gridCol w:w="1281"/>
        <w:gridCol w:w="285"/>
        <w:gridCol w:w="1229"/>
        <w:gridCol w:w="1246"/>
      </w:tblGrid>
      <w:tr>
        <w:trPr>
          <w:trHeight w:val="282" w:hRule="atLeast"/>
        </w:trPr>
        <w:tc>
          <w:tcPr>
            <w:tcW w:w="9140" w:type="dxa"/>
            <w:gridSpan w:val="9"/>
          </w:tcPr>
          <w:p>
            <w:pPr>
              <w:pStyle w:val="TableParagraph"/>
              <w:spacing w:line="257" w:lineRule="exact" w:before="6"/>
              <w:ind w:left="3613" w:right="3614"/>
              <w:rPr>
                <w:rFonts w:ascii="Times New Roman" w:eastAsia="Times New Roman"/>
                <w:b/>
                <w:sz w:val="14"/>
              </w:rPr>
            </w:pPr>
            <w:r>
              <w:rPr>
                <w:b/>
                <w:sz w:val="21"/>
              </w:rPr>
              <w:t>风险事故情形分析 </w:t>
            </w:r>
            <w:r>
              <w:rPr>
                <w:rFonts w:ascii="Times New Roman" w:eastAsia="Times New Roman"/>
                <w:b/>
                <w:position w:val="7"/>
                <w:sz w:val="14"/>
              </w:rPr>
              <w:t>a</w:t>
            </w:r>
          </w:p>
        </w:tc>
      </w:tr>
      <w:tr>
        <w:trPr>
          <w:trHeight w:val="544" w:hRule="atLeast"/>
        </w:trPr>
        <w:tc>
          <w:tcPr>
            <w:tcW w:w="1841" w:type="dxa"/>
          </w:tcPr>
          <w:p>
            <w:pPr>
              <w:pStyle w:val="TableParagraph"/>
              <w:spacing w:line="270" w:lineRule="atLeast" w:before="2"/>
              <w:ind w:left="604" w:right="67" w:hanging="526"/>
              <w:jc w:val="left"/>
              <w:rPr>
                <w:sz w:val="21"/>
              </w:rPr>
            </w:pPr>
            <w:r>
              <w:rPr>
                <w:sz w:val="21"/>
              </w:rPr>
              <w:t>代表性风险事故情形描述</w:t>
            </w:r>
          </w:p>
        </w:tc>
        <w:tc>
          <w:tcPr>
            <w:tcW w:w="7299" w:type="dxa"/>
            <w:gridSpan w:val="8"/>
          </w:tcPr>
          <w:p>
            <w:pPr>
              <w:pStyle w:val="TableParagraph"/>
              <w:spacing w:before="3"/>
              <w:ind w:left="25"/>
              <w:jc w:val="left"/>
              <w:rPr>
                <w:sz w:val="21"/>
              </w:rPr>
            </w:pPr>
            <w:r>
              <w:rPr>
                <w:rFonts w:ascii="Times New Roman" w:eastAsia="Times New Roman"/>
                <w:sz w:val="21"/>
              </w:rPr>
              <w:t>1</w:t>
            </w:r>
            <w:r>
              <w:rPr>
                <w:sz w:val="21"/>
              </w:rPr>
              <w:t>、生产车间反应釜泄漏导致火灾</w:t>
            </w:r>
          </w:p>
          <w:p>
            <w:pPr>
              <w:pStyle w:val="TableParagraph"/>
              <w:spacing w:line="250" w:lineRule="exact" w:before="2"/>
              <w:ind w:left="25"/>
              <w:jc w:val="left"/>
              <w:rPr>
                <w:sz w:val="21"/>
              </w:rPr>
            </w:pPr>
            <w:r>
              <w:rPr>
                <w:rFonts w:ascii="Times New Roman" w:eastAsia="Times New Roman"/>
                <w:sz w:val="21"/>
              </w:rPr>
              <w:t>2</w:t>
            </w:r>
            <w:r>
              <w:rPr>
                <w:sz w:val="21"/>
              </w:rPr>
              <w:t>、甲酸储罐泄漏</w:t>
            </w:r>
          </w:p>
        </w:tc>
      </w:tr>
      <w:tr>
        <w:trPr>
          <w:trHeight w:val="285" w:hRule="atLeast"/>
        </w:trPr>
        <w:tc>
          <w:tcPr>
            <w:tcW w:w="1841" w:type="dxa"/>
          </w:tcPr>
          <w:p>
            <w:pPr>
              <w:pStyle w:val="TableParagraph"/>
              <w:spacing w:line="257" w:lineRule="exact" w:before="8"/>
              <w:ind w:left="166" w:right="155"/>
              <w:rPr>
                <w:b/>
                <w:sz w:val="21"/>
              </w:rPr>
            </w:pPr>
            <w:r>
              <w:rPr>
                <w:b/>
                <w:sz w:val="21"/>
              </w:rPr>
              <w:t>环境风险类型</w:t>
            </w:r>
          </w:p>
        </w:tc>
        <w:tc>
          <w:tcPr>
            <w:tcW w:w="7299" w:type="dxa"/>
            <w:gridSpan w:val="8"/>
          </w:tcPr>
          <w:p>
            <w:pPr>
              <w:pStyle w:val="TableParagraph"/>
              <w:spacing w:line="257" w:lineRule="exact" w:before="8"/>
              <w:ind w:left="25"/>
              <w:jc w:val="left"/>
              <w:rPr>
                <w:b/>
                <w:sz w:val="21"/>
              </w:rPr>
            </w:pPr>
            <w:r>
              <w:rPr>
                <w:rFonts w:ascii="Times New Roman" w:eastAsia="Times New Roman"/>
                <w:b/>
                <w:sz w:val="21"/>
              </w:rPr>
              <w:t>1</w:t>
            </w:r>
            <w:r>
              <w:rPr>
                <w:b/>
                <w:sz w:val="21"/>
              </w:rPr>
              <w:t>、生产车间反应釜泄漏导致火灾</w:t>
            </w:r>
          </w:p>
        </w:tc>
      </w:tr>
      <w:tr>
        <w:trPr>
          <w:trHeight w:val="282" w:hRule="atLeast"/>
        </w:trPr>
        <w:tc>
          <w:tcPr>
            <w:tcW w:w="1841" w:type="dxa"/>
          </w:tcPr>
          <w:p>
            <w:pPr>
              <w:pStyle w:val="TableParagraph"/>
              <w:spacing w:line="255" w:lineRule="exact" w:before="8"/>
              <w:ind w:left="166" w:right="155"/>
              <w:rPr>
                <w:sz w:val="21"/>
              </w:rPr>
            </w:pPr>
            <w:r>
              <w:rPr>
                <w:sz w:val="21"/>
              </w:rPr>
              <w:t>泄漏设备类型</w:t>
            </w:r>
          </w:p>
        </w:tc>
        <w:tc>
          <w:tcPr>
            <w:tcW w:w="1509" w:type="dxa"/>
            <w:gridSpan w:val="2"/>
          </w:tcPr>
          <w:p>
            <w:pPr>
              <w:pStyle w:val="TableParagraph"/>
              <w:spacing w:line="255" w:lineRule="exact" w:before="8"/>
              <w:ind w:left="436"/>
              <w:jc w:val="left"/>
              <w:rPr>
                <w:sz w:val="21"/>
              </w:rPr>
            </w:pPr>
            <w:r>
              <w:rPr>
                <w:sz w:val="21"/>
              </w:rPr>
              <w:t>反应釜</w:t>
            </w:r>
          </w:p>
        </w:tc>
        <w:tc>
          <w:tcPr>
            <w:tcW w:w="1520" w:type="dxa"/>
          </w:tcPr>
          <w:p>
            <w:pPr>
              <w:pStyle w:val="TableParagraph"/>
              <w:spacing w:line="255" w:lineRule="exact" w:before="8"/>
              <w:ind w:right="192"/>
              <w:jc w:val="right"/>
              <w:rPr>
                <w:rFonts w:ascii="Times New Roman" w:hAnsi="Times New Roman" w:eastAsia="Times New Roman"/>
                <w:sz w:val="21"/>
              </w:rPr>
            </w:pPr>
            <w:r>
              <w:rPr>
                <w:sz w:val="21"/>
              </w:rPr>
              <w:t>操作温度</w:t>
            </w:r>
            <w:r>
              <w:rPr>
                <w:rFonts w:ascii="Times New Roman" w:hAnsi="Times New Roman" w:eastAsia="Times New Roman"/>
                <w:sz w:val="21"/>
              </w:rPr>
              <w:t>/℃</w:t>
            </w:r>
          </w:p>
        </w:tc>
        <w:tc>
          <w:tcPr>
            <w:tcW w:w="1510" w:type="dxa"/>
            <w:gridSpan w:val="2"/>
          </w:tcPr>
          <w:p>
            <w:pPr>
              <w:pStyle w:val="TableParagraph"/>
              <w:spacing w:line="241" w:lineRule="exact" w:before="22"/>
              <w:ind w:left="491" w:right="488"/>
              <w:rPr>
                <w:rFonts w:ascii="Times New Roman"/>
                <w:sz w:val="21"/>
              </w:rPr>
            </w:pPr>
            <w:r>
              <w:rPr>
                <w:rFonts w:ascii="Times New Roman"/>
                <w:sz w:val="21"/>
              </w:rPr>
              <w:t>120</w:t>
            </w:r>
          </w:p>
        </w:tc>
        <w:tc>
          <w:tcPr>
            <w:tcW w:w="1514" w:type="dxa"/>
            <w:gridSpan w:val="2"/>
          </w:tcPr>
          <w:p>
            <w:pPr>
              <w:pStyle w:val="TableParagraph"/>
              <w:spacing w:line="255" w:lineRule="exact" w:before="8"/>
              <w:ind w:left="105"/>
              <w:jc w:val="left"/>
              <w:rPr>
                <w:rFonts w:ascii="Times New Roman" w:eastAsia="Times New Roman"/>
                <w:sz w:val="21"/>
              </w:rPr>
            </w:pPr>
            <w:r>
              <w:rPr>
                <w:sz w:val="21"/>
              </w:rPr>
              <w:t>操作压力</w:t>
            </w:r>
            <w:r>
              <w:rPr>
                <w:rFonts w:ascii="Times New Roman" w:eastAsia="Times New Roman"/>
                <w:sz w:val="21"/>
              </w:rPr>
              <w:t>/MPa</w:t>
            </w:r>
          </w:p>
        </w:tc>
        <w:tc>
          <w:tcPr>
            <w:tcW w:w="1246" w:type="dxa"/>
          </w:tcPr>
          <w:p>
            <w:pPr>
              <w:pStyle w:val="TableParagraph"/>
              <w:spacing w:line="241" w:lineRule="exact" w:before="22"/>
              <w:ind w:left="168" w:right="171"/>
              <w:rPr>
                <w:rFonts w:ascii="Times New Roman"/>
                <w:sz w:val="21"/>
              </w:rPr>
            </w:pPr>
            <w:r>
              <w:rPr>
                <w:rFonts w:ascii="Times New Roman"/>
                <w:sz w:val="21"/>
              </w:rPr>
              <w:t>0.3MPa</w:t>
            </w:r>
          </w:p>
        </w:tc>
      </w:tr>
      <w:tr>
        <w:trPr>
          <w:trHeight w:val="285" w:hRule="atLeast"/>
        </w:trPr>
        <w:tc>
          <w:tcPr>
            <w:tcW w:w="1841" w:type="dxa"/>
          </w:tcPr>
          <w:p>
            <w:pPr>
              <w:pStyle w:val="TableParagraph"/>
              <w:spacing w:line="257" w:lineRule="exact" w:before="8"/>
              <w:ind w:left="166" w:right="155"/>
              <w:rPr>
                <w:sz w:val="21"/>
              </w:rPr>
            </w:pPr>
            <w:r>
              <w:rPr>
                <w:sz w:val="21"/>
              </w:rPr>
              <w:t>泄漏危险物质</w:t>
            </w:r>
          </w:p>
        </w:tc>
        <w:tc>
          <w:tcPr>
            <w:tcW w:w="1509" w:type="dxa"/>
            <w:gridSpan w:val="2"/>
          </w:tcPr>
          <w:p>
            <w:pPr>
              <w:pStyle w:val="TableParagraph"/>
              <w:spacing w:line="257" w:lineRule="exact" w:before="8"/>
              <w:ind w:left="496" w:right="489"/>
              <w:rPr>
                <w:sz w:val="21"/>
              </w:rPr>
            </w:pPr>
            <w:r>
              <w:rPr>
                <w:sz w:val="21"/>
              </w:rPr>
              <w:t>甲酸</w:t>
            </w:r>
          </w:p>
        </w:tc>
        <w:tc>
          <w:tcPr>
            <w:tcW w:w="1520" w:type="dxa"/>
          </w:tcPr>
          <w:p>
            <w:pPr>
              <w:pStyle w:val="TableParagraph"/>
              <w:spacing w:line="257" w:lineRule="exact" w:before="8"/>
              <w:ind w:right="91"/>
              <w:jc w:val="right"/>
              <w:rPr>
                <w:rFonts w:ascii="Times New Roman" w:eastAsia="Times New Roman"/>
                <w:sz w:val="21"/>
              </w:rPr>
            </w:pPr>
            <w:r>
              <w:rPr>
                <w:sz w:val="21"/>
              </w:rPr>
              <w:t>最大存在量</w:t>
            </w:r>
            <w:r>
              <w:rPr>
                <w:rFonts w:ascii="Times New Roman" w:eastAsia="Times New Roman"/>
                <w:sz w:val="21"/>
              </w:rPr>
              <w:t>/kg</w:t>
            </w:r>
          </w:p>
        </w:tc>
        <w:tc>
          <w:tcPr>
            <w:tcW w:w="1510" w:type="dxa"/>
            <w:gridSpan w:val="2"/>
          </w:tcPr>
          <w:p>
            <w:pPr>
              <w:pStyle w:val="TableParagraph"/>
              <w:spacing w:before="22"/>
              <w:ind w:left="491" w:right="488"/>
              <w:rPr>
                <w:rFonts w:ascii="Times New Roman"/>
                <w:sz w:val="21"/>
              </w:rPr>
            </w:pPr>
            <w:r>
              <w:rPr>
                <w:rFonts w:ascii="Times New Roman"/>
                <w:sz w:val="21"/>
              </w:rPr>
              <w:t>1440</w:t>
            </w:r>
          </w:p>
        </w:tc>
        <w:tc>
          <w:tcPr>
            <w:tcW w:w="1514" w:type="dxa"/>
            <w:gridSpan w:val="2"/>
          </w:tcPr>
          <w:p>
            <w:pPr>
              <w:pStyle w:val="TableParagraph"/>
              <w:spacing w:line="257" w:lineRule="exact" w:before="8"/>
              <w:ind w:left="141"/>
              <w:jc w:val="left"/>
              <w:rPr>
                <w:rFonts w:ascii="Times New Roman" w:eastAsia="Times New Roman"/>
                <w:sz w:val="21"/>
              </w:rPr>
            </w:pPr>
            <w:r>
              <w:rPr>
                <w:sz w:val="21"/>
              </w:rPr>
              <w:t>泄漏孔径</w:t>
            </w:r>
            <w:r>
              <w:rPr>
                <w:rFonts w:ascii="Times New Roman" w:eastAsia="Times New Roman"/>
                <w:sz w:val="21"/>
              </w:rPr>
              <w:t>/mm</w:t>
            </w:r>
          </w:p>
        </w:tc>
        <w:tc>
          <w:tcPr>
            <w:tcW w:w="1246" w:type="dxa"/>
          </w:tcPr>
          <w:p>
            <w:pPr>
              <w:pStyle w:val="TableParagraph"/>
              <w:spacing w:before="22"/>
              <w:ind w:right="2"/>
              <w:rPr>
                <w:rFonts w:ascii="Times New Roman"/>
                <w:sz w:val="21"/>
              </w:rPr>
            </w:pPr>
            <w:r>
              <w:rPr>
                <w:rFonts w:ascii="Times New Roman"/>
                <w:w w:val="100"/>
                <w:sz w:val="21"/>
              </w:rPr>
              <w:t>/</w:t>
            </w:r>
          </w:p>
        </w:tc>
      </w:tr>
      <w:tr>
        <w:trPr>
          <w:trHeight w:val="282" w:hRule="atLeast"/>
        </w:trPr>
        <w:tc>
          <w:tcPr>
            <w:tcW w:w="1841" w:type="dxa"/>
          </w:tcPr>
          <w:p>
            <w:pPr>
              <w:pStyle w:val="TableParagraph"/>
              <w:spacing w:line="255" w:lineRule="exact" w:before="8"/>
              <w:ind w:left="166" w:right="155"/>
              <w:rPr>
                <w:sz w:val="21"/>
              </w:rPr>
            </w:pPr>
            <w:r>
              <w:rPr>
                <w:sz w:val="21"/>
              </w:rPr>
              <w:t>火灾次生污染物</w:t>
            </w:r>
          </w:p>
        </w:tc>
        <w:tc>
          <w:tcPr>
            <w:tcW w:w="1509" w:type="dxa"/>
            <w:gridSpan w:val="2"/>
          </w:tcPr>
          <w:p>
            <w:pPr>
              <w:pStyle w:val="TableParagraph"/>
              <w:spacing w:line="241" w:lineRule="exact" w:before="22"/>
              <w:ind w:left="493" w:right="489"/>
              <w:rPr>
                <w:rFonts w:ascii="Times New Roman"/>
                <w:sz w:val="21"/>
              </w:rPr>
            </w:pPr>
            <w:r>
              <w:rPr>
                <w:rFonts w:ascii="Times New Roman"/>
                <w:sz w:val="21"/>
              </w:rPr>
              <w:t>CO</w:t>
            </w:r>
          </w:p>
        </w:tc>
        <w:tc>
          <w:tcPr>
            <w:tcW w:w="1520" w:type="dxa"/>
          </w:tcPr>
          <w:p>
            <w:pPr>
              <w:pStyle w:val="TableParagraph"/>
              <w:spacing w:line="255" w:lineRule="exact" w:before="8"/>
              <w:ind w:left="240"/>
              <w:jc w:val="left"/>
              <w:rPr>
                <w:rFonts w:ascii="Times New Roman" w:eastAsia="Times New Roman"/>
                <w:sz w:val="21"/>
              </w:rPr>
            </w:pPr>
            <w:r>
              <w:rPr>
                <w:sz w:val="21"/>
              </w:rPr>
              <w:t>产生量 </w:t>
            </w:r>
            <w:r>
              <w:rPr>
                <w:rFonts w:ascii="Times New Roman" w:eastAsia="Times New Roman"/>
                <w:sz w:val="21"/>
              </w:rPr>
              <w:t>kg/s</w:t>
            </w:r>
          </w:p>
        </w:tc>
        <w:tc>
          <w:tcPr>
            <w:tcW w:w="1510" w:type="dxa"/>
            <w:gridSpan w:val="2"/>
          </w:tcPr>
          <w:p>
            <w:pPr>
              <w:pStyle w:val="TableParagraph"/>
              <w:spacing w:line="241" w:lineRule="exact" w:before="22"/>
              <w:ind w:left="491" w:right="488"/>
              <w:rPr>
                <w:rFonts w:ascii="Times New Roman"/>
                <w:sz w:val="21"/>
              </w:rPr>
            </w:pPr>
            <w:r>
              <w:rPr>
                <w:rFonts w:ascii="Times New Roman"/>
                <w:sz w:val="21"/>
              </w:rPr>
              <w:t>0.128</w:t>
            </w:r>
          </w:p>
        </w:tc>
        <w:tc>
          <w:tcPr>
            <w:tcW w:w="1514" w:type="dxa"/>
            <w:gridSpan w:val="2"/>
          </w:tcPr>
          <w:p>
            <w:pPr>
              <w:pStyle w:val="TableParagraph"/>
              <w:jc w:val="left"/>
              <w:rPr>
                <w:rFonts w:ascii="Times New Roman"/>
                <w:sz w:val="20"/>
              </w:rPr>
            </w:pPr>
          </w:p>
        </w:tc>
        <w:tc>
          <w:tcPr>
            <w:tcW w:w="1246" w:type="dxa"/>
          </w:tcPr>
          <w:p>
            <w:pPr>
              <w:pStyle w:val="TableParagraph"/>
              <w:jc w:val="left"/>
              <w:rPr>
                <w:rFonts w:ascii="Times New Roman"/>
                <w:sz w:val="20"/>
              </w:rPr>
            </w:pPr>
          </w:p>
        </w:tc>
      </w:tr>
      <w:tr>
        <w:trPr>
          <w:trHeight w:val="285" w:hRule="atLeast"/>
        </w:trPr>
        <w:tc>
          <w:tcPr>
            <w:tcW w:w="1841" w:type="dxa"/>
          </w:tcPr>
          <w:p>
            <w:pPr>
              <w:pStyle w:val="TableParagraph"/>
              <w:spacing w:line="257" w:lineRule="exact" w:before="8"/>
              <w:ind w:left="166" w:right="155"/>
              <w:rPr>
                <w:b/>
                <w:sz w:val="21"/>
              </w:rPr>
            </w:pPr>
            <w:r>
              <w:rPr>
                <w:b/>
                <w:sz w:val="21"/>
              </w:rPr>
              <w:t>环境风险类型</w:t>
            </w:r>
          </w:p>
        </w:tc>
        <w:tc>
          <w:tcPr>
            <w:tcW w:w="7299" w:type="dxa"/>
            <w:gridSpan w:val="8"/>
          </w:tcPr>
          <w:p>
            <w:pPr>
              <w:pStyle w:val="TableParagraph"/>
              <w:spacing w:line="257" w:lineRule="exact" w:before="8"/>
              <w:ind w:left="25"/>
              <w:jc w:val="left"/>
              <w:rPr>
                <w:b/>
                <w:sz w:val="21"/>
              </w:rPr>
            </w:pPr>
            <w:r>
              <w:rPr>
                <w:rFonts w:ascii="Times New Roman" w:eastAsia="Times New Roman"/>
                <w:b/>
                <w:sz w:val="21"/>
              </w:rPr>
              <w:t>2</w:t>
            </w:r>
            <w:r>
              <w:rPr>
                <w:b/>
                <w:sz w:val="21"/>
              </w:rPr>
              <w:t>、储罐区甲酸泄漏</w:t>
            </w:r>
          </w:p>
        </w:tc>
      </w:tr>
      <w:tr>
        <w:trPr>
          <w:trHeight w:val="282" w:hRule="atLeast"/>
        </w:trPr>
        <w:tc>
          <w:tcPr>
            <w:tcW w:w="1841" w:type="dxa"/>
          </w:tcPr>
          <w:p>
            <w:pPr>
              <w:pStyle w:val="TableParagraph"/>
              <w:spacing w:line="255" w:lineRule="exact" w:before="8"/>
              <w:ind w:left="166" w:right="155"/>
              <w:rPr>
                <w:sz w:val="21"/>
              </w:rPr>
            </w:pPr>
            <w:r>
              <w:rPr>
                <w:sz w:val="21"/>
              </w:rPr>
              <w:t>泄漏设备类型</w:t>
            </w:r>
          </w:p>
        </w:tc>
        <w:tc>
          <w:tcPr>
            <w:tcW w:w="1509" w:type="dxa"/>
            <w:gridSpan w:val="2"/>
          </w:tcPr>
          <w:p>
            <w:pPr>
              <w:pStyle w:val="TableParagraph"/>
              <w:spacing w:line="255" w:lineRule="exact" w:before="8"/>
              <w:ind w:left="496" w:right="489"/>
              <w:rPr>
                <w:sz w:val="21"/>
              </w:rPr>
            </w:pPr>
            <w:r>
              <w:rPr>
                <w:sz w:val="21"/>
              </w:rPr>
              <w:t>储罐</w:t>
            </w:r>
          </w:p>
        </w:tc>
        <w:tc>
          <w:tcPr>
            <w:tcW w:w="1520" w:type="dxa"/>
          </w:tcPr>
          <w:p>
            <w:pPr>
              <w:pStyle w:val="TableParagraph"/>
              <w:spacing w:line="255" w:lineRule="exact" w:before="8"/>
              <w:ind w:right="192"/>
              <w:jc w:val="right"/>
              <w:rPr>
                <w:rFonts w:ascii="Times New Roman" w:hAnsi="Times New Roman" w:eastAsia="Times New Roman"/>
                <w:sz w:val="21"/>
              </w:rPr>
            </w:pPr>
            <w:r>
              <w:rPr>
                <w:sz w:val="21"/>
              </w:rPr>
              <w:t>操作温度</w:t>
            </w:r>
            <w:r>
              <w:rPr>
                <w:rFonts w:ascii="Times New Roman" w:hAnsi="Times New Roman" w:eastAsia="Times New Roman"/>
                <w:sz w:val="21"/>
              </w:rPr>
              <w:t>/℃</w:t>
            </w:r>
          </w:p>
        </w:tc>
        <w:tc>
          <w:tcPr>
            <w:tcW w:w="1510" w:type="dxa"/>
            <w:gridSpan w:val="2"/>
          </w:tcPr>
          <w:p>
            <w:pPr>
              <w:pStyle w:val="TableParagraph"/>
              <w:spacing w:line="241" w:lineRule="exact" w:before="22"/>
              <w:ind w:left="491" w:right="492"/>
              <w:rPr>
                <w:rFonts w:ascii="Times New Roman"/>
                <w:sz w:val="21"/>
              </w:rPr>
            </w:pPr>
            <w:r>
              <w:rPr>
                <w:rFonts w:ascii="Times New Roman"/>
                <w:sz w:val="21"/>
              </w:rPr>
              <w:t>20</w:t>
            </w:r>
          </w:p>
        </w:tc>
        <w:tc>
          <w:tcPr>
            <w:tcW w:w="1514" w:type="dxa"/>
            <w:gridSpan w:val="2"/>
          </w:tcPr>
          <w:p>
            <w:pPr>
              <w:pStyle w:val="TableParagraph"/>
              <w:spacing w:line="255" w:lineRule="exact" w:before="8"/>
              <w:ind w:left="105"/>
              <w:jc w:val="left"/>
              <w:rPr>
                <w:rFonts w:ascii="Times New Roman" w:eastAsia="Times New Roman"/>
                <w:sz w:val="21"/>
              </w:rPr>
            </w:pPr>
            <w:r>
              <w:rPr>
                <w:sz w:val="21"/>
              </w:rPr>
              <w:t>操作压力</w:t>
            </w:r>
            <w:r>
              <w:rPr>
                <w:rFonts w:ascii="Times New Roman" w:eastAsia="Times New Roman"/>
                <w:sz w:val="21"/>
              </w:rPr>
              <w:t>/MPa</w:t>
            </w:r>
          </w:p>
        </w:tc>
        <w:tc>
          <w:tcPr>
            <w:tcW w:w="1246" w:type="dxa"/>
          </w:tcPr>
          <w:p>
            <w:pPr>
              <w:pStyle w:val="TableParagraph"/>
              <w:spacing w:line="241" w:lineRule="exact" w:before="22"/>
              <w:ind w:left="168" w:right="171"/>
              <w:rPr>
                <w:rFonts w:ascii="Times New Roman"/>
                <w:sz w:val="21"/>
              </w:rPr>
            </w:pPr>
            <w:r>
              <w:rPr>
                <w:rFonts w:ascii="Times New Roman"/>
                <w:sz w:val="21"/>
              </w:rPr>
              <w:t>0.1MPa</w:t>
            </w:r>
          </w:p>
        </w:tc>
      </w:tr>
      <w:tr>
        <w:trPr>
          <w:trHeight w:val="285" w:hRule="atLeast"/>
        </w:trPr>
        <w:tc>
          <w:tcPr>
            <w:tcW w:w="1841" w:type="dxa"/>
          </w:tcPr>
          <w:p>
            <w:pPr>
              <w:pStyle w:val="TableParagraph"/>
              <w:spacing w:line="257" w:lineRule="exact" w:before="8"/>
              <w:ind w:left="166" w:right="155"/>
              <w:rPr>
                <w:sz w:val="21"/>
              </w:rPr>
            </w:pPr>
            <w:r>
              <w:rPr>
                <w:sz w:val="21"/>
              </w:rPr>
              <w:t>泄漏危险物质</w:t>
            </w:r>
          </w:p>
        </w:tc>
        <w:tc>
          <w:tcPr>
            <w:tcW w:w="1509" w:type="dxa"/>
            <w:gridSpan w:val="2"/>
          </w:tcPr>
          <w:p>
            <w:pPr>
              <w:pStyle w:val="TableParagraph"/>
              <w:spacing w:line="257" w:lineRule="exact" w:before="8"/>
              <w:ind w:left="496" w:right="489"/>
              <w:rPr>
                <w:sz w:val="21"/>
              </w:rPr>
            </w:pPr>
            <w:r>
              <w:rPr>
                <w:sz w:val="21"/>
              </w:rPr>
              <w:t>甲酸</w:t>
            </w:r>
          </w:p>
        </w:tc>
        <w:tc>
          <w:tcPr>
            <w:tcW w:w="1520" w:type="dxa"/>
          </w:tcPr>
          <w:p>
            <w:pPr>
              <w:pStyle w:val="TableParagraph"/>
              <w:spacing w:line="257" w:lineRule="exact" w:before="8"/>
              <w:ind w:right="164"/>
              <w:jc w:val="right"/>
              <w:rPr>
                <w:rFonts w:ascii="Times New Roman" w:eastAsia="Times New Roman"/>
                <w:sz w:val="21"/>
              </w:rPr>
            </w:pPr>
            <w:r>
              <w:rPr>
                <w:sz w:val="21"/>
              </w:rPr>
              <w:t>最大存在量</w:t>
            </w:r>
            <w:r>
              <w:rPr>
                <w:rFonts w:ascii="Times New Roman" w:eastAsia="Times New Roman"/>
                <w:sz w:val="21"/>
              </w:rPr>
              <w:t>/t</w:t>
            </w:r>
          </w:p>
        </w:tc>
        <w:tc>
          <w:tcPr>
            <w:tcW w:w="1510" w:type="dxa"/>
            <w:gridSpan w:val="2"/>
          </w:tcPr>
          <w:p>
            <w:pPr>
              <w:pStyle w:val="TableParagraph"/>
              <w:spacing w:before="22"/>
              <w:ind w:left="491" w:right="488"/>
              <w:rPr>
                <w:rFonts w:ascii="Times New Roman"/>
                <w:sz w:val="21"/>
              </w:rPr>
            </w:pPr>
            <w:r>
              <w:rPr>
                <w:rFonts w:ascii="Times New Roman"/>
                <w:sz w:val="21"/>
              </w:rPr>
              <w:t>89.6</w:t>
            </w:r>
          </w:p>
        </w:tc>
        <w:tc>
          <w:tcPr>
            <w:tcW w:w="1514" w:type="dxa"/>
            <w:gridSpan w:val="2"/>
          </w:tcPr>
          <w:p>
            <w:pPr>
              <w:pStyle w:val="TableParagraph"/>
              <w:spacing w:line="257" w:lineRule="exact" w:before="8"/>
              <w:ind w:left="141"/>
              <w:jc w:val="left"/>
              <w:rPr>
                <w:rFonts w:ascii="Times New Roman" w:eastAsia="Times New Roman"/>
                <w:sz w:val="21"/>
              </w:rPr>
            </w:pPr>
            <w:r>
              <w:rPr>
                <w:sz w:val="21"/>
              </w:rPr>
              <w:t>泄漏孔径</w:t>
            </w:r>
            <w:r>
              <w:rPr>
                <w:rFonts w:ascii="Times New Roman" w:eastAsia="Times New Roman"/>
                <w:sz w:val="21"/>
              </w:rPr>
              <w:t>/mm</w:t>
            </w:r>
          </w:p>
        </w:tc>
        <w:tc>
          <w:tcPr>
            <w:tcW w:w="1246" w:type="dxa"/>
          </w:tcPr>
          <w:p>
            <w:pPr>
              <w:pStyle w:val="TableParagraph"/>
              <w:spacing w:before="22"/>
              <w:ind w:right="2"/>
              <w:rPr>
                <w:rFonts w:ascii="Times New Roman"/>
                <w:sz w:val="21"/>
              </w:rPr>
            </w:pPr>
            <w:r>
              <w:rPr>
                <w:rFonts w:ascii="Times New Roman"/>
                <w:w w:val="100"/>
                <w:sz w:val="21"/>
              </w:rPr>
              <w:t>/</w:t>
            </w:r>
          </w:p>
        </w:tc>
      </w:tr>
      <w:tr>
        <w:trPr>
          <w:trHeight w:val="282" w:hRule="atLeast"/>
        </w:trPr>
        <w:tc>
          <w:tcPr>
            <w:tcW w:w="1841" w:type="dxa"/>
          </w:tcPr>
          <w:p>
            <w:pPr>
              <w:pStyle w:val="TableParagraph"/>
              <w:spacing w:line="255" w:lineRule="exact" w:before="8"/>
              <w:ind w:left="165" w:right="155"/>
              <w:rPr>
                <w:rFonts w:ascii="Times New Roman" w:eastAsia="Times New Roman"/>
                <w:sz w:val="21"/>
              </w:rPr>
            </w:pPr>
            <w:r>
              <w:rPr>
                <w:sz w:val="21"/>
              </w:rPr>
              <w:t>泄漏速率</w:t>
            </w:r>
            <w:r>
              <w:rPr>
                <w:rFonts w:ascii="Times New Roman" w:eastAsia="Times New Roman"/>
                <w:sz w:val="21"/>
              </w:rPr>
              <w:t>/(kg/s)</w:t>
            </w:r>
          </w:p>
        </w:tc>
        <w:tc>
          <w:tcPr>
            <w:tcW w:w="1509" w:type="dxa"/>
            <w:gridSpan w:val="2"/>
          </w:tcPr>
          <w:p>
            <w:pPr>
              <w:pStyle w:val="TableParagraph"/>
              <w:spacing w:line="241" w:lineRule="exact" w:before="22"/>
              <w:ind w:left="496" w:right="489"/>
              <w:rPr>
                <w:rFonts w:ascii="Times New Roman"/>
                <w:sz w:val="21"/>
              </w:rPr>
            </w:pPr>
            <w:r>
              <w:rPr>
                <w:rFonts w:ascii="Times New Roman"/>
                <w:sz w:val="21"/>
              </w:rPr>
              <w:t>0.579</w:t>
            </w:r>
          </w:p>
        </w:tc>
        <w:tc>
          <w:tcPr>
            <w:tcW w:w="1520" w:type="dxa"/>
          </w:tcPr>
          <w:p>
            <w:pPr>
              <w:pStyle w:val="TableParagraph"/>
              <w:spacing w:line="255" w:lineRule="exact" w:before="8"/>
              <w:ind w:right="138"/>
              <w:jc w:val="right"/>
              <w:rPr>
                <w:rFonts w:ascii="Times New Roman" w:eastAsia="Times New Roman"/>
                <w:sz w:val="21"/>
              </w:rPr>
            </w:pPr>
            <w:r>
              <w:rPr>
                <w:sz w:val="21"/>
              </w:rPr>
              <w:t>泄漏时间</w:t>
            </w:r>
            <w:r>
              <w:rPr>
                <w:rFonts w:ascii="Times New Roman" w:eastAsia="Times New Roman"/>
                <w:sz w:val="21"/>
              </w:rPr>
              <w:t>/min</w:t>
            </w:r>
          </w:p>
        </w:tc>
        <w:tc>
          <w:tcPr>
            <w:tcW w:w="1510" w:type="dxa"/>
            <w:gridSpan w:val="2"/>
          </w:tcPr>
          <w:p>
            <w:pPr>
              <w:pStyle w:val="TableParagraph"/>
              <w:spacing w:line="241" w:lineRule="exact" w:before="22"/>
              <w:ind w:left="491" w:right="492"/>
              <w:rPr>
                <w:rFonts w:ascii="Times New Roman"/>
                <w:sz w:val="21"/>
              </w:rPr>
            </w:pPr>
            <w:r>
              <w:rPr>
                <w:rFonts w:ascii="Times New Roman"/>
                <w:sz w:val="21"/>
              </w:rPr>
              <w:t>30</w:t>
            </w:r>
          </w:p>
        </w:tc>
        <w:tc>
          <w:tcPr>
            <w:tcW w:w="1514" w:type="dxa"/>
            <w:gridSpan w:val="2"/>
          </w:tcPr>
          <w:p>
            <w:pPr>
              <w:pStyle w:val="TableParagraph"/>
              <w:spacing w:line="255" w:lineRule="exact" w:before="8"/>
              <w:ind w:left="304"/>
              <w:jc w:val="left"/>
              <w:rPr>
                <w:rFonts w:ascii="Times New Roman" w:eastAsia="Times New Roman"/>
                <w:sz w:val="21"/>
              </w:rPr>
            </w:pPr>
            <w:r>
              <w:rPr>
                <w:sz w:val="21"/>
              </w:rPr>
              <w:t>泄漏量</w:t>
            </w:r>
            <w:r>
              <w:rPr>
                <w:rFonts w:ascii="Times New Roman" w:eastAsia="Times New Roman"/>
                <w:sz w:val="21"/>
              </w:rPr>
              <w:t>/kg</w:t>
            </w:r>
          </w:p>
        </w:tc>
        <w:tc>
          <w:tcPr>
            <w:tcW w:w="1246" w:type="dxa"/>
          </w:tcPr>
          <w:p>
            <w:pPr>
              <w:pStyle w:val="TableParagraph"/>
              <w:spacing w:line="241" w:lineRule="exact" w:before="22"/>
              <w:ind w:left="168" w:right="171"/>
              <w:rPr>
                <w:rFonts w:ascii="Times New Roman"/>
                <w:sz w:val="21"/>
              </w:rPr>
            </w:pPr>
            <w:r>
              <w:rPr>
                <w:rFonts w:ascii="Times New Roman"/>
                <w:sz w:val="21"/>
              </w:rPr>
              <w:t>1042</w:t>
            </w:r>
          </w:p>
        </w:tc>
      </w:tr>
      <w:tr>
        <w:trPr>
          <w:trHeight w:val="547" w:hRule="atLeast"/>
        </w:trPr>
        <w:tc>
          <w:tcPr>
            <w:tcW w:w="1841" w:type="dxa"/>
          </w:tcPr>
          <w:p>
            <w:pPr>
              <w:pStyle w:val="TableParagraph"/>
              <w:spacing w:before="138"/>
              <w:ind w:left="164" w:right="155"/>
              <w:rPr>
                <w:rFonts w:ascii="Times New Roman" w:eastAsia="Times New Roman"/>
                <w:sz w:val="21"/>
              </w:rPr>
            </w:pPr>
            <w:r>
              <w:rPr>
                <w:sz w:val="21"/>
              </w:rPr>
              <w:t>泄漏高度</w:t>
            </w:r>
            <w:r>
              <w:rPr>
                <w:rFonts w:ascii="Times New Roman" w:eastAsia="Times New Roman"/>
                <w:sz w:val="21"/>
              </w:rPr>
              <w:t>/m</w:t>
            </w:r>
          </w:p>
        </w:tc>
        <w:tc>
          <w:tcPr>
            <w:tcW w:w="1509" w:type="dxa"/>
            <w:gridSpan w:val="2"/>
          </w:tcPr>
          <w:p>
            <w:pPr>
              <w:pStyle w:val="TableParagraph"/>
              <w:spacing w:before="152"/>
              <w:ind w:left="3"/>
              <w:rPr>
                <w:rFonts w:ascii="Times New Roman"/>
                <w:sz w:val="21"/>
              </w:rPr>
            </w:pPr>
            <w:r>
              <w:rPr>
                <w:rFonts w:ascii="Times New Roman"/>
                <w:w w:val="100"/>
                <w:sz w:val="21"/>
              </w:rPr>
              <w:t>5</w:t>
            </w:r>
          </w:p>
        </w:tc>
        <w:tc>
          <w:tcPr>
            <w:tcW w:w="1520" w:type="dxa"/>
          </w:tcPr>
          <w:p>
            <w:pPr>
              <w:pStyle w:val="TableParagraph"/>
              <w:spacing w:line="270" w:lineRule="atLeast" w:before="3"/>
              <w:ind w:left="516" w:right="119" w:hanging="392"/>
              <w:jc w:val="left"/>
              <w:rPr>
                <w:rFonts w:ascii="Times New Roman" w:eastAsia="Times New Roman"/>
                <w:sz w:val="21"/>
              </w:rPr>
            </w:pPr>
            <w:r>
              <w:rPr>
                <w:sz w:val="21"/>
              </w:rPr>
              <w:t>泄漏液体蒸发量</w:t>
            </w:r>
            <w:r>
              <w:rPr>
                <w:rFonts w:ascii="Times New Roman" w:eastAsia="Times New Roman"/>
                <w:sz w:val="21"/>
              </w:rPr>
              <w:t>/kg</w:t>
            </w:r>
          </w:p>
        </w:tc>
        <w:tc>
          <w:tcPr>
            <w:tcW w:w="1510" w:type="dxa"/>
            <w:gridSpan w:val="2"/>
          </w:tcPr>
          <w:p>
            <w:pPr>
              <w:pStyle w:val="TableParagraph"/>
              <w:spacing w:before="152"/>
              <w:ind w:left="491" w:right="488"/>
              <w:rPr>
                <w:rFonts w:ascii="Times New Roman"/>
                <w:sz w:val="21"/>
              </w:rPr>
            </w:pPr>
            <w:r>
              <w:rPr>
                <w:rFonts w:ascii="Times New Roman"/>
                <w:sz w:val="21"/>
              </w:rPr>
              <w:t>47.88</w:t>
            </w:r>
          </w:p>
        </w:tc>
        <w:tc>
          <w:tcPr>
            <w:tcW w:w="1514" w:type="dxa"/>
            <w:gridSpan w:val="2"/>
          </w:tcPr>
          <w:p>
            <w:pPr>
              <w:pStyle w:val="TableParagraph"/>
              <w:spacing w:before="138"/>
              <w:ind w:left="333"/>
              <w:jc w:val="left"/>
              <w:rPr>
                <w:sz w:val="21"/>
              </w:rPr>
            </w:pPr>
            <w:r>
              <w:rPr>
                <w:sz w:val="21"/>
              </w:rPr>
              <w:t>泄漏频率</w:t>
            </w:r>
          </w:p>
        </w:tc>
        <w:tc>
          <w:tcPr>
            <w:tcW w:w="1246" w:type="dxa"/>
          </w:tcPr>
          <w:p>
            <w:pPr>
              <w:pStyle w:val="TableParagraph"/>
              <w:spacing w:before="147"/>
              <w:ind w:left="168" w:right="171"/>
              <w:rPr>
                <w:rFonts w:ascii="Times New Roman" w:hAnsi="Times New Roman"/>
                <w:sz w:val="14"/>
              </w:rPr>
            </w:pPr>
            <w:r>
              <w:rPr>
                <w:rFonts w:ascii="Times New Roman" w:hAnsi="Times New Roman"/>
                <w:sz w:val="21"/>
              </w:rPr>
              <w:t>5×10 </w:t>
            </w:r>
            <w:r>
              <w:rPr>
                <w:rFonts w:ascii="Times New Roman" w:hAnsi="Times New Roman"/>
                <w:position w:val="7"/>
                <w:sz w:val="14"/>
              </w:rPr>
              <w:t>-6</w:t>
            </w:r>
          </w:p>
        </w:tc>
      </w:tr>
      <w:tr>
        <w:trPr>
          <w:trHeight w:val="282" w:hRule="atLeast"/>
        </w:trPr>
        <w:tc>
          <w:tcPr>
            <w:tcW w:w="9140" w:type="dxa"/>
            <w:gridSpan w:val="9"/>
          </w:tcPr>
          <w:p>
            <w:pPr>
              <w:pStyle w:val="TableParagraph"/>
              <w:spacing w:line="257" w:lineRule="exact" w:before="5"/>
              <w:ind w:left="3613" w:right="3613"/>
              <w:rPr>
                <w:sz w:val="21"/>
              </w:rPr>
            </w:pPr>
            <w:r>
              <w:rPr>
                <w:sz w:val="21"/>
              </w:rPr>
              <w:t>事故后果预测</w:t>
            </w:r>
          </w:p>
        </w:tc>
      </w:tr>
      <w:tr>
        <w:trPr>
          <w:trHeight w:val="285" w:hRule="atLeast"/>
        </w:trPr>
        <w:tc>
          <w:tcPr>
            <w:tcW w:w="1841" w:type="dxa"/>
            <w:vMerge w:val="restart"/>
          </w:tcPr>
          <w:p>
            <w:pPr>
              <w:pStyle w:val="TableParagraph"/>
              <w:jc w:val="left"/>
              <w:rPr>
                <w:b/>
                <w:sz w:val="20"/>
              </w:rPr>
            </w:pPr>
          </w:p>
          <w:p>
            <w:pPr>
              <w:pStyle w:val="TableParagraph"/>
              <w:spacing w:before="2"/>
              <w:jc w:val="left"/>
              <w:rPr>
                <w:b/>
                <w:sz w:val="25"/>
              </w:rPr>
            </w:pPr>
          </w:p>
          <w:p>
            <w:pPr>
              <w:pStyle w:val="TableParagraph"/>
              <w:spacing w:before="1"/>
              <w:ind w:left="166" w:right="155"/>
              <w:rPr>
                <w:sz w:val="21"/>
              </w:rPr>
            </w:pPr>
            <w:r>
              <w:rPr>
                <w:sz w:val="21"/>
              </w:rPr>
              <w:t>大气</w:t>
            </w:r>
          </w:p>
        </w:tc>
        <w:tc>
          <w:tcPr>
            <w:tcW w:w="1129" w:type="dxa"/>
          </w:tcPr>
          <w:p>
            <w:pPr>
              <w:pStyle w:val="TableParagraph"/>
              <w:spacing w:line="257" w:lineRule="exact" w:before="8"/>
              <w:ind w:left="141"/>
              <w:jc w:val="left"/>
              <w:rPr>
                <w:sz w:val="21"/>
              </w:rPr>
            </w:pPr>
            <w:r>
              <w:rPr>
                <w:sz w:val="21"/>
              </w:rPr>
              <w:t>危险物质</w:t>
            </w:r>
          </w:p>
        </w:tc>
        <w:tc>
          <w:tcPr>
            <w:tcW w:w="6170" w:type="dxa"/>
            <w:gridSpan w:val="7"/>
          </w:tcPr>
          <w:p>
            <w:pPr>
              <w:pStyle w:val="TableParagraph"/>
              <w:spacing w:line="257" w:lineRule="exact" w:before="8"/>
              <w:ind w:left="2430" w:right="2430"/>
              <w:rPr>
                <w:sz w:val="21"/>
              </w:rPr>
            </w:pPr>
            <w:r>
              <w:rPr>
                <w:sz w:val="21"/>
              </w:rPr>
              <w:t>大气环境影响</w:t>
            </w:r>
          </w:p>
        </w:tc>
      </w:tr>
      <w:tr>
        <w:trPr>
          <w:trHeight w:val="544" w:hRule="atLeast"/>
        </w:trPr>
        <w:tc>
          <w:tcPr>
            <w:tcW w:w="1841" w:type="dxa"/>
            <w:vMerge/>
            <w:tcBorders>
              <w:top w:val="nil"/>
            </w:tcBorders>
          </w:tcPr>
          <w:p>
            <w:pPr>
              <w:rPr>
                <w:sz w:val="2"/>
                <w:szCs w:val="2"/>
              </w:rPr>
            </w:pPr>
          </w:p>
        </w:tc>
        <w:tc>
          <w:tcPr>
            <w:tcW w:w="1129" w:type="dxa"/>
            <w:vMerge w:val="restart"/>
          </w:tcPr>
          <w:p>
            <w:pPr>
              <w:pStyle w:val="TableParagraph"/>
              <w:spacing w:before="173"/>
              <w:ind w:left="32" w:right="27"/>
              <w:rPr>
                <w:rFonts w:ascii="Times New Roman"/>
                <w:sz w:val="21"/>
              </w:rPr>
            </w:pPr>
            <w:r>
              <w:rPr>
                <w:rFonts w:ascii="Times New Roman"/>
                <w:sz w:val="21"/>
              </w:rPr>
              <w:t>CO</w:t>
            </w:r>
          </w:p>
          <w:p>
            <w:pPr>
              <w:pStyle w:val="TableParagraph"/>
              <w:spacing w:line="242" w:lineRule="auto" w:before="1"/>
              <w:ind w:left="35" w:right="27"/>
              <w:rPr>
                <w:sz w:val="21"/>
              </w:rPr>
            </w:pPr>
            <w:r>
              <w:rPr>
                <w:sz w:val="21"/>
              </w:rPr>
              <w:t>（最不利气象条件）</w:t>
            </w:r>
          </w:p>
        </w:tc>
        <w:tc>
          <w:tcPr>
            <w:tcW w:w="2129" w:type="dxa"/>
            <w:gridSpan w:val="3"/>
          </w:tcPr>
          <w:p>
            <w:pPr>
              <w:pStyle w:val="TableParagraph"/>
              <w:spacing w:before="137"/>
              <w:ind w:left="93" w:right="88"/>
              <w:rPr>
                <w:sz w:val="21"/>
              </w:rPr>
            </w:pPr>
            <w:r>
              <w:rPr>
                <w:sz w:val="21"/>
              </w:rPr>
              <w:t>指标</w:t>
            </w:r>
          </w:p>
        </w:tc>
        <w:tc>
          <w:tcPr>
            <w:tcW w:w="1566" w:type="dxa"/>
            <w:gridSpan w:val="2"/>
          </w:tcPr>
          <w:p>
            <w:pPr>
              <w:pStyle w:val="TableParagraph"/>
              <w:spacing w:before="137"/>
              <w:ind w:left="82"/>
              <w:jc w:val="left"/>
              <w:rPr>
                <w:rFonts w:ascii="Times New Roman" w:eastAsia="Times New Roman"/>
                <w:sz w:val="21"/>
              </w:rPr>
            </w:pPr>
            <w:r>
              <w:rPr>
                <w:sz w:val="21"/>
              </w:rPr>
              <w:t>浓度值</w:t>
            </w:r>
            <w:r>
              <w:rPr>
                <w:rFonts w:ascii="Times New Roman" w:eastAsia="Times New Roman"/>
                <w:sz w:val="21"/>
              </w:rPr>
              <w:t>/(mg/m</w:t>
            </w:r>
            <w:r>
              <w:rPr>
                <w:rFonts w:ascii="Times New Roman" w:eastAsia="Times New Roman"/>
                <w:position w:val="7"/>
                <w:sz w:val="14"/>
              </w:rPr>
              <w:t>3</w:t>
            </w:r>
            <w:r>
              <w:rPr>
                <w:rFonts w:ascii="Times New Roman" w:eastAsia="Times New Roman"/>
                <w:sz w:val="21"/>
              </w:rPr>
              <w:t>)</w:t>
            </w:r>
          </w:p>
        </w:tc>
        <w:tc>
          <w:tcPr>
            <w:tcW w:w="1229" w:type="dxa"/>
          </w:tcPr>
          <w:p>
            <w:pPr>
              <w:pStyle w:val="TableParagraph"/>
              <w:spacing w:before="1"/>
              <w:ind w:left="58" w:right="71"/>
              <w:rPr>
                <w:sz w:val="21"/>
              </w:rPr>
            </w:pPr>
            <w:r>
              <w:rPr>
                <w:sz w:val="21"/>
              </w:rPr>
              <w:t>最远影响距</w:t>
            </w:r>
          </w:p>
          <w:p>
            <w:pPr>
              <w:pStyle w:val="TableParagraph"/>
              <w:spacing w:line="252" w:lineRule="exact" w:before="2"/>
              <w:ind w:left="54" w:right="71"/>
              <w:rPr>
                <w:rFonts w:ascii="Times New Roman" w:eastAsia="Times New Roman"/>
                <w:sz w:val="21"/>
              </w:rPr>
            </w:pPr>
            <w:r>
              <w:rPr>
                <w:sz w:val="21"/>
              </w:rPr>
              <w:t>离</w:t>
            </w:r>
            <w:r>
              <w:rPr>
                <w:rFonts w:ascii="Times New Roman" w:eastAsia="Times New Roman"/>
                <w:sz w:val="21"/>
              </w:rPr>
              <w:t>/m</w:t>
            </w:r>
          </w:p>
        </w:tc>
        <w:tc>
          <w:tcPr>
            <w:tcW w:w="1246" w:type="dxa"/>
          </w:tcPr>
          <w:p>
            <w:pPr>
              <w:pStyle w:val="TableParagraph"/>
              <w:spacing w:before="15"/>
              <w:ind w:left="153" w:right="173"/>
              <w:rPr>
                <w:sz w:val="21"/>
              </w:rPr>
            </w:pPr>
            <w:r>
              <w:rPr>
                <w:sz w:val="21"/>
              </w:rPr>
              <w:t>到达时间</w:t>
            </w:r>
          </w:p>
          <w:p>
            <w:pPr>
              <w:pStyle w:val="TableParagraph"/>
              <w:spacing w:line="238" w:lineRule="exact" w:before="2"/>
              <w:ind w:left="150" w:right="173"/>
              <w:rPr>
                <w:rFonts w:ascii="Times New Roman"/>
                <w:sz w:val="21"/>
              </w:rPr>
            </w:pPr>
            <w:r>
              <w:rPr>
                <w:rFonts w:ascii="Times New Roman"/>
                <w:sz w:val="21"/>
              </w:rPr>
              <w:t>/min</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9" w:type="dxa"/>
            <w:gridSpan w:val="3"/>
          </w:tcPr>
          <w:p>
            <w:pPr>
              <w:pStyle w:val="TableParagraph"/>
              <w:spacing w:line="257" w:lineRule="exact" w:before="5"/>
              <w:ind w:left="133"/>
              <w:jc w:val="left"/>
              <w:rPr>
                <w:rFonts w:ascii="Times New Roman" w:eastAsia="Times New Roman"/>
                <w:sz w:val="21"/>
              </w:rPr>
            </w:pPr>
            <w:r>
              <w:rPr>
                <w:sz w:val="21"/>
              </w:rPr>
              <w:t>大气毒性终点浓度</w:t>
            </w:r>
            <w:r>
              <w:rPr>
                <w:rFonts w:ascii="Times New Roman" w:eastAsia="Times New Roman"/>
                <w:sz w:val="21"/>
              </w:rPr>
              <w:t>-1</w:t>
            </w:r>
          </w:p>
        </w:tc>
        <w:tc>
          <w:tcPr>
            <w:tcW w:w="1566" w:type="dxa"/>
            <w:gridSpan w:val="2"/>
          </w:tcPr>
          <w:p>
            <w:pPr>
              <w:pStyle w:val="TableParagraph"/>
              <w:spacing w:before="19"/>
              <w:ind w:left="600" w:right="600"/>
              <w:rPr>
                <w:rFonts w:ascii="Times New Roman"/>
                <w:sz w:val="21"/>
              </w:rPr>
            </w:pPr>
            <w:r>
              <w:rPr>
                <w:rFonts w:ascii="Times New Roman"/>
                <w:sz w:val="21"/>
              </w:rPr>
              <w:t>380</w:t>
            </w:r>
          </w:p>
        </w:tc>
        <w:tc>
          <w:tcPr>
            <w:tcW w:w="1229" w:type="dxa"/>
          </w:tcPr>
          <w:p>
            <w:pPr>
              <w:pStyle w:val="TableParagraph"/>
              <w:spacing w:before="19"/>
              <w:ind w:left="444"/>
              <w:jc w:val="left"/>
              <w:rPr>
                <w:rFonts w:ascii="Times New Roman"/>
                <w:sz w:val="21"/>
              </w:rPr>
            </w:pPr>
            <w:r>
              <w:rPr>
                <w:rFonts w:ascii="Times New Roman"/>
                <w:sz w:val="21"/>
              </w:rPr>
              <w:t>660</w:t>
            </w:r>
          </w:p>
        </w:tc>
        <w:tc>
          <w:tcPr>
            <w:tcW w:w="1246" w:type="dxa"/>
          </w:tcPr>
          <w:p>
            <w:pPr>
              <w:pStyle w:val="TableParagraph"/>
              <w:spacing w:before="19"/>
              <w:ind w:left="156" w:right="173"/>
              <w:rPr>
                <w:rFonts w:ascii="Times New Roman"/>
                <w:sz w:val="21"/>
              </w:rPr>
            </w:pPr>
            <w:r>
              <w:rPr>
                <w:rFonts w:ascii="Times New Roman"/>
                <w:sz w:val="21"/>
              </w:rPr>
              <w:t>7.33</w:t>
            </w:r>
          </w:p>
        </w:tc>
      </w:tr>
      <w:tr>
        <w:trPr>
          <w:trHeight w:val="285"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9" w:type="dxa"/>
            <w:gridSpan w:val="3"/>
          </w:tcPr>
          <w:p>
            <w:pPr>
              <w:pStyle w:val="TableParagraph"/>
              <w:spacing w:line="257" w:lineRule="exact" w:before="8"/>
              <w:ind w:left="133"/>
              <w:jc w:val="left"/>
              <w:rPr>
                <w:rFonts w:ascii="Times New Roman" w:eastAsia="Times New Roman"/>
                <w:sz w:val="21"/>
              </w:rPr>
            </w:pPr>
            <w:r>
              <w:rPr>
                <w:sz w:val="21"/>
              </w:rPr>
              <w:t>大气毒性终点浓度</w:t>
            </w:r>
            <w:r>
              <w:rPr>
                <w:rFonts w:ascii="Times New Roman" w:eastAsia="Times New Roman"/>
                <w:sz w:val="21"/>
              </w:rPr>
              <w:t>-2</w:t>
            </w:r>
          </w:p>
        </w:tc>
        <w:tc>
          <w:tcPr>
            <w:tcW w:w="1566" w:type="dxa"/>
            <w:gridSpan w:val="2"/>
          </w:tcPr>
          <w:p>
            <w:pPr>
              <w:pStyle w:val="TableParagraph"/>
              <w:spacing w:before="22"/>
              <w:ind w:left="600" w:right="600"/>
              <w:rPr>
                <w:rFonts w:ascii="Times New Roman"/>
                <w:sz w:val="21"/>
              </w:rPr>
            </w:pPr>
            <w:r>
              <w:rPr>
                <w:rFonts w:ascii="Times New Roman"/>
                <w:sz w:val="21"/>
              </w:rPr>
              <w:t>95</w:t>
            </w:r>
          </w:p>
        </w:tc>
        <w:tc>
          <w:tcPr>
            <w:tcW w:w="1229" w:type="dxa"/>
          </w:tcPr>
          <w:p>
            <w:pPr>
              <w:pStyle w:val="TableParagraph"/>
              <w:spacing w:before="22"/>
              <w:ind w:left="391"/>
              <w:jc w:val="left"/>
              <w:rPr>
                <w:rFonts w:ascii="Times New Roman"/>
                <w:sz w:val="21"/>
              </w:rPr>
            </w:pPr>
            <w:r>
              <w:rPr>
                <w:rFonts w:ascii="Times New Roman"/>
                <w:sz w:val="21"/>
              </w:rPr>
              <w:t>1610</w:t>
            </w:r>
          </w:p>
        </w:tc>
        <w:tc>
          <w:tcPr>
            <w:tcW w:w="1246" w:type="dxa"/>
          </w:tcPr>
          <w:p>
            <w:pPr>
              <w:pStyle w:val="TableParagraph"/>
              <w:spacing w:before="22"/>
              <w:ind w:left="156" w:right="173"/>
              <w:rPr>
                <w:rFonts w:ascii="Times New Roman"/>
                <w:sz w:val="21"/>
              </w:rPr>
            </w:pPr>
            <w:r>
              <w:rPr>
                <w:rFonts w:ascii="Times New Roman"/>
                <w:sz w:val="21"/>
              </w:rPr>
              <w:t>17.89</w:t>
            </w:r>
          </w:p>
        </w:tc>
      </w:tr>
    </w:tbl>
    <w:p>
      <w:pPr>
        <w:spacing w:after="0"/>
        <w:rPr>
          <w:rFonts w:ascii="Times New Roman"/>
          <w:sz w:val="21"/>
        </w:rPr>
        <w:sectPr>
          <w:pgSz w:w="11910" w:h="16840"/>
          <w:pgMar w:header="872" w:footer="945" w:top="1320" w:bottom="1140" w:left="1200" w:right="118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5"/>
        </w:rPr>
      </w:pPr>
    </w:p>
    <w:p>
      <w:pPr>
        <w:spacing w:before="72"/>
        <w:ind w:left="0" w:right="124" w:firstLine="0"/>
        <w:jc w:val="right"/>
        <w:rPr>
          <w:sz w:val="21"/>
        </w:rPr>
      </w:pPr>
      <w:r>
        <w:rPr/>
        <w:pict>
          <v:shape style="position:absolute;margin-left:69.264pt;margin-top:-338.75pt;width:457.2pt;height:370.05pt;mso-position-horizontal-relative:page;mso-position-vertical-relative:paragraph;z-index:2519398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1"/>
                    <w:gridCol w:w="1129"/>
                    <w:gridCol w:w="2127"/>
                    <w:gridCol w:w="714"/>
                    <w:gridCol w:w="850"/>
                    <w:gridCol w:w="1217"/>
                    <w:gridCol w:w="1254"/>
                  </w:tblGrid>
                  <w:tr>
                    <w:trPr>
                      <w:trHeight w:val="544" w:hRule="atLeast"/>
                    </w:trPr>
                    <w:tc>
                      <w:tcPr>
                        <w:tcW w:w="1841" w:type="dxa"/>
                        <w:vMerge w:val="restart"/>
                      </w:tcPr>
                      <w:p>
                        <w:pPr>
                          <w:pStyle w:val="TableParagraph"/>
                          <w:jc w:val="left"/>
                          <w:rPr>
                            <w:rFonts w:ascii="Times New Roman"/>
                            <w:sz w:val="22"/>
                          </w:rPr>
                        </w:pPr>
                      </w:p>
                    </w:tc>
                    <w:tc>
                      <w:tcPr>
                        <w:tcW w:w="1129" w:type="dxa"/>
                        <w:vMerge w:val="restart"/>
                      </w:tcPr>
                      <w:p>
                        <w:pPr>
                          <w:pStyle w:val="TableParagraph"/>
                          <w:jc w:val="left"/>
                          <w:rPr>
                            <w:rFonts w:ascii="Times New Roman"/>
                            <w:sz w:val="22"/>
                          </w:rPr>
                        </w:pPr>
                      </w:p>
                    </w:tc>
                    <w:tc>
                      <w:tcPr>
                        <w:tcW w:w="2127" w:type="dxa"/>
                      </w:tcPr>
                      <w:p>
                        <w:pPr>
                          <w:pStyle w:val="TableParagraph"/>
                          <w:spacing w:before="138"/>
                          <w:ind w:left="114" w:right="107"/>
                          <w:rPr>
                            <w:sz w:val="21"/>
                          </w:rPr>
                        </w:pPr>
                        <w:r>
                          <w:rPr>
                            <w:sz w:val="21"/>
                          </w:rPr>
                          <w:t>敏感目标名称</w:t>
                        </w:r>
                      </w:p>
                    </w:tc>
                    <w:tc>
                      <w:tcPr>
                        <w:tcW w:w="1564" w:type="dxa"/>
                        <w:gridSpan w:val="2"/>
                      </w:tcPr>
                      <w:p>
                        <w:pPr>
                          <w:pStyle w:val="TableParagraph"/>
                          <w:spacing w:before="138"/>
                          <w:ind w:left="166"/>
                          <w:jc w:val="left"/>
                          <w:rPr>
                            <w:rFonts w:ascii="Times New Roman" w:eastAsia="Times New Roman"/>
                            <w:sz w:val="21"/>
                          </w:rPr>
                        </w:pPr>
                        <w:r>
                          <w:rPr>
                            <w:sz w:val="21"/>
                          </w:rPr>
                          <w:t>超标时间</w:t>
                        </w:r>
                        <w:r>
                          <w:rPr>
                            <w:rFonts w:ascii="Times New Roman" w:eastAsia="Times New Roman"/>
                            <w:sz w:val="21"/>
                          </w:rPr>
                          <w:t>/min</w:t>
                        </w:r>
                      </w:p>
                    </w:tc>
                    <w:tc>
                      <w:tcPr>
                        <w:tcW w:w="1217" w:type="dxa"/>
                      </w:tcPr>
                      <w:p>
                        <w:pPr>
                          <w:pStyle w:val="TableParagraph"/>
                          <w:spacing w:before="1"/>
                          <w:ind w:left="58" w:right="54"/>
                          <w:rPr>
                            <w:sz w:val="21"/>
                          </w:rPr>
                        </w:pPr>
                        <w:r>
                          <w:rPr>
                            <w:sz w:val="21"/>
                          </w:rPr>
                          <w:t>超标持续时</w:t>
                        </w:r>
                      </w:p>
                      <w:p>
                        <w:pPr>
                          <w:pStyle w:val="TableParagraph"/>
                          <w:spacing w:line="252" w:lineRule="exact" w:before="2"/>
                          <w:ind w:left="54" w:right="54"/>
                          <w:rPr>
                            <w:rFonts w:ascii="Times New Roman" w:eastAsia="Times New Roman"/>
                            <w:sz w:val="21"/>
                          </w:rPr>
                        </w:pPr>
                        <w:r>
                          <w:rPr>
                            <w:sz w:val="21"/>
                          </w:rPr>
                          <w:t>间</w:t>
                        </w:r>
                        <w:r>
                          <w:rPr>
                            <w:rFonts w:ascii="Times New Roman" w:eastAsia="Times New Roman"/>
                            <w:sz w:val="21"/>
                          </w:rPr>
                          <w:t>/min</w:t>
                        </w:r>
                      </w:p>
                    </w:tc>
                    <w:tc>
                      <w:tcPr>
                        <w:tcW w:w="1254" w:type="dxa"/>
                      </w:tcPr>
                      <w:p>
                        <w:pPr>
                          <w:pStyle w:val="TableParagraph"/>
                          <w:spacing w:before="15"/>
                          <w:ind w:left="201"/>
                          <w:jc w:val="left"/>
                          <w:rPr>
                            <w:sz w:val="21"/>
                          </w:rPr>
                        </w:pPr>
                        <w:r>
                          <w:rPr>
                            <w:sz w:val="21"/>
                          </w:rPr>
                          <w:t>最大浓度</w:t>
                        </w:r>
                      </w:p>
                      <w:p>
                        <w:pPr>
                          <w:pStyle w:val="TableParagraph"/>
                          <w:spacing w:line="240" w:lineRule="exact"/>
                          <w:ind w:left="242"/>
                          <w:jc w:val="left"/>
                          <w:rPr>
                            <w:rFonts w:ascii="Times New Roman"/>
                            <w:sz w:val="21"/>
                          </w:rPr>
                        </w:pPr>
                        <w:r>
                          <w:rPr>
                            <w:rFonts w:ascii="Times New Roman"/>
                            <w:sz w:val="21"/>
                          </w:rPr>
                          <w:t>/(mg/m</w:t>
                        </w:r>
                        <w:r>
                          <w:rPr>
                            <w:rFonts w:ascii="Times New Roman"/>
                            <w:position w:val="7"/>
                            <w:sz w:val="14"/>
                          </w:rPr>
                          <w:t>3</w:t>
                        </w:r>
                        <w:r>
                          <w:rPr>
                            <w:rFonts w:ascii="Times New Roman"/>
                            <w:sz w:val="21"/>
                          </w:rPr>
                          <w:t>)</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line="241" w:lineRule="exact" w:before="22"/>
                          <w:ind w:left="8"/>
                          <w:rPr>
                            <w:rFonts w:ascii="Times New Roman"/>
                            <w:sz w:val="21"/>
                          </w:rPr>
                        </w:pPr>
                        <w:r>
                          <w:rPr>
                            <w:rFonts w:ascii="Times New Roman"/>
                            <w:w w:val="100"/>
                            <w:sz w:val="21"/>
                          </w:rPr>
                          <w:t>/</w:t>
                        </w:r>
                      </w:p>
                    </w:tc>
                    <w:tc>
                      <w:tcPr>
                        <w:tcW w:w="1564" w:type="dxa"/>
                        <w:gridSpan w:val="2"/>
                        <w:tcBorders>
                          <w:right w:val="single" w:sz="2" w:space="0" w:color="000000"/>
                        </w:tcBorders>
                      </w:tcPr>
                      <w:p>
                        <w:pPr>
                          <w:pStyle w:val="TableParagraph"/>
                          <w:spacing w:line="241" w:lineRule="exact" w:before="22"/>
                          <w:ind w:left="2"/>
                          <w:rPr>
                            <w:rFonts w:ascii="Times New Roman"/>
                            <w:sz w:val="21"/>
                          </w:rPr>
                        </w:pPr>
                        <w:r>
                          <w:rPr>
                            <w:rFonts w:ascii="Times New Roman"/>
                            <w:w w:val="100"/>
                            <w:sz w:val="21"/>
                          </w:rPr>
                          <w:t>/</w:t>
                        </w:r>
                      </w:p>
                    </w:tc>
                    <w:tc>
                      <w:tcPr>
                        <w:tcW w:w="1217" w:type="dxa"/>
                        <w:tcBorders>
                          <w:left w:val="single" w:sz="2" w:space="0" w:color="000000"/>
                        </w:tcBorders>
                      </w:tcPr>
                      <w:p>
                        <w:pPr>
                          <w:pStyle w:val="TableParagraph"/>
                          <w:spacing w:line="241" w:lineRule="exact" w:before="22"/>
                          <w:ind w:left="5"/>
                          <w:rPr>
                            <w:rFonts w:ascii="Times New Roman"/>
                            <w:sz w:val="21"/>
                          </w:rPr>
                        </w:pPr>
                        <w:r>
                          <w:rPr>
                            <w:rFonts w:ascii="Times New Roman"/>
                            <w:w w:val="100"/>
                            <w:sz w:val="21"/>
                          </w:rPr>
                          <w:t>/</w:t>
                        </w:r>
                      </w:p>
                    </w:tc>
                    <w:tc>
                      <w:tcPr>
                        <w:tcW w:w="1254" w:type="dxa"/>
                      </w:tcPr>
                      <w:p>
                        <w:pPr>
                          <w:pStyle w:val="TableParagraph"/>
                          <w:spacing w:line="241" w:lineRule="exact" w:before="22"/>
                          <w:rPr>
                            <w:rFonts w:ascii="Times New Roman"/>
                            <w:sz w:val="21"/>
                          </w:rPr>
                        </w:pPr>
                        <w:r>
                          <w:rPr>
                            <w:rFonts w:ascii="Times New Roman"/>
                            <w:w w:val="100"/>
                            <w:sz w:val="21"/>
                          </w:rPr>
                          <w:t>/</w:t>
                        </w:r>
                      </w:p>
                    </w:tc>
                  </w:tr>
                  <w:tr>
                    <w:trPr>
                      <w:trHeight w:val="546" w:hRule="atLeast"/>
                    </w:trPr>
                    <w:tc>
                      <w:tcPr>
                        <w:tcW w:w="1841" w:type="dxa"/>
                        <w:vMerge/>
                        <w:tcBorders>
                          <w:top w:val="nil"/>
                        </w:tcBorders>
                      </w:tcPr>
                      <w:p>
                        <w:pPr>
                          <w:rPr>
                            <w:sz w:val="2"/>
                            <w:szCs w:val="2"/>
                          </w:rPr>
                        </w:pPr>
                      </w:p>
                    </w:tc>
                    <w:tc>
                      <w:tcPr>
                        <w:tcW w:w="1129" w:type="dxa"/>
                        <w:vMerge w:val="restart"/>
                      </w:tcPr>
                      <w:p>
                        <w:pPr>
                          <w:pStyle w:val="TableParagraph"/>
                          <w:jc w:val="left"/>
                          <w:rPr>
                            <w:sz w:val="20"/>
                          </w:rPr>
                        </w:pPr>
                      </w:p>
                      <w:p>
                        <w:pPr>
                          <w:pStyle w:val="TableParagraph"/>
                          <w:spacing w:before="7"/>
                          <w:jc w:val="left"/>
                          <w:rPr>
                            <w:sz w:val="25"/>
                          </w:rPr>
                        </w:pPr>
                      </w:p>
                      <w:p>
                        <w:pPr>
                          <w:pStyle w:val="TableParagraph"/>
                          <w:spacing w:line="242" w:lineRule="auto"/>
                          <w:ind w:left="35" w:right="27"/>
                          <w:rPr>
                            <w:sz w:val="21"/>
                          </w:rPr>
                        </w:pPr>
                        <w:r>
                          <w:rPr>
                            <w:sz w:val="21"/>
                          </w:rPr>
                          <w:t>甲酸</w:t>
                        </w:r>
                        <w:r>
                          <w:rPr>
                            <w:spacing w:val="-3"/>
                            <w:sz w:val="21"/>
                          </w:rPr>
                          <w:t>（</w:t>
                        </w:r>
                        <w:r>
                          <w:rPr>
                            <w:spacing w:val="-8"/>
                            <w:sz w:val="21"/>
                          </w:rPr>
                          <w:t>最不</w:t>
                        </w:r>
                        <w:r>
                          <w:rPr>
                            <w:spacing w:val="-1"/>
                            <w:sz w:val="21"/>
                          </w:rPr>
                          <w:t>利气象条 件）</w:t>
                        </w:r>
                      </w:p>
                    </w:tc>
                    <w:tc>
                      <w:tcPr>
                        <w:tcW w:w="2127" w:type="dxa"/>
                      </w:tcPr>
                      <w:p>
                        <w:pPr>
                          <w:pStyle w:val="TableParagraph"/>
                          <w:spacing w:before="138"/>
                          <w:ind w:left="114" w:right="107"/>
                          <w:rPr>
                            <w:sz w:val="21"/>
                          </w:rPr>
                        </w:pPr>
                        <w:r>
                          <w:rPr>
                            <w:sz w:val="21"/>
                          </w:rPr>
                          <w:t>指标</w:t>
                        </w:r>
                      </w:p>
                    </w:tc>
                    <w:tc>
                      <w:tcPr>
                        <w:tcW w:w="1564" w:type="dxa"/>
                        <w:gridSpan w:val="2"/>
                        <w:tcBorders>
                          <w:right w:val="single" w:sz="2" w:space="0" w:color="000000"/>
                        </w:tcBorders>
                      </w:tcPr>
                      <w:p>
                        <w:pPr>
                          <w:pStyle w:val="TableParagraph"/>
                          <w:spacing w:before="138"/>
                          <w:ind w:left="84"/>
                          <w:jc w:val="left"/>
                          <w:rPr>
                            <w:rFonts w:ascii="Times New Roman" w:eastAsia="Times New Roman"/>
                            <w:sz w:val="21"/>
                          </w:rPr>
                        </w:pPr>
                        <w:r>
                          <w:rPr>
                            <w:sz w:val="21"/>
                          </w:rPr>
                          <w:t>浓度值</w:t>
                        </w:r>
                        <w:r>
                          <w:rPr>
                            <w:rFonts w:ascii="Times New Roman" w:eastAsia="Times New Roman"/>
                            <w:sz w:val="21"/>
                          </w:rPr>
                          <w:t>/(mg/m</w:t>
                        </w:r>
                        <w:r>
                          <w:rPr>
                            <w:rFonts w:ascii="Times New Roman" w:eastAsia="Times New Roman"/>
                            <w:position w:val="7"/>
                            <w:sz w:val="14"/>
                          </w:rPr>
                          <w:t>3</w:t>
                        </w:r>
                        <w:r>
                          <w:rPr>
                            <w:rFonts w:ascii="Times New Roman" w:eastAsia="Times New Roman"/>
                            <w:sz w:val="21"/>
                          </w:rPr>
                          <w:t>)</w:t>
                        </w:r>
                      </w:p>
                    </w:tc>
                    <w:tc>
                      <w:tcPr>
                        <w:tcW w:w="1217" w:type="dxa"/>
                        <w:tcBorders>
                          <w:left w:val="single" w:sz="2" w:space="0" w:color="000000"/>
                        </w:tcBorders>
                      </w:tcPr>
                      <w:p>
                        <w:pPr>
                          <w:pStyle w:val="TableParagraph"/>
                          <w:spacing w:line="270" w:lineRule="atLeast" w:before="2"/>
                          <w:ind w:left="391" w:right="72" w:hanging="310"/>
                          <w:jc w:val="left"/>
                          <w:rPr>
                            <w:rFonts w:ascii="Times New Roman" w:eastAsia="Times New Roman"/>
                            <w:sz w:val="21"/>
                          </w:rPr>
                        </w:pPr>
                        <w:r>
                          <w:rPr>
                            <w:sz w:val="21"/>
                          </w:rPr>
                          <w:t>最远影响距离</w:t>
                        </w:r>
                        <w:r>
                          <w:rPr>
                            <w:rFonts w:ascii="Times New Roman" w:eastAsia="Times New Roman"/>
                            <w:sz w:val="21"/>
                          </w:rPr>
                          <w:t>/m</w:t>
                        </w:r>
                      </w:p>
                    </w:tc>
                    <w:tc>
                      <w:tcPr>
                        <w:tcW w:w="1254" w:type="dxa"/>
                      </w:tcPr>
                      <w:p>
                        <w:pPr>
                          <w:pStyle w:val="TableParagraph"/>
                          <w:spacing w:before="18"/>
                          <w:ind w:left="182" w:right="181"/>
                          <w:rPr>
                            <w:sz w:val="21"/>
                          </w:rPr>
                        </w:pPr>
                        <w:r>
                          <w:rPr>
                            <w:sz w:val="21"/>
                          </w:rPr>
                          <w:t>到达时间</w:t>
                        </w:r>
                      </w:p>
                      <w:p>
                        <w:pPr>
                          <w:pStyle w:val="TableParagraph"/>
                          <w:spacing w:line="238" w:lineRule="exact" w:before="1"/>
                          <w:ind w:left="180" w:right="181"/>
                          <w:rPr>
                            <w:rFonts w:ascii="Times New Roman"/>
                            <w:sz w:val="21"/>
                          </w:rPr>
                        </w:pPr>
                        <w:r>
                          <w:rPr>
                            <w:rFonts w:ascii="Times New Roman"/>
                            <w:sz w:val="21"/>
                          </w:rPr>
                          <w:t>/min</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line="257" w:lineRule="exact" w:before="6"/>
                          <w:ind w:left="114" w:right="107"/>
                          <w:rPr>
                            <w:rFonts w:ascii="Times New Roman" w:eastAsia="Times New Roman"/>
                            <w:sz w:val="21"/>
                          </w:rPr>
                        </w:pPr>
                        <w:r>
                          <w:rPr>
                            <w:sz w:val="21"/>
                          </w:rPr>
                          <w:t>大气毒性终点浓度</w:t>
                        </w:r>
                        <w:r>
                          <w:rPr>
                            <w:rFonts w:ascii="Times New Roman" w:eastAsia="Times New Roman"/>
                            <w:sz w:val="21"/>
                          </w:rPr>
                          <w:t>-1</w:t>
                        </w:r>
                      </w:p>
                    </w:tc>
                    <w:tc>
                      <w:tcPr>
                        <w:tcW w:w="1564" w:type="dxa"/>
                        <w:gridSpan w:val="2"/>
                        <w:tcBorders>
                          <w:right w:val="single" w:sz="2" w:space="0" w:color="000000"/>
                        </w:tcBorders>
                      </w:tcPr>
                      <w:p>
                        <w:pPr>
                          <w:pStyle w:val="TableParagraph"/>
                          <w:spacing w:before="17"/>
                          <w:ind w:left="601" w:right="600"/>
                          <w:rPr>
                            <w:rFonts w:ascii="Times New Roman"/>
                            <w:sz w:val="21"/>
                          </w:rPr>
                        </w:pPr>
                        <w:r>
                          <w:rPr>
                            <w:rFonts w:ascii="Times New Roman"/>
                            <w:sz w:val="21"/>
                          </w:rPr>
                          <w:t>470</w:t>
                        </w:r>
                      </w:p>
                    </w:tc>
                    <w:tc>
                      <w:tcPr>
                        <w:tcW w:w="1217" w:type="dxa"/>
                        <w:tcBorders>
                          <w:left w:val="single" w:sz="2" w:space="0" w:color="000000"/>
                        </w:tcBorders>
                      </w:tcPr>
                      <w:p>
                        <w:pPr>
                          <w:pStyle w:val="TableParagraph"/>
                          <w:spacing w:before="17"/>
                          <w:ind w:left="60" w:right="56"/>
                          <w:rPr>
                            <w:rFonts w:ascii="Times New Roman"/>
                            <w:sz w:val="21"/>
                          </w:rPr>
                        </w:pPr>
                        <w:r>
                          <w:rPr>
                            <w:rFonts w:ascii="Times New Roman"/>
                            <w:sz w:val="21"/>
                          </w:rPr>
                          <w:t>30</w:t>
                        </w:r>
                      </w:p>
                    </w:tc>
                    <w:tc>
                      <w:tcPr>
                        <w:tcW w:w="1254" w:type="dxa"/>
                      </w:tcPr>
                      <w:p>
                        <w:pPr>
                          <w:pStyle w:val="TableParagraph"/>
                          <w:spacing w:line="237" w:lineRule="exact"/>
                          <w:ind w:left="182" w:right="178"/>
                          <w:rPr>
                            <w:rFonts w:ascii="Times New Roman"/>
                            <w:sz w:val="21"/>
                          </w:rPr>
                        </w:pPr>
                        <w:r>
                          <w:rPr>
                            <w:rFonts w:ascii="Times New Roman"/>
                            <w:sz w:val="21"/>
                          </w:rPr>
                          <w:t>0.33</w:t>
                        </w:r>
                      </w:p>
                    </w:tc>
                  </w:tr>
                  <w:tr>
                    <w:trPr>
                      <w:trHeight w:val="285"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line="257" w:lineRule="exact" w:before="8"/>
                          <w:ind w:left="114" w:right="107"/>
                          <w:rPr>
                            <w:rFonts w:ascii="Times New Roman" w:eastAsia="Times New Roman"/>
                            <w:sz w:val="21"/>
                          </w:rPr>
                        </w:pPr>
                        <w:r>
                          <w:rPr>
                            <w:sz w:val="21"/>
                          </w:rPr>
                          <w:t>大气毒性终点浓度</w:t>
                        </w:r>
                        <w:r>
                          <w:rPr>
                            <w:rFonts w:ascii="Times New Roman" w:eastAsia="Times New Roman"/>
                            <w:sz w:val="21"/>
                          </w:rPr>
                          <w:t>-2</w:t>
                        </w:r>
                      </w:p>
                    </w:tc>
                    <w:tc>
                      <w:tcPr>
                        <w:tcW w:w="1564" w:type="dxa"/>
                        <w:gridSpan w:val="2"/>
                        <w:tcBorders>
                          <w:right w:val="single" w:sz="2" w:space="0" w:color="000000"/>
                        </w:tcBorders>
                      </w:tcPr>
                      <w:p>
                        <w:pPr>
                          <w:pStyle w:val="TableParagraph"/>
                          <w:spacing w:before="17"/>
                          <w:ind w:left="601" w:right="600"/>
                          <w:rPr>
                            <w:rFonts w:ascii="Times New Roman"/>
                            <w:sz w:val="21"/>
                          </w:rPr>
                        </w:pPr>
                        <w:r>
                          <w:rPr>
                            <w:rFonts w:ascii="Times New Roman"/>
                            <w:sz w:val="21"/>
                          </w:rPr>
                          <w:t>47</w:t>
                        </w:r>
                      </w:p>
                    </w:tc>
                    <w:tc>
                      <w:tcPr>
                        <w:tcW w:w="1217" w:type="dxa"/>
                        <w:tcBorders>
                          <w:left w:val="single" w:sz="2" w:space="0" w:color="000000"/>
                        </w:tcBorders>
                      </w:tcPr>
                      <w:p>
                        <w:pPr>
                          <w:pStyle w:val="TableParagraph"/>
                          <w:spacing w:before="17"/>
                          <w:ind w:left="63" w:right="54"/>
                          <w:rPr>
                            <w:rFonts w:ascii="Times New Roman"/>
                            <w:sz w:val="21"/>
                          </w:rPr>
                        </w:pPr>
                        <w:r>
                          <w:rPr>
                            <w:rFonts w:ascii="Times New Roman"/>
                            <w:sz w:val="21"/>
                          </w:rPr>
                          <w:t>610</w:t>
                        </w:r>
                      </w:p>
                    </w:tc>
                    <w:tc>
                      <w:tcPr>
                        <w:tcW w:w="1254" w:type="dxa"/>
                      </w:tcPr>
                      <w:p>
                        <w:pPr>
                          <w:pStyle w:val="TableParagraph"/>
                          <w:spacing w:line="237" w:lineRule="exact"/>
                          <w:ind w:left="182" w:right="178"/>
                          <w:rPr>
                            <w:rFonts w:ascii="Times New Roman"/>
                            <w:sz w:val="21"/>
                          </w:rPr>
                        </w:pPr>
                        <w:r>
                          <w:rPr>
                            <w:rFonts w:ascii="Times New Roman"/>
                            <w:sz w:val="21"/>
                          </w:rPr>
                          <w:t>6.78</w:t>
                        </w:r>
                      </w:p>
                    </w:tc>
                  </w:tr>
                  <w:tr>
                    <w:trPr>
                      <w:trHeight w:val="544"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135"/>
                          <w:ind w:left="114" w:right="107"/>
                          <w:rPr>
                            <w:sz w:val="21"/>
                          </w:rPr>
                        </w:pPr>
                        <w:r>
                          <w:rPr>
                            <w:sz w:val="21"/>
                          </w:rPr>
                          <w:t>敏感目标名称</w:t>
                        </w:r>
                      </w:p>
                    </w:tc>
                    <w:tc>
                      <w:tcPr>
                        <w:tcW w:w="1564" w:type="dxa"/>
                        <w:gridSpan w:val="2"/>
                        <w:tcBorders>
                          <w:right w:val="single" w:sz="2" w:space="0" w:color="000000"/>
                        </w:tcBorders>
                      </w:tcPr>
                      <w:p>
                        <w:pPr>
                          <w:pStyle w:val="TableParagraph"/>
                          <w:spacing w:before="135"/>
                          <w:ind w:left="166"/>
                          <w:jc w:val="left"/>
                          <w:rPr>
                            <w:rFonts w:ascii="Times New Roman" w:eastAsia="Times New Roman"/>
                            <w:sz w:val="21"/>
                          </w:rPr>
                        </w:pPr>
                        <w:r>
                          <w:rPr>
                            <w:sz w:val="21"/>
                          </w:rPr>
                          <w:t>超标时间</w:t>
                        </w:r>
                        <w:r>
                          <w:rPr>
                            <w:rFonts w:ascii="Times New Roman" w:eastAsia="Times New Roman"/>
                            <w:sz w:val="21"/>
                          </w:rPr>
                          <w:t>/min</w:t>
                        </w:r>
                      </w:p>
                    </w:tc>
                    <w:tc>
                      <w:tcPr>
                        <w:tcW w:w="1217" w:type="dxa"/>
                        <w:tcBorders>
                          <w:left w:val="single" w:sz="2" w:space="0" w:color="000000"/>
                        </w:tcBorders>
                      </w:tcPr>
                      <w:p>
                        <w:pPr>
                          <w:pStyle w:val="TableParagraph"/>
                          <w:spacing w:before="1"/>
                          <w:ind w:left="63" w:right="56"/>
                          <w:rPr>
                            <w:sz w:val="21"/>
                          </w:rPr>
                        </w:pPr>
                        <w:r>
                          <w:rPr>
                            <w:sz w:val="21"/>
                          </w:rPr>
                          <w:t>超标持续时</w:t>
                        </w:r>
                      </w:p>
                      <w:p>
                        <w:pPr>
                          <w:pStyle w:val="TableParagraph"/>
                          <w:spacing w:line="252" w:lineRule="exact" w:before="2"/>
                          <w:ind w:left="59" w:right="56"/>
                          <w:rPr>
                            <w:rFonts w:ascii="Times New Roman" w:eastAsia="Times New Roman"/>
                            <w:sz w:val="21"/>
                          </w:rPr>
                        </w:pPr>
                        <w:r>
                          <w:rPr>
                            <w:sz w:val="21"/>
                          </w:rPr>
                          <w:t>间</w:t>
                        </w:r>
                        <w:r>
                          <w:rPr>
                            <w:rFonts w:ascii="Times New Roman" w:eastAsia="Times New Roman"/>
                            <w:sz w:val="21"/>
                          </w:rPr>
                          <w:t>/min</w:t>
                        </w:r>
                      </w:p>
                    </w:tc>
                    <w:tc>
                      <w:tcPr>
                        <w:tcW w:w="1254" w:type="dxa"/>
                      </w:tcPr>
                      <w:p>
                        <w:pPr>
                          <w:pStyle w:val="TableParagraph"/>
                          <w:spacing w:line="268" w:lineRule="exact" w:before="15"/>
                          <w:ind w:left="201"/>
                          <w:jc w:val="left"/>
                          <w:rPr>
                            <w:sz w:val="21"/>
                          </w:rPr>
                        </w:pPr>
                        <w:r>
                          <w:rPr>
                            <w:sz w:val="21"/>
                          </w:rPr>
                          <w:t>最大浓度</w:t>
                        </w:r>
                      </w:p>
                      <w:p>
                        <w:pPr>
                          <w:pStyle w:val="TableParagraph"/>
                          <w:spacing w:line="241" w:lineRule="exact"/>
                          <w:ind w:left="242"/>
                          <w:jc w:val="left"/>
                          <w:rPr>
                            <w:rFonts w:ascii="Times New Roman"/>
                            <w:sz w:val="21"/>
                          </w:rPr>
                        </w:pPr>
                        <w:r>
                          <w:rPr>
                            <w:rFonts w:ascii="Times New Roman"/>
                            <w:sz w:val="21"/>
                          </w:rPr>
                          <w:t>/(mg/m</w:t>
                        </w:r>
                        <w:r>
                          <w:rPr>
                            <w:rFonts w:ascii="Times New Roman"/>
                            <w:position w:val="7"/>
                            <w:sz w:val="14"/>
                          </w:rPr>
                          <w:t>3</w:t>
                        </w:r>
                        <w:r>
                          <w:rPr>
                            <w:rFonts w:ascii="Times New Roman"/>
                            <w:sz w:val="21"/>
                          </w:rPr>
                          <w:t>)</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19"/>
                          <w:ind w:left="8"/>
                          <w:rPr>
                            <w:rFonts w:ascii="Times New Roman"/>
                            <w:sz w:val="21"/>
                          </w:rPr>
                        </w:pPr>
                        <w:r>
                          <w:rPr>
                            <w:rFonts w:ascii="Times New Roman"/>
                            <w:w w:val="100"/>
                            <w:sz w:val="21"/>
                          </w:rPr>
                          <w:t>/</w:t>
                        </w:r>
                      </w:p>
                    </w:tc>
                    <w:tc>
                      <w:tcPr>
                        <w:tcW w:w="1564" w:type="dxa"/>
                        <w:gridSpan w:val="2"/>
                        <w:tcBorders>
                          <w:right w:val="single" w:sz="2" w:space="0" w:color="000000"/>
                        </w:tcBorders>
                      </w:tcPr>
                      <w:p>
                        <w:pPr>
                          <w:pStyle w:val="TableParagraph"/>
                          <w:spacing w:before="19"/>
                          <w:ind w:left="2"/>
                          <w:rPr>
                            <w:rFonts w:ascii="Times New Roman"/>
                            <w:sz w:val="21"/>
                          </w:rPr>
                        </w:pPr>
                        <w:r>
                          <w:rPr>
                            <w:rFonts w:ascii="Times New Roman"/>
                            <w:w w:val="100"/>
                            <w:sz w:val="21"/>
                          </w:rPr>
                          <w:t>/</w:t>
                        </w:r>
                      </w:p>
                    </w:tc>
                    <w:tc>
                      <w:tcPr>
                        <w:tcW w:w="1217" w:type="dxa"/>
                        <w:tcBorders>
                          <w:left w:val="single" w:sz="2" w:space="0" w:color="000000"/>
                        </w:tcBorders>
                      </w:tcPr>
                      <w:p>
                        <w:pPr>
                          <w:pStyle w:val="TableParagraph"/>
                          <w:spacing w:before="19"/>
                          <w:ind w:left="5"/>
                          <w:rPr>
                            <w:rFonts w:ascii="Times New Roman"/>
                            <w:sz w:val="21"/>
                          </w:rPr>
                        </w:pPr>
                        <w:r>
                          <w:rPr>
                            <w:rFonts w:ascii="Times New Roman"/>
                            <w:w w:val="100"/>
                            <w:sz w:val="21"/>
                          </w:rPr>
                          <w:t>/</w:t>
                        </w:r>
                      </w:p>
                    </w:tc>
                    <w:tc>
                      <w:tcPr>
                        <w:tcW w:w="1254" w:type="dxa"/>
                      </w:tcPr>
                      <w:p>
                        <w:pPr>
                          <w:pStyle w:val="TableParagraph"/>
                          <w:spacing w:line="240" w:lineRule="exact"/>
                          <w:rPr>
                            <w:rFonts w:ascii="Times New Roman"/>
                            <w:sz w:val="21"/>
                          </w:rPr>
                        </w:pPr>
                        <w:r>
                          <w:rPr>
                            <w:rFonts w:ascii="Times New Roman"/>
                            <w:w w:val="100"/>
                            <w:sz w:val="21"/>
                          </w:rPr>
                          <w:t>/</w:t>
                        </w:r>
                      </w:p>
                    </w:tc>
                  </w:tr>
                  <w:tr>
                    <w:trPr>
                      <w:trHeight w:val="285" w:hRule="atLeast"/>
                    </w:trPr>
                    <w:tc>
                      <w:tcPr>
                        <w:tcW w:w="1841" w:type="dxa"/>
                        <w:vMerge w:val="restart"/>
                      </w:tcPr>
                      <w:p>
                        <w:pPr>
                          <w:pStyle w:val="TableParagraph"/>
                          <w:jc w:val="left"/>
                          <w:rPr>
                            <w:sz w:val="20"/>
                          </w:rPr>
                        </w:pPr>
                      </w:p>
                      <w:p>
                        <w:pPr>
                          <w:pStyle w:val="TableParagraph"/>
                          <w:jc w:val="left"/>
                          <w:rPr>
                            <w:sz w:val="20"/>
                          </w:rPr>
                        </w:pPr>
                      </w:p>
                      <w:p>
                        <w:pPr>
                          <w:pStyle w:val="TableParagraph"/>
                          <w:spacing w:before="8"/>
                          <w:jc w:val="left"/>
                          <w:rPr>
                            <w:sz w:val="16"/>
                          </w:rPr>
                        </w:pPr>
                      </w:p>
                      <w:p>
                        <w:pPr>
                          <w:pStyle w:val="TableParagraph"/>
                          <w:ind w:left="604"/>
                          <w:jc w:val="left"/>
                          <w:rPr>
                            <w:sz w:val="21"/>
                          </w:rPr>
                        </w:pPr>
                        <w:r>
                          <w:rPr>
                            <w:sz w:val="21"/>
                          </w:rPr>
                          <w:t>地表水</w:t>
                        </w:r>
                      </w:p>
                    </w:tc>
                    <w:tc>
                      <w:tcPr>
                        <w:tcW w:w="1129" w:type="dxa"/>
                      </w:tcPr>
                      <w:p>
                        <w:pPr>
                          <w:pStyle w:val="TableParagraph"/>
                          <w:spacing w:line="257" w:lineRule="exact" w:before="8"/>
                          <w:ind w:right="133"/>
                          <w:jc w:val="right"/>
                          <w:rPr>
                            <w:sz w:val="21"/>
                          </w:rPr>
                        </w:pPr>
                        <w:r>
                          <w:rPr>
                            <w:sz w:val="21"/>
                          </w:rPr>
                          <w:t>危险物质</w:t>
                        </w:r>
                      </w:p>
                    </w:tc>
                    <w:tc>
                      <w:tcPr>
                        <w:tcW w:w="6162" w:type="dxa"/>
                        <w:gridSpan w:val="5"/>
                      </w:tcPr>
                      <w:p>
                        <w:pPr>
                          <w:pStyle w:val="TableParagraph"/>
                          <w:spacing w:line="257" w:lineRule="exact" w:before="8"/>
                          <w:ind w:left="2288" w:right="2283"/>
                          <w:rPr>
                            <w:rFonts w:ascii="Times New Roman" w:eastAsia="Times New Roman"/>
                            <w:sz w:val="14"/>
                          </w:rPr>
                        </w:pPr>
                        <w:r>
                          <w:rPr>
                            <w:sz w:val="21"/>
                          </w:rPr>
                          <w:t>地表水环境影响</w:t>
                        </w:r>
                        <w:r>
                          <w:rPr>
                            <w:rFonts w:ascii="Times New Roman" w:eastAsia="Times New Roman"/>
                            <w:position w:val="7"/>
                            <w:sz w:val="14"/>
                          </w:rPr>
                          <w:t>b</w:t>
                        </w:r>
                      </w:p>
                    </w:tc>
                  </w:tr>
                  <w:tr>
                    <w:trPr>
                      <w:trHeight w:val="282" w:hRule="atLeast"/>
                    </w:trPr>
                    <w:tc>
                      <w:tcPr>
                        <w:tcW w:w="1841" w:type="dxa"/>
                        <w:vMerge/>
                        <w:tcBorders>
                          <w:top w:val="nil"/>
                        </w:tcBorders>
                      </w:tcPr>
                      <w:p>
                        <w:pPr>
                          <w:rPr>
                            <w:sz w:val="2"/>
                            <w:szCs w:val="2"/>
                          </w:rPr>
                        </w:pPr>
                      </w:p>
                    </w:tc>
                    <w:tc>
                      <w:tcPr>
                        <w:tcW w:w="1129" w:type="dxa"/>
                        <w:vMerge w:val="restart"/>
                      </w:tcPr>
                      <w:p>
                        <w:pPr>
                          <w:pStyle w:val="TableParagraph"/>
                          <w:jc w:val="left"/>
                          <w:rPr>
                            <w:sz w:val="22"/>
                          </w:rPr>
                        </w:pPr>
                      </w:p>
                      <w:p>
                        <w:pPr>
                          <w:pStyle w:val="TableParagraph"/>
                          <w:spacing w:before="160"/>
                          <w:ind w:left="33" w:right="27"/>
                          <w:rPr>
                            <w:rFonts w:ascii="Times New Roman" w:eastAsia="Times New Roman"/>
                            <w:sz w:val="21"/>
                          </w:rPr>
                        </w:pPr>
                        <w:r>
                          <w:rPr>
                            <w:sz w:val="21"/>
                          </w:rPr>
                          <w:t>含 </w:t>
                        </w:r>
                        <w:r>
                          <w:rPr>
                            <w:rFonts w:ascii="Times New Roman" w:eastAsia="Times New Roman"/>
                            <w:sz w:val="21"/>
                          </w:rPr>
                          <w:t>CODcr</w:t>
                        </w:r>
                      </w:p>
                      <w:p>
                        <w:pPr>
                          <w:pStyle w:val="TableParagraph"/>
                          <w:spacing w:before="3"/>
                          <w:ind w:left="35" w:right="27"/>
                          <w:rPr>
                            <w:sz w:val="21"/>
                          </w:rPr>
                        </w:pPr>
                        <w:r>
                          <w:rPr>
                            <w:sz w:val="21"/>
                          </w:rPr>
                          <w:t>废水</w:t>
                        </w:r>
                      </w:p>
                    </w:tc>
                    <w:tc>
                      <w:tcPr>
                        <w:tcW w:w="2127" w:type="dxa"/>
                      </w:tcPr>
                      <w:p>
                        <w:pPr>
                          <w:pStyle w:val="TableParagraph"/>
                          <w:spacing w:line="257" w:lineRule="exact" w:before="6"/>
                          <w:ind w:left="114" w:right="107"/>
                          <w:rPr>
                            <w:sz w:val="21"/>
                          </w:rPr>
                        </w:pPr>
                        <w:r>
                          <w:rPr>
                            <w:sz w:val="21"/>
                          </w:rPr>
                          <w:t>受纳水体名称</w:t>
                        </w:r>
                      </w:p>
                    </w:tc>
                    <w:tc>
                      <w:tcPr>
                        <w:tcW w:w="1564" w:type="dxa"/>
                        <w:gridSpan w:val="2"/>
                      </w:tcPr>
                      <w:p>
                        <w:pPr>
                          <w:pStyle w:val="TableParagraph"/>
                          <w:spacing w:line="257" w:lineRule="exact" w:before="6"/>
                          <w:ind w:left="36"/>
                          <w:jc w:val="left"/>
                          <w:rPr>
                            <w:rFonts w:ascii="Times New Roman" w:eastAsia="Times New Roman"/>
                            <w:sz w:val="21"/>
                          </w:rPr>
                        </w:pPr>
                        <w:r>
                          <w:rPr>
                            <w:sz w:val="21"/>
                          </w:rPr>
                          <w:t>最远超标距离</w:t>
                        </w:r>
                        <w:r>
                          <w:rPr>
                            <w:rFonts w:ascii="Times New Roman" w:eastAsia="Times New Roman"/>
                            <w:sz w:val="21"/>
                          </w:rPr>
                          <w:t>/m</w:t>
                        </w:r>
                      </w:p>
                    </w:tc>
                    <w:tc>
                      <w:tcPr>
                        <w:tcW w:w="2471" w:type="dxa"/>
                        <w:gridSpan w:val="2"/>
                      </w:tcPr>
                      <w:p>
                        <w:pPr>
                          <w:pStyle w:val="TableParagraph"/>
                          <w:spacing w:line="257" w:lineRule="exact" w:before="6"/>
                          <w:ind w:left="100"/>
                          <w:jc w:val="left"/>
                          <w:rPr>
                            <w:rFonts w:ascii="Times New Roman" w:eastAsia="Times New Roman"/>
                            <w:sz w:val="21"/>
                          </w:rPr>
                        </w:pPr>
                        <w:r>
                          <w:rPr>
                            <w:sz w:val="21"/>
                          </w:rPr>
                          <w:t>最远超标距离到达时间</w:t>
                        </w:r>
                        <w:r>
                          <w:rPr>
                            <w:rFonts w:ascii="Times New Roman" w:eastAsia="Times New Roman"/>
                            <w:sz w:val="21"/>
                          </w:rPr>
                          <w:t>/h</w:t>
                        </w:r>
                      </w:p>
                    </w:tc>
                  </w:tr>
                  <w:tr>
                    <w:trPr>
                      <w:trHeight w:val="285"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22"/>
                          <w:ind w:left="8"/>
                          <w:rPr>
                            <w:rFonts w:ascii="Times New Roman"/>
                            <w:sz w:val="21"/>
                          </w:rPr>
                        </w:pPr>
                        <w:r>
                          <w:rPr>
                            <w:rFonts w:ascii="Times New Roman"/>
                            <w:w w:val="100"/>
                            <w:sz w:val="21"/>
                          </w:rPr>
                          <w:t>/</w:t>
                        </w:r>
                      </w:p>
                    </w:tc>
                    <w:tc>
                      <w:tcPr>
                        <w:tcW w:w="1564" w:type="dxa"/>
                        <w:gridSpan w:val="2"/>
                      </w:tcPr>
                      <w:p>
                        <w:pPr>
                          <w:pStyle w:val="TableParagraph"/>
                          <w:spacing w:before="22"/>
                          <w:ind w:left="4"/>
                          <w:rPr>
                            <w:rFonts w:ascii="Times New Roman"/>
                            <w:sz w:val="21"/>
                          </w:rPr>
                        </w:pPr>
                        <w:r>
                          <w:rPr>
                            <w:rFonts w:ascii="Times New Roman"/>
                            <w:w w:val="100"/>
                            <w:sz w:val="21"/>
                          </w:rPr>
                          <w:t>/</w:t>
                        </w:r>
                      </w:p>
                    </w:tc>
                    <w:tc>
                      <w:tcPr>
                        <w:tcW w:w="2471" w:type="dxa"/>
                        <w:gridSpan w:val="2"/>
                      </w:tcPr>
                      <w:p>
                        <w:pPr>
                          <w:pStyle w:val="TableParagraph"/>
                          <w:spacing w:before="22"/>
                          <w:ind w:left="1"/>
                          <w:rPr>
                            <w:rFonts w:ascii="Times New Roman"/>
                            <w:sz w:val="21"/>
                          </w:rPr>
                        </w:pPr>
                        <w:r>
                          <w:rPr>
                            <w:rFonts w:ascii="Times New Roman"/>
                            <w:w w:val="100"/>
                            <w:sz w:val="21"/>
                          </w:rPr>
                          <w:t>/</w:t>
                        </w:r>
                      </w:p>
                    </w:tc>
                  </w:tr>
                  <w:tr>
                    <w:trPr>
                      <w:trHeight w:val="545"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138"/>
                          <w:ind w:left="114" w:right="107"/>
                          <w:rPr>
                            <w:sz w:val="21"/>
                          </w:rPr>
                        </w:pPr>
                        <w:r>
                          <w:rPr>
                            <w:sz w:val="21"/>
                          </w:rPr>
                          <w:t>敏感目标名称</w:t>
                        </w:r>
                      </w:p>
                    </w:tc>
                    <w:tc>
                      <w:tcPr>
                        <w:tcW w:w="714" w:type="dxa"/>
                      </w:tcPr>
                      <w:p>
                        <w:pPr>
                          <w:pStyle w:val="TableParagraph"/>
                          <w:spacing w:before="1"/>
                          <w:ind w:left="18" w:right="15"/>
                          <w:rPr>
                            <w:sz w:val="21"/>
                          </w:rPr>
                        </w:pPr>
                        <w:r>
                          <w:rPr>
                            <w:sz w:val="21"/>
                          </w:rPr>
                          <w:t>到达时</w:t>
                        </w:r>
                      </w:p>
                      <w:p>
                        <w:pPr>
                          <w:pStyle w:val="TableParagraph"/>
                          <w:spacing w:line="252" w:lineRule="exact" w:before="2"/>
                          <w:ind w:left="14" w:right="15"/>
                          <w:rPr>
                            <w:rFonts w:ascii="Times New Roman" w:eastAsia="Times New Roman"/>
                            <w:sz w:val="21"/>
                          </w:rPr>
                        </w:pPr>
                        <w:r>
                          <w:rPr>
                            <w:sz w:val="21"/>
                          </w:rPr>
                          <w:t>间</w:t>
                        </w:r>
                        <w:r>
                          <w:rPr>
                            <w:rFonts w:ascii="Times New Roman" w:eastAsia="Times New Roman"/>
                            <w:sz w:val="21"/>
                          </w:rPr>
                          <w:t>/h</w:t>
                        </w:r>
                      </w:p>
                    </w:tc>
                    <w:tc>
                      <w:tcPr>
                        <w:tcW w:w="850" w:type="dxa"/>
                      </w:tcPr>
                      <w:p>
                        <w:pPr>
                          <w:pStyle w:val="TableParagraph"/>
                          <w:spacing w:before="1"/>
                          <w:ind w:left="86" w:right="81"/>
                          <w:rPr>
                            <w:sz w:val="21"/>
                          </w:rPr>
                        </w:pPr>
                        <w:r>
                          <w:rPr>
                            <w:sz w:val="21"/>
                          </w:rPr>
                          <w:t>超标时</w:t>
                        </w:r>
                      </w:p>
                      <w:p>
                        <w:pPr>
                          <w:pStyle w:val="TableParagraph"/>
                          <w:spacing w:line="252" w:lineRule="exact" w:before="2"/>
                          <w:ind w:left="81" w:right="81"/>
                          <w:rPr>
                            <w:rFonts w:ascii="Times New Roman" w:eastAsia="Times New Roman"/>
                            <w:sz w:val="21"/>
                          </w:rPr>
                        </w:pPr>
                        <w:r>
                          <w:rPr>
                            <w:sz w:val="21"/>
                          </w:rPr>
                          <w:t>间</w:t>
                        </w:r>
                        <w:r>
                          <w:rPr>
                            <w:rFonts w:ascii="Times New Roman" w:eastAsia="Times New Roman"/>
                            <w:sz w:val="21"/>
                          </w:rPr>
                          <w:t>/h</w:t>
                        </w:r>
                      </w:p>
                    </w:tc>
                    <w:tc>
                      <w:tcPr>
                        <w:tcW w:w="1217" w:type="dxa"/>
                      </w:tcPr>
                      <w:p>
                        <w:pPr>
                          <w:pStyle w:val="TableParagraph"/>
                          <w:spacing w:before="1"/>
                          <w:ind w:left="58" w:right="54"/>
                          <w:rPr>
                            <w:sz w:val="21"/>
                          </w:rPr>
                        </w:pPr>
                        <w:r>
                          <w:rPr>
                            <w:sz w:val="21"/>
                          </w:rPr>
                          <w:t>超标持续时</w:t>
                        </w:r>
                      </w:p>
                      <w:p>
                        <w:pPr>
                          <w:pStyle w:val="TableParagraph"/>
                          <w:spacing w:line="252" w:lineRule="exact" w:before="2"/>
                          <w:ind w:left="54" w:right="54"/>
                          <w:rPr>
                            <w:rFonts w:ascii="Times New Roman" w:eastAsia="Times New Roman"/>
                            <w:sz w:val="21"/>
                          </w:rPr>
                        </w:pPr>
                        <w:r>
                          <w:rPr>
                            <w:sz w:val="21"/>
                          </w:rPr>
                          <w:t>间</w:t>
                        </w:r>
                        <w:r>
                          <w:rPr>
                            <w:rFonts w:ascii="Times New Roman" w:eastAsia="Times New Roman"/>
                            <w:sz w:val="21"/>
                          </w:rPr>
                          <w:t>/h</w:t>
                        </w:r>
                      </w:p>
                    </w:tc>
                    <w:tc>
                      <w:tcPr>
                        <w:tcW w:w="1254" w:type="dxa"/>
                      </w:tcPr>
                      <w:p>
                        <w:pPr>
                          <w:pStyle w:val="TableParagraph"/>
                          <w:spacing w:before="15"/>
                          <w:ind w:left="201"/>
                          <w:jc w:val="left"/>
                          <w:rPr>
                            <w:sz w:val="21"/>
                          </w:rPr>
                        </w:pPr>
                        <w:r>
                          <w:rPr>
                            <w:sz w:val="21"/>
                          </w:rPr>
                          <w:t>最大浓度</w:t>
                        </w:r>
                      </w:p>
                      <w:p>
                        <w:pPr>
                          <w:pStyle w:val="TableParagraph"/>
                          <w:spacing w:line="238" w:lineRule="exact" w:before="2"/>
                          <w:ind w:left="295"/>
                          <w:jc w:val="left"/>
                          <w:rPr>
                            <w:rFonts w:ascii="Times New Roman"/>
                            <w:sz w:val="21"/>
                          </w:rPr>
                        </w:pPr>
                        <w:r>
                          <w:rPr>
                            <w:rFonts w:ascii="Times New Roman"/>
                            <w:sz w:val="21"/>
                          </w:rPr>
                          <w:t>/(mg/L)</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19"/>
                          <w:ind w:left="8"/>
                          <w:rPr>
                            <w:rFonts w:ascii="Times New Roman"/>
                            <w:sz w:val="21"/>
                          </w:rPr>
                        </w:pPr>
                        <w:r>
                          <w:rPr>
                            <w:rFonts w:ascii="Times New Roman"/>
                            <w:w w:val="100"/>
                            <w:sz w:val="21"/>
                          </w:rPr>
                          <w:t>/</w:t>
                        </w:r>
                      </w:p>
                    </w:tc>
                    <w:tc>
                      <w:tcPr>
                        <w:tcW w:w="714" w:type="dxa"/>
                      </w:tcPr>
                      <w:p>
                        <w:pPr>
                          <w:pStyle w:val="TableParagraph"/>
                          <w:spacing w:before="19"/>
                          <w:rPr>
                            <w:rFonts w:ascii="Times New Roman"/>
                            <w:sz w:val="21"/>
                          </w:rPr>
                        </w:pPr>
                        <w:r>
                          <w:rPr>
                            <w:rFonts w:ascii="Times New Roman"/>
                            <w:w w:val="100"/>
                            <w:sz w:val="21"/>
                          </w:rPr>
                          <w:t>/</w:t>
                        </w:r>
                      </w:p>
                    </w:tc>
                    <w:tc>
                      <w:tcPr>
                        <w:tcW w:w="850" w:type="dxa"/>
                      </w:tcPr>
                      <w:p>
                        <w:pPr>
                          <w:pStyle w:val="TableParagraph"/>
                          <w:spacing w:before="19"/>
                          <w:ind w:left="1"/>
                          <w:rPr>
                            <w:rFonts w:ascii="Times New Roman"/>
                            <w:sz w:val="21"/>
                          </w:rPr>
                        </w:pPr>
                        <w:r>
                          <w:rPr>
                            <w:rFonts w:ascii="Times New Roman"/>
                            <w:w w:val="100"/>
                            <w:sz w:val="21"/>
                          </w:rPr>
                          <w:t>/</w:t>
                        </w:r>
                      </w:p>
                    </w:tc>
                    <w:tc>
                      <w:tcPr>
                        <w:tcW w:w="1217" w:type="dxa"/>
                      </w:tcPr>
                      <w:p>
                        <w:pPr>
                          <w:pStyle w:val="TableParagraph"/>
                          <w:spacing w:before="19"/>
                          <w:ind w:left="3"/>
                          <w:rPr>
                            <w:rFonts w:ascii="Times New Roman"/>
                            <w:sz w:val="21"/>
                          </w:rPr>
                        </w:pPr>
                        <w:r>
                          <w:rPr>
                            <w:rFonts w:ascii="Times New Roman"/>
                            <w:w w:val="100"/>
                            <w:sz w:val="21"/>
                          </w:rPr>
                          <w:t>/</w:t>
                        </w:r>
                      </w:p>
                    </w:tc>
                    <w:tc>
                      <w:tcPr>
                        <w:tcW w:w="1254" w:type="dxa"/>
                      </w:tcPr>
                      <w:p>
                        <w:pPr>
                          <w:pStyle w:val="TableParagraph"/>
                          <w:spacing w:before="19"/>
                          <w:rPr>
                            <w:rFonts w:ascii="Times New Roman"/>
                            <w:sz w:val="21"/>
                          </w:rPr>
                        </w:pPr>
                        <w:r>
                          <w:rPr>
                            <w:rFonts w:ascii="Times New Roman"/>
                            <w:w w:val="100"/>
                            <w:sz w:val="21"/>
                          </w:rPr>
                          <w:t>/</w:t>
                        </w:r>
                      </w:p>
                    </w:tc>
                  </w:tr>
                  <w:tr>
                    <w:trPr>
                      <w:trHeight w:val="285" w:hRule="atLeast"/>
                    </w:trPr>
                    <w:tc>
                      <w:tcPr>
                        <w:tcW w:w="1841" w:type="dxa"/>
                        <w:vMerge w:val="restart"/>
                      </w:tcPr>
                      <w:p>
                        <w:pPr>
                          <w:pStyle w:val="TableParagraph"/>
                          <w:jc w:val="left"/>
                          <w:rPr>
                            <w:sz w:val="20"/>
                          </w:rPr>
                        </w:pPr>
                      </w:p>
                      <w:p>
                        <w:pPr>
                          <w:pStyle w:val="TableParagraph"/>
                          <w:jc w:val="left"/>
                          <w:rPr>
                            <w:sz w:val="20"/>
                          </w:rPr>
                        </w:pPr>
                      </w:p>
                      <w:p>
                        <w:pPr>
                          <w:pStyle w:val="TableParagraph"/>
                          <w:spacing w:before="12"/>
                          <w:jc w:val="left"/>
                          <w:rPr>
                            <w:sz w:val="26"/>
                          </w:rPr>
                        </w:pPr>
                      </w:p>
                      <w:p>
                        <w:pPr>
                          <w:pStyle w:val="TableParagraph"/>
                          <w:ind w:left="604"/>
                          <w:jc w:val="left"/>
                          <w:rPr>
                            <w:sz w:val="21"/>
                          </w:rPr>
                        </w:pPr>
                        <w:r>
                          <w:rPr>
                            <w:sz w:val="21"/>
                          </w:rPr>
                          <w:t>地下水</w:t>
                        </w:r>
                      </w:p>
                    </w:tc>
                    <w:tc>
                      <w:tcPr>
                        <w:tcW w:w="1129" w:type="dxa"/>
                      </w:tcPr>
                      <w:p>
                        <w:pPr>
                          <w:pStyle w:val="TableParagraph"/>
                          <w:spacing w:line="257" w:lineRule="exact" w:before="8"/>
                          <w:ind w:right="133"/>
                          <w:jc w:val="right"/>
                          <w:rPr>
                            <w:sz w:val="21"/>
                          </w:rPr>
                        </w:pPr>
                        <w:r>
                          <w:rPr>
                            <w:sz w:val="21"/>
                          </w:rPr>
                          <w:t>危险物质</w:t>
                        </w:r>
                      </w:p>
                    </w:tc>
                    <w:tc>
                      <w:tcPr>
                        <w:tcW w:w="6162" w:type="dxa"/>
                        <w:gridSpan w:val="5"/>
                      </w:tcPr>
                      <w:p>
                        <w:pPr>
                          <w:pStyle w:val="TableParagraph"/>
                          <w:spacing w:line="257" w:lineRule="exact" w:before="8"/>
                          <w:ind w:left="2288" w:right="2283"/>
                          <w:rPr>
                            <w:sz w:val="21"/>
                          </w:rPr>
                        </w:pPr>
                        <w:r>
                          <w:rPr>
                            <w:sz w:val="21"/>
                          </w:rPr>
                          <w:t>地下水环境影响</w:t>
                        </w:r>
                      </w:p>
                    </w:tc>
                  </w:tr>
                  <w:tr>
                    <w:trPr>
                      <w:trHeight w:val="544" w:hRule="atLeast"/>
                    </w:trPr>
                    <w:tc>
                      <w:tcPr>
                        <w:tcW w:w="1841" w:type="dxa"/>
                        <w:vMerge/>
                        <w:tcBorders>
                          <w:top w:val="nil"/>
                        </w:tcBorders>
                      </w:tcPr>
                      <w:p>
                        <w:pPr>
                          <w:rPr>
                            <w:sz w:val="2"/>
                            <w:szCs w:val="2"/>
                          </w:rPr>
                        </w:pPr>
                      </w:p>
                    </w:tc>
                    <w:tc>
                      <w:tcPr>
                        <w:tcW w:w="1129" w:type="dxa"/>
                        <w:vMerge w:val="restart"/>
                      </w:tcPr>
                      <w:p>
                        <w:pPr>
                          <w:pStyle w:val="TableParagraph"/>
                          <w:jc w:val="left"/>
                          <w:rPr>
                            <w:sz w:val="20"/>
                          </w:rPr>
                        </w:pPr>
                      </w:p>
                      <w:p>
                        <w:pPr>
                          <w:pStyle w:val="TableParagraph"/>
                          <w:jc w:val="left"/>
                          <w:rPr>
                            <w:sz w:val="20"/>
                          </w:rPr>
                        </w:pPr>
                      </w:p>
                      <w:p>
                        <w:pPr>
                          <w:pStyle w:val="TableParagraph"/>
                          <w:spacing w:before="4"/>
                          <w:jc w:val="left"/>
                          <w:rPr>
                            <w:sz w:val="15"/>
                          </w:rPr>
                        </w:pPr>
                      </w:p>
                      <w:p>
                        <w:pPr>
                          <w:pStyle w:val="TableParagraph"/>
                          <w:ind w:left="352"/>
                          <w:jc w:val="left"/>
                          <w:rPr>
                            <w:sz w:val="21"/>
                          </w:rPr>
                        </w:pPr>
                        <w:r>
                          <w:rPr>
                            <w:sz w:val="21"/>
                          </w:rPr>
                          <w:t>甲酸</w:t>
                        </w:r>
                      </w:p>
                    </w:tc>
                    <w:tc>
                      <w:tcPr>
                        <w:tcW w:w="2127" w:type="dxa"/>
                      </w:tcPr>
                      <w:p>
                        <w:pPr>
                          <w:pStyle w:val="TableParagraph"/>
                          <w:spacing w:before="138"/>
                          <w:ind w:left="112" w:right="107"/>
                          <w:rPr>
                            <w:sz w:val="21"/>
                          </w:rPr>
                        </w:pPr>
                        <w:r>
                          <w:rPr>
                            <w:sz w:val="21"/>
                          </w:rPr>
                          <w:t>厂区边界</w:t>
                        </w:r>
                      </w:p>
                    </w:tc>
                    <w:tc>
                      <w:tcPr>
                        <w:tcW w:w="714" w:type="dxa"/>
                      </w:tcPr>
                      <w:p>
                        <w:pPr>
                          <w:pStyle w:val="TableParagraph"/>
                          <w:spacing w:before="1"/>
                          <w:ind w:left="18" w:right="15"/>
                          <w:rPr>
                            <w:sz w:val="21"/>
                          </w:rPr>
                        </w:pPr>
                        <w:r>
                          <w:rPr>
                            <w:sz w:val="21"/>
                          </w:rPr>
                          <w:t>到达时</w:t>
                        </w:r>
                      </w:p>
                      <w:p>
                        <w:pPr>
                          <w:pStyle w:val="TableParagraph"/>
                          <w:spacing w:line="252" w:lineRule="exact" w:before="2"/>
                          <w:ind w:left="14" w:right="15"/>
                          <w:rPr>
                            <w:rFonts w:ascii="Times New Roman" w:eastAsia="Times New Roman"/>
                            <w:sz w:val="21"/>
                          </w:rPr>
                        </w:pPr>
                        <w:r>
                          <w:rPr>
                            <w:sz w:val="21"/>
                          </w:rPr>
                          <w:t>间</w:t>
                        </w:r>
                        <w:r>
                          <w:rPr>
                            <w:rFonts w:ascii="Times New Roman" w:eastAsia="Times New Roman"/>
                            <w:sz w:val="21"/>
                          </w:rPr>
                          <w:t>/h</w:t>
                        </w:r>
                      </w:p>
                    </w:tc>
                    <w:tc>
                      <w:tcPr>
                        <w:tcW w:w="850" w:type="dxa"/>
                      </w:tcPr>
                      <w:p>
                        <w:pPr>
                          <w:pStyle w:val="TableParagraph"/>
                          <w:spacing w:before="1"/>
                          <w:ind w:left="86" w:right="81"/>
                          <w:rPr>
                            <w:sz w:val="21"/>
                          </w:rPr>
                        </w:pPr>
                        <w:r>
                          <w:rPr>
                            <w:sz w:val="21"/>
                          </w:rPr>
                          <w:t>超标时</w:t>
                        </w:r>
                      </w:p>
                      <w:p>
                        <w:pPr>
                          <w:pStyle w:val="TableParagraph"/>
                          <w:spacing w:line="252" w:lineRule="exact" w:before="2"/>
                          <w:ind w:left="81" w:right="81"/>
                          <w:rPr>
                            <w:rFonts w:ascii="Times New Roman" w:eastAsia="Times New Roman"/>
                            <w:sz w:val="21"/>
                          </w:rPr>
                        </w:pPr>
                        <w:r>
                          <w:rPr>
                            <w:sz w:val="21"/>
                          </w:rPr>
                          <w:t>间</w:t>
                        </w:r>
                        <w:r>
                          <w:rPr>
                            <w:rFonts w:ascii="Times New Roman" w:eastAsia="Times New Roman"/>
                            <w:sz w:val="21"/>
                          </w:rPr>
                          <w:t>/d</w:t>
                        </w:r>
                      </w:p>
                    </w:tc>
                    <w:tc>
                      <w:tcPr>
                        <w:tcW w:w="1217" w:type="dxa"/>
                      </w:tcPr>
                      <w:p>
                        <w:pPr>
                          <w:pStyle w:val="TableParagraph"/>
                          <w:spacing w:before="1"/>
                          <w:ind w:left="58" w:right="54"/>
                          <w:rPr>
                            <w:sz w:val="21"/>
                          </w:rPr>
                        </w:pPr>
                        <w:r>
                          <w:rPr>
                            <w:sz w:val="21"/>
                          </w:rPr>
                          <w:t>超标持续时</w:t>
                        </w:r>
                      </w:p>
                      <w:p>
                        <w:pPr>
                          <w:pStyle w:val="TableParagraph"/>
                          <w:spacing w:line="252" w:lineRule="exact" w:before="2"/>
                          <w:ind w:left="54" w:right="54"/>
                          <w:rPr>
                            <w:rFonts w:ascii="Times New Roman" w:eastAsia="Times New Roman"/>
                            <w:sz w:val="21"/>
                          </w:rPr>
                        </w:pPr>
                        <w:r>
                          <w:rPr>
                            <w:sz w:val="21"/>
                          </w:rPr>
                          <w:t>间</w:t>
                        </w:r>
                        <w:r>
                          <w:rPr>
                            <w:rFonts w:ascii="Times New Roman" w:eastAsia="Times New Roman"/>
                            <w:sz w:val="21"/>
                          </w:rPr>
                          <w:t>/d</w:t>
                        </w:r>
                      </w:p>
                    </w:tc>
                    <w:tc>
                      <w:tcPr>
                        <w:tcW w:w="1254" w:type="dxa"/>
                      </w:tcPr>
                      <w:p>
                        <w:pPr>
                          <w:pStyle w:val="TableParagraph"/>
                          <w:spacing w:before="15"/>
                          <w:ind w:left="201"/>
                          <w:jc w:val="left"/>
                          <w:rPr>
                            <w:sz w:val="21"/>
                          </w:rPr>
                        </w:pPr>
                        <w:r>
                          <w:rPr>
                            <w:sz w:val="21"/>
                          </w:rPr>
                          <w:t>最大浓度</w:t>
                        </w:r>
                      </w:p>
                      <w:p>
                        <w:pPr>
                          <w:pStyle w:val="TableParagraph"/>
                          <w:spacing w:line="238" w:lineRule="exact" w:before="2"/>
                          <w:ind w:left="295"/>
                          <w:jc w:val="left"/>
                          <w:rPr>
                            <w:rFonts w:ascii="Times New Roman"/>
                            <w:sz w:val="21"/>
                          </w:rPr>
                        </w:pPr>
                        <w:r>
                          <w:rPr>
                            <w:rFonts w:ascii="Times New Roman"/>
                            <w:sz w:val="21"/>
                          </w:rPr>
                          <w:t>/(mg/L)</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line="241" w:lineRule="exact" w:before="22"/>
                          <w:ind w:left="8"/>
                          <w:rPr>
                            <w:rFonts w:ascii="Times New Roman"/>
                            <w:sz w:val="21"/>
                          </w:rPr>
                        </w:pPr>
                        <w:r>
                          <w:rPr>
                            <w:rFonts w:ascii="Times New Roman"/>
                            <w:w w:val="100"/>
                            <w:sz w:val="21"/>
                          </w:rPr>
                          <w:t>/</w:t>
                        </w:r>
                      </w:p>
                    </w:tc>
                    <w:tc>
                      <w:tcPr>
                        <w:tcW w:w="714" w:type="dxa"/>
                      </w:tcPr>
                      <w:p>
                        <w:pPr>
                          <w:pStyle w:val="TableParagraph"/>
                          <w:spacing w:line="241" w:lineRule="exact" w:before="22"/>
                          <w:rPr>
                            <w:rFonts w:ascii="Times New Roman"/>
                            <w:sz w:val="21"/>
                          </w:rPr>
                        </w:pPr>
                        <w:r>
                          <w:rPr>
                            <w:rFonts w:ascii="Times New Roman"/>
                            <w:w w:val="100"/>
                            <w:sz w:val="21"/>
                          </w:rPr>
                          <w:t>/</w:t>
                        </w:r>
                      </w:p>
                    </w:tc>
                    <w:tc>
                      <w:tcPr>
                        <w:tcW w:w="850" w:type="dxa"/>
                      </w:tcPr>
                      <w:p>
                        <w:pPr>
                          <w:pStyle w:val="TableParagraph"/>
                          <w:spacing w:line="241" w:lineRule="exact" w:before="22"/>
                          <w:ind w:left="1"/>
                          <w:rPr>
                            <w:rFonts w:ascii="Times New Roman"/>
                            <w:sz w:val="21"/>
                          </w:rPr>
                        </w:pPr>
                        <w:r>
                          <w:rPr>
                            <w:rFonts w:ascii="Times New Roman"/>
                            <w:w w:val="100"/>
                            <w:sz w:val="21"/>
                          </w:rPr>
                          <w:t>/</w:t>
                        </w:r>
                      </w:p>
                    </w:tc>
                    <w:tc>
                      <w:tcPr>
                        <w:tcW w:w="1217" w:type="dxa"/>
                      </w:tcPr>
                      <w:p>
                        <w:pPr>
                          <w:pStyle w:val="TableParagraph"/>
                          <w:spacing w:line="241" w:lineRule="exact" w:before="22"/>
                          <w:ind w:left="3"/>
                          <w:rPr>
                            <w:rFonts w:ascii="Times New Roman"/>
                            <w:sz w:val="21"/>
                          </w:rPr>
                        </w:pPr>
                        <w:r>
                          <w:rPr>
                            <w:rFonts w:ascii="Times New Roman"/>
                            <w:w w:val="100"/>
                            <w:sz w:val="21"/>
                          </w:rPr>
                          <w:t>/</w:t>
                        </w:r>
                      </w:p>
                    </w:tc>
                    <w:tc>
                      <w:tcPr>
                        <w:tcW w:w="1254" w:type="dxa"/>
                      </w:tcPr>
                      <w:p>
                        <w:pPr>
                          <w:pStyle w:val="TableParagraph"/>
                          <w:spacing w:line="241" w:lineRule="exact" w:before="22"/>
                          <w:rPr>
                            <w:rFonts w:ascii="Times New Roman"/>
                            <w:sz w:val="21"/>
                          </w:rPr>
                        </w:pPr>
                        <w:r>
                          <w:rPr>
                            <w:rFonts w:ascii="Times New Roman"/>
                            <w:w w:val="100"/>
                            <w:sz w:val="21"/>
                          </w:rPr>
                          <w:t>/</w:t>
                        </w:r>
                      </w:p>
                    </w:tc>
                  </w:tr>
                  <w:tr>
                    <w:trPr>
                      <w:trHeight w:val="546"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138"/>
                          <w:ind w:left="114" w:right="107"/>
                          <w:rPr>
                            <w:sz w:val="21"/>
                          </w:rPr>
                        </w:pPr>
                        <w:r>
                          <w:rPr>
                            <w:sz w:val="21"/>
                          </w:rPr>
                          <w:t>敏感目标名称</w:t>
                        </w:r>
                      </w:p>
                    </w:tc>
                    <w:tc>
                      <w:tcPr>
                        <w:tcW w:w="714" w:type="dxa"/>
                      </w:tcPr>
                      <w:p>
                        <w:pPr>
                          <w:pStyle w:val="TableParagraph"/>
                          <w:spacing w:line="270" w:lineRule="atLeast" w:before="2"/>
                          <w:ind w:left="164" w:right="31" w:hanging="128"/>
                          <w:jc w:val="left"/>
                          <w:rPr>
                            <w:rFonts w:ascii="Times New Roman" w:eastAsia="Times New Roman"/>
                            <w:sz w:val="21"/>
                          </w:rPr>
                        </w:pPr>
                        <w:r>
                          <w:rPr>
                            <w:sz w:val="21"/>
                          </w:rPr>
                          <w:t>到达时间</w:t>
                        </w:r>
                        <w:r>
                          <w:rPr>
                            <w:rFonts w:ascii="Times New Roman" w:eastAsia="Times New Roman"/>
                            <w:sz w:val="21"/>
                          </w:rPr>
                          <w:t>/h</w:t>
                        </w:r>
                      </w:p>
                    </w:tc>
                    <w:tc>
                      <w:tcPr>
                        <w:tcW w:w="850" w:type="dxa"/>
                      </w:tcPr>
                      <w:p>
                        <w:pPr>
                          <w:pStyle w:val="TableParagraph"/>
                          <w:spacing w:line="270" w:lineRule="atLeast" w:before="2"/>
                          <w:ind w:left="232" w:right="98" w:hanging="128"/>
                          <w:jc w:val="left"/>
                          <w:rPr>
                            <w:rFonts w:ascii="Times New Roman" w:eastAsia="Times New Roman"/>
                            <w:sz w:val="21"/>
                          </w:rPr>
                        </w:pPr>
                        <w:r>
                          <w:rPr>
                            <w:sz w:val="21"/>
                          </w:rPr>
                          <w:t>超标时间</w:t>
                        </w:r>
                        <w:r>
                          <w:rPr>
                            <w:rFonts w:ascii="Times New Roman" w:eastAsia="Times New Roman"/>
                            <w:sz w:val="21"/>
                          </w:rPr>
                          <w:t>/h</w:t>
                        </w:r>
                      </w:p>
                    </w:tc>
                    <w:tc>
                      <w:tcPr>
                        <w:tcW w:w="1217" w:type="dxa"/>
                      </w:tcPr>
                      <w:p>
                        <w:pPr>
                          <w:pStyle w:val="TableParagraph"/>
                          <w:spacing w:line="270" w:lineRule="atLeast" w:before="2"/>
                          <w:ind w:left="417" w:right="72" w:hanging="339"/>
                          <w:jc w:val="left"/>
                          <w:rPr>
                            <w:rFonts w:ascii="Times New Roman" w:eastAsia="Times New Roman"/>
                            <w:sz w:val="21"/>
                          </w:rPr>
                        </w:pPr>
                        <w:r>
                          <w:rPr>
                            <w:sz w:val="21"/>
                          </w:rPr>
                          <w:t>超标持续时间</w:t>
                        </w:r>
                        <w:r>
                          <w:rPr>
                            <w:rFonts w:ascii="Times New Roman" w:eastAsia="Times New Roman"/>
                            <w:sz w:val="21"/>
                          </w:rPr>
                          <w:t>/h</w:t>
                        </w:r>
                      </w:p>
                    </w:tc>
                    <w:tc>
                      <w:tcPr>
                        <w:tcW w:w="1254" w:type="dxa"/>
                      </w:tcPr>
                      <w:p>
                        <w:pPr>
                          <w:pStyle w:val="TableParagraph"/>
                          <w:spacing w:before="18"/>
                          <w:ind w:left="201"/>
                          <w:jc w:val="left"/>
                          <w:rPr>
                            <w:sz w:val="21"/>
                          </w:rPr>
                        </w:pPr>
                        <w:r>
                          <w:rPr>
                            <w:sz w:val="21"/>
                          </w:rPr>
                          <w:t>最大浓度</w:t>
                        </w:r>
                      </w:p>
                      <w:p>
                        <w:pPr>
                          <w:pStyle w:val="TableParagraph"/>
                          <w:spacing w:line="238" w:lineRule="exact" w:before="1"/>
                          <w:ind w:left="295"/>
                          <w:jc w:val="left"/>
                          <w:rPr>
                            <w:rFonts w:ascii="Times New Roman"/>
                            <w:sz w:val="21"/>
                          </w:rPr>
                        </w:pPr>
                        <w:r>
                          <w:rPr>
                            <w:rFonts w:ascii="Times New Roman"/>
                            <w:sz w:val="21"/>
                          </w:rPr>
                          <w:t>/(mg/L)</w:t>
                        </w:r>
                      </w:p>
                    </w:tc>
                  </w:tr>
                  <w:tr>
                    <w:trPr>
                      <w:trHeight w:val="282" w:hRule="atLeast"/>
                    </w:trPr>
                    <w:tc>
                      <w:tcPr>
                        <w:tcW w:w="1841" w:type="dxa"/>
                        <w:vMerge/>
                        <w:tcBorders>
                          <w:top w:val="nil"/>
                        </w:tcBorders>
                      </w:tcPr>
                      <w:p>
                        <w:pPr>
                          <w:rPr>
                            <w:sz w:val="2"/>
                            <w:szCs w:val="2"/>
                          </w:rPr>
                        </w:pPr>
                      </w:p>
                    </w:tc>
                    <w:tc>
                      <w:tcPr>
                        <w:tcW w:w="1129" w:type="dxa"/>
                        <w:vMerge/>
                        <w:tcBorders>
                          <w:top w:val="nil"/>
                        </w:tcBorders>
                      </w:tcPr>
                      <w:p>
                        <w:pPr>
                          <w:rPr>
                            <w:sz w:val="2"/>
                            <w:szCs w:val="2"/>
                          </w:rPr>
                        </w:pPr>
                      </w:p>
                    </w:tc>
                    <w:tc>
                      <w:tcPr>
                        <w:tcW w:w="2127" w:type="dxa"/>
                      </w:tcPr>
                      <w:p>
                        <w:pPr>
                          <w:pStyle w:val="TableParagraph"/>
                          <w:spacing w:before="19"/>
                          <w:ind w:left="8"/>
                          <w:rPr>
                            <w:rFonts w:ascii="Times New Roman"/>
                            <w:sz w:val="21"/>
                          </w:rPr>
                        </w:pPr>
                        <w:r>
                          <w:rPr>
                            <w:rFonts w:ascii="Times New Roman"/>
                            <w:w w:val="100"/>
                            <w:sz w:val="21"/>
                          </w:rPr>
                          <w:t>/</w:t>
                        </w:r>
                      </w:p>
                    </w:tc>
                    <w:tc>
                      <w:tcPr>
                        <w:tcW w:w="714" w:type="dxa"/>
                      </w:tcPr>
                      <w:p>
                        <w:pPr>
                          <w:pStyle w:val="TableParagraph"/>
                          <w:spacing w:before="19"/>
                          <w:rPr>
                            <w:rFonts w:ascii="Times New Roman"/>
                            <w:sz w:val="21"/>
                          </w:rPr>
                        </w:pPr>
                        <w:r>
                          <w:rPr>
                            <w:rFonts w:ascii="Times New Roman"/>
                            <w:w w:val="100"/>
                            <w:sz w:val="21"/>
                          </w:rPr>
                          <w:t>/</w:t>
                        </w:r>
                      </w:p>
                    </w:tc>
                    <w:tc>
                      <w:tcPr>
                        <w:tcW w:w="850" w:type="dxa"/>
                      </w:tcPr>
                      <w:p>
                        <w:pPr>
                          <w:pStyle w:val="TableParagraph"/>
                          <w:spacing w:before="19"/>
                          <w:ind w:left="1"/>
                          <w:rPr>
                            <w:rFonts w:ascii="Times New Roman"/>
                            <w:sz w:val="21"/>
                          </w:rPr>
                        </w:pPr>
                        <w:r>
                          <w:rPr>
                            <w:rFonts w:ascii="Times New Roman"/>
                            <w:w w:val="100"/>
                            <w:sz w:val="21"/>
                          </w:rPr>
                          <w:t>/</w:t>
                        </w:r>
                      </w:p>
                    </w:tc>
                    <w:tc>
                      <w:tcPr>
                        <w:tcW w:w="1217" w:type="dxa"/>
                      </w:tcPr>
                      <w:p>
                        <w:pPr>
                          <w:pStyle w:val="TableParagraph"/>
                          <w:spacing w:before="19"/>
                          <w:ind w:left="3"/>
                          <w:rPr>
                            <w:rFonts w:ascii="Times New Roman"/>
                            <w:sz w:val="21"/>
                          </w:rPr>
                        </w:pPr>
                        <w:r>
                          <w:rPr>
                            <w:rFonts w:ascii="Times New Roman"/>
                            <w:w w:val="100"/>
                            <w:sz w:val="21"/>
                          </w:rPr>
                          <w:t>/</w:t>
                        </w:r>
                      </w:p>
                    </w:tc>
                    <w:tc>
                      <w:tcPr>
                        <w:tcW w:w="1254" w:type="dxa"/>
                      </w:tcPr>
                      <w:p>
                        <w:pPr>
                          <w:pStyle w:val="TableParagraph"/>
                          <w:spacing w:before="19"/>
                          <w:rPr>
                            <w:rFonts w:ascii="Times New Roman"/>
                            <w:sz w:val="21"/>
                          </w:rPr>
                        </w:pPr>
                        <w:r>
                          <w:rPr>
                            <w:rFonts w:ascii="Times New Roman"/>
                            <w:w w:val="100"/>
                            <w:sz w:val="21"/>
                          </w:rPr>
                          <w:t>/</w:t>
                        </w:r>
                      </w:p>
                    </w:tc>
                  </w:tr>
                  <w:tr>
                    <w:trPr>
                      <w:trHeight w:val="817" w:hRule="atLeast"/>
                    </w:trPr>
                    <w:tc>
                      <w:tcPr>
                        <w:tcW w:w="9132" w:type="dxa"/>
                        <w:gridSpan w:val="7"/>
                      </w:tcPr>
                      <w:p>
                        <w:pPr>
                          <w:pStyle w:val="TableParagraph"/>
                          <w:spacing w:before="1"/>
                          <w:ind w:left="28"/>
                          <w:jc w:val="left"/>
                          <w:rPr>
                            <w:sz w:val="21"/>
                          </w:rPr>
                        </w:pPr>
                        <w:r>
                          <w:rPr>
                            <w:rFonts w:ascii="Times New Roman" w:eastAsia="Times New Roman"/>
                            <w:sz w:val="21"/>
                          </w:rPr>
                          <w:t>a </w:t>
                        </w:r>
                        <w:r>
                          <w:rPr>
                            <w:sz w:val="21"/>
                          </w:rPr>
                          <w:t>按选择的代表性风险事故情形分别填写；</w:t>
                        </w:r>
                      </w:p>
                      <w:p>
                        <w:pPr>
                          <w:pStyle w:val="TableParagraph"/>
                          <w:spacing w:line="270" w:lineRule="atLeast" w:before="3"/>
                          <w:ind w:left="28" w:right="118"/>
                          <w:jc w:val="left"/>
                          <w:rPr>
                            <w:sz w:val="21"/>
                          </w:rPr>
                        </w:pPr>
                        <w:r>
                          <w:rPr>
                            <w:rFonts w:ascii="Times New Roman" w:eastAsia="Times New Roman"/>
                            <w:sz w:val="21"/>
                          </w:rPr>
                          <w:t>b </w:t>
                        </w:r>
                        <w:r>
                          <w:rPr>
                            <w:spacing w:val="-8"/>
                            <w:sz w:val="21"/>
                          </w:rPr>
                          <w:t>根据预测结果表述，选择受纳水体最远超标距离及到达时间或环境敏感目标到达时间、超标时间</w:t>
                        </w:r>
                        <w:r>
                          <w:rPr>
                            <w:spacing w:val="-5"/>
                            <w:sz w:val="21"/>
                          </w:rPr>
                          <w:t>超标持续时间及最大浓度填写。</w:t>
                        </w:r>
                      </w:p>
                    </w:tc>
                  </w:tr>
                </w:tbl>
                <w:p>
                  <w:pPr>
                    <w:pStyle w:val="BodyText"/>
                  </w:pPr>
                </w:p>
              </w:txbxContent>
            </v:textbox>
            <w10:wrap type="none"/>
          </v:shape>
        </w:pict>
      </w:r>
      <w:r>
        <w:rPr>
          <w:w w:val="100"/>
          <w:sz w:val="21"/>
        </w:rPr>
        <w:t>、</w:t>
      </w:r>
    </w:p>
    <w:p>
      <w:pPr>
        <w:pStyle w:val="BodyText"/>
        <w:spacing w:before="5"/>
        <w:rPr>
          <w:sz w:val="22"/>
        </w:rPr>
      </w:pPr>
    </w:p>
    <w:p>
      <w:pPr>
        <w:pStyle w:val="Heading3"/>
        <w:numPr>
          <w:ilvl w:val="1"/>
          <w:numId w:val="23"/>
        </w:numPr>
        <w:tabs>
          <w:tab w:pos="639" w:val="left" w:leader="none"/>
        </w:tabs>
        <w:spacing w:line="240" w:lineRule="auto" w:before="1" w:after="0"/>
        <w:ind w:left="638" w:right="0" w:hanging="421"/>
        <w:jc w:val="left"/>
      </w:pPr>
      <w:bookmarkStart w:name="_bookmark54" w:id="109"/>
      <w:bookmarkEnd w:id="109"/>
      <w:r>
        <w:rPr>
          <w:b w:val="0"/>
        </w:rPr>
      </w:r>
      <w:bookmarkStart w:name="_bookmark54" w:id="110"/>
      <w:bookmarkEnd w:id="110"/>
      <w:r>
        <w:rPr>
          <w:w w:val="95"/>
        </w:rPr>
        <w:t>事故风险防范措施</w:t>
      </w:r>
    </w:p>
    <w:p>
      <w:pPr>
        <w:pStyle w:val="Heading4"/>
        <w:numPr>
          <w:ilvl w:val="2"/>
          <w:numId w:val="23"/>
        </w:numPr>
        <w:tabs>
          <w:tab w:pos="759" w:val="left" w:leader="none"/>
        </w:tabs>
        <w:spacing w:line="240" w:lineRule="auto" w:before="185" w:after="0"/>
        <w:ind w:left="758" w:right="0" w:hanging="541"/>
        <w:jc w:val="left"/>
      </w:pPr>
      <w:r>
        <w:rPr>
          <w:w w:val="95"/>
        </w:rPr>
        <w:t>环境风险防范措施</w:t>
      </w:r>
    </w:p>
    <w:p>
      <w:pPr>
        <w:pStyle w:val="BodyText"/>
        <w:spacing w:line="364" w:lineRule="auto" w:before="158"/>
        <w:ind w:left="218" w:right="113" w:firstLine="480"/>
      </w:pPr>
      <w:r>
        <w:rPr>
          <w:spacing w:val="-12"/>
        </w:rPr>
        <w:t>安全生产是企业立厂之本，企业在生产过程中一定要强化风险意识、加强安全管理， </w:t>
      </w:r>
      <w:r>
        <w:rPr/>
        <w:t>具体要求如下：</w:t>
      </w:r>
    </w:p>
    <w:p>
      <w:pPr>
        <w:pStyle w:val="ListParagraph"/>
        <w:numPr>
          <w:ilvl w:val="0"/>
          <w:numId w:val="51"/>
        </w:numPr>
        <w:tabs>
          <w:tab w:pos="1300" w:val="left" w:leader="none"/>
        </w:tabs>
        <w:spacing w:line="306" w:lineRule="exact" w:before="0" w:after="0"/>
        <w:ind w:left="1299" w:right="0" w:hanging="602"/>
        <w:jc w:val="left"/>
        <w:rPr>
          <w:sz w:val="24"/>
        </w:rPr>
      </w:pPr>
      <w:r>
        <w:rPr>
          <w:sz w:val="24"/>
        </w:rPr>
        <w:t>必须将</w:t>
      </w:r>
      <w:r>
        <w:rPr>
          <w:rFonts w:ascii="Times New Roman" w:hAnsi="Times New Roman" w:eastAsia="Times New Roman"/>
          <w:sz w:val="24"/>
        </w:rPr>
        <w:t>“</w:t>
      </w:r>
      <w:r>
        <w:rPr>
          <w:sz w:val="24"/>
        </w:rPr>
        <w:t>安全第一，预防为主</w:t>
      </w:r>
      <w:r>
        <w:rPr>
          <w:rFonts w:ascii="Times New Roman" w:hAnsi="Times New Roman" w:eastAsia="Times New Roman"/>
          <w:sz w:val="24"/>
        </w:rPr>
        <w:t>”</w:t>
      </w:r>
      <w:r>
        <w:rPr>
          <w:sz w:val="24"/>
        </w:rPr>
        <w:t>作为公司经营的基本原则；</w:t>
      </w:r>
    </w:p>
    <w:p>
      <w:pPr>
        <w:pStyle w:val="ListParagraph"/>
        <w:numPr>
          <w:ilvl w:val="0"/>
          <w:numId w:val="51"/>
        </w:numPr>
        <w:tabs>
          <w:tab w:pos="1306" w:val="left" w:leader="none"/>
        </w:tabs>
        <w:spacing w:line="364" w:lineRule="auto" w:before="161" w:after="0"/>
        <w:ind w:left="218" w:right="233" w:firstLine="480"/>
        <w:jc w:val="both"/>
        <w:rPr>
          <w:sz w:val="24"/>
        </w:rPr>
      </w:pPr>
      <w:r>
        <w:rPr>
          <w:sz w:val="24"/>
        </w:rPr>
        <w:t>必须进行广泛系统的培训，使所有操作人员熟悉自己的岗位，树立严谨规范</w:t>
      </w:r>
      <w:r>
        <w:rPr>
          <w:spacing w:val="-6"/>
          <w:sz w:val="24"/>
        </w:rPr>
        <w:t>的操作作风，并且在任何紧急状况下都能随时对工艺装置进行控制，并及时、独立、正</w:t>
      </w:r>
      <w:r>
        <w:rPr>
          <w:sz w:val="24"/>
        </w:rPr>
        <w:t>确地实施相关应急措施。</w:t>
      </w:r>
    </w:p>
    <w:p>
      <w:pPr>
        <w:pStyle w:val="ListParagraph"/>
        <w:numPr>
          <w:ilvl w:val="0"/>
          <w:numId w:val="51"/>
        </w:numPr>
        <w:tabs>
          <w:tab w:pos="1306" w:val="left" w:leader="none"/>
        </w:tabs>
        <w:spacing w:line="364" w:lineRule="auto" w:before="0" w:after="0"/>
        <w:ind w:left="218" w:right="185" w:firstLine="480"/>
        <w:jc w:val="left"/>
        <w:rPr>
          <w:sz w:val="24"/>
        </w:rPr>
      </w:pPr>
      <w:r>
        <w:rPr>
          <w:sz w:val="24"/>
        </w:rPr>
        <w:t>设立环保安全科，负责全厂的环保、安全管理，由具有丰富经验的人担当负</w:t>
      </w:r>
      <w:r>
        <w:rPr>
          <w:spacing w:val="-1"/>
          <w:sz w:val="24"/>
        </w:rPr>
        <w:t>责人，每个车间和主要装置设置专职或兼职安全员，兼职安全员原则上由工艺员担任。</w:t>
      </w:r>
    </w:p>
    <w:p>
      <w:pPr>
        <w:pStyle w:val="ListParagraph"/>
        <w:numPr>
          <w:ilvl w:val="0"/>
          <w:numId w:val="51"/>
        </w:numPr>
        <w:tabs>
          <w:tab w:pos="1306" w:val="left" w:leader="none"/>
        </w:tabs>
        <w:spacing w:line="362" w:lineRule="auto" w:before="0" w:after="0"/>
        <w:ind w:left="218" w:right="242" w:firstLine="480"/>
        <w:jc w:val="left"/>
        <w:rPr>
          <w:sz w:val="24"/>
        </w:rPr>
      </w:pPr>
      <w:r>
        <w:rPr>
          <w:spacing w:val="-1"/>
          <w:sz w:val="24"/>
        </w:rPr>
        <w:t>全厂设立安全生产领导小组，由厂长亲自担任领导小组组长，形成领导负总</w:t>
      </w:r>
      <w:r>
        <w:rPr>
          <w:sz w:val="24"/>
        </w:rPr>
        <w:t>责，全公司参与的管理模式。</w:t>
      </w:r>
    </w:p>
    <w:p>
      <w:pPr>
        <w:pStyle w:val="ListParagraph"/>
        <w:numPr>
          <w:ilvl w:val="0"/>
          <w:numId w:val="51"/>
        </w:numPr>
        <w:tabs>
          <w:tab w:pos="1306" w:val="left" w:leader="none"/>
        </w:tabs>
        <w:spacing w:line="362" w:lineRule="auto" w:before="4" w:after="0"/>
        <w:ind w:left="218" w:right="233" w:firstLine="480"/>
        <w:jc w:val="left"/>
        <w:rPr>
          <w:sz w:val="24"/>
        </w:rPr>
      </w:pPr>
      <w:r>
        <w:rPr>
          <w:spacing w:val="-8"/>
          <w:sz w:val="24"/>
        </w:rPr>
        <w:t>要严格遵守有关贮存的安全规定，具体包括《仓库防火安全管理规则》、《建</w:t>
      </w:r>
      <w:r>
        <w:rPr>
          <w:spacing w:val="-18"/>
          <w:sz w:val="24"/>
        </w:rPr>
        <w:t>筑设计防火规范》、《易燃易爆化学物品消防安全监督管理办法》等。</w:t>
      </w:r>
    </w:p>
    <w:p>
      <w:pPr>
        <w:spacing w:after="0" w:line="362" w:lineRule="auto"/>
        <w:jc w:val="left"/>
        <w:rPr>
          <w:sz w:val="24"/>
        </w:rPr>
        <w:sectPr>
          <w:footerReference w:type="default" r:id="rId166"/>
          <w:pgSz w:w="11910" w:h="16840"/>
          <w:pgMar w:footer="945" w:header="872" w:top="1320" w:bottom="1140" w:left="1200" w:right="1180"/>
        </w:sectPr>
      </w:pPr>
    </w:p>
    <w:p>
      <w:pPr>
        <w:pStyle w:val="Heading4"/>
        <w:numPr>
          <w:ilvl w:val="2"/>
          <w:numId w:val="23"/>
        </w:numPr>
        <w:tabs>
          <w:tab w:pos="759" w:val="left" w:leader="none"/>
        </w:tabs>
        <w:spacing w:line="240" w:lineRule="auto" w:before="84" w:after="0"/>
        <w:ind w:left="758" w:right="0" w:hanging="541"/>
        <w:jc w:val="left"/>
      </w:pPr>
      <w:r>
        <w:rPr/>
        <w:t>生产过程的风险防范措施</w:t>
      </w:r>
    </w:p>
    <w:p>
      <w:pPr>
        <w:pStyle w:val="BodyText"/>
        <w:spacing w:before="159"/>
        <w:ind w:left="698"/>
      </w:pPr>
      <w:r>
        <w:rPr/>
        <w:t>本环评要求对生产事故应急措施做如下完善：</w:t>
      </w:r>
    </w:p>
    <w:p>
      <w:pPr>
        <w:pStyle w:val="BodyText"/>
        <w:spacing w:line="364" w:lineRule="auto" w:before="160"/>
        <w:ind w:left="218" w:right="211" w:firstLine="480"/>
        <w:jc w:val="both"/>
      </w:pPr>
      <w:r>
        <w:rPr>
          <w:rFonts w:ascii="Times New Roman" w:hAnsi="Times New Roman" w:eastAsia="Times New Roman"/>
        </w:rPr>
        <w:t>1</w:t>
      </w:r>
      <w:r>
        <w:rPr/>
        <w:t>、对突发性污染事故的防治对策应从以下几点严格控制和管理，加强事故措施和事故应急处理的技能，懂得紧急救援的知识。</w:t>
      </w:r>
      <w:r>
        <w:rPr>
          <w:rFonts w:ascii="Times New Roman" w:hAnsi="Times New Roman" w:eastAsia="Times New Roman"/>
        </w:rPr>
        <w:t>“</w:t>
      </w:r>
      <w:r>
        <w:rPr/>
        <w:t>预防为主，安全第一</w:t>
      </w:r>
      <w:r>
        <w:rPr>
          <w:rFonts w:ascii="Times New Roman" w:hAnsi="Times New Roman" w:eastAsia="Times New Roman"/>
        </w:rPr>
        <w:t>”</w:t>
      </w:r>
      <w:r>
        <w:rPr/>
        <w:t>是减少事故发生、降低污染事故或损害的主要保障，建议做好一下几方面的工作：</w:t>
      </w:r>
    </w:p>
    <w:p>
      <w:pPr>
        <w:pStyle w:val="Heading4"/>
        <w:numPr>
          <w:ilvl w:val="0"/>
          <w:numId w:val="52"/>
        </w:numPr>
        <w:tabs>
          <w:tab w:pos="1306" w:val="left" w:leader="none"/>
        </w:tabs>
        <w:spacing w:line="305" w:lineRule="exact" w:before="0" w:after="0"/>
        <w:ind w:left="1306" w:right="0" w:hanging="605"/>
        <w:jc w:val="left"/>
      </w:pPr>
      <w:r>
        <w:rPr/>
        <w:t>提高认识、完善制度、严格检查</w:t>
      </w:r>
    </w:p>
    <w:p>
      <w:pPr>
        <w:pStyle w:val="BodyText"/>
        <w:spacing w:line="364" w:lineRule="auto" w:before="161"/>
        <w:ind w:left="218" w:right="113" w:firstLine="480"/>
      </w:pPr>
      <w:r>
        <w:rPr>
          <w:spacing w:val="-3"/>
        </w:rPr>
        <w:t>企业领导应提高对突发性事故的警觉和认识，做到警钟常鸣，建议企业建立安全与</w:t>
      </w:r>
      <w:r>
        <w:rPr>
          <w:spacing w:val="-7"/>
        </w:rPr>
        <w:t>环保科，由企业领导直接领导，全权负责。主要负责检查和监督全场的安全生产和环保</w:t>
      </w:r>
      <w:r>
        <w:rPr>
          <w:spacing w:val="-16"/>
        </w:rPr>
        <w:t>设施的正常运转情况。对安全和环保应建立严格的防范措施，制定严格的管理规章制度， </w:t>
      </w:r>
      <w:r>
        <w:rPr/>
        <w:t>列出潜在危险的过程、设备等清单，严格执行设备检验和报废制度。</w:t>
      </w:r>
    </w:p>
    <w:p>
      <w:pPr>
        <w:pStyle w:val="Heading4"/>
        <w:numPr>
          <w:ilvl w:val="0"/>
          <w:numId w:val="52"/>
        </w:numPr>
        <w:tabs>
          <w:tab w:pos="1305" w:val="left" w:leader="none"/>
        </w:tabs>
        <w:spacing w:line="306" w:lineRule="exact" w:before="0" w:after="0"/>
        <w:ind w:left="1304" w:right="0" w:hanging="604"/>
        <w:jc w:val="left"/>
      </w:pPr>
      <w:r>
        <w:rPr/>
        <w:t>加强技术培训，提高职工安全意识</w:t>
      </w:r>
    </w:p>
    <w:p>
      <w:pPr>
        <w:pStyle w:val="BodyText"/>
        <w:spacing w:line="362" w:lineRule="auto" w:before="160"/>
        <w:ind w:left="218" w:right="172" w:firstLine="480"/>
      </w:pPr>
      <w:r>
        <w:rPr/>
        <w:t>职工安全生产的经验不足，一定程度上会增加事故发生的概率，因此企业对生产操作工人必须进行上岗前专业技术培训，严格管理，提高职工安全环保意识。</w:t>
      </w:r>
    </w:p>
    <w:p>
      <w:pPr>
        <w:pStyle w:val="Heading4"/>
        <w:numPr>
          <w:ilvl w:val="0"/>
          <w:numId w:val="52"/>
        </w:numPr>
        <w:tabs>
          <w:tab w:pos="1305" w:val="left" w:leader="none"/>
        </w:tabs>
        <w:spacing w:line="240" w:lineRule="auto" w:before="5" w:after="0"/>
        <w:ind w:left="1304" w:right="0" w:hanging="604"/>
        <w:jc w:val="left"/>
      </w:pPr>
      <w:r>
        <w:rPr/>
        <w:t>提高事故应急处理的能力</w:t>
      </w:r>
    </w:p>
    <w:p>
      <w:pPr>
        <w:pStyle w:val="BodyText"/>
        <w:spacing w:line="364" w:lineRule="auto" w:before="158"/>
        <w:ind w:left="218" w:right="232" w:firstLine="480"/>
        <w:jc w:val="both"/>
      </w:pPr>
      <w:r>
        <w:rPr>
          <w:spacing w:val="-4"/>
        </w:rPr>
        <w:t>企业对具有高危害设备设置保险措施，对危险车间可设置消防装置等必备设施；并</w:t>
      </w:r>
      <w:r>
        <w:rPr>
          <w:spacing w:val="-5"/>
        </w:rPr>
        <w:t>辅以适当的通讯工具，定期进行安全环保宣传教育以及紧急事故模拟演习，提高事故应</w:t>
      </w:r>
      <w:r>
        <w:rPr/>
        <w:t>变能力。</w:t>
      </w:r>
    </w:p>
    <w:p>
      <w:pPr>
        <w:pStyle w:val="BodyText"/>
        <w:spacing w:line="364" w:lineRule="auto"/>
        <w:ind w:left="218" w:right="233" w:firstLine="480"/>
        <w:jc w:val="both"/>
      </w:pPr>
      <w:r>
        <w:rPr>
          <w:rFonts w:ascii="Times New Roman" w:eastAsia="Times New Roman"/>
        </w:rPr>
        <w:t>2</w:t>
      </w:r>
      <w:r>
        <w:rPr/>
        <w:t>、生产过程中使用到的甲酸等物质具有腐蚀性，故反应釜设置需采用安全阀和爆</w:t>
      </w:r>
      <w:r>
        <w:rPr>
          <w:spacing w:val="-6"/>
        </w:rPr>
        <w:t>破片的组合设计，安全阀与爆破片之间设置相应的装置，监控爆破片的状态；涉及可燃</w:t>
      </w:r>
      <w:r>
        <w:rPr>
          <w:spacing w:val="-3"/>
        </w:rPr>
        <w:t>介质的反应釜设置液位开关报警连锁切断所有合成反应釜的进料开关阀及进料泵；反应</w:t>
      </w:r>
      <w:r>
        <w:rPr>
          <w:spacing w:val="-4"/>
        </w:rPr>
        <w:t>釜中滴加物料均采用的程序控制的自动滴加设置，同时连锁反应釜的冷却系统、搅拌装</w:t>
      </w:r>
      <w:r>
        <w:rPr>
          <w:spacing w:val="-1"/>
        </w:rPr>
        <w:t>置、压力及温度报警装置、滴加物料的自动切断装置；搅拌电机电流在 </w:t>
      </w:r>
      <w:r>
        <w:rPr>
          <w:rFonts w:ascii="Times New Roman" w:eastAsia="Times New Roman"/>
        </w:rPr>
        <w:t>DCS </w:t>
      </w:r>
      <w:r>
        <w:rPr>
          <w:spacing w:val="-4"/>
        </w:rPr>
        <w:t>上显示， 搅拌状态在 </w:t>
      </w:r>
      <w:r>
        <w:rPr>
          <w:rFonts w:ascii="Times New Roman" w:eastAsia="Times New Roman"/>
        </w:rPr>
        <w:t>DCS </w:t>
      </w:r>
      <w:r>
        <w:rPr>
          <w:spacing w:val="-1"/>
        </w:rPr>
        <w:t>上有反馈信号；反应釜的加热冷却尽可能设置自动控制，并采用梯度</w:t>
      </w:r>
      <w:r>
        <w:rPr/>
        <w:t>换热方式，节约能耗。</w:t>
      </w:r>
    </w:p>
    <w:p>
      <w:pPr>
        <w:pStyle w:val="BodyText"/>
        <w:spacing w:line="305" w:lineRule="exact"/>
        <w:ind w:left="698"/>
      </w:pPr>
      <w:r>
        <w:rPr>
          <w:rFonts w:ascii="Times New Roman" w:eastAsia="Times New Roman"/>
        </w:rPr>
        <w:t>3</w:t>
      </w:r>
      <w:r>
        <w:rPr/>
        <w:t>、农药粉尘防爆措施</w:t>
      </w:r>
    </w:p>
    <w:p>
      <w:pPr>
        <w:pStyle w:val="ListParagraph"/>
        <w:numPr>
          <w:ilvl w:val="0"/>
          <w:numId w:val="53"/>
        </w:numPr>
        <w:tabs>
          <w:tab w:pos="1300" w:val="left" w:leader="none"/>
        </w:tabs>
        <w:spacing w:line="240" w:lineRule="auto" w:before="159" w:after="0"/>
        <w:ind w:left="1299" w:right="0" w:hanging="602"/>
        <w:jc w:val="left"/>
        <w:rPr>
          <w:sz w:val="24"/>
        </w:rPr>
      </w:pPr>
      <w:r>
        <w:rPr>
          <w:sz w:val="24"/>
        </w:rPr>
        <w:t>控制消除粉尘源</w:t>
      </w:r>
    </w:p>
    <w:p>
      <w:pPr>
        <w:pStyle w:val="BodyText"/>
        <w:spacing w:line="364" w:lineRule="auto" w:before="160"/>
        <w:ind w:left="218" w:right="235" w:firstLine="480"/>
        <w:jc w:val="both"/>
      </w:pPr>
      <w:r>
        <w:rPr>
          <w:spacing w:val="-4"/>
        </w:rPr>
        <w:t>采用工艺设备将农药粉末密封在防止粉尘泄漏的容器内；在产生粉尘的区域应采用</w:t>
      </w:r>
      <w:r>
        <w:rPr>
          <w:spacing w:val="-7"/>
        </w:rPr>
        <w:t>除尘措施，工艺机组与除尘设备联锁停车。在易产生粉尘的区域内如成品包装区、投料</w:t>
      </w:r>
      <w:r>
        <w:rPr>
          <w:spacing w:val="-5"/>
        </w:rPr>
        <w:t>口等地方应采用真空上料装置、自动化包装机等，限制和缩小爆炸危险区域的范围。产</w:t>
      </w:r>
      <w:r>
        <w:rPr/>
        <w:t>生粉尘的车间各部位应平滑，尽量避免设置一些无关设施</w:t>
      </w:r>
      <w:r>
        <w:rPr>
          <w:spacing w:val="4"/>
        </w:rPr>
        <w:t>（</w:t>
      </w:r>
      <w:r>
        <w:rPr>
          <w:spacing w:val="1"/>
        </w:rPr>
        <w:t>如窗幕、门帘等</w:t>
      </w:r>
      <w:r>
        <w:rPr>
          <w:rFonts w:ascii="Times New Roman" w:eastAsia="Times New Roman"/>
          <w:spacing w:val="4"/>
        </w:rPr>
        <w:t>)</w:t>
      </w:r>
      <w:r>
        <w:rPr/>
        <w:t>。管线等</w:t>
      </w:r>
    </w:p>
    <w:p>
      <w:pPr>
        <w:spacing w:after="0" w:line="364" w:lineRule="auto"/>
        <w:jc w:val="both"/>
        <w:sectPr>
          <w:footerReference w:type="default" r:id="rId167"/>
          <w:pgSz w:w="11910" w:h="16840"/>
          <w:pgMar w:footer="945" w:header="872" w:top="1320" w:bottom="1140" w:left="1200" w:right="1180"/>
          <w:pgNumType w:start="231"/>
        </w:sectPr>
      </w:pPr>
    </w:p>
    <w:p>
      <w:pPr>
        <w:pStyle w:val="BodyText"/>
        <w:spacing w:line="364" w:lineRule="auto" w:before="84"/>
        <w:ind w:left="218" w:right="117"/>
        <w:jc w:val="both"/>
      </w:pPr>
      <w:r>
        <w:rPr/>
        <w:t>尽量不要穿越产生粉尘的车间，宜在墙内敷设，防止粉尘积聚，另外，在条件允许下， </w:t>
      </w:r>
      <w:r>
        <w:rPr>
          <w:spacing w:val="-13"/>
        </w:rPr>
        <w:t>在粉尘车间喷雾状水，防止形成粉尘云。此外，在车间内做好清洁工作，及时人工清扫， </w:t>
      </w:r>
      <w:r>
        <w:rPr/>
        <w:t>也是消除粉尘源的好方法。</w:t>
      </w:r>
    </w:p>
    <w:p>
      <w:pPr>
        <w:pStyle w:val="ListParagraph"/>
        <w:numPr>
          <w:ilvl w:val="0"/>
          <w:numId w:val="53"/>
        </w:numPr>
        <w:tabs>
          <w:tab w:pos="1300" w:val="left" w:leader="none"/>
        </w:tabs>
        <w:spacing w:line="305" w:lineRule="exact" w:before="0" w:after="0"/>
        <w:ind w:left="1299" w:right="0" w:hanging="602"/>
        <w:jc w:val="left"/>
        <w:rPr>
          <w:sz w:val="24"/>
        </w:rPr>
      </w:pPr>
      <w:r>
        <w:rPr>
          <w:sz w:val="24"/>
        </w:rPr>
        <w:t>严格控制点火源。</w:t>
      </w:r>
    </w:p>
    <w:p>
      <w:pPr>
        <w:pStyle w:val="BodyText"/>
        <w:spacing w:line="364" w:lineRule="auto" w:before="161"/>
        <w:ind w:left="218" w:right="186" w:firstLine="480"/>
        <w:jc w:val="both"/>
      </w:pPr>
      <w:r>
        <w:rPr>
          <w:spacing w:val="-1"/>
        </w:rPr>
        <w:t>消除点火源是预防粉尘爆炸的最实用、最有效的措施。在常见点火源中，电火花、静电、摩擦火花、明火、高温物体表面、焊接切割火花等是引起粉尘爆炸的主要原因。</w:t>
      </w:r>
      <w:r>
        <w:rPr>
          <w:spacing w:val="-7"/>
        </w:rPr>
        <w:t>因此，应对此高度重视。场所的电气设备应严格按照《爆炸和火灾危险环境电力装置设</w:t>
      </w:r>
      <w:r>
        <w:rPr>
          <w:spacing w:val="-10"/>
        </w:rPr>
        <w:t>计规范》进行设计、安装，达到整体防爆要求，尽量不安装或少安装易产生静电，易产生火花的机械设备，并采取静电接地保护措施。</w:t>
      </w:r>
    </w:p>
    <w:p>
      <w:pPr>
        <w:pStyle w:val="ListParagraph"/>
        <w:numPr>
          <w:ilvl w:val="0"/>
          <w:numId w:val="53"/>
        </w:numPr>
        <w:tabs>
          <w:tab w:pos="1300" w:val="left" w:leader="none"/>
        </w:tabs>
        <w:spacing w:line="306" w:lineRule="exact" w:before="0" w:after="0"/>
        <w:ind w:left="1299" w:right="0" w:hanging="602"/>
        <w:jc w:val="left"/>
        <w:rPr>
          <w:sz w:val="24"/>
        </w:rPr>
      </w:pPr>
      <w:r>
        <w:rPr>
          <w:sz w:val="24"/>
        </w:rPr>
        <w:t>采取可靠有效的防护措施。</w:t>
      </w:r>
    </w:p>
    <w:p>
      <w:pPr>
        <w:pStyle w:val="BodyText"/>
        <w:spacing w:line="364" w:lineRule="auto" w:before="158"/>
        <w:ind w:left="218" w:right="116" w:firstLine="480"/>
      </w:pPr>
      <w:r>
        <w:rPr/>
        <w:t>要考虑防止爆炸火焰通过连接处向外传播。为减小爆炸的破坏性可设置泄压装置， </w:t>
      </w:r>
      <w:r>
        <w:rPr>
          <w:spacing w:val="-4"/>
        </w:rPr>
        <w:t>如对车间采用轻质屋顶、墙体或增开门窗等作为泄压面积。此外爆炸危险区域应设有两</w:t>
      </w:r>
      <w:r>
        <w:rPr>
          <w:spacing w:val="-8"/>
        </w:rPr>
        <w:t>个以上出入口，其中至少有一个通向非爆炸危险区域，其出人口的门应向爆炸危险性较</w:t>
      </w:r>
      <w:r>
        <w:rPr>
          <w:spacing w:val="-16"/>
        </w:rPr>
        <w:t>小的区域侧开启；同时厂房内表面应平整、光滑，并易于清扫。且厂房内不宜设置地沟， </w:t>
      </w:r>
      <w:r>
        <w:rPr>
          <w:spacing w:val="-6"/>
        </w:rPr>
        <w:t>必须设置时，其盖板应严密，地沟应采取防止可粉尘在地沟积聚的有效措施，且与相邻厂房连通处应采用防火材料密封。</w:t>
      </w:r>
    </w:p>
    <w:p>
      <w:pPr>
        <w:pStyle w:val="Heading4"/>
        <w:numPr>
          <w:ilvl w:val="2"/>
          <w:numId w:val="23"/>
        </w:numPr>
        <w:tabs>
          <w:tab w:pos="759" w:val="left" w:leader="none"/>
        </w:tabs>
        <w:spacing w:line="304" w:lineRule="exact" w:before="0" w:after="0"/>
        <w:ind w:left="758" w:right="0" w:hanging="541"/>
        <w:jc w:val="left"/>
      </w:pPr>
      <w:r>
        <w:rPr>
          <w:w w:val="95"/>
        </w:rPr>
        <w:t>储存过程风险防范措施</w:t>
      </w:r>
    </w:p>
    <w:p>
      <w:pPr>
        <w:spacing w:before="161"/>
        <w:ind w:left="701" w:right="0" w:firstLine="0"/>
        <w:jc w:val="left"/>
        <w:rPr>
          <w:b/>
          <w:sz w:val="24"/>
        </w:rPr>
      </w:pPr>
      <w:r>
        <w:rPr>
          <w:rFonts w:ascii="Times New Roman" w:eastAsia="Times New Roman"/>
          <w:b/>
          <w:w w:val="95"/>
          <w:sz w:val="24"/>
        </w:rPr>
        <w:t>1</w:t>
      </w:r>
      <w:r>
        <w:rPr>
          <w:b/>
          <w:w w:val="95"/>
          <w:sz w:val="24"/>
        </w:rPr>
        <w:t>、防火、防爆和防泄漏管理措施</w:t>
      </w:r>
    </w:p>
    <w:p>
      <w:pPr>
        <w:pStyle w:val="BodyText"/>
        <w:spacing w:line="364" w:lineRule="auto" w:before="158"/>
        <w:ind w:left="218" w:right="180" w:firstLine="480"/>
      </w:pPr>
      <w:r>
        <w:rPr/>
        <w:t>工程可能遇到的火源主要是施工明火、吸烟、维修用火、电器火灾、静电火花、雷击、撞击火星等，应采取的安全管理措施包括：</w:t>
      </w:r>
    </w:p>
    <w:p>
      <w:pPr>
        <w:pStyle w:val="ListParagraph"/>
        <w:numPr>
          <w:ilvl w:val="0"/>
          <w:numId w:val="54"/>
        </w:numPr>
        <w:tabs>
          <w:tab w:pos="1300" w:val="left" w:leader="none"/>
        </w:tabs>
        <w:spacing w:line="306" w:lineRule="exact" w:before="0" w:after="0"/>
        <w:ind w:left="1299" w:right="0" w:hanging="602"/>
        <w:jc w:val="left"/>
        <w:rPr>
          <w:sz w:val="24"/>
        </w:rPr>
      </w:pPr>
      <w:r>
        <w:rPr>
          <w:sz w:val="24"/>
        </w:rPr>
        <w:t>严禁吸烟、严禁携带火种、严禁穿带铁钉的皮鞋进入易燃易爆区域；</w:t>
      </w:r>
    </w:p>
    <w:p>
      <w:pPr>
        <w:pStyle w:val="ListParagraph"/>
        <w:numPr>
          <w:ilvl w:val="0"/>
          <w:numId w:val="54"/>
        </w:numPr>
        <w:tabs>
          <w:tab w:pos="1306" w:val="left" w:leader="none"/>
        </w:tabs>
        <w:spacing w:line="364" w:lineRule="auto" w:before="160" w:after="0"/>
        <w:ind w:left="218" w:right="240" w:firstLine="480"/>
        <w:jc w:val="left"/>
        <w:rPr>
          <w:sz w:val="24"/>
        </w:rPr>
      </w:pPr>
      <w:r>
        <w:rPr>
          <w:sz w:val="24"/>
        </w:rPr>
        <w:t>维修动火必须彻底吹扫、置换、泄压，经测爆合格、办理火票后方准动火， 并设专人看守；</w:t>
      </w:r>
    </w:p>
    <w:p>
      <w:pPr>
        <w:pStyle w:val="ListParagraph"/>
        <w:numPr>
          <w:ilvl w:val="0"/>
          <w:numId w:val="54"/>
        </w:numPr>
        <w:tabs>
          <w:tab w:pos="1306" w:val="left" w:leader="none"/>
        </w:tabs>
        <w:spacing w:line="364" w:lineRule="auto" w:before="0" w:after="0"/>
        <w:ind w:left="218" w:right="242" w:firstLine="480"/>
        <w:jc w:val="left"/>
        <w:rPr>
          <w:sz w:val="24"/>
        </w:rPr>
      </w:pPr>
      <w:r>
        <w:rPr>
          <w:spacing w:val="-1"/>
          <w:sz w:val="24"/>
        </w:rPr>
        <w:t>局部设备维修时，应和非检修设备、管线断开火加盲板，盲板应挂牌登记， </w:t>
      </w:r>
      <w:r>
        <w:rPr>
          <w:sz w:val="24"/>
        </w:rPr>
        <w:t>防止串油、串气引发事故；</w:t>
      </w:r>
    </w:p>
    <w:p>
      <w:pPr>
        <w:pStyle w:val="ListParagraph"/>
        <w:numPr>
          <w:ilvl w:val="0"/>
          <w:numId w:val="54"/>
        </w:numPr>
        <w:tabs>
          <w:tab w:pos="1306" w:val="left" w:leader="none"/>
        </w:tabs>
        <w:spacing w:line="364" w:lineRule="auto" w:before="0" w:after="0"/>
        <w:ind w:left="218" w:right="232" w:firstLine="480"/>
        <w:jc w:val="left"/>
        <w:rPr>
          <w:sz w:val="24"/>
        </w:rPr>
      </w:pPr>
      <w:r>
        <w:rPr>
          <w:sz w:val="24"/>
        </w:rPr>
        <w:t>经常检查管线接头和阀门处的密封情况，发现故障及时报告并安排维修；对于小型跑冒滴漏，应有相应的预防及堵漏措施，防止泄漏事故的扩大。</w:t>
      </w:r>
    </w:p>
    <w:p>
      <w:pPr>
        <w:pStyle w:val="Heading4"/>
        <w:spacing w:line="306" w:lineRule="exact"/>
      </w:pPr>
      <w:r>
        <w:rPr>
          <w:rFonts w:ascii="Times New Roman" w:eastAsia="Times New Roman"/>
        </w:rPr>
        <w:t>2</w:t>
      </w:r>
      <w:r>
        <w:rPr/>
        <w:t>、工艺技术设计安全防范措施</w:t>
      </w:r>
    </w:p>
    <w:p>
      <w:pPr>
        <w:pStyle w:val="ListParagraph"/>
        <w:numPr>
          <w:ilvl w:val="0"/>
          <w:numId w:val="55"/>
        </w:numPr>
        <w:tabs>
          <w:tab w:pos="1306" w:val="left" w:leader="none"/>
        </w:tabs>
        <w:spacing w:line="362" w:lineRule="auto" w:before="159" w:after="0"/>
        <w:ind w:left="218" w:right="242" w:firstLine="480"/>
        <w:jc w:val="left"/>
        <w:rPr>
          <w:sz w:val="24"/>
        </w:rPr>
      </w:pPr>
      <w:r>
        <w:rPr>
          <w:spacing w:val="-1"/>
          <w:sz w:val="24"/>
        </w:rPr>
        <w:t>采用密闭输送和装卸工艺，所有介质均通过输液泵和密闭管道输送到输液臂</w:t>
      </w:r>
      <w:r>
        <w:rPr>
          <w:sz w:val="24"/>
        </w:rPr>
        <w:t>装船，输液臂和管道内物料的流速，控制在规范规定的安全流速范围内；</w:t>
      </w:r>
    </w:p>
    <w:p>
      <w:pPr>
        <w:spacing w:after="0" w:line="362" w:lineRule="auto"/>
        <w:jc w:val="left"/>
        <w:rPr>
          <w:sz w:val="24"/>
        </w:rPr>
        <w:sectPr>
          <w:pgSz w:w="11910" w:h="16840"/>
          <w:pgMar w:header="872" w:footer="945" w:top="1320" w:bottom="1140" w:left="1200" w:right="1180"/>
        </w:sectPr>
      </w:pPr>
    </w:p>
    <w:p>
      <w:pPr>
        <w:pStyle w:val="ListParagraph"/>
        <w:numPr>
          <w:ilvl w:val="0"/>
          <w:numId w:val="55"/>
        </w:numPr>
        <w:tabs>
          <w:tab w:pos="1300" w:val="left" w:leader="none"/>
        </w:tabs>
        <w:spacing w:line="364" w:lineRule="auto" w:before="84" w:after="0"/>
        <w:ind w:left="218" w:right="165" w:firstLine="480"/>
        <w:jc w:val="left"/>
        <w:rPr>
          <w:sz w:val="24"/>
        </w:rPr>
      </w:pPr>
      <w:r>
        <w:rPr>
          <w:spacing w:val="-3"/>
          <w:sz w:val="24"/>
        </w:rPr>
        <w:t>管道运行的压力、温度以及流量等工艺参数，采用 </w:t>
      </w:r>
      <w:r>
        <w:rPr>
          <w:rFonts w:ascii="Times New Roman" w:eastAsia="Times New Roman"/>
          <w:sz w:val="24"/>
        </w:rPr>
        <w:t>PLC </w:t>
      </w:r>
      <w:r>
        <w:rPr>
          <w:spacing w:val="-4"/>
          <w:sz w:val="24"/>
        </w:rPr>
        <w:t>系统实时采集监控， </w:t>
      </w:r>
      <w:r>
        <w:rPr>
          <w:sz w:val="24"/>
        </w:rPr>
        <w:t>设定温度、压力操作参数安全值，并设有超值报警；</w:t>
      </w:r>
    </w:p>
    <w:p>
      <w:pPr>
        <w:pStyle w:val="ListParagraph"/>
        <w:numPr>
          <w:ilvl w:val="0"/>
          <w:numId w:val="55"/>
        </w:numPr>
        <w:tabs>
          <w:tab w:pos="1300" w:val="left" w:leader="none"/>
        </w:tabs>
        <w:spacing w:line="307" w:lineRule="exact" w:before="0" w:after="0"/>
        <w:ind w:left="1299" w:right="0" w:hanging="602"/>
        <w:jc w:val="left"/>
        <w:rPr>
          <w:sz w:val="24"/>
        </w:rPr>
      </w:pPr>
      <w:r>
        <w:rPr>
          <w:sz w:val="24"/>
        </w:rPr>
        <w:t>管道连接处设置紧急切断阀，以备事故时切断与罐区的联系；</w:t>
      </w:r>
    </w:p>
    <w:p>
      <w:pPr>
        <w:pStyle w:val="ListParagraph"/>
        <w:numPr>
          <w:ilvl w:val="0"/>
          <w:numId w:val="55"/>
        </w:numPr>
        <w:tabs>
          <w:tab w:pos="1306" w:val="left" w:leader="none"/>
        </w:tabs>
        <w:spacing w:line="364" w:lineRule="auto" w:before="158" w:after="0"/>
        <w:ind w:left="218" w:right="232" w:firstLine="480"/>
        <w:jc w:val="left"/>
        <w:rPr>
          <w:sz w:val="24"/>
        </w:rPr>
      </w:pPr>
      <w:r>
        <w:rPr>
          <w:sz w:val="24"/>
        </w:rPr>
        <w:t>为避免管道升温所引起的管道膨胀和内压增高，在管道上设置自平衡式管道膨胀节，同时考虑了管道内部的卸压措施，设置压力超高报警；</w:t>
      </w:r>
    </w:p>
    <w:p>
      <w:pPr>
        <w:pStyle w:val="ListParagraph"/>
        <w:numPr>
          <w:ilvl w:val="0"/>
          <w:numId w:val="55"/>
        </w:numPr>
        <w:tabs>
          <w:tab w:pos="1306" w:val="left" w:leader="none"/>
        </w:tabs>
        <w:spacing w:line="364" w:lineRule="auto" w:before="0" w:after="0"/>
        <w:ind w:left="218" w:right="242" w:firstLine="480"/>
        <w:jc w:val="left"/>
        <w:rPr>
          <w:sz w:val="24"/>
        </w:rPr>
      </w:pPr>
      <w:r>
        <w:rPr>
          <w:spacing w:val="-1"/>
          <w:sz w:val="24"/>
        </w:rPr>
        <w:t>阀门选用球形阀，重要部位和大口径阀门选用电动和手动两种方式，以避免</w:t>
      </w:r>
      <w:r>
        <w:rPr>
          <w:sz w:val="24"/>
        </w:rPr>
        <w:t>或减少泄漏、减轻操作人员的劳动强度；</w:t>
      </w:r>
    </w:p>
    <w:p>
      <w:pPr>
        <w:pStyle w:val="ListParagraph"/>
        <w:numPr>
          <w:ilvl w:val="0"/>
          <w:numId w:val="55"/>
        </w:numPr>
        <w:tabs>
          <w:tab w:pos="1306" w:val="left" w:leader="none"/>
        </w:tabs>
        <w:spacing w:line="362" w:lineRule="auto" w:before="0" w:after="0"/>
        <w:ind w:left="218" w:right="238" w:firstLine="480"/>
        <w:jc w:val="left"/>
        <w:rPr>
          <w:sz w:val="24"/>
        </w:rPr>
      </w:pPr>
      <w:r>
        <w:rPr>
          <w:spacing w:val="-1"/>
          <w:sz w:val="24"/>
        </w:rPr>
        <w:t>加强罐区的自控水平，设置液位计，采用高低位报警、自动联锁等技术提高</w:t>
      </w:r>
      <w:r>
        <w:rPr>
          <w:sz w:val="24"/>
        </w:rPr>
        <w:t>罐区的抗风险能力。</w:t>
      </w:r>
    </w:p>
    <w:p>
      <w:pPr>
        <w:pStyle w:val="Heading4"/>
        <w:spacing w:before="6"/>
      </w:pPr>
      <w:r>
        <w:rPr>
          <w:rFonts w:ascii="Times New Roman" w:eastAsia="Times New Roman"/>
        </w:rPr>
        <w:t>3</w:t>
      </w:r>
      <w:r>
        <w:rPr/>
        <w:t>、物料输送事故防范措施</w:t>
      </w:r>
    </w:p>
    <w:p>
      <w:pPr>
        <w:pStyle w:val="BodyText"/>
        <w:spacing w:line="364" w:lineRule="auto" w:before="158"/>
        <w:ind w:left="218" w:right="118" w:firstLine="480"/>
      </w:pPr>
      <w:r>
        <w:rPr>
          <w:spacing w:val="-3"/>
        </w:rPr>
        <w:t>尽管事故的发生概率很小，但无论从安全角度还是从环保角度考虑，都应采取适当</w:t>
      </w:r>
      <w:r>
        <w:rPr>
          <w:spacing w:val="-4"/>
        </w:rPr>
        <w:t>的措施防止物料输送管道泄漏。建设单位应根据物料输送管道的特点加强 </w:t>
      </w:r>
      <w:r>
        <w:rPr>
          <w:rFonts w:ascii="Times New Roman" w:eastAsia="Times New Roman"/>
        </w:rPr>
        <w:t>HSE</w:t>
      </w:r>
      <w:r>
        <w:rPr>
          <w:rFonts w:ascii="Times New Roman" w:eastAsia="Times New Roman"/>
          <w:spacing w:val="48"/>
        </w:rPr>
        <w:t> </w:t>
      </w:r>
      <w:r>
        <w:rPr/>
        <w:t>管理； </w:t>
      </w:r>
      <w:r>
        <w:rPr>
          <w:spacing w:val="-3"/>
        </w:rPr>
        <w:t>建立健全岗位操作规程和 </w:t>
      </w:r>
      <w:r>
        <w:rPr>
          <w:rFonts w:ascii="Times New Roman" w:eastAsia="Times New Roman"/>
        </w:rPr>
        <w:t>HSE  </w:t>
      </w:r>
      <w:r>
        <w:rPr/>
        <w:t>管理程序，并确保贯彻执行。调度人员应熟悉管辖范围</w:t>
      </w:r>
      <w:r>
        <w:rPr>
          <w:spacing w:val="-4"/>
        </w:rPr>
        <w:t>内的工艺流程和管道的运行情况，能根据管道的输送量、环境条件，确定其输送温度和</w:t>
      </w:r>
      <w:r>
        <w:rPr>
          <w:spacing w:val="-15"/>
        </w:rPr>
        <w:t>输送方案；能根据管道运行参数的变化，判断管道运行是否正常，并能够及时采取措施， </w:t>
      </w:r>
      <w:r>
        <w:rPr/>
        <w:t>消除管道的事故隐患。</w:t>
      </w:r>
    </w:p>
    <w:p>
      <w:pPr>
        <w:pStyle w:val="BodyText"/>
        <w:spacing w:line="364" w:lineRule="auto"/>
        <w:ind w:left="218" w:right="232" w:firstLine="480"/>
        <w:jc w:val="both"/>
      </w:pPr>
      <w:r>
        <w:rPr>
          <w:spacing w:val="-4"/>
        </w:rPr>
        <w:t>危险化学品管道架空敷设时，应敷设在非燃烧体的支架或栈桥上。在已敷设的管道</w:t>
      </w:r>
      <w:r>
        <w:rPr>
          <w:spacing w:val="-7"/>
        </w:rPr>
        <w:t>下面，不得修建与管道无关的建筑物和堆放易燃物品；管道不应穿过非涉及危险化学品</w:t>
      </w:r>
      <w:r>
        <w:rPr>
          <w:spacing w:val="-6"/>
        </w:rPr>
        <w:t>所使用的建筑物；不应靠近热源敷设；管道外壁颜色、标志应执行《工业管道的基本识</w:t>
      </w:r>
      <w:r>
        <w:rPr>
          <w:spacing w:val="-5"/>
        </w:rPr>
        <w:t>别色、识别符号和安全标识</w:t>
      </w:r>
      <w:r>
        <w:rPr>
          <w:spacing w:val="-142"/>
        </w:rPr>
        <w:t>》</w:t>
      </w:r>
      <w:r>
        <w:rPr/>
        <w:t>（</w:t>
      </w:r>
      <w:r>
        <w:rPr>
          <w:rFonts w:ascii="Times New Roman" w:eastAsia="Times New Roman"/>
        </w:rPr>
        <w:t>GB </w:t>
      </w:r>
      <w:r>
        <w:rPr>
          <w:rFonts w:ascii="Times New Roman" w:eastAsia="Times New Roman"/>
          <w:spacing w:val="-5"/>
        </w:rPr>
        <w:t>7231</w:t>
      </w:r>
      <w:r>
        <w:rPr>
          <w:spacing w:val="-5"/>
        </w:rPr>
        <w:t>）</w:t>
      </w:r>
      <w:r>
        <w:rPr>
          <w:spacing w:val="-6"/>
        </w:rPr>
        <w:t>的规定；室内管道不应敷设在地沟中或直接埋</w:t>
      </w:r>
      <w:r>
        <w:rPr/>
        <w:t>地，室外地沟敷设的管道，应有防止泄漏、积聚或窜入其他沟道的措施。</w:t>
      </w:r>
    </w:p>
    <w:p>
      <w:pPr>
        <w:pStyle w:val="Heading4"/>
        <w:spacing w:line="306" w:lineRule="exact"/>
      </w:pPr>
      <w:r>
        <w:rPr>
          <w:rFonts w:ascii="Times New Roman" w:eastAsia="Times New Roman"/>
        </w:rPr>
        <w:t>4</w:t>
      </w:r>
      <w:r>
        <w:rPr/>
        <w:t>、火灾报警系统</w:t>
      </w:r>
    </w:p>
    <w:p>
      <w:pPr>
        <w:pStyle w:val="BodyText"/>
        <w:spacing w:line="364" w:lineRule="auto" w:before="157"/>
        <w:ind w:left="218" w:right="234" w:firstLine="480"/>
        <w:jc w:val="both"/>
      </w:pPr>
      <w:r>
        <w:rPr>
          <w:spacing w:val="-6"/>
        </w:rPr>
        <w:t>为有效预防火灾，及时发现和通报火情，保障安全生产，本库区设置火灾自动报警</w:t>
      </w:r>
      <w:r>
        <w:rPr>
          <w:spacing w:val="-8"/>
        </w:rPr>
        <w:t>系统。在库区、配电室及控制室区域设置手动报警按钮、火灾探测器及声光报警器，在</w:t>
      </w:r>
      <w:r>
        <w:rPr>
          <w:spacing w:val="-4"/>
        </w:rPr>
        <w:t>操作室设置一个消防控制柜，该柜内装有火灾报警控制器等，在控制室内同时设有消防</w:t>
      </w:r>
      <w:r>
        <w:rPr>
          <w:spacing w:val="-7"/>
        </w:rPr>
        <w:t>炮控制柜，该控制柜由消防炮厂家配套供货，火灾自动报警的控制要求如下：区域内任</w:t>
      </w:r>
      <w:r>
        <w:rPr>
          <w:spacing w:val="-5"/>
        </w:rPr>
        <w:t>意位置出现火情，手动报警按钮及火灾探测器发出报警信号，火灾报警控制器及声光报</w:t>
      </w:r>
      <w:r>
        <w:rPr/>
        <w:t>警器均发出声光报警信号。其控制要求如下：</w:t>
      </w:r>
    </w:p>
    <w:p>
      <w:pPr>
        <w:pStyle w:val="BodyText"/>
        <w:spacing w:line="362" w:lineRule="auto"/>
        <w:ind w:left="218" w:right="232" w:firstLine="480"/>
        <w:jc w:val="both"/>
      </w:pPr>
      <w:r>
        <w:rPr>
          <w:spacing w:val="-5"/>
        </w:rPr>
        <w:t>在操作室内通过电视监测系统监测，发现火情后手动启动按钮远程操作电动阀及消</w:t>
      </w:r>
      <w:r>
        <w:rPr>
          <w:spacing w:val="-3"/>
        </w:rPr>
        <w:t>防水泵，并满足水泵启动后将水和泡沫混合液送到最远的消防炮的时间不超过 </w:t>
      </w:r>
      <w:r>
        <w:rPr>
          <w:rFonts w:ascii="Times New Roman" w:eastAsia="Times New Roman"/>
        </w:rPr>
        <w:t>5min </w:t>
      </w:r>
      <w:r>
        <w:rPr>
          <w:spacing w:val="-15"/>
        </w:rPr>
        <w:t>的</w:t>
      </w:r>
    </w:p>
    <w:p>
      <w:pPr>
        <w:spacing w:after="0" w:line="362" w:lineRule="auto"/>
        <w:jc w:val="both"/>
        <w:sectPr>
          <w:pgSz w:w="11910" w:h="16840"/>
          <w:pgMar w:header="872" w:footer="945" w:top="1320" w:bottom="1140" w:left="1200" w:right="1180"/>
        </w:sectPr>
      </w:pPr>
    </w:p>
    <w:p>
      <w:pPr>
        <w:pStyle w:val="BodyText"/>
        <w:spacing w:line="364" w:lineRule="auto" w:before="84"/>
        <w:ind w:left="218" w:right="113"/>
      </w:pPr>
      <w:r>
        <w:rPr>
          <w:spacing w:val="-15"/>
        </w:rPr>
        <w:t>要求，远程操作启动消防炮及防热辐射水幕，并远程控制消防炮的俯仰和水平回转角度。</w:t>
      </w:r>
      <w:r>
        <w:rPr/>
        <w:t>全部阀门除能在操作室控制外，在现场均设检修用的控制开关。</w:t>
      </w:r>
    </w:p>
    <w:p>
      <w:pPr>
        <w:pStyle w:val="Heading4"/>
        <w:spacing w:line="307" w:lineRule="exact"/>
      </w:pPr>
      <w:r>
        <w:rPr>
          <w:rFonts w:ascii="Times New Roman" w:eastAsia="Times New Roman"/>
        </w:rPr>
        <w:t>5</w:t>
      </w:r>
      <w:r>
        <w:rPr/>
        <w:t>、原料储存、使用安全</w:t>
      </w:r>
    </w:p>
    <w:p>
      <w:pPr>
        <w:pStyle w:val="BodyText"/>
        <w:spacing w:line="364" w:lineRule="auto" w:before="158"/>
        <w:ind w:left="218" w:right="112" w:firstLine="480"/>
      </w:pPr>
      <w:r>
        <w:rPr>
          <w:spacing w:val="-6"/>
        </w:rPr>
        <w:t>本项目使用到的主要为 </w:t>
      </w:r>
      <w:r>
        <w:rPr>
          <w:rFonts w:ascii="Times New Roman" w:eastAsia="Times New Roman"/>
        </w:rPr>
        <w:t>4-</w:t>
      </w:r>
      <w:r>
        <w:rPr/>
        <w:t>甲基</w:t>
      </w:r>
      <w:r>
        <w:rPr>
          <w:rFonts w:ascii="Times New Roman" w:eastAsia="Times New Roman"/>
        </w:rPr>
        <w:t>-2-</w:t>
      </w:r>
      <w:r>
        <w:rPr>
          <w:spacing w:val="-11"/>
        </w:rPr>
        <w:t>肼基苯并噻唑、甲酸等，其中甲酸根据《建设项目</w:t>
      </w:r>
      <w:r>
        <w:rPr>
          <w:spacing w:val="-16"/>
        </w:rPr>
        <w:t>环境风险评价技术导则》附录</w:t>
      </w:r>
      <w:r>
        <w:rPr>
          <w:rFonts w:ascii="Times New Roman" w:eastAsia="Times New Roman"/>
        </w:rPr>
        <w:t>B </w:t>
      </w:r>
      <w:r>
        <w:rPr>
          <w:spacing w:val="-15"/>
        </w:rPr>
        <w:t>确定为危险物质。企业设置甲酸储罐一只，体积为</w:t>
      </w:r>
      <w:r>
        <w:rPr>
          <w:rFonts w:ascii="Times New Roman" w:eastAsia="Times New Roman"/>
          <w:spacing w:val="-3"/>
        </w:rPr>
        <w:t>100m</w:t>
      </w:r>
      <w:r>
        <w:rPr>
          <w:rFonts w:ascii="Times New Roman" w:eastAsia="Times New Roman"/>
          <w:spacing w:val="-3"/>
          <w:position w:val="9"/>
          <w:sz w:val="16"/>
        </w:rPr>
        <w:t>3</w:t>
      </w:r>
      <w:r>
        <w:rPr>
          <w:spacing w:val="-3"/>
        </w:rPr>
        <w:t>， 储存甲酸的槽罐和槽罐车之间应该设有气相平衡管，尾气可以随着液位的增加，进入槽</w:t>
      </w:r>
      <w:r>
        <w:rPr>
          <w:spacing w:val="-7"/>
        </w:rPr>
        <w:t>罐车，减少厂区的尾气量；甲酸储罐设置高低液位报警，液位高时切断对应中间罐进料</w:t>
      </w:r>
      <w:r>
        <w:rPr>
          <w:spacing w:val="-8"/>
        </w:rPr>
        <w:t>开关阀，以免甲酸溢出或进入尾气系统，液位低时自动切断对应中间罐出料泵供电，防止甲酸打空，造成泵的空转。</w:t>
      </w:r>
    </w:p>
    <w:p>
      <w:pPr>
        <w:pStyle w:val="Heading4"/>
        <w:numPr>
          <w:ilvl w:val="2"/>
          <w:numId w:val="23"/>
        </w:numPr>
        <w:tabs>
          <w:tab w:pos="759" w:val="left" w:leader="none"/>
        </w:tabs>
        <w:spacing w:line="307" w:lineRule="exact" w:before="0" w:after="0"/>
        <w:ind w:left="758" w:right="0" w:hanging="541"/>
        <w:jc w:val="left"/>
      </w:pPr>
      <w:r>
        <w:rPr/>
        <w:t>运输过程风险防范</w:t>
      </w:r>
    </w:p>
    <w:p>
      <w:pPr>
        <w:pStyle w:val="BodyText"/>
        <w:spacing w:line="364" w:lineRule="auto" w:before="158"/>
        <w:ind w:left="218" w:right="173" w:firstLine="480"/>
      </w:pPr>
      <w:r>
        <w:rPr/>
        <w:t>运输过程风险防范包括交通事故预防、运输过程设备故障性泄漏防范以及事故发生后的应急处理等。</w:t>
      </w:r>
    </w:p>
    <w:p>
      <w:pPr>
        <w:pStyle w:val="BodyText"/>
        <w:spacing w:line="364" w:lineRule="auto"/>
        <w:ind w:left="218" w:right="185" w:firstLine="480"/>
        <w:jc w:val="both"/>
      </w:pPr>
      <w:r>
        <w:rPr>
          <w:rFonts w:ascii="Times New Roman" w:eastAsia="Times New Roman"/>
        </w:rPr>
        <w:t>1</w:t>
      </w:r>
      <w:r>
        <w:rPr/>
        <w:t>、项目危险品的运输主要采用车运。装运应做到定车、定人、定线和定时。定车</w:t>
      </w:r>
      <w:r>
        <w:rPr>
          <w:spacing w:val="-1"/>
        </w:rPr>
        <w:t>就是要把装运危险物品的车辆、工具相对固定，专车专用。定人就是要把管理、驾驶、</w:t>
      </w:r>
      <w:r>
        <w:rPr>
          <w:spacing w:val="-3"/>
        </w:rPr>
        <w:t>押运以及装卸等工作的人员加以固定，这样就保证危险物品的运输任务始终是有专业知</w:t>
      </w:r>
      <w:r>
        <w:rPr>
          <w:spacing w:val="-7"/>
        </w:rPr>
        <w:t>识的专业人员来担负，从人员上保障危险物品运输过程中的安全。定线和定时就是运输工具需在有关部门指定的时段内通过指定的运输路线运输。</w:t>
      </w:r>
    </w:p>
    <w:p>
      <w:pPr>
        <w:pStyle w:val="BodyText"/>
        <w:spacing w:line="364" w:lineRule="auto"/>
        <w:ind w:left="218" w:right="232" w:firstLine="480"/>
        <w:jc w:val="both"/>
      </w:pPr>
      <w:r>
        <w:rPr>
          <w:rFonts w:ascii="Times New Roman" w:eastAsia="Times New Roman"/>
        </w:rPr>
        <w:t>2</w:t>
      </w:r>
      <w:r>
        <w:rPr/>
        <w:t>、运输装卸过程要严格按照国家有关规定执行。装运的危险物品必须在外包装的</w:t>
      </w:r>
      <w:r>
        <w:rPr>
          <w:spacing w:val="1"/>
        </w:rPr>
        <w:t>明显部位按规定粘贴 </w:t>
      </w:r>
      <w:r>
        <w:rPr>
          <w:rFonts w:ascii="Times New Roman" w:eastAsia="Times New Roman"/>
        </w:rPr>
        <w:t>GB190-2009</w:t>
      </w:r>
      <w:r>
        <w:rPr/>
        <w:t>《危险货物包装标志》规定的危险物资标记，包括标</w:t>
      </w:r>
      <w:r>
        <w:rPr>
          <w:spacing w:val="-6"/>
        </w:rPr>
        <w:t>记的粘贴要正确、牢固。同时具有易燃、有毒等多种危险特性时，则应根据其不同危险</w:t>
      </w:r>
      <w:r>
        <w:rPr/>
        <w:t>特性而同时粘贴相应的集中包装标志，以便一旦发生问题时，可以进行多种防护。</w:t>
      </w:r>
    </w:p>
    <w:p>
      <w:pPr>
        <w:pStyle w:val="BodyText"/>
        <w:spacing w:line="364" w:lineRule="auto"/>
        <w:ind w:left="218" w:right="236" w:firstLine="480"/>
      </w:pPr>
      <w:r>
        <w:rPr>
          <w:rFonts w:ascii="Times New Roman" w:eastAsia="Times New Roman"/>
        </w:rPr>
        <w:t>3</w:t>
      </w:r>
      <w:r>
        <w:rPr/>
        <w:t>、每次运输前应准确告诉司机和押运人员有关运输物质的性质和事故应急处理方法，确保在事故发生情况下仍能事故应急，减缓影响。</w:t>
      </w:r>
    </w:p>
    <w:p>
      <w:pPr>
        <w:pStyle w:val="BodyText"/>
        <w:spacing w:line="364" w:lineRule="auto"/>
        <w:ind w:left="218" w:right="117" w:firstLine="480"/>
      </w:pPr>
      <w:r>
        <w:rPr>
          <w:rFonts w:ascii="Times New Roman" w:eastAsia="Times New Roman"/>
        </w:rPr>
        <w:t>4</w:t>
      </w:r>
      <w:r>
        <w:rPr>
          <w:spacing w:val="-7"/>
        </w:rPr>
        <w:t>、危险化学品应采用专用的槽车运输，槽车应定期清理；用其他包装容器运输时， </w:t>
      </w:r>
      <w:r>
        <w:rPr>
          <w:spacing w:val="-3"/>
        </w:rPr>
        <w:t>容器须用盖密封。槽车安装的阻火器</w:t>
      </w:r>
      <w:r>
        <w:rPr/>
        <w:t>（火星熄灭器</w:t>
      </w:r>
      <w:r>
        <w:rPr>
          <w:spacing w:val="-12"/>
        </w:rPr>
        <w:t>）</w:t>
      </w:r>
      <w:r>
        <w:rPr>
          <w:spacing w:val="-8"/>
        </w:rPr>
        <w:t>必须完好。槽车上要备有 </w:t>
      </w:r>
      <w:r>
        <w:rPr>
          <w:rFonts w:ascii="Times New Roman" w:eastAsia="Times New Roman"/>
        </w:rPr>
        <w:t>2 </w:t>
      </w:r>
      <w:r>
        <w:rPr/>
        <w:t>只以上</w:t>
      </w:r>
      <w:r>
        <w:rPr>
          <w:spacing w:val="-3"/>
        </w:rPr>
        <w:t>干粉或二氧化碳灭火器和防爆工具。禁止使用易产生火花的机械设备和工具装卸。运输</w:t>
      </w:r>
      <w:r>
        <w:rPr>
          <w:spacing w:val="-6"/>
        </w:rPr>
        <w:t>车辆进入厂区，必须安装静电接地装置和阻火器，车速不超过 </w:t>
      </w:r>
      <w:r>
        <w:rPr>
          <w:rFonts w:ascii="Times New Roman" w:eastAsia="Times New Roman"/>
        </w:rPr>
        <w:t>5km/h</w:t>
      </w:r>
      <w:r>
        <w:rPr/>
        <w:t>。</w:t>
      </w:r>
    </w:p>
    <w:p>
      <w:pPr>
        <w:pStyle w:val="BodyText"/>
        <w:spacing w:line="364" w:lineRule="auto"/>
        <w:ind w:left="218" w:right="117" w:firstLine="480"/>
      </w:pPr>
      <w:r>
        <w:rPr>
          <w:rFonts w:ascii="Times New Roman" w:eastAsia="Times New Roman"/>
        </w:rPr>
        <w:t>5</w:t>
      </w:r>
      <w:r>
        <w:rPr/>
        <w:t>、运输时运输车辆应配备泄漏应急处理设备。不得在人口稠密区和有明火等场所</w:t>
      </w:r>
      <w:r>
        <w:rPr>
          <w:spacing w:val="-14"/>
        </w:rPr>
        <w:t>停靠。高温季节应早晚运输，防止日光暴晒。运输苯容器时，应轻装轻卸。严禁抛、滑、</w:t>
      </w:r>
      <w:r>
        <w:rPr/>
        <w:t>滚、碰。严禁用电磁起重机和链绳吊装搬运。装运时，应妥善固定。</w:t>
      </w:r>
    </w:p>
    <w:p>
      <w:pPr>
        <w:spacing w:after="0" w:line="364" w:lineRule="auto"/>
        <w:sectPr>
          <w:pgSz w:w="11910" w:h="16840"/>
          <w:pgMar w:header="872" w:footer="945" w:top="1320" w:bottom="1140" w:left="1200" w:right="1180"/>
        </w:sectPr>
      </w:pPr>
    </w:p>
    <w:p>
      <w:pPr>
        <w:pStyle w:val="BodyText"/>
        <w:spacing w:line="364" w:lineRule="auto" w:before="84"/>
        <w:ind w:left="218" w:right="185" w:firstLine="480"/>
        <w:jc w:val="both"/>
      </w:pPr>
      <w:r>
        <w:rPr>
          <w:rFonts w:ascii="Times New Roman" w:eastAsia="Times New Roman"/>
        </w:rPr>
        <w:t>6</w:t>
      </w:r>
      <w:r>
        <w:rPr/>
        <w:t>、本项目使用到的危险物质主要为甲酸，甲酸运输时包装要完整，装载应稳妥。</w:t>
      </w:r>
      <w:r>
        <w:rPr>
          <w:spacing w:val="-1"/>
        </w:rPr>
        <w:t>运输车辆应配备相应品种和数量的消防器材及泄漏应急处理设备。运输途中应防曝晒、</w:t>
      </w:r>
      <w:r>
        <w:rPr>
          <w:spacing w:val="-8"/>
        </w:rPr>
        <w:t>雨淋，防高温。公路运输时要按规定路线行驶，勿在居民区和人口稠密区停留。运输过</w:t>
      </w:r>
      <w:r>
        <w:rPr>
          <w:spacing w:val="-9"/>
        </w:rPr>
        <w:t>程中要确保容器不泄漏、不倒塌、不坠落、不损坏。严禁与氧化剂、碱类、活性金属粉末、食用化学品等混装混运。</w:t>
      </w:r>
    </w:p>
    <w:p>
      <w:pPr>
        <w:pStyle w:val="Heading4"/>
        <w:numPr>
          <w:ilvl w:val="2"/>
          <w:numId w:val="23"/>
        </w:numPr>
        <w:tabs>
          <w:tab w:pos="759" w:val="left" w:leader="none"/>
        </w:tabs>
        <w:spacing w:line="304" w:lineRule="exact" w:before="0" w:after="0"/>
        <w:ind w:left="758" w:right="0" w:hanging="541"/>
        <w:jc w:val="both"/>
      </w:pPr>
      <w:r>
        <w:rPr/>
        <w:t>开停工、检修等非正常工况污染物防治措施</w:t>
      </w:r>
    </w:p>
    <w:p>
      <w:pPr>
        <w:pStyle w:val="BodyText"/>
        <w:spacing w:line="364" w:lineRule="auto" w:before="161"/>
        <w:ind w:left="218" w:right="235" w:firstLine="480"/>
      </w:pPr>
      <w:r>
        <w:rPr>
          <w:spacing w:val="-7"/>
        </w:rPr>
        <w:t>虽然开、停工等非正常操作发生频率较小，但是由于在开、停工等非正常操作时排</w:t>
      </w:r>
      <w:r>
        <w:rPr/>
        <w:t>放的速率较大，对周边环境会造成一定程度的影响，因此，本环评要求：</w:t>
      </w:r>
    </w:p>
    <w:p>
      <w:pPr>
        <w:pStyle w:val="BodyText"/>
        <w:spacing w:line="364" w:lineRule="auto"/>
        <w:ind w:left="218" w:right="233" w:firstLine="480"/>
        <w:jc w:val="both"/>
      </w:pPr>
      <w:r>
        <w:rPr>
          <w:rFonts w:ascii="Times New Roman" w:eastAsia="Times New Roman"/>
        </w:rPr>
        <w:t>1</w:t>
      </w:r>
      <w:r>
        <w:rPr/>
        <w:t>、建立开工、停工检修废气防治申报制度，在开工、停工检修前向当地政府及环</w:t>
      </w:r>
      <w:r>
        <w:rPr>
          <w:spacing w:val="-6"/>
        </w:rPr>
        <w:t>保部门进行申报，加强环保管理。施工期注意天气风向，尽量避免废气扩散到居民区或</w:t>
      </w:r>
      <w:r>
        <w:rPr/>
        <w:t>交通干线上。</w:t>
      </w:r>
    </w:p>
    <w:p>
      <w:pPr>
        <w:pStyle w:val="BodyText"/>
        <w:spacing w:line="362" w:lineRule="auto"/>
        <w:ind w:left="218" w:right="239" w:firstLine="480"/>
      </w:pPr>
      <w:r>
        <w:rPr>
          <w:rFonts w:ascii="Times New Roman" w:eastAsia="Times New Roman"/>
        </w:rPr>
        <w:t>2</w:t>
      </w:r>
      <w:r>
        <w:rPr/>
        <w:t>、开工、检修前做好各项准备工作，使开工、检修时间最短，落实各项污染物防治措施，使开工、停工检修对周围环境的影响最小。</w:t>
      </w:r>
    </w:p>
    <w:p>
      <w:pPr>
        <w:pStyle w:val="BodyText"/>
        <w:spacing w:line="362" w:lineRule="auto" w:before="3"/>
        <w:ind w:left="218" w:right="233" w:firstLine="480"/>
      </w:pPr>
      <w:r>
        <w:rPr>
          <w:rFonts w:ascii="Times New Roman" w:eastAsia="Times New Roman"/>
        </w:rPr>
        <w:t>3</w:t>
      </w:r>
      <w:r>
        <w:rPr/>
        <w:t>、开工、停工检修产生的废气尽可能的进行收集处理，以减少无组织排放对周围环境的影响。</w:t>
      </w:r>
    </w:p>
    <w:p>
      <w:pPr>
        <w:pStyle w:val="Heading4"/>
        <w:numPr>
          <w:ilvl w:val="2"/>
          <w:numId w:val="23"/>
        </w:numPr>
        <w:tabs>
          <w:tab w:pos="759" w:val="left" w:leader="none"/>
        </w:tabs>
        <w:spacing w:line="240" w:lineRule="auto" w:before="5" w:after="0"/>
        <w:ind w:left="758" w:right="0" w:hanging="541"/>
        <w:jc w:val="left"/>
      </w:pPr>
      <w:r>
        <w:rPr/>
        <w:t>储罐区风险防范措施</w:t>
      </w:r>
    </w:p>
    <w:p>
      <w:pPr>
        <w:pStyle w:val="BodyText"/>
        <w:spacing w:line="364" w:lineRule="auto" w:before="158"/>
        <w:ind w:left="218" w:right="184" w:firstLine="480"/>
      </w:pPr>
      <w:r>
        <w:rPr/>
        <w:t>企业应当从设计、使用等方面，来防止储罐区物料泄漏引发连锁反应，防止燃烧、爆炸的发生。</w:t>
      </w:r>
    </w:p>
    <w:p>
      <w:pPr>
        <w:pStyle w:val="BodyText"/>
        <w:spacing w:line="364" w:lineRule="auto"/>
        <w:ind w:left="218" w:right="242" w:firstLine="480"/>
      </w:pPr>
      <w:r>
        <w:rPr>
          <w:rFonts w:ascii="Times New Roman" w:eastAsia="Times New Roman"/>
        </w:rPr>
        <w:t>1</w:t>
      </w:r>
      <w:r>
        <w:rPr/>
        <w:t>、储罐等压力容器和设备应设置安全阀、压力表、液位计、温度计，并应装有带压力、液位、温度远传记录和报警功能的安全装置，储罐需设置紧急切断装置。</w:t>
      </w:r>
    </w:p>
    <w:p>
      <w:pPr>
        <w:pStyle w:val="BodyText"/>
        <w:spacing w:line="364" w:lineRule="auto"/>
        <w:ind w:left="218" w:right="236" w:firstLine="480"/>
      </w:pPr>
      <w:r>
        <w:rPr>
          <w:rFonts w:ascii="Times New Roman" w:eastAsia="Times New Roman"/>
        </w:rPr>
        <w:t>2</w:t>
      </w:r>
      <w:r>
        <w:rPr>
          <w:spacing w:val="-8"/>
        </w:rPr>
        <w:t>、注意防雷、防静电，厂内的储罐应按《建筑物防雷设计规范</w:t>
      </w:r>
      <w:r>
        <w:rPr>
          <w:spacing w:val="-135"/>
        </w:rPr>
        <w:t>》</w:t>
      </w:r>
      <w:r>
        <w:rPr/>
        <w:t>（</w:t>
      </w:r>
      <w:r>
        <w:rPr>
          <w:rFonts w:ascii="Times New Roman" w:eastAsia="Times New Roman"/>
        </w:rPr>
        <w:t>GB </w:t>
      </w:r>
      <w:r>
        <w:rPr>
          <w:rFonts w:ascii="Times New Roman" w:eastAsia="Times New Roman"/>
          <w:spacing w:val="-3"/>
        </w:rPr>
        <w:t>50057</w:t>
      </w:r>
      <w:r>
        <w:rPr>
          <w:spacing w:val="-3"/>
        </w:rPr>
        <w:t>）</w:t>
      </w:r>
      <w:r>
        <w:rPr/>
        <w:t>的规定设置防雷防静电设施。</w:t>
      </w:r>
    </w:p>
    <w:p>
      <w:pPr>
        <w:pStyle w:val="BodyText"/>
        <w:spacing w:line="362" w:lineRule="auto"/>
        <w:ind w:left="218" w:right="240" w:firstLine="480"/>
      </w:pPr>
      <w:r>
        <w:rPr>
          <w:rFonts w:ascii="Times New Roman" w:eastAsia="Times New Roman"/>
        </w:rPr>
        <w:t>3</w:t>
      </w:r>
      <w:r>
        <w:rPr/>
        <w:t>、罐区应设有消防水系统，大型装置、罐区应设置消防泡沫站或适量的消防泡沫推车；现场配置适量的消防器材。</w:t>
      </w:r>
    </w:p>
    <w:p>
      <w:pPr>
        <w:pStyle w:val="BodyText"/>
        <w:spacing w:line="364" w:lineRule="auto" w:before="5"/>
        <w:ind w:left="218" w:right="235" w:firstLine="480"/>
        <w:jc w:val="both"/>
      </w:pPr>
      <w:r>
        <w:rPr>
          <w:rFonts w:ascii="Times New Roman" w:eastAsia="Times New Roman"/>
        </w:rPr>
        <w:t>4</w:t>
      </w:r>
      <w:r>
        <w:rPr>
          <w:spacing w:val="-1"/>
        </w:rPr>
        <w:t>、提高储罐区自动化程度，建议采用联锁保护装置来提高安全性，一旦出现不正</w:t>
      </w:r>
      <w:r>
        <w:rPr>
          <w:spacing w:val="-7"/>
        </w:rPr>
        <w:t>常情况，有了联锁保护自动切断或动作，不仅可以防止事故的发生，而且也遏止了事故</w:t>
      </w:r>
      <w:r>
        <w:rPr/>
        <w:t>的蔓延。</w:t>
      </w:r>
    </w:p>
    <w:p>
      <w:pPr>
        <w:pStyle w:val="BodyText"/>
        <w:spacing w:line="364" w:lineRule="auto"/>
        <w:ind w:left="218" w:right="232" w:firstLine="480"/>
        <w:jc w:val="both"/>
      </w:pPr>
      <w:r>
        <w:rPr>
          <w:rFonts w:ascii="Times New Roman" w:eastAsia="Times New Roman"/>
        </w:rPr>
        <w:t>5</w:t>
      </w:r>
      <w:r>
        <w:rPr/>
        <w:t>、从设计上，确保储罐的间距，从应急处理上，必须对相邻罐区采取切实有效的</w:t>
      </w:r>
      <w:r>
        <w:rPr>
          <w:spacing w:val="-8"/>
        </w:rPr>
        <w:t>隔离、冷却等措施。切实有效的防止火灾蔓延的措施，设置阻火设施：如切断阀、止逆</w:t>
      </w:r>
      <w:r>
        <w:rPr/>
        <w:t>阀、安全水封、阻火器、挡火墙等</w:t>
      </w:r>
    </w:p>
    <w:p>
      <w:pPr>
        <w:spacing w:after="0" w:line="364" w:lineRule="auto"/>
        <w:jc w:val="both"/>
        <w:sectPr>
          <w:pgSz w:w="11910" w:h="16840"/>
          <w:pgMar w:header="872" w:footer="945" w:top="1320" w:bottom="1140" w:left="1200" w:right="1180"/>
        </w:sectPr>
      </w:pPr>
    </w:p>
    <w:p>
      <w:pPr>
        <w:pStyle w:val="Heading4"/>
        <w:numPr>
          <w:ilvl w:val="2"/>
          <w:numId w:val="23"/>
        </w:numPr>
        <w:tabs>
          <w:tab w:pos="759" w:val="left" w:leader="none"/>
        </w:tabs>
        <w:spacing w:line="240" w:lineRule="auto" w:before="84" w:after="0"/>
        <w:ind w:left="758" w:right="0" w:hanging="541"/>
        <w:jc w:val="both"/>
      </w:pPr>
      <w:r>
        <w:rPr/>
        <w:t>其他污染物处置过程风险防范</w:t>
      </w:r>
    </w:p>
    <w:p>
      <w:pPr>
        <w:pStyle w:val="BodyText"/>
        <w:spacing w:line="364" w:lineRule="auto" w:before="159"/>
        <w:ind w:left="218" w:right="235" w:firstLine="480"/>
        <w:jc w:val="both"/>
      </w:pPr>
      <w:r>
        <w:rPr>
          <w:rFonts w:ascii="Times New Roman" w:eastAsia="Times New Roman"/>
        </w:rPr>
        <w:t>1</w:t>
      </w:r>
      <w:r>
        <w:rPr/>
        <w:t>、废气、废水等末端治理措施必须确保日常运行，如发现人为原因不开启废气治</w:t>
      </w:r>
      <w:r>
        <w:rPr>
          <w:spacing w:val="-7"/>
        </w:rPr>
        <w:t>理设施，责任人应受行政和经济处罚，并承担事故排放责任。若末端治理措施因故不能</w:t>
      </w:r>
      <w:r>
        <w:rPr/>
        <w:t>运行，则生产必须停止。</w:t>
      </w:r>
    </w:p>
    <w:p>
      <w:pPr>
        <w:pStyle w:val="BodyText"/>
        <w:spacing w:line="362" w:lineRule="auto"/>
        <w:ind w:left="218" w:right="236" w:firstLine="480"/>
      </w:pPr>
      <w:r>
        <w:rPr>
          <w:rFonts w:ascii="Times New Roman" w:eastAsia="Times New Roman"/>
        </w:rPr>
        <w:t>2</w:t>
      </w:r>
      <w:r>
        <w:rPr/>
        <w:t>、为确保处理效率，在车间设备检修期间，末端处理系统也应同时进行检修，日常应有专人负责进行维护。</w:t>
      </w:r>
    </w:p>
    <w:p>
      <w:pPr>
        <w:pStyle w:val="BodyText"/>
        <w:spacing w:line="364" w:lineRule="auto" w:before="4"/>
        <w:ind w:left="218" w:right="233" w:firstLine="480"/>
        <w:jc w:val="both"/>
      </w:pPr>
      <w:r>
        <w:rPr>
          <w:rFonts w:ascii="Times New Roman" w:eastAsia="Times New Roman"/>
        </w:rPr>
        <w:t>3</w:t>
      </w:r>
      <w:r>
        <w:rPr/>
        <w:t>、各车间、生产工段应制定严格的废水排放制度，确保清污分流，浓污分流，残</w:t>
      </w:r>
      <w:r>
        <w:rPr>
          <w:spacing w:val="-4"/>
        </w:rPr>
        <w:t>液禁止冲入废水处理系统或直排；污水站应设立车间废水接收检验池，对超标排放进行</w:t>
      </w:r>
      <w:r>
        <w:rPr/>
        <w:t>经济处罚。</w:t>
      </w:r>
    </w:p>
    <w:p>
      <w:pPr>
        <w:pStyle w:val="BodyText"/>
        <w:spacing w:line="362" w:lineRule="auto"/>
        <w:ind w:left="218" w:right="237" w:firstLine="480"/>
      </w:pPr>
      <w:r>
        <w:rPr>
          <w:rFonts w:ascii="Times New Roman" w:eastAsia="Times New Roman"/>
        </w:rPr>
        <w:t>4</w:t>
      </w:r>
      <w:r>
        <w:rPr/>
        <w:t>、建立事故排放事先申报制度，未经批准不得排放，便于相关部门应急防范，防止出现超标排放。</w:t>
      </w:r>
    </w:p>
    <w:p>
      <w:pPr>
        <w:pStyle w:val="BodyText"/>
        <w:spacing w:before="5"/>
        <w:ind w:left="698"/>
      </w:pPr>
      <w:r>
        <w:rPr>
          <w:rFonts w:ascii="Times New Roman" w:eastAsia="Times New Roman"/>
        </w:rPr>
        <w:t>5</w:t>
      </w:r>
      <w:r>
        <w:rPr/>
        <w:t>、加强后期雨水的排放监测，避免有害物随雨水进入内河水体。</w:t>
      </w:r>
    </w:p>
    <w:p>
      <w:pPr>
        <w:pStyle w:val="Heading4"/>
        <w:numPr>
          <w:ilvl w:val="2"/>
          <w:numId w:val="23"/>
        </w:numPr>
        <w:tabs>
          <w:tab w:pos="759" w:val="left" w:leader="none"/>
        </w:tabs>
        <w:spacing w:line="240" w:lineRule="auto" w:before="158" w:after="0"/>
        <w:ind w:left="758" w:right="0" w:hanging="541"/>
        <w:jc w:val="both"/>
      </w:pPr>
      <w:r>
        <w:rPr/>
        <w:t>风险事故时人员疏散、安置措施</w:t>
      </w:r>
    </w:p>
    <w:p>
      <w:pPr>
        <w:pStyle w:val="BodyText"/>
        <w:spacing w:before="161"/>
        <w:ind w:left="698"/>
      </w:pPr>
      <w:r>
        <w:rPr>
          <w:rFonts w:ascii="Times New Roman" w:eastAsia="Times New Roman"/>
          <w:position w:val="1"/>
        </w:rPr>
        <w:t>1</w:t>
      </w:r>
      <w:r>
        <w:rPr/>
        <w:t>、受影响区域单位、社区人员撤离时，应采取下列基本保护措施和防护方法：</w:t>
      </w:r>
    </w:p>
    <w:p>
      <w:pPr>
        <w:pStyle w:val="ListParagraph"/>
        <w:numPr>
          <w:ilvl w:val="0"/>
          <w:numId w:val="56"/>
        </w:numPr>
        <w:tabs>
          <w:tab w:pos="1300" w:val="left" w:leader="none"/>
        </w:tabs>
        <w:spacing w:line="240" w:lineRule="auto" w:before="158" w:after="0"/>
        <w:ind w:left="1299" w:right="0" w:hanging="602"/>
        <w:jc w:val="left"/>
        <w:rPr>
          <w:sz w:val="24"/>
        </w:rPr>
      </w:pPr>
      <w:r>
        <w:rPr>
          <w:sz w:val="24"/>
        </w:rPr>
        <w:t>紧急事态抢救或撤离时，应该佩戴空气呼吸器或氧气呼吸器。</w:t>
      </w:r>
    </w:p>
    <w:p>
      <w:pPr>
        <w:pStyle w:val="ListParagraph"/>
        <w:numPr>
          <w:ilvl w:val="0"/>
          <w:numId w:val="56"/>
        </w:numPr>
        <w:tabs>
          <w:tab w:pos="1300" w:val="left" w:leader="none"/>
        </w:tabs>
        <w:spacing w:line="240" w:lineRule="auto" w:before="160" w:after="0"/>
        <w:ind w:left="1299" w:right="0" w:hanging="602"/>
        <w:jc w:val="left"/>
        <w:rPr>
          <w:sz w:val="24"/>
        </w:rPr>
      </w:pPr>
      <w:r>
        <w:rPr>
          <w:sz w:val="24"/>
        </w:rPr>
        <w:t>如无身边空气呼吸器，用湿毛巾捂住口鼻。</w:t>
      </w:r>
    </w:p>
    <w:p>
      <w:pPr>
        <w:pStyle w:val="ListParagraph"/>
        <w:numPr>
          <w:ilvl w:val="0"/>
          <w:numId w:val="56"/>
        </w:numPr>
        <w:tabs>
          <w:tab w:pos="1306" w:val="left" w:leader="none"/>
        </w:tabs>
        <w:spacing w:line="364" w:lineRule="auto" w:before="158" w:after="0"/>
        <w:ind w:left="218" w:right="114" w:firstLine="480"/>
        <w:jc w:val="left"/>
        <w:rPr>
          <w:sz w:val="24"/>
        </w:rPr>
      </w:pPr>
      <w:r>
        <w:rPr>
          <w:sz w:val="24"/>
        </w:rPr>
        <w:t>应向侧上风向转移，明确专人引导和护送疏散人员到安全区，并在疏散或撤</w:t>
      </w:r>
      <w:r>
        <w:rPr>
          <w:spacing w:val="-12"/>
          <w:sz w:val="24"/>
        </w:rPr>
        <w:t>离的路线上设立哨位，还应携带小红旗等标志物，指明方向，以便于对疏散人员的引导。</w:t>
      </w:r>
    </w:p>
    <w:p>
      <w:pPr>
        <w:pStyle w:val="ListParagraph"/>
        <w:numPr>
          <w:ilvl w:val="0"/>
          <w:numId w:val="56"/>
        </w:numPr>
        <w:tabs>
          <w:tab w:pos="1300" w:val="left" w:leader="none"/>
        </w:tabs>
        <w:spacing w:line="307" w:lineRule="exact" w:before="0" w:after="0"/>
        <w:ind w:left="1299" w:right="0" w:hanging="602"/>
        <w:jc w:val="left"/>
        <w:rPr>
          <w:sz w:val="24"/>
        </w:rPr>
      </w:pPr>
      <w:r>
        <w:rPr>
          <w:sz w:val="24"/>
        </w:rPr>
        <w:t>不要在低洼处滞留。</w:t>
      </w:r>
    </w:p>
    <w:p>
      <w:pPr>
        <w:pStyle w:val="ListParagraph"/>
        <w:numPr>
          <w:ilvl w:val="0"/>
          <w:numId w:val="56"/>
        </w:numPr>
        <w:tabs>
          <w:tab w:pos="1300" w:val="left" w:leader="none"/>
        </w:tabs>
        <w:spacing w:line="240" w:lineRule="auto" w:before="161" w:after="0"/>
        <w:ind w:left="1299" w:right="0" w:hanging="602"/>
        <w:jc w:val="left"/>
        <w:rPr>
          <w:sz w:val="24"/>
        </w:rPr>
      </w:pPr>
      <w:r>
        <w:rPr>
          <w:sz w:val="24"/>
        </w:rPr>
        <w:t>要查清是否有人留在污染区与着火区。</w:t>
      </w:r>
    </w:p>
    <w:p>
      <w:pPr>
        <w:pStyle w:val="ListParagraph"/>
        <w:numPr>
          <w:ilvl w:val="0"/>
          <w:numId w:val="56"/>
        </w:numPr>
        <w:tabs>
          <w:tab w:pos="1306" w:val="left" w:leader="none"/>
        </w:tabs>
        <w:spacing w:line="364" w:lineRule="auto" w:before="158" w:after="0"/>
        <w:ind w:left="218" w:right="241" w:firstLine="480"/>
        <w:jc w:val="left"/>
        <w:rPr>
          <w:sz w:val="24"/>
        </w:rPr>
      </w:pPr>
      <w:r>
        <w:rPr>
          <w:sz w:val="24"/>
        </w:rPr>
        <w:t>对需要特殊援助的群体（</w:t>
      </w:r>
      <w:r>
        <w:rPr>
          <w:spacing w:val="-1"/>
          <w:sz w:val="24"/>
        </w:rPr>
        <w:t>如老人、残疾人、学校、幼儿园、医院、疗养院、</w:t>
      </w:r>
      <w:r>
        <w:rPr>
          <w:sz w:val="24"/>
        </w:rPr>
        <w:t>监管所等）的由民政部门、公安部门安排专门疏散；</w:t>
      </w:r>
    </w:p>
    <w:p>
      <w:pPr>
        <w:pStyle w:val="ListParagraph"/>
        <w:numPr>
          <w:ilvl w:val="0"/>
          <w:numId w:val="56"/>
        </w:numPr>
        <w:tabs>
          <w:tab w:pos="1306" w:val="left" w:leader="none"/>
        </w:tabs>
        <w:spacing w:line="362" w:lineRule="auto" w:before="1" w:after="0"/>
        <w:ind w:left="218" w:right="237" w:firstLine="480"/>
        <w:jc w:val="left"/>
        <w:rPr>
          <w:sz w:val="24"/>
        </w:rPr>
      </w:pPr>
      <w:r>
        <w:rPr>
          <w:sz w:val="24"/>
        </w:rPr>
        <w:t>对人群疏散应进行跟踪、记录（</w:t>
      </w:r>
      <w:r>
        <w:rPr>
          <w:spacing w:val="-1"/>
          <w:sz w:val="24"/>
        </w:rPr>
        <w:t>疏散通知、疏散数量、在人员安置场所的疏</w:t>
      </w:r>
      <w:r>
        <w:rPr>
          <w:sz w:val="24"/>
        </w:rPr>
        <w:t>散人数等</w:t>
      </w:r>
      <w:r>
        <w:rPr>
          <w:spacing w:val="-120"/>
          <w:sz w:val="24"/>
        </w:rPr>
        <w:t>）</w:t>
      </w:r>
      <w:r>
        <w:rPr>
          <w:sz w:val="24"/>
        </w:rPr>
        <w:t>。</w:t>
      </w:r>
    </w:p>
    <w:p>
      <w:pPr>
        <w:pStyle w:val="BodyText"/>
        <w:spacing w:before="5"/>
        <w:ind w:left="698"/>
      </w:pPr>
      <w:r>
        <w:rPr>
          <w:rFonts w:ascii="Times New Roman" w:eastAsia="Times New Roman"/>
          <w:position w:val="1"/>
        </w:rPr>
        <w:t>2</w:t>
      </w:r>
      <w:r>
        <w:rPr/>
        <w:t>、临时安置场所</w:t>
      </w:r>
    </w:p>
    <w:p>
      <w:pPr>
        <w:pStyle w:val="BodyText"/>
        <w:spacing w:line="364" w:lineRule="auto" w:before="159"/>
        <w:ind w:left="218" w:right="232" w:firstLine="480"/>
        <w:jc w:val="both"/>
      </w:pPr>
      <w:r>
        <w:rPr>
          <w:spacing w:val="3"/>
        </w:rPr>
        <w:t>为妥善照顾已疏散人群，政府或企业应负责为已疏散人群提供安全的临时安置场</w:t>
      </w:r>
      <w:r>
        <w:rPr>
          <w:spacing w:val="-7"/>
        </w:rPr>
        <w:t>所，并保障其基本生活需求。其中厂区内需安排一定的设施作为人员紧急安置场所，可</w:t>
      </w:r>
      <w:r>
        <w:rPr>
          <w:spacing w:val="-4"/>
        </w:rPr>
        <w:t>将厂前区内的综合楼所等作为紧急安置场所；当事故较大而厂内无法安置时，可由政府</w:t>
      </w:r>
      <w:r>
        <w:rPr/>
        <w:t>部门牵头设置临时安置场所。</w:t>
      </w:r>
    </w:p>
    <w:p>
      <w:pPr>
        <w:pStyle w:val="BodyText"/>
        <w:spacing w:line="305" w:lineRule="exact"/>
        <w:ind w:left="698"/>
      </w:pPr>
      <w:r>
        <w:rPr/>
        <w:t>安置场所内应设有清晰、可识别的标志和符号，并安排必要的食品、治安、医疗、</w:t>
      </w:r>
    </w:p>
    <w:p>
      <w:pPr>
        <w:spacing w:after="0" w:line="305" w:lineRule="exact"/>
        <w:sectPr>
          <w:pgSz w:w="11910" w:h="16840"/>
          <w:pgMar w:header="872" w:footer="945" w:top="1320" w:bottom="1140" w:left="1200" w:right="1180"/>
        </w:sectPr>
      </w:pPr>
    </w:p>
    <w:p>
      <w:pPr>
        <w:pStyle w:val="BodyText"/>
        <w:spacing w:before="84"/>
        <w:ind w:left="218"/>
      </w:pPr>
      <w:r>
        <w:rPr/>
        <w:t>消毒和卫生服务。</w:t>
      </w:r>
    </w:p>
    <w:p>
      <w:pPr>
        <w:pStyle w:val="BodyText"/>
        <w:spacing w:before="159"/>
        <w:ind w:left="698"/>
      </w:pPr>
      <w:r>
        <w:rPr>
          <w:rFonts w:ascii="Times New Roman" w:eastAsia="Times New Roman"/>
          <w:position w:val="1"/>
        </w:rPr>
        <w:t>3</w:t>
      </w:r>
      <w:r>
        <w:rPr/>
        <w:t>、厂区内外应急撤离和疏散路线详见下图。</w:t>
      </w:r>
    </w:p>
    <w:p>
      <w:pPr>
        <w:spacing w:after="0"/>
        <w:sectPr>
          <w:pgSz w:w="11910" w:h="16840"/>
          <w:pgMar w:header="872" w:footer="945" w:top="1320" w:bottom="1140" w:left="1200" w:right="1180"/>
        </w:sectPr>
      </w:pPr>
    </w:p>
    <w:p>
      <w:pPr>
        <w:pStyle w:val="BodyText"/>
        <w:spacing w:before="4"/>
        <w:rPr>
          <w:sz w:val="6"/>
        </w:rPr>
      </w:pPr>
    </w:p>
    <w:p>
      <w:pPr>
        <w:pStyle w:val="BodyText"/>
        <w:ind w:left="1430"/>
        <w:rPr>
          <w:sz w:val="20"/>
        </w:rPr>
      </w:pPr>
      <w:r>
        <w:rPr>
          <w:sz w:val="20"/>
        </w:rPr>
        <w:pict>
          <v:group style="width:332.2pt;height:529.35pt;mso-position-horizontal-relative:char;mso-position-vertical-relative:line" coordorigin="0,0" coordsize="6644,10587">
            <v:shape style="position:absolute;left:0;top:0;width:6644;height:10587" type="#_x0000_t75" stroked="false">
              <v:imagedata r:id="rId168" o:title=""/>
            </v:shape>
            <v:shape style="position:absolute;left:1724;top:1701;width:2840;height:7299" coordorigin="1724,1702" coordsize="2840,7299" path="m4420,8869l4410,8870,4400,8882,4401,8892,4535,9000,4539,8978,4511,8978,4491,8926,4420,8869xm4491,8926l4511,8978,4531,8970,4510,8970,4514,8945,4491,8926xm4542,8819l4534,8825,4533,8833,4519,8916,4539,8967,4511,8978,4539,8978,4562,8838,4564,8830,4558,8822,4542,8819xm4514,8945l4510,8970,4534,8961,4514,8945xm4519,8916l4514,8945,4534,8961,4510,8970,4531,8970,4539,8967,4519,8916xm1774,1757l1769,1787,4491,8926,4514,8945,4519,8916,1797,1776,1774,1757xm1753,1702l1726,1864,1724,1872,1730,1880,1746,1883,1754,1877,1755,1869,1769,1787,1749,1735,1777,1724,1780,1724,1753,1702xm1780,1724l1777,1724,1797,1776,1868,1833,1878,1832,1888,1820,1887,1810,1780,1724xm1777,1724l1749,1735,1769,1787,1774,1757,1754,1741,1778,1732,1780,1732,1777,1724xm1780,1732l1778,1732,1774,1757,1797,1776,1780,1732xm1778,1732l1754,1741,1774,1757,1778,1732xe" filled="true" fillcolor="#ff0000" stroked="false">
              <v:path arrowok="t"/>
              <v:fill type="solid"/>
            </v:shape>
            <v:shape style="position:absolute;left:2998;top:4351;width:1413;height:574" coordorigin="2999,4351" coordsize="1413,574" path="m3119,4760l3109,4761,3104,4767,2999,4894,3161,4923,3169,4925,3177,4919,3178,4911,3180,4903,3176,4897,3032,4897,3022,4869,3074,4850,3127,4786,3132,4780,3132,4771,3125,4765,3119,4760xm3074,4850l3022,4869,3032,4897,3044,4893,3038,4893,3029,4869,3059,4869,3074,4850xm3084,4879l3032,4897,3176,4897,3174,4895,3166,4894,3084,4879xm3029,4869l3038,4893,3055,4873,3029,4869xm3055,4873l3038,4893,3044,4893,3084,4879,3055,4873xm4326,4397l3074,4850,3055,4873,3084,4879,4336,4426,4355,4403,4326,4397xm3059,4869l3029,4869,3055,4873,3059,4869xm4391,4379l4378,4379,4388,4407,4336,4426,4283,4490,4278,4496,4278,4505,4291,4516,4301,4515,4306,4509,4411,4382,4391,4379xm4355,4403l4336,4426,4387,4407,4381,4407,4355,4403xm4372,4383l4355,4403,4381,4407,4372,4383xm4380,4383l4372,4383,4381,4407,4387,4407,4388,4407,4380,4383xm4378,4379l4326,4397,4355,4403,4372,4383,4380,4383,4378,4379xm4241,4351l4233,4357,4232,4365,4230,4373,4236,4381,4244,4382,4326,4397,4378,4379,4391,4379,4249,4353,4241,4351xe" filled="true" fillcolor="#ff0000" stroked="false">
              <v:path arrowok="t"/>
              <v:fill type="solid"/>
            </v:shape>
            <v:shape style="position:absolute;left:2679;top:3514;width:1413;height:574" coordorigin="2680,3514" coordsize="1413,574" path="m2800,3923l2790,3924,2785,3930,2680,4057,2842,4086,2850,4088,2858,4082,2859,4074,2861,4066,2857,4060,2713,4060,2703,4032,2755,4013,2808,3949,2813,3943,2813,3934,2806,3928,2800,3923xm2755,4013l2703,4032,2713,4060,2725,4056,2719,4056,2710,4032,2740,4032,2755,4013xm2765,4042l2713,4060,2857,4060,2855,4058,2847,4057,2765,4042xm2710,4032l2719,4056,2736,4036,2710,4032xm2736,4036l2719,4056,2725,4056,2765,4042,2736,4036xm4007,3560l2755,4013,2736,4036,2765,4042,4017,3589,4036,3566,4007,3560xm2740,4032l2710,4032,2736,4036,2740,4032xm4071,3541l4059,3541,4069,3570,4017,3589,3964,3653,3959,3659,3959,3668,3972,3679,3982,3678,3987,3672,4092,3545,4071,3541xm4036,3566l4017,3589,4068,3570,4062,3570,4036,3566xm4053,3546l4036,3566,4062,3570,4053,3546xm4061,3546l4053,3546,4062,3570,4068,3570,4069,3570,4061,3546xm4059,3541l4007,3560,4036,3566,4053,3546,4061,3546,4059,3541xm3922,3514l3914,3520,3913,3528,3911,3536,3917,3544,3925,3545,4007,3560,4059,3541,4071,3541,3930,3516,3922,3514xe" filled="true" fillcolor="#ff0000" stroked="false">
              <v:path arrowok="t"/>
              <v:fill type="solid"/>
            </v:shape>
            <v:shape style="position:absolute;left:2324;top:2687;width:1460;height:595" coordorigin="2325,2688" coordsize="1460,595" path="m2444,3118l2435,3118,2430,3125,2325,3251,2487,3281,2495,3282,2503,3277,2504,3269,2506,3260,2502,3255,2358,3255,2347,3227,2400,3208,2453,3144,2458,3138,2457,3128,2451,3123,2444,3118xm2400,3208l2347,3227,2358,3255,2370,3251,2364,3251,2355,3227,2384,3227,2400,3208xm2410,3236l2358,3255,2502,3255,2500,3253,2410,3236xm2355,3227l2364,3251,2381,3231,2355,3227xm2381,3231l2364,3251,2370,3251,2410,3236,2381,3231xm3699,2734l2400,3208,2381,3231,2410,3236,3709,2762,3728,2739,3699,2734xm2384,3227l2355,3227,2381,3231,2384,3227xm3762,2715l3751,2715,3762,2743,3709,2762,3656,2826,3651,2832,3652,2842,3658,2847,3665,2852,3674,2852,3679,2845,3784,2719,3762,2715xm3728,2739l3709,2762,3760,2743,3754,2743,3728,2739xm3745,2719l3728,2739,3754,2743,3745,2719xm3753,2719l3745,2719,3754,2743,3760,2743,3762,2743,3753,2719xm3751,2715l3699,2734,3728,2739,3745,2719,3753,2719,3751,2715xm3614,2688l3606,2693,3605,2701,3603,2710,3609,2717,3699,2734,3751,2715,3762,2715,3622,2689,3614,2688xe" filled="true" fillcolor="#ff0000" stroked="false">
              <v:path arrowok="t"/>
              <v:fill type="solid"/>
            </v:shape>
            <v:shape style="position:absolute;left:817;top:1755;width:2633;height:996" coordorigin="818,1755" coordsize="2633,996" path="m939,2586l929,2587,818,2719,988,2751,995,2746,997,2737,998,2729,994,2723,851,2723,841,2695,893,2676,952,2606,952,2597,939,2586xm893,2676l841,2695,851,2723,863,2718,857,2718,849,2694,878,2694,893,2676xm903,2704l851,2723,994,2723,993,2721,985,2720,903,2704xm849,2694l857,2718,874,2699,849,2694xm874,2699l857,2718,863,2718,903,2704,874,2699xm3365,1802l893,2676,874,2699,903,2704,3375,1830,3394,1807,3365,1802xm878,2694l849,2694,874,2699,878,2694xm3428,1783l3417,1783,3427,1811,3375,1830,3316,1900,3316,1909,3329,1920,3339,1919,3450,1787,3428,1783xm3394,1807l3375,1830,3426,1812,3419,1812,3394,1807xm3411,1788l3394,1807,3419,1812,3411,1788xm3419,1788l3411,1788,3419,1812,3426,1812,3427,1811,3419,1788xm3417,1783l3365,1802,3394,1807,3411,1788,3419,1788,3417,1783xm3280,1755l3273,1760,3271,1769,3270,1777,3275,1785,3283,1786,3365,1802,3417,1783,3428,1783,3280,1755xe" filled="true" fillcolor="#ff0000" stroked="false">
              <v:path arrowok="t"/>
              <v:fill type="solid"/>
            </v:shape>
            <v:shape style="position:absolute;left:2126;top:5198;width:2594;height:1110" coordorigin="2126,5199" coordsize="2594,1110" path="m2241,6146l2232,6147,2227,6153,2126,6284,2298,6308,2305,6302,2307,6287,2160,6287,2148,6259,2200,6238,2250,6172,2256,6165,2254,6156,2248,6151,2241,6146xm2200,6238l2148,6259,2160,6287,2171,6282,2166,6282,2156,6258,2184,6258,2200,6238xm2211,6266l2160,6287,2307,6287,2308,6286,2302,6278,2294,6277,2211,6266xm2156,6258l2166,6282,2182,6262,2156,6258xm2182,6262l2166,6282,2171,6282,2211,6266,2182,6262xm4635,5241l2200,6238,2182,6262,2211,6266,4646,5269,4664,5245,4635,5241xm2184,6258l2156,6258,2182,6262,2184,6258xm4701,5220l4686,5220,4698,5248,4646,5269,4596,5335,4590,5342,4592,5351,4598,5356,4605,5361,4614,5360,4619,5354,4720,5223,4701,5220xm4664,5245l4646,5269,4695,5249,4690,5249,4664,5245xm4680,5225l4664,5245,4690,5249,4680,5225xm4688,5225l4680,5225,4690,5249,4695,5249,4698,5248,4688,5225xm4686,5220l4635,5241,4664,5245,4680,5225,4688,5225,4686,5220xm4548,5199l4541,5205,4538,5221,4544,5229,4552,5230,4635,5241,4686,5220,4701,5220,4548,5199xe" filled="true" fillcolor="#ff0000" stroked="false">
              <v:path arrowok="t"/>
              <v:fill type="solid"/>
            </v:shape>
            <v:shape style="position:absolute;left:2494;top:6084;width:2586;height:1008" coordorigin="2495,6084" coordsize="2586,1008" path="m2614,6927l2605,6928,2600,6935,2495,7061,2657,7090,2665,7092,2673,7087,2674,7078,2676,7070,2672,7065,2528,7065,2517,7037,2570,7018,2623,6954,2628,6947,2627,6938,2621,6933,2614,6927xm2570,7018l2517,7037,2528,7065,2540,7061,2534,7061,2525,7036,2554,7036,2570,7018xm2580,7046l2528,7065,2672,7065,2670,7062,2580,7046xm2525,7036l2534,7061,2551,7041,2525,7036xm2551,7041l2534,7061,2540,7061,2580,7046,2551,7041xm4995,6130l2570,7018,2551,7041,2580,7046,5005,6158,5024,6135,4995,6130xm2554,7036l2525,7036,2551,7041,2554,7036xm5058,6111l5047,6111,5058,6139,5005,6158,4952,6222,4947,6229,4948,6238,4954,6243,4961,6249,4970,6248,4975,6241,5080,6115,5058,6111xm5024,6135l5005,6158,5055,6140,5050,6140,5024,6135xm5041,6115l5024,6135,5050,6140,5041,6115xm5049,6115l5041,6115,5050,6140,5055,6140,5058,6139,5049,6115xm5047,6111l4995,6130,5024,6135,5041,6115,5049,6115,5047,6111xm4910,6084l4902,6089,4901,6098,4899,6106,4905,6114,4995,6130,5047,6111,5058,6111,4918,6086,4910,6084xe" filled="true" fillcolor="#ff0000" stroked="false">
              <v:path arrowok="t"/>
              <v:fill type="solid"/>
            </v:shape>
            <v:shape style="position:absolute;left:2830;top:7418;width:1118;height:461" coordorigin="2831,7418" coordsize="1118,461" path="m2952,7714l2942,7715,2937,7721,2831,7847,3001,7879,3008,7873,3010,7865,3011,7857,3007,7851,2864,7851,2854,7823,2906,7804,2960,7740,2965,7734,2964,7724,2952,7714xm2906,7804l2854,7823,2864,7851,2876,7846,2870,7846,2861,7822,2891,7822,2906,7804xm2916,7832l2864,7851,3007,7851,3006,7849,2916,7832xm2861,7822l2870,7846,2887,7827,2861,7822xm2887,7827l2870,7846,2876,7846,2916,7832,2887,7827xm3863,7465l2906,7804,2887,7827,2916,7832,3873,7493,3892,7470,3863,7465xm2891,7822l2861,7822,2887,7827,2891,7822xm3926,7446l3915,7446,3925,7475,3873,7493,3819,7557,3814,7563,3815,7573,3827,7583,3837,7582,3842,7576,3948,7450,3926,7446xm3892,7470l3873,7493,3924,7475,3918,7475,3892,7470xm3909,7451l3892,7470,3918,7475,3909,7451xm3917,7451l3909,7451,3918,7475,3924,7475,3925,7475,3917,7451xm3915,7446l3863,7465,3892,7470,3909,7451,3917,7451,3915,7446xm3778,7418l3771,7424,3769,7432,3768,7440,3773,7448,3863,7465,3915,7446,3926,7446,3778,7418xe" filled="true" fillcolor="#ff0000" stroked="false">
              <v:path arrowok="t"/>
              <v:fill type="solid"/>
            </v:shape>
            <v:shape style="position:absolute;left:3184;top:8151;width:1009;height:412" coordorigin="3185,8152" coordsize="1009,412" path="m3308,8398l3298,8398,3293,8404,3185,8529,3354,8563,3362,8558,3364,8550,3365,8542,3360,8534,3358,8533,3218,8533,3208,8505,3261,8487,3315,8424,3321,8418,3320,8408,3308,8398xm3261,8487l3208,8505,3218,8533,3231,8529,3224,8529,3216,8504,3246,8504,3261,8487xm3270,8516l3218,8533,3358,8533,3270,8516xm3216,8504l3224,8529,3241,8510,3216,8504xm3241,8510l3224,8529,3231,8529,3270,8516,3241,8510xm4108,8199l3261,8487,3241,8510,3270,8516,4117,8228,4137,8205,4108,8199xm3246,8504l3216,8504,3241,8510,3246,8504xm4171,8182l4160,8182,4170,8210,4117,8228,4063,8291,4057,8297,4058,8307,4070,8317,4080,8317,4085,8311,4193,8186,4171,8182xm4137,8205l4117,8228,4168,8211,4162,8211,4137,8205xm4154,8186l4137,8205,4162,8211,4154,8186xm4162,8186l4154,8186,4162,8211,4168,8211,4170,8210,4162,8186xm4160,8182l4108,8199,4137,8205,4154,8186,4162,8186,4160,8182xm4024,8152l4016,8157,4014,8165,4013,8173,4018,8181,4108,8199,4160,8182,4171,8182,4024,8152xe" filled="true" fillcolor="#ff0000" stroked="false">
              <v:path arrowok="t"/>
              <v:fill type="solid"/>
            </v:shape>
            <v:shape style="position:absolute;left:3547;top:8469;width:2446;height:944" coordorigin="3548,8469" coordsize="2446,944" path="m3668,9248l3659,9249,3548,9382,3718,9413,3726,9407,3727,9399,3729,9391,3725,9386,3581,9386,3571,9357,3623,9339,3676,9275,3682,9268,3681,9259,3668,9248xm3623,9339l3571,9357,3581,9386,3593,9381,3587,9381,3578,9357,3608,9357,3623,9339xm3633,9367l3581,9386,3725,9386,3723,9383,3715,9382,3633,9367xm3578,9357l3587,9381,3604,9361,3578,9357xm3604,9361l3587,9381,3593,9381,3633,9367,3604,9361xm5908,8515l3623,9339,3604,9361,3633,9367,5918,8543,5937,8521,5908,8515xm3608,9357l3578,9357,3604,9361,3608,9357xm5972,8496l5960,8496,5970,8525,5918,8543,5865,8607,5859,8614,5860,8623,5873,8634,5882,8633,5993,8500,5972,8496xm5937,8521l5918,8543,5968,8525,5963,8525,5937,8521xm5954,8501l5937,8521,5963,8525,5954,8501xm5962,8501l5954,8501,5963,8525,5968,8525,5970,8525,5962,8501xm5960,8496l5908,8515,5937,8521,5954,8501,5962,8501,5960,8496xm5823,8469l5815,8475,5814,8483,5812,8491,5818,8499,5826,8500,5908,8515,5960,8496,5972,8496,5823,8469xe" filled="true" fillcolor="#ff0000" stroked="false">
              <v:path arrowok="t"/>
              <v:fill type="solid"/>
            </v:shape>
            <v:shape style="position:absolute;left:3196;top:1144;width:2807;height:7372" coordorigin="3196,1145" coordsize="2807,7372" path="m3246,1200l3241,1230,5975,8516,6003,8506,3269,1219,3246,1200xm3226,1145l3196,1315,3202,1323,3218,1326,3226,1320,3227,1312,3241,1230,3222,1178,3250,1167,3253,1167,3226,1145xm3253,1167l3250,1167,3269,1219,3341,1277,3350,1276,3355,1270,3361,1263,3360,1254,3253,1167xm3250,1167l3222,1178,3241,1230,3246,1200,3227,1184,3251,1175,3253,1175,3250,1167xm3253,1175l3251,1175,3246,1200,3269,1219,3253,1175xm3251,1175l3227,1184,3246,1200,3251,1175xe" filled="true" fillcolor="#ff0000" stroked="false">
              <v:path arrowok="t"/>
              <v:fill type="solid"/>
            </v:shape>
            <v:shape style="position:absolute;left:1327;top:3574;width:1107;height:464" coordorigin="1328,3574" coordsize="1107,464" path="m1448,3873l1438,3874,1433,3880,1328,4007,1490,4036,1498,4038,1506,4032,1507,4024,1509,4016,1505,4010,1361,4010,1350,3982,1403,3963,1461,3893,1461,3883,1454,3878,1448,3873xm1403,3963l1350,3982,1361,4010,1373,4006,1367,4006,1358,3982,1388,3982,1403,3963xm1413,3992l1361,4010,1505,4010,1503,4008,1495,4007,1413,3992xm1358,3982l1367,4006,1384,3986,1358,3982xm1384,3986l1367,4006,1373,4006,1413,3992,1384,3986xm2349,3620l1403,3963,1384,3986,1413,3992,2359,3649,2378,3626,2349,3620xm1388,3982l1358,3982,1384,3986,1388,3982xm2413,3602l2401,3602,2412,3630,2359,3649,2301,3719,2301,3729,2308,3734,2314,3739,2324,3738,2329,3732,2434,3605,2413,3602xm2378,3626l2359,3649,2410,3630,2404,3630,2378,3626xm2395,3606l2378,3626,2404,3630,2395,3606xm2403,3606l2395,3606,2404,3630,2410,3630,2412,3630,2403,3606xm2401,3602l2349,3620,2378,3626,2395,3606,2403,3606,2401,3602xm2264,3574l2256,3580,2255,3588,2253,3596,2259,3604,2267,3605,2349,3620,2401,3602,2413,3602,2272,3576,2264,3574xe" filled="true" fillcolor="#ff0000" stroked="false">
              <v:path arrowok="t"/>
              <v:fill type="solid"/>
            </v:shape>
            <v:shape style="position:absolute;left:1617;top:4421;width:1144;height:485" coordorigin="1618,4421" coordsize="1144,485" path="m1737,4742l1727,4743,1722,4749,1618,4876,1788,4906,1796,4900,1799,4884,1796,4880,1651,4880,1640,4852,1692,4833,1745,4768,1750,4762,1749,4752,1737,4742xm1692,4833l1640,4852,1651,4880,1663,4876,1657,4876,1648,4851,1677,4851,1692,4833xm1703,4861l1651,4880,1796,4880,1793,4876,1703,4861xm1648,4851l1657,4876,1673,4856,1648,4851xm1673,4856l1657,4876,1663,4876,1703,4861,1673,4856xm2676,4466l1692,4833,1673,4856,1703,4861,2687,4494,2706,4471,2676,4466xm1677,4851l1648,4851,1673,4856,1677,4851xm2740,4447l2728,4447,2739,4475,2687,4494,2634,4559,2629,4565,2630,4575,2642,4585,2652,4584,2657,4578,2761,4451,2740,4447xm2706,4471l2687,4494,2737,4476,2731,4476,2706,4471xm2722,4451l2706,4471,2731,4476,2722,4451xm2730,4451l2722,4451,2731,4476,2737,4476,2739,4475,2730,4451xm2728,4447l2676,4466,2706,4471,2722,4451,2730,4451,2728,4447xm2591,4421l2583,4427,2580,4443,2586,4451,2676,4466,2728,4447,2740,4447,2591,4421xe" filled="true" fillcolor="#ff0000" stroked="false">
              <v:path arrowok="t"/>
              <v:fill type="solid"/>
            </v:shape>
            <v:shape style="position:absolute;left:2032;top:6210;width:1564;height:3243" coordorigin="2033,6210" coordsize="1564,3243" path="m2073,6264l2070,6294,3569,9452,3597,9440,2098,6281,2073,6264xm2047,6210l2033,6374,2033,6383,2039,6390,2047,6391,2055,6391,2063,6385,2063,6377,2070,6294,2047,6244,2074,6231,2078,6231,2047,6210xm2078,6231l2074,6231,2098,6281,2173,6333,2183,6331,2192,6317,2190,6308,2078,6231xm2074,6231l2047,6244,2070,6294,2073,6264,2052,6250,2075,6238,2077,6238,2074,6231xm2077,6238l2075,6238,2073,6264,2098,6281,2077,6238xm2075,6238l2052,6250,2073,6264,2075,6238xe" filled="true" fillcolor="#ff0000" stroked="false">
              <v:path arrowok="t"/>
              <v:fill type="solid"/>
            </v:shape>
            <v:shape style="position:absolute;left:541;top:2093;width:1556;height:4154" coordorigin="542,2094" coordsize="1556,4154" path="m593,2150l588,2179,2069,6247,2097,6237,616,2169,593,2150xm573,2094l543,2256,542,2264,547,2272,555,2273,563,2275,571,2269,573,2261,588,2179,569,2127,597,2116,600,2116,573,2094xm600,2116l597,2116,616,2169,686,2227,696,2226,701,2220,706,2214,705,2204,699,2199,600,2116xm597,2116l569,2127,588,2179,593,2150,573,2133,597,2124,600,2124,597,2116xm600,2124l597,2124,593,2150,616,2169,600,2124xm597,2124l573,2133,593,2150,597,2124xe" filled="true" fillcolor="#ff0000" stroked="false">
              <v:path arrowok="t"/>
              <v:fill type="solid"/>
            </v:shape>
            <v:shape style="position:absolute;left:597;top:1075;width:2633;height:996" coordorigin="598,1075" coordsize="2633,996" path="m719,1906l709,1907,598,2039,768,2071,775,2066,777,2057,778,2049,774,2043,631,2043,621,2015,673,1996,732,1926,732,1917,719,1906xm673,1996l621,2015,631,2043,643,2038,637,2038,629,2014,658,2014,673,1996xm683,2024l631,2043,774,2043,773,2041,765,2040,683,2024xm629,2014l637,2038,654,2019,629,2014xm654,2019l637,2038,643,2038,683,2024,654,2019xm3145,1122l673,1996,654,2019,683,2024,3155,1150,3174,1127,3145,1122xm658,2014l629,2014,654,2019,658,2014xm3208,1103l3197,1103,3207,1131,3155,1150,3096,1220,3096,1229,3109,1240,3119,1239,3230,1107,3208,1103xm3174,1127l3155,1150,3206,1132,3199,1132,3174,1127xm3191,1108l3174,1127,3199,1132,3191,1108xm3199,1108l3191,1108,3199,1132,3206,1132,3207,1131,3199,1108xm3197,1103l3145,1122,3174,1127,3191,1108,3199,1108,3197,1103xm3060,1075l3053,1080,3051,1089,3050,1097,3055,1105,3063,1106,3145,1122,3197,1103,3208,1103,3060,1075xe" filled="true" fillcolor="#ff0000" stroked="false">
              <v:path arrowok="t"/>
              <v:fill type="solid"/>
            </v:shape>
            <v:shape style="position:absolute;left:1895;top:524;width:369;height:883" coordorigin="1896,525" coordsize="369,883" path="m1946,580l1941,610,2236,1407,2264,1397,1969,599,1946,580xm1926,525l1897,687,1896,695,1901,703,1909,704,1917,706,1925,700,1927,692,1941,610,1922,558,1950,547,1953,547,1926,525xm1953,547l1950,547,1969,599,2034,652,2040,658,2049,657,2055,650,2060,644,2059,634,2053,629,1953,547xm1950,547l1922,558,1941,610,1946,580,1926,564,1951,555,1953,555,1950,547xm1953,555l1951,555,1946,580,1969,599,1953,555xm1951,555l1926,564,1946,580,1951,555xe" filled="true" fillcolor="#ff0000" stroked="false">
              <v:path arrowok="t"/>
              <v:fill type="solid"/>
            </v:shape>
            <v:shape style="position:absolute;left:6093;top:89;width:528;height:855" type="#_x0000_t75" stroked="false">
              <v:imagedata r:id="rId148" o:title=""/>
            </v:shape>
          </v:group>
        </w:pict>
      </w:r>
      <w:r>
        <w:rPr>
          <w:sz w:val="20"/>
        </w:rPr>
      </w:r>
    </w:p>
    <w:p>
      <w:pPr>
        <w:pStyle w:val="Heading4"/>
        <w:tabs>
          <w:tab w:pos="1041" w:val="left" w:leader="none"/>
        </w:tabs>
        <w:spacing w:before="115"/>
        <w:ind w:left="0" w:right="18"/>
        <w:jc w:val="center"/>
      </w:pPr>
      <w:r>
        <w:rPr/>
        <w:t>图</w:t>
      </w:r>
      <w:r>
        <w:rPr>
          <w:spacing w:val="-60"/>
        </w:rPr>
        <w:t> </w:t>
      </w:r>
      <w:r>
        <w:rPr>
          <w:rFonts w:ascii="Times New Roman" w:eastAsia="Times New Roman"/>
        </w:rPr>
        <w:t>8.7-1</w:t>
        <w:tab/>
      </w:r>
      <w:r>
        <w:rPr/>
        <w:t>厂内应急疏散路线图</w:t>
      </w:r>
    </w:p>
    <w:p>
      <w:pPr>
        <w:spacing w:after="0"/>
        <w:jc w:val="center"/>
        <w:sectPr>
          <w:pgSz w:w="11910" w:h="16840"/>
          <w:pgMar w:header="872" w:footer="945" w:top="1320" w:bottom="1140" w:left="1200" w:right="1180"/>
        </w:sectPr>
      </w:pPr>
    </w:p>
    <w:p>
      <w:pPr>
        <w:pStyle w:val="BodyText"/>
        <w:spacing w:before="2"/>
        <w:rPr>
          <w:b/>
          <w:sz w:val="6"/>
        </w:rPr>
      </w:pPr>
    </w:p>
    <w:p>
      <w:pPr>
        <w:pStyle w:val="BodyText"/>
        <w:ind w:left="600"/>
        <w:rPr>
          <w:sz w:val="20"/>
        </w:rPr>
      </w:pPr>
      <w:r>
        <w:rPr>
          <w:sz w:val="20"/>
        </w:rPr>
        <w:pict>
          <v:group style="width:415.3pt;height:255.15pt;mso-position-horizontal-relative:char;mso-position-vertical-relative:line" coordorigin="0,0" coordsize="8306,5103">
            <v:shape style="position:absolute;left:0;top:0;width:8306;height:5103" type="#_x0000_t75" stroked="false">
              <v:imagedata r:id="rId170" o:title=""/>
            </v:shape>
            <v:shape style="position:absolute;left:3725;top:1585;width:1227;height:1909" coordorigin="3725,1585" coordsize="1227,1909" path="m3725,1735l4475,3494,4952,3344,4352,1585,3725,1735xe" filled="false" stroked="true" strokeweight="1.5pt" strokecolor="#ff0000">
              <v:path arrowok="t"/>
              <v:stroke dashstyle="solid"/>
            </v:shape>
            <v:shape style="position:absolute;left:1874;top:1100;width:4505;height:1034" coordorigin="1874,1101" coordsize="4505,1034" path="m2003,1964l1874,2079,2030,2132,2038,2134,2046,2130,2049,2122,2052,2114,2047,2106,2040,2103,1993,2088,1906,2088,1900,2058,1955,2047,2017,1991,2023,1986,2023,1976,2018,1970,2012,1964,2003,1964xm1955,2047l1900,2058,1906,2088,1923,2084,1913,2084,1908,2059,1942,2059,1955,2047xm1960,2076l1906,2088,1993,2088,1960,2076xm1908,2059l1913,2084,1932,2067,1908,2059xm1932,2067l1913,2084,1923,2084,1960,2076,1932,2067xm6293,1159l1955,2047,1932,2067,1960,2076,6298,1188,6321,1168,6293,1159xm1942,2059l1908,2059,1932,2067,1942,2059xm6353,1147l6347,1147,6353,1177,6298,1188,6230,1249,6230,1259,6235,1265,6241,1271,6250,1271,6379,1156,6353,1147xm6321,1168l6298,1188,6353,1177,6353,1176,6345,1176,6321,1168xm6340,1151l6321,1168,6345,1176,6340,1151xm6347,1151l6340,1151,6345,1176,6353,1176,6347,1151xm6347,1147l6293,1159,6321,1168,6340,1151,6347,1151,6347,1147xm6215,1101l6207,1105,6204,1113,6201,1121,6206,1129,6213,1132,6293,1159,6347,1147,6353,1147,6223,1103,6215,1101xe" filled="true" fillcolor="#4aacc5" stroked="false">
              <v:path arrowok="t"/>
              <v:fill type="solid"/>
            </v:shape>
            <v:shape style="position:absolute;left:2302;top:2391;width:5508;height:1838" coordorigin="2303,2392" coordsize="5508,1838" path="m2428,4063l2418,4063,2303,4192,2472,4229,2480,4224,2481,4216,2483,4208,2478,4200,2465,4197,2336,4197,2327,4169,2379,4152,2441,4083,2440,4074,2434,4068,2428,4063xm2379,4152l2327,4169,2336,4197,2349,4193,2342,4193,2334,4168,2364,4168,2379,4152xm2388,4180l2336,4197,2465,4197,2388,4180xm2334,4168l2342,4193,2359,4174,2334,4168xm2359,4174l2342,4193,2349,4193,2388,4180,2359,4174xm7724,2441l2379,4152,2359,4174,2388,4180,7734,2469,7754,2447,7724,2441xm2364,4168l2334,4168,2359,4174,2364,4168xm7786,2424l7777,2424,7787,2452,7734,2469,7672,2538,7673,2547,7679,2553,7685,2558,7695,2558,7700,2551,7810,2429,7786,2424xm7754,2447l7734,2469,7785,2453,7779,2453,7754,2447xm7771,2428l7754,2447,7779,2453,7771,2428xm7779,2428l7771,2428,7779,2453,7785,2453,7787,2452,7779,2428xm7777,2424l7724,2441,7754,2447,7771,2428,7779,2428,7777,2424xm7641,2392l7633,2397,7632,2405,7630,2413,7635,2421,7724,2441,7777,2424,7786,2424,7641,2392xe" filled="true" fillcolor="#4aacc5" stroked="false">
              <v:path arrowok="t"/>
              <v:fill type="solid"/>
            </v:shape>
            <v:shape style="position:absolute;left:3639;top:1807;width:787;height:1720" coordorigin="3640,1807" coordsize="787,1720" path="m4284,3400l4275,3402,4270,3408,4265,3415,4267,3424,4273,3429,4406,3527,4409,3505,4380,3505,4358,3454,4291,3405,4284,3400xm4358,3454l4380,3505,4398,3498,4379,3498,4382,3472,4358,3454xm4404,3345l4397,3351,4396,3360,4386,3443,4408,3493,4380,3505,4409,3505,4425,3363,4426,3355,4421,3347,4404,3345xm4382,3472l4379,3498,4403,3487,4382,3472xm4386,3443l4382,3472,4403,3487,4379,3498,4398,3498,4408,3493,4386,3443xm3684,1862l3680,1891,4358,3454,4382,3472,4386,3443,3708,1880,3684,1862xm3660,1807l3641,1971,3640,1979,3645,1987,3662,1989,3669,1983,3670,1974,3680,1891,3658,1841,3686,1829,3689,1829,3660,1807xm3689,1829l3686,1829,3708,1880,3775,1929,3782,1934,3791,1932,3796,1926,3801,1919,3799,1910,3793,1905,3689,1829xm3686,1829l3658,1841,3680,1891,3684,1862,3663,1847,3687,1836,3689,1836,3686,1829xm3689,1836l3687,1836,3684,1862,3708,1880,3689,1836xm3687,1836l3663,1847,3684,1862,3687,1836xe" filled="true" fillcolor="#4aacc5" stroked="false">
              <v:path arrowok="t"/>
              <v:fill type="solid"/>
            </v:shape>
            <v:shape style="position:absolute;left:2264;top:3405;width:288;height:672" coordorigin="2264,3406" coordsize="288,672" path="m2406,3939l2397,3939,2385,3952,2386,3961,2514,4077,2519,4053,2491,4053,2474,4000,2406,3939xm2474,4000l2491,4053,2515,4046,2490,4046,2496,4021,2474,4000xm2531,3897l2523,3902,2503,3992,2519,4044,2491,4053,2519,4053,2552,3909,2547,3901,2539,3899,2531,3897xm2496,4021l2490,4046,2515,4038,2496,4021xm2503,3992l2496,4021,2515,4038,2490,4046,2515,4046,2519,4044,2503,3992xm2320,3462l2313,3491,2474,4000,2496,4021,2503,3992,2342,3483,2320,3462xm2302,3406l2264,3574,2269,3582,2277,3584,2285,3586,2293,3581,2313,3491,2297,3439,2325,3430,2328,3430,2302,3406xm2328,3430l2325,3430,2342,3483,2410,3544,2419,3544,2431,3531,2430,3522,2328,3430xm2325,3430l2297,3439,2313,3491,2320,3462,2301,3445,2326,3437,2328,3437,2325,3430xm2328,3437l2326,3437,2320,3462,2342,3483,2328,3437xm2326,3437l2301,3445,2320,3462,2326,3437xe" filled="true" fillcolor="#4aacc5" stroked="false">
              <v:path arrowok="t"/>
              <v:fill type="solid"/>
            </v:shape>
            <v:shape style="position:absolute;left:6409;top:1148;width:577;height:1577" coordorigin="6410,1148" coordsize="577,1577" path="m6841,2588l6832,2589,6821,2601,6822,2610,6828,2616,6952,2724,6957,2701,6928,2701,6910,2648,6848,2593,6841,2588xm6910,2648l6928,2701,6952,2693,6928,2693,6933,2668,6910,2648xm6965,2544l6957,2549,6956,2557,6939,2639,6956,2691,6928,2701,6957,2701,6985,2563,6987,2555,6982,2547,6973,2545,6965,2544xm6933,2668l6928,2693,6952,2685,6933,2668xm6939,2639l6933,2668,6952,2685,6928,2693,6952,2693,6956,2691,6939,2639xm6438,1148l6410,1158,6910,2648,6933,2668,6939,2639,6438,1148xe" filled="true" fillcolor="#4aacc5" stroked="false">
              <v:path arrowok="t"/>
              <v:fill type="solid"/>
            </v:shape>
            <v:shape style="position:absolute;left:1136;top:3400;width:1126;height:322" coordorigin="1136,3400" coordsize="1126,322" path="m1262,3552l1136,3670,1293,3719,1301,3722,1309,3717,1312,3709,1314,3701,1310,3693,1302,3691,1261,3678,1168,3678,1162,3649,1216,3636,1283,3574,1283,3564,1272,3552,1262,3552xm1216,3636l1162,3649,1168,3678,1184,3674,1175,3674,1170,3649,1202,3649,1216,3636xm1223,3666l1168,3678,1261,3678,1223,3666xm1170,3649l1175,3674,1194,3657,1170,3649xm1194,3657l1175,3674,1184,3674,1223,3666,1194,3657xm2255,3400l1216,3636,1194,3657,1223,3666,2261,3430,2255,3400xm1202,3649l1170,3649,1194,3657,1202,3649xe" filled="true" fillcolor="#4aacc5" stroked="false">
              <v:path arrowok="t"/>
              <v:fill type="solid"/>
            </v:shape>
            <v:shape style="position:absolute;left:7772;top:103;width:528;height:855" type="#_x0000_t75" stroked="false">
              <v:imagedata r:id="rId148" o:title=""/>
            </v:shape>
            <v:shape style="position:absolute;left:4618;top:1851;width:1225;height:240" type="#_x0000_t202" filled="false" stroked="false">
              <v:textbox inset="0,0,0,0">
                <w:txbxContent>
                  <w:p>
                    <w:pPr>
                      <w:spacing w:line="240" w:lineRule="exact" w:before="0"/>
                      <w:ind w:left="0" w:right="0" w:firstLine="0"/>
                      <w:jc w:val="left"/>
                      <w:rPr>
                        <w:b/>
                        <w:sz w:val="24"/>
                      </w:rPr>
                    </w:pPr>
                    <w:r>
                      <w:rPr>
                        <w:b/>
                        <w:color w:val="FF0000"/>
                        <w:sz w:val="24"/>
                      </w:rPr>
                      <w:t>贝斯美厂区</w:t>
                    </w:r>
                  </w:p>
                </w:txbxContent>
              </v:textbox>
              <w10:wrap type="none"/>
            </v:shape>
          </v:group>
        </w:pict>
      </w:r>
      <w:r>
        <w:rPr>
          <w:sz w:val="20"/>
        </w:rPr>
      </w:r>
    </w:p>
    <w:p>
      <w:pPr>
        <w:spacing w:before="113"/>
        <w:ind w:left="0" w:right="16" w:firstLine="0"/>
        <w:jc w:val="center"/>
        <w:rPr>
          <w:b/>
          <w:sz w:val="24"/>
        </w:rPr>
      </w:pPr>
      <w:r>
        <w:rPr>
          <w:b/>
          <w:sz w:val="24"/>
        </w:rPr>
        <w:t>图 </w:t>
      </w:r>
      <w:r>
        <w:rPr>
          <w:rFonts w:ascii="Times New Roman" w:eastAsia="Times New Roman"/>
          <w:b/>
          <w:sz w:val="24"/>
        </w:rPr>
        <w:t>8.7-2  </w:t>
      </w:r>
      <w:r>
        <w:rPr>
          <w:b/>
          <w:sz w:val="24"/>
        </w:rPr>
        <w:t>厂外应急疏散路线图</w:t>
      </w:r>
    </w:p>
    <w:p>
      <w:pPr>
        <w:pStyle w:val="ListParagraph"/>
        <w:numPr>
          <w:ilvl w:val="2"/>
          <w:numId w:val="23"/>
        </w:numPr>
        <w:tabs>
          <w:tab w:pos="759" w:val="left" w:leader="none"/>
        </w:tabs>
        <w:spacing w:line="240" w:lineRule="auto" w:before="161" w:after="0"/>
        <w:ind w:left="758" w:right="0" w:hanging="541"/>
        <w:jc w:val="both"/>
        <w:rPr>
          <w:b/>
          <w:sz w:val="24"/>
        </w:rPr>
      </w:pPr>
      <w:r>
        <w:rPr>
          <w:b/>
          <w:sz w:val="24"/>
        </w:rPr>
        <w:t>地表水环境风险防范措施</w:t>
      </w:r>
    </w:p>
    <w:p>
      <w:pPr>
        <w:pStyle w:val="BodyText"/>
        <w:spacing w:line="364" w:lineRule="auto" w:before="158"/>
        <w:ind w:left="218" w:right="185" w:firstLine="480"/>
        <w:jc w:val="both"/>
      </w:pPr>
      <w:r>
        <w:rPr/>
        <w:t>废水事故性排放主要包括两种情况：</w:t>
      </w:r>
      <w:r>
        <w:rPr>
          <w:rFonts w:ascii="Times New Roman" w:eastAsia="Times New Roman"/>
        </w:rPr>
        <w:t>1</w:t>
      </w:r>
      <w:r>
        <w:rPr/>
        <w:t>、厂区发生火灾、爆炸或泄漏事故，在消防灭火过程中产生的地面冲洗水或泄漏事故中产生的喷淋废水等未经收集</w:t>
      </w:r>
      <w:r>
        <w:rPr>
          <w:rFonts w:ascii="Times New Roman" w:eastAsia="Times New Roman"/>
        </w:rPr>
        <w:t>(</w:t>
      </w:r>
      <w:r>
        <w:rPr/>
        <w:t>未建事故应急池</w:t>
      </w:r>
      <w:r>
        <w:rPr>
          <w:rFonts w:ascii="Times New Roman" w:eastAsia="Times New Roman"/>
        </w:rPr>
        <w:t>)</w:t>
      </w:r>
      <w:r>
        <w:rPr/>
        <w:t>直接排放，或者经收集后未经处理直接排放，导致事故废水可能进入清下水系统而污染附近水体或对接入污水管网的污水处理厂产生较大冲击负荷；</w:t>
      </w:r>
      <w:r>
        <w:rPr>
          <w:rFonts w:ascii="Times New Roman" w:eastAsia="Times New Roman"/>
        </w:rPr>
        <w:t>2</w:t>
      </w:r>
      <w:r>
        <w:rPr/>
        <w:t>、污水处理设施发生事故不能正常运行时，生产废水、初期雨污水等污水未经处理或有效处理直接排放， 由此污染水环境或冲击污水处理厂。</w:t>
      </w:r>
    </w:p>
    <w:p>
      <w:pPr>
        <w:pStyle w:val="BodyText"/>
        <w:spacing w:line="364" w:lineRule="auto"/>
        <w:ind w:left="218" w:right="229" w:firstLine="480"/>
        <w:jc w:val="both"/>
        <w:rPr>
          <w:b/>
        </w:rPr>
      </w:pPr>
      <w:r>
        <w:rPr>
          <w:spacing w:val="-5"/>
        </w:rPr>
        <w:t>对于发生火灾、爆炸或泄漏事故风险，必须设立相应的事故应急池。根据前述内容</w:t>
      </w:r>
      <w:r>
        <w:rPr>
          <w:spacing w:val="-6"/>
        </w:rPr>
        <w:t>计算可知，本项目厂区事故水废水量约为 </w:t>
      </w:r>
      <w:r>
        <w:rPr>
          <w:rFonts w:ascii="Times New Roman" w:eastAsia="Times New Roman"/>
        </w:rPr>
        <w:t>550m</w:t>
      </w:r>
      <w:r>
        <w:rPr>
          <w:rFonts w:ascii="Times New Roman" w:eastAsia="Times New Roman"/>
          <w:position w:val="9"/>
          <w:sz w:val="16"/>
        </w:rPr>
        <w:t>3</w:t>
      </w:r>
      <w:r>
        <w:rPr>
          <w:spacing w:val="-3"/>
        </w:rPr>
        <w:t>。企业拟建容积为 </w:t>
      </w:r>
      <w:r>
        <w:rPr>
          <w:rFonts w:ascii="Times New Roman" w:eastAsia="Times New Roman"/>
        </w:rPr>
        <w:t>2600m</w:t>
      </w:r>
      <w:r>
        <w:rPr>
          <w:rFonts w:ascii="Times New Roman" w:eastAsia="Times New Roman"/>
          <w:position w:val="9"/>
          <w:sz w:val="16"/>
        </w:rPr>
        <w:t>3 </w:t>
      </w:r>
      <w:r>
        <w:rPr>
          <w:spacing w:val="-3"/>
        </w:rPr>
        <w:t>的事故应急</w:t>
      </w:r>
      <w:r>
        <w:rPr/>
        <w:t>池，发生事故时可以将事故废水全部收集</w:t>
      </w:r>
      <w:r>
        <w:rPr>
          <w:b/>
        </w:rPr>
        <w:t>，可满足本项目事故应急废水收集要求。</w:t>
      </w:r>
    </w:p>
    <w:p>
      <w:pPr>
        <w:pStyle w:val="BodyText"/>
        <w:spacing w:line="364" w:lineRule="auto"/>
        <w:ind w:left="218" w:right="110" w:firstLine="480"/>
      </w:pPr>
      <w:r>
        <w:rPr>
          <w:spacing w:val="-3"/>
        </w:rPr>
        <w:t>要求企业事故废水泵采用自动和手动两套控制系统，并配备应急电源，确保事故状</w:t>
      </w:r>
      <w:r>
        <w:rPr>
          <w:spacing w:val="-6"/>
        </w:rPr>
        <w:t>态下事故废水能够进入事故废水应急设施。一旦发生事故，可将废水集中收集纳入应急</w:t>
      </w:r>
      <w:r>
        <w:rPr>
          <w:spacing w:val="-8"/>
        </w:rPr>
        <w:t>事故池。事故应急池的容量，应能满足接纳火灾、泄漏事故延续时间内产生的废水总量</w:t>
      </w:r>
      <w:r>
        <w:rPr>
          <w:spacing w:val="-14"/>
        </w:rPr>
        <w:t>的要求。一定发生事故，要求及时关闭雨水排放口闸阀，将事故液收集进入事故应急池， </w:t>
      </w:r>
      <w:r>
        <w:rPr/>
        <w:t>再由事故应急池分批打入企业污水站，利用污水站处理达标后再排入园区污水处理厂。</w:t>
      </w:r>
    </w:p>
    <w:p>
      <w:pPr>
        <w:spacing w:line="306" w:lineRule="exact" w:before="0"/>
        <w:ind w:left="701" w:right="0" w:firstLine="0"/>
        <w:jc w:val="left"/>
        <w:rPr>
          <w:sz w:val="24"/>
        </w:rPr>
      </w:pPr>
      <w:r>
        <w:rPr>
          <w:b/>
          <w:sz w:val="24"/>
        </w:rPr>
        <w:t>防止事故废水进入外环境控制，封堵图</w:t>
      </w:r>
      <w:r>
        <w:rPr>
          <w:sz w:val="24"/>
        </w:rPr>
        <w:t>详见图 </w:t>
      </w:r>
      <w:r>
        <w:rPr>
          <w:rFonts w:ascii="Times New Roman" w:eastAsia="Times New Roman"/>
          <w:sz w:val="24"/>
        </w:rPr>
        <w:t>8.7-3</w:t>
      </w:r>
      <w:r>
        <w:rPr>
          <w:sz w:val="24"/>
        </w:rPr>
        <w:t>。</w:t>
      </w:r>
    </w:p>
    <w:p>
      <w:pPr>
        <w:spacing w:after="0" w:line="306" w:lineRule="exact"/>
        <w:jc w:val="left"/>
        <w:rPr>
          <w:sz w:val="24"/>
        </w:rPr>
        <w:sectPr>
          <w:footerReference w:type="default" r:id="rId169"/>
          <w:pgSz w:w="11910" w:h="16850"/>
          <w:pgMar w:footer="803" w:header="872" w:top="1320" w:bottom="1000" w:left="1200" w:right="1180"/>
          <w:pgNumType w:start="23"/>
        </w:sectPr>
      </w:pPr>
    </w:p>
    <w:p>
      <w:pPr>
        <w:spacing w:line="254" w:lineRule="auto" w:before="105"/>
        <w:ind w:left="622" w:right="101" w:firstLine="0"/>
        <w:jc w:val="both"/>
        <w:rPr>
          <w:sz w:val="20"/>
        </w:rPr>
      </w:pPr>
      <w:r>
        <w:rPr>
          <w:sz w:val="20"/>
        </w:rPr>
        <w:t>事故排放液如泄漏物、</w:t>
      </w:r>
      <w:r>
        <w:rPr>
          <w:w w:val="105"/>
          <w:sz w:val="20"/>
        </w:rPr>
        <w:t>消防水、</w:t>
      </w:r>
    </w:p>
    <w:p>
      <w:pPr>
        <w:spacing w:line="253" w:lineRule="exact" w:before="0"/>
        <w:ind w:left="519" w:right="0" w:firstLine="0"/>
        <w:jc w:val="left"/>
        <w:rPr>
          <w:sz w:val="20"/>
        </w:rPr>
      </w:pPr>
      <w:r>
        <w:rPr>
          <w:sz w:val="20"/>
        </w:rPr>
        <w:t>事故消洗水等</w:t>
      </w:r>
    </w:p>
    <w:p>
      <w:pPr>
        <w:pStyle w:val="BodyText"/>
        <w:spacing w:before="11"/>
        <w:rPr>
          <w:sz w:val="21"/>
        </w:rPr>
      </w:pPr>
      <w:r>
        <w:rPr/>
        <w:br w:type="column"/>
      </w:r>
      <w:r>
        <w:rPr>
          <w:sz w:val="21"/>
        </w:rPr>
      </w:r>
    </w:p>
    <w:p>
      <w:pPr>
        <w:tabs>
          <w:tab w:pos="2109" w:val="left" w:leader="none"/>
        </w:tabs>
        <w:spacing w:before="1"/>
        <w:ind w:left="304" w:right="0" w:firstLine="0"/>
        <w:jc w:val="left"/>
        <w:rPr>
          <w:sz w:val="20"/>
        </w:rPr>
      </w:pPr>
      <w:r>
        <w:rPr/>
        <w:pict>
          <v:group style="position:absolute;margin-left:359.659973pt;margin-top:13.844281pt;width:90.3pt;height:5.1pt;mso-position-horizontal-relative:page;mso-position-vertical-relative:paragraph;z-index:-317639680" coordorigin="7193,277" coordsize="1806,102">
            <v:shape style="position:absolute;left:6547;top:13054;width:1946;height:2" coordorigin="6547,13054" coordsize="1946,0" path="m7193,328l8071,328m8169,328l8868,328e" filled="false" stroked="true" strokeweight=".206051pt" strokecolor="#000000">
              <v:path arrowok="t"/>
              <v:stroke dashstyle="solid"/>
            </v:shape>
            <v:shape style="position:absolute;left:8855;top:280;width:143;height:95" coordorigin="8856,280" coordsize="143,95" path="m8856,280l8856,375,8998,328,8856,280xe" filled="true" fillcolor="#000000" stroked="false">
              <v:path arrowok="t"/>
              <v:fill type="solid"/>
            </v:shape>
            <v:shape style="position:absolute;left:8069;top:276;width:102;height:102" type="#_x0000_t75" stroked="false">
              <v:imagedata r:id="rId171" o:title=""/>
            </v:shape>
            <w10:wrap type="none"/>
          </v:group>
        </w:pict>
      </w:r>
      <w:r>
        <w:rPr>
          <w:w w:val="105"/>
          <w:sz w:val="20"/>
        </w:rPr>
        <w:t>自流</w:t>
        <w:tab/>
        <w:t>自流</w:t>
      </w:r>
    </w:p>
    <w:p>
      <w:pPr>
        <w:tabs>
          <w:tab w:pos="1898" w:val="left" w:leader="none"/>
        </w:tabs>
        <w:spacing w:line="130" w:lineRule="exact"/>
        <w:ind w:left="93" w:right="-245" w:firstLine="0"/>
        <w:rPr>
          <w:sz w:val="9"/>
        </w:rPr>
      </w:pPr>
      <w:r>
        <w:rPr>
          <w:position w:val="-2"/>
          <w:sz w:val="9"/>
        </w:rPr>
        <w:pict>
          <v:group style="width:41.5pt;height:4.75pt;mso-position-horizontal-relative:char;mso-position-vertical-relative:line" coordorigin="0,0" coordsize="830,95">
            <v:line style="position:absolute" from="0,47" to="699,47" stroked="true" strokeweight=".205571pt" strokecolor="#000000">
              <v:stroke dashstyle="solid"/>
            </v:line>
            <v:shape style="position:absolute;left:686;top:0;width:143;height:95" coordorigin="687,0" coordsize="143,95" path="m687,0l687,95,829,47,687,0xe" filled="true" fillcolor="#000000" stroked="false">
              <v:path arrowok="t"/>
              <v:fill type="solid"/>
            </v:shape>
          </v:group>
        </w:pict>
      </w:r>
      <w:r>
        <w:rPr>
          <w:position w:val="-2"/>
          <w:sz w:val="9"/>
        </w:rPr>
      </w:r>
      <w:r>
        <w:rPr>
          <w:position w:val="-2"/>
          <w:sz w:val="9"/>
        </w:rPr>
        <w:tab/>
      </w:r>
      <w:r>
        <w:rPr>
          <w:position w:val="1"/>
          <w:sz w:val="9"/>
        </w:rPr>
        <w:pict>
          <v:group style="width:41.5pt;height:4.75pt;mso-position-horizontal-relative:char;mso-position-vertical-relative:line" coordorigin="0,0" coordsize="830,95">
            <v:line style="position:absolute" from="0,47" to="699,47" stroked="true" strokeweight=".205571pt" strokecolor="#000000">
              <v:stroke dashstyle="solid"/>
            </v:line>
            <v:shape style="position:absolute;left:686;top:0;width:143;height:95" coordorigin="687,0" coordsize="143,95" path="m687,0l687,95,829,47,687,0xe" filled="true" fillcolor="#000000" stroked="false">
              <v:path arrowok="t"/>
              <v:fill type="solid"/>
            </v:shape>
          </v:group>
        </w:pict>
      </w:r>
      <w:r>
        <w:rPr>
          <w:position w:val="1"/>
          <w:sz w:val="9"/>
        </w:rPr>
      </w:r>
    </w:p>
    <w:p>
      <w:pPr>
        <w:pStyle w:val="BodyText"/>
        <w:spacing w:before="1"/>
        <w:rPr>
          <w:sz w:val="22"/>
        </w:rPr>
      </w:pPr>
      <w:r>
        <w:rPr/>
        <w:br w:type="column"/>
      </w:r>
      <w:r>
        <w:rPr>
          <w:sz w:val="22"/>
        </w:rPr>
      </w:r>
    </w:p>
    <w:p>
      <w:pPr>
        <w:tabs>
          <w:tab w:pos="1721" w:val="left" w:leader="none"/>
        </w:tabs>
        <w:spacing w:line="247" w:lineRule="auto" w:before="1"/>
        <w:ind w:left="1825" w:right="551" w:hanging="1306"/>
        <w:jc w:val="left"/>
        <w:rPr>
          <w:sz w:val="20"/>
        </w:rPr>
      </w:pPr>
      <w:r>
        <w:rPr>
          <w:w w:val="105"/>
          <w:position w:val="5"/>
          <w:sz w:val="20"/>
        </w:rPr>
        <w:t>泵送</w:t>
        <w:tab/>
      </w:r>
      <w:r>
        <w:rPr>
          <w:sz w:val="20"/>
        </w:rPr>
        <w:t>委托有资</w:t>
      </w:r>
      <w:r>
        <w:rPr>
          <w:spacing w:val="-17"/>
          <w:sz w:val="20"/>
        </w:rPr>
        <w:t>质</w:t>
      </w:r>
      <w:r>
        <w:rPr>
          <w:w w:val="105"/>
          <w:sz w:val="20"/>
        </w:rPr>
        <w:t>单位处置</w:t>
      </w:r>
    </w:p>
    <w:p>
      <w:pPr>
        <w:spacing w:after="0" w:line="247" w:lineRule="auto"/>
        <w:jc w:val="left"/>
        <w:rPr>
          <w:sz w:val="20"/>
        </w:rPr>
        <w:sectPr>
          <w:pgSz w:w="11910" w:h="16850"/>
          <w:pgMar w:header="872" w:footer="803" w:top="1320" w:bottom="1000" w:left="1200" w:right="1180"/>
          <w:cols w:num="3" w:equalWidth="0">
            <w:col w:w="1759" w:space="40"/>
            <w:col w:w="2564" w:space="1856"/>
            <w:col w:w="3311"/>
          </w:cols>
        </w:sectPr>
      </w:pPr>
    </w:p>
    <w:p>
      <w:pPr>
        <w:pStyle w:val="BodyText"/>
        <w:rPr>
          <w:sz w:val="20"/>
        </w:rPr>
      </w:pPr>
    </w:p>
    <w:p>
      <w:pPr>
        <w:pStyle w:val="BodyText"/>
        <w:spacing w:before="1"/>
        <w:rPr>
          <w:sz w:val="18"/>
        </w:rPr>
      </w:pPr>
    </w:p>
    <w:p>
      <w:pPr>
        <w:tabs>
          <w:tab w:pos="7940" w:val="left" w:leader="none"/>
        </w:tabs>
        <w:spacing w:line="247" w:lineRule="auto" w:before="76"/>
        <w:ind w:left="8043" w:right="551" w:hanging="1380"/>
        <w:jc w:val="left"/>
        <w:rPr>
          <w:sz w:val="20"/>
        </w:rPr>
      </w:pPr>
      <w:r>
        <w:rPr/>
        <w:pict>
          <v:group style="position:absolute;margin-left:359.659973pt;margin-top:19.449211pt;width:90.3pt;height:5.1pt;mso-position-horizontal-relative:page;mso-position-vertical-relative:paragraph;z-index:-317638656" coordorigin="7193,389" coordsize="1806,102">
            <v:shape style="position:absolute;left:6547;top:13416;width:1946;height:2" coordorigin="6547,13416" coordsize="1946,0" path="m7193,440l8071,440m8120,440l8868,440e" filled="false" stroked="true" strokeweight=".206051pt" strokecolor="#000000">
              <v:path arrowok="t"/>
              <v:stroke dashstyle="solid"/>
            </v:shape>
            <v:shape style="position:absolute;left:8855;top:392;width:143;height:95" coordorigin="8856,392" coordsize="143,95" path="m8856,392l8856,487,8998,440,8856,392xe" filled="true" fillcolor="#000000" stroked="false">
              <v:path arrowok="t"/>
              <v:fill type="solid"/>
            </v:shape>
            <v:shape style="position:absolute;left:8020;top:388;width:102;height:102" type="#_x0000_t75" stroked="false">
              <v:imagedata r:id="rId172" o:title=""/>
            </v:shape>
            <w10:wrap type="none"/>
          </v:group>
        </w:pict>
      </w:r>
      <w:r>
        <w:rPr/>
        <w:pict>
          <v:group style="position:absolute;margin-left:320.694427pt;margin-top:-36.292007pt;width:4.75pt;height:41.9pt;mso-position-horizontal-relative:page;mso-position-vertical-relative:paragraph;z-index:251948032" coordorigin="6414,-726" coordsize="95,838">
            <v:line style="position:absolute" from="6461,-726" to="6461,-18" stroked="true" strokeweight=".206531pt" strokecolor="#000000">
              <v:stroke dashstyle="solid"/>
            </v:line>
            <v:shape style="position:absolute;left:6413;top:-31;width:95;height:142" coordorigin="6414,-30" coordsize="95,142" path="m6509,-30l6414,-30,6461,112,6509,-30xe" filled="true" fillcolor="#000000" stroked="false">
              <v:path arrowok="t"/>
              <v:fill type="solid"/>
            </v:shape>
            <w10:wrap type="none"/>
          </v:group>
        </w:pict>
      </w:r>
      <w:r>
        <w:rPr/>
        <w:pict>
          <v:shape style="position:absolute;margin-left:286.479095pt;margin-top:5.591297pt;width:73.2pt;height:32.8pt;mso-position-horizontal-relative:page;mso-position-vertical-relative:paragraph;z-index:251949056" type="#_x0000_t202" filled="false" stroked="true" strokeweight=".205735pt" strokecolor="#000000">
            <v:textbox inset="0,0,0,0">
              <w:txbxContent>
                <w:p>
                  <w:pPr>
                    <w:pStyle w:val="BodyText"/>
                    <w:spacing w:before="1"/>
                    <w:rPr>
                      <w:sz w:val="15"/>
                    </w:rPr>
                  </w:pPr>
                </w:p>
                <w:p>
                  <w:pPr>
                    <w:spacing w:before="0"/>
                    <w:ind w:left="419" w:right="0" w:firstLine="0"/>
                    <w:jc w:val="left"/>
                    <w:rPr>
                      <w:sz w:val="20"/>
                    </w:rPr>
                  </w:pPr>
                  <w:r>
                    <w:rPr>
                      <w:w w:val="105"/>
                      <w:sz w:val="20"/>
                    </w:rPr>
                    <w:t>污水站</w:t>
                  </w:r>
                </w:p>
              </w:txbxContent>
            </v:textbox>
            <v:stroke dashstyle="solid"/>
            <w10:wrap type="none"/>
          </v:shape>
        </w:pict>
      </w:r>
      <w:r>
        <w:rPr/>
        <w:pict>
          <v:shape style="position:absolute;margin-left:196.22493pt;margin-top:-67.249306pt;width:48.8pt;height:32.8pt;mso-position-horizontal-relative:page;mso-position-vertical-relative:paragraph;z-index:-317635584" type="#_x0000_t202" filled="false" stroked="true" strokeweight=".205873pt" strokecolor="#000000">
            <v:textbox inset="0,0,0,0">
              <w:txbxContent>
                <w:p>
                  <w:pPr>
                    <w:pStyle w:val="BodyText"/>
                    <w:spacing w:before="1"/>
                    <w:rPr>
                      <w:sz w:val="15"/>
                    </w:rPr>
                  </w:pPr>
                </w:p>
                <w:p>
                  <w:pPr>
                    <w:spacing w:before="0"/>
                    <w:ind w:left="175" w:right="0" w:firstLine="0"/>
                    <w:jc w:val="left"/>
                    <w:rPr>
                      <w:sz w:val="20"/>
                    </w:rPr>
                  </w:pPr>
                  <w:r>
                    <w:rPr>
                      <w:w w:val="105"/>
                      <w:sz w:val="20"/>
                    </w:rPr>
                    <w:t>截流沟</w:t>
                  </w:r>
                </w:p>
              </w:txbxContent>
            </v:textbox>
            <v:stroke dashstyle="solid"/>
            <w10:wrap type="none"/>
          </v:shape>
        </w:pict>
      </w:r>
      <w:r>
        <w:rPr/>
        <w:pict>
          <v:shape style="position:absolute;margin-left:286.479095pt;margin-top:-69.070313pt;width:73.2pt;height:32.8pt;mso-position-horizontal-relative:page;mso-position-vertical-relative:paragraph;z-index:251951104" type="#_x0000_t202" filled="false" stroked="true" strokeweight=".205735pt" strokecolor="#000000">
            <v:textbox inset="0,0,0,0">
              <w:txbxContent>
                <w:p>
                  <w:pPr>
                    <w:pStyle w:val="BodyText"/>
                    <w:spacing w:before="1"/>
                    <w:rPr>
                      <w:sz w:val="15"/>
                    </w:rPr>
                  </w:pPr>
                </w:p>
                <w:p>
                  <w:pPr>
                    <w:spacing w:before="0"/>
                    <w:ind w:left="213" w:right="0" w:firstLine="0"/>
                    <w:jc w:val="left"/>
                    <w:rPr>
                      <w:sz w:val="20"/>
                    </w:rPr>
                  </w:pPr>
                  <w:r>
                    <w:rPr>
                      <w:w w:val="105"/>
                      <w:sz w:val="20"/>
                    </w:rPr>
                    <w:t>事故应急池</w:t>
                  </w:r>
                </w:p>
              </w:txbxContent>
            </v:textbox>
            <v:stroke dashstyle="solid"/>
            <w10:wrap type="none"/>
          </v:shape>
        </w:pict>
      </w:r>
      <w:r>
        <w:rPr>
          <w:w w:val="105"/>
          <w:position w:val="9"/>
          <w:sz w:val="20"/>
        </w:rPr>
        <w:t>泵送</w:t>
        <w:tab/>
      </w:r>
      <w:r>
        <w:rPr>
          <w:sz w:val="20"/>
        </w:rPr>
        <w:t>处理达标</w:t>
      </w:r>
      <w:r>
        <w:rPr>
          <w:spacing w:val="-18"/>
          <w:sz w:val="20"/>
        </w:rPr>
        <w:t>后</w:t>
      </w:r>
      <w:r>
        <w:rPr>
          <w:w w:val="105"/>
          <w:sz w:val="20"/>
        </w:rPr>
        <w:t>纳管排放</w:t>
      </w:r>
    </w:p>
    <w:p>
      <w:pPr>
        <w:pStyle w:val="BodyText"/>
        <w:spacing w:before="2"/>
        <w:rPr>
          <w:sz w:val="13"/>
        </w:rPr>
      </w:pPr>
    </w:p>
    <w:p>
      <w:pPr>
        <w:pStyle w:val="Heading4"/>
        <w:tabs>
          <w:tab w:pos="1162" w:val="left" w:leader="none"/>
        </w:tabs>
        <w:spacing w:before="77"/>
        <w:ind w:left="0" w:right="18"/>
        <w:jc w:val="center"/>
      </w:pPr>
      <w:r>
        <w:rPr/>
        <w:t>图</w:t>
      </w:r>
      <w:r>
        <w:rPr>
          <w:spacing w:val="-60"/>
        </w:rPr>
        <w:t> </w:t>
      </w:r>
      <w:r>
        <w:rPr>
          <w:rFonts w:ascii="Times New Roman" w:eastAsia="Times New Roman"/>
        </w:rPr>
        <w:t>8.7-3</w:t>
        <w:tab/>
      </w:r>
      <w:r>
        <w:rPr/>
        <w:t>防止事故废水进入外环境控制、封堵图</w:t>
      </w:r>
    </w:p>
    <w:p>
      <w:pPr>
        <w:pStyle w:val="ListParagraph"/>
        <w:numPr>
          <w:ilvl w:val="2"/>
          <w:numId w:val="23"/>
        </w:numPr>
        <w:tabs>
          <w:tab w:pos="879" w:val="left" w:leader="none"/>
        </w:tabs>
        <w:spacing w:line="240" w:lineRule="auto" w:before="160" w:after="0"/>
        <w:ind w:left="878" w:right="0" w:hanging="661"/>
        <w:jc w:val="both"/>
        <w:rPr>
          <w:b/>
          <w:sz w:val="24"/>
        </w:rPr>
      </w:pPr>
      <w:r>
        <w:rPr>
          <w:b/>
          <w:sz w:val="24"/>
        </w:rPr>
        <w:t>风险监控和应急监测系统</w:t>
      </w:r>
    </w:p>
    <w:p>
      <w:pPr>
        <w:pStyle w:val="BodyText"/>
        <w:spacing w:line="364" w:lineRule="auto" w:before="161"/>
        <w:ind w:left="218" w:right="232" w:firstLine="480"/>
        <w:jc w:val="both"/>
      </w:pPr>
      <w:r>
        <w:rPr>
          <w:spacing w:val="-5"/>
        </w:rPr>
        <w:t>项目主要风险源涉及生产车间、罐区、污水站、废气处理设施和固废暂存库等，针对上述环境风险源，建设单位应建立相应的风险监控及应急监测系统，实现事故的预警</w:t>
      </w:r>
      <w:r>
        <w:rPr/>
        <w:t>和快速应急监测、跟踪。</w:t>
      </w:r>
    </w:p>
    <w:p>
      <w:pPr>
        <w:pStyle w:val="BodyText"/>
        <w:spacing w:line="364" w:lineRule="auto"/>
        <w:ind w:left="218" w:right="234" w:firstLine="480"/>
        <w:jc w:val="both"/>
      </w:pPr>
      <w:r>
        <w:rPr>
          <w:spacing w:val="-13"/>
        </w:rPr>
        <w:t>企业应在 </w:t>
      </w:r>
      <w:r>
        <w:rPr>
          <w:rFonts w:ascii="Times New Roman" w:eastAsia="Times New Roman"/>
        </w:rPr>
        <w:t>DCS </w:t>
      </w:r>
      <w:r>
        <w:rPr>
          <w:spacing w:val="-7"/>
        </w:rPr>
        <w:t>系统中集成事故报警系统，废气处理装置应安装 </w:t>
      </w:r>
      <w:r>
        <w:rPr>
          <w:rFonts w:ascii="Times New Roman" w:eastAsia="Times New Roman"/>
        </w:rPr>
        <w:t>pH </w:t>
      </w:r>
      <w:r>
        <w:rPr>
          <w:spacing w:val="-9"/>
        </w:rPr>
        <w:t>报警等设施。本</w:t>
      </w:r>
      <w:r>
        <w:rPr>
          <w:spacing w:val="-4"/>
        </w:rPr>
        <w:t>项目建成后一方面需在主要风险源安装报警、预警装置，在废气处理系统安装吸收塔吸</w:t>
      </w:r>
      <w:r>
        <w:rPr>
          <w:spacing w:val="-21"/>
        </w:rPr>
        <w:t>收液 </w:t>
      </w:r>
      <w:r>
        <w:rPr>
          <w:rFonts w:ascii="Times New Roman" w:eastAsia="Times New Roman"/>
        </w:rPr>
        <w:t>pH</w:t>
      </w:r>
      <w:r>
        <w:rPr/>
        <w:t>、循环泵停机、风机停机等报警、预警设施。</w:t>
      </w:r>
    </w:p>
    <w:p>
      <w:pPr>
        <w:pStyle w:val="BodyText"/>
        <w:spacing w:line="362" w:lineRule="auto"/>
        <w:ind w:left="218" w:right="112" w:firstLine="480"/>
        <w:jc w:val="both"/>
      </w:pPr>
      <w:r>
        <w:rPr>
          <w:spacing w:val="-16"/>
        </w:rPr>
        <w:t>在应急检测方面，企业应配备一定的应急检测设施，主要包括有毒</w:t>
      </w:r>
      <w:r>
        <w:rPr>
          <w:rFonts w:ascii="Times New Roman" w:eastAsia="Times New Roman"/>
        </w:rPr>
        <w:t>/</w:t>
      </w:r>
      <w:r>
        <w:rPr>
          <w:spacing w:val="-2"/>
        </w:rPr>
        <w:t>可燃气体检测仪、</w:t>
      </w:r>
      <w:r>
        <w:rPr>
          <w:spacing w:val="-3"/>
        </w:rPr>
        <w:t>废水检测设施、便携式有毒、可燃气体检测仪、便携器 </w:t>
      </w:r>
      <w:r>
        <w:rPr>
          <w:rFonts w:ascii="Times New Roman" w:eastAsia="Times New Roman"/>
        </w:rPr>
        <w:t>VOCs </w:t>
      </w:r>
      <w:r>
        <w:rPr/>
        <w:t>检测仪等。</w:t>
      </w:r>
    </w:p>
    <w:p>
      <w:pPr>
        <w:pStyle w:val="BodyText"/>
        <w:spacing w:before="2"/>
        <w:ind w:left="698"/>
      </w:pPr>
      <w:r>
        <w:rPr/>
        <w:t>在应急物资方面，企业应配备充足的应急物资，以满足项目应急需要。</w:t>
      </w:r>
    </w:p>
    <w:p>
      <w:pPr>
        <w:pStyle w:val="Heading4"/>
        <w:numPr>
          <w:ilvl w:val="2"/>
          <w:numId w:val="23"/>
        </w:numPr>
        <w:tabs>
          <w:tab w:pos="925" w:val="left" w:leader="none"/>
        </w:tabs>
        <w:spacing w:line="240" w:lineRule="auto" w:before="158" w:after="0"/>
        <w:ind w:left="924" w:right="0" w:hanging="707"/>
        <w:jc w:val="both"/>
      </w:pPr>
      <w:r>
        <w:rPr/>
        <w:t>应急体系</w:t>
      </w:r>
    </w:p>
    <w:p>
      <w:pPr>
        <w:pStyle w:val="BodyText"/>
        <w:spacing w:line="362" w:lineRule="auto" w:before="161"/>
        <w:ind w:left="218" w:right="173" w:firstLine="480"/>
      </w:pPr>
      <w:r>
        <w:rPr/>
        <w:t>企业应及时修编环境事故应急预案，并按应急预案要求建设环境风险应急设施及应急物资，建设完善环境应急体系。</w:t>
      </w:r>
    </w:p>
    <w:p>
      <w:pPr>
        <w:pStyle w:val="Heading4"/>
        <w:spacing w:before="4"/>
      </w:pPr>
      <w:r>
        <w:rPr>
          <w:rFonts w:ascii="Times New Roman" w:eastAsia="Times New Roman"/>
        </w:rPr>
        <w:t>1</w:t>
      </w:r>
      <w:r>
        <w:rPr/>
        <w:t>、防止事故气态污染物向环境转移</w:t>
      </w:r>
    </w:p>
    <w:p>
      <w:pPr>
        <w:pStyle w:val="BodyText"/>
        <w:spacing w:line="364" w:lineRule="auto" w:before="159"/>
        <w:ind w:left="218" w:right="173" w:firstLine="480"/>
      </w:pPr>
      <w:r>
        <w:rPr/>
        <w:t>控制和减少事故情况下毒物和污染物从大气途径进入环境，对于废气处理装置非正常运行情况，应及时停止生产，并采取风险防范措施减少对环境造成危害。</w:t>
      </w:r>
    </w:p>
    <w:p>
      <w:pPr>
        <w:pStyle w:val="BodyText"/>
        <w:spacing w:line="364" w:lineRule="auto" w:before="1"/>
        <w:ind w:left="218" w:right="112" w:firstLine="480"/>
      </w:pPr>
      <w:r>
        <w:rPr/>
        <w:t>对于泄漏的气态有毒物料及农药粉尘，应尽快切断泄漏源，防止进入限制性空间， 启动应急废气处理设施；对于小量的气态有毒物料泄漏可用砂土或其它不燃材料吸附， </w:t>
      </w:r>
      <w:r>
        <w:rPr>
          <w:spacing w:val="-13"/>
        </w:rPr>
        <w:t>也可用大量水冲洗，冲洗后的污染须经稀释后方可排入废水处理系统；对于泄漏量大的， </w:t>
      </w:r>
      <w:r>
        <w:rPr>
          <w:spacing w:val="-4"/>
        </w:rPr>
        <w:t>应构筑围堰或挖坑收容，降低蒸汽灾害，用防爆泵转移至槽车或专用收集器内，回收或运至废物处理场所处置。对于农药粉尘的泄漏，可喷雾状水，防止形成粉尘云。</w:t>
      </w:r>
    </w:p>
    <w:p>
      <w:pPr>
        <w:pStyle w:val="Heading4"/>
        <w:spacing w:line="304" w:lineRule="exact"/>
        <w:ind w:left="698"/>
      </w:pPr>
      <w:r>
        <w:rPr>
          <w:rFonts w:ascii="Times New Roman" w:eastAsia="Times New Roman"/>
        </w:rPr>
        <w:t>2</w:t>
      </w:r>
      <w:r>
        <w:rPr/>
        <w:t>、设置环境风险防范区</w:t>
      </w:r>
    </w:p>
    <w:p>
      <w:pPr>
        <w:pStyle w:val="BodyText"/>
        <w:spacing w:before="160"/>
        <w:ind w:left="698"/>
      </w:pPr>
      <w:r>
        <w:rPr/>
        <w:t>根据本次评价风险预测结果，在设定事故状态下周边环境出现超过大气毒性终点浓</w:t>
      </w:r>
    </w:p>
    <w:p>
      <w:pPr>
        <w:spacing w:after="0"/>
        <w:sectPr>
          <w:type w:val="continuous"/>
          <w:pgSz w:w="11910" w:h="16850"/>
          <w:pgMar w:top="1420" w:bottom="280" w:left="1200" w:right="1180"/>
        </w:sectPr>
      </w:pPr>
    </w:p>
    <w:p>
      <w:pPr>
        <w:pStyle w:val="BodyText"/>
        <w:spacing w:line="364" w:lineRule="auto" w:before="82"/>
        <w:ind w:left="218" w:right="116"/>
      </w:pPr>
      <w:r>
        <w:rPr>
          <w:spacing w:val="-6"/>
        </w:rPr>
        <w:t>度范围，根据周边环境调查及风险预测结果分析，风险事故下主要影响范围为厂区内员</w:t>
      </w:r>
      <w:r>
        <w:rPr>
          <w:spacing w:val="-14"/>
        </w:rPr>
        <w:t>工、园区周边企业员工，如发生上述泄漏事故，应快速启动企业应急预案，确保厂区内、</w:t>
      </w:r>
      <w:r>
        <w:rPr/>
        <w:t>周边企业人员及周边敏感点人员等迅速撤离。</w:t>
      </w:r>
    </w:p>
    <w:p>
      <w:pPr>
        <w:pStyle w:val="Heading4"/>
        <w:spacing w:line="305" w:lineRule="exact"/>
        <w:ind w:left="698"/>
      </w:pPr>
      <w:r>
        <w:rPr>
          <w:rFonts w:ascii="Times New Roman" w:eastAsia="Times New Roman"/>
        </w:rPr>
        <w:t>3</w:t>
      </w:r>
      <w:r>
        <w:rPr/>
        <w:t>、联防联控体系</w:t>
      </w:r>
    </w:p>
    <w:p>
      <w:pPr>
        <w:pStyle w:val="BodyText"/>
        <w:spacing w:line="364" w:lineRule="auto" w:before="160"/>
        <w:ind w:left="218" w:right="232" w:firstLine="480"/>
        <w:jc w:val="both"/>
      </w:pPr>
      <w:r>
        <w:rPr>
          <w:spacing w:val="-4"/>
        </w:rPr>
        <w:t>考虑事故触发具有不确定性，厂内环境风险防控系统应纳入开发区、区域环境风险</w:t>
      </w:r>
      <w:r>
        <w:rPr>
          <w:spacing w:val="-7"/>
        </w:rPr>
        <w:t>防控体系，明确风险防控设施、管理的衔接要求。极端事故风险防控及应急处置应结合</w:t>
      </w:r>
      <w:r>
        <w:rPr>
          <w:spacing w:val="-11"/>
        </w:rPr>
        <w:t>所在开发区、区域环境风险防控体系统筹考虑，按分级响应要求及时启动园区</w:t>
      </w:r>
      <w:r>
        <w:rPr>
          <w:rFonts w:ascii="Times New Roman" w:eastAsia="Times New Roman"/>
        </w:rPr>
        <w:t>/</w:t>
      </w:r>
      <w:r>
        <w:rPr>
          <w:spacing w:val="-4"/>
        </w:rPr>
        <w:t>区域环境</w:t>
      </w:r>
      <w:r>
        <w:rPr>
          <w:spacing w:val="-8"/>
        </w:rPr>
        <w:t>风险防范措施，实现厂内与园区</w:t>
      </w:r>
      <w:r>
        <w:rPr>
          <w:rFonts w:ascii="Times New Roman" w:eastAsia="Times New Roman"/>
        </w:rPr>
        <w:t>/</w:t>
      </w:r>
      <w:r>
        <w:rPr>
          <w:spacing w:val="-5"/>
        </w:rPr>
        <w:t>区域环境风险防控设施及管理有效联动，有效防控环境</w:t>
      </w:r>
      <w:r>
        <w:rPr/>
        <w:t>风险。</w:t>
      </w:r>
    </w:p>
    <w:p>
      <w:pPr>
        <w:pStyle w:val="BodyText"/>
        <w:spacing w:line="362" w:lineRule="auto"/>
        <w:ind w:left="218" w:right="232" w:firstLine="480"/>
      </w:pPr>
      <w:r>
        <w:rPr>
          <w:spacing w:val="-7"/>
        </w:rPr>
        <w:t>企业的应急系统分为多级联动：包括车间级、厂区级、闰土生态园级、上虞区</w:t>
      </w:r>
      <w:r>
        <w:rPr>
          <w:rFonts w:ascii="Times New Roman" w:eastAsia="Times New Roman"/>
        </w:rPr>
        <w:t>/</w:t>
      </w:r>
      <w:r>
        <w:rPr>
          <w:spacing w:val="-8"/>
        </w:rPr>
        <w:t>余姚</w:t>
      </w:r>
      <w:r>
        <w:rPr/>
        <w:t>市级。</w:t>
      </w:r>
    </w:p>
    <w:p>
      <w:pPr>
        <w:pStyle w:val="BodyText"/>
        <w:spacing w:line="362" w:lineRule="auto" w:before="4"/>
        <w:ind w:left="698" w:right="665"/>
      </w:pPr>
      <w:r>
        <w:rPr/>
        <w:t>车间级：事故出现在企业的生产单元，影响到局部地区，但限制在装置区域。厂区级：事故限制在企业内的现场周边地区，影响到相邻的车间或单元。</w:t>
      </w:r>
    </w:p>
    <w:p>
      <w:pPr>
        <w:pStyle w:val="BodyText"/>
        <w:spacing w:before="5"/>
        <w:ind w:left="698"/>
      </w:pPr>
      <w:r>
        <w:rPr/>
        <w:t>上虞区</w:t>
      </w:r>
      <w:r>
        <w:rPr>
          <w:rFonts w:ascii="Times New Roman" w:eastAsia="Times New Roman"/>
        </w:rPr>
        <w:t>/</w:t>
      </w:r>
      <w:r>
        <w:rPr/>
        <w:t>余姚市级：事故产生巨大的连锁反应，影响事故现场之外的周围地区。</w:t>
      </w:r>
    </w:p>
    <w:p>
      <w:pPr>
        <w:pStyle w:val="Heading4"/>
        <w:numPr>
          <w:ilvl w:val="2"/>
          <w:numId w:val="23"/>
        </w:numPr>
        <w:tabs>
          <w:tab w:pos="939" w:val="left" w:leader="none"/>
        </w:tabs>
        <w:spacing w:line="240" w:lineRule="auto" w:before="158" w:after="0"/>
        <w:ind w:left="938" w:right="0" w:hanging="721"/>
        <w:jc w:val="left"/>
      </w:pPr>
      <w:r>
        <w:rPr/>
        <w:t>突发环境事件应急预案编制要求</w:t>
      </w:r>
    </w:p>
    <w:p>
      <w:pPr>
        <w:pStyle w:val="BodyText"/>
        <w:spacing w:before="161"/>
        <w:ind w:left="698"/>
      </w:pPr>
      <w:r>
        <w:rPr>
          <w:rFonts w:ascii="Times New Roman" w:eastAsia="Times New Roman"/>
        </w:rPr>
        <w:t>1</w:t>
      </w:r>
      <w:r>
        <w:rPr/>
        <w:t>、企业应急预案编制要求</w:t>
      </w:r>
    </w:p>
    <w:p>
      <w:pPr>
        <w:pStyle w:val="BodyText"/>
        <w:spacing w:line="364" w:lineRule="auto" w:before="158"/>
        <w:ind w:left="218" w:right="185" w:firstLine="480"/>
        <w:jc w:val="both"/>
      </w:pPr>
      <w:r>
        <w:rPr/>
        <w:t>本项目实施投运前，要求企业按照《浙江省企业突发环境事件应急预案编制导则》要求完成应急预案修编工作，并在绍兴市生态环境局上虞分局环保局备案，今后进行定期培训和演练并备案。</w:t>
      </w:r>
    </w:p>
    <w:p>
      <w:pPr>
        <w:pStyle w:val="BodyText"/>
        <w:spacing w:line="307" w:lineRule="exact"/>
        <w:ind w:left="698"/>
      </w:pPr>
      <w:r>
        <w:rPr>
          <w:rFonts w:ascii="Times New Roman" w:eastAsia="Times New Roman"/>
        </w:rPr>
        <w:t>2</w:t>
      </w:r>
      <w:r>
        <w:rPr/>
        <w:t>、企业应急防范措施</w:t>
      </w:r>
    </w:p>
    <w:p>
      <w:pPr>
        <w:pStyle w:val="BodyText"/>
        <w:spacing w:line="364" w:lineRule="auto" w:before="158"/>
        <w:ind w:left="218" w:right="226" w:firstLine="480"/>
      </w:pPr>
      <w:r>
        <w:rPr>
          <w:spacing w:val="-8"/>
        </w:rPr>
        <w:t>企业应制定《现场应急处置方案》，针对火灾事件、化学品泄漏事件、废水处理装置污染事件和土壤污染事件制定现场应急处置方案。</w:t>
      </w:r>
    </w:p>
    <w:p>
      <w:pPr>
        <w:pStyle w:val="BodyText"/>
        <w:spacing w:before="1"/>
        <w:ind w:left="698"/>
      </w:pPr>
      <w:r>
        <w:rPr/>
        <w:t>同时，厂区内应配完善的应急设施（备）与物资，具体如下：</w:t>
      </w:r>
    </w:p>
    <w:p>
      <w:pPr>
        <w:pStyle w:val="ListParagraph"/>
        <w:numPr>
          <w:ilvl w:val="0"/>
          <w:numId w:val="57"/>
        </w:numPr>
        <w:tabs>
          <w:tab w:pos="1300" w:val="left" w:leader="none"/>
        </w:tabs>
        <w:spacing w:line="240" w:lineRule="auto" w:before="159" w:after="0"/>
        <w:ind w:left="1299" w:right="0" w:hanging="602"/>
        <w:jc w:val="left"/>
        <w:rPr>
          <w:sz w:val="24"/>
        </w:rPr>
      </w:pPr>
      <w:r>
        <w:rPr>
          <w:sz w:val="24"/>
        </w:rPr>
        <w:t>急救设备：氧气、急救箱、解毒药剂等；</w:t>
      </w:r>
    </w:p>
    <w:p>
      <w:pPr>
        <w:pStyle w:val="ListParagraph"/>
        <w:numPr>
          <w:ilvl w:val="0"/>
          <w:numId w:val="57"/>
        </w:numPr>
        <w:tabs>
          <w:tab w:pos="1300" w:val="left" w:leader="none"/>
        </w:tabs>
        <w:spacing w:line="240" w:lineRule="auto" w:before="161" w:after="0"/>
        <w:ind w:left="1299" w:right="0" w:hanging="602"/>
        <w:jc w:val="left"/>
        <w:rPr>
          <w:sz w:val="24"/>
        </w:rPr>
      </w:pPr>
      <w:r>
        <w:rPr>
          <w:sz w:val="24"/>
        </w:rPr>
        <w:t>个体防护设备：轻型防护服、防毒面具、橡胶手套等；</w:t>
      </w:r>
    </w:p>
    <w:p>
      <w:pPr>
        <w:pStyle w:val="ListParagraph"/>
        <w:numPr>
          <w:ilvl w:val="0"/>
          <w:numId w:val="57"/>
        </w:numPr>
        <w:tabs>
          <w:tab w:pos="1300" w:val="left" w:leader="none"/>
        </w:tabs>
        <w:spacing w:line="240" w:lineRule="auto" w:before="158" w:after="0"/>
        <w:ind w:left="1299" w:right="0" w:hanging="602"/>
        <w:jc w:val="left"/>
        <w:rPr>
          <w:sz w:val="24"/>
        </w:rPr>
      </w:pPr>
      <w:r>
        <w:rPr>
          <w:sz w:val="24"/>
        </w:rPr>
        <w:t>消防设备：输水装置、软管、喷头、灭火器、消火栓、水泡、消防水池等；</w:t>
      </w:r>
    </w:p>
    <w:p>
      <w:pPr>
        <w:pStyle w:val="ListParagraph"/>
        <w:numPr>
          <w:ilvl w:val="0"/>
          <w:numId w:val="57"/>
        </w:numPr>
        <w:tabs>
          <w:tab w:pos="1300" w:val="left" w:leader="none"/>
        </w:tabs>
        <w:spacing w:line="240" w:lineRule="auto" w:before="160" w:after="0"/>
        <w:ind w:left="1299" w:right="0" w:hanging="602"/>
        <w:jc w:val="left"/>
        <w:rPr>
          <w:sz w:val="24"/>
        </w:rPr>
      </w:pPr>
      <w:r>
        <w:rPr>
          <w:sz w:val="24"/>
        </w:rPr>
        <w:t>泄漏控制设备：泄漏控制工具、封堵设备、解封堵设备、沙子等；</w:t>
      </w:r>
    </w:p>
    <w:p>
      <w:pPr>
        <w:pStyle w:val="ListParagraph"/>
        <w:numPr>
          <w:ilvl w:val="0"/>
          <w:numId w:val="57"/>
        </w:numPr>
        <w:tabs>
          <w:tab w:pos="1300" w:val="left" w:leader="none"/>
        </w:tabs>
        <w:spacing w:line="240" w:lineRule="auto" w:before="158" w:after="0"/>
        <w:ind w:left="1299" w:right="0" w:hanging="602"/>
        <w:jc w:val="left"/>
        <w:rPr>
          <w:sz w:val="24"/>
        </w:rPr>
      </w:pPr>
      <w:r>
        <w:rPr>
          <w:spacing w:val="-6"/>
          <w:sz w:val="24"/>
        </w:rPr>
        <w:t>事故水收集池：拟建设 </w:t>
      </w:r>
      <w:r>
        <w:rPr>
          <w:rFonts w:ascii="Times New Roman" w:eastAsia="Times New Roman"/>
          <w:sz w:val="24"/>
        </w:rPr>
        <w:t>2600m</w:t>
      </w:r>
      <w:r>
        <w:rPr>
          <w:rFonts w:ascii="Times New Roman" w:eastAsia="Times New Roman"/>
          <w:position w:val="9"/>
          <w:sz w:val="16"/>
        </w:rPr>
        <w:t>3</w:t>
      </w:r>
      <w:r>
        <w:rPr>
          <w:rFonts w:ascii="Times New Roman" w:eastAsia="Times New Roman"/>
          <w:spacing w:val="2"/>
          <w:position w:val="9"/>
          <w:sz w:val="16"/>
        </w:rPr>
        <w:t> </w:t>
      </w:r>
      <w:r>
        <w:rPr>
          <w:spacing w:val="-1"/>
          <w:sz w:val="24"/>
        </w:rPr>
        <w:t>的应急池；</w:t>
      </w:r>
    </w:p>
    <w:p>
      <w:pPr>
        <w:pStyle w:val="ListParagraph"/>
        <w:numPr>
          <w:ilvl w:val="0"/>
          <w:numId w:val="57"/>
        </w:numPr>
        <w:tabs>
          <w:tab w:pos="1300" w:val="left" w:leader="none"/>
        </w:tabs>
        <w:spacing w:line="240" w:lineRule="auto" w:before="161" w:after="0"/>
        <w:ind w:left="1299" w:right="0" w:hanging="602"/>
        <w:jc w:val="left"/>
        <w:rPr>
          <w:sz w:val="24"/>
        </w:rPr>
      </w:pPr>
      <w:r>
        <w:rPr>
          <w:sz w:val="24"/>
        </w:rPr>
        <w:t>环保应急设施：应急池、雨水口紧急切断阀等；</w:t>
      </w:r>
    </w:p>
    <w:p>
      <w:pPr>
        <w:pStyle w:val="ListParagraph"/>
        <w:numPr>
          <w:ilvl w:val="0"/>
          <w:numId w:val="57"/>
        </w:numPr>
        <w:tabs>
          <w:tab w:pos="1300" w:val="left" w:leader="none"/>
        </w:tabs>
        <w:spacing w:line="240" w:lineRule="auto" w:before="158" w:after="0"/>
        <w:ind w:left="1299" w:right="0" w:hanging="602"/>
        <w:jc w:val="left"/>
        <w:rPr>
          <w:sz w:val="24"/>
        </w:rPr>
      </w:pPr>
      <w:r>
        <w:rPr>
          <w:sz w:val="24"/>
        </w:rPr>
        <w:t>通讯设备：广播、对讲机、移动电话、电话、传真机等。</w:t>
      </w:r>
    </w:p>
    <w:p>
      <w:pPr>
        <w:spacing w:after="0" w:line="240" w:lineRule="auto"/>
        <w:jc w:val="left"/>
        <w:rPr>
          <w:sz w:val="24"/>
        </w:rPr>
        <w:sectPr>
          <w:footerReference w:type="default" r:id="rId173"/>
          <w:pgSz w:w="11910" w:h="16850"/>
          <w:pgMar w:footer="803" w:header="872" w:top="1320" w:bottom="1000" w:left="1200" w:right="1180"/>
          <w:pgNumType w:start="241"/>
        </w:sectPr>
      </w:pPr>
    </w:p>
    <w:p>
      <w:pPr>
        <w:pStyle w:val="Heading3"/>
        <w:numPr>
          <w:ilvl w:val="1"/>
          <w:numId w:val="23"/>
        </w:numPr>
        <w:tabs>
          <w:tab w:pos="639" w:val="left" w:leader="none"/>
        </w:tabs>
        <w:spacing w:line="240" w:lineRule="auto" w:before="83" w:after="0"/>
        <w:ind w:left="638" w:right="0" w:hanging="421"/>
        <w:jc w:val="left"/>
      </w:pPr>
      <w:bookmarkStart w:name="_bookmark55" w:id="111"/>
      <w:bookmarkEnd w:id="111"/>
      <w:r>
        <w:rPr>
          <w:b w:val="0"/>
        </w:rPr>
      </w:r>
      <w:bookmarkStart w:name="_bookmark55" w:id="112"/>
      <w:bookmarkEnd w:id="112"/>
      <w:r>
        <w:rPr/>
        <w:t>风险评价结论及建议</w:t>
      </w:r>
    </w:p>
    <w:p>
      <w:pPr>
        <w:pStyle w:val="Heading4"/>
        <w:numPr>
          <w:ilvl w:val="2"/>
          <w:numId w:val="23"/>
        </w:numPr>
        <w:tabs>
          <w:tab w:pos="759" w:val="left" w:leader="none"/>
        </w:tabs>
        <w:spacing w:line="240" w:lineRule="auto" w:before="185" w:after="0"/>
        <w:ind w:left="758" w:right="0" w:hanging="541"/>
        <w:jc w:val="left"/>
      </w:pPr>
      <w:r>
        <w:rPr/>
        <w:t>项目危险因素</w:t>
      </w:r>
    </w:p>
    <w:p>
      <w:pPr>
        <w:pStyle w:val="BodyText"/>
        <w:spacing w:line="364" w:lineRule="auto" w:before="158"/>
        <w:ind w:left="218" w:right="112" w:firstLine="480"/>
      </w:pPr>
      <w:r>
        <w:rPr/>
        <w:t>本项目主要危险物质为甲酸物质，危险单元主要分布于生产车间、废气处理装置、</w:t>
      </w:r>
      <w:r>
        <w:rPr>
          <w:spacing w:val="-13"/>
        </w:rPr>
        <w:t>储罐区、废水物化以及生化处理区和危废暂存库，均离办公楼较远，平面布置相对合理。</w:t>
      </w:r>
    </w:p>
    <w:p>
      <w:pPr>
        <w:pStyle w:val="Heading4"/>
        <w:numPr>
          <w:ilvl w:val="2"/>
          <w:numId w:val="23"/>
        </w:numPr>
        <w:tabs>
          <w:tab w:pos="759" w:val="left" w:leader="none"/>
        </w:tabs>
        <w:spacing w:line="306" w:lineRule="exact" w:before="0" w:after="0"/>
        <w:ind w:left="758" w:right="0" w:hanging="541"/>
        <w:jc w:val="left"/>
      </w:pPr>
      <w:r>
        <w:rPr/>
        <w:t>环境敏感性及事故环境影响</w:t>
      </w:r>
    </w:p>
    <w:p>
      <w:pPr>
        <w:pStyle w:val="BodyText"/>
        <w:spacing w:line="364" w:lineRule="auto" w:before="161"/>
        <w:ind w:left="218" w:right="115" w:firstLine="480"/>
        <w:jc w:val="both"/>
      </w:pPr>
      <w:r>
        <w:rPr>
          <w:spacing w:val="-10"/>
        </w:rPr>
        <w:t>本项目 </w:t>
      </w:r>
      <w:r>
        <w:rPr>
          <w:rFonts w:ascii="Times New Roman" w:eastAsia="Times New Roman"/>
        </w:rPr>
        <w:t>1900 </w:t>
      </w:r>
      <w:r>
        <w:rPr/>
        <w:t>米范围内无民居，</w:t>
      </w:r>
      <w:r>
        <w:rPr>
          <w:rFonts w:ascii="Times New Roman" w:eastAsia="Times New Roman"/>
        </w:rPr>
        <w:t>5km </w:t>
      </w:r>
      <w:r>
        <w:rPr/>
        <w:t>范围内有居民点且居民点均离厂界较远。根据有毒有害物质扩散预测结果，最不利气象条件下，</w:t>
      </w:r>
      <w:r>
        <w:rPr>
          <w:rFonts w:ascii="Times New Roman" w:eastAsia="Times New Roman"/>
        </w:rPr>
        <w:t>CO </w:t>
      </w:r>
      <w:r>
        <w:rPr/>
        <w:t>大气毒性终点浓度</w:t>
      </w:r>
      <w:r>
        <w:rPr>
          <w:rFonts w:ascii="Times New Roman" w:eastAsia="Times New Roman"/>
        </w:rPr>
        <w:t>-1 </w:t>
      </w:r>
      <w:r>
        <w:rPr/>
        <w:t>的最大影响</w:t>
      </w:r>
      <w:r>
        <w:rPr>
          <w:spacing w:val="-13"/>
        </w:rPr>
        <w:t>范围为 </w:t>
      </w:r>
      <w:r>
        <w:rPr>
          <w:rFonts w:ascii="Times New Roman" w:eastAsia="Times New Roman"/>
        </w:rPr>
        <w:t>660m</w:t>
      </w:r>
      <w:r>
        <w:rPr/>
        <w:t>，大气毒性终点浓度</w:t>
      </w:r>
      <w:r>
        <w:rPr>
          <w:rFonts w:ascii="Times New Roman" w:eastAsia="Times New Roman"/>
        </w:rPr>
        <w:t>-2 </w:t>
      </w:r>
      <w:r>
        <w:rPr>
          <w:spacing w:val="-6"/>
        </w:rPr>
        <w:t>的最大影响范围为 </w:t>
      </w:r>
      <w:r>
        <w:rPr>
          <w:rFonts w:ascii="Times New Roman" w:eastAsia="Times New Roman"/>
        </w:rPr>
        <w:t>1610m</w:t>
      </w:r>
      <w:r>
        <w:rPr/>
        <w:t>；最不利气象条件下，甲酸大气毒性终点浓度</w:t>
      </w:r>
      <w:r>
        <w:rPr>
          <w:rFonts w:ascii="Times New Roman" w:eastAsia="Times New Roman"/>
        </w:rPr>
        <w:t>-1 </w:t>
      </w:r>
      <w:r>
        <w:rPr>
          <w:spacing w:val="-7"/>
        </w:rPr>
        <w:t>的最大影响范围为 </w:t>
      </w:r>
      <w:r>
        <w:rPr>
          <w:rFonts w:ascii="Times New Roman" w:eastAsia="Times New Roman"/>
          <w:spacing w:val="-24"/>
        </w:rPr>
        <w:t>30m</w:t>
      </w:r>
      <w:r>
        <w:rPr>
          <w:spacing w:val="-5"/>
        </w:rPr>
        <w:t>，大气毒性终点浓度</w:t>
      </w:r>
      <w:r>
        <w:rPr>
          <w:rFonts w:ascii="Times New Roman" w:eastAsia="Times New Roman"/>
        </w:rPr>
        <w:t>-2 </w:t>
      </w:r>
      <w:r>
        <w:rPr/>
        <w:t>的最大影响范围为</w:t>
      </w:r>
      <w:r>
        <w:rPr>
          <w:rFonts w:ascii="Times New Roman" w:eastAsia="Times New Roman"/>
          <w:spacing w:val="-16"/>
        </w:rPr>
        <w:t>610m</w:t>
      </w:r>
      <w:r>
        <w:rPr>
          <w:spacing w:val="-15"/>
        </w:rPr>
        <w:t>；因此，设定的风险事故发生时，有毒有害物质的扩散对项目周边居民点影响不大。</w:t>
      </w:r>
    </w:p>
    <w:p>
      <w:pPr>
        <w:pStyle w:val="Heading4"/>
        <w:numPr>
          <w:ilvl w:val="2"/>
          <w:numId w:val="23"/>
        </w:numPr>
        <w:tabs>
          <w:tab w:pos="819" w:val="left" w:leader="none"/>
        </w:tabs>
        <w:spacing w:line="306" w:lineRule="exact" w:before="0" w:after="0"/>
        <w:ind w:left="818" w:right="0" w:hanging="601"/>
        <w:jc w:val="both"/>
      </w:pPr>
      <w:r>
        <w:rPr/>
        <w:t>风险防范措施和应急预案</w:t>
      </w:r>
    </w:p>
    <w:p>
      <w:pPr>
        <w:pStyle w:val="BodyText"/>
        <w:spacing w:line="364" w:lineRule="auto" w:before="158"/>
        <w:ind w:left="218" w:right="237" w:firstLine="480"/>
      </w:pPr>
      <w:r>
        <w:rPr>
          <w:spacing w:val="-7"/>
        </w:rPr>
        <w:t>本项目投运前，要求企业按照《浙江省企业突发环境事件应急预案编制导则》要求</w:t>
      </w:r>
      <w:r>
        <w:rPr/>
        <w:t>完成应急预案修编及备案工作，定期进行培训和演练并报当地环保局备案。</w:t>
      </w:r>
    </w:p>
    <w:p>
      <w:pPr>
        <w:pStyle w:val="Heading4"/>
        <w:numPr>
          <w:ilvl w:val="2"/>
          <w:numId w:val="23"/>
        </w:numPr>
        <w:tabs>
          <w:tab w:pos="819" w:val="left" w:leader="none"/>
        </w:tabs>
        <w:spacing w:line="306" w:lineRule="exact" w:before="0" w:after="0"/>
        <w:ind w:left="818" w:right="0" w:hanging="601"/>
        <w:jc w:val="left"/>
      </w:pPr>
      <w:r>
        <w:rPr/>
        <w:t>环境风险评价结论和建议</w:t>
      </w:r>
    </w:p>
    <w:p>
      <w:pPr>
        <w:pStyle w:val="BodyText"/>
        <w:spacing w:line="362" w:lineRule="auto" w:before="160"/>
        <w:ind w:left="218" w:right="232" w:firstLine="480"/>
      </w:pPr>
      <w:r>
        <w:rPr>
          <w:spacing w:val="-8"/>
        </w:rPr>
        <w:t>根据风险辨识，本次项目最大可信事故是生产车间反应釜发生事故导致火灾爆炸和</w:t>
      </w:r>
      <w:r>
        <w:rPr/>
        <w:t>储罐区甲酸储罐泄漏。</w:t>
      </w:r>
    </w:p>
    <w:p>
      <w:pPr>
        <w:pStyle w:val="BodyText"/>
        <w:spacing w:line="364" w:lineRule="auto" w:before="6"/>
        <w:ind w:left="218" w:right="112" w:firstLine="420"/>
      </w:pPr>
      <w:r>
        <w:rPr/>
        <w:t>根据事故预测及评价结果，最大可信事故的风险值小于化工行业可接受风险水平。</w:t>
      </w:r>
      <w:r>
        <w:rPr>
          <w:spacing w:val="-11"/>
        </w:rPr>
        <w:t>从预测结果可见，最大可信事故发生时，最不利气象条件，距离事故源 </w:t>
      </w:r>
      <w:r>
        <w:rPr>
          <w:rFonts w:ascii="Times New Roman" w:eastAsia="Times New Roman"/>
        </w:rPr>
        <w:t>660m </w:t>
      </w:r>
      <w:r>
        <w:rPr>
          <w:spacing w:val="-4"/>
        </w:rPr>
        <w:t>的范围内， </w:t>
      </w:r>
      <w:r>
        <w:rPr>
          <w:rFonts w:ascii="Times New Roman" w:eastAsia="Times New Roman"/>
        </w:rPr>
        <w:t>CO </w:t>
      </w:r>
      <w:r>
        <w:rPr>
          <w:spacing w:val="-6"/>
        </w:rPr>
        <w:t>浓度大于毒性终点浓度 </w:t>
      </w:r>
      <w:r>
        <w:rPr>
          <w:rFonts w:ascii="Times New Roman" w:eastAsia="Times New Roman"/>
        </w:rPr>
        <w:t>1 </w:t>
      </w:r>
      <w:r>
        <w:rPr>
          <w:spacing w:val="-11"/>
        </w:rPr>
        <w:t>级；距离事故源 </w:t>
      </w:r>
      <w:r>
        <w:rPr>
          <w:rFonts w:ascii="Times New Roman" w:eastAsia="Times New Roman"/>
        </w:rPr>
        <w:t>30m </w:t>
      </w:r>
      <w:r>
        <w:rPr>
          <w:spacing w:val="-3"/>
        </w:rPr>
        <w:t>的范围内，甲酸浓度大于毒性终点浓</w:t>
      </w:r>
      <w:r>
        <w:rPr>
          <w:spacing w:val="-32"/>
        </w:rPr>
        <w:t>度 </w:t>
      </w:r>
      <w:r>
        <w:rPr>
          <w:rFonts w:ascii="Times New Roman" w:eastAsia="Times New Roman"/>
        </w:rPr>
        <w:t>1 </w:t>
      </w:r>
      <w:r>
        <w:rPr>
          <w:spacing w:val="-6"/>
        </w:rPr>
        <w:t>级，此范围能对人群造成生命威胁。因此，企业应加强管理，坚决杜绝该类事故发</w:t>
      </w:r>
      <w:r>
        <w:rPr>
          <w:spacing w:val="-7"/>
        </w:rPr>
        <w:t>生。企业拟建的应急事故池能够满足接纳本项目的事故水量。只要做好安全防范措施和应急对策，本项目的安全隐患可以控制，其风险水平可以接受。</w:t>
      </w:r>
    </w:p>
    <w:p>
      <w:pPr>
        <w:pStyle w:val="BodyText"/>
        <w:spacing w:line="364" w:lineRule="auto"/>
        <w:ind w:left="218" w:right="232" w:firstLine="480"/>
      </w:pPr>
      <w:r>
        <w:rPr>
          <w:spacing w:val="-7"/>
        </w:rPr>
        <w:t>企业应按照《浙江省企业突发环境事件应急预案编制导则》要求完成应急预案修编</w:t>
      </w:r>
      <w:r>
        <w:rPr/>
        <w:t>及备案工作，定期进行培训和演练并报当地环保局备案。</w:t>
      </w:r>
    </w:p>
    <w:p>
      <w:pPr>
        <w:spacing w:after="0" w:line="364" w:lineRule="auto"/>
        <w:sectPr>
          <w:pgSz w:w="11910" w:h="16850"/>
          <w:pgMar w:header="872" w:footer="803" w:top="1320" w:bottom="1000" w:left="1200" w:right="1180"/>
        </w:sectPr>
      </w:pPr>
    </w:p>
    <w:p>
      <w:pPr>
        <w:pStyle w:val="Heading2"/>
        <w:numPr>
          <w:ilvl w:val="0"/>
          <w:numId w:val="23"/>
        </w:numPr>
        <w:tabs>
          <w:tab w:pos="445" w:val="left" w:leader="none"/>
        </w:tabs>
        <w:spacing w:line="240" w:lineRule="auto" w:before="82" w:after="0"/>
        <w:ind w:left="444" w:right="0" w:hanging="227"/>
        <w:jc w:val="both"/>
        <w:rPr>
          <w:rFonts w:ascii="Times New Roman" w:eastAsia="Times New Roman"/>
        </w:rPr>
      </w:pPr>
      <w:bookmarkStart w:name="_bookmark56" w:id="113"/>
      <w:bookmarkEnd w:id="113"/>
      <w:r>
        <w:rPr>
          <w:b w:val="0"/>
        </w:rPr>
      </w:r>
      <w:bookmarkStart w:name="_bookmark56" w:id="114"/>
      <w:bookmarkEnd w:id="114"/>
      <w:r>
        <w:rPr/>
        <w:t>环境影响经济损益分析</w:t>
      </w:r>
    </w:p>
    <w:p>
      <w:pPr>
        <w:pStyle w:val="Heading3"/>
        <w:numPr>
          <w:ilvl w:val="1"/>
          <w:numId w:val="23"/>
        </w:numPr>
        <w:tabs>
          <w:tab w:pos="781" w:val="left" w:leader="none"/>
        </w:tabs>
        <w:spacing w:line="240" w:lineRule="auto" w:before="200" w:after="0"/>
        <w:ind w:left="780" w:right="0" w:hanging="421"/>
        <w:jc w:val="left"/>
      </w:pPr>
      <w:bookmarkStart w:name="_bookmark57" w:id="115"/>
      <w:bookmarkEnd w:id="115"/>
      <w:r>
        <w:rPr>
          <w:b w:val="0"/>
        </w:rPr>
      </w:r>
      <w:bookmarkStart w:name="_bookmark57" w:id="116"/>
      <w:bookmarkEnd w:id="116"/>
      <w:r>
        <w:rPr/>
        <w:t>环境效益分析</w:t>
      </w:r>
    </w:p>
    <w:p>
      <w:pPr>
        <w:pStyle w:val="BodyText"/>
        <w:spacing w:line="364" w:lineRule="auto" w:before="185"/>
        <w:ind w:left="218" w:right="184" w:firstLine="480"/>
        <w:jc w:val="both"/>
      </w:pPr>
      <w:r>
        <w:rPr/>
        <w:t>环境工程和环保设施的资金投入是建设项目控制污染、保护环境的重要组成部分。虽然投入一定的治理资金增加了单位产品的成本，但所产生的环境效益却是不容忽视的。项目建成运行后主要环保设施的环境效益分析如下：</w:t>
      </w:r>
    </w:p>
    <w:p>
      <w:pPr>
        <w:pStyle w:val="Heading4"/>
        <w:numPr>
          <w:ilvl w:val="2"/>
          <w:numId w:val="23"/>
        </w:numPr>
        <w:tabs>
          <w:tab w:pos="999" w:val="left" w:leader="none"/>
        </w:tabs>
        <w:spacing w:line="307" w:lineRule="exact" w:before="0" w:after="0"/>
        <w:ind w:left="998" w:right="0" w:hanging="541"/>
        <w:jc w:val="left"/>
      </w:pPr>
      <w:r>
        <w:rPr/>
        <w:t>废气排放</w:t>
      </w:r>
    </w:p>
    <w:p>
      <w:pPr>
        <w:pStyle w:val="BodyText"/>
        <w:spacing w:line="364" w:lineRule="auto" w:before="158"/>
        <w:ind w:left="218" w:right="180" w:firstLine="480"/>
      </w:pPr>
      <w:r>
        <w:rPr/>
        <w:t>本项目建成投产后，采用成熟工艺，生产过程中排放的废气中污染物的浓度均低于国家相关标准，对当地环境空气及生态系统影响较小。</w:t>
      </w:r>
    </w:p>
    <w:p>
      <w:pPr>
        <w:pStyle w:val="Heading4"/>
        <w:numPr>
          <w:ilvl w:val="2"/>
          <w:numId w:val="23"/>
        </w:numPr>
        <w:tabs>
          <w:tab w:pos="999" w:val="left" w:leader="none"/>
        </w:tabs>
        <w:spacing w:line="307" w:lineRule="exact" w:before="0" w:after="0"/>
        <w:ind w:left="998" w:right="0" w:hanging="541"/>
        <w:jc w:val="left"/>
      </w:pPr>
      <w:r>
        <w:rPr/>
        <w:t>废水排放</w:t>
      </w:r>
    </w:p>
    <w:p>
      <w:pPr>
        <w:pStyle w:val="BodyText"/>
        <w:spacing w:line="362" w:lineRule="auto" w:before="161"/>
        <w:ind w:left="218" w:right="172" w:firstLine="480"/>
      </w:pPr>
      <w:r>
        <w:rPr/>
        <w:t>项目产生的废水经过厂内污水处理站处理后纳管排入开发区污水管网，进入上虞污水处理厂处理，对项目所在地区域水环境无影响。</w:t>
      </w:r>
    </w:p>
    <w:p>
      <w:pPr>
        <w:pStyle w:val="Heading4"/>
        <w:numPr>
          <w:ilvl w:val="2"/>
          <w:numId w:val="23"/>
        </w:numPr>
        <w:tabs>
          <w:tab w:pos="999" w:val="left" w:leader="none"/>
        </w:tabs>
        <w:spacing w:line="240" w:lineRule="auto" w:before="5" w:after="0"/>
        <w:ind w:left="998" w:right="0" w:hanging="541"/>
        <w:jc w:val="left"/>
      </w:pPr>
      <w:r>
        <w:rPr/>
        <w:t>固废处置</w:t>
      </w:r>
    </w:p>
    <w:p>
      <w:pPr>
        <w:pStyle w:val="BodyText"/>
        <w:spacing w:line="364" w:lineRule="auto" w:before="158"/>
        <w:ind w:left="218" w:right="172" w:firstLine="480"/>
      </w:pPr>
      <w:r>
        <w:rPr/>
        <w:t>项目生产过程中产生的固废委托有资质的单位处置或综合利用处理。各项处置措施既可减少废物对外的排放量，又最大限度的减轻了对环境的污染。</w:t>
      </w:r>
    </w:p>
    <w:p>
      <w:pPr>
        <w:pStyle w:val="Heading4"/>
        <w:numPr>
          <w:ilvl w:val="2"/>
          <w:numId w:val="23"/>
        </w:numPr>
        <w:tabs>
          <w:tab w:pos="999" w:val="left" w:leader="none"/>
        </w:tabs>
        <w:spacing w:line="306" w:lineRule="exact" w:before="0" w:after="0"/>
        <w:ind w:left="998" w:right="0" w:hanging="541"/>
        <w:jc w:val="left"/>
      </w:pPr>
      <w:r>
        <w:rPr/>
        <w:t>噪声控制</w:t>
      </w:r>
    </w:p>
    <w:p>
      <w:pPr>
        <w:pStyle w:val="BodyText"/>
        <w:spacing w:line="362" w:lineRule="auto" w:before="161"/>
        <w:ind w:left="218" w:right="173" w:firstLine="480"/>
      </w:pPr>
      <w:r>
        <w:rPr/>
        <w:t>项目产生噪声采用隔声、减振等措施后，减轻了对厂区周围环境的影响，周围声环境可以维持现状。</w:t>
      </w:r>
    </w:p>
    <w:p>
      <w:pPr>
        <w:pStyle w:val="BodyText"/>
        <w:spacing w:line="364" w:lineRule="auto" w:before="5"/>
        <w:ind w:left="218" w:right="232" w:firstLine="480"/>
        <w:jc w:val="both"/>
      </w:pPr>
      <w:r>
        <w:rPr>
          <w:spacing w:val="-6"/>
        </w:rPr>
        <w:t>本项目通过污染治理，使废水达到进管标准，同时也降低了上虞污水处理厂的处理</w:t>
      </w:r>
      <w:r>
        <w:rPr>
          <w:spacing w:val="-8"/>
        </w:rPr>
        <w:t>难度，为污水厂达标排放打下了基础。清污分流以及废水纳管处理既防止了对内河的污</w:t>
      </w:r>
      <w:r>
        <w:rPr>
          <w:spacing w:val="-7"/>
        </w:rPr>
        <w:t>染，保护了区域地表水水质和水生生态环境，也保护了群众的身体健康和经济效益。通</w:t>
      </w:r>
      <w:r>
        <w:rPr>
          <w:spacing w:val="-3"/>
        </w:rPr>
        <w:t>过废气治理和资源回收大大减轻了本项目废气排放对周围环境空气质量的影响，减缓对</w:t>
      </w:r>
      <w:r>
        <w:rPr>
          <w:spacing w:val="-4"/>
        </w:rPr>
        <w:t>区域内人体健康和农业生态的影响，同时资源的回收利用取得了较好的经济效益。危险</w:t>
      </w:r>
      <w:r>
        <w:rPr/>
        <w:t>废物的安全处置减轻了对周围水体、环境空气、土壤等环境的影响。</w:t>
      </w:r>
    </w:p>
    <w:p>
      <w:pPr>
        <w:pStyle w:val="Heading3"/>
        <w:numPr>
          <w:ilvl w:val="1"/>
          <w:numId w:val="23"/>
        </w:numPr>
        <w:tabs>
          <w:tab w:pos="781" w:val="left" w:leader="none"/>
        </w:tabs>
        <w:spacing w:line="357" w:lineRule="exact" w:before="0" w:after="0"/>
        <w:ind w:left="780" w:right="0" w:hanging="421"/>
        <w:jc w:val="left"/>
      </w:pPr>
      <w:bookmarkStart w:name="_bookmark58" w:id="117"/>
      <w:bookmarkEnd w:id="117"/>
      <w:r>
        <w:rPr>
          <w:b w:val="0"/>
        </w:rPr>
      </w:r>
      <w:bookmarkStart w:name="_bookmark58" w:id="118"/>
      <w:bookmarkEnd w:id="118"/>
      <w:r>
        <w:rPr/>
        <w:t>经济效益分析</w:t>
      </w:r>
    </w:p>
    <w:p>
      <w:pPr>
        <w:pStyle w:val="BodyText"/>
        <w:spacing w:before="185"/>
        <w:ind w:left="698"/>
        <w:jc w:val="both"/>
      </w:pPr>
      <w:r>
        <w:rPr/>
        <w:t>项目总投资 </w:t>
      </w:r>
      <w:r>
        <w:rPr>
          <w:rFonts w:ascii="Times New Roman" w:eastAsia="Times New Roman"/>
        </w:rPr>
        <w:t>8100 </w:t>
      </w:r>
      <w:r>
        <w:rPr/>
        <w:t>万元，固定资产投资：</w:t>
      </w:r>
      <w:r>
        <w:rPr>
          <w:rFonts w:ascii="Times New Roman" w:eastAsia="Times New Roman"/>
        </w:rPr>
        <w:t>7000 </w:t>
      </w:r>
      <w:r>
        <w:rPr/>
        <w:t>万元，辅底流动资金 </w:t>
      </w:r>
      <w:r>
        <w:rPr>
          <w:rFonts w:ascii="Times New Roman" w:eastAsia="Times New Roman"/>
        </w:rPr>
        <w:t>1000 </w:t>
      </w:r>
      <w:r>
        <w:rPr/>
        <w:t>万元，建设</w:t>
      </w:r>
    </w:p>
    <w:p>
      <w:pPr>
        <w:pStyle w:val="BodyText"/>
        <w:spacing w:line="364" w:lineRule="auto" w:before="160"/>
        <w:ind w:left="218" w:right="232"/>
        <w:jc w:val="both"/>
      </w:pPr>
      <w:r>
        <w:rPr>
          <w:spacing w:val="-16"/>
        </w:rPr>
        <w:t>期利息 </w:t>
      </w:r>
      <w:r>
        <w:rPr>
          <w:rFonts w:ascii="Times New Roman" w:eastAsia="Times New Roman"/>
        </w:rPr>
        <w:t>100 </w:t>
      </w:r>
      <w:r>
        <w:rPr>
          <w:spacing w:val="-8"/>
        </w:rPr>
        <w:t>万元。年均实现销售收入 </w:t>
      </w:r>
      <w:r>
        <w:rPr>
          <w:rFonts w:ascii="Times New Roman" w:eastAsia="Times New Roman"/>
        </w:rPr>
        <w:t>8000 </w:t>
      </w:r>
      <w:r>
        <w:rPr>
          <w:spacing w:val="-13"/>
        </w:rPr>
        <w:t>万元，利润 </w:t>
      </w:r>
      <w:r>
        <w:rPr>
          <w:rFonts w:ascii="Times New Roman" w:eastAsia="Times New Roman"/>
        </w:rPr>
        <w:t>1200 </w:t>
      </w:r>
      <w:r>
        <w:rPr>
          <w:spacing w:val="-13"/>
        </w:rPr>
        <w:t>万元，税收 </w:t>
      </w:r>
      <w:r>
        <w:rPr>
          <w:rFonts w:ascii="Times New Roman" w:eastAsia="Times New Roman"/>
        </w:rPr>
        <w:t>600 </w:t>
      </w:r>
      <w:r>
        <w:rPr>
          <w:spacing w:val="-6"/>
        </w:rPr>
        <w:t>万元，有较</w:t>
      </w:r>
      <w:r>
        <w:rPr>
          <w:spacing w:val="-5"/>
        </w:rPr>
        <w:t>好的经济效益及社会效益。项目建设有利于当地的经济发展，增加当地就业机会，项目</w:t>
      </w:r>
      <w:r>
        <w:rPr>
          <w:spacing w:val="-7"/>
        </w:rPr>
        <w:t>的工艺技术先进、成熟、可靠，产品市场前景良好，有较好的经济效益和社会效益，抗</w:t>
      </w:r>
      <w:r>
        <w:rPr/>
        <w:t>风险能力较强，在技术上、经济上和市场上都是可行的。</w:t>
      </w:r>
    </w:p>
    <w:p>
      <w:pPr>
        <w:spacing w:after="0" w:line="364" w:lineRule="auto"/>
        <w:jc w:val="both"/>
        <w:sectPr>
          <w:footerReference w:type="default" r:id="rId174"/>
          <w:pgSz w:w="11910" w:h="16850"/>
          <w:pgMar w:footer="873" w:header="872" w:top="1320" w:bottom="1060" w:left="1200" w:right="1180"/>
          <w:pgNumType w:start="243"/>
        </w:sectPr>
      </w:pPr>
    </w:p>
    <w:p>
      <w:pPr>
        <w:pStyle w:val="Heading3"/>
        <w:numPr>
          <w:ilvl w:val="1"/>
          <w:numId w:val="23"/>
        </w:numPr>
        <w:tabs>
          <w:tab w:pos="781" w:val="left" w:leader="none"/>
        </w:tabs>
        <w:spacing w:line="240" w:lineRule="auto" w:before="83" w:after="0"/>
        <w:ind w:left="780" w:right="0" w:hanging="421"/>
        <w:jc w:val="left"/>
      </w:pPr>
      <w:bookmarkStart w:name="_bookmark59" w:id="119"/>
      <w:bookmarkEnd w:id="119"/>
      <w:r>
        <w:rPr>
          <w:b w:val="0"/>
        </w:rPr>
      </w:r>
      <w:bookmarkStart w:name="_bookmark59" w:id="120"/>
      <w:bookmarkEnd w:id="120"/>
      <w:r>
        <w:rPr/>
        <w:t>社会效益分析</w:t>
      </w:r>
    </w:p>
    <w:p>
      <w:pPr>
        <w:pStyle w:val="BodyText"/>
        <w:spacing w:line="362" w:lineRule="auto" w:before="185"/>
        <w:ind w:left="218" w:right="115" w:firstLine="480"/>
      </w:pPr>
      <w:r>
        <w:rPr>
          <w:rFonts w:ascii="Times New Roman" w:eastAsia="Times New Roman"/>
        </w:rPr>
        <w:t>1</w:t>
      </w:r>
      <w:r>
        <w:rPr>
          <w:spacing w:val="-8"/>
        </w:rPr>
        <w:t>、企业抓住机遇加大投资，增加就业机会，在一定程度上可缓解当地的就业压力， </w:t>
      </w:r>
      <w:r>
        <w:rPr/>
        <w:t>项目建成后促进当地的经济发展，具有良好的社会效益。</w:t>
      </w:r>
    </w:p>
    <w:p>
      <w:pPr>
        <w:pStyle w:val="BodyText"/>
        <w:spacing w:line="364" w:lineRule="auto" w:before="5"/>
        <w:ind w:left="218" w:right="110" w:firstLine="480"/>
      </w:pPr>
      <w:r>
        <w:rPr>
          <w:rFonts w:ascii="Times New Roman" w:eastAsia="Times New Roman"/>
        </w:rPr>
        <w:t>2</w:t>
      </w:r>
      <w:r>
        <w:rPr/>
        <w:t>、项目的实施有助于提高企业的综合素质和竞争能力，项目各产品附加值较高， </w:t>
      </w:r>
      <w:r>
        <w:rPr>
          <w:spacing w:val="-6"/>
        </w:rPr>
        <w:t>达产后年平均销售收入 </w:t>
      </w:r>
      <w:r>
        <w:rPr>
          <w:rFonts w:ascii="Times New Roman" w:eastAsia="Times New Roman"/>
        </w:rPr>
        <w:t>8100 </w:t>
      </w:r>
      <w:r>
        <w:rPr>
          <w:spacing w:val="-20"/>
        </w:rPr>
        <w:t>万元，利润 </w:t>
      </w:r>
      <w:r>
        <w:rPr>
          <w:rFonts w:ascii="Times New Roman" w:eastAsia="Times New Roman"/>
        </w:rPr>
        <w:t>1200 </w:t>
      </w:r>
      <w:r>
        <w:rPr>
          <w:spacing w:val="-20"/>
        </w:rPr>
        <w:t>万元，税收 </w:t>
      </w:r>
      <w:r>
        <w:rPr>
          <w:rFonts w:ascii="Times New Roman" w:eastAsia="Times New Roman"/>
        </w:rPr>
        <w:t>600 </w:t>
      </w:r>
      <w:r>
        <w:rPr>
          <w:spacing w:val="-9"/>
        </w:rPr>
        <w:t>万元，有一定的经济效益， </w:t>
      </w:r>
      <w:r>
        <w:rPr/>
        <w:t>对拉动当地经济增长有着一定的作用。</w:t>
      </w:r>
    </w:p>
    <w:p>
      <w:pPr>
        <w:pStyle w:val="Heading3"/>
        <w:numPr>
          <w:ilvl w:val="1"/>
          <w:numId w:val="23"/>
        </w:numPr>
        <w:tabs>
          <w:tab w:pos="781" w:val="left" w:leader="none"/>
        </w:tabs>
        <w:spacing w:line="357" w:lineRule="exact" w:before="0" w:after="0"/>
        <w:ind w:left="780" w:right="0" w:hanging="421"/>
        <w:jc w:val="left"/>
      </w:pPr>
      <w:bookmarkStart w:name="_bookmark60" w:id="121"/>
      <w:bookmarkEnd w:id="121"/>
      <w:r>
        <w:rPr>
          <w:b w:val="0"/>
        </w:rPr>
      </w:r>
      <w:bookmarkStart w:name="_bookmark60" w:id="122"/>
      <w:bookmarkEnd w:id="122"/>
      <w:r>
        <w:rPr>
          <w:w w:val="95"/>
        </w:rPr>
        <w:t>环境经济损益分析小结</w:t>
      </w:r>
    </w:p>
    <w:p>
      <w:pPr>
        <w:pStyle w:val="BodyText"/>
        <w:spacing w:line="364" w:lineRule="auto" w:before="185"/>
        <w:ind w:left="218" w:right="232" w:firstLine="511"/>
        <w:jc w:val="both"/>
      </w:pPr>
      <w:r>
        <w:rPr>
          <w:spacing w:val="-5"/>
        </w:rPr>
        <w:t>通过对项目社会经济效益和环境经济效益分析可以看出，项目产生的污染物会对当地的环境产生一定的影响，但总体上，通过污染治理、合理布局、绿化等措施基本可以</w:t>
      </w:r>
      <w:r>
        <w:rPr>
          <w:spacing w:val="-8"/>
        </w:rPr>
        <w:t>消除。从社会效益方面来看，在目前经济形式下，加大投资，增加就业机会，在一定程</w:t>
      </w:r>
      <w:r>
        <w:rPr>
          <w:spacing w:val="-5"/>
        </w:rPr>
        <w:t>度上可缓解当地的就业压力，项目建成后经济效益较好，促进当地的经济发展，具有良</w:t>
      </w:r>
      <w:r>
        <w:rPr>
          <w:spacing w:val="-6"/>
        </w:rPr>
        <w:t>好的社会效益。从环境效益方面来看，在企业投入资金实施各项环保措施的基础上，项</w:t>
      </w:r>
      <w:r>
        <w:rPr>
          <w:spacing w:val="-4"/>
        </w:rPr>
        <w:t>目产生的各类污染物经治理后达标排放，对周围环境的影响很小，周围环境可以维持现</w:t>
      </w:r>
      <w:r>
        <w:rPr/>
        <w:t>状。</w:t>
      </w:r>
    </w:p>
    <w:p>
      <w:pPr>
        <w:pStyle w:val="Heading4"/>
        <w:spacing w:line="364" w:lineRule="auto"/>
        <w:ind w:left="218" w:right="235" w:firstLine="482"/>
        <w:jc w:val="both"/>
      </w:pPr>
      <w:r>
        <w:rPr>
          <w:spacing w:val="-9"/>
        </w:rPr>
        <w:t>因此从社会、环境经济效益方面看，本项目的建设可以带来一定的效益，在企业投</w:t>
      </w:r>
      <w:r>
        <w:rPr>
          <w:spacing w:val="-6"/>
        </w:rPr>
        <w:t>入资金实施各项环保措施的基础上，本项目产生的各类污染物经治理后达标排放，对周</w:t>
      </w:r>
      <w:r>
        <w:rPr/>
        <w:t>围环境的影响很小。本项目建设在环境经济损益分析上是可行的。</w:t>
      </w:r>
    </w:p>
    <w:p>
      <w:pPr>
        <w:spacing w:after="0" w:line="364" w:lineRule="auto"/>
        <w:jc w:val="both"/>
        <w:sectPr>
          <w:pgSz w:w="11910" w:h="16850"/>
          <w:pgMar w:header="872" w:footer="873" w:top="1320" w:bottom="1060" w:left="1200" w:right="1180"/>
        </w:sectPr>
      </w:pPr>
    </w:p>
    <w:p>
      <w:pPr>
        <w:pStyle w:val="Heading2"/>
        <w:numPr>
          <w:ilvl w:val="0"/>
          <w:numId w:val="23"/>
        </w:numPr>
        <w:tabs>
          <w:tab w:pos="596" w:val="left" w:leader="none"/>
        </w:tabs>
        <w:spacing w:line="240" w:lineRule="auto" w:before="84" w:after="0"/>
        <w:ind w:left="595" w:right="0" w:hanging="378"/>
        <w:jc w:val="left"/>
        <w:rPr>
          <w:rFonts w:ascii="Times New Roman" w:eastAsia="Times New Roman"/>
        </w:rPr>
      </w:pPr>
      <w:bookmarkStart w:name="_bookmark61" w:id="123"/>
      <w:bookmarkEnd w:id="123"/>
      <w:r>
        <w:rPr>
          <w:b w:val="0"/>
        </w:rPr>
      </w:r>
      <w:bookmarkStart w:name="_bookmark61" w:id="124"/>
      <w:bookmarkEnd w:id="124"/>
      <w:r>
        <w:rPr/>
        <w:t>环境管理和监测计划</w:t>
      </w:r>
    </w:p>
    <w:p>
      <w:pPr>
        <w:pStyle w:val="Heading3"/>
        <w:numPr>
          <w:ilvl w:val="1"/>
          <w:numId w:val="23"/>
        </w:numPr>
        <w:tabs>
          <w:tab w:pos="781" w:val="left" w:leader="none"/>
        </w:tabs>
        <w:spacing w:line="240" w:lineRule="auto" w:before="200" w:after="0"/>
        <w:ind w:left="780" w:right="0" w:hanging="563"/>
        <w:jc w:val="both"/>
      </w:pPr>
      <w:bookmarkStart w:name="_bookmark62" w:id="125"/>
      <w:bookmarkEnd w:id="125"/>
      <w:r>
        <w:rPr>
          <w:b w:val="0"/>
        </w:rPr>
      </w:r>
      <w:bookmarkStart w:name="_bookmark62" w:id="126"/>
      <w:bookmarkEnd w:id="126"/>
      <w:r>
        <w:rPr>
          <w:spacing w:val="-1"/>
          <w:w w:val="95"/>
        </w:rPr>
        <w:t>环境管理及监测目的</w:t>
      </w:r>
      <w:r>
        <w:rPr>
          <w:spacing w:val="-1"/>
          <w:w w:val="99"/>
        </w:rPr>
        <w:t> </w:t>
      </w:r>
    </w:p>
    <w:p>
      <w:pPr>
        <w:pStyle w:val="BodyText"/>
        <w:spacing w:line="364" w:lineRule="auto" w:before="185"/>
        <w:ind w:left="218" w:right="118" w:firstLine="480"/>
      </w:pPr>
      <w:r>
        <w:rPr>
          <w:spacing w:val="-9"/>
        </w:rPr>
        <w:t>环境管理是企业管理中的一个重要环节，以环境科学理论为基础，运用技术、行政、</w:t>
      </w:r>
      <w:r>
        <w:rPr>
          <w:spacing w:val="3"/>
        </w:rPr>
        <w:t>教育等手段对经济社会发展过程中施加给环境的污染破坏活动进行调节控制，实现环</w:t>
      </w:r>
      <w:r>
        <w:rPr>
          <w:spacing w:val="-7"/>
        </w:rPr>
        <w:t>境、社会、经济协调可持续发展。环境监测可反映项目施工建设中和建成后实际产生的</w:t>
      </w:r>
      <w:r>
        <w:rPr>
          <w:spacing w:val="-9"/>
        </w:rPr>
        <w:t>环境影响，监督各项环保措施的落实执行情况，根据监测结果适时调整环境保护行动计</w:t>
      </w:r>
      <w:r>
        <w:rPr>
          <w:spacing w:val="-7"/>
        </w:rPr>
        <w:t>划，为环保措施的实施时间和周期提供依据，并及时发现问题，避免造成重大的意外环境影响，为环境管理提供科学的依据。</w:t>
      </w:r>
    </w:p>
    <w:p>
      <w:pPr>
        <w:pStyle w:val="Heading3"/>
        <w:numPr>
          <w:ilvl w:val="1"/>
          <w:numId w:val="23"/>
        </w:numPr>
        <w:tabs>
          <w:tab w:pos="781" w:val="left" w:leader="none"/>
        </w:tabs>
        <w:spacing w:line="357" w:lineRule="exact" w:before="0" w:after="0"/>
        <w:ind w:left="780" w:right="0" w:hanging="563"/>
        <w:jc w:val="both"/>
      </w:pPr>
      <w:bookmarkStart w:name="_bookmark63" w:id="127"/>
      <w:bookmarkEnd w:id="127"/>
      <w:r>
        <w:rPr>
          <w:b w:val="0"/>
        </w:rPr>
      </w:r>
      <w:bookmarkStart w:name="_bookmark63" w:id="128"/>
      <w:bookmarkEnd w:id="128"/>
      <w:r>
        <w:rPr/>
        <w:t>环境执行监督机构</w:t>
      </w:r>
    </w:p>
    <w:p>
      <w:pPr>
        <w:pStyle w:val="BodyText"/>
        <w:spacing w:line="364" w:lineRule="auto" w:before="186"/>
        <w:ind w:left="218" w:right="227" w:firstLine="480"/>
        <w:jc w:val="both"/>
      </w:pPr>
      <w:r>
        <w:rPr>
          <w:spacing w:val="-8"/>
        </w:rPr>
        <w:t>根据《关于发布</w:t>
      </w:r>
      <w:r>
        <w:rPr>
          <w:rFonts w:ascii="Times New Roman" w:eastAsia="Times New Roman"/>
        </w:rPr>
        <w:t>&lt;</w:t>
      </w:r>
      <w:r>
        <w:rPr>
          <w:spacing w:val="-3"/>
        </w:rPr>
        <w:t>环境保护部审批环境影响评价文件的建设项目目录</w:t>
      </w:r>
      <w:r>
        <w:rPr/>
        <w:t>（</w:t>
      </w:r>
      <w:r>
        <w:rPr>
          <w:rFonts w:ascii="Times New Roman" w:eastAsia="Times New Roman"/>
        </w:rPr>
        <w:t>2015 </w:t>
      </w:r>
      <w:r>
        <w:rPr/>
        <w:t>年本</w:t>
      </w:r>
      <w:r>
        <w:rPr>
          <w:spacing w:val="-24"/>
        </w:rPr>
        <w:t>）</w:t>
      </w:r>
      <w:r>
        <w:rPr>
          <w:rFonts w:ascii="Times New Roman" w:eastAsia="Times New Roman"/>
          <w:spacing w:val="-24"/>
        </w:rPr>
        <w:t>&gt; </w:t>
      </w:r>
      <w:r>
        <w:rPr/>
        <w:t>的公告》（</w:t>
      </w:r>
      <w:r>
        <w:rPr>
          <w:spacing w:val="-12"/>
        </w:rPr>
        <w:t>环保部 </w:t>
      </w:r>
      <w:r>
        <w:rPr>
          <w:rFonts w:ascii="Times New Roman" w:eastAsia="Times New Roman"/>
        </w:rPr>
        <w:t>2015 </w:t>
      </w:r>
      <w:r>
        <w:rPr>
          <w:spacing w:val="-16"/>
        </w:rPr>
        <w:t>年第 </w:t>
      </w:r>
      <w:r>
        <w:rPr>
          <w:rFonts w:ascii="Times New Roman" w:eastAsia="Times New Roman"/>
        </w:rPr>
        <w:t>17 </w:t>
      </w:r>
      <w:r>
        <w:rPr/>
        <w:t>号）</w:t>
      </w:r>
      <w:r>
        <w:rPr>
          <w:spacing w:val="-1"/>
        </w:rPr>
        <w:t>和《浙江省生态环境厅关于发布</w:t>
      </w:r>
      <w:r>
        <w:rPr>
          <w:rFonts w:ascii="Times New Roman" w:eastAsia="Times New Roman"/>
        </w:rPr>
        <w:t>&lt;</w:t>
      </w:r>
      <w:r>
        <w:rPr/>
        <w:t>省生态环境主管</w:t>
      </w:r>
      <w:r>
        <w:rPr>
          <w:spacing w:val="-2"/>
        </w:rPr>
        <w:t>部门负责审批环境影响评价文件的建设项目清单</w:t>
      </w:r>
      <w:r>
        <w:rPr/>
        <w:t>（</w:t>
      </w:r>
      <w:r>
        <w:rPr>
          <w:rFonts w:ascii="Times New Roman" w:eastAsia="Times New Roman"/>
        </w:rPr>
        <w:t>2019 </w:t>
      </w:r>
      <w:r>
        <w:rPr/>
        <w:t>年本</w:t>
      </w:r>
      <w:r>
        <w:rPr>
          <w:spacing w:val="-36"/>
        </w:rPr>
        <w:t>）</w:t>
      </w:r>
      <w:r>
        <w:rPr>
          <w:spacing w:val="-9"/>
        </w:rPr>
        <w:t>的通知》</w:t>
      </w:r>
      <w:r>
        <w:rPr>
          <w:rFonts w:ascii="Times New Roman" w:eastAsia="Times New Roman"/>
        </w:rPr>
        <w:t>(</w:t>
      </w:r>
      <w:r>
        <w:rPr/>
        <w:t>浙环发</w:t>
      </w:r>
      <w:r>
        <w:rPr>
          <w:rFonts w:ascii="Times New Roman" w:eastAsia="Times New Roman"/>
        </w:rPr>
        <w:t>[2019]22 </w:t>
      </w:r>
      <w:r>
        <w:rPr/>
        <w:t>号</w:t>
      </w:r>
      <w:r>
        <w:rPr>
          <w:rFonts w:ascii="Times New Roman" w:eastAsia="Times New Roman"/>
        </w:rPr>
        <w:t>)</w:t>
      </w:r>
      <w:r>
        <w:rPr/>
        <w:t>等文件规定，</w:t>
      </w:r>
      <w:r>
        <w:rPr>
          <w:b/>
        </w:rPr>
        <w:t>项目列入由设区市环境保护行政主管部门负责审批目录，</w:t>
      </w:r>
      <w:r>
        <w:rPr/>
        <w:t>根据《绍兴市生态环境局关于授权各分局办理部分行政许可事项的通知》</w:t>
      </w:r>
      <w:r>
        <w:rPr>
          <w:rFonts w:ascii="Times New Roman" w:eastAsia="Times New Roman"/>
        </w:rPr>
        <w:t>(</w:t>
      </w:r>
      <w:r>
        <w:rPr/>
        <w:t>绍市环发</w:t>
      </w:r>
      <w:r>
        <w:rPr>
          <w:rFonts w:ascii="Times New Roman" w:eastAsia="Times New Roman"/>
        </w:rPr>
        <w:t>[2020]10 </w:t>
      </w:r>
      <w:r>
        <w:rPr/>
        <w:t>号</w:t>
      </w:r>
      <w:r>
        <w:rPr>
          <w:rFonts w:ascii="Times New Roman" w:eastAsia="Times New Roman"/>
        </w:rPr>
        <w:t>)</w:t>
      </w:r>
      <w:r>
        <w:rPr/>
        <w:t>文件精神，</w:t>
      </w:r>
      <w:r>
        <w:rPr>
          <w:b/>
        </w:rPr>
        <w:t>本项目审批部门为绍兴市生态环境局</w:t>
      </w:r>
      <w:r>
        <w:rPr/>
        <w:t>。</w:t>
      </w:r>
    </w:p>
    <w:p>
      <w:pPr>
        <w:pStyle w:val="Heading3"/>
        <w:numPr>
          <w:ilvl w:val="1"/>
          <w:numId w:val="23"/>
        </w:numPr>
        <w:tabs>
          <w:tab w:pos="781" w:val="left" w:leader="none"/>
        </w:tabs>
        <w:spacing w:line="356" w:lineRule="exact" w:before="0" w:after="0"/>
        <w:ind w:left="780" w:right="0" w:hanging="563"/>
        <w:jc w:val="both"/>
      </w:pPr>
      <w:bookmarkStart w:name="_bookmark64" w:id="129"/>
      <w:bookmarkEnd w:id="129"/>
      <w:r>
        <w:rPr>
          <w:b w:val="0"/>
        </w:rPr>
      </w:r>
      <w:bookmarkStart w:name="_bookmark64" w:id="130"/>
      <w:bookmarkEnd w:id="130"/>
      <w:r>
        <w:rPr/>
        <w:t>加强环境管理</w:t>
      </w:r>
    </w:p>
    <w:p>
      <w:pPr>
        <w:pStyle w:val="Heading4"/>
        <w:numPr>
          <w:ilvl w:val="2"/>
          <w:numId w:val="23"/>
        </w:numPr>
        <w:tabs>
          <w:tab w:pos="879" w:val="left" w:leader="none"/>
        </w:tabs>
        <w:spacing w:line="240" w:lineRule="auto" w:before="185" w:after="0"/>
        <w:ind w:left="878" w:right="0" w:hanging="661"/>
        <w:jc w:val="both"/>
      </w:pPr>
      <w:r>
        <w:rPr/>
        <w:t>健全环保机构</w:t>
      </w:r>
    </w:p>
    <w:p>
      <w:pPr>
        <w:pStyle w:val="BodyText"/>
        <w:spacing w:line="364" w:lineRule="auto" w:before="161"/>
        <w:ind w:left="218" w:right="232" w:firstLine="480"/>
        <w:jc w:val="both"/>
      </w:pPr>
      <w:r>
        <w:rPr>
          <w:spacing w:val="-4"/>
        </w:rPr>
        <w:t>现有企业设置一个生产与环保、兼职与专职相结合的环境保护工作机构网络</w:t>
      </w:r>
      <w:r>
        <w:rPr>
          <w:rFonts w:ascii="Times New Roman" w:hAnsi="Times New Roman" w:eastAsia="Times New Roman"/>
        </w:rPr>
        <w:t>――</w:t>
      </w:r>
      <w:r>
        <w:rPr>
          <w:spacing w:val="-14"/>
        </w:rPr>
        <w:t>环</w:t>
      </w:r>
      <w:r>
        <w:rPr>
          <w:spacing w:val="-7"/>
        </w:rPr>
        <w:t>保部，由一位副总经理主管生产和环保工作，既由一名副总经理主管生产和安全环保工</w:t>
      </w:r>
      <w:r>
        <w:rPr>
          <w:spacing w:val="-5"/>
        </w:rPr>
        <w:t>作，下面再建立车间</w:t>
      </w:r>
      <w:r>
        <w:rPr>
          <w:rFonts w:ascii="Times New Roman" w:hAnsi="Times New Roman" w:eastAsia="Times New Roman"/>
        </w:rPr>
        <w:t>——</w:t>
      </w:r>
      <w:r>
        <w:rPr>
          <w:spacing w:val="-4"/>
        </w:rPr>
        <w:t>班组环保分级管理制度，安环科负责对全厂环保工作的监督和</w:t>
      </w:r>
      <w:r>
        <w:rPr>
          <w:spacing w:val="-7"/>
        </w:rPr>
        <w:t>管理，企业应按照环保分级管理制度建立三级管理网络。三级管理网络的环保管理机构</w:t>
      </w:r>
      <w:r>
        <w:rPr>
          <w:spacing w:val="-6"/>
        </w:rPr>
        <w:t>的运行模式设置，按图 </w:t>
      </w:r>
      <w:r>
        <w:rPr>
          <w:rFonts w:ascii="Times New Roman" w:hAnsi="Times New Roman" w:eastAsia="Times New Roman"/>
        </w:rPr>
        <w:t>10.3-1 </w:t>
      </w:r>
      <w:r>
        <w:rPr/>
        <w:t>进行。</w:t>
      </w:r>
    </w:p>
    <w:p>
      <w:pPr>
        <w:spacing w:after="0" w:line="364" w:lineRule="auto"/>
        <w:jc w:val="both"/>
        <w:sectPr>
          <w:pgSz w:w="11910" w:h="16840"/>
          <w:pgMar w:header="872" w:footer="873" w:top="1320" w:bottom="1060" w:left="1200" w:right="1180"/>
        </w:sectPr>
      </w:pPr>
    </w:p>
    <w:p>
      <w:pPr>
        <w:pStyle w:val="BodyText"/>
        <w:spacing w:before="7"/>
        <w:rPr>
          <w:sz w:val="8"/>
        </w:rPr>
      </w:pPr>
      <w:r>
        <w:rPr/>
        <w:pict>
          <v:group style="position:absolute;margin-left:243.721375pt;margin-top:96.68779pt;width:5.5pt;height:24.05pt;mso-position-horizontal-relative:page;mso-position-vertical-relative:page;z-index:251958272" coordorigin="4874,1934" coordsize="110,481">
            <v:line style="position:absolute" from="4929,1934" to="4929,2263" stroked="true" strokeweight=".609878pt" strokecolor="#000000">
              <v:stroke dashstyle="solid"/>
            </v:line>
            <v:shape style="position:absolute;left:4874;top:2249;width:110;height:165" coordorigin="4874,2249" coordsize="110,165" path="m4984,2249l4874,2249,4929,2414,4984,2249xe" filled="true" fillcolor="#000000" stroked="false">
              <v:path arrowok="t"/>
              <v:fill type="solid"/>
            </v:shape>
            <w10:wrap type="none"/>
          </v:group>
        </w:pict>
      </w:r>
      <w:r>
        <w:rPr/>
        <w:pict>
          <v:shape style="position:absolute;margin-left:150.426147pt;margin-top:168.754272pt;width:72.05pt;height:24.05pt;mso-position-horizontal-relative:page;mso-position-vertical-relative:page;z-index:251966464" type="#_x0000_t202" filled="false" stroked="true" strokeweight=".610106pt" strokecolor="#000000">
            <v:textbox inset="0,0,0,0">
              <w:txbxContent>
                <w:p>
                  <w:pPr>
                    <w:spacing w:before="101"/>
                    <w:ind w:left="279" w:right="0" w:firstLine="0"/>
                    <w:jc w:val="left"/>
                    <w:rPr>
                      <w:sz w:val="20"/>
                    </w:rPr>
                  </w:pPr>
                  <w:r>
                    <w:rPr>
                      <w:sz w:val="20"/>
                    </w:rPr>
                    <w:t>研究</w:t>
                  </w:r>
                  <w:r>
                    <w:rPr>
                      <w:rFonts w:ascii="Times New Roman" w:eastAsia="Times New Roman"/>
                      <w:sz w:val="20"/>
                    </w:rPr>
                    <w:t>/</w:t>
                  </w:r>
                  <w:r>
                    <w:rPr>
                      <w:sz w:val="20"/>
                    </w:rPr>
                    <w:t>管理</w:t>
                  </w:r>
                </w:p>
              </w:txbxContent>
            </v:textbox>
            <v:stroke dashstyle="solid"/>
            <w10:wrap type="none"/>
          </v:shape>
        </w:pict>
      </w:r>
    </w:p>
    <w:p>
      <w:pPr>
        <w:pStyle w:val="BodyText"/>
        <w:ind w:left="3002"/>
        <w:rPr>
          <w:sz w:val="20"/>
        </w:rPr>
      </w:pPr>
      <w:r>
        <w:rPr>
          <w:position w:val="0"/>
          <w:sz w:val="20"/>
        </w:rPr>
        <w:pict>
          <v:shape style="width:72.05pt;height:24.05pt;mso-position-horizontal-relative:char;mso-position-vertical-relative:line" type="#_x0000_t202" filled="false" stroked="true" strokeweight=".610106pt" strokecolor="#000000">
            <w10:anchorlock/>
            <v:textbox inset="0,0,0,0">
              <w:txbxContent>
                <w:p>
                  <w:pPr>
                    <w:spacing w:before="101"/>
                    <w:ind w:left="409" w:right="0" w:firstLine="0"/>
                    <w:jc w:val="left"/>
                    <w:rPr>
                      <w:sz w:val="20"/>
                    </w:rPr>
                  </w:pPr>
                  <w:r>
                    <w:rPr>
                      <w:sz w:val="20"/>
                    </w:rPr>
                    <w:t>总经理</w:t>
                  </w:r>
                </w:p>
              </w:txbxContent>
            </v:textbox>
            <v:stroke dashstyle="solid"/>
          </v:shape>
        </w:pict>
      </w:r>
      <w:r>
        <w:rPr>
          <w:position w:val="0"/>
          <w:sz w:val="20"/>
        </w:rPr>
      </w:r>
    </w:p>
    <w:p>
      <w:pPr>
        <w:pStyle w:val="BodyText"/>
        <w:rPr>
          <w:sz w:val="20"/>
        </w:rPr>
      </w:pPr>
    </w:p>
    <w:p>
      <w:pPr>
        <w:pStyle w:val="BodyText"/>
        <w:spacing w:before="6"/>
        <w:rPr>
          <w:sz w:val="11"/>
        </w:rPr>
      </w:pPr>
      <w:r>
        <w:rPr/>
        <w:pict>
          <v:group style="position:absolute;margin-left:198.448105pt;margin-top:9.390269pt;width:96.05pt;height:48.35pt;mso-position-horizontal-relative:page;mso-position-vertical-relative:paragraph;z-index:-251362304;mso-wrap-distance-left:0;mso-wrap-distance-right:0" coordorigin="3969,188" coordsize="1921,967">
            <v:line style="position:absolute" from="4929,674" to="4104,1087" stroked="true" strokeweight=".610079pt" strokecolor="#000000">
              <v:stroke dashstyle="solid"/>
            </v:line>
            <v:shape style="position:absolute;left:3968;top:1031;width:172;height:123" coordorigin="3969,1032" coordsize="172,123" path="m4092,1032l3969,1155,4141,1130,4092,1032xe" filled="true" fillcolor="#000000" stroked="false">
              <v:path arrowok="t"/>
              <v:fill type="solid"/>
            </v:shape>
            <v:line style="position:absolute" from="4929,674" to="5755,1087" stroked="true" strokeweight=".610079pt" strokecolor="#000000">
              <v:stroke dashstyle="solid"/>
            </v:line>
            <v:shape style="position:absolute;left:5717;top:1031;width:172;height:123" coordorigin="5718,1032" coordsize="172,123" path="m5767,1032l5718,1130,5890,1155,5767,1032xe" filled="true" fillcolor="#000000" stroked="false">
              <v:path arrowok="t"/>
              <v:fill type="solid"/>
            </v:shape>
            <v:shape style="position:absolute;left:4065;top:193;width:1681;height:481" type="#_x0000_t202" filled="false" stroked="true" strokeweight=".610112pt" strokecolor="#000000">
              <v:textbox inset="0,0,0,0">
                <w:txbxContent>
                  <w:p>
                    <w:pPr>
                      <w:spacing w:before="101"/>
                      <w:ind w:left="427" w:right="0" w:firstLine="0"/>
                      <w:jc w:val="left"/>
                      <w:rPr>
                        <w:sz w:val="20"/>
                      </w:rPr>
                    </w:pPr>
                    <w:r>
                      <w:rPr>
                        <w:sz w:val="20"/>
                      </w:rPr>
                      <w:t>副总经理</w:t>
                    </w:r>
                  </w:p>
                </w:txbxContent>
              </v:textbox>
              <v:stroke dashstyle="solid"/>
              <w10:wrap type="none"/>
            </v:shape>
            <w10:wrap type="topAndBottom"/>
          </v:group>
        </w:pict>
      </w:r>
    </w:p>
    <w:p>
      <w:pPr>
        <w:pStyle w:val="BodyText"/>
        <w:rPr>
          <w:sz w:val="20"/>
        </w:rPr>
      </w:pPr>
    </w:p>
    <w:p>
      <w:pPr>
        <w:pStyle w:val="BodyText"/>
        <w:rPr>
          <w:sz w:val="20"/>
        </w:rPr>
      </w:pPr>
    </w:p>
    <w:p>
      <w:pPr>
        <w:pStyle w:val="BodyText"/>
        <w:spacing w:before="5"/>
        <w:rPr>
          <w:sz w:val="25"/>
        </w:rPr>
      </w:pPr>
      <w:r>
        <w:rPr/>
        <w:pict>
          <v:shape style="position:absolute;margin-left:143.222809pt;margin-top:18.567772pt;width:48.05pt;height:24.05pt;mso-position-horizontal-relative:page;mso-position-vertical-relative:paragraph;z-index:-251361280;mso-wrap-distance-left:0;mso-wrap-distance-right:0" type="#_x0000_t202" filled="false" stroked="true" strokeweight=".610081pt" strokecolor="#000000">
            <v:textbox inset="0,0,0,0">
              <w:txbxContent>
                <w:p>
                  <w:pPr>
                    <w:spacing w:before="101"/>
                    <w:ind w:left="67" w:right="0" w:firstLine="0"/>
                    <w:jc w:val="left"/>
                    <w:rPr>
                      <w:sz w:val="20"/>
                    </w:rPr>
                  </w:pPr>
                  <w:r>
                    <w:rPr>
                      <w:sz w:val="20"/>
                    </w:rPr>
                    <w:t>监测中心</w:t>
                  </w:r>
                </w:p>
              </w:txbxContent>
            </v:textbox>
            <v:stroke dashstyle="solid"/>
            <w10:wrap type="topAndBottom"/>
          </v:shape>
        </w:pict>
      </w:r>
    </w:p>
    <w:p>
      <w:pPr>
        <w:tabs>
          <w:tab w:pos="6423" w:val="left" w:leader="none"/>
        </w:tabs>
        <w:spacing w:line="240" w:lineRule="auto"/>
        <w:ind w:left="4166" w:right="0" w:firstLine="0"/>
        <w:rPr>
          <w:sz w:val="20"/>
        </w:rPr>
      </w:pPr>
      <w:r>
        <w:rPr>
          <w:position w:val="1"/>
          <w:sz w:val="20"/>
        </w:rPr>
        <w:pict>
          <v:group style="width:5.5pt;height:21.65pt;mso-position-horizontal-relative:char;mso-position-vertical-relative:line" coordorigin="0,0" coordsize="110,433">
            <v:line style="position:absolute" from="55,0" to="55,281" stroked="true" strokeweight=".609878pt" strokecolor="#000000">
              <v:stroke dashstyle="solid"/>
            </v:line>
            <v:shape style="position:absolute;left:0;top:267;width:110;height:165" coordorigin="0,268" coordsize="110,165" path="m110,268l0,268,55,432,110,268xe" filled="true" fillcolor="#000000" stroked="false">
              <v:path arrowok="t"/>
              <v:fill type="solid"/>
            </v:shape>
          </v:group>
        </w:pict>
      </w:r>
      <w:r>
        <w:rPr>
          <w:position w:val="1"/>
          <w:sz w:val="20"/>
        </w:rPr>
      </w:r>
      <w:r>
        <w:rPr>
          <w:position w:val="1"/>
          <w:sz w:val="20"/>
        </w:rPr>
        <w:tab/>
      </w:r>
      <w:r>
        <w:rPr>
          <w:sz w:val="20"/>
        </w:rPr>
        <w:pict>
          <v:group style="width:5.5pt;height:21.65pt;mso-position-horizontal-relative:char;mso-position-vertical-relative:line" coordorigin="0,0" coordsize="110,433">
            <v:line style="position:absolute" from="55,0" to="55,281" stroked="true" strokeweight=".609878pt" strokecolor="#000000">
              <v:stroke dashstyle="solid"/>
            </v:line>
            <v:shape style="position:absolute;left:0;top:267;width:110;height:165" coordorigin="0,268" coordsize="110,165" path="m110,268l0,268,55,432,110,268xe" filled="true" fillcolor="#000000" stroked="false">
              <v:path arrowok="t"/>
              <v:fill type="solid"/>
            </v:shape>
          </v:group>
        </w:pict>
      </w:r>
      <w:r>
        <w:rPr>
          <w:sz w:val="20"/>
        </w:rPr>
      </w:r>
    </w:p>
    <w:p>
      <w:pPr>
        <w:pStyle w:val="BodyText"/>
        <w:rPr>
          <w:sz w:val="20"/>
        </w:rPr>
      </w:pPr>
    </w:p>
    <w:p>
      <w:pPr>
        <w:pStyle w:val="BodyText"/>
        <w:spacing w:before="4"/>
        <w:rPr>
          <w:sz w:val="23"/>
        </w:rPr>
      </w:pPr>
    </w:p>
    <w:p>
      <w:pPr>
        <w:pStyle w:val="Heading4"/>
        <w:spacing w:before="74"/>
        <w:ind w:left="3087"/>
        <w:jc w:val="both"/>
      </w:pPr>
      <w:r>
        <w:rPr/>
        <w:pict>
          <v:group style="position:absolute;margin-left:171.692245pt;margin-top:-99.615219pt;width:5.5pt;height:21.65pt;mso-position-horizontal-relative:page;mso-position-vertical-relative:paragraph;z-index:251959296" coordorigin="3434,-1992" coordsize="110,433">
            <v:line style="position:absolute" from="3489,-1992" to="3489,-1711" stroked="true" strokeweight=".609878pt" strokecolor="#000000">
              <v:stroke dashstyle="solid"/>
            </v:line>
            <v:shape style="position:absolute;left:3433;top:-1725;width:110;height:165" coordorigin="3434,-1725" coordsize="110,165" path="m3544,-1725l3434,-1725,3489,-1560,3544,-1725xe" filled="true" fillcolor="#000000" stroked="false">
              <v:path arrowok="t"/>
              <v:fill type="solid"/>
            </v:shape>
            <w10:wrap type="none"/>
          </v:group>
        </w:pict>
      </w:r>
      <w:r>
        <w:rPr/>
        <w:pict>
          <v:group style="position:absolute;margin-left:222.15361pt;margin-top:-123.94072pt;width:232.95pt;height:72.7pt;mso-position-horizontal-relative:page;mso-position-vertical-relative:paragraph;z-index:251963392" coordorigin="4443,-2479" coordsize="4659,1454">
            <v:line style="position:absolute" from="6130,-1992" to="5307,-1622" stroked="true" strokeweight=".610087pt" strokecolor="#000000">
              <v:stroke dashstyle="solid"/>
            </v:line>
            <v:shape style="position:absolute;left:5169;top:-1678;width:173;height:118" coordorigin="5170,-1678" coordsize="173,118" path="m5297,-1678l5170,-1560,5342,-1577,5297,-1678xe" filled="true" fillcolor="#000000" stroked="false">
              <v:path arrowok="t"/>
              <v:fill type="solid"/>
            </v:shape>
            <v:line style="position:absolute" from="6130,-1992" to="7630,-1554" stroked="true" strokeweight=".610110pt" strokecolor="#000000">
              <v:stroke dashstyle="solid"/>
            </v:line>
            <v:shape style="position:absolute;left:7601;top:-1611;width:174;height:106" coordorigin="7601,-1611" coordsize="174,106" path="m7632,-1611l7601,-1505,7775,-1512,7632,-1611xe" filled="true" fillcolor="#000000" stroked="false">
              <v:path arrowok="t"/>
              <v:fill type="solid"/>
            </v:shape>
            <v:shape style="position:absolute;left:7150;top:-1512;width:1945;height:481" type="#_x0000_t202" filled="false" stroked="true" strokeweight=".610117pt" strokecolor="#000000">
              <v:textbox inset="0,0,0,0">
                <w:txbxContent>
                  <w:p>
                    <w:pPr>
                      <w:spacing w:before="101"/>
                      <w:ind w:left="153" w:right="0" w:firstLine="0"/>
                      <w:jc w:val="left"/>
                      <w:rPr>
                        <w:sz w:val="20"/>
                      </w:rPr>
                    </w:pPr>
                    <w:r>
                      <w:rPr>
                        <w:sz w:val="20"/>
                      </w:rPr>
                      <w:t>各车间预处理设施</w:t>
                    </w:r>
                  </w:p>
                </w:txbxContent>
              </v:textbox>
              <v:stroke dashstyle="solid"/>
              <w10:wrap type="none"/>
            </v:shape>
            <v:shape style="position:absolute;left:4449;top:-1512;width:2125;height:481" type="#_x0000_t202" filled="false" stroked="true" strokeweight=".610119pt" strokecolor="#000000">
              <v:textbox inset="0,0,0,0">
                <w:txbxContent>
                  <w:p>
                    <w:pPr>
                      <w:spacing w:before="101"/>
                      <w:ind w:left="141" w:right="0" w:firstLine="0"/>
                      <w:jc w:val="left"/>
                      <w:rPr>
                        <w:sz w:val="20"/>
                      </w:rPr>
                    </w:pPr>
                    <w:r>
                      <w:rPr>
                        <w:sz w:val="20"/>
                      </w:rPr>
                      <w:t>污染物集中处理设施</w:t>
                    </w:r>
                  </w:p>
                </w:txbxContent>
              </v:textbox>
              <v:stroke dashstyle="solid"/>
              <w10:wrap type="none"/>
            </v:shape>
            <v:shape style="position:absolute;left:5409;top:-2473;width:1441;height:481" type="#_x0000_t202" filled="false" stroked="true" strokeweight=".610106pt" strokecolor="#000000">
              <v:textbox inset="0,0,0,0">
                <w:txbxContent>
                  <w:p>
                    <w:pPr>
                      <w:spacing w:before="101"/>
                      <w:ind w:left="409" w:right="0" w:firstLine="0"/>
                      <w:jc w:val="left"/>
                      <w:rPr>
                        <w:sz w:val="20"/>
                      </w:rPr>
                    </w:pPr>
                    <w:r>
                      <w:rPr>
                        <w:sz w:val="20"/>
                      </w:rPr>
                      <w:t>环保部</w:t>
                    </w:r>
                  </w:p>
                </w:txbxContent>
              </v:textbox>
              <v:stroke dashstyle="solid"/>
              <w10:wrap type="none"/>
            </v:shape>
            <w10:wrap type="none"/>
          </v:group>
        </w:pict>
      </w:r>
      <w:r>
        <w:rPr/>
        <w:drawing>
          <wp:anchor distT="0" distB="0" distL="0" distR="0" allowOverlap="1" layoutInCell="1" locked="0" behindDoc="0" simplePos="0" relativeHeight="251964416">
            <wp:simplePos x="0" y="0"/>
            <wp:positionH relativeFrom="page">
              <wp:posOffset>2428808</wp:posOffset>
            </wp:positionH>
            <wp:positionV relativeFrom="paragraph">
              <wp:posOffset>-872891</wp:posOffset>
            </wp:positionV>
            <wp:extent cx="397956" cy="70008"/>
            <wp:effectExtent l="0" t="0" r="0" b="0"/>
            <wp:wrapNone/>
            <wp:docPr id="91" name="image96.png"/>
            <wp:cNvGraphicFramePr>
              <a:graphicFrameLocks noChangeAspect="1"/>
            </wp:cNvGraphicFramePr>
            <a:graphic>
              <a:graphicData uri="http://schemas.openxmlformats.org/drawingml/2006/picture">
                <pic:pic>
                  <pic:nvPicPr>
                    <pic:cNvPr id="92" name="image96.png"/>
                    <pic:cNvPicPr/>
                  </pic:nvPicPr>
                  <pic:blipFill>
                    <a:blip r:embed="rId175" cstate="print"/>
                    <a:stretch>
                      <a:fillRect/>
                    </a:stretch>
                  </pic:blipFill>
                  <pic:spPr>
                    <a:xfrm>
                      <a:off x="0" y="0"/>
                      <a:ext cx="397956" cy="70008"/>
                    </a:xfrm>
                    <a:prstGeom prst="rect">
                      <a:avLst/>
                    </a:prstGeom>
                  </pic:spPr>
                </pic:pic>
              </a:graphicData>
            </a:graphic>
          </wp:anchor>
        </w:drawing>
      </w:r>
      <w:r>
        <w:rPr/>
        <w:drawing>
          <wp:anchor distT="0" distB="0" distL="0" distR="0" allowOverlap="1" layoutInCell="1" locked="0" behindDoc="0" simplePos="0" relativeHeight="251965440">
            <wp:simplePos x="0" y="0"/>
            <wp:positionH relativeFrom="page">
              <wp:posOffset>4174568</wp:posOffset>
            </wp:positionH>
            <wp:positionV relativeFrom="paragraph">
              <wp:posOffset>-872891</wp:posOffset>
            </wp:positionV>
            <wp:extent cx="367394" cy="70008"/>
            <wp:effectExtent l="0" t="0" r="0" b="0"/>
            <wp:wrapNone/>
            <wp:docPr id="93" name="image97.png"/>
            <wp:cNvGraphicFramePr>
              <a:graphicFrameLocks noChangeAspect="1"/>
            </wp:cNvGraphicFramePr>
            <a:graphic>
              <a:graphicData uri="http://schemas.openxmlformats.org/drawingml/2006/picture">
                <pic:pic>
                  <pic:nvPicPr>
                    <pic:cNvPr id="94" name="image97.png"/>
                    <pic:cNvPicPr/>
                  </pic:nvPicPr>
                  <pic:blipFill>
                    <a:blip r:embed="rId176" cstate="print"/>
                    <a:stretch>
                      <a:fillRect/>
                    </a:stretch>
                  </pic:blipFill>
                  <pic:spPr>
                    <a:xfrm>
                      <a:off x="0" y="0"/>
                      <a:ext cx="367394" cy="70008"/>
                    </a:xfrm>
                    <a:prstGeom prst="rect">
                      <a:avLst/>
                    </a:prstGeom>
                  </pic:spPr>
                </pic:pic>
              </a:graphicData>
            </a:graphic>
          </wp:anchor>
        </w:drawing>
      </w:r>
      <w:r>
        <w:rPr/>
        <w:pict>
          <v:shape style="position:absolute;margin-left:357.522919pt;margin-top:-29.353914pt;width:48.05pt;height:24.05pt;mso-position-horizontal-relative:page;mso-position-vertical-relative:paragraph;z-index:251967488" type="#_x0000_t202" filled="false" stroked="true" strokeweight=".610081pt" strokecolor="#000000">
            <v:textbox inset="0,0,0,0">
              <w:txbxContent>
                <w:p>
                  <w:pPr>
                    <w:spacing w:before="101"/>
                    <w:ind w:left="169" w:right="0" w:firstLine="0"/>
                    <w:jc w:val="left"/>
                    <w:rPr>
                      <w:sz w:val="20"/>
                    </w:rPr>
                  </w:pPr>
                  <w:r>
                    <w:rPr>
                      <w:sz w:val="20"/>
                    </w:rPr>
                    <w:t>各班组</w:t>
                  </w:r>
                </w:p>
              </w:txbxContent>
            </v:textbox>
            <v:stroke dashstyle="solid"/>
            <w10:wrap type="none"/>
          </v:shape>
        </w:pict>
      </w:r>
      <w:r>
        <w:rPr/>
        <w:pict>
          <v:shape style="position:absolute;margin-left:220.657837pt;margin-top:-29.353931pt;width:108.05pt;height:24.05pt;mso-position-horizontal-relative:page;mso-position-vertical-relative:paragraph;z-index:251968512" type="#_x0000_t202" filled="false" stroked="true" strokeweight=".610119pt" strokecolor="#000000">
            <v:textbox inset="0,0,0,0">
              <w:txbxContent>
                <w:p>
                  <w:pPr>
                    <w:spacing w:before="101"/>
                    <w:ind w:left="176" w:right="0" w:firstLine="0"/>
                    <w:jc w:val="left"/>
                    <w:rPr>
                      <w:sz w:val="20"/>
                    </w:rPr>
                  </w:pPr>
                  <w:r>
                    <w:rPr>
                      <w:sz w:val="20"/>
                    </w:rPr>
                    <w:t>废水</w:t>
                  </w:r>
                  <w:r>
                    <w:rPr>
                      <w:rFonts w:ascii="Times New Roman" w:eastAsia="Times New Roman"/>
                      <w:sz w:val="20"/>
                    </w:rPr>
                    <w:t>/</w:t>
                  </w:r>
                  <w:r>
                    <w:rPr>
                      <w:sz w:val="20"/>
                    </w:rPr>
                    <w:t>废气</w:t>
                  </w:r>
                  <w:r>
                    <w:rPr>
                      <w:rFonts w:ascii="Times New Roman" w:eastAsia="Times New Roman"/>
                      <w:sz w:val="20"/>
                    </w:rPr>
                    <w:t>/</w:t>
                  </w:r>
                  <w:r>
                    <w:rPr>
                      <w:sz w:val="20"/>
                    </w:rPr>
                    <w:t>固废</w:t>
                  </w:r>
                  <w:r>
                    <w:rPr>
                      <w:rFonts w:ascii="Times New Roman" w:eastAsia="Times New Roman"/>
                      <w:sz w:val="20"/>
                    </w:rPr>
                    <w:t>/</w:t>
                  </w:r>
                  <w:r>
                    <w:rPr>
                      <w:sz w:val="20"/>
                    </w:rPr>
                    <w:t>噪声</w:t>
                  </w:r>
                </w:p>
              </w:txbxContent>
            </v:textbox>
            <v:stroke dashstyle="solid"/>
            <w10:wrap type="none"/>
          </v:shape>
        </w:pict>
      </w:r>
      <w:r>
        <w:rPr/>
        <w:t>图 </w:t>
      </w:r>
      <w:r>
        <w:rPr>
          <w:rFonts w:ascii="Times New Roman" w:eastAsia="Times New Roman"/>
        </w:rPr>
        <w:t>10.3-1  </w:t>
      </w:r>
      <w:r>
        <w:rPr/>
        <w:t>环保管理运行模式图</w:t>
      </w:r>
    </w:p>
    <w:p>
      <w:pPr>
        <w:pStyle w:val="BodyText"/>
        <w:spacing w:line="364" w:lineRule="auto" w:before="161"/>
        <w:ind w:left="218" w:right="232" w:firstLine="480"/>
        <w:jc w:val="both"/>
      </w:pPr>
      <w:r>
        <w:rPr>
          <w:spacing w:val="-4"/>
        </w:rPr>
        <w:t>厂区内日常环保管理可由车间及各集中处理设施负责，环保部主要起到监督管理协</w:t>
      </w:r>
      <w:r>
        <w:rPr>
          <w:spacing w:val="-7"/>
        </w:rPr>
        <w:t>调作用，并进行环保一体化考核，对日常环保难点提出整改要求。为提高工作效率，环</w:t>
      </w:r>
      <w:r>
        <w:rPr/>
        <w:t>保监测工作可由监测中心负责，但需要专门安排有关监测人员。</w:t>
      </w:r>
    </w:p>
    <w:p>
      <w:pPr>
        <w:pStyle w:val="Heading4"/>
        <w:numPr>
          <w:ilvl w:val="2"/>
          <w:numId w:val="23"/>
        </w:numPr>
        <w:tabs>
          <w:tab w:pos="879" w:val="left" w:leader="none"/>
        </w:tabs>
        <w:spacing w:line="307" w:lineRule="exact" w:before="0" w:after="0"/>
        <w:ind w:left="878" w:right="0" w:hanging="661"/>
        <w:jc w:val="left"/>
      </w:pPr>
      <w:r>
        <w:rPr/>
        <w:t>环境管理要求</w:t>
      </w:r>
    </w:p>
    <w:p>
      <w:pPr>
        <w:pStyle w:val="BodyText"/>
        <w:spacing w:before="158"/>
        <w:ind w:left="698"/>
      </w:pPr>
      <w:r>
        <w:rPr>
          <w:rFonts w:ascii="Times New Roman" w:eastAsia="Times New Roman"/>
        </w:rPr>
        <w:t>1</w:t>
      </w:r>
      <w:r>
        <w:rPr/>
        <w:t>、建立健全环境管理制度。</w:t>
      </w:r>
    </w:p>
    <w:p>
      <w:pPr>
        <w:pStyle w:val="BodyText"/>
        <w:spacing w:line="364" w:lineRule="auto" w:before="161"/>
        <w:ind w:left="218" w:right="233" w:firstLine="480"/>
      </w:pPr>
      <w:r>
        <w:rPr>
          <w:rFonts w:ascii="Times New Roman" w:eastAsia="Times New Roman"/>
        </w:rPr>
        <w:t>2</w:t>
      </w:r>
      <w:r>
        <w:rPr/>
        <w:t>、要加强环保宣传，提高全体员工的清洁生产意识。加强职业技术培训，提高环境管理人员的技术水平，以适应现代化生产管理的需要。</w:t>
      </w:r>
    </w:p>
    <w:p>
      <w:pPr>
        <w:pStyle w:val="BodyText"/>
        <w:spacing w:line="364" w:lineRule="auto"/>
        <w:ind w:left="218" w:right="235" w:firstLine="480"/>
        <w:jc w:val="both"/>
      </w:pPr>
      <w:r>
        <w:rPr>
          <w:rFonts w:ascii="Times New Roman" w:eastAsia="Times New Roman"/>
        </w:rPr>
        <w:t>3</w:t>
      </w:r>
      <w:r>
        <w:rPr/>
        <w:t>、加强监测数据的统计管理，建立完善的污染源及污染物排放档案、数据记录台</w:t>
      </w:r>
      <w:r>
        <w:rPr>
          <w:spacing w:val="-8"/>
        </w:rPr>
        <w:t>帐，制定总量控制指标，并纳入各级生产组织的经济考核体系，严格控制污染物排放总</w:t>
      </w:r>
      <w:r>
        <w:rPr/>
        <w:t>量。</w:t>
      </w:r>
    </w:p>
    <w:p>
      <w:pPr>
        <w:pStyle w:val="BodyText"/>
        <w:spacing w:line="304" w:lineRule="exact"/>
        <w:ind w:left="698"/>
      </w:pPr>
      <w:r>
        <w:rPr>
          <w:rFonts w:ascii="Times New Roman" w:eastAsia="Times New Roman"/>
        </w:rPr>
        <w:t>4</w:t>
      </w:r>
      <w:r>
        <w:rPr/>
        <w:t>、加强绿化管理，绿化设施施工，美化布局、绿化管理、建设花园式工厂。</w:t>
      </w:r>
    </w:p>
    <w:p>
      <w:pPr>
        <w:pStyle w:val="Heading3"/>
        <w:numPr>
          <w:ilvl w:val="1"/>
          <w:numId w:val="23"/>
        </w:numPr>
        <w:tabs>
          <w:tab w:pos="850" w:val="left" w:leader="none"/>
        </w:tabs>
        <w:spacing w:line="240" w:lineRule="auto" w:before="160" w:after="0"/>
        <w:ind w:left="850" w:right="0" w:hanging="632"/>
        <w:jc w:val="left"/>
      </w:pPr>
      <w:bookmarkStart w:name="_bookmark65" w:id="131"/>
      <w:bookmarkEnd w:id="131"/>
      <w:r>
        <w:rPr>
          <w:b w:val="0"/>
        </w:rPr>
      </w:r>
      <w:bookmarkStart w:name="_bookmark65" w:id="132"/>
      <w:bookmarkEnd w:id="132"/>
      <w:r>
        <w:rPr/>
        <w:t>污染物排放清单</w:t>
      </w:r>
    </w:p>
    <w:p>
      <w:pPr>
        <w:pStyle w:val="BodyText"/>
        <w:spacing w:line="362" w:lineRule="auto" w:before="185"/>
        <w:ind w:left="218" w:right="173" w:firstLine="480"/>
      </w:pPr>
      <w:r>
        <w:rPr/>
        <w:t>为便于当地行政主管部门管理，便于对社会公开项目信息，根据导则要求，制定项目污染物排放清单，明确污染物排放的管理要求。项目污染物排放清单具体见下表。</w:t>
      </w:r>
    </w:p>
    <w:p>
      <w:pPr>
        <w:pStyle w:val="Heading4"/>
        <w:tabs>
          <w:tab w:pos="3888" w:val="left" w:leader="none"/>
        </w:tabs>
        <w:spacing w:before="147" w:after="29"/>
        <w:ind w:left="2727"/>
      </w:pPr>
      <w:r>
        <w:rPr/>
        <w:t>表</w:t>
      </w:r>
      <w:r>
        <w:rPr>
          <w:spacing w:val="-60"/>
        </w:rPr>
        <w:t> </w:t>
      </w:r>
      <w:r>
        <w:rPr>
          <w:rFonts w:ascii="Times New Roman" w:eastAsia="Times New Roman"/>
        </w:rPr>
        <w:t>10.4-1</w:t>
        <w:tab/>
      </w:r>
      <w:r>
        <w:rPr/>
        <w:t>项目污染物污染物排放清单</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2274"/>
        <w:gridCol w:w="1460"/>
        <w:gridCol w:w="2120"/>
        <w:gridCol w:w="2706"/>
      </w:tblGrid>
      <w:tr>
        <w:trPr>
          <w:trHeight w:val="282" w:hRule="atLeast"/>
        </w:trPr>
        <w:tc>
          <w:tcPr>
            <w:tcW w:w="629" w:type="dxa"/>
            <w:vMerge w:val="restart"/>
          </w:tcPr>
          <w:p>
            <w:pPr>
              <w:pStyle w:val="TableParagraph"/>
              <w:jc w:val="left"/>
              <w:rPr>
                <w:b/>
                <w:sz w:val="20"/>
              </w:rPr>
            </w:pPr>
          </w:p>
          <w:p>
            <w:pPr>
              <w:pStyle w:val="TableParagraph"/>
              <w:spacing w:before="7"/>
              <w:jc w:val="left"/>
              <w:rPr>
                <w:b/>
                <w:sz w:val="16"/>
              </w:rPr>
            </w:pPr>
          </w:p>
          <w:p>
            <w:pPr>
              <w:pStyle w:val="TableParagraph"/>
              <w:spacing w:line="242" w:lineRule="auto"/>
              <w:ind w:left="103" w:right="91"/>
              <w:jc w:val="both"/>
              <w:rPr>
                <w:b/>
                <w:sz w:val="21"/>
              </w:rPr>
            </w:pPr>
            <w:r>
              <w:rPr>
                <w:b/>
                <w:sz w:val="21"/>
              </w:rPr>
              <w:t>单位基本情况</w:t>
            </w:r>
          </w:p>
        </w:tc>
        <w:tc>
          <w:tcPr>
            <w:tcW w:w="2274" w:type="dxa"/>
          </w:tcPr>
          <w:p>
            <w:pPr>
              <w:pStyle w:val="TableParagraph"/>
              <w:spacing w:line="257" w:lineRule="exact" w:before="6"/>
              <w:ind w:left="275" w:right="268"/>
              <w:rPr>
                <w:sz w:val="21"/>
              </w:rPr>
            </w:pPr>
            <w:r>
              <w:rPr>
                <w:sz w:val="21"/>
              </w:rPr>
              <w:t>单位名称</w:t>
            </w:r>
          </w:p>
        </w:tc>
        <w:tc>
          <w:tcPr>
            <w:tcW w:w="6286" w:type="dxa"/>
            <w:gridSpan w:val="3"/>
          </w:tcPr>
          <w:p>
            <w:pPr>
              <w:pStyle w:val="TableParagraph"/>
              <w:spacing w:line="257" w:lineRule="exact" w:before="6"/>
              <w:ind w:left="1774"/>
              <w:jc w:val="left"/>
              <w:rPr>
                <w:sz w:val="21"/>
              </w:rPr>
            </w:pPr>
            <w:r>
              <w:rPr>
                <w:sz w:val="21"/>
              </w:rPr>
              <w:t>绍兴贝斯美化工股份有限公司</w:t>
            </w:r>
          </w:p>
        </w:tc>
      </w:tr>
      <w:tr>
        <w:trPr>
          <w:trHeight w:val="285" w:hRule="atLeast"/>
        </w:trPr>
        <w:tc>
          <w:tcPr>
            <w:tcW w:w="629" w:type="dxa"/>
            <w:vMerge/>
            <w:tcBorders>
              <w:top w:val="nil"/>
            </w:tcBorders>
          </w:tcPr>
          <w:p>
            <w:pPr>
              <w:rPr>
                <w:sz w:val="2"/>
                <w:szCs w:val="2"/>
              </w:rPr>
            </w:pPr>
          </w:p>
        </w:tc>
        <w:tc>
          <w:tcPr>
            <w:tcW w:w="2274" w:type="dxa"/>
          </w:tcPr>
          <w:p>
            <w:pPr>
              <w:pStyle w:val="TableParagraph"/>
              <w:spacing w:line="257" w:lineRule="exact" w:before="8"/>
              <w:ind w:left="276" w:right="268"/>
              <w:rPr>
                <w:sz w:val="21"/>
              </w:rPr>
            </w:pPr>
            <w:r>
              <w:rPr>
                <w:sz w:val="21"/>
              </w:rPr>
              <w:t>统一社会信用代码</w:t>
            </w:r>
          </w:p>
        </w:tc>
        <w:tc>
          <w:tcPr>
            <w:tcW w:w="6286" w:type="dxa"/>
            <w:gridSpan w:val="3"/>
          </w:tcPr>
          <w:p>
            <w:pPr>
              <w:pStyle w:val="TableParagraph"/>
              <w:spacing w:before="22"/>
              <w:ind w:left="2151" w:right="2147"/>
              <w:rPr>
                <w:rFonts w:ascii="Times New Roman"/>
                <w:sz w:val="21"/>
              </w:rPr>
            </w:pPr>
            <w:r>
              <w:rPr>
                <w:rFonts w:ascii="Times New Roman"/>
                <w:sz w:val="21"/>
              </w:rPr>
              <w:t>91330604747735048A</w:t>
            </w:r>
          </w:p>
        </w:tc>
      </w:tr>
      <w:tr>
        <w:trPr>
          <w:trHeight w:val="282" w:hRule="atLeast"/>
        </w:trPr>
        <w:tc>
          <w:tcPr>
            <w:tcW w:w="629" w:type="dxa"/>
            <w:vMerge/>
            <w:tcBorders>
              <w:top w:val="nil"/>
            </w:tcBorders>
          </w:tcPr>
          <w:p>
            <w:pPr>
              <w:rPr>
                <w:sz w:val="2"/>
                <w:szCs w:val="2"/>
              </w:rPr>
            </w:pPr>
          </w:p>
        </w:tc>
        <w:tc>
          <w:tcPr>
            <w:tcW w:w="2274" w:type="dxa"/>
          </w:tcPr>
          <w:p>
            <w:pPr>
              <w:pStyle w:val="TableParagraph"/>
              <w:spacing w:line="257" w:lineRule="exact" w:before="5"/>
              <w:ind w:left="275" w:right="268"/>
              <w:rPr>
                <w:sz w:val="21"/>
              </w:rPr>
            </w:pPr>
            <w:r>
              <w:rPr>
                <w:sz w:val="21"/>
              </w:rPr>
              <w:t>单位住所</w:t>
            </w:r>
          </w:p>
        </w:tc>
        <w:tc>
          <w:tcPr>
            <w:tcW w:w="6286" w:type="dxa"/>
            <w:gridSpan w:val="3"/>
          </w:tcPr>
          <w:p>
            <w:pPr>
              <w:pStyle w:val="TableParagraph"/>
              <w:spacing w:line="257" w:lineRule="exact" w:before="5"/>
              <w:ind w:left="1458"/>
              <w:jc w:val="left"/>
              <w:rPr>
                <w:sz w:val="21"/>
              </w:rPr>
            </w:pPr>
            <w:r>
              <w:rPr>
                <w:sz w:val="21"/>
              </w:rPr>
              <w:t>杭州湾上虞经济技术开发区经十一路</w:t>
            </w:r>
          </w:p>
        </w:tc>
      </w:tr>
      <w:tr>
        <w:trPr>
          <w:trHeight w:val="285" w:hRule="atLeast"/>
        </w:trPr>
        <w:tc>
          <w:tcPr>
            <w:tcW w:w="629" w:type="dxa"/>
            <w:vMerge/>
            <w:tcBorders>
              <w:top w:val="nil"/>
            </w:tcBorders>
          </w:tcPr>
          <w:p>
            <w:pPr>
              <w:rPr>
                <w:sz w:val="2"/>
                <w:szCs w:val="2"/>
              </w:rPr>
            </w:pPr>
          </w:p>
        </w:tc>
        <w:tc>
          <w:tcPr>
            <w:tcW w:w="2274" w:type="dxa"/>
          </w:tcPr>
          <w:p>
            <w:pPr>
              <w:pStyle w:val="TableParagraph"/>
              <w:spacing w:line="257" w:lineRule="exact" w:before="8"/>
              <w:ind w:left="275" w:right="268"/>
              <w:rPr>
                <w:sz w:val="21"/>
              </w:rPr>
            </w:pPr>
            <w:r>
              <w:rPr>
                <w:sz w:val="21"/>
              </w:rPr>
              <w:t>建设地址</w:t>
            </w:r>
          </w:p>
        </w:tc>
        <w:tc>
          <w:tcPr>
            <w:tcW w:w="6286" w:type="dxa"/>
            <w:gridSpan w:val="3"/>
          </w:tcPr>
          <w:p>
            <w:pPr>
              <w:pStyle w:val="TableParagraph"/>
              <w:spacing w:line="257" w:lineRule="exact" w:before="8"/>
              <w:ind w:left="1458"/>
              <w:jc w:val="left"/>
              <w:rPr>
                <w:sz w:val="21"/>
              </w:rPr>
            </w:pPr>
            <w:r>
              <w:rPr>
                <w:sz w:val="21"/>
              </w:rPr>
              <w:t>杭州湾上虞经济技术开发区振兴大道</w:t>
            </w:r>
          </w:p>
        </w:tc>
      </w:tr>
      <w:tr>
        <w:trPr>
          <w:trHeight w:val="282" w:hRule="atLeast"/>
        </w:trPr>
        <w:tc>
          <w:tcPr>
            <w:tcW w:w="629" w:type="dxa"/>
            <w:vMerge/>
            <w:tcBorders>
              <w:top w:val="nil"/>
            </w:tcBorders>
          </w:tcPr>
          <w:p>
            <w:pPr>
              <w:rPr>
                <w:sz w:val="2"/>
                <w:szCs w:val="2"/>
              </w:rPr>
            </w:pPr>
          </w:p>
        </w:tc>
        <w:tc>
          <w:tcPr>
            <w:tcW w:w="2274" w:type="dxa"/>
          </w:tcPr>
          <w:p>
            <w:pPr>
              <w:pStyle w:val="TableParagraph"/>
              <w:spacing w:line="257" w:lineRule="exact" w:before="5"/>
              <w:ind w:left="275" w:right="268"/>
              <w:rPr>
                <w:sz w:val="21"/>
              </w:rPr>
            </w:pPr>
            <w:r>
              <w:rPr>
                <w:sz w:val="21"/>
              </w:rPr>
              <w:t>法定代表人</w:t>
            </w:r>
          </w:p>
        </w:tc>
        <w:tc>
          <w:tcPr>
            <w:tcW w:w="1460" w:type="dxa"/>
          </w:tcPr>
          <w:p>
            <w:pPr>
              <w:pStyle w:val="TableParagraph"/>
              <w:spacing w:line="257" w:lineRule="exact" w:before="5"/>
              <w:ind w:left="131" w:right="124"/>
              <w:rPr>
                <w:sz w:val="21"/>
              </w:rPr>
            </w:pPr>
            <w:r>
              <w:rPr>
                <w:sz w:val="21"/>
              </w:rPr>
              <w:t>陈峰</w:t>
            </w:r>
          </w:p>
        </w:tc>
        <w:tc>
          <w:tcPr>
            <w:tcW w:w="2120" w:type="dxa"/>
          </w:tcPr>
          <w:p>
            <w:pPr>
              <w:pStyle w:val="TableParagraph"/>
              <w:spacing w:line="257" w:lineRule="exact" w:before="5"/>
              <w:ind w:left="615" w:right="612"/>
              <w:rPr>
                <w:sz w:val="21"/>
              </w:rPr>
            </w:pPr>
            <w:r>
              <w:rPr>
                <w:sz w:val="21"/>
              </w:rPr>
              <w:t>联系人</w:t>
            </w:r>
          </w:p>
        </w:tc>
        <w:tc>
          <w:tcPr>
            <w:tcW w:w="2706" w:type="dxa"/>
          </w:tcPr>
          <w:p>
            <w:pPr>
              <w:pStyle w:val="TableParagraph"/>
              <w:spacing w:line="257" w:lineRule="exact" w:before="5"/>
              <w:ind w:left="1121" w:right="1115"/>
              <w:rPr>
                <w:sz w:val="21"/>
              </w:rPr>
            </w:pPr>
            <w:r>
              <w:rPr>
                <w:sz w:val="21"/>
              </w:rPr>
              <w:t>董辉</w:t>
            </w:r>
          </w:p>
        </w:tc>
      </w:tr>
      <w:tr>
        <w:trPr>
          <w:trHeight w:val="285" w:hRule="atLeast"/>
        </w:trPr>
        <w:tc>
          <w:tcPr>
            <w:tcW w:w="629" w:type="dxa"/>
            <w:vMerge/>
            <w:tcBorders>
              <w:top w:val="nil"/>
            </w:tcBorders>
          </w:tcPr>
          <w:p>
            <w:pPr>
              <w:rPr>
                <w:sz w:val="2"/>
                <w:szCs w:val="2"/>
              </w:rPr>
            </w:pPr>
          </w:p>
        </w:tc>
        <w:tc>
          <w:tcPr>
            <w:tcW w:w="2274" w:type="dxa"/>
          </w:tcPr>
          <w:p>
            <w:pPr>
              <w:pStyle w:val="TableParagraph"/>
              <w:spacing w:line="257" w:lineRule="exact" w:before="8"/>
              <w:ind w:left="275" w:right="268"/>
              <w:rPr>
                <w:sz w:val="21"/>
              </w:rPr>
            </w:pPr>
            <w:r>
              <w:rPr>
                <w:sz w:val="21"/>
              </w:rPr>
              <w:t>联系电话</w:t>
            </w:r>
          </w:p>
        </w:tc>
        <w:tc>
          <w:tcPr>
            <w:tcW w:w="1460" w:type="dxa"/>
          </w:tcPr>
          <w:p>
            <w:pPr>
              <w:pStyle w:val="TableParagraph"/>
              <w:spacing w:before="22"/>
              <w:ind w:left="131" w:right="124"/>
              <w:rPr>
                <w:rFonts w:ascii="Times New Roman"/>
                <w:sz w:val="21"/>
              </w:rPr>
            </w:pPr>
            <w:r>
              <w:rPr>
                <w:rFonts w:ascii="Times New Roman"/>
                <w:sz w:val="21"/>
              </w:rPr>
              <w:t>13757578566</w:t>
            </w:r>
          </w:p>
        </w:tc>
        <w:tc>
          <w:tcPr>
            <w:tcW w:w="2120" w:type="dxa"/>
          </w:tcPr>
          <w:p>
            <w:pPr>
              <w:pStyle w:val="TableParagraph"/>
              <w:spacing w:line="257" w:lineRule="exact" w:before="8"/>
              <w:ind w:left="617" w:right="612"/>
              <w:rPr>
                <w:sz w:val="21"/>
              </w:rPr>
            </w:pPr>
            <w:r>
              <w:rPr>
                <w:sz w:val="21"/>
              </w:rPr>
              <w:t>所属行业</w:t>
            </w:r>
          </w:p>
        </w:tc>
        <w:tc>
          <w:tcPr>
            <w:tcW w:w="2706" w:type="dxa"/>
          </w:tcPr>
          <w:p>
            <w:pPr>
              <w:pStyle w:val="TableParagraph"/>
              <w:spacing w:line="257" w:lineRule="exact" w:before="8"/>
              <w:ind w:left="720"/>
              <w:jc w:val="left"/>
              <w:rPr>
                <w:sz w:val="21"/>
              </w:rPr>
            </w:pPr>
            <w:r>
              <w:rPr>
                <w:rFonts w:ascii="Times New Roman" w:eastAsia="Times New Roman"/>
                <w:sz w:val="21"/>
              </w:rPr>
              <w:t>C263 </w:t>
            </w:r>
            <w:r>
              <w:rPr>
                <w:sz w:val="21"/>
              </w:rPr>
              <w:t>农药制造</w:t>
            </w:r>
          </w:p>
        </w:tc>
      </w:tr>
    </w:tbl>
    <w:p>
      <w:pPr>
        <w:spacing w:after="0" w:line="257" w:lineRule="exact"/>
        <w:jc w:val="left"/>
        <w:rPr>
          <w:sz w:val="21"/>
        </w:rPr>
        <w:sectPr>
          <w:pgSz w:w="11910" w:h="16840"/>
          <w:pgMar w:header="872" w:footer="873" w:top="1320" w:bottom="1060" w:left="1200" w:right="1180"/>
        </w:sectPr>
      </w:pPr>
    </w:p>
    <w:p>
      <w:pPr>
        <w:pStyle w:val="BodyText"/>
        <w:spacing w:before="4"/>
        <w:rPr>
          <w:b/>
          <w:sz w:val="22"/>
        </w:rPr>
      </w:pPr>
      <w:r>
        <w:rPr/>
        <w:pict>
          <v:shape style="position:absolute;margin-left:67.823997pt;margin-top:70.919983pt;width:460.05pt;height:687.25pt;mso-position-horizontal-relative:page;mso-position-vertical-relative:page;z-index:25196953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631"/>
                    <w:gridCol w:w="139"/>
                    <w:gridCol w:w="353"/>
                    <w:gridCol w:w="154"/>
                    <w:gridCol w:w="997"/>
                    <w:gridCol w:w="548"/>
                    <w:gridCol w:w="226"/>
                    <w:gridCol w:w="365"/>
                    <w:gridCol w:w="322"/>
                    <w:gridCol w:w="663"/>
                    <w:gridCol w:w="1035"/>
                    <w:gridCol w:w="423"/>
                    <w:gridCol w:w="1316"/>
                    <w:gridCol w:w="1391"/>
                  </w:tblGrid>
                  <w:tr>
                    <w:trPr>
                      <w:trHeight w:val="534" w:hRule="atLeast"/>
                    </w:trPr>
                    <w:tc>
                      <w:tcPr>
                        <w:tcW w:w="629" w:type="dxa"/>
                        <w:vMerge w:val="restart"/>
                        <w:tcBorders>
                          <w:bottom w:val="double" w:sz="1" w:space="0" w:color="000000"/>
                        </w:tcBorders>
                      </w:tcPr>
                      <w:p>
                        <w:pPr>
                          <w:pStyle w:val="TableParagraph"/>
                          <w:jc w:val="left"/>
                          <w:rPr>
                            <w:rFonts w:ascii="Times New Roman"/>
                            <w:sz w:val="20"/>
                          </w:rPr>
                        </w:pPr>
                      </w:p>
                    </w:tc>
                    <w:tc>
                      <w:tcPr>
                        <w:tcW w:w="3735" w:type="dxa"/>
                        <w:gridSpan w:val="9"/>
                      </w:tcPr>
                      <w:p>
                        <w:pPr>
                          <w:pStyle w:val="TableParagraph"/>
                          <w:spacing w:before="138"/>
                          <w:ind w:left="402"/>
                          <w:jc w:val="left"/>
                          <w:rPr>
                            <w:sz w:val="21"/>
                          </w:rPr>
                        </w:pPr>
                        <w:r>
                          <w:rPr>
                            <w:sz w:val="21"/>
                          </w:rPr>
                          <w:t>绍兴市</w:t>
                        </w:r>
                        <w:r>
                          <w:rPr>
                            <w:rFonts w:ascii="Times New Roman" w:hAnsi="Times New Roman" w:eastAsia="Times New Roman"/>
                            <w:sz w:val="21"/>
                          </w:rPr>
                          <w:t>“</w:t>
                        </w:r>
                        <w:r>
                          <w:rPr>
                            <w:sz w:val="21"/>
                          </w:rPr>
                          <w:t>三线一单</w:t>
                        </w:r>
                        <w:r>
                          <w:rPr>
                            <w:rFonts w:ascii="Times New Roman" w:hAnsi="Times New Roman" w:eastAsia="Times New Roman"/>
                            <w:sz w:val="21"/>
                          </w:rPr>
                          <w:t>”</w:t>
                        </w:r>
                        <w:r>
                          <w:rPr>
                            <w:sz w:val="21"/>
                          </w:rPr>
                          <w:t>生态环境分区</w:t>
                        </w:r>
                      </w:p>
                    </w:tc>
                    <w:tc>
                      <w:tcPr>
                        <w:tcW w:w="4828" w:type="dxa"/>
                        <w:gridSpan w:val="5"/>
                      </w:tcPr>
                      <w:p>
                        <w:pPr>
                          <w:pStyle w:val="TableParagraph"/>
                          <w:spacing w:before="1"/>
                          <w:ind w:left="95"/>
                          <w:jc w:val="left"/>
                          <w:rPr>
                            <w:sz w:val="21"/>
                          </w:rPr>
                        </w:pPr>
                        <w:r>
                          <w:rPr>
                            <w:sz w:val="21"/>
                          </w:rPr>
                          <w:t>重点管控单元（产业集聚）</w:t>
                        </w:r>
                        <w:r>
                          <w:rPr>
                            <w:rFonts w:ascii="Times New Roman" w:hAnsi="Times New Roman" w:eastAsia="Times New Roman"/>
                            <w:sz w:val="21"/>
                          </w:rPr>
                          <w:t>—</w:t>
                        </w:r>
                        <w:r>
                          <w:rPr>
                            <w:sz w:val="21"/>
                          </w:rPr>
                          <w:t>上虞区杭州湾经济开</w:t>
                        </w:r>
                      </w:p>
                      <w:p>
                        <w:pPr>
                          <w:pStyle w:val="TableParagraph"/>
                          <w:spacing w:line="242" w:lineRule="exact" w:before="2"/>
                          <w:ind w:left="52"/>
                          <w:jc w:val="left"/>
                          <w:rPr>
                            <w:rFonts w:ascii="Times New Roman" w:eastAsia="Times New Roman"/>
                            <w:sz w:val="21"/>
                          </w:rPr>
                        </w:pPr>
                        <w:r>
                          <w:rPr>
                            <w:spacing w:val="-11"/>
                            <w:w w:val="100"/>
                            <w:sz w:val="21"/>
                          </w:rPr>
                          <w:t>发区产业集聚重点管控单元</w:t>
                        </w:r>
                        <w:r>
                          <w:rPr>
                            <w:spacing w:val="-3"/>
                            <w:w w:val="100"/>
                            <w:sz w:val="21"/>
                          </w:rPr>
                          <w:t>（</w:t>
                        </w:r>
                        <w:r>
                          <w:rPr>
                            <w:spacing w:val="-34"/>
                            <w:w w:val="100"/>
                            <w:sz w:val="21"/>
                          </w:rPr>
                          <w:t>编号：</w:t>
                        </w:r>
                        <w:r>
                          <w:rPr>
                            <w:rFonts w:ascii="Times New Roman" w:eastAsia="Times New Roman"/>
                            <w:spacing w:val="-2"/>
                            <w:w w:val="100"/>
                            <w:sz w:val="21"/>
                          </w:rPr>
                          <w:t>Z</w:t>
                        </w:r>
                        <w:r>
                          <w:rPr>
                            <w:rFonts w:ascii="Times New Roman" w:eastAsia="Times New Roman"/>
                            <w:w w:val="100"/>
                            <w:sz w:val="21"/>
                          </w:rPr>
                          <w:t>H</w:t>
                        </w:r>
                        <w:r>
                          <w:rPr>
                            <w:rFonts w:ascii="Times New Roman" w:eastAsia="Times New Roman"/>
                            <w:w w:val="100"/>
                            <w:sz w:val="21"/>
                          </w:rPr>
                          <w:t>33</w:t>
                        </w:r>
                        <w:r>
                          <w:rPr>
                            <w:rFonts w:ascii="Times New Roman" w:eastAsia="Times New Roman"/>
                            <w:spacing w:val="-3"/>
                            <w:w w:val="100"/>
                            <w:sz w:val="21"/>
                          </w:rPr>
                          <w:t>0</w:t>
                        </w:r>
                        <w:r>
                          <w:rPr>
                            <w:rFonts w:ascii="Times New Roman" w:eastAsia="Times New Roman"/>
                            <w:w w:val="100"/>
                            <w:sz w:val="21"/>
                          </w:rPr>
                          <w:t>604</w:t>
                        </w:r>
                        <w:r>
                          <w:rPr>
                            <w:rFonts w:ascii="Times New Roman" w:eastAsia="Times New Roman"/>
                            <w:spacing w:val="-3"/>
                            <w:w w:val="100"/>
                            <w:sz w:val="21"/>
                          </w:rPr>
                          <w:t>2</w:t>
                        </w:r>
                        <w:r>
                          <w:rPr>
                            <w:rFonts w:ascii="Times New Roman" w:eastAsia="Times New Roman"/>
                            <w:w w:val="100"/>
                            <w:sz w:val="21"/>
                          </w:rPr>
                          <w:t>0002</w:t>
                        </w:r>
                      </w:p>
                    </w:tc>
                  </w:tr>
                  <w:tr>
                    <w:trPr>
                      <w:trHeight w:val="272" w:hRule="atLeast"/>
                    </w:trPr>
                    <w:tc>
                      <w:tcPr>
                        <w:tcW w:w="629" w:type="dxa"/>
                        <w:vMerge/>
                        <w:tcBorders>
                          <w:top w:val="nil"/>
                          <w:bottom w:val="double" w:sz="1" w:space="0" w:color="000000"/>
                        </w:tcBorders>
                      </w:tcPr>
                      <w:p>
                        <w:pPr>
                          <w:rPr>
                            <w:sz w:val="2"/>
                            <w:szCs w:val="2"/>
                          </w:rPr>
                        </w:pPr>
                      </w:p>
                    </w:tc>
                    <w:tc>
                      <w:tcPr>
                        <w:tcW w:w="3735" w:type="dxa"/>
                        <w:gridSpan w:val="9"/>
                        <w:tcBorders>
                          <w:bottom w:val="double" w:sz="1" w:space="0" w:color="000000"/>
                        </w:tcBorders>
                      </w:tcPr>
                      <w:p>
                        <w:pPr>
                          <w:pStyle w:val="TableParagraph"/>
                          <w:spacing w:line="252" w:lineRule="exact"/>
                          <w:ind w:left="287"/>
                          <w:jc w:val="left"/>
                          <w:rPr>
                            <w:sz w:val="21"/>
                          </w:rPr>
                        </w:pPr>
                        <w:r>
                          <w:rPr>
                            <w:sz w:val="21"/>
                          </w:rPr>
                          <w:t>排放重点污染物及特征污染物种类</w:t>
                        </w:r>
                      </w:p>
                    </w:tc>
                    <w:tc>
                      <w:tcPr>
                        <w:tcW w:w="4828" w:type="dxa"/>
                        <w:gridSpan w:val="5"/>
                        <w:tcBorders>
                          <w:bottom w:val="double" w:sz="1" w:space="0" w:color="000000"/>
                        </w:tcBorders>
                      </w:tcPr>
                      <w:p>
                        <w:pPr>
                          <w:pStyle w:val="TableParagraph"/>
                          <w:spacing w:line="252" w:lineRule="exact"/>
                          <w:ind w:left="803"/>
                          <w:jc w:val="left"/>
                          <w:rPr>
                            <w:rFonts w:ascii="Times New Roman" w:eastAsia="Times New Roman"/>
                            <w:sz w:val="21"/>
                          </w:rPr>
                        </w:pPr>
                        <w:r>
                          <w:rPr>
                            <w:rFonts w:ascii="Times New Roman" w:eastAsia="Times New Roman"/>
                            <w:position w:val="2"/>
                            <w:sz w:val="21"/>
                          </w:rPr>
                          <w:t>COD</w:t>
                        </w:r>
                        <w:r>
                          <w:rPr>
                            <w:rFonts w:ascii="Times New Roman" w:eastAsia="Times New Roman"/>
                            <w:sz w:val="14"/>
                          </w:rPr>
                          <w:t>Cr</w:t>
                        </w:r>
                        <w:r>
                          <w:rPr>
                            <w:position w:val="2"/>
                            <w:sz w:val="21"/>
                          </w:rPr>
                          <w:t>、氨氮、工业烟粉尘、</w:t>
                        </w:r>
                        <w:r>
                          <w:rPr>
                            <w:rFonts w:ascii="Times New Roman" w:eastAsia="Times New Roman"/>
                            <w:position w:val="2"/>
                            <w:sz w:val="21"/>
                          </w:rPr>
                          <w:t>VOCs</w:t>
                        </w:r>
                      </w:p>
                    </w:tc>
                  </w:tr>
                  <w:tr>
                    <w:trPr>
                      <w:trHeight w:val="1081" w:hRule="atLeast"/>
                    </w:trPr>
                    <w:tc>
                      <w:tcPr>
                        <w:tcW w:w="629" w:type="dxa"/>
                        <w:vMerge w:val="restart"/>
                        <w:tcBorders>
                          <w:top w:val="double" w:sz="1" w:space="0" w:color="000000"/>
                          <w:bottom w:val="double" w:sz="1" w:space="0" w:color="000000"/>
                        </w:tcBorders>
                      </w:tcPr>
                      <w:p>
                        <w:pPr>
                          <w:pStyle w:val="TableParagraph"/>
                          <w:jc w:val="left"/>
                          <w:rPr>
                            <w:sz w:val="20"/>
                          </w:rPr>
                        </w:pPr>
                      </w:p>
                      <w:p>
                        <w:pPr>
                          <w:pStyle w:val="TableParagraph"/>
                          <w:spacing w:before="8"/>
                          <w:jc w:val="left"/>
                          <w:rPr>
                            <w:sz w:val="14"/>
                          </w:rPr>
                        </w:pPr>
                      </w:p>
                      <w:p>
                        <w:pPr>
                          <w:pStyle w:val="TableParagraph"/>
                          <w:spacing w:line="242" w:lineRule="auto" w:before="1"/>
                          <w:ind w:left="103" w:right="91"/>
                          <w:jc w:val="both"/>
                          <w:rPr>
                            <w:b/>
                            <w:sz w:val="21"/>
                          </w:rPr>
                        </w:pPr>
                        <w:r>
                          <w:rPr>
                            <w:b/>
                            <w:sz w:val="21"/>
                          </w:rPr>
                          <w:t>项目建设内容概况</w:t>
                        </w:r>
                      </w:p>
                    </w:tc>
                    <w:tc>
                      <w:tcPr>
                        <w:tcW w:w="1123" w:type="dxa"/>
                        <w:gridSpan w:val="3"/>
                        <w:tcBorders>
                          <w:top w:val="double" w:sz="1" w:space="0" w:color="000000"/>
                        </w:tcBorders>
                      </w:tcPr>
                      <w:p>
                        <w:pPr>
                          <w:pStyle w:val="TableParagraph"/>
                          <w:spacing w:before="5"/>
                          <w:jc w:val="left"/>
                          <w:rPr>
                            <w:sz w:val="21"/>
                          </w:rPr>
                        </w:pPr>
                      </w:p>
                      <w:p>
                        <w:pPr>
                          <w:pStyle w:val="TableParagraph"/>
                          <w:spacing w:line="244" w:lineRule="auto"/>
                          <w:ind w:left="54" w:right="4" w:firstLine="84"/>
                          <w:jc w:val="left"/>
                          <w:rPr>
                            <w:sz w:val="21"/>
                          </w:rPr>
                        </w:pPr>
                        <w:r>
                          <w:rPr>
                            <w:sz w:val="21"/>
                          </w:rPr>
                          <w:t>工程建设内容概况：</w:t>
                        </w:r>
                      </w:p>
                    </w:tc>
                    <w:tc>
                      <w:tcPr>
                        <w:tcW w:w="7440" w:type="dxa"/>
                        <w:gridSpan w:val="11"/>
                        <w:tcBorders>
                          <w:top w:val="double" w:sz="1" w:space="0" w:color="000000"/>
                        </w:tcBorders>
                      </w:tcPr>
                      <w:p>
                        <w:pPr>
                          <w:pStyle w:val="TableParagraph"/>
                          <w:spacing w:before="3"/>
                          <w:ind w:left="57"/>
                          <w:jc w:val="left"/>
                          <w:rPr>
                            <w:sz w:val="21"/>
                          </w:rPr>
                        </w:pPr>
                        <w:r>
                          <w:rPr>
                            <w:sz w:val="21"/>
                          </w:rPr>
                          <w:t>项目新征用地 </w:t>
                        </w:r>
                        <w:r>
                          <w:rPr>
                            <w:rFonts w:ascii="Times New Roman" w:eastAsia="Times New Roman"/>
                            <w:sz w:val="21"/>
                          </w:rPr>
                          <w:t>20 </w:t>
                        </w:r>
                        <w:r>
                          <w:rPr>
                            <w:sz w:val="21"/>
                          </w:rPr>
                          <w:t>亩，新建办公楼、仓库、车间、危废仓库、污控楼、中控室、</w:t>
                        </w:r>
                      </w:p>
                      <w:p>
                        <w:pPr>
                          <w:pStyle w:val="TableParagraph"/>
                          <w:spacing w:before="2"/>
                          <w:ind w:left="57"/>
                          <w:jc w:val="left"/>
                          <w:rPr>
                            <w:sz w:val="21"/>
                          </w:rPr>
                        </w:pPr>
                        <w:r>
                          <w:rPr>
                            <w:spacing w:val="-7"/>
                            <w:sz w:val="21"/>
                          </w:rPr>
                          <w:t>消防水池、事故应急池等建构筑物，总建筑面积 </w:t>
                        </w:r>
                        <w:r>
                          <w:rPr>
                            <w:rFonts w:ascii="Times New Roman" w:eastAsia="Times New Roman"/>
                            <w:sz w:val="21"/>
                          </w:rPr>
                          <w:t>16580 </w:t>
                        </w:r>
                        <w:r>
                          <w:rPr>
                            <w:spacing w:val="-5"/>
                            <w:sz w:val="21"/>
                          </w:rPr>
                          <w:t>平方米，购置反应釜等设</w:t>
                        </w:r>
                      </w:p>
                      <w:p>
                        <w:pPr>
                          <w:pStyle w:val="TableParagraph"/>
                          <w:spacing w:line="270" w:lineRule="atLeast" w:before="3"/>
                          <w:ind w:left="57" w:right="58"/>
                          <w:jc w:val="left"/>
                          <w:rPr>
                            <w:sz w:val="21"/>
                          </w:rPr>
                        </w:pPr>
                        <w:r>
                          <w:rPr>
                            <w:sz w:val="21"/>
                          </w:rPr>
                          <w:t>备，形成年产 </w:t>
                        </w:r>
                        <w:r>
                          <w:rPr>
                            <w:rFonts w:ascii="Times New Roman" w:eastAsia="Times New Roman"/>
                            <w:sz w:val="21"/>
                          </w:rPr>
                          <w:t>500 </w:t>
                        </w:r>
                        <w:r>
                          <w:rPr>
                            <w:sz w:val="21"/>
                          </w:rPr>
                          <w:t>吨农药（</w:t>
                        </w:r>
                        <w:r>
                          <w:rPr>
                            <w:rFonts w:ascii="Times New Roman" w:eastAsia="Times New Roman"/>
                            <w:sz w:val="21"/>
                          </w:rPr>
                          <w:t>300 </w:t>
                        </w:r>
                        <w:r>
                          <w:rPr>
                            <w:sz w:val="21"/>
                          </w:rPr>
                          <w:t>吨三环唑、</w:t>
                        </w:r>
                        <w:r>
                          <w:rPr>
                            <w:rFonts w:ascii="Times New Roman" w:eastAsia="Times New Roman"/>
                            <w:sz w:val="21"/>
                          </w:rPr>
                          <w:t>200 </w:t>
                        </w:r>
                        <w:r>
                          <w:rPr>
                            <w:sz w:val="21"/>
                          </w:rPr>
                          <w:t>吨三环唑可湿性粉剂）的生产能力。</w:t>
                        </w:r>
                      </w:p>
                    </w:tc>
                  </w:tr>
                  <w:tr>
                    <w:trPr>
                      <w:trHeight w:val="257" w:hRule="atLeast"/>
                    </w:trPr>
                    <w:tc>
                      <w:tcPr>
                        <w:tcW w:w="629" w:type="dxa"/>
                        <w:vMerge/>
                        <w:tcBorders>
                          <w:top w:val="nil"/>
                          <w:bottom w:val="double" w:sz="1" w:space="0" w:color="000000"/>
                        </w:tcBorders>
                      </w:tcPr>
                      <w:p>
                        <w:pPr>
                          <w:rPr>
                            <w:sz w:val="2"/>
                            <w:szCs w:val="2"/>
                          </w:rPr>
                        </w:pPr>
                      </w:p>
                    </w:tc>
                    <w:tc>
                      <w:tcPr>
                        <w:tcW w:w="631" w:type="dxa"/>
                        <w:vMerge w:val="restart"/>
                        <w:tcBorders>
                          <w:bottom w:val="double" w:sz="1" w:space="0" w:color="000000"/>
                        </w:tcBorders>
                      </w:tcPr>
                      <w:p>
                        <w:pPr>
                          <w:pStyle w:val="TableParagraph"/>
                          <w:spacing w:line="244" w:lineRule="auto" w:before="149"/>
                          <w:ind w:left="102" w:right="93"/>
                          <w:jc w:val="left"/>
                          <w:rPr>
                            <w:sz w:val="21"/>
                          </w:rPr>
                        </w:pPr>
                        <w:r>
                          <w:rPr>
                            <w:sz w:val="21"/>
                          </w:rPr>
                          <w:t>产品方案</w:t>
                        </w:r>
                      </w:p>
                    </w:tc>
                    <w:tc>
                      <w:tcPr>
                        <w:tcW w:w="2417" w:type="dxa"/>
                        <w:gridSpan w:val="6"/>
                      </w:tcPr>
                      <w:p>
                        <w:pPr>
                          <w:pStyle w:val="TableParagraph"/>
                          <w:spacing w:line="238" w:lineRule="exact"/>
                          <w:ind w:left="784"/>
                          <w:jc w:val="left"/>
                          <w:rPr>
                            <w:sz w:val="21"/>
                          </w:rPr>
                        </w:pPr>
                        <w:r>
                          <w:rPr>
                            <w:sz w:val="21"/>
                          </w:rPr>
                          <w:t>产品名称</w:t>
                        </w:r>
                      </w:p>
                    </w:tc>
                    <w:tc>
                      <w:tcPr>
                        <w:tcW w:w="2808" w:type="dxa"/>
                        <w:gridSpan w:val="5"/>
                      </w:tcPr>
                      <w:p>
                        <w:pPr>
                          <w:pStyle w:val="TableParagraph"/>
                          <w:spacing w:line="238" w:lineRule="exact"/>
                          <w:ind w:left="957" w:right="952"/>
                          <w:rPr>
                            <w:sz w:val="21"/>
                          </w:rPr>
                        </w:pPr>
                        <w:r>
                          <w:rPr>
                            <w:sz w:val="21"/>
                          </w:rPr>
                          <w:t>产量</w:t>
                        </w:r>
                      </w:p>
                    </w:tc>
                    <w:tc>
                      <w:tcPr>
                        <w:tcW w:w="2707" w:type="dxa"/>
                        <w:gridSpan w:val="2"/>
                      </w:tcPr>
                      <w:p>
                        <w:pPr>
                          <w:pStyle w:val="TableParagraph"/>
                          <w:spacing w:line="238" w:lineRule="exact"/>
                          <w:ind w:left="88" w:right="87"/>
                          <w:rPr>
                            <w:sz w:val="21"/>
                          </w:rPr>
                        </w:pPr>
                        <w:r>
                          <w:rPr>
                            <w:sz w:val="21"/>
                          </w:rPr>
                          <w:t>备注</w:t>
                        </w:r>
                      </w:p>
                    </w:tc>
                  </w:tr>
                  <w:tr>
                    <w:trPr>
                      <w:trHeight w:val="265" w:hRule="atLeast"/>
                    </w:trPr>
                    <w:tc>
                      <w:tcPr>
                        <w:tcW w:w="629" w:type="dxa"/>
                        <w:vMerge/>
                        <w:tcBorders>
                          <w:top w:val="nil"/>
                          <w:bottom w:val="double" w:sz="1" w:space="0" w:color="000000"/>
                        </w:tcBorders>
                      </w:tcPr>
                      <w:p>
                        <w:pPr>
                          <w:rPr>
                            <w:sz w:val="2"/>
                            <w:szCs w:val="2"/>
                          </w:rPr>
                        </w:pPr>
                      </w:p>
                    </w:tc>
                    <w:tc>
                      <w:tcPr>
                        <w:tcW w:w="631" w:type="dxa"/>
                        <w:vMerge/>
                        <w:tcBorders>
                          <w:top w:val="nil"/>
                          <w:bottom w:val="double" w:sz="1" w:space="0" w:color="000000"/>
                        </w:tcBorders>
                      </w:tcPr>
                      <w:p>
                        <w:pPr>
                          <w:rPr>
                            <w:sz w:val="2"/>
                            <w:szCs w:val="2"/>
                          </w:rPr>
                        </w:pPr>
                      </w:p>
                    </w:tc>
                    <w:tc>
                      <w:tcPr>
                        <w:tcW w:w="2417" w:type="dxa"/>
                        <w:gridSpan w:val="6"/>
                      </w:tcPr>
                      <w:p>
                        <w:pPr>
                          <w:pStyle w:val="TableParagraph"/>
                          <w:spacing w:line="245" w:lineRule="exact"/>
                          <w:ind w:left="575"/>
                          <w:jc w:val="left"/>
                          <w:rPr>
                            <w:sz w:val="21"/>
                          </w:rPr>
                        </w:pPr>
                        <w:r>
                          <w:rPr>
                            <w:sz w:val="21"/>
                          </w:rPr>
                          <w:t>三环唑杀菌剂</w:t>
                        </w:r>
                      </w:p>
                    </w:tc>
                    <w:tc>
                      <w:tcPr>
                        <w:tcW w:w="2808" w:type="dxa"/>
                        <w:gridSpan w:val="5"/>
                      </w:tcPr>
                      <w:p>
                        <w:pPr>
                          <w:pStyle w:val="TableParagraph"/>
                          <w:spacing w:line="245" w:lineRule="exact"/>
                          <w:ind w:left="960" w:right="952"/>
                          <w:rPr>
                            <w:sz w:val="21"/>
                          </w:rPr>
                        </w:pPr>
                        <w:r>
                          <w:rPr>
                            <w:rFonts w:ascii="Times New Roman" w:eastAsia="Times New Roman"/>
                            <w:sz w:val="21"/>
                          </w:rPr>
                          <w:t>300 </w:t>
                        </w:r>
                        <w:r>
                          <w:rPr>
                            <w:sz w:val="21"/>
                          </w:rPr>
                          <w:t>吨</w:t>
                        </w:r>
                        <w:r>
                          <w:rPr>
                            <w:rFonts w:ascii="Times New Roman" w:eastAsia="Times New Roman"/>
                            <w:sz w:val="21"/>
                          </w:rPr>
                          <w:t>/</w:t>
                        </w:r>
                        <w:r>
                          <w:rPr>
                            <w:sz w:val="21"/>
                          </w:rPr>
                          <w:t>年</w:t>
                        </w:r>
                      </w:p>
                    </w:tc>
                    <w:tc>
                      <w:tcPr>
                        <w:tcW w:w="2707" w:type="dxa"/>
                        <w:gridSpan w:val="2"/>
                        <w:vMerge w:val="restart"/>
                        <w:tcBorders>
                          <w:bottom w:val="double" w:sz="1" w:space="0" w:color="000000"/>
                        </w:tcBorders>
                      </w:tcPr>
                      <w:p>
                        <w:pPr>
                          <w:pStyle w:val="TableParagraph"/>
                          <w:spacing w:before="24"/>
                          <w:ind w:left="89" w:right="87"/>
                          <w:rPr>
                            <w:sz w:val="21"/>
                          </w:rPr>
                        </w:pPr>
                        <w:r>
                          <w:rPr>
                            <w:sz w:val="21"/>
                          </w:rPr>
                          <w:t>具体产品方案详见 </w:t>
                        </w:r>
                        <w:r>
                          <w:rPr>
                            <w:rFonts w:ascii="Times New Roman" w:eastAsia="Times New Roman"/>
                            <w:sz w:val="21"/>
                          </w:rPr>
                          <w:t>Pg75 </w:t>
                        </w:r>
                        <w:r>
                          <w:rPr>
                            <w:sz w:val="21"/>
                          </w:rPr>
                          <w:t>表</w:t>
                        </w:r>
                      </w:p>
                      <w:p>
                        <w:pPr>
                          <w:pStyle w:val="TableParagraph"/>
                          <w:spacing w:before="2"/>
                          <w:ind w:left="87" w:right="87"/>
                          <w:rPr>
                            <w:rFonts w:ascii="Times New Roman"/>
                            <w:sz w:val="21"/>
                          </w:rPr>
                        </w:pPr>
                        <w:r>
                          <w:rPr>
                            <w:rFonts w:ascii="Times New Roman"/>
                            <w:sz w:val="21"/>
                          </w:rPr>
                          <w:t>4.1.2-1</w:t>
                        </w:r>
                      </w:p>
                    </w:tc>
                  </w:tr>
                  <w:tr>
                    <w:trPr>
                      <w:trHeight w:val="272" w:hRule="atLeast"/>
                    </w:trPr>
                    <w:tc>
                      <w:tcPr>
                        <w:tcW w:w="629" w:type="dxa"/>
                        <w:vMerge/>
                        <w:tcBorders>
                          <w:top w:val="nil"/>
                          <w:bottom w:val="double" w:sz="1" w:space="0" w:color="000000"/>
                        </w:tcBorders>
                      </w:tcPr>
                      <w:p>
                        <w:pPr>
                          <w:rPr>
                            <w:sz w:val="2"/>
                            <w:szCs w:val="2"/>
                          </w:rPr>
                        </w:pPr>
                      </w:p>
                    </w:tc>
                    <w:tc>
                      <w:tcPr>
                        <w:tcW w:w="631" w:type="dxa"/>
                        <w:vMerge/>
                        <w:tcBorders>
                          <w:top w:val="nil"/>
                          <w:bottom w:val="double" w:sz="1" w:space="0" w:color="000000"/>
                        </w:tcBorders>
                      </w:tcPr>
                      <w:p>
                        <w:pPr>
                          <w:rPr>
                            <w:sz w:val="2"/>
                            <w:szCs w:val="2"/>
                          </w:rPr>
                        </w:pPr>
                      </w:p>
                    </w:tc>
                    <w:tc>
                      <w:tcPr>
                        <w:tcW w:w="2417" w:type="dxa"/>
                        <w:gridSpan w:val="6"/>
                        <w:tcBorders>
                          <w:bottom w:val="double" w:sz="1" w:space="0" w:color="000000"/>
                        </w:tcBorders>
                      </w:tcPr>
                      <w:p>
                        <w:pPr>
                          <w:pStyle w:val="TableParagraph"/>
                          <w:spacing w:line="252" w:lineRule="exact"/>
                          <w:ind w:left="364"/>
                          <w:jc w:val="left"/>
                          <w:rPr>
                            <w:sz w:val="21"/>
                          </w:rPr>
                        </w:pPr>
                        <w:r>
                          <w:rPr>
                            <w:sz w:val="21"/>
                          </w:rPr>
                          <w:t>三环唑可湿性粉剂</w:t>
                        </w:r>
                      </w:p>
                    </w:tc>
                    <w:tc>
                      <w:tcPr>
                        <w:tcW w:w="2808" w:type="dxa"/>
                        <w:gridSpan w:val="5"/>
                        <w:tcBorders>
                          <w:bottom w:val="double" w:sz="1" w:space="0" w:color="000000"/>
                        </w:tcBorders>
                      </w:tcPr>
                      <w:p>
                        <w:pPr>
                          <w:pStyle w:val="TableParagraph"/>
                          <w:spacing w:line="252" w:lineRule="exact"/>
                          <w:ind w:left="960" w:right="952"/>
                          <w:rPr>
                            <w:sz w:val="21"/>
                          </w:rPr>
                        </w:pPr>
                        <w:r>
                          <w:rPr>
                            <w:rFonts w:ascii="Times New Roman" w:eastAsia="Times New Roman"/>
                            <w:sz w:val="21"/>
                          </w:rPr>
                          <w:t>200 </w:t>
                        </w:r>
                        <w:r>
                          <w:rPr>
                            <w:sz w:val="21"/>
                          </w:rPr>
                          <w:t>吨</w:t>
                        </w:r>
                        <w:r>
                          <w:rPr>
                            <w:rFonts w:ascii="Times New Roman" w:eastAsia="Times New Roman"/>
                            <w:sz w:val="21"/>
                          </w:rPr>
                          <w:t>/</w:t>
                        </w:r>
                        <w:r>
                          <w:rPr>
                            <w:sz w:val="21"/>
                          </w:rPr>
                          <w:t>年</w:t>
                        </w:r>
                      </w:p>
                    </w:tc>
                    <w:tc>
                      <w:tcPr>
                        <w:tcW w:w="2707" w:type="dxa"/>
                        <w:gridSpan w:val="2"/>
                        <w:vMerge/>
                        <w:tcBorders>
                          <w:top w:val="nil"/>
                          <w:bottom w:val="double" w:sz="1" w:space="0" w:color="000000"/>
                        </w:tcBorders>
                      </w:tcPr>
                      <w:p>
                        <w:pPr>
                          <w:rPr>
                            <w:sz w:val="2"/>
                            <w:szCs w:val="2"/>
                          </w:rPr>
                        </w:pPr>
                      </w:p>
                    </w:tc>
                  </w:tr>
                  <w:tr>
                    <w:trPr>
                      <w:trHeight w:val="279" w:hRule="atLeast"/>
                    </w:trPr>
                    <w:tc>
                      <w:tcPr>
                        <w:tcW w:w="629" w:type="dxa"/>
                        <w:vMerge w:val="restart"/>
                        <w:tcBorders>
                          <w:top w:val="double" w:sz="1" w:space="0" w:color="000000"/>
                          <w:bottom w:val="double" w:sz="1" w:space="0" w:color="000000"/>
                        </w:tcBorders>
                      </w:tcPr>
                      <w:p>
                        <w:pPr>
                          <w:pStyle w:val="TableParagraph"/>
                          <w:jc w:val="left"/>
                          <w:rPr>
                            <w:sz w:val="20"/>
                          </w:rPr>
                        </w:pPr>
                      </w:p>
                      <w:p>
                        <w:pPr>
                          <w:pStyle w:val="TableParagraph"/>
                          <w:jc w:val="left"/>
                          <w:rPr>
                            <w:sz w:val="20"/>
                          </w:rPr>
                        </w:pPr>
                      </w:p>
                      <w:p>
                        <w:pPr>
                          <w:pStyle w:val="TableParagraph"/>
                          <w:jc w:val="left"/>
                          <w:rPr>
                            <w:sz w:val="22"/>
                          </w:rPr>
                        </w:pPr>
                      </w:p>
                      <w:p>
                        <w:pPr>
                          <w:pStyle w:val="TableParagraph"/>
                          <w:spacing w:line="242" w:lineRule="auto"/>
                          <w:ind w:left="103" w:right="91"/>
                          <w:jc w:val="both"/>
                          <w:rPr>
                            <w:b/>
                            <w:sz w:val="21"/>
                          </w:rPr>
                        </w:pPr>
                        <w:r>
                          <w:rPr>
                            <w:b/>
                            <w:sz w:val="21"/>
                          </w:rPr>
                          <w:t>主要原辅材料情况</w:t>
                        </w:r>
                      </w:p>
                    </w:tc>
                    <w:tc>
                      <w:tcPr>
                        <w:tcW w:w="631" w:type="dxa"/>
                        <w:tcBorders>
                          <w:top w:val="double" w:sz="1" w:space="0" w:color="000000"/>
                        </w:tcBorders>
                      </w:tcPr>
                      <w:p>
                        <w:pPr>
                          <w:pStyle w:val="TableParagraph"/>
                          <w:spacing w:line="252" w:lineRule="exact" w:before="8"/>
                          <w:ind w:left="48" w:right="42"/>
                          <w:rPr>
                            <w:sz w:val="21"/>
                          </w:rPr>
                        </w:pPr>
                        <w:r>
                          <w:rPr>
                            <w:sz w:val="21"/>
                          </w:rPr>
                          <w:t>序号</w:t>
                        </w:r>
                      </w:p>
                    </w:tc>
                    <w:tc>
                      <w:tcPr>
                        <w:tcW w:w="1643" w:type="dxa"/>
                        <w:gridSpan w:val="4"/>
                        <w:tcBorders>
                          <w:top w:val="double" w:sz="1" w:space="0" w:color="000000"/>
                          <w:bottom w:val="single" w:sz="8" w:space="0" w:color="000000"/>
                        </w:tcBorders>
                      </w:tcPr>
                      <w:p>
                        <w:pPr>
                          <w:pStyle w:val="TableParagraph"/>
                          <w:spacing w:line="252" w:lineRule="exact" w:before="8"/>
                          <w:ind w:left="398"/>
                          <w:jc w:val="left"/>
                          <w:rPr>
                            <w:sz w:val="21"/>
                          </w:rPr>
                        </w:pPr>
                        <w:r>
                          <w:rPr>
                            <w:sz w:val="21"/>
                          </w:rPr>
                          <w:t>原料名称</w:t>
                        </w:r>
                      </w:p>
                    </w:tc>
                    <w:tc>
                      <w:tcPr>
                        <w:tcW w:w="774" w:type="dxa"/>
                        <w:gridSpan w:val="2"/>
                        <w:tcBorders>
                          <w:top w:val="double" w:sz="1" w:space="0" w:color="000000"/>
                        </w:tcBorders>
                      </w:tcPr>
                      <w:p>
                        <w:pPr>
                          <w:pStyle w:val="TableParagraph"/>
                          <w:spacing w:line="252" w:lineRule="exact" w:before="8"/>
                          <w:ind w:left="176"/>
                          <w:jc w:val="left"/>
                          <w:rPr>
                            <w:sz w:val="21"/>
                          </w:rPr>
                        </w:pPr>
                        <w:r>
                          <w:rPr>
                            <w:sz w:val="21"/>
                          </w:rPr>
                          <w:t>单位</w:t>
                        </w:r>
                      </w:p>
                    </w:tc>
                    <w:tc>
                      <w:tcPr>
                        <w:tcW w:w="2808" w:type="dxa"/>
                        <w:gridSpan w:val="5"/>
                        <w:tcBorders>
                          <w:top w:val="double" w:sz="1" w:space="0" w:color="000000"/>
                          <w:bottom w:val="single" w:sz="8" w:space="0" w:color="000000"/>
                        </w:tcBorders>
                      </w:tcPr>
                      <w:p>
                        <w:pPr>
                          <w:pStyle w:val="TableParagraph"/>
                          <w:spacing w:line="252" w:lineRule="exact" w:before="8"/>
                          <w:ind w:left="957" w:right="952"/>
                          <w:rPr>
                            <w:sz w:val="21"/>
                          </w:rPr>
                        </w:pPr>
                        <w:r>
                          <w:rPr>
                            <w:sz w:val="21"/>
                          </w:rPr>
                          <w:t>消耗量</w:t>
                        </w:r>
                      </w:p>
                    </w:tc>
                    <w:tc>
                      <w:tcPr>
                        <w:tcW w:w="2707" w:type="dxa"/>
                        <w:gridSpan w:val="2"/>
                        <w:tcBorders>
                          <w:top w:val="double" w:sz="1" w:space="0" w:color="000000"/>
                        </w:tcBorders>
                      </w:tcPr>
                      <w:p>
                        <w:pPr>
                          <w:pStyle w:val="TableParagraph"/>
                          <w:spacing w:line="252" w:lineRule="exact" w:before="8"/>
                          <w:ind w:left="88" w:right="87"/>
                          <w:rPr>
                            <w:sz w:val="21"/>
                          </w:rPr>
                        </w:pPr>
                        <w:r>
                          <w:rPr>
                            <w:sz w:val="21"/>
                          </w:rPr>
                          <w:t>备注</w:t>
                        </w:r>
                      </w:p>
                    </w:tc>
                  </w:tr>
                  <w:tr>
                    <w:trPr>
                      <w:trHeight w:val="534" w:hRule="atLeast"/>
                    </w:trPr>
                    <w:tc>
                      <w:tcPr>
                        <w:tcW w:w="629" w:type="dxa"/>
                        <w:vMerge/>
                        <w:tcBorders>
                          <w:top w:val="nil"/>
                          <w:bottom w:val="double" w:sz="1" w:space="0" w:color="000000"/>
                        </w:tcBorders>
                      </w:tcPr>
                      <w:p>
                        <w:pPr>
                          <w:rPr>
                            <w:sz w:val="2"/>
                            <w:szCs w:val="2"/>
                          </w:rPr>
                        </w:pPr>
                      </w:p>
                    </w:tc>
                    <w:tc>
                      <w:tcPr>
                        <w:tcW w:w="631" w:type="dxa"/>
                        <w:tcBorders>
                          <w:right w:val="single" w:sz="8" w:space="0" w:color="000000"/>
                        </w:tcBorders>
                      </w:tcPr>
                      <w:p>
                        <w:pPr>
                          <w:pStyle w:val="TableParagraph"/>
                          <w:spacing w:before="146"/>
                          <w:ind w:left="11"/>
                          <w:rPr>
                            <w:rFonts w:ascii="Times New Roman"/>
                            <w:sz w:val="21"/>
                          </w:rPr>
                        </w:pPr>
                        <w:r>
                          <w:rPr>
                            <w:rFonts w:ascii="Times New Roman"/>
                            <w:w w:val="100"/>
                            <w:sz w:val="21"/>
                          </w:rPr>
                          <w:t>1</w:t>
                        </w:r>
                      </w:p>
                    </w:tc>
                    <w:tc>
                      <w:tcPr>
                        <w:tcW w:w="1643" w:type="dxa"/>
                        <w:gridSpan w:val="4"/>
                        <w:tcBorders>
                          <w:top w:val="single" w:sz="8" w:space="0" w:color="000000"/>
                          <w:left w:val="single" w:sz="8" w:space="0" w:color="000000"/>
                          <w:bottom w:val="single" w:sz="8" w:space="0" w:color="000000"/>
                          <w:right w:val="single" w:sz="8" w:space="0" w:color="000000"/>
                        </w:tcBorders>
                      </w:tcPr>
                      <w:p>
                        <w:pPr>
                          <w:pStyle w:val="TableParagraph"/>
                          <w:spacing w:line="267" w:lineRule="exact"/>
                          <w:ind w:left="59" w:right="54"/>
                          <w:rPr>
                            <w:sz w:val="21"/>
                          </w:rPr>
                        </w:pPr>
                        <w:r>
                          <w:rPr>
                            <w:rFonts w:ascii="Times New Roman" w:eastAsia="Times New Roman"/>
                            <w:sz w:val="21"/>
                          </w:rPr>
                          <w:t>4-</w:t>
                        </w:r>
                        <w:r>
                          <w:rPr>
                            <w:sz w:val="21"/>
                          </w:rPr>
                          <w:t>甲基</w:t>
                        </w:r>
                        <w:r>
                          <w:rPr>
                            <w:rFonts w:ascii="Times New Roman" w:eastAsia="Times New Roman"/>
                            <w:sz w:val="21"/>
                          </w:rPr>
                          <w:t>-2-</w:t>
                        </w:r>
                        <w:r>
                          <w:rPr>
                            <w:sz w:val="21"/>
                          </w:rPr>
                          <w:t>肼基苯</w:t>
                        </w:r>
                      </w:p>
                      <w:p>
                        <w:pPr>
                          <w:pStyle w:val="TableParagraph"/>
                          <w:spacing w:line="245" w:lineRule="exact" w:before="2"/>
                          <w:ind w:left="59" w:right="51"/>
                          <w:rPr>
                            <w:sz w:val="21"/>
                          </w:rPr>
                        </w:pPr>
                        <w:r>
                          <w:rPr>
                            <w:sz w:val="21"/>
                          </w:rPr>
                          <w:t>并噻唑</w:t>
                        </w:r>
                      </w:p>
                    </w:tc>
                    <w:tc>
                      <w:tcPr>
                        <w:tcW w:w="774" w:type="dxa"/>
                        <w:gridSpan w:val="2"/>
                        <w:tcBorders>
                          <w:left w:val="single" w:sz="8" w:space="0" w:color="000000"/>
                          <w:right w:val="single" w:sz="8" w:space="0" w:color="000000"/>
                        </w:tcBorders>
                      </w:tcPr>
                      <w:p>
                        <w:pPr>
                          <w:pStyle w:val="TableParagraph"/>
                          <w:spacing w:before="132"/>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single" w:sz="8" w:space="0" w:color="000000"/>
                          <w:right w:val="single" w:sz="8" w:space="0" w:color="000000"/>
                        </w:tcBorders>
                      </w:tcPr>
                      <w:p>
                        <w:pPr>
                          <w:pStyle w:val="TableParagraph"/>
                          <w:spacing w:before="146"/>
                          <w:ind w:left="1087" w:right="1082"/>
                          <w:rPr>
                            <w:rFonts w:ascii="Times New Roman"/>
                            <w:sz w:val="21"/>
                          </w:rPr>
                        </w:pPr>
                        <w:r>
                          <w:rPr>
                            <w:rFonts w:ascii="Times New Roman"/>
                            <w:sz w:val="21"/>
                          </w:rPr>
                          <w:t>312.75</w:t>
                        </w:r>
                      </w:p>
                    </w:tc>
                    <w:tc>
                      <w:tcPr>
                        <w:tcW w:w="2707" w:type="dxa"/>
                        <w:gridSpan w:val="2"/>
                        <w:tcBorders>
                          <w:left w:val="single" w:sz="8" w:space="0" w:color="000000"/>
                        </w:tcBorders>
                      </w:tcPr>
                      <w:p>
                        <w:pPr>
                          <w:pStyle w:val="TableParagraph"/>
                          <w:spacing w:before="146"/>
                          <w:ind w:right="5"/>
                          <w:rPr>
                            <w:rFonts w:ascii="Times New Roman"/>
                            <w:sz w:val="21"/>
                          </w:rPr>
                        </w:pPr>
                        <w:r>
                          <w:rPr>
                            <w:rFonts w:ascii="Times New Roman"/>
                            <w:w w:val="100"/>
                            <w:sz w:val="21"/>
                          </w:rPr>
                          <w:t>/</w:t>
                        </w:r>
                      </w:p>
                    </w:tc>
                  </w:tr>
                  <w:tr>
                    <w:trPr>
                      <w:trHeight w:val="274" w:hRule="atLeast"/>
                    </w:trPr>
                    <w:tc>
                      <w:tcPr>
                        <w:tcW w:w="629" w:type="dxa"/>
                        <w:vMerge/>
                        <w:tcBorders>
                          <w:top w:val="nil"/>
                          <w:bottom w:val="double" w:sz="1" w:space="0" w:color="000000"/>
                        </w:tcBorders>
                      </w:tcPr>
                      <w:p>
                        <w:pPr>
                          <w:rPr>
                            <w:sz w:val="2"/>
                            <w:szCs w:val="2"/>
                          </w:rPr>
                        </w:pPr>
                      </w:p>
                    </w:tc>
                    <w:tc>
                      <w:tcPr>
                        <w:tcW w:w="631" w:type="dxa"/>
                        <w:tcBorders>
                          <w:right w:val="single" w:sz="8" w:space="0" w:color="000000"/>
                        </w:tcBorders>
                      </w:tcPr>
                      <w:p>
                        <w:pPr>
                          <w:pStyle w:val="TableParagraph"/>
                          <w:spacing w:line="238" w:lineRule="exact" w:before="17"/>
                          <w:ind w:left="11"/>
                          <w:rPr>
                            <w:rFonts w:ascii="Times New Roman"/>
                            <w:sz w:val="21"/>
                          </w:rPr>
                        </w:pPr>
                        <w:r>
                          <w:rPr>
                            <w:rFonts w:ascii="Times New Roman"/>
                            <w:w w:val="100"/>
                            <w:sz w:val="21"/>
                          </w:rPr>
                          <w:t>2</w:t>
                        </w:r>
                      </w:p>
                    </w:tc>
                    <w:tc>
                      <w:tcPr>
                        <w:tcW w:w="1643" w:type="dxa"/>
                        <w:gridSpan w:val="4"/>
                        <w:tcBorders>
                          <w:top w:val="single" w:sz="8" w:space="0" w:color="000000"/>
                          <w:left w:val="single" w:sz="8" w:space="0" w:color="000000"/>
                          <w:bottom w:val="single" w:sz="8" w:space="0" w:color="000000"/>
                          <w:right w:val="single" w:sz="8" w:space="0" w:color="000000"/>
                        </w:tcBorders>
                      </w:tcPr>
                      <w:p>
                        <w:pPr>
                          <w:pStyle w:val="TableParagraph"/>
                          <w:spacing w:line="252" w:lineRule="exact" w:before="3"/>
                          <w:ind w:left="59" w:right="51"/>
                          <w:rPr>
                            <w:sz w:val="21"/>
                          </w:rPr>
                        </w:pPr>
                        <w:r>
                          <w:rPr>
                            <w:sz w:val="21"/>
                          </w:rPr>
                          <w:t>甲酸</w:t>
                        </w:r>
                      </w:p>
                    </w:tc>
                    <w:tc>
                      <w:tcPr>
                        <w:tcW w:w="774" w:type="dxa"/>
                        <w:gridSpan w:val="2"/>
                        <w:tcBorders>
                          <w:left w:val="single" w:sz="8" w:space="0" w:color="000000"/>
                          <w:right w:val="single" w:sz="8" w:space="0" w:color="000000"/>
                        </w:tcBorders>
                      </w:tcPr>
                      <w:p>
                        <w:pPr>
                          <w:pStyle w:val="TableParagraph"/>
                          <w:spacing w:line="252" w:lineRule="exact" w:before="3"/>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single" w:sz="8" w:space="0" w:color="000000"/>
                          <w:right w:val="single" w:sz="8" w:space="0" w:color="000000"/>
                        </w:tcBorders>
                      </w:tcPr>
                      <w:p>
                        <w:pPr>
                          <w:pStyle w:val="TableParagraph"/>
                          <w:spacing w:line="238" w:lineRule="exact" w:before="17"/>
                          <w:ind w:left="1087" w:right="1082"/>
                          <w:rPr>
                            <w:rFonts w:ascii="Times New Roman"/>
                            <w:sz w:val="21"/>
                          </w:rPr>
                        </w:pPr>
                        <w:r>
                          <w:rPr>
                            <w:rFonts w:ascii="Times New Roman"/>
                            <w:sz w:val="21"/>
                          </w:rPr>
                          <w:t>206.25</w:t>
                        </w:r>
                      </w:p>
                    </w:tc>
                    <w:tc>
                      <w:tcPr>
                        <w:tcW w:w="2707" w:type="dxa"/>
                        <w:gridSpan w:val="2"/>
                        <w:tcBorders>
                          <w:left w:val="single" w:sz="8" w:space="0" w:color="000000"/>
                        </w:tcBorders>
                      </w:tcPr>
                      <w:p>
                        <w:pPr>
                          <w:pStyle w:val="TableParagraph"/>
                          <w:spacing w:line="238" w:lineRule="exact" w:before="17"/>
                          <w:ind w:right="5"/>
                          <w:rPr>
                            <w:rFonts w:ascii="Times New Roman"/>
                            <w:sz w:val="21"/>
                          </w:rPr>
                        </w:pPr>
                        <w:r>
                          <w:rPr>
                            <w:rFonts w:ascii="Times New Roman"/>
                            <w:w w:val="100"/>
                            <w:sz w:val="21"/>
                          </w:rPr>
                          <w:t>/</w:t>
                        </w:r>
                      </w:p>
                    </w:tc>
                  </w:tr>
                  <w:tr>
                    <w:trPr>
                      <w:trHeight w:val="275" w:hRule="atLeast"/>
                    </w:trPr>
                    <w:tc>
                      <w:tcPr>
                        <w:tcW w:w="629" w:type="dxa"/>
                        <w:vMerge/>
                        <w:tcBorders>
                          <w:top w:val="nil"/>
                          <w:bottom w:val="double" w:sz="1" w:space="0" w:color="000000"/>
                        </w:tcBorders>
                      </w:tcPr>
                      <w:p>
                        <w:pPr>
                          <w:rPr>
                            <w:sz w:val="2"/>
                            <w:szCs w:val="2"/>
                          </w:rPr>
                        </w:pPr>
                      </w:p>
                    </w:tc>
                    <w:tc>
                      <w:tcPr>
                        <w:tcW w:w="631" w:type="dxa"/>
                        <w:tcBorders>
                          <w:right w:val="single" w:sz="8" w:space="0" w:color="000000"/>
                        </w:tcBorders>
                      </w:tcPr>
                      <w:p>
                        <w:pPr>
                          <w:pStyle w:val="TableParagraph"/>
                          <w:spacing w:line="238" w:lineRule="exact" w:before="17"/>
                          <w:ind w:left="11"/>
                          <w:rPr>
                            <w:rFonts w:ascii="Times New Roman"/>
                            <w:sz w:val="21"/>
                          </w:rPr>
                        </w:pPr>
                        <w:r>
                          <w:rPr>
                            <w:rFonts w:ascii="Times New Roman"/>
                            <w:w w:val="100"/>
                            <w:sz w:val="21"/>
                          </w:rPr>
                          <w:t>3</w:t>
                        </w:r>
                      </w:p>
                    </w:tc>
                    <w:tc>
                      <w:tcPr>
                        <w:tcW w:w="1643" w:type="dxa"/>
                        <w:gridSpan w:val="4"/>
                        <w:tcBorders>
                          <w:top w:val="single" w:sz="8" w:space="0" w:color="000000"/>
                          <w:left w:val="single" w:sz="8" w:space="0" w:color="000000"/>
                          <w:bottom w:val="single" w:sz="8" w:space="0" w:color="000000"/>
                          <w:right w:val="single" w:sz="8" w:space="0" w:color="000000"/>
                        </w:tcBorders>
                      </w:tcPr>
                      <w:p>
                        <w:pPr>
                          <w:pStyle w:val="TableParagraph"/>
                          <w:spacing w:line="252" w:lineRule="exact" w:before="3"/>
                          <w:ind w:left="498"/>
                          <w:jc w:val="left"/>
                          <w:rPr>
                            <w:sz w:val="21"/>
                          </w:rPr>
                        </w:pPr>
                        <w:r>
                          <w:rPr>
                            <w:sz w:val="21"/>
                          </w:rPr>
                          <w:t>净洗剂</w:t>
                        </w:r>
                      </w:p>
                    </w:tc>
                    <w:tc>
                      <w:tcPr>
                        <w:tcW w:w="774" w:type="dxa"/>
                        <w:gridSpan w:val="2"/>
                        <w:tcBorders>
                          <w:left w:val="single" w:sz="8" w:space="0" w:color="000000"/>
                          <w:right w:val="single" w:sz="8" w:space="0" w:color="000000"/>
                        </w:tcBorders>
                      </w:tcPr>
                      <w:p>
                        <w:pPr>
                          <w:pStyle w:val="TableParagraph"/>
                          <w:spacing w:line="252" w:lineRule="exact" w:before="3"/>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single" w:sz="8" w:space="0" w:color="000000"/>
                          <w:right w:val="single" w:sz="8" w:space="0" w:color="000000"/>
                        </w:tcBorders>
                      </w:tcPr>
                      <w:p>
                        <w:pPr>
                          <w:pStyle w:val="TableParagraph"/>
                          <w:spacing w:line="238" w:lineRule="exact" w:before="17"/>
                          <w:ind w:left="1087" w:right="1082"/>
                          <w:rPr>
                            <w:rFonts w:ascii="Times New Roman"/>
                            <w:sz w:val="21"/>
                          </w:rPr>
                        </w:pPr>
                        <w:r>
                          <w:rPr>
                            <w:rFonts w:ascii="Times New Roman"/>
                            <w:sz w:val="21"/>
                          </w:rPr>
                          <w:t>10</w:t>
                        </w:r>
                      </w:p>
                    </w:tc>
                    <w:tc>
                      <w:tcPr>
                        <w:tcW w:w="2707" w:type="dxa"/>
                        <w:gridSpan w:val="2"/>
                        <w:tcBorders>
                          <w:left w:val="single" w:sz="8" w:space="0" w:color="000000"/>
                        </w:tcBorders>
                      </w:tcPr>
                      <w:p>
                        <w:pPr>
                          <w:pStyle w:val="TableParagraph"/>
                          <w:spacing w:line="238" w:lineRule="exact" w:before="17"/>
                          <w:ind w:right="5"/>
                          <w:rPr>
                            <w:rFonts w:ascii="Times New Roman"/>
                            <w:sz w:val="21"/>
                          </w:rPr>
                        </w:pPr>
                        <w:r>
                          <w:rPr>
                            <w:rFonts w:ascii="Times New Roman"/>
                            <w:w w:val="100"/>
                            <w:sz w:val="21"/>
                          </w:rPr>
                          <w:t>/</w:t>
                        </w:r>
                      </w:p>
                    </w:tc>
                  </w:tr>
                  <w:tr>
                    <w:trPr>
                      <w:trHeight w:val="272" w:hRule="atLeast"/>
                    </w:trPr>
                    <w:tc>
                      <w:tcPr>
                        <w:tcW w:w="629" w:type="dxa"/>
                        <w:vMerge/>
                        <w:tcBorders>
                          <w:top w:val="nil"/>
                          <w:bottom w:val="double" w:sz="1" w:space="0" w:color="000000"/>
                        </w:tcBorders>
                      </w:tcPr>
                      <w:p>
                        <w:pPr>
                          <w:rPr>
                            <w:sz w:val="2"/>
                            <w:szCs w:val="2"/>
                          </w:rPr>
                        </w:pPr>
                      </w:p>
                    </w:tc>
                    <w:tc>
                      <w:tcPr>
                        <w:tcW w:w="631" w:type="dxa"/>
                        <w:tcBorders>
                          <w:right w:val="single" w:sz="8" w:space="0" w:color="000000"/>
                        </w:tcBorders>
                      </w:tcPr>
                      <w:p>
                        <w:pPr>
                          <w:pStyle w:val="TableParagraph"/>
                          <w:spacing w:line="235" w:lineRule="exact" w:before="17"/>
                          <w:ind w:left="11"/>
                          <w:rPr>
                            <w:rFonts w:ascii="Times New Roman"/>
                            <w:sz w:val="21"/>
                          </w:rPr>
                        </w:pPr>
                        <w:r>
                          <w:rPr>
                            <w:rFonts w:ascii="Times New Roman"/>
                            <w:w w:val="100"/>
                            <w:sz w:val="21"/>
                          </w:rPr>
                          <w:t>4</w:t>
                        </w:r>
                      </w:p>
                    </w:tc>
                    <w:tc>
                      <w:tcPr>
                        <w:tcW w:w="1643" w:type="dxa"/>
                        <w:gridSpan w:val="4"/>
                        <w:tcBorders>
                          <w:top w:val="single" w:sz="8" w:space="0" w:color="000000"/>
                          <w:left w:val="single" w:sz="8" w:space="0" w:color="000000"/>
                          <w:bottom w:val="single" w:sz="8" w:space="0" w:color="000000"/>
                          <w:right w:val="single" w:sz="8" w:space="0" w:color="000000"/>
                        </w:tcBorders>
                      </w:tcPr>
                      <w:p>
                        <w:pPr>
                          <w:pStyle w:val="TableParagraph"/>
                          <w:spacing w:line="249" w:lineRule="exact" w:before="3"/>
                          <w:ind w:left="498"/>
                          <w:jc w:val="left"/>
                          <w:rPr>
                            <w:sz w:val="21"/>
                          </w:rPr>
                        </w:pPr>
                        <w:r>
                          <w:rPr>
                            <w:sz w:val="21"/>
                          </w:rPr>
                          <w:t>拉开粉</w:t>
                        </w:r>
                      </w:p>
                    </w:tc>
                    <w:tc>
                      <w:tcPr>
                        <w:tcW w:w="774" w:type="dxa"/>
                        <w:gridSpan w:val="2"/>
                        <w:tcBorders>
                          <w:left w:val="single" w:sz="8" w:space="0" w:color="000000"/>
                          <w:right w:val="single" w:sz="8" w:space="0" w:color="000000"/>
                        </w:tcBorders>
                      </w:tcPr>
                      <w:p>
                        <w:pPr>
                          <w:pStyle w:val="TableParagraph"/>
                          <w:spacing w:line="249" w:lineRule="exact" w:before="3"/>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single" w:sz="8" w:space="0" w:color="000000"/>
                          <w:right w:val="single" w:sz="8" w:space="0" w:color="000000"/>
                        </w:tcBorders>
                      </w:tcPr>
                      <w:p>
                        <w:pPr>
                          <w:pStyle w:val="TableParagraph"/>
                          <w:spacing w:line="235" w:lineRule="exact" w:before="17"/>
                          <w:ind w:left="5"/>
                          <w:rPr>
                            <w:rFonts w:ascii="Times New Roman"/>
                            <w:sz w:val="21"/>
                          </w:rPr>
                        </w:pPr>
                        <w:r>
                          <w:rPr>
                            <w:rFonts w:ascii="Times New Roman"/>
                            <w:w w:val="100"/>
                            <w:sz w:val="21"/>
                          </w:rPr>
                          <w:t>2</w:t>
                        </w:r>
                      </w:p>
                    </w:tc>
                    <w:tc>
                      <w:tcPr>
                        <w:tcW w:w="2707" w:type="dxa"/>
                        <w:gridSpan w:val="2"/>
                        <w:tcBorders>
                          <w:left w:val="single" w:sz="8" w:space="0" w:color="000000"/>
                        </w:tcBorders>
                      </w:tcPr>
                      <w:p>
                        <w:pPr>
                          <w:pStyle w:val="TableParagraph"/>
                          <w:spacing w:line="235" w:lineRule="exact" w:before="17"/>
                          <w:ind w:right="5"/>
                          <w:rPr>
                            <w:rFonts w:ascii="Times New Roman"/>
                            <w:sz w:val="21"/>
                          </w:rPr>
                        </w:pPr>
                        <w:r>
                          <w:rPr>
                            <w:rFonts w:ascii="Times New Roman"/>
                            <w:w w:val="100"/>
                            <w:sz w:val="21"/>
                          </w:rPr>
                          <w:t>/</w:t>
                        </w:r>
                      </w:p>
                    </w:tc>
                  </w:tr>
                  <w:tr>
                    <w:trPr>
                      <w:trHeight w:val="274" w:hRule="atLeast"/>
                    </w:trPr>
                    <w:tc>
                      <w:tcPr>
                        <w:tcW w:w="629" w:type="dxa"/>
                        <w:vMerge/>
                        <w:tcBorders>
                          <w:top w:val="nil"/>
                          <w:bottom w:val="double" w:sz="1" w:space="0" w:color="000000"/>
                        </w:tcBorders>
                      </w:tcPr>
                      <w:p>
                        <w:pPr>
                          <w:rPr>
                            <w:sz w:val="2"/>
                            <w:szCs w:val="2"/>
                          </w:rPr>
                        </w:pPr>
                      </w:p>
                    </w:tc>
                    <w:tc>
                      <w:tcPr>
                        <w:tcW w:w="631" w:type="dxa"/>
                        <w:tcBorders>
                          <w:right w:val="single" w:sz="8" w:space="0" w:color="000000"/>
                        </w:tcBorders>
                      </w:tcPr>
                      <w:p>
                        <w:pPr>
                          <w:pStyle w:val="TableParagraph"/>
                          <w:spacing w:line="238" w:lineRule="exact" w:before="17"/>
                          <w:ind w:left="11"/>
                          <w:rPr>
                            <w:rFonts w:ascii="Times New Roman"/>
                            <w:sz w:val="21"/>
                          </w:rPr>
                        </w:pPr>
                        <w:r>
                          <w:rPr>
                            <w:rFonts w:ascii="Times New Roman"/>
                            <w:w w:val="100"/>
                            <w:sz w:val="21"/>
                          </w:rPr>
                          <w:t>5</w:t>
                        </w:r>
                      </w:p>
                    </w:tc>
                    <w:tc>
                      <w:tcPr>
                        <w:tcW w:w="1643" w:type="dxa"/>
                        <w:gridSpan w:val="4"/>
                        <w:tcBorders>
                          <w:top w:val="single" w:sz="8" w:space="0" w:color="000000"/>
                          <w:left w:val="single" w:sz="8" w:space="0" w:color="000000"/>
                          <w:bottom w:val="single" w:sz="8" w:space="0" w:color="000000"/>
                          <w:right w:val="single" w:sz="8" w:space="0" w:color="000000"/>
                        </w:tcBorders>
                      </w:tcPr>
                      <w:p>
                        <w:pPr>
                          <w:pStyle w:val="TableParagraph"/>
                          <w:spacing w:line="252" w:lineRule="exact" w:before="3"/>
                          <w:ind w:left="498"/>
                          <w:jc w:val="left"/>
                          <w:rPr>
                            <w:sz w:val="21"/>
                          </w:rPr>
                        </w:pPr>
                        <w:r>
                          <w:rPr>
                            <w:sz w:val="21"/>
                          </w:rPr>
                          <w:t>扩散剂</w:t>
                        </w:r>
                      </w:p>
                    </w:tc>
                    <w:tc>
                      <w:tcPr>
                        <w:tcW w:w="774" w:type="dxa"/>
                        <w:gridSpan w:val="2"/>
                        <w:tcBorders>
                          <w:left w:val="single" w:sz="8" w:space="0" w:color="000000"/>
                          <w:right w:val="single" w:sz="8" w:space="0" w:color="000000"/>
                        </w:tcBorders>
                      </w:tcPr>
                      <w:p>
                        <w:pPr>
                          <w:pStyle w:val="TableParagraph"/>
                          <w:spacing w:line="252" w:lineRule="exact" w:before="3"/>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single" w:sz="8" w:space="0" w:color="000000"/>
                          <w:right w:val="single" w:sz="8" w:space="0" w:color="000000"/>
                        </w:tcBorders>
                      </w:tcPr>
                      <w:p>
                        <w:pPr>
                          <w:pStyle w:val="TableParagraph"/>
                          <w:spacing w:line="238" w:lineRule="exact" w:before="17"/>
                          <w:ind w:left="1087" w:right="1082"/>
                          <w:rPr>
                            <w:rFonts w:ascii="Times New Roman"/>
                            <w:sz w:val="21"/>
                          </w:rPr>
                        </w:pPr>
                        <w:r>
                          <w:rPr>
                            <w:rFonts w:ascii="Times New Roman"/>
                            <w:sz w:val="21"/>
                          </w:rPr>
                          <w:t>16</w:t>
                        </w:r>
                      </w:p>
                    </w:tc>
                    <w:tc>
                      <w:tcPr>
                        <w:tcW w:w="2707" w:type="dxa"/>
                        <w:gridSpan w:val="2"/>
                        <w:tcBorders>
                          <w:left w:val="single" w:sz="8" w:space="0" w:color="000000"/>
                        </w:tcBorders>
                      </w:tcPr>
                      <w:p>
                        <w:pPr>
                          <w:pStyle w:val="TableParagraph"/>
                          <w:spacing w:line="238" w:lineRule="exact" w:before="17"/>
                          <w:ind w:right="5"/>
                          <w:rPr>
                            <w:rFonts w:ascii="Times New Roman"/>
                            <w:sz w:val="21"/>
                          </w:rPr>
                        </w:pPr>
                        <w:r>
                          <w:rPr>
                            <w:rFonts w:ascii="Times New Roman"/>
                            <w:w w:val="100"/>
                            <w:sz w:val="21"/>
                          </w:rPr>
                          <w:t>/</w:t>
                        </w:r>
                      </w:p>
                    </w:tc>
                  </w:tr>
                  <w:tr>
                    <w:trPr>
                      <w:trHeight w:val="274" w:hRule="atLeast"/>
                    </w:trPr>
                    <w:tc>
                      <w:tcPr>
                        <w:tcW w:w="629" w:type="dxa"/>
                        <w:vMerge/>
                        <w:tcBorders>
                          <w:top w:val="nil"/>
                          <w:bottom w:val="double" w:sz="1" w:space="0" w:color="000000"/>
                        </w:tcBorders>
                      </w:tcPr>
                      <w:p>
                        <w:pPr>
                          <w:rPr>
                            <w:sz w:val="2"/>
                            <w:szCs w:val="2"/>
                          </w:rPr>
                        </w:pPr>
                      </w:p>
                    </w:tc>
                    <w:tc>
                      <w:tcPr>
                        <w:tcW w:w="631" w:type="dxa"/>
                        <w:tcBorders>
                          <w:right w:val="single" w:sz="8" w:space="0" w:color="000000"/>
                        </w:tcBorders>
                      </w:tcPr>
                      <w:p>
                        <w:pPr>
                          <w:pStyle w:val="TableParagraph"/>
                          <w:spacing w:line="238" w:lineRule="exact" w:before="17"/>
                          <w:ind w:left="11"/>
                          <w:rPr>
                            <w:rFonts w:ascii="Times New Roman"/>
                            <w:sz w:val="21"/>
                          </w:rPr>
                        </w:pPr>
                        <w:r>
                          <w:rPr>
                            <w:rFonts w:ascii="Times New Roman"/>
                            <w:w w:val="100"/>
                            <w:sz w:val="21"/>
                          </w:rPr>
                          <w:t>6</w:t>
                        </w:r>
                      </w:p>
                    </w:tc>
                    <w:tc>
                      <w:tcPr>
                        <w:tcW w:w="1643" w:type="dxa"/>
                        <w:gridSpan w:val="4"/>
                        <w:tcBorders>
                          <w:top w:val="single" w:sz="8" w:space="0" w:color="000000"/>
                          <w:left w:val="single" w:sz="8" w:space="0" w:color="000000"/>
                          <w:bottom w:val="single" w:sz="8" w:space="0" w:color="000000"/>
                          <w:right w:val="single" w:sz="8" w:space="0" w:color="000000"/>
                        </w:tcBorders>
                      </w:tcPr>
                      <w:p>
                        <w:pPr>
                          <w:pStyle w:val="TableParagraph"/>
                          <w:spacing w:line="252" w:lineRule="exact" w:before="3"/>
                          <w:ind w:left="498"/>
                          <w:jc w:val="left"/>
                          <w:rPr>
                            <w:sz w:val="21"/>
                          </w:rPr>
                        </w:pPr>
                        <w:r>
                          <w:rPr>
                            <w:sz w:val="21"/>
                          </w:rPr>
                          <w:t>高岭土</w:t>
                        </w:r>
                      </w:p>
                    </w:tc>
                    <w:tc>
                      <w:tcPr>
                        <w:tcW w:w="774" w:type="dxa"/>
                        <w:gridSpan w:val="2"/>
                        <w:tcBorders>
                          <w:left w:val="single" w:sz="8" w:space="0" w:color="000000"/>
                          <w:right w:val="single" w:sz="8" w:space="0" w:color="000000"/>
                        </w:tcBorders>
                      </w:tcPr>
                      <w:p>
                        <w:pPr>
                          <w:pStyle w:val="TableParagraph"/>
                          <w:spacing w:line="252" w:lineRule="exact" w:before="3"/>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single" w:sz="8" w:space="0" w:color="000000"/>
                          <w:right w:val="single" w:sz="8" w:space="0" w:color="000000"/>
                        </w:tcBorders>
                      </w:tcPr>
                      <w:p>
                        <w:pPr>
                          <w:pStyle w:val="TableParagraph"/>
                          <w:spacing w:line="238" w:lineRule="exact" w:before="17"/>
                          <w:ind w:left="1087" w:right="1082"/>
                          <w:rPr>
                            <w:rFonts w:ascii="Times New Roman"/>
                            <w:sz w:val="21"/>
                          </w:rPr>
                        </w:pPr>
                        <w:r>
                          <w:rPr>
                            <w:rFonts w:ascii="Times New Roman"/>
                            <w:sz w:val="21"/>
                          </w:rPr>
                          <w:t>21.04</w:t>
                        </w:r>
                      </w:p>
                    </w:tc>
                    <w:tc>
                      <w:tcPr>
                        <w:tcW w:w="2707" w:type="dxa"/>
                        <w:gridSpan w:val="2"/>
                        <w:tcBorders>
                          <w:left w:val="single" w:sz="8" w:space="0" w:color="000000"/>
                        </w:tcBorders>
                      </w:tcPr>
                      <w:p>
                        <w:pPr>
                          <w:pStyle w:val="TableParagraph"/>
                          <w:spacing w:line="238" w:lineRule="exact" w:before="17"/>
                          <w:ind w:right="5"/>
                          <w:rPr>
                            <w:rFonts w:ascii="Times New Roman"/>
                            <w:sz w:val="21"/>
                          </w:rPr>
                        </w:pPr>
                        <w:r>
                          <w:rPr>
                            <w:rFonts w:ascii="Times New Roman"/>
                            <w:w w:val="100"/>
                            <w:sz w:val="21"/>
                          </w:rPr>
                          <w:t>/</w:t>
                        </w:r>
                      </w:p>
                    </w:tc>
                  </w:tr>
                  <w:tr>
                    <w:trPr>
                      <w:trHeight w:val="277" w:hRule="atLeast"/>
                    </w:trPr>
                    <w:tc>
                      <w:tcPr>
                        <w:tcW w:w="629" w:type="dxa"/>
                        <w:vMerge/>
                        <w:tcBorders>
                          <w:top w:val="nil"/>
                          <w:bottom w:val="double" w:sz="1" w:space="0" w:color="000000"/>
                        </w:tcBorders>
                      </w:tcPr>
                      <w:p>
                        <w:pPr>
                          <w:rPr>
                            <w:sz w:val="2"/>
                            <w:szCs w:val="2"/>
                          </w:rPr>
                        </w:pPr>
                      </w:p>
                    </w:tc>
                    <w:tc>
                      <w:tcPr>
                        <w:tcW w:w="631" w:type="dxa"/>
                        <w:tcBorders>
                          <w:bottom w:val="double" w:sz="1" w:space="0" w:color="000000"/>
                          <w:right w:val="single" w:sz="8" w:space="0" w:color="000000"/>
                        </w:tcBorders>
                      </w:tcPr>
                      <w:p>
                        <w:pPr>
                          <w:pStyle w:val="TableParagraph"/>
                          <w:spacing w:line="240" w:lineRule="exact" w:before="17"/>
                          <w:ind w:left="11"/>
                          <w:rPr>
                            <w:rFonts w:ascii="Times New Roman"/>
                            <w:sz w:val="21"/>
                          </w:rPr>
                        </w:pPr>
                        <w:r>
                          <w:rPr>
                            <w:rFonts w:ascii="Times New Roman"/>
                            <w:w w:val="100"/>
                            <w:sz w:val="21"/>
                          </w:rPr>
                          <w:t>7</w:t>
                        </w:r>
                      </w:p>
                    </w:tc>
                    <w:tc>
                      <w:tcPr>
                        <w:tcW w:w="1643" w:type="dxa"/>
                        <w:gridSpan w:val="4"/>
                        <w:tcBorders>
                          <w:top w:val="single" w:sz="8" w:space="0" w:color="000000"/>
                          <w:left w:val="single" w:sz="8" w:space="0" w:color="000000"/>
                          <w:bottom w:val="double" w:sz="1" w:space="0" w:color="000000"/>
                          <w:right w:val="single" w:sz="8" w:space="0" w:color="000000"/>
                        </w:tcBorders>
                      </w:tcPr>
                      <w:p>
                        <w:pPr>
                          <w:pStyle w:val="TableParagraph"/>
                          <w:spacing w:line="254" w:lineRule="exact" w:before="3"/>
                          <w:ind w:left="393"/>
                          <w:jc w:val="left"/>
                          <w:rPr>
                            <w:sz w:val="21"/>
                          </w:rPr>
                        </w:pPr>
                        <w:r>
                          <w:rPr>
                            <w:sz w:val="21"/>
                          </w:rPr>
                          <w:t>工艺用水</w:t>
                        </w:r>
                      </w:p>
                    </w:tc>
                    <w:tc>
                      <w:tcPr>
                        <w:tcW w:w="774" w:type="dxa"/>
                        <w:gridSpan w:val="2"/>
                        <w:tcBorders>
                          <w:left w:val="single" w:sz="8" w:space="0" w:color="000000"/>
                          <w:bottom w:val="double" w:sz="1" w:space="0" w:color="000000"/>
                          <w:right w:val="single" w:sz="8" w:space="0" w:color="000000"/>
                        </w:tcBorders>
                      </w:tcPr>
                      <w:p>
                        <w:pPr>
                          <w:pStyle w:val="TableParagraph"/>
                          <w:spacing w:line="254" w:lineRule="exact" w:before="3"/>
                          <w:ind w:left="142"/>
                          <w:jc w:val="left"/>
                          <w:rPr>
                            <w:sz w:val="21"/>
                          </w:rPr>
                        </w:pPr>
                        <w:r>
                          <w:rPr>
                            <w:sz w:val="21"/>
                          </w:rPr>
                          <w:t>吨</w:t>
                        </w:r>
                        <w:r>
                          <w:rPr>
                            <w:rFonts w:ascii="Times New Roman" w:eastAsia="Times New Roman"/>
                            <w:sz w:val="21"/>
                          </w:rPr>
                          <w:t>/</w:t>
                        </w:r>
                        <w:r>
                          <w:rPr>
                            <w:sz w:val="21"/>
                          </w:rPr>
                          <w:t>年</w:t>
                        </w:r>
                      </w:p>
                    </w:tc>
                    <w:tc>
                      <w:tcPr>
                        <w:tcW w:w="2808" w:type="dxa"/>
                        <w:gridSpan w:val="5"/>
                        <w:tcBorders>
                          <w:top w:val="single" w:sz="8" w:space="0" w:color="000000"/>
                          <w:left w:val="single" w:sz="8" w:space="0" w:color="000000"/>
                          <w:bottom w:val="double" w:sz="1" w:space="0" w:color="000000"/>
                          <w:right w:val="single" w:sz="8" w:space="0" w:color="000000"/>
                        </w:tcBorders>
                      </w:tcPr>
                      <w:p>
                        <w:pPr>
                          <w:pStyle w:val="TableParagraph"/>
                          <w:spacing w:line="240" w:lineRule="exact" w:before="17"/>
                          <w:ind w:left="1087" w:right="1082"/>
                          <w:rPr>
                            <w:rFonts w:ascii="Times New Roman"/>
                            <w:sz w:val="21"/>
                          </w:rPr>
                        </w:pPr>
                        <w:r>
                          <w:rPr>
                            <w:rFonts w:ascii="Times New Roman"/>
                            <w:sz w:val="21"/>
                          </w:rPr>
                          <w:t>5000</w:t>
                        </w:r>
                      </w:p>
                    </w:tc>
                    <w:tc>
                      <w:tcPr>
                        <w:tcW w:w="2707" w:type="dxa"/>
                        <w:gridSpan w:val="2"/>
                        <w:tcBorders>
                          <w:left w:val="single" w:sz="8" w:space="0" w:color="000000"/>
                          <w:bottom w:val="double" w:sz="1" w:space="0" w:color="000000"/>
                        </w:tcBorders>
                      </w:tcPr>
                      <w:p>
                        <w:pPr>
                          <w:pStyle w:val="TableParagraph"/>
                          <w:spacing w:line="240" w:lineRule="exact" w:before="17"/>
                          <w:ind w:right="5"/>
                          <w:rPr>
                            <w:rFonts w:ascii="Times New Roman"/>
                            <w:sz w:val="21"/>
                          </w:rPr>
                        </w:pPr>
                        <w:r>
                          <w:rPr>
                            <w:rFonts w:ascii="Times New Roman"/>
                            <w:w w:val="100"/>
                            <w:sz w:val="21"/>
                          </w:rPr>
                          <w:t>/</w:t>
                        </w:r>
                      </w:p>
                    </w:tc>
                  </w:tr>
                  <w:tr>
                    <w:trPr>
                      <w:trHeight w:val="284" w:hRule="atLeast"/>
                    </w:trPr>
                    <w:tc>
                      <w:tcPr>
                        <w:tcW w:w="629" w:type="dxa"/>
                        <w:vMerge w:val="restart"/>
                        <w:tcBorders>
                          <w:top w:val="double" w:sz="1" w:space="0" w:color="000000"/>
                        </w:tcBorders>
                      </w:tcPr>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10"/>
                          <w:jc w:val="left"/>
                          <w:rPr>
                            <w:sz w:val="15"/>
                          </w:rPr>
                        </w:pPr>
                      </w:p>
                      <w:p>
                        <w:pPr>
                          <w:pStyle w:val="TableParagraph"/>
                          <w:spacing w:line="242" w:lineRule="auto"/>
                          <w:ind w:left="103" w:right="91"/>
                          <w:jc w:val="both"/>
                          <w:rPr>
                            <w:b/>
                            <w:sz w:val="21"/>
                          </w:rPr>
                        </w:pPr>
                        <w:r>
                          <w:rPr>
                            <w:b/>
                            <w:sz w:val="21"/>
                          </w:rPr>
                          <w:t>污染物排放要求</w:t>
                        </w:r>
                      </w:p>
                    </w:tc>
                    <w:tc>
                      <w:tcPr>
                        <w:tcW w:w="8563" w:type="dxa"/>
                        <w:gridSpan w:val="14"/>
                        <w:tcBorders>
                          <w:top w:val="double" w:sz="1" w:space="0" w:color="000000"/>
                        </w:tcBorders>
                      </w:tcPr>
                      <w:p>
                        <w:pPr>
                          <w:pStyle w:val="TableParagraph"/>
                          <w:spacing w:line="257" w:lineRule="exact" w:before="7"/>
                          <w:ind w:left="3173" w:right="3173"/>
                          <w:rPr>
                            <w:b/>
                            <w:sz w:val="21"/>
                          </w:rPr>
                        </w:pPr>
                        <w:r>
                          <w:rPr>
                            <w:b/>
                            <w:sz w:val="21"/>
                          </w:rPr>
                          <w:t>排污口</w:t>
                        </w:r>
                        <w:r>
                          <w:rPr>
                            <w:rFonts w:ascii="Times New Roman" w:eastAsia="Times New Roman"/>
                            <w:b/>
                            <w:sz w:val="21"/>
                          </w:rPr>
                          <w:t>/</w:t>
                        </w:r>
                        <w:r>
                          <w:rPr>
                            <w:b/>
                            <w:sz w:val="21"/>
                          </w:rPr>
                          <w:t>排放口设置情况</w:t>
                        </w:r>
                      </w:p>
                    </w:tc>
                  </w:tr>
                  <w:tr>
                    <w:trPr>
                      <w:trHeight w:val="285" w:hRule="atLeast"/>
                    </w:trPr>
                    <w:tc>
                      <w:tcPr>
                        <w:tcW w:w="629" w:type="dxa"/>
                        <w:vMerge/>
                        <w:tcBorders>
                          <w:top w:val="nil"/>
                        </w:tcBorders>
                      </w:tcPr>
                      <w:p>
                        <w:pPr>
                          <w:rPr>
                            <w:sz w:val="2"/>
                            <w:szCs w:val="2"/>
                          </w:rPr>
                        </w:pPr>
                      </w:p>
                    </w:tc>
                    <w:tc>
                      <w:tcPr>
                        <w:tcW w:w="770" w:type="dxa"/>
                        <w:gridSpan w:val="2"/>
                      </w:tcPr>
                      <w:p>
                        <w:pPr>
                          <w:pStyle w:val="TableParagraph"/>
                          <w:spacing w:line="257" w:lineRule="exact" w:before="8"/>
                          <w:ind w:left="172"/>
                          <w:jc w:val="left"/>
                          <w:rPr>
                            <w:sz w:val="21"/>
                          </w:rPr>
                        </w:pPr>
                        <w:r>
                          <w:rPr>
                            <w:sz w:val="21"/>
                          </w:rPr>
                          <w:t>序号</w:t>
                        </w:r>
                      </w:p>
                    </w:tc>
                    <w:tc>
                      <w:tcPr>
                        <w:tcW w:w="2052" w:type="dxa"/>
                        <w:gridSpan w:val="4"/>
                      </w:tcPr>
                      <w:p>
                        <w:pPr>
                          <w:pStyle w:val="TableParagraph"/>
                          <w:spacing w:line="257" w:lineRule="exact" w:before="8"/>
                          <w:ind w:left="58" w:right="51"/>
                          <w:rPr>
                            <w:sz w:val="21"/>
                          </w:rPr>
                        </w:pPr>
                        <w:r>
                          <w:rPr>
                            <w:sz w:val="21"/>
                          </w:rPr>
                          <w:t>污染源</w:t>
                        </w:r>
                      </w:p>
                    </w:tc>
                    <w:tc>
                      <w:tcPr>
                        <w:tcW w:w="3034" w:type="dxa"/>
                        <w:gridSpan w:val="6"/>
                      </w:tcPr>
                      <w:p>
                        <w:pPr>
                          <w:pStyle w:val="TableParagraph"/>
                          <w:spacing w:line="257" w:lineRule="exact" w:before="8"/>
                          <w:ind w:left="24" w:right="16"/>
                          <w:rPr>
                            <w:sz w:val="21"/>
                          </w:rPr>
                        </w:pPr>
                        <w:r>
                          <w:rPr>
                            <w:sz w:val="21"/>
                          </w:rPr>
                          <w:t>排放去向</w:t>
                        </w:r>
                      </w:p>
                    </w:tc>
                    <w:tc>
                      <w:tcPr>
                        <w:tcW w:w="1316" w:type="dxa"/>
                      </w:tcPr>
                      <w:p>
                        <w:pPr>
                          <w:pStyle w:val="TableParagraph"/>
                          <w:spacing w:line="257" w:lineRule="exact" w:before="8"/>
                          <w:ind w:left="213" w:right="210"/>
                          <w:rPr>
                            <w:sz w:val="21"/>
                          </w:rPr>
                        </w:pPr>
                        <w:r>
                          <w:rPr>
                            <w:sz w:val="21"/>
                          </w:rPr>
                          <w:t>排放方式</w:t>
                        </w:r>
                      </w:p>
                    </w:tc>
                    <w:tc>
                      <w:tcPr>
                        <w:tcW w:w="1391" w:type="dxa"/>
                      </w:tcPr>
                      <w:p>
                        <w:pPr>
                          <w:pStyle w:val="TableParagraph"/>
                          <w:spacing w:line="257" w:lineRule="exact" w:before="8"/>
                          <w:ind w:left="250" w:right="250"/>
                          <w:rPr>
                            <w:sz w:val="21"/>
                          </w:rPr>
                        </w:pPr>
                        <w:r>
                          <w:rPr>
                            <w:sz w:val="21"/>
                          </w:rPr>
                          <w:t>排放时间</w:t>
                        </w:r>
                      </w:p>
                    </w:tc>
                  </w:tr>
                  <w:tr>
                    <w:trPr>
                      <w:trHeight w:val="544" w:hRule="atLeast"/>
                    </w:trPr>
                    <w:tc>
                      <w:tcPr>
                        <w:tcW w:w="629" w:type="dxa"/>
                        <w:vMerge/>
                        <w:tcBorders>
                          <w:top w:val="nil"/>
                        </w:tcBorders>
                      </w:tcPr>
                      <w:p>
                        <w:pPr>
                          <w:rPr>
                            <w:sz w:val="2"/>
                            <w:szCs w:val="2"/>
                          </w:rPr>
                        </w:pPr>
                      </w:p>
                    </w:tc>
                    <w:tc>
                      <w:tcPr>
                        <w:tcW w:w="770" w:type="dxa"/>
                        <w:gridSpan w:val="2"/>
                      </w:tcPr>
                      <w:p>
                        <w:pPr>
                          <w:pStyle w:val="TableParagraph"/>
                          <w:spacing w:before="151"/>
                          <w:ind w:left="7"/>
                          <w:rPr>
                            <w:rFonts w:ascii="Times New Roman"/>
                            <w:sz w:val="21"/>
                          </w:rPr>
                        </w:pPr>
                        <w:r>
                          <w:rPr>
                            <w:rFonts w:ascii="Times New Roman"/>
                            <w:w w:val="100"/>
                            <w:sz w:val="21"/>
                          </w:rPr>
                          <w:t>1</w:t>
                        </w:r>
                      </w:p>
                    </w:tc>
                    <w:tc>
                      <w:tcPr>
                        <w:tcW w:w="2052" w:type="dxa"/>
                        <w:gridSpan w:val="4"/>
                      </w:tcPr>
                      <w:p>
                        <w:pPr>
                          <w:pStyle w:val="TableParagraph"/>
                          <w:spacing w:before="1"/>
                          <w:ind w:left="60" w:right="50"/>
                          <w:rPr>
                            <w:sz w:val="21"/>
                          </w:rPr>
                        </w:pPr>
                        <w:r>
                          <w:rPr>
                            <w:sz w:val="21"/>
                          </w:rPr>
                          <w:t>车间一有组织甲酸废</w:t>
                        </w:r>
                      </w:p>
                      <w:p>
                        <w:pPr>
                          <w:pStyle w:val="TableParagraph"/>
                          <w:spacing w:line="252" w:lineRule="exact" w:before="2"/>
                          <w:ind w:left="7"/>
                          <w:rPr>
                            <w:sz w:val="21"/>
                          </w:rPr>
                        </w:pPr>
                        <w:r>
                          <w:rPr>
                            <w:w w:val="100"/>
                            <w:sz w:val="21"/>
                          </w:rPr>
                          <w:t>气</w:t>
                        </w:r>
                      </w:p>
                    </w:tc>
                    <w:tc>
                      <w:tcPr>
                        <w:tcW w:w="3034" w:type="dxa"/>
                        <w:gridSpan w:val="6"/>
                      </w:tcPr>
                      <w:p>
                        <w:pPr>
                          <w:pStyle w:val="TableParagraph"/>
                          <w:spacing w:before="1"/>
                          <w:ind w:left="24" w:right="18"/>
                          <w:rPr>
                            <w:sz w:val="21"/>
                          </w:rPr>
                        </w:pPr>
                        <w:r>
                          <w:rPr>
                            <w:sz w:val="21"/>
                          </w:rPr>
                          <w:t>冷凝</w:t>
                        </w:r>
                        <w:r>
                          <w:rPr>
                            <w:rFonts w:ascii="Times New Roman" w:eastAsia="Times New Roman"/>
                            <w:sz w:val="21"/>
                          </w:rPr>
                          <w:t>+</w:t>
                        </w:r>
                        <w:r>
                          <w:rPr>
                            <w:sz w:val="21"/>
                          </w:rPr>
                          <w:t>废气集中处理装置（两级</w:t>
                        </w:r>
                      </w:p>
                      <w:p>
                        <w:pPr>
                          <w:pStyle w:val="TableParagraph"/>
                          <w:spacing w:line="252" w:lineRule="exact" w:before="2"/>
                          <w:ind w:left="24" w:right="18"/>
                          <w:rPr>
                            <w:rFonts w:ascii="Times New Roman" w:eastAsia="Times New Roman"/>
                            <w:sz w:val="21"/>
                          </w:rPr>
                        </w:pPr>
                        <w:r>
                          <w:rPr>
                            <w:sz w:val="21"/>
                          </w:rPr>
                          <w:t>碱喷淋）</w:t>
                        </w:r>
                        <w:r>
                          <w:rPr>
                            <w:rFonts w:ascii="Times New Roman" w:eastAsia="Times New Roman"/>
                            <w:sz w:val="21"/>
                          </w:rPr>
                          <w:t>+</w:t>
                        </w:r>
                        <w:r>
                          <w:rPr>
                            <w:sz w:val="21"/>
                          </w:rPr>
                          <w:t>排气筒</w:t>
                        </w:r>
                        <w:r>
                          <w:rPr>
                            <w:rFonts w:ascii="Times New Roman" w:eastAsia="Times New Roman"/>
                            <w:sz w:val="21"/>
                          </w:rPr>
                          <w:t>DA004</w:t>
                        </w:r>
                      </w:p>
                    </w:tc>
                    <w:tc>
                      <w:tcPr>
                        <w:tcW w:w="1316" w:type="dxa"/>
                      </w:tcPr>
                      <w:p>
                        <w:pPr>
                          <w:pStyle w:val="TableParagraph"/>
                          <w:spacing w:before="138"/>
                          <w:ind w:left="213" w:right="210"/>
                          <w:rPr>
                            <w:sz w:val="21"/>
                          </w:rPr>
                        </w:pPr>
                        <w:r>
                          <w:rPr>
                            <w:sz w:val="21"/>
                          </w:rPr>
                          <w:t>连续排放</w:t>
                        </w:r>
                      </w:p>
                    </w:tc>
                    <w:tc>
                      <w:tcPr>
                        <w:tcW w:w="1391" w:type="dxa"/>
                      </w:tcPr>
                      <w:p>
                        <w:pPr>
                          <w:pStyle w:val="TableParagraph"/>
                          <w:spacing w:before="151"/>
                          <w:ind w:left="250" w:right="250"/>
                          <w:rPr>
                            <w:rFonts w:ascii="Times New Roman"/>
                            <w:sz w:val="21"/>
                          </w:rPr>
                        </w:pPr>
                        <w:r>
                          <w:rPr>
                            <w:rFonts w:ascii="Times New Roman"/>
                            <w:sz w:val="21"/>
                          </w:rPr>
                          <w:t>24h</w:t>
                        </w:r>
                      </w:p>
                    </w:tc>
                  </w:tr>
                  <w:tr>
                    <w:trPr>
                      <w:trHeight w:val="544" w:hRule="atLeast"/>
                    </w:trPr>
                    <w:tc>
                      <w:tcPr>
                        <w:tcW w:w="629" w:type="dxa"/>
                        <w:vMerge/>
                        <w:tcBorders>
                          <w:top w:val="nil"/>
                        </w:tcBorders>
                      </w:tcPr>
                      <w:p>
                        <w:pPr>
                          <w:rPr>
                            <w:sz w:val="2"/>
                            <w:szCs w:val="2"/>
                          </w:rPr>
                        </w:pPr>
                      </w:p>
                    </w:tc>
                    <w:tc>
                      <w:tcPr>
                        <w:tcW w:w="770" w:type="dxa"/>
                        <w:gridSpan w:val="2"/>
                      </w:tcPr>
                      <w:p>
                        <w:pPr>
                          <w:pStyle w:val="TableParagraph"/>
                          <w:spacing w:before="151"/>
                          <w:ind w:left="7"/>
                          <w:rPr>
                            <w:rFonts w:ascii="Times New Roman"/>
                            <w:sz w:val="21"/>
                          </w:rPr>
                        </w:pPr>
                        <w:r>
                          <w:rPr>
                            <w:rFonts w:ascii="Times New Roman"/>
                            <w:w w:val="100"/>
                            <w:sz w:val="21"/>
                          </w:rPr>
                          <w:t>2</w:t>
                        </w:r>
                      </w:p>
                    </w:tc>
                    <w:tc>
                      <w:tcPr>
                        <w:tcW w:w="2052" w:type="dxa"/>
                        <w:gridSpan w:val="4"/>
                      </w:tcPr>
                      <w:p>
                        <w:pPr>
                          <w:pStyle w:val="TableParagraph"/>
                          <w:spacing w:before="138"/>
                          <w:ind w:left="184"/>
                          <w:jc w:val="left"/>
                          <w:rPr>
                            <w:sz w:val="21"/>
                          </w:rPr>
                        </w:pPr>
                        <w:r>
                          <w:rPr>
                            <w:sz w:val="21"/>
                          </w:rPr>
                          <w:t>车间一有组织粉尘</w:t>
                        </w:r>
                      </w:p>
                    </w:tc>
                    <w:tc>
                      <w:tcPr>
                        <w:tcW w:w="3034" w:type="dxa"/>
                        <w:gridSpan w:val="6"/>
                      </w:tcPr>
                      <w:p>
                        <w:pPr>
                          <w:pStyle w:val="TableParagraph"/>
                          <w:spacing w:before="1"/>
                          <w:ind w:left="24" w:right="18"/>
                          <w:rPr>
                            <w:sz w:val="21"/>
                          </w:rPr>
                        </w:pPr>
                        <w:r>
                          <w:rPr>
                            <w:sz w:val="21"/>
                          </w:rPr>
                          <w:t>布袋除尘</w:t>
                        </w:r>
                        <w:r>
                          <w:rPr>
                            <w:rFonts w:ascii="Times New Roman" w:eastAsia="Times New Roman"/>
                            <w:sz w:val="21"/>
                          </w:rPr>
                          <w:t>+</w:t>
                        </w:r>
                        <w:r>
                          <w:rPr>
                            <w:sz w:val="21"/>
                          </w:rPr>
                          <w:t>废气集中处理装置</w:t>
                        </w:r>
                      </w:p>
                      <w:p>
                        <w:pPr>
                          <w:pStyle w:val="TableParagraph"/>
                          <w:spacing w:line="250" w:lineRule="exact" w:before="4"/>
                          <w:ind w:left="24" w:right="18"/>
                          <w:rPr>
                            <w:rFonts w:ascii="Times New Roman" w:eastAsia="Times New Roman"/>
                            <w:sz w:val="21"/>
                          </w:rPr>
                        </w:pPr>
                        <w:r>
                          <w:rPr>
                            <w:sz w:val="21"/>
                          </w:rPr>
                          <w:t>（两级碱喷淋）</w:t>
                        </w:r>
                        <w:r>
                          <w:rPr>
                            <w:rFonts w:ascii="Times New Roman" w:eastAsia="Times New Roman"/>
                            <w:sz w:val="21"/>
                          </w:rPr>
                          <w:t>+</w:t>
                        </w:r>
                        <w:r>
                          <w:rPr>
                            <w:sz w:val="21"/>
                          </w:rPr>
                          <w:t>排气筒 </w:t>
                        </w:r>
                        <w:r>
                          <w:rPr>
                            <w:rFonts w:ascii="Times New Roman" w:eastAsia="Times New Roman"/>
                            <w:sz w:val="21"/>
                          </w:rPr>
                          <w:t>DA004</w:t>
                        </w:r>
                      </w:p>
                    </w:tc>
                    <w:tc>
                      <w:tcPr>
                        <w:tcW w:w="1316" w:type="dxa"/>
                      </w:tcPr>
                      <w:p>
                        <w:pPr>
                          <w:pStyle w:val="TableParagraph"/>
                          <w:spacing w:before="138"/>
                          <w:ind w:left="213" w:right="210"/>
                          <w:rPr>
                            <w:sz w:val="21"/>
                          </w:rPr>
                        </w:pPr>
                        <w:r>
                          <w:rPr>
                            <w:sz w:val="21"/>
                          </w:rPr>
                          <w:t>连续排放</w:t>
                        </w:r>
                      </w:p>
                    </w:tc>
                    <w:tc>
                      <w:tcPr>
                        <w:tcW w:w="1391" w:type="dxa"/>
                      </w:tcPr>
                      <w:p>
                        <w:pPr>
                          <w:pStyle w:val="TableParagraph"/>
                          <w:spacing w:before="151"/>
                          <w:ind w:left="250" w:right="250"/>
                          <w:rPr>
                            <w:rFonts w:ascii="Times New Roman"/>
                            <w:sz w:val="21"/>
                          </w:rPr>
                        </w:pPr>
                        <w:r>
                          <w:rPr>
                            <w:rFonts w:ascii="Times New Roman"/>
                            <w:sz w:val="21"/>
                          </w:rPr>
                          <w:t>24h</w:t>
                        </w:r>
                      </w:p>
                    </w:tc>
                  </w:tr>
                  <w:tr>
                    <w:trPr>
                      <w:trHeight w:val="544" w:hRule="atLeast"/>
                    </w:trPr>
                    <w:tc>
                      <w:tcPr>
                        <w:tcW w:w="629" w:type="dxa"/>
                        <w:vMerge/>
                        <w:tcBorders>
                          <w:top w:val="nil"/>
                        </w:tcBorders>
                      </w:tcPr>
                      <w:p>
                        <w:pPr>
                          <w:rPr>
                            <w:sz w:val="2"/>
                            <w:szCs w:val="2"/>
                          </w:rPr>
                        </w:pPr>
                      </w:p>
                    </w:tc>
                    <w:tc>
                      <w:tcPr>
                        <w:tcW w:w="770" w:type="dxa"/>
                        <w:gridSpan w:val="2"/>
                      </w:tcPr>
                      <w:p>
                        <w:pPr>
                          <w:pStyle w:val="TableParagraph"/>
                          <w:spacing w:before="151"/>
                          <w:ind w:left="7"/>
                          <w:rPr>
                            <w:rFonts w:ascii="Times New Roman"/>
                            <w:sz w:val="21"/>
                          </w:rPr>
                        </w:pPr>
                        <w:r>
                          <w:rPr>
                            <w:rFonts w:ascii="Times New Roman"/>
                            <w:w w:val="100"/>
                            <w:sz w:val="21"/>
                          </w:rPr>
                          <w:t>3</w:t>
                        </w:r>
                      </w:p>
                    </w:tc>
                    <w:tc>
                      <w:tcPr>
                        <w:tcW w:w="2052" w:type="dxa"/>
                        <w:gridSpan w:val="4"/>
                      </w:tcPr>
                      <w:p>
                        <w:pPr>
                          <w:pStyle w:val="TableParagraph"/>
                          <w:spacing w:before="138"/>
                          <w:ind w:left="393"/>
                          <w:jc w:val="left"/>
                          <w:rPr>
                            <w:sz w:val="21"/>
                          </w:rPr>
                        </w:pPr>
                        <w:r>
                          <w:rPr>
                            <w:sz w:val="21"/>
                          </w:rPr>
                          <w:t>储罐甲酸废气</w:t>
                        </w:r>
                      </w:p>
                    </w:tc>
                    <w:tc>
                      <w:tcPr>
                        <w:tcW w:w="3034" w:type="dxa"/>
                        <w:gridSpan w:val="6"/>
                      </w:tcPr>
                      <w:p>
                        <w:pPr>
                          <w:pStyle w:val="TableParagraph"/>
                          <w:spacing w:before="1"/>
                          <w:ind w:left="24" w:right="18"/>
                          <w:rPr>
                            <w:sz w:val="21"/>
                          </w:rPr>
                        </w:pPr>
                        <w:r>
                          <w:rPr>
                            <w:sz w:val="21"/>
                          </w:rPr>
                          <w:t>一级次钠喷淋</w:t>
                        </w:r>
                        <w:r>
                          <w:rPr>
                            <w:rFonts w:ascii="Times New Roman" w:eastAsia="Times New Roman"/>
                            <w:sz w:val="21"/>
                          </w:rPr>
                          <w:t>+</w:t>
                        </w:r>
                        <w:r>
                          <w:rPr>
                            <w:sz w:val="21"/>
                          </w:rPr>
                          <w:t>一级碱喷淋</w:t>
                        </w:r>
                        <w:r>
                          <w:rPr>
                            <w:rFonts w:ascii="Times New Roman" w:eastAsia="Times New Roman"/>
                            <w:sz w:val="21"/>
                          </w:rPr>
                          <w:t>+</w:t>
                        </w:r>
                        <w:r>
                          <w:rPr>
                            <w:sz w:val="21"/>
                          </w:rPr>
                          <w:t>排</w:t>
                        </w:r>
                      </w:p>
                      <w:p>
                        <w:pPr>
                          <w:pStyle w:val="TableParagraph"/>
                          <w:spacing w:line="250" w:lineRule="exact" w:before="4"/>
                          <w:ind w:left="23" w:right="18"/>
                          <w:rPr>
                            <w:rFonts w:ascii="Times New Roman" w:eastAsia="Times New Roman"/>
                            <w:sz w:val="21"/>
                          </w:rPr>
                        </w:pPr>
                        <w:r>
                          <w:rPr>
                            <w:sz w:val="21"/>
                          </w:rPr>
                          <w:t>气筒</w:t>
                        </w:r>
                        <w:r>
                          <w:rPr>
                            <w:rFonts w:ascii="Times New Roman" w:eastAsia="Times New Roman"/>
                            <w:sz w:val="21"/>
                          </w:rPr>
                          <w:t>DA005</w:t>
                        </w:r>
                      </w:p>
                    </w:tc>
                    <w:tc>
                      <w:tcPr>
                        <w:tcW w:w="1316" w:type="dxa"/>
                      </w:tcPr>
                      <w:p>
                        <w:pPr>
                          <w:pStyle w:val="TableParagraph"/>
                          <w:spacing w:before="138"/>
                          <w:ind w:left="213" w:right="210"/>
                          <w:rPr>
                            <w:sz w:val="21"/>
                          </w:rPr>
                        </w:pPr>
                        <w:r>
                          <w:rPr>
                            <w:sz w:val="21"/>
                          </w:rPr>
                          <w:t>连续排放</w:t>
                        </w:r>
                      </w:p>
                    </w:tc>
                    <w:tc>
                      <w:tcPr>
                        <w:tcW w:w="1391" w:type="dxa"/>
                      </w:tcPr>
                      <w:p>
                        <w:pPr>
                          <w:pStyle w:val="TableParagraph"/>
                          <w:spacing w:before="151"/>
                          <w:ind w:left="250" w:right="250"/>
                          <w:rPr>
                            <w:rFonts w:ascii="Times New Roman"/>
                            <w:sz w:val="21"/>
                          </w:rPr>
                        </w:pPr>
                        <w:r>
                          <w:rPr>
                            <w:rFonts w:ascii="Times New Roman"/>
                            <w:sz w:val="21"/>
                          </w:rPr>
                          <w:t>24h</w:t>
                        </w:r>
                      </w:p>
                    </w:tc>
                  </w:tr>
                  <w:tr>
                    <w:trPr>
                      <w:trHeight w:val="544" w:hRule="atLeast"/>
                    </w:trPr>
                    <w:tc>
                      <w:tcPr>
                        <w:tcW w:w="629" w:type="dxa"/>
                        <w:vMerge/>
                        <w:tcBorders>
                          <w:top w:val="nil"/>
                        </w:tcBorders>
                      </w:tcPr>
                      <w:p>
                        <w:pPr>
                          <w:rPr>
                            <w:sz w:val="2"/>
                            <w:szCs w:val="2"/>
                          </w:rPr>
                        </w:pPr>
                      </w:p>
                    </w:tc>
                    <w:tc>
                      <w:tcPr>
                        <w:tcW w:w="770" w:type="dxa"/>
                        <w:gridSpan w:val="2"/>
                      </w:tcPr>
                      <w:p>
                        <w:pPr>
                          <w:pStyle w:val="TableParagraph"/>
                          <w:spacing w:before="152"/>
                          <w:ind w:left="7"/>
                          <w:rPr>
                            <w:rFonts w:ascii="Times New Roman"/>
                            <w:sz w:val="21"/>
                          </w:rPr>
                        </w:pPr>
                        <w:r>
                          <w:rPr>
                            <w:rFonts w:ascii="Times New Roman"/>
                            <w:w w:val="100"/>
                            <w:sz w:val="21"/>
                          </w:rPr>
                          <w:t>4</w:t>
                        </w:r>
                      </w:p>
                    </w:tc>
                    <w:tc>
                      <w:tcPr>
                        <w:tcW w:w="2052" w:type="dxa"/>
                        <w:gridSpan w:val="4"/>
                      </w:tcPr>
                      <w:p>
                        <w:pPr>
                          <w:pStyle w:val="TableParagraph"/>
                          <w:spacing w:before="1"/>
                          <w:ind w:left="60" w:right="51"/>
                          <w:rPr>
                            <w:sz w:val="21"/>
                          </w:rPr>
                        </w:pPr>
                        <w:r>
                          <w:rPr>
                            <w:sz w:val="21"/>
                          </w:rPr>
                          <w:t>污水站废气、危废仓</w:t>
                        </w:r>
                      </w:p>
                      <w:p>
                        <w:pPr>
                          <w:pStyle w:val="TableParagraph"/>
                          <w:spacing w:line="250" w:lineRule="exact" w:before="5"/>
                          <w:ind w:left="58" w:right="51"/>
                          <w:rPr>
                            <w:sz w:val="21"/>
                          </w:rPr>
                        </w:pPr>
                        <w:r>
                          <w:rPr>
                            <w:sz w:val="21"/>
                          </w:rPr>
                          <w:t>库废气</w:t>
                        </w:r>
                      </w:p>
                    </w:tc>
                    <w:tc>
                      <w:tcPr>
                        <w:tcW w:w="3034" w:type="dxa"/>
                        <w:gridSpan w:val="6"/>
                      </w:tcPr>
                      <w:p>
                        <w:pPr>
                          <w:pStyle w:val="TableParagraph"/>
                          <w:spacing w:before="1"/>
                          <w:ind w:left="24" w:right="18"/>
                          <w:rPr>
                            <w:sz w:val="21"/>
                          </w:rPr>
                        </w:pPr>
                        <w:r>
                          <w:rPr>
                            <w:sz w:val="21"/>
                          </w:rPr>
                          <w:t>一级次钠喷淋</w:t>
                        </w:r>
                        <w:r>
                          <w:rPr>
                            <w:rFonts w:ascii="Times New Roman" w:eastAsia="Times New Roman"/>
                            <w:sz w:val="21"/>
                          </w:rPr>
                          <w:t>+</w:t>
                        </w:r>
                        <w:r>
                          <w:rPr>
                            <w:sz w:val="21"/>
                          </w:rPr>
                          <w:t>一级碱喷淋</w:t>
                        </w:r>
                        <w:r>
                          <w:rPr>
                            <w:rFonts w:ascii="Times New Roman" w:eastAsia="Times New Roman"/>
                            <w:sz w:val="21"/>
                          </w:rPr>
                          <w:t>+</w:t>
                        </w:r>
                        <w:r>
                          <w:rPr>
                            <w:sz w:val="21"/>
                          </w:rPr>
                          <w:t>排</w:t>
                        </w:r>
                      </w:p>
                      <w:p>
                        <w:pPr>
                          <w:pStyle w:val="TableParagraph"/>
                          <w:spacing w:line="250" w:lineRule="exact" w:before="5"/>
                          <w:ind w:left="23" w:right="18"/>
                          <w:rPr>
                            <w:rFonts w:ascii="Times New Roman" w:eastAsia="Times New Roman"/>
                            <w:sz w:val="21"/>
                          </w:rPr>
                        </w:pPr>
                        <w:r>
                          <w:rPr>
                            <w:sz w:val="21"/>
                          </w:rPr>
                          <w:t>气筒</w:t>
                        </w:r>
                        <w:r>
                          <w:rPr>
                            <w:rFonts w:ascii="Times New Roman" w:eastAsia="Times New Roman"/>
                            <w:sz w:val="21"/>
                          </w:rPr>
                          <w:t>DA005</w:t>
                        </w:r>
                      </w:p>
                    </w:tc>
                    <w:tc>
                      <w:tcPr>
                        <w:tcW w:w="1316" w:type="dxa"/>
                      </w:tcPr>
                      <w:p>
                        <w:pPr>
                          <w:pStyle w:val="TableParagraph"/>
                          <w:spacing w:before="138"/>
                          <w:ind w:left="213" w:right="210"/>
                          <w:rPr>
                            <w:sz w:val="21"/>
                          </w:rPr>
                        </w:pPr>
                        <w:r>
                          <w:rPr>
                            <w:sz w:val="21"/>
                          </w:rPr>
                          <w:t>连续排放</w:t>
                        </w:r>
                      </w:p>
                    </w:tc>
                    <w:tc>
                      <w:tcPr>
                        <w:tcW w:w="1391" w:type="dxa"/>
                      </w:tcPr>
                      <w:p>
                        <w:pPr>
                          <w:pStyle w:val="TableParagraph"/>
                          <w:spacing w:before="152"/>
                          <w:ind w:left="250" w:right="250"/>
                          <w:rPr>
                            <w:rFonts w:ascii="Times New Roman"/>
                            <w:sz w:val="21"/>
                          </w:rPr>
                        </w:pPr>
                        <w:r>
                          <w:rPr>
                            <w:rFonts w:ascii="Times New Roman"/>
                            <w:sz w:val="21"/>
                          </w:rPr>
                          <w:t>24h</w:t>
                        </w:r>
                      </w:p>
                    </w:tc>
                  </w:tr>
                  <w:tr>
                    <w:trPr>
                      <w:trHeight w:val="817" w:hRule="atLeast"/>
                    </w:trPr>
                    <w:tc>
                      <w:tcPr>
                        <w:tcW w:w="629" w:type="dxa"/>
                        <w:vMerge/>
                        <w:tcBorders>
                          <w:top w:val="nil"/>
                        </w:tcBorders>
                      </w:tcPr>
                      <w:p>
                        <w:pPr>
                          <w:rPr>
                            <w:sz w:val="2"/>
                            <w:szCs w:val="2"/>
                          </w:rPr>
                        </w:pPr>
                      </w:p>
                    </w:tc>
                    <w:tc>
                      <w:tcPr>
                        <w:tcW w:w="770" w:type="dxa"/>
                        <w:gridSpan w:val="2"/>
                      </w:tcPr>
                      <w:p>
                        <w:pPr>
                          <w:pStyle w:val="TableParagraph"/>
                          <w:spacing w:before="6"/>
                          <w:jc w:val="left"/>
                          <w:rPr>
                            <w:sz w:val="22"/>
                          </w:rPr>
                        </w:pPr>
                      </w:p>
                      <w:p>
                        <w:pPr>
                          <w:pStyle w:val="TableParagraph"/>
                          <w:ind w:left="7"/>
                          <w:rPr>
                            <w:rFonts w:ascii="Times New Roman"/>
                            <w:sz w:val="21"/>
                          </w:rPr>
                        </w:pPr>
                        <w:r>
                          <w:rPr>
                            <w:rFonts w:ascii="Times New Roman"/>
                            <w:w w:val="100"/>
                            <w:sz w:val="21"/>
                          </w:rPr>
                          <w:t>5</w:t>
                        </w:r>
                      </w:p>
                    </w:tc>
                    <w:tc>
                      <w:tcPr>
                        <w:tcW w:w="2052" w:type="dxa"/>
                        <w:gridSpan w:val="4"/>
                      </w:tcPr>
                      <w:p>
                        <w:pPr>
                          <w:pStyle w:val="TableParagraph"/>
                          <w:spacing w:line="244" w:lineRule="auto" w:before="137"/>
                          <w:ind w:left="499" w:right="67" w:hanging="420"/>
                          <w:jc w:val="left"/>
                          <w:rPr>
                            <w:sz w:val="21"/>
                          </w:rPr>
                        </w:pPr>
                        <w:r>
                          <w:rPr>
                            <w:sz w:val="21"/>
                          </w:rPr>
                          <w:t>本项目生产废水及公用工程废水</w:t>
                        </w:r>
                      </w:p>
                    </w:tc>
                    <w:tc>
                      <w:tcPr>
                        <w:tcW w:w="3034" w:type="dxa"/>
                        <w:gridSpan w:val="6"/>
                      </w:tcPr>
                      <w:p>
                        <w:pPr>
                          <w:pStyle w:val="TableParagraph"/>
                          <w:spacing w:before="1"/>
                          <w:ind w:left="89" w:hanging="34"/>
                          <w:jc w:val="left"/>
                          <w:rPr>
                            <w:sz w:val="21"/>
                          </w:rPr>
                        </w:pPr>
                        <w:r>
                          <w:rPr>
                            <w:sz w:val="21"/>
                          </w:rPr>
                          <w:t>车间废水经预处理设施（铁碳＋</w:t>
                        </w:r>
                      </w:p>
                      <w:p>
                        <w:pPr>
                          <w:pStyle w:val="TableParagraph"/>
                          <w:spacing w:line="270" w:lineRule="atLeast" w:before="3"/>
                          <w:ind w:left="252" w:right="81" w:hanging="164"/>
                          <w:jc w:val="left"/>
                          <w:rPr>
                            <w:sz w:val="21"/>
                          </w:rPr>
                        </w:pPr>
                        <w:r>
                          <w:rPr>
                            <w:sz w:val="21"/>
                          </w:rPr>
                          <w:t>芬顿氧化</w:t>
                        </w:r>
                        <w:r>
                          <w:rPr>
                            <w:rFonts w:ascii="Times New Roman" w:eastAsia="Times New Roman"/>
                            <w:sz w:val="21"/>
                          </w:rPr>
                          <w:t>+</w:t>
                        </w:r>
                        <w:r>
                          <w:rPr>
                            <w:sz w:val="21"/>
                          </w:rPr>
                          <w:t>混凝沉淀）后与其他低浓度废水一起经生化处理</w:t>
                        </w:r>
                      </w:p>
                    </w:tc>
                    <w:tc>
                      <w:tcPr>
                        <w:tcW w:w="1316" w:type="dxa"/>
                      </w:tcPr>
                      <w:p>
                        <w:pPr>
                          <w:pStyle w:val="TableParagraph"/>
                          <w:spacing w:before="5"/>
                          <w:jc w:val="left"/>
                          <w:rPr>
                            <w:sz w:val="21"/>
                          </w:rPr>
                        </w:pPr>
                      </w:p>
                      <w:p>
                        <w:pPr>
                          <w:pStyle w:val="TableParagraph"/>
                          <w:ind w:left="211" w:right="211"/>
                          <w:rPr>
                            <w:sz w:val="21"/>
                          </w:rPr>
                        </w:pPr>
                        <w:r>
                          <w:rPr>
                            <w:sz w:val="21"/>
                          </w:rPr>
                          <w:t>连续排放</w:t>
                        </w:r>
                      </w:p>
                    </w:tc>
                    <w:tc>
                      <w:tcPr>
                        <w:tcW w:w="1391" w:type="dxa"/>
                      </w:tcPr>
                      <w:p>
                        <w:pPr>
                          <w:pStyle w:val="TableParagraph"/>
                          <w:spacing w:before="6"/>
                          <w:jc w:val="left"/>
                          <w:rPr>
                            <w:sz w:val="22"/>
                          </w:rPr>
                        </w:pPr>
                      </w:p>
                      <w:p>
                        <w:pPr>
                          <w:pStyle w:val="TableParagraph"/>
                          <w:ind w:left="250" w:right="250"/>
                          <w:rPr>
                            <w:rFonts w:ascii="Times New Roman"/>
                            <w:sz w:val="21"/>
                          </w:rPr>
                        </w:pPr>
                        <w:r>
                          <w:rPr>
                            <w:rFonts w:ascii="Times New Roman"/>
                            <w:sz w:val="21"/>
                          </w:rPr>
                          <w:t>24h</w:t>
                        </w:r>
                      </w:p>
                    </w:tc>
                  </w:tr>
                  <w:tr>
                    <w:trPr>
                      <w:trHeight w:val="282" w:hRule="atLeast"/>
                    </w:trPr>
                    <w:tc>
                      <w:tcPr>
                        <w:tcW w:w="629" w:type="dxa"/>
                        <w:vMerge/>
                        <w:tcBorders>
                          <w:top w:val="nil"/>
                        </w:tcBorders>
                      </w:tcPr>
                      <w:p>
                        <w:pPr>
                          <w:rPr>
                            <w:sz w:val="2"/>
                            <w:szCs w:val="2"/>
                          </w:rPr>
                        </w:pPr>
                      </w:p>
                    </w:tc>
                    <w:tc>
                      <w:tcPr>
                        <w:tcW w:w="8563" w:type="dxa"/>
                        <w:gridSpan w:val="14"/>
                      </w:tcPr>
                      <w:p>
                        <w:pPr>
                          <w:pStyle w:val="TableParagraph"/>
                          <w:spacing w:line="257" w:lineRule="exact" w:before="6"/>
                          <w:ind w:left="3173" w:right="3173"/>
                          <w:rPr>
                            <w:sz w:val="21"/>
                          </w:rPr>
                        </w:pPr>
                        <w:r>
                          <w:rPr>
                            <w:sz w:val="21"/>
                          </w:rPr>
                          <w:t>污染物排放情况</w:t>
                        </w:r>
                      </w:p>
                    </w:tc>
                  </w:tr>
                  <w:tr>
                    <w:trPr>
                      <w:trHeight w:val="285" w:hRule="atLeast"/>
                    </w:trPr>
                    <w:tc>
                      <w:tcPr>
                        <w:tcW w:w="629" w:type="dxa"/>
                        <w:vMerge/>
                        <w:tcBorders>
                          <w:top w:val="nil"/>
                        </w:tcBorders>
                      </w:tcPr>
                      <w:p>
                        <w:pPr>
                          <w:rPr>
                            <w:sz w:val="2"/>
                            <w:szCs w:val="2"/>
                          </w:rPr>
                        </w:pPr>
                      </w:p>
                    </w:tc>
                    <w:tc>
                      <w:tcPr>
                        <w:tcW w:w="1277" w:type="dxa"/>
                        <w:gridSpan w:val="4"/>
                        <w:vMerge w:val="restart"/>
                      </w:tcPr>
                      <w:p>
                        <w:pPr>
                          <w:pStyle w:val="TableParagraph"/>
                          <w:spacing w:before="154"/>
                          <w:ind w:left="321"/>
                          <w:jc w:val="left"/>
                          <w:rPr>
                            <w:sz w:val="21"/>
                          </w:rPr>
                        </w:pPr>
                        <w:r>
                          <w:rPr>
                            <w:sz w:val="21"/>
                          </w:rPr>
                          <w:t>污染源</w:t>
                        </w:r>
                      </w:p>
                    </w:tc>
                    <w:tc>
                      <w:tcPr>
                        <w:tcW w:w="997" w:type="dxa"/>
                        <w:vMerge w:val="restart"/>
                      </w:tcPr>
                      <w:p>
                        <w:pPr>
                          <w:pStyle w:val="TableParagraph"/>
                          <w:spacing w:before="154"/>
                          <w:ind w:left="76"/>
                          <w:jc w:val="left"/>
                          <w:rPr>
                            <w:sz w:val="21"/>
                          </w:rPr>
                        </w:pPr>
                        <w:r>
                          <w:rPr>
                            <w:sz w:val="21"/>
                          </w:rPr>
                          <w:t>污染因子</w:t>
                        </w:r>
                      </w:p>
                    </w:tc>
                    <w:tc>
                      <w:tcPr>
                        <w:tcW w:w="1139" w:type="dxa"/>
                        <w:gridSpan w:val="3"/>
                        <w:vMerge w:val="restart"/>
                      </w:tcPr>
                      <w:p>
                        <w:pPr>
                          <w:pStyle w:val="TableParagraph"/>
                          <w:spacing w:before="154"/>
                          <w:ind w:left="250"/>
                          <w:jc w:val="left"/>
                          <w:rPr>
                            <w:sz w:val="21"/>
                          </w:rPr>
                        </w:pPr>
                        <w:r>
                          <w:rPr>
                            <w:sz w:val="21"/>
                          </w:rPr>
                          <w:t>排放量</w:t>
                        </w:r>
                      </w:p>
                    </w:tc>
                    <w:tc>
                      <w:tcPr>
                        <w:tcW w:w="985" w:type="dxa"/>
                        <w:gridSpan w:val="2"/>
                        <w:vMerge w:val="restart"/>
                      </w:tcPr>
                      <w:p>
                        <w:pPr>
                          <w:pStyle w:val="TableParagraph"/>
                          <w:spacing w:line="270" w:lineRule="atLeast" w:before="17"/>
                          <w:ind w:left="278" w:right="63" w:hanging="212"/>
                          <w:jc w:val="left"/>
                          <w:rPr>
                            <w:sz w:val="21"/>
                          </w:rPr>
                        </w:pPr>
                        <w:r>
                          <w:rPr>
                            <w:sz w:val="21"/>
                          </w:rPr>
                          <w:t>全厂排放浓度</w:t>
                        </w:r>
                      </w:p>
                    </w:tc>
                    <w:tc>
                      <w:tcPr>
                        <w:tcW w:w="4165" w:type="dxa"/>
                        <w:gridSpan w:val="4"/>
                      </w:tcPr>
                      <w:p>
                        <w:pPr>
                          <w:pStyle w:val="TableParagraph"/>
                          <w:spacing w:line="257" w:lineRule="exact" w:before="8"/>
                          <w:ind w:left="1637" w:right="1638"/>
                          <w:rPr>
                            <w:sz w:val="21"/>
                          </w:rPr>
                        </w:pPr>
                        <w:r>
                          <w:rPr>
                            <w:sz w:val="21"/>
                          </w:rPr>
                          <w:t>排放标准</w:t>
                        </w:r>
                      </w:p>
                    </w:tc>
                  </w:tr>
                  <w:tr>
                    <w:trPr>
                      <w:trHeight w:val="282" w:hRule="atLeast"/>
                    </w:trPr>
                    <w:tc>
                      <w:tcPr>
                        <w:tcW w:w="629" w:type="dxa"/>
                        <w:vMerge/>
                        <w:tcBorders>
                          <w:top w:val="nil"/>
                        </w:tcBorders>
                      </w:tcPr>
                      <w:p>
                        <w:pPr>
                          <w:rPr>
                            <w:sz w:val="2"/>
                            <w:szCs w:val="2"/>
                          </w:rPr>
                        </w:pPr>
                      </w:p>
                    </w:tc>
                    <w:tc>
                      <w:tcPr>
                        <w:tcW w:w="1277" w:type="dxa"/>
                        <w:gridSpan w:val="4"/>
                        <w:vMerge/>
                        <w:tcBorders>
                          <w:top w:val="nil"/>
                        </w:tcBorders>
                      </w:tcPr>
                      <w:p>
                        <w:pPr>
                          <w:rPr>
                            <w:sz w:val="2"/>
                            <w:szCs w:val="2"/>
                          </w:rPr>
                        </w:pPr>
                      </w:p>
                    </w:tc>
                    <w:tc>
                      <w:tcPr>
                        <w:tcW w:w="997" w:type="dxa"/>
                        <w:vMerge/>
                        <w:tcBorders>
                          <w:top w:val="nil"/>
                        </w:tcBorders>
                      </w:tcPr>
                      <w:p>
                        <w:pPr>
                          <w:rPr>
                            <w:sz w:val="2"/>
                            <w:szCs w:val="2"/>
                          </w:rPr>
                        </w:pPr>
                      </w:p>
                    </w:tc>
                    <w:tc>
                      <w:tcPr>
                        <w:tcW w:w="1139" w:type="dxa"/>
                        <w:gridSpan w:val="3"/>
                        <w:vMerge/>
                        <w:tcBorders>
                          <w:top w:val="nil"/>
                        </w:tcBorders>
                      </w:tcPr>
                      <w:p>
                        <w:pPr>
                          <w:rPr>
                            <w:sz w:val="2"/>
                            <w:szCs w:val="2"/>
                          </w:rPr>
                        </w:pPr>
                      </w:p>
                    </w:tc>
                    <w:tc>
                      <w:tcPr>
                        <w:tcW w:w="985" w:type="dxa"/>
                        <w:gridSpan w:val="2"/>
                        <w:vMerge/>
                        <w:tcBorders>
                          <w:top w:val="nil"/>
                        </w:tcBorders>
                      </w:tcPr>
                      <w:p>
                        <w:pPr>
                          <w:rPr>
                            <w:sz w:val="2"/>
                            <w:szCs w:val="2"/>
                          </w:rPr>
                        </w:pPr>
                      </w:p>
                    </w:tc>
                    <w:tc>
                      <w:tcPr>
                        <w:tcW w:w="1035" w:type="dxa"/>
                      </w:tcPr>
                      <w:p>
                        <w:pPr>
                          <w:pStyle w:val="TableParagraph"/>
                          <w:spacing w:line="257" w:lineRule="exact" w:before="6"/>
                          <w:ind w:left="67" w:right="67"/>
                          <w:rPr>
                            <w:sz w:val="21"/>
                          </w:rPr>
                        </w:pPr>
                        <w:r>
                          <w:rPr>
                            <w:sz w:val="21"/>
                          </w:rPr>
                          <w:t>浓度限值</w:t>
                        </w:r>
                      </w:p>
                    </w:tc>
                    <w:tc>
                      <w:tcPr>
                        <w:tcW w:w="3130" w:type="dxa"/>
                        <w:gridSpan w:val="3"/>
                      </w:tcPr>
                      <w:p>
                        <w:pPr>
                          <w:pStyle w:val="TableParagraph"/>
                          <w:spacing w:line="257" w:lineRule="exact" w:before="6"/>
                          <w:ind w:left="85" w:right="85"/>
                          <w:rPr>
                            <w:sz w:val="21"/>
                          </w:rPr>
                        </w:pPr>
                        <w:r>
                          <w:rPr>
                            <w:sz w:val="21"/>
                          </w:rPr>
                          <w:t>标准名称</w:t>
                        </w:r>
                      </w:p>
                    </w:tc>
                  </w:tr>
                  <w:tr>
                    <w:trPr>
                      <w:trHeight w:val="818" w:hRule="atLeast"/>
                    </w:trPr>
                    <w:tc>
                      <w:tcPr>
                        <w:tcW w:w="629" w:type="dxa"/>
                        <w:vMerge/>
                        <w:tcBorders>
                          <w:top w:val="nil"/>
                        </w:tcBorders>
                      </w:tcPr>
                      <w:p>
                        <w:pPr>
                          <w:rPr>
                            <w:sz w:val="2"/>
                            <w:szCs w:val="2"/>
                          </w:rPr>
                        </w:pPr>
                      </w:p>
                    </w:tc>
                    <w:tc>
                      <w:tcPr>
                        <w:tcW w:w="1277" w:type="dxa"/>
                        <w:gridSpan w:val="4"/>
                        <w:vMerge w:val="restart"/>
                      </w:tcPr>
                      <w:p>
                        <w:pPr>
                          <w:pStyle w:val="TableParagraph"/>
                          <w:jc w:val="left"/>
                          <w:rPr>
                            <w:sz w:val="22"/>
                          </w:rPr>
                        </w:pPr>
                      </w:p>
                      <w:p>
                        <w:pPr>
                          <w:pStyle w:val="TableParagraph"/>
                          <w:spacing w:before="3"/>
                          <w:jc w:val="left"/>
                          <w:rPr>
                            <w:sz w:val="22"/>
                          </w:rPr>
                        </w:pPr>
                      </w:p>
                      <w:p>
                        <w:pPr>
                          <w:pStyle w:val="TableParagraph"/>
                          <w:ind w:left="325"/>
                          <w:jc w:val="left"/>
                          <w:rPr>
                            <w:rFonts w:ascii="Times New Roman"/>
                            <w:sz w:val="21"/>
                          </w:rPr>
                        </w:pPr>
                        <w:r>
                          <w:rPr>
                            <w:rFonts w:ascii="Times New Roman"/>
                            <w:sz w:val="21"/>
                          </w:rPr>
                          <w:t>DA004</w:t>
                        </w:r>
                      </w:p>
                    </w:tc>
                    <w:tc>
                      <w:tcPr>
                        <w:tcW w:w="997" w:type="dxa"/>
                      </w:tcPr>
                      <w:p>
                        <w:pPr>
                          <w:pStyle w:val="TableParagraph"/>
                          <w:spacing w:before="5"/>
                          <w:jc w:val="left"/>
                          <w:rPr>
                            <w:sz w:val="21"/>
                          </w:rPr>
                        </w:pPr>
                      </w:p>
                      <w:p>
                        <w:pPr>
                          <w:pStyle w:val="TableParagraph"/>
                          <w:ind w:left="148" w:right="143"/>
                          <w:rPr>
                            <w:sz w:val="21"/>
                          </w:rPr>
                        </w:pPr>
                        <w:r>
                          <w:rPr>
                            <w:sz w:val="21"/>
                          </w:rPr>
                          <w:t>甲酸</w:t>
                        </w:r>
                      </w:p>
                    </w:tc>
                    <w:tc>
                      <w:tcPr>
                        <w:tcW w:w="1139" w:type="dxa"/>
                        <w:gridSpan w:val="3"/>
                      </w:tcPr>
                      <w:p>
                        <w:pPr>
                          <w:pStyle w:val="TableParagraph"/>
                          <w:spacing w:before="6"/>
                          <w:jc w:val="left"/>
                          <w:rPr>
                            <w:sz w:val="22"/>
                          </w:rPr>
                        </w:pPr>
                      </w:p>
                      <w:p>
                        <w:pPr>
                          <w:pStyle w:val="TableParagraph"/>
                          <w:ind w:left="226"/>
                          <w:jc w:val="left"/>
                          <w:rPr>
                            <w:rFonts w:ascii="Times New Roman"/>
                            <w:sz w:val="21"/>
                          </w:rPr>
                        </w:pPr>
                        <w:r>
                          <w:rPr>
                            <w:rFonts w:ascii="Times New Roman"/>
                            <w:sz w:val="21"/>
                          </w:rPr>
                          <w:t>0.238t/a</w:t>
                        </w:r>
                      </w:p>
                    </w:tc>
                    <w:tc>
                      <w:tcPr>
                        <w:tcW w:w="985" w:type="dxa"/>
                        <w:gridSpan w:val="2"/>
                      </w:tcPr>
                      <w:p>
                        <w:pPr>
                          <w:pStyle w:val="TableParagraph"/>
                          <w:spacing w:before="2"/>
                          <w:jc w:val="left"/>
                          <w:rPr>
                            <w:sz w:val="22"/>
                          </w:rPr>
                        </w:pPr>
                      </w:p>
                      <w:p>
                        <w:pPr>
                          <w:pStyle w:val="TableParagraph"/>
                          <w:ind w:left="76"/>
                          <w:jc w:val="left"/>
                          <w:rPr>
                            <w:rFonts w:ascii="Times New Roman"/>
                            <w:sz w:val="14"/>
                          </w:rPr>
                        </w:pPr>
                        <w:r>
                          <w:rPr>
                            <w:rFonts w:ascii="Times New Roman"/>
                            <w:sz w:val="21"/>
                          </w:rPr>
                          <w:t>9.3mg/m</w:t>
                        </w:r>
                        <w:r>
                          <w:rPr>
                            <w:rFonts w:ascii="Times New Roman"/>
                            <w:position w:val="7"/>
                            <w:sz w:val="14"/>
                          </w:rPr>
                          <w:t>3</w:t>
                        </w:r>
                      </w:p>
                    </w:tc>
                    <w:tc>
                      <w:tcPr>
                        <w:tcW w:w="1035" w:type="dxa"/>
                      </w:tcPr>
                      <w:p>
                        <w:pPr>
                          <w:pStyle w:val="TableParagraph"/>
                          <w:spacing w:before="2"/>
                          <w:jc w:val="left"/>
                          <w:rPr>
                            <w:sz w:val="22"/>
                          </w:rPr>
                        </w:pPr>
                      </w:p>
                      <w:p>
                        <w:pPr>
                          <w:pStyle w:val="TableParagraph"/>
                          <w:ind w:left="66" w:right="67"/>
                          <w:rPr>
                            <w:rFonts w:ascii="Times New Roman"/>
                            <w:sz w:val="14"/>
                          </w:rPr>
                        </w:pPr>
                        <w:r>
                          <w:rPr>
                            <w:rFonts w:ascii="Times New Roman"/>
                            <w:sz w:val="21"/>
                          </w:rPr>
                          <w:t>10 mg/m</w:t>
                        </w:r>
                        <w:r>
                          <w:rPr>
                            <w:rFonts w:ascii="Times New Roman"/>
                            <w:position w:val="7"/>
                            <w:sz w:val="14"/>
                          </w:rPr>
                          <w:t>3</w:t>
                        </w:r>
                      </w:p>
                    </w:tc>
                    <w:tc>
                      <w:tcPr>
                        <w:tcW w:w="3130" w:type="dxa"/>
                        <w:gridSpan w:val="3"/>
                      </w:tcPr>
                      <w:p>
                        <w:pPr>
                          <w:pStyle w:val="TableParagraph"/>
                          <w:spacing w:line="242" w:lineRule="auto" w:before="3"/>
                          <w:ind w:left="87" w:right="85"/>
                          <w:rPr>
                            <w:sz w:val="21"/>
                          </w:rPr>
                        </w:pPr>
                        <w:r>
                          <w:rPr>
                            <w:sz w:val="21"/>
                          </w:rPr>
                          <w:t>《工业场所有害因素职业接触限值 第 </w:t>
                        </w:r>
                        <w:r>
                          <w:rPr>
                            <w:rFonts w:ascii="Times New Roman" w:eastAsia="Times New Roman"/>
                            <w:sz w:val="21"/>
                          </w:rPr>
                          <w:t>1 </w:t>
                        </w:r>
                        <w:r>
                          <w:rPr>
                            <w:sz w:val="21"/>
                          </w:rPr>
                          <w:t>部分：化学有害因素》</w:t>
                        </w:r>
                      </w:p>
                      <w:p>
                        <w:pPr>
                          <w:pStyle w:val="TableParagraph"/>
                          <w:spacing w:line="250" w:lineRule="exact" w:before="1"/>
                          <w:ind w:left="85" w:right="85"/>
                          <w:rPr>
                            <w:sz w:val="21"/>
                          </w:rPr>
                        </w:pPr>
                        <w:r>
                          <w:rPr>
                            <w:sz w:val="21"/>
                          </w:rPr>
                          <w:t>（</w:t>
                        </w:r>
                        <w:r>
                          <w:rPr>
                            <w:rFonts w:ascii="Times New Roman" w:eastAsia="Times New Roman"/>
                            <w:sz w:val="21"/>
                          </w:rPr>
                          <w:t>GBZ2.1-2019</w:t>
                        </w:r>
                        <w:r>
                          <w:rPr>
                            <w:sz w:val="21"/>
                          </w:rPr>
                          <w:t>）</w:t>
                        </w:r>
                      </w:p>
                    </w:tc>
                  </w:tr>
                  <w:tr>
                    <w:trPr>
                      <w:trHeight w:val="544" w:hRule="atLeast"/>
                    </w:trPr>
                    <w:tc>
                      <w:tcPr>
                        <w:tcW w:w="629" w:type="dxa"/>
                        <w:vMerge/>
                        <w:tcBorders>
                          <w:top w:val="nil"/>
                        </w:tcBorders>
                      </w:tcPr>
                      <w:p>
                        <w:pPr>
                          <w:rPr>
                            <w:sz w:val="2"/>
                            <w:szCs w:val="2"/>
                          </w:rPr>
                        </w:pPr>
                      </w:p>
                    </w:tc>
                    <w:tc>
                      <w:tcPr>
                        <w:tcW w:w="1277" w:type="dxa"/>
                        <w:gridSpan w:val="4"/>
                        <w:vMerge/>
                        <w:tcBorders>
                          <w:top w:val="nil"/>
                        </w:tcBorders>
                      </w:tcPr>
                      <w:p>
                        <w:pPr>
                          <w:rPr>
                            <w:sz w:val="2"/>
                            <w:szCs w:val="2"/>
                          </w:rPr>
                        </w:pPr>
                      </w:p>
                    </w:tc>
                    <w:tc>
                      <w:tcPr>
                        <w:tcW w:w="997" w:type="dxa"/>
                      </w:tcPr>
                      <w:p>
                        <w:pPr>
                          <w:pStyle w:val="TableParagraph"/>
                          <w:spacing w:before="137"/>
                          <w:ind w:left="148" w:right="143"/>
                          <w:rPr>
                            <w:sz w:val="21"/>
                          </w:rPr>
                        </w:pPr>
                        <w:r>
                          <w:rPr>
                            <w:sz w:val="21"/>
                          </w:rPr>
                          <w:t>颗粒物</w:t>
                        </w:r>
                      </w:p>
                    </w:tc>
                    <w:tc>
                      <w:tcPr>
                        <w:tcW w:w="1139" w:type="dxa"/>
                        <w:gridSpan w:val="3"/>
                      </w:tcPr>
                      <w:p>
                        <w:pPr>
                          <w:pStyle w:val="TableParagraph"/>
                          <w:spacing w:before="151"/>
                          <w:ind w:left="226"/>
                          <w:jc w:val="left"/>
                          <w:rPr>
                            <w:rFonts w:ascii="Times New Roman"/>
                            <w:sz w:val="21"/>
                          </w:rPr>
                        </w:pPr>
                        <w:r>
                          <w:rPr>
                            <w:rFonts w:ascii="Times New Roman"/>
                            <w:sz w:val="21"/>
                          </w:rPr>
                          <w:t>0.091t/a</w:t>
                        </w:r>
                      </w:p>
                    </w:tc>
                    <w:tc>
                      <w:tcPr>
                        <w:tcW w:w="985" w:type="dxa"/>
                        <w:gridSpan w:val="2"/>
                      </w:tcPr>
                      <w:p>
                        <w:pPr>
                          <w:pStyle w:val="TableParagraph"/>
                          <w:spacing w:line="238" w:lineRule="exact" w:before="31"/>
                          <w:ind w:left="304"/>
                          <w:jc w:val="left"/>
                          <w:rPr>
                            <w:rFonts w:ascii="Times New Roman"/>
                            <w:sz w:val="21"/>
                          </w:rPr>
                        </w:pPr>
                        <w:r>
                          <w:rPr>
                            <w:rFonts w:ascii="Times New Roman"/>
                            <w:sz w:val="21"/>
                          </w:rPr>
                          <w:t>16.9</w:t>
                        </w:r>
                      </w:p>
                      <w:p>
                        <w:pPr>
                          <w:pStyle w:val="TableParagraph"/>
                          <w:spacing w:line="243" w:lineRule="exact"/>
                          <w:ind w:left="208"/>
                          <w:jc w:val="left"/>
                          <w:rPr>
                            <w:rFonts w:ascii="Times New Roman"/>
                            <w:sz w:val="14"/>
                          </w:rPr>
                        </w:pPr>
                        <w:r>
                          <w:rPr>
                            <w:rFonts w:ascii="Times New Roman"/>
                            <w:sz w:val="21"/>
                          </w:rPr>
                          <w:t>mg/m</w:t>
                        </w:r>
                        <w:r>
                          <w:rPr>
                            <w:rFonts w:ascii="Times New Roman"/>
                            <w:position w:val="7"/>
                            <w:sz w:val="14"/>
                          </w:rPr>
                          <w:t>3</w:t>
                        </w:r>
                      </w:p>
                    </w:tc>
                    <w:tc>
                      <w:tcPr>
                        <w:tcW w:w="1035" w:type="dxa"/>
                      </w:tcPr>
                      <w:p>
                        <w:pPr>
                          <w:pStyle w:val="TableParagraph"/>
                          <w:spacing w:before="147"/>
                          <w:ind w:left="66" w:right="67"/>
                          <w:rPr>
                            <w:rFonts w:ascii="Times New Roman"/>
                            <w:sz w:val="14"/>
                          </w:rPr>
                        </w:pPr>
                        <w:r>
                          <w:rPr>
                            <w:rFonts w:ascii="Times New Roman"/>
                            <w:sz w:val="21"/>
                          </w:rPr>
                          <w:t>20 mg/m</w:t>
                        </w:r>
                        <w:r>
                          <w:rPr>
                            <w:rFonts w:ascii="Times New Roman"/>
                            <w:position w:val="7"/>
                            <w:sz w:val="14"/>
                          </w:rPr>
                          <w:t>3</w:t>
                        </w:r>
                      </w:p>
                    </w:tc>
                    <w:tc>
                      <w:tcPr>
                        <w:tcW w:w="3130" w:type="dxa"/>
                        <w:gridSpan w:val="3"/>
                      </w:tcPr>
                      <w:p>
                        <w:pPr>
                          <w:pStyle w:val="TableParagraph"/>
                          <w:spacing w:before="1"/>
                          <w:ind w:left="70" w:right="70"/>
                          <w:rPr>
                            <w:sz w:val="21"/>
                          </w:rPr>
                        </w:pPr>
                        <w:r>
                          <w:rPr>
                            <w:sz w:val="21"/>
                          </w:rPr>
                          <w:t>《农药制造工业大气污染物排放</w:t>
                        </w:r>
                      </w:p>
                      <w:p>
                        <w:pPr>
                          <w:pStyle w:val="TableParagraph"/>
                          <w:spacing w:line="250" w:lineRule="exact" w:before="4"/>
                          <w:ind w:left="85" w:right="85"/>
                          <w:rPr>
                            <w:sz w:val="21"/>
                          </w:rPr>
                        </w:pPr>
                        <w:r>
                          <w:rPr>
                            <w:sz w:val="21"/>
                          </w:rPr>
                          <w:t>标准》（</w:t>
                        </w:r>
                        <w:r>
                          <w:rPr>
                            <w:rFonts w:ascii="Times New Roman" w:eastAsia="Times New Roman"/>
                            <w:sz w:val="21"/>
                          </w:rPr>
                          <w:t>GB39727-2020</w:t>
                        </w:r>
                        <w:r>
                          <w:rPr>
                            <w:sz w:val="21"/>
                          </w:rPr>
                          <w:t>）</w:t>
                        </w:r>
                      </w:p>
                    </w:tc>
                  </w:tr>
                  <w:tr>
                    <w:trPr>
                      <w:trHeight w:val="818" w:hRule="atLeast"/>
                    </w:trPr>
                    <w:tc>
                      <w:tcPr>
                        <w:tcW w:w="629" w:type="dxa"/>
                        <w:vMerge/>
                        <w:tcBorders>
                          <w:top w:val="nil"/>
                        </w:tcBorders>
                      </w:tcPr>
                      <w:p>
                        <w:pPr>
                          <w:rPr>
                            <w:sz w:val="2"/>
                            <w:szCs w:val="2"/>
                          </w:rPr>
                        </w:pPr>
                      </w:p>
                    </w:tc>
                    <w:tc>
                      <w:tcPr>
                        <w:tcW w:w="1277" w:type="dxa"/>
                        <w:gridSpan w:val="4"/>
                      </w:tcPr>
                      <w:p>
                        <w:pPr>
                          <w:pStyle w:val="TableParagraph"/>
                          <w:spacing w:before="7"/>
                          <w:jc w:val="left"/>
                          <w:rPr>
                            <w:sz w:val="22"/>
                          </w:rPr>
                        </w:pPr>
                      </w:p>
                      <w:p>
                        <w:pPr>
                          <w:pStyle w:val="TableParagraph"/>
                          <w:ind w:left="325"/>
                          <w:jc w:val="left"/>
                          <w:rPr>
                            <w:rFonts w:ascii="Times New Roman"/>
                            <w:sz w:val="21"/>
                          </w:rPr>
                        </w:pPr>
                        <w:r>
                          <w:rPr>
                            <w:rFonts w:ascii="Times New Roman"/>
                            <w:sz w:val="21"/>
                          </w:rPr>
                          <w:t>DA005</w:t>
                        </w:r>
                      </w:p>
                    </w:tc>
                    <w:tc>
                      <w:tcPr>
                        <w:tcW w:w="997" w:type="dxa"/>
                      </w:tcPr>
                      <w:p>
                        <w:pPr>
                          <w:pStyle w:val="TableParagraph"/>
                          <w:spacing w:before="6"/>
                          <w:jc w:val="left"/>
                          <w:rPr>
                            <w:sz w:val="21"/>
                          </w:rPr>
                        </w:pPr>
                      </w:p>
                      <w:p>
                        <w:pPr>
                          <w:pStyle w:val="TableParagraph"/>
                          <w:ind w:left="148" w:right="143"/>
                          <w:rPr>
                            <w:sz w:val="21"/>
                          </w:rPr>
                        </w:pPr>
                        <w:r>
                          <w:rPr>
                            <w:sz w:val="21"/>
                          </w:rPr>
                          <w:t>甲酸</w:t>
                        </w:r>
                      </w:p>
                    </w:tc>
                    <w:tc>
                      <w:tcPr>
                        <w:tcW w:w="1139" w:type="dxa"/>
                        <w:gridSpan w:val="3"/>
                      </w:tcPr>
                      <w:p>
                        <w:pPr>
                          <w:pStyle w:val="TableParagraph"/>
                          <w:spacing w:before="7"/>
                          <w:jc w:val="left"/>
                          <w:rPr>
                            <w:sz w:val="22"/>
                          </w:rPr>
                        </w:pPr>
                      </w:p>
                      <w:p>
                        <w:pPr>
                          <w:pStyle w:val="TableParagraph"/>
                          <w:ind w:left="226"/>
                          <w:jc w:val="left"/>
                          <w:rPr>
                            <w:rFonts w:ascii="Times New Roman"/>
                            <w:sz w:val="21"/>
                          </w:rPr>
                        </w:pPr>
                        <w:r>
                          <w:rPr>
                            <w:rFonts w:ascii="Times New Roman"/>
                            <w:sz w:val="21"/>
                          </w:rPr>
                          <w:t>0.005t/a</w:t>
                        </w:r>
                      </w:p>
                    </w:tc>
                    <w:tc>
                      <w:tcPr>
                        <w:tcW w:w="985" w:type="dxa"/>
                        <w:gridSpan w:val="2"/>
                      </w:tcPr>
                      <w:p>
                        <w:pPr>
                          <w:pStyle w:val="TableParagraph"/>
                          <w:spacing w:line="240" w:lineRule="exact" w:before="166"/>
                          <w:ind w:left="249"/>
                          <w:jc w:val="left"/>
                          <w:rPr>
                            <w:rFonts w:ascii="Times New Roman"/>
                            <w:sz w:val="21"/>
                          </w:rPr>
                        </w:pPr>
                        <w:r>
                          <w:rPr>
                            <w:rFonts w:ascii="Times New Roman"/>
                            <w:sz w:val="21"/>
                          </w:rPr>
                          <w:t>0.005</w:t>
                        </w:r>
                      </w:p>
                      <w:p>
                        <w:pPr>
                          <w:pStyle w:val="TableParagraph"/>
                          <w:spacing w:line="244" w:lineRule="exact"/>
                          <w:ind w:left="208"/>
                          <w:jc w:val="left"/>
                          <w:rPr>
                            <w:rFonts w:ascii="Times New Roman"/>
                            <w:sz w:val="14"/>
                          </w:rPr>
                        </w:pPr>
                        <w:r>
                          <w:rPr>
                            <w:rFonts w:ascii="Times New Roman"/>
                            <w:sz w:val="21"/>
                          </w:rPr>
                          <w:t>mg/m</w:t>
                        </w:r>
                        <w:r>
                          <w:rPr>
                            <w:rFonts w:ascii="Times New Roman"/>
                            <w:position w:val="7"/>
                            <w:sz w:val="14"/>
                          </w:rPr>
                          <w:t>3</w:t>
                        </w:r>
                      </w:p>
                    </w:tc>
                    <w:tc>
                      <w:tcPr>
                        <w:tcW w:w="1035" w:type="dxa"/>
                      </w:tcPr>
                      <w:p>
                        <w:pPr>
                          <w:pStyle w:val="TableParagraph"/>
                          <w:spacing w:before="2"/>
                          <w:jc w:val="left"/>
                          <w:rPr>
                            <w:sz w:val="22"/>
                          </w:rPr>
                        </w:pPr>
                      </w:p>
                      <w:p>
                        <w:pPr>
                          <w:pStyle w:val="TableParagraph"/>
                          <w:ind w:left="66" w:right="67"/>
                          <w:rPr>
                            <w:rFonts w:ascii="Times New Roman"/>
                            <w:sz w:val="14"/>
                          </w:rPr>
                        </w:pPr>
                        <w:r>
                          <w:rPr>
                            <w:rFonts w:ascii="Times New Roman"/>
                            <w:sz w:val="21"/>
                          </w:rPr>
                          <w:t>10 mg/m</w:t>
                        </w:r>
                        <w:r>
                          <w:rPr>
                            <w:rFonts w:ascii="Times New Roman"/>
                            <w:position w:val="7"/>
                            <w:sz w:val="14"/>
                          </w:rPr>
                          <w:t>3</w:t>
                        </w:r>
                      </w:p>
                    </w:tc>
                    <w:tc>
                      <w:tcPr>
                        <w:tcW w:w="3130" w:type="dxa"/>
                        <w:gridSpan w:val="3"/>
                      </w:tcPr>
                      <w:p>
                        <w:pPr>
                          <w:pStyle w:val="TableParagraph"/>
                          <w:spacing w:line="244" w:lineRule="auto" w:before="1"/>
                          <w:ind w:left="87" w:right="85"/>
                          <w:rPr>
                            <w:sz w:val="21"/>
                          </w:rPr>
                        </w:pPr>
                        <w:r>
                          <w:rPr>
                            <w:sz w:val="21"/>
                          </w:rPr>
                          <w:t>《工业场所有害因素职业接触限值 第 </w:t>
                        </w:r>
                        <w:r>
                          <w:rPr>
                            <w:rFonts w:ascii="Times New Roman" w:eastAsia="Times New Roman"/>
                            <w:sz w:val="21"/>
                          </w:rPr>
                          <w:t>1 </w:t>
                        </w:r>
                        <w:r>
                          <w:rPr>
                            <w:sz w:val="21"/>
                          </w:rPr>
                          <w:t>部分：化学有害因素》</w:t>
                        </w:r>
                      </w:p>
                      <w:p>
                        <w:pPr>
                          <w:pStyle w:val="TableParagraph"/>
                          <w:spacing w:line="248" w:lineRule="exact"/>
                          <w:ind w:left="85" w:right="85"/>
                          <w:rPr>
                            <w:sz w:val="21"/>
                          </w:rPr>
                        </w:pPr>
                        <w:r>
                          <w:rPr>
                            <w:sz w:val="21"/>
                          </w:rPr>
                          <w:t>（</w:t>
                        </w:r>
                        <w:r>
                          <w:rPr>
                            <w:rFonts w:ascii="Times New Roman" w:eastAsia="Times New Roman"/>
                            <w:sz w:val="21"/>
                          </w:rPr>
                          <w:t>GBZ2.1-2019</w:t>
                        </w:r>
                        <w:r>
                          <w:rPr>
                            <w:sz w:val="21"/>
                          </w:rPr>
                          <w:t>）</w:t>
                        </w:r>
                      </w:p>
                    </w:tc>
                  </w:tr>
                  <w:tr>
                    <w:trPr>
                      <w:trHeight w:val="282" w:hRule="atLeast"/>
                    </w:trPr>
                    <w:tc>
                      <w:tcPr>
                        <w:tcW w:w="629" w:type="dxa"/>
                        <w:vMerge/>
                        <w:tcBorders>
                          <w:top w:val="nil"/>
                        </w:tcBorders>
                      </w:tcPr>
                      <w:p>
                        <w:pPr>
                          <w:rPr>
                            <w:sz w:val="2"/>
                            <w:szCs w:val="2"/>
                          </w:rPr>
                        </w:pPr>
                      </w:p>
                    </w:tc>
                    <w:tc>
                      <w:tcPr>
                        <w:tcW w:w="1277" w:type="dxa"/>
                        <w:gridSpan w:val="4"/>
                        <w:vMerge w:val="restart"/>
                      </w:tcPr>
                      <w:p>
                        <w:pPr>
                          <w:pStyle w:val="TableParagraph"/>
                          <w:spacing w:before="2"/>
                          <w:jc w:val="left"/>
                          <w:rPr>
                            <w:sz w:val="22"/>
                          </w:rPr>
                        </w:pPr>
                      </w:p>
                      <w:p>
                        <w:pPr>
                          <w:pStyle w:val="TableParagraph"/>
                          <w:ind w:left="109"/>
                          <w:jc w:val="left"/>
                          <w:rPr>
                            <w:sz w:val="21"/>
                          </w:rPr>
                        </w:pPr>
                        <w:r>
                          <w:rPr>
                            <w:sz w:val="21"/>
                          </w:rPr>
                          <w:t>无组织废气</w:t>
                        </w:r>
                      </w:p>
                    </w:tc>
                    <w:tc>
                      <w:tcPr>
                        <w:tcW w:w="997" w:type="dxa"/>
                      </w:tcPr>
                      <w:p>
                        <w:pPr>
                          <w:pStyle w:val="TableParagraph"/>
                          <w:spacing w:line="257" w:lineRule="exact" w:before="5"/>
                          <w:ind w:left="148" w:right="143"/>
                          <w:rPr>
                            <w:sz w:val="21"/>
                          </w:rPr>
                        </w:pPr>
                        <w:r>
                          <w:rPr>
                            <w:sz w:val="21"/>
                          </w:rPr>
                          <w:t>甲酸</w:t>
                        </w:r>
                      </w:p>
                    </w:tc>
                    <w:tc>
                      <w:tcPr>
                        <w:tcW w:w="1139" w:type="dxa"/>
                        <w:gridSpan w:val="3"/>
                      </w:tcPr>
                      <w:p>
                        <w:pPr>
                          <w:pStyle w:val="TableParagraph"/>
                          <w:spacing w:before="19"/>
                          <w:ind w:left="277"/>
                          <w:jc w:val="left"/>
                          <w:rPr>
                            <w:rFonts w:ascii="Times New Roman"/>
                            <w:sz w:val="21"/>
                          </w:rPr>
                        </w:pPr>
                        <w:r>
                          <w:rPr>
                            <w:rFonts w:ascii="Times New Roman"/>
                            <w:sz w:val="21"/>
                          </w:rPr>
                          <w:t>0.09t/a</w:t>
                        </w:r>
                      </w:p>
                    </w:tc>
                    <w:tc>
                      <w:tcPr>
                        <w:tcW w:w="985" w:type="dxa"/>
                        <w:gridSpan w:val="2"/>
                      </w:tcPr>
                      <w:p>
                        <w:pPr>
                          <w:pStyle w:val="TableParagraph"/>
                          <w:spacing w:before="19"/>
                          <w:rPr>
                            <w:rFonts w:ascii="Times New Roman"/>
                            <w:sz w:val="21"/>
                          </w:rPr>
                        </w:pPr>
                        <w:r>
                          <w:rPr>
                            <w:rFonts w:ascii="Times New Roman"/>
                            <w:w w:val="100"/>
                            <w:sz w:val="21"/>
                          </w:rPr>
                          <w:t>/</w:t>
                        </w:r>
                      </w:p>
                    </w:tc>
                    <w:tc>
                      <w:tcPr>
                        <w:tcW w:w="1035" w:type="dxa"/>
                      </w:tcPr>
                      <w:p>
                        <w:pPr>
                          <w:pStyle w:val="TableParagraph"/>
                          <w:spacing w:before="19"/>
                          <w:rPr>
                            <w:rFonts w:ascii="Times New Roman"/>
                            <w:sz w:val="21"/>
                          </w:rPr>
                        </w:pPr>
                        <w:r>
                          <w:rPr>
                            <w:rFonts w:ascii="Times New Roman"/>
                            <w:w w:val="100"/>
                            <w:sz w:val="21"/>
                          </w:rPr>
                          <w:t>/</w:t>
                        </w:r>
                      </w:p>
                    </w:tc>
                    <w:tc>
                      <w:tcPr>
                        <w:tcW w:w="3130" w:type="dxa"/>
                        <w:gridSpan w:val="3"/>
                      </w:tcPr>
                      <w:p>
                        <w:pPr>
                          <w:pStyle w:val="TableParagraph"/>
                          <w:spacing w:line="240" w:lineRule="exact"/>
                          <w:ind w:right="1"/>
                          <w:rPr>
                            <w:rFonts w:ascii="Times New Roman"/>
                            <w:sz w:val="21"/>
                          </w:rPr>
                        </w:pPr>
                        <w:r>
                          <w:rPr>
                            <w:rFonts w:ascii="Times New Roman"/>
                            <w:w w:val="100"/>
                            <w:sz w:val="21"/>
                          </w:rPr>
                          <w:t>/</w:t>
                        </w:r>
                      </w:p>
                    </w:tc>
                  </w:tr>
                  <w:tr>
                    <w:trPr>
                      <w:trHeight w:val="544" w:hRule="atLeast"/>
                    </w:trPr>
                    <w:tc>
                      <w:tcPr>
                        <w:tcW w:w="629" w:type="dxa"/>
                        <w:vMerge/>
                        <w:tcBorders>
                          <w:top w:val="nil"/>
                        </w:tcBorders>
                      </w:tcPr>
                      <w:p>
                        <w:pPr>
                          <w:rPr>
                            <w:sz w:val="2"/>
                            <w:szCs w:val="2"/>
                          </w:rPr>
                        </w:pPr>
                      </w:p>
                    </w:tc>
                    <w:tc>
                      <w:tcPr>
                        <w:tcW w:w="1277" w:type="dxa"/>
                        <w:gridSpan w:val="4"/>
                        <w:vMerge/>
                        <w:tcBorders>
                          <w:top w:val="nil"/>
                        </w:tcBorders>
                      </w:tcPr>
                      <w:p>
                        <w:pPr>
                          <w:rPr>
                            <w:sz w:val="2"/>
                            <w:szCs w:val="2"/>
                          </w:rPr>
                        </w:pPr>
                      </w:p>
                    </w:tc>
                    <w:tc>
                      <w:tcPr>
                        <w:tcW w:w="997" w:type="dxa"/>
                      </w:tcPr>
                      <w:p>
                        <w:pPr>
                          <w:pStyle w:val="TableParagraph"/>
                          <w:spacing w:before="137"/>
                          <w:ind w:left="148" w:right="143"/>
                          <w:rPr>
                            <w:sz w:val="21"/>
                          </w:rPr>
                        </w:pPr>
                        <w:r>
                          <w:rPr>
                            <w:sz w:val="21"/>
                          </w:rPr>
                          <w:t>颗粒物</w:t>
                        </w:r>
                      </w:p>
                    </w:tc>
                    <w:tc>
                      <w:tcPr>
                        <w:tcW w:w="1139" w:type="dxa"/>
                        <w:gridSpan w:val="3"/>
                      </w:tcPr>
                      <w:p>
                        <w:pPr>
                          <w:pStyle w:val="TableParagraph"/>
                          <w:spacing w:before="151"/>
                          <w:ind w:left="226"/>
                          <w:jc w:val="left"/>
                          <w:rPr>
                            <w:rFonts w:ascii="Times New Roman"/>
                            <w:sz w:val="21"/>
                          </w:rPr>
                        </w:pPr>
                        <w:r>
                          <w:rPr>
                            <w:rFonts w:ascii="Times New Roman"/>
                            <w:sz w:val="21"/>
                          </w:rPr>
                          <w:t>0.106t/a</w:t>
                        </w:r>
                      </w:p>
                    </w:tc>
                    <w:tc>
                      <w:tcPr>
                        <w:tcW w:w="985" w:type="dxa"/>
                        <w:gridSpan w:val="2"/>
                      </w:tcPr>
                      <w:p>
                        <w:pPr>
                          <w:pStyle w:val="TableParagraph"/>
                          <w:spacing w:before="151"/>
                          <w:rPr>
                            <w:rFonts w:ascii="Times New Roman"/>
                            <w:sz w:val="21"/>
                          </w:rPr>
                        </w:pPr>
                        <w:r>
                          <w:rPr>
                            <w:rFonts w:ascii="Times New Roman"/>
                            <w:w w:val="100"/>
                            <w:sz w:val="21"/>
                          </w:rPr>
                          <w:t>/</w:t>
                        </w:r>
                      </w:p>
                    </w:tc>
                    <w:tc>
                      <w:tcPr>
                        <w:tcW w:w="1035" w:type="dxa"/>
                      </w:tcPr>
                      <w:p>
                        <w:pPr>
                          <w:pStyle w:val="TableParagraph"/>
                          <w:spacing w:before="147"/>
                          <w:ind w:left="73"/>
                          <w:jc w:val="left"/>
                          <w:rPr>
                            <w:rFonts w:ascii="Times New Roman"/>
                            <w:sz w:val="14"/>
                          </w:rPr>
                        </w:pPr>
                        <w:r>
                          <w:rPr>
                            <w:rFonts w:ascii="Times New Roman"/>
                            <w:sz w:val="21"/>
                          </w:rPr>
                          <w:t>1.0 mg/m</w:t>
                        </w:r>
                        <w:r>
                          <w:rPr>
                            <w:rFonts w:ascii="Times New Roman"/>
                            <w:position w:val="7"/>
                            <w:sz w:val="14"/>
                          </w:rPr>
                          <w:t>3</w:t>
                        </w:r>
                      </w:p>
                    </w:tc>
                    <w:tc>
                      <w:tcPr>
                        <w:tcW w:w="3130" w:type="dxa"/>
                        <w:gridSpan w:val="3"/>
                      </w:tcPr>
                      <w:p>
                        <w:pPr>
                          <w:pStyle w:val="TableParagraph"/>
                          <w:spacing w:before="1"/>
                          <w:ind w:left="85" w:right="85"/>
                          <w:rPr>
                            <w:sz w:val="21"/>
                          </w:rPr>
                        </w:pPr>
                        <w:r>
                          <w:rPr>
                            <w:sz w:val="21"/>
                          </w:rPr>
                          <w:t>《大气污染物综合排放标准》</w:t>
                        </w:r>
                      </w:p>
                      <w:p>
                        <w:pPr>
                          <w:pStyle w:val="TableParagraph"/>
                          <w:spacing w:line="250" w:lineRule="exact" w:before="4"/>
                          <w:ind w:left="85" w:right="85"/>
                          <w:rPr>
                            <w:sz w:val="21"/>
                          </w:rPr>
                        </w:pPr>
                        <w:r>
                          <w:rPr>
                            <w:rFonts w:ascii="Times New Roman" w:eastAsia="Times New Roman"/>
                            <w:sz w:val="21"/>
                          </w:rPr>
                          <w:t>GB16297-1996 </w:t>
                        </w:r>
                        <w:r>
                          <w:rPr>
                            <w:sz w:val="21"/>
                          </w:rPr>
                          <w:t>二级标准</w:t>
                        </w:r>
                      </w:p>
                    </w:tc>
                  </w:tr>
                  <w:tr>
                    <w:trPr>
                      <w:trHeight w:val="285" w:hRule="atLeast"/>
                    </w:trPr>
                    <w:tc>
                      <w:tcPr>
                        <w:tcW w:w="629" w:type="dxa"/>
                        <w:vMerge/>
                        <w:tcBorders>
                          <w:top w:val="nil"/>
                        </w:tcBorders>
                      </w:tcPr>
                      <w:p>
                        <w:pPr>
                          <w:rPr>
                            <w:sz w:val="2"/>
                            <w:szCs w:val="2"/>
                          </w:rPr>
                        </w:pPr>
                      </w:p>
                    </w:tc>
                    <w:tc>
                      <w:tcPr>
                        <w:tcW w:w="1277" w:type="dxa"/>
                        <w:gridSpan w:val="4"/>
                        <w:vMerge w:val="restart"/>
                      </w:tcPr>
                      <w:p>
                        <w:pPr>
                          <w:pStyle w:val="TableParagraph"/>
                          <w:spacing w:before="154"/>
                          <w:ind w:left="426"/>
                          <w:jc w:val="left"/>
                          <w:rPr>
                            <w:sz w:val="21"/>
                          </w:rPr>
                        </w:pPr>
                        <w:r>
                          <w:rPr>
                            <w:sz w:val="21"/>
                          </w:rPr>
                          <w:t>废水</w:t>
                        </w:r>
                      </w:p>
                    </w:tc>
                    <w:tc>
                      <w:tcPr>
                        <w:tcW w:w="997" w:type="dxa"/>
                      </w:tcPr>
                      <w:p>
                        <w:pPr>
                          <w:pStyle w:val="TableParagraph"/>
                          <w:spacing w:line="257" w:lineRule="exact" w:before="8"/>
                          <w:ind w:left="148" w:right="143"/>
                          <w:rPr>
                            <w:sz w:val="21"/>
                          </w:rPr>
                        </w:pPr>
                        <w:r>
                          <w:rPr>
                            <w:sz w:val="21"/>
                          </w:rPr>
                          <w:t>废水量</w:t>
                        </w:r>
                      </w:p>
                    </w:tc>
                    <w:tc>
                      <w:tcPr>
                        <w:tcW w:w="1139" w:type="dxa"/>
                        <w:gridSpan w:val="3"/>
                      </w:tcPr>
                      <w:p>
                        <w:pPr>
                          <w:pStyle w:val="TableParagraph"/>
                          <w:spacing w:before="22"/>
                          <w:ind w:left="200"/>
                          <w:jc w:val="left"/>
                          <w:rPr>
                            <w:rFonts w:ascii="Times New Roman"/>
                            <w:sz w:val="21"/>
                          </w:rPr>
                        </w:pPr>
                        <w:r>
                          <w:rPr>
                            <w:rFonts w:ascii="Times New Roman"/>
                            <w:sz w:val="21"/>
                          </w:rPr>
                          <w:t>33000t/a</w:t>
                        </w:r>
                      </w:p>
                    </w:tc>
                    <w:tc>
                      <w:tcPr>
                        <w:tcW w:w="985" w:type="dxa"/>
                        <w:gridSpan w:val="2"/>
                      </w:tcPr>
                      <w:p>
                        <w:pPr>
                          <w:pStyle w:val="TableParagraph"/>
                          <w:spacing w:before="22"/>
                          <w:rPr>
                            <w:rFonts w:ascii="Times New Roman"/>
                            <w:sz w:val="21"/>
                          </w:rPr>
                        </w:pPr>
                        <w:r>
                          <w:rPr>
                            <w:rFonts w:ascii="Times New Roman"/>
                            <w:w w:val="100"/>
                            <w:sz w:val="21"/>
                          </w:rPr>
                          <w:t>/</w:t>
                        </w:r>
                      </w:p>
                    </w:tc>
                    <w:tc>
                      <w:tcPr>
                        <w:tcW w:w="1035" w:type="dxa"/>
                      </w:tcPr>
                      <w:p>
                        <w:pPr>
                          <w:pStyle w:val="TableParagraph"/>
                          <w:spacing w:before="22"/>
                          <w:rPr>
                            <w:rFonts w:ascii="Times New Roman"/>
                            <w:sz w:val="21"/>
                          </w:rPr>
                        </w:pPr>
                        <w:r>
                          <w:rPr>
                            <w:rFonts w:ascii="Times New Roman"/>
                            <w:w w:val="100"/>
                            <w:sz w:val="21"/>
                          </w:rPr>
                          <w:t>/</w:t>
                        </w:r>
                      </w:p>
                    </w:tc>
                    <w:tc>
                      <w:tcPr>
                        <w:tcW w:w="3130" w:type="dxa"/>
                        <w:gridSpan w:val="3"/>
                        <w:vMerge w:val="restart"/>
                      </w:tcPr>
                      <w:p>
                        <w:pPr>
                          <w:pStyle w:val="TableParagraph"/>
                          <w:spacing w:before="18"/>
                          <w:ind w:left="51"/>
                          <w:jc w:val="left"/>
                          <w:rPr>
                            <w:sz w:val="21"/>
                          </w:rPr>
                        </w:pPr>
                        <w:r>
                          <w:rPr>
                            <w:spacing w:val="26"/>
                            <w:sz w:val="21"/>
                          </w:rPr>
                          <w:t>达到《 污水综合排放标准》</w:t>
                        </w:r>
                      </w:p>
                      <w:p>
                        <w:pPr>
                          <w:pStyle w:val="TableParagraph"/>
                          <w:spacing w:line="267" w:lineRule="exact" w:before="4"/>
                          <w:ind w:left="51"/>
                          <w:jc w:val="left"/>
                          <w:rPr>
                            <w:sz w:val="21"/>
                          </w:rPr>
                        </w:pPr>
                        <w:r>
                          <w:rPr>
                            <w:spacing w:val="-4"/>
                            <w:sz w:val="21"/>
                          </w:rPr>
                          <w:t>（</w:t>
                        </w:r>
                        <w:r>
                          <w:rPr>
                            <w:rFonts w:ascii="Times New Roman" w:eastAsia="Times New Roman"/>
                            <w:spacing w:val="-4"/>
                            <w:sz w:val="21"/>
                          </w:rPr>
                          <w:t>GB8978-1996</w:t>
                        </w:r>
                        <w:r>
                          <w:rPr>
                            <w:spacing w:val="-4"/>
                            <w:sz w:val="21"/>
                          </w:rPr>
                          <w:t>）</w:t>
                        </w:r>
                        <w:r>
                          <w:rPr>
                            <w:spacing w:val="-9"/>
                            <w:sz w:val="21"/>
                          </w:rPr>
                          <w:t>中三级标准，氨</w:t>
                        </w:r>
                      </w:p>
                    </w:tc>
                  </w:tr>
                  <w:tr>
                    <w:trPr>
                      <w:trHeight w:val="282" w:hRule="atLeast"/>
                    </w:trPr>
                    <w:tc>
                      <w:tcPr>
                        <w:tcW w:w="629" w:type="dxa"/>
                        <w:vMerge/>
                        <w:tcBorders>
                          <w:top w:val="nil"/>
                        </w:tcBorders>
                      </w:tcPr>
                      <w:p>
                        <w:pPr>
                          <w:rPr>
                            <w:sz w:val="2"/>
                            <w:szCs w:val="2"/>
                          </w:rPr>
                        </w:pPr>
                      </w:p>
                    </w:tc>
                    <w:tc>
                      <w:tcPr>
                        <w:tcW w:w="1277" w:type="dxa"/>
                        <w:gridSpan w:val="4"/>
                        <w:vMerge/>
                        <w:tcBorders>
                          <w:top w:val="nil"/>
                        </w:tcBorders>
                      </w:tcPr>
                      <w:p>
                        <w:pPr>
                          <w:rPr>
                            <w:sz w:val="2"/>
                            <w:szCs w:val="2"/>
                          </w:rPr>
                        </w:pPr>
                      </w:p>
                    </w:tc>
                    <w:tc>
                      <w:tcPr>
                        <w:tcW w:w="997" w:type="dxa"/>
                      </w:tcPr>
                      <w:p>
                        <w:pPr>
                          <w:pStyle w:val="TableParagraph"/>
                          <w:spacing w:before="19"/>
                          <w:ind w:left="150" w:right="143"/>
                          <w:rPr>
                            <w:rFonts w:ascii="Times New Roman"/>
                            <w:sz w:val="21"/>
                          </w:rPr>
                        </w:pPr>
                        <w:r>
                          <w:rPr>
                            <w:rFonts w:ascii="Times New Roman"/>
                            <w:sz w:val="21"/>
                          </w:rPr>
                          <w:t>CODCr</w:t>
                        </w:r>
                      </w:p>
                    </w:tc>
                    <w:tc>
                      <w:tcPr>
                        <w:tcW w:w="1139" w:type="dxa"/>
                        <w:gridSpan w:val="3"/>
                      </w:tcPr>
                      <w:p>
                        <w:pPr>
                          <w:pStyle w:val="TableParagraph"/>
                          <w:spacing w:before="19"/>
                          <w:ind w:left="330"/>
                          <w:jc w:val="left"/>
                          <w:rPr>
                            <w:rFonts w:ascii="Times New Roman"/>
                            <w:sz w:val="21"/>
                          </w:rPr>
                        </w:pPr>
                        <w:r>
                          <w:rPr>
                            <w:rFonts w:ascii="Times New Roman"/>
                            <w:sz w:val="21"/>
                          </w:rPr>
                          <w:t>8.1t/a</w:t>
                        </w:r>
                      </w:p>
                    </w:tc>
                    <w:tc>
                      <w:tcPr>
                        <w:tcW w:w="985" w:type="dxa"/>
                        <w:gridSpan w:val="2"/>
                      </w:tcPr>
                      <w:p>
                        <w:pPr>
                          <w:pStyle w:val="TableParagraph"/>
                          <w:spacing w:before="19"/>
                          <w:ind w:left="103"/>
                          <w:jc w:val="left"/>
                          <w:rPr>
                            <w:rFonts w:ascii="Times New Roman"/>
                            <w:sz w:val="21"/>
                          </w:rPr>
                        </w:pPr>
                        <w:r>
                          <w:rPr>
                            <w:rFonts w:ascii="Times New Roman"/>
                            <w:sz w:val="21"/>
                          </w:rPr>
                          <w:t>500mg/L</w:t>
                        </w:r>
                      </w:p>
                    </w:tc>
                    <w:tc>
                      <w:tcPr>
                        <w:tcW w:w="1035" w:type="dxa"/>
                      </w:tcPr>
                      <w:p>
                        <w:pPr>
                          <w:pStyle w:val="TableParagraph"/>
                          <w:spacing w:before="19"/>
                          <w:ind w:left="67" w:right="67"/>
                          <w:rPr>
                            <w:rFonts w:ascii="Times New Roman"/>
                            <w:sz w:val="21"/>
                          </w:rPr>
                        </w:pPr>
                        <w:r>
                          <w:rPr>
                            <w:rFonts w:ascii="Times New Roman"/>
                            <w:sz w:val="21"/>
                          </w:rPr>
                          <w:t>500mg/L</w:t>
                        </w:r>
                      </w:p>
                    </w:tc>
                    <w:tc>
                      <w:tcPr>
                        <w:tcW w:w="3130" w:type="dxa"/>
                        <w:gridSpan w:val="3"/>
                        <w:vMerge/>
                        <w:tcBorders>
                          <w:top w:val="nil"/>
                        </w:tcBorders>
                      </w:tcPr>
                      <w:p>
                        <w:pPr>
                          <w:rPr>
                            <w:sz w:val="2"/>
                            <w:szCs w:val="2"/>
                          </w:rPr>
                        </w:pPr>
                      </w:p>
                    </w:tc>
                  </w:tr>
                </w:tbl>
                <w:p>
                  <w:pPr>
                    <w:pStyle w:val="BodyText"/>
                  </w:pPr>
                </w:p>
              </w:txbxContent>
            </v:textbox>
            <w10:wrap type="none"/>
          </v:shape>
        </w:pict>
      </w:r>
    </w:p>
    <w:p>
      <w:pPr>
        <w:spacing w:before="78"/>
        <w:ind w:left="0" w:right="126" w:firstLine="0"/>
        <w:jc w:val="right"/>
        <w:rPr>
          <w:sz w:val="21"/>
        </w:rPr>
      </w:pPr>
      <w:r>
        <w:rPr>
          <w:w w:val="100"/>
          <w:sz w:val="21"/>
        </w:rPr>
        <w:t>）</w:t>
      </w:r>
    </w:p>
    <w:p>
      <w:pPr>
        <w:spacing w:after="0"/>
        <w:jc w:val="right"/>
        <w:rPr>
          <w:sz w:val="21"/>
        </w:rPr>
        <w:sectPr>
          <w:pgSz w:w="11910" w:h="16840"/>
          <w:pgMar w:header="872" w:footer="873" w:top="1320" w:bottom="1060" w:left="1200" w:right="1180"/>
        </w:sectPr>
      </w:pPr>
    </w:p>
    <w:p>
      <w:pPr>
        <w:pStyle w:val="BodyText"/>
        <w:spacing w:before="1"/>
        <w:rPr>
          <w:rFonts w:ascii="Times New Roman"/>
          <w:sz w:val="7"/>
        </w:rPr>
      </w:pP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558"/>
        <w:gridCol w:w="719"/>
        <w:gridCol w:w="499"/>
        <w:gridCol w:w="497"/>
        <w:gridCol w:w="280"/>
        <w:gridCol w:w="856"/>
        <w:gridCol w:w="558"/>
        <w:gridCol w:w="424"/>
        <w:gridCol w:w="1034"/>
        <w:gridCol w:w="1058"/>
        <w:gridCol w:w="314"/>
        <w:gridCol w:w="1755"/>
      </w:tblGrid>
      <w:tr>
        <w:trPr>
          <w:trHeight w:val="272" w:hRule="atLeast"/>
        </w:trPr>
        <w:tc>
          <w:tcPr>
            <w:tcW w:w="629" w:type="dxa"/>
            <w:vMerge w:val="restart"/>
            <w:tcBorders>
              <w:bottom w:val="double" w:sz="1" w:space="0" w:color="000000"/>
            </w:tcBorders>
          </w:tcPr>
          <w:p>
            <w:pPr>
              <w:pStyle w:val="TableParagraph"/>
              <w:jc w:val="left"/>
              <w:rPr>
                <w:rFonts w:ascii="Times New Roman"/>
                <w:sz w:val="20"/>
              </w:rPr>
            </w:pPr>
          </w:p>
        </w:tc>
        <w:tc>
          <w:tcPr>
            <w:tcW w:w="1277" w:type="dxa"/>
            <w:gridSpan w:val="2"/>
            <w:vMerge w:val="restart"/>
          </w:tcPr>
          <w:p>
            <w:pPr>
              <w:pStyle w:val="TableParagraph"/>
              <w:jc w:val="left"/>
              <w:rPr>
                <w:rFonts w:ascii="Times New Roman"/>
                <w:sz w:val="20"/>
              </w:rPr>
            </w:pPr>
          </w:p>
        </w:tc>
        <w:tc>
          <w:tcPr>
            <w:tcW w:w="996" w:type="dxa"/>
            <w:gridSpan w:val="2"/>
          </w:tcPr>
          <w:p>
            <w:pPr>
              <w:pStyle w:val="TableParagraph"/>
              <w:spacing w:line="247" w:lineRule="exact" w:before="6"/>
              <w:ind w:left="284"/>
              <w:jc w:val="left"/>
              <w:rPr>
                <w:sz w:val="21"/>
              </w:rPr>
            </w:pPr>
            <w:r>
              <w:rPr>
                <w:sz w:val="21"/>
              </w:rPr>
              <w:t>氨氮</w:t>
            </w:r>
          </w:p>
        </w:tc>
        <w:tc>
          <w:tcPr>
            <w:tcW w:w="1136" w:type="dxa"/>
            <w:gridSpan w:val="2"/>
          </w:tcPr>
          <w:p>
            <w:pPr>
              <w:pStyle w:val="TableParagraph"/>
              <w:spacing w:line="233" w:lineRule="exact" w:before="19"/>
              <w:ind w:left="227"/>
              <w:jc w:val="left"/>
              <w:rPr>
                <w:rFonts w:ascii="Times New Roman"/>
                <w:sz w:val="21"/>
              </w:rPr>
            </w:pPr>
            <w:r>
              <w:rPr>
                <w:rFonts w:ascii="Times New Roman"/>
                <w:sz w:val="21"/>
              </w:rPr>
              <w:t>0.567t/a</w:t>
            </w:r>
          </w:p>
        </w:tc>
        <w:tc>
          <w:tcPr>
            <w:tcW w:w="982" w:type="dxa"/>
            <w:gridSpan w:val="2"/>
          </w:tcPr>
          <w:p>
            <w:pPr>
              <w:pStyle w:val="TableParagraph"/>
              <w:spacing w:line="233" w:lineRule="exact" w:before="19"/>
              <w:ind w:left="159"/>
              <w:jc w:val="left"/>
              <w:rPr>
                <w:rFonts w:ascii="Times New Roman"/>
                <w:sz w:val="21"/>
              </w:rPr>
            </w:pPr>
            <w:r>
              <w:rPr>
                <w:rFonts w:ascii="Times New Roman"/>
                <w:sz w:val="21"/>
              </w:rPr>
              <w:t>35mg/L</w:t>
            </w:r>
          </w:p>
        </w:tc>
        <w:tc>
          <w:tcPr>
            <w:tcW w:w="1034" w:type="dxa"/>
          </w:tcPr>
          <w:p>
            <w:pPr>
              <w:pStyle w:val="TableParagraph"/>
              <w:spacing w:line="233" w:lineRule="exact" w:before="19"/>
              <w:ind w:left="185"/>
              <w:jc w:val="left"/>
              <w:rPr>
                <w:rFonts w:ascii="Times New Roman"/>
                <w:sz w:val="21"/>
              </w:rPr>
            </w:pPr>
            <w:r>
              <w:rPr>
                <w:rFonts w:ascii="Times New Roman"/>
                <w:sz w:val="21"/>
              </w:rPr>
              <w:t>35mg/L</w:t>
            </w:r>
          </w:p>
        </w:tc>
        <w:tc>
          <w:tcPr>
            <w:tcW w:w="3127" w:type="dxa"/>
            <w:gridSpan w:val="3"/>
            <w:vMerge w:val="restart"/>
          </w:tcPr>
          <w:p>
            <w:pPr>
              <w:pStyle w:val="TableParagraph"/>
              <w:spacing w:line="242" w:lineRule="auto" w:before="1"/>
              <w:ind w:left="59" w:right="16"/>
              <w:jc w:val="both"/>
              <w:rPr>
                <w:sz w:val="21"/>
              </w:rPr>
            </w:pPr>
            <w:r>
              <w:rPr>
                <w:spacing w:val="3"/>
                <w:sz w:val="21"/>
              </w:rPr>
              <w:t>氮执行浙江省地方标准《工业企</w:t>
            </w:r>
            <w:r>
              <w:rPr>
                <w:spacing w:val="2"/>
                <w:sz w:val="21"/>
              </w:rPr>
              <w:t>业废水氮、磷污染物间接排放限</w:t>
            </w:r>
            <w:r>
              <w:rPr>
                <w:spacing w:val="21"/>
                <w:sz w:val="21"/>
              </w:rPr>
              <w:t>值》</w:t>
            </w:r>
            <w:r>
              <w:rPr>
                <w:rFonts w:ascii="Times New Roman" w:hAnsi="Times New Roman" w:eastAsia="Times New Roman"/>
                <w:sz w:val="21"/>
              </w:rPr>
              <w:t>(DB33/887-2013)</w:t>
            </w:r>
            <w:r>
              <w:rPr>
                <w:rFonts w:ascii="Times New Roman" w:hAnsi="Times New Roman" w:eastAsia="Times New Roman"/>
                <w:spacing w:val="-30"/>
                <w:sz w:val="21"/>
              </w:rPr>
              <w:t> </w:t>
            </w:r>
            <w:r>
              <w:rPr>
                <w:spacing w:val="21"/>
                <w:sz w:val="21"/>
              </w:rPr>
              <w:t>中</w:t>
            </w:r>
            <w:r>
              <w:rPr>
                <w:rFonts w:ascii="Times New Roman" w:hAnsi="Times New Roman" w:eastAsia="Times New Roman"/>
                <w:spacing w:val="-16"/>
                <w:sz w:val="21"/>
              </w:rPr>
              <w:t>“ </w:t>
            </w:r>
            <w:r>
              <w:rPr>
                <w:spacing w:val="21"/>
                <w:sz w:val="21"/>
              </w:rPr>
              <w:t>其他企</w:t>
            </w:r>
            <w:r>
              <w:rPr>
                <w:spacing w:val="4"/>
                <w:sz w:val="21"/>
              </w:rPr>
              <w:t>业</w:t>
            </w:r>
            <w:r>
              <w:rPr>
                <w:rFonts w:ascii="Times New Roman" w:hAnsi="Times New Roman" w:eastAsia="Times New Roman"/>
                <w:spacing w:val="4"/>
                <w:sz w:val="21"/>
              </w:rPr>
              <w:t>”</w:t>
            </w:r>
            <w:r>
              <w:rPr>
                <w:spacing w:val="5"/>
                <w:sz w:val="21"/>
              </w:rPr>
              <w:t>的规定 </w:t>
            </w:r>
            <w:r>
              <w:rPr>
                <w:rFonts w:ascii="Times New Roman" w:hAnsi="Times New Roman" w:eastAsia="Times New Roman"/>
                <w:sz w:val="21"/>
              </w:rPr>
              <w:t>35mg/L</w:t>
            </w:r>
            <w:r>
              <w:rPr>
                <w:sz w:val="21"/>
              </w:rPr>
              <w:t>，总氮参照执</w:t>
            </w:r>
            <w:r>
              <w:rPr>
                <w:spacing w:val="3"/>
                <w:sz w:val="21"/>
              </w:rPr>
              <w:t>行《污水排入城镇下水道水质标</w:t>
            </w:r>
            <w:r>
              <w:rPr>
                <w:sz w:val="21"/>
              </w:rPr>
              <w:t>准》</w:t>
            </w:r>
            <w:r>
              <w:rPr>
                <w:rFonts w:ascii="Times New Roman" w:hAnsi="Times New Roman" w:eastAsia="Times New Roman"/>
                <w:sz w:val="21"/>
              </w:rPr>
              <w:t>(GB/T31962-2015)</w:t>
            </w:r>
            <w:r>
              <w:rPr>
                <w:spacing w:val="-6"/>
                <w:sz w:val="21"/>
              </w:rPr>
              <w:t>中 </w:t>
            </w:r>
            <w:r>
              <w:rPr>
                <w:rFonts w:ascii="Times New Roman" w:hAnsi="Times New Roman" w:eastAsia="Times New Roman"/>
                <w:sz w:val="21"/>
              </w:rPr>
              <w:t>B</w:t>
            </w:r>
            <w:r>
              <w:rPr>
                <w:rFonts w:ascii="Times New Roman" w:hAnsi="Times New Roman" w:eastAsia="Times New Roman"/>
                <w:spacing w:val="44"/>
                <w:sz w:val="21"/>
              </w:rPr>
              <w:t> </w:t>
            </w:r>
            <w:r>
              <w:rPr>
                <w:spacing w:val="-3"/>
                <w:sz w:val="21"/>
              </w:rPr>
              <w:t>级标</w:t>
            </w:r>
          </w:p>
          <w:p>
            <w:pPr>
              <w:pStyle w:val="TableParagraph"/>
              <w:spacing w:line="240" w:lineRule="exact" w:before="4"/>
              <w:ind w:left="59"/>
              <w:jc w:val="left"/>
              <w:rPr>
                <w:sz w:val="21"/>
              </w:rPr>
            </w:pPr>
            <w:r>
              <w:rPr>
                <w:sz w:val="21"/>
              </w:rPr>
              <w:t>准后纳入上虞污水处理厂</w:t>
            </w:r>
          </w:p>
        </w:tc>
      </w:tr>
      <w:tr>
        <w:trPr>
          <w:trHeight w:val="1592" w:hRule="atLeast"/>
        </w:trPr>
        <w:tc>
          <w:tcPr>
            <w:tcW w:w="629" w:type="dxa"/>
            <w:vMerge/>
            <w:tcBorders>
              <w:top w:val="nil"/>
              <w:bottom w:val="double" w:sz="1" w:space="0" w:color="000000"/>
            </w:tcBorders>
          </w:tcPr>
          <w:p>
            <w:pPr>
              <w:rPr>
                <w:sz w:val="2"/>
                <w:szCs w:val="2"/>
              </w:rPr>
            </w:pPr>
          </w:p>
        </w:tc>
        <w:tc>
          <w:tcPr>
            <w:tcW w:w="1277" w:type="dxa"/>
            <w:gridSpan w:val="2"/>
            <w:vMerge/>
            <w:tcBorders>
              <w:top w:val="nil"/>
            </w:tcBorders>
          </w:tcPr>
          <w:p>
            <w:pPr>
              <w:rPr>
                <w:sz w:val="2"/>
                <w:szCs w:val="2"/>
              </w:rPr>
            </w:pPr>
          </w:p>
        </w:tc>
        <w:tc>
          <w:tcPr>
            <w:tcW w:w="996" w:type="dxa"/>
            <w:gridSpan w:val="2"/>
          </w:tcPr>
          <w:p>
            <w:pPr>
              <w:pStyle w:val="TableParagraph"/>
              <w:jc w:val="left"/>
              <w:rPr>
                <w:rFonts w:ascii="Times New Roman"/>
                <w:sz w:val="20"/>
              </w:rPr>
            </w:pPr>
          </w:p>
          <w:p>
            <w:pPr>
              <w:pStyle w:val="TableParagraph"/>
              <w:jc w:val="left"/>
              <w:rPr>
                <w:rFonts w:ascii="Times New Roman"/>
                <w:sz w:val="20"/>
              </w:rPr>
            </w:pPr>
          </w:p>
          <w:p>
            <w:pPr>
              <w:pStyle w:val="TableParagraph"/>
              <w:spacing w:before="7"/>
              <w:jc w:val="left"/>
              <w:rPr>
                <w:rFonts w:ascii="Times New Roman"/>
                <w:sz w:val="17"/>
              </w:rPr>
            </w:pPr>
          </w:p>
          <w:p>
            <w:pPr>
              <w:pStyle w:val="TableParagraph"/>
              <w:spacing w:before="1"/>
              <w:ind w:left="284"/>
              <w:jc w:val="left"/>
              <w:rPr>
                <w:sz w:val="21"/>
              </w:rPr>
            </w:pPr>
            <w:r>
              <w:rPr>
                <w:sz w:val="21"/>
              </w:rPr>
              <w:t>总氮</w:t>
            </w:r>
          </w:p>
        </w:tc>
        <w:tc>
          <w:tcPr>
            <w:tcW w:w="1136" w:type="dxa"/>
            <w:gridSpan w:val="2"/>
          </w:tcPr>
          <w:p>
            <w:pPr>
              <w:pStyle w:val="TableParagraph"/>
              <w:jc w:val="left"/>
              <w:rPr>
                <w:rFonts w:ascii="Times New Roman"/>
                <w:sz w:val="22"/>
              </w:rPr>
            </w:pPr>
          </w:p>
          <w:p>
            <w:pPr>
              <w:pStyle w:val="TableParagraph"/>
              <w:jc w:val="left"/>
              <w:rPr>
                <w:rFonts w:ascii="Times New Roman"/>
                <w:sz w:val="22"/>
              </w:rPr>
            </w:pPr>
          </w:p>
          <w:p>
            <w:pPr>
              <w:pStyle w:val="TableParagraph"/>
              <w:spacing w:before="171"/>
              <w:ind w:left="227"/>
              <w:jc w:val="left"/>
              <w:rPr>
                <w:rFonts w:ascii="Times New Roman"/>
                <w:sz w:val="21"/>
              </w:rPr>
            </w:pPr>
            <w:r>
              <w:rPr>
                <w:rFonts w:ascii="Times New Roman"/>
                <w:sz w:val="21"/>
              </w:rPr>
              <w:t>1.134t/a</w:t>
            </w:r>
          </w:p>
        </w:tc>
        <w:tc>
          <w:tcPr>
            <w:tcW w:w="982" w:type="dxa"/>
            <w:gridSpan w:val="2"/>
          </w:tcPr>
          <w:p>
            <w:pPr>
              <w:pStyle w:val="TableParagraph"/>
              <w:jc w:val="left"/>
              <w:rPr>
                <w:rFonts w:ascii="Times New Roman"/>
                <w:sz w:val="22"/>
              </w:rPr>
            </w:pPr>
          </w:p>
          <w:p>
            <w:pPr>
              <w:pStyle w:val="TableParagraph"/>
              <w:jc w:val="left"/>
              <w:rPr>
                <w:rFonts w:ascii="Times New Roman"/>
                <w:sz w:val="22"/>
              </w:rPr>
            </w:pPr>
          </w:p>
          <w:p>
            <w:pPr>
              <w:pStyle w:val="TableParagraph"/>
              <w:spacing w:before="171"/>
              <w:ind w:left="159"/>
              <w:jc w:val="left"/>
              <w:rPr>
                <w:rFonts w:ascii="Times New Roman"/>
                <w:sz w:val="21"/>
              </w:rPr>
            </w:pPr>
            <w:r>
              <w:rPr>
                <w:rFonts w:ascii="Times New Roman"/>
                <w:sz w:val="21"/>
              </w:rPr>
              <w:t>70mg/L</w:t>
            </w:r>
          </w:p>
        </w:tc>
        <w:tc>
          <w:tcPr>
            <w:tcW w:w="1034" w:type="dxa"/>
          </w:tcPr>
          <w:p>
            <w:pPr>
              <w:pStyle w:val="TableParagraph"/>
              <w:jc w:val="left"/>
              <w:rPr>
                <w:rFonts w:ascii="Times New Roman"/>
                <w:sz w:val="22"/>
              </w:rPr>
            </w:pPr>
          </w:p>
          <w:p>
            <w:pPr>
              <w:pStyle w:val="TableParagraph"/>
              <w:jc w:val="left"/>
              <w:rPr>
                <w:rFonts w:ascii="Times New Roman"/>
                <w:sz w:val="22"/>
              </w:rPr>
            </w:pPr>
          </w:p>
          <w:p>
            <w:pPr>
              <w:pStyle w:val="TableParagraph"/>
              <w:spacing w:before="171"/>
              <w:ind w:left="185"/>
              <w:jc w:val="left"/>
              <w:rPr>
                <w:rFonts w:ascii="Times New Roman"/>
                <w:sz w:val="21"/>
              </w:rPr>
            </w:pPr>
            <w:r>
              <w:rPr>
                <w:rFonts w:ascii="Times New Roman"/>
                <w:sz w:val="21"/>
              </w:rPr>
              <w:t>70mg/L</w:t>
            </w:r>
          </w:p>
        </w:tc>
        <w:tc>
          <w:tcPr>
            <w:tcW w:w="3127" w:type="dxa"/>
            <w:gridSpan w:val="3"/>
            <w:vMerge/>
            <w:tcBorders>
              <w:top w:val="nil"/>
            </w:tcBorders>
          </w:tcPr>
          <w:p>
            <w:pPr>
              <w:rPr>
                <w:sz w:val="2"/>
                <w:szCs w:val="2"/>
              </w:rPr>
            </w:pPr>
          </w:p>
        </w:tc>
      </w:tr>
      <w:tr>
        <w:trPr>
          <w:trHeight w:val="265" w:hRule="atLeast"/>
        </w:trPr>
        <w:tc>
          <w:tcPr>
            <w:tcW w:w="629" w:type="dxa"/>
            <w:vMerge/>
            <w:tcBorders>
              <w:top w:val="nil"/>
              <w:bottom w:val="double" w:sz="1" w:space="0" w:color="000000"/>
            </w:tcBorders>
          </w:tcPr>
          <w:p>
            <w:pPr>
              <w:rPr>
                <w:sz w:val="2"/>
                <w:szCs w:val="2"/>
              </w:rPr>
            </w:pPr>
          </w:p>
        </w:tc>
        <w:tc>
          <w:tcPr>
            <w:tcW w:w="8552" w:type="dxa"/>
            <w:gridSpan w:val="12"/>
          </w:tcPr>
          <w:p>
            <w:pPr>
              <w:pStyle w:val="TableParagraph"/>
              <w:spacing w:line="245" w:lineRule="exact"/>
              <w:ind w:left="2261" w:right="2250"/>
              <w:rPr>
                <w:sz w:val="21"/>
              </w:rPr>
            </w:pPr>
            <w:r>
              <w:rPr>
                <w:sz w:val="21"/>
              </w:rPr>
              <w:t>污染物排放特别控制要求</w:t>
            </w:r>
          </w:p>
        </w:tc>
      </w:tr>
      <w:tr>
        <w:trPr>
          <w:trHeight w:val="262" w:hRule="atLeast"/>
        </w:trPr>
        <w:tc>
          <w:tcPr>
            <w:tcW w:w="629" w:type="dxa"/>
            <w:vMerge/>
            <w:tcBorders>
              <w:top w:val="nil"/>
              <w:bottom w:val="double" w:sz="1" w:space="0" w:color="000000"/>
            </w:tcBorders>
          </w:tcPr>
          <w:p>
            <w:pPr>
              <w:rPr>
                <w:sz w:val="2"/>
                <w:szCs w:val="2"/>
              </w:rPr>
            </w:pPr>
          </w:p>
        </w:tc>
        <w:tc>
          <w:tcPr>
            <w:tcW w:w="1277" w:type="dxa"/>
            <w:gridSpan w:val="2"/>
          </w:tcPr>
          <w:p>
            <w:pPr>
              <w:pStyle w:val="TableParagraph"/>
              <w:spacing w:line="243" w:lineRule="exact"/>
              <w:ind w:left="109"/>
              <w:jc w:val="left"/>
              <w:rPr>
                <w:sz w:val="21"/>
              </w:rPr>
            </w:pPr>
            <w:r>
              <w:rPr>
                <w:sz w:val="21"/>
              </w:rPr>
              <w:t>排污口编号</w:t>
            </w:r>
          </w:p>
        </w:tc>
        <w:tc>
          <w:tcPr>
            <w:tcW w:w="7275" w:type="dxa"/>
            <w:gridSpan w:val="10"/>
          </w:tcPr>
          <w:p>
            <w:pPr>
              <w:pStyle w:val="TableParagraph"/>
              <w:spacing w:line="243" w:lineRule="exact"/>
              <w:ind w:left="2988" w:right="2977"/>
              <w:rPr>
                <w:sz w:val="21"/>
              </w:rPr>
            </w:pPr>
            <w:r>
              <w:rPr>
                <w:sz w:val="21"/>
              </w:rPr>
              <w:t>特别控制要求</w:t>
            </w:r>
          </w:p>
        </w:tc>
      </w:tr>
      <w:tr>
        <w:trPr>
          <w:trHeight w:val="274" w:hRule="atLeast"/>
        </w:trPr>
        <w:tc>
          <w:tcPr>
            <w:tcW w:w="629" w:type="dxa"/>
            <w:vMerge/>
            <w:tcBorders>
              <w:top w:val="nil"/>
              <w:bottom w:val="double" w:sz="1" w:space="0" w:color="000000"/>
            </w:tcBorders>
          </w:tcPr>
          <w:p>
            <w:pPr>
              <w:rPr>
                <w:sz w:val="2"/>
                <w:szCs w:val="2"/>
              </w:rPr>
            </w:pPr>
          </w:p>
        </w:tc>
        <w:tc>
          <w:tcPr>
            <w:tcW w:w="1277" w:type="dxa"/>
            <w:gridSpan w:val="2"/>
            <w:tcBorders>
              <w:bottom w:val="double" w:sz="1" w:space="0" w:color="000000"/>
            </w:tcBorders>
          </w:tcPr>
          <w:p>
            <w:pPr>
              <w:pStyle w:val="TableParagraph"/>
              <w:spacing w:before="12"/>
              <w:ind w:left="5"/>
              <w:rPr>
                <w:rFonts w:ascii="Times New Roman"/>
                <w:sz w:val="21"/>
              </w:rPr>
            </w:pPr>
            <w:r>
              <w:rPr>
                <w:rFonts w:ascii="Times New Roman"/>
                <w:w w:val="100"/>
                <w:sz w:val="21"/>
              </w:rPr>
              <w:t>/</w:t>
            </w:r>
          </w:p>
        </w:tc>
        <w:tc>
          <w:tcPr>
            <w:tcW w:w="7275" w:type="dxa"/>
            <w:gridSpan w:val="10"/>
            <w:tcBorders>
              <w:bottom w:val="double" w:sz="1" w:space="0" w:color="000000"/>
            </w:tcBorders>
          </w:tcPr>
          <w:p>
            <w:pPr>
              <w:pStyle w:val="TableParagraph"/>
              <w:spacing w:before="12"/>
              <w:ind w:left="13"/>
              <w:rPr>
                <w:rFonts w:ascii="Times New Roman"/>
                <w:sz w:val="21"/>
              </w:rPr>
            </w:pPr>
            <w:r>
              <w:rPr>
                <w:rFonts w:ascii="Times New Roman"/>
                <w:w w:val="100"/>
                <w:sz w:val="21"/>
              </w:rPr>
              <w:t>/</w:t>
            </w:r>
          </w:p>
        </w:tc>
      </w:tr>
      <w:tr>
        <w:trPr>
          <w:trHeight w:val="274" w:hRule="atLeast"/>
        </w:trPr>
        <w:tc>
          <w:tcPr>
            <w:tcW w:w="629" w:type="dxa"/>
            <w:vMerge w:val="restart"/>
            <w:tcBorders>
              <w:top w:val="double" w:sz="1" w:space="0" w:color="000000"/>
              <w:bottom w:val="double" w:sz="1" w:space="0" w:color="000000"/>
            </w:tcBorders>
          </w:tcPr>
          <w:p>
            <w:pPr>
              <w:pStyle w:val="TableParagraph"/>
              <w:jc w:val="left"/>
              <w:rPr>
                <w:rFonts w:ascii="Times New Roman"/>
                <w:sz w:val="20"/>
              </w:rPr>
            </w:pPr>
          </w:p>
          <w:p>
            <w:pPr>
              <w:pStyle w:val="TableParagraph"/>
              <w:jc w:val="left"/>
              <w:rPr>
                <w:rFonts w:ascii="Times New Roman"/>
                <w:sz w:val="20"/>
              </w:rPr>
            </w:pPr>
          </w:p>
          <w:p>
            <w:pPr>
              <w:pStyle w:val="TableParagraph"/>
              <w:spacing w:line="242" w:lineRule="auto" w:before="167"/>
              <w:ind w:left="103" w:right="91"/>
              <w:jc w:val="both"/>
              <w:rPr>
                <w:b/>
                <w:sz w:val="21"/>
              </w:rPr>
            </w:pPr>
            <w:r>
              <w:rPr>
                <w:b/>
                <w:sz w:val="21"/>
              </w:rPr>
              <w:t>固废处置利用要求</w:t>
            </w:r>
          </w:p>
        </w:tc>
        <w:tc>
          <w:tcPr>
            <w:tcW w:w="8552" w:type="dxa"/>
            <w:gridSpan w:val="12"/>
            <w:tcBorders>
              <w:top w:val="double" w:sz="1" w:space="0" w:color="000000"/>
            </w:tcBorders>
          </w:tcPr>
          <w:p>
            <w:pPr>
              <w:pStyle w:val="TableParagraph"/>
              <w:spacing w:line="247" w:lineRule="exact" w:before="7"/>
              <w:ind w:left="2262" w:right="2250"/>
              <w:rPr>
                <w:sz w:val="21"/>
              </w:rPr>
            </w:pPr>
            <w:r>
              <w:rPr>
                <w:sz w:val="21"/>
              </w:rPr>
              <w:t>一般工业固态废弃物利用处置要求</w:t>
            </w:r>
          </w:p>
        </w:tc>
      </w:tr>
      <w:tr>
        <w:trPr>
          <w:trHeight w:val="262" w:hRule="atLeast"/>
        </w:trPr>
        <w:tc>
          <w:tcPr>
            <w:tcW w:w="629" w:type="dxa"/>
            <w:vMerge/>
            <w:tcBorders>
              <w:top w:val="nil"/>
              <w:bottom w:val="double" w:sz="1" w:space="0" w:color="000000"/>
            </w:tcBorders>
          </w:tcPr>
          <w:p>
            <w:pPr>
              <w:rPr>
                <w:sz w:val="2"/>
                <w:szCs w:val="2"/>
              </w:rPr>
            </w:pPr>
          </w:p>
        </w:tc>
        <w:tc>
          <w:tcPr>
            <w:tcW w:w="558" w:type="dxa"/>
          </w:tcPr>
          <w:p>
            <w:pPr>
              <w:pStyle w:val="TableParagraph"/>
              <w:spacing w:line="243" w:lineRule="exact"/>
              <w:ind w:left="34" w:right="35"/>
              <w:rPr>
                <w:sz w:val="21"/>
              </w:rPr>
            </w:pPr>
            <w:r>
              <w:rPr>
                <w:sz w:val="21"/>
              </w:rPr>
              <w:t>序号</w:t>
            </w:r>
          </w:p>
        </w:tc>
        <w:tc>
          <w:tcPr>
            <w:tcW w:w="3409" w:type="dxa"/>
            <w:gridSpan w:val="6"/>
          </w:tcPr>
          <w:p>
            <w:pPr>
              <w:pStyle w:val="TableParagraph"/>
              <w:spacing w:line="243" w:lineRule="exact"/>
              <w:ind w:left="1259" w:right="1260"/>
              <w:rPr>
                <w:sz w:val="21"/>
              </w:rPr>
            </w:pPr>
            <w:r>
              <w:rPr>
                <w:sz w:val="21"/>
              </w:rPr>
              <w:t>固废名称</w:t>
            </w:r>
          </w:p>
        </w:tc>
        <w:tc>
          <w:tcPr>
            <w:tcW w:w="4585" w:type="dxa"/>
            <w:gridSpan w:val="5"/>
          </w:tcPr>
          <w:p>
            <w:pPr>
              <w:pStyle w:val="TableParagraph"/>
              <w:spacing w:line="243" w:lineRule="exact"/>
              <w:ind w:left="1647" w:right="1627"/>
              <w:rPr>
                <w:sz w:val="21"/>
              </w:rPr>
            </w:pPr>
            <w:r>
              <w:rPr>
                <w:sz w:val="21"/>
              </w:rPr>
              <w:t>利用处置方式</w:t>
            </w:r>
          </w:p>
        </w:tc>
      </w:tr>
      <w:tr>
        <w:trPr>
          <w:trHeight w:val="265" w:hRule="atLeast"/>
        </w:trPr>
        <w:tc>
          <w:tcPr>
            <w:tcW w:w="629" w:type="dxa"/>
            <w:vMerge/>
            <w:tcBorders>
              <w:top w:val="nil"/>
              <w:bottom w:val="double" w:sz="1" w:space="0" w:color="000000"/>
            </w:tcBorders>
          </w:tcPr>
          <w:p>
            <w:pPr>
              <w:rPr>
                <w:sz w:val="2"/>
                <w:szCs w:val="2"/>
              </w:rPr>
            </w:pPr>
          </w:p>
        </w:tc>
        <w:tc>
          <w:tcPr>
            <w:tcW w:w="558" w:type="dxa"/>
          </w:tcPr>
          <w:p>
            <w:pPr>
              <w:pStyle w:val="TableParagraph"/>
              <w:spacing w:line="233" w:lineRule="exact" w:before="12"/>
              <w:ind w:right="3"/>
              <w:rPr>
                <w:rFonts w:ascii="Times New Roman"/>
                <w:sz w:val="21"/>
              </w:rPr>
            </w:pPr>
            <w:r>
              <w:rPr>
                <w:rFonts w:ascii="Times New Roman"/>
                <w:w w:val="100"/>
                <w:sz w:val="21"/>
              </w:rPr>
              <w:t>/</w:t>
            </w:r>
          </w:p>
        </w:tc>
        <w:tc>
          <w:tcPr>
            <w:tcW w:w="3409" w:type="dxa"/>
            <w:gridSpan w:val="6"/>
          </w:tcPr>
          <w:p>
            <w:pPr>
              <w:pStyle w:val="TableParagraph"/>
              <w:spacing w:line="233" w:lineRule="exact" w:before="12"/>
              <w:ind w:right="1"/>
              <w:rPr>
                <w:rFonts w:ascii="Times New Roman"/>
                <w:sz w:val="21"/>
              </w:rPr>
            </w:pPr>
            <w:r>
              <w:rPr>
                <w:rFonts w:ascii="Times New Roman"/>
                <w:w w:val="100"/>
                <w:sz w:val="21"/>
              </w:rPr>
              <w:t>/</w:t>
            </w:r>
          </w:p>
        </w:tc>
        <w:tc>
          <w:tcPr>
            <w:tcW w:w="4585" w:type="dxa"/>
            <w:gridSpan w:val="5"/>
          </w:tcPr>
          <w:p>
            <w:pPr>
              <w:pStyle w:val="TableParagraph"/>
              <w:spacing w:line="233" w:lineRule="exact" w:before="12"/>
              <w:ind w:left="16"/>
              <w:rPr>
                <w:rFonts w:ascii="Times New Roman"/>
                <w:sz w:val="21"/>
              </w:rPr>
            </w:pPr>
            <w:r>
              <w:rPr>
                <w:rFonts w:ascii="Times New Roman"/>
                <w:w w:val="100"/>
                <w:sz w:val="21"/>
              </w:rPr>
              <w:t>/</w:t>
            </w:r>
          </w:p>
        </w:tc>
      </w:tr>
      <w:tr>
        <w:trPr>
          <w:trHeight w:val="262" w:hRule="atLeast"/>
        </w:trPr>
        <w:tc>
          <w:tcPr>
            <w:tcW w:w="629" w:type="dxa"/>
            <w:vMerge/>
            <w:tcBorders>
              <w:top w:val="nil"/>
              <w:bottom w:val="double" w:sz="1" w:space="0" w:color="000000"/>
            </w:tcBorders>
          </w:tcPr>
          <w:p>
            <w:pPr>
              <w:rPr>
                <w:sz w:val="2"/>
                <w:szCs w:val="2"/>
              </w:rPr>
            </w:pPr>
          </w:p>
        </w:tc>
        <w:tc>
          <w:tcPr>
            <w:tcW w:w="8552" w:type="dxa"/>
            <w:gridSpan w:val="12"/>
          </w:tcPr>
          <w:p>
            <w:pPr>
              <w:pStyle w:val="TableParagraph"/>
              <w:spacing w:line="243" w:lineRule="exact"/>
              <w:ind w:left="2262" w:right="2250"/>
              <w:rPr>
                <w:sz w:val="21"/>
              </w:rPr>
            </w:pPr>
            <w:r>
              <w:rPr>
                <w:sz w:val="21"/>
              </w:rPr>
              <w:t>危险废物利用处置要求</w:t>
            </w:r>
          </w:p>
        </w:tc>
      </w:tr>
      <w:tr>
        <w:trPr>
          <w:trHeight w:val="265" w:hRule="atLeast"/>
        </w:trPr>
        <w:tc>
          <w:tcPr>
            <w:tcW w:w="629" w:type="dxa"/>
            <w:vMerge/>
            <w:tcBorders>
              <w:top w:val="nil"/>
              <w:bottom w:val="double" w:sz="1" w:space="0" w:color="000000"/>
            </w:tcBorders>
          </w:tcPr>
          <w:p>
            <w:pPr>
              <w:rPr>
                <w:sz w:val="2"/>
                <w:szCs w:val="2"/>
              </w:rPr>
            </w:pPr>
          </w:p>
        </w:tc>
        <w:tc>
          <w:tcPr>
            <w:tcW w:w="558" w:type="dxa"/>
            <w:vMerge w:val="restart"/>
          </w:tcPr>
          <w:p>
            <w:pPr>
              <w:pStyle w:val="TableParagraph"/>
              <w:spacing w:before="145"/>
              <w:ind w:left="71"/>
              <w:jc w:val="left"/>
              <w:rPr>
                <w:sz w:val="21"/>
              </w:rPr>
            </w:pPr>
            <w:r>
              <w:rPr>
                <w:sz w:val="21"/>
              </w:rPr>
              <w:t>序号</w:t>
            </w:r>
          </w:p>
        </w:tc>
        <w:tc>
          <w:tcPr>
            <w:tcW w:w="1995" w:type="dxa"/>
            <w:gridSpan w:val="4"/>
            <w:vMerge w:val="restart"/>
          </w:tcPr>
          <w:p>
            <w:pPr>
              <w:pStyle w:val="TableParagraph"/>
              <w:spacing w:before="145"/>
              <w:ind w:left="583"/>
              <w:jc w:val="left"/>
              <w:rPr>
                <w:sz w:val="21"/>
              </w:rPr>
            </w:pPr>
            <w:r>
              <w:rPr>
                <w:sz w:val="21"/>
              </w:rPr>
              <w:t>废物类别</w:t>
            </w:r>
          </w:p>
        </w:tc>
        <w:tc>
          <w:tcPr>
            <w:tcW w:w="1414" w:type="dxa"/>
            <w:gridSpan w:val="2"/>
            <w:vMerge w:val="restart"/>
          </w:tcPr>
          <w:p>
            <w:pPr>
              <w:pStyle w:val="TableParagraph"/>
              <w:spacing w:before="145"/>
              <w:ind w:left="288"/>
              <w:jc w:val="left"/>
              <w:rPr>
                <w:sz w:val="21"/>
              </w:rPr>
            </w:pPr>
            <w:r>
              <w:rPr>
                <w:sz w:val="21"/>
              </w:rPr>
              <w:t>废物代码</w:t>
            </w:r>
          </w:p>
        </w:tc>
        <w:tc>
          <w:tcPr>
            <w:tcW w:w="4585" w:type="dxa"/>
            <w:gridSpan w:val="5"/>
          </w:tcPr>
          <w:p>
            <w:pPr>
              <w:pStyle w:val="TableParagraph"/>
              <w:spacing w:line="246" w:lineRule="exact"/>
              <w:ind w:left="1647" w:right="1627"/>
              <w:rPr>
                <w:sz w:val="21"/>
              </w:rPr>
            </w:pPr>
            <w:r>
              <w:rPr>
                <w:sz w:val="21"/>
              </w:rPr>
              <w:t>利用处置要求</w:t>
            </w:r>
          </w:p>
        </w:tc>
      </w:tr>
      <w:tr>
        <w:trPr>
          <w:trHeight w:val="262" w:hRule="atLeast"/>
        </w:trPr>
        <w:tc>
          <w:tcPr>
            <w:tcW w:w="629" w:type="dxa"/>
            <w:vMerge/>
            <w:tcBorders>
              <w:top w:val="nil"/>
              <w:bottom w:val="double" w:sz="1" w:space="0" w:color="000000"/>
            </w:tcBorders>
          </w:tcPr>
          <w:p>
            <w:pPr>
              <w:rPr>
                <w:sz w:val="2"/>
                <w:szCs w:val="2"/>
              </w:rPr>
            </w:pPr>
          </w:p>
        </w:tc>
        <w:tc>
          <w:tcPr>
            <w:tcW w:w="558" w:type="dxa"/>
            <w:vMerge/>
            <w:tcBorders>
              <w:top w:val="nil"/>
            </w:tcBorders>
          </w:tcPr>
          <w:p>
            <w:pPr>
              <w:rPr>
                <w:sz w:val="2"/>
                <w:szCs w:val="2"/>
              </w:rPr>
            </w:pPr>
          </w:p>
        </w:tc>
        <w:tc>
          <w:tcPr>
            <w:tcW w:w="1995" w:type="dxa"/>
            <w:gridSpan w:val="4"/>
            <w:vMerge/>
            <w:tcBorders>
              <w:top w:val="nil"/>
            </w:tcBorders>
          </w:tcPr>
          <w:p>
            <w:pPr>
              <w:rPr>
                <w:sz w:val="2"/>
                <w:szCs w:val="2"/>
              </w:rPr>
            </w:pPr>
          </w:p>
        </w:tc>
        <w:tc>
          <w:tcPr>
            <w:tcW w:w="1414" w:type="dxa"/>
            <w:gridSpan w:val="2"/>
            <w:vMerge/>
            <w:tcBorders>
              <w:top w:val="nil"/>
            </w:tcBorders>
          </w:tcPr>
          <w:p>
            <w:pPr>
              <w:rPr>
                <w:sz w:val="2"/>
                <w:szCs w:val="2"/>
              </w:rPr>
            </w:pPr>
          </w:p>
        </w:tc>
        <w:tc>
          <w:tcPr>
            <w:tcW w:w="2830" w:type="dxa"/>
            <w:gridSpan w:val="4"/>
          </w:tcPr>
          <w:p>
            <w:pPr>
              <w:pStyle w:val="TableParagraph"/>
              <w:spacing w:line="243" w:lineRule="exact"/>
              <w:ind w:left="787"/>
              <w:jc w:val="left"/>
              <w:rPr>
                <w:sz w:val="21"/>
              </w:rPr>
            </w:pPr>
            <w:r>
              <w:rPr>
                <w:sz w:val="21"/>
              </w:rPr>
              <w:t>利用处置方式</w:t>
            </w:r>
          </w:p>
        </w:tc>
        <w:tc>
          <w:tcPr>
            <w:tcW w:w="1755" w:type="dxa"/>
          </w:tcPr>
          <w:p>
            <w:pPr>
              <w:pStyle w:val="TableParagraph"/>
              <w:spacing w:line="243" w:lineRule="exact"/>
              <w:ind w:left="233" w:right="211"/>
              <w:rPr>
                <w:sz w:val="21"/>
              </w:rPr>
            </w:pPr>
            <w:r>
              <w:rPr>
                <w:sz w:val="21"/>
              </w:rPr>
              <w:t>是否符合要求</w:t>
            </w:r>
          </w:p>
        </w:tc>
      </w:tr>
      <w:tr>
        <w:trPr>
          <w:trHeight w:val="265" w:hRule="atLeast"/>
        </w:trPr>
        <w:tc>
          <w:tcPr>
            <w:tcW w:w="629" w:type="dxa"/>
            <w:vMerge/>
            <w:tcBorders>
              <w:top w:val="nil"/>
              <w:bottom w:val="double" w:sz="1" w:space="0" w:color="000000"/>
            </w:tcBorders>
          </w:tcPr>
          <w:p>
            <w:pPr>
              <w:rPr>
                <w:sz w:val="2"/>
                <w:szCs w:val="2"/>
              </w:rPr>
            </w:pPr>
          </w:p>
        </w:tc>
        <w:tc>
          <w:tcPr>
            <w:tcW w:w="558" w:type="dxa"/>
            <w:tcBorders>
              <w:right w:val="single" w:sz="2" w:space="0" w:color="000000"/>
            </w:tcBorders>
          </w:tcPr>
          <w:p>
            <w:pPr>
              <w:pStyle w:val="TableParagraph"/>
              <w:spacing w:line="233" w:lineRule="exact" w:before="12"/>
              <w:ind w:left="14"/>
              <w:rPr>
                <w:rFonts w:ascii="Times New Roman"/>
                <w:sz w:val="21"/>
              </w:rPr>
            </w:pPr>
            <w:r>
              <w:rPr>
                <w:rFonts w:ascii="Times New Roman"/>
                <w:w w:val="100"/>
                <w:sz w:val="21"/>
              </w:rPr>
              <w:t>1</w:t>
            </w:r>
          </w:p>
        </w:tc>
        <w:tc>
          <w:tcPr>
            <w:tcW w:w="1995" w:type="dxa"/>
            <w:gridSpan w:val="4"/>
            <w:tcBorders>
              <w:left w:val="single" w:sz="2" w:space="0" w:color="000000"/>
              <w:right w:val="single" w:sz="2" w:space="0" w:color="000000"/>
            </w:tcBorders>
          </w:tcPr>
          <w:p>
            <w:pPr>
              <w:pStyle w:val="TableParagraph"/>
              <w:spacing w:line="245" w:lineRule="exact"/>
              <w:ind w:left="776" w:right="754"/>
              <w:rPr>
                <w:sz w:val="21"/>
              </w:rPr>
            </w:pPr>
            <w:r>
              <w:rPr>
                <w:sz w:val="21"/>
              </w:rPr>
              <w:t>污泥</w:t>
            </w:r>
          </w:p>
        </w:tc>
        <w:tc>
          <w:tcPr>
            <w:tcW w:w="1414" w:type="dxa"/>
            <w:gridSpan w:val="2"/>
            <w:tcBorders>
              <w:left w:val="single" w:sz="2" w:space="0" w:color="000000"/>
              <w:right w:val="single" w:sz="2" w:space="0" w:color="000000"/>
            </w:tcBorders>
          </w:tcPr>
          <w:p>
            <w:pPr>
              <w:pStyle w:val="TableParagraph"/>
              <w:spacing w:line="233" w:lineRule="exact" w:before="12"/>
              <w:ind w:left="221"/>
              <w:jc w:val="left"/>
              <w:rPr>
                <w:rFonts w:ascii="Times New Roman"/>
                <w:sz w:val="21"/>
              </w:rPr>
            </w:pPr>
            <w:r>
              <w:rPr>
                <w:rFonts w:ascii="Times New Roman"/>
                <w:sz w:val="21"/>
              </w:rPr>
              <w:t>263-011-04</w:t>
            </w:r>
          </w:p>
        </w:tc>
        <w:tc>
          <w:tcPr>
            <w:tcW w:w="2830" w:type="dxa"/>
            <w:gridSpan w:val="4"/>
            <w:tcBorders>
              <w:left w:val="single" w:sz="2" w:space="0" w:color="000000"/>
              <w:right w:val="single" w:sz="2" w:space="0" w:color="000000"/>
            </w:tcBorders>
          </w:tcPr>
          <w:p>
            <w:pPr>
              <w:pStyle w:val="TableParagraph"/>
              <w:spacing w:line="245" w:lineRule="exact"/>
              <w:ind w:left="475"/>
              <w:jc w:val="left"/>
              <w:rPr>
                <w:sz w:val="21"/>
              </w:rPr>
            </w:pPr>
            <w:r>
              <w:rPr>
                <w:sz w:val="21"/>
              </w:rPr>
              <w:t>委托有资质单位处置</w:t>
            </w:r>
          </w:p>
        </w:tc>
        <w:tc>
          <w:tcPr>
            <w:tcW w:w="1755" w:type="dxa"/>
            <w:tcBorders>
              <w:left w:val="single" w:sz="2" w:space="0" w:color="000000"/>
            </w:tcBorders>
          </w:tcPr>
          <w:p>
            <w:pPr>
              <w:pStyle w:val="TableParagraph"/>
              <w:spacing w:line="245" w:lineRule="exact"/>
              <w:ind w:left="656" w:right="631"/>
              <w:rPr>
                <w:sz w:val="21"/>
              </w:rPr>
            </w:pPr>
            <w:r>
              <w:rPr>
                <w:sz w:val="21"/>
              </w:rPr>
              <w:t>符合</w:t>
            </w:r>
          </w:p>
        </w:tc>
      </w:tr>
      <w:tr>
        <w:trPr>
          <w:trHeight w:val="272" w:hRule="atLeast"/>
        </w:trPr>
        <w:tc>
          <w:tcPr>
            <w:tcW w:w="629" w:type="dxa"/>
            <w:vMerge/>
            <w:tcBorders>
              <w:top w:val="nil"/>
              <w:bottom w:val="double" w:sz="1" w:space="0" w:color="000000"/>
            </w:tcBorders>
          </w:tcPr>
          <w:p>
            <w:pPr>
              <w:rPr>
                <w:sz w:val="2"/>
                <w:szCs w:val="2"/>
              </w:rPr>
            </w:pPr>
          </w:p>
        </w:tc>
        <w:tc>
          <w:tcPr>
            <w:tcW w:w="558" w:type="dxa"/>
            <w:tcBorders>
              <w:bottom w:val="double" w:sz="1" w:space="0" w:color="000000"/>
              <w:right w:val="single" w:sz="2" w:space="0" w:color="000000"/>
            </w:tcBorders>
          </w:tcPr>
          <w:p>
            <w:pPr>
              <w:pStyle w:val="TableParagraph"/>
              <w:spacing w:before="9"/>
              <w:ind w:left="14"/>
              <w:rPr>
                <w:rFonts w:ascii="Times New Roman"/>
                <w:sz w:val="21"/>
              </w:rPr>
            </w:pPr>
            <w:r>
              <w:rPr>
                <w:rFonts w:ascii="Times New Roman"/>
                <w:w w:val="100"/>
                <w:sz w:val="21"/>
              </w:rPr>
              <w:t>2</w:t>
            </w:r>
          </w:p>
        </w:tc>
        <w:tc>
          <w:tcPr>
            <w:tcW w:w="1995" w:type="dxa"/>
            <w:gridSpan w:val="4"/>
            <w:tcBorders>
              <w:left w:val="single" w:sz="2" w:space="0" w:color="000000"/>
              <w:bottom w:val="double" w:sz="1" w:space="0" w:color="000000"/>
              <w:right w:val="single" w:sz="2" w:space="0" w:color="000000"/>
            </w:tcBorders>
          </w:tcPr>
          <w:p>
            <w:pPr>
              <w:pStyle w:val="TableParagraph"/>
              <w:spacing w:line="252" w:lineRule="exact"/>
              <w:ind w:left="586"/>
              <w:jc w:val="left"/>
              <w:rPr>
                <w:sz w:val="21"/>
              </w:rPr>
            </w:pPr>
            <w:r>
              <w:rPr>
                <w:sz w:val="21"/>
              </w:rPr>
              <w:t>废包装袋</w:t>
            </w:r>
          </w:p>
        </w:tc>
        <w:tc>
          <w:tcPr>
            <w:tcW w:w="1414" w:type="dxa"/>
            <w:gridSpan w:val="2"/>
            <w:tcBorders>
              <w:left w:val="single" w:sz="2" w:space="0" w:color="000000"/>
              <w:bottom w:val="double" w:sz="1" w:space="0" w:color="000000"/>
              <w:right w:val="single" w:sz="2" w:space="0" w:color="000000"/>
            </w:tcBorders>
          </w:tcPr>
          <w:p>
            <w:pPr>
              <w:pStyle w:val="TableParagraph"/>
              <w:spacing w:before="9"/>
              <w:ind w:left="221"/>
              <w:jc w:val="left"/>
              <w:rPr>
                <w:rFonts w:ascii="Times New Roman"/>
                <w:sz w:val="21"/>
              </w:rPr>
            </w:pPr>
            <w:r>
              <w:rPr>
                <w:rFonts w:ascii="Times New Roman"/>
                <w:sz w:val="21"/>
              </w:rPr>
              <w:t>900-041-49</w:t>
            </w:r>
          </w:p>
        </w:tc>
        <w:tc>
          <w:tcPr>
            <w:tcW w:w="2830" w:type="dxa"/>
            <w:gridSpan w:val="4"/>
            <w:tcBorders>
              <w:left w:val="single" w:sz="2" w:space="0" w:color="000000"/>
              <w:bottom w:val="double" w:sz="1" w:space="0" w:color="000000"/>
              <w:right w:val="single" w:sz="2" w:space="0" w:color="000000"/>
            </w:tcBorders>
          </w:tcPr>
          <w:p>
            <w:pPr>
              <w:pStyle w:val="TableParagraph"/>
              <w:spacing w:line="252" w:lineRule="exact"/>
              <w:ind w:left="475"/>
              <w:jc w:val="left"/>
              <w:rPr>
                <w:sz w:val="21"/>
              </w:rPr>
            </w:pPr>
            <w:r>
              <w:rPr>
                <w:sz w:val="21"/>
              </w:rPr>
              <w:t>委托有资质单位处置</w:t>
            </w:r>
          </w:p>
        </w:tc>
        <w:tc>
          <w:tcPr>
            <w:tcW w:w="1755" w:type="dxa"/>
            <w:tcBorders>
              <w:left w:val="single" w:sz="2" w:space="0" w:color="000000"/>
              <w:bottom w:val="double" w:sz="1" w:space="0" w:color="000000"/>
            </w:tcBorders>
          </w:tcPr>
          <w:p>
            <w:pPr>
              <w:pStyle w:val="TableParagraph"/>
              <w:spacing w:line="252" w:lineRule="exact"/>
              <w:ind w:left="656" w:right="631"/>
              <w:rPr>
                <w:sz w:val="21"/>
              </w:rPr>
            </w:pPr>
            <w:r>
              <w:rPr>
                <w:sz w:val="21"/>
              </w:rPr>
              <w:t>符合</w:t>
            </w:r>
          </w:p>
        </w:tc>
      </w:tr>
      <w:tr>
        <w:trPr>
          <w:trHeight w:val="274" w:hRule="atLeast"/>
        </w:trPr>
        <w:tc>
          <w:tcPr>
            <w:tcW w:w="629" w:type="dxa"/>
            <w:vMerge w:val="restart"/>
            <w:tcBorders>
              <w:top w:val="double" w:sz="1" w:space="0" w:color="000000"/>
              <w:bottom w:val="double" w:sz="1" w:space="0" w:color="000000"/>
            </w:tcBorders>
          </w:tcPr>
          <w:p>
            <w:pPr>
              <w:pStyle w:val="TableParagraph"/>
              <w:spacing w:line="242" w:lineRule="auto" w:before="3"/>
              <w:ind w:left="103" w:right="91"/>
              <w:jc w:val="both"/>
              <w:rPr>
                <w:b/>
                <w:sz w:val="21"/>
              </w:rPr>
            </w:pPr>
            <w:r>
              <w:rPr>
                <w:b/>
                <w:spacing w:val="-9"/>
                <w:sz w:val="21"/>
              </w:rPr>
              <w:t>噪声排放控制</w:t>
            </w:r>
          </w:p>
          <w:p>
            <w:pPr>
              <w:pStyle w:val="TableParagraph"/>
              <w:spacing w:line="252" w:lineRule="exact"/>
              <w:ind w:left="103"/>
              <w:jc w:val="left"/>
              <w:rPr>
                <w:b/>
                <w:sz w:val="21"/>
              </w:rPr>
            </w:pPr>
            <w:r>
              <w:rPr>
                <w:b/>
                <w:sz w:val="21"/>
              </w:rPr>
              <w:t>要求</w:t>
            </w:r>
          </w:p>
        </w:tc>
        <w:tc>
          <w:tcPr>
            <w:tcW w:w="558" w:type="dxa"/>
            <w:vMerge w:val="restart"/>
            <w:tcBorders>
              <w:top w:val="double" w:sz="1" w:space="0" w:color="000000"/>
            </w:tcBorders>
          </w:tcPr>
          <w:p>
            <w:pPr>
              <w:pStyle w:val="TableParagraph"/>
              <w:spacing w:before="154"/>
              <w:ind w:left="71"/>
              <w:jc w:val="left"/>
              <w:rPr>
                <w:sz w:val="21"/>
              </w:rPr>
            </w:pPr>
            <w:r>
              <w:rPr>
                <w:sz w:val="21"/>
              </w:rPr>
              <w:t>序号</w:t>
            </w:r>
          </w:p>
        </w:tc>
        <w:tc>
          <w:tcPr>
            <w:tcW w:w="3409" w:type="dxa"/>
            <w:gridSpan w:val="6"/>
            <w:vMerge w:val="restart"/>
            <w:tcBorders>
              <w:top w:val="double" w:sz="1" w:space="0" w:color="000000"/>
            </w:tcBorders>
          </w:tcPr>
          <w:p>
            <w:pPr>
              <w:pStyle w:val="TableParagraph"/>
              <w:spacing w:before="154"/>
              <w:ind w:left="555"/>
              <w:jc w:val="left"/>
              <w:rPr>
                <w:sz w:val="21"/>
              </w:rPr>
            </w:pPr>
            <w:r>
              <w:rPr>
                <w:sz w:val="21"/>
              </w:rPr>
              <w:t>边界处声环境功能区类型</w:t>
            </w:r>
          </w:p>
        </w:tc>
        <w:tc>
          <w:tcPr>
            <w:tcW w:w="4585" w:type="dxa"/>
            <w:gridSpan w:val="5"/>
            <w:tcBorders>
              <w:top w:val="double" w:sz="1" w:space="0" w:color="000000"/>
            </w:tcBorders>
          </w:tcPr>
          <w:p>
            <w:pPr>
              <w:pStyle w:val="TableParagraph"/>
              <w:spacing w:line="247" w:lineRule="exact" w:before="8"/>
              <w:ind w:left="1035"/>
              <w:jc w:val="left"/>
              <w:rPr>
                <w:sz w:val="21"/>
              </w:rPr>
            </w:pPr>
            <w:r>
              <w:rPr>
                <w:sz w:val="21"/>
              </w:rPr>
              <w:t>工业企业厂界噪声排放标准</w:t>
            </w:r>
          </w:p>
        </w:tc>
      </w:tr>
      <w:tr>
        <w:trPr>
          <w:trHeight w:val="262" w:hRule="atLeast"/>
        </w:trPr>
        <w:tc>
          <w:tcPr>
            <w:tcW w:w="629" w:type="dxa"/>
            <w:vMerge/>
            <w:tcBorders>
              <w:top w:val="nil"/>
              <w:bottom w:val="double" w:sz="1" w:space="0" w:color="000000"/>
            </w:tcBorders>
          </w:tcPr>
          <w:p>
            <w:pPr>
              <w:rPr>
                <w:sz w:val="2"/>
                <w:szCs w:val="2"/>
              </w:rPr>
            </w:pPr>
          </w:p>
        </w:tc>
        <w:tc>
          <w:tcPr>
            <w:tcW w:w="558" w:type="dxa"/>
            <w:vMerge/>
            <w:tcBorders>
              <w:top w:val="nil"/>
            </w:tcBorders>
          </w:tcPr>
          <w:p>
            <w:pPr>
              <w:rPr>
                <w:sz w:val="2"/>
                <w:szCs w:val="2"/>
              </w:rPr>
            </w:pPr>
          </w:p>
        </w:tc>
        <w:tc>
          <w:tcPr>
            <w:tcW w:w="3409" w:type="dxa"/>
            <w:gridSpan w:val="6"/>
            <w:vMerge/>
            <w:tcBorders>
              <w:top w:val="nil"/>
            </w:tcBorders>
          </w:tcPr>
          <w:p>
            <w:pPr>
              <w:rPr>
                <w:sz w:val="2"/>
                <w:szCs w:val="2"/>
              </w:rPr>
            </w:pPr>
          </w:p>
        </w:tc>
        <w:tc>
          <w:tcPr>
            <w:tcW w:w="2516" w:type="dxa"/>
            <w:gridSpan w:val="3"/>
          </w:tcPr>
          <w:p>
            <w:pPr>
              <w:pStyle w:val="TableParagraph"/>
              <w:spacing w:line="243" w:lineRule="exact"/>
              <w:ind w:left="184" w:right="164"/>
              <w:rPr>
                <w:sz w:val="21"/>
              </w:rPr>
            </w:pPr>
            <w:r>
              <w:rPr>
                <w:sz w:val="21"/>
              </w:rPr>
              <w:t>昼间</w:t>
            </w:r>
          </w:p>
        </w:tc>
        <w:tc>
          <w:tcPr>
            <w:tcW w:w="2069" w:type="dxa"/>
            <w:gridSpan w:val="2"/>
          </w:tcPr>
          <w:p>
            <w:pPr>
              <w:pStyle w:val="TableParagraph"/>
              <w:spacing w:line="243" w:lineRule="exact"/>
              <w:ind w:left="635" w:right="615"/>
              <w:rPr>
                <w:sz w:val="21"/>
              </w:rPr>
            </w:pPr>
            <w:r>
              <w:rPr>
                <w:sz w:val="21"/>
              </w:rPr>
              <w:t>夜间</w:t>
            </w:r>
          </w:p>
        </w:tc>
      </w:tr>
      <w:tr>
        <w:trPr>
          <w:trHeight w:val="493" w:hRule="atLeast"/>
        </w:trPr>
        <w:tc>
          <w:tcPr>
            <w:tcW w:w="629" w:type="dxa"/>
            <w:vMerge/>
            <w:tcBorders>
              <w:top w:val="nil"/>
              <w:bottom w:val="double" w:sz="1" w:space="0" w:color="000000"/>
            </w:tcBorders>
          </w:tcPr>
          <w:p>
            <w:pPr>
              <w:rPr>
                <w:sz w:val="2"/>
                <w:szCs w:val="2"/>
              </w:rPr>
            </w:pPr>
          </w:p>
        </w:tc>
        <w:tc>
          <w:tcPr>
            <w:tcW w:w="558" w:type="dxa"/>
            <w:tcBorders>
              <w:bottom w:val="double" w:sz="1" w:space="0" w:color="000000"/>
            </w:tcBorders>
          </w:tcPr>
          <w:p>
            <w:pPr>
              <w:pStyle w:val="TableParagraph"/>
              <w:spacing w:before="120"/>
              <w:ind w:left="17"/>
              <w:rPr>
                <w:rFonts w:ascii="Times New Roman"/>
                <w:sz w:val="21"/>
              </w:rPr>
            </w:pPr>
            <w:r>
              <w:rPr>
                <w:rFonts w:ascii="Times New Roman"/>
                <w:w w:val="100"/>
                <w:sz w:val="21"/>
              </w:rPr>
              <w:t>1</w:t>
            </w:r>
          </w:p>
        </w:tc>
        <w:tc>
          <w:tcPr>
            <w:tcW w:w="3409" w:type="dxa"/>
            <w:gridSpan w:val="6"/>
            <w:tcBorders>
              <w:bottom w:val="double" w:sz="1" w:space="0" w:color="000000"/>
            </w:tcBorders>
          </w:tcPr>
          <w:p>
            <w:pPr>
              <w:pStyle w:val="TableParagraph"/>
              <w:spacing w:before="120"/>
              <w:ind w:left="26"/>
              <w:rPr>
                <w:rFonts w:ascii="Times New Roman"/>
                <w:sz w:val="21"/>
              </w:rPr>
            </w:pPr>
            <w:r>
              <w:rPr>
                <w:rFonts w:ascii="Times New Roman"/>
                <w:w w:val="100"/>
                <w:sz w:val="21"/>
              </w:rPr>
              <w:t>3</w:t>
            </w:r>
          </w:p>
        </w:tc>
        <w:tc>
          <w:tcPr>
            <w:tcW w:w="2516" w:type="dxa"/>
            <w:gridSpan w:val="3"/>
            <w:tcBorders>
              <w:bottom w:val="double" w:sz="1" w:space="0" w:color="000000"/>
            </w:tcBorders>
          </w:tcPr>
          <w:p>
            <w:pPr>
              <w:pStyle w:val="TableParagraph"/>
              <w:spacing w:before="120"/>
              <w:ind w:left="184" w:right="164"/>
              <w:rPr>
                <w:rFonts w:ascii="Times New Roman"/>
                <w:sz w:val="21"/>
              </w:rPr>
            </w:pPr>
            <w:r>
              <w:rPr>
                <w:rFonts w:ascii="Times New Roman"/>
                <w:sz w:val="21"/>
              </w:rPr>
              <w:t>65</w:t>
            </w:r>
          </w:p>
        </w:tc>
        <w:tc>
          <w:tcPr>
            <w:tcW w:w="2069" w:type="dxa"/>
            <w:gridSpan w:val="2"/>
            <w:tcBorders>
              <w:bottom w:val="double" w:sz="1" w:space="0" w:color="000000"/>
            </w:tcBorders>
          </w:tcPr>
          <w:p>
            <w:pPr>
              <w:pStyle w:val="TableParagraph"/>
              <w:spacing w:before="120"/>
              <w:ind w:left="635" w:right="615"/>
              <w:rPr>
                <w:rFonts w:ascii="Times New Roman"/>
                <w:sz w:val="21"/>
              </w:rPr>
            </w:pPr>
            <w:r>
              <w:rPr>
                <w:rFonts w:ascii="Times New Roman"/>
                <w:sz w:val="21"/>
              </w:rPr>
              <w:t>55</w:t>
            </w:r>
          </w:p>
        </w:tc>
      </w:tr>
      <w:tr>
        <w:trPr>
          <w:trHeight w:val="272" w:hRule="atLeast"/>
        </w:trPr>
        <w:tc>
          <w:tcPr>
            <w:tcW w:w="629" w:type="dxa"/>
            <w:vMerge w:val="restart"/>
            <w:tcBorders>
              <w:top w:val="double" w:sz="1" w:space="0" w:color="000000"/>
              <w:bottom w:val="double" w:sz="1" w:space="0" w:color="000000"/>
            </w:tcBorders>
          </w:tcPr>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spacing w:before="6"/>
              <w:jc w:val="left"/>
              <w:rPr>
                <w:rFonts w:ascii="Times New Roman"/>
                <w:sz w:val="19"/>
              </w:rPr>
            </w:pPr>
          </w:p>
          <w:p>
            <w:pPr>
              <w:pStyle w:val="TableParagraph"/>
              <w:spacing w:line="242" w:lineRule="auto"/>
              <w:ind w:left="103" w:right="91"/>
              <w:jc w:val="both"/>
              <w:rPr>
                <w:b/>
                <w:sz w:val="21"/>
              </w:rPr>
            </w:pPr>
            <w:r>
              <w:rPr>
                <w:b/>
                <w:sz w:val="21"/>
              </w:rPr>
              <w:t>污染治理措施</w:t>
            </w:r>
          </w:p>
        </w:tc>
        <w:tc>
          <w:tcPr>
            <w:tcW w:w="558" w:type="dxa"/>
            <w:tcBorders>
              <w:top w:val="double" w:sz="1" w:space="0" w:color="000000"/>
            </w:tcBorders>
          </w:tcPr>
          <w:p>
            <w:pPr>
              <w:pStyle w:val="TableParagraph"/>
              <w:spacing w:line="247" w:lineRule="exact" w:before="5"/>
              <w:ind w:left="43" w:right="26"/>
              <w:rPr>
                <w:sz w:val="21"/>
              </w:rPr>
            </w:pPr>
            <w:r>
              <w:rPr>
                <w:sz w:val="21"/>
              </w:rPr>
              <w:t>序号</w:t>
            </w:r>
          </w:p>
        </w:tc>
        <w:tc>
          <w:tcPr>
            <w:tcW w:w="1715" w:type="dxa"/>
            <w:gridSpan w:val="3"/>
            <w:tcBorders>
              <w:top w:val="double" w:sz="1" w:space="0" w:color="000000"/>
            </w:tcBorders>
          </w:tcPr>
          <w:p>
            <w:pPr>
              <w:pStyle w:val="TableParagraph"/>
              <w:spacing w:line="247" w:lineRule="exact" w:before="5"/>
              <w:ind w:left="336"/>
              <w:jc w:val="left"/>
              <w:rPr>
                <w:sz w:val="21"/>
              </w:rPr>
            </w:pPr>
            <w:r>
              <w:rPr>
                <w:sz w:val="21"/>
              </w:rPr>
              <w:t>污染源名称</w:t>
            </w:r>
          </w:p>
        </w:tc>
        <w:tc>
          <w:tcPr>
            <w:tcW w:w="4210" w:type="dxa"/>
            <w:gridSpan w:val="6"/>
            <w:tcBorders>
              <w:top w:val="double" w:sz="1" w:space="0" w:color="000000"/>
            </w:tcBorders>
          </w:tcPr>
          <w:p>
            <w:pPr>
              <w:pStyle w:val="TableParagraph"/>
              <w:spacing w:line="247" w:lineRule="exact" w:before="5"/>
              <w:ind w:left="28" w:right="12"/>
              <w:rPr>
                <w:sz w:val="21"/>
              </w:rPr>
            </w:pPr>
            <w:r>
              <w:rPr>
                <w:sz w:val="21"/>
              </w:rPr>
              <w:t>治理措施</w:t>
            </w:r>
          </w:p>
        </w:tc>
        <w:tc>
          <w:tcPr>
            <w:tcW w:w="2069" w:type="dxa"/>
            <w:gridSpan w:val="2"/>
            <w:tcBorders>
              <w:top w:val="double" w:sz="1" w:space="0" w:color="000000"/>
            </w:tcBorders>
          </w:tcPr>
          <w:p>
            <w:pPr>
              <w:pStyle w:val="TableParagraph"/>
              <w:spacing w:line="247" w:lineRule="exact" w:before="5"/>
              <w:ind w:left="379"/>
              <w:jc w:val="left"/>
              <w:rPr>
                <w:sz w:val="21"/>
              </w:rPr>
            </w:pPr>
            <w:r>
              <w:rPr>
                <w:sz w:val="21"/>
              </w:rPr>
              <w:t>主要参数</w:t>
            </w:r>
            <w:r>
              <w:rPr>
                <w:rFonts w:ascii="Times New Roman" w:eastAsia="Times New Roman"/>
                <w:sz w:val="21"/>
              </w:rPr>
              <w:t>/</w:t>
            </w:r>
            <w:r>
              <w:rPr>
                <w:sz w:val="21"/>
              </w:rPr>
              <w:t>备注</w:t>
            </w:r>
          </w:p>
        </w:tc>
      </w:tr>
      <w:tr>
        <w:trPr>
          <w:trHeight w:val="526" w:hRule="atLeast"/>
        </w:trPr>
        <w:tc>
          <w:tcPr>
            <w:tcW w:w="629" w:type="dxa"/>
            <w:vMerge/>
            <w:tcBorders>
              <w:top w:val="nil"/>
              <w:bottom w:val="double" w:sz="1" w:space="0" w:color="000000"/>
            </w:tcBorders>
          </w:tcPr>
          <w:p>
            <w:pPr>
              <w:rPr>
                <w:sz w:val="2"/>
                <w:szCs w:val="2"/>
              </w:rPr>
            </w:pPr>
          </w:p>
        </w:tc>
        <w:tc>
          <w:tcPr>
            <w:tcW w:w="558" w:type="dxa"/>
          </w:tcPr>
          <w:p>
            <w:pPr>
              <w:pStyle w:val="TableParagraph"/>
              <w:spacing w:before="141"/>
              <w:ind w:left="17"/>
              <w:rPr>
                <w:rFonts w:ascii="Times New Roman"/>
                <w:sz w:val="21"/>
              </w:rPr>
            </w:pPr>
            <w:r>
              <w:rPr>
                <w:rFonts w:ascii="Times New Roman"/>
                <w:w w:val="100"/>
                <w:sz w:val="21"/>
              </w:rPr>
              <w:t>1</w:t>
            </w:r>
          </w:p>
        </w:tc>
        <w:tc>
          <w:tcPr>
            <w:tcW w:w="1715" w:type="dxa"/>
            <w:gridSpan w:val="3"/>
          </w:tcPr>
          <w:p>
            <w:pPr>
              <w:pStyle w:val="TableParagraph"/>
              <w:spacing w:line="262" w:lineRule="exact"/>
              <w:ind w:left="25"/>
              <w:rPr>
                <w:sz w:val="21"/>
              </w:rPr>
            </w:pPr>
            <w:r>
              <w:rPr>
                <w:sz w:val="21"/>
              </w:rPr>
              <w:t>车间一有组织甲</w:t>
            </w:r>
          </w:p>
          <w:p>
            <w:pPr>
              <w:pStyle w:val="TableParagraph"/>
              <w:spacing w:line="242" w:lineRule="exact" w:before="2"/>
              <w:ind w:left="24"/>
              <w:rPr>
                <w:sz w:val="21"/>
              </w:rPr>
            </w:pPr>
            <w:r>
              <w:rPr>
                <w:sz w:val="21"/>
              </w:rPr>
              <w:t>酸废气</w:t>
            </w:r>
          </w:p>
        </w:tc>
        <w:tc>
          <w:tcPr>
            <w:tcW w:w="4210" w:type="dxa"/>
            <w:gridSpan w:val="6"/>
          </w:tcPr>
          <w:p>
            <w:pPr>
              <w:pStyle w:val="TableParagraph"/>
              <w:spacing w:line="262" w:lineRule="exact"/>
              <w:ind w:left="29" w:right="12"/>
              <w:rPr>
                <w:sz w:val="21"/>
              </w:rPr>
            </w:pPr>
            <w:r>
              <w:rPr>
                <w:sz w:val="21"/>
              </w:rPr>
              <w:t>冷凝</w:t>
            </w:r>
            <w:r>
              <w:rPr>
                <w:rFonts w:ascii="Times New Roman" w:eastAsia="Times New Roman"/>
                <w:sz w:val="21"/>
              </w:rPr>
              <w:t>+</w:t>
            </w:r>
            <w:r>
              <w:rPr>
                <w:sz w:val="21"/>
              </w:rPr>
              <w:t>废气集中处理装置（两级碱喷淋）</w:t>
            </w:r>
            <w:r>
              <w:rPr>
                <w:rFonts w:ascii="Times New Roman" w:eastAsia="Times New Roman"/>
                <w:sz w:val="21"/>
              </w:rPr>
              <w:t>+</w:t>
            </w:r>
            <w:r>
              <w:rPr>
                <w:sz w:val="21"/>
              </w:rPr>
              <w:t>排</w:t>
            </w:r>
          </w:p>
          <w:p>
            <w:pPr>
              <w:pStyle w:val="TableParagraph"/>
              <w:spacing w:line="242" w:lineRule="exact" w:before="2"/>
              <w:ind w:left="30" w:right="12"/>
              <w:rPr>
                <w:rFonts w:ascii="Times New Roman" w:eastAsia="Times New Roman"/>
                <w:sz w:val="21"/>
              </w:rPr>
            </w:pPr>
            <w:r>
              <w:rPr>
                <w:sz w:val="21"/>
              </w:rPr>
              <w:t>气筒</w:t>
            </w:r>
            <w:r>
              <w:rPr>
                <w:rFonts w:ascii="Times New Roman" w:eastAsia="Times New Roman"/>
                <w:sz w:val="21"/>
              </w:rPr>
              <w:t>DA004</w:t>
            </w:r>
          </w:p>
        </w:tc>
        <w:tc>
          <w:tcPr>
            <w:tcW w:w="2069" w:type="dxa"/>
            <w:gridSpan w:val="2"/>
            <w:vMerge w:val="restart"/>
          </w:tcPr>
          <w:p>
            <w:pPr>
              <w:pStyle w:val="TableParagraph"/>
              <w:spacing w:before="3"/>
              <w:jc w:val="left"/>
              <w:rPr>
                <w:rFonts w:ascii="Times New Roman"/>
                <w:sz w:val="35"/>
              </w:rPr>
            </w:pPr>
          </w:p>
          <w:p>
            <w:pPr>
              <w:pStyle w:val="TableParagraph"/>
              <w:ind w:left="79"/>
              <w:jc w:val="left"/>
              <w:rPr>
                <w:rFonts w:ascii="Times New Roman" w:eastAsia="Times New Roman"/>
                <w:sz w:val="21"/>
              </w:rPr>
            </w:pPr>
            <w:r>
              <w:rPr>
                <w:sz w:val="21"/>
              </w:rPr>
              <w:t>集气风量为 </w:t>
            </w:r>
            <w:r>
              <w:rPr>
                <w:rFonts w:ascii="Times New Roman" w:eastAsia="Times New Roman"/>
                <w:sz w:val="21"/>
              </w:rPr>
              <w:t>4500m</w:t>
            </w:r>
            <w:r>
              <w:rPr>
                <w:rFonts w:ascii="Times New Roman" w:eastAsia="Times New Roman"/>
                <w:position w:val="7"/>
                <w:sz w:val="14"/>
              </w:rPr>
              <w:t>3</w:t>
            </w:r>
            <w:r>
              <w:rPr>
                <w:rFonts w:ascii="Times New Roman" w:eastAsia="Times New Roman"/>
                <w:sz w:val="21"/>
              </w:rPr>
              <w:t>/h</w:t>
            </w:r>
          </w:p>
        </w:tc>
      </w:tr>
      <w:tr>
        <w:trPr>
          <w:trHeight w:val="524" w:hRule="atLeast"/>
        </w:trPr>
        <w:tc>
          <w:tcPr>
            <w:tcW w:w="629" w:type="dxa"/>
            <w:vMerge/>
            <w:tcBorders>
              <w:top w:val="nil"/>
              <w:bottom w:val="double" w:sz="1" w:space="0" w:color="000000"/>
            </w:tcBorders>
          </w:tcPr>
          <w:p>
            <w:pPr>
              <w:rPr>
                <w:sz w:val="2"/>
                <w:szCs w:val="2"/>
              </w:rPr>
            </w:pPr>
          </w:p>
        </w:tc>
        <w:tc>
          <w:tcPr>
            <w:tcW w:w="558" w:type="dxa"/>
          </w:tcPr>
          <w:p>
            <w:pPr>
              <w:pStyle w:val="TableParagraph"/>
              <w:spacing w:before="139"/>
              <w:ind w:left="17"/>
              <w:rPr>
                <w:rFonts w:ascii="Times New Roman"/>
                <w:sz w:val="21"/>
              </w:rPr>
            </w:pPr>
            <w:r>
              <w:rPr>
                <w:rFonts w:ascii="Times New Roman"/>
                <w:w w:val="100"/>
                <w:sz w:val="21"/>
              </w:rPr>
              <w:t>2</w:t>
            </w:r>
          </w:p>
        </w:tc>
        <w:tc>
          <w:tcPr>
            <w:tcW w:w="1715" w:type="dxa"/>
            <w:gridSpan w:val="3"/>
          </w:tcPr>
          <w:p>
            <w:pPr>
              <w:pStyle w:val="TableParagraph"/>
              <w:spacing w:line="260" w:lineRule="exact"/>
              <w:ind w:left="25"/>
              <w:rPr>
                <w:sz w:val="21"/>
              </w:rPr>
            </w:pPr>
            <w:r>
              <w:rPr>
                <w:sz w:val="21"/>
              </w:rPr>
              <w:t>车间一有组织粉</w:t>
            </w:r>
          </w:p>
          <w:p>
            <w:pPr>
              <w:pStyle w:val="TableParagraph"/>
              <w:spacing w:line="242" w:lineRule="exact" w:before="2"/>
              <w:ind w:left="19"/>
              <w:rPr>
                <w:sz w:val="21"/>
              </w:rPr>
            </w:pPr>
            <w:r>
              <w:rPr>
                <w:w w:val="100"/>
                <w:sz w:val="21"/>
              </w:rPr>
              <w:t>尘</w:t>
            </w:r>
          </w:p>
        </w:tc>
        <w:tc>
          <w:tcPr>
            <w:tcW w:w="4210" w:type="dxa"/>
            <w:gridSpan w:val="6"/>
          </w:tcPr>
          <w:p>
            <w:pPr>
              <w:pStyle w:val="TableParagraph"/>
              <w:spacing w:line="260" w:lineRule="exact"/>
              <w:ind w:left="38" w:right="12"/>
              <w:rPr>
                <w:sz w:val="21"/>
              </w:rPr>
            </w:pPr>
            <w:r>
              <w:rPr>
                <w:sz w:val="21"/>
              </w:rPr>
              <w:t>布袋除尘</w:t>
            </w:r>
            <w:r>
              <w:rPr>
                <w:rFonts w:ascii="Times New Roman" w:eastAsia="Times New Roman"/>
                <w:sz w:val="21"/>
              </w:rPr>
              <w:t>+</w:t>
            </w:r>
            <w:r>
              <w:rPr>
                <w:sz w:val="21"/>
              </w:rPr>
              <w:t>废气集中处理装置（两级碱喷淋）</w:t>
            </w:r>
          </w:p>
          <w:p>
            <w:pPr>
              <w:pStyle w:val="TableParagraph"/>
              <w:spacing w:line="242" w:lineRule="exact" w:before="2"/>
              <w:ind w:left="31" w:right="12"/>
              <w:rPr>
                <w:rFonts w:ascii="Times New Roman" w:eastAsia="Times New Roman"/>
                <w:sz w:val="21"/>
              </w:rPr>
            </w:pPr>
            <w:r>
              <w:rPr>
                <w:rFonts w:ascii="Times New Roman" w:eastAsia="Times New Roman"/>
                <w:sz w:val="21"/>
              </w:rPr>
              <w:t>+</w:t>
            </w:r>
            <w:r>
              <w:rPr>
                <w:sz w:val="21"/>
              </w:rPr>
              <w:t>排气筒</w:t>
            </w:r>
            <w:r>
              <w:rPr>
                <w:rFonts w:ascii="Times New Roman" w:eastAsia="Times New Roman"/>
                <w:sz w:val="21"/>
              </w:rPr>
              <w:t>DA004</w:t>
            </w:r>
          </w:p>
        </w:tc>
        <w:tc>
          <w:tcPr>
            <w:tcW w:w="2069" w:type="dxa"/>
            <w:gridSpan w:val="2"/>
            <w:vMerge/>
            <w:tcBorders>
              <w:top w:val="nil"/>
            </w:tcBorders>
          </w:tcPr>
          <w:p>
            <w:pPr>
              <w:rPr>
                <w:sz w:val="2"/>
                <w:szCs w:val="2"/>
              </w:rPr>
            </w:pPr>
          </w:p>
        </w:tc>
      </w:tr>
      <w:tr>
        <w:trPr>
          <w:trHeight w:val="263" w:hRule="atLeast"/>
        </w:trPr>
        <w:tc>
          <w:tcPr>
            <w:tcW w:w="629" w:type="dxa"/>
            <w:vMerge/>
            <w:tcBorders>
              <w:top w:val="nil"/>
              <w:bottom w:val="double" w:sz="1" w:space="0" w:color="000000"/>
            </w:tcBorders>
          </w:tcPr>
          <w:p>
            <w:pPr>
              <w:rPr>
                <w:sz w:val="2"/>
                <w:szCs w:val="2"/>
              </w:rPr>
            </w:pPr>
          </w:p>
        </w:tc>
        <w:tc>
          <w:tcPr>
            <w:tcW w:w="558" w:type="dxa"/>
          </w:tcPr>
          <w:p>
            <w:pPr>
              <w:pStyle w:val="TableParagraph"/>
              <w:spacing w:line="233" w:lineRule="exact" w:before="10"/>
              <w:ind w:left="17"/>
              <w:rPr>
                <w:rFonts w:ascii="Times New Roman"/>
                <w:sz w:val="21"/>
              </w:rPr>
            </w:pPr>
            <w:r>
              <w:rPr>
                <w:rFonts w:ascii="Times New Roman"/>
                <w:w w:val="100"/>
                <w:sz w:val="21"/>
              </w:rPr>
              <w:t>3</w:t>
            </w:r>
          </w:p>
        </w:tc>
        <w:tc>
          <w:tcPr>
            <w:tcW w:w="1715" w:type="dxa"/>
            <w:gridSpan w:val="3"/>
          </w:tcPr>
          <w:p>
            <w:pPr>
              <w:pStyle w:val="TableParagraph"/>
              <w:spacing w:line="243" w:lineRule="exact"/>
              <w:ind w:left="233"/>
              <w:jc w:val="left"/>
              <w:rPr>
                <w:sz w:val="21"/>
              </w:rPr>
            </w:pPr>
            <w:r>
              <w:rPr>
                <w:sz w:val="21"/>
              </w:rPr>
              <w:t>储罐甲酸废气</w:t>
            </w:r>
          </w:p>
        </w:tc>
        <w:tc>
          <w:tcPr>
            <w:tcW w:w="4210" w:type="dxa"/>
            <w:gridSpan w:val="6"/>
          </w:tcPr>
          <w:p>
            <w:pPr>
              <w:pStyle w:val="TableParagraph"/>
              <w:spacing w:line="243" w:lineRule="exact"/>
              <w:ind w:left="184"/>
              <w:jc w:val="left"/>
              <w:rPr>
                <w:rFonts w:ascii="Times New Roman" w:eastAsia="Times New Roman"/>
                <w:sz w:val="21"/>
              </w:rPr>
            </w:pPr>
            <w:r>
              <w:rPr>
                <w:sz w:val="21"/>
              </w:rPr>
              <w:t>一级次钠喷淋</w:t>
            </w:r>
            <w:r>
              <w:rPr>
                <w:rFonts w:ascii="Times New Roman" w:eastAsia="Times New Roman"/>
                <w:sz w:val="21"/>
              </w:rPr>
              <w:t>+</w:t>
            </w:r>
            <w:r>
              <w:rPr>
                <w:sz w:val="21"/>
              </w:rPr>
              <w:t>一级碱喷淋</w:t>
            </w:r>
            <w:r>
              <w:rPr>
                <w:rFonts w:ascii="Times New Roman" w:eastAsia="Times New Roman"/>
                <w:sz w:val="21"/>
              </w:rPr>
              <w:t>+</w:t>
            </w:r>
            <w:r>
              <w:rPr>
                <w:sz w:val="21"/>
              </w:rPr>
              <w:t>排气筒 </w:t>
            </w:r>
            <w:r>
              <w:rPr>
                <w:rFonts w:ascii="Times New Roman" w:eastAsia="Times New Roman"/>
                <w:sz w:val="21"/>
              </w:rPr>
              <w:t>DA005</w:t>
            </w:r>
          </w:p>
        </w:tc>
        <w:tc>
          <w:tcPr>
            <w:tcW w:w="2069" w:type="dxa"/>
            <w:gridSpan w:val="2"/>
            <w:vMerge w:val="restart"/>
          </w:tcPr>
          <w:p>
            <w:pPr>
              <w:pStyle w:val="TableParagraph"/>
              <w:spacing w:before="10"/>
              <w:jc w:val="left"/>
              <w:rPr>
                <w:rFonts w:ascii="Times New Roman"/>
                <w:sz w:val="23"/>
              </w:rPr>
            </w:pPr>
          </w:p>
          <w:p>
            <w:pPr>
              <w:pStyle w:val="TableParagraph"/>
              <w:ind w:left="79"/>
              <w:jc w:val="left"/>
              <w:rPr>
                <w:rFonts w:ascii="Times New Roman" w:eastAsia="Times New Roman"/>
                <w:sz w:val="21"/>
              </w:rPr>
            </w:pPr>
            <w:r>
              <w:rPr>
                <w:sz w:val="21"/>
              </w:rPr>
              <w:t>集气风量为 </w:t>
            </w:r>
            <w:r>
              <w:rPr>
                <w:rFonts w:ascii="Times New Roman" w:eastAsia="Times New Roman"/>
                <w:sz w:val="21"/>
              </w:rPr>
              <w:t>7000m</w:t>
            </w:r>
            <w:r>
              <w:rPr>
                <w:rFonts w:ascii="Times New Roman" w:eastAsia="Times New Roman"/>
                <w:position w:val="7"/>
                <w:sz w:val="14"/>
              </w:rPr>
              <w:t>3</w:t>
            </w:r>
            <w:r>
              <w:rPr>
                <w:rFonts w:ascii="Times New Roman" w:eastAsia="Times New Roman"/>
                <w:sz w:val="21"/>
              </w:rPr>
              <w:t>/h</w:t>
            </w:r>
          </w:p>
        </w:tc>
      </w:tr>
      <w:tr>
        <w:trPr>
          <w:trHeight w:val="524" w:hRule="atLeast"/>
        </w:trPr>
        <w:tc>
          <w:tcPr>
            <w:tcW w:w="629" w:type="dxa"/>
            <w:vMerge/>
            <w:tcBorders>
              <w:top w:val="nil"/>
              <w:bottom w:val="double" w:sz="1" w:space="0" w:color="000000"/>
            </w:tcBorders>
          </w:tcPr>
          <w:p>
            <w:pPr>
              <w:rPr>
                <w:sz w:val="2"/>
                <w:szCs w:val="2"/>
              </w:rPr>
            </w:pPr>
          </w:p>
        </w:tc>
        <w:tc>
          <w:tcPr>
            <w:tcW w:w="558" w:type="dxa"/>
          </w:tcPr>
          <w:p>
            <w:pPr>
              <w:pStyle w:val="TableParagraph"/>
              <w:spacing w:before="141"/>
              <w:ind w:left="17"/>
              <w:rPr>
                <w:rFonts w:ascii="Times New Roman"/>
                <w:sz w:val="21"/>
              </w:rPr>
            </w:pPr>
            <w:r>
              <w:rPr>
                <w:rFonts w:ascii="Times New Roman"/>
                <w:w w:val="100"/>
                <w:sz w:val="21"/>
              </w:rPr>
              <w:t>4</w:t>
            </w:r>
          </w:p>
        </w:tc>
        <w:tc>
          <w:tcPr>
            <w:tcW w:w="1715" w:type="dxa"/>
            <w:gridSpan w:val="3"/>
          </w:tcPr>
          <w:p>
            <w:pPr>
              <w:pStyle w:val="TableParagraph"/>
              <w:spacing w:line="260" w:lineRule="exact"/>
              <w:ind w:left="24"/>
              <w:rPr>
                <w:sz w:val="21"/>
              </w:rPr>
            </w:pPr>
            <w:r>
              <w:rPr>
                <w:sz w:val="21"/>
              </w:rPr>
              <w:t>污水站废气、危废</w:t>
            </w:r>
          </w:p>
          <w:p>
            <w:pPr>
              <w:pStyle w:val="TableParagraph"/>
              <w:spacing w:line="240" w:lineRule="exact" w:before="4"/>
              <w:ind w:left="22"/>
              <w:rPr>
                <w:sz w:val="21"/>
              </w:rPr>
            </w:pPr>
            <w:r>
              <w:rPr>
                <w:sz w:val="21"/>
              </w:rPr>
              <w:t>仓库废气</w:t>
            </w:r>
          </w:p>
        </w:tc>
        <w:tc>
          <w:tcPr>
            <w:tcW w:w="4210" w:type="dxa"/>
            <w:gridSpan w:val="6"/>
          </w:tcPr>
          <w:p>
            <w:pPr>
              <w:pStyle w:val="TableParagraph"/>
              <w:spacing w:before="127"/>
              <w:ind w:left="184"/>
              <w:jc w:val="left"/>
              <w:rPr>
                <w:rFonts w:ascii="Times New Roman" w:eastAsia="Times New Roman"/>
                <w:sz w:val="21"/>
              </w:rPr>
            </w:pPr>
            <w:r>
              <w:rPr>
                <w:sz w:val="21"/>
              </w:rPr>
              <w:t>一级次钠喷淋</w:t>
            </w:r>
            <w:r>
              <w:rPr>
                <w:rFonts w:ascii="Times New Roman" w:eastAsia="Times New Roman"/>
                <w:sz w:val="21"/>
              </w:rPr>
              <w:t>+</w:t>
            </w:r>
            <w:r>
              <w:rPr>
                <w:sz w:val="21"/>
              </w:rPr>
              <w:t>一级碱喷淋</w:t>
            </w:r>
            <w:r>
              <w:rPr>
                <w:rFonts w:ascii="Times New Roman" w:eastAsia="Times New Roman"/>
                <w:sz w:val="21"/>
              </w:rPr>
              <w:t>+</w:t>
            </w:r>
            <w:r>
              <w:rPr>
                <w:sz w:val="21"/>
              </w:rPr>
              <w:t>排气筒 </w:t>
            </w:r>
            <w:r>
              <w:rPr>
                <w:rFonts w:ascii="Times New Roman" w:eastAsia="Times New Roman"/>
                <w:sz w:val="21"/>
              </w:rPr>
              <w:t>DA005</w:t>
            </w:r>
          </w:p>
        </w:tc>
        <w:tc>
          <w:tcPr>
            <w:tcW w:w="2069" w:type="dxa"/>
            <w:gridSpan w:val="2"/>
            <w:vMerge/>
            <w:tcBorders>
              <w:top w:val="nil"/>
            </w:tcBorders>
          </w:tcPr>
          <w:p>
            <w:pPr>
              <w:rPr>
                <w:sz w:val="2"/>
                <w:szCs w:val="2"/>
              </w:rPr>
            </w:pPr>
          </w:p>
        </w:tc>
      </w:tr>
      <w:tr>
        <w:trPr>
          <w:trHeight w:val="524" w:hRule="atLeast"/>
        </w:trPr>
        <w:tc>
          <w:tcPr>
            <w:tcW w:w="629" w:type="dxa"/>
            <w:vMerge/>
            <w:tcBorders>
              <w:top w:val="nil"/>
              <w:bottom w:val="double" w:sz="1" w:space="0" w:color="000000"/>
            </w:tcBorders>
          </w:tcPr>
          <w:p>
            <w:pPr>
              <w:rPr>
                <w:sz w:val="2"/>
                <w:szCs w:val="2"/>
              </w:rPr>
            </w:pPr>
          </w:p>
        </w:tc>
        <w:tc>
          <w:tcPr>
            <w:tcW w:w="558" w:type="dxa"/>
          </w:tcPr>
          <w:p>
            <w:pPr>
              <w:pStyle w:val="TableParagraph"/>
              <w:spacing w:before="141"/>
              <w:ind w:left="17"/>
              <w:rPr>
                <w:rFonts w:ascii="Times New Roman"/>
                <w:sz w:val="21"/>
              </w:rPr>
            </w:pPr>
            <w:r>
              <w:rPr>
                <w:rFonts w:ascii="Times New Roman"/>
                <w:w w:val="100"/>
                <w:sz w:val="21"/>
              </w:rPr>
              <w:t>5</w:t>
            </w:r>
          </w:p>
        </w:tc>
        <w:tc>
          <w:tcPr>
            <w:tcW w:w="1715" w:type="dxa"/>
            <w:gridSpan w:val="3"/>
          </w:tcPr>
          <w:p>
            <w:pPr>
              <w:pStyle w:val="TableParagraph"/>
              <w:spacing w:before="127"/>
              <w:ind w:left="127"/>
              <w:jc w:val="left"/>
              <w:rPr>
                <w:sz w:val="21"/>
              </w:rPr>
            </w:pPr>
            <w:r>
              <w:rPr>
                <w:sz w:val="21"/>
              </w:rPr>
              <w:t>车间高浓度废水</w:t>
            </w:r>
          </w:p>
        </w:tc>
        <w:tc>
          <w:tcPr>
            <w:tcW w:w="4210" w:type="dxa"/>
            <w:gridSpan w:val="6"/>
          </w:tcPr>
          <w:p>
            <w:pPr>
              <w:pStyle w:val="TableParagraph"/>
              <w:spacing w:line="260" w:lineRule="exact"/>
              <w:ind w:left="57"/>
              <w:jc w:val="left"/>
              <w:rPr>
                <w:sz w:val="21"/>
              </w:rPr>
            </w:pPr>
            <w:r>
              <w:rPr>
                <w:sz w:val="21"/>
              </w:rPr>
              <w:t>采用铁碳＋芬顿氧化</w:t>
            </w:r>
            <w:r>
              <w:rPr>
                <w:rFonts w:ascii="Times New Roman" w:eastAsia="Times New Roman"/>
                <w:sz w:val="21"/>
              </w:rPr>
              <w:t>+</w:t>
            </w:r>
            <w:r>
              <w:rPr>
                <w:sz w:val="21"/>
              </w:rPr>
              <w:t>混凝沉淀预处理，处理</w:t>
            </w:r>
          </w:p>
          <w:p>
            <w:pPr>
              <w:pStyle w:val="TableParagraph"/>
              <w:spacing w:line="240" w:lineRule="exact" w:before="4"/>
              <w:ind w:left="57"/>
              <w:jc w:val="left"/>
              <w:rPr>
                <w:rFonts w:ascii="Times New Roman" w:eastAsia="Times New Roman"/>
                <w:sz w:val="21"/>
              </w:rPr>
            </w:pPr>
            <w:r>
              <w:rPr>
                <w:sz w:val="21"/>
              </w:rPr>
              <w:t>能力为 </w:t>
            </w:r>
            <w:r>
              <w:rPr>
                <w:rFonts w:ascii="Times New Roman" w:eastAsia="Times New Roman"/>
                <w:sz w:val="21"/>
              </w:rPr>
              <w:t>35t/d</w:t>
            </w:r>
          </w:p>
        </w:tc>
        <w:tc>
          <w:tcPr>
            <w:tcW w:w="2069" w:type="dxa"/>
            <w:gridSpan w:val="2"/>
          </w:tcPr>
          <w:p>
            <w:pPr>
              <w:pStyle w:val="TableParagraph"/>
              <w:spacing w:before="141"/>
              <w:ind w:left="21"/>
              <w:rPr>
                <w:rFonts w:ascii="Times New Roman"/>
                <w:sz w:val="21"/>
              </w:rPr>
            </w:pPr>
            <w:r>
              <w:rPr>
                <w:rFonts w:ascii="Times New Roman"/>
                <w:w w:val="100"/>
                <w:sz w:val="21"/>
              </w:rPr>
              <w:t>/</w:t>
            </w:r>
          </w:p>
        </w:tc>
      </w:tr>
      <w:tr>
        <w:trPr>
          <w:trHeight w:val="265" w:hRule="atLeast"/>
        </w:trPr>
        <w:tc>
          <w:tcPr>
            <w:tcW w:w="629" w:type="dxa"/>
            <w:vMerge/>
            <w:tcBorders>
              <w:top w:val="nil"/>
              <w:bottom w:val="double" w:sz="1" w:space="0" w:color="000000"/>
            </w:tcBorders>
          </w:tcPr>
          <w:p>
            <w:pPr>
              <w:rPr>
                <w:sz w:val="2"/>
                <w:szCs w:val="2"/>
              </w:rPr>
            </w:pPr>
          </w:p>
        </w:tc>
        <w:tc>
          <w:tcPr>
            <w:tcW w:w="558" w:type="dxa"/>
          </w:tcPr>
          <w:p>
            <w:pPr>
              <w:pStyle w:val="TableParagraph"/>
              <w:spacing w:line="233" w:lineRule="exact" w:before="12"/>
              <w:ind w:left="17"/>
              <w:rPr>
                <w:rFonts w:ascii="Times New Roman"/>
                <w:sz w:val="21"/>
              </w:rPr>
            </w:pPr>
            <w:r>
              <w:rPr>
                <w:rFonts w:ascii="Times New Roman"/>
                <w:w w:val="100"/>
                <w:sz w:val="21"/>
              </w:rPr>
              <w:t>6</w:t>
            </w:r>
          </w:p>
        </w:tc>
        <w:tc>
          <w:tcPr>
            <w:tcW w:w="1715" w:type="dxa"/>
            <w:gridSpan w:val="3"/>
          </w:tcPr>
          <w:p>
            <w:pPr>
              <w:pStyle w:val="TableParagraph"/>
              <w:spacing w:line="245" w:lineRule="exact"/>
              <w:ind w:left="442"/>
              <w:jc w:val="left"/>
              <w:rPr>
                <w:sz w:val="21"/>
              </w:rPr>
            </w:pPr>
            <w:r>
              <w:rPr>
                <w:sz w:val="21"/>
              </w:rPr>
              <w:t>综合废水</w:t>
            </w:r>
          </w:p>
        </w:tc>
        <w:tc>
          <w:tcPr>
            <w:tcW w:w="4210" w:type="dxa"/>
            <w:gridSpan w:val="6"/>
          </w:tcPr>
          <w:p>
            <w:pPr>
              <w:pStyle w:val="TableParagraph"/>
              <w:spacing w:line="245" w:lineRule="exact"/>
              <w:ind w:left="57"/>
              <w:jc w:val="left"/>
              <w:rPr>
                <w:sz w:val="21"/>
              </w:rPr>
            </w:pPr>
            <w:r>
              <w:rPr>
                <w:sz w:val="21"/>
              </w:rPr>
              <w:t>采用生化处理，处理能力为 </w:t>
            </w:r>
            <w:r>
              <w:rPr>
                <w:rFonts w:ascii="Times New Roman" w:eastAsia="Times New Roman"/>
                <w:sz w:val="21"/>
              </w:rPr>
              <w:t>110t/d </w:t>
            </w:r>
            <w:r>
              <w:rPr>
                <w:sz w:val="21"/>
              </w:rPr>
              <w:t>以上</w:t>
            </w:r>
          </w:p>
        </w:tc>
        <w:tc>
          <w:tcPr>
            <w:tcW w:w="2069" w:type="dxa"/>
            <w:gridSpan w:val="2"/>
          </w:tcPr>
          <w:p>
            <w:pPr>
              <w:pStyle w:val="TableParagraph"/>
              <w:spacing w:line="233" w:lineRule="exact" w:before="12"/>
              <w:ind w:left="21"/>
              <w:rPr>
                <w:rFonts w:ascii="Times New Roman"/>
                <w:sz w:val="21"/>
              </w:rPr>
            </w:pPr>
            <w:r>
              <w:rPr>
                <w:rFonts w:ascii="Times New Roman"/>
                <w:w w:val="100"/>
                <w:sz w:val="21"/>
              </w:rPr>
              <w:t>/</w:t>
            </w:r>
          </w:p>
        </w:tc>
      </w:tr>
      <w:tr>
        <w:trPr>
          <w:trHeight w:val="1069" w:hRule="atLeast"/>
        </w:trPr>
        <w:tc>
          <w:tcPr>
            <w:tcW w:w="629" w:type="dxa"/>
            <w:vMerge/>
            <w:tcBorders>
              <w:top w:val="nil"/>
              <w:bottom w:val="double" w:sz="1" w:space="0" w:color="000000"/>
            </w:tcBorders>
          </w:tcPr>
          <w:p>
            <w:pPr>
              <w:rPr>
                <w:sz w:val="2"/>
                <w:szCs w:val="2"/>
              </w:rPr>
            </w:pPr>
          </w:p>
        </w:tc>
        <w:tc>
          <w:tcPr>
            <w:tcW w:w="558" w:type="dxa"/>
          </w:tcPr>
          <w:p>
            <w:pPr>
              <w:pStyle w:val="TableParagraph"/>
              <w:jc w:val="left"/>
              <w:rPr>
                <w:rFonts w:ascii="Times New Roman"/>
                <w:sz w:val="22"/>
              </w:rPr>
            </w:pPr>
          </w:p>
          <w:p>
            <w:pPr>
              <w:pStyle w:val="TableParagraph"/>
              <w:spacing w:before="160"/>
              <w:ind w:left="17"/>
              <w:rPr>
                <w:rFonts w:ascii="Times New Roman"/>
                <w:sz w:val="21"/>
              </w:rPr>
            </w:pPr>
            <w:r>
              <w:rPr>
                <w:rFonts w:ascii="Times New Roman"/>
                <w:w w:val="100"/>
                <w:sz w:val="21"/>
              </w:rPr>
              <w:t>7</w:t>
            </w:r>
          </w:p>
        </w:tc>
        <w:tc>
          <w:tcPr>
            <w:tcW w:w="1715" w:type="dxa"/>
            <w:gridSpan w:val="3"/>
          </w:tcPr>
          <w:p>
            <w:pPr>
              <w:pStyle w:val="TableParagraph"/>
              <w:jc w:val="left"/>
              <w:rPr>
                <w:rFonts w:ascii="Times New Roman"/>
                <w:sz w:val="20"/>
              </w:rPr>
            </w:pPr>
          </w:p>
          <w:p>
            <w:pPr>
              <w:pStyle w:val="TableParagraph"/>
              <w:spacing w:before="169"/>
              <w:ind w:left="24"/>
              <w:rPr>
                <w:sz w:val="21"/>
              </w:rPr>
            </w:pPr>
            <w:r>
              <w:rPr>
                <w:sz w:val="21"/>
              </w:rPr>
              <w:t>噪声</w:t>
            </w:r>
          </w:p>
        </w:tc>
        <w:tc>
          <w:tcPr>
            <w:tcW w:w="4210" w:type="dxa"/>
            <w:gridSpan w:val="6"/>
          </w:tcPr>
          <w:p>
            <w:pPr>
              <w:pStyle w:val="TableParagraph"/>
              <w:spacing w:line="260" w:lineRule="exact"/>
              <w:ind w:left="57"/>
              <w:jc w:val="left"/>
              <w:rPr>
                <w:sz w:val="21"/>
              </w:rPr>
            </w:pPr>
            <w:r>
              <w:rPr>
                <w:sz w:val="21"/>
              </w:rPr>
              <w:t>①选用低噪声的设备和机械；</w:t>
            </w:r>
          </w:p>
          <w:p>
            <w:pPr>
              <w:pStyle w:val="TableParagraph"/>
              <w:spacing w:line="242" w:lineRule="auto" w:before="4"/>
              <w:ind w:left="57" w:right="96"/>
              <w:jc w:val="left"/>
              <w:rPr>
                <w:sz w:val="21"/>
              </w:rPr>
            </w:pPr>
            <w:r>
              <w:rPr>
                <w:spacing w:val="-10"/>
                <w:sz w:val="21"/>
              </w:rPr>
              <w:t>②高噪声设备安置在厂房内，安装减振装置、</w:t>
            </w:r>
            <w:r>
              <w:rPr>
                <w:spacing w:val="-9"/>
                <w:sz w:val="21"/>
              </w:rPr>
              <w:t>消声器、隔声罩；</w:t>
            </w:r>
          </w:p>
          <w:p>
            <w:pPr>
              <w:pStyle w:val="TableParagraph"/>
              <w:spacing w:line="241" w:lineRule="exact"/>
              <w:ind w:left="57"/>
              <w:jc w:val="left"/>
              <w:rPr>
                <w:sz w:val="21"/>
              </w:rPr>
            </w:pPr>
            <w:r>
              <w:rPr>
                <w:sz w:val="21"/>
              </w:rPr>
              <w:t>③噪声设备的维护管理。</w:t>
            </w:r>
          </w:p>
        </w:tc>
        <w:tc>
          <w:tcPr>
            <w:tcW w:w="2069" w:type="dxa"/>
            <w:gridSpan w:val="2"/>
          </w:tcPr>
          <w:p>
            <w:pPr>
              <w:pStyle w:val="TableParagraph"/>
              <w:jc w:val="left"/>
              <w:rPr>
                <w:rFonts w:ascii="Times New Roman"/>
                <w:sz w:val="22"/>
              </w:rPr>
            </w:pPr>
          </w:p>
          <w:p>
            <w:pPr>
              <w:pStyle w:val="TableParagraph"/>
              <w:spacing w:before="160"/>
              <w:ind w:left="21"/>
              <w:rPr>
                <w:rFonts w:ascii="Times New Roman"/>
                <w:sz w:val="21"/>
              </w:rPr>
            </w:pPr>
            <w:r>
              <w:rPr>
                <w:rFonts w:ascii="Times New Roman"/>
                <w:w w:val="100"/>
                <w:sz w:val="21"/>
              </w:rPr>
              <w:t>/</w:t>
            </w:r>
          </w:p>
        </w:tc>
      </w:tr>
      <w:tr>
        <w:trPr>
          <w:trHeight w:val="272" w:hRule="atLeast"/>
        </w:trPr>
        <w:tc>
          <w:tcPr>
            <w:tcW w:w="629" w:type="dxa"/>
            <w:vMerge/>
            <w:tcBorders>
              <w:top w:val="nil"/>
              <w:bottom w:val="double" w:sz="1" w:space="0" w:color="000000"/>
            </w:tcBorders>
          </w:tcPr>
          <w:p>
            <w:pPr>
              <w:rPr>
                <w:sz w:val="2"/>
                <w:szCs w:val="2"/>
              </w:rPr>
            </w:pPr>
          </w:p>
        </w:tc>
        <w:tc>
          <w:tcPr>
            <w:tcW w:w="558" w:type="dxa"/>
            <w:tcBorders>
              <w:bottom w:val="double" w:sz="1" w:space="0" w:color="000000"/>
            </w:tcBorders>
          </w:tcPr>
          <w:p>
            <w:pPr>
              <w:pStyle w:val="TableParagraph"/>
              <w:spacing w:line="240" w:lineRule="exact" w:before="12"/>
              <w:ind w:left="17"/>
              <w:rPr>
                <w:rFonts w:ascii="Times New Roman"/>
                <w:sz w:val="21"/>
              </w:rPr>
            </w:pPr>
            <w:r>
              <w:rPr>
                <w:rFonts w:ascii="Times New Roman"/>
                <w:w w:val="100"/>
                <w:sz w:val="21"/>
              </w:rPr>
              <w:t>8</w:t>
            </w:r>
          </w:p>
        </w:tc>
        <w:tc>
          <w:tcPr>
            <w:tcW w:w="1715" w:type="dxa"/>
            <w:gridSpan w:val="3"/>
            <w:tcBorders>
              <w:bottom w:val="double" w:sz="1" w:space="0" w:color="000000"/>
            </w:tcBorders>
          </w:tcPr>
          <w:p>
            <w:pPr>
              <w:pStyle w:val="TableParagraph"/>
              <w:spacing w:line="252" w:lineRule="exact"/>
              <w:ind w:left="442"/>
              <w:jc w:val="left"/>
              <w:rPr>
                <w:sz w:val="21"/>
              </w:rPr>
            </w:pPr>
            <w:r>
              <w:rPr>
                <w:sz w:val="21"/>
              </w:rPr>
              <w:t>危险废物</w:t>
            </w:r>
          </w:p>
        </w:tc>
        <w:tc>
          <w:tcPr>
            <w:tcW w:w="4210" w:type="dxa"/>
            <w:gridSpan w:val="6"/>
            <w:tcBorders>
              <w:bottom w:val="double" w:sz="1" w:space="0" w:color="000000"/>
            </w:tcBorders>
          </w:tcPr>
          <w:p>
            <w:pPr>
              <w:pStyle w:val="TableParagraph"/>
              <w:spacing w:line="252" w:lineRule="exact"/>
              <w:ind w:left="847"/>
              <w:jc w:val="left"/>
              <w:rPr>
                <w:sz w:val="21"/>
              </w:rPr>
            </w:pPr>
            <w:r>
              <w:rPr>
                <w:sz w:val="21"/>
              </w:rPr>
              <w:t>委托有资质的单位进行处理</w:t>
            </w:r>
          </w:p>
        </w:tc>
        <w:tc>
          <w:tcPr>
            <w:tcW w:w="2069" w:type="dxa"/>
            <w:gridSpan w:val="2"/>
            <w:tcBorders>
              <w:bottom w:val="double" w:sz="1" w:space="0" w:color="000000"/>
            </w:tcBorders>
          </w:tcPr>
          <w:p>
            <w:pPr>
              <w:pStyle w:val="TableParagraph"/>
              <w:spacing w:line="240" w:lineRule="exact" w:before="12"/>
              <w:ind w:left="21"/>
              <w:rPr>
                <w:rFonts w:ascii="Times New Roman"/>
                <w:sz w:val="21"/>
              </w:rPr>
            </w:pPr>
            <w:r>
              <w:rPr>
                <w:rFonts w:ascii="Times New Roman"/>
                <w:w w:val="100"/>
                <w:sz w:val="21"/>
              </w:rPr>
              <w:t>/</w:t>
            </w:r>
          </w:p>
        </w:tc>
      </w:tr>
      <w:tr>
        <w:trPr>
          <w:trHeight w:val="274" w:hRule="atLeast"/>
        </w:trPr>
        <w:tc>
          <w:tcPr>
            <w:tcW w:w="629" w:type="dxa"/>
            <w:vMerge w:val="restart"/>
            <w:tcBorders>
              <w:top w:val="double" w:sz="1" w:space="0" w:color="000000"/>
              <w:bottom w:val="double" w:sz="1" w:space="0" w:color="000000"/>
            </w:tcBorders>
          </w:tcPr>
          <w:p>
            <w:pPr>
              <w:pStyle w:val="TableParagraph"/>
              <w:spacing w:line="242" w:lineRule="auto" w:before="94"/>
              <w:ind w:left="103" w:right="91"/>
              <w:jc w:val="both"/>
              <w:rPr>
                <w:b/>
                <w:sz w:val="21"/>
              </w:rPr>
            </w:pPr>
            <w:r>
              <w:rPr>
                <w:b/>
                <w:sz w:val="21"/>
              </w:rPr>
              <w:t>排污单位重点污染物排放总量控制要求</w:t>
            </w:r>
          </w:p>
        </w:tc>
        <w:tc>
          <w:tcPr>
            <w:tcW w:w="8552" w:type="dxa"/>
            <w:gridSpan w:val="12"/>
            <w:tcBorders>
              <w:top w:val="double" w:sz="1" w:space="0" w:color="000000"/>
            </w:tcBorders>
          </w:tcPr>
          <w:p>
            <w:pPr>
              <w:pStyle w:val="TableParagraph"/>
              <w:spacing w:line="247" w:lineRule="exact" w:before="7"/>
              <w:ind w:left="2262" w:right="2248"/>
              <w:rPr>
                <w:sz w:val="21"/>
              </w:rPr>
            </w:pPr>
            <w:r>
              <w:rPr>
                <w:sz w:val="21"/>
              </w:rPr>
              <w:t>排污单位重点水污染物排放总量控制指标</w:t>
            </w:r>
          </w:p>
        </w:tc>
      </w:tr>
      <w:tr>
        <w:trPr>
          <w:trHeight w:val="265" w:hRule="atLeast"/>
        </w:trPr>
        <w:tc>
          <w:tcPr>
            <w:tcW w:w="629" w:type="dxa"/>
            <w:vMerge/>
            <w:tcBorders>
              <w:top w:val="nil"/>
              <w:bottom w:val="double" w:sz="1" w:space="0" w:color="000000"/>
            </w:tcBorders>
          </w:tcPr>
          <w:p>
            <w:pPr>
              <w:rPr>
                <w:sz w:val="2"/>
                <w:szCs w:val="2"/>
              </w:rPr>
            </w:pPr>
          </w:p>
        </w:tc>
        <w:tc>
          <w:tcPr>
            <w:tcW w:w="1776" w:type="dxa"/>
            <w:gridSpan w:val="3"/>
          </w:tcPr>
          <w:p>
            <w:pPr>
              <w:pStyle w:val="TableParagraph"/>
              <w:spacing w:line="245" w:lineRule="exact"/>
              <w:ind w:left="150"/>
              <w:jc w:val="left"/>
              <w:rPr>
                <w:sz w:val="21"/>
              </w:rPr>
            </w:pPr>
            <w:r>
              <w:rPr>
                <w:sz w:val="21"/>
              </w:rPr>
              <w:t>重点污染物名称</w:t>
            </w:r>
          </w:p>
        </w:tc>
        <w:tc>
          <w:tcPr>
            <w:tcW w:w="2615" w:type="dxa"/>
            <w:gridSpan w:val="5"/>
          </w:tcPr>
          <w:p>
            <w:pPr>
              <w:pStyle w:val="TableParagraph"/>
              <w:spacing w:line="245" w:lineRule="exact"/>
              <w:ind w:left="362"/>
              <w:jc w:val="left"/>
              <w:rPr>
                <w:sz w:val="21"/>
              </w:rPr>
            </w:pPr>
            <w:r>
              <w:rPr>
                <w:sz w:val="21"/>
              </w:rPr>
              <w:t>年许可排放量（吨）</w:t>
            </w:r>
          </w:p>
        </w:tc>
        <w:tc>
          <w:tcPr>
            <w:tcW w:w="2092" w:type="dxa"/>
            <w:gridSpan w:val="2"/>
          </w:tcPr>
          <w:p>
            <w:pPr>
              <w:pStyle w:val="TableParagraph"/>
              <w:spacing w:line="245" w:lineRule="exact"/>
              <w:ind w:left="627"/>
              <w:jc w:val="left"/>
              <w:rPr>
                <w:sz w:val="21"/>
              </w:rPr>
            </w:pPr>
            <w:r>
              <w:rPr>
                <w:sz w:val="21"/>
              </w:rPr>
              <w:t>减排时限</w:t>
            </w:r>
          </w:p>
        </w:tc>
        <w:tc>
          <w:tcPr>
            <w:tcW w:w="2069" w:type="dxa"/>
            <w:gridSpan w:val="2"/>
          </w:tcPr>
          <w:p>
            <w:pPr>
              <w:pStyle w:val="TableParagraph"/>
              <w:spacing w:line="245" w:lineRule="exact"/>
              <w:ind w:left="407"/>
              <w:jc w:val="left"/>
              <w:rPr>
                <w:sz w:val="21"/>
              </w:rPr>
            </w:pPr>
            <w:r>
              <w:rPr>
                <w:sz w:val="21"/>
              </w:rPr>
              <w:t>减排量（吨）</w:t>
            </w:r>
          </w:p>
        </w:tc>
      </w:tr>
      <w:tr>
        <w:trPr>
          <w:trHeight w:val="263" w:hRule="atLeast"/>
        </w:trPr>
        <w:tc>
          <w:tcPr>
            <w:tcW w:w="629" w:type="dxa"/>
            <w:vMerge/>
            <w:tcBorders>
              <w:top w:val="nil"/>
              <w:bottom w:val="double" w:sz="1" w:space="0" w:color="000000"/>
            </w:tcBorders>
          </w:tcPr>
          <w:p>
            <w:pPr>
              <w:rPr>
                <w:sz w:val="2"/>
                <w:szCs w:val="2"/>
              </w:rPr>
            </w:pPr>
          </w:p>
        </w:tc>
        <w:tc>
          <w:tcPr>
            <w:tcW w:w="1776" w:type="dxa"/>
            <w:gridSpan w:val="3"/>
          </w:tcPr>
          <w:p>
            <w:pPr>
              <w:pStyle w:val="TableParagraph"/>
              <w:spacing w:line="243" w:lineRule="exact"/>
              <w:ind w:left="548" w:right="539"/>
              <w:rPr>
                <w:sz w:val="21"/>
              </w:rPr>
            </w:pPr>
            <w:r>
              <w:rPr>
                <w:sz w:val="21"/>
              </w:rPr>
              <w:t>废水</w:t>
            </w:r>
          </w:p>
        </w:tc>
        <w:tc>
          <w:tcPr>
            <w:tcW w:w="2615" w:type="dxa"/>
            <w:gridSpan w:val="5"/>
          </w:tcPr>
          <w:p>
            <w:pPr>
              <w:pStyle w:val="TableParagraph"/>
              <w:spacing w:line="234" w:lineRule="exact" w:before="9"/>
              <w:ind w:left="1028" w:right="1012"/>
              <w:rPr>
                <w:rFonts w:ascii="Times New Roman"/>
                <w:sz w:val="21"/>
              </w:rPr>
            </w:pPr>
            <w:r>
              <w:rPr>
                <w:rFonts w:ascii="Times New Roman"/>
                <w:sz w:val="21"/>
              </w:rPr>
              <w:t>33000</w:t>
            </w:r>
          </w:p>
        </w:tc>
        <w:tc>
          <w:tcPr>
            <w:tcW w:w="2092" w:type="dxa"/>
            <w:gridSpan w:val="2"/>
          </w:tcPr>
          <w:p>
            <w:pPr>
              <w:pStyle w:val="TableParagraph"/>
              <w:spacing w:line="234" w:lineRule="exact" w:before="9"/>
              <w:ind w:left="16"/>
              <w:rPr>
                <w:rFonts w:ascii="Times New Roman"/>
                <w:sz w:val="21"/>
              </w:rPr>
            </w:pPr>
            <w:r>
              <w:rPr>
                <w:rFonts w:ascii="Times New Roman"/>
                <w:w w:val="100"/>
                <w:sz w:val="21"/>
              </w:rPr>
              <w:t>-</w:t>
            </w:r>
          </w:p>
        </w:tc>
        <w:tc>
          <w:tcPr>
            <w:tcW w:w="2069" w:type="dxa"/>
            <w:gridSpan w:val="2"/>
          </w:tcPr>
          <w:p>
            <w:pPr>
              <w:pStyle w:val="TableParagraph"/>
              <w:spacing w:line="234" w:lineRule="exact" w:before="9"/>
              <w:ind w:left="18"/>
              <w:rPr>
                <w:rFonts w:ascii="Times New Roman"/>
                <w:sz w:val="21"/>
              </w:rPr>
            </w:pPr>
            <w:r>
              <w:rPr>
                <w:rFonts w:ascii="Times New Roman"/>
                <w:w w:val="100"/>
                <w:sz w:val="21"/>
              </w:rPr>
              <w:t>-</w:t>
            </w:r>
          </w:p>
        </w:tc>
      </w:tr>
      <w:tr>
        <w:trPr>
          <w:trHeight w:val="265" w:hRule="atLeast"/>
        </w:trPr>
        <w:tc>
          <w:tcPr>
            <w:tcW w:w="629" w:type="dxa"/>
            <w:vMerge/>
            <w:tcBorders>
              <w:top w:val="nil"/>
              <w:bottom w:val="double" w:sz="1" w:space="0" w:color="000000"/>
            </w:tcBorders>
          </w:tcPr>
          <w:p>
            <w:pPr>
              <w:rPr>
                <w:sz w:val="2"/>
                <w:szCs w:val="2"/>
              </w:rPr>
            </w:pPr>
          </w:p>
        </w:tc>
        <w:tc>
          <w:tcPr>
            <w:tcW w:w="1776" w:type="dxa"/>
            <w:gridSpan w:val="3"/>
          </w:tcPr>
          <w:p>
            <w:pPr>
              <w:pStyle w:val="TableParagraph"/>
              <w:spacing w:line="233" w:lineRule="exact" w:before="12"/>
              <w:ind w:left="548" w:right="541"/>
              <w:rPr>
                <w:rFonts w:ascii="Times New Roman"/>
                <w:sz w:val="21"/>
              </w:rPr>
            </w:pPr>
            <w:r>
              <w:rPr>
                <w:rFonts w:ascii="Times New Roman"/>
                <w:sz w:val="21"/>
              </w:rPr>
              <w:t>COD</w:t>
            </w:r>
          </w:p>
        </w:tc>
        <w:tc>
          <w:tcPr>
            <w:tcW w:w="2615" w:type="dxa"/>
            <w:gridSpan w:val="5"/>
          </w:tcPr>
          <w:p>
            <w:pPr>
              <w:pStyle w:val="TableParagraph"/>
              <w:spacing w:line="245" w:lineRule="exact"/>
              <w:ind w:left="679"/>
              <w:jc w:val="left"/>
              <w:rPr>
                <w:rFonts w:ascii="Times New Roman" w:eastAsia="Times New Roman"/>
                <w:sz w:val="21"/>
              </w:rPr>
            </w:pPr>
            <w:r>
              <w:rPr>
                <w:sz w:val="21"/>
              </w:rPr>
              <w:t>排环境量 </w:t>
            </w:r>
            <w:r>
              <w:rPr>
                <w:rFonts w:ascii="Times New Roman" w:eastAsia="Times New Roman"/>
                <w:sz w:val="21"/>
              </w:rPr>
              <w:t>2.64</w:t>
            </w:r>
          </w:p>
        </w:tc>
        <w:tc>
          <w:tcPr>
            <w:tcW w:w="2092" w:type="dxa"/>
            <w:gridSpan w:val="2"/>
          </w:tcPr>
          <w:p>
            <w:pPr>
              <w:pStyle w:val="TableParagraph"/>
              <w:spacing w:line="233" w:lineRule="exact" w:before="12"/>
              <w:ind w:left="16"/>
              <w:rPr>
                <w:rFonts w:ascii="Times New Roman"/>
                <w:sz w:val="21"/>
              </w:rPr>
            </w:pPr>
            <w:r>
              <w:rPr>
                <w:rFonts w:ascii="Times New Roman"/>
                <w:w w:val="100"/>
                <w:sz w:val="21"/>
              </w:rPr>
              <w:t>-</w:t>
            </w:r>
          </w:p>
        </w:tc>
        <w:tc>
          <w:tcPr>
            <w:tcW w:w="2069" w:type="dxa"/>
            <w:gridSpan w:val="2"/>
          </w:tcPr>
          <w:p>
            <w:pPr>
              <w:pStyle w:val="TableParagraph"/>
              <w:spacing w:line="233" w:lineRule="exact" w:before="12"/>
              <w:ind w:left="18"/>
              <w:rPr>
                <w:rFonts w:ascii="Times New Roman"/>
                <w:sz w:val="21"/>
              </w:rPr>
            </w:pPr>
            <w:r>
              <w:rPr>
                <w:rFonts w:ascii="Times New Roman"/>
                <w:w w:val="100"/>
                <w:sz w:val="21"/>
              </w:rPr>
              <w:t>-</w:t>
            </w:r>
          </w:p>
        </w:tc>
      </w:tr>
      <w:tr>
        <w:trPr>
          <w:trHeight w:val="262" w:hRule="atLeast"/>
        </w:trPr>
        <w:tc>
          <w:tcPr>
            <w:tcW w:w="629" w:type="dxa"/>
            <w:vMerge/>
            <w:tcBorders>
              <w:top w:val="nil"/>
              <w:bottom w:val="double" w:sz="1" w:space="0" w:color="000000"/>
            </w:tcBorders>
          </w:tcPr>
          <w:p>
            <w:pPr>
              <w:rPr>
                <w:sz w:val="2"/>
                <w:szCs w:val="2"/>
              </w:rPr>
            </w:pPr>
          </w:p>
        </w:tc>
        <w:tc>
          <w:tcPr>
            <w:tcW w:w="1776" w:type="dxa"/>
            <w:gridSpan w:val="3"/>
          </w:tcPr>
          <w:p>
            <w:pPr>
              <w:pStyle w:val="TableParagraph"/>
              <w:spacing w:line="243" w:lineRule="exact"/>
              <w:ind w:left="548" w:right="539"/>
              <w:rPr>
                <w:sz w:val="21"/>
              </w:rPr>
            </w:pPr>
            <w:r>
              <w:rPr>
                <w:sz w:val="21"/>
              </w:rPr>
              <w:t>氨氮</w:t>
            </w:r>
          </w:p>
        </w:tc>
        <w:tc>
          <w:tcPr>
            <w:tcW w:w="2615" w:type="dxa"/>
            <w:gridSpan w:val="5"/>
          </w:tcPr>
          <w:p>
            <w:pPr>
              <w:pStyle w:val="TableParagraph"/>
              <w:spacing w:line="243" w:lineRule="exact"/>
              <w:ind w:left="626"/>
              <w:jc w:val="left"/>
              <w:rPr>
                <w:rFonts w:ascii="Times New Roman" w:eastAsia="Times New Roman"/>
                <w:sz w:val="21"/>
              </w:rPr>
            </w:pPr>
            <w:r>
              <w:rPr>
                <w:sz w:val="21"/>
              </w:rPr>
              <w:t>排环境量 </w:t>
            </w:r>
            <w:r>
              <w:rPr>
                <w:rFonts w:ascii="Times New Roman" w:eastAsia="Times New Roman"/>
                <w:sz w:val="21"/>
              </w:rPr>
              <w:t>0.495</w:t>
            </w:r>
          </w:p>
        </w:tc>
        <w:tc>
          <w:tcPr>
            <w:tcW w:w="2092" w:type="dxa"/>
            <w:gridSpan w:val="2"/>
          </w:tcPr>
          <w:p>
            <w:pPr>
              <w:pStyle w:val="TableParagraph"/>
              <w:spacing w:line="233" w:lineRule="exact" w:before="9"/>
              <w:ind w:left="16"/>
              <w:rPr>
                <w:rFonts w:ascii="Times New Roman"/>
                <w:sz w:val="21"/>
              </w:rPr>
            </w:pPr>
            <w:r>
              <w:rPr>
                <w:rFonts w:ascii="Times New Roman"/>
                <w:w w:val="100"/>
                <w:sz w:val="21"/>
              </w:rPr>
              <w:t>-</w:t>
            </w:r>
          </w:p>
        </w:tc>
        <w:tc>
          <w:tcPr>
            <w:tcW w:w="2069" w:type="dxa"/>
            <w:gridSpan w:val="2"/>
          </w:tcPr>
          <w:p>
            <w:pPr>
              <w:pStyle w:val="TableParagraph"/>
              <w:spacing w:line="233" w:lineRule="exact" w:before="9"/>
              <w:ind w:left="18"/>
              <w:rPr>
                <w:rFonts w:ascii="Times New Roman"/>
                <w:sz w:val="21"/>
              </w:rPr>
            </w:pPr>
            <w:r>
              <w:rPr>
                <w:rFonts w:ascii="Times New Roman"/>
                <w:w w:val="100"/>
                <w:sz w:val="21"/>
              </w:rPr>
              <w:t>-</w:t>
            </w:r>
          </w:p>
        </w:tc>
      </w:tr>
      <w:tr>
        <w:trPr>
          <w:trHeight w:val="265" w:hRule="atLeast"/>
        </w:trPr>
        <w:tc>
          <w:tcPr>
            <w:tcW w:w="629" w:type="dxa"/>
            <w:vMerge/>
            <w:tcBorders>
              <w:top w:val="nil"/>
              <w:bottom w:val="double" w:sz="1" w:space="0" w:color="000000"/>
            </w:tcBorders>
          </w:tcPr>
          <w:p>
            <w:pPr>
              <w:rPr>
                <w:sz w:val="2"/>
                <w:szCs w:val="2"/>
              </w:rPr>
            </w:pPr>
          </w:p>
        </w:tc>
        <w:tc>
          <w:tcPr>
            <w:tcW w:w="8552" w:type="dxa"/>
            <w:gridSpan w:val="12"/>
          </w:tcPr>
          <w:p>
            <w:pPr>
              <w:pStyle w:val="TableParagraph"/>
              <w:spacing w:line="245" w:lineRule="exact"/>
              <w:ind w:left="2262" w:right="2250"/>
              <w:rPr>
                <w:sz w:val="21"/>
              </w:rPr>
            </w:pPr>
            <w:r>
              <w:rPr>
                <w:sz w:val="21"/>
              </w:rPr>
              <w:t>排污单位重点大气污染物排放总量控制指标</w:t>
            </w:r>
          </w:p>
        </w:tc>
      </w:tr>
      <w:tr>
        <w:trPr>
          <w:trHeight w:val="262" w:hRule="atLeast"/>
        </w:trPr>
        <w:tc>
          <w:tcPr>
            <w:tcW w:w="629" w:type="dxa"/>
            <w:vMerge/>
            <w:tcBorders>
              <w:top w:val="nil"/>
              <w:bottom w:val="double" w:sz="1" w:space="0" w:color="000000"/>
            </w:tcBorders>
          </w:tcPr>
          <w:p>
            <w:pPr>
              <w:rPr>
                <w:sz w:val="2"/>
                <w:szCs w:val="2"/>
              </w:rPr>
            </w:pPr>
          </w:p>
        </w:tc>
        <w:tc>
          <w:tcPr>
            <w:tcW w:w="1776" w:type="dxa"/>
            <w:gridSpan w:val="3"/>
          </w:tcPr>
          <w:p>
            <w:pPr>
              <w:pStyle w:val="TableParagraph"/>
              <w:spacing w:line="243" w:lineRule="exact"/>
              <w:ind w:left="150"/>
              <w:jc w:val="left"/>
              <w:rPr>
                <w:sz w:val="21"/>
              </w:rPr>
            </w:pPr>
            <w:r>
              <w:rPr>
                <w:sz w:val="21"/>
              </w:rPr>
              <w:t>重点污染物名称</w:t>
            </w:r>
          </w:p>
        </w:tc>
        <w:tc>
          <w:tcPr>
            <w:tcW w:w="2615" w:type="dxa"/>
            <w:gridSpan w:val="5"/>
          </w:tcPr>
          <w:p>
            <w:pPr>
              <w:pStyle w:val="TableParagraph"/>
              <w:spacing w:line="243" w:lineRule="exact"/>
              <w:ind w:left="362"/>
              <w:jc w:val="left"/>
              <w:rPr>
                <w:sz w:val="21"/>
              </w:rPr>
            </w:pPr>
            <w:r>
              <w:rPr>
                <w:sz w:val="21"/>
              </w:rPr>
              <w:t>年许可排放量（吨）</w:t>
            </w:r>
          </w:p>
        </w:tc>
        <w:tc>
          <w:tcPr>
            <w:tcW w:w="2092" w:type="dxa"/>
            <w:gridSpan w:val="2"/>
          </w:tcPr>
          <w:p>
            <w:pPr>
              <w:pStyle w:val="TableParagraph"/>
              <w:spacing w:line="243" w:lineRule="exact"/>
              <w:ind w:left="627"/>
              <w:jc w:val="left"/>
              <w:rPr>
                <w:sz w:val="21"/>
              </w:rPr>
            </w:pPr>
            <w:r>
              <w:rPr>
                <w:sz w:val="21"/>
              </w:rPr>
              <w:t>减排时限</w:t>
            </w:r>
          </w:p>
        </w:tc>
        <w:tc>
          <w:tcPr>
            <w:tcW w:w="2069" w:type="dxa"/>
            <w:gridSpan w:val="2"/>
          </w:tcPr>
          <w:p>
            <w:pPr>
              <w:pStyle w:val="TableParagraph"/>
              <w:spacing w:line="243" w:lineRule="exact"/>
              <w:ind w:left="407"/>
              <w:jc w:val="left"/>
              <w:rPr>
                <w:sz w:val="21"/>
              </w:rPr>
            </w:pPr>
            <w:r>
              <w:rPr>
                <w:sz w:val="21"/>
              </w:rPr>
              <w:t>减排量（吨）</w:t>
            </w:r>
          </w:p>
        </w:tc>
      </w:tr>
      <w:tr>
        <w:trPr>
          <w:trHeight w:val="265" w:hRule="atLeast"/>
        </w:trPr>
        <w:tc>
          <w:tcPr>
            <w:tcW w:w="629" w:type="dxa"/>
            <w:vMerge/>
            <w:tcBorders>
              <w:top w:val="nil"/>
              <w:bottom w:val="double" w:sz="1" w:space="0" w:color="000000"/>
            </w:tcBorders>
          </w:tcPr>
          <w:p>
            <w:pPr>
              <w:rPr>
                <w:sz w:val="2"/>
                <w:szCs w:val="2"/>
              </w:rPr>
            </w:pPr>
          </w:p>
        </w:tc>
        <w:tc>
          <w:tcPr>
            <w:tcW w:w="1776" w:type="dxa"/>
            <w:gridSpan w:val="3"/>
          </w:tcPr>
          <w:p>
            <w:pPr>
              <w:pStyle w:val="TableParagraph"/>
              <w:spacing w:line="233" w:lineRule="exact" w:before="12"/>
              <w:ind w:left="548" w:right="539"/>
              <w:rPr>
                <w:rFonts w:ascii="Times New Roman"/>
                <w:sz w:val="21"/>
              </w:rPr>
            </w:pPr>
            <w:r>
              <w:rPr>
                <w:rFonts w:ascii="Times New Roman"/>
                <w:sz w:val="21"/>
              </w:rPr>
              <w:t>VOCs</w:t>
            </w:r>
          </w:p>
        </w:tc>
        <w:tc>
          <w:tcPr>
            <w:tcW w:w="2615" w:type="dxa"/>
            <w:gridSpan w:val="5"/>
          </w:tcPr>
          <w:p>
            <w:pPr>
              <w:pStyle w:val="TableParagraph"/>
              <w:spacing w:line="233" w:lineRule="exact" w:before="12"/>
              <w:ind w:left="1028" w:right="1012"/>
              <w:rPr>
                <w:rFonts w:ascii="Times New Roman"/>
                <w:sz w:val="21"/>
              </w:rPr>
            </w:pPr>
            <w:r>
              <w:rPr>
                <w:rFonts w:ascii="Times New Roman"/>
                <w:sz w:val="21"/>
              </w:rPr>
              <w:t>0.34</w:t>
            </w:r>
          </w:p>
        </w:tc>
        <w:tc>
          <w:tcPr>
            <w:tcW w:w="2092" w:type="dxa"/>
            <w:gridSpan w:val="2"/>
          </w:tcPr>
          <w:p>
            <w:pPr>
              <w:pStyle w:val="TableParagraph"/>
              <w:spacing w:line="233" w:lineRule="exact" w:before="12"/>
              <w:ind w:left="16"/>
              <w:rPr>
                <w:rFonts w:ascii="Times New Roman"/>
                <w:sz w:val="21"/>
              </w:rPr>
            </w:pPr>
            <w:r>
              <w:rPr>
                <w:rFonts w:ascii="Times New Roman"/>
                <w:w w:val="100"/>
                <w:sz w:val="21"/>
              </w:rPr>
              <w:t>-</w:t>
            </w:r>
          </w:p>
        </w:tc>
        <w:tc>
          <w:tcPr>
            <w:tcW w:w="2069" w:type="dxa"/>
            <w:gridSpan w:val="2"/>
          </w:tcPr>
          <w:p>
            <w:pPr>
              <w:pStyle w:val="TableParagraph"/>
              <w:spacing w:line="233" w:lineRule="exact" w:before="12"/>
              <w:ind w:left="18"/>
              <w:rPr>
                <w:rFonts w:ascii="Times New Roman"/>
                <w:sz w:val="21"/>
              </w:rPr>
            </w:pPr>
            <w:r>
              <w:rPr>
                <w:rFonts w:ascii="Times New Roman"/>
                <w:w w:val="100"/>
                <w:sz w:val="21"/>
              </w:rPr>
              <w:t>-</w:t>
            </w:r>
          </w:p>
        </w:tc>
      </w:tr>
      <w:tr>
        <w:trPr>
          <w:trHeight w:val="272" w:hRule="atLeast"/>
        </w:trPr>
        <w:tc>
          <w:tcPr>
            <w:tcW w:w="629" w:type="dxa"/>
            <w:vMerge/>
            <w:tcBorders>
              <w:top w:val="nil"/>
              <w:bottom w:val="double" w:sz="1" w:space="0" w:color="000000"/>
            </w:tcBorders>
          </w:tcPr>
          <w:p>
            <w:pPr>
              <w:rPr>
                <w:sz w:val="2"/>
                <w:szCs w:val="2"/>
              </w:rPr>
            </w:pPr>
          </w:p>
        </w:tc>
        <w:tc>
          <w:tcPr>
            <w:tcW w:w="1776" w:type="dxa"/>
            <w:gridSpan w:val="3"/>
            <w:tcBorders>
              <w:bottom w:val="double" w:sz="1" w:space="0" w:color="000000"/>
            </w:tcBorders>
          </w:tcPr>
          <w:p>
            <w:pPr>
              <w:pStyle w:val="TableParagraph"/>
              <w:spacing w:line="252" w:lineRule="exact"/>
              <w:ind w:left="359"/>
              <w:jc w:val="left"/>
              <w:rPr>
                <w:sz w:val="21"/>
              </w:rPr>
            </w:pPr>
            <w:r>
              <w:rPr>
                <w:sz w:val="21"/>
              </w:rPr>
              <w:t>工业烟粉尘</w:t>
            </w:r>
          </w:p>
        </w:tc>
        <w:tc>
          <w:tcPr>
            <w:tcW w:w="2615" w:type="dxa"/>
            <w:gridSpan w:val="5"/>
            <w:tcBorders>
              <w:bottom w:val="double" w:sz="1" w:space="0" w:color="000000"/>
            </w:tcBorders>
          </w:tcPr>
          <w:p>
            <w:pPr>
              <w:pStyle w:val="TableParagraph"/>
              <w:spacing w:before="9"/>
              <w:ind w:left="1028" w:right="1012"/>
              <w:rPr>
                <w:rFonts w:ascii="Times New Roman"/>
                <w:sz w:val="21"/>
              </w:rPr>
            </w:pPr>
            <w:r>
              <w:rPr>
                <w:rFonts w:ascii="Times New Roman"/>
                <w:sz w:val="21"/>
              </w:rPr>
              <w:t>0.2</w:t>
            </w:r>
          </w:p>
        </w:tc>
        <w:tc>
          <w:tcPr>
            <w:tcW w:w="2092" w:type="dxa"/>
            <w:gridSpan w:val="2"/>
            <w:tcBorders>
              <w:bottom w:val="double" w:sz="1" w:space="0" w:color="000000"/>
            </w:tcBorders>
          </w:tcPr>
          <w:p>
            <w:pPr>
              <w:pStyle w:val="TableParagraph"/>
              <w:spacing w:before="9"/>
              <w:ind w:left="16"/>
              <w:rPr>
                <w:rFonts w:ascii="Times New Roman"/>
                <w:sz w:val="21"/>
              </w:rPr>
            </w:pPr>
            <w:r>
              <w:rPr>
                <w:rFonts w:ascii="Times New Roman"/>
                <w:w w:val="100"/>
                <w:sz w:val="21"/>
              </w:rPr>
              <w:t>-</w:t>
            </w:r>
          </w:p>
        </w:tc>
        <w:tc>
          <w:tcPr>
            <w:tcW w:w="2069" w:type="dxa"/>
            <w:gridSpan w:val="2"/>
            <w:tcBorders>
              <w:bottom w:val="double" w:sz="1" w:space="0" w:color="000000"/>
            </w:tcBorders>
          </w:tcPr>
          <w:p>
            <w:pPr>
              <w:pStyle w:val="TableParagraph"/>
              <w:spacing w:before="9"/>
              <w:ind w:left="18"/>
              <w:rPr>
                <w:rFonts w:ascii="Times New Roman"/>
                <w:sz w:val="21"/>
              </w:rPr>
            </w:pPr>
            <w:r>
              <w:rPr>
                <w:rFonts w:ascii="Times New Roman"/>
                <w:w w:val="100"/>
                <w:sz w:val="21"/>
              </w:rPr>
              <w:t>-</w:t>
            </w:r>
          </w:p>
        </w:tc>
      </w:tr>
      <w:tr>
        <w:trPr>
          <w:trHeight w:val="284" w:hRule="atLeast"/>
        </w:trPr>
        <w:tc>
          <w:tcPr>
            <w:tcW w:w="629" w:type="dxa"/>
            <w:tcBorders>
              <w:top w:val="double" w:sz="1" w:space="0" w:color="000000"/>
            </w:tcBorders>
          </w:tcPr>
          <w:p>
            <w:pPr>
              <w:pStyle w:val="TableParagraph"/>
              <w:spacing w:line="257" w:lineRule="exact" w:before="8"/>
              <w:ind w:left="103"/>
              <w:jc w:val="left"/>
              <w:rPr>
                <w:b/>
                <w:sz w:val="21"/>
              </w:rPr>
            </w:pPr>
            <w:r>
              <w:rPr>
                <w:b/>
                <w:sz w:val="21"/>
              </w:rPr>
              <w:t>环境</w:t>
            </w:r>
          </w:p>
        </w:tc>
        <w:tc>
          <w:tcPr>
            <w:tcW w:w="6483" w:type="dxa"/>
            <w:gridSpan w:val="10"/>
            <w:tcBorders>
              <w:top w:val="double" w:sz="1" w:space="0" w:color="000000"/>
            </w:tcBorders>
          </w:tcPr>
          <w:p>
            <w:pPr>
              <w:pStyle w:val="TableParagraph"/>
              <w:spacing w:line="257" w:lineRule="exact" w:before="8"/>
              <w:ind w:left="2592" w:right="2580"/>
              <w:rPr>
                <w:sz w:val="21"/>
              </w:rPr>
            </w:pPr>
            <w:r>
              <w:rPr>
                <w:sz w:val="21"/>
              </w:rPr>
              <w:t>具体防范措施</w:t>
            </w:r>
          </w:p>
        </w:tc>
        <w:tc>
          <w:tcPr>
            <w:tcW w:w="2069" w:type="dxa"/>
            <w:gridSpan w:val="2"/>
            <w:tcBorders>
              <w:top w:val="double" w:sz="1" w:space="0" w:color="000000"/>
            </w:tcBorders>
          </w:tcPr>
          <w:p>
            <w:pPr>
              <w:pStyle w:val="TableParagraph"/>
              <w:spacing w:line="257" w:lineRule="exact" w:before="8"/>
              <w:ind w:left="635" w:right="615"/>
              <w:rPr>
                <w:sz w:val="21"/>
              </w:rPr>
            </w:pPr>
            <w:r>
              <w:rPr>
                <w:sz w:val="21"/>
              </w:rPr>
              <w:t>效果</w:t>
            </w:r>
          </w:p>
        </w:tc>
      </w:tr>
    </w:tbl>
    <w:p>
      <w:pPr>
        <w:spacing w:after="0" w:line="257" w:lineRule="exact"/>
        <w:rPr>
          <w:sz w:val="21"/>
        </w:rPr>
        <w:sectPr>
          <w:pgSz w:w="11910" w:h="16840"/>
          <w:pgMar w:header="872" w:footer="873" w:top="1320" w:bottom="1060" w:left="1200" w:right="1180"/>
        </w:sectPr>
      </w:pPr>
    </w:p>
    <w:p>
      <w:pPr>
        <w:pStyle w:val="BodyText"/>
        <w:spacing w:before="1"/>
        <w:rPr>
          <w:rFonts w:ascii="Times New Roman"/>
          <w:sz w:val="7"/>
        </w:rPr>
      </w:pP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1277"/>
        <w:gridCol w:w="997"/>
        <w:gridCol w:w="2583"/>
        <w:gridCol w:w="1632"/>
        <w:gridCol w:w="2069"/>
      </w:tblGrid>
      <w:tr>
        <w:trPr>
          <w:trHeight w:val="2450" w:hRule="atLeast"/>
        </w:trPr>
        <w:tc>
          <w:tcPr>
            <w:tcW w:w="629" w:type="dxa"/>
            <w:tcBorders>
              <w:bottom w:val="double" w:sz="1" w:space="0" w:color="000000"/>
            </w:tcBorders>
          </w:tcPr>
          <w:p>
            <w:pPr>
              <w:pStyle w:val="TableParagraph"/>
              <w:spacing w:line="242" w:lineRule="auto" w:before="1"/>
              <w:ind w:left="103" w:right="91"/>
              <w:jc w:val="both"/>
              <w:rPr>
                <w:b/>
                <w:sz w:val="21"/>
              </w:rPr>
            </w:pPr>
            <w:r>
              <w:rPr>
                <w:b/>
                <w:sz w:val="21"/>
              </w:rPr>
              <w:t>风险防范措施</w:t>
            </w:r>
          </w:p>
        </w:tc>
        <w:tc>
          <w:tcPr>
            <w:tcW w:w="6489" w:type="dxa"/>
            <w:gridSpan w:val="4"/>
            <w:tcBorders>
              <w:bottom w:val="double" w:sz="1" w:space="0" w:color="000000"/>
            </w:tcBorders>
          </w:tcPr>
          <w:p>
            <w:pPr>
              <w:pStyle w:val="TableParagraph"/>
              <w:spacing w:line="242" w:lineRule="auto" w:before="1"/>
              <w:ind w:left="54" w:right="116"/>
              <w:jc w:val="both"/>
              <w:rPr>
                <w:sz w:val="21"/>
              </w:rPr>
            </w:pPr>
            <w:r>
              <w:rPr>
                <w:spacing w:val="-3"/>
                <w:sz w:val="21"/>
              </w:rPr>
              <w:t>在各路雨水管道和事故应急池加装截止阀门，同时和污水池相通，保</w:t>
            </w:r>
            <w:r>
              <w:rPr>
                <w:spacing w:val="-6"/>
                <w:sz w:val="21"/>
              </w:rPr>
              <w:t>证消防水等纳入事故池，在各路雨水管道和事故应急池加装截止阀门</w:t>
            </w:r>
            <w:r>
              <w:rPr>
                <w:spacing w:val="-7"/>
                <w:sz w:val="21"/>
              </w:rPr>
              <w:t>同时和污水池相通，保证消防水等纳入事故池，避免泄漏至附近内河</w:t>
            </w:r>
            <w:r>
              <w:rPr>
                <w:spacing w:val="-5"/>
                <w:sz w:val="21"/>
              </w:rPr>
              <w:t>对于清下水收集池，应加装应急阀门，确保事故状态下能及时关掉阀</w:t>
            </w:r>
            <w:r>
              <w:rPr>
                <w:spacing w:val="-4"/>
                <w:sz w:val="21"/>
              </w:rPr>
              <w:t>门，使得受污染的清下水纳入污水处理站处理，避免受污染的清下水</w:t>
            </w:r>
            <w:r>
              <w:rPr>
                <w:spacing w:val="-3"/>
                <w:sz w:val="21"/>
              </w:rPr>
              <w:t>通过清下水管道泄漏至附近内河，杜绝废水事故性排放。</w:t>
            </w:r>
          </w:p>
          <w:p>
            <w:pPr>
              <w:pStyle w:val="TableParagraph"/>
              <w:spacing w:line="242" w:lineRule="auto" w:before="4"/>
              <w:ind w:left="54" w:right="116"/>
              <w:jc w:val="left"/>
              <w:rPr>
                <w:sz w:val="21"/>
              </w:rPr>
            </w:pPr>
            <w:r>
              <w:rPr>
                <w:sz w:val="21"/>
              </w:rPr>
              <w:t>机泵、阀门、电器及仪表等在运行中发生故障，将会导致废气处理操作事故，这种事故发生概率较高，对此类事故的应急措施主要是，对</w:t>
            </w:r>
          </w:p>
          <w:p>
            <w:pPr>
              <w:pStyle w:val="TableParagraph"/>
              <w:spacing w:line="249" w:lineRule="exact" w:before="1"/>
              <w:ind w:left="54"/>
              <w:jc w:val="left"/>
              <w:rPr>
                <w:sz w:val="21"/>
              </w:rPr>
            </w:pPr>
            <w:r>
              <w:rPr>
                <w:sz w:val="21"/>
              </w:rPr>
              <w:t>易损设备采取多套备用设计。</w:t>
            </w:r>
          </w:p>
        </w:tc>
        <w:tc>
          <w:tcPr>
            <w:tcW w:w="2069" w:type="dxa"/>
            <w:tcBorders>
              <w:bottom w:val="double" w:sz="1" w:space="0" w:color="000000"/>
            </w:tcBorders>
          </w:tcPr>
          <w:p>
            <w:pPr>
              <w:pStyle w:val="TableParagraph"/>
              <w:spacing w:before="8"/>
              <w:jc w:val="left"/>
              <w:rPr>
                <w:rFonts w:ascii="Times New Roman"/>
                <w:sz w:val="23"/>
              </w:rPr>
            </w:pPr>
          </w:p>
          <w:p>
            <w:pPr>
              <w:pStyle w:val="TableParagraph"/>
              <w:ind w:left="-160"/>
              <w:jc w:val="left"/>
              <w:rPr>
                <w:sz w:val="21"/>
              </w:rPr>
            </w:pPr>
            <w:r>
              <w:rPr>
                <w:w w:val="100"/>
                <w:sz w:val="21"/>
              </w:rPr>
              <w:t>，</w:t>
            </w:r>
          </w:p>
          <w:p>
            <w:pPr>
              <w:pStyle w:val="TableParagraph"/>
              <w:spacing w:line="242" w:lineRule="auto" w:before="1"/>
              <w:ind w:left="87" w:right="75" w:hanging="250"/>
              <w:jc w:val="both"/>
              <w:rPr>
                <w:sz w:val="21"/>
              </w:rPr>
            </w:pPr>
            <w:r>
              <w:rPr>
                <w:w w:val="155"/>
                <w:position w:val="14"/>
                <w:sz w:val="21"/>
              </w:rPr>
              <w:t>o</w:t>
            </w:r>
            <w:r>
              <w:rPr>
                <w:spacing w:val="-148"/>
                <w:w w:val="155"/>
                <w:position w:val="14"/>
                <w:sz w:val="21"/>
              </w:rPr>
              <w:t> </w:t>
            </w:r>
            <w:r>
              <w:rPr>
                <w:spacing w:val="-5"/>
                <w:w w:val="105"/>
                <w:sz w:val="21"/>
              </w:rPr>
              <w:t>防范于未然，减少事</w:t>
            </w:r>
            <w:r>
              <w:rPr>
                <w:spacing w:val="-5"/>
                <w:sz w:val="21"/>
              </w:rPr>
              <w:t>故发生，当事故发生时能尽快控制，防止</w:t>
            </w:r>
          </w:p>
          <w:p>
            <w:pPr>
              <w:pStyle w:val="TableParagraph"/>
              <w:spacing w:before="1"/>
              <w:ind w:left="635" w:right="628"/>
              <w:rPr>
                <w:sz w:val="21"/>
              </w:rPr>
            </w:pPr>
            <w:r>
              <w:rPr>
                <w:w w:val="120"/>
                <w:sz w:val="21"/>
              </w:rPr>
              <w:t>蔓延。</w:t>
            </w:r>
          </w:p>
        </w:tc>
      </w:tr>
      <w:tr>
        <w:trPr>
          <w:trHeight w:val="274" w:hRule="atLeast"/>
        </w:trPr>
        <w:tc>
          <w:tcPr>
            <w:tcW w:w="629" w:type="dxa"/>
            <w:vMerge w:val="restart"/>
            <w:tcBorders>
              <w:top w:val="double" w:sz="1" w:space="0" w:color="000000"/>
              <w:bottom w:val="double" w:sz="1" w:space="0" w:color="000000"/>
            </w:tcBorders>
          </w:tcPr>
          <w:p>
            <w:pPr>
              <w:pStyle w:val="TableParagraph"/>
              <w:spacing w:line="270" w:lineRule="atLeast" w:before="19"/>
              <w:ind w:left="103" w:right="91"/>
              <w:jc w:val="left"/>
              <w:rPr>
                <w:b/>
                <w:sz w:val="21"/>
              </w:rPr>
            </w:pPr>
            <w:r>
              <w:rPr>
                <w:b/>
                <w:sz w:val="21"/>
              </w:rPr>
              <w:t>环境监测</w:t>
            </w:r>
          </w:p>
        </w:tc>
        <w:tc>
          <w:tcPr>
            <w:tcW w:w="1277" w:type="dxa"/>
            <w:tcBorders>
              <w:top w:val="double" w:sz="1" w:space="0" w:color="000000"/>
            </w:tcBorders>
          </w:tcPr>
          <w:p>
            <w:pPr>
              <w:pStyle w:val="TableParagraph"/>
              <w:spacing w:line="247" w:lineRule="exact" w:before="8"/>
              <w:ind w:left="426"/>
              <w:jc w:val="left"/>
              <w:rPr>
                <w:sz w:val="21"/>
              </w:rPr>
            </w:pPr>
            <w:r>
              <w:rPr>
                <w:sz w:val="21"/>
              </w:rPr>
              <w:t>类别</w:t>
            </w:r>
          </w:p>
        </w:tc>
        <w:tc>
          <w:tcPr>
            <w:tcW w:w="997" w:type="dxa"/>
            <w:tcBorders>
              <w:top w:val="double" w:sz="1" w:space="0" w:color="000000"/>
            </w:tcBorders>
          </w:tcPr>
          <w:p>
            <w:pPr>
              <w:pStyle w:val="TableParagraph"/>
              <w:spacing w:line="247" w:lineRule="exact" w:before="8"/>
              <w:ind w:left="76"/>
              <w:jc w:val="left"/>
              <w:rPr>
                <w:sz w:val="21"/>
              </w:rPr>
            </w:pPr>
            <w:r>
              <w:rPr>
                <w:sz w:val="21"/>
              </w:rPr>
              <w:t>监测点位</w:t>
            </w:r>
          </w:p>
        </w:tc>
        <w:tc>
          <w:tcPr>
            <w:tcW w:w="2583" w:type="dxa"/>
            <w:tcBorders>
              <w:top w:val="double" w:sz="1" w:space="0" w:color="000000"/>
            </w:tcBorders>
          </w:tcPr>
          <w:p>
            <w:pPr>
              <w:pStyle w:val="TableParagraph"/>
              <w:spacing w:line="247" w:lineRule="exact" w:before="8"/>
              <w:ind w:left="851" w:right="842"/>
              <w:rPr>
                <w:sz w:val="21"/>
              </w:rPr>
            </w:pPr>
            <w:r>
              <w:rPr>
                <w:sz w:val="21"/>
              </w:rPr>
              <w:t>监测项目</w:t>
            </w:r>
          </w:p>
        </w:tc>
        <w:tc>
          <w:tcPr>
            <w:tcW w:w="1632" w:type="dxa"/>
            <w:tcBorders>
              <w:top w:val="double" w:sz="1" w:space="0" w:color="000000"/>
            </w:tcBorders>
          </w:tcPr>
          <w:p>
            <w:pPr>
              <w:pStyle w:val="TableParagraph"/>
              <w:spacing w:line="247" w:lineRule="exact" w:before="8"/>
              <w:ind w:left="392"/>
              <w:jc w:val="left"/>
              <w:rPr>
                <w:sz w:val="21"/>
              </w:rPr>
            </w:pPr>
            <w:r>
              <w:rPr>
                <w:sz w:val="21"/>
              </w:rPr>
              <w:t>监测频率</w:t>
            </w:r>
          </w:p>
        </w:tc>
        <w:tc>
          <w:tcPr>
            <w:tcW w:w="2069" w:type="dxa"/>
            <w:tcBorders>
              <w:top w:val="double" w:sz="1" w:space="0" w:color="000000"/>
            </w:tcBorders>
          </w:tcPr>
          <w:p>
            <w:pPr>
              <w:pStyle w:val="TableParagraph"/>
              <w:spacing w:line="247" w:lineRule="exact" w:before="8"/>
              <w:ind w:left="613"/>
              <w:jc w:val="left"/>
              <w:rPr>
                <w:sz w:val="21"/>
              </w:rPr>
            </w:pPr>
            <w:r>
              <w:rPr>
                <w:sz w:val="21"/>
              </w:rPr>
              <w:t>监测单位</w:t>
            </w:r>
          </w:p>
        </w:tc>
      </w:tr>
      <w:tr>
        <w:trPr>
          <w:trHeight w:val="274" w:hRule="atLeast"/>
        </w:trPr>
        <w:tc>
          <w:tcPr>
            <w:tcW w:w="629" w:type="dxa"/>
            <w:vMerge/>
            <w:tcBorders>
              <w:top w:val="nil"/>
              <w:bottom w:val="double" w:sz="1" w:space="0" w:color="000000"/>
            </w:tcBorders>
          </w:tcPr>
          <w:p>
            <w:pPr>
              <w:rPr>
                <w:sz w:val="2"/>
                <w:szCs w:val="2"/>
              </w:rPr>
            </w:pPr>
          </w:p>
        </w:tc>
        <w:tc>
          <w:tcPr>
            <w:tcW w:w="8558" w:type="dxa"/>
            <w:gridSpan w:val="5"/>
            <w:tcBorders>
              <w:bottom w:val="double" w:sz="1" w:space="0" w:color="000000"/>
            </w:tcBorders>
          </w:tcPr>
          <w:p>
            <w:pPr>
              <w:pStyle w:val="TableParagraph"/>
              <w:spacing w:line="255" w:lineRule="exact"/>
              <w:ind w:left="3188" w:right="3182"/>
              <w:rPr>
                <w:rFonts w:ascii="Times New Roman" w:eastAsia="Times New Roman"/>
                <w:sz w:val="21"/>
              </w:rPr>
            </w:pPr>
            <w:r>
              <w:rPr>
                <w:sz w:val="21"/>
              </w:rPr>
              <w:t>见 </w:t>
            </w:r>
            <w:r>
              <w:rPr>
                <w:rFonts w:ascii="Times New Roman" w:eastAsia="Times New Roman"/>
                <w:sz w:val="21"/>
              </w:rPr>
              <w:t>Pg252 </w:t>
            </w:r>
            <w:r>
              <w:rPr>
                <w:sz w:val="21"/>
              </w:rPr>
              <w:t>表 </w:t>
            </w:r>
            <w:r>
              <w:rPr>
                <w:rFonts w:ascii="Times New Roman" w:eastAsia="Times New Roman"/>
                <w:sz w:val="21"/>
              </w:rPr>
              <w:t>10.6.2-1~2</w:t>
            </w:r>
          </w:p>
        </w:tc>
      </w:tr>
      <w:tr>
        <w:trPr>
          <w:trHeight w:val="1352" w:hRule="atLeast"/>
        </w:trPr>
        <w:tc>
          <w:tcPr>
            <w:tcW w:w="629" w:type="dxa"/>
            <w:tcBorders>
              <w:top w:val="double" w:sz="1" w:space="0" w:color="000000"/>
              <w:bottom w:val="double" w:sz="1" w:space="0" w:color="000000"/>
            </w:tcBorders>
          </w:tcPr>
          <w:p>
            <w:pPr>
              <w:pStyle w:val="TableParagraph"/>
              <w:spacing w:line="242" w:lineRule="auto" w:before="97"/>
              <w:ind w:left="131" w:right="120"/>
              <w:jc w:val="both"/>
              <w:rPr>
                <w:b/>
                <w:sz w:val="18"/>
              </w:rPr>
            </w:pPr>
            <w:r>
              <w:rPr>
                <w:b/>
                <w:sz w:val="18"/>
              </w:rPr>
              <w:t>向社会公开的信息要求</w:t>
            </w:r>
          </w:p>
        </w:tc>
        <w:tc>
          <w:tcPr>
            <w:tcW w:w="8558" w:type="dxa"/>
            <w:gridSpan w:val="5"/>
            <w:tcBorders>
              <w:top w:val="double" w:sz="1" w:space="0" w:color="000000"/>
            </w:tcBorders>
          </w:tcPr>
          <w:p>
            <w:pPr>
              <w:pStyle w:val="TableParagraph"/>
              <w:spacing w:line="242" w:lineRule="auto"/>
              <w:ind w:left="54" w:right="41"/>
              <w:jc w:val="both"/>
              <w:rPr>
                <w:sz w:val="21"/>
              </w:rPr>
            </w:pPr>
            <w:r>
              <w:rPr>
                <w:rFonts w:ascii="Times New Roman" w:eastAsia="Times New Roman"/>
                <w:sz w:val="21"/>
              </w:rPr>
              <w:t>1</w:t>
            </w:r>
            <w:r>
              <w:rPr>
                <w:spacing w:val="-8"/>
                <w:sz w:val="21"/>
              </w:rPr>
              <w:t>、在建设项目环境影响报告书编制过程中，向社会公开建设项目的工程基本情况、拟定选址</w:t>
            </w:r>
            <w:r>
              <w:rPr>
                <w:spacing w:val="-9"/>
                <w:sz w:val="21"/>
              </w:rPr>
              <w:t>选线、周边主要保护目标的位置和距离、主要环节影响预测情况、拟采取的主要环境保护措</w:t>
            </w:r>
            <w:r>
              <w:rPr>
                <w:spacing w:val="-3"/>
                <w:sz w:val="21"/>
              </w:rPr>
              <w:t>施、公众参与的途径方式等；</w:t>
            </w:r>
          </w:p>
          <w:p>
            <w:pPr>
              <w:pStyle w:val="TableParagraph"/>
              <w:spacing w:line="270" w:lineRule="atLeast" w:before="3"/>
              <w:ind w:left="54" w:right="41"/>
              <w:jc w:val="left"/>
              <w:rPr>
                <w:sz w:val="21"/>
              </w:rPr>
            </w:pPr>
            <w:r>
              <w:rPr>
                <w:rFonts w:ascii="Times New Roman" w:eastAsia="Times New Roman"/>
                <w:sz w:val="21"/>
              </w:rPr>
              <w:t>2</w:t>
            </w:r>
            <w:r>
              <w:rPr>
                <w:spacing w:val="-8"/>
                <w:sz w:val="21"/>
              </w:rPr>
              <w:t>、在建设项目环境影响报告书编制完成后，向环境主管部门报批前，向社会公开环境影响报</w:t>
            </w:r>
            <w:r>
              <w:rPr>
                <w:spacing w:val="-5"/>
                <w:sz w:val="21"/>
              </w:rPr>
              <w:t>告书全本，其中对于编制环境影响报告书的建设项目还应一并公开公众参与情况说</w:t>
            </w:r>
            <w:r>
              <w:rPr>
                <w:w w:val="115"/>
                <w:sz w:val="21"/>
              </w:rPr>
              <w:t>明。</w:t>
            </w:r>
          </w:p>
        </w:tc>
      </w:tr>
    </w:tbl>
    <w:p>
      <w:pPr>
        <w:pStyle w:val="BodyText"/>
        <w:spacing w:line="20" w:lineRule="exact"/>
        <w:ind w:left="809"/>
        <w:rPr>
          <w:rFonts w:ascii="Times New Roman"/>
          <w:sz w:val="2"/>
        </w:rPr>
      </w:pPr>
      <w:r>
        <w:rPr>
          <w:rFonts w:ascii="Times New Roman"/>
          <w:sz w:val="2"/>
        </w:rPr>
        <w:pict>
          <v:group style="width:426.95pt;height:.5pt;mso-position-horizontal-relative:char;mso-position-vertical-relative:line" coordorigin="0,0" coordsize="8539,10">
            <v:line style="position:absolute" from="0,5" to="8529,5" stroked="true" strokeweight=".48001pt" strokecolor="#000000">
              <v:stroke dashstyle="solid"/>
            </v:line>
            <v:rect style="position:absolute;left:8528;top:0;width:10;height:10" filled="true" fillcolor="#000000" stroked="false">
              <v:fill type="solid"/>
            </v:rect>
          </v:group>
        </w:pict>
      </w:r>
      <w:r>
        <w:rPr>
          <w:rFonts w:ascii="Times New Roman"/>
          <w:sz w:val="2"/>
        </w:rPr>
      </w:r>
    </w:p>
    <w:p>
      <w:pPr>
        <w:pStyle w:val="Heading3"/>
        <w:numPr>
          <w:ilvl w:val="1"/>
          <w:numId w:val="23"/>
        </w:numPr>
        <w:tabs>
          <w:tab w:pos="850" w:val="left" w:leader="none"/>
        </w:tabs>
        <w:spacing w:line="240" w:lineRule="auto" w:before="3" w:after="0"/>
        <w:ind w:left="850" w:right="0" w:hanging="632"/>
        <w:jc w:val="left"/>
      </w:pPr>
      <w:bookmarkStart w:name="_bookmark66" w:id="133"/>
      <w:bookmarkEnd w:id="133"/>
      <w:r>
        <w:rPr>
          <w:b w:val="0"/>
        </w:rPr>
      </w:r>
      <w:bookmarkStart w:name="_bookmark66" w:id="134"/>
      <w:bookmarkEnd w:id="134"/>
      <w:r>
        <w:rPr/>
        <w:t>排污口设置及规范化管理</w:t>
      </w:r>
    </w:p>
    <w:p>
      <w:pPr>
        <w:pStyle w:val="Heading4"/>
        <w:numPr>
          <w:ilvl w:val="2"/>
          <w:numId w:val="23"/>
        </w:numPr>
        <w:tabs>
          <w:tab w:pos="879" w:val="left" w:leader="none"/>
        </w:tabs>
        <w:spacing w:line="240" w:lineRule="auto" w:before="185" w:after="0"/>
        <w:ind w:left="878" w:right="0" w:hanging="661"/>
        <w:jc w:val="left"/>
      </w:pPr>
      <w:r>
        <w:rPr/>
        <w:t>排污口设置</w:t>
      </w:r>
    </w:p>
    <w:p>
      <w:pPr>
        <w:pStyle w:val="BodyText"/>
        <w:spacing w:line="364" w:lineRule="auto" w:before="158"/>
        <w:ind w:left="218" w:right="232" w:firstLine="480"/>
      </w:pPr>
      <w:r>
        <w:rPr/>
        <w:t>在本项目建设过程中，需同时对总排污口进行规范建设，根据</w:t>
      </w:r>
      <w:r>
        <w:rPr>
          <w:rFonts w:ascii="Times New Roman" w:hAnsi="Times New Roman" w:eastAsia="Times New Roman"/>
        </w:rPr>
        <w:t>“</w:t>
      </w:r>
      <w:r>
        <w:rPr/>
        <w:t>关于对全市重点工业企业排放口开展规范化整治的通知</w:t>
      </w:r>
      <w:r>
        <w:rPr>
          <w:rFonts w:ascii="Times New Roman" w:hAnsi="Times New Roman" w:eastAsia="Times New Roman"/>
        </w:rPr>
        <w:t>”(</w:t>
      </w:r>
      <w:r>
        <w:rPr/>
        <w:t>绍市环函</w:t>
      </w:r>
      <w:r>
        <w:rPr>
          <w:rFonts w:ascii="Times New Roman" w:hAnsi="Times New Roman" w:eastAsia="Times New Roman"/>
        </w:rPr>
        <w:t>[2015]251 </w:t>
      </w:r>
      <w:r>
        <w:rPr/>
        <w:t>号</w:t>
      </w:r>
      <w:r>
        <w:rPr>
          <w:rFonts w:ascii="Times New Roman" w:hAnsi="Times New Roman" w:eastAsia="Times New Roman"/>
        </w:rPr>
        <w:t>)</w:t>
      </w:r>
      <w:r>
        <w:rPr/>
        <w:t>，要求如下：</w:t>
      </w:r>
    </w:p>
    <w:p>
      <w:pPr>
        <w:pStyle w:val="BodyText"/>
        <w:spacing w:before="1"/>
        <w:ind w:left="701"/>
      </w:pPr>
      <w:r>
        <w:rPr>
          <w:rFonts w:ascii="Times New Roman" w:eastAsia="Times New Roman"/>
        </w:rPr>
        <w:t>1</w:t>
      </w:r>
      <w:r>
        <w:rPr/>
        <w:t>、污水排放口及雨水排放口</w:t>
      </w:r>
    </w:p>
    <w:p>
      <w:pPr>
        <w:pStyle w:val="BodyText"/>
        <w:spacing w:line="364" w:lineRule="auto" w:before="158"/>
        <w:ind w:left="218" w:right="184" w:firstLine="480"/>
        <w:jc w:val="both"/>
      </w:pPr>
      <w:r>
        <w:rPr>
          <w:spacing w:val="-3"/>
        </w:rPr>
        <w:t>现有企业及本项目废水均要求通过标准排放口外排。现有企业位于西区，已设置</w:t>
      </w:r>
      <w:r>
        <w:rPr>
          <w:spacing w:val="-128"/>
        </w:rPr>
        <w:t>规</w:t>
      </w:r>
      <w:r>
        <w:rPr/>
        <w:t>范化的标准化排放口及雨水排放口。本项目位于东区，要求在东区新建标准化排放口</w:t>
      </w:r>
      <w:r>
        <w:rPr>
          <w:spacing w:val="-139"/>
        </w:rPr>
        <w:t>， </w:t>
      </w:r>
      <w:r>
        <w:rPr>
          <w:spacing w:val="24"/>
        </w:rPr>
        <w:t>排放口满足</w:t>
      </w:r>
      <w:r>
        <w:rPr>
          <w:rFonts w:ascii="Times New Roman" w:hAnsi="Times New Roman" w:eastAsia="Times New Roman"/>
          <w:spacing w:val="-18"/>
        </w:rPr>
        <w:t>“ </w:t>
      </w:r>
      <w:r>
        <w:rPr>
          <w:spacing w:val="23"/>
        </w:rPr>
        <w:t>关于对全市重点工业企业排放口开展规范化整治的通知</w:t>
      </w:r>
      <w:r>
        <w:rPr>
          <w:rFonts w:ascii="Times New Roman" w:hAnsi="Times New Roman" w:eastAsia="Times New Roman"/>
          <w:spacing w:val="-13"/>
        </w:rPr>
        <w:t>”( </w:t>
      </w:r>
      <w:r>
        <w:rPr>
          <w:spacing w:val="18"/>
        </w:rPr>
        <w:t>绍市环函</w:t>
      </w:r>
      <w:r>
        <w:rPr>
          <w:rFonts w:ascii="Times New Roman" w:hAnsi="Times New Roman" w:eastAsia="Times New Roman"/>
          <w:spacing w:val="18"/>
          <w:w w:val="105"/>
        </w:rPr>
        <w:t>[2015]251 </w:t>
      </w:r>
      <w:r>
        <w:rPr>
          <w:w w:val="105"/>
        </w:rPr>
        <w:t>号</w:t>
      </w:r>
      <w:r>
        <w:rPr>
          <w:rFonts w:ascii="Times New Roman" w:hAnsi="Times New Roman" w:eastAsia="Times New Roman"/>
          <w:w w:val="105"/>
        </w:rPr>
        <w:t>)</w:t>
      </w:r>
      <w:r>
        <w:rPr>
          <w:w w:val="105"/>
        </w:rPr>
        <w:t>中要求。同时要求企业在东区设置雨水排放口。</w:t>
      </w:r>
    </w:p>
    <w:p>
      <w:pPr>
        <w:pStyle w:val="BodyText"/>
        <w:spacing w:line="306" w:lineRule="exact"/>
        <w:ind w:left="701"/>
      </w:pPr>
      <w:r>
        <w:rPr>
          <w:rFonts w:ascii="Times New Roman" w:eastAsia="Times New Roman"/>
        </w:rPr>
        <w:t>2</w:t>
      </w:r>
      <w:r>
        <w:rPr/>
        <w:t>、废气排放</w:t>
      </w:r>
    </w:p>
    <w:p>
      <w:pPr>
        <w:pStyle w:val="BodyText"/>
        <w:spacing w:before="161"/>
        <w:ind w:left="698"/>
      </w:pPr>
      <w:r>
        <w:rPr/>
        <w:t>项目新增排气筒，排气筒应按要求设置采样孔、采样平台，同时应设立标志标牌。</w:t>
      </w:r>
    </w:p>
    <w:p>
      <w:pPr>
        <w:pStyle w:val="BodyText"/>
        <w:spacing w:before="158"/>
        <w:ind w:left="701"/>
      </w:pPr>
      <w:r>
        <w:rPr>
          <w:rFonts w:ascii="Times New Roman" w:eastAsia="Times New Roman"/>
        </w:rPr>
        <w:t>3</w:t>
      </w:r>
      <w:r>
        <w:rPr/>
        <w:t>、固定噪声源</w:t>
      </w:r>
    </w:p>
    <w:p>
      <w:pPr>
        <w:pStyle w:val="BodyText"/>
        <w:spacing w:before="160"/>
        <w:ind w:left="698"/>
      </w:pPr>
      <w:r>
        <w:rPr/>
        <w:t>对噪声源进行治理，并在边界噪声敏感点，且对外界影响最大处设置标志牌。</w:t>
      </w:r>
    </w:p>
    <w:p>
      <w:pPr>
        <w:pStyle w:val="BodyText"/>
        <w:spacing w:before="159"/>
        <w:ind w:left="701"/>
      </w:pPr>
      <w:r>
        <w:rPr>
          <w:rFonts w:ascii="Times New Roman" w:eastAsia="Times New Roman"/>
        </w:rPr>
        <w:t>4</w:t>
      </w:r>
      <w:r>
        <w:rPr/>
        <w:t>、固体废物存储场</w:t>
      </w:r>
    </w:p>
    <w:p>
      <w:pPr>
        <w:pStyle w:val="BodyText"/>
        <w:spacing w:line="364" w:lineRule="auto" w:before="160"/>
        <w:ind w:left="218" w:right="173" w:firstLine="480"/>
      </w:pPr>
      <w:r>
        <w:rPr/>
        <w:t>一般固废设置专用堆放场地，并设防雨棚；危险废物堆放场地必须有防流失、防渗漏等措施</w:t>
      </w:r>
      <w:r>
        <w:rPr>
          <w:w w:val="180"/>
        </w:rPr>
        <w:t>。</w:t>
      </w:r>
    </w:p>
    <w:p>
      <w:pPr>
        <w:pStyle w:val="BodyText"/>
        <w:spacing w:line="307" w:lineRule="exact"/>
        <w:ind w:left="701"/>
      </w:pPr>
      <w:r>
        <w:rPr>
          <w:rFonts w:ascii="Times New Roman" w:eastAsia="Times New Roman"/>
        </w:rPr>
        <w:t>5</w:t>
      </w:r>
      <w:r>
        <w:rPr/>
        <w:t>、标志牌设置</w:t>
      </w:r>
    </w:p>
    <w:p>
      <w:pPr>
        <w:pStyle w:val="BodyText"/>
        <w:spacing w:line="364" w:lineRule="auto" w:before="158"/>
        <w:ind w:left="218" w:right="233" w:firstLine="480"/>
        <w:jc w:val="both"/>
      </w:pPr>
      <w:r>
        <w:rPr>
          <w:spacing w:val="-2"/>
        </w:rPr>
        <w:t>环境保护图形标志牌由相关部门统一定点制作，公司可通过环保部门统一订购</w:t>
      </w:r>
      <w:r>
        <w:rPr>
          <w:spacing w:val="-41"/>
          <w:w w:val="180"/>
        </w:rPr>
        <w:t>。</w:t>
      </w:r>
      <w:r>
        <w:rPr>
          <w:spacing w:val="-220"/>
        </w:rPr>
        <w:t>企</w:t>
      </w:r>
      <w:r>
        <w:rPr>
          <w:spacing w:val="1"/>
        </w:rPr>
        <w:t>业污染物排污口</w:t>
      </w:r>
      <w:r>
        <w:rPr>
          <w:spacing w:val="2"/>
        </w:rPr>
        <w:t>（源</w:t>
      </w:r>
      <w:r>
        <w:rPr>
          <w:spacing w:val="-120"/>
        </w:rPr>
        <w:t>）</w:t>
      </w:r>
      <w:r>
        <w:rPr/>
        <w:t>，应设置提示式标志牌，排放有毒有害污染物的排污口设置警告式标志牌。</w:t>
      </w:r>
    </w:p>
    <w:p>
      <w:pPr>
        <w:spacing w:after="0" w:line="364" w:lineRule="auto"/>
        <w:jc w:val="both"/>
        <w:sectPr>
          <w:pgSz w:w="11910" w:h="16840"/>
          <w:pgMar w:header="872" w:footer="873" w:top="1320" w:bottom="1060" w:left="1200" w:right="1180"/>
        </w:sectPr>
      </w:pPr>
    </w:p>
    <w:p>
      <w:pPr>
        <w:pStyle w:val="BodyText"/>
        <w:spacing w:line="364" w:lineRule="auto" w:before="84"/>
        <w:ind w:left="218" w:right="236" w:firstLine="480"/>
      </w:pPr>
      <w:r>
        <w:rPr/>
        <w:t>标志牌设置在排污口（采样点）附近且醒目处，高度为标志牌上缘离地面 </w:t>
      </w:r>
      <w:r>
        <w:rPr>
          <w:rFonts w:ascii="Times New Roman" w:eastAsia="Times New Roman"/>
        </w:rPr>
        <w:t>2m</w:t>
      </w:r>
      <w:r>
        <w:rPr/>
        <w:t>，排污口附近 </w:t>
      </w:r>
      <w:r>
        <w:rPr>
          <w:rFonts w:ascii="Times New Roman" w:eastAsia="Times New Roman"/>
        </w:rPr>
        <w:t>1m </w:t>
      </w:r>
      <w:r>
        <w:rPr/>
        <w:t>范围内有建筑物的，设平面式标志牌，无建筑物的设立式标志牌。</w:t>
      </w:r>
    </w:p>
    <w:p>
      <w:pPr>
        <w:pStyle w:val="BodyText"/>
        <w:spacing w:line="307" w:lineRule="exact"/>
        <w:ind w:left="701"/>
      </w:pPr>
      <w:r>
        <w:rPr>
          <w:rFonts w:ascii="Times New Roman" w:eastAsia="Times New Roman"/>
        </w:rPr>
        <w:t>6</w:t>
      </w:r>
      <w:r>
        <w:rPr/>
        <w:t>、排污口监控要求</w:t>
      </w:r>
    </w:p>
    <w:p>
      <w:pPr>
        <w:pStyle w:val="BodyText"/>
        <w:spacing w:line="364" w:lineRule="auto" w:before="158"/>
        <w:ind w:left="218" w:right="236" w:firstLine="480"/>
      </w:pPr>
      <w:r>
        <w:rPr>
          <w:spacing w:val="-4"/>
        </w:rPr>
        <w:t>对雨水口要求设置监控装置并与环保部门联网。废水排放口设置在线监测装置并</w:t>
      </w:r>
      <w:r>
        <w:rPr>
          <w:spacing w:val="-220"/>
        </w:rPr>
        <w:t>与</w:t>
      </w:r>
      <w:r>
        <w:rPr>
          <w:spacing w:val="-116"/>
        </w:rPr>
        <w:t> </w:t>
      </w:r>
      <w:r>
        <w:rPr>
          <w:w w:val="105"/>
        </w:rPr>
        <w:t>生态环境部门联网</w:t>
      </w:r>
      <w:r>
        <w:rPr>
          <w:w w:val="180"/>
        </w:rPr>
        <w:t>。</w:t>
      </w:r>
    </w:p>
    <w:p>
      <w:pPr>
        <w:pStyle w:val="BodyText"/>
        <w:spacing w:line="306" w:lineRule="exact"/>
        <w:ind w:left="701"/>
      </w:pPr>
      <w:r>
        <w:rPr>
          <w:rFonts w:ascii="Times New Roman" w:eastAsia="Times New Roman"/>
        </w:rPr>
        <w:t>7</w:t>
      </w:r>
      <w:r>
        <w:rPr/>
        <w:t>、监测井设置</w:t>
      </w:r>
    </w:p>
    <w:p>
      <w:pPr>
        <w:pStyle w:val="BodyText"/>
        <w:spacing w:line="364" w:lineRule="auto" w:before="161"/>
        <w:ind w:left="218" w:right="232" w:firstLine="480"/>
        <w:jc w:val="both"/>
      </w:pPr>
      <w:r>
        <w:rPr>
          <w:spacing w:val="-6"/>
        </w:rPr>
        <w:t>本项目要求在厂内设置 </w:t>
      </w:r>
      <w:r>
        <w:rPr>
          <w:rFonts w:ascii="Times New Roman" w:eastAsia="Times New Roman"/>
        </w:rPr>
        <w:t>2 </w:t>
      </w:r>
      <w:r>
        <w:rPr>
          <w:spacing w:val="-7"/>
        </w:rPr>
        <w:t>口监测井，用于监测地下水是否受本项目污染，监测井附</w:t>
      </w:r>
      <w:r>
        <w:rPr>
          <w:spacing w:val="-4"/>
        </w:rPr>
        <w:t>近 </w:t>
      </w:r>
      <w:r>
        <w:rPr>
          <w:rFonts w:ascii="Times New Roman" w:eastAsia="Times New Roman"/>
        </w:rPr>
        <w:t>1m</w:t>
      </w:r>
      <w:r>
        <w:rPr>
          <w:rFonts w:ascii="Times New Roman" w:eastAsia="Times New Roman"/>
          <w:spacing w:val="54"/>
        </w:rPr>
        <w:t> </w:t>
      </w:r>
      <w:r>
        <w:rPr>
          <w:spacing w:val="-1"/>
        </w:rPr>
        <w:t>范围内有建筑物的，设平面式标志牌，无建筑物的设立式标志牌。厂外监测井</w:t>
      </w:r>
      <w:r>
        <w:rPr>
          <w:spacing w:val="-134"/>
        </w:rPr>
        <w:t>依</w:t>
      </w:r>
      <w:r>
        <w:rPr/>
        <w:t>托敏感点土井和上下游企业监测井解决。</w:t>
      </w:r>
    </w:p>
    <w:p>
      <w:pPr>
        <w:pStyle w:val="Heading4"/>
        <w:ind w:left="218"/>
        <w:jc w:val="both"/>
      </w:pPr>
      <w:r>
        <w:rPr>
          <w:rFonts w:ascii="Times New Roman" w:eastAsia="Times New Roman"/>
        </w:rPr>
        <w:t>9.5.2 </w:t>
      </w:r>
      <w:r>
        <w:rPr/>
        <w:t>排污规范化管理</w:t>
      </w:r>
    </w:p>
    <w:p>
      <w:pPr>
        <w:pStyle w:val="BodyText"/>
        <w:spacing w:line="364" w:lineRule="auto" w:before="158"/>
        <w:ind w:left="218" w:right="232" w:firstLine="480"/>
      </w:pPr>
      <w:r>
        <w:rPr>
          <w:rFonts w:ascii="Times New Roman" w:eastAsia="Times New Roman"/>
        </w:rPr>
        <w:t>1</w:t>
      </w:r>
      <w:r>
        <w:rPr/>
        <w:t>、本项目投产后，公司应如实向环境管理部门申报排污口数量、位置及所排放的主要污染物（或产生公害）的种类、数量、浓度、排放去向等情况。</w:t>
      </w:r>
    </w:p>
    <w:p>
      <w:pPr>
        <w:pStyle w:val="BodyText"/>
        <w:spacing w:line="306" w:lineRule="exact"/>
        <w:ind w:left="698"/>
      </w:pPr>
      <w:r>
        <w:rPr>
          <w:rFonts w:ascii="Times New Roman" w:eastAsia="Times New Roman"/>
          <w:w w:val="105"/>
        </w:rPr>
        <w:t>2</w:t>
      </w:r>
      <w:r>
        <w:rPr>
          <w:w w:val="105"/>
        </w:rPr>
        <w:t>、本项目的废水排放应实现清污分流。</w:t>
      </w:r>
    </w:p>
    <w:p>
      <w:pPr>
        <w:pStyle w:val="BodyText"/>
        <w:spacing w:before="160"/>
        <w:ind w:left="698"/>
      </w:pPr>
      <w:r>
        <w:rPr>
          <w:rFonts w:ascii="Times New Roman" w:eastAsia="Times New Roman"/>
        </w:rPr>
        <w:t>3</w:t>
      </w:r>
      <w:r>
        <w:rPr/>
        <w:t>、废气排气筒设置应便于采样，附近设置环境保护标志。</w:t>
      </w:r>
    </w:p>
    <w:p>
      <w:pPr>
        <w:pStyle w:val="BodyText"/>
        <w:spacing w:line="364" w:lineRule="auto" w:before="158"/>
        <w:ind w:left="218" w:right="233" w:firstLine="480"/>
      </w:pPr>
      <w:r>
        <w:rPr>
          <w:rFonts w:ascii="Times New Roman" w:eastAsia="Times New Roman"/>
        </w:rPr>
        <w:t>4</w:t>
      </w:r>
      <w:r>
        <w:rPr/>
        <w:t>、本公司大部分固体废弃物属危险废物，因此项目固废应贮存在室内，固体废物贮存（处置）场所在醒目处设置标志牌。</w:t>
      </w:r>
    </w:p>
    <w:p>
      <w:pPr>
        <w:pStyle w:val="BodyText"/>
        <w:spacing w:line="364" w:lineRule="auto"/>
        <w:ind w:left="218" w:right="235" w:firstLine="480"/>
        <w:jc w:val="both"/>
      </w:pPr>
      <w:r>
        <w:rPr>
          <w:rFonts w:ascii="Times New Roman" w:eastAsia="Times New Roman"/>
        </w:rPr>
        <w:t>5</w:t>
      </w:r>
      <w:r>
        <w:rPr/>
        <w:t>、项目应设置规范化的废水（气）排放口、雨水排放口，并纳入企业环保措施设</w:t>
      </w:r>
      <w:r>
        <w:rPr>
          <w:spacing w:val="-6"/>
        </w:rPr>
        <w:t>备管理范围，制定企业内部相应的管理办法和规章制度，发现外形损坏、污染或由变化</w:t>
      </w:r>
      <w:r>
        <w:rPr/>
        <w:t>等不符合标准要求的情况需及时修复或更换。</w:t>
      </w:r>
    </w:p>
    <w:p>
      <w:pPr>
        <w:pStyle w:val="Heading3"/>
        <w:numPr>
          <w:ilvl w:val="1"/>
          <w:numId w:val="23"/>
        </w:numPr>
        <w:tabs>
          <w:tab w:pos="781" w:val="left" w:leader="none"/>
        </w:tabs>
        <w:spacing w:line="240" w:lineRule="auto" w:before="0" w:after="0"/>
        <w:ind w:left="780" w:right="0" w:hanging="563"/>
        <w:jc w:val="both"/>
      </w:pPr>
      <w:bookmarkStart w:name="_bookmark67" w:id="135"/>
      <w:bookmarkEnd w:id="135"/>
      <w:r>
        <w:rPr>
          <w:b w:val="0"/>
        </w:rPr>
      </w:r>
      <w:bookmarkStart w:name="_bookmark67" w:id="136"/>
      <w:bookmarkEnd w:id="136"/>
      <w:r>
        <w:rPr/>
        <w:t>环境监测计划</w:t>
      </w:r>
    </w:p>
    <w:p>
      <w:pPr>
        <w:pStyle w:val="Heading4"/>
        <w:numPr>
          <w:ilvl w:val="2"/>
          <w:numId w:val="23"/>
        </w:numPr>
        <w:tabs>
          <w:tab w:pos="879" w:val="left" w:leader="none"/>
        </w:tabs>
        <w:spacing w:line="240" w:lineRule="auto" w:before="185" w:after="0"/>
        <w:ind w:left="878" w:right="0" w:hanging="661"/>
        <w:jc w:val="both"/>
      </w:pPr>
      <w:r>
        <w:rPr/>
        <w:t>监测机构</w:t>
      </w:r>
    </w:p>
    <w:p>
      <w:pPr>
        <w:spacing w:before="158"/>
        <w:ind w:left="701" w:right="0" w:firstLine="0"/>
        <w:jc w:val="left"/>
        <w:rPr>
          <w:b/>
          <w:sz w:val="24"/>
        </w:rPr>
      </w:pPr>
      <w:r>
        <w:rPr>
          <w:rFonts w:ascii="Times New Roman" w:eastAsia="Times New Roman"/>
          <w:b/>
          <w:sz w:val="24"/>
        </w:rPr>
        <w:t>1</w:t>
      </w:r>
      <w:r>
        <w:rPr>
          <w:b/>
          <w:sz w:val="24"/>
        </w:rPr>
        <w:t>、监测机构</w:t>
      </w:r>
    </w:p>
    <w:p>
      <w:pPr>
        <w:pStyle w:val="BodyText"/>
        <w:spacing w:line="364" w:lineRule="auto" w:before="161"/>
        <w:ind w:left="218" w:right="232" w:firstLine="480"/>
        <w:jc w:val="both"/>
      </w:pPr>
      <w:r>
        <w:rPr>
          <w:spacing w:val="-2"/>
        </w:rPr>
        <w:t>企业已设置日常监测机构，并配备监测</w:t>
      </w:r>
      <w:r>
        <w:rPr/>
        <w:t>（分析</w:t>
      </w:r>
      <w:r>
        <w:rPr>
          <w:spacing w:val="-10"/>
        </w:rPr>
        <w:t>）</w:t>
      </w:r>
      <w:r>
        <w:rPr>
          <w:spacing w:val="-5"/>
        </w:rPr>
        <w:t>人员、仪器和设备等，重点是为废</w:t>
      </w:r>
      <w:r>
        <w:rPr>
          <w:spacing w:val="-4"/>
        </w:rPr>
        <w:t>水监测，同时制订监测制度，定期对污染源、</w:t>
      </w:r>
      <w:r>
        <w:rPr>
          <w:rFonts w:ascii="Times New Roman" w:hAnsi="Times New Roman" w:eastAsia="Times New Roman"/>
        </w:rPr>
        <w:t>“</w:t>
      </w:r>
      <w:r>
        <w:rPr/>
        <w:t>三废</w:t>
      </w:r>
      <w:r>
        <w:rPr>
          <w:rFonts w:ascii="Times New Roman" w:hAnsi="Times New Roman" w:eastAsia="Times New Roman"/>
        </w:rPr>
        <w:t>”</w:t>
      </w:r>
      <w:r>
        <w:rPr>
          <w:spacing w:val="-2"/>
        </w:rPr>
        <w:t>治理设施进行监测，做好监测数据</w:t>
      </w:r>
      <w:r>
        <w:rPr/>
        <w:t>的归档工作。环保监测室主要仪器见下表。</w:t>
      </w:r>
    </w:p>
    <w:p>
      <w:pPr>
        <w:pStyle w:val="Heading4"/>
        <w:spacing w:before="141" w:after="29"/>
        <w:ind w:left="2756"/>
        <w:jc w:val="both"/>
      </w:pPr>
      <w:r>
        <w:rPr/>
        <w:t>表 </w:t>
      </w:r>
      <w:r>
        <w:rPr>
          <w:rFonts w:ascii="Times New Roman" w:eastAsia="Times New Roman"/>
        </w:rPr>
        <w:t>10.6.1-1  </w:t>
      </w:r>
      <w:r>
        <w:rPr/>
        <w:t>环保监测室主要必备仪器</w:t>
      </w:r>
    </w:p>
    <w:tbl>
      <w:tblPr>
        <w:tblW w:w="0" w:type="auto"/>
        <w:jc w:val="left"/>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16"/>
        <w:gridCol w:w="2386"/>
        <w:gridCol w:w="2249"/>
        <w:gridCol w:w="2366"/>
        <w:gridCol w:w="1469"/>
      </w:tblGrid>
      <w:tr>
        <w:trPr>
          <w:trHeight w:val="282" w:hRule="atLeast"/>
        </w:trPr>
        <w:tc>
          <w:tcPr>
            <w:tcW w:w="816" w:type="dxa"/>
          </w:tcPr>
          <w:p>
            <w:pPr>
              <w:pStyle w:val="TableParagraph"/>
              <w:spacing w:line="259" w:lineRule="exact" w:before="3"/>
              <w:ind w:left="111" w:right="97"/>
              <w:rPr>
                <w:b/>
                <w:sz w:val="21"/>
              </w:rPr>
            </w:pPr>
            <w:r>
              <w:rPr>
                <w:b/>
                <w:sz w:val="21"/>
              </w:rPr>
              <w:t>序号</w:t>
            </w:r>
          </w:p>
        </w:tc>
        <w:tc>
          <w:tcPr>
            <w:tcW w:w="2386" w:type="dxa"/>
          </w:tcPr>
          <w:p>
            <w:pPr>
              <w:pStyle w:val="TableParagraph"/>
              <w:spacing w:line="259" w:lineRule="exact" w:before="3"/>
              <w:ind w:left="292" w:right="279"/>
              <w:rPr>
                <w:b/>
                <w:sz w:val="21"/>
              </w:rPr>
            </w:pPr>
            <w:r>
              <w:rPr>
                <w:b/>
                <w:sz w:val="21"/>
              </w:rPr>
              <w:t>仪器名称</w:t>
            </w:r>
          </w:p>
        </w:tc>
        <w:tc>
          <w:tcPr>
            <w:tcW w:w="2249" w:type="dxa"/>
          </w:tcPr>
          <w:p>
            <w:pPr>
              <w:pStyle w:val="TableParagraph"/>
              <w:spacing w:line="259" w:lineRule="exact" w:before="3"/>
              <w:ind w:left="88" w:right="76"/>
              <w:rPr>
                <w:b/>
                <w:sz w:val="21"/>
              </w:rPr>
            </w:pPr>
            <w:r>
              <w:rPr>
                <w:b/>
                <w:sz w:val="21"/>
              </w:rPr>
              <w:t>型号</w:t>
            </w:r>
          </w:p>
        </w:tc>
        <w:tc>
          <w:tcPr>
            <w:tcW w:w="2366" w:type="dxa"/>
            <w:tcBorders>
              <w:right w:val="single" w:sz="4" w:space="0" w:color="000000"/>
            </w:tcBorders>
          </w:tcPr>
          <w:p>
            <w:pPr>
              <w:pStyle w:val="TableParagraph"/>
              <w:spacing w:line="259" w:lineRule="exact" w:before="3"/>
              <w:ind w:left="427" w:right="415"/>
              <w:rPr>
                <w:b/>
                <w:sz w:val="21"/>
              </w:rPr>
            </w:pPr>
            <w:r>
              <w:rPr>
                <w:b/>
                <w:sz w:val="21"/>
              </w:rPr>
              <w:t>用途</w:t>
            </w:r>
          </w:p>
        </w:tc>
        <w:tc>
          <w:tcPr>
            <w:tcW w:w="1469" w:type="dxa"/>
            <w:tcBorders>
              <w:left w:val="single" w:sz="4" w:space="0" w:color="000000"/>
            </w:tcBorders>
          </w:tcPr>
          <w:p>
            <w:pPr>
              <w:pStyle w:val="TableParagraph"/>
              <w:spacing w:line="259" w:lineRule="exact" w:before="3"/>
              <w:ind w:left="506" w:right="487"/>
              <w:rPr>
                <w:b/>
                <w:sz w:val="21"/>
              </w:rPr>
            </w:pPr>
            <w:r>
              <w:rPr>
                <w:b/>
                <w:sz w:val="21"/>
              </w:rPr>
              <w:t>备注</w:t>
            </w:r>
          </w:p>
        </w:tc>
      </w:tr>
      <w:tr>
        <w:trPr>
          <w:trHeight w:val="285" w:hRule="atLeast"/>
        </w:trPr>
        <w:tc>
          <w:tcPr>
            <w:tcW w:w="816" w:type="dxa"/>
          </w:tcPr>
          <w:p>
            <w:pPr>
              <w:pStyle w:val="TableParagraph"/>
              <w:spacing w:before="19"/>
              <w:ind w:left="14"/>
              <w:rPr>
                <w:rFonts w:ascii="Times New Roman"/>
                <w:sz w:val="21"/>
              </w:rPr>
            </w:pPr>
            <w:r>
              <w:rPr>
                <w:rFonts w:ascii="Times New Roman"/>
                <w:w w:val="100"/>
                <w:sz w:val="21"/>
              </w:rPr>
              <w:t>1</w:t>
            </w:r>
          </w:p>
        </w:tc>
        <w:tc>
          <w:tcPr>
            <w:tcW w:w="2386" w:type="dxa"/>
          </w:tcPr>
          <w:p>
            <w:pPr>
              <w:pStyle w:val="TableParagraph"/>
              <w:spacing w:line="259" w:lineRule="exact" w:before="5"/>
              <w:ind w:left="295" w:right="279"/>
              <w:rPr>
                <w:sz w:val="21"/>
              </w:rPr>
            </w:pPr>
            <w:r>
              <w:rPr>
                <w:rFonts w:ascii="Times New Roman" w:eastAsia="Times New Roman"/>
                <w:sz w:val="21"/>
              </w:rPr>
              <w:t>pH </w:t>
            </w:r>
            <w:r>
              <w:rPr>
                <w:sz w:val="21"/>
              </w:rPr>
              <w:t>计</w:t>
            </w:r>
          </w:p>
        </w:tc>
        <w:tc>
          <w:tcPr>
            <w:tcW w:w="2249" w:type="dxa"/>
          </w:tcPr>
          <w:p>
            <w:pPr>
              <w:pStyle w:val="TableParagraph"/>
              <w:spacing w:before="19"/>
              <w:ind w:left="88" w:right="75"/>
              <w:rPr>
                <w:rFonts w:ascii="Times New Roman"/>
                <w:sz w:val="21"/>
              </w:rPr>
            </w:pPr>
            <w:r>
              <w:rPr>
                <w:rFonts w:ascii="Times New Roman"/>
                <w:sz w:val="21"/>
              </w:rPr>
              <w:t>PHS-3B</w:t>
            </w:r>
          </w:p>
        </w:tc>
        <w:tc>
          <w:tcPr>
            <w:tcW w:w="2366" w:type="dxa"/>
            <w:tcBorders>
              <w:right w:val="single" w:sz="4" w:space="0" w:color="000000"/>
            </w:tcBorders>
          </w:tcPr>
          <w:p>
            <w:pPr>
              <w:pStyle w:val="TableParagraph"/>
              <w:spacing w:line="259" w:lineRule="exact" w:before="5"/>
              <w:ind w:left="426" w:right="415"/>
              <w:rPr>
                <w:rFonts w:ascii="Times New Roman" w:eastAsia="Times New Roman"/>
                <w:sz w:val="21"/>
              </w:rPr>
            </w:pPr>
            <w:r>
              <w:rPr>
                <w:sz w:val="21"/>
              </w:rPr>
              <w:t>测 </w:t>
            </w:r>
            <w:r>
              <w:rPr>
                <w:rFonts w:ascii="Times New Roman" w:eastAsia="Times New Roman"/>
                <w:sz w:val="21"/>
              </w:rPr>
              <w:t>pH</w:t>
            </w:r>
          </w:p>
        </w:tc>
        <w:tc>
          <w:tcPr>
            <w:tcW w:w="1469" w:type="dxa"/>
            <w:vMerge w:val="restart"/>
            <w:tcBorders>
              <w:left w:val="single" w:sz="4" w:space="0" w:color="000000"/>
            </w:tcBorders>
          </w:tcPr>
          <w:p>
            <w:pPr>
              <w:pStyle w:val="TableParagraph"/>
              <w:jc w:val="left"/>
              <w:rPr>
                <w:b/>
                <w:sz w:val="20"/>
              </w:rPr>
            </w:pPr>
          </w:p>
          <w:p>
            <w:pPr>
              <w:pStyle w:val="TableParagraph"/>
              <w:spacing w:before="3"/>
              <w:jc w:val="left"/>
              <w:rPr>
                <w:b/>
                <w:sz w:val="15"/>
              </w:rPr>
            </w:pPr>
          </w:p>
          <w:p>
            <w:pPr>
              <w:pStyle w:val="TableParagraph"/>
              <w:ind w:left="317"/>
              <w:jc w:val="left"/>
              <w:rPr>
                <w:sz w:val="21"/>
              </w:rPr>
            </w:pPr>
            <w:r>
              <w:rPr>
                <w:sz w:val="21"/>
              </w:rPr>
              <w:t>东区新增</w:t>
            </w:r>
          </w:p>
        </w:tc>
      </w:tr>
      <w:tr>
        <w:trPr>
          <w:trHeight w:val="282" w:hRule="atLeast"/>
        </w:trPr>
        <w:tc>
          <w:tcPr>
            <w:tcW w:w="816" w:type="dxa"/>
          </w:tcPr>
          <w:p>
            <w:pPr>
              <w:pStyle w:val="TableParagraph"/>
              <w:spacing w:before="17"/>
              <w:ind w:left="14"/>
              <w:rPr>
                <w:rFonts w:ascii="Times New Roman"/>
                <w:sz w:val="21"/>
              </w:rPr>
            </w:pPr>
            <w:r>
              <w:rPr>
                <w:rFonts w:ascii="Times New Roman"/>
                <w:w w:val="100"/>
                <w:sz w:val="21"/>
              </w:rPr>
              <w:t>2</w:t>
            </w:r>
          </w:p>
        </w:tc>
        <w:tc>
          <w:tcPr>
            <w:tcW w:w="2386" w:type="dxa"/>
          </w:tcPr>
          <w:p>
            <w:pPr>
              <w:pStyle w:val="TableParagraph"/>
              <w:spacing w:line="259" w:lineRule="exact" w:before="3"/>
              <w:ind w:left="295" w:right="279"/>
              <w:rPr>
                <w:sz w:val="21"/>
              </w:rPr>
            </w:pPr>
            <w:r>
              <w:rPr>
                <w:sz w:val="21"/>
              </w:rPr>
              <w:t>光电天平</w:t>
            </w:r>
          </w:p>
        </w:tc>
        <w:tc>
          <w:tcPr>
            <w:tcW w:w="2249" w:type="dxa"/>
          </w:tcPr>
          <w:p>
            <w:pPr>
              <w:pStyle w:val="TableParagraph"/>
              <w:spacing w:line="259" w:lineRule="exact" w:before="3"/>
              <w:ind w:left="88" w:right="74"/>
              <w:rPr>
                <w:rFonts w:ascii="Times New Roman" w:eastAsia="Times New Roman"/>
                <w:sz w:val="21"/>
              </w:rPr>
            </w:pPr>
            <w:r>
              <w:rPr>
                <w:sz w:val="21"/>
              </w:rPr>
              <w:t>电子天平</w:t>
            </w:r>
            <w:r>
              <w:rPr>
                <w:rFonts w:ascii="Times New Roman" w:eastAsia="Times New Roman"/>
                <w:sz w:val="21"/>
              </w:rPr>
              <w:t>AL204</w:t>
            </w:r>
          </w:p>
        </w:tc>
        <w:tc>
          <w:tcPr>
            <w:tcW w:w="2366" w:type="dxa"/>
            <w:tcBorders>
              <w:right w:val="single" w:sz="4" w:space="0" w:color="000000"/>
            </w:tcBorders>
          </w:tcPr>
          <w:p>
            <w:pPr>
              <w:pStyle w:val="TableParagraph"/>
              <w:spacing w:line="259" w:lineRule="exact" w:before="3"/>
              <w:ind w:left="428" w:right="415"/>
              <w:rPr>
                <w:sz w:val="21"/>
              </w:rPr>
            </w:pPr>
            <w:r>
              <w:rPr>
                <w:sz w:val="21"/>
              </w:rPr>
              <w:t>样品与试剂称量</w:t>
            </w:r>
          </w:p>
        </w:tc>
        <w:tc>
          <w:tcPr>
            <w:tcW w:w="1469" w:type="dxa"/>
            <w:vMerge/>
            <w:tcBorders>
              <w:top w:val="nil"/>
              <w:left w:val="single" w:sz="4" w:space="0" w:color="000000"/>
            </w:tcBorders>
          </w:tcPr>
          <w:p>
            <w:pPr>
              <w:rPr>
                <w:sz w:val="2"/>
                <w:szCs w:val="2"/>
              </w:rPr>
            </w:pPr>
          </w:p>
        </w:tc>
      </w:tr>
      <w:tr>
        <w:trPr>
          <w:trHeight w:val="284" w:hRule="atLeast"/>
        </w:trPr>
        <w:tc>
          <w:tcPr>
            <w:tcW w:w="816" w:type="dxa"/>
          </w:tcPr>
          <w:p>
            <w:pPr>
              <w:pStyle w:val="TableParagraph"/>
              <w:spacing w:before="19"/>
              <w:ind w:left="14"/>
              <w:rPr>
                <w:rFonts w:ascii="Times New Roman"/>
                <w:sz w:val="21"/>
              </w:rPr>
            </w:pPr>
            <w:r>
              <w:rPr>
                <w:rFonts w:ascii="Times New Roman"/>
                <w:w w:val="100"/>
                <w:sz w:val="21"/>
              </w:rPr>
              <w:t>3</w:t>
            </w:r>
          </w:p>
        </w:tc>
        <w:tc>
          <w:tcPr>
            <w:tcW w:w="2386" w:type="dxa"/>
          </w:tcPr>
          <w:p>
            <w:pPr>
              <w:pStyle w:val="TableParagraph"/>
              <w:spacing w:line="259" w:lineRule="exact" w:before="5"/>
              <w:ind w:left="295" w:right="279"/>
              <w:rPr>
                <w:sz w:val="21"/>
              </w:rPr>
            </w:pPr>
            <w:r>
              <w:rPr>
                <w:sz w:val="21"/>
              </w:rPr>
              <w:t>恒温水浴锅</w:t>
            </w:r>
          </w:p>
        </w:tc>
        <w:tc>
          <w:tcPr>
            <w:tcW w:w="2249" w:type="dxa"/>
          </w:tcPr>
          <w:p>
            <w:pPr>
              <w:pStyle w:val="TableParagraph"/>
              <w:spacing w:before="19"/>
              <w:ind w:left="88" w:right="72"/>
              <w:rPr>
                <w:rFonts w:ascii="Times New Roman"/>
                <w:sz w:val="21"/>
              </w:rPr>
            </w:pPr>
            <w:r>
              <w:rPr>
                <w:rFonts w:ascii="Times New Roman"/>
                <w:sz w:val="21"/>
              </w:rPr>
              <w:t>HH-6</w:t>
            </w:r>
          </w:p>
        </w:tc>
        <w:tc>
          <w:tcPr>
            <w:tcW w:w="2366" w:type="dxa"/>
            <w:tcBorders>
              <w:right w:val="single" w:sz="4" w:space="0" w:color="000000"/>
            </w:tcBorders>
          </w:tcPr>
          <w:p>
            <w:pPr>
              <w:pStyle w:val="TableParagraph"/>
              <w:spacing w:line="259" w:lineRule="exact" w:before="5"/>
              <w:ind w:left="428" w:right="413"/>
              <w:rPr>
                <w:sz w:val="21"/>
              </w:rPr>
            </w:pPr>
            <w:r>
              <w:rPr>
                <w:sz w:val="21"/>
              </w:rPr>
              <w:t>水质分析</w:t>
            </w:r>
          </w:p>
        </w:tc>
        <w:tc>
          <w:tcPr>
            <w:tcW w:w="1469" w:type="dxa"/>
            <w:vMerge/>
            <w:tcBorders>
              <w:top w:val="nil"/>
              <w:left w:val="single" w:sz="4" w:space="0" w:color="000000"/>
            </w:tcBorders>
          </w:tcPr>
          <w:p>
            <w:pPr>
              <w:rPr>
                <w:sz w:val="2"/>
                <w:szCs w:val="2"/>
              </w:rPr>
            </w:pPr>
          </w:p>
        </w:tc>
      </w:tr>
      <w:tr>
        <w:trPr>
          <w:trHeight w:val="285" w:hRule="atLeast"/>
        </w:trPr>
        <w:tc>
          <w:tcPr>
            <w:tcW w:w="816" w:type="dxa"/>
          </w:tcPr>
          <w:p>
            <w:pPr>
              <w:pStyle w:val="TableParagraph"/>
              <w:spacing w:before="17"/>
              <w:ind w:left="14"/>
              <w:rPr>
                <w:rFonts w:ascii="Times New Roman"/>
                <w:sz w:val="21"/>
              </w:rPr>
            </w:pPr>
            <w:r>
              <w:rPr>
                <w:rFonts w:ascii="Times New Roman"/>
                <w:w w:val="100"/>
                <w:sz w:val="21"/>
              </w:rPr>
              <w:t>4</w:t>
            </w:r>
          </w:p>
        </w:tc>
        <w:tc>
          <w:tcPr>
            <w:tcW w:w="2386" w:type="dxa"/>
          </w:tcPr>
          <w:p>
            <w:pPr>
              <w:pStyle w:val="TableParagraph"/>
              <w:spacing w:line="262" w:lineRule="exact" w:before="3"/>
              <w:ind w:left="292" w:right="279"/>
              <w:rPr>
                <w:sz w:val="21"/>
              </w:rPr>
            </w:pPr>
            <w:r>
              <w:rPr>
                <w:sz w:val="21"/>
              </w:rPr>
              <w:t>电热恒温干燥箱</w:t>
            </w:r>
          </w:p>
        </w:tc>
        <w:tc>
          <w:tcPr>
            <w:tcW w:w="2249" w:type="dxa"/>
          </w:tcPr>
          <w:p>
            <w:pPr>
              <w:pStyle w:val="TableParagraph"/>
              <w:spacing w:line="262" w:lineRule="exact" w:before="3"/>
              <w:ind w:left="88" w:right="74"/>
              <w:rPr>
                <w:sz w:val="21"/>
              </w:rPr>
            </w:pPr>
            <w:r>
              <w:rPr>
                <w:rFonts w:ascii="Times New Roman" w:eastAsia="Times New Roman"/>
                <w:sz w:val="21"/>
              </w:rPr>
              <w:t>DGG-9203A </w:t>
            </w:r>
            <w:r>
              <w:rPr>
                <w:sz w:val="21"/>
              </w:rPr>
              <w:t>型</w:t>
            </w:r>
          </w:p>
        </w:tc>
        <w:tc>
          <w:tcPr>
            <w:tcW w:w="2366" w:type="dxa"/>
            <w:tcBorders>
              <w:right w:val="single" w:sz="4" w:space="0" w:color="000000"/>
            </w:tcBorders>
          </w:tcPr>
          <w:p>
            <w:pPr>
              <w:pStyle w:val="TableParagraph"/>
              <w:spacing w:line="262" w:lineRule="exact" w:before="3"/>
              <w:ind w:left="428" w:right="415"/>
              <w:rPr>
                <w:sz w:val="21"/>
              </w:rPr>
            </w:pPr>
            <w:r>
              <w:rPr>
                <w:sz w:val="21"/>
              </w:rPr>
              <w:t>器皿与试剂干燥</w:t>
            </w:r>
          </w:p>
        </w:tc>
        <w:tc>
          <w:tcPr>
            <w:tcW w:w="1469" w:type="dxa"/>
            <w:vMerge/>
            <w:tcBorders>
              <w:top w:val="nil"/>
              <w:left w:val="single" w:sz="4" w:space="0" w:color="000000"/>
            </w:tcBorders>
          </w:tcPr>
          <w:p>
            <w:pPr>
              <w:rPr>
                <w:sz w:val="2"/>
                <w:szCs w:val="2"/>
              </w:rPr>
            </w:pPr>
          </w:p>
        </w:tc>
      </w:tr>
    </w:tbl>
    <w:p>
      <w:pPr>
        <w:spacing w:after="0"/>
        <w:rPr>
          <w:sz w:val="2"/>
          <w:szCs w:val="2"/>
        </w:rPr>
        <w:sectPr>
          <w:footerReference w:type="default" r:id="rId177"/>
          <w:pgSz w:w="11910" w:h="16840"/>
          <w:pgMar w:footer="873" w:header="872" w:top="1320" w:bottom="1060" w:left="1200" w:right="1180"/>
        </w:sectPr>
      </w:pPr>
    </w:p>
    <w:p>
      <w:pPr>
        <w:pStyle w:val="BodyText"/>
        <w:spacing w:before="5"/>
        <w:rPr>
          <w:b/>
          <w:sz w:val="6"/>
        </w:rPr>
      </w:pPr>
    </w:p>
    <w:tbl>
      <w:tblPr>
        <w:tblW w:w="0" w:type="auto"/>
        <w:jc w:val="left"/>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16"/>
        <w:gridCol w:w="2386"/>
        <w:gridCol w:w="2249"/>
        <w:gridCol w:w="2366"/>
        <w:gridCol w:w="1469"/>
      </w:tblGrid>
      <w:tr>
        <w:trPr>
          <w:trHeight w:val="282" w:hRule="atLeast"/>
        </w:trPr>
        <w:tc>
          <w:tcPr>
            <w:tcW w:w="816" w:type="dxa"/>
          </w:tcPr>
          <w:p>
            <w:pPr>
              <w:pStyle w:val="TableParagraph"/>
              <w:spacing w:line="259" w:lineRule="exact" w:before="3"/>
              <w:ind w:left="111" w:right="97"/>
              <w:rPr>
                <w:b/>
                <w:sz w:val="21"/>
              </w:rPr>
            </w:pPr>
            <w:r>
              <w:rPr>
                <w:b/>
                <w:sz w:val="21"/>
              </w:rPr>
              <w:t>序号</w:t>
            </w:r>
          </w:p>
        </w:tc>
        <w:tc>
          <w:tcPr>
            <w:tcW w:w="2386" w:type="dxa"/>
          </w:tcPr>
          <w:p>
            <w:pPr>
              <w:pStyle w:val="TableParagraph"/>
              <w:spacing w:line="259" w:lineRule="exact" w:before="3"/>
              <w:ind w:left="292" w:right="279"/>
              <w:rPr>
                <w:b/>
                <w:sz w:val="21"/>
              </w:rPr>
            </w:pPr>
            <w:r>
              <w:rPr>
                <w:b/>
                <w:sz w:val="21"/>
              </w:rPr>
              <w:t>仪器名称</w:t>
            </w:r>
          </w:p>
        </w:tc>
        <w:tc>
          <w:tcPr>
            <w:tcW w:w="2249" w:type="dxa"/>
          </w:tcPr>
          <w:p>
            <w:pPr>
              <w:pStyle w:val="TableParagraph"/>
              <w:spacing w:line="259" w:lineRule="exact" w:before="3"/>
              <w:ind w:left="88" w:right="76"/>
              <w:rPr>
                <w:b/>
                <w:sz w:val="21"/>
              </w:rPr>
            </w:pPr>
            <w:r>
              <w:rPr>
                <w:b/>
                <w:sz w:val="21"/>
              </w:rPr>
              <w:t>型号</w:t>
            </w:r>
          </w:p>
        </w:tc>
        <w:tc>
          <w:tcPr>
            <w:tcW w:w="2366" w:type="dxa"/>
            <w:tcBorders>
              <w:right w:val="single" w:sz="4" w:space="0" w:color="000000"/>
            </w:tcBorders>
          </w:tcPr>
          <w:p>
            <w:pPr>
              <w:pStyle w:val="TableParagraph"/>
              <w:spacing w:line="259" w:lineRule="exact" w:before="3"/>
              <w:ind w:left="427" w:right="415"/>
              <w:rPr>
                <w:b/>
                <w:sz w:val="21"/>
              </w:rPr>
            </w:pPr>
            <w:r>
              <w:rPr>
                <w:b/>
                <w:sz w:val="21"/>
              </w:rPr>
              <w:t>用途</w:t>
            </w:r>
          </w:p>
        </w:tc>
        <w:tc>
          <w:tcPr>
            <w:tcW w:w="1469" w:type="dxa"/>
            <w:tcBorders>
              <w:left w:val="single" w:sz="4" w:space="0" w:color="000000"/>
            </w:tcBorders>
          </w:tcPr>
          <w:p>
            <w:pPr>
              <w:pStyle w:val="TableParagraph"/>
              <w:spacing w:line="259" w:lineRule="exact" w:before="3"/>
              <w:ind w:left="506" w:right="487"/>
              <w:rPr>
                <w:b/>
                <w:sz w:val="21"/>
              </w:rPr>
            </w:pPr>
            <w:r>
              <w:rPr>
                <w:b/>
                <w:sz w:val="21"/>
              </w:rPr>
              <w:t>备注</w:t>
            </w:r>
          </w:p>
        </w:tc>
      </w:tr>
      <w:tr>
        <w:trPr>
          <w:trHeight w:val="285" w:hRule="atLeast"/>
        </w:trPr>
        <w:tc>
          <w:tcPr>
            <w:tcW w:w="816" w:type="dxa"/>
          </w:tcPr>
          <w:p>
            <w:pPr>
              <w:pStyle w:val="TableParagraph"/>
              <w:spacing w:before="20"/>
              <w:ind w:left="14"/>
              <w:rPr>
                <w:rFonts w:ascii="Times New Roman"/>
                <w:sz w:val="21"/>
              </w:rPr>
            </w:pPr>
            <w:r>
              <w:rPr>
                <w:rFonts w:ascii="Times New Roman"/>
                <w:w w:val="100"/>
                <w:sz w:val="21"/>
              </w:rPr>
              <w:t>5</w:t>
            </w:r>
          </w:p>
        </w:tc>
        <w:tc>
          <w:tcPr>
            <w:tcW w:w="2386" w:type="dxa"/>
          </w:tcPr>
          <w:p>
            <w:pPr>
              <w:pStyle w:val="TableParagraph"/>
              <w:spacing w:line="259" w:lineRule="exact" w:before="6"/>
              <w:ind w:left="295" w:right="279"/>
              <w:rPr>
                <w:sz w:val="21"/>
              </w:rPr>
            </w:pPr>
            <w:r>
              <w:rPr>
                <w:rFonts w:ascii="Times New Roman" w:eastAsia="Times New Roman"/>
                <w:sz w:val="21"/>
              </w:rPr>
              <w:t>COD </w:t>
            </w:r>
            <w:r>
              <w:rPr>
                <w:sz w:val="21"/>
              </w:rPr>
              <w:t>玻璃回流装置</w:t>
            </w:r>
          </w:p>
        </w:tc>
        <w:tc>
          <w:tcPr>
            <w:tcW w:w="2249" w:type="dxa"/>
          </w:tcPr>
          <w:p>
            <w:pPr>
              <w:pStyle w:val="TableParagraph"/>
              <w:jc w:val="left"/>
              <w:rPr>
                <w:rFonts w:ascii="Times New Roman"/>
                <w:sz w:val="20"/>
              </w:rPr>
            </w:pPr>
          </w:p>
        </w:tc>
        <w:tc>
          <w:tcPr>
            <w:tcW w:w="2366" w:type="dxa"/>
            <w:tcBorders>
              <w:right w:val="single" w:sz="4" w:space="0" w:color="000000"/>
            </w:tcBorders>
          </w:tcPr>
          <w:p>
            <w:pPr>
              <w:pStyle w:val="TableParagraph"/>
              <w:spacing w:line="259" w:lineRule="exact" w:before="6"/>
              <w:ind w:left="428" w:right="413"/>
              <w:rPr>
                <w:sz w:val="21"/>
              </w:rPr>
            </w:pPr>
            <w:r>
              <w:rPr>
                <w:sz w:val="21"/>
              </w:rPr>
              <w:t>水质分析</w:t>
            </w:r>
          </w:p>
        </w:tc>
        <w:tc>
          <w:tcPr>
            <w:tcW w:w="1469" w:type="dxa"/>
            <w:vMerge w:val="restart"/>
            <w:tcBorders>
              <w:left w:val="single" w:sz="4" w:space="0" w:color="000000"/>
            </w:tcBorders>
          </w:tcPr>
          <w:p>
            <w:pPr>
              <w:pStyle w:val="TableParagraph"/>
              <w:jc w:val="left"/>
              <w:rPr>
                <w:rFonts w:ascii="Times New Roman"/>
                <w:sz w:val="20"/>
              </w:rPr>
            </w:pPr>
          </w:p>
        </w:tc>
      </w:tr>
      <w:tr>
        <w:trPr>
          <w:trHeight w:val="285" w:hRule="atLeast"/>
        </w:trPr>
        <w:tc>
          <w:tcPr>
            <w:tcW w:w="816" w:type="dxa"/>
          </w:tcPr>
          <w:p>
            <w:pPr>
              <w:pStyle w:val="TableParagraph"/>
              <w:spacing w:before="17"/>
              <w:ind w:left="14"/>
              <w:rPr>
                <w:rFonts w:ascii="Times New Roman"/>
                <w:sz w:val="21"/>
              </w:rPr>
            </w:pPr>
            <w:r>
              <w:rPr>
                <w:rFonts w:ascii="Times New Roman"/>
                <w:w w:val="100"/>
                <w:sz w:val="21"/>
              </w:rPr>
              <w:t>6</w:t>
            </w:r>
          </w:p>
        </w:tc>
        <w:tc>
          <w:tcPr>
            <w:tcW w:w="2386" w:type="dxa"/>
          </w:tcPr>
          <w:p>
            <w:pPr>
              <w:pStyle w:val="TableParagraph"/>
              <w:spacing w:line="262" w:lineRule="exact" w:before="3"/>
              <w:ind w:left="292" w:right="279"/>
              <w:rPr>
                <w:sz w:val="21"/>
              </w:rPr>
            </w:pPr>
            <w:r>
              <w:rPr>
                <w:sz w:val="21"/>
              </w:rPr>
              <w:t>冰箱</w:t>
            </w:r>
          </w:p>
        </w:tc>
        <w:tc>
          <w:tcPr>
            <w:tcW w:w="2249" w:type="dxa"/>
          </w:tcPr>
          <w:p>
            <w:pPr>
              <w:pStyle w:val="TableParagraph"/>
              <w:spacing w:before="17"/>
              <w:ind w:left="88" w:right="72"/>
              <w:rPr>
                <w:rFonts w:ascii="Times New Roman"/>
                <w:sz w:val="21"/>
              </w:rPr>
            </w:pPr>
            <w:r>
              <w:rPr>
                <w:rFonts w:ascii="Times New Roman"/>
                <w:sz w:val="21"/>
              </w:rPr>
              <w:t>200L</w:t>
            </w:r>
          </w:p>
        </w:tc>
        <w:tc>
          <w:tcPr>
            <w:tcW w:w="2366" w:type="dxa"/>
            <w:tcBorders>
              <w:right w:val="single" w:sz="4" w:space="0" w:color="000000"/>
            </w:tcBorders>
          </w:tcPr>
          <w:p>
            <w:pPr>
              <w:pStyle w:val="TableParagraph"/>
              <w:spacing w:line="262" w:lineRule="exact" w:before="3"/>
              <w:ind w:left="428" w:right="415"/>
              <w:rPr>
                <w:sz w:val="21"/>
              </w:rPr>
            </w:pPr>
            <w:r>
              <w:rPr>
                <w:sz w:val="21"/>
              </w:rPr>
              <w:t>储存样品与试剂</w:t>
            </w:r>
          </w:p>
        </w:tc>
        <w:tc>
          <w:tcPr>
            <w:tcW w:w="1469" w:type="dxa"/>
            <w:vMerge/>
            <w:tcBorders>
              <w:top w:val="nil"/>
              <w:left w:val="single" w:sz="4" w:space="0" w:color="000000"/>
            </w:tcBorders>
          </w:tcPr>
          <w:p>
            <w:pPr>
              <w:rPr>
                <w:sz w:val="2"/>
                <w:szCs w:val="2"/>
              </w:rPr>
            </w:pPr>
          </w:p>
        </w:tc>
      </w:tr>
      <w:tr>
        <w:trPr>
          <w:trHeight w:val="282" w:hRule="atLeast"/>
        </w:trPr>
        <w:tc>
          <w:tcPr>
            <w:tcW w:w="816" w:type="dxa"/>
          </w:tcPr>
          <w:p>
            <w:pPr>
              <w:pStyle w:val="TableParagraph"/>
              <w:spacing w:before="17"/>
              <w:ind w:left="14"/>
              <w:rPr>
                <w:rFonts w:ascii="Times New Roman"/>
                <w:sz w:val="21"/>
              </w:rPr>
            </w:pPr>
            <w:r>
              <w:rPr>
                <w:rFonts w:ascii="Times New Roman"/>
                <w:w w:val="100"/>
                <w:sz w:val="21"/>
              </w:rPr>
              <w:t>7</w:t>
            </w:r>
          </w:p>
        </w:tc>
        <w:tc>
          <w:tcPr>
            <w:tcW w:w="2386" w:type="dxa"/>
          </w:tcPr>
          <w:p>
            <w:pPr>
              <w:pStyle w:val="TableParagraph"/>
              <w:spacing w:line="259" w:lineRule="exact" w:before="3"/>
              <w:ind w:left="295" w:right="279"/>
              <w:rPr>
                <w:sz w:val="21"/>
              </w:rPr>
            </w:pPr>
            <w:r>
              <w:rPr>
                <w:rFonts w:ascii="Times New Roman" w:eastAsia="Times New Roman"/>
                <w:sz w:val="21"/>
              </w:rPr>
              <w:t>COD </w:t>
            </w:r>
            <w:r>
              <w:rPr>
                <w:sz w:val="21"/>
              </w:rPr>
              <w:t>在线监测仪</w:t>
            </w:r>
          </w:p>
        </w:tc>
        <w:tc>
          <w:tcPr>
            <w:tcW w:w="2249" w:type="dxa"/>
          </w:tcPr>
          <w:p>
            <w:pPr>
              <w:pStyle w:val="TableParagraph"/>
              <w:spacing w:line="259" w:lineRule="exact" w:before="3"/>
              <w:ind w:left="88" w:right="74"/>
              <w:rPr>
                <w:sz w:val="21"/>
              </w:rPr>
            </w:pPr>
            <w:r>
              <w:rPr>
                <w:sz w:val="21"/>
              </w:rPr>
              <w:t>国产或进口</w:t>
            </w:r>
          </w:p>
        </w:tc>
        <w:tc>
          <w:tcPr>
            <w:tcW w:w="2366" w:type="dxa"/>
            <w:tcBorders>
              <w:right w:val="single" w:sz="4" w:space="0" w:color="000000"/>
            </w:tcBorders>
          </w:tcPr>
          <w:p>
            <w:pPr>
              <w:pStyle w:val="TableParagraph"/>
              <w:spacing w:line="259" w:lineRule="exact" w:before="3"/>
              <w:ind w:left="427" w:right="415"/>
              <w:rPr>
                <w:sz w:val="21"/>
              </w:rPr>
            </w:pPr>
            <w:r>
              <w:rPr>
                <w:sz w:val="21"/>
              </w:rPr>
              <w:t>水质分析</w:t>
            </w:r>
          </w:p>
        </w:tc>
        <w:tc>
          <w:tcPr>
            <w:tcW w:w="1469" w:type="dxa"/>
            <w:vMerge/>
            <w:tcBorders>
              <w:top w:val="nil"/>
              <w:left w:val="single" w:sz="4" w:space="0" w:color="000000"/>
            </w:tcBorders>
          </w:tcPr>
          <w:p>
            <w:pPr>
              <w:rPr>
                <w:sz w:val="2"/>
                <w:szCs w:val="2"/>
              </w:rPr>
            </w:pPr>
          </w:p>
        </w:tc>
      </w:tr>
      <w:tr>
        <w:trPr>
          <w:trHeight w:val="285" w:hRule="atLeast"/>
        </w:trPr>
        <w:tc>
          <w:tcPr>
            <w:tcW w:w="816" w:type="dxa"/>
          </w:tcPr>
          <w:p>
            <w:pPr>
              <w:pStyle w:val="TableParagraph"/>
              <w:spacing w:before="19"/>
              <w:ind w:left="14"/>
              <w:rPr>
                <w:rFonts w:ascii="Times New Roman"/>
                <w:sz w:val="21"/>
              </w:rPr>
            </w:pPr>
            <w:r>
              <w:rPr>
                <w:rFonts w:ascii="Times New Roman"/>
                <w:w w:val="100"/>
                <w:sz w:val="21"/>
              </w:rPr>
              <w:t>8</w:t>
            </w:r>
          </w:p>
        </w:tc>
        <w:tc>
          <w:tcPr>
            <w:tcW w:w="2386" w:type="dxa"/>
          </w:tcPr>
          <w:p>
            <w:pPr>
              <w:pStyle w:val="TableParagraph"/>
              <w:spacing w:line="259" w:lineRule="exact" w:before="5"/>
              <w:ind w:left="295" w:right="279"/>
              <w:rPr>
                <w:sz w:val="21"/>
              </w:rPr>
            </w:pPr>
            <w:r>
              <w:rPr>
                <w:sz w:val="21"/>
              </w:rPr>
              <w:t>生化培养箱</w:t>
            </w:r>
          </w:p>
        </w:tc>
        <w:tc>
          <w:tcPr>
            <w:tcW w:w="2249" w:type="dxa"/>
          </w:tcPr>
          <w:p>
            <w:pPr>
              <w:pStyle w:val="TableParagraph"/>
              <w:spacing w:before="19"/>
              <w:ind w:left="88" w:right="72"/>
              <w:rPr>
                <w:rFonts w:ascii="Times New Roman"/>
                <w:sz w:val="21"/>
              </w:rPr>
            </w:pPr>
            <w:r>
              <w:rPr>
                <w:rFonts w:ascii="Times New Roman"/>
                <w:sz w:val="21"/>
              </w:rPr>
              <w:t>HW-1</w:t>
            </w:r>
          </w:p>
        </w:tc>
        <w:tc>
          <w:tcPr>
            <w:tcW w:w="2366" w:type="dxa"/>
            <w:tcBorders>
              <w:right w:val="single" w:sz="4" w:space="0" w:color="000000"/>
            </w:tcBorders>
          </w:tcPr>
          <w:p>
            <w:pPr>
              <w:pStyle w:val="TableParagraph"/>
              <w:spacing w:line="259" w:lineRule="exact" w:before="5"/>
              <w:ind w:left="428" w:right="413"/>
              <w:rPr>
                <w:sz w:val="21"/>
              </w:rPr>
            </w:pPr>
            <w:r>
              <w:rPr>
                <w:sz w:val="21"/>
              </w:rPr>
              <w:t>测 </w:t>
            </w:r>
            <w:r>
              <w:rPr>
                <w:rFonts w:ascii="Times New Roman" w:eastAsia="Times New Roman"/>
                <w:sz w:val="21"/>
              </w:rPr>
              <w:t>BOD </w:t>
            </w:r>
            <w:r>
              <w:rPr>
                <w:sz w:val="21"/>
              </w:rPr>
              <w:t>用</w:t>
            </w:r>
          </w:p>
        </w:tc>
        <w:tc>
          <w:tcPr>
            <w:tcW w:w="1469" w:type="dxa"/>
            <w:vMerge/>
            <w:tcBorders>
              <w:top w:val="nil"/>
              <w:left w:val="single" w:sz="4" w:space="0" w:color="000000"/>
            </w:tcBorders>
          </w:tcPr>
          <w:p>
            <w:pPr>
              <w:rPr>
                <w:sz w:val="2"/>
                <w:szCs w:val="2"/>
              </w:rPr>
            </w:pPr>
          </w:p>
        </w:tc>
      </w:tr>
      <w:tr>
        <w:trPr>
          <w:trHeight w:val="282" w:hRule="atLeast"/>
        </w:trPr>
        <w:tc>
          <w:tcPr>
            <w:tcW w:w="816" w:type="dxa"/>
          </w:tcPr>
          <w:p>
            <w:pPr>
              <w:pStyle w:val="TableParagraph"/>
              <w:spacing w:before="17"/>
              <w:ind w:left="14"/>
              <w:rPr>
                <w:rFonts w:ascii="Times New Roman"/>
                <w:sz w:val="21"/>
              </w:rPr>
            </w:pPr>
            <w:r>
              <w:rPr>
                <w:rFonts w:ascii="Times New Roman"/>
                <w:w w:val="100"/>
                <w:sz w:val="21"/>
              </w:rPr>
              <w:t>9</w:t>
            </w:r>
          </w:p>
        </w:tc>
        <w:tc>
          <w:tcPr>
            <w:tcW w:w="2386" w:type="dxa"/>
          </w:tcPr>
          <w:p>
            <w:pPr>
              <w:pStyle w:val="TableParagraph"/>
              <w:spacing w:line="259" w:lineRule="exact" w:before="3"/>
              <w:ind w:left="292" w:right="279"/>
              <w:rPr>
                <w:sz w:val="21"/>
              </w:rPr>
            </w:pPr>
            <w:r>
              <w:rPr>
                <w:sz w:val="21"/>
              </w:rPr>
              <w:t>噪声仪</w:t>
            </w:r>
          </w:p>
        </w:tc>
        <w:tc>
          <w:tcPr>
            <w:tcW w:w="2249" w:type="dxa"/>
          </w:tcPr>
          <w:p>
            <w:pPr>
              <w:pStyle w:val="TableParagraph"/>
              <w:spacing w:before="17"/>
              <w:ind w:left="88" w:right="72"/>
              <w:rPr>
                <w:rFonts w:ascii="Times New Roman"/>
                <w:sz w:val="21"/>
              </w:rPr>
            </w:pPr>
            <w:r>
              <w:rPr>
                <w:rFonts w:ascii="Times New Roman"/>
                <w:sz w:val="21"/>
              </w:rPr>
              <w:t>HS6228</w:t>
            </w:r>
          </w:p>
        </w:tc>
        <w:tc>
          <w:tcPr>
            <w:tcW w:w="2366" w:type="dxa"/>
            <w:tcBorders>
              <w:right w:val="single" w:sz="4" w:space="0" w:color="000000"/>
            </w:tcBorders>
          </w:tcPr>
          <w:p>
            <w:pPr>
              <w:pStyle w:val="TableParagraph"/>
              <w:spacing w:before="17"/>
              <w:ind w:left="428" w:right="414"/>
              <w:rPr>
                <w:rFonts w:ascii="Times New Roman"/>
                <w:sz w:val="21"/>
              </w:rPr>
            </w:pPr>
            <w:r>
              <w:rPr>
                <w:rFonts w:ascii="Times New Roman"/>
                <w:sz w:val="21"/>
              </w:rPr>
              <w:t>Leq</w:t>
            </w:r>
          </w:p>
        </w:tc>
        <w:tc>
          <w:tcPr>
            <w:tcW w:w="1469" w:type="dxa"/>
            <w:vMerge/>
            <w:tcBorders>
              <w:top w:val="nil"/>
              <w:left w:val="single" w:sz="4" w:space="0" w:color="000000"/>
            </w:tcBorders>
          </w:tcPr>
          <w:p>
            <w:pPr>
              <w:rPr>
                <w:sz w:val="2"/>
                <w:szCs w:val="2"/>
              </w:rPr>
            </w:pPr>
          </w:p>
        </w:tc>
      </w:tr>
      <w:tr>
        <w:trPr>
          <w:trHeight w:val="285" w:hRule="atLeast"/>
        </w:trPr>
        <w:tc>
          <w:tcPr>
            <w:tcW w:w="816" w:type="dxa"/>
          </w:tcPr>
          <w:p>
            <w:pPr>
              <w:pStyle w:val="TableParagraph"/>
              <w:spacing w:before="19"/>
              <w:ind w:left="111" w:right="97"/>
              <w:rPr>
                <w:rFonts w:ascii="Times New Roman"/>
                <w:sz w:val="21"/>
              </w:rPr>
            </w:pPr>
            <w:r>
              <w:rPr>
                <w:rFonts w:ascii="Times New Roman"/>
                <w:sz w:val="21"/>
              </w:rPr>
              <w:t>10</w:t>
            </w:r>
          </w:p>
        </w:tc>
        <w:tc>
          <w:tcPr>
            <w:tcW w:w="2386" w:type="dxa"/>
          </w:tcPr>
          <w:p>
            <w:pPr>
              <w:pStyle w:val="TableParagraph"/>
              <w:spacing w:line="259" w:lineRule="exact" w:before="5"/>
              <w:ind w:left="292" w:right="279"/>
              <w:rPr>
                <w:sz w:val="21"/>
              </w:rPr>
            </w:pPr>
            <w:r>
              <w:rPr>
                <w:rFonts w:ascii="Times New Roman" w:eastAsia="Times New Roman"/>
                <w:sz w:val="21"/>
              </w:rPr>
              <w:t>COD </w:t>
            </w:r>
            <w:r>
              <w:rPr>
                <w:sz w:val="21"/>
              </w:rPr>
              <w:t>速测仪</w:t>
            </w:r>
          </w:p>
        </w:tc>
        <w:tc>
          <w:tcPr>
            <w:tcW w:w="2249" w:type="dxa"/>
          </w:tcPr>
          <w:p>
            <w:pPr>
              <w:pStyle w:val="TableParagraph"/>
              <w:spacing w:line="259" w:lineRule="exact" w:before="5"/>
              <w:ind w:left="88" w:right="74"/>
              <w:rPr>
                <w:sz w:val="21"/>
              </w:rPr>
            </w:pPr>
            <w:r>
              <w:rPr>
                <w:sz w:val="21"/>
              </w:rPr>
              <w:t>国产或进口</w:t>
            </w:r>
          </w:p>
        </w:tc>
        <w:tc>
          <w:tcPr>
            <w:tcW w:w="2366" w:type="dxa"/>
            <w:tcBorders>
              <w:right w:val="single" w:sz="4" w:space="0" w:color="000000"/>
            </w:tcBorders>
          </w:tcPr>
          <w:p>
            <w:pPr>
              <w:pStyle w:val="TableParagraph"/>
              <w:spacing w:line="259" w:lineRule="exact" w:before="5"/>
              <w:ind w:left="428" w:right="413"/>
              <w:rPr>
                <w:sz w:val="21"/>
              </w:rPr>
            </w:pPr>
            <w:r>
              <w:rPr>
                <w:sz w:val="21"/>
              </w:rPr>
              <w:t>水质分析</w:t>
            </w:r>
          </w:p>
        </w:tc>
        <w:tc>
          <w:tcPr>
            <w:tcW w:w="1469" w:type="dxa"/>
            <w:vMerge/>
            <w:tcBorders>
              <w:top w:val="nil"/>
              <w:left w:val="single" w:sz="4" w:space="0" w:color="000000"/>
            </w:tcBorders>
          </w:tcPr>
          <w:p>
            <w:pPr>
              <w:rPr>
                <w:sz w:val="2"/>
                <w:szCs w:val="2"/>
              </w:rPr>
            </w:pPr>
          </w:p>
        </w:tc>
      </w:tr>
    </w:tbl>
    <w:p>
      <w:pPr>
        <w:spacing w:before="2"/>
        <w:ind w:left="790" w:right="0" w:firstLine="0"/>
        <w:jc w:val="left"/>
        <w:rPr>
          <w:b/>
          <w:sz w:val="24"/>
        </w:rPr>
      </w:pPr>
      <w:r>
        <w:rPr>
          <w:rFonts w:ascii="Times New Roman" w:eastAsia="Times New Roman"/>
          <w:b/>
          <w:sz w:val="24"/>
        </w:rPr>
        <w:t>2</w:t>
      </w:r>
      <w:r>
        <w:rPr>
          <w:b/>
          <w:sz w:val="24"/>
        </w:rPr>
        <w:t>、项目监测机构</w:t>
      </w:r>
    </w:p>
    <w:p>
      <w:pPr>
        <w:pStyle w:val="BodyText"/>
        <w:spacing w:line="364" w:lineRule="auto" w:before="161"/>
        <w:ind w:left="218" w:right="232" w:firstLine="480"/>
        <w:jc w:val="both"/>
      </w:pPr>
      <w:r>
        <w:rPr>
          <w:spacing w:val="-5"/>
        </w:rPr>
        <w:t>项目污染因子较多，其中常规因子监测依托企业监测机构解决，对于企业暂时无监</w:t>
      </w:r>
      <w:r>
        <w:rPr/>
        <w:t>测能力的建议委托有资质的第三方监测单位执行施工期及营运期的监测计划</w:t>
      </w:r>
      <w:r>
        <w:rPr>
          <w:spacing w:val="-51"/>
          <w:w w:val="180"/>
        </w:rPr>
        <w:t>。</w:t>
      </w:r>
      <w:r>
        <w:rPr>
          <w:spacing w:val="-5"/>
        </w:rPr>
        <w:t>受委托</w:t>
      </w:r>
      <w:r>
        <w:rPr>
          <w:spacing w:val="-220"/>
        </w:rPr>
        <w:t>机</w:t>
      </w:r>
      <w:r>
        <w:rPr/>
        <w:t>构同时承担突发性污染事故对环境影响的应急监测工作。</w:t>
      </w:r>
    </w:p>
    <w:p>
      <w:pPr>
        <w:pStyle w:val="Heading4"/>
        <w:numPr>
          <w:ilvl w:val="2"/>
          <w:numId w:val="23"/>
        </w:numPr>
        <w:tabs>
          <w:tab w:pos="879" w:val="left" w:leader="none"/>
        </w:tabs>
        <w:spacing w:line="305" w:lineRule="exact" w:before="0" w:after="0"/>
        <w:ind w:left="878" w:right="0" w:hanging="661"/>
        <w:jc w:val="left"/>
      </w:pPr>
      <w:r>
        <w:rPr/>
        <w:t>监测计划</w:t>
      </w:r>
    </w:p>
    <w:p>
      <w:pPr>
        <w:pStyle w:val="BodyText"/>
        <w:spacing w:before="160"/>
        <w:ind w:left="698"/>
      </w:pPr>
      <w:r>
        <w:rPr/>
        <w:t>项目的环境影响主要在营运期，环境影响主要各种废气、废水和设备噪声等。根据</w:t>
      </w:r>
    </w:p>
    <w:p>
      <w:pPr>
        <w:pStyle w:val="BodyText"/>
        <w:spacing w:line="364" w:lineRule="auto" w:before="158"/>
        <w:ind w:left="218" w:right="231"/>
        <w:jc w:val="both"/>
      </w:pPr>
      <w:r>
        <w:rPr>
          <w:spacing w:val="-6"/>
        </w:rPr>
        <w:t>《排污单位自行监测技术指南总则》</w:t>
      </w:r>
      <w:r>
        <w:rPr>
          <w:spacing w:val="3"/>
        </w:rPr>
        <w:t>（</w:t>
      </w:r>
      <w:r>
        <w:rPr>
          <w:rFonts w:ascii="Times New Roman" w:eastAsia="Times New Roman"/>
          <w:w w:val="99"/>
        </w:rPr>
        <w:t>HJ81</w:t>
      </w:r>
      <w:r>
        <w:rPr>
          <w:rFonts w:ascii="Times New Roman" w:eastAsia="Times New Roman"/>
          <w:spacing w:val="-1"/>
          <w:w w:val="99"/>
        </w:rPr>
        <w:t>9</w:t>
      </w:r>
      <w:r>
        <w:rPr>
          <w:rFonts w:ascii="Times New Roman" w:eastAsia="Times New Roman"/>
          <w:spacing w:val="-1"/>
          <w:w w:val="99"/>
        </w:rPr>
        <w:t>-</w:t>
      </w:r>
      <w:r>
        <w:rPr>
          <w:rFonts w:ascii="Times New Roman" w:eastAsia="Times New Roman"/>
          <w:w w:val="99"/>
        </w:rPr>
        <w:t>201</w:t>
      </w:r>
      <w:r>
        <w:rPr>
          <w:rFonts w:ascii="Times New Roman" w:eastAsia="Times New Roman"/>
          <w:spacing w:val="2"/>
          <w:w w:val="99"/>
        </w:rPr>
        <w:t>7</w:t>
      </w:r>
      <w:r>
        <w:rPr>
          <w:spacing w:val="-118"/>
          <w:w w:val="99"/>
        </w:rPr>
        <w:t>）</w:t>
      </w:r>
      <w:r>
        <w:rPr>
          <w:spacing w:val="-9"/>
          <w:w w:val="99"/>
        </w:rPr>
        <w:t>、《排污单位自行监测技术指南  农</w:t>
      </w:r>
      <w:r>
        <w:rPr>
          <w:spacing w:val="-19"/>
          <w:w w:val="99"/>
        </w:rPr>
        <w:t>药制造工业》</w:t>
      </w:r>
      <w:r>
        <w:rPr>
          <w:spacing w:val="2"/>
          <w:w w:val="99"/>
        </w:rPr>
        <w:t>（</w:t>
      </w:r>
      <w:r>
        <w:rPr>
          <w:rFonts w:ascii="Times New Roman" w:eastAsia="Times New Roman"/>
          <w:w w:val="99"/>
        </w:rPr>
        <w:t>HJ98</w:t>
      </w:r>
      <w:r>
        <w:rPr>
          <w:rFonts w:ascii="Times New Roman" w:eastAsia="Times New Roman"/>
          <w:spacing w:val="-1"/>
          <w:w w:val="99"/>
        </w:rPr>
        <w:t>7</w:t>
      </w:r>
      <w:r>
        <w:rPr>
          <w:rFonts w:ascii="Times New Roman" w:eastAsia="Times New Roman"/>
          <w:spacing w:val="-1"/>
          <w:w w:val="99"/>
        </w:rPr>
        <w:t>-</w:t>
      </w:r>
      <w:r>
        <w:rPr>
          <w:rFonts w:ascii="Times New Roman" w:eastAsia="Times New Roman"/>
          <w:spacing w:val="-3"/>
          <w:w w:val="99"/>
        </w:rPr>
        <w:t>2</w:t>
      </w:r>
      <w:r>
        <w:rPr>
          <w:rFonts w:ascii="Times New Roman" w:eastAsia="Times New Roman"/>
          <w:w w:val="99"/>
        </w:rPr>
        <w:t>01</w:t>
      </w:r>
      <w:r>
        <w:rPr>
          <w:rFonts w:ascii="Times New Roman" w:eastAsia="Times New Roman"/>
          <w:spacing w:val="3"/>
          <w:w w:val="99"/>
        </w:rPr>
        <w:t>8</w:t>
      </w:r>
      <w:r>
        <w:rPr>
          <w:spacing w:val="-118"/>
          <w:w w:val="99"/>
        </w:rPr>
        <w:t>）</w:t>
      </w:r>
      <w:r>
        <w:rPr>
          <w:spacing w:val="-10"/>
          <w:w w:val="99"/>
        </w:rPr>
        <w:t>、《工业企业土壤和地下水自行监测技术指南</w:t>
      </w:r>
      <w:r>
        <w:rPr>
          <w:spacing w:val="2"/>
          <w:w w:val="99"/>
        </w:rPr>
        <w:t>（</w:t>
      </w:r>
      <w:r>
        <w:rPr>
          <w:spacing w:val="1"/>
          <w:w w:val="99"/>
        </w:rPr>
        <w:t>试行</w:t>
      </w:r>
      <w:r>
        <w:rPr>
          <w:spacing w:val="-118"/>
          <w:w w:val="99"/>
        </w:rPr>
        <w:t>）</w:t>
      </w:r>
      <w:r>
        <w:rPr>
          <w:spacing w:val="-116"/>
          <w:w w:val="99"/>
        </w:rPr>
        <w:t>》</w:t>
      </w:r>
      <w:r>
        <w:rPr>
          <w:spacing w:val="2"/>
          <w:w w:val="99"/>
        </w:rPr>
        <w:t>（</w:t>
      </w:r>
      <w:r>
        <w:rPr>
          <w:rFonts w:ascii="Times New Roman" w:eastAsia="Times New Roman"/>
          <w:w w:val="99"/>
        </w:rPr>
        <w:t>HJ </w:t>
      </w:r>
      <w:r>
        <w:rPr>
          <w:rFonts w:ascii="Times New Roman" w:eastAsia="Times New Roman"/>
        </w:rPr>
        <w:t>1209-2021</w:t>
      </w:r>
      <w:r>
        <w:rPr/>
        <w:t>）及项目建设特点的分析，建议本工程环境监测计划见下表。</w:t>
      </w:r>
    </w:p>
    <w:p>
      <w:pPr>
        <w:pStyle w:val="Heading4"/>
        <w:spacing w:before="141" w:after="29"/>
        <w:ind w:left="2938"/>
        <w:jc w:val="both"/>
      </w:pPr>
      <w:r>
        <w:rPr/>
        <w:t>表 </w:t>
      </w:r>
      <w:r>
        <w:rPr>
          <w:rFonts w:ascii="Times New Roman" w:eastAsia="Times New Roman"/>
        </w:rPr>
        <w:t>10.6.2-1  </w:t>
      </w:r>
      <w:r>
        <w:rPr/>
        <w:t>营运期污染源监测计划</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1"/>
        <w:gridCol w:w="2715"/>
        <w:gridCol w:w="2578"/>
        <w:gridCol w:w="1657"/>
      </w:tblGrid>
      <w:tr>
        <w:trPr>
          <w:trHeight w:val="282" w:hRule="atLeast"/>
        </w:trPr>
        <w:tc>
          <w:tcPr>
            <w:tcW w:w="2131" w:type="dxa"/>
          </w:tcPr>
          <w:p>
            <w:pPr>
              <w:pStyle w:val="TableParagraph"/>
              <w:spacing w:line="255" w:lineRule="exact" w:before="8"/>
              <w:ind w:left="9"/>
              <w:rPr>
                <w:b/>
                <w:sz w:val="21"/>
              </w:rPr>
            </w:pPr>
            <w:r>
              <w:rPr>
                <w:b/>
                <w:sz w:val="21"/>
              </w:rPr>
              <w:t>项目</w:t>
            </w:r>
          </w:p>
        </w:tc>
        <w:tc>
          <w:tcPr>
            <w:tcW w:w="2715" w:type="dxa"/>
          </w:tcPr>
          <w:p>
            <w:pPr>
              <w:pStyle w:val="TableParagraph"/>
              <w:spacing w:line="255" w:lineRule="exact" w:before="8"/>
              <w:ind w:left="11" w:right="3"/>
              <w:rPr>
                <w:b/>
                <w:sz w:val="21"/>
              </w:rPr>
            </w:pPr>
            <w:r>
              <w:rPr>
                <w:b/>
                <w:sz w:val="21"/>
              </w:rPr>
              <w:t>监测因子</w:t>
            </w:r>
          </w:p>
        </w:tc>
        <w:tc>
          <w:tcPr>
            <w:tcW w:w="2578" w:type="dxa"/>
          </w:tcPr>
          <w:p>
            <w:pPr>
              <w:pStyle w:val="TableParagraph"/>
              <w:spacing w:line="255" w:lineRule="exact" w:before="8"/>
              <w:ind w:left="425" w:right="415"/>
              <w:rPr>
                <w:b/>
                <w:sz w:val="21"/>
              </w:rPr>
            </w:pPr>
            <w:r>
              <w:rPr>
                <w:b/>
                <w:sz w:val="21"/>
              </w:rPr>
              <w:t>监测地点（东区）</w:t>
            </w:r>
          </w:p>
        </w:tc>
        <w:tc>
          <w:tcPr>
            <w:tcW w:w="1657" w:type="dxa"/>
          </w:tcPr>
          <w:p>
            <w:pPr>
              <w:pStyle w:val="TableParagraph"/>
              <w:spacing w:line="255" w:lineRule="exact" w:before="8"/>
              <w:ind w:left="72" w:right="64"/>
              <w:rPr>
                <w:b/>
                <w:sz w:val="21"/>
              </w:rPr>
            </w:pPr>
            <w:r>
              <w:rPr>
                <w:b/>
                <w:sz w:val="21"/>
              </w:rPr>
              <w:t>监测频次</w:t>
            </w:r>
          </w:p>
        </w:tc>
      </w:tr>
      <w:tr>
        <w:trPr>
          <w:trHeight w:val="285" w:hRule="atLeast"/>
        </w:trPr>
        <w:tc>
          <w:tcPr>
            <w:tcW w:w="2131" w:type="dxa"/>
            <w:vMerge w:val="restart"/>
          </w:tcPr>
          <w:p>
            <w:pPr>
              <w:pStyle w:val="TableParagraph"/>
              <w:spacing w:before="154"/>
              <w:ind w:left="539"/>
              <w:jc w:val="left"/>
              <w:rPr>
                <w:sz w:val="21"/>
              </w:rPr>
            </w:pPr>
            <w:r>
              <w:rPr>
                <w:sz w:val="21"/>
              </w:rPr>
              <w:t>废水排放口</w:t>
            </w:r>
          </w:p>
        </w:tc>
        <w:tc>
          <w:tcPr>
            <w:tcW w:w="2715" w:type="dxa"/>
          </w:tcPr>
          <w:p>
            <w:pPr>
              <w:pStyle w:val="TableParagraph"/>
              <w:spacing w:line="258" w:lineRule="exact" w:before="7"/>
              <w:ind w:left="10" w:right="3"/>
              <w:rPr>
                <w:sz w:val="21"/>
              </w:rPr>
            </w:pPr>
            <w:r>
              <w:rPr>
                <w:position w:val="2"/>
                <w:sz w:val="21"/>
              </w:rPr>
              <w:t>流量、</w:t>
            </w:r>
            <w:r>
              <w:rPr>
                <w:rFonts w:ascii="Times New Roman" w:eastAsia="Times New Roman"/>
                <w:position w:val="2"/>
                <w:sz w:val="21"/>
              </w:rPr>
              <w:t>COD</w:t>
            </w:r>
            <w:r>
              <w:rPr>
                <w:rFonts w:ascii="Times New Roman" w:eastAsia="Times New Roman"/>
                <w:sz w:val="14"/>
              </w:rPr>
              <w:t>Cr</w:t>
            </w:r>
            <w:r>
              <w:rPr>
                <w:position w:val="2"/>
                <w:sz w:val="21"/>
              </w:rPr>
              <w:t>、</w:t>
            </w:r>
            <w:r>
              <w:rPr>
                <w:rFonts w:ascii="Times New Roman" w:eastAsia="Times New Roman"/>
                <w:position w:val="2"/>
                <w:sz w:val="21"/>
              </w:rPr>
              <w:t>pH</w:t>
            </w:r>
            <w:r>
              <w:rPr>
                <w:position w:val="2"/>
                <w:sz w:val="21"/>
              </w:rPr>
              <w:t>、氨氮</w:t>
            </w:r>
          </w:p>
        </w:tc>
        <w:tc>
          <w:tcPr>
            <w:tcW w:w="2578" w:type="dxa"/>
            <w:vMerge w:val="restart"/>
          </w:tcPr>
          <w:p>
            <w:pPr>
              <w:pStyle w:val="TableParagraph"/>
              <w:spacing w:before="154"/>
              <w:ind w:left="657"/>
              <w:jc w:val="left"/>
              <w:rPr>
                <w:sz w:val="21"/>
              </w:rPr>
            </w:pPr>
            <w:r>
              <w:rPr>
                <w:sz w:val="21"/>
              </w:rPr>
              <w:t>标准化排放口</w:t>
            </w:r>
          </w:p>
        </w:tc>
        <w:tc>
          <w:tcPr>
            <w:tcW w:w="1657" w:type="dxa"/>
          </w:tcPr>
          <w:p>
            <w:pPr>
              <w:pStyle w:val="TableParagraph"/>
              <w:spacing w:line="257" w:lineRule="exact" w:before="8"/>
              <w:ind w:left="72" w:right="61"/>
              <w:rPr>
                <w:sz w:val="21"/>
              </w:rPr>
            </w:pPr>
            <w:r>
              <w:rPr>
                <w:sz w:val="21"/>
              </w:rPr>
              <w:t>自动检测</w:t>
            </w:r>
          </w:p>
        </w:tc>
      </w:tr>
      <w:tr>
        <w:trPr>
          <w:trHeight w:val="282" w:hRule="atLeast"/>
        </w:trPr>
        <w:tc>
          <w:tcPr>
            <w:tcW w:w="2131" w:type="dxa"/>
            <w:vMerge/>
            <w:tcBorders>
              <w:top w:val="nil"/>
            </w:tcBorders>
          </w:tcPr>
          <w:p>
            <w:pPr>
              <w:rPr>
                <w:sz w:val="2"/>
                <w:szCs w:val="2"/>
              </w:rPr>
            </w:pPr>
          </w:p>
        </w:tc>
        <w:tc>
          <w:tcPr>
            <w:tcW w:w="2715" w:type="dxa"/>
          </w:tcPr>
          <w:p>
            <w:pPr>
              <w:pStyle w:val="TableParagraph"/>
              <w:spacing w:line="255" w:lineRule="exact" w:before="8"/>
              <w:ind w:left="11" w:right="3"/>
              <w:rPr>
                <w:sz w:val="21"/>
              </w:rPr>
            </w:pPr>
            <w:r>
              <w:rPr>
                <w:sz w:val="21"/>
              </w:rPr>
              <w:t>总氮</w:t>
            </w:r>
          </w:p>
        </w:tc>
        <w:tc>
          <w:tcPr>
            <w:tcW w:w="2578" w:type="dxa"/>
            <w:vMerge/>
            <w:tcBorders>
              <w:top w:val="nil"/>
            </w:tcBorders>
          </w:tcPr>
          <w:p>
            <w:pPr>
              <w:rPr>
                <w:sz w:val="2"/>
                <w:szCs w:val="2"/>
              </w:rPr>
            </w:pPr>
          </w:p>
        </w:tc>
        <w:tc>
          <w:tcPr>
            <w:tcW w:w="1657" w:type="dxa"/>
          </w:tcPr>
          <w:p>
            <w:pPr>
              <w:pStyle w:val="TableParagraph"/>
              <w:spacing w:line="255" w:lineRule="exact" w:before="8"/>
              <w:ind w:left="72" w:right="64"/>
              <w:rPr>
                <w:sz w:val="21"/>
              </w:rPr>
            </w:pPr>
            <w:r>
              <w:rPr>
                <w:sz w:val="21"/>
              </w:rPr>
              <w:t>每季度监测一次</w:t>
            </w:r>
          </w:p>
        </w:tc>
      </w:tr>
      <w:tr>
        <w:trPr>
          <w:trHeight w:val="285" w:hRule="atLeast"/>
        </w:trPr>
        <w:tc>
          <w:tcPr>
            <w:tcW w:w="2131" w:type="dxa"/>
          </w:tcPr>
          <w:p>
            <w:pPr>
              <w:pStyle w:val="TableParagraph"/>
              <w:spacing w:line="257" w:lineRule="exact" w:before="8"/>
              <w:ind w:left="9"/>
              <w:rPr>
                <w:sz w:val="21"/>
              </w:rPr>
            </w:pPr>
            <w:r>
              <w:rPr>
                <w:sz w:val="21"/>
              </w:rPr>
              <w:t>雨水口</w:t>
            </w:r>
          </w:p>
        </w:tc>
        <w:tc>
          <w:tcPr>
            <w:tcW w:w="2715" w:type="dxa"/>
          </w:tcPr>
          <w:p>
            <w:pPr>
              <w:pStyle w:val="TableParagraph"/>
              <w:spacing w:line="258" w:lineRule="exact" w:before="8"/>
              <w:ind w:left="13" w:right="3"/>
              <w:rPr>
                <w:rFonts w:ascii="Times New Roman" w:eastAsia="Times New Roman"/>
                <w:sz w:val="21"/>
              </w:rPr>
            </w:pPr>
            <w:r>
              <w:rPr>
                <w:rFonts w:ascii="Times New Roman" w:eastAsia="Times New Roman"/>
                <w:position w:val="2"/>
                <w:sz w:val="21"/>
              </w:rPr>
              <w:t>COD</w:t>
            </w:r>
            <w:r>
              <w:rPr>
                <w:rFonts w:ascii="Times New Roman" w:eastAsia="Times New Roman"/>
                <w:sz w:val="14"/>
              </w:rPr>
              <w:t>Cr</w:t>
            </w:r>
            <w:r>
              <w:rPr>
                <w:position w:val="2"/>
                <w:sz w:val="21"/>
              </w:rPr>
              <w:t>、</w:t>
            </w:r>
            <w:r>
              <w:rPr>
                <w:rFonts w:ascii="Times New Roman" w:eastAsia="Times New Roman"/>
                <w:position w:val="2"/>
                <w:sz w:val="21"/>
              </w:rPr>
              <w:t>pH</w:t>
            </w:r>
            <w:r>
              <w:rPr>
                <w:position w:val="2"/>
                <w:sz w:val="21"/>
              </w:rPr>
              <w:t>、</w:t>
            </w:r>
            <w:r>
              <w:rPr>
                <w:rFonts w:ascii="Times New Roman" w:eastAsia="Times New Roman"/>
                <w:position w:val="2"/>
                <w:sz w:val="21"/>
              </w:rPr>
              <w:t>SS</w:t>
            </w:r>
          </w:p>
        </w:tc>
        <w:tc>
          <w:tcPr>
            <w:tcW w:w="2578" w:type="dxa"/>
          </w:tcPr>
          <w:p>
            <w:pPr>
              <w:pStyle w:val="TableParagraph"/>
              <w:spacing w:line="257" w:lineRule="exact" w:before="8"/>
              <w:ind w:left="425" w:right="413"/>
              <w:rPr>
                <w:sz w:val="21"/>
              </w:rPr>
            </w:pPr>
            <w:r>
              <w:rPr>
                <w:sz w:val="21"/>
              </w:rPr>
              <w:t>雨水排放口</w:t>
            </w:r>
          </w:p>
        </w:tc>
        <w:tc>
          <w:tcPr>
            <w:tcW w:w="1657" w:type="dxa"/>
          </w:tcPr>
          <w:p>
            <w:pPr>
              <w:pStyle w:val="TableParagraph"/>
              <w:spacing w:line="257" w:lineRule="exact" w:before="8"/>
              <w:ind w:left="72" w:right="63"/>
              <w:rPr>
                <w:sz w:val="21"/>
              </w:rPr>
            </w:pPr>
            <w:r>
              <w:rPr>
                <w:sz w:val="21"/>
              </w:rPr>
              <w:t>排放时按日监测</w:t>
            </w:r>
          </w:p>
        </w:tc>
      </w:tr>
      <w:tr>
        <w:trPr>
          <w:trHeight w:val="282" w:hRule="atLeast"/>
        </w:trPr>
        <w:tc>
          <w:tcPr>
            <w:tcW w:w="2131" w:type="dxa"/>
            <w:vMerge w:val="restart"/>
          </w:tcPr>
          <w:p>
            <w:pPr>
              <w:pStyle w:val="TableParagraph"/>
              <w:spacing w:before="6"/>
              <w:jc w:val="left"/>
              <w:rPr>
                <w:b/>
                <w:sz w:val="23"/>
              </w:rPr>
            </w:pPr>
          </w:p>
          <w:p>
            <w:pPr>
              <w:pStyle w:val="TableParagraph"/>
              <w:ind w:left="4"/>
              <w:jc w:val="left"/>
              <w:rPr>
                <w:sz w:val="21"/>
              </w:rPr>
            </w:pPr>
            <w:r>
              <w:rPr>
                <w:spacing w:val="10"/>
                <w:w w:val="100"/>
                <w:sz w:val="21"/>
              </w:rPr>
              <w:t>排气筒</w:t>
            </w:r>
            <w:r>
              <w:rPr>
                <w:rFonts w:ascii="Times New Roman" w:eastAsia="Times New Roman"/>
                <w:spacing w:val="-2"/>
                <w:w w:val="100"/>
                <w:sz w:val="21"/>
              </w:rPr>
              <w:t>D</w:t>
            </w:r>
            <w:r>
              <w:rPr>
                <w:rFonts w:ascii="Times New Roman" w:eastAsia="Times New Roman"/>
                <w:w w:val="100"/>
                <w:sz w:val="21"/>
              </w:rPr>
              <w:t>A</w:t>
            </w:r>
            <w:r>
              <w:rPr>
                <w:rFonts w:ascii="Times New Roman" w:eastAsia="Times New Roman"/>
                <w:spacing w:val="-3"/>
                <w:w w:val="100"/>
                <w:sz w:val="21"/>
              </w:rPr>
              <w:t>0</w:t>
            </w:r>
            <w:r>
              <w:rPr>
                <w:rFonts w:ascii="Times New Roman" w:eastAsia="Times New Roman"/>
                <w:w w:val="100"/>
                <w:sz w:val="21"/>
              </w:rPr>
              <w:t>0</w:t>
            </w:r>
            <w:r>
              <w:rPr>
                <w:rFonts w:ascii="Times New Roman" w:eastAsia="Times New Roman"/>
                <w:spacing w:val="-106"/>
                <w:w w:val="100"/>
                <w:sz w:val="21"/>
              </w:rPr>
              <w:t>4</w:t>
            </w:r>
            <w:r>
              <w:rPr>
                <w:spacing w:val="-3"/>
                <w:w w:val="100"/>
                <w:sz w:val="21"/>
              </w:rPr>
              <w:t>（</w:t>
            </w:r>
            <w:r>
              <w:rPr>
                <w:spacing w:val="-2"/>
                <w:w w:val="100"/>
                <w:sz w:val="21"/>
              </w:rPr>
              <w:t>车间一</w:t>
            </w:r>
          </w:p>
        </w:tc>
        <w:tc>
          <w:tcPr>
            <w:tcW w:w="2715" w:type="dxa"/>
          </w:tcPr>
          <w:p>
            <w:pPr>
              <w:pStyle w:val="TableParagraph"/>
              <w:spacing w:line="255" w:lineRule="exact" w:before="8"/>
              <w:ind w:left="13" w:right="3"/>
              <w:rPr>
                <w:sz w:val="21"/>
              </w:rPr>
            </w:pPr>
            <w:r>
              <w:rPr>
                <w:sz w:val="21"/>
              </w:rPr>
              <w:t>非甲烷总烃</w:t>
            </w:r>
          </w:p>
        </w:tc>
        <w:tc>
          <w:tcPr>
            <w:tcW w:w="2578" w:type="dxa"/>
            <w:vMerge w:val="restart"/>
          </w:tcPr>
          <w:p>
            <w:pPr>
              <w:pStyle w:val="TableParagraph"/>
              <w:spacing w:before="6"/>
              <w:jc w:val="left"/>
              <w:rPr>
                <w:b/>
                <w:sz w:val="23"/>
              </w:rPr>
            </w:pPr>
          </w:p>
          <w:p>
            <w:pPr>
              <w:pStyle w:val="TableParagraph"/>
              <w:ind w:left="552"/>
              <w:jc w:val="left"/>
              <w:rPr>
                <w:sz w:val="21"/>
              </w:rPr>
            </w:pPr>
            <w:r>
              <w:rPr>
                <w:sz w:val="21"/>
              </w:rPr>
              <w:t>处理设施进出口</w:t>
            </w:r>
          </w:p>
        </w:tc>
        <w:tc>
          <w:tcPr>
            <w:tcW w:w="1657" w:type="dxa"/>
          </w:tcPr>
          <w:p>
            <w:pPr>
              <w:pStyle w:val="TableParagraph"/>
              <w:spacing w:line="255" w:lineRule="exact" w:before="8"/>
              <w:ind w:left="72" w:right="63"/>
              <w:rPr>
                <w:sz w:val="21"/>
              </w:rPr>
            </w:pPr>
            <w:r>
              <w:rPr>
                <w:sz w:val="21"/>
              </w:rPr>
              <w:t>每月监测一次</w:t>
            </w:r>
          </w:p>
        </w:tc>
      </w:tr>
      <w:tr>
        <w:trPr>
          <w:trHeight w:val="285" w:hRule="atLeast"/>
        </w:trPr>
        <w:tc>
          <w:tcPr>
            <w:tcW w:w="2131" w:type="dxa"/>
            <w:vMerge/>
            <w:tcBorders>
              <w:top w:val="nil"/>
            </w:tcBorders>
          </w:tcPr>
          <w:p>
            <w:pPr>
              <w:rPr>
                <w:sz w:val="2"/>
                <w:szCs w:val="2"/>
              </w:rPr>
            </w:pPr>
          </w:p>
        </w:tc>
        <w:tc>
          <w:tcPr>
            <w:tcW w:w="2715" w:type="dxa"/>
          </w:tcPr>
          <w:p>
            <w:pPr>
              <w:pStyle w:val="TableParagraph"/>
              <w:spacing w:line="257" w:lineRule="exact" w:before="8"/>
              <w:ind w:left="11" w:right="3"/>
              <w:rPr>
                <w:sz w:val="21"/>
              </w:rPr>
            </w:pPr>
            <w:r>
              <w:rPr>
                <w:sz w:val="21"/>
              </w:rPr>
              <w:t>甲酸</w:t>
            </w:r>
          </w:p>
        </w:tc>
        <w:tc>
          <w:tcPr>
            <w:tcW w:w="2578" w:type="dxa"/>
            <w:vMerge/>
            <w:tcBorders>
              <w:top w:val="nil"/>
            </w:tcBorders>
          </w:tcPr>
          <w:p>
            <w:pPr>
              <w:rPr>
                <w:sz w:val="2"/>
                <w:szCs w:val="2"/>
              </w:rPr>
            </w:pPr>
          </w:p>
        </w:tc>
        <w:tc>
          <w:tcPr>
            <w:tcW w:w="1657" w:type="dxa"/>
          </w:tcPr>
          <w:p>
            <w:pPr>
              <w:pStyle w:val="TableParagraph"/>
              <w:spacing w:line="257" w:lineRule="exact" w:before="8"/>
              <w:ind w:left="72" w:right="63"/>
              <w:rPr>
                <w:sz w:val="21"/>
              </w:rPr>
            </w:pPr>
            <w:r>
              <w:rPr>
                <w:sz w:val="21"/>
              </w:rPr>
              <w:t>每半年监测一次</w:t>
            </w:r>
          </w:p>
        </w:tc>
      </w:tr>
      <w:tr>
        <w:trPr>
          <w:trHeight w:val="282" w:hRule="atLeast"/>
        </w:trPr>
        <w:tc>
          <w:tcPr>
            <w:tcW w:w="2131" w:type="dxa"/>
            <w:vMerge/>
            <w:tcBorders>
              <w:top w:val="nil"/>
            </w:tcBorders>
          </w:tcPr>
          <w:p>
            <w:pPr>
              <w:rPr>
                <w:sz w:val="2"/>
                <w:szCs w:val="2"/>
              </w:rPr>
            </w:pPr>
          </w:p>
        </w:tc>
        <w:tc>
          <w:tcPr>
            <w:tcW w:w="2715" w:type="dxa"/>
          </w:tcPr>
          <w:p>
            <w:pPr>
              <w:pStyle w:val="TableParagraph"/>
              <w:spacing w:line="255" w:lineRule="exact" w:before="8"/>
              <w:ind w:left="11" w:right="3"/>
              <w:rPr>
                <w:sz w:val="21"/>
              </w:rPr>
            </w:pPr>
            <w:r>
              <w:rPr>
                <w:sz w:val="21"/>
              </w:rPr>
              <w:t>颗粒物</w:t>
            </w:r>
          </w:p>
        </w:tc>
        <w:tc>
          <w:tcPr>
            <w:tcW w:w="2578" w:type="dxa"/>
            <w:vMerge/>
            <w:tcBorders>
              <w:top w:val="nil"/>
            </w:tcBorders>
          </w:tcPr>
          <w:p>
            <w:pPr>
              <w:rPr>
                <w:sz w:val="2"/>
                <w:szCs w:val="2"/>
              </w:rPr>
            </w:pPr>
          </w:p>
        </w:tc>
        <w:tc>
          <w:tcPr>
            <w:tcW w:w="1657" w:type="dxa"/>
          </w:tcPr>
          <w:p>
            <w:pPr>
              <w:pStyle w:val="TableParagraph"/>
              <w:spacing w:line="255" w:lineRule="exact" w:before="8"/>
              <w:ind w:left="72" w:right="64"/>
              <w:rPr>
                <w:sz w:val="21"/>
              </w:rPr>
            </w:pPr>
            <w:r>
              <w:rPr>
                <w:sz w:val="21"/>
              </w:rPr>
              <w:t>每季度监测一次</w:t>
            </w:r>
          </w:p>
        </w:tc>
      </w:tr>
      <w:tr>
        <w:trPr>
          <w:trHeight w:val="285" w:hRule="atLeast"/>
        </w:trPr>
        <w:tc>
          <w:tcPr>
            <w:tcW w:w="2131" w:type="dxa"/>
            <w:vMerge w:val="restart"/>
          </w:tcPr>
          <w:p>
            <w:pPr>
              <w:pStyle w:val="TableParagraph"/>
              <w:spacing w:line="242" w:lineRule="auto" w:before="3"/>
              <w:ind w:left="4" w:right="-29"/>
              <w:rPr>
                <w:sz w:val="21"/>
              </w:rPr>
            </w:pPr>
            <w:r>
              <w:rPr>
                <w:spacing w:val="-14"/>
                <w:sz w:val="21"/>
              </w:rPr>
              <w:t>排气筒 </w:t>
            </w:r>
            <w:r>
              <w:rPr>
                <w:rFonts w:ascii="Times New Roman" w:eastAsia="Times New Roman"/>
                <w:sz w:val="21"/>
              </w:rPr>
              <w:t>DA005</w:t>
            </w:r>
            <w:r>
              <w:rPr>
                <w:sz w:val="21"/>
              </w:rPr>
              <w:t>（</w:t>
            </w:r>
            <w:r>
              <w:rPr>
                <w:spacing w:val="-6"/>
                <w:sz w:val="21"/>
              </w:rPr>
              <w:t>储罐、</w:t>
            </w:r>
            <w:r>
              <w:rPr>
                <w:spacing w:val="-3"/>
                <w:sz w:val="21"/>
              </w:rPr>
              <w:t>废水处理设施、危废暂</w:t>
            </w:r>
          </w:p>
          <w:p>
            <w:pPr>
              <w:pStyle w:val="TableParagraph"/>
              <w:spacing w:line="250" w:lineRule="exact" w:before="1"/>
              <w:ind w:left="12"/>
              <w:rPr>
                <w:sz w:val="21"/>
              </w:rPr>
            </w:pPr>
            <w:r>
              <w:rPr>
                <w:sz w:val="21"/>
              </w:rPr>
              <w:t>存场所）</w:t>
            </w:r>
          </w:p>
        </w:tc>
        <w:tc>
          <w:tcPr>
            <w:tcW w:w="2715" w:type="dxa"/>
          </w:tcPr>
          <w:p>
            <w:pPr>
              <w:pStyle w:val="TableParagraph"/>
              <w:spacing w:line="257" w:lineRule="exact" w:before="8"/>
              <w:ind w:left="22" w:right="3"/>
              <w:rPr>
                <w:sz w:val="21"/>
              </w:rPr>
            </w:pPr>
            <w:r>
              <w:rPr>
                <w:spacing w:val="-7"/>
                <w:sz w:val="21"/>
              </w:rPr>
              <w:t>甲酸、臭气浓度、硫化氢、氨</w:t>
            </w:r>
          </w:p>
        </w:tc>
        <w:tc>
          <w:tcPr>
            <w:tcW w:w="2578" w:type="dxa"/>
            <w:vMerge w:val="restart"/>
          </w:tcPr>
          <w:p>
            <w:pPr>
              <w:pStyle w:val="TableParagraph"/>
              <w:spacing w:before="5"/>
              <w:jc w:val="left"/>
              <w:rPr>
                <w:b/>
                <w:sz w:val="21"/>
              </w:rPr>
            </w:pPr>
          </w:p>
          <w:p>
            <w:pPr>
              <w:pStyle w:val="TableParagraph"/>
              <w:ind w:left="552"/>
              <w:jc w:val="left"/>
              <w:rPr>
                <w:sz w:val="21"/>
              </w:rPr>
            </w:pPr>
            <w:r>
              <w:rPr>
                <w:sz w:val="21"/>
              </w:rPr>
              <w:t>处理设施进出口</w:t>
            </w:r>
          </w:p>
        </w:tc>
        <w:tc>
          <w:tcPr>
            <w:tcW w:w="1657" w:type="dxa"/>
          </w:tcPr>
          <w:p>
            <w:pPr>
              <w:pStyle w:val="TableParagraph"/>
              <w:spacing w:line="257" w:lineRule="exact" w:before="8"/>
              <w:ind w:left="72" w:right="63"/>
              <w:rPr>
                <w:sz w:val="21"/>
              </w:rPr>
            </w:pPr>
            <w:r>
              <w:rPr>
                <w:sz w:val="21"/>
              </w:rPr>
              <w:t>每年监测一次</w:t>
            </w:r>
          </w:p>
        </w:tc>
      </w:tr>
      <w:tr>
        <w:trPr>
          <w:trHeight w:val="522" w:hRule="atLeast"/>
        </w:trPr>
        <w:tc>
          <w:tcPr>
            <w:tcW w:w="2131" w:type="dxa"/>
            <w:vMerge/>
            <w:tcBorders>
              <w:top w:val="nil"/>
            </w:tcBorders>
          </w:tcPr>
          <w:p>
            <w:pPr>
              <w:rPr>
                <w:sz w:val="2"/>
                <w:szCs w:val="2"/>
              </w:rPr>
            </w:pPr>
          </w:p>
        </w:tc>
        <w:tc>
          <w:tcPr>
            <w:tcW w:w="2715" w:type="dxa"/>
          </w:tcPr>
          <w:p>
            <w:pPr>
              <w:pStyle w:val="TableParagraph"/>
              <w:spacing w:before="125"/>
              <w:ind w:left="13" w:right="3"/>
              <w:rPr>
                <w:sz w:val="21"/>
              </w:rPr>
            </w:pPr>
            <w:r>
              <w:rPr>
                <w:sz w:val="21"/>
              </w:rPr>
              <w:t>非甲烷总烃</w:t>
            </w:r>
          </w:p>
        </w:tc>
        <w:tc>
          <w:tcPr>
            <w:tcW w:w="2578" w:type="dxa"/>
            <w:vMerge/>
            <w:tcBorders>
              <w:top w:val="nil"/>
            </w:tcBorders>
          </w:tcPr>
          <w:p>
            <w:pPr>
              <w:rPr>
                <w:sz w:val="2"/>
                <w:szCs w:val="2"/>
              </w:rPr>
            </w:pPr>
          </w:p>
        </w:tc>
        <w:tc>
          <w:tcPr>
            <w:tcW w:w="1657" w:type="dxa"/>
          </w:tcPr>
          <w:p>
            <w:pPr>
              <w:pStyle w:val="TableParagraph"/>
              <w:spacing w:before="125"/>
              <w:ind w:left="72" w:right="64"/>
              <w:rPr>
                <w:sz w:val="21"/>
              </w:rPr>
            </w:pPr>
            <w:r>
              <w:rPr>
                <w:sz w:val="21"/>
              </w:rPr>
              <w:t>每季度监测一次</w:t>
            </w:r>
          </w:p>
        </w:tc>
      </w:tr>
      <w:tr>
        <w:trPr>
          <w:trHeight w:val="544" w:hRule="atLeast"/>
        </w:trPr>
        <w:tc>
          <w:tcPr>
            <w:tcW w:w="2131" w:type="dxa"/>
          </w:tcPr>
          <w:p>
            <w:pPr>
              <w:pStyle w:val="TableParagraph"/>
              <w:spacing w:before="138"/>
              <w:ind w:left="12"/>
              <w:rPr>
                <w:sz w:val="21"/>
              </w:rPr>
            </w:pPr>
            <w:r>
              <w:rPr>
                <w:sz w:val="21"/>
              </w:rPr>
              <w:t>厂界无组织废气监控</w:t>
            </w:r>
          </w:p>
        </w:tc>
        <w:tc>
          <w:tcPr>
            <w:tcW w:w="2715" w:type="dxa"/>
          </w:tcPr>
          <w:p>
            <w:pPr>
              <w:pStyle w:val="TableParagraph"/>
              <w:spacing w:before="1"/>
              <w:ind w:left="4"/>
              <w:jc w:val="left"/>
              <w:rPr>
                <w:sz w:val="21"/>
              </w:rPr>
            </w:pPr>
            <w:r>
              <w:rPr>
                <w:spacing w:val="-14"/>
                <w:sz w:val="21"/>
              </w:rPr>
              <w:t>甲酸、非甲烷总烃、臭气浓度</w:t>
            </w:r>
          </w:p>
          <w:p>
            <w:pPr>
              <w:pStyle w:val="TableParagraph"/>
              <w:spacing w:line="250" w:lineRule="exact" w:before="4"/>
              <w:ind w:left="830"/>
              <w:jc w:val="left"/>
              <w:rPr>
                <w:sz w:val="21"/>
              </w:rPr>
            </w:pPr>
            <w:r>
              <w:rPr>
                <w:sz w:val="21"/>
              </w:rPr>
              <w:t>硫化氢、氨</w:t>
            </w:r>
          </w:p>
        </w:tc>
        <w:tc>
          <w:tcPr>
            <w:tcW w:w="2578" w:type="dxa"/>
          </w:tcPr>
          <w:p>
            <w:pPr>
              <w:pStyle w:val="TableParagraph"/>
              <w:spacing w:before="1"/>
              <w:ind w:left="131"/>
              <w:jc w:val="left"/>
              <w:rPr>
                <w:sz w:val="21"/>
              </w:rPr>
            </w:pPr>
            <w:r>
              <w:rPr>
                <w:sz w:val="21"/>
              </w:rPr>
              <w:t>厂界上风向设置 </w:t>
            </w:r>
            <w:r>
              <w:rPr>
                <w:rFonts w:ascii="Times New Roman" w:eastAsia="Times New Roman"/>
                <w:sz w:val="21"/>
              </w:rPr>
              <w:t>1 </w:t>
            </w:r>
            <w:r>
              <w:rPr>
                <w:sz w:val="21"/>
              </w:rPr>
              <w:t>个参照</w:t>
            </w:r>
          </w:p>
          <w:p>
            <w:pPr>
              <w:pStyle w:val="TableParagraph"/>
              <w:spacing w:line="250" w:lineRule="exact" w:before="4"/>
              <w:ind w:left="26"/>
              <w:jc w:val="left"/>
              <w:rPr>
                <w:sz w:val="21"/>
              </w:rPr>
            </w:pPr>
            <w:r>
              <w:rPr>
                <w:spacing w:val="-9"/>
                <w:sz w:val="21"/>
              </w:rPr>
              <w:t>点，下风向设置 </w:t>
            </w:r>
            <w:r>
              <w:rPr>
                <w:rFonts w:ascii="Times New Roman" w:eastAsia="Times New Roman"/>
                <w:sz w:val="21"/>
              </w:rPr>
              <w:t>3 </w:t>
            </w:r>
            <w:r>
              <w:rPr>
                <w:spacing w:val="-3"/>
                <w:sz w:val="21"/>
              </w:rPr>
              <w:t>个对照点</w:t>
            </w:r>
          </w:p>
        </w:tc>
        <w:tc>
          <w:tcPr>
            <w:tcW w:w="1657" w:type="dxa"/>
          </w:tcPr>
          <w:p>
            <w:pPr>
              <w:pStyle w:val="TableParagraph"/>
              <w:spacing w:before="138"/>
              <w:ind w:left="72" w:right="64"/>
              <w:rPr>
                <w:sz w:val="21"/>
              </w:rPr>
            </w:pPr>
            <w:r>
              <w:rPr>
                <w:sz w:val="21"/>
              </w:rPr>
              <w:t>每半年监测一次</w:t>
            </w:r>
          </w:p>
        </w:tc>
      </w:tr>
      <w:tr>
        <w:trPr>
          <w:trHeight w:val="544" w:hRule="atLeast"/>
        </w:trPr>
        <w:tc>
          <w:tcPr>
            <w:tcW w:w="2131" w:type="dxa"/>
          </w:tcPr>
          <w:p>
            <w:pPr>
              <w:pStyle w:val="TableParagraph"/>
              <w:spacing w:before="137"/>
              <w:ind w:left="9"/>
              <w:rPr>
                <w:sz w:val="21"/>
              </w:rPr>
            </w:pPr>
            <w:r>
              <w:rPr>
                <w:sz w:val="21"/>
              </w:rPr>
              <w:t>噪声</w:t>
            </w:r>
          </w:p>
        </w:tc>
        <w:tc>
          <w:tcPr>
            <w:tcW w:w="2715" w:type="dxa"/>
          </w:tcPr>
          <w:p>
            <w:pPr>
              <w:pStyle w:val="TableParagraph"/>
              <w:spacing w:before="137"/>
              <w:ind w:left="11" w:right="3"/>
              <w:rPr>
                <w:sz w:val="21"/>
              </w:rPr>
            </w:pPr>
            <w:r>
              <w:rPr>
                <w:sz w:val="21"/>
              </w:rPr>
              <w:t>等效</w:t>
            </w:r>
            <w:r>
              <w:rPr>
                <w:rFonts w:ascii="Times New Roman" w:eastAsia="Times New Roman"/>
                <w:sz w:val="21"/>
              </w:rPr>
              <w:t>A </w:t>
            </w:r>
            <w:r>
              <w:rPr>
                <w:sz w:val="21"/>
              </w:rPr>
              <w:t>声级</w:t>
            </w:r>
          </w:p>
        </w:tc>
        <w:tc>
          <w:tcPr>
            <w:tcW w:w="2578" w:type="dxa"/>
          </w:tcPr>
          <w:p>
            <w:pPr>
              <w:pStyle w:val="TableParagraph"/>
              <w:spacing w:before="137"/>
              <w:ind w:left="425" w:right="413"/>
              <w:rPr>
                <w:sz w:val="21"/>
              </w:rPr>
            </w:pPr>
            <w:r>
              <w:rPr>
                <w:sz w:val="21"/>
              </w:rPr>
              <w:t>厂界四周</w:t>
            </w:r>
          </w:p>
        </w:tc>
        <w:tc>
          <w:tcPr>
            <w:tcW w:w="1657" w:type="dxa"/>
          </w:tcPr>
          <w:p>
            <w:pPr>
              <w:pStyle w:val="TableParagraph"/>
              <w:spacing w:before="1"/>
              <w:ind w:left="4" w:right="-44"/>
              <w:rPr>
                <w:sz w:val="21"/>
              </w:rPr>
            </w:pPr>
            <w:r>
              <w:rPr>
                <w:spacing w:val="-5"/>
                <w:sz w:val="21"/>
              </w:rPr>
              <w:t>每季度监测一次，</w:t>
            </w:r>
          </w:p>
          <w:p>
            <w:pPr>
              <w:pStyle w:val="TableParagraph"/>
              <w:spacing w:line="250" w:lineRule="exact" w:before="4"/>
              <w:ind w:left="72" w:right="64"/>
              <w:rPr>
                <w:sz w:val="21"/>
              </w:rPr>
            </w:pPr>
            <w:r>
              <w:rPr>
                <w:sz w:val="21"/>
              </w:rPr>
              <w:t>测昼夜间噪声</w:t>
            </w:r>
          </w:p>
        </w:tc>
      </w:tr>
    </w:tbl>
    <w:p>
      <w:pPr>
        <w:spacing w:before="144" w:after="29"/>
        <w:ind w:left="2818" w:right="0" w:firstLine="0"/>
        <w:jc w:val="both"/>
        <w:rPr>
          <w:b/>
          <w:sz w:val="24"/>
        </w:rPr>
      </w:pPr>
      <w:r>
        <w:rPr>
          <w:b/>
          <w:sz w:val="24"/>
        </w:rPr>
        <w:t>表 </w:t>
      </w:r>
      <w:r>
        <w:rPr>
          <w:rFonts w:ascii="Times New Roman" w:eastAsia="Times New Roman"/>
          <w:b/>
          <w:sz w:val="24"/>
        </w:rPr>
        <w:t>10.6.2-2  </w:t>
      </w:r>
      <w:r>
        <w:rPr>
          <w:b/>
          <w:sz w:val="24"/>
        </w:rPr>
        <w:t>营运期环境质量监测计划</w:t>
      </w:r>
    </w:p>
    <w:tbl>
      <w:tblPr>
        <w:tblW w:w="0" w:type="auto"/>
        <w:jc w:val="left"/>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8"/>
        <w:gridCol w:w="3113"/>
        <w:gridCol w:w="996"/>
        <w:gridCol w:w="2266"/>
        <w:gridCol w:w="970"/>
        <w:gridCol w:w="737"/>
      </w:tblGrid>
      <w:tr>
        <w:trPr>
          <w:trHeight w:val="547" w:hRule="atLeast"/>
        </w:trPr>
        <w:tc>
          <w:tcPr>
            <w:tcW w:w="998" w:type="dxa"/>
          </w:tcPr>
          <w:p>
            <w:pPr>
              <w:pStyle w:val="TableParagraph"/>
              <w:spacing w:before="137"/>
              <w:ind w:left="58" w:right="48"/>
              <w:rPr>
                <w:b/>
                <w:sz w:val="21"/>
              </w:rPr>
            </w:pPr>
            <w:r>
              <w:rPr>
                <w:b/>
                <w:sz w:val="21"/>
              </w:rPr>
              <w:t>项目</w:t>
            </w:r>
          </w:p>
        </w:tc>
        <w:tc>
          <w:tcPr>
            <w:tcW w:w="3113" w:type="dxa"/>
          </w:tcPr>
          <w:p>
            <w:pPr>
              <w:pStyle w:val="TableParagraph"/>
              <w:spacing w:before="137"/>
              <w:ind w:left="907" w:right="895"/>
              <w:rPr>
                <w:b/>
                <w:sz w:val="21"/>
              </w:rPr>
            </w:pPr>
            <w:r>
              <w:rPr>
                <w:b/>
                <w:sz w:val="21"/>
              </w:rPr>
              <w:t>监测因子</w:t>
            </w:r>
          </w:p>
        </w:tc>
        <w:tc>
          <w:tcPr>
            <w:tcW w:w="4232" w:type="dxa"/>
            <w:gridSpan w:val="3"/>
          </w:tcPr>
          <w:p>
            <w:pPr>
              <w:pStyle w:val="TableParagraph"/>
              <w:spacing w:before="137"/>
              <w:ind w:left="1272"/>
              <w:jc w:val="left"/>
              <w:rPr>
                <w:b/>
                <w:sz w:val="21"/>
              </w:rPr>
            </w:pPr>
            <w:r>
              <w:rPr>
                <w:b/>
                <w:sz w:val="21"/>
              </w:rPr>
              <w:t>监测地点（东区）</w:t>
            </w:r>
          </w:p>
        </w:tc>
        <w:tc>
          <w:tcPr>
            <w:tcW w:w="737" w:type="dxa"/>
          </w:tcPr>
          <w:p>
            <w:pPr>
              <w:pStyle w:val="TableParagraph"/>
              <w:spacing w:line="270" w:lineRule="atLeast" w:before="2"/>
              <w:ind w:left="262" w:right="40" w:hanging="212"/>
              <w:jc w:val="left"/>
              <w:rPr>
                <w:b/>
                <w:sz w:val="21"/>
              </w:rPr>
            </w:pPr>
            <w:r>
              <w:rPr>
                <w:b/>
                <w:sz w:val="21"/>
              </w:rPr>
              <w:t>监测频次</w:t>
            </w:r>
          </w:p>
        </w:tc>
      </w:tr>
      <w:tr>
        <w:trPr>
          <w:trHeight w:val="282" w:hRule="atLeast"/>
        </w:trPr>
        <w:tc>
          <w:tcPr>
            <w:tcW w:w="998" w:type="dxa"/>
          </w:tcPr>
          <w:p>
            <w:pPr>
              <w:pStyle w:val="TableParagraph"/>
              <w:spacing w:line="257" w:lineRule="exact" w:before="5"/>
              <w:ind w:left="60" w:right="48"/>
              <w:rPr>
                <w:sz w:val="21"/>
              </w:rPr>
            </w:pPr>
            <w:r>
              <w:rPr>
                <w:sz w:val="21"/>
              </w:rPr>
              <w:t>环境空气</w:t>
            </w:r>
          </w:p>
        </w:tc>
        <w:tc>
          <w:tcPr>
            <w:tcW w:w="3113" w:type="dxa"/>
          </w:tcPr>
          <w:p>
            <w:pPr>
              <w:pStyle w:val="TableParagraph"/>
              <w:spacing w:line="257" w:lineRule="exact" w:before="5"/>
              <w:ind w:left="908" w:right="895"/>
              <w:rPr>
                <w:sz w:val="21"/>
              </w:rPr>
            </w:pPr>
            <w:r>
              <w:rPr>
                <w:sz w:val="21"/>
              </w:rPr>
              <w:t>颗粒物、甲酸</w:t>
            </w:r>
          </w:p>
        </w:tc>
        <w:tc>
          <w:tcPr>
            <w:tcW w:w="4232" w:type="dxa"/>
            <w:gridSpan w:val="3"/>
          </w:tcPr>
          <w:p>
            <w:pPr>
              <w:pStyle w:val="TableParagraph"/>
              <w:spacing w:line="257" w:lineRule="exact" w:before="5"/>
              <w:ind w:left="960"/>
              <w:jc w:val="left"/>
              <w:rPr>
                <w:sz w:val="21"/>
              </w:rPr>
            </w:pPr>
            <w:r>
              <w:rPr>
                <w:sz w:val="21"/>
              </w:rPr>
              <w:t>厂界主导风向下风向 </w:t>
            </w:r>
            <w:r>
              <w:rPr>
                <w:rFonts w:ascii="Times New Roman" w:eastAsia="Times New Roman"/>
                <w:sz w:val="21"/>
              </w:rPr>
              <w:t>1 </w:t>
            </w:r>
            <w:r>
              <w:rPr>
                <w:sz w:val="21"/>
              </w:rPr>
              <w:t>个</w:t>
            </w:r>
          </w:p>
        </w:tc>
        <w:tc>
          <w:tcPr>
            <w:tcW w:w="737" w:type="dxa"/>
          </w:tcPr>
          <w:p>
            <w:pPr>
              <w:pStyle w:val="TableParagraph"/>
              <w:spacing w:line="257" w:lineRule="exact" w:before="5"/>
              <w:ind w:left="8"/>
              <w:rPr>
                <w:sz w:val="21"/>
              </w:rPr>
            </w:pPr>
            <w:r>
              <w:rPr>
                <w:w w:val="100"/>
                <w:sz w:val="21"/>
              </w:rPr>
              <w:t>年</w:t>
            </w:r>
          </w:p>
        </w:tc>
      </w:tr>
      <w:tr>
        <w:trPr>
          <w:trHeight w:val="285" w:hRule="atLeast"/>
        </w:trPr>
        <w:tc>
          <w:tcPr>
            <w:tcW w:w="998" w:type="dxa"/>
            <w:vMerge w:val="restart"/>
          </w:tcPr>
          <w:p>
            <w:pPr>
              <w:pStyle w:val="TableParagraph"/>
              <w:spacing w:before="6"/>
              <w:jc w:val="left"/>
              <w:rPr>
                <w:b/>
                <w:sz w:val="23"/>
              </w:rPr>
            </w:pPr>
          </w:p>
          <w:p>
            <w:pPr>
              <w:pStyle w:val="TableParagraph"/>
              <w:ind w:left="287"/>
              <w:jc w:val="left"/>
              <w:rPr>
                <w:sz w:val="21"/>
              </w:rPr>
            </w:pPr>
            <w:r>
              <w:rPr>
                <w:sz w:val="21"/>
              </w:rPr>
              <w:t>土壤</w:t>
            </w:r>
          </w:p>
        </w:tc>
        <w:tc>
          <w:tcPr>
            <w:tcW w:w="3113" w:type="dxa"/>
            <w:vMerge w:val="restart"/>
          </w:tcPr>
          <w:p>
            <w:pPr>
              <w:pStyle w:val="TableParagraph"/>
              <w:spacing w:line="242" w:lineRule="auto" w:before="30"/>
              <w:ind w:left="4" w:right="41"/>
              <w:jc w:val="left"/>
              <w:rPr>
                <w:sz w:val="21"/>
              </w:rPr>
            </w:pPr>
            <w:r>
              <w:rPr>
                <w:spacing w:val="-23"/>
                <w:w w:val="100"/>
                <w:sz w:val="21"/>
              </w:rPr>
              <w:t>初次检测：</w:t>
            </w:r>
            <w:r>
              <w:rPr>
                <w:rFonts w:ascii="Times New Roman" w:eastAsia="Times New Roman"/>
                <w:spacing w:val="-2"/>
                <w:w w:val="100"/>
                <w:sz w:val="21"/>
              </w:rPr>
              <w:t>G</w:t>
            </w:r>
            <w:r>
              <w:rPr>
                <w:rFonts w:ascii="Times New Roman" w:eastAsia="Times New Roman"/>
                <w:w w:val="100"/>
                <w:sz w:val="21"/>
              </w:rPr>
              <w:t>B36</w:t>
            </w:r>
            <w:r>
              <w:rPr>
                <w:rFonts w:ascii="Times New Roman" w:eastAsia="Times New Roman"/>
                <w:spacing w:val="-3"/>
                <w:w w:val="100"/>
                <w:sz w:val="21"/>
              </w:rPr>
              <w:t>6</w:t>
            </w:r>
            <w:r>
              <w:rPr>
                <w:rFonts w:ascii="Times New Roman" w:eastAsia="Times New Roman"/>
                <w:w w:val="100"/>
                <w:sz w:val="21"/>
              </w:rPr>
              <w:t>00</w:t>
            </w:r>
            <w:r>
              <w:rPr>
                <w:rFonts w:ascii="Times New Roman" w:eastAsia="Times New Roman"/>
                <w:sz w:val="21"/>
              </w:rPr>
              <w:t> </w:t>
            </w:r>
            <w:r>
              <w:rPr>
                <w:spacing w:val="26"/>
                <w:w w:val="100"/>
                <w:sz w:val="21"/>
              </w:rPr>
              <w:t>表</w:t>
            </w:r>
            <w:r>
              <w:rPr>
                <w:rFonts w:ascii="Times New Roman" w:eastAsia="Times New Roman"/>
                <w:w w:val="100"/>
                <w:sz w:val="21"/>
              </w:rPr>
              <w:t>1</w:t>
            </w:r>
            <w:r>
              <w:rPr>
                <w:rFonts w:ascii="Times New Roman" w:eastAsia="Times New Roman"/>
                <w:sz w:val="21"/>
              </w:rPr>
              <w:t> </w:t>
            </w:r>
            <w:r>
              <w:rPr>
                <w:spacing w:val="-5"/>
                <w:w w:val="100"/>
                <w:sz w:val="21"/>
              </w:rPr>
              <w:t>基本项目</w:t>
            </w:r>
            <w:r>
              <w:rPr>
                <w:sz w:val="21"/>
              </w:rPr>
              <w:t>甲酸</w:t>
            </w:r>
          </w:p>
          <w:p>
            <w:pPr>
              <w:pStyle w:val="TableParagraph"/>
              <w:spacing w:before="1"/>
              <w:ind w:left="4"/>
              <w:jc w:val="left"/>
              <w:rPr>
                <w:sz w:val="21"/>
              </w:rPr>
            </w:pPr>
            <w:r>
              <w:rPr>
                <w:sz w:val="21"/>
              </w:rPr>
              <w:t>后续检测：</w:t>
            </w:r>
            <w:r>
              <w:rPr>
                <w:rFonts w:ascii="Times New Roman" w:eastAsia="Times New Roman"/>
                <w:sz w:val="21"/>
              </w:rPr>
              <w:t>pH</w:t>
            </w:r>
            <w:r>
              <w:rPr>
                <w:sz w:val="21"/>
              </w:rPr>
              <w:t>、甲酸</w:t>
            </w:r>
          </w:p>
        </w:tc>
        <w:tc>
          <w:tcPr>
            <w:tcW w:w="996" w:type="dxa"/>
            <w:vMerge w:val="restart"/>
          </w:tcPr>
          <w:p>
            <w:pPr>
              <w:pStyle w:val="TableParagraph"/>
              <w:spacing w:before="154"/>
              <w:ind w:left="77"/>
              <w:jc w:val="left"/>
              <w:rPr>
                <w:sz w:val="21"/>
              </w:rPr>
            </w:pPr>
            <w:r>
              <w:rPr>
                <w:sz w:val="21"/>
              </w:rPr>
              <w:t>一类单元</w:t>
            </w:r>
          </w:p>
        </w:tc>
        <w:tc>
          <w:tcPr>
            <w:tcW w:w="2266" w:type="dxa"/>
            <w:vMerge w:val="restart"/>
          </w:tcPr>
          <w:p>
            <w:pPr>
              <w:pStyle w:val="TableParagraph"/>
              <w:spacing w:before="154"/>
              <w:ind w:left="82"/>
              <w:jc w:val="left"/>
              <w:rPr>
                <w:sz w:val="21"/>
              </w:rPr>
            </w:pPr>
            <w:r>
              <w:rPr>
                <w:sz w:val="21"/>
              </w:rPr>
              <w:t>储罐区、污水处理区域</w:t>
            </w:r>
          </w:p>
        </w:tc>
        <w:tc>
          <w:tcPr>
            <w:tcW w:w="970" w:type="dxa"/>
          </w:tcPr>
          <w:p>
            <w:pPr>
              <w:pStyle w:val="TableParagraph"/>
              <w:spacing w:line="257" w:lineRule="exact" w:before="8"/>
              <w:ind w:left="72" w:right="59"/>
              <w:rPr>
                <w:sz w:val="21"/>
              </w:rPr>
            </w:pPr>
            <w:r>
              <w:rPr>
                <w:rFonts w:ascii="Times New Roman" w:eastAsia="Times New Roman"/>
                <w:sz w:val="21"/>
              </w:rPr>
              <w:t>1 </w:t>
            </w:r>
            <w:r>
              <w:rPr>
                <w:sz w:val="21"/>
              </w:rPr>
              <w:t>个深层</w:t>
            </w:r>
          </w:p>
        </w:tc>
        <w:tc>
          <w:tcPr>
            <w:tcW w:w="737" w:type="dxa"/>
          </w:tcPr>
          <w:p>
            <w:pPr>
              <w:pStyle w:val="TableParagraph"/>
              <w:spacing w:line="257" w:lineRule="exact" w:before="8"/>
              <w:ind w:left="134" w:right="121"/>
              <w:rPr>
                <w:sz w:val="21"/>
              </w:rPr>
            </w:pPr>
            <w:r>
              <w:rPr>
                <w:rFonts w:ascii="Times New Roman" w:eastAsia="Times New Roman"/>
                <w:sz w:val="21"/>
              </w:rPr>
              <w:t>3 </w:t>
            </w:r>
            <w:r>
              <w:rPr>
                <w:sz w:val="21"/>
              </w:rPr>
              <w:t>年</w:t>
            </w:r>
          </w:p>
        </w:tc>
      </w:tr>
      <w:tr>
        <w:trPr>
          <w:trHeight w:val="282" w:hRule="atLeast"/>
        </w:trPr>
        <w:tc>
          <w:tcPr>
            <w:tcW w:w="998" w:type="dxa"/>
            <w:vMerge/>
            <w:tcBorders>
              <w:top w:val="nil"/>
            </w:tcBorders>
          </w:tcPr>
          <w:p>
            <w:pPr>
              <w:rPr>
                <w:sz w:val="2"/>
                <w:szCs w:val="2"/>
              </w:rPr>
            </w:pPr>
          </w:p>
        </w:tc>
        <w:tc>
          <w:tcPr>
            <w:tcW w:w="3113" w:type="dxa"/>
            <w:vMerge/>
            <w:tcBorders>
              <w:top w:val="nil"/>
            </w:tcBorders>
          </w:tcPr>
          <w:p>
            <w:pPr>
              <w:rPr>
                <w:sz w:val="2"/>
                <w:szCs w:val="2"/>
              </w:rPr>
            </w:pPr>
          </w:p>
        </w:tc>
        <w:tc>
          <w:tcPr>
            <w:tcW w:w="996" w:type="dxa"/>
            <w:vMerge/>
            <w:tcBorders>
              <w:top w:val="nil"/>
            </w:tcBorders>
          </w:tcPr>
          <w:p>
            <w:pPr>
              <w:rPr>
                <w:sz w:val="2"/>
                <w:szCs w:val="2"/>
              </w:rPr>
            </w:pPr>
          </w:p>
        </w:tc>
        <w:tc>
          <w:tcPr>
            <w:tcW w:w="2266" w:type="dxa"/>
            <w:vMerge/>
            <w:tcBorders>
              <w:top w:val="nil"/>
            </w:tcBorders>
          </w:tcPr>
          <w:p>
            <w:pPr>
              <w:rPr>
                <w:sz w:val="2"/>
                <w:szCs w:val="2"/>
              </w:rPr>
            </w:pPr>
          </w:p>
        </w:tc>
        <w:tc>
          <w:tcPr>
            <w:tcW w:w="970" w:type="dxa"/>
          </w:tcPr>
          <w:p>
            <w:pPr>
              <w:pStyle w:val="TableParagraph"/>
              <w:spacing w:line="257" w:lineRule="exact" w:before="5"/>
              <w:ind w:left="72" w:right="59"/>
              <w:rPr>
                <w:sz w:val="21"/>
              </w:rPr>
            </w:pPr>
            <w:r>
              <w:rPr>
                <w:rFonts w:ascii="Times New Roman" w:eastAsia="Times New Roman"/>
                <w:sz w:val="21"/>
              </w:rPr>
              <w:t>1 </w:t>
            </w:r>
            <w:r>
              <w:rPr>
                <w:sz w:val="21"/>
              </w:rPr>
              <w:t>个表层</w:t>
            </w:r>
          </w:p>
        </w:tc>
        <w:tc>
          <w:tcPr>
            <w:tcW w:w="737" w:type="dxa"/>
          </w:tcPr>
          <w:p>
            <w:pPr>
              <w:pStyle w:val="TableParagraph"/>
              <w:spacing w:line="257" w:lineRule="exact" w:before="5"/>
              <w:ind w:left="8"/>
              <w:rPr>
                <w:sz w:val="21"/>
              </w:rPr>
            </w:pPr>
            <w:r>
              <w:rPr>
                <w:w w:val="100"/>
                <w:sz w:val="21"/>
              </w:rPr>
              <w:t>年</w:t>
            </w:r>
          </w:p>
        </w:tc>
      </w:tr>
      <w:tr>
        <w:trPr>
          <w:trHeight w:val="285" w:hRule="atLeast"/>
        </w:trPr>
        <w:tc>
          <w:tcPr>
            <w:tcW w:w="998" w:type="dxa"/>
            <w:vMerge/>
            <w:tcBorders>
              <w:top w:val="nil"/>
            </w:tcBorders>
          </w:tcPr>
          <w:p>
            <w:pPr>
              <w:rPr>
                <w:sz w:val="2"/>
                <w:szCs w:val="2"/>
              </w:rPr>
            </w:pPr>
          </w:p>
        </w:tc>
        <w:tc>
          <w:tcPr>
            <w:tcW w:w="3113" w:type="dxa"/>
            <w:vMerge/>
            <w:tcBorders>
              <w:top w:val="nil"/>
            </w:tcBorders>
          </w:tcPr>
          <w:p>
            <w:pPr>
              <w:rPr>
                <w:sz w:val="2"/>
                <w:szCs w:val="2"/>
              </w:rPr>
            </w:pPr>
          </w:p>
        </w:tc>
        <w:tc>
          <w:tcPr>
            <w:tcW w:w="996" w:type="dxa"/>
          </w:tcPr>
          <w:p>
            <w:pPr>
              <w:pStyle w:val="TableParagraph"/>
              <w:spacing w:line="257" w:lineRule="exact" w:before="8"/>
              <w:ind w:left="55" w:right="44"/>
              <w:rPr>
                <w:sz w:val="21"/>
              </w:rPr>
            </w:pPr>
            <w:r>
              <w:rPr>
                <w:sz w:val="21"/>
              </w:rPr>
              <w:t>二类单元</w:t>
            </w:r>
          </w:p>
        </w:tc>
        <w:tc>
          <w:tcPr>
            <w:tcW w:w="2266" w:type="dxa"/>
          </w:tcPr>
          <w:p>
            <w:pPr>
              <w:pStyle w:val="TableParagraph"/>
              <w:spacing w:line="257" w:lineRule="exact" w:before="8"/>
              <w:ind w:left="798" w:right="787"/>
              <w:rPr>
                <w:sz w:val="21"/>
              </w:rPr>
            </w:pPr>
            <w:r>
              <w:rPr>
                <w:sz w:val="21"/>
              </w:rPr>
              <w:t>车间一</w:t>
            </w:r>
          </w:p>
        </w:tc>
        <w:tc>
          <w:tcPr>
            <w:tcW w:w="970" w:type="dxa"/>
          </w:tcPr>
          <w:p>
            <w:pPr>
              <w:pStyle w:val="TableParagraph"/>
              <w:spacing w:line="257" w:lineRule="exact" w:before="8"/>
              <w:ind w:left="72" w:right="59"/>
              <w:rPr>
                <w:sz w:val="21"/>
              </w:rPr>
            </w:pPr>
            <w:r>
              <w:rPr>
                <w:rFonts w:ascii="Times New Roman" w:eastAsia="Times New Roman"/>
                <w:sz w:val="21"/>
              </w:rPr>
              <w:t>1 </w:t>
            </w:r>
            <w:r>
              <w:rPr>
                <w:sz w:val="21"/>
              </w:rPr>
              <w:t>个表层</w:t>
            </w:r>
          </w:p>
        </w:tc>
        <w:tc>
          <w:tcPr>
            <w:tcW w:w="737" w:type="dxa"/>
          </w:tcPr>
          <w:p>
            <w:pPr>
              <w:pStyle w:val="TableParagraph"/>
              <w:spacing w:line="257" w:lineRule="exact" w:before="8"/>
              <w:ind w:left="8"/>
              <w:rPr>
                <w:sz w:val="21"/>
              </w:rPr>
            </w:pPr>
            <w:r>
              <w:rPr>
                <w:w w:val="100"/>
                <w:sz w:val="21"/>
              </w:rPr>
              <w:t>年</w:t>
            </w:r>
          </w:p>
        </w:tc>
      </w:tr>
      <w:tr>
        <w:trPr>
          <w:trHeight w:val="282" w:hRule="atLeast"/>
        </w:trPr>
        <w:tc>
          <w:tcPr>
            <w:tcW w:w="998" w:type="dxa"/>
            <w:vMerge w:val="restart"/>
          </w:tcPr>
          <w:p>
            <w:pPr>
              <w:pStyle w:val="TableParagraph"/>
              <w:spacing w:before="6"/>
              <w:jc w:val="left"/>
              <w:rPr>
                <w:b/>
                <w:sz w:val="23"/>
              </w:rPr>
            </w:pPr>
          </w:p>
          <w:p>
            <w:pPr>
              <w:pStyle w:val="TableParagraph"/>
              <w:ind w:left="182"/>
              <w:jc w:val="left"/>
              <w:rPr>
                <w:sz w:val="21"/>
              </w:rPr>
            </w:pPr>
            <w:r>
              <w:rPr>
                <w:sz w:val="21"/>
              </w:rPr>
              <w:t>地下水</w:t>
            </w:r>
          </w:p>
        </w:tc>
        <w:tc>
          <w:tcPr>
            <w:tcW w:w="3113" w:type="dxa"/>
            <w:vMerge w:val="restart"/>
          </w:tcPr>
          <w:p>
            <w:pPr>
              <w:pStyle w:val="TableParagraph"/>
              <w:spacing w:line="242" w:lineRule="auto" w:before="17"/>
              <w:ind w:left="4" w:right="-15"/>
              <w:jc w:val="left"/>
              <w:rPr>
                <w:sz w:val="21"/>
              </w:rPr>
            </w:pPr>
            <w:r>
              <w:rPr>
                <w:spacing w:val="-5"/>
                <w:sz w:val="21"/>
              </w:rPr>
              <w:t>初次检测：</w:t>
            </w:r>
            <w:r>
              <w:rPr>
                <w:rFonts w:ascii="Times New Roman" w:eastAsia="Times New Roman"/>
                <w:spacing w:val="-18"/>
                <w:sz w:val="21"/>
              </w:rPr>
              <w:t>GB/T</w:t>
            </w:r>
            <w:r>
              <w:rPr>
                <w:rFonts w:ascii="Times New Roman" w:eastAsia="Times New Roman"/>
                <w:spacing w:val="4"/>
                <w:sz w:val="21"/>
              </w:rPr>
              <w:t> </w:t>
            </w:r>
            <w:r>
              <w:rPr>
                <w:spacing w:val="-23"/>
                <w:sz w:val="21"/>
              </w:rPr>
              <w:t>表 </w:t>
            </w:r>
            <w:r>
              <w:rPr>
                <w:rFonts w:ascii="Times New Roman" w:eastAsia="Times New Roman"/>
                <w:sz w:val="21"/>
              </w:rPr>
              <w:t>1</w:t>
            </w:r>
            <w:r>
              <w:rPr>
                <w:rFonts w:ascii="Times New Roman" w:eastAsia="Times New Roman"/>
                <w:spacing w:val="3"/>
                <w:sz w:val="21"/>
              </w:rPr>
              <w:t> </w:t>
            </w:r>
            <w:r>
              <w:rPr>
                <w:spacing w:val="-22"/>
                <w:sz w:val="21"/>
              </w:rPr>
              <w:t>常规指标</w:t>
            </w:r>
            <w:r>
              <w:rPr>
                <w:spacing w:val="-3"/>
                <w:sz w:val="21"/>
              </w:rPr>
              <w:t>（</w:t>
            </w:r>
            <w:r>
              <w:rPr>
                <w:sz w:val="21"/>
              </w:rPr>
              <w:t>微</w:t>
            </w:r>
            <w:r>
              <w:rPr>
                <w:spacing w:val="-3"/>
                <w:sz w:val="21"/>
              </w:rPr>
              <w:t>生物指标、放射性指标除外</w:t>
            </w:r>
            <w:r>
              <w:rPr>
                <w:sz w:val="21"/>
              </w:rPr>
              <w:t>）</w:t>
            </w:r>
          </w:p>
          <w:p>
            <w:pPr>
              <w:pStyle w:val="TableParagraph"/>
              <w:spacing w:line="289" w:lineRule="exact"/>
              <w:ind w:left="4"/>
              <w:jc w:val="left"/>
              <w:rPr>
                <w:sz w:val="21"/>
              </w:rPr>
            </w:pPr>
            <w:r>
              <w:rPr>
                <w:sz w:val="21"/>
              </w:rPr>
              <w:t>后续检测</w:t>
            </w:r>
            <w:r>
              <w:rPr>
                <w:rFonts w:ascii="等线" w:eastAsia="等线" w:hint="eastAsia"/>
                <w:sz w:val="21"/>
              </w:rPr>
              <w:t>：</w:t>
            </w:r>
            <w:r>
              <w:rPr>
                <w:rFonts w:ascii="Times New Roman" w:eastAsia="Times New Roman"/>
                <w:sz w:val="21"/>
              </w:rPr>
              <w:t>pH</w:t>
            </w:r>
            <w:r>
              <w:rPr>
                <w:sz w:val="21"/>
              </w:rPr>
              <w:t>、耗氧量、氨氮</w:t>
            </w:r>
          </w:p>
        </w:tc>
        <w:tc>
          <w:tcPr>
            <w:tcW w:w="996" w:type="dxa"/>
          </w:tcPr>
          <w:p>
            <w:pPr>
              <w:pStyle w:val="TableParagraph"/>
              <w:spacing w:line="257" w:lineRule="exact" w:before="5"/>
              <w:ind w:left="55" w:right="44"/>
              <w:rPr>
                <w:sz w:val="21"/>
              </w:rPr>
            </w:pPr>
            <w:r>
              <w:rPr>
                <w:sz w:val="21"/>
              </w:rPr>
              <w:t>一类单元</w:t>
            </w:r>
          </w:p>
        </w:tc>
        <w:tc>
          <w:tcPr>
            <w:tcW w:w="3236" w:type="dxa"/>
            <w:gridSpan w:val="2"/>
          </w:tcPr>
          <w:p>
            <w:pPr>
              <w:pStyle w:val="TableParagraph"/>
              <w:spacing w:line="257" w:lineRule="exact" w:before="5"/>
              <w:ind w:left="567"/>
              <w:jc w:val="left"/>
              <w:rPr>
                <w:sz w:val="21"/>
              </w:rPr>
            </w:pPr>
            <w:r>
              <w:rPr>
                <w:sz w:val="21"/>
              </w:rPr>
              <w:t>储罐区、污水处理区域</w:t>
            </w:r>
          </w:p>
        </w:tc>
        <w:tc>
          <w:tcPr>
            <w:tcW w:w="737" w:type="dxa"/>
          </w:tcPr>
          <w:p>
            <w:pPr>
              <w:pStyle w:val="TableParagraph"/>
              <w:spacing w:line="257" w:lineRule="exact" w:before="5"/>
              <w:ind w:left="134" w:right="121"/>
              <w:rPr>
                <w:sz w:val="21"/>
              </w:rPr>
            </w:pPr>
            <w:r>
              <w:rPr>
                <w:sz w:val="21"/>
              </w:rPr>
              <w:t>半年</w:t>
            </w:r>
          </w:p>
        </w:tc>
      </w:tr>
      <w:tr>
        <w:trPr>
          <w:trHeight w:val="285" w:hRule="atLeast"/>
        </w:trPr>
        <w:tc>
          <w:tcPr>
            <w:tcW w:w="998" w:type="dxa"/>
            <w:vMerge/>
            <w:tcBorders>
              <w:top w:val="nil"/>
            </w:tcBorders>
          </w:tcPr>
          <w:p>
            <w:pPr>
              <w:rPr>
                <w:sz w:val="2"/>
                <w:szCs w:val="2"/>
              </w:rPr>
            </w:pPr>
          </w:p>
        </w:tc>
        <w:tc>
          <w:tcPr>
            <w:tcW w:w="3113" w:type="dxa"/>
            <w:vMerge/>
            <w:tcBorders>
              <w:top w:val="nil"/>
            </w:tcBorders>
          </w:tcPr>
          <w:p>
            <w:pPr>
              <w:rPr>
                <w:sz w:val="2"/>
                <w:szCs w:val="2"/>
              </w:rPr>
            </w:pPr>
          </w:p>
        </w:tc>
        <w:tc>
          <w:tcPr>
            <w:tcW w:w="996" w:type="dxa"/>
          </w:tcPr>
          <w:p>
            <w:pPr>
              <w:pStyle w:val="TableParagraph"/>
              <w:spacing w:line="257" w:lineRule="exact" w:before="8"/>
              <w:ind w:left="55" w:right="44"/>
              <w:rPr>
                <w:sz w:val="21"/>
              </w:rPr>
            </w:pPr>
            <w:r>
              <w:rPr>
                <w:sz w:val="21"/>
              </w:rPr>
              <w:t>二类单元</w:t>
            </w:r>
          </w:p>
        </w:tc>
        <w:tc>
          <w:tcPr>
            <w:tcW w:w="3236" w:type="dxa"/>
            <w:gridSpan w:val="2"/>
          </w:tcPr>
          <w:p>
            <w:pPr>
              <w:pStyle w:val="TableParagraph"/>
              <w:spacing w:line="257" w:lineRule="exact" w:before="8"/>
              <w:ind w:left="1283" w:right="1272"/>
              <w:rPr>
                <w:sz w:val="21"/>
              </w:rPr>
            </w:pPr>
            <w:r>
              <w:rPr>
                <w:sz w:val="21"/>
              </w:rPr>
              <w:t>车间一</w:t>
            </w:r>
          </w:p>
        </w:tc>
        <w:tc>
          <w:tcPr>
            <w:tcW w:w="737" w:type="dxa"/>
          </w:tcPr>
          <w:p>
            <w:pPr>
              <w:pStyle w:val="TableParagraph"/>
              <w:spacing w:line="257" w:lineRule="exact" w:before="8"/>
              <w:ind w:left="8"/>
              <w:rPr>
                <w:sz w:val="21"/>
              </w:rPr>
            </w:pPr>
            <w:r>
              <w:rPr>
                <w:w w:val="100"/>
                <w:sz w:val="21"/>
              </w:rPr>
              <w:t>年</w:t>
            </w:r>
          </w:p>
        </w:tc>
      </w:tr>
      <w:tr>
        <w:trPr>
          <w:trHeight w:val="282" w:hRule="atLeast"/>
        </w:trPr>
        <w:tc>
          <w:tcPr>
            <w:tcW w:w="998" w:type="dxa"/>
            <w:vMerge/>
            <w:tcBorders>
              <w:top w:val="nil"/>
            </w:tcBorders>
          </w:tcPr>
          <w:p>
            <w:pPr>
              <w:rPr>
                <w:sz w:val="2"/>
                <w:szCs w:val="2"/>
              </w:rPr>
            </w:pPr>
          </w:p>
        </w:tc>
        <w:tc>
          <w:tcPr>
            <w:tcW w:w="3113" w:type="dxa"/>
            <w:vMerge/>
            <w:tcBorders>
              <w:top w:val="nil"/>
            </w:tcBorders>
          </w:tcPr>
          <w:p>
            <w:pPr>
              <w:rPr>
                <w:sz w:val="2"/>
                <w:szCs w:val="2"/>
              </w:rPr>
            </w:pPr>
          </w:p>
        </w:tc>
        <w:tc>
          <w:tcPr>
            <w:tcW w:w="996" w:type="dxa"/>
          </w:tcPr>
          <w:p>
            <w:pPr>
              <w:pStyle w:val="TableParagraph"/>
              <w:spacing w:line="257" w:lineRule="exact" w:before="6"/>
              <w:ind w:left="55" w:right="42"/>
              <w:rPr>
                <w:sz w:val="21"/>
              </w:rPr>
            </w:pPr>
            <w:r>
              <w:rPr>
                <w:sz w:val="21"/>
              </w:rPr>
              <w:t>对照点</w:t>
            </w:r>
          </w:p>
        </w:tc>
        <w:tc>
          <w:tcPr>
            <w:tcW w:w="3236" w:type="dxa"/>
            <w:gridSpan w:val="2"/>
          </w:tcPr>
          <w:p>
            <w:pPr>
              <w:pStyle w:val="TableParagraph"/>
              <w:spacing w:line="257" w:lineRule="exact" w:before="6"/>
              <w:ind w:left="1283" w:right="1272"/>
              <w:rPr>
                <w:sz w:val="21"/>
              </w:rPr>
            </w:pPr>
            <w:r>
              <w:rPr>
                <w:sz w:val="21"/>
              </w:rPr>
              <w:t>珠海村</w:t>
            </w:r>
          </w:p>
        </w:tc>
        <w:tc>
          <w:tcPr>
            <w:tcW w:w="737" w:type="dxa"/>
          </w:tcPr>
          <w:p>
            <w:pPr>
              <w:pStyle w:val="TableParagraph"/>
              <w:spacing w:line="257" w:lineRule="exact" w:before="6"/>
              <w:ind w:left="134" w:right="121"/>
              <w:rPr>
                <w:sz w:val="21"/>
              </w:rPr>
            </w:pPr>
            <w:r>
              <w:rPr>
                <w:sz w:val="21"/>
              </w:rPr>
              <w:t>半年</w:t>
            </w:r>
          </w:p>
        </w:tc>
      </w:tr>
    </w:tbl>
    <w:p>
      <w:pPr>
        <w:spacing w:after="0" w:line="257" w:lineRule="exact"/>
        <w:rPr>
          <w:sz w:val="21"/>
        </w:rPr>
        <w:sectPr>
          <w:footerReference w:type="default" r:id="rId178"/>
          <w:pgSz w:w="11910" w:h="16840"/>
          <w:pgMar w:footer="873" w:header="872" w:top="1320" w:bottom="1060" w:left="1200" w:right="1180"/>
          <w:pgNumType w:start="251"/>
        </w:sectPr>
      </w:pPr>
    </w:p>
    <w:p>
      <w:pPr>
        <w:pStyle w:val="ListParagraph"/>
        <w:numPr>
          <w:ilvl w:val="2"/>
          <w:numId w:val="23"/>
        </w:numPr>
        <w:tabs>
          <w:tab w:pos="879" w:val="left" w:leader="none"/>
        </w:tabs>
        <w:spacing w:line="240" w:lineRule="auto" w:before="84" w:after="0"/>
        <w:ind w:left="878" w:right="0" w:hanging="661"/>
        <w:jc w:val="left"/>
        <w:rPr>
          <w:b/>
          <w:sz w:val="24"/>
        </w:rPr>
      </w:pPr>
      <w:r>
        <w:rPr>
          <w:b/>
          <w:sz w:val="24"/>
        </w:rPr>
        <w:t>监测台账记录</w:t>
      </w:r>
    </w:p>
    <w:p>
      <w:pPr>
        <w:pStyle w:val="BodyText"/>
        <w:spacing w:line="364" w:lineRule="auto" w:before="159"/>
        <w:ind w:left="218" w:right="180" w:firstLine="480"/>
      </w:pPr>
      <w:r>
        <w:rPr/>
        <w:t>对于企业自测、委托监测及环保局例行监测等各种监测项目均应建立台账记录，以满足企业自查及环保监管的需要。</w:t>
      </w:r>
    </w:p>
    <w:p>
      <w:pPr>
        <w:spacing w:after="0" w:line="364" w:lineRule="auto"/>
        <w:sectPr>
          <w:pgSz w:w="11910" w:h="16840"/>
          <w:pgMar w:header="872" w:footer="873" w:top="1320" w:bottom="1060" w:left="1200" w:right="1180"/>
        </w:sectPr>
      </w:pPr>
    </w:p>
    <w:p>
      <w:pPr>
        <w:pStyle w:val="Heading1"/>
        <w:numPr>
          <w:ilvl w:val="0"/>
          <w:numId w:val="23"/>
        </w:numPr>
        <w:tabs>
          <w:tab w:pos="685" w:val="left" w:leader="none"/>
        </w:tabs>
        <w:spacing w:line="240" w:lineRule="auto" w:before="83" w:after="0"/>
        <w:ind w:left="684" w:right="0" w:hanging="467"/>
        <w:jc w:val="left"/>
        <w:rPr>
          <w:rFonts w:ascii="Times New Roman" w:eastAsia="Times New Roman"/>
        </w:rPr>
      </w:pPr>
      <w:bookmarkStart w:name="_bookmark68" w:id="137"/>
      <w:bookmarkEnd w:id="137"/>
      <w:r>
        <w:rPr>
          <w:b w:val="0"/>
        </w:rPr>
      </w:r>
      <w:bookmarkStart w:name="_bookmark68" w:id="138"/>
      <w:bookmarkEnd w:id="138"/>
      <w:r>
        <w:rPr/>
        <w:t>环保审批原则符合性分析</w:t>
      </w:r>
    </w:p>
    <w:p>
      <w:pPr>
        <w:pStyle w:val="Heading3"/>
        <w:numPr>
          <w:ilvl w:val="1"/>
          <w:numId w:val="23"/>
        </w:numPr>
        <w:tabs>
          <w:tab w:pos="764" w:val="left" w:leader="none"/>
        </w:tabs>
        <w:spacing w:line="240" w:lineRule="auto" w:before="214" w:after="0"/>
        <w:ind w:left="763" w:right="0" w:hanging="546"/>
        <w:jc w:val="left"/>
      </w:pPr>
      <w:bookmarkStart w:name="_bookmark69" w:id="139"/>
      <w:bookmarkEnd w:id="139"/>
      <w:r>
        <w:rPr>
          <w:b w:val="0"/>
        </w:rPr>
      </w:r>
      <w:bookmarkStart w:name="_bookmark69" w:id="140"/>
      <w:bookmarkEnd w:id="140"/>
      <w:r>
        <w:rPr/>
        <w:t>建设项目环境保护管理条例</w:t>
      </w:r>
      <w:r>
        <w:rPr>
          <w:rFonts w:ascii="Times New Roman" w:hAnsi="Times New Roman" w:eastAsia="Times New Roman"/>
        </w:rPr>
        <w:t>“</w:t>
      </w:r>
      <w:r>
        <w:rPr/>
        <w:t>四性五不批</w:t>
      </w:r>
      <w:r>
        <w:rPr>
          <w:rFonts w:ascii="Times New Roman" w:hAnsi="Times New Roman" w:eastAsia="Times New Roman"/>
        </w:rPr>
        <w:t>”</w:t>
      </w:r>
      <w:r>
        <w:rPr/>
        <w:t>符合性分析</w:t>
      </w:r>
    </w:p>
    <w:p>
      <w:pPr>
        <w:pStyle w:val="BodyText"/>
        <w:spacing w:line="364" w:lineRule="auto" w:before="185"/>
        <w:ind w:left="218" w:right="238" w:firstLine="480"/>
      </w:pPr>
      <w:r>
        <w:rPr/>
        <w:t>根据《国务院关于修改〈建设项目环境保护管理条例〉的决定》</w:t>
      </w:r>
      <w:r>
        <w:rPr>
          <w:rFonts w:ascii="Times New Roman" w:eastAsia="Times New Roman"/>
        </w:rPr>
        <w:t>(</w:t>
      </w:r>
      <w:r>
        <w:rPr/>
        <w:t>中华人民共和国第 </w:t>
      </w:r>
      <w:r>
        <w:rPr>
          <w:rFonts w:ascii="Times New Roman" w:eastAsia="Times New Roman"/>
        </w:rPr>
        <w:t>682 </w:t>
      </w:r>
      <w:r>
        <w:rPr/>
        <w:t>号令</w:t>
      </w:r>
      <w:r>
        <w:rPr>
          <w:rFonts w:ascii="Times New Roman" w:eastAsia="Times New Roman"/>
        </w:rPr>
        <w:t>)</w:t>
      </w:r>
      <w:r>
        <w:rPr/>
        <w:t>：</w:t>
      </w:r>
    </w:p>
    <w:p>
      <w:pPr>
        <w:pStyle w:val="BodyText"/>
        <w:spacing w:line="364" w:lineRule="auto"/>
        <w:ind w:left="218" w:right="113" w:firstLine="482"/>
      </w:pPr>
      <w:r>
        <w:rPr>
          <w:b/>
          <w:spacing w:val="-5"/>
        </w:rPr>
        <w:t>第九条：</w:t>
      </w:r>
      <w:r>
        <w:rPr>
          <w:spacing w:val="-3"/>
        </w:rPr>
        <w:t>环境保护行政主管部门审批环境影响报告书、环境影响报告表，应当重点</w:t>
      </w:r>
      <w:r>
        <w:rPr>
          <w:spacing w:val="-14"/>
        </w:rPr>
        <w:t>审查建设项目的环境可行性、环境影响分析预测评估的可靠性、环境保护措施的有效性、</w:t>
      </w:r>
      <w:r>
        <w:rPr/>
        <w:t>环境影响评价结论的科学性等。</w:t>
      </w:r>
    </w:p>
    <w:p>
      <w:pPr>
        <w:pStyle w:val="BodyText"/>
        <w:spacing w:line="364" w:lineRule="auto"/>
        <w:ind w:left="218" w:right="230" w:firstLine="482"/>
      </w:pPr>
      <w:r>
        <w:rPr>
          <w:b/>
        </w:rPr>
        <w:t>第十一条：</w:t>
      </w:r>
      <w:r>
        <w:rPr>
          <w:rFonts w:ascii="Times New Roman" w:hAnsi="Times New Roman" w:eastAsia="Times New Roman"/>
        </w:rPr>
        <w:t>“</w:t>
      </w:r>
      <w:r>
        <w:rPr/>
        <w:t>建设项目有下列情形之一的，环境保护行政主管部门应当对环境影响报告书、环境影响报告表作出不予批准的决定：</w:t>
      </w:r>
    </w:p>
    <w:p>
      <w:pPr>
        <w:pStyle w:val="BodyText"/>
        <w:spacing w:line="362" w:lineRule="auto"/>
        <w:ind w:left="218" w:right="233" w:firstLine="480"/>
      </w:pPr>
      <w:r>
        <w:rPr>
          <w:rFonts w:ascii="Times New Roman" w:hAnsi="Times New Roman" w:eastAsia="Times New Roman"/>
        </w:rPr>
        <w:t>“</w:t>
      </w:r>
      <w:r>
        <w:rPr/>
        <w:t>（一）建设项目类型及其选址、布局、规模等不符合环境保护法律法规和相关法定规划；</w:t>
      </w:r>
    </w:p>
    <w:p>
      <w:pPr>
        <w:pStyle w:val="BodyText"/>
        <w:spacing w:line="362" w:lineRule="auto" w:before="3"/>
        <w:ind w:left="218" w:right="233" w:firstLine="480"/>
      </w:pPr>
      <w:r>
        <w:rPr>
          <w:rFonts w:ascii="Times New Roman" w:hAnsi="Times New Roman" w:eastAsia="Times New Roman"/>
        </w:rPr>
        <w:t>“</w:t>
      </w:r>
      <w:r>
        <w:rPr/>
        <w:t>（二）所在区域环境质量未达到国家或者地方环境质量标准，且建设项目拟采取的措施不能满足区域环境质量改善目标管理要求；</w:t>
      </w:r>
    </w:p>
    <w:p>
      <w:pPr>
        <w:pStyle w:val="BodyText"/>
        <w:spacing w:line="364" w:lineRule="auto" w:before="5"/>
        <w:ind w:left="218" w:right="234" w:firstLine="480"/>
      </w:pPr>
      <w:r>
        <w:rPr>
          <w:rFonts w:ascii="Times New Roman" w:hAnsi="Times New Roman" w:eastAsia="Times New Roman"/>
        </w:rPr>
        <w:t>“</w:t>
      </w:r>
      <w:r>
        <w:rPr/>
        <w:t>（三）建设项目采取的污染防治措施无法确保污染物排放达到国家和地方排放标准，或者未采取必要措施预防和控制生态破坏；</w:t>
      </w:r>
    </w:p>
    <w:p>
      <w:pPr>
        <w:pStyle w:val="BodyText"/>
        <w:spacing w:line="364" w:lineRule="auto"/>
        <w:ind w:left="218" w:right="233" w:firstLine="480"/>
      </w:pPr>
      <w:r>
        <w:rPr>
          <w:rFonts w:ascii="Times New Roman" w:hAnsi="Times New Roman" w:eastAsia="Times New Roman"/>
        </w:rPr>
        <w:t>“</w:t>
      </w:r>
      <w:r>
        <w:rPr/>
        <w:t>（四）改建、扩建和技术改造项目，未针对项目原有环境污染和生态破坏提出有效防治措施；</w:t>
      </w:r>
    </w:p>
    <w:p>
      <w:pPr>
        <w:pStyle w:val="BodyText"/>
        <w:spacing w:line="364" w:lineRule="auto"/>
        <w:ind w:left="218" w:right="234" w:firstLine="480"/>
        <w:rPr>
          <w:rFonts w:ascii="Times New Roman" w:hAnsi="Times New Roman" w:eastAsia="Times New Roman"/>
        </w:rPr>
      </w:pPr>
      <w:r>
        <w:rPr>
          <w:rFonts w:ascii="Times New Roman" w:hAnsi="Times New Roman" w:eastAsia="Times New Roman"/>
        </w:rPr>
        <w:t>“</w:t>
      </w:r>
      <w:r>
        <w:rPr/>
        <w:t>（五）建设项目的环境影响报告书、环境影响报告表的基础资料数据明显不实， 内容存在重大缺陷、遗漏，或者环境影响评价结论不明确、不合理。</w:t>
      </w:r>
      <w:r>
        <w:rPr>
          <w:rFonts w:ascii="Times New Roman" w:hAnsi="Times New Roman" w:eastAsia="Times New Roman"/>
        </w:rPr>
        <w:t>”</w:t>
      </w:r>
    </w:p>
    <w:p>
      <w:pPr>
        <w:pStyle w:val="BodyText"/>
        <w:spacing w:line="306" w:lineRule="exact"/>
        <w:ind w:left="698"/>
      </w:pPr>
      <w:r>
        <w:rPr/>
        <w:t>本次报告对上述内容进行分析，具体如下：</w:t>
      </w:r>
    </w:p>
    <w:p>
      <w:pPr>
        <w:pStyle w:val="Heading4"/>
        <w:numPr>
          <w:ilvl w:val="2"/>
          <w:numId w:val="23"/>
        </w:numPr>
        <w:tabs>
          <w:tab w:pos="865" w:val="left" w:leader="none"/>
        </w:tabs>
        <w:spacing w:line="240" w:lineRule="auto" w:before="158" w:after="0"/>
        <w:ind w:left="864" w:right="0" w:hanging="647"/>
        <w:jc w:val="left"/>
      </w:pPr>
      <w:r>
        <w:rPr/>
        <w:t>建设项目的环境可行性分析</w:t>
      </w:r>
    </w:p>
    <w:p>
      <w:pPr>
        <w:pStyle w:val="BodyText"/>
        <w:spacing w:before="158"/>
        <w:ind w:left="698"/>
      </w:pPr>
      <w:r>
        <w:rPr/>
        <w:t>本次环评主要从以下六个方面分析环境可行性：</w:t>
      </w:r>
    </w:p>
    <w:p>
      <w:pPr>
        <w:pStyle w:val="BodyText"/>
        <w:spacing w:before="161"/>
        <w:ind w:left="698"/>
      </w:pPr>
      <w:r>
        <w:rPr>
          <w:rFonts w:ascii="Times New Roman" w:hAnsi="Times New Roman" w:eastAsia="Times New Roman"/>
        </w:rPr>
        <w:t>1</w:t>
      </w:r>
      <w:r>
        <w:rPr/>
        <w:t>、绍兴市</w:t>
      </w:r>
      <w:r>
        <w:rPr>
          <w:rFonts w:ascii="Times New Roman" w:hAnsi="Times New Roman" w:eastAsia="Times New Roman"/>
        </w:rPr>
        <w:t>“</w:t>
      </w:r>
      <w:r>
        <w:rPr/>
        <w:t>三线一单</w:t>
      </w:r>
      <w:r>
        <w:rPr>
          <w:rFonts w:ascii="Times New Roman" w:hAnsi="Times New Roman" w:eastAsia="Times New Roman"/>
        </w:rPr>
        <w:t>”</w:t>
      </w:r>
      <w:r>
        <w:rPr/>
        <w:t>生态环境分区管控方案符合性</w:t>
      </w:r>
    </w:p>
    <w:p>
      <w:pPr>
        <w:spacing w:line="364" w:lineRule="auto" w:before="158"/>
        <w:ind w:left="218" w:right="197" w:firstLine="480"/>
        <w:jc w:val="both"/>
        <w:rPr>
          <w:b/>
          <w:sz w:val="24"/>
        </w:rPr>
      </w:pPr>
      <w:r>
        <w:rPr>
          <w:spacing w:val="-3"/>
          <w:sz w:val="24"/>
        </w:rPr>
        <w:t>根据《绍兴市</w:t>
      </w:r>
      <w:r>
        <w:rPr>
          <w:rFonts w:ascii="Times New Roman" w:hAnsi="Times New Roman" w:eastAsia="Times New Roman"/>
          <w:sz w:val="24"/>
        </w:rPr>
        <w:t>“</w:t>
      </w:r>
      <w:r>
        <w:rPr>
          <w:sz w:val="24"/>
        </w:rPr>
        <w:t>三线一单</w:t>
      </w:r>
      <w:r>
        <w:rPr>
          <w:rFonts w:ascii="Times New Roman" w:hAnsi="Times New Roman" w:eastAsia="Times New Roman"/>
          <w:sz w:val="24"/>
        </w:rPr>
        <w:t>”</w:t>
      </w:r>
      <w:r>
        <w:rPr>
          <w:spacing w:val="-2"/>
          <w:sz w:val="24"/>
        </w:rPr>
        <w:t>生态环境分区管控方案》，项目所在区域属于重点管控单</w:t>
      </w:r>
      <w:r>
        <w:rPr>
          <w:spacing w:val="36"/>
          <w:sz w:val="24"/>
        </w:rPr>
        <w:t>元（产业集聚</w:t>
      </w:r>
      <w:r>
        <w:rPr>
          <w:sz w:val="24"/>
        </w:rPr>
        <w:t>）</w:t>
      </w:r>
      <w:r>
        <w:rPr>
          <w:spacing w:val="-85"/>
          <w:sz w:val="24"/>
        </w:rPr>
        <w:t> </w:t>
      </w:r>
      <w:r>
        <w:rPr>
          <w:rFonts w:ascii="Times New Roman" w:hAnsi="Times New Roman" w:eastAsia="Times New Roman"/>
          <w:spacing w:val="-12"/>
          <w:sz w:val="24"/>
        </w:rPr>
        <w:t>— </w:t>
      </w:r>
      <w:r>
        <w:rPr>
          <w:spacing w:val="36"/>
          <w:sz w:val="24"/>
        </w:rPr>
        <w:t>上虞区杭州湾经济开发区产业集聚重点管控单元（</w:t>
      </w:r>
      <w:r>
        <w:rPr>
          <w:spacing w:val="24"/>
          <w:sz w:val="24"/>
        </w:rPr>
        <w:t>编号： </w:t>
      </w:r>
      <w:r>
        <w:rPr>
          <w:rFonts w:ascii="Times New Roman" w:hAnsi="Times New Roman" w:eastAsia="Times New Roman"/>
          <w:spacing w:val="24"/>
          <w:w w:val="99"/>
          <w:sz w:val="24"/>
        </w:rPr>
        <w:t>Z</w:t>
      </w:r>
      <w:r>
        <w:rPr>
          <w:rFonts w:ascii="Times New Roman" w:hAnsi="Times New Roman" w:eastAsia="Times New Roman"/>
          <w:spacing w:val="-1"/>
          <w:w w:val="99"/>
          <w:sz w:val="24"/>
        </w:rPr>
        <w:t>H</w:t>
      </w:r>
      <w:r>
        <w:rPr>
          <w:rFonts w:ascii="Times New Roman" w:hAnsi="Times New Roman" w:eastAsia="Times New Roman"/>
          <w:sz w:val="24"/>
        </w:rPr>
        <w:t>3306042000</w:t>
      </w:r>
      <w:r>
        <w:rPr>
          <w:rFonts w:ascii="Times New Roman" w:hAnsi="Times New Roman" w:eastAsia="Times New Roman"/>
          <w:spacing w:val="2"/>
          <w:sz w:val="24"/>
        </w:rPr>
        <w:t>2</w:t>
      </w:r>
      <w:r>
        <w:rPr>
          <w:spacing w:val="2"/>
          <w:w w:val="133"/>
          <w:sz w:val="24"/>
        </w:rPr>
        <w:t>）。</w:t>
      </w:r>
      <w:r>
        <w:rPr>
          <w:b/>
          <w:spacing w:val="2"/>
          <w:w w:val="99"/>
          <w:sz w:val="24"/>
        </w:rPr>
        <w:t>项目位于杭州湾上虞经济技术开发区内（工业聚集区</w:t>
      </w:r>
      <w:r>
        <w:rPr>
          <w:b/>
          <w:spacing w:val="-116"/>
          <w:w w:val="99"/>
          <w:sz w:val="24"/>
        </w:rPr>
        <w:t>）</w:t>
      </w:r>
      <w:r>
        <w:rPr>
          <w:b/>
          <w:spacing w:val="-23"/>
          <w:w w:val="99"/>
          <w:sz w:val="24"/>
        </w:rPr>
        <w:t>，属于三类</w:t>
      </w:r>
      <w:r>
        <w:rPr>
          <w:b/>
          <w:spacing w:val="-9"/>
          <w:sz w:val="24"/>
        </w:rPr>
        <w:t>工业用地，本项目从事农药制造。因此，项目符合上虞区杭州湾经济开发区产业集聚重</w:t>
      </w:r>
      <w:r>
        <w:rPr>
          <w:b/>
          <w:spacing w:val="-9"/>
          <w:w w:val="105"/>
          <w:sz w:val="24"/>
        </w:rPr>
        <w:t>点管控单元的要求。</w:t>
      </w:r>
    </w:p>
    <w:p>
      <w:pPr>
        <w:pStyle w:val="BodyText"/>
        <w:spacing w:line="306" w:lineRule="exact"/>
        <w:ind w:left="698"/>
      </w:pPr>
      <w:r>
        <w:rPr>
          <w:rFonts w:ascii="Times New Roman" w:eastAsia="Times New Roman"/>
        </w:rPr>
        <w:t>2</w:t>
      </w:r>
      <w:r>
        <w:rPr/>
        <w:t>、排放污染物符合国家、省规定的排放标准，符合国家、省规定的主要污染物排</w:t>
      </w:r>
    </w:p>
    <w:p>
      <w:pPr>
        <w:spacing w:after="0" w:line="306" w:lineRule="exact"/>
        <w:sectPr>
          <w:pgSz w:w="11910" w:h="16840"/>
          <w:pgMar w:header="872" w:footer="873" w:top="1320" w:bottom="1060" w:left="1200" w:right="1180"/>
        </w:sectPr>
      </w:pPr>
    </w:p>
    <w:p>
      <w:pPr>
        <w:pStyle w:val="BodyText"/>
        <w:spacing w:before="84"/>
        <w:ind w:left="218"/>
      </w:pPr>
      <w:r>
        <w:rPr/>
        <w:t>放总量控制指标</w:t>
      </w:r>
    </w:p>
    <w:p>
      <w:pPr>
        <w:pStyle w:val="ListParagraph"/>
        <w:numPr>
          <w:ilvl w:val="0"/>
          <w:numId w:val="58"/>
        </w:numPr>
        <w:tabs>
          <w:tab w:pos="1300" w:val="left" w:leader="none"/>
        </w:tabs>
        <w:spacing w:line="364" w:lineRule="auto" w:before="159" w:after="0"/>
        <w:ind w:left="218" w:right="112" w:firstLine="480"/>
        <w:jc w:val="left"/>
        <w:rPr>
          <w:sz w:val="24"/>
        </w:rPr>
      </w:pPr>
      <w:r>
        <w:rPr>
          <w:spacing w:val="-4"/>
          <w:sz w:val="24"/>
        </w:rPr>
        <w:t>该项目废水主要有工艺废水、水环泵废水、地面及设备清洗废水、生活污水、</w:t>
      </w:r>
      <w:r>
        <w:rPr>
          <w:spacing w:val="-14"/>
          <w:position w:val="2"/>
          <w:sz w:val="24"/>
        </w:rPr>
        <w:t>初期雨水、喷淋废水、蒸汽冷凝水、冷却系统排污水等，主要污染因子为 </w:t>
      </w:r>
      <w:r>
        <w:rPr>
          <w:rFonts w:ascii="Times New Roman" w:hAnsi="Times New Roman" w:eastAsia="Times New Roman"/>
          <w:position w:val="2"/>
          <w:sz w:val="24"/>
        </w:rPr>
        <w:t>COD</w:t>
      </w:r>
      <w:r>
        <w:rPr>
          <w:rFonts w:ascii="Times New Roman" w:hAnsi="Times New Roman" w:eastAsia="Times New Roman"/>
          <w:sz w:val="16"/>
        </w:rPr>
        <w:t>Cr</w:t>
      </w:r>
      <w:r>
        <w:rPr>
          <w:spacing w:val="-12"/>
          <w:position w:val="2"/>
          <w:sz w:val="24"/>
        </w:rPr>
        <w:t>、氨氮、</w:t>
      </w:r>
      <w:r>
        <w:rPr>
          <w:sz w:val="24"/>
        </w:rPr>
        <w:t>总氮等</w:t>
      </w:r>
      <w:r>
        <w:rPr>
          <w:spacing w:val="-24"/>
          <w:w w:val="170"/>
          <w:sz w:val="24"/>
        </w:rPr>
        <w:t>。</w:t>
      </w:r>
      <w:r>
        <w:rPr>
          <w:spacing w:val="-1"/>
          <w:sz w:val="24"/>
        </w:rPr>
        <w:t>车间含农药成分废水经预处理后与其他废水一起经生化处理达到《污水综合</w:t>
      </w:r>
      <w:r>
        <w:rPr>
          <w:spacing w:val="-135"/>
          <w:sz w:val="24"/>
        </w:rPr>
        <w:t>排</w:t>
      </w:r>
      <w:r>
        <w:rPr>
          <w:sz w:val="24"/>
        </w:rPr>
        <w:t>放标准》（</w:t>
      </w:r>
      <w:r>
        <w:rPr>
          <w:rFonts w:ascii="Times New Roman" w:hAnsi="Times New Roman" w:eastAsia="Times New Roman"/>
          <w:sz w:val="24"/>
        </w:rPr>
        <w:t>GB8978-1996</w:t>
      </w:r>
      <w:r>
        <w:rPr>
          <w:sz w:val="24"/>
        </w:rPr>
        <w:t>）中三级标准，氨氮执行浙江省地方标准《工业企业废水氮、磷污染物间接排放限值》</w:t>
      </w:r>
      <w:r>
        <w:rPr>
          <w:rFonts w:ascii="Times New Roman" w:hAnsi="Times New Roman" w:eastAsia="Times New Roman"/>
          <w:sz w:val="24"/>
        </w:rPr>
        <w:t>(DB33/887-2013)</w:t>
      </w:r>
      <w:r>
        <w:rPr>
          <w:sz w:val="24"/>
        </w:rPr>
        <w:t>中</w:t>
      </w:r>
      <w:r>
        <w:rPr>
          <w:rFonts w:ascii="Times New Roman" w:hAnsi="Times New Roman" w:eastAsia="Times New Roman"/>
          <w:sz w:val="24"/>
        </w:rPr>
        <w:t>“</w:t>
      </w:r>
      <w:r>
        <w:rPr>
          <w:sz w:val="24"/>
        </w:rPr>
        <w:t>其他企业</w:t>
      </w:r>
      <w:r>
        <w:rPr>
          <w:rFonts w:ascii="Times New Roman" w:hAnsi="Times New Roman" w:eastAsia="Times New Roman"/>
          <w:sz w:val="24"/>
        </w:rPr>
        <w:t>”</w:t>
      </w:r>
      <w:r>
        <w:rPr>
          <w:spacing w:val="1"/>
          <w:sz w:val="24"/>
        </w:rPr>
        <w:t>的规定 </w:t>
      </w:r>
      <w:r>
        <w:rPr>
          <w:rFonts w:ascii="Times New Roman" w:hAnsi="Times New Roman" w:eastAsia="Times New Roman"/>
          <w:sz w:val="24"/>
        </w:rPr>
        <w:t>35mg/L</w:t>
      </w:r>
      <w:r>
        <w:rPr>
          <w:sz w:val="24"/>
        </w:rPr>
        <w:t>，总氮参照执行</w:t>
      </w:r>
    </w:p>
    <w:p>
      <w:pPr>
        <w:pStyle w:val="BodyText"/>
        <w:spacing w:line="364" w:lineRule="auto"/>
        <w:ind w:left="218" w:right="235"/>
      </w:pPr>
      <w:r>
        <w:rPr>
          <w:spacing w:val="-2"/>
        </w:rPr>
        <w:t>《污水排入城镇下水道水质标准》</w:t>
      </w:r>
      <w:r>
        <w:rPr>
          <w:rFonts w:ascii="Times New Roman" w:eastAsia="Times New Roman"/>
        </w:rPr>
        <w:t>(GB/T31962-2015)</w:t>
      </w:r>
      <w:r>
        <w:rPr>
          <w:spacing w:val="-31"/>
        </w:rPr>
        <w:t>中 </w:t>
      </w:r>
      <w:r>
        <w:rPr>
          <w:rFonts w:ascii="Times New Roman" w:eastAsia="Times New Roman"/>
        </w:rPr>
        <w:t>B </w:t>
      </w:r>
      <w:r>
        <w:rPr>
          <w:spacing w:val="-4"/>
        </w:rPr>
        <w:t>级标准后纳管，送上虞污水处</w:t>
      </w:r>
      <w:r>
        <w:rPr/>
        <w:t>理厂集中处理。</w:t>
      </w:r>
    </w:p>
    <w:p>
      <w:pPr>
        <w:pStyle w:val="ListParagraph"/>
        <w:numPr>
          <w:ilvl w:val="0"/>
          <w:numId w:val="58"/>
        </w:numPr>
        <w:tabs>
          <w:tab w:pos="1306" w:val="left" w:leader="none"/>
        </w:tabs>
        <w:spacing w:line="364" w:lineRule="auto" w:before="0" w:after="0"/>
        <w:ind w:left="218" w:right="231" w:firstLine="480"/>
        <w:jc w:val="both"/>
        <w:rPr>
          <w:sz w:val="24"/>
        </w:rPr>
      </w:pPr>
      <w:r>
        <w:rPr>
          <w:sz w:val="24"/>
        </w:rPr>
        <w:t>项目产生的废气主要有反应过程产生的工艺废气、公用工程废气等，主要污</w:t>
      </w:r>
      <w:r>
        <w:rPr>
          <w:spacing w:val="-7"/>
          <w:sz w:val="24"/>
        </w:rPr>
        <w:t>染因子包括甲酸、颗粒物等，车间甲酸废气采用冷凝预处理措施后，粉尘采用布袋除尘预处理措施后，一起经废气集中处理装置</w:t>
      </w:r>
      <w:r>
        <w:rPr>
          <w:sz w:val="24"/>
        </w:rPr>
        <w:t>（两级碱喷淋</w:t>
      </w:r>
      <w:r>
        <w:rPr>
          <w:spacing w:val="-32"/>
          <w:sz w:val="24"/>
        </w:rPr>
        <w:t>）</w:t>
      </w:r>
      <w:r>
        <w:rPr>
          <w:spacing w:val="-6"/>
          <w:sz w:val="24"/>
        </w:rPr>
        <w:t>进行处理后通过排气筒 </w:t>
      </w:r>
      <w:r>
        <w:rPr>
          <w:rFonts w:ascii="Times New Roman" w:eastAsia="Times New Roman"/>
          <w:spacing w:val="-4"/>
          <w:sz w:val="24"/>
        </w:rPr>
        <w:t>DA004 </w:t>
      </w:r>
      <w:r>
        <w:rPr>
          <w:spacing w:val="-9"/>
          <w:sz w:val="24"/>
        </w:rPr>
        <w:t>达标排放；污水处理设施、危废暂存场所、储罐废气经引风收集</w:t>
      </w:r>
      <w:r>
        <w:rPr>
          <w:rFonts w:ascii="Times New Roman" w:eastAsia="Times New Roman"/>
          <w:sz w:val="24"/>
        </w:rPr>
        <w:t>+</w:t>
      </w:r>
      <w:r>
        <w:rPr>
          <w:sz w:val="24"/>
        </w:rPr>
        <w:t>一级次钠喷淋</w:t>
      </w:r>
      <w:r>
        <w:rPr>
          <w:rFonts w:ascii="Times New Roman" w:eastAsia="Times New Roman"/>
          <w:sz w:val="24"/>
        </w:rPr>
        <w:t>+</w:t>
      </w:r>
      <w:r>
        <w:rPr>
          <w:sz w:val="24"/>
        </w:rPr>
        <w:t>一级碱</w:t>
      </w:r>
      <w:r>
        <w:rPr>
          <w:spacing w:val="-5"/>
          <w:sz w:val="24"/>
        </w:rPr>
        <w:t>喷淋处理后通过排气筒 </w:t>
      </w:r>
      <w:r>
        <w:rPr>
          <w:rFonts w:ascii="Times New Roman" w:eastAsia="Times New Roman"/>
          <w:sz w:val="24"/>
        </w:rPr>
        <w:t>DA005</w:t>
      </w:r>
      <w:r>
        <w:rPr>
          <w:rFonts w:ascii="Times New Roman" w:eastAsia="Times New Roman"/>
          <w:spacing w:val="9"/>
          <w:sz w:val="24"/>
        </w:rPr>
        <w:t> </w:t>
      </w:r>
      <w:r>
        <w:rPr>
          <w:sz w:val="24"/>
        </w:rPr>
        <w:t>排放。最后各类废气均做到达标排放。</w:t>
      </w:r>
    </w:p>
    <w:p>
      <w:pPr>
        <w:pStyle w:val="ListParagraph"/>
        <w:numPr>
          <w:ilvl w:val="0"/>
          <w:numId w:val="58"/>
        </w:numPr>
        <w:tabs>
          <w:tab w:pos="1306" w:val="left" w:leader="none"/>
        </w:tabs>
        <w:spacing w:line="364" w:lineRule="auto" w:before="0" w:after="0"/>
        <w:ind w:left="218" w:right="232" w:firstLine="480"/>
        <w:jc w:val="both"/>
        <w:rPr>
          <w:sz w:val="24"/>
        </w:rPr>
      </w:pPr>
      <w:r>
        <w:rPr>
          <w:sz w:val="24"/>
        </w:rPr>
        <w:t>项目产生的固废包括工业固废及生活垃圾</w:t>
      </w:r>
      <w:r>
        <w:rPr>
          <w:w w:val="180"/>
          <w:sz w:val="24"/>
        </w:rPr>
        <w:t>。</w:t>
      </w:r>
      <w:r>
        <w:rPr>
          <w:sz w:val="24"/>
        </w:rPr>
        <w:t>其中危险废物委托有资质单位</w:t>
      </w:r>
      <w:r>
        <w:rPr>
          <w:spacing w:val="-240"/>
          <w:sz w:val="24"/>
        </w:rPr>
        <w:t>处</w:t>
      </w:r>
      <w:r>
        <w:rPr>
          <w:spacing w:val="-4"/>
          <w:sz w:val="24"/>
        </w:rPr>
        <w:t>置；生活垃圾送春晖热电焚烧</w:t>
      </w:r>
      <w:r>
        <w:rPr>
          <w:spacing w:val="-17"/>
          <w:w w:val="180"/>
          <w:sz w:val="24"/>
        </w:rPr>
        <w:t>。</w:t>
      </w:r>
      <w:r>
        <w:rPr>
          <w:spacing w:val="-3"/>
          <w:sz w:val="24"/>
        </w:rPr>
        <w:t>所产生的固废分类堆放，并设置专门的暂存场所进行</w:t>
      </w:r>
      <w:r>
        <w:rPr>
          <w:spacing w:val="-220"/>
          <w:sz w:val="24"/>
        </w:rPr>
        <w:t>堆</w:t>
      </w:r>
      <w:r>
        <w:rPr>
          <w:spacing w:val="-10"/>
          <w:sz w:val="24"/>
        </w:rPr>
        <w:t>放，固废应及时清运。经过上述处理后，项目产生的固废能做到综合利用、焚烧或者填</w:t>
      </w:r>
      <w:r>
        <w:rPr>
          <w:sz w:val="24"/>
        </w:rPr>
        <w:t>埋，周围环境能维持现状。</w:t>
      </w:r>
    </w:p>
    <w:p>
      <w:pPr>
        <w:pStyle w:val="ListParagraph"/>
        <w:numPr>
          <w:ilvl w:val="0"/>
          <w:numId w:val="58"/>
        </w:numPr>
        <w:tabs>
          <w:tab w:pos="1300" w:val="left" w:leader="none"/>
        </w:tabs>
        <w:spacing w:line="306" w:lineRule="exact" w:before="0" w:after="0"/>
        <w:ind w:left="1299" w:right="0" w:hanging="602"/>
        <w:jc w:val="left"/>
        <w:rPr>
          <w:sz w:val="24"/>
        </w:rPr>
      </w:pPr>
      <w:r>
        <w:rPr>
          <w:sz w:val="24"/>
        </w:rPr>
        <w:t>项目产生噪声不大，经相应处理后厂界可以达标排放o</w:t>
      </w:r>
    </w:p>
    <w:p>
      <w:pPr>
        <w:pStyle w:val="ListParagraph"/>
        <w:numPr>
          <w:ilvl w:val="0"/>
          <w:numId w:val="58"/>
        </w:numPr>
        <w:tabs>
          <w:tab w:pos="1306" w:val="left" w:leader="none"/>
        </w:tabs>
        <w:spacing w:line="364" w:lineRule="auto" w:before="154" w:after="0"/>
        <w:ind w:left="218" w:right="233" w:firstLine="480"/>
        <w:jc w:val="both"/>
        <w:rPr>
          <w:b/>
          <w:sz w:val="24"/>
        </w:rPr>
      </w:pPr>
      <w:r>
        <w:rPr>
          <w:sz w:val="24"/>
        </w:rPr>
        <w:t>污染物总量控制是执行环保管理目标责任制的基本原则之一，本项目总量控</w:t>
      </w:r>
      <w:r>
        <w:rPr>
          <w:spacing w:val="-7"/>
          <w:position w:val="2"/>
          <w:sz w:val="24"/>
        </w:rPr>
        <w:t>制污染因子考核 </w:t>
      </w:r>
      <w:r>
        <w:rPr>
          <w:rFonts w:ascii="Times New Roman" w:eastAsia="Times New Roman"/>
          <w:position w:val="2"/>
          <w:sz w:val="24"/>
        </w:rPr>
        <w:t>COD</w:t>
      </w:r>
      <w:r>
        <w:rPr>
          <w:rFonts w:ascii="Times New Roman" w:eastAsia="Times New Roman"/>
          <w:sz w:val="16"/>
        </w:rPr>
        <w:t>Cr</w:t>
      </w:r>
      <w:r>
        <w:rPr>
          <w:spacing w:val="-8"/>
          <w:position w:val="2"/>
          <w:sz w:val="24"/>
        </w:rPr>
        <w:t>、氨氮、工业烟粉尘和 </w:t>
      </w:r>
      <w:r>
        <w:rPr>
          <w:rFonts w:ascii="Times New Roman" w:eastAsia="Times New Roman"/>
          <w:position w:val="2"/>
          <w:sz w:val="24"/>
        </w:rPr>
        <w:t>VOCs</w:t>
      </w:r>
      <w:r>
        <w:rPr>
          <w:spacing w:val="-8"/>
          <w:w w:val="180"/>
          <w:position w:val="2"/>
          <w:sz w:val="24"/>
        </w:rPr>
        <w:t>。</w:t>
      </w:r>
      <w:r>
        <w:rPr>
          <w:spacing w:val="-5"/>
          <w:position w:val="2"/>
          <w:sz w:val="24"/>
        </w:rPr>
        <w:t>本项目实施后新增的 </w:t>
      </w:r>
      <w:r>
        <w:rPr>
          <w:rFonts w:ascii="Times New Roman" w:eastAsia="Times New Roman"/>
          <w:position w:val="2"/>
          <w:sz w:val="24"/>
        </w:rPr>
        <w:t>CODcr</w:t>
      </w:r>
      <w:r>
        <w:rPr>
          <w:spacing w:val="-124"/>
          <w:position w:val="2"/>
          <w:sz w:val="24"/>
        </w:rPr>
        <w:t>、氨</w:t>
      </w:r>
      <w:r>
        <w:rPr>
          <w:sz w:val="24"/>
        </w:rPr>
        <w:t>氮、</w:t>
      </w:r>
      <w:r>
        <w:rPr>
          <w:rFonts w:ascii="Times New Roman" w:eastAsia="Times New Roman"/>
          <w:sz w:val="24"/>
        </w:rPr>
        <w:t>VOCs</w:t>
      </w:r>
      <w:r>
        <w:rPr>
          <w:sz w:val="24"/>
        </w:rPr>
        <w:t>、工业烟粉尘总量控制指标通过排污权交易或区域平衡解决，</w:t>
      </w:r>
      <w:r>
        <w:rPr>
          <w:b/>
          <w:sz w:val="24"/>
        </w:rPr>
        <w:t>本项目的实施符合总量控制原则。</w:t>
      </w:r>
    </w:p>
    <w:p>
      <w:pPr>
        <w:spacing w:line="364" w:lineRule="auto" w:before="0"/>
        <w:ind w:left="218" w:right="232" w:firstLine="480"/>
        <w:jc w:val="both"/>
        <w:rPr>
          <w:b/>
          <w:sz w:val="24"/>
        </w:rPr>
      </w:pPr>
      <w:r>
        <w:rPr>
          <w:spacing w:val="-8"/>
          <w:sz w:val="24"/>
        </w:rPr>
        <w:t>综上所述，</w:t>
      </w:r>
      <w:r>
        <w:rPr>
          <w:b/>
          <w:spacing w:val="-2"/>
          <w:sz w:val="24"/>
        </w:rPr>
        <w:t>项目产生的各类污染物经过治理后可以满足达标排放的要求。</w:t>
      </w:r>
      <w:r>
        <w:rPr>
          <w:spacing w:val="-4"/>
          <w:sz w:val="24"/>
        </w:rPr>
        <w:t>本项目实</w:t>
      </w:r>
      <w:r>
        <w:rPr>
          <w:spacing w:val="-5"/>
          <w:sz w:val="24"/>
        </w:rPr>
        <w:t>施后新增的 </w:t>
      </w:r>
      <w:r>
        <w:rPr>
          <w:rFonts w:ascii="Times New Roman" w:eastAsia="Times New Roman"/>
          <w:sz w:val="24"/>
        </w:rPr>
        <w:t>CODcr</w:t>
      </w:r>
      <w:r>
        <w:rPr>
          <w:sz w:val="24"/>
        </w:rPr>
        <w:t>、氨氮、</w:t>
      </w:r>
      <w:r>
        <w:rPr>
          <w:rFonts w:ascii="Times New Roman" w:eastAsia="Times New Roman"/>
          <w:sz w:val="24"/>
        </w:rPr>
        <w:t>VOCs</w:t>
      </w:r>
      <w:r>
        <w:rPr>
          <w:spacing w:val="-1"/>
          <w:sz w:val="24"/>
        </w:rPr>
        <w:t>、工业烟粉尘总量控制指标通过排污权交易或区域平</w:t>
      </w:r>
      <w:r>
        <w:rPr>
          <w:sz w:val="24"/>
        </w:rPr>
        <w:t>衡解决，</w:t>
      </w:r>
      <w:r>
        <w:rPr>
          <w:b/>
          <w:sz w:val="24"/>
        </w:rPr>
        <w:t>本项目的实施符合国家、省规定的主要污染物排放总量控制指标原则。</w:t>
      </w:r>
    </w:p>
    <w:p>
      <w:pPr>
        <w:pStyle w:val="BodyText"/>
        <w:spacing w:line="305" w:lineRule="exact"/>
        <w:ind w:left="698"/>
      </w:pPr>
      <w:r>
        <w:rPr>
          <w:rFonts w:ascii="Times New Roman" w:eastAsia="Times New Roman"/>
        </w:rPr>
        <w:t>3</w:t>
      </w:r>
      <w:r>
        <w:rPr/>
        <w:t>、项目造成的环境影响符合建设项目所在地环境功能区划确定的环境质量要求</w:t>
      </w:r>
    </w:p>
    <w:p>
      <w:pPr>
        <w:pStyle w:val="ListParagraph"/>
        <w:numPr>
          <w:ilvl w:val="0"/>
          <w:numId w:val="59"/>
        </w:numPr>
        <w:tabs>
          <w:tab w:pos="1300" w:val="left" w:leader="none"/>
        </w:tabs>
        <w:spacing w:line="364" w:lineRule="auto" w:before="160" w:after="0"/>
        <w:ind w:left="218" w:right="232" w:firstLine="480"/>
        <w:jc w:val="both"/>
        <w:rPr>
          <w:sz w:val="24"/>
        </w:rPr>
      </w:pPr>
      <w:r>
        <w:rPr>
          <w:sz w:val="24"/>
        </w:rPr>
        <w:t>根据上虞空气质量指数日报（</w:t>
      </w:r>
      <w:r>
        <w:rPr>
          <w:rFonts w:ascii="Times New Roman" w:eastAsia="Times New Roman"/>
          <w:sz w:val="24"/>
        </w:rPr>
        <w:t>2020</w:t>
      </w:r>
      <w:r>
        <w:rPr>
          <w:rFonts w:ascii="Times New Roman" w:eastAsia="Times New Roman"/>
          <w:spacing w:val="9"/>
          <w:sz w:val="24"/>
        </w:rPr>
        <w:t> </w:t>
      </w:r>
      <w:r>
        <w:rPr>
          <w:sz w:val="24"/>
        </w:rPr>
        <w:t>年全年）</w:t>
      </w:r>
      <w:r>
        <w:rPr>
          <w:spacing w:val="-1"/>
          <w:sz w:val="24"/>
        </w:rPr>
        <w:t>数据，项目所在区域为达标区； </w:t>
      </w:r>
      <w:r>
        <w:rPr>
          <w:spacing w:val="-5"/>
          <w:sz w:val="24"/>
        </w:rPr>
        <w:t>根据项目补充监测数据，特征污染因子环境空气质量均能满足相应标准要求，评价区内</w:t>
      </w:r>
      <w:r>
        <w:rPr>
          <w:sz w:val="24"/>
        </w:rPr>
        <w:t>的环境空气质量状况良好。</w:t>
      </w:r>
    </w:p>
    <w:p>
      <w:pPr>
        <w:pStyle w:val="ListParagraph"/>
        <w:numPr>
          <w:ilvl w:val="0"/>
          <w:numId w:val="59"/>
        </w:numPr>
        <w:tabs>
          <w:tab w:pos="1300" w:val="left" w:leader="none"/>
        </w:tabs>
        <w:spacing w:line="304" w:lineRule="exact" w:before="0" w:after="0"/>
        <w:ind w:left="1299" w:right="0" w:hanging="602"/>
        <w:jc w:val="both"/>
        <w:rPr>
          <w:sz w:val="24"/>
        </w:rPr>
      </w:pPr>
      <w:r>
        <w:rPr>
          <w:sz w:val="24"/>
        </w:rPr>
        <w:t>根据绍兴市上虞区环境监测年鉴（</w:t>
      </w:r>
      <w:r>
        <w:rPr>
          <w:rFonts w:ascii="Times New Roman" w:eastAsia="Times New Roman"/>
          <w:sz w:val="24"/>
        </w:rPr>
        <w:t>2020</w:t>
      </w:r>
      <w:r>
        <w:rPr>
          <w:rFonts w:ascii="Times New Roman" w:eastAsia="Times New Roman"/>
          <w:spacing w:val="10"/>
          <w:sz w:val="24"/>
        </w:rPr>
        <w:t> </w:t>
      </w:r>
      <w:r>
        <w:rPr>
          <w:sz w:val="24"/>
        </w:rPr>
        <w:t>年度）中相关数据，地表水各监测污</w:t>
      </w:r>
    </w:p>
    <w:p>
      <w:pPr>
        <w:spacing w:after="0" w:line="304" w:lineRule="exact"/>
        <w:jc w:val="both"/>
        <w:rPr>
          <w:sz w:val="24"/>
        </w:rPr>
        <w:sectPr>
          <w:pgSz w:w="11910" w:h="16840"/>
          <w:pgMar w:header="872" w:footer="873" w:top="1320" w:bottom="1060" w:left="1200" w:right="1180"/>
        </w:sectPr>
      </w:pPr>
    </w:p>
    <w:p>
      <w:pPr>
        <w:pStyle w:val="BodyText"/>
        <w:spacing w:before="84"/>
        <w:ind w:left="218"/>
      </w:pPr>
      <w:r>
        <w:rPr>
          <w:w w:val="105"/>
        </w:rPr>
        <w:t>染因子均能满足 </w:t>
      </w:r>
      <w:r>
        <w:rPr>
          <w:rFonts w:ascii="Times New Roman" w:eastAsia="Times New Roman"/>
          <w:w w:val="105"/>
        </w:rPr>
        <w:t>GB3838-2002</w:t>
      </w:r>
      <w:r>
        <w:rPr>
          <w:w w:val="105"/>
        </w:rPr>
        <w:t>《地表水环境质量标准》中 </w:t>
      </w:r>
      <w:r>
        <w:rPr>
          <w:rFonts w:ascii="Times New Roman" w:eastAsia="Times New Roman"/>
          <w:w w:val="105"/>
        </w:rPr>
        <w:t>III </w:t>
      </w:r>
      <w:r>
        <w:rPr>
          <w:w w:val="105"/>
        </w:rPr>
        <w:t>类标准的要求</w:t>
      </w:r>
      <w:r>
        <w:rPr>
          <w:w w:val="170"/>
        </w:rPr>
        <w:t>。</w:t>
      </w:r>
    </w:p>
    <w:p>
      <w:pPr>
        <w:pStyle w:val="ListParagraph"/>
        <w:numPr>
          <w:ilvl w:val="0"/>
          <w:numId w:val="59"/>
        </w:numPr>
        <w:tabs>
          <w:tab w:pos="1306" w:val="left" w:leader="none"/>
        </w:tabs>
        <w:spacing w:line="364" w:lineRule="auto" w:before="159" w:after="0"/>
        <w:ind w:left="218" w:right="112" w:firstLine="480"/>
        <w:jc w:val="left"/>
        <w:rPr>
          <w:sz w:val="24"/>
        </w:rPr>
      </w:pPr>
      <w:r>
        <w:rPr>
          <w:sz w:val="24"/>
        </w:rPr>
        <w:t>本项目区域内地下水监测因子中溶解性总固体、氯化物，总硬度指标出现超标现象，不能达到《地下水质量标准》</w:t>
      </w:r>
      <w:r>
        <w:rPr>
          <w:rFonts w:ascii="Times New Roman" w:hAnsi="Times New Roman" w:eastAsia="Times New Roman"/>
          <w:sz w:val="24"/>
        </w:rPr>
        <w:t>(GB/T14848-2017)</w:t>
      </w:r>
      <w:r>
        <w:rPr>
          <w:sz w:val="24"/>
        </w:rPr>
        <w:t>中的</w:t>
      </w:r>
      <w:r>
        <w:rPr>
          <w:rFonts w:ascii="Times New Roman" w:hAnsi="Times New Roman" w:eastAsia="Times New Roman"/>
          <w:sz w:val="24"/>
        </w:rPr>
        <w:t>Ⅲ</w:t>
      </w:r>
      <w:r>
        <w:rPr>
          <w:sz w:val="24"/>
        </w:rPr>
        <w:t>类标准要求，其余指标</w:t>
      </w:r>
      <w:r>
        <w:rPr>
          <w:spacing w:val="-9"/>
          <w:sz w:val="24"/>
        </w:rPr>
        <w:t>均能达到《地下水质量标准》</w:t>
      </w:r>
      <w:r>
        <w:rPr>
          <w:rFonts w:ascii="Times New Roman" w:hAnsi="Times New Roman" w:eastAsia="Times New Roman"/>
          <w:sz w:val="24"/>
        </w:rPr>
        <w:t>(GB/T14848-2017)</w:t>
      </w:r>
      <w:r>
        <w:rPr>
          <w:sz w:val="24"/>
        </w:rPr>
        <w:t>中的</w:t>
      </w:r>
      <w:r>
        <w:rPr>
          <w:rFonts w:ascii="Times New Roman" w:hAnsi="Times New Roman" w:eastAsia="Times New Roman"/>
          <w:sz w:val="24"/>
        </w:rPr>
        <w:t>Ⅲ</w:t>
      </w:r>
      <w:r>
        <w:rPr>
          <w:sz w:val="24"/>
        </w:rPr>
        <w:t>类标准要求</w:t>
      </w:r>
      <w:r>
        <w:rPr>
          <w:spacing w:val="-34"/>
          <w:w w:val="170"/>
          <w:sz w:val="24"/>
        </w:rPr>
        <w:t>。</w:t>
      </w:r>
      <w:r>
        <w:rPr>
          <w:spacing w:val="-2"/>
          <w:sz w:val="24"/>
        </w:rPr>
        <w:t>结合周围环境特征</w:t>
      </w:r>
      <w:r>
        <w:rPr>
          <w:spacing w:val="-220"/>
          <w:sz w:val="24"/>
        </w:rPr>
        <w:t>，</w:t>
      </w:r>
      <w:r>
        <w:rPr>
          <w:spacing w:val="-118"/>
          <w:sz w:val="24"/>
        </w:rPr>
        <w:t> </w:t>
      </w:r>
      <w:r>
        <w:rPr>
          <w:spacing w:val="-7"/>
          <w:sz w:val="24"/>
        </w:rPr>
        <w:t>分析认为溶解性总固体、总硬度和 </w:t>
      </w:r>
      <w:r>
        <w:rPr>
          <w:rFonts w:ascii="Times New Roman" w:hAnsi="Times New Roman" w:eastAsia="Times New Roman"/>
          <w:sz w:val="24"/>
        </w:rPr>
        <w:t>Cl</w:t>
      </w:r>
      <w:r>
        <w:rPr>
          <w:rFonts w:ascii="Times New Roman" w:hAnsi="Times New Roman" w:eastAsia="Times New Roman"/>
          <w:position w:val="9"/>
          <w:sz w:val="16"/>
        </w:rPr>
        <w:t>-</w:t>
      </w:r>
      <w:r>
        <w:rPr>
          <w:sz w:val="24"/>
        </w:rPr>
        <w:t>超标原因最有可能是该地块位于围垦海涂滩地上， 该区域盐分较高引起的。目前该区域地下水无开发利用计划。</w:t>
      </w:r>
    </w:p>
    <w:p>
      <w:pPr>
        <w:pStyle w:val="ListParagraph"/>
        <w:numPr>
          <w:ilvl w:val="0"/>
          <w:numId w:val="59"/>
        </w:numPr>
        <w:tabs>
          <w:tab w:pos="1300" w:val="left" w:leader="none"/>
        </w:tabs>
        <w:spacing w:line="306" w:lineRule="exact" w:before="0" w:after="0"/>
        <w:ind w:left="1299" w:right="0" w:hanging="602"/>
        <w:jc w:val="left"/>
        <w:rPr>
          <w:sz w:val="24"/>
        </w:rPr>
      </w:pPr>
      <w:r>
        <w:rPr>
          <w:sz w:val="24"/>
        </w:rPr>
        <w:t>厂界各测点噪声均符合《声环境质量标准》</w:t>
      </w:r>
      <w:r>
        <w:rPr>
          <w:rFonts w:ascii="Times New Roman" w:eastAsia="Times New Roman"/>
          <w:sz w:val="24"/>
        </w:rPr>
        <w:t>(GB3096-2008)</w:t>
      </w:r>
      <w:r>
        <w:rPr>
          <w:spacing w:val="-11"/>
          <w:sz w:val="24"/>
        </w:rPr>
        <w:t>中 </w:t>
      </w:r>
      <w:r>
        <w:rPr>
          <w:rFonts w:ascii="Times New Roman" w:eastAsia="Times New Roman"/>
          <w:sz w:val="24"/>
        </w:rPr>
        <w:t>3</w:t>
      </w:r>
      <w:r>
        <w:rPr>
          <w:rFonts w:ascii="Times New Roman" w:eastAsia="Times New Roman"/>
          <w:spacing w:val="37"/>
          <w:sz w:val="24"/>
        </w:rPr>
        <w:t> </w:t>
      </w:r>
      <w:r>
        <w:rPr>
          <w:sz w:val="24"/>
        </w:rPr>
        <w:t>类标准要求。</w:t>
      </w:r>
    </w:p>
    <w:p>
      <w:pPr>
        <w:pStyle w:val="ListParagraph"/>
        <w:numPr>
          <w:ilvl w:val="0"/>
          <w:numId w:val="59"/>
        </w:numPr>
        <w:tabs>
          <w:tab w:pos="1306" w:val="left" w:leader="none"/>
        </w:tabs>
        <w:spacing w:line="362" w:lineRule="auto" w:before="160" w:after="0"/>
        <w:ind w:left="218" w:right="236" w:firstLine="480"/>
        <w:jc w:val="left"/>
        <w:rPr>
          <w:sz w:val="24"/>
        </w:rPr>
      </w:pPr>
      <w:r>
        <w:rPr>
          <w:spacing w:val="-1"/>
          <w:sz w:val="24"/>
        </w:rPr>
        <w:t>项目所在区域土壤监测因子均能满足《土壤环境质量标准建设用地土壤污染</w:t>
      </w:r>
      <w:r>
        <w:rPr>
          <w:sz w:val="24"/>
        </w:rPr>
        <w:t>风险管控标准》</w:t>
      </w:r>
      <w:r>
        <w:rPr>
          <w:rFonts w:ascii="Times New Roman" w:eastAsia="Times New Roman"/>
          <w:sz w:val="24"/>
        </w:rPr>
        <w:t>(GB36600-2018)</w:t>
      </w:r>
      <w:r>
        <w:rPr>
          <w:sz w:val="24"/>
        </w:rPr>
        <w:t>中第二类用地筛选值的要求，土壤环境质量较好。</w:t>
      </w:r>
    </w:p>
    <w:p>
      <w:pPr>
        <w:pStyle w:val="Heading4"/>
        <w:spacing w:line="362" w:lineRule="auto" w:before="6"/>
        <w:ind w:left="218" w:right="150" w:firstLine="482"/>
      </w:pPr>
      <w:r>
        <w:rPr/>
        <w:t>项目实施后污染物排放对周围环境及敏感点影响较小，区域环境质量可以维持在现有等级，项目造成的环境影响符合建设项目所在地环境功能区划确定的环境质量要求。</w:t>
      </w:r>
    </w:p>
    <w:p>
      <w:pPr>
        <w:pStyle w:val="BodyText"/>
        <w:spacing w:line="362" w:lineRule="auto" w:before="5"/>
        <w:ind w:left="218" w:right="235" w:firstLine="480"/>
      </w:pPr>
      <w:r>
        <w:rPr>
          <w:rFonts w:ascii="Times New Roman" w:hAnsi="Times New Roman" w:eastAsia="Times New Roman"/>
        </w:rPr>
        <w:t>4</w:t>
      </w:r>
      <w:r>
        <w:rPr>
          <w:spacing w:val="-6"/>
        </w:rPr>
        <w:t>、项目建设符合《关于以改善环境质量为核心加强环境影响评价管理的通知</w:t>
      </w:r>
      <w:r>
        <w:rPr>
          <w:spacing w:val="-137"/>
        </w:rPr>
        <w:t>》</w:t>
      </w:r>
      <w:r>
        <w:rPr/>
        <w:t>（</w:t>
      </w:r>
      <w:r>
        <w:rPr>
          <w:spacing w:val="-16"/>
        </w:rPr>
        <w:t>环</w:t>
      </w:r>
      <w:r>
        <w:rPr/>
        <w:t>评</w:t>
      </w:r>
      <w:r>
        <w:rPr>
          <w:rFonts w:ascii="Times New Roman" w:hAnsi="Times New Roman" w:eastAsia="Times New Roman"/>
        </w:rPr>
        <w:t>[2016]150 </w:t>
      </w:r>
      <w:r>
        <w:rPr/>
        <w:t>号）中</w:t>
      </w:r>
      <w:r>
        <w:rPr>
          <w:rFonts w:ascii="Times New Roman" w:hAnsi="Times New Roman" w:eastAsia="Times New Roman"/>
        </w:rPr>
        <w:t>“</w:t>
      </w:r>
      <w:r>
        <w:rPr/>
        <w:t>三线一单</w:t>
      </w:r>
      <w:r>
        <w:rPr>
          <w:rFonts w:ascii="Times New Roman" w:hAnsi="Times New Roman" w:eastAsia="Times New Roman"/>
        </w:rPr>
        <w:t>”</w:t>
      </w:r>
      <w:r>
        <w:rPr/>
        <w:t>要求。</w:t>
      </w:r>
    </w:p>
    <w:p>
      <w:pPr>
        <w:pStyle w:val="ListParagraph"/>
        <w:numPr>
          <w:ilvl w:val="0"/>
          <w:numId w:val="60"/>
        </w:numPr>
        <w:tabs>
          <w:tab w:pos="1300" w:val="left" w:leader="none"/>
        </w:tabs>
        <w:spacing w:line="240" w:lineRule="auto" w:before="5" w:after="0"/>
        <w:ind w:left="1299" w:right="0" w:hanging="602"/>
        <w:jc w:val="left"/>
        <w:rPr>
          <w:sz w:val="24"/>
        </w:rPr>
      </w:pPr>
      <w:r>
        <w:rPr>
          <w:sz w:val="24"/>
        </w:rPr>
        <w:t>生态保护红线</w:t>
      </w:r>
    </w:p>
    <w:p>
      <w:pPr>
        <w:pStyle w:val="BodyText"/>
        <w:spacing w:line="364" w:lineRule="auto" w:before="158"/>
        <w:ind w:left="218" w:right="232" w:firstLine="480"/>
        <w:jc w:val="both"/>
      </w:pPr>
      <w:r>
        <w:rPr>
          <w:spacing w:val="-1"/>
        </w:rPr>
        <w:t>本项目位于企业杭州湾上虞经济技术开发区新征用地，用地性质为工业用地</w:t>
      </w:r>
      <w:r>
        <w:rPr>
          <w:spacing w:val="-24"/>
          <w:w w:val="170"/>
        </w:rPr>
        <w:t>。</w:t>
      </w:r>
      <w:r>
        <w:rPr>
          <w:spacing w:val="-118"/>
        </w:rPr>
        <w:t>项目</w:t>
      </w:r>
      <w:r>
        <w:rPr>
          <w:spacing w:val="-5"/>
        </w:rPr>
        <w:t>不在当地饮用水源、风景区、自然保护区等生态保护区内，不涉及《浙江省人民政府关</w:t>
      </w:r>
      <w:r>
        <w:rPr>
          <w:spacing w:val="-6"/>
        </w:rPr>
        <w:t>于发布浙江省生态保护红线的要求》</w:t>
      </w:r>
      <w:r>
        <w:rPr/>
        <w:t>（</w:t>
      </w:r>
      <w:r>
        <w:rPr>
          <w:spacing w:val="-1"/>
        </w:rPr>
        <w:t>浙环发</w:t>
      </w:r>
      <w:r>
        <w:rPr>
          <w:rFonts w:ascii="Times New Roman" w:hAnsi="Times New Roman" w:eastAsia="Times New Roman"/>
        </w:rPr>
        <w:t>[2018]30 </w:t>
      </w:r>
      <w:r>
        <w:rPr/>
        <w:t>号</w:t>
      </w:r>
      <w:r>
        <w:rPr>
          <w:spacing w:val="-5"/>
        </w:rPr>
        <w:t>）</w:t>
      </w:r>
      <w:r>
        <w:rPr>
          <w:spacing w:val="-4"/>
        </w:rPr>
        <w:t>、《绍兴市生态环境局关于印发</w:t>
      </w:r>
      <w:r>
        <w:rPr>
          <w:rFonts w:ascii="Times New Roman" w:hAnsi="Times New Roman" w:eastAsia="Times New Roman"/>
          <w:spacing w:val="-4"/>
        </w:rPr>
        <w:t>&lt;</w:t>
      </w:r>
      <w:r>
        <w:rPr>
          <w:spacing w:val="-4"/>
        </w:rPr>
        <w:t>绍兴市</w:t>
      </w:r>
      <w:r>
        <w:rPr>
          <w:rFonts w:ascii="Times New Roman" w:hAnsi="Times New Roman" w:eastAsia="Times New Roman"/>
          <w:spacing w:val="-4"/>
        </w:rPr>
        <w:t>“</w:t>
      </w:r>
      <w:r>
        <w:rPr>
          <w:spacing w:val="-4"/>
        </w:rPr>
        <w:t>三线一单</w:t>
      </w:r>
      <w:r>
        <w:rPr>
          <w:rFonts w:ascii="Times New Roman" w:hAnsi="Times New Roman" w:eastAsia="Times New Roman"/>
          <w:spacing w:val="-4"/>
        </w:rPr>
        <w:t>”</w:t>
      </w:r>
      <w:r>
        <w:rPr>
          <w:spacing w:val="-4"/>
        </w:rPr>
        <w:t>生态环境分区管控方案</w:t>
      </w:r>
      <w:r>
        <w:rPr>
          <w:rFonts w:ascii="Times New Roman" w:hAnsi="Times New Roman" w:eastAsia="Times New Roman"/>
          <w:spacing w:val="-4"/>
        </w:rPr>
        <w:t>&gt;</w:t>
      </w:r>
      <w:r>
        <w:rPr>
          <w:spacing w:val="-9"/>
        </w:rPr>
        <w:t>的通知》</w:t>
      </w:r>
      <w:r>
        <w:rPr/>
        <w:t>（绍市环发</w:t>
      </w:r>
      <w:r>
        <w:rPr>
          <w:rFonts w:ascii="Times New Roman" w:hAnsi="Times New Roman" w:eastAsia="Times New Roman"/>
        </w:rPr>
        <w:t>[2020]36 </w:t>
      </w:r>
      <w:r>
        <w:rPr/>
        <w:t>号</w:t>
      </w:r>
      <w:r>
        <w:rPr>
          <w:spacing w:val="-12"/>
        </w:rPr>
        <w:t>）</w:t>
      </w:r>
      <w:r>
        <w:rPr/>
        <w:t>等相关文件划定的生态保护红线，满足生态保护红线要求</w:t>
      </w:r>
      <w:r>
        <w:rPr>
          <w:w w:val="170"/>
        </w:rPr>
        <w:t>。</w:t>
      </w:r>
    </w:p>
    <w:p>
      <w:pPr>
        <w:pStyle w:val="ListParagraph"/>
        <w:numPr>
          <w:ilvl w:val="0"/>
          <w:numId w:val="60"/>
        </w:numPr>
        <w:tabs>
          <w:tab w:pos="1300" w:val="left" w:leader="none"/>
        </w:tabs>
        <w:spacing w:line="306" w:lineRule="exact" w:before="0" w:after="0"/>
        <w:ind w:left="1299" w:right="0" w:hanging="602"/>
        <w:jc w:val="left"/>
        <w:rPr>
          <w:sz w:val="24"/>
        </w:rPr>
      </w:pPr>
      <w:r>
        <w:rPr>
          <w:sz w:val="24"/>
        </w:rPr>
        <w:t>环境质量底线</w:t>
      </w:r>
    </w:p>
    <w:p>
      <w:pPr>
        <w:pStyle w:val="BodyText"/>
        <w:spacing w:line="364" w:lineRule="auto" w:before="158"/>
        <w:ind w:left="218" w:right="232" w:firstLine="480"/>
        <w:jc w:val="both"/>
      </w:pPr>
      <w:r>
        <w:rPr>
          <w:spacing w:val="-5"/>
        </w:rPr>
        <w:t>根据环境质量现状监测数据，评价区域环境空气、地表水、声环境现状均符合功能</w:t>
      </w:r>
      <w:r>
        <w:rPr>
          <w:spacing w:val="-6"/>
        </w:rPr>
        <w:t>区要求。项目区域内地下水监测因子中溶解性总固体、氯化物，总硬度指标出现超标</w:t>
      </w:r>
      <w:r>
        <w:rPr>
          <w:spacing w:val="-150"/>
        </w:rPr>
        <w:t>现</w:t>
      </w:r>
      <w:r>
        <w:rPr/>
        <w:t>象，不能达到《地下水质量标准》</w:t>
      </w:r>
      <w:r>
        <w:rPr>
          <w:rFonts w:ascii="Times New Roman" w:hAnsi="Times New Roman" w:eastAsia="Times New Roman"/>
        </w:rPr>
        <w:t>(GB/T14848-2017)</w:t>
      </w:r>
      <w:r>
        <w:rPr>
          <w:spacing w:val="-1"/>
        </w:rPr>
        <w:t>中的Ⅲ类标准要求，其余指标均能</w:t>
      </w:r>
      <w:r>
        <w:rPr/>
        <w:t>达到《地下水质量标准》</w:t>
      </w:r>
      <w:r>
        <w:rPr>
          <w:rFonts w:ascii="Times New Roman" w:hAnsi="Times New Roman" w:eastAsia="Times New Roman"/>
        </w:rPr>
        <w:t>(GB/T14848-2017)</w:t>
      </w:r>
      <w:r>
        <w:rPr/>
        <w:t>中的Ⅲ类标准要求。结合周围环境特征，</w:t>
      </w:r>
      <w:r>
        <w:rPr>
          <w:spacing w:val="-139"/>
        </w:rPr>
        <w:t>分</w:t>
      </w:r>
      <w:r>
        <w:rPr>
          <w:spacing w:val="-1"/>
        </w:rPr>
        <w:t>析认为溶解性总固体、总硬度和 </w:t>
      </w:r>
      <w:r>
        <w:rPr>
          <w:rFonts w:ascii="Times New Roman" w:hAnsi="Times New Roman" w:eastAsia="Times New Roman"/>
        </w:rPr>
        <w:t>Cl-</w:t>
      </w:r>
      <w:r>
        <w:rPr/>
        <w:t>超标原因最有可能是该地块位于围垦海涂滩地上， 该区域盐分较高引起的</w:t>
      </w:r>
      <w:r>
        <w:rPr>
          <w:spacing w:val="-24"/>
          <w:w w:val="170"/>
        </w:rPr>
        <w:t>。</w:t>
      </w:r>
      <w:r>
        <w:rPr/>
        <w:t>目前该区域地下水无开发利用计划</w:t>
      </w:r>
      <w:r>
        <w:rPr>
          <w:spacing w:val="-24"/>
          <w:w w:val="170"/>
        </w:rPr>
        <w:t>。</w:t>
      </w:r>
      <w:r>
        <w:rPr>
          <w:spacing w:val="-2"/>
        </w:rPr>
        <w:t>项目所在区域土壤监</w:t>
      </w:r>
      <w:r>
        <w:rPr>
          <w:spacing w:val="-220"/>
        </w:rPr>
        <w:t>测</w:t>
      </w:r>
      <w:r>
        <w:rPr>
          <w:spacing w:val="-3"/>
        </w:rPr>
        <w:t>因子均能满足《土壤环境质量标准建设用地土壤污染风险管控标准》</w:t>
      </w:r>
      <w:r>
        <w:rPr>
          <w:rFonts w:ascii="Times New Roman" w:hAnsi="Times New Roman" w:eastAsia="Times New Roman"/>
        </w:rPr>
        <w:t>(GB36600-2018)</w:t>
      </w:r>
      <w:r>
        <w:rPr/>
        <w:t>中第二类用地筛选值的要求，该区域土壤质量对植物和环境基本不造成危害和污染。</w:t>
      </w:r>
    </w:p>
    <w:p>
      <w:pPr>
        <w:pStyle w:val="BodyText"/>
        <w:spacing w:line="362" w:lineRule="auto"/>
        <w:ind w:left="218" w:right="184" w:firstLine="480"/>
      </w:pPr>
      <w:r>
        <w:rPr/>
        <w:t>根据分析，本次项目实施后废水经收集后进入厂区污水处理设施处理达标后纳管， 不排入地表水和地下水环境，不会对水环境质量底线造成影响；所排放的各类废气经过</w:t>
      </w:r>
    </w:p>
    <w:p>
      <w:pPr>
        <w:spacing w:after="0" w:line="362" w:lineRule="auto"/>
        <w:sectPr>
          <w:pgSz w:w="11910" w:h="16840"/>
          <w:pgMar w:header="872" w:footer="873" w:top="1320" w:bottom="1060" w:left="1200" w:right="1180"/>
        </w:sectPr>
      </w:pPr>
    </w:p>
    <w:p>
      <w:pPr>
        <w:pStyle w:val="BodyText"/>
        <w:spacing w:line="364" w:lineRule="auto" w:before="84"/>
        <w:ind w:left="218" w:right="232"/>
        <w:jc w:val="both"/>
      </w:pPr>
      <w:r>
        <w:rPr>
          <w:spacing w:val="-5"/>
        </w:rPr>
        <w:t>收集处理后达标排放，根据预测，废气外排对周围环境空气造成的影响较小，不会突破</w:t>
      </w:r>
      <w:r>
        <w:rPr>
          <w:spacing w:val="-3"/>
        </w:rPr>
        <w:t>环境空气质量底线；所排放的污染物对土壤环境的影响较小</w:t>
      </w:r>
      <w:r>
        <w:rPr>
          <w:spacing w:val="-23"/>
          <w:w w:val="180"/>
        </w:rPr>
        <w:t>。</w:t>
      </w:r>
      <w:r>
        <w:rPr>
          <w:spacing w:val="-2"/>
        </w:rPr>
        <w:t>项目实施后周围声环境</w:t>
      </w:r>
      <w:r>
        <w:rPr>
          <w:spacing w:val="-220"/>
        </w:rPr>
        <w:t>可</w:t>
      </w:r>
      <w:r>
        <w:rPr/>
        <w:t>满足功能区要求。</w:t>
      </w:r>
    </w:p>
    <w:p>
      <w:pPr>
        <w:pStyle w:val="Heading4"/>
        <w:spacing w:line="305" w:lineRule="exact"/>
      </w:pPr>
      <w:r>
        <w:rPr/>
        <w:t>本项目排放的污染物不会对区域环境质量底线造成冲击。</w:t>
      </w:r>
    </w:p>
    <w:p>
      <w:pPr>
        <w:pStyle w:val="ListParagraph"/>
        <w:numPr>
          <w:ilvl w:val="0"/>
          <w:numId w:val="60"/>
        </w:numPr>
        <w:tabs>
          <w:tab w:pos="1300" w:val="left" w:leader="none"/>
        </w:tabs>
        <w:spacing w:line="240" w:lineRule="auto" w:before="161" w:after="0"/>
        <w:ind w:left="1299" w:right="0" w:hanging="602"/>
        <w:jc w:val="left"/>
        <w:rPr>
          <w:sz w:val="24"/>
        </w:rPr>
      </w:pPr>
      <w:r>
        <w:rPr>
          <w:sz w:val="24"/>
        </w:rPr>
        <w:t>资源利用上线</w:t>
      </w:r>
    </w:p>
    <w:p>
      <w:pPr>
        <w:pStyle w:val="BodyText"/>
        <w:spacing w:line="364" w:lineRule="auto" w:before="158"/>
        <w:ind w:left="218" w:right="115" w:firstLine="480"/>
      </w:pPr>
      <w:r>
        <w:rPr>
          <w:spacing w:val="-9"/>
        </w:rPr>
        <w:t>本项目用水来自工业区供水管网，其他能源主要为电、蒸汽，均通过相应管网接入</w:t>
      </w:r>
      <w:r>
        <w:rPr>
          <w:spacing w:val="-144"/>
        </w:rPr>
        <w:t>。</w:t>
      </w:r>
      <w:r>
        <w:rPr>
          <w:spacing w:val="-4"/>
        </w:rPr>
        <w:t>本项目建成运行后通过内部管理、设备选择、原辅材料的选用和管理、污染治理等多方</w:t>
      </w:r>
      <w:r>
        <w:rPr>
          <w:spacing w:val="-5"/>
        </w:rPr>
        <w:t>面采取合理可行的防治措施，以</w:t>
      </w:r>
      <w:r>
        <w:rPr>
          <w:rFonts w:ascii="Times New Roman" w:hAnsi="Times New Roman" w:eastAsia="Times New Roman"/>
        </w:rPr>
        <w:t>“</w:t>
      </w:r>
      <w:r>
        <w:rPr>
          <w:spacing w:val="-3"/>
        </w:rPr>
        <w:t>节能、降耗、减污</w:t>
      </w:r>
      <w:r>
        <w:rPr>
          <w:rFonts w:ascii="Times New Roman" w:hAnsi="Times New Roman" w:eastAsia="Times New Roman"/>
        </w:rPr>
        <w:t>”</w:t>
      </w:r>
      <w:r>
        <w:rPr>
          <w:spacing w:val="-5"/>
        </w:rPr>
        <w:t>为目标，有效地控制污染。项目实</w:t>
      </w:r>
      <w:r>
        <w:rPr/>
        <w:t>施后在原辅材料单耗、能耗、水、气等资源利用等方面不会突破区域的资源利用上线</w:t>
      </w:r>
      <w:r>
        <w:rPr>
          <w:spacing w:val="-187"/>
          <w:w w:val="180"/>
        </w:rPr>
        <w:t>。</w:t>
      </w:r>
    </w:p>
    <w:p>
      <w:pPr>
        <w:pStyle w:val="ListParagraph"/>
        <w:numPr>
          <w:ilvl w:val="0"/>
          <w:numId w:val="60"/>
        </w:numPr>
        <w:tabs>
          <w:tab w:pos="1300" w:val="left" w:leader="none"/>
        </w:tabs>
        <w:spacing w:line="240" w:lineRule="auto" w:before="0" w:after="0"/>
        <w:ind w:left="1299" w:right="0" w:hanging="602"/>
        <w:jc w:val="left"/>
        <w:rPr>
          <w:sz w:val="24"/>
        </w:rPr>
      </w:pPr>
      <w:r>
        <w:rPr>
          <w:sz w:val="24"/>
        </w:rPr>
        <w:t>环境准入负面清单</w:t>
      </w:r>
    </w:p>
    <w:p>
      <w:pPr>
        <w:pStyle w:val="BodyText"/>
        <w:spacing w:line="364" w:lineRule="auto" w:before="158"/>
        <w:ind w:left="218" w:right="116" w:firstLine="480"/>
      </w:pPr>
      <w:r>
        <w:rPr>
          <w:spacing w:val="-3"/>
        </w:rPr>
        <w:t>根据《绍兴市</w:t>
      </w:r>
      <w:r>
        <w:rPr>
          <w:rFonts w:ascii="Times New Roman" w:hAnsi="Times New Roman" w:eastAsia="Times New Roman"/>
        </w:rPr>
        <w:t>“</w:t>
      </w:r>
      <w:r>
        <w:rPr/>
        <w:t>三线一单</w:t>
      </w:r>
      <w:r>
        <w:rPr>
          <w:rFonts w:ascii="Times New Roman" w:hAnsi="Times New Roman" w:eastAsia="Times New Roman"/>
        </w:rPr>
        <w:t>”</w:t>
      </w:r>
      <w:r>
        <w:rPr>
          <w:spacing w:val="-2"/>
        </w:rPr>
        <w:t>生态环境分区管控方案》，本项目所在地属于杭州湾上虞经济技术开发区产业集聚类重点管控单元</w:t>
      </w:r>
      <w:r>
        <w:rPr>
          <w:spacing w:val="-77"/>
          <w:w w:val="180"/>
        </w:rPr>
        <w:t>。</w:t>
      </w:r>
      <w:r>
        <w:rPr>
          <w:spacing w:val="-26"/>
        </w:rPr>
        <w:t>根据《</w:t>
      </w:r>
      <w:r>
        <w:rPr>
          <w:rFonts w:ascii="Times New Roman" w:hAnsi="Times New Roman" w:eastAsia="Times New Roman"/>
        </w:rPr>
        <w:t>2020 </w:t>
      </w:r>
      <w:r>
        <w:rPr>
          <w:spacing w:val="-7"/>
        </w:rPr>
        <w:t>年绍兴市上虞区环境质量公报》</w:t>
      </w:r>
      <w:r>
        <w:rPr>
          <w:spacing w:val="-220"/>
        </w:rPr>
        <w:t>，</w:t>
      </w:r>
      <w:r>
        <w:rPr>
          <w:spacing w:val="-118"/>
        </w:rPr>
        <w:t> </w:t>
      </w:r>
      <w:r>
        <w:rPr>
          <w:spacing w:val="-4"/>
        </w:rPr>
        <w:t>上虞区属于环境空气质量达标区；上虞区主要地表水系及项目附近地表水均能满足功能</w:t>
      </w:r>
      <w:r>
        <w:rPr>
          <w:spacing w:val="5"/>
        </w:rPr>
        <w:t>区要求。本项目新增的 </w:t>
      </w:r>
      <w:r>
        <w:rPr>
          <w:rFonts w:ascii="Times New Roman" w:hAnsi="Times New Roman" w:eastAsia="Times New Roman"/>
        </w:rPr>
        <w:t>CODcr</w:t>
      </w:r>
      <w:r>
        <w:rPr/>
        <w:t>、氨氮、</w:t>
      </w:r>
      <w:r>
        <w:rPr>
          <w:rFonts w:ascii="Times New Roman" w:hAnsi="Times New Roman" w:eastAsia="Times New Roman"/>
        </w:rPr>
        <w:t>VOCs</w:t>
      </w:r>
      <w:r>
        <w:rPr/>
        <w:t>、工业烟粉尘总量控制指标按比例通过排</w:t>
      </w:r>
      <w:r>
        <w:rPr>
          <w:spacing w:val="-3"/>
        </w:rPr>
        <w:t>污权交易或区域平衡解决，不增加区域污染物排放量，符合绍兴市生态环境准入清单的总体准入清单要求。</w:t>
      </w:r>
    </w:p>
    <w:p>
      <w:pPr>
        <w:pStyle w:val="BodyText"/>
        <w:spacing w:line="364" w:lineRule="auto"/>
        <w:ind w:left="218" w:right="232" w:firstLine="480"/>
        <w:jc w:val="both"/>
      </w:pPr>
      <w:r>
        <w:rPr>
          <w:spacing w:val="-9"/>
        </w:rPr>
        <w:t>根据《杭州湾上虞经济技术开发区产业提升区及配套区控制性详细规划环境影响报</w:t>
      </w:r>
      <w:r>
        <w:rPr>
          <w:spacing w:val="-8"/>
        </w:rPr>
        <w:t>告书》，对照规划环评结论性清单，项目符合生态空间清单各项管控要求，未列入环境</w:t>
      </w:r>
      <w:r>
        <w:rPr/>
        <w:t>准入条件清单中禁止和限制的工艺清单和产品清单。</w:t>
      </w:r>
    </w:p>
    <w:p>
      <w:pPr>
        <w:pStyle w:val="BodyText"/>
        <w:ind w:left="698"/>
      </w:pPr>
      <w:r>
        <w:rPr>
          <w:w w:val="105"/>
        </w:rPr>
        <w:t>据此，可判定项目未列入相关的负面清单。</w:t>
      </w:r>
    </w:p>
    <w:p>
      <w:pPr>
        <w:pStyle w:val="Heading4"/>
        <w:spacing w:before="155"/>
        <w:ind w:left="698"/>
      </w:pPr>
      <w:r>
        <w:rPr/>
        <w:t>综上，项目总体上能够符合</w:t>
      </w:r>
      <w:r>
        <w:rPr>
          <w:rFonts w:ascii="Times New Roman" w:hAnsi="Times New Roman" w:eastAsia="Times New Roman"/>
        </w:rPr>
        <w:t>“</w:t>
      </w:r>
      <w:r>
        <w:rPr/>
        <w:t>三线一单</w:t>
      </w:r>
      <w:r>
        <w:rPr>
          <w:rFonts w:ascii="Times New Roman" w:hAnsi="Times New Roman" w:eastAsia="Times New Roman"/>
        </w:rPr>
        <w:t>”</w:t>
      </w:r>
      <w:r>
        <w:rPr/>
        <w:t>的管理要求。</w:t>
      </w:r>
    </w:p>
    <w:p>
      <w:pPr>
        <w:pStyle w:val="BodyText"/>
        <w:spacing w:before="160"/>
        <w:ind w:left="698"/>
      </w:pPr>
      <w:r>
        <w:rPr>
          <w:rFonts w:ascii="Times New Roman" w:eastAsia="Times New Roman"/>
        </w:rPr>
        <w:t>5</w:t>
      </w:r>
      <w:r>
        <w:rPr/>
        <w:t>、项目建设符合土地利用总体规划、开发区规划、国家和省产业政策等要求</w:t>
      </w:r>
    </w:p>
    <w:p>
      <w:pPr>
        <w:pStyle w:val="ListParagraph"/>
        <w:numPr>
          <w:ilvl w:val="0"/>
          <w:numId w:val="61"/>
        </w:numPr>
        <w:tabs>
          <w:tab w:pos="1300" w:val="left" w:leader="none"/>
        </w:tabs>
        <w:spacing w:line="240" w:lineRule="auto" w:before="161" w:after="0"/>
        <w:ind w:left="1299" w:right="0" w:hanging="602"/>
        <w:jc w:val="left"/>
        <w:rPr>
          <w:sz w:val="24"/>
        </w:rPr>
      </w:pPr>
      <w:r>
        <w:rPr>
          <w:sz w:val="24"/>
        </w:rPr>
        <w:t>城市总体规划符合性</w:t>
      </w:r>
    </w:p>
    <w:p>
      <w:pPr>
        <w:spacing w:line="364" w:lineRule="auto" w:before="158"/>
        <w:ind w:left="218" w:right="236" w:firstLine="480"/>
        <w:jc w:val="both"/>
        <w:rPr>
          <w:b/>
          <w:sz w:val="24"/>
        </w:rPr>
      </w:pPr>
      <w:r>
        <w:rPr>
          <w:spacing w:val="-9"/>
          <w:sz w:val="24"/>
        </w:rPr>
        <w:t>根据《上虞市城市总体规划》</w:t>
      </w:r>
      <w:r>
        <w:rPr>
          <w:rFonts w:ascii="Times New Roman" w:eastAsia="Times New Roman"/>
          <w:spacing w:val="-3"/>
          <w:sz w:val="24"/>
        </w:rPr>
        <w:t>(2006~2020)</w:t>
      </w:r>
      <w:r>
        <w:rPr>
          <w:spacing w:val="-3"/>
          <w:sz w:val="24"/>
        </w:rPr>
        <w:t>，杭州湾上虞经济技术开发区建设符合上</w:t>
      </w:r>
      <w:r>
        <w:rPr>
          <w:spacing w:val="-6"/>
          <w:sz w:val="24"/>
        </w:rPr>
        <w:t>虞城市发展方向，该开发区主要用于发展以染料、颜料为特色的精细化工、各类医药中</w:t>
      </w:r>
      <w:r>
        <w:rPr>
          <w:spacing w:val="-7"/>
          <w:sz w:val="24"/>
        </w:rPr>
        <w:t>间体、原料药等产业，</w:t>
      </w:r>
      <w:r>
        <w:rPr>
          <w:b/>
          <w:spacing w:val="-5"/>
          <w:sz w:val="24"/>
        </w:rPr>
        <w:t>项目生产农药产品，属于精细化工产业。因此本项目的建设符合</w:t>
      </w:r>
      <w:r>
        <w:rPr>
          <w:b/>
          <w:spacing w:val="-8"/>
          <w:sz w:val="24"/>
        </w:rPr>
        <w:t>绍兴市上虞区城市总体规划，项目在杭州湾上虞经济技术开发区建设符合上虞城市总体</w:t>
      </w:r>
      <w:r>
        <w:rPr>
          <w:b/>
          <w:sz w:val="24"/>
        </w:rPr>
        <w:t>规划的发展方向。</w:t>
      </w:r>
    </w:p>
    <w:p>
      <w:pPr>
        <w:pStyle w:val="ListParagraph"/>
        <w:numPr>
          <w:ilvl w:val="0"/>
          <w:numId w:val="61"/>
        </w:numPr>
        <w:tabs>
          <w:tab w:pos="1300" w:val="left" w:leader="none"/>
        </w:tabs>
        <w:spacing w:line="306" w:lineRule="exact" w:before="0" w:after="0"/>
        <w:ind w:left="1299" w:right="0" w:hanging="602"/>
        <w:jc w:val="left"/>
        <w:rPr>
          <w:sz w:val="24"/>
        </w:rPr>
      </w:pPr>
      <w:r>
        <w:rPr>
          <w:sz w:val="24"/>
        </w:rPr>
        <w:t>杭州湾上虞经济技术开发区产业提升区及配套区符合性分析</w:t>
      </w:r>
    </w:p>
    <w:p>
      <w:pPr>
        <w:pStyle w:val="BodyText"/>
        <w:spacing w:before="158"/>
        <w:ind w:left="701"/>
      </w:pPr>
      <w:r>
        <w:rPr/>
        <w:t>杭州湾上虞经济技术开发区的产业发展定位：以上虞区化工、印染等行业整治提升</w:t>
      </w:r>
    </w:p>
    <w:p>
      <w:pPr>
        <w:spacing w:after="0"/>
        <w:sectPr>
          <w:pgSz w:w="11910" w:h="16840"/>
          <w:pgMar w:header="872" w:footer="873" w:top="1320" w:bottom="1060" w:left="1200" w:right="1180"/>
        </w:sectPr>
      </w:pPr>
    </w:p>
    <w:p>
      <w:pPr>
        <w:pStyle w:val="BodyText"/>
        <w:spacing w:line="364" w:lineRule="auto" w:before="84"/>
        <w:ind w:left="218" w:right="232"/>
        <w:jc w:val="both"/>
      </w:pPr>
      <w:r>
        <w:rPr/>
        <w:t>行动为契机，以</w:t>
      </w:r>
      <w:r>
        <w:rPr>
          <w:rFonts w:ascii="Times New Roman" w:hAnsi="Times New Roman" w:eastAsia="Times New Roman"/>
        </w:rPr>
        <w:t>“</w:t>
      </w:r>
      <w:r>
        <w:rPr/>
        <w:t>创新、协调、绿色、开放、共享</w:t>
      </w:r>
      <w:r>
        <w:rPr>
          <w:rFonts w:ascii="Times New Roman" w:hAnsi="Times New Roman" w:eastAsia="Times New Roman"/>
        </w:rPr>
        <w:t>”</w:t>
      </w:r>
      <w:r>
        <w:rPr/>
        <w:t>的</w:t>
      </w:r>
      <w:r>
        <w:rPr>
          <w:rFonts w:ascii="Times New Roman" w:hAnsi="Times New Roman" w:eastAsia="Times New Roman"/>
        </w:rPr>
        <w:t>“</w:t>
      </w:r>
      <w:r>
        <w:rPr/>
        <w:t>五大</w:t>
      </w:r>
      <w:r>
        <w:rPr>
          <w:rFonts w:ascii="Times New Roman" w:hAnsi="Times New Roman" w:eastAsia="Times New Roman"/>
        </w:rPr>
        <w:t>”</w:t>
      </w:r>
      <w:r>
        <w:rPr>
          <w:spacing w:val="-2"/>
        </w:rPr>
        <w:t>发展理念为引领，按照开发</w:t>
      </w:r>
      <w:r>
        <w:rPr>
          <w:spacing w:val="-7"/>
        </w:rPr>
        <w:t>区化工、印染等行业入园准入要求，吸纳承接整治提升的化工、印染等产业，拓展形成</w:t>
      </w:r>
      <w:r>
        <w:rPr/>
        <w:t>以新型精细化工、印染为主导的绿色化工、印染产业集聚区。</w:t>
      </w:r>
    </w:p>
    <w:p>
      <w:pPr>
        <w:pStyle w:val="Heading4"/>
        <w:spacing w:line="364" w:lineRule="auto"/>
        <w:ind w:left="218" w:right="234" w:firstLine="482"/>
        <w:jc w:val="both"/>
      </w:pPr>
      <w:r>
        <w:rPr>
          <w:spacing w:val="-6"/>
        </w:rPr>
        <w:t>根据园区产业提升区及配套区控制性详细规划，项目建设用地规划属于 </w:t>
      </w:r>
      <w:r>
        <w:rPr>
          <w:rFonts w:ascii="Times New Roman" w:eastAsia="Times New Roman"/>
        </w:rPr>
        <w:t>3 </w:t>
      </w:r>
      <w:r>
        <w:rPr>
          <w:spacing w:val="-4"/>
        </w:rPr>
        <w:t>类工业用</w:t>
      </w:r>
      <w:r>
        <w:rPr>
          <w:spacing w:val="-9"/>
        </w:rPr>
        <w:t>地，项目属于化工类，是园区中的主导产业，项目性质不属于规划禁止类产业项目，因此符合所在区块控制性详规规划产业发展规划和控制性详规要求。</w:t>
      </w:r>
    </w:p>
    <w:p>
      <w:pPr>
        <w:pStyle w:val="ListParagraph"/>
        <w:numPr>
          <w:ilvl w:val="0"/>
          <w:numId w:val="61"/>
        </w:numPr>
        <w:tabs>
          <w:tab w:pos="1300" w:val="left" w:leader="none"/>
        </w:tabs>
        <w:spacing w:line="307" w:lineRule="exact" w:before="0" w:after="0"/>
        <w:ind w:left="1299" w:right="0" w:hanging="602"/>
        <w:jc w:val="left"/>
        <w:rPr>
          <w:sz w:val="24"/>
        </w:rPr>
      </w:pPr>
      <w:r>
        <w:rPr>
          <w:sz w:val="24"/>
        </w:rPr>
        <w:t>产业政策符合性分析</w:t>
      </w:r>
    </w:p>
    <w:p>
      <w:pPr>
        <w:pStyle w:val="BodyText"/>
        <w:spacing w:line="364" w:lineRule="auto" w:before="158"/>
        <w:ind w:left="218" w:right="234" w:firstLine="480"/>
        <w:jc w:val="both"/>
      </w:pPr>
      <w:r>
        <w:rPr>
          <w:spacing w:val="-1"/>
        </w:rPr>
        <w:t>①本项目选址位于杭州湾上虞经济技术开发区振兴大道</w:t>
      </w:r>
      <w:r>
        <w:rPr/>
        <w:t>（新征用地</w:t>
      </w:r>
      <w:r>
        <w:rPr>
          <w:spacing w:val="-17"/>
        </w:rPr>
        <w:t>），</w:t>
      </w:r>
      <w:r>
        <w:rPr>
          <w:spacing w:val="-3"/>
        </w:rPr>
        <w:t>从事农药制</w:t>
      </w:r>
      <w:r>
        <w:rPr>
          <w:spacing w:val="-8"/>
        </w:rPr>
        <w:t>造。通过对《产业结构调整指导目录</w:t>
      </w:r>
      <w:r>
        <w:rPr/>
        <w:t>（</w:t>
      </w:r>
      <w:r>
        <w:rPr>
          <w:rFonts w:ascii="Times New Roman" w:hAnsi="Times New Roman" w:eastAsia="Times New Roman"/>
        </w:rPr>
        <w:t>2019</w:t>
      </w:r>
      <w:r>
        <w:rPr>
          <w:rFonts w:ascii="Times New Roman" w:hAnsi="Times New Roman" w:eastAsia="Times New Roman"/>
          <w:spacing w:val="57"/>
        </w:rPr>
        <w:t> </w:t>
      </w:r>
      <w:r>
        <w:rPr/>
        <w:t>年本</w:t>
      </w:r>
      <w:r>
        <w:rPr>
          <w:spacing w:val="-20"/>
        </w:rPr>
        <w:t>）</w:t>
      </w:r>
      <w:r>
        <w:rPr>
          <w:spacing w:val="-7"/>
        </w:rPr>
        <w:t>》等国家、地方产业政策文件查阅</w:t>
      </w:r>
      <w:r>
        <w:rPr>
          <w:spacing w:val="-170"/>
        </w:rPr>
        <w:t>分</w:t>
      </w:r>
      <w:r>
        <w:rPr>
          <w:w w:val="105"/>
        </w:rPr>
        <w:t>析，判定本项目不属于限制发展和禁止发展项目。</w:t>
      </w:r>
    </w:p>
    <w:p>
      <w:pPr>
        <w:pStyle w:val="BodyText"/>
        <w:spacing w:line="364" w:lineRule="auto"/>
        <w:ind w:left="218" w:right="236" w:firstLine="480"/>
        <w:jc w:val="both"/>
      </w:pPr>
      <w:r>
        <w:rPr>
          <w:spacing w:val="-6"/>
        </w:rPr>
        <w:t>②根据《长江经济带发展负面清单指南</w:t>
      </w:r>
      <w:r>
        <w:rPr/>
        <w:t>（</w:t>
      </w:r>
      <w:r>
        <w:rPr>
          <w:rFonts w:ascii="Times New Roman" w:hAnsi="Times New Roman" w:eastAsia="Times New Roman"/>
        </w:rPr>
        <w:t>2022 </w:t>
      </w:r>
      <w:r>
        <w:rPr>
          <w:spacing w:val="-6"/>
        </w:rPr>
        <w:t>年，试行</w:t>
      </w:r>
      <w:r>
        <w:rPr>
          <w:spacing w:val="-20"/>
        </w:rPr>
        <w:t>）</w:t>
      </w:r>
      <w:r>
        <w:rPr>
          <w:spacing w:val="-5"/>
        </w:rPr>
        <w:t>浙江省实施细则》，与本项目相关的条目有：</w:t>
      </w:r>
    </w:p>
    <w:p>
      <w:pPr>
        <w:pStyle w:val="BodyText"/>
        <w:spacing w:line="364" w:lineRule="auto"/>
        <w:ind w:left="218" w:right="184" w:firstLine="480"/>
        <w:jc w:val="both"/>
      </w:pPr>
      <w:r>
        <w:rPr>
          <w:spacing w:val="-1"/>
        </w:rPr>
        <w:t>第十五条：禁止在合规园区外新建、扩建钢铁、石化、化工、焦化、建材、有色、</w:t>
      </w:r>
      <w:r>
        <w:rPr/>
        <w:t>制浆造纸等高污染项目</w:t>
      </w:r>
      <w:r>
        <w:rPr>
          <w:spacing w:val="-34"/>
          <w:w w:val="180"/>
        </w:rPr>
        <w:t>。</w:t>
      </w:r>
      <w:r>
        <w:rPr>
          <w:spacing w:val="-3"/>
        </w:rPr>
        <w:t>高污染项目清单参照生态环境部《环境保护综合</w:t>
      </w:r>
      <w:r>
        <w:rPr>
          <w:rFonts w:ascii="Times New Roman" w:eastAsia="Times New Roman"/>
          <w:spacing w:val="-3"/>
        </w:rPr>
        <w:t>|</w:t>
      </w:r>
      <w:r>
        <w:rPr>
          <w:spacing w:val="-8"/>
        </w:rPr>
        <w:t>目录》中的</w:t>
      </w:r>
      <w:r>
        <w:rPr>
          <w:spacing w:val="-199"/>
        </w:rPr>
        <w:t>高</w:t>
      </w:r>
      <w:r>
        <w:rPr/>
        <w:t>污染产品目录执行。</w:t>
      </w:r>
    </w:p>
    <w:p>
      <w:pPr>
        <w:pStyle w:val="BodyText"/>
        <w:spacing w:line="307" w:lineRule="exact"/>
        <w:ind w:left="698"/>
      </w:pPr>
      <w:r>
        <w:rPr/>
        <w:t>第十七条：禁止新建、扩建法律法规和相关政策明令禁止的落后产能项目，对列入</w:t>
      </w:r>
    </w:p>
    <w:p>
      <w:pPr>
        <w:pStyle w:val="BodyText"/>
        <w:spacing w:line="364" w:lineRule="auto" w:before="155"/>
        <w:ind w:left="218" w:right="113"/>
      </w:pPr>
      <w:r>
        <w:rPr>
          <w:spacing w:val="-4"/>
        </w:rPr>
        <w:t>《国家产业结构调整指导目录》淘汰类中的落后生产工艺装备、落后产品投资项目，列入《外商投资准入特别管理措施</w:t>
      </w:r>
      <w:r>
        <w:rPr/>
        <w:t>（负面清单</w:t>
      </w:r>
      <w:r>
        <w:rPr>
          <w:spacing w:val="-120"/>
        </w:rPr>
        <w:t>）</w:t>
      </w:r>
      <w:r>
        <w:rPr>
          <w:spacing w:val="-5"/>
        </w:rPr>
        <w:t>》的外商投资项目，一律不得核准、备案</w:t>
      </w:r>
      <w:r>
        <w:rPr>
          <w:spacing w:val="-159"/>
        </w:rPr>
        <w:t>。</w:t>
      </w:r>
      <w:r>
        <w:rPr/>
        <w:t>禁止向落后产能项目和严重过剩产能行业项目供应土地。</w:t>
      </w:r>
    </w:p>
    <w:p>
      <w:pPr>
        <w:pStyle w:val="BodyText"/>
        <w:spacing w:line="362" w:lineRule="auto"/>
        <w:ind w:left="218" w:right="113" w:firstLine="480"/>
      </w:pPr>
      <w:r>
        <w:rPr/>
        <w:t>第十八条：禁止新建、扩建不符合国家产能置换要求的严重过剩产能行业的项目， </w:t>
      </w:r>
      <w:r>
        <w:rPr>
          <w:spacing w:val="-8"/>
        </w:rPr>
        <w:t>部门、机构禁止办理相关的土地</w:t>
      </w:r>
      <w:r>
        <w:rPr/>
        <w:t>（海域</w:t>
      </w:r>
      <w:r>
        <w:rPr>
          <w:spacing w:val="-34"/>
        </w:rPr>
        <w:t>）</w:t>
      </w:r>
      <w:r>
        <w:rPr>
          <w:spacing w:val="-9"/>
        </w:rPr>
        <w:t>供应、能评、环评审批和新增授信支持等业务</w:t>
      </w:r>
      <w:r>
        <w:rPr>
          <w:spacing w:val="-139"/>
        </w:rPr>
        <w:t>。</w:t>
      </w:r>
    </w:p>
    <w:p>
      <w:pPr>
        <w:spacing w:line="364" w:lineRule="auto" w:before="4"/>
        <w:ind w:left="218" w:right="233" w:firstLine="482"/>
        <w:jc w:val="both"/>
        <w:rPr>
          <w:b/>
          <w:sz w:val="24"/>
        </w:rPr>
      </w:pPr>
      <w:r>
        <w:rPr>
          <w:b/>
          <w:spacing w:val="-2"/>
          <w:sz w:val="24"/>
        </w:rPr>
        <w:t>符合性分析：</w:t>
      </w:r>
      <w:r>
        <w:rPr>
          <w:spacing w:val="-6"/>
          <w:sz w:val="24"/>
        </w:rPr>
        <w:t>本项目属于农药制造。经查，项目不属于国家、省、市等落后产能</w:t>
      </w:r>
      <w:r>
        <w:rPr>
          <w:spacing w:val="-158"/>
          <w:sz w:val="24"/>
        </w:rPr>
        <w:t>的</w:t>
      </w:r>
      <w:r>
        <w:rPr>
          <w:spacing w:val="-8"/>
          <w:sz w:val="24"/>
        </w:rPr>
        <w:t>限制类、淘汰类项目，不属于严重过剩产能行业；项目拟建于国务院批准设立的杭州湾</w:t>
      </w:r>
      <w:r>
        <w:rPr>
          <w:sz w:val="24"/>
        </w:rPr>
        <w:t>上虞经济技术开发区内，属合规园区；</w:t>
      </w:r>
      <w:r>
        <w:rPr>
          <w:b/>
          <w:spacing w:val="-11"/>
          <w:sz w:val="24"/>
        </w:rPr>
        <w:t>因此，项目的建设符合《〈长江经济带发展负面清单指南（试行</w:t>
      </w:r>
      <w:r>
        <w:rPr>
          <w:b/>
          <w:spacing w:val="-120"/>
          <w:sz w:val="24"/>
        </w:rPr>
        <w:t>）</w:t>
      </w:r>
      <w:r>
        <w:rPr>
          <w:b/>
          <w:sz w:val="24"/>
        </w:rPr>
        <w:t>〉浙江省实施细则》要求。</w:t>
      </w:r>
    </w:p>
    <w:p>
      <w:pPr>
        <w:pStyle w:val="BodyText"/>
        <w:spacing w:line="306" w:lineRule="exact"/>
        <w:ind w:left="698"/>
      </w:pPr>
      <w:r>
        <w:rPr>
          <w:rFonts w:ascii="Times New Roman" w:eastAsia="Times New Roman"/>
        </w:rPr>
        <w:t>6</w:t>
      </w:r>
      <w:r>
        <w:rPr/>
        <w:t>、项目建设符合规划环评要求、环境事故风险水平可接受，并符合公众参与要求</w:t>
      </w:r>
    </w:p>
    <w:p>
      <w:pPr>
        <w:pStyle w:val="ListParagraph"/>
        <w:numPr>
          <w:ilvl w:val="0"/>
          <w:numId w:val="62"/>
        </w:numPr>
        <w:tabs>
          <w:tab w:pos="1300" w:val="left" w:leader="none"/>
        </w:tabs>
        <w:spacing w:line="240" w:lineRule="auto" w:before="161" w:after="0"/>
        <w:ind w:left="1299" w:right="0" w:hanging="602"/>
        <w:jc w:val="left"/>
        <w:rPr>
          <w:sz w:val="24"/>
        </w:rPr>
      </w:pPr>
      <w:r>
        <w:rPr>
          <w:sz w:val="24"/>
        </w:rPr>
        <w:t>规划环评要求的符合性</w:t>
      </w:r>
    </w:p>
    <w:p>
      <w:pPr>
        <w:pStyle w:val="BodyText"/>
        <w:spacing w:line="364" w:lineRule="auto" w:before="158"/>
        <w:ind w:left="218" w:right="233" w:firstLine="480"/>
        <w:jc w:val="both"/>
      </w:pPr>
      <w:r>
        <w:rPr>
          <w:spacing w:val="-6"/>
        </w:rPr>
        <w:t>本项目为农药产品制造，属于化工产业，拟建地位于杭州湾上虞经济技术开发区振兴大道，为杭州湾上虞经济技术开发区产业提升区与配套区。项目为园区主导产业，</w:t>
      </w:r>
      <w:r>
        <w:rPr>
          <w:spacing w:val="-146"/>
        </w:rPr>
        <w:t>不</w:t>
      </w:r>
      <w:r>
        <w:rPr>
          <w:spacing w:val="-4"/>
        </w:rPr>
        <w:t>属于园区禁止的三类工业项目，项目污染物排放水平可达到同行业国内先进水平，故符</w:t>
      </w:r>
    </w:p>
    <w:p>
      <w:pPr>
        <w:spacing w:after="0" w:line="364" w:lineRule="auto"/>
        <w:jc w:val="both"/>
        <w:sectPr>
          <w:pgSz w:w="11910" w:h="16840"/>
          <w:pgMar w:header="872" w:footer="873" w:top="1320" w:bottom="1060" w:left="1200" w:right="1180"/>
        </w:sectPr>
      </w:pPr>
    </w:p>
    <w:p>
      <w:pPr>
        <w:pStyle w:val="BodyText"/>
        <w:spacing w:line="364" w:lineRule="auto" w:before="84"/>
        <w:ind w:left="218" w:right="232"/>
      </w:pPr>
      <w:r>
        <w:rPr>
          <w:spacing w:val="-4"/>
        </w:rPr>
        <w:t>合生态空间清单中的要求。项目将采用先进的设计理念和生产装备，按照密闭化、管</w:t>
      </w:r>
      <w:r>
        <w:rPr>
          <w:spacing w:val="-138"/>
        </w:rPr>
        <w:t>道</w:t>
      </w:r>
      <w:r>
        <w:rPr>
          <w:spacing w:val="-2"/>
        </w:rPr>
        <w:t>化要求进行设计、安装和生产，并配套完善的</w:t>
      </w:r>
      <w:r>
        <w:rPr>
          <w:rFonts w:ascii="Times New Roman" w:hAnsi="Times New Roman" w:eastAsia="Times New Roman"/>
        </w:rPr>
        <w:t>“</w:t>
      </w:r>
      <w:r>
        <w:rPr/>
        <w:t>三废</w:t>
      </w:r>
      <w:r>
        <w:rPr>
          <w:rFonts w:ascii="Times New Roman" w:hAnsi="Times New Roman" w:eastAsia="Times New Roman"/>
        </w:rPr>
        <w:t>”</w:t>
      </w:r>
      <w:r>
        <w:rPr>
          <w:spacing w:val="-2"/>
        </w:rPr>
        <w:t>治理设施。项目原料及产品不属</w:t>
      </w:r>
      <w:r>
        <w:rPr>
          <w:spacing w:val="-145"/>
        </w:rPr>
        <w:t>于</w:t>
      </w:r>
    </w:p>
    <w:p>
      <w:pPr>
        <w:pStyle w:val="BodyText"/>
        <w:spacing w:line="364" w:lineRule="auto"/>
        <w:ind w:left="218" w:right="112"/>
      </w:pPr>
      <w:r>
        <w:rPr>
          <w:spacing w:val="-1"/>
        </w:rPr>
        <w:t>《杭州湾上虞经济技术开发区化工企业建设标准化实施细则》中 </w:t>
      </w:r>
      <w:r>
        <w:rPr>
          <w:rFonts w:ascii="Times New Roman" w:hAnsi="Times New Roman" w:eastAsia="Times New Roman"/>
        </w:rPr>
        <w:t>I </w:t>
      </w:r>
      <w:r>
        <w:rPr/>
        <w:t>类、</w:t>
      </w:r>
      <w:r>
        <w:rPr>
          <w:rFonts w:ascii="Times New Roman" w:hAnsi="Times New Roman" w:eastAsia="Times New Roman"/>
        </w:rPr>
        <w:t>Ⅱ</w:t>
      </w:r>
      <w:r>
        <w:rPr/>
        <w:t>类物质名录中</w:t>
      </w:r>
      <w:r>
        <w:rPr>
          <w:spacing w:val="-6"/>
        </w:rPr>
        <w:t>敏感物料，不属于嗅阈值低于 </w:t>
      </w:r>
      <w:r>
        <w:rPr>
          <w:rFonts w:ascii="Times New Roman" w:hAnsi="Times New Roman" w:eastAsia="Times New Roman"/>
        </w:rPr>
        <w:t>0.001ppm </w:t>
      </w:r>
      <w:r>
        <w:rPr>
          <w:spacing w:val="-30"/>
        </w:rPr>
        <w:t>或 </w:t>
      </w:r>
      <w:r>
        <w:rPr>
          <w:rFonts w:ascii="Times New Roman" w:hAnsi="Times New Roman" w:eastAsia="Times New Roman"/>
        </w:rPr>
        <w:t>0.1ppm</w:t>
      </w:r>
      <w:r>
        <w:rPr/>
        <w:t>，且生产设备及车间布局符合国家安监总局重点监管的危险化学品安全措施和应急处置原则</w:t>
      </w:r>
      <w:r>
        <w:rPr>
          <w:spacing w:val="-84"/>
          <w:w w:val="170"/>
        </w:rPr>
        <w:t>。</w:t>
      </w:r>
      <w:r>
        <w:rPr>
          <w:spacing w:val="-10"/>
        </w:rPr>
        <w:t>经过园区审查，符合入园条件</w:t>
      </w:r>
      <w:r>
        <w:rPr>
          <w:spacing w:val="-220"/>
        </w:rPr>
        <w:t>，</w:t>
      </w:r>
      <w:r>
        <w:rPr>
          <w:spacing w:val="-118"/>
        </w:rPr>
        <w:t> </w:t>
      </w:r>
      <w:r>
        <w:rPr/>
        <w:t>故项目符合环境准入条件清单。</w:t>
      </w:r>
    </w:p>
    <w:p>
      <w:pPr>
        <w:pStyle w:val="Heading4"/>
        <w:spacing w:line="364" w:lineRule="auto"/>
        <w:ind w:left="218" w:right="235" w:firstLine="482"/>
      </w:pPr>
      <w:r>
        <w:rPr>
          <w:spacing w:val="-11"/>
        </w:rPr>
        <w:t>综上，本项目符合杭州湾上虞经济技术开发区产业提升区及配套区总体规划及规划</w:t>
      </w:r>
      <w:r>
        <w:rPr/>
        <w:t>环评要求。</w:t>
      </w:r>
    </w:p>
    <w:p>
      <w:pPr>
        <w:pStyle w:val="ListParagraph"/>
        <w:numPr>
          <w:ilvl w:val="0"/>
          <w:numId w:val="62"/>
        </w:numPr>
        <w:tabs>
          <w:tab w:pos="1300" w:val="left" w:leader="none"/>
        </w:tabs>
        <w:spacing w:line="306" w:lineRule="exact" w:before="0" w:after="0"/>
        <w:ind w:left="1299" w:right="0" w:hanging="602"/>
        <w:jc w:val="left"/>
        <w:rPr>
          <w:sz w:val="24"/>
        </w:rPr>
      </w:pPr>
      <w:r>
        <w:rPr>
          <w:sz w:val="24"/>
        </w:rPr>
        <w:t>环境事故风险水平可接受分析</w:t>
      </w:r>
    </w:p>
    <w:p>
      <w:pPr>
        <w:pStyle w:val="BodyText"/>
        <w:spacing w:line="364" w:lineRule="auto" w:before="158"/>
        <w:ind w:left="218" w:right="232" w:firstLine="480"/>
        <w:jc w:val="both"/>
      </w:pPr>
      <w:r>
        <w:rPr>
          <w:spacing w:val="-4"/>
        </w:rPr>
        <w:t>本项目在生产、运输和贮存过程中存在一定的环境风险</w:t>
      </w:r>
      <w:r>
        <w:rPr>
          <w:spacing w:val="-24"/>
          <w:w w:val="180"/>
        </w:rPr>
        <w:t>。</w:t>
      </w:r>
      <w:r>
        <w:rPr>
          <w:spacing w:val="-2"/>
        </w:rPr>
        <w:t>根据评价工作等级划分</w:t>
      </w:r>
      <w:r>
        <w:rPr>
          <w:spacing w:val="-220"/>
        </w:rPr>
        <w:t>分</w:t>
      </w:r>
      <w:r>
        <w:rPr>
          <w:spacing w:val="-4"/>
        </w:rPr>
        <w:t>析，本项目环境风险综合评价等级为二级</w:t>
      </w:r>
      <w:r>
        <w:rPr>
          <w:spacing w:val="-17"/>
          <w:w w:val="180"/>
        </w:rPr>
        <w:t>。</w:t>
      </w:r>
      <w:r>
        <w:rPr>
          <w:spacing w:val="-2"/>
        </w:rPr>
        <w:t>要求企业修编应急预案，对各种风险事故</w:t>
      </w:r>
      <w:r>
        <w:rPr>
          <w:spacing w:val="-233"/>
        </w:rPr>
        <w:t>有</w:t>
      </w:r>
      <w:r>
        <w:rPr>
          <w:spacing w:val="-4"/>
        </w:rPr>
        <w:t>相应的防范和应急措施；储罐周围设有围堰和排水沟管，防止发生泄漏等事故污染水环</w:t>
      </w:r>
      <w:r>
        <w:rPr>
          <w:spacing w:val="-9"/>
        </w:rPr>
        <w:t>境，东区拟设置有效容积为 </w:t>
      </w:r>
      <w:r>
        <w:rPr>
          <w:rFonts w:ascii="Times New Roman" w:eastAsia="Times New Roman"/>
        </w:rPr>
        <w:t>2600 m</w:t>
      </w:r>
      <w:r>
        <w:rPr>
          <w:rFonts w:ascii="Times New Roman" w:eastAsia="Times New Roman"/>
          <w:position w:val="9"/>
          <w:sz w:val="16"/>
        </w:rPr>
        <w:t>3 </w:t>
      </w:r>
      <w:r>
        <w:rPr>
          <w:spacing w:val="-1"/>
        </w:rPr>
        <w:t>事故应急池，确保事故排放废水特别是消防水全部</w:t>
      </w:r>
      <w:r>
        <w:rPr>
          <w:spacing w:val="-9"/>
        </w:rPr>
        <w:t>收集于事故应急池，再送污水站处理达标排放。一旦发生事故，立即采取措施，把事故</w:t>
      </w:r>
      <w:r>
        <w:rPr/>
        <w:t>损失降到最低，环境风险在可承受范围之内。</w:t>
      </w:r>
    </w:p>
    <w:p>
      <w:pPr>
        <w:pStyle w:val="ListParagraph"/>
        <w:numPr>
          <w:ilvl w:val="0"/>
          <w:numId w:val="62"/>
        </w:numPr>
        <w:tabs>
          <w:tab w:pos="1300" w:val="left" w:leader="none"/>
        </w:tabs>
        <w:spacing w:line="304" w:lineRule="exact" w:before="0" w:after="0"/>
        <w:ind w:left="1299" w:right="0" w:hanging="602"/>
        <w:jc w:val="left"/>
        <w:rPr>
          <w:sz w:val="24"/>
        </w:rPr>
      </w:pPr>
      <w:r>
        <w:rPr>
          <w:sz w:val="24"/>
        </w:rPr>
        <w:t>公众参与符合性</w:t>
      </w:r>
    </w:p>
    <w:p>
      <w:pPr>
        <w:pStyle w:val="BodyText"/>
        <w:spacing w:before="158"/>
        <w:ind w:left="698"/>
      </w:pPr>
      <w:r>
        <w:rPr/>
        <w:t>建设单位严格遵照浙江省人民政府令第 </w:t>
      </w:r>
      <w:r>
        <w:rPr>
          <w:rFonts w:ascii="Times New Roman" w:eastAsia="Times New Roman"/>
        </w:rPr>
        <w:t>364 </w:t>
      </w:r>
      <w:r>
        <w:rPr/>
        <w:t>号《浙江省建设项目环境保护管理办法</w:t>
      </w:r>
    </w:p>
    <w:p>
      <w:pPr>
        <w:pStyle w:val="BodyText"/>
        <w:spacing w:line="364" w:lineRule="auto" w:before="161"/>
        <w:ind w:left="218" w:right="232"/>
      </w:pPr>
      <w:r>
        <w:rPr/>
        <w:t>（</w:t>
      </w:r>
      <w:r>
        <w:rPr>
          <w:rFonts w:ascii="Times New Roman" w:eastAsia="Times New Roman"/>
        </w:rPr>
        <w:t>2018 </w:t>
      </w:r>
      <w:r>
        <w:rPr/>
        <w:t>年修正</w:t>
      </w:r>
      <w:r>
        <w:rPr>
          <w:spacing w:val="-120"/>
        </w:rPr>
        <w:t>）</w:t>
      </w:r>
      <w:r>
        <w:rPr>
          <w:spacing w:val="-17"/>
        </w:rPr>
        <w:t>》、《浙江省环境保护厅关于印发建设项目环境影响评价信息公开相关法</w:t>
      </w:r>
      <w:r>
        <w:rPr>
          <w:spacing w:val="-30"/>
        </w:rPr>
        <w:t>律法规解读的函》</w:t>
      </w:r>
      <w:r>
        <w:rPr/>
        <w:t>（浙环发</w:t>
      </w:r>
      <w:r>
        <w:rPr>
          <w:rFonts w:ascii="Times New Roman" w:eastAsia="Times New Roman"/>
        </w:rPr>
        <w:t>[2018]10 </w:t>
      </w:r>
      <w:r>
        <w:rPr/>
        <w:t>号）等有关规定要求，开展了项目公众参与，并单</w:t>
      </w:r>
      <w:r>
        <w:rPr>
          <w:spacing w:val="-3"/>
        </w:rPr>
        <w:t>独编制完成了《绍兴贝斯美化工股份有限公司贝斯美年产 </w:t>
      </w:r>
      <w:r>
        <w:rPr>
          <w:rFonts w:ascii="Times New Roman" w:eastAsia="Times New Roman"/>
        </w:rPr>
        <w:t>300 </w:t>
      </w:r>
      <w:r>
        <w:rPr/>
        <w:t>吨三环唑、</w:t>
      </w:r>
      <w:r>
        <w:rPr>
          <w:rFonts w:ascii="Times New Roman" w:eastAsia="Times New Roman"/>
        </w:rPr>
        <w:t>200 </w:t>
      </w:r>
      <w:r>
        <w:rPr/>
        <w:t>吨三环唑</w:t>
      </w:r>
      <w:r>
        <w:rPr>
          <w:spacing w:val="-11"/>
        </w:rPr>
        <w:t>可湿性粉剂项目公众参与报告》。公众参与秉承了公开、平等、广泛和便利的原则，采</w:t>
      </w:r>
      <w:r>
        <w:rPr>
          <w:spacing w:val="-5"/>
        </w:rPr>
        <w:t>取了建设单位网站发布、张贴公示的形式进行；公示期间未收到反对等与项目建设相关</w:t>
      </w:r>
      <w:r>
        <w:rPr>
          <w:spacing w:val="-6"/>
        </w:rPr>
        <w:t>的反馈意见。因此，项目建设符合公众参与相关文件要求，公示期间也无公众提出针</w:t>
      </w:r>
      <w:r>
        <w:rPr>
          <w:spacing w:val="-144"/>
        </w:rPr>
        <w:t>对</w:t>
      </w:r>
      <w:r>
        <w:rPr/>
        <w:t>项目的其他意见和建议</w:t>
      </w:r>
      <w:r>
        <w:rPr>
          <w:spacing w:val="-24"/>
          <w:w w:val="170"/>
        </w:rPr>
        <w:t>。</w:t>
      </w:r>
      <w:r>
        <w:rPr>
          <w:spacing w:val="-2"/>
        </w:rPr>
        <w:t>环评要求建设单位加强与周边企业和居民的沟通及联系，在</w:t>
      </w:r>
      <w:r>
        <w:rPr>
          <w:spacing w:val="-220"/>
        </w:rPr>
        <w:t>项</w:t>
      </w:r>
      <w:r>
        <w:rPr>
          <w:spacing w:val="-3"/>
        </w:rPr>
        <w:t>目建设过程中做到以人为本，同时加强环境保护工作的落实，落实本环评提出的各项污染物防治措施，确保各项污染物达标排放，以使企业更好地生存和发展。</w:t>
      </w:r>
    </w:p>
    <w:p>
      <w:pPr>
        <w:pStyle w:val="Heading4"/>
        <w:numPr>
          <w:ilvl w:val="2"/>
          <w:numId w:val="23"/>
        </w:numPr>
        <w:tabs>
          <w:tab w:pos="865" w:val="left" w:leader="none"/>
        </w:tabs>
        <w:spacing w:line="304" w:lineRule="exact" w:before="0" w:after="0"/>
        <w:ind w:left="864" w:right="0" w:hanging="647"/>
        <w:jc w:val="left"/>
      </w:pPr>
      <w:r>
        <w:rPr/>
        <w:t>环境影响分析预测评估的可靠性分析</w:t>
      </w:r>
    </w:p>
    <w:p>
      <w:pPr>
        <w:pStyle w:val="BodyText"/>
        <w:spacing w:line="364" w:lineRule="auto" w:before="158"/>
        <w:ind w:left="218" w:right="173" w:firstLine="480"/>
      </w:pPr>
      <w:r>
        <w:rPr/>
        <w:t>本次环评分析了污染物排放分别对环境空气、地表水、地下水、声环境、土壤的影响，并且按照导则要求对环境空气、地下水、土壤及环境风险影响进行了预测。</w:t>
      </w:r>
    </w:p>
    <w:p>
      <w:pPr>
        <w:pStyle w:val="BodyText"/>
        <w:spacing w:line="306" w:lineRule="exact"/>
        <w:ind w:left="698"/>
      </w:pPr>
      <w:r>
        <w:rPr>
          <w:rFonts w:ascii="Times New Roman" w:eastAsia="Times New Roman"/>
        </w:rPr>
        <w:t>1</w:t>
      </w:r>
      <w:r>
        <w:rPr/>
        <w:t>、本项目废水经预处理后送上虞污水处理厂集中再处理，不向厂区附近河道排放，</w:t>
      </w:r>
    </w:p>
    <w:p>
      <w:pPr>
        <w:spacing w:after="0" w:line="306" w:lineRule="exact"/>
        <w:sectPr>
          <w:pgSz w:w="11910" w:h="16840"/>
          <w:pgMar w:header="872" w:footer="873" w:top="1320" w:bottom="1060" w:left="1200" w:right="1180"/>
        </w:sectPr>
      </w:pPr>
    </w:p>
    <w:p>
      <w:pPr>
        <w:pStyle w:val="BodyText"/>
        <w:spacing w:line="364" w:lineRule="auto" w:before="84"/>
        <w:ind w:left="218" w:right="114"/>
      </w:pPr>
      <w:r>
        <w:rPr>
          <w:spacing w:val="-1"/>
        </w:rPr>
        <w:t>为《环境影响评价技术导则 地面水环境》</w:t>
      </w:r>
      <w:r>
        <w:rPr/>
        <w:t>（</w:t>
      </w:r>
      <w:r>
        <w:rPr>
          <w:rFonts w:ascii="Times New Roman" w:eastAsia="Times New Roman"/>
        </w:rPr>
        <w:t>HJ/T</w:t>
      </w:r>
      <w:r>
        <w:rPr>
          <w:rFonts w:ascii="Times New Roman" w:eastAsia="Times New Roman"/>
          <w:spacing w:val="59"/>
        </w:rPr>
        <w:t> </w:t>
      </w:r>
      <w:r>
        <w:rPr>
          <w:rFonts w:ascii="Times New Roman" w:eastAsia="Times New Roman"/>
        </w:rPr>
        <w:t>2.3-2018</w:t>
      </w:r>
      <w:r>
        <w:rPr/>
        <w:t>）</w:t>
      </w:r>
      <w:r>
        <w:rPr>
          <w:spacing w:val="-19"/>
        </w:rPr>
        <w:t>三级 </w:t>
      </w:r>
      <w:r>
        <w:rPr>
          <w:rFonts w:ascii="Times New Roman" w:eastAsia="Times New Roman"/>
        </w:rPr>
        <w:t>B </w:t>
      </w:r>
      <w:r>
        <w:rPr/>
        <w:t>地表水环境影响评价</w:t>
      </w:r>
      <w:r>
        <w:rPr>
          <w:spacing w:val="-32"/>
          <w:w w:val="170"/>
        </w:rPr>
        <w:t>。</w:t>
      </w:r>
      <w:r>
        <w:rPr>
          <w:spacing w:val="-8"/>
        </w:rPr>
        <w:t>根据《环境影响评价技术导则 地表水环境》</w:t>
      </w:r>
      <w:r>
        <w:rPr/>
        <w:t>（</w:t>
      </w:r>
      <w:r>
        <w:rPr>
          <w:rFonts w:ascii="Times New Roman" w:eastAsia="Times New Roman"/>
        </w:rPr>
        <w:t>HJ </w:t>
      </w:r>
      <w:r>
        <w:rPr>
          <w:rFonts w:ascii="Times New Roman" w:eastAsia="Times New Roman"/>
          <w:spacing w:val="-4"/>
        </w:rPr>
        <w:t>2.3-2018</w:t>
      </w:r>
      <w:r>
        <w:rPr>
          <w:spacing w:val="-4"/>
        </w:rPr>
        <w:t>）</w:t>
      </w:r>
      <w:r>
        <w:rPr>
          <w:spacing w:val="-25"/>
        </w:rPr>
        <w:t>中 </w:t>
      </w:r>
      <w:r>
        <w:rPr>
          <w:rFonts w:ascii="Times New Roman" w:eastAsia="Times New Roman"/>
        </w:rPr>
        <w:t>6.6 </w:t>
      </w:r>
      <w:r>
        <w:rPr>
          <w:spacing w:val="-25"/>
        </w:rPr>
        <w:t>及 </w:t>
      </w:r>
      <w:r>
        <w:rPr>
          <w:rFonts w:ascii="Times New Roman" w:eastAsia="Times New Roman"/>
        </w:rPr>
        <w:t>8.1 </w:t>
      </w:r>
      <w:r>
        <w:rPr>
          <w:spacing w:val="-3"/>
        </w:rPr>
        <w:t>条款规定</w:t>
      </w:r>
      <w:r>
        <w:rPr>
          <w:spacing w:val="-220"/>
        </w:rPr>
        <w:t>，</w:t>
      </w:r>
      <w:r>
        <w:rPr>
          <w:spacing w:val="-118"/>
        </w:rPr>
        <w:t> </w:t>
      </w:r>
      <w:r>
        <w:rPr>
          <w:spacing w:val="-20"/>
        </w:rPr>
        <w:t>三级 </w:t>
      </w:r>
      <w:r>
        <w:rPr>
          <w:rFonts w:ascii="Times New Roman" w:eastAsia="Times New Roman"/>
        </w:rPr>
        <w:t>B </w:t>
      </w:r>
      <w:r>
        <w:rPr>
          <w:spacing w:val="-13"/>
        </w:rPr>
        <w:t>可不开展区域污染源调查，主要调查依托污水处理设施的日处理能力、处理工艺、</w:t>
      </w:r>
      <w:r>
        <w:rPr>
          <w:spacing w:val="-12"/>
        </w:rPr>
        <w:t>设计进水水质、处理后的废水稳定达标排放情况，同时应调查依托污水处理设施执行的排放标准是否涵盖建设项目排放的有毒有害的特征污染物</w:t>
      </w:r>
      <w:r>
        <w:rPr>
          <w:spacing w:val="-51"/>
          <w:w w:val="170"/>
        </w:rPr>
        <w:t>。</w:t>
      </w:r>
      <w:r>
        <w:rPr>
          <w:spacing w:val="-10"/>
        </w:rPr>
        <w:t>主要评价水污染控制和水环</w:t>
      </w:r>
      <w:r>
        <w:rPr>
          <w:spacing w:val="-2"/>
        </w:rPr>
        <w:t>境影响减缓措施有效性评价；依托污水处理设施的环境可行性评价</w:t>
      </w:r>
      <w:r>
        <w:rPr>
          <w:spacing w:val="-24"/>
          <w:w w:val="170"/>
        </w:rPr>
        <w:t>。</w:t>
      </w:r>
      <w:r>
        <w:rPr>
          <w:spacing w:val="-15"/>
        </w:rPr>
        <w:t>本次环评进行了针</w:t>
      </w:r>
      <w:r>
        <w:rPr/>
        <w:t>对性的环境影响分析，结果可靠</w:t>
      </w:r>
      <w:r>
        <w:rPr>
          <w:w w:val="170"/>
        </w:rPr>
        <w:t>。</w:t>
      </w:r>
    </w:p>
    <w:p>
      <w:pPr>
        <w:pStyle w:val="BodyText"/>
        <w:spacing w:line="364" w:lineRule="auto"/>
        <w:ind w:left="218" w:right="235" w:firstLine="480"/>
        <w:jc w:val="both"/>
      </w:pPr>
      <w:r>
        <w:rPr>
          <w:rFonts w:ascii="Times New Roman" w:eastAsia="Times New Roman"/>
        </w:rPr>
        <w:t>2</w:t>
      </w:r>
      <w:r>
        <w:rPr>
          <w:spacing w:val="-5"/>
        </w:rPr>
        <w:t>、大气环境影响预测采用《环境影响评价技术导则－大气环境》</w:t>
      </w:r>
      <w:r>
        <w:rPr/>
        <w:t>（</w:t>
      </w:r>
      <w:r>
        <w:rPr>
          <w:rFonts w:ascii="Times New Roman" w:eastAsia="Times New Roman"/>
        </w:rPr>
        <w:t>HJ2.2-2018</w:t>
      </w:r>
      <w:r>
        <w:rPr/>
        <w:t>）</w:t>
      </w:r>
      <w:r>
        <w:rPr>
          <w:spacing w:val="-13"/>
        </w:rPr>
        <w:t>中</w:t>
      </w:r>
      <w:r>
        <w:rPr>
          <w:spacing w:val="-22"/>
        </w:rPr>
        <w:t>的 </w:t>
      </w:r>
      <w:r>
        <w:rPr>
          <w:rFonts w:ascii="Times New Roman" w:eastAsia="Times New Roman"/>
        </w:rPr>
        <w:t>AERSCREEN </w:t>
      </w:r>
      <w:r>
        <w:rPr>
          <w:spacing w:val="-12"/>
        </w:rPr>
        <w:t>模型进行估算，并采用 </w:t>
      </w:r>
      <w:r>
        <w:rPr>
          <w:rFonts w:ascii="Times New Roman" w:eastAsia="Times New Roman"/>
        </w:rPr>
        <w:t>AERMOD </w:t>
      </w:r>
      <w:r>
        <w:rPr/>
        <w:t>模式进行了进一步预测</w:t>
      </w:r>
      <w:r>
        <w:rPr>
          <w:spacing w:val="-45"/>
          <w:w w:val="170"/>
        </w:rPr>
        <w:t>。</w:t>
      </w:r>
      <w:r>
        <w:rPr/>
        <w:t>按照导则</w:t>
      </w:r>
      <w:r>
        <w:rPr>
          <w:spacing w:val="-240"/>
        </w:rPr>
        <w:t>要</w:t>
      </w:r>
      <w:r>
        <w:rPr>
          <w:spacing w:val="-2"/>
        </w:rPr>
        <w:t>求根据预测结果进行了影响分析，选用的软件为 </w:t>
      </w:r>
      <w:r>
        <w:rPr>
          <w:rFonts w:ascii="Times New Roman" w:eastAsia="Times New Roman"/>
        </w:rPr>
        <w:t>EIAproA2018</w:t>
      </w:r>
      <w:r>
        <w:rPr>
          <w:spacing w:val="-22"/>
          <w:w w:val="170"/>
        </w:rPr>
        <w:t>。</w:t>
      </w:r>
      <w:r>
        <w:rPr>
          <w:spacing w:val="-2"/>
        </w:rPr>
        <w:t>选用的软件和模式均</w:t>
      </w:r>
      <w:r>
        <w:rPr>
          <w:spacing w:val="-220"/>
        </w:rPr>
        <w:t>符</w:t>
      </w:r>
      <w:r>
        <w:rPr/>
        <w:t>合导则要求，满足可靠性要求。</w:t>
      </w:r>
    </w:p>
    <w:p>
      <w:pPr>
        <w:pStyle w:val="BodyText"/>
        <w:spacing w:line="364" w:lineRule="auto"/>
        <w:ind w:left="218" w:right="114" w:firstLine="480"/>
      </w:pPr>
      <w:r>
        <w:rPr>
          <w:rFonts w:ascii="Times New Roman" w:eastAsia="Times New Roman"/>
        </w:rPr>
        <w:t>3</w:t>
      </w:r>
      <w:r>
        <w:rPr/>
        <w:t>、本项目所在区域无大规模开采地下水的行为，也无地下水环境敏感区，水文地</w:t>
      </w:r>
      <w:r>
        <w:rPr>
          <w:spacing w:val="-6"/>
        </w:rPr>
        <w:t>质条件相对较为简单，按照《环境影响评价技术导则</w:t>
      </w:r>
      <w:r>
        <w:rPr>
          <w:rFonts w:ascii="Times New Roman" w:eastAsia="Times New Roman"/>
        </w:rPr>
        <w:t>-</w:t>
      </w:r>
      <w:r>
        <w:rPr/>
        <w:t>地下水环境</w:t>
      </w:r>
      <w:r>
        <w:rPr>
          <w:spacing w:val="-149"/>
        </w:rPr>
        <w:t>》</w:t>
      </w:r>
      <w:r>
        <w:rPr>
          <w:spacing w:val="-3"/>
        </w:rPr>
        <w:t>（</w:t>
      </w:r>
      <w:r>
        <w:rPr>
          <w:rFonts w:ascii="Times New Roman" w:eastAsia="Times New Roman"/>
          <w:spacing w:val="-3"/>
        </w:rPr>
        <w:t>HJ610-2016</w:t>
      </w:r>
      <w:r>
        <w:rPr>
          <w:spacing w:val="-3"/>
        </w:rPr>
        <w:t>）</w:t>
      </w:r>
      <w:r>
        <w:rPr>
          <w:spacing w:val="-5"/>
        </w:rPr>
        <w:t>要求， </w:t>
      </w:r>
      <w:r>
        <w:rPr>
          <w:spacing w:val="-2"/>
        </w:rPr>
        <w:t>本次预测采用导则推荐的一维稳定流动一维水动力弥散问题，概化条件为一维半无限长多孔介质柱体，一端为定浓度边界。选用的方法满足可靠性要求。</w:t>
      </w:r>
    </w:p>
    <w:p>
      <w:pPr>
        <w:pStyle w:val="BodyText"/>
        <w:spacing w:line="362" w:lineRule="auto"/>
        <w:ind w:left="218" w:right="238" w:firstLine="480"/>
      </w:pPr>
      <w:r>
        <w:rPr>
          <w:rFonts w:ascii="Times New Roman" w:eastAsia="Times New Roman"/>
        </w:rPr>
        <w:t>3</w:t>
      </w:r>
      <w:r>
        <w:rPr/>
        <w:t>、项目噪声源较小，且周边敏感点较远，经过车间隔声后新增设备噪声对周围声环境影响不大</w:t>
      </w:r>
      <w:r>
        <w:rPr>
          <w:w w:val="180"/>
        </w:rPr>
        <w:t>。</w:t>
      </w:r>
    </w:p>
    <w:p>
      <w:pPr>
        <w:pStyle w:val="BodyText"/>
        <w:spacing w:line="362" w:lineRule="auto"/>
        <w:ind w:left="218" w:right="233" w:firstLine="480"/>
      </w:pPr>
      <w:r>
        <w:rPr>
          <w:rFonts w:ascii="Times New Roman" w:eastAsia="Times New Roman"/>
        </w:rPr>
        <w:t>4</w:t>
      </w:r>
      <w:r>
        <w:rPr/>
        <w:t>、根据《建设项目危险废物环境影响评价指南》要求，对固废影响进行了分析， 分析方法可靠。</w:t>
      </w:r>
    </w:p>
    <w:p>
      <w:pPr>
        <w:pStyle w:val="BodyText"/>
        <w:spacing w:line="362" w:lineRule="auto" w:before="4"/>
        <w:ind w:left="218" w:right="236" w:firstLine="480"/>
      </w:pPr>
      <w:r>
        <w:rPr>
          <w:rFonts w:ascii="Times New Roman" w:eastAsia="Times New Roman"/>
          <w:spacing w:val="2"/>
        </w:rPr>
        <w:t>5</w:t>
      </w:r>
      <w:r>
        <w:rPr>
          <w:spacing w:val="-5"/>
        </w:rPr>
        <w:t>、根据《建设项目环境风险评价技术导则》</w:t>
      </w:r>
      <w:r>
        <w:rPr>
          <w:spacing w:val="3"/>
        </w:rPr>
        <w:t>（</w:t>
      </w:r>
      <w:r>
        <w:rPr>
          <w:rFonts w:ascii="Times New Roman" w:eastAsia="Times New Roman"/>
          <w:w w:val="99"/>
        </w:rPr>
        <w:t>HJ16</w:t>
      </w:r>
      <w:r>
        <w:rPr>
          <w:rFonts w:ascii="Times New Roman" w:eastAsia="Times New Roman"/>
          <w:spacing w:val="-1"/>
          <w:w w:val="99"/>
        </w:rPr>
        <w:t>9</w:t>
      </w:r>
      <w:r>
        <w:rPr>
          <w:rFonts w:ascii="Times New Roman" w:eastAsia="Times New Roman"/>
          <w:spacing w:val="-1"/>
          <w:w w:val="99"/>
        </w:rPr>
        <w:t>-</w:t>
      </w:r>
      <w:r>
        <w:rPr>
          <w:rFonts w:ascii="Times New Roman" w:eastAsia="Times New Roman"/>
          <w:w w:val="99"/>
        </w:rPr>
        <w:t>201</w:t>
      </w:r>
      <w:r>
        <w:rPr>
          <w:rFonts w:ascii="Times New Roman" w:eastAsia="Times New Roman"/>
          <w:spacing w:val="2"/>
          <w:w w:val="99"/>
        </w:rPr>
        <w:t>8</w:t>
      </w:r>
      <w:r>
        <w:rPr>
          <w:spacing w:val="-118"/>
          <w:w w:val="99"/>
        </w:rPr>
        <w:t>）</w:t>
      </w:r>
      <w:r>
        <w:rPr>
          <w:spacing w:val="1"/>
          <w:w w:val="99"/>
        </w:rPr>
        <w:t>，对最大可信事故影响</w:t>
      </w:r>
      <w:r>
        <w:rPr>
          <w:spacing w:val="1"/>
        </w:rPr>
        <w:t>进行预测和评价。选用的模式和方法均满足可靠性要求。</w:t>
      </w:r>
    </w:p>
    <w:p>
      <w:pPr>
        <w:pStyle w:val="BodyText"/>
        <w:spacing w:line="364" w:lineRule="auto" w:before="5"/>
        <w:ind w:left="218" w:right="233" w:firstLine="480"/>
      </w:pPr>
      <w:r>
        <w:rPr>
          <w:rFonts w:ascii="Times New Roman" w:eastAsia="Times New Roman"/>
        </w:rPr>
        <w:t>6</w:t>
      </w:r>
      <w:r>
        <w:rPr/>
        <w:t>、根据《环境影响评价技术导则土壤环境</w:t>
      </w:r>
      <w:r>
        <w:rPr>
          <w:rFonts w:ascii="Times New Roman" w:eastAsia="Times New Roman"/>
        </w:rPr>
        <w:t>(</w:t>
      </w:r>
      <w:r>
        <w:rPr/>
        <w:t>试行</w:t>
      </w:r>
      <w:r>
        <w:rPr>
          <w:rFonts w:ascii="Times New Roman" w:eastAsia="Times New Roman"/>
        </w:rPr>
        <w:t>)</w:t>
      </w:r>
      <w:r>
        <w:rPr/>
        <w:t>》</w:t>
      </w:r>
      <w:r>
        <w:rPr>
          <w:rFonts w:ascii="Times New Roman" w:eastAsia="Times New Roman"/>
        </w:rPr>
        <w:t>HJ964-2018 </w:t>
      </w:r>
      <w:r>
        <w:rPr/>
        <w:t>要求，对土壤环境影响进行了分析，分析方法可靠。</w:t>
      </w:r>
    </w:p>
    <w:p>
      <w:pPr>
        <w:pStyle w:val="Heading4"/>
        <w:spacing w:line="306" w:lineRule="exact"/>
      </w:pPr>
      <w:r>
        <w:rPr/>
        <w:t>综上，本次环评选用的方法均按照相应导则的要求，满足可靠性原则。</w:t>
      </w:r>
    </w:p>
    <w:p>
      <w:pPr>
        <w:pStyle w:val="ListParagraph"/>
        <w:numPr>
          <w:ilvl w:val="2"/>
          <w:numId w:val="23"/>
        </w:numPr>
        <w:tabs>
          <w:tab w:pos="865" w:val="left" w:leader="none"/>
        </w:tabs>
        <w:spacing w:line="240" w:lineRule="auto" w:before="160" w:after="0"/>
        <w:ind w:left="864" w:right="0" w:hanging="647"/>
        <w:jc w:val="both"/>
        <w:rPr>
          <w:b/>
          <w:sz w:val="24"/>
        </w:rPr>
      </w:pPr>
      <w:r>
        <w:rPr>
          <w:b/>
          <w:w w:val="95"/>
          <w:sz w:val="24"/>
        </w:rPr>
        <w:t>环境保护措施的有效性</w:t>
      </w:r>
    </w:p>
    <w:p>
      <w:pPr>
        <w:pStyle w:val="BodyText"/>
        <w:spacing w:line="364" w:lineRule="auto" w:before="159"/>
        <w:ind w:left="218" w:right="234" w:firstLine="480"/>
        <w:jc w:val="both"/>
      </w:pPr>
      <w:r>
        <w:rPr>
          <w:rFonts w:ascii="Times New Roman" w:hAnsi="Times New Roman" w:eastAsia="Times New Roman"/>
        </w:rPr>
        <w:t>1</w:t>
      </w:r>
      <w:r>
        <w:rPr/>
        <w:t>、厂区废水全部收集处理，车间含农药成分废水经预处理后与其他废水一起经生化处理达到《污水综合排放标准》（</w:t>
      </w:r>
      <w:r>
        <w:rPr>
          <w:rFonts w:ascii="Times New Roman" w:hAnsi="Times New Roman" w:eastAsia="Times New Roman"/>
        </w:rPr>
        <w:t>GB8978-1996</w:t>
      </w:r>
      <w:r>
        <w:rPr/>
        <w:t>）</w:t>
      </w:r>
      <w:r>
        <w:rPr>
          <w:spacing w:val="-1"/>
        </w:rPr>
        <w:t>中三级标准，氨氮执行浙江省地方</w:t>
      </w:r>
      <w:r>
        <w:rPr>
          <w:spacing w:val="-8"/>
        </w:rPr>
        <w:t>标准《工业企业废水氮、磷污染物间接排放限值》</w:t>
      </w:r>
      <w:r>
        <w:rPr>
          <w:rFonts w:ascii="Times New Roman" w:hAnsi="Times New Roman" w:eastAsia="Times New Roman"/>
        </w:rPr>
        <w:t>(DB33/887-2013)</w:t>
      </w:r>
      <w:r>
        <w:rPr/>
        <w:t>中</w:t>
      </w:r>
      <w:r>
        <w:rPr>
          <w:rFonts w:ascii="Times New Roman" w:hAnsi="Times New Roman" w:eastAsia="Times New Roman"/>
        </w:rPr>
        <w:t>“</w:t>
      </w:r>
      <w:r>
        <w:rPr/>
        <w:t>其他企业</w:t>
      </w:r>
      <w:r>
        <w:rPr>
          <w:rFonts w:ascii="Times New Roman" w:hAnsi="Times New Roman" w:eastAsia="Times New Roman"/>
        </w:rPr>
        <w:t>”</w:t>
      </w:r>
      <w:r>
        <w:rPr/>
        <w:t>的规定</w:t>
      </w:r>
      <w:r>
        <w:rPr>
          <w:rFonts w:ascii="Times New Roman" w:hAnsi="Times New Roman" w:eastAsia="Times New Roman"/>
          <w:spacing w:val="-4"/>
        </w:rPr>
        <w:t>35mg/L</w:t>
      </w:r>
      <w:r>
        <w:rPr>
          <w:spacing w:val="-7"/>
        </w:rPr>
        <w:t>，总氮参照执行《污水排入城镇下水道水质标准》</w:t>
      </w:r>
      <w:r>
        <w:rPr>
          <w:rFonts w:ascii="Times New Roman" w:hAnsi="Times New Roman" w:eastAsia="Times New Roman"/>
        </w:rPr>
        <w:t>(GB/T31962-2015)</w:t>
      </w:r>
      <w:r>
        <w:rPr>
          <w:spacing w:val="-31"/>
        </w:rPr>
        <w:t>中 </w:t>
      </w:r>
      <w:r>
        <w:rPr>
          <w:rFonts w:ascii="Times New Roman" w:hAnsi="Times New Roman" w:eastAsia="Times New Roman"/>
        </w:rPr>
        <w:t>B </w:t>
      </w:r>
      <w:r>
        <w:rPr>
          <w:spacing w:val="-4"/>
        </w:rPr>
        <w:t>级标准</w:t>
      </w:r>
      <w:r>
        <w:rPr/>
        <w:t>后纳管，送上虞污水处理厂集中处理。</w:t>
      </w:r>
    </w:p>
    <w:p>
      <w:pPr>
        <w:spacing w:after="0" w:line="364" w:lineRule="auto"/>
        <w:jc w:val="both"/>
        <w:sectPr>
          <w:pgSz w:w="11910" w:h="16840"/>
          <w:pgMar w:header="872" w:footer="873" w:top="1320" w:bottom="1060" w:left="1200" w:right="1180"/>
        </w:sectPr>
      </w:pPr>
    </w:p>
    <w:p>
      <w:pPr>
        <w:pStyle w:val="BodyText"/>
        <w:spacing w:line="364" w:lineRule="auto" w:before="84"/>
        <w:ind w:left="218" w:right="232" w:firstLine="480"/>
      </w:pPr>
      <w:r>
        <w:rPr>
          <w:rFonts w:ascii="Times New Roman" w:eastAsia="Times New Roman"/>
        </w:rPr>
        <w:t>2</w:t>
      </w:r>
      <w:r>
        <w:rPr/>
        <w:t>、项目产生的废气主要为甲酸、工业烟粉尘等，车间甲酸废气采用冷凝预处理措</w:t>
      </w:r>
      <w:r>
        <w:rPr>
          <w:spacing w:val="-6"/>
        </w:rPr>
        <w:t>施后，粉尘采用布袋除尘预处理措施后，一起经废气集中处理装置</w:t>
      </w:r>
      <w:r>
        <w:rPr/>
        <w:t>（两级碱喷淋</w:t>
      </w:r>
      <w:r>
        <w:rPr>
          <w:spacing w:val="-12"/>
        </w:rPr>
        <w:t>）</w:t>
      </w:r>
      <w:r>
        <w:rPr>
          <w:spacing w:val="-8"/>
        </w:rPr>
        <w:t>进行</w:t>
      </w:r>
      <w:r>
        <w:rPr>
          <w:spacing w:val="-7"/>
        </w:rPr>
        <w:t>处理后通过排气筒 </w:t>
      </w:r>
      <w:r>
        <w:rPr>
          <w:rFonts w:ascii="Times New Roman" w:eastAsia="Times New Roman"/>
        </w:rPr>
        <w:t>DA004 </w:t>
      </w:r>
      <w:r>
        <w:rPr/>
        <w:t>达标排放；污水处理设施、危废暂存场所、储罐废气经引风收集</w:t>
      </w:r>
      <w:r>
        <w:rPr>
          <w:rFonts w:ascii="Times New Roman" w:eastAsia="Times New Roman"/>
        </w:rPr>
        <w:t>+</w:t>
      </w:r>
      <w:r>
        <w:rPr/>
        <w:t>一级次钠喷淋</w:t>
      </w:r>
      <w:r>
        <w:rPr>
          <w:rFonts w:ascii="Times New Roman" w:eastAsia="Times New Roman"/>
        </w:rPr>
        <w:t>+</w:t>
      </w:r>
      <w:r>
        <w:rPr>
          <w:spacing w:val="-1"/>
        </w:rPr>
        <w:t>一级碱喷淋处理后通过排气筒 </w:t>
      </w:r>
      <w:r>
        <w:rPr>
          <w:rFonts w:ascii="Times New Roman" w:eastAsia="Times New Roman"/>
        </w:rPr>
        <w:t>DA005</w:t>
      </w:r>
      <w:r>
        <w:rPr>
          <w:rFonts w:ascii="Times New Roman" w:eastAsia="Times New Roman"/>
          <w:spacing w:val="56"/>
        </w:rPr>
        <w:t> </w:t>
      </w:r>
      <w:r>
        <w:rPr>
          <w:spacing w:val="-9"/>
        </w:rPr>
        <w:t>排放。最后各类废气均做到</w:t>
      </w:r>
      <w:r>
        <w:rPr/>
        <w:t>达标排放。</w:t>
      </w:r>
    </w:p>
    <w:p>
      <w:pPr>
        <w:pStyle w:val="BodyText"/>
        <w:spacing w:line="364" w:lineRule="auto"/>
        <w:ind w:left="218" w:right="252" w:firstLine="480"/>
        <w:jc w:val="both"/>
      </w:pPr>
      <w:r>
        <w:rPr>
          <w:rFonts w:ascii="Times New Roman" w:eastAsia="Times New Roman"/>
        </w:rPr>
        <w:t>3</w:t>
      </w:r>
      <w:r>
        <w:rPr/>
        <w:t>、厂内设置符合《中华人民共和国固体废物污染环境防治法》和《危险废物贮存</w:t>
      </w:r>
      <w:r>
        <w:rPr>
          <w:spacing w:val="-18"/>
        </w:rPr>
        <w:t>污染控制标准》</w:t>
      </w:r>
      <w:r>
        <w:rPr/>
        <w:t>（</w:t>
      </w:r>
      <w:r>
        <w:rPr>
          <w:rFonts w:ascii="Times New Roman" w:eastAsia="Times New Roman"/>
        </w:rPr>
        <w:t>GB18597-2001</w:t>
      </w:r>
      <w:r>
        <w:rPr/>
        <w:t>）</w:t>
      </w:r>
      <w:r>
        <w:rPr>
          <w:spacing w:val="-1"/>
        </w:rPr>
        <w:t>要求的暂存库，危险废物委托有资质的单位处置，生</w:t>
      </w:r>
      <w:r>
        <w:rPr/>
        <w:t>活垃圾由春晖焚烧。</w:t>
      </w:r>
    </w:p>
    <w:p>
      <w:pPr>
        <w:pStyle w:val="BodyText"/>
        <w:spacing w:line="364" w:lineRule="auto"/>
        <w:ind w:left="218" w:right="172" w:firstLine="480"/>
        <w:jc w:val="both"/>
      </w:pPr>
      <w:r>
        <w:rPr>
          <w:rFonts w:ascii="Times New Roman" w:eastAsia="Times New Roman"/>
        </w:rPr>
        <w:t>4</w:t>
      </w:r>
      <w:r>
        <w:rPr/>
        <w:t>、依据《地下工程防水技术规范》</w:t>
      </w:r>
      <w:r>
        <w:rPr>
          <w:rFonts w:ascii="Times New Roman" w:eastAsia="Times New Roman"/>
        </w:rPr>
        <w:t>(GB50108</w:t>
      </w:r>
      <w:r>
        <w:rPr/>
        <w:t>－</w:t>
      </w:r>
      <w:r>
        <w:rPr>
          <w:rFonts w:ascii="Times New Roman" w:eastAsia="Times New Roman"/>
        </w:rPr>
        <w:t>2001)</w:t>
      </w:r>
      <w:r>
        <w:rPr>
          <w:spacing w:val="-1"/>
        </w:rPr>
        <w:t>的要求对工艺、管道、设备、</w:t>
      </w:r>
      <w:r>
        <w:rPr>
          <w:spacing w:val="-3"/>
        </w:rPr>
        <w:t>污水储存及处理构筑物采取相应措施进行源头控制，根据分区防渗原则对重点污染防治</w:t>
      </w:r>
      <w:r>
        <w:rPr>
          <w:spacing w:val="-7"/>
        </w:rPr>
        <w:t>区、一般污染防治区和非污染防治区采取分区防渗，并建立地下水污染监控系统及应急响应体系。</w:t>
      </w:r>
    </w:p>
    <w:p>
      <w:pPr>
        <w:pStyle w:val="BodyText"/>
        <w:spacing w:line="364" w:lineRule="auto"/>
        <w:ind w:left="218" w:right="233" w:firstLine="480"/>
      </w:pPr>
      <w:r>
        <w:rPr>
          <w:rFonts w:ascii="Times New Roman" w:eastAsia="Times New Roman"/>
        </w:rPr>
        <w:t>5</w:t>
      </w:r>
      <w:r>
        <w:rPr/>
        <w:t>、通过优化平面布置、选择低噪声设备、阻抗复合消声器等对新增噪声源采取相应的隔声降噪措施。</w:t>
      </w:r>
    </w:p>
    <w:p>
      <w:pPr>
        <w:pStyle w:val="BodyText"/>
        <w:spacing w:line="306" w:lineRule="exact"/>
        <w:ind w:left="698"/>
      </w:pPr>
      <w:r>
        <w:rPr>
          <w:rFonts w:ascii="Times New Roman" w:eastAsia="Times New Roman"/>
        </w:rPr>
        <w:t>6</w:t>
      </w:r>
      <w:r>
        <w:rPr/>
        <w:t>、对土壤防治措施提出了要求，并建立土壤污染监控监测要求。</w:t>
      </w:r>
    </w:p>
    <w:p>
      <w:pPr>
        <w:pStyle w:val="Heading4"/>
        <w:spacing w:line="362" w:lineRule="auto" w:before="154"/>
        <w:ind w:left="218" w:right="237" w:firstLine="480"/>
      </w:pPr>
      <w:r>
        <w:rPr>
          <w:spacing w:val="-9"/>
        </w:rPr>
        <w:t>综上可知，本次项目采用的环境保护措施可靠、有效，可以确保各项污染物经过处</w:t>
      </w:r>
      <w:r>
        <w:rPr/>
        <w:t>理后达标排放。</w:t>
      </w:r>
    </w:p>
    <w:p>
      <w:pPr>
        <w:pStyle w:val="ListParagraph"/>
        <w:numPr>
          <w:ilvl w:val="2"/>
          <w:numId w:val="23"/>
        </w:numPr>
        <w:tabs>
          <w:tab w:pos="865" w:val="left" w:leader="none"/>
        </w:tabs>
        <w:spacing w:line="240" w:lineRule="auto" w:before="6" w:after="0"/>
        <w:ind w:left="864" w:right="0" w:hanging="647"/>
        <w:jc w:val="left"/>
        <w:rPr>
          <w:b/>
          <w:sz w:val="24"/>
        </w:rPr>
      </w:pPr>
      <w:r>
        <w:rPr>
          <w:b/>
          <w:sz w:val="24"/>
        </w:rPr>
        <w:t>环境影响评价结论的科学性</w:t>
      </w:r>
    </w:p>
    <w:p>
      <w:pPr>
        <w:pStyle w:val="BodyText"/>
        <w:spacing w:line="364" w:lineRule="auto" w:before="158"/>
        <w:ind w:left="218" w:right="232" w:firstLine="480"/>
        <w:jc w:val="both"/>
      </w:pPr>
      <w:r>
        <w:rPr>
          <w:spacing w:val="-6"/>
        </w:rPr>
        <w:t>本环评结论客观、过程公开、评价公正，评价过程均依照环评相关技术导则、技术方法等进行，并综合考虑建设项目实施后对各种环境因素可能造成的影响，环评结论科</w:t>
      </w:r>
      <w:r>
        <w:rPr>
          <w:w w:val="115"/>
        </w:rPr>
        <w:t>学。</w:t>
      </w:r>
    </w:p>
    <w:p>
      <w:pPr>
        <w:pStyle w:val="Heading4"/>
        <w:numPr>
          <w:ilvl w:val="2"/>
          <w:numId w:val="23"/>
        </w:numPr>
        <w:tabs>
          <w:tab w:pos="865" w:val="left" w:leader="none"/>
        </w:tabs>
        <w:spacing w:line="364" w:lineRule="auto" w:before="0" w:after="0"/>
        <w:ind w:left="218" w:right="237" w:firstLine="0"/>
        <w:jc w:val="both"/>
      </w:pPr>
      <w:r>
        <w:rPr>
          <w:spacing w:val="-3"/>
        </w:rPr>
        <w:t>建设项目类型及其选址、布局、规模等是否符合环境保护法律法规和相关法定规</w:t>
      </w:r>
      <w:r>
        <w:rPr/>
        <w:t>划</w:t>
      </w:r>
    </w:p>
    <w:p>
      <w:pPr>
        <w:pStyle w:val="BodyText"/>
        <w:spacing w:line="364" w:lineRule="auto"/>
        <w:ind w:left="218" w:right="232" w:firstLine="480"/>
        <w:jc w:val="both"/>
      </w:pPr>
      <w:r>
        <w:rPr>
          <w:spacing w:val="-6"/>
        </w:rPr>
        <w:t>建设项目类型及其选址、布局、规模符合环境保护法律法规，并符合上虞区域总体</w:t>
      </w:r>
      <w:r>
        <w:rPr/>
        <w:t>规划、杭州湾上虞经济技术开发区产业提升区及配套区控制性详细规划、绍兴市</w:t>
      </w:r>
      <w:r>
        <w:rPr>
          <w:rFonts w:ascii="Times New Roman" w:hAnsi="Times New Roman" w:eastAsia="Times New Roman"/>
        </w:rPr>
        <w:t>“</w:t>
      </w:r>
      <w:r>
        <w:rPr/>
        <w:t>三线一单</w:t>
      </w:r>
      <w:r>
        <w:rPr>
          <w:rFonts w:ascii="Times New Roman" w:hAnsi="Times New Roman" w:eastAsia="Times New Roman"/>
        </w:rPr>
        <w:t>”</w:t>
      </w:r>
      <w:r>
        <w:rPr/>
        <w:t>生态环境分区管控方案及杭州湾上虞经济技术开发区产业提升区及配套区规划环评要求。</w:t>
      </w:r>
    </w:p>
    <w:p>
      <w:pPr>
        <w:pStyle w:val="BodyText"/>
        <w:spacing w:line="306" w:lineRule="exact"/>
        <w:ind w:left="698"/>
      </w:pPr>
      <w:r>
        <w:rPr>
          <w:spacing w:val="-13"/>
        </w:rPr>
        <w:t>因此建设项目类型及其选址、布局、规模等符合环境保护法律法规和相关法定规划。</w:t>
      </w:r>
    </w:p>
    <w:p>
      <w:pPr>
        <w:pStyle w:val="Heading4"/>
        <w:numPr>
          <w:ilvl w:val="2"/>
          <w:numId w:val="23"/>
        </w:numPr>
        <w:tabs>
          <w:tab w:pos="865" w:val="left" w:leader="none"/>
        </w:tabs>
        <w:spacing w:line="362" w:lineRule="auto" w:before="159" w:after="0"/>
        <w:ind w:left="218" w:right="235" w:firstLine="0"/>
        <w:jc w:val="left"/>
      </w:pPr>
      <w:r>
        <w:rPr>
          <w:spacing w:val="-2"/>
        </w:rPr>
        <w:t>所在区域环境质量未达到国家或者地方环境质量标准，且建设项目拟采取的措施</w:t>
      </w:r>
      <w:r>
        <w:rPr/>
        <w:t>不能满足区域环境质量改善目标管理要求</w:t>
      </w:r>
    </w:p>
    <w:p>
      <w:pPr>
        <w:spacing w:after="0" w:line="362" w:lineRule="auto"/>
        <w:jc w:val="left"/>
        <w:sectPr>
          <w:footerReference w:type="default" r:id="rId179"/>
          <w:pgSz w:w="11910" w:h="16840"/>
          <w:pgMar w:footer="873" w:header="872" w:top="1320" w:bottom="1060" w:left="1200" w:right="1180"/>
        </w:sectPr>
      </w:pPr>
    </w:p>
    <w:p>
      <w:pPr>
        <w:pStyle w:val="BodyText"/>
        <w:spacing w:line="364" w:lineRule="auto" w:before="84"/>
        <w:ind w:left="218" w:right="184" w:firstLine="480"/>
        <w:jc w:val="both"/>
      </w:pPr>
      <w:r>
        <w:rPr/>
        <w:t>所在区域声环境、环境空气、土壤、地表水均能满足相应的环境质量标准的要求</w:t>
      </w:r>
      <w:r>
        <w:rPr>
          <w:spacing w:val="-140"/>
        </w:rPr>
        <w:t>。</w:t>
      </w:r>
      <w:r>
        <w:rPr>
          <w:spacing w:val="-3"/>
        </w:rPr>
        <w:t>项目区域内地下水监测因子中溶解性总固体、氯化物，总硬度指标出现超标现象，不能达到《地下水质量标准》</w:t>
      </w:r>
      <w:r>
        <w:rPr>
          <w:rFonts w:ascii="Times New Roman" w:hAnsi="Times New Roman" w:eastAsia="Times New Roman"/>
          <w:spacing w:val="-3"/>
        </w:rPr>
        <w:t>(GB/T14848-2017)</w:t>
      </w:r>
      <w:r>
        <w:rPr>
          <w:spacing w:val="-3"/>
        </w:rPr>
        <w:t>中的Ⅲ类标准要求，其余指标均能达到《地下水质量标准》</w:t>
      </w:r>
      <w:r>
        <w:rPr>
          <w:rFonts w:ascii="Times New Roman" w:hAnsi="Times New Roman" w:eastAsia="Times New Roman"/>
          <w:spacing w:val="-3"/>
        </w:rPr>
        <w:t>(GB/T14848-2017)</w:t>
      </w:r>
      <w:r>
        <w:rPr>
          <w:spacing w:val="-7"/>
        </w:rPr>
        <w:t>中的Ⅲ类标准要求。结合周围环境特征，分析认为溶</w:t>
      </w:r>
      <w:r>
        <w:rPr>
          <w:spacing w:val="-1"/>
        </w:rPr>
        <w:t>解性总固体、总硬度和 </w:t>
      </w:r>
      <w:r>
        <w:rPr>
          <w:rFonts w:ascii="Times New Roman" w:hAnsi="Times New Roman" w:eastAsia="Times New Roman"/>
        </w:rPr>
        <w:t>Cl-</w:t>
      </w:r>
      <w:r>
        <w:rPr/>
        <w:t>超标原因最有可能是该地块位于围垦海涂滩地上，该区域盐分较高引起的</w:t>
      </w:r>
      <w:r>
        <w:rPr>
          <w:spacing w:val="-24"/>
          <w:w w:val="170"/>
        </w:rPr>
        <w:t>。</w:t>
      </w:r>
      <w:r>
        <w:rPr/>
        <w:t>目前该区域地下水无开发利用计划</w:t>
      </w:r>
      <w:r>
        <w:rPr>
          <w:spacing w:val="-24"/>
          <w:w w:val="170"/>
        </w:rPr>
        <w:t>。</w:t>
      </w:r>
      <w:r>
        <w:rPr/>
        <w:t>项目所在区域范围内土壤能达</w:t>
      </w:r>
      <w:r>
        <w:rPr>
          <w:spacing w:val="-214"/>
        </w:rPr>
        <w:t>到环</w:t>
      </w:r>
      <w:r>
        <w:rPr/>
        <w:t>境功能区划要求，可以达到《土壤环境质量 建设用地土壤污染风险管控标准</w:t>
      </w:r>
      <w:r>
        <w:rPr>
          <w:rFonts w:ascii="Times New Roman" w:hAnsi="Times New Roman" w:eastAsia="Times New Roman"/>
        </w:rPr>
        <w:t>(</w:t>
      </w:r>
      <w:r>
        <w:rPr>
          <w:spacing w:val="4"/>
        </w:rPr>
        <w:t>试行</w:t>
      </w:r>
      <w:r>
        <w:rPr>
          <w:rFonts w:ascii="Times New Roman" w:hAnsi="Times New Roman" w:eastAsia="Times New Roman"/>
        </w:rPr>
        <w:t>)</w:t>
      </w:r>
      <w:r>
        <w:rPr/>
        <w:t>》</w:t>
      </w:r>
      <w:r>
        <w:rPr>
          <w:rFonts w:ascii="Times New Roman" w:hAnsi="Times New Roman" w:eastAsia="Times New Roman"/>
        </w:rPr>
        <w:t>(GB36600-2018) </w:t>
      </w:r>
      <w:r>
        <w:rPr/>
        <w:t>中第二类用地筛选值要求，项目所在地土壤现状环境质量较好。</w:t>
      </w:r>
    </w:p>
    <w:p>
      <w:pPr>
        <w:pStyle w:val="BodyText"/>
        <w:spacing w:line="364" w:lineRule="auto"/>
        <w:ind w:left="218" w:right="232" w:firstLine="480"/>
        <w:jc w:val="both"/>
      </w:pPr>
      <w:r>
        <w:rPr>
          <w:spacing w:val="-9"/>
        </w:rPr>
        <w:t>根据分析，本项目实施后废水收集经预处理后进入厂区污水处理设施处理达标后纳</w:t>
      </w:r>
      <w:r>
        <w:rPr>
          <w:spacing w:val="-7"/>
        </w:rPr>
        <w:t>管，不排入地表水和地下水环境，不会对水环境质量底线造成影响；所排放的各类废气</w:t>
      </w:r>
      <w:r>
        <w:rPr>
          <w:spacing w:val="-5"/>
        </w:rPr>
        <w:t>经过收集处理后达标排放，根据预测，废气外排对周围环境空气造成的影响较小，不会</w:t>
      </w:r>
      <w:r>
        <w:rPr>
          <w:spacing w:val="-3"/>
        </w:rPr>
        <w:t>突破环境空气质量底线；所排放的污染物对土壤环境的影响较小</w:t>
      </w:r>
      <w:r>
        <w:rPr>
          <w:spacing w:val="-24"/>
          <w:w w:val="180"/>
        </w:rPr>
        <w:t>。</w:t>
      </w:r>
      <w:r>
        <w:rPr>
          <w:spacing w:val="-2"/>
        </w:rPr>
        <w:t>项目实施后周围声</w:t>
      </w:r>
      <w:r>
        <w:rPr>
          <w:spacing w:val="-220"/>
        </w:rPr>
        <w:t>环</w:t>
      </w:r>
      <w:r>
        <w:rPr/>
        <w:t>境可满足功能区要求。</w:t>
      </w:r>
    </w:p>
    <w:p>
      <w:pPr>
        <w:pStyle w:val="Heading4"/>
        <w:spacing w:line="306" w:lineRule="exact"/>
      </w:pPr>
      <w:r>
        <w:rPr/>
        <w:t>建设项目拟采取的措施可满足区域环境质量改善目标管理要求。</w:t>
      </w:r>
    </w:p>
    <w:p>
      <w:pPr>
        <w:pStyle w:val="ListParagraph"/>
        <w:numPr>
          <w:ilvl w:val="2"/>
          <w:numId w:val="23"/>
        </w:numPr>
        <w:tabs>
          <w:tab w:pos="927" w:val="left" w:leader="none"/>
        </w:tabs>
        <w:spacing w:line="364" w:lineRule="auto" w:before="154" w:after="0"/>
        <w:ind w:left="218" w:right="234" w:firstLine="0"/>
        <w:jc w:val="left"/>
        <w:rPr>
          <w:b/>
          <w:sz w:val="24"/>
        </w:rPr>
      </w:pPr>
      <w:r>
        <w:rPr>
          <w:b/>
          <w:sz w:val="24"/>
        </w:rPr>
        <w:t>建设项目采取的污染防治措施无法确保污染排放达到国家和地方排放标准， 或者未采取必要措施预防和控制生态破坏。</w:t>
      </w:r>
    </w:p>
    <w:p>
      <w:pPr>
        <w:pStyle w:val="BodyText"/>
        <w:spacing w:line="306" w:lineRule="exact"/>
        <w:ind w:left="698"/>
      </w:pPr>
      <w:r>
        <w:rPr/>
        <w:t>项目运营过程中各类污染源均可得到有效控制并能做到达标排放。</w:t>
      </w:r>
    </w:p>
    <w:p>
      <w:pPr>
        <w:pStyle w:val="Heading4"/>
        <w:numPr>
          <w:ilvl w:val="2"/>
          <w:numId w:val="23"/>
        </w:numPr>
        <w:tabs>
          <w:tab w:pos="865" w:val="left" w:leader="none"/>
        </w:tabs>
        <w:spacing w:line="362" w:lineRule="auto" w:before="161" w:after="0"/>
        <w:ind w:left="218" w:right="235" w:firstLine="0"/>
        <w:jc w:val="left"/>
      </w:pPr>
      <w:r>
        <w:rPr>
          <w:spacing w:val="-4"/>
        </w:rPr>
        <w:t>改建、建和技术改造项目，未针对项目原有环境污染和生态破坏提出有效防治措</w:t>
      </w:r>
      <w:r>
        <w:rPr/>
        <w:t>施。</w:t>
      </w:r>
    </w:p>
    <w:p>
      <w:pPr>
        <w:pStyle w:val="BodyText"/>
        <w:spacing w:before="5"/>
        <w:ind w:left="698"/>
      </w:pPr>
      <w:r>
        <w:rPr>
          <w:spacing w:val="-11"/>
        </w:rPr>
        <w:t>本次项目属于扩建项目，现有企业污染物排放可满足现行标准要求，做到达标排放</w:t>
      </w:r>
      <w:r>
        <w:rPr>
          <w:spacing w:val="-144"/>
        </w:rPr>
        <w:t>。</w:t>
      </w:r>
    </w:p>
    <w:p>
      <w:pPr>
        <w:pStyle w:val="Heading4"/>
        <w:numPr>
          <w:ilvl w:val="2"/>
          <w:numId w:val="23"/>
        </w:numPr>
        <w:tabs>
          <w:tab w:pos="865" w:val="left" w:leader="none"/>
        </w:tabs>
        <w:spacing w:line="364" w:lineRule="auto" w:before="158" w:after="0"/>
        <w:ind w:left="218" w:right="239" w:firstLine="0"/>
        <w:jc w:val="left"/>
      </w:pPr>
      <w:r>
        <w:rPr>
          <w:spacing w:val="-3"/>
        </w:rPr>
        <w:t>建设项目的环境影响报告书、环境影响报告表的基础资料数据明显不实，内容存</w:t>
      </w:r>
      <w:r>
        <w:rPr/>
        <w:t>在重大缺陷、遗漏，或者环境影响评价结论不明确、不合理</w:t>
      </w:r>
    </w:p>
    <w:p>
      <w:pPr>
        <w:pStyle w:val="BodyText"/>
        <w:spacing w:line="364" w:lineRule="auto" w:before="1"/>
        <w:ind w:left="218" w:right="233" w:firstLine="480"/>
        <w:jc w:val="both"/>
      </w:pPr>
      <w:r>
        <w:rPr>
          <w:spacing w:val="-3"/>
        </w:rPr>
        <w:t>环评报告采用的基础资料数据均采用项目方实际建设申报内容，环境监测数据均由</w:t>
      </w:r>
      <w:r>
        <w:rPr/>
        <w:t>正规资质单位监测取得</w:t>
      </w:r>
      <w:r>
        <w:rPr>
          <w:spacing w:val="-24"/>
          <w:w w:val="180"/>
        </w:rPr>
        <w:t>。</w:t>
      </w:r>
      <w:r>
        <w:rPr>
          <w:spacing w:val="-3"/>
        </w:rPr>
        <w:t>根据多次内部审核和外部专家评审指导，不存在重大缺陷和</w:t>
      </w:r>
      <w:r>
        <w:rPr>
          <w:spacing w:val="-220"/>
        </w:rPr>
        <w:t>遗</w:t>
      </w:r>
      <w:r>
        <w:rPr>
          <w:w w:val="120"/>
        </w:rPr>
        <w:t>漏。</w:t>
      </w:r>
    </w:p>
    <w:p>
      <w:pPr>
        <w:pStyle w:val="Heading4"/>
        <w:numPr>
          <w:ilvl w:val="2"/>
          <w:numId w:val="23"/>
        </w:numPr>
        <w:tabs>
          <w:tab w:pos="985" w:val="left" w:leader="none"/>
        </w:tabs>
        <w:spacing w:line="305" w:lineRule="exact" w:before="0" w:after="0"/>
        <w:ind w:left="984" w:right="0" w:hanging="767"/>
        <w:jc w:val="left"/>
      </w:pPr>
      <w:r>
        <w:rPr/>
        <w:t>结论</w:t>
      </w:r>
    </w:p>
    <w:p>
      <w:pPr>
        <w:pStyle w:val="BodyText"/>
        <w:spacing w:line="364" w:lineRule="auto" w:before="161"/>
        <w:ind w:left="218" w:right="184" w:firstLine="480"/>
        <w:jc w:val="both"/>
      </w:pPr>
      <w:r>
        <w:rPr>
          <w:spacing w:val="-1"/>
        </w:rPr>
        <w:t>综上，本次建设项目环境可行、环境影响分析预测评估可靠、环境保护措施有效、</w:t>
      </w:r>
      <w:r>
        <w:rPr>
          <w:spacing w:val="-4"/>
        </w:rPr>
        <w:t>环境影响评价结论科学；且建设项目类型及其选址、布局、规模等符合环境保护法律法</w:t>
      </w:r>
      <w:r>
        <w:rPr>
          <w:spacing w:val="-8"/>
        </w:rPr>
        <w:t>规和相关法定规划；建设项目拟采取的措施可满足区域环境质量改善目标管理要求；建</w:t>
      </w:r>
      <w:r>
        <w:rPr>
          <w:spacing w:val="-10"/>
        </w:rPr>
        <w:t>设项目采取的污染防治措施可确保污染物排放达到国家和地方排放标准；建设项目的环</w:t>
      </w:r>
    </w:p>
    <w:p>
      <w:pPr>
        <w:spacing w:after="0" w:line="364" w:lineRule="auto"/>
        <w:jc w:val="both"/>
        <w:sectPr>
          <w:footerReference w:type="default" r:id="rId180"/>
          <w:pgSz w:w="11910" w:h="16840"/>
          <w:pgMar w:footer="873" w:header="872" w:top="1320" w:bottom="1060" w:left="1200" w:right="1180"/>
          <w:pgNumType w:start="261"/>
        </w:sectPr>
      </w:pPr>
    </w:p>
    <w:p>
      <w:pPr>
        <w:pStyle w:val="BodyText"/>
        <w:spacing w:line="364" w:lineRule="auto" w:before="84"/>
        <w:ind w:left="218" w:right="184"/>
      </w:pPr>
      <w:r>
        <w:rPr/>
        <w:t>境影响报告书的基础资料数据真实，内容无重大缺陷、遗漏，环境影响评价结论明确、合理。</w:t>
      </w:r>
    </w:p>
    <w:p>
      <w:pPr>
        <w:pStyle w:val="BodyText"/>
        <w:spacing w:line="307" w:lineRule="exact"/>
        <w:ind w:left="698"/>
      </w:pPr>
      <w:r>
        <w:rPr/>
        <w:t>项目符合建设项目环境保护管理条例相关要求。</w:t>
      </w:r>
    </w:p>
    <w:p>
      <w:pPr>
        <w:pStyle w:val="Heading3"/>
        <w:numPr>
          <w:ilvl w:val="1"/>
          <w:numId w:val="23"/>
        </w:numPr>
        <w:tabs>
          <w:tab w:pos="697" w:val="left" w:leader="none"/>
        </w:tabs>
        <w:spacing w:line="240" w:lineRule="auto" w:before="159" w:after="0"/>
        <w:ind w:left="696" w:right="0" w:hanging="479"/>
        <w:jc w:val="left"/>
      </w:pPr>
      <w:bookmarkStart w:name="_bookmark70" w:id="141"/>
      <w:bookmarkEnd w:id="141"/>
      <w:r>
        <w:rPr>
          <w:b w:val="0"/>
        </w:rPr>
      </w:r>
      <w:bookmarkStart w:name="_bookmark70" w:id="142"/>
      <w:bookmarkEnd w:id="142"/>
      <w:r>
        <w:rPr/>
        <w:t>《浙江省建设项目环境保护管理办法》</w:t>
      </w:r>
      <w:r>
        <w:rPr>
          <w:rFonts w:ascii="Times New Roman" w:eastAsia="Times New Roman"/>
        </w:rPr>
        <w:t>(2021</w:t>
      </w:r>
      <w:r>
        <w:rPr>
          <w:rFonts w:ascii="Times New Roman" w:eastAsia="Times New Roman"/>
          <w:spacing w:val="-3"/>
        </w:rPr>
        <w:t> </w:t>
      </w:r>
      <w:r>
        <w:rPr/>
        <w:t>年修正</w:t>
      </w:r>
      <w:r>
        <w:rPr>
          <w:rFonts w:ascii="Times New Roman" w:eastAsia="Times New Roman"/>
          <w:spacing w:val="-3"/>
        </w:rPr>
        <w:t>)</w:t>
      </w:r>
      <w:r>
        <w:rPr/>
        <w:t>符合性分析</w:t>
      </w:r>
    </w:p>
    <w:p>
      <w:pPr>
        <w:pStyle w:val="BodyText"/>
        <w:spacing w:line="364" w:lineRule="auto" w:before="185"/>
        <w:ind w:left="218" w:right="233" w:firstLine="480"/>
        <w:jc w:val="both"/>
      </w:pPr>
      <w:r>
        <w:rPr>
          <w:spacing w:val="-7"/>
        </w:rPr>
        <w:t>根据《浙江省建设项目环境保护管理办法》第三条：建设项目应当符合生态保护红</w:t>
      </w:r>
      <w:r>
        <w:rPr>
          <w:spacing w:val="-8"/>
        </w:rPr>
        <w:t>线、环境质量底线、资源利用上线和生态环境准入清单管控的要求；排放污染物应当符</w:t>
      </w:r>
      <w:r>
        <w:rPr>
          <w:spacing w:val="-5"/>
        </w:rPr>
        <w:t>合国家、省规定的污染物排放标准和重点污染物排放总量控制要求</w:t>
      </w:r>
      <w:r>
        <w:rPr>
          <w:spacing w:val="-24"/>
          <w:w w:val="180"/>
        </w:rPr>
        <w:t>。</w:t>
      </w:r>
      <w:r>
        <w:rPr>
          <w:spacing w:val="-3"/>
        </w:rPr>
        <w:t>建设项目还应当</w:t>
      </w:r>
      <w:r>
        <w:rPr>
          <w:spacing w:val="-220"/>
        </w:rPr>
        <w:t>符</w:t>
      </w:r>
      <w:r>
        <w:rPr/>
        <w:t>合国土空间规划、国家和省产业政策等要求。</w:t>
      </w:r>
    </w:p>
    <w:p>
      <w:pPr>
        <w:pStyle w:val="BodyText"/>
        <w:ind w:left="698"/>
        <w:jc w:val="both"/>
      </w:pPr>
      <w:r>
        <w:rPr/>
        <w:t>上述内容均已在 </w:t>
      </w:r>
      <w:r>
        <w:rPr>
          <w:rFonts w:ascii="Times New Roman" w:eastAsia="Times New Roman"/>
        </w:rPr>
        <w:t>11.1.1 </w:t>
      </w:r>
      <w:r>
        <w:rPr/>
        <w:t>章节环境可行性中予以分析，在此不再重复，项目建设符合</w:t>
      </w:r>
    </w:p>
    <w:p>
      <w:pPr>
        <w:pStyle w:val="BodyText"/>
        <w:spacing w:before="159"/>
        <w:ind w:left="218"/>
      </w:pPr>
      <w:r>
        <w:rPr/>
        <w:t>《浙江省建设项目环境保护管理办法》第三条中要求。</w:t>
      </w:r>
    </w:p>
    <w:p>
      <w:pPr>
        <w:pStyle w:val="Heading3"/>
        <w:numPr>
          <w:ilvl w:val="1"/>
          <w:numId w:val="23"/>
        </w:numPr>
        <w:tabs>
          <w:tab w:pos="764" w:val="left" w:leader="none"/>
        </w:tabs>
        <w:spacing w:line="240" w:lineRule="auto" w:before="161" w:after="0"/>
        <w:ind w:left="763" w:right="0" w:hanging="546"/>
        <w:jc w:val="left"/>
      </w:pPr>
      <w:bookmarkStart w:name="_bookmark71" w:id="143"/>
      <w:bookmarkEnd w:id="143"/>
      <w:r>
        <w:rPr>
          <w:b w:val="0"/>
        </w:rPr>
      </w:r>
      <w:bookmarkStart w:name="_bookmark71" w:id="144"/>
      <w:bookmarkEnd w:id="144"/>
      <w:r>
        <w:rPr/>
        <w:t>建设项目其他部门审批要求符合性分析</w:t>
      </w:r>
    </w:p>
    <w:p>
      <w:pPr>
        <w:pStyle w:val="BodyText"/>
        <w:spacing w:line="364" w:lineRule="auto" w:before="186"/>
        <w:ind w:left="218" w:right="114" w:firstLine="480"/>
      </w:pPr>
      <w:r>
        <w:rPr/>
        <w:t>对照《上虞区产业建设项目环境准入指导意见》</w:t>
      </w:r>
      <w:r>
        <w:rPr>
          <w:rFonts w:ascii="Times New Roman" w:eastAsia="Times New Roman"/>
        </w:rPr>
        <w:t>(</w:t>
      </w:r>
      <w:r>
        <w:rPr/>
        <w:t>区委办</w:t>
      </w:r>
      <w:r>
        <w:rPr>
          <w:rFonts w:ascii="Times New Roman" w:eastAsia="Times New Roman"/>
        </w:rPr>
        <w:t>[2016]33 </w:t>
      </w:r>
      <w:r>
        <w:rPr/>
        <w:t>号</w:t>
      </w:r>
      <w:r>
        <w:rPr>
          <w:rFonts w:ascii="Times New Roman" w:eastAsia="Times New Roman"/>
        </w:rPr>
        <w:t>)</w:t>
      </w:r>
      <w:r>
        <w:rPr/>
        <w:t>，项目拟建地</w:t>
      </w:r>
      <w:r>
        <w:rPr>
          <w:spacing w:val="-3"/>
        </w:rPr>
        <w:t>位于杭州湾上虞经济技术开发区振兴大道，项目符合土地利用总体规划、城乡规划、开</w:t>
      </w:r>
      <w:r>
        <w:rPr>
          <w:spacing w:val="-6"/>
        </w:rPr>
        <w:t>发区总体规划及规划环评等要求；所生产的产品符合国家和地方产业政策要求；产生的</w:t>
      </w:r>
      <w:r>
        <w:rPr>
          <w:spacing w:val="-10"/>
        </w:rPr>
        <w:t>污染物经相应处理后可以做到达标排放，本次项目实施后新增的 </w:t>
      </w:r>
      <w:r>
        <w:rPr>
          <w:rFonts w:ascii="Times New Roman" w:eastAsia="Times New Roman"/>
        </w:rPr>
        <w:t>CODcr</w:t>
      </w:r>
      <w:r>
        <w:rPr>
          <w:spacing w:val="-14"/>
        </w:rPr>
        <w:t>、氨氮、</w:t>
      </w:r>
      <w:r>
        <w:rPr>
          <w:rFonts w:ascii="Times New Roman" w:eastAsia="Times New Roman"/>
        </w:rPr>
        <w:t>VOCs</w:t>
      </w:r>
      <w:r>
        <w:rPr>
          <w:spacing w:val="-14"/>
        </w:rPr>
        <w:t>、</w:t>
      </w:r>
      <w:r>
        <w:rPr>
          <w:spacing w:val="-2"/>
        </w:rPr>
        <w:t>工业烟粉尘厂通过排污权交易或区域平衡解决；本次项目不属于禁止建设的行业</w:t>
      </w:r>
      <w:r>
        <w:rPr>
          <w:spacing w:val="-24"/>
          <w:w w:val="170"/>
        </w:rPr>
        <w:t>。</w:t>
      </w:r>
      <w:r>
        <w:rPr>
          <w:spacing w:val="-69"/>
        </w:rPr>
        <w:t>项目</w:t>
      </w:r>
      <w:r>
        <w:rPr/>
        <w:t>符合《上虞区产业建设项目环境准入指导意见》</w:t>
      </w:r>
      <w:r>
        <w:rPr>
          <w:rFonts w:ascii="Times New Roman" w:eastAsia="Times New Roman"/>
        </w:rPr>
        <w:t>(</w:t>
      </w:r>
      <w:r>
        <w:rPr/>
        <w:t>区委办</w:t>
      </w:r>
      <w:r>
        <w:rPr>
          <w:rFonts w:ascii="Times New Roman" w:eastAsia="Times New Roman"/>
        </w:rPr>
        <w:t>[2016]33 </w:t>
      </w:r>
      <w:r>
        <w:rPr/>
        <w:t>号</w:t>
      </w:r>
      <w:r>
        <w:rPr>
          <w:rFonts w:ascii="Times New Roman" w:eastAsia="Times New Roman"/>
        </w:rPr>
        <w:t>)</w:t>
      </w:r>
      <w:r>
        <w:rPr/>
        <w:t>文件要求。</w:t>
      </w:r>
    </w:p>
    <w:p>
      <w:pPr>
        <w:pStyle w:val="Heading4"/>
        <w:numPr>
          <w:ilvl w:val="2"/>
          <w:numId w:val="23"/>
        </w:numPr>
        <w:tabs>
          <w:tab w:pos="841" w:val="left" w:leader="none"/>
        </w:tabs>
        <w:spacing w:line="304" w:lineRule="exact" w:before="0" w:after="0"/>
        <w:ind w:left="840" w:right="0" w:hanging="623"/>
        <w:jc w:val="left"/>
      </w:pPr>
      <w:r>
        <w:rPr>
          <w:spacing w:val="21"/>
        </w:rPr>
        <w:t>《关于做好推进传统精细化工技术装备水平提升工作的通知》</w:t>
      </w:r>
      <w:r>
        <w:rPr>
          <w:rFonts w:ascii="Times New Roman" w:eastAsia="Times New Roman"/>
          <w:spacing w:val="18"/>
        </w:rPr>
        <w:t>(</w:t>
      </w:r>
      <w:r>
        <w:rPr>
          <w:spacing w:val="21"/>
        </w:rPr>
        <w:t>浙经贸医化</w:t>
      </w:r>
    </w:p>
    <w:p>
      <w:pPr>
        <w:spacing w:before="158"/>
        <w:ind w:left="218" w:right="0" w:firstLine="0"/>
        <w:jc w:val="left"/>
        <w:rPr>
          <w:b/>
          <w:sz w:val="24"/>
        </w:rPr>
      </w:pPr>
      <w:r>
        <w:rPr>
          <w:rFonts w:ascii="Times New Roman" w:eastAsia="Times New Roman"/>
          <w:b/>
          <w:sz w:val="24"/>
        </w:rPr>
        <w:t>[2005]1056 </w:t>
      </w:r>
      <w:r>
        <w:rPr>
          <w:b/>
          <w:sz w:val="24"/>
        </w:rPr>
        <w:t>号</w:t>
      </w:r>
      <w:r>
        <w:rPr>
          <w:rFonts w:ascii="Times New Roman" w:eastAsia="Times New Roman"/>
          <w:b/>
          <w:sz w:val="24"/>
        </w:rPr>
        <w:t>)</w:t>
      </w:r>
      <w:r>
        <w:rPr>
          <w:b/>
          <w:sz w:val="24"/>
        </w:rPr>
        <w:t>中精细化工行业基本要求符合性分析</w:t>
      </w:r>
    </w:p>
    <w:p>
      <w:pPr>
        <w:pStyle w:val="BodyText"/>
        <w:spacing w:line="364" w:lineRule="auto" w:before="160"/>
        <w:ind w:left="218" w:right="125" w:firstLine="480"/>
      </w:pPr>
      <w:r>
        <w:rPr/>
        <w:t>本环评根据《关于做好推进传统精细化工技术装备水平提升工作的通知》</w:t>
      </w:r>
      <w:r>
        <w:rPr>
          <w:rFonts w:ascii="Times New Roman" w:eastAsia="Times New Roman"/>
        </w:rPr>
        <w:t>(</w:t>
      </w:r>
      <w:r>
        <w:rPr/>
        <w:t>浙经贸医化</w:t>
      </w:r>
      <w:r>
        <w:rPr>
          <w:rFonts w:ascii="Times New Roman" w:eastAsia="Times New Roman"/>
        </w:rPr>
        <w:t>[2005]1056 </w:t>
      </w:r>
      <w:r>
        <w:rPr/>
        <w:t>号</w:t>
      </w:r>
      <w:r>
        <w:rPr>
          <w:rFonts w:ascii="Times New Roman" w:eastAsia="Times New Roman"/>
        </w:rPr>
        <w:t>)</w:t>
      </w:r>
      <w:r>
        <w:rPr/>
        <w:t>中精细化工行业基本要求对本项目技术装备清洁生产水平进行分析， 具体见下表。</w:t>
      </w:r>
    </w:p>
    <w:p>
      <w:pPr>
        <w:pStyle w:val="Heading4"/>
        <w:spacing w:before="139" w:after="29"/>
        <w:ind w:left="1150"/>
      </w:pPr>
      <w:r>
        <w:rPr>
          <w:spacing w:val="-30"/>
        </w:rPr>
        <w:t>表 </w:t>
      </w:r>
      <w:r>
        <w:rPr>
          <w:rFonts w:ascii="Times New Roman" w:eastAsia="Times New Roman"/>
        </w:rPr>
        <w:t>11.3.1-1</w:t>
      </w:r>
      <w:r>
        <w:rPr>
          <w:rFonts w:ascii="Times New Roman" w:eastAsia="Times New Roman"/>
          <w:spacing w:val="58"/>
        </w:rPr>
        <w:t> </w:t>
      </w:r>
      <w:r>
        <w:rPr/>
        <w:t>与浙经贸医化</w:t>
      </w:r>
      <w:r>
        <w:rPr>
          <w:rFonts w:ascii="Times New Roman" w:eastAsia="Times New Roman"/>
        </w:rPr>
        <w:t>[2005]1056 </w:t>
      </w:r>
      <w:r>
        <w:rPr/>
        <w:t>号文对比其装备技术符合性分析</w:t>
      </w: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4623"/>
        <w:gridCol w:w="3222"/>
        <w:gridCol w:w="821"/>
      </w:tblGrid>
      <w:tr>
        <w:trPr>
          <w:trHeight w:val="544" w:hRule="atLeast"/>
        </w:trPr>
        <w:tc>
          <w:tcPr>
            <w:tcW w:w="542" w:type="dxa"/>
          </w:tcPr>
          <w:p>
            <w:pPr>
              <w:pStyle w:val="TableParagraph"/>
              <w:spacing w:before="137"/>
              <w:ind w:left="37" w:right="32"/>
              <w:rPr>
                <w:b/>
                <w:sz w:val="21"/>
              </w:rPr>
            </w:pPr>
            <w:r>
              <w:rPr>
                <w:b/>
                <w:sz w:val="21"/>
              </w:rPr>
              <w:t>序号</w:t>
            </w:r>
          </w:p>
        </w:tc>
        <w:tc>
          <w:tcPr>
            <w:tcW w:w="4623" w:type="dxa"/>
          </w:tcPr>
          <w:p>
            <w:pPr>
              <w:pStyle w:val="TableParagraph"/>
              <w:spacing w:before="137"/>
              <w:ind w:left="81" w:right="75"/>
              <w:rPr>
                <w:b/>
                <w:sz w:val="21"/>
              </w:rPr>
            </w:pPr>
            <w:r>
              <w:rPr>
                <w:b/>
                <w:sz w:val="21"/>
              </w:rPr>
              <w:t>要求</w:t>
            </w:r>
          </w:p>
        </w:tc>
        <w:tc>
          <w:tcPr>
            <w:tcW w:w="3222" w:type="dxa"/>
          </w:tcPr>
          <w:p>
            <w:pPr>
              <w:pStyle w:val="TableParagraph"/>
              <w:spacing w:before="137"/>
              <w:ind w:left="139" w:right="125"/>
              <w:rPr>
                <w:b/>
                <w:sz w:val="21"/>
              </w:rPr>
            </w:pPr>
            <w:r>
              <w:rPr>
                <w:b/>
                <w:sz w:val="21"/>
              </w:rPr>
              <w:t>本项目符合性分析</w:t>
            </w:r>
          </w:p>
        </w:tc>
        <w:tc>
          <w:tcPr>
            <w:tcW w:w="821" w:type="dxa"/>
          </w:tcPr>
          <w:p>
            <w:pPr>
              <w:pStyle w:val="TableParagraph"/>
              <w:spacing w:line="270" w:lineRule="atLeast" w:before="2"/>
              <w:ind w:left="196" w:right="189"/>
              <w:jc w:val="left"/>
              <w:rPr>
                <w:b/>
                <w:sz w:val="21"/>
              </w:rPr>
            </w:pPr>
            <w:r>
              <w:rPr>
                <w:b/>
                <w:sz w:val="21"/>
              </w:rPr>
              <w:t>是否符合</w:t>
            </w:r>
          </w:p>
        </w:tc>
      </w:tr>
      <w:tr>
        <w:trPr>
          <w:trHeight w:val="818" w:hRule="atLeast"/>
        </w:trPr>
        <w:tc>
          <w:tcPr>
            <w:tcW w:w="542" w:type="dxa"/>
          </w:tcPr>
          <w:p>
            <w:pPr>
              <w:pStyle w:val="TableParagraph"/>
              <w:spacing w:before="7"/>
              <w:jc w:val="left"/>
              <w:rPr>
                <w:b/>
                <w:sz w:val="22"/>
              </w:rPr>
            </w:pPr>
          </w:p>
          <w:p>
            <w:pPr>
              <w:pStyle w:val="TableParagraph"/>
              <w:ind w:left="5"/>
              <w:rPr>
                <w:rFonts w:ascii="Times New Roman"/>
                <w:sz w:val="21"/>
              </w:rPr>
            </w:pPr>
            <w:r>
              <w:rPr>
                <w:rFonts w:ascii="Times New Roman"/>
                <w:w w:val="100"/>
                <w:sz w:val="21"/>
              </w:rPr>
              <w:t>1</w:t>
            </w:r>
          </w:p>
        </w:tc>
        <w:tc>
          <w:tcPr>
            <w:tcW w:w="4623" w:type="dxa"/>
          </w:tcPr>
          <w:p>
            <w:pPr>
              <w:pStyle w:val="TableParagraph"/>
              <w:spacing w:line="242" w:lineRule="auto" w:before="4"/>
              <w:ind w:left="108" w:right="93" w:hanging="3"/>
              <w:rPr>
                <w:sz w:val="21"/>
              </w:rPr>
            </w:pPr>
            <w:r>
              <w:rPr>
                <w:spacing w:val="-3"/>
                <w:sz w:val="21"/>
              </w:rPr>
              <w:t>不得使用压缩空气、真空压吸输送易燃化工介</w:t>
            </w:r>
            <w:r>
              <w:rPr>
                <w:spacing w:val="-4"/>
                <w:w w:val="115"/>
                <w:sz w:val="21"/>
              </w:rPr>
              <w:t>质。</w:t>
            </w:r>
            <w:r>
              <w:rPr>
                <w:spacing w:val="-3"/>
                <w:sz w:val="21"/>
              </w:rPr>
              <w:t>若介质特性及工艺无法替代时，须对输送</w:t>
            </w:r>
            <w:r>
              <w:rPr>
                <w:spacing w:val="-152"/>
                <w:sz w:val="21"/>
              </w:rPr>
              <w:t>排</w:t>
            </w:r>
          </w:p>
          <w:p>
            <w:pPr>
              <w:pStyle w:val="TableParagraph"/>
              <w:spacing w:line="250" w:lineRule="exact" w:before="1"/>
              <w:ind w:left="82" w:right="75"/>
              <w:rPr>
                <w:sz w:val="21"/>
              </w:rPr>
            </w:pPr>
            <w:r>
              <w:rPr>
                <w:w w:val="115"/>
                <w:sz w:val="21"/>
              </w:rPr>
              <w:t>气进行统一收集</w:t>
            </w:r>
            <w:r>
              <w:rPr>
                <w:w w:val="185"/>
                <w:sz w:val="21"/>
              </w:rPr>
              <w:t>。</w:t>
            </w:r>
          </w:p>
        </w:tc>
        <w:tc>
          <w:tcPr>
            <w:tcW w:w="3222" w:type="dxa"/>
          </w:tcPr>
          <w:p>
            <w:pPr>
              <w:pStyle w:val="TableParagraph"/>
              <w:spacing w:line="242" w:lineRule="auto" w:before="4"/>
              <w:ind w:left="139" w:right="125"/>
              <w:rPr>
                <w:sz w:val="21"/>
              </w:rPr>
            </w:pPr>
            <w:r>
              <w:rPr>
                <w:sz w:val="21"/>
              </w:rPr>
              <w:t>物料采用各类正压泵进行输送， 不使用压缩空气、真空压吸方式</w:t>
            </w:r>
          </w:p>
          <w:p>
            <w:pPr>
              <w:pStyle w:val="TableParagraph"/>
              <w:spacing w:line="250" w:lineRule="exact" w:before="1"/>
              <w:ind w:left="137" w:right="125"/>
              <w:rPr>
                <w:sz w:val="21"/>
              </w:rPr>
            </w:pPr>
            <w:r>
              <w:rPr>
                <w:w w:val="115"/>
                <w:sz w:val="21"/>
              </w:rPr>
              <w:t>进行输送。</w:t>
            </w:r>
          </w:p>
        </w:tc>
        <w:tc>
          <w:tcPr>
            <w:tcW w:w="821" w:type="dxa"/>
          </w:tcPr>
          <w:p>
            <w:pPr>
              <w:pStyle w:val="TableParagraph"/>
              <w:spacing w:before="6"/>
              <w:jc w:val="left"/>
              <w:rPr>
                <w:b/>
                <w:sz w:val="21"/>
              </w:rPr>
            </w:pPr>
          </w:p>
          <w:p>
            <w:pPr>
              <w:pStyle w:val="TableParagraph"/>
              <w:ind w:left="179" w:right="170"/>
              <w:rPr>
                <w:sz w:val="21"/>
              </w:rPr>
            </w:pPr>
            <w:r>
              <w:rPr>
                <w:sz w:val="21"/>
              </w:rPr>
              <w:t>符合</w:t>
            </w:r>
          </w:p>
        </w:tc>
      </w:tr>
      <w:tr>
        <w:trPr>
          <w:trHeight w:val="1089" w:hRule="atLeast"/>
        </w:trPr>
        <w:tc>
          <w:tcPr>
            <w:tcW w:w="542" w:type="dxa"/>
          </w:tcPr>
          <w:p>
            <w:pPr>
              <w:pStyle w:val="TableParagraph"/>
              <w:jc w:val="left"/>
              <w:rPr>
                <w:b/>
                <w:sz w:val="22"/>
              </w:rPr>
            </w:pPr>
          </w:p>
          <w:p>
            <w:pPr>
              <w:pStyle w:val="TableParagraph"/>
              <w:spacing w:before="143"/>
              <w:ind w:left="5"/>
              <w:rPr>
                <w:rFonts w:ascii="Times New Roman"/>
                <w:sz w:val="21"/>
              </w:rPr>
            </w:pPr>
            <w:r>
              <w:rPr>
                <w:rFonts w:ascii="Times New Roman"/>
                <w:w w:val="100"/>
                <w:sz w:val="21"/>
              </w:rPr>
              <w:t>2</w:t>
            </w:r>
          </w:p>
        </w:tc>
        <w:tc>
          <w:tcPr>
            <w:tcW w:w="4623" w:type="dxa"/>
          </w:tcPr>
          <w:p>
            <w:pPr>
              <w:pStyle w:val="TableParagraph"/>
              <w:spacing w:line="242" w:lineRule="auto" w:before="1"/>
              <w:ind w:left="108" w:right="88"/>
              <w:jc w:val="both"/>
              <w:rPr>
                <w:sz w:val="21"/>
              </w:rPr>
            </w:pPr>
            <w:r>
              <w:rPr>
                <w:spacing w:val="-4"/>
                <w:sz w:val="21"/>
              </w:rPr>
              <w:t>固体投料应设密封投料装置，不得敞口投料</w:t>
            </w:r>
            <w:r>
              <w:rPr>
                <w:spacing w:val="-3"/>
                <w:w w:val="185"/>
                <w:sz w:val="21"/>
              </w:rPr>
              <w:t>。</w:t>
            </w:r>
            <w:r>
              <w:rPr>
                <w:spacing w:val="-212"/>
                <w:sz w:val="21"/>
              </w:rPr>
              <w:t>以</w:t>
            </w:r>
            <w:r>
              <w:rPr>
                <w:spacing w:val="-4"/>
                <w:sz w:val="21"/>
              </w:rPr>
              <w:t>剧毒物品为生产介质的设备和母液、污水的收集槽，不得使用敞口设备，确因排渣、清渣需要，</w:t>
            </w:r>
          </w:p>
          <w:p>
            <w:pPr>
              <w:pStyle w:val="TableParagraph"/>
              <w:spacing w:line="250" w:lineRule="exact" w:before="3"/>
              <w:ind w:left="1048"/>
              <w:jc w:val="left"/>
              <w:rPr>
                <w:sz w:val="21"/>
              </w:rPr>
            </w:pPr>
            <w:r>
              <w:rPr>
                <w:w w:val="115"/>
                <w:sz w:val="21"/>
              </w:rPr>
              <w:t>该设备应设密闭排渣装置</w:t>
            </w:r>
            <w:r>
              <w:rPr>
                <w:w w:val="185"/>
                <w:sz w:val="21"/>
              </w:rPr>
              <w:t>。</w:t>
            </w:r>
          </w:p>
        </w:tc>
        <w:tc>
          <w:tcPr>
            <w:tcW w:w="3222" w:type="dxa"/>
          </w:tcPr>
          <w:p>
            <w:pPr>
              <w:pStyle w:val="TableParagraph"/>
              <w:spacing w:before="5"/>
              <w:jc w:val="left"/>
              <w:rPr>
                <w:b/>
                <w:sz w:val="21"/>
              </w:rPr>
            </w:pPr>
          </w:p>
          <w:p>
            <w:pPr>
              <w:pStyle w:val="TableParagraph"/>
              <w:spacing w:line="242" w:lineRule="auto"/>
              <w:ind w:left="770" w:right="124" w:hanging="632"/>
              <w:jc w:val="left"/>
              <w:rPr>
                <w:sz w:val="21"/>
              </w:rPr>
            </w:pPr>
            <w:r>
              <w:rPr>
                <w:sz w:val="21"/>
              </w:rPr>
              <w:t>本项目固体投加采用固体投料装</w:t>
            </w:r>
            <w:r>
              <w:rPr>
                <w:w w:val="105"/>
                <w:sz w:val="21"/>
              </w:rPr>
              <w:t>置，不敞口投料</w:t>
            </w:r>
            <w:r>
              <w:rPr>
                <w:w w:val="185"/>
                <w:sz w:val="21"/>
              </w:rPr>
              <w:t>。</w:t>
            </w:r>
          </w:p>
        </w:tc>
        <w:tc>
          <w:tcPr>
            <w:tcW w:w="821" w:type="dxa"/>
          </w:tcPr>
          <w:p>
            <w:pPr>
              <w:pStyle w:val="TableParagraph"/>
              <w:jc w:val="left"/>
              <w:rPr>
                <w:b/>
                <w:sz w:val="20"/>
              </w:rPr>
            </w:pPr>
          </w:p>
          <w:p>
            <w:pPr>
              <w:pStyle w:val="TableParagraph"/>
              <w:spacing w:before="152"/>
              <w:ind w:left="179" w:right="170"/>
              <w:rPr>
                <w:sz w:val="21"/>
              </w:rPr>
            </w:pPr>
            <w:r>
              <w:rPr>
                <w:sz w:val="21"/>
              </w:rPr>
              <w:t>符合</w:t>
            </w:r>
          </w:p>
        </w:tc>
      </w:tr>
      <w:tr>
        <w:trPr>
          <w:trHeight w:val="544" w:hRule="atLeast"/>
        </w:trPr>
        <w:tc>
          <w:tcPr>
            <w:tcW w:w="542" w:type="dxa"/>
          </w:tcPr>
          <w:p>
            <w:pPr>
              <w:pStyle w:val="TableParagraph"/>
              <w:spacing w:before="151"/>
              <w:ind w:left="5"/>
              <w:rPr>
                <w:rFonts w:ascii="Times New Roman"/>
                <w:sz w:val="21"/>
              </w:rPr>
            </w:pPr>
            <w:r>
              <w:rPr>
                <w:rFonts w:ascii="Times New Roman"/>
                <w:w w:val="100"/>
                <w:sz w:val="21"/>
              </w:rPr>
              <w:t>3</w:t>
            </w:r>
          </w:p>
        </w:tc>
        <w:tc>
          <w:tcPr>
            <w:tcW w:w="4623" w:type="dxa"/>
          </w:tcPr>
          <w:p>
            <w:pPr>
              <w:pStyle w:val="TableParagraph"/>
              <w:spacing w:before="1"/>
              <w:ind w:left="208"/>
              <w:jc w:val="left"/>
              <w:rPr>
                <w:sz w:val="21"/>
              </w:rPr>
            </w:pPr>
            <w:r>
              <w:rPr>
                <w:sz w:val="21"/>
              </w:rPr>
              <w:t>固液分离不得使用敞口设备，淘汰真空抽滤设</w:t>
            </w:r>
          </w:p>
          <w:p>
            <w:pPr>
              <w:pStyle w:val="TableParagraph"/>
              <w:spacing w:line="250" w:lineRule="exact" w:before="4"/>
              <w:ind w:left="108"/>
              <w:jc w:val="left"/>
              <w:rPr>
                <w:sz w:val="21"/>
              </w:rPr>
            </w:pPr>
            <w:r>
              <w:rPr>
                <w:sz w:val="21"/>
              </w:rPr>
              <w:t>备。确因工艺介质要求必须使用敞口设备，须对</w:t>
            </w:r>
          </w:p>
        </w:tc>
        <w:tc>
          <w:tcPr>
            <w:tcW w:w="3222" w:type="dxa"/>
          </w:tcPr>
          <w:p>
            <w:pPr>
              <w:pStyle w:val="TableParagraph"/>
              <w:spacing w:before="137"/>
              <w:ind w:left="139" w:right="125"/>
              <w:rPr>
                <w:sz w:val="21"/>
              </w:rPr>
            </w:pPr>
            <w:r>
              <w:rPr>
                <w:w w:val="105"/>
                <w:sz w:val="21"/>
              </w:rPr>
              <w:t>本项目不使用敞口设</w:t>
            </w:r>
            <w:r>
              <w:rPr>
                <w:w w:val="115"/>
                <w:sz w:val="21"/>
              </w:rPr>
              <w:t>备。</w:t>
            </w:r>
          </w:p>
        </w:tc>
        <w:tc>
          <w:tcPr>
            <w:tcW w:w="821" w:type="dxa"/>
          </w:tcPr>
          <w:p>
            <w:pPr>
              <w:pStyle w:val="TableParagraph"/>
              <w:spacing w:before="137"/>
              <w:ind w:left="179" w:right="170"/>
              <w:rPr>
                <w:sz w:val="21"/>
              </w:rPr>
            </w:pPr>
            <w:r>
              <w:rPr>
                <w:sz w:val="21"/>
              </w:rPr>
              <w:t>符合</w:t>
            </w:r>
          </w:p>
        </w:tc>
      </w:tr>
    </w:tbl>
    <w:p>
      <w:pPr>
        <w:spacing w:after="0"/>
        <w:rPr>
          <w:sz w:val="21"/>
        </w:rPr>
        <w:sectPr>
          <w:pgSz w:w="11910" w:h="16840"/>
          <w:pgMar w:header="872" w:footer="873" w:top="1320" w:bottom="1060" w:left="1200" w:right="1180"/>
        </w:sectPr>
      </w:pPr>
    </w:p>
    <w:p>
      <w:pPr>
        <w:pStyle w:val="BodyText"/>
        <w:spacing w:before="5"/>
        <w:rPr>
          <w:b/>
          <w:sz w:val="6"/>
        </w:rPr>
      </w:pP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4623"/>
        <w:gridCol w:w="3222"/>
        <w:gridCol w:w="821"/>
      </w:tblGrid>
      <w:tr>
        <w:trPr>
          <w:trHeight w:val="544" w:hRule="atLeast"/>
        </w:trPr>
        <w:tc>
          <w:tcPr>
            <w:tcW w:w="542" w:type="dxa"/>
          </w:tcPr>
          <w:p>
            <w:pPr>
              <w:pStyle w:val="TableParagraph"/>
              <w:jc w:val="left"/>
              <w:rPr>
                <w:rFonts w:ascii="Times New Roman"/>
                <w:sz w:val="20"/>
              </w:rPr>
            </w:pPr>
          </w:p>
        </w:tc>
        <w:tc>
          <w:tcPr>
            <w:tcW w:w="4623" w:type="dxa"/>
          </w:tcPr>
          <w:p>
            <w:pPr>
              <w:pStyle w:val="TableParagraph"/>
              <w:spacing w:before="1"/>
              <w:ind w:left="87" w:right="75"/>
              <w:rPr>
                <w:sz w:val="21"/>
              </w:rPr>
            </w:pPr>
            <w:r>
              <w:rPr>
                <w:sz w:val="21"/>
              </w:rPr>
              <w:t>设备布置区域作独立隔离，并设立独立的尾气排</w:t>
            </w:r>
          </w:p>
          <w:p>
            <w:pPr>
              <w:pStyle w:val="TableParagraph"/>
              <w:spacing w:line="252" w:lineRule="exact" w:before="2"/>
              <w:ind w:left="84" w:right="75"/>
              <w:rPr>
                <w:sz w:val="21"/>
              </w:rPr>
            </w:pPr>
            <w:r>
              <w:rPr>
                <w:w w:val="115"/>
                <w:sz w:val="21"/>
              </w:rPr>
              <w:t>风处理系统</w:t>
            </w:r>
            <w:r>
              <w:rPr>
                <w:w w:val="185"/>
                <w:sz w:val="21"/>
              </w:rPr>
              <w:t>。</w:t>
            </w:r>
          </w:p>
        </w:tc>
        <w:tc>
          <w:tcPr>
            <w:tcW w:w="3222" w:type="dxa"/>
          </w:tcPr>
          <w:p>
            <w:pPr>
              <w:pStyle w:val="TableParagraph"/>
              <w:jc w:val="left"/>
              <w:rPr>
                <w:rFonts w:ascii="Times New Roman"/>
                <w:sz w:val="20"/>
              </w:rPr>
            </w:pPr>
          </w:p>
        </w:tc>
        <w:tc>
          <w:tcPr>
            <w:tcW w:w="821" w:type="dxa"/>
          </w:tcPr>
          <w:p>
            <w:pPr>
              <w:pStyle w:val="TableParagraph"/>
              <w:jc w:val="left"/>
              <w:rPr>
                <w:rFonts w:ascii="Times New Roman"/>
                <w:sz w:val="20"/>
              </w:rPr>
            </w:pPr>
          </w:p>
        </w:tc>
      </w:tr>
      <w:tr>
        <w:trPr>
          <w:trHeight w:val="1089" w:hRule="atLeast"/>
        </w:trPr>
        <w:tc>
          <w:tcPr>
            <w:tcW w:w="542" w:type="dxa"/>
          </w:tcPr>
          <w:p>
            <w:pPr>
              <w:pStyle w:val="TableParagraph"/>
              <w:jc w:val="left"/>
              <w:rPr>
                <w:b/>
                <w:sz w:val="22"/>
              </w:rPr>
            </w:pPr>
          </w:p>
          <w:p>
            <w:pPr>
              <w:pStyle w:val="TableParagraph"/>
              <w:spacing w:before="141"/>
              <w:ind w:left="5"/>
              <w:rPr>
                <w:rFonts w:ascii="Times New Roman"/>
                <w:sz w:val="21"/>
              </w:rPr>
            </w:pPr>
            <w:r>
              <w:rPr>
                <w:rFonts w:ascii="Times New Roman"/>
                <w:w w:val="100"/>
                <w:sz w:val="21"/>
              </w:rPr>
              <w:t>4</w:t>
            </w:r>
          </w:p>
        </w:tc>
        <w:tc>
          <w:tcPr>
            <w:tcW w:w="4623" w:type="dxa"/>
          </w:tcPr>
          <w:p>
            <w:pPr>
              <w:pStyle w:val="TableParagraph"/>
              <w:spacing w:line="242" w:lineRule="auto" w:before="1"/>
              <w:ind w:left="108" w:right="93" w:hanging="3"/>
              <w:rPr>
                <w:sz w:val="21"/>
              </w:rPr>
            </w:pPr>
            <w:r>
              <w:rPr>
                <w:spacing w:val="-3"/>
                <w:w w:val="105"/>
                <w:sz w:val="21"/>
              </w:rPr>
              <w:t>加强职业防护</w:t>
            </w:r>
            <w:r>
              <w:rPr>
                <w:spacing w:val="-5"/>
                <w:w w:val="115"/>
                <w:sz w:val="21"/>
              </w:rPr>
              <w:t>。</w:t>
            </w:r>
            <w:r>
              <w:rPr>
                <w:spacing w:val="-3"/>
                <w:w w:val="105"/>
                <w:sz w:val="21"/>
              </w:rPr>
              <w:t>使用化学危险品原料的生产车</w:t>
            </w:r>
            <w:r>
              <w:rPr>
                <w:spacing w:val="-212"/>
                <w:w w:val="105"/>
                <w:sz w:val="21"/>
              </w:rPr>
              <w:t>间</w:t>
            </w:r>
            <w:r>
              <w:rPr>
                <w:spacing w:val="-3"/>
                <w:sz w:val="21"/>
              </w:rPr>
              <w:t>应改善作业环境，采用可靠的集中排风处理系 </w:t>
            </w:r>
            <w:r>
              <w:rPr>
                <w:spacing w:val="-3"/>
                <w:w w:val="105"/>
                <w:sz w:val="21"/>
              </w:rPr>
              <w:t>统，降低有害介质的浓度</w:t>
            </w:r>
            <w:r>
              <w:rPr>
                <w:spacing w:val="-3"/>
                <w:w w:val="120"/>
                <w:sz w:val="21"/>
              </w:rPr>
              <w:t>。</w:t>
            </w:r>
            <w:r>
              <w:rPr>
                <w:spacing w:val="-5"/>
                <w:w w:val="105"/>
                <w:sz w:val="21"/>
              </w:rPr>
              <w:t>不得使用轴流风机</w:t>
            </w:r>
            <w:r>
              <w:rPr>
                <w:spacing w:val="-192"/>
                <w:w w:val="105"/>
                <w:sz w:val="21"/>
              </w:rPr>
              <w:t>进</w:t>
            </w:r>
          </w:p>
          <w:p>
            <w:pPr>
              <w:pStyle w:val="TableParagraph"/>
              <w:spacing w:line="250" w:lineRule="exact" w:before="3"/>
              <w:ind w:left="82" w:right="75"/>
              <w:rPr>
                <w:sz w:val="21"/>
              </w:rPr>
            </w:pPr>
            <w:r>
              <w:rPr>
                <w:w w:val="120"/>
                <w:sz w:val="21"/>
              </w:rPr>
              <w:t>行通风</w:t>
            </w:r>
            <w:r>
              <w:rPr>
                <w:w w:val="185"/>
                <w:sz w:val="21"/>
              </w:rPr>
              <w:t>。</w:t>
            </w:r>
          </w:p>
        </w:tc>
        <w:tc>
          <w:tcPr>
            <w:tcW w:w="3222" w:type="dxa"/>
          </w:tcPr>
          <w:p>
            <w:pPr>
              <w:pStyle w:val="TableParagraph"/>
              <w:spacing w:before="5"/>
              <w:jc w:val="left"/>
              <w:rPr>
                <w:b/>
                <w:sz w:val="21"/>
              </w:rPr>
            </w:pPr>
          </w:p>
          <w:p>
            <w:pPr>
              <w:pStyle w:val="TableParagraph"/>
              <w:spacing w:line="242" w:lineRule="auto"/>
              <w:ind w:left="876" w:right="125" w:hanging="737"/>
              <w:jc w:val="left"/>
              <w:rPr>
                <w:sz w:val="21"/>
              </w:rPr>
            </w:pPr>
            <w:r>
              <w:rPr>
                <w:sz w:val="21"/>
              </w:rPr>
              <w:t>按标准化设计，采用可靠的集中</w:t>
            </w:r>
            <w:r>
              <w:rPr>
                <w:w w:val="105"/>
                <w:sz w:val="21"/>
              </w:rPr>
              <w:t>排风处理系</w:t>
            </w:r>
            <w:r>
              <w:rPr>
                <w:w w:val="115"/>
                <w:sz w:val="21"/>
              </w:rPr>
              <w:t>统。</w:t>
            </w:r>
          </w:p>
        </w:tc>
        <w:tc>
          <w:tcPr>
            <w:tcW w:w="821" w:type="dxa"/>
          </w:tcPr>
          <w:p>
            <w:pPr>
              <w:pStyle w:val="TableParagraph"/>
              <w:jc w:val="left"/>
              <w:rPr>
                <w:b/>
                <w:sz w:val="20"/>
              </w:rPr>
            </w:pPr>
          </w:p>
          <w:p>
            <w:pPr>
              <w:pStyle w:val="TableParagraph"/>
              <w:spacing w:before="152"/>
              <w:ind w:left="179" w:right="170"/>
              <w:rPr>
                <w:sz w:val="21"/>
              </w:rPr>
            </w:pPr>
            <w:r>
              <w:rPr>
                <w:sz w:val="21"/>
              </w:rPr>
              <w:t>符合</w:t>
            </w:r>
          </w:p>
        </w:tc>
      </w:tr>
      <w:tr>
        <w:trPr>
          <w:trHeight w:val="818" w:hRule="atLeast"/>
        </w:trPr>
        <w:tc>
          <w:tcPr>
            <w:tcW w:w="542" w:type="dxa"/>
          </w:tcPr>
          <w:p>
            <w:pPr>
              <w:pStyle w:val="TableParagraph"/>
              <w:spacing w:before="6"/>
              <w:jc w:val="left"/>
              <w:rPr>
                <w:b/>
                <w:sz w:val="22"/>
              </w:rPr>
            </w:pPr>
          </w:p>
          <w:p>
            <w:pPr>
              <w:pStyle w:val="TableParagraph"/>
              <w:ind w:left="5"/>
              <w:rPr>
                <w:rFonts w:ascii="Times New Roman"/>
                <w:sz w:val="21"/>
              </w:rPr>
            </w:pPr>
            <w:r>
              <w:rPr>
                <w:rFonts w:ascii="Times New Roman"/>
                <w:w w:val="100"/>
                <w:sz w:val="21"/>
              </w:rPr>
              <w:t>5</w:t>
            </w:r>
          </w:p>
        </w:tc>
        <w:tc>
          <w:tcPr>
            <w:tcW w:w="4623" w:type="dxa"/>
          </w:tcPr>
          <w:p>
            <w:pPr>
              <w:pStyle w:val="TableParagraph"/>
              <w:spacing w:line="242" w:lineRule="auto" w:before="138"/>
              <w:ind w:left="746" w:right="93" w:hanging="639"/>
              <w:jc w:val="left"/>
              <w:rPr>
                <w:sz w:val="21"/>
              </w:rPr>
            </w:pPr>
            <w:r>
              <w:rPr>
                <w:sz w:val="21"/>
              </w:rPr>
              <w:t>提倡采用连续化生产工艺和定量化控制技术，减</w:t>
            </w:r>
            <w:r>
              <w:rPr>
                <w:w w:val="105"/>
                <w:sz w:val="21"/>
              </w:rPr>
              <w:t>少</w:t>
            </w:r>
            <w:r>
              <w:rPr>
                <w:rFonts w:ascii="Times New Roman" w:hAnsi="Times New Roman" w:eastAsia="Times New Roman"/>
                <w:w w:val="105"/>
                <w:sz w:val="21"/>
              </w:rPr>
              <w:t>“</w:t>
            </w:r>
            <w:r>
              <w:rPr>
                <w:w w:val="105"/>
                <w:sz w:val="21"/>
              </w:rPr>
              <w:t>三废</w:t>
            </w:r>
            <w:r>
              <w:rPr>
                <w:rFonts w:ascii="Times New Roman" w:hAnsi="Times New Roman" w:eastAsia="Times New Roman"/>
                <w:w w:val="105"/>
                <w:sz w:val="21"/>
              </w:rPr>
              <w:t>”</w:t>
            </w:r>
            <w:r>
              <w:rPr>
                <w:w w:val="105"/>
                <w:sz w:val="21"/>
              </w:rPr>
              <w:t>产生量，提高产品收率</w:t>
            </w:r>
            <w:r>
              <w:rPr>
                <w:w w:val="185"/>
                <w:sz w:val="21"/>
              </w:rPr>
              <w:t>。</w:t>
            </w:r>
          </w:p>
        </w:tc>
        <w:tc>
          <w:tcPr>
            <w:tcW w:w="3222" w:type="dxa"/>
          </w:tcPr>
          <w:p>
            <w:pPr>
              <w:pStyle w:val="TableParagraph"/>
              <w:spacing w:before="1"/>
              <w:ind w:left="199" w:hanging="60"/>
              <w:jc w:val="left"/>
              <w:rPr>
                <w:sz w:val="21"/>
              </w:rPr>
            </w:pPr>
            <w:r>
              <w:rPr>
                <w:spacing w:val="-3"/>
                <w:sz w:val="21"/>
              </w:rPr>
              <w:t>本次项目生产自动化程度较高，</w:t>
            </w:r>
          </w:p>
          <w:p>
            <w:pPr>
              <w:pStyle w:val="TableParagraph"/>
              <w:spacing w:line="270" w:lineRule="atLeast" w:before="3"/>
              <w:ind w:left="139" w:right="125" w:firstLine="60"/>
              <w:jc w:val="left"/>
              <w:rPr>
                <w:sz w:val="21"/>
              </w:rPr>
            </w:pPr>
            <w:r>
              <w:rPr>
                <w:spacing w:val="6"/>
                <w:sz w:val="21"/>
              </w:rPr>
              <w:t>关键工段设置</w:t>
            </w:r>
            <w:r>
              <w:rPr>
                <w:rFonts w:ascii="Times New Roman" w:eastAsia="Times New Roman"/>
                <w:sz w:val="21"/>
              </w:rPr>
              <w:t>DCS</w:t>
            </w:r>
            <w:r>
              <w:rPr>
                <w:rFonts w:ascii="Times New Roman" w:eastAsia="Times New Roman"/>
                <w:spacing w:val="5"/>
                <w:sz w:val="21"/>
              </w:rPr>
              <w:t> </w:t>
            </w:r>
            <w:r>
              <w:rPr>
                <w:spacing w:val="-3"/>
                <w:sz w:val="21"/>
              </w:rPr>
              <w:t>自动控制系统，对生产过程进行全程监控</w:t>
            </w:r>
            <w:r>
              <w:rPr>
                <w:spacing w:val="-141"/>
                <w:sz w:val="21"/>
              </w:rPr>
              <w:t>。</w:t>
            </w:r>
          </w:p>
        </w:tc>
        <w:tc>
          <w:tcPr>
            <w:tcW w:w="821" w:type="dxa"/>
          </w:tcPr>
          <w:p>
            <w:pPr>
              <w:pStyle w:val="TableParagraph"/>
              <w:spacing w:before="5"/>
              <w:jc w:val="left"/>
              <w:rPr>
                <w:b/>
                <w:sz w:val="21"/>
              </w:rPr>
            </w:pPr>
          </w:p>
          <w:p>
            <w:pPr>
              <w:pStyle w:val="TableParagraph"/>
              <w:ind w:left="179" w:right="170"/>
              <w:rPr>
                <w:sz w:val="21"/>
              </w:rPr>
            </w:pPr>
            <w:r>
              <w:rPr>
                <w:sz w:val="21"/>
              </w:rPr>
              <w:t>符合</w:t>
            </w:r>
          </w:p>
        </w:tc>
      </w:tr>
      <w:tr>
        <w:trPr>
          <w:trHeight w:val="1360" w:hRule="atLeast"/>
        </w:trPr>
        <w:tc>
          <w:tcPr>
            <w:tcW w:w="542" w:type="dxa"/>
          </w:tcPr>
          <w:p>
            <w:pPr>
              <w:pStyle w:val="TableParagraph"/>
              <w:jc w:val="left"/>
              <w:rPr>
                <w:b/>
                <w:sz w:val="22"/>
              </w:rPr>
            </w:pPr>
          </w:p>
          <w:p>
            <w:pPr>
              <w:pStyle w:val="TableParagraph"/>
              <w:spacing w:before="8"/>
              <w:jc w:val="left"/>
              <w:rPr>
                <w:b/>
                <w:sz w:val="21"/>
              </w:rPr>
            </w:pPr>
          </w:p>
          <w:p>
            <w:pPr>
              <w:pStyle w:val="TableParagraph"/>
              <w:spacing w:before="1"/>
              <w:ind w:left="5"/>
              <w:rPr>
                <w:rFonts w:ascii="Times New Roman"/>
                <w:sz w:val="21"/>
              </w:rPr>
            </w:pPr>
            <w:r>
              <w:rPr>
                <w:rFonts w:ascii="Times New Roman"/>
                <w:w w:val="100"/>
                <w:sz w:val="21"/>
              </w:rPr>
              <w:t>6</w:t>
            </w:r>
          </w:p>
        </w:tc>
        <w:tc>
          <w:tcPr>
            <w:tcW w:w="4623" w:type="dxa"/>
          </w:tcPr>
          <w:p>
            <w:pPr>
              <w:pStyle w:val="TableParagraph"/>
              <w:spacing w:line="242" w:lineRule="auto" w:before="1"/>
              <w:ind w:left="108" w:right="93"/>
              <w:jc w:val="both"/>
              <w:rPr>
                <w:sz w:val="21"/>
              </w:rPr>
            </w:pPr>
            <w:r>
              <w:rPr>
                <w:spacing w:val="-3"/>
                <w:sz w:val="21"/>
              </w:rPr>
              <w:t>不得采用非金属管道输送有机化工危险品</w:t>
            </w:r>
            <w:r>
              <w:rPr>
                <w:spacing w:val="-8"/>
                <w:w w:val="185"/>
                <w:sz w:val="21"/>
              </w:rPr>
              <w:t>。</w:t>
            </w:r>
            <w:r>
              <w:rPr>
                <w:spacing w:val="-12"/>
                <w:sz w:val="21"/>
              </w:rPr>
              <w:t>若 </w:t>
            </w:r>
            <w:r>
              <w:rPr>
                <w:spacing w:val="-17"/>
                <w:sz w:val="21"/>
              </w:rPr>
              <w:t>生产过程无法避免时，对输送管道应作可靠的防 </w:t>
            </w:r>
            <w:r>
              <w:rPr>
                <w:spacing w:val="-1"/>
                <w:sz w:val="21"/>
              </w:rPr>
              <w:t>静电措施</w:t>
            </w:r>
            <w:r>
              <w:rPr>
                <w:spacing w:val="-5"/>
                <w:w w:val="185"/>
                <w:sz w:val="21"/>
              </w:rPr>
              <w:t>。</w:t>
            </w:r>
            <w:r>
              <w:rPr>
                <w:spacing w:val="-3"/>
                <w:sz w:val="21"/>
              </w:rPr>
              <w:t>除物料装卸场所临时使用外，正常</w:t>
            </w:r>
            <w:r>
              <w:rPr>
                <w:spacing w:val="-18"/>
                <w:sz w:val="21"/>
              </w:rPr>
              <w:t>生产流程中的物料输送应使用刚性管道，不应使用柔</w:t>
            </w:r>
          </w:p>
          <w:p>
            <w:pPr>
              <w:pStyle w:val="TableParagraph"/>
              <w:spacing w:line="250" w:lineRule="exact" w:before="2"/>
              <w:ind w:left="82" w:right="75"/>
              <w:rPr>
                <w:sz w:val="21"/>
              </w:rPr>
            </w:pPr>
            <w:r>
              <w:rPr>
                <w:w w:val="115"/>
                <w:sz w:val="21"/>
              </w:rPr>
              <w:t>性塑料管。</w:t>
            </w:r>
          </w:p>
        </w:tc>
        <w:tc>
          <w:tcPr>
            <w:tcW w:w="3222" w:type="dxa"/>
          </w:tcPr>
          <w:p>
            <w:pPr>
              <w:pStyle w:val="TableParagraph"/>
              <w:jc w:val="left"/>
              <w:rPr>
                <w:b/>
                <w:sz w:val="20"/>
              </w:rPr>
            </w:pPr>
          </w:p>
          <w:p>
            <w:pPr>
              <w:pStyle w:val="TableParagraph"/>
              <w:spacing w:line="242" w:lineRule="auto" w:before="152"/>
              <w:ind w:left="982" w:right="125" w:hanging="843"/>
              <w:jc w:val="left"/>
              <w:rPr>
                <w:sz w:val="21"/>
              </w:rPr>
            </w:pPr>
            <w:r>
              <w:rPr>
                <w:sz w:val="21"/>
              </w:rPr>
              <w:t>正常生产流程中的物料输送全部使用刚性管道</w:t>
            </w:r>
          </w:p>
        </w:tc>
        <w:tc>
          <w:tcPr>
            <w:tcW w:w="821" w:type="dxa"/>
          </w:tcPr>
          <w:p>
            <w:pPr>
              <w:pStyle w:val="TableParagraph"/>
              <w:jc w:val="left"/>
              <w:rPr>
                <w:b/>
                <w:sz w:val="20"/>
              </w:rPr>
            </w:pPr>
          </w:p>
          <w:p>
            <w:pPr>
              <w:pStyle w:val="TableParagraph"/>
              <w:spacing w:before="7"/>
              <w:jc w:val="left"/>
              <w:rPr>
                <w:b/>
                <w:sz w:val="22"/>
              </w:rPr>
            </w:pPr>
          </w:p>
          <w:p>
            <w:pPr>
              <w:pStyle w:val="TableParagraph"/>
              <w:ind w:left="179" w:right="170"/>
              <w:rPr>
                <w:sz w:val="21"/>
              </w:rPr>
            </w:pPr>
            <w:r>
              <w:rPr>
                <w:sz w:val="21"/>
              </w:rPr>
              <w:t>符合</w:t>
            </w:r>
          </w:p>
        </w:tc>
      </w:tr>
      <w:tr>
        <w:trPr>
          <w:trHeight w:val="818" w:hRule="atLeast"/>
        </w:trPr>
        <w:tc>
          <w:tcPr>
            <w:tcW w:w="542" w:type="dxa"/>
          </w:tcPr>
          <w:p>
            <w:pPr>
              <w:pStyle w:val="TableParagraph"/>
              <w:spacing w:before="7"/>
              <w:jc w:val="left"/>
              <w:rPr>
                <w:b/>
                <w:sz w:val="22"/>
              </w:rPr>
            </w:pPr>
          </w:p>
          <w:p>
            <w:pPr>
              <w:pStyle w:val="TableParagraph"/>
              <w:ind w:left="5"/>
              <w:rPr>
                <w:rFonts w:ascii="Times New Roman"/>
                <w:sz w:val="21"/>
              </w:rPr>
            </w:pPr>
            <w:r>
              <w:rPr>
                <w:rFonts w:ascii="Times New Roman"/>
                <w:w w:val="100"/>
                <w:sz w:val="21"/>
              </w:rPr>
              <w:t>7</w:t>
            </w:r>
          </w:p>
        </w:tc>
        <w:tc>
          <w:tcPr>
            <w:tcW w:w="4623" w:type="dxa"/>
          </w:tcPr>
          <w:p>
            <w:pPr>
              <w:pStyle w:val="TableParagraph"/>
              <w:spacing w:before="1"/>
              <w:ind w:left="108"/>
              <w:jc w:val="left"/>
              <w:rPr>
                <w:sz w:val="21"/>
              </w:rPr>
            </w:pPr>
            <w:r>
              <w:rPr>
                <w:sz w:val="21"/>
              </w:rPr>
              <w:t>溶剂储罐必须配备呼吸阀、防雷装置、防静电装</w:t>
            </w:r>
          </w:p>
          <w:p>
            <w:pPr>
              <w:pStyle w:val="TableParagraph"/>
              <w:spacing w:line="270" w:lineRule="atLeast" w:before="4"/>
              <w:ind w:left="1468" w:right="93" w:hanging="1361"/>
              <w:jc w:val="left"/>
              <w:rPr>
                <w:sz w:val="21"/>
              </w:rPr>
            </w:pPr>
            <w:r>
              <w:rPr>
                <w:spacing w:val="-4"/>
                <w:sz w:val="21"/>
              </w:rPr>
              <w:t>置和降温装置。大的罐区应有冷凝系统，进行</w:t>
            </w:r>
            <w:r>
              <w:rPr>
                <w:spacing w:val="-152"/>
                <w:sz w:val="21"/>
              </w:rPr>
              <w:t>降</w:t>
            </w:r>
            <w:r>
              <w:rPr>
                <w:spacing w:val="-3"/>
                <w:w w:val="105"/>
                <w:sz w:val="21"/>
              </w:rPr>
              <w:t>温和吸收呼吸气</w:t>
            </w:r>
            <w:r>
              <w:rPr>
                <w:w w:val="185"/>
                <w:sz w:val="21"/>
              </w:rPr>
              <w:t>。</w:t>
            </w:r>
          </w:p>
        </w:tc>
        <w:tc>
          <w:tcPr>
            <w:tcW w:w="3222" w:type="dxa"/>
          </w:tcPr>
          <w:p>
            <w:pPr>
              <w:pStyle w:val="TableParagraph"/>
              <w:spacing w:line="244" w:lineRule="auto" w:before="138"/>
              <w:ind w:left="456" w:right="-15" w:hanging="348"/>
              <w:jc w:val="left"/>
              <w:rPr>
                <w:sz w:val="21"/>
              </w:rPr>
            </w:pPr>
            <w:r>
              <w:rPr>
                <w:spacing w:val="-7"/>
                <w:sz w:val="21"/>
              </w:rPr>
              <w:t>溶剂储罐配备呼吸阀、防雷装置、</w:t>
            </w:r>
            <w:r>
              <w:rPr>
                <w:spacing w:val="-5"/>
                <w:sz w:val="21"/>
              </w:rPr>
              <w:t>防静电装置和降温装</w:t>
            </w:r>
            <w:r>
              <w:rPr>
                <w:w w:val="115"/>
                <w:sz w:val="21"/>
              </w:rPr>
              <w:t>置。</w:t>
            </w:r>
          </w:p>
        </w:tc>
        <w:tc>
          <w:tcPr>
            <w:tcW w:w="821" w:type="dxa"/>
          </w:tcPr>
          <w:p>
            <w:pPr>
              <w:pStyle w:val="TableParagraph"/>
              <w:spacing w:before="6"/>
              <w:jc w:val="left"/>
              <w:rPr>
                <w:b/>
                <w:sz w:val="21"/>
              </w:rPr>
            </w:pPr>
          </w:p>
          <w:p>
            <w:pPr>
              <w:pStyle w:val="TableParagraph"/>
              <w:ind w:left="179" w:right="170"/>
              <w:rPr>
                <w:sz w:val="21"/>
              </w:rPr>
            </w:pPr>
            <w:r>
              <w:rPr>
                <w:sz w:val="21"/>
              </w:rPr>
              <w:t>符合</w:t>
            </w:r>
          </w:p>
        </w:tc>
      </w:tr>
    </w:tbl>
    <w:p>
      <w:pPr>
        <w:pStyle w:val="BodyText"/>
        <w:spacing w:line="362" w:lineRule="auto" w:before="2"/>
        <w:ind w:left="218" w:right="234" w:firstLine="480"/>
      </w:pPr>
      <w:r>
        <w:rPr/>
        <w:t>从上表分析可以看出，本项目技术装备基本符合</w:t>
      </w:r>
      <w:r>
        <w:rPr>
          <w:rFonts w:ascii="Times New Roman" w:hAnsi="Times New Roman" w:eastAsia="Times New Roman"/>
        </w:rPr>
        <w:t>“</w:t>
      </w:r>
      <w:r>
        <w:rPr/>
        <w:t>浙经贸医化</w:t>
      </w:r>
      <w:r>
        <w:rPr>
          <w:rFonts w:ascii="Times New Roman" w:hAnsi="Times New Roman" w:eastAsia="Times New Roman"/>
        </w:rPr>
        <w:t>[2005]1056 </w:t>
      </w:r>
      <w:r>
        <w:rPr/>
        <w:t>号</w:t>
      </w:r>
      <w:r>
        <w:rPr>
          <w:rFonts w:ascii="Times New Roman" w:hAnsi="Times New Roman" w:eastAsia="Times New Roman"/>
        </w:rPr>
        <w:t>”</w:t>
      </w:r>
      <w:r>
        <w:rPr/>
        <w:t>文件要</w:t>
      </w:r>
      <w:r>
        <w:rPr>
          <w:w w:val="105"/>
        </w:rPr>
        <w:t>求。</w:t>
      </w:r>
    </w:p>
    <w:p>
      <w:pPr>
        <w:pStyle w:val="Heading4"/>
        <w:numPr>
          <w:ilvl w:val="2"/>
          <w:numId w:val="23"/>
        </w:numPr>
        <w:tabs>
          <w:tab w:pos="879" w:val="left" w:leader="none"/>
        </w:tabs>
        <w:spacing w:line="240" w:lineRule="auto" w:before="5" w:after="0"/>
        <w:ind w:left="878" w:right="0" w:hanging="661"/>
        <w:jc w:val="left"/>
      </w:pPr>
      <w:r>
        <w:rPr/>
        <w:t>园区标准化实施细则采纳情况</w:t>
      </w:r>
    </w:p>
    <w:p>
      <w:pPr>
        <w:pStyle w:val="BodyText"/>
        <w:spacing w:before="161"/>
        <w:ind w:left="698"/>
      </w:pPr>
      <w:r>
        <w:rPr/>
        <w:t>对照《杭州湾上虞经济技术开发区化工企业建设标准化试点实施方案》（虞经开区</w:t>
      </w:r>
    </w:p>
    <w:p>
      <w:pPr>
        <w:pStyle w:val="BodyText"/>
        <w:spacing w:before="158"/>
        <w:ind w:left="218"/>
      </w:pPr>
      <w:r>
        <w:rPr>
          <w:rFonts w:ascii="Times New Roman" w:eastAsia="Times New Roman"/>
          <w:spacing w:val="-1"/>
          <w:w w:val="99"/>
        </w:rPr>
        <w:t>[</w:t>
      </w:r>
      <w:r>
        <w:rPr>
          <w:rFonts w:ascii="Times New Roman" w:eastAsia="Times New Roman"/>
          <w:w w:val="99"/>
        </w:rPr>
        <w:t>2014</w:t>
      </w:r>
      <w:r>
        <w:rPr>
          <w:rFonts w:ascii="Times New Roman" w:eastAsia="Times New Roman"/>
          <w:spacing w:val="-1"/>
          <w:w w:val="99"/>
        </w:rPr>
        <w:t>]</w:t>
      </w:r>
      <w:r>
        <w:rPr>
          <w:rFonts w:ascii="Times New Roman" w:eastAsia="Times New Roman"/>
          <w:w w:val="99"/>
        </w:rPr>
        <w:t>5</w:t>
      </w:r>
      <w:r>
        <w:rPr>
          <w:rFonts w:ascii="Times New Roman" w:eastAsia="Times New Roman"/>
          <w:spacing w:val="-1"/>
          <w:w w:val="99"/>
        </w:rPr>
        <w:t> </w:t>
      </w:r>
      <w:r>
        <w:rPr>
          <w:w w:val="99"/>
        </w:rPr>
        <w:t>号文</w:t>
      </w:r>
      <w:r>
        <w:rPr>
          <w:spacing w:val="-120"/>
          <w:w w:val="99"/>
        </w:rPr>
        <w:t>）</w:t>
      </w:r>
      <w:r>
        <w:rPr>
          <w:w w:val="99"/>
        </w:rPr>
        <w:t>，本项目采纳情况见</w:t>
      </w:r>
      <w:r>
        <w:rPr>
          <w:w w:val="120"/>
        </w:rPr>
        <w:t>下表。</w:t>
      </w:r>
    </w:p>
    <w:p>
      <w:pPr>
        <w:pStyle w:val="Heading4"/>
        <w:tabs>
          <w:tab w:pos="1327" w:val="left" w:leader="none"/>
        </w:tabs>
        <w:spacing w:before="158" w:after="2"/>
        <w:ind w:left="0" w:right="19"/>
        <w:jc w:val="center"/>
      </w:pPr>
      <w:r>
        <w:rPr/>
        <w:t>表</w:t>
      </w:r>
      <w:r>
        <w:rPr>
          <w:spacing w:val="-64"/>
        </w:rPr>
        <w:t> </w:t>
      </w:r>
      <w:r>
        <w:rPr>
          <w:rFonts w:ascii="Times New Roman" w:eastAsia="Times New Roman"/>
        </w:rPr>
        <w:t>11.3.2-1</w:t>
        <w:tab/>
      </w:r>
      <w:r>
        <w:rPr/>
        <w:t>标准化建设实施情况分析</w:t>
      </w: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471"/>
        <w:gridCol w:w="3608"/>
        <w:gridCol w:w="2765"/>
        <w:gridCol w:w="1205"/>
        <w:gridCol w:w="590"/>
      </w:tblGrid>
      <w:tr>
        <w:trPr>
          <w:trHeight w:val="542" w:hRule="atLeast"/>
        </w:trPr>
        <w:tc>
          <w:tcPr>
            <w:tcW w:w="490" w:type="dxa"/>
            <w:tcBorders>
              <w:bottom w:val="single" w:sz="6" w:space="0" w:color="000000"/>
            </w:tcBorders>
          </w:tcPr>
          <w:p>
            <w:pPr>
              <w:pStyle w:val="TableParagraph"/>
              <w:spacing w:before="137"/>
              <w:ind w:right="22"/>
              <w:jc w:val="right"/>
              <w:rPr>
                <w:b/>
                <w:sz w:val="21"/>
              </w:rPr>
            </w:pPr>
            <w:r>
              <w:rPr>
                <w:b/>
                <w:sz w:val="21"/>
              </w:rPr>
              <w:t>类别</w:t>
            </w:r>
          </w:p>
        </w:tc>
        <w:tc>
          <w:tcPr>
            <w:tcW w:w="471" w:type="dxa"/>
            <w:tcBorders>
              <w:bottom w:val="single" w:sz="6" w:space="0" w:color="000000"/>
            </w:tcBorders>
          </w:tcPr>
          <w:p>
            <w:pPr>
              <w:pStyle w:val="TableParagraph"/>
              <w:spacing w:before="1"/>
              <w:ind w:left="126"/>
              <w:jc w:val="left"/>
              <w:rPr>
                <w:b/>
                <w:sz w:val="21"/>
              </w:rPr>
            </w:pPr>
            <w:r>
              <w:rPr>
                <w:b/>
                <w:w w:val="100"/>
                <w:sz w:val="21"/>
              </w:rPr>
              <w:t>序</w:t>
            </w:r>
          </w:p>
          <w:p>
            <w:pPr>
              <w:pStyle w:val="TableParagraph"/>
              <w:spacing w:line="247" w:lineRule="exact" w:before="4"/>
              <w:ind w:left="126"/>
              <w:jc w:val="left"/>
              <w:rPr>
                <w:b/>
                <w:sz w:val="21"/>
              </w:rPr>
            </w:pPr>
            <w:r>
              <w:rPr>
                <w:b/>
                <w:w w:val="100"/>
                <w:sz w:val="21"/>
              </w:rPr>
              <w:t>号</w:t>
            </w:r>
          </w:p>
        </w:tc>
        <w:tc>
          <w:tcPr>
            <w:tcW w:w="3608" w:type="dxa"/>
            <w:tcBorders>
              <w:bottom w:val="single" w:sz="6" w:space="0" w:color="000000"/>
            </w:tcBorders>
          </w:tcPr>
          <w:p>
            <w:pPr>
              <w:pStyle w:val="TableParagraph"/>
              <w:spacing w:before="137"/>
              <w:ind w:left="4"/>
              <w:rPr>
                <w:b/>
                <w:sz w:val="21"/>
              </w:rPr>
            </w:pPr>
            <w:r>
              <w:rPr>
                <w:b/>
                <w:sz w:val="21"/>
              </w:rPr>
              <w:t>内容及要求</w:t>
            </w:r>
          </w:p>
        </w:tc>
        <w:tc>
          <w:tcPr>
            <w:tcW w:w="2765" w:type="dxa"/>
            <w:tcBorders>
              <w:bottom w:val="single" w:sz="6" w:space="0" w:color="000000"/>
            </w:tcBorders>
          </w:tcPr>
          <w:p>
            <w:pPr>
              <w:pStyle w:val="TableParagraph"/>
              <w:spacing w:before="137"/>
              <w:ind w:left="12" w:right="3"/>
              <w:rPr>
                <w:b/>
                <w:sz w:val="21"/>
              </w:rPr>
            </w:pPr>
            <w:r>
              <w:rPr>
                <w:b/>
                <w:sz w:val="21"/>
              </w:rPr>
              <w:t>采用的工艺、措施等情况</w:t>
            </w:r>
          </w:p>
        </w:tc>
        <w:tc>
          <w:tcPr>
            <w:tcW w:w="1205" w:type="dxa"/>
            <w:tcBorders>
              <w:bottom w:val="single" w:sz="6" w:space="0" w:color="000000"/>
            </w:tcBorders>
          </w:tcPr>
          <w:p>
            <w:pPr>
              <w:pStyle w:val="TableParagraph"/>
              <w:spacing w:before="137"/>
              <w:ind w:left="53" w:right="46"/>
              <w:rPr>
                <w:b/>
                <w:sz w:val="21"/>
              </w:rPr>
            </w:pPr>
            <w:r>
              <w:rPr>
                <w:b/>
                <w:sz w:val="21"/>
              </w:rPr>
              <w:t>采用的设备</w:t>
            </w:r>
          </w:p>
        </w:tc>
        <w:tc>
          <w:tcPr>
            <w:tcW w:w="590" w:type="dxa"/>
            <w:tcBorders>
              <w:bottom w:val="single" w:sz="6" w:space="0" w:color="000000"/>
            </w:tcBorders>
          </w:tcPr>
          <w:p>
            <w:pPr>
              <w:pStyle w:val="TableParagraph"/>
              <w:spacing w:before="137"/>
              <w:ind w:left="57" w:right="54"/>
              <w:rPr>
                <w:b/>
                <w:sz w:val="21"/>
              </w:rPr>
            </w:pPr>
            <w:r>
              <w:rPr>
                <w:b/>
                <w:sz w:val="21"/>
              </w:rPr>
              <w:t>备注</w:t>
            </w:r>
          </w:p>
        </w:tc>
      </w:tr>
      <w:tr>
        <w:trPr>
          <w:trHeight w:val="270" w:hRule="atLeast"/>
        </w:trPr>
        <w:tc>
          <w:tcPr>
            <w:tcW w:w="490" w:type="dxa"/>
            <w:vMerge w:val="restart"/>
            <w:tcBorders>
              <w:top w:val="single" w:sz="6" w:space="0" w:color="000000"/>
            </w:tcBorders>
          </w:tcPr>
          <w:p>
            <w:pPr>
              <w:pStyle w:val="TableParagraph"/>
              <w:jc w:val="left"/>
              <w:rPr>
                <w:b/>
                <w:sz w:val="20"/>
              </w:rPr>
            </w:pPr>
          </w:p>
          <w:p>
            <w:pPr>
              <w:pStyle w:val="TableParagraph"/>
              <w:spacing w:before="4"/>
              <w:jc w:val="left"/>
              <w:rPr>
                <w:b/>
                <w:sz w:val="23"/>
              </w:rPr>
            </w:pPr>
          </w:p>
          <w:p>
            <w:pPr>
              <w:pStyle w:val="TableParagraph"/>
              <w:spacing w:line="242" w:lineRule="auto"/>
              <w:ind w:left="33" w:right="22"/>
              <w:jc w:val="left"/>
              <w:rPr>
                <w:sz w:val="21"/>
              </w:rPr>
            </w:pPr>
            <w:r>
              <w:rPr>
                <w:sz w:val="21"/>
              </w:rPr>
              <w:t>物料储运</w:t>
            </w:r>
          </w:p>
        </w:tc>
        <w:tc>
          <w:tcPr>
            <w:tcW w:w="471" w:type="dxa"/>
            <w:tcBorders>
              <w:top w:val="single" w:sz="6" w:space="0" w:color="000000"/>
            </w:tcBorders>
          </w:tcPr>
          <w:p>
            <w:pPr>
              <w:pStyle w:val="TableParagraph"/>
              <w:spacing w:line="236" w:lineRule="exact" w:before="15"/>
              <w:ind w:right="174"/>
              <w:jc w:val="right"/>
              <w:rPr>
                <w:rFonts w:ascii="Times New Roman"/>
                <w:sz w:val="21"/>
              </w:rPr>
            </w:pPr>
            <w:r>
              <w:rPr>
                <w:rFonts w:ascii="Times New Roman"/>
                <w:w w:val="100"/>
                <w:sz w:val="21"/>
              </w:rPr>
              <w:t>1</w:t>
            </w:r>
          </w:p>
        </w:tc>
        <w:tc>
          <w:tcPr>
            <w:tcW w:w="3608" w:type="dxa"/>
            <w:tcBorders>
              <w:top w:val="single" w:sz="6" w:space="0" w:color="000000"/>
            </w:tcBorders>
          </w:tcPr>
          <w:p>
            <w:pPr>
              <w:pStyle w:val="TableParagraph"/>
              <w:spacing w:line="250" w:lineRule="exact" w:before="1"/>
              <w:ind w:left="7"/>
              <w:rPr>
                <w:sz w:val="21"/>
              </w:rPr>
            </w:pPr>
            <w:r>
              <w:rPr>
                <w:sz w:val="21"/>
              </w:rPr>
              <w:t>液体物料储存原则上淘汰桶装</w:t>
            </w:r>
          </w:p>
        </w:tc>
        <w:tc>
          <w:tcPr>
            <w:tcW w:w="2765" w:type="dxa"/>
            <w:tcBorders>
              <w:top w:val="single" w:sz="6" w:space="0" w:color="000000"/>
            </w:tcBorders>
          </w:tcPr>
          <w:p>
            <w:pPr>
              <w:pStyle w:val="TableParagraph"/>
              <w:spacing w:line="250" w:lineRule="exact" w:before="1"/>
              <w:ind w:left="10" w:right="3"/>
              <w:rPr>
                <w:sz w:val="21"/>
              </w:rPr>
            </w:pPr>
            <w:r>
              <w:rPr>
                <w:sz w:val="21"/>
              </w:rPr>
              <w:t>项目液体物料采用储罐</w:t>
            </w:r>
          </w:p>
        </w:tc>
        <w:tc>
          <w:tcPr>
            <w:tcW w:w="1205" w:type="dxa"/>
            <w:tcBorders>
              <w:top w:val="single" w:sz="6" w:space="0" w:color="000000"/>
            </w:tcBorders>
          </w:tcPr>
          <w:p>
            <w:pPr>
              <w:pStyle w:val="TableParagraph"/>
              <w:spacing w:line="236" w:lineRule="exact" w:before="15"/>
              <w:ind w:left="4"/>
              <w:rPr>
                <w:rFonts w:ascii="Times New Roman"/>
                <w:sz w:val="21"/>
              </w:rPr>
            </w:pPr>
            <w:r>
              <w:rPr>
                <w:rFonts w:ascii="Times New Roman"/>
                <w:w w:val="100"/>
                <w:sz w:val="21"/>
              </w:rPr>
              <w:t>/</w:t>
            </w:r>
          </w:p>
        </w:tc>
        <w:tc>
          <w:tcPr>
            <w:tcW w:w="590" w:type="dxa"/>
            <w:tcBorders>
              <w:top w:val="single" w:sz="6" w:space="0" w:color="000000"/>
            </w:tcBorders>
          </w:tcPr>
          <w:p>
            <w:pPr>
              <w:pStyle w:val="TableParagraph"/>
              <w:spacing w:line="250" w:lineRule="exact" w:before="1"/>
              <w:ind w:left="60" w:right="52"/>
              <w:rPr>
                <w:sz w:val="21"/>
              </w:rPr>
            </w:pPr>
            <w:r>
              <w:rPr>
                <w:sz w:val="21"/>
              </w:rPr>
              <w:t>符合</w:t>
            </w:r>
          </w:p>
        </w:tc>
      </w:tr>
      <w:tr>
        <w:trPr>
          <w:trHeight w:val="544" w:hRule="atLeast"/>
        </w:trPr>
        <w:tc>
          <w:tcPr>
            <w:tcW w:w="490" w:type="dxa"/>
            <w:vMerge/>
            <w:tcBorders>
              <w:top w:val="nil"/>
            </w:tcBorders>
          </w:tcPr>
          <w:p>
            <w:pPr>
              <w:rPr>
                <w:sz w:val="2"/>
                <w:szCs w:val="2"/>
              </w:rPr>
            </w:pPr>
          </w:p>
        </w:tc>
        <w:tc>
          <w:tcPr>
            <w:tcW w:w="471" w:type="dxa"/>
          </w:tcPr>
          <w:p>
            <w:pPr>
              <w:pStyle w:val="TableParagraph"/>
              <w:spacing w:before="151"/>
              <w:ind w:right="174"/>
              <w:jc w:val="right"/>
              <w:rPr>
                <w:rFonts w:ascii="Times New Roman"/>
                <w:sz w:val="21"/>
              </w:rPr>
            </w:pPr>
            <w:r>
              <w:rPr>
                <w:rFonts w:ascii="Times New Roman"/>
                <w:w w:val="100"/>
                <w:sz w:val="21"/>
              </w:rPr>
              <w:t>2</w:t>
            </w:r>
          </w:p>
        </w:tc>
        <w:tc>
          <w:tcPr>
            <w:tcW w:w="3608" w:type="dxa"/>
          </w:tcPr>
          <w:p>
            <w:pPr>
              <w:pStyle w:val="TableParagraph"/>
              <w:spacing w:before="1"/>
              <w:ind w:left="4"/>
              <w:rPr>
                <w:sz w:val="21"/>
              </w:rPr>
            </w:pPr>
            <w:r>
              <w:rPr>
                <w:sz w:val="21"/>
              </w:rPr>
              <w:t>槽车等卸料转移过程须有减少废气排</w:t>
            </w:r>
          </w:p>
          <w:p>
            <w:pPr>
              <w:pStyle w:val="TableParagraph"/>
              <w:spacing w:line="250" w:lineRule="exact" w:before="4"/>
              <w:ind w:left="6"/>
              <w:rPr>
                <w:sz w:val="21"/>
              </w:rPr>
            </w:pPr>
            <w:r>
              <w:rPr>
                <w:sz w:val="21"/>
              </w:rPr>
              <w:t>放的措施</w:t>
            </w:r>
          </w:p>
        </w:tc>
        <w:tc>
          <w:tcPr>
            <w:tcW w:w="2765" w:type="dxa"/>
          </w:tcPr>
          <w:p>
            <w:pPr>
              <w:pStyle w:val="TableParagraph"/>
              <w:spacing w:before="137"/>
              <w:ind w:left="10" w:right="3"/>
              <w:rPr>
                <w:sz w:val="21"/>
              </w:rPr>
            </w:pPr>
            <w:r>
              <w:rPr>
                <w:sz w:val="21"/>
              </w:rPr>
              <w:t>槽车卸料转移采用平衡管</w:t>
            </w:r>
          </w:p>
        </w:tc>
        <w:tc>
          <w:tcPr>
            <w:tcW w:w="1205" w:type="dxa"/>
          </w:tcPr>
          <w:p>
            <w:pPr>
              <w:pStyle w:val="TableParagraph"/>
              <w:spacing w:before="137"/>
              <w:ind w:left="53" w:right="46"/>
              <w:rPr>
                <w:sz w:val="21"/>
              </w:rPr>
            </w:pPr>
            <w:r>
              <w:rPr>
                <w:sz w:val="21"/>
              </w:rPr>
              <w:t>平衡管</w:t>
            </w:r>
          </w:p>
        </w:tc>
        <w:tc>
          <w:tcPr>
            <w:tcW w:w="590" w:type="dxa"/>
          </w:tcPr>
          <w:p>
            <w:pPr>
              <w:pStyle w:val="TableParagraph"/>
              <w:spacing w:before="137"/>
              <w:ind w:left="60" w:right="52"/>
              <w:rPr>
                <w:sz w:val="21"/>
              </w:rPr>
            </w:pPr>
            <w:r>
              <w:rPr>
                <w:sz w:val="21"/>
              </w:rPr>
              <w:t>符合</w:t>
            </w:r>
          </w:p>
        </w:tc>
      </w:tr>
      <w:tr>
        <w:trPr>
          <w:trHeight w:val="817" w:hRule="atLeast"/>
        </w:trPr>
        <w:tc>
          <w:tcPr>
            <w:tcW w:w="490" w:type="dxa"/>
            <w:vMerge/>
            <w:tcBorders>
              <w:top w:val="nil"/>
            </w:tcBorders>
          </w:tcPr>
          <w:p>
            <w:pPr>
              <w:rPr>
                <w:sz w:val="2"/>
                <w:szCs w:val="2"/>
              </w:rPr>
            </w:pPr>
          </w:p>
        </w:tc>
        <w:tc>
          <w:tcPr>
            <w:tcW w:w="471" w:type="dxa"/>
          </w:tcPr>
          <w:p>
            <w:pPr>
              <w:pStyle w:val="TableParagraph"/>
              <w:spacing w:before="6"/>
              <w:jc w:val="left"/>
              <w:rPr>
                <w:b/>
                <w:sz w:val="22"/>
              </w:rPr>
            </w:pPr>
          </w:p>
          <w:p>
            <w:pPr>
              <w:pStyle w:val="TableParagraph"/>
              <w:ind w:right="174"/>
              <w:jc w:val="right"/>
              <w:rPr>
                <w:rFonts w:ascii="Times New Roman"/>
                <w:sz w:val="21"/>
              </w:rPr>
            </w:pPr>
            <w:r>
              <w:rPr>
                <w:rFonts w:ascii="Times New Roman"/>
                <w:w w:val="100"/>
                <w:sz w:val="21"/>
              </w:rPr>
              <w:t>3</w:t>
            </w:r>
          </w:p>
        </w:tc>
        <w:tc>
          <w:tcPr>
            <w:tcW w:w="3608" w:type="dxa"/>
          </w:tcPr>
          <w:p>
            <w:pPr>
              <w:pStyle w:val="TableParagraph"/>
              <w:spacing w:line="244" w:lineRule="auto" w:before="137"/>
              <w:ind w:left="961" w:right="112" w:hanging="843"/>
              <w:jc w:val="left"/>
              <w:rPr>
                <w:sz w:val="21"/>
              </w:rPr>
            </w:pPr>
            <w:r>
              <w:rPr>
                <w:sz w:val="21"/>
              </w:rPr>
              <w:t>罐区、仓库等物料储存须有相应的措施，减少废气排放</w:t>
            </w:r>
          </w:p>
        </w:tc>
        <w:tc>
          <w:tcPr>
            <w:tcW w:w="2765" w:type="dxa"/>
          </w:tcPr>
          <w:p>
            <w:pPr>
              <w:pStyle w:val="TableParagraph"/>
              <w:spacing w:before="1"/>
              <w:ind w:left="118" w:hanging="58"/>
              <w:jc w:val="left"/>
              <w:rPr>
                <w:sz w:val="21"/>
              </w:rPr>
            </w:pPr>
            <w:r>
              <w:rPr>
                <w:sz w:val="21"/>
              </w:rPr>
              <w:t>储罐呼吸废气经氮封</w:t>
            </w:r>
            <w:r>
              <w:rPr>
                <w:rFonts w:ascii="Times New Roman" w:eastAsia="Times New Roman"/>
                <w:sz w:val="21"/>
              </w:rPr>
              <w:t>+</w:t>
            </w:r>
            <w:r>
              <w:rPr>
                <w:sz w:val="21"/>
              </w:rPr>
              <w:t>水封后</w:t>
            </w:r>
          </w:p>
          <w:p>
            <w:pPr>
              <w:pStyle w:val="TableParagraph"/>
              <w:spacing w:line="270" w:lineRule="atLeast" w:before="3"/>
              <w:ind w:left="1170" w:right="111" w:hanging="1052"/>
              <w:jc w:val="left"/>
              <w:rPr>
                <w:sz w:val="21"/>
              </w:rPr>
            </w:pPr>
            <w:r>
              <w:rPr>
                <w:sz w:val="21"/>
              </w:rPr>
              <w:t>再接入废气处理装置处理后排放</w:t>
            </w:r>
          </w:p>
        </w:tc>
        <w:tc>
          <w:tcPr>
            <w:tcW w:w="1205" w:type="dxa"/>
          </w:tcPr>
          <w:p>
            <w:pPr>
              <w:pStyle w:val="TableParagraph"/>
              <w:spacing w:line="244" w:lineRule="auto" w:before="137"/>
              <w:ind w:left="493" w:right="66" w:hanging="420"/>
              <w:jc w:val="left"/>
              <w:rPr>
                <w:sz w:val="21"/>
              </w:rPr>
            </w:pPr>
            <w:r>
              <w:rPr>
                <w:sz w:val="21"/>
              </w:rPr>
              <w:t>废气处理装置</w:t>
            </w:r>
          </w:p>
        </w:tc>
        <w:tc>
          <w:tcPr>
            <w:tcW w:w="590" w:type="dxa"/>
          </w:tcPr>
          <w:p>
            <w:pPr>
              <w:pStyle w:val="TableParagraph"/>
              <w:spacing w:before="5"/>
              <w:jc w:val="left"/>
              <w:rPr>
                <w:b/>
                <w:sz w:val="21"/>
              </w:rPr>
            </w:pPr>
          </w:p>
          <w:p>
            <w:pPr>
              <w:pStyle w:val="TableParagraph"/>
              <w:ind w:left="60" w:right="52"/>
              <w:rPr>
                <w:sz w:val="21"/>
              </w:rPr>
            </w:pPr>
            <w:r>
              <w:rPr>
                <w:sz w:val="21"/>
              </w:rPr>
              <w:t>符合</w:t>
            </w:r>
          </w:p>
        </w:tc>
      </w:tr>
      <w:tr>
        <w:trPr>
          <w:trHeight w:val="544" w:hRule="atLeast"/>
        </w:trPr>
        <w:tc>
          <w:tcPr>
            <w:tcW w:w="490" w:type="dxa"/>
            <w:vMerge w:val="restart"/>
          </w:tcPr>
          <w:p>
            <w:pPr>
              <w:pStyle w:val="TableParagraph"/>
              <w:jc w:val="left"/>
              <w:rPr>
                <w:b/>
                <w:sz w:val="20"/>
              </w:rPr>
            </w:pPr>
          </w:p>
          <w:p>
            <w:pPr>
              <w:pStyle w:val="TableParagraph"/>
              <w:jc w:val="left"/>
              <w:rPr>
                <w:b/>
                <w:sz w:val="20"/>
              </w:rPr>
            </w:pPr>
          </w:p>
          <w:p>
            <w:pPr>
              <w:pStyle w:val="TableParagraph"/>
              <w:spacing w:line="242" w:lineRule="auto" w:before="179"/>
              <w:ind w:left="33" w:right="22"/>
              <w:jc w:val="both"/>
              <w:rPr>
                <w:sz w:val="21"/>
              </w:rPr>
            </w:pPr>
            <w:r>
              <w:rPr>
                <w:sz w:val="21"/>
              </w:rPr>
              <w:t>液体物料输送</w:t>
            </w:r>
          </w:p>
        </w:tc>
        <w:tc>
          <w:tcPr>
            <w:tcW w:w="471" w:type="dxa"/>
          </w:tcPr>
          <w:p>
            <w:pPr>
              <w:pStyle w:val="TableParagraph"/>
              <w:spacing w:before="151"/>
              <w:ind w:right="174"/>
              <w:jc w:val="right"/>
              <w:rPr>
                <w:rFonts w:ascii="Times New Roman"/>
                <w:sz w:val="21"/>
              </w:rPr>
            </w:pPr>
            <w:r>
              <w:rPr>
                <w:rFonts w:ascii="Times New Roman"/>
                <w:w w:val="100"/>
                <w:sz w:val="21"/>
              </w:rPr>
              <w:t>4</w:t>
            </w:r>
          </w:p>
        </w:tc>
        <w:tc>
          <w:tcPr>
            <w:tcW w:w="3608" w:type="dxa"/>
          </w:tcPr>
          <w:p>
            <w:pPr>
              <w:pStyle w:val="TableParagraph"/>
              <w:spacing w:before="1"/>
              <w:ind w:left="25" w:right="-15"/>
              <w:jc w:val="left"/>
              <w:rPr>
                <w:sz w:val="21"/>
              </w:rPr>
            </w:pPr>
            <w:r>
              <w:rPr>
                <w:spacing w:val="-3"/>
                <w:sz w:val="21"/>
              </w:rPr>
              <w:t>液体物料的密闭输送须有相应的措施，</w:t>
            </w:r>
          </w:p>
          <w:p>
            <w:pPr>
              <w:pStyle w:val="TableParagraph"/>
              <w:spacing w:line="252" w:lineRule="exact" w:before="2"/>
              <w:ind w:left="118"/>
              <w:jc w:val="left"/>
              <w:rPr>
                <w:sz w:val="21"/>
              </w:rPr>
            </w:pPr>
            <w:r>
              <w:rPr>
                <w:sz w:val="21"/>
              </w:rPr>
              <w:t>不宜采用压缩空气或真空的方式抽压</w:t>
            </w:r>
          </w:p>
        </w:tc>
        <w:tc>
          <w:tcPr>
            <w:tcW w:w="2765" w:type="dxa"/>
          </w:tcPr>
          <w:p>
            <w:pPr>
              <w:pStyle w:val="TableParagraph"/>
              <w:spacing w:before="1"/>
              <w:ind w:left="8" w:right="3"/>
              <w:rPr>
                <w:sz w:val="21"/>
              </w:rPr>
            </w:pPr>
            <w:r>
              <w:rPr>
                <w:sz w:val="21"/>
              </w:rPr>
              <w:t>本项目液体物料通过管道输</w:t>
            </w:r>
          </w:p>
          <w:p>
            <w:pPr>
              <w:pStyle w:val="TableParagraph"/>
              <w:spacing w:line="252" w:lineRule="exact" w:before="2"/>
              <w:ind w:left="12" w:right="3"/>
              <w:rPr>
                <w:sz w:val="21"/>
              </w:rPr>
            </w:pPr>
            <w:r>
              <w:rPr>
                <w:sz w:val="21"/>
              </w:rPr>
              <w:t>送，采用正压输送</w:t>
            </w:r>
          </w:p>
        </w:tc>
        <w:tc>
          <w:tcPr>
            <w:tcW w:w="1205" w:type="dxa"/>
          </w:tcPr>
          <w:p>
            <w:pPr>
              <w:pStyle w:val="TableParagraph"/>
              <w:spacing w:before="151"/>
              <w:ind w:left="4"/>
              <w:rPr>
                <w:rFonts w:ascii="Times New Roman"/>
                <w:sz w:val="21"/>
              </w:rPr>
            </w:pPr>
            <w:r>
              <w:rPr>
                <w:rFonts w:ascii="Times New Roman"/>
                <w:w w:val="100"/>
                <w:sz w:val="21"/>
              </w:rPr>
              <w:t>/</w:t>
            </w:r>
          </w:p>
        </w:tc>
        <w:tc>
          <w:tcPr>
            <w:tcW w:w="590" w:type="dxa"/>
          </w:tcPr>
          <w:p>
            <w:pPr>
              <w:pStyle w:val="TableParagraph"/>
              <w:spacing w:before="138"/>
              <w:ind w:left="60" w:right="52"/>
              <w:rPr>
                <w:sz w:val="21"/>
              </w:rPr>
            </w:pPr>
            <w:r>
              <w:rPr>
                <w:sz w:val="21"/>
              </w:rPr>
              <w:t>符合</w:t>
            </w:r>
          </w:p>
        </w:tc>
      </w:tr>
      <w:tr>
        <w:trPr>
          <w:trHeight w:val="1089" w:hRule="atLeast"/>
        </w:trPr>
        <w:tc>
          <w:tcPr>
            <w:tcW w:w="490" w:type="dxa"/>
            <w:vMerge/>
            <w:tcBorders>
              <w:top w:val="nil"/>
            </w:tcBorders>
          </w:tcPr>
          <w:p>
            <w:pPr>
              <w:rPr>
                <w:sz w:val="2"/>
                <w:szCs w:val="2"/>
              </w:rPr>
            </w:pPr>
          </w:p>
        </w:tc>
        <w:tc>
          <w:tcPr>
            <w:tcW w:w="471" w:type="dxa"/>
          </w:tcPr>
          <w:p>
            <w:pPr>
              <w:pStyle w:val="TableParagraph"/>
              <w:jc w:val="left"/>
              <w:rPr>
                <w:b/>
                <w:sz w:val="22"/>
              </w:rPr>
            </w:pPr>
          </w:p>
          <w:p>
            <w:pPr>
              <w:pStyle w:val="TableParagraph"/>
              <w:spacing w:before="141"/>
              <w:ind w:right="174"/>
              <w:jc w:val="right"/>
              <w:rPr>
                <w:rFonts w:ascii="Times New Roman"/>
                <w:sz w:val="21"/>
              </w:rPr>
            </w:pPr>
            <w:r>
              <w:rPr>
                <w:rFonts w:ascii="Times New Roman"/>
                <w:w w:val="100"/>
                <w:sz w:val="21"/>
              </w:rPr>
              <w:t>5</w:t>
            </w:r>
          </w:p>
        </w:tc>
        <w:tc>
          <w:tcPr>
            <w:tcW w:w="3608" w:type="dxa"/>
          </w:tcPr>
          <w:p>
            <w:pPr>
              <w:pStyle w:val="TableParagraph"/>
              <w:spacing w:line="242" w:lineRule="auto" w:before="1"/>
              <w:ind w:left="25" w:right="13" w:hanging="108"/>
              <w:rPr>
                <w:sz w:val="21"/>
              </w:rPr>
            </w:pPr>
            <w:r>
              <w:rPr>
                <w:spacing w:val="-13"/>
                <w:sz w:val="21"/>
              </w:rPr>
              <w:t>对于特殊工艺要求，有毒、腐蚀、易燃 </w:t>
            </w:r>
            <w:r>
              <w:rPr>
                <w:spacing w:val="-9"/>
                <w:sz w:val="21"/>
              </w:rPr>
              <w:t>易爆以及易挥发的桶装物料，须设置物</w:t>
            </w:r>
            <w:r>
              <w:rPr>
                <w:spacing w:val="-6"/>
                <w:sz w:val="21"/>
              </w:rPr>
              <w:t>料输送小间或有相应的措施，减少废气</w:t>
            </w:r>
          </w:p>
          <w:p>
            <w:pPr>
              <w:pStyle w:val="TableParagraph"/>
              <w:spacing w:line="252" w:lineRule="exact"/>
              <w:ind w:left="6"/>
              <w:rPr>
                <w:sz w:val="21"/>
              </w:rPr>
            </w:pPr>
            <w:r>
              <w:rPr>
                <w:sz w:val="21"/>
              </w:rPr>
              <w:t>无组织排放</w:t>
            </w:r>
          </w:p>
        </w:tc>
        <w:tc>
          <w:tcPr>
            <w:tcW w:w="2765" w:type="dxa"/>
          </w:tcPr>
          <w:p>
            <w:pPr>
              <w:pStyle w:val="TableParagraph"/>
              <w:spacing w:before="1"/>
              <w:ind w:left="-134"/>
              <w:jc w:val="left"/>
              <w:rPr>
                <w:sz w:val="21"/>
              </w:rPr>
            </w:pPr>
            <w:r>
              <w:rPr>
                <w:w w:val="100"/>
                <w:sz w:val="21"/>
              </w:rPr>
              <w:t>、</w:t>
            </w:r>
          </w:p>
          <w:p>
            <w:pPr>
              <w:pStyle w:val="TableParagraph"/>
              <w:spacing w:before="139"/>
              <w:ind w:left="329"/>
              <w:jc w:val="left"/>
              <w:rPr>
                <w:sz w:val="21"/>
              </w:rPr>
            </w:pPr>
            <w:r>
              <w:rPr>
                <w:sz w:val="21"/>
              </w:rPr>
              <w:t>项目液体物料采用储罐</w:t>
            </w:r>
          </w:p>
        </w:tc>
        <w:tc>
          <w:tcPr>
            <w:tcW w:w="1205" w:type="dxa"/>
          </w:tcPr>
          <w:p>
            <w:pPr>
              <w:pStyle w:val="TableParagraph"/>
              <w:jc w:val="left"/>
              <w:rPr>
                <w:b/>
                <w:sz w:val="22"/>
              </w:rPr>
            </w:pPr>
          </w:p>
          <w:p>
            <w:pPr>
              <w:pStyle w:val="TableParagraph"/>
              <w:spacing w:before="141"/>
              <w:ind w:left="4"/>
              <w:rPr>
                <w:rFonts w:ascii="Times New Roman"/>
                <w:sz w:val="21"/>
              </w:rPr>
            </w:pPr>
            <w:r>
              <w:rPr>
                <w:rFonts w:ascii="Times New Roman"/>
                <w:w w:val="100"/>
                <w:sz w:val="21"/>
              </w:rPr>
              <w:t>/</w:t>
            </w:r>
          </w:p>
        </w:tc>
        <w:tc>
          <w:tcPr>
            <w:tcW w:w="590" w:type="dxa"/>
          </w:tcPr>
          <w:p>
            <w:pPr>
              <w:pStyle w:val="TableParagraph"/>
              <w:jc w:val="left"/>
              <w:rPr>
                <w:b/>
                <w:sz w:val="20"/>
              </w:rPr>
            </w:pPr>
          </w:p>
          <w:p>
            <w:pPr>
              <w:pStyle w:val="TableParagraph"/>
              <w:spacing w:before="152"/>
              <w:ind w:left="60" w:right="52"/>
              <w:rPr>
                <w:sz w:val="21"/>
              </w:rPr>
            </w:pPr>
            <w:r>
              <w:rPr>
                <w:sz w:val="21"/>
              </w:rPr>
              <w:t>符合</w:t>
            </w:r>
          </w:p>
        </w:tc>
      </w:tr>
      <w:tr>
        <w:trPr>
          <w:trHeight w:val="544" w:hRule="atLeast"/>
        </w:trPr>
        <w:tc>
          <w:tcPr>
            <w:tcW w:w="490" w:type="dxa"/>
            <w:vMerge/>
            <w:tcBorders>
              <w:top w:val="nil"/>
            </w:tcBorders>
          </w:tcPr>
          <w:p>
            <w:pPr>
              <w:rPr>
                <w:sz w:val="2"/>
                <w:szCs w:val="2"/>
              </w:rPr>
            </w:pPr>
          </w:p>
        </w:tc>
        <w:tc>
          <w:tcPr>
            <w:tcW w:w="471" w:type="dxa"/>
          </w:tcPr>
          <w:p>
            <w:pPr>
              <w:pStyle w:val="TableParagraph"/>
              <w:spacing w:before="151"/>
              <w:ind w:right="174"/>
              <w:jc w:val="right"/>
              <w:rPr>
                <w:rFonts w:ascii="Times New Roman"/>
                <w:sz w:val="21"/>
              </w:rPr>
            </w:pPr>
            <w:r>
              <w:rPr>
                <w:rFonts w:ascii="Times New Roman"/>
                <w:w w:val="100"/>
                <w:sz w:val="21"/>
              </w:rPr>
              <w:t>6</w:t>
            </w:r>
          </w:p>
        </w:tc>
        <w:tc>
          <w:tcPr>
            <w:tcW w:w="3608" w:type="dxa"/>
          </w:tcPr>
          <w:p>
            <w:pPr>
              <w:pStyle w:val="TableParagraph"/>
              <w:spacing w:before="1"/>
              <w:ind w:left="9"/>
              <w:rPr>
                <w:sz w:val="21"/>
              </w:rPr>
            </w:pPr>
            <w:r>
              <w:rPr>
                <w:sz w:val="21"/>
              </w:rPr>
              <w:t>工艺要求需要高位槽计量投料的，须采</w:t>
            </w:r>
          </w:p>
          <w:p>
            <w:pPr>
              <w:pStyle w:val="TableParagraph"/>
              <w:spacing w:line="250" w:lineRule="exact" w:before="5"/>
              <w:ind w:left="7"/>
              <w:rPr>
                <w:sz w:val="21"/>
              </w:rPr>
            </w:pPr>
            <w:r>
              <w:rPr>
                <w:sz w:val="21"/>
              </w:rPr>
              <w:t>取相应措施减少废气无组织排放</w:t>
            </w:r>
          </w:p>
        </w:tc>
        <w:tc>
          <w:tcPr>
            <w:tcW w:w="2765" w:type="dxa"/>
          </w:tcPr>
          <w:p>
            <w:pPr>
              <w:pStyle w:val="TableParagraph"/>
              <w:spacing w:before="1"/>
              <w:ind w:left="7" w:right="3"/>
              <w:rPr>
                <w:sz w:val="21"/>
              </w:rPr>
            </w:pPr>
            <w:r>
              <w:rPr>
                <w:sz w:val="21"/>
              </w:rPr>
              <w:t>高位槽呼吸废气接入废气处</w:t>
            </w:r>
          </w:p>
          <w:p>
            <w:pPr>
              <w:pStyle w:val="TableParagraph"/>
              <w:spacing w:line="250" w:lineRule="exact" w:before="5"/>
              <w:ind w:left="10" w:right="3"/>
              <w:rPr>
                <w:sz w:val="21"/>
              </w:rPr>
            </w:pPr>
            <w:r>
              <w:rPr>
                <w:sz w:val="21"/>
              </w:rPr>
              <w:t>理装置</w:t>
            </w:r>
          </w:p>
        </w:tc>
        <w:tc>
          <w:tcPr>
            <w:tcW w:w="1205" w:type="dxa"/>
          </w:tcPr>
          <w:p>
            <w:pPr>
              <w:pStyle w:val="TableParagraph"/>
              <w:spacing w:before="151"/>
              <w:ind w:left="4"/>
              <w:rPr>
                <w:rFonts w:ascii="Times New Roman"/>
                <w:sz w:val="21"/>
              </w:rPr>
            </w:pPr>
            <w:r>
              <w:rPr>
                <w:rFonts w:ascii="Times New Roman"/>
                <w:w w:val="100"/>
                <w:sz w:val="21"/>
              </w:rPr>
              <w:t>/</w:t>
            </w:r>
          </w:p>
        </w:tc>
        <w:tc>
          <w:tcPr>
            <w:tcW w:w="590" w:type="dxa"/>
          </w:tcPr>
          <w:p>
            <w:pPr>
              <w:pStyle w:val="TableParagraph"/>
              <w:spacing w:before="137"/>
              <w:ind w:left="60" w:right="52"/>
              <w:rPr>
                <w:sz w:val="21"/>
              </w:rPr>
            </w:pPr>
            <w:r>
              <w:rPr>
                <w:sz w:val="21"/>
              </w:rPr>
              <w:t>符合</w:t>
            </w:r>
          </w:p>
        </w:tc>
      </w:tr>
      <w:tr>
        <w:trPr>
          <w:trHeight w:val="818" w:hRule="atLeast"/>
        </w:trPr>
        <w:tc>
          <w:tcPr>
            <w:tcW w:w="490" w:type="dxa"/>
            <w:vMerge w:val="restart"/>
          </w:tcPr>
          <w:p>
            <w:pPr>
              <w:pStyle w:val="TableParagraph"/>
              <w:jc w:val="left"/>
              <w:rPr>
                <w:b/>
                <w:sz w:val="20"/>
              </w:rPr>
            </w:pPr>
          </w:p>
          <w:p>
            <w:pPr>
              <w:pStyle w:val="TableParagraph"/>
              <w:spacing w:before="12"/>
              <w:jc w:val="left"/>
              <w:rPr>
                <w:b/>
                <w:sz w:val="22"/>
              </w:rPr>
            </w:pPr>
          </w:p>
          <w:p>
            <w:pPr>
              <w:pStyle w:val="TableParagraph"/>
              <w:spacing w:line="242" w:lineRule="auto"/>
              <w:ind w:left="33" w:right="22"/>
              <w:jc w:val="both"/>
              <w:rPr>
                <w:sz w:val="21"/>
              </w:rPr>
            </w:pPr>
            <w:r>
              <w:rPr>
                <w:sz w:val="21"/>
              </w:rPr>
              <w:t>固体物料输送</w:t>
            </w:r>
          </w:p>
        </w:tc>
        <w:tc>
          <w:tcPr>
            <w:tcW w:w="471" w:type="dxa"/>
          </w:tcPr>
          <w:p>
            <w:pPr>
              <w:pStyle w:val="TableParagraph"/>
              <w:spacing w:before="6"/>
              <w:jc w:val="left"/>
              <w:rPr>
                <w:b/>
                <w:sz w:val="22"/>
              </w:rPr>
            </w:pPr>
          </w:p>
          <w:p>
            <w:pPr>
              <w:pStyle w:val="TableParagraph"/>
              <w:ind w:right="174"/>
              <w:jc w:val="right"/>
              <w:rPr>
                <w:rFonts w:ascii="Times New Roman"/>
                <w:sz w:val="21"/>
              </w:rPr>
            </w:pPr>
            <w:r>
              <w:rPr>
                <w:rFonts w:ascii="Times New Roman"/>
                <w:w w:val="100"/>
                <w:sz w:val="21"/>
              </w:rPr>
              <w:t>7</w:t>
            </w:r>
          </w:p>
        </w:tc>
        <w:tc>
          <w:tcPr>
            <w:tcW w:w="3608" w:type="dxa"/>
          </w:tcPr>
          <w:p>
            <w:pPr>
              <w:pStyle w:val="TableParagraph"/>
              <w:spacing w:before="1"/>
              <w:ind w:left="25" w:firstLine="93"/>
              <w:jc w:val="left"/>
              <w:rPr>
                <w:sz w:val="21"/>
              </w:rPr>
            </w:pPr>
            <w:r>
              <w:rPr>
                <w:sz w:val="21"/>
              </w:rPr>
              <w:t>固体物料应密闭称量或设置专门的称</w:t>
            </w:r>
          </w:p>
          <w:p>
            <w:pPr>
              <w:pStyle w:val="TableParagraph"/>
              <w:spacing w:line="270" w:lineRule="atLeast" w:before="3"/>
              <w:ind w:left="1590" w:right="2" w:hanging="1566"/>
              <w:jc w:val="left"/>
              <w:rPr>
                <w:sz w:val="21"/>
              </w:rPr>
            </w:pPr>
            <w:r>
              <w:rPr>
                <w:sz w:val="21"/>
              </w:rPr>
              <w:t>量间，并采取相应措施减少废气无组织排放</w:t>
            </w:r>
          </w:p>
        </w:tc>
        <w:tc>
          <w:tcPr>
            <w:tcW w:w="2765" w:type="dxa"/>
          </w:tcPr>
          <w:p>
            <w:pPr>
              <w:pStyle w:val="TableParagraph"/>
              <w:spacing w:before="5"/>
              <w:jc w:val="left"/>
              <w:rPr>
                <w:b/>
                <w:sz w:val="21"/>
              </w:rPr>
            </w:pPr>
          </w:p>
          <w:p>
            <w:pPr>
              <w:pStyle w:val="TableParagraph"/>
              <w:ind w:left="7" w:right="3"/>
              <w:rPr>
                <w:sz w:val="21"/>
              </w:rPr>
            </w:pPr>
            <w:r>
              <w:rPr>
                <w:sz w:val="21"/>
              </w:rPr>
              <w:t>固体投料采用固体投料装置</w:t>
            </w:r>
          </w:p>
        </w:tc>
        <w:tc>
          <w:tcPr>
            <w:tcW w:w="1205" w:type="dxa"/>
          </w:tcPr>
          <w:p>
            <w:pPr>
              <w:pStyle w:val="TableParagraph"/>
              <w:spacing w:line="242" w:lineRule="auto" w:before="138"/>
              <w:ind w:left="493" w:right="66" w:hanging="420"/>
              <w:jc w:val="left"/>
              <w:rPr>
                <w:sz w:val="21"/>
              </w:rPr>
            </w:pPr>
            <w:r>
              <w:rPr>
                <w:sz w:val="21"/>
              </w:rPr>
              <w:t>固体投料装置</w:t>
            </w:r>
          </w:p>
        </w:tc>
        <w:tc>
          <w:tcPr>
            <w:tcW w:w="590" w:type="dxa"/>
          </w:tcPr>
          <w:p>
            <w:pPr>
              <w:pStyle w:val="TableParagraph"/>
              <w:spacing w:before="5"/>
              <w:jc w:val="left"/>
              <w:rPr>
                <w:b/>
                <w:sz w:val="21"/>
              </w:rPr>
            </w:pPr>
          </w:p>
          <w:p>
            <w:pPr>
              <w:pStyle w:val="TableParagraph"/>
              <w:ind w:left="60" w:right="52"/>
              <w:rPr>
                <w:sz w:val="21"/>
              </w:rPr>
            </w:pPr>
            <w:r>
              <w:rPr>
                <w:sz w:val="21"/>
              </w:rPr>
              <w:t>符合</w:t>
            </w:r>
          </w:p>
        </w:tc>
      </w:tr>
      <w:tr>
        <w:trPr>
          <w:trHeight w:val="1089" w:hRule="atLeast"/>
        </w:trPr>
        <w:tc>
          <w:tcPr>
            <w:tcW w:w="490" w:type="dxa"/>
            <w:vMerge/>
            <w:tcBorders>
              <w:top w:val="nil"/>
            </w:tcBorders>
          </w:tcPr>
          <w:p>
            <w:pPr>
              <w:rPr>
                <w:sz w:val="2"/>
                <w:szCs w:val="2"/>
              </w:rPr>
            </w:pPr>
          </w:p>
        </w:tc>
        <w:tc>
          <w:tcPr>
            <w:tcW w:w="471" w:type="dxa"/>
          </w:tcPr>
          <w:p>
            <w:pPr>
              <w:pStyle w:val="TableParagraph"/>
              <w:jc w:val="left"/>
              <w:rPr>
                <w:b/>
                <w:sz w:val="22"/>
              </w:rPr>
            </w:pPr>
          </w:p>
          <w:p>
            <w:pPr>
              <w:pStyle w:val="TableParagraph"/>
              <w:spacing w:before="141"/>
              <w:ind w:right="174"/>
              <w:jc w:val="right"/>
              <w:rPr>
                <w:rFonts w:ascii="Times New Roman"/>
                <w:sz w:val="21"/>
              </w:rPr>
            </w:pPr>
            <w:r>
              <w:rPr>
                <w:rFonts w:ascii="Times New Roman"/>
                <w:w w:val="100"/>
                <w:sz w:val="21"/>
              </w:rPr>
              <w:t>8</w:t>
            </w:r>
          </w:p>
        </w:tc>
        <w:tc>
          <w:tcPr>
            <w:tcW w:w="3608" w:type="dxa"/>
          </w:tcPr>
          <w:p>
            <w:pPr>
              <w:pStyle w:val="TableParagraph"/>
              <w:spacing w:line="242" w:lineRule="auto" w:before="1"/>
              <w:ind w:left="25" w:right="13"/>
              <w:jc w:val="both"/>
              <w:rPr>
                <w:sz w:val="21"/>
              </w:rPr>
            </w:pPr>
            <w:r>
              <w:rPr>
                <w:spacing w:val="-6"/>
                <w:sz w:val="21"/>
              </w:rPr>
              <w:t>对于有毒、有腐蚀、遇湿易燃、遇空气</w:t>
            </w:r>
            <w:r>
              <w:rPr>
                <w:spacing w:val="-5"/>
                <w:sz w:val="21"/>
              </w:rPr>
              <w:t>易燃、有刺激性气味等物料，投料须有</w:t>
            </w:r>
            <w:r>
              <w:rPr>
                <w:spacing w:val="-6"/>
                <w:sz w:val="21"/>
              </w:rPr>
              <w:t>相应的措施，减少废气无组织排放，不</w:t>
            </w:r>
          </w:p>
          <w:p>
            <w:pPr>
              <w:pStyle w:val="TableParagraph"/>
              <w:spacing w:line="252" w:lineRule="exact"/>
              <w:ind w:left="749"/>
              <w:jc w:val="left"/>
              <w:rPr>
                <w:sz w:val="21"/>
              </w:rPr>
            </w:pPr>
            <w:r>
              <w:rPr>
                <w:sz w:val="21"/>
              </w:rPr>
              <w:t>应采用开放式人工投料</w:t>
            </w:r>
          </w:p>
        </w:tc>
        <w:tc>
          <w:tcPr>
            <w:tcW w:w="2765" w:type="dxa"/>
          </w:tcPr>
          <w:p>
            <w:pPr>
              <w:pStyle w:val="TableParagraph"/>
              <w:spacing w:before="3"/>
              <w:jc w:val="left"/>
              <w:rPr>
                <w:b/>
                <w:sz w:val="21"/>
              </w:rPr>
            </w:pPr>
          </w:p>
          <w:p>
            <w:pPr>
              <w:pStyle w:val="TableParagraph"/>
              <w:spacing w:line="244" w:lineRule="auto"/>
              <w:ind w:left="1064" w:right="111" w:hanging="946"/>
              <w:jc w:val="left"/>
              <w:rPr>
                <w:sz w:val="21"/>
              </w:rPr>
            </w:pPr>
            <w:r>
              <w:rPr>
                <w:sz w:val="21"/>
              </w:rPr>
              <w:t>本项目物料不采用开放式人工投料</w:t>
            </w:r>
          </w:p>
        </w:tc>
        <w:tc>
          <w:tcPr>
            <w:tcW w:w="1205" w:type="dxa"/>
          </w:tcPr>
          <w:p>
            <w:pPr>
              <w:pStyle w:val="TableParagraph"/>
              <w:jc w:val="left"/>
              <w:rPr>
                <w:b/>
                <w:sz w:val="22"/>
              </w:rPr>
            </w:pPr>
          </w:p>
          <w:p>
            <w:pPr>
              <w:pStyle w:val="TableParagraph"/>
              <w:spacing w:before="141"/>
              <w:ind w:left="4"/>
              <w:rPr>
                <w:rFonts w:ascii="Times New Roman"/>
                <w:sz w:val="21"/>
              </w:rPr>
            </w:pPr>
            <w:r>
              <w:rPr>
                <w:rFonts w:ascii="Times New Roman"/>
                <w:w w:val="100"/>
                <w:sz w:val="21"/>
              </w:rPr>
              <w:t>/</w:t>
            </w:r>
          </w:p>
        </w:tc>
        <w:tc>
          <w:tcPr>
            <w:tcW w:w="590" w:type="dxa"/>
          </w:tcPr>
          <w:p>
            <w:pPr>
              <w:pStyle w:val="TableParagraph"/>
              <w:jc w:val="left"/>
              <w:rPr>
                <w:b/>
                <w:sz w:val="20"/>
              </w:rPr>
            </w:pPr>
          </w:p>
          <w:p>
            <w:pPr>
              <w:pStyle w:val="TableParagraph"/>
              <w:spacing w:before="152"/>
              <w:ind w:left="60" w:right="52"/>
              <w:rPr>
                <w:sz w:val="21"/>
              </w:rPr>
            </w:pPr>
            <w:r>
              <w:rPr>
                <w:sz w:val="21"/>
              </w:rPr>
              <w:t>符合</w:t>
            </w:r>
          </w:p>
        </w:tc>
      </w:tr>
      <w:tr>
        <w:trPr>
          <w:trHeight w:val="273" w:hRule="atLeast"/>
        </w:trPr>
        <w:tc>
          <w:tcPr>
            <w:tcW w:w="490" w:type="dxa"/>
          </w:tcPr>
          <w:p>
            <w:pPr>
              <w:pStyle w:val="TableParagraph"/>
              <w:spacing w:line="252" w:lineRule="exact" w:before="1"/>
              <w:ind w:right="22"/>
              <w:jc w:val="right"/>
              <w:rPr>
                <w:sz w:val="21"/>
              </w:rPr>
            </w:pPr>
            <w:r>
              <w:rPr>
                <w:sz w:val="21"/>
              </w:rPr>
              <w:t>主反</w:t>
            </w:r>
          </w:p>
        </w:tc>
        <w:tc>
          <w:tcPr>
            <w:tcW w:w="471" w:type="dxa"/>
          </w:tcPr>
          <w:p>
            <w:pPr>
              <w:pStyle w:val="TableParagraph"/>
              <w:spacing w:line="238" w:lineRule="exact" w:before="15"/>
              <w:ind w:right="174"/>
              <w:jc w:val="right"/>
              <w:rPr>
                <w:rFonts w:ascii="Times New Roman"/>
                <w:sz w:val="21"/>
              </w:rPr>
            </w:pPr>
            <w:r>
              <w:rPr>
                <w:rFonts w:ascii="Times New Roman"/>
                <w:w w:val="100"/>
                <w:sz w:val="21"/>
              </w:rPr>
              <w:t>9</w:t>
            </w:r>
          </w:p>
        </w:tc>
        <w:tc>
          <w:tcPr>
            <w:tcW w:w="3608" w:type="dxa"/>
          </w:tcPr>
          <w:p>
            <w:pPr>
              <w:pStyle w:val="TableParagraph"/>
              <w:spacing w:line="252" w:lineRule="exact" w:before="1"/>
              <w:ind w:left="9"/>
              <w:rPr>
                <w:sz w:val="21"/>
              </w:rPr>
            </w:pPr>
            <w:r>
              <w:rPr>
                <w:sz w:val="21"/>
              </w:rPr>
              <w:t>反应设备应选用密闭反应釜，中转槽应</w:t>
            </w:r>
          </w:p>
        </w:tc>
        <w:tc>
          <w:tcPr>
            <w:tcW w:w="2765" w:type="dxa"/>
          </w:tcPr>
          <w:p>
            <w:pPr>
              <w:pStyle w:val="TableParagraph"/>
              <w:spacing w:line="252" w:lineRule="exact" w:before="1"/>
              <w:ind w:left="12" w:right="3"/>
              <w:rPr>
                <w:sz w:val="21"/>
              </w:rPr>
            </w:pPr>
            <w:r>
              <w:rPr>
                <w:sz w:val="21"/>
              </w:rPr>
              <w:t>项目采用密闭反应釜</w:t>
            </w:r>
          </w:p>
        </w:tc>
        <w:tc>
          <w:tcPr>
            <w:tcW w:w="1205" w:type="dxa"/>
          </w:tcPr>
          <w:p>
            <w:pPr>
              <w:pStyle w:val="TableParagraph"/>
              <w:spacing w:line="252" w:lineRule="exact" w:before="1"/>
              <w:ind w:left="53" w:right="46"/>
              <w:rPr>
                <w:sz w:val="21"/>
              </w:rPr>
            </w:pPr>
            <w:r>
              <w:rPr>
                <w:sz w:val="21"/>
              </w:rPr>
              <w:t>反应釜</w:t>
            </w:r>
          </w:p>
        </w:tc>
        <w:tc>
          <w:tcPr>
            <w:tcW w:w="590" w:type="dxa"/>
          </w:tcPr>
          <w:p>
            <w:pPr>
              <w:pStyle w:val="TableParagraph"/>
              <w:spacing w:line="252" w:lineRule="exact" w:before="1"/>
              <w:ind w:left="60" w:right="52"/>
              <w:rPr>
                <w:sz w:val="21"/>
              </w:rPr>
            </w:pPr>
            <w:r>
              <w:rPr>
                <w:sz w:val="21"/>
              </w:rPr>
              <w:t>符合</w:t>
            </w:r>
          </w:p>
        </w:tc>
      </w:tr>
    </w:tbl>
    <w:p>
      <w:pPr>
        <w:spacing w:after="0" w:line="252" w:lineRule="exact"/>
        <w:rPr>
          <w:sz w:val="21"/>
        </w:rPr>
        <w:sectPr>
          <w:pgSz w:w="11910" w:h="16840"/>
          <w:pgMar w:header="872" w:footer="873" w:top="1320" w:bottom="1060" w:left="1200" w:right="1180"/>
        </w:sectPr>
      </w:pPr>
    </w:p>
    <w:p>
      <w:pPr>
        <w:pStyle w:val="BodyText"/>
        <w:spacing w:before="5"/>
        <w:rPr>
          <w:b/>
          <w:sz w:val="6"/>
        </w:rPr>
      </w:pPr>
    </w:p>
    <w:tbl>
      <w:tblPr>
        <w:tblW w:w="0" w:type="auto"/>
        <w:jc w:val="lef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471"/>
        <w:gridCol w:w="3608"/>
        <w:gridCol w:w="2765"/>
        <w:gridCol w:w="1205"/>
        <w:gridCol w:w="590"/>
      </w:tblGrid>
      <w:tr>
        <w:trPr>
          <w:trHeight w:val="544" w:hRule="atLeast"/>
        </w:trPr>
        <w:tc>
          <w:tcPr>
            <w:tcW w:w="490" w:type="dxa"/>
          </w:tcPr>
          <w:p>
            <w:pPr>
              <w:pStyle w:val="TableParagraph"/>
              <w:spacing w:before="138"/>
              <w:ind w:left="33"/>
              <w:jc w:val="left"/>
              <w:rPr>
                <w:b/>
                <w:sz w:val="21"/>
              </w:rPr>
            </w:pPr>
            <w:r>
              <w:rPr>
                <w:b/>
                <w:sz w:val="21"/>
              </w:rPr>
              <w:t>类别</w:t>
            </w:r>
          </w:p>
        </w:tc>
        <w:tc>
          <w:tcPr>
            <w:tcW w:w="471" w:type="dxa"/>
          </w:tcPr>
          <w:p>
            <w:pPr>
              <w:pStyle w:val="TableParagraph"/>
              <w:spacing w:before="1"/>
              <w:ind w:left="126"/>
              <w:jc w:val="left"/>
              <w:rPr>
                <w:b/>
                <w:sz w:val="21"/>
              </w:rPr>
            </w:pPr>
            <w:r>
              <w:rPr>
                <w:b/>
                <w:w w:val="100"/>
                <w:sz w:val="21"/>
              </w:rPr>
              <w:t>序</w:t>
            </w:r>
          </w:p>
          <w:p>
            <w:pPr>
              <w:pStyle w:val="TableParagraph"/>
              <w:spacing w:line="252" w:lineRule="exact" w:before="2"/>
              <w:ind w:left="126"/>
              <w:jc w:val="left"/>
              <w:rPr>
                <w:b/>
                <w:sz w:val="21"/>
              </w:rPr>
            </w:pPr>
            <w:r>
              <w:rPr>
                <w:b/>
                <w:w w:val="100"/>
                <w:sz w:val="21"/>
              </w:rPr>
              <w:t>号</w:t>
            </w:r>
          </w:p>
        </w:tc>
        <w:tc>
          <w:tcPr>
            <w:tcW w:w="3608" w:type="dxa"/>
          </w:tcPr>
          <w:p>
            <w:pPr>
              <w:pStyle w:val="TableParagraph"/>
              <w:spacing w:before="138"/>
              <w:ind w:left="4"/>
              <w:rPr>
                <w:b/>
                <w:sz w:val="21"/>
              </w:rPr>
            </w:pPr>
            <w:r>
              <w:rPr>
                <w:b/>
                <w:sz w:val="21"/>
              </w:rPr>
              <w:t>内容及要求</w:t>
            </w:r>
          </w:p>
        </w:tc>
        <w:tc>
          <w:tcPr>
            <w:tcW w:w="2765" w:type="dxa"/>
          </w:tcPr>
          <w:p>
            <w:pPr>
              <w:pStyle w:val="TableParagraph"/>
              <w:spacing w:before="138"/>
              <w:ind w:left="12" w:right="3"/>
              <w:rPr>
                <w:b/>
                <w:sz w:val="21"/>
              </w:rPr>
            </w:pPr>
            <w:r>
              <w:rPr>
                <w:b/>
                <w:sz w:val="21"/>
              </w:rPr>
              <w:t>采用的工艺、措施等情况</w:t>
            </w:r>
          </w:p>
        </w:tc>
        <w:tc>
          <w:tcPr>
            <w:tcW w:w="1205" w:type="dxa"/>
          </w:tcPr>
          <w:p>
            <w:pPr>
              <w:pStyle w:val="TableParagraph"/>
              <w:spacing w:before="138"/>
              <w:ind w:left="53" w:right="46"/>
              <w:rPr>
                <w:b/>
                <w:sz w:val="21"/>
              </w:rPr>
            </w:pPr>
            <w:r>
              <w:rPr>
                <w:b/>
                <w:sz w:val="21"/>
              </w:rPr>
              <w:t>采用的设备</w:t>
            </w:r>
          </w:p>
        </w:tc>
        <w:tc>
          <w:tcPr>
            <w:tcW w:w="590" w:type="dxa"/>
          </w:tcPr>
          <w:p>
            <w:pPr>
              <w:pStyle w:val="TableParagraph"/>
              <w:spacing w:before="138"/>
              <w:ind w:left="57" w:right="54"/>
              <w:rPr>
                <w:b/>
                <w:sz w:val="21"/>
              </w:rPr>
            </w:pPr>
            <w:r>
              <w:rPr>
                <w:b/>
                <w:sz w:val="21"/>
              </w:rPr>
              <w:t>备注</w:t>
            </w:r>
          </w:p>
        </w:tc>
      </w:tr>
      <w:tr>
        <w:trPr>
          <w:trHeight w:val="273" w:hRule="atLeast"/>
        </w:trPr>
        <w:tc>
          <w:tcPr>
            <w:tcW w:w="490" w:type="dxa"/>
            <w:vMerge w:val="restart"/>
          </w:tcPr>
          <w:p>
            <w:pPr>
              <w:pStyle w:val="TableParagraph"/>
              <w:spacing w:line="244" w:lineRule="auto" w:before="1"/>
              <w:ind w:left="139" w:right="22" w:hanging="106"/>
              <w:jc w:val="left"/>
              <w:rPr>
                <w:sz w:val="21"/>
              </w:rPr>
            </w:pPr>
            <w:r>
              <w:rPr>
                <w:sz w:val="21"/>
              </w:rPr>
              <w:t>应单元</w:t>
            </w:r>
          </w:p>
        </w:tc>
        <w:tc>
          <w:tcPr>
            <w:tcW w:w="471" w:type="dxa"/>
          </w:tcPr>
          <w:p>
            <w:pPr>
              <w:pStyle w:val="TableParagraph"/>
              <w:jc w:val="left"/>
              <w:rPr>
                <w:rFonts w:ascii="Times New Roman"/>
                <w:sz w:val="20"/>
              </w:rPr>
            </w:pPr>
          </w:p>
        </w:tc>
        <w:tc>
          <w:tcPr>
            <w:tcW w:w="3608" w:type="dxa"/>
          </w:tcPr>
          <w:p>
            <w:pPr>
              <w:pStyle w:val="TableParagraph"/>
              <w:spacing w:line="252" w:lineRule="exact" w:before="1"/>
              <w:ind w:left="4"/>
              <w:rPr>
                <w:sz w:val="21"/>
              </w:rPr>
            </w:pPr>
            <w:r>
              <w:rPr>
                <w:sz w:val="21"/>
              </w:rPr>
              <w:t>选用密闭容器</w:t>
            </w:r>
          </w:p>
        </w:tc>
        <w:tc>
          <w:tcPr>
            <w:tcW w:w="2765" w:type="dxa"/>
          </w:tcPr>
          <w:p>
            <w:pPr>
              <w:pStyle w:val="TableParagraph"/>
              <w:jc w:val="left"/>
              <w:rPr>
                <w:rFonts w:ascii="Times New Roman"/>
                <w:sz w:val="20"/>
              </w:rPr>
            </w:pPr>
          </w:p>
        </w:tc>
        <w:tc>
          <w:tcPr>
            <w:tcW w:w="1205" w:type="dxa"/>
          </w:tcPr>
          <w:p>
            <w:pPr>
              <w:pStyle w:val="TableParagraph"/>
              <w:jc w:val="left"/>
              <w:rPr>
                <w:rFonts w:ascii="Times New Roman"/>
                <w:sz w:val="20"/>
              </w:rPr>
            </w:pPr>
          </w:p>
        </w:tc>
        <w:tc>
          <w:tcPr>
            <w:tcW w:w="590" w:type="dxa"/>
          </w:tcPr>
          <w:p>
            <w:pPr>
              <w:pStyle w:val="TableParagraph"/>
              <w:jc w:val="left"/>
              <w:rPr>
                <w:rFonts w:ascii="Times New Roman"/>
                <w:sz w:val="20"/>
              </w:rPr>
            </w:pPr>
          </w:p>
        </w:tc>
      </w:tr>
      <w:tr>
        <w:trPr>
          <w:trHeight w:val="544" w:hRule="atLeast"/>
        </w:trPr>
        <w:tc>
          <w:tcPr>
            <w:tcW w:w="490" w:type="dxa"/>
            <w:vMerge/>
            <w:tcBorders>
              <w:top w:val="nil"/>
            </w:tcBorders>
          </w:tcPr>
          <w:p>
            <w:pPr>
              <w:rPr>
                <w:sz w:val="2"/>
                <w:szCs w:val="2"/>
              </w:rPr>
            </w:pPr>
          </w:p>
        </w:tc>
        <w:tc>
          <w:tcPr>
            <w:tcW w:w="471" w:type="dxa"/>
          </w:tcPr>
          <w:p>
            <w:pPr>
              <w:pStyle w:val="TableParagraph"/>
              <w:spacing w:before="151"/>
              <w:ind w:right="121"/>
              <w:jc w:val="right"/>
              <w:rPr>
                <w:rFonts w:ascii="Times New Roman"/>
                <w:sz w:val="21"/>
              </w:rPr>
            </w:pPr>
            <w:r>
              <w:rPr>
                <w:rFonts w:ascii="Times New Roman"/>
                <w:sz w:val="21"/>
              </w:rPr>
              <w:t>10</w:t>
            </w:r>
          </w:p>
        </w:tc>
        <w:tc>
          <w:tcPr>
            <w:tcW w:w="3608" w:type="dxa"/>
          </w:tcPr>
          <w:p>
            <w:pPr>
              <w:pStyle w:val="TableParagraph"/>
              <w:spacing w:before="1"/>
              <w:ind w:left="7"/>
              <w:rPr>
                <w:sz w:val="21"/>
              </w:rPr>
            </w:pPr>
            <w:r>
              <w:rPr>
                <w:sz w:val="21"/>
              </w:rPr>
              <w:t>用到易燃、易爆物料的反应釜上应设置</w:t>
            </w:r>
          </w:p>
          <w:p>
            <w:pPr>
              <w:pStyle w:val="TableParagraph"/>
              <w:spacing w:line="252" w:lineRule="exact" w:before="2"/>
              <w:ind w:left="4"/>
              <w:rPr>
                <w:sz w:val="21"/>
              </w:rPr>
            </w:pPr>
            <w:r>
              <w:rPr>
                <w:sz w:val="21"/>
              </w:rPr>
              <w:t>惰性气体保护</w:t>
            </w:r>
          </w:p>
        </w:tc>
        <w:tc>
          <w:tcPr>
            <w:tcW w:w="2765" w:type="dxa"/>
          </w:tcPr>
          <w:p>
            <w:pPr>
              <w:pStyle w:val="TableParagraph"/>
              <w:spacing w:before="138"/>
              <w:ind w:left="7" w:right="3"/>
              <w:rPr>
                <w:sz w:val="21"/>
              </w:rPr>
            </w:pPr>
            <w:r>
              <w:rPr>
                <w:sz w:val="21"/>
              </w:rPr>
              <w:t>本项目反应釜采用氮气保护</w:t>
            </w:r>
          </w:p>
        </w:tc>
        <w:tc>
          <w:tcPr>
            <w:tcW w:w="1205" w:type="dxa"/>
          </w:tcPr>
          <w:p>
            <w:pPr>
              <w:pStyle w:val="TableParagraph"/>
              <w:spacing w:before="138"/>
              <w:ind w:left="53" w:right="46"/>
              <w:rPr>
                <w:sz w:val="21"/>
              </w:rPr>
            </w:pPr>
            <w:r>
              <w:rPr>
                <w:sz w:val="21"/>
              </w:rPr>
              <w:t>反应釜</w:t>
            </w:r>
          </w:p>
        </w:tc>
        <w:tc>
          <w:tcPr>
            <w:tcW w:w="590" w:type="dxa"/>
          </w:tcPr>
          <w:p>
            <w:pPr>
              <w:pStyle w:val="TableParagraph"/>
              <w:spacing w:before="138"/>
              <w:ind w:left="60" w:right="52"/>
              <w:rPr>
                <w:sz w:val="21"/>
              </w:rPr>
            </w:pPr>
            <w:r>
              <w:rPr>
                <w:sz w:val="21"/>
              </w:rPr>
              <w:t>符合</w:t>
            </w:r>
          </w:p>
        </w:tc>
      </w:tr>
      <w:tr>
        <w:trPr>
          <w:trHeight w:val="815" w:hRule="atLeast"/>
        </w:trPr>
        <w:tc>
          <w:tcPr>
            <w:tcW w:w="490" w:type="dxa"/>
            <w:vMerge/>
            <w:tcBorders>
              <w:top w:val="nil"/>
            </w:tcBorders>
          </w:tcPr>
          <w:p>
            <w:pPr>
              <w:rPr>
                <w:sz w:val="2"/>
                <w:szCs w:val="2"/>
              </w:rPr>
            </w:pPr>
          </w:p>
        </w:tc>
        <w:tc>
          <w:tcPr>
            <w:tcW w:w="471" w:type="dxa"/>
          </w:tcPr>
          <w:p>
            <w:pPr>
              <w:pStyle w:val="TableParagraph"/>
              <w:spacing w:before="4"/>
              <w:jc w:val="left"/>
              <w:rPr>
                <w:b/>
                <w:sz w:val="22"/>
              </w:rPr>
            </w:pPr>
          </w:p>
          <w:p>
            <w:pPr>
              <w:pStyle w:val="TableParagraph"/>
              <w:ind w:right="130"/>
              <w:jc w:val="right"/>
              <w:rPr>
                <w:rFonts w:ascii="Times New Roman"/>
                <w:sz w:val="21"/>
              </w:rPr>
            </w:pPr>
            <w:r>
              <w:rPr>
                <w:rFonts w:ascii="Times New Roman"/>
                <w:sz w:val="21"/>
              </w:rPr>
              <w:t>11</w:t>
            </w:r>
          </w:p>
        </w:tc>
        <w:tc>
          <w:tcPr>
            <w:tcW w:w="3608" w:type="dxa"/>
          </w:tcPr>
          <w:p>
            <w:pPr>
              <w:pStyle w:val="TableParagraph"/>
              <w:spacing w:line="242" w:lineRule="auto" w:before="1"/>
              <w:ind w:left="25" w:right="15" w:hanging="3"/>
              <w:rPr>
                <w:sz w:val="21"/>
              </w:rPr>
            </w:pPr>
            <w:r>
              <w:rPr>
                <w:spacing w:val="-3"/>
                <w:sz w:val="21"/>
              </w:rPr>
              <w:t>生产过程中取样、物料转移等操作过 </w:t>
            </w:r>
            <w:r>
              <w:rPr>
                <w:spacing w:val="-7"/>
                <w:sz w:val="21"/>
              </w:rPr>
              <w:t>程，应采取相应的密闭和处理措施，减</w:t>
            </w:r>
          </w:p>
          <w:p>
            <w:pPr>
              <w:pStyle w:val="TableParagraph"/>
              <w:spacing w:line="250" w:lineRule="exact" w:before="1"/>
              <w:ind w:left="6"/>
              <w:rPr>
                <w:sz w:val="21"/>
              </w:rPr>
            </w:pPr>
            <w:r>
              <w:rPr>
                <w:sz w:val="21"/>
              </w:rPr>
              <w:t>少废气无组织排放</w:t>
            </w:r>
          </w:p>
        </w:tc>
        <w:tc>
          <w:tcPr>
            <w:tcW w:w="2765" w:type="dxa"/>
          </w:tcPr>
          <w:p>
            <w:pPr>
              <w:pStyle w:val="TableParagraph"/>
              <w:spacing w:line="242" w:lineRule="auto" w:before="1"/>
              <w:ind w:left="15" w:right="3"/>
              <w:rPr>
                <w:sz w:val="21"/>
              </w:rPr>
            </w:pPr>
            <w:r>
              <w:rPr>
                <w:sz w:val="21"/>
              </w:rPr>
              <w:t>取样采用专门取样口取样，物料转移密闭，减少废气无组织</w:t>
            </w:r>
          </w:p>
          <w:p>
            <w:pPr>
              <w:pStyle w:val="TableParagraph"/>
              <w:spacing w:line="250" w:lineRule="exact" w:before="1"/>
              <w:ind w:left="10" w:right="3"/>
              <w:rPr>
                <w:sz w:val="21"/>
              </w:rPr>
            </w:pPr>
            <w:r>
              <w:rPr>
                <w:sz w:val="21"/>
              </w:rPr>
              <w:t>排放</w:t>
            </w:r>
          </w:p>
        </w:tc>
        <w:tc>
          <w:tcPr>
            <w:tcW w:w="1205" w:type="dxa"/>
          </w:tcPr>
          <w:p>
            <w:pPr>
              <w:pStyle w:val="TableParagraph"/>
              <w:spacing w:before="4"/>
              <w:jc w:val="left"/>
              <w:rPr>
                <w:b/>
                <w:sz w:val="22"/>
              </w:rPr>
            </w:pPr>
          </w:p>
          <w:p>
            <w:pPr>
              <w:pStyle w:val="TableParagraph"/>
              <w:ind w:left="4"/>
              <w:rPr>
                <w:rFonts w:ascii="Times New Roman"/>
                <w:sz w:val="21"/>
              </w:rPr>
            </w:pPr>
            <w:r>
              <w:rPr>
                <w:rFonts w:ascii="Times New Roman"/>
                <w:w w:val="100"/>
                <w:sz w:val="21"/>
              </w:rPr>
              <w:t>/</w:t>
            </w:r>
          </w:p>
        </w:tc>
        <w:tc>
          <w:tcPr>
            <w:tcW w:w="590" w:type="dxa"/>
          </w:tcPr>
          <w:p>
            <w:pPr>
              <w:pStyle w:val="TableParagraph"/>
              <w:spacing w:before="3"/>
              <w:jc w:val="left"/>
              <w:rPr>
                <w:b/>
                <w:sz w:val="21"/>
              </w:rPr>
            </w:pPr>
          </w:p>
          <w:p>
            <w:pPr>
              <w:pStyle w:val="TableParagraph"/>
              <w:ind w:left="60" w:right="52"/>
              <w:rPr>
                <w:sz w:val="21"/>
              </w:rPr>
            </w:pPr>
            <w:r>
              <w:rPr>
                <w:sz w:val="21"/>
              </w:rPr>
              <w:t>符合</w:t>
            </w:r>
          </w:p>
        </w:tc>
      </w:tr>
      <w:tr>
        <w:trPr>
          <w:trHeight w:val="817" w:hRule="atLeast"/>
        </w:trPr>
        <w:tc>
          <w:tcPr>
            <w:tcW w:w="490" w:type="dxa"/>
            <w:vMerge w:val="restart"/>
          </w:tcPr>
          <w:p>
            <w:pPr>
              <w:pStyle w:val="TableParagraph"/>
              <w:jc w:val="left"/>
              <w:rPr>
                <w:b/>
                <w:sz w:val="20"/>
              </w:rPr>
            </w:pPr>
          </w:p>
          <w:p>
            <w:pPr>
              <w:pStyle w:val="TableParagraph"/>
              <w:jc w:val="left"/>
              <w:rPr>
                <w:b/>
                <w:sz w:val="20"/>
              </w:rPr>
            </w:pPr>
          </w:p>
          <w:p>
            <w:pPr>
              <w:pStyle w:val="TableParagraph"/>
              <w:spacing w:line="242" w:lineRule="auto" w:before="175"/>
              <w:ind w:left="33" w:right="22"/>
              <w:jc w:val="both"/>
              <w:rPr>
                <w:sz w:val="21"/>
              </w:rPr>
            </w:pPr>
            <w:r>
              <w:rPr>
                <w:sz w:val="21"/>
              </w:rPr>
              <w:t>固液分离单元</w:t>
            </w:r>
          </w:p>
        </w:tc>
        <w:tc>
          <w:tcPr>
            <w:tcW w:w="471" w:type="dxa"/>
          </w:tcPr>
          <w:p>
            <w:pPr>
              <w:pStyle w:val="TableParagraph"/>
              <w:spacing w:before="6"/>
              <w:jc w:val="left"/>
              <w:rPr>
                <w:b/>
                <w:sz w:val="22"/>
              </w:rPr>
            </w:pPr>
          </w:p>
          <w:p>
            <w:pPr>
              <w:pStyle w:val="TableParagraph"/>
              <w:ind w:right="121"/>
              <w:jc w:val="right"/>
              <w:rPr>
                <w:rFonts w:ascii="Times New Roman"/>
                <w:sz w:val="21"/>
              </w:rPr>
            </w:pPr>
            <w:r>
              <w:rPr>
                <w:rFonts w:ascii="Times New Roman"/>
                <w:sz w:val="21"/>
              </w:rPr>
              <w:t>12</w:t>
            </w:r>
          </w:p>
        </w:tc>
        <w:tc>
          <w:tcPr>
            <w:tcW w:w="3608" w:type="dxa"/>
          </w:tcPr>
          <w:p>
            <w:pPr>
              <w:pStyle w:val="TableParagraph"/>
              <w:spacing w:before="1"/>
              <w:ind w:left="25"/>
              <w:jc w:val="left"/>
              <w:rPr>
                <w:sz w:val="21"/>
              </w:rPr>
            </w:pPr>
            <w:r>
              <w:rPr>
                <w:sz w:val="21"/>
              </w:rPr>
              <w:t>固液分离宜采用密闭、自动化程度高等</w:t>
            </w:r>
          </w:p>
          <w:p>
            <w:pPr>
              <w:pStyle w:val="TableParagraph"/>
              <w:spacing w:line="270" w:lineRule="atLeast" w:before="3"/>
              <w:ind w:left="118" w:right="2" w:hanging="94"/>
              <w:jc w:val="left"/>
              <w:rPr>
                <w:sz w:val="21"/>
              </w:rPr>
            </w:pPr>
            <w:r>
              <w:rPr>
                <w:sz w:val="21"/>
              </w:rPr>
              <w:t>先进设备，不得采用敞口式离心机、明流式压滤机和非密闭抽滤等淘汰设备</w:t>
            </w:r>
          </w:p>
        </w:tc>
        <w:tc>
          <w:tcPr>
            <w:tcW w:w="2765" w:type="dxa"/>
          </w:tcPr>
          <w:p>
            <w:pPr>
              <w:pStyle w:val="TableParagraph"/>
              <w:spacing w:line="244" w:lineRule="auto" w:before="138"/>
              <w:ind w:left="1170" w:right="111" w:hanging="1052"/>
              <w:jc w:val="left"/>
              <w:rPr>
                <w:sz w:val="21"/>
              </w:rPr>
            </w:pPr>
            <w:r>
              <w:rPr>
                <w:sz w:val="21"/>
              </w:rPr>
              <w:t>固液分离采用全自动下料离心机</w:t>
            </w:r>
          </w:p>
        </w:tc>
        <w:tc>
          <w:tcPr>
            <w:tcW w:w="1205" w:type="dxa"/>
          </w:tcPr>
          <w:p>
            <w:pPr>
              <w:pStyle w:val="TableParagraph"/>
              <w:spacing w:line="244" w:lineRule="auto" w:before="138"/>
              <w:ind w:left="284" w:right="66" w:hanging="212"/>
              <w:jc w:val="left"/>
              <w:rPr>
                <w:sz w:val="21"/>
              </w:rPr>
            </w:pPr>
            <w:r>
              <w:rPr>
                <w:sz w:val="21"/>
              </w:rPr>
              <w:t>全自动下料离心机</w:t>
            </w:r>
          </w:p>
        </w:tc>
        <w:tc>
          <w:tcPr>
            <w:tcW w:w="590" w:type="dxa"/>
          </w:tcPr>
          <w:p>
            <w:pPr>
              <w:pStyle w:val="TableParagraph"/>
              <w:spacing w:before="5"/>
              <w:jc w:val="left"/>
              <w:rPr>
                <w:b/>
                <w:sz w:val="21"/>
              </w:rPr>
            </w:pPr>
          </w:p>
          <w:p>
            <w:pPr>
              <w:pStyle w:val="TableParagraph"/>
              <w:ind w:left="60" w:right="52"/>
              <w:rPr>
                <w:sz w:val="21"/>
              </w:rPr>
            </w:pPr>
            <w:r>
              <w:rPr>
                <w:sz w:val="21"/>
              </w:rPr>
              <w:t>符合</w:t>
            </w:r>
          </w:p>
        </w:tc>
      </w:tr>
      <w:tr>
        <w:trPr>
          <w:trHeight w:val="1360" w:hRule="atLeast"/>
        </w:trPr>
        <w:tc>
          <w:tcPr>
            <w:tcW w:w="490" w:type="dxa"/>
            <w:vMerge/>
            <w:tcBorders>
              <w:top w:val="nil"/>
            </w:tcBorders>
          </w:tcPr>
          <w:p>
            <w:pPr>
              <w:rPr>
                <w:sz w:val="2"/>
                <w:szCs w:val="2"/>
              </w:rPr>
            </w:pPr>
          </w:p>
        </w:tc>
        <w:tc>
          <w:tcPr>
            <w:tcW w:w="471" w:type="dxa"/>
          </w:tcPr>
          <w:p>
            <w:pPr>
              <w:pStyle w:val="TableParagraph"/>
              <w:jc w:val="left"/>
              <w:rPr>
                <w:b/>
                <w:sz w:val="22"/>
              </w:rPr>
            </w:pPr>
          </w:p>
          <w:p>
            <w:pPr>
              <w:pStyle w:val="TableParagraph"/>
              <w:spacing w:before="8"/>
              <w:jc w:val="left"/>
              <w:rPr>
                <w:b/>
                <w:sz w:val="21"/>
              </w:rPr>
            </w:pPr>
          </w:p>
          <w:p>
            <w:pPr>
              <w:pStyle w:val="TableParagraph"/>
              <w:spacing w:before="1"/>
              <w:ind w:right="121"/>
              <w:jc w:val="right"/>
              <w:rPr>
                <w:rFonts w:ascii="Times New Roman"/>
                <w:sz w:val="21"/>
              </w:rPr>
            </w:pPr>
            <w:r>
              <w:rPr>
                <w:rFonts w:ascii="Times New Roman"/>
                <w:sz w:val="21"/>
              </w:rPr>
              <w:t>13</w:t>
            </w:r>
          </w:p>
        </w:tc>
        <w:tc>
          <w:tcPr>
            <w:tcW w:w="3608" w:type="dxa"/>
          </w:tcPr>
          <w:p>
            <w:pPr>
              <w:pStyle w:val="TableParagraph"/>
              <w:spacing w:line="242" w:lineRule="auto" w:before="1"/>
              <w:ind w:left="25" w:right="15"/>
              <w:jc w:val="both"/>
              <w:rPr>
                <w:sz w:val="21"/>
              </w:rPr>
            </w:pPr>
            <w:r>
              <w:rPr>
                <w:spacing w:val="-6"/>
                <w:sz w:val="21"/>
              </w:rPr>
              <w:t>涉及到易燃、易爆、有毒物料应选用密闭式自动卸料离心机，采取惰性气体保护措施；确因工艺要求必须使用的，必</w:t>
            </w:r>
          </w:p>
          <w:p>
            <w:pPr>
              <w:pStyle w:val="TableParagraph"/>
              <w:spacing w:line="270" w:lineRule="atLeast" w:before="2"/>
              <w:ind w:left="25" w:right="15"/>
              <w:jc w:val="left"/>
              <w:rPr>
                <w:sz w:val="21"/>
              </w:rPr>
            </w:pPr>
            <w:r>
              <w:rPr>
                <w:spacing w:val="-6"/>
                <w:sz w:val="21"/>
              </w:rPr>
              <w:t>须对装置区域独立隔离，设局部强制通风设施，并设独立的尾气收集处理系统</w:t>
            </w:r>
          </w:p>
        </w:tc>
        <w:tc>
          <w:tcPr>
            <w:tcW w:w="2765" w:type="dxa"/>
          </w:tcPr>
          <w:p>
            <w:pPr>
              <w:pStyle w:val="TableParagraph"/>
              <w:spacing w:before="5"/>
              <w:jc w:val="left"/>
              <w:rPr>
                <w:b/>
                <w:sz w:val="21"/>
              </w:rPr>
            </w:pPr>
          </w:p>
          <w:p>
            <w:pPr>
              <w:pStyle w:val="TableParagraph"/>
              <w:spacing w:line="242" w:lineRule="auto"/>
              <w:ind w:left="15" w:right="3"/>
              <w:rPr>
                <w:sz w:val="21"/>
              </w:rPr>
            </w:pPr>
            <w:r>
              <w:rPr>
                <w:sz w:val="21"/>
              </w:rPr>
              <w:t>项目固液分离不涉及易燃、易爆及有毒物料，采用全自动下料离心机</w:t>
            </w:r>
          </w:p>
        </w:tc>
        <w:tc>
          <w:tcPr>
            <w:tcW w:w="1205" w:type="dxa"/>
          </w:tcPr>
          <w:p>
            <w:pPr>
              <w:pStyle w:val="TableParagraph"/>
              <w:jc w:val="left"/>
              <w:rPr>
                <w:b/>
                <w:sz w:val="20"/>
              </w:rPr>
            </w:pPr>
          </w:p>
          <w:p>
            <w:pPr>
              <w:pStyle w:val="TableParagraph"/>
              <w:spacing w:line="244" w:lineRule="auto" w:before="152"/>
              <w:ind w:left="284" w:right="66" w:hanging="212"/>
              <w:jc w:val="left"/>
              <w:rPr>
                <w:sz w:val="21"/>
              </w:rPr>
            </w:pPr>
            <w:r>
              <w:rPr>
                <w:sz w:val="21"/>
              </w:rPr>
              <w:t>全自动下料离心机</w:t>
            </w:r>
          </w:p>
        </w:tc>
        <w:tc>
          <w:tcPr>
            <w:tcW w:w="590" w:type="dxa"/>
          </w:tcPr>
          <w:p>
            <w:pPr>
              <w:pStyle w:val="TableParagraph"/>
              <w:jc w:val="left"/>
              <w:rPr>
                <w:b/>
                <w:sz w:val="20"/>
              </w:rPr>
            </w:pPr>
          </w:p>
          <w:p>
            <w:pPr>
              <w:pStyle w:val="TableParagraph"/>
              <w:spacing w:before="7"/>
              <w:jc w:val="left"/>
              <w:rPr>
                <w:b/>
                <w:sz w:val="22"/>
              </w:rPr>
            </w:pPr>
          </w:p>
          <w:p>
            <w:pPr>
              <w:pStyle w:val="TableParagraph"/>
              <w:ind w:left="60" w:right="52"/>
              <w:rPr>
                <w:sz w:val="21"/>
              </w:rPr>
            </w:pPr>
            <w:r>
              <w:rPr>
                <w:sz w:val="21"/>
              </w:rPr>
              <w:t>符合</w:t>
            </w:r>
          </w:p>
        </w:tc>
      </w:tr>
      <w:tr>
        <w:trPr>
          <w:trHeight w:val="817" w:hRule="atLeast"/>
        </w:trPr>
        <w:tc>
          <w:tcPr>
            <w:tcW w:w="490" w:type="dxa"/>
          </w:tcPr>
          <w:p>
            <w:pPr>
              <w:pStyle w:val="TableParagraph"/>
              <w:spacing w:line="244" w:lineRule="auto" w:before="137"/>
              <w:ind w:left="33" w:right="22"/>
              <w:jc w:val="left"/>
              <w:rPr>
                <w:sz w:val="21"/>
              </w:rPr>
            </w:pPr>
            <w:r>
              <w:rPr>
                <w:sz w:val="21"/>
              </w:rPr>
              <w:t>干燥单元</w:t>
            </w:r>
          </w:p>
        </w:tc>
        <w:tc>
          <w:tcPr>
            <w:tcW w:w="471" w:type="dxa"/>
          </w:tcPr>
          <w:p>
            <w:pPr>
              <w:pStyle w:val="TableParagraph"/>
              <w:spacing w:before="6"/>
              <w:jc w:val="left"/>
              <w:rPr>
                <w:b/>
                <w:sz w:val="22"/>
              </w:rPr>
            </w:pPr>
          </w:p>
          <w:p>
            <w:pPr>
              <w:pStyle w:val="TableParagraph"/>
              <w:ind w:right="121"/>
              <w:jc w:val="right"/>
              <w:rPr>
                <w:rFonts w:ascii="Times New Roman"/>
                <w:sz w:val="21"/>
              </w:rPr>
            </w:pPr>
            <w:r>
              <w:rPr>
                <w:rFonts w:ascii="Times New Roman"/>
                <w:sz w:val="21"/>
              </w:rPr>
              <w:t>14</w:t>
            </w:r>
          </w:p>
        </w:tc>
        <w:tc>
          <w:tcPr>
            <w:tcW w:w="3608" w:type="dxa"/>
          </w:tcPr>
          <w:p>
            <w:pPr>
              <w:pStyle w:val="TableParagraph"/>
              <w:spacing w:line="244" w:lineRule="auto" w:before="137"/>
              <w:ind w:left="25" w:right="1"/>
              <w:jc w:val="left"/>
              <w:rPr>
                <w:sz w:val="21"/>
              </w:rPr>
            </w:pPr>
            <w:r>
              <w:rPr>
                <w:sz w:val="21"/>
              </w:rPr>
              <w:t>物料的进料、出料、干燥及转移过程应采取相应的密闭措施，尾气须收集处理</w:t>
            </w:r>
          </w:p>
        </w:tc>
        <w:tc>
          <w:tcPr>
            <w:tcW w:w="2765" w:type="dxa"/>
          </w:tcPr>
          <w:p>
            <w:pPr>
              <w:pStyle w:val="TableParagraph"/>
              <w:spacing w:line="242" w:lineRule="auto" w:before="3"/>
              <w:ind w:left="27" w:right="-15" w:hanging="24"/>
              <w:rPr>
                <w:sz w:val="21"/>
              </w:rPr>
            </w:pPr>
            <w:r>
              <w:rPr>
                <w:sz w:val="21"/>
              </w:rPr>
              <w:t>项目物料进料、出料、干燥和转移过程采用管道密闭输送，</w:t>
            </w:r>
          </w:p>
          <w:p>
            <w:pPr>
              <w:pStyle w:val="TableParagraph"/>
              <w:spacing w:line="250" w:lineRule="exact" w:before="1"/>
              <w:ind w:left="10" w:right="3"/>
              <w:rPr>
                <w:sz w:val="21"/>
              </w:rPr>
            </w:pPr>
            <w:r>
              <w:rPr>
                <w:sz w:val="21"/>
              </w:rPr>
              <w:t>尾气经收集处理</w:t>
            </w:r>
          </w:p>
        </w:tc>
        <w:tc>
          <w:tcPr>
            <w:tcW w:w="1205" w:type="dxa"/>
          </w:tcPr>
          <w:p>
            <w:pPr>
              <w:pStyle w:val="TableParagraph"/>
              <w:spacing w:before="6"/>
              <w:jc w:val="left"/>
              <w:rPr>
                <w:b/>
                <w:sz w:val="22"/>
              </w:rPr>
            </w:pPr>
          </w:p>
          <w:p>
            <w:pPr>
              <w:pStyle w:val="TableParagraph"/>
              <w:ind w:left="4"/>
              <w:rPr>
                <w:rFonts w:ascii="Times New Roman"/>
                <w:sz w:val="21"/>
              </w:rPr>
            </w:pPr>
            <w:r>
              <w:rPr>
                <w:rFonts w:ascii="Times New Roman"/>
                <w:w w:val="100"/>
                <w:sz w:val="21"/>
              </w:rPr>
              <w:t>/</w:t>
            </w:r>
          </w:p>
        </w:tc>
        <w:tc>
          <w:tcPr>
            <w:tcW w:w="590" w:type="dxa"/>
          </w:tcPr>
          <w:p>
            <w:pPr>
              <w:pStyle w:val="TableParagraph"/>
              <w:spacing w:before="5"/>
              <w:jc w:val="left"/>
              <w:rPr>
                <w:b/>
                <w:sz w:val="21"/>
              </w:rPr>
            </w:pPr>
          </w:p>
          <w:p>
            <w:pPr>
              <w:pStyle w:val="TableParagraph"/>
              <w:ind w:left="60" w:right="52"/>
              <w:rPr>
                <w:sz w:val="21"/>
              </w:rPr>
            </w:pPr>
            <w:r>
              <w:rPr>
                <w:sz w:val="21"/>
              </w:rPr>
              <w:t>符合</w:t>
            </w:r>
          </w:p>
        </w:tc>
      </w:tr>
      <w:tr>
        <w:trPr>
          <w:trHeight w:val="544" w:hRule="atLeast"/>
        </w:trPr>
        <w:tc>
          <w:tcPr>
            <w:tcW w:w="490" w:type="dxa"/>
            <w:vMerge w:val="restart"/>
          </w:tcPr>
          <w:p>
            <w:pPr>
              <w:pStyle w:val="TableParagraph"/>
              <w:spacing w:line="242" w:lineRule="auto" w:before="142"/>
              <w:ind w:left="33" w:right="22"/>
              <w:jc w:val="both"/>
              <w:rPr>
                <w:sz w:val="21"/>
              </w:rPr>
            </w:pPr>
            <w:r>
              <w:rPr>
                <w:sz w:val="21"/>
              </w:rPr>
              <w:t>成品包装单元</w:t>
            </w:r>
          </w:p>
        </w:tc>
        <w:tc>
          <w:tcPr>
            <w:tcW w:w="471" w:type="dxa"/>
          </w:tcPr>
          <w:p>
            <w:pPr>
              <w:pStyle w:val="TableParagraph"/>
              <w:spacing w:before="151"/>
              <w:ind w:right="121"/>
              <w:jc w:val="right"/>
              <w:rPr>
                <w:rFonts w:ascii="Times New Roman"/>
                <w:sz w:val="21"/>
              </w:rPr>
            </w:pPr>
            <w:r>
              <w:rPr>
                <w:rFonts w:ascii="Times New Roman"/>
                <w:sz w:val="21"/>
              </w:rPr>
              <w:t>15</w:t>
            </w:r>
          </w:p>
        </w:tc>
        <w:tc>
          <w:tcPr>
            <w:tcW w:w="3608" w:type="dxa"/>
          </w:tcPr>
          <w:p>
            <w:pPr>
              <w:pStyle w:val="TableParagraph"/>
              <w:spacing w:before="1"/>
              <w:ind w:left="118"/>
              <w:jc w:val="left"/>
              <w:rPr>
                <w:sz w:val="21"/>
              </w:rPr>
            </w:pPr>
            <w:r>
              <w:rPr>
                <w:sz w:val="21"/>
              </w:rPr>
              <w:t>产生粉尘较大的固体物料包装区应设</w:t>
            </w:r>
          </w:p>
          <w:p>
            <w:pPr>
              <w:pStyle w:val="TableParagraph"/>
              <w:spacing w:line="250" w:lineRule="exact" w:before="4"/>
              <w:ind w:left="25"/>
              <w:jc w:val="left"/>
              <w:rPr>
                <w:sz w:val="21"/>
              </w:rPr>
            </w:pPr>
            <w:r>
              <w:rPr>
                <w:sz w:val="21"/>
              </w:rPr>
              <w:t>置强制通风设施，排风经除尘后再排放</w:t>
            </w:r>
          </w:p>
        </w:tc>
        <w:tc>
          <w:tcPr>
            <w:tcW w:w="2765" w:type="dxa"/>
          </w:tcPr>
          <w:p>
            <w:pPr>
              <w:pStyle w:val="TableParagraph"/>
              <w:spacing w:before="1"/>
              <w:ind w:left="8" w:right="3"/>
              <w:rPr>
                <w:sz w:val="21"/>
              </w:rPr>
            </w:pPr>
            <w:r>
              <w:rPr>
                <w:sz w:val="21"/>
              </w:rPr>
              <w:t>项目包装粉尘经收集除尘后</w:t>
            </w:r>
          </w:p>
          <w:p>
            <w:pPr>
              <w:pStyle w:val="TableParagraph"/>
              <w:spacing w:line="250" w:lineRule="exact" w:before="4"/>
              <w:ind w:left="10" w:right="3"/>
              <w:rPr>
                <w:sz w:val="21"/>
              </w:rPr>
            </w:pPr>
            <w:r>
              <w:rPr>
                <w:sz w:val="21"/>
              </w:rPr>
              <w:t>外排</w:t>
            </w:r>
          </w:p>
        </w:tc>
        <w:tc>
          <w:tcPr>
            <w:tcW w:w="1205" w:type="dxa"/>
          </w:tcPr>
          <w:p>
            <w:pPr>
              <w:pStyle w:val="TableParagraph"/>
              <w:spacing w:before="151"/>
              <w:ind w:left="4"/>
              <w:rPr>
                <w:rFonts w:ascii="Times New Roman"/>
                <w:sz w:val="21"/>
              </w:rPr>
            </w:pPr>
            <w:r>
              <w:rPr>
                <w:rFonts w:ascii="Times New Roman"/>
                <w:w w:val="100"/>
                <w:sz w:val="21"/>
              </w:rPr>
              <w:t>/</w:t>
            </w:r>
          </w:p>
        </w:tc>
        <w:tc>
          <w:tcPr>
            <w:tcW w:w="590" w:type="dxa"/>
          </w:tcPr>
          <w:p>
            <w:pPr>
              <w:pStyle w:val="TableParagraph"/>
              <w:spacing w:before="138"/>
              <w:ind w:left="60" w:right="52"/>
              <w:rPr>
                <w:sz w:val="21"/>
              </w:rPr>
            </w:pPr>
            <w:r>
              <w:rPr>
                <w:sz w:val="21"/>
              </w:rPr>
              <w:t>符合</w:t>
            </w:r>
          </w:p>
        </w:tc>
      </w:tr>
      <w:tr>
        <w:trPr>
          <w:trHeight w:val="544" w:hRule="atLeast"/>
        </w:trPr>
        <w:tc>
          <w:tcPr>
            <w:tcW w:w="490" w:type="dxa"/>
            <w:vMerge/>
            <w:tcBorders>
              <w:top w:val="nil"/>
            </w:tcBorders>
          </w:tcPr>
          <w:p>
            <w:pPr>
              <w:rPr>
                <w:sz w:val="2"/>
                <w:szCs w:val="2"/>
              </w:rPr>
            </w:pPr>
          </w:p>
        </w:tc>
        <w:tc>
          <w:tcPr>
            <w:tcW w:w="471" w:type="dxa"/>
          </w:tcPr>
          <w:p>
            <w:pPr>
              <w:pStyle w:val="TableParagraph"/>
              <w:spacing w:before="151"/>
              <w:ind w:right="121"/>
              <w:jc w:val="right"/>
              <w:rPr>
                <w:rFonts w:ascii="Times New Roman"/>
                <w:sz w:val="21"/>
              </w:rPr>
            </w:pPr>
            <w:r>
              <w:rPr>
                <w:rFonts w:ascii="Times New Roman"/>
                <w:sz w:val="21"/>
              </w:rPr>
              <w:t>16</w:t>
            </w:r>
          </w:p>
        </w:tc>
        <w:tc>
          <w:tcPr>
            <w:tcW w:w="3608" w:type="dxa"/>
          </w:tcPr>
          <w:p>
            <w:pPr>
              <w:pStyle w:val="TableParagraph"/>
              <w:spacing w:before="1"/>
              <w:ind w:left="6"/>
              <w:rPr>
                <w:sz w:val="21"/>
              </w:rPr>
            </w:pPr>
            <w:r>
              <w:rPr>
                <w:sz w:val="21"/>
              </w:rPr>
              <w:t>液体物料灌装，应采用相应的措施，减</w:t>
            </w:r>
          </w:p>
          <w:p>
            <w:pPr>
              <w:pStyle w:val="TableParagraph"/>
              <w:spacing w:line="250" w:lineRule="exact" w:before="4"/>
              <w:ind w:left="4"/>
              <w:rPr>
                <w:sz w:val="21"/>
              </w:rPr>
            </w:pPr>
            <w:r>
              <w:rPr>
                <w:sz w:val="21"/>
              </w:rPr>
              <w:t>少无组织排放</w:t>
            </w:r>
          </w:p>
        </w:tc>
        <w:tc>
          <w:tcPr>
            <w:tcW w:w="2765" w:type="dxa"/>
          </w:tcPr>
          <w:p>
            <w:pPr>
              <w:pStyle w:val="TableParagraph"/>
              <w:spacing w:before="138"/>
              <w:ind w:left="10" w:right="3"/>
              <w:rPr>
                <w:sz w:val="21"/>
              </w:rPr>
            </w:pPr>
            <w:r>
              <w:rPr>
                <w:sz w:val="21"/>
              </w:rPr>
              <w:t>项目不涉及液体物料罐装</w:t>
            </w:r>
          </w:p>
        </w:tc>
        <w:tc>
          <w:tcPr>
            <w:tcW w:w="1205" w:type="dxa"/>
          </w:tcPr>
          <w:p>
            <w:pPr>
              <w:pStyle w:val="TableParagraph"/>
              <w:spacing w:before="151"/>
              <w:ind w:left="4"/>
              <w:rPr>
                <w:rFonts w:ascii="Times New Roman"/>
                <w:sz w:val="21"/>
              </w:rPr>
            </w:pPr>
            <w:r>
              <w:rPr>
                <w:rFonts w:ascii="Times New Roman"/>
                <w:w w:val="100"/>
                <w:sz w:val="21"/>
              </w:rPr>
              <w:t>/</w:t>
            </w:r>
          </w:p>
        </w:tc>
        <w:tc>
          <w:tcPr>
            <w:tcW w:w="590" w:type="dxa"/>
          </w:tcPr>
          <w:p>
            <w:pPr>
              <w:pStyle w:val="TableParagraph"/>
              <w:spacing w:before="138"/>
              <w:ind w:left="60" w:right="52"/>
              <w:rPr>
                <w:sz w:val="21"/>
              </w:rPr>
            </w:pPr>
            <w:r>
              <w:rPr>
                <w:sz w:val="21"/>
              </w:rPr>
              <w:t>符合</w:t>
            </w:r>
          </w:p>
        </w:tc>
      </w:tr>
      <w:tr>
        <w:trPr>
          <w:trHeight w:val="1089" w:hRule="atLeast"/>
        </w:trPr>
        <w:tc>
          <w:tcPr>
            <w:tcW w:w="490"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40"/>
              <w:ind w:left="33"/>
              <w:jc w:val="left"/>
              <w:rPr>
                <w:sz w:val="21"/>
              </w:rPr>
            </w:pPr>
            <w:r>
              <w:rPr>
                <w:sz w:val="21"/>
              </w:rPr>
              <w:t>综合</w:t>
            </w:r>
          </w:p>
        </w:tc>
        <w:tc>
          <w:tcPr>
            <w:tcW w:w="471" w:type="dxa"/>
          </w:tcPr>
          <w:p>
            <w:pPr>
              <w:pStyle w:val="TableParagraph"/>
              <w:jc w:val="left"/>
              <w:rPr>
                <w:b/>
                <w:sz w:val="22"/>
              </w:rPr>
            </w:pPr>
          </w:p>
          <w:p>
            <w:pPr>
              <w:pStyle w:val="TableParagraph"/>
              <w:spacing w:before="143"/>
              <w:ind w:right="121"/>
              <w:jc w:val="right"/>
              <w:rPr>
                <w:rFonts w:ascii="Times New Roman"/>
                <w:sz w:val="21"/>
              </w:rPr>
            </w:pPr>
            <w:r>
              <w:rPr>
                <w:rFonts w:ascii="Times New Roman"/>
                <w:sz w:val="21"/>
              </w:rPr>
              <w:t>17</w:t>
            </w:r>
          </w:p>
        </w:tc>
        <w:tc>
          <w:tcPr>
            <w:tcW w:w="3608" w:type="dxa"/>
          </w:tcPr>
          <w:p>
            <w:pPr>
              <w:pStyle w:val="TableParagraph"/>
              <w:spacing w:line="242" w:lineRule="auto" w:before="1"/>
              <w:ind w:left="25" w:right="13" w:hanging="5"/>
              <w:rPr>
                <w:sz w:val="21"/>
              </w:rPr>
            </w:pPr>
            <w:r>
              <w:rPr>
                <w:spacing w:val="-3"/>
                <w:sz w:val="21"/>
              </w:rPr>
              <w:t>各单元工艺设备宜选用较高集成度和 </w:t>
            </w:r>
            <w:r>
              <w:rPr>
                <w:spacing w:val="-6"/>
                <w:sz w:val="21"/>
              </w:rPr>
              <w:t>自动化水平的工艺技术装备，消除生产</w:t>
            </w:r>
            <w:r>
              <w:rPr>
                <w:spacing w:val="-5"/>
                <w:sz w:val="21"/>
              </w:rPr>
              <w:t>过程可能存在的污染源，减少无组织废</w:t>
            </w:r>
          </w:p>
          <w:p>
            <w:pPr>
              <w:pStyle w:val="TableParagraph"/>
              <w:spacing w:line="250" w:lineRule="exact" w:before="3"/>
              <w:ind w:left="4"/>
              <w:rPr>
                <w:sz w:val="21"/>
              </w:rPr>
            </w:pPr>
            <w:r>
              <w:rPr>
                <w:sz w:val="21"/>
              </w:rPr>
              <w:t>气排放</w:t>
            </w:r>
          </w:p>
        </w:tc>
        <w:tc>
          <w:tcPr>
            <w:tcW w:w="2765" w:type="dxa"/>
          </w:tcPr>
          <w:p>
            <w:pPr>
              <w:pStyle w:val="TableParagraph"/>
              <w:spacing w:line="242" w:lineRule="auto" w:before="138"/>
              <w:ind w:left="27" w:right="15" w:hanging="5"/>
              <w:rPr>
                <w:sz w:val="21"/>
              </w:rPr>
            </w:pPr>
            <w:r>
              <w:rPr>
                <w:spacing w:val="-3"/>
                <w:sz w:val="21"/>
              </w:rPr>
              <w:t>各单位工艺设备自动化水平 </w:t>
            </w:r>
            <w:r>
              <w:rPr>
                <w:spacing w:val="-8"/>
                <w:sz w:val="21"/>
              </w:rPr>
              <w:t>较高，项目物料均采用密闭输</w:t>
            </w:r>
            <w:r>
              <w:rPr>
                <w:spacing w:val="-3"/>
                <w:sz w:val="21"/>
              </w:rPr>
              <w:t>送，无组织废气排放量较少</w:t>
            </w:r>
          </w:p>
        </w:tc>
        <w:tc>
          <w:tcPr>
            <w:tcW w:w="1205" w:type="dxa"/>
          </w:tcPr>
          <w:p>
            <w:pPr>
              <w:pStyle w:val="TableParagraph"/>
              <w:jc w:val="left"/>
              <w:rPr>
                <w:b/>
                <w:sz w:val="22"/>
              </w:rPr>
            </w:pPr>
          </w:p>
          <w:p>
            <w:pPr>
              <w:pStyle w:val="TableParagraph"/>
              <w:spacing w:before="143"/>
              <w:ind w:left="4"/>
              <w:rPr>
                <w:rFonts w:ascii="Times New Roman"/>
                <w:sz w:val="21"/>
              </w:rPr>
            </w:pPr>
            <w:r>
              <w:rPr>
                <w:rFonts w:ascii="Times New Roman"/>
                <w:w w:val="100"/>
                <w:sz w:val="21"/>
              </w:rPr>
              <w:t>/</w:t>
            </w:r>
          </w:p>
        </w:tc>
        <w:tc>
          <w:tcPr>
            <w:tcW w:w="590" w:type="dxa"/>
          </w:tcPr>
          <w:p>
            <w:pPr>
              <w:pStyle w:val="TableParagraph"/>
              <w:jc w:val="left"/>
              <w:rPr>
                <w:b/>
                <w:sz w:val="20"/>
              </w:rPr>
            </w:pPr>
          </w:p>
          <w:p>
            <w:pPr>
              <w:pStyle w:val="TableParagraph"/>
              <w:spacing w:before="155"/>
              <w:ind w:left="60" w:right="52"/>
              <w:rPr>
                <w:sz w:val="21"/>
              </w:rPr>
            </w:pPr>
            <w:r>
              <w:rPr>
                <w:sz w:val="21"/>
              </w:rPr>
              <w:t>符合</w:t>
            </w:r>
          </w:p>
        </w:tc>
      </w:tr>
      <w:tr>
        <w:trPr>
          <w:trHeight w:val="544" w:hRule="atLeast"/>
        </w:trPr>
        <w:tc>
          <w:tcPr>
            <w:tcW w:w="490" w:type="dxa"/>
            <w:vMerge/>
            <w:tcBorders>
              <w:top w:val="nil"/>
            </w:tcBorders>
          </w:tcPr>
          <w:p>
            <w:pPr>
              <w:rPr>
                <w:sz w:val="2"/>
                <w:szCs w:val="2"/>
              </w:rPr>
            </w:pPr>
          </w:p>
        </w:tc>
        <w:tc>
          <w:tcPr>
            <w:tcW w:w="471" w:type="dxa"/>
          </w:tcPr>
          <w:p>
            <w:pPr>
              <w:pStyle w:val="TableParagraph"/>
              <w:spacing w:before="151"/>
              <w:ind w:right="121"/>
              <w:jc w:val="right"/>
              <w:rPr>
                <w:rFonts w:ascii="Times New Roman"/>
                <w:sz w:val="21"/>
              </w:rPr>
            </w:pPr>
            <w:r>
              <w:rPr>
                <w:rFonts w:ascii="Times New Roman"/>
                <w:sz w:val="21"/>
              </w:rPr>
              <w:t>18</w:t>
            </w:r>
          </w:p>
        </w:tc>
        <w:tc>
          <w:tcPr>
            <w:tcW w:w="3608" w:type="dxa"/>
          </w:tcPr>
          <w:p>
            <w:pPr>
              <w:pStyle w:val="TableParagraph"/>
              <w:spacing w:line="270" w:lineRule="atLeast" w:before="2"/>
              <w:ind w:left="387" w:right="2" w:hanging="363"/>
              <w:jc w:val="left"/>
              <w:rPr>
                <w:sz w:val="21"/>
              </w:rPr>
            </w:pPr>
            <w:r>
              <w:rPr>
                <w:sz w:val="21"/>
              </w:rPr>
              <w:t>车间设计采用立体布局，尽量利用重力转移物料，运行 </w:t>
            </w:r>
            <w:r>
              <w:rPr>
                <w:rFonts w:ascii="Times New Roman" w:eastAsia="Times New Roman"/>
                <w:sz w:val="21"/>
              </w:rPr>
              <w:t>DCS </w:t>
            </w:r>
            <w:r>
              <w:rPr>
                <w:sz w:val="21"/>
              </w:rPr>
              <w:t>管理系统</w:t>
            </w:r>
          </w:p>
        </w:tc>
        <w:tc>
          <w:tcPr>
            <w:tcW w:w="2765" w:type="dxa"/>
          </w:tcPr>
          <w:p>
            <w:pPr>
              <w:pStyle w:val="TableParagraph"/>
              <w:spacing w:before="138"/>
              <w:ind w:left="12" w:right="3"/>
              <w:rPr>
                <w:sz w:val="21"/>
              </w:rPr>
            </w:pPr>
            <w:r>
              <w:rPr>
                <w:sz w:val="21"/>
              </w:rPr>
              <w:t>本项目运行 </w:t>
            </w:r>
            <w:r>
              <w:rPr>
                <w:rFonts w:ascii="Times New Roman" w:eastAsia="Times New Roman"/>
                <w:sz w:val="21"/>
              </w:rPr>
              <w:t>DCS </w:t>
            </w:r>
            <w:r>
              <w:rPr>
                <w:sz w:val="21"/>
              </w:rPr>
              <w:t>管理系统</w:t>
            </w:r>
          </w:p>
        </w:tc>
        <w:tc>
          <w:tcPr>
            <w:tcW w:w="1205" w:type="dxa"/>
          </w:tcPr>
          <w:p>
            <w:pPr>
              <w:pStyle w:val="TableParagraph"/>
              <w:spacing w:before="151"/>
              <w:ind w:left="4"/>
              <w:rPr>
                <w:rFonts w:ascii="Times New Roman"/>
                <w:sz w:val="21"/>
              </w:rPr>
            </w:pPr>
            <w:r>
              <w:rPr>
                <w:rFonts w:ascii="Times New Roman"/>
                <w:w w:val="100"/>
                <w:sz w:val="21"/>
              </w:rPr>
              <w:t>/</w:t>
            </w:r>
          </w:p>
        </w:tc>
        <w:tc>
          <w:tcPr>
            <w:tcW w:w="590" w:type="dxa"/>
          </w:tcPr>
          <w:p>
            <w:pPr>
              <w:pStyle w:val="TableParagraph"/>
              <w:spacing w:before="138"/>
              <w:ind w:left="60" w:right="52"/>
              <w:rPr>
                <w:sz w:val="21"/>
              </w:rPr>
            </w:pPr>
            <w:r>
              <w:rPr>
                <w:sz w:val="21"/>
              </w:rPr>
              <w:t>符合</w:t>
            </w:r>
          </w:p>
        </w:tc>
      </w:tr>
      <w:tr>
        <w:trPr>
          <w:trHeight w:val="2997" w:hRule="atLeast"/>
        </w:trPr>
        <w:tc>
          <w:tcPr>
            <w:tcW w:w="490" w:type="dxa"/>
            <w:vMerge/>
            <w:tcBorders>
              <w:top w:val="nil"/>
            </w:tcBorders>
          </w:tcPr>
          <w:p>
            <w:pPr>
              <w:rPr>
                <w:sz w:val="2"/>
                <w:szCs w:val="2"/>
              </w:rPr>
            </w:pPr>
          </w:p>
        </w:tc>
        <w:tc>
          <w:tcPr>
            <w:tcW w:w="471" w:type="dxa"/>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7"/>
              <w:jc w:val="left"/>
              <w:rPr>
                <w:b/>
                <w:sz w:val="19"/>
              </w:rPr>
            </w:pPr>
          </w:p>
          <w:p>
            <w:pPr>
              <w:pStyle w:val="TableParagraph"/>
              <w:ind w:right="121"/>
              <w:jc w:val="right"/>
              <w:rPr>
                <w:rFonts w:ascii="Times New Roman"/>
                <w:sz w:val="21"/>
              </w:rPr>
            </w:pPr>
            <w:r>
              <w:rPr>
                <w:rFonts w:ascii="Times New Roman"/>
                <w:sz w:val="21"/>
              </w:rPr>
              <w:t>19</w:t>
            </w:r>
          </w:p>
        </w:tc>
        <w:tc>
          <w:tcPr>
            <w:tcW w:w="3608" w:type="dxa"/>
          </w:tcPr>
          <w:p>
            <w:pPr>
              <w:pStyle w:val="TableParagraph"/>
              <w:spacing w:line="242" w:lineRule="auto" w:before="3"/>
              <w:ind w:left="25" w:right="-15"/>
              <w:rPr>
                <w:sz w:val="21"/>
              </w:rPr>
            </w:pPr>
            <w:r>
              <w:rPr>
                <w:spacing w:val="-3"/>
                <w:sz w:val="21"/>
              </w:rPr>
              <w:t>污水输送实行管道化，管道满足防腐、防渗漏要求</w:t>
            </w:r>
            <w:r>
              <w:rPr>
                <w:spacing w:val="-20"/>
                <w:w w:val="185"/>
                <w:sz w:val="21"/>
              </w:rPr>
              <w:t>。</w:t>
            </w:r>
            <w:r>
              <w:rPr>
                <w:spacing w:val="-3"/>
                <w:sz w:val="21"/>
              </w:rPr>
              <w:t>每个车间设置一个废水</w:t>
            </w:r>
            <w:r>
              <w:rPr>
                <w:spacing w:val="-193"/>
                <w:sz w:val="21"/>
              </w:rPr>
              <w:t>收</w:t>
            </w:r>
            <w:r>
              <w:rPr>
                <w:spacing w:val="-5"/>
                <w:sz w:val="21"/>
              </w:rPr>
              <w:t>集池，污水收集池落实防腐设施，车间收集池安装水位自动控制设备，废水输</w:t>
            </w:r>
            <w:r>
              <w:rPr>
                <w:spacing w:val="-6"/>
                <w:sz w:val="21"/>
              </w:rPr>
              <w:t>送采用明渠明管或明管高架方式，输送</w:t>
            </w:r>
            <w:r>
              <w:rPr>
                <w:spacing w:val="-4"/>
                <w:sz w:val="21"/>
              </w:rPr>
              <w:t>管道标准统一颜色及流向</w:t>
            </w:r>
            <w:r>
              <w:rPr>
                <w:spacing w:val="-17"/>
                <w:w w:val="185"/>
                <w:sz w:val="21"/>
              </w:rPr>
              <w:t>。</w:t>
            </w:r>
            <w:r>
              <w:rPr>
                <w:spacing w:val="-3"/>
                <w:sz w:val="21"/>
              </w:rPr>
              <w:t>污水站处</w:t>
            </w:r>
            <w:r>
              <w:rPr>
                <w:spacing w:val="-196"/>
                <w:sz w:val="21"/>
              </w:rPr>
              <w:t>理</w:t>
            </w:r>
            <w:r>
              <w:rPr>
                <w:spacing w:val="-3"/>
                <w:sz w:val="21"/>
              </w:rPr>
              <w:t>单体与单体之间的废水输送采用明管 </w:t>
            </w:r>
            <w:r>
              <w:rPr>
                <w:spacing w:val="-6"/>
                <w:sz w:val="21"/>
              </w:rPr>
              <w:t>和固定管，并标注统一颜色及流向，不</w:t>
            </w:r>
            <w:r>
              <w:rPr>
                <w:spacing w:val="-4"/>
                <w:sz w:val="21"/>
              </w:rPr>
              <w:t>得设置临时管</w:t>
            </w:r>
            <w:r>
              <w:rPr>
                <w:spacing w:val="-17"/>
                <w:w w:val="185"/>
                <w:sz w:val="21"/>
              </w:rPr>
              <w:t>。</w:t>
            </w:r>
            <w:r>
              <w:rPr>
                <w:spacing w:val="-3"/>
                <w:sz w:val="21"/>
              </w:rPr>
              <w:t>废水处理设置出口与</w:t>
            </w:r>
            <w:r>
              <w:rPr>
                <w:spacing w:val="-193"/>
                <w:sz w:val="21"/>
              </w:rPr>
              <w:t>厂</w:t>
            </w:r>
            <w:r>
              <w:rPr>
                <w:spacing w:val="-3"/>
                <w:sz w:val="21"/>
              </w:rPr>
              <w:t>总排口应密封相接，不得有分管或支</w:t>
            </w:r>
          </w:p>
          <w:p>
            <w:pPr>
              <w:pStyle w:val="TableParagraph"/>
              <w:spacing w:line="252" w:lineRule="exact" w:before="4"/>
              <w:ind w:left="5"/>
              <w:rPr>
                <w:sz w:val="21"/>
              </w:rPr>
            </w:pPr>
            <w:r>
              <w:rPr>
                <w:w w:val="135"/>
                <w:sz w:val="21"/>
              </w:rPr>
              <w:t>管。</w:t>
            </w:r>
          </w:p>
        </w:tc>
        <w:tc>
          <w:tcPr>
            <w:tcW w:w="2765" w:type="dxa"/>
          </w:tcPr>
          <w:p>
            <w:pPr>
              <w:pStyle w:val="TableParagraph"/>
              <w:jc w:val="left"/>
              <w:rPr>
                <w:b/>
                <w:sz w:val="20"/>
              </w:rPr>
            </w:pPr>
          </w:p>
          <w:p>
            <w:pPr>
              <w:pStyle w:val="TableParagraph"/>
              <w:jc w:val="left"/>
              <w:rPr>
                <w:b/>
                <w:sz w:val="20"/>
              </w:rPr>
            </w:pPr>
          </w:p>
          <w:p>
            <w:pPr>
              <w:pStyle w:val="TableParagraph"/>
              <w:spacing w:line="242" w:lineRule="auto" w:before="170"/>
              <w:ind w:left="27" w:right="-15" w:hanging="25"/>
              <w:rPr>
                <w:sz w:val="21"/>
              </w:rPr>
            </w:pPr>
            <w:r>
              <w:rPr>
                <w:spacing w:val="-6"/>
                <w:sz w:val="21"/>
              </w:rPr>
              <w:t>污水输送实现管道化、管道满</w:t>
            </w:r>
            <w:r>
              <w:rPr>
                <w:spacing w:val="-7"/>
                <w:sz w:val="21"/>
              </w:rPr>
              <w:t>足防腐、防渗漏要求，车间设</w:t>
            </w:r>
            <w:r>
              <w:rPr>
                <w:spacing w:val="-5"/>
                <w:sz w:val="21"/>
              </w:rPr>
              <w:t>废水收集池，并做好防腐设 </w:t>
            </w:r>
            <w:r>
              <w:rPr>
                <w:spacing w:val="-4"/>
                <w:sz w:val="21"/>
              </w:rPr>
              <w:t>施，废水输送采用明管明渠， </w:t>
            </w:r>
            <w:r>
              <w:rPr>
                <w:spacing w:val="-3"/>
                <w:sz w:val="21"/>
              </w:rPr>
              <w:t>污水站处理单体与单体之间 采用明管和固定管</w:t>
            </w:r>
          </w:p>
        </w:tc>
        <w:tc>
          <w:tcPr>
            <w:tcW w:w="1205" w:type="dxa"/>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7"/>
              <w:jc w:val="left"/>
              <w:rPr>
                <w:b/>
                <w:sz w:val="19"/>
              </w:rPr>
            </w:pPr>
          </w:p>
          <w:p>
            <w:pPr>
              <w:pStyle w:val="TableParagraph"/>
              <w:ind w:left="4"/>
              <w:rPr>
                <w:rFonts w:ascii="Times New Roman"/>
                <w:sz w:val="21"/>
              </w:rPr>
            </w:pPr>
            <w:r>
              <w:rPr>
                <w:rFonts w:ascii="Times New Roman"/>
                <w:w w:val="100"/>
                <w:sz w:val="21"/>
              </w:rPr>
              <w:t>/</w:t>
            </w:r>
          </w:p>
        </w:tc>
        <w:tc>
          <w:tcPr>
            <w:tcW w:w="590"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6"/>
              <w:jc w:val="left"/>
              <w:rPr>
                <w:b/>
                <w:sz w:val="26"/>
              </w:rPr>
            </w:pPr>
          </w:p>
          <w:p>
            <w:pPr>
              <w:pStyle w:val="TableParagraph"/>
              <w:ind w:left="60" w:right="52"/>
              <w:rPr>
                <w:sz w:val="21"/>
              </w:rPr>
            </w:pPr>
            <w:r>
              <w:rPr>
                <w:sz w:val="21"/>
              </w:rPr>
              <w:t>符合</w:t>
            </w:r>
          </w:p>
        </w:tc>
      </w:tr>
    </w:tbl>
    <w:p>
      <w:pPr>
        <w:pStyle w:val="BodyText"/>
        <w:spacing w:before="2"/>
        <w:ind w:left="698"/>
      </w:pPr>
      <w:r>
        <w:rPr/>
        <w:t>根据分析，本项目采用的工艺和设备符合标准化建设的要求。</w:t>
      </w:r>
    </w:p>
    <w:p>
      <w:pPr>
        <w:pStyle w:val="Heading4"/>
        <w:numPr>
          <w:ilvl w:val="2"/>
          <w:numId w:val="23"/>
        </w:numPr>
        <w:tabs>
          <w:tab w:pos="820" w:val="left" w:leader="none"/>
        </w:tabs>
        <w:spacing w:line="240" w:lineRule="auto" w:before="161" w:after="0"/>
        <w:ind w:left="819" w:right="0" w:hanging="602"/>
        <w:jc w:val="left"/>
      </w:pPr>
      <w:r>
        <w:rPr>
          <w:spacing w:val="-4"/>
        </w:rPr>
        <w:t>《上虞区化工产业生态环境改造提升 </w:t>
      </w:r>
      <w:r>
        <w:rPr>
          <w:rFonts w:ascii="Times New Roman" w:eastAsia="Times New Roman"/>
        </w:rPr>
        <w:t>2.0 </w:t>
      </w:r>
      <w:r>
        <w:rPr/>
        <w:t>版》标准符合性分析</w:t>
      </w:r>
    </w:p>
    <w:p>
      <w:pPr>
        <w:pStyle w:val="BodyText"/>
        <w:spacing w:line="364" w:lineRule="auto" w:before="159"/>
        <w:ind w:left="218" w:right="178" w:firstLine="480"/>
      </w:pPr>
      <w:r>
        <w:rPr/>
        <w:t>对照《上虞区化工产业生态环境改造提升 </w:t>
      </w:r>
      <w:r>
        <w:rPr>
          <w:rFonts w:ascii="Times New Roman" w:eastAsia="Times New Roman"/>
        </w:rPr>
        <w:t>2.0 </w:t>
      </w:r>
      <w:r>
        <w:rPr/>
        <w:t>版》，现有企业已完成提升改造，现有企业及本项目符合性分析见下表。</w:t>
      </w:r>
    </w:p>
    <w:p>
      <w:pPr>
        <w:spacing w:after="0" w:line="364" w:lineRule="auto"/>
        <w:sectPr>
          <w:pgSz w:w="11910" w:h="16840"/>
          <w:pgMar w:header="872" w:footer="873" w:top="1320" w:bottom="1060" w:left="1200" w:right="1180"/>
        </w:sectPr>
      </w:pPr>
    </w:p>
    <w:p>
      <w:pPr>
        <w:pStyle w:val="BodyText"/>
      </w:pPr>
    </w:p>
    <w:p>
      <w:pPr>
        <w:pStyle w:val="Heading4"/>
        <w:tabs>
          <w:tab w:pos="1341" w:val="left" w:leader="none"/>
        </w:tabs>
        <w:spacing w:before="74" w:after="29"/>
        <w:ind w:left="0" w:right="17"/>
        <w:jc w:val="center"/>
      </w:pPr>
      <w:r>
        <w:rPr/>
        <w:t>表</w:t>
      </w:r>
      <w:r>
        <w:rPr>
          <w:spacing w:val="-60"/>
        </w:rPr>
        <w:t> </w:t>
      </w:r>
      <w:r>
        <w:rPr>
          <w:rFonts w:ascii="Times New Roman" w:eastAsia="Times New Roman"/>
        </w:rPr>
        <w:t>10.3.3-1</w:t>
        <w:tab/>
        <w:t>2.0 </w:t>
      </w:r>
      <w:r>
        <w:rPr/>
        <w:t>改造提升实施情况分析</w:t>
      </w: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720"/>
        <w:gridCol w:w="5369"/>
        <w:gridCol w:w="4111"/>
        <w:gridCol w:w="2513"/>
        <w:gridCol w:w="602"/>
      </w:tblGrid>
      <w:tr>
        <w:trPr>
          <w:trHeight w:val="232" w:hRule="atLeast"/>
        </w:trPr>
        <w:tc>
          <w:tcPr>
            <w:tcW w:w="744" w:type="dxa"/>
          </w:tcPr>
          <w:p>
            <w:pPr>
              <w:pStyle w:val="TableParagraph"/>
              <w:spacing w:line="212" w:lineRule="exact"/>
              <w:ind w:left="191"/>
              <w:jc w:val="left"/>
              <w:rPr>
                <w:b/>
                <w:sz w:val="18"/>
              </w:rPr>
            </w:pPr>
            <w:r>
              <w:rPr>
                <w:b/>
                <w:sz w:val="18"/>
              </w:rPr>
              <w:t>类别</w:t>
            </w:r>
          </w:p>
        </w:tc>
        <w:tc>
          <w:tcPr>
            <w:tcW w:w="720" w:type="dxa"/>
          </w:tcPr>
          <w:p>
            <w:pPr>
              <w:pStyle w:val="TableParagraph"/>
              <w:spacing w:line="212" w:lineRule="exact"/>
              <w:ind w:left="161" w:right="146"/>
              <w:rPr>
                <w:b/>
                <w:sz w:val="18"/>
              </w:rPr>
            </w:pPr>
            <w:r>
              <w:rPr>
                <w:b/>
                <w:sz w:val="18"/>
              </w:rPr>
              <w:t>序号</w:t>
            </w:r>
          </w:p>
        </w:tc>
        <w:tc>
          <w:tcPr>
            <w:tcW w:w="5369" w:type="dxa"/>
          </w:tcPr>
          <w:p>
            <w:pPr>
              <w:pStyle w:val="TableParagraph"/>
              <w:spacing w:line="212" w:lineRule="exact"/>
              <w:ind w:left="23" w:right="16"/>
              <w:rPr>
                <w:b/>
                <w:sz w:val="18"/>
              </w:rPr>
            </w:pPr>
            <w:r>
              <w:rPr>
                <w:b/>
                <w:sz w:val="18"/>
              </w:rPr>
              <w:t>内容及要求</w:t>
            </w:r>
          </w:p>
        </w:tc>
        <w:tc>
          <w:tcPr>
            <w:tcW w:w="4111" w:type="dxa"/>
          </w:tcPr>
          <w:p>
            <w:pPr>
              <w:pStyle w:val="TableParagraph"/>
              <w:spacing w:line="212" w:lineRule="exact"/>
              <w:ind w:left="9" w:right="3"/>
              <w:rPr>
                <w:b/>
                <w:sz w:val="18"/>
              </w:rPr>
            </w:pPr>
            <w:r>
              <w:rPr>
                <w:b/>
                <w:sz w:val="18"/>
              </w:rPr>
              <w:t>现有企业提升改造情况</w:t>
            </w:r>
          </w:p>
        </w:tc>
        <w:tc>
          <w:tcPr>
            <w:tcW w:w="2513" w:type="dxa"/>
          </w:tcPr>
          <w:p>
            <w:pPr>
              <w:pStyle w:val="TableParagraph"/>
              <w:spacing w:line="212" w:lineRule="exact"/>
              <w:ind w:left="22" w:right="15"/>
              <w:rPr>
                <w:b/>
                <w:sz w:val="18"/>
              </w:rPr>
            </w:pPr>
            <w:r>
              <w:rPr>
                <w:b/>
                <w:sz w:val="18"/>
              </w:rPr>
              <w:t>本项目采纳情况</w:t>
            </w:r>
          </w:p>
        </w:tc>
        <w:tc>
          <w:tcPr>
            <w:tcW w:w="602" w:type="dxa"/>
          </w:tcPr>
          <w:p>
            <w:pPr>
              <w:pStyle w:val="TableParagraph"/>
              <w:spacing w:line="212" w:lineRule="exact"/>
              <w:ind w:left="100" w:right="89"/>
              <w:rPr>
                <w:b/>
                <w:sz w:val="18"/>
              </w:rPr>
            </w:pPr>
            <w:r>
              <w:rPr>
                <w:b/>
                <w:sz w:val="18"/>
              </w:rPr>
              <w:t>备注</w:t>
            </w:r>
          </w:p>
        </w:tc>
      </w:tr>
      <w:tr>
        <w:trPr>
          <w:trHeight w:val="3036" w:hRule="atLeast"/>
        </w:trPr>
        <w:tc>
          <w:tcPr>
            <w:tcW w:w="744"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line="242" w:lineRule="auto" w:before="154"/>
              <w:ind w:left="283" w:right="90" w:hanging="180"/>
              <w:jc w:val="left"/>
              <w:rPr>
                <w:sz w:val="18"/>
              </w:rPr>
            </w:pPr>
            <w:r>
              <w:rPr>
                <w:sz w:val="18"/>
              </w:rPr>
              <w:t>基础管理</w:t>
            </w:r>
          </w:p>
        </w:tc>
        <w:tc>
          <w:tcPr>
            <w:tcW w:w="720"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34"/>
              <w:ind w:left="9"/>
              <w:rPr>
                <w:rFonts w:ascii="Times New Roman"/>
                <w:sz w:val="18"/>
              </w:rPr>
            </w:pPr>
            <w:r>
              <w:rPr>
                <w:rFonts w:ascii="Times New Roman"/>
                <w:sz w:val="18"/>
              </w:rPr>
              <w:t>1</w:t>
            </w:r>
          </w:p>
        </w:tc>
        <w:tc>
          <w:tcPr>
            <w:tcW w:w="5369" w:type="dxa"/>
          </w:tcPr>
          <w:p>
            <w:pPr>
              <w:pStyle w:val="TableParagraph"/>
              <w:jc w:val="left"/>
              <w:rPr>
                <w:b/>
                <w:sz w:val="20"/>
              </w:rPr>
            </w:pPr>
          </w:p>
          <w:p>
            <w:pPr>
              <w:pStyle w:val="TableParagraph"/>
              <w:spacing w:before="8"/>
              <w:jc w:val="left"/>
              <w:rPr>
                <w:b/>
                <w:sz w:val="25"/>
              </w:rPr>
            </w:pPr>
          </w:p>
          <w:p>
            <w:pPr>
              <w:pStyle w:val="TableParagraph"/>
              <w:spacing w:line="242" w:lineRule="auto" w:before="1"/>
              <w:ind w:left="29" w:right="14" w:hanging="93"/>
              <w:rPr>
                <w:sz w:val="18"/>
              </w:rPr>
            </w:pPr>
            <w:r>
              <w:rPr>
                <w:sz w:val="18"/>
              </w:rPr>
              <w:t>建立专业的环境管理机构，包括环境保护管理部门、监测分析部门 处理设施运行部门及突发环境事故应急处置队伍</w:t>
            </w:r>
            <w:r>
              <w:rPr>
                <w:spacing w:val="-89"/>
                <w:w w:val="180"/>
                <w:sz w:val="18"/>
              </w:rPr>
              <w:t>。</w:t>
            </w:r>
            <w:r>
              <w:rPr>
                <w:spacing w:val="-3"/>
                <w:sz w:val="18"/>
              </w:rPr>
              <w:t>制定环境保护管 </w:t>
            </w:r>
            <w:r>
              <w:rPr>
                <w:spacing w:val="-17"/>
                <w:sz w:val="18"/>
              </w:rPr>
              <w:t>理制度，包括环保设施运行管理制度、环境保护值班巡查制度、环保 </w:t>
            </w:r>
            <w:r>
              <w:rPr>
                <w:spacing w:val="-16"/>
                <w:sz w:val="18"/>
              </w:rPr>
              <w:t>事故应急预案制度、环保设备的维护保养制度，特别是环保处理设施停运和检修报告制度</w:t>
            </w:r>
            <w:r>
              <w:rPr>
                <w:spacing w:val="-89"/>
                <w:w w:val="180"/>
                <w:sz w:val="18"/>
              </w:rPr>
              <w:t>。</w:t>
            </w:r>
            <w:r>
              <w:rPr>
                <w:sz w:val="18"/>
              </w:rPr>
              <w:t>制定污染防治设施和突发环境事故的隐患排</w:t>
            </w:r>
            <w:r>
              <w:rPr>
                <w:spacing w:val="-58"/>
                <w:sz w:val="18"/>
              </w:rPr>
              <w:t>查制度</w:t>
            </w:r>
            <w:r>
              <w:rPr>
                <w:spacing w:val="-29"/>
                <w:w w:val="180"/>
                <w:sz w:val="18"/>
              </w:rPr>
              <w:t>。</w:t>
            </w:r>
            <w:r>
              <w:rPr>
                <w:spacing w:val="-5"/>
                <w:sz w:val="18"/>
              </w:rPr>
              <w:t>建立完备的环境保护管理台帐，包括自行监测台帐、环保  设施</w:t>
            </w:r>
            <w:r>
              <w:rPr>
                <w:spacing w:val="-16"/>
                <w:sz w:val="18"/>
              </w:rPr>
              <w:t>运行台帐、药剂使用消耗台帐、危险废物处置台帐</w:t>
            </w:r>
            <w:r>
              <w:rPr>
                <w:spacing w:val="-22"/>
                <w:w w:val="180"/>
                <w:sz w:val="18"/>
              </w:rPr>
              <w:t>。</w:t>
            </w:r>
            <w:r>
              <w:rPr>
                <w:sz w:val="18"/>
              </w:rPr>
              <w:t>企业项目  </w:t>
            </w:r>
            <w:r>
              <w:rPr>
                <w:spacing w:val="-8"/>
                <w:sz w:val="18"/>
              </w:rPr>
              <w:t>审批、</w:t>
            </w:r>
            <w:r>
              <w:rPr>
                <w:spacing w:val="-15"/>
                <w:sz w:val="18"/>
              </w:rPr>
              <w:t>验收、整治、核查、排污许可等</w:t>
            </w:r>
            <w:r>
              <w:rPr>
                <w:rFonts w:ascii="Times New Roman" w:hAnsi="Times New Roman" w:eastAsia="Times New Roman"/>
                <w:sz w:val="18"/>
              </w:rPr>
              <w:t>“</w:t>
            </w:r>
            <w:r>
              <w:rPr>
                <w:sz w:val="18"/>
              </w:rPr>
              <w:t>一厂一册</w:t>
            </w:r>
            <w:r>
              <w:rPr>
                <w:rFonts w:ascii="Times New Roman" w:hAnsi="Times New Roman" w:eastAsia="Times New Roman"/>
                <w:sz w:val="18"/>
              </w:rPr>
              <w:t>”</w:t>
            </w:r>
            <w:r>
              <w:rPr>
                <w:sz w:val="18"/>
              </w:rPr>
              <w:t>档案资料齐全。</w:t>
            </w:r>
          </w:p>
        </w:tc>
        <w:tc>
          <w:tcPr>
            <w:tcW w:w="4111" w:type="dxa"/>
          </w:tcPr>
          <w:p>
            <w:pPr>
              <w:pStyle w:val="TableParagraph"/>
              <w:numPr>
                <w:ilvl w:val="0"/>
                <w:numId w:val="63"/>
              </w:numPr>
              <w:tabs>
                <w:tab w:pos="165" w:val="left" w:leader="none"/>
              </w:tabs>
              <w:spacing w:line="240" w:lineRule="auto" w:before="0" w:after="0"/>
              <w:ind w:left="164" w:right="0" w:hanging="138"/>
              <w:jc w:val="left"/>
              <w:rPr>
                <w:sz w:val="18"/>
              </w:rPr>
            </w:pPr>
            <w:r>
              <w:rPr>
                <w:spacing w:val="-4"/>
                <w:sz w:val="18"/>
              </w:rPr>
              <w:t>企业已建立专业的环境管理机构，包括环境保护管</w:t>
            </w:r>
          </w:p>
          <w:p>
            <w:pPr>
              <w:pStyle w:val="TableParagraph"/>
              <w:spacing w:line="230" w:lineRule="atLeast" w:before="4"/>
              <w:ind w:left="27" w:right="16"/>
              <w:jc w:val="left"/>
              <w:rPr>
                <w:sz w:val="18"/>
              </w:rPr>
            </w:pPr>
            <w:r>
              <w:rPr>
                <w:spacing w:val="-12"/>
                <w:sz w:val="18"/>
              </w:rPr>
              <w:t>理部门、监测分析部门、处理设施运行部门及突发环</w:t>
            </w:r>
            <w:r>
              <w:rPr>
                <w:sz w:val="18"/>
              </w:rPr>
              <w:t>境事故应急处置队伍。</w:t>
            </w:r>
          </w:p>
          <w:p>
            <w:pPr>
              <w:pStyle w:val="TableParagraph"/>
              <w:spacing w:line="62" w:lineRule="exact"/>
              <w:ind w:left="-120"/>
              <w:jc w:val="left"/>
              <w:rPr>
                <w:sz w:val="18"/>
              </w:rPr>
            </w:pPr>
            <w:r>
              <w:rPr>
                <w:sz w:val="18"/>
              </w:rPr>
              <w:t>、</w:t>
            </w:r>
          </w:p>
          <w:p>
            <w:pPr>
              <w:pStyle w:val="TableParagraph"/>
              <w:numPr>
                <w:ilvl w:val="0"/>
                <w:numId w:val="63"/>
              </w:numPr>
              <w:tabs>
                <w:tab w:pos="165" w:val="left" w:leader="none"/>
              </w:tabs>
              <w:spacing w:line="173" w:lineRule="exact" w:before="0" w:after="0"/>
              <w:ind w:left="164" w:right="0" w:hanging="138"/>
              <w:jc w:val="left"/>
              <w:rPr>
                <w:sz w:val="18"/>
              </w:rPr>
            </w:pPr>
            <w:r>
              <w:rPr>
                <w:spacing w:val="-4"/>
                <w:sz w:val="18"/>
              </w:rPr>
              <w:t>企业已制定环保设施运行管理制度、环保事故应急</w:t>
            </w:r>
          </w:p>
          <w:p>
            <w:pPr>
              <w:pStyle w:val="TableParagraph"/>
              <w:spacing w:line="242" w:lineRule="auto" w:before="2"/>
              <w:ind w:left="27" w:right="16"/>
              <w:jc w:val="both"/>
              <w:rPr>
                <w:sz w:val="18"/>
              </w:rPr>
            </w:pPr>
            <w:r>
              <w:rPr>
                <w:spacing w:val="-11"/>
                <w:sz w:val="18"/>
              </w:rPr>
              <w:t>预案制度、环保设备的维修保养制度，整改完成后制</w:t>
            </w:r>
            <w:r>
              <w:rPr>
                <w:spacing w:val="-9"/>
                <w:sz w:val="18"/>
              </w:rPr>
              <w:t>定环境保护值班巡查制度、环保处理设施停运和检修</w:t>
            </w:r>
            <w:r>
              <w:rPr>
                <w:spacing w:val="-11"/>
                <w:sz w:val="18"/>
              </w:rPr>
              <w:t>报告制度、污染防治设施和突发环境事故的隐患排查</w:t>
            </w:r>
            <w:r>
              <w:rPr>
                <w:sz w:val="18"/>
              </w:rPr>
              <w:t>制度。</w:t>
            </w:r>
          </w:p>
          <w:p>
            <w:pPr>
              <w:pStyle w:val="TableParagraph"/>
              <w:numPr>
                <w:ilvl w:val="0"/>
                <w:numId w:val="63"/>
              </w:numPr>
              <w:tabs>
                <w:tab w:pos="165" w:val="left" w:leader="none"/>
              </w:tabs>
              <w:spacing w:line="242" w:lineRule="auto" w:before="5" w:after="0"/>
              <w:ind w:left="27" w:right="15" w:firstLine="0"/>
              <w:jc w:val="left"/>
              <w:rPr>
                <w:sz w:val="18"/>
              </w:rPr>
            </w:pPr>
            <w:r>
              <w:rPr>
                <w:spacing w:val="-5"/>
                <w:sz w:val="18"/>
              </w:rPr>
              <w:t>己建立环境保护管理台帐，包括废气、废水和噪声</w:t>
            </w:r>
            <w:r>
              <w:rPr>
                <w:sz w:val="18"/>
              </w:rPr>
              <w:t>自行或委托检测台账、废气和废水环保设施运行台帐、污水站药剂使用消耗台帐、危险废物处置台帐</w:t>
            </w:r>
            <w:r>
              <w:rPr>
                <w:rFonts w:ascii="Times New Roman" w:hAnsi="Times New Roman" w:eastAsia="Times New Roman"/>
                <w:sz w:val="18"/>
              </w:rPr>
              <w:t>4.</w:t>
            </w:r>
            <w:r>
              <w:rPr>
                <w:spacing w:val="-17"/>
                <w:sz w:val="18"/>
              </w:rPr>
              <w:t>企业项目审批、验收、整治、核查、排污许可等“一</w:t>
            </w:r>
          </w:p>
          <w:p>
            <w:pPr>
              <w:pStyle w:val="TableParagraph"/>
              <w:spacing w:line="213" w:lineRule="exact" w:before="2"/>
              <w:ind w:left="27"/>
              <w:jc w:val="left"/>
              <w:rPr>
                <w:sz w:val="18"/>
              </w:rPr>
            </w:pPr>
            <w:r>
              <w:rPr>
                <w:w w:val="105"/>
                <w:sz w:val="18"/>
              </w:rPr>
              <w:t>厂一册”档案资料齐全。</w:t>
            </w:r>
          </w:p>
        </w:tc>
        <w:tc>
          <w:tcPr>
            <w:tcW w:w="2513" w:type="dxa"/>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4"/>
              <w:jc w:val="left"/>
              <w:rPr>
                <w:b/>
                <w:sz w:val="19"/>
              </w:rPr>
            </w:pPr>
          </w:p>
          <w:p>
            <w:pPr>
              <w:pStyle w:val="TableParagraph"/>
              <w:spacing w:before="1"/>
              <w:ind w:left="625"/>
              <w:jc w:val="left"/>
              <w:rPr>
                <w:sz w:val="18"/>
              </w:rPr>
            </w:pPr>
            <w:r>
              <w:rPr>
                <w:sz w:val="18"/>
              </w:rPr>
              <w:t>与现有企业一致</w:t>
            </w:r>
          </w:p>
          <w:p>
            <w:pPr>
              <w:pStyle w:val="TableParagraph"/>
              <w:jc w:val="left"/>
              <w:rPr>
                <w:b/>
                <w:sz w:val="18"/>
              </w:rPr>
            </w:pPr>
          </w:p>
          <w:p>
            <w:pPr>
              <w:pStyle w:val="TableParagraph"/>
              <w:jc w:val="left"/>
              <w:rPr>
                <w:b/>
                <w:sz w:val="18"/>
              </w:rPr>
            </w:pPr>
          </w:p>
          <w:p>
            <w:pPr>
              <w:pStyle w:val="TableParagraph"/>
              <w:spacing w:before="11"/>
              <w:jc w:val="left"/>
              <w:rPr>
                <w:b/>
                <w:sz w:val="18"/>
              </w:rPr>
            </w:pPr>
          </w:p>
          <w:p>
            <w:pPr>
              <w:pStyle w:val="TableParagraph"/>
              <w:ind w:left="-124"/>
              <w:jc w:val="left"/>
              <w:rPr>
                <w:sz w:val="18"/>
              </w:rPr>
            </w:pPr>
            <w:r>
              <w:rPr>
                <w:w w:val="200"/>
                <w:sz w:val="18"/>
              </w:rPr>
              <w:t>。</w:t>
            </w:r>
          </w:p>
        </w:tc>
        <w:tc>
          <w:tcPr>
            <w:tcW w:w="602" w:type="dxa"/>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4"/>
              <w:jc w:val="left"/>
              <w:rPr>
                <w:b/>
                <w:sz w:val="19"/>
              </w:rPr>
            </w:pPr>
          </w:p>
          <w:p>
            <w:pPr>
              <w:pStyle w:val="TableParagraph"/>
              <w:spacing w:before="1"/>
              <w:ind w:left="100" w:right="89"/>
              <w:rPr>
                <w:sz w:val="18"/>
              </w:rPr>
            </w:pPr>
            <w:r>
              <w:rPr>
                <w:sz w:val="18"/>
              </w:rPr>
              <w:t>符合</w:t>
            </w:r>
          </w:p>
        </w:tc>
      </w:tr>
      <w:tr>
        <w:trPr>
          <w:trHeight w:val="2800" w:hRule="atLeast"/>
        </w:trPr>
        <w:tc>
          <w:tcPr>
            <w:tcW w:w="744" w:type="dxa"/>
            <w:vMerge/>
            <w:tcBorders>
              <w:top w:val="nil"/>
            </w:tcBorders>
          </w:tcPr>
          <w:p>
            <w:pPr>
              <w:rPr>
                <w:sz w:val="2"/>
                <w:szCs w:val="2"/>
              </w:rPr>
            </w:pPr>
          </w:p>
        </w:tc>
        <w:tc>
          <w:tcPr>
            <w:tcW w:w="720"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4"/>
              <w:jc w:val="left"/>
              <w:rPr>
                <w:b/>
                <w:sz w:val="21"/>
              </w:rPr>
            </w:pPr>
          </w:p>
          <w:p>
            <w:pPr>
              <w:pStyle w:val="TableParagraph"/>
              <w:ind w:left="9"/>
              <w:rPr>
                <w:rFonts w:ascii="Times New Roman"/>
                <w:sz w:val="18"/>
              </w:rPr>
            </w:pPr>
            <w:r>
              <w:rPr>
                <w:rFonts w:ascii="Times New Roman"/>
                <w:sz w:val="18"/>
              </w:rPr>
              <w:t>2</w:t>
            </w:r>
          </w:p>
        </w:tc>
        <w:tc>
          <w:tcPr>
            <w:tcW w:w="5369" w:type="dxa"/>
          </w:tcPr>
          <w:p>
            <w:pPr>
              <w:pStyle w:val="TableParagraph"/>
              <w:jc w:val="left"/>
              <w:rPr>
                <w:b/>
                <w:sz w:val="18"/>
              </w:rPr>
            </w:pPr>
          </w:p>
          <w:p>
            <w:pPr>
              <w:pStyle w:val="TableParagraph"/>
              <w:jc w:val="left"/>
              <w:rPr>
                <w:b/>
                <w:sz w:val="18"/>
              </w:rPr>
            </w:pPr>
          </w:p>
          <w:p>
            <w:pPr>
              <w:pStyle w:val="TableParagraph"/>
              <w:spacing w:line="242" w:lineRule="auto" w:before="121"/>
              <w:ind w:left="29" w:right="14" w:hanging="2"/>
              <w:rPr>
                <w:sz w:val="18"/>
              </w:rPr>
            </w:pPr>
            <w:r>
              <w:rPr>
                <w:spacing w:val="-7"/>
                <w:sz w:val="18"/>
              </w:rPr>
              <w:t>按规定开展污染物自行监测，应具备基本污染物指标监测能力，鼓励</w:t>
            </w:r>
            <w:r>
              <w:rPr>
                <w:spacing w:val="-3"/>
                <w:sz w:val="18"/>
              </w:rPr>
              <w:t>具备主要特征污染物指标监测能力，满足内部环保管理需求</w:t>
            </w:r>
            <w:r>
              <w:rPr>
                <w:spacing w:val="-44"/>
                <w:w w:val="180"/>
                <w:sz w:val="18"/>
              </w:rPr>
              <w:t>。</w:t>
            </w:r>
            <w:r>
              <w:rPr>
                <w:spacing w:val="-7"/>
                <w:sz w:val="18"/>
              </w:rPr>
              <w:t>根据 </w:t>
            </w:r>
            <w:r>
              <w:rPr>
                <w:spacing w:val="-18"/>
                <w:sz w:val="18"/>
              </w:rPr>
              <w:t>自行监测方案，委托具备资质的监测单位定期开展监测，并按规定公开自行监测方案和监测情况</w:t>
            </w:r>
            <w:r>
              <w:rPr>
                <w:spacing w:val="-22"/>
                <w:w w:val="180"/>
                <w:sz w:val="18"/>
              </w:rPr>
              <w:t>。</w:t>
            </w:r>
            <w:r>
              <w:rPr>
                <w:spacing w:val="-9"/>
                <w:sz w:val="18"/>
              </w:rPr>
              <w:t>及时制定、更新、完善污染物收集、</w:t>
            </w:r>
            <w:r>
              <w:rPr>
                <w:spacing w:val="-16"/>
                <w:sz w:val="18"/>
              </w:rPr>
              <w:t>处理操作规程及配套环保设施工艺流程图，并按规定上墙公开</w:t>
            </w:r>
            <w:r>
              <w:rPr>
                <w:spacing w:val="-46"/>
                <w:w w:val="180"/>
                <w:sz w:val="18"/>
              </w:rPr>
              <w:t>。</w:t>
            </w:r>
            <w:r>
              <w:rPr>
                <w:sz w:val="18"/>
              </w:rPr>
              <w:t>委托</w:t>
            </w:r>
            <w:r>
              <w:rPr>
                <w:spacing w:val="-16"/>
                <w:sz w:val="18"/>
              </w:rPr>
              <w:t>有资质单位编制废水、废气治理方案，并经有关专家评审</w:t>
            </w:r>
            <w:r>
              <w:rPr>
                <w:spacing w:val="-29"/>
                <w:w w:val="180"/>
                <w:sz w:val="18"/>
              </w:rPr>
              <w:t>。</w:t>
            </w:r>
            <w:r>
              <w:rPr>
                <w:spacing w:val="-2"/>
                <w:sz w:val="18"/>
              </w:rPr>
              <w:t>签订相关</w:t>
            </w:r>
            <w:r>
              <w:rPr>
                <w:spacing w:val="-14"/>
                <w:sz w:val="18"/>
              </w:rPr>
              <w:t>废水纳管、固废处置等三废委托处置合同。同时，合同应及时更新</w:t>
            </w:r>
          </w:p>
        </w:tc>
        <w:tc>
          <w:tcPr>
            <w:tcW w:w="4111" w:type="dxa"/>
          </w:tcPr>
          <w:p>
            <w:pPr>
              <w:pStyle w:val="TableParagraph"/>
              <w:numPr>
                <w:ilvl w:val="0"/>
                <w:numId w:val="64"/>
              </w:numPr>
              <w:tabs>
                <w:tab w:pos="165" w:val="left" w:leader="none"/>
              </w:tabs>
              <w:spacing w:line="242" w:lineRule="auto" w:before="0" w:after="0"/>
              <w:ind w:left="27" w:right="-29" w:firstLine="0"/>
              <w:jc w:val="both"/>
              <w:rPr>
                <w:sz w:val="18"/>
              </w:rPr>
            </w:pPr>
            <w:r>
              <w:rPr>
                <w:spacing w:val="-1"/>
                <w:sz w:val="18"/>
              </w:rPr>
              <w:t>企业污水处理站排放口安装有废水在线监控装置， </w:t>
            </w:r>
            <w:r>
              <w:rPr>
                <w:spacing w:val="-7"/>
                <w:sz w:val="18"/>
              </w:rPr>
              <w:t>企业化验室具有废水日常监测能力，监测因子主要包</w:t>
            </w:r>
            <w:r>
              <w:rPr>
                <w:spacing w:val="-7"/>
                <w:w w:val="110"/>
                <w:sz w:val="18"/>
              </w:rPr>
              <w:t>括</w:t>
            </w:r>
            <w:r>
              <w:rPr>
                <w:rFonts w:ascii="Times New Roman" w:eastAsia="Times New Roman"/>
                <w:spacing w:val="-6"/>
                <w:w w:val="110"/>
                <w:sz w:val="18"/>
              </w:rPr>
              <w:t>: </w:t>
            </w:r>
            <w:r>
              <w:rPr>
                <w:rFonts w:ascii="Times New Roman" w:eastAsia="Times New Roman"/>
                <w:w w:val="110"/>
                <w:sz w:val="18"/>
              </w:rPr>
              <w:t>COD</w:t>
            </w:r>
            <w:r>
              <w:rPr>
                <w:rFonts w:ascii="Times New Roman" w:eastAsia="Times New Roman"/>
                <w:spacing w:val="-4"/>
                <w:w w:val="110"/>
                <w:sz w:val="18"/>
              </w:rPr>
              <w:t> </w:t>
            </w:r>
            <w:r>
              <w:rPr>
                <w:w w:val="110"/>
                <w:sz w:val="18"/>
              </w:rPr>
              <w:t>等。</w:t>
            </w:r>
          </w:p>
          <w:p>
            <w:pPr>
              <w:pStyle w:val="TableParagraph"/>
              <w:numPr>
                <w:ilvl w:val="0"/>
                <w:numId w:val="64"/>
              </w:numPr>
              <w:tabs>
                <w:tab w:pos="165" w:val="left" w:leader="none"/>
              </w:tabs>
              <w:spacing w:line="242" w:lineRule="auto" w:before="2" w:after="0"/>
              <w:ind w:left="27" w:right="15" w:firstLine="0"/>
              <w:jc w:val="left"/>
              <w:rPr>
                <w:sz w:val="18"/>
              </w:rPr>
            </w:pPr>
            <w:r>
              <w:rPr>
                <w:spacing w:val="-6"/>
                <w:sz w:val="18"/>
              </w:rPr>
              <w:t>己根据自行监测方案，定期委托具备资质的监测单</w:t>
            </w:r>
            <w:r>
              <w:rPr>
                <w:sz w:val="18"/>
              </w:rPr>
              <w:t>位开展监测，并按规定公开自行监测方案和监测情</w:t>
            </w:r>
            <w:r>
              <w:rPr>
                <w:w w:val="115"/>
                <w:sz w:val="18"/>
              </w:rPr>
              <w:t>况。</w:t>
            </w:r>
          </w:p>
          <w:p>
            <w:pPr>
              <w:pStyle w:val="TableParagraph"/>
              <w:numPr>
                <w:ilvl w:val="0"/>
                <w:numId w:val="64"/>
              </w:numPr>
              <w:tabs>
                <w:tab w:pos="165" w:val="left" w:leader="none"/>
              </w:tabs>
              <w:spacing w:line="242" w:lineRule="auto" w:before="2" w:after="0"/>
              <w:ind w:left="27" w:right="18" w:firstLine="0"/>
              <w:jc w:val="left"/>
              <w:rPr>
                <w:sz w:val="18"/>
              </w:rPr>
            </w:pPr>
            <w:r>
              <w:rPr>
                <w:spacing w:val="-8"/>
                <w:sz w:val="18"/>
              </w:rPr>
              <w:t>己制定、更新、完善污染物收集、处理操作规程及</w:t>
            </w:r>
            <w:r>
              <w:rPr>
                <w:sz w:val="18"/>
              </w:rPr>
              <w:t>配套环保设施工艺流程图，并按规定上墙公开。</w:t>
            </w:r>
          </w:p>
          <w:p>
            <w:pPr>
              <w:pStyle w:val="TableParagraph"/>
              <w:numPr>
                <w:ilvl w:val="0"/>
                <w:numId w:val="64"/>
              </w:numPr>
              <w:tabs>
                <w:tab w:pos="165" w:val="left" w:leader="none"/>
              </w:tabs>
              <w:spacing w:line="242" w:lineRule="auto" w:before="0" w:after="0"/>
              <w:ind w:left="27" w:right="-29" w:firstLine="0"/>
              <w:jc w:val="left"/>
              <w:rPr>
                <w:sz w:val="18"/>
              </w:rPr>
            </w:pPr>
            <w:r>
              <w:rPr>
                <w:spacing w:val="-1"/>
                <w:sz w:val="18"/>
              </w:rPr>
              <w:t>企业委托有资质单位编制了废水、废气治理方案， 并经有关专家评审。</w:t>
            </w:r>
          </w:p>
          <w:p>
            <w:pPr>
              <w:pStyle w:val="TableParagraph"/>
              <w:numPr>
                <w:ilvl w:val="0"/>
                <w:numId w:val="64"/>
              </w:numPr>
              <w:tabs>
                <w:tab w:pos="165" w:val="left" w:leader="none"/>
              </w:tabs>
              <w:spacing w:line="230" w:lineRule="atLeast" w:before="2" w:after="0"/>
              <w:ind w:left="27" w:right="15" w:firstLine="0"/>
              <w:jc w:val="left"/>
              <w:rPr>
                <w:sz w:val="18"/>
              </w:rPr>
            </w:pPr>
            <w:r>
              <w:rPr>
                <w:spacing w:val="-6"/>
                <w:sz w:val="18"/>
              </w:rPr>
              <w:t>已签订相关废水纳管、固废处置等三废委托处置合</w:t>
            </w:r>
            <w:r>
              <w:rPr>
                <w:sz w:val="18"/>
              </w:rPr>
              <w:t>同，并及时更新合同。</w:t>
            </w:r>
          </w:p>
        </w:tc>
        <w:tc>
          <w:tcPr>
            <w:tcW w:w="2513" w:type="dxa"/>
          </w:tcPr>
          <w:p>
            <w:pPr>
              <w:pStyle w:val="TableParagraph"/>
              <w:jc w:val="left"/>
              <w:rPr>
                <w:b/>
                <w:sz w:val="18"/>
              </w:rPr>
            </w:pPr>
          </w:p>
          <w:p>
            <w:pPr>
              <w:pStyle w:val="TableParagraph"/>
              <w:spacing w:before="6"/>
              <w:jc w:val="left"/>
              <w:rPr>
                <w:b/>
                <w:sz w:val="18"/>
              </w:rPr>
            </w:pPr>
          </w:p>
          <w:p>
            <w:pPr>
              <w:pStyle w:val="TableParagraph"/>
              <w:spacing w:line="242" w:lineRule="auto"/>
              <w:ind w:left="27" w:right="-58" w:hanging="65"/>
              <w:rPr>
                <w:sz w:val="18"/>
              </w:rPr>
            </w:pPr>
            <w:r>
              <w:rPr>
                <w:sz w:val="18"/>
              </w:rPr>
              <w:t>投产后企业拟委托有资质单位 </w:t>
            </w:r>
            <w:r>
              <w:rPr>
                <w:spacing w:val="-8"/>
                <w:sz w:val="18"/>
              </w:rPr>
              <w:t>编制废水、废气治理方案并将工艺等上墙；拟签订相关废水纳 </w:t>
            </w:r>
            <w:r>
              <w:rPr>
                <w:spacing w:val="-9"/>
                <w:sz w:val="18"/>
              </w:rPr>
              <w:t>管、固废处置等三废委托处置合同；拟更新自行监测方案并委托监测；本项目新征用地（东区） 污水处理站排放口拟新增废水 在线监控装置</w:t>
            </w:r>
          </w:p>
        </w:tc>
        <w:tc>
          <w:tcPr>
            <w:tcW w:w="602" w:type="dxa"/>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131"/>
              <w:ind w:left="100" w:right="89"/>
              <w:rPr>
                <w:sz w:val="18"/>
              </w:rPr>
            </w:pPr>
            <w:r>
              <w:rPr>
                <w:sz w:val="18"/>
              </w:rPr>
              <w:t>符合</w:t>
            </w:r>
          </w:p>
        </w:tc>
      </w:tr>
      <w:tr>
        <w:trPr>
          <w:trHeight w:val="2102" w:hRule="atLeast"/>
        </w:trPr>
        <w:tc>
          <w:tcPr>
            <w:tcW w:w="744"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5"/>
              <w:jc w:val="left"/>
              <w:rPr>
                <w:b/>
                <w:sz w:val="19"/>
              </w:rPr>
            </w:pPr>
          </w:p>
          <w:p>
            <w:pPr>
              <w:pStyle w:val="TableParagraph"/>
              <w:spacing w:line="242" w:lineRule="auto"/>
              <w:ind w:left="283" w:right="90" w:hanging="180"/>
              <w:jc w:val="left"/>
              <w:rPr>
                <w:sz w:val="18"/>
              </w:rPr>
            </w:pPr>
            <w:r>
              <w:rPr>
                <w:sz w:val="18"/>
              </w:rPr>
              <w:t>源头管理</w:t>
            </w:r>
          </w:p>
        </w:tc>
        <w:tc>
          <w:tcPr>
            <w:tcW w:w="720"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79"/>
              <w:ind w:left="9"/>
              <w:rPr>
                <w:rFonts w:ascii="Times New Roman"/>
                <w:sz w:val="18"/>
              </w:rPr>
            </w:pPr>
            <w:r>
              <w:rPr>
                <w:rFonts w:ascii="Times New Roman"/>
                <w:sz w:val="18"/>
              </w:rPr>
              <w:t>1</w:t>
            </w:r>
          </w:p>
        </w:tc>
        <w:tc>
          <w:tcPr>
            <w:tcW w:w="5369" w:type="dxa"/>
          </w:tcPr>
          <w:p>
            <w:pPr>
              <w:pStyle w:val="TableParagraph"/>
              <w:spacing w:line="242" w:lineRule="auto"/>
              <w:ind w:left="28" w:right="-44"/>
              <w:jc w:val="both"/>
              <w:rPr>
                <w:sz w:val="18"/>
              </w:rPr>
            </w:pPr>
            <w:r>
              <w:rPr>
                <w:spacing w:val="-5"/>
                <w:sz w:val="18"/>
              </w:rPr>
              <w:t>宜采用连续化生产工艺，提高产品收率，减少污染物产生量</w:t>
            </w:r>
            <w:r>
              <w:rPr>
                <w:spacing w:val="-29"/>
                <w:w w:val="180"/>
                <w:sz w:val="18"/>
              </w:rPr>
              <w:t>。</w:t>
            </w:r>
            <w:r>
              <w:rPr>
                <w:sz w:val="18"/>
              </w:rPr>
              <w:t>新建</w:t>
            </w:r>
            <w:r>
              <w:rPr>
                <w:spacing w:val="-138"/>
                <w:sz w:val="18"/>
              </w:rPr>
              <w:t>和</w:t>
            </w:r>
            <w:r>
              <w:rPr>
                <w:sz w:val="18"/>
              </w:rPr>
              <w:t>推倒重建的生产车间宜采用垂直流设计</w:t>
            </w:r>
            <w:r>
              <w:rPr>
                <w:spacing w:val="-29"/>
                <w:w w:val="180"/>
                <w:sz w:val="18"/>
              </w:rPr>
              <w:t>。</w:t>
            </w:r>
            <w:r>
              <w:rPr>
                <w:spacing w:val="-8"/>
                <w:sz w:val="18"/>
              </w:rPr>
              <w:t>应使用低毒、低臭、低挥</w:t>
            </w:r>
            <w:r>
              <w:rPr>
                <w:spacing w:val="-135"/>
                <w:sz w:val="18"/>
              </w:rPr>
              <w:t>发</w:t>
            </w:r>
            <w:r>
              <w:rPr>
                <w:spacing w:val="-9"/>
                <w:sz w:val="18"/>
              </w:rPr>
              <w:t>性的物料代替高毒、恶臭、高挥发性原辅材料，车间废气应采用可靠的尾气集中收集与处理系统</w:t>
            </w:r>
            <w:r>
              <w:rPr>
                <w:spacing w:val="-89"/>
                <w:w w:val="180"/>
                <w:sz w:val="18"/>
              </w:rPr>
              <w:t>。</w:t>
            </w:r>
            <w:r>
              <w:rPr>
                <w:spacing w:val="-12"/>
                <w:sz w:val="18"/>
              </w:rPr>
              <w:t>应采取先进装备设施、工艺技术和方法</w:t>
            </w:r>
            <w:r>
              <w:rPr>
                <w:spacing w:val="-160"/>
                <w:sz w:val="18"/>
              </w:rPr>
              <w:t>，</w:t>
            </w:r>
            <w:r>
              <w:rPr>
                <w:spacing w:val="-88"/>
                <w:sz w:val="18"/>
              </w:rPr>
              <w:t> </w:t>
            </w:r>
            <w:r>
              <w:rPr>
                <w:sz w:val="18"/>
              </w:rPr>
              <w:t>加强过程控制，鼓励生产工艺和设备实现密闭化、连续化、管道化</w:t>
            </w:r>
            <w:r>
              <w:rPr>
                <w:spacing w:val="-205"/>
                <w:w w:val="180"/>
                <w:sz w:val="18"/>
              </w:rPr>
              <w:t>。</w:t>
            </w:r>
            <w:r>
              <w:rPr>
                <w:spacing w:val="-7"/>
                <w:sz w:val="18"/>
              </w:rPr>
              <w:t>在生产工艺适用的情况下，鼓励选用单锥、双锥、闪蒸干燥等先进的干燥设备</w:t>
            </w:r>
            <w:r>
              <w:rPr>
                <w:spacing w:val="-29"/>
                <w:w w:val="180"/>
                <w:sz w:val="18"/>
              </w:rPr>
              <w:t>。</w:t>
            </w:r>
            <w:r>
              <w:rPr>
                <w:spacing w:val="-6"/>
                <w:sz w:val="18"/>
              </w:rPr>
              <w:t>应淘汰水喷射泵、蒸汽喷射泵和水冲泵等真空设备，确</w:t>
            </w:r>
            <w:r>
              <w:rPr>
                <w:spacing w:val="-115"/>
                <w:sz w:val="18"/>
              </w:rPr>
              <w:t>因</w:t>
            </w:r>
          </w:p>
          <w:p>
            <w:pPr>
              <w:pStyle w:val="TableParagraph"/>
              <w:spacing w:line="230" w:lineRule="atLeast" w:before="4"/>
              <w:ind w:left="2143" w:right="14" w:hanging="2115"/>
              <w:jc w:val="left"/>
              <w:rPr>
                <w:sz w:val="18"/>
              </w:rPr>
            </w:pPr>
            <w:r>
              <w:rPr>
                <w:spacing w:val="-8"/>
                <w:sz w:val="18"/>
              </w:rPr>
              <w:t>特定工艺要求使用的，应做好使用水的冷凝和回收，完善设备密闭和</w:t>
            </w:r>
            <w:r>
              <w:rPr>
                <w:sz w:val="18"/>
              </w:rPr>
              <w:t>废气收集措施</w:t>
            </w:r>
          </w:p>
        </w:tc>
        <w:tc>
          <w:tcPr>
            <w:tcW w:w="4111" w:type="dxa"/>
          </w:tcPr>
          <w:p>
            <w:pPr>
              <w:pStyle w:val="TableParagraph"/>
              <w:numPr>
                <w:ilvl w:val="0"/>
                <w:numId w:val="65"/>
              </w:numPr>
              <w:tabs>
                <w:tab w:pos="255" w:val="left" w:leader="none"/>
              </w:tabs>
              <w:spacing w:line="244" w:lineRule="auto" w:before="0" w:after="0"/>
              <w:ind w:left="27" w:right="15" w:firstLine="0"/>
              <w:jc w:val="both"/>
              <w:rPr>
                <w:sz w:val="18"/>
              </w:rPr>
            </w:pPr>
            <w:r>
              <w:rPr>
                <w:spacing w:val="-2"/>
                <w:sz w:val="18"/>
              </w:rPr>
              <w:t>企业现有生产线车间采用连续化生产，</w:t>
            </w:r>
            <w:r>
              <w:rPr>
                <w:rFonts w:ascii="Times New Roman" w:eastAsia="Times New Roman"/>
                <w:spacing w:val="-8"/>
                <w:sz w:val="18"/>
              </w:rPr>
              <w:t>DCS</w:t>
            </w:r>
            <w:r>
              <w:rPr>
                <w:rFonts w:ascii="Times New Roman" w:eastAsia="Times New Roman"/>
                <w:spacing w:val="10"/>
                <w:sz w:val="18"/>
              </w:rPr>
              <w:t> </w:t>
            </w:r>
            <w:r>
              <w:rPr>
                <w:spacing w:val="-8"/>
                <w:sz w:val="18"/>
              </w:rPr>
              <w:t>自动</w:t>
            </w:r>
            <w:r>
              <w:rPr>
                <w:sz w:val="18"/>
              </w:rPr>
              <w:t>化操作，基本实现密闭化、管道化、连续化。</w:t>
            </w:r>
          </w:p>
          <w:p>
            <w:pPr>
              <w:pStyle w:val="TableParagraph"/>
              <w:numPr>
                <w:ilvl w:val="0"/>
                <w:numId w:val="65"/>
              </w:numPr>
              <w:tabs>
                <w:tab w:pos="165" w:val="left" w:leader="none"/>
              </w:tabs>
              <w:spacing w:line="242" w:lineRule="auto" w:before="0" w:after="0"/>
              <w:ind w:left="27" w:right="15" w:firstLine="0"/>
              <w:jc w:val="both"/>
              <w:rPr>
                <w:sz w:val="18"/>
              </w:rPr>
            </w:pPr>
            <w:r>
              <w:rPr>
                <w:spacing w:val="-5"/>
                <w:sz w:val="18"/>
              </w:rPr>
              <w:t>现有生产线涉及硫酸、硝酸等高毒、恶臭、高挥发</w:t>
            </w:r>
            <w:r>
              <w:rPr>
                <w:spacing w:val="-10"/>
                <w:sz w:val="18"/>
              </w:rPr>
              <w:t>性原辅材料，但由于工艺、产品质量等原因，各原料</w:t>
            </w:r>
            <w:r>
              <w:rPr>
                <w:spacing w:val="-1"/>
                <w:sz w:val="18"/>
              </w:rPr>
              <w:t>均具有不可替代性</w:t>
            </w:r>
            <w:r>
              <w:rPr>
                <w:spacing w:val="-85"/>
                <w:w w:val="180"/>
                <w:sz w:val="18"/>
              </w:rPr>
              <w:t>。</w:t>
            </w:r>
            <w:r>
              <w:rPr>
                <w:spacing w:val="-2"/>
                <w:sz w:val="18"/>
              </w:rPr>
              <w:t>各生产车间废气均设有尾气集</w:t>
            </w:r>
            <w:r>
              <w:rPr>
                <w:spacing w:val="-160"/>
                <w:sz w:val="18"/>
              </w:rPr>
              <w:t>中</w:t>
            </w:r>
            <w:r>
              <w:rPr>
                <w:sz w:val="18"/>
              </w:rPr>
              <w:t>收集与处理系统。</w:t>
            </w:r>
          </w:p>
          <w:p>
            <w:pPr>
              <w:pStyle w:val="TableParagraph"/>
              <w:ind w:left="27"/>
              <w:jc w:val="both"/>
              <w:rPr>
                <w:sz w:val="18"/>
              </w:rPr>
            </w:pPr>
            <w:r>
              <w:rPr>
                <w:rFonts w:ascii="Times New Roman" w:eastAsia="Times New Roman"/>
                <w:sz w:val="18"/>
              </w:rPr>
              <w:t>3.2 </w:t>
            </w:r>
            <w:r>
              <w:rPr>
                <w:sz w:val="18"/>
              </w:rPr>
              <w:t>个生产车间均未涉及干燥。</w:t>
            </w:r>
          </w:p>
          <w:p>
            <w:pPr>
              <w:pStyle w:val="TableParagraph"/>
              <w:spacing w:before="2"/>
              <w:ind w:left="27"/>
              <w:jc w:val="left"/>
              <w:rPr>
                <w:sz w:val="18"/>
              </w:rPr>
            </w:pPr>
            <w:r>
              <w:rPr>
                <w:rFonts w:ascii="Times New Roman" w:eastAsia="Times New Roman"/>
                <w:sz w:val="18"/>
              </w:rPr>
              <w:t>4.</w:t>
            </w:r>
            <w:r>
              <w:rPr>
                <w:sz w:val="18"/>
              </w:rPr>
              <w:t>不存在淘汰水喷射泵</w:t>
            </w:r>
            <w:r>
              <w:rPr>
                <w:rFonts w:ascii="Times New Roman" w:eastAsia="Times New Roman"/>
                <w:sz w:val="18"/>
              </w:rPr>
              <w:t>.</w:t>
            </w:r>
            <w:r>
              <w:rPr>
                <w:sz w:val="18"/>
              </w:rPr>
              <w:t>蒸汽喷射泵和水冲泵等真空</w:t>
            </w:r>
          </w:p>
          <w:p>
            <w:pPr>
              <w:pStyle w:val="TableParagraph"/>
              <w:spacing w:line="213" w:lineRule="exact" w:before="4"/>
              <w:ind w:left="27"/>
              <w:jc w:val="left"/>
              <w:rPr>
                <w:sz w:val="18"/>
              </w:rPr>
            </w:pPr>
            <w:r>
              <w:rPr>
                <w:w w:val="120"/>
                <w:sz w:val="18"/>
              </w:rPr>
              <w:t>设备。</w:t>
            </w:r>
          </w:p>
        </w:tc>
        <w:tc>
          <w:tcPr>
            <w:tcW w:w="2513" w:type="dxa"/>
          </w:tcPr>
          <w:p>
            <w:pPr>
              <w:pStyle w:val="TableParagraph"/>
              <w:jc w:val="left"/>
              <w:rPr>
                <w:b/>
                <w:sz w:val="18"/>
              </w:rPr>
            </w:pPr>
          </w:p>
          <w:p>
            <w:pPr>
              <w:pStyle w:val="TableParagraph"/>
              <w:spacing w:line="242" w:lineRule="auto" w:before="119"/>
              <w:ind w:left="27" w:right="15" w:hanging="3"/>
              <w:rPr>
                <w:sz w:val="18"/>
              </w:rPr>
            </w:pPr>
            <w:r>
              <w:rPr>
                <w:sz w:val="18"/>
              </w:rPr>
              <w:t>项目生产工艺和设备实现密闭</w:t>
            </w:r>
            <w:r>
              <w:rPr>
                <w:spacing w:val="-10"/>
                <w:sz w:val="18"/>
              </w:rPr>
              <w:t>化、管道化；车间采用垂直流设计；项目采用多级喷淋或布袋除</w:t>
            </w:r>
            <w:r>
              <w:rPr>
                <w:spacing w:val="-8"/>
                <w:sz w:val="18"/>
              </w:rPr>
              <w:t>尘装置处理车间废气；项目不涉</w:t>
            </w:r>
            <w:r>
              <w:rPr>
                <w:spacing w:val="-9"/>
                <w:sz w:val="18"/>
              </w:rPr>
              <w:t>及水喷射泵、蒸汽喷射泵等真空</w:t>
            </w:r>
            <w:r>
              <w:rPr>
                <w:sz w:val="18"/>
              </w:rPr>
              <w:t>设备</w:t>
            </w:r>
          </w:p>
        </w:tc>
        <w:tc>
          <w:tcPr>
            <w:tcW w:w="602" w:type="dxa"/>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10"/>
              <w:jc w:val="left"/>
              <w:rPr>
                <w:b/>
                <w:sz w:val="18"/>
              </w:rPr>
            </w:pPr>
          </w:p>
          <w:p>
            <w:pPr>
              <w:pStyle w:val="TableParagraph"/>
              <w:spacing w:before="1"/>
              <w:ind w:left="100" w:right="89"/>
              <w:rPr>
                <w:sz w:val="18"/>
              </w:rPr>
            </w:pPr>
            <w:r>
              <w:rPr>
                <w:sz w:val="18"/>
              </w:rPr>
              <w:t>符合</w:t>
            </w:r>
          </w:p>
        </w:tc>
      </w:tr>
      <w:tr>
        <w:trPr>
          <w:trHeight w:val="232" w:hRule="atLeast"/>
        </w:trPr>
        <w:tc>
          <w:tcPr>
            <w:tcW w:w="744" w:type="dxa"/>
            <w:vMerge/>
            <w:tcBorders>
              <w:top w:val="nil"/>
            </w:tcBorders>
          </w:tcPr>
          <w:p>
            <w:pPr>
              <w:rPr>
                <w:sz w:val="2"/>
                <w:szCs w:val="2"/>
              </w:rPr>
            </w:pPr>
          </w:p>
        </w:tc>
        <w:tc>
          <w:tcPr>
            <w:tcW w:w="720" w:type="dxa"/>
          </w:tcPr>
          <w:p>
            <w:pPr>
              <w:pStyle w:val="TableParagraph"/>
              <w:spacing w:line="201" w:lineRule="exact" w:before="11"/>
              <w:ind w:left="9"/>
              <w:rPr>
                <w:rFonts w:ascii="Times New Roman"/>
                <w:sz w:val="18"/>
              </w:rPr>
            </w:pPr>
            <w:r>
              <w:rPr>
                <w:rFonts w:ascii="Times New Roman"/>
                <w:sz w:val="18"/>
              </w:rPr>
              <w:t>2</w:t>
            </w:r>
          </w:p>
        </w:tc>
        <w:tc>
          <w:tcPr>
            <w:tcW w:w="5369" w:type="dxa"/>
          </w:tcPr>
          <w:p>
            <w:pPr>
              <w:pStyle w:val="TableParagraph"/>
              <w:spacing w:line="212" w:lineRule="exact"/>
              <w:ind w:left="26" w:right="16"/>
              <w:rPr>
                <w:sz w:val="18"/>
              </w:rPr>
            </w:pPr>
            <w:r>
              <w:rPr>
                <w:spacing w:val="-6"/>
                <w:sz w:val="18"/>
              </w:rPr>
              <w:t>挥发性液体物料固定顶储罐须采用呼吸阀、氮封、降温设施、气相平</w:t>
            </w:r>
          </w:p>
        </w:tc>
        <w:tc>
          <w:tcPr>
            <w:tcW w:w="4111" w:type="dxa"/>
          </w:tcPr>
          <w:p>
            <w:pPr>
              <w:pStyle w:val="TableParagraph"/>
              <w:spacing w:line="212" w:lineRule="exact"/>
              <w:ind w:left="9" w:right="16"/>
              <w:rPr>
                <w:sz w:val="18"/>
              </w:rPr>
            </w:pPr>
            <w:r>
              <w:rPr>
                <w:rFonts w:ascii="Times New Roman" w:eastAsia="Times New Roman"/>
                <w:sz w:val="18"/>
              </w:rPr>
              <w:t>1.</w:t>
            </w:r>
            <w:r>
              <w:rPr>
                <w:sz w:val="18"/>
              </w:rPr>
              <w:t>储罐区建有硫酸、硝酸、邻二甲苯、</w:t>
            </w:r>
            <w:r>
              <w:rPr>
                <w:rFonts w:ascii="Times New Roman" w:eastAsia="Times New Roman"/>
                <w:sz w:val="18"/>
              </w:rPr>
              <w:t>3-</w:t>
            </w:r>
            <w:r>
              <w:rPr>
                <w:sz w:val="18"/>
              </w:rPr>
              <w:t>戊酮、</w:t>
            </w:r>
            <w:r>
              <w:rPr>
                <w:rFonts w:ascii="Times New Roman" w:eastAsia="Times New Roman"/>
                <w:sz w:val="18"/>
              </w:rPr>
              <w:t>4-</w:t>
            </w:r>
            <w:r>
              <w:rPr>
                <w:sz w:val="18"/>
              </w:rPr>
              <w:t>硝</w:t>
            </w:r>
          </w:p>
        </w:tc>
        <w:tc>
          <w:tcPr>
            <w:tcW w:w="2513" w:type="dxa"/>
          </w:tcPr>
          <w:p>
            <w:pPr>
              <w:pStyle w:val="TableParagraph"/>
              <w:spacing w:line="212" w:lineRule="exact"/>
              <w:ind w:left="23" w:right="15"/>
              <w:rPr>
                <w:sz w:val="18"/>
              </w:rPr>
            </w:pPr>
            <w:r>
              <w:rPr>
                <w:sz w:val="18"/>
              </w:rPr>
              <w:t>物料甲酸储罐采用呼吸阀后接</w:t>
            </w:r>
          </w:p>
        </w:tc>
        <w:tc>
          <w:tcPr>
            <w:tcW w:w="602" w:type="dxa"/>
          </w:tcPr>
          <w:p>
            <w:pPr>
              <w:pStyle w:val="TableParagraph"/>
              <w:spacing w:line="212" w:lineRule="exact"/>
              <w:ind w:left="100" w:right="89"/>
              <w:rPr>
                <w:sz w:val="18"/>
              </w:rPr>
            </w:pPr>
            <w:r>
              <w:rPr>
                <w:sz w:val="18"/>
              </w:rPr>
              <w:t>符合</w:t>
            </w:r>
          </w:p>
        </w:tc>
      </w:tr>
    </w:tbl>
    <w:p>
      <w:pPr>
        <w:spacing w:after="0" w:line="212" w:lineRule="exact"/>
        <w:rPr>
          <w:sz w:val="18"/>
        </w:rPr>
        <w:sectPr>
          <w:headerReference w:type="default" r:id="rId181"/>
          <w:footerReference w:type="default" r:id="rId182"/>
          <w:pgSz w:w="16840" w:h="11910" w:orient="landscape"/>
          <w:pgMar w:header="872" w:footer="953" w:top="1180" w:bottom="1140" w:left="1280" w:right="1260"/>
          <w:pgNumType w:start="265"/>
        </w:sectPr>
      </w:pPr>
    </w:p>
    <w:p>
      <w:pPr>
        <w:pStyle w:val="BodyText"/>
        <w:spacing w:before="8"/>
        <w:rPr>
          <w:rFonts w:ascii="Times New Roman"/>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720"/>
        <w:gridCol w:w="5369"/>
        <w:gridCol w:w="4111"/>
        <w:gridCol w:w="2513"/>
        <w:gridCol w:w="602"/>
      </w:tblGrid>
      <w:tr>
        <w:trPr>
          <w:trHeight w:val="232" w:hRule="atLeast"/>
        </w:trPr>
        <w:tc>
          <w:tcPr>
            <w:tcW w:w="744" w:type="dxa"/>
          </w:tcPr>
          <w:p>
            <w:pPr>
              <w:pStyle w:val="TableParagraph"/>
              <w:spacing w:line="212" w:lineRule="exact"/>
              <w:ind w:left="191"/>
              <w:jc w:val="left"/>
              <w:rPr>
                <w:b/>
                <w:sz w:val="18"/>
              </w:rPr>
            </w:pPr>
            <w:r>
              <w:rPr>
                <w:b/>
                <w:sz w:val="18"/>
              </w:rPr>
              <w:t>类别</w:t>
            </w:r>
          </w:p>
        </w:tc>
        <w:tc>
          <w:tcPr>
            <w:tcW w:w="720" w:type="dxa"/>
          </w:tcPr>
          <w:p>
            <w:pPr>
              <w:pStyle w:val="TableParagraph"/>
              <w:spacing w:line="212" w:lineRule="exact"/>
              <w:ind w:left="161" w:right="146"/>
              <w:rPr>
                <w:b/>
                <w:sz w:val="18"/>
              </w:rPr>
            </w:pPr>
            <w:r>
              <w:rPr>
                <w:b/>
                <w:sz w:val="18"/>
              </w:rPr>
              <w:t>序号</w:t>
            </w:r>
          </w:p>
        </w:tc>
        <w:tc>
          <w:tcPr>
            <w:tcW w:w="5369" w:type="dxa"/>
          </w:tcPr>
          <w:p>
            <w:pPr>
              <w:pStyle w:val="TableParagraph"/>
              <w:spacing w:line="212" w:lineRule="exact"/>
              <w:ind w:left="23" w:right="16"/>
              <w:rPr>
                <w:b/>
                <w:sz w:val="18"/>
              </w:rPr>
            </w:pPr>
            <w:r>
              <w:rPr>
                <w:b/>
                <w:sz w:val="18"/>
              </w:rPr>
              <w:t>内容及要求</w:t>
            </w:r>
          </w:p>
        </w:tc>
        <w:tc>
          <w:tcPr>
            <w:tcW w:w="4111" w:type="dxa"/>
          </w:tcPr>
          <w:p>
            <w:pPr>
              <w:pStyle w:val="TableParagraph"/>
              <w:spacing w:line="212" w:lineRule="exact"/>
              <w:ind w:left="1150"/>
              <w:jc w:val="left"/>
              <w:rPr>
                <w:b/>
                <w:sz w:val="18"/>
              </w:rPr>
            </w:pPr>
            <w:r>
              <w:rPr>
                <w:b/>
                <w:sz w:val="18"/>
              </w:rPr>
              <w:t>现有企业提升改造情况</w:t>
            </w:r>
          </w:p>
        </w:tc>
        <w:tc>
          <w:tcPr>
            <w:tcW w:w="2513" w:type="dxa"/>
          </w:tcPr>
          <w:p>
            <w:pPr>
              <w:pStyle w:val="TableParagraph"/>
              <w:spacing w:line="212" w:lineRule="exact"/>
              <w:ind w:left="622"/>
              <w:jc w:val="left"/>
              <w:rPr>
                <w:b/>
                <w:sz w:val="18"/>
              </w:rPr>
            </w:pPr>
            <w:r>
              <w:rPr>
                <w:b/>
                <w:sz w:val="18"/>
              </w:rPr>
              <w:t>本项目采纳情况</w:t>
            </w:r>
          </w:p>
        </w:tc>
        <w:tc>
          <w:tcPr>
            <w:tcW w:w="602" w:type="dxa"/>
          </w:tcPr>
          <w:p>
            <w:pPr>
              <w:pStyle w:val="TableParagraph"/>
              <w:spacing w:line="212" w:lineRule="exact"/>
              <w:ind w:left="100" w:right="89"/>
              <w:rPr>
                <w:b/>
                <w:sz w:val="18"/>
              </w:rPr>
            </w:pPr>
            <w:r>
              <w:rPr>
                <w:b/>
                <w:sz w:val="18"/>
              </w:rPr>
              <w:t>备注</w:t>
            </w:r>
          </w:p>
        </w:tc>
      </w:tr>
      <w:tr>
        <w:trPr>
          <w:trHeight w:val="2803" w:hRule="atLeast"/>
        </w:trPr>
        <w:tc>
          <w:tcPr>
            <w:tcW w:w="744" w:type="dxa"/>
          </w:tcPr>
          <w:p>
            <w:pPr>
              <w:pStyle w:val="TableParagraph"/>
              <w:jc w:val="left"/>
              <w:rPr>
                <w:rFonts w:ascii="Times New Roman"/>
                <w:sz w:val="18"/>
              </w:rPr>
            </w:pPr>
          </w:p>
        </w:tc>
        <w:tc>
          <w:tcPr>
            <w:tcW w:w="720" w:type="dxa"/>
          </w:tcPr>
          <w:p>
            <w:pPr>
              <w:pStyle w:val="TableParagraph"/>
              <w:jc w:val="left"/>
              <w:rPr>
                <w:rFonts w:ascii="Times New Roman"/>
                <w:sz w:val="18"/>
              </w:rPr>
            </w:pPr>
          </w:p>
        </w:tc>
        <w:tc>
          <w:tcPr>
            <w:tcW w:w="5369" w:type="dxa"/>
          </w:tcPr>
          <w:p>
            <w:pPr>
              <w:pStyle w:val="TableParagraph"/>
              <w:spacing w:line="242" w:lineRule="auto"/>
              <w:ind w:left="28" w:right="-44" w:hanging="56"/>
              <w:rPr>
                <w:sz w:val="18"/>
              </w:rPr>
            </w:pPr>
            <w:r>
              <w:rPr>
                <w:spacing w:val="-9"/>
                <w:sz w:val="18"/>
              </w:rPr>
              <w:t>衡管等一种或多种措施，呼吸废气宜应采用冷凝回流或其他方式处理后排放。挥发性液体物料装卸必须采用装有平衡管且封闭的装卸系 统</w:t>
            </w:r>
            <w:r>
              <w:rPr>
                <w:spacing w:val="-46"/>
                <w:w w:val="180"/>
                <w:sz w:val="18"/>
              </w:rPr>
              <w:t>。</w:t>
            </w:r>
            <w:r>
              <w:rPr>
                <w:spacing w:val="-2"/>
                <w:sz w:val="18"/>
              </w:rPr>
              <w:t>使用桶装液体原料的必须密闭正压输送并设置密闭投料间，不</w:t>
            </w:r>
            <w:r>
              <w:rPr>
                <w:spacing w:val="-135"/>
                <w:sz w:val="18"/>
              </w:rPr>
              <w:t>得</w:t>
            </w:r>
            <w:r>
              <w:rPr>
                <w:sz w:val="18"/>
              </w:rPr>
              <w:t>真空抽取</w:t>
            </w:r>
            <w:r>
              <w:rPr>
                <w:spacing w:val="-46"/>
                <w:w w:val="180"/>
                <w:sz w:val="18"/>
              </w:rPr>
              <w:t>。</w:t>
            </w:r>
            <w:r>
              <w:rPr>
                <w:spacing w:val="-4"/>
                <w:sz w:val="18"/>
              </w:rPr>
              <w:t>除物料装卸场所临时使用外，正常生产流程中的物料输</w:t>
            </w:r>
            <w:r>
              <w:rPr>
                <w:spacing w:val="-137"/>
                <w:sz w:val="18"/>
              </w:rPr>
              <w:t>送</w:t>
            </w:r>
            <w:r>
              <w:rPr>
                <w:sz w:val="18"/>
              </w:rPr>
              <w:t>应使用刚性管道，不得使用柔性塑料管，以减少环境风险。反应釜</w:t>
            </w:r>
            <w:r>
              <w:rPr>
                <w:spacing w:val="-137"/>
                <w:sz w:val="18"/>
              </w:rPr>
              <w:t>、</w:t>
            </w:r>
            <w:r>
              <w:rPr>
                <w:spacing w:val="-6"/>
                <w:sz w:val="18"/>
              </w:rPr>
              <w:t>管道等装备拆除前必须清洗清理干净，原料、产品、使用过的物料桶和废弃反应釜、管道等装备应及时处理，禁止露天长时间堆放</w:t>
            </w:r>
          </w:p>
        </w:tc>
        <w:tc>
          <w:tcPr>
            <w:tcW w:w="4111" w:type="dxa"/>
          </w:tcPr>
          <w:p>
            <w:pPr>
              <w:pStyle w:val="TableParagraph"/>
              <w:spacing w:line="242" w:lineRule="auto"/>
              <w:ind w:left="27" w:right="15"/>
              <w:jc w:val="left"/>
              <w:rPr>
                <w:sz w:val="18"/>
              </w:rPr>
            </w:pPr>
            <w:r>
              <w:rPr>
                <w:sz w:val="18"/>
              </w:rPr>
              <w:t>基邻二甲苯、</w:t>
            </w:r>
            <w:r>
              <w:rPr>
                <w:rFonts w:ascii="Times New Roman" w:hAnsi="Times New Roman" w:eastAsia="Times New Roman"/>
                <w:sz w:val="18"/>
              </w:rPr>
              <w:t>3-</w:t>
            </w:r>
            <w:r>
              <w:rPr>
                <w:sz w:val="18"/>
              </w:rPr>
              <w:t>硝基邻二甲苯、</w:t>
            </w:r>
            <w:r>
              <w:rPr>
                <w:rFonts w:ascii="Times New Roman" w:hAnsi="Times New Roman" w:eastAsia="Times New Roman"/>
                <w:sz w:val="18"/>
              </w:rPr>
              <w:t>2,3-</w:t>
            </w:r>
            <w:r>
              <w:rPr>
                <w:sz w:val="18"/>
              </w:rPr>
              <w:t>二甲基苯胺、</w:t>
            </w:r>
            <w:r>
              <w:rPr>
                <w:rFonts w:ascii="Times New Roman" w:hAnsi="Times New Roman" w:eastAsia="Times New Roman"/>
                <w:sz w:val="18"/>
              </w:rPr>
              <w:t>N- </w:t>
            </w:r>
            <w:r>
              <w:rPr>
                <w:spacing w:val="-11"/>
                <w:sz w:val="18"/>
              </w:rPr>
              <w:t>戊基苯胺储罐，各储罐安有呼吸阀，硫酸储罐呼吸废</w:t>
            </w:r>
            <w:r>
              <w:rPr>
                <w:spacing w:val="-12"/>
                <w:sz w:val="18"/>
              </w:rPr>
              <w:t>气接入“四级碱吸收”处理系统，硝酸储罐呼吸废气</w:t>
            </w:r>
            <w:r>
              <w:rPr>
                <w:sz w:val="18"/>
              </w:rPr>
              <w:t>接入“四级稀硝酸吸收</w:t>
            </w:r>
            <w:r>
              <w:rPr>
                <w:rFonts w:ascii="Times New Roman" w:hAnsi="Times New Roman" w:eastAsia="Times New Roman"/>
                <w:sz w:val="18"/>
              </w:rPr>
              <w:t>+SNCR </w:t>
            </w:r>
            <w:r>
              <w:rPr>
                <w:sz w:val="18"/>
              </w:rPr>
              <w:t>脱硝</w:t>
            </w:r>
            <w:r>
              <w:rPr>
                <w:rFonts w:ascii="Times New Roman" w:hAnsi="Times New Roman" w:eastAsia="Times New Roman"/>
                <w:sz w:val="18"/>
              </w:rPr>
              <w:t>+</w:t>
            </w:r>
            <w:r>
              <w:rPr>
                <w:sz w:val="18"/>
              </w:rPr>
              <w:t>四级碱吸收” </w:t>
            </w:r>
            <w:r>
              <w:rPr>
                <w:spacing w:val="-6"/>
                <w:sz w:val="18"/>
              </w:rPr>
              <w:t>邻二甲苯、</w:t>
            </w:r>
            <w:r>
              <w:rPr>
                <w:rFonts w:ascii="Times New Roman" w:hAnsi="Times New Roman" w:eastAsia="Times New Roman"/>
                <w:sz w:val="18"/>
              </w:rPr>
              <w:t>3-</w:t>
            </w:r>
            <w:r>
              <w:rPr>
                <w:spacing w:val="-4"/>
                <w:sz w:val="18"/>
              </w:rPr>
              <w:t>戊酮等有机物料储罐呼吸废气接“</w:t>
            </w:r>
            <w:r>
              <w:rPr>
                <w:rFonts w:ascii="Times New Roman" w:hAnsi="Times New Roman" w:eastAsia="Times New Roman"/>
                <w:spacing w:val="-4"/>
                <w:sz w:val="18"/>
              </w:rPr>
              <w:t>RTO </w:t>
            </w:r>
            <w:r>
              <w:rPr>
                <w:sz w:val="18"/>
              </w:rPr>
              <w:t>焚烧</w:t>
            </w:r>
            <w:r>
              <w:rPr>
                <w:rFonts w:ascii="Times New Roman" w:hAnsi="Times New Roman" w:eastAsia="Times New Roman"/>
                <w:sz w:val="18"/>
              </w:rPr>
              <w:t>+SNCR </w:t>
            </w:r>
            <w:r>
              <w:rPr>
                <w:sz w:val="18"/>
              </w:rPr>
              <w:t>脱硝</w:t>
            </w:r>
            <w:r>
              <w:rPr>
                <w:rFonts w:ascii="Times New Roman" w:hAnsi="Times New Roman" w:eastAsia="Times New Roman"/>
                <w:sz w:val="18"/>
              </w:rPr>
              <w:t>+</w:t>
            </w:r>
            <w:r>
              <w:rPr>
                <w:spacing w:val="-10"/>
                <w:sz w:val="18"/>
              </w:rPr>
              <w:t>四级碱吸收”；液体物料储罐与槽</w:t>
            </w:r>
            <w:r>
              <w:rPr>
                <w:sz w:val="18"/>
              </w:rPr>
              <w:t>车设有气相平衡管。</w:t>
            </w:r>
          </w:p>
          <w:p>
            <w:pPr>
              <w:pStyle w:val="TableParagraph"/>
              <w:numPr>
                <w:ilvl w:val="0"/>
                <w:numId w:val="66"/>
              </w:numPr>
              <w:tabs>
                <w:tab w:pos="165" w:val="left" w:leader="none"/>
              </w:tabs>
              <w:spacing w:line="240" w:lineRule="auto" w:before="3" w:after="0"/>
              <w:ind w:left="164" w:right="0" w:hanging="138"/>
              <w:jc w:val="left"/>
              <w:rPr>
                <w:sz w:val="18"/>
              </w:rPr>
            </w:pPr>
            <w:r>
              <w:rPr>
                <w:w w:val="105"/>
                <w:sz w:val="18"/>
              </w:rPr>
              <w:t>企业不涉及桶装液体原料。</w:t>
            </w:r>
          </w:p>
          <w:p>
            <w:pPr>
              <w:pStyle w:val="TableParagraph"/>
              <w:numPr>
                <w:ilvl w:val="0"/>
                <w:numId w:val="66"/>
              </w:numPr>
              <w:tabs>
                <w:tab w:pos="165" w:val="left" w:leader="none"/>
              </w:tabs>
              <w:spacing w:line="242" w:lineRule="auto" w:before="5" w:after="0"/>
              <w:ind w:left="27" w:right="157" w:firstLine="0"/>
              <w:jc w:val="left"/>
              <w:rPr>
                <w:sz w:val="18"/>
              </w:rPr>
            </w:pPr>
            <w:r>
              <w:rPr>
                <w:spacing w:val="-2"/>
                <w:sz w:val="18"/>
              </w:rPr>
              <w:t>还原车间、硝化车间液体物料输送均使用刚性管</w:t>
            </w:r>
            <w:r>
              <w:rPr>
                <w:sz w:val="18"/>
              </w:rPr>
              <w:t>道，不涉及柔性塑料管。</w:t>
            </w:r>
          </w:p>
          <w:p>
            <w:pPr>
              <w:pStyle w:val="TableParagraph"/>
              <w:numPr>
                <w:ilvl w:val="0"/>
                <w:numId w:val="66"/>
              </w:numPr>
              <w:tabs>
                <w:tab w:pos="165" w:val="left" w:leader="none"/>
              </w:tabs>
              <w:spacing w:line="240" w:lineRule="auto" w:before="0" w:after="0"/>
              <w:ind w:left="164" w:right="0" w:hanging="138"/>
              <w:jc w:val="left"/>
              <w:rPr>
                <w:sz w:val="18"/>
              </w:rPr>
            </w:pPr>
            <w:r>
              <w:rPr>
                <w:spacing w:val="-4"/>
                <w:sz w:val="18"/>
              </w:rPr>
              <w:t>整改后厂区堆放的设备收集并清理，及时进室内仓</w:t>
            </w:r>
          </w:p>
          <w:p>
            <w:pPr>
              <w:pStyle w:val="TableParagraph"/>
              <w:spacing w:line="215" w:lineRule="exact" w:before="2"/>
              <w:ind w:left="27"/>
              <w:jc w:val="left"/>
              <w:rPr>
                <w:sz w:val="18"/>
              </w:rPr>
            </w:pPr>
            <w:r>
              <w:rPr>
                <w:w w:val="135"/>
                <w:sz w:val="18"/>
              </w:rPr>
              <w:t>库。</w:t>
            </w:r>
          </w:p>
        </w:tc>
        <w:tc>
          <w:tcPr>
            <w:tcW w:w="2513" w:type="dxa"/>
          </w:tcPr>
          <w:p>
            <w:pPr>
              <w:pStyle w:val="TableParagraph"/>
              <w:spacing w:line="244" w:lineRule="auto"/>
              <w:ind w:left="265" w:right="-58" w:hanging="238"/>
              <w:jc w:val="left"/>
              <w:rPr>
                <w:sz w:val="18"/>
              </w:rPr>
            </w:pPr>
            <w:r>
              <w:rPr>
                <w:sz w:val="18"/>
              </w:rPr>
              <w:t>入喷淋装置，装卸采用平衡管； 项目不涉及桶装液体原料</w:t>
            </w:r>
          </w:p>
          <w:p>
            <w:pPr>
              <w:pStyle w:val="TableParagraph"/>
              <w:jc w:val="left"/>
              <w:rPr>
                <w:rFonts w:ascii="Times New Roman"/>
                <w:sz w:val="20"/>
              </w:rPr>
            </w:pPr>
          </w:p>
          <w:p>
            <w:pPr>
              <w:pStyle w:val="TableParagraph"/>
              <w:ind w:left="-126"/>
              <w:jc w:val="left"/>
              <w:rPr>
                <w:sz w:val="18"/>
              </w:rPr>
            </w:pPr>
            <w:r>
              <w:rPr>
                <w:sz w:val="18"/>
              </w:rPr>
              <w:t>，</w:t>
            </w:r>
          </w:p>
        </w:tc>
        <w:tc>
          <w:tcPr>
            <w:tcW w:w="602" w:type="dxa"/>
          </w:tcPr>
          <w:p>
            <w:pPr>
              <w:pStyle w:val="TableParagraph"/>
              <w:jc w:val="left"/>
              <w:rPr>
                <w:rFonts w:ascii="Times New Roman"/>
                <w:sz w:val="18"/>
              </w:rPr>
            </w:pPr>
          </w:p>
        </w:tc>
      </w:tr>
      <w:tr>
        <w:trPr>
          <w:trHeight w:val="3033" w:hRule="atLeast"/>
        </w:trPr>
        <w:tc>
          <w:tcPr>
            <w:tcW w:w="744" w:type="dxa"/>
            <w:vMerge w:val="restart"/>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21"/>
              </w:rPr>
            </w:pPr>
          </w:p>
          <w:p>
            <w:pPr>
              <w:pStyle w:val="TableParagraph"/>
              <w:spacing w:line="244" w:lineRule="auto"/>
              <w:ind w:left="103" w:right="90"/>
              <w:jc w:val="left"/>
              <w:rPr>
                <w:sz w:val="18"/>
              </w:rPr>
            </w:pPr>
            <w:r>
              <w:rPr>
                <w:sz w:val="18"/>
              </w:rPr>
              <w:t>废水收集管理</w:t>
            </w:r>
          </w:p>
        </w:tc>
        <w:tc>
          <w:tcPr>
            <w:tcW w:w="720" w:type="dxa"/>
          </w:tcPr>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spacing w:before="10"/>
              <w:jc w:val="left"/>
              <w:rPr>
                <w:rFonts w:ascii="Times New Roman"/>
                <w:sz w:val="22"/>
              </w:rPr>
            </w:pPr>
          </w:p>
          <w:p>
            <w:pPr>
              <w:pStyle w:val="TableParagraph"/>
              <w:ind w:left="9"/>
              <w:rPr>
                <w:rFonts w:ascii="Times New Roman"/>
                <w:sz w:val="18"/>
              </w:rPr>
            </w:pPr>
            <w:r>
              <w:rPr>
                <w:rFonts w:ascii="Times New Roman"/>
                <w:sz w:val="18"/>
              </w:rPr>
              <w:t>1</w:t>
            </w:r>
          </w:p>
        </w:tc>
        <w:tc>
          <w:tcPr>
            <w:tcW w:w="5369" w:type="dxa"/>
          </w:tcPr>
          <w:p>
            <w:pPr>
              <w:pStyle w:val="TableParagraph"/>
              <w:jc w:val="left"/>
              <w:rPr>
                <w:rFonts w:ascii="Times New Roman"/>
                <w:sz w:val="18"/>
              </w:rPr>
            </w:pPr>
          </w:p>
          <w:p>
            <w:pPr>
              <w:pStyle w:val="TableParagraph"/>
              <w:spacing w:before="5"/>
              <w:jc w:val="left"/>
              <w:rPr>
                <w:rFonts w:ascii="Times New Roman"/>
                <w:sz w:val="22"/>
              </w:rPr>
            </w:pPr>
          </w:p>
          <w:p>
            <w:pPr>
              <w:pStyle w:val="TableParagraph"/>
              <w:spacing w:line="242" w:lineRule="auto"/>
              <w:ind w:left="28" w:right="-44" w:hanging="54"/>
              <w:rPr>
                <w:sz w:val="18"/>
              </w:rPr>
            </w:pPr>
            <w:r>
              <w:rPr>
                <w:spacing w:val="-7"/>
                <w:sz w:val="18"/>
              </w:rPr>
              <w:t>须做好清污分流工作，各类废水和初期雨水做到应纳尽纳，应关注特征污染因子的治理对策。重金属、高氨氮、高磷、高盐、高毒害</w:t>
            </w:r>
            <w:r>
              <w:rPr>
                <w:rFonts w:ascii="Times New Roman" w:eastAsia="Times New Roman"/>
                <w:spacing w:val="-7"/>
                <w:sz w:val="18"/>
              </w:rPr>
              <w:t>(</w:t>
            </w:r>
            <w:r>
              <w:rPr>
                <w:spacing w:val="-17"/>
                <w:sz w:val="18"/>
              </w:rPr>
              <w:t>包</w:t>
            </w:r>
            <w:r>
              <w:rPr>
                <w:sz w:val="18"/>
              </w:rPr>
              <w:t>括氟化物、氰化物</w:t>
            </w:r>
            <w:r>
              <w:rPr>
                <w:rFonts w:ascii="Times New Roman" w:eastAsia="Times New Roman"/>
                <w:sz w:val="18"/>
              </w:rPr>
              <w:t>)</w:t>
            </w:r>
            <w:r>
              <w:rPr>
                <w:sz w:val="18"/>
              </w:rPr>
              <w:t>、高热、高浓度难降解废水应配套预处理措施和设施</w:t>
            </w:r>
            <w:r>
              <w:rPr>
                <w:spacing w:val="-29"/>
                <w:w w:val="180"/>
                <w:sz w:val="18"/>
              </w:rPr>
              <w:t>。</w:t>
            </w:r>
            <w:r>
              <w:rPr>
                <w:spacing w:val="-4"/>
                <w:sz w:val="18"/>
              </w:rPr>
              <w:t>工艺废水管线应采取明管高架输送，标注统一颜色、废水类</w:t>
            </w:r>
            <w:r>
              <w:rPr>
                <w:spacing w:val="-135"/>
                <w:sz w:val="18"/>
              </w:rPr>
              <w:t>别</w:t>
            </w:r>
            <w:r>
              <w:rPr>
                <w:sz w:val="18"/>
              </w:rPr>
              <w:t>及流向</w:t>
            </w:r>
            <w:r>
              <w:rPr>
                <w:spacing w:val="-60"/>
                <w:w w:val="180"/>
                <w:sz w:val="18"/>
              </w:rPr>
              <w:t>。</w:t>
            </w:r>
            <w:r>
              <w:rPr>
                <w:spacing w:val="-13"/>
                <w:sz w:val="18"/>
              </w:rPr>
              <w:t>罐区地面应作硬化、防渗处理，四周建围堰并采取防雨措施</w:t>
            </w:r>
            <w:r>
              <w:rPr>
                <w:spacing w:val="-340"/>
                <w:w w:val="180"/>
                <w:sz w:val="18"/>
              </w:rPr>
              <w:t>。</w:t>
            </w:r>
            <w:r>
              <w:rPr>
                <w:sz w:val="18"/>
              </w:rPr>
              <w:t>污水外排管道在厂区内实现明管化</w:t>
            </w:r>
            <w:r>
              <w:rPr>
                <w:spacing w:val="-89"/>
                <w:w w:val="180"/>
                <w:sz w:val="18"/>
              </w:rPr>
              <w:t>。</w:t>
            </w:r>
            <w:r>
              <w:rPr>
                <w:sz w:val="18"/>
              </w:rPr>
              <w:t>工艺装置废水不得落地且不得</w:t>
            </w:r>
            <w:r>
              <w:rPr>
                <w:spacing w:val="-116"/>
                <w:sz w:val="18"/>
              </w:rPr>
              <w:t>进</w:t>
            </w:r>
            <w:r>
              <w:rPr>
                <w:spacing w:val="-5"/>
                <w:sz w:val="18"/>
              </w:rPr>
              <w:t>入车间污水明沟</w:t>
            </w:r>
            <w:r>
              <w:rPr>
                <w:sz w:val="18"/>
              </w:rPr>
              <w:t>（渠</w:t>
            </w:r>
            <w:r>
              <w:rPr>
                <w:spacing w:val="-29"/>
                <w:sz w:val="18"/>
              </w:rPr>
              <w:t>），</w:t>
            </w:r>
            <w:r>
              <w:rPr>
                <w:spacing w:val="-1"/>
                <w:sz w:val="18"/>
              </w:rPr>
              <w:t>新建企业及新建项目车间工艺废水和设备清</w:t>
            </w:r>
            <w:r>
              <w:rPr>
                <w:spacing w:val="-7"/>
                <w:sz w:val="18"/>
              </w:rPr>
              <w:t>洗废水不得设置地下污水收集池，地面清洗水或现有企业整改确有难度的须采用池中罐的形式收集废水</w:t>
            </w:r>
          </w:p>
        </w:tc>
        <w:tc>
          <w:tcPr>
            <w:tcW w:w="4111" w:type="dxa"/>
          </w:tcPr>
          <w:p>
            <w:pPr>
              <w:pStyle w:val="TableParagraph"/>
              <w:numPr>
                <w:ilvl w:val="0"/>
                <w:numId w:val="67"/>
              </w:numPr>
              <w:tabs>
                <w:tab w:pos="165" w:val="left" w:leader="none"/>
              </w:tabs>
              <w:spacing w:line="242" w:lineRule="auto" w:before="0" w:after="0"/>
              <w:ind w:left="27" w:right="16" w:firstLine="0"/>
              <w:jc w:val="left"/>
              <w:rPr>
                <w:sz w:val="18"/>
              </w:rPr>
            </w:pPr>
            <w:r>
              <w:rPr>
                <w:spacing w:val="-5"/>
                <w:sz w:val="18"/>
              </w:rPr>
              <w:t>各类废水和初期雨水做到应纳尽纳，整改后及时对</w:t>
            </w:r>
            <w:r>
              <w:rPr>
                <w:spacing w:val="-8"/>
                <w:sz w:val="18"/>
              </w:rPr>
              <w:t>检修产生的废水进行收集处理；对雨水沟渠破损处进</w:t>
            </w:r>
            <w:r>
              <w:rPr>
                <w:spacing w:val="-12"/>
                <w:sz w:val="18"/>
              </w:rPr>
              <w:t>行修补，并硬化处理。设有硝基苯、苯胺类高浓度</w:t>
            </w:r>
            <w:r>
              <w:rPr>
                <w:spacing w:val="-80"/>
                <w:sz w:val="18"/>
              </w:rPr>
              <w:t>难降解废水预处理措施，厂区配有酸析</w:t>
            </w:r>
            <w:r>
              <w:rPr>
                <w:rFonts w:ascii="Times New Roman" w:eastAsia="Times New Roman"/>
                <w:spacing w:val="-80"/>
                <w:sz w:val="18"/>
              </w:rPr>
              <w:t>+</w:t>
            </w:r>
            <w:r>
              <w:rPr>
                <w:spacing w:val="-80"/>
                <w:sz w:val="18"/>
              </w:rPr>
              <w:t>铁碳还原</w:t>
            </w:r>
            <w:r>
              <w:rPr>
                <w:rFonts w:ascii="Times New Roman" w:eastAsia="Times New Roman"/>
                <w:spacing w:val="-80"/>
                <w:sz w:val="18"/>
              </w:rPr>
              <w:t>+</w:t>
            </w:r>
            <w:r>
              <w:rPr>
                <w:spacing w:val="-80"/>
                <w:sz w:val="18"/>
              </w:rPr>
              <w:t>芬</w:t>
            </w:r>
            <w:r>
              <w:rPr>
                <w:spacing w:val="-80"/>
                <w:w w:val="110"/>
                <w:sz w:val="18"/>
              </w:rPr>
              <w:t>顿氧化高浓度废水预处理设施。</w:t>
            </w:r>
          </w:p>
          <w:p>
            <w:pPr>
              <w:pStyle w:val="TableParagraph"/>
              <w:numPr>
                <w:ilvl w:val="0"/>
                <w:numId w:val="67"/>
              </w:numPr>
              <w:tabs>
                <w:tab w:pos="165" w:val="left" w:leader="none"/>
              </w:tabs>
              <w:spacing w:line="242" w:lineRule="auto" w:before="1" w:after="0"/>
              <w:ind w:left="27" w:right="18" w:firstLine="0"/>
              <w:jc w:val="left"/>
              <w:rPr>
                <w:sz w:val="18"/>
              </w:rPr>
            </w:pPr>
            <w:r>
              <w:rPr>
                <w:spacing w:val="-5"/>
                <w:sz w:val="18"/>
              </w:rPr>
              <w:t>工艺废水管线均采用明管高架输送，并统一颜色为</w:t>
            </w:r>
            <w:r>
              <w:rPr>
                <w:sz w:val="18"/>
              </w:rPr>
              <w:t>黑色、标注废水类别和流向。</w:t>
            </w:r>
          </w:p>
          <w:p>
            <w:pPr>
              <w:pStyle w:val="TableParagraph"/>
              <w:numPr>
                <w:ilvl w:val="0"/>
                <w:numId w:val="67"/>
              </w:numPr>
              <w:tabs>
                <w:tab w:pos="165" w:val="left" w:leader="none"/>
              </w:tabs>
              <w:spacing w:line="242" w:lineRule="auto" w:before="2" w:after="0"/>
              <w:ind w:left="27" w:right="-29" w:firstLine="0"/>
              <w:jc w:val="left"/>
              <w:rPr>
                <w:sz w:val="18"/>
              </w:rPr>
            </w:pPr>
            <w:r>
              <w:rPr>
                <w:spacing w:val="-1"/>
                <w:sz w:val="18"/>
              </w:rPr>
              <w:t>厂区成品罐区、原料罐区已进行硬化、防渗处理， 四周建围堰并采取防雨措施</w:t>
            </w:r>
            <w:r>
              <w:rPr>
                <w:rFonts w:ascii="Times New Roman" w:eastAsia="Times New Roman"/>
                <w:spacing w:val="-1"/>
                <w:sz w:val="18"/>
              </w:rPr>
              <w:t>;</w:t>
            </w:r>
            <w:r>
              <w:rPr>
                <w:spacing w:val="-1"/>
                <w:sz w:val="18"/>
              </w:rPr>
              <w:t>整改后对污水站废气喷淋塔雨水沟附近地面进行硬化，并做好防腐防渗措</w:t>
            </w:r>
            <w:r>
              <w:rPr>
                <w:spacing w:val="-1"/>
                <w:w w:val="115"/>
                <w:sz w:val="18"/>
              </w:rPr>
              <w:t>施。</w:t>
            </w:r>
          </w:p>
          <w:p>
            <w:pPr>
              <w:pStyle w:val="TableParagraph"/>
              <w:numPr>
                <w:ilvl w:val="0"/>
                <w:numId w:val="67"/>
              </w:numPr>
              <w:tabs>
                <w:tab w:pos="165" w:val="left" w:leader="none"/>
              </w:tabs>
              <w:spacing w:line="230" w:lineRule="atLeast" w:before="3" w:after="0"/>
              <w:ind w:left="27" w:right="15" w:firstLine="0"/>
              <w:jc w:val="left"/>
              <w:rPr>
                <w:sz w:val="18"/>
              </w:rPr>
            </w:pPr>
            <w:r>
              <w:rPr>
                <w:spacing w:val="-5"/>
                <w:sz w:val="18"/>
              </w:rPr>
              <w:t>工艺装置废水采用密闭管道进行收集、输送，车间</w:t>
            </w:r>
            <w:r>
              <w:rPr>
                <w:sz w:val="18"/>
              </w:rPr>
              <w:t>工艺废水主要通过地上储槽进行收集。</w:t>
            </w:r>
          </w:p>
        </w:tc>
        <w:tc>
          <w:tcPr>
            <w:tcW w:w="2513" w:type="dxa"/>
          </w:tcPr>
          <w:p>
            <w:pPr>
              <w:pStyle w:val="TableParagraph"/>
              <w:jc w:val="left"/>
              <w:rPr>
                <w:rFonts w:ascii="Times New Roman"/>
                <w:sz w:val="18"/>
              </w:rPr>
            </w:pPr>
          </w:p>
          <w:p>
            <w:pPr>
              <w:pStyle w:val="TableParagraph"/>
              <w:jc w:val="left"/>
              <w:rPr>
                <w:rFonts w:ascii="Times New Roman"/>
                <w:sz w:val="18"/>
              </w:rPr>
            </w:pPr>
          </w:p>
          <w:p>
            <w:pPr>
              <w:pStyle w:val="TableParagraph"/>
              <w:spacing w:before="10"/>
              <w:jc w:val="left"/>
              <w:rPr>
                <w:rFonts w:ascii="Times New Roman"/>
                <w:sz w:val="24"/>
              </w:rPr>
            </w:pPr>
          </w:p>
          <w:p>
            <w:pPr>
              <w:pStyle w:val="TableParagraph"/>
              <w:spacing w:line="242" w:lineRule="auto"/>
              <w:ind w:left="27" w:right="15" w:hanging="3"/>
              <w:rPr>
                <w:sz w:val="18"/>
              </w:rPr>
            </w:pPr>
            <w:r>
              <w:rPr>
                <w:sz w:val="18"/>
              </w:rPr>
              <w:t>项目高浓度难降解废水采用铁碳</w:t>
            </w:r>
            <w:r>
              <w:rPr>
                <w:rFonts w:ascii="Times New Roman" w:eastAsia="Times New Roman"/>
                <w:sz w:val="18"/>
              </w:rPr>
              <w:t>+</w:t>
            </w:r>
            <w:r>
              <w:rPr>
                <w:sz w:val="18"/>
              </w:rPr>
              <w:t>芬顿氧化</w:t>
            </w:r>
            <w:r>
              <w:rPr>
                <w:rFonts w:ascii="Times New Roman" w:eastAsia="Times New Roman"/>
                <w:sz w:val="18"/>
              </w:rPr>
              <w:t>+</w:t>
            </w:r>
            <w:r>
              <w:rPr>
                <w:sz w:val="18"/>
              </w:rPr>
              <w:t>混凝沉淀工艺进</w:t>
            </w:r>
            <w:r>
              <w:rPr>
                <w:spacing w:val="-9"/>
                <w:sz w:val="18"/>
              </w:rPr>
              <w:t>行预处理；项目工艺废水采用明</w:t>
            </w:r>
            <w:r>
              <w:rPr>
                <w:sz w:val="18"/>
              </w:rPr>
              <w:t>管高架输送；罐区地面应作硬</w:t>
            </w:r>
            <w:r>
              <w:rPr>
                <w:spacing w:val="-10"/>
                <w:sz w:val="18"/>
              </w:rPr>
              <w:t>化、防渗处理，围堰采用防雨措施；项目车间不设置地下污水收</w:t>
            </w:r>
            <w:r>
              <w:rPr>
                <w:sz w:val="18"/>
              </w:rPr>
              <w:t>集池</w:t>
            </w:r>
          </w:p>
        </w:tc>
        <w:tc>
          <w:tcPr>
            <w:tcW w:w="602" w:type="dxa"/>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157"/>
              <w:ind w:left="100" w:right="89"/>
              <w:rPr>
                <w:sz w:val="18"/>
              </w:rPr>
            </w:pPr>
            <w:r>
              <w:rPr>
                <w:sz w:val="18"/>
              </w:rPr>
              <w:t>符合</w:t>
            </w:r>
          </w:p>
        </w:tc>
      </w:tr>
      <w:tr>
        <w:trPr>
          <w:trHeight w:val="1633" w:hRule="atLeast"/>
        </w:trPr>
        <w:tc>
          <w:tcPr>
            <w:tcW w:w="744" w:type="dxa"/>
            <w:vMerge/>
            <w:tcBorders>
              <w:top w:val="nil"/>
            </w:tcBorders>
          </w:tcPr>
          <w:p>
            <w:pPr>
              <w:rPr>
                <w:sz w:val="2"/>
                <w:szCs w:val="2"/>
              </w:rPr>
            </w:pPr>
          </w:p>
        </w:tc>
        <w:tc>
          <w:tcPr>
            <w:tcW w:w="720" w:type="dxa"/>
          </w:tcPr>
          <w:p>
            <w:pPr>
              <w:pStyle w:val="TableParagraph"/>
              <w:jc w:val="left"/>
              <w:rPr>
                <w:rFonts w:ascii="Times New Roman"/>
                <w:sz w:val="20"/>
              </w:rPr>
            </w:pPr>
          </w:p>
          <w:p>
            <w:pPr>
              <w:pStyle w:val="TableParagraph"/>
              <w:jc w:val="left"/>
              <w:rPr>
                <w:rFonts w:ascii="Times New Roman"/>
                <w:sz w:val="20"/>
              </w:rPr>
            </w:pPr>
          </w:p>
          <w:p>
            <w:pPr>
              <w:pStyle w:val="TableParagraph"/>
              <w:spacing w:before="2"/>
              <w:jc w:val="left"/>
              <w:rPr>
                <w:rFonts w:ascii="Times New Roman"/>
                <w:sz w:val="22"/>
              </w:rPr>
            </w:pPr>
          </w:p>
          <w:p>
            <w:pPr>
              <w:pStyle w:val="TableParagraph"/>
              <w:ind w:left="9"/>
              <w:rPr>
                <w:rFonts w:ascii="Times New Roman"/>
                <w:sz w:val="18"/>
              </w:rPr>
            </w:pPr>
            <w:r>
              <w:rPr>
                <w:rFonts w:ascii="Times New Roman"/>
                <w:sz w:val="18"/>
              </w:rPr>
              <w:t>2</w:t>
            </w:r>
          </w:p>
        </w:tc>
        <w:tc>
          <w:tcPr>
            <w:tcW w:w="5369" w:type="dxa"/>
          </w:tcPr>
          <w:p>
            <w:pPr>
              <w:pStyle w:val="TableParagraph"/>
              <w:spacing w:before="5"/>
              <w:jc w:val="left"/>
              <w:rPr>
                <w:rFonts w:ascii="Times New Roman"/>
                <w:sz w:val="20"/>
              </w:rPr>
            </w:pPr>
          </w:p>
          <w:p>
            <w:pPr>
              <w:pStyle w:val="TableParagraph"/>
              <w:spacing w:line="242" w:lineRule="auto"/>
              <w:ind w:left="28" w:right="-44" w:hanging="56"/>
              <w:rPr>
                <w:sz w:val="18"/>
              </w:rPr>
            </w:pPr>
            <w:r>
              <w:rPr>
                <w:spacing w:val="-3"/>
                <w:sz w:val="18"/>
              </w:rPr>
              <w:t>废水总排放口应安装在线监控设施，并与生态环境主管部门联网</w:t>
            </w:r>
            <w:r>
              <w:rPr>
                <w:spacing w:val="-46"/>
                <w:w w:val="180"/>
                <w:sz w:val="18"/>
              </w:rPr>
              <w:t>。</w:t>
            </w:r>
            <w:r>
              <w:rPr>
                <w:spacing w:val="-79"/>
                <w:sz w:val="18"/>
              </w:rPr>
              <w:t>日</w:t>
            </w:r>
            <w:r>
              <w:rPr>
                <w:spacing w:val="-8"/>
                <w:sz w:val="18"/>
              </w:rPr>
              <w:t>排水量超过 </w:t>
            </w:r>
            <w:r>
              <w:rPr>
                <w:rFonts w:ascii="Times New Roman" w:eastAsia="Times New Roman"/>
                <w:sz w:val="18"/>
              </w:rPr>
              <w:t>50 </w:t>
            </w:r>
            <w:r>
              <w:rPr>
                <w:spacing w:val="-1"/>
                <w:sz w:val="18"/>
              </w:rPr>
              <w:t>吨的企业应安装刷卡排污设施，并与生态环境主管部门联网。规范建设雨水排放口，雨水排放口应安装智能化监控设施</w:t>
            </w:r>
            <w:r>
              <w:rPr>
                <w:spacing w:val="-137"/>
                <w:sz w:val="18"/>
              </w:rPr>
              <w:t>，</w:t>
            </w:r>
            <w:r>
              <w:rPr>
                <w:spacing w:val="-88"/>
                <w:sz w:val="18"/>
              </w:rPr>
              <w:t> </w:t>
            </w:r>
            <w:r>
              <w:rPr>
                <w:sz w:val="18"/>
              </w:rPr>
              <w:t>并与生态环境主管部门联网</w:t>
            </w:r>
            <w:r>
              <w:rPr>
                <w:spacing w:val="-22"/>
                <w:w w:val="180"/>
                <w:sz w:val="18"/>
              </w:rPr>
              <w:t>。</w:t>
            </w:r>
            <w:r>
              <w:rPr>
                <w:spacing w:val="-3"/>
                <w:sz w:val="18"/>
              </w:rPr>
              <w:t>雨水收集应采用明沟</w:t>
            </w:r>
            <w:r>
              <w:rPr>
                <w:sz w:val="18"/>
              </w:rPr>
              <w:t>（渠</w:t>
            </w:r>
            <w:r>
              <w:rPr>
                <w:spacing w:val="-22"/>
                <w:sz w:val="18"/>
              </w:rPr>
              <w:t>）</w:t>
            </w:r>
            <w:r>
              <w:rPr>
                <w:spacing w:val="-7"/>
                <w:sz w:val="18"/>
              </w:rPr>
              <w:t>，初期雨</w:t>
            </w:r>
            <w:r>
              <w:rPr>
                <w:spacing w:val="-135"/>
                <w:sz w:val="18"/>
              </w:rPr>
              <w:t>水</w:t>
            </w:r>
            <w:r>
              <w:rPr>
                <w:sz w:val="18"/>
              </w:rPr>
              <w:t>纳入污水收集系统，后期雨水应及时排放或回用于生产</w:t>
            </w:r>
          </w:p>
        </w:tc>
        <w:tc>
          <w:tcPr>
            <w:tcW w:w="4111" w:type="dxa"/>
          </w:tcPr>
          <w:p>
            <w:pPr>
              <w:pStyle w:val="TableParagraph"/>
              <w:numPr>
                <w:ilvl w:val="0"/>
                <w:numId w:val="68"/>
              </w:numPr>
              <w:tabs>
                <w:tab w:pos="165" w:val="left" w:leader="none"/>
              </w:tabs>
              <w:spacing w:line="242" w:lineRule="auto" w:before="0" w:after="0"/>
              <w:ind w:left="27" w:right="18" w:firstLine="0"/>
              <w:jc w:val="both"/>
              <w:rPr>
                <w:sz w:val="18"/>
              </w:rPr>
            </w:pPr>
            <w:r>
              <w:rPr>
                <w:spacing w:val="-5"/>
                <w:sz w:val="18"/>
              </w:rPr>
              <w:t>企业废水总排放口已安装在线监控设施，并与生态</w:t>
            </w:r>
            <w:r>
              <w:rPr>
                <w:spacing w:val="-8"/>
                <w:sz w:val="18"/>
              </w:rPr>
              <w:t>环境主管部门联网。企业已安装刷卡排污设施，并</w:t>
            </w:r>
            <w:r>
              <w:rPr>
                <w:spacing w:val="-160"/>
                <w:sz w:val="18"/>
              </w:rPr>
              <w:t>与</w:t>
            </w:r>
            <w:r>
              <w:rPr>
                <w:w w:val="105"/>
                <w:sz w:val="18"/>
              </w:rPr>
              <w:t>生态环境主管部门联网。</w:t>
            </w:r>
          </w:p>
          <w:p>
            <w:pPr>
              <w:pStyle w:val="TableParagraph"/>
              <w:numPr>
                <w:ilvl w:val="0"/>
                <w:numId w:val="68"/>
              </w:numPr>
              <w:tabs>
                <w:tab w:pos="165" w:val="left" w:leader="none"/>
              </w:tabs>
              <w:spacing w:line="242" w:lineRule="auto" w:before="2" w:after="0"/>
              <w:ind w:left="27" w:right="16" w:firstLine="0"/>
              <w:jc w:val="both"/>
              <w:rPr>
                <w:sz w:val="18"/>
              </w:rPr>
            </w:pPr>
            <w:r>
              <w:rPr>
                <w:spacing w:val="-5"/>
                <w:sz w:val="18"/>
              </w:rPr>
              <w:t>己规范建设雨水排放口，雨水排放口安装了智能化</w:t>
            </w:r>
            <w:r>
              <w:rPr>
                <w:spacing w:val="-7"/>
                <w:sz w:val="18"/>
              </w:rPr>
              <w:t>监控设施，并与生态环境主管部门联网</w:t>
            </w:r>
            <w:r>
              <w:rPr>
                <w:spacing w:val="-44"/>
                <w:w w:val="180"/>
                <w:sz w:val="18"/>
              </w:rPr>
              <w:t>。</w:t>
            </w:r>
            <w:r>
              <w:rPr>
                <w:spacing w:val="-4"/>
                <w:sz w:val="18"/>
              </w:rPr>
              <w:t>雨水收集 </w:t>
            </w:r>
            <w:r>
              <w:rPr>
                <w:spacing w:val="-48"/>
                <w:sz w:val="18"/>
              </w:rPr>
              <w:t>采用明沟</w:t>
            </w:r>
            <w:r>
              <w:rPr>
                <w:sz w:val="18"/>
              </w:rPr>
              <w:t>（</w:t>
            </w:r>
            <w:r>
              <w:rPr>
                <w:spacing w:val="-15"/>
                <w:sz w:val="18"/>
              </w:rPr>
              <w:t>渠〉</w:t>
            </w:r>
            <w:r>
              <w:rPr>
                <w:sz w:val="18"/>
              </w:rPr>
              <w:t>﹐</w:t>
            </w:r>
            <w:r>
              <w:rPr>
                <w:spacing w:val="-3"/>
                <w:sz w:val="18"/>
              </w:rPr>
              <w:t>初期雨水纳入污水收集系统，后期雨</w:t>
            </w:r>
          </w:p>
          <w:p>
            <w:pPr>
              <w:pStyle w:val="TableParagraph"/>
              <w:spacing w:line="213" w:lineRule="exact" w:before="2"/>
              <w:ind w:left="27"/>
              <w:jc w:val="left"/>
              <w:rPr>
                <w:sz w:val="18"/>
              </w:rPr>
            </w:pPr>
            <w:r>
              <w:rPr>
                <w:w w:val="110"/>
                <w:sz w:val="18"/>
              </w:rPr>
              <w:t>水及时排放。</w:t>
            </w:r>
          </w:p>
        </w:tc>
        <w:tc>
          <w:tcPr>
            <w:tcW w:w="2513" w:type="dxa"/>
          </w:tcPr>
          <w:p>
            <w:pPr>
              <w:pStyle w:val="TableParagraph"/>
              <w:spacing w:line="242" w:lineRule="auto"/>
              <w:ind w:left="27" w:right="15" w:hanging="89"/>
              <w:rPr>
                <w:sz w:val="18"/>
              </w:rPr>
            </w:pPr>
            <w:r>
              <w:rPr>
                <w:spacing w:val="-8"/>
                <w:sz w:val="18"/>
              </w:rPr>
              <w:t>项目位于企业新征用地</w:t>
            </w:r>
            <w:r>
              <w:rPr>
                <w:sz w:val="18"/>
              </w:rPr>
              <w:t>（东区</w:t>
            </w:r>
            <w:r>
              <w:rPr>
                <w:spacing w:val="-75"/>
                <w:sz w:val="18"/>
              </w:rPr>
              <w:t>） </w:t>
            </w:r>
            <w:r>
              <w:rPr>
                <w:sz w:val="18"/>
              </w:rPr>
              <w:t>废水总排放口拟安装在线监控 </w:t>
            </w:r>
            <w:r>
              <w:rPr>
                <w:spacing w:val="-8"/>
                <w:sz w:val="18"/>
              </w:rPr>
              <w:t>设施和刷卡排污设施，并与生态环境主管部门联网；雨水排放口</w:t>
            </w:r>
            <w:r>
              <w:rPr>
                <w:spacing w:val="-7"/>
                <w:sz w:val="18"/>
              </w:rPr>
              <w:t>拟安装智能化监控设施，并与生</w:t>
            </w:r>
          </w:p>
          <w:p>
            <w:pPr>
              <w:pStyle w:val="TableParagraph"/>
              <w:spacing w:line="230" w:lineRule="atLeast" w:before="4"/>
              <w:ind w:left="27" w:right="15"/>
              <w:rPr>
                <w:sz w:val="18"/>
              </w:rPr>
            </w:pPr>
            <w:r>
              <w:rPr>
                <w:w w:val="105"/>
                <w:sz w:val="18"/>
              </w:rPr>
              <w:t>态环境主管部门联网</w:t>
            </w:r>
            <w:r>
              <w:rPr>
                <w:spacing w:val="-63"/>
                <w:w w:val="135"/>
                <w:sz w:val="18"/>
              </w:rPr>
              <w:t>。</w:t>
            </w:r>
            <w:r>
              <w:rPr>
                <w:spacing w:val="-6"/>
                <w:w w:val="105"/>
                <w:sz w:val="18"/>
              </w:rPr>
              <w:t>雨水收</w:t>
            </w:r>
            <w:r>
              <w:rPr>
                <w:spacing w:val="-160"/>
                <w:w w:val="105"/>
                <w:sz w:val="18"/>
              </w:rPr>
              <w:t>集</w:t>
            </w:r>
            <w:r>
              <w:rPr>
                <w:w w:val="105"/>
                <w:sz w:val="18"/>
              </w:rPr>
              <w:t>采用采用明沟（渠）</w:t>
            </w:r>
          </w:p>
        </w:tc>
        <w:tc>
          <w:tcPr>
            <w:tcW w:w="602" w:type="dxa"/>
          </w:tcPr>
          <w:p>
            <w:pPr>
              <w:pStyle w:val="TableParagraph"/>
              <w:spacing w:line="230" w:lineRule="exact"/>
              <w:ind w:left="-117"/>
              <w:jc w:val="left"/>
              <w:rPr>
                <w:sz w:val="18"/>
              </w:rPr>
            </w:pPr>
            <w:r>
              <w:rPr>
                <w:sz w:val="18"/>
              </w:rPr>
              <w:t>，</w:t>
            </w:r>
          </w:p>
          <w:p>
            <w:pPr>
              <w:pStyle w:val="TableParagraph"/>
              <w:jc w:val="left"/>
              <w:rPr>
                <w:rFonts w:ascii="Times New Roman"/>
                <w:sz w:val="18"/>
              </w:rPr>
            </w:pPr>
          </w:p>
          <w:p>
            <w:pPr>
              <w:pStyle w:val="TableParagraph"/>
              <w:spacing w:before="10"/>
              <w:jc w:val="left"/>
              <w:rPr>
                <w:rFonts w:ascii="Times New Roman"/>
                <w:sz w:val="22"/>
              </w:rPr>
            </w:pPr>
          </w:p>
          <w:p>
            <w:pPr>
              <w:pStyle w:val="TableParagraph"/>
              <w:ind w:left="121"/>
              <w:jc w:val="left"/>
              <w:rPr>
                <w:sz w:val="18"/>
              </w:rPr>
            </w:pPr>
            <w:r>
              <w:rPr>
                <w:sz w:val="18"/>
              </w:rPr>
              <w:t>符合</w:t>
            </w:r>
          </w:p>
        </w:tc>
      </w:tr>
      <w:tr>
        <w:trPr>
          <w:trHeight w:val="1168" w:hRule="atLeast"/>
        </w:trPr>
        <w:tc>
          <w:tcPr>
            <w:tcW w:w="744" w:type="dxa"/>
          </w:tcPr>
          <w:p>
            <w:pPr>
              <w:pStyle w:val="TableParagraph"/>
              <w:jc w:val="left"/>
              <w:rPr>
                <w:rFonts w:ascii="Times New Roman"/>
                <w:sz w:val="18"/>
              </w:rPr>
            </w:pPr>
          </w:p>
          <w:p>
            <w:pPr>
              <w:pStyle w:val="TableParagraph"/>
              <w:spacing w:line="244" w:lineRule="auto" w:before="144"/>
              <w:ind w:left="103" w:right="90"/>
              <w:jc w:val="left"/>
              <w:rPr>
                <w:sz w:val="18"/>
              </w:rPr>
            </w:pPr>
            <w:r>
              <w:rPr>
                <w:sz w:val="18"/>
              </w:rPr>
              <w:t>废气收集管理</w:t>
            </w:r>
          </w:p>
        </w:tc>
        <w:tc>
          <w:tcPr>
            <w:tcW w:w="720" w:type="dxa"/>
          </w:tcPr>
          <w:p>
            <w:pPr>
              <w:pStyle w:val="TableParagraph"/>
              <w:jc w:val="left"/>
              <w:rPr>
                <w:rFonts w:ascii="Times New Roman"/>
                <w:sz w:val="20"/>
              </w:rPr>
            </w:pPr>
          </w:p>
          <w:p>
            <w:pPr>
              <w:pStyle w:val="TableParagraph"/>
              <w:spacing w:before="8"/>
              <w:jc w:val="left"/>
              <w:rPr>
                <w:rFonts w:ascii="Times New Roman"/>
                <w:sz w:val="21"/>
              </w:rPr>
            </w:pPr>
          </w:p>
          <w:p>
            <w:pPr>
              <w:pStyle w:val="TableParagraph"/>
              <w:spacing w:before="1"/>
              <w:ind w:left="9"/>
              <w:rPr>
                <w:rFonts w:ascii="Times New Roman"/>
                <w:sz w:val="18"/>
              </w:rPr>
            </w:pPr>
            <w:r>
              <w:rPr>
                <w:rFonts w:ascii="Times New Roman"/>
                <w:sz w:val="18"/>
              </w:rPr>
              <w:t>1</w:t>
            </w:r>
          </w:p>
        </w:tc>
        <w:tc>
          <w:tcPr>
            <w:tcW w:w="5369" w:type="dxa"/>
          </w:tcPr>
          <w:p>
            <w:pPr>
              <w:pStyle w:val="TableParagraph"/>
              <w:spacing w:line="242" w:lineRule="auto"/>
              <w:ind w:left="28" w:right="13"/>
              <w:jc w:val="both"/>
              <w:rPr>
                <w:sz w:val="18"/>
              </w:rPr>
            </w:pPr>
            <w:r>
              <w:rPr>
                <w:spacing w:val="-7"/>
                <w:sz w:val="18"/>
              </w:rPr>
              <w:t>废气收集应按照小风量、高浓度原则设计，除安全因素以外，严禁稀</w:t>
            </w:r>
            <w:r>
              <w:rPr>
                <w:spacing w:val="-6"/>
                <w:sz w:val="18"/>
              </w:rPr>
              <w:t>释收集、处理</w:t>
            </w:r>
            <w:r>
              <w:rPr>
                <w:spacing w:val="-29"/>
                <w:w w:val="180"/>
                <w:sz w:val="18"/>
              </w:rPr>
              <w:t>。</w:t>
            </w:r>
            <w:r>
              <w:rPr>
                <w:spacing w:val="-4"/>
                <w:sz w:val="18"/>
              </w:rPr>
              <w:t>液体投料应采用重力流或正压输送，异味明显的固</w:t>
            </w:r>
            <w:r>
              <w:rPr>
                <w:spacing w:val="-160"/>
                <w:sz w:val="18"/>
              </w:rPr>
              <w:t>体</w:t>
            </w:r>
            <w:r>
              <w:rPr>
                <w:spacing w:val="-9"/>
                <w:sz w:val="18"/>
              </w:rPr>
              <w:t>投料采用固体投料器，无法使用固体投料器的应设置密闭隔间等方式隔绝物料与环境空气的接触</w:t>
            </w:r>
            <w:r>
              <w:rPr>
                <w:spacing w:val="-44"/>
                <w:w w:val="180"/>
                <w:sz w:val="18"/>
              </w:rPr>
              <w:t>。</w:t>
            </w:r>
            <w:r>
              <w:rPr>
                <w:spacing w:val="-3"/>
                <w:sz w:val="18"/>
              </w:rPr>
              <w:t>在生产中易挥发或异味明显的物料、</w:t>
            </w:r>
            <w:r>
              <w:rPr>
                <w:spacing w:val="-172"/>
                <w:sz w:val="18"/>
              </w:rPr>
              <w:t>中</w:t>
            </w:r>
          </w:p>
          <w:p>
            <w:pPr>
              <w:pStyle w:val="TableParagraph"/>
              <w:spacing w:line="215" w:lineRule="exact" w:before="2"/>
              <w:ind w:left="28"/>
              <w:jc w:val="left"/>
              <w:rPr>
                <w:sz w:val="18"/>
              </w:rPr>
            </w:pPr>
            <w:r>
              <w:rPr>
                <w:spacing w:val="-10"/>
                <w:sz w:val="18"/>
              </w:rPr>
              <w:t>间体、产品，宜采用密闭生产体系，投料、转移、出料以及抽滤、离</w:t>
            </w:r>
          </w:p>
        </w:tc>
        <w:tc>
          <w:tcPr>
            <w:tcW w:w="4111" w:type="dxa"/>
          </w:tcPr>
          <w:p>
            <w:pPr>
              <w:pStyle w:val="TableParagraph"/>
              <w:numPr>
                <w:ilvl w:val="0"/>
                <w:numId w:val="69"/>
              </w:numPr>
              <w:tabs>
                <w:tab w:pos="165" w:val="left" w:leader="none"/>
              </w:tabs>
              <w:spacing w:line="244" w:lineRule="auto" w:before="0" w:after="0"/>
              <w:ind w:left="27" w:right="16" w:firstLine="0"/>
              <w:jc w:val="left"/>
              <w:rPr>
                <w:sz w:val="18"/>
              </w:rPr>
            </w:pPr>
            <w:r>
              <w:rPr>
                <w:spacing w:val="-5"/>
                <w:sz w:val="18"/>
              </w:rPr>
              <w:t>企业废气收集按照小风量、高浓度原则设计，高浓</w:t>
            </w:r>
            <w:r>
              <w:rPr>
                <w:sz w:val="18"/>
              </w:rPr>
              <w:t>度废气设有预处理措施。</w:t>
            </w:r>
          </w:p>
          <w:p>
            <w:pPr>
              <w:pStyle w:val="TableParagraph"/>
              <w:numPr>
                <w:ilvl w:val="0"/>
                <w:numId w:val="69"/>
              </w:numPr>
              <w:tabs>
                <w:tab w:pos="165" w:val="left" w:leader="none"/>
              </w:tabs>
              <w:spacing w:line="242" w:lineRule="auto" w:before="0" w:after="0"/>
              <w:ind w:left="27" w:right="15" w:firstLine="0"/>
              <w:jc w:val="left"/>
              <w:rPr>
                <w:sz w:val="18"/>
              </w:rPr>
            </w:pPr>
            <w:r>
              <w:rPr>
                <w:spacing w:val="-4"/>
                <w:sz w:val="18"/>
              </w:rPr>
              <w:t>液体原料通过物料泵正压输送至高位槽，再通过重</w:t>
            </w:r>
            <w:r>
              <w:rPr>
                <w:spacing w:val="-9"/>
                <w:sz w:val="18"/>
              </w:rPr>
              <w:t>力流自流至反应釜；奈磺酸、催化剂固体原料采用固</w:t>
            </w:r>
          </w:p>
          <w:p>
            <w:pPr>
              <w:pStyle w:val="TableParagraph"/>
              <w:spacing w:line="215" w:lineRule="exact"/>
              <w:ind w:left="27"/>
              <w:jc w:val="left"/>
              <w:rPr>
                <w:sz w:val="18"/>
              </w:rPr>
            </w:pPr>
            <w:r>
              <w:rPr>
                <w:spacing w:val="-8"/>
                <w:sz w:val="18"/>
              </w:rPr>
              <w:t>体投料器进行放料，通过两道阀门控制，并在投料口</w:t>
            </w:r>
          </w:p>
        </w:tc>
        <w:tc>
          <w:tcPr>
            <w:tcW w:w="2513" w:type="dxa"/>
          </w:tcPr>
          <w:p>
            <w:pPr>
              <w:pStyle w:val="TableParagraph"/>
              <w:spacing w:before="5"/>
              <w:jc w:val="left"/>
              <w:rPr>
                <w:rFonts w:ascii="Times New Roman"/>
                <w:sz w:val="20"/>
              </w:rPr>
            </w:pPr>
          </w:p>
          <w:p>
            <w:pPr>
              <w:pStyle w:val="TableParagraph"/>
              <w:spacing w:line="242" w:lineRule="auto"/>
              <w:ind w:left="27" w:right="15"/>
              <w:jc w:val="both"/>
              <w:rPr>
                <w:sz w:val="18"/>
              </w:rPr>
            </w:pPr>
            <w:r>
              <w:rPr>
                <w:spacing w:val="-7"/>
                <w:sz w:val="18"/>
              </w:rPr>
              <w:t>项目液体采用正压输送，固体采</w:t>
            </w:r>
            <w:r>
              <w:rPr>
                <w:spacing w:val="-9"/>
                <w:sz w:val="18"/>
              </w:rPr>
              <w:t>固体投料装置；包装采用自动化包装机，生产过程采用密闭体系</w:t>
            </w:r>
          </w:p>
        </w:tc>
        <w:tc>
          <w:tcPr>
            <w:tcW w:w="602" w:type="dxa"/>
          </w:tcPr>
          <w:p>
            <w:pPr>
              <w:pStyle w:val="TableParagraph"/>
              <w:jc w:val="left"/>
              <w:rPr>
                <w:rFonts w:ascii="Times New Roman"/>
                <w:sz w:val="18"/>
              </w:rPr>
            </w:pPr>
          </w:p>
          <w:p>
            <w:pPr>
              <w:pStyle w:val="TableParagraph"/>
              <w:spacing w:before="8"/>
              <w:jc w:val="left"/>
              <w:rPr>
                <w:rFonts w:ascii="Times New Roman"/>
                <w:sz w:val="22"/>
              </w:rPr>
            </w:pPr>
          </w:p>
          <w:p>
            <w:pPr>
              <w:pStyle w:val="TableParagraph"/>
              <w:ind w:left="100" w:right="89"/>
              <w:rPr>
                <w:sz w:val="18"/>
              </w:rPr>
            </w:pPr>
            <w:r>
              <w:rPr>
                <w:sz w:val="18"/>
              </w:rPr>
              <w:t>符合</w:t>
            </w:r>
          </w:p>
        </w:tc>
      </w:tr>
    </w:tbl>
    <w:p>
      <w:pPr>
        <w:spacing w:after="0"/>
        <w:rPr>
          <w:sz w:val="18"/>
        </w:rPr>
        <w:sectPr>
          <w:pgSz w:w="16840" w:h="11910" w:orient="landscape"/>
          <w:pgMar w:header="872" w:footer="953" w:top="1180" w:bottom="1140" w:left="1280" w:right="1260"/>
        </w:sectPr>
      </w:pPr>
    </w:p>
    <w:p>
      <w:pPr>
        <w:pStyle w:val="BodyText"/>
        <w:spacing w:before="8"/>
        <w:rPr>
          <w:rFonts w:ascii="Times New Roman"/>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720"/>
        <w:gridCol w:w="5369"/>
        <w:gridCol w:w="4111"/>
        <w:gridCol w:w="2513"/>
        <w:gridCol w:w="602"/>
      </w:tblGrid>
      <w:tr>
        <w:trPr>
          <w:trHeight w:val="232" w:hRule="atLeast"/>
        </w:trPr>
        <w:tc>
          <w:tcPr>
            <w:tcW w:w="744" w:type="dxa"/>
          </w:tcPr>
          <w:p>
            <w:pPr>
              <w:pStyle w:val="TableParagraph"/>
              <w:spacing w:line="212" w:lineRule="exact"/>
              <w:ind w:left="191"/>
              <w:jc w:val="left"/>
              <w:rPr>
                <w:b/>
                <w:sz w:val="18"/>
              </w:rPr>
            </w:pPr>
            <w:r>
              <w:rPr>
                <w:b/>
                <w:sz w:val="18"/>
              </w:rPr>
              <w:t>类别</w:t>
            </w:r>
          </w:p>
        </w:tc>
        <w:tc>
          <w:tcPr>
            <w:tcW w:w="720" w:type="dxa"/>
          </w:tcPr>
          <w:p>
            <w:pPr>
              <w:pStyle w:val="TableParagraph"/>
              <w:spacing w:line="212" w:lineRule="exact"/>
              <w:ind w:left="161" w:right="146"/>
              <w:rPr>
                <w:b/>
                <w:sz w:val="18"/>
              </w:rPr>
            </w:pPr>
            <w:r>
              <w:rPr>
                <w:b/>
                <w:sz w:val="18"/>
              </w:rPr>
              <w:t>序号</w:t>
            </w:r>
          </w:p>
        </w:tc>
        <w:tc>
          <w:tcPr>
            <w:tcW w:w="5369" w:type="dxa"/>
          </w:tcPr>
          <w:p>
            <w:pPr>
              <w:pStyle w:val="TableParagraph"/>
              <w:spacing w:line="212" w:lineRule="exact"/>
              <w:ind w:left="23" w:right="16"/>
              <w:rPr>
                <w:b/>
                <w:sz w:val="18"/>
              </w:rPr>
            </w:pPr>
            <w:r>
              <w:rPr>
                <w:b/>
                <w:sz w:val="18"/>
              </w:rPr>
              <w:t>内容及要求</w:t>
            </w:r>
          </w:p>
        </w:tc>
        <w:tc>
          <w:tcPr>
            <w:tcW w:w="4111" w:type="dxa"/>
          </w:tcPr>
          <w:p>
            <w:pPr>
              <w:pStyle w:val="TableParagraph"/>
              <w:spacing w:line="212" w:lineRule="exact"/>
              <w:ind w:left="1150"/>
              <w:jc w:val="left"/>
              <w:rPr>
                <w:b/>
                <w:sz w:val="18"/>
              </w:rPr>
            </w:pPr>
            <w:r>
              <w:rPr>
                <w:b/>
                <w:sz w:val="18"/>
              </w:rPr>
              <w:t>现有企业提升改造情况</w:t>
            </w:r>
          </w:p>
        </w:tc>
        <w:tc>
          <w:tcPr>
            <w:tcW w:w="2513" w:type="dxa"/>
          </w:tcPr>
          <w:p>
            <w:pPr>
              <w:pStyle w:val="TableParagraph"/>
              <w:spacing w:line="212" w:lineRule="exact"/>
              <w:ind w:left="622"/>
              <w:jc w:val="left"/>
              <w:rPr>
                <w:b/>
                <w:sz w:val="18"/>
              </w:rPr>
            </w:pPr>
            <w:r>
              <w:rPr>
                <w:b/>
                <w:sz w:val="18"/>
              </w:rPr>
              <w:t>本项目采纳情况</w:t>
            </w:r>
          </w:p>
        </w:tc>
        <w:tc>
          <w:tcPr>
            <w:tcW w:w="602" w:type="dxa"/>
          </w:tcPr>
          <w:p>
            <w:pPr>
              <w:pStyle w:val="TableParagraph"/>
              <w:spacing w:line="212" w:lineRule="exact"/>
              <w:ind w:left="100" w:right="89"/>
              <w:rPr>
                <w:b/>
                <w:sz w:val="18"/>
              </w:rPr>
            </w:pPr>
            <w:r>
              <w:rPr>
                <w:b/>
                <w:sz w:val="18"/>
              </w:rPr>
              <w:t>备注</w:t>
            </w:r>
          </w:p>
        </w:tc>
      </w:tr>
      <w:tr>
        <w:trPr>
          <w:trHeight w:val="1869" w:hRule="atLeast"/>
        </w:trPr>
        <w:tc>
          <w:tcPr>
            <w:tcW w:w="744" w:type="dxa"/>
            <w:vMerge w:val="restart"/>
          </w:tcPr>
          <w:p>
            <w:pPr>
              <w:pStyle w:val="TableParagraph"/>
              <w:jc w:val="left"/>
              <w:rPr>
                <w:rFonts w:ascii="Times New Roman"/>
                <w:sz w:val="18"/>
              </w:rPr>
            </w:pPr>
          </w:p>
        </w:tc>
        <w:tc>
          <w:tcPr>
            <w:tcW w:w="720" w:type="dxa"/>
          </w:tcPr>
          <w:p>
            <w:pPr>
              <w:pStyle w:val="TableParagraph"/>
              <w:jc w:val="left"/>
              <w:rPr>
                <w:rFonts w:ascii="Times New Roman"/>
                <w:sz w:val="18"/>
              </w:rPr>
            </w:pPr>
          </w:p>
        </w:tc>
        <w:tc>
          <w:tcPr>
            <w:tcW w:w="5369" w:type="dxa"/>
          </w:tcPr>
          <w:p>
            <w:pPr>
              <w:pStyle w:val="TableParagraph"/>
              <w:spacing w:line="242" w:lineRule="auto"/>
              <w:ind w:left="28" w:right="13" w:hanging="3"/>
              <w:rPr>
                <w:sz w:val="18"/>
              </w:rPr>
            </w:pPr>
            <w:r>
              <w:rPr>
                <w:spacing w:val="-9"/>
                <w:sz w:val="18"/>
              </w:rPr>
              <w:t>心、干燥、烘干等固液分离工序宜采用密闭设施，无法密闭的应采用密闭隔间等方式隔绝物料与环境空气的接触</w:t>
            </w:r>
            <w:r>
              <w:rPr>
                <w:spacing w:val="-89"/>
                <w:w w:val="180"/>
                <w:sz w:val="18"/>
              </w:rPr>
              <w:t>。</w:t>
            </w:r>
            <w:r>
              <w:rPr>
                <w:spacing w:val="-2"/>
                <w:sz w:val="18"/>
              </w:rPr>
              <w:t>挥发性或异味明显的 </w:t>
            </w:r>
            <w:r>
              <w:rPr>
                <w:spacing w:val="-18"/>
                <w:sz w:val="18"/>
              </w:rPr>
              <w:t>成品包装单元，根据包装形式，应选用效率高、物料转移简单、自动</w:t>
            </w:r>
            <w:r>
              <w:rPr>
                <w:spacing w:val="-15"/>
                <w:sz w:val="18"/>
              </w:rPr>
              <w:t>化程度高的包装设备，异味难以收集的应设置密闭隔间等</w:t>
            </w:r>
            <w:r>
              <w:rPr>
                <w:spacing w:val="-46"/>
                <w:w w:val="180"/>
                <w:sz w:val="18"/>
              </w:rPr>
              <w:t>。</w:t>
            </w:r>
            <w:r>
              <w:rPr>
                <w:sz w:val="18"/>
              </w:rPr>
              <w:t>设置密</w:t>
            </w:r>
            <w:r>
              <w:rPr>
                <w:spacing w:val="-18"/>
                <w:sz w:val="18"/>
              </w:rPr>
              <w:t>闭隔间的，须对废气产生点位采取局部集气罩的方式收集，提高效率减少换风次数，减少总风量</w:t>
            </w:r>
          </w:p>
        </w:tc>
        <w:tc>
          <w:tcPr>
            <w:tcW w:w="4111" w:type="dxa"/>
          </w:tcPr>
          <w:p>
            <w:pPr>
              <w:pStyle w:val="TableParagraph"/>
              <w:spacing w:line="242" w:lineRule="auto"/>
              <w:ind w:left="27" w:right="16"/>
              <w:jc w:val="both"/>
              <w:rPr>
                <w:sz w:val="18"/>
              </w:rPr>
            </w:pPr>
            <w:r>
              <w:rPr>
                <w:spacing w:val="-9"/>
                <w:sz w:val="18"/>
              </w:rPr>
              <w:t>上方安有集气罩。整改后对废气管道进行疏通，及 </w:t>
            </w:r>
            <w:r>
              <w:rPr>
                <w:spacing w:val="62"/>
                <w:sz w:val="18"/>
              </w:rPr>
              <w:t> </w:t>
            </w:r>
            <w:r>
              <w:rPr>
                <w:spacing w:val="-18"/>
                <w:w w:val="105"/>
                <w:sz w:val="18"/>
              </w:rPr>
              <w:t>时排出堵塞管道的积液</w:t>
            </w:r>
            <w:r>
              <w:rPr>
                <w:spacing w:val="-85"/>
                <w:w w:val="155"/>
                <w:sz w:val="18"/>
              </w:rPr>
              <w:t>。</w:t>
            </w:r>
            <w:r>
              <w:rPr>
                <w:w w:val="105"/>
                <w:sz w:val="18"/>
              </w:rPr>
              <w:t>将硝化车间内取样口处集</w:t>
            </w:r>
            <w:r>
              <w:rPr>
                <w:spacing w:val="-14"/>
                <w:w w:val="105"/>
                <w:sz w:val="18"/>
              </w:rPr>
              <w:t>气罩改造成移动式集气罩，便于收集。</w:t>
            </w:r>
          </w:p>
          <w:p>
            <w:pPr>
              <w:pStyle w:val="TableParagraph"/>
              <w:numPr>
                <w:ilvl w:val="0"/>
                <w:numId w:val="70"/>
              </w:numPr>
              <w:tabs>
                <w:tab w:pos="165" w:val="left" w:leader="none"/>
              </w:tabs>
              <w:spacing w:line="242" w:lineRule="auto" w:before="2" w:after="0"/>
              <w:ind w:left="27" w:right="-29" w:firstLine="0"/>
              <w:jc w:val="both"/>
              <w:rPr>
                <w:sz w:val="18"/>
              </w:rPr>
            </w:pPr>
            <w:r>
              <w:rPr>
                <w:spacing w:val="-1"/>
                <w:sz w:val="18"/>
              </w:rPr>
              <w:t>中间体、产品均为液相，通过密闭管道进行转移； </w:t>
            </w:r>
            <w:r>
              <w:rPr>
                <w:spacing w:val="-6"/>
                <w:sz w:val="18"/>
              </w:rPr>
              <w:t>仅还原工段物料需进行固液分离工序。还原物料采</w:t>
            </w:r>
            <w:r>
              <w:rPr>
                <w:spacing w:val="-152"/>
                <w:sz w:val="18"/>
              </w:rPr>
              <w:t>用</w:t>
            </w:r>
            <w:r>
              <w:rPr>
                <w:spacing w:val="-70"/>
                <w:sz w:val="18"/>
              </w:rPr>
              <w:t> </w:t>
            </w:r>
            <w:r>
              <w:rPr>
                <w:w w:val="105"/>
                <w:sz w:val="18"/>
              </w:rPr>
              <w:t>密闭式过滤器，用于催化剂与物料分离。</w:t>
            </w:r>
          </w:p>
          <w:p>
            <w:pPr>
              <w:pStyle w:val="TableParagraph"/>
              <w:numPr>
                <w:ilvl w:val="0"/>
                <w:numId w:val="70"/>
              </w:numPr>
              <w:tabs>
                <w:tab w:pos="165" w:val="left" w:leader="none"/>
              </w:tabs>
              <w:spacing w:line="230" w:lineRule="atLeast" w:before="2" w:after="0"/>
              <w:ind w:left="27" w:right="15" w:firstLine="0"/>
              <w:jc w:val="both"/>
              <w:rPr>
                <w:sz w:val="18"/>
              </w:rPr>
            </w:pPr>
            <w:r>
              <w:rPr>
                <w:spacing w:val="-23"/>
                <w:sz w:val="18"/>
              </w:rPr>
              <w:t>在 </w:t>
            </w:r>
            <w:r>
              <w:rPr>
                <w:rFonts w:ascii="Times New Roman" w:eastAsia="Times New Roman"/>
                <w:sz w:val="18"/>
              </w:rPr>
              <w:t>2,3-</w:t>
            </w:r>
            <w:r>
              <w:rPr>
                <w:spacing w:val="-3"/>
                <w:sz w:val="18"/>
              </w:rPr>
              <w:t>二甲基苯胺产品包装点设有集气装置，包装</w:t>
            </w:r>
            <w:r>
              <w:rPr>
                <w:sz w:val="18"/>
              </w:rPr>
              <w:t>过程无组织废气通过真空泵进行收集。</w:t>
            </w:r>
          </w:p>
        </w:tc>
        <w:tc>
          <w:tcPr>
            <w:tcW w:w="2513" w:type="dxa"/>
          </w:tcPr>
          <w:p>
            <w:pPr>
              <w:pStyle w:val="TableParagraph"/>
              <w:jc w:val="left"/>
              <w:rPr>
                <w:rFonts w:ascii="Times New Roman"/>
                <w:sz w:val="18"/>
              </w:rPr>
            </w:pPr>
          </w:p>
        </w:tc>
        <w:tc>
          <w:tcPr>
            <w:tcW w:w="602" w:type="dxa"/>
          </w:tcPr>
          <w:p>
            <w:pPr>
              <w:pStyle w:val="TableParagraph"/>
              <w:jc w:val="left"/>
              <w:rPr>
                <w:rFonts w:ascii="Times New Roman"/>
                <w:sz w:val="18"/>
              </w:rPr>
            </w:pPr>
          </w:p>
        </w:tc>
      </w:tr>
      <w:tr>
        <w:trPr>
          <w:trHeight w:val="2800" w:hRule="atLeast"/>
        </w:trPr>
        <w:tc>
          <w:tcPr>
            <w:tcW w:w="744" w:type="dxa"/>
            <w:vMerge/>
            <w:tcBorders>
              <w:top w:val="nil"/>
            </w:tcBorders>
          </w:tcPr>
          <w:p>
            <w:pPr>
              <w:rPr>
                <w:sz w:val="2"/>
                <w:szCs w:val="2"/>
              </w:rPr>
            </w:pPr>
          </w:p>
        </w:tc>
        <w:tc>
          <w:tcPr>
            <w:tcW w:w="720" w:type="dxa"/>
          </w:tcPr>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spacing w:before="146"/>
              <w:ind w:left="9"/>
              <w:rPr>
                <w:rFonts w:ascii="Times New Roman"/>
                <w:sz w:val="18"/>
              </w:rPr>
            </w:pPr>
            <w:r>
              <w:rPr>
                <w:rFonts w:ascii="Times New Roman"/>
                <w:sz w:val="18"/>
              </w:rPr>
              <w:t>2</w:t>
            </w:r>
          </w:p>
        </w:tc>
        <w:tc>
          <w:tcPr>
            <w:tcW w:w="5369" w:type="dxa"/>
          </w:tcPr>
          <w:p>
            <w:pPr>
              <w:pStyle w:val="TableParagraph"/>
              <w:jc w:val="left"/>
              <w:rPr>
                <w:rFonts w:ascii="Times New Roman"/>
                <w:sz w:val="20"/>
              </w:rPr>
            </w:pPr>
          </w:p>
          <w:p>
            <w:pPr>
              <w:pStyle w:val="TableParagraph"/>
              <w:jc w:val="left"/>
              <w:rPr>
                <w:rFonts w:ascii="Times New Roman"/>
                <w:sz w:val="20"/>
              </w:rPr>
            </w:pPr>
          </w:p>
          <w:p>
            <w:pPr>
              <w:pStyle w:val="TableParagraph"/>
              <w:spacing w:line="242" w:lineRule="auto" w:before="123"/>
              <w:ind w:left="28" w:right="13" w:hanging="3"/>
              <w:rPr>
                <w:sz w:val="18"/>
              </w:rPr>
            </w:pPr>
            <w:r>
              <w:rPr>
                <w:spacing w:val="-6"/>
                <w:sz w:val="18"/>
              </w:rPr>
              <w:t>应根据废气类别分质分类收集处理，非水溶性、不含卤代烃的有机废</w:t>
            </w:r>
            <w:r>
              <w:rPr>
                <w:spacing w:val="-14"/>
                <w:sz w:val="18"/>
              </w:rPr>
              <w:t>气宜采用 </w:t>
            </w:r>
            <w:r>
              <w:rPr>
                <w:rFonts w:ascii="Times New Roman" w:eastAsia="Times New Roman"/>
                <w:sz w:val="18"/>
              </w:rPr>
              <w:t>RTO </w:t>
            </w:r>
            <w:r>
              <w:rPr>
                <w:spacing w:val="-1"/>
                <w:sz w:val="18"/>
              </w:rPr>
              <w:t>焚烧等废气处理方式，同时建立涉危废气处理专家论</w:t>
            </w:r>
            <w:r>
              <w:rPr>
                <w:spacing w:val="-11"/>
                <w:sz w:val="18"/>
              </w:rPr>
              <w:t>证机制；无法分离的混合型废气应根据废气成分特性设计合理的组合</w:t>
            </w:r>
            <w:r>
              <w:rPr>
                <w:sz w:val="18"/>
              </w:rPr>
              <w:t>处理方案</w:t>
            </w:r>
            <w:r>
              <w:rPr>
                <w:spacing w:val="-46"/>
                <w:w w:val="180"/>
                <w:sz w:val="18"/>
              </w:rPr>
              <w:t>。</w:t>
            </w:r>
            <w:r>
              <w:rPr>
                <w:spacing w:val="-4"/>
                <w:sz w:val="18"/>
              </w:rPr>
              <w:t>工艺要求必须使用热风循环烘干设备的，烘干过程产生</w:t>
            </w:r>
            <w:r>
              <w:rPr>
                <w:spacing w:val="-160"/>
                <w:sz w:val="18"/>
              </w:rPr>
              <w:t>的</w:t>
            </w:r>
            <w:r>
              <w:rPr>
                <w:spacing w:val="-8"/>
                <w:sz w:val="18"/>
              </w:rPr>
              <w:t>废气应用专管引出，并经冷凝回收、预处理后，方可进入废气处理系统</w:t>
            </w:r>
            <w:r>
              <w:rPr>
                <w:spacing w:val="-46"/>
                <w:w w:val="180"/>
                <w:sz w:val="18"/>
              </w:rPr>
              <w:t>。</w:t>
            </w:r>
            <w:r>
              <w:rPr>
                <w:sz w:val="18"/>
              </w:rPr>
              <w:t>实验室产生的废气应建设相配套的废气处理设施</w:t>
            </w:r>
            <w:r>
              <w:rPr>
                <w:spacing w:val="-46"/>
                <w:w w:val="180"/>
                <w:sz w:val="18"/>
              </w:rPr>
              <w:t>。</w:t>
            </w:r>
            <w:r>
              <w:rPr>
                <w:sz w:val="18"/>
              </w:rPr>
              <w:t>污水站废</w:t>
            </w:r>
            <w:r>
              <w:rPr>
                <w:spacing w:val="-173"/>
                <w:sz w:val="18"/>
              </w:rPr>
              <w:t>气</w:t>
            </w:r>
            <w:r>
              <w:rPr>
                <w:spacing w:val="-8"/>
                <w:sz w:val="18"/>
              </w:rPr>
              <w:t>收集宜采用 </w:t>
            </w:r>
            <w:r>
              <w:rPr>
                <w:rFonts w:ascii="Times New Roman" w:eastAsia="Times New Roman"/>
                <w:sz w:val="18"/>
              </w:rPr>
              <w:t>ABAS </w:t>
            </w:r>
            <w:r>
              <w:rPr>
                <w:spacing w:val="-23"/>
                <w:sz w:val="18"/>
              </w:rPr>
              <w:t>或 </w:t>
            </w:r>
            <w:r>
              <w:rPr>
                <w:rFonts w:ascii="Times New Roman" w:eastAsia="Times New Roman"/>
                <w:sz w:val="18"/>
              </w:rPr>
              <w:t>PVDF </w:t>
            </w:r>
            <w:r>
              <w:rPr>
                <w:spacing w:val="-2"/>
                <w:sz w:val="18"/>
              </w:rPr>
              <w:t>等密封效果较好的材质</w:t>
            </w:r>
          </w:p>
        </w:tc>
        <w:tc>
          <w:tcPr>
            <w:tcW w:w="4111" w:type="dxa"/>
          </w:tcPr>
          <w:p>
            <w:pPr>
              <w:pStyle w:val="TableParagraph"/>
              <w:spacing w:line="242" w:lineRule="auto"/>
              <w:ind w:left="27" w:right="16"/>
              <w:jc w:val="both"/>
              <w:rPr>
                <w:sz w:val="18"/>
              </w:rPr>
            </w:pPr>
            <w:r>
              <w:rPr>
                <w:rFonts w:ascii="Times New Roman" w:eastAsia="Times New Roman"/>
                <w:sz w:val="18"/>
              </w:rPr>
              <w:t>1.</w:t>
            </w:r>
            <w:r>
              <w:rPr>
                <w:spacing w:val="-5"/>
                <w:sz w:val="18"/>
              </w:rPr>
              <w:t>企业生产车间废气污染物主要为：氮氧化物、硫酸</w:t>
            </w:r>
            <w:r>
              <w:rPr>
                <w:spacing w:val="-9"/>
                <w:sz w:val="18"/>
              </w:rPr>
              <w:t>雾、苯胺类、硝基苯类、戊酮等</w:t>
            </w:r>
            <w:r>
              <w:rPr>
                <w:spacing w:val="-22"/>
                <w:w w:val="180"/>
                <w:sz w:val="18"/>
              </w:rPr>
              <w:t>。</w:t>
            </w:r>
            <w:r>
              <w:rPr>
                <w:spacing w:val="-3"/>
                <w:sz w:val="18"/>
              </w:rPr>
              <w:t>根据废气类别进</w:t>
            </w:r>
            <w:r>
              <w:rPr>
                <w:spacing w:val="-160"/>
                <w:sz w:val="18"/>
              </w:rPr>
              <w:t>行</w:t>
            </w:r>
            <w:r>
              <w:rPr>
                <w:sz w:val="18"/>
              </w:rPr>
              <w:t>分类分质处理，具体如下：</w:t>
            </w:r>
          </w:p>
          <w:p>
            <w:pPr>
              <w:pStyle w:val="TableParagraph"/>
              <w:spacing w:line="242" w:lineRule="auto" w:before="2"/>
              <w:ind w:left="27" w:right="15"/>
              <w:jc w:val="both"/>
              <w:rPr>
                <w:sz w:val="18"/>
              </w:rPr>
            </w:pPr>
            <w:r>
              <w:rPr>
                <w:spacing w:val="-6"/>
                <w:sz w:val="18"/>
              </w:rPr>
              <w:t>硝化车间产生的高浓度氮氧化物废气采用“七级硝酸</w:t>
            </w:r>
            <w:r>
              <w:rPr>
                <w:spacing w:val="-11"/>
                <w:sz w:val="18"/>
              </w:rPr>
              <w:t>吸收”预处理后，与厂区苯胺类、硝基苯类、戊酮等</w:t>
            </w:r>
            <w:r>
              <w:rPr>
                <w:spacing w:val="-3"/>
                <w:sz w:val="18"/>
              </w:rPr>
              <w:t>难溶性废气污染物汇总接入“</w:t>
            </w:r>
            <w:r>
              <w:rPr>
                <w:rFonts w:ascii="Times New Roman" w:hAnsi="Times New Roman" w:eastAsia="Times New Roman"/>
                <w:sz w:val="18"/>
              </w:rPr>
              <w:t>RTO </w:t>
            </w:r>
            <w:r>
              <w:rPr>
                <w:sz w:val="18"/>
              </w:rPr>
              <w:t>焚烧</w:t>
            </w:r>
            <w:r>
              <w:rPr>
                <w:rFonts w:ascii="Times New Roman" w:hAnsi="Times New Roman" w:eastAsia="Times New Roman"/>
                <w:sz w:val="18"/>
              </w:rPr>
              <w:t>+SNCR </w:t>
            </w:r>
            <w:r>
              <w:rPr>
                <w:spacing w:val="-8"/>
                <w:sz w:val="18"/>
              </w:rPr>
              <w:t>脱硝</w:t>
            </w:r>
          </w:p>
          <w:p>
            <w:pPr>
              <w:pStyle w:val="TableParagraph"/>
              <w:spacing w:line="244" w:lineRule="auto"/>
              <w:ind w:left="27" w:right="1991"/>
              <w:jc w:val="left"/>
              <w:rPr>
                <w:sz w:val="18"/>
              </w:rPr>
            </w:pPr>
            <w:r>
              <w:rPr>
                <w:rFonts w:ascii="Times New Roman" w:hAnsi="Times New Roman" w:eastAsia="Times New Roman"/>
                <w:w w:val="105"/>
                <w:sz w:val="18"/>
              </w:rPr>
              <w:t>+</w:t>
            </w:r>
            <w:r>
              <w:rPr>
                <w:w w:val="105"/>
                <w:sz w:val="18"/>
              </w:rPr>
              <w:t>四级碱吸收”处理系统</w:t>
            </w:r>
            <w:r>
              <w:rPr>
                <w:spacing w:val="-112"/>
                <w:w w:val="105"/>
                <w:sz w:val="18"/>
              </w:rPr>
              <w:t>。</w:t>
            </w:r>
            <w:r>
              <w:rPr>
                <w:rFonts w:ascii="Times New Roman" w:hAnsi="Times New Roman" w:eastAsia="Times New Roman"/>
                <w:w w:val="105"/>
                <w:sz w:val="18"/>
              </w:rPr>
              <w:t>2.</w:t>
            </w:r>
            <w:r>
              <w:rPr>
                <w:w w:val="105"/>
                <w:sz w:val="18"/>
              </w:rPr>
              <w:t>企业不涉及烘干工序。</w:t>
            </w:r>
          </w:p>
          <w:p>
            <w:pPr>
              <w:pStyle w:val="TableParagraph"/>
              <w:numPr>
                <w:ilvl w:val="0"/>
                <w:numId w:val="71"/>
              </w:numPr>
              <w:tabs>
                <w:tab w:pos="165" w:val="left" w:leader="none"/>
              </w:tabs>
              <w:spacing w:line="242" w:lineRule="auto" w:before="0" w:after="0"/>
              <w:ind w:left="27" w:right="18" w:firstLine="0"/>
              <w:jc w:val="left"/>
              <w:rPr>
                <w:sz w:val="18"/>
              </w:rPr>
            </w:pPr>
            <w:r>
              <w:rPr>
                <w:spacing w:val="-5"/>
                <w:sz w:val="18"/>
              </w:rPr>
              <w:t>实验室设有通风橱和废气收集管道，通风柜的废气</w:t>
            </w:r>
            <w:r>
              <w:rPr>
                <w:sz w:val="18"/>
              </w:rPr>
              <w:t>收集管沿墙壁通向楼顶废气处理装置。</w:t>
            </w:r>
          </w:p>
          <w:p>
            <w:pPr>
              <w:pStyle w:val="TableParagraph"/>
              <w:numPr>
                <w:ilvl w:val="0"/>
                <w:numId w:val="71"/>
              </w:numPr>
              <w:tabs>
                <w:tab w:pos="165" w:val="left" w:leader="none"/>
              </w:tabs>
              <w:spacing w:line="230" w:lineRule="exact" w:before="0" w:after="0"/>
              <w:ind w:left="164" w:right="0" w:hanging="138"/>
              <w:jc w:val="left"/>
              <w:rPr>
                <w:sz w:val="18"/>
              </w:rPr>
            </w:pPr>
            <w:r>
              <w:rPr>
                <w:spacing w:val="-1"/>
                <w:sz w:val="18"/>
              </w:rPr>
              <w:t>污水处理站废气收集采用密封效果好的材质加盖</w:t>
            </w:r>
          </w:p>
          <w:p>
            <w:pPr>
              <w:pStyle w:val="TableParagraph"/>
              <w:spacing w:line="213" w:lineRule="exact" w:before="2"/>
              <w:ind w:left="27"/>
              <w:jc w:val="left"/>
              <w:rPr>
                <w:sz w:val="18"/>
              </w:rPr>
            </w:pPr>
            <w:r>
              <w:rPr>
                <w:w w:val="105"/>
                <w:sz w:val="18"/>
              </w:rPr>
              <w:t>对恶臭气体进行收集。</w:t>
            </w:r>
          </w:p>
        </w:tc>
        <w:tc>
          <w:tcPr>
            <w:tcW w:w="2513" w:type="dxa"/>
          </w:tcPr>
          <w:p>
            <w:pPr>
              <w:pStyle w:val="TableParagraph"/>
              <w:jc w:val="left"/>
              <w:rPr>
                <w:rFonts w:ascii="Times New Roman"/>
                <w:sz w:val="18"/>
              </w:rPr>
            </w:pPr>
          </w:p>
          <w:p>
            <w:pPr>
              <w:pStyle w:val="TableParagraph"/>
              <w:jc w:val="left"/>
              <w:rPr>
                <w:rFonts w:ascii="Times New Roman"/>
                <w:sz w:val="18"/>
              </w:rPr>
            </w:pPr>
          </w:p>
          <w:p>
            <w:pPr>
              <w:pStyle w:val="TableParagraph"/>
              <w:spacing w:before="8"/>
              <w:jc w:val="left"/>
              <w:rPr>
                <w:rFonts w:ascii="Times New Roman"/>
                <w:sz w:val="14"/>
              </w:rPr>
            </w:pPr>
          </w:p>
          <w:p>
            <w:pPr>
              <w:pStyle w:val="TableParagraph"/>
              <w:spacing w:line="242" w:lineRule="auto"/>
              <w:ind w:left="27" w:right="15" w:hanging="1"/>
              <w:rPr>
                <w:sz w:val="18"/>
              </w:rPr>
            </w:pPr>
            <w:r>
              <w:rPr>
                <w:spacing w:val="-7"/>
                <w:sz w:val="18"/>
              </w:rPr>
              <w:t>项目废气分类收集处理，有机废</w:t>
            </w:r>
            <w:r>
              <w:rPr>
                <w:spacing w:val="-6"/>
                <w:sz w:val="18"/>
              </w:rPr>
              <w:t>气甲酸采用一级喷淋预处理，粉</w:t>
            </w:r>
            <w:r>
              <w:rPr>
                <w:spacing w:val="-7"/>
                <w:sz w:val="18"/>
              </w:rPr>
              <w:t>尘采用布袋除尘预处理后，再集</w:t>
            </w:r>
            <w:r>
              <w:rPr>
                <w:sz w:val="18"/>
              </w:rPr>
              <w:t>中采用多级喷淋吸收</w:t>
            </w:r>
            <w:r>
              <w:rPr>
                <w:spacing w:val="-62"/>
                <w:w w:val="180"/>
                <w:sz w:val="18"/>
              </w:rPr>
              <w:t>。</w:t>
            </w:r>
            <w:r>
              <w:rPr>
                <w:spacing w:val="-6"/>
                <w:sz w:val="18"/>
              </w:rPr>
              <w:t>干燥工</w:t>
            </w:r>
            <w:r>
              <w:rPr>
                <w:spacing w:val="-160"/>
                <w:sz w:val="18"/>
              </w:rPr>
              <w:t>序</w:t>
            </w:r>
            <w:r>
              <w:rPr>
                <w:spacing w:val="-8"/>
                <w:sz w:val="18"/>
              </w:rPr>
              <w:t>经冷凝、一级喷淋预处理后再集中处理</w:t>
            </w:r>
            <w:r>
              <w:rPr>
                <w:spacing w:val="-63"/>
                <w:w w:val="180"/>
                <w:sz w:val="18"/>
              </w:rPr>
              <w:t>。</w:t>
            </w:r>
            <w:r>
              <w:rPr>
                <w:sz w:val="18"/>
              </w:rPr>
              <w:t>实验室和污水站废气</w:t>
            </w:r>
            <w:r>
              <w:rPr>
                <w:spacing w:val="-176"/>
                <w:sz w:val="18"/>
              </w:rPr>
              <w:t>均</w:t>
            </w:r>
            <w:r>
              <w:rPr>
                <w:sz w:val="18"/>
              </w:rPr>
              <w:t>采用废气处理设施</w:t>
            </w:r>
          </w:p>
        </w:tc>
        <w:tc>
          <w:tcPr>
            <w:tcW w:w="602" w:type="dxa"/>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8"/>
              <w:jc w:val="left"/>
              <w:rPr>
                <w:rFonts w:ascii="Times New Roman"/>
                <w:sz w:val="21"/>
              </w:rPr>
            </w:pPr>
          </w:p>
          <w:p>
            <w:pPr>
              <w:pStyle w:val="TableParagraph"/>
              <w:ind w:left="100" w:right="89"/>
              <w:rPr>
                <w:sz w:val="18"/>
              </w:rPr>
            </w:pPr>
            <w:r>
              <w:rPr>
                <w:sz w:val="18"/>
              </w:rPr>
              <w:t>符合</w:t>
            </w:r>
          </w:p>
        </w:tc>
      </w:tr>
      <w:tr>
        <w:trPr>
          <w:trHeight w:val="1634" w:hRule="atLeast"/>
        </w:trPr>
        <w:tc>
          <w:tcPr>
            <w:tcW w:w="744" w:type="dxa"/>
            <w:vMerge/>
            <w:tcBorders>
              <w:top w:val="nil"/>
            </w:tcBorders>
          </w:tcPr>
          <w:p>
            <w:pPr>
              <w:rPr>
                <w:sz w:val="2"/>
                <w:szCs w:val="2"/>
              </w:rPr>
            </w:pPr>
          </w:p>
        </w:tc>
        <w:tc>
          <w:tcPr>
            <w:tcW w:w="720" w:type="dxa"/>
          </w:tcPr>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2"/>
              </w:rPr>
            </w:pPr>
          </w:p>
          <w:p>
            <w:pPr>
              <w:pStyle w:val="TableParagraph"/>
              <w:ind w:left="9"/>
              <w:rPr>
                <w:rFonts w:ascii="Times New Roman"/>
                <w:sz w:val="18"/>
              </w:rPr>
            </w:pPr>
            <w:r>
              <w:rPr>
                <w:rFonts w:ascii="Times New Roman"/>
                <w:sz w:val="18"/>
              </w:rPr>
              <w:t>3</w:t>
            </w:r>
          </w:p>
        </w:tc>
        <w:tc>
          <w:tcPr>
            <w:tcW w:w="5369" w:type="dxa"/>
          </w:tcPr>
          <w:p>
            <w:pPr>
              <w:pStyle w:val="TableParagraph"/>
              <w:jc w:val="left"/>
              <w:rPr>
                <w:rFonts w:ascii="Times New Roman"/>
                <w:sz w:val="18"/>
              </w:rPr>
            </w:pPr>
          </w:p>
          <w:p>
            <w:pPr>
              <w:pStyle w:val="TableParagraph"/>
              <w:spacing w:line="242" w:lineRule="auto" w:before="143"/>
              <w:ind w:left="29" w:right="14" w:hanging="3"/>
              <w:rPr>
                <w:sz w:val="18"/>
              </w:rPr>
            </w:pPr>
            <w:r>
              <w:rPr>
                <w:spacing w:val="-5"/>
                <w:sz w:val="18"/>
              </w:rPr>
              <w:t>企业主要废气末端治理设施应规范安装监测采样阀门及平台，采样电</w:t>
            </w:r>
            <w:r>
              <w:rPr>
                <w:sz w:val="18"/>
              </w:rPr>
              <w:t>源保持稳定供电</w:t>
            </w:r>
            <w:r>
              <w:rPr>
                <w:spacing w:val="-29"/>
                <w:w w:val="180"/>
                <w:sz w:val="18"/>
              </w:rPr>
              <w:t>。</w:t>
            </w:r>
            <w:r>
              <w:rPr>
                <w:spacing w:val="-6"/>
                <w:sz w:val="18"/>
              </w:rPr>
              <w:t>企业应科学管理废气治理设施，鼓励安装光控、</w:t>
            </w:r>
            <w:r>
              <w:rPr>
                <w:spacing w:val="-160"/>
                <w:sz w:val="18"/>
              </w:rPr>
              <w:t>声</w:t>
            </w:r>
            <w:r>
              <w:rPr>
                <w:spacing w:val="-6"/>
                <w:sz w:val="18"/>
              </w:rPr>
              <w:t>控等报警装置及时预警设施故障，重点废气治理设施鼓励采用传感器方式全方位监管设施运行情况</w:t>
            </w:r>
          </w:p>
        </w:tc>
        <w:tc>
          <w:tcPr>
            <w:tcW w:w="4111" w:type="dxa"/>
          </w:tcPr>
          <w:p>
            <w:pPr>
              <w:pStyle w:val="TableParagraph"/>
              <w:spacing w:line="242" w:lineRule="auto"/>
              <w:ind w:left="27" w:right="15"/>
              <w:jc w:val="left"/>
              <w:rPr>
                <w:sz w:val="18"/>
              </w:rPr>
            </w:pPr>
            <w:r>
              <w:rPr>
                <w:spacing w:val="-5"/>
                <w:sz w:val="18"/>
              </w:rPr>
              <w:t>所有废气治理设施处理前后有安装监测采样阀门，废</w:t>
            </w:r>
            <w:r>
              <w:rPr>
                <w:spacing w:val="-6"/>
                <w:sz w:val="18"/>
              </w:rPr>
              <w:t>气处理装置采样平台能满足三人同时采样工作，采样</w:t>
            </w:r>
            <w:r>
              <w:rPr>
                <w:spacing w:val="-5"/>
                <w:sz w:val="18"/>
              </w:rPr>
              <w:t>电源保持稳定供电，采样平台设有安全防护栏</w:t>
            </w:r>
            <w:r>
              <w:rPr>
                <w:spacing w:val="-44"/>
                <w:w w:val="180"/>
                <w:sz w:val="18"/>
              </w:rPr>
              <w:t>。</w:t>
            </w:r>
            <w:r>
              <w:rPr>
                <w:spacing w:val="-87"/>
                <w:sz w:val="18"/>
              </w:rPr>
              <w:t>废气</w:t>
            </w:r>
            <w:r>
              <w:rPr>
                <w:spacing w:val="-7"/>
                <w:sz w:val="18"/>
              </w:rPr>
              <w:t>处理装置设有 </w:t>
            </w:r>
            <w:r>
              <w:rPr>
                <w:rFonts w:ascii="Times New Roman" w:eastAsia="Times New Roman"/>
                <w:sz w:val="18"/>
              </w:rPr>
              <w:t>pH </w:t>
            </w:r>
            <w:r>
              <w:rPr>
                <w:sz w:val="18"/>
              </w:rPr>
              <w:t>监测仪，</w:t>
            </w:r>
            <w:r>
              <w:rPr>
                <w:rFonts w:ascii="Times New Roman" w:eastAsia="Times New Roman"/>
                <w:sz w:val="18"/>
              </w:rPr>
              <w:t>RTO </w:t>
            </w:r>
            <w:r>
              <w:rPr>
                <w:spacing w:val="-7"/>
                <w:sz w:val="18"/>
              </w:rPr>
              <w:t>处理系统采用 </w:t>
            </w:r>
            <w:r>
              <w:rPr>
                <w:rFonts w:ascii="Times New Roman" w:eastAsia="Times New Roman"/>
                <w:sz w:val="18"/>
              </w:rPr>
              <w:t>PLC </w:t>
            </w:r>
            <w:r>
              <w:rPr>
                <w:spacing w:val="-12"/>
                <w:sz w:val="18"/>
              </w:rPr>
              <w:t>自动监控，喷淋塔尾气治理设施安装 </w:t>
            </w:r>
            <w:r>
              <w:rPr>
                <w:rFonts w:ascii="Times New Roman" w:eastAsia="Times New Roman"/>
                <w:sz w:val="18"/>
              </w:rPr>
              <w:t>DCS </w:t>
            </w:r>
            <w:r>
              <w:rPr>
                <w:sz w:val="18"/>
              </w:rPr>
              <w:t>自动监控</w:t>
            </w:r>
            <w:r>
              <w:rPr>
                <w:spacing w:val="-5"/>
                <w:sz w:val="18"/>
              </w:rPr>
              <w:t>整改后企业废气设计方案由有关单位编制，并经专家</w:t>
            </w:r>
          </w:p>
          <w:p>
            <w:pPr>
              <w:pStyle w:val="TableParagraph"/>
              <w:spacing w:line="213" w:lineRule="exact" w:before="4"/>
              <w:ind w:left="27"/>
              <w:jc w:val="left"/>
              <w:rPr>
                <w:sz w:val="18"/>
              </w:rPr>
            </w:pPr>
            <w:r>
              <w:rPr>
                <w:spacing w:val="-14"/>
                <w:sz w:val="18"/>
              </w:rPr>
              <w:t>认证，方案内 </w:t>
            </w:r>
            <w:r>
              <w:rPr>
                <w:rFonts w:ascii="Times New Roman" w:hAnsi="Times New Roman" w:eastAsia="Times New Roman"/>
                <w:sz w:val="18"/>
              </w:rPr>
              <w:t>RTO </w:t>
            </w:r>
            <w:r>
              <w:rPr>
                <w:spacing w:val="-5"/>
                <w:sz w:val="18"/>
              </w:rPr>
              <w:t>炉内温度要求控制在 </w:t>
            </w:r>
            <w:r>
              <w:rPr>
                <w:rFonts w:ascii="Times New Roman" w:hAnsi="Times New Roman" w:eastAsia="Times New Roman"/>
                <w:sz w:val="18"/>
              </w:rPr>
              <w:t>850</w:t>
            </w:r>
            <w:r>
              <w:rPr>
                <w:sz w:val="18"/>
              </w:rPr>
              <w:t>℃左右</w:t>
            </w:r>
          </w:p>
        </w:tc>
        <w:tc>
          <w:tcPr>
            <w:tcW w:w="2513" w:type="dxa"/>
          </w:tcPr>
          <w:p>
            <w:pPr>
              <w:pStyle w:val="TableParagraph"/>
              <w:jc w:val="left"/>
              <w:rPr>
                <w:rFonts w:ascii="Times New Roman"/>
                <w:sz w:val="18"/>
              </w:rPr>
            </w:pPr>
          </w:p>
          <w:p>
            <w:pPr>
              <w:pStyle w:val="TableParagraph"/>
              <w:spacing w:before="8"/>
              <w:jc w:val="left"/>
              <w:rPr>
                <w:rFonts w:ascii="Times New Roman"/>
                <w:sz w:val="22"/>
              </w:rPr>
            </w:pPr>
          </w:p>
          <w:p>
            <w:pPr>
              <w:pStyle w:val="TableParagraph"/>
              <w:spacing w:line="242" w:lineRule="auto"/>
              <w:ind w:left="85" w:right="75"/>
              <w:jc w:val="right"/>
              <w:rPr>
                <w:sz w:val="18"/>
              </w:rPr>
            </w:pPr>
            <w:r>
              <w:rPr>
                <w:spacing w:val="-2"/>
                <w:sz w:val="18"/>
              </w:rPr>
              <w:t>项目主要废气末端治理设施拟按照要求安装监测采样阀门及</w:t>
            </w:r>
          </w:p>
          <w:p>
            <w:pPr>
              <w:pStyle w:val="TableParagraph"/>
              <w:spacing w:line="230" w:lineRule="exact"/>
              <w:ind w:left="-117" w:right="75"/>
              <w:jc w:val="right"/>
              <w:rPr>
                <w:sz w:val="18"/>
              </w:rPr>
            </w:pPr>
            <w:r>
              <w:rPr>
                <w:spacing w:val="21"/>
                <w:w w:val="135"/>
                <w:sz w:val="18"/>
              </w:rPr>
              <w:t>。</w:t>
            </w:r>
            <w:r>
              <w:rPr>
                <w:spacing w:val="-2"/>
                <w:w w:val="105"/>
                <w:sz w:val="18"/>
              </w:rPr>
              <w:t>平台；科学管理废气治理设</w:t>
            </w:r>
            <w:r>
              <w:rPr>
                <w:spacing w:val="-160"/>
                <w:w w:val="105"/>
                <w:sz w:val="18"/>
              </w:rPr>
              <w:t>施</w:t>
            </w:r>
          </w:p>
          <w:p>
            <w:pPr>
              <w:pStyle w:val="TableParagraph"/>
              <w:spacing w:before="7"/>
              <w:jc w:val="left"/>
              <w:rPr>
                <w:rFonts w:ascii="Times New Roman"/>
                <w:sz w:val="20"/>
              </w:rPr>
            </w:pPr>
          </w:p>
          <w:p>
            <w:pPr>
              <w:pStyle w:val="TableParagraph"/>
              <w:spacing w:line="213" w:lineRule="exact"/>
              <w:ind w:left="-117"/>
              <w:jc w:val="left"/>
              <w:rPr>
                <w:sz w:val="18"/>
              </w:rPr>
            </w:pPr>
            <w:r>
              <w:rPr>
                <w:w w:val="200"/>
                <w:sz w:val="18"/>
              </w:rPr>
              <w:t>。</w:t>
            </w:r>
          </w:p>
        </w:tc>
        <w:tc>
          <w:tcPr>
            <w:tcW w:w="602" w:type="dxa"/>
          </w:tcPr>
          <w:p>
            <w:pPr>
              <w:pStyle w:val="TableParagraph"/>
              <w:jc w:val="left"/>
              <w:rPr>
                <w:rFonts w:ascii="Times New Roman"/>
                <w:sz w:val="18"/>
              </w:rPr>
            </w:pPr>
          </w:p>
          <w:p>
            <w:pPr>
              <w:pStyle w:val="TableParagraph"/>
              <w:jc w:val="left"/>
              <w:rPr>
                <w:rFonts w:ascii="Times New Roman"/>
                <w:sz w:val="18"/>
              </w:rPr>
            </w:pPr>
          </w:p>
          <w:p>
            <w:pPr>
              <w:pStyle w:val="TableParagraph"/>
              <w:spacing w:before="11"/>
              <w:jc w:val="left"/>
              <w:rPr>
                <w:rFonts w:ascii="Times New Roman"/>
                <w:sz w:val="24"/>
              </w:rPr>
            </w:pPr>
          </w:p>
          <w:p>
            <w:pPr>
              <w:pStyle w:val="TableParagraph"/>
              <w:ind w:left="100" w:right="89"/>
              <w:rPr>
                <w:sz w:val="18"/>
              </w:rPr>
            </w:pPr>
            <w:r>
              <w:rPr>
                <w:sz w:val="18"/>
              </w:rPr>
              <w:t>符合</w:t>
            </w:r>
          </w:p>
        </w:tc>
      </w:tr>
      <w:tr>
        <w:trPr>
          <w:trHeight w:val="1634" w:hRule="atLeast"/>
        </w:trPr>
        <w:tc>
          <w:tcPr>
            <w:tcW w:w="744" w:type="dxa"/>
            <w:vMerge w:val="restart"/>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line="244" w:lineRule="auto" w:before="110"/>
              <w:ind w:left="283" w:right="90" w:hanging="180"/>
              <w:jc w:val="left"/>
              <w:rPr>
                <w:sz w:val="18"/>
              </w:rPr>
            </w:pPr>
            <w:r>
              <w:rPr>
                <w:sz w:val="18"/>
              </w:rPr>
              <w:t>固废处理</w:t>
            </w:r>
          </w:p>
        </w:tc>
        <w:tc>
          <w:tcPr>
            <w:tcW w:w="720" w:type="dxa"/>
          </w:tcPr>
          <w:p>
            <w:pPr>
              <w:pStyle w:val="TableParagraph"/>
              <w:jc w:val="left"/>
              <w:rPr>
                <w:rFonts w:ascii="Times New Roman"/>
                <w:sz w:val="20"/>
              </w:rPr>
            </w:pPr>
          </w:p>
          <w:p>
            <w:pPr>
              <w:pStyle w:val="TableParagraph"/>
              <w:jc w:val="left"/>
              <w:rPr>
                <w:rFonts w:ascii="Times New Roman"/>
                <w:sz w:val="20"/>
              </w:rPr>
            </w:pPr>
          </w:p>
          <w:p>
            <w:pPr>
              <w:pStyle w:val="TableParagraph"/>
              <w:spacing w:before="11"/>
              <w:jc w:val="left"/>
              <w:rPr>
                <w:rFonts w:ascii="Times New Roman"/>
                <w:sz w:val="21"/>
              </w:rPr>
            </w:pPr>
          </w:p>
          <w:p>
            <w:pPr>
              <w:pStyle w:val="TableParagraph"/>
              <w:ind w:left="9"/>
              <w:rPr>
                <w:rFonts w:ascii="Times New Roman"/>
                <w:sz w:val="18"/>
              </w:rPr>
            </w:pPr>
            <w:r>
              <w:rPr>
                <w:rFonts w:ascii="Times New Roman"/>
                <w:sz w:val="18"/>
              </w:rPr>
              <w:t>1</w:t>
            </w:r>
          </w:p>
        </w:tc>
        <w:tc>
          <w:tcPr>
            <w:tcW w:w="5369" w:type="dxa"/>
          </w:tcPr>
          <w:p>
            <w:pPr>
              <w:pStyle w:val="TableParagraph"/>
              <w:ind w:left="26" w:right="16"/>
              <w:rPr>
                <w:sz w:val="18"/>
              </w:rPr>
            </w:pPr>
            <w:r>
              <w:rPr>
                <w:rFonts w:ascii="Times New Roman" w:eastAsia="Times New Roman"/>
                <w:sz w:val="18"/>
              </w:rPr>
              <w:t>43.</w:t>
            </w:r>
            <w:r>
              <w:rPr>
                <w:sz w:val="18"/>
              </w:rPr>
              <w:t>产生管理及包装要求：</w:t>
            </w:r>
          </w:p>
          <w:p>
            <w:pPr>
              <w:pStyle w:val="TableParagraph"/>
              <w:spacing w:line="242" w:lineRule="auto" w:before="2"/>
              <w:ind w:left="28" w:right="14"/>
              <w:jc w:val="both"/>
              <w:rPr>
                <w:sz w:val="18"/>
              </w:rPr>
            </w:pPr>
            <w:r>
              <w:rPr>
                <w:spacing w:val="-8"/>
                <w:sz w:val="18"/>
              </w:rPr>
              <w:t>①产生管理要求：张贴危险废物警示标识、周知卡，建立产生点位台</w:t>
            </w:r>
            <w:r>
              <w:rPr>
                <w:spacing w:val="-11"/>
                <w:sz w:val="18"/>
              </w:rPr>
              <w:t>账，对产生的危险废物进行包装，在包装容器上初步张贴危险废物标</w:t>
            </w:r>
            <w:r>
              <w:rPr>
                <w:sz w:val="18"/>
              </w:rPr>
              <w:t>签，已完成包装的危险废物在产生点位暂存时间不得超过 </w:t>
            </w:r>
            <w:r>
              <w:rPr>
                <w:rFonts w:ascii="Times New Roman" w:hAnsi="Times New Roman" w:eastAsia="Times New Roman"/>
                <w:sz w:val="18"/>
              </w:rPr>
              <w:t>24</w:t>
            </w:r>
            <w:r>
              <w:rPr>
                <w:rFonts w:ascii="Times New Roman" w:hAnsi="Times New Roman" w:eastAsia="Times New Roman"/>
                <w:spacing w:val="4"/>
                <w:sz w:val="18"/>
              </w:rPr>
              <w:t>  </w:t>
            </w:r>
            <w:r>
              <w:rPr>
                <w:spacing w:val="-41"/>
                <w:sz w:val="18"/>
              </w:rPr>
              <w:t>小时。</w:t>
            </w:r>
          </w:p>
          <w:p>
            <w:pPr>
              <w:pStyle w:val="TableParagraph"/>
              <w:spacing w:line="242" w:lineRule="auto" w:before="2"/>
              <w:ind w:left="67" w:right="14" w:hanging="39"/>
              <w:jc w:val="both"/>
              <w:rPr>
                <w:sz w:val="18"/>
              </w:rPr>
            </w:pPr>
            <w:r>
              <w:rPr>
                <w:spacing w:val="-10"/>
                <w:sz w:val="18"/>
              </w:rPr>
              <w:t>②包装要求：包装危险废物的容器必须完好无损，贮存量不得超过容</w:t>
            </w:r>
            <w:r>
              <w:rPr>
                <w:spacing w:val="-7"/>
                <w:sz w:val="18"/>
              </w:rPr>
              <w:t>器最大贮存的 </w:t>
            </w:r>
            <w:r>
              <w:rPr>
                <w:rFonts w:ascii="Times New Roman" w:hAnsi="Times New Roman" w:eastAsia="Times New Roman"/>
                <w:sz w:val="18"/>
              </w:rPr>
              <w:t>90%</w:t>
            </w:r>
            <w:r>
              <w:rPr>
                <w:spacing w:val="-1"/>
                <w:sz w:val="18"/>
              </w:rPr>
              <w:t>，产生异味的危险废物须密封容器口或袋口，易</w:t>
            </w:r>
          </w:p>
          <w:p>
            <w:pPr>
              <w:pStyle w:val="TableParagraph"/>
              <w:spacing w:line="213" w:lineRule="exact" w:before="2"/>
              <w:ind w:left="23" w:right="16"/>
              <w:rPr>
                <w:sz w:val="18"/>
              </w:rPr>
            </w:pPr>
            <w:r>
              <w:rPr>
                <w:w w:val="105"/>
                <w:sz w:val="18"/>
              </w:rPr>
              <w:t>散落的危险废物应进行打包缠绕，防止脱落。</w:t>
            </w:r>
          </w:p>
        </w:tc>
        <w:tc>
          <w:tcPr>
            <w:tcW w:w="4111" w:type="dxa"/>
          </w:tcPr>
          <w:p>
            <w:pPr>
              <w:pStyle w:val="TableParagraph"/>
              <w:numPr>
                <w:ilvl w:val="0"/>
                <w:numId w:val="72"/>
              </w:numPr>
              <w:tabs>
                <w:tab w:pos="165" w:val="left" w:leader="none"/>
              </w:tabs>
              <w:spacing w:line="242" w:lineRule="auto" w:before="0" w:after="0"/>
              <w:ind w:left="27" w:right="16" w:firstLine="0"/>
              <w:jc w:val="left"/>
              <w:rPr>
                <w:sz w:val="18"/>
              </w:rPr>
            </w:pPr>
            <w:r>
              <w:rPr>
                <w:spacing w:val="-1"/>
                <w:sz w:val="18"/>
              </w:rPr>
              <w:t>企业危废产生点张贴了危险废物警示标识、周知</w:t>
            </w:r>
            <w:r>
              <w:rPr>
                <w:spacing w:val="-12"/>
                <w:sz w:val="18"/>
              </w:rPr>
              <w:t>卡，建立了产生点位台账。车间工作人员在危险废</w:t>
            </w:r>
            <w:r>
              <w:rPr>
                <w:spacing w:val="-83"/>
                <w:sz w:val="18"/>
              </w:rPr>
              <w:t>物 产</w:t>
            </w:r>
            <w:r>
              <w:rPr>
                <w:spacing w:val="-51"/>
                <w:sz w:val="18"/>
              </w:rPr>
              <w:t>生点位将危险废物进行包装，在包装容器上初步张贴</w:t>
            </w:r>
            <w:r>
              <w:rPr>
                <w:spacing w:val="-24"/>
                <w:sz w:val="18"/>
              </w:rPr>
              <w:t>了危险废物标签，整改后及时将产生点暂存的危废</w:t>
            </w:r>
            <w:r>
              <w:rPr>
                <w:spacing w:val="-24"/>
                <w:w w:val="110"/>
                <w:sz w:val="18"/>
              </w:rPr>
              <w:t>入库。</w:t>
            </w:r>
          </w:p>
          <w:p>
            <w:pPr>
              <w:pStyle w:val="TableParagraph"/>
              <w:numPr>
                <w:ilvl w:val="0"/>
                <w:numId w:val="72"/>
              </w:numPr>
              <w:tabs>
                <w:tab w:pos="165" w:val="left" w:leader="none"/>
              </w:tabs>
              <w:spacing w:line="240" w:lineRule="auto" w:before="2" w:after="0"/>
              <w:ind w:left="164" w:right="0" w:hanging="138"/>
              <w:jc w:val="left"/>
              <w:rPr>
                <w:sz w:val="18"/>
              </w:rPr>
            </w:pPr>
            <w:r>
              <w:rPr>
                <w:sz w:val="18"/>
              </w:rPr>
              <w:t>危险废物包装完好贮存量未超过容器最大贮存的</w:t>
            </w:r>
          </w:p>
          <w:p>
            <w:pPr>
              <w:pStyle w:val="TableParagraph"/>
              <w:spacing w:line="213" w:lineRule="exact" w:before="4"/>
              <w:ind w:left="27"/>
              <w:jc w:val="left"/>
              <w:rPr>
                <w:sz w:val="18"/>
              </w:rPr>
            </w:pPr>
            <w:r>
              <w:rPr>
                <w:rFonts w:ascii="Times New Roman" w:eastAsia="Times New Roman"/>
                <w:sz w:val="18"/>
              </w:rPr>
              <w:t>90%</w:t>
            </w:r>
            <w:r>
              <w:rPr>
                <w:sz w:val="18"/>
              </w:rPr>
              <w:t>，对包装完成的危险废物容器进行封口。</w:t>
            </w:r>
          </w:p>
        </w:tc>
        <w:tc>
          <w:tcPr>
            <w:tcW w:w="2513" w:type="dxa"/>
          </w:tcPr>
          <w:p>
            <w:pPr>
              <w:pStyle w:val="TableParagraph"/>
              <w:jc w:val="left"/>
              <w:rPr>
                <w:rFonts w:ascii="Times New Roman"/>
                <w:sz w:val="18"/>
              </w:rPr>
            </w:pPr>
          </w:p>
          <w:p>
            <w:pPr>
              <w:pStyle w:val="TableParagraph"/>
              <w:jc w:val="left"/>
              <w:rPr>
                <w:rFonts w:ascii="Times New Roman"/>
                <w:sz w:val="18"/>
              </w:rPr>
            </w:pPr>
          </w:p>
          <w:p>
            <w:pPr>
              <w:pStyle w:val="TableParagraph"/>
              <w:spacing w:before="8"/>
              <w:jc w:val="left"/>
              <w:rPr>
                <w:rFonts w:ascii="Times New Roman"/>
                <w:sz w:val="14"/>
              </w:rPr>
            </w:pPr>
          </w:p>
          <w:p>
            <w:pPr>
              <w:pStyle w:val="TableParagraph"/>
              <w:spacing w:line="244" w:lineRule="auto"/>
              <w:ind w:left="625" w:right="15" w:hanging="598"/>
              <w:jc w:val="left"/>
              <w:rPr>
                <w:sz w:val="18"/>
              </w:rPr>
            </w:pPr>
            <w:r>
              <w:rPr>
                <w:spacing w:val="-6"/>
                <w:sz w:val="18"/>
              </w:rPr>
              <w:t>企业新征用地</w:t>
            </w:r>
            <w:r>
              <w:rPr>
                <w:sz w:val="18"/>
              </w:rPr>
              <w:t>（东区</w:t>
            </w:r>
            <w:r>
              <w:rPr>
                <w:spacing w:val="-32"/>
                <w:sz w:val="18"/>
              </w:rPr>
              <w:t>）</w:t>
            </w:r>
            <w:r>
              <w:rPr>
                <w:spacing w:val="-4"/>
                <w:sz w:val="18"/>
              </w:rPr>
              <w:t>待本项目</w:t>
            </w:r>
            <w:r>
              <w:rPr>
                <w:sz w:val="18"/>
              </w:rPr>
              <w:t>建成后均可满足</w:t>
            </w:r>
          </w:p>
        </w:tc>
        <w:tc>
          <w:tcPr>
            <w:tcW w:w="602" w:type="dxa"/>
          </w:tcPr>
          <w:p>
            <w:pPr>
              <w:pStyle w:val="TableParagraph"/>
              <w:jc w:val="left"/>
              <w:rPr>
                <w:rFonts w:ascii="Times New Roman"/>
                <w:sz w:val="18"/>
              </w:rPr>
            </w:pPr>
          </w:p>
          <w:p>
            <w:pPr>
              <w:pStyle w:val="TableParagraph"/>
              <w:jc w:val="left"/>
              <w:rPr>
                <w:rFonts w:ascii="Times New Roman"/>
                <w:sz w:val="18"/>
              </w:rPr>
            </w:pPr>
          </w:p>
          <w:p>
            <w:pPr>
              <w:pStyle w:val="TableParagraph"/>
              <w:spacing w:before="10"/>
              <w:jc w:val="left"/>
              <w:rPr>
                <w:rFonts w:ascii="Times New Roman"/>
                <w:sz w:val="24"/>
              </w:rPr>
            </w:pPr>
          </w:p>
          <w:p>
            <w:pPr>
              <w:pStyle w:val="TableParagraph"/>
              <w:ind w:left="100" w:right="89"/>
              <w:rPr>
                <w:sz w:val="18"/>
              </w:rPr>
            </w:pPr>
            <w:r>
              <w:rPr>
                <w:sz w:val="18"/>
              </w:rPr>
              <w:t>符合</w:t>
            </w:r>
          </w:p>
        </w:tc>
      </w:tr>
      <w:tr>
        <w:trPr>
          <w:trHeight w:val="700" w:hRule="atLeast"/>
        </w:trPr>
        <w:tc>
          <w:tcPr>
            <w:tcW w:w="744" w:type="dxa"/>
            <w:vMerge/>
            <w:tcBorders>
              <w:top w:val="nil"/>
            </w:tcBorders>
          </w:tcPr>
          <w:p>
            <w:pPr>
              <w:rPr>
                <w:sz w:val="2"/>
                <w:szCs w:val="2"/>
              </w:rPr>
            </w:pPr>
          </w:p>
        </w:tc>
        <w:tc>
          <w:tcPr>
            <w:tcW w:w="720" w:type="dxa"/>
          </w:tcPr>
          <w:p>
            <w:pPr>
              <w:pStyle w:val="TableParagraph"/>
              <w:spacing w:before="5"/>
              <w:jc w:val="left"/>
              <w:rPr>
                <w:rFonts w:ascii="Times New Roman"/>
                <w:sz w:val="21"/>
              </w:rPr>
            </w:pPr>
          </w:p>
          <w:p>
            <w:pPr>
              <w:pStyle w:val="TableParagraph"/>
              <w:ind w:left="9"/>
              <w:rPr>
                <w:rFonts w:ascii="Times New Roman"/>
                <w:sz w:val="18"/>
              </w:rPr>
            </w:pPr>
            <w:r>
              <w:rPr>
                <w:rFonts w:ascii="Times New Roman"/>
                <w:sz w:val="18"/>
              </w:rPr>
              <w:t>2</w:t>
            </w:r>
          </w:p>
        </w:tc>
        <w:tc>
          <w:tcPr>
            <w:tcW w:w="5369" w:type="dxa"/>
          </w:tcPr>
          <w:p>
            <w:pPr>
              <w:pStyle w:val="TableParagraph"/>
              <w:ind w:left="26" w:right="16"/>
              <w:rPr>
                <w:sz w:val="18"/>
              </w:rPr>
            </w:pPr>
            <w:r>
              <w:rPr>
                <w:rFonts w:ascii="Times New Roman" w:eastAsia="Times New Roman"/>
                <w:sz w:val="18"/>
              </w:rPr>
              <w:t>44.</w:t>
            </w:r>
            <w:r>
              <w:rPr>
                <w:sz w:val="18"/>
              </w:rPr>
              <w:t>设备建设及贮存要求：</w:t>
            </w:r>
          </w:p>
          <w:p>
            <w:pPr>
              <w:pStyle w:val="TableParagraph"/>
              <w:spacing w:before="2"/>
              <w:ind w:left="88" w:right="16"/>
              <w:rPr>
                <w:sz w:val="18"/>
              </w:rPr>
            </w:pPr>
            <w:r>
              <w:rPr>
                <w:spacing w:val="-13"/>
                <w:sz w:val="18"/>
              </w:rPr>
              <w:t>①设施建设：贮存设施应防风、防雨、防晒；地面硬化、防腐、防渗、</w:t>
            </w:r>
          </w:p>
          <w:p>
            <w:pPr>
              <w:pStyle w:val="TableParagraph"/>
              <w:spacing w:line="213" w:lineRule="exact" w:before="4"/>
              <w:ind w:left="28" w:right="15"/>
              <w:rPr>
                <w:sz w:val="18"/>
              </w:rPr>
            </w:pPr>
            <w:r>
              <w:rPr>
                <w:spacing w:val="-9"/>
                <w:sz w:val="18"/>
              </w:rPr>
              <w:t>无裂缝；内部四周设置导流沟；外部设置不小于一立方的收集池，收</w:t>
            </w:r>
          </w:p>
        </w:tc>
        <w:tc>
          <w:tcPr>
            <w:tcW w:w="4111" w:type="dxa"/>
          </w:tcPr>
          <w:p>
            <w:pPr>
              <w:pStyle w:val="TableParagraph"/>
              <w:spacing w:line="242" w:lineRule="auto"/>
              <w:ind w:left="27" w:right="19"/>
              <w:jc w:val="left"/>
              <w:rPr>
                <w:sz w:val="18"/>
              </w:rPr>
            </w:pPr>
            <w:r>
              <w:rPr>
                <w:rFonts w:ascii="Times New Roman" w:eastAsia="Times New Roman"/>
                <w:sz w:val="18"/>
              </w:rPr>
              <w:t>1.</w:t>
            </w:r>
            <w:r>
              <w:rPr>
                <w:spacing w:val="-10"/>
                <w:sz w:val="18"/>
              </w:rPr>
              <w:t>危险废物贮存设施能够满足防风、防雨、防晒要求</w:t>
            </w:r>
            <w:r>
              <w:rPr>
                <w:spacing w:val="-14"/>
                <w:sz w:val="18"/>
              </w:rPr>
              <w:t>地面进行了硬化，内部四周设置了导流沟；整改后对</w:t>
            </w:r>
          </w:p>
          <w:p>
            <w:pPr>
              <w:pStyle w:val="TableParagraph"/>
              <w:spacing w:line="213" w:lineRule="exact" w:before="2"/>
              <w:ind w:left="27"/>
              <w:jc w:val="left"/>
              <w:rPr>
                <w:sz w:val="18"/>
              </w:rPr>
            </w:pPr>
            <w:r>
              <w:rPr>
                <w:spacing w:val="-8"/>
                <w:sz w:val="18"/>
              </w:rPr>
              <w:t>脱焦和精馏残液产生点位、危废仓库部分破损地面进</w:t>
            </w:r>
          </w:p>
        </w:tc>
        <w:tc>
          <w:tcPr>
            <w:tcW w:w="2513" w:type="dxa"/>
          </w:tcPr>
          <w:p>
            <w:pPr>
              <w:pStyle w:val="TableParagraph"/>
              <w:spacing w:line="174" w:lineRule="exact"/>
              <w:ind w:left="-119" w:right="2439"/>
              <w:rPr>
                <w:sz w:val="18"/>
              </w:rPr>
            </w:pPr>
            <w:r>
              <w:rPr>
                <w:sz w:val="18"/>
              </w:rPr>
              <w:t>，</w:t>
            </w:r>
          </w:p>
          <w:p>
            <w:pPr>
              <w:pStyle w:val="TableParagraph"/>
              <w:spacing w:line="174" w:lineRule="exact"/>
              <w:ind w:left="10" w:right="1"/>
              <w:rPr>
                <w:sz w:val="18"/>
              </w:rPr>
            </w:pPr>
            <w:r>
              <w:rPr>
                <w:spacing w:val="-6"/>
                <w:sz w:val="18"/>
              </w:rPr>
              <w:t>企业新征用地</w:t>
            </w:r>
            <w:r>
              <w:rPr>
                <w:sz w:val="18"/>
              </w:rPr>
              <w:t>（东区</w:t>
            </w:r>
            <w:r>
              <w:rPr>
                <w:spacing w:val="-32"/>
                <w:sz w:val="18"/>
              </w:rPr>
              <w:t>）</w:t>
            </w:r>
            <w:r>
              <w:rPr>
                <w:sz w:val="18"/>
              </w:rPr>
              <w:t>待本项目</w:t>
            </w:r>
          </w:p>
          <w:p>
            <w:pPr>
              <w:pStyle w:val="TableParagraph"/>
              <w:spacing w:before="2"/>
              <w:ind w:left="22" w:right="15"/>
              <w:rPr>
                <w:sz w:val="18"/>
              </w:rPr>
            </w:pPr>
            <w:r>
              <w:rPr>
                <w:sz w:val="18"/>
              </w:rPr>
              <w:t>建成后均可满足</w:t>
            </w:r>
          </w:p>
        </w:tc>
        <w:tc>
          <w:tcPr>
            <w:tcW w:w="602" w:type="dxa"/>
          </w:tcPr>
          <w:p>
            <w:pPr>
              <w:pStyle w:val="TableParagraph"/>
              <w:spacing w:before="2"/>
              <w:jc w:val="left"/>
              <w:rPr>
                <w:rFonts w:ascii="Times New Roman"/>
                <w:sz w:val="20"/>
              </w:rPr>
            </w:pPr>
          </w:p>
          <w:p>
            <w:pPr>
              <w:pStyle w:val="TableParagraph"/>
              <w:ind w:left="100" w:right="89"/>
              <w:rPr>
                <w:sz w:val="18"/>
              </w:rPr>
            </w:pPr>
            <w:r>
              <w:rPr>
                <w:sz w:val="18"/>
              </w:rPr>
              <w:t>符合</w:t>
            </w:r>
          </w:p>
        </w:tc>
      </w:tr>
    </w:tbl>
    <w:p>
      <w:pPr>
        <w:spacing w:after="0"/>
        <w:rPr>
          <w:sz w:val="18"/>
        </w:rPr>
        <w:sectPr>
          <w:pgSz w:w="16840" w:h="11910" w:orient="landscape"/>
          <w:pgMar w:header="872" w:footer="953" w:top="1180" w:bottom="1140" w:left="1280" w:right="1260"/>
        </w:sectPr>
      </w:pPr>
    </w:p>
    <w:p>
      <w:pPr>
        <w:pStyle w:val="BodyText"/>
        <w:spacing w:before="8"/>
        <w:rPr>
          <w:rFonts w:ascii="Times New Roman"/>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720"/>
        <w:gridCol w:w="5369"/>
        <w:gridCol w:w="4111"/>
        <w:gridCol w:w="2513"/>
        <w:gridCol w:w="602"/>
      </w:tblGrid>
      <w:tr>
        <w:trPr>
          <w:trHeight w:val="232" w:hRule="atLeast"/>
        </w:trPr>
        <w:tc>
          <w:tcPr>
            <w:tcW w:w="744" w:type="dxa"/>
          </w:tcPr>
          <w:p>
            <w:pPr>
              <w:pStyle w:val="TableParagraph"/>
              <w:spacing w:line="212" w:lineRule="exact"/>
              <w:ind w:left="191"/>
              <w:jc w:val="left"/>
              <w:rPr>
                <w:b/>
                <w:sz w:val="18"/>
              </w:rPr>
            </w:pPr>
            <w:r>
              <w:rPr>
                <w:b/>
                <w:sz w:val="18"/>
              </w:rPr>
              <w:t>类别</w:t>
            </w:r>
          </w:p>
        </w:tc>
        <w:tc>
          <w:tcPr>
            <w:tcW w:w="720" w:type="dxa"/>
          </w:tcPr>
          <w:p>
            <w:pPr>
              <w:pStyle w:val="TableParagraph"/>
              <w:spacing w:line="212" w:lineRule="exact"/>
              <w:ind w:left="161" w:right="146"/>
              <w:rPr>
                <w:b/>
                <w:sz w:val="18"/>
              </w:rPr>
            </w:pPr>
            <w:r>
              <w:rPr>
                <w:b/>
                <w:sz w:val="18"/>
              </w:rPr>
              <w:t>序号</w:t>
            </w:r>
          </w:p>
        </w:tc>
        <w:tc>
          <w:tcPr>
            <w:tcW w:w="5369" w:type="dxa"/>
          </w:tcPr>
          <w:p>
            <w:pPr>
              <w:pStyle w:val="TableParagraph"/>
              <w:spacing w:line="212" w:lineRule="exact"/>
              <w:ind w:left="23" w:right="16"/>
              <w:rPr>
                <w:b/>
                <w:sz w:val="18"/>
              </w:rPr>
            </w:pPr>
            <w:r>
              <w:rPr>
                <w:b/>
                <w:sz w:val="18"/>
              </w:rPr>
              <w:t>内容及要求</w:t>
            </w:r>
          </w:p>
        </w:tc>
        <w:tc>
          <w:tcPr>
            <w:tcW w:w="4111" w:type="dxa"/>
          </w:tcPr>
          <w:p>
            <w:pPr>
              <w:pStyle w:val="TableParagraph"/>
              <w:spacing w:line="212" w:lineRule="exact"/>
              <w:ind w:left="1150"/>
              <w:jc w:val="left"/>
              <w:rPr>
                <w:b/>
                <w:sz w:val="18"/>
              </w:rPr>
            </w:pPr>
            <w:r>
              <w:rPr>
                <w:b/>
                <w:sz w:val="18"/>
              </w:rPr>
              <w:t>现有企业提升改造情况</w:t>
            </w:r>
          </w:p>
        </w:tc>
        <w:tc>
          <w:tcPr>
            <w:tcW w:w="2513" w:type="dxa"/>
          </w:tcPr>
          <w:p>
            <w:pPr>
              <w:pStyle w:val="TableParagraph"/>
              <w:spacing w:line="212" w:lineRule="exact"/>
              <w:ind w:left="622"/>
              <w:jc w:val="left"/>
              <w:rPr>
                <w:b/>
                <w:sz w:val="18"/>
              </w:rPr>
            </w:pPr>
            <w:r>
              <w:rPr>
                <w:b/>
                <w:sz w:val="18"/>
              </w:rPr>
              <w:t>本项目采纳情况</w:t>
            </w:r>
          </w:p>
        </w:tc>
        <w:tc>
          <w:tcPr>
            <w:tcW w:w="602" w:type="dxa"/>
          </w:tcPr>
          <w:p>
            <w:pPr>
              <w:pStyle w:val="TableParagraph"/>
              <w:spacing w:line="212" w:lineRule="exact"/>
              <w:ind w:left="100" w:right="89"/>
              <w:rPr>
                <w:b/>
                <w:sz w:val="18"/>
              </w:rPr>
            </w:pPr>
            <w:r>
              <w:rPr>
                <w:b/>
                <w:sz w:val="18"/>
              </w:rPr>
              <w:t>备注</w:t>
            </w:r>
          </w:p>
        </w:tc>
      </w:tr>
      <w:tr>
        <w:trPr>
          <w:trHeight w:val="4435" w:hRule="atLeast"/>
        </w:trPr>
        <w:tc>
          <w:tcPr>
            <w:tcW w:w="744" w:type="dxa"/>
            <w:vMerge w:val="restart"/>
          </w:tcPr>
          <w:p>
            <w:pPr>
              <w:pStyle w:val="TableParagraph"/>
              <w:jc w:val="left"/>
              <w:rPr>
                <w:rFonts w:ascii="Times New Roman"/>
                <w:sz w:val="18"/>
              </w:rPr>
            </w:pPr>
          </w:p>
        </w:tc>
        <w:tc>
          <w:tcPr>
            <w:tcW w:w="720" w:type="dxa"/>
          </w:tcPr>
          <w:p>
            <w:pPr>
              <w:pStyle w:val="TableParagraph"/>
              <w:jc w:val="left"/>
              <w:rPr>
                <w:rFonts w:ascii="Times New Roman"/>
                <w:sz w:val="18"/>
              </w:rPr>
            </w:pPr>
          </w:p>
        </w:tc>
        <w:tc>
          <w:tcPr>
            <w:tcW w:w="5369" w:type="dxa"/>
          </w:tcPr>
          <w:p>
            <w:pPr>
              <w:pStyle w:val="TableParagraph"/>
              <w:spacing w:line="242" w:lineRule="auto"/>
              <w:ind w:left="28" w:right="16" w:hanging="1"/>
              <w:rPr>
                <w:sz w:val="18"/>
              </w:rPr>
            </w:pPr>
            <w:r>
              <w:rPr>
                <w:sz w:val="18"/>
              </w:rPr>
              <w:t>集池应能自动收集泄漏液体，并设置污水管道输送至污水站集中处</w:t>
            </w:r>
            <w:r>
              <w:rPr>
                <w:spacing w:val="-11"/>
                <w:sz w:val="18"/>
              </w:rPr>
              <w:t>理；贮存设施应根据危险废物的危险特性参照危险废物化学品贮存设</w:t>
            </w:r>
            <w:r>
              <w:rPr>
                <w:spacing w:val="-9"/>
                <w:sz w:val="18"/>
              </w:rPr>
              <w:t>施等级要求建设相应设施，焚烧和综合利用类的危险废物贮存设施应</w:t>
            </w:r>
            <w:r>
              <w:rPr>
                <w:spacing w:val="-16"/>
                <w:sz w:val="18"/>
              </w:rPr>
              <w:t>满足 </w:t>
            </w:r>
            <w:r>
              <w:rPr>
                <w:rFonts w:ascii="Times New Roman" w:eastAsia="Times New Roman"/>
                <w:sz w:val="18"/>
              </w:rPr>
              <w:t>2 </w:t>
            </w:r>
            <w:r>
              <w:rPr>
                <w:spacing w:val="-6"/>
                <w:sz w:val="18"/>
              </w:rPr>
              <w:t>个月时长以上正常生产活动情况下的产废贮存需求，贮存挥发性危险废物的设施应设立废气收集处理设施；配备与危险废物特性相</w:t>
            </w:r>
            <w:r>
              <w:rPr>
                <w:sz w:val="18"/>
              </w:rPr>
              <w:t>应的应急设施和物资。</w:t>
            </w:r>
          </w:p>
          <w:p>
            <w:pPr>
              <w:pStyle w:val="TableParagraph"/>
              <w:spacing w:line="242" w:lineRule="auto" w:before="4"/>
              <w:ind w:left="28" w:right="-44" w:hanging="54"/>
              <w:rPr>
                <w:sz w:val="18"/>
              </w:rPr>
            </w:pPr>
            <w:r>
              <w:rPr>
                <w:spacing w:val="-9"/>
                <w:sz w:val="18"/>
              </w:rPr>
              <w:t>②贮存要求：不得贮存与危险废物管理无关的其他物品；互相反应的</w:t>
            </w:r>
            <w:r>
              <w:rPr>
                <w:spacing w:val="-14"/>
                <w:sz w:val="18"/>
              </w:rPr>
              <w:t>危险废物不得贮存在同一场所；不同类别危险废物需分区堆放，间隔</w:t>
            </w:r>
            <w:r>
              <w:rPr>
                <w:spacing w:val="-18"/>
                <w:sz w:val="18"/>
              </w:rPr>
              <w:t>一米以上，划定分隔线或隔离墙；危险废物包装容器不得与地面接触； </w:t>
            </w:r>
            <w:r>
              <w:rPr>
                <w:spacing w:val="-4"/>
                <w:sz w:val="18"/>
              </w:rPr>
              <w:t>在贮存设施内外张贴危险废物标识和周知卡并及时更新；应由专人管</w:t>
            </w:r>
            <w:r>
              <w:rPr>
                <w:spacing w:val="-9"/>
                <w:sz w:val="18"/>
              </w:rPr>
              <w:t>理，分类别建立出入库台账并实时记录；配备称重计量设施，对入库的危险废物逐件进行称重，其中危废要求规范存放、及时清零。</w:t>
            </w:r>
          </w:p>
        </w:tc>
        <w:tc>
          <w:tcPr>
            <w:tcW w:w="4111" w:type="dxa"/>
          </w:tcPr>
          <w:p>
            <w:pPr>
              <w:pStyle w:val="TableParagraph"/>
              <w:ind w:left="27"/>
              <w:jc w:val="left"/>
              <w:rPr>
                <w:sz w:val="18"/>
              </w:rPr>
            </w:pPr>
            <w:r>
              <w:rPr>
                <w:w w:val="105"/>
                <w:sz w:val="18"/>
              </w:rPr>
              <w:t>行硬化，并做好防腐防渗措施。</w:t>
            </w:r>
          </w:p>
          <w:p>
            <w:pPr>
              <w:pStyle w:val="TableParagraph"/>
              <w:numPr>
                <w:ilvl w:val="0"/>
                <w:numId w:val="73"/>
              </w:numPr>
              <w:tabs>
                <w:tab w:pos="165" w:val="left" w:leader="none"/>
              </w:tabs>
              <w:spacing w:line="242" w:lineRule="auto" w:before="4" w:after="0"/>
              <w:ind w:left="27" w:right="15" w:firstLine="0"/>
              <w:jc w:val="both"/>
              <w:rPr>
                <w:sz w:val="18"/>
              </w:rPr>
            </w:pPr>
            <w:r>
              <w:rPr>
                <w:spacing w:val="-5"/>
                <w:sz w:val="18"/>
              </w:rPr>
              <w:t>危废贮存库配备了渗滤液收集池，收集池能够自动</w:t>
            </w:r>
            <w:r>
              <w:rPr>
                <w:spacing w:val="-11"/>
                <w:sz w:val="18"/>
              </w:rPr>
              <w:t>收集泄露液体，并安装输送泵及管路将收集到的渗漏</w:t>
            </w:r>
            <w:r>
              <w:rPr>
                <w:spacing w:val="-9"/>
                <w:sz w:val="18"/>
              </w:rPr>
              <w:t>液输送污水站集中处理，整改后将危废仓库内渗滤液</w:t>
            </w:r>
            <w:r>
              <w:rPr>
                <w:spacing w:val="-8"/>
                <w:sz w:val="18"/>
              </w:rPr>
              <w:t>收集池改造成一立方有效容积；上方设置废气收集集</w:t>
            </w:r>
            <w:r>
              <w:rPr>
                <w:spacing w:val="-10"/>
                <w:sz w:val="18"/>
              </w:rPr>
              <w:t>气罩，整改后新增设 </w:t>
            </w:r>
            <w:r>
              <w:rPr>
                <w:rFonts w:ascii="Times New Roman" w:eastAsia="Times New Roman"/>
                <w:sz w:val="18"/>
              </w:rPr>
              <w:t>2</w:t>
            </w:r>
            <w:r>
              <w:rPr>
                <w:rFonts w:ascii="Times New Roman" w:eastAsia="Times New Roman"/>
                <w:spacing w:val="1"/>
                <w:sz w:val="18"/>
              </w:rPr>
              <w:t> </w:t>
            </w:r>
            <w:r>
              <w:rPr>
                <w:spacing w:val="-9"/>
                <w:sz w:val="18"/>
              </w:rPr>
              <w:t>台引风机，加强废气收集；配</w:t>
            </w:r>
            <w:r>
              <w:rPr>
                <w:sz w:val="18"/>
              </w:rPr>
              <w:t>备相应的应急救援物资。</w:t>
            </w:r>
          </w:p>
          <w:p>
            <w:pPr>
              <w:pStyle w:val="TableParagraph"/>
              <w:numPr>
                <w:ilvl w:val="0"/>
                <w:numId w:val="73"/>
              </w:numPr>
              <w:tabs>
                <w:tab w:pos="165" w:val="left" w:leader="none"/>
              </w:tabs>
              <w:spacing w:line="242" w:lineRule="auto" w:before="2" w:after="0"/>
              <w:ind w:left="27" w:right="-29" w:firstLine="0"/>
              <w:jc w:val="left"/>
              <w:rPr>
                <w:sz w:val="18"/>
              </w:rPr>
            </w:pPr>
            <w:r>
              <w:rPr>
                <w:spacing w:val="-1"/>
                <w:sz w:val="18"/>
              </w:rPr>
              <w:t>储存场所不存在与危险废物管理无关的其他物品， </w:t>
            </w:r>
            <w:r>
              <w:rPr>
                <w:spacing w:val="-7"/>
                <w:sz w:val="18"/>
              </w:rPr>
              <w:t>不同种类的危险废物进行分区储存；脱焦残液及高沸</w:t>
            </w:r>
            <w:r>
              <w:rPr>
                <w:spacing w:val="-13"/>
                <w:sz w:val="18"/>
              </w:rPr>
              <w:t>物采用桶装储存，油及酸析污泥、芬顿氧化污泥采用吨袋储存，以上几种危废放置在不锈钢储槽内，未与</w:t>
            </w:r>
            <w:r>
              <w:rPr>
                <w:spacing w:val="-14"/>
                <w:sz w:val="18"/>
              </w:rPr>
              <w:t>地面直接接触；包装容器上张贴了危险废物标签；储</w:t>
            </w:r>
            <w:r>
              <w:rPr>
                <w:spacing w:val="-16"/>
                <w:sz w:val="18"/>
              </w:rPr>
              <w:t>存库外危险废物管理制度、警示标志及周知卡进行了上墙，周知卡上的危险废物种类与该储存库内的实</w:t>
            </w:r>
            <w:r>
              <w:rPr>
                <w:spacing w:val="-14"/>
                <w:sz w:val="18"/>
              </w:rPr>
              <w:t>际存放种类一致，大门上锁，安排专人管理</w:t>
            </w:r>
            <w:r>
              <w:rPr>
                <w:spacing w:val="-29"/>
                <w:w w:val="180"/>
                <w:sz w:val="18"/>
              </w:rPr>
              <w:t>。</w:t>
            </w:r>
            <w:r>
              <w:rPr>
                <w:sz w:val="18"/>
              </w:rPr>
              <w:t>库内</w:t>
            </w:r>
            <w:r>
              <w:rPr>
                <w:spacing w:val="-150"/>
                <w:sz w:val="18"/>
              </w:rPr>
              <w:t>建</w:t>
            </w:r>
            <w:r>
              <w:rPr>
                <w:spacing w:val="-6"/>
                <w:sz w:val="18"/>
              </w:rPr>
              <w:t>立进出台账及称重设备，台账放置在贮存仓库，每个外包装的标签上都登记了重量。</w:t>
            </w:r>
          </w:p>
          <w:p>
            <w:pPr>
              <w:pStyle w:val="TableParagraph"/>
              <w:numPr>
                <w:ilvl w:val="0"/>
                <w:numId w:val="73"/>
              </w:numPr>
              <w:tabs>
                <w:tab w:pos="165" w:val="left" w:leader="none"/>
              </w:tabs>
              <w:spacing w:line="230" w:lineRule="atLeast" w:before="6" w:after="0"/>
              <w:ind w:left="27" w:right="157" w:firstLine="0"/>
              <w:jc w:val="left"/>
              <w:rPr>
                <w:sz w:val="18"/>
              </w:rPr>
            </w:pPr>
            <w:r>
              <w:rPr>
                <w:spacing w:val="-2"/>
                <w:sz w:val="18"/>
              </w:rPr>
              <w:t>整改后在检修期间内及时将收集槽内的少量渗滤</w:t>
            </w:r>
            <w:r>
              <w:rPr>
                <w:sz w:val="18"/>
              </w:rPr>
              <w:t>液收集并排空。</w:t>
            </w:r>
          </w:p>
        </w:tc>
        <w:tc>
          <w:tcPr>
            <w:tcW w:w="2513" w:type="dxa"/>
          </w:tcPr>
          <w:p>
            <w:pPr>
              <w:pStyle w:val="TableParagraph"/>
              <w:jc w:val="left"/>
              <w:rPr>
                <w:rFonts w:ascii="Times New Roman"/>
                <w:sz w:val="18"/>
              </w:rPr>
            </w:pPr>
          </w:p>
        </w:tc>
        <w:tc>
          <w:tcPr>
            <w:tcW w:w="602" w:type="dxa"/>
          </w:tcPr>
          <w:p>
            <w:pPr>
              <w:pStyle w:val="TableParagraph"/>
              <w:jc w:val="left"/>
              <w:rPr>
                <w:rFonts w:ascii="Times New Roman"/>
                <w:sz w:val="18"/>
              </w:rPr>
            </w:pPr>
          </w:p>
        </w:tc>
      </w:tr>
      <w:tr>
        <w:trPr>
          <w:trHeight w:val="3269" w:hRule="atLeast"/>
        </w:trPr>
        <w:tc>
          <w:tcPr>
            <w:tcW w:w="744" w:type="dxa"/>
            <w:vMerge/>
            <w:tcBorders>
              <w:top w:val="nil"/>
            </w:tcBorders>
          </w:tcPr>
          <w:p>
            <w:pPr>
              <w:rPr>
                <w:sz w:val="2"/>
                <w:szCs w:val="2"/>
              </w:rPr>
            </w:pPr>
          </w:p>
        </w:tc>
        <w:tc>
          <w:tcPr>
            <w:tcW w:w="720" w:type="dxa"/>
          </w:tcPr>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jc w:val="left"/>
              <w:rPr>
                <w:rFonts w:ascii="Times New Roman"/>
                <w:sz w:val="20"/>
              </w:rPr>
            </w:pPr>
          </w:p>
          <w:p>
            <w:pPr>
              <w:pStyle w:val="TableParagraph"/>
              <w:spacing w:before="151"/>
              <w:ind w:left="9"/>
              <w:rPr>
                <w:rFonts w:ascii="Times New Roman"/>
                <w:sz w:val="18"/>
              </w:rPr>
            </w:pPr>
            <w:r>
              <w:rPr>
                <w:rFonts w:ascii="Times New Roman"/>
                <w:sz w:val="18"/>
              </w:rPr>
              <w:t>3</w:t>
            </w:r>
          </w:p>
        </w:tc>
        <w:tc>
          <w:tcPr>
            <w:tcW w:w="5369" w:type="dxa"/>
          </w:tcPr>
          <w:p>
            <w:pPr>
              <w:pStyle w:val="TableParagraph"/>
              <w:jc w:val="left"/>
              <w:rPr>
                <w:rFonts w:ascii="Times New Roman"/>
                <w:sz w:val="20"/>
              </w:rPr>
            </w:pPr>
          </w:p>
          <w:p>
            <w:pPr>
              <w:pStyle w:val="TableParagraph"/>
              <w:spacing w:before="8"/>
              <w:jc w:val="left"/>
              <w:rPr>
                <w:rFonts w:ascii="Times New Roman"/>
                <w:sz w:val="20"/>
              </w:rPr>
            </w:pPr>
          </w:p>
          <w:p>
            <w:pPr>
              <w:pStyle w:val="TableParagraph"/>
              <w:ind w:left="26" w:right="16"/>
              <w:rPr>
                <w:sz w:val="18"/>
              </w:rPr>
            </w:pPr>
            <w:r>
              <w:rPr>
                <w:rFonts w:ascii="Times New Roman" w:eastAsia="Times New Roman"/>
                <w:sz w:val="18"/>
              </w:rPr>
              <w:t>45.</w:t>
            </w:r>
            <w:r>
              <w:rPr>
                <w:sz w:val="18"/>
              </w:rPr>
              <w:t>建立、健全固废废物档案，分类建档：</w:t>
            </w:r>
          </w:p>
          <w:p>
            <w:pPr>
              <w:pStyle w:val="TableParagraph"/>
              <w:spacing w:before="2"/>
              <w:ind w:left="25" w:right="16"/>
              <w:rPr>
                <w:sz w:val="18"/>
              </w:rPr>
            </w:pPr>
            <w:r>
              <w:rPr>
                <w:sz w:val="18"/>
              </w:rPr>
              <w:t>①环境影响评价与</w:t>
            </w:r>
            <w:r>
              <w:rPr>
                <w:rFonts w:ascii="Times New Roman" w:hAnsi="Times New Roman" w:eastAsia="Times New Roman"/>
                <w:sz w:val="18"/>
              </w:rPr>
              <w:t>“</w:t>
            </w:r>
            <w:r>
              <w:rPr>
                <w:sz w:val="18"/>
              </w:rPr>
              <w:t>三同时</w:t>
            </w:r>
            <w:r>
              <w:rPr>
                <w:rFonts w:ascii="Times New Roman" w:hAnsi="Times New Roman" w:eastAsia="Times New Roman"/>
                <w:sz w:val="18"/>
              </w:rPr>
              <w:t>”</w:t>
            </w:r>
            <w:r>
              <w:rPr>
                <w:sz w:val="18"/>
              </w:rPr>
              <w:t>验收报告和批复及固废核查报告；</w:t>
            </w:r>
          </w:p>
          <w:p>
            <w:pPr>
              <w:pStyle w:val="TableParagraph"/>
              <w:spacing w:before="5"/>
              <w:ind w:left="26" w:right="16"/>
              <w:rPr>
                <w:sz w:val="18"/>
              </w:rPr>
            </w:pPr>
            <w:r>
              <w:rPr>
                <w:sz w:val="18"/>
              </w:rPr>
              <w:t>②危险废物管理台账（分类别）；</w:t>
            </w:r>
          </w:p>
          <w:p>
            <w:pPr>
              <w:pStyle w:val="TableParagraph"/>
              <w:spacing w:line="242" w:lineRule="auto" w:before="2"/>
              <w:ind w:left="28" w:right="16"/>
              <w:rPr>
                <w:sz w:val="18"/>
              </w:rPr>
            </w:pPr>
            <w:r>
              <w:rPr>
                <w:spacing w:val="-9"/>
                <w:sz w:val="18"/>
              </w:rPr>
              <w:t>③危险废物委托处置合同、委托单位危险废物经营许可证和危险货物</w:t>
            </w:r>
            <w:r>
              <w:rPr>
                <w:sz w:val="18"/>
              </w:rPr>
              <w:t>道路运输许可证复印件；</w:t>
            </w:r>
          </w:p>
          <w:p>
            <w:pPr>
              <w:pStyle w:val="TableParagraph"/>
              <w:spacing w:before="2"/>
              <w:ind w:left="26" w:right="16"/>
              <w:rPr>
                <w:sz w:val="18"/>
              </w:rPr>
            </w:pPr>
            <w:r>
              <w:rPr>
                <w:sz w:val="18"/>
              </w:rPr>
              <w:t>④危险废物管理计划及备案申请表、危险废物申报登记；</w:t>
            </w:r>
          </w:p>
          <w:p>
            <w:pPr>
              <w:pStyle w:val="TableParagraph"/>
              <w:spacing w:before="2"/>
              <w:ind w:left="26" w:right="16"/>
              <w:rPr>
                <w:sz w:val="18"/>
              </w:rPr>
            </w:pPr>
            <w:r>
              <w:rPr>
                <w:sz w:val="18"/>
              </w:rPr>
              <w:t>⑤危险废物转移计划及转移联单；</w:t>
            </w:r>
          </w:p>
          <w:p>
            <w:pPr>
              <w:pStyle w:val="TableParagraph"/>
              <w:spacing w:before="2"/>
              <w:ind w:left="26" w:right="16"/>
              <w:rPr>
                <w:sz w:val="18"/>
              </w:rPr>
            </w:pPr>
            <w:r>
              <w:rPr>
                <w:sz w:val="18"/>
              </w:rPr>
              <w:t>⑥危险废物内部管理制度、业务人员培训记录；</w:t>
            </w:r>
          </w:p>
          <w:p>
            <w:pPr>
              <w:pStyle w:val="TableParagraph"/>
              <w:spacing w:line="244" w:lineRule="auto" w:before="3"/>
              <w:ind w:left="29" w:right="16"/>
              <w:rPr>
                <w:sz w:val="18"/>
              </w:rPr>
            </w:pPr>
            <w:r>
              <w:rPr>
                <w:spacing w:val="-5"/>
                <w:sz w:val="18"/>
              </w:rPr>
              <w:t>⑦有自行处置的，还需提供处置装置</w:t>
            </w:r>
            <w:r>
              <w:rPr>
                <w:sz w:val="18"/>
              </w:rPr>
              <w:t>（设施</w:t>
            </w:r>
            <w:r>
              <w:rPr>
                <w:spacing w:val="-22"/>
                <w:sz w:val="18"/>
              </w:rPr>
              <w:t>）</w:t>
            </w:r>
            <w:r>
              <w:rPr>
                <w:spacing w:val="-6"/>
                <w:sz w:val="18"/>
              </w:rPr>
              <w:t>环评、验收技术文件及</w:t>
            </w:r>
            <w:r>
              <w:rPr>
                <w:sz w:val="18"/>
              </w:rPr>
              <w:t>批复、处置设施运行记录、污染物排放监测报告。</w:t>
            </w:r>
          </w:p>
        </w:tc>
        <w:tc>
          <w:tcPr>
            <w:tcW w:w="4111" w:type="dxa"/>
          </w:tcPr>
          <w:p>
            <w:pPr>
              <w:pStyle w:val="TableParagraph"/>
              <w:numPr>
                <w:ilvl w:val="0"/>
                <w:numId w:val="74"/>
              </w:numPr>
              <w:tabs>
                <w:tab w:pos="165" w:val="left" w:leader="none"/>
              </w:tabs>
              <w:spacing w:line="242" w:lineRule="auto" w:before="2" w:after="0"/>
              <w:ind w:left="27" w:right="107" w:firstLine="0"/>
              <w:jc w:val="left"/>
              <w:rPr>
                <w:sz w:val="18"/>
              </w:rPr>
            </w:pPr>
            <w:r>
              <w:rPr>
                <w:spacing w:val="-12"/>
                <w:sz w:val="18"/>
              </w:rPr>
              <w:t>已建立环境影响评价与“三同时”验收报告和批复</w:t>
            </w:r>
            <w:r>
              <w:rPr>
                <w:sz w:val="18"/>
              </w:rPr>
              <w:t>已委托开展危废核查报告。</w:t>
            </w:r>
          </w:p>
          <w:p>
            <w:pPr>
              <w:pStyle w:val="TableParagraph"/>
              <w:numPr>
                <w:ilvl w:val="0"/>
                <w:numId w:val="74"/>
              </w:numPr>
              <w:tabs>
                <w:tab w:pos="165" w:val="left" w:leader="none"/>
              </w:tabs>
              <w:spacing w:line="242" w:lineRule="auto" w:before="0" w:after="0"/>
              <w:ind w:left="27" w:right="-29" w:firstLine="0"/>
              <w:jc w:val="left"/>
              <w:rPr>
                <w:sz w:val="18"/>
              </w:rPr>
            </w:pPr>
            <w:r>
              <w:rPr>
                <w:spacing w:val="-1"/>
                <w:sz w:val="18"/>
              </w:rPr>
              <w:t>危险废物按照脱焦残液及高沸物、油及酸析污泥、芬顿氧化污泥、废包装袋等分类进行台账管理。</w:t>
            </w:r>
          </w:p>
          <w:p>
            <w:pPr>
              <w:pStyle w:val="TableParagraph"/>
              <w:numPr>
                <w:ilvl w:val="0"/>
                <w:numId w:val="74"/>
              </w:numPr>
              <w:tabs>
                <w:tab w:pos="165" w:val="left" w:leader="none"/>
              </w:tabs>
              <w:spacing w:line="242" w:lineRule="auto" w:before="2" w:after="0"/>
              <w:ind w:left="27" w:right="16" w:firstLine="0"/>
              <w:jc w:val="left"/>
              <w:rPr>
                <w:sz w:val="18"/>
              </w:rPr>
            </w:pPr>
            <w:r>
              <w:rPr>
                <w:spacing w:val="-1"/>
                <w:sz w:val="18"/>
              </w:rPr>
              <w:t>已按照危废转移制度与具备危险废物经营资质的</w:t>
            </w:r>
            <w:r>
              <w:rPr>
                <w:spacing w:val="-11"/>
                <w:sz w:val="18"/>
              </w:rPr>
              <w:t>单位签订处置合同，并委托具备危险货物运输资质的</w:t>
            </w:r>
            <w:r>
              <w:rPr>
                <w:sz w:val="18"/>
              </w:rPr>
              <w:t>单位进行运输；危废转移联单己上报环保部门。</w:t>
            </w:r>
          </w:p>
          <w:p>
            <w:pPr>
              <w:pStyle w:val="TableParagraph"/>
              <w:numPr>
                <w:ilvl w:val="0"/>
                <w:numId w:val="74"/>
              </w:numPr>
              <w:tabs>
                <w:tab w:pos="165" w:val="left" w:leader="none"/>
              </w:tabs>
              <w:spacing w:line="242" w:lineRule="auto" w:before="2" w:after="0"/>
              <w:ind w:left="27" w:right="18" w:firstLine="0"/>
              <w:jc w:val="left"/>
              <w:rPr>
                <w:sz w:val="18"/>
              </w:rPr>
            </w:pPr>
            <w:r>
              <w:rPr>
                <w:spacing w:val="-4"/>
                <w:sz w:val="18"/>
              </w:rPr>
              <w:t>企业己建立危险废物管理计划及备案申请表、危险</w:t>
            </w:r>
            <w:r>
              <w:rPr>
                <w:sz w:val="18"/>
              </w:rPr>
              <w:t>废物申报登记。</w:t>
            </w:r>
          </w:p>
          <w:p>
            <w:pPr>
              <w:pStyle w:val="TableParagraph"/>
              <w:numPr>
                <w:ilvl w:val="0"/>
                <w:numId w:val="74"/>
              </w:numPr>
              <w:tabs>
                <w:tab w:pos="165" w:val="left" w:leader="none"/>
              </w:tabs>
              <w:spacing w:line="242" w:lineRule="auto" w:before="0" w:after="0"/>
              <w:ind w:left="27" w:right="157" w:firstLine="0"/>
              <w:jc w:val="left"/>
              <w:rPr>
                <w:sz w:val="18"/>
              </w:rPr>
            </w:pPr>
            <w:r>
              <w:rPr>
                <w:spacing w:val="-2"/>
                <w:sz w:val="18"/>
              </w:rPr>
              <w:t>己根据实际情况制定危险废物转移计划及转移联</w:t>
            </w:r>
            <w:r>
              <w:rPr>
                <w:sz w:val="18"/>
              </w:rPr>
              <w:t>单（年度）。</w:t>
            </w:r>
          </w:p>
          <w:p>
            <w:pPr>
              <w:pStyle w:val="TableParagraph"/>
              <w:numPr>
                <w:ilvl w:val="0"/>
                <w:numId w:val="74"/>
              </w:numPr>
              <w:tabs>
                <w:tab w:pos="165" w:val="left" w:leader="none"/>
              </w:tabs>
              <w:spacing w:line="242" w:lineRule="auto" w:before="2" w:after="0"/>
              <w:ind w:left="27" w:right="16" w:firstLine="0"/>
              <w:jc w:val="left"/>
              <w:rPr>
                <w:sz w:val="18"/>
              </w:rPr>
            </w:pPr>
            <w:r>
              <w:rPr>
                <w:spacing w:val="-5"/>
                <w:sz w:val="18"/>
              </w:rPr>
              <w:t>己建立危险废物管理制度，危险废物业务人员每年</w:t>
            </w:r>
            <w:r>
              <w:rPr>
                <w:sz w:val="18"/>
              </w:rPr>
              <w:t>组织培训，有完整的培训记录。</w:t>
            </w:r>
          </w:p>
          <w:p>
            <w:pPr>
              <w:pStyle w:val="TableParagraph"/>
              <w:numPr>
                <w:ilvl w:val="0"/>
                <w:numId w:val="74"/>
              </w:numPr>
              <w:tabs>
                <w:tab w:pos="165" w:val="left" w:leader="none"/>
              </w:tabs>
              <w:spacing w:line="213" w:lineRule="exact" w:before="0" w:after="0"/>
              <w:ind w:left="164" w:right="0" w:hanging="138"/>
              <w:jc w:val="left"/>
              <w:rPr>
                <w:sz w:val="18"/>
              </w:rPr>
            </w:pPr>
            <w:r>
              <w:rPr>
                <w:spacing w:val="-1"/>
                <w:w w:val="105"/>
                <w:sz w:val="18"/>
              </w:rPr>
              <w:t>企业不存在自行处置的危险废物能力。</w:t>
            </w:r>
          </w:p>
        </w:tc>
        <w:tc>
          <w:tcPr>
            <w:tcW w:w="2513" w:type="dxa"/>
          </w:tcPr>
          <w:p>
            <w:pPr>
              <w:pStyle w:val="TableParagraph"/>
              <w:spacing w:before="2"/>
              <w:ind w:left="-120"/>
              <w:jc w:val="left"/>
              <w:rPr>
                <w:sz w:val="18"/>
              </w:rPr>
            </w:pPr>
            <w:r>
              <w:rPr>
                <w:sz w:val="18"/>
              </w:rPr>
              <w:t>，</w:t>
            </w: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line="244" w:lineRule="auto" w:before="134"/>
              <w:ind w:left="625" w:right="15" w:hanging="598"/>
              <w:jc w:val="left"/>
              <w:rPr>
                <w:sz w:val="18"/>
              </w:rPr>
            </w:pPr>
            <w:r>
              <w:rPr>
                <w:spacing w:val="-6"/>
                <w:sz w:val="18"/>
              </w:rPr>
              <w:t>企业新征用地</w:t>
            </w:r>
            <w:r>
              <w:rPr>
                <w:sz w:val="18"/>
              </w:rPr>
              <w:t>（东区</w:t>
            </w:r>
            <w:r>
              <w:rPr>
                <w:spacing w:val="-32"/>
                <w:sz w:val="18"/>
              </w:rPr>
              <w:t>）</w:t>
            </w:r>
            <w:r>
              <w:rPr>
                <w:spacing w:val="-4"/>
                <w:sz w:val="18"/>
              </w:rPr>
              <w:t>待本项目</w:t>
            </w:r>
            <w:r>
              <w:rPr>
                <w:sz w:val="18"/>
              </w:rPr>
              <w:t>建成后均可满足</w:t>
            </w:r>
          </w:p>
        </w:tc>
        <w:tc>
          <w:tcPr>
            <w:tcW w:w="602" w:type="dxa"/>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1"/>
              <w:jc w:val="left"/>
              <w:rPr>
                <w:rFonts w:ascii="Times New Roman"/>
                <w:sz w:val="24"/>
              </w:rPr>
            </w:pPr>
          </w:p>
          <w:p>
            <w:pPr>
              <w:pStyle w:val="TableParagraph"/>
              <w:ind w:left="100" w:right="89"/>
              <w:rPr>
                <w:sz w:val="18"/>
              </w:rPr>
            </w:pPr>
            <w:r>
              <w:rPr>
                <w:sz w:val="18"/>
              </w:rPr>
              <w:t>符合</w:t>
            </w:r>
          </w:p>
        </w:tc>
      </w:tr>
      <w:tr>
        <w:trPr>
          <w:trHeight w:val="935" w:hRule="atLeast"/>
        </w:trPr>
        <w:tc>
          <w:tcPr>
            <w:tcW w:w="744" w:type="dxa"/>
            <w:vMerge/>
            <w:tcBorders>
              <w:top w:val="nil"/>
            </w:tcBorders>
          </w:tcPr>
          <w:p>
            <w:pPr>
              <w:rPr>
                <w:sz w:val="2"/>
                <w:szCs w:val="2"/>
              </w:rPr>
            </w:pPr>
          </w:p>
        </w:tc>
        <w:tc>
          <w:tcPr>
            <w:tcW w:w="720" w:type="dxa"/>
          </w:tcPr>
          <w:p>
            <w:pPr>
              <w:pStyle w:val="TableParagraph"/>
              <w:jc w:val="left"/>
              <w:rPr>
                <w:rFonts w:ascii="Times New Roman"/>
                <w:sz w:val="20"/>
              </w:rPr>
            </w:pPr>
          </w:p>
          <w:p>
            <w:pPr>
              <w:pStyle w:val="TableParagraph"/>
              <w:spacing w:before="134"/>
              <w:ind w:left="9"/>
              <w:rPr>
                <w:rFonts w:ascii="Times New Roman"/>
                <w:sz w:val="18"/>
              </w:rPr>
            </w:pPr>
            <w:r>
              <w:rPr>
                <w:rFonts w:ascii="Times New Roman"/>
                <w:sz w:val="18"/>
              </w:rPr>
              <w:t>4</w:t>
            </w:r>
          </w:p>
        </w:tc>
        <w:tc>
          <w:tcPr>
            <w:tcW w:w="5369" w:type="dxa"/>
          </w:tcPr>
          <w:p>
            <w:pPr>
              <w:pStyle w:val="TableParagraph"/>
              <w:spacing w:line="230" w:lineRule="atLeast" w:before="2"/>
              <w:ind w:left="28" w:right="14" w:firstLine="45"/>
              <w:jc w:val="both"/>
              <w:rPr>
                <w:sz w:val="18"/>
              </w:rPr>
            </w:pPr>
            <w:r>
              <w:rPr>
                <w:sz w:val="18"/>
              </w:rPr>
              <w:t>除按照国家危险废物名录对危险特性进行判别外，还需根据生产原</w:t>
            </w:r>
            <w:r>
              <w:rPr>
                <w:spacing w:val="-11"/>
                <w:sz w:val="18"/>
              </w:rPr>
              <w:t>料、工艺等对危险废物特性做进一步判别，对可能具备易燃性的危险</w:t>
            </w:r>
            <w:r>
              <w:rPr>
                <w:spacing w:val="-6"/>
                <w:sz w:val="18"/>
              </w:rPr>
              <w:t>废物需进行其他特性分析，并根据特性判别结果指导贮存、堆放、处</w:t>
            </w:r>
            <w:r>
              <w:rPr>
                <w:spacing w:val="-5"/>
                <w:sz w:val="18"/>
              </w:rPr>
              <w:t>置并采取相关应急措施，同时将危险特性告知利用处置单位</w:t>
            </w:r>
            <w:r>
              <w:rPr>
                <w:spacing w:val="-46"/>
                <w:w w:val="180"/>
                <w:sz w:val="18"/>
              </w:rPr>
              <w:t>。</w:t>
            </w:r>
            <w:r>
              <w:rPr>
                <w:spacing w:val="-7"/>
                <w:sz w:val="18"/>
              </w:rPr>
              <w:t>产生</w:t>
            </w:r>
            <w:r>
              <w:rPr>
                <w:spacing w:val="-160"/>
                <w:sz w:val="18"/>
              </w:rPr>
              <w:t>危</w:t>
            </w:r>
          </w:p>
        </w:tc>
        <w:tc>
          <w:tcPr>
            <w:tcW w:w="4111" w:type="dxa"/>
          </w:tcPr>
          <w:p>
            <w:pPr>
              <w:pStyle w:val="TableParagraph"/>
              <w:numPr>
                <w:ilvl w:val="0"/>
                <w:numId w:val="75"/>
              </w:numPr>
              <w:tabs>
                <w:tab w:pos="165" w:val="left" w:leader="none"/>
              </w:tabs>
              <w:spacing w:line="242" w:lineRule="auto" w:before="2" w:after="0"/>
              <w:ind w:left="27" w:right="18" w:firstLine="0"/>
              <w:jc w:val="both"/>
              <w:rPr>
                <w:sz w:val="18"/>
              </w:rPr>
            </w:pPr>
            <w:r>
              <w:rPr>
                <w:spacing w:val="-5"/>
                <w:sz w:val="18"/>
              </w:rPr>
              <w:t>目前危险废物主要为脱焦残液及高沸物、油及酸析</w:t>
            </w:r>
            <w:r>
              <w:rPr>
                <w:spacing w:val="-12"/>
                <w:sz w:val="18"/>
              </w:rPr>
              <w:t>污泥、芬顿氧化污泥、废包装袋等，含易燃性的危险</w:t>
            </w:r>
            <w:r>
              <w:rPr>
                <w:sz w:val="18"/>
              </w:rPr>
              <w:t>废物。</w:t>
            </w:r>
          </w:p>
          <w:p>
            <w:pPr>
              <w:pStyle w:val="TableParagraph"/>
              <w:numPr>
                <w:ilvl w:val="0"/>
                <w:numId w:val="75"/>
              </w:numPr>
              <w:tabs>
                <w:tab w:pos="165" w:val="left" w:leader="none"/>
              </w:tabs>
              <w:spacing w:line="215" w:lineRule="exact" w:before="0" w:after="0"/>
              <w:ind w:left="164" w:right="0" w:hanging="138"/>
              <w:jc w:val="left"/>
              <w:rPr>
                <w:sz w:val="18"/>
              </w:rPr>
            </w:pPr>
            <w:r>
              <w:rPr>
                <w:spacing w:val="-1"/>
                <w:sz w:val="18"/>
              </w:rPr>
              <w:t>公司按照规定定期登录浙江省固体废物管理平台</w:t>
            </w:r>
          </w:p>
        </w:tc>
        <w:tc>
          <w:tcPr>
            <w:tcW w:w="2513" w:type="dxa"/>
          </w:tcPr>
          <w:p>
            <w:pPr>
              <w:pStyle w:val="TableParagraph"/>
              <w:spacing w:line="230" w:lineRule="atLeast" w:before="2"/>
              <w:ind w:left="27" w:right="-58" w:firstLine="57"/>
              <w:jc w:val="left"/>
              <w:rPr>
                <w:sz w:val="18"/>
              </w:rPr>
            </w:pPr>
            <w:r>
              <w:rPr>
                <w:sz w:val="18"/>
              </w:rPr>
              <w:t>项目建成后将按要求在浙江省固体废物管理平台上报申报年 </w:t>
            </w:r>
            <w:r>
              <w:rPr>
                <w:spacing w:val="-8"/>
                <w:sz w:val="18"/>
              </w:rPr>
              <w:t>度管理计划、产生处置台账、转移联单；企业新征用地（东区）</w:t>
            </w:r>
          </w:p>
        </w:tc>
        <w:tc>
          <w:tcPr>
            <w:tcW w:w="602" w:type="dxa"/>
          </w:tcPr>
          <w:p>
            <w:pPr>
              <w:pStyle w:val="TableParagraph"/>
              <w:jc w:val="left"/>
              <w:rPr>
                <w:rFonts w:ascii="Times New Roman"/>
                <w:sz w:val="18"/>
              </w:rPr>
            </w:pPr>
          </w:p>
          <w:p>
            <w:pPr>
              <w:pStyle w:val="TableParagraph"/>
              <w:spacing w:before="143"/>
              <w:ind w:left="100" w:right="89"/>
              <w:rPr>
                <w:sz w:val="18"/>
              </w:rPr>
            </w:pPr>
            <w:r>
              <w:rPr>
                <w:sz w:val="18"/>
              </w:rPr>
              <w:t>符合</w:t>
            </w:r>
          </w:p>
        </w:tc>
      </w:tr>
    </w:tbl>
    <w:p>
      <w:pPr>
        <w:spacing w:after="0"/>
        <w:rPr>
          <w:sz w:val="18"/>
        </w:rPr>
        <w:sectPr>
          <w:pgSz w:w="16840" w:h="11910" w:orient="landscape"/>
          <w:pgMar w:header="872" w:footer="953" w:top="1180" w:bottom="1140" w:left="1280" w:right="1260"/>
        </w:sectPr>
      </w:pPr>
    </w:p>
    <w:p>
      <w:pPr>
        <w:pStyle w:val="BodyText"/>
        <w:rPr>
          <w:rFonts w:ascii="Times New Roman"/>
          <w:sz w:val="15"/>
        </w:rPr>
      </w:pPr>
    </w:p>
    <w:p>
      <w:pPr>
        <w:spacing w:after="0"/>
        <w:rPr>
          <w:rFonts w:ascii="Times New Roman"/>
          <w:sz w:val="15"/>
        </w:rPr>
        <w:sectPr>
          <w:pgSz w:w="16840" w:h="11910" w:orient="landscape"/>
          <w:pgMar w:header="872" w:footer="953" w:top="1180" w:bottom="1140" w:left="1280" w:right="1260"/>
        </w:sectPr>
      </w:pPr>
    </w:p>
    <w:p>
      <w:pPr>
        <w:tabs>
          <w:tab w:pos="1033" w:val="left" w:leader="none"/>
        </w:tabs>
        <w:spacing w:before="75"/>
        <w:ind w:left="301" w:right="0" w:firstLine="0"/>
        <w:jc w:val="left"/>
        <w:rPr>
          <w:b/>
          <w:sz w:val="18"/>
        </w:rPr>
      </w:pPr>
      <w:r>
        <w:rPr>
          <w:b/>
          <w:sz w:val="18"/>
        </w:rPr>
        <w:t>类别</w:t>
        <w:tab/>
        <w:t>序号</w:t>
      </w:r>
    </w:p>
    <w:p>
      <w:pPr>
        <w:spacing w:before="75"/>
        <w:ind w:left="301" w:right="0" w:firstLine="0"/>
        <w:jc w:val="left"/>
        <w:rPr>
          <w:b/>
          <w:sz w:val="18"/>
        </w:rPr>
      </w:pPr>
      <w:r>
        <w:rPr/>
        <w:br w:type="column"/>
      </w:r>
      <w:r>
        <w:rPr>
          <w:b/>
          <w:sz w:val="18"/>
        </w:rPr>
        <w:t>内容及要求</w:t>
      </w:r>
    </w:p>
    <w:p>
      <w:pPr>
        <w:spacing w:before="75"/>
        <w:ind w:left="301" w:right="0" w:firstLine="0"/>
        <w:jc w:val="left"/>
        <w:rPr>
          <w:b/>
          <w:sz w:val="18"/>
        </w:rPr>
      </w:pPr>
      <w:r>
        <w:rPr/>
        <w:br w:type="column"/>
      </w:r>
      <w:r>
        <w:rPr>
          <w:b/>
          <w:sz w:val="18"/>
        </w:rPr>
        <w:t>现有企业提升改造情况</w:t>
      </w:r>
    </w:p>
    <w:p>
      <w:pPr>
        <w:tabs>
          <w:tab w:pos="2310" w:val="left" w:leader="none"/>
        </w:tabs>
        <w:spacing w:before="75"/>
        <w:ind w:left="301" w:right="0" w:firstLine="0"/>
        <w:jc w:val="left"/>
        <w:rPr>
          <w:b/>
          <w:sz w:val="18"/>
        </w:rPr>
      </w:pPr>
      <w:r>
        <w:rPr/>
        <w:br w:type="column"/>
      </w:r>
      <w:r>
        <w:rPr>
          <w:b/>
          <w:sz w:val="18"/>
        </w:rPr>
        <w:t>本项目采纳情况</w:t>
        <w:tab/>
        <w:t>备注</w:t>
      </w:r>
    </w:p>
    <w:p>
      <w:pPr>
        <w:spacing w:after="0"/>
        <w:jc w:val="left"/>
        <w:rPr>
          <w:sz w:val="18"/>
        </w:rPr>
        <w:sectPr>
          <w:type w:val="continuous"/>
          <w:pgSz w:w="16840" w:h="11910" w:orient="landscape"/>
          <w:pgMar w:top="1420" w:bottom="280" w:left="1280" w:right="1260"/>
          <w:cols w:num="4" w:equalWidth="0">
            <w:col w:w="1439" w:space="2065"/>
            <w:col w:w="1244" w:space="3044"/>
            <w:col w:w="2149" w:space="1434"/>
            <w:col w:w="2925"/>
          </w:cols>
        </w:sectPr>
      </w:pPr>
    </w:p>
    <w:p>
      <w:pPr>
        <w:spacing w:before="12"/>
        <w:ind w:left="1648" w:right="0" w:firstLine="0"/>
        <w:jc w:val="left"/>
        <w:rPr>
          <w:sz w:val="18"/>
        </w:rPr>
      </w:pPr>
      <w:r>
        <w:rPr>
          <w:sz w:val="18"/>
        </w:rPr>
        <w:t>险废物的单位，必须登录浙江省固体废物管理平台上报年度管理计 上报危废年度管理计划、产生处置台账和转移联单</w:t>
      </w:r>
      <w:r>
        <w:rPr>
          <w:spacing w:val="28"/>
          <w:w w:val="180"/>
          <w:sz w:val="18"/>
        </w:rPr>
        <w:t>。</w:t>
      </w:r>
      <w:r>
        <w:rPr>
          <w:sz w:val="18"/>
        </w:rPr>
        <w:t>待本项目建成后拟在物流的出</w:t>
      </w:r>
    </w:p>
    <w:p>
      <w:pPr>
        <w:spacing w:before="4"/>
        <w:ind w:left="1622" w:right="0" w:firstLine="0"/>
        <w:jc w:val="left"/>
        <w:rPr>
          <w:sz w:val="18"/>
        </w:rPr>
      </w:pPr>
      <w:r>
        <w:rPr>
          <w:spacing w:val="-2"/>
          <w:sz w:val="18"/>
        </w:rPr>
        <w:t>划、产生处置台账、转移联单。上年危险废物产生量大于 </w:t>
      </w:r>
      <w:r>
        <w:rPr>
          <w:rFonts w:ascii="Times New Roman" w:eastAsia="Times New Roman"/>
          <w:sz w:val="18"/>
        </w:rPr>
        <w:t>300</w:t>
      </w:r>
      <w:r>
        <w:rPr>
          <w:rFonts w:ascii="Times New Roman" w:eastAsia="Times New Roman"/>
          <w:spacing w:val="15"/>
          <w:sz w:val="18"/>
        </w:rPr>
        <w:t> </w:t>
      </w:r>
      <w:r>
        <w:rPr>
          <w:sz w:val="18"/>
        </w:rPr>
        <w:t>吨</w:t>
      </w:r>
      <w:r>
        <w:rPr>
          <w:rFonts w:ascii="Times New Roman" w:eastAsia="Times New Roman"/>
          <w:sz w:val="18"/>
        </w:rPr>
        <w:t>/</w:t>
      </w:r>
      <w:r>
        <w:rPr>
          <w:spacing w:val="3"/>
          <w:sz w:val="18"/>
        </w:rPr>
        <w:t>年 </w:t>
      </w:r>
      <w:r>
        <w:rPr>
          <w:rFonts w:ascii="Times New Roman" w:eastAsia="Times New Roman"/>
          <w:sz w:val="18"/>
        </w:rPr>
        <w:t>3.</w:t>
      </w:r>
      <w:r>
        <w:rPr>
          <w:spacing w:val="-3"/>
          <w:sz w:val="18"/>
        </w:rPr>
        <w:t>公司年危险废物产生量大于 </w:t>
      </w:r>
      <w:r>
        <w:rPr>
          <w:rFonts w:ascii="Times New Roman" w:eastAsia="Times New Roman"/>
          <w:sz w:val="18"/>
        </w:rPr>
        <w:t>300</w:t>
      </w:r>
      <w:r>
        <w:rPr>
          <w:rFonts w:ascii="Times New Roman" w:eastAsia="Times New Roman"/>
          <w:spacing w:val="15"/>
          <w:sz w:val="18"/>
        </w:rPr>
        <w:t> </w:t>
      </w:r>
      <w:r>
        <w:rPr>
          <w:spacing w:val="-13"/>
          <w:sz w:val="18"/>
        </w:rPr>
        <w:t>吨，已委托开展固 入口、贮存场所、主要产生</w:t>
      </w:r>
      <w:r>
        <w:rPr>
          <w:sz w:val="18"/>
        </w:rPr>
        <w:t>（处</w:t>
      </w:r>
    </w:p>
    <w:p>
      <w:pPr>
        <w:spacing w:after="0"/>
        <w:jc w:val="left"/>
        <w:rPr>
          <w:sz w:val="18"/>
        </w:rPr>
        <w:sectPr>
          <w:type w:val="continuous"/>
          <w:pgSz w:w="16840" w:h="11910" w:orient="landscape"/>
          <w:pgMar w:top="1420" w:bottom="280" w:left="1280" w:right="1260"/>
        </w:sectPr>
      </w:pPr>
    </w:p>
    <w:p>
      <w:pPr>
        <w:spacing w:before="2"/>
        <w:ind w:left="1602" w:right="0" w:firstLine="0"/>
        <w:jc w:val="left"/>
        <w:rPr>
          <w:sz w:val="18"/>
        </w:rPr>
      </w:pPr>
      <w:r>
        <w:rPr>
          <w:sz w:val="18"/>
        </w:rPr>
        <w:t>的产生单位应在下年年初自行组织固废核查和论证，生产工艺调整、废核查报告。</w:t>
      </w:r>
    </w:p>
    <w:p>
      <w:pPr>
        <w:spacing w:line="242" w:lineRule="auto" w:before="3"/>
        <w:ind w:left="1602" w:right="0" w:firstLine="0"/>
        <w:jc w:val="left"/>
        <w:rPr>
          <w:sz w:val="18"/>
        </w:rPr>
      </w:pPr>
      <w:r>
        <w:rPr>
          <w:spacing w:val="-12"/>
          <w:sz w:val="18"/>
        </w:rPr>
        <w:t>新项目投产后，危险废物产生量与法定核定量相比变化幅度超过 </w:t>
      </w:r>
      <w:r>
        <w:rPr>
          <w:rFonts w:ascii="Times New Roman" w:eastAsia="Times New Roman"/>
          <w:sz w:val="18"/>
        </w:rPr>
        <w:t>20</w:t>
      </w:r>
      <w:r>
        <w:rPr>
          <w:rFonts w:ascii="Times New Roman" w:eastAsia="Times New Roman"/>
          <w:spacing w:val="5"/>
          <w:sz w:val="18"/>
        </w:rPr>
        <w:t>% </w:t>
      </w:r>
      <w:r>
        <w:rPr>
          <w:rFonts w:ascii="Times New Roman" w:eastAsia="Times New Roman"/>
          <w:sz w:val="18"/>
        </w:rPr>
        <w:t>4.</w:t>
      </w:r>
      <w:r>
        <w:rPr>
          <w:spacing w:val="-4"/>
          <w:sz w:val="18"/>
        </w:rPr>
        <w:t>企业所有危险废物委托有资质的其他单位处置，不</w:t>
      </w:r>
      <w:r>
        <w:rPr>
          <w:sz w:val="18"/>
        </w:rPr>
        <w:t>的须组织固废核查并与管理计划一同报生态环境主管部门备案</w:t>
      </w:r>
      <w:r>
        <w:rPr>
          <w:spacing w:val="-89"/>
          <w:w w:val="180"/>
          <w:sz w:val="18"/>
        </w:rPr>
        <w:t>。</w:t>
      </w:r>
      <w:r>
        <w:rPr>
          <w:spacing w:val="-6"/>
          <w:sz w:val="18"/>
        </w:rPr>
        <w:t>自行 属于自行利用处置危险废物单位。</w:t>
      </w:r>
    </w:p>
    <w:p>
      <w:pPr>
        <w:spacing w:line="242" w:lineRule="auto" w:before="2"/>
        <w:ind w:left="17" w:right="756" w:firstLine="0"/>
        <w:jc w:val="center"/>
        <w:rPr>
          <w:sz w:val="18"/>
        </w:rPr>
      </w:pPr>
      <w:r>
        <w:rPr/>
        <w:br w:type="column"/>
      </w:r>
      <w:r>
        <w:rPr>
          <w:sz w:val="18"/>
        </w:rPr>
        <w:t>置</w:t>
      </w:r>
      <w:r>
        <w:rPr>
          <w:spacing w:val="-41"/>
          <w:sz w:val="18"/>
        </w:rPr>
        <w:t>）</w:t>
      </w:r>
      <w:r>
        <w:rPr>
          <w:sz w:val="18"/>
        </w:rPr>
        <w:t>设施安装</w:t>
      </w:r>
      <w:r>
        <w:rPr>
          <w:rFonts w:ascii="Times New Roman" w:hAnsi="Times New Roman" w:eastAsia="Times New Roman"/>
          <w:sz w:val="18"/>
        </w:rPr>
        <w:t>“</w:t>
      </w:r>
      <w:r>
        <w:rPr>
          <w:sz w:val="18"/>
        </w:rPr>
        <w:t>三点一线</w:t>
      </w:r>
      <w:r>
        <w:rPr>
          <w:rFonts w:ascii="Times New Roman" w:hAnsi="Times New Roman" w:eastAsia="Times New Roman"/>
          <w:sz w:val="18"/>
        </w:rPr>
        <w:t>”</w:t>
      </w:r>
      <w:r>
        <w:rPr>
          <w:spacing w:val="-5"/>
          <w:sz w:val="18"/>
        </w:rPr>
        <w:t>的视频</w:t>
      </w:r>
      <w:r>
        <w:rPr>
          <w:sz w:val="18"/>
        </w:rPr>
        <w:t>监控系统建设并与生态环境主管部门联网</w:t>
      </w:r>
    </w:p>
    <w:p>
      <w:pPr>
        <w:spacing w:after="0" w:line="242" w:lineRule="auto"/>
        <w:jc w:val="center"/>
        <w:rPr>
          <w:sz w:val="18"/>
        </w:rPr>
        <w:sectPr>
          <w:type w:val="continuous"/>
          <w:pgSz w:w="16840" w:h="11910" w:orient="landscape"/>
          <w:pgMar w:top="1420" w:bottom="280" w:left="1280" w:right="1260"/>
          <w:cols w:num="2" w:equalWidth="0">
            <w:col w:w="11024" w:space="40"/>
            <w:col w:w="3236"/>
          </w:cols>
        </w:sectPr>
      </w:pPr>
    </w:p>
    <w:p>
      <w:pPr>
        <w:spacing w:before="2"/>
        <w:ind w:left="1648" w:right="0" w:firstLine="0"/>
        <w:jc w:val="left"/>
        <w:rPr>
          <w:sz w:val="18"/>
        </w:rPr>
      </w:pPr>
      <w:r>
        <w:rPr>
          <w:sz w:val="18"/>
        </w:rPr>
        <w:t>利用处置本单位危险废物的企业应参照危险经营单位管理要求建立</w:t>
      </w:r>
    </w:p>
    <w:p>
      <w:pPr>
        <w:spacing w:before="2"/>
        <w:ind w:left="60" w:right="0" w:firstLine="0"/>
        <w:jc w:val="left"/>
        <w:rPr>
          <w:sz w:val="18"/>
        </w:rPr>
      </w:pPr>
      <w:r>
        <w:rPr/>
        <w:br w:type="column"/>
      </w:r>
      <w:r>
        <w:rPr>
          <w:rFonts w:ascii="Times New Roman" w:eastAsia="Times New Roman"/>
          <w:sz w:val="18"/>
        </w:rPr>
        <w:t>5.</w:t>
      </w:r>
      <w:r>
        <w:rPr>
          <w:sz w:val="18"/>
        </w:rPr>
        <w:t>企业已在物流的出入口、贮存场所、主要产生（处</w:t>
      </w:r>
    </w:p>
    <w:p>
      <w:pPr>
        <w:spacing w:after="0"/>
        <w:jc w:val="left"/>
        <w:rPr>
          <w:sz w:val="18"/>
        </w:rPr>
        <w:sectPr>
          <w:type w:val="continuous"/>
          <w:pgSz w:w="16840" w:h="11910" w:orient="landscape"/>
          <w:pgMar w:top="1420" w:bottom="280" w:left="1280" w:right="1260"/>
          <w:cols w:num="2" w:equalWidth="0">
            <w:col w:w="6870" w:space="40"/>
            <w:col w:w="7390"/>
          </w:cols>
        </w:sectPr>
      </w:pPr>
    </w:p>
    <w:p>
      <w:pPr>
        <w:spacing w:line="242" w:lineRule="auto" w:before="2"/>
        <w:ind w:left="1602" w:right="3270" w:firstLine="0"/>
        <w:jc w:val="left"/>
        <w:rPr>
          <w:sz w:val="18"/>
        </w:rPr>
      </w:pPr>
      <w:r>
        <w:rPr>
          <w:spacing w:val="-11"/>
          <w:sz w:val="18"/>
        </w:rPr>
        <w:t>相关制度和台账，利用处置外单位危险废物的企业必须领取危险废物 置</w:t>
      </w:r>
      <w:r>
        <w:rPr>
          <w:rFonts w:ascii="Times New Roman" w:hAnsi="Times New Roman" w:eastAsia="Times New Roman"/>
          <w:sz w:val="18"/>
        </w:rPr>
        <w:t>&gt;</w:t>
      </w:r>
      <w:r>
        <w:rPr>
          <w:spacing w:val="-3"/>
          <w:sz w:val="18"/>
        </w:rPr>
        <w:t>设施安装“三点一线”的视频监控系统建设并与</w:t>
      </w:r>
      <w:r>
        <w:rPr>
          <w:sz w:val="18"/>
        </w:rPr>
        <w:t>经营许可证</w:t>
      </w:r>
      <w:r>
        <w:rPr>
          <w:spacing w:val="-29"/>
          <w:w w:val="180"/>
          <w:sz w:val="18"/>
        </w:rPr>
        <w:t>。</w:t>
      </w:r>
      <w:r>
        <w:rPr>
          <w:spacing w:val="-3"/>
          <w:sz w:val="18"/>
        </w:rPr>
        <w:t>利用处置危险废物的企业</w:t>
      </w:r>
      <w:r>
        <w:rPr>
          <w:sz w:val="18"/>
        </w:rPr>
        <w:t>（包括自行利用处置</w:t>
      </w:r>
      <w:r>
        <w:rPr>
          <w:spacing w:val="-29"/>
          <w:sz w:val="18"/>
        </w:rPr>
        <w:t>）</w:t>
      </w:r>
      <w:r>
        <w:rPr>
          <w:spacing w:val="-6"/>
          <w:sz w:val="18"/>
        </w:rPr>
        <w:t>需按有 生态环境主管部门联网。</w:t>
      </w:r>
    </w:p>
    <w:p>
      <w:pPr>
        <w:spacing w:line="242" w:lineRule="auto" w:before="2"/>
        <w:ind w:left="1602" w:right="7381" w:hanging="1"/>
        <w:jc w:val="center"/>
        <w:rPr>
          <w:sz w:val="18"/>
        </w:rPr>
      </w:pPr>
      <w:r>
        <w:rPr>
          <w:sz w:val="18"/>
        </w:rPr>
        <w:t>关要求开展安全风险评估</w:t>
      </w:r>
      <w:r>
        <w:rPr>
          <w:spacing w:val="-89"/>
          <w:w w:val="180"/>
          <w:sz w:val="18"/>
        </w:rPr>
        <w:t>。</w:t>
      </w:r>
      <w:r>
        <w:rPr>
          <w:spacing w:val="-1"/>
          <w:sz w:val="18"/>
        </w:rPr>
        <w:t>所有产生危险废物的化工企业必须在物</w:t>
      </w:r>
      <w:r>
        <w:rPr>
          <w:spacing w:val="-160"/>
          <w:sz w:val="18"/>
        </w:rPr>
        <w:t>流</w:t>
      </w:r>
      <w:r>
        <w:rPr>
          <w:spacing w:val="-8"/>
          <w:sz w:val="18"/>
        </w:rPr>
        <w:t>的出入口、贮存场所、主要产生</w:t>
      </w:r>
      <w:r>
        <w:rPr>
          <w:sz w:val="18"/>
        </w:rPr>
        <w:t>（处置</w:t>
      </w:r>
      <w:r>
        <w:rPr>
          <w:spacing w:val="-17"/>
          <w:sz w:val="18"/>
        </w:rPr>
        <w:t>）</w:t>
      </w:r>
      <w:r>
        <w:rPr>
          <w:sz w:val="18"/>
        </w:rPr>
        <w:t>设施安装</w:t>
      </w:r>
      <w:r>
        <w:rPr>
          <w:rFonts w:ascii="Times New Roman" w:hAnsi="Times New Roman" w:eastAsia="Times New Roman"/>
          <w:sz w:val="18"/>
        </w:rPr>
        <w:t>“</w:t>
      </w:r>
      <w:r>
        <w:rPr>
          <w:sz w:val="18"/>
        </w:rPr>
        <w:t>三点一线</w:t>
      </w:r>
      <w:r>
        <w:rPr>
          <w:rFonts w:ascii="Times New Roman" w:hAnsi="Times New Roman" w:eastAsia="Times New Roman"/>
          <w:sz w:val="18"/>
        </w:rPr>
        <w:t>”</w:t>
      </w:r>
      <w:r>
        <w:rPr>
          <w:sz w:val="18"/>
        </w:rPr>
        <w:t>的视频监控系统建设并与生态环境主管部门联网</w:t>
      </w:r>
    </w:p>
    <w:p>
      <w:pPr>
        <w:spacing w:after="0" w:line="242" w:lineRule="auto"/>
        <w:jc w:val="center"/>
        <w:rPr>
          <w:sz w:val="18"/>
        </w:rPr>
        <w:sectPr>
          <w:type w:val="continuous"/>
          <w:pgSz w:w="16840" w:h="11910" w:orient="landscape"/>
          <w:pgMar w:top="1420" w:bottom="280" w:left="1280" w:right="1260"/>
        </w:sectPr>
      </w:pPr>
    </w:p>
    <w:p>
      <w:pPr>
        <w:spacing w:line="25" w:lineRule="exact" w:before="128"/>
        <w:ind w:left="6969" w:right="0" w:firstLine="0"/>
        <w:jc w:val="left"/>
        <w:rPr>
          <w:sz w:val="18"/>
        </w:rPr>
      </w:pPr>
      <w:r>
        <w:rPr>
          <w:sz w:val="18"/>
        </w:rPr>
        <w:t>企业废水属于重点企业，废水已设有在线监控系统</w:t>
      </w:r>
    </w:p>
    <w:p>
      <w:pPr>
        <w:spacing w:line="141" w:lineRule="exact" w:before="12"/>
        <w:ind w:left="111" w:right="0" w:firstLine="0"/>
        <w:jc w:val="left"/>
        <w:rPr>
          <w:sz w:val="18"/>
        </w:rPr>
      </w:pPr>
      <w:r>
        <w:rPr/>
        <w:br w:type="column"/>
      </w:r>
      <w:r>
        <w:rPr>
          <w:sz w:val="18"/>
        </w:rPr>
        <w:t>企业新征用地（东区）待本项目</w:t>
      </w:r>
    </w:p>
    <w:p>
      <w:pPr>
        <w:spacing w:after="0" w:line="141" w:lineRule="exact"/>
        <w:jc w:val="left"/>
        <w:rPr>
          <w:sz w:val="18"/>
        </w:rPr>
        <w:sectPr>
          <w:type w:val="continuous"/>
          <w:pgSz w:w="16840" w:h="11910" w:orient="landscape"/>
          <w:pgMar w:top="1420" w:bottom="280" w:left="1280" w:right="1260"/>
          <w:cols w:num="2" w:equalWidth="0">
            <w:col w:w="10930" w:space="40"/>
            <w:col w:w="3330"/>
          </w:cols>
        </w:sectPr>
      </w:pPr>
    </w:p>
    <w:p>
      <w:pPr>
        <w:spacing w:before="92"/>
        <w:ind w:left="1602" w:right="0" w:firstLine="0"/>
        <w:jc w:val="left"/>
        <w:rPr>
          <w:sz w:val="18"/>
        </w:rPr>
      </w:pPr>
      <w:r>
        <w:rPr>
          <w:spacing w:val="-10"/>
          <w:sz w:val="18"/>
        </w:rPr>
        <w:t>结合化工园区实际情况，重点企业建立特殊污染因子在线监控预警系</w:t>
      </w:r>
    </w:p>
    <w:p>
      <w:pPr>
        <w:spacing w:line="265" w:lineRule="exact" w:before="0"/>
        <w:ind w:left="3975" w:right="0" w:firstLine="0"/>
        <w:jc w:val="left"/>
        <w:rPr>
          <w:sz w:val="18"/>
        </w:rPr>
      </w:pPr>
      <w:r>
        <w:rPr/>
        <w:br w:type="column"/>
      </w:r>
      <w:r>
        <w:rPr>
          <w:w w:val="180"/>
          <w:position w:val="12"/>
          <w:sz w:val="18"/>
        </w:rPr>
        <w:t>o</w:t>
      </w:r>
      <w:r>
        <w:rPr>
          <w:spacing w:val="-137"/>
          <w:w w:val="180"/>
          <w:position w:val="12"/>
          <w:sz w:val="18"/>
        </w:rPr>
        <w:t> </w:t>
      </w:r>
      <w:r>
        <w:rPr>
          <w:w w:val="105"/>
          <w:sz w:val="18"/>
        </w:rPr>
        <w:t>建成后事故应急池容积按规范</w:t>
      </w:r>
    </w:p>
    <w:p>
      <w:pPr>
        <w:spacing w:line="82" w:lineRule="exact" w:before="0"/>
        <w:ind w:left="61" w:right="0" w:firstLine="0"/>
        <w:jc w:val="left"/>
        <w:rPr>
          <w:sz w:val="18"/>
        </w:rPr>
      </w:pPr>
      <w:r>
        <w:rPr>
          <w:sz w:val="18"/>
        </w:rPr>
        <w:t>企业设有 </w:t>
      </w:r>
      <w:r>
        <w:rPr>
          <w:rFonts w:ascii="Times New Roman" w:eastAsia="Times New Roman"/>
          <w:sz w:val="18"/>
        </w:rPr>
        <w:t>1 </w:t>
      </w:r>
      <w:r>
        <w:rPr>
          <w:sz w:val="18"/>
        </w:rPr>
        <w:t>个事故应急池，总容量 </w:t>
      </w:r>
      <w:r>
        <w:rPr>
          <w:rFonts w:ascii="Times New Roman" w:eastAsia="Times New Roman"/>
          <w:sz w:val="18"/>
        </w:rPr>
        <w:t>320m</w:t>
      </w:r>
      <w:r>
        <w:rPr>
          <w:rFonts w:ascii="Times New Roman" w:eastAsia="Times New Roman"/>
          <w:position w:val="6"/>
          <w:sz w:val="12"/>
        </w:rPr>
        <w:t>3 </w:t>
      </w:r>
      <w:r>
        <w:rPr>
          <w:sz w:val="18"/>
        </w:rPr>
        <w:t>可满足事</w:t>
      </w:r>
    </w:p>
    <w:p>
      <w:pPr>
        <w:spacing w:after="0" w:line="82" w:lineRule="exact"/>
        <w:jc w:val="left"/>
        <w:rPr>
          <w:sz w:val="18"/>
        </w:rPr>
        <w:sectPr>
          <w:type w:val="continuous"/>
          <w:pgSz w:w="16840" w:h="11910" w:orient="landscape"/>
          <w:pgMar w:top="1420" w:bottom="280" w:left="1280" w:right="1260"/>
          <w:cols w:num="2" w:equalWidth="0">
            <w:col w:w="6915" w:space="40"/>
            <w:col w:w="7345"/>
          </w:cols>
        </w:sectPr>
      </w:pPr>
    </w:p>
    <w:p>
      <w:pPr>
        <w:tabs>
          <w:tab w:pos="1602" w:val="left" w:leader="none"/>
        </w:tabs>
        <w:spacing w:line="105" w:lineRule="auto" w:before="14"/>
        <w:ind w:left="1168" w:right="0" w:firstLine="0"/>
        <w:jc w:val="left"/>
        <w:rPr>
          <w:sz w:val="18"/>
        </w:rPr>
      </w:pPr>
      <w:r>
        <w:rPr>
          <w:rFonts w:ascii="Times New Roman" w:eastAsia="Times New Roman"/>
          <w:sz w:val="18"/>
        </w:rPr>
        <w:t>1</w:t>
        <w:tab/>
      </w:r>
      <w:r>
        <w:rPr>
          <w:sz w:val="18"/>
        </w:rPr>
        <w:t>统</w:t>
      </w:r>
      <w:r>
        <w:rPr>
          <w:spacing w:val="-46"/>
          <w:w w:val="180"/>
          <w:sz w:val="18"/>
        </w:rPr>
        <w:t>。</w:t>
      </w:r>
      <w:r>
        <w:rPr>
          <w:spacing w:val="-5"/>
          <w:sz w:val="18"/>
        </w:rPr>
        <w:t>事故应急池容积应规范建设，事故应急池电源应从总电源处单独 </w:t>
      </w:r>
      <w:r>
        <w:rPr>
          <w:spacing w:val="-11"/>
          <w:position w:val="-11"/>
          <w:sz w:val="18"/>
        </w:rPr>
        <w:t>故应急需要；电源从总电源处单独接出，应急泵安装 </w:t>
      </w:r>
      <w:r>
        <w:rPr>
          <w:spacing w:val="-3"/>
          <w:sz w:val="18"/>
        </w:rPr>
        <w:t>建设，事故应急池电源应从总电 符合</w:t>
      </w:r>
    </w:p>
    <w:p>
      <w:pPr>
        <w:spacing w:after="0" w:line="105" w:lineRule="auto"/>
        <w:jc w:val="left"/>
        <w:rPr>
          <w:sz w:val="18"/>
        </w:rPr>
        <w:sectPr>
          <w:type w:val="continuous"/>
          <w:pgSz w:w="16840" w:h="11910" w:orient="landscape"/>
          <w:pgMar w:top="1420" w:bottom="280" w:left="1280" w:right="1260"/>
        </w:sectPr>
      </w:pPr>
    </w:p>
    <w:p>
      <w:pPr>
        <w:spacing w:line="206" w:lineRule="exact" w:before="0"/>
        <w:ind w:left="2908" w:right="0" w:firstLine="0"/>
        <w:jc w:val="left"/>
        <w:rPr>
          <w:sz w:val="18"/>
        </w:rPr>
      </w:pPr>
      <w:r>
        <w:rPr>
          <w:sz w:val="18"/>
        </w:rPr>
        <w:t>接出，应急泵应安装自动感应装置</w:t>
      </w:r>
    </w:p>
    <w:p>
      <w:pPr>
        <w:spacing w:before="93"/>
        <w:ind w:left="2809" w:right="0" w:firstLine="0"/>
        <w:jc w:val="left"/>
        <w:rPr>
          <w:sz w:val="18"/>
        </w:rPr>
      </w:pPr>
      <w:r>
        <w:rPr/>
        <w:br w:type="column"/>
      </w:r>
      <w:r>
        <w:rPr>
          <w:sz w:val="18"/>
        </w:rPr>
        <w:t>自动感应装置</w:t>
      </w:r>
    </w:p>
    <w:p>
      <w:pPr>
        <w:spacing w:line="242" w:lineRule="auto" w:before="129"/>
        <w:ind w:left="1321" w:right="0" w:firstLine="0"/>
        <w:jc w:val="left"/>
        <w:rPr>
          <w:sz w:val="18"/>
        </w:rPr>
      </w:pPr>
      <w:r>
        <w:rPr>
          <w:spacing w:val="-8"/>
          <w:sz w:val="18"/>
        </w:rPr>
        <w:t>已建立环保治理设施收集、处理、运行定期排查检修</w:t>
      </w:r>
      <w:r>
        <w:rPr>
          <w:sz w:val="18"/>
        </w:rPr>
        <w:t>机制和环保事故隐患定期排查机制</w:t>
      </w:r>
      <w:r>
        <w:rPr>
          <w:spacing w:val="-85"/>
          <w:w w:val="180"/>
          <w:sz w:val="18"/>
        </w:rPr>
        <w:t>。</w:t>
      </w:r>
      <w:r>
        <w:rPr>
          <w:spacing w:val="-4"/>
          <w:sz w:val="18"/>
        </w:rPr>
        <w:t>每年组织环境</w:t>
      </w:r>
      <w:r>
        <w:rPr>
          <w:spacing w:val="-160"/>
          <w:sz w:val="18"/>
        </w:rPr>
        <w:t>应</w:t>
      </w:r>
    </w:p>
    <w:p>
      <w:pPr>
        <w:spacing w:line="230" w:lineRule="atLeast" w:before="2"/>
        <w:ind w:left="1321" w:right="0" w:firstLine="0"/>
        <w:jc w:val="left"/>
        <w:rPr>
          <w:sz w:val="18"/>
        </w:rPr>
      </w:pPr>
      <w:r>
        <w:rPr>
          <w:spacing w:val="-10"/>
          <w:sz w:val="18"/>
        </w:rPr>
        <w:t>急培训一次以上，每月对应急物资和设施进行检查记</w:t>
      </w:r>
      <w:r>
        <w:rPr>
          <w:w w:val="115"/>
          <w:sz w:val="18"/>
        </w:rPr>
        <w:t>录。</w:t>
      </w:r>
    </w:p>
    <w:p>
      <w:pPr>
        <w:spacing w:line="206" w:lineRule="exact" w:before="0"/>
        <w:ind w:left="22" w:right="764" w:firstLine="0"/>
        <w:jc w:val="center"/>
        <w:rPr>
          <w:sz w:val="18"/>
        </w:rPr>
      </w:pPr>
      <w:r>
        <w:rPr/>
        <w:br w:type="column"/>
      </w:r>
      <w:r>
        <w:rPr>
          <w:spacing w:val="-8"/>
          <w:sz w:val="18"/>
        </w:rPr>
        <w:t>源处单独接出，应急泵应安装自</w:t>
      </w:r>
    </w:p>
    <w:p>
      <w:pPr>
        <w:spacing w:before="4"/>
        <w:ind w:left="21" w:right="764" w:firstLine="0"/>
        <w:jc w:val="center"/>
        <w:rPr>
          <w:sz w:val="18"/>
        </w:rPr>
      </w:pPr>
      <w:r>
        <w:rPr>
          <w:sz w:val="18"/>
        </w:rPr>
        <w:t>动感应装置</w:t>
      </w:r>
    </w:p>
    <w:p>
      <w:pPr>
        <w:spacing w:after="0"/>
        <w:jc w:val="center"/>
        <w:rPr>
          <w:sz w:val="18"/>
        </w:rPr>
        <w:sectPr>
          <w:type w:val="continuous"/>
          <w:pgSz w:w="16840" w:h="11910" w:orient="landscape"/>
          <w:pgMar w:top="1420" w:bottom="280" w:left="1280" w:right="1260"/>
          <w:cols w:num="3" w:equalWidth="0">
            <w:col w:w="5609" w:space="40"/>
            <w:col w:w="5378" w:space="39"/>
            <w:col w:w="3234"/>
          </w:cols>
        </w:sectPr>
      </w:pPr>
    </w:p>
    <w:p>
      <w:pPr>
        <w:spacing w:line="242" w:lineRule="auto" w:before="4"/>
        <w:ind w:left="392" w:right="38" w:hanging="180"/>
        <w:jc w:val="left"/>
        <w:rPr>
          <w:sz w:val="18"/>
        </w:rPr>
      </w:pPr>
      <w:r>
        <w:rPr>
          <w:sz w:val="18"/>
        </w:rPr>
        <w:t>应急管理</w:t>
      </w:r>
    </w:p>
    <w:p>
      <w:pPr>
        <w:spacing w:line="88" w:lineRule="auto" w:before="0"/>
        <w:ind w:left="0" w:right="93" w:firstLine="0"/>
        <w:jc w:val="right"/>
        <w:rPr>
          <w:sz w:val="18"/>
        </w:rPr>
      </w:pPr>
      <w:r>
        <w:rPr/>
        <w:br w:type="column"/>
      </w:r>
      <w:r>
        <w:rPr>
          <w:sz w:val="18"/>
        </w:rPr>
        <w:t>建立环保治理设施收集、处理、运行定期排查检修机制，及时发现存 </w:t>
      </w:r>
      <w:r>
        <w:rPr>
          <w:position w:val="-11"/>
          <w:sz w:val="18"/>
        </w:rPr>
        <w:t>硫酸浓缩车间配套建设的燃气炉尾气排气筒共接进</w:t>
      </w:r>
    </w:p>
    <w:p>
      <w:pPr>
        <w:tabs>
          <w:tab w:pos="647" w:val="left" w:leader="none"/>
        </w:tabs>
        <w:spacing w:line="158" w:lineRule="auto" w:before="0"/>
        <w:ind w:left="647" w:right="0" w:hanging="435"/>
        <w:jc w:val="right"/>
        <w:rPr>
          <w:sz w:val="18"/>
        </w:rPr>
      </w:pPr>
      <w:r>
        <w:rPr>
          <w:rFonts w:ascii="Times New Roman" w:eastAsia="Times New Roman"/>
          <w:sz w:val="18"/>
        </w:rPr>
        <w:t>2</w:t>
        <w:tab/>
      </w:r>
      <w:r>
        <w:rPr>
          <w:spacing w:val="-7"/>
          <w:sz w:val="18"/>
        </w:rPr>
        <w:t>在故障和隐患，加强环保事故隐患定期排查机制，完善防范措施</w:t>
      </w:r>
      <w:r>
        <w:rPr>
          <w:spacing w:val="-29"/>
          <w:w w:val="180"/>
          <w:sz w:val="18"/>
        </w:rPr>
        <w:t>。</w:t>
      </w:r>
      <w:r>
        <w:rPr>
          <w:spacing w:val="-1"/>
          <w:sz w:val="18"/>
        </w:rPr>
        <w:t>每 </w:t>
      </w:r>
      <w:r>
        <w:rPr>
          <w:spacing w:val="-11"/>
          <w:position w:val="-11"/>
          <w:sz w:val="18"/>
        </w:rPr>
        <w:t>三路管道，右侧两路为燃烧尾气，左侧管道为硫酸</w:t>
      </w:r>
      <w:r>
        <w:rPr>
          <w:spacing w:val="-160"/>
          <w:position w:val="-11"/>
          <w:sz w:val="18"/>
        </w:rPr>
        <w:t>装</w:t>
      </w:r>
      <w:r>
        <w:rPr>
          <w:spacing w:val="-7"/>
          <w:sz w:val="18"/>
        </w:rPr>
        <w:t>年组织环境应急培训一次以上，每月对应急物资和设施进行检查记录 </w:t>
      </w:r>
      <w:r>
        <w:rPr>
          <w:position w:val="-11"/>
          <w:sz w:val="18"/>
        </w:rPr>
        <w:t>置废气应急处理排放管路</w:t>
      </w:r>
      <w:r>
        <w:rPr>
          <w:spacing w:val="-85"/>
          <w:w w:val="180"/>
          <w:position w:val="-11"/>
          <w:sz w:val="18"/>
        </w:rPr>
        <w:t>。</w:t>
      </w:r>
      <w:r>
        <w:rPr>
          <w:position w:val="-11"/>
          <w:sz w:val="18"/>
        </w:rPr>
        <w:t>当废气集中处理设施出</w:t>
      </w:r>
      <w:r>
        <w:rPr>
          <w:spacing w:val="-178"/>
          <w:position w:val="-11"/>
          <w:sz w:val="18"/>
        </w:rPr>
        <w:t>现</w:t>
      </w:r>
    </w:p>
    <w:p>
      <w:pPr>
        <w:spacing w:line="242" w:lineRule="auto" w:before="0"/>
        <w:ind w:left="6014" w:right="0" w:firstLine="0"/>
        <w:jc w:val="both"/>
        <w:rPr>
          <w:sz w:val="18"/>
        </w:rPr>
      </w:pPr>
      <w:r>
        <w:rPr>
          <w:spacing w:val="-11"/>
          <w:sz w:val="18"/>
        </w:rPr>
        <w:t>故障时，硫酸浓缩尾气经车间外二级喷淋处理后通过</w:t>
      </w:r>
      <w:r>
        <w:rPr>
          <w:spacing w:val="-6"/>
          <w:sz w:val="18"/>
        </w:rPr>
        <w:t>该管路进入天然气燃烧尾气排气筒排放。整改后建</w:t>
      </w:r>
      <w:r>
        <w:rPr>
          <w:spacing w:val="-160"/>
          <w:sz w:val="18"/>
        </w:rPr>
        <w:t>立</w:t>
      </w:r>
      <w:r>
        <w:rPr>
          <w:spacing w:val="-88"/>
          <w:sz w:val="18"/>
        </w:rPr>
        <w:t> </w:t>
      </w:r>
      <w:r>
        <w:rPr>
          <w:w w:val="105"/>
          <w:sz w:val="18"/>
        </w:rPr>
        <w:t>应急管道控制阀的日常管理制度及运行台账。</w:t>
      </w:r>
    </w:p>
    <w:p>
      <w:pPr>
        <w:spacing w:line="172" w:lineRule="exact" w:before="4"/>
        <w:ind w:left="15" w:right="0" w:firstLine="0"/>
        <w:jc w:val="left"/>
        <w:rPr>
          <w:sz w:val="18"/>
        </w:rPr>
      </w:pPr>
      <w:r>
        <w:rPr/>
        <w:br w:type="column"/>
      </w:r>
      <w:r>
        <w:rPr>
          <w:sz w:val="18"/>
        </w:rPr>
        <w:t>企业新征用地（东区）待本项目</w:t>
      </w:r>
    </w:p>
    <w:p>
      <w:pPr>
        <w:tabs>
          <w:tab w:pos="2622" w:val="left" w:leader="none"/>
        </w:tabs>
        <w:spacing w:line="292" w:lineRule="exact" w:before="0"/>
        <w:ind w:left="613" w:right="0" w:firstLine="0"/>
        <w:jc w:val="left"/>
        <w:rPr>
          <w:sz w:val="18"/>
        </w:rPr>
      </w:pPr>
      <w:r>
        <w:rPr>
          <w:sz w:val="18"/>
        </w:rPr>
        <w:t>建成后均可满足</w:t>
        <w:tab/>
      </w:r>
      <w:r>
        <w:rPr>
          <w:position w:val="12"/>
          <w:sz w:val="18"/>
        </w:rPr>
        <w:t>符合</w:t>
      </w:r>
    </w:p>
    <w:p>
      <w:pPr>
        <w:spacing w:after="0" w:line="292" w:lineRule="exact"/>
        <w:jc w:val="left"/>
        <w:rPr>
          <w:sz w:val="18"/>
        </w:rPr>
        <w:sectPr>
          <w:type w:val="continuous"/>
          <w:pgSz w:w="16840" w:h="11910" w:orient="landscape"/>
          <w:pgMar w:top="1420" w:bottom="280" w:left="1280" w:right="1260"/>
          <w:cols w:num="3" w:equalWidth="0">
            <w:col w:w="793" w:space="162"/>
            <w:col w:w="10071" w:space="40"/>
            <w:col w:w="3234"/>
          </w:cols>
        </w:sectPr>
      </w:pPr>
    </w:p>
    <w:p>
      <w:pPr>
        <w:spacing w:before="83"/>
        <w:ind w:left="1602" w:right="0" w:firstLine="0"/>
        <w:jc w:val="left"/>
        <w:rPr>
          <w:sz w:val="18"/>
        </w:rPr>
      </w:pPr>
      <w:r>
        <w:rPr>
          <w:spacing w:val="-5"/>
          <w:sz w:val="18"/>
        </w:rPr>
        <w:t>按要求更新完善环境污染事故风险应急预案并报备，每年单独或联合</w:t>
      </w:r>
    </w:p>
    <w:p>
      <w:pPr>
        <w:spacing w:line="198" w:lineRule="exact" w:before="0"/>
        <w:ind w:left="63" w:right="0" w:firstLine="0"/>
        <w:jc w:val="left"/>
        <w:rPr>
          <w:sz w:val="18"/>
        </w:rPr>
      </w:pPr>
      <w:r>
        <w:rPr/>
        <w:br w:type="column"/>
      </w:r>
      <w:r>
        <w:rPr>
          <w:sz w:val="18"/>
        </w:rPr>
        <w:t>更新并完善了环境污染事故风险应急预案并报生态</w:t>
      </w:r>
    </w:p>
    <w:p>
      <w:pPr>
        <w:spacing w:line="143" w:lineRule="exact" w:before="2"/>
        <w:ind w:left="15" w:right="0" w:firstLine="0"/>
        <w:jc w:val="left"/>
        <w:rPr>
          <w:sz w:val="18"/>
        </w:rPr>
      </w:pPr>
      <w:r>
        <w:rPr>
          <w:spacing w:val="-8"/>
          <w:sz w:val="18"/>
        </w:rPr>
        <w:t>环境管理部门备案，备案在有效期内，每年组织一次</w:t>
      </w:r>
    </w:p>
    <w:p>
      <w:pPr>
        <w:spacing w:after="0" w:line="143" w:lineRule="exact"/>
        <w:jc w:val="left"/>
        <w:rPr>
          <w:sz w:val="18"/>
        </w:rPr>
        <w:sectPr>
          <w:type w:val="continuous"/>
          <w:pgSz w:w="16840" w:h="11910" w:orient="landscape"/>
          <w:pgMar w:top="1420" w:bottom="280" w:left="1280" w:right="1260"/>
          <w:cols w:num="2" w:equalWidth="0">
            <w:col w:w="6915" w:space="40"/>
            <w:col w:w="7345"/>
          </w:cols>
        </w:sectPr>
      </w:pPr>
    </w:p>
    <w:p>
      <w:pPr>
        <w:tabs>
          <w:tab w:pos="1602" w:val="left" w:leader="none"/>
        </w:tabs>
        <w:spacing w:line="115" w:lineRule="exact" w:before="0"/>
        <w:ind w:left="1168" w:right="0" w:firstLine="0"/>
        <w:jc w:val="left"/>
        <w:rPr>
          <w:sz w:val="18"/>
        </w:rPr>
      </w:pPr>
      <w:r>
        <w:rPr>
          <w:rFonts w:ascii="Times New Roman" w:eastAsia="Times New Roman"/>
          <w:position w:val="-11"/>
          <w:sz w:val="18"/>
        </w:rPr>
        <w:t>3</w:t>
        <w:tab/>
      </w:r>
      <w:r>
        <w:rPr>
          <w:spacing w:val="-12"/>
          <w:sz w:val="18"/>
        </w:rPr>
        <w:t>组织应急演练一次以上，演练须有方案、过程剧本，演练留痕</w:t>
      </w:r>
      <w:r>
        <w:rPr>
          <w:sz w:val="18"/>
        </w:rPr>
        <w:t>（视频、</w:t>
      </w:r>
    </w:p>
    <w:p>
      <w:pPr>
        <w:spacing w:line="115" w:lineRule="exact" w:before="0"/>
        <w:ind w:left="1168" w:right="0" w:firstLine="0"/>
        <w:jc w:val="left"/>
        <w:rPr>
          <w:sz w:val="18"/>
        </w:rPr>
      </w:pPr>
      <w:r>
        <w:rPr/>
        <w:br w:type="column"/>
      </w:r>
      <w:r>
        <w:rPr>
          <w:sz w:val="18"/>
        </w:rPr>
        <w:t>项目投产前，应更新应急预案并</w:t>
      </w:r>
    </w:p>
    <w:p>
      <w:pPr>
        <w:spacing w:after="0" w:line="115" w:lineRule="exact"/>
        <w:jc w:val="left"/>
        <w:rPr>
          <w:sz w:val="18"/>
        </w:rPr>
        <w:sectPr>
          <w:type w:val="continuous"/>
          <w:pgSz w:w="16840" w:h="11910" w:orient="landscape"/>
          <w:pgMar w:top="1420" w:bottom="280" w:left="1280" w:right="1260"/>
          <w:cols w:num="2" w:equalWidth="0">
            <w:col w:w="7043" w:space="2870"/>
            <w:col w:w="4387"/>
          </w:cols>
        </w:sectPr>
      </w:pPr>
    </w:p>
    <w:p>
      <w:pPr>
        <w:spacing w:line="25" w:lineRule="exact" w:before="92"/>
        <w:ind w:left="1602" w:right="0" w:firstLine="0"/>
        <w:jc w:val="left"/>
        <w:rPr>
          <w:sz w:val="18"/>
        </w:rPr>
      </w:pPr>
      <w:r>
        <w:rPr>
          <w:sz w:val="18"/>
        </w:rPr>
        <w:t>照片等影像资料</w:t>
      </w:r>
      <w:r>
        <w:rPr>
          <w:spacing w:val="-89"/>
          <w:sz w:val="18"/>
        </w:rPr>
        <w:t>）</w:t>
      </w:r>
      <w:r>
        <w:rPr>
          <w:spacing w:val="-12"/>
          <w:sz w:val="18"/>
        </w:rPr>
        <w:t>。重点企业委托第三方资质单位开展环境风险评</w:t>
      </w:r>
      <w:r>
        <w:rPr>
          <w:spacing w:val="-160"/>
          <w:sz w:val="18"/>
        </w:rPr>
        <w:t>估</w:t>
      </w:r>
    </w:p>
    <w:p>
      <w:pPr>
        <w:tabs>
          <w:tab w:pos="5267" w:val="left" w:leader="none"/>
          <w:tab w:pos="6824" w:val="left" w:leader="none"/>
        </w:tabs>
        <w:spacing w:line="118" w:lineRule="exact" w:before="0"/>
        <w:ind w:left="106" w:right="0" w:firstLine="0"/>
        <w:jc w:val="left"/>
        <w:rPr>
          <w:sz w:val="18"/>
        </w:rPr>
      </w:pPr>
      <w:r>
        <w:rPr/>
        <w:br w:type="column"/>
      </w:r>
      <w:r>
        <w:rPr>
          <w:sz w:val="18"/>
        </w:rPr>
        <w:t>应急演练</w:t>
      </w:r>
      <w:r>
        <w:rPr>
          <w:spacing w:val="-44"/>
          <w:sz w:val="18"/>
        </w:rPr>
        <w:t>，</w:t>
      </w:r>
      <w:r>
        <w:rPr>
          <w:sz w:val="18"/>
        </w:rPr>
        <w:t>每次演练前制定演练方案和过程剧本</w:t>
      </w:r>
      <w:r>
        <w:rPr>
          <w:spacing w:val="-44"/>
          <w:sz w:val="18"/>
        </w:rPr>
        <w:t>，</w:t>
      </w:r>
      <w:r>
        <w:rPr>
          <w:sz w:val="18"/>
        </w:rPr>
        <w:t>演</w:t>
        <w:tab/>
      </w:r>
      <w:r>
        <w:rPr>
          <w:position w:val="-11"/>
          <w:sz w:val="18"/>
        </w:rPr>
        <w:t>备案</w:t>
        <w:tab/>
      </w:r>
      <w:r>
        <w:rPr>
          <w:sz w:val="18"/>
        </w:rPr>
        <w:t>符合</w:t>
      </w:r>
    </w:p>
    <w:p>
      <w:pPr>
        <w:spacing w:after="0" w:line="118" w:lineRule="exact"/>
        <w:jc w:val="left"/>
        <w:rPr>
          <w:sz w:val="18"/>
        </w:rPr>
        <w:sectPr>
          <w:type w:val="continuous"/>
          <w:pgSz w:w="16840" w:h="11910" w:orient="landscape"/>
          <w:pgMar w:top="1420" w:bottom="280" w:left="1280" w:right="1260"/>
          <w:cols w:num="2" w:equalWidth="0">
            <w:col w:w="6824" w:space="40"/>
            <w:col w:w="7436"/>
          </w:cols>
        </w:sectPr>
      </w:pPr>
    </w:p>
    <w:p>
      <w:pPr>
        <w:pStyle w:val="BodyText"/>
        <w:spacing w:before="2"/>
        <w:rPr>
          <w:sz w:val="16"/>
        </w:rPr>
      </w:pPr>
    </w:p>
    <w:p>
      <w:pPr>
        <w:spacing w:before="0"/>
        <w:ind w:left="2817" w:right="0" w:firstLine="0"/>
        <w:jc w:val="left"/>
        <w:rPr>
          <w:sz w:val="18"/>
        </w:rPr>
      </w:pPr>
      <w:r>
        <w:rPr>
          <w:sz w:val="18"/>
        </w:rPr>
        <w:t>高风险企业鼓励投保环境污染责任险</w:t>
      </w:r>
    </w:p>
    <w:p>
      <w:pPr>
        <w:spacing w:line="149" w:lineRule="exact" w:before="0"/>
        <w:ind w:left="1067" w:right="7274" w:firstLine="0"/>
        <w:jc w:val="center"/>
        <w:rPr>
          <w:sz w:val="18"/>
        </w:rPr>
      </w:pPr>
      <w:r>
        <w:rPr/>
        <w:br w:type="column"/>
      </w:r>
      <w:r>
        <w:rPr>
          <w:sz w:val="18"/>
        </w:rPr>
        <w:t>，</w:t>
      </w:r>
    </w:p>
    <w:p>
      <w:pPr>
        <w:spacing w:line="174" w:lineRule="exact" w:before="0"/>
        <w:ind w:left="1067" w:right="3109" w:firstLine="0"/>
        <w:jc w:val="center"/>
        <w:rPr>
          <w:sz w:val="18"/>
        </w:rPr>
      </w:pPr>
      <w:r>
        <w:rPr>
          <w:sz w:val="18"/>
        </w:rPr>
        <w:t>练过程保留视频、照片等过程痕迹资料，演练完成后</w:t>
      </w:r>
    </w:p>
    <w:p>
      <w:pPr>
        <w:spacing w:before="2"/>
        <w:ind w:left="1067" w:right="3107" w:firstLine="0"/>
        <w:jc w:val="center"/>
        <w:rPr>
          <w:sz w:val="18"/>
        </w:rPr>
      </w:pPr>
      <w:r>
        <w:rPr>
          <w:w w:val="105"/>
          <w:sz w:val="18"/>
        </w:rPr>
        <w:t>进行总结。不属于重点企业和高风险企业。</w:t>
      </w:r>
    </w:p>
    <w:p>
      <w:pPr>
        <w:spacing w:after="0"/>
        <w:jc w:val="center"/>
        <w:rPr>
          <w:sz w:val="18"/>
        </w:rPr>
        <w:sectPr>
          <w:type w:val="continuous"/>
          <w:pgSz w:w="16840" w:h="11910" w:orient="landscape"/>
          <w:pgMar w:top="1420" w:bottom="280" w:left="1280" w:right="1260"/>
          <w:cols w:num="2" w:equalWidth="0">
            <w:col w:w="5698" w:space="40"/>
            <w:col w:w="8562"/>
          </w:cols>
        </w:sectPr>
      </w:pPr>
    </w:p>
    <w:p>
      <w:pPr>
        <w:pStyle w:val="BodyText"/>
        <w:rPr>
          <w:sz w:val="18"/>
        </w:rPr>
      </w:pPr>
    </w:p>
    <w:p>
      <w:pPr>
        <w:spacing w:line="21" w:lineRule="exact" w:before="137"/>
        <w:ind w:left="212" w:right="0" w:firstLine="0"/>
        <w:jc w:val="left"/>
        <w:rPr>
          <w:sz w:val="18"/>
        </w:rPr>
      </w:pPr>
      <w:r>
        <w:rPr>
          <w:sz w:val="18"/>
        </w:rPr>
        <w:t>环保管</w:t>
      </w:r>
    </w:p>
    <w:p>
      <w:pPr>
        <w:spacing w:line="158" w:lineRule="auto" w:before="32"/>
        <w:ind w:left="647" w:right="0" w:firstLine="0"/>
        <w:jc w:val="left"/>
        <w:rPr>
          <w:sz w:val="18"/>
        </w:rPr>
      </w:pPr>
      <w:r>
        <w:rPr/>
        <w:br w:type="column"/>
      </w:r>
      <w:r>
        <w:rPr>
          <w:sz w:val="18"/>
        </w:rPr>
        <w:t>企业按照国家环境监测相关规定，安装污染源在线自动监控设施，并 </w:t>
      </w:r>
      <w:r>
        <w:rPr>
          <w:position w:val="-11"/>
          <w:sz w:val="18"/>
        </w:rPr>
        <w:t>贝斯美化工是废水重点排污单位，已安装废水在线监</w:t>
      </w:r>
    </w:p>
    <w:p>
      <w:pPr>
        <w:tabs>
          <w:tab w:pos="647" w:val="left" w:leader="none"/>
        </w:tabs>
        <w:spacing w:line="-55" w:lineRule="auto" w:before="16"/>
        <w:ind w:left="212" w:right="0" w:firstLine="0"/>
        <w:jc w:val="left"/>
        <w:rPr>
          <w:sz w:val="18"/>
        </w:rPr>
      </w:pPr>
      <w:r>
        <w:rPr>
          <w:rFonts w:ascii="Times New Roman" w:eastAsia="Times New Roman"/>
          <w:position w:val="-11"/>
          <w:sz w:val="18"/>
        </w:rPr>
        <w:t>1</w:t>
        <w:tab/>
      </w:r>
      <w:r>
        <w:rPr>
          <w:spacing w:val="-3"/>
          <w:sz w:val="18"/>
        </w:rPr>
        <w:t>实施在线自动分析。重点排污单位配套安装 </w:t>
      </w:r>
      <w:r>
        <w:rPr>
          <w:rFonts w:ascii="Times New Roman" w:eastAsia="Times New Roman"/>
          <w:sz w:val="18"/>
        </w:rPr>
        <w:t>pH</w:t>
      </w:r>
      <w:r>
        <w:rPr>
          <w:spacing w:val="-3"/>
          <w:sz w:val="18"/>
        </w:rPr>
        <w:t>、</w:t>
      </w:r>
      <w:r>
        <w:rPr>
          <w:rFonts w:ascii="Times New Roman" w:eastAsia="Times New Roman"/>
          <w:sz w:val="18"/>
        </w:rPr>
        <w:t>COD</w:t>
      </w:r>
      <w:r>
        <w:rPr>
          <w:spacing w:val="-8"/>
          <w:sz w:val="18"/>
        </w:rPr>
        <w:t>、氨氮、二氧 </w:t>
      </w:r>
      <w:r>
        <w:rPr>
          <w:spacing w:val="-4"/>
          <w:position w:val="-11"/>
          <w:sz w:val="18"/>
        </w:rPr>
        <w:t>控设施，监测因子包括：</w:t>
      </w:r>
      <w:r>
        <w:rPr>
          <w:rFonts w:ascii="Times New Roman" w:eastAsia="Times New Roman"/>
          <w:spacing w:val="-4"/>
          <w:position w:val="-11"/>
          <w:sz w:val="18"/>
        </w:rPr>
        <w:t>pH</w:t>
      </w:r>
      <w:r>
        <w:rPr>
          <w:spacing w:val="-10"/>
          <w:position w:val="-11"/>
          <w:sz w:val="18"/>
        </w:rPr>
        <w:t>、</w:t>
      </w:r>
      <w:r>
        <w:rPr>
          <w:rFonts w:ascii="Times New Roman" w:eastAsia="Times New Roman"/>
          <w:position w:val="-11"/>
          <w:sz w:val="18"/>
        </w:rPr>
        <w:t>COD</w:t>
      </w:r>
      <w:r>
        <w:rPr>
          <w:spacing w:val="-12"/>
          <w:position w:val="-11"/>
          <w:sz w:val="18"/>
        </w:rPr>
        <w:t>、</w:t>
      </w:r>
      <w:r>
        <w:rPr>
          <w:rFonts w:ascii="Times New Roman" w:eastAsia="Times New Roman"/>
          <w:position w:val="-11"/>
          <w:sz w:val="18"/>
        </w:rPr>
        <w:t>TOC</w:t>
      </w:r>
      <w:r>
        <w:rPr>
          <w:rFonts w:ascii="Times New Roman" w:eastAsia="Times New Roman"/>
          <w:spacing w:val="11"/>
          <w:position w:val="-11"/>
          <w:sz w:val="18"/>
        </w:rPr>
        <w:t> </w:t>
      </w:r>
      <w:r>
        <w:rPr>
          <w:spacing w:val="-9"/>
          <w:position w:val="-11"/>
          <w:sz w:val="18"/>
        </w:rPr>
        <w:t>等，并上 </w:t>
      </w:r>
      <w:r>
        <w:rPr>
          <w:spacing w:val="-6"/>
          <w:sz w:val="18"/>
        </w:rPr>
        <w:t>企业新征用地</w:t>
      </w:r>
      <w:r>
        <w:rPr>
          <w:sz w:val="18"/>
        </w:rPr>
        <w:t>（东区</w:t>
      </w:r>
      <w:r>
        <w:rPr>
          <w:spacing w:val="-32"/>
          <w:sz w:val="18"/>
        </w:rPr>
        <w:t>）</w:t>
      </w:r>
      <w:r>
        <w:rPr>
          <w:sz w:val="18"/>
        </w:rPr>
        <w:t>待本项目</w:t>
      </w:r>
    </w:p>
    <w:p>
      <w:pPr>
        <w:spacing w:after="0" w:line="-55" w:lineRule="auto"/>
        <w:jc w:val="left"/>
        <w:rPr>
          <w:sz w:val="18"/>
        </w:rPr>
        <w:sectPr>
          <w:type w:val="continuous"/>
          <w:pgSz w:w="16840" w:h="11910" w:orient="landscape"/>
          <w:pgMar w:top="1420" w:bottom="280" w:left="1280" w:right="1260"/>
          <w:cols w:num="2" w:equalWidth="0">
            <w:col w:w="793" w:space="162"/>
            <w:col w:w="13345"/>
          </w:cols>
        </w:sectPr>
      </w:pPr>
    </w:p>
    <w:p>
      <w:pPr>
        <w:pStyle w:val="BodyText"/>
        <w:spacing w:before="8"/>
        <w:rPr>
          <w:sz w:val="16"/>
        </w:rPr>
      </w:pPr>
    </w:p>
    <w:p>
      <w:pPr>
        <w:spacing w:line="230" w:lineRule="atLeast" w:before="0"/>
        <w:ind w:left="392" w:right="38" w:hanging="180"/>
        <w:jc w:val="left"/>
        <w:rPr>
          <w:sz w:val="18"/>
        </w:rPr>
      </w:pPr>
      <w:r>
        <w:rPr>
          <w:sz w:val="18"/>
        </w:rPr>
        <w:t>理智能化</w:t>
      </w:r>
    </w:p>
    <w:p>
      <w:pPr>
        <w:spacing w:line="242" w:lineRule="auto" w:before="91"/>
        <w:ind w:left="212" w:right="38" w:firstLine="0"/>
        <w:jc w:val="left"/>
        <w:rPr>
          <w:sz w:val="18"/>
        </w:rPr>
      </w:pPr>
      <w:r>
        <w:rPr/>
        <w:br w:type="column"/>
      </w:r>
      <w:r>
        <w:rPr>
          <w:spacing w:val="-11"/>
          <w:sz w:val="18"/>
        </w:rPr>
        <w:t>化硫、氮氧化物、特征因子等废水、废气在线监控设施，并上传至相</w:t>
      </w:r>
      <w:r>
        <w:rPr>
          <w:sz w:val="18"/>
        </w:rPr>
        <w:t>关监管平台。</w:t>
      </w:r>
    </w:p>
    <w:p>
      <w:pPr>
        <w:pStyle w:val="BodyText"/>
        <w:spacing w:before="1"/>
        <w:rPr>
          <w:sz w:val="16"/>
        </w:rPr>
      </w:pPr>
      <w:r>
        <w:rPr/>
        <w:br w:type="column"/>
      </w:r>
      <w:r>
        <w:rPr>
          <w:sz w:val="16"/>
        </w:rPr>
      </w:r>
    </w:p>
    <w:p>
      <w:pPr>
        <w:spacing w:before="0"/>
        <w:ind w:left="212" w:right="0" w:firstLine="0"/>
        <w:jc w:val="left"/>
        <w:rPr>
          <w:sz w:val="18"/>
        </w:rPr>
      </w:pPr>
      <w:r>
        <w:rPr>
          <w:spacing w:val="-9"/>
          <w:w w:val="105"/>
          <w:sz w:val="18"/>
        </w:rPr>
        <w:t>传至相关监管平台。</w:t>
      </w:r>
    </w:p>
    <w:p>
      <w:pPr>
        <w:tabs>
          <w:tab w:pos="2222" w:val="left" w:leader="none"/>
        </w:tabs>
        <w:spacing w:line="322" w:lineRule="exact" w:before="0"/>
        <w:ind w:left="212" w:right="0" w:firstLine="0"/>
        <w:jc w:val="left"/>
        <w:rPr>
          <w:sz w:val="18"/>
        </w:rPr>
      </w:pPr>
      <w:r>
        <w:rPr/>
        <w:br w:type="column"/>
      </w:r>
      <w:r>
        <w:rPr>
          <w:sz w:val="18"/>
        </w:rPr>
        <w:t>建成后均可满足</w:t>
        <w:tab/>
      </w:r>
      <w:r>
        <w:rPr>
          <w:position w:val="12"/>
          <w:sz w:val="18"/>
        </w:rPr>
        <w:t>符合</w:t>
      </w:r>
    </w:p>
    <w:p>
      <w:pPr>
        <w:spacing w:after="0" w:line="322" w:lineRule="exact"/>
        <w:jc w:val="left"/>
        <w:rPr>
          <w:sz w:val="18"/>
        </w:rPr>
        <w:sectPr>
          <w:type w:val="continuous"/>
          <w:pgSz w:w="16840" w:h="11910" w:orient="landscape"/>
          <w:pgMar w:top="1420" w:bottom="280" w:left="1280" w:right="1260"/>
          <w:cols w:num="4" w:equalWidth="0">
            <w:col w:w="793" w:space="597"/>
            <w:col w:w="5568" w:space="1017"/>
            <w:col w:w="1873" w:space="1618"/>
            <w:col w:w="2834"/>
          </w:cols>
        </w:sectPr>
      </w:pPr>
    </w:p>
    <w:p>
      <w:pPr>
        <w:tabs>
          <w:tab w:pos="1602" w:val="left" w:leader="none"/>
        </w:tabs>
        <w:spacing w:line="-62" w:lineRule="auto" w:before="0"/>
        <w:ind w:left="1168" w:right="0" w:firstLine="0"/>
        <w:jc w:val="left"/>
        <w:rPr>
          <w:sz w:val="18"/>
        </w:rPr>
      </w:pPr>
      <w:r>
        <w:rPr>
          <w:rFonts w:ascii="Times New Roman" w:eastAsia="Times New Roman"/>
          <w:position w:val="-11"/>
          <w:sz w:val="18"/>
        </w:rPr>
        <w:t>2</w:t>
        <w:tab/>
      </w:r>
      <w:r>
        <w:rPr>
          <w:sz w:val="18"/>
        </w:rPr>
        <w:t>在企业调度污染物排放监控平台中设置排放限值、超标预警条件等，不属于园区企业调度污染物排放监控平台名单内企</w:t>
      </w:r>
    </w:p>
    <w:p>
      <w:pPr>
        <w:spacing w:after="0" w:line="-62" w:lineRule="auto"/>
        <w:jc w:val="left"/>
        <w:rPr>
          <w:sz w:val="18"/>
        </w:rPr>
        <w:sectPr>
          <w:type w:val="continuous"/>
          <w:pgSz w:w="16840" w:h="11910" w:orient="landscape"/>
          <w:pgMar w:top="1420" w:bottom="280" w:left="1280" w:right="1260"/>
        </w:sectPr>
      </w:pPr>
    </w:p>
    <w:p>
      <w:pPr>
        <w:tabs>
          <w:tab w:pos="8906" w:val="left" w:leader="none"/>
        </w:tabs>
        <w:spacing w:before="78"/>
        <w:ind w:left="1602" w:right="0" w:firstLine="0"/>
        <w:jc w:val="left"/>
        <w:rPr>
          <w:sz w:val="18"/>
        </w:rPr>
      </w:pPr>
      <w:r>
        <w:rPr/>
        <w:pict>
          <v:group style="position:absolute;margin-left:69.239998pt;margin-top:70.94001pt;width:703.55pt;height:447.6pt;mso-position-horizontal-relative:page;mso-position-vertical-relative:page;z-index:-317614080" coordorigin="1385,1419" coordsize="14071,8952">
            <v:line style="position:absolute" from="1394,1424" to="2129,1424" stroked="true" strokeweight=".48pt" strokecolor="#000000">
              <v:stroke dashstyle="solid"/>
            </v:line>
            <v:line style="position:absolute" from="2139,1424" to="2849,1424" stroked="true" strokeweight=".48pt" strokecolor="#000000">
              <v:stroke dashstyle="solid"/>
            </v:line>
            <v:line style="position:absolute" from="2859,1424" to="8218,1424" stroked="true" strokeweight=".48pt" strokecolor="#000000">
              <v:stroke dashstyle="solid"/>
            </v:line>
            <v:line style="position:absolute" from="8228,1424" to="12330,1424" stroked="true" strokeweight=".48pt" strokecolor="#000000">
              <v:stroke dashstyle="solid"/>
            </v:line>
            <v:line style="position:absolute" from="12340,1424" to="14843,1424" stroked="true" strokeweight=".48pt" strokecolor="#000000">
              <v:stroke dashstyle="solid"/>
            </v:line>
            <v:line style="position:absolute" from="14853,1424" to="15446,1424" stroked="true" strokeweight=".48pt" strokecolor="#000000">
              <v:stroke dashstyle="solid"/>
            </v:line>
            <v:line style="position:absolute" from="1394,1666" to="2129,1666" stroked="true" strokeweight=".48pt" strokecolor="#000000">
              <v:stroke dashstyle="solid"/>
            </v:line>
            <v:line style="position:absolute" from="2139,1666" to="2849,1666" stroked="true" strokeweight=".48pt" strokecolor="#000000">
              <v:stroke dashstyle="solid"/>
            </v:line>
            <v:line style="position:absolute" from="2859,1666" to="8218,1666" stroked="true" strokeweight=".48pt" strokecolor="#000000">
              <v:stroke dashstyle="solid"/>
            </v:line>
            <v:line style="position:absolute" from="8228,1666" to="12330,1666" stroked="true" strokeweight=".48pt" strokecolor="#000000">
              <v:stroke dashstyle="solid"/>
            </v:line>
            <v:line style="position:absolute" from="12340,1666" to="14843,1666" stroked="true" strokeweight=".48pt" strokecolor="#000000">
              <v:stroke dashstyle="solid"/>
            </v:line>
            <v:line style="position:absolute" from="14853,1666" to="15446,1666" stroked="true" strokeweight=".48pt" strokecolor="#000000">
              <v:stroke dashstyle="solid"/>
            </v:line>
            <v:line style="position:absolute" from="1394,4244" to="2129,4244" stroked="true" strokeweight=".48pt" strokecolor="#000000">
              <v:stroke dashstyle="solid"/>
            </v:line>
            <v:line style="position:absolute" from="2139,4244" to="2849,4244" stroked="true" strokeweight=".48pt" strokecolor="#000000">
              <v:stroke dashstyle="solid"/>
            </v:line>
            <v:line style="position:absolute" from="2859,4244" to="8218,4244" stroked="true" strokeweight=".48pt" strokecolor="#000000">
              <v:stroke dashstyle="solid"/>
            </v:line>
            <v:line style="position:absolute" from="8228,4244" to="12330,4244" stroked="true" strokeweight=".48pt" strokecolor="#000000">
              <v:stroke dashstyle="solid"/>
            </v:line>
            <v:line style="position:absolute" from="12340,4244" to="14843,4244" stroked="true" strokeweight=".48pt" strokecolor="#000000">
              <v:stroke dashstyle="solid"/>
            </v:line>
            <v:line style="position:absolute" from="14853,4244" to="15446,4244" stroked="true" strokeweight=".48pt" strokecolor="#000000">
              <v:stroke dashstyle="solid"/>
            </v:line>
            <v:line style="position:absolute" from="1394,8944" to="2129,8944" stroked="true" strokeweight=".48001pt" strokecolor="#000000">
              <v:stroke dashstyle="solid"/>
            </v:line>
            <v:line style="position:absolute" from="2139,8944" to="2849,8944" stroked="true" strokeweight=".48001pt" strokecolor="#000000">
              <v:stroke dashstyle="solid"/>
            </v:line>
            <v:line style="position:absolute" from="2859,8944" to="8218,8944" stroked="true" strokeweight=".48001pt" strokecolor="#000000">
              <v:stroke dashstyle="solid"/>
            </v:line>
            <v:line style="position:absolute" from="8228,8944" to="12330,8944" stroked="true" strokeweight=".48001pt" strokecolor="#000000">
              <v:stroke dashstyle="solid"/>
            </v:line>
            <v:line style="position:absolute" from="12340,8944" to="14843,8944" stroked="true" strokeweight=".48001pt" strokecolor="#000000">
              <v:stroke dashstyle="solid"/>
            </v:line>
            <v:line style="position:absolute" from="14853,8944" to="15446,8944" stroked="true" strokeweight=".48001pt" strokecolor="#000000">
              <v:stroke dashstyle="solid"/>
            </v:line>
            <v:line style="position:absolute" from="1390,1419" to="1390,10370" stroked="true" strokeweight=".48pt" strokecolor="#000000">
              <v:stroke dashstyle="solid"/>
            </v:line>
            <v:line style="position:absolute" from="1394,10365" to="2129,10365" stroked="true" strokeweight=".48004pt" strokecolor="#000000">
              <v:stroke dashstyle="solid"/>
            </v:line>
            <v:line style="position:absolute" from="2139,5423" to="2849,5423" stroked="true" strokeweight=".48001pt" strokecolor="#000000">
              <v:stroke dashstyle="solid"/>
            </v:line>
            <v:line style="position:absolute" from="2859,5423" to="8218,5423" stroked="true" strokeweight=".48001pt" strokecolor="#000000">
              <v:stroke dashstyle="solid"/>
            </v:line>
            <v:line style="position:absolute" from="8228,5423" to="12330,5423" stroked="true" strokeweight=".48001pt" strokecolor="#000000">
              <v:stroke dashstyle="solid"/>
            </v:line>
            <v:line style="position:absolute" from="12340,5423" to="14843,5423" stroked="true" strokeweight=".48001pt" strokecolor="#000000">
              <v:stroke dashstyle="solid"/>
            </v:line>
            <v:line style="position:absolute" from="14853,5423" to="15446,5423" stroked="true" strokeweight=".48001pt" strokecolor="#000000">
              <v:stroke dashstyle="solid"/>
            </v:line>
            <v:line style="position:absolute" from="2139,7768" to="2849,7768" stroked="true" strokeweight=".47998pt" strokecolor="#000000">
              <v:stroke dashstyle="solid"/>
            </v:line>
            <v:line style="position:absolute" from="2859,7768" to="8218,7768" stroked="true" strokeweight=".47998pt" strokecolor="#000000">
              <v:stroke dashstyle="solid"/>
            </v:line>
            <v:line style="position:absolute" from="8228,7768" to="12330,7768" stroked="true" strokeweight=".47998pt" strokecolor="#000000">
              <v:stroke dashstyle="solid"/>
            </v:line>
            <v:line style="position:absolute" from="12340,7768" to="14843,7768" stroked="true" strokeweight=".47998pt" strokecolor="#000000">
              <v:stroke dashstyle="solid"/>
            </v:line>
            <v:line style="position:absolute" from="14853,7768" to="15446,7768" stroked="true" strokeweight=".47998pt" strokecolor="#000000">
              <v:stroke dashstyle="solid"/>
            </v:line>
            <v:line style="position:absolute" from="2139,9888" to="2849,9888" stroked="true" strokeweight=".47998pt" strokecolor="#000000">
              <v:stroke dashstyle="solid"/>
            </v:line>
            <v:line style="position:absolute" from="2859,9888" to="8218,9888" stroked="true" strokeweight=".47998pt" strokecolor="#000000">
              <v:stroke dashstyle="solid"/>
            </v:line>
            <v:line style="position:absolute" from="8228,9888" to="12330,9888" stroked="true" strokeweight=".47998pt" strokecolor="#000000">
              <v:stroke dashstyle="solid"/>
            </v:line>
            <v:line style="position:absolute" from="12340,9888" to="14843,9888" stroked="true" strokeweight=".47998pt" strokecolor="#000000">
              <v:stroke dashstyle="solid"/>
            </v:line>
            <v:line style="position:absolute" from="14853,9888" to="15446,9888" stroked="true" strokeweight=".47998pt" strokecolor="#000000">
              <v:stroke dashstyle="solid"/>
            </v:line>
            <v:line style="position:absolute" from="2134,1419" to="2134,10370" stroked="true" strokeweight=".48pt" strokecolor="#000000">
              <v:stroke dashstyle="solid"/>
            </v:line>
            <v:line style="position:absolute" from="2139,10365" to="2849,10365" stroked="true" strokeweight=".48004pt" strokecolor="#000000">
              <v:stroke dashstyle="solid"/>
            </v:line>
            <v:line style="position:absolute" from="2854,1419" to="2854,10370" stroked="true" strokeweight=".48pt" strokecolor="#000000">
              <v:stroke dashstyle="solid"/>
            </v:line>
            <v:line style="position:absolute" from="2859,10365" to="8218,10365" stroked="true" strokeweight=".48004pt" strokecolor="#000000">
              <v:stroke dashstyle="solid"/>
            </v:line>
            <v:line style="position:absolute" from="8223,1419" to="8223,10370" stroked="true" strokeweight=".47998pt" strokecolor="#000000">
              <v:stroke dashstyle="solid"/>
            </v:line>
            <v:line style="position:absolute" from="8228,10365" to="12330,10365" stroked="true" strokeweight=".48004pt" strokecolor="#000000">
              <v:stroke dashstyle="solid"/>
            </v:line>
            <v:line style="position:absolute" from="12335,1419" to="12335,10370" stroked="true" strokeweight=".47998pt" strokecolor="#000000">
              <v:stroke dashstyle="solid"/>
            </v:line>
            <v:line style="position:absolute" from="12340,10365" to="14843,10365" stroked="true" strokeweight=".48004pt" strokecolor="#000000">
              <v:stroke dashstyle="solid"/>
            </v:line>
            <v:line style="position:absolute" from="14848,1419" to="14848,10370" stroked="true" strokeweight=".47998pt" strokecolor="#000000">
              <v:stroke dashstyle="solid"/>
            </v:line>
            <v:line style="position:absolute" from="14853,10365" to="15446,10365" stroked="true" strokeweight=".48004pt" strokecolor="#000000">
              <v:stroke dashstyle="solid"/>
            </v:line>
            <v:line style="position:absolute" from="15451,1419" to="15451,10370" stroked="true" strokeweight=".47998pt" strokecolor="#000000">
              <v:stroke dashstyle="solid"/>
            </v:line>
            <w10:wrap type="none"/>
          </v:group>
        </w:pict>
      </w:r>
      <w:r>
        <w:rPr>
          <w:sz w:val="18"/>
        </w:rPr>
        <w:t>确保操作人员能够第一时间发现异常</w:t>
      </w:r>
      <w:r>
        <w:rPr>
          <w:spacing w:val="-89"/>
          <w:sz w:val="18"/>
        </w:rPr>
        <w:t>，</w:t>
      </w:r>
      <w:r>
        <w:rPr>
          <w:sz w:val="18"/>
        </w:rPr>
        <w:t>并对超标情况进行相应的应急</w:t>
        <w:tab/>
        <w:t>业</w:t>
      </w:r>
    </w:p>
    <w:p>
      <w:pPr>
        <w:tabs>
          <w:tab w:pos="3006" w:val="left" w:leader="none"/>
        </w:tabs>
        <w:spacing w:line="194" w:lineRule="exact" w:before="0"/>
        <w:ind w:left="1602" w:right="0" w:firstLine="0"/>
        <w:jc w:val="left"/>
        <w:rPr>
          <w:sz w:val="18"/>
        </w:rPr>
      </w:pPr>
      <w:r>
        <w:rPr/>
        <w:br w:type="column"/>
      </w:r>
      <w:r>
        <w:rPr>
          <w:rFonts w:ascii="Times New Roman" w:eastAsia="Times New Roman"/>
          <w:sz w:val="18"/>
        </w:rPr>
        <w:t>/</w:t>
        <w:tab/>
      </w:r>
      <w:r>
        <w:rPr>
          <w:sz w:val="18"/>
        </w:rPr>
        <w:t>符合</w:t>
      </w:r>
    </w:p>
    <w:p>
      <w:pPr>
        <w:spacing w:after="0" w:line="194" w:lineRule="exact"/>
        <w:jc w:val="left"/>
        <w:rPr>
          <w:sz w:val="18"/>
        </w:rPr>
        <w:sectPr>
          <w:type w:val="continuous"/>
          <w:pgSz w:w="16840" w:h="11910" w:orient="landscape"/>
          <w:pgMar w:top="1420" w:bottom="280" w:left="1280" w:right="1260"/>
          <w:cols w:num="2" w:equalWidth="0">
            <w:col w:w="9128" w:space="1554"/>
            <w:col w:w="3618"/>
          </w:cols>
        </w:sectPr>
      </w:pPr>
    </w:p>
    <w:p>
      <w:pPr>
        <w:pStyle w:val="BodyText"/>
        <w:spacing w:before="8"/>
        <w:rPr>
          <w:rFonts w:ascii="Times New Roman"/>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720"/>
        <w:gridCol w:w="5369"/>
        <w:gridCol w:w="4111"/>
        <w:gridCol w:w="2513"/>
        <w:gridCol w:w="602"/>
      </w:tblGrid>
      <w:tr>
        <w:trPr>
          <w:trHeight w:val="232" w:hRule="atLeast"/>
        </w:trPr>
        <w:tc>
          <w:tcPr>
            <w:tcW w:w="744" w:type="dxa"/>
          </w:tcPr>
          <w:p>
            <w:pPr>
              <w:pStyle w:val="TableParagraph"/>
              <w:spacing w:line="212" w:lineRule="exact"/>
              <w:ind w:left="191"/>
              <w:jc w:val="left"/>
              <w:rPr>
                <w:b/>
                <w:sz w:val="18"/>
              </w:rPr>
            </w:pPr>
            <w:r>
              <w:rPr>
                <w:b/>
                <w:sz w:val="18"/>
              </w:rPr>
              <w:t>类别</w:t>
            </w:r>
          </w:p>
        </w:tc>
        <w:tc>
          <w:tcPr>
            <w:tcW w:w="720" w:type="dxa"/>
          </w:tcPr>
          <w:p>
            <w:pPr>
              <w:pStyle w:val="TableParagraph"/>
              <w:spacing w:line="212" w:lineRule="exact"/>
              <w:ind w:left="161" w:right="146"/>
              <w:rPr>
                <w:b/>
                <w:sz w:val="18"/>
              </w:rPr>
            </w:pPr>
            <w:r>
              <w:rPr>
                <w:b/>
                <w:sz w:val="18"/>
              </w:rPr>
              <w:t>序号</w:t>
            </w:r>
          </w:p>
        </w:tc>
        <w:tc>
          <w:tcPr>
            <w:tcW w:w="5369" w:type="dxa"/>
          </w:tcPr>
          <w:p>
            <w:pPr>
              <w:pStyle w:val="TableParagraph"/>
              <w:spacing w:line="212" w:lineRule="exact"/>
              <w:ind w:left="23" w:right="16"/>
              <w:rPr>
                <w:b/>
                <w:sz w:val="18"/>
              </w:rPr>
            </w:pPr>
            <w:r>
              <w:rPr>
                <w:b/>
                <w:sz w:val="18"/>
              </w:rPr>
              <w:t>内容及要求</w:t>
            </w:r>
          </w:p>
        </w:tc>
        <w:tc>
          <w:tcPr>
            <w:tcW w:w="4111" w:type="dxa"/>
          </w:tcPr>
          <w:p>
            <w:pPr>
              <w:pStyle w:val="TableParagraph"/>
              <w:spacing w:line="212" w:lineRule="exact"/>
              <w:ind w:left="1150"/>
              <w:jc w:val="left"/>
              <w:rPr>
                <w:b/>
                <w:sz w:val="18"/>
              </w:rPr>
            </w:pPr>
            <w:r>
              <w:rPr>
                <w:b/>
                <w:sz w:val="18"/>
              </w:rPr>
              <w:t>现有企业提升改造情况</w:t>
            </w:r>
          </w:p>
        </w:tc>
        <w:tc>
          <w:tcPr>
            <w:tcW w:w="2513" w:type="dxa"/>
          </w:tcPr>
          <w:p>
            <w:pPr>
              <w:pStyle w:val="TableParagraph"/>
              <w:spacing w:line="212" w:lineRule="exact"/>
              <w:ind w:left="22" w:right="15"/>
              <w:rPr>
                <w:b/>
                <w:sz w:val="18"/>
              </w:rPr>
            </w:pPr>
            <w:r>
              <w:rPr>
                <w:b/>
                <w:sz w:val="18"/>
              </w:rPr>
              <w:t>本项目采纳情况</w:t>
            </w:r>
          </w:p>
        </w:tc>
        <w:tc>
          <w:tcPr>
            <w:tcW w:w="602" w:type="dxa"/>
          </w:tcPr>
          <w:p>
            <w:pPr>
              <w:pStyle w:val="TableParagraph"/>
              <w:spacing w:line="212" w:lineRule="exact"/>
              <w:ind w:left="100" w:right="89"/>
              <w:rPr>
                <w:b/>
                <w:sz w:val="18"/>
              </w:rPr>
            </w:pPr>
            <w:r>
              <w:rPr>
                <w:b/>
                <w:sz w:val="18"/>
              </w:rPr>
              <w:t>备注</w:t>
            </w:r>
          </w:p>
        </w:tc>
      </w:tr>
      <w:tr>
        <w:trPr>
          <w:trHeight w:val="467" w:hRule="atLeast"/>
        </w:trPr>
        <w:tc>
          <w:tcPr>
            <w:tcW w:w="744" w:type="dxa"/>
            <w:vMerge w:val="restart"/>
          </w:tcPr>
          <w:p>
            <w:pPr>
              <w:pStyle w:val="TableParagraph"/>
              <w:jc w:val="left"/>
              <w:rPr>
                <w:rFonts w:ascii="Times New Roman"/>
                <w:sz w:val="18"/>
              </w:rPr>
            </w:pPr>
          </w:p>
        </w:tc>
        <w:tc>
          <w:tcPr>
            <w:tcW w:w="720" w:type="dxa"/>
          </w:tcPr>
          <w:p>
            <w:pPr>
              <w:pStyle w:val="TableParagraph"/>
              <w:jc w:val="left"/>
              <w:rPr>
                <w:rFonts w:ascii="Times New Roman"/>
                <w:sz w:val="18"/>
              </w:rPr>
            </w:pPr>
          </w:p>
        </w:tc>
        <w:tc>
          <w:tcPr>
            <w:tcW w:w="5369" w:type="dxa"/>
          </w:tcPr>
          <w:p>
            <w:pPr>
              <w:pStyle w:val="TableParagraph"/>
              <w:ind w:left="28"/>
              <w:jc w:val="left"/>
              <w:rPr>
                <w:sz w:val="18"/>
              </w:rPr>
            </w:pPr>
            <w:r>
              <w:rPr>
                <w:spacing w:val="-9"/>
                <w:sz w:val="18"/>
              </w:rPr>
              <w:t>处置，包括调查、分析、处理、反馈，最大限度的降低或消除环保隐</w:t>
            </w:r>
          </w:p>
          <w:p>
            <w:pPr>
              <w:pStyle w:val="TableParagraph"/>
              <w:spacing w:line="213" w:lineRule="exact" w:before="4"/>
              <w:ind w:left="28"/>
              <w:jc w:val="left"/>
              <w:rPr>
                <w:sz w:val="18"/>
              </w:rPr>
            </w:pPr>
            <w:r>
              <w:rPr>
                <w:w w:val="135"/>
                <w:sz w:val="18"/>
              </w:rPr>
              <w:t>患。</w:t>
            </w:r>
          </w:p>
        </w:tc>
        <w:tc>
          <w:tcPr>
            <w:tcW w:w="4111" w:type="dxa"/>
          </w:tcPr>
          <w:p>
            <w:pPr>
              <w:pStyle w:val="TableParagraph"/>
              <w:jc w:val="left"/>
              <w:rPr>
                <w:rFonts w:ascii="Times New Roman"/>
                <w:sz w:val="18"/>
              </w:rPr>
            </w:pPr>
          </w:p>
        </w:tc>
        <w:tc>
          <w:tcPr>
            <w:tcW w:w="2513" w:type="dxa"/>
          </w:tcPr>
          <w:p>
            <w:pPr>
              <w:pStyle w:val="TableParagraph"/>
              <w:jc w:val="left"/>
              <w:rPr>
                <w:rFonts w:ascii="Times New Roman"/>
                <w:sz w:val="18"/>
              </w:rPr>
            </w:pPr>
          </w:p>
        </w:tc>
        <w:tc>
          <w:tcPr>
            <w:tcW w:w="602" w:type="dxa"/>
          </w:tcPr>
          <w:p>
            <w:pPr>
              <w:pStyle w:val="TableParagraph"/>
              <w:jc w:val="left"/>
              <w:rPr>
                <w:rFonts w:ascii="Times New Roman"/>
                <w:sz w:val="18"/>
              </w:rPr>
            </w:pPr>
          </w:p>
        </w:tc>
      </w:tr>
      <w:tr>
        <w:trPr>
          <w:trHeight w:val="467" w:hRule="atLeast"/>
        </w:trPr>
        <w:tc>
          <w:tcPr>
            <w:tcW w:w="744" w:type="dxa"/>
            <w:vMerge/>
            <w:tcBorders>
              <w:top w:val="nil"/>
            </w:tcBorders>
          </w:tcPr>
          <w:p>
            <w:pPr>
              <w:rPr>
                <w:sz w:val="2"/>
                <w:szCs w:val="2"/>
              </w:rPr>
            </w:pPr>
          </w:p>
        </w:tc>
        <w:tc>
          <w:tcPr>
            <w:tcW w:w="720" w:type="dxa"/>
          </w:tcPr>
          <w:p>
            <w:pPr>
              <w:pStyle w:val="TableParagraph"/>
              <w:spacing w:before="129"/>
              <w:ind w:left="9"/>
              <w:rPr>
                <w:rFonts w:ascii="Times New Roman"/>
                <w:sz w:val="18"/>
              </w:rPr>
            </w:pPr>
            <w:r>
              <w:rPr>
                <w:rFonts w:ascii="Times New Roman"/>
                <w:sz w:val="18"/>
              </w:rPr>
              <w:t>3</w:t>
            </w:r>
          </w:p>
        </w:tc>
        <w:tc>
          <w:tcPr>
            <w:tcW w:w="5369" w:type="dxa"/>
          </w:tcPr>
          <w:p>
            <w:pPr>
              <w:pStyle w:val="TableParagraph"/>
              <w:ind w:left="28"/>
              <w:jc w:val="left"/>
              <w:rPr>
                <w:sz w:val="18"/>
              </w:rPr>
            </w:pPr>
            <w:r>
              <w:rPr>
                <w:spacing w:val="-11"/>
                <w:sz w:val="18"/>
              </w:rPr>
              <w:t>监管</w:t>
            </w:r>
            <w:r>
              <w:rPr>
                <w:sz w:val="18"/>
              </w:rPr>
              <w:t>（控</w:t>
            </w:r>
            <w:r>
              <w:rPr>
                <w:spacing w:val="-22"/>
                <w:sz w:val="18"/>
              </w:rPr>
              <w:t>）</w:t>
            </w:r>
            <w:r>
              <w:rPr>
                <w:spacing w:val="-3"/>
                <w:sz w:val="18"/>
              </w:rPr>
              <w:t>平台具备自动统计功能，定期对污染物排放总量、污染物</w:t>
            </w:r>
          </w:p>
          <w:p>
            <w:pPr>
              <w:pStyle w:val="TableParagraph"/>
              <w:spacing w:line="215" w:lineRule="exact" w:before="2"/>
              <w:ind w:left="28"/>
              <w:jc w:val="left"/>
              <w:rPr>
                <w:sz w:val="18"/>
              </w:rPr>
            </w:pPr>
            <w:r>
              <w:rPr>
                <w:w w:val="105"/>
                <w:sz w:val="18"/>
              </w:rPr>
              <w:t>排放达标率进行统计、分析。</w:t>
            </w:r>
          </w:p>
        </w:tc>
        <w:tc>
          <w:tcPr>
            <w:tcW w:w="4111" w:type="dxa"/>
          </w:tcPr>
          <w:p>
            <w:pPr>
              <w:pStyle w:val="TableParagraph"/>
              <w:ind w:left="9"/>
              <w:rPr>
                <w:sz w:val="18"/>
              </w:rPr>
            </w:pPr>
            <w:r>
              <w:rPr>
                <w:sz w:val="18"/>
              </w:rPr>
              <w:t>不属于园区企业调度污染物排放监控平台名单内企</w:t>
            </w:r>
          </w:p>
          <w:p>
            <w:pPr>
              <w:pStyle w:val="TableParagraph"/>
              <w:spacing w:line="215" w:lineRule="exact" w:before="2"/>
              <w:ind w:left="7"/>
              <w:rPr>
                <w:sz w:val="18"/>
              </w:rPr>
            </w:pPr>
            <w:r>
              <w:rPr>
                <w:sz w:val="18"/>
              </w:rPr>
              <w:t>业</w:t>
            </w:r>
          </w:p>
        </w:tc>
        <w:tc>
          <w:tcPr>
            <w:tcW w:w="2513" w:type="dxa"/>
          </w:tcPr>
          <w:p>
            <w:pPr>
              <w:pStyle w:val="TableParagraph"/>
              <w:spacing w:before="129"/>
              <w:ind w:left="8"/>
              <w:rPr>
                <w:rFonts w:ascii="Times New Roman"/>
                <w:sz w:val="18"/>
              </w:rPr>
            </w:pPr>
            <w:r>
              <w:rPr>
                <w:rFonts w:ascii="Times New Roman"/>
                <w:sz w:val="18"/>
              </w:rPr>
              <w:t>/</w:t>
            </w:r>
          </w:p>
        </w:tc>
        <w:tc>
          <w:tcPr>
            <w:tcW w:w="602" w:type="dxa"/>
          </w:tcPr>
          <w:p>
            <w:pPr>
              <w:pStyle w:val="TableParagraph"/>
              <w:spacing w:before="117"/>
              <w:ind w:left="100" w:right="89"/>
              <w:rPr>
                <w:sz w:val="18"/>
              </w:rPr>
            </w:pPr>
            <w:r>
              <w:rPr>
                <w:sz w:val="18"/>
              </w:rPr>
              <w:t>符合</w:t>
            </w:r>
          </w:p>
        </w:tc>
      </w:tr>
      <w:tr>
        <w:trPr>
          <w:trHeight w:val="467" w:hRule="atLeast"/>
        </w:trPr>
        <w:tc>
          <w:tcPr>
            <w:tcW w:w="744" w:type="dxa"/>
            <w:vMerge/>
            <w:tcBorders>
              <w:top w:val="nil"/>
            </w:tcBorders>
          </w:tcPr>
          <w:p>
            <w:pPr>
              <w:rPr>
                <w:sz w:val="2"/>
                <w:szCs w:val="2"/>
              </w:rPr>
            </w:pPr>
          </w:p>
        </w:tc>
        <w:tc>
          <w:tcPr>
            <w:tcW w:w="720" w:type="dxa"/>
          </w:tcPr>
          <w:p>
            <w:pPr>
              <w:pStyle w:val="TableParagraph"/>
              <w:spacing w:before="129"/>
              <w:ind w:left="9"/>
              <w:rPr>
                <w:rFonts w:ascii="Times New Roman"/>
                <w:sz w:val="18"/>
              </w:rPr>
            </w:pPr>
            <w:r>
              <w:rPr>
                <w:rFonts w:ascii="Times New Roman"/>
                <w:sz w:val="18"/>
              </w:rPr>
              <w:t>4</w:t>
            </w:r>
          </w:p>
        </w:tc>
        <w:tc>
          <w:tcPr>
            <w:tcW w:w="5369" w:type="dxa"/>
          </w:tcPr>
          <w:p>
            <w:pPr>
              <w:pStyle w:val="TableParagraph"/>
              <w:ind w:left="28"/>
              <w:jc w:val="left"/>
              <w:rPr>
                <w:sz w:val="18"/>
              </w:rPr>
            </w:pPr>
            <w:r>
              <w:rPr>
                <w:spacing w:val="-6"/>
                <w:sz w:val="18"/>
              </w:rPr>
              <w:t>企业应加强对环保装置的运行监控，具备各类环保装置运行状态数据</w:t>
            </w:r>
          </w:p>
          <w:p>
            <w:pPr>
              <w:pStyle w:val="TableParagraph"/>
              <w:spacing w:line="215" w:lineRule="exact" w:before="2"/>
              <w:ind w:left="28"/>
              <w:jc w:val="left"/>
              <w:rPr>
                <w:sz w:val="18"/>
              </w:rPr>
            </w:pPr>
            <w:r>
              <w:rPr>
                <w:sz w:val="18"/>
              </w:rPr>
              <w:t>采集、实时上传到各类监管（控）平台的能力。</w:t>
            </w:r>
          </w:p>
        </w:tc>
        <w:tc>
          <w:tcPr>
            <w:tcW w:w="4111" w:type="dxa"/>
          </w:tcPr>
          <w:p>
            <w:pPr>
              <w:pStyle w:val="TableParagraph"/>
              <w:ind w:left="29"/>
              <w:jc w:val="left"/>
              <w:rPr>
                <w:sz w:val="18"/>
              </w:rPr>
            </w:pPr>
            <w:r>
              <w:rPr>
                <w:sz w:val="18"/>
              </w:rPr>
              <w:t>企业已加强对环保装置的运行监控；</w:t>
            </w:r>
            <w:r>
              <w:rPr>
                <w:rFonts w:ascii="Times New Roman" w:eastAsia="Times New Roman"/>
                <w:sz w:val="18"/>
              </w:rPr>
              <w:t>RTO  </w:t>
            </w:r>
            <w:r>
              <w:rPr>
                <w:sz w:val="18"/>
              </w:rPr>
              <w:t>处理系统</w:t>
            </w:r>
          </w:p>
          <w:p>
            <w:pPr>
              <w:pStyle w:val="TableParagraph"/>
              <w:spacing w:line="215" w:lineRule="exact" w:before="2"/>
              <w:ind w:left="27"/>
              <w:jc w:val="left"/>
              <w:rPr>
                <w:sz w:val="18"/>
              </w:rPr>
            </w:pPr>
            <w:r>
              <w:rPr>
                <w:spacing w:val="-15"/>
                <w:sz w:val="18"/>
              </w:rPr>
              <w:t>配备 </w:t>
            </w:r>
            <w:r>
              <w:rPr>
                <w:rFonts w:ascii="Times New Roman" w:eastAsia="Times New Roman"/>
                <w:sz w:val="18"/>
              </w:rPr>
              <w:t>PLC  </w:t>
            </w:r>
            <w:r>
              <w:rPr>
                <w:spacing w:val="-3"/>
                <w:sz w:val="18"/>
              </w:rPr>
              <w:t>自控系统，对设施运行参数进行实时监控</w:t>
            </w:r>
          </w:p>
        </w:tc>
        <w:tc>
          <w:tcPr>
            <w:tcW w:w="2513" w:type="dxa"/>
          </w:tcPr>
          <w:p>
            <w:pPr>
              <w:pStyle w:val="TableParagraph"/>
              <w:ind w:left="10" w:right="1"/>
              <w:rPr>
                <w:sz w:val="18"/>
              </w:rPr>
            </w:pPr>
            <w:r>
              <w:rPr>
                <w:spacing w:val="-6"/>
                <w:sz w:val="18"/>
              </w:rPr>
              <w:t>企业新征用地</w:t>
            </w:r>
            <w:r>
              <w:rPr>
                <w:sz w:val="18"/>
              </w:rPr>
              <w:t>（东区</w:t>
            </w:r>
            <w:r>
              <w:rPr>
                <w:spacing w:val="-32"/>
                <w:sz w:val="18"/>
              </w:rPr>
              <w:t>）</w:t>
            </w:r>
            <w:r>
              <w:rPr>
                <w:sz w:val="18"/>
              </w:rPr>
              <w:t>将对本项</w:t>
            </w:r>
          </w:p>
          <w:p>
            <w:pPr>
              <w:pStyle w:val="TableParagraph"/>
              <w:spacing w:line="215" w:lineRule="exact" w:before="2"/>
              <w:ind w:left="24" w:right="15"/>
              <w:rPr>
                <w:sz w:val="18"/>
              </w:rPr>
            </w:pPr>
            <w:r>
              <w:rPr>
                <w:sz w:val="18"/>
              </w:rPr>
              <w:t>目实施环保装置的运行监控</w:t>
            </w:r>
          </w:p>
        </w:tc>
        <w:tc>
          <w:tcPr>
            <w:tcW w:w="602" w:type="dxa"/>
          </w:tcPr>
          <w:p>
            <w:pPr>
              <w:pStyle w:val="TableParagraph"/>
              <w:spacing w:before="115"/>
              <w:ind w:left="100" w:right="89"/>
              <w:rPr>
                <w:sz w:val="18"/>
              </w:rPr>
            </w:pPr>
            <w:r>
              <w:rPr>
                <w:sz w:val="18"/>
              </w:rPr>
              <w:t>符合</w:t>
            </w:r>
          </w:p>
        </w:tc>
      </w:tr>
    </w:tbl>
    <w:p>
      <w:pPr>
        <w:spacing w:after="0"/>
        <w:rPr>
          <w:sz w:val="18"/>
        </w:rPr>
        <w:sectPr>
          <w:footerReference w:type="default" r:id="rId183"/>
          <w:pgSz w:w="16840" w:h="11910" w:orient="landscape"/>
          <w:pgMar w:footer="953" w:header="872" w:top="1180" w:bottom="1140" w:left="1280" w:right="1260"/>
        </w:sectPr>
      </w:pPr>
    </w:p>
    <w:p>
      <w:pPr>
        <w:pStyle w:val="BodyText"/>
        <w:spacing w:before="10"/>
        <w:rPr>
          <w:rFonts w:ascii="Times New Roman"/>
          <w:sz w:val="19"/>
        </w:rPr>
      </w:pPr>
    </w:p>
    <w:p>
      <w:pPr>
        <w:pStyle w:val="Heading4"/>
        <w:numPr>
          <w:ilvl w:val="2"/>
          <w:numId w:val="23"/>
        </w:numPr>
        <w:tabs>
          <w:tab w:pos="1039" w:val="left" w:leader="none"/>
        </w:tabs>
        <w:spacing w:line="240" w:lineRule="auto" w:before="74" w:after="0"/>
        <w:ind w:left="1038" w:right="0" w:hanging="721"/>
        <w:jc w:val="left"/>
      </w:pPr>
      <w:r>
        <w:rPr/>
        <w:t>《关于加强高耗能、高排放建设项目生态环境源头防控的指导意见》</w:t>
      </w:r>
      <w:r>
        <w:rPr>
          <w:rFonts w:ascii="Times New Roman" w:eastAsia="Times New Roman"/>
        </w:rPr>
        <w:t>(</w:t>
      </w:r>
      <w:r>
        <w:rPr/>
        <w:t>环环评</w:t>
      </w:r>
    </w:p>
    <w:p>
      <w:pPr>
        <w:spacing w:before="158"/>
        <w:ind w:left="318" w:right="0" w:firstLine="0"/>
        <w:jc w:val="left"/>
        <w:rPr>
          <w:b/>
          <w:sz w:val="24"/>
        </w:rPr>
      </w:pPr>
      <w:r>
        <w:rPr>
          <w:b/>
          <w:sz w:val="24"/>
        </w:rPr>
        <w:t>〔</w:t>
      </w:r>
      <w:r>
        <w:rPr>
          <w:rFonts w:ascii="Times New Roman" w:eastAsia="Times New Roman"/>
          <w:b/>
          <w:sz w:val="24"/>
        </w:rPr>
        <w:t>2021</w:t>
      </w:r>
      <w:r>
        <w:rPr>
          <w:b/>
          <w:sz w:val="24"/>
        </w:rPr>
        <w:t>〕</w:t>
      </w:r>
      <w:r>
        <w:rPr>
          <w:rFonts w:ascii="Times New Roman" w:eastAsia="Times New Roman"/>
          <w:b/>
          <w:sz w:val="24"/>
        </w:rPr>
        <w:t>45 </w:t>
      </w:r>
      <w:r>
        <w:rPr>
          <w:b/>
          <w:sz w:val="24"/>
        </w:rPr>
        <w:t>号</w:t>
      </w:r>
      <w:r>
        <w:rPr>
          <w:rFonts w:ascii="Times New Roman" w:eastAsia="Times New Roman"/>
          <w:b/>
          <w:sz w:val="24"/>
        </w:rPr>
        <w:t>)</w:t>
      </w:r>
      <w:r>
        <w:rPr>
          <w:b/>
          <w:sz w:val="24"/>
        </w:rPr>
        <w:t>符合性分析</w:t>
      </w:r>
    </w:p>
    <w:p>
      <w:pPr>
        <w:pStyle w:val="BodyText"/>
        <w:spacing w:before="12"/>
        <w:rPr>
          <w:b/>
          <w:sz w:val="25"/>
        </w:rPr>
      </w:pPr>
    </w:p>
    <w:p>
      <w:pPr>
        <w:spacing w:before="0"/>
        <w:ind w:left="609" w:right="0" w:firstLine="0"/>
        <w:jc w:val="left"/>
        <w:rPr>
          <w:b/>
          <w:sz w:val="21"/>
        </w:rPr>
      </w:pPr>
      <w:r>
        <w:rPr/>
        <w:pict>
          <v:shape style="position:absolute;margin-left:73.463997pt;margin-top:15.299986pt;width:456.7pt;height:616.9pt;mso-position-horizontal-relative:page;mso-position-vertical-relative:paragraph;z-index:251972608" type="#_x0000_t202" filled="false" stroked="false">
            <v:textbox inset="0,0,0,0">
              <w:txbxContent>
                <w:tbl>
                  <w:tblPr>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95"/>
                    <w:gridCol w:w="4316"/>
                    <w:gridCol w:w="4216"/>
                  </w:tblGrid>
                  <w:tr>
                    <w:trPr>
                      <w:trHeight w:val="282" w:hRule="atLeast"/>
                    </w:trPr>
                    <w:tc>
                      <w:tcPr>
                        <w:tcW w:w="595" w:type="dxa"/>
                      </w:tcPr>
                      <w:p>
                        <w:pPr>
                          <w:pStyle w:val="TableParagraph"/>
                          <w:spacing w:line="257" w:lineRule="exact" w:before="6"/>
                          <w:ind w:left="64" w:right="64"/>
                          <w:rPr>
                            <w:b/>
                            <w:sz w:val="21"/>
                          </w:rPr>
                        </w:pPr>
                        <w:r>
                          <w:rPr>
                            <w:b/>
                            <w:sz w:val="21"/>
                          </w:rPr>
                          <w:t>序号</w:t>
                        </w:r>
                      </w:p>
                    </w:tc>
                    <w:tc>
                      <w:tcPr>
                        <w:tcW w:w="4316" w:type="dxa"/>
                      </w:tcPr>
                      <w:p>
                        <w:pPr>
                          <w:pStyle w:val="TableParagraph"/>
                          <w:spacing w:line="257" w:lineRule="exact" w:before="6"/>
                          <w:ind w:left="1715" w:right="1711"/>
                          <w:rPr>
                            <w:b/>
                            <w:sz w:val="21"/>
                          </w:rPr>
                        </w:pPr>
                        <w:r>
                          <w:rPr>
                            <w:b/>
                            <w:sz w:val="21"/>
                          </w:rPr>
                          <w:t>准入要求</w:t>
                        </w:r>
                      </w:p>
                    </w:tc>
                    <w:tc>
                      <w:tcPr>
                        <w:tcW w:w="4216" w:type="dxa"/>
                      </w:tcPr>
                      <w:p>
                        <w:pPr>
                          <w:pStyle w:val="TableParagraph"/>
                          <w:spacing w:line="257" w:lineRule="exact" w:before="6"/>
                          <w:ind w:left="1559" w:right="1556"/>
                          <w:rPr>
                            <w:b/>
                            <w:sz w:val="21"/>
                          </w:rPr>
                        </w:pPr>
                        <w:r>
                          <w:rPr>
                            <w:b/>
                            <w:sz w:val="21"/>
                          </w:rPr>
                          <w:t>符合性分析</w:t>
                        </w:r>
                      </w:p>
                    </w:tc>
                  </w:tr>
                  <w:tr>
                    <w:trPr>
                      <w:trHeight w:val="285" w:hRule="atLeast"/>
                    </w:trPr>
                    <w:tc>
                      <w:tcPr>
                        <w:tcW w:w="595" w:type="dxa"/>
                      </w:tcPr>
                      <w:p>
                        <w:pPr>
                          <w:pStyle w:val="TableParagraph"/>
                          <w:spacing w:line="257" w:lineRule="exact" w:before="8"/>
                          <w:rPr>
                            <w:sz w:val="21"/>
                          </w:rPr>
                        </w:pPr>
                        <w:r>
                          <w:rPr>
                            <w:w w:val="100"/>
                            <w:sz w:val="21"/>
                          </w:rPr>
                          <w:t>一</w:t>
                        </w:r>
                      </w:p>
                    </w:tc>
                    <w:tc>
                      <w:tcPr>
                        <w:tcW w:w="8532" w:type="dxa"/>
                        <w:gridSpan w:val="2"/>
                      </w:tcPr>
                      <w:p>
                        <w:pPr>
                          <w:pStyle w:val="TableParagraph"/>
                          <w:spacing w:line="257" w:lineRule="exact" w:before="8"/>
                          <w:ind w:left="26"/>
                          <w:jc w:val="left"/>
                          <w:rPr>
                            <w:sz w:val="21"/>
                          </w:rPr>
                        </w:pPr>
                        <w:r>
                          <w:rPr>
                            <w:sz w:val="21"/>
                          </w:rPr>
                          <w:t>严格“两高”项目环评审批</w:t>
                        </w:r>
                      </w:p>
                    </w:tc>
                  </w:tr>
                  <w:tr>
                    <w:trPr>
                      <w:trHeight w:val="2995" w:hRule="atLeast"/>
                    </w:trPr>
                    <w:tc>
                      <w:tcPr>
                        <w:tcW w:w="595" w:type="dxa"/>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4"/>
                          <w:jc w:val="left"/>
                          <w:rPr>
                            <w:sz w:val="19"/>
                          </w:rPr>
                        </w:pPr>
                      </w:p>
                      <w:p>
                        <w:pPr>
                          <w:pStyle w:val="TableParagraph"/>
                          <w:spacing w:before="1"/>
                          <w:rPr>
                            <w:rFonts w:ascii="Times New Roman"/>
                            <w:sz w:val="21"/>
                          </w:rPr>
                        </w:pPr>
                        <w:r>
                          <w:rPr>
                            <w:rFonts w:ascii="Times New Roman"/>
                            <w:w w:val="100"/>
                            <w:sz w:val="21"/>
                          </w:rPr>
                          <w:t>1</w:t>
                        </w:r>
                      </w:p>
                    </w:tc>
                    <w:tc>
                      <w:tcPr>
                        <w:tcW w:w="4316" w:type="dxa"/>
                      </w:tcPr>
                      <w:p>
                        <w:pPr>
                          <w:pStyle w:val="TableParagraph"/>
                          <w:spacing w:line="242" w:lineRule="auto" w:before="1"/>
                          <w:ind w:left="26" w:right="-44"/>
                          <w:jc w:val="left"/>
                          <w:rPr>
                            <w:sz w:val="21"/>
                          </w:rPr>
                        </w:pPr>
                        <w:r>
                          <w:rPr>
                            <w:spacing w:val="-4"/>
                            <w:sz w:val="21"/>
                          </w:rPr>
                          <w:t>严把建设项目环境准入关。新建、改建、扩建</w:t>
                        </w:r>
                        <w:r>
                          <w:rPr>
                            <w:spacing w:val="-3"/>
                            <w:sz w:val="21"/>
                          </w:rPr>
                          <w:t>“两高”项目须符合生态环境保护法律法规和</w:t>
                        </w:r>
                        <w:r>
                          <w:rPr>
                            <w:spacing w:val="-11"/>
                            <w:sz w:val="21"/>
                          </w:rPr>
                          <w:t>相关法定规划，满足重点污染物排放总量控制、</w:t>
                        </w:r>
                        <w:r>
                          <w:rPr>
                            <w:spacing w:val="-3"/>
                            <w:sz w:val="21"/>
                          </w:rPr>
                          <w:t>碳排放达峰目标、生态环境准入清单，相关规划环评和相应行业建设项目环境准入条件、环</w:t>
                        </w:r>
                        <w:r>
                          <w:rPr>
                            <w:spacing w:val="-5"/>
                            <w:sz w:val="21"/>
                          </w:rPr>
                          <w:t>评文件审批原则要求。石化、现代煤化工项目</w:t>
                        </w:r>
                        <w:r>
                          <w:rPr>
                            <w:spacing w:val="-10"/>
                            <w:w w:val="105"/>
                            <w:sz w:val="21"/>
                          </w:rPr>
                          <w:t>应纳入国家产业规划。新建、扩建石化、化工 </w:t>
                        </w:r>
                        <w:r>
                          <w:rPr>
                            <w:spacing w:val="-16"/>
                            <w:sz w:val="21"/>
                          </w:rPr>
                          <w:t>、焦化、有色金属冶炼、平板玻璃项目应布设在</w:t>
                        </w:r>
                        <w:r>
                          <w:rPr>
                            <w:spacing w:val="-7"/>
                            <w:w w:val="105"/>
                            <w:sz w:val="21"/>
                          </w:rPr>
                          <w:t>依法合规设立并经规划环评的产业园区。各</w:t>
                        </w:r>
                        <w:r>
                          <w:rPr>
                            <w:spacing w:val="-4"/>
                            <w:sz w:val="21"/>
                          </w:rPr>
                          <w:t>级生态环境部门和行政审批部门要严格把关， </w:t>
                        </w:r>
                        <w:r>
                          <w:rPr>
                            <w:spacing w:val="-4"/>
                            <w:w w:val="110"/>
                            <w:sz w:val="21"/>
                          </w:rPr>
                          <w:t>对</w:t>
                        </w:r>
                      </w:p>
                      <w:p>
                        <w:pPr>
                          <w:pStyle w:val="TableParagraph"/>
                          <w:spacing w:line="250" w:lineRule="exact" w:before="7"/>
                          <w:ind w:left="26"/>
                          <w:jc w:val="left"/>
                          <w:rPr>
                            <w:sz w:val="21"/>
                          </w:rPr>
                        </w:pPr>
                        <w:r>
                          <w:rPr>
                            <w:w w:val="105"/>
                            <w:sz w:val="21"/>
                          </w:rPr>
                          <w:t>于不符合相关法律法规的，依法不予审批</w:t>
                        </w:r>
                        <w:r>
                          <w:rPr>
                            <w:w w:val="145"/>
                            <w:sz w:val="21"/>
                          </w:rPr>
                          <w:t>。</w:t>
                        </w:r>
                      </w:p>
                    </w:tc>
                    <w:tc>
                      <w:tcPr>
                        <w:tcW w:w="4216" w:type="dxa"/>
                      </w:tcPr>
                      <w:p>
                        <w:pPr>
                          <w:pStyle w:val="TableParagraph"/>
                          <w:jc w:val="left"/>
                          <w:rPr>
                            <w:sz w:val="20"/>
                          </w:rPr>
                        </w:pPr>
                      </w:p>
                      <w:p>
                        <w:pPr>
                          <w:pStyle w:val="TableParagraph"/>
                          <w:spacing w:before="7"/>
                          <w:jc w:val="left"/>
                          <w:rPr>
                            <w:sz w:val="22"/>
                          </w:rPr>
                        </w:pPr>
                      </w:p>
                      <w:p>
                        <w:pPr>
                          <w:pStyle w:val="TableParagraph"/>
                          <w:spacing w:line="242" w:lineRule="auto"/>
                          <w:ind w:left="26" w:right="-29" w:hanging="43"/>
                          <w:rPr>
                            <w:sz w:val="21"/>
                          </w:rPr>
                        </w:pPr>
                        <w:r>
                          <w:rPr>
                            <w:spacing w:val="-20"/>
                            <w:sz w:val="21"/>
                          </w:rPr>
                          <w:t>符合，本项目主要从事农药生产，属于新建“两</w:t>
                        </w:r>
                        <w:r>
                          <w:rPr>
                            <w:spacing w:val="-9"/>
                            <w:sz w:val="21"/>
                          </w:rPr>
                          <w:t>高”项目，项目建设符合生态环境保护法律法规和相关法定规划，满足重点污染物排放总量</w:t>
                        </w:r>
                        <w:r>
                          <w:rPr>
                            <w:spacing w:val="-5"/>
                            <w:sz w:val="21"/>
                          </w:rPr>
                          <w:t>控制、碳排放达峰目标、生态环境准入清单、</w:t>
                        </w:r>
                        <w:r>
                          <w:rPr>
                            <w:spacing w:val="-7"/>
                            <w:sz w:val="21"/>
                          </w:rPr>
                          <w:t>相关规划环评和环评文件审批原则要求；本项目拟建地位于杭州湾上虞经济技术开发区，属</w:t>
                        </w:r>
                        <w:r>
                          <w:rPr>
                            <w:spacing w:val="-5"/>
                            <w:sz w:val="21"/>
                          </w:rPr>
                          <w:t>于依法合规设立并经规划环评的</w:t>
                        </w:r>
                        <w:r>
                          <w:rPr>
                            <w:w w:val="185"/>
                            <w:sz w:val="21"/>
                          </w:rPr>
                          <w:t>。</w:t>
                        </w:r>
                      </w:p>
                    </w:tc>
                  </w:tr>
                  <w:tr>
                    <w:trPr>
                      <w:trHeight w:val="2450" w:hRule="atLeast"/>
                    </w:trPr>
                    <w:tc>
                      <w:tcPr>
                        <w:tcW w:w="595" w:type="dxa"/>
                      </w:tcPr>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2"/>
                          <w:jc w:val="left"/>
                          <w:rPr>
                            <w:sz w:val="20"/>
                          </w:rPr>
                        </w:pPr>
                      </w:p>
                      <w:p>
                        <w:pPr>
                          <w:pStyle w:val="TableParagraph"/>
                          <w:rPr>
                            <w:rFonts w:ascii="Times New Roman"/>
                            <w:sz w:val="21"/>
                          </w:rPr>
                        </w:pPr>
                        <w:r>
                          <w:rPr>
                            <w:rFonts w:ascii="Times New Roman"/>
                            <w:w w:val="100"/>
                            <w:sz w:val="21"/>
                          </w:rPr>
                          <w:t>2</w:t>
                        </w:r>
                      </w:p>
                    </w:tc>
                    <w:tc>
                      <w:tcPr>
                        <w:tcW w:w="4316" w:type="dxa"/>
                      </w:tcPr>
                      <w:p>
                        <w:pPr>
                          <w:pStyle w:val="TableParagraph"/>
                          <w:spacing w:before="1"/>
                          <w:ind w:left="26"/>
                          <w:jc w:val="left"/>
                          <w:rPr>
                            <w:sz w:val="21"/>
                          </w:rPr>
                        </w:pPr>
                        <w:r>
                          <w:rPr>
                            <w:spacing w:val="-7"/>
                            <w:sz w:val="21"/>
                          </w:rPr>
                          <w:t>落实区域削减要求。新建“两高”项目应按照</w:t>
                        </w:r>
                      </w:p>
                      <w:p>
                        <w:pPr>
                          <w:pStyle w:val="TableParagraph"/>
                          <w:spacing w:line="242" w:lineRule="auto" w:before="4"/>
                          <w:ind w:left="26" w:right="19"/>
                          <w:jc w:val="left"/>
                          <w:rPr>
                            <w:sz w:val="21"/>
                          </w:rPr>
                        </w:pPr>
                        <w:r>
                          <w:rPr>
                            <w:spacing w:val="-3"/>
                            <w:sz w:val="21"/>
                          </w:rPr>
                          <w:t>《关于加强重点行业建设项目区域削减措施监督管理的通知》要求，依据区域环境质量改善目标，制定配套区域污染物削减方案，采取有效的污染物区域削减措施，腾出足够的环境容</w:t>
                        </w:r>
                        <w:r>
                          <w:rPr>
                            <w:spacing w:val="-8"/>
                            <w:w w:val="115"/>
                            <w:sz w:val="21"/>
                          </w:rPr>
                          <w:t>量。</w:t>
                        </w:r>
                        <w:r>
                          <w:rPr>
                            <w:spacing w:val="-3"/>
                            <w:sz w:val="21"/>
                          </w:rPr>
                          <w:t>国家大气污染防治重点区域</w:t>
                        </w:r>
                        <w:r>
                          <w:rPr>
                            <w:rFonts w:ascii="Times New Roman" w:eastAsia="Times New Roman"/>
                            <w:spacing w:val="-4"/>
                            <w:sz w:val="21"/>
                          </w:rPr>
                          <w:t>(</w:t>
                        </w:r>
                        <w:r>
                          <w:rPr>
                            <w:spacing w:val="-3"/>
                            <w:sz w:val="21"/>
                          </w:rPr>
                          <w:t>以下称重点</w:t>
                        </w:r>
                        <w:r>
                          <w:rPr>
                            <w:spacing w:val="-152"/>
                            <w:sz w:val="21"/>
                          </w:rPr>
                          <w:t>区</w:t>
                        </w:r>
                        <w:r>
                          <w:rPr>
                            <w:sz w:val="21"/>
                          </w:rPr>
                          <w:t>域</w:t>
                        </w:r>
                        <w:r>
                          <w:rPr>
                            <w:rFonts w:ascii="Times New Roman" w:eastAsia="Times New Roman"/>
                            <w:sz w:val="21"/>
                          </w:rPr>
                          <w:t>)</w:t>
                        </w:r>
                        <w:r>
                          <w:rPr>
                            <w:spacing w:val="-3"/>
                            <w:sz w:val="21"/>
                          </w:rPr>
                          <w:t>内新建耗煤项目还应严格按规定采取煤炭 消费减量替代措施，不得使用高污染燃料作为</w:t>
                        </w:r>
                      </w:p>
                      <w:p>
                        <w:pPr>
                          <w:pStyle w:val="TableParagraph"/>
                          <w:spacing w:line="250" w:lineRule="exact" w:before="4"/>
                          <w:ind w:left="26"/>
                          <w:jc w:val="left"/>
                          <w:rPr>
                            <w:sz w:val="21"/>
                          </w:rPr>
                        </w:pPr>
                        <w:r>
                          <w:rPr>
                            <w:w w:val="105"/>
                            <w:sz w:val="21"/>
                          </w:rPr>
                          <w:t>煤炭减量替代措</w:t>
                        </w:r>
                        <w:r>
                          <w:rPr>
                            <w:w w:val="115"/>
                            <w:sz w:val="21"/>
                          </w:rPr>
                          <w:t>施。</w:t>
                        </w:r>
                      </w:p>
                    </w:tc>
                    <w:tc>
                      <w:tcPr>
                        <w:tcW w:w="4216" w:type="dxa"/>
                      </w:tcPr>
                      <w:p>
                        <w:pPr>
                          <w:pStyle w:val="TableParagraph"/>
                          <w:jc w:val="left"/>
                          <w:rPr>
                            <w:sz w:val="20"/>
                          </w:rPr>
                        </w:pPr>
                      </w:p>
                      <w:p>
                        <w:pPr>
                          <w:pStyle w:val="TableParagraph"/>
                          <w:jc w:val="left"/>
                          <w:rPr>
                            <w:sz w:val="20"/>
                          </w:rPr>
                        </w:pPr>
                      </w:p>
                      <w:p>
                        <w:pPr>
                          <w:pStyle w:val="TableParagraph"/>
                          <w:spacing w:before="12"/>
                          <w:jc w:val="left"/>
                          <w:rPr>
                            <w:sz w:val="23"/>
                          </w:rPr>
                        </w:pPr>
                      </w:p>
                      <w:p>
                        <w:pPr>
                          <w:pStyle w:val="TableParagraph"/>
                          <w:spacing w:line="242" w:lineRule="auto"/>
                          <w:ind w:left="26" w:right="20"/>
                          <w:jc w:val="both"/>
                          <w:rPr>
                            <w:sz w:val="21"/>
                          </w:rPr>
                        </w:pPr>
                        <w:r>
                          <w:rPr>
                            <w:spacing w:val="-7"/>
                            <w:sz w:val="21"/>
                          </w:rPr>
                          <w:t>符合，本项目属于新建“两高”项目，项目新</w:t>
                        </w:r>
                        <w:r>
                          <w:rPr>
                            <w:spacing w:val="5"/>
                            <w:sz w:val="21"/>
                          </w:rPr>
                          <w:t>增总量控制指标按照比例通过排污权交易或</w:t>
                        </w:r>
                        <w:r>
                          <w:rPr>
                            <w:w w:val="105"/>
                            <w:sz w:val="21"/>
                          </w:rPr>
                          <w:t>区域调剂解</w:t>
                        </w:r>
                        <w:r>
                          <w:rPr>
                            <w:spacing w:val="-2"/>
                            <w:w w:val="120"/>
                            <w:sz w:val="21"/>
                          </w:rPr>
                          <w:t>决。</w:t>
                        </w:r>
                        <w:r>
                          <w:rPr>
                            <w:spacing w:val="-3"/>
                            <w:w w:val="105"/>
                            <w:sz w:val="21"/>
                          </w:rPr>
                          <w:t>本项目不使用煤炭燃料</w:t>
                        </w:r>
                        <w:r>
                          <w:rPr>
                            <w:w w:val="170"/>
                            <w:sz w:val="21"/>
                          </w:rPr>
                          <w:t>。</w:t>
                        </w:r>
                      </w:p>
                    </w:tc>
                  </w:tr>
                  <w:tr>
                    <w:trPr>
                      <w:trHeight w:val="2179" w:hRule="atLeast"/>
                    </w:trPr>
                    <w:tc>
                      <w:tcPr>
                        <w:tcW w:w="595" w:type="dxa"/>
                      </w:tcPr>
                      <w:p>
                        <w:pPr>
                          <w:pStyle w:val="TableParagraph"/>
                          <w:jc w:val="left"/>
                          <w:rPr>
                            <w:sz w:val="22"/>
                          </w:rPr>
                        </w:pPr>
                      </w:p>
                      <w:p>
                        <w:pPr>
                          <w:pStyle w:val="TableParagraph"/>
                          <w:jc w:val="left"/>
                          <w:rPr>
                            <w:sz w:val="22"/>
                          </w:rPr>
                        </w:pPr>
                      </w:p>
                      <w:p>
                        <w:pPr>
                          <w:pStyle w:val="TableParagraph"/>
                          <w:spacing w:before="9"/>
                          <w:jc w:val="left"/>
                          <w:rPr>
                            <w:sz w:val="31"/>
                          </w:rPr>
                        </w:pPr>
                      </w:p>
                      <w:p>
                        <w:pPr>
                          <w:pStyle w:val="TableParagraph"/>
                          <w:rPr>
                            <w:rFonts w:ascii="Times New Roman"/>
                            <w:sz w:val="21"/>
                          </w:rPr>
                        </w:pPr>
                        <w:r>
                          <w:rPr>
                            <w:rFonts w:ascii="Times New Roman"/>
                            <w:w w:val="100"/>
                            <w:sz w:val="21"/>
                          </w:rPr>
                          <w:t>3</w:t>
                        </w:r>
                      </w:p>
                    </w:tc>
                    <w:tc>
                      <w:tcPr>
                        <w:tcW w:w="4316" w:type="dxa"/>
                      </w:tcPr>
                      <w:p>
                        <w:pPr>
                          <w:pStyle w:val="TableParagraph"/>
                          <w:spacing w:line="242" w:lineRule="auto" w:before="3"/>
                          <w:ind w:left="26" w:right="-44"/>
                          <w:jc w:val="left"/>
                          <w:rPr>
                            <w:sz w:val="21"/>
                          </w:rPr>
                        </w:pPr>
                        <w:r>
                          <w:rPr>
                            <w:spacing w:val="-2"/>
                            <w:sz w:val="21"/>
                          </w:rPr>
                          <w:t>合理划分事</w:t>
                        </w:r>
                        <w:r>
                          <w:rPr>
                            <w:spacing w:val="-2"/>
                            <w:w w:val="125"/>
                            <w:sz w:val="21"/>
                          </w:rPr>
                          <w:t>权。</w:t>
                        </w:r>
                        <w:r>
                          <w:rPr>
                            <w:spacing w:val="-6"/>
                            <w:sz w:val="21"/>
                          </w:rPr>
                          <w:t>省级生态环境部门应加强对基</w:t>
                        </w:r>
                        <w:r>
                          <w:rPr>
                            <w:spacing w:val="-3"/>
                            <w:sz w:val="21"/>
                          </w:rPr>
                          <w:t>层“两高”项目环评审批程序、审批结果的监</w:t>
                        </w:r>
                        <w:r>
                          <w:rPr>
                            <w:spacing w:val="-9"/>
                            <w:sz w:val="21"/>
                          </w:rPr>
                          <w:t>督与评估，对审批能力不适应的依法调整上收</w:t>
                        </w:r>
                        <w:r>
                          <w:rPr>
                            <w:spacing w:val="-262"/>
                            <w:w w:val="180"/>
                            <w:sz w:val="21"/>
                          </w:rPr>
                          <w:t>。</w:t>
                        </w:r>
                        <w:r>
                          <w:rPr>
                            <w:spacing w:val="-3"/>
                            <w:sz w:val="21"/>
                          </w:rPr>
                          <w:t>对炼油、乙烯、钢铁、焦化、煤化工、燃煤发电、电解铝、水泥熟料、平板玻璃、铜铅锌硅冶炼等环境影响大或环境风险高的项目类别， 不得以改革试点名义随意下放环评审批权限或</w:t>
                        </w:r>
                      </w:p>
                      <w:p>
                        <w:pPr>
                          <w:pStyle w:val="TableParagraph"/>
                          <w:spacing w:line="250" w:lineRule="exact" w:before="4"/>
                          <w:ind w:left="26"/>
                          <w:jc w:val="left"/>
                          <w:rPr>
                            <w:sz w:val="21"/>
                          </w:rPr>
                        </w:pPr>
                        <w:r>
                          <w:rPr>
                            <w:w w:val="115"/>
                            <w:sz w:val="21"/>
                          </w:rPr>
                          <w:t>降低审批要求。</w:t>
                        </w:r>
                      </w:p>
                    </w:tc>
                    <w:tc>
                      <w:tcPr>
                        <w:tcW w:w="4216" w:type="dxa"/>
                      </w:tcPr>
                      <w:p>
                        <w:pPr>
                          <w:pStyle w:val="TableParagraph"/>
                          <w:spacing w:line="242" w:lineRule="auto" w:before="3"/>
                          <w:ind w:left="26" w:right="18"/>
                          <w:jc w:val="left"/>
                          <w:rPr>
                            <w:sz w:val="21"/>
                          </w:rPr>
                        </w:pPr>
                        <w:r>
                          <w:rPr>
                            <w:spacing w:val="-3"/>
                            <w:sz w:val="21"/>
                          </w:rPr>
                          <w:t>符合，本项目属于化学原料和化学制品制造业。根据《浙江省生态环境厅关于发布</w:t>
                        </w:r>
                        <w:r>
                          <w:rPr>
                            <w:rFonts w:ascii="Times New Roman" w:eastAsia="Times New Roman"/>
                            <w:sz w:val="21"/>
                          </w:rPr>
                          <w:t>&lt;</w:t>
                        </w:r>
                        <w:r>
                          <w:rPr>
                            <w:spacing w:val="-45"/>
                            <w:sz w:val="21"/>
                          </w:rPr>
                          <w:t>省环</w:t>
                        </w:r>
                        <w:r>
                          <w:rPr>
                            <w:spacing w:val="-3"/>
                            <w:sz w:val="21"/>
                          </w:rPr>
                          <w:t>境保护主管部门负责审批环境影响评价文件的建设项目清单</w:t>
                        </w:r>
                        <w:r>
                          <w:rPr>
                            <w:sz w:val="21"/>
                          </w:rPr>
                          <w:t>（</w:t>
                        </w:r>
                        <w:r>
                          <w:rPr>
                            <w:rFonts w:ascii="Times New Roman" w:eastAsia="Times New Roman"/>
                            <w:sz w:val="21"/>
                          </w:rPr>
                          <w:t>2019</w:t>
                        </w:r>
                        <w:r>
                          <w:rPr>
                            <w:rFonts w:ascii="Times New Roman" w:eastAsia="Times New Roman"/>
                            <w:spacing w:val="11"/>
                            <w:sz w:val="21"/>
                          </w:rPr>
                          <w:t> </w:t>
                        </w:r>
                        <w:r>
                          <w:rPr>
                            <w:spacing w:val="-2"/>
                            <w:sz w:val="21"/>
                          </w:rPr>
                          <w:t>年本</w:t>
                        </w:r>
                        <w:r>
                          <w:rPr>
                            <w:sz w:val="21"/>
                          </w:rPr>
                          <w:t>）</w:t>
                        </w:r>
                        <w:r>
                          <w:rPr>
                            <w:rFonts w:ascii="Times New Roman" w:eastAsia="Times New Roman"/>
                            <w:sz w:val="21"/>
                          </w:rPr>
                          <w:t>&gt;</w:t>
                        </w:r>
                        <w:r>
                          <w:rPr>
                            <w:spacing w:val="-3"/>
                            <w:sz w:val="21"/>
                          </w:rPr>
                          <w:t>的通知</w:t>
                        </w:r>
                        <w:r>
                          <w:rPr>
                            <w:sz w:val="21"/>
                          </w:rPr>
                          <w:t>（</w:t>
                        </w:r>
                        <w:r>
                          <w:rPr>
                            <w:spacing w:val="-2"/>
                            <w:sz w:val="21"/>
                          </w:rPr>
                          <w:t>浙环发</w:t>
                        </w:r>
                        <w:r>
                          <w:rPr>
                            <w:rFonts w:ascii="Times New Roman" w:eastAsia="Times New Roman"/>
                            <w:spacing w:val="-2"/>
                            <w:sz w:val="21"/>
                          </w:rPr>
                          <w:t>(2019)22</w:t>
                        </w:r>
                        <w:r>
                          <w:rPr>
                            <w:rFonts w:ascii="Times New Roman" w:eastAsia="Times New Roman"/>
                            <w:spacing w:val="13"/>
                            <w:sz w:val="21"/>
                          </w:rPr>
                          <w:t> </w:t>
                        </w:r>
                        <w:r>
                          <w:rPr>
                            <w:sz w:val="21"/>
                          </w:rPr>
                          <w:t>号</w:t>
                        </w:r>
                        <w:r>
                          <w:rPr>
                            <w:rFonts w:ascii="Times New Roman" w:eastAsia="Times New Roman"/>
                            <w:sz w:val="21"/>
                          </w:rPr>
                          <w:t>)</w:t>
                        </w:r>
                        <w:r>
                          <w:rPr>
                            <w:spacing w:val="-13"/>
                            <w:sz w:val="21"/>
                          </w:rPr>
                          <w:t>、《绍兴市生态环境局关于授权</w:t>
                        </w:r>
                        <w:r>
                          <w:rPr>
                            <w:spacing w:val="-12"/>
                            <w:sz w:val="21"/>
                          </w:rPr>
                          <w:t>各分局办理部分行政许可事项的通知》</w:t>
                        </w:r>
                        <w:r>
                          <w:rPr>
                            <w:spacing w:val="-3"/>
                            <w:sz w:val="21"/>
                          </w:rPr>
                          <w:t>（</w:t>
                        </w:r>
                        <w:r>
                          <w:rPr>
                            <w:sz w:val="21"/>
                          </w:rPr>
                          <w:t>绍市环发</w:t>
                        </w:r>
                        <w:r>
                          <w:rPr>
                            <w:rFonts w:ascii="Times New Roman" w:eastAsia="Times New Roman"/>
                            <w:sz w:val="21"/>
                          </w:rPr>
                          <w:t>[2020]10</w:t>
                        </w:r>
                        <w:r>
                          <w:rPr>
                            <w:rFonts w:ascii="Times New Roman" w:eastAsia="Times New Roman"/>
                            <w:spacing w:val="14"/>
                            <w:sz w:val="21"/>
                          </w:rPr>
                          <w:t> </w:t>
                        </w:r>
                        <w:r>
                          <w:rPr>
                            <w:sz w:val="21"/>
                          </w:rPr>
                          <w:t>号</w:t>
                        </w:r>
                        <w:r>
                          <w:rPr>
                            <w:spacing w:val="-13"/>
                            <w:sz w:val="21"/>
                          </w:rPr>
                          <w:t>）</w:t>
                        </w:r>
                        <w:r>
                          <w:rPr>
                            <w:spacing w:val="-5"/>
                            <w:sz w:val="21"/>
                          </w:rPr>
                          <w:t>等文件规定，项目审批权限</w:t>
                        </w:r>
                      </w:p>
                      <w:p>
                        <w:pPr>
                          <w:pStyle w:val="TableParagraph"/>
                          <w:spacing w:line="250" w:lineRule="exact" w:before="4"/>
                          <w:ind w:left="26"/>
                          <w:jc w:val="left"/>
                          <w:rPr>
                            <w:sz w:val="21"/>
                          </w:rPr>
                        </w:pPr>
                        <w:r>
                          <w:rPr>
                            <w:spacing w:val="-3"/>
                            <w:w w:val="105"/>
                            <w:sz w:val="21"/>
                          </w:rPr>
                          <w:t>为绍兴市生态环境局，符合环评审批要求</w:t>
                        </w:r>
                        <w:r>
                          <w:rPr>
                            <w:spacing w:val="-36"/>
                            <w:w w:val="120"/>
                            <w:sz w:val="21"/>
                          </w:rPr>
                          <w:t>。</w:t>
                        </w:r>
                      </w:p>
                    </w:tc>
                  </w:tr>
                  <w:tr>
                    <w:trPr>
                      <w:trHeight w:val="285" w:hRule="atLeast"/>
                    </w:trPr>
                    <w:tc>
                      <w:tcPr>
                        <w:tcW w:w="595" w:type="dxa"/>
                      </w:tcPr>
                      <w:p>
                        <w:pPr>
                          <w:pStyle w:val="TableParagraph"/>
                          <w:spacing w:line="257" w:lineRule="exact" w:before="8"/>
                          <w:rPr>
                            <w:sz w:val="21"/>
                          </w:rPr>
                        </w:pPr>
                        <w:r>
                          <w:rPr>
                            <w:w w:val="100"/>
                            <w:sz w:val="21"/>
                          </w:rPr>
                          <w:t>二</w:t>
                        </w:r>
                      </w:p>
                    </w:tc>
                    <w:tc>
                      <w:tcPr>
                        <w:tcW w:w="8532" w:type="dxa"/>
                        <w:gridSpan w:val="2"/>
                      </w:tcPr>
                      <w:p>
                        <w:pPr>
                          <w:pStyle w:val="TableParagraph"/>
                          <w:spacing w:line="257" w:lineRule="exact" w:before="8"/>
                          <w:ind w:left="26"/>
                          <w:jc w:val="left"/>
                          <w:rPr>
                            <w:sz w:val="21"/>
                          </w:rPr>
                        </w:pPr>
                        <w:r>
                          <w:rPr>
                            <w:sz w:val="21"/>
                          </w:rPr>
                          <w:t>推进“两高”行业减污降碳协同控制</w:t>
                        </w:r>
                      </w:p>
                    </w:tc>
                  </w:tr>
                  <w:tr>
                    <w:trPr>
                      <w:trHeight w:val="2995" w:hRule="atLeast"/>
                    </w:trPr>
                    <w:tc>
                      <w:tcPr>
                        <w:tcW w:w="595" w:type="dxa"/>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4"/>
                          <w:jc w:val="left"/>
                          <w:rPr>
                            <w:sz w:val="19"/>
                          </w:rPr>
                        </w:pPr>
                      </w:p>
                      <w:p>
                        <w:pPr>
                          <w:pStyle w:val="TableParagraph"/>
                          <w:spacing w:before="1"/>
                          <w:rPr>
                            <w:rFonts w:ascii="Times New Roman"/>
                            <w:sz w:val="21"/>
                          </w:rPr>
                        </w:pPr>
                        <w:r>
                          <w:rPr>
                            <w:rFonts w:ascii="Times New Roman"/>
                            <w:w w:val="100"/>
                            <w:sz w:val="21"/>
                          </w:rPr>
                          <w:t>4</w:t>
                        </w:r>
                      </w:p>
                    </w:tc>
                    <w:tc>
                      <w:tcPr>
                        <w:tcW w:w="4316" w:type="dxa"/>
                      </w:tcPr>
                      <w:p>
                        <w:pPr>
                          <w:pStyle w:val="TableParagraph"/>
                          <w:spacing w:line="242" w:lineRule="auto" w:before="1"/>
                          <w:ind w:left="26" w:right="18"/>
                          <w:jc w:val="both"/>
                          <w:rPr>
                            <w:sz w:val="21"/>
                          </w:rPr>
                        </w:pPr>
                        <w:r>
                          <w:rPr>
                            <w:spacing w:val="-13"/>
                            <w:w w:val="105"/>
                            <w:sz w:val="21"/>
                          </w:rPr>
                          <w:t>提升清洁生产和污染防治水平。新建、扩建“</w:t>
                        </w:r>
                        <w:r>
                          <w:rPr>
                            <w:spacing w:val="-212"/>
                            <w:w w:val="105"/>
                            <w:sz w:val="21"/>
                          </w:rPr>
                          <w:t>两</w:t>
                        </w:r>
                        <w:r>
                          <w:rPr>
                            <w:spacing w:val="-3"/>
                            <w:sz w:val="21"/>
                          </w:rPr>
                          <w:t>高”项目应采用先进适用的工艺技术和装备， 单位产品物耗、能耗、水耗等达到清洁生产先进水平，依法制定并严格落实防治土壤与地下</w:t>
                        </w:r>
                        <w:r>
                          <w:rPr>
                            <w:spacing w:val="-8"/>
                            <w:sz w:val="21"/>
                          </w:rPr>
                          <w:t>水污染的措施。国家或地方己出台超低排放要</w:t>
                        </w:r>
                        <w:r>
                          <w:rPr>
                            <w:spacing w:val="-3"/>
                            <w:sz w:val="21"/>
                          </w:rPr>
                          <w:t>求的“两高”行业建设项目应满足超低排放要</w:t>
                        </w:r>
                        <w:r>
                          <w:rPr>
                            <w:spacing w:val="-7"/>
                            <w:sz w:val="21"/>
                          </w:rPr>
                          <w:t>求。鼓励使用清洁燃料，重点区域建设项目原</w:t>
                        </w:r>
                        <w:r>
                          <w:rPr>
                            <w:spacing w:val="-4"/>
                            <w:w w:val="105"/>
                            <w:sz w:val="21"/>
                          </w:rPr>
                          <w:t>则上不新建燃煤自备锅炉。鼓励重点区域高</w:t>
                        </w:r>
                        <w:r>
                          <w:rPr>
                            <w:spacing w:val="-152"/>
                            <w:w w:val="105"/>
                            <w:sz w:val="21"/>
                          </w:rPr>
                          <w:t>炉</w:t>
                        </w:r>
                        <w:r>
                          <w:rPr>
                            <w:rFonts w:ascii="Times New Roman" w:hAnsi="Times New Roman" w:eastAsia="Times New Roman"/>
                            <w:spacing w:val="-51"/>
                            <w:w w:val="105"/>
                            <w:sz w:val="21"/>
                          </w:rPr>
                          <w:t>- </w:t>
                        </w:r>
                        <w:r>
                          <w:rPr>
                            <w:spacing w:val="-3"/>
                            <w:w w:val="105"/>
                            <w:sz w:val="21"/>
                          </w:rPr>
                          <w:t>转炉长流程钢铁企业转型为电炉短流程企业</w:t>
                        </w:r>
                        <w:r>
                          <w:rPr>
                            <w:spacing w:val="-10"/>
                            <w:sz w:val="21"/>
                          </w:rPr>
                          <w:t>。大宗物料优先采用铁路、管道或水路运输， </w:t>
                        </w:r>
                        <w:r>
                          <w:rPr>
                            <w:spacing w:val="-10"/>
                            <w:w w:val="110"/>
                            <w:sz w:val="21"/>
                          </w:rPr>
                          <w:t>短</w:t>
                        </w:r>
                      </w:p>
                      <w:p>
                        <w:pPr>
                          <w:pStyle w:val="TableParagraph"/>
                          <w:spacing w:line="250" w:lineRule="exact" w:before="7"/>
                          <w:ind w:left="26"/>
                          <w:jc w:val="left"/>
                          <w:rPr>
                            <w:sz w:val="21"/>
                          </w:rPr>
                        </w:pPr>
                        <w:r>
                          <w:rPr>
                            <w:w w:val="105"/>
                            <w:sz w:val="21"/>
                          </w:rPr>
                          <w:t>途接驳优先使用新能源车辆运输</w:t>
                        </w:r>
                        <w:r>
                          <w:rPr>
                            <w:w w:val="185"/>
                            <w:sz w:val="21"/>
                          </w:rPr>
                          <w:t>。</w:t>
                        </w:r>
                      </w:p>
                    </w:tc>
                    <w:tc>
                      <w:tcPr>
                        <w:tcW w:w="4216" w:type="dxa"/>
                      </w:tcPr>
                      <w:p>
                        <w:pPr>
                          <w:pStyle w:val="TableParagraph"/>
                          <w:spacing w:line="242" w:lineRule="auto" w:before="1"/>
                          <w:ind w:left="26" w:right="17"/>
                          <w:jc w:val="left"/>
                          <w:rPr>
                            <w:sz w:val="21"/>
                          </w:rPr>
                        </w:pPr>
                        <w:r>
                          <w:rPr>
                            <w:spacing w:val="-7"/>
                            <w:sz w:val="21"/>
                          </w:rPr>
                          <w:t>符合，本项目属于新建“两高”项目，能评已</w:t>
                        </w:r>
                        <w:r>
                          <w:rPr>
                            <w:spacing w:val="-17"/>
                            <w:w w:val="100"/>
                            <w:sz w:val="21"/>
                          </w:rPr>
                          <w:t>通过备案</w:t>
                        </w:r>
                        <w:r>
                          <w:rPr>
                            <w:spacing w:val="-3"/>
                            <w:w w:val="100"/>
                            <w:sz w:val="21"/>
                          </w:rPr>
                          <w:t>（</w:t>
                        </w:r>
                        <w:r>
                          <w:rPr>
                            <w:b/>
                            <w:w w:val="100"/>
                            <w:sz w:val="21"/>
                            <w:u w:val="single"/>
                          </w:rPr>
                          <w:t>附件</w:t>
                        </w:r>
                        <w:r>
                          <w:rPr>
                            <w:b/>
                            <w:spacing w:val="-54"/>
                            <w:sz w:val="21"/>
                            <w:u w:val="single"/>
                          </w:rPr>
                          <w:t> </w:t>
                        </w:r>
                        <w:r>
                          <w:rPr>
                            <w:rFonts w:ascii="Times New Roman" w:hAnsi="Times New Roman" w:eastAsia="Times New Roman"/>
                            <w:b/>
                            <w:w w:val="100"/>
                            <w:sz w:val="21"/>
                            <w:u w:val="single"/>
                          </w:rPr>
                          <w:t>8</w:t>
                        </w:r>
                        <w:r>
                          <w:rPr>
                            <w:spacing w:val="-106"/>
                            <w:w w:val="100"/>
                            <w:sz w:val="21"/>
                          </w:rPr>
                          <w:t>）</w:t>
                        </w:r>
                        <w:r>
                          <w:rPr>
                            <w:spacing w:val="-9"/>
                            <w:w w:val="100"/>
                            <w:sz w:val="21"/>
                          </w:rPr>
                          <w:t>，达产总用能控制在</w:t>
                        </w:r>
                        <w:r>
                          <w:rPr>
                            <w:spacing w:val="-9"/>
                            <w:sz w:val="21"/>
                          </w:rPr>
                          <w:t> </w:t>
                        </w:r>
                        <w:r>
                          <w:rPr>
                            <w:rFonts w:ascii="Times New Roman" w:hAnsi="Times New Roman" w:eastAsia="Times New Roman"/>
                            <w:spacing w:val="-5"/>
                            <w:w w:val="100"/>
                            <w:sz w:val="21"/>
                          </w:rPr>
                          <w:t>8</w:t>
                        </w:r>
                        <w:r>
                          <w:rPr>
                            <w:rFonts w:ascii="Times New Roman" w:hAnsi="Times New Roman" w:eastAsia="Times New Roman"/>
                            <w:spacing w:val="-2"/>
                            <w:w w:val="100"/>
                            <w:sz w:val="21"/>
                          </w:rPr>
                          <w:t>98.85</w:t>
                        </w:r>
                        <w:r>
                          <w:rPr>
                            <w:spacing w:val="-5"/>
                            <w:sz w:val="21"/>
                          </w:rPr>
                          <w:t>吨标准煤</w:t>
                        </w:r>
                        <w:r>
                          <w:rPr>
                            <w:spacing w:val="-3"/>
                            <w:sz w:val="21"/>
                          </w:rPr>
                          <w:t>（</w:t>
                        </w:r>
                        <w:r>
                          <w:rPr>
                            <w:spacing w:val="-2"/>
                            <w:sz w:val="21"/>
                          </w:rPr>
                          <w:t>等价值</w:t>
                        </w:r>
                        <w:r>
                          <w:rPr>
                            <w:spacing w:val="-15"/>
                            <w:sz w:val="21"/>
                          </w:rPr>
                          <w:t>）</w:t>
                        </w:r>
                        <w:r>
                          <w:rPr>
                            <w:spacing w:val="-5"/>
                            <w:sz w:val="21"/>
                          </w:rPr>
                          <w:t>以内，单位工业增加值能</w:t>
                        </w:r>
                        <w:r>
                          <w:rPr>
                            <w:spacing w:val="-13"/>
                            <w:sz w:val="21"/>
                          </w:rPr>
                          <w:t>耗控制在 </w:t>
                        </w:r>
                        <w:r>
                          <w:rPr>
                            <w:rFonts w:ascii="Times New Roman" w:hAnsi="Times New Roman" w:eastAsia="Times New Roman"/>
                            <w:sz w:val="21"/>
                          </w:rPr>
                          <w:t>0.396 </w:t>
                        </w:r>
                        <w:r>
                          <w:rPr>
                            <w:spacing w:val="-2"/>
                            <w:sz w:val="21"/>
                          </w:rPr>
                          <w:t>吨标煤</w:t>
                        </w:r>
                        <w:r>
                          <w:rPr>
                            <w:rFonts w:ascii="Times New Roman" w:hAnsi="Times New Roman" w:eastAsia="Times New Roman"/>
                            <w:sz w:val="21"/>
                          </w:rPr>
                          <w:t>/</w:t>
                        </w:r>
                        <w:r>
                          <w:rPr>
                            <w:spacing w:val="-8"/>
                            <w:sz w:val="21"/>
                          </w:rPr>
                          <w:t>万元以内，低于浙江省万元工业增加值综合能耗控制目标 </w:t>
                        </w:r>
                        <w:r>
                          <w:rPr>
                            <w:rFonts w:ascii="Times New Roman" w:hAnsi="Times New Roman" w:eastAsia="Times New Roman"/>
                            <w:sz w:val="21"/>
                          </w:rPr>
                          <w:t>0.52tce/</w:t>
                        </w:r>
                        <w:r>
                          <w:rPr>
                            <w:sz w:val="21"/>
                          </w:rPr>
                          <w:t>万</w:t>
                        </w:r>
                        <w:r>
                          <w:rPr>
                            <w:spacing w:val="-3"/>
                            <w:sz w:val="21"/>
                          </w:rPr>
                          <w:t>元，总能耗较小</w:t>
                        </w:r>
                        <w:r>
                          <w:rPr>
                            <w:w w:val="180"/>
                            <w:sz w:val="21"/>
                          </w:rPr>
                          <w:t>。</w:t>
                        </w:r>
                      </w:p>
                      <w:p>
                        <w:pPr>
                          <w:pStyle w:val="TableParagraph"/>
                          <w:spacing w:line="242" w:lineRule="auto" w:before="4"/>
                          <w:ind w:left="26" w:right="18"/>
                          <w:jc w:val="left"/>
                          <w:rPr>
                            <w:sz w:val="21"/>
                          </w:rPr>
                        </w:pPr>
                        <w:r>
                          <w:rPr>
                            <w:spacing w:val="-7"/>
                            <w:sz w:val="21"/>
                          </w:rPr>
                          <w:t>项目采目先进适用的工艺技术和装备，单位产</w:t>
                        </w:r>
                        <w:r>
                          <w:rPr>
                            <w:spacing w:val="-14"/>
                            <w:sz w:val="21"/>
                          </w:rPr>
                          <w:t>品物耗、能耗、水耗等达到清洁生产先进水平</w:t>
                        </w:r>
                        <w:r>
                          <w:rPr>
                            <w:spacing w:val="-7"/>
                            <w:sz w:val="21"/>
                          </w:rPr>
                          <w:t>依法制定并严格落实防治土壤与地下水污染</w:t>
                        </w:r>
                        <w:r>
                          <w:rPr>
                            <w:spacing w:val="-6"/>
                            <w:w w:val="105"/>
                            <w:sz w:val="21"/>
                          </w:rPr>
                          <w:t>的措施</w:t>
                        </w:r>
                        <w:r>
                          <w:rPr>
                            <w:spacing w:val="-22"/>
                            <w:w w:val="165"/>
                            <w:sz w:val="21"/>
                          </w:rPr>
                          <w:t>。</w:t>
                        </w:r>
                        <w:r>
                          <w:rPr>
                            <w:spacing w:val="-3"/>
                            <w:w w:val="105"/>
                            <w:sz w:val="21"/>
                          </w:rPr>
                          <w:t>本项目不涉及燃料消耗</w:t>
                        </w:r>
                        <w:r>
                          <w:rPr>
                            <w:spacing w:val="-22"/>
                            <w:w w:val="165"/>
                            <w:sz w:val="21"/>
                          </w:rPr>
                          <w:t>。</w:t>
                        </w:r>
                        <w:r>
                          <w:rPr>
                            <w:spacing w:val="-6"/>
                            <w:w w:val="105"/>
                            <w:sz w:val="21"/>
                          </w:rPr>
                          <w:t>项目物 </w:t>
                        </w:r>
                        <w:r>
                          <w:rPr>
                            <w:spacing w:val="-98"/>
                            <w:w w:val="105"/>
                            <w:sz w:val="21"/>
                          </w:rPr>
                          <w:t>料采</w:t>
                        </w:r>
                      </w:p>
                      <w:p>
                        <w:pPr>
                          <w:pStyle w:val="TableParagraph"/>
                          <w:spacing w:line="250" w:lineRule="exact" w:before="3"/>
                          <w:ind w:left="26"/>
                          <w:jc w:val="left"/>
                          <w:rPr>
                            <w:sz w:val="21"/>
                          </w:rPr>
                        </w:pPr>
                        <w:r>
                          <w:rPr>
                            <w:w w:val="115"/>
                            <w:sz w:val="21"/>
                          </w:rPr>
                          <w:t>用卡车运输</w:t>
                        </w:r>
                        <w:r>
                          <w:rPr>
                            <w:w w:val="185"/>
                            <w:sz w:val="21"/>
                          </w:rPr>
                          <w:t>。</w:t>
                        </w:r>
                      </w:p>
                    </w:tc>
                  </w:tr>
                  <w:tr>
                    <w:trPr>
                      <w:trHeight w:val="818" w:hRule="atLeast"/>
                    </w:trPr>
                    <w:tc>
                      <w:tcPr>
                        <w:tcW w:w="595" w:type="dxa"/>
                      </w:tcPr>
                      <w:p>
                        <w:pPr>
                          <w:pStyle w:val="TableParagraph"/>
                          <w:spacing w:before="6"/>
                          <w:jc w:val="left"/>
                          <w:rPr>
                            <w:sz w:val="22"/>
                          </w:rPr>
                        </w:pPr>
                      </w:p>
                      <w:p>
                        <w:pPr>
                          <w:pStyle w:val="TableParagraph"/>
                          <w:rPr>
                            <w:rFonts w:ascii="Times New Roman"/>
                            <w:sz w:val="21"/>
                          </w:rPr>
                        </w:pPr>
                        <w:r>
                          <w:rPr>
                            <w:rFonts w:ascii="Times New Roman"/>
                            <w:w w:val="100"/>
                            <w:sz w:val="21"/>
                          </w:rPr>
                          <w:t>5</w:t>
                        </w:r>
                      </w:p>
                    </w:tc>
                    <w:tc>
                      <w:tcPr>
                        <w:tcW w:w="4316" w:type="dxa"/>
                      </w:tcPr>
                      <w:p>
                        <w:pPr>
                          <w:pStyle w:val="TableParagraph"/>
                          <w:spacing w:before="1"/>
                          <w:ind w:left="26"/>
                          <w:jc w:val="left"/>
                          <w:rPr>
                            <w:sz w:val="21"/>
                          </w:rPr>
                        </w:pPr>
                        <w:r>
                          <w:rPr>
                            <w:spacing w:val="-7"/>
                            <w:sz w:val="21"/>
                          </w:rPr>
                          <w:t>将碳排放影响评价纳入环境影响评价体系。各</w:t>
                        </w:r>
                      </w:p>
                      <w:p>
                        <w:pPr>
                          <w:pStyle w:val="TableParagraph"/>
                          <w:spacing w:line="270" w:lineRule="atLeast" w:before="3"/>
                          <w:ind w:left="26" w:right="77"/>
                          <w:jc w:val="left"/>
                          <w:rPr>
                            <w:sz w:val="21"/>
                          </w:rPr>
                        </w:pPr>
                        <w:r>
                          <w:rPr>
                            <w:spacing w:val="-3"/>
                            <w:sz w:val="21"/>
                          </w:rPr>
                          <w:t>级生态环境部门和行政审批部门应积极推进 </w:t>
                        </w:r>
                        <w:r>
                          <w:rPr>
                            <w:spacing w:val="-4"/>
                            <w:sz w:val="21"/>
                          </w:rPr>
                          <w:t>“两高”项目环评开展试点工作，衔接落实有</w:t>
                        </w:r>
                      </w:p>
                    </w:tc>
                    <w:tc>
                      <w:tcPr>
                        <w:tcW w:w="4216" w:type="dxa"/>
                      </w:tcPr>
                      <w:p>
                        <w:pPr>
                          <w:pStyle w:val="TableParagraph"/>
                          <w:spacing w:line="242" w:lineRule="auto" w:before="138"/>
                          <w:ind w:left="26" w:right="41"/>
                          <w:jc w:val="left"/>
                          <w:rPr>
                            <w:sz w:val="21"/>
                          </w:rPr>
                        </w:pPr>
                        <w:r>
                          <w:rPr>
                            <w:sz w:val="21"/>
                          </w:rPr>
                          <w:t>碳排放影响评价详见本环评</w:t>
                        </w:r>
                        <w:r>
                          <w:rPr>
                            <w:rFonts w:ascii="Times New Roman" w:hAnsi="Times New Roman" w:eastAsia="Times New Roman"/>
                            <w:sz w:val="21"/>
                          </w:rPr>
                          <w:t>7.4</w:t>
                        </w:r>
                        <w:r>
                          <w:rPr>
                            <w:sz w:val="21"/>
                          </w:rPr>
                          <w:t>章节</w:t>
                        </w:r>
                        <w:r>
                          <w:rPr>
                            <w:rFonts w:ascii="Times New Roman" w:hAnsi="Times New Roman" w:eastAsia="Times New Roman"/>
                            <w:sz w:val="21"/>
                          </w:rPr>
                          <w:t>“</w:t>
                        </w:r>
                        <w:r>
                          <w:rPr>
                            <w:sz w:val="21"/>
                          </w:rPr>
                          <w:t>碳排放环</w:t>
                        </w:r>
                        <w:r>
                          <w:rPr>
                            <w:w w:val="105"/>
                            <w:sz w:val="21"/>
                          </w:rPr>
                          <w:t>境影响评价</w:t>
                        </w:r>
                        <w:r>
                          <w:rPr>
                            <w:rFonts w:ascii="Times New Roman" w:hAnsi="Times New Roman" w:eastAsia="Times New Roman"/>
                            <w:w w:val="105"/>
                            <w:sz w:val="21"/>
                          </w:rPr>
                          <w:t>”</w:t>
                        </w:r>
                        <w:r>
                          <w:rPr>
                            <w:w w:val="180"/>
                            <w:sz w:val="21"/>
                          </w:rPr>
                          <w:t>。</w:t>
                        </w:r>
                      </w:p>
                    </w:tc>
                  </w:tr>
                </w:tbl>
                <w:p>
                  <w:pPr>
                    <w:pStyle w:val="BodyText"/>
                  </w:pPr>
                </w:p>
              </w:txbxContent>
            </v:textbox>
            <w10:wrap type="none"/>
          </v:shape>
        </w:pict>
      </w:r>
      <w:r>
        <w:rPr>
          <w:b/>
          <w:sz w:val="21"/>
        </w:rPr>
        <w:t>表 </w:t>
      </w:r>
      <w:r>
        <w:rPr>
          <w:rFonts w:ascii="Times New Roman" w:eastAsia="Times New Roman"/>
          <w:b/>
          <w:sz w:val="21"/>
        </w:rPr>
        <w:t>11.3.4-1 </w:t>
      </w:r>
      <w:r>
        <w:rPr>
          <w:b/>
          <w:sz w:val="21"/>
        </w:rPr>
        <w:t>《关于加强高耗能、高排放建设项目生态环境源头防控的指导意见》符合性分析</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3"/>
        <w:rPr>
          <w:b/>
        </w:rPr>
      </w:pPr>
    </w:p>
    <w:p>
      <w:pPr>
        <w:spacing w:before="0"/>
        <w:ind w:left="0" w:right="125" w:firstLine="0"/>
        <w:jc w:val="right"/>
        <w:rPr>
          <w:sz w:val="21"/>
        </w:rPr>
      </w:pPr>
      <w:r>
        <w:rPr>
          <w:w w:val="100"/>
          <w:sz w:val="21"/>
        </w:rPr>
        <w:t>，</w:t>
      </w:r>
    </w:p>
    <w:p>
      <w:pPr>
        <w:spacing w:after="0"/>
        <w:jc w:val="right"/>
        <w:rPr>
          <w:sz w:val="21"/>
        </w:rPr>
        <w:sectPr>
          <w:headerReference w:type="default" r:id="rId184"/>
          <w:footerReference w:type="default" r:id="rId185"/>
          <w:pgSz w:w="11910" w:h="16840"/>
          <w:pgMar w:header="872" w:footer="873" w:top="1100" w:bottom="1060" w:left="1100" w:right="1100"/>
          <w:pgNumType w:start="271"/>
        </w:sectPr>
      </w:pPr>
    </w:p>
    <w:p>
      <w:pPr>
        <w:pStyle w:val="BodyText"/>
        <w:spacing w:before="5"/>
        <w:rPr>
          <w:sz w:val="23"/>
        </w:rPr>
      </w:pPr>
    </w:p>
    <w:tbl>
      <w:tblPr>
        <w:tblW w:w="0" w:type="auto"/>
        <w:jc w:val="left"/>
        <w:tblInd w:w="3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95"/>
        <w:gridCol w:w="4316"/>
        <w:gridCol w:w="4216"/>
      </w:tblGrid>
      <w:tr>
        <w:trPr>
          <w:trHeight w:val="283" w:hRule="atLeast"/>
        </w:trPr>
        <w:tc>
          <w:tcPr>
            <w:tcW w:w="595" w:type="dxa"/>
          </w:tcPr>
          <w:p>
            <w:pPr>
              <w:pStyle w:val="TableParagraph"/>
              <w:spacing w:line="257" w:lineRule="exact" w:before="6"/>
              <w:ind w:left="83"/>
              <w:jc w:val="left"/>
              <w:rPr>
                <w:b/>
                <w:sz w:val="21"/>
              </w:rPr>
            </w:pPr>
            <w:r>
              <w:rPr>
                <w:b/>
                <w:sz w:val="21"/>
              </w:rPr>
              <w:t>序号</w:t>
            </w:r>
          </w:p>
        </w:tc>
        <w:tc>
          <w:tcPr>
            <w:tcW w:w="4316" w:type="dxa"/>
          </w:tcPr>
          <w:p>
            <w:pPr>
              <w:pStyle w:val="TableParagraph"/>
              <w:spacing w:line="257" w:lineRule="exact" w:before="6"/>
              <w:ind w:left="1715" w:right="1711"/>
              <w:rPr>
                <w:b/>
                <w:sz w:val="21"/>
              </w:rPr>
            </w:pPr>
            <w:r>
              <w:rPr>
                <w:b/>
                <w:sz w:val="21"/>
              </w:rPr>
              <w:t>准入要求</w:t>
            </w:r>
          </w:p>
        </w:tc>
        <w:tc>
          <w:tcPr>
            <w:tcW w:w="4216" w:type="dxa"/>
          </w:tcPr>
          <w:p>
            <w:pPr>
              <w:pStyle w:val="TableParagraph"/>
              <w:spacing w:line="257" w:lineRule="exact" w:before="6"/>
              <w:ind w:left="1559" w:right="1556"/>
              <w:rPr>
                <w:b/>
                <w:sz w:val="21"/>
              </w:rPr>
            </w:pPr>
            <w:r>
              <w:rPr>
                <w:b/>
                <w:sz w:val="21"/>
              </w:rPr>
              <w:t>符合性分析</w:t>
            </w:r>
          </w:p>
        </w:tc>
      </w:tr>
      <w:tr>
        <w:trPr>
          <w:trHeight w:val="1908" w:hRule="atLeast"/>
        </w:trPr>
        <w:tc>
          <w:tcPr>
            <w:tcW w:w="595" w:type="dxa"/>
          </w:tcPr>
          <w:p>
            <w:pPr>
              <w:pStyle w:val="TableParagraph"/>
              <w:jc w:val="left"/>
              <w:rPr>
                <w:rFonts w:ascii="Times New Roman"/>
                <w:sz w:val="20"/>
              </w:rPr>
            </w:pPr>
          </w:p>
        </w:tc>
        <w:tc>
          <w:tcPr>
            <w:tcW w:w="4316" w:type="dxa"/>
          </w:tcPr>
          <w:p>
            <w:pPr>
              <w:pStyle w:val="TableParagraph"/>
              <w:spacing w:line="242" w:lineRule="auto" w:before="1"/>
              <w:ind w:left="26" w:right="76"/>
              <w:jc w:val="both"/>
              <w:rPr>
                <w:sz w:val="21"/>
              </w:rPr>
            </w:pPr>
            <w:r>
              <w:rPr>
                <w:spacing w:val="-7"/>
                <w:sz w:val="21"/>
              </w:rPr>
              <w:t>关区域和行业碳达峰行动方案、清洁能源替代</w:t>
            </w:r>
            <w:r>
              <w:rPr>
                <w:spacing w:val="-5"/>
                <w:sz w:val="21"/>
              </w:rPr>
              <w:t>清洁运输、煤炭消费总量控制等政策要求</w:t>
            </w:r>
            <w:r>
              <w:rPr>
                <w:spacing w:val="-76"/>
                <w:w w:val="115"/>
                <w:sz w:val="21"/>
              </w:rPr>
              <w:t>。在</w:t>
            </w:r>
            <w:r>
              <w:rPr>
                <w:spacing w:val="-4"/>
                <w:sz w:val="21"/>
              </w:rPr>
              <w:t>环评工作中，统筹开展污染物和碳排放的源项识别、源强核算、减污降碳措施可行性论证及</w:t>
            </w:r>
            <w:r>
              <w:rPr>
                <w:spacing w:val="-3"/>
                <w:sz w:val="21"/>
              </w:rPr>
              <w:t>方案比选，提出协同控制最优方</w:t>
            </w:r>
            <w:r>
              <w:rPr>
                <w:spacing w:val="-2"/>
                <w:w w:val="115"/>
                <w:sz w:val="21"/>
              </w:rPr>
              <w:t>案。</w:t>
            </w:r>
            <w:r>
              <w:rPr>
                <w:spacing w:val="-2"/>
                <w:sz w:val="21"/>
              </w:rPr>
              <w:t>鼓励有</w:t>
            </w:r>
            <w:r>
              <w:rPr>
                <w:spacing w:val="-152"/>
                <w:sz w:val="21"/>
              </w:rPr>
              <w:t>条</w:t>
            </w:r>
          </w:p>
          <w:p>
            <w:pPr>
              <w:pStyle w:val="TableParagraph"/>
              <w:spacing w:line="270" w:lineRule="atLeast" w:before="4"/>
              <w:ind w:left="26" w:right="77"/>
              <w:jc w:val="left"/>
              <w:rPr>
                <w:sz w:val="21"/>
              </w:rPr>
            </w:pPr>
            <w:r>
              <w:rPr>
                <w:spacing w:val="-4"/>
                <w:sz w:val="21"/>
              </w:rPr>
              <w:t>件的地区、企业探索实施减污降碳协同治理和</w:t>
            </w:r>
            <w:r>
              <w:rPr>
                <w:spacing w:val="-3"/>
                <w:w w:val="105"/>
                <w:sz w:val="21"/>
              </w:rPr>
              <w:t>碳捕集、封存、综合利用工程试点、示范</w:t>
            </w:r>
            <w:r>
              <w:rPr>
                <w:spacing w:val="-12"/>
                <w:w w:val="120"/>
                <w:sz w:val="21"/>
              </w:rPr>
              <w:t>。</w:t>
            </w:r>
          </w:p>
        </w:tc>
        <w:tc>
          <w:tcPr>
            <w:tcW w:w="4216" w:type="dxa"/>
          </w:tcPr>
          <w:p>
            <w:pPr>
              <w:pStyle w:val="TableParagraph"/>
              <w:spacing w:before="1"/>
              <w:ind w:left="-133"/>
              <w:jc w:val="left"/>
              <w:rPr>
                <w:sz w:val="21"/>
              </w:rPr>
            </w:pPr>
            <w:r>
              <w:rPr>
                <w:w w:val="100"/>
                <w:sz w:val="21"/>
              </w:rPr>
              <w:t>、</w:t>
            </w:r>
          </w:p>
        </w:tc>
      </w:tr>
    </w:tbl>
    <w:p>
      <w:pPr>
        <w:pStyle w:val="BodyText"/>
        <w:spacing w:line="362" w:lineRule="auto" w:before="2"/>
        <w:ind w:left="318" w:right="315" w:firstLine="480"/>
      </w:pPr>
      <w:r>
        <w:rPr>
          <w:spacing w:val="-7"/>
        </w:rPr>
        <w:t>综上，本项目相关建设情况符合《关于加强高耗能、高排放建设项目生态环境源头</w:t>
      </w:r>
      <w:r>
        <w:rPr/>
        <w:t>防控的指导意见》中相关要求。</w:t>
      </w:r>
    </w:p>
    <w:p>
      <w:pPr>
        <w:pStyle w:val="Heading4"/>
        <w:numPr>
          <w:ilvl w:val="2"/>
          <w:numId w:val="23"/>
        </w:numPr>
        <w:tabs>
          <w:tab w:pos="1146" w:val="left" w:leader="none"/>
        </w:tabs>
        <w:spacing w:line="362" w:lineRule="auto" w:before="5" w:after="0"/>
        <w:ind w:left="318" w:right="312" w:firstLine="240"/>
        <w:jc w:val="left"/>
      </w:pPr>
      <w:r>
        <w:rPr/>
        <w:t>《长江经济带发展负面清单指南（试行，</w:t>
      </w:r>
      <w:r>
        <w:rPr>
          <w:rFonts w:ascii="Times New Roman" w:eastAsia="Times New Roman"/>
        </w:rPr>
        <w:t>2022</w:t>
      </w:r>
      <w:r>
        <w:rPr>
          <w:rFonts w:ascii="Times New Roman" w:eastAsia="Times New Roman"/>
          <w:spacing w:val="-2"/>
        </w:rPr>
        <w:t> </w:t>
      </w:r>
      <w:r>
        <w:rPr/>
        <w:t>年版）</w:t>
      </w:r>
      <w:r>
        <w:rPr>
          <w:spacing w:val="-2"/>
        </w:rPr>
        <w:t>浙江省实施细则》符合性</w:t>
      </w:r>
      <w:r>
        <w:rPr/>
        <w:t>分析</w:t>
      </w:r>
    </w:p>
    <w:p>
      <w:pPr>
        <w:pStyle w:val="BodyText"/>
        <w:spacing w:line="362" w:lineRule="auto" w:before="6"/>
        <w:ind w:left="318" w:right="314" w:firstLine="480"/>
      </w:pPr>
      <w:r>
        <w:rPr/>
        <w:t>经对照《长江经济带发展负面清单指南（试行，</w:t>
      </w:r>
      <w:r>
        <w:rPr>
          <w:rFonts w:ascii="Times New Roman" w:eastAsia="Times New Roman"/>
        </w:rPr>
        <w:t>2022 </w:t>
      </w:r>
      <w:r>
        <w:rPr/>
        <w:t>年版）</w:t>
      </w:r>
      <w:r>
        <w:rPr>
          <w:spacing w:val="-15"/>
        </w:rPr>
        <w:t>浙江省实施细则》，项</w:t>
      </w:r>
      <w:r>
        <w:rPr/>
        <w:t>目符合性分析如下：</w:t>
      </w:r>
    </w:p>
    <w:p>
      <w:pPr>
        <w:tabs>
          <w:tab w:pos="1612" w:val="left" w:leader="none"/>
        </w:tabs>
        <w:spacing w:before="176" w:after="37"/>
        <w:ind w:left="450" w:right="0" w:firstLine="0"/>
        <w:jc w:val="left"/>
        <w:rPr>
          <w:b/>
          <w:sz w:val="21"/>
        </w:rPr>
      </w:pPr>
      <w:r>
        <w:rPr>
          <w:b/>
          <w:sz w:val="21"/>
        </w:rPr>
        <w:t>表</w:t>
      </w:r>
      <w:r>
        <w:rPr>
          <w:b/>
          <w:spacing w:val="-48"/>
          <w:sz w:val="21"/>
        </w:rPr>
        <w:t> </w:t>
      </w:r>
      <w:r>
        <w:rPr>
          <w:rFonts w:ascii="Times New Roman" w:eastAsia="Times New Roman"/>
          <w:b/>
          <w:spacing w:val="-3"/>
          <w:sz w:val="21"/>
        </w:rPr>
        <w:t>11.3.5-1</w:t>
        <w:tab/>
      </w:r>
      <w:r>
        <w:rPr>
          <w:b/>
          <w:sz w:val="21"/>
        </w:rPr>
        <w:t>《长江经济带发展负面清单指南</w:t>
      </w:r>
      <w:r>
        <w:rPr>
          <w:b/>
          <w:spacing w:val="-3"/>
          <w:sz w:val="21"/>
        </w:rPr>
        <w:t>（</w:t>
      </w:r>
      <w:r>
        <w:rPr>
          <w:b/>
          <w:sz w:val="21"/>
        </w:rPr>
        <w:t>试</w:t>
      </w:r>
      <w:r>
        <w:rPr>
          <w:b/>
          <w:spacing w:val="-3"/>
          <w:sz w:val="21"/>
        </w:rPr>
        <w:t>行</w:t>
      </w:r>
      <w:r>
        <w:rPr>
          <w:b/>
          <w:sz w:val="21"/>
        </w:rPr>
        <w:t>，</w:t>
      </w:r>
      <w:r>
        <w:rPr>
          <w:rFonts w:ascii="Times New Roman" w:eastAsia="Times New Roman"/>
          <w:b/>
          <w:sz w:val="21"/>
        </w:rPr>
        <w:t>2022</w:t>
      </w:r>
      <w:r>
        <w:rPr>
          <w:rFonts w:ascii="Times New Roman" w:eastAsia="Times New Roman"/>
          <w:b/>
          <w:spacing w:val="-1"/>
          <w:sz w:val="21"/>
        </w:rPr>
        <w:t> </w:t>
      </w:r>
      <w:r>
        <w:rPr>
          <w:b/>
          <w:sz w:val="21"/>
        </w:rPr>
        <w:t>年版）浙江省实</w:t>
      </w:r>
      <w:r>
        <w:rPr>
          <w:b/>
          <w:spacing w:val="-3"/>
          <w:sz w:val="21"/>
        </w:rPr>
        <w:t>施</w:t>
      </w:r>
      <w:r>
        <w:rPr>
          <w:b/>
          <w:sz w:val="21"/>
        </w:rPr>
        <w:t>细则》符合性分析</w:t>
      </w:r>
    </w:p>
    <w:tbl>
      <w:tblPr>
        <w:tblW w:w="0" w:type="auto"/>
        <w:jc w:val="lef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5156"/>
        <w:gridCol w:w="2849"/>
        <w:gridCol w:w="506"/>
      </w:tblGrid>
      <w:tr>
        <w:trPr>
          <w:trHeight w:val="282" w:hRule="atLeast"/>
        </w:trPr>
        <w:tc>
          <w:tcPr>
            <w:tcW w:w="619" w:type="dxa"/>
          </w:tcPr>
          <w:p>
            <w:pPr>
              <w:pStyle w:val="TableParagraph"/>
              <w:spacing w:line="255" w:lineRule="exact" w:before="8"/>
              <w:ind w:left="135" w:right="11"/>
              <w:rPr>
                <w:b/>
                <w:sz w:val="21"/>
              </w:rPr>
            </w:pPr>
            <w:r>
              <w:rPr>
                <w:b/>
                <w:sz w:val="21"/>
              </w:rPr>
              <w:t>条例</w:t>
            </w:r>
            <w:r>
              <w:rPr>
                <w:b/>
                <w:w w:val="99"/>
                <w:sz w:val="21"/>
              </w:rPr>
              <w:t> </w:t>
            </w:r>
          </w:p>
        </w:tc>
        <w:tc>
          <w:tcPr>
            <w:tcW w:w="5156" w:type="dxa"/>
          </w:tcPr>
          <w:p>
            <w:pPr>
              <w:pStyle w:val="TableParagraph"/>
              <w:spacing w:line="255" w:lineRule="exact" w:before="8"/>
              <w:ind w:left="2399" w:right="2284"/>
              <w:rPr>
                <w:b/>
                <w:sz w:val="21"/>
              </w:rPr>
            </w:pPr>
            <w:r>
              <w:rPr>
                <w:b/>
                <w:sz w:val="21"/>
              </w:rPr>
              <w:t>要求</w:t>
            </w:r>
            <w:r>
              <w:rPr>
                <w:b/>
                <w:w w:val="99"/>
                <w:sz w:val="21"/>
              </w:rPr>
              <w:t> </w:t>
            </w:r>
          </w:p>
        </w:tc>
        <w:tc>
          <w:tcPr>
            <w:tcW w:w="2849" w:type="dxa"/>
          </w:tcPr>
          <w:p>
            <w:pPr>
              <w:pStyle w:val="TableParagraph"/>
              <w:spacing w:line="255" w:lineRule="exact" w:before="8"/>
              <w:ind w:left="792"/>
              <w:jc w:val="left"/>
              <w:rPr>
                <w:b/>
                <w:sz w:val="21"/>
              </w:rPr>
            </w:pPr>
            <w:r>
              <w:rPr>
                <w:b/>
                <w:sz w:val="21"/>
              </w:rPr>
              <w:t>项目实际情况</w:t>
            </w:r>
            <w:r>
              <w:rPr>
                <w:b/>
                <w:w w:val="99"/>
                <w:sz w:val="21"/>
              </w:rPr>
              <w:t> </w:t>
            </w:r>
          </w:p>
        </w:tc>
        <w:tc>
          <w:tcPr>
            <w:tcW w:w="506" w:type="dxa"/>
          </w:tcPr>
          <w:p>
            <w:pPr>
              <w:pStyle w:val="TableParagraph"/>
              <w:spacing w:line="255" w:lineRule="exact" w:before="8"/>
              <w:ind w:right="30"/>
              <w:jc w:val="right"/>
              <w:rPr>
                <w:b/>
                <w:sz w:val="21"/>
              </w:rPr>
            </w:pPr>
            <w:r>
              <w:rPr>
                <w:b/>
                <w:sz w:val="21"/>
              </w:rPr>
              <w:t>结论</w:t>
            </w:r>
          </w:p>
        </w:tc>
      </w:tr>
      <w:tr>
        <w:trPr>
          <w:trHeight w:val="817" w:hRule="atLeast"/>
        </w:trPr>
        <w:tc>
          <w:tcPr>
            <w:tcW w:w="619" w:type="dxa"/>
          </w:tcPr>
          <w:p>
            <w:pPr>
              <w:pStyle w:val="TableParagraph"/>
              <w:spacing w:before="5"/>
              <w:jc w:val="left"/>
              <w:rPr>
                <w:b/>
                <w:sz w:val="21"/>
              </w:rPr>
            </w:pPr>
          </w:p>
          <w:p>
            <w:pPr>
              <w:pStyle w:val="TableParagraph"/>
              <w:ind w:left="121" w:right="11"/>
              <w:rPr>
                <w:sz w:val="21"/>
              </w:rPr>
            </w:pPr>
            <w:r>
              <w:rPr>
                <w:sz w:val="21"/>
              </w:rPr>
              <w:t>1 </w:t>
            </w:r>
          </w:p>
        </w:tc>
        <w:tc>
          <w:tcPr>
            <w:tcW w:w="5156" w:type="dxa"/>
          </w:tcPr>
          <w:p>
            <w:pPr>
              <w:pStyle w:val="TableParagraph"/>
              <w:spacing w:line="242" w:lineRule="auto" w:before="3"/>
              <w:ind w:left="33" w:right="19"/>
              <w:jc w:val="left"/>
              <w:rPr>
                <w:sz w:val="21"/>
              </w:rPr>
            </w:pPr>
            <w:r>
              <w:rPr>
                <w:spacing w:val="-3"/>
                <w:sz w:val="21"/>
              </w:rPr>
              <w:t>港口码头项目建设必须严格遵守《中华人民共和国港口</w:t>
            </w:r>
            <w:r>
              <w:rPr>
                <w:spacing w:val="-23"/>
                <w:sz w:val="21"/>
              </w:rPr>
              <w:t>法》、交通运输部《港口规划管理规定》、《港口工程建设</w:t>
            </w:r>
          </w:p>
          <w:p>
            <w:pPr>
              <w:pStyle w:val="TableParagraph"/>
              <w:spacing w:line="250" w:lineRule="exact" w:before="1"/>
              <w:ind w:left="33"/>
              <w:jc w:val="left"/>
              <w:rPr>
                <w:sz w:val="21"/>
              </w:rPr>
            </w:pPr>
            <w:r>
              <w:rPr>
                <w:w w:val="105"/>
                <w:sz w:val="21"/>
              </w:rPr>
              <w:t>管理规定》以及《浙江省港口管理条例》的规</w:t>
            </w:r>
            <w:r>
              <w:rPr>
                <w:w w:val="115"/>
                <w:sz w:val="21"/>
              </w:rPr>
              <w:t>定。</w:t>
            </w:r>
            <w:r>
              <w:rPr>
                <w:w w:val="100"/>
                <w:sz w:val="21"/>
              </w:rPr>
              <w:t> </w:t>
            </w:r>
          </w:p>
        </w:tc>
        <w:tc>
          <w:tcPr>
            <w:tcW w:w="2849" w:type="dxa"/>
            <w:vMerge w:val="restart"/>
          </w:tcPr>
          <w:p>
            <w:pPr>
              <w:pStyle w:val="TableParagraph"/>
              <w:jc w:val="left"/>
              <w:rPr>
                <w:b/>
                <w:sz w:val="20"/>
              </w:rPr>
            </w:pPr>
          </w:p>
          <w:p>
            <w:pPr>
              <w:pStyle w:val="TableParagraph"/>
              <w:jc w:val="left"/>
              <w:rPr>
                <w:b/>
                <w:sz w:val="20"/>
              </w:rPr>
            </w:pPr>
          </w:p>
          <w:p>
            <w:pPr>
              <w:pStyle w:val="TableParagraph"/>
              <w:spacing w:before="4"/>
              <w:jc w:val="left"/>
              <w:rPr>
                <w:b/>
                <w:sz w:val="24"/>
              </w:rPr>
            </w:pPr>
          </w:p>
          <w:p>
            <w:pPr>
              <w:pStyle w:val="TableParagraph"/>
              <w:ind w:left="374"/>
              <w:jc w:val="left"/>
              <w:rPr>
                <w:sz w:val="21"/>
              </w:rPr>
            </w:pPr>
            <w:r>
              <w:rPr>
                <w:sz w:val="21"/>
              </w:rPr>
              <w:t>本项目不属于港口项目 </w:t>
            </w:r>
          </w:p>
          <w:p>
            <w:pPr>
              <w:pStyle w:val="TableParagraph"/>
              <w:spacing w:before="11"/>
              <w:jc w:val="left"/>
              <w:rPr>
                <w:b/>
                <w:sz w:val="21"/>
              </w:rPr>
            </w:pPr>
          </w:p>
          <w:p>
            <w:pPr>
              <w:pStyle w:val="TableParagraph"/>
              <w:ind w:left="-135"/>
              <w:jc w:val="left"/>
              <w:rPr>
                <w:sz w:val="21"/>
              </w:rPr>
            </w:pPr>
            <w:r>
              <w:rPr>
                <w:w w:val="100"/>
                <w:sz w:val="21"/>
              </w:rPr>
              <w:t>、</w:t>
            </w:r>
          </w:p>
        </w:tc>
        <w:tc>
          <w:tcPr>
            <w:tcW w:w="506" w:type="dxa"/>
          </w:tcPr>
          <w:p>
            <w:pPr>
              <w:pStyle w:val="TableParagraph"/>
              <w:spacing w:before="5"/>
              <w:jc w:val="left"/>
              <w:rPr>
                <w:b/>
                <w:sz w:val="21"/>
              </w:rPr>
            </w:pPr>
          </w:p>
          <w:p>
            <w:pPr>
              <w:pStyle w:val="TableParagraph"/>
              <w:ind w:right="30"/>
              <w:jc w:val="right"/>
              <w:rPr>
                <w:sz w:val="21"/>
              </w:rPr>
            </w:pPr>
            <w:r>
              <w:rPr>
                <w:sz w:val="21"/>
              </w:rPr>
              <w:t>符合</w:t>
            </w:r>
          </w:p>
        </w:tc>
      </w:tr>
      <w:tr>
        <w:trPr>
          <w:trHeight w:val="1089" w:hRule="atLeast"/>
        </w:trPr>
        <w:tc>
          <w:tcPr>
            <w:tcW w:w="619" w:type="dxa"/>
          </w:tcPr>
          <w:p>
            <w:pPr>
              <w:pStyle w:val="TableParagraph"/>
              <w:jc w:val="left"/>
              <w:rPr>
                <w:b/>
                <w:sz w:val="20"/>
              </w:rPr>
            </w:pPr>
          </w:p>
          <w:p>
            <w:pPr>
              <w:pStyle w:val="TableParagraph"/>
              <w:spacing w:before="152"/>
              <w:ind w:left="121" w:right="11"/>
              <w:rPr>
                <w:sz w:val="21"/>
              </w:rPr>
            </w:pPr>
            <w:r>
              <w:rPr>
                <w:sz w:val="21"/>
              </w:rPr>
              <w:t>2 </w:t>
            </w:r>
          </w:p>
        </w:tc>
        <w:tc>
          <w:tcPr>
            <w:tcW w:w="5156" w:type="dxa"/>
          </w:tcPr>
          <w:p>
            <w:pPr>
              <w:pStyle w:val="TableParagraph"/>
              <w:spacing w:line="242" w:lineRule="auto" w:before="1"/>
              <w:ind w:left="33" w:right="21"/>
              <w:jc w:val="both"/>
              <w:rPr>
                <w:sz w:val="21"/>
              </w:rPr>
            </w:pPr>
            <w:r>
              <w:rPr>
                <w:spacing w:val="-14"/>
                <w:sz w:val="21"/>
              </w:rPr>
              <w:t>禁止建设不符合《全国沿海港口布局规划》、《全国内河</w:t>
            </w:r>
            <w:r>
              <w:rPr>
                <w:spacing w:val="-17"/>
                <w:sz w:val="21"/>
              </w:rPr>
              <w:t>航道与港口布局规划》</w:t>
            </w:r>
            <w:r>
              <w:rPr>
                <w:spacing w:val="-25"/>
                <w:sz w:val="21"/>
              </w:rPr>
              <w:t>、《浙江省沿海港口布局规划》</w:t>
            </w:r>
            <w:r>
              <w:rPr>
                <w:spacing w:val="-65"/>
                <w:sz w:val="21"/>
              </w:rPr>
              <w:t>、《浙</w:t>
            </w:r>
            <w:r>
              <w:rPr>
                <w:spacing w:val="-16"/>
                <w:sz w:val="21"/>
              </w:rPr>
              <w:t>江省内河航运发展规划》以及项目所在地港口总体规划</w:t>
            </w:r>
          </w:p>
          <w:p>
            <w:pPr>
              <w:pStyle w:val="TableParagraph"/>
              <w:spacing w:line="250" w:lineRule="exact" w:before="3"/>
              <w:ind w:left="33"/>
              <w:jc w:val="left"/>
              <w:rPr>
                <w:sz w:val="21"/>
              </w:rPr>
            </w:pPr>
            <w:r>
              <w:rPr>
                <w:w w:val="105"/>
                <w:sz w:val="21"/>
              </w:rPr>
              <w:t>国土空间规划的港口码头项目。</w:t>
            </w:r>
            <w:r>
              <w:rPr>
                <w:w w:val="100"/>
                <w:sz w:val="21"/>
              </w:rPr>
              <w:t> </w:t>
            </w:r>
          </w:p>
        </w:tc>
        <w:tc>
          <w:tcPr>
            <w:tcW w:w="2849" w:type="dxa"/>
            <w:vMerge/>
            <w:tcBorders>
              <w:top w:val="nil"/>
            </w:tcBorders>
          </w:tcPr>
          <w:p>
            <w:pPr>
              <w:rPr>
                <w:sz w:val="2"/>
                <w:szCs w:val="2"/>
              </w:rPr>
            </w:pPr>
          </w:p>
        </w:tc>
        <w:tc>
          <w:tcPr>
            <w:tcW w:w="506" w:type="dxa"/>
          </w:tcPr>
          <w:p>
            <w:pPr>
              <w:pStyle w:val="TableParagraph"/>
              <w:jc w:val="left"/>
              <w:rPr>
                <w:b/>
                <w:sz w:val="20"/>
              </w:rPr>
            </w:pPr>
          </w:p>
          <w:p>
            <w:pPr>
              <w:pStyle w:val="TableParagraph"/>
              <w:spacing w:before="152"/>
              <w:ind w:right="30"/>
              <w:jc w:val="right"/>
              <w:rPr>
                <w:sz w:val="21"/>
              </w:rPr>
            </w:pPr>
            <w:r>
              <w:rPr>
                <w:sz w:val="21"/>
              </w:rPr>
              <w:t>符合</w:t>
            </w:r>
          </w:p>
        </w:tc>
      </w:tr>
      <w:tr>
        <w:trPr>
          <w:trHeight w:val="1908" w:hRule="atLeast"/>
        </w:trPr>
        <w:tc>
          <w:tcPr>
            <w:tcW w:w="619" w:type="dxa"/>
          </w:tcPr>
          <w:p>
            <w:pPr>
              <w:pStyle w:val="TableParagraph"/>
              <w:jc w:val="left"/>
              <w:rPr>
                <w:b/>
                <w:sz w:val="20"/>
              </w:rPr>
            </w:pPr>
          </w:p>
          <w:p>
            <w:pPr>
              <w:pStyle w:val="TableParagraph"/>
              <w:jc w:val="left"/>
              <w:rPr>
                <w:b/>
                <w:sz w:val="20"/>
              </w:rPr>
            </w:pPr>
          </w:p>
          <w:p>
            <w:pPr>
              <w:pStyle w:val="TableParagraph"/>
              <w:spacing w:before="12"/>
              <w:jc w:val="left"/>
              <w:rPr>
                <w:b/>
                <w:sz w:val="23"/>
              </w:rPr>
            </w:pPr>
          </w:p>
          <w:p>
            <w:pPr>
              <w:pStyle w:val="TableParagraph"/>
              <w:ind w:left="121" w:right="11"/>
              <w:rPr>
                <w:sz w:val="21"/>
              </w:rPr>
            </w:pPr>
            <w:r>
              <w:rPr>
                <w:sz w:val="21"/>
              </w:rPr>
              <w:t>3 </w:t>
            </w:r>
          </w:p>
        </w:tc>
        <w:tc>
          <w:tcPr>
            <w:tcW w:w="5156" w:type="dxa"/>
          </w:tcPr>
          <w:p>
            <w:pPr>
              <w:pStyle w:val="TableParagraph"/>
              <w:spacing w:before="1"/>
              <w:ind w:left="33"/>
              <w:jc w:val="left"/>
              <w:rPr>
                <w:sz w:val="21"/>
              </w:rPr>
            </w:pPr>
            <w:r>
              <w:rPr>
                <w:sz w:val="21"/>
              </w:rPr>
              <w:t>禁止在自然保护地的岸线和河段范围内投资建设不符合</w:t>
            </w:r>
          </w:p>
          <w:p>
            <w:pPr>
              <w:pStyle w:val="TableParagraph"/>
              <w:spacing w:line="242" w:lineRule="auto" w:before="5"/>
              <w:ind w:left="33" w:right="17"/>
              <w:jc w:val="left"/>
              <w:rPr>
                <w:sz w:val="21"/>
              </w:rPr>
            </w:pPr>
            <w:r>
              <w:rPr>
                <w:spacing w:val="-3"/>
                <w:sz w:val="21"/>
              </w:rPr>
              <w:t>《浙江省自然保护地建设项目准入负面清单</w:t>
            </w:r>
            <w:r>
              <w:rPr>
                <w:rFonts w:ascii="Times New Roman" w:eastAsia="Times New Roman"/>
                <w:sz w:val="21"/>
              </w:rPr>
              <w:t>(</w:t>
            </w:r>
            <w:r>
              <w:rPr>
                <w:spacing w:val="-2"/>
                <w:sz w:val="21"/>
              </w:rPr>
              <w:t>试行</w:t>
            </w:r>
            <w:r>
              <w:rPr>
                <w:rFonts w:ascii="Times New Roman" w:eastAsia="Times New Roman"/>
                <w:sz w:val="21"/>
              </w:rPr>
              <w:t>)</w:t>
            </w:r>
            <w:r>
              <w:rPr>
                <w:spacing w:val="-32"/>
                <w:sz w:val="21"/>
              </w:rPr>
              <w:t>》的项</w:t>
            </w:r>
            <w:r>
              <w:rPr>
                <w:spacing w:val="-32"/>
                <w:w w:val="115"/>
                <w:sz w:val="21"/>
              </w:rPr>
              <w:t>目。</w:t>
            </w:r>
          </w:p>
          <w:p>
            <w:pPr>
              <w:pStyle w:val="TableParagraph"/>
              <w:spacing w:line="242" w:lineRule="auto" w:before="1"/>
              <w:ind w:left="33" w:right="64"/>
              <w:jc w:val="both"/>
              <w:rPr>
                <w:sz w:val="21"/>
              </w:rPr>
            </w:pPr>
            <w:r>
              <w:rPr>
                <w:sz w:val="21"/>
              </w:rPr>
              <w:t>禁止在自然保护地的岸线和河段范围内采石、采砂、采土、砍伐及其他严重改变地形地貌、破坏自然生态、影响自然景观的开发利用行</w:t>
            </w:r>
            <w:r>
              <w:rPr>
                <w:w w:val="115"/>
                <w:sz w:val="21"/>
              </w:rPr>
              <w:t>为。</w:t>
            </w:r>
          </w:p>
          <w:p>
            <w:pPr>
              <w:pStyle w:val="TableParagraph"/>
              <w:spacing w:line="252" w:lineRule="exact" w:before="1"/>
              <w:ind w:left="33"/>
              <w:jc w:val="left"/>
              <w:rPr>
                <w:sz w:val="21"/>
              </w:rPr>
            </w:pPr>
            <w:r>
              <w:rPr>
                <w:w w:val="105"/>
                <w:sz w:val="21"/>
              </w:rPr>
              <w:t>禁止在</w:t>
            </w:r>
            <w:r>
              <w:rPr>
                <w:rFonts w:ascii="Times New Roman" w:hAnsi="Times New Roman" w:eastAsia="Times New Roman"/>
                <w:w w:val="105"/>
                <w:sz w:val="21"/>
              </w:rPr>
              <w:t>Ⅰ</w:t>
            </w:r>
            <w:r>
              <w:rPr>
                <w:w w:val="105"/>
                <w:sz w:val="21"/>
              </w:rPr>
              <w:t>级林地、一级国家级公益林内建设项目</w:t>
            </w:r>
            <w:r>
              <w:rPr>
                <w:w w:val="185"/>
                <w:sz w:val="21"/>
              </w:rPr>
              <w:t>。</w:t>
            </w:r>
            <w:r>
              <w:rPr>
                <w:w w:val="100"/>
                <w:sz w:val="21"/>
              </w:rPr>
              <w:t> </w:t>
            </w:r>
          </w:p>
        </w:tc>
        <w:tc>
          <w:tcPr>
            <w:tcW w:w="2849" w:type="dxa"/>
            <w:vMerge w:val="restart"/>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4"/>
              <w:jc w:val="left"/>
              <w:rPr>
                <w:b/>
                <w:sz w:val="23"/>
              </w:rPr>
            </w:pPr>
          </w:p>
          <w:p>
            <w:pPr>
              <w:pStyle w:val="TableParagraph"/>
              <w:spacing w:line="242" w:lineRule="auto"/>
              <w:ind w:left="33" w:right="-58" w:hanging="75"/>
              <w:rPr>
                <w:sz w:val="21"/>
              </w:rPr>
            </w:pPr>
            <w:r>
              <w:rPr>
                <w:spacing w:val="-3"/>
                <w:sz w:val="21"/>
              </w:rPr>
              <w:t>本项目不在上述区域内建设， </w:t>
            </w:r>
            <w:r>
              <w:rPr>
                <w:spacing w:val="-11"/>
                <w:sz w:val="21"/>
              </w:rPr>
              <w:t>且不属于网箱养殖、畜禽养殖、</w:t>
            </w:r>
            <w:r>
              <w:rPr>
                <w:spacing w:val="-3"/>
                <w:sz w:val="21"/>
              </w:rPr>
              <w:t>围湖造田、围海造地等项目 </w:t>
            </w: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2"/>
              </w:rPr>
            </w:pPr>
          </w:p>
          <w:p>
            <w:pPr>
              <w:pStyle w:val="TableParagraph"/>
              <w:spacing w:line="250" w:lineRule="exact"/>
              <w:ind w:left="-135"/>
              <w:jc w:val="left"/>
              <w:rPr>
                <w:sz w:val="21"/>
              </w:rPr>
            </w:pPr>
            <w:r>
              <w:rPr>
                <w:w w:val="100"/>
                <w:sz w:val="21"/>
              </w:rPr>
              <w:t>；</w:t>
            </w:r>
          </w:p>
        </w:tc>
        <w:tc>
          <w:tcPr>
            <w:tcW w:w="506" w:type="dxa"/>
          </w:tcPr>
          <w:p>
            <w:pPr>
              <w:pStyle w:val="TableParagraph"/>
              <w:jc w:val="left"/>
              <w:rPr>
                <w:b/>
                <w:sz w:val="20"/>
              </w:rPr>
            </w:pPr>
          </w:p>
          <w:p>
            <w:pPr>
              <w:pStyle w:val="TableParagraph"/>
              <w:jc w:val="left"/>
              <w:rPr>
                <w:b/>
                <w:sz w:val="20"/>
              </w:rPr>
            </w:pPr>
          </w:p>
          <w:p>
            <w:pPr>
              <w:pStyle w:val="TableParagraph"/>
              <w:spacing w:before="12"/>
              <w:jc w:val="left"/>
              <w:rPr>
                <w:b/>
                <w:sz w:val="23"/>
              </w:rPr>
            </w:pPr>
          </w:p>
          <w:p>
            <w:pPr>
              <w:pStyle w:val="TableParagraph"/>
              <w:ind w:right="30"/>
              <w:jc w:val="right"/>
              <w:rPr>
                <w:sz w:val="21"/>
              </w:rPr>
            </w:pPr>
            <w:r>
              <w:rPr>
                <w:sz w:val="21"/>
              </w:rPr>
              <w:t>符合</w:t>
            </w:r>
          </w:p>
        </w:tc>
      </w:tr>
      <w:tr>
        <w:trPr>
          <w:trHeight w:val="815" w:hRule="atLeast"/>
        </w:trPr>
        <w:tc>
          <w:tcPr>
            <w:tcW w:w="619" w:type="dxa"/>
          </w:tcPr>
          <w:p>
            <w:pPr>
              <w:pStyle w:val="TableParagraph"/>
              <w:spacing w:before="3"/>
              <w:jc w:val="left"/>
              <w:rPr>
                <w:b/>
                <w:sz w:val="21"/>
              </w:rPr>
            </w:pPr>
          </w:p>
          <w:p>
            <w:pPr>
              <w:pStyle w:val="TableParagraph"/>
              <w:ind w:left="121" w:right="11"/>
              <w:rPr>
                <w:sz w:val="21"/>
              </w:rPr>
            </w:pPr>
            <w:r>
              <w:rPr>
                <w:sz w:val="21"/>
              </w:rPr>
              <w:t>4 </w:t>
            </w:r>
          </w:p>
        </w:tc>
        <w:tc>
          <w:tcPr>
            <w:tcW w:w="5156" w:type="dxa"/>
          </w:tcPr>
          <w:p>
            <w:pPr>
              <w:pStyle w:val="TableParagraph"/>
              <w:spacing w:line="242" w:lineRule="auto" w:before="1"/>
              <w:ind w:left="33" w:right="64"/>
              <w:jc w:val="left"/>
              <w:rPr>
                <w:sz w:val="21"/>
              </w:rPr>
            </w:pPr>
            <w:r>
              <w:rPr>
                <w:sz w:val="21"/>
              </w:rPr>
              <w:t>禁止在饮用水水源一级保护区、二级保护区、准保护区的岸线和河段范围内投资建设不符合《浙江省饮用水源</w:t>
            </w:r>
          </w:p>
          <w:p>
            <w:pPr>
              <w:pStyle w:val="TableParagraph"/>
              <w:spacing w:line="250" w:lineRule="exact" w:before="1"/>
              <w:ind w:left="33"/>
              <w:jc w:val="left"/>
              <w:rPr>
                <w:sz w:val="21"/>
              </w:rPr>
            </w:pPr>
            <w:r>
              <w:rPr>
                <w:w w:val="105"/>
                <w:sz w:val="21"/>
              </w:rPr>
              <w:t>保护条例》的项</w:t>
            </w:r>
            <w:r>
              <w:rPr>
                <w:w w:val="115"/>
                <w:sz w:val="21"/>
              </w:rPr>
              <w:t>目。</w:t>
            </w:r>
            <w:r>
              <w:rPr>
                <w:w w:val="100"/>
                <w:sz w:val="21"/>
              </w:rPr>
              <w:t> </w:t>
            </w:r>
          </w:p>
        </w:tc>
        <w:tc>
          <w:tcPr>
            <w:tcW w:w="2849" w:type="dxa"/>
            <w:vMerge/>
            <w:tcBorders>
              <w:top w:val="nil"/>
            </w:tcBorders>
          </w:tcPr>
          <w:p>
            <w:pPr>
              <w:rPr>
                <w:sz w:val="2"/>
                <w:szCs w:val="2"/>
              </w:rPr>
            </w:pPr>
          </w:p>
        </w:tc>
        <w:tc>
          <w:tcPr>
            <w:tcW w:w="506" w:type="dxa"/>
          </w:tcPr>
          <w:p>
            <w:pPr>
              <w:pStyle w:val="TableParagraph"/>
              <w:spacing w:before="3"/>
              <w:jc w:val="left"/>
              <w:rPr>
                <w:b/>
                <w:sz w:val="21"/>
              </w:rPr>
            </w:pPr>
          </w:p>
          <w:p>
            <w:pPr>
              <w:pStyle w:val="TableParagraph"/>
              <w:ind w:right="30"/>
              <w:jc w:val="right"/>
              <w:rPr>
                <w:sz w:val="21"/>
              </w:rPr>
            </w:pPr>
            <w:r>
              <w:rPr>
                <w:sz w:val="21"/>
              </w:rPr>
              <w:t>符合</w:t>
            </w:r>
          </w:p>
        </w:tc>
      </w:tr>
      <w:tr>
        <w:trPr>
          <w:trHeight w:val="544" w:hRule="atLeast"/>
        </w:trPr>
        <w:tc>
          <w:tcPr>
            <w:tcW w:w="619" w:type="dxa"/>
          </w:tcPr>
          <w:p>
            <w:pPr>
              <w:pStyle w:val="TableParagraph"/>
              <w:spacing w:before="138"/>
              <w:ind w:left="121" w:right="11"/>
              <w:rPr>
                <w:sz w:val="21"/>
              </w:rPr>
            </w:pPr>
            <w:r>
              <w:rPr>
                <w:sz w:val="21"/>
              </w:rPr>
              <w:t>5 </w:t>
            </w:r>
          </w:p>
        </w:tc>
        <w:tc>
          <w:tcPr>
            <w:tcW w:w="5156" w:type="dxa"/>
          </w:tcPr>
          <w:p>
            <w:pPr>
              <w:pStyle w:val="TableParagraph"/>
              <w:spacing w:before="1"/>
              <w:ind w:left="33"/>
              <w:jc w:val="left"/>
              <w:rPr>
                <w:sz w:val="21"/>
              </w:rPr>
            </w:pPr>
            <w:r>
              <w:rPr>
                <w:sz w:val="21"/>
              </w:rPr>
              <w:t>禁止在水产种质资源保护区的岸线和河段范围内新建围</w:t>
            </w:r>
          </w:p>
          <w:p>
            <w:pPr>
              <w:pStyle w:val="TableParagraph"/>
              <w:spacing w:line="250" w:lineRule="exact" w:before="4"/>
              <w:ind w:left="33"/>
              <w:jc w:val="left"/>
              <w:rPr>
                <w:sz w:val="21"/>
              </w:rPr>
            </w:pPr>
            <w:r>
              <w:rPr>
                <w:w w:val="105"/>
                <w:sz w:val="21"/>
              </w:rPr>
              <w:t>湖造田、围海造地或围填海等投资建设项</w:t>
            </w:r>
            <w:r>
              <w:rPr>
                <w:w w:val="115"/>
                <w:sz w:val="21"/>
              </w:rPr>
              <w:t>目。</w:t>
            </w:r>
            <w:r>
              <w:rPr>
                <w:w w:val="100"/>
                <w:sz w:val="21"/>
              </w:rPr>
              <w:t> </w:t>
            </w:r>
          </w:p>
        </w:tc>
        <w:tc>
          <w:tcPr>
            <w:tcW w:w="2849" w:type="dxa"/>
            <w:vMerge/>
            <w:tcBorders>
              <w:top w:val="nil"/>
            </w:tcBorders>
          </w:tcPr>
          <w:p>
            <w:pPr>
              <w:rPr>
                <w:sz w:val="2"/>
                <w:szCs w:val="2"/>
              </w:rPr>
            </w:pPr>
          </w:p>
        </w:tc>
        <w:tc>
          <w:tcPr>
            <w:tcW w:w="506" w:type="dxa"/>
          </w:tcPr>
          <w:p>
            <w:pPr>
              <w:pStyle w:val="TableParagraph"/>
              <w:spacing w:before="138"/>
              <w:ind w:right="30"/>
              <w:jc w:val="right"/>
              <w:rPr>
                <w:sz w:val="21"/>
              </w:rPr>
            </w:pPr>
            <w:r>
              <w:rPr>
                <w:sz w:val="21"/>
              </w:rPr>
              <w:t>符合</w:t>
            </w:r>
          </w:p>
        </w:tc>
      </w:tr>
      <w:tr>
        <w:trPr>
          <w:trHeight w:val="2724" w:hRule="atLeast"/>
        </w:trPr>
        <w:tc>
          <w:tcPr>
            <w:tcW w:w="619"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0"/>
              <w:jc w:val="left"/>
              <w:rPr>
                <w:b/>
                <w:sz w:val="15"/>
              </w:rPr>
            </w:pPr>
          </w:p>
          <w:p>
            <w:pPr>
              <w:pStyle w:val="TableParagraph"/>
              <w:spacing w:before="1"/>
              <w:ind w:left="121" w:right="11"/>
              <w:rPr>
                <w:sz w:val="21"/>
              </w:rPr>
            </w:pPr>
            <w:r>
              <w:rPr>
                <w:sz w:val="21"/>
              </w:rPr>
              <w:t>6 </w:t>
            </w:r>
          </w:p>
        </w:tc>
        <w:tc>
          <w:tcPr>
            <w:tcW w:w="5156" w:type="dxa"/>
          </w:tcPr>
          <w:p>
            <w:pPr>
              <w:pStyle w:val="TableParagraph"/>
              <w:spacing w:before="1"/>
              <w:ind w:left="33"/>
              <w:jc w:val="left"/>
              <w:rPr>
                <w:sz w:val="21"/>
              </w:rPr>
            </w:pPr>
            <w:r>
              <w:rPr>
                <w:sz w:val="21"/>
              </w:rPr>
              <w:t>在国家湿地公园的岸线和河段范围内： </w:t>
            </w:r>
          </w:p>
          <w:p>
            <w:pPr>
              <w:pStyle w:val="TableParagraph"/>
              <w:spacing w:before="4"/>
              <w:ind w:left="33"/>
              <w:jc w:val="left"/>
              <w:rPr>
                <w:sz w:val="21"/>
              </w:rPr>
            </w:pPr>
            <w:r>
              <w:rPr>
                <w:sz w:val="21"/>
              </w:rPr>
              <w:t>（一）禁止挖沙、采矿； </w:t>
            </w:r>
          </w:p>
          <w:p>
            <w:pPr>
              <w:pStyle w:val="TableParagraph"/>
              <w:spacing w:before="3"/>
              <w:ind w:left="33"/>
              <w:jc w:val="left"/>
              <w:rPr>
                <w:sz w:val="21"/>
              </w:rPr>
            </w:pPr>
            <w:r>
              <w:rPr>
                <w:sz w:val="21"/>
              </w:rPr>
              <w:t>（二）禁止任何不符合主体功能定位的投资建设目； </w:t>
            </w:r>
          </w:p>
          <w:p>
            <w:pPr>
              <w:pStyle w:val="TableParagraph"/>
              <w:spacing w:before="5"/>
              <w:ind w:left="33"/>
              <w:jc w:val="left"/>
              <w:rPr>
                <w:sz w:val="21"/>
              </w:rPr>
            </w:pPr>
            <w:r>
              <w:rPr>
                <w:sz w:val="21"/>
              </w:rPr>
              <w:t>（三）禁止开（围）垦、填埋或者排干湿地； </w:t>
            </w:r>
          </w:p>
          <w:p>
            <w:pPr>
              <w:pStyle w:val="TableParagraph"/>
              <w:spacing w:before="2"/>
              <w:ind w:left="33"/>
              <w:jc w:val="left"/>
              <w:rPr>
                <w:sz w:val="21"/>
              </w:rPr>
            </w:pPr>
            <w:r>
              <w:rPr>
                <w:sz w:val="21"/>
              </w:rPr>
              <w:t>（四）禁止截断湿地水源； </w:t>
            </w:r>
          </w:p>
          <w:p>
            <w:pPr>
              <w:pStyle w:val="TableParagraph"/>
              <w:spacing w:before="4"/>
              <w:ind w:left="33"/>
              <w:jc w:val="left"/>
              <w:rPr>
                <w:sz w:val="21"/>
              </w:rPr>
            </w:pPr>
            <w:r>
              <w:rPr>
                <w:sz w:val="21"/>
              </w:rPr>
              <w:t>（五）禁止倾倒有毒有害物质、废弃物、垃圾； </w:t>
            </w:r>
          </w:p>
          <w:p>
            <w:pPr>
              <w:pStyle w:val="TableParagraph"/>
              <w:spacing w:line="244" w:lineRule="auto" w:before="2"/>
              <w:ind w:left="33" w:right="64"/>
              <w:jc w:val="left"/>
              <w:rPr>
                <w:sz w:val="21"/>
              </w:rPr>
            </w:pPr>
            <w:r>
              <w:rPr>
                <w:sz w:val="21"/>
              </w:rPr>
              <w:t>（六）禁止破坏野生动物栖息地和迁徙通道、鱼类徊游通道，禁止滥采滥捕野生动植物; </w:t>
            </w:r>
          </w:p>
          <w:p>
            <w:pPr>
              <w:pStyle w:val="TableParagraph"/>
              <w:spacing w:line="265" w:lineRule="exact"/>
              <w:ind w:left="33"/>
              <w:jc w:val="left"/>
              <w:rPr>
                <w:sz w:val="21"/>
              </w:rPr>
            </w:pPr>
            <w:r>
              <w:rPr>
                <w:sz w:val="21"/>
              </w:rPr>
              <w:t>（七）禁止引入外来物种; </w:t>
            </w:r>
          </w:p>
          <w:p>
            <w:pPr>
              <w:pStyle w:val="TableParagraph"/>
              <w:spacing w:line="250" w:lineRule="exact" w:before="5"/>
              <w:ind w:left="33"/>
              <w:jc w:val="left"/>
              <w:rPr>
                <w:sz w:val="21"/>
              </w:rPr>
            </w:pPr>
            <w:r>
              <w:rPr>
                <w:sz w:val="21"/>
              </w:rPr>
              <w:t>（八）禁止擅自放牧、捕捞、取土、取水、排污、放生</w:t>
            </w:r>
          </w:p>
        </w:tc>
        <w:tc>
          <w:tcPr>
            <w:tcW w:w="2849" w:type="dxa"/>
            <w:vMerge/>
            <w:tcBorders>
              <w:top w:val="nil"/>
            </w:tcBorders>
          </w:tcPr>
          <w:p>
            <w:pPr>
              <w:rPr>
                <w:sz w:val="2"/>
                <w:szCs w:val="2"/>
              </w:rPr>
            </w:pPr>
          </w:p>
        </w:tc>
        <w:tc>
          <w:tcPr>
            <w:tcW w:w="506"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0"/>
              <w:jc w:val="left"/>
              <w:rPr>
                <w:b/>
                <w:sz w:val="15"/>
              </w:rPr>
            </w:pPr>
          </w:p>
          <w:p>
            <w:pPr>
              <w:pStyle w:val="TableParagraph"/>
              <w:spacing w:before="1"/>
              <w:ind w:right="30"/>
              <w:jc w:val="right"/>
              <w:rPr>
                <w:sz w:val="21"/>
              </w:rPr>
            </w:pPr>
            <w:r>
              <w:rPr>
                <w:sz w:val="21"/>
              </w:rPr>
              <w:t>符合</w:t>
            </w:r>
          </w:p>
        </w:tc>
      </w:tr>
    </w:tbl>
    <w:p>
      <w:pPr>
        <w:spacing w:after="0"/>
        <w:jc w:val="right"/>
        <w:rPr>
          <w:sz w:val="21"/>
        </w:rPr>
        <w:sectPr>
          <w:pgSz w:w="11910" w:h="16840"/>
          <w:pgMar w:header="872" w:footer="873" w:top="1100" w:bottom="1060" w:left="1100" w:right="1100"/>
        </w:sectPr>
      </w:pPr>
    </w:p>
    <w:p>
      <w:pPr>
        <w:pStyle w:val="BodyText"/>
        <w:spacing w:before="5"/>
        <w:rPr>
          <w:b/>
          <w:sz w:val="23"/>
        </w:rPr>
      </w:pPr>
    </w:p>
    <w:tbl>
      <w:tblPr>
        <w:tblW w:w="0" w:type="auto"/>
        <w:jc w:val="lef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5156"/>
        <w:gridCol w:w="2849"/>
        <w:gridCol w:w="506"/>
      </w:tblGrid>
      <w:tr>
        <w:trPr>
          <w:trHeight w:val="282" w:hRule="atLeast"/>
        </w:trPr>
        <w:tc>
          <w:tcPr>
            <w:tcW w:w="619" w:type="dxa"/>
          </w:tcPr>
          <w:p>
            <w:pPr>
              <w:pStyle w:val="TableParagraph"/>
              <w:spacing w:line="257" w:lineRule="exact" w:before="6"/>
              <w:ind w:left="135" w:right="11"/>
              <w:rPr>
                <w:b/>
                <w:sz w:val="21"/>
              </w:rPr>
            </w:pPr>
            <w:r>
              <w:rPr>
                <w:b/>
                <w:sz w:val="21"/>
              </w:rPr>
              <w:t>条例</w:t>
            </w:r>
            <w:r>
              <w:rPr>
                <w:b/>
                <w:w w:val="99"/>
                <w:sz w:val="21"/>
              </w:rPr>
              <w:t> </w:t>
            </w:r>
          </w:p>
        </w:tc>
        <w:tc>
          <w:tcPr>
            <w:tcW w:w="5156" w:type="dxa"/>
          </w:tcPr>
          <w:p>
            <w:pPr>
              <w:pStyle w:val="TableParagraph"/>
              <w:spacing w:line="257" w:lineRule="exact" w:before="6"/>
              <w:ind w:left="2399" w:right="2284"/>
              <w:rPr>
                <w:b/>
                <w:sz w:val="21"/>
              </w:rPr>
            </w:pPr>
            <w:r>
              <w:rPr>
                <w:b/>
                <w:sz w:val="21"/>
              </w:rPr>
              <w:t>要求</w:t>
            </w:r>
            <w:r>
              <w:rPr>
                <w:b/>
                <w:w w:val="99"/>
                <w:sz w:val="21"/>
              </w:rPr>
              <w:t> </w:t>
            </w:r>
          </w:p>
        </w:tc>
        <w:tc>
          <w:tcPr>
            <w:tcW w:w="2849" w:type="dxa"/>
          </w:tcPr>
          <w:p>
            <w:pPr>
              <w:pStyle w:val="TableParagraph"/>
              <w:spacing w:line="257" w:lineRule="exact" w:before="6"/>
              <w:ind w:left="144" w:right="29"/>
              <w:rPr>
                <w:b/>
                <w:sz w:val="21"/>
              </w:rPr>
            </w:pPr>
            <w:r>
              <w:rPr>
                <w:b/>
                <w:sz w:val="21"/>
              </w:rPr>
              <w:t>项目实际情况</w:t>
            </w:r>
            <w:r>
              <w:rPr>
                <w:b/>
                <w:w w:val="99"/>
                <w:sz w:val="21"/>
              </w:rPr>
              <w:t> </w:t>
            </w:r>
          </w:p>
        </w:tc>
        <w:tc>
          <w:tcPr>
            <w:tcW w:w="506" w:type="dxa"/>
          </w:tcPr>
          <w:p>
            <w:pPr>
              <w:pStyle w:val="TableParagraph"/>
              <w:spacing w:line="257" w:lineRule="exact" w:before="6"/>
              <w:ind w:left="21" w:right="12"/>
              <w:rPr>
                <w:b/>
                <w:sz w:val="21"/>
              </w:rPr>
            </w:pPr>
            <w:r>
              <w:rPr>
                <w:b/>
                <w:sz w:val="21"/>
              </w:rPr>
              <w:t>结论</w:t>
            </w:r>
          </w:p>
        </w:tc>
      </w:tr>
      <w:tr>
        <w:trPr>
          <w:trHeight w:val="285" w:hRule="atLeast"/>
        </w:trPr>
        <w:tc>
          <w:tcPr>
            <w:tcW w:w="619" w:type="dxa"/>
          </w:tcPr>
          <w:p>
            <w:pPr>
              <w:pStyle w:val="TableParagraph"/>
              <w:jc w:val="left"/>
              <w:rPr>
                <w:rFonts w:ascii="Times New Roman"/>
                <w:sz w:val="20"/>
              </w:rPr>
            </w:pPr>
          </w:p>
        </w:tc>
        <w:tc>
          <w:tcPr>
            <w:tcW w:w="5156" w:type="dxa"/>
          </w:tcPr>
          <w:p>
            <w:pPr>
              <w:pStyle w:val="TableParagraph"/>
              <w:spacing w:line="264" w:lineRule="exact" w:before="1"/>
              <w:ind w:left="33"/>
              <w:jc w:val="left"/>
              <w:rPr>
                <w:sz w:val="21"/>
              </w:rPr>
            </w:pPr>
            <w:r>
              <w:rPr>
                <w:w w:val="105"/>
                <w:sz w:val="21"/>
              </w:rPr>
              <w:t>（九）禁止其他破坏湿地及其生态功能的活动</w:t>
            </w:r>
            <w:r>
              <w:rPr>
                <w:w w:val="185"/>
                <w:sz w:val="21"/>
              </w:rPr>
              <w:t>。</w:t>
            </w:r>
            <w:r>
              <w:rPr>
                <w:w w:val="100"/>
                <w:sz w:val="21"/>
              </w:rPr>
              <w:t> </w:t>
            </w:r>
          </w:p>
        </w:tc>
        <w:tc>
          <w:tcPr>
            <w:tcW w:w="2849" w:type="dxa"/>
            <w:vMerge w:val="restart"/>
          </w:tcPr>
          <w:p>
            <w:pPr>
              <w:pStyle w:val="TableParagraph"/>
              <w:jc w:val="left"/>
              <w:rPr>
                <w:rFonts w:ascii="Times New Roman"/>
                <w:sz w:val="20"/>
              </w:rPr>
            </w:pPr>
          </w:p>
        </w:tc>
        <w:tc>
          <w:tcPr>
            <w:tcW w:w="506" w:type="dxa"/>
          </w:tcPr>
          <w:p>
            <w:pPr>
              <w:pStyle w:val="TableParagraph"/>
              <w:jc w:val="left"/>
              <w:rPr>
                <w:rFonts w:ascii="Times New Roman"/>
                <w:sz w:val="20"/>
              </w:rPr>
            </w:pPr>
          </w:p>
        </w:tc>
      </w:tr>
      <w:tr>
        <w:trPr>
          <w:trHeight w:val="282" w:hRule="atLeast"/>
        </w:trPr>
        <w:tc>
          <w:tcPr>
            <w:tcW w:w="619" w:type="dxa"/>
          </w:tcPr>
          <w:p>
            <w:pPr>
              <w:pStyle w:val="TableParagraph"/>
              <w:spacing w:line="257" w:lineRule="exact" w:before="6"/>
              <w:ind w:left="121" w:right="11"/>
              <w:rPr>
                <w:sz w:val="21"/>
              </w:rPr>
            </w:pPr>
            <w:r>
              <w:rPr>
                <w:sz w:val="21"/>
              </w:rPr>
              <w:t>7 </w:t>
            </w:r>
          </w:p>
        </w:tc>
        <w:tc>
          <w:tcPr>
            <w:tcW w:w="5156" w:type="dxa"/>
          </w:tcPr>
          <w:p>
            <w:pPr>
              <w:pStyle w:val="TableParagraph"/>
              <w:spacing w:line="257" w:lineRule="exact" w:before="6"/>
              <w:ind w:left="33"/>
              <w:jc w:val="left"/>
              <w:rPr>
                <w:sz w:val="21"/>
              </w:rPr>
            </w:pPr>
            <w:r>
              <w:rPr>
                <w:sz w:val="21"/>
              </w:rPr>
              <w:t>禁止违法利用、占用长江流域河湖岸线 </w:t>
            </w:r>
          </w:p>
        </w:tc>
        <w:tc>
          <w:tcPr>
            <w:tcW w:w="2849" w:type="dxa"/>
            <w:vMerge/>
            <w:tcBorders>
              <w:top w:val="nil"/>
            </w:tcBorders>
          </w:tcPr>
          <w:p>
            <w:pPr>
              <w:rPr>
                <w:sz w:val="2"/>
                <w:szCs w:val="2"/>
              </w:rPr>
            </w:pPr>
          </w:p>
        </w:tc>
        <w:tc>
          <w:tcPr>
            <w:tcW w:w="506" w:type="dxa"/>
          </w:tcPr>
          <w:p>
            <w:pPr>
              <w:pStyle w:val="TableParagraph"/>
              <w:spacing w:line="257" w:lineRule="exact" w:before="6"/>
              <w:ind w:left="21" w:right="12"/>
              <w:rPr>
                <w:sz w:val="21"/>
              </w:rPr>
            </w:pPr>
            <w:r>
              <w:rPr>
                <w:sz w:val="21"/>
              </w:rPr>
              <w:t>符合</w:t>
            </w:r>
          </w:p>
        </w:tc>
      </w:tr>
      <w:tr>
        <w:trPr>
          <w:trHeight w:val="1089" w:hRule="atLeast"/>
        </w:trPr>
        <w:tc>
          <w:tcPr>
            <w:tcW w:w="619" w:type="dxa"/>
          </w:tcPr>
          <w:p>
            <w:pPr>
              <w:pStyle w:val="TableParagraph"/>
              <w:jc w:val="left"/>
              <w:rPr>
                <w:b/>
                <w:sz w:val="20"/>
              </w:rPr>
            </w:pPr>
          </w:p>
          <w:p>
            <w:pPr>
              <w:pStyle w:val="TableParagraph"/>
              <w:spacing w:before="155"/>
              <w:ind w:left="121" w:right="11"/>
              <w:rPr>
                <w:sz w:val="21"/>
              </w:rPr>
            </w:pPr>
            <w:r>
              <w:rPr>
                <w:sz w:val="21"/>
              </w:rPr>
              <w:t>8 </w:t>
            </w:r>
          </w:p>
        </w:tc>
        <w:tc>
          <w:tcPr>
            <w:tcW w:w="5156" w:type="dxa"/>
          </w:tcPr>
          <w:p>
            <w:pPr>
              <w:pStyle w:val="TableParagraph"/>
              <w:spacing w:line="242" w:lineRule="auto" w:before="1"/>
              <w:ind w:left="33" w:right="64"/>
              <w:jc w:val="both"/>
              <w:rPr>
                <w:sz w:val="21"/>
              </w:rPr>
            </w:pPr>
            <w:r>
              <w:rPr>
                <w:sz w:val="21"/>
              </w:rPr>
              <w:t>禁止在《长江岸线保护和开发利用总体规划》划定的岸线保护区和保留区内投资建设除事关公共安全及公众利益的防洪护岸、河道治理、供水、生态环境保护、国家</w:t>
            </w:r>
          </w:p>
          <w:p>
            <w:pPr>
              <w:pStyle w:val="TableParagraph"/>
              <w:spacing w:line="250" w:lineRule="exact" w:before="3"/>
              <w:ind w:left="33"/>
              <w:jc w:val="left"/>
              <w:rPr>
                <w:sz w:val="21"/>
              </w:rPr>
            </w:pPr>
            <w:r>
              <w:rPr>
                <w:w w:val="115"/>
                <w:sz w:val="21"/>
              </w:rPr>
              <w:t>重要基础设施以外的项目</w:t>
            </w:r>
            <w:r>
              <w:rPr>
                <w:w w:val="185"/>
                <w:sz w:val="21"/>
              </w:rPr>
              <w:t>。</w:t>
            </w:r>
            <w:r>
              <w:rPr>
                <w:w w:val="100"/>
                <w:sz w:val="21"/>
              </w:rPr>
              <w:t> </w:t>
            </w:r>
          </w:p>
        </w:tc>
        <w:tc>
          <w:tcPr>
            <w:tcW w:w="2849" w:type="dxa"/>
            <w:vMerge/>
            <w:tcBorders>
              <w:top w:val="nil"/>
            </w:tcBorders>
          </w:tcPr>
          <w:p>
            <w:pPr>
              <w:rPr>
                <w:sz w:val="2"/>
                <w:szCs w:val="2"/>
              </w:rPr>
            </w:pPr>
          </w:p>
        </w:tc>
        <w:tc>
          <w:tcPr>
            <w:tcW w:w="506" w:type="dxa"/>
          </w:tcPr>
          <w:p>
            <w:pPr>
              <w:pStyle w:val="TableParagraph"/>
              <w:jc w:val="left"/>
              <w:rPr>
                <w:b/>
                <w:sz w:val="20"/>
              </w:rPr>
            </w:pPr>
          </w:p>
          <w:p>
            <w:pPr>
              <w:pStyle w:val="TableParagraph"/>
              <w:spacing w:before="155"/>
              <w:ind w:left="21" w:right="12"/>
              <w:rPr>
                <w:sz w:val="21"/>
              </w:rPr>
            </w:pPr>
            <w:r>
              <w:rPr>
                <w:sz w:val="21"/>
              </w:rPr>
              <w:t>符合</w:t>
            </w:r>
          </w:p>
        </w:tc>
      </w:tr>
      <w:tr>
        <w:trPr>
          <w:trHeight w:val="817" w:hRule="atLeast"/>
        </w:trPr>
        <w:tc>
          <w:tcPr>
            <w:tcW w:w="619" w:type="dxa"/>
          </w:tcPr>
          <w:p>
            <w:pPr>
              <w:pStyle w:val="TableParagraph"/>
              <w:spacing w:before="5"/>
              <w:jc w:val="left"/>
              <w:rPr>
                <w:b/>
                <w:sz w:val="21"/>
              </w:rPr>
            </w:pPr>
          </w:p>
          <w:p>
            <w:pPr>
              <w:pStyle w:val="TableParagraph"/>
              <w:ind w:left="121" w:right="11"/>
              <w:rPr>
                <w:sz w:val="21"/>
              </w:rPr>
            </w:pPr>
            <w:r>
              <w:rPr>
                <w:sz w:val="21"/>
              </w:rPr>
              <w:t>9 </w:t>
            </w:r>
          </w:p>
        </w:tc>
        <w:tc>
          <w:tcPr>
            <w:tcW w:w="5156" w:type="dxa"/>
          </w:tcPr>
          <w:p>
            <w:pPr>
              <w:pStyle w:val="TableParagraph"/>
              <w:spacing w:line="242" w:lineRule="auto" w:before="3"/>
              <w:ind w:left="33" w:right="64"/>
              <w:jc w:val="left"/>
              <w:rPr>
                <w:sz w:val="21"/>
              </w:rPr>
            </w:pPr>
            <w:r>
              <w:rPr>
                <w:sz w:val="21"/>
              </w:rPr>
              <w:t>禁止在《全国重要江河湖泊水功能区划》划定的河段及湖泊保护区、保留区内投资建设不利于水资源及自然生</w:t>
            </w:r>
          </w:p>
          <w:p>
            <w:pPr>
              <w:pStyle w:val="TableParagraph"/>
              <w:spacing w:line="250" w:lineRule="exact" w:before="1"/>
              <w:ind w:left="33"/>
              <w:jc w:val="left"/>
              <w:rPr>
                <w:sz w:val="21"/>
              </w:rPr>
            </w:pPr>
            <w:r>
              <w:rPr>
                <w:w w:val="115"/>
                <w:sz w:val="21"/>
              </w:rPr>
              <w:t>态保护的项目。</w:t>
            </w:r>
            <w:r>
              <w:rPr>
                <w:w w:val="100"/>
                <w:sz w:val="21"/>
              </w:rPr>
              <w:t> </w:t>
            </w:r>
          </w:p>
        </w:tc>
        <w:tc>
          <w:tcPr>
            <w:tcW w:w="2849" w:type="dxa"/>
            <w:vMerge/>
            <w:tcBorders>
              <w:top w:val="nil"/>
            </w:tcBorders>
          </w:tcPr>
          <w:p>
            <w:pPr>
              <w:rPr>
                <w:sz w:val="2"/>
                <w:szCs w:val="2"/>
              </w:rPr>
            </w:pPr>
          </w:p>
        </w:tc>
        <w:tc>
          <w:tcPr>
            <w:tcW w:w="506" w:type="dxa"/>
          </w:tcPr>
          <w:p>
            <w:pPr>
              <w:pStyle w:val="TableParagraph"/>
              <w:spacing w:before="5"/>
              <w:jc w:val="left"/>
              <w:rPr>
                <w:b/>
                <w:sz w:val="21"/>
              </w:rPr>
            </w:pPr>
          </w:p>
          <w:p>
            <w:pPr>
              <w:pStyle w:val="TableParagraph"/>
              <w:ind w:left="21" w:right="12"/>
              <w:rPr>
                <w:sz w:val="21"/>
              </w:rPr>
            </w:pPr>
            <w:r>
              <w:rPr>
                <w:sz w:val="21"/>
              </w:rPr>
              <w:t>符合</w:t>
            </w:r>
          </w:p>
        </w:tc>
      </w:tr>
      <w:tr>
        <w:trPr>
          <w:trHeight w:val="544" w:hRule="atLeast"/>
        </w:trPr>
        <w:tc>
          <w:tcPr>
            <w:tcW w:w="619" w:type="dxa"/>
          </w:tcPr>
          <w:p>
            <w:pPr>
              <w:pStyle w:val="TableParagraph"/>
              <w:spacing w:before="137"/>
              <w:ind w:left="121" w:right="11"/>
              <w:rPr>
                <w:sz w:val="21"/>
              </w:rPr>
            </w:pPr>
            <w:r>
              <w:rPr>
                <w:sz w:val="21"/>
              </w:rPr>
              <w:t>10 </w:t>
            </w:r>
          </w:p>
        </w:tc>
        <w:tc>
          <w:tcPr>
            <w:tcW w:w="5156" w:type="dxa"/>
          </w:tcPr>
          <w:p>
            <w:pPr>
              <w:pStyle w:val="TableParagraph"/>
              <w:spacing w:before="1"/>
              <w:ind w:left="33"/>
              <w:jc w:val="left"/>
              <w:rPr>
                <w:sz w:val="21"/>
              </w:rPr>
            </w:pPr>
            <w:r>
              <w:rPr>
                <w:sz w:val="21"/>
              </w:rPr>
              <w:t>禁止未经许可在长江干支流及湖泊新设、改设或扩大排</w:t>
            </w:r>
          </w:p>
          <w:p>
            <w:pPr>
              <w:pStyle w:val="TableParagraph"/>
              <w:spacing w:line="250" w:lineRule="exact" w:before="4"/>
              <w:ind w:left="33"/>
              <w:jc w:val="left"/>
              <w:rPr>
                <w:sz w:val="21"/>
              </w:rPr>
            </w:pPr>
            <w:r>
              <w:rPr>
                <w:sz w:val="21"/>
              </w:rPr>
              <w:t>污口 </w:t>
            </w:r>
          </w:p>
        </w:tc>
        <w:tc>
          <w:tcPr>
            <w:tcW w:w="2849" w:type="dxa"/>
          </w:tcPr>
          <w:p>
            <w:pPr>
              <w:pStyle w:val="TableParagraph"/>
              <w:spacing w:before="1"/>
              <w:ind w:left="57"/>
              <w:jc w:val="left"/>
              <w:rPr>
                <w:sz w:val="21"/>
              </w:rPr>
            </w:pPr>
            <w:r>
              <w:rPr>
                <w:sz w:val="21"/>
              </w:rPr>
              <w:t>本项目不在长江干支流及湖泊</w:t>
            </w:r>
          </w:p>
          <w:p>
            <w:pPr>
              <w:pStyle w:val="TableParagraph"/>
              <w:spacing w:line="250" w:lineRule="exact" w:before="4"/>
              <w:ind w:left="1003"/>
              <w:jc w:val="left"/>
              <w:rPr>
                <w:sz w:val="21"/>
              </w:rPr>
            </w:pPr>
            <w:r>
              <w:rPr>
                <w:sz w:val="21"/>
              </w:rPr>
              <w:t>设排放口 </w:t>
            </w:r>
          </w:p>
        </w:tc>
        <w:tc>
          <w:tcPr>
            <w:tcW w:w="506" w:type="dxa"/>
          </w:tcPr>
          <w:p>
            <w:pPr>
              <w:pStyle w:val="TableParagraph"/>
              <w:spacing w:before="137"/>
              <w:ind w:left="21" w:right="12"/>
              <w:rPr>
                <w:sz w:val="21"/>
              </w:rPr>
            </w:pPr>
            <w:r>
              <w:rPr>
                <w:sz w:val="21"/>
              </w:rPr>
              <w:t>符合</w:t>
            </w:r>
          </w:p>
        </w:tc>
      </w:tr>
      <w:tr>
        <w:trPr>
          <w:trHeight w:val="544" w:hRule="atLeast"/>
        </w:trPr>
        <w:tc>
          <w:tcPr>
            <w:tcW w:w="619" w:type="dxa"/>
          </w:tcPr>
          <w:p>
            <w:pPr>
              <w:pStyle w:val="TableParagraph"/>
              <w:spacing w:before="138"/>
              <w:ind w:left="121" w:right="11"/>
              <w:rPr>
                <w:sz w:val="21"/>
              </w:rPr>
            </w:pPr>
            <w:r>
              <w:rPr>
                <w:sz w:val="21"/>
              </w:rPr>
              <w:t>11 </w:t>
            </w:r>
          </w:p>
        </w:tc>
        <w:tc>
          <w:tcPr>
            <w:tcW w:w="5156" w:type="dxa"/>
          </w:tcPr>
          <w:p>
            <w:pPr>
              <w:pStyle w:val="TableParagraph"/>
              <w:spacing w:before="1"/>
              <w:ind w:left="33"/>
              <w:jc w:val="left"/>
              <w:rPr>
                <w:sz w:val="21"/>
              </w:rPr>
            </w:pPr>
            <w:r>
              <w:rPr>
                <w:sz w:val="21"/>
              </w:rPr>
              <w:t>禁止在长江支流、太湖等重要岸线一公里范围内新建、</w:t>
            </w:r>
          </w:p>
          <w:p>
            <w:pPr>
              <w:pStyle w:val="TableParagraph"/>
              <w:spacing w:line="250" w:lineRule="exact" w:before="4"/>
              <w:ind w:left="33"/>
              <w:jc w:val="left"/>
              <w:rPr>
                <w:sz w:val="21"/>
              </w:rPr>
            </w:pPr>
            <w:r>
              <w:rPr>
                <w:w w:val="115"/>
                <w:sz w:val="21"/>
              </w:rPr>
              <w:t>扩建化工园区和化工项目</w:t>
            </w:r>
            <w:r>
              <w:rPr>
                <w:w w:val="185"/>
                <w:sz w:val="21"/>
              </w:rPr>
              <w:t>。</w:t>
            </w:r>
            <w:r>
              <w:rPr>
                <w:w w:val="100"/>
                <w:sz w:val="21"/>
              </w:rPr>
              <w:t> </w:t>
            </w:r>
          </w:p>
        </w:tc>
        <w:tc>
          <w:tcPr>
            <w:tcW w:w="2849" w:type="dxa"/>
            <w:vMerge w:val="restart"/>
          </w:tcPr>
          <w:p>
            <w:pPr>
              <w:pStyle w:val="TableParagraph"/>
              <w:spacing w:before="10"/>
              <w:jc w:val="left"/>
              <w:rPr>
                <w:b/>
                <w:sz w:val="21"/>
              </w:rPr>
            </w:pPr>
          </w:p>
          <w:p>
            <w:pPr>
              <w:pStyle w:val="TableParagraph"/>
              <w:spacing w:line="242" w:lineRule="auto"/>
              <w:ind w:left="57" w:right="45" w:hanging="1"/>
              <w:rPr>
                <w:sz w:val="21"/>
              </w:rPr>
            </w:pPr>
            <w:r>
              <w:rPr>
                <w:sz w:val="21"/>
              </w:rPr>
              <w:t>本项目不在上述区域，且不属于尾矿库、冶炼渣库和磷石膏库 </w:t>
            </w:r>
          </w:p>
        </w:tc>
        <w:tc>
          <w:tcPr>
            <w:tcW w:w="506" w:type="dxa"/>
          </w:tcPr>
          <w:p>
            <w:pPr>
              <w:pStyle w:val="TableParagraph"/>
              <w:spacing w:before="138"/>
              <w:ind w:left="21" w:right="12"/>
              <w:rPr>
                <w:sz w:val="21"/>
              </w:rPr>
            </w:pPr>
            <w:r>
              <w:rPr>
                <w:sz w:val="21"/>
              </w:rPr>
              <w:t>符合</w:t>
            </w:r>
          </w:p>
        </w:tc>
      </w:tr>
      <w:tr>
        <w:trPr>
          <w:trHeight w:val="818" w:hRule="atLeast"/>
        </w:trPr>
        <w:tc>
          <w:tcPr>
            <w:tcW w:w="619" w:type="dxa"/>
          </w:tcPr>
          <w:p>
            <w:pPr>
              <w:pStyle w:val="TableParagraph"/>
              <w:spacing w:before="6"/>
              <w:jc w:val="left"/>
              <w:rPr>
                <w:b/>
                <w:sz w:val="21"/>
              </w:rPr>
            </w:pPr>
          </w:p>
          <w:p>
            <w:pPr>
              <w:pStyle w:val="TableParagraph"/>
              <w:ind w:left="121" w:right="11"/>
              <w:rPr>
                <w:sz w:val="21"/>
              </w:rPr>
            </w:pPr>
            <w:r>
              <w:rPr>
                <w:sz w:val="21"/>
              </w:rPr>
              <w:t>12 </w:t>
            </w:r>
          </w:p>
        </w:tc>
        <w:tc>
          <w:tcPr>
            <w:tcW w:w="5156" w:type="dxa"/>
          </w:tcPr>
          <w:p>
            <w:pPr>
              <w:pStyle w:val="TableParagraph"/>
              <w:spacing w:before="1"/>
              <w:ind w:left="33"/>
              <w:jc w:val="left"/>
              <w:rPr>
                <w:sz w:val="21"/>
              </w:rPr>
            </w:pPr>
            <w:r>
              <w:rPr>
                <w:sz w:val="21"/>
              </w:rPr>
              <w:t>禁止在长江重要支流岸线一公里范围内新建、改建、扩</w:t>
            </w:r>
          </w:p>
          <w:p>
            <w:pPr>
              <w:pStyle w:val="TableParagraph"/>
              <w:spacing w:line="270" w:lineRule="atLeast" w:before="4"/>
              <w:ind w:left="33" w:right="64"/>
              <w:jc w:val="left"/>
              <w:rPr>
                <w:sz w:val="21"/>
              </w:rPr>
            </w:pPr>
            <w:r>
              <w:rPr>
                <w:sz w:val="21"/>
              </w:rPr>
              <w:t>建尾矿库、冶炼渣库和磷石膏库，以提升安全、生态环</w:t>
            </w:r>
            <w:r>
              <w:rPr>
                <w:w w:val="105"/>
                <w:sz w:val="21"/>
              </w:rPr>
              <w:t>境保护水平为目的的改扩建除外</w:t>
            </w:r>
            <w:r>
              <w:rPr>
                <w:w w:val="185"/>
                <w:sz w:val="21"/>
              </w:rPr>
              <w:t>。</w:t>
            </w:r>
            <w:r>
              <w:rPr>
                <w:w w:val="100"/>
                <w:sz w:val="21"/>
              </w:rPr>
              <w:t> </w:t>
            </w:r>
          </w:p>
        </w:tc>
        <w:tc>
          <w:tcPr>
            <w:tcW w:w="2849" w:type="dxa"/>
            <w:vMerge/>
            <w:tcBorders>
              <w:top w:val="nil"/>
            </w:tcBorders>
          </w:tcPr>
          <w:p>
            <w:pPr>
              <w:rPr>
                <w:sz w:val="2"/>
                <w:szCs w:val="2"/>
              </w:rPr>
            </w:pPr>
          </w:p>
        </w:tc>
        <w:tc>
          <w:tcPr>
            <w:tcW w:w="506" w:type="dxa"/>
          </w:tcPr>
          <w:p>
            <w:pPr>
              <w:pStyle w:val="TableParagraph"/>
              <w:spacing w:before="6"/>
              <w:jc w:val="left"/>
              <w:rPr>
                <w:b/>
                <w:sz w:val="21"/>
              </w:rPr>
            </w:pPr>
          </w:p>
          <w:p>
            <w:pPr>
              <w:pStyle w:val="TableParagraph"/>
              <w:ind w:left="21" w:right="12"/>
              <w:rPr>
                <w:sz w:val="21"/>
              </w:rPr>
            </w:pPr>
            <w:r>
              <w:rPr>
                <w:sz w:val="21"/>
              </w:rPr>
              <w:t>符合</w:t>
            </w:r>
          </w:p>
        </w:tc>
      </w:tr>
      <w:tr>
        <w:trPr>
          <w:trHeight w:val="2723" w:hRule="atLeast"/>
        </w:trPr>
        <w:tc>
          <w:tcPr>
            <w:tcW w:w="619"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0"/>
              <w:jc w:val="left"/>
              <w:rPr>
                <w:b/>
                <w:sz w:val="15"/>
              </w:rPr>
            </w:pPr>
          </w:p>
          <w:p>
            <w:pPr>
              <w:pStyle w:val="TableParagraph"/>
              <w:ind w:left="121" w:right="11"/>
              <w:rPr>
                <w:sz w:val="21"/>
              </w:rPr>
            </w:pPr>
            <w:r>
              <w:rPr>
                <w:sz w:val="21"/>
              </w:rPr>
              <w:t>13 </w:t>
            </w:r>
          </w:p>
        </w:tc>
        <w:tc>
          <w:tcPr>
            <w:tcW w:w="5156" w:type="dxa"/>
          </w:tcPr>
          <w:p>
            <w:pPr>
              <w:pStyle w:val="TableParagraph"/>
              <w:jc w:val="left"/>
              <w:rPr>
                <w:b/>
                <w:sz w:val="20"/>
              </w:rPr>
            </w:pPr>
          </w:p>
          <w:p>
            <w:pPr>
              <w:pStyle w:val="TableParagraph"/>
              <w:jc w:val="left"/>
              <w:rPr>
                <w:b/>
                <w:sz w:val="20"/>
              </w:rPr>
            </w:pPr>
          </w:p>
          <w:p>
            <w:pPr>
              <w:pStyle w:val="TableParagraph"/>
              <w:spacing w:before="9"/>
              <w:jc w:val="left"/>
              <w:rPr>
                <w:b/>
                <w:sz w:val="23"/>
              </w:rPr>
            </w:pPr>
          </w:p>
          <w:p>
            <w:pPr>
              <w:pStyle w:val="TableParagraph"/>
              <w:spacing w:line="242" w:lineRule="auto" w:before="1"/>
              <w:ind w:left="33" w:right="-58"/>
              <w:jc w:val="left"/>
              <w:rPr>
                <w:sz w:val="21"/>
              </w:rPr>
            </w:pPr>
            <w:r>
              <w:rPr>
                <w:spacing w:val="-10"/>
                <w:sz w:val="21"/>
              </w:rPr>
              <w:t>禁止在合规园区外新建、扩建钢铁、石化、化工、焦化、</w:t>
            </w:r>
            <w:r>
              <w:rPr>
                <w:spacing w:val="-3"/>
                <w:sz w:val="21"/>
              </w:rPr>
              <w:t>建材、有色、侧浆造纸等高污染项目</w:t>
            </w:r>
            <w:r>
              <w:rPr>
                <w:w w:val="185"/>
                <w:sz w:val="21"/>
              </w:rPr>
              <w:t>。</w:t>
            </w:r>
            <w:r>
              <w:rPr>
                <w:spacing w:val="-17"/>
                <w:sz w:val="21"/>
              </w:rPr>
              <w:t>高污染项目清单</w:t>
            </w:r>
            <w:r>
              <w:rPr>
                <w:spacing w:val="-7"/>
                <w:sz w:val="21"/>
              </w:rPr>
              <w:t>参照生态环境部《环境保护综合</w:t>
            </w:r>
            <w:r>
              <w:rPr>
                <w:sz w:val="21"/>
              </w:rPr>
              <w:t>|</w:t>
            </w:r>
            <w:r>
              <w:rPr>
                <w:spacing w:val="-7"/>
                <w:sz w:val="21"/>
              </w:rPr>
              <w:t>目录》中的高污染产品</w:t>
            </w:r>
            <w:r>
              <w:rPr>
                <w:spacing w:val="-6"/>
                <w:sz w:val="21"/>
              </w:rPr>
              <w:t>目录执</w:t>
            </w:r>
            <w:r>
              <w:rPr>
                <w:spacing w:val="-2"/>
                <w:w w:val="120"/>
                <w:sz w:val="21"/>
              </w:rPr>
              <w:t>行。</w:t>
            </w:r>
            <w:r>
              <w:rPr>
                <w:w w:val="100"/>
                <w:sz w:val="21"/>
              </w:rPr>
              <w:t> </w:t>
            </w:r>
          </w:p>
        </w:tc>
        <w:tc>
          <w:tcPr>
            <w:tcW w:w="2849" w:type="dxa"/>
          </w:tcPr>
          <w:p>
            <w:pPr>
              <w:pStyle w:val="TableParagraph"/>
              <w:spacing w:line="242" w:lineRule="auto" w:before="1"/>
              <w:ind w:left="33" w:right="18" w:hanging="3"/>
              <w:rPr>
                <w:sz w:val="21"/>
              </w:rPr>
            </w:pPr>
            <w:r>
              <w:rPr>
                <w:spacing w:val="-3"/>
                <w:sz w:val="21"/>
              </w:rPr>
              <w:t>本项目属于新建项目，位于杭州湾上虞经济技术开发区，根</w:t>
            </w:r>
            <w:r>
              <w:rPr>
                <w:spacing w:val="-17"/>
                <w:sz w:val="21"/>
              </w:rPr>
              <w:t>据《〈长江经济带发展负面清单</w:t>
            </w:r>
            <w:r>
              <w:rPr>
                <w:spacing w:val="-40"/>
                <w:sz w:val="21"/>
              </w:rPr>
              <w:t>指南</w:t>
            </w:r>
            <w:r>
              <w:rPr>
                <w:spacing w:val="-3"/>
                <w:sz w:val="21"/>
              </w:rPr>
              <w:t>（</w:t>
            </w:r>
            <w:r>
              <w:rPr>
                <w:spacing w:val="-2"/>
                <w:sz w:val="21"/>
              </w:rPr>
              <w:t>试行</w:t>
            </w:r>
            <w:r>
              <w:rPr>
                <w:spacing w:val="-106"/>
                <w:sz w:val="21"/>
              </w:rPr>
              <w:t>）</w:t>
            </w:r>
            <w:r>
              <w:rPr>
                <w:spacing w:val="-14"/>
                <w:sz w:val="21"/>
              </w:rPr>
              <w:t>〉浙江省实施细则</w:t>
            </w:r>
            <w:r>
              <w:rPr>
                <w:spacing w:val="-7"/>
                <w:sz w:val="21"/>
              </w:rPr>
              <w:t>附件杭州湾上虞经济技术开发</w:t>
            </w:r>
            <w:r>
              <w:rPr>
                <w:spacing w:val="-5"/>
                <w:sz w:val="21"/>
              </w:rPr>
              <w:t>区属于国务院批准设立的开发</w:t>
            </w:r>
            <w:r>
              <w:rPr>
                <w:spacing w:val="-4"/>
                <w:sz w:val="21"/>
              </w:rPr>
              <w:t>区，故属于合规园区，且项目</w:t>
            </w:r>
            <w:r>
              <w:rPr>
                <w:spacing w:val="-19"/>
                <w:sz w:val="21"/>
              </w:rPr>
              <w:t>对照《环境保护综合目录</w:t>
            </w:r>
            <w:r>
              <w:rPr>
                <w:spacing w:val="-4"/>
                <w:sz w:val="21"/>
              </w:rPr>
              <w:t>（2021 </w:t>
            </w:r>
            <w:r>
              <w:rPr>
                <w:sz w:val="21"/>
              </w:rPr>
              <w:t>年版</w:t>
            </w:r>
            <w:r>
              <w:rPr>
                <w:spacing w:val="-106"/>
                <w:sz w:val="21"/>
              </w:rPr>
              <w:t>）</w:t>
            </w:r>
            <w:r>
              <w:rPr>
                <w:spacing w:val="-13"/>
                <w:sz w:val="21"/>
              </w:rPr>
              <w:t>》，本项目不属于“高污</w:t>
            </w:r>
          </w:p>
          <w:p>
            <w:pPr>
              <w:pStyle w:val="TableParagraph"/>
              <w:spacing w:line="252" w:lineRule="exact" w:before="4"/>
              <w:ind w:left="145" w:right="29"/>
              <w:rPr>
                <w:sz w:val="21"/>
              </w:rPr>
            </w:pPr>
            <w:r>
              <w:rPr>
                <w:spacing w:val="-6"/>
                <w:w w:val="105"/>
                <w:sz w:val="21"/>
              </w:rPr>
              <w:t>染、高环境风险”型项目。</w:t>
            </w:r>
            <w:r>
              <w:rPr>
                <w:w w:val="100"/>
                <w:sz w:val="21"/>
              </w:rPr>
              <w:t> </w:t>
            </w:r>
          </w:p>
        </w:tc>
        <w:tc>
          <w:tcPr>
            <w:tcW w:w="506" w:type="dxa"/>
          </w:tcPr>
          <w:p>
            <w:pPr>
              <w:pStyle w:val="TableParagraph"/>
              <w:jc w:val="left"/>
              <w:rPr>
                <w:b/>
                <w:sz w:val="20"/>
              </w:rPr>
            </w:pPr>
          </w:p>
          <w:p>
            <w:pPr>
              <w:pStyle w:val="TableParagraph"/>
              <w:jc w:val="left"/>
              <w:rPr>
                <w:b/>
                <w:sz w:val="20"/>
              </w:rPr>
            </w:pPr>
          </w:p>
          <w:p>
            <w:pPr>
              <w:pStyle w:val="TableParagraph"/>
              <w:spacing w:before="9"/>
              <w:jc w:val="left"/>
              <w:rPr>
                <w:b/>
                <w:sz w:val="23"/>
              </w:rPr>
            </w:pPr>
          </w:p>
          <w:p>
            <w:pPr>
              <w:pStyle w:val="TableParagraph"/>
              <w:spacing w:before="1"/>
              <w:ind w:left="-137"/>
              <w:jc w:val="left"/>
              <w:rPr>
                <w:sz w:val="21"/>
              </w:rPr>
            </w:pPr>
            <w:r>
              <w:rPr>
                <w:w w:val="100"/>
                <w:sz w:val="21"/>
              </w:rPr>
              <w:t>》</w:t>
            </w:r>
          </w:p>
          <w:p>
            <w:pPr>
              <w:pStyle w:val="TableParagraph"/>
              <w:spacing w:before="141"/>
              <w:ind w:left="41"/>
              <w:jc w:val="left"/>
              <w:rPr>
                <w:sz w:val="21"/>
              </w:rPr>
            </w:pPr>
            <w:r>
              <w:rPr>
                <w:sz w:val="21"/>
              </w:rPr>
              <w:t>符合</w:t>
            </w:r>
          </w:p>
        </w:tc>
      </w:tr>
      <w:tr>
        <w:trPr>
          <w:trHeight w:val="544" w:hRule="atLeast"/>
        </w:trPr>
        <w:tc>
          <w:tcPr>
            <w:tcW w:w="619" w:type="dxa"/>
          </w:tcPr>
          <w:p>
            <w:pPr>
              <w:pStyle w:val="TableParagraph"/>
              <w:spacing w:before="138"/>
              <w:ind w:left="121" w:right="11"/>
              <w:rPr>
                <w:sz w:val="21"/>
              </w:rPr>
            </w:pPr>
            <w:r>
              <w:rPr>
                <w:sz w:val="21"/>
              </w:rPr>
              <w:t>14 </w:t>
            </w:r>
          </w:p>
        </w:tc>
        <w:tc>
          <w:tcPr>
            <w:tcW w:w="5156" w:type="dxa"/>
          </w:tcPr>
          <w:p>
            <w:pPr>
              <w:pStyle w:val="TableParagraph"/>
              <w:spacing w:before="1"/>
              <w:ind w:left="33"/>
              <w:jc w:val="left"/>
              <w:rPr>
                <w:sz w:val="21"/>
              </w:rPr>
            </w:pPr>
            <w:r>
              <w:rPr>
                <w:sz w:val="21"/>
              </w:rPr>
              <w:t>禁止新建、扩建不符合国家石化、现代煤化工等产业布</w:t>
            </w:r>
          </w:p>
          <w:p>
            <w:pPr>
              <w:pStyle w:val="TableParagraph"/>
              <w:spacing w:line="252" w:lineRule="exact" w:before="2"/>
              <w:ind w:left="33"/>
              <w:jc w:val="left"/>
              <w:rPr>
                <w:sz w:val="21"/>
              </w:rPr>
            </w:pPr>
            <w:r>
              <w:rPr>
                <w:w w:val="115"/>
                <w:sz w:val="21"/>
              </w:rPr>
              <w:t>局规划的项目。</w:t>
            </w:r>
            <w:r>
              <w:rPr>
                <w:w w:val="100"/>
                <w:sz w:val="21"/>
              </w:rPr>
              <w:t> </w:t>
            </w:r>
          </w:p>
        </w:tc>
        <w:tc>
          <w:tcPr>
            <w:tcW w:w="2849" w:type="dxa"/>
          </w:tcPr>
          <w:p>
            <w:pPr>
              <w:pStyle w:val="TableParagraph"/>
              <w:spacing w:before="1"/>
              <w:ind w:left="39" w:right="29"/>
              <w:rPr>
                <w:sz w:val="21"/>
              </w:rPr>
            </w:pPr>
            <w:r>
              <w:rPr>
                <w:sz w:val="21"/>
              </w:rPr>
              <w:t>本项目不属于石化、现代煤化</w:t>
            </w:r>
          </w:p>
          <w:p>
            <w:pPr>
              <w:pStyle w:val="TableParagraph"/>
              <w:spacing w:line="252" w:lineRule="exact" w:before="2"/>
              <w:ind w:left="142" w:right="29"/>
              <w:rPr>
                <w:sz w:val="21"/>
              </w:rPr>
            </w:pPr>
            <w:r>
              <w:rPr>
                <w:sz w:val="21"/>
              </w:rPr>
              <w:t>工 </w:t>
            </w:r>
          </w:p>
        </w:tc>
        <w:tc>
          <w:tcPr>
            <w:tcW w:w="506" w:type="dxa"/>
          </w:tcPr>
          <w:p>
            <w:pPr>
              <w:pStyle w:val="TableParagraph"/>
              <w:spacing w:before="138"/>
              <w:ind w:left="21" w:right="12"/>
              <w:rPr>
                <w:sz w:val="21"/>
              </w:rPr>
            </w:pPr>
            <w:r>
              <w:rPr>
                <w:sz w:val="21"/>
              </w:rPr>
              <w:t>符合</w:t>
            </w:r>
          </w:p>
        </w:tc>
      </w:tr>
      <w:tr>
        <w:trPr>
          <w:trHeight w:val="1905" w:hRule="atLeast"/>
        </w:trPr>
        <w:tc>
          <w:tcPr>
            <w:tcW w:w="619" w:type="dxa"/>
          </w:tcPr>
          <w:p>
            <w:pPr>
              <w:pStyle w:val="TableParagraph"/>
              <w:jc w:val="left"/>
              <w:rPr>
                <w:b/>
                <w:sz w:val="20"/>
              </w:rPr>
            </w:pPr>
          </w:p>
          <w:p>
            <w:pPr>
              <w:pStyle w:val="TableParagraph"/>
              <w:jc w:val="left"/>
              <w:rPr>
                <w:b/>
                <w:sz w:val="20"/>
              </w:rPr>
            </w:pPr>
          </w:p>
          <w:p>
            <w:pPr>
              <w:pStyle w:val="TableParagraph"/>
              <w:spacing w:before="9"/>
              <w:jc w:val="left"/>
              <w:rPr>
                <w:b/>
                <w:sz w:val="23"/>
              </w:rPr>
            </w:pPr>
          </w:p>
          <w:p>
            <w:pPr>
              <w:pStyle w:val="TableParagraph"/>
              <w:spacing w:before="1"/>
              <w:ind w:left="121" w:right="11"/>
              <w:rPr>
                <w:sz w:val="21"/>
              </w:rPr>
            </w:pPr>
            <w:r>
              <w:rPr>
                <w:sz w:val="21"/>
              </w:rPr>
              <w:t>15 </w:t>
            </w:r>
          </w:p>
        </w:tc>
        <w:tc>
          <w:tcPr>
            <w:tcW w:w="5156" w:type="dxa"/>
          </w:tcPr>
          <w:p>
            <w:pPr>
              <w:pStyle w:val="TableParagraph"/>
              <w:spacing w:line="242" w:lineRule="auto" w:before="137"/>
              <w:ind w:left="33" w:right="19"/>
              <w:jc w:val="both"/>
              <w:rPr>
                <w:sz w:val="21"/>
              </w:rPr>
            </w:pPr>
            <w:r>
              <w:rPr>
                <w:spacing w:val="-3"/>
                <w:sz w:val="21"/>
              </w:rPr>
              <w:t>禁止新建、扩建法律法规和相关政策明令禁止的落后产能项目，对列入《产业结构调整指导目录》淘汰类中的落后生产工艺装备、落后产品投资项目，列入《外商投</w:t>
            </w:r>
            <w:r>
              <w:rPr>
                <w:spacing w:val="-6"/>
                <w:sz w:val="21"/>
              </w:rPr>
              <w:t>资准入特别管理措施</w:t>
            </w:r>
            <w:r>
              <w:rPr>
                <w:sz w:val="21"/>
              </w:rPr>
              <w:t>（</w:t>
            </w:r>
            <w:r>
              <w:rPr>
                <w:spacing w:val="-7"/>
                <w:sz w:val="21"/>
              </w:rPr>
              <w:t>负面清单)》的外商投资项目，一</w:t>
            </w:r>
            <w:r>
              <w:rPr>
                <w:spacing w:val="-5"/>
                <w:sz w:val="21"/>
              </w:rPr>
              <w:t>律不得核准、备</w:t>
            </w:r>
            <w:r>
              <w:rPr>
                <w:spacing w:val="-2"/>
                <w:w w:val="120"/>
                <w:sz w:val="21"/>
              </w:rPr>
              <w:t>案。</w:t>
            </w:r>
            <w:r>
              <w:rPr>
                <w:spacing w:val="-10"/>
                <w:sz w:val="21"/>
              </w:rPr>
              <w:t>禁止向落后产能项目和严重过剩产</w:t>
            </w:r>
            <w:r>
              <w:rPr>
                <w:spacing w:val="-3"/>
                <w:sz w:val="21"/>
              </w:rPr>
              <w:t>能行业项目供应土地</w:t>
            </w:r>
            <w:r>
              <w:rPr>
                <w:spacing w:val="-3"/>
                <w:w w:val="185"/>
                <w:sz w:val="21"/>
              </w:rPr>
              <w:t>。</w:t>
            </w:r>
            <w:r>
              <w:rPr>
                <w:w w:val="100"/>
                <w:sz w:val="21"/>
              </w:rPr>
              <w:t> </w:t>
            </w:r>
          </w:p>
        </w:tc>
        <w:tc>
          <w:tcPr>
            <w:tcW w:w="2849" w:type="dxa"/>
          </w:tcPr>
          <w:p>
            <w:pPr>
              <w:pStyle w:val="TableParagraph"/>
              <w:spacing w:before="1"/>
              <w:ind w:left="57"/>
              <w:jc w:val="left"/>
              <w:rPr>
                <w:sz w:val="21"/>
              </w:rPr>
            </w:pPr>
            <w:r>
              <w:rPr>
                <w:sz w:val="21"/>
              </w:rPr>
              <w:t>对照《产业结构调整指导目录</w:t>
            </w:r>
          </w:p>
          <w:p>
            <w:pPr>
              <w:pStyle w:val="TableParagraph"/>
              <w:spacing w:before="4"/>
              <w:ind w:left="57"/>
              <w:jc w:val="left"/>
              <w:rPr>
                <w:sz w:val="21"/>
              </w:rPr>
            </w:pPr>
            <w:r>
              <w:rPr>
                <w:sz w:val="21"/>
              </w:rPr>
              <w:t>(2019</w:t>
            </w:r>
            <w:r>
              <w:rPr>
                <w:spacing w:val="-34"/>
                <w:sz w:val="21"/>
              </w:rPr>
              <w:t> 年本)》</w:t>
            </w:r>
            <w:r>
              <w:rPr>
                <w:sz w:val="21"/>
              </w:rPr>
              <w:t>（2021</w:t>
            </w:r>
            <w:r>
              <w:rPr>
                <w:spacing w:val="-15"/>
                <w:sz w:val="21"/>
              </w:rPr>
              <w:t> 年修订</w:t>
            </w:r>
            <w:r>
              <w:rPr>
                <w:spacing w:val="-106"/>
                <w:sz w:val="21"/>
              </w:rPr>
              <w:t>）</w:t>
            </w:r>
          </w:p>
          <w:p>
            <w:pPr>
              <w:pStyle w:val="TableParagraph"/>
              <w:spacing w:before="2"/>
              <w:ind w:left="57"/>
              <w:jc w:val="left"/>
              <w:rPr>
                <w:sz w:val="21"/>
              </w:rPr>
            </w:pPr>
            <w:r>
              <w:rPr>
                <w:spacing w:val="-3"/>
                <w:sz w:val="21"/>
              </w:rPr>
              <w:t>《外商投资准入特别管理措施</w:t>
            </w:r>
          </w:p>
          <w:p>
            <w:pPr>
              <w:pStyle w:val="TableParagraph"/>
              <w:spacing w:line="242" w:lineRule="auto" w:before="3"/>
              <w:ind w:left="57" w:right="19" w:hanging="24"/>
              <w:jc w:val="both"/>
              <w:rPr>
                <w:sz w:val="21"/>
              </w:rPr>
            </w:pPr>
            <w:r>
              <w:rPr>
                <w:sz w:val="21"/>
              </w:rPr>
              <w:t>（</w:t>
            </w:r>
            <w:r>
              <w:rPr>
                <w:spacing w:val="-10"/>
                <w:sz w:val="21"/>
              </w:rPr>
              <w:t>负面清单)》本项目不属于明</w:t>
            </w:r>
            <w:r>
              <w:rPr>
                <w:spacing w:val="-3"/>
                <w:sz w:val="21"/>
              </w:rPr>
              <w:t>令禁止的落后产能项目、严重过剩产能行业的项目</w:t>
            </w:r>
            <w:r>
              <w:rPr>
                <w:spacing w:val="-2"/>
                <w:w w:val="115"/>
                <w:sz w:val="21"/>
              </w:rPr>
              <w:t>。本</w:t>
            </w:r>
            <w:r>
              <w:rPr>
                <w:spacing w:val="-65"/>
                <w:sz w:val="21"/>
              </w:rPr>
              <w:t>项目</w:t>
            </w:r>
          </w:p>
          <w:p>
            <w:pPr>
              <w:pStyle w:val="TableParagraph"/>
              <w:spacing w:line="250" w:lineRule="exact" w:before="3"/>
              <w:ind w:left="897"/>
              <w:jc w:val="left"/>
              <w:rPr>
                <w:sz w:val="21"/>
              </w:rPr>
            </w:pPr>
            <w:r>
              <w:rPr>
                <w:w w:val="115"/>
                <w:sz w:val="21"/>
              </w:rPr>
              <w:t>耗能不高。</w:t>
            </w:r>
            <w:r>
              <w:rPr>
                <w:w w:val="100"/>
                <w:sz w:val="21"/>
              </w:rPr>
              <w:t> </w:t>
            </w:r>
          </w:p>
        </w:tc>
        <w:tc>
          <w:tcPr>
            <w:tcW w:w="506" w:type="dxa"/>
          </w:tcPr>
          <w:p>
            <w:pPr>
              <w:pStyle w:val="TableParagraph"/>
              <w:spacing w:before="5"/>
              <w:jc w:val="left"/>
              <w:rPr>
                <w:b/>
                <w:sz w:val="21"/>
              </w:rPr>
            </w:pPr>
          </w:p>
          <w:p>
            <w:pPr>
              <w:pStyle w:val="TableParagraph"/>
              <w:ind w:left="-164"/>
              <w:jc w:val="left"/>
              <w:rPr>
                <w:sz w:val="21"/>
              </w:rPr>
            </w:pPr>
            <w:r>
              <w:rPr>
                <w:w w:val="100"/>
                <w:sz w:val="21"/>
              </w:rPr>
              <w:t>、</w:t>
            </w:r>
          </w:p>
          <w:p>
            <w:pPr>
              <w:pStyle w:val="TableParagraph"/>
              <w:spacing w:before="4"/>
              <w:jc w:val="left"/>
              <w:rPr>
                <w:b/>
                <w:sz w:val="21"/>
              </w:rPr>
            </w:pPr>
          </w:p>
          <w:p>
            <w:pPr>
              <w:pStyle w:val="TableParagraph"/>
              <w:spacing w:before="1"/>
              <w:ind w:left="41"/>
              <w:jc w:val="left"/>
              <w:rPr>
                <w:sz w:val="21"/>
              </w:rPr>
            </w:pPr>
            <w:r>
              <w:rPr>
                <w:sz w:val="21"/>
              </w:rPr>
              <w:t>符合</w:t>
            </w:r>
          </w:p>
        </w:tc>
      </w:tr>
      <w:tr>
        <w:trPr>
          <w:trHeight w:val="817" w:hRule="atLeast"/>
        </w:trPr>
        <w:tc>
          <w:tcPr>
            <w:tcW w:w="619" w:type="dxa"/>
          </w:tcPr>
          <w:p>
            <w:pPr>
              <w:pStyle w:val="TableParagraph"/>
              <w:spacing w:before="5"/>
              <w:jc w:val="left"/>
              <w:rPr>
                <w:b/>
                <w:sz w:val="21"/>
              </w:rPr>
            </w:pPr>
          </w:p>
          <w:p>
            <w:pPr>
              <w:pStyle w:val="TableParagraph"/>
              <w:ind w:left="121" w:right="11"/>
              <w:rPr>
                <w:sz w:val="21"/>
              </w:rPr>
            </w:pPr>
            <w:r>
              <w:rPr>
                <w:sz w:val="21"/>
              </w:rPr>
              <w:t>16 </w:t>
            </w:r>
          </w:p>
        </w:tc>
        <w:tc>
          <w:tcPr>
            <w:tcW w:w="5156" w:type="dxa"/>
          </w:tcPr>
          <w:p>
            <w:pPr>
              <w:pStyle w:val="TableParagraph"/>
              <w:spacing w:line="242" w:lineRule="auto" w:before="3"/>
              <w:ind w:left="33" w:right="16"/>
              <w:jc w:val="left"/>
              <w:rPr>
                <w:sz w:val="21"/>
              </w:rPr>
            </w:pPr>
            <w:r>
              <w:rPr>
                <w:spacing w:val="-3"/>
                <w:sz w:val="21"/>
              </w:rPr>
              <w:t>禁止新建、扩建不符合国家产能置换要求的严重过剩产能行业的项目</w:t>
            </w:r>
            <w:r>
              <w:rPr>
                <w:spacing w:val="-22"/>
                <w:w w:val="185"/>
                <w:sz w:val="21"/>
              </w:rPr>
              <w:t>。</w:t>
            </w:r>
            <w:r>
              <w:rPr>
                <w:spacing w:val="-7"/>
                <w:sz w:val="21"/>
              </w:rPr>
              <w:t>部门、机构禁止办理相关的土地</w:t>
            </w:r>
            <w:r>
              <w:rPr>
                <w:spacing w:val="-3"/>
                <w:sz w:val="21"/>
              </w:rPr>
              <w:t>（</w:t>
            </w:r>
            <w:r>
              <w:rPr>
                <w:spacing w:val="-67"/>
                <w:sz w:val="21"/>
              </w:rPr>
              <w:t>海域)</w:t>
            </w:r>
          </w:p>
          <w:p>
            <w:pPr>
              <w:pStyle w:val="TableParagraph"/>
              <w:spacing w:line="250" w:lineRule="exact" w:before="1"/>
              <w:ind w:left="33"/>
              <w:jc w:val="left"/>
              <w:rPr>
                <w:sz w:val="21"/>
              </w:rPr>
            </w:pPr>
            <w:r>
              <w:rPr>
                <w:w w:val="105"/>
                <w:sz w:val="21"/>
              </w:rPr>
              <w:t>供应、能评、环评审批和新增授信支持等业务</w:t>
            </w:r>
            <w:r>
              <w:rPr>
                <w:w w:val="185"/>
                <w:sz w:val="21"/>
              </w:rPr>
              <w:t>。</w:t>
            </w:r>
            <w:r>
              <w:rPr>
                <w:w w:val="100"/>
                <w:sz w:val="21"/>
              </w:rPr>
              <w:t> </w:t>
            </w:r>
          </w:p>
        </w:tc>
        <w:tc>
          <w:tcPr>
            <w:tcW w:w="2849" w:type="dxa"/>
          </w:tcPr>
          <w:p>
            <w:pPr>
              <w:pStyle w:val="TableParagraph"/>
              <w:spacing w:line="244" w:lineRule="auto" w:before="137"/>
              <w:ind w:left="1003" w:right="45" w:hanging="946"/>
              <w:jc w:val="left"/>
              <w:rPr>
                <w:sz w:val="21"/>
              </w:rPr>
            </w:pPr>
            <w:r>
              <w:rPr>
                <w:sz w:val="21"/>
              </w:rPr>
              <w:t>本项目不属于严重过剩产能行业的项目 </w:t>
            </w:r>
          </w:p>
        </w:tc>
        <w:tc>
          <w:tcPr>
            <w:tcW w:w="506" w:type="dxa"/>
          </w:tcPr>
          <w:p>
            <w:pPr>
              <w:pStyle w:val="TableParagraph"/>
              <w:spacing w:before="5"/>
              <w:jc w:val="left"/>
              <w:rPr>
                <w:b/>
                <w:sz w:val="21"/>
              </w:rPr>
            </w:pPr>
          </w:p>
          <w:p>
            <w:pPr>
              <w:pStyle w:val="TableParagraph"/>
              <w:ind w:left="21" w:right="12"/>
              <w:rPr>
                <w:sz w:val="21"/>
              </w:rPr>
            </w:pPr>
            <w:r>
              <w:rPr>
                <w:sz w:val="21"/>
              </w:rPr>
              <w:t>符合</w:t>
            </w:r>
          </w:p>
        </w:tc>
      </w:tr>
      <w:tr>
        <w:trPr>
          <w:trHeight w:val="818" w:hRule="atLeast"/>
        </w:trPr>
        <w:tc>
          <w:tcPr>
            <w:tcW w:w="619" w:type="dxa"/>
          </w:tcPr>
          <w:p>
            <w:pPr>
              <w:pStyle w:val="TableParagraph"/>
              <w:spacing w:before="5"/>
              <w:jc w:val="left"/>
              <w:rPr>
                <w:b/>
                <w:sz w:val="21"/>
              </w:rPr>
            </w:pPr>
          </w:p>
          <w:p>
            <w:pPr>
              <w:pStyle w:val="TableParagraph"/>
              <w:ind w:left="121" w:right="11"/>
              <w:rPr>
                <w:sz w:val="21"/>
              </w:rPr>
            </w:pPr>
            <w:r>
              <w:rPr>
                <w:sz w:val="21"/>
              </w:rPr>
              <w:t>17 </w:t>
            </w:r>
          </w:p>
        </w:tc>
        <w:tc>
          <w:tcPr>
            <w:tcW w:w="5156" w:type="dxa"/>
          </w:tcPr>
          <w:p>
            <w:pPr>
              <w:pStyle w:val="TableParagraph"/>
              <w:spacing w:before="5"/>
              <w:jc w:val="left"/>
              <w:rPr>
                <w:b/>
                <w:sz w:val="21"/>
              </w:rPr>
            </w:pPr>
          </w:p>
          <w:p>
            <w:pPr>
              <w:pStyle w:val="TableParagraph"/>
              <w:ind w:left="33"/>
              <w:jc w:val="left"/>
              <w:rPr>
                <w:sz w:val="21"/>
              </w:rPr>
            </w:pPr>
            <w:r>
              <w:rPr>
                <w:w w:val="105"/>
                <w:sz w:val="21"/>
              </w:rPr>
              <w:t>禁止新建、扩建不符合要求的高耗能高排放项</w:t>
            </w:r>
            <w:r>
              <w:rPr>
                <w:w w:val="115"/>
                <w:sz w:val="21"/>
              </w:rPr>
              <w:t>目。</w:t>
            </w:r>
            <w:r>
              <w:rPr>
                <w:w w:val="100"/>
                <w:sz w:val="21"/>
              </w:rPr>
              <w:t> </w:t>
            </w:r>
          </w:p>
        </w:tc>
        <w:tc>
          <w:tcPr>
            <w:tcW w:w="2849" w:type="dxa"/>
          </w:tcPr>
          <w:p>
            <w:pPr>
              <w:pStyle w:val="TableParagraph"/>
              <w:spacing w:before="1"/>
              <w:ind w:left="57"/>
              <w:jc w:val="left"/>
              <w:rPr>
                <w:sz w:val="21"/>
              </w:rPr>
            </w:pPr>
            <w:r>
              <w:rPr>
                <w:spacing w:val="-3"/>
                <w:sz w:val="21"/>
              </w:rPr>
              <w:t>本项目通过节能分析，单位工</w:t>
            </w:r>
          </w:p>
          <w:p>
            <w:pPr>
              <w:pStyle w:val="TableParagraph"/>
              <w:spacing w:line="270" w:lineRule="atLeast" w:before="3"/>
              <w:ind w:left="57" w:right="-58"/>
              <w:jc w:val="left"/>
              <w:rPr>
                <w:sz w:val="21"/>
              </w:rPr>
            </w:pPr>
            <w:r>
              <w:rPr>
                <w:spacing w:val="-3"/>
                <w:sz w:val="21"/>
              </w:rPr>
              <w:t>业增加值能耗低于浙江省万元工业增加值综合能耗控制目标</w:t>
            </w:r>
            <w:r>
              <w:rPr>
                <w:sz w:val="21"/>
              </w:rPr>
              <w:t> </w:t>
            </w:r>
          </w:p>
        </w:tc>
        <w:tc>
          <w:tcPr>
            <w:tcW w:w="506" w:type="dxa"/>
          </w:tcPr>
          <w:p>
            <w:pPr>
              <w:pStyle w:val="TableParagraph"/>
              <w:spacing w:before="5"/>
              <w:jc w:val="left"/>
              <w:rPr>
                <w:b/>
                <w:sz w:val="21"/>
              </w:rPr>
            </w:pPr>
          </w:p>
          <w:p>
            <w:pPr>
              <w:pStyle w:val="TableParagraph"/>
              <w:ind w:left="21" w:right="12"/>
              <w:rPr>
                <w:sz w:val="21"/>
              </w:rPr>
            </w:pPr>
            <w:r>
              <w:rPr>
                <w:sz w:val="21"/>
              </w:rPr>
              <w:t>符合</w:t>
            </w:r>
          </w:p>
        </w:tc>
      </w:tr>
      <w:tr>
        <w:trPr>
          <w:trHeight w:val="545" w:hRule="atLeast"/>
        </w:trPr>
        <w:tc>
          <w:tcPr>
            <w:tcW w:w="619" w:type="dxa"/>
          </w:tcPr>
          <w:p>
            <w:pPr>
              <w:pStyle w:val="TableParagraph"/>
              <w:spacing w:before="136"/>
              <w:ind w:left="121" w:right="11"/>
              <w:rPr>
                <w:sz w:val="21"/>
              </w:rPr>
            </w:pPr>
            <w:r>
              <w:rPr>
                <w:sz w:val="21"/>
              </w:rPr>
              <w:t>18 </w:t>
            </w:r>
          </w:p>
        </w:tc>
        <w:tc>
          <w:tcPr>
            <w:tcW w:w="5156" w:type="dxa"/>
          </w:tcPr>
          <w:p>
            <w:pPr>
              <w:pStyle w:val="TableParagraph"/>
              <w:spacing w:before="1"/>
              <w:ind w:left="33"/>
              <w:jc w:val="left"/>
              <w:rPr>
                <w:sz w:val="21"/>
              </w:rPr>
            </w:pPr>
            <w:r>
              <w:rPr>
                <w:sz w:val="21"/>
              </w:rPr>
              <w:t>禁止在水库和河湖等水利工程管理范围内堆放物料，倾</w:t>
            </w:r>
          </w:p>
          <w:p>
            <w:pPr>
              <w:pStyle w:val="TableParagraph"/>
              <w:spacing w:line="252" w:lineRule="exact" w:before="2"/>
              <w:ind w:left="33"/>
              <w:jc w:val="left"/>
              <w:rPr>
                <w:sz w:val="21"/>
              </w:rPr>
            </w:pPr>
            <w:r>
              <w:rPr>
                <w:w w:val="105"/>
                <w:sz w:val="21"/>
              </w:rPr>
              <w:t>倒土、石、矿渣、垃圾等物质。</w:t>
            </w:r>
            <w:r>
              <w:rPr>
                <w:w w:val="100"/>
                <w:sz w:val="21"/>
              </w:rPr>
              <w:t> </w:t>
            </w:r>
          </w:p>
        </w:tc>
        <w:tc>
          <w:tcPr>
            <w:tcW w:w="2849" w:type="dxa"/>
          </w:tcPr>
          <w:p>
            <w:pPr>
              <w:pStyle w:val="TableParagraph"/>
              <w:spacing w:before="136"/>
              <w:ind w:left="145" w:right="29"/>
              <w:rPr>
                <w:sz w:val="21"/>
              </w:rPr>
            </w:pPr>
            <w:r>
              <w:rPr>
                <w:sz w:val="21"/>
              </w:rPr>
              <w:t>本项目不在上述区域范围内 </w:t>
            </w:r>
          </w:p>
        </w:tc>
        <w:tc>
          <w:tcPr>
            <w:tcW w:w="506" w:type="dxa"/>
          </w:tcPr>
          <w:p>
            <w:pPr>
              <w:pStyle w:val="TableParagraph"/>
              <w:spacing w:before="136"/>
              <w:ind w:left="21" w:right="12"/>
              <w:rPr>
                <w:sz w:val="21"/>
              </w:rPr>
            </w:pPr>
            <w:r>
              <w:rPr>
                <w:sz w:val="21"/>
              </w:rPr>
              <w:t>符合</w:t>
            </w:r>
          </w:p>
        </w:tc>
      </w:tr>
      <w:tr>
        <w:trPr>
          <w:trHeight w:val="282" w:hRule="atLeast"/>
        </w:trPr>
        <w:tc>
          <w:tcPr>
            <w:tcW w:w="619" w:type="dxa"/>
          </w:tcPr>
          <w:p>
            <w:pPr>
              <w:pStyle w:val="TableParagraph"/>
              <w:spacing w:line="257" w:lineRule="exact" w:before="5"/>
              <w:ind w:left="121" w:right="11"/>
              <w:rPr>
                <w:sz w:val="21"/>
              </w:rPr>
            </w:pPr>
            <w:r>
              <w:rPr>
                <w:sz w:val="21"/>
              </w:rPr>
              <w:t>19 </w:t>
            </w:r>
          </w:p>
        </w:tc>
        <w:tc>
          <w:tcPr>
            <w:tcW w:w="5156" w:type="dxa"/>
          </w:tcPr>
          <w:p>
            <w:pPr>
              <w:pStyle w:val="TableParagraph"/>
              <w:spacing w:line="257" w:lineRule="exact" w:before="5"/>
              <w:ind w:left="33" w:right="-44"/>
              <w:jc w:val="left"/>
              <w:rPr>
                <w:sz w:val="21"/>
              </w:rPr>
            </w:pPr>
            <w:r>
              <w:rPr>
                <w:spacing w:val="-5"/>
                <w:sz w:val="21"/>
              </w:rPr>
              <w:t>法律法规及相关政策文件有更加严格规定的从其规定。</w:t>
            </w:r>
            <w:r>
              <w:rPr>
                <w:w w:val="100"/>
                <w:sz w:val="21"/>
              </w:rPr>
              <w:t> </w:t>
            </w:r>
          </w:p>
        </w:tc>
        <w:tc>
          <w:tcPr>
            <w:tcW w:w="2849" w:type="dxa"/>
          </w:tcPr>
          <w:p>
            <w:pPr>
              <w:pStyle w:val="TableParagraph"/>
              <w:spacing w:line="257" w:lineRule="exact" w:before="5"/>
              <w:ind w:left="142" w:right="29"/>
              <w:rPr>
                <w:sz w:val="21"/>
              </w:rPr>
            </w:pPr>
            <w:r>
              <w:rPr>
                <w:sz w:val="21"/>
              </w:rPr>
              <w:t>/ </w:t>
            </w:r>
          </w:p>
        </w:tc>
        <w:tc>
          <w:tcPr>
            <w:tcW w:w="506" w:type="dxa"/>
          </w:tcPr>
          <w:p>
            <w:pPr>
              <w:pStyle w:val="TableParagraph"/>
              <w:spacing w:line="257" w:lineRule="exact" w:before="5"/>
              <w:ind w:left="126" w:right="12"/>
              <w:rPr>
                <w:sz w:val="21"/>
              </w:rPr>
            </w:pPr>
            <w:r>
              <w:rPr>
                <w:sz w:val="21"/>
              </w:rPr>
              <w:t>/ </w:t>
            </w:r>
          </w:p>
        </w:tc>
      </w:tr>
    </w:tbl>
    <w:p>
      <w:pPr>
        <w:pStyle w:val="Heading4"/>
        <w:spacing w:line="364" w:lineRule="auto" w:before="122"/>
        <w:ind w:left="318" w:right="145" w:firstLine="482"/>
      </w:pPr>
      <w:r>
        <w:rPr/>
        <w:t>由上表可知，项目建设符合《长江经济带发展负面清单指南（试行，</w:t>
      </w:r>
      <w:r>
        <w:rPr>
          <w:rFonts w:ascii="Times New Roman" w:eastAsia="Times New Roman"/>
        </w:rPr>
        <w:t>2022 </w:t>
      </w:r>
      <w:r>
        <w:rPr/>
        <w:t>年版）》要求。</w:t>
      </w:r>
    </w:p>
    <w:p>
      <w:pPr>
        <w:pStyle w:val="ListParagraph"/>
        <w:numPr>
          <w:ilvl w:val="2"/>
          <w:numId w:val="23"/>
        </w:numPr>
        <w:tabs>
          <w:tab w:pos="920" w:val="left" w:leader="none"/>
        </w:tabs>
        <w:spacing w:line="306" w:lineRule="exact" w:before="0" w:after="0"/>
        <w:ind w:left="919" w:right="0" w:hanging="602"/>
        <w:jc w:val="left"/>
        <w:rPr>
          <w:b/>
          <w:sz w:val="24"/>
        </w:rPr>
      </w:pPr>
      <w:r>
        <w:rPr>
          <w:b/>
          <w:sz w:val="24"/>
        </w:rPr>
        <w:t>《浙江省农药产业环境准入指导意见》（</w:t>
      </w:r>
      <w:r>
        <w:rPr>
          <w:b/>
          <w:spacing w:val="1"/>
          <w:sz w:val="24"/>
        </w:rPr>
        <w:t>浙环发</w:t>
      </w:r>
      <w:r>
        <w:rPr>
          <w:rFonts w:ascii="Times New Roman" w:eastAsia="Times New Roman"/>
          <w:b/>
          <w:sz w:val="24"/>
        </w:rPr>
        <w:t>[2016]12</w:t>
      </w:r>
      <w:r>
        <w:rPr>
          <w:rFonts w:ascii="Times New Roman" w:eastAsia="Times New Roman"/>
          <w:b/>
          <w:spacing w:val="-2"/>
          <w:sz w:val="24"/>
        </w:rPr>
        <w:t> </w:t>
      </w:r>
      <w:r>
        <w:rPr>
          <w:b/>
          <w:sz w:val="24"/>
        </w:rPr>
        <w:t>号）符合性分析</w:t>
      </w:r>
    </w:p>
    <w:p>
      <w:pPr>
        <w:spacing w:after="0" w:line="306" w:lineRule="exact"/>
        <w:jc w:val="left"/>
        <w:rPr>
          <w:sz w:val="24"/>
        </w:rPr>
        <w:sectPr>
          <w:pgSz w:w="11910" w:h="16840"/>
          <w:pgMar w:header="872" w:footer="873" w:top="1100" w:bottom="1060" w:left="1100" w:right="1100"/>
        </w:sectPr>
      </w:pPr>
    </w:p>
    <w:p>
      <w:pPr>
        <w:pStyle w:val="BodyText"/>
        <w:spacing w:before="10"/>
        <w:rPr>
          <w:b/>
          <w:sz w:val="17"/>
        </w:rPr>
      </w:pPr>
    </w:p>
    <w:p>
      <w:pPr>
        <w:pStyle w:val="BodyText"/>
        <w:spacing w:line="364" w:lineRule="auto" w:before="74"/>
        <w:ind w:left="318" w:right="204" w:firstLine="480"/>
      </w:pPr>
      <w:r>
        <w:rPr/>
        <w:t>为严格项目环境准入，促进产业结构优化升级，切实改善环境质量，</w:t>
      </w:r>
      <w:r>
        <w:rPr>
          <w:rFonts w:ascii="Times New Roman" w:eastAsia="Times New Roman"/>
        </w:rPr>
        <w:t>2016 </w:t>
      </w:r>
      <w:r>
        <w:rPr>
          <w:spacing w:val="-30"/>
        </w:rPr>
        <w:t>年 </w:t>
      </w:r>
      <w:r>
        <w:rPr>
          <w:rFonts w:ascii="Times New Roman" w:eastAsia="Times New Roman"/>
        </w:rPr>
        <w:t>4 </w:t>
      </w:r>
      <w:r>
        <w:rPr>
          <w:spacing w:val="-8"/>
        </w:rPr>
        <w:t>月， </w:t>
      </w:r>
      <w:r>
        <w:rPr>
          <w:spacing w:val="-2"/>
        </w:rPr>
        <w:t>浙江省环保厅发布了《浙江省农药产业环境准入指导意见</w:t>
      </w:r>
      <w:r>
        <w:rPr>
          <w:spacing w:val="-130"/>
        </w:rPr>
        <w:t>》</w:t>
      </w:r>
      <w:r>
        <w:rPr/>
        <w:t>（浙环发</w:t>
      </w:r>
      <w:r>
        <w:rPr>
          <w:rFonts w:ascii="Times New Roman" w:eastAsia="Times New Roman"/>
        </w:rPr>
        <w:t>[201</w:t>
      </w:r>
      <w:r>
        <w:rPr>
          <w:rFonts w:ascii="Times New Roman" w:eastAsia="Times New Roman"/>
          <w:spacing w:val="-1"/>
        </w:rPr>
        <w:t>6</w:t>
      </w:r>
      <w:r>
        <w:rPr>
          <w:rFonts w:ascii="Times New Roman" w:eastAsia="Times New Roman"/>
        </w:rPr>
        <w:t>]12 </w:t>
      </w:r>
      <w:r>
        <w:rPr/>
        <w:t>号</w:t>
      </w:r>
      <w:r>
        <w:rPr>
          <w:spacing w:val="-120"/>
        </w:rPr>
        <w:t>）</w:t>
      </w:r>
      <w:r>
        <w:rPr>
          <w:spacing w:val="-4"/>
        </w:rPr>
        <w:t>，对照</w:t>
      </w:r>
    </w:p>
    <w:p>
      <w:pPr>
        <w:pStyle w:val="BodyText"/>
        <w:spacing w:line="307" w:lineRule="exact"/>
        <w:ind w:left="318"/>
      </w:pPr>
      <w:r>
        <w:rPr>
          <w:spacing w:val="-8"/>
        </w:rPr>
        <w:t>《浙江省农药产业环境准入指导意见》</w:t>
      </w:r>
      <w:r>
        <w:rPr/>
        <w:t>（试行</w:t>
      </w:r>
      <w:r>
        <w:rPr>
          <w:spacing w:val="-120"/>
        </w:rPr>
        <w:t>）</w:t>
      </w:r>
      <w:r>
        <w:rPr/>
        <w:t>，本项目技术装备符合情况见下表</w:t>
      </w:r>
      <w:r>
        <w:rPr>
          <w:w w:val="200"/>
        </w:rPr>
        <w:t>。</w:t>
      </w:r>
    </w:p>
    <w:p>
      <w:pPr>
        <w:pStyle w:val="BodyText"/>
        <w:spacing w:before="9"/>
        <w:rPr>
          <w:sz w:val="25"/>
        </w:rPr>
      </w:pPr>
    </w:p>
    <w:p>
      <w:pPr>
        <w:tabs>
          <w:tab w:pos="1163" w:val="left" w:leader="none"/>
        </w:tabs>
        <w:spacing w:before="1" w:after="37"/>
        <w:ind w:left="1" w:right="0" w:firstLine="0"/>
        <w:jc w:val="center"/>
        <w:rPr>
          <w:b/>
          <w:sz w:val="21"/>
        </w:rPr>
      </w:pPr>
      <w:r>
        <w:rPr>
          <w:b/>
          <w:sz w:val="21"/>
        </w:rPr>
        <w:t>表</w:t>
      </w:r>
      <w:r>
        <w:rPr>
          <w:b/>
          <w:spacing w:val="-48"/>
          <w:sz w:val="21"/>
        </w:rPr>
        <w:t> </w:t>
      </w:r>
      <w:r>
        <w:rPr>
          <w:rFonts w:ascii="Times New Roman" w:eastAsia="Times New Roman"/>
          <w:b/>
          <w:spacing w:val="-3"/>
          <w:sz w:val="21"/>
        </w:rPr>
        <w:t>11.3.6-1</w:t>
        <w:tab/>
      </w:r>
      <w:r>
        <w:rPr>
          <w:b/>
          <w:sz w:val="21"/>
        </w:rPr>
        <w:t>与浙环发</w:t>
      </w:r>
      <w:r>
        <w:rPr>
          <w:rFonts w:ascii="Times New Roman" w:eastAsia="Times New Roman"/>
          <w:b/>
          <w:sz w:val="21"/>
        </w:rPr>
        <w:t>[2016]12</w:t>
      </w:r>
      <w:r>
        <w:rPr>
          <w:rFonts w:ascii="Times New Roman" w:eastAsia="Times New Roman"/>
          <w:b/>
          <w:spacing w:val="-3"/>
          <w:sz w:val="21"/>
        </w:rPr>
        <w:t> </w:t>
      </w:r>
      <w:r>
        <w:rPr>
          <w:b/>
          <w:sz w:val="21"/>
        </w:rPr>
        <w:t>号文对比其装备技</w:t>
      </w:r>
      <w:r>
        <w:rPr>
          <w:b/>
          <w:spacing w:val="-3"/>
          <w:sz w:val="21"/>
        </w:rPr>
        <w:t>术</w:t>
      </w:r>
      <w:r>
        <w:rPr>
          <w:b/>
          <w:sz w:val="21"/>
        </w:rPr>
        <w:t>符合性分析</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9"/>
        <w:gridCol w:w="4332"/>
        <w:gridCol w:w="3300"/>
        <w:gridCol w:w="853"/>
      </w:tblGrid>
      <w:tr>
        <w:trPr>
          <w:trHeight w:val="285" w:hRule="atLeast"/>
        </w:trPr>
        <w:tc>
          <w:tcPr>
            <w:tcW w:w="799" w:type="dxa"/>
          </w:tcPr>
          <w:p>
            <w:pPr>
              <w:pStyle w:val="TableParagraph"/>
              <w:spacing w:line="229" w:lineRule="exact" w:before="36"/>
              <w:ind w:left="218"/>
              <w:jc w:val="left"/>
              <w:rPr>
                <w:b/>
                <w:sz w:val="18"/>
              </w:rPr>
            </w:pPr>
            <w:r>
              <w:rPr>
                <w:b/>
                <w:sz w:val="18"/>
              </w:rPr>
              <w:t>内容</w:t>
            </w:r>
          </w:p>
        </w:tc>
        <w:tc>
          <w:tcPr>
            <w:tcW w:w="4332" w:type="dxa"/>
          </w:tcPr>
          <w:p>
            <w:pPr>
              <w:pStyle w:val="TableParagraph"/>
              <w:spacing w:line="229" w:lineRule="exact" w:before="36"/>
              <w:ind w:left="1784" w:right="1775"/>
              <w:rPr>
                <w:b/>
                <w:sz w:val="18"/>
              </w:rPr>
            </w:pPr>
            <w:r>
              <w:rPr>
                <w:b/>
                <w:sz w:val="18"/>
              </w:rPr>
              <w:t>具体内容</w:t>
            </w:r>
          </w:p>
        </w:tc>
        <w:tc>
          <w:tcPr>
            <w:tcW w:w="3300" w:type="dxa"/>
          </w:tcPr>
          <w:p>
            <w:pPr>
              <w:pStyle w:val="TableParagraph"/>
              <w:spacing w:line="229" w:lineRule="exact" w:before="36"/>
              <w:ind w:left="1266" w:right="1260"/>
              <w:rPr>
                <w:b/>
                <w:sz w:val="18"/>
              </w:rPr>
            </w:pPr>
            <w:r>
              <w:rPr>
                <w:b/>
                <w:sz w:val="18"/>
              </w:rPr>
              <w:t>项目情况</w:t>
            </w:r>
          </w:p>
        </w:tc>
        <w:tc>
          <w:tcPr>
            <w:tcW w:w="853" w:type="dxa"/>
          </w:tcPr>
          <w:p>
            <w:pPr>
              <w:pStyle w:val="TableParagraph"/>
              <w:spacing w:line="229" w:lineRule="exact" w:before="36"/>
              <w:ind w:left="35" w:right="26"/>
              <w:rPr>
                <w:b/>
                <w:sz w:val="18"/>
              </w:rPr>
            </w:pPr>
            <w:r>
              <w:rPr>
                <w:b/>
                <w:sz w:val="18"/>
              </w:rPr>
              <w:t>符合性</w:t>
            </w:r>
          </w:p>
        </w:tc>
      </w:tr>
      <w:tr>
        <w:trPr>
          <w:trHeight w:val="1439" w:hRule="atLeast"/>
        </w:trPr>
        <w:tc>
          <w:tcPr>
            <w:tcW w:w="799" w:type="dxa"/>
          </w:tcPr>
          <w:p>
            <w:pPr>
              <w:pStyle w:val="TableParagraph"/>
              <w:jc w:val="left"/>
              <w:rPr>
                <w:b/>
                <w:sz w:val="18"/>
              </w:rPr>
            </w:pPr>
          </w:p>
          <w:p>
            <w:pPr>
              <w:pStyle w:val="TableParagraph"/>
              <w:spacing w:line="249" w:lineRule="auto" w:before="141"/>
              <w:ind w:left="107" w:right="74"/>
              <w:jc w:val="both"/>
              <w:rPr>
                <w:sz w:val="18"/>
              </w:rPr>
            </w:pPr>
            <w:r>
              <w:rPr>
                <w:sz w:val="18"/>
              </w:rPr>
              <w:t>选址原则与总体布局</w:t>
            </w:r>
          </w:p>
        </w:tc>
        <w:tc>
          <w:tcPr>
            <w:tcW w:w="4332" w:type="dxa"/>
          </w:tcPr>
          <w:p>
            <w:pPr>
              <w:pStyle w:val="TableParagraph"/>
              <w:spacing w:line="240" w:lineRule="atLeast" w:before="2"/>
              <w:ind w:left="107" w:right="7"/>
              <w:jc w:val="left"/>
              <w:rPr>
                <w:sz w:val="18"/>
              </w:rPr>
            </w:pPr>
            <w:r>
              <w:rPr>
                <w:spacing w:val="7"/>
                <w:sz w:val="18"/>
              </w:rPr>
              <w:t>新建、改扩建农药项目选址必须符合环境功能区规</w:t>
            </w:r>
            <w:r>
              <w:rPr>
                <w:spacing w:val="-11"/>
                <w:sz w:val="18"/>
              </w:rPr>
              <w:t>划、主体功能区规划、土地利用总体规划和城乡规划</w:t>
            </w:r>
            <w:r>
              <w:rPr>
                <w:spacing w:val="-110"/>
                <w:sz w:val="18"/>
              </w:rPr>
              <w:t>。</w:t>
            </w:r>
            <w:r>
              <w:rPr>
                <w:spacing w:val="-5"/>
                <w:sz w:val="18"/>
              </w:rPr>
              <w:t>新建、改扩建农药项目必须建在依法合规设立、环保</w:t>
            </w:r>
            <w:r>
              <w:rPr>
                <w:spacing w:val="-7"/>
                <w:sz w:val="18"/>
              </w:rPr>
              <w:t>设施齐全的产业园区，并符合园区发展规划及规划环</w:t>
            </w:r>
            <w:r>
              <w:rPr>
                <w:spacing w:val="-9"/>
                <w:sz w:val="18"/>
              </w:rPr>
              <w:t>境影响评价要求。鼓励园区外现有农药企业向工业</w:t>
            </w:r>
            <w:r>
              <w:rPr>
                <w:spacing w:val="-94"/>
                <w:sz w:val="18"/>
              </w:rPr>
              <w:t>园 </w:t>
            </w:r>
            <w:r>
              <w:rPr>
                <w:w w:val="105"/>
                <w:sz w:val="18"/>
              </w:rPr>
              <w:t>区搬迁。</w:t>
            </w:r>
          </w:p>
        </w:tc>
        <w:tc>
          <w:tcPr>
            <w:tcW w:w="3300" w:type="dxa"/>
          </w:tcPr>
          <w:p>
            <w:pPr>
              <w:pStyle w:val="TableParagraph"/>
              <w:spacing w:line="249" w:lineRule="auto" w:before="132"/>
              <w:ind w:left="106" w:right="6"/>
              <w:jc w:val="left"/>
              <w:rPr>
                <w:sz w:val="18"/>
              </w:rPr>
            </w:pPr>
            <w:r>
              <w:rPr>
                <w:sz w:val="18"/>
              </w:rPr>
              <w:t>项目位于杭州湾上虞经济技术开发区， 项目选址符合三线一单区划、主体功能</w:t>
            </w:r>
            <w:r>
              <w:rPr>
                <w:spacing w:val="-10"/>
                <w:sz w:val="18"/>
              </w:rPr>
              <w:t>区规划、土地利用总体规划和城乡规划， </w:t>
            </w:r>
            <w:r>
              <w:rPr>
                <w:sz w:val="18"/>
              </w:rPr>
              <w:t>规划环评，项目的实施符合规划环评的要求，企业位于专业化工园区。</w:t>
            </w:r>
          </w:p>
        </w:tc>
        <w:tc>
          <w:tcPr>
            <w:tcW w:w="853" w:type="dxa"/>
          </w:tcPr>
          <w:p>
            <w:pPr>
              <w:pStyle w:val="TableParagraph"/>
              <w:jc w:val="left"/>
              <w:rPr>
                <w:b/>
                <w:sz w:val="18"/>
              </w:rPr>
            </w:pPr>
          </w:p>
          <w:p>
            <w:pPr>
              <w:pStyle w:val="TableParagraph"/>
              <w:jc w:val="left"/>
              <w:rPr>
                <w:b/>
                <w:sz w:val="18"/>
              </w:rPr>
            </w:pPr>
          </w:p>
          <w:p>
            <w:pPr>
              <w:pStyle w:val="TableParagraph"/>
              <w:spacing w:before="150"/>
              <w:ind w:left="35" w:right="26"/>
              <w:rPr>
                <w:sz w:val="18"/>
              </w:rPr>
            </w:pPr>
            <w:r>
              <w:rPr>
                <w:sz w:val="18"/>
              </w:rPr>
              <w:t>符合</w:t>
            </w:r>
          </w:p>
        </w:tc>
      </w:tr>
      <w:tr>
        <w:trPr>
          <w:trHeight w:val="958" w:hRule="atLeast"/>
        </w:trPr>
        <w:tc>
          <w:tcPr>
            <w:tcW w:w="799"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5"/>
              <w:jc w:val="left"/>
              <w:rPr>
                <w:b/>
                <w:sz w:val="25"/>
              </w:rPr>
            </w:pPr>
          </w:p>
          <w:p>
            <w:pPr>
              <w:pStyle w:val="TableParagraph"/>
              <w:spacing w:line="249" w:lineRule="auto"/>
              <w:ind w:left="107" w:right="74"/>
              <w:jc w:val="left"/>
              <w:rPr>
                <w:sz w:val="18"/>
              </w:rPr>
            </w:pPr>
            <w:r>
              <w:rPr>
                <w:sz w:val="18"/>
              </w:rPr>
              <w:t>技术装备水平</w:t>
            </w:r>
          </w:p>
        </w:tc>
        <w:tc>
          <w:tcPr>
            <w:tcW w:w="4332" w:type="dxa"/>
          </w:tcPr>
          <w:p>
            <w:pPr>
              <w:pStyle w:val="TableParagraph"/>
              <w:spacing w:line="249" w:lineRule="auto" w:before="9"/>
              <w:ind w:left="107" w:right="93"/>
              <w:jc w:val="both"/>
              <w:rPr>
                <w:sz w:val="18"/>
              </w:rPr>
            </w:pPr>
            <w:r>
              <w:rPr>
                <w:spacing w:val="-4"/>
                <w:sz w:val="18"/>
              </w:rPr>
              <w:t>鼓励农药企业进行兼并、重组，组建品种齐全、规模</w:t>
            </w:r>
            <w:r>
              <w:rPr>
                <w:spacing w:val="-7"/>
                <w:sz w:val="18"/>
              </w:rPr>
              <w:t>大、研发力量强、具备竞争力优势的大型农药生产企</w:t>
            </w:r>
            <w:r>
              <w:rPr>
                <w:spacing w:val="-4"/>
                <w:sz w:val="18"/>
              </w:rPr>
              <w:t>业和集团。鼓励上下游一体化的发展模式，发展生</w:t>
            </w:r>
            <w:r>
              <w:rPr>
                <w:spacing w:val="-112"/>
                <w:sz w:val="18"/>
              </w:rPr>
              <w:t>物</w:t>
            </w:r>
          </w:p>
          <w:p>
            <w:pPr>
              <w:pStyle w:val="TableParagraph"/>
              <w:spacing w:line="208" w:lineRule="exact" w:before="1"/>
              <w:ind w:left="107"/>
              <w:jc w:val="left"/>
              <w:rPr>
                <w:sz w:val="18"/>
              </w:rPr>
            </w:pPr>
            <w:r>
              <w:rPr>
                <w:w w:val="120"/>
                <w:sz w:val="18"/>
              </w:rPr>
              <w:t>农药</w:t>
            </w:r>
            <w:r>
              <w:rPr>
                <w:w w:val="180"/>
                <w:sz w:val="18"/>
              </w:rPr>
              <w:t>。</w:t>
            </w:r>
          </w:p>
        </w:tc>
        <w:tc>
          <w:tcPr>
            <w:tcW w:w="3300" w:type="dxa"/>
          </w:tcPr>
          <w:p>
            <w:pPr>
              <w:pStyle w:val="TableParagraph"/>
              <w:spacing w:before="5"/>
              <w:jc w:val="left"/>
              <w:rPr>
                <w:b/>
                <w:sz w:val="19"/>
              </w:rPr>
            </w:pPr>
          </w:p>
          <w:p>
            <w:pPr>
              <w:pStyle w:val="TableParagraph"/>
              <w:spacing w:line="249" w:lineRule="auto" w:before="1"/>
              <w:ind w:left="106" w:right="121"/>
              <w:jc w:val="left"/>
              <w:rPr>
                <w:sz w:val="18"/>
              </w:rPr>
            </w:pPr>
            <w:r>
              <w:rPr>
                <w:sz w:val="18"/>
              </w:rPr>
              <w:t>贝斯美公司三环唑农药发展潜力巨大， 具备做大的潜力，具备竞争力优势。</w:t>
            </w:r>
          </w:p>
        </w:tc>
        <w:tc>
          <w:tcPr>
            <w:tcW w:w="853" w:type="dxa"/>
          </w:tcPr>
          <w:p>
            <w:pPr>
              <w:pStyle w:val="TableParagraph"/>
              <w:jc w:val="left"/>
              <w:rPr>
                <w:b/>
                <w:sz w:val="18"/>
              </w:rPr>
            </w:pPr>
          </w:p>
          <w:p>
            <w:pPr>
              <w:pStyle w:val="TableParagraph"/>
              <w:spacing w:before="139"/>
              <w:ind w:left="35" w:right="26"/>
              <w:rPr>
                <w:sz w:val="18"/>
              </w:rPr>
            </w:pPr>
            <w:r>
              <w:rPr>
                <w:sz w:val="18"/>
              </w:rPr>
              <w:t>符合</w:t>
            </w:r>
          </w:p>
        </w:tc>
      </w:tr>
      <w:tr>
        <w:trPr>
          <w:trHeight w:val="719" w:hRule="atLeast"/>
        </w:trPr>
        <w:tc>
          <w:tcPr>
            <w:tcW w:w="799" w:type="dxa"/>
            <w:vMerge/>
            <w:tcBorders>
              <w:top w:val="nil"/>
            </w:tcBorders>
          </w:tcPr>
          <w:p>
            <w:pPr>
              <w:rPr>
                <w:sz w:val="2"/>
                <w:szCs w:val="2"/>
              </w:rPr>
            </w:pPr>
          </w:p>
        </w:tc>
        <w:tc>
          <w:tcPr>
            <w:tcW w:w="4332" w:type="dxa"/>
          </w:tcPr>
          <w:p>
            <w:pPr>
              <w:pStyle w:val="TableParagraph"/>
              <w:spacing w:line="240" w:lineRule="atLeast" w:before="2"/>
              <w:ind w:left="107" w:right="59"/>
              <w:jc w:val="both"/>
              <w:rPr>
                <w:sz w:val="18"/>
              </w:rPr>
            </w:pPr>
            <w:r>
              <w:rPr>
                <w:sz w:val="18"/>
              </w:rPr>
              <w:t>引进国内外先进的设计理念，鼓励新建和改扩建农药企业开展各类认证，使之技术装备水平达到</w:t>
            </w:r>
            <w:r>
              <w:rPr>
                <w:rFonts w:ascii="Times New Roman" w:eastAsia="Times New Roman"/>
                <w:sz w:val="18"/>
              </w:rPr>
              <w:t>ISO14000</w:t>
            </w:r>
            <w:r>
              <w:rPr>
                <w:sz w:val="18"/>
              </w:rPr>
              <w:t>、</w:t>
            </w:r>
            <w:r>
              <w:rPr>
                <w:rFonts w:ascii="Times New Roman" w:eastAsia="Times New Roman"/>
                <w:sz w:val="18"/>
              </w:rPr>
              <w:t>OHSAS 18001 </w:t>
            </w:r>
            <w:r>
              <w:rPr>
                <w:sz w:val="18"/>
              </w:rPr>
              <w:t>等管理体系认证要求。</w:t>
            </w:r>
          </w:p>
        </w:tc>
        <w:tc>
          <w:tcPr>
            <w:tcW w:w="3300" w:type="dxa"/>
          </w:tcPr>
          <w:p>
            <w:pPr>
              <w:pStyle w:val="TableParagraph"/>
              <w:spacing w:line="249" w:lineRule="auto" w:before="131"/>
              <w:ind w:left="106" w:right="121"/>
              <w:jc w:val="left"/>
              <w:rPr>
                <w:sz w:val="18"/>
              </w:rPr>
            </w:pPr>
            <w:r>
              <w:rPr>
                <w:sz w:val="18"/>
              </w:rPr>
              <w:t>贝斯美公司已开展各类认证，要求项目建设完成后达到各体系的认证要求。</w:t>
            </w:r>
          </w:p>
        </w:tc>
        <w:tc>
          <w:tcPr>
            <w:tcW w:w="853" w:type="dxa"/>
          </w:tcPr>
          <w:p>
            <w:pPr>
              <w:pStyle w:val="TableParagraph"/>
              <w:spacing w:before="8"/>
              <w:jc w:val="left"/>
              <w:rPr>
                <w:b/>
                <w:sz w:val="19"/>
              </w:rPr>
            </w:pPr>
          </w:p>
          <w:p>
            <w:pPr>
              <w:pStyle w:val="TableParagraph"/>
              <w:ind w:left="35" w:right="26"/>
              <w:rPr>
                <w:sz w:val="18"/>
              </w:rPr>
            </w:pPr>
            <w:r>
              <w:rPr>
                <w:sz w:val="18"/>
              </w:rPr>
              <w:t>符合</w:t>
            </w:r>
          </w:p>
        </w:tc>
      </w:tr>
      <w:tr>
        <w:trPr>
          <w:trHeight w:val="480" w:hRule="atLeast"/>
        </w:trPr>
        <w:tc>
          <w:tcPr>
            <w:tcW w:w="799" w:type="dxa"/>
            <w:vMerge/>
            <w:tcBorders>
              <w:top w:val="nil"/>
            </w:tcBorders>
          </w:tcPr>
          <w:p>
            <w:pPr>
              <w:rPr>
                <w:sz w:val="2"/>
                <w:szCs w:val="2"/>
              </w:rPr>
            </w:pPr>
          </w:p>
        </w:tc>
        <w:tc>
          <w:tcPr>
            <w:tcW w:w="4332" w:type="dxa"/>
          </w:tcPr>
          <w:p>
            <w:pPr>
              <w:pStyle w:val="TableParagraph"/>
              <w:spacing w:line="240" w:lineRule="atLeast" w:before="2"/>
              <w:ind w:left="107" w:right="45"/>
              <w:jc w:val="left"/>
              <w:rPr>
                <w:sz w:val="18"/>
              </w:rPr>
            </w:pPr>
            <w:r>
              <w:rPr>
                <w:sz w:val="18"/>
              </w:rPr>
              <w:t>提倡采用连续化生产工艺和定量化控制技术，提高产品收得率，减少污染物产生量。</w:t>
            </w:r>
          </w:p>
        </w:tc>
        <w:tc>
          <w:tcPr>
            <w:tcW w:w="3300" w:type="dxa"/>
          </w:tcPr>
          <w:p>
            <w:pPr>
              <w:pStyle w:val="TableParagraph"/>
              <w:spacing w:line="240" w:lineRule="atLeast" w:before="2"/>
              <w:ind w:left="106" w:right="98"/>
              <w:jc w:val="left"/>
              <w:rPr>
                <w:sz w:val="18"/>
              </w:rPr>
            </w:pPr>
            <w:r>
              <w:rPr>
                <w:sz w:val="18"/>
              </w:rPr>
              <w:t>企业采用定量化控制技术，生产工艺合理，可有效减少污染物产生量。</w:t>
            </w:r>
          </w:p>
        </w:tc>
        <w:tc>
          <w:tcPr>
            <w:tcW w:w="853" w:type="dxa"/>
          </w:tcPr>
          <w:p>
            <w:pPr>
              <w:pStyle w:val="TableParagraph"/>
              <w:spacing w:before="131"/>
              <w:ind w:left="35" w:right="26"/>
              <w:rPr>
                <w:sz w:val="18"/>
              </w:rPr>
            </w:pPr>
            <w:r>
              <w:rPr>
                <w:sz w:val="18"/>
              </w:rPr>
              <w:t>符合</w:t>
            </w:r>
          </w:p>
        </w:tc>
      </w:tr>
      <w:tr>
        <w:trPr>
          <w:trHeight w:val="957" w:hRule="atLeast"/>
        </w:trPr>
        <w:tc>
          <w:tcPr>
            <w:tcW w:w="799" w:type="dxa"/>
            <w:vMerge/>
            <w:tcBorders>
              <w:top w:val="nil"/>
            </w:tcBorders>
          </w:tcPr>
          <w:p>
            <w:pPr>
              <w:rPr>
                <w:sz w:val="2"/>
                <w:szCs w:val="2"/>
              </w:rPr>
            </w:pPr>
          </w:p>
        </w:tc>
        <w:tc>
          <w:tcPr>
            <w:tcW w:w="4332" w:type="dxa"/>
          </w:tcPr>
          <w:p>
            <w:pPr>
              <w:pStyle w:val="TableParagraph"/>
              <w:spacing w:line="240" w:lineRule="atLeast"/>
              <w:ind w:left="107" w:right="7"/>
              <w:jc w:val="left"/>
              <w:rPr>
                <w:sz w:val="18"/>
              </w:rPr>
            </w:pPr>
            <w:r>
              <w:rPr>
                <w:sz w:val="18"/>
              </w:rPr>
              <w:t>鼓励采用先进输送设备和输送工艺</w:t>
            </w:r>
            <w:r>
              <w:rPr>
                <w:spacing w:val="-24"/>
                <w:w w:val="180"/>
                <w:sz w:val="18"/>
              </w:rPr>
              <w:t>。</w:t>
            </w:r>
            <w:r>
              <w:rPr>
                <w:sz w:val="18"/>
              </w:rPr>
              <w:t>不得使用压缩</w:t>
            </w:r>
            <w:r>
              <w:rPr>
                <w:spacing w:val="-108"/>
                <w:sz w:val="18"/>
              </w:rPr>
              <w:t>空</w:t>
            </w:r>
            <w:r>
              <w:rPr>
                <w:spacing w:val="-12"/>
                <w:sz w:val="18"/>
              </w:rPr>
              <w:t>气、真空压吸的方式输送易燃及有毒、有害化工物料， </w:t>
            </w:r>
            <w:r>
              <w:rPr>
                <w:spacing w:val="-2"/>
                <w:sz w:val="18"/>
              </w:rPr>
              <w:t>如物料特性和工艺无法替代时，须对输送排气进行统一收集、处理。</w:t>
            </w:r>
          </w:p>
        </w:tc>
        <w:tc>
          <w:tcPr>
            <w:tcW w:w="3300" w:type="dxa"/>
          </w:tcPr>
          <w:p>
            <w:pPr>
              <w:pStyle w:val="TableParagraph"/>
              <w:spacing w:before="5"/>
              <w:jc w:val="left"/>
              <w:rPr>
                <w:b/>
                <w:sz w:val="19"/>
              </w:rPr>
            </w:pPr>
          </w:p>
          <w:p>
            <w:pPr>
              <w:pStyle w:val="TableParagraph"/>
              <w:spacing w:line="249" w:lineRule="auto" w:before="1"/>
              <w:ind w:left="106" w:right="98"/>
              <w:jc w:val="left"/>
              <w:rPr>
                <w:sz w:val="18"/>
              </w:rPr>
            </w:pPr>
            <w:r>
              <w:rPr>
                <w:sz w:val="18"/>
              </w:rPr>
              <w:t>项目采用机械泵输送物料，不采用压缩空气、真空压吸方式输送物料。</w:t>
            </w:r>
          </w:p>
        </w:tc>
        <w:tc>
          <w:tcPr>
            <w:tcW w:w="853" w:type="dxa"/>
          </w:tcPr>
          <w:p>
            <w:pPr>
              <w:pStyle w:val="TableParagraph"/>
              <w:jc w:val="left"/>
              <w:rPr>
                <w:b/>
                <w:sz w:val="18"/>
              </w:rPr>
            </w:pPr>
          </w:p>
          <w:p>
            <w:pPr>
              <w:pStyle w:val="TableParagraph"/>
              <w:spacing w:before="138"/>
              <w:ind w:left="35" w:right="26"/>
              <w:rPr>
                <w:sz w:val="18"/>
              </w:rPr>
            </w:pPr>
            <w:r>
              <w:rPr>
                <w:sz w:val="18"/>
              </w:rPr>
              <w:t>符合</w:t>
            </w:r>
          </w:p>
        </w:tc>
      </w:tr>
      <w:tr>
        <w:trPr>
          <w:trHeight w:val="1437" w:hRule="atLeast"/>
        </w:trPr>
        <w:tc>
          <w:tcPr>
            <w:tcW w:w="799" w:type="dxa"/>
            <w:vMerge/>
            <w:tcBorders>
              <w:top w:val="nil"/>
            </w:tcBorders>
          </w:tcPr>
          <w:p>
            <w:pPr>
              <w:rPr>
                <w:sz w:val="2"/>
                <w:szCs w:val="2"/>
              </w:rPr>
            </w:pPr>
          </w:p>
        </w:tc>
        <w:tc>
          <w:tcPr>
            <w:tcW w:w="4332" w:type="dxa"/>
          </w:tcPr>
          <w:p>
            <w:pPr>
              <w:pStyle w:val="TableParagraph"/>
              <w:spacing w:line="249" w:lineRule="auto" w:before="9"/>
              <w:ind w:left="107" w:right="93"/>
              <w:jc w:val="both"/>
              <w:rPr>
                <w:sz w:val="18"/>
              </w:rPr>
            </w:pPr>
            <w:r>
              <w:rPr>
                <w:spacing w:val="-4"/>
                <w:sz w:val="18"/>
              </w:rPr>
              <w:t>采用密闭生产工艺，封闭所有不必要的开口，固体投料应设密封投料装置，除允许非易挥发有机物料中敞</w:t>
            </w:r>
            <w:r>
              <w:rPr>
                <w:spacing w:val="-3"/>
                <w:sz w:val="18"/>
              </w:rPr>
              <w:t>开投加不发生即时化学反应的固体物料外，其他不得</w:t>
            </w:r>
            <w:r>
              <w:rPr>
                <w:spacing w:val="-5"/>
                <w:sz w:val="18"/>
              </w:rPr>
              <w:t>敞口投料；以剧毒物料为生产介质的设备和母液、污水收集槽，不得使用敞口设备，确因排渣、清渣需要</w:t>
            </w:r>
          </w:p>
          <w:p>
            <w:pPr>
              <w:pStyle w:val="TableParagraph"/>
              <w:spacing w:line="208" w:lineRule="exact" w:before="1"/>
              <w:ind w:left="107"/>
              <w:jc w:val="left"/>
              <w:rPr>
                <w:sz w:val="18"/>
              </w:rPr>
            </w:pPr>
            <w:r>
              <w:rPr>
                <w:w w:val="105"/>
                <w:sz w:val="18"/>
              </w:rPr>
              <w:t>的，该设备应设密闭排渣装置。</w:t>
            </w:r>
          </w:p>
        </w:tc>
        <w:tc>
          <w:tcPr>
            <w:tcW w:w="3300" w:type="dxa"/>
          </w:tcPr>
          <w:p>
            <w:pPr>
              <w:pStyle w:val="TableParagraph"/>
              <w:jc w:val="left"/>
              <w:rPr>
                <w:b/>
                <w:sz w:val="18"/>
              </w:rPr>
            </w:pPr>
          </w:p>
          <w:p>
            <w:pPr>
              <w:pStyle w:val="TableParagraph"/>
              <w:spacing w:line="249" w:lineRule="auto" w:before="138"/>
              <w:ind w:left="106" w:right="6"/>
              <w:jc w:val="left"/>
              <w:rPr>
                <w:sz w:val="18"/>
              </w:rPr>
            </w:pPr>
            <w:r>
              <w:rPr>
                <w:sz w:val="18"/>
              </w:rPr>
              <w:t>项目固体投料采用密闭投料装置，不必要的开口全部封闭，无敞口投料。包装</w:t>
            </w:r>
            <w:r>
              <w:rPr>
                <w:spacing w:val="-8"/>
                <w:sz w:val="18"/>
              </w:rPr>
              <w:t>采用自动包装设施，不使用敞口的设备</w:t>
            </w:r>
            <w:r>
              <w:rPr>
                <w:spacing w:val="-119"/>
                <w:sz w:val="18"/>
              </w:rPr>
              <w:t>。</w:t>
            </w:r>
          </w:p>
        </w:tc>
        <w:tc>
          <w:tcPr>
            <w:tcW w:w="853" w:type="dxa"/>
          </w:tcPr>
          <w:p>
            <w:pPr>
              <w:pStyle w:val="TableParagraph"/>
              <w:jc w:val="left"/>
              <w:rPr>
                <w:b/>
                <w:sz w:val="18"/>
              </w:rPr>
            </w:pPr>
          </w:p>
          <w:p>
            <w:pPr>
              <w:pStyle w:val="TableParagraph"/>
              <w:jc w:val="left"/>
              <w:rPr>
                <w:b/>
                <w:sz w:val="18"/>
              </w:rPr>
            </w:pPr>
          </w:p>
          <w:p>
            <w:pPr>
              <w:pStyle w:val="TableParagraph"/>
              <w:spacing w:before="147"/>
              <w:ind w:left="35" w:right="26"/>
              <w:rPr>
                <w:sz w:val="18"/>
              </w:rPr>
            </w:pPr>
            <w:r>
              <w:rPr>
                <w:sz w:val="18"/>
              </w:rPr>
              <w:t>符合</w:t>
            </w:r>
          </w:p>
        </w:tc>
      </w:tr>
      <w:tr>
        <w:trPr>
          <w:trHeight w:val="1199" w:hRule="atLeast"/>
        </w:trPr>
        <w:tc>
          <w:tcPr>
            <w:tcW w:w="799" w:type="dxa"/>
            <w:vMerge/>
            <w:tcBorders>
              <w:top w:val="nil"/>
            </w:tcBorders>
          </w:tcPr>
          <w:p>
            <w:pPr>
              <w:rPr>
                <w:sz w:val="2"/>
                <w:szCs w:val="2"/>
              </w:rPr>
            </w:pPr>
          </w:p>
        </w:tc>
        <w:tc>
          <w:tcPr>
            <w:tcW w:w="4332" w:type="dxa"/>
          </w:tcPr>
          <w:p>
            <w:pPr>
              <w:pStyle w:val="TableParagraph"/>
              <w:spacing w:line="240" w:lineRule="atLeast" w:before="2"/>
              <w:ind w:left="107" w:right="91"/>
              <w:jc w:val="both"/>
              <w:rPr>
                <w:sz w:val="18"/>
              </w:rPr>
            </w:pPr>
            <w:r>
              <w:rPr>
                <w:spacing w:val="6"/>
                <w:sz w:val="18"/>
              </w:rPr>
              <w:t>涉及有机溶剂或挥发有毒有害物质的固液分离过程</w:t>
            </w:r>
            <w:r>
              <w:rPr>
                <w:spacing w:val="-4"/>
                <w:sz w:val="18"/>
              </w:rPr>
              <w:t>须采用密闭的分离装置，不得采用真空抽滤设备和敞口的固液分离装置，确因工艺要求必须使用敞口装置</w:t>
            </w:r>
            <w:r>
              <w:rPr>
                <w:spacing w:val="-5"/>
                <w:sz w:val="18"/>
              </w:rPr>
              <w:t>的，必须对装置区域设置局部废气收集系统，对散发的废气进行有效的收集和处理。</w:t>
            </w:r>
          </w:p>
        </w:tc>
        <w:tc>
          <w:tcPr>
            <w:tcW w:w="3300" w:type="dxa"/>
          </w:tcPr>
          <w:p>
            <w:pPr>
              <w:pStyle w:val="TableParagraph"/>
              <w:spacing w:line="249" w:lineRule="auto" w:before="132"/>
              <w:ind w:left="106" w:right="92"/>
              <w:jc w:val="both"/>
              <w:rPr>
                <w:sz w:val="18"/>
              </w:rPr>
            </w:pPr>
            <w:r>
              <w:rPr>
                <w:spacing w:val="-1"/>
                <w:sz w:val="18"/>
              </w:rPr>
              <w:t>项目物料进料、出料和转移过程均采用管道输送；包装采用自动包装机；采用</w:t>
            </w:r>
            <w:r>
              <w:rPr>
                <w:sz w:val="18"/>
              </w:rPr>
              <w:t>全自动挂下出料离心机</w:t>
            </w:r>
            <w:r>
              <w:rPr>
                <w:w w:val="180"/>
                <w:sz w:val="18"/>
              </w:rPr>
              <w:t>。</w:t>
            </w:r>
            <w:r>
              <w:rPr>
                <w:spacing w:val="-2"/>
                <w:sz w:val="18"/>
              </w:rPr>
              <w:t>不涉及敞口</w:t>
            </w:r>
            <w:r>
              <w:rPr>
                <w:spacing w:val="-160"/>
                <w:sz w:val="18"/>
              </w:rPr>
              <w:t>的</w:t>
            </w:r>
            <w:r>
              <w:rPr>
                <w:sz w:val="18"/>
              </w:rPr>
              <w:t>固液分离装置和真空抽滤设备。</w:t>
            </w:r>
          </w:p>
        </w:tc>
        <w:tc>
          <w:tcPr>
            <w:tcW w:w="853" w:type="dxa"/>
          </w:tcPr>
          <w:p>
            <w:pPr>
              <w:pStyle w:val="TableParagraph"/>
              <w:jc w:val="left"/>
              <w:rPr>
                <w:b/>
                <w:sz w:val="18"/>
              </w:rPr>
            </w:pPr>
          </w:p>
          <w:p>
            <w:pPr>
              <w:pStyle w:val="TableParagraph"/>
              <w:spacing w:before="4"/>
              <w:jc w:val="left"/>
              <w:rPr>
                <w:b/>
                <w:sz w:val="20"/>
              </w:rPr>
            </w:pPr>
          </w:p>
          <w:p>
            <w:pPr>
              <w:pStyle w:val="TableParagraph"/>
              <w:spacing w:before="1"/>
              <w:ind w:left="35" w:right="26"/>
              <w:rPr>
                <w:sz w:val="18"/>
              </w:rPr>
            </w:pPr>
            <w:r>
              <w:rPr>
                <w:sz w:val="18"/>
              </w:rPr>
              <w:t>符合</w:t>
            </w:r>
          </w:p>
        </w:tc>
      </w:tr>
      <w:tr>
        <w:trPr>
          <w:trHeight w:val="717" w:hRule="atLeast"/>
        </w:trPr>
        <w:tc>
          <w:tcPr>
            <w:tcW w:w="799" w:type="dxa"/>
            <w:vMerge/>
            <w:tcBorders>
              <w:top w:val="nil"/>
            </w:tcBorders>
          </w:tcPr>
          <w:p>
            <w:pPr>
              <w:rPr>
                <w:sz w:val="2"/>
                <w:szCs w:val="2"/>
              </w:rPr>
            </w:pPr>
          </w:p>
        </w:tc>
        <w:tc>
          <w:tcPr>
            <w:tcW w:w="4332" w:type="dxa"/>
          </w:tcPr>
          <w:p>
            <w:pPr>
              <w:pStyle w:val="TableParagraph"/>
              <w:spacing w:line="240" w:lineRule="atLeast"/>
              <w:ind w:left="107" w:right="95"/>
              <w:jc w:val="both"/>
              <w:rPr>
                <w:sz w:val="18"/>
              </w:rPr>
            </w:pPr>
            <w:r>
              <w:rPr>
                <w:spacing w:val="-3"/>
                <w:sz w:val="18"/>
              </w:rPr>
              <w:t>除物料装卸场所临时使用外，正常生产流程中的物料</w:t>
            </w:r>
            <w:r>
              <w:rPr>
                <w:spacing w:val="-4"/>
                <w:sz w:val="18"/>
              </w:rPr>
              <w:t>输送应使用刚性管道，不应使用柔性塑料管，减少环</w:t>
            </w:r>
            <w:r>
              <w:rPr>
                <w:sz w:val="18"/>
              </w:rPr>
              <w:t>境风险。</w:t>
            </w:r>
          </w:p>
        </w:tc>
        <w:tc>
          <w:tcPr>
            <w:tcW w:w="3300" w:type="dxa"/>
          </w:tcPr>
          <w:p>
            <w:pPr>
              <w:pStyle w:val="TableParagraph"/>
              <w:spacing w:before="5"/>
              <w:jc w:val="left"/>
              <w:rPr>
                <w:b/>
                <w:sz w:val="19"/>
              </w:rPr>
            </w:pPr>
          </w:p>
          <w:p>
            <w:pPr>
              <w:pStyle w:val="TableParagraph"/>
              <w:spacing w:before="1"/>
              <w:ind w:left="106"/>
              <w:jc w:val="left"/>
              <w:rPr>
                <w:sz w:val="18"/>
              </w:rPr>
            </w:pPr>
            <w:r>
              <w:rPr>
                <w:w w:val="105"/>
                <w:sz w:val="18"/>
              </w:rPr>
              <w:t>项目正常生产流程均采用刚性管道</w:t>
            </w:r>
            <w:r>
              <w:rPr>
                <w:w w:val="170"/>
                <w:sz w:val="18"/>
              </w:rPr>
              <w:t>。</w:t>
            </w:r>
          </w:p>
        </w:tc>
        <w:tc>
          <w:tcPr>
            <w:tcW w:w="853" w:type="dxa"/>
          </w:tcPr>
          <w:p>
            <w:pPr>
              <w:pStyle w:val="TableParagraph"/>
              <w:spacing w:before="5"/>
              <w:jc w:val="left"/>
              <w:rPr>
                <w:b/>
                <w:sz w:val="19"/>
              </w:rPr>
            </w:pPr>
          </w:p>
          <w:p>
            <w:pPr>
              <w:pStyle w:val="TableParagraph"/>
              <w:spacing w:before="1"/>
              <w:ind w:left="35" w:right="26"/>
              <w:rPr>
                <w:sz w:val="18"/>
              </w:rPr>
            </w:pPr>
            <w:r>
              <w:rPr>
                <w:sz w:val="18"/>
              </w:rPr>
              <w:t>符合</w:t>
            </w:r>
          </w:p>
        </w:tc>
      </w:tr>
      <w:tr>
        <w:trPr>
          <w:trHeight w:val="716" w:hRule="atLeast"/>
        </w:trPr>
        <w:tc>
          <w:tcPr>
            <w:tcW w:w="799" w:type="dxa"/>
            <w:vMerge/>
            <w:tcBorders>
              <w:top w:val="nil"/>
            </w:tcBorders>
          </w:tcPr>
          <w:p>
            <w:pPr>
              <w:rPr>
                <w:sz w:val="2"/>
                <w:szCs w:val="2"/>
              </w:rPr>
            </w:pPr>
          </w:p>
        </w:tc>
        <w:tc>
          <w:tcPr>
            <w:tcW w:w="4332" w:type="dxa"/>
          </w:tcPr>
          <w:p>
            <w:pPr>
              <w:pStyle w:val="TableParagraph"/>
              <w:spacing w:line="249" w:lineRule="auto" w:before="9"/>
              <w:ind w:left="107" w:right="43"/>
              <w:jc w:val="left"/>
              <w:rPr>
                <w:sz w:val="18"/>
              </w:rPr>
            </w:pPr>
            <w:r>
              <w:rPr>
                <w:sz w:val="18"/>
              </w:rPr>
              <w:t>含有有机气体的物料烘干要淘汰老式热风循环烘干设备，烘干过程产生的废气应用专管引出，并经冷凝</w:t>
            </w:r>
          </w:p>
          <w:p>
            <w:pPr>
              <w:pStyle w:val="TableParagraph"/>
              <w:spacing w:line="208" w:lineRule="exact"/>
              <w:ind w:left="107"/>
              <w:jc w:val="left"/>
              <w:rPr>
                <w:sz w:val="18"/>
              </w:rPr>
            </w:pPr>
            <w:r>
              <w:rPr>
                <w:w w:val="105"/>
                <w:sz w:val="18"/>
              </w:rPr>
              <w:t>回收等预处理后，方可进入废气集中处理系</w:t>
            </w:r>
            <w:r>
              <w:rPr>
                <w:w w:val="115"/>
                <w:sz w:val="18"/>
              </w:rPr>
              <w:t>统。</w:t>
            </w:r>
          </w:p>
        </w:tc>
        <w:tc>
          <w:tcPr>
            <w:tcW w:w="3300" w:type="dxa"/>
          </w:tcPr>
          <w:p>
            <w:pPr>
              <w:pStyle w:val="TableParagraph"/>
              <w:spacing w:line="249" w:lineRule="auto" w:before="9"/>
              <w:ind w:left="106" w:right="96"/>
              <w:jc w:val="left"/>
              <w:rPr>
                <w:sz w:val="18"/>
              </w:rPr>
            </w:pPr>
            <w:r>
              <w:rPr>
                <w:sz w:val="18"/>
              </w:rPr>
              <w:t>干燥过程采用双锥干燥设备，尾气经专管引出，经冷凝预处理后，再接入废气</w:t>
            </w:r>
          </w:p>
          <w:p>
            <w:pPr>
              <w:pStyle w:val="TableParagraph"/>
              <w:spacing w:line="208" w:lineRule="exact"/>
              <w:ind w:left="106"/>
              <w:jc w:val="left"/>
              <w:rPr>
                <w:sz w:val="18"/>
              </w:rPr>
            </w:pPr>
            <w:r>
              <w:rPr>
                <w:w w:val="105"/>
                <w:sz w:val="18"/>
              </w:rPr>
              <w:t>集中处理系统处理达标后排放。</w:t>
            </w:r>
          </w:p>
        </w:tc>
        <w:tc>
          <w:tcPr>
            <w:tcW w:w="853" w:type="dxa"/>
          </w:tcPr>
          <w:p>
            <w:pPr>
              <w:pStyle w:val="TableParagraph"/>
              <w:spacing w:before="5"/>
              <w:jc w:val="left"/>
              <w:rPr>
                <w:b/>
                <w:sz w:val="19"/>
              </w:rPr>
            </w:pPr>
          </w:p>
          <w:p>
            <w:pPr>
              <w:pStyle w:val="TableParagraph"/>
              <w:ind w:left="35" w:right="26"/>
              <w:rPr>
                <w:sz w:val="18"/>
              </w:rPr>
            </w:pPr>
            <w:r>
              <w:rPr>
                <w:sz w:val="18"/>
              </w:rPr>
              <w:t>符合</w:t>
            </w:r>
          </w:p>
        </w:tc>
      </w:tr>
      <w:tr>
        <w:trPr>
          <w:trHeight w:val="722" w:hRule="atLeast"/>
        </w:trPr>
        <w:tc>
          <w:tcPr>
            <w:tcW w:w="799" w:type="dxa"/>
            <w:vMerge/>
            <w:tcBorders>
              <w:top w:val="nil"/>
            </w:tcBorders>
          </w:tcPr>
          <w:p>
            <w:pPr>
              <w:rPr>
                <w:sz w:val="2"/>
                <w:szCs w:val="2"/>
              </w:rPr>
            </w:pPr>
          </w:p>
        </w:tc>
        <w:tc>
          <w:tcPr>
            <w:tcW w:w="4332" w:type="dxa"/>
          </w:tcPr>
          <w:p>
            <w:pPr>
              <w:pStyle w:val="TableParagraph"/>
              <w:spacing w:line="240" w:lineRule="atLeast" w:before="5"/>
              <w:ind w:left="107" w:right="7"/>
              <w:jc w:val="left"/>
              <w:rPr>
                <w:sz w:val="18"/>
              </w:rPr>
            </w:pPr>
            <w:r>
              <w:rPr>
                <w:spacing w:val="-13"/>
                <w:sz w:val="18"/>
              </w:rPr>
              <w:t>积极寻找使用低毒、低臭、低挥发性的物料代替高毒、</w:t>
            </w:r>
            <w:r>
              <w:rPr>
                <w:spacing w:val="-5"/>
                <w:sz w:val="18"/>
              </w:rPr>
              <w:t>恶臭、高挥发性原辅材料，车间必须采用可靠的尾气集中收集与处理系统。</w:t>
            </w:r>
          </w:p>
        </w:tc>
        <w:tc>
          <w:tcPr>
            <w:tcW w:w="3300" w:type="dxa"/>
          </w:tcPr>
          <w:p>
            <w:pPr>
              <w:pStyle w:val="TableParagraph"/>
              <w:spacing w:line="240" w:lineRule="atLeast" w:before="5"/>
              <w:ind w:left="106" w:right="95"/>
              <w:jc w:val="both"/>
              <w:rPr>
                <w:sz w:val="18"/>
              </w:rPr>
            </w:pPr>
            <w:r>
              <w:rPr>
                <w:sz w:val="18"/>
              </w:rPr>
              <w:t>项目使用物料均不属于高毒、恶臭、高挥发性原辅材料，车间已采用可靠的尾气集中收集与处理系统。</w:t>
            </w:r>
          </w:p>
        </w:tc>
        <w:tc>
          <w:tcPr>
            <w:tcW w:w="853" w:type="dxa"/>
          </w:tcPr>
          <w:p>
            <w:pPr>
              <w:pStyle w:val="TableParagraph"/>
              <w:spacing w:before="10"/>
              <w:jc w:val="left"/>
              <w:rPr>
                <w:b/>
                <w:sz w:val="19"/>
              </w:rPr>
            </w:pPr>
          </w:p>
          <w:p>
            <w:pPr>
              <w:pStyle w:val="TableParagraph"/>
              <w:ind w:left="35" w:right="26"/>
              <w:rPr>
                <w:sz w:val="18"/>
              </w:rPr>
            </w:pPr>
            <w:r>
              <w:rPr>
                <w:sz w:val="18"/>
              </w:rPr>
              <w:t>符合</w:t>
            </w:r>
          </w:p>
        </w:tc>
      </w:tr>
      <w:tr>
        <w:trPr>
          <w:trHeight w:val="1398" w:hRule="atLeast"/>
        </w:trPr>
        <w:tc>
          <w:tcPr>
            <w:tcW w:w="799" w:type="dxa"/>
            <w:vMerge/>
            <w:tcBorders>
              <w:top w:val="nil"/>
            </w:tcBorders>
          </w:tcPr>
          <w:p>
            <w:pPr>
              <w:rPr>
                <w:sz w:val="2"/>
                <w:szCs w:val="2"/>
              </w:rPr>
            </w:pPr>
          </w:p>
        </w:tc>
        <w:tc>
          <w:tcPr>
            <w:tcW w:w="4332" w:type="dxa"/>
          </w:tcPr>
          <w:p>
            <w:pPr>
              <w:pStyle w:val="TableParagraph"/>
              <w:spacing w:line="249" w:lineRule="auto" w:before="9"/>
              <w:ind w:left="107" w:right="95"/>
              <w:jc w:val="both"/>
              <w:rPr>
                <w:sz w:val="18"/>
              </w:rPr>
            </w:pPr>
            <w:r>
              <w:rPr>
                <w:spacing w:val="-3"/>
                <w:sz w:val="18"/>
              </w:rPr>
              <w:t>液体化学品储罐贮存尽量采用氮封，易挥发化学品原则上要求储存于配备呼吸阀、防雷、防静电和降温设</w:t>
            </w:r>
            <w:r>
              <w:rPr>
                <w:spacing w:val="-5"/>
                <w:sz w:val="18"/>
              </w:rPr>
              <w:t>施的储罐中，液体化学品装卸必须采用装有平衡管且</w:t>
            </w:r>
            <w:r>
              <w:rPr>
                <w:spacing w:val="6"/>
                <w:sz w:val="18"/>
              </w:rPr>
              <w:t>封闭的装卸系统，储罐呼吸气原则上应进行收集处理，确有必要采用桶装原料，须用正压方式输送。</w:t>
            </w:r>
          </w:p>
        </w:tc>
        <w:tc>
          <w:tcPr>
            <w:tcW w:w="3300" w:type="dxa"/>
          </w:tcPr>
          <w:p>
            <w:pPr>
              <w:pStyle w:val="TableParagraph"/>
              <w:jc w:val="left"/>
              <w:rPr>
                <w:b/>
                <w:sz w:val="18"/>
              </w:rPr>
            </w:pPr>
          </w:p>
          <w:p>
            <w:pPr>
              <w:pStyle w:val="TableParagraph"/>
              <w:jc w:val="left"/>
              <w:rPr>
                <w:b/>
                <w:sz w:val="18"/>
              </w:rPr>
            </w:pPr>
          </w:p>
          <w:p>
            <w:pPr>
              <w:pStyle w:val="TableParagraph"/>
              <w:spacing w:before="129"/>
              <w:ind w:left="106"/>
              <w:jc w:val="left"/>
              <w:rPr>
                <w:sz w:val="18"/>
              </w:rPr>
            </w:pPr>
            <w:r>
              <w:rPr>
                <w:w w:val="105"/>
                <w:sz w:val="18"/>
              </w:rPr>
              <w:t>项目不涉及桶装物料。</w:t>
            </w:r>
          </w:p>
        </w:tc>
        <w:tc>
          <w:tcPr>
            <w:tcW w:w="853" w:type="dxa"/>
          </w:tcPr>
          <w:p>
            <w:pPr>
              <w:pStyle w:val="TableParagraph"/>
              <w:jc w:val="left"/>
              <w:rPr>
                <w:b/>
                <w:sz w:val="18"/>
              </w:rPr>
            </w:pPr>
          </w:p>
          <w:p>
            <w:pPr>
              <w:pStyle w:val="TableParagraph"/>
              <w:jc w:val="left"/>
              <w:rPr>
                <w:b/>
                <w:sz w:val="18"/>
              </w:rPr>
            </w:pPr>
          </w:p>
          <w:p>
            <w:pPr>
              <w:pStyle w:val="TableParagraph"/>
              <w:spacing w:before="129"/>
              <w:ind w:left="35" w:right="26"/>
              <w:rPr>
                <w:sz w:val="18"/>
              </w:rPr>
            </w:pPr>
            <w:r>
              <w:rPr>
                <w:sz w:val="18"/>
              </w:rPr>
              <w:t>符合</w:t>
            </w:r>
          </w:p>
        </w:tc>
      </w:tr>
      <w:tr>
        <w:trPr>
          <w:trHeight w:val="719" w:hRule="atLeast"/>
        </w:trPr>
        <w:tc>
          <w:tcPr>
            <w:tcW w:w="799" w:type="dxa"/>
          </w:tcPr>
          <w:p>
            <w:pPr>
              <w:pStyle w:val="TableParagraph"/>
              <w:spacing w:line="249" w:lineRule="auto" w:before="131"/>
              <w:ind w:left="129" w:right="117"/>
              <w:jc w:val="left"/>
              <w:rPr>
                <w:sz w:val="18"/>
              </w:rPr>
            </w:pPr>
            <w:r>
              <w:rPr>
                <w:sz w:val="18"/>
              </w:rPr>
              <w:t>污染防治措施</w:t>
            </w:r>
          </w:p>
        </w:tc>
        <w:tc>
          <w:tcPr>
            <w:tcW w:w="4332" w:type="dxa"/>
          </w:tcPr>
          <w:p>
            <w:pPr>
              <w:pStyle w:val="TableParagraph"/>
              <w:spacing w:before="11"/>
              <w:ind w:left="107"/>
              <w:jc w:val="left"/>
              <w:rPr>
                <w:sz w:val="18"/>
              </w:rPr>
            </w:pPr>
            <w:r>
              <w:rPr>
                <w:rFonts w:ascii="Times New Roman" w:eastAsia="Times New Roman"/>
                <w:sz w:val="18"/>
              </w:rPr>
              <w:t>1</w:t>
            </w:r>
            <w:r>
              <w:rPr>
                <w:sz w:val="18"/>
              </w:rPr>
              <w:t>、水污染防治措施</w:t>
            </w:r>
          </w:p>
          <w:p>
            <w:pPr>
              <w:pStyle w:val="TableParagraph"/>
              <w:spacing w:line="240" w:lineRule="atLeast"/>
              <w:ind w:left="107" w:right="45"/>
              <w:jc w:val="left"/>
              <w:rPr>
                <w:sz w:val="18"/>
              </w:rPr>
            </w:pPr>
            <w:r>
              <w:rPr>
                <w:sz w:val="18"/>
              </w:rPr>
              <w:t>生产区所有废水，包括生产、储运、公用工程等可能受污染区域的工艺废水、循环水排放水、生活污水及</w:t>
            </w:r>
          </w:p>
        </w:tc>
        <w:tc>
          <w:tcPr>
            <w:tcW w:w="3300" w:type="dxa"/>
          </w:tcPr>
          <w:p>
            <w:pPr>
              <w:pStyle w:val="TableParagraph"/>
              <w:spacing w:line="240" w:lineRule="atLeast" w:before="2"/>
              <w:ind w:left="106" w:right="6"/>
              <w:jc w:val="left"/>
              <w:rPr>
                <w:sz w:val="18"/>
              </w:rPr>
            </w:pPr>
            <w:r>
              <w:rPr>
                <w:rFonts w:ascii="Times New Roman" w:eastAsia="Times New Roman"/>
                <w:sz w:val="18"/>
              </w:rPr>
              <w:t>1</w:t>
            </w:r>
            <w:r>
              <w:rPr>
                <w:spacing w:val="-14"/>
                <w:sz w:val="18"/>
              </w:rPr>
              <w:t>、生产区所有废水分类收集、分质处理</w:t>
            </w:r>
            <w:r>
              <w:rPr>
                <w:spacing w:val="-118"/>
                <w:sz w:val="18"/>
              </w:rPr>
              <w:t>。</w:t>
            </w:r>
            <w:r>
              <w:rPr>
                <w:sz w:val="18"/>
              </w:rPr>
              <w:t>东区、西区均设置一个污水排放口和一个雨水排放口，按要求安装在线监测监</w:t>
            </w:r>
          </w:p>
        </w:tc>
        <w:tc>
          <w:tcPr>
            <w:tcW w:w="853" w:type="dxa"/>
          </w:tcPr>
          <w:p>
            <w:pPr>
              <w:pStyle w:val="TableParagraph"/>
              <w:spacing w:before="8"/>
              <w:jc w:val="left"/>
              <w:rPr>
                <w:b/>
                <w:sz w:val="19"/>
              </w:rPr>
            </w:pPr>
          </w:p>
          <w:p>
            <w:pPr>
              <w:pStyle w:val="TableParagraph"/>
              <w:ind w:left="35" w:right="26"/>
              <w:rPr>
                <w:sz w:val="18"/>
              </w:rPr>
            </w:pPr>
            <w:r>
              <w:rPr>
                <w:sz w:val="18"/>
              </w:rPr>
              <w:t>符合</w:t>
            </w:r>
          </w:p>
        </w:tc>
      </w:tr>
    </w:tbl>
    <w:p>
      <w:pPr>
        <w:spacing w:after="0"/>
        <w:rPr>
          <w:sz w:val="18"/>
        </w:rPr>
        <w:sectPr>
          <w:pgSz w:w="11910" w:h="16840"/>
          <w:pgMar w:header="872" w:footer="873" w:top="1100" w:bottom="1060" w:left="1100" w:right="1100"/>
        </w:sectPr>
      </w:pPr>
    </w:p>
    <w:p>
      <w:pPr>
        <w:pStyle w:val="BodyText"/>
        <w:spacing w:before="1"/>
        <w:rPr>
          <w:rFonts w:ascii="Times New Roman"/>
          <w:sz w:val="26"/>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9"/>
        <w:gridCol w:w="4332"/>
        <w:gridCol w:w="3300"/>
        <w:gridCol w:w="853"/>
      </w:tblGrid>
      <w:tr>
        <w:trPr>
          <w:trHeight w:val="282" w:hRule="atLeast"/>
        </w:trPr>
        <w:tc>
          <w:tcPr>
            <w:tcW w:w="799" w:type="dxa"/>
          </w:tcPr>
          <w:p>
            <w:pPr>
              <w:pStyle w:val="TableParagraph"/>
              <w:spacing w:line="229" w:lineRule="exact" w:before="33"/>
              <w:ind w:left="218"/>
              <w:jc w:val="left"/>
              <w:rPr>
                <w:b/>
                <w:sz w:val="18"/>
              </w:rPr>
            </w:pPr>
            <w:r>
              <w:rPr>
                <w:b/>
                <w:sz w:val="18"/>
              </w:rPr>
              <w:t>内容</w:t>
            </w:r>
          </w:p>
        </w:tc>
        <w:tc>
          <w:tcPr>
            <w:tcW w:w="4332" w:type="dxa"/>
          </w:tcPr>
          <w:p>
            <w:pPr>
              <w:pStyle w:val="TableParagraph"/>
              <w:spacing w:line="229" w:lineRule="exact" w:before="33"/>
              <w:ind w:left="1784" w:right="1775"/>
              <w:rPr>
                <w:b/>
                <w:sz w:val="18"/>
              </w:rPr>
            </w:pPr>
            <w:r>
              <w:rPr>
                <w:b/>
                <w:sz w:val="18"/>
              </w:rPr>
              <w:t>具体内容</w:t>
            </w:r>
          </w:p>
        </w:tc>
        <w:tc>
          <w:tcPr>
            <w:tcW w:w="3300" w:type="dxa"/>
          </w:tcPr>
          <w:p>
            <w:pPr>
              <w:pStyle w:val="TableParagraph"/>
              <w:spacing w:line="229" w:lineRule="exact" w:before="33"/>
              <w:ind w:left="1266" w:right="1260"/>
              <w:rPr>
                <w:b/>
                <w:sz w:val="18"/>
              </w:rPr>
            </w:pPr>
            <w:r>
              <w:rPr>
                <w:b/>
                <w:sz w:val="18"/>
              </w:rPr>
              <w:t>项目情况</w:t>
            </w:r>
          </w:p>
        </w:tc>
        <w:tc>
          <w:tcPr>
            <w:tcW w:w="853" w:type="dxa"/>
          </w:tcPr>
          <w:p>
            <w:pPr>
              <w:pStyle w:val="TableParagraph"/>
              <w:spacing w:line="229" w:lineRule="exact" w:before="33"/>
              <w:ind w:left="35" w:right="26"/>
              <w:rPr>
                <w:b/>
                <w:sz w:val="18"/>
              </w:rPr>
            </w:pPr>
            <w:r>
              <w:rPr>
                <w:b/>
                <w:sz w:val="18"/>
              </w:rPr>
              <w:t>符合性</w:t>
            </w:r>
          </w:p>
        </w:tc>
      </w:tr>
      <w:tr>
        <w:trPr>
          <w:trHeight w:val="3359" w:hRule="atLeast"/>
        </w:trPr>
        <w:tc>
          <w:tcPr>
            <w:tcW w:w="799" w:type="dxa"/>
            <w:vMerge w:val="restart"/>
          </w:tcPr>
          <w:p>
            <w:pPr>
              <w:pStyle w:val="TableParagraph"/>
              <w:jc w:val="left"/>
              <w:rPr>
                <w:rFonts w:ascii="Times New Roman"/>
                <w:sz w:val="18"/>
              </w:rPr>
            </w:pPr>
          </w:p>
        </w:tc>
        <w:tc>
          <w:tcPr>
            <w:tcW w:w="4332" w:type="dxa"/>
          </w:tcPr>
          <w:p>
            <w:pPr>
              <w:pStyle w:val="TableParagraph"/>
              <w:spacing w:line="249" w:lineRule="auto" w:before="12"/>
              <w:ind w:left="107" w:right="72"/>
              <w:jc w:val="both"/>
              <w:rPr>
                <w:sz w:val="18"/>
              </w:rPr>
            </w:pPr>
            <w:r>
              <w:rPr>
                <w:sz w:val="18"/>
              </w:rPr>
              <w:t>初期雨水等必须分类收集、分质处理。全厂原则上只能设一个污水排放口和一个雨水（清下水）排放口， 根据环保部门要求，重点排污单位应当安装在线监测监控设施。</w:t>
            </w:r>
          </w:p>
          <w:p>
            <w:pPr>
              <w:pStyle w:val="TableParagraph"/>
              <w:spacing w:line="249" w:lineRule="auto"/>
              <w:ind w:left="107" w:right="91"/>
              <w:jc w:val="both"/>
              <w:rPr>
                <w:sz w:val="18"/>
              </w:rPr>
            </w:pPr>
            <w:r>
              <w:rPr>
                <w:spacing w:val="-3"/>
                <w:sz w:val="18"/>
              </w:rPr>
              <w:t>必须配套合适的农药生产废水预处理措施和设施，污</w:t>
            </w:r>
            <w:r>
              <w:rPr>
                <w:spacing w:val="6"/>
                <w:sz w:val="18"/>
              </w:rPr>
              <w:t>水处理工艺设计必须考虑生产过程使用或产生的高</w:t>
            </w:r>
            <w:r>
              <w:rPr>
                <w:spacing w:val="-3"/>
                <w:sz w:val="18"/>
              </w:rPr>
              <w:t>毒害或生物抑制性强、难降解有机物的处理单元，高</w:t>
            </w:r>
            <w:r>
              <w:rPr>
                <w:spacing w:val="-6"/>
                <w:sz w:val="18"/>
              </w:rPr>
              <w:t>氨氮、高磷酸盐、高盐份、高浓度难降解等废水应配</w:t>
            </w:r>
            <w:r>
              <w:rPr>
                <w:spacing w:val="-8"/>
                <w:sz w:val="18"/>
              </w:rPr>
              <w:t>套单独的预处理措施，鼓励高浓度、难降解有机废水采用焚烧方式处理。</w:t>
            </w:r>
          </w:p>
          <w:p>
            <w:pPr>
              <w:pStyle w:val="TableParagraph"/>
              <w:spacing w:line="249" w:lineRule="auto" w:before="1"/>
              <w:ind w:left="107" w:right="95"/>
              <w:jc w:val="both"/>
              <w:rPr>
                <w:sz w:val="18"/>
              </w:rPr>
            </w:pPr>
            <w:r>
              <w:rPr>
                <w:spacing w:val="-3"/>
                <w:sz w:val="18"/>
              </w:rPr>
              <w:t>必须采取有效的土壤和地下水污染防治措施，工艺废水管线应采取地上明管或架空敷设，生产区地面应进</w:t>
            </w:r>
            <w:r>
              <w:rPr>
                <w:spacing w:val="-4"/>
                <w:sz w:val="18"/>
              </w:rPr>
              <w:t>行防渗处理。罐区和废物暂存场所的地面应硬化、</w:t>
            </w:r>
            <w:r>
              <w:rPr>
                <w:spacing w:val="-113"/>
                <w:sz w:val="18"/>
              </w:rPr>
              <w:t>防</w:t>
            </w:r>
          </w:p>
          <w:p>
            <w:pPr>
              <w:pStyle w:val="TableParagraph"/>
              <w:spacing w:line="208" w:lineRule="exact" w:before="1"/>
              <w:ind w:left="107"/>
              <w:jc w:val="left"/>
              <w:rPr>
                <w:sz w:val="18"/>
              </w:rPr>
            </w:pPr>
            <w:r>
              <w:rPr>
                <w:w w:val="105"/>
                <w:sz w:val="18"/>
              </w:rPr>
              <w:t>渗处理，四周建围堰并采取防雨措施。</w:t>
            </w:r>
          </w:p>
        </w:tc>
        <w:tc>
          <w:tcPr>
            <w:tcW w:w="3300" w:type="dxa"/>
          </w:tcPr>
          <w:p>
            <w:pPr>
              <w:pStyle w:val="TableParagraph"/>
              <w:spacing w:before="12"/>
              <w:ind w:left="106"/>
              <w:jc w:val="left"/>
              <w:rPr>
                <w:sz w:val="18"/>
              </w:rPr>
            </w:pPr>
            <w:r>
              <w:rPr>
                <w:w w:val="115"/>
                <w:sz w:val="18"/>
              </w:rPr>
              <w:t>控设施。</w:t>
            </w:r>
          </w:p>
          <w:p>
            <w:pPr>
              <w:pStyle w:val="TableParagraph"/>
              <w:spacing w:line="249" w:lineRule="auto" w:before="9"/>
              <w:ind w:left="106" w:right="94"/>
              <w:jc w:val="both"/>
              <w:rPr>
                <w:sz w:val="18"/>
              </w:rPr>
            </w:pPr>
            <w:r>
              <w:rPr>
                <w:rFonts w:ascii="Times New Roman" w:eastAsia="Times New Roman"/>
                <w:sz w:val="18"/>
              </w:rPr>
              <w:t>2</w:t>
            </w:r>
            <w:r>
              <w:rPr>
                <w:spacing w:val="-10"/>
                <w:sz w:val="18"/>
              </w:rPr>
              <w:t>、项目将配套合适的农药生产废水预处</w:t>
            </w:r>
            <w:r>
              <w:rPr>
                <w:spacing w:val="-1"/>
                <w:sz w:val="18"/>
              </w:rPr>
              <w:t>理措施和设施，工艺废水经预处理后再</w:t>
            </w:r>
            <w:r>
              <w:rPr>
                <w:sz w:val="18"/>
              </w:rPr>
              <w:t>集中处理达标纳管排放。</w:t>
            </w:r>
          </w:p>
          <w:p>
            <w:pPr>
              <w:pStyle w:val="TableParagraph"/>
              <w:spacing w:line="249" w:lineRule="auto" w:before="1"/>
              <w:ind w:left="106" w:right="95"/>
              <w:jc w:val="both"/>
              <w:rPr>
                <w:sz w:val="18"/>
              </w:rPr>
            </w:pPr>
            <w:r>
              <w:rPr>
                <w:rFonts w:ascii="Times New Roman" w:eastAsia="Times New Roman"/>
                <w:sz w:val="18"/>
              </w:rPr>
              <w:t>3</w:t>
            </w:r>
            <w:r>
              <w:rPr>
                <w:spacing w:val="-10"/>
                <w:sz w:val="18"/>
              </w:rPr>
              <w:t>、企业根据要求设置有效的地下水和土</w:t>
            </w:r>
            <w:r>
              <w:rPr>
                <w:spacing w:val="-1"/>
                <w:sz w:val="18"/>
              </w:rPr>
              <w:t>壤污染防治措施，工艺废水管线采用地</w:t>
            </w:r>
            <w:r>
              <w:rPr>
                <w:sz w:val="18"/>
              </w:rPr>
              <w:t>上明管或架空敷设</w:t>
            </w:r>
            <w:r>
              <w:rPr>
                <w:w w:val="115"/>
                <w:sz w:val="18"/>
              </w:rPr>
              <w:t>。生</w:t>
            </w:r>
            <w:r>
              <w:rPr>
                <w:sz w:val="18"/>
              </w:rPr>
              <w:t>产区地面须进</w:t>
            </w:r>
            <w:r>
              <w:rPr>
                <w:spacing w:val="-135"/>
                <w:sz w:val="18"/>
              </w:rPr>
              <w:t>行</w:t>
            </w:r>
            <w:r>
              <w:rPr>
                <w:sz w:val="18"/>
              </w:rPr>
              <w:t>防渗处</w:t>
            </w:r>
            <w:r>
              <w:rPr>
                <w:w w:val="115"/>
                <w:sz w:val="18"/>
              </w:rPr>
              <w:t>理。</w:t>
            </w:r>
            <w:r>
              <w:rPr>
                <w:sz w:val="18"/>
              </w:rPr>
              <w:t>罐区和废物暂存场所的地</w:t>
            </w:r>
            <w:r>
              <w:rPr>
                <w:spacing w:val="-133"/>
                <w:sz w:val="18"/>
              </w:rPr>
              <w:t>面</w:t>
            </w:r>
            <w:r>
              <w:rPr>
                <w:spacing w:val="-1"/>
                <w:sz w:val="18"/>
              </w:rPr>
              <w:t>须硬化、防渗处理，四周建围堰并采取</w:t>
            </w:r>
            <w:r>
              <w:rPr>
                <w:sz w:val="18"/>
              </w:rPr>
              <w:t>防雨措施。</w:t>
            </w:r>
          </w:p>
        </w:tc>
        <w:tc>
          <w:tcPr>
            <w:tcW w:w="853" w:type="dxa"/>
          </w:tcPr>
          <w:p>
            <w:pPr>
              <w:pStyle w:val="TableParagraph"/>
              <w:jc w:val="left"/>
              <w:rPr>
                <w:rFonts w:ascii="Times New Roman"/>
                <w:sz w:val="18"/>
              </w:rPr>
            </w:pPr>
          </w:p>
        </w:tc>
      </w:tr>
      <w:tr>
        <w:trPr>
          <w:trHeight w:val="2402" w:hRule="atLeast"/>
        </w:trPr>
        <w:tc>
          <w:tcPr>
            <w:tcW w:w="799" w:type="dxa"/>
            <w:vMerge/>
            <w:tcBorders>
              <w:top w:val="nil"/>
            </w:tcBorders>
          </w:tcPr>
          <w:p>
            <w:pPr>
              <w:rPr>
                <w:sz w:val="2"/>
                <w:szCs w:val="2"/>
              </w:rPr>
            </w:pPr>
          </w:p>
        </w:tc>
        <w:tc>
          <w:tcPr>
            <w:tcW w:w="4332" w:type="dxa"/>
          </w:tcPr>
          <w:p>
            <w:pPr>
              <w:pStyle w:val="TableParagraph"/>
              <w:spacing w:before="14"/>
              <w:ind w:left="107"/>
              <w:jc w:val="left"/>
              <w:rPr>
                <w:sz w:val="18"/>
              </w:rPr>
            </w:pPr>
            <w:r>
              <w:rPr>
                <w:rFonts w:ascii="Times New Roman" w:eastAsia="Times New Roman"/>
                <w:sz w:val="18"/>
              </w:rPr>
              <w:t>2</w:t>
            </w:r>
            <w:r>
              <w:rPr>
                <w:sz w:val="18"/>
              </w:rPr>
              <w:t>、大气污染防治措施</w:t>
            </w:r>
          </w:p>
          <w:p>
            <w:pPr>
              <w:pStyle w:val="TableParagraph"/>
              <w:spacing w:line="249" w:lineRule="auto" w:before="9"/>
              <w:ind w:left="107" w:right="91"/>
              <w:jc w:val="both"/>
              <w:rPr>
                <w:sz w:val="18"/>
              </w:rPr>
            </w:pPr>
            <w:r>
              <w:rPr>
                <w:spacing w:val="-6"/>
                <w:sz w:val="18"/>
              </w:rPr>
              <w:t>采取分类、适用技术处理各类废气污染物</w:t>
            </w:r>
            <w:r>
              <w:rPr>
                <w:spacing w:val="-39"/>
                <w:w w:val="180"/>
                <w:sz w:val="18"/>
              </w:rPr>
              <w:t>。</w:t>
            </w:r>
            <w:r>
              <w:rPr>
                <w:sz w:val="18"/>
              </w:rPr>
              <w:t>酸</w:t>
            </w:r>
            <w:r>
              <w:rPr>
                <w:rFonts w:ascii="Times New Roman" w:eastAsia="Times New Roman"/>
                <w:sz w:val="18"/>
              </w:rPr>
              <w:t>/</w:t>
            </w:r>
            <w:r>
              <w:rPr>
                <w:sz w:val="18"/>
              </w:rPr>
              <w:t>碱性</w:t>
            </w:r>
            <w:r>
              <w:rPr>
                <w:spacing w:val="-180"/>
                <w:sz w:val="18"/>
              </w:rPr>
              <w:t>废</w:t>
            </w:r>
            <w:r>
              <w:rPr>
                <w:spacing w:val="-5"/>
                <w:sz w:val="18"/>
              </w:rPr>
              <w:t>气可采用水吸收、碱</w:t>
            </w:r>
            <w:r>
              <w:rPr>
                <w:rFonts w:ascii="Times New Roman" w:eastAsia="Times New Roman"/>
                <w:sz w:val="18"/>
              </w:rPr>
              <w:t>/</w:t>
            </w:r>
            <w:r>
              <w:rPr>
                <w:spacing w:val="-7"/>
                <w:sz w:val="18"/>
              </w:rPr>
              <w:t>酸吸收；有机废气优先考虑低温</w:t>
            </w:r>
            <w:r>
              <w:rPr>
                <w:spacing w:val="-3"/>
                <w:sz w:val="18"/>
              </w:rPr>
              <w:t>冷凝或蒸馏等适用技术回收物料，并对废气进行有效</w:t>
            </w:r>
            <w:r>
              <w:rPr>
                <w:spacing w:val="-4"/>
                <w:sz w:val="18"/>
              </w:rPr>
              <w:t>收集和有针对性地焚烧、吸收、吸附处理，特别要关</w:t>
            </w:r>
            <w:r>
              <w:rPr>
                <w:spacing w:val="6"/>
                <w:sz w:val="18"/>
              </w:rPr>
              <w:t>注对恶臭污染物的除臭处置，提倡有机废气焚烧处</w:t>
            </w:r>
            <w:r>
              <w:rPr>
                <w:spacing w:val="-6"/>
                <w:sz w:val="18"/>
              </w:rPr>
              <w:t>理；含除草剂原药的废气宜采用高效过滤或水膜除尘处理；制剂车间的有机溶剂废气必须采用合理可行的治理技术；确保排气筒与厂界排放指标达到国家规定</w:t>
            </w:r>
          </w:p>
          <w:p>
            <w:pPr>
              <w:pStyle w:val="TableParagraph"/>
              <w:spacing w:line="208" w:lineRule="exact" w:before="2"/>
              <w:ind w:left="107"/>
              <w:jc w:val="left"/>
              <w:rPr>
                <w:sz w:val="18"/>
              </w:rPr>
            </w:pPr>
            <w:r>
              <w:rPr>
                <w:w w:val="105"/>
                <w:sz w:val="18"/>
              </w:rPr>
              <w:t>的控制标准要求。</w:t>
            </w:r>
          </w:p>
        </w:tc>
        <w:tc>
          <w:tcPr>
            <w:tcW w:w="3300" w:type="dxa"/>
          </w:tcPr>
          <w:p>
            <w:pPr>
              <w:pStyle w:val="TableParagraph"/>
              <w:jc w:val="left"/>
              <w:rPr>
                <w:rFonts w:ascii="Times New Roman"/>
                <w:sz w:val="18"/>
              </w:rPr>
            </w:pPr>
          </w:p>
          <w:p>
            <w:pPr>
              <w:pStyle w:val="TableParagraph"/>
              <w:jc w:val="left"/>
              <w:rPr>
                <w:rFonts w:ascii="Times New Roman"/>
                <w:sz w:val="25"/>
              </w:rPr>
            </w:pPr>
          </w:p>
          <w:p>
            <w:pPr>
              <w:pStyle w:val="TableParagraph"/>
              <w:spacing w:line="249" w:lineRule="auto"/>
              <w:ind w:left="106" w:right="20"/>
              <w:jc w:val="left"/>
              <w:rPr>
                <w:sz w:val="18"/>
              </w:rPr>
            </w:pPr>
            <w:r>
              <w:rPr>
                <w:sz w:val="18"/>
              </w:rPr>
              <w:t>项目采用适合的废气污染物治理措施， 先在废气预处理的基础上，最终废气通过集中处理装置（两级碱喷淋）或次钠氧化</w:t>
            </w:r>
            <w:r>
              <w:rPr>
                <w:rFonts w:ascii="Times New Roman" w:eastAsia="Times New Roman"/>
                <w:sz w:val="18"/>
              </w:rPr>
              <w:t>+</w:t>
            </w:r>
            <w:r>
              <w:rPr>
                <w:sz w:val="18"/>
              </w:rPr>
              <w:t>碱喷淋处理后达标排放。经预测</w:t>
            </w:r>
            <w:r>
              <w:rPr>
                <w:spacing w:val="-111"/>
                <w:sz w:val="18"/>
              </w:rPr>
              <w:t>，</w:t>
            </w:r>
            <w:r>
              <w:rPr>
                <w:spacing w:val="-88"/>
                <w:sz w:val="18"/>
              </w:rPr>
              <w:t> </w:t>
            </w:r>
            <w:r>
              <w:rPr>
                <w:sz w:val="18"/>
              </w:rPr>
              <w:t>可以确保排气筒与厂界排放指标达到国家规定的控制标准要求。</w:t>
            </w:r>
          </w:p>
        </w:tc>
        <w:tc>
          <w:tcPr>
            <w:tcW w:w="853" w:type="dxa"/>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2"/>
              <w:jc w:val="left"/>
              <w:rPr>
                <w:rFonts w:ascii="Times New Roman"/>
                <w:sz w:val="23"/>
              </w:rPr>
            </w:pPr>
          </w:p>
          <w:p>
            <w:pPr>
              <w:pStyle w:val="TableParagraph"/>
              <w:ind w:left="35" w:right="26"/>
              <w:rPr>
                <w:sz w:val="18"/>
              </w:rPr>
            </w:pPr>
            <w:r>
              <w:rPr>
                <w:sz w:val="18"/>
              </w:rPr>
              <w:t>符合</w:t>
            </w:r>
          </w:p>
        </w:tc>
      </w:tr>
      <w:tr>
        <w:trPr>
          <w:trHeight w:val="1753" w:hRule="atLeast"/>
        </w:trPr>
        <w:tc>
          <w:tcPr>
            <w:tcW w:w="799" w:type="dxa"/>
            <w:vMerge/>
            <w:tcBorders>
              <w:top w:val="nil"/>
            </w:tcBorders>
          </w:tcPr>
          <w:p>
            <w:pPr>
              <w:rPr>
                <w:sz w:val="2"/>
                <w:szCs w:val="2"/>
              </w:rPr>
            </w:pPr>
          </w:p>
        </w:tc>
        <w:tc>
          <w:tcPr>
            <w:tcW w:w="4332" w:type="dxa"/>
          </w:tcPr>
          <w:p>
            <w:pPr>
              <w:pStyle w:val="TableParagraph"/>
              <w:spacing w:before="12"/>
              <w:ind w:left="107"/>
              <w:jc w:val="left"/>
              <w:rPr>
                <w:sz w:val="18"/>
              </w:rPr>
            </w:pPr>
            <w:r>
              <w:rPr>
                <w:rFonts w:ascii="Times New Roman" w:eastAsia="Times New Roman"/>
                <w:sz w:val="18"/>
              </w:rPr>
              <w:t>3</w:t>
            </w:r>
            <w:r>
              <w:rPr>
                <w:sz w:val="18"/>
              </w:rPr>
              <w:t>、固废污染防治措施</w:t>
            </w:r>
          </w:p>
          <w:p>
            <w:pPr>
              <w:pStyle w:val="TableParagraph"/>
              <w:spacing w:line="249" w:lineRule="auto" w:before="9"/>
              <w:ind w:left="107" w:right="95"/>
              <w:jc w:val="both"/>
              <w:rPr>
                <w:sz w:val="18"/>
              </w:rPr>
            </w:pPr>
            <w:r>
              <w:rPr>
                <w:spacing w:val="-5"/>
                <w:sz w:val="18"/>
              </w:rPr>
              <w:t>根据“资源化、减量化、无害化”的原则，对固废进</w:t>
            </w:r>
            <w:r>
              <w:rPr>
                <w:spacing w:val="-4"/>
                <w:sz w:val="18"/>
              </w:rPr>
              <w:t>行分类收集、规范处置。一般工业固体废物自行处</w:t>
            </w:r>
            <w:r>
              <w:rPr>
                <w:spacing w:val="-114"/>
                <w:sz w:val="18"/>
              </w:rPr>
              <w:t>置</w:t>
            </w:r>
            <w:r>
              <w:rPr>
                <w:spacing w:val="-4"/>
                <w:sz w:val="18"/>
              </w:rPr>
              <w:t>或综合利用的，应当明确最终去向；危险废物应由有</w:t>
            </w:r>
            <w:r>
              <w:rPr>
                <w:sz w:val="18"/>
              </w:rPr>
              <w:t>资质的单位进行处置</w:t>
            </w:r>
            <w:r>
              <w:rPr>
                <w:spacing w:val="-24"/>
                <w:w w:val="180"/>
                <w:sz w:val="18"/>
              </w:rPr>
              <w:t>。</w:t>
            </w:r>
            <w:r>
              <w:rPr>
                <w:spacing w:val="-2"/>
                <w:sz w:val="18"/>
              </w:rPr>
              <w:t>厂区内应设置符合国家要求</w:t>
            </w:r>
            <w:r>
              <w:rPr>
                <w:spacing w:val="-160"/>
                <w:sz w:val="18"/>
              </w:rPr>
              <w:t>的</w:t>
            </w:r>
            <w:r>
              <w:rPr>
                <w:spacing w:val="-3"/>
                <w:sz w:val="18"/>
              </w:rPr>
              <w:t>危险废物临时贮存设施，转移处置应遵守国家、省相关的规定。</w:t>
            </w:r>
          </w:p>
        </w:tc>
        <w:tc>
          <w:tcPr>
            <w:tcW w:w="3300" w:type="dxa"/>
          </w:tcPr>
          <w:p>
            <w:pPr>
              <w:pStyle w:val="TableParagraph"/>
              <w:jc w:val="left"/>
              <w:rPr>
                <w:rFonts w:ascii="Times New Roman"/>
                <w:sz w:val="18"/>
              </w:rPr>
            </w:pPr>
          </w:p>
          <w:p>
            <w:pPr>
              <w:pStyle w:val="TableParagraph"/>
              <w:spacing w:before="5"/>
              <w:jc w:val="left"/>
              <w:rPr>
                <w:rFonts w:ascii="Times New Roman"/>
                <w:sz w:val="17"/>
              </w:rPr>
            </w:pPr>
          </w:p>
          <w:p>
            <w:pPr>
              <w:pStyle w:val="TableParagraph"/>
              <w:spacing w:line="249" w:lineRule="auto"/>
              <w:ind w:left="106" w:right="6"/>
              <w:jc w:val="left"/>
              <w:rPr>
                <w:sz w:val="18"/>
              </w:rPr>
            </w:pPr>
            <w:r>
              <w:rPr>
                <w:sz w:val="18"/>
              </w:rPr>
              <w:t>企业固废经收集、暂存后，危险废物委托有资质单位进行处置。厂区内设置符合国家要求的危险废物临时贮存设施， </w:t>
            </w:r>
            <w:r>
              <w:rPr>
                <w:spacing w:val="-7"/>
                <w:sz w:val="18"/>
              </w:rPr>
              <w:t>转移处置要求遵守国家、省相关的规定</w:t>
            </w:r>
            <w:r>
              <w:rPr>
                <w:spacing w:val="-119"/>
                <w:sz w:val="18"/>
              </w:rPr>
              <w:t>。</w:t>
            </w:r>
          </w:p>
        </w:tc>
        <w:tc>
          <w:tcPr>
            <w:tcW w:w="853" w:type="dxa"/>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147"/>
              <w:ind w:left="35" w:right="26"/>
              <w:rPr>
                <w:sz w:val="18"/>
              </w:rPr>
            </w:pPr>
            <w:r>
              <w:rPr>
                <w:sz w:val="18"/>
              </w:rPr>
              <w:t>符合</w:t>
            </w:r>
          </w:p>
        </w:tc>
      </w:tr>
      <w:tr>
        <w:trPr>
          <w:trHeight w:val="720" w:hRule="atLeast"/>
        </w:trPr>
        <w:tc>
          <w:tcPr>
            <w:tcW w:w="799" w:type="dxa"/>
            <w:vMerge w:val="restart"/>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8"/>
              <w:jc w:val="left"/>
              <w:rPr>
                <w:rFonts w:ascii="Times New Roman"/>
                <w:sz w:val="25"/>
              </w:rPr>
            </w:pPr>
          </w:p>
          <w:p>
            <w:pPr>
              <w:pStyle w:val="TableParagraph"/>
              <w:spacing w:line="249" w:lineRule="auto"/>
              <w:ind w:left="129" w:right="117"/>
              <w:jc w:val="left"/>
              <w:rPr>
                <w:sz w:val="18"/>
              </w:rPr>
            </w:pPr>
            <w:r>
              <w:rPr>
                <w:sz w:val="18"/>
              </w:rPr>
              <w:t>环境风险控制</w:t>
            </w:r>
          </w:p>
        </w:tc>
        <w:tc>
          <w:tcPr>
            <w:tcW w:w="4332" w:type="dxa"/>
          </w:tcPr>
          <w:p>
            <w:pPr>
              <w:pStyle w:val="TableParagraph"/>
              <w:spacing w:line="249" w:lineRule="auto" w:before="12"/>
              <w:ind w:left="107" w:right="103"/>
              <w:jc w:val="left"/>
              <w:rPr>
                <w:sz w:val="18"/>
              </w:rPr>
            </w:pPr>
            <w:r>
              <w:rPr>
                <w:rFonts w:ascii="Times New Roman" w:eastAsia="Times New Roman"/>
                <w:sz w:val="18"/>
              </w:rPr>
              <w:t>1</w:t>
            </w:r>
            <w:r>
              <w:rPr>
                <w:sz w:val="18"/>
              </w:rPr>
              <w:t>、原料与产品方案的合理性分析应考虑运输与储存环节的环境风险比选。</w:t>
            </w:r>
          </w:p>
        </w:tc>
        <w:tc>
          <w:tcPr>
            <w:tcW w:w="3300" w:type="dxa"/>
          </w:tcPr>
          <w:p>
            <w:pPr>
              <w:pStyle w:val="TableParagraph"/>
              <w:spacing w:line="240" w:lineRule="atLeast" w:before="3"/>
              <w:ind w:left="106" w:right="121"/>
              <w:jc w:val="both"/>
              <w:rPr>
                <w:sz w:val="18"/>
              </w:rPr>
            </w:pPr>
            <w:r>
              <w:rPr>
                <w:sz w:val="18"/>
              </w:rPr>
              <w:t>本项目农药原药在选择和设计时已考虑原料与产品方案合理性，考虑运输和储存环境的环境风险。</w:t>
            </w:r>
          </w:p>
        </w:tc>
        <w:tc>
          <w:tcPr>
            <w:tcW w:w="853" w:type="dxa"/>
          </w:tcPr>
          <w:p>
            <w:pPr>
              <w:pStyle w:val="TableParagraph"/>
              <w:spacing w:before="10"/>
              <w:jc w:val="left"/>
              <w:rPr>
                <w:rFonts w:ascii="Times New Roman"/>
                <w:sz w:val="21"/>
              </w:rPr>
            </w:pPr>
          </w:p>
          <w:p>
            <w:pPr>
              <w:pStyle w:val="TableParagraph"/>
              <w:ind w:left="35" w:right="26"/>
              <w:rPr>
                <w:sz w:val="18"/>
              </w:rPr>
            </w:pPr>
            <w:r>
              <w:rPr>
                <w:sz w:val="18"/>
              </w:rPr>
              <w:t>符合</w:t>
            </w:r>
          </w:p>
        </w:tc>
      </w:tr>
      <w:tr>
        <w:trPr>
          <w:trHeight w:val="1196" w:hRule="atLeast"/>
        </w:trPr>
        <w:tc>
          <w:tcPr>
            <w:tcW w:w="799" w:type="dxa"/>
            <w:vMerge/>
            <w:tcBorders>
              <w:top w:val="nil"/>
            </w:tcBorders>
          </w:tcPr>
          <w:p>
            <w:pPr>
              <w:rPr>
                <w:sz w:val="2"/>
                <w:szCs w:val="2"/>
              </w:rPr>
            </w:pPr>
          </w:p>
        </w:tc>
        <w:tc>
          <w:tcPr>
            <w:tcW w:w="4332" w:type="dxa"/>
          </w:tcPr>
          <w:p>
            <w:pPr>
              <w:pStyle w:val="TableParagraph"/>
              <w:spacing w:line="249" w:lineRule="auto" w:before="8"/>
              <w:ind w:left="107" w:right="96"/>
              <w:jc w:val="both"/>
              <w:rPr>
                <w:sz w:val="18"/>
              </w:rPr>
            </w:pPr>
            <w:r>
              <w:rPr>
                <w:rFonts w:ascii="Times New Roman" w:eastAsia="Times New Roman"/>
                <w:spacing w:val="1"/>
                <w:sz w:val="18"/>
              </w:rPr>
              <w:t>2</w:t>
            </w:r>
            <w:r>
              <w:rPr>
                <w:spacing w:val="-4"/>
                <w:sz w:val="18"/>
              </w:rPr>
              <w:t>、必须设置事故池贮存事故废水</w:t>
            </w:r>
            <w:r>
              <w:rPr>
                <w:sz w:val="18"/>
              </w:rPr>
              <w:t>（含消防下水</w:t>
            </w:r>
            <w:r>
              <w:rPr>
                <w:spacing w:val="-92"/>
                <w:sz w:val="18"/>
              </w:rPr>
              <w:t>）</w:t>
            </w:r>
            <w:r>
              <w:rPr>
                <w:spacing w:val="-11"/>
                <w:sz w:val="18"/>
              </w:rPr>
              <w:t>，其</w:t>
            </w:r>
            <w:r>
              <w:rPr>
                <w:spacing w:val="-3"/>
                <w:sz w:val="18"/>
              </w:rPr>
              <w:t>有效容量应可容纳最大事故状态所产生的废水量，并</w:t>
            </w:r>
            <w:r>
              <w:rPr>
                <w:sz w:val="18"/>
              </w:rPr>
              <w:t>对收集的事故废水进行处理。</w:t>
            </w:r>
          </w:p>
        </w:tc>
        <w:tc>
          <w:tcPr>
            <w:tcW w:w="3300" w:type="dxa"/>
          </w:tcPr>
          <w:p>
            <w:pPr>
              <w:pStyle w:val="TableParagraph"/>
              <w:spacing w:line="249" w:lineRule="auto" w:before="8"/>
              <w:ind w:left="106" w:right="120"/>
              <w:jc w:val="left"/>
              <w:rPr>
                <w:sz w:val="18"/>
              </w:rPr>
            </w:pPr>
            <w:r>
              <w:rPr>
                <w:sz w:val="18"/>
              </w:rPr>
              <w:t>项目拟设置有效容积为 </w:t>
            </w:r>
            <w:r>
              <w:rPr>
                <w:rFonts w:ascii="Times New Roman" w:eastAsia="Times New Roman"/>
                <w:sz w:val="18"/>
              </w:rPr>
              <w:t>2600m</w:t>
            </w:r>
            <w:r>
              <w:rPr>
                <w:rFonts w:ascii="Times New Roman" w:eastAsia="Times New Roman"/>
                <w:position w:val="6"/>
                <w:sz w:val="12"/>
              </w:rPr>
              <w:t>3 </w:t>
            </w:r>
            <w:r>
              <w:rPr>
                <w:sz w:val="18"/>
              </w:rPr>
              <w:t>的事故应急池，能满足事故状态下风险要求， 其有效容量应可容纳最大事故状态所产生的废水量，并对收集的事故废水进行</w:t>
            </w:r>
          </w:p>
          <w:p>
            <w:pPr>
              <w:pStyle w:val="TableParagraph"/>
              <w:spacing w:line="208" w:lineRule="exact" w:before="1"/>
              <w:ind w:left="106"/>
              <w:jc w:val="left"/>
              <w:rPr>
                <w:sz w:val="18"/>
              </w:rPr>
            </w:pPr>
            <w:r>
              <w:rPr>
                <w:w w:val="120"/>
                <w:sz w:val="18"/>
              </w:rPr>
              <w:t>处理。</w:t>
            </w:r>
          </w:p>
        </w:tc>
        <w:tc>
          <w:tcPr>
            <w:tcW w:w="853" w:type="dxa"/>
          </w:tcPr>
          <w:p>
            <w:pPr>
              <w:pStyle w:val="TableParagraph"/>
              <w:jc w:val="left"/>
              <w:rPr>
                <w:rFonts w:ascii="Times New Roman"/>
                <w:sz w:val="18"/>
              </w:rPr>
            </w:pPr>
          </w:p>
          <w:p>
            <w:pPr>
              <w:pStyle w:val="TableParagraph"/>
              <w:spacing w:before="5"/>
              <w:jc w:val="left"/>
              <w:rPr>
                <w:rFonts w:ascii="Times New Roman"/>
                <w:sz w:val="24"/>
              </w:rPr>
            </w:pPr>
          </w:p>
          <w:p>
            <w:pPr>
              <w:pStyle w:val="TableParagraph"/>
              <w:spacing w:before="1"/>
              <w:ind w:left="35" w:right="26"/>
              <w:rPr>
                <w:sz w:val="18"/>
              </w:rPr>
            </w:pPr>
            <w:r>
              <w:rPr>
                <w:sz w:val="18"/>
              </w:rPr>
              <w:t>符合</w:t>
            </w:r>
          </w:p>
        </w:tc>
      </w:tr>
      <w:tr>
        <w:trPr>
          <w:trHeight w:val="719" w:hRule="atLeast"/>
        </w:trPr>
        <w:tc>
          <w:tcPr>
            <w:tcW w:w="799" w:type="dxa"/>
            <w:vMerge/>
            <w:tcBorders>
              <w:top w:val="nil"/>
            </w:tcBorders>
          </w:tcPr>
          <w:p>
            <w:pPr>
              <w:rPr>
                <w:sz w:val="2"/>
                <w:szCs w:val="2"/>
              </w:rPr>
            </w:pPr>
          </w:p>
        </w:tc>
        <w:tc>
          <w:tcPr>
            <w:tcW w:w="4332" w:type="dxa"/>
          </w:tcPr>
          <w:p>
            <w:pPr>
              <w:pStyle w:val="TableParagraph"/>
              <w:spacing w:line="240" w:lineRule="atLeast" w:before="2"/>
              <w:ind w:left="107" w:right="96"/>
              <w:jc w:val="both"/>
              <w:rPr>
                <w:sz w:val="18"/>
              </w:rPr>
            </w:pPr>
            <w:r>
              <w:rPr>
                <w:rFonts w:ascii="Times New Roman" w:eastAsia="Times New Roman"/>
                <w:spacing w:val="3"/>
                <w:sz w:val="18"/>
              </w:rPr>
              <w:t>3</w:t>
            </w:r>
            <w:r>
              <w:rPr>
                <w:sz w:val="18"/>
              </w:rPr>
              <w:t>、农药企业所在的园区应编制环境风险应急预案， </w:t>
            </w:r>
            <w:r>
              <w:rPr>
                <w:spacing w:val="-3"/>
                <w:sz w:val="18"/>
              </w:rPr>
              <w:t>必须具备风险应急救援能力和应急指挥能力，并满足</w:t>
            </w:r>
            <w:r>
              <w:rPr>
                <w:sz w:val="18"/>
              </w:rPr>
              <w:t>化工类事故处理和救援的需要。</w:t>
            </w:r>
          </w:p>
        </w:tc>
        <w:tc>
          <w:tcPr>
            <w:tcW w:w="3300" w:type="dxa"/>
            <w:vMerge w:val="restart"/>
          </w:tcPr>
          <w:p>
            <w:pPr>
              <w:pStyle w:val="TableParagraph"/>
              <w:spacing w:line="240" w:lineRule="atLeast" w:before="7"/>
              <w:ind w:left="106" w:right="94"/>
              <w:jc w:val="both"/>
              <w:rPr>
                <w:sz w:val="18"/>
              </w:rPr>
            </w:pPr>
            <w:r>
              <w:rPr>
                <w:spacing w:val="10"/>
                <w:sz w:val="18"/>
              </w:rPr>
              <w:t>企业所在地杭州湾上虞经济技术开发</w:t>
            </w:r>
            <w:r>
              <w:rPr>
                <w:spacing w:val="2"/>
                <w:sz w:val="18"/>
              </w:rPr>
              <w:t>区，项目建设完成后，编制环境风险应</w:t>
            </w:r>
            <w:r>
              <w:rPr>
                <w:sz w:val="18"/>
              </w:rPr>
              <w:t>急预案，并根据要求进行演练。并与</w:t>
            </w:r>
            <w:r>
              <w:rPr>
                <w:spacing w:val="-120"/>
                <w:sz w:val="18"/>
              </w:rPr>
              <w:t>区</w:t>
            </w:r>
            <w:r>
              <w:rPr>
                <w:sz w:val="18"/>
              </w:rPr>
              <w:t>域环境风险应急预案实现联动。配备</w:t>
            </w:r>
            <w:r>
              <w:rPr>
                <w:spacing w:val="-123"/>
                <w:sz w:val="18"/>
              </w:rPr>
              <w:t>风</w:t>
            </w:r>
            <w:r>
              <w:rPr>
                <w:spacing w:val="-1"/>
                <w:sz w:val="18"/>
              </w:rPr>
              <w:t>险应急救援能力和应急指挥能力，并满</w:t>
            </w:r>
            <w:r>
              <w:rPr>
                <w:sz w:val="18"/>
              </w:rPr>
              <w:t>足化工类事故处理和救援的需要。</w:t>
            </w:r>
          </w:p>
        </w:tc>
        <w:tc>
          <w:tcPr>
            <w:tcW w:w="853" w:type="dxa"/>
          </w:tcPr>
          <w:p>
            <w:pPr>
              <w:pStyle w:val="TableParagraph"/>
              <w:spacing w:before="10"/>
              <w:jc w:val="left"/>
              <w:rPr>
                <w:rFonts w:ascii="Times New Roman"/>
                <w:sz w:val="21"/>
              </w:rPr>
            </w:pPr>
          </w:p>
          <w:p>
            <w:pPr>
              <w:pStyle w:val="TableParagraph"/>
              <w:ind w:left="35" w:right="26"/>
              <w:rPr>
                <w:sz w:val="18"/>
              </w:rPr>
            </w:pPr>
            <w:r>
              <w:rPr>
                <w:sz w:val="18"/>
              </w:rPr>
              <w:t>符合</w:t>
            </w:r>
          </w:p>
        </w:tc>
      </w:tr>
      <w:tr>
        <w:trPr>
          <w:trHeight w:val="717" w:hRule="atLeast"/>
        </w:trPr>
        <w:tc>
          <w:tcPr>
            <w:tcW w:w="799" w:type="dxa"/>
            <w:vMerge/>
            <w:tcBorders>
              <w:top w:val="nil"/>
            </w:tcBorders>
          </w:tcPr>
          <w:p>
            <w:pPr>
              <w:rPr>
                <w:sz w:val="2"/>
                <w:szCs w:val="2"/>
              </w:rPr>
            </w:pPr>
          </w:p>
        </w:tc>
        <w:tc>
          <w:tcPr>
            <w:tcW w:w="4332" w:type="dxa"/>
          </w:tcPr>
          <w:p>
            <w:pPr>
              <w:pStyle w:val="TableParagraph"/>
              <w:spacing w:line="240" w:lineRule="atLeast"/>
              <w:ind w:left="107" w:right="95"/>
              <w:jc w:val="both"/>
              <w:rPr>
                <w:sz w:val="18"/>
              </w:rPr>
            </w:pPr>
            <w:r>
              <w:rPr>
                <w:rFonts w:ascii="Times New Roman" w:eastAsia="Times New Roman"/>
                <w:spacing w:val="3"/>
                <w:sz w:val="18"/>
              </w:rPr>
              <w:t>4</w:t>
            </w:r>
            <w:r>
              <w:rPr>
                <w:sz w:val="18"/>
              </w:rPr>
              <w:t>、农药生产企业必须配备满足要求的环境风险防范</w:t>
            </w:r>
            <w:r>
              <w:rPr>
                <w:spacing w:val="-4"/>
                <w:sz w:val="18"/>
              </w:rPr>
              <w:t>措施和应急设施，制定有效的应急预案，并与区域环</w:t>
            </w:r>
            <w:r>
              <w:rPr>
                <w:sz w:val="18"/>
              </w:rPr>
              <w:t>境风险应急预案实现联动。</w:t>
            </w:r>
          </w:p>
        </w:tc>
        <w:tc>
          <w:tcPr>
            <w:tcW w:w="3300" w:type="dxa"/>
            <w:vMerge/>
            <w:tcBorders>
              <w:top w:val="nil"/>
            </w:tcBorders>
          </w:tcPr>
          <w:p>
            <w:pPr>
              <w:rPr>
                <w:sz w:val="2"/>
                <w:szCs w:val="2"/>
              </w:rPr>
            </w:pPr>
          </w:p>
        </w:tc>
        <w:tc>
          <w:tcPr>
            <w:tcW w:w="853" w:type="dxa"/>
          </w:tcPr>
          <w:p>
            <w:pPr>
              <w:pStyle w:val="TableParagraph"/>
              <w:spacing w:before="7"/>
              <w:jc w:val="left"/>
              <w:rPr>
                <w:rFonts w:ascii="Times New Roman"/>
                <w:sz w:val="21"/>
              </w:rPr>
            </w:pPr>
          </w:p>
          <w:p>
            <w:pPr>
              <w:pStyle w:val="TableParagraph"/>
              <w:spacing w:before="1"/>
              <w:ind w:left="35" w:right="26"/>
              <w:rPr>
                <w:sz w:val="18"/>
              </w:rPr>
            </w:pPr>
            <w:r>
              <w:rPr>
                <w:sz w:val="18"/>
              </w:rPr>
              <w:t>符合</w:t>
            </w:r>
          </w:p>
        </w:tc>
      </w:tr>
      <w:tr>
        <w:trPr>
          <w:trHeight w:val="957" w:hRule="atLeast"/>
        </w:trPr>
        <w:tc>
          <w:tcPr>
            <w:tcW w:w="799" w:type="dxa"/>
            <w:vMerge/>
            <w:tcBorders>
              <w:top w:val="nil"/>
            </w:tcBorders>
          </w:tcPr>
          <w:p>
            <w:pPr>
              <w:rPr>
                <w:sz w:val="2"/>
                <w:szCs w:val="2"/>
              </w:rPr>
            </w:pPr>
          </w:p>
        </w:tc>
        <w:tc>
          <w:tcPr>
            <w:tcW w:w="4332" w:type="dxa"/>
          </w:tcPr>
          <w:p>
            <w:pPr>
              <w:pStyle w:val="TableParagraph"/>
              <w:spacing w:line="249" w:lineRule="auto" w:before="9"/>
              <w:ind w:left="107" w:right="96"/>
              <w:jc w:val="both"/>
              <w:rPr>
                <w:sz w:val="18"/>
              </w:rPr>
            </w:pPr>
            <w:r>
              <w:rPr>
                <w:rFonts w:ascii="Times New Roman" w:eastAsia="Times New Roman"/>
                <w:spacing w:val="3"/>
                <w:sz w:val="18"/>
              </w:rPr>
              <w:t>5</w:t>
            </w:r>
            <w:r>
              <w:rPr>
                <w:sz w:val="18"/>
              </w:rPr>
              <w:t>、农药企业搬迁后原厂区调整土地使用功能的，应</w:t>
            </w:r>
            <w:r>
              <w:rPr>
                <w:spacing w:val="6"/>
                <w:sz w:val="18"/>
              </w:rPr>
              <w:t>根据相关技术规范进行场地环境风险评估和生态修复</w:t>
            </w:r>
            <w:r>
              <w:rPr>
                <w:spacing w:val="-24"/>
                <w:w w:val="180"/>
                <w:sz w:val="18"/>
              </w:rPr>
              <w:t>。</w:t>
            </w:r>
            <w:r>
              <w:rPr>
                <w:spacing w:val="-1"/>
                <w:sz w:val="18"/>
              </w:rPr>
              <w:t>新建农药项目在动工建设前应调查厂区土壤和 </w:t>
            </w:r>
            <w:r>
              <w:rPr>
                <w:spacing w:val="-160"/>
                <w:sz w:val="18"/>
              </w:rPr>
              <w:t>地</w:t>
            </w:r>
          </w:p>
          <w:p>
            <w:pPr>
              <w:pStyle w:val="TableParagraph"/>
              <w:spacing w:line="208" w:lineRule="exact" w:before="1"/>
              <w:ind w:left="107"/>
              <w:jc w:val="left"/>
              <w:rPr>
                <w:sz w:val="18"/>
              </w:rPr>
            </w:pPr>
            <w:r>
              <w:rPr>
                <w:w w:val="105"/>
                <w:sz w:val="18"/>
              </w:rPr>
              <w:t>下水的环境背景值。</w:t>
            </w:r>
          </w:p>
        </w:tc>
        <w:tc>
          <w:tcPr>
            <w:tcW w:w="3300" w:type="dxa"/>
          </w:tcPr>
          <w:p>
            <w:pPr>
              <w:pStyle w:val="TableParagraph"/>
              <w:spacing w:line="249" w:lineRule="auto" w:before="129"/>
              <w:ind w:left="118" w:right="109" w:hanging="1"/>
              <w:rPr>
                <w:sz w:val="18"/>
              </w:rPr>
            </w:pPr>
            <w:r>
              <w:rPr>
                <w:sz w:val="18"/>
              </w:rPr>
              <w:t>本项目不涉及厂区搬迁，项目厂区地块已根据要求调查土壤和地下水环境背景</w:t>
            </w:r>
            <w:r>
              <w:rPr>
                <w:w w:val="115"/>
                <w:sz w:val="18"/>
              </w:rPr>
              <w:t>值。</w:t>
            </w:r>
          </w:p>
        </w:tc>
        <w:tc>
          <w:tcPr>
            <w:tcW w:w="853" w:type="dxa"/>
          </w:tcPr>
          <w:p>
            <w:pPr>
              <w:pStyle w:val="TableParagraph"/>
              <w:jc w:val="left"/>
              <w:rPr>
                <w:rFonts w:ascii="Times New Roman"/>
                <w:sz w:val="18"/>
              </w:rPr>
            </w:pPr>
          </w:p>
        </w:tc>
      </w:tr>
      <w:tr>
        <w:trPr>
          <w:trHeight w:val="1441" w:hRule="atLeast"/>
        </w:trPr>
        <w:tc>
          <w:tcPr>
            <w:tcW w:w="799" w:type="dxa"/>
          </w:tcPr>
          <w:p>
            <w:pPr>
              <w:pStyle w:val="TableParagraph"/>
              <w:jc w:val="left"/>
              <w:rPr>
                <w:rFonts w:ascii="Times New Roman"/>
                <w:sz w:val="18"/>
              </w:rPr>
            </w:pPr>
          </w:p>
          <w:p>
            <w:pPr>
              <w:pStyle w:val="TableParagraph"/>
              <w:spacing w:before="11"/>
              <w:jc w:val="left"/>
              <w:rPr>
                <w:rFonts w:ascii="Times New Roman"/>
                <w:sz w:val="24"/>
              </w:rPr>
            </w:pPr>
          </w:p>
          <w:p>
            <w:pPr>
              <w:pStyle w:val="TableParagraph"/>
              <w:spacing w:line="249" w:lineRule="auto"/>
              <w:ind w:left="309" w:right="117" w:hanging="180"/>
              <w:jc w:val="left"/>
              <w:rPr>
                <w:sz w:val="18"/>
              </w:rPr>
            </w:pPr>
            <w:r>
              <w:rPr>
                <w:sz w:val="18"/>
              </w:rPr>
              <w:t>总量控制</w:t>
            </w:r>
          </w:p>
        </w:tc>
        <w:tc>
          <w:tcPr>
            <w:tcW w:w="4332" w:type="dxa"/>
          </w:tcPr>
          <w:p>
            <w:pPr>
              <w:pStyle w:val="TableParagraph"/>
              <w:spacing w:line="249" w:lineRule="auto" w:before="14"/>
              <w:ind w:left="107" w:right="7"/>
              <w:jc w:val="left"/>
              <w:rPr>
                <w:sz w:val="18"/>
              </w:rPr>
            </w:pPr>
            <w:r>
              <w:rPr>
                <w:rFonts w:ascii="Times New Roman" w:eastAsia="Times New Roman"/>
                <w:sz w:val="18"/>
              </w:rPr>
              <w:t>1</w:t>
            </w:r>
            <w:r>
              <w:rPr>
                <w:spacing w:val="-6"/>
                <w:sz w:val="18"/>
              </w:rPr>
              <w:t>、农药项目总量控制指标主要为化学需氧量、氨氮、</w:t>
            </w:r>
            <w:r>
              <w:rPr>
                <w:spacing w:val="-4"/>
                <w:sz w:val="18"/>
              </w:rPr>
              <w:t>二氧化硫、氮氧化物、挥发性有机物，还应关注相关特征污染因子。</w:t>
            </w:r>
          </w:p>
          <w:p>
            <w:pPr>
              <w:pStyle w:val="TableParagraph"/>
              <w:spacing w:line="249" w:lineRule="auto"/>
              <w:ind w:left="107" w:right="45"/>
              <w:jc w:val="left"/>
              <w:rPr>
                <w:sz w:val="18"/>
              </w:rPr>
            </w:pPr>
            <w:r>
              <w:rPr>
                <w:rFonts w:ascii="Times New Roman" w:eastAsia="Times New Roman"/>
                <w:sz w:val="18"/>
              </w:rPr>
              <w:t>2</w:t>
            </w:r>
            <w:r>
              <w:rPr>
                <w:sz w:val="18"/>
              </w:rPr>
              <w:t>、各产品排污系数要低于各类农药工业污染物排放标准中的单位产品基准排水量相关要求，并按照削减</w:t>
            </w:r>
          </w:p>
          <w:p>
            <w:pPr>
              <w:pStyle w:val="TableParagraph"/>
              <w:spacing w:line="208" w:lineRule="exact" w:before="1"/>
              <w:ind w:left="107"/>
              <w:jc w:val="left"/>
              <w:rPr>
                <w:sz w:val="18"/>
              </w:rPr>
            </w:pPr>
            <w:r>
              <w:rPr>
                <w:rFonts w:ascii="Times New Roman" w:eastAsia="Times New Roman"/>
                <w:sz w:val="18"/>
              </w:rPr>
              <w:t>10%</w:t>
            </w:r>
            <w:r>
              <w:rPr>
                <w:sz w:val="18"/>
              </w:rPr>
              <w:t>以上的要求进行控制</w:t>
            </w:r>
          </w:p>
        </w:tc>
        <w:tc>
          <w:tcPr>
            <w:tcW w:w="3300" w:type="dxa"/>
          </w:tcPr>
          <w:p>
            <w:pPr>
              <w:pStyle w:val="TableParagraph"/>
              <w:spacing w:before="1"/>
              <w:jc w:val="left"/>
              <w:rPr>
                <w:rFonts w:ascii="Times New Roman"/>
                <w:sz w:val="22"/>
              </w:rPr>
            </w:pPr>
          </w:p>
          <w:p>
            <w:pPr>
              <w:pStyle w:val="TableParagraph"/>
              <w:spacing w:line="249" w:lineRule="auto"/>
              <w:ind w:left="106" w:right="25"/>
              <w:jc w:val="left"/>
              <w:rPr>
                <w:sz w:val="18"/>
              </w:rPr>
            </w:pPr>
            <w:r>
              <w:rPr>
                <w:rFonts w:ascii="Times New Roman" w:eastAsia="Times New Roman"/>
                <w:sz w:val="18"/>
              </w:rPr>
              <w:t>1</w:t>
            </w:r>
            <w:r>
              <w:rPr>
                <w:sz w:val="18"/>
              </w:rPr>
              <w:t>、项目总量控制指标为化学需氧量、氨</w:t>
            </w:r>
            <w:r>
              <w:rPr>
                <w:w w:val="105"/>
                <w:sz w:val="18"/>
              </w:rPr>
              <w:t>氮、挥发性有机物</w:t>
            </w:r>
            <w:r>
              <w:rPr>
                <w:w w:val="180"/>
                <w:sz w:val="18"/>
              </w:rPr>
              <w:t>。</w:t>
            </w:r>
          </w:p>
          <w:p>
            <w:pPr>
              <w:pStyle w:val="TableParagraph"/>
              <w:spacing w:line="249" w:lineRule="auto"/>
              <w:ind w:left="106" w:right="29"/>
              <w:jc w:val="left"/>
              <w:rPr>
                <w:sz w:val="18"/>
              </w:rPr>
            </w:pPr>
            <w:r>
              <w:rPr>
                <w:rFonts w:ascii="Times New Roman" w:eastAsia="Times New Roman"/>
                <w:sz w:val="18"/>
              </w:rPr>
              <w:t>2</w:t>
            </w:r>
            <w:r>
              <w:rPr>
                <w:sz w:val="18"/>
              </w:rPr>
              <w:t>、项目原药不涉及相关的农药污染物排放标准，所以无单位排水量。</w:t>
            </w:r>
          </w:p>
        </w:tc>
        <w:tc>
          <w:tcPr>
            <w:tcW w:w="853" w:type="dxa"/>
          </w:tcPr>
          <w:p>
            <w:pPr>
              <w:pStyle w:val="TableParagraph"/>
              <w:jc w:val="left"/>
              <w:rPr>
                <w:rFonts w:ascii="Times New Roman"/>
                <w:sz w:val="18"/>
              </w:rPr>
            </w:pPr>
          </w:p>
          <w:p>
            <w:pPr>
              <w:pStyle w:val="TableParagraph"/>
              <w:jc w:val="left"/>
              <w:rPr>
                <w:rFonts w:ascii="Times New Roman"/>
                <w:sz w:val="18"/>
              </w:rPr>
            </w:pPr>
          </w:p>
          <w:p>
            <w:pPr>
              <w:pStyle w:val="TableParagraph"/>
              <w:spacing w:before="4"/>
              <w:jc w:val="left"/>
              <w:rPr>
                <w:rFonts w:ascii="Times New Roman"/>
                <w:sz w:val="17"/>
              </w:rPr>
            </w:pPr>
          </w:p>
          <w:p>
            <w:pPr>
              <w:pStyle w:val="TableParagraph"/>
              <w:ind w:left="35" w:right="26"/>
              <w:rPr>
                <w:sz w:val="18"/>
              </w:rPr>
            </w:pPr>
            <w:r>
              <w:rPr>
                <w:sz w:val="18"/>
              </w:rPr>
              <w:t>符合</w:t>
            </w:r>
          </w:p>
        </w:tc>
      </w:tr>
    </w:tbl>
    <w:p>
      <w:pPr>
        <w:spacing w:after="0"/>
        <w:rPr>
          <w:sz w:val="18"/>
        </w:rPr>
        <w:sectPr>
          <w:pgSz w:w="11910" w:h="16840"/>
          <w:pgMar w:header="872" w:footer="873" w:top="1100" w:bottom="1060" w:left="1100" w:right="1100"/>
        </w:sectPr>
      </w:pPr>
    </w:p>
    <w:p>
      <w:pPr>
        <w:pStyle w:val="BodyText"/>
        <w:spacing w:before="10"/>
        <w:rPr>
          <w:rFonts w:ascii="Times New Roman"/>
          <w:sz w:val="19"/>
        </w:rPr>
      </w:pPr>
    </w:p>
    <w:p>
      <w:pPr>
        <w:pStyle w:val="BodyText"/>
        <w:spacing w:before="74"/>
        <w:ind w:left="798"/>
      </w:pPr>
      <w:r>
        <w:rPr/>
        <w:t>经分析，项目符合浙环发</w:t>
      </w:r>
      <w:r>
        <w:rPr>
          <w:rFonts w:ascii="Times New Roman" w:eastAsia="Times New Roman"/>
        </w:rPr>
        <w:t>[2016]12 </w:t>
      </w:r>
      <w:r>
        <w:rPr/>
        <w:t>号《浙江省农药产业环境准入指导意见》的要求。</w:t>
      </w:r>
    </w:p>
    <w:p>
      <w:pPr>
        <w:pStyle w:val="Heading3"/>
        <w:numPr>
          <w:ilvl w:val="1"/>
          <w:numId w:val="23"/>
        </w:numPr>
        <w:tabs>
          <w:tab w:pos="864" w:val="left" w:leader="none"/>
        </w:tabs>
        <w:spacing w:line="240" w:lineRule="auto" w:before="159" w:after="0"/>
        <w:ind w:left="863" w:right="0" w:hanging="546"/>
        <w:jc w:val="left"/>
      </w:pPr>
      <w:bookmarkStart w:name="_bookmark72" w:id="145"/>
      <w:bookmarkEnd w:id="145"/>
      <w:r>
        <w:rPr>
          <w:b w:val="0"/>
        </w:rPr>
      </w:r>
      <w:bookmarkStart w:name="_bookmark72" w:id="146"/>
      <w:bookmarkEnd w:id="146"/>
      <w:r>
        <w:rPr/>
        <w:t>总结</w:t>
      </w:r>
    </w:p>
    <w:p>
      <w:pPr>
        <w:pStyle w:val="Heading4"/>
        <w:spacing w:line="364" w:lineRule="auto" w:before="185"/>
        <w:ind w:left="318" w:right="196" w:firstLine="482"/>
      </w:pPr>
      <w:r>
        <w:rPr>
          <w:spacing w:val="4"/>
        </w:rPr>
        <w:t>综上所述，项目的建设符合</w:t>
      </w:r>
      <w:r>
        <w:rPr>
          <w:rFonts w:ascii="Times New Roman" w:hAnsi="Times New Roman" w:eastAsia="Times New Roman"/>
          <w:spacing w:val="4"/>
        </w:rPr>
        <w:t>“</w:t>
      </w:r>
      <w:r>
        <w:rPr>
          <w:spacing w:val="4"/>
        </w:rPr>
        <w:t>三线一单</w:t>
      </w:r>
      <w:r>
        <w:rPr>
          <w:rFonts w:ascii="Times New Roman" w:hAnsi="Times New Roman" w:eastAsia="Times New Roman"/>
          <w:spacing w:val="4"/>
        </w:rPr>
        <w:t>”</w:t>
      </w:r>
      <w:r>
        <w:rPr>
          <w:spacing w:val="3"/>
        </w:rPr>
        <w:t>生态环境分区方案和开发区规划环评的要</w:t>
      </w:r>
      <w:r>
        <w:rPr>
          <w:spacing w:val="-15"/>
        </w:rPr>
        <w:t>求，排放的污染物符合国家、省规定的污染物排放标准和主要污染物排放总量控制指标； </w:t>
      </w:r>
      <w:r>
        <w:rPr/>
        <w:t>从预测结果来看项目实施后周围环境质量符合所在地环境功能区划要求。</w:t>
      </w:r>
    </w:p>
    <w:p>
      <w:pPr>
        <w:pStyle w:val="BodyText"/>
        <w:spacing w:line="364" w:lineRule="auto"/>
        <w:ind w:left="318" w:right="312" w:firstLine="480"/>
        <w:jc w:val="both"/>
      </w:pPr>
      <w:r>
        <w:rPr>
          <w:spacing w:val="-5"/>
        </w:rPr>
        <w:t>项目建设符合城市总体规划；符合国家和地方的产业政策；另外项目也符合《上虞</w:t>
      </w:r>
      <w:r>
        <w:rPr/>
        <w:t>区产业建设项目环境准入指导意见》</w:t>
      </w:r>
      <w:r>
        <w:rPr>
          <w:rFonts w:ascii="Times New Roman" w:eastAsia="Times New Roman"/>
        </w:rPr>
        <w:t>(</w:t>
      </w:r>
      <w:r>
        <w:rPr/>
        <w:t>区委办</w:t>
      </w:r>
      <w:r>
        <w:rPr>
          <w:rFonts w:ascii="Times New Roman" w:eastAsia="Times New Roman"/>
        </w:rPr>
        <w:t>[2016]33 </w:t>
      </w:r>
      <w:r>
        <w:rPr/>
        <w:t>号</w:t>
      </w:r>
      <w:r>
        <w:rPr>
          <w:rFonts w:ascii="Times New Roman" w:eastAsia="Times New Roman"/>
        </w:rPr>
        <w:t>)</w:t>
      </w:r>
      <w:r>
        <w:rPr/>
        <w:t>等各类文件的要求。项目建</w:t>
      </w:r>
      <w:r>
        <w:rPr>
          <w:spacing w:val="-143"/>
        </w:rPr>
        <w:t>设</w:t>
      </w:r>
      <w:r>
        <w:rPr>
          <w:spacing w:val="-8"/>
        </w:rPr>
        <w:t>符合《国务院关于修改〈建设项目环境保护管理条例〉的决定》</w:t>
      </w:r>
      <w:r>
        <w:rPr>
          <w:rFonts w:ascii="Times New Roman" w:eastAsia="Times New Roman"/>
        </w:rPr>
        <w:t>(</w:t>
      </w:r>
      <w:r>
        <w:rPr>
          <w:spacing w:val="-7"/>
        </w:rPr>
        <w:t>中华人民共和国第 </w:t>
      </w:r>
      <w:r>
        <w:rPr>
          <w:rFonts w:ascii="Times New Roman" w:eastAsia="Times New Roman"/>
          <w:spacing w:val="-5"/>
        </w:rPr>
        <w:t>682 </w:t>
      </w:r>
      <w:r>
        <w:rPr/>
        <w:t>号令</w:t>
      </w:r>
      <w:r>
        <w:rPr>
          <w:rFonts w:ascii="Times New Roman" w:eastAsia="Times New Roman"/>
        </w:rPr>
        <w:t>)</w:t>
      </w:r>
      <w:r>
        <w:rPr>
          <w:spacing w:val="-8"/>
        </w:rPr>
        <w:t>和《浙江省建设项目环境保护管理办法》</w:t>
      </w:r>
      <w:r>
        <w:rPr>
          <w:rFonts w:ascii="Times New Roman" w:eastAsia="Times New Roman"/>
        </w:rPr>
        <w:t>(2021 </w:t>
      </w:r>
      <w:r>
        <w:rPr/>
        <w:t>修正</w:t>
      </w:r>
      <w:r>
        <w:rPr>
          <w:rFonts w:ascii="Times New Roman" w:eastAsia="Times New Roman"/>
        </w:rPr>
        <w:t>)</w:t>
      </w:r>
      <w:r>
        <w:rPr>
          <w:spacing w:val="-7"/>
        </w:rPr>
        <w:t>中要求，故项目满足环保审批</w:t>
      </w:r>
      <w:r>
        <w:rPr/>
        <w:t>原则。</w:t>
      </w:r>
    </w:p>
    <w:p>
      <w:pPr>
        <w:spacing w:after="0" w:line="364" w:lineRule="auto"/>
        <w:jc w:val="both"/>
        <w:sectPr>
          <w:pgSz w:w="11910" w:h="16840"/>
          <w:pgMar w:header="872" w:footer="873" w:top="1100" w:bottom="1060" w:left="1100" w:right="1100"/>
        </w:sectPr>
      </w:pPr>
    </w:p>
    <w:p>
      <w:pPr>
        <w:pStyle w:val="BodyText"/>
        <w:spacing w:before="6"/>
        <w:rPr>
          <w:sz w:val="18"/>
        </w:rPr>
      </w:pPr>
    </w:p>
    <w:p>
      <w:pPr>
        <w:pStyle w:val="Heading1"/>
        <w:numPr>
          <w:ilvl w:val="0"/>
          <w:numId w:val="76"/>
        </w:numPr>
        <w:tabs>
          <w:tab w:pos="720" w:val="left" w:leader="none"/>
        </w:tabs>
        <w:spacing w:line="240" w:lineRule="auto" w:before="65" w:after="0"/>
        <w:ind w:left="719" w:right="0" w:hanging="402"/>
        <w:jc w:val="both"/>
      </w:pPr>
      <w:bookmarkStart w:name="_bookmark73" w:id="147"/>
      <w:bookmarkEnd w:id="147"/>
      <w:r>
        <w:rPr>
          <w:b w:val="0"/>
        </w:rPr>
      </w:r>
      <w:bookmarkStart w:name="_bookmark73" w:id="148"/>
      <w:bookmarkEnd w:id="148"/>
      <w:r>
        <w:rPr/>
        <w:t>结论和建议</w:t>
      </w:r>
    </w:p>
    <w:p>
      <w:pPr>
        <w:pStyle w:val="Heading3"/>
        <w:numPr>
          <w:ilvl w:val="1"/>
          <w:numId w:val="76"/>
        </w:numPr>
        <w:tabs>
          <w:tab w:pos="881" w:val="left" w:leader="none"/>
        </w:tabs>
        <w:spacing w:line="240" w:lineRule="auto" w:before="213" w:after="0"/>
        <w:ind w:left="880" w:right="0" w:hanging="563"/>
        <w:jc w:val="both"/>
      </w:pPr>
      <w:bookmarkStart w:name="_bookmark74" w:id="149"/>
      <w:bookmarkEnd w:id="149"/>
      <w:r>
        <w:rPr>
          <w:b w:val="0"/>
        </w:rPr>
      </w:r>
      <w:bookmarkStart w:name="_bookmark74" w:id="150"/>
      <w:bookmarkEnd w:id="150"/>
      <w:r>
        <w:rPr/>
        <w:t>建设项目的建设情况</w:t>
      </w:r>
    </w:p>
    <w:p>
      <w:pPr>
        <w:pStyle w:val="BodyText"/>
        <w:spacing w:before="186"/>
        <w:ind w:left="798"/>
        <w:jc w:val="both"/>
      </w:pPr>
      <w:r>
        <w:rPr/>
        <w:t>绍兴贝斯美化工股份有限公司新征用地 </w:t>
      </w:r>
      <w:r>
        <w:rPr>
          <w:rFonts w:ascii="Times New Roman" w:eastAsia="Times New Roman"/>
        </w:rPr>
        <w:t>20 </w:t>
      </w:r>
      <w:r>
        <w:rPr/>
        <w:t>亩，新建办公楼、仓库、车间、危废仓</w:t>
      </w:r>
    </w:p>
    <w:p>
      <w:pPr>
        <w:pStyle w:val="BodyText"/>
        <w:spacing w:line="364" w:lineRule="auto" w:before="160"/>
        <w:ind w:left="318" w:right="264"/>
        <w:jc w:val="both"/>
      </w:pPr>
      <w:r>
        <w:rPr>
          <w:spacing w:val="-2"/>
        </w:rPr>
        <w:t>库、污控楼、中控室、消防水池、事故应急池等建构筑物，总建筑面积 </w:t>
      </w:r>
      <w:r>
        <w:rPr>
          <w:rFonts w:ascii="Times New Roman" w:eastAsia="Times New Roman"/>
        </w:rPr>
        <w:t>16580 </w:t>
      </w:r>
      <w:r>
        <w:rPr>
          <w:spacing w:val="-4"/>
        </w:rPr>
        <w:t>平方米， 购置反应釜等设备，形成年产 </w:t>
      </w:r>
      <w:r>
        <w:rPr>
          <w:rFonts w:ascii="Times New Roman" w:eastAsia="Times New Roman"/>
        </w:rPr>
        <w:t>500 </w:t>
      </w:r>
      <w:r>
        <w:rPr/>
        <w:t>吨农药（</w:t>
      </w:r>
      <w:r>
        <w:rPr>
          <w:rFonts w:ascii="Times New Roman" w:eastAsia="Times New Roman"/>
        </w:rPr>
        <w:t>300 </w:t>
      </w:r>
      <w:r>
        <w:rPr/>
        <w:t>吨三环唑、</w:t>
      </w:r>
      <w:r>
        <w:rPr>
          <w:rFonts w:ascii="Times New Roman" w:eastAsia="Times New Roman"/>
        </w:rPr>
        <w:t>200 </w:t>
      </w:r>
      <w:r>
        <w:rPr/>
        <w:t>吨三环唑可湿性粉剂） 的生产能力</w:t>
      </w:r>
      <w:r>
        <w:rPr>
          <w:w w:val="180"/>
        </w:rPr>
        <w:t>。</w:t>
      </w:r>
    </w:p>
    <w:p>
      <w:pPr>
        <w:pStyle w:val="BodyText"/>
        <w:spacing w:line="305" w:lineRule="exact"/>
        <w:ind w:left="798"/>
        <w:jc w:val="both"/>
      </w:pPr>
      <w:r>
        <w:rPr/>
        <w:t>该项目总投资 </w:t>
      </w:r>
      <w:r>
        <w:rPr>
          <w:rFonts w:ascii="Times New Roman" w:eastAsia="Times New Roman"/>
        </w:rPr>
        <w:t>8100 </w:t>
      </w:r>
      <w:r>
        <w:rPr/>
        <w:t>万元，固定资产投资：</w:t>
      </w:r>
      <w:r>
        <w:rPr>
          <w:rFonts w:ascii="Times New Roman" w:eastAsia="Times New Roman"/>
        </w:rPr>
        <w:t>7000 </w:t>
      </w:r>
      <w:r>
        <w:rPr/>
        <w:t>万元，辅底流动资金 </w:t>
      </w:r>
      <w:r>
        <w:rPr>
          <w:rFonts w:ascii="Times New Roman" w:eastAsia="Times New Roman"/>
        </w:rPr>
        <w:t>1000 </w:t>
      </w:r>
      <w:r>
        <w:rPr/>
        <w:t>万元，建</w:t>
      </w:r>
    </w:p>
    <w:p>
      <w:pPr>
        <w:pStyle w:val="BodyText"/>
        <w:spacing w:line="364" w:lineRule="auto" w:before="161"/>
        <w:ind w:left="318" w:right="312"/>
        <w:jc w:val="both"/>
      </w:pPr>
      <w:r>
        <w:rPr>
          <w:spacing w:val="-19"/>
          <w:w w:val="105"/>
        </w:rPr>
        <w:t>设期利息 </w:t>
      </w:r>
      <w:r>
        <w:rPr>
          <w:rFonts w:ascii="Times New Roman" w:eastAsia="Times New Roman"/>
          <w:w w:val="105"/>
        </w:rPr>
        <w:t>100</w:t>
      </w:r>
      <w:r>
        <w:rPr>
          <w:rFonts w:ascii="Times New Roman" w:eastAsia="Times New Roman"/>
          <w:spacing w:val="-32"/>
          <w:w w:val="105"/>
        </w:rPr>
        <w:t> </w:t>
      </w:r>
      <w:r>
        <w:rPr>
          <w:w w:val="105"/>
        </w:rPr>
        <w:t>万元</w:t>
      </w:r>
      <w:r>
        <w:rPr>
          <w:spacing w:val="-12"/>
          <w:w w:val="180"/>
        </w:rPr>
        <w:t>。</w:t>
      </w:r>
      <w:r>
        <w:rPr>
          <w:spacing w:val="-11"/>
          <w:w w:val="105"/>
        </w:rPr>
        <w:t>年均实现销售收入 </w:t>
      </w:r>
      <w:r>
        <w:rPr>
          <w:rFonts w:ascii="Times New Roman" w:eastAsia="Times New Roman"/>
          <w:w w:val="105"/>
        </w:rPr>
        <w:t>8000</w:t>
      </w:r>
      <w:r>
        <w:rPr>
          <w:rFonts w:ascii="Times New Roman" w:eastAsia="Times New Roman"/>
          <w:spacing w:val="-31"/>
          <w:w w:val="105"/>
        </w:rPr>
        <w:t> </w:t>
      </w:r>
      <w:r>
        <w:rPr>
          <w:spacing w:val="-19"/>
          <w:w w:val="105"/>
        </w:rPr>
        <w:t>万元，利润 </w:t>
      </w:r>
      <w:r>
        <w:rPr>
          <w:rFonts w:ascii="Times New Roman" w:eastAsia="Times New Roman"/>
          <w:w w:val="105"/>
        </w:rPr>
        <w:t>1200</w:t>
      </w:r>
      <w:r>
        <w:rPr>
          <w:rFonts w:ascii="Times New Roman" w:eastAsia="Times New Roman"/>
          <w:spacing w:val="-31"/>
          <w:w w:val="105"/>
        </w:rPr>
        <w:t> </w:t>
      </w:r>
      <w:r>
        <w:rPr>
          <w:spacing w:val="-19"/>
          <w:w w:val="105"/>
        </w:rPr>
        <w:t>万元，税收 </w:t>
      </w:r>
      <w:r>
        <w:rPr>
          <w:rFonts w:ascii="Times New Roman" w:eastAsia="Times New Roman"/>
          <w:w w:val="105"/>
        </w:rPr>
        <w:t>600</w:t>
      </w:r>
      <w:r>
        <w:rPr>
          <w:rFonts w:ascii="Times New Roman" w:eastAsia="Times New Roman"/>
          <w:spacing w:val="-31"/>
          <w:w w:val="105"/>
        </w:rPr>
        <w:t> </w:t>
      </w:r>
      <w:r>
        <w:rPr>
          <w:spacing w:val="-57"/>
          <w:w w:val="105"/>
        </w:rPr>
        <w:t>万元。</w:t>
      </w:r>
      <w:r>
        <w:rPr>
          <w:spacing w:val="-220"/>
          <w:w w:val="105"/>
        </w:rPr>
        <w:t>项</w:t>
      </w:r>
      <w:r>
        <w:rPr>
          <w:spacing w:val="-8"/>
          <w:w w:val="105"/>
        </w:rPr>
        <w:t>目主要建设内容见 </w:t>
      </w:r>
      <w:r>
        <w:rPr>
          <w:rFonts w:ascii="Times New Roman" w:eastAsia="Times New Roman"/>
          <w:w w:val="105"/>
        </w:rPr>
        <w:t>Pg77</w:t>
      </w:r>
      <w:r>
        <w:rPr>
          <w:rFonts w:ascii="Times New Roman" w:eastAsia="Times New Roman"/>
          <w:spacing w:val="-4"/>
          <w:w w:val="105"/>
        </w:rPr>
        <w:t> </w:t>
      </w:r>
      <w:r>
        <w:rPr>
          <w:spacing w:val="-34"/>
          <w:w w:val="105"/>
        </w:rPr>
        <w:t>表 </w:t>
      </w:r>
      <w:r>
        <w:rPr>
          <w:rFonts w:ascii="Times New Roman" w:eastAsia="Times New Roman"/>
          <w:w w:val="105"/>
        </w:rPr>
        <w:t>4.1.4-1</w:t>
      </w:r>
      <w:r>
        <w:rPr>
          <w:w w:val="180"/>
        </w:rPr>
        <w:t>。</w:t>
      </w:r>
    </w:p>
    <w:p>
      <w:pPr>
        <w:pStyle w:val="Heading3"/>
        <w:numPr>
          <w:ilvl w:val="1"/>
          <w:numId w:val="76"/>
        </w:numPr>
        <w:tabs>
          <w:tab w:pos="881" w:val="left" w:leader="none"/>
        </w:tabs>
        <w:spacing w:line="240" w:lineRule="auto" w:before="0" w:after="0"/>
        <w:ind w:left="880" w:right="0" w:hanging="563"/>
        <w:jc w:val="both"/>
      </w:pPr>
      <w:bookmarkStart w:name="_bookmark75" w:id="151"/>
      <w:bookmarkEnd w:id="151"/>
      <w:r>
        <w:rPr>
          <w:b w:val="0"/>
        </w:rPr>
      </w:r>
      <w:bookmarkStart w:name="_bookmark75" w:id="152"/>
      <w:bookmarkEnd w:id="152"/>
      <w:r>
        <w:rPr/>
        <w:t>环境质量现状</w:t>
      </w:r>
    </w:p>
    <w:p>
      <w:pPr>
        <w:pStyle w:val="BodyText"/>
        <w:spacing w:before="185"/>
        <w:ind w:left="798"/>
      </w:pPr>
      <w:r>
        <w:rPr>
          <w:rFonts w:ascii="Times New Roman" w:eastAsia="Times New Roman"/>
        </w:rPr>
        <w:t>1</w:t>
      </w:r>
      <w:r>
        <w:rPr/>
        <w:t>、大气环境质量现状</w:t>
      </w:r>
    </w:p>
    <w:p>
      <w:pPr>
        <w:pStyle w:val="BodyText"/>
        <w:spacing w:line="364" w:lineRule="auto" w:before="158"/>
        <w:ind w:left="318" w:right="254" w:firstLine="480"/>
      </w:pPr>
      <w:r>
        <w:rPr/>
        <w:t>项目所在区域环境空气属于达标区，特征污染因子环境空气质量也能满足相应标准要求，评价区内的环境空气质量状况良好</w:t>
      </w:r>
      <w:r>
        <w:rPr>
          <w:w w:val="180"/>
        </w:rPr>
        <w:t>。</w:t>
      </w:r>
    </w:p>
    <w:p>
      <w:pPr>
        <w:pStyle w:val="BodyText"/>
        <w:spacing w:line="306" w:lineRule="exact"/>
        <w:ind w:left="801"/>
      </w:pPr>
      <w:r>
        <w:rPr>
          <w:rFonts w:ascii="Times New Roman" w:eastAsia="Times New Roman"/>
        </w:rPr>
        <w:t>2</w:t>
      </w:r>
      <w:r>
        <w:rPr/>
        <w:t>、水环境质量现状评价</w:t>
      </w:r>
    </w:p>
    <w:p>
      <w:pPr>
        <w:pStyle w:val="BodyText"/>
        <w:spacing w:before="161"/>
        <w:ind w:left="798"/>
      </w:pPr>
      <w:r>
        <w:rPr/>
        <w:t>⑴地表水环境质量现状</w:t>
      </w:r>
    </w:p>
    <w:p>
      <w:pPr>
        <w:pStyle w:val="BodyText"/>
        <w:spacing w:line="364" w:lineRule="auto" w:before="158"/>
        <w:ind w:left="318" w:right="314" w:firstLine="480"/>
      </w:pPr>
      <w:r>
        <w:rPr>
          <w:spacing w:val="-3"/>
        </w:rPr>
        <w:t>根据绍兴市上虞区环境监测年鉴</w:t>
      </w:r>
      <w:r>
        <w:rPr/>
        <w:t>（</w:t>
      </w:r>
      <w:r>
        <w:rPr>
          <w:rFonts w:ascii="Times New Roman" w:eastAsia="Times New Roman"/>
        </w:rPr>
        <w:t>2020 </w:t>
      </w:r>
      <w:r>
        <w:rPr/>
        <w:t>年度</w:t>
      </w:r>
      <w:r>
        <w:rPr>
          <w:spacing w:val="-36"/>
        </w:rPr>
        <w:t>）</w:t>
      </w:r>
      <w:r>
        <w:rPr>
          <w:spacing w:val="-7"/>
        </w:rPr>
        <w:t>中相关数据，地表水各监测污染因子</w:t>
      </w:r>
      <w:r>
        <w:rPr>
          <w:spacing w:val="-9"/>
        </w:rPr>
        <w:t>指标均能满足 </w:t>
      </w:r>
      <w:r>
        <w:rPr>
          <w:rFonts w:ascii="Times New Roman" w:eastAsia="Times New Roman"/>
        </w:rPr>
        <w:t>GB3838-2002</w:t>
      </w:r>
      <w:r>
        <w:rPr>
          <w:spacing w:val="-5"/>
        </w:rPr>
        <w:t>《地表水环境质量标准》中 </w:t>
      </w:r>
      <w:r>
        <w:rPr>
          <w:rFonts w:ascii="Times New Roman" w:eastAsia="Times New Roman"/>
        </w:rPr>
        <w:t>III </w:t>
      </w:r>
      <w:r>
        <w:rPr/>
        <w:t>类标准的要求</w:t>
      </w:r>
      <w:r>
        <w:rPr>
          <w:w w:val="170"/>
        </w:rPr>
        <w:t>。</w:t>
      </w:r>
    </w:p>
    <w:p>
      <w:pPr>
        <w:pStyle w:val="BodyText"/>
        <w:spacing w:before="1"/>
        <w:ind w:left="798"/>
      </w:pPr>
      <w:r>
        <w:rPr/>
        <w:t>⑵地下水环境质量现状</w:t>
      </w:r>
    </w:p>
    <w:p>
      <w:pPr>
        <w:pStyle w:val="BodyText"/>
        <w:spacing w:line="364" w:lineRule="auto" w:before="158"/>
        <w:ind w:left="318" w:right="195" w:firstLine="480"/>
      </w:pPr>
      <w:r>
        <w:rPr>
          <w:spacing w:val="-9"/>
        </w:rPr>
        <w:t>本项目区域内地下水监测因子中溶解性总固体、氯化物，总硬度指标出现超标现象， </w:t>
      </w:r>
      <w:r>
        <w:rPr/>
        <w:t>不能达到《地下水质量标准》</w:t>
      </w:r>
      <w:r>
        <w:rPr>
          <w:rFonts w:ascii="Times New Roman" w:hAnsi="Times New Roman" w:eastAsia="Times New Roman"/>
        </w:rPr>
        <w:t>(GB/T14848-2017)</w:t>
      </w:r>
      <w:r>
        <w:rPr/>
        <w:t>中的Ⅲ类标准要求，其余指标均能达到</w:t>
      </w:r>
    </w:p>
    <w:p>
      <w:pPr>
        <w:pStyle w:val="BodyText"/>
        <w:spacing w:line="364" w:lineRule="auto"/>
        <w:ind w:left="318" w:right="315"/>
        <w:jc w:val="both"/>
      </w:pPr>
      <w:r>
        <w:rPr/>
        <w:t>《地下水质量标准》</w:t>
      </w:r>
      <w:r>
        <w:rPr>
          <w:rFonts w:ascii="Times New Roman" w:hAnsi="Times New Roman" w:eastAsia="Times New Roman"/>
        </w:rPr>
        <w:t>(GB/T14848-2017)</w:t>
      </w:r>
      <w:r>
        <w:rPr/>
        <w:t>中的Ⅲ类标准要求。结合周围环境特征，分析</w:t>
      </w:r>
      <w:r>
        <w:rPr>
          <w:spacing w:val="-139"/>
        </w:rPr>
        <w:t>认</w:t>
      </w:r>
      <w:r>
        <w:rPr>
          <w:spacing w:val="-1"/>
        </w:rPr>
        <w:t>为溶解性总固体、总硬度和 </w:t>
      </w:r>
      <w:r>
        <w:rPr>
          <w:rFonts w:ascii="Times New Roman" w:hAnsi="Times New Roman" w:eastAsia="Times New Roman"/>
        </w:rPr>
        <w:t>Cl-</w:t>
      </w:r>
      <w:r>
        <w:rPr>
          <w:spacing w:val="-1"/>
        </w:rPr>
        <w:t>超标原因最有可能是该地块位于围垦海涂滩地上，该区</w:t>
      </w:r>
      <w:r>
        <w:rPr/>
        <w:t>域盐分较高引起的。目前该区域地下水无开发利用计划</w:t>
      </w:r>
      <w:r>
        <w:rPr>
          <w:w w:val="170"/>
        </w:rPr>
        <w:t>。</w:t>
      </w:r>
    </w:p>
    <w:p>
      <w:pPr>
        <w:pStyle w:val="BodyText"/>
        <w:spacing w:line="307" w:lineRule="exact"/>
        <w:ind w:left="801"/>
      </w:pPr>
      <w:r>
        <w:rPr>
          <w:rFonts w:ascii="Times New Roman" w:eastAsia="Times New Roman"/>
        </w:rPr>
        <w:t>3</w:t>
      </w:r>
      <w:r>
        <w:rPr/>
        <w:t>、声环境质量现状评价</w:t>
      </w:r>
    </w:p>
    <w:p>
      <w:pPr>
        <w:pStyle w:val="BodyText"/>
        <w:spacing w:before="158"/>
        <w:ind w:left="798"/>
      </w:pPr>
      <w:r>
        <w:rPr>
          <w:w w:val="105"/>
        </w:rPr>
        <w:t>厂界各测点均符合《声环境质量标准》</w:t>
      </w:r>
      <w:r>
        <w:rPr>
          <w:rFonts w:ascii="Times New Roman" w:eastAsia="Times New Roman"/>
          <w:w w:val="105"/>
        </w:rPr>
        <w:t>(GB3096-2008)</w:t>
      </w:r>
      <w:r>
        <w:rPr>
          <w:w w:val="105"/>
        </w:rPr>
        <w:t>中 </w:t>
      </w:r>
      <w:r>
        <w:rPr>
          <w:rFonts w:ascii="Times New Roman" w:eastAsia="Times New Roman"/>
          <w:w w:val="105"/>
        </w:rPr>
        <w:t>3 </w:t>
      </w:r>
      <w:r>
        <w:rPr>
          <w:w w:val="105"/>
        </w:rPr>
        <w:t>类标准要求</w:t>
      </w:r>
      <w:r>
        <w:rPr>
          <w:w w:val="170"/>
        </w:rPr>
        <w:t>。</w:t>
      </w:r>
    </w:p>
    <w:p>
      <w:pPr>
        <w:pStyle w:val="BodyText"/>
        <w:spacing w:before="160"/>
        <w:ind w:left="801"/>
      </w:pPr>
      <w:r>
        <w:rPr>
          <w:rFonts w:ascii="Times New Roman" w:eastAsia="Times New Roman"/>
        </w:rPr>
        <w:t>4</w:t>
      </w:r>
      <w:r>
        <w:rPr/>
        <w:t>、土壤环境质量现状评价</w:t>
      </w:r>
    </w:p>
    <w:p>
      <w:pPr>
        <w:pStyle w:val="BodyText"/>
        <w:spacing w:line="364" w:lineRule="auto" w:before="158"/>
        <w:ind w:left="318" w:right="309" w:firstLine="480"/>
        <w:jc w:val="both"/>
      </w:pPr>
      <w:r>
        <w:rPr/>
        <w:t>项目所在区域范围内土壤可以达到《土壤环境质量 建设用地土壤污染风险管控标准</w:t>
      </w:r>
      <w:r>
        <w:rPr>
          <w:rFonts w:ascii="Times New Roman" w:eastAsia="Times New Roman"/>
        </w:rPr>
        <w:t>(</w:t>
      </w:r>
      <w:r>
        <w:rPr/>
        <w:t>试行</w:t>
      </w:r>
      <w:r>
        <w:rPr>
          <w:rFonts w:ascii="Times New Roman" w:eastAsia="Times New Roman"/>
        </w:rPr>
        <w:t>)</w:t>
      </w:r>
      <w:r>
        <w:rPr/>
        <w:t>》</w:t>
      </w:r>
      <w:r>
        <w:rPr>
          <w:rFonts w:ascii="Times New Roman" w:eastAsia="Times New Roman"/>
        </w:rPr>
        <w:t>(GB36600-2018)</w:t>
      </w:r>
      <w:r>
        <w:rPr/>
        <w:t>第二类用地筛选值限值要求，项目所在地土壤现状环境质量较好。</w:t>
      </w:r>
    </w:p>
    <w:p>
      <w:pPr>
        <w:spacing w:after="0" w:line="364" w:lineRule="auto"/>
        <w:jc w:val="both"/>
        <w:sectPr>
          <w:footerReference w:type="default" r:id="rId186"/>
          <w:pgSz w:w="11910" w:h="16840"/>
          <w:pgMar w:footer="1015" w:header="872" w:top="1100" w:bottom="1200" w:left="1100" w:right="1100"/>
          <w:pgNumType w:start="277"/>
        </w:sectPr>
      </w:pPr>
    </w:p>
    <w:p>
      <w:pPr>
        <w:pStyle w:val="BodyText"/>
        <w:spacing w:before="2"/>
        <w:rPr>
          <w:sz w:val="18"/>
        </w:rPr>
      </w:pPr>
    </w:p>
    <w:p>
      <w:pPr>
        <w:pStyle w:val="Heading3"/>
        <w:numPr>
          <w:ilvl w:val="1"/>
          <w:numId w:val="76"/>
        </w:numPr>
        <w:tabs>
          <w:tab w:pos="881" w:val="left" w:leader="none"/>
        </w:tabs>
        <w:spacing w:line="240" w:lineRule="auto" w:before="70" w:after="0"/>
        <w:ind w:left="880" w:right="0" w:hanging="563"/>
        <w:jc w:val="left"/>
      </w:pPr>
      <w:bookmarkStart w:name="_bookmark76" w:id="153"/>
      <w:bookmarkEnd w:id="153"/>
      <w:r>
        <w:rPr>
          <w:b w:val="0"/>
        </w:rPr>
      </w:r>
      <w:bookmarkStart w:name="_bookmark76" w:id="154"/>
      <w:bookmarkEnd w:id="154"/>
      <w:r>
        <w:rPr/>
        <w:t>污染物排放情况</w:t>
      </w:r>
    </w:p>
    <w:p>
      <w:pPr>
        <w:pStyle w:val="BodyText"/>
        <w:spacing w:before="186"/>
        <w:ind w:left="798"/>
      </w:pPr>
      <w:r>
        <w:rPr>
          <w:w w:val="105"/>
        </w:rPr>
        <w:t>项目污染物产生及排放情况见</w:t>
      </w:r>
      <w:r>
        <w:rPr>
          <w:rFonts w:ascii="Times New Roman" w:eastAsia="Times New Roman"/>
          <w:w w:val="105"/>
        </w:rPr>
        <w:t>Pg98~101</w:t>
      </w:r>
      <w:r>
        <w:rPr>
          <w:w w:val="105"/>
        </w:rPr>
        <w:t>表</w:t>
      </w:r>
      <w:r>
        <w:rPr>
          <w:rFonts w:ascii="Times New Roman" w:eastAsia="Times New Roman"/>
          <w:w w:val="105"/>
        </w:rPr>
        <w:t>4.4-1</w:t>
      </w:r>
      <w:r>
        <w:rPr>
          <w:w w:val="105"/>
        </w:rPr>
        <w:t>～</w:t>
      </w:r>
      <w:r>
        <w:rPr>
          <w:rFonts w:ascii="Times New Roman" w:eastAsia="Times New Roman"/>
          <w:w w:val="105"/>
        </w:rPr>
        <w:t>5</w:t>
      </w:r>
      <w:r>
        <w:rPr>
          <w:w w:val="170"/>
        </w:rPr>
        <w:t>。</w:t>
      </w:r>
    </w:p>
    <w:p>
      <w:pPr>
        <w:pStyle w:val="BodyText"/>
        <w:spacing w:before="158"/>
        <w:ind w:left="798"/>
      </w:pPr>
      <w:r>
        <w:rPr>
          <w:w w:val="105"/>
        </w:rPr>
        <w:t>本项目实施后全厂污染物产生及排放情况见 </w:t>
      </w:r>
      <w:r>
        <w:rPr>
          <w:rFonts w:ascii="Times New Roman" w:eastAsia="Times New Roman"/>
          <w:w w:val="105"/>
        </w:rPr>
        <w:t>Pg101 </w:t>
      </w:r>
      <w:r>
        <w:rPr>
          <w:w w:val="105"/>
        </w:rPr>
        <w:t>表 </w:t>
      </w:r>
      <w:r>
        <w:rPr>
          <w:rFonts w:ascii="Times New Roman" w:eastAsia="Times New Roman"/>
          <w:w w:val="105"/>
        </w:rPr>
        <w:t>4.5-1</w:t>
      </w:r>
      <w:r>
        <w:rPr>
          <w:w w:val="180"/>
        </w:rPr>
        <w:t>。</w:t>
      </w:r>
    </w:p>
    <w:p>
      <w:pPr>
        <w:pStyle w:val="Heading3"/>
        <w:numPr>
          <w:ilvl w:val="1"/>
          <w:numId w:val="76"/>
        </w:numPr>
        <w:tabs>
          <w:tab w:pos="881" w:val="left" w:leader="none"/>
        </w:tabs>
        <w:spacing w:line="240" w:lineRule="auto" w:before="161" w:after="0"/>
        <w:ind w:left="880" w:right="0" w:hanging="563"/>
        <w:jc w:val="left"/>
      </w:pPr>
      <w:bookmarkStart w:name="_bookmark77" w:id="155"/>
      <w:bookmarkEnd w:id="155"/>
      <w:r>
        <w:rPr>
          <w:b w:val="0"/>
        </w:rPr>
      </w:r>
      <w:bookmarkStart w:name="_bookmark77" w:id="156"/>
      <w:bookmarkEnd w:id="156"/>
      <w:r>
        <w:rPr/>
        <w:t>主要环境影响</w:t>
      </w:r>
    </w:p>
    <w:p>
      <w:pPr>
        <w:pStyle w:val="BodyText"/>
        <w:spacing w:before="186"/>
        <w:ind w:left="801"/>
      </w:pPr>
      <w:r>
        <w:rPr>
          <w:rFonts w:ascii="Times New Roman" w:eastAsia="Times New Roman"/>
        </w:rPr>
        <w:t>1</w:t>
      </w:r>
      <w:r>
        <w:rPr/>
        <w:t>、废气影响分析</w:t>
      </w:r>
    </w:p>
    <w:p>
      <w:pPr>
        <w:pStyle w:val="ListParagraph"/>
        <w:numPr>
          <w:ilvl w:val="2"/>
          <w:numId w:val="76"/>
        </w:numPr>
        <w:tabs>
          <w:tab w:pos="1080" w:val="left" w:leader="none"/>
        </w:tabs>
        <w:spacing w:line="364" w:lineRule="auto" w:before="157" w:after="0"/>
        <w:ind w:left="318" w:right="315" w:firstLine="480"/>
        <w:jc w:val="left"/>
        <w:rPr>
          <w:sz w:val="24"/>
        </w:rPr>
      </w:pPr>
      <w:r>
        <w:rPr>
          <w:spacing w:val="-2"/>
          <w:position w:val="2"/>
          <w:sz w:val="24"/>
        </w:rPr>
        <w:t>新增污染源正常排放下污染物甲酸、</w:t>
      </w:r>
      <w:r>
        <w:rPr>
          <w:rFonts w:ascii="Times New Roman" w:hAnsi="Times New Roman" w:eastAsia="Times New Roman"/>
          <w:position w:val="2"/>
          <w:sz w:val="24"/>
        </w:rPr>
        <w:t>PM</w:t>
      </w:r>
      <w:r>
        <w:rPr>
          <w:rFonts w:ascii="Times New Roman" w:hAnsi="Times New Roman" w:eastAsia="Times New Roman"/>
          <w:sz w:val="16"/>
        </w:rPr>
        <w:t>10</w:t>
      </w:r>
      <w:r>
        <w:rPr>
          <w:spacing w:val="-26"/>
          <w:position w:val="2"/>
          <w:sz w:val="24"/>
        </w:rPr>
        <w:t>、</w:t>
      </w:r>
      <w:r>
        <w:rPr>
          <w:rFonts w:ascii="Times New Roman" w:hAnsi="Times New Roman" w:eastAsia="Times New Roman"/>
          <w:position w:val="2"/>
          <w:sz w:val="24"/>
        </w:rPr>
        <w:t>TSP</w:t>
      </w:r>
      <w:r>
        <w:rPr>
          <w:spacing w:val="-1"/>
          <w:position w:val="2"/>
          <w:sz w:val="24"/>
        </w:rPr>
        <w:t>短期浓度贡献值的最大浓度占标</w:t>
      </w:r>
      <w:r>
        <w:rPr>
          <w:spacing w:val="-1"/>
          <w:w w:val="105"/>
          <w:sz w:val="24"/>
        </w:rPr>
        <w:t>率</w:t>
      </w:r>
      <w:r>
        <w:rPr>
          <w:rFonts w:ascii="Times New Roman" w:hAnsi="Times New Roman" w:eastAsia="Times New Roman"/>
          <w:spacing w:val="-1"/>
          <w:w w:val="105"/>
          <w:sz w:val="24"/>
        </w:rPr>
        <w:t>≤100%</w:t>
      </w:r>
      <w:r>
        <w:rPr>
          <w:spacing w:val="-1"/>
          <w:w w:val="180"/>
          <w:sz w:val="24"/>
        </w:rPr>
        <w:t>。</w:t>
      </w:r>
    </w:p>
    <w:p>
      <w:pPr>
        <w:pStyle w:val="ListParagraph"/>
        <w:numPr>
          <w:ilvl w:val="2"/>
          <w:numId w:val="76"/>
        </w:numPr>
        <w:tabs>
          <w:tab w:pos="1092" w:val="left" w:leader="none"/>
        </w:tabs>
        <w:spacing w:line="306" w:lineRule="exact" w:before="0" w:after="0"/>
        <w:ind w:left="1091" w:right="0" w:hanging="294"/>
        <w:jc w:val="left"/>
        <w:rPr>
          <w:sz w:val="24"/>
        </w:rPr>
      </w:pPr>
      <w:r>
        <w:rPr>
          <w:spacing w:val="13"/>
          <w:position w:val="2"/>
          <w:sz w:val="24"/>
        </w:rPr>
        <w:t>新增污染源正常排放下污染物</w:t>
      </w:r>
      <w:r>
        <w:rPr>
          <w:rFonts w:ascii="Times New Roman" w:eastAsia="Times New Roman"/>
          <w:position w:val="2"/>
          <w:sz w:val="24"/>
        </w:rPr>
        <w:t>PM</w:t>
      </w:r>
      <w:r>
        <w:rPr>
          <w:rFonts w:ascii="Times New Roman" w:eastAsia="Times New Roman"/>
          <w:sz w:val="16"/>
        </w:rPr>
        <w:t>10</w:t>
      </w:r>
      <w:r>
        <w:rPr>
          <w:rFonts w:ascii="Times New Roman" w:eastAsia="Times New Roman"/>
          <w:spacing w:val="-26"/>
          <w:sz w:val="16"/>
        </w:rPr>
        <w:t> </w:t>
      </w:r>
      <w:r>
        <w:rPr>
          <w:spacing w:val="14"/>
          <w:position w:val="2"/>
          <w:sz w:val="24"/>
        </w:rPr>
        <w:t>、</w:t>
      </w:r>
      <w:r>
        <w:rPr>
          <w:rFonts w:ascii="Times New Roman" w:eastAsia="Times New Roman"/>
          <w:spacing w:val="3"/>
          <w:position w:val="2"/>
          <w:sz w:val="24"/>
        </w:rPr>
        <w:t>TSP</w:t>
      </w:r>
      <w:r>
        <w:rPr>
          <w:spacing w:val="10"/>
          <w:position w:val="2"/>
          <w:sz w:val="24"/>
        </w:rPr>
        <w:t>年均浓度贡献值的最大浓度占标率</w:t>
      </w:r>
    </w:p>
    <w:p>
      <w:pPr>
        <w:pStyle w:val="BodyText"/>
        <w:spacing w:before="162"/>
        <w:ind w:left="318"/>
      </w:pPr>
      <w:r>
        <w:rPr>
          <w:rFonts w:ascii="Times New Roman" w:hAnsi="Times New Roman" w:eastAsia="Times New Roman"/>
          <w:w w:val="120"/>
        </w:rPr>
        <w:t>≤30%</w:t>
      </w:r>
      <w:r>
        <w:rPr>
          <w:w w:val="180"/>
        </w:rPr>
        <w:t>。</w:t>
      </w:r>
    </w:p>
    <w:p>
      <w:pPr>
        <w:pStyle w:val="ListParagraph"/>
        <w:numPr>
          <w:ilvl w:val="2"/>
          <w:numId w:val="76"/>
        </w:numPr>
        <w:tabs>
          <w:tab w:pos="1080" w:val="left" w:leader="none"/>
        </w:tabs>
        <w:spacing w:line="364" w:lineRule="auto" w:before="157" w:after="0"/>
        <w:ind w:left="318" w:right="195" w:firstLine="480"/>
        <w:jc w:val="left"/>
        <w:rPr>
          <w:sz w:val="24"/>
        </w:rPr>
      </w:pPr>
      <w:r>
        <w:rPr>
          <w:rFonts w:ascii="Times New Roman" w:eastAsia="Times New Roman"/>
          <w:position w:val="2"/>
          <w:sz w:val="24"/>
        </w:rPr>
        <w:t>PM</w:t>
      </w:r>
      <w:r>
        <w:rPr>
          <w:rFonts w:ascii="Times New Roman" w:eastAsia="Times New Roman"/>
          <w:sz w:val="16"/>
        </w:rPr>
        <w:t>10</w:t>
      </w:r>
      <w:r>
        <w:rPr>
          <w:spacing w:val="-27"/>
          <w:position w:val="2"/>
          <w:sz w:val="24"/>
        </w:rPr>
        <w:t>、</w:t>
      </w:r>
      <w:r>
        <w:rPr>
          <w:rFonts w:ascii="Times New Roman" w:eastAsia="Times New Roman"/>
          <w:position w:val="2"/>
          <w:sz w:val="24"/>
        </w:rPr>
        <w:t>TSP</w:t>
      </w:r>
      <w:r>
        <w:rPr>
          <w:spacing w:val="-5"/>
          <w:position w:val="2"/>
          <w:sz w:val="24"/>
        </w:rPr>
        <w:t>叠加现状浓度、拟建项目的环境影响后，</w:t>
      </w:r>
      <w:r>
        <w:rPr>
          <w:rFonts w:ascii="Times New Roman" w:eastAsia="Times New Roman"/>
          <w:spacing w:val="-5"/>
          <w:position w:val="2"/>
          <w:sz w:val="24"/>
        </w:rPr>
        <w:t>PM</w:t>
      </w:r>
      <w:r>
        <w:rPr>
          <w:rFonts w:ascii="Times New Roman" w:eastAsia="Times New Roman"/>
          <w:spacing w:val="-5"/>
          <w:sz w:val="16"/>
        </w:rPr>
        <w:t>10</w:t>
      </w:r>
      <w:r>
        <w:rPr>
          <w:spacing w:val="-1"/>
          <w:position w:val="2"/>
          <w:sz w:val="24"/>
        </w:rPr>
        <w:t>的保证率日平均浓度和</w:t>
      </w:r>
      <w:r>
        <w:rPr>
          <w:spacing w:val="-8"/>
          <w:sz w:val="24"/>
        </w:rPr>
        <w:t>年平均浓度均符合环境质量标准，</w:t>
      </w:r>
      <w:r>
        <w:rPr>
          <w:rFonts w:ascii="Times New Roman" w:eastAsia="Times New Roman"/>
          <w:w w:val="99"/>
          <w:sz w:val="24"/>
        </w:rPr>
        <w:t>TS</w:t>
      </w:r>
      <w:r>
        <w:rPr>
          <w:rFonts w:ascii="Times New Roman" w:eastAsia="Times New Roman"/>
          <w:spacing w:val="1"/>
          <w:w w:val="99"/>
          <w:sz w:val="24"/>
        </w:rPr>
        <w:t>P</w:t>
      </w:r>
      <w:r>
        <w:rPr>
          <w:spacing w:val="-1"/>
          <w:sz w:val="24"/>
        </w:rPr>
        <w:t>的日平</w:t>
      </w:r>
      <w:r>
        <w:rPr>
          <w:w w:val="102"/>
          <w:sz w:val="24"/>
        </w:rPr>
        <w:t>均浓度和年平均浓度均符合环境质量标准</w:t>
      </w:r>
      <w:r>
        <w:rPr>
          <w:spacing w:val="-139"/>
          <w:w w:val="102"/>
          <w:sz w:val="24"/>
        </w:rPr>
        <w:t>。</w:t>
      </w:r>
      <w:r>
        <w:rPr>
          <w:spacing w:val="-3"/>
          <w:sz w:val="24"/>
        </w:rPr>
        <w:t>由于甲酸无环境质量现状浓度及同类拟建、在建污染源，故甲酸环境影响叠加值即为贡献值。</w:t>
      </w:r>
    </w:p>
    <w:p>
      <w:pPr>
        <w:pStyle w:val="ListParagraph"/>
        <w:numPr>
          <w:ilvl w:val="2"/>
          <w:numId w:val="76"/>
        </w:numPr>
        <w:tabs>
          <w:tab w:pos="1080" w:val="left" w:leader="none"/>
        </w:tabs>
        <w:spacing w:line="240" w:lineRule="auto" w:before="1" w:after="0"/>
        <w:ind w:left="1079" w:right="0" w:hanging="282"/>
        <w:jc w:val="left"/>
        <w:rPr>
          <w:sz w:val="24"/>
        </w:rPr>
      </w:pPr>
      <w:r>
        <w:rPr>
          <w:w w:val="105"/>
          <w:sz w:val="24"/>
        </w:rPr>
        <w:t>项目无需设置大气环境防护距离</w:t>
      </w:r>
      <w:r>
        <w:rPr>
          <w:w w:val="180"/>
          <w:sz w:val="24"/>
        </w:rPr>
        <w:t>。</w:t>
      </w:r>
    </w:p>
    <w:p>
      <w:pPr>
        <w:pStyle w:val="ListParagraph"/>
        <w:numPr>
          <w:ilvl w:val="2"/>
          <w:numId w:val="76"/>
        </w:numPr>
        <w:tabs>
          <w:tab w:pos="1079" w:val="left" w:leader="none"/>
        </w:tabs>
        <w:spacing w:line="364" w:lineRule="auto" w:before="158" w:after="0"/>
        <w:ind w:left="318" w:right="312" w:firstLine="480"/>
        <w:jc w:val="left"/>
        <w:rPr>
          <w:sz w:val="24"/>
        </w:rPr>
      </w:pPr>
      <w:r>
        <w:rPr>
          <w:spacing w:val="-7"/>
          <w:sz w:val="24"/>
        </w:rPr>
        <w:t>项目对恶臭废气进行源头、过程及末端控制，正常工况下，项目产生的恶臭污染</w:t>
      </w:r>
      <w:r>
        <w:rPr>
          <w:sz w:val="24"/>
        </w:rPr>
        <w:t>物对周边环境影响较小。</w:t>
      </w:r>
    </w:p>
    <w:p>
      <w:pPr>
        <w:pStyle w:val="BodyText"/>
        <w:spacing w:line="364" w:lineRule="auto"/>
        <w:ind w:left="798" w:right="7105"/>
      </w:pPr>
      <w:r>
        <w:rPr>
          <w:rFonts w:ascii="Times New Roman" w:eastAsia="Times New Roman"/>
        </w:rPr>
        <w:t>2</w:t>
      </w:r>
      <w:r>
        <w:rPr/>
        <w:t>、废水影响分析</w:t>
      </w:r>
      <w:r>
        <w:rPr>
          <w:rFonts w:ascii="Times New Roman" w:eastAsia="Times New Roman"/>
        </w:rPr>
        <w:t>(1)</w:t>
      </w:r>
      <w:r>
        <w:rPr/>
        <w:t>地表水</w:t>
      </w:r>
    </w:p>
    <w:p>
      <w:pPr>
        <w:pStyle w:val="BodyText"/>
        <w:spacing w:line="364" w:lineRule="auto"/>
        <w:ind w:left="318" w:right="312" w:firstLine="480"/>
        <w:jc w:val="both"/>
      </w:pPr>
      <w:r>
        <w:rPr>
          <w:spacing w:val="6"/>
        </w:rPr>
        <w:t>项目废水经预处理</w:t>
      </w:r>
      <w:r>
        <w:rPr>
          <w:rFonts w:ascii="Times New Roman" w:eastAsia="Times New Roman"/>
          <w:spacing w:val="9"/>
        </w:rPr>
        <w:t>+</w:t>
      </w:r>
      <w:r>
        <w:rPr>
          <w:spacing w:val="5"/>
        </w:rPr>
        <w:t>集中生化处理达纳管标准后纳入上虞污水处理厂二期工程处</w:t>
      </w:r>
      <w:r>
        <w:rPr>
          <w:spacing w:val="-7"/>
        </w:rPr>
        <w:t>理，依照上虞污水处理厂二期工程环评结论，污水处理厂二期工程排海口位于钱塘江河</w:t>
      </w:r>
      <w:r>
        <w:rPr>
          <w:spacing w:val="-6"/>
        </w:rPr>
        <w:t>口强潮河段，具有强烈的经流和潮汐交替作用，在正常情况下污染物的浓度分布在污水排放口附近较高，由于水流较急、扩散较快，排放的污染物得到迅速的稀释，因此在污</w:t>
      </w:r>
      <w:r>
        <w:rPr>
          <w:spacing w:val="-5"/>
        </w:rPr>
        <w:t>水正常排放情况下，不会对该水域的鱼类生存环境造成太大的影响，也不会影响该水域</w:t>
      </w:r>
      <w:r>
        <w:rPr>
          <w:spacing w:val="-6"/>
        </w:rPr>
        <w:t>鱼类回流通道。本次项目后期雨水沿厂内主干道排向开发区雨水管，进入附近河道。</w:t>
      </w:r>
      <w:r>
        <w:rPr>
          <w:spacing w:val="-106"/>
        </w:rPr>
        <w:t>因 此，企业只要做好清污分流及其收集，防止污水进入内河，则对内河水质无影响</w:t>
      </w:r>
      <w:r>
        <w:rPr>
          <w:spacing w:val="-106"/>
          <w:w w:val="180"/>
        </w:rPr>
        <w:t>。</w:t>
      </w:r>
    </w:p>
    <w:p>
      <w:pPr>
        <w:pStyle w:val="BodyText"/>
        <w:spacing w:line="305" w:lineRule="exact"/>
        <w:ind w:left="798"/>
      </w:pPr>
      <w:r>
        <w:rPr>
          <w:rFonts w:ascii="Times New Roman" w:eastAsia="Times New Roman"/>
        </w:rPr>
        <w:t>(2)</w:t>
      </w:r>
      <w:r>
        <w:rPr/>
        <w:t>地下水</w:t>
      </w:r>
    </w:p>
    <w:p>
      <w:pPr>
        <w:pStyle w:val="BodyText"/>
        <w:spacing w:line="364" w:lineRule="auto" w:before="156"/>
        <w:ind w:left="318" w:right="313" w:firstLine="480"/>
        <w:jc w:val="both"/>
      </w:pPr>
      <w:r>
        <w:rPr>
          <w:spacing w:val="-5"/>
        </w:rPr>
        <w:t>项目在工程上采取分区防渗，废水集中收集，严格科学管理、精心操作，可避免污染事故的发生。在正常工况下，一般不会发生废水的泄漏，不会对地下水环境造成污</w:t>
      </w:r>
      <w:r>
        <w:rPr>
          <w:spacing w:val="-143"/>
        </w:rPr>
        <w:t>染</w:t>
      </w:r>
      <w:r>
        <w:rPr/>
        <w:t>影响。</w:t>
      </w:r>
    </w:p>
    <w:p>
      <w:pPr>
        <w:spacing w:after="0" w:line="364" w:lineRule="auto"/>
        <w:jc w:val="both"/>
        <w:sectPr>
          <w:pgSz w:w="11910" w:h="16840"/>
          <w:pgMar w:header="872" w:footer="1015" w:top="1100" w:bottom="1200" w:left="1100" w:right="1100"/>
        </w:sectPr>
      </w:pPr>
    </w:p>
    <w:p>
      <w:pPr>
        <w:pStyle w:val="BodyText"/>
        <w:spacing w:before="5"/>
        <w:rPr>
          <w:sz w:val="18"/>
        </w:rPr>
      </w:pPr>
    </w:p>
    <w:p>
      <w:pPr>
        <w:pStyle w:val="BodyText"/>
        <w:spacing w:line="364" w:lineRule="auto" w:before="66"/>
        <w:ind w:left="318" w:right="313" w:firstLine="480"/>
        <w:jc w:val="both"/>
      </w:pPr>
      <w:r>
        <w:rPr>
          <w:spacing w:val="-6"/>
        </w:rPr>
        <w:t>在非正常情况下，废水通过渗透作用可对地下水造成一定的影响，因此，企业需对</w:t>
      </w:r>
      <w:r>
        <w:rPr>
          <w:spacing w:val="-5"/>
        </w:rPr>
        <w:t>主要污染部位如废水处理区、储罐区、固废堆放场所、生产装置区等采取防渗措施，确保污染物不进入地下水。因此，企业应切实做好废水收集预处理工作，做好厂内的地</w:t>
      </w:r>
      <w:r>
        <w:rPr>
          <w:spacing w:val="-140"/>
        </w:rPr>
        <w:t>面</w:t>
      </w:r>
      <w:r>
        <w:rPr>
          <w:spacing w:val="-7"/>
        </w:rPr>
        <w:t>硬化防渗，包括废水处理区、废气处理区和固废暂存区域等的地面防渗工作，则对地下</w:t>
      </w:r>
      <w:r>
        <w:rPr/>
        <w:t>水环境影响较小。</w:t>
      </w:r>
    </w:p>
    <w:p>
      <w:pPr>
        <w:pStyle w:val="BodyText"/>
        <w:spacing w:line="304" w:lineRule="exact"/>
        <w:ind w:left="801"/>
      </w:pPr>
      <w:r>
        <w:rPr>
          <w:rFonts w:ascii="Times New Roman" w:eastAsia="Times New Roman"/>
        </w:rPr>
        <w:t>3</w:t>
      </w:r>
      <w:r>
        <w:rPr/>
        <w:t>、固废影响分析</w:t>
      </w:r>
    </w:p>
    <w:p>
      <w:pPr>
        <w:pStyle w:val="BodyText"/>
        <w:spacing w:line="364" w:lineRule="auto" w:before="161"/>
        <w:ind w:left="318" w:right="312" w:firstLine="480"/>
        <w:jc w:val="both"/>
      </w:pPr>
      <w:r>
        <w:rPr>
          <w:spacing w:val="-4"/>
        </w:rPr>
        <w:t>项目产生的固废包括工业固废及生活垃圾。危险废物委托有资质单位处置；生活</w:t>
      </w:r>
      <w:r>
        <w:rPr>
          <w:spacing w:val="-112"/>
        </w:rPr>
        <w:t>垃 圾</w:t>
      </w:r>
      <w:r>
        <w:rPr>
          <w:spacing w:val="-35"/>
        </w:rPr>
        <w:t>送春晖热电焚烧。所产生的固废分类堆放，并设置专门的防雨棚、场地进行堆放，固废</w:t>
      </w:r>
      <w:r>
        <w:rPr>
          <w:spacing w:val="-16"/>
        </w:rPr>
        <w:t>应及时清运。经过上述处理后，项目产生的固废能做到综合利用、焚烧或者填埋，</w:t>
      </w:r>
      <w:r>
        <w:rPr>
          <w:spacing w:val="-176"/>
        </w:rPr>
        <w:t>周 </w:t>
      </w:r>
      <w:r>
        <w:rPr>
          <w:w w:val="105"/>
        </w:rPr>
        <w:t>围环境能维持现状</w:t>
      </w:r>
      <w:r>
        <w:rPr>
          <w:w w:val="180"/>
        </w:rPr>
        <w:t>。</w:t>
      </w:r>
    </w:p>
    <w:p>
      <w:pPr>
        <w:pStyle w:val="BodyText"/>
        <w:spacing w:line="306" w:lineRule="exact"/>
        <w:ind w:left="801"/>
      </w:pPr>
      <w:r>
        <w:rPr>
          <w:rFonts w:ascii="Times New Roman" w:eastAsia="Times New Roman"/>
        </w:rPr>
        <w:t>4</w:t>
      </w:r>
      <w:r>
        <w:rPr/>
        <w:t>、声环境影响分析</w:t>
      </w:r>
    </w:p>
    <w:p>
      <w:pPr>
        <w:pStyle w:val="BodyText"/>
        <w:spacing w:line="364" w:lineRule="auto" w:before="160"/>
        <w:ind w:left="318" w:right="312" w:firstLine="480"/>
        <w:jc w:val="both"/>
      </w:pPr>
      <w:r>
        <w:rPr>
          <w:spacing w:val="-3"/>
        </w:rPr>
        <w:t>本项目的噪声主要来自设备运行噪声。主要高噪声设备包括各类泵、反应釜、风</w:t>
      </w:r>
      <w:r>
        <w:rPr>
          <w:spacing w:val="-138"/>
        </w:rPr>
        <w:t>机</w:t>
      </w:r>
      <w:r>
        <w:rPr>
          <w:spacing w:val="-13"/>
        </w:rPr>
        <w:t>等，噪声级在 </w:t>
      </w:r>
      <w:r>
        <w:rPr>
          <w:rFonts w:ascii="Times New Roman" w:eastAsia="Times New Roman"/>
        </w:rPr>
        <w:t>70~85dB </w:t>
      </w:r>
      <w:r>
        <w:rPr/>
        <w:t>之间</w:t>
      </w:r>
      <w:r>
        <w:rPr>
          <w:spacing w:val="-51"/>
          <w:w w:val="170"/>
        </w:rPr>
        <w:t>。</w:t>
      </w:r>
      <w:r>
        <w:rPr>
          <w:spacing w:val="-1"/>
        </w:rPr>
        <w:t>本项目经过车间隔声后新增设备噪声对周围声环境影响</w:t>
      </w:r>
      <w:r>
        <w:rPr>
          <w:spacing w:val="-220"/>
        </w:rPr>
        <w:t>不</w:t>
      </w:r>
      <w:r>
        <w:rPr>
          <w:spacing w:val="-4"/>
        </w:rPr>
        <w:t>大，实施后厂界噪声可以满足《工业企业厂界环境噪声排放标准</w:t>
      </w:r>
      <w:r>
        <w:rPr>
          <w:spacing w:val="-132"/>
        </w:rPr>
        <w:t>》</w:t>
      </w:r>
      <w:r>
        <w:rPr/>
        <w:t>（</w:t>
      </w:r>
      <w:r>
        <w:rPr>
          <w:rFonts w:ascii="Times New Roman" w:eastAsia="Times New Roman"/>
        </w:rPr>
        <w:t>GB 12348-2008</w:t>
      </w:r>
      <w:r>
        <w:rPr/>
        <w:t>）</w:t>
      </w:r>
      <w:r>
        <w:rPr>
          <w:spacing w:val="-15"/>
        </w:rPr>
        <w:t>中</w:t>
      </w:r>
      <w:r>
        <w:rPr>
          <w:spacing w:val="-30"/>
        </w:rPr>
        <w:t>的 </w:t>
      </w:r>
      <w:r>
        <w:rPr>
          <w:rFonts w:ascii="Times New Roman" w:eastAsia="Times New Roman"/>
        </w:rPr>
        <w:t>3 </w:t>
      </w:r>
      <w:r>
        <w:rPr>
          <w:spacing w:val="-10"/>
        </w:rPr>
        <w:t>类区标准要求，对周围环境影响较小，同时项目最近环境敏感点在 </w:t>
      </w:r>
      <w:r>
        <w:rPr>
          <w:rFonts w:ascii="Times New Roman" w:eastAsia="Times New Roman"/>
        </w:rPr>
        <w:t>1900m </w:t>
      </w:r>
      <w:r>
        <w:rPr>
          <w:spacing w:val="-11"/>
        </w:rPr>
        <w:t>外，项目噪声经距离衰减后对其已基本无影响。</w:t>
      </w:r>
    </w:p>
    <w:p>
      <w:pPr>
        <w:pStyle w:val="BodyText"/>
        <w:spacing w:line="303" w:lineRule="exact"/>
        <w:ind w:left="798"/>
      </w:pPr>
      <w:r>
        <w:rPr>
          <w:rFonts w:ascii="Times New Roman" w:eastAsia="Times New Roman"/>
        </w:rPr>
        <w:t>5</w:t>
      </w:r>
      <w:r>
        <w:rPr/>
        <w:t>、土壤环境影响分析</w:t>
      </w:r>
    </w:p>
    <w:p>
      <w:pPr>
        <w:pStyle w:val="BodyText"/>
        <w:spacing w:line="364" w:lineRule="auto" w:before="161"/>
        <w:ind w:left="318" w:right="316" w:firstLine="480"/>
        <w:jc w:val="both"/>
      </w:pPr>
      <w:r>
        <w:rPr>
          <w:spacing w:val="-7"/>
        </w:rPr>
        <w:t>根据预测，本次项目运行后，在落实污染物防治措施管理运行、确保污染物妥善收</w:t>
      </w:r>
      <w:r>
        <w:rPr/>
        <w:t>集处置的前提下，厂区土壤环境质量可满足《土壤环境质量 建设用地土壤污染风险管控标准</w:t>
      </w:r>
      <w:r>
        <w:rPr>
          <w:rFonts w:ascii="Times New Roman" w:eastAsia="Times New Roman"/>
        </w:rPr>
        <w:t>(</w:t>
      </w:r>
      <w:r>
        <w:rPr/>
        <w:t>试行</w:t>
      </w:r>
      <w:r>
        <w:rPr>
          <w:rFonts w:ascii="Times New Roman" w:eastAsia="Times New Roman"/>
        </w:rPr>
        <w:t>)</w:t>
      </w:r>
      <w:r>
        <w:rPr/>
        <w:t>》</w:t>
      </w:r>
      <w:r>
        <w:rPr>
          <w:rFonts w:ascii="Times New Roman" w:eastAsia="Times New Roman"/>
        </w:rPr>
        <w:t>(GB36600-2018)</w:t>
      </w:r>
      <w:r>
        <w:rPr/>
        <w:t>第二类用地筛选值限值要求，项目对土壤环境的影响程度可接受。</w:t>
      </w:r>
    </w:p>
    <w:p>
      <w:pPr>
        <w:pStyle w:val="Heading3"/>
        <w:numPr>
          <w:ilvl w:val="1"/>
          <w:numId w:val="76"/>
        </w:numPr>
        <w:tabs>
          <w:tab w:pos="881" w:val="left" w:leader="none"/>
        </w:tabs>
        <w:spacing w:line="357" w:lineRule="exact" w:before="0" w:after="0"/>
        <w:ind w:left="880" w:right="0" w:hanging="563"/>
        <w:jc w:val="left"/>
      </w:pPr>
      <w:bookmarkStart w:name="_bookmark78" w:id="157"/>
      <w:bookmarkEnd w:id="157"/>
      <w:r>
        <w:rPr>
          <w:b w:val="0"/>
        </w:rPr>
      </w:r>
      <w:bookmarkStart w:name="_bookmark78" w:id="158"/>
      <w:bookmarkEnd w:id="158"/>
      <w:r>
        <w:rPr/>
        <w:t>公众意见采纳情况</w:t>
      </w:r>
    </w:p>
    <w:p>
      <w:pPr>
        <w:pStyle w:val="BodyText"/>
        <w:spacing w:before="186"/>
        <w:ind w:left="798"/>
        <w:jc w:val="both"/>
      </w:pPr>
      <w:r>
        <w:rPr>
          <w:spacing w:val="-4"/>
        </w:rPr>
        <w:t>建设单位严格遵照浙江省人民政府令第 </w:t>
      </w:r>
      <w:r>
        <w:rPr>
          <w:rFonts w:ascii="Times New Roman" w:eastAsia="Times New Roman"/>
        </w:rPr>
        <w:t>364 </w:t>
      </w:r>
      <w:r>
        <w:rPr>
          <w:spacing w:val="-8"/>
        </w:rPr>
        <w:t>号《浙江省建设项目环境保护管理办法</w:t>
      </w:r>
    </w:p>
    <w:p>
      <w:pPr>
        <w:pStyle w:val="BodyText"/>
        <w:spacing w:line="364" w:lineRule="auto" w:before="158"/>
        <w:ind w:left="318" w:right="314"/>
        <w:jc w:val="both"/>
      </w:pPr>
      <w:r>
        <w:rPr/>
        <w:t>（</w:t>
      </w:r>
      <w:r>
        <w:rPr>
          <w:rFonts w:ascii="Times New Roman" w:eastAsia="Times New Roman"/>
        </w:rPr>
        <w:t>2018</w:t>
      </w:r>
      <w:r>
        <w:rPr>
          <w:rFonts w:ascii="Times New Roman" w:eastAsia="Times New Roman"/>
          <w:spacing w:val="10"/>
        </w:rPr>
        <w:t> </w:t>
      </w:r>
      <w:r>
        <w:rPr/>
        <w:t>年修正</w:t>
      </w:r>
      <w:r>
        <w:rPr>
          <w:spacing w:val="-120"/>
        </w:rPr>
        <w:t>）</w:t>
      </w:r>
      <w:r>
        <w:rPr>
          <w:spacing w:val="-17"/>
        </w:rPr>
        <w:t>》、《浙江省环境保护厅关于印发建设项目环境影响评价信息公开相关法</w:t>
      </w:r>
      <w:r>
        <w:rPr>
          <w:spacing w:val="-15"/>
        </w:rPr>
        <w:t>律法规解读的函》</w:t>
      </w:r>
      <w:r>
        <w:rPr/>
        <w:t>（浙环发</w:t>
      </w:r>
      <w:r>
        <w:rPr>
          <w:rFonts w:ascii="Times New Roman" w:eastAsia="Times New Roman"/>
        </w:rPr>
        <w:t>[2018]10</w:t>
      </w:r>
      <w:r>
        <w:rPr>
          <w:rFonts w:ascii="Times New Roman" w:eastAsia="Times New Roman"/>
          <w:spacing w:val="21"/>
        </w:rPr>
        <w:t> </w:t>
      </w:r>
      <w:r>
        <w:rPr/>
        <w:t>号）</w:t>
      </w:r>
      <w:r>
        <w:rPr>
          <w:spacing w:val="-1"/>
        </w:rPr>
        <w:t>等有关规定要求，开展了项目公众参与，并单</w:t>
      </w:r>
      <w:r>
        <w:rPr>
          <w:spacing w:val="-3"/>
        </w:rPr>
        <w:t>独编制完成了《绍兴贝斯美化工股份有限公司贝斯美年产 </w:t>
      </w:r>
      <w:r>
        <w:rPr>
          <w:rFonts w:ascii="Times New Roman" w:eastAsia="Times New Roman"/>
        </w:rPr>
        <w:t>300</w:t>
      </w:r>
      <w:r>
        <w:rPr>
          <w:rFonts w:ascii="Times New Roman" w:eastAsia="Times New Roman"/>
          <w:spacing w:val="2"/>
        </w:rPr>
        <w:t> </w:t>
      </w:r>
      <w:r>
        <w:rPr/>
        <w:t>吨三环唑、</w:t>
      </w:r>
      <w:r>
        <w:rPr>
          <w:rFonts w:ascii="Times New Roman" w:eastAsia="Times New Roman"/>
        </w:rPr>
        <w:t>200</w:t>
      </w:r>
      <w:r>
        <w:rPr>
          <w:rFonts w:ascii="Times New Roman" w:eastAsia="Times New Roman"/>
          <w:spacing w:val="3"/>
        </w:rPr>
        <w:t> </w:t>
      </w:r>
      <w:r>
        <w:rPr>
          <w:spacing w:val="-4"/>
        </w:rPr>
        <w:t>吨三环唑</w:t>
      </w:r>
      <w:r>
        <w:rPr>
          <w:spacing w:val="-9"/>
        </w:rPr>
        <w:t>可湿性粉剂项目公众参与报告》</w:t>
      </w:r>
      <w:r>
        <w:rPr>
          <w:w w:val="170"/>
        </w:rPr>
        <w:t>。</w:t>
      </w:r>
      <w:r>
        <w:rPr/>
        <w:t>公众参与秉承了公开、平等、广泛和便利的原则，</w:t>
      </w:r>
      <w:r>
        <w:rPr>
          <w:spacing w:val="-240"/>
        </w:rPr>
        <w:t>采</w:t>
      </w:r>
      <w:r>
        <w:rPr>
          <w:spacing w:val="-5"/>
        </w:rPr>
        <w:t>取了建设单位网站发布、张贴公示的形式进行；公示期间未收到反对等与项目建设相关</w:t>
      </w:r>
      <w:r>
        <w:rPr>
          <w:spacing w:val="-6"/>
        </w:rPr>
        <w:t>的反馈意见。因此，项目建设符合公众参与相关文件要求，公示期间也无公众提出针</w:t>
      </w:r>
      <w:r>
        <w:rPr>
          <w:spacing w:val="-146"/>
        </w:rPr>
        <w:t>对</w:t>
      </w:r>
      <w:r>
        <w:rPr/>
        <w:t>项目的其他意见和建议</w:t>
      </w:r>
      <w:r>
        <w:rPr>
          <w:spacing w:val="-24"/>
          <w:w w:val="170"/>
        </w:rPr>
        <w:t>。</w:t>
      </w:r>
      <w:r>
        <w:rPr>
          <w:spacing w:val="-2"/>
        </w:rPr>
        <w:t>环评要求建设单位加强与周边企业和居民的沟通及联系，在</w:t>
      </w:r>
      <w:r>
        <w:rPr>
          <w:spacing w:val="-220"/>
        </w:rPr>
        <w:t>项</w:t>
      </w:r>
    </w:p>
    <w:p>
      <w:pPr>
        <w:spacing w:after="0" w:line="364" w:lineRule="auto"/>
        <w:jc w:val="both"/>
        <w:sectPr>
          <w:pgSz w:w="11910" w:h="16840"/>
          <w:pgMar w:header="872" w:footer="1015" w:top="1100" w:bottom="1200" w:left="1100" w:right="1100"/>
        </w:sectPr>
      </w:pPr>
    </w:p>
    <w:p>
      <w:pPr>
        <w:pStyle w:val="BodyText"/>
        <w:spacing w:before="5"/>
        <w:rPr>
          <w:sz w:val="18"/>
        </w:rPr>
      </w:pPr>
    </w:p>
    <w:p>
      <w:pPr>
        <w:pStyle w:val="BodyText"/>
        <w:spacing w:line="364" w:lineRule="auto" w:before="66"/>
        <w:ind w:left="318" w:right="252"/>
      </w:pPr>
      <w:r>
        <w:rPr/>
        <w:t>目建设过程中做到以人为本，同时加强环境保护工作的落实，落实本环评提出的各项污染物防治措施，确保各项污染物达标排放，以使企业更好地生存和发展。</w:t>
      </w:r>
    </w:p>
    <w:p>
      <w:pPr>
        <w:pStyle w:val="Heading3"/>
        <w:numPr>
          <w:ilvl w:val="1"/>
          <w:numId w:val="76"/>
        </w:numPr>
        <w:tabs>
          <w:tab w:pos="881" w:val="left" w:leader="none"/>
        </w:tabs>
        <w:spacing w:line="240" w:lineRule="auto" w:before="0" w:after="0"/>
        <w:ind w:left="880" w:right="0" w:hanging="563"/>
        <w:jc w:val="left"/>
      </w:pPr>
      <w:bookmarkStart w:name="_bookmark79" w:id="159"/>
      <w:bookmarkEnd w:id="159"/>
      <w:r>
        <w:rPr>
          <w:b w:val="0"/>
        </w:rPr>
      </w:r>
      <w:bookmarkStart w:name="_bookmark79" w:id="160"/>
      <w:bookmarkEnd w:id="160"/>
      <w:r>
        <w:rPr/>
        <w:t>环境可行性分析</w:t>
      </w:r>
    </w:p>
    <w:p>
      <w:pPr>
        <w:pStyle w:val="BodyText"/>
        <w:spacing w:before="186"/>
        <w:ind w:left="798"/>
        <w:jc w:val="both"/>
      </w:pPr>
      <w:r>
        <w:rPr/>
        <w:t>本项目环保审批原则符合性分析详见第 </w:t>
      </w:r>
      <w:r>
        <w:rPr>
          <w:rFonts w:ascii="Times New Roman" w:eastAsia="Times New Roman"/>
        </w:rPr>
        <w:t>11 </w:t>
      </w:r>
      <w:r>
        <w:rPr/>
        <w:t>章。根据分析可知：</w:t>
      </w:r>
    </w:p>
    <w:p>
      <w:pPr>
        <w:spacing w:line="364" w:lineRule="auto" w:before="158"/>
        <w:ind w:left="318" w:right="277" w:firstLine="480"/>
        <w:jc w:val="both"/>
        <w:rPr>
          <w:b/>
          <w:sz w:val="24"/>
        </w:rPr>
      </w:pPr>
      <w:r>
        <w:rPr>
          <w:spacing w:val="-3"/>
          <w:sz w:val="24"/>
        </w:rPr>
        <w:t>根据《绍兴市</w:t>
      </w:r>
      <w:r>
        <w:rPr>
          <w:rFonts w:ascii="Times New Roman" w:hAnsi="Times New Roman" w:eastAsia="Times New Roman"/>
          <w:sz w:val="24"/>
        </w:rPr>
        <w:t>“</w:t>
      </w:r>
      <w:r>
        <w:rPr>
          <w:sz w:val="24"/>
        </w:rPr>
        <w:t>三线一单</w:t>
      </w:r>
      <w:r>
        <w:rPr>
          <w:rFonts w:ascii="Times New Roman" w:hAnsi="Times New Roman" w:eastAsia="Times New Roman"/>
          <w:sz w:val="24"/>
        </w:rPr>
        <w:t>”</w:t>
      </w:r>
      <w:r>
        <w:rPr>
          <w:spacing w:val="-2"/>
          <w:sz w:val="24"/>
        </w:rPr>
        <w:t>生态环境分区管控方案》，项目所在区域属于重点管控单</w:t>
      </w:r>
      <w:r>
        <w:rPr>
          <w:spacing w:val="36"/>
          <w:sz w:val="24"/>
        </w:rPr>
        <w:t>元（产业集聚</w:t>
      </w:r>
      <w:r>
        <w:rPr>
          <w:sz w:val="24"/>
        </w:rPr>
        <w:t>）</w:t>
      </w:r>
      <w:r>
        <w:rPr>
          <w:spacing w:val="-85"/>
          <w:sz w:val="24"/>
        </w:rPr>
        <w:t> </w:t>
      </w:r>
      <w:r>
        <w:rPr>
          <w:rFonts w:ascii="Times New Roman" w:hAnsi="Times New Roman" w:eastAsia="Times New Roman"/>
          <w:spacing w:val="-12"/>
          <w:sz w:val="24"/>
        </w:rPr>
        <w:t>— </w:t>
      </w:r>
      <w:r>
        <w:rPr>
          <w:spacing w:val="36"/>
          <w:sz w:val="24"/>
        </w:rPr>
        <w:t>上虞区杭州湾经济开发区产业集聚重点管控单元（</w:t>
      </w:r>
      <w:r>
        <w:rPr>
          <w:spacing w:val="24"/>
          <w:sz w:val="24"/>
        </w:rPr>
        <w:t>编号： </w:t>
      </w:r>
      <w:r>
        <w:rPr>
          <w:rFonts w:ascii="Times New Roman" w:hAnsi="Times New Roman" w:eastAsia="Times New Roman"/>
          <w:spacing w:val="24"/>
          <w:w w:val="99"/>
          <w:sz w:val="24"/>
        </w:rPr>
        <w:t>Z</w:t>
      </w:r>
      <w:r>
        <w:rPr>
          <w:rFonts w:ascii="Times New Roman" w:hAnsi="Times New Roman" w:eastAsia="Times New Roman"/>
          <w:spacing w:val="-1"/>
          <w:w w:val="99"/>
          <w:sz w:val="24"/>
        </w:rPr>
        <w:t>H</w:t>
      </w:r>
      <w:r>
        <w:rPr>
          <w:rFonts w:ascii="Times New Roman" w:hAnsi="Times New Roman" w:eastAsia="Times New Roman"/>
          <w:sz w:val="24"/>
        </w:rPr>
        <w:t>3306042000</w:t>
      </w:r>
      <w:r>
        <w:rPr>
          <w:rFonts w:ascii="Times New Roman" w:hAnsi="Times New Roman" w:eastAsia="Times New Roman"/>
          <w:spacing w:val="2"/>
          <w:sz w:val="24"/>
        </w:rPr>
        <w:t>2</w:t>
      </w:r>
      <w:r>
        <w:rPr>
          <w:spacing w:val="2"/>
          <w:w w:val="133"/>
          <w:sz w:val="24"/>
        </w:rPr>
        <w:t>）。</w:t>
      </w:r>
      <w:r>
        <w:rPr>
          <w:b/>
          <w:spacing w:val="2"/>
          <w:w w:val="99"/>
          <w:sz w:val="24"/>
        </w:rPr>
        <w:t>项目位于杭州湾上虞经济技术开发区内（工业聚集区</w:t>
      </w:r>
      <w:r>
        <w:rPr>
          <w:b/>
          <w:spacing w:val="-116"/>
          <w:w w:val="99"/>
          <w:sz w:val="24"/>
        </w:rPr>
        <w:t>）</w:t>
      </w:r>
      <w:r>
        <w:rPr>
          <w:b/>
          <w:spacing w:val="-23"/>
          <w:w w:val="99"/>
          <w:sz w:val="24"/>
        </w:rPr>
        <w:t>，属于三类</w:t>
      </w:r>
      <w:r>
        <w:rPr>
          <w:b/>
          <w:spacing w:val="-9"/>
          <w:sz w:val="24"/>
        </w:rPr>
        <w:t>工业用地，本项目从事农药制造。因此，项目符合上虞区杭州湾经济开发区产业集聚重</w:t>
      </w:r>
      <w:r>
        <w:rPr>
          <w:b/>
          <w:spacing w:val="-9"/>
          <w:w w:val="105"/>
          <w:sz w:val="24"/>
        </w:rPr>
        <w:t>点管控单元的要求。</w:t>
      </w:r>
    </w:p>
    <w:p>
      <w:pPr>
        <w:pStyle w:val="BodyText"/>
        <w:spacing w:line="364" w:lineRule="auto"/>
        <w:ind w:left="318" w:right="192" w:firstLine="480"/>
      </w:pPr>
      <w:r>
        <w:rPr>
          <w:spacing w:val="-4"/>
        </w:rPr>
        <w:t>该项目废水主要有工艺废水、水环泵废水、地面及设备清洗废水、泄压废水、生活</w:t>
      </w:r>
      <w:r>
        <w:rPr>
          <w:spacing w:val="-17"/>
          <w:position w:val="2"/>
        </w:rPr>
        <w:t>污水、初期雨水、喷淋废水、蒸汽冷凝水、冷却系统排污水等，主要污染因子为 </w:t>
      </w:r>
      <w:r>
        <w:rPr>
          <w:rFonts w:ascii="Times New Roman" w:eastAsia="Times New Roman"/>
          <w:position w:val="2"/>
        </w:rPr>
        <w:t>COD</w:t>
      </w:r>
      <w:r>
        <w:rPr>
          <w:rFonts w:ascii="Times New Roman" w:eastAsia="Times New Roman"/>
          <w:sz w:val="16"/>
        </w:rPr>
        <w:t>Cr</w:t>
      </w:r>
      <w:r>
        <w:rPr>
          <w:spacing w:val="-13"/>
          <w:position w:val="2"/>
        </w:rPr>
        <w:t>、</w:t>
      </w:r>
      <w:r>
        <w:rPr>
          <w:spacing w:val="-5"/>
        </w:rPr>
        <w:t>氨氮、总氮等</w:t>
      </w:r>
      <w:r>
        <w:rPr>
          <w:spacing w:val="-24"/>
          <w:w w:val="180"/>
        </w:rPr>
        <w:t>。</w:t>
      </w:r>
      <w:r>
        <w:rPr>
          <w:spacing w:val="-1"/>
        </w:rPr>
        <w:t>车间高浓度废水经预处理后与公用工程低浓度废水一起经生化处理达</w:t>
      </w:r>
      <w:r>
        <w:rPr>
          <w:spacing w:val="-132"/>
        </w:rPr>
        <w:t>到</w:t>
      </w:r>
    </w:p>
    <w:p>
      <w:pPr>
        <w:pStyle w:val="BodyText"/>
        <w:spacing w:line="364" w:lineRule="auto"/>
        <w:ind w:left="318" w:right="276"/>
        <w:jc w:val="both"/>
      </w:pPr>
      <w:r>
        <w:rPr/>
        <w:t>《污水综合排放标准》（</w:t>
      </w:r>
      <w:r>
        <w:rPr>
          <w:rFonts w:ascii="Times New Roman" w:hAnsi="Times New Roman" w:eastAsia="Times New Roman"/>
        </w:rPr>
        <w:t>GB8978-1996</w:t>
      </w:r>
      <w:r>
        <w:rPr/>
        <w:t>）中三级标准，氨氮执行浙江省地方标准《工业企业废水氮、磷污染物间接排放限值》</w:t>
      </w:r>
      <w:r>
        <w:rPr>
          <w:rFonts w:ascii="Times New Roman" w:hAnsi="Times New Roman" w:eastAsia="Times New Roman"/>
        </w:rPr>
        <w:t>(DB33/887-2013)</w:t>
      </w:r>
      <w:r>
        <w:rPr/>
        <w:t>中</w:t>
      </w:r>
      <w:r>
        <w:rPr>
          <w:rFonts w:ascii="Times New Roman" w:hAnsi="Times New Roman" w:eastAsia="Times New Roman"/>
        </w:rPr>
        <w:t>“</w:t>
      </w:r>
      <w:r>
        <w:rPr/>
        <w:t>其他企业</w:t>
      </w:r>
      <w:r>
        <w:rPr>
          <w:rFonts w:ascii="Times New Roman" w:hAnsi="Times New Roman" w:eastAsia="Times New Roman"/>
        </w:rPr>
        <w:t>”</w:t>
      </w:r>
      <w:r>
        <w:rPr>
          <w:spacing w:val="1"/>
        </w:rPr>
        <w:t>的规定 </w:t>
      </w:r>
      <w:r>
        <w:rPr>
          <w:rFonts w:ascii="Times New Roman" w:hAnsi="Times New Roman" w:eastAsia="Times New Roman"/>
        </w:rPr>
        <w:t>35mg/L</w:t>
      </w:r>
      <w:r>
        <w:rPr/>
        <w:t>， 总氮参照执行《污水排入城镇下水道水质标准》</w:t>
      </w:r>
      <w:r>
        <w:rPr>
          <w:rFonts w:ascii="Times New Roman" w:hAnsi="Times New Roman" w:eastAsia="Times New Roman"/>
        </w:rPr>
        <w:t>(GB/T31962-2015)</w:t>
      </w:r>
      <w:r>
        <w:rPr>
          <w:spacing w:val="-30"/>
        </w:rPr>
        <w:t>中 </w:t>
      </w:r>
      <w:r>
        <w:rPr>
          <w:rFonts w:ascii="Times New Roman" w:hAnsi="Times New Roman" w:eastAsia="Times New Roman"/>
        </w:rPr>
        <w:t>B </w:t>
      </w:r>
      <w:r>
        <w:rPr>
          <w:spacing w:val="-2"/>
        </w:rPr>
        <w:t>级标准后纳管， </w:t>
      </w:r>
      <w:r>
        <w:rPr/>
        <w:t>送上虞污水处理厂集中处理。</w:t>
      </w:r>
    </w:p>
    <w:p>
      <w:pPr>
        <w:pStyle w:val="BodyText"/>
        <w:spacing w:line="364" w:lineRule="auto"/>
        <w:ind w:left="318" w:right="314" w:firstLine="480"/>
        <w:jc w:val="both"/>
      </w:pPr>
      <w:r>
        <w:rPr>
          <w:spacing w:val="-4"/>
        </w:rPr>
        <w:t>项目产生的废气主要有反应过程产生的工艺废气、公用工程废气等，主要污染因子</w:t>
      </w:r>
      <w:r>
        <w:rPr>
          <w:spacing w:val="-8"/>
        </w:rPr>
        <w:t>包括甲酸、颗粒物等，车间甲酸废气采用冷凝预处理措施后，粉尘采用布袋除尘预处理</w:t>
      </w:r>
      <w:r>
        <w:rPr/>
        <w:t>措施后，一起经废气集中处理装置（两级碱喷淋）</w:t>
      </w:r>
      <w:r>
        <w:rPr>
          <w:spacing w:val="-2"/>
        </w:rPr>
        <w:t>进行处理后通过排气筒 </w:t>
      </w:r>
      <w:r>
        <w:rPr>
          <w:rFonts w:ascii="Times New Roman" w:eastAsia="Times New Roman"/>
        </w:rPr>
        <w:t>DA004 </w:t>
      </w:r>
      <w:r>
        <w:rPr>
          <w:spacing w:val="-6"/>
        </w:rPr>
        <w:t>达标</w:t>
      </w:r>
      <w:r>
        <w:rPr>
          <w:spacing w:val="-10"/>
        </w:rPr>
        <w:t>排放；污水处理设施、危废暂存场所、储罐废气经引风收集</w:t>
      </w:r>
      <w:r>
        <w:rPr>
          <w:rFonts w:ascii="Times New Roman" w:eastAsia="Times New Roman"/>
        </w:rPr>
        <w:t>+</w:t>
      </w:r>
      <w:r>
        <w:rPr/>
        <w:t>一级次钠喷淋</w:t>
      </w:r>
      <w:r>
        <w:rPr>
          <w:rFonts w:ascii="Times New Roman" w:eastAsia="Times New Roman"/>
        </w:rPr>
        <w:t>+</w:t>
      </w:r>
      <w:r>
        <w:rPr>
          <w:spacing w:val="-3"/>
        </w:rPr>
        <w:t>一级碱喷淋</w:t>
      </w:r>
      <w:r>
        <w:rPr>
          <w:spacing w:val="-7"/>
        </w:rPr>
        <w:t>处理后通过排气筒 </w:t>
      </w:r>
      <w:r>
        <w:rPr>
          <w:rFonts w:ascii="Times New Roman" w:eastAsia="Times New Roman"/>
        </w:rPr>
        <w:t>DA005 </w:t>
      </w:r>
      <w:r>
        <w:rPr/>
        <w:t>排放。最后各类废气均做到达标排放。</w:t>
      </w:r>
    </w:p>
    <w:p>
      <w:pPr>
        <w:pStyle w:val="BodyText"/>
        <w:spacing w:line="364" w:lineRule="auto"/>
        <w:ind w:left="318" w:right="314" w:firstLine="480"/>
      </w:pPr>
      <w:r>
        <w:rPr>
          <w:spacing w:val="-4"/>
        </w:rPr>
        <w:t>项目产生的固废包括工业固废及生活垃圾。项目产生的固废能做到综合利用、焚</w:t>
      </w:r>
      <w:r>
        <w:rPr>
          <w:spacing w:val="-220"/>
        </w:rPr>
        <w:t>烧</w:t>
      </w:r>
      <w:r>
        <w:rPr>
          <w:w w:val="105"/>
        </w:rPr>
        <w:t>或者填埋，周围环境能维持现状。</w:t>
      </w:r>
    </w:p>
    <w:p>
      <w:pPr>
        <w:pStyle w:val="BodyText"/>
        <w:spacing w:line="306" w:lineRule="exact"/>
        <w:ind w:left="798"/>
      </w:pPr>
      <w:r>
        <w:rPr/>
        <w:t>项目产生噪声不大，经车间隔声处理后厂界可以达标排放。</w:t>
      </w:r>
    </w:p>
    <w:p>
      <w:pPr>
        <w:spacing w:line="364" w:lineRule="auto" w:before="152"/>
        <w:ind w:left="318" w:right="316" w:firstLine="482"/>
        <w:jc w:val="both"/>
        <w:rPr>
          <w:sz w:val="24"/>
        </w:rPr>
      </w:pPr>
      <w:r>
        <w:rPr>
          <w:b/>
          <w:spacing w:val="-8"/>
          <w:sz w:val="24"/>
        </w:rPr>
        <w:t>项目排放的污染物符合国家、省规定的污染物排放标准和主要污染物排放总量控制</w:t>
      </w:r>
      <w:r>
        <w:rPr>
          <w:b/>
          <w:spacing w:val="-11"/>
          <w:sz w:val="24"/>
        </w:rPr>
        <w:t>指标，从预测的结果来看本次项目造成的环境影响符合建设项目所在地环境功能区划确</w:t>
      </w:r>
      <w:r>
        <w:rPr>
          <w:b/>
          <w:spacing w:val="-3"/>
          <w:sz w:val="24"/>
        </w:rPr>
        <w:t>定的环境质量要求。</w:t>
      </w:r>
      <w:r>
        <w:rPr>
          <w:spacing w:val="-5"/>
          <w:sz w:val="24"/>
        </w:rPr>
        <w:t>同时项目采用的工艺和设备符合清洁生产要求；项目建设符合城市</w:t>
      </w:r>
      <w:r>
        <w:rPr>
          <w:spacing w:val="-3"/>
          <w:sz w:val="24"/>
        </w:rPr>
        <w:t>总体规划和杭州湾上虞经济技术开发区产业提升区及配套区规划相关要求；符合国家和</w:t>
      </w:r>
      <w:r>
        <w:rPr>
          <w:sz w:val="24"/>
        </w:rPr>
        <w:t>地方的产业政策。</w:t>
      </w:r>
    </w:p>
    <w:p>
      <w:pPr>
        <w:pStyle w:val="Heading4"/>
        <w:spacing w:line="306" w:lineRule="exact"/>
        <w:ind w:left="801"/>
      </w:pPr>
      <w:r>
        <w:rPr/>
        <w:t>因此本评价认为本项目满足环保审批原则。</w:t>
      </w:r>
    </w:p>
    <w:p>
      <w:pPr>
        <w:spacing w:after="0" w:line="306" w:lineRule="exact"/>
        <w:sectPr>
          <w:footerReference w:type="default" r:id="rId187"/>
          <w:pgSz w:w="11910" w:h="16840"/>
          <w:pgMar w:footer="1015" w:header="872" w:top="1100" w:bottom="1200" w:left="1100" w:right="1100"/>
        </w:sectPr>
      </w:pPr>
    </w:p>
    <w:p>
      <w:pPr>
        <w:pStyle w:val="BodyText"/>
        <w:spacing w:before="2"/>
        <w:rPr>
          <w:b/>
          <w:sz w:val="18"/>
        </w:rPr>
      </w:pPr>
    </w:p>
    <w:p>
      <w:pPr>
        <w:pStyle w:val="Heading3"/>
        <w:spacing w:before="70"/>
        <w:ind w:left="318" w:firstLine="0"/>
      </w:pPr>
      <w:bookmarkStart w:name="_bookmark80" w:id="161"/>
      <w:bookmarkEnd w:id="161"/>
      <w:r>
        <w:rPr>
          <w:b w:val="0"/>
        </w:rPr>
      </w:r>
      <w:r>
        <w:rPr>
          <w:rFonts w:ascii="Times New Roman" w:eastAsia="Times New Roman"/>
        </w:rPr>
        <w:t>13.7 </w:t>
      </w:r>
      <w:r>
        <w:rPr/>
        <w:t>环境影响经济损益分析</w:t>
      </w:r>
    </w:p>
    <w:p>
      <w:pPr>
        <w:pStyle w:val="BodyText"/>
        <w:spacing w:line="364" w:lineRule="auto" w:before="186"/>
        <w:ind w:left="318" w:right="312" w:firstLine="480"/>
        <w:jc w:val="both"/>
      </w:pPr>
      <w:r>
        <w:rPr>
          <w:spacing w:val="-4"/>
        </w:rPr>
        <w:t>通过对项目社会经济效益和环境经济效益分析可以看出，项目产生的污染物会对当</w:t>
      </w:r>
      <w:r>
        <w:rPr>
          <w:spacing w:val="-5"/>
        </w:rPr>
        <w:t>地的环境产生一定的影响，但总体上，项目的清洁生产程度较高，通过污染治理、合理</w:t>
      </w:r>
      <w:r>
        <w:rPr>
          <w:spacing w:val="-6"/>
        </w:rPr>
        <w:t>布局、绿化等措施基本可以消除。从社会效益方面来看，企业拥有良好的销售网络，</w:t>
      </w:r>
      <w:r>
        <w:rPr>
          <w:spacing w:val="-141"/>
        </w:rPr>
        <w:t>在</w:t>
      </w:r>
      <w:r>
        <w:rPr>
          <w:spacing w:val="-6"/>
        </w:rPr>
        <w:t>目前经济形式下，加大投资，增加就业机会，在一定程度上可缓解当地的就业压力，项</w:t>
      </w:r>
      <w:r>
        <w:rPr>
          <w:spacing w:val="-5"/>
        </w:rPr>
        <w:t>目建成后经济效益较好，促进当地的经济发展，具有良好的社会效益；从环境效益方面</w:t>
      </w:r>
      <w:r>
        <w:rPr>
          <w:spacing w:val="-7"/>
        </w:rPr>
        <w:t>来看，在企业投入资金实施各项环保措施的基础上，项目产生的各类污染物经治理后达</w:t>
      </w:r>
      <w:r>
        <w:rPr/>
        <w:t>标排放，对周围环境的影响很小，周围环境可以维持现状。</w:t>
      </w:r>
    </w:p>
    <w:p>
      <w:pPr>
        <w:pStyle w:val="Heading4"/>
        <w:spacing w:line="364" w:lineRule="auto"/>
        <w:ind w:left="318" w:right="318" w:firstLine="482"/>
        <w:jc w:val="both"/>
      </w:pPr>
      <w:r>
        <w:rPr>
          <w:spacing w:val="-9"/>
        </w:rPr>
        <w:t>因此从社会、环境经济效益方面看，项目的建设可以带来一定的效益，在企业投入</w:t>
      </w:r>
      <w:r>
        <w:rPr>
          <w:spacing w:val="-6"/>
        </w:rPr>
        <w:t>资金实施各项环保措施的基础上，项目产生的各类污染物经治理后达标排放，对周围环</w:t>
      </w:r>
      <w:r>
        <w:rPr/>
        <w:t>境的影响很小。项目建设在环境经济损益分析上是可行的。</w:t>
      </w:r>
    </w:p>
    <w:p>
      <w:pPr>
        <w:pStyle w:val="Heading3"/>
        <w:numPr>
          <w:ilvl w:val="1"/>
          <w:numId w:val="77"/>
        </w:numPr>
        <w:tabs>
          <w:tab w:pos="881" w:val="left" w:leader="none"/>
        </w:tabs>
        <w:spacing w:line="357" w:lineRule="exact" w:before="0" w:after="0"/>
        <w:ind w:left="880" w:right="0" w:hanging="563"/>
        <w:jc w:val="left"/>
      </w:pPr>
      <w:bookmarkStart w:name="_bookmark81" w:id="162"/>
      <w:bookmarkEnd w:id="162"/>
      <w:r>
        <w:rPr>
          <w:b w:val="0"/>
        </w:rPr>
      </w:r>
      <w:bookmarkStart w:name="_bookmark81" w:id="163"/>
      <w:bookmarkEnd w:id="163"/>
      <w:r>
        <w:rPr/>
        <w:t>环境管理和监测计划</w:t>
      </w:r>
    </w:p>
    <w:p>
      <w:pPr>
        <w:pStyle w:val="BodyText"/>
        <w:spacing w:line="364" w:lineRule="auto" w:before="182"/>
        <w:ind w:left="318" w:right="196" w:firstLine="480"/>
      </w:pPr>
      <w:r>
        <w:rPr>
          <w:spacing w:val="-3"/>
        </w:rPr>
        <w:t>要求企业设立专门的环境保护管理机构，统一管理和规划厂区内的各项环境保护工</w:t>
      </w:r>
      <w:r>
        <w:rPr>
          <w:spacing w:val="-13"/>
        </w:rPr>
        <w:t>作，监督厂区内各部门的环境保护设施的设计、建设和运转，并对各车间做好规划管理</w:t>
      </w:r>
      <w:r>
        <w:rPr>
          <w:spacing w:val="-142"/>
        </w:rPr>
        <w:t>。</w:t>
      </w:r>
      <w:r>
        <w:rPr>
          <w:spacing w:val="-3"/>
        </w:rPr>
        <w:t>厂方应委托有资质的监测单位，对厂区及保护目标的环境质量、重要污染源等进行定期监测。</w:t>
      </w:r>
    </w:p>
    <w:p>
      <w:pPr>
        <w:pStyle w:val="Heading3"/>
        <w:numPr>
          <w:ilvl w:val="1"/>
          <w:numId w:val="77"/>
        </w:numPr>
        <w:tabs>
          <w:tab w:pos="881" w:val="left" w:leader="none"/>
        </w:tabs>
        <w:spacing w:line="358" w:lineRule="exact" w:before="0" w:after="0"/>
        <w:ind w:left="880" w:right="0" w:hanging="563"/>
        <w:jc w:val="left"/>
      </w:pPr>
      <w:bookmarkStart w:name="_bookmark82" w:id="164"/>
      <w:bookmarkEnd w:id="164"/>
      <w:r>
        <w:rPr>
          <w:b w:val="0"/>
        </w:rPr>
      </w:r>
      <w:bookmarkStart w:name="_bookmark82" w:id="165"/>
      <w:bookmarkEnd w:id="165"/>
      <w:r>
        <w:rPr/>
        <w:t>要求与建议</w:t>
      </w:r>
    </w:p>
    <w:p>
      <w:pPr>
        <w:pStyle w:val="BodyText"/>
        <w:spacing w:line="364" w:lineRule="auto" w:before="185"/>
        <w:ind w:left="318" w:right="318" w:firstLine="480"/>
      </w:pPr>
      <w:r>
        <w:rPr>
          <w:rFonts w:ascii="Times New Roman" w:eastAsia="Times New Roman"/>
        </w:rPr>
        <w:t>1</w:t>
      </w:r>
      <w:r>
        <w:rPr/>
        <w:t>、厂内设专职或兼职环保管理人员，制定相应的环境管理制度，建立环境监督员制度，加强员工环保意识教育，使项目各项环保措施得到切实执行。</w:t>
      </w:r>
    </w:p>
    <w:p>
      <w:pPr>
        <w:pStyle w:val="BodyText"/>
        <w:spacing w:line="364" w:lineRule="auto"/>
        <w:ind w:left="318" w:right="313" w:firstLine="480"/>
      </w:pPr>
      <w:r>
        <w:rPr>
          <w:rFonts w:ascii="Times New Roman" w:eastAsia="Times New Roman"/>
        </w:rPr>
        <w:t>2</w:t>
      </w:r>
      <w:r>
        <w:rPr/>
        <w:t>、建设项目竣工后，建设单位应当按照国务院环境保护行政主管部门规定的标准和程序，对配套建设的环境保护设施进行验收，编制验收报告。</w:t>
      </w:r>
    </w:p>
    <w:p>
      <w:pPr>
        <w:pStyle w:val="BodyText"/>
        <w:spacing w:line="364" w:lineRule="auto"/>
        <w:ind w:left="318" w:right="196" w:firstLine="480"/>
      </w:pPr>
      <w:r>
        <w:rPr>
          <w:rFonts w:ascii="Times New Roman" w:hAnsi="Times New Roman" w:eastAsia="Times New Roman"/>
        </w:rPr>
        <w:t>3</w:t>
      </w:r>
      <w:r>
        <w:rPr>
          <w:spacing w:val="-13"/>
        </w:rPr>
        <w:t>、企业应加强设备的日常维护工作及日常生产管理工作，最大限度的防止出现</w:t>
      </w:r>
      <w:r>
        <w:rPr>
          <w:rFonts w:ascii="Times New Roman" w:hAnsi="Times New Roman" w:eastAsia="Times New Roman"/>
        </w:rPr>
        <w:t>“</w:t>
      </w:r>
      <w:r>
        <w:rPr>
          <w:spacing w:val="-7"/>
        </w:rPr>
        <w:t>跑、</w:t>
      </w:r>
      <w:r>
        <w:rPr/>
        <w:t>冒、滴、漏</w:t>
      </w:r>
      <w:r>
        <w:rPr>
          <w:rFonts w:ascii="Times New Roman" w:hAnsi="Times New Roman" w:eastAsia="Times New Roman"/>
        </w:rPr>
        <w:t>”</w:t>
      </w:r>
      <w:r>
        <w:rPr/>
        <w:t>现象发生。一旦出现事故性排放，应立即采取相应的应急措施。</w:t>
      </w:r>
    </w:p>
    <w:p>
      <w:pPr>
        <w:pStyle w:val="BodyText"/>
        <w:spacing w:line="364" w:lineRule="auto"/>
        <w:ind w:left="318" w:right="312" w:firstLine="480"/>
        <w:jc w:val="both"/>
      </w:pPr>
      <w:r>
        <w:rPr>
          <w:rFonts w:ascii="Times New Roman" w:eastAsia="Times New Roman"/>
        </w:rPr>
        <w:t>4</w:t>
      </w:r>
      <w:r>
        <w:rPr/>
        <w:t>、环评要求企业落实本环评提出的各项污染物治理措施，加强管理，及时维修设备，一旦因企业设备故障等各类原因而导致污染物超标排放或造成环境污染纠纷事故时，企业应立即停产整顿，直至满足国家相关法律法规要求。</w:t>
      </w:r>
    </w:p>
    <w:p>
      <w:pPr>
        <w:pStyle w:val="BodyText"/>
        <w:spacing w:line="364" w:lineRule="auto"/>
        <w:ind w:left="318" w:right="313" w:firstLine="480"/>
        <w:jc w:val="both"/>
      </w:pPr>
      <w:r>
        <w:rPr>
          <w:rFonts w:ascii="Times New Roman" w:eastAsia="Times New Roman"/>
        </w:rPr>
        <w:t>5</w:t>
      </w:r>
      <w:r>
        <w:rPr/>
        <w:t>、须按本次环评向环境保护管理部门申报建设项目的性质、规模、地点、采用的</w:t>
      </w:r>
      <w:r>
        <w:rPr>
          <w:spacing w:val="-5"/>
        </w:rPr>
        <w:t>生产工艺或者防治污染、防止生态破坏的措施发生重大变动的，应向环境保护管理部门</w:t>
      </w:r>
      <w:r>
        <w:rPr/>
        <w:t>重新报批。</w:t>
      </w:r>
    </w:p>
    <w:p>
      <w:pPr>
        <w:spacing w:after="0" w:line="364" w:lineRule="auto"/>
        <w:jc w:val="both"/>
        <w:sectPr>
          <w:footerReference w:type="default" r:id="rId188"/>
          <w:pgSz w:w="11910" w:h="16840"/>
          <w:pgMar w:footer="1015" w:header="872" w:top="1100" w:bottom="1200" w:left="1100" w:right="1100"/>
          <w:pgNumType w:start="281"/>
        </w:sectPr>
      </w:pPr>
    </w:p>
    <w:p>
      <w:pPr>
        <w:pStyle w:val="BodyText"/>
        <w:spacing w:before="2"/>
        <w:rPr>
          <w:sz w:val="18"/>
        </w:rPr>
      </w:pPr>
    </w:p>
    <w:p>
      <w:pPr>
        <w:pStyle w:val="Heading3"/>
        <w:numPr>
          <w:ilvl w:val="1"/>
          <w:numId w:val="77"/>
        </w:numPr>
        <w:tabs>
          <w:tab w:pos="1020" w:val="left" w:leader="none"/>
        </w:tabs>
        <w:spacing w:line="240" w:lineRule="auto" w:before="70" w:after="0"/>
        <w:ind w:left="1019" w:right="0" w:hanging="702"/>
        <w:jc w:val="left"/>
      </w:pPr>
      <w:bookmarkStart w:name="_bookmark83" w:id="166"/>
      <w:bookmarkEnd w:id="166"/>
      <w:r>
        <w:rPr>
          <w:b w:val="0"/>
        </w:rPr>
      </w:r>
      <w:bookmarkStart w:name="_bookmark83" w:id="167"/>
      <w:bookmarkEnd w:id="167"/>
      <w:r>
        <w:rPr/>
        <w:t>环评综合结论</w:t>
      </w:r>
    </w:p>
    <w:p>
      <w:pPr>
        <w:pStyle w:val="BodyText"/>
        <w:spacing w:line="364" w:lineRule="auto" w:before="186"/>
        <w:ind w:left="318" w:right="314" w:firstLine="480"/>
        <w:jc w:val="both"/>
      </w:pPr>
      <w:r>
        <w:rPr>
          <w:spacing w:val="-4"/>
        </w:rPr>
        <w:t>绍兴贝斯美化工股份有限公司贝斯美年产 </w:t>
      </w:r>
      <w:r>
        <w:rPr>
          <w:rFonts w:ascii="Times New Roman" w:hAnsi="Times New Roman" w:eastAsia="Times New Roman"/>
        </w:rPr>
        <w:t>300 </w:t>
      </w:r>
      <w:r>
        <w:rPr/>
        <w:t>吨三环唑、</w:t>
      </w:r>
      <w:r>
        <w:rPr>
          <w:rFonts w:ascii="Times New Roman" w:hAnsi="Times New Roman" w:eastAsia="Times New Roman"/>
        </w:rPr>
        <w:t>200 </w:t>
      </w:r>
      <w:r>
        <w:rPr>
          <w:spacing w:val="-2"/>
        </w:rPr>
        <w:t>吨三环唑可湿性粉剂项目拟建于杭州湾上虞经济技术开发区振兴大道，项目的建设符合绍兴市</w:t>
      </w:r>
      <w:r>
        <w:rPr>
          <w:rFonts w:ascii="Times New Roman" w:hAnsi="Times New Roman" w:eastAsia="Times New Roman"/>
        </w:rPr>
        <w:t>“</w:t>
      </w:r>
      <w:r>
        <w:rPr/>
        <w:t>三线一单</w:t>
      </w:r>
      <w:r>
        <w:rPr>
          <w:rFonts w:ascii="Times New Roman" w:hAnsi="Times New Roman" w:eastAsia="Times New Roman"/>
        </w:rPr>
        <w:t>”</w:t>
      </w:r>
      <w:r>
        <w:rPr>
          <w:spacing w:val="-13"/>
        </w:rPr>
        <w:t>生</w:t>
      </w:r>
      <w:r>
        <w:rPr>
          <w:spacing w:val="-5"/>
        </w:rPr>
        <w:t>态环境分区管控方案、规划环评的要求；排放的污染物达到国家、地方规定的污染物排</w:t>
      </w:r>
      <w:r>
        <w:rPr>
          <w:spacing w:val="3"/>
        </w:rPr>
        <w:t>放标准，项目实施后造成的环境影响符合项目所在地环境功能区划确定的环境质量要</w:t>
      </w:r>
      <w:r>
        <w:rPr>
          <w:spacing w:val="-5"/>
          <w:w w:val="115"/>
        </w:rPr>
        <w:t>求。</w:t>
      </w:r>
      <w:r>
        <w:rPr>
          <w:spacing w:val="-3"/>
        </w:rPr>
        <w:t>本项目具有较高的清洁生产水平，可达到国内先进水平；本项目的产品、生产工</w:t>
      </w:r>
      <w:r>
        <w:rPr>
          <w:spacing w:val="-178"/>
        </w:rPr>
        <w:t>艺</w:t>
      </w:r>
      <w:r>
        <w:rPr/>
        <w:t>和设备符合国家和地方产业政策要求</w:t>
      </w:r>
      <w:r>
        <w:rPr>
          <w:spacing w:val="-24"/>
          <w:w w:val="180"/>
        </w:rPr>
        <w:t>。</w:t>
      </w:r>
      <w:r>
        <w:rPr>
          <w:spacing w:val="-3"/>
        </w:rPr>
        <w:t>本次公众参与过程符合相关文件要求，本次环</w:t>
      </w:r>
      <w:r>
        <w:rPr>
          <w:spacing w:val="-220"/>
        </w:rPr>
        <w:t>评</w:t>
      </w:r>
      <w:r>
        <w:rPr/>
        <w:t>采纳建设单位针对公众参与调查的结论</w:t>
      </w:r>
      <w:r>
        <w:rPr>
          <w:rFonts w:ascii="Times New Roman" w:hAnsi="Times New Roman" w:eastAsia="Times New Roman"/>
        </w:rPr>
        <w:t>,</w:t>
      </w:r>
      <w:r>
        <w:rPr>
          <w:spacing w:val="-7"/>
        </w:rPr>
        <w:t>建设单位按照有关规定进行了公示，未收到相关意见；本项目实施后经济效益较好，有利于当地的经济发展，增加当地就业机会。</w:t>
      </w:r>
    </w:p>
    <w:p>
      <w:pPr>
        <w:pStyle w:val="Heading4"/>
        <w:spacing w:line="303" w:lineRule="exact"/>
        <w:ind w:left="801"/>
      </w:pPr>
      <w:r>
        <w:rPr/>
        <w:t>本报告认为，从环保角度分析本项目建设是可行的。</w:t>
      </w:r>
    </w:p>
    <w:p>
      <w:pPr>
        <w:spacing w:after="0" w:line="303" w:lineRule="exact"/>
        <w:sectPr>
          <w:pgSz w:w="11910" w:h="16840"/>
          <w:pgMar w:header="872" w:footer="1015" w:top="1100" w:bottom="1200" w:left="1100" w:right="1100"/>
        </w:sectPr>
      </w:pPr>
    </w:p>
    <w:p>
      <w:pPr>
        <w:pStyle w:val="BodyText"/>
        <w:rPr>
          <w:b/>
          <w:sz w:val="29"/>
        </w:rPr>
      </w:pPr>
    </w:p>
    <w:p>
      <w:pPr>
        <w:spacing w:before="61"/>
        <w:ind w:left="318" w:right="0" w:firstLine="0"/>
        <w:jc w:val="left"/>
        <w:rPr>
          <w:b/>
          <w:sz w:val="28"/>
        </w:rPr>
      </w:pPr>
      <w:bookmarkStart w:name="_bookmark84" w:id="168"/>
      <w:bookmarkEnd w:id="168"/>
      <w:r>
        <w:rPr/>
      </w:r>
      <w:r>
        <w:rPr>
          <w:b/>
          <w:sz w:val="28"/>
        </w:rPr>
        <w:t>附表 建设项目大气环境影响评价自查表</w:t>
      </w:r>
    </w:p>
    <w:p>
      <w:pPr>
        <w:spacing w:before="211" w:after="13"/>
        <w:ind w:left="87" w:right="83" w:firstLine="0"/>
        <w:jc w:val="center"/>
        <w:rPr>
          <w:b/>
          <w:sz w:val="21"/>
        </w:rPr>
      </w:pPr>
      <w:r>
        <w:rPr>
          <w:b/>
          <w:sz w:val="21"/>
        </w:rPr>
        <w:t>建设项目大气环境影响评价自查表</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6"/>
        <w:gridCol w:w="1760"/>
        <w:gridCol w:w="990"/>
        <w:gridCol w:w="557"/>
        <w:gridCol w:w="219"/>
        <w:gridCol w:w="416"/>
        <w:gridCol w:w="253"/>
        <w:gridCol w:w="489"/>
        <w:gridCol w:w="508"/>
        <w:gridCol w:w="443"/>
        <w:gridCol w:w="193"/>
        <w:gridCol w:w="495"/>
        <w:gridCol w:w="85"/>
        <w:gridCol w:w="433"/>
        <w:gridCol w:w="85"/>
        <w:gridCol w:w="243"/>
        <w:gridCol w:w="632"/>
        <w:gridCol w:w="855"/>
      </w:tblGrid>
      <w:tr>
        <w:trPr>
          <w:trHeight w:val="340" w:hRule="atLeast"/>
        </w:trPr>
        <w:tc>
          <w:tcPr>
            <w:tcW w:w="2406" w:type="dxa"/>
            <w:gridSpan w:val="2"/>
          </w:tcPr>
          <w:p>
            <w:pPr>
              <w:pStyle w:val="TableParagraph"/>
              <w:spacing w:before="52"/>
              <w:ind w:left="819" w:right="814"/>
              <w:rPr>
                <w:b/>
                <w:sz w:val="18"/>
              </w:rPr>
            </w:pPr>
            <w:r>
              <w:rPr>
                <w:b/>
                <w:sz w:val="18"/>
              </w:rPr>
              <w:t>工作内容</w:t>
            </w:r>
          </w:p>
        </w:tc>
        <w:tc>
          <w:tcPr>
            <w:tcW w:w="6896" w:type="dxa"/>
            <w:gridSpan w:val="16"/>
          </w:tcPr>
          <w:p>
            <w:pPr>
              <w:pStyle w:val="TableParagraph"/>
              <w:spacing w:before="52"/>
              <w:ind w:right="4"/>
              <w:rPr>
                <w:b/>
                <w:sz w:val="18"/>
              </w:rPr>
            </w:pPr>
            <w:r>
              <w:rPr>
                <w:b/>
                <w:sz w:val="18"/>
              </w:rPr>
              <w:t>自查项目</w:t>
            </w:r>
          </w:p>
        </w:tc>
      </w:tr>
      <w:tr>
        <w:trPr>
          <w:trHeight w:val="337" w:hRule="atLeast"/>
        </w:trPr>
        <w:tc>
          <w:tcPr>
            <w:tcW w:w="646" w:type="dxa"/>
            <w:vMerge w:val="restart"/>
          </w:tcPr>
          <w:p>
            <w:pPr>
              <w:pStyle w:val="TableParagraph"/>
              <w:spacing w:line="242" w:lineRule="auto"/>
              <w:ind w:left="141" w:right="132"/>
              <w:jc w:val="both"/>
              <w:rPr>
                <w:sz w:val="18"/>
              </w:rPr>
            </w:pPr>
            <w:r>
              <w:rPr>
                <w:sz w:val="18"/>
              </w:rPr>
              <w:t>评价等级与范</w:t>
            </w:r>
          </w:p>
          <w:p>
            <w:pPr>
              <w:pStyle w:val="TableParagraph"/>
              <w:spacing w:line="213" w:lineRule="exact" w:before="2"/>
              <w:ind w:left="9"/>
              <w:rPr>
                <w:sz w:val="18"/>
              </w:rPr>
            </w:pPr>
            <w:r>
              <w:rPr>
                <w:sz w:val="18"/>
              </w:rPr>
              <w:t>围</w:t>
            </w:r>
          </w:p>
        </w:tc>
        <w:tc>
          <w:tcPr>
            <w:tcW w:w="1760" w:type="dxa"/>
          </w:tcPr>
          <w:p>
            <w:pPr>
              <w:pStyle w:val="TableParagraph"/>
              <w:spacing w:before="52"/>
              <w:ind w:left="69" w:right="64"/>
              <w:rPr>
                <w:sz w:val="18"/>
              </w:rPr>
            </w:pPr>
            <w:r>
              <w:rPr>
                <w:sz w:val="18"/>
              </w:rPr>
              <w:t>评价等级</w:t>
            </w:r>
          </w:p>
        </w:tc>
        <w:tc>
          <w:tcPr>
            <w:tcW w:w="2435" w:type="dxa"/>
            <w:gridSpan w:val="5"/>
          </w:tcPr>
          <w:p>
            <w:pPr>
              <w:pStyle w:val="TableParagraph"/>
              <w:spacing w:before="52"/>
              <w:ind w:left="653" w:right="649"/>
              <w:rPr>
                <w:rFonts w:ascii="Wingdings" w:hAnsi="Wingdings"/>
                <w:sz w:val="18"/>
              </w:rPr>
            </w:pPr>
            <w:r>
              <w:rPr>
                <w:sz w:val="18"/>
              </w:rPr>
              <w:t>一级</w:t>
            </w:r>
            <w:r>
              <w:rPr>
                <w:rFonts w:ascii="Wingdings" w:hAnsi="Wingdings"/>
                <w:sz w:val="18"/>
              </w:rPr>
              <w:t></w:t>
            </w:r>
          </w:p>
        </w:tc>
        <w:tc>
          <w:tcPr>
            <w:tcW w:w="2213" w:type="dxa"/>
            <w:gridSpan w:val="6"/>
          </w:tcPr>
          <w:p>
            <w:pPr>
              <w:pStyle w:val="TableParagraph"/>
              <w:spacing w:before="52"/>
              <w:ind w:left="845" w:right="848"/>
              <w:rPr>
                <w:rFonts w:ascii="Times New Roman" w:hAnsi="Times New Roman" w:eastAsia="Times New Roman"/>
                <w:sz w:val="18"/>
              </w:rPr>
            </w:pPr>
            <w:r>
              <w:rPr>
                <w:sz w:val="18"/>
              </w:rPr>
              <w:t>二级</w:t>
            </w:r>
            <w:r>
              <w:rPr>
                <w:rFonts w:ascii="Times New Roman" w:hAnsi="Times New Roman" w:eastAsia="Times New Roman"/>
                <w:sz w:val="18"/>
              </w:rPr>
              <w:t>□</w:t>
            </w:r>
          </w:p>
        </w:tc>
        <w:tc>
          <w:tcPr>
            <w:tcW w:w="2248" w:type="dxa"/>
            <w:gridSpan w:val="5"/>
          </w:tcPr>
          <w:p>
            <w:pPr>
              <w:pStyle w:val="TableParagraph"/>
              <w:spacing w:before="52"/>
              <w:ind w:left="766" w:right="780"/>
              <w:rPr>
                <w:rFonts w:ascii="Times New Roman" w:hAnsi="Times New Roman" w:eastAsia="Times New Roman"/>
                <w:sz w:val="18"/>
              </w:rPr>
            </w:pPr>
            <w:r>
              <w:rPr>
                <w:sz w:val="18"/>
              </w:rPr>
              <w:t>三级</w:t>
            </w:r>
            <w:r>
              <w:rPr>
                <w:rFonts w:ascii="Times New Roman" w:hAnsi="Times New Roman" w:eastAsia="Times New Roman"/>
                <w:sz w:val="18"/>
              </w:rPr>
              <w:t>□</w:t>
            </w:r>
          </w:p>
        </w:tc>
      </w:tr>
      <w:tr>
        <w:trPr>
          <w:trHeight w:val="585" w:hRule="atLeast"/>
        </w:trPr>
        <w:tc>
          <w:tcPr>
            <w:tcW w:w="646" w:type="dxa"/>
            <w:vMerge/>
            <w:tcBorders>
              <w:top w:val="nil"/>
            </w:tcBorders>
          </w:tcPr>
          <w:p>
            <w:pPr>
              <w:rPr>
                <w:sz w:val="2"/>
                <w:szCs w:val="2"/>
              </w:rPr>
            </w:pPr>
          </w:p>
        </w:tc>
        <w:tc>
          <w:tcPr>
            <w:tcW w:w="1760" w:type="dxa"/>
          </w:tcPr>
          <w:p>
            <w:pPr>
              <w:pStyle w:val="TableParagraph"/>
              <w:spacing w:before="10"/>
              <w:jc w:val="left"/>
              <w:rPr>
                <w:b/>
                <w:sz w:val="13"/>
              </w:rPr>
            </w:pPr>
          </w:p>
          <w:p>
            <w:pPr>
              <w:pStyle w:val="TableParagraph"/>
              <w:spacing w:before="1"/>
              <w:ind w:left="69" w:right="64"/>
              <w:rPr>
                <w:sz w:val="18"/>
              </w:rPr>
            </w:pPr>
            <w:r>
              <w:rPr>
                <w:sz w:val="18"/>
              </w:rPr>
              <w:t>评价范围</w:t>
            </w:r>
          </w:p>
        </w:tc>
        <w:tc>
          <w:tcPr>
            <w:tcW w:w="2435" w:type="dxa"/>
            <w:gridSpan w:val="5"/>
          </w:tcPr>
          <w:p>
            <w:pPr>
              <w:pStyle w:val="TableParagraph"/>
              <w:spacing w:before="177"/>
              <w:ind w:left="723"/>
              <w:jc w:val="left"/>
              <w:rPr>
                <w:rFonts w:ascii="Times New Roman" w:hAnsi="Times New Roman" w:eastAsia="Times New Roman"/>
                <w:sz w:val="18"/>
              </w:rPr>
            </w:pPr>
            <w:r>
              <w:rPr>
                <w:sz w:val="18"/>
              </w:rPr>
              <w:t>边长</w:t>
            </w:r>
            <w:r>
              <w:rPr>
                <w:rFonts w:ascii="Times New Roman" w:hAnsi="Times New Roman" w:eastAsia="Times New Roman"/>
                <w:sz w:val="18"/>
              </w:rPr>
              <w:t>=50km□</w:t>
            </w:r>
          </w:p>
        </w:tc>
        <w:tc>
          <w:tcPr>
            <w:tcW w:w="2213" w:type="dxa"/>
            <w:gridSpan w:val="6"/>
          </w:tcPr>
          <w:p>
            <w:pPr>
              <w:pStyle w:val="TableParagraph"/>
              <w:spacing w:before="177"/>
              <w:ind w:left="542"/>
              <w:jc w:val="left"/>
              <w:rPr>
                <w:rFonts w:ascii="Times New Roman" w:hAnsi="Times New Roman" w:eastAsia="Times New Roman"/>
                <w:sz w:val="18"/>
              </w:rPr>
            </w:pPr>
            <w:r>
              <w:rPr>
                <w:sz w:val="18"/>
              </w:rPr>
              <w:t>边长 </w:t>
            </w:r>
            <w:r>
              <w:rPr>
                <w:rFonts w:ascii="Times New Roman" w:hAnsi="Times New Roman" w:eastAsia="Times New Roman"/>
                <w:sz w:val="18"/>
              </w:rPr>
              <w:t>5~50km□</w:t>
            </w:r>
          </w:p>
        </w:tc>
        <w:tc>
          <w:tcPr>
            <w:tcW w:w="2248" w:type="dxa"/>
            <w:gridSpan w:val="5"/>
          </w:tcPr>
          <w:p>
            <w:pPr>
              <w:pStyle w:val="TableParagraph"/>
              <w:spacing w:before="177"/>
              <w:ind w:left="638"/>
              <w:jc w:val="left"/>
              <w:rPr>
                <w:rFonts w:ascii="Wingdings" w:hAnsi="Wingdings"/>
                <w:sz w:val="18"/>
              </w:rPr>
            </w:pPr>
            <w:r>
              <w:rPr>
                <w:sz w:val="18"/>
              </w:rPr>
              <w:t>边长</w:t>
            </w:r>
            <w:r>
              <w:rPr>
                <w:rFonts w:ascii="Times New Roman" w:hAnsi="Times New Roman"/>
                <w:sz w:val="18"/>
              </w:rPr>
              <w:t>=5km</w:t>
            </w:r>
            <w:r>
              <w:rPr>
                <w:rFonts w:ascii="Wingdings" w:hAnsi="Wingdings"/>
                <w:sz w:val="18"/>
              </w:rPr>
              <w:t></w:t>
            </w:r>
          </w:p>
        </w:tc>
      </w:tr>
      <w:tr>
        <w:trPr>
          <w:trHeight w:val="340" w:hRule="atLeast"/>
        </w:trPr>
        <w:tc>
          <w:tcPr>
            <w:tcW w:w="646" w:type="dxa"/>
            <w:vMerge w:val="restart"/>
          </w:tcPr>
          <w:p>
            <w:pPr>
              <w:pStyle w:val="TableParagraph"/>
              <w:spacing w:before="10"/>
              <w:jc w:val="left"/>
              <w:rPr>
                <w:b/>
                <w:sz w:val="22"/>
              </w:rPr>
            </w:pPr>
          </w:p>
          <w:p>
            <w:pPr>
              <w:pStyle w:val="TableParagraph"/>
              <w:spacing w:line="242" w:lineRule="auto"/>
              <w:ind w:left="141" w:right="132"/>
              <w:jc w:val="left"/>
              <w:rPr>
                <w:sz w:val="18"/>
              </w:rPr>
            </w:pPr>
            <w:r>
              <w:rPr>
                <w:sz w:val="18"/>
              </w:rPr>
              <w:t>评价因子</w:t>
            </w:r>
          </w:p>
        </w:tc>
        <w:tc>
          <w:tcPr>
            <w:tcW w:w="1760" w:type="dxa"/>
          </w:tcPr>
          <w:p>
            <w:pPr>
              <w:pStyle w:val="TableParagraph"/>
              <w:spacing w:before="52"/>
              <w:ind w:left="69" w:right="64"/>
              <w:rPr>
                <w:sz w:val="18"/>
              </w:rPr>
            </w:pPr>
            <w:r>
              <w:rPr>
                <w:rFonts w:ascii="Times New Roman" w:eastAsia="Times New Roman"/>
                <w:position w:val="1"/>
                <w:sz w:val="18"/>
              </w:rPr>
              <w:t>SO</w:t>
            </w:r>
            <w:r>
              <w:rPr>
                <w:rFonts w:ascii="Times New Roman" w:eastAsia="Times New Roman"/>
                <w:sz w:val="12"/>
              </w:rPr>
              <w:t>2</w:t>
            </w:r>
            <w:r>
              <w:rPr>
                <w:rFonts w:ascii="Times New Roman" w:eastAsia="Times New Roman"/>
                <w:position w:val="1"/>
                <w:sz w:val="18"/>
              </w:rPr>
              <w:t>+NO</w:t>
            </w:r>
            <w:r>
              <w:rPr>
                <w:rFonts w:ascii="Times New Roman" w:eastAsia="Times New Roman"/>
                <w:sz w:val="12"/>
              </w:rPr>
              <w:t>x </w:t>
            </w:r>
            <w:r>
              <w:rPr>
                <w:position w:val="1"/>
                <w:sz w:val="18"/>
              </w:rPr>
              <w:t>排放量</w:t>
            </w:r>
          </w:p>
        </w:tc>
        <w:tc>
          <w:tcPr>
            <w:tcW w:w="2435" w:type="dxa"/>
            <w:gridSpan w:val="5"/>
          </w:tcPr>
          <w:p>
            <w:pPr>
              <w:pStyle w:val="TableParagraph"/>
              <w:spacing w:before="67"/>
              <w:ind w:left="653" w:right="646"/>
              <w:rPr>
                <w:rFonts w:ascii="Times New Roman" w:hAnsi="Times New Roman"/>
                <w:sz w:val="18"/>
              </w:rPr>
            </w:pPr>
            <w:r>
              <w:rPr>
                <w:rFonts w:ascii="Times New Roman" w:hAnsi="Times New Roman"/>
                <w:sz w:val="18"/>
              </w:rPr>
              <w:t>≥2000t/a□</w:t>
            </w:r>
          </w:p>
        </w:tc>
        <w:tc>
          <w:tcPr>
            <w:tcW w:w="2213" w:type="dxa"/>
            <w:gridSpan w:val="6"/>
          </w:tcPr>
          <w:p>
            <w:pPr>
              <w:pStyle w:val="TableParagraph"/>
              <w:spacing w:before="67"/>
              <w:ind w:left="590"/>
              <w:jc w:val="left"/>
              <w:rPr>
                <w:rFonts w:ascii="Times New Roman" w:hAnsi="Times New Roman"/>
                <w:sz w:val="18"/>
              </w:rPr>
            </w:pPr>
            <w:r>
              <w:rPr>
                <w:rFonts w:ascii="Times New Roman" w:hAnsi="Times New Roman"/>
                <w:sz w:val="18"/>
              </w:rPr>
              <w:t>500~2000t/a□</w:t>
            </w:r>
          </w:p>
        </w:tc>
        <w:tc>
          <w:tcPr>
            <w:tcW w:w="2248" w:type="dxa"/>
            <w:gridSpan w:val="5"/>
          </w:tcPr>
          <w:p>
            <w:pPr>
              <w:pStyle w:val="TableParagraph"/>
              <w:spacing w:before="52"/>
              <w:ind w:left="715"/>
              <w:jc w:val="left"/>
              <w:rPr>
                <w:rFonts w:ascii="Wingdings" w:hAnsi="Wingdings"/>
                <w:sz w:val="18"/>
              </w:rPr>
            </w:pPr>
            <w:r>
              <w:rPr>
                <w:sz w:val="18"/>
              </w:rPr>
              <w:t>＜</w:t>
            </w:r>
            <w:r>
              <w:rPr>
                <w:rFonts w:ascii="Times New Roman" w:hAnsi="Times New Roman"/>
                <w:sz w:val="18"/>
              </w:rPr>
              <w:t>500t/a</w:t>
            </w:r>
            <w:r>
              <w:rPr>
                <w:rFonts w:ascii="Wingdings" w:hAnsi="Wingdings"/>
                <w:sz w:val="18"/>
              </w:rPr>
              <w:t></w:t>
            </w:r>
          </w:p>
        </w:tc>
      </w:tr>
      <w:tr>
        <w:trPr>
          <w:trHeight w:val="700" w:hRule="atLeast"/>
        </w:trPr>
        <w:tc>
          <w:tcPr>
            <w:tcW w:w="646" w:type="dxa"/>
            <w:vMerge/>
            <w:tcBorders>
              <w:top w:val="nil"/>
            </w:tcBorders>
          </w:tcPr>
          <w:p>
            <w:pPr>
              <w:rPr>
                <w:sz w:val="2"/>
                <w:szCs w:val="2"/>
              </w:rPr>
            </w:pPr>
          </w:p>
        </w:tc>
        <w:tc>
          <w:tcPr>
            <w:tcW w:w="1760" w:type="dxa"/>
          </w:tcPr>
          <w:p>
            <w:pPr>
              <w:pStyle w:val="TableParagraph"/>
              <w:spacing w:before="1"/>
              <w:jc w:val="left"/>
              <w:rPr>
                <w:b/>
                <w:sz w:val="18"/>
              </w:rPr>
            </w:pPr>
          </w:p>
          <w:p>
            <w:pPr>
              <w:pStyle w:val="TableParagraph"/>
              <w:spacing w:before="1"/>
              <w:ind w:left="69" w:right="64"/>
              <w:rPr>
                <w:sz w:val="18"/>
              </w:rPr>
            </w:pPr>
            <w:r>
              <w:rPr>
                <w:sz w:val="18"/>
              </w:rPr>
              <w:t>评价因子</w:t>
            </w:r>
          </w:p>
        </w:tc>
        <w:tc>
          <w:tcPr>
            <w:tcW w:w="3432" w:type="dxa"/>
            <w:gridSpan w:val="7"/>
          </w:tcPr>
          <w:p>
            <w:pPr>
              <w:pStyle w:val="TableParagraph"/>
              <w:spacing w:line="242" w:lineRule="auto"/>
              <w:ind w:left="106" w:right="12"/>
              <w:rPr>
                <w:sz w:val="18"/>
              </w:rPr>
            </w:pPr>
            <w:r>
              <w:rPr>
                <w:spacing w:val="-9"/>
                <w:position w:val="1"/>
                <w:sz w:val="18"/>
              </w:rPr>
              <w:t>基本污染物</w:t>
            </w:r>
            <w:r>
              <w:rPr>
                <w:position w:val="1"/>
                <w:sz w:val="18"/>
              </w:rPr>
              <w:t>（ </w:t>
            </w:r>
            <w:r>
              <w:rPr>
                <w:rFonts w:ascii="Times New Roman" w:eastAsia="Times New Roman"/>
                <w:position w:val="1"/>
                <w:sz w:val="18"/>
              </w:rPr>
              <w:t>SO</w:t>
            </w:r>
            <w:r>
              <w:rPr>
                <w:rFonts w:ascii="Times New Roman" w:eastAsia="Times New Roman"/>
                <w:sz w:val="12"/>
              </w:rPr>
              <w:t>2</w:t>
            </w:r>
            <w:r>
              <w:rPr>
                <w:spacing w:val="-41"/>
                <w:position w:val="1"/>
                <w:sz w:val="18"/>
              </w:rPr>
              <w:t>、</w:t>
            </w:r>
            <w:r>
              <w:rPr>
                <w:rFonts w:ascii="Times New Roman" w:eastAsia="Times New Roman"/>
                <w:position w:val="1"/>
                <w:sz w:val="18"/>
              </w:rPr>
              <w:t>NO</w:t>
            </w:r>
            <w:r>
              <w:rPr>
                <w:rFonts w:ascii="Times New Roman" w:eastAsia="Times New Roman"/>
                <w:sz w:val="12"/>
              </w:rPr>
              <w:t>2</w:t>
            </w:r>
            <w:r>
              <w:rPr>
                <w:spacing w:val="-41"/>
                <w:position w:val="1"/>
                <w:sz w:val="18"/>
              </w:rPr>
              <w:t>、</w:t>
            </w:r>
            <w:r>
              <w:rPr>
                <w:rFonts w:ascii="Times New Roman" w:eastAsia="Times New Roman"/>
                <w:position w:val="1"/>
                <w:sz w:val="18"/>
              </w:rPr>
              <w:t>CO</w:t>
            </w:r>
            <w:r>
              <w:rPr>
                <w:spacing w:val="-39"/>
                <w:position w:val="1"/>
                <w:sz w:val="18"/>
              </w:rPr>
              <w:t>、</w:t>
            </w:r>
            <w:r>
              <w:rPr>
                <w:rFonts w:ascii="Times New Roman" w:eastAsia="Times New Roman"/>
                <w:position w:val="1"/>
                <w:sz w:val="18"/>
              </w:rPr>
              <w:t>O</w:t>
            </w:r>
            <w:r>
              <w:rPr>
                <w:rFonts w:ascii="Times New Roman" w:eastAsia="Times New Roman"/>
                <w:sz w:val="12"/>
              </w:rPr>
              <w:t>3</w:t>
            </w:r>
            <w:r>
              <w:rPr>
                <w:spacing w:val="-41"/>
                <w:position w:val="1"/>
                <w:sz w:val="18"/>
              </w:rPr>
              <w:t>、</w:t>
            </w:r>
            <w:r>
              <w:rPr>
                <w:rFonts w:ascii="Times New Roman" w:eastAsia="Times New Roman"/>
                <w:position w:val="1"/>
                <w:sz w:val="18"/>
              </w:rPr>
              <w:t>PM</w:t>
            </w:r>
            <w:r>
              <w:rPr>
                <w:rFonts w:ascii="Times New Roman" w:eastAsia="Times New Roman"/>
                <w:sz w:val="12"/>
              </w:rPr>
              <w:t>10</w:t>
            </w:r>
            <w:r>
              <w:rPr>
                <w:position w:val="1"/>
                <w:sz w:val="18"/>
              </w:rPr>
              <w:t>、</w:t>
            </w:r>
            <w:r>
              <w:rPr>
                <w:rFonts w:ascii="Times New Roman" w:eastAsia="Times New Roman"/>
                <w:position w:val="1"/>
                <w:sz w:val="18"/>
              </w:rPr>
              <w:t>PM</w:t>
            </w:r>
            <w:r>
              <w:rPr>
                <w:rFonts w:ascii="Times New Roman" w:eastAsia="Times New Roman"/>
                <w:sz w:val="12"/>
              </w:rPr>
              <w:t>2.5</w:t>
            </w:r>
            <w:r>
              <w:rPr>
                <w:position w:val="1"/>
                <w:sz w:val="18"/>
              </w:rPr>
              <w:t>）</w:t>
            </w:r>
          </w:p>
          <w:p>
            <w:pPr>
              <w:pStyle w:val="TableParagraph"/>
              <w:spacing w:line="215" w:lineRule="exact"/>
              <w:ind w:left="13" w:right="12"/>
              <w:rPr>
                <w:sz w:val="18"/>
              </w:rPr>
            </w:pPr>
            <w:r>
              <w:rPr>
                <w:sz w:val="18"/>
              </w:rPr>
              <w:t>其他污染物（非甲烷总烃、</w:t>
            </w:r>
            <w:r>
              <w:rPr>
                <w:rFonts w:ascii="Times New Roman" w:eastAsia="Times New Roman"/>
                <w:sz w:val="18"/>
              </w:rPr>
              <w:t>TSP </w:t>
            </w:r>
            <w:r>
              <w:rPr>
                <w:sz w:val="18"/>
              </w:rPr>
              <w:t>等）</w:t>
            </w:r>
          </w:p>
        </w:tc>
        <w:tc>
          <w:tcPr>
            <w:tcW w:w="3464" w:type="dxa"/>
            <w:gridSpan w:val="9"/>
          </w:tcPr>
          <w:p>
            <w:pPr>
              <w:pStyle w:val="TableParagraph"/>
              <w:spacing w:before="117"/>
              <w:ind w:left="921" w:right="931"/>
              <w:rPr>
                <w:rFonts w:ascii="Times New Roman" w:hAnsi="Times New Roman" w:eastAsia="Times New Roman"/>
                <w:sz w:val="18"/>
              </w:rPr>
            </w:pPr>
            <w:r>
              <w:rPr>
                <w:position w:val="1"/>
                <w:sz w:val="18"/>
              </w:rPr>
              <w:t>包括二次 </w:t>
            </w:r>
            <w:r>
              <w:rPr>
                <w:rFonts w:ascii="Times New Roman" w:hAnsi="Times New Roman" w:eastAsia="Times New Roman"/>
                <w:position w:val="1"/>
                <w:sz w:val="18"/>
              </w:rPr>
              <w:t>PM</w:t>
            </w:r>
            <w:r>
              <w:rPr>
                <w:rFonts w:ascii="Times New Roman" w:hAnsi="Times New Roman" w:eastAsia="Times New Roman"/>
                <w:sz w:val="12"/>
              </w:rPr>
              <w:t>2.5</w:t>
            </w:r>
            <w:r>
              <w:rPr>
                <w:rFonts w:ascii="Times New Roman" w:hAnsi="Times New Roman" w:eastAsia="Times New Roman"/>
                <w:position w:val="1"/>
                <w:sz w:val="18"/>
              </w:rPr>
              <w:t>□</w:t>
            </w:r>
          </w:p>
          <w:p>
            <w:pPr>
              <w:pStyle w:val="TableParagraph"/>
              <w:spacing w:before="2"/>
              <w:ind w:left="923" w:right="931"/>
              <w:rPr>
                <w:rFonts w:ascii="Wingdings" w:hAnsi="Wingdings"/>
                <w:sz w:val="18"/>
              </w:rPr>
            </w:pPr>
            <w:r>
              <w:rPr>
                <w:position w:val="1"/>
                <w:sz w:val="18"/>
              </w:rPr>
              <w:t>不包括二次 </w:t>
            </w:r>
            <w:r>
              <w:rPr>
                <w:rFonts w:ascii="Times New Roman" w:hAnsi="Times New Roman"/>
                <w:position w:val="1"/>
                <w:sz w:val="18"/>
              </w:rPr>
              <w:t>PM</w:t>
            </w:r>
            <w:r>
              <w:rPr>
                <w:rFonts w:ascii="Times New Roman" w:hAnsi="Times New Roman"/>
                <w:sz w:val="12"/>
              </w:rPr>
              <w:t>2.5</w:t>
            </w:r>
            <w:r>
              <w:rPr>
                <w:rFonts w:ascii="Wingdings" w:hAnsi="Wingdings"/>
                <w:position w:val="1"/>
                <w:sz w:val="18"/>
              </w:rPr>
              <w:t></w:t>
            </w:r>
          </w:p>
        </w:tc>
      </w:tr>
      <w:tr>
        <w:trPr>
          <w:trHeight w:val="465" w:hRule="atLeast"/>
        </w:trPr>
        <w:tc>
          <w:tcPr>
            <w:tcW w:w="646" w:type="dxa"/>
          </w:tcPr>
          <w:p>
            <w:pPr>
              <w:pStyle w:val="TableParagraph"/>
              <w:spacing w:line="230" w:lineRule="exact"/>
              <w:ind w:left="141"/>
              <w:jc w:val="left"/>
              <w:rPr>
                <w:sz w:val="18"/>
              </w:rPr>
            </w:pPr>
            <w:r>
              <w:rPr>
                <w:sz w:val="18"/>
              </w:rPr>
              <w:t>评价</w:t>
            </w:r>
          </w:p>
          <w:p>
            <w:pPr>
              <w:pStyle w:val="TableParagraph"/>
              <w:spacing w:line="213" w:lineRule="exact" w:before="2"/>
              <w:ind w:left="141"/>
              <w:jc w:val="left"/>
              <w:rPr>
                <w:sz w:val="18"/>
              </w:rPr>
            </w:pPr>
            <w:r>
              <w:rPr>
                <w:sz w:val="18"/>
              </w:rPr>
              <w:t>标准</w:t>
            </w:r>
          </w:p>
        </w:tc>
        <w:tc>
          <w:tcPr>
            <w:tcW w:w="1760" w:type="dxa"/>
          </w:tcPr>
          <w:p>
            <w:pPr>
              <w:pStyle w:val="TableParagraph"/>
              <w:spacing w:before="115"/>
              <w:ind w:left="69" w:right="64"/>
              <w:rPr>
                <w:sz w:val="18"/>
              </w:rPr>
            </w:pPr>
            <w:r>
              <w:rPr>
                <w:sz w:val="18"/>
              </w:rPr>
              <w:t>评价标准</w:t>
            </w:r>
          </w:p>
        </w:tc>
        <w:tc>
          <w:tcPr>
            <w:tcW w:w="1766" w:type="dxa"/>
            <w:gridSpan w:val="3"/>
          </w:tcPr>
          <w:p>
            <w:pPr>
              <w:pStyle w:val="TableParagraph"/>
              <w:spacing w:before="115"/>
              <w:ind w:left="440"/>
              <w:jc w:val="left"/>
              <w:rPr>
                <w:rFonts w:ascii="Wingdings" w:hAnsi="Wingdings"/>
                <w:sz w:val="18"/>
              </w:rPr>
            </w:pPr>
            <w:r>
              <w:rPr>
                <w:sz w:val="18"/>
              </w:rPr>
              <w:t>国家标准</w:t>
            </w:r>
            <w:r>
              <w:rPr>
                <w:rFonts w:ascii="Wingdings" w:hAnsi="Wingdings"/>
                <w:sz w:val="18"/>
              </w:rPr>
              <w:t></w:t>
            </w:r>
          </w:p>
        </w:tc>
        <w:tc>
          <w:tcPr>
            <w:tcW w:w="1666" w:type="dxa"/>
            <w:gridSpan w:val="4"/>
          </w:tcPr>
          <w:p>
            <w:pPr>
              <w:pStyle w:val="TableParagraph"/>
              <w:spacing w:before="115"/>
              <w:ind w:left="412"/>
              <w:jc w:val="left"/>
              <w:rPr>
                <w:rFonts w:ascii="Times New Roman" w:hAnsi="Times New Roman" w:eastAsia="Times New Roman"/>
                <w:sz w:val="18"/>
              </w:rPr>
            </w:pPr>
            <w:r>
              <w:rPr>
                <w:sz w:val="18"/>
              </w:rPr>
              <w:t>地方标准</w:t>
            </w:r>
            <w:r>
              <w:rPr>
                <w:rFonts w:ascii="Times New Roman" w:hAnsi="Times New Roman" w:eastAsia="Times New Roman"/>
                <w:sz w:val="18"/>
              </w:rPr>
              <w:t>□</w:t>
            </w:r>
          </w:p>
        </w:tc>
        <w:tc>
          <w:tcPr>
            <w:tcW w:w="1734" w:type="dxa"/>
            <w:gridSpan w:val="6"/>
          </w:tcPr>
          <w:p>
            <w:pPr>
              <w:pStyle w:val="TableParagraph"/>
              <w:spacing w:before="115"/>
              <w:ind w:left="534"/>
              <w:jc w:val="left"/>
              <w:rPr>
                <w:rFonts w:ascii="Times New Roman" w:hAnsi="Times New Roman" w:eastAsia="Times New Roman"/>
                <w:sz w:val="18"/>
              </w:rPr>
            </w:pPr>
            <w:r>
              <w:rPr>
                <w:sz w:val="18"/>
              </w:rPr>
              <w:t>附录 </w:t>
            </w:r>
            <w:r>
              <w:rPr>
                <w:rFonts w:ascii="Times New Roman" w:hAnsi="Times New Roman" w:eastAsia="Times New Roman"/>
                <w:sz w:val="18"/>
              </w:rPr>
              <w:t>D□</w:t>
            </w:r>
          </w:p>
        </w:tc>
        <w:tc>
          <w:tcPr>
            <w:tcW w:w="1730" w:type="dxa"/>
            <w:gridSpan w:val="3"/>
          </w:tcPr>
          <w:p>
            <w:pPr>
              <w:pStyle w:val="TableParagraph"/>
              <w:spacing w:before="115"/>
              <w:ind w:left="409"/>
              <w:jc w:val="left"/>
              <w:rPr>
                <w:rFonts w:ascii="Wingdings" w:hAnsi="Wingdings"/>
                <w:sz w:val="18"/>
              </w:rPr>
            </w:pPr>
            <w:r>
              <w:rPr>
                <w:sz w:val="18"/>
              </w:rPr>
              <w:t>其他标准</w:t>
            </w:r>
            <w:r>
              <w:rPr>
                <w:rFonts w:ascii="Wingdings" w:hAnsi="Wingdings"/>
                <w:sz w:val="18"/>
              </w:rPr>
              <w:t></w:t>
            </w:r>
          </w:p>
        </w:tc>
      </w:tr>
      <w:tr>
        <w:trPr>
          <w:trHeight w:val="341" w:hRule="atLeast"/>
        </w:trPr>
        <w:tc>
          <w:tcPr>
            <w:tcW w:w="646" w:type="dxa"/>
            <w:vMerge w:val="restart"/>
          </w:tcPr>
          <w:p>
            <w:pPr>
              <w:pStyle w:val="TableParagraph"/>
              <w:jc w:val="left"/>
              <w:rPr>
                <w:b/>
                <w:sz w:val="18"/>
              </w:rPr>
            </w:pPr>
          </w:p>
          <w:p>
            <w:pPr>
              <w:pStyle w:val="TableParagraph"/>
              <w:jc w:val="left"/>
              <w:rPr>
                <w:b/>
                <w:sz w:val="23"/>
              </w:rPr>
            </w:pPr>
          </w:p>
          <w:p>
            <w:pPr>
              <w:pStyle w:val="TableParagraph"/>
              <w:spacing w:line="244" w:lineRule="auto"/>
              <w:ind w:left="141" w:right="132"/>
              <w:jc w:val="left"/>
              <w:rPr>
                <w:sz w:val="18"/>
              </w:rPr>
            </w:pPr>
            <w:r>
              <w:rPr>
                <w:sz w:val="18"/>
              </w:rPr>
              <w:t>现状评价</w:t>
            </w:r>
          </w:p>
        </w:tc>
        <w:tc>
          <w:tcPr>
            <w:tcW w:w="1760" w:type="dxa"/>
          </w:tcPr>
          <w:p>
            <w:pPr>
              <w:pStyle w:val="TableParagraph"/>
              <w:spacing w:before="55"/>
              <w:ind w:left="71" w:right="64"/>
              <w:rPr>
                <w:sz w:val="18"/>
              </w:rPr>
            </w:pPr>
            <w:r>
              <w:rPr>
                <w:sz w:val="18"/>
              </w:rPr>
              <w:t>环境功能区</w:t>
            </w:r>
          </w:p>
        </w:tc>
        <w:tc>
          <w:tcPr>
            <w:tcW w:w="2435" w:type="dxa"/>
            <w:gridSpan w:val="5"/>
          </w:tcPr>
          <w:p>
            <w:pPr>
              <w:pStyle w:val="TableParagraph"/>
              <w:spacing w:before="55"/>
              <w:ind w:left="653" w:right="651"/>
              <w:rPr>
                <w:rFonts w:ascii="Times New Roman" w:hAnsi="Times New Roman" w:eastAsia="Times New Roman"/>
                <w:sz w:val="18"/>
              </w:rPr>
            </w:pPr>
            <w:r>
              <w:rPr>
                <w:sz w:val="18"/>
              </w:rPr>
              <w:t>一类区</w:t>
            </w:r>
            <w:r>
              <w:rPr>
                <w:rFonts w:ascii="Times New Roman" w:hAnsi="Times New Roman" w:eastAsia="Times New Roman"/>
                <w:sz w:val="18"/>
              </w:rPr>
              <w:t>□</w:t>
            </w:r>
          </w:p>
        </w:tc>
        <w:tc>
          <w:tcPr>
            <w:tcW w:w="2128" w:type="dxa"/>
            <w:gridSpan w:val="5"/>
          </w:tcPr>
          <w:p>
            <w:pPr>
              <w:pStyle w:val="TableParagraph"/>
              <w:spacing w:before="55"/>
              <w:ind w:left="688" w:right="691"/>
              <w:rPr>
                <w:rFonts w:ascii="Wingdings" w:hAnsi="Wingdings"/>
                <w:sz w:val="18"/>
              </w:rPr>
            </w:pPr>
            <w:r>
              <w:rPr>
                <w:sz w:val="18"/>
              </w:rPr>
              <w:t>二类区</w:t>
            </w:r>
            <w:r>
              <w:rPr>
                <w:rFonts w:ascii="Wingdings" w:hAnsi="Wingdings"/>
                <w:sz w:val="18"/>
              </w:rPr>
              <w:t></w:t>
            </w:r>
          </w:p>
        </w:tc>
        <w:tc>
          <w:tcPr>
            <w:tcW w:w="2333" w:type="dxa"/>
            <w:gridSpan w:val="6"/>
          </w:tcPr>
          <w:p>
            <w:pPr>
              <w:pStyle w:val="TableParagraph"/>
              <w:spacing w:before="55"/>
              <w:ind w:left="469"/>
              <w:jc w:val="left"/>
              <w:rPr>
                <w:rFonts w:ascii="Times New Roman" w:hAnsi="Times New Roman" w:eastAsia="Times New Roman"/>
                <w:sz w:val="18"/>
              </w:rPr>
            </w:pPr>
            <w:r>
              <w:rPr>
                <w:sz w:val="18"/>
              </w:rPr>
              <w:t>一类区和二类区</w:t>
            </w:r>
            <w:r>
              <w:rPr>
                <w:rFonts w:ascii="Times New Roman" w:hAnsi="Times New Roman" w:eastAsia="Times New Roman"/>
                <w:sz w:val="18"/>
              </w:rPr>
              <w:t>□</w:t>
            </w:r>
          </w:p>
        </w:tc>
      </w:tr>
      <w:tr>
        <w:trPr>
          <w:trHeight w:val="340" w:hRule="atLeast"/>
        </w:trPr>
        <w:tc>
          <w:tcPr>
            <w:tcW w:w="646" w:type="dxa"/>
            <w:vMerge/>
            <w:tcBorders>
              <w:top w:val="nil"/>
            </w:tcBorders>
          </w:tcPr>
          <w:p>
            <w:pPr>
              <w:rPr>
                <w:sz w:val="2"/>
                <w:szCs w:val="2"/>
              </w:rPr>
            </w:pPr>
          </w:p>
        </w:tc>
        <w:tc>
          <w:tcPr>
            <w:tcW w:w="1760" w:type="dxa"/>
          </w:tcPr>
          <w:p>
            <w:pPr>
              <w:pStyle w:val="TableParagraph"/>
              <w:spacing w:before="55"/>
              <w:ind w:left="71" w:right="64"/>
              <w:rPr>
                <w:sz w:val="18"/>
              </w:rPr>
            </w:pPr>
            <w:r>
              <w:rPr>
                <w:sz w:val="18"/>
              </w:rPr>
              <w:t>评价基准年</w:t>
            </w:r>
          </w:p>
        </w:tc>
        <w:tc>
          <w:tcPr>
            <w:tcW w:w="6896" w:type="dxa"/>
            <w:gridSpan w:val="16"/>
          </w:tcPr>
          <w:p>
            <w:pPr>
              <w:pStyle w:val="TableParagraph"/>
              <w:spacing w:before="55"/>
              <w:ind w:right="1"/>
              <w:rPr>
                <w:sz w:val="18"/>
              </w:rPr>
            </w:pPr>
            <w:r>
              <w:rPr>
                <w:sz w:val="18"/>
              </w:rPr>
              <w:t>（</w:t>
            </w:r>
            <w:r>
              <w:rPr>
                <w:rFonts w:ascii="Times New Roman" w:eastAsia="Times New Roman"/>
                <w:sz w:val="18"/>
              </w:rPr>
              <w:t>2020</w:t>
            </w:r>
            <w:r>
              <w:rPr>
                <w:sz w:val="18"/>
              </w:rPr>
              <w:t>）年</w:t>
            </w:r>
          </w:p>
        </w:tc>
      </w:tr>
      <w:tr>
        <w:trPr>
          <w:trHeight w:val="467" w:hRule="atLeast"/>
        </w:trPr>
        <w:tc>
          <w:tcPr>
            <w:tcW w:w="646" w:type="dxa"/>
            <w:vMerge/>
            <w:tcBorders>
              <w:top w:val="nil"/>
            </w:tcBorders>
          </w:tcPr>
          <w:p>
            <w:pPr>
              <w:rPr>
                <w:sz w:val="2"/>
                <w:szCs w:val="2"/>
              </w:rPr>
            </w:pPr>
          </w:p>
        </w:tc>
        <w:tc>
          <w:tcPr>
            <w:tcW w:w="1760" w:type="dxa"/>
          </w:tcPr>
          <w:p>
            <w:pPr>
              <w:pStyle w:val="TableParagraph"/>
              <w:ind w:left="71" w:right="56"/>
              <w:rPr>
                <w:sz w:val="18"/>
              </w:rPr>
            </w:pPr>
            <w:r>
              <w:rPr>
                <w:sz w:val="18"/>
              </w:rPr>
              <w:t>环境空气质量现状</w:t>
            </w:r>
          </w:p>
          <w:p>
            <w:pPr>
              <w:pStyle w:val="TableParagraph"/>
              <w:spacing w:line="215" w:lineRule="exact" w:before="2"/>
              <w:ind w:left="71" w:right="59"/>
              <w:rPr>
                <w:sz w:val="18"/>
              </w:rPr>
            </w:pPr>
            <w:r>
              <w:rPr>
                <w:sz w:val="18"/>
              </w:rPr>
              <w:t>调差数据来源</w:t>
            </w:r>
          </w:p>
        </w:tc>
        <w:tc>
          <w:tcPr>
            <w:tcW w:w="2435" w:type="dxa"/>
            <w:gridSpan w:val="5"/>
          </w:tcPr>
          <w:p>
            <w:pPr>
              <w:pStyle w:val="TableParagraph"/>
              <w:ind w:left="653" w:right="651"/>
              <w:rPr>
                <w:sz w:val="18"/>
              </w:rPr>
            </w:pPr>
            <w:r>
              <w:rPr>
                <w:sz w:val="18"/>
              </w:rPr>
              <w:t>长期例行监测</w:t>
            </w:r>
          </w:p>
          <w:p>
            <w:pPr>
              <w:pStyle w:val="TableParagraph"/>
              <w:spacing w:line="215" w:lineRule="exact" w:before="2"/>
              <w:ind w:left="653" w:right="648"/>
              <w:rPr>
                <w:rFonts w:ascii="Times New Roman" w:hAnsi="Times New Roman" w:eastAsia="Times New Roman"/>
                <w:sz w:val="18"/>
              </w:rPr>
            </w:pPr>
            <w:r>
              <w:rPr>
                <w:sz w:val="18"/>
              </w:rPr>
              <w:t>数据</w:t>
            </w:r>
            <w:r>
              <w:rPr>
                <w:rFonts w:ascii="Times New Roman" w:hAnsi="Times New Roman" w:eastAsia="Times New Roman"/>
                <w:sz w:val="18"/>
              </w:rPr>
              <w:t>□</w:t>
            </w:r>
          </w:p>
        </w:tc>
        <w:tc>
          <w:tcPr>
            <w:tcW w:w="2213" w:type="dxa"/>
            <w:gridSpan w:val="6"/>
          </w:tcPr>
          <w:p>
            <w:pPr>
              <w:pStyle w:val="TableParagraph"/>
              <w:spacing w:before="117"/>
              <w:ind w:left="206"/>
              <w:jc w:val="left"/>
              <w:rPr>
                <w:rFonts w:ascii="Wingdings" w:hAnsi="Wingdings"/>
                <w:sz w:val="18"/>
              </w:rPr>
            </w:pPr>
            <w:r>
              <w:rPr>
                <w:sz w:val="18"/>
              </w:rPr>
              <w:t>主管部门发布的数据</w:t>
            </w:r>
            <w:r>
              <w:rPr>
                <w:rFonts w:ascii="Wingdings" w:hAnsi="Wingdings"/>
                <w:sz w:val="18"/>
              </w:rPr>
              <w:t></w:t>
            </w:r>
          </w:p>
        </w:tc>
        <w:tc>
          <w:tcPr>
            <w:tcW w:w="2248" w:type="dxa"/>
            <w:gridSpan w:val="5"/>
          </w:tcPr>
          <w:p>
            <w:pPr>
              <w:pStyle w:val="TableParagraph"/>
              <w:spacing w:before="117"/>
              <w:ind w:left="489"/>
              <w:jc w:val="left"/>
              <w:rPr>
                <w:rFonts w:ascii="Wingdings" w:hAnsi="Wingdings"/>
                <w:sz w:val="18"/>
              </w:rPr>
            </w:pPr>
            <w:r>
              <w:rPr>
                <w:sz w:val="18"/>
              </w:rPr>
              <w:t>现状补充监测</w:t>
            </w:r>
            <w:r>
              <w:rPr>
                <w:rFonts w:ascii="Wingdings" w:hAnsi="Wingdings"/>
                <w:sz w:val="18"/>
              </w:rPr>
              <w:t></w:t>
            </w:r>
          </w:p>
        </w:tc>
      </w:tr>
      <w:tr>
        <w:trPr>
          <w:trHeight w:val="340" w:hRule="atLeast"/>
        </w:trPr>
        <w:tc>
          <w:tcPr>
            <w:tcW w:w="646" w:type="dxa"/>
            <w:vMerge/>
            <w:tcBorders>
              <w:top w:val="nil"/>
            </w:tcBorders>
          </w:tcPr>
          <w:p>
            <w:pPr>
              <w:rPr>
                <w:sz w:val="2"/>
                <w:szCs w:val="2"/>
              </w:rPr>
            </w:pPr>
          </w:p>
        </w:tc>
        <w:tc>
          <w:tcPr>
            <w:tcW w:w="1760" w:type="dxa"/>
          </w:tcPr>
          <w:p>
            <w:pPr>
              <w:pStyle w:val="TableParagraph"/>
              <w:spacing w:before="52"/>
              <w:ind w:left="69" w:right="64"/>
              <w:rPr>
                <w:sz w:val="18"/>
              </w:rPr>
            </w:pPr>
            <w:r>
              <w:rPr>
                <w:sz w:val="18"/>
              </w:rPr>
              <w:t>现状评价</w:t>
            </w:r>
          </w:p>
        </w:tc>
        <w:tc>
          <w:tcPr>
            <w:tcW w:w="3432" w:type="dxa"/>
            <w:gridSpan w:val="7"/>
          </w:tcPr>
          <w:p>
            <w:pPr>
              <w:pStyle w:val="TableParagraph"/>
              <w:spacing w:before="52"/>
              <w:ind w:left="11" w:right="12"/>
              <w:rPr>
                <w:rFonts w:ascii="Wingdings" w:hAnsi="Wingdings"/>
                <w:sz w:val="18"/>
              </w:rPr>
            </w:pPr>
            <w:r>
              <w:rPr>
                <w:sz w:val="18"/>
              </w:rPr>
              <w:t>达标区</w:t>
            </w:r>
            <w:r>
              <w:rPr>
                <w:rFonts w:ascii="Wingdings" w:hAnsi="Wingdings"/>
                <w:sz w:val="18"/>
              </w:rPr>
              <w:t></w:t>
            </w:r>
          </w:p>
        </w:tc>
        <w:tc>
          <w:tcPr>
            <w:tcW w:w="3464" w:type="dxa"/>
            <w:gridSpan w:val="9"/>
          </w:tcPr>
          <w:p>
            <w:pPr>
              <w:pStyle w:val="TableParagraph"/>
              <w:spacing w:before="52"/>
              <w:ind w:left="918" w:right="931"/>
              <w:rPr>
                <w:rFonts w:ascii="Times New Roman" w:hAnsi="Times New Roman" w:eastAsia="Times New Roman"/>
                <w:sz w:val="18"/>
              </w:rPr>
            </w:pPr>
            <w:r>
              <w:rPr>
                <w:sz w:val="18"/>
              </w:rPr>
              <w:t>不达标区</w:t>
            </w:r>
            <w:r>
              <w:rPr>
                <w:rFonts w:ascii="Times New Roman" w:hAnsi="Times New Roman" w:eastAsia="Times New Roman"/>
                <w:sz w:val="18"/>
              </w:rPr>
              <w:t>□</w:t>
            </w:r>
          </w:p>
        </w:tc>
      </w:tr>
      <w:tr>
        <w:trPr>
          <w:trHeight w:val="700" w:hRule="atLeast"/>
        </w:trPr>
        <w:tc>
          <w:tcPr>
            <w:tcW w:w="646" w:type="dxa"/>
          </w:tcPr>
          <w:p>
            <w:pPr>
              <w:pStyle w:val="TableParagraph"/>
              <w:spacing w:line="230" w:lineRule="exact"/>
              <w:ind w:left="141"/>
              <w:jc w:val="left"/>
              <w:rPr>
                <w:sz w:val="18"/>
              </w:rPr>
            </w:pPr>
            <w:r>
              <w:rPr>
                <w:sz w:val="18"/>
              </w:rPr>
              <w:t>污染</w:t>
            </w:r>
          </w:p>
          <w:p>
            <w:pPr>
              <w:pStyle w:val="TableParagraph"/>
              <w:spacing w:line="230" w:lineRule="atLeast" w:before="2"/>
              <w:ind w:left="232" w:right="132" w:hanging="92"/>
              <w:jc w:val="left"/>
              <w:rPr>
                <w:sz w:val="18"/>
              </w:rPr>
            </w:pPr>
            <w:r>
              <w:rPr>
                <w:spacing w:val="-8"/>
                <w:sz w:val="18"/>
              </w:rPr>
              <w:t>源调</w:t>
            </w:r>
            <w:r>
              <w:rPr>
                <w:sz w:val="18"/>
              </w:rPr>
              <w:t>查</w:t>
            </w:r>
          </w:p>
        </w:tc>
        <w:tc>
          <w:tcPr>
            <w:tcW w:w="1760" w:type="dxa"/>
          </w:tcPr>
          <w:p>
            <w:pPr>
              <w:pStyle w:val="TableParagraph"/>
              <w:spacing w:before="1"/>
              <w:jc w:val="left"/>
              <w:rPr>
                <w:b/>
                <w:sz w:val="18"/>
              </w:rPr>
            </w:pPr>
          </w:p>
          <w:p>
            <w:pPr>
              <w:pStyle w:val="TableParagraph"/>
              <w:spacing w:before="1"/>
              <w:ind w:left="69" w:right="64"/>
              <w:rPr>
                <w:sz w:val="18"/>
              </w:rPr>
            </w:pPr>
            <w:r>
              <w:rPr>
                <w:sz w:val="18"/>
              </w:rPr>
              <w:t>调查内容</w:t>
            </w:r>
          </w:p>
        </w:tc>
        <w:tc>
          <w:tcPr>
            <w:tcW w:w="2182" w:type="dxa"/>
            <w:gridSpan w:val="4"/>
          </w:tcPr>
          <w:p>
            <w:pPr>
              <w:pStyle w:val="TableParagraph"/>
              <w:spacing w:line="230" w:lineRule="exact"/>
              <w:ind w:left="287" w:firstLine="81"/>
              <w:jc w:val="left"/>
              <w:rPr>
                <w:rFonts w:ascii="Wingdings" w:hAnsi="Wingdings"/>
                <w:sz w:val="18"/>
              </w:rPr>
            </w:pPr>
            <w:r>
              <w:rPr>
                <w:sz w:val="18"/>
              </w:rPr>
              <w:t>本项目正常排放源</w:t>
            </w:r>
            <w:r>
              <w:rPr>
                <w:rFonts w:ascii="Wingdings" w:hAnsi="Wingdings"/>
                <w:sz w:val="18"/>
              </w:rPr>
              <w:t></w:t>
            </w:r>
          </w:p>
          <w:p>
            <w:pPr>
              <w:pStyle w:val="TableParagraph"/>
              <w:spacing w:line="230" w:lineRule="atLeast" w:before="2"/>
              <w:ind w:left="608" w:right="281" w:hanging="322"/>
              <w:jc w:val="left"/>
              <w:rPr>
                <w:rFonts w:ascii="Wingdings" w:hAnsi="Wingdings"/>
                <w:sz w:val="18"/>
              </w:rPr>
            </w:pPr>
            <w:r>
              <w:rPr>
                <w:spacing w:val="-22"/>
                <w:sz w:val="18"/>
              </w:rPr>
              <w:t>本项目非正常排放源</w:t>
            </w:r>
            <w:r>
              <w:rPr>
                <w:rFonts w:ascii="Wingdings" w:hAnsi="Wingdings"/>
                <w:spacing w:val="-13"/>
                <w:sz w:val="18"/>
              </w:rPr>
              <w:t></w:t>
            </w:r>
            <w:r>
              <w:rPr>
                <w:rFonts w:ascii="Times New Roman" w:hAnsi="Times New Roman"/>
                <w:spacing w:val="-13"/>
                <w:sz w:val="18"/>
              </w:rPr>
              <w:t> </w:t>
            </w:r>
            <w:r>
              <w:rPr>
                <w:spacing w:val="-21"/>
                <w:sz w:val="18"/>
              </w:rPr>
              <w:t>现有污染源</w:t>
            </w:r>
            <w:r>
              <w:rPr>
                <w:rFonts w:ascii="Wingdings" w:hAnsi="Wingdings"/>
                <w:sz w:val="18"/>
              </w:rPr>
              <w:t></w:t>
            </w:r>
          </w:p>
        </w:tc>
        <w:tc>
          <w:tcPr>
            <w:tcW w:w="1693" w:type="dxa"/>
            <w:gridSpan w:val="4"/>
          </w:tcPr>
          <w:p>
            <w:pPr>
              <w:pStyle w:val="TableParagraph"/>
              <w:spacing w:before="1"/>
              <w:jc w:val="left"/>
              <w:rPr>
                <w:b/>
                <w:sz w:val="18"/>
              </w:rPr>
            </w:pPr>
          </w:p>
          <w:p>
            <w:pPr>
              <w:pStyle w:val="TableParagraph"/>
              <w:spacing w:before="1"/>
              <w:ind w:left="197"/>
              <w:jc w:val="left"/>
              <w:rPr>
                <w:rFonts w:ascii="Times New Roman" w:hAnsi="Times New Roman" w:eastAsia="Times New Roman"/>
                <w:sz w:val="18"/>
              </w:rPr>
            </w:pPr>
            <w:r>
              <w:rPr>
                <w:sz w:val="18"/>
              </w:rPr>
              <w:t>拟替代的污染源</w:t>
            </w:r>
            <w:r>
              <w:rPr>
                <w:rFonts w:ascii="Times New Roman" w:hAnsi="Times New Roman" w:eastAsia="Times New Roman"/>
                <w:sz w:val="18"/>
              </w:rPr>
              <w:t>□</w:t>
            </w:r>
          </w:p>
        </w:tc>
        <w:tc>
          <w:tcPr>
            <w:tcW w:w="1534" w:type="dxa"/>
            <w:gridSpan w:val="6"/>
          </w:tcPr>
          <w:p>
            <w:pPr>
              <w:pStyle w:val="TableParagraph"/>
              <w:spacing w:line="244" w:lineRule="auto" w:before="115"/>
              <w:ind w:left="336" w:right="101" w:hanging="240"/>
              <w:jc w:val="left"/>
              <w:rPr>
                <w:rFonts w:ascii="Wingdings" w:hAnsi="Wingdings"/>
                <w:sz w:val="18"/>
              </w:rPr>
            </w:pPr>
            <w:r>
              <w:rPr>
                <w:spacing w:val="-18"/>
                <w:sz w:val="18"/>
              </w:rPr>
              <w:t>其他在建、拟建项</w:t>
            </w:r>
            <w:r>
              <w:rPr>
                <w:spacing w:val="-13"/>
                <w:sz w:val="18"/>
              </w:rPr>
              <w:t>目污染源</w:t>
            </w:r>
            <w:r>
              <w:rPr>
                <w:rFonts w:ascii="Wingdings" w:hAnsi="Wingdings"/>
                <w:sz w:val="18"/>
              </w:rPr>
              <w:t></w:t>
            </w:r>
          </w:p>
        </w:tc>
        <w:tc>
          <w:tcPr>
            <w:tcW w:w="1487" w:type="dxa"/>
            <w:gridSpan w:val="2"/>
          </w:tcPr>
          <w:p>
            <w:pPr>
              <w:pStyle w:val="TableParagraph"/>
              <w:spacing w:before="1"/>
              <w:jc w:val="left"/>
              <w:rPr>
                <w:b/>
                <w:sz w:val="18"/>
              </w:rPr>
            </w:pPr>
          </w:p>
          <w:p>
            <w:pPr>
              <w:pStyle w:val="TableParagraph"/>
              <w:spacing w:before="1"/>
              <w:ind w:left="255"/>
              <w:jc w:val="left"/>
              <w:rPr>
                <w:rFonts w:ascii="Times New Roman" w:hAnsi="Times New Roman" w:eastAsia="Times New Roman"/>
                <w:sz w:val="18"/>
              </w:rPr>
            </w:pPr>
            <w:r>
              <w:rPr>
                <w:sz w:val="18"/>
              </w:rPr>
              <w:t>区域污染源</w:t>
            </w:r>
            <w:r>
              <w:rPr>
                <w:rFonts w:ascii="Times New Roman" w:hAnsi="Times New Roman" w:eastAsia="Times New Roman"/>
                <w:sz w:val="18"/>
              </w:rPr>
              <w:t>□</w:t>
            </w:r>
          </w:p>
        </w:tc>
      </w:tr>
      <w:tr>
        <w:trPr>
          <w:trHeight w:val="438" w:hRule="atLeast"/>
        </w:trPr>
        <w:tc>
          <w:tcPr>
            <w:tcW w:w="646"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2"/>
              <w:jc w:val="left"/>
              <w:rPr>
                <w:b/>
                <w:sz w:val="16"/>
              </w:rPr>
            </w:pPr>
          </w:p>
          <w:p>
            <w:pPr>
              <w:pStyle w:val="TableParagraph"/>
              <w:spacing w:line="242" w:lineRule="auto"/>
              <w:ind w:left="141" w:right="132"/>
              <w:jc w:val="both"/>
              <w:rPr>
                <w:sz w:val="18"/>
              </w:rPr>
            </w:pPr>
            <w:r>
              <w:rPr>
                <w:sz w:val="18"/>
              </w:rPr>
              <w:t>大气环境影响预测与评价</w:t>
            </w:r>
          </w:p>
        </w:tc>
        <w:tc>
          <w:tcPr>
            <w:tcW w:w="1760" w:type="dxa"/>
          </w:tcPr>
          <w:p>
            <w:pPr>
              <w:pStyle w:val="TableParagraph"/>
              <w:spacing w:before="103"/>
              <w:ind w:left="69" w:right="64"/>
              <w:rPr>
                <w:sz w:val="18"/>
              </w:rPr>
            </w:pPr>
            <w:r>
              <w:rPr>
                <w:sz w:val="18"/>
              </w:rPr>
              <w:t>预测模型</w:t>
            </w:r>
          </w:p>
        </w:tc>
        <w:tc>
          <w:tcPr>
            <w:tcW w:w="990" w:type="dxa"/>
          </w:tcPr>
          <w:p>
            <w:pPr>
              <w:pStyle w:val="TableParagraph"/>
              <w:spacing w:line="201" w:lineRule="exact" w:before="21"/>
              <w:ind w:left="85" w:right="67"/>
              <w:rPr>
                <w:rFonts w:ascii="Times New Roman"/>
                <w:sz w:val="18"/>
              </w:rPr>
            </w:pPr>
            <w:r>
              <w:rPr>
                <w:rFonts w:ascii="Times New Roman"/>
                <w:sz w:val="18"/>
              </w:rPr>
              <w:t>AERMOD</w:t>
            </w:r>
          </w:p>
          <w:p>
            <w:pPr>
              <w:pStyle w:val="TableParagraph"/>
              <w:spacing w:line="194" w:lineRule="exact"/>
              <w:ind w:left="4"/>
              <w:rPr>
                <w:rFonts w:ascii="Wingdings" w:hAnsi="Wingdings"/>
                <w:sz w:val="18"/>
              </w:rPr>
            </w:pPr>
            <w:r>
              <w:rPr>
                <w:rFonts w:ascii="Wingdings" w:hAnsi="Wingdings"/>
                <w:w w:val="101"/>
                <w:sz w:val="18"/>
              </w:rPr>
              <w:t></w:t>
            </w:r>
          </w:p>
        </w:tc>
        <w:tc>
          <w:tcPr>
            <w:tcW w:w="776" w:type="dxa"/>
            <w:gridSpan w:val="2"/>
          </w:tcPr>
          <w:p>
            <w:pPr>
              <w:pStyle w:val="TableParagraph"/>
              <w:spacing w:line="207" w:lineRule="exact" w:before="11"/>
              <w:ind w:left="111" w:right="93"/>
              <w:rPr>
                <w:rFonts w:ascii="Times New Roman"/>
                <w:sz w:val="18"/>
              </w:rPr>
            </w:pPr>
            <w:r>
              <w:rPr>
                <w:rFonts w:ascii="Times New Roman"/>
                <w:sz w:val="18"/>
              </w:rPr>
              <w:t>ADMS</w:t>
            </w:r>
          </w:p>
          <w:p>
            <w:pPr>
              <w:pStyle w:val="TableParagraph"/>
              <w:spacing w:line="200" w:lineRule="exact"/>
              <w:ind w:left="15"/>
              <w:rPr>
                <w:rFonts w:ascii="Times New Roman" w:hAnsi="Times New Roman"/>
                <w:sz w:val="18"/>
              </w:rPr>
            </w:pPr>
            <w:r>
              <w:rPr>
                <w:rFonts w:ascii="Times New Roman" w:hAnsi="Times New Roman"/>
                <w:sz w:val="18"/>
              </w:rPr>
              <w:t>□</w:t>
            </w:r>
          </w:p>
        </w:tc>
        <w:tc>
          <w:tcPr>
            <w:tcW w:w="1158" w:type="dxa"/>
            <w:gridSpan w:val="3"/>
          </w:tcPr>
          <w:p>
            <w:pPr>
              <w:pStyle w:val="TableParagraph"/>
              <w:spacing w:line="207" w:lineRule="exact" w:before="11"/>
              <w:ind w:left="24" w:right="13"/>
              <w:rPr>
                <w:rFonts w:ascii="Times New Roman"/>
                <w:sz w:val="18"/>
              </w:rPr>
            </w:pPr>
            <w:r>
              <w:rPr>
                <w:rFonts w:ascii="Times New Roman"/>
                <w:sz w:val="18"/>
              </w:rPr>
              <w:t>AUSTAL2000</w:t>
            </w:r>
          </w:p>
          <w:p>
            <w:pPr>
              <w:pStyle w:val="TableParagraph"/>
              <w:spacing w:line="200" w:lineRule="exact"/>
              <w:ind w:left="10"/>
              <w:rPr>
                <w:rFonts w:ascii="Times New Roman" w:hAnsi="Times New Roman"/>
                <w:sz w:val="18"/>
              </w:rPr>
            </w:pPr>
            <w:r>
              <w:rPr>
                <w:rFonts w:ascii="Times New Roman" w:hAnsi="Times New Roman"/>
                <w:sz w:val="18"/>
              </w:rPr>
              <w:t>□</w:t>
            </w:r>
          </w:p>
        </w:tc>
        <w:tc>
          <w:tcPr>
            <w:tcW w:w="1144" w:type="dxa"/>
            <w:gridSpan w:val="3"/>
          </w:tcPr>
          <w:p>
            <w:pPr>
              <w:pStyle w:val="TableParagraph"/>
              <w:spacing w:line="207" w:lineRule="exact" w:before="11"/>
              <w:ind w:left="34" w:right="29"/>
              <w:rPr>
                <w:rFonts w:ascii="Times New Roman"/>
                <w:sz w:val="18"/>
              </w:rPr>
            </w:pPr>
            <w:r>
              <w:rPr>
                <w:rFonts w:ascii="Times New Roman"/>
                <w:sz w:val="18"/>
              </w:rPr>
              <w:t>EDMS/AEDT</w:t>
            </w:r>
          </w:p>
          <w:p>
            <w:pPr>
              <w:pStyle w:val="TableParagraph"/>
              <w:spacing w:line="200" w:lineRule="exact"/>
              <w:ind w:left="4"/>
              <w:rPr>
                <w:rFonts w:ascii="Times New Roman" w:hAnsi="Times New Roman"/>
                <w:sz w:val="18"/>
              </w:rPr>
            </w:pPr>
            <w:r>
              <w:rPr>
                <w:rFonts w:ascii="Times New Roman" w:hAnsi="Times New Roman"/>
                <w:sz w:val="18"/>
              </w:rPr>
              <w:t>□</w:t>
            </w:r>
          </w:p>
        </w:tc>
        <w:tc>
          <w:tcPr>
            <w:tcW w:w="1098" w:type="dxa"/>
            <w:gridSpan w:val="4"/>
          </w:tcPr>
          <w:p>
            <w:pPr>
              <w:pStyle w:val="TableParagraph"/>
              <w:spacing w:line="207" w:lineRule="exact" w:before="11"/>
              <w:ind w:left="128" w:right="128"/>
              <w:rPr>
                <w:rFonts w:ascii="Times New Roman"/>
                <w:sz w:val="18"/>
              </w:rPr>
            </w:pPr>
            <w:r>
              <w:rPr>
                <w:rFonts w:ascii="Times New Roman"/>
                <w:sz w:val="18"/>
              </w:rPr>
              <w:t>CALPUFF</w:t>
            </w:r>
          </w:p>
          <w:p>
            <w:pPr>
              <w:pStyle w:val="TableParagraph"/>
              <w:spacing w:line="200" w:lineRule="exact"/>
              <w:ind w:right="3"/>
              <w:rPr>
                <w:rFonts w:ascii="Times New Roman" w:hAnsi="Times New Roman"/>
                <w:sz w:val="18"/>
              </w:rPr>
            </w:pPr>
            <w:r>
              <w:rPr>
                <w:rFonts w:ascii="Times New Roman" w:hAnsi="Times New Roman"/>
                <w:sz w:val="18"/>
              </w:rPr>
              <w:t>□</w:t>
            </w:r>
          </w:p>
        </w:tc>
        <w:tc>
          <w:tcPr>
            <w:tcW w:w="875" w:type="dxa"/>
            <w:gridSpan w:val="2"/>
          </w:tcPr>
          <w:p>
            <w:pPr>
              <w:pStyle w:val="TableParagraph"/>
              <w:ind w:left="42" w:right="63"/>
              <w:rPr>
                <w:sz w:val="18"/>
              </w:rPr>
            </w:pPr>
            <w:r>
              <w:rPr>
                <w:sz w:val="18"/>
              </w:rPr>
              <w:t>网格模型</w:t>
            </w:r>
          </w:p>
          <w:p>
            <w:pPr>
              <w:pStyle w:val="TableParagraph"/>
              <w:spacing w:line="186" w:lineRule="exact" w:before="2"/>
              <w:ind w:right="8"/>
              <w:rPr>
                <w:rFonts w:ascii="Times New Roman" w:hAnsi="Times New Roman"/>
                <w:sz w:val="18"/>
              </w:rPr>
            </w:pPr>
            <w:r>
              <w:rPr>
                <w:rFonts w:ascii="Times New Roman" w:hAnsi="Times New Roman"/>
                <w:sz w:val="18"/>
              </w:rPr>
              <w:t>□</w:t>
            </w:r>
          </w:p>
        </w:tc>
        <w:tc>
          <w:tcPr>
            <w:tcW w:w="855" w:type="dxa"/>
          </w:tcPr>
          <w:p>
            <w:pPr>
              <w:pStyle w:val="TableParagraph"/>
              <w:ind w:left="211" w:right="233"/>
              <w:rPr>
                <w:sz w:val="18"/>
              </w:rPr>
            </w:pPr>
            <w:r>
              <w:rPr>
                <w:sz w:val="18"/>
              </w:rPr>
              <w:t>其他</w:t>
            </w:r>
          </w:p>
          <w:p>
            <w:pPr>
              <w:pStyle w:val="TableParagraph"/>
              <w:spacing w:line="186" w:lineRule="exact" w:before="2"/>
              <w:ind w:right="9"/>
              <w:rPr>
                <w:rFonts w:ascii="Times New Roman" w:hAnsi="Times New Roman"/>
                <w:sz w:val="18"/>
              </w:rPr>
            </w:pPr>
            <w:r>
              <w:rPr>
                <w:rFonts w:ascii="Times New Roman" w:hAnsi="Times New Roman"/>
                <w:sz w:val="18"/>
              </w:rPr>
              <w:t>□</w:t>
            </w:r>
          </w:p>
        </w:tc>
      </w:tr>
      <w:tr>
        <w:trPr>
          <w:trHeight w:val="340" w:hRule="atLeast"/>
        </w:trPr>
        <w:tc>
          <w:tcPr>
            <w:tcW w:w="646" w:type="dxa"/>
            <w:vMerge/>
            <w:tcBorders>
              <w:top w:val="nil"/>
            </w:tcBorders>
          </w:tcPr>
          <w:p>
            <w:pPr>
              <w:rPr>
                <w:sz w:val="2"/>
                <w:szCs w:val="2"/>
              </w:rPr>
            </w:pPr>
          </w:p>
        </w:tc>
        <w:tc>
          <w:tcPr>
            <w:tcW w:w="1760" w:type="dxa"/>
          </w:tcPr>
          <w:p>
            <w:pPr>
              <w:pStyle w:val="TableParagraph"/>
              <w:spacing w:before="55"/>
              <w:ind w:left="69" w:right="64"/>
              <w:rPr>
                <w:sz w:val="18"/>
              </w:rPr>
            </w:pPr>
            <w:r>
              <w:rPr>
                <w:sz w:val="18"/>
              </w:rPr>
              <w:t>预测范围</w:t>
            </w:r>
          </w:p>
        </w:tc>
        <w:tc>
          <w:tcPr>
            <w:tcW w:w="2435" w:type="dxa"/>
            <w:gridSpan w:val="5"/>
          </w:tcPr>
          <w:p>
            <w:pPr>
              <w:pStyle w:val="TableParagraph"/>
              <w:spacing w:before="55"/>
              <w:ind w:left="774"/>
              <w:jc w:val="left"/>
              <w:rPr>
                <w:rFonts w:ascii="Times New Roman" w:hAnsi="Times New Roman" w:eastAsia="Times New Roman"/>
                <w:sz w:val="18"/>
              </w:rPr>
            </w:pPr>
            <w:r>
              <w:rPr>
                <w:sz w:val="18"/>
              </w:rPr>
              <w:t>边长</w:t>
            </w:r>
            <w:r>
              <w:rPr>
                <w:rFonts w:ascii="Times New Roman" w:hAnsi="Times New Roman" w:eastAsia="Times New Roman"/>
                <w:sz w:val="18"/>
              </w:rPr>
              <w:t>≥50km□</w:t>
            </w:r>
          </w:p>
        </w:tc>
        <w:tc>
          <w:tcPr>
            <w:tcW w:w="2213" w:type="dxa"/>
            <w:gridSpan w:val="6"/>
          </w:tcPr>
          <w:p>
            <w:pPr>
              <w:pStyle w:val="TableParagraph"/>
              <w:spacing w:before="55"/>
              <w:ind w:left="578"/>
              <w:jc w:val="left"/>
              <w:rPr>
                <w:rFonts w:ascii="Times New Roman" w:hAnsi="Times New Roman" w:eastAsia="Times New Roman"/>
                <w:sz w:val="18"/>
              </w:rPr>
            </w:pPr>
            <w:r>
              <w:rPr>
                <w:sz w:val="18"/>
              </w:rPr>
              <w:t>边长</w:t>
            </w:r>
            <w:r>
              <w:rPr>
                <w:rFonts w:ascii="Times New Roman" w:hAnsi="Times New Roman" w:eastAsia="Times New Roman"/>
                <w:sz w:val="18"/>
              </w:rPr>
              <w:t>5~50km□</w:t>
            </w:r>
          </w:p>
        </w:tc>
        <w:tc>
          <w:tcPr>
            <w:tcW w:w="2248" w:type="dxa"/>
            <w:gridSpan w:val="5"/>
          </w:tcPr>
          <w:p>
            <w:pPr>
              <w:pStyle w:val="TableParagraph"/>
              <w:spacing w:before="55"/>
              <w:ind w:left="662"/>
              <w:jc w:val="left"/>
              <w:rPr>
                <w:rFonts w:ascii="Wingdings" w:hAnsi="Wingdings"/>
                <w:sz w:val="18"/>
              </w:rPr>
            </w:pPr>
            <w:r>
              <w:rPr>
                <w:sz w:val="18"/>
              </w:rPr>
              <w:t>边长</w:t>
            </w:r>
            <w:r>
              <w:rPr>
                <w:rFonts w:ascii="Times New Roman" w:hAnsi="Times New Roman"/>
                <w:sz w:val="18"/>
              </w:rPr>
              <w:t>=5km</w:t>
            </w:r>
            <w:r>
              <w:rPr>
                <w:rFonts w:ascii="Wingdings" w:hAnsi="Wingdings"/>
                <w:sz w:val="18"/>
              </w:rPr>
              <w:t></w:t>
            </w:r>
          </w:p>
        </w:tc>
      </w:tr>
      <w:tr>
        <w:trPr>
          <w:trHeight w:val="467" w:hRule="atLeast"/>
        </w:trPr>
        <w:tc>
          <w:tcPr>
            <w:tcW w:w="646" w:type="dxa"/>
            <w:vMerge/>
            <w:tcBorders>
              <w:top w:val="nil"/>
            </w:tcBorders>
          </w:tcPr>
          <w:p>
            <w:pPr>
              <w:rPr>
                <w:sz w:val="2"/>
                <w:szCs w:val="2"/>
              </w:rPr>
            </w:pPr>
          </w:p>
        </w:tc>
        <w:tc>
          <w:tcPr>
            <w:tcW w:w="1760" w:type="dxa"/>
          </w:tcPr>
          <w:p>
            <w:pPr>
              <w:pStyle w:val="TableParagraph"/>
              <w:spacing w:before="117"/>
              <w:ind w:left="69" w:right="64"/>
              <w:rPr>
                <w:sz w:val="18"/>
              </w:rPr>
            </w:pPr>
            <w:r>
              <w:rPr>
                <w:sz w:val="18"/>
              </w:rPr>
              <w:t>预测因子</w:t>
            </w:r>
          </w:p>
        </w:tc>
        <w:tc>
          <w:tcPr>
            <w:tcW w:w="3432" w:type="dxa"/>
            <w:gridSpan w:val="7"/>
          </w:tcPr>
          <w:p>
            <w:pPr>
              <w:pStyle w:val="TableParagraph"/>
              <w:spacing w:before="117"/>
              <w:ind w:left="519"/>
              <w:jc w:val="left"/>
              <w:rPr>
                <w:sz w:val="18"/>
              </w:rPr>
            </w:pPr>
            <w:r>
              <w:rPr>
                <w:position w:val="1"/>
                <w:sz w:val="18"/>
              </w:rPr>
              <w:t>预测因子（甲酸、</w:t>
            </w:r>
            <w:r>
              <w:rPr>
                <w:rFonts w:ascii="Times New Roman" w:eastAsia="Times New Roman"/>
                <w:position w:val="1"/>
                <w:sz w:val="18"/>
              </w:rPr>
              <w:t>PM</w:t>
            </w:r>
            <w:r>
              <w:rPr>
                <w:rFonts w:ascii="Times New Roman" w:eastAsia="Times New Roman"/>
                <w:sz w:val="12"/>
              </w:rPr>
              <w:t>10</w:t>
            </w:r>
            <w:r>
              <w:rPr>
                <w:position w:val="1"/>
                <w:sz w:val="18"/>
              </w:rPr>
              <w:t>、</w:t>
            </w:r>
            <w:r>
              <w:rPr>
                <w:rFonts w:ascii="Times New Roman" w:eastAsia="Times New Roman"/>
                <w:position w:val="1"/>
                <w:sz w:val="18"/>
              </w:rPr>
              <w:t>TSP</w:t>
            </w:r>
            <w:r>
              <w:rPr>
                <w:position w:val="1"/>
                <w:sz w:val="18"/>
              </w:rPr>
              <w:t>）</w:t>
            </w:r>
          </w:p>
        </w:tc>
        <w:tc>
          <w:tcPr>
            <w:tcW w:w="3464" w:type="dxa"/>
            <w:gridSpan w:val="9"/>
          </w:tcPr>
          <w:p>
            <w:pPr>
              <w:pStyle w:val="TableParagraph"/>
              <w:spacing w:line="230" w:lineRule="exact"/>
              <w:ind w:left="921" w:right="931"/>
              <w:rPr>
                <w:rFonts w:ascii="Times New Roman" w:hAnsi="Times New Roman" w:eastAsia="Times New Roman"/>
                <w:sz w:val="18"/>
              </w:rPr>
            </w:pPr>
            <w:r>
              <w:rPr>
                <w:position w:val="1"/>
                <w:sz w:val="18"/>
              </w:rPr>
              <w:t>包括二次 </w:t>
            </w:r>
            <w:r>
              <w:rPr>
                <w:rFonts w:ascii="Times New Roman" w:hAnsi="Times New Roman" w:eastAsia="Times New Roman"/>
                <w:position w:val="1"/>
                <w:sz w:val="18"/>
              </w:rPr>
              <w:t>PM</w:t>
            </w:r>
            <w:r>
              <w:rPr>
                <w:rFonts w:ascii="Times New Roman" w:hAnsi="Times New Roman" w:eastAsia="Times New Roman"/>
                <w:sz w:val="12"/>
              </w:rPr>
              <w:t>2.5</w:t>
            </w:r>
            <w:r>
              <w:rPr>
                <w:rFonts w:ascii="Times New Roman" w:hAnsi="Times New Roman" w:eastAsia="Times New Roman"/>
                <w:position w:val="1"/>
                <w:sz w:val="18"/>
              </w:rPr>
              <w:t>□</w:t>
            </w:r>
          </w:p>
          <w:p>
            <w:pPr>
              <w:pStyle w:val="TableParagraph"/>
              <w:spacing w:line="215" w:lineRule="exact" w:before="2"/>
              <w:ind w:left="923" w:right="931"/>
              <w:rPr>
                <w:rFonts w:ascii="Wingdings" w:hAnsi="Wingdings"/>
                <w:sz w:val="18"/>
              </w:rPr>
            </w:pPr>
            <w:r>
              <w:rPr>
                <w:position w:val="1"/>
                <w:sz w:val="18"/>
              </w:rPr>
              <w:t>不包括二次 </w:t>
            </w:r>
            <w:r>
              <w:rPr>
                <w:rFonts w:ascii="Times New Roman" w:hAnsi="Times New Roman"/>
                <w:position w:val="1"/>
                <w:sz w:val="18"/>
              </w:rPr>
              <w:t>PM</w:t>
            </w:r>
            <w:r>
              <w:rPr>
                <w:rFonts w:ascii="Times New Roman" w:hAnsi="Times New Roman"/>
                <w:sz w:val="12"/>
              </w:rPr>
              <w:t>2.5</w:t>
            </w:r>
            <w:r>
              <w:rPr>
                <w:rFonts w:ascii="Wingdings" w:hAnsi="Wingdings"/>
                <w:position w:val="1"/>
                <w:sz w:val="18"/>
              </w:rPr>
              <w:t></w:t>
            </w:r>
          </w:p>
        </w:tc>
      </w:tr>
      <w:tr>
        <w:trPr>
          <w:trHeight w:val="465" w:hRule="atLeast"/>
        </w:trPr>
        <w:tc>
          <w:tcPr>
            <w:tcW w:w="646" w:type="dxa"/>
            <w:vMerge/>
            <w:tcBorders>
              <w:top w:val="nil"/>
            </w:tcBorders>
          </w:tcPr>
          <w:p>
            <w:pPr>
              <w:rPr>
                <w:sz w:val="2"/>
                <w:szCs w:val="2"/>
              </w:rPr>
            </w:pPr>
          </w:p>
        </w:tc>
        <w:tc>
          <w:tcPr>
            <w:tcW w:w="1760" w:type="dxa"/>
          </w:tcPr>
          <w:p>
            <w:pPr>
              <w:pStyle w:val="TableParagraph"/>
              <w:ind w:left="69" w:right="64"/>
              <w:rPr>
                <w:sz w:val="18"/>
              </w:rPr>
            </w:pPr>
            <w:r>
              <w:rPr>
                <w:sz w:val="18"/>
              </w:rPr>
              <w:t>正常排放短期浓度</w:t>
            </w:r>
          </w:p>
          <w:p>
            <w:pPr>
              <w:pStyle w:val="TableParagraph"/>
              <w:spacing w:line="213" w:lineRule="exact" w:before="2"/>
              <w:ind w:left="71" w:right="64"/>
              <w:rPr>
                <w:sz w:val="18"/>
              </w:rPr>
            </w:pPr>
            <w:r>
              <w:rPr>
                <w:sz w:val="18"/>
              </w:rPr>
              <w:t>贡献值</w:t>
            </w:r>
          </w:p>
        </w:tc>
        <w:tc>
          <w:tcPr>
            <w:tcW w:w="3432" w:type="dxa"/>
            <w:gridSpan w:val="7"/>
          </w:tcPr>
          <w:p>
            <w:pPr>
              <w:pStyle w:val="TableParagraph"/>
              <w:spacing w:before="117"/>
              <w:ind w:left="771"/>
              <w:jc w:val="left"/>
              <w:rPr>
                <w:rFonts w:ascii="Wingdings" w:hAnsi="Wingdings"/>
                <w:sz w:val="18"/>
              </w:rPr>
            </w:pPr>
            <w:r>
              <w:rPr>
                <w:rFonts w:ascii="Times New Roman" w:hAnsi="Times New Roman"/>
                <w:position w:val="1"/>
                <w:sz w:val="18"/>
              </w:rPr>
              <w:t>C </w:t>
            </w:r>
            <w:r>
              <w:rPr>
                <w:sz w:val="9"/>
              </w:rPr>
              <w:t>本项目</w:t>
            </w:r>
            <w:r>
              <w:rPr>
                <w:position w:val="1"/>
                <w:sz w:val="18"/>
              </w:rPr>
              <w:t>最大占标率</w:t>
            </w:r>
            <w:r>
              <w:rPr>
                <w:rFonts w:ascii="Times New Roman" w:hAnsi="Times New Roman"/>
                <w:position w:val="1"/>
                <w:sz w:val="18"/>
              </w:rPr>
              <w:t>≤100%</w:t>
            </w:r>
            <w:r>
              <w:rPr>
                <w:rFonts w:ascii="Wingdings" w:hAnsi="Wingdings"/>
                <w:position w:val="1"/>
                <w:sz w:val="18"/>
              </w:rPr>
              <w:t></w:t>
            </w:r>
          </w:p>
        </w:tc>
        <w:tc>
          <w:tcPr>
            <w:tcW w:w="3464" w:type="dxa"/>
            <w:gridSpan w:val="9"/>
          </w:tcPr>
          <w:p>
            <w:pPr>
              <w:pStyle w:val="TableParagraph"/>
              <w:spacing w:before="117"/>
              <w:ind w:left="772"/>
              <w:jc w:val="left"/>
              <w:rPr>
                <w:rFonts w:ascii="Times New Roman" w:hAnsi="Times New Roman" w:eastAsia="Times New Roman"/>
                <w:sz w:val="18"/>
              </w:rPr>
            </w:pPr>
            <w:r>
              <w:rPr>
                <w:rFonts w:ascii="Times New Roman" w:hAnsi="Times New Roman" w:eastAsia="Times New Roman"/>
                <w:position w:val="1"/>
                <w:sz w:val="18"/>
              </w:rPr>
              <w:t>C </w:t>
            </w:r>
            <w:r>
              <w:rPr>
                <w:sz w:val="9"/>
              </w:rPr>
              <w:t>本项目</w:t>
            </w:r>
            <w:r>
              <w:rPr>
                <w:position w:val="1"/>
                <w:sz w:val="18"/>
              </w:rPr>
              <w:t>最大占标率＞</w:t>
            </w:r>
            <w:r>
              <w:rPr>
                <w:rFonts w:ascii="Times New Roman" w:hAnsi="Times New Roman" w:eastAsia="Times New Roman"/>
                <w:position w:val="1"/>
                <w:sz w:val="18"/>
              </w:rPr>
              <w:t>100%□</w:t>
            </w:r>
          </w:p>
        </w:tc>
      </w:tr>
      <w:tr>
        <w:trPr>
          <w:trHeight w:val="235" w:hRule="atLeast"/>
        </w:trPr>
        <w:tc>
          <w:tcPr>
            <w:tcW w:w="646" w:type="dxa"/>
            <w:vMerge/>
            <w:tcBorders>
              <w:top w:val="nil"/>
            </w:tcBorders>
          </w:tcPr>
          <w:p>
            <w:pPr>
              <w:rPr>
                <w:sz w:val="2"/>
                <w:szCs w:val="2"/>
              </w:rPr>
            </w:pPr>
          </w:p>
        </w:tc>
        <w:tc>
          <w:tcPr>
            <w:tcW w:w="1760" w:type="dxa"/>
            <w:vMerge w:val="restart"/>
          </w:tcPr>
          <w:p>
            <w:pPr>
              <w:pStyle w:val="TableParagraph"/>
              <w:spacing w:line="230" w:lineRule="atLeast" w:before="7"/>
              <w:ind w:left="608" w:right="150" w:hanging="452"/>
              <w:jc w:val="left"/>
              <w:rPr>
                <w:sz w:val="18"/>
              </w:rPr>
            </w:pPr>
            <w:r>
              <w:rPr>
                <w:sz w:val="18"/>
              </w:rPr>
              <w:t>正常排放年均浓度贡献值</w:t>
            </w:r>
          </w:p>
        </w:tc>
        <w:tc>
          <w:tcPr>
            <w:tcW w:w="990" w:type="dxa"/>
          </w:tcPr>
          <w:p>
            <w:pPr>
              <w:pStyle w:val="TableParagraph"/>
              <w:spacing w:line="213" w:lineRule="exact" w:before="2"/>
              <w:ind w:left="77" w:right="70"/>
              <w:rPr>
                <w:sz w:val="18"/>
              </w:rPr>
            </w:pPr>
            <w:r>
              <w:rPr>
                <w:sz w:val="18"/>
              </w:rPr>
              <w:t>一类区</w:t>
            </w:r>
          </w:p>
        </w:tc>
        <w:tc>
          <w:tcPr>
            <w:tcW w:w="2442" w:type="dxa"/>
            <w:gridSpan w:val="6"/>
          </w:tcPr>
          <w:p>
            <w:pPr>
              <w:pStyle w:val="TableParagraph"/>
              <w:spacing w:line="213" w:lineRule="exact" w:before="2"/>
              <w:ind w:left="343"/>
              <w:jc w:val="left"/>
              <w:rPr>
                <w:rFonts w:ascii="Times New Roman" w:hAnsi="Times New Roman" w:eastAsia="Times New Roman"/>
                <w:sz w:val="18"/>
              </w:rPr>
            </w:pPr>
            <w:r>
              <w:rPr>
                <w:rFonts w:ascii="Times New Roman" w:hAnsi="Times New Roman" w:eastAsia="Times New Roman"/>
                <w:position w:val="1"/>
                <w:sz w:val="18"/>
              </w:rPr>
              <w:t>C </w:t>
            </w:r>
            <w:r>
              <w:rPr>
                <w:sz w:val="9"/>
              </w:rPr>
              <w:t>本项目</w:t>
            </w:r>
            <w:r>
              <w:rPr>
                <w:position w:val="1"/>
                <w:sz w:val="18"/>
              </w:rPr>
              <w:t>最大占标率</w:t>
            </w:r>
            <w:r>
              <w:rPr>
                <w:rFonts w:ascii="Times New Roman" w:hAnsi="Times New Roman" w:eastAsia="Times New Roman"/>
                <w:position w:val="1"/>
                <w:sz w:val="18"/>
              </w:rPr>
              <w:t>≤10%□</w:t>
            </w:r>
          </w:p>
        </w:tc>
        <w:tc>
          <w:tcPr>
            <w:tcW w:w="3464" w:type="dxa"/>
            <w:gridSpan w:val="9"/>
          </w:tcPr>
          <w:p>
            <w:pPr>
              <w:pStyle w:val="TableParagraph"/>
              <w:spacing w:line="213" w:lineRule="exact" w:before="2"/>
              <w:ind w:left="810"/>
              <w:jc w:val="left"/>
              <w:rPr>
                <w:rFonts w:ascii="Times New Roman" w:hAnsi="Times New Roman" w:eastAsia="Times New Roman"/>
                <w:sz w:val="18"/>
              </w:rPr>
            </w:pPr>
            <w:r>
              <w:rPr>
                <w:rFonts w:ascii="Times New Roman" w:hAnsi="Times New Roman" w:eastAsia="Times New Roman"/>
                <w:position w:val="1"/>
                <w:sz w:val="18"/>
              </w:rPr>
              <w:t>C </w:t>
            </w:r>
            <w:r>
              <w:rPr>
                <w:sz w:val="9"/>
              </w:rPr>
              <w:t>本项目</w:t>
            </w:r>
            <w:r>
              <w:rPr>
                <w:position w:val="1"/>
                <w:sz w:val="18"/>
              </w:rPr>
              <w:t>最大占标率＞</w:t>
            </w:r>
            <w:r>
              <w:rPr>
                <w:rFonts w:ascii="Times New Roman" w:hAnsi="Times New Roman" w:eastAsia="Times New Roman"/>
                <w:position w:val="1"/>
                <w:sz w:val="18"/>
              </w:rPr>
              <w:t>10%□</w:t>
            </w:r>
          </w:p>
        </w:tc>
      </w:tr>
      <w:tr>
        <w:trPr>
          <w:trHeight w:val="232" w:hRule="atLeast"/>
        </w:trPr>
        <w:tc>
          <w:tcPr>
            <w:tcW w:w="646" w:type="dxa"/>
            <w:vMerge/>
            <w:tcBorders>
              <w:top w:val="nil"/>
            </w:tcBorders>
          </w:tcPr>
          <w:p>
            <w:pPr>
              <w:rPr>
                <w:sz w:val="2"/>
                <w:szCs w:val="2"/>
              </w:rPr>
            </w:pPr>
          </w:p>
        </w:tc>
        <w:tc>
          <w:tcPr>
            <w:tcW w:w="1760" w:type="dxa"/>
            <w:vMerge/>
            <w:tcBorders>
              <w:top w:val="nil"/>
            </w:tcBorders>
          </w:tcPr>
          <w:p>
            <w:pPr>
              <w:rPr>
                <w:sz w:val="2"/>
                <w:szCs w:val="2"/>
              </w:rPr>
            </w:pPr>
          </w:p>
        </w:tc>
        <w:tc>
          <w:tcPr>
            <w:tcW w:w="990" w:type="dxa"/>
          </w:tcPr>
          <w:p>
            <w:pPr>
              <w:pStyle w:val="TableParagraph"/>
              <w:spacing w:line="212" w:lineRule="exact"/>
              <w:ind w:left="77" w:right="70"/>
              <w:rPr>
                <w:sz w:val="18"/>
              </w:rPr>
            </w:pPr>
            <w:r>
              <w:rPr>
                <w:sz w:val="18"/>
              </w:rPr>
              <w:t>二类区</w:t>
            </w:r>
          </w:p>
        </w:tc>
        <w:tc>
          <w:tcPr>
            <w:tcW w:w="2442" w:type="dxa"/>
            <w:gridSpan w:val="6"/>
          </w:tcPr>
          <w:p>
            <w:pPr>
              <w:pStyle w:val="TableParagraph"/>
              <w:spacing w:line="212" w:lineRule="exact"/>
              <w:ind w:left="317"/>
              <w:jc w:val="left"/>
              <w:rPr>
                <w:rFonts w:ascii="Wingdings" w:hAnsi="Wingdings"/>
                <w:sz w:val="18"/>
              </w:rPr>
            </w:pPr>
            <w:r>
              <w:rPr>
                <w:rFonts w:ascii="Times New Roman" w:hAnsi="Times New Roman"/>
                <w:position w:val="1"/>
                <w:sz w:val="18"/>
              </w:rPr>
              <w:t>C </w:t>
            </w:r>
            <w:r>
              <w:rPr>
                <w:sz w:val="9"/>
              </w:rPr>
              <w:t>本项目</w:t>
            </w:r>
            <w:r>
              <w:rPr>
                <w:position w:val="1"/>
                <w:sz w:val="18"/>
              </w:rPr>
              <w:t>最大占标率</w:t>
            </w:r>
            <w:r>
              <w:rPr>
                <w:rFonts w:ascii="Times New Roman" w:hAnsi="Times New Roman"/>
                <w:position w:val="1"/>
                <w:sz w:val="18"/>
              </w:rPr>
              <w:t>≤30%</w:t>
            </w:r>
            <w:r>
              <w:rPr>
                <w:rFonts w:ascii="Wingdings" w:hAnsi="Wingdings"/>
                <w:position w:val="1"/>
                <w:sz w:val="18"/>
              </w:rPr>
              <w:t></w:t>
            </w:r>
          </w:p>
        </w:tc>
        <w:tc>
          <w:tcPr>
            <w:tcW w:w="3464" w:type="dxa"/>
            <w:gridSpan w:val="9"/>
          </w:tcPr>
          <w:p>
            <w:pPr>
              <w:pStyle w:val="TableParagraph"/>
              <w:spacing w:line="212" w:lineRule="exact"/>
              <w:ind w:left="810"/>
              <w:jc w:val="left"/>
              <w:rPr>
                <w:rFonts w:ascii="Times New Roman" w:hAnsi="Times New Roman" w:eastAsia="Times New Roman"/>
                <w:sz w:val="18"/>
              </w:rPr>
            </w:pPr>
            <w:r>
              <w:rPr>
                <w:rFonts w:ascii="Times New Roman" w:hAnsi="Times New Roman" w:eastAsia="Times New Roman"/>
                <w:position w:val="1"/>
                <w:sz w:val="18"/>
              </w:rPr>
              <w:t>C </w:t>
            </w:r>
            <w:r>
              <w:rPr>
                <w:sz w:val="9"/>
              </w:rPr>
              <w:t>本项目</w:t>
            </w:r>
            <w:r>
              <w:rPr>
                <w:position w:val="1"/>
                <w:sz w:val="18"/>
              </w:rPr>
              <w:t>最大占标率＞</w:t>
            </w:r>
            <w:r>
              <w:rPr>
                <w:rFonts w:ascii="Times New Roman" w:hAnsi="Times New Roman" w:eastAsia="Times New Roman"/>
                <w:position w:val="1"/>
                <w:sz w:val="18"/>
              </w:rPr>
              <w:t>30%□</w:t>
            </w:r>
          </w:p>
        </w:tc>
      </w:tr>
      <w:tr>
        <w:trPr>
          <w:trHeight w:val="467" w:hRule="atLeast"/>
        </w:trPr>
        <w:tc>
          <w:tcPr>
            <w:tcW w:w="646" w:type="dxa"/>
            <w:vMerge/>
            <w:tcBorders>
              <w:top w:val="nil"/>
            </w:tcBorders>
          </w:tcPr>
          <w:p>
            <w:pPr>
              <w:rPr>
                <w:sz w:val="2"/>
                <w:szCs w:val="2"/>
              </w:rPr>
            </w:pPr>
          </w:p>
        </w:tc>
        <w:tc>
          <w:tcPr>
            <w:tcW w:w="1760" w:type="dxa"/>
          </w:tcPr>
          <w:p>
            <w:pPr>
              <w:pStyle w:val="TableParagraph"/>
              <w:spacing w:line="230" w:lineRule="exact"/>
              <w:ind w:left="71" w:right="64"/>
              <w:rPr>
                <w:sz w:val="18"/>
              </w:rPr>
            </w:pPr>
            <w:r>
              <w:rPr>
                <w:sz w:val="18"/>
              </w:rPr>
              <w:t>非正常排放 </w:t>
            </w:r>
            <w:r>
              <w:rPr>
                <w:rFonts w:ascii="Times New Roman" w:eastAsia="Times New Roman"/>
                <w:sz w:val="18"/>
              </w:rPr>
              <w:t>1h </w:t>
            </w:r>
            <w:r>
              <w:rPr>
                <w:sz w:val="18"/>
              </w:rPr>
              <w:t>浓度</w:t>
            </w:r>
          </w:p>
          <w:p>
            <w:pPr>
              <w:pStyle w:val="TableParagraph"/>
              <w:spacing w:line="213" w:lineRule="exact" w:before="4"/>
              <w:ind w:left="71" w:right="64"/>
              <w:rPr>
                <w:sz w:val="18"/>
              </w:rPr>
            </w:pPr>
            <w:r>
              <w:rPr>
                <w:sz w:val="18"/>
              </w:rPr>
              <w:t>贡献值</w:t>
            </w:r>
          </w:p>
        </w:tc>
        <w:tc>
          <w:tcPr>
            <w:tcW w:w="1547" w:type="dxa"/>
            <w:gridSpan w:val="2"/>
          </w:tcPr>
          <w:p>
            <w:pPr>
              <w:pStyle w:val="TableParagraph"/>
              <w:spacing w:line="230" w:lineRule="exact"/>
              <w:ind w:left="121" w:right="116"/>
              <w:rPr>
                <w:sz w:val="18"/>
              </w:rPr>
            </w:pPr>
            <w:r>
              <w:rPr>
                <w:sz w:val="18"/>
              </w:rPr>
              <w:t>非正常持续时长</w:t>
            </w:r>
          </w:p>
          <w:p>
            <w:pPr>
              <w:pStyle w:val="TableParagraph"/>
              <w:spacing w:line="213" w:lineRule="exact" w:before="4"/>
              <w:ind w:left="121" w:right="111"/>
              <w:rPr>
                <w:rFonts w:ascii="Times New Roman" w:eastAsia="Times New Roman"/>
                <w:sz w:val="18"/>
              </w:rPr>
            </w:pPr>
            <w:r>
              <w:rPr>
                <w:sz w:val="18"/>
              </w:rPr>
              <w:t>（</w:t>
            </w:r>
            <w:r>
              <w:rPr>
                <w:rFonts w:ascii="Times New Roman" w:eastAsia="Times New Roman"/>
                <w:sz w:val="18"/>
              </w:rPr>
              <w:t>1</w:t>
            </w:r>
            <w:r>
              <w:rPr>
                <w:sz w:val="18"/>
              </w:rPr>
              <w:t>）</w:t>
            </w:r>
            <w:r>
              <w:rPr>
                <w:rFonts w:ascii="Times New Roman" w:eastAsia="Times New Roman"/>
                <w:sz w:val="18"/>
              </w:rPr>
              <w:t>h</w:t>
            </w:r>
          </w:p>
        </w:tc>
        <w:tc>
          <w:tcPr>
            <w:tcW w:w="3016" w:type="dxa"/>
            <w:gridSpan w:val="8"/>
          </w:tcPr>
          <w:p>
            <w:pPr>
              <w:pStyle w:val="TableParagraph"/>
              <w:spacing w:before="117"/>
              <w:ind w:left="729"/>
              <w:jc w:val="left"/>
              <w:rPr>
                <w:rFonts w:ascii="Wingdings" w:hAnsi="Wingdings"/>
                <w:sz w:val="18"/>
              </w:rPr>
            </w:pPr>
            <w:r>
              <w:rPr>
                <w:rFonts w:ascii="Times New Roman" w:hAnsi="Times New Roman"/>
                <w:position w:val="1"/>
                <w:sz w:val="18"/>
              </w:rPr>
              <w:t>C </w:t>
            </w:r>
            <w:r>
              <w:rPr>
                <w:sz w:val="9"/>
              </w:rPr>
              <w:t>非正常</w:t>
            </w:r>
            <w:r>
              <w:rPr>
                <w:position w:val="1"/>
                <w:sz w:val="18"/>
              </w:rPr>
              <w:t>占标率</w:t>
            </w:r>
            <w:r>
              <w:rPr>
                <w:rFonts w:ascii="Times New Roman" w:hAnsi="Times New Roman"/>
                <w:position w:val="1"/>
                <w:sz w:val="18"/>
              </w:rPr>
              <w:t>≤100%</w:t>
            </w:r>
            <w:r>
              <w:rPr>
                <w:rFonts w:ascii="Wingdings" w:hAnsi="Wingdings"/>
                <w:position w:val="1"/>
                <w:sz w:val="18"/>
              </w:rPr>
              <w:t></w:t>
            </w:r>
          </w:p>
        </w:tc>
        <w:tc>
          <w:tcPr>
            <w:tcW w:w="2333" w:type="dxa"/>
            <w:gridSpan w:val="6"/>
          </w:tcPr>
          <w:p>
            <w:pPr>
              <w:pStyle w:val="TableParagraph"/>
              <w:spacing w:before="117"/>
              <w:ind w:left="368"/>
              <w:jc w:val="left"/>
              <w:rPr>
                <w:rFonts w:ascii="Times New Roman" w:hAnsi="Times New Roman" w:eastAsia="Times New Roman"/>
                <w:sz w:val="18"/>
              </w:rPr>
            </w:pPr>
            <w:r>
              <w:rPr>
                <w:rFonts w:ascii="Times New Roman" w:hAnsi="Times New Roman" w:eastAsia="Times New Roman"/>
                <w:position w:val="1"/>
                <w:sz w:val="18"/>
              </w:rPr>
              <w:t>C </w:t>
            </w:r>
            <w:r>
              <w:rPr>
                <w:sz w:val="9"/>
              </w:rPr>
              <w:t>非正常</w:t>
            </w:r>
            <w:r>
              <w:rPr>
                <w:position w:val="1"/>
                <w:sz w:val="18"/>
              </w:rPr>
              <w:t>占标率＞</w:t>
            </w:r>
            <w:r>
              <w:rPr>
                <w:rFonts w:ascii="Times New Roman" w:hAnsi="Times New Roman" w:eastAsia="Times New Roman"/>
                <w:position w:val="1"/>
                <w:sz w:val="18"/>
              </w:rPr>
              <w:t>100%□</w:t>
            </w:r>
          </w:p>
        </w:tc>
      </w:tr>
      <w:tr>
        <w:trPr>
          <w:trHeight w:val="467" w:hRule="atLeast"/>
        </w:trPr>
        <w:tc>
          <w:tcPr>
            <w:tcW w:w="646" w:type="dxa"/>
            <w:vMerge/>
            <w:tcBorders>
              <w:top w:val="nil"/>
            </w:tcBorders>
          </w:tcPr>
          <w:p>
            <w:pPr>
              <w:rPr>
                <w:sz w:val="2"/>
                <w:szCs w:val="2"/>
              </w:rPr>
            </w:pPr>
          </w:p>
        </w:tc>
        <w:tc>
          <w:tcPr>
            <w:tcW w:w="1760" w:type="dxa"/>
          </w:tcPr>
          <w:p>
            <w:pPr>
              <w:pStyle w:val="TableParagraph"/>
              <w:spacing w:line="230" w:lineRule="exact"/>
              <w:ind w:left="157"/>
              <w:jc w:val="left"/>
              <w:rPr>
                <w:sz w:val="18"/>
              </w:rPr>
            </w:pPr>
            <w:r>
              <w:rPr>
                <w:spacing w:val="-20"/>
                <w:sz w:val="18"/>
              </w:rPr>
              <w:t>保证率日平均浓度和</w:t>
            </w:r>
          </w:p>
          <w:p>
            <w:pPr>
              <w:pStyle w:val="TableParagraph"/>
              <w:spacing w:line="215" w:lineRule="exact" w:before="2"/>
              <w:ind w:left="239"/>
              <w:jc w:val="left"/>
              <w:rPr>
                <w:sz w:val="18"/>
              </w:rPr>
            </w:pPr>
            <w:r>
              <w:rPr>
                <w:sz w:val="18"/>
              </w:rPr>
              <w:t>年平均浓度叠加值</w:t>
            </w:r>
          </w:p>
        </w:tc>
        <w:tc>
          <w:tcPr>
            <w:tcW w:w="3432" w:type="dxa"/>
            <w:gridSpan w:val="7"/>
          </w:tcPr>
          <w:p>
            <w:pPr>
              <w:pStyle w:val="TableParagraph"/>
              <w:spacing w:before="117"/>
              <w:ind w:left="15" w:right="12"/>
              <w:rPr>
                <w:rFonts w:ascii="Wingdings" w:hAnsi="Wingdings"/>
                <w:sz w:val="18"/>
              </w:rPr>
            </w:pPr>
            <w:r>
              <w:rPr>
                <w:rFonts w:ascii="Times New Roman" w:hAnsi="Times New Roman"/>
                <w:position w:val="1"/>
                <w:sz w:val="18"/>
              </w:rPr>
              <w:t>C </w:t>
            </w:r>
            <w:r>
              <w:rPr>
                <w:sz w:val="9"/>
              </w:rPr>
              <w:t>叠加</w:t>
            </w:r>
            <w:r>
              <w:rPr>
                <w:position w:val="1"/>
                <w:sz w:val="18"/>
              </w:rPr>
              <w:t>达标</w:t>
            </w:r>
            <w:r>
              <w:rPr>
                <w:rFonts w:ascii="Wingdings" w:hAnsi="Wingdings"/>
                <w:position w:val="1"/>
                <w:sz w:val="18"/>
              </w:rPr>
              <w:t></w:t>
            </w:r>
          </w:p>
        </w:tc>
        <w:tc>
          <w:tcPr>
            <w:tcW w:w="3464" w:type="dxa"/>
            <w:gridSpan w:val="9"/>
          </w:tcPr>
          <w:p>
            <w:pPr>
              <w:pStyle w:val="TableParagraph"/>
              <w:spacing w:before="117"/>
              <w:ind w:left="923" w:right="931"/>
              <w:rPr>
                <w:rFonts w:ascii="Times New Roman" w:hAnsi="Times New Roman" w:eastAsia="Times New Roman"/>
                <w:sz w:val="18"/>
              </w:rPr>
            </w:pPr>
            <w:r>
              <w:rPr>
                <w:rFonts w:ascii="Times New Roman" w:hAnsi="Times New Roman" w:eastAsia="Times New Roman"/>
                <w:position w:val="1"/>
                <w:sz w:val="18"/>
              </w:rPr>
              <w:t>C </w:t>
            </w:r>
            <w:r>
              <w:rPr>
                <w:sz w:val="9"/>
              </w:rPr>
              <w:t>叠加</w:t>
            </w:r>
            <w:r>
              <w:rPr>
                <w:position w:val="1"/>
                <w:sz w:val="18"/>
              </w:rPr>
              <w:t>不达标</w:t>
            </w:r>
            <w:r>
              <w:rPr>
                <w:rFonts w:ascii="Times New Roman" w:hAnsi="Times New Roman" w:eastAsia="Times New Roman"/>
                <w:position w:val="1"/>
                <w:sz w:val="18"/>
              </w:rPr>
              <w:t>□</w:t>
            </w:r>
          </w:p>
        </w:tc>
      </w:tr>
      <w:tr>
        <w:trPr>
          <w:trHeight w:val="465" w:hRule="atLeast"/>
        </w:trPr>
        <w:tc>
          <w:tcPr>
            <w:tcW w:w="646" w:type="dxa"/>
            <w:vMerge/>
            <w:tcBorders>
              <w:top w:val="nil"/>
            </w:tcBorders>
          </w:tcPr>
          <w:p>
            <w:pPr>
              <w:rPr>
                <w:sz w:val="2"/>
                <w:szCs w:val="2"/>
              </w:rPr>
            </w:pPr>
          </w:p>
        </w:tc>
        <w:tc>
          <w:tcPr>
            <w:tcW w:w="1760" w:type="dxa"/>
          </w:tcPr>
          <w:p>
            <w:pPr>
              <w:pStyle w:val="TableParagraph"/>
              <w:ind w:left="69" w:right="64"/>
              <w:rPr>
                <w:sz w:val="18"/>
              </w:rPr>
            </w:pPr>
            <w:r>
              <w:rPr>
                <w:sz w:val="18"/>
              </w:rPr>
              <w:t>区域环境质量的整</w:t>
            </w:r>
          </w:p>
          <w:p>
            <w:pPr>
              <w:pStyle w:val="TableParagraph"/>
              <w:spacing w:line="213" w:lineRule="exact" w:before="2"/>
              <w:ind w:left="71" w:right="64"/>
              <w:rPr>
                <w:sz w:val="18"/>
              </w:rPr>
            </w:pPr>
            <w:r>
              <w:rPr>
                <w:sz w:val="18"/>
              </w:rPr>
              <w:t>体变化情况</w:t>
            </w:r>
          </w:p>
        </w:tc>
        <w:tc>
          <w:tcPr>
            <w:tcW w:w="3432" w:type="dxa"/>
            <w:gridSpan w:val="7"/>
          </w:tcPr>
          <w:p>
            <w:pPr>
              <w:pStyle w:val="TableParagraph"/>
              <w:spacing w:before="129"/>
              <w:ind w:left="11" w:right="12"/>
              <w:rPr>
                <w:rFonts w:ascii="Times New Roman" w:hAnsi="Times New Roman"/>
                <w:sz w:val="18"/>
              </w:rPr>
            </w:pPr>
            <w:r>
              <w:rPr>
                <w:rFonts w:ascii="Times New Roman" w:hAnsi="Times New Roman"/>
                <w:i/>
                <w:sz w:val="18"/>
              </w:rPr>
              <w:t>k </w:t>
            </w:r>
            <w:r>
              <w:rPr>
                <w:rFonts w:ascii="Times New Roman" w:hAnsi="Times New Roman"/>
                <w:sz w:val="18"/>
              </w:rPr>
              <w:t>≤ -20%□</w:t>
            </w:r>
          </w:p>
        </w:tc>
        <w:tc>
          <w:tcPr>
            <w:tcW w:w="3464" w:type="dxa"/>
            <w:gridSpan w:val="9"/>
          </w:tcPr>
          <w:p>
            <w:pPr>
              <w:pStyle w:val="TableParagraph"/>
              <w:spacing w:before="117"/>
              <w:ind w:left="918" w:right="931"/>
              <w:rPr>
                <w:rFonts w:ascii="Times New Roman" w:hAnsi="Times New Roman" w:eastAsia="Times New Roman"/>
                <w:sz w:val="18"/>
              </w:rPr>
            </w:pPr>
            <w:r>
              <w:rPr>
                <w:rFonts w:ascii="Times New Roman" w:hAnsi="Times New Roman" w:eastAsia="Times New Roman"/>
                <w:i/>
                <w:sz w:val="18"/>
              </w:rPr>
              <w:t>k  </w:t>
            </w:r>
            <w:r>
              <w:rPr>
                <w:sz w:val="18"/>
              </w:rPr>
              <w:t>＞ </w:t>
            </w:r>
            <w:r>
              <w:rPr>
                <w:rFonts w:ascii="Times New Roman" w:hAnsi="Times New Roman" w:eastAsia="Times New Roman"/>
                <w:sz w:val="18"/>
              </w:rPr>
              <w:t>-20%□</w:t>
            </w:r>
          </w:p>
        </w:tc>
      </w:tr>
      <w:tr>
        <w:trPr>
          <w:trHeight w:val="700" w:hRule="atLeast"/>
        </w:trPr>
        <w:tc>
          <w:tcPr>
            <w:tcW w:w="646" w:type="dxa"/>
            <w:vMerge w:val="restart"/>
          </w:tcPr>
          <w:p>
            <w:pPr>
              <w:pStyle w:val="TableParagraph"/>
              <w:spacing w:before="8"/>
              <w:jc w:val="left"/>
              <w:rPr>
                <w:b/>
                <w:sz w:val="13"/>
              </w:rPr>
            </w:pPr>
          </w:p>
          <w:p>
            <w:pPr>
              <w:pStyle w:val="TableParagraph"/>
              <w:spacing w:line="242" w:lineRule="auto"/>
              <w:ind w:left="141" w:right="132"/>
              <w:jc w:val="both"/>
              <w:rPr>
                <w:sz w:val="18"/>
              </w:rPr>
            </w:pPr>
            <w:r>
              <w:rPr>
                <w:sz w:val="18"/>
              </w:rPr>
              <w:t>环境监测计划</w:t>
            </w:r>
          </w:p>
        </w:tc>
        <w:tc>
          <w:tcPr>
            <w:tcW w:w="1760" w:type="dxa"/>
          </w:tcPr>
          <w:p>
            <w:pPr>
              <w:pStyle w:val="TableParagraph"/>
              <w:spacing w:before="4"/>
              <w:jc w:val="left"/>
              <w:rPr>
                <w:b/>
                <w:sz w:val="18"/>
              </w:rPr>
            </w:pPr>
          </w:p>
          <w:p>
            <w:pPr>
              <w:pStyle w:val="TableParagraph"/>
              <w:ind w:left="71" w:right="64"/>
              <w:rPr>
                <w:sz w:val="18"/>
              </w:rPr>
            </w:pPr>
            <w:r>
              <w:rPr>
                <w:sz w:val="18"/>
              </w:rPr>
              <w:t>污染源监测</w:t>
            </w:r>
          </w:p>
        </w:tc>
        <w:tc>
          <w:tcPr>
            <w:tcW w:w="2435" w:type="dxa"/>
            <w:gridSpan w:val="5"/>
          </w:tcPr>
          <w:p>
            <w:pPr>
              <w:pStyle w:val="TableParagraph"/>
              <w:spacing w:line="230" w:lineRule="atLeast" w:before="2"/>
              <w:ind w:left="106" w:right="9" w:hanging="96"/>
              <w:rPr>
                <w:sz w:val="18"/>
              </w:rPr>
            </w:pPr>
            <w:r>
              <w:rPr>
                <w:spacing w:val="-30"/>
                <w:sz w:val="18"/>
              </w:rPr>
              <w:t>监测因子：</w:t>
            </w:r>
            <w:r>
              <w:rPr>
                <w:spacing w:val="-14"/>
                <w:sz w:val="18"/>
              </w:rPr>
              <w:t>（</w:t>
            </w:r>
            <w:r>
              <w:rPr>
                <w:sz w:val="18"/>
              </w:rPr>
              <w:t>甲酸、颗粒物、 </w:t>
            </w:r>
            <w:r>
              <w:rPr>
                <w:spacing w:val="-6"/>
                <w:sz w:val="18"/>
              </w:rPr>
              <w:t>非甲烷总烃、硫化氢、氨气、</w:t>
            </w:r>
            <w:r>
              <w:rPr>
                <w:sz w:val="18"/>
              </w:rPr>
              <w:t>臭气浓度等）</w:t>
            </w:r>
          </w:p>
        </w:tc>
        <w:tc>
          <w:tcPr>
            <w:tcW w:w="2213" w:type="dxa"/>
            <w:gridSpan w:val="6"/>
          </w:tcPr>
          <w:p>
            <w:pPr>
              <w:pStyle w:val="TableParagraph"/>
              <w:spacing w:line="242" w:lineRule="auto" w:before="117"/>
              <w:ind w:left="429" w:right="436"/>
              <w:jc w:val="left"/>
              <w:rPr>
                <w:rFonts w:ascii="Wingdings" w:hAnsi="Wingdings"/>
                <w:sz w:val="18"/>
              </w:rPr>
            </w:pPr>
            <w:r>
              <w:rPr>
                <w:spacing w:val="-13"/>
                <w:sz w:val="18"/>
              </w:rPr>
              <w:t>无组织废气监测</w:t>
            </w:r>
            <w:r>
              <w:rPr>
                <w:rFonts w:ascii="Wingdings" w:hAnsi="Wingdings"/>
                <w:spacing w:val="-17"/>
                <w:sz w:val="18"/>
              </w:rPr>
              <w:t></w:t>
            </w:r>
            <w:r>
              <w:rPr>
                <w:rFonts w:ascii="Times New Roman" w:hAnsi="Times New Roman"/>
                <w:spacing w:val="-17"/>
                <w:sz w:val="18"/>
              </w:rPr>
              <w:t> </w:t>
            </w:r>
            <w:r>
              <w:rPr>
                <w:spacing w:val="-13"/>
                <w:sz w:val="18"/>
              </w:rPr>
              <w:t>有组织废气监测</w:t>
            </w:r>
            <w:r>
              <w:rPr>
                <w:rFonts w:ascii="Wingdings" w:hAnsi="Wingdings"/>
                <w:spacing w:val="-17"/>
                <w:sz w:val="18"/>
              </w:rPr>
              <w:t></w:t>
            </w:r>
          </w:p>
        </w:tc>
        <w:tc>
          <w:tcPr>
            <w:tcW w:w="2248" w:type="dxa"/>
            <w:gridSpan w:val="5"/>
          </w:tcPr>
          <w:p>
            <w:pPr>
              <w:pStyle w:val="TableParagraph"/>
              <w:spacing w:before="4"/>
              <w:jc w:val="left"/>
              <w:rPr>
                <w:b/>
                <w:sz w:val="18"/>
              </w:rPr>
            </w:pPr>
          </w:p>
          <w:p>
            <w:pPr>
              <w:pStyle w:val="TableParagraph"/>
              <w:ind w:left="766" w:right="782"/>
              <w:rPr>
                <w:rFonts w:ascii="Times New Roman" w:hAnsi="Times New Roman" w:eastAsia="Times New Roman"/>
                <w:sz w:val="18"/>
              </w:rPr>
            </w:pPr>
            <w:r>
              <w:rPr>
                <w:sz w:val="18"/>
              </w:rPr>
              <w:t>无监测</w:t>
            </w:r>
            <w:r>
              <w:rPr>
                <w:rFonts w:ascii="Times New Roman" w:hAnsi="Times New Roman" w:eastAsia="Times New Roman"/>
                <w:sz w:val="18"/>
              </w:rPr>
              <w:t>□</w:t>
            </w:r>
          </w:p>
        </w:tc>
      </w:tr>
      <w:tr>
        <w:trPr>
          <w:trHeight w:val="340" w:hRule="atLeast"/>
        </w:trPr>
        <w:tc>
          <w:tcPr>
            <w:tcW w:w="646" w:type="dxa"/>
            <w:vMerge/>
            <w:tcBorders>
              <w:top w:val="nil"/>
            </w:tcBorders>
          </w:tcPr>
          <w:p>
            <w:pPr>
              <w:rPr>
                <w:sz w:val="2"/>
                <w:szCs w:val="2"/>
              </w:rPr>
            </w:pPr>
          </w:p>
        </w:tc>
        <w:tc>
          <w:tcPr>
            <w:tcW w:w="1760" w:type="dxa"/>
          </w:tcPr>
          <w:p>
            <w:pPr>
              <w:pStyle w:val="TableParagraph"/>
              <w:spacing w:before="55"/>
              <w:ind w:left="69" w:right="64"/>
              <w:rPr>
                <w:sz w:val="18"/>
              </w:rPr>
            </w:pPr>
            <w:r>
              <w:rPr>
                <w:sz w:val="18"/>
              </w:rPr>
              <w:t>环境质量监测</w:t>
            </w:r>
          </w:p>
        </w:tc>
        <w:tc>
          <w:tcPr>
            <w:tcW w:w="2435" w:type="dxa"/>
            <w:gridSpan w:val="5"/>
          </w:tcPr>
          <w:p>
            <w:pPr>
              <w:pStyle w:val="TableParagraph"/>
              <w:spacing w:before="55"/>
              <w:ind w:left="260"/>
              <w:jc w:val="left"/>
              <w:rPr>
                <w:sz w:val="18"/>
              </w:rPr>
            </w:pPr>
            <w:r>
              <w:rPr>
                <w:spacing w:val="-30"/>
                <w:sz w:val="18"/>
              </w:rPr>
              <w:t>监测因子：</w:t>
            </w:r>
            <w:r>
              <w:rPr>
                <w:sz w:val="18"/>
              </w:rPr>
              <w:t>（</w:t>
            </w:r>
            <w:r>
              <w:rPr>
                <w:spacing w:val="-14"/>
                <w:sz w:val="18"/>
              </w:rPr>
              <w:t>  颗粒物  </w:t>
            </w:r>
            <w:r>
              <w:rPr>
                <w:sz w:val="18"/>
              </w:rPr>
              <w:t>）</w:t>
            </w:r>
          </w:p>
        </w:tc>
        <w:tc>
          <w:tcPr>
            <w:tcW w:w="2213" w:type="dxa"/>
            <w:gridSpan w:val="6"/>
          </w:tcPr>
          <w:p>
            <w:pPr>
              <w:pStyle w:val="TableParagraph"/>
              <w:tabs>
                <w:tab w:pos="1790" w:val="left" w:leader="none"/>
              </w:tabs>
              <w:spacing w:before="55"/>
              <w:ind w:left="228"/>
              <w:jc w:val="left"/>
              <w:rPr>
                <w:sz w:val="18"/>
              </w:rPr>
            </w:pPr>
            <w:r>
              <w:rPr>
                <w:spacing w:val="-12"/>
                <w:sz w:val="18"/>
              </w:rPr>
              <w:t>监测点位</w:t>
            </w:r>
            <w:r>
              <w:rPr>
                <w:spacing w:val="-14"/>
                <w:sz w:val="18"/>
              </w:rPr>
              <w:t>数</w:t>
            </w:r>
            <w:r>
              <w:rPr>
                <w:sz w:val="18"/>
              </w:rPr>
              <w:t>（ </w:t>
            </w:r>
            <w:r>
              <w:rPr>
                <w:spacing w:val="2"/>
                <w:sz w:val="18"/>
              </w:rPr>
              <w:t> </w:t>
            </w:r>
            <w:r>
              <w:rPr>
                <w:rFonts w:ascii="Times New Roman" w:eastAsia="Times New Roman"/>
                <w:sz w:val="18"/>
              </w:rPr>
              <w:t>1</w:t>
              <w:tab/>
            </w:r>
            <w:r>
              <w:rPr>
                <w:sz w:val="18"/>
              </w:rPr>
              <w:t>）</w:t>
            </w:r>
          </w:p>
        </w:tc>
        <w:tc>
          <w:tcPr>
            <w:tcW w:w="2248" w:type="dxa"/>
            <w:gridSpan w:val="5"/>
          </w:tcPr>
          <w:p>
            <w:pPr>
              <w:pStyle w:val="TableParagraph"/>
              <w:spacing w:before="55"/>
              <w:ind w:left="766" w:right="782"/>
              <w:rPr>
                <w:rFonts w:ascii="Times New Roman" w:hAnsi="Times New Roman" w:eastAsia="Times New Roman"/>
                <w:sz w:val="18"/>
              </w:rPr>
            </w:pPr>
            <w:r>
              <w:rPr>
                <w:sz w:val="18"/>
              </w:rPr>
              <w:t>无监测</w:t>
            </w:r>
            <w:r>
              <w:rPr>
                <w:rFonts w:ascii="Times New Roman" w:hAnsi="Times New Roman" w:eastAsia="Times New Roman"/>
                <w:sz w:val="18"/>
              </w:rPr>
              <w:t>□</w:t>
            </w:r>
          </w:p>
        </w:tc>
      </w:tr>
      <w:tr>
        <w:trPr>
          <w:trHeight w:val="340" w:hRule="atLeast"/>
        </w:trPr>
        <w:tc>
          <w:tcPr>
            <w:tcW w:w="646" w:type="dxa"/>
            <w:vMerge w:val="restart"/>
          </w:tcPr>
          <w:p>
            <w:pPr>
              <w:pStyle w:val="TableParagraph"/>
              <w:spacing w:before="5"/>
              <w:jc w:val="left"/>
              <w:rPr>
                <w:b/>
                <w:sz w:val="22"/>
              </w:rPr>
            </w:pPr>
          </w:p>
          <w:p>
            <w:pPr>
              <w:pStyle w:val="TableParagraph"/>
              <w:spacing w:line="242" w:lineRule="auto" w:before="1"/>
              <w:ind w:left="141" w:right="132"/>
              <w:jc w:val="left"/>
              <w:rPr>
                <w:sz w:val="18"/>
              </w:rPr>
            </w:pPr>
            <w:r>
              <w:rPr>
                <w:sz w:val="18"/>
              </w:rPr>
              <w:t>评价结论</w:t>
            </w:r>
          </w:p>
        </w:tc>
        <w:tc>
          <w:tcPr>
            <w:tcW w:w="1760" w:type="dxa"/>
          </w:tcPr>
          <w:p>
            <w:pPr>
              <w:pStyle w:val="TableParagraph"/>
              <w:spacing w:before="55"/>
              <w:ind w:left="69" w:right="64"/>
              <w:rPr>
                <w:sz w:val="18"/>
              </w:rPr>
            </w:pPr>
            <w:r>
              <w:rPr>
                <w:sz w:val="18"/>
              </w:rPr>
              <w:t>环境影响</w:t>
            </w:r>
          </w:p>
        </w:tc>
        <w:tc>
          <w:tcPr>
            <w:tcW w:w="6896" w:type="dxa"/>
            <w:gridSpan w:val="16"/>
          </w:tcPr>
          <w:p>
            <w:pPr>
              <w:pStyle w:val="TableParagraph"/>
              <w:tabs>
                <w:tab w:pos="2735" w:val="left" w:leader="none"/>
              </w:tabs>
              <w:spacing w:before="55"/>
              <w:ind w:left="1451"/>
              <w:jc w:val="left"/>
              <w:rPr>
                <w:rFonts w:ascii="Times New Roman" w:hAnsi="Times New Roman" w:eastAsia="Times New Roman"/>
                <w:sz w:val="18"/>
              </w:rPr>
            </w:pPr>
            <w:r>
              <w:rPr>
                <w:spacing w:val="-12"/>
                <w:sz w:val="18"/>
              </w:rPr>
              <w:t>可以接</w:t>
            </w:r>
            <w:r>
              <w:rPr>
                <w:spacing w:val="-15"/>
                <w:sz w:val="18"/>
              </w:rPr>
              <w:t>受</w:t>
            </w:r>
            <w:r>
              <w:rPr>
                <w:rFonts w:ascii="Wingdings" w:hAnsi="Wingdings" w:eastAsia="Wingdings"/>
                <w:sz w:val="18"/>
              </w:rPr>
              <w:t></w:t>
            </w:r>
            <w:r>
              <w:rPr>
                <w:rFonts w:ascii="Times New Roman" w:hAnsi="Times New Roman" w:eastAsia="Times New Roman"/>
                <w:sz w:val="18"/>
              </w:rPr>
              <w:tab/>
            </w:r>
            <w:r>
              <w:rPr>
                <w:sz w:val="18"/>
              </w:rPr>
              <w:t>不可以接受</w:t>
            </w:r>
            <w:r>
              <w:rPr>
                <w:rFonts w:ascii="Times New Roman" w:hAnsi="Times New Roman" w:eastAsia="Times New Roman"/>
                <w:sz w:val="18"/>
              </w:rPr>
              <w:t>□</w:t>
            </w:r>
          </w:p>
        </w:tc>
      </w:tr>
      <w:tr>
        <w:trPr>
          <w:trHeight w:val="340" w:hRule="atLeast"/>
        </w:trPr>
        <w:tc>
          <w:tcPr>
            <w:tcW w:w="646" w:type="dxa"/>
            <w:vMerge/>
            <w:tcBorders>
              <w:top w:val="nil"/>
            </w:tcBorders>
          </w:tcPr>
          <w:p>
            <w:pPr>
              <w:rPr>
                <w:sz w:val="2"/>
                <w:szCs w:val="2"/>
              </w:rPr>
            </w:pPr>
          </w:p>
        </w:tc>
        <w:tc>
          <w:tcPr>
            <w:tcW w:w="1760" w:type="dxa"/>
          </w:tcPr>
          <w:p>
            <w:pPr>
              <w:pStyle w:val="TableParagraph"/>
              <w:spacing w:before="52"/>
              <w:ind w:left="69" w:right="64"/>
              <w:rPr>
                <w:sz w:val="18"/>
              </w:rPr>
            </w:pPr>
            <w:r>
              <w:rPr>
                <w:sz w:val="18"/>
              </w:rPr>
              <w:t>大气环境防护距离</w:t>
            </w:r>
          </w:p>
        </w:tc>
        <w:tc>
          <w:tcPr>
            <w:tcW w:w="6896" w:type="dxa"/>
            <w:gridSpan w:val="16"/>
          </w:tcPr>
          <w:p>
            <w:pPr>
              <w:pStyle w:val="TableParagraph"/>
              <w:tabs>
                <w:tab w:pos="727" w:val="left" w:leader="none"/>
                <w:tab w:pos="2124" w:val="left" w:leader="none"/>
              </w:tabs>
              <w:spacing w:before="52"/>
              <w:rPr>
                <w:rFonts w:ascii="Times New Roman" w:eastAsia="Times New Roman"/>
                <w:sz w:val="18"/>
              </w:rPr>
            </w:pPr>
            <w:r>
              <w:rPr>
                <w:spacing w:val="-12"/>
                <w:sz w:val="18"/>
              </w:rPr>
              <w:t>距</w:t>
            </w:r>
            <w:r>
              <w:rPr>
                <w:sz w:val="18"/>
              </w:rPr>
              <w:t>（</w:t>
              <w:tab/>
            </w:r>
            <w:r>
              <w:rPr>
                <w:spacing w:val="-12"/>
                <w:sz w:val="18"/>
              </w:rPr>
              <w:t>）厂界最远</w:t>
            </w:r>
            <w:r>
              <w:rPr>
                <w:sz w:val="18"/>
              </w:rPr>
              <w:t>（</w:t>
              <w:tab/>
            </w:r>
            <w:r>
              <w:rPr>
                <w:spacing w:val="-6"/>
                <w:sz w:val="18"/>
              </w:rPr>
              <w:t>）</w:t>
            </w:r>
            <w:r>
              <w:rPr>
                <w:rFonts w:ascii="Times New Roman" w:eastAsia="Times New Roman"/>
                <w:spacing w:val="-6"/>
                <w:sz w:val="18"/>
              </w:rPr>
              <w:t>m</w:t>
            </w:r>
          </w:p>
        </w:tc>
      </w:tr>
      <w:tr>
        <w:trPr>
          <w:trHeight w:val="341" w:hRule="atLeast"/>
        </w:trPr>
        <w:tc>
          <w:tcPr>
            <w:tcW w:w="646" w:type="dxa"/>
            <w:vMerge/>
            <w:tcBorders>
              <w:top w:val="nil"/>
            </w:tcBorders>
          </w:tcPr>
          <w:p>
            <w:pPr>
              <w:rPr>
                <w:sz w:val="2"/>
                <w:szCs w:val="2"/>
              </w:rPr>
            </w:pPr>
          </w:p>
        </w:tc>
        <w:tc>
          <w:tcPr>
            <w:tcW w:w="1760" w:type="dxa"/>
          </w:tcPr>
          <w:p>
            <w:pPr>
              <w:pStyle w:val="TableParagraph"/>
              <w:spacing w:before="53"/>
              <w:ind w:left="71" w:right="64"/>
              <w:rPr>
                <w:sz w:val="18"/>
              </w:rPr>
            </w:pPr>
            <w:r>
              <w:rPr>
                <w:sz w:val="18"/>
              </w:rPr>
              <w:t>污染源年排放量</w:t>
            </w:r>
          </w:p>
        </w:tc>
        <w:tc>
          <w:tcPr>
            <w:tcW w:w="1547" w:type="dxa"/>
            <w:gridSpan w:val="2"/>
          </w:tcPr>
          <w:p>
            <w:pPr>
              <w:pStyle w:val="TableParagraph"/>
              <w:spacing w:before="52"/>
              <w:ind w:left="323"/>
              <w:jc w:val="left"/>
              <w:rPr>
                <w:rFonts w:ascii="Times New Roman" w:eastAsia="Times New Roman"/>
                <w:sz w:val="18"/>
              </w:rPr>
            </w:pPr>
            <w:r>
              <w:rPr>
                <w:rFonts w:ascii="Times New Roman" w:eastAsia="Times New Roman"/>
                <w:spacing w:val="-7"/>
                <w:w w:val="99"/>
                <w:position w:val="1"/>
                <w:sz w:val="18"/>
              </w:rPr>
              <w:t>S</w:t>
            </w:r>
            <w:r>
              <w:rPr>
                <w:rFonts w:ascii="Times New Roman" w:eastAsia="Times New Roman"/>
                <w:spacing w:val="-8"/>
                <w:w w:val="99"/>
                <w:position w:val="1"/>
                <w:sz w:val="18"/>
              </w:rPr>
              <w:t>O</w:t>
            </w:r>
            <w:r>
              <w:rPr>
                <w:rFonts w:ascii="Times New Roman" w:eastAsia="Times New Roman"/>
                <w:spacing w:val="-5"/>
                <w:sz w:val="12"/>
              </w:rPr>
              <w:t>2</w:t>
            </w:r>
            <w:r>
              <w:rPr>
                <w:spacing w:val="-96"/>
                <w:position w:val="1"/>
                <w:sz w:val="18"/>
              </w:rPr>
              <w:t>：</w:t>
            </w:r>
            <w:r>
              <w:rPr>
                <w:spacing w:val="-12"/>
                <w:position w:val="1"/>
                <w:sz w:val="18"/>
              </w:rPr>
              <w:t>（</w:t>
            </w:r>
            <w:r>
              <w:rPr>
                <w:rFonts w:ascii="Times New Roman" w:eastAsia="Times New Roman"/>
                <w:spacing w:val="-5"/>
                <w:position w:val="1"/>
                <w:sz w:val="18"/>
              </w:rPr>
              <w:t>/</w:t>
            </w:r>
            <w:r>
              <w:rPr>
                <w:spacing w:val="-15"/>
                <w:position w:val="1"/>
                <w:sz w:val="18"/>
              </w:rPr>
              <w:t>）</w:t>
            </w:r>
            <w:r>
              <w:rPr>
                <w:rFonts w:ascii="Times New Roman" w:eastAsia="Times New Roman"/>
                <w:spacing w:val="-7"/>
                <w:position w:val="1"/>
                <w:sz w:val="18"/>
              </w:rPr>
              <w:t>t</w:t>
            </w:r>
            <w:r>
              <w:rPr>
                <w:rFonts w:ascii="Times New Roman" w:eastAsia="Times New Roman"/>
                <w:spacing w:val="-5"/>
                <w:position w:val="1"/>
                <w:sz w:val="18"/>
              </w:rPr>
              <w:t>/</w:t>
            </w:r>
            <w:r>
              <w:rPr>
                <w:rFonts w:ascii="Times New Roman" w:eastAsia="Times New Roman"/>
                <w:position w:val="1"/>
                <w:sz w:val="18"/>
              </w:rPr>
              <w:t>a</w:t>
            </w:r>
          </w:p>
        </w:tc>
        <w:tc>
          <w:tcPr>
            <w:tcW w:w="1885" w:type="dxa"/>
            <w:gridSpan w:val="5"/>
          </w:tcPr>
          <w:p>
            <w:pPr>
              <w:pStyle w:val="TableParagraph"/>
              <w:spacing w:before="52"/>
              <w:ind w:left="472"/>
              <w:jc w:val="left"/>
              <w:rPr>
                <w:rFonts w:ascii="Times New Roman" w:eastAsia="Times New Roman"/>
                <w:sz w:val="18"/>
              </w:rPr>
            </w:pPr>
            <w:r>
              <w:rPr>
                <w:rFonts w:ascii="Times New Roman" w:eastAsia="Times New Roman"/>
                <w:spacing w:val="-8"/>
                <w:w w:val="99"/>
                <w:position w:val="1"/>
                <w:sz w:val="18"/>
              </w:rPr>
              <w:t>N</w:t>
            </w:r>
            <w:r>
              <w:rPr>
                <w:rFonts w:ascii="Times New Roman" w:eastAsia="Times New Roman"/>
                <w:spacing w:val="-6"/>
                <w:w w:val="99"/>
                <w:position w:val="1"/>
                <w:sz w:val="18"/>
              </w:rPr>
              <w:t>O</w:t>
            </w:r>
            <w:r>
              <w:rPr>
                <w:rFonts w:ascii="Times New Roman" w:eastAsia="Times New Roman"/>
                <w:spacing w:val="-5"/>
                <w:sz w:val="12"/>
              </w:rPr>
              <w:t>x</w:t>
            </w:r>
            <w:r>
              <w:rPr>
                <w:spacing w:val="-96"/>
                <w:position w:val="1"/>
                <w:sz w:val="18"/>
              </w:rPr>
              <w:t>：</w:t>
            </w:r>
            <w:r>
              <w:rPr>
                <w:spacing w:val="-15"/>
                <w:position w:val="1"/>
                <w:sz w:val="18"/>
              </w:rPr>
              <w:t>（</w:t>
            </w:r>
            <w:r>
              <w:rPr>
                <w:rFonts w:ascii="Times New Roman" w:eastAsia="Times New Roman"/>
                <w:spacing w:val="-5"/>
                <w:position w:val="1"/>
                <w:sz w:val="18"/>
              </w:rPr>
              <w:t>/</w:t>
            </w:r>
            <w:r>
              <w:rPr>
                <w:spacing w:val="-12"/>
                <w:position w:val="1"/>
                <w:sz w:val="18"/>
              </w:rPr>
              <w:t>）</w:t>
            </w:r>
            <w:r>
              <w:rPr>
                <w:rFonts w:ascii="Times New Roman" w:eastAsia="Times New Roman"/>
                <w:spacing w:val="-7"/>
                <w:position w:val="1"/>
                <w:sz w:val="18"/>
              </w:rPr>
              <w:t>t</w:t>
            </w:r>
            <w:r>
              <w:rPr>
                <w:rFonts w:ascii="Times New Roman" w:eastAsia="Times New Roman"/>
                <w:spacing w:val="-5"/>
                <w:position w:val="1"/>
                <w:sz w:val="18"/>
              </w:rPr>
              <w:t>/</w:t>
            </w:r>
            <w:r>
              <w:rPr>
                <w:rFonts w:ascii="Times New Roman" w:eastAsia="Times New Roman"/>
                <w:position w:val="1"/>
                <w:sz w:val="18"/>
              </w:rPr>
              <w:t>a</w:t>
            </w:r>
          </w:p>
        </w:tc>
        <w:tc>
          <w:tcPr>
            <w:tcW w:w="1649" w:type="dxa"/>
            <w:gridSpan w:val="5"/>
          </w:tcPr>
          <w:p>
            <w:pPr>
              <w:pStyle w:val="TableParagraph"/>
              <w:spacing w:before="53"/>
              <w:ind w:left="201"/>
              <w:jc w:val="left"/>
              <w:rPr>
                <w:rFonts w:ascii="Times New Roman" w:eastAsia="Times New Roman"/>
                <w:sz w:val="18"/>
              </w:rPr>
            </w:pPr>
            <w:r>
              <w:rPr>
                <w:spacing w:val="-41"/>
                <w:sz w:val="18"/>
              </w:rPr>
              <w:t>颗粒物：</w:t>
            </w:r>
            <w:r>
              <w:rPr>
                <w:spacing w:val="-22"/>
                <w:sz w:val="18"/>
              </w:rPr>
              <w:t>（</w:t>
            </w:r>
            <w:r>
              <w:rPr>
                <w:rFonts w:ascii="Times New Roman" w:eastAsia="Times New Roman"/>
                <w:spacing w:val="-9"/>
                <w:sz w:val="18"/>
              </w:rPr>
              <w:t>0</w:t>
            </w:r>
            <w:r>
              <w:rPr>
                <w:rFonts w:ascii="Times New Roman" w:eastAsia="Times New Roman"/>
                <w:spacing w:val="-12"/>
                <w:sz w:val="18"/>
              </w:rPr>
              <w:t>.</w:t>
            </w:r>
            <w:r>
              <w:rPr>
                <w:rFonts w:ascii="Times New Roman" w:eastAsia="Times New Roman"/>
                <w:spacing w:val="-9"/>
                <w:sz w:val="18"/>
              </w:rPr>
              <w:t>2</w:t>
            </w:r>
            <w:r>
              <w:rPr>
                <w:spacing w:val="-20"/>
                <w:sz w:val="18"/>
              </w:rPr>
              <w:t>）</w:t>
            </w:r>
            <w:r>
              <w:rPr>
                <w:rFonts w:ascii="Times New Roman" w:eastAsia="Times New Roman"/>
                <w:spacing w:val="-12"/>
                <w:sz w:val="18"/>
              </w:rPr>
              <w:t>t</w:t>
            </w:r>
            <w:r>
              <w:rPr>
                <w:rFonts w:ascii="Times New Roman" w:eastAsia="Times New Roman"/>
                <w:spacing w:val="-10"/>
                <w:sz w:val="18"/>
              </w:rPr>
              <w:t>/</w:t>
            </w:r>
            <w:r>
              <w:rPr>
                <w:rFonts w:ascii="Times New Roman" w:eastAsia="Times New Roman"/>
                <w:sz w:val="18"/>
              </w:rPr>
              <w:t>a</w:t>
            </w:r>
          </w:p>
        </w:tc>
        <w:tc>
          <w:tcPr>
            <w:tcW w:w="1815" w:type="dxa"/>
            <w:gridSpan w:val="4"/>
          </w:tcPr>
          <w:p>
            <w:pPr>
              <w:pStyle w:val="TableParagraph"/>
              <w:spacing w:before="53"/>
              <w:ind w:left="306"/>
              <w:jc w:val="left"/>
              <w:rPr>
                <w:rFonts w:ascii="Times New Roman" w:eastAsia="Times New Roman"/>
                <w:sz w:val="18"/>
              </w:rPr>
            </w:pPr>
            <w:r>
              <w:rPr>
                <w:rFonts w:ascii="Times New Roman" w:eastAsia="Times New Roman"/>
                <w:spacing w:val="-15"/>
                <w:w w:val="99"/>
                <w:sz w:val="18"/>
              </w:rPr>
              <w:t>VO</w:t>
            </w:r>
            <w:r>
              <w:rPr>
                <w:rFonts w:ascii="Times New Roman" w:eastAsia="Times New Roman"/>
                <w:spacing w:val="-15"/>
                <w:sz w:val="18"/>
              </w:rPr>
              <w:t>C</w:t>
            </w:r>
            <w:r>
              <w:rPr>
                <w:rFonts w:ascii="Times New Roman" w:eastAsia="Times New Roman"/>
                <w:spacing w:val="-12"/>
                <w:w w:val="99"/>
                <w:sz w:val="18"/>
              </w:rPr>
              <w:t>s</w:t>
            </w:r>
            <w:r>
              <w:rPr>
                <w:spacing w:val="-106"/>
                <w:sz w:val="18"/>
              </w:rPr>
              <w:t>：</w:t>
            </w:r>
            <w:r>
              <w:rPr>
                <w:spacing w:val="-29"/>
                <w:sz w:val="18"/>
              </w:rPr>
              <w:t>（</w:t>
            </w:r>
            <w:r>
              <w:rPr>
                <w:rFonts w:ascii="Times New Roman" w:eastAsia="Times New Roman"/>
                <w:spacing w:val="-14"/>
                <w:sz w:val="18"/>
              </w:rPr>
              <w:t>0.34</w:t>
            </w:r>
            <w:r>
              <w:rPr>
                <w:spacing w:val="-29"/>
                <w:sz w:val="18"/>
              </w:rPr>
              <w:t>）</w:t>
            </w:r>
            <w:r>
              <w:rPr>
                <w:rFonts w:ascii="Times New Roman" w:eastAsia="Times New Roman"/>
                <w:spacing w:val="-15"/>
                <w:sz w:val="18"/>
              </w:rPr>
              <w:t>t/a</w:t>
            </w:r>
          </w:p>
        </w:tc>
      </w:tr>
      <w:tr>
        <w:trPr>
          <w:trHeight w:val="340" w:hRule="atLeast"/>
        </w:trPr>
        <w:tc>
          <w:tcPr>
            <w:tcW w:w="9302" w:type="dxa"/>
            <w:gridSpan w:val="18"/>
          </w:tcPr>
          <w:p>
            <w:pPr>
              <w:pStyle w:val="TableParagraph"/>
              <w:spacing w:before="52"/>
              <w:ind w:left="107"/>
              <w:jc w:val="left"/>
              <w:rPr>
                <w:sz w:val="18"/>
              </w:rPr>
            </w:pPr>
            <w:r>
              <w:rPr>
                <w:spacing w:val="-10"/>
                <w:sz w:val="18"/>
              </w:rPr>
              <w:t>注：</w:t>
            </w:r>
            <w:r>
              <w:rPr>
                <w:rFonts w:ascii="Times New Roman" w:hAnsi="Times New Roman" w:eastAsia="Times New Roman"/>
                <w:spacing w:val="-7"/>
                <w:sz w:val="18"/>
              </w:rPr>
              <w:t>“□”</w:t>
            </w:r>
            <w:r>
              <w:rPr>
                <w:spacing w:val="-12"/>
                <w:sz w:val="18"/>
              </w:rPr>
              <w:t>为勾选项，填</w:t>
            </w:r>
            <w:r>
              <w:rPr>
                <w:rFonts w:ascii="Times New Roman" w:hAnsi="Times New Roman" w:eastAsia="Times New Roman"/>
                <w:spacing w:val="-7"/>
                <w:sz w:val="18"/>
              </w:rPr>
              <w:t>“√”</w:t>
            </w:r>
            <w:r>
              <w:rPr>
                <w:spacing w:val="-7"/>
                <w:sz w:val="18"/>
              </w:rPr>
              <w:t>；</w:t>
            </w:r>
            <w:r>
              <w:rPr>
                <w:rFonts w:ascii="Times New Roman" w:hAnsi="Times New Roman" w:eastAsia="Times New Roman"/>
                <w:spacing w:val="-7"/>
                <w:sz w:val="18"/>
              </w:rPr>
              <w:t>“</w:t>
            </w:r>
            <w:r>
              <w:rPr>
                <w:spacing w:val="-7"/>
                <w:sz w:val="18"/>
              </w:rPr>
              <w:t>（</w:t>
            </w:r>
            <w:r>
              <w:rPr>
                <w:spacing w:val="54"/>
                <w:sz w:val="18"/>
              </w:rPr>
              <w:t> </w:t>
            </w:r>
            <w:r>
              <w:rPr>
                <w:spacing w:val="-9"/>
                <w:sz w:val="18"/>
              </w:rPr>
              <w:t>）</w:t>
            </w:r>
            <w:r>
              <w:rPr>
                <w:rFonts w:ascii="Times New Roman" w:hAnsi="Times New Roman" w:eastAsia="Times New Roman"/>
                <w:spacing w:val="-9"/>
                <w:sz w:val="18"/>
              </w:rPr>
              <w:t>”</w:t>
            </w:r>
            <w:r>
              <w:rPr>
                <w:spacing w:val="-12"/>
                <w:sz w:val="18"/>
              </w:rPr>
              <w:t>为内容填写项</w:t>
            </w:r>
          </w:p>
        </w:tc>
      </w:tr>
    </w:tbl>
    <w:p>
      <w:pPr>
        <w:spacing w:after="0"/>
        <w:jc w:val="left"/>
        <w:rPr>
          <w:sz w:val="18"/>
        </w:rPr>
        <w:sectPr>
          <w:pgSz w:w="11910" w:h="16840"/>
          <w:pgMar w:header="872" w:footer="1015" w:top="1100" w:bottom="1200" w:left="1100" w:right="1100"/>
        </w:sectPr>
      </w:pPr>
    </w:p>
    <w:p>
      <w:pPr>
        <w:pStyle w:val="BodyText"/>
        <w:spacing w:before="5"/>
        <w:rPr>
          <w:b/>
          <w:sz w:val="18"/>
        </w:rPr>
      </w:pPr>
    </w:p>
    <w:p>
      <w:pPr>
        <w:pStyle w:val="Heading4"/>
        <w:spacing w:before="66" w:after="3"/>
        <w:ind w:left="318"/>
      </w:pPr>
      <w:bookmarkStart w:name="_bookmark85" w:id="169"/>
      <w:bookmarkEnd w:id="169"/>
      <w:r>
        <w:rPr>
          <w:b w:val="0"/>
        </w:rPr>
      </w:r>
      <w:r>
        <w:rPr/>
        <w:t>建设项目地表水环境影响评价自查表</w:t>
      </w: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1102"/>
        <w:gridCol w:w="2331"/>
        <w:gridCol w:w="1865"/>
        <w:gridCol w:w="1579"/>
        <w:gridCol w:w="876"/>
        <w:gridCol w:w="1108"/>
      </w:tblGrid>
      <w:tr>
        <w:trPr>
          <w:trHeight w:val="340" w:hRule="atLeast"/>
        </w:trPr>
        <w:tc>
          <w:tcPr>
            <w:tcW w:w="1527" w:type="dxa"/>
            <w:gridSpan w:val="2"/>
          </w:tcPr>
          <w:p>
            <w:pPr>
              <w:pStyle w:val="TableParagraph"/>
              <w:spacing w:before="53"/>
              <w:ind w:left="400"/>
              <w:jc w:val="left"/>
              <w:rPr>
                <w:b/>
                <w:sz w:val="18"/>
              </w:rPr>
            </w:pPr>
            <w:r>
              <w:rPr>
                <w:b/>
                <w:sz w:val="18"/>
              </w:rPr>
              <w:t>工作内容</w:t>
            </w:r>
          </w:p>
        </w:tc>
        <w:tc>
          <w:tcPr>
            <w:tcW w:w="7759" w:type="dxa"/>
            <w:gridSpan w:val="5"/>
          </w:tcPr>
          <w:p>
            <w:pPr>
              <w:pStyle w:val="TableParagraph"/>
              <w:spacing w:before="53"/>
              <w:ind w:left="3433" w:right="3424"/>
              <w:rPr>
                <w:b/>
                <w:sz w:val="18"/>
              </w:rPr>
            </w:pPr>
            <w:r>
              <w:rPr>
                <w:b/>
                <w:sz w:val="18"/>
              </w:rPr>
              <w:t>自查项目</w:t>
            </w:r>
          </w:p>
        </w:tc>
      </w:tr>
      <w:tr>
        <w:trPr>
          <w:trHeight w:val="337" w:hRule="atLeast"/>
        </w:trPr>
        <w:tc>
          <w:tcPr>
            <w:tcW w:w="425" w:type="dxa"/>
            <w:vMerge w:val="restart"/>
          </w:tcPr>
          <w:p>
            <w:pPr>
              <w:pStyle w:val="TableParagraph"/>
              <w:jc w:val="left"/>
              <w:rPr>
                <w:b/>
                <w:sz w:val="18"/>
              </w:rPr>
            </w:pPr>
          </w:p>
          <w:p>
            <w:pPr>
              <w:pStyle w:val="TableParagraph"/>
              <w:jc w:val="left"/>
              <w:rPr>
                <w:b/>
                <w:sz w:val="18"/>
              </w:rPr>
            </w:pPr>
          </w:p>
          <w:p>
            <w:pPr>
              <w:pStyle w:val="TableParagraph"/>
              <w:spacing w:before="4"/>
              <w:jc w:val="left"/>
              <w:rPr>
                <w:b/>
                <w:sz w:val="14"/>
              </w:rPr>
            </w:pPr>
          </w:p>
          <w:p>
            <w:pPr>
              <w:pStyle w:val="TableParagraph"/>
              <w:spacing w:line="242" w:lineRule="auto"/>
              <w:ind w:left="122" w:right="110"/>
              <w:jc w:val="both"/>
              <w:rPr>
                <w:sz w:val="18"/>
              </w:rPr>
            </w:pPr>
            <w:r>
              <w:rPr>
                <w:sz w:val="18"/>
              </w:rPr>
              <w:t>影响识别</w:t>
            </w:r>
          </w:p>
        </w:tc>
        <w:tc>
          <w:tcPr>
            <w:tcW w:w="1102" w:type="dxa"/>
          </w:tcPr>
          <w:p>
            <w:pPr>
              <w:pStyle w:val="TableParagraph"/>
              <w:spacing w:before="52"/>
              <w:ind w:left="6"/>
              <w:rPr>
                <w:sz w:val="18"/>
              </w:rPr>
            </w:pPr>
            <w:r>
              <w:rPr>
                <w:sz w:val="18"/>
              </w:rPr>
              <w:t>影响类型</w:t>
            </w:r>
          </w:p>
        </w:tc>
        <w:tc>
          <w:tcPr>
            <w:tcW w:w="7759" w:type="dxa"/>
            <w:gridSpan w:val="5"/>
          </w:tcPr>
          <w:p>
            <w:pPr>
              <w:pStyle w:val="TableParagraph"/>
              <w:spacing w:before="52"/>
              <w:ind w:left="107"/>
              <w:jc w:val="left"/>
              <w:rPr>
                <w:rFonts w:ascii="Times New Roman" w:hAnsi="Times New Roman" w:eastAsia="Times New Roman"/>
                <w:sz w:val="18"/>
              </w:rPr>
            </w:pPr>
            <w:r>
              <w:rPr>
                <w:sz w:val="18"/>
              </w:rPr>
              <w:t>水污染影响型</w:t>
            </w:r>
            <w:r>
              <w:rPr>
                <w:rFonts w:ascii="Wingdings" w:hAnsi="Wingdings" w:eastAsia="Wingdings"/>
                <w:sz w:val="18"/>
              </w:rPr>
              <w:t></w:t>
            </w:r>
            <w:r>
              <w:rPr>
                <w:sz w:val="18"/>
              </w:rPr>
              <w:t>；水文要素影响型</w:t>
            </w:r>
            <w:r>
              <w:rPr>
                <w:rFonts w:ascii="Times New Roman" w:hAnsi="Times New Roman" w:eastAsia="Times New Roman"/>
                <w:sz w:val="18"/>
              </w:rPr>
              <w:t>□</w:t>
            </w:r>
          </w:p>
        </w:tc>
      </w:tr>
      <w:tr>
        <w:trPr>
          <w:trHeight w:val="700" w:hRule="atLeast"/>
        </w:trPr>
        <w:tc>
          <w:tcPr>
            <w:tcW w:w="425" w:type="dxa"/>
            <w:vMerge/>
            <w:tcBorders>
              <w:top w:val="nil"/>
            </w:tcBorders>
          </w:tcPr>
          <w:p>
            <w:pPr>
              <w:rPr>
                <w:sz w:val="2"/>
                <w:szCs w:val="2"/>
              </w:rPr>
            </w:pPr>
          </w:p>
        </w:tc>
        <w:tc>
          <w:tcPr>
            <w:tcW w:w="1102" w:type="dxa"/>
          </w:tcPr>
          <w:p>
            <w:pPr>
              <w:pStyle w:val="TableParagraph"/>
              <w:spacing w:line="244" w:lineRule="auto" w:before="117"/>
              <w:ind w:left="280" w:right="180" w:hanging="92"/>
              <w:jc w:val="left"/>
              <w:rPr>
                <w:sz w:val="18"/>
              </w:rPr>
            </w:pPr>
            <w:r>
              <w:rPr>
                <w:sz w:val="18"/>
              </w:rPr>
              <w:t>水环境保护目标</w:t>
            </w:r>
          </w:p>
        </w:tc>
        <w:tc>
          <w:tcPr>
            <w:tcW w:w="7759" w:type="dxa"/>
            <w:gridSpan w:val="5"/>
          </w:tcPr>
          <w:p>
            <w:pPr>
              <w:pStyle w:val="TableParagraph"/>
              <w:spacing w:line="230" w:lineRule="atLeast" w:before="2"/>
              <w:ind w:left="107" w:right="94"/>
              <w:jc w:val="both"/>
              <w:rPr>
                <w:rFonts w:ascii="Wingdings" w:hAnsi="Wingdings"/>
                <w:sz w:val="18"/>
              </w:rPr>
            </w:pPr>
            <w:r>
              <w:rPr>
                <w:sz w:val="18"/>
              </w:rPr>
              <w:t>饮用水水源保护区</w:t>
            </w:r>
            <w:r>
              <w:rPr>
                <w:rFonts w:ascii="Times New Roman" w:hAnsi="Times New Roman"/>
                <w:sz w:val="18"/>
              </w:rPr>
              <w:t>□</w:t>
            </w:r>
            <w:r>
              <w:rPr>
                <w:sz w:val="18"/>
              </w:rPr>
              <w:t>；饮用水取水口</w:t>
            </w:r>
            <w:r>
              <w:rPr>
                <w:rFonts w:ascii="Times New Roman" w:hAnsi="Times New Roman"/>
                <w:sz w:val="18"/>
              </w:rPr>
              <w:t>□</w:t>
            </w:r>
            <w:r>
              <w:rPr>
                <w:sz w:val="18"/>
              </w:rPr>
              <w:t>；涉水的自然保护区</w:t>
            </w:r>
            <w:r>
              <w:rPr>
                <w:rFonts w:ascii="Times New Roman" w:hAnsi="Times New Roman"/>
                <w:sz w:val="18"/>
              </w:rPr>
              <w:t>□</w:t>
            </w:r>
            <w:r>
              <w:rPr>
                <w:sz w:val="18"/>
              </w:rPr>
              <w:t>；重要湿地</w:t>
            </w:r>
            <w:r>
              <w:rPr>
                <w:rFonts w:ascii="Times New Roman" w:hAnsi="Times New Roman"/>
                <w:sz w:val="18"/>
              </w:rPr>
              <w:t>□</w:t>
            </w:r>
            <w:r>
              <w:rPr>
                <w:sz w:val="18"/>
              </w:rPr>
              <w:t>；重点保护与珍稀水生生物的栖息地</w:t>
            </w:r>
            <w:r>
              <w:rPr>
                <w:rFonts w:ascii="Times New Roman" w:hAnsi="Times New Roman"/>
                <w:sz w:val="18"/>
              </w:rPr>
              <w:t>□</w:t>
            </w:r>
            <w:r>
              <w:rPr>
                <w:sz w:val="18"/>
              </w:rPr>
              <w:t>；重要水生生物的自然产卵厂及索饵场、越冬场和洄游通道、天然渔场等渔业水体</w:t>
            </w:r>
            <w:r>
              <w:rPr>
                <w:rFonts w:ascii="Times New Roman" w:hAnsi="Times New Roman"/>
                <w:sz w:val="18"/>
              </w:rPr>
              <w:t>□</w:t>
            </w:r>
            <w:r>
              <w:rPr>
                <w:sz w:val="18"/>
              </w:rPr>
              <w:t>；涉水的风景名胜区</w:t>
            </w:r>
            <w:r>
              <w:rPr>
                <w:rFonts w:ascii="Times New Roman" w:hAnsi="Times New Roman"/>
                <w:sz w:val="18"/>
              </w:rPr>
              <w:t>□</w:t>
            </w:r>
            <w:r>
              <w:rPr>
                <w:sz w:val="18"/>
              </w:rPr>
              <w:t>；其他</w:t>
            </w:r>
            <w:r>
              <w:rPr>
                <w:rFonts w:ascii="Wingdings" w:hAnsi="Wingdings"/>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spacing w:before="12"/>
              <w:jc w:val="left"/>
              <w:rPr>
                <w:b/>
                <w:sz w:val="17"/>
              </w:rPr>
            </w:pPr>
          </w:p>
          <w:p>
            <w:pPr>
              <w:pStyle w:val="TableParagraph"/>
              <w:ind w:left="189"/>
              <w:jc w:val="left"/>
              <w:rPr>
                <w:sz w:val="18"/>
              </w:rPr>
            </w:pPr>
            <w:r>
              <w:rPr>
                <w:sz w:val="18"/>
              </w:rPr>
              <w:t>影响途径</w:t>
            </w:r>
          </w:p>
        </w:tc>
        <w:tc>
          <w:tcPr>
            <w:tcW w:w="4196" w:type="dxa"/>
            <w:gridSpan w:val="2"/>
          </w:tcPr>
          <w:p>
            <w:pPr>
              <w:pStyle w:val="TableParagraph"/>
              <w:spacing w:before="55"/>
              <w:ind w:left="1537" w:right="1529"/>
              <w:rPr>
                <w:sz w:val="18"/>
              </w:rPr>
            </w:pPr>
            <w:r>
              <w:rPr>
                <w:sz w:val="18"/>
              </w:rPr>
              <w:t>水污染影响型</w:t>
            </w:r>
          </w:p>
        </w:tc>
        <w:tc>
          <w:tcPr>
            <w:tcW w:w="3563" w:type="dxa"/>
            <w:gridSpan w:val="3"/>
          </w:tcPr>
          <w:p>
            <w:pPr>
              <w:pStyle w:val="TableParagraph"/>
              <w:spacing w:before="55"/>
              <w:ind w:left="1151"/>
              <w:jc w:val="left"/>
              <w:rPr>
                <w:sz w:val="18"/>
              </w:rPr>
            </w:pPr>
            <w:r>
              <w:rPr>
                <w:sz w:val="18"/>
              </w:rPr>
              <w:t>水文要素影响型</w:t>
            </w:r>
          </w:p>
        </w:tc>
      </w:tr>
      <w:tr>
        <w:trPr>
          <w:trHeight w:val="340"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4196" w:type="dxa"/>
            <w:gridSpan w:val="2"/>
          </w:tcPr>
          <w:p>
            <w:pPr>
              <w:pStyle w:val="TableParagraph"/>
              <w:spacing w:before="55"/>
              <w:ind w:left="107"/>
              <w:jc w:val="left"/>
              <w:rPr>
                <w:rFonts w:ascii="Times New Roman" w:hAnsi="Times New Roman" w:eastAsia="Times New Roman"/>
                <w:sz w:val="18"/>
              </w:rPr>
            </w:pPr>
            <w:r>
              <w:rPr>
                <w:sz w:val="18"/>
              </w:rPr>
              <w:t>直接排放</w:t>
            </w:r>
            <w:r>
              <w:rPr>
                <w:rFonts w:ascii="Times New Roman" w:hAnsi="Times New Roman" w:eastAsia="Times New Roman"/>
                <w:sz w:val="18"/>
              </w:rPr>
              <w:t>□</w:t>
            </w:r>
            <w:r>
              <w:rPr>
                <w:sz w:val="18"/>
              </w:rPr>
              <w:t>；间接排放</w:t>
            </w:r>
            <w:r>
              <w:rPr>
                <w:rFonts w:ascii="Wingdings" w:hAnsi="Wingdings" w:eastAsia="Wingdings"/>
                <w:sz w:val="18"/>
              </w:rPr>
              <w:t></w:t>
            </w:r>
            <w:r>
              <w:rPr>
                <w:sz w:val="18"/>
              </w:rPr>
              <w:t>；其他</w:t>
            </w:r>
            <w:r>
              <w:rPr>
                <w:rFonts w:ascii="Times New Roman" w:hAnsi="Times New Roman" w:eastAsia="Times New Roman"/>
                <w:sz w:val="18"/>
              </w:rPr>
              <w:t>□</w:t>
            </w:r>
          </w:p>
        </w:tc>
        <w:tc>
          <w:tcPr>
            <w:tcW w:w="3563" w:type="dxa"/>
            <w:gridSpan w:val="3"/>
          </w:tcPr>
          <w:p>
            <w:pPr>
              <w:pStyle w:val="TableParagraph"/>
              <w:spacing w:before="55"/>
              <w:ind w:left="107"/>
              <w:jc w:val="left"/>
              <w:rPr>
                <w:rFonts w:ascii="Times New Roman" w:hAnsi="Times New Roman" w:eastAsia="Times New Roman"/>
                <w:sz w:val="18"/>
              </w:rPr>
            </w:pPr>
            <w:r>
              <w:rPr>
                <w:sz w:val="18"/>
              </w:rPr>
              <w:t>水温</w:t>
            </w:r>
            <w:r>
              <w:rPr>
                <w:rFonts w:ascii="Times New Roman" w:hAnsi="Times New Roman" w:eastAsia="Times New Roman"/>
                <w:sz w:val="18"/>
              </w:rPr>
              <w:t>□</w:t>
            </w:r>
            <w:r>
              <w:rPr>
                <w:sz w:val="18"/>
              </w:rPr>
              <w:t>；径流</w:t>
            </w:r>
            <w:r>
              <w:rPr>
                <w:rFonts w:ascii="Times New Roman" w:hAnsi="Times New Roman" w:eastAsia="Times New Roman"/>
                <w:sz w:val="18"/>
              </w:rPr>
              <w:t>□</w:t>
            </w:r>
            <w:r>
              <w:rPr>
                <w:sz w:val="18"/>
              </w:rPr>
              <w:t>；水域面积</w:t>
            </w:r>
            <w:r>
              <w:rPr>
                <w:rFonts w:ascii="Times New Roman" w:hAnsi="Times New Roman" w:eastAsia="Times New Roman"/>
                <w:sz w:val="18"/>
              </w:rPr>
              <w:t>□</w:t>
            </w:r>
          </w:p>
        </w:tc>
      </w:tr>
      <w:tr>
        <w:trPr>
          <w:trHeight w:val="467" w:hRule="atLeast"/>
        </w:trPr>
        <w:tc>
          <w:tcPr>
            <w:tcW w:w="425" w:type="dxa"/>
            <w:vMerge/>
            <w:tcBorders>
              <w:top w:val="nil"/>
            </w:tcBorders>
          </w:tcPr>
          <w:p>
            <w:pPr>
              <w:rPr>
                <w:sz w:val="2"/>
                <w:szCs w:val="2"/>
              </w:rPr>
            </w:pPr>
          </w:p>
        </w:tc>
        <w:tc>
          <w:tcPr>
            <w:tcW w:w="1102" w:type="dxa"/>
          </w:tcPr>
          <w:p>
            <w:pPr>
              <w:pStyle w:val="TableParagraph"/>
              <w:spacing w:before="117"/>
              <w:ind w:left="6"/>
              <w:rPr>
                <w:sz w:val="18"/>
              </w:rPr>
            </w:pPr>
            <w:r>
              <w:rPr>
                <w:sz w:val="18"/>
              </w:rPr>
              <w:t>影响因子</w:t>
            </w:r>
          </w:p>
        </w:tc>
        <w:tc>
          <w:tcPr>
            <w:tcW w:w="4196" w:type="dxa"/>
            <w:gridSpan w:val="2"/>
          </w:tcPr>
          <w:p>
            <w:pPr>
              <w:pStyle w:val="TableParagraph"/>
              <w:ind w:left="107"/>
              <w:jc w:val="left"/>
              <w:rPr>
                <w:sz w:val="18"/>
              </w:rPr>
            </w:pPr>
            <w:r>
              <w:rPr>
                <w:sz w:val="18"/>
              </w:rPr>
              <w:t>持久性污染物</w:t>
            </w:r>
            <w:r>
              <w:rPr>
                <w:rFonts w:ascii="Times New Roman" w:hAnsi="Times New Roman" w:eastAsia="Times New Roman"/>
                <w:sz w:val="18"/>
              </w:rPr>
              <w:t>□</w:t>
            </w:r>
            <w:r>
              <w:rPr>
                <w:sz w:val="18"/>
              </w:rPr>
              <w:t>；有毒有害污染物</w:t>
            </w:r>
            <w:r>
              <w:rPr>
                <w:rFonts w:ascii="Wingdings" w:hAnsi="Wingdings" w:eastAsia="Wingdings"/>
                <w:sz w:val="18"/>
              </w:rPr>
              <w:t></w:t>
            </w:r>
            <w:r>
              <w:rPr>
                <w:sz w:val="18"/>
              </w:rPr>
              <w:t>；非持久性污染</w:t>
            </w:r>
          </w:p>
          <w:p>
            <w:pPr>
              <w:pStyle w:val="TableParagraph"/>
              <w:spacing w:line="213" w:lineRule="exact" w:before="4"/>
              <w:ind w:left="107"/>
              <w:jc w:val="left"/>
              <w:rPr>
                <w:rFonts w:ascii="Times New Roman" w:hAnsi="Times New Roman" w:eastAsia="Times New Roman"/>
                <w:sz w:val="18"/>
              </w:rPr>
            </w:pPr>
            <w:r>
              <w:rPr>
                <w:sz w:val="18"/>
              </w:rPr>
              <w:t>物</w:t>
            </w:r>
            <w:r>
              <w:rPr>
                <w:rFonts w:ascii="Times New Roman" w:hAnsi="Times New Roman" w:eastAsia="Times New Roman"/>
                <w:sz w:val="18"/>
              </w:rPr>
              <w:t>□</w:t>
            </w:r>
            <w:r>
              <w:rPr>
                <w:sz w:val="18"/>
              </w:rPr>
              <w:t>；</w:t>
            </w:r>
            <w:r>
              <w:rPr>
                <w:rFonts w:ascii="Times New Roman" w:hAnsi="Times New Roman" w:eastAsia="Times New Roman"/>
                <w:sz w:val="18"/>
              </w:rPr>
              <w:t>pH </w:t>
            </w:r>
            <w:r>
              <w:rPr>
                <w:sz w:val="18"/>
              </w:rPr>
              <w:t>值</w:t>
            </w:r>
            <w:r>
              <w:rPr>
                <w:rFonts w:ascii="Wingdings" w:hAnsi="Wingdings" w:eastAsia="Wingdings"/>
                <w:sz w:val="18"/>
              </w:rPr>
              <w:t></w:t>
            </w:r>
            <w:r>
              <w:rPr>
                <w:sz w:val="18"/>
              </w:rPr>
              <w:t>；热污染</w:t>
            </w:r>
            <w:r>
              <w:rPr>
                <w:rFonts w:ascii="Times New Roman" w:hAnsi="Times New Roman" w:eastAsia="Times New Roman"/>
                <w:sz w:val="18"/>
              </w:rPr>
              <w:t>□</w:t>
            </w:r>
            <w:r>
              <w:rPr>
                <w:sz w:val="18"/>
              </w:rPr>
              <w:t>；富营养化</w:t>
            </w:r>
            <w:r>
              <w:rPr>
                <w:rFonts w:ascii="Times New Roman" w:hAnsi="Times New Roman" w:eastAsia="Times New Roman"/>
                <w:sz w:val="18"/>
              </w:rPr>
              <w:t>□</w:t>
            </w:r>
            <w:r>
              <w:rPr>
                <w:sz w:val="18"/>
              </w:rPr>
              <w:t>；其他</w:t>
            </w:r>
            <w:r>
              <w:rPr>
                <w:rFonts w:ascii="Times New Roman" w:hAnsi="Times New Roman" w:eastAsia="Times New Roman"/>
                <w:sz w:val="18"/>
              </w:rPr>
              <w:t>□</w:t>
            </w:r>
          </w:p>
        </w:tc>
        <w:tc>
          <w:tcPr>
            <w:tcW w:w="3563" w:type="dxa"/>
            <w:gridSpan w:val="3"/>
          </w:tcPr>
          <w:p>
            <w:pPr>
              <w:pStyle w:val="TableParagraph"/>
              <w:ind w:left="107"/>
              <w:jc w:val="left"/>
              <w:rPr>
                <w:sz w:val="18"/>
              </w:rPr>
            </w:pPr>
            <w:r>
              <w:rPr>
                <w:sz w:val="18"/>
              </w:rPr>
              <w:t>水温</w:t>
            </w:r>
            <w:r>
              <w:rPr>
                <w:rFonts w:ascii="Times New Roman" w:hAnsi="Times New Roman" w:eastAsia="Times New Roman"/>
                <w:sz w:val="18"/>
              </w:rPr>
              <w:t>□</w:t>
            </w:r>
            <w:r>
              <w:rPr>
                <w:sz w:val="18"/>
              </w:rPr>
              <w:t>；水位（水深）</w:t>
            </w:r>
            <w:r>
              <w:rPr>
                <w:rFonts w:ascii="Times New Roman" w:hAnsi="Times New Roman" w:eastAsia="Times New Roman"/>
                <w:sz w:val="18"/>
              </w:rPr>
              <w:t>□</w:t>
            </w:r>
            <w:r>
              <w:rPr>
                <w:sz w:val="18"/>
              </w:rPr>
              <w:t>；流速</w:t>
            </w:r>
            <w:r>
              <w:rPr>
                <w:rFonts w:ascii="Times New Roman" w:hAnsi="Times New Roman" w:eastAsia="Times New Roman"/>
                <w:sz w:val="18"/>
              </w:rPr>
              <w:t>□</w:t>
            </w:r>
            <w:r>
              <w:rPr>
                <w:sz w:val="18"/>
              </w:rPr>
              <w:t>；流量</w:t>
            </w:r>
            <w:r>
              <w:rPr>
                <w:rFonts w:ascii="Times New Roman" w:hAnsi="Times New Roman" w:eastAsia="Times New Roman"/>
                <w:sz w:val="18"/>
              </w:rPr>
              <w:t>□</w:t>
            </w:r>
            <w:r>
              <w:rPr>
                <w:sz w:val="18"/>
              </w:rPr>
              <w:t>；</w:t>
            </w:r>
          </w:p>
          <w:p>
            <w:pPr>
              <w:pStyle w:val="TableParagraph"/>
              <w:spacing w:line="213" w:lineRule="exact" w:before="4"/>
              <w:ind w:left="107"/>
              <w:jc w:val="left"/>
              <w:rPr>
                <w:rFonts w:ascii="Times New Roman" w:hAnsi="Times New Roman" w:eastAsia="Times New Roman"/>
                <w:sz w:val="18"/>
              </w:rPr>
            </w:pPr>
            <w:r>
              <w:rPr>
                <w:sz w:val="18"/>
              </w:rPr>
              <w:t>其他</w:t>
            </w:r>
            <w:r>
              <w:rPr>
                <w:rFonts w:ascii="Times New Roman" w:hAnsi="Times New Roman" w:eastAsia="Times New Roman"/>
                <w:sz w:val="18"/>
              </w:rPr>
              <w:t>□</w:t>
            </w:r>
          </w:p>
        </w:tc>
      </w:tr>
      <w:tr>
        <w:trPr>
          <w:trHeight w:val="340" w:hRule="atLeast"/>
        </w:trPr>
        <w:tc>
          <w:tcPr>
            <w:tcW w:w="1527" w:type="dxa"/>
            <w:gridSpan w:val="2"/>
            <w:vMerge w:val="restart"/>
          </w:tcPr>
          <w:p>
            <w:pPr>
              <w:pStyle w:val="TableParagraph"/>
              <w:spacing w:before="9"/>
              <w:jc w:val="left"/>
              <w:rPr>
                <w:b/>
                <w:sz w:val="17"/>
              </w:rPr>
            </w:pPr>
          </w:p>
          <w:p>
            <w:pPr>
              <w:pStyle w:val="TableParagraph"/>
              <w:spacing w:before="1"/>
              <w:ind w:left="402"/>
              <w:jc w:val="left"/>
              <w:rPr>
                <w:sz w:val="18"/>
              </w:rPr>
            </w:pPr>
            <w:r>
              <w:rPr>
                <w:sz w:val="18"/>
              </w:rPr>
              <w:t>评价等级</w:t>
            </w:r>
          </w:p>
        </w:tc>
        <w:tc>
          <w:tcPr>
            <w:tcW w:w="4196" w:type="dxa"/>
            <w:gridSpan w:val="2"/>
          </w:tcPr>
          <w:p>
            <w:pPr>
              <w:pStyle w:val="TableParagraph"/>
              <w:spacing w:before="52"/>
              <w:ind w:left="1537" w:right="1529"/>
              <w:rPr>
                <w:sz w:val="18"/>
              </w:rPr>
            </w:pPr>
            <w:r>
              <w:rPr>
                <w:sz w:val="18"/>
              </w:rPr>
              <w:t>水污染影响型</w:t>
            </w:r>
          </w:p>
        </w:tc>
        <w:tc>
          <w:tcPr>
            <w:tcW w:w="3563" w:type="dxa"/>
            <w:gridSpan w:val="3"/>
          </w:tcPr>
          <w:p>
            <w:pPr>
              <w:pStyle w:val="TableParagraph"/>
              <w:spacing w:before="52"/>
              <w:ind w:left="1151"/>
              <w:jc w:val="left"/>
              <w:rPr>
                <w:sz w:val="18"/>
              </w:rPr>
            </w:pPr>
            <w:r>
              <w:rPr>
                <w:sz w:val="18"/>
              </w:rPr>
              <w:t>水文要素影响型</w:t>
            </w:r>
          </w:p>
        </w:tc>
      </w:tr>
      <w:tr>
        <w:trPr>
          <w:trHeight w:val="338" w:hRule="atLeast"/>
        </w:trPr>
        <w:tc>
          <w:tcPr>
            <w:tcW w:w="1527" w:type="dxa"/>
            <w:gridSpan w:val="2"/>
            <w:vMerge/>
            <w:tcBorders>
              <w:top w:val="nil"/>
            </w:tcBorders>
          </w:tcPr>
          <w:p>
            <w:pPr>
              <w:rPr>
                <w:sz w:val="2"/>
                <w:szCs w:val="2"/>
              </w:rPr>
            </w:pPr>
          </w:p>
        </w:tc>
        <w:tc>
          <w:tcPr>
            <w:tcW w:w="4196" w:type="dxa"/>
            <w:gridSpan w:val="2"/>
          </w:tcPr>
          <w:p>
            <w:pPr>
              <w:pStyle w:val="TableParagraph"/>
              <w:spacing w:before="52"/>
              <w:ind w:left="107"/>
              <w:jc w:val="left"/>
              <w:rPr>
                <w:rFonts w:ascii="Wingdings" w:hAnsi="Wingdings"/>
                <w:sz w:val="18"/>
              </w:rPr>
            </w:pPr>
            <w:r>
              <w:rPr>
                <w:sz w:val="18"/>
              </w:rPr>
              <w:t>一级</w:t>
            </w:r>
            <w:r>
              <w:rPr>
                <w:rFonts w:ascii="Times New Roman" w:hAnsi="Times New Roman"/>
                <w:sz w:val="18"/>
              </w:rPr>
              <w:t>□</w:t>
            </w:r>
            <w:r>
              <w:rPr>
                <w:sz w:val="18"/>
              </w:rPr>
              <w:t>；二级</w:t>
            </w:r>
            <w:r>
              <w:rPr>
                <w:rFonts w:ascii="Times New Roman" w:hAnsi="Times New Roman"/>
                <w:sz w:val="18"/>
              </w:rPr>
              <w:t>□</w:t>
            </w:r>
            <w:r>
              <w:rPr>
                <w:sz w:val="18"/>
              </w:rPr>
              <w:t>；三级 </w:t>
            </w:r>
            <w:r>
              <w:rPr>
                <w:rFonts w:ascii="Times New Roman" w:hAnsi="Times New Roman"/>
                <w:sz w:val="18"/>
              </w:rPr>
              <w:t>A□</w:t>
            </w:r>
            <w:r>
              <w:rPr>
                <w:sz w:val="18"/>
              </w:rPr>
              <w:t>；三级 </w:t>
            </w:r>
            <w:r>
              <w:rPr>
                <w:rFonts w:ascii="Times New Roman" w:hAnsi="Times New Roman"/>
                <w:sz w:val="18"/>
              </w:rPr>
              <w:t>B</w:t>
            </w:r>
            <w:r>
              <w:rPr>
                <w:rFonts w:ascii="Wingdings" w:hAnsi="Wingdings"/>
                <w:sz w:val="18"/>
              </w:rPr>
              <w:t></w:t>
            </w:r>
          </w:p>
        </w:tc>
        <w:tc>
          <w:tcPr>
            <w:tcW w:w="3563" w:type="dxa"/>
            <w:gridSpan w:val="3"/>
          </w:tcPr>
          <w:p>
            <w:pPr>
              <w:pStyle w:val="TableParagraph"/>
              <w:spacing w:before="52"/>
              <w:ind w:left="107"/>
              <w:jc w:val="left"/>
              <w:rPr>
                <w:rFonts w:ascii="Times New Roman" w:hAnsi="Times New Roman" w:eastAsia="Times New Roman"/>
                <w:sz w:val="18"/>
              </w:rPr>
            </w:pPr>
            <w:r>
              <w:rPr>
                <w:sz w:val="18"/>
              </w:rPr>
              <w:t>一级</w:t>
            </w:r>
            <w:r>
              <w:rPr>
                <w:rFonts w:ascii="Times New Roman" w:hAnsi="Times New Roman" w:eastAsia="Times New Roman"/>
                <w:sz w:val="18"/>
              </w:rPr>
              <w:t>□</w:t>
            </w:r>
            <w:r>
              <w:rPr>
                <w:sz w:val="18"/>
              </w:rPr>
              <w:t>；二级</w:t>
            </w:r>
            <w:r>
              <w:rPr>
                <w:rFonts w:ascii="Times New Roman" w:hAnsi="Times New Roman" w:eastAsia="Times New Roman"/>
                <w:sz w:val="18"/>
              </w:rPr>
              <w:t>□</w:t>
            </w:r>
            <w:r>
              <w:rPr>
                <w:sz w:val="18"/>
              </w:rPr>
              <w:t>；三级</w:t>
            </w:r>
            <w:r>
              <w:rPr>
                <w:rFonts w:ascii="Times New Roman" w:hAnsi="Times New Roman" w:eastAsia="Times New Roman"/>
                <w:sz w:val="18"/>
              </w:rPr>
              <w:t>□</w:t>
            </w:r>
          </w:p>
        </w:tc>
      </w:tr>
      <w:tr>
        <w:trPr>
          <w:trHeight w:val="340" w:hRule="atLeast"/>
        </w:trPr>
        <w:tc>
          <w:tcPr>
            <w:tcW w:w="425"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2"/>
              <w:jc w:val="left"/>
              <w:rPr>
                <w:b/>
                <w:sz w:val="20"/>
              </w:rPr>
            </w:pPr>
          </w:p>
          <w:p>
            <w:pPr>
              <w:pStyle w:val="TableParagraph"/>
              <w:spacing w:line="242" w:lineRule="auto"/>
              <w:ind w:left="122" w:right="110"/>
              <w:jc w:val="both"/>
              <w:rPr>
                <w:sz w:val="18"/>
              </w:rPr>
            </w:pPr>
            <w:r>
              <w:rPr>
                <w:sz w:val="18"/>
              </w:rPr>
              <w:t>现状调查</w:t>
            </w:r>
          </w:p>
        </w:tc>
        <w:tc>
          <w:tcPr>
            <w:tcW w:w="1102" w:type="dxa"/>
            <w:vMerge w:val="restart"/>
          </w:tcPr>
          <w:p>
            <w:pPr>
              <w:pStyle w:val="TableParagraph"/>
              <w:spacing w:before="11"/>
              <w:jc w:val="left"/>
              <w:rPr>
                <w:b/>
                <w:sz w:val="21"/>
              </w:rPr>
            </w:pPr>
          </w:p>
          <w:p>
            <w:pPr>
              <w:pStyle w:val="TableParagraph"/>
              <w:spacing w:line="242" w:lineRule="auto"/>
              <w:ind w:left="460" w:right="180" w:hanging="272"/>
              <w:jc w:val="left"/>
              <w:rPr>
                <w:sz w:val="18"/>
              </w:rPr>
            </w:pPr>
            <w:r>
              <w:rPr>
                <w:sz w:val="18"/>
              </w:rPr>
              <w:t>区域污染物</w:t>
            </w:r>
          </w:p>
        </w:tc>
        <w:tc>
          <w:tcPr>
            <w:tcW w:w="4196" w:type="dxa"/>
            <w:gridSpan w:val="2"/>
          </w:tcPr>
          <w:p>
            <w:pPr>
              <w:pStyle w:val="TableParagraph"/>
              <w:spacing w:before="55"/>
              <w:ind w:left="1537" w:right="1529"/>
              <w:rPr>
                <w:sz w:val="18"/>
              </w:rPr>
            </w:pPr>
            <w:r>
              <w:rPr>
                <w:sz w:val="18"/>
              </w:rPr>
              <w:t>调查项目</w:t>
            </w:r>
          </w:p>
        </w:tc>
        <w:tc>
          <w:tcPr>
            <w:tcW w:w="3563" w:type="dxa"/>
            <w:gridSpan w:val="3"/>
          </w:tcPr>
          <w:p>
            <w:pPr>
              <w:pStyle w:val="TableParagraph"/>
              <w:spacing w:before="55"/>
              <w:ind w:left="1003" w:right="996"/>
              <w:rPr>
                <w:sz w:val="18"/>
              </w:rPr>
            </w:pPr>
            <w:r>
              <w:rPr>
                <w:sz w:val="18"/>
              </w:rPr>
              <w:t>数据来源</w:t>
            </w:r>
          </w:p>
        </w:tc>
      </w:tr>
      <w:tr>
        <w:trPr>
          <w:trHeight w:val="674"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2331" w:type="dxa"/>
          </w:tcPr>
          <w:p>
            <w:pPr>
              <w:pStyle w:val="TableParagraph"/>
              <w:spacing w:line="242" w:lineRule="auto" w:before="106"/>
              <w:ind w:left="107" w:right="55"/>
              <w:jc w:val="left"/>
              <w:rPr>
                <w:rFonts w:ascii="Times New Roman" w:hAnsi="Times New Roman" w:eastAsia="Times New Roman"/>
                <w:sz w:val="18"/>
              </w:rPr>
            </w:pPr>
            <w:r>
              <w:rPr>
                <w:sz w:val="18"/>
              </w:rPr>
              <w:t>已建</w:t>
            </w:r>
            <w:r>
              <w:rPr>
                <w:rFonts w:ascii="Times New Roman" w:hAnsi="Times New Roman" w:eastAsia="Times New Roman"/>
                <w:sz w:val="18"/>
              </w:rPr>
              <w:t>□</w:t>
            </w:r>
            <w:r>
              <w:rPr>
                <w:sz w:val="18"/>
              </w:rPr>
              <w:t>；在建</w:t>
            </w:r>
            <w:r>
              <w:rPr>
                <w:rFonts w:ascii="Times New Roman" w:hAnsi="Times New Roman" w:eastAsia="Times New Roman"/>
                <w:sz w:val="18"/>
              </w:rPr>
              <w:t>□</w:t>
            </w:r>
            <w:r>
              <w:rPr>
                <w:sz w:val="18"/>
              </w:rPr>
              <w:t>；拟建</w:t>
            </w:r>
            <w:r>
              <w:rPr>
                <w:rFonts w:ascii="Times New Roman" w:hAnsi="Times New Roman" w:eastAsia="Times New Roman"/>
                <w:sz w:val="18"/>
              </w:rPr>
              <w:t>□</w:t>
            </w:r>
            <w:r>
              <w:rPr>
                <w:sz w:val="18"/>
              </w:rPr>
              <w:t>；其他</w:t>
            </w:r>
            <w:r>
              <w:rPr>
                <w:rFonts w:ascii="Times New Roman" w:hAnsi="Times New Roman" w:eastAsia="Times New Roman"/>
                <w:sz w:val="18"/>
              </w:rPr>
              <w:t>□</w:t>
            </w:r>
          </w:p>
        </w:tc>
        <w:tc>
          <w:tcPr>
            <w:tcW w:w="1865" w:type="dxa"/>
          </w:tcPr>
          <w:p>
            <w:pPr>
              <w:pStyle w:val="TableParagraph"/>
              <w:spacing w:before="3"/>
              <w:jc w:val="left"/>
              <w:rPr>
                <w:b/>
                <w:sz w:val="17"/>
              </w:rPr>
            </w:pPr>
          </w:p>
          <w:p>
            <w:pPr>
              <w:pStyle w:val="TableParagraph"/>
              <w:ind w:left="107"/>
              <w:jc w:val="left"/>
              <w:rPr>
                <w:rFonts w:ascii="Times New Roman" w:hAnsi="Times New Roman" w:eastAsia="Times New Roman"/>
                <w:sz w:val="18"/>
              </w:rPr>
            </w:pPr>
            <w:r>
              <w:rPr>
                <w:sz w:val="18"/>
              </w:rPr>
              <w:t>拟替代的污染源</w:t>
            </w:r>
            <w:r>
              <w:rPr>
                <w:rFonts w:ascii="Times New Roman" w:hAnsi="Times New Roman" w:eastAsia="Times New Roman"/>
                <w:sz w:val="18"/>
              </w:rPr>
              <w:t>□</w:t>
            </w:r>
          </w:p>
        </w:tc>
        <w:tc>
          <w:tcPr>
            <w:tcW w:w="3563" w:type="dxa"/>
            <w:gridSpan w:val="3"/>
          </w:tcPr>
          <w:p>
            <w:pPr>
              <w:pStyle w:val="TableParagraph"/>
              <w:spacing w:line="244" w:lineRule="auto"/>
              <w:ind w:left="107" w:right="37"/>
              <w:jc w:val="left"/>
              <w:rPr>
                <w:sz w:val="18"/>
              </w:rPr>
            </w:pPr>
            <w:r>
              <w:rPr>
                <w:sz w:val="18"/>
              </w:rPr>
              <w:t>排污许可证</w:t>
            </w:r>
            <w:r>
              <w:rPr>
                <w:rFonts w:ascii="Times New Roman" w:hAnsi="Times New Roman" w:eastAsia="Times New Roman"/>
                <w:sz w:val="18"/>
              </w:rPr>
              <w:t>□</w:t>
            </w:r>
            <w:r>
              <w:rPr>
                <w:sz w:val="18"/>
              </w:rPr>
              <w:t>；环评</w:t>
            </w:r>
            <w:r>
              <w:rPr>
                <w:rFonts w:ascii="Times New Roman" w:hAnsi="Times New Roman" w:eastAsia="Times New Roman"/>
                <w:sz w:val="18"/>
              </w:rPr>
              <w:t>□</w:t>
            </w:r>
            <w:r>
              <w:rPr>
                <w:sz w:val="18"/>
              </w:rPr>
              <w:t>；环保验收</w:t>
            </w:r>
            <w:r>
              <w:rPr>
                <w:rFonts w:ascii="Times New Roman" w:hAnsi="Times New Roman" w:eastAsia="Times New Roman"/>
                <w:sz w:val="18"/>
              </w:rPr>
              <w:t>□</w:t>
            </w:r>
            <w:r>
              <w:rPr>
                <w:sz w:val="18"/>
              </w:rPr>
              <w:t>；既有实测</w:t>
            </w:r>
            <w:r>
              <w:rPr>
                <w:rFonts w:ascii="Times New Roman" w:hAnsi="Times New Roman" w:eastAsia="Times New Roman"/>
                <w:sz w:val="18"/>
              </w:rPr>
              <w:t>□</w:t>
            </w:r>
            <w:r>
              <w:rPr>
                <w:sz w:val="18"/>
              </w:rPr>
              <w:t>；现场监测</w:t>
            </w:r>
            <w:r>
              <w:rPr>
                <w:rFonts w:ascii="Times New Roman" w:hAnsi="Times New Roman" w:eastAsia="Times New Roman"/>
                <w:sz w:val="18"/>
              </w:rPr>
              <w:t>□</w:t>
            </w:r>
            <w:r>
              <w:rPr>
                <w:sz w:val="18"/>
              </w:rPr>
              <w:t>；入河排放口数据</w:t>
            </w:r>
            <w:r>
              <w:rPr>
                <w:rFonts w:ascii="Times New Roman" w:hAnsi="Times New Roman" w:eastAsia="Times New Roman"/>
                <w:sz w:val="18"/>
              </w:rPr>
              <w:t>□</w:t>
            </w:r>
            <w:r>
              <w:rPr>
                <w:sz w:val="18"/>
              </w:rPr>
              <w:t>；其他</w:t>
            </w:r>
          </w:p>
          <w:p>
            <w:pPr>
              <w:pStyle w:val="TableParagraph"/>
              <w:spacing w:line="184" w:lineRule="exact"/>
              <w:ind w:left="107"/>
              <w:jc w:val="left"/>
              <w:rPr>
                <w:rFonts w:ascii="Times New Roman" w:hAnsi="Times New Roman"/>
                <w:sz w:val="18"/>
              </w:rPr>
            </w:pPr>
            <w:r>
              <w:rPr>
                <w:rFonts w:ascii="Times New Roman" w:hAnsi="Times New Roman"/>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spacing w:line="242" w:lineRule="auto" w:before="60"/>
              <w:ind w:left="189" w:right="180"/>
              <w:rPr>
                <w:sz w:val="18"/>
              </w:rPr>
            </w:pPr>
            <w:r>
              <w:rPr>
                <w:sz w:val="18"/>
              </w:rPr>
              <w:t>受影响水体水环境质量</w:t>
            </w:r>
          </w:p>
        </w:tc>
        <w:tc>
          <w:tcPr>
            <w:tcW w:w="4196" w:type="dxa"/>
            <w:gridSpan w:val="2"/>
          </w:tcPr>
          <w:p>
            <w:pPr>
              <w:pStyle w:val="TableParagraph"/>
              <w:spacing w:before="55"/>
              <w:ind w:left="1537" w:right="1529"/>
              <w:rPr>
                <w:sz w:val="18"/>
              </w:rPr>
            </w:pPr>
            <w:r>
              <w:rPr>
                <w:sz w:val="18"/>
              </w:rPr>
              <w:t>调查时期</w:t>
            </w:r>
          </w:p>
        </w:tc>
        <w:tc>
          <w:tcPr>
            <w:tcW w:w="3563" w:type="dxa"/>
            <w:gridSpan w:val="3"/>
          </w:tcPr>
          <w:p>
            <w:pPr>
              <w:pStyle w:val="TableParagraph"/>
              <w:spacing w:before="55"/>
              <w:ind w:left="1003" w:right="996"/>
              <w:rPr>
                <w:sz w:val="18"/>
              </w:rPr>
            </w:pPr>
            <w:r>
              <w:rPr>
                <w:sz w:val="18"/>
              </w:rPr>
              <w:t>数据来源</w:t>
            </w:r>
          </w:p>
        </w:tc>
      </w:tr>
      <w:tr>
        <w:trPr>
          <w:trHeight w:val="467"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4196" w:type="dxa"/>
            <w:gridSpan w:val="2"/>
          </w:tcPr>
          <w:p>
            <w:pPr>
              <w:pStyle w:val="TableParagraph"/>
              <w:ind w:left="107"/>
              <w:jc w:val="left"/>
              <w:rPr>
                <w:sz w:val="18"/>
              </w:rPr>
            </w:pPr>
            <w:r>
              <w:rPr>
                <w:sz w:val="18"/>
              </w:rPr>
              <w:t>丰水期</w:t>
            </w:r>
            <w:r>
              <w:rPr>
                <w:rFonts w:ascii="Times New Roman" w:hAnsi="Times New Roman" w:eastAsia="Times New Roman"/>
                <w:sz w:val="18"/>
              </w:rPr>
              <w:t>□</w:t>
            </w:r>
            <w:r>
              <w:rPr>
                <w:sz w:val="18"/>
              </w:rPr>
              <w:t>；平水期</w:t>
            </w:r>
            <w:r>
              <w:rPr>
                <w:rFonts w:ascii="Times New Roman" w:hAnsi="Times New Roman" w:eastAsia="Times New Roman"/>
                <w:sz w:val="18"/>
              </w:rPr>
              <w:t>□</w:t>
            </w:r>
            <w:r>
              <w:rPr>
                <w:sz w:val="18"/>
              </w:rPr>
              <w:t>；枯水期</w:t>
            </w:r>
            <w:r>
              <w:rPr>
                <w:rFonts w:ascii="Times New Roman" w:hAnsi="Times New Roman" w:eastAsia="Times New Roman"/>
                <w:sz w:val="18"/>
              </w:rPr>
              <w:t>□</w:t>
            </w:r>
            <w:r>
              <w:rPr>
                <w:sz w:val="18"/>
              </w:rPr>
              <w:t>；冰封期</w:t>
            </w:r>
            <w:r>
              <w:rPr>
                <w:rFonts w:ascii="Times New Roman" w:hAnsi="Times New Roman" w:eastAsia="Times New Roman"/>
                <w:sz w:val="18"/>
              </w:rPr>
              <w:t>□</w:t>
            </w:r>
            <w:r>
              <w:rPr>
                <w:sz w:val="18"/>
              </w:rPr>
              <w:t>；</w:t>
            </w:r>
          </w:p>
          <w:p>
            <w:pPr>
              <w:pStyle w:val="TableParagraph"/>
              <w:spacing w:line="213" w:lineRule="exact" w:before="4"/>
              <w:ind w:left="107"/>
              <w:jc w:val="left"/>
              <w:rPr>
                <w:rFonts w:ascii="Times New Roman" w:hAnsi="Times New Roman" w:eastAsia="Times New Roman"/>
                <w:sz w:val="18"/>
              </w:rPr>
            </w:pPr>
            <w:r>
              <w:rPr>
                <w:sz w:val="18"/>
              </w:rPr>
              <w:t>春季</w:t>
            </w:r>
            <w:r>
              <w:rPr>
                <w:rFonts w:ascii="Times New Roman" w:hAnsi="Times New Roman" w:eastAsia="Times New Roman"/>
                <w:sz w:val="18"/>
              </w:rPr>
              <w:t>□</w:t>
            </w:r>
            <w:r>
              <w:rPr>
                <w:sz w:val="18"/>
              </w:rPr>
              <w:t>；夏季</w:t>
            </w:r>
            <w:r>
              <w:rPr>
                <w:rFonts w:ascii="Times New Roman" w:hAnsi="Times New Roman" w:eastAsia="Times New Roman"/>
                <w:sz w:val="18"/>
              </w:rPr>
              <w:t>□</w:t>
            </w:r>
            <w:r>
              <w:rPr>
                <w:sz w:val="18"/>
              </w:rPr>
              <w:t>；秋季</w:t>
            </w:r>
            <w:r>
              <w:rPr>
                <w:rFonts w:ascii="Times New Roman" w:hAnsi="Times New Roman" w:eastAsia="Times New Roman"/>
                <w:sz w:val="18"/>
              </w:rPr>
              <w:t>□</w:t>
            </w:r>
            <w:r>
              <w:rPr>
                <w:sz w:val="18"/>
              </w:rPr>
              <w:t>；冬季</w:t>
            </w:r>
            <w:r>
              <w:rPr>
                <w:rFonts w:ascii="Times New Roman" w:hAnsi="Times New Roman" w:eastAsia="Times New Roman"/>
                <w:sz w:val="18"/>
              </w:rPr>
              <w:t>□</w:t>
            </w:r>
          </w:p>
        </w:tc>
        <w:tc>
          <w:tcPr>
            <w:tcW w:w="3563" w:type="dxa"/>
            <w:gridSpan w:val="3"/>
          </w:tcPr>
          <w:p>
            <w:pPr>
              <w:pStyle w:val="TableParagraph"/>
              <w:ind w:left="107"/>
              <w:jc w:val="left"/>
              <w:rPr>
                <w:sz w:val="18"/>
              </w:rPr>
            </w:pPr>
            <w:r>
              <w:rPr>
                <w:sz w:val="18"/>
              </w:rPr>
              <w:t>生态环境保护主管部门</w:t>
            </w:r>
            <w:r>
              <w:rPr>
                <w:rFonts w:ascii="Times New Roman" w:hAnsi="Times New Roman" w:eastAsia="Times New Roman"/>
                <w:sz w:val="18"/>
              </w:rPr>
              <w:t>□</w:t>
            </w:r>
            <w:r>
              <w:rPr>
                <w:sz w:val="18"/>
              </w:rPr>
              <w:t>；补充监测</w:t>
            </w:r>
            <w:r>
              <w:rPr>
                <w:rFonts w:ascii="Times New Roman" w:hAnsi="Times New Roman" w:eastAsia="Times New Roman"/>
                <w:sz w:val="18"/>
              </w:rPr>
              <w:t>□</w:t>
            </w:r>
            <w:r>
              <w:rPr>
                <w:sz w:val="18"/>
              </w:rPr>
              <w:t>；其</w:t>
            </w:r>
          </w:p>
          <w:p>
            <w:pPr>
              <w:pStyle w:val="TableParagraph"/>
              <w:spacing w:line="213" w:lineRule="exact" w:before="4"/>
              <w:ind w:left="107"/>
              <w:jc w:val="left"/>
              <w:rPr>
                <w:rFonts w:ascii="Times New Roman" w:hAnsi="Times New Roman" w:eastAsia="Times New Roman"/>
                <w:sz w:val="18"/>
              </w:rPr>
            </w:pPr>
            <w:r>
              <w:rPr>
                <w:sz w:val="18"/>
              </w:rPr>
              <w:t>他</w:t>
            </w:r>
            <w:r>
              <w:rPr>
                <w:rFonts w:ascii="Times New Roman" w:hAnsi="Times New Roman" w:eastAsia="Times New Roman"/>
                <w:sz w:val="18"/>
              </w:rPr>
              <w:t>□</w:t>
            </w:r>
          </w:p>
        </w:tc>
      </w:tr>
      <w:tr>
        <w:trPr>
          <w:trHeight w:val="700" w:hRule="atLeast"/>
        </w:trPr>
        <w:tc>
          <w:tcPr>
            <w:tcW w:w="425" w:type="dxa"/>
            <w:vMerge/>
            <w:tcBorders>
              <w:top w:val="nil"/>
            </w:tcBorders>
          </w:tcPr>
          <w:p>
            <w:pPr>
              <w:rPr>
                <w:sz w:val="2"/>
                <w:szCs w:val="2"/>
              </w:rPr>
            </w:pPr>
          </w:p>
        </w:tc>
        <w:tc>
          <w:tcPr>
            <w:tcW w:w="1102" w:type="dxa"/>
          </w:tcPr>
          <w:p>
            <w:pPr>
              <w:pStyle w:val="TableParagraph"/>
              <w:spacing w:line="230" w:lineRule="exact"/>
              <w:ind w:left="189"/>
              <w:jc w:val="left"/>
              <w:rPr>
                <w:sz w:val="18"/>
              </w:rPr>
            </w:pPr>
            <w:r>
              <w:rPr>
                <w:sz w:val="18"/>
              </w:rPr>
              <w:t>区域水资</w:t>
            </w:r>
          </w:p>
          <w:p>
            <w:pPr>
              <w:pStyle w:val="TableParagraph"/>
              <w:spacing w:line="230" w:lineRule="atLeast" w:before="2"/>
              <w:ind w:left="280" w:right="180" w:hanging="92"/>
              <w:jc w:val="left"/>
              <w:rPr>
                <w:sz w:val="18"/>
              </w:rPr>
            </w:pPr>
            <w:r>
              <w:rPr>
                <w:spacing w:val="-4"/>
                <w:sz w:val="18"/>
              </w:rPr>
              <w:t>源开发利</w:t>
            </w:r>
            <w:r>
              <w:rPr>
                <w:sz w:val="18"/>
              </w:rPr>
              <w:t>用状况</w:t>
            </w:r>
          </w:p>
        </w:tc>
        <w:tc>
          <w:tcPr>
            <w:tcW w:w="7759" w:type="dxa"/>
            <w:gridSpan w:val="5"/>
          </w:tcPr>
          <w:p>
            <w:pPr>
              <w:pStyle w:val="TableParagraph"/>
              <w:spacing w:before="1"/>
              <w:jc w:val="left"/>
              <w:rPr>
                <w:b/>
                <w:sz w:val="18"/>
              </w:rPr>
            </w:pPr>
          </w:p>
          <w:p>
            <w:pPr>
              <w:pStyle w:val="TableParagraph"/>
              <w:spacing w:before="1"/>
              <w:ind w:left="107"/>
              <w:jc w:val="left"/>
              <w:rPr>
                <w:rFonts w:ascii="Times New Roman" w:hAnsi="Times New Roman" w:eastAsia="Times New Roman"/>
                <w:sz w:val="18"/>
              </w:rPr>
            </w:pPr>
            <w:r>
              <w:rPr>
                <w:sz w:val="18"/>
              </w:rPr>
              <w:t>未开发</w:t>
            </w:r>
            <w:r>
              <w:rPr>
                <w:rFonts w:ascii="Times New Roman" w:hAnsi="Times New Roman" w:eastAsia="Times New Roman"/>
                <w:sz w:val="18"/>
              </w:rPr>
              <w:t>□</w:t>
            </w:r>
            <w:r>
              <w:rPr>
                <w:sz w:val="18"/>
              </w:rPr>
              <w:t>；开发量 </w:t>
            </w:r>
            <w:r>
              <w:rPr>
                <w:rFonts w:ascii="Times New Roman" w:hAnsi="Times New Roman" w:eastAsia="Times New Roman"/>
                <w:sz w:val="18"/>
              </w:rPr>
              <w:t>40%</w:t>
            </w:r>
            <w:r>
              <w:rPr>
                <w:sz w:val="18"/>
              </w:rPr>
              <w:t>以下</w:t>
            </w:r>
            <w:r>
              <w:rPr>
                <w:rFonts w:ascii="Times New Roman" w:hAnsi="Times New Roman" w:eastAsia="Times New Roman"/>
                <w:sz w:val="18"/>
              </w:rPr>
              <w:t>□</w:t>
            </w:r>
            <w:r>
              <w:rPr>
                <w:sz w:val="18"/>
              </w:rPr>
              <w:t>；开发量 </w:t>
            </w:r>
            <w:r>
              <w:rPr>
                <w:rFonts w:ascii="Times New Roman" w:hAnsi="Times New Roman" w:eastAsia="Times New Roman"/>
                <w:sz w:val="18"/>
              </w:rPr>
              <w:t>40%</w:t>
            </w:r>
            <w:r>
              <w:rPr>
                <w:sz w:val="18"/>
              </w:rPr>
              <w:t>以上</w:t>
            </w:r>
            <w:r>
              <w:rPr>
                <w:rFonts w:ascii="Times New Roman" w:hAnsi="Times New Roman" w:eastAsia="Times New Roman"/>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spacing w:before="8"/>
              <w:jc w:val="left"/>
              <w:rPr>
                <w:b/>
                <w:sz w:val="13"/>
              </w:rPr>
            </w:pPr>
          </w:p>
          <w:p>
            <w:pPr>
              <w:pStyle w:val="TableParagraph"/>
              <w:spacing w:line="242" w:lineRule="auto"/>
              <w:ind w:left="369" w:right="180" w:hanging="180"/>
              <w:jc w:val="left"/>
              <w:rPr>
                <w:sz w:val="18"/>
              </w:rPr>
            </w:pPr>
            <w:r>
              <w:rPr>
                <w:sz w:val="18"/>
              </w:rPr>
              <w:t>水文情势调查</w:t>
            </w:r>
          </w:p>
        </w:tc>
        <w:tc>
          <w:tcPr>
            <w:tcW w:w="4196" w:type="dxa"/>
            <w:gridSpan w:val="2"/>
          </w:tcPr>
          <w:p>
            <w:pPr>
              <w:pStyle w:val="TableParagraph"/>
              <w:spacing w:before="52"/>
              <w:ind w:left="1537" w:right="1529"/>
              <w:rPr>
                <w:sz w:val="18"/>
              </w:rPr>
            </w:pPr>
            <w:r>
              <w:rPr>
                <w:sz w:val="18"/>
              </w:rPr>
              <w:t>调查时期</w:t>
            </w:r>
          </w:p>
        </w:tc>
        <w:tc>
          <w:tcPr>
            <w:tcW w:w="3563" w:type="dxa"/>
            <w:gridSpan w:val="3"/>
          </w:tcPr>
          <w:p>
            <w:pPr>
              <w:pStyle w:val="TableParagraph"/>
              <w:spacing w:before="52"/>
              <w:ind w:left="1003" w:right="996"/>
              <w:rPr>
                <w:sz w:val="18"/>
              </w:rPr>
            </w:pPr>
            <w:r>
              <w:rPr>
                <w:sz w:val="18"/>
              </w:rPr>
              <w:t>数据来源</w:t>
            </w:r>
          </w:p>
        </w:tc>
      </w:tr>
      <w:tr>
        <w:trPr>
          <w:trHeight w:val="465"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4196" w:type="dxa"/>
            <w:gridSpan w:val="2"/>
          </w:tcPr>
          <w:p>
            <w:pPr>
              <w:pStyle w:val="TableParagraph"/>
              <w:ind w:left="107"/>
              <w:jc w:val="left"/>
              <w:rPr>
                <w:sz w:val="18"/>
              </w:rPr>
            </w:pPr>
            <w:r>
              <w:rPr>
                <w:sz w:val="18"/>
              </w:rPr>
              <w:t>丰水期</w:t>
            </w:r>
            <w:r>
              <w:rPr>
                <w:rFonts w:ascii="Times New Roman" w:hAnsi="Times New Roman" w:eastAsia="Times New Roman"/>
                <w:sz w:val="18"/>
              </w:rPr>
              <w:t>□</w:t>
            </w:r>
            <w:r>
              <w:rPr>
                <w:sz w:val="18"/>
              </w:rPr>
              <w:t>；平水期</w:t>
            </w:r>
            <w:r>
              <w:rPr>
                <w:rFonts w:ascii="Times New Roman" w:hAnsi="Times New Roman" w:eastAsia="Times New Roman"/>
                <w:sz w:val="18"/>
              </w:rPr>
              <w:t>□</w:t>
            </w:r>
            <w:r>
              <w:rPr>
                <w:sz w:val="18"/>
              </w:rPr>
              <w:t>；枯水期</w:t>
            </w:r>
            <w:r>
              <w:rPr>
                <w:rFonts w:ascii="Times New Roman" w:hAnsi="Times New Roman" w:eastAsia="Times New Roman"/>
                <w:sz w:val="18"/>
              </w:rPr>
              <w:t>□</w:t>
            </w:r>
            <w:r>
              <w:rPr>
                <w:sz w:val="18"/>
              </w:rPr>
              <w:t>；冰封期</w:t>
            </w:r>
            <w:r>
              <w:rPr>
                <w:rFonts w:ascii="Times New Roman" w:hAnsi="Times New Roman" w:eastAsia="Times New Roman"/>
                <w:sz w:val="18"/>
              </w:rPr>
              <w:t>□</w:t>
            </w:r>
            <w:r>
              <w:rPr>
                <w:sz w:val="18"/>
              </w:rPr>
              <w:t>；</w:t>
            </w:r>
          </w:p>
          <w:p>
            <w:pPr>
              <w:pStyle w:val="TableParagraph"/>
              <w:spacing w:line="213" w:lineRule="exact" w:before="2"/>
              <w:ind w:left="107"/>
              <w:jc w:val="left"/>
              <w:rPr>
                <w:rFonts w:ascii="Times New Roman" w:hAnsi="Times New Roman" w:eastAsia="Times New Roman"/>
                <w:sz w:val="18"/>
              </w:rPr>
            </w:pPr>
            <w:r>
              <w:rPr>
                <w:sz w:val="18"/>
              </w:rPr>
              <w:t>春季</w:t>
            </w:r>
            <w:r>
              <w:rPr>
                <w:rFonts w:ascii="Times New Roman" w:hAnsi="Times New Roman" w:eastAsia="Times New Roman"/>
                <w:sz w:val="18"/>
              </w:rPr>
              <w:t>□</w:t>
            </w:r>
            <w:r>
              <w:rPr>
                <w:sz w:val="18"/>
              </w:rPr>
              <w:t>；夏季</w:t>
            </w:r>
            <w:r>
              <w:rPr>
                <w:rFonts w:ascii="Times New Roman" w:hAnsi="Times New Roman" w:eastAsia="Times New Roman"/>
                <w:sz w:val="18"/>
              </w:rPr>
              <w:t>□</w:t>
            </w:r>
            <w:r>
              <w:rPr>
                <w:sz w:val="18"/>
              </w:rPr>
              <w:t>；秋季</w:t>
            </w:r>
            <w:r>
              <w:rPr>
                <w:rFonts w:ascii="Times New Roman" w:hAnsi="Times New Roman" w:eastAsia="Times New Roman"/>
                <w:sz w:val="18"/>
              </w:rPr>
              <w:t>□</w:t>
            </w:r>
            <w:r>
              <w:rPr>
                <w:sz w:val="18"/>
              </w:rPr>
              <w:t>；冬季</w:t>
            </w:r>
            <w:r>
              <w:rPr>
                <w:rFonts w:ascii="Times New Roman" w:hAnsi="Times New Roman" w:eastAsia="Times New Roman"/>
                <w:sz w:val="18"/>
              </w:rPr>
              <w:t>□</w:t>
            </w:r>
          </w:p>
        </w:tc>
        <w:tc>
          <w:tcPr>
            <w:tcW w:w="3563" w:type="dxa"/>
            <w:gridSpan w:val="3"/>
          </w:tcPr>
          <w:p>
            <w:pPr>
              <w:pStyle w:val="TableParagraph"/>
              <w:spacing w:before="115"/>
              <w:ind w:left="107"/>
              <w:jc w:val="left"/>
              <w:rPr>
                <w:rFonts w:ascii="Times New Roman" w:hAnsi="Times New Roman" w:eastAsia="Times New Roman"/>
                <w:sz w:val="18"/>
              </w:rPr>
            </w:pPr>
            <w:r>
              <w:rPr>
                <w:sz w:val="18"/>
              </w:rPr>
              <w:t>水行政主管部门</w:t>
            </w:r>
            <w:r>
              <w:rPr>
                <w:rFonts w:ascii="Times New Roman" w:hAnsi="Times New Roman" w:eastAsia="Times New Roman"/>
                <w:sz w:val="18"/>
              </w:rPr>
              <w:t>□</w:t>
            </w:r>
            <w:r>
              <w:rPr>
                <w:sz w:val="18"/>
              </w:rPr>
              <w:t>；补充监测</w:t>
            </w:r>
            <w:r>
              <w:rPr>
                <w:rFonts w:ascii="Times New Roman" w:hAnsi="Times New Roman" w:eastAsia="Times New Roman"/>
                <w:sz w:val="18"/>
              </w:rPr>
              <w:t>□</w:t>
            </w:r>
            <w:r>
              <w:rPr>
                <w:sz w:val="18"/>
              </w:rPr>
              <w:t>；其他</w:t>
            </w:r>
            <w:r>
              <w:rPr>
                <w:rFonts w:ascii="Times New Roman" w:hAnsi="Times New Roman" w:eastAsia="Times New Roman"/>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spacing w:before="10"/>
              <w:jc w:val="left"/>
              <w:rPr>
                <w:b/>
                <w:sz w:val="22"/>
              </w:rPr>
            </w:pPr>
          </w:p>
          <w:p>
            <w:pPr>
              <w:pStyle w:val="TableParagraph"/>
              <w:ind w:left="189"/>
              <w:jc w:val="left"/>
              <w:rPr>
                <w:sz w:val="18"/>
              </w:rPr>
            </w:pPr>
            <w:r>
              <w:rPr>
                <w:sz w:val="18"/>
              </w:rPr>
              <w:t>补充监测</w:t>
            </w:r>
          </w:p>
        </w:tc>
        <w:tc>
          <w:tcPr>
            <w:tcW w:w="4196" w:type="dxa"/>
            <w:gridSpan w:val="2"/>
          </w:tcPr>
          <w:p>
            <w:pPr>
              <w:pStyle w:val="TableParagraph"/>
              <w:spacing w:before="55"/>
              <w:ind w:left="1537" w:right="1529"/>
              <w:rPr>
                <w:sz w:val="18"/>
              </w:rPr>
            </w:pPr>
            <w:r>
              <w:rPr>
                <w:sz w:val="18"/>
              </w:rPr>
              <w:t>监测时期</w:t>
            </w:r>
          </w:p>
        </w:tc>
        <w:tc>
          <w:tcPr>
            <w:tcW w:w="1579" w:type="dxa"/>
          </w:tcPr>
          <w:p>
            <w:pPr>
              <w:pStyle w:val="TableParagraph"/>
              <w:spacing w:before="55"/>
              <w:ind w:left="428"/>
              <w:jc w:val="left"/>
              <w:rPr>
                <w:sz w:val="18"/>
              </w:rPr>
            </w:pPr>
            <w:r>
              <w:rPr>
                <w:sz w:val="18"/>
              </w:rPr>
              <w:t>监测因子</w:t>
            </w:r>
          </w:p>
        </w:tc>
        <w:tc>
          <w:tcPr>
            <w:tcW w:w="1984" w:type="dxa"/>
            <w:gridSpan w:val="2"/>
          </w:tcPr>
          <w:p>
            <w:pPr>
              <w:pStyle w:val="TableParagraph"/>
              <w:spacing w:before="55"/>
              <w:ind w:left="361"/>
              <w:jc w:val="left"/>
              <w:rPr>
                <w:sz w:val="18"/>
              </w:rPr>
            </w:pPr>
            <w:r>
              <w:rPr>
                <w:sz w:val="18"/>
              </w:rPr>
              <w:t>监测断面或点位</w:t>
            </w:r>
          </w:p>
        </w:tc>
      </w:tr>
      <w:tr>
        <w:trPr>
          <w:trHeight w:val="467"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4196" w:type="dxa"/>
            <w:gridSpan w:val="2"/>
          </w:tcPr>
          <w:p>
            <w:pPr>
              <w:pStyle w:val="TableParagraph"/>
              <w:ind w:left="107"/>
              <w:jc w:val="left"/>
              <w:rPr>
                <w:sz w:val="18"/>
              </w:rPr>
            </w:pPr>
            <w:r>
              <w:rPr>
                <w:sz w:val="18"/>
              </w:rPr>
              <w:t>丰水期</w:t>
            </w:r>
            <w:r>
              <w:rPr>
                <w:rFonts w:ascii="Times New Roman" w:hAnsi="Times New Roman" w:eastAsia="Times New Roman"/>
                <w:sz w:val="18"/>
              </w:rPr>
              <w:t>□</w:t>
            </w:r>
            <w:r>
              <w:rPr>
                <w:sz w:val="18"/>
              </w:rPr>
              <w:t>；平水期</w:t>
            </w:r>
            <w:r>
              <w:rPr>
                <w:rFonts w:ascii="Times New Roman" w:hAnsi="Times New Roman" w:eastAsia="Times New Roman"/>
                <w:sz w:val="18"/>
              </w:rPr>
              <w:t>□</w:t>
            </w:r>
            <w:r>
              <w:rPr>
                <w:sz w:val="18"/>
              </w:rPr>
              <w:t>；枯水期</w:t>
            </w:r>
            <w:r>
              <w:rPr>
                <w:rFonts w:ascii="Times New Roman" w:hAnsi="Times New Roman" w:eastAsia="Times New Roman"/>
                <w:sz w:val="18"/>
              </w:rPr>
              <w:t>□</w:t>
            </w:r>
            <w:r>
              <w:rPr>
                <w:sz w:val="18"/>
              </w:rPr>
              <w:t>；冰封期</w:t>
            </w:r>
            <w:r>
              <w:rPr>
                <w:rFonts w:ascii="Times New Roman" w:hAnsi="Times New Roman" w:eastAsia="Times New Roman"/>
                <w:sz w:val="18"/>
              </w:rPr>
              <w:t>□</w:t>
            </w:r>
            <w:r>
              <w:rPr>
                <w:sz w:val="18"/>
              </w:rPr>
              <w:t>；</w:t>
            </w:r>
          </w:p>
          <w:p>
            <w:pPr>
              <w:pStyle w:val="TableParagraph"/>
              <w:spacing w:line="213" w:lineRule="exact" w:before="4"/>
              <w:ind w:left="107"/>
              <w:jc w:val="left"/>
              <w:rPr>
                <w:rFonts w:ascii="Times New Roman" w:hAnsi="Times New Roman" w:eastAsia="Times New Roman"/>
                <w:sz w:val="18"/>
              </w:rPr>
            </w:pPr>
            <w:r>
              <w:rPr>
                <w:sz w:val="18"/>
              </w:rPr>
              <w:t>春季</w:t>
            </w:r>
            <w:r>
              <w:rPr>
                <w:rFonts w:ascii="Times New Roman" w:hAnsi="Times New Roman" w:eastAsia="Times New Roman"/>
                <w:sz w:val="18"/>
              </w:rPr>
              <w:t>□</w:t>
            </w:r>
            <w:r>
              <w:rPr>
                <w:sz w:val="18"/>
              </w:rPr>
              <w:t>；夏季</w:t>
            </w:r>
            <w:r>
              <w:rPr>
                <w:rFonts w:ascii="Times New Roman" w:hAnsi="Times New Roman" w:eastAsia="Times New Roman"/>
                <w:sz w:val="18"/>
              </w:rPr>
              <w:t>□</w:t>
            </w:r>
            <w:r>
              <w:rPr>
                <w:sz w:val="18"/>
              </w:rPr>
              <w:t>；秋季</w:t>
            </w:r>
            <w:r>
              <w:rPr>
                <w:rFonts w:ascii="Times New Roman" w:hAnsi="Times New Roman" w:eastAsia="Times New Roman"/>
                <w:sz w:val="18"/>
              </w:rPr>
              <w:t>□</w:t>
            </w:r>
            <w:r>
              <w:rPr>
                <w:sz w:val="18"/>
              </w:rPr>
              <w:t>；冬季</w:t>
            </w:r>
            <w:r>
              <w:rPr>
                <w:rFonts w:ascii="Times New Roman" w:hAnsi="Times New Roman" w:eastAsia="Times New Roman"/>
                <w:sz w:val="18"/>
              </w:rPr>
              <w:t>□</w:t>
            </w:r>
          </w:p>
        </w:tc>
        <w:tc>
          <w:tcPr>
            <w:tcW w:w="1579" w:type="dxa"/>
          </w:tcPr>
          <w:p>
            <w:pPr>
              <w:pStyle w:val="TableParagraph"/>
              <w:spacing w:before="117"/>
              <w:ind w:left="107"/>
              <w:jc w:val="left"/>
              <w:rPr>
                <w:sz w:val="18"/>
              </w:rPr>
            </w:pPr>
            <w:r>
              <w:rPr>
                <w:sz w:val="18"/>
              </w:rPr>
              <w:t>（）</w:t>
            </w:r>
          </w:p>
        </w:tc>
        <w:tc>
          <w:tcPr>
            <w:tcW w:w="1984" w:type="dxa"/>
            <w:gridSpan w:val="2"/>
          </w:tcPr>
          <w:p>
            <w:pPr>
              <w:pStyle w:val="TableParagraph"/>
              <w:ind w:left="107"/>
              <w:jc w:val="left"/>
              <w:rPr>
                <w:sz w:val="18"/>
              </w:rPr>
            </w:pPr>
            <w:r>
              <w:rPr>
                <w:sz w:val="18"/>
              </w:rPr>
              <w:t>监测断面或点位个数</w:t>
            </w:r>
          </w:p>
          <w:p>
            <w:pPr>
              <w:pStyle w:val="TableParagraph"/>
              <w:spacing w:line="213" w:lineRule="exact" w:before="4"/>
              <w:ind w:left="107"/>
              <w:jc w:val="left"/>
              <w:rPr>
                <w:sz w:val="18"/>
              </w:rPr>
            </w:pPr>
            <w:r>
              <w:rPr>
                <w:sz w:val="18"/>
              </w:rPr>
              <w:t>（）</w:t>
            </w:r>
          </w:p>
        </w:tc>
      </w:tr>
      <w:tr>
        <w:trPr>
          <w:trHeight w:val="340" w:hRule="atLeast"/>
        </w:trPr>
        <w:tc>
          <w:tcPr>
            <w:tcW w:w="425"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3"/>
              <w:jc w:val="left"/>
              <w:rPr>
                <w:b/>
                <w:sz w:val="24"/>
              </w:rPr>
            </w:pPr>
          </w:p>
          <w:p>
            <w:pPr>
              <w:pStyle w:val="TableParagraph"/>
              <w:spacing w:line="242" w:lineRule="auto"/>
              <w:ind w:left="122" w:right="110"/>
              <w:jc w:val="both"/>
              <w:rPr>
                <w:sz w:val="18"/>
              </w:rPr>
            </w:pPr>
            <w:r>
              <w:rPr>
                <w:sz w:val="18"/>
              </w:rPr>
              <w:t>现状评价</w:t>
            </w:r>
          </w:p>
        </w:tc>
        <w:tc>
          <w:tcPr>
            <w:tcW w:w="1102" w:type="dxa"/>
          </w:tcPr>
          <w:p>
            <w:pPr>
              <w:pStyle w:val="TableParagraph"/>
              <w:spacing w:before="53"/>
              <w:ind w:left="6"/>
              <w:rPr>
                <w:sz w:val="18"/>
              </w:rPr>
            </w:pPr>
            <w:r>
              <w:rPr>
                <w:sz w:val="18"/>
              </w:rPr>
              <w:t>评价范围</w:t>
            </w:r>
          </w:p>
        </w:tc>
        <w:tc>
          <w:tcPr>
            <w:tcW w:w="7759" w:type="dxa"/>
            <w:gridSpan w:val="5"/>
          </w:tcPr>
          <w:p>
            <w:pPr>
              <w:pStyle w:val="TableParagraph"/>
              <w:spacing w:before="53"/>
              <w:ind w:left="107"/>
              <w:jc w:val="left"/>
              <w:rPr>
                <w:rFonts w:ascii="Times New Roman" w:eastAsia="Times New Roman"/>
                <w:sz w:val="12"/>
              </w:rPr>
            </w:pPr>
            <w:r>
              <w:rPr>
                <w:sz w:val="18"/>
              </w:rPr>
              <w:t>河流：长度（）</w:t>
            </w:r>
            <w:r>
              <w:rPr>
                <w:rFonts w:ascii="Times New Roman" w:eastAsia="Times New Roman"/>
                <w:sz w:val="18"/>
              </w:rPr>
              <w:t>km</w:t>
            </w:r>
            <w:r>
              <w:rPr>
                <w:sz w:val="18"/>
              </w:rPr>
              <w:t>；湖库、河口及近岸海域：面积（）</w:t>
            </w:r>
            <w:r>
              <w:rPr>
                <w:rFonts w:ascii="Times New Roman" w:eastAsia="Times New Roman"/>
                <w:sz w:val="18"/>
              </w:rPr>
              <w:t>km</w:t>
            </w:r>
            <w:r>
              <w:rPr>
                <w:rFonts w:ascii="Times New Roman" w:eastAsia="Times New Roman"/>
                <w:position w:val="6"/>
                <w:sz w:val="12"/>
              </w:rPr>
              <w:t>2</w:t>
            </w:r>
          </w:p>
        </w:tc>
      </w:tr>
      <w:tr>
        <w:trPr>
          <w:trHeight w:val="338" w:hRule="atLeast"/>
        </w:trPr>
        <w:tc>
          <w:tcPr>
            <w:tcW w:w="425" w:type="dxa"/>
            <w:vMerge/>
            <w:tcBorders>
              <w:top w:val="nil"/>
            </w:tcBorders>
          </w:tcPr>
          <w:p>
            <w:pPr>
              <w:rPr>
                <w:sz w:val="2"/>
                <w:szCs w:val="2"/>
              </w:rPr>
            </w:pPr>
          </w:p>
        </w:tc>
        <w:tc>
          <w:tcPr>
            <w:tcW w:w="1102" w:type="dxa"/>
          </w:tcPr>
          <w:p>
            <w:pPr>
              <w:pStyle w:val="TableParagraph"/>
              <w:spacing w:before="52"/>
              <w:ind w:left="6"/>
              <w:rPr>
                <w:sz w:val="18"/>
              </w:rPr>
            </w:pPr>
            <w:r>
              <w:rPr>
                <w:sz w:val="18"/>
              </w:rPr>
              <w:t>评价因子</w:t>
            </w:r>
          </w:p>
        </w:tc>
        <w:tc>
          <w:tcPr>
            <w:tcW w:w="7759" w:type="dxa"/>
            <w:gridSpan w:val="5"/>
          </w:tcPr>
          <w:p>
            <w:pPr>
              <w:pStyle w:val="TableParagraph"/>
              <w:spacing w:before="52"/>
              <w:ind w:left="107"/>
              <w:jc w:val="left"/>
              <w:rPr>
                <w:sz w:val="18"/>
              </w:rPr>
            </w:pPr>
            <w:r>
              <w:rPr>
                <w:sz w:val="18"/>
              </w:rPr>
              <w:t>（）</w:t>
            </w:r>
          </w:p>
        </w:tc>
      </w:tr>
      <w:tr>
        <w:trPr>
          <w:trHeight w:val="700" w:hRule="atLeast"/>
        </w:trPr>
        <w:tc>
          <w:tcPr>
            <w:tcW w:w="425" w:type="dxa"/>
            <w:vMerge/>
            <w:tcBorders>
              <w:top w:val="nil"/>
            </w:tcBorders>
          </w:tcPr>
          <w:p>
            <w:pPr>
              <w:rPr>
                <w:sz w:val="2"/>
                <w:szCs w:val="2"/>
              </w:rPr>
            </w:pPr>
          </w:p>
        </w:tc>
        <w:tc>
          <w:tcPr>
            <w:tcW w:w="1102" w:type="dxa"/>
          </w:tcPr>
          <w:p>
            <w:pPr>
              <w:pStyle w:val="TableParagraph"/>
              <w:spacing w:before="4"/>
              <w:jc w:val="left"/>
              <w:rPr>
                <w:b/>
                <w:sz w:val="18"/>
              </w:rPr>
            </w:pPr>
          </w:p>
          <w:p>
            <w:pPr>
              <w:pStyle w:val="TableParagraph"/>
              <w:ind w:left="16"/>
              <w:rPr>
                <w:sz w:val="18"/>
              </w:rPr>
            </w:pPr>
            <w:r>
              <w:rPr>
                <w:sz w:val="18"/>
              </w:rPr>
              <w:t>评价标准</w:t>
            </w:r>
          </w:p>
        </w:tc>
        <w:tc>
          <w:tcPr>
            <w:tcW w:w="7759" w:type="dxa"/>
            <w:gridSpan w:val="5"/>
          </w:tcPr>
          <w:p>
            <w:pPr>
              <w:pStyle w:val="TableParagraph"/>
              <w:spacing w:line="242" w:lineRule="auto" w:before="2"/>
              <w:ind w:left="107" w:right="3188"/>
              <w:jc w:val="left"/>
              <w:rPr>
                <w:rFonts w:ascii="Times New Roman" w:hAnsi="Times New Roman" w:eastAsia="Times New Roman"/>
                <w:sz w:val="18"/>
              </w:rPr>
            </w:pPr>
            <w:r>
              <w:rPr>
                <w:sz w:val="18"/>
              </w:rPr>
              <w:t>河流、湖库、河口：</w:t>
            </w:r>
            <w:r>
              <w:rPr>
                <w:rFonts w:ascii="Times New Roman" w:hAnsi="Times New Roman" w:eastAsia="Times New Roman"/>
                <w:sz w:val="18"/>
              </w:rPr>
              <w:t>Ⅰ</w:t>
            </w:r>
            <w:r>
              <w:rPr>
                <w:sz w:val="18"/>
              </w:rPr>
              <w:t>类</w:t>
            </w:r>
            <w:r>
              <w:rPr>
                <w:rFonts w:ascii="Times New Roman" w:hAnsi="Times New Roman" w:eastAsia="Times New Roman"/>
                <w:sz w:val="18"/>
              </w:rPr>
              <w:t>□</w:t>
            </w:r>
            <w:r>
              <w:rPr>
                <w:sz w:val="18"/>
              </w:rPr>
              <w:t>；</w:t>
            </w:r>
            <w:r>
              <w:rPr>
                <w:rFonts w:ascii="Times New Roman" w:hAnsi="Times New Roman" w:eastAsia="Times New Roman"/>
                <w:sz w:val="18"/>
              </w:rPr>
              <w:t>Ⅱ</w:t>
            </w:r>
            <w:r>
              <w:rPr>
                <w:sz w:val="18"/>
              </w:rPr>
              <w:t>类</w:t>
            </w:r>
            <w:r>
              <w:rPr>
                <w:rFonts w:ascii="Times New Roman" w:hAnsi="Times New Roman" w:eastAsia="Times New Roman"/>
                <w:sz w:val="18"/>
              </w:rPr>
              <w:t>□</w:t>
            </w:r>
            <w:r>
              <w:rPr>
                <w:sz w:val="18"/>
              </w:rPr>
              <w:t>；</w:t>
            </w:r>
            <w:r>
              <w:rPr>
                <w:rFonts w:ascii="Times New Roman" w:hAnsi="Times New Roman" w:eastAsia="Times New Roman"/>
                <w:sz w:val="18"/>
              </w:rPr>
              <w:t>Ⅲ</w:t>
            </w:r>
            <w:r>
              <w:rPr>
                <w:sz w:val="18"/>
              </w:rPr>
              <w:t>类</w:t>
            </w:r>
            <w:r>
              <w:rPr>
                <w:rFonts w:ascii="Times New Roman" w:hAnsi="Times New Roman" w:eastAsia="Times New Roman"/>
                <w:sz w:val="18"/>
              </w:rPr>
              <w:t>□</w:t>
            </w:r>
            <w:r>
              <w:rPr>
                <w:sz w:val="18"/>
              </w:rPr>
              <w:t>；</w:t>
            </w:r>
            <w:r>
              <w:rPr>
                <w:rFonts w:ascii="Times New Roman" w:hAnsi="Times New Roman" w:eastAsia="Times New Roman"/>
                <w:sz w:val="18"/>
              </w:rPr>
              <w:t>Ⅳ</w:t>
            </w:r>
            <w:r>
              <w:rPr>
                <w:sz w:val="18"/>
              </w:rPr>
              <w:t>类</w:t>
            </w:r>
            <w:r>
              <w:rPr>
                <w:rFonts w:ascii="Times New Roman" w:hAnsi="Times New Roman" w:eastAsia="Times New Roman"/>
                <w:sz w:val="18"/>
              </w:rPr>
              <w:t>□</w:t>
            </w:r>
            <w:r>
              <w:rPr>
                <w:sz w:val="18"/>
              </w:rPr>
              <w:t>；</w:t>
            </w:r>
            <w:r>
              <w:rPr>
                <w:rFonts w:ascii="Times New Roman" w:hAnsi="Times New Roman" w:eastAsia="Times New Roman"/>
                <w:sz w:val="18"/>
              </w:rPr>
              <w:t>Ⅴ</w:t>
            </w:r>
            <w:r>
              <w:rPr>
                <w:sz w:val="18"/>
              </w:rPr>
              <w:t>类</w:t>
            </w:r>
            <w:r>
              <w:rPr>
                <w:rFonts w:ascii="Times New Roman" w:hAnsi="Times New Roman" w:eastAsia="Times New Roman"/>
                <w:sz w:val="18"/>
              </w:rPr>
              <w:t>□ </w:t>
            </w:r>
            <w:r>
              <w:rPr>
                <w:sz w:val="18"/>
              </w:rPr>
              <w:t>近岸海域：第一类</w:t>
            </w:r>
            <w:r>
              <w:rPr>
                <w:rFonts w:ascii="Times New Roman" w:hAnsi="Times New Roman" w:eastAsia="Times New Roman"/>
                <w:sz w:val="18"/>
              </w:rPr>
              <w:t>□</w:t>
            </w:r>
            <w:r>
              <w:rPr>
                <w:sz w:val="18"/>
              </w:rPr>
              <w:t>；第二类</w:t>
            </w:r>
            <w:r>
              <w:rPr>
                <w:rFonts w:ascii="Times New Roman" w:hAnsi="Times New Roman" w:eastAsia="Times New Roman"/>
                <w:sz w:val="18"/>
              </w:rPr>
              <w:t>□</w:t>
            </w:r>
            <w:r>
              <w:rPr>
                <w:sz w:val="18"/>
              </w:rPr>
              <w:t>；第三类</w:t>
            </w:r>
            <w:r>
              <w:rPr>
                <w:rFonts w:ascii="Times New Roman" w:hAnsi="Times New Roman" w:eastAsia="Times New Roman"/>
                <w:sz w:val="18"/>
              </w:rPr>
              <w:t>□</w:t>
            </w:r>
            <w:r>
              <w:rPr>
                <w:sz w:val="18"/>
              </w:rPr>
              <w:t>；第四类</w:t>
            </w:r>
            <w:r>
              <w:rPr>
                <w:rFonts w:ascii="Times New Roman" w:hAnsi="Times New Roman" w:eastAsia="Times New Roman"/>
                <w:sz w:val="18"/>
              </w:rPr>
              <w:t>□</w:t>
            </w:r>
          </w:p>
          <w:p>
            <w:pPr>
              <w:pStyle w:val="TableParagraph"/>
              <w:spacing w:line="212" w:lineRule="exact"/>
              <w:ind w:left="107"/>
              <w:jc w:val="left"/>
              <w:rPr>
                <w:sz w:val="18"/>
              </w:rPr>
            </w:pPr>
            <w:r>
              <w:rPr>
                <w:sz w:val="18"/>
              </w:rPr>
              <w:t>规划年评价标准（）</w:t>
            </w:r>
          </w:p>
        </w:tc>
      </w:tr>
      <w:tr>
        <w:trPr>
          <w:trHeight w:val="340" w:hRule="atLeast"/>
        </w:trPr>
        <w:tc>
          <w:tcPr>
            <w:tcW w:w="425" w:type="dxa"/>
            <w:vMerge/>
            <w:tcBorders>
              <w:top w:val="nil"/>
            </w:tcBorders>
          </w:tcPr>
          <w:p>
            <w:pPr>
              <w:rPr>
                <w:sz w:val="2"/>
                <w:szCs w:val="2"/>
              </w:rPr>
            </w:pPr>
          </w:p>
        </w:tc>
        <w:tc>
          <w:tcPr>
            <w:tcW w:w="1102" w:type="dxa"/>
          </w:tcPr>
          <w:p>
            <w:pPr>
              <w:pStyle w:val="TableParagraph"/>
              <w:spacing w:before="55"/>
              <w:ind w:left="6"/>
              <w:rPr>
                <w:sz w:val="18"/>
              </w:rPr>
            </w:pPr>
            <w:r>
              <w:rPr>
                <w:sz w:val="18"/>
              </w:rPr>
              <w:t>评价时期</w:t>
            </w:r>
          </w:p>
        </w:tc>
        <w:tc>
          <w:tcPr>
            <w:tcW w:w="7759" w:type="dxa"/>
            <w:gridSpan w:val="5"/>
          </w:tcPr>
          <w:p>
            <w:pPr>
              <w:pStyle w:val="TableParagraph"/>
              <w:spacing w:before="55"/>
              <w:ind w:left="107"/>
              <w:jc w:val="left"/>
              <w:rPr>
                <w:rFonts w:ascii="Times New Roman" w:hAnsi="Times New Roman" w:eastAsia="Times New Roman"/>
                <w:sz w:val="18"/>
              </w:rPr>
            </w:pPr>
            <w:r>
              <w:rPr>
                <w:sz w:val="18"/>
              </w:rPr>
              <w:t>丰水期</w:t>
            </w:r>
            <w:r>
              <w:rPr>
                <w:rFonts w:ascii="Times New Roman" w:hAnsi="Times New Roman" w:eastAsia="Times New Roman"/>
                <w:sz w:val="18"/>
              </w:rPr>
              <w:t>□</w:t>
            </w:r>
            <w:r>
              <w:rPr>
                <w:sz w:val="18"/>
              </w:rPr>
              <w:t>；平水期</w:t>
            </w:r>
            <w:r>
              <w:rPr>
                <w:rFonts w:ascii="Times New Roman" w:hAnsi="Times New Roman" w:eastAsia="Times New Roman"/>
                <w:sz w:val="18"/>
              </w:rPr>
              <w:t>□</w:t>
            </w:r>
            <w:r>
              <w:rPr>
                <w:sz w:val="18"/>
              </w:rPr>
              <w:t>；枯水期</w:t>
            </w:r>
            <w:r>
              <w:rPr>
                <w:rFonts w:ascii="Times New Roman" w:hAnsi="Times New Roman" w:eastAsia="Times New Roman"/>
                <w:sz w:val="18"/>
              </w:rPr>
              <w:t>□</w:t>
            </w:r>
            <w:r>
              <w:rPr>
                <w:sz w:val="18"/>
              </w:rPr>
              <w:t>；冰封期</w:t>
            </w:r>
            <w:r>
              <w:rPr>
                <w:rFonts w:ascii="Times New Roman" w:hAnsi="Times New Roman" w:eastAsia="Times New Roman"/>
                <w:sz w:val="18"/>
              </w:rPr>
              <w:t>□</w:t>
            </w:r>
            <w:r>
              <w:rPr>
                <w:sz w:val="18"/>
              </w:rPr>
              <w:t>；春季</w:t>
            </w:r>
            <w:r>
              <w:rPr>
                <w:rFonts w:ascii="Times New Roman" w:hAnsi="Times New Roman" w:eastAsia="Times New Roman"/>
                <w:sz w:val="18"/>
              </w:rPr>
              <w:t>□</w:t>
            </w:r>
            <w:r>
              <w:rPr>
                <w:sz w:val="18"/>
              </w:rPr>
              <w:t>；夏季</w:t>
            </w:r>
            <w:r>
              <w:rPr>
                <w:rFonts w:ascii="Times New Roman" w:hAnsi="Times New Roman" w:eastAsia="Times New Roman"/>
                <w:sz w:val="18"/>
              </w:rPr>
              <w:t>□</w:t>
            </w:r>
            <w:r>
              <w:rPr>
                <w:sz w:val="18"/>
              </w:rPr>
              <w:t>；秋季</w:t>
            </w:r>
            <w:r>
              <w:rPr>
                <w:rFonts w:ascii="Times New Roman" w:hAnsi="Times New Roman" w:eastAsia="Times New Roman"/>
                <w:sz w:val="18"/>
              </w:rPr>
              <w:t>□</w:t>
            </w:r>
            <w:r>
              <w:rPr>
                <w:sz w:val="18"/>
              </w:rPr>
              <w:t>；冬季</w:t>
            </w:r>
            <w:r>
              <w:rPr>
                <w:rFonts w:ascii="Times New Roman" w:hAnsi="Times New Roman" w:eastAsia="Times New Roman"/>
                <w:sz w:val="18"/>
              </w:rPr>
              <w:t>□</w:t>
            </w:r>
          </w:p>
        </w:tc>
      </w:tr>
      <w:tr>
        <w:trPr>
          <w:trHeight w:val="2102" w:hRule="atLeast"/>
        </w:trPr>
        <w:tc>
          <w:tcPr>
            <w:tcW w:w="425" w:type="dxa"/>
            <w:vMerge/>
            <w:tcBorders>
              <w:top w:val="nil"/>
            </w:tcBorders>
          </w:tcPr>
          <w:p>
            <w:pPr>
              <w:rPr>
                <w:sz w:val="2"/>
                <w:szCs w:val="2"/>
              </w:rPr>
            </w:pPr>
          </w:p>
        </w:tc>
        <w:tc>
          <w:tcPr>
            <w:tcW w:w="1102" w:type="dxa"/>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9"/>
              </w:rPr>
            </w:pPr>
          </w:p>
          <w:p>
            <w:pPr>
              <w:pStyle w:val="TableParagraph"/>
              <w:ind w:left="6"/>
              <w:rPr>
                <w:sz w:val="18"/>
              </w:rPr>
            </w:pPr>
            <w:r>
              <w:rPr>
                <w:sz w:val="18"/>
              </w:rPr>
              <w:t>评价结论</w:t>
            </w:r>
          </w:p>
        </w:tc>
        <w:tc>
          <w:tcPr>
            <w:tcW w:w="6651" w:type="dxa"/>
            <w:gridSpan w:val="4"/>
          </w:tcPr>
          <w:p>
            <w:pPr>
              <w:pStyle w:val="TableParagraph"/>
              <w:spacing w:line="244" w:lineRule="auto"/>
              <w:ind w:left="107" w:right="194"/>
              <w:jc w:val="left"/>
              <w:rPr>
                <w:rFonts w:ascii="Times New Roman" w:hAnsi="Times New Roman" w:eastAsia="Times New Roman"/>
                <w:sz w:val="18"/>
              </w:rPr>
            </w:pPr>
            <w:r>
              <w:rPr>
                <w:sz w:val="18"/>
              </w:rPr>
              <w:t>水环境功能区或水功能区、近岸海域环境功能区水质达标状况：达标</w:t>
            </w:r>
            <w:r>
              <w:rPr>
                <w:rFonts w:ascii="Times New Roman" w:hAnsi="Times New Roman" w:eastAsia="Times New Roman"/>
                <w:sz w:val="18"/>
              </w:rPr>
              <w:t>□</w:t>
            </w:r>
            <w:r>
              <w:rPr>
                <w:sz w:val="18"/>
              </w:rPr>
              <w:t>；不达标</w:t>
            </w:r>
            <w:r>
              <w:rPr>
                <w:rFonts w:ascii="Times New Roman" w:hAnsi="Times New Roman" w:eastAsia="Times New Roman"/>
                <w:sz w:val="18"/>
              </w:rPr>
              <w:t>□ </w:t>
            </w:r>
            <w:r>
              <w:rPr>
                <w:sz w:val="18"/>
              </w:rPr>
              <w:t>水环境控制单元或断面水质达标状况：达标</w:t>
            </w:r>
            <w:r>
              <w:rPr>
                <w:rFonts w:ascii="Times New Roman" w:hAnsi="Times New Roman" w:eastAsia="Times New Roman"/>
                <w:sz w:val="18"/>
              </w:rPr>
              <w:t>□</w:t>
            </w:r>
            <w:r>
              <w:rPr>
                <w:sz w:val="18"/>
              </w:rPr>
              <w:t>；不达标</w:t>
            </w:r>
            <w:r>
              <w:rPr>
                <w:rFonts w:ascii="Times New Roman" w:hAnsi="Times New Roman" w:eastAsia="Times New Roman"/>
                <w:sz w:val="18"/>
              </w:rPr>
              <w:t>□</w:t>
            </w:r>
          </w:p>
          <w:p>
            <w:pPr>
              <w:pStyle w:val="TableParagraph"/>
              <w:spacing w:line="228" w:lineRule="exact"/>
              <w:ind w:left="107"/>
              <w:jc w:val="left"/>
              <w:rPr>
                <w:rFonts w:ascii="Times New Roman" w:hAnsi="Times New Roman" w:eastAsia="Times New Roman"/>
                <w:sz w:val="18"/>
              </w:rPr>
            </w:pPr>
            <w:r>
              <w:rPr>
                <w:sz w:val="18"/>
              </w:rPr>
              <w:t>水环境保护目标质量状况：达标</w:t>
            </w:r>
            <w:r>
              <w:rPr>
                <w:rFonts w:ascii="Times New Roman" w:hAnsi="Times New Roman" w:eastAsia="Times New Roman"/>
                <w:sz w:val="18"/>
              </w:rPr>
              <w:t>□</w:t>
            </w:r>
            <w:r>
              <w:rPr>
                <w:sz w:val="18"/>
              </w:rPr>
              <w:t>；不达标</w:t>
            </w:r>
            <w:r>
              <w:rPr>
                <w:rFonts w:ascii="Times New Roman" w:hAnsi="Times New Roman" w:eastAsia="Times New Roman"/>
                <w:sz w:val="18"/>
              </w:rPr>
              <w:t>□</w:t>
            </w:r>
          </w:p>
          <w:p>
            <w:pPr>
              <w:pStyle w:val="TableParagraph"/>
              <w:spacing w:line="244" w:lineRule="auto" w:before="2"/>
              <w:ind w:left="107" w:right="1454"/>
              <w:jc w:val="left"/>
              <w:rPr>
                <w:rFonts w:ascii="Times New Roman" w:hAnsi="Times New Roman" w:eastAsia="Times New Roman"/>
                <w:sz w:val="18"/>
              </w:rPr>
            </w:pPr>
            <w:r>
              <w:rPr>
                <w:sz w:val="18"/>
              </w:rPr>
              <w:t>对照断面、控制断面等代表性断面的水质状况：达标</w:t>
            </w:r>
            <w:r>
              <w:rPr>
                <w:rFonts w:ascii="Times New Roman" w:hAnsi="Times New Roman" w:eastAsia="Times New Roman"/>
                <w:sz w:val="18"/>
              </w:rPr>
              <w:t>□</w:t>
            </w:r>
            <w:r>
              <w:rPr>
                <w:sz w:val="18"/>
              </w:rPr>
              <w:t>；不达标</w:t>
            </w:r>
            <w:r>
              <w:rPr>
                <w:rFonts w:ascii="Times New Roman" w:hAnsi="Times New Roman" w:eastAsia="Times New Roman"/>
                <w:sz w:val="18"/>
              </w:rPr>
              <w:t>□ </w:t>
            </w:r>
            <w:r>
              <w:rPr>
                <w:sz w:val="18"/>
              </w:rPr>
              <w:t>底泥污染评价</w:t>
            </w:r>
            <w:r>
              <w:rPr>
                <w:rFonts w:ascii="Times New Roman" w:hAnsi="Times New Roman" w:eastAsia="Times New Roman"/>
                <w:sz w:val="18"/>
              </w:rPr>
              <w:t>□</w:t>
            </w:r>
          </w:p>
          <w:p>
            <w:pPr>
              <w:pStyle w:val="TableParagraph"/>
              <w:spacing w:line="242" w:lineRule="auto"/>
              <w:ind w:left="107" w:right="3182"/>
              <w:jc w:val="left"/>
              <w:rPr>
                <w:rFonts w:ascii="Times New Roman" w:hAnsi="Times New Roman" w:eastAsia="Times New Roman"/>
                <w:sz w:val="18"/>
              </w:rPr>
            </w:pPr>
            <w:r>
              <w:rPr>
                <w:sz w:val="18"/>
              </w:rPr>
              <w:t>水资源与开发利用程度及其水文情势评价</w:t>
            </w:r>
            <w:r>
              <w:rPr>
                <w:rFonts w:ascii="Times New Roman" w:hAnsi="Times New Roman" w:eastAsia="Times New Roman"/>
                <w:sz w:val="18"/>
              </w:rPr>
              <w:t>□ </w:t>
            </w:r>
            <w:r>
              <w:rPr>
                <w:sz w:val="18"/>
              </w:rPr>
              <w:t>水环境质量回顾评价</w:t>
            </w:r>
            <w:r>
              <w:rPr>
                <w:rFonts w:ascii="Times New Roman" w:hAnsi="Times New Roman" w:eastAsia="Times New Roman"/>
                <w:sz w:val="18"/>
              </w:rPr>
              <w:t>□</w:t>
            </w:r>
          </w:p>
          <w:p>
            <w:pPr>
              <w:pStyle w:val="TableParagraph"/>
              <w:spacing w:line="230" w:lineRule="exact"/>
              <w:ind w:left="107"/>
              <w:jc w:val="left"/>
              <w:rPr>
                <w:sz w:val="18"/>
              </w:rPr>
            </w:pPr>
            <w:r>
              <w:rPr>
                <w:sz w:val="18"/>
              </w:rPr>
              <w:t>流域（区域）水资源（包括水能资源）与开发利用总体状况、生态流量管理要求与</w:t>
            </w:r>
          </w:p>
          <w:p>
            <w:pPr>
              <w:pStyle w:val="TableParagraph"/>
              <w:spacing w:line="213" w:lineRule="exact" w:before="2"/>
              <w:ind w:left="107"/>
              <w:jc w:val="left"/>
              <w:rPr>
                <w:rFonts w:ascii="Times New Roman" w:hAnsi="Times New Roman" w:eastAsia="Times New Roman"/>
                <w:sz w:val="18"/>
              </w:rPr>
            </w:pPr>
            <w:r>
              <w:rPr>
                <w:sz w:val="18"/>
              </w:rPr>
              <w:t>现状满足程度、建设项目占用水域空间的水流状况与河湖演变状况</w:t>
            </w:r>
            <w:r>
              <w:rPr>
                <w:rFonts w:ascii="Times New Roman" w:hAnsi="Times New Roman" w:eastAsia="Times New Roman"/>
                <w:sz w:val="18"/>
              </w:rPr>
              <w:t>□</w:t>
            </w:r>
          </w:p>
        </w:tc>
        <w:tc>
          <w:tcPr>
            <w:tcW w:w="1108" w:type="dxa"/>
          </w:tcPr>
          <w:p>
            <w:pPr>
              <w:pStyle w:val="TableParagraph"/>
              <w:jc w:val="left"/>
              <w:rPr>
                <w:b/>
                <w:sz w:val="20"/>
              </w:rPr>
            </w:pPr>
          </w:p>
          <w:p>
            <w:pPr>
              <w:pStyle w:val="TableParagraph"/>
              <w:jc w:val="left"/>
              <w:rPr>
                <w:b/>
                <w:sz w:val="20"/>
              </w:rPr>
            </w:pPr>
          </w:p>
          <w:p>
            <w:pPr>
              <w:pStyle w:val="TableParagraph"/>
              <w:spacing w:before="11"/>
              <w:jc w:val="left"/>
              <w:rPr>
                <w:b/>
                <w:sz w:val="23"/>
              </w:rPr>
            </w:pPr>
          </w:p>
          <w:p>
            <w:pPr>
              <w:pStyle w:val="TableParagraph"/>
              <w:spacing w:line="242" w:lineRule="auto"/>
              <w:ind w:left="139" w:right="127" w:firstLine="91"/>
              <w:jc w:val="left"/>
              <w:rPr>
                <w:rFonts w:ascii="Times New Roman" w:hAnsi="Times New Roman" w:eastAsia="Times New Roman"/>
                <w:sz w:val="18"/>
              </w:rPr>
            </w:pPr>
            <w:r>
              <w:rPr>
                <w:sz w:val="18"/>
              </w:rPr>
              <w:t>达标区</w:t>
            </w:r>
            <w:r>
              <w:rPr>
                <w:rFonts w:ascii="Times New Roman" w:hAnsi="Times New Roman" w:eastAsia="Times New Roman"/>
                <w:sz w:val="18"/>
              </w:rPr>
              <w:t>□ </w:t>
            </w:r>
            <w:r>
              <w:rPr>
                <w:sz w:val="18"/>
              </w:rPr>
              <w:t>不达标区</w:t>
            </w:r>
            <w:r>
              <w:rPr>
                <w:rFonts w:ascii="Times New Roman" w:hAnsi="Times New Roman" w:eastAsia="Times New Roman"/>
                <w:sz w:val="18"/>
              </w:rPr>
              <w:t>□</w:t>
            </w:r>
          </w:p>
        </w:tc>
      </w:tr>
      <w:tr>
        <w:trPr>
          <w:trHeight w:val="340" w:hRule="atLeast"/>
        </w:trPr>
        <w:tc>
          <w:tcPr>
            <w:tcW w:w="425" w:type="dxa"/>
            <w:vMerge w:val="restart"/>
          </w:tcPr>
          <w:p>
            <w:pPr>
              <w:pStyle w:val="TableParagraph"/>
              <w:jc w:val="left"/>
              <w:rPr>
                <w:b/>
                <w:sz w:val="18"/>
              </w:rPr>
            </w:pPr>
          </w:p>
          <w:p>
            <w:pPr>
              <w:pStyle w:val="TableParagraph"/>
              <w:jc w:val="left"/>
              <w:rPr>
                <w:b/>
                <w:sz w:val="18"/>
              </w:rPr>
            </w:pPr>
          </w:p>
          <w:p>
            <w:pPr>
              <w:pStyle w:val="TableParagraph"/>
              <w:spacing w:line="242" w:lineRule="auto" w:before="126"/>
              <w:ind w:left="122" w:right="110"/>
              <w:jc w:val="both"/>
              <w:rPr>
                <w:sz w:val="18"/>
              </w:rPr>
            </w:pPr>
            <w:r>
              <w:rPr>
                <w:sz w:val="18"/>
              </w:rPr>
              <w:t>影响预测</w:t>
            </w:r>
          </w:p>
        </w:tc>
        <w:tc>
          <w:tcPr>
            <w:tcW w:w="1102" w:type="dxa"/>
          </w:tcPr>
          <w:p>
            <w:pPr>
              <w:pStyle w:val="TableParagraph"/>
              <w:spacing w:before="52"/>
              <w:ind w:left="6"/>
              <w:rPr>
                <w:sz w:val="18"/>
              </w:rPr>
            </w:pPr>
            <w:r>
              <w:rPr>
                <w:sz w:val="18"/>
              </w:rPr>
              <w:t>预测范围</w:t>
            </w:r>
          </w:p>
        </w:tc>
        <w:tc>
          <w:tcPr>
            <w:tcW w:w="7759" w:type="dxa"/>
            <w:gridSpan w:val="5"/>
          </w:tcPr>
          <w:p>
            <w:pPr>
              <w:pStyle w:val="TableParagraph"/>
              <w:spacing w:before="52"/>
              <w:ind w:left="107"/>
              <w:jc w:val="left"/>
              <w:rPr>
                <w:rFonts w:ascii="Times New Roman" w:eastAsia="Times New Roman"/>
                <w:sz w:val="12"/>
              </w:rPr>
            </w:pPr>
            <w:r>
              <w:rPr>
                <w:sz w:val="18"/>
              </w:rPr>
              <w:t>河流：长度（）</w:t>
            </w:r>
            <w:r>
              <w:rPr>
                <w:rFonts w:ascii="Times New Roman" w:eastAsia="Times New Roman"/>
                <w:sz w:val="18"/>
              </w:rPr>
              <w:t>km</w:t>
            </w:r>
            <w:r>
              <w:rPr>
                <w:sz w:val="18"/>
              </w:rPr>
              <w:t>；湖库、河口及近岸海域：面积（）</w:t>
            </w:r>
            <w:r>
              <w:rPr>
                <w:rFonts w:ascii="Times New Roman" w:eastAsia="Times New Roman"/>
                <w:sz w:val="18"/>
              </w:rPr>
              <w:t>km</w:t>
            </w:r>
            <w:r>
              <w:rPr>
                <w:rFonts w:ascii="Times New Roman" w:eastAsia="Times New Roman"/>
                <w:position w:val="6"/>
                <w:sz w:val="12"/>
              </w:rPr>
              <w:t>2</w:t>
            </w:r>
          </w:p>
        </w:tc>
      </w:tr>
      <w:tr>
        <w:trPr>
          <w:trHeight w:val="340" w:hRule="atLeast"/>
        </w:trPr>
        <w:tc>
          <w:tcPr>
            <w:tcW w:w="425" w:type="dxa"/>
            <w:vMerge/>
            <w:tcBorders>
              <w:top w:val="nil"/>
            </w:tcBorders>
          </w:tcPr>
          <w:p>
            <w:pPr>
              <w:rPr>
                <w:sz w:val="2"/>
                <w:szCs w:val="2"/>
              </w:rPr>
            </w:pPr>
          </w:p>
        </w:tc>
        <w:tc>
          <w:tcPr>
            <w:tcW w:w="1102" w:type="dxa"/>
          </w:tcPr>
          <w:p>
            <w:pPr>
              <w:pStyle w:val="TableParagraph"/>
              <w:spacing w:before="52"/>
              <w:ind w:left="6"/>
              <w:rPr>
                <w:sz w:val="18"/>
              </w:rPr>
            </w:pPr>
            <w:r>
              <w:rPr>
                <w:sz w:val="18"/>
              </w:rPr>
              <w:t>预测因子</w:t>
            </w:r>
          </w:p>
        </w:tc>
        <w:tc>
          <w:tcPr>
            <w:tcW w:w="7759" w:type="dxa"/>
            <w:gridSpan w:val="5"/>
          </w:tcPr>
          <w:p>
            <w:pPr>
              <w:pStyle w:val="TableParagraph"/>
              <w:spacing w:before="52"/>
              <w:ind w:left="107"/>
              <w:jc w:val="left"/>
              <w:rPr>
                <w:sz w:val="18"/>
              </w:rPr>
            </w:pPr>
            <w:r>
              <w:rPr>
                <w:sz w:val="18"/>
              </w:rPr>
              <w:t>（）</w:t>
            </w:r>
          </w:p>
        </w:tc>
      </w:tr>
      <w:tr>
        <w:trPr>
          <w:trHeight w:val="698" w:hRule="atLeast"/>
        </w:trPr>
        <w:tc>
          <w:tcPr>
            <w:tcW w:w="425" w:type="dxa"/>
            <w:vMerge/>
            <w:tcBorders>
              <w:top w:val="nil"/>
            </w:tcBorders>
          </w:tcPr>
          <w:p>
            <w:pPr>
              <w:rPr>
                <w:sz w:val="2"/>
                <w:szCs w:val="2"/>
              </w:rPr>
            </w:pPr>
          </w:p>
        </w:tc>
        <w:tc>
          <w:tcPr>
            <w:tcW w:w="1102" w:type="dxa"/>
          </w:tcPr>
          <w:p>
            <w:pPr>
              <w:pStyle w:val="TableParagraph"/>
              <w:spacing w:before="1"/>
              <w:jc w:val="left"/>
              <w:rPr>
                <w:b/>
                <w:sz w:val="18"/>
              </w:rPr>
            </w:pPr>
          </w:p>
          <w:p>
            <w:pPr>
              <w:pStyle w:val="TableParagraph"/>
              <w:spacing w:before="1"/>
              <w:ind w:left="6"/>
              <w:rPr>
                <w:sz w:val="18"/>
              </w:rPr>
            </w:pPr>
            <w:r>
              <w:rPr>
                <w:sz w:val="18"/>
              </w:rPr>
              <w:t>预测时期</w:t>
            </w:r>
          </w:p>
        </w:tc>
        <w:tc>
          <w:tcPr>
            <w:tcW w:w="7759" w:type="dxa"/>
            <w:gridSpan w:val="5"/>
          </w:tcPr>
          <w:p>
            <w:pPr>
              <w:pStyle w:val="TableParagraph"/>
              <w:spacing w:line="242" w:lineRule="auto"/>
              <w:ind w:left="107" w:right="4324"/>
              <w:jc w:val="left"/>
              <w:rPr>
                <w:rFonts w:ascii="Times New Roman" w:hAnsi="Times New Roman" w:eastAsia="Times New Roman"/>
                <w:sz w:val="18"/>
              </w:rPr>
            </w:pPr>
            <w:r>
              <w:rPr>
                <w:sz w:val="18"/>
              </w:rPr>
              <w:t>丰水期</w:t>
            </w:r>
            <w:r>
              <w:rPr>
                <w:rFonts w:ascii="Times New Roman" w:hAnsi="Times New Roman" w:eastAsia="Times New Roman"/>
                <w:sz w:val="18"/>
              </w:rPr>
              <w:t>□</w:t>
            </w:r>
            <w:r>
              <w:rPr>
                <w:sz w:val="18"/>
              </w:rPr>
              <w:t>；平水期</w:t>
            </w:r>
            <w:r>
              <w:rPr>
                <w:rFonts w:ascii="Times New Roman" w:hAnsi="Times New Roman" w:eastAsia="Times New Roman"/>
                <w:sz w:val="18"/>
              </w:rPr>
              <w:t>□</w:t>
            </w:r>
            <w:r>
              <w:rPr>
                <w:sz w:val="18"/>
              </w:rPr>
              <w:t>；枯水期</w:t>
            </w:r>
            <w:r>
              <w:rPr>
                <w:rFonts w:ascii="Times New Roman" w:hAnsi="Times New Roman" w:eastAsia="Times New Roman"/>
                <w:sz w:val="18"/>
              </w:rPr>
              <w:t>□</w:t>
            </w:r>
            <w:r>
              <w:rPr>
                <w:sz w:val="18"/>
              </w:rPr>
              <w:t>；冰封期</w:t>
            </w:r>
            <w:r>
              <w:rPr>
                <w:rFonts w:ascii="Times New Roman" w:hAnsi="Times New Roman" w:eastAsia="Times New Roman"/>
                <w:sz w:val="18"/>
              </w:rPr>
              <w:t>□</w:t>
            </w:r>
            <w:r>
              <w:rPr>
                <w:sz w:val="18"/>
              </w:rPr>
              <w:t>； 春季</w:t>
            </w:r>
            <w:r>
              <w:rPr>
                <w:rFonts w:ascii="Times New Roman" w:hAnsi="Times New Roman" w:eastAsia="Times New Roman"/>
                <w:sz w:val="18"/>
              </w:rPr>
              <w:t>□</w:t>
            </w:r>
            <w:r>
              <w:rPr>
                <w:sz w:val="18"/>
              </w:rPr>
              <w:t>；夏季</w:t>
            </w:r>
            <w:r>
              <w:rPr>
                <w:rFonts w:ascii="Times New Roman" w:hAnsi="Times New Roman" w:eastAsia="Times New Roman"/>
                <w:sz w:val="18"/>
              </w:rPr>
              <w:t>□</w:t>
            </w:r>
            <w:r>
              <w:rPr>
                <w:sz w:val="18"/>
              </w:rPr>
              <w:t>；秋季</w:t>
            </w:r>
            <w:r>
              <w:rPr>
                <w:rFonts w:ascii="Times New Roman" w:hAnsi="Times New Roman" w:eastAsia="Times New Roman"/>
                <w:sz w:val="18"/>
              </w:rPr>
              <w:t>□</w:t>
            </w:r>
            <w:r>
              <w:rPr>
                <w:sz w:val="18"/>
              </w:rPr>
              <w:t>；冬季</w:t>
            </w:r>
            <w:r>
              <w:rPr>
                <w:rFonts w:ascii="Times New Roman" w:hAnsi="Times New Roman" w:eastAsia="Times New Roman"/>
                <w:sz w:val="18"/>
              </w:rPr>
              <w:t>□</w:t>
            </w:r>
          </w:p>
          <w:p>
            <w:pPr>
              <w:pStyle w:val="TableParagraph"/>
              <w:spacing w:line="212" w:lineRule="exact"/>
              <w:ind w:left="107"/>
              <w:jc w:val="left"/>
              <w:rPr>
                <w:rFonts w:ascii="Times New Roman" w:hAnsi="Times New Roman" w:eastAsia="Times New Roman"/>
                <w:sz w:val="18"/>
              </w:rPr>
            </w:pPr>
            <w:r>
              <w:rPr>
                <w:sz w:val="18"/>
              </w:rPr>
              <w:t>设计水文条件</w:t>
            </w:r>
            <w:r>
              <w:rPr>
                <w:rFonts w:ascii="Times New Roman" w:hAnsi="Times New Roman" w:eastAsia="Times New Roman"/>
                <w:sz w:val="18"/>
              </w:rPr>
              <w:t>□</w:t>
            </w:r>
          </w:p>
        </w:tc>
      </w:tr>
      <w:tr>
        <w:trPr>
          <w:trHeight w:val="702" w:hRule="atLeast"/>
        </w:trPr>
        <w:tc>
          <w:tcPr>
            <w:tcW w:w="425" w:type="dxa"/>
            <w:vMerge/>
            <w:tcBorders>
              <w:top w:val="nil"/>
            </w:tcBorders>
          </w:tcPr>
          <w:p>
            <w:pPr>
              <w:rPr>
                <w:sz w:val="2"/>
                <w:szCs w:val="2"/>
              </w:rPr>
            </w:pPr>
          </w:p>
        </w:tc>
        <w:tc>
          <w:tcPr>
            <w:tcW w:w="1102" w:type="dxa"/>
          </w:tcPr>
          <w:p>
            <w:pPr>
              <w:pStyle w:val="TableParagraph"/>
              <w:spacing w:before="4"/>
              <w:jc w:val="left"/>
              <w:rPr>
                <w:b/>
                <w:sz w:val="18"/>
              </w:rPr>
            </w:pPr>
          </w:p>
          <w:p>
            <w:pPr>
              <w:pStyle w:val="TableParagraph"/>
              <w:ind w:left="6"/>
              <w:rPr>
                <w:sz w:val="18"/>
              </w:rPr>
            </w:pPr>
            <w:r>
              <w:rPr>
                <w:sz w:val="18"/>
              </w:rPr>
              <w:t>预测情景</w:t>
            </w:r>
          </w:p>
        </w:tc>
        <w:tc>
          <w:tcPr>
            <w:tcW w:w="7759" w:type="dxa"/>
            <w:gridSpan w:val="5"/>
          </w:tcPr>
          <w:p>
            <w:pPr>
              <w:pStyle w:val="TableParagraph"/>
              <w:spacing w:line="242" w:lineRule="auto" w:before="2"/>
              <w:ind w:left="107" w:right="4794"/>
              <w:jc w:val="left"/>
              <w:rPr>
                <w:rFonts w:ascii="Times New Roman" w:hAnsi="Times New Roman" w:eastAsia="Times New Roman"/>
                <w:sz w:val="18"/>
              </w:rPr>
            </w:pPr>
            <w:r>
              <w:rPr>
                <w:spacing w:val="-13"/>
                <w:sz w:val="18"/>
              </w:rPr>
              <w:t>建设期</w:t>
            </w:r>
            <w:r>
              <w:rPr>
                <w:rFonts w:ascii="Times New Roman" w:hAnsi="Times New Roman" w:eastAsia="Times New Roman"/>
                <w:spacing w:val="-6"/>
                <w:sz w:val="18"/>
              </w:rPr>
              <w:t>□</w:t>
            </w:r>
            <w:r>
              <w:rPr>
                <w:spacing w:val="-12"/>
                <w:sz w:val="18"/>
              </w:rPr>
              <w:t>；生产运行期</w:t>
            </w:r>
            <w:r>
              <w:rPr>
                <w:rFonts w:ascii="Times New Roman" w:hAnsi="Times New Roman" w:eastAsia="Times New Roman"/>
                <w:spacing w:val="-6"/>
                <w:sz w:val="18"/>
              </w:rPr>
              <w:t>□</w:t>
            </w:r>
            <w:r>
              <w:rPr>
                <w:spacing w:val="-13"/>
                <w:sz w:val="18"/>
              </w:rPr>
              <w:t>；服务期满后</w:t>
            </w:r>
            <w:r>
              <w:rPr>
                <w:rFonts w:ascii="Times New Roman" w:hAnsi="Times New Roman" w:eastAsia="Times New Roman"/>
                <w:spacing w:val="-15"/>
                <w:sz w:val="18"/>
              </w:rPr>
              <w:t>□ </w:t>
            </w:r>
            <w:r>
              <w:rPr>
                <w:spacing w:val="-13"/>
                <w:sz w:val="18"/>
              </w:rPr>
              <w:t>正常工况</w:t>
            </w:r>
            <w:r>
              <w:rPr>
                <w:rFonts w:ascii="Times New Roman" w:hAnsi="Times New Roman" w:eastAsia="Times New Roman"/>
                <w:spacing w:val="-6"/>
                <w:sz w:val="18"/>
              </w:rPr>
              <w:t>□</w:t>
            </w:r>
            <w:r>
              <w:rPr>
                <w:spacing w:val="-12"/>
                <w:sz w:val="18"/>
              </w:rPr>
              <w:t>；非正常工况</w:t>
            </w:r>
            <w:r>
              <w:rPr>
                <w:rFonts w:ascii="Times New Roman" w:hAnsi="Times New Roman" w:eastAsia="Times New Roman"/>
                <w:sz w:val="18"/>
              </w:rPr>
              <w:t>□</w:t>
            </w:r>
          </w:p>
          <w:p>
            <w:pPr>
              <w:pStyle w:val="TableParagraph"/>
              <w:spacing w:line="215" w:lineRule="exact"/>
              <w:ind w:left="107"/>
              <w:jc w:val="left"/>
              <w:rPr>
                <w:rFonts w:ascii="Times New Roman" w:hAnsi="Times New Roman" w:eastAsia="Times New Roman"/>
                <w:sz w:val="18"/>
              </w:rPr>
            </w:pPr>
            <w:r>
              <w:rPr>
                <w:sz w:val="18"/>
              </w:rPr>
              <w:t>污染控制和减缓措施方案</w:t>
            </w:r>
            <w:r>
              <w:rPr>
                <w:rFonts w:ascii="Times New Roman" w:hAnsi="Times New Roman" w:eastAsia="Times New Roman"/>
                <w:sz w:val="18"/>
              </w:rPr>
              <w:t>□</w:t>
            </w:r>
          </w:p>
        </w:tc>
      </w:tr>
    </w:tbl>
    <w:p>
      <w:pPr>
        <w:spacing w:after="0" w:line="215" w:lineRule="exact"/>
        <w:jc w:val="left"/>
        <w:rPr>
          <w:rFonts w:ascii="Times New Roman" w:hAnsi="Times New Roman" w:eastAsia="Times New Roman"/>
          <w:sz w:val="18"/>
        </w:rPr>
        <w:sectPr>
          <w:pgSz w:w="11910" w:h="16840"/>
          <w:pgMar w:header="872" w:footer="1015" w:top="1100" w:bottom="1200" w:left="1100" w:right="1100"/>
        </w:sectPr>
      </w:pPr>
    </w:p>
    <w:p>
      <w:pPr>
        <w:pStyle w:val="BodyText"/>
        <w:spacing w:before="1"/>
        <w:rPr>
          <w:rFonts w:ascii="Times New Roman"/>
          <w:sz w:val="26"/>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1102"/>
        <w:gridCol w:w="1463"/>
        <w:gridCol w:w="1047"/>
        <w:gridCol w:w="526"/>
        <w:gridCol w:w="1580"/>
        <w:gridCol w:w="524"/>
        <w:gridCol w:w="1052"/>
        <w:gridCol w:w="1573"/>
      </w:tblGrid>
      <w:tr>
        <w:trPr>
          <w:trHeight w:val="340" w:hRule="atLeast"/>
        </w:trPr>
        <w:tc>
          <w:tcPr>
            <w:tcW w:w="425" w:type="dxa"/>
            <w:vMerge w:val="restart"/>
          </w:tcPr>
          <w:p>
            <w:pPr>
              <w:pStyle w:val="TableParagraph"/>
              <w:jc w:val="left"/>
              <w:rPr>
                <w:rFonts w:ascii="Times New Roman"/>
                <w:sz w:val="16"/>
              </w:rPr>
            </w:pPr>
          </w:p>
        </w:tc>
        <w:tc>
          <w:tcPr>
            <w:tcW w:w="1102" w:type="dxa"/>
          </w:tcPr>
          <w:p>
            <w:pPr>
              <w:pStyle w:val="TableParagraph"/>
              <w:jc w:val="left"/>
              <w:rPr>
                <w:rFonts w:ascii="Times New Roman"/>
                <w:sz w:val="16"/>
              </w:rPr>
            </w:pPr>
          </w:p>
        </w:tc>
        <w:tc>
          <w:tcPr>
            <w:tcW w:w="7765" w:type="dxa"/>
            <w:gridSpan w:val="7"/>
          </w:tcPr>
          <w:p>
            <w:pPr>
              <w:pStyle w:val="TableParagraph"/>
              <w:spacing w:line="230" w:lineRule="exact"/>
              <w:ind w:left="107"/>
              <w:jc w:val="left"/>
              <w:rPr>
                <w:rFonts w:ascii="Times New Roman" w:hAnsi="Times New Roman" w:eastAsia="Times New Roman"/>
                <w:sz w:val="18"/>
              </w:rPr>
            </w:pPr>
            <w:r>
              <w:rPr>
                <w:sz w:val="18"/>
              </w:rPr>
              <w:t>区（流）域环境质量改善目标要求情景</w:t>
            </w:r>
            <w:r>
              <w:rPr>
                <w:rFonts w:ascii="Times New Roman" w:hAnsi="Times New Roman" w:eastAsia="Times New Roman"/>
                <w:sz w:val="18"/>
              </w:rPr>
              <w:t>□</w:t>
            </w:r>
          </w:p>
        </w:tc>
      </w:tr>
      <w:tr>
        <w:trPr>
          <w:trHeight w:val="465" w:hRule="atLeast"/>
        </w:trPr>
        <w:tc>
          <w:tcPr>
            <w:tcW w:w="425" w:type="dxa"/>
            <w:vMerge/>
            <w:tcBorders>
              <w:top w:val="nil"/>
            </w:tcBorders>
          </w:tcPr>
          <w:p>
            <w:pPr>
              <w:rPr>
                <w:sz w:val="2"/>
                <w:szCs w:val="2"/>
              </w:rPr>
            </w:pPr>
          </w:p>
        </w:tc>
        <w:tc>
          <w:tcPr>
            <w:tcW w:w="1102" w:type="dxa"/>
          </w:tcPr>
          <w:p>
            <w:pPr>
              <w:pStyle w:val="TableParagraph"/>
              <w:spacing w:before="115"/>
              <w:ind w:left="6"/>
              <w:rPr>
                <w:sz w:val="18"/>
              </w:rPr>
            </w:pPr>
            <w:r>
              <w:rPr>
                <w:sz w:val="18"/>
              </w:rPr>
              <w:t>预测方法</w:t>
            </w:r>
          </w:p>
        </w:tc>
        <w:tc>
          <w:tcPr>
            <w:tcW w:w="7765" w:type="dxa"/>
            <w:gridSpan w:val="7"/>
          </w:tcPr>
          <w:p>
            <w:pPr>
              <w:pStyle w:val="TableParagraph"/>
              <w:ind w:left="107"/>
              <w:jc w:val="left"/>
              <w:rPr>
                <w:rFonts w:ascii="Times New Roman" w:hAnsi="Times New Roman" w:eastAsia="Times New Roman"/>
                <w:sz w:val="18"/>
              </w:rPr>
            </w:pPr>
            <w:r>
              <w:rPr>
                <w:sz w:val="18"/>
              </w:rPr>
              <w:t>数解值</w:t>
            </w:r>
            <w:r>
              <w:rPr>
                <w:rFonts w:ascii="Times New Roman" w:hAnsi="Times New Roman" w:eastAsia="Times New Roman"/>
                <w:sz w:val="18"/>
              </w:rPr>
              <w:t>□</w:t>
            </w:r>
            <w:r>
              <w:rPr>
                <w:sz w:val="18"/>
              </w:rPr>
              <w:t>：解析值</w:t>
            </w:r>
            <w:r>
              <w:rPr>
                <w:rFonts w:ascii="Times New Roman" w:hAnsi="Times New Roman" w:eastAsia="Times New Roman"/>
                <w:sz w:val="18"/>
              </w:rPr>
              <w:t>□</w:t>
            </w:r>
            <w:r>
              <w:rPr>
                <w:sz w:val="18"/>
              </w:rPr>
              <w:t>；其他</w:t>
            </w:r>
            <w:r>
              <w:rPr>
                <w:rFonts w:ascii="Times New Roman" w:hAnsi="Times New Roman" w:eastAsia="Times New Roman"/>
                <w:sz w:val="18"/>
              </w:rPr>
              <w:t>□</w:t>
            </w:r>
          </w:p>
          <w:p>
            <w:pPr>
              <w:pStyle w:val="TableParagraph"/>
              <w:spacing w:line="213" w:lineRule="exact" w:before="2"/>
              <w:ind w:left="107"/>
              <w:jc w:val="left"/>
              <w:rPr>
                <w:rFonts w:ascii="Times New Roman" w:hAnsi="Times New Roman" w:eastAsia="Times New Roman"/>
                <w:sz w:val="18"/>
              </w:rPr>
            </w:pPr>
            <w:r>
              <w:rPr>
                <w:sz w:val="18"/>
              </w:rPr>
              <w:t>导则推荐模式</w:t>
            </w:r>
            <w:r>
              <w:rPr>
                <w:rFonts w:ascii="Times New Roman" w:hAnsi="Times New Roman" w:eastAsia="Times New Roman"/>
                <w:sz w:val="18"/>
              </w:rPr>
              <w:t>□</w:t>
            </w:r>
            <w:r>
              <w:rPr>
                <w:sz w:val="18"/>
              </w:rPr>
              <w:t>：其他</w:t>
            </w:r>
            <w:r>
              <w:rPr>
                <w:rFonts w:ascii="Times New Roman" w:hAnsi="Times New Roman" w:eastAsia="Times New Roman"/>
                <w:sz w:val="18"/>
              </w:rPr>
              <w:t>□</w:t>
            </w:r>
          </w:p>
        </w:tc>
      </w:tr>
      <w:tr>
        <w:trPr>
          <w:trHeight w:val="1168" w:hRule="atLeast"/>
        </w:trPr>
        <w:tc>
          <w:tcPr>
            <w:tcW w:w="425" w:type="dxa"/>
            <w:vMerge w:val="restart"/>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before="1"/>
              <w:jc w:val="left"/>
              <w:rPr>
                <w:rFonts w:ascii="Times New Roman"/>
                <w:sz w:val="17"/>
              </w:rPr>
            </w:pPr>
          </w:p>
          <w:p>
            <w:pPr>
              <w:pStyle w:val="TableParagraph"/>
              <w:spacing w:line="242" w:lineRule="auto"/>
              <w:ind w:left="122" w:right="110"/>
              <w:jc w:val="both"/>
              <w:rPr>
                <w:sz w:val="18"/>
              </w:rPr>
            </w:pPr>
            <w:r>
              <w:rPr>
                <w:sz w:val="18"/>
              </w:rPr>
              <w:t>影响评价</w:t>
            </w:r>
          </w:p>
        </w:tc>
        <w:tc>
          <w:tcPr>
            <w:tcW w:w="1102" w:type="dxa"/>
          </w:tcPr>
          <w:p>
            <w:pPr>
              <w:pStyle w:val="TableParagraph"/>
              <w:spacing w:line="242" w:lineRule="auto" w:before="2"/>
              <w:ind w:left="189" w:right="180"/>
              <w:jc w:val="both"/>
              <w:rPr>
                <w:sz w:val="18"/>
              </w:rPr>
            </w:pPr>
            <w:r>
              <w:rPr>
                <w:spacing w:val="-5"/>
                <w:sz w:val="18"/>
              </w:rPr>
              <w:t>水污染控制和水环境影响减缓措施有</w:t>
            </w:r>
          </w:p>
          <w:p>
            <w:pPr>
              <w:pStyle w:val="TableParagraph"/>
              <w:spacing w:line="213" w:lineRule="exact" w:before="2"/>
              <w:ind w:left="189"/>
              <w:jc w:val="left"/>
              <w:rPr>
                <w:sz w:val="18"/>
              </w:rPr>
            </w:pPr>
            <w:r>
              <w:rPr>
                <w:sz w:val="18"/>
              </w:rPr>
              <w:t>效性评价</w:t>
            </w:r>
          </w:p>
        </w:tc>
        <w:tc>
          <w:tcPr>
            <w:tcW w:w="7765" w:type="dxa"/>
            <w:gridSpan w:val="7"/>
          </w:tcPr>
          <w:p>
            <w:pPr>
              <w:pStyle w:val="TableParagraph"/>
              <w:jc w:val="left"/>
              <w:rPr>
                <w:rFonts w:ascii="Times New Roman"/>
                <w:sz w:val="20"/>
              </w:rPr>
            </w:pPr>
          </w:p>
          <w:p>
            <w:pPr>
              <w:pStyle w:val="TableParagraph"/>
              <w:spacing w:before="7"/>
              <w:jc w:val="left"/>
              <w:rPr>
                <w:rFonts w:ascii="Times New Roman"/>
                <w:sz w:val="20"/>
              </w:rPr>
            </w:pPr>
          </w:p>
          <w:p>
            <w:pPr>
              <w:pStyle w:val="TableParagraph"/>
              <w:spacing w:before="1"/>
              <w:ind w:left="107"/>
              <w:jc w:val="left"/>
              <w:rPr>
                <w:rFonts w:ascii="Times New Roman" w:hAnsi="Times New Roman" w:eastAsia="Times New Roman"/>
                <w:sz w:val="18"/>
              </w:rPr>
            </w:pPr>
            <w:r>
              <w:rPr>
                <w:sz w:val="18"/>
              </w:rPr>
              <w:t>区（流）域环境质量改善目标</w:t>
            </w:r>
            <w:r>
              <w:rPr>
                <w:rFonts w:ascii="Times New Roman" w:hAnsi="Times New Roman" w:eastAsia="Times New Roman"/>
                <w:sz w:val="18"/>
              </w:rPr>
              <w:t>□</w:t>
            </w:r>
            <w:r>
              <w:rPr>
                <w:sz w:val="18"/>
              </w:rPr>
              <w:t>；替代削减源</w:t>
            </w:r>
            <w:r>
              <w:rPr>
                <w:rFonts w:ascii="Times New Roman" w:hAnsi="Times New Roman" w:eastAsia="Times New Roman"/>
                <w:sz w:val="18"/>
              </w:rPr>
              <w:t>□</w:t>
            </w:r>
          </w:p>
        </w:tc>
      </w:tr>
      <w:tr>
        <w:trPr>
          <w:trHeight w:val="2800" w:hRule="atLeast"/>
        </w:trPr>
        <w:tc>
          <w:tcPr>
            <w:tcW w:w="425" w:type="dxa"/>
            <w:vMerge/>
            <w:tcBorders>
              <w:top w:val="nil"/>
            </w:tcBorders>
          </w:tcPr>
          <w:p>
            <w:pPr>
              <w:rPr>
                <w:sz w:val="2"/>
                <w:szCs w:val="2"/>
              </w:rPr>
            </w:pPr>
          </w:p>
        </w:tc>
        <w:tc>
          <w:tcPr>
            <w:tcW w:w="1102" w:type="dxa"/>
          </w:tcPr>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jc w:val="left"/>
              <w:rPr>
                <w:rFonts w:ascii="Times New Roman"/>
                <w:sz w:val="18"/>
              </w:rPr>
            </w:pPr>
          </w:p>
          <w:p>
            <w:pPr>
              <w:pStyle w:val="TableParagraph"/>
              <w:spacing w:line="244" w:lineRule="auto" w:before="131"/>
              <w:ind w:left="280" w:right="180" w:hanging="92"/>
              <w:jc w:val="left"/>
              <w:rPr>
                <w:sz w:val="18"/>
              </w:rPr>
            </w:pPr>
            <w:r>
              <w:rPr>
                <w:sz w:val="18"/>
              </w:rPr>
              <w:t>水环境影响评价</w:t>
            </w:r>
          </w:p>
        </w:tc>
        <w:tc>
          <w:tcPr>
            <w:tcW w:w="7765" w:type="dxa"/>
            <w:gridSpan w:val="7"/>
          </w:tcPr>
          <w:p>
            <w:pPr>
              <w:pStyle w:val="TableParagraph"/>
              <w:ind w:left="107"/>
              <w:jc w:val="left"/>
              <w:rPr>
                <w:rFonts w:ascii="Times New Roman" w:hAnsi="Times New Roman" w:eastAsia="Times New Roman"/>
                <w:sz w:val="18"/>
              </w:rPr>
            </w:pPr>
            <w:r>
              <w:rPr>
                <w:sz w:val="18"/>
              </w:rPr>
              <w:t>排放口混合区外满足水环境管理要求</w:t>
            </w:r>
            <w:r>
              <w:rPr>
                <w:rFonts w:ascii="Times New Roman" w:hAnsi="Times New Roman" w:eastAsia="Times New Roman"/>
                <w:sz w:val="18"/>
              </w:rPr>
              <w:t>□</w:t>
            </w:r>
          </w:p>
          <w:p>
            <w:pPr>
              <w:pStyle w:val="TableParagraph"/>
              <w:spacing w:line="244" w:lineRule="auto" w:before="2"/>
              <w:ind w:left="107" w:right="3338"/>
              <w:jc w:val="left"/>
              <w:rPr>
                <w:rFonts w:ascii="Times New Roman" w:hAnsi="Times New Roman" w:eastAsia="Times New Roman"/>
                <w:sz w:val="18"/>
              </w:rPr>
            </w:pPr>
            <w:r>
              <w:rPr>
                <w:spacing w:val="-13"/>
                <w:sz w:val="18"/>
              </w:rPr>
              <w:t>水环境功能区或水功能区、近岸海域环境功能区水质达标</w:t>
            </w:r>
            <w:r>
              <w:rPr>
                <w:rFonts w:ascii="Times New Roman" w:hAnsi="Times New Roman" w:eastAsia="Times New Roman"/>
                <w:spacing w:val="-17"/>
                <w:sz w:val="18"/>
              </w:rPr>
              <w:t>□ </w:t>
            </w:r>
            <w:r>
              <w:rPr>
                <w:spacing w:val="-13"/>
                <w:sz w:val="18"/>
              </w:rPr>
              <w:t>满足水环境保护目标水域水环境质量要求</w:t>
            </w:r>
            <w:r>
              <w:rPr>
                <w:rFonts w:ascii="Times New Roman" w:hAnsi="Times New Roman" w:eastAsia="Times New Roman"/>
                <w:sz w:val="18"/>
              </w:rPr>
              <w:t>□</w:t>
            </w:r>
          </w:p>
          <w:p>
            <w:pPr>
              <w:pStyle w:val="TableParagraph"/>
              <w:spacing w:line="228" w:lineRule="exact"/>
              <w:ind w:left="107"/>
              <w:jc w:val="left"/>
              <w:rPr>
                <w:rFonts w:ascii="Times New Roman" w:hAnsi="Times New Roman" w:eastAsia="Times New Roman"/>
                <w:sz w:val="18"/>
              </w:rPr>
            </w:pPr>
            <w:r>
              <w:rPr>
                <w:sz w:val="18"/>
              </w:rPr>
              <w:t>水环境控制单元或断面水质达标</w:t>
            </w:r>
            <w:r>
              <w:rPr>
                <w:rFonts w:ascii="Times New Roman" w:hAnsi="Times New Roman" w:eastAsia="Times New Roman"/>
                <w:sz w:val="18"/>
              </w:rPr>
              <w:t>□</w:t>
            </w:r>
          </w:p>
          <w:p>
            <w:pPr>
              <w:pStyle w:val="TableParagraph"/>
              <w:spacing w:line="242" w:lineRule="auto" w:before="2"/>
              <w:ind w:left="107" w:right="102"/>
              <w:jc w:val="left"/>
              <w:rPr>
                <w:rFonts w:ascii="Times New Roman" w:hAnsi="Times New Roman" w:eastAsia="Times New Roman"/>
                <w:sz w:val="18"/>
              </w:rPr>
            </w:pPr>
            <w:r>
              <w:rPr>
                <w:spacing w:val="-16"/>
                <w:sz w:val="18"/>
              </w:rPr>
              <w:t>满足重点水污染物排放总量控制指标要求，重点行业建设项目，主要污染物排放满足等量或减量替代要</w:t>
            </w:r>
            <w:r>
              <w:rPr>
                <w:spacing w:val="-15"/>
                <w:sz w:val="18"/>
              </w:rPr>
              <w:t>求</w:t>
            </w:r>
            <w:r>
              <w:rPr>
                <w:rFonts w:ascii="Times New Roman" w:hAnsi="Times New Roman" w:eastAsia="Times New Roman"/>
                <w:sz w:val="18"/>
              </w:rPr>
              <w:t>□</w:t>
            </w:r>
          </w:p>
          <w:p>
            <w:pPr>
              <w:pStyle w:val="TableParagraph"/>
              <w:spacing w:before="2"/>
              <w:ind w:left="107"/>
              <w:jc w:val="left"/>
              <w:rPr>
                <w:rFonts w:ascii="Times New Roman" w:hAnsi="Times New Roman" w:eastAsia="Times New Roman"/>
                <w:sz w:val="18"/>
              </w:rPr>
            </w:pPr>
            <w:r>
              <w:rPr>
                <w:sz w:val="18"/>
              </w:rPr>
              <w:t>满足区（流）域环境质量改善目标</w:t>
            </w:r>
            <w:r>
              <w:rPr>
                <w:rFonts w:ascii="Times New Roman" w:hAnsi="Times New Roman" w:eastAsia="Times New Roman"/>
                <w:sz w:val="18"/>
              </w:rPr>
              <w:t>□</w:t>
            </w:r>
          </w:p>
          <w:p>
            <w:pPr>
              <w:pStyle w:val="TableParagraph"/>
              <w:spacing w:line="242" w:lineRule="auto" w:before="2"/>
              <w:ind w:left="107" w:right="61"/>
              <w:jc w:val="left"/>
              <w:rPr>
                <w:rFonts w:ascii="Times New Roman" w:hAnsi="Times New Roman" w:eastAsia="Times New Roman"/>
                <w:sz w:val="18"/>
              </w:rPr>
            </w:pPr>
            <w:r>
              <w:rPr>
                <w:sz w:val="18"/>
              </w:rPr>
              <w:t>水文要素影响型建设项目同时应包括水文情势变化评价、主要水文特征值影响评价、生态流量符合性评价</w:t>
            </w:r>
            <w:r>
              <w:rPr>
                <w:rFonts w:ascii="Times New Roman" w:hAnsi="Times New Roman" w:eastAsia="Times New Roman"/>
                <w:sz w:val="18"/>
              </w:rPr>
              <w:t>□</w:t>
            </w:r>
          </w:p>
          <w:p>
            <w:pPr>
              <w:pStyle w:val="TableParagraph"/>
              <w:spacing w:line="244" w:lineRule="auto" w:before="1"/>
              <w:ind w:left="107" w:right="54"/>
              <w:jc w:val="left"/>
              <w:rPr>
                <w:rFonts w:ascii="Times New Roman" w:hAnsi="Times New Roman" w:eastAsia="Times New Roman"/>
                <w:sz w:val="18"/>
              </w:rPr>
            </w:pPr>
            <w:r>
              <w:rPr>
                <w:sz w:val="18"/>
              </w:rPr>
              <w:t>对于新设或调整入河（湖库、近岸海域）排放口的建设项目，应包括排放口设置的环境合理性评价</w:t>
            </w:r>
            <w:r>
              <w:rPr>
                <w:rFonts w:ascii="Times New Roman" w:hAnsi="Times New Roman" w:eastAsia="Times New Roman"/>
                <w:sz w:val="18"/>
              </w:rPr>
              <w:t>□</w:t>
            </w:r>
          </w:p>
          <w:p>
            <w:pPr>
              <w:pStyle w:val="TableParagraph"/>
              <w:spacing w:line="210" w:lineRule="exact"/>
              <w:ind w:left="107"/>
              <w:jc w:val="left"/>
              <w:rPr>
                <w:rFonts w:ascii="Times New Roman" w:hAnsi="Times New Roman" w:eastAsia="Times New Roman"/>
                <w:sz w:val="18"/>
              </w:rPr>
            </w:pPr>
            <w:r>
              <w:rPr>
                <w:sz w:val="18"/>
              </w:rPr>
              <w:t>满足生态保护红线、水环境质量底线、资源利用上线和环境准入清单管理要求</w:t>
            </w:r>
            <w:r>
              <w:rPr>
                <w:rFonts w:ascii="Times New Roman" w:hAnsi="Times New Roman" w:eastAsia="Times New Roman"/>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spacing w:before="5"/>
              <w:jc w:val="left"/>
              <w:rPr>
                <w:rFonts w:ascii="Times New Roman"/>
                <w:sz w:val="25"/>
              </w:rPr>
            </w:pPr>
          </w:p>
          <w:p>
            <w:pPr>
              <w:pStyle w:val="TableParagraph"/>
              <w:spacing w:line="242" w:lineRule="auto"/>
              <w:ind w:left="189" w:right="180"/>
              <w:jc w:val="left"/>
              <w:rPr>
                <w:sz w:val="18"/>
              </w:rPr>
            </w:pPr>
            <w:r>
              <w:rPr>
                <w:sz w:val="18"/>
              </w:rPr>
              <w:t>污染源排放量核算</w:t>
            </w:r>
          </w:p>
        </w:tc>
        <w:tc>
          <w:tcPr>
            <w:tcW w:w="2510" w:type="dxa"/>
            <w:gridSpan w:val="2"/>
          </w:tcPr>
          <w:p>
            <w:pPr>
              <w:pStyle w:val="TableParagraph"/>
              <w:spacing w:before="55"/>
              <w:ind w:left="831"/>
              <w:jc w:val="left"/>
              <w:rPr>
                <w:sz w:val="18"/>
              </w:rPr>
            </w:pPr>
            <w:r>
              <w:rPr>
                <w:sz w:val="18"/>
              </w:rPr>
              <w:t>污染物名称</w:t>
            </w:r>
          </w:p>
        </w:tc>
        <w:tc>
          <w:tcPr>
            <w:tcW w:w="2630" w:type="dxa"/>
            <w:gridSpan w:val="3"/>
          </w:tcPr>
          <w:p>
            <w:pPr>
              <w:pStyle w:val="TableParagraph"/>
              <w:spacing w:before="55"/>
              <w:ind w:left="787"/>
              <w:jc w:val="left"/>
              <w:rPr>
                <w:sz w:val="18"/>
              </w:rPr>
            </w:pPr>
            <w:r>
              <w:rPr>
                <w:sz w:val="18"/>
              </w:rPr>
              <w:t>排放量</w:t>
            </w:r>
            <w:r>
              <w:rPr>
                <w:rFonts w:ascii="Times New Roman" w:eastAsia="Times New Roman"/>
                <w:sz w:val="18"/>
              </w:rPr>
              <w:t>/</w:t>
            </w:r>
            <w:r>
              <w:rPr>
                <w:sz w:val="18"/>
              </w:rPr>
              <w:t>（</w:t>
            </w:r>
            <w:r>
              <w:rPr>
                <w:rFonts w:ascii="Times New Roman" w:eastAsia="Times New Roman"/>
                <w:sz w:val="18"/>
              </w:rPr>
              <w:t>t/a</w:t>
            </w:r>
            <w:r>
              <w:rPr>
                <w:sz w:val="18"/>
              </w:rPr>
              <w:t>）</w:t>
            </w:r>
          </w:p>
        </w:tc>
        <w:tc>
          <w:tcPr>
            <w:tcW w:w="2625" w:type="dxa"/>
            <w:gridSpan w:val="2"/>
          </w:tcPr>
          <w:p>
            <w:pPr>
              <w:pStyle w:val="TableParagraph"/>
              <w:spacing w:before="55"/>
              <w:ind w:left="711"/>
              <w:jc w:val="left"/>
              <w:rPr>
                <w:rFonts w:ascii="Times New Roman" w:eastAsia="Times New Roman"/>
                <w:sz w:val="18"/>
              </w:rPr>
            </w:pPr>
            <w:r>
              <w:rPr>
                <w:sz w:val="18"/>
              </w:rPr>
              <w:t>排放浓度</w:t>
            </w:r>
            <w:r>
              <w:rPr>
                <w:rFonts w:ascii="Times New Roman" w:eastAsia="Times New Roman"/>
                <w:sz w:val="18"/>
              </w:rPr>
              <w:t>/(mg/L)</w:t>
            </w:r>
          </w:p>
        </w:tc>
      </w:tr>
      <w:tr>
        <w:trPr>
          <w:trHeight w:val="700"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2510" w:type="dxa"/>
            <w:gridSpan w:val="2"/>
          </w:tcPr>
          <w:p>
            <w:pPr>
              <w:pStyle w:val="TableParagraph"/>
              <w:spacing w:line="230" w:lineRule="exact"/>
              <w:ind w:left="798" w:right="782"/>
              <w:rPr>
                <w:sz w:val="18"/>
              </w:rPr>
            </w:pPr>
            <w:r>
              <w:rPr>
                <w:sz w:val="18"/>
              </w:rPr>
              <w:t>（</w:t>
            </w:r>
            <w:r>
              <w:rPr>
                <w:rFonts w:ascii="Times New Roman" w:eastAsia="Times New Roman"/>
                <w:sz w:val="18"/>
              </w:rPr>
              <w:t>CODcr</w:t>
            </w:r>
            <w:r>
              <w:rPr>
                <w:sz w:val="18"/>
              </w:rPr>
              <w:t>）</w:t>
            </w:r>
          </w:p>
          <w:p>
            <w:pPr>
              <w:pStyle w:val="TableParagraph"/>
              <w:spacing w:before="2"/>
              <w:ind w:left="785" w:right="782"/>
              <w:rPr>
                <w:sz w:val="18"/>
              </w:rPr>
            </w:pPr>
            <w:r>
              <w:rPr>
                <w:spacing w:val="-12"/>
                <w:sz w:val="18"/>
              </w:rPr>
              <w:t>（氨氮）</w:t>
            </w:r>
          </w:p>
          <w:p>
            <w:pPr>
              <w:pStyle w:val="TableParagraph"/>
              <w:spacing w:line="213" w:lineRule="exact" w:before="4"/>
              <w:ind w:left="798" w:right="782"/>
              <w:rPr>
                <w:sz w:val="18"/>
              </w:rPr>
            </w:pPr>
            <w:r>
              <w:rPr>
                <w:spacing w:val="-12"/>
                <w:sz w:val="18"/>
              </w:rPr>
              <w:t>（总氮</w:t>
            </w:r>
            <w:r>
              <w:rPr>
                <w:sz w:val="18"/>
              </w:rPr>
              <w:t>）</w:t>
            </w:r>
          </w:p>
        </w:tc>
        <w:tc>
          <w:tcPr>
            <w:tcW w:w="2630" w:type="dxa"/>
            <w:gridSpan w:val="3"/>
          </w:tcPr>
          <w:p>
            <w:pPr>
              <w:pStyle w:val="TableParagraph"/>
              <w:spacing w:line="230" w:lineRule="exact"/>
              <w:ind w:left="914" w:right="899"/>
              <w:rPr>
                <w:sz w:val="18"/>
              </w:rPr>
            </w:pPr>
            <w:r>
              <w:rPr>
                <w:sz w:val="18"/>
              </w:rPr>
              <w:t>（</w:t>
            </w:r>
            <w:r>
              <w:rPr>
                <w:rFonts w:ascii="Times New Roman" w:eastAsia="Times New Roman"/>
                <w:sz w:val="18"/>
              </w:rPr>
              <w:t>16.5</w:t>
            </w:r>
            <w:r>
              <w:rPr>
                <w:sz w:val="18"/>
              </w:rPr>
              <w:t>）</w:t>
            </w:r>
          </w:p>
          <w:p>
            <w:pPr>
              <w:pStyle w:val="TableParagraph"/>
              <w:spacing w:before="2"/>
              <w:ind w:left="914" w:right="901"/>
              <w:rPr>
                <w:sz w:val="18"/>
              </w:rPr>
            </w:pPr>
            <w:r>
              <w:rPr>
                <w:sz w:val="18"/>
              </w:rPr>
              <w:t>（</w:t>
            </w:r>
            <w:r>
              <w:rPr>
                <w:rFonts w:ascii="Times New Roman" w:eastAsia="Times New Roman"/>
                <w:sz w:val="18"/>
              </w:rPr>
              <w:t>1.155</w:t>
            </w:r>
            <w:r>
              <w:rPr>
                <w:sz w:val="18"/>
              </w:rPr>
              <w:t>）</w:t>
            </w:r>
          </w:p>
          <w:p>
            <w:pPr>
              <w:pStyle w:val="TableParagraph"/>
              <w:spacing w:line="213" w:lineRule="exact" w:before="4"/>
              <w:ind w:left="914" w:right="899"/>
              <w:rPr>
                <w:sz w:val="18"/>
              </w:rPr>
            </w:pPr>
            <w:r>
              <w:rPr>
                <w:sz w:val="18"/>
              </w:rPr>
              <w:t>（</w:t>
            </w:r>
            <w:r>
              <w:rPr>
                <w:rFonts w:ascii="Times New Roman" w:eastAsia="Times New Roman"/>
                <w:sz w:val="18"/>
              </w:rPr>
              <w:t>2.31</w:t>
            </w:r>
            <w:r>
              <w:rPr>
                <w:sz w:val="18"/>
              </w:rPr>
              <w:t>）</w:t>
            </w:r>
          </w:p>
        </w:tc>
        <w:tc>
          <w:tcPr>
            <w:tcW w:w="2625" w:type="dxa"/>
            <w:gridSpan w:val="2"/>
          </w:tcPr>
          <w:p>
            <w:pPr>
              <w:pStyle w:val="TableParagraph"/>
              <w:spacing w:line="230" w:lineRule="exact"/>
              <w:ind w:left="979" w:right="966"/>
              <w:rPr>
                <w:sz w:val="18"/>
              </w:rPr>
            </w:pPr>
            <w:r>
              <w:rPr>
                <w:sz w:val="18"/>
              </w:rPr>
              <w:t>（</w:t>
            </w:r>
            <w:r>
              <w:rPr>
                <w:rFonts w:ascii="Times New Roman" w:eastAsia="Times New Roman"/>
                <w:sz w:val="18"/>
              </w:rPr>
              <w:t>500</w:t>
            </w:r>
            <w:r>
              <w:rPr>
                <w:sz w:val="18"/>
              </w:rPr>
              <w:t>）</w:t>
            </w:r>
          </w:p>
          <w:p>
            <w:pPr>
              <w:pStyle w:val="TableParagraph"/>
              <w:spacing w:before="2"/>
              <w:ind w:left="976" w:right="966"/>
              <w:rPr>
                <w:sz w:val="18"/>
              </w:rPr>
            </w:pPr>
            <w:r>
              <w:rPr>
                <w:spacing w:val="-6"/>
                <w:sz w:val="18"/>
              </w:rPr>
              <w:t>（</w:t>
            </w:r>
            <w:r>
              <w:rPr>
                <w:rFonts w:ascii="Times New Roman" w:eastAsia="Times New Roman"/>
                <w:spacing w:val="-6"/>
                <w:sz w:val="18"/>
              </w:rPr>
              <w:t>35</w:t>
            </w:r>
            <w:r>
              <w:rPr>
                <w:spacing w:val="-6"/>
                <w:sz w:val="18"/>
              </w:rPr>
              <w:t>）</w:t>
            </w:r>
          </w:p>
          <w:p>
            <w:pPr>
              <w:pStyle w:val="TableParagraph"/>
              <w:spacing w:line="213" w:lineRule="exact" w:before="4"/>
              <w:ind w:left="976" w:right="966"/>
              <w:rPr>
                <w:sz w:val="18"/>
              </w:rPr>
            </w:pPr>
            <w:r>
              <w:rPr>
                <w:spacing w:val="-6"/>
                <w:sz w:val="18"/>
              </w:rPr>
              <w:t>（</w:t>
            </w:r>
            <w:r>
              <w:rPr>
                <w:rFonts w:ascii="Times New Roman" w:eastAsia="Times New Roman"/>
                <w:spacing w:val="-6"/>
                <w:sz w:val="18"/>
              </w:rPr>
              <w:t>70</w:t>
            </w:r>
            <w:r>
              <w:rPr>
                <w:spacing w:val="-6"/>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spacing w:line="242" w:lineRule="auto" w:before="112"/>
              <w:ind w:left="280" w:right="180" w:hanging="92"/>
              <w:jc w:val="left"/>
              <w:rPr>
                <w:sz w:val="18"/>
              </w:rPr>
            </w:pPr>
            <w:r>
              <w:rPr>
                <w:sz w:val="18"/>
              </w:rPr>
              <w:t>替代源排放情况</w:t>
            </w:r>
          </w:p>
        </w:tc>
        <w:tc>
          <w:tcPr>
            <w:tcW w:w="1463" w:type="dxa"/>
          </w:tcPr>
          <w:p>
            <w:pPr>
              <w:pStyle w:val="TableParagraph"/>
              <w:spacing w:before="52"/>
              <w:ind w:left="258" w:right="254"/>
              <w:rPr>
                <w:sz w:val="18"/>
              </w:rPr>
            </w:pPr>
            <w:r>
              <w:rPr>
                <w:sz w:val="18"/>
              </w:rPr>
              <w:t>污染源名称</w:t>
            </w:r>
          </w:p>
        </w:tc>
        <w:tc>
          <w:tcPr>
            <w:tcW w:w="1573" w:type="dxa"/>
            <w:gridSpan w:val="2"/>
          </w:tcPr>
          <w:p>
            <w:pPr>
              <w:pStyle w:val="TableParagraph"/>
              <w:spacing w:before="52"/>
              <w:ind w:left="195"/>
              <w:jc w:val="left"/>
              <w:rPr>
                <w:sz w:val="18"/>
              </w:rPr>
            </w:pPr>
            <w:r>
              <w:rPr>
                <w:sz w:val="18"/>
              </w:rPr>
              <w:t>排污许可证编号</w:t>
            </w:r>
          </w:p>
        </w:tc>
        <w:tc>
          <w:tcPr>
            <w:tcW w:w="1580" w:type="dxa"/>
          </w:tcPr>
          <w:p>
            <w:pPr>
              <w:pStyle w:val="TableParagraph"/>
              <w:spacing w:before="52"/>
              <w:ind w:left="129" w:right="129"/>
              <w:rPr>
                <w:sz w:val="18"/>
              </w:rPr>
            </w:pPr>
            <w:r>
              <w:rPr>
                <w:sz w:val="18"/>
              </w:rPr>
              <w:t>污染物名称</w:t>
            </w:r>
          </w:p>
        </w:tc>
        <w:tc>
          <w:tcPr>
            <w:tcW w:w="1576" w:type="dxa"/>
            <w:gridSpan w:val="2"/>
          </w:tcPr>
          <w:p>
            <w:pPr>
              <w:pStyle w:val="TableParagraph"/>
              <w:spacing w:before="52"/>
              <w:ind w:left="258"/>
              <w:jc w:val="left"/>
              <w:rPr>
                <w:sz w:val="18"/>
              </w:rPr>
            </w:pPr>
            <w:r>
              <w:rPr>
                <w:sz w:val="18"/>
              </w:rPr>
              <w:t>排放量</w:t>
            </w:r>
            <w:r>
              <w:rPr>
                <w:rFonts w:ascii="Times New Roman" w:eastAsia="Times New Roman"/>
                <w:sz w:val="18"/>
              </w:rPr>
              <w:t>/</w:t>
            </w:r>
            <w:r>
              <w:rPr>
                <w:sz w:val="18"/>
              </w:rPr>
              <w:t>（</w:t>
            </w:r>
            <w:r>
              <w:rPr>
                <w:rFonts w:ascii="Times New Roman" w:eastAsia="Times New Roman"/>
                <w:sz w:val="18"/>
              </w:rPr>
              <w:t>t/a</w:t>
            </w:r>
            <w:r>
              <w:rPr>
                <w:sz w:val="18"/>
              </w:rPr>
              <w:t>）</w:t>
            </w:r>
          </w:p>
        </w:tc>
        <w:tc>
          <w:tcPr>
            <w:tcW w:w="1573" w:type="dxa"/>
          </w:tcPr>
          <w:p>
            <w:pPr>
              <w:pStyle w:val="TableParagraph"/>
              <w:spacing w:before="52"/>
              <w:ind w:left="122" w:right="120"/>
              <w:rPr>
                <w:rFonts w:ascii="Times New Roman" w:eastAsia="Times New Roman"/>
                <w:sz w:val="18"/>
              </w:rPr>
            </w:pPr>
            <w:r>
              <w:rPr>
                <w:sz w:val="18"/>
              </w:rPr>
              <w:t>排放浓度</w:t>
            </w:r>
            <w:r>
              <w:rPr>
                <w:rFonts w:ascii="Times New Roman" w:eastAsia="Times New Roman"/>
                <w:sz w:val="18"/>
              </w:rPr>
              <w:t>/(mg/L)</w:t>
            </w:r>
          </w:p>
        </w:tc>
      </w:tr>
      <w:tr>
        <w:trPr>
          <w:trHeight w:val="340"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1463" w:type="dxa"/>
          </w:tcPr>
          <w:p>
            <w:pPr>
              <w:pStyle w:val="TableParagraph"/>
              <w:spacing w:before="52"/>
              <w:ind w:left="258" w:right="254"/>
              <w:rPr>
                <w:sz w:val="18"/>
              </w:rPr>
            </w:pPr>
            <w:r>
              <w:rPr>
                <w:sz w:val="18"/>
              </w:rPr>
              <w:t>（）</w:t>
            </w:r>
          </w:p>
        </w:tc>
        <w:tc>
          <w:tcPr>
            <w:tcW w:w="1573" w:type="dxa"/>
            <w:gridSpan w:val="2"/>
          </w:tcPr>
          <w:p>
            <w:pPr>
              <w:pStyle w:val="TableParagraph"/>
              <w:spacing w:before="52"/>
              <w:ind w:left="122" w:right="119"/>
              <w:rPr>
                <w:sz w:val="18"/>
              </w:rPr>
            </w:pPr>
            <w:r>
              <w:rPr>
                <w:sz w:val="18"/>
              </w:rPr>
              <w:t>（）</w:t>
            </w:r>
          </w:p>
        </w:tc>
        <w:tc>
          <w:tcPr>
            <w:tcW w:w="1580" w:type="dxa"/>
          </w:tcPr>
          <w:p>
            <w:pPr>
              <w:pStyle w:val="TableParagraph"/>
              <w:spacing w:before="52"/>
              <w:ind w:left="129" w:right="129"/>
              <w:rPr>
                <w:sz w:val="18"/>
              </w:rPr>
            </w:pPr>
            <w:r>
              <w:rPr>
                <w:sz w:val="18"/>
              </w:rPr>
              <w:t>（）</w:t>
            </w:r>
          </w:p>
        </w:tc>
        <w:tc>
          <w:tcPr>
            <w:tcW w:w="1576" w:type="dxa"/>
            <w:gridSpan w:val="2"/>
          </w:tcPr>
          <w:p>
            <w:pPr>
              <w:pStyle w:val="TableParagraph"/>
              <w:spacing w:before="52"/>
              <w:ind w:left="583" w:right="583"/>
              <w:rPr>
                <w:sz w:val="18"/>
              </w:rPr>
            </w:pPr>
            <w:r>
              <w:rPr>
                <w:sz w:val="18"/>
              </w:rPr>
              <w:t>（）</w:t>
            </w:r>
          </w:p>
        </w:tc>
        <w:tc>
          <w:tcPr>
            <w:tcW w:w="1573" w:type="dxa"/>
          </w:tcPr>
          <w:p>
            <w:pPr>
              <w:pStyle w:val="TableParagraph"/>
              <w:spacing w:before="52"/>
              <w:ind w:left="119" w:right="120"/>
              <w:rPr>
                <w:sz w:val="18"/>
              </w:rPr>
            </w:pPr>
            <w:r>
              <w:rPr>
                <w:sz w:val="18"/>
              </w:rPr>
              <w:t>（）</w:t>
            </w:r>
          </w:p>
        </w:tc>
      </w:tr>
      <w:tr>
        <w:trPr>
          <w:trHeight w:val="544" w:hRule="atLeast"/>
        </w:trPr>
        <w:tc>
          <w:tcPr>
            <w:tcW w:w="425" w:type="dxa"/>
            <w:vMerge/>
            <w:tcBorders>
              <w:top w:val="nil"/>
            </w:tcBorders>
          </w:tcPr>
          <w:p>
            <w:pPr>
              <w:rPr>
                <w:sz w:val="2"/>
                <w:szCs w:val="2"/>
              </w:rPr>
            </w:pPr>
          </w:p>
        </w:tc>
        <w:tc>
          <w:tcPr>
            <w:tcW w:w="1102" w:type="dxa"/>
          </w:tcPr>
          <w:p>
            <w:pPr>
              <w:pStyle w:val="TableParagraph"/>
              <w:spacing w:line="242" w:lineRule="auto" w:before="38"/>
              <w:ind w:left="369" w:right="180" w:hanging="180"/>
              <w:jc w:val="left"/>
              <w:rPr>
                <w:sz w:val="18"/>
              </w:rPr>
            </w:pPr>
            <w:r>
              <w:rPr>
                <w:sz w:val="18"/>
              </w:rPr>
              <w:t>生态流量确定</w:t>
            </w:r>
          </w:p>
        </w:tc>
        <w:tc>
          <w:tcPr>
            <w:tcW w:w="7765" w:type="dxa"/>
            <w:gridSpan w:val="7"/>
          </w:tcPr>
          <w:p>
            <w:pPr>
              <w:pStyle w:val="TableParagraph"/>
              <w:spacing w:line="242" w:lineRule="auto" w:before="38"/>
              <w:ind w:left="107" w:right="2724"/>
              <w:jc w:val="left"/>
              <w:rPr>
                <w:rFonts w:ascii="Times New Roman" w:eastAsia="Times New Roman"/>
                <w:sz w:val="18"/>
              </w:rPr>
            </w:pPr>
            <w:r>
              <w:rPr>
                <w:spacing w:val="-12"/>
                <w:sz w:val="18"/>
              </w:rPr>
              <w:t>生态流量：一般水期</w:t>
            </w:r>
            <w:r>
              <w:rPr>
                <w:spacing w:val="-9"/>
                <w:sz w:val="18"/>
              </w:rPr>
              <w:t>（）</w:t>
            </w:r>
            <w:r>
              <w:rPr>
                <w:rFonts w:ascii="Times New Roman" w:eastAsia="Times New Roman"/>
                <w:spacing w:val="-9"/>
                <w:sz w:val="18"/>
              </w:rPr>
              <w:t>m</w:t>
            </w:r>
            <w:r>
              <w:rPr>
                <w:rFonts w:ascii="Times New Roman" w:eastAsia="Times New Roman"/>
                <w:spacing w:val="-9"/>
                <w:position w:val="6"/>
                <w:sz w:val="12"/>
              </w:rPr>
              <w:t>3</w:t>
            </w:r>
            <w:r>
              <w:rPr>
                <w:rFonts w:ascii="Times New Roman" w:eastAsia="Times New Roman"/>
                <w:spacing w:val="-9"/>
                <w:sz w:val="18"/>
              </w:rPr>
              <w:t>/s</w:t>
            </w:r>
            <w:r>
              <w:rPr>
                <w:spacing w:val="-12"/>
                <w:sz w:val="18"/>
              </w:rPr>
              <w:t>；鱼类繁殖期</w:t>
            </w:r>
            <w:r>
              <w:rPr>
                <w:spacing w:val="-9"/>
                <w:sz w:val="18"/>
              </w:rPr>
              <w:t>（）</w:t>
            </w:r>
            <w:r>
              <w:rPr>
                <w:rFonts w:ascii="Times New Roman" w:eastAsia="Times New Roman"/>
                <w:spacing w:val="-9"/>
                <w:sz w:val="18"/>
              </w:rPr>
              <w:t>m</w:t>
            </w:r>
            <w:r>
              <w:rPr>
                <w:rFonts w:ascii="Times New Roman" w:eastAsia="Times New Roman"/>
                <w:spacing w:val="-9"/>
                <w:position w:val="6"/>
                <w:sz w:val="12"/>
              </w:rPr>
              <w:t>3</w:t>
            </w:r>
            <w:r>
              <w:rPr>
                <w:rFonts w:ascii="Times New Roman" w:eastAsia="Times New Roman"/>
                <w:spacing w:val="-9"/>
                <w:sz w:val="18"/>
              </w:rPr>
              <w:t>/s</w:t>
            </w:r>
            <w:r>
              <w:rPr>
                <w:spacing w:val="-12"/>
                <w:sz w:val="18"/>
              </w:rPr>
              <w:t>；其他</w:t>
            </w:r>
            <w:r>
              <w:rPr>
                <w:spacing w:val="-11"/>
                <w:sz w:val="18"/>
              </w:rPr>
              <w:t>（）</w:t>
            </w:r>
            <w:r>
              <w:rPr>
                <w:rFonts w:ascii="Times New Roman" w:eastAsia="Times New Roman"/>
                <w:spacing w:val="-11"/>
                <w:sz w:val="18"/>
              </w:rPr>
              <w:t>m</w:t>
            </w:r>
            <w:r>
              <w:rPr>
                <w:rFonts w:ascii="Times New Roman" w:eastAsia="Times New Roman"/>
                <w:spacing w:val="-11"/>
                <w:position w:val="6"/>
                <w:sz w:val="12"/>
              </w:rPr>
              <w:t>3</w:t>
            </w:r>
            <w:r>
              <w:rPr>
                <w:rFonts w:ascii="Times New Roman" w:eastAsia="Times New Roman"/>
                <w:spacing w:val="-11"/>
                <w:sz w:val="18"/>
              </w:rPr>
              <w:t>/s </w:t>
            </w:r>
            <w:r>
              <w:rPr>
                <w:spacing w:val="-12"/>
                <w:sz w:val="18"/>
              </w:rPr>
              <w:t>生态水位：一般水期</w:t>
            </w:r>
            <w:r>
              <w:rPr>
                <w:spacing w:val="-11"/>
                <w:sz w:val="18"/>
              </w:rPr>
              <w:t>（）</w:t>
            </w:r>
            <w:r>
              <w:rPr>
                <w:rFonts w:ascii="Times New Roman" w:eastAsia="Times New Roman"/>
                <w:spacing w:val="-11"/>
                <w:sz w:val="18"/>
              </w:rPr>
              <w:t>m</w:t>
            </w:r>
            <w:r>
              <w:rPr>
                <w:spacing w:val="-12"/>
                <w:sz w:val="18"/>
              </w:rPr>
              <w:t>；鱼类繁殖期</w:t>
            </w:r>
            <w:r>
              <w:rPr>
                <w:spacing w:val="-11"/>
                <w:sz w:val="18"/>
              </w:rPr>
              <w:t>（）</w:t>
            </w:r>
            <w:r>
              <w:rPr>
                <w:rFonts w:ascii="Times New Roman" w:eastAsia="Times New Roman"/>
                <w:spacing w:val="-11"/>
                <w:sz w:val="18"/>
              </w:rPr>
              <w:t>m</w:t>
            </w:r>
            <w:r>
              <w:rPr>
                <w:spacing w:val="-12"/>
                <w:sz w:val="18"/>
              </w:rPr>
              <w:t>；其他</w:t>
            </w:r>
            <w:r>
              <w:rPr>
                <w:spacing w:val="-8"/>
                <w:sz w:val="18"/>
              </w:rPr>
              <w:t>（）</w:t>
            </w:r>
            <w:r>
              <w:rPr>
                <w:rFonts w:ascii="Times New Roman" w:eastAsia="Times New Roman"/>
                <w:spacing w:val="-8"/>
                <w:sz w:val="18"/>
              </w:rPr>
              <w:t>m</w:t>
            </w:r>
          </w:p>
        </w:tc>
      </w:tr>
      <w:tr>
        <w:trPr>
          <w:trHeight w:val="340" w:hRule="atLeast"/>
        </w:trPr>
        <w:tc>
          <w:tcPr>
            <w:tcW w:w="425" w:type="dxa"/>
            <w:vMerge w:val="restart"/>
          </w:tcPr>
          <w:p>
            <w:pPr>
              <w:pStyle w:val="TableParagraph"/>
              <w:jc w:val="left"/>
              <w:rPr>
                <w:rFonts w:ascii="Times New Roman"/>
                <w:sz w:val="18"/>
              </w:rPr>
            </w:pPr>
          </w:p>
          <w:p>
            <w:pPr>
              <w:pStyle w:val="TableParagraph"/>
              <w:jc w:val="left"/>
              <w:rPr>
                <w:rFonts w:ascii="Times New Roman"/>
                <w:sz w:val="18"/>
              </w:rPr>
            </w:pPr>
          </w:p>
          <w:p>
            <w:pPr>
              <w:pStyle w:val="TableParagraph"/>
              <w:spacing w:before="8"/>
              <w:jc w:val="left"/>
              <w:rPr>
                <w:rFonts w:ascii="Times New Roman"/>
                <w:sz w:val="19"/>
              </w:rPr>
            </w:pPr>
          </w:p>
          <w:p>
            <w:pPr>
              <w:pStyle w:val="TableParagraph"/>
              <w:spacing w:line="242" w:lineRule="auto"/>
              <w:ind w:left="122" w:right="110"/>
              <w:jc w:val="both"/>
              <w:rPr>
                <w:sz w:val="18"/>
              </w:rPr>
            </w:pPr>
            <w:r>
              <w:rPr>
                <w:sz w:val="18"/>
              </w:rPr>
              <w:t>防治措施</w:t>
            </w:r>
          </w:p>
        </w:tc>
        <w:tc>
          <w:tcPr>
            <w:tcW w:w="1102" w:type="dxa"/>
          </w:tcPr>
          <w:p>
            <w:pPr>
              <w:pStyle w:val="TableParagraph"/>
              <w:spacing w:before="52"/>
              <w:ind w:left="6"/>
              <w:rPr>
                <w:sz w:val="18"/>
              </w:rPr>
            </w:pPr>
            <w:r>
              <w:rPr>
                <w:sz w:val="18"/>
              </w:rPr>
              <w:t>环保措施</w:t>
            </w:r>
          </w:p>
        </w:tc>
        <w:tc>
          <w:tcPr>
            <w:tcW w:w="7765" w:type="dxa"/>
            <w:gridSpan w:val="7"/>
          </w:tcPr>
          <w:p>
            <w:pPr>
              <w:pStyle w:val="TableParagraph"/>
              <w:spacing w:before="52"/>
              <w:ind w:left="107"/>
              <w:jc w:val="left"/>
              <w:rPr>
                <w:rFonts w:ascii="Times New Roman" w:hAnsi="Times New Roman" w:eastAsia="Times New Roman"/>
                <w:sz w:val="18"/>
              </w:rPr>
            </w:pPr>
            <w:r>
              <w:rPr>
                <w:spacing w:val="-13"/>
                <w:sz w:val="18"/>
              </w:rPr>
              <w:t>污水处理设施</w:t>
            </w:r>
            <w:r>
              <w:rPr>
                <w:rFonts w:ascii="Wingdings" w:hAnsi="Wingdings" w:eastAsia="Wingdings"/>
                <w:spacing w:val="-5"/>
                <w:sz w:val="18"/>
              </w:rPr>
              <w:t></w:t>
            </w:r>
            <w:r>
              <w:rPr>
                <w:spacing w:val="-13"/>
                <w:sz w:val="18"/>
              </w:rPr>
              <w:t>；水文减缓设施</w:t>
            </w:r>
            <w:r>
              <w:rPr>
                <w:rFonts w:ascii="Times New Roman" w:hAnsi="Times New Roman" w:eastAsia="Times New Roman"/>
                <w:spacing w:val="-6"/>
                <w:sz w:val="18"/>
              </w:rPr>
              <w:t>□</w:t>
            </w:r>
            <w:r>
              <w:rPr>
                <w:spacing w:val="-13"/>
                <w:sz w:val="18"/>
              </w:rPr>
              <w:t>；生态流量保障设施</w:t>
            </w:r>
            <w:r>
              <w:rPr>
                <w:rFonts w:ascii="Times New Roman" w:hAnsi="Times New Roman" w:eastAsia="Times New Roman"/>
                <w:spacing w:val="-6"/>
                <w:sz w:val="18"/>
              </w:rPr>
              <w:t>□</w:t>
            </w:r>
            <w:r>
              <w:rPr>
                <w:spacing w:val="-12"/>
                <w:sz w:val="18"/>
              </w:rPr>
              <w:t>；区域削减</w:t>
            </w:r>
            <w:r>
              <w:rPr>
                <w:rFonts w:ascii="Times New Roman" w:hAnsi="Times New Roman" w:eastAsia="Times New Roman"/>
                <w:spacing w:val="-6"/>
                <w:sz w:val="18"/>
              </w:rPr>
              <w:t>□</w:t>
            </w:r>
            <w:r>
              <w:rPr>
                <w:spacing w:val="-12"/>
                <w:sz w:val="18"/>
              </w:rPr>
              <w:t>；依托其他工程措施</w:t>
            </w:r>
            <w:r>
              <w:rPr>
                <w:rFonts w:ascii="Times New Roman" w:hAnsi="Times New Roman" w:eastAsia="Times New Roman"/>
                <w:spacing w:val="-6"/>
                <w:sz w:val="18"/>
              </w:rPr>
              <w:t>□</w:t>
            </w:r>
            <w:r>
              <w:rPr>
                <w:spacing w:val="-10"/>
                <w:sz w:val="18"/>
              </w:rPr>
              <w:t>；其他</w:t>
            </w:r>
            <w:r>
              <w:rPr>
                <w:rFonts w:ascii="Times New Roman" w:hAnsi="Times New Roman" w:eastAsia="Times New Roman"/>
                <w:sz w:val="18"/>
              </w:rPr>
              <w:t>□</w:t>
            </w:r>
          </w:p>
        </w:tc>
      </w:tr>
      <w:tr>
        <w:trPr>
          <w:trHeight w:val="340" w:hRule="atLeast"/>
        </w:trPr>
        <w:tc>
          <w:tcPr>
            <w:tcW w:w="425" w:type="dxa"/>
            <w:vMerge/>
            <w:tcBorders>
              <w:top w:val="nil"/>
            </w:tcBorders>
          </w:tcPr>
          <w:p>
            <w:pPr>
              <w:rPr>
                <w:sz w:val="2"/>
                <w:szCs w:val="2"/>
              </w:rPr>
            </w:pPr>
          </w:p>
        </w:tc>
        <w:tc>
          <w:tcPr>
            <w:tcW w:w="1102" w:type="dxa"/>
            <w:vMerge w:val="restart"/>
          </w:tcPr>
          <w:p>
            <w:pPr>
              <w:pStyle w:val="TableParagraph"/>
              <w:jc w:val="left"/>
              <w:rPr>
                <w:rFonts w:ascii="Times New Roman"/>
                <w:sz w:val="18"/>
              </w:rPr>
            </w:pPr>
          </w:p>
          <w:p>
            <w:pPr>
              <w:pStyle w:val="TableParagraph"/>
              <w:jc w:val="left"/>
              <w:rPr>
                <w:rFonts w:ascii="Times New Roman"/>
                <w:sz w:val="18"/>
              </w:rPr>
            </w:pPr>
          </w:p>
          <w:p>
            <w:pPr>
              <w:pStyle w:val="TableParagraph"/>
              <w:spacing w:before="3"/>
              <w:jc w:val="left"/>
              <w:rPr>
                <w:rFonts w:ascii="Times New Roman"/>
                <w:sz w:val="14"/>
              </w:rPr>
            </w:pPr>
          </w:p>
          <w:p>
            <w:pPr>
              <w:pStyle w:val="TableParagraph"/>
              <w:ind w:left="107"/>
              <w:jc w:val="left"/>
              <w:rPr>
                <w:sz w:val="18"/>
              </w:rPr>
            </w:pPr>
            <w:r>
              <w:rPr>
                <w:sz w:val="18"/>
              </w:rPr>
              <w:t>监测计划</w:t>
            </w:r>
          </w:p>
        </w:tc>
        <w:tc>
          <w:tcPr>
            <w:tcW w:w="2510" w:type="dxa"/>
            <w:gridSpan w:val="2"/>
          </w:tcPr>
          <w:p>
            <w:pPr>
              <w:pStyle w:val="TableParagraph"/>
              <w:jc w:val="left"/>
              <w:rPr>
                <w:rFonts w:ascii="Times New Roman"/>
                <w:sz w:val="16"/>
              </w:rPr>
            </w:pPr>
          </w:p>
        </w:tc>
        <w:tc>
          <w:tcPr>
            <w:tcW w:w="2630" w:type="dxa"/>
            <w:gridSpan w:val="3"/>
          </w:tcPr>
          <w:p>
            <w:pPr>
              <w:pStyle w:val="TableParagraph"/>
              <w:spacing w:before="52"/>
              <w:ind w:left="902" w:right="901"/>
              <w:rPr>
                <w:sz w:val="18"/>
              </w:rPr>
            </w:pPr>
            <w:r>
              <w:rPr>
                <w:sz w:val="18"/>
              </w:rPr>
              <w:t>环境质量</w:t>
            </w:r>
          </w:p>
        </w:tc>
        <w:tc>
          <w:tcPr>
            <w:tcW w:w="2625" w:type="dxa"/>
            <w:gridSpan w:val="2"/>
          </w:tcPr>
          <w:p>
            <w:pPr>
              <w:pStyle w:val="TableParagraph"/>
              <w:spacing w:before="52"/>
              <w:ind w:left="965" w:right="966"/>
              <w:rPr>
                <w:sz w:val="18"/>
              </w:rPr>
            </w:pPr>
            <w:r>
              <w:rPr>
                <w:sz w:val="18"/>
              </w:rPr>
              <w:t>污染源</w:t>
            </w:r>
          </w:p>
        </w:tc>
      </w:tr>
      <w:tr>
        <w:trPr>
          <w:trHeight w:val="338"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2510" w:type="dxa"/>
            <w:gridSpan w:val="2"/>
          </w:tcPr>
          <w:p>
            <w:pPr>
              <w:pStyle w:val="TableParagraph"/>
              <w:spacing w:before="53"/>
              <w:ind w:left="785" w:right="782"/>
              <w:rPr>
                <w:sz w:val="18"/>
              </w:rPr>
            </w:pPr>
            <w:r>
              <w:rPr>
                <w:sz w:val="18"/>
              </w:rPr>
              <w:t>监测方式</w:t>
            </w:r>
          </w:p>
        </w:tc>
        <w:tc>
          <w:tcPr>
            <w:tcW w:w="2630" w:type="dxa"/>
            <w:gridSpan w:val="3"/>
          </w:tcPr>
          <w:p>
            <w:pPr>
              <w:pStyle w:val="TableParagraph"/>
              <w:spacing w:before="53"/>
              <w:ind w:left="364"/>
              <w:jc w:val="left"/>
              <w:rPr>
                <w:rFonts w:ascii="Wingdings" w:hAnsi="Wingdings"/>
                <w:sz w:val="18"/>
              </w:rPr>
            </w:pPr>
            <w:r>
              <w:rPr>
                <w:sz w:val="18"/>
              </w:rPr>
              <w:t>手动</w:t>
            </w:r>
            <w:r>
              <w:rPr>
                <w:rFonts w:ascii="Times New Roman" w:hAnsi="Times New Roman"/>
                <w:sz w:val="18"/>
              </w:rPr>
              <w:t>□</w:t>
            </w:r>
            <w:r>
              <w:rPr>
                <w:sz w:val="18"/>
              </w:rPr>
              <w:t>；自动</w:t>
            </w:r>
            <w:r>
              <w:rPr>
                <w:rFonts w:ascii="Times New Roman" w:hAnsi="Times New Roman"/>
                <w:sz w:val="18"/>
              </w:rPr>
              <w:t>□</w:t>
            </w:r>
            <w:r>
              <w:rPr>
                <w:sz w:val="18"/>
              </w:rPr>
              <w:t>；无监测</w:t>
            </w:r>
            <w:r>
              <w:rPr>
                <w:rFonts w:ascii="Wingdings" w:hAnsi="Wingdings"/>
                <w:sz w:val="18"/>
              </w:rPr>
              <w:t></w:t>
            </w:r>
          </w:p>
        </w:tc>
        <w:tc>
          <w:tcPr>
            <w:tcW w:w="2625" w:type="dxa"/>
            <w:gridSpan w:val="2"/>
          </w:tcPr>
          <w:p>
            <w:pPr>
              <w:pStyle w:val="TableParagraph"/>
              <w:spacing w:before="53"/>
              <w:ind w:left="336"/>
              <w:jc w:val="left"/>
              <w:rPr>
                <w:rFonts w:ascii="Times New Roman" w:hAnsi="Times New Roman" w:eastAsia="Times New Roman"/>
                <w:sz w:val="18"/>
              </w:rPr>
            </w:pPr>
            <w:r>
              <w:rPr>
                <w:sz w:val="18"/>
              </w:rPr>
              <w:t>手动</w:t>
            </w:r>
            <w:r>
              <w:rPr>
                <w:rFonts w:ascii="Wingdings" w:hAnsi="Wingdings" w:eastAsia="Wingdings"/>
                <w:sz w:val="18"/>
              </w:rPr>
              <w:t></w:t>
            </w:r>
            <w:r>
              <w:rPr>
                <w:sz w:val="18"/>
              </w:rPr>
              <w:t>；自动</w:t>
            </w:r>
            <w:r>
              <w:rPr>
                <w:rFonts w:ascii="Wingdings" w:hAnsi="Wingdings" w:eastAsia="Wingdings"/>
                <w:sz w:val="18"/>
              </w:rPr>
              <w:t></w:t>
            </w:r>
            <w:r>
              <w:rPr>
                <w:sz w:val="18"/>
              </w:rPr>
              <w:t>；无监测</w:t>
            </w:r>
            <w:r>
              <w:rPr>
                <w:rFonts w:ascii="Times New Roman" w:hAnsi="Times New Roman" w:eastAsia="Times New Roman"/>
                <w:sz w:val="18"/>
              </w:rPr>
              <w:t>□</w:t>
            </w:r>
          </w:p>
        </w:tc>
      </w:tr>
      <w:tr>
        <w:trPr>
          <w:trHeight w:val="340"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2510" w:type="dxa"/>
            <w:gridSpan w:val="2"/>
          </w:tcPr>
          <w:p>
            <w:pPr>
              <w:pStyle w:val="TableParagraph"/>
              <w:spacing w:before="55"/>
              <w:ind w:left="785" w:right="782"/>
              <w:rPr>
                <w:sz w:val="18"/>
              </w:rPr>
            </w:pPr>
            <w:r>
              <w:rPr>
                <w:sz w:val="18"/>
              </w:rPr>
              <w:t>监测点位</w:t>
            </w:r>
          </w:p>
        </w:tc>
        <w:tc>
          <w:tcPr>
            <w:tcW w:w="2630" w:type="dxa"/>
            <w:gridSpan w:val="3"/>
          </w:tcPr>
          <w:p>
            <w:pPr>
              <w:pStyle w:val="TableParagraph"/>
              <w:spacing w:before="55"/>
              <w:ind w:left="902" w:right="901"/>
              <w:rPr>
                <w:sz w:val="18"/>
              </w:rPr>
            </w:pPr>
            <w:r>
              <w:rPr>
                <w:sz w:val="18"/>
              </w:rPr>
              <w:t>（）</w:t>
            </w:r>
          </w:p>
        </w:tc>
        <w:tc>
          <w:tcPr>
            <w:tcW w:w="2625" w:type="dxa"/>
            <w:gridSpan w:val="2"/>
          </w:tcPr>
          <w:p>
            <w:pPr>
              <w:pStyle w:val="TableParagraph"/>
              <w:spacing w:before="55"/>
              <w:ind w:left="137"/>
              <w:jc w:val="left"/>
              <w:rPr>
                <w:sz w:val="18"/>
              </w:rPr>
            </w:pPr>
            <w:r>
              <w:rPr>
                <w:sz w:val="18"/>
              </w:rPr>
              <w:t>（废水总排放</w:t>
            </w:r>
            <w:r>
              <w:rPr>
                <w:rFonts w:ascii="Wingdings" w:hAnsi="Wingdings" w:eastAsia="Wingdings"/>
                <w:sz w:val="18"/>
              </w:rPr>
              <w:t></w:t>
            </w:r>
            <w:r>
              <w:rPr>
                <w:sz w:val="18"/>
              </w:rPr>
              <w:t>、雨水排放</w:t>
            </w:r>
            <w:r>
              <w:rPr>
                <w:rFonts w:ascii="Wingdings" w:hAnsi="Wingdings" w:eastAsia="Wingdings"/>
                <w:sz w:val="18"/>
              </w:rPr>
              <w:t></w:t>
            </w:r>
            <w:r>
              <w:rPr>
                <w:sz w:val="18"/>
              </w:rPr>
              <w:t>）</w:t>
            </w:r>
          </w:p>
        </w:tc>
      </w:tr>
      <w:tr>
        <w:trPr>
          <w:trHeight w:val="340" w:hRule="atLeast"/>
        </w:trPr>
        <w:tc>
          <w:tcPr>
            <w:tcW w:w="425" w:type="dxa"/>
            <w:vMerge/>
            <w:tcBorders>
              <w:top w:val="nil"/>
            </w:tcBorders>
          </w:tcPr>
          <w:p>
            <w:pPr>
              <w:rPr>
                <w:sz w:val="2"/>
                <w:szCs w:val="2"/>
              </w:rPr>
            </w:pPr>
          </w:p>
        </w:tc>
        <w:tc>
          <w:tcPr>
            <w:tcW w:w="1102" w:type="dxa"/>
            <w:vMerge/>
            <w:tcBorders>
              <w:top w:val="nil"/>
            </w:tcBorders>
          </w:tcPr>
          <w:p>
            <w:pPr>
              <w:rPr>
                <w:sz w:val="2"/>
                <w:szCs w:val="2"/>
              </w:rPr>
            </w:pPr>
          </w:p>
        </w:tc>
        <w:tc>
          <w:tcPr>
            <w:tcW w:w="2510" w:type="dxa"/>
            <w:gridSpan w:val="2"/>
          </w:tcPr>
          <w:p>
            <w:pPr>
              <w:pStyle w:val="TableParagraph"/>
              <w:spacing w:before="55"/>
              <w:ind w:left="785" w:right="782"/>
              <w:rPr>
                <w:sz w:val="18"/>
              </w:rPr>
            </w:pPr>
            <w:r>
              <w:rPr>
                <w:sz w:val="18"/>
              </w:rPr>
              <w:t>监测因子</w:t>
            </w:r>
          </w:p>
        </w:tc>
        <w:tc>
          <w:tcPr>
            <w:tcW w:w="2630" w:type="dxa"/>
            <w:gridSpan w:val="3"/>
          </w:tcPr>
          <w:p>
            <w:pPr>
              <w:pStyle w:val="TableParagraph"/>
              <w:spacing w:before="55"/>
              <w:ind w:left="902" w:right="901"/>
              <w:rPr>
                <w:sz w:val="18"/>
              </w:rPr>
            </w:pPr>
            <w:r>
              <w:rPr>
                <w:sz w:val="18"/>
              </w:rPr>
              <w:t>（）</w:t>
            </w:r>
          </w:p>
        </w:tc>
        <w:tc>
          <w:tcPr>
            <w:tcW w:w="2625" w:type="dxa"/>
            <w:gridSpan w:val="2"/>
          </w:tcPr>
          <w:p>
            <w:pPr>
              <w:pStyle w:val="TableParagraph"/>
              <w:spacing w:before="55"/>
              <w:ind w:left="264"/>
              <w:jc w:val="left"/>
              <w:rPr>
                <w:sz w:val="18"/>
              </w:rPr>
            </w:pPr>
            <w:r>
              <w:rPr>
                <w:sz w:val="18"/>
              </w:rPr>
              <w:t>（</w:t>
            </w:r>
            <w:r>
              <w:rPr>
                <w:rFonts w:ascii="Times New Roman" w:eastAsia="Times New Roman"/>
                <w:sz w:val="18"/>
              </w:rPr>
              <w:t>pH</w:t>
            </w:r>
            <w:r>
              <w:rPr>
                <w:sz w:val="18"/>
              </w:rPr>
              <w:t>、</w:t>
            </w:r>
            <w:r>
              <w:rPr>
                <w:rFonts w:ascii="Times New Roman" w:eastAsia="Times New Roman"/>
                <w:sz w:val="18"/>
              </w:rPr>
              <w:t>COD</w:t>
            </w:r>
            <w:r>
              <w:rPr>
                <w:sz w:val="18"/>
              </w:rPr>
              <w:t>、氨氮、总氮）</w:t>
            </w:r>
          </w:p>
        </w:tc>
      </w:tr>
      <w:tr>
        <w:trPr>
          <w:trHeight w:val="467" w:hRule="atLeast"/>
        </w:trPr>
        <w:tc>
          <w:tcPr>
            <w:tcW w:w="425" w:type="dxa"/>
            <w:vMerge/>
            <w:tcBorders>
              <w:top w:val="nil"/>
            </w:tcBorders>
          </w:tcPr>
          <w:p>
            <w:pPr>
              <w:rPr>
                <w:sz w:val="2"/>
                <w:szCs w:val="2"/>
              </w:rPr>
            </w:pPr>
          </w:p>
        </w:tc>
        <w:tc>
          <w:tcPr>
            <w:tcW w:w="1102" w:type="dxa"/>
          </w:tcPr>
          <w:p>
            <w:pPr>
              <w:pStyle w:val="TableParagraph"/>
              <w:spacing w:line="230" w:lineRule="exact"/>
              <w:ind w:left="189"/>
              <w:jc w:val="left"/>
              <w:rPr>
                <w:sz w:val="18"/>
              </w:rPr>
            </w:pPr>
            <w:r>
              <w:rPr>
                <w:sz w:val="18"/>
              </w:rPr>
              <w:t>污染物排</w:t>
            </w:r>
          </w:p>
          <w:p>
            <w:pPr>
              <w:pStyle w:val="TableParagraph"/>
              <w:spacing w:line="213" w:lineRule="exact" w:before="4"/>
              <w:ind w:left="280"/>
              <w:jc w:val="left"/>
              <w:rPr>
                <w:sz w:val="18"/>
              </w:rPr>
            </w:pPr>
            <w:r>
              <w:rPr>
                <w:sz w:val="18"/>
              </w:rPr>
              <w:t>放清单</w:t>
            </w:r>
          </w:p>
        </w:tc>
        <w:tc>
          <w:tcPr>
            <w:tcW w:w="7765" w:type="dxa"/>
            <w:gridSpan w:val="7"/>
          </w:tcPr>
          <w:p>
            <w:pPr>
              <w:pStyle w:val="TableParagraph"/>
              <w:spacing w:before="128"/>
              <w:ind w:left="107"/>
              <w:jc w:val="left"/>
              <w:rPr>
                <w:rFonts w:ascii="Wingdings" w:hAnsi="Wingdings"/>
                <w:sz w:val="18"/>
              </w:rPr>
            </w:pPr>
            <w:r>
              <w:rPr>
                <w:rFonts w:ascii="Wingdings" w:hAnsi="Wingdings"/>
                <w:w w:val="101"/>
                <w:sz w:val="18"/>
              </w:rPr>
              <w:t></w:t>
            </w:r>
          </w:p>
        </w:tc>
      </w:tr>
      <w:tr>
        <w:trPr>
          <w:trHeight w:val="340" w:hRule="atLeast"/>
        </w:trPr>
        <w:tc>
          <w:tcPr>
            <w:tcW w:w="1527" w:type="dxa"/>
            <w:gridSpan w:val="2"/>
          </w:tcPr>
          <w:p>
            <w:pPr>
              <w:pStyle w:val="TableParagraph"/>
              <w:spacing w:before="52"/>
              <w:ind w:left="402"/>
              <w:jc w:val="left"/>
              <w:rPr>
                <w:sz w:val="18"/>
              </w:rPr>
            </w:pPr>
            <w:r>
              <w:rPr>
                <w:sz w:val="18"/>
              </w:rPr>
              <w:t>评价结论</w:t>
            </w:r>
          </w:p>
        </w:tc>
        <w:tc>
          <w:tcPr>
            <w:tcW w:w="7765" w:type="dxa"/>
            <w:gridSpan w:val="7"/>
          </w:tcPr>
          <w:p>
            <w:pPr>
              <w:pStyle w:val="TableParagraph"/>
              <w:spacing w:before="52"/>
              <w:ind w:left="107"/>
              <w:jc w:val="left"/>
              <w:rPr>
                <w:rFonts w:ascii="Times New Roman" w:hAnsi="Times New Roman" w:eastAsia="Times New Roman"/>
                <w:sz w:val="18"/>
              </w:rPr>
            </w:pPr>
            <w:r>
              <w:rPr>
                <w:sz w:val="18"/>
              </w:rPr>
              <w:t>可以接受</w:t>
            </w:r>
            <w:r>
              <w:rPr>
                <w:rFonts w:ascii="Wingdings" w:hAnsi="Wingdings" w:eastAsia="Wingdings"/>
                <w:sz w:val="18"/>
              </w:rPr>
              <w:t></w:t>
            </w:r>
            <w:r>
              <w:rPr>
                <w:sz w:val="18"/>
              </w:rPr>
              <w:t>；不可以接受</w:t>
            </w:r>
            <w:r>
              <w:rPr>
                <w:rFonts w:ascii="Times New Roman" w:hAnsi="Times New Roman" w:eastAsia="Times New Roman"/>
                <w:sz w:val="18"/>
              </w:rPr>
              <w:t>□</w:t>
            </w:r>
          </w:p>
        </w:tc>
      </w:tr>
      <w:tr>
        <w:trPr>
          <w:trHeight w:val="340" w:hRule="atLeast"/>
        </w:trPr>
        <w:tc>
          <w:tcPr>
            <w:tcW w:w="9292" w:type="dxa"/>
            <w:gridSpan w:val="9"/>
          </w:tcPr>
          <w:p>
            <w:pPr>
              <w:pStyle w:val="TableParagraph"/>
              <w:spacing w:before="52"/>
              <w:ind w:left="107"/>
              <w:jc w:val="left"/>
              <w:rPr>
                <w:sz w:val="18"/>
              </w:rPr>
            </w:pPr>
            <w:r>
              <w:rPr>
                <w:spacing w:val="-10"/>
                <w:sz w:val="18"/>
              </w:rPr>
              <w:t>注：</w:t>
            </w:r>
            <w:r>
              <w:rPr>
                <w:rFonts w:ascii="Times New Roman" w:hAnsi="Times New Roman" w:eastAsia="Times New Roman"/>
                <w:spacing w:val="-7"/>
                <w:sz w:val="18"/>
              </w:rPr>
              <w:t>“□”</w:t>
            </w:r>
            <w:r>
              <w:rPr>
                <w:spacing w:val="-12"/>
                <w:sz w:val="18"/>
              </w:rPr>
              <w:t>为勾选项，填</w:t>
            </w:r>
            <w:r>
              <w:rPr>
                <w:rFonts w:ascii="Times New Roman" w:hAnsi="Times New Roman" w:eastAsia="Times New Roman"/>
                <w:spacing w:val="-7"/>
                <w:sz w:val="18"/>
              </w:rPr>
              <w:t>“√”</w:t>
            </w:r>
            <w:r>
              <w:rPr>
                <w:spacing w:val="-7"/>
                <w:sz w:val="18"/>
              </w:rPr>
              <w:t>；</w:t>
            </w:r>
            <w:r>
              <w:rPr>
                <w:rFonts w:ascii="Times New Roman" w:hAnsi="Times New Roman" w:eastAsia="Times New Roman"/>
                <w:spacing w:val="-7"/>
                <w:sz w:val="18"/>
              </w:rPr>
              <w:t>“</w:t>
            </w:r>
            <w:r>
              <w:rPr>
                <w:spacing w:val="-7"/>
                <w:sz w:val="18"/>
              </w:rPr>
              <w:t>（</w:t>
            </w:r>
            <w:r>
              <w:rPr>
                <w:spacing w:val="58"/>
                <w:sz w:val="18"/>
              </w:rPr>
              <w:t> </w:t>
            </w:r>
            <w:r>
              <w:rPr>
                <w:spacing w:val="-9"/>
                <w:sz w:val="18"/>
              </w:rPr>
              <w:t>）</w:t>
            </w:r>
            <w:r>
              <w:rPr>
                <w:rFonts w:ascii="Times New Roman" w:hAnsi="Times New Roman" w:eastAsia="Times New Roman"/>
                <w:spacing w:val="-9"/>
                <w:sz w:val="18"/>
              </w:rPr>
              <w:t>”</w:t>
            </w:r>
            <w:r>
              <w:rPr>
                <w:spacing w:val="-12"/>
                <w:sz w:val="18"/>
              </w:rPr>
              <w:t>为内容填写项；</w:t>
            </w:r>
            <w:r>
              <w:rPr>
                <w:rFonts w:ascii="Times New Roman" w:hAnsi="Times New Roman" w:eastAsia="Times New Roman"/>
                <w:spacing w:val="-9"/>
                <w:sz w:val="18"/>
              </w:rPr>
              <w:t>“</w:t>
            </w:r>
            <w:r>
              <w:rPr>
                <w:spacing w:val="-14"/>
                <w:sz w:val="18"/>
              </w:rPr>
              <w:t>备注</w:t>
            </w:r>
            <w:r>
              <w:rPr>
                <w:rFonts w:ascii="Times New Roman" w:hAnsi="Times New Roman" w:eastAsia="Times New Roman"/>
                <w:spacing w:val="-6"/>
                <w:sz w:val="18"/>
              </w:rPr>
              <w:t>”</w:t>
            </w:r>
            <w:r>
              <w:rPr>
                <w:spacing w:val="-12"/>
                <w:sz w:val="18"/>
              </w:rPr>
              <w:t>为其他补充内容。</w:t>
            </w:r>
          </w:p>
        </w:tc>
      </w:tr>
    </w:tbl>
    <w:p>
      <w:pPr>
        <w:spacing w:after="0"/>
        <w:jc w:val="left"/>
        <w:rPr>
          <w:sz w:val="18"/>
        </w:rPr>
        <w:sectPr>
          <w:pgSz w:w="11910" w:h="16840"/>
          <w:pgMar w:header="872" w:footer="1015" w:top="1100" w:bottom="1200" w:left="1100" w:right="1100"/>
        </w:sectPr>
      </w:pPr>
    </w:p>
    <w:p>
      <w:pPr>
        <w:pStyle w:val="BodyText"/>
        <w:spacing w:before="6"/>
        <w:rPr>
          <w:rFonts w:ascii="Times New Roman"/>
          <w:sz w:val="20"/>
        </w:rPr>
      </w:pPr>
    </w:p>
    <w:p>
      <w:pPr>
        <w:spacing w:before="66" w:after="3"/>
        <w:ind w:left="318" w:right="0" w:firstLine="0"/>
        <w:jc w:val="left"/>
        <w:rPr>
          <w:b/>
          <w:sz w:val="24"/>
        </w:rPr>
      </w:pPr>
      <w:bookmarkStart w:name="_bookmark86" w:id="170"/>
      <w:bookmarkEnd w:id="170"/>
      <w:r>
        <w:rPr/>
      </w:r>
      <w:r>
        <w:rPr>
          <w:b/>
          <w:sz w:val="24"/>
        </w:rPr>
        <w:t>建设项目环境风险评价自查表</w:t>
      </w: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1"/>
        <w:gridCol w:w="1504"/>
        <w:gridCol w:w="1226"/>
        <w:gridCol w:w="606"/>
        <w:gridCol w:w="1333"/>
        <w:gridCol w:w="517"/>
        <w:gridCol w:w="814"/>
        <w:gridCol w:w="905"/>
        <w:gridCol w:w="549"/>
        <w:gridCol w:w="1355"/>
      </w:tblGrid>
      <w:tr>
        <w:trPr>
          <w:trHeight w:val="350" w:hRule="atLeast"/>
        </w:trPr>
        <w:tc>
          <w:tcPr>
            <w:tcW w:w="2145" w:type="dxa"/>
            <w:gridSpan w:val="2"/>
          </w:tcPr>
          <w:p>
            <w:pPr>
              <w:pStyle w:val="TableParagraph"/>
              <w:spacing w:before="2"/>
              <w:ind w:left="710"/>
              <w:jc w:val="left"/>
              <w:rPr>
                <w:b/>
                <w:sz w:val="18"/>
              </w:rPr>
            </w:pPr>
            <w:r>
              <w:rPr>
                <w:b/>
                <w:sz w:val="18"/>
              </w:rPr>
              <w:t>工作内容</w:t>
            </w:r>
          </w:p>
        </w:tc>
        <w:tc>
          <w:tcPr>
            <w:tcW w:w="7305" w:type="dxa"/>
            <w:gridSpan w:val="8"/>
          </w:tcPr>
          <w:p>
            <w:pPr>
              <w:pStyle w:val="TableParagraph"/>
              <w:spacing w:before="2"/>
              <w:ind w:left="2238" w:right="2213"/>
              <w:rPr>
                <w:b/>
                <w:sz w:val="18"/>
              </w:rPr>
            </w:pPr>
            <w:r>
              <w:rPr>
                <w:b/>
                <w:sz w:val="18"/>
              </w:rPr>
              <w:t>完成情况</w:t>
            </w:r>
          </w:p>
        </w:tc>
      </w:tr>
      <w:tr>
        <w:trPr>
          <w:trHeight w:val="350" w:hRule="atLeast"/>
        </w:trPr>
        <w:tc>
          <w:tcPr>
            <w:tcW w:w="641"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11"/>
              <w:jc w:val="left"/>
              <w:rPr>
                <w:b/>
                <w:sz w:val="26"/>
              </w:rPr>
            </w:pPr>
          </w:p>
          <w:p>
            <w:pPr>
              <w:pStyle w:val="TableParagraph"/>
              <w:spacing w:line="364" w:lineRule="auto"/>
              <w:ind w:left="139" w:right="129"/>
              <w:jc w:val="left"/>
              <w:rPr>
                <w:sz w:val="18"/>
              </w:rPr>
            </w:pPr>
            <w:r>
              <w:rPr>
                <w:sz w:val="18"/>
              </w:rPr>
              <w:t>风险调查</w:t>
            </w:r>
          </w:p>
        </w:tc>
        <w:tc>
          <w:tcPr>
            <w:tcW w:w="1504" w:type="dxa"/>
            <w:vMerge w:val="restart"/>
          </w:tcPr>
          <w:p>
            <w:pPr>
              <w:pStyle w:val="TableParagraph"/>
              <w:jc w:val="left"/>
              <w:rPr>
                <w:b/>
                <w:sz w:val="18"/>
              </w:rPr>
            </w:pPr>
          </w:p>
          <w:p>
            <w:pPr>
              <w:pStyle w:val="TableParagraph"/>
              <w:spacing w:before="131"/>
              <w:ind w:left="391"/>
              <w:jc w:val="left"/>
              <w:rPr>
                <w:sz w:val="18"/>
              </w:rPr>
            </w:pPr>
            <w:r>
              <w:rPr>
                <w:sz w:val="18"/>
              </w:rPr>
              <w:t>危险物质</w:t>
            </w:r>
          </w:p>
        </w:tc>
        <w:tc>
          <w:tcPr>
            <w:tcW w:w="3682" w:type="dxa"/>
            <w:gridSpan w:val="4"/>
          </w:tcPr>
          <w:p>
            <w:pPr>
              <w:pStyle w:val="TableParagraph"/>
              <w:spacing w:before="2"/>
              <w:ind w:left="1414" w:right="1397"/>
              <w:rPr>
                <w:sz w:val="18"/>
              </w:rPr>
            </w:pPr>
            <w:r>
              <w:rPr>
                <w:sz w:val="18"/>
              </w:rPr>
              <w:t>名称</w:t>
            </w:r>
          </w:p>
        </w:tc>
        <w:tc>
          <w:tcPr>
            <w:tcW w:w="3623" w:type="dxa"/>
            <w:gridSpan w:val="4"/>
          </w:tcPr>
          <w:p>
            <w:pPr>
              <w:pStyle w:val="TableParagraph"/>
              <w:spacing w:before="2"/>
              <w:ind w:left="1597" w:right="1569"/>
              <w:rPr>
                <w:sz w:val="18"/>
              </w:rPr>
            </w:pPr>
            <w:r>
              <w:rPr>
                <w:sz w:val="18"/>
              </w:rPr>
              <w:t>甲酸</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3682" w:type="dxa"/>
            <w:gridSpan w:val="4"/>
          </w:tcPr>
          <w:p>
            <w:pPr>
              <w:pStyle w:val="TableParagraph"/>
              <w:spacing w:before="2"/>
              <w:ind w:left="1414" w:right="1397"/>
              <w:rPr>
                <w:rFonts w:ascii="Times New Roman" w:eastAsia="Times New Roman"/>
                <w:sz w:val="18"/>
              </w:rPr>
            </w:pPr>
            <w:r>
              <w:rPr>
                <w:sz w:val="18"/>
              </w:rPr>
              <w:t>存在总量</w:t>
            </w:r>
            <w:r>
              <w:rPr>
                <w:rFonts w:ascii="Times New Roman" w:eastAsia="Times New Roman"/>
                <w:sz w:val="18"/>
              </w:rPr>
              <w:t>/t</w:t>
            </w:r>
          </w:p>
        </w:tc>
        <w:tc>
          <w:tcPr>
            <w:tcW w:w="3623" w:type="dxa"/>
            <w:gridSpan w:val="4"/>
          </w:tcPr>
          <w:p>
            <w:pPr>
              <w:pStyle w:val="TableParagraph"/>
              <w:spacing w:before="19"/>
              <w:ind w:left="1597" w:right="1571"/>
              <w:rPr>
                <w:rFonts w:ascii="Times New Roman"/>
                <w:sz w:val="18"/>
              </w:rPr>
            </w:pPr>
            <w:r>
              <w:rPr>
                <w:rFonts w:ascii="Times New Roman"/>
                <w:sz w:val="18"/>
              </w:rPr>
              <w:t>101.7</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7305" w:type="dxa"/>
            <w:gridSpan w:val="8"/>
          </w:tcPr>
          <w:p>
            <w:pPr>
              <w:pStyle w:val="TableParagraph"/>
              <w:spacing w:before="2"/>
              <w:ind w:left="2242" w:right="2213"/>
              <w:rPr>
                <w:rFonts w:ascii="Times New Roman" w:eastAsia="Times New Roman"/>
                <w:sz w:val="18"/>
              </w:rPr>
            </w:pPr>
            <w:r>
              <w:rPr>
                <w:sz w:val="18"/>
              </w:rPr>
              <w:t>其他危险物质详见表 </w:t>
            </w:r>
            <w:r>
              <w:rPr>
                <w:rFonts w:ascii="Times New Roman" w:eastAsia="Times New Roman"/>
                <w:sz w:val="18"/>
              </w:rPr>
              <w:t>8.3-1</w:t>
            </w:r>
          </w:p>
        </w:tc>
      </w:tr>
      <w:tr>
        <w:trPr>
          <w:trHeight w:val="350" w:hRule="atLeast"/>
        </w:trPr>
        <w:tc>
          <w:tcPr>
            <w:tcW w:w="641" w:type="dxa"/>
            <w:vMerge/>
            <w:tcBorders>
              <w:top w:val="nil"/>
            </w:tcBorders>
          </w:tcPr>
          <w:p>
            <w:pPr>
              <w:rPr>
                <w:sz w:val="2"/>
                <w:szCs w:val="2"/>
              </w:rPr>
            </w:pPr>
          </w:p>
        </w:tc>
        <w:tc>
          <w:tcPr>
            <w:tcW w:w="1504"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5"/>
              <w:jc w:val="left"/>
              <w:rPr>
                <w:b/>
                <w:sz w:val="16"/>
              </w:rPr>
            </w:pPr>
          </w:p>
          <w:p>
            <w:pPr>
              <w:pStyle w:val="TableParagraph"/>
              <w:ind w:left="302"/>
              <w:jc w:val="left"/>
              <w:rPr>
                <w:sz w:val="18"/>
              </w:rPr>
            </w:pPr>
            <w:r>
              <w:rPr>
                <w:sz w:val="18"/>
              </w:rPr>
              <w:t>环境敏感性</w:t>
            </w:r>
          </w:p>
        </w:tc>
        <w:tc>
          <w:tcPr>
            <w:tcW w:w="1226" w:type="dxa"/>
            <w:vMerge w:val="restart"/>
          </w:tcPr>
          <w:p>
            <w:pPr>
              <w:pStyle w:val="TableParagraph"/>
              <w:spacing w:before="2"/>
              <w:jc w:val="left"/>
              <w:rPr>
                <w:b/>
                <w:sz w:val="14"/>
              </w:rPr>
            </w:pPr>
          </w:p>
          <w:p>
            <w:pPr>
              <w:pStyle w:val="TableParagraph"/>
              <w:spacing w:before="1"/>
              <w:ind w:left="324" w:right="310"/>
              <w:rPr>
                <w:sz w:val="18"/>
              </w:rPr>
            </w:pPr>
            <w:r>
              <w:rPr>
                <w:sz w:val="18"/>
              </w:rPr>
              <w:t>大气</w:t>
            </w:r>
          </w:p>
        </w:tc>
        <w:tc>
          <w:tcPr>
            <w:tcW w:w="3270" w:type="dxa"/>
            <w:gridSpan w:val="4"/>
          </w:tcPr>
          <w:p>
            <w:pPr>
              <w:pStyle w:val="TableParagraph"/>
              <w:spacing w:before="2"/>
              <w:ind w:left="174"/>
              <w:jc w:val="left"/>
              <w:rPr>
                <w:sz w:val="18"/>
              </w:rPr>
            </w:pPr>
            <w:r>
              <w:rPr>
                <w:rFonts w:ascii="Times New Roman" w:eastAsia="Times New Roman"/>
                <w:sz w:val="18"/>
              </w:rPr>
              <w:t>500m </w:t>
            </w:r>
            <w:r>
              <w:rPr>
                <w:sz w:val="18"/>
              </w:rPr>
              <w:t>范围内人口数</w:t>
            </w:r>
            <w:r>
              <w:rPr>
                <w:sz w:val="18"/>
                <w:u w:val="single"/>
              </w:rPr>
              <w:t>＞</w:t>
            </w:r>
            <w:r>
              <w:rPr>
                <w:rFonts w:ascii="Times New Roman" w:eastAsia="Times New Roman"/>
                <w:sz w:val="18"/>
                <w:u w:val="single"/>
              </w:rPr>
              <w:t>500</w:t>
            </w:r>
            <w:r>
              <w:rPr>
                <w:sz w:val="18"/>
                <w:u w:val="single"/>
              </w:rPr>
              <w:t>、＜</w:t>
            </w:r>
            <w:r>
              <w:rPr>
                <w:rFonts w:ascii="Times New Roman" w:eastAsia="Times New Roman"/>
                <w:sz w:val="18"/>
                <w:u w:val="single"/>
              </w:rPr>
              <w:t>1000 </w:t>
            </w:r>
            <w:r>
              <w:rPr>
                <w:sz w:val="18"/>
              </w:rPr>
              <w:t>人</w:t>
            </w:r>
          </w:p>
        </w:tc>
        <w:tc>
          <w:tcPr>
            <w:tcW w:w="2809" w:type="dxa"/>
            <w:gridSpan w:val="3"/>
          </w:tcPr>
          <w:p>
            <w:pPr>
              <w:pStyle w:val="TableParagraph"/>
              <w:spacing w:before="2"/>
              <w:ind w:left="238"/>
              <w:jc w:val="left"/>
              <w:rPr>
                <w:sz w:val="18"/>
              </w:rPr>
            </w:pPr>
            <w:r>
              <w:rPr>
                <w:rFonts w:ascii="Times New Roman" w:eastAsia="Times New Roman"/>
                <w:sz w:val="18"/>
              </w:rPr>
              <w:t>5km </w:t>
            </w:r>
            <w:r>
              <w:rPr>
                <w:sz w:val="18"/>
              </w:rPr>
              <w:t>范围内人口数</w:t>
            </w:r>
            <w:r>
              <w:rPr>
                <w:sz w:val="18"/>
                <w:u w:val="single"/>
              </w:rPr>
              <w:t> </w:t>
            </w:r>
            <w:r>
              <w:rPr>
                <w:rFonts w:ascii="Times New Roman" w:eastAsia="Times New Roman"/>
                <w:sz w:val="18"/>
                <w:u w:val="single"/>
              </w:rPr>
              <w:t>&gt;50000 </w:t>
            </w:r>
            <w:r>
              <w:rPr>
                <w:sz w:val="18"/>
              </w:rPr>
              <w:t>人</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226" w:type="dxa"/>
            <w:vMerge/>
            <w:tcBorders>
              <w:top w:val="nil"/>
            </w:tcBorders>
          </w:tcPr>
          <w:p>
            <w:pPr>
              <w:rPr>
                <w:sz w:val="2"/>
                <w:szCs w:val="2"/>
              </w:rPr>
            </w:pPr>
          </w:p>
        </w:tc>
        <w:tc>
          <w:tcPr>
            <w:tcW w:w="4724" w:type="dxa"/>
            <w:gridSpan w:val="6"/>
          </w:tcPr>
          <w:p>
            <w:pPr>
              <w:pStyle w:val="TableParagraph"/>
              <w:spacing w:before="2"/>
              <w:ind w:left="582"/>
              <w:jc w:val="left"/>
              <w:rPr>
                <w:sz w:val="18"/>
              </w:rPr>
            </w:pPr>
            <w:r>
              <w:rPr>
                <w:sz w:val="18"/>
              </w:rPr>
              <w:t>每公里管段周边 </w:t>
            </w:r>
            <w:r>
              <w:rPr>
                <w:rFonts w:ascii="Times New Roman" w:eastAsia="Times New Roman"/>
                <w:sz w:val="18"/>
              </w:rPr>
              <w:t>200m </w:t>
            </w:r>
            <w:r>
              <w:rPr>
                <w:sz w:val="18"/>
              </w:rPr>
              <w:t>范围内人口数（最大）</w:t>
            </w:r>
          </w:p>
        </w:tc>
        <w:tc>
          <w:tcPr>
            <w:tcW w:w="1355" w:type="dxa"/>
          </w:tcPr>
          <w:p>
            <w:pPr>
              <w:pStyle w:val="TableParagraph"/>
              <w:spacing w:before="2"/>
              <w:ind w:left="27"/>
              <w:rPr>
                <w:sz w:val="18"/>
              </w:rPr>
            </w:pPr>
            <w:r>
              <w:rPr>
                <w:rFonts w:ascii="Times New Roman" w:eastAsia="Times New Roman"/>
                <w:sz w:val="18"/>
                <w:u w:val="single"/>
              </w:rPr>
              <w:t>  /  </w:t>
            </w:r>
            <w:r>
              <w:rPr>
                <w:sz w:val="18"/>
              </w:rPr>
              <w:t>人</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226" w:type="dxa"/>
            <w:vMerge w:val="restart"/>
          </w:tcPr>
          <w:p>
            <w:pPr>
              <w:pStyle w:val="TableParagraph"/>
              <w:spacing w:before="2"/>
              <w:jc w:val="left"/>
              <w:rPr>
                <w:b/>
                <w:sz w:val="14"/>
              </w:rPr>
            </w:pPr>
          </w:p>
          <w:p>
            <w:pPr>
              <w:pStyle w:val="TableParagraph"/>
              <w:spacing w:before="1"/>
              <w:ind w:left="343"/>
              <w:jc w:val="left"/>
              <w:rPr>
                <w:sz w:val="18"/>
              </w:rPr>
            </w:pPr>
            <w:r>
              <w:rPr>
                <w:sz w:val="18"/>
              </w:rPr>
              <w:t>地表水</w:t>
            </w:r>
          </w:p>
        </w:tc>
        <w:tc>
          <w:tcPr>
            <w:tcW w:w="1939" w:type="dxa"/>
            <w:gridSpan w:val="2"/>
          </w:tcPr>
          <w:p>
            <w:pPr>
              <w:pStyle w:val="TableParagraph"/>
              <w:spacing w:before="2"/>
              <w:ind w:left="251"/>
              <w:jc w:val="left"/>
              <w:rPr>
                <w:sz w:val="18"/>
              </w:rPr>
            </w:pPr>
            <w:r>
              <w:rPr>
                <w:sz w:val="18"/>
              </w:rPr>
              <w:t>地表水功能敏感性</w:t>
            </w:r>
          </w:p>
        </w:tc>
        <w:tc>
          <w:tcPr>
            <w:tcW w:w="1331" w:type="dxa"/>
            <w:gridSpan w:val="2"/>
          </w:tcPr>
          <w:p>
            <w:pPr>
              <w:pStyle w:val="TableParagraph"/>
              <w:spacing w:before="21"/>
              <w:ind w:left="470" w:right="449"/>
              <w:rPr>
                <w:rFonts w:ascii="Times New Roman" w:hAnsi="Times New Roman"/>
                <w:sz w:val="18"/>
              </w:rPr>
            </w:pPr>
            <w:r>
              <w:rPr>
                <w:rFonts w:ascii="Times New Roman" w:hAnsi="Times New Roman"/>
                <w:sz w:val="18"/>
              </w:rPr>
              <w:t>F1□</w:t>
            </w:r>
          </w:p>
        </w:tc>
        <w:tc>
          <w:tcPr>
            <w:tcW w:w="1454" w:type="dxa"/>
            <w:gridSpan w:val="2"/>
          </w:tcPr>
          <w:p>
            <w:pPr>
              <w:pStyle w:val="TableParagraph"/>
              <w:spacing w:before="21"/>
              <w:ind w:left="530" w:right="491"/>
              <w:rPr>
                <w:rFonts w:ascii="Times New Roman" w:hAnsi="Times New Roman"/>
                <w:sz w:val="18"/>
              </w:rPr>
            </w:pPr>
            <w:r>
              <w:rPr>
                <w:rFonts w:ascii="Times New Roman" w:hAnsi="Times New Roman"/>
                <w:sz w:val="18"/>
              </w:rPr>
              <w:t>F2□</w:t>
            </w:r>
          </w:p>
        </w:tc>
        <w:tc>
          <w:tcPr>
            <w:tcW w:w="1355" w:type="dxa"/>
          </w:tcPr>
          <w:p>
            <w:pPr>
              <w:pStyle w:val="TableParagraph"/>
              <w:spacing w:before="21"/>
              <w:ind w:left="48"/>
              <w:rPr>
                <w:rFonts w:ascii="Wingdings" w:hAnsi="Wingdings"/>
                <w:sz w:val="18"/>
              </w:rPr>
            </w:pPr>
            <w:r>
              <w:rPr>
                <w:rFonts w:ascii="Times New Roman" w:hAnsi="Times New Roman"/>
                <w:sz w:val="18"/>
              </w:rPr>
              <w:t>F3</w:t>
            </w:r>
            <w:r>
              <w:rPr>
                <w:rFonts w:ascii="Wingdings" w:hAnsi="Wingdings"/>
                <w:sz w:val="18"/>
              </w:rPr>
              <w:t></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226" w:type="dxa"/>
            <w:vMerge/>
            <w:tcBorders>
              <w:top w:val="nil"/>
            </w:tcBorders>
          </w:tcPr>
          <w:p>
            <w:pPr>
              <w:rPr>
                <w:sz w:val="2"/>
                <w:szCs w:val="2"/>
              </w:rPr>
            </w:pPr>
          </w:p>
        </w:tc>
        <w:tc>
          <w:tcPr>
            <w:tcW w:w="1939" w:type="dxa"/>
            <w:gridSpan w:val="2"/>
          </w:tcPr>
          <w:p>
            <w:pPr>
              <w:pStyle w:val="TableParagraph"/>
              <w:spacing w:before="2"/>
              <w:ind w:left="251"/>
              <w:jc w:val="left"/>
              <w:rPr>
                <w:sz w:val="18"/>
              </w:rPr>
            </w:pPr>
            <w:r>
              <w:rPr>
                <w:sz w:val="18"/>
              </w:rPr>
              <w:t>环境敏感目标分级</w:t>
            </w:r>
          </w:p>
        </w:tc>
        <w:tc>
          <w:tcPr>
            <w:tcW w:w="1331" w:type="dxa"/>
            <w:gridSpan w:val="2"/>
          </w:tcPr>
          <w:p>
            <w:pPr>
              <w:pStyle w:val="TableParagraph"/>
              <w:spacing w:before="21"/>
              <w:ind w:left="470" w:right="449"/>
              <w:rPr>
                <w:rFonts w:ascii="Times New Roman" w:hAnsi="Times New Roman"/>
                <w:sz w:val="18"/>
              </w:rPr>
            </w:pPr>
            <w:r>
              <w:rPr>
                <w:rFonts w:ascii="Times New Roman" w:hAnsi="Times New Roman"/>
                <w:sz w:val="18"/>
              </w:rPr>
              <w:t>S1□</w:t>
            </w:r>
          </w:p>
        </w:tc>
        <w:tc>
          <w:tcPr>
            <w:tcW w:w="1454" w:type="dxa"/>
            <w:gridSpan w:val="2"/>
          </w:tcPr>
          <w:p>
            <w:pPr>
              <w:pStyle w:val="TableParagraph"/>
              <w:spacing w:before="21"/>
              <w:ind w:left="530" w:right="491"/>
              <w:rPr>
                <w:rFonts w:ascii="Times New Roman" w:hAnsi="Times New Roman"/>
                <w:sz w:val="18"/>
              </w:rPr>
            </w:pPr>
            <w:r>
              <w:rPr>
                <w:rFonts w:ascii="Times New Roman" w:hAnsi="Times New Roman"/>
                <w:sz w:val="18"/>
              </w:rPr>
              <w:t>S2□</w:t>
            </w:r>
          </w:p>
        </w:tc>
        <w:tc>
          <w:tcPr>
            <w:tcW w:w="1355" w:type="dxa"/>
          </w:tcPr>
          <w:p>
            <w:pPr>
              <w:pStyle w:val="TableParagraph"/>
              <w:spacing w:before="21"/>
              <w:ind w:left="48"/>
              <w:rPr>
                <w:rFonts w:ascii="Wingdings" w:hAnsi="Wingdings"/>
                <w:sz w:val="18"/>
              </w:rPr>
            </w:pPr>
            <w:r>
              <w:rPr>
                <w:rFonts w:ascii="Times New Roman" w:hAnsi="Times New Roman"/>
                <w:sz w:val="18"/>
              </w:rPr>
              <w:t>S3</w:t>
            </w:r>
            <w:r>
              <w:rPr>
                <w:rFonts w:ascii="Wingdings" w:hAnsi="Wingdings"/>
                <w:sz w:val="18"/>
              </w:rPr>
              <w:t></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226" w:type="dxa"/>
            <w:vMerge w:val="restart"/>
          </w:tcPr>
          <w:p>
            <w:pPr>
              <w:pStyle w:val="TableParagraph"/>
              <w:spacing w:before="5"/>
              <w:jc w:val="left"/>
              <w:rPr>
                <w:b/>
                <w:sz w:val="14"/>
              </w:rPr>
            </w:pPr>
          </w:p>
          <w:p>
            <w:pPr>
              <w:pStyle w:val="TableParagraph"/>
              <w:ind w:left="343"/>
              <w:jc w:val="left"/>
              <w:rPr>
                <w:sz w:val="18"/>
              </w:rPr>
            </w:pPr>
            <w:r>
              <w:rPr>
                <w:sz w:val="18"/>
              </w:rPr>
              <w:t>地下水</w:t>
            </w:r>
          </w:p>
        </w:tc>
        <w:tc>
          <w:tcPr>
            <w:tcW w:w="1939" w:type="dxa"/>
            <w:gridSpan w:val="2"/>
          </w:tcPr>
          <w:p>
            <w:pPr>
              <w:pStyle w:val="TableParagraph"/>
              <w:spacing w:before="4"/>
              <w:ind w:left="251"/>
              <w:jc w:val="left"/>
              <w:rPr>
                <w:sz w:val="18"/>
              </w:rPr>
            </w:pPr>
            <w:r>
              <w:rPr>
                <w:sz w:val="18"/>
              </w:rPr>
              <w:t>地下水功能敏感性</w:t>
            </w:r>
          </w:p>
        </w:tc>
        <w:tc>
          <w:tcPr>
            <w:tcW w:w="1331" w:type="dxa"/>
            <w:gridSpan w:val="2"/>
          </w:tcPr>
          <w:p>
            <w:pPr>
              <w:pStyle w:val="TableParagraph"/>
              <w:spacing w:before="21"/>
              <w:ind w:left="467" w:right="449"/>
              <w:rPr>
                <w:rFonts w:ascii="Times New Roman" w:hAnsi="Times New Roman"/>
                <w:sz w:val="18"/>
              </w:rPr>
            </w:pPr>
            <w:r>
              <w:rPr>
                <w:rFonts w:ascii="Times New Roman" w:hAnsi="Times New Roman"/>
                <w:sz w:val="18"/>
              </w:rPr>
              <w:t>G1□</w:t>
            </w:r>
          </w:p>
        </w:tc>
        <w:tc>
          <w:tcPr>
            <w:tcW w:w="1454" w:type="dxa"/>
            <w:gridSpan w:val="2"/>
          </w:tcPr>
          <w:p>
            <w:pPr>
              <w:pStyle w:val="TableParagraph"/>
              <w:spacing w:before="21"/>
              <w:ind w:left="532" w:right="491"/>
              <w:rPr>
                <w:rFonts w:ascii="Times New Roman" w:hAnsi="Times New Roman"/>
                <w:sz w:val="18"/>
              </w:rPr>
            </w:pPr>
            <w:r>
              <w:rPr>
                <w:rFonts w:ascii="Times New Roman" w:hAnsi="Times New Roman"/>
                <w:sz w:val="18"/>
              </w:rPr>
              <w:t>G2□</w:t>
            </w:r>
          </w:p>
        </w:tc>
        <w:tc>
          <w:tcPr>
            <w:tcW w:w="1355" w:type="dxa"/>
          </w:tcPr>
          <w:p>
            <w:pPr>
              <w:pStyle w:val="TableParagraph"/>
              <w:spacing w:before="21"/>
              <w:ind w:left="45"/>
              <w:rPr>
                <w:rFonts w:ascii="Wingdings" w:hAnsi="Wingdings"/>
                <w:sz w:val="18"/>
              </w:rPr>
            </w:pPr>
            <w:r>
              <w:rPr>
                <w:rFonts w:ascii="Times New Roman" w:hAnsi="Times New Roman"/>
                <w:sz w:val="18"/>
              </w:rPr>
              <w:t>G3</w:t>
            </w:r>
            <w:r>
              <w:rPr>
                <w:rFonts w:ascii="Wingdings" w:hAnsi="Wingdings"/>
                <w:sz w:val="18"/>
              </w:rPr>
              <w:t></w:t>
            </w:r>
          </w:p>
        </w:tc>
      </w:tr>
      <w:tr>
        <w:trPr>
          <w:trHeight w:val="349"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226" w:type="dxa"/>
            <w:vMerge/>
            <w:tcBorders>
              <w:top w:val="nil"/>
            </w:tcBorders>
          </w:tcPr>
          <w:p>
            <w:pPr>
              <w:rPr>
                <w:sz w:val="2"/>
                <w:szCs w:val="2"/>
              </w:rPr>
            </w:pPr>
          </w:p>
        </w:tc>
        <w:tc>
          <w:tcPr>
            <w:tcW w:w="1939" w:type="dxa"/>
            <w:gridSpan w:val="2"/>
          </w:tcPr>
          <w:p>
            <w:pPr>
              <w:pStyle w:val="TableParagraph"/>
              <w:spacing w:before="4"/>
              <w:ind w:left="342"/>
              <w:jc w:val="left"/>
              <w:rPr>
                <w:sz w:val="18"/>
              </w:rPr>
            </w:pPr>
            <w:r>
              <w:rPr>
                <w:sz w:val="18"/>
              </w:rPr>
              <w:t>包气带防污性能</w:t>
            </w:r>
          </w:p>
        </w:tc>
        <w:tc>
          <w:tcPr>
            <w:tcW w:w="1331" w:type="dxa"/>
            <w:gridSpan w:val="2"/>
          </w:tcPr>
          <w:p>
            <w:pPr>
              <w:pStyle w:val="TableParagraph"/>
              <w:spacing w:before="21"/>
              <w:ind w:left="470" w:right="449"/>
              <w:rPr>
                <w:rFonts w:ascii="Times New Roman" w:hAnsi="Times New Roman"/>
                <w:sz w:val="18"/>
              </w:rPr>
            </w:pPr>
            <w:r>
              <w:rPr>
                <w:rFonts w:ascii="Times New Roman" w:hAnsi="Times New Roman"/>
                <w:sz w:val="18"/>
              </w:rPr>
              <w:t>D1□</w:t>
            </w:r>
          </w:p>
        </w:tc>
        <w:tc>
          <w:tcPr>
            <w:tcW w:w="1454" w:type="dxa"/>
            <w:gridSpan w:val="2"/>
          </w:tcPr>
          <w:p>
            <w:pPr>
              <w:pStyle w:val="TableParagraph"/>
              <w:spacing w:before="21"/>
              <w:ind w:left="534" w:right="491"/>
              <w:rPr>
                <w:rFonts w:ascii="Wingdings" w:hAnsi="Wingdings"/>
                <w:sz w:val="18"/>
              </w:rPr>
            </w:pPr>
            <w:r>
              <w:rPr>
                <w:rFonts w:ascii="Times New Roman" w:hAnsi="Times New Roman"/>
                <w:sz w:val="18"/>
              </w:rPr>
              <w:t>D2</w:t>
            </w:r>
            <w:r>
              <w:rPr>
                <w:rFonts w:ascii="Wingdings" w:hAnsi="Wingdings"/>
                <w:sz w:val="18"/>
              </w:rPr>
              <w:t></w:t>
            </w:r>
          </w:p>
        </w:tc>
        <w:tc>
          <w:tcPr>
            <w:tcW w:w="1355" w:type="dxa"/>
          </w:tcPr>
          <w:p>
            <w:pPr>
              <w:pStyle w:val="TableParagraph"/>
              <w:spacing w:before="21"/>
              <w:ind w:left="49"/>
              <w:rPr>
                <w:rFonts w:ascii="Times New Roman" w:hAnsi="Times New Roman"/>
                <w:sz w:val="18"/>
              </w:rPr>
            </w:pPr>
            <w:r>
              <w:rPr>
                <w:rFonts w:ascii="Times New Roman" w:hAnsi="Times New Roman"/>
                <w:sz w:val="18"/>
              </w:rPr>
              <w:t>D3□</w:t>
            </w:r>
          </w:p>
        </w:tc>
      </w:tr>
      <w:tr>
        <w:trPr>
          <w:trHeight w:val="352" w:hRule="atLeast"/>
        </w:trPr>
        <w:tc>
          <w:tcPr>
            <w:tcW w:w="2145" w:type="dxa"/>
            <w:gridSpan w:val="2"/>
            <w:vMerge w:val="restart"/>
          </w:tcPr>
          <w:p>
            <w:pPr>
              <w:pStyle w:val="TableParagraph"/>
              <w:jc w:val="left"/>
              <w:rPr>
                <w:b/>
                <w:sz w:val="18"/>
              </w:rPr>
            </w:pPr>
          </w:p>
          <w:p>
            <w:pPr>
              <w:pStyle w:val="TableParagraph"/>
              <w:spacing w:before="134"/>
              <w:ind w:left="211"/>
              <w:jc w:val="left"/>
              <w:rPr>
                <w:sz w:val="18"/>
              </w:rPr>
            </w:pPr>
            <w:r>
              <w:rPr>
                <w:sz w:val="18"/>
              </w:rPr>
              <w:t>物质及工艺系统危险性</w:t>
            </w:r>
          </w:p>
        </w:tc>
        <w:tc>
          <w:tcPr>
            <w:tcW w:w="1226" w:type="dxa"/>
          </w:tcPr>
          <w:p>
            <w:pPr>
              <w:pStyle w:val="TableParagraph"/>
              <w:spacing w:before="4"/>
              <w:ind w:left="324" w:right="309"/>
              <w:rPr>
                <w:sz w:val="18"/>
              </w:rPr>
            </w:pPr>
            <w:r>
              <w:rPr>
                <w:rFonts w:ascii="Times New Roman" w:eastAsia="Times New Roman"/>
                <w:sz w:val="18"/>
              </w:rPr>
              <w:t>Q </w:t>
            </w:r>
            <w:r>
              <w:rPr>
                <w:sz w:val="18"/>
              </w:rPr>
              <w:t>值</w:t>
            </w:r>
          </w:p>
        </w:tc>
        <w:tc>
          <w:tcPr>
            <w:tcW w:w="1939" w:type="dxa"/>
            <w:gridSpan w:val="2"/>
          </w:tcPr>
          <w:p>
            <w:pPr>
              <w:pStyle w:val="TableParagraph"/>
              <w:spacing w:before="4"/>
              <w:ind w:left="697" w:right="683"/>
              <w:rPr>
                <w:rFonts w:ascii="Times New Roman" w:hAnsi="Times New Roman" w:eastAsia="Times New Roman"/>
                <w:sz w:val="18"/>
              </w:rPr>
            </w:pPr>
            <w:r>
              <w:rPr>
                <w:rFonts w:ascii="Times New Roman" w:hAnsi="Times New Roman" w:eastAsia="Times New Roman"/>
                <w:sz w:val="18"/>
              </w:rPr>
              <w:t>Q</w:t>
            </w:r>
            <w:r>
              <w:rPr>
                <w:sz w:val="18"/>
              </w:rPr>
              <w:t>＜</w:t>
            </w:r>
            <w:r>
              <w:rPr>
                <w:rFonts w:ascii="Times New Roman" w:hAnsi="Times New Roman" w:eastAsia="Times New Roman"/>
                <w:sz w:val="18"/>
              </w:rPr>
              <w:t>1□</w:t>
            </w:r>
          </w:p>
        </w:tc>
        <w:tc>
          <w:tcPr>
            <w:tcW w:w="1331" w:type="dxa"/>
            <w:gridSpan w:val="2"/>
          </w:tcPr>
          <w:p>
            <w:pPr>
              <w:pStyle w:val="TableParagraph"/>
              <w:spacing w:before="4"/>
              <w:ind w:left="251"/>
              <w:jc w:val="left"/>
              <w:rPr>
                <w:rFonts w:ascii="Wingdings" w:hAnsi="Wingdings"/>
                <w:sz w:val="18"/>
              </w:rPr>
            </w:pPr>
            <w:r>
              <w:rPr>
                <w:rFonts w:ascii="Times New Roman" w:hAnsi="Times New Roman"/>
                <w:sz w:val="18"/>
              </w:rPr>
              <w:t>1≤Q</w:t>
            </w:r>
            <w:r>
              <w:rPr>
                <w:sz w:val="18"/>
              </w:rPr>
              <w:t>＜</w:t>
            </w:r>
            <w:r>
              <w:rPr>
                <w:rFonts w:ascii="Times New Roman" w:hAnsi="Times New Roman"/>
                <w:sz w:val="18"/>
              </w:rPr>
              <w:t>10</w:t>
            </w:r>
            <w:r>
              <w:rPr>
                <w:rFonts w:ascii="Wingdings" w:hAnsi="Wingdings"/>
                <w:sz w:val="18"/>
              </w:rPr>
              <w:t></w:t>
            </w:r>
          </w:p>
        </w:tc>
        <w:tc>
          <w:tcPr>
            <w:tcW w:w="1454" w:type="dxa"/>
            <w:gridSpan w:val="2"/>
          </w:tcPr>
          <w:p>
            <w:pPr>
              <w:pStyle w:val="TableParagraph"/>
              <w:spacing w:before="4"/>
              <w:ind w:left="233"/>
              <w:jc w:val="left"/>
              <w:rPr>
                <w:rFonts w:ascii="Wingdings" w:hAnsi="Wingdings"/>
                <w:sz w:val="18"/>
              </w:rPr>
            </w:pPr>
            <w:r>
              <w:rPr>
                <w:rFonts w:ascii="Times New Roman" w:hAnsi="Times New Roman"/>
                <w:sz w:val="18"/>
              </w:rPr>
              <w:t>10≤Q</w:t>
            </w:r>
            <w:r>
              <w:rPr>
                <w:sz w:val="18"/>
              </w:rPr>
              <w:t>＜</w:t>
            </w:r>
            <w:r>
              <w:rPr>
                <w:rFonts w:ascii="Times New Roman" w:hAnsi="Times New Roman"/>
                <w:sz w:val="18"/>
              </w:rPr>
              <w:t>100</w:t>
            </w:r>
            <w:r>
              <w:rPr>
                <w:rFonts w:ascii="Wingdings" w:hAnsi="Wingdings"/>
                <w:sz w:val="18"/>
              </w:rPr>
              <w:t></w:t>
            </w:r>
          </w:p>
        </w:tc>
        <w:tc>
          <w:tcPr>
            <w:tcW w:w="1355" w:type="dxa"/>
          </w:tcPr>
          <w:p>
            <w:pPr>
              <w:pStyle w:val="TableParagraph"/>
              <w:spacing w:before="4"/>
              <w:ind w:right="273"/>
              <w:jc w:val="right"/>
              <w:rPr>
                <w:rFonts w:ascii="Wingdings" w:hAnsi="Wingdings"/>
                <w:sz w:val="18"/>
              </w:rPr>
            </w:pPr>
            <w:r>
              <w:rPr>
                <w:rFonts w:ascii="Times New Roman" w:hAnsi="Times New Roman"/>
                <w:sz w:val="18"/>
              </w:rPr>
              <w:t>Q</w:t>
            </w:r>
            <w:r>
              <w:rPr>
                <w:sz w:val="18"/>
              </w:rPr>
              <w:t>＞</w:t>
            </w:r>
            <w:r>
              <w:rPr>
                <w:rFonts w:ascii="Times New Roman" w:hAnsi="Times New Roman"/>
                <w:sz w:val="18"/>
              </w:rPr>
              <w:t>100</w:t>
            </w:r>
            <w:r>
              <w:rPr>
                <w:rFonts w:ascii="Wingdings" w:hAnsi="Wingdings"/>
                <w:sz w:val="18"/>
              </w:rPr>
              <w:t></w:t>
            </w:r>
          </w:p>
        </w:tc>
      </w:tr>
      <w:tr>
        <w:trPr>
          <w:trHeight w:val="350" w:hRule="atLeast"/>
        </w:trPr>
        <w:tc>
          <w:tcPr>
            <w:tcW w:w="2145" w:type="dxa"/>
            <w:gridSpan w:val="2"/>
            <w:vMerge/>
            <w:tcBorders>
              <w:top w:val="nil"/>
            </w:tcBorders>
          </w:tcPr>
          <w:p>
            <w:pPr>
              <w:rPr>
                <w:sz w:val="2"/>
                <w:szCs w:val="2"/>
              </w:rPr>
            </w:pPr>
          </w:p>
        </w:tc>
        <w:tc>
          <w:tcPr>
            <w:tcW w:w="1226" w:type="dxa"/>
          </w:tcPr>
          <w:p>
            <w:pPr>
              <w:pStyle w:val="TableParagraph"/>
              <w:spacing w:before="2"/>
              <w:ind w:left="324" w:right="307"/>
              <w:rPr>
                <w:sz w:val="18"/>
              </w:rPr>
            </w:pPr>
            <w:r>
              <w:rPr>
                <w:rFonts w:ascii="Times New Roman" w:eastAsia="Times New Roman"/>
                <w:sz w:val="18"/>
              </w:rPr>
              <w:t>M </w:t>
            </w:r>
            <w:r>
              <w:rPr>
                <w:sz w:val="18"/>
              </w:rPr>
              <w:t>值</w:t>
            </w:r>
          </w:p>
        </w:tc>
        <w:tc>
          <w:tcPr>
            <w:tcW w:w="1939" w:type="dxa"/>
            <w:gridSpan w:val="2"/>
          </w:tcPr>
          <w:p>
            <w:pPr>
              <w:pStyle w:val="TableParagraph"/>
              <w:spacing w:before="19"/>
              <w:ind w:left="697" w:right="679"/>
              <w:rPr>
                <w:rFonts w:ascii="Wingdings" w:hAnsi="Wingdings"/>
                <w:sz w:val="18"/>
              </w:rPr>
            </w:pPr>
            <w:r>
              <w:rPr>
                <w:rFonts w:ascii="Times New Roman" w:hAnsi="Times New Roman"/>
                <w:sz w:val="18"/>
              </w:rPr>
              <w:t>M1</w:t>
            </w:r>
            <w:r>
              <w:rPr>
                <w:rFonts w:ascii="Wingdings" w:hAnsi="Wingdings"/>
                <w:sz w:val="18"/>
              </w:rPr>
              <w:t></w:t>
            </w:r>
          </w:p>
        </w:tc>
        <w:tc>
          <w:tcPr>
            <w:tcW w:w="1331" w:type="dxa"/>
            <w:gridSpan w:val="2"/>
          </w:tcPr>
          <w:p>
            <w:pPr>
              <w:pStyle w:val="TableParagraph"/>
              <w:spacing w:before="19"/>
              <w:ind w:left="472" w:right="449"/>
              <w:rPr>
                <w:rFonts w:ascii="Times New Roman" w:hAnsi="Times New Roman"/>
                <w:sz w:val="18"/>
              </w:rPr>
            </w:pPr>
            <w:r>
              <w:rPr>
                <w:rFonts w:ascii="Times New Roman" w:hAnsi="Times New Roman"/>
                <w:sz w:val="18"/>
              </w:rPr>
              <w:t>M2□</w:t>
            </w:r>
          </w:p>
        </w:tc>
        <w:tc>
          <w:tcPr>
            <w:tcW w:w="1454" w:type="dxa"/>
            <w:gridSpan w:val="2"/>
          </w:tcPr>
          <w:p>
            <w:pPr>
              <w:pStyle w:val="TableParagraph"/>
              <w:spacing w:before="19"/>
              <w:ind w:left="534" w:right="488"/>
              <w:rPr>
                <w:rFonts w:ascii="Times New Roman" w:hAnsi="Times New Roman"/>
                <w:sz w:val="18"/>
              </w:rPr>
            </w:pPr>
            <w:r>
              <w:rPr>
                <w:rFonts w:ascii="Times New Roman" w:hAnsi="Times New Roman"/>
                <w:sz w:val="18"/>
              </w:rPr>
              <w:t>M3□</w:t>
            </w:r>
          </w:p>
        </w:tc>
        <w:tc>
          <w:tcPr>
            <w:tcW w:w="1355" w:type="dxa"/>
          </w:tcPr>
          <w:p>
            <w:pPr>
              <w:pStyle w:val="TableParagraph"/>
              <w:spacing w:before="19"/>
              <w:ind w:left="491"/>
              <w:jc w:val="left"/>
              <w:rPr>
                <w:rFonts w:ascii="Wingdings" w:hAnsi="Wingdings"/>
                <w:sz w:val="18"/>
              </w:rPr>
            </w:pPr>
            <w:r>
              <w:rPr>
                <w:rFonts w:ascii="Times New Roman" w:hAnsi="Times New Roman"/>
                <w:sz w:val="18"/>
              </w:rPr>
              <w:t>M4</w:t>
            </w:r>
            <w:r>
              <w:rPr>
                <w:rFonts w:ascii="Wingdings" w:hAnsi="Wingdings"/>
                <w:sz w:val="18"/>
              </w:rPr>
              <w:t></w:t>
            </w:r>
          </w:p>
        </w:tc>
      </w:tr>
      <w:tr>
        <w:trPr>
          <w:trHeight w:val="350" w:hRule="atLeast"/>
        </w:trPr>
        <w:tc>
          <w:tcPr>
            <w:tcW w:w="2145" w:type="dxa"/>
            <w:gridSpan w:val="2"/>
            <w:vMerge/>
            <w:tcBorders>
              <w:top w:val="nil"/>
            </w:tcBorders>
          </w:tcPr>
          <w:p>
            <w:pPr>
              <w:rPr>
                <w:sz w:val="2"/>
                <w:szCs w:val="2"/>
              </w:rPr>
            </w:pPr>
          </w:p>
        </w:tc>
        <w:tc>
          <w:tcPr>
            <w:tcW w:w="1226" w:type="dxa"/>
          </w:tcPr>
          <w:p>
            <w:pPr>
              <w:pStyle w:val="TableParagraph"/>
              <w:spacing w:before="2"/>
              <w:ind w:left="324" w:right="309"/>
              <w:rPr>
                <w:sz w:val="18"/>
              </w:rPr>
            </w:pPr>
            <w:r>
              <w:rPr>
                <w:rFonts w:ascii="Times New Roman" w:eastAsia="Times New Roman"/>
                <w:sz w:val="18"/>
              </w:rPr>
              <w:t>P </w:t>
            </w:r>
            <w:r>
              <w:rPr>
                <w:sz w:val="18"/>
              </w:rPr>
              <w:t>值</w:t>
            </w:r>
          </w:p>
        </w:tc>
        <w:tc>
          <w:tcPr>
            <w:tcW w:w="1939" w:type="dxa"/>
            <w:gridSpan w:val="2"/>
          </w:tcPr>
          <w:p>
            <w:pPr>
              <w:pStyle w:val="TableParagraph"/>
              <w:spacing w:before="19"/>
              <w:ind w:left="697" w:right="682"/>
              <w:rPr>
                <w:rFonts w:ascii="Wingdings" w:hAnsi="Wingdings"/>
                <w:sz w:val="18"/>
              </w:rPr>
            </w:pPr>
            <w:r>
              <w:rPr>
                <w:rFonts w:ascii="Times New Roman" w:hAnsi="Times New Roman"/>
                <w:sz w:val="18"/>
              </w:rPr>
              <w:t>P1</w:t>
            </w:r>
            <w:r>
              <w:rPr>
                <w:rFonts w:ascii="Wingdings" w:hAnsi="Wingdings"/>
                <w:sz w:val="18"/>
              </w:rPr>
              <w:t></w:t>
            </w:r>
          </w:p>
        </w:tc>
        <w:tc>
          <w:tcPr>
            <w:tcW w:w="1331" w:type="dxa"/>
            <w:gridSpan w:val="2"/>
          </w:tcPr>
          <w:p>
            <w:pPr>
              <w:pStyle w:val="TableParagraph"/>
              <w:spacing w:before="19"/>
              <w:ind w:left="470" w:right="449"/>
              <w:rPr>
                <w:rFonts w:ascii="Times New Roman" w:hAnsi="Times New Roman"/>
                <w:sz w:val="18"/>
              </w:rPr>
            </w:pPr>
            <w:r>
              <w:rPr>
                <w:rFonts w:ascii="Times New Roman" w:hAnsi="Times New Roman"/>
                <w:sz w:val="18"/>
              </w:rPr>
              <w:t>P2□</w:t>
            </w:r>
          </w:p>
        </w:tc>
        <w:tc>
          <w:tcPr>
            <w:tcW w:w="1454" w:type="dxa"/>
            <w:gridSpan w:val="2"/>
          </w:tcPr>
          <w:p>
            <w:pPr>
              <w:pStyle w:val="TableParagraph"/>
              <w:spacing w:before="19"/>
              <w:ind w:left="534" w:right="490"/>
              <w:rPr>
                <w:rFonts w:ascii="Times New Roman" w:hAnsi="Times New Roman"/>
                <w:sz w:val="18"/>
              </w:rPr>
            </w:pPr>
            <w:r>
              <w:rPr>
                <w:rFonts w:ascii="Times New Roman" w:hAnsi="Times New Roman"/>
                <w:sz w:val="18"/>
              </w:rPr>
              <w:t>P3□</w:t>
            </w:r>
          </w:p>
        </w:tc>
        <w:tc>
          <w:tcPr>
            <w:tcW w:w="1355" w:type="dxa"/>
          </w:tcPr>
          <w:p>
            <w:pPr>
              <w:pStyle w:val="TableParagraph"/>
              <w:spacing w:before="19"/>
              <w:ind w:left="53"/>
              <w:rPr>
                <w:rFonts w:ascii="Wingdings" w:hAnsi="Wingdings"/>
                <w:sz w:val="18"/>
              </w:rPr>
            </w:pPr>
            <w:r>
              <w:rPr>
                <w:rFonts w:ascii="Times New Roman" w:hAnsi="Times New Roman"/>
                <w:sz w:val="18"/>
              </w:rPr>
              <w:t>P4</w:t>
            </w:r>
            <w:r>
              <w:rPr>
                <w:rFonts w:ascii="Wingdings" w:hAnsi="Wingdings"/>
                <w:sz w:val="18"/>
              </w:rPr>
              <w:t></w:t>
            </w:r>
          </w:p>
        </w:tc>
      </w:tr>
      <w:tr>
        <w:trPr>
          <w:trHeight w:val="350" w:hRule="atLeast"/>
        </w:trPr>
        <w:tc>
          <w:tcPr>
            <w:tcW w:w="2145" w:type="dxa"/>
            <w:gridSpan w:val="2"/>
            <w:vMerge w:val="restart"/>
          </w:tcPr>
          <w:p>
            <w:pPr>
              <w:pStyle w:val="TableParagraph"/>
              <w:jc w:val="left"/>
              <w:rPr>
                <w:b/>
                <w:sz w:val="18"/>
              </w:rPr>
            </w:pPr>
          </w:p>
          <w:p>
            <w:pPr>
              <w:pStyle w:val="TableParagraph"/>
              <w:spacing w:before="131"/>
              <w:ind w:left="530"/>
              <w:jc w:val="left"/>
              <w:rPr>
                <w:sz w:val="18"/>
              </w:rPr>
            </w:pPr>
            <w:r>
              <w:rPr>
                <w:sz w:val="18"/>
              </w:rPr>
              <w:t>环境敏感程度</w:t>
            </w:r>
          </w:p>
        </w:tc>
        <w:tc>
          <w:tcPr>
            <w:tcW w:w="1226" w:type="dxa"/>
          </w:tcPr>
          <w:p>
            <w:pPr>
              <w:pStyle w:val="TableParagraph"/>
              <w:spacing w:before="2"/>
              <w:ind w:left="324" w:right="310"/>
              <w:rPr>
                <w:sz w:val="18"/>
              </w:rPr>
            </w:pPr>
            <w:r>
              <w:rPr>
                <w:sz w:val="18"/>
              </w:rPr>
              <w:t>大气</w:t>
            </w:r>
          </w:p>
        </w:tc>
        <w:tc>
          <w:tcPr>
            <w:tcW w:w="1939" w:type="dxa"/>
            <w:gridSpan w:val="2"/>
          </w:tcPr>
          <w:p>
            <w:pPr>
              <w:pStyle w:val="TableParagraph"/>
              <w:spacing w:before="19"/>
              <w:ind w:left="697" w:right="682"/>
              <w:rPr>
                <w:rFonts w:ascii="Wingdings" w:hAnsi="Wingdings"/>
                <w:sz w:val="18"/>
              </w:rPr>
            </w:pPr>
            <w:r>
              <w:rPr>
                <w:rFonts w:ascii="Times New Roman" w:hAnsi="Times New Roman"/>
                <w:sz w:val="18"/>
              </w:rPr>
              <w:t>E1</w:t>
            </w:r>
            <w:r>
              <w:rPr>
                <w:rFonts w:ascii="Wingdings" w:hAnsi="Wingdings"/>
                <w:sz w:val="18"/>
              </w:rPr>
              <w:t></w:t>
            </w:r>
          </w:p>
        </w:tc>
        <w:tc>
          <w:tcPr>
            <w:tcW w:w="2236" w:type="dxa"/>
            <w:gridSpan w:val="3"/>
          </w:tcPr>
          <w:p>
            <w:pPr>
              <w:pStyle w:val="TableParagraph"/>
              <w:spacing w:before="19"/>
              <w:ind w:left="912" w:right="913"/>
              <w:rPr>
                <w:rFonts w:ascii="Wingdings" w:hAnsi="Wingdings"/>
                <w:sz w:val="18"/>
              </w:rPr>
            </w:pPr>
            <w:r>
              <w:rPr>
                <w:rFonts w:ascii="Times New Roman" w:hAnsi="Times New Roman"/>
                <w:sz w:val="18"/>
              </w:rPr>
              <w:t>E2</w:t>
            </w:r>
            <w:r>
              <w:rPr>
                <w:rFonts w:ascii="Wingdings" w:hAnsi="Wingdings"/>
                <w:sz w:val="18"/>
              </w:rPr>
              <w:t></w:t>
            </w:r>
          </w:p>
        </w:tc>
        <w:tc>
          <w:tcPr>
            <w:tcW w:w="1904" w:type="dxa"/>
            <w:gridSpan w:val="2"/>
          </w:tcPr>
          <w:p>
            <w:pPr>
              <w:pStyle w:val="TableParagraph"/>
              <w:spacing w:before="19"/>
              <w:ind w:left="673" w:right="661"/>
              <w:rPr>
                <w:rFonts w:ascii="Times New Roman" w:hAnsi="Times New Roman"/>
                <w:sz w:val="18"/>
              </w:rPr>
            </w:pPr>
            <w:r>
              <w:rPr>
                <w:rFonts w:ascii="Times New Roman" w:hAnsi="Times New Roman"/>
                <w:sz w:val="18"/>
              </w:rPr>
              <w:t>E3□</w:t>
            </w:r>
          </w:p>
        </w:tc>
      </w:tr>
      <w:tr>
        <w:trPr>
          <w:trHeight w:val="350" w:hRule="atLeast"/>
        </w:trPr>
        <w:tc>
          <w:tcPr>
            <w:tcW w:w="2145" w:type="dxa"/>
            <w:gridSpan w:val="2"/>
            <w:vMerge/>
            <w:tcBorders>
              <w:top w:val="nil"/>
            </w:tcBorders>
          </w:tcPr>
          <w:p>
            <w:pPr>
              <w:rPr>
                <w:sz w:val="2"/>
                <w:szCs w:val="2"/>
              </w:rPr>
            </w:pPr>
          </w:p>
        </w:tc>
        <w:tc>
          <w:tcPr>
            <w:tcW w:w="1226" w:type="dxa"/>
          </w:tcPr>
          <w:p>
            <w:pPr>
              <w:pStyle w:val="TableParagraph"/>
              <w:spacing w:before="2"/>
              <w:ind w:left="324" w:right="312"/>
              <w:rPr>
                <w:sz w:val="18"/>
              </w:rPr>
            </w:pPr>
            <w:r>
              <w:rPr>
                <w:sz w:val="18"/>
              </w:rPr>
              <w:t>地表水</w:t>
            </w:r>
          </w:p>
        </w:tc>
        <w:tc>
          <w:tcPr>
            <w:tcW w:w="1939" w:type="dxa"/>
            <w:gridSpan w:val="2"/>
          </w:tcPr>
          <w:p>
            <w:pPr>
              <w:pStyle w:val="TableParagraph"/>
              <w:spacing w:before="19"/>
              <w:ind w:left="697" w:right="681"/>
              <w:rPr>
                <w:rFonts w:ascii="Times New Roman" w:hAnsi="Times New Roman"/>
                <w:sz w:val="18"/>
              </w:rPr>
            </w:pPr>
            <w:r>
              <w:rPr>
                <w:rFonts w:ascii="Times New Roman" w:hAnsi="Times New Roman"/>
                <w:sz w:val="18"/>
              </w:rPr>
              <w:t>E1□</w:t>
            </w:r>
          </w:p>
        </w:tc>
        <w:tc>
          <w:tcPr>
            <w:tcW w:w="2236" w:type="dxa"/>
            <w:gridSpan w:val="3"/>
          </w:tcPr>
          <w:p>
            <w:pPr>
              <w:pStyle w:val="TableParagraph"/>
              <w:spacing w:before="19"/>
              <w:ind w:left="912" w:right="912"/>
              <w:rPr>
                <w:rFonts w:ascii="Times New Roman" w:hAnsi="Times New Roman"/>
                <w:sz w:val="18"/>
              </w:rPr>
            </w:pPr>
            <w:r>
              <w:rPr>
                <w:rFonts w:ascii="Times New Roman" w:hAnsi="Times New Roman"/>
                <w:sz w:val="18"/>
              </w:rPr>
              <w:t>E2□</w:t>
            </w:r>
          </w:p>
        </w:tc>
        <w:tc>
          <w:tcPr>
            <w:tcW w:w="1904" w:type="dxa"/>
            <w:gridSpan w:val="2"/>
          </w:tcPr>
          <w:p>
            <w:pPr>
              <w:pStyle w:val="TableParagraph"/>
              <w:spacing w:before="19"/>
              <w:ind w:left="672" w:right="661"/>
              <w:rPr>
                <w:rFonts w:ascii="Wingdings" w:hAnsi="Wingdings"/>
                <w:sz w:val="18"/>
              </w:rPr>
            </w:pPr>
            <w:r>
              <w:rPr>
                <w:rFonts w:ascii="Times New Roman" w:hAnsi="Times New Roman"/>
                <w:sz w:val="18"/>
              </w:rPr>
              <w:t>E3</w:t>
            </w:r>
            <w:r>
              <w:rPr>
                <w:rFonts w:ascii="Wingdings" w:hAnsi="Wingdings"/>
                <w:sz w:val="18"/>
              </w:rPr>
              <w:t></w:t>
            </w:r>
          </w:p>
        </w:tc>
      </w:tr>
      <w:tr>
        <w:trPr>
          <w:trHeight w:val="350" w:hRule="atLeast"/>
        </w:trPr>
        <w:tc>
          <w:tcPr>
            <w:tcW w:w="2145" w:type="dxa"/>
            <w:gridSpan w:val="2"/>
            <w:vMerge/>
            <w:tcBorders>
              <w:top w:val="nil"/>
            </w:tcBorders>
          </w:tcPr>
          <w:p>
            <w:pPr>
              <w:rPr>
                <w:sz w:val="2"/>
                <w:szCs w:val="2"/>
              </w:rPr>
            </w:pPr>
          </w:p>
        </w:tc>
        <w:tc>
          <w:tcPr>
            <w:tcW w:w="1226" w:type="dxa"/>
          </w:tcPr>
          <w:p>
            <w:pPr>
              <w:pStyle w:val="TableParagraph"/>
              <w:spacing w:before="2"/>
              <w:ind w:left="324" w:right="312"/>
              <w:rPr>
                <w:sz w:val="18"/>
              </w:rPr>
            </w:pPr>
            <w:r>
              <w:rPr>
                <w:sz w:val="18"/>
              </w:rPr>
              <w:t>地下水</w:t>
            </w:r>
          </w:p>
        </w:tc>
        <w:tc>
          <w:tcPr>
            <w:tcW w:w="1939" w:type="dxa"/>
            <w:gridSpan w:val="2"/>
          </w:tcPr>
          <w:p>
            <w:pPr>
              <w:pStyle w:val="TableParagraph"/>
              <w:spacing w:before="19"/>
              <w:ind w:left="697" w:right="681"/>
              <w:rPr>
                <w:rFonts w:ascii="Times New Roman" w:hAnsi="Times New Roman"/>
                <w:sz w:val="18"/>
              </w:rPr>
            </w:pPr>
            <w:r>
              <w:rPr>
                <w:rFonts w:ascii="Times New Roman" w:hAnsi="Times New Roman"/>
                <w:sz w:val="18"/>
              </w:rPr>
              <w:t>E1□</w:t>
            </w:r>
          </w:p>
        </w:tc>
        <w:tc>
          <w:tcPr>
            <w:tcW w:w="2236" w:type="dxa"/>
            <w:gridSpan w:val="3"/>
          </w:tcPr>
          <w:p>
            <w:pPr>
              <w:pStyle w:val="TableParagraph"/>
              <w:spacing w:before="19"/>
              <w:ind w:left="912" w:right="912"/>
              <w:rPr>
                <w:rFonts w:ascii="Times New Roman" w:hAnsi="Times New Roman"/>
                <w:sz w:val="18"/>
              </w:rPr>
            </w:pPr>
            <w:r>
              <w:rPr>
                <w:rFonts w:ascii="Times New Roman" w:hAnsi="Times New Roman"/>
                <w:sz w:val="18"/>
              </w:rPr>
              <w:t>E2□</w:t>
            </w:r>
          </w:p>
        </w:tc>
        <w:tc>
          <w:tcPr>
            <w:tcW w:w="1904" w:type="dxa"/>
            <w:gridSpan w:val="2"/>
          </w:tcPr>
          <w:p>
            <w:pPr>
              <w:pStyle w:val="TableParagraph"/>
              <w:spacing w:before="19"/>
              <w:ind w:left="672" w:right="661"/>
              <w:rPr>
                <w:rFonts w:ascii="Wingdings" w:hAnsi="Wingdings"/>
                <w:sz w:val="18"/>
              </w:rPr>
            </w:pPr>
            <w:r>
              <w:rPr>
                <w:rFonts w:ascii="Times New Roman" w:hAnsi="Times New Roman"/>
                <w:sz w:val="18"/>
              </w:rPr>
              <w:t>E3</w:t>
            </w:r>
            <w:r>
              <w:rPr>
                <w:rFonts w:ascii="Wingdings" w:hAnsi="Wingdings"/>
                <w:sz w:val="18"/>
              </w:rPr>
              <w:t></w:t>
            </w:r>
          </w:p>
        </w:tc>
      </w:tr>
      <w:tr>
        <w:trPr>
          <w:trHeight w:val="350" w:hRule="atLeast"/>
        </w:trPr>
        <w:tc>
          <w:tcPr>
            <w:tcW w:w="2145" w:type="dxa"/>
            <w:gridSpan w:val="2"/>
          </w:tcPr>
          <w:p>
            <w:pPr>
              <w:pStyle w:val="TableParagraph"/>
              <w:spacing w:before="2"/>
              <w:ind w:left="530"/>
              <w:jc w:val="left"/>
              <w:rPr>
                <w:sz w:val="18"/>
              </w:rPr>
            </w:pPr>
            <w:r>
              <w:rPr>
                <w:sz w:val="18"/>
              </w:rPr>
              <w:t>环境风险潜势</w:t>
            </w:r>
          </w:p>
        </w:tc>
        <w:tc>
          <w:tcPr>
            <w:tcW w:w="1226" w:type="dxa"/>
          </w:tcPr>
          <w:p>
            <w:pPr>
              <w:pStyle w:val="TableParagraph"/>
              <w:spacing w:before="19"/>
              <w:ind w:left="324" w:right="309"/>
              <w:rPr>
                <w:rFonts w:ascii="Times New Roman" w:hAnsi="Times New Roman"/>
                <w:sz w:val="18"/>
              </w:rPr>
            </w:pPr>
            <w:r>
              <w:rPr>
                <w:rFonts w:ascii="Times New Roman" w:hAnsi="Times New Roman"/>
                <w:sz w:val="18"/>
              </w:rPr>
              <w:t>Ⅳ+□</w:t>
            </w:r>
          </w:p>
        </w:tc>
        <w:tc>
          <w:tcPr>
            <w:tcW w:w="1939" w:type="dxa"/>
            <w:gridSpan w:val="2"/>
          </w:tcPr>
          <w:p>
            <w:pPr>
              <w:pStyle w:val="TableParagraph"/>
              <w:spacing w:before="19"/>
              <w:ind w:left="696" w:right="683"/>
              <w:rPr>
                <w:rFonts w:ascii="Wingdings" w:hAnsi="Wingdings"/>
                <w:sz w:val="18"/>
              </w:rPr>
            </w:pPr>
            <w:r>
              <w:rPr>
                <w:rFonts w:ascii="Times New Roman" w:hAnsi="Times New Roman"/>
                <w:sz w:val="18"/>
              </w:rPr>
              <w:t>Ⅳ</w:t>
            </w:r>
            <w:r>
              <w:rPr>
                <w:rFonts w:ascii="Wingdings" w:hAnsi="Wingdings"/>
                <w:sz w:val="18"/>
              </w:rPr>
              <w:t></w:t>
            </w:r>
          </w:p>
        </w:tc>
        <w:tc>
          <w:tcPr>
            <w:tcW w:w="1331" w:type="dxa"/>
            <w:gridSpan w:val="2"/>
          </w:tcPr>
          <w:p>
            <w:pPr>
              <w:pStyle w:val="TableParagraph"/>
              <w:spacing w:before="19"/>
              <w:ind w:left="469" w:right="449"/>
              <w:rPr>
                <w:rFonts w:ascii="Wingdings" w:hAnsi="Wingdings"/>
                <w:sz w:val="18"/>
              </w:rPr>
            </w:pPr>
            <w:r>
              <w:rPr>
                <w:rFonts w:ascii="Times New Roman" w:hAnsi="Times New Roman"/>
                <w:sz w:val="18"/>
              </w:rPr>
              <w:t>Ⅲ</w:t>
            </w:r>
            <w:r>
              <w:rPr>
                <w:rFonts w:ascii="Wingdings" w:hAnsi="Wingdings"/>
                <w:sz w:val="18"/>
              </w:rPr>
              <w:t></w:t>
            </w:r>
          </w:p>
        </w:tc>
        <w:tc>
          <w:tcPr>
            <w:tcW w:w="1454" w:type="dxa"/>
            <w:gridSpan w:val="2"/>
          </w:tcPr>
          <w:p>
            <w:pPr>
              <w:pStyle w:val="TableParagraph"/>
              <w:spacing w:before="19"/>
              <w:ind w:left="508" w:right="491"/>
              <w:rPr>
                <w:rFonts w:ascii="Times New Roman" w:hAnsi="Times New Roman"/>
                <w:sz w:val="18"/>
              </w:rPr>
            </w:pPr>
            <w:r>
              <w:rPr>
                <w:rFonts w:ascii="Times New Roman" w:hAnsi="Times New Roman"/>
                <w:sz w:val="18"/>
              </w:rPr>
              <w:t>Ⅱ□</w:t>
            </w:r>
          </w:p>
        </w:tc>
        <w:tc>
          <w:tcPr>
            <w:tcW w:w="1355" w:type="dxa"/>
          </w:tcPr>
          <w:p>
            <w:pPr>
              <w:pStyle w:val="TableParagraph"/>
              <w:spacing w:before="19"/>
              <w:ind w:left="22"/>
              <w:rPr>
                <w:rFonts w:ascii="Times New Roman" w:hAnsi="Times New Roman"/>
                <w:sz w:val="18"/>
              </w:rPr>
            </w:pPr>
            <w:r>
              <w:rPr>
                <w:rFonts w:ascii="Times New Roman" w:hAnsi="Times New Roman"/>
                <w:sz w:val="18"/>
              </w:rPr>
              <w:t>Ⅰ□</w:t>
            </w:r>
          </w:p>
        </w:tc>
      </w:tr>
      <w:tr>
        <w:trPr>
          <w:trHeight w:val="350" w:hRule="atLeast"/>
        </w:trPr>
        <w:tc>
          <w:tcPr>
            <w:tcW w:w="2145" w:type="dxa"/>
            <w:gridSpan w:val="2"/>
          </w:tcPr>
          <w:p>
            <w:pPr>
              <w:pStyle w:val="TableParagraph"/>
              <w:spacing w:before="2"/>
              <w:ind w:left="710"/>
              <w:jc w:val="left"/>
              <w:rPr>
                <w:sz w:val="18"/>
              </w:rPr>
            </w:pPr>
            <w:r>
              <w:rPr>
                <w:sz w:val="18"/>
              </w:rPr>
              <w:t>评价等级</w:t>
            </w:r>
          </w:p>
        </w:tc>
        <w:tc>
          <w:tcPr>
            <w:tcW w:w="3165" w:type="dxa"/>
            <w:gridSpan w:val="3"/>
          </w:tcPr>
          <w:p>
            <w:pPr>
              <w:pStyle w:val="TableParagraph"/>
              <w:spacing w:before="2"/>
              <w:ind w:left="1124" w:right="1111"/>
              <w:rPr>
                <w:rFonts w:ascii="Wingdings" w:hAnsi="Wingdings"/>
                <w:sz w:val="18"/>
              </w:rPr>
            </w:pPr>
            <w:r>
              <w:rPr>
                <w:sz w:val="18"/>
              </w:rPr>
              <w:t>一级</w:t>
            </w:r>
            <w:r>
              <w:rPr>
                <w:rFonts w:ascii="Wingdings" w:hAnsi="Wingdings"/>
                <w:sz w:val="18"/>
              </w:rPr>
              <w:t></w:t>
            </w:r>
          </w:p>
        </w:tc>
        <w:tc>
          <w:tcPr>
            <w:tcW w:w="1331" w:type="dxa"/>
            <w:gridSpan w:val="2"/>
          </w:tcPr>
          <w:p>
            <w:pPr>
              <w:pStyle w:val="TableParagraph"/>
              <w:spacing w:before="2"/>
              <w:ind w:left="388"/>
              <w:jc w:val="left"/>
              <w:rPr>
                <w:rFonts w:ascii="Wingdings" w:hAnsi="Wingdings"/>
                <w:sz w:val="18"/>
              </w:rPr>
            </w:pPr>
            <w:r>
              <w:rPr>
                <w:sz w:val="18"/>
              </w:rPr>
              <w:t>二级 </w:t>
            </w:r>
            <w:r>
              <w:rPr>
                <w:rFonts w:ascii="Wingdings" w:hAnsi="Wingdings"/>
                <w:sz w:val="18"/>
              </w:rPr>
              <w:t></w:t>
            </w:r>
          </w:p>
        </w:tc>
        <w:tc>
          <w:tcPr>
            <w:tcW w:w="1454" w:type="dxa"/>
            <w:gridSpan w:val="2"/>
          </w:tcPr>
          <w:p>
            <w:pPr>
              <w:pStyle w:val="TableParagraph"/>
              <w:spacing w:before="2"/>
              <w:ind w:left="497"/>
              <w:jc w:val="left"/>
              <w:rPr>
                <w:rFonts w:ascii="Times New Roman" w:hAnsi="Times New Roman" w:eastAsia="Times New Roman"/>
                <w:sz w:val="18"/>
              </w:rPr>
            </w:pPr>
            <w:r>
              <w:rPr>
                <w:sz w:val="18"/>
              </w:rPr>
              <w:t>三级</w:t>
            </w:r>
            <w:r>
              <w:rPr>
                <w:rFonts w:ascii="Times New Roman" w:hAnsi="Times New Roman" w:eastAsia="Times New Roman"/>
                <w:sz w:val="18"/>
              </w:rPr>
              <w:t>□</w:t>
            </w:r>
          </w:p>
        </w:tc>
        <w:tc>
          <w:tcPr>
            <w:tcW w:w="1355" w:type="dxa"/>
          </w:tcPr>
          <w:p>
            <w:pPr>
              <w:pStyle w:val="TableParagraph"/>
              <w:spacing w:before="2"/>
              <w:ind w:right="243"/>
              <w:jc w:val="right"/>
              <w:rPr>
                <w:rFonts w:ascii="Times New Roman" w:hAnsi="Times New Roman" w:eastAsia="Times New Roman"/>
                <w:sz w:val="18"/>
              </w:rPr>
            </w:pPr>
            <w:r>
              <w:rPr>
                <w:sz w:val="18"/>
              </w:rPr>
              <w:t>简单分析</w:t>
            </w:r>
            <w:r>
              <w:rPr>
                <w:rFonts w:ascii="Times New Roman" w:hAnsi="Times New Roman" w:eastAsia="Times New Roman"/>
                <w:sz w:val="18"/>
              </w:rPr>
              <w:t>□</w:t>
            </w:r>
          </w:p>
        </w:tc>
      </w:tr>
      <w:tr>
        <w:trPr>
          <w:trHeight w:val="350" w:hRule="atLeast"/>
        </w:trPr>
        <w:tc>
          <w:tcPr>
            <w:tcW w:w="641" w:type="dxa"/>
            <w:vMerge w:val="restart"/>
          </w:tcPr>
          <w:p>
            <w:pPr>
              <w:pStyle w:val="TableParagraph"/>
              <w:spacing w:before="7"/>
              <w:jc w:val="left"/>
              <w:rPr>
                <w:b/>
                <w:sz w:val="14"/>
              </w:rPr>
            </w:pPr>
          </w:p>
          <w:p>
            <w:pPr>
              <w:pStyle w:val="TableParagraph"/>
              <w:spacing w:line="364" w:lineRule="auto"/>
              <w:ind w:left="139" w:right="129"/>
              <w:jc w:val="left"/>
              <w:rPr>
                <w:sz w:val="18"/>
              </w:rPr>
            </w:pPr>
            <w:r>
              <w:rPr>
                <w:sz w:val="18"/>
              </w:rPr>
              <w:t>风险识别</w:t>
            </w:r>
          </w:p>
        </w:tc>
        <w:tc>
          <w:tcPr>
            <w:tcW w:w="1504" w:type="dxa"/>
          </w:tcPr>
          <w:p>
            <w:pPr>
              <w:pStyle w:val="TableParagraph"/>
              <w:spacing w:before="2"/>
              <w:ind w:left="191" w:right="181"/>
              <w:rPr>
                <w:sz w:val="18"/>
              </w:rPr>
            </w:pPr>
            <w:r>
              <w:rPr>
                <w:sz w:val="18"/>
              </w:rPr>
              <w:t>物质危险性</w:t>
            </w:r>
          </w:p>
        </w:tc>
        <w:tc>
          <w:tcPr>
            <w:tcW w:w="3165" w:type="dxa"/>
            <w:gridSpan w:val="3"/>
          </w:tcPr>
          <w:p>
            <w:pPr>
              <w:pStyle w:val="TableParagraph"/>
              <w:spacing w:before="2"/>
              <w:ind w:left="1124" w:right="1111"/>
              <w:rPr>
                <w:rFonts w:ascii="Wingdings" w:hAnsi="Wingdings"/>
                <w:sz w:val="18"/>
              </w:rPr>
            </w:pPr>
            <w:r>
              <w:rPr>
                <w:sz w:val="18"/>
              </w:rPr>
              <w:t>有毒有害</w:t>
            </w:r>
            <w:r>
              <w:rPr>
                <w:rFonts w:ascii="Wingdings" w:hAnsi="Wingdings"/>
                <w:sz w:val="18"/>
              </w:rPr>
              <w:t></w:t>
            </w:r>
          </w:p>
        </w:tc>
        <w:tc>
          <w:tcPr>
            <w:tcW w:w="4140" w:type="dxa"/>
            <w:gridSpan w:val="5"/>
          </w:tcPr>
          <w:p>
            <w:pPr>
              <w:pStyle w:val="TableParagraph"/>
              <w:spacing w:before="2"/>
              <w:ind w:left="1619" w:right="1591"/>
              <w:rPr>
                <w:rFonts w:ascii="Wingdings" w:hAnsi="Wingdings"/>
                <w:sz w:val="18"/>
              </w:rPr>
            </w:pPr>
            <w:r>
              <w:rPr>
                <w:sz w:val="18"/>
              </w:rPr>
              <w:t>易燃易爆</w:t>
            </w:r>
            <w:r>
              <w:rPr>
                <w:rFonts w:ascii="Wingdings" w:hAnsi="Wingdings"/>
                <w:sz w:val="18"/>
              </w:rPr>
              <w:t></w:t>
            </w:r>
          </w:p>
        </w:tc>
      </w:tr>
      <w:tr>
        <w:trPr>
          <w:trHeight w:val="350" w:hRule="atLeast"/>
        </w:trPr>
        <w:tc>
          <w:tcPr>
            <w:tcW w:w="641" w:type="dxa"/>
            <w:vMerge/>
            <w:tcBorders>
              <w:top w:val="nil"/>
            </w:tcBorders>
          </w:tcPr>
          <w:p>
            <w:pPr>
              <w:rPr>
                <w:sz w:val="2"/>
                <w:szCs w:val="2"/>
              </w:rPr>
            </w:pPr>
          </w:p>
        </w:tc>
        <w:tc>
          <w:tcPr>
            <w:tcW w:w="1504" w:type="dxa"/>
          </w:tcPr>
          <w:p>
            <w:pPr>
              <w:pStyle w:val="TableParagraph"/>
              <w:spacing w:before="2"/>
              <w:ind w:left="191" w:right="183"/>
              <w:rPr>
                <w:sz w:val="18"/>
              </w:rPr>
            </w:pPr>
            <w:r>
              <w:rPr>
                <w:sz w:val="18"/>
              </w:rPr>
              <w:t>环境风险类型</w:t>
            </w:r>
          </w:p>
        </w:tc>
        <w:tc>
          <w:tcPr>
            <w:tcW w:w="3165" w:type="dxa"/>
            <w:gridSpan w:val="3"/>
          </w:tcPr>
          <w:p>
            <w:pPr>
              <w:pStyle w:val="TableParagraph"/>
              <w:spacing w:before="2"/>
              <w:ind w:left="1124" w:right="1111"/>
              <w:rPr>
                <w:rFonts w:ascii="Wingdings" w:hAnsi="Wingdings"/>
                <w:sz w:val="18"/>
              </w:rPr>
            </w:pPr>
            <w:r>
              <w:rPr>
                <w:sz w:val="18"/>
              </w:rPr>
              <w:t>泄露</w:t>
            </w:r>
            <w:r>
              <w:rPr>
                <w:rFonts w:ascii="Wingdings" w:hAnsi="Wingdings"/>
                <w:sz w:val="18"/>
              </w:rPr>
              <w:t></w:t>
            </w:r>
          </w:p>
        </w:tc>
        <w:tc>
          <w:tcPr>
            <w:tcW w:w="4140" w:type="dxa"/>
            <w:gridSpan w:val="5"/>
          </w:tcPr>
          <w:p>
            <w:pPr>
              <w:pStyle w:val="TableParagraph"/>
              <w:spacing w:before="2"/>
              <w:ind w:left="535"/>
              <w:jc w:val="left"/>
              <w:rPr>
                <w:rFonts w:ascii="Wingdings" w:hAnsi="Wingdings"/>
                <w:sz w:val="18"/>
              </w:rPr>
            </w:pPr>
            <w:r>
              <w:rPr>
                <w:sz w:val="18"/>
              </w:rPr>
              <w:t>火灾、爆炸引发伴生</w:t>
            </w:r>
            <w:r>
              <w:rPr>
                <w:rFonts w:ascii="Times New Roman" w:hAnsi="Times New Roman"/>
                <w:sz w:val="18"/>
              </w:rPr>
              <w:t>/</w:t>
            </w:r>
            <w:r>
              <w:rPr>
                <w:sz w:val="18"/>
              </w:rPr>
              <w:t>次生污染物排放</w:t>
            </w:r>
            <w:r>
              <w:rPr>
                <w:rFonts w:ascii="Wingdings" w:hAnsi="Wingdings"/>
                <w:sz w:val="18"/>
              </w:rPr>
              <w:t></w:t>
            </w:r>
          </w:p>
        </w:tc>
      </w:tr>
      <w:tr>
        <w:trPr>
          <w:trHeight w:val="350" w:hRule="atLeast"/>
        </w:trPr>
        <w:tc>
          <w:tcPr>
            <w:tcW w:w="641" w:type="dxa"/>
            <w:vMerge/>
            <w:tcBorders>
              <w:top w:val="nil"/>
            </w:tcBorders>
          </w:tcPr>
          <w:p>
            <w:pPr>
              <w:rPr>
                <w:sz w:val="2"/>
                <w:szCs w:val="2"/>
              </w:rPr>
            </w:pPr>
          </w:p>
        </w:tc>
        <w:tc>
          <w:tcPr>
            <w:tcW w:w="1504" w:type="dxa"/>
          </w:tcPr>
          <w:p>
            <w:pPr>
              <w:pStyle w:val="TableParagraph"/>
              <w:spacing w:before="2"/>
              <w:ind w:left="191" w:right="173"/>
              <w:rPr>
                <w:sz w:val="18"/>
              </w:rPr>
            </w:pPr>
            <w:r>
              <w:rPr>
                <w:sz w:val="18"/>
              </w:rPr>
              <w:t>影响途径</w:t>
            </w:r>
          </w:p>
        </w:tc>
        <w:tc>
          <w:tcPr>
            <w:tcW w:w="3165" w:type="dxa"/>
            <w:gridSpan w:val="3"/>
          </w:tcPr>
          <w:p>
            <w:pPr>
              <w:pStyle w:val="TableParagraph"/>
              <w:spacing w:before="2"/>
              <w:ind w:left="1124" w:right="1111"/>
              <w:rPr>
                <w:rFonts w:ascii="Wingdings" w:hAnsi="Wingdings"/>
                <w:sz w:val="18"/>
              </w:rPr>
            </w:pPr>
            <w:r>
              <w:rPr>
                <w:sz w:val="18"/>
              </w:rPr>
              <w:t>大气</w:t>
            </w:r>
            <w:r>
              <w:rPr>
                <w:rFonts w:ascii="Wingdings" w:hAnsi="Wingdings"/>
                <w:sz w:val="18"/>
              </w:rPr>
              <w:t></w:t>
            </w:r>
          </w:p>
        </w:tc>
        <w:tc>
          <w:tcPr>
            <w:tcW w:w="2236" w:type="dxa"/>
            <w:gridSpan w:val="3"/>
          </w:tcPr>
          <w:p>
            <w:pPr>
              <w:pStyle w:val="TableParagraph"/>
              <w:spacing w:before="2"/>
              <w:ind w:left="787"/>
              <w:jc w:val="left"/>
              <w:rPr>
                <w:rFonts w:ascii="Wingdings" w:hAnsi="Wingdings"/>
                <w:sz w:val="18"/>
              </w:rPr>
            </w:pPr>
            <w:r>
              <w:rPr>
                <w:sz w:val="18"/>
              </w:rPr>
              <w:t>地表水</w:t>
            </w:r>
            <w:r>
              <w:rPr>
                <w:rFonts w:ascii="Wingdings" w:hAnsi="Wingdings"/>
                <w:sz w:val="18"/>
              </w:rPr>
              <w:t></w:t>
            </w:r>
          </w:p>
        </w:tc>
        <w:tc>
          <w:tcPr>
            <w:tcW w:w="1904" w:type="dxa"/>
            <w:gridSpan w:val="2"/>
          </w:tcPr>
          <w:p>
            <w:pPr>
              <w:pStyle w:val="TableParagraph"/>
              <w:spacing w:before="2"/>
              <w:ind w:left="627"/>
              <w:jc w:val="left"/>
              <w:rPr>
                <w:rFonts w:ascii="Wingdings" w:hAnsi="Wingdings"/>
                <w:sz w:val="18"/>
              </w:rPr>
            </w:pPr>
            <w:r>
              <w:rPr>
                <w:sz w:val="18"/>
              </w:rPr>
              <w:t>地下水</w:t>
            </w:r>
            <w:r>
              <w:rPr>
                <w:rFonts w:ascii="Wingdings" w:hAnsi="Wingdings"/>
                <w:sz w:val="18"/>
              </w:rPr>
              <w:t></w:t>
            </w:r>
          </w:p>
        </w:tc>
      </w:tr>
      <w:tr>
        <w:trPr>
          <w:trHeight w:val="350" w:hRule="atLeast"/>
        </w:trPr>
        <w:tc>
          <w:tcPr>
            <w:tcW w:w="2145" w:type="dxa"/>
            <w:gridSpan w:val="2"/>
          </w:tcPr>
          <w:p>
            <w:pPr>
              <w:pStyle w:val="TableParagraph"/>
              <w:spacing w:before="2"/>
              <w:ind w:left="554"/>
              <w:jc w:val="left"/>
              <w:rPr>
                <w:sz w:val="18"/>
              </w:rPr>
            </w:pPr>
            <w:r>
              <w:rPr>
                <w:sz w:val="18"/>
              </w:rPr>
              <w:t>事故情形分析</w:t>
            </w:r>
          </w:p>
        </w:tc>
        <w:tc>
          <w:tcPr>
            <w:tcW w:w="1832" w:type="dxa"/>
            <w:gridSpan w:val="2"/>
          </w:tcPr>
          <w:p>
            <w:pPr>
              <w:pStyle w:val="TableParagraph"/>
              <w:spacing w:before="2"/>
              <w:ind w:left="377"/>
              <w:jc w:val="left"/>
              <w:rPr>
                <w:sz w:val="18"/>
              </w:rPr>
            </w:pPr>
            <w:r>
              <w:rPr>
                <w:sz w:val="18"/>
              </w:rPr>
              <w:t>源强设定方法</w:t>
            </w:r>
          </w:p>
        </w:tc>
        <w:tc>
          <w:tcPr>
            <w:tcW w:w="1333" w:type="dxa"/>
          </w:tcPr>
          <w:p>
            <w:pPr>
              <w:pStyle w:val="TableParagraph"/>
              <w:spacing w:before="2"/>
              <w:ind w:right="303"/>
              <w:jc w:val="right"/>
              <w:rPr>
                <w:rFonts w:ascii="Wingdings" w:hAnsi="Wingdings"/>
                <w:sz w:val="18"/>
              </w:rPr>
            </w:pPr>
            <w:r>
              <w:rPr>
                <w:sz w:val="18"/>
              </w:rPr>
              <w:t>计算法</w:t>
            </w:r>
            <w:r>
              <w:rPr>
                <w:rFonts w:ascii="Wingdings" w:hAnsi="Wingdings"/>
                <w:sz w:val="18"/>
              </w:rPr>
              <w:t></w:t>
            </w:r>
          </w:p>
        </w:tc>
        <w:tc>
          <w:tcPr>
            <w:tcW w:w="2236" w:type="dxa"/>
            <w:gridSpan w:val="3"/>
          </w:tcPr>
          <w:p>
            <w:pPr>
              <w:pStyle w:val="TableParagraph"/>
              <w:spacing w:before="2"/>
              <w:ind w:left="633"/>
              <w:jc w:val="left"/>
              <w:rPr>
                <w:rFonts w:ascii="Times New Roman" w:hAnsi="Times New Roman" w:eastAsia="Times New Roman"/>
                <w:sz w:val="18"/>
              </w:rPr>
            </w:pPr>
            <w:r>
              <w:rPr>
                <w:sz w:val="18"/>
              </w:rPr>
              <w:t>经验估算法</w:t>
            </w:r>
            <w:r>
              <w:rPr>
                <w:rFonts w:ascii="Times New Roman" w:hAnsi="Times New Roman" w:eastAsia="Times New Roman"/>
                <w:sz w:val="18"/>
              </w:rPr>
              <w:t>□</w:t>
            </w:r>
          </w:p>
        </w:tc>
        <w:tc>
          <w:tcPr>
            <w:tcW w:w="1904" w:type="dxa"/>
            <w:gridSpan w:val="2"/>
          </w:tcPr>
          <w:p>
            <w:pPr>
              <w:pStyle w:val="TableParagraph"/>
              <w:spacing w:before="2"/>
              <w:ind w:left="473"/>
              <w:jc w:val="left"/>
              <w:rPr>
                <w:rFonts w:ascii="Times New Roman" w:hAnsi="Times New Roman" w:eastAsia="Times New Roman"/>
                <w:sz w:val="18"/>
              </w:rPr>
            </w:pPr>
            <w:r>
              <w:rPr>
                <w:sz w:val="18"/>
              </w:rPr>
              <w:t>其他估算法</w:t>
            </w:r>
            <w:r>
              <w:rPr>
                <w:rFonts w:ascii="Times New Roman" w:hAnsi="Times New Roman" w:eastAsia="Times New Roman"/>
                <w:sz w:val="18"/>
              </w:rPr>
              <w:t>□</w:t>
            </w:r>
          </w:p>
        </w:tc>
      </w:tr>
      <w:tr>
        <w:trPr>
          <w:trHeight w:val="350" w:hRule="atLeast"/>
        </w:trPr>
        <w:tc>
          <w:tcPr>
            <w:tcW w:w="641" w:type="dxa"/>
            <w:vMerge w:val="restart"/>
          </w:tcPr>
          <w:p>
            <w:pPr>
              <w:pStyle w:val="TableParagraph"/>
              <w:jc w:val="left"/>
              <w:rPr>
                <w:b/>
                <w:sz w:val="18"/>
              </w:rPr>
            </w:pPr>
          </w:p>
          <w:p>
            <w:pPr>
              <w:pStyle w:val="TableParagraph"/>
              <w:jc w:val="left"/>
              <w:rPr>
                <w:b/>
                <w:sz w:val="18"/>
              </w:rPr>
            </w:pPr>
          </w:p>
          <w:p>
            <w:pPr>
              <w:pStyle w:val="TableParagraph"/>
              <w:spacing w:before="8"/>
              <w:jc w:val="left"/>
              <w:rPr>
                <w:b/>
                <w:sz w:val="21"/>
              </w:rPr>
            </w:pPr>
          </w:p>
          <w:p>
            <w:pPr>
              <w:pStyle w:val="TableParagraph"/>
              <w:spacing w:line="364" w:lineRule="auto"/>
              <w:ind w:left="139" w:right="129"/>
              <w:jc w:val="both"/>
              <w:rPr>
                <w:sz w:val="18"/>
              </w:rPr>
            </w:pPr>
            <w:r>
              <w:rPr>
                <w:sz w:val="18"/>
              </w:rPr>
              <w:t>风险预测与评价</w:t>
            </w:r>
          </w:p>
        </w:tc>
        <w:tc>
          <w:tcPr>
            <w:tcW w:w="1504" w:type="dxa"/>
            <w:vMerge w:val="restart"/>
          </w:tcPr>
          <w:p>
            <w:pPr>
              <w:pStyle w:val="TableParagraph"/>
              <w:jc w:val="left"/>
              <w:rPr>
                <w:b/>
                <w:sz w:val="18"/>
              </w:rPr>
            </w:pPr>
          </w:p>
          <w:p>
            <w:pPr>
              <w:pStyle w:val="TableParagraph"/>
              <w:jc w:val="left"/>
              <w:rPr>
                <w:b/>
                <w:sz w:val="18"/>
              </w:rPr>
            </w:pPr>
          </w:p>
          <w:p>
            <w:pPr>
              <w:pStyle w:val="TableParagraph"/>
              <w:spacing w:before="7"/>
              <w:jc w:val="left"/>
              <w:rPr>
                <w:b/>
                <w:sz w:val="20"/>
              </w:rPr>
            </w:pPr>
          </w:p>
          <w:p>
            <w:pPr>
              <w:pStyle w:val="TableParagraph"/>
              <w:ind w:left="191" w:right="183"/>
              <w:rPr>
                <w:sz w:val="18"/>
              </w:rPr>
            </w:pPr>
            <w:r>
              <w:rPr>
                <w:sz w:val="18"/>
              </w:rPr>
              <w:t>大气</w:t>
            </w:r>
          </w:p>
        </w:tc>
        <w:tc>
          <w:tcPr>
            <w:tcW w:w="1832" w:type="dxa"/>
            <w:gridSpan w:val="2"/>
          </w:tcPr>
          <w:p>
            <w:pPr>
              <w:pStyle w:val="TableParagraph"/>
              <w:spacing w:before="2"/>
              <w:ind w:left="557"/>
              <w:jc w:val="left"/>
              <w:rPr>
                <w:sz w:val="18"/>
              </w:rPr>
            </w:pPr>
            <w:r>
              <w:rPr>
                <w:sz w:val="18"/>
              </w:rPr>
              <w:t>预测模型</w:t>
            </w:r>
          </w:p>
        </w:tc>
        <w:tc>
          <w:tcPr>
            <w:tcW w:w="1333" w:type="dxa"/>
          </w:tcPr>
          <w:p>
            <w:pPr>
              <w:pStyle w:val="TableParagraph"/>
              <w:spacing w:before="21"/>
              <w:ind w:right="355"/>
              <w:jc w:val="right"/>
              <w:rPr>
                <w:rFonts w:ascii="Wingdings" w:hAnsi="Wingdings"/>
                <w:sz w:val="18"/>
              </w:rPr>
            </w:pPr>
            <w:r>
              <w:rPr>
                <w:rFonts w:ascii="Times New Roman" w:hAnsi="Times New Roman"/>
                <w:sz w:val="18"/>
              </w:rPr>
              <w:t>SLAB</w:t>
            </w:r>
            <w:r>
              <w:rPr>
                <w:rFonts w:ascii="Wingdings" w:hAnsi="Wingdings"/>
                <w:sz w:val="18"/>
              </w:rPr>
              <w:t></w:t>
            </w:r>
          </w:p>
        </w:tc>
        <w:tc>
          <w:tcPr>
            <w:tcW w:w="2236" w:type="dxa"/>
            <w:gridSpan w:val="3"/>
          </w:tcPr>
          <w:p>
            <w:pPr>
              <w:pStyle w:val="TableParagraph"/>
              <w:spacing w:before="21"/>
              <w:ind w:left="775"/>
              <w:jc w:val="left"/>
              <w:rPr>
                <w:rFonts w:ascii="Wingdings" w:hAnsi="Wingdings"/>
                <w:sz w:val="18"/>
              </w:rPr>
            </w:pPr>
            <w:r>
              <w:rPr>
                <w:rFonts w:ascii="Times New Roman" w:hAnsi="Times New Roman"/>
                <w:sz w:val="18"/>
              </w:rPr>
              <w:t>AFTOX</w:t>
            </w:r>
            <w:r>
              <w:rPr>
                <w:rFonts w:ascii="Wingdings" w:hAnsi="Wingdings"/>
                <w:sz w:val="18"/>
              </w:rPr>
              <w:t></w:t>
            </w:r>
          </w:p>
        </w:tc>
        <w:tc>
          <w:tcPr>
            <w:tcW w:w="1904" w:type="dxa"/>
            <w:gridSpan w:val="2"/>
          </w:tcPr>
          <w:p>
            <w:pPr>
              <w:pStyle w:val="TableParagraph"/>
              <w:spacing w:before="2"/>
              <w:ind w:left="724" w:right="661"/>
              <w:rPr>
                <w:rFonts w:ascii="Times New Roman" w:hAnsi="Times New Roman" w:eastAsia="Times New Roman"/>
                <w:sz w:val="18"/>
              </w:rPr>
            </w:pPr>
            <w:r>
              <w:rPr>
                <w:sz w:val="18"/>
              </w:rPr>
              <w:t>其他</w:t>
            </w:r>
            <w:r>
              <w:rPr>
                <w:rFonts w:ascii="Times New Roman" w:hAnsi="Times New Roman" w:eastAsia="Times New Roman"/>
                <w:sz w:val="18"/>
              </w:rPr>
              <w:t>□</w:t>
            </w:r>
          </w:p>
        </w:tc>
      </w:tr>
      <w:tr>
        <w:trPr>
          <w:trHeight w:val="349"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832" w:type="dxa"/>
            <w:gridSpan w:val="2"/>
            <w:vMerge w:val="restart"/>
          </w:tcPr>
          <w:p>
            <w:pPr>
              <w:pStyle w:val="TableParagraph"/>
              <w:jc w:val="left"/>
              <w:rPr>
                <w:b/>
                <w:sz w:val="18"/>
              </w:rPr>
            </w:pPr>
          </w:p>
          <w:p>
            <w:pPr>
              <w:pStyle w:val="TableParagraph"/>
              <w:spacing w:before="6"/>
              <w:jc w:val="left"/>
              <w:rPr>
                <w:b/>
                <w:sz w:val="24"/>
              </w:rPr>
            </w:pPr>
          </w:p>
          <w:p>
            <w:pPr>
              <w:pStyle w:val="TableParagraph"/>
              <w:ind w:left="557"/>
              <w:jc w:val="left"/>
              <w:rPr>
                <w:sz w:val="18"/>
              </w:rPr>
            </w:pPr>
            <w:r>
              <w:rPr>
                <w:sz w:val="18"/>
              </w:rPr>
              <w:t>预测结果</w:t>
            </w:r>
          </w:p>
        </w:tc>
        <w:tc>
          <w:tcPr>
            <w:tcW w:w="1333" w:type="dxa"/>
            <w:vMerge w:val="restart"/>
          </w:tcPr>
          <w:p>
            <w:pPr>
              <w:pStyle w:val="TableParagraph"/>
              <w:jc w:val="left"/>
              <w:rPr>
                <w:b/>
                <w:sz w:val="18"/>
              </w:rPr>
            </w:pPr>
          </w:p>
          <w:p>
            <w:pPr>
              <w:pStyle w:val="TableParagraph"/>
              <w:spacing w:before="6"/>
              <w:jc w:val="left"/>
              <w:rPr>
                <w:b/>
                <w:sz w:val="24"/>
              </w:rPr>
            </w:pPr>
          </w:p>
          <w:p>
            <w:pPr>
              <w:pStyle w:val="TableParagraph"/>
              <w:ind w:left="79"/>
              <w:jc w:val="left"/>
              <w:rPr>
                <w:sz w:val="18"/>
              </w:rPr>
            </w:pPr>
            <w:r>
              <w:rPr>
                <w:spacing w:val="-12"/>
                <w:sz w:val="18"/>
              </w:rPr>
              <w:t>最不利气象条件</w:t>
            </w:r>
          </w:p>
        </w:tc>
        <w:tc>
          <w:tcPr>
            <w:tcW w:w="4140" w:type="dxa"/>
            <w:gridSpan w:val="5"/>
          </w:tcPr>
          <w:p>
            <w:pPr>
              <w:pStyle w:val="TableParagraph"/>
              <w:spacing w:before="2"/>
              <w:ind w:left="403"/>
              <w:jc w:val="left"/>
              <w:rPr>
                <w:rFonts w:ascii="Times New Roman" w:eastAsia="Times New Roman"/>
                <w:sz w:val="18"/>
              </w:rPr>
            </w:pPr>
            <w:r>
              <w:rPr>
                <w:rFonts w:ascii="Times New Roman" w:eastAsia="Times New Roman"/>
                <w:sz w:val="18"/>
              </w:rPr>
              <w:t>CO </w:t>
            </w:r>
            <w:r>
              <w:rPr>
                <w:sz w:val="18"/>
              </w:rPr>
              <w:t>大气毒性终点浓度</w:t>
            </w:r>
            <w:r>
              <w:rPr>
                <w:rFonts w:ascii="Times New Roman" w:eastAsia="Times New Roman"/>
                <w:sz w:val="18"/>
              </w:rPr>
              <w:t>-1 </w:t>
            </w:r>
            <w:r>
              <w:rPr>
                <w:sz w:val="18"/>
              </w:rPr>
              <w:t>最大影响范围</w:t>
            </w:r>
            <w:r>
              <w:rPr>
                <w:sz w:val="18"/>
                <w:u w:val="single"/>
              </w:rPr>
              <w:t> </w:t>
            </w:r>
            <w:r>
              <w:rPr>
                <w:rFonts w:ascii="Times New Roman" w:eastAsia="Times New Roman"/>
                <w:sz w:val="18"/>
                <w:u w:val="single"/>
              </w:rPr>
              <w:t>660</w:t>
            </w:r>
            <w:r>
              <w:rPr>
                <w:rFonts w:ascii="Times New Roman" w:eastAsia="Times New Roman"/>
                <w:sz w:val="18"/>
              </w:rPr>
              <w:t> m</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832" w:type="dxa"/>
            <w:gridSpan w:val="2"/>
            <w:vMerge/>
            <w:tcBorders>
              <w:top w:val="nil"/>
            </w:tcBorders>
          </w:tcPr>
          <w:p>
            <w:pPr>
              <w:rPr>
                <w:sz w:val="2"/>
                <w:szCs w:val="2"/>
              </w:rPr>
            </w:pPr>
          </w:p>
        </w:tc>
        <w:tc>
          <w:tcPr>
            <w:tcW w:w="1333" w:type="dxa"/>
            <w:vMerge/>
            <w:tcBorders>
              <w:top w:val="nil"/>
            </w:tcBorders>
          </w:tcPr>
          <w:p>
            <w:pPr>
              <w:rPr>
                <w:sz w:val="2"/>
                <w:szCs w:val="2"/>
              </w:rPr>
            </w:pPr>
          </w:p>
        </w:tc>
        <w:tc>
          <w:tcPr>
            <w:tcW w:w="4140" w:type="dxa"/>
            <w:gridSpan w:val="5"/>
          </w:tcPr>
          <w:p>
            <w:pPr>
              <w:pStyle w:val="TableParagraph"/>
              <w:spacing w:before="4"/>
              <w:ind w:left="362"/>
              <w:jc w:val="left"/>
              <w:rPr>
                <w:rFonts w:ascii="Times New Roman" w:eastAsia="Times New Roman"/>
                <w:sz w:val="18"/>
              </w:rPr>
            </w:pPr>
            <w:r>
              <w:rPr>
                <w:rFonts w:ascii="Times New Roman" w:eastAsia="Times New Roman"/>
                <w:sz w:val="18"/>
              </w:rPr>
              <w:t>CO </w:t>
            </w:r>
            <w:r>
              <w:rPr>
                <w:sz w:val="18"/>
              </w:rPr>
              <w:t>大气毒性终点浓度</w:t>
            </w:r>
            <w:r>
              <w:rPr>
                <w:rFonts w:ascii="Times New Roman" w:eastAsia="Times New Roman"/>
                <w:sz w:val="18"/>
              </w:rPr>
              <w:t>-2 </w:t>
            </w:r>
            <w:r>
              <w:rPr>
                <w:sz w:val="18"/>
              </w:rPr>
              <w:t>最大影响范围</w:t>
            </w:r>
            <w:r>
              <w:rPr>
                <w:sz w:val="18"/>
                <w:u w:val="single"/>
              </w:rPr>
              <w:t> </w:t>
            </w:r>
            <w:r>
              <w:rPr>
                <w:rFonts w:ascii="Times New Roman" w:eastAsia="Times New Roman"/>
                <w:sz w:val="18"/>
                <w:u w:val="single"/>
              </w:rPr>
              <w:t>1610</w:t>
            </w:r>
            <w:r>
              <w:rPr>
                <w:rFonts w:ascii="Times New Roman" w:eastAsia="Times New Roman"/>
                <w:sz w:val="18"/>
              </w:rPr>
              <w:t> m</w:t>
            </w:r>
          </w:p>
        </w:tc>
      </w:tr>
      <w:tr>
        <w:trPr>
          <w:trHeight w:val="352"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832" w:type="dxa"/>
            <w:gridSpan w:val="2"/>
            <w:vMerge/>
            <w:tcBorders>
              <w:top w:val="nil"/>
            </w:tcBorders>
          </w:tcPr>
          <w:p>
            <w:pPr>
              <w:rPr>
                <w:sz w:val="2"/>
                <w:szCs w:val="2"/>
              </w:rPr>
            </w:pPr>
          </w:p>
        </w:tc>
        <w:tc>
          <w:tcPr>
            <w:tcW w:w="1333" w:type="dxa"/>
            <w:vMerge/>
            <w:tcBorders>
              <w:top w:val="nil"/>
            </w:tcBorders>
          </w:tcPr>
          <w:p>
            <w:pPr>
              <w:rPr>
                <w:sz w:val="2"/>
                <w:szCs w:val="2"/>
              </w:rPr>
            </w:pPr>
          </w:p>
        </w:tc>
        <w:tc>
          <w:tcPr>
            <w:tcW w:w="4140" w:type="dxa"/>
            <w:gridSpan w:val="5"/>
          </w:tcPr>
          <w:p>
            <w:pPr>
              <w:pStyle w:val="TableParagraph"/>
              <w:spacing w:before="4"/>
              <w:ind w:left="417"/>
              <w:jc w:val="left"/>
              <w:rPr>
                <w:rFonts w:ascii="Times New Roman" w:eastAsia="Times New Roman"/>
                <w:sz w:val="18"/>
              </w:rPr>
            </w:pPr>
            <w:r>
              <w:rPr>
                <w:sz w:val="18"/>
              </w:rPr>
              <w:t>甲酸大气毒性终点浓度</w:t>
            </w:r>
            <w:r>
              <w:rPr>
                <w:rFonts w:ascii="Times New Roman" w:eastAsia="Times New Roman"/>
                <w:sz w:val="18"/>
              </w:rPr>
              <w:t>-1 </w:t>
            </w:r>
            <w:r>
              <w:rPr>
                <w:sz w:val="18"/>
              </w:rPr>
              <w:t>最大影响范围</w:t>
            </w:r>
            <w:r>
              <w:rPr>
                <w:sz w:val="18"/>
                <w:u w:val="single"/>
              </w:rPr>
              <w:t> </w:t>
            </w:r>
            <w:r>
              <w:rPr>
                <w:rFonts w:ascii="Times New Roman" w:eastAsia="Times New Roman"/>
                <w:sz w:val="18"/>
                <w:u w:val="single"/>
              </w:rPr>
              <w:t>30</w:t>
            </w:r>
            <w:r>
              <w:rPr>
                <w:rFonts w:ascii="Times New Roman" w:eastAsia="Times New Roman"/>
                <w:sz w:val="18"/>
              </w:rPr>
              <w:t> m</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1832" w:type="dxa"/>
            <w:gridSpan w:val="2"/>
            <w:vMerge/>
            <w:tcBorders>
              <w:top w:val="nil"/>
            </w:tcBorders>
          </w:tcPr>
          <w:p>
            <w:pPr>
              <w:rPr>
                <w:sz w:val="2"/>
                <w:szCs w:val="2"/>
              </w:rPr>
            </w:pPr>
          </w:p>
        </w:tc>
        <w:tc>
          <w:tcPr>
            <w:tcW w:w="1333" w:type="dxa"/>
            <w:vMerge/>
            <w:tcBorders>
              <w:top w:val="nil"/>
            </w:tcBorders>
          </w:tcPr>
          <w:p>
            <w:pPr>
              <w:rPr>
                <w:sz w:val="2"/>
                <w:szCs w:val="2"/>
              </w:rPr>
            </w:pPr>
          </w:p>
        </w:tc>
        <w:tc>
          <w:tcPr>
            <w:tcW w:w="4140" w:type="dxa"/>
            <w:gridSpan w:val="5"/>
          </w:tcPr>
          <w:p>
            <w:pPr>
              <w:pStyle w:val="TableParagraph"/>
              <w:spacing w:before="2"/>
              <w:ind w:left="376"/>
              <w:jc w:val="left"/>
              <w:rPr>
                <w:rFonts w:ascii="Times New Roman" w:eastAsia="Times New Roman"/>
                <w:sz w:val="18"/>
              </w:rPr>
            </w:pPr>
            <w:r>
              <w:rPr>
                <w:sz w:val="18"/>
              </w:rPr>
              <w:t>甲酸大气毒性终点浓度</w:t>
            </w:r>
            <w:r>
              <w:rPr>
                <w:rFonts w:ascii="Times New Roman" w:eastAsia="Times New Roman"/>
                <w:sz w:val="18"/>
              </w:rPr>
              <w:t>-2 </w:t>
            </w:r>
            <w:r>
              <w:rPr>
                <w:sz w:val="18"/>
              </w:rPr>
              <w:t>最大影响范围</w:t>
            </w:r>
            <w:r>
              <w:rPr>
                <w:sz w:val="18"/>
                <w:u w:val="single"/>
              </w:rPr>
              <w:t> </w:t>
            </w:r>
            <w:r>
              <w:rPr>
                <w:rFonts w:ascii="Times New Roman" w:eastAsia="Times New Roman"/>
                <w:sz w:val="18"/>
                <w:u w:val="single"/>
              </w:rPr>
              <w:t>610</w:t>
            </w:r>
            <w:r>
              <w:rPr>
                <w:rFonts w:ascii="Times New Roman" w:eastAsia="Times New Roman"/>
                <w:sz w:val="18"/>
              </w:rPr>
              <w:t> m</w:t>
            </w:r>
          </w:p>
        </w:tc>
      </w:tr>
      <w:tr>
        <w:trPr>
          <w:trHeight w:val="350" w:hRule="atLeast"/>
        </w:trPr>
        <w:tc>
          <w:tcPr>
            <w:tcW w:w="641" w:type="dxa"/>
            <w:vMerge/>
            <w:tcBorders>
              <w:top w:val="nil"/>
            </w:tcBorders>
          </w:tcPr>
          <w:p>
            <w:pPr>
              <w:rPr>
                <w:sz w:val="2"/>
                <w:szCs w:val="2"/>
              </w:rPr>
            </w:pPr>
          </w:p>
        </w:tc>
        <w:tc>
          <w:tcPr>
            <w:tcW w:w="1504" w:type="dxa"/>
          </w:tcPr>
          <w:p>
            <w:pPr>
              <w:pStyle w:val="TableParagraph"/>
              <w:spacing w:before="2"/>
              <w:ind w:left="191" w:right="181"/>
              <w:rPr>
                <w:sz w:val="18"/>
              </w:rPr>
            </w:pPr>
            <w:r>
              <w:rPr>
                <w:sz w:val="18"/>
              </w:rPr>
              <w:t>地表水</w:t>
            </w:r>
          </w:p>
        </w:tc>
        <w:tc>
          <w:tcPr>
            <w:tcW w:w="7305" w:type="dxa"/>
            <w:gridSpan w:val="8"/>
          </w:tcPr>
          <w:p>
            <w:pPr>
              <w:pStyle w:val="TableParagraph"/>
              <w:spacing w:before="2"/>
              <w:ind w:left="2242" w:right="2211"/>
              <w:rPr>
                <w:rFonts w:ascii="Times New Roman" w:eastAsia="Times New Roman"/>
                <w:sz w:val="18"/>
              </w:rPr>
            </w:pPr>
            <w:r>
              <w:rPr>
                <w:spacing w:val="-12"/>
                <w:sz w:val="18"/>
              </w:rPr>
              <w:t>最近环境敏感目标</w:t>
            </w:r>
            <w:r>
              <w:rPr>
                <w:spacing w:val="-12"/>
                <w:sz w:val="18"/>
                <w:u w:val="single"/>
              </w:rPr>
              <w:t> </w:t>
            </w:r>
            <w:r>
              <w:rPr>
                <w:rFonts w:ascii="Times New Roman" w:eastAsia="Times New Roman"/>
                <w:sz w:val="18"/>
                <w:u w:val="single"/>
              </w:rPr>
              <w:t>/ </w:t>
            </w:r>
            <w:r>
              <w:rPr>
                <w:spacing w:val="-12"/>
                <w:sz w:val="18"/>
              </w:rPr>
              <w:t>，到达时间</w:t>
            </w:r>
            <w:r>
              <w:rPr>
                <w:spacing w:val="63"/>
                <w:sz w:val="18"/>
                <w:u w:val="single"/>
              </w:rPr>
              <w:t> </w:t>
            </w:r>
            <w:r>
              <w:rPr>
                <w:rFonts w:ascii="Times New Roman" w:eastAsia="Times New Roman"/>
                <w:sz w:val="18"/>
                <w:u w:val="single"/>
              </w:rPr>
              <w:t>/ </w:t>
            </w:r>
            <w:r>
              <w:rPr>
                <w:rFonts w:ascii="Times New Roman" w:eastAsia="Times New Roman"/>
                <w:sz w:val="18"/>
              </w:rPr>
              <w:t>h</w:t>
            </w:r>
          </w:p>
        </w:tc>
      </w:tr>
      <w:tr>
        <w:trPr>
          <w:trHeight w:val="350" w:hRule="atLeast"/>
        </w:trPr>
        <w:tc>
          <w:tcPr>
            <w:tcW w:w="641" w:type="dxa"/>
            <w:vMerge/>
            <w:tcBorders>
              <w:top w:val="nil"/>
            </w:tcBorders>
          </w:tcPr>
          <w:p>
            <w:pPr>
              <w:rPr>
                <w:sz w:val="2"/>
                <w:szCs w:val="2"/>
              </w:rPr>
            </w:pPr>
          </w:p>
        </w:tc>
        <w:tc>
          <w:tcPr>
            <w:tcW w:w="1504" w:type="dxa"/>
            <w:vMerge w:val="restart"/>
          </w:tcPr>
          <w:p>
            <w:pPr>
              <w:pStyle w:val="TableParagraph"/>
              <w:spacing w:before="2"/>
              <w:jc w:val="left"/>
              <w:rPr>
                <w:b/>
                <w:sz w:val="14"/>
              </w:rPr>
            </w:pPr>
          </w:p>
          <w:p>
            <w:pPr>
              <w:pStyle w:val="TableParagraph"/>
              <w:spacing w:before="1"/>
              <w:ind w:left="482"/>
              <w:jc w:val="left"/>
              <w:rPr>
                <w:sz w:val="18"/>
              </w:rPr>
            </w:pPr>
            <w:r>
              <w:rPr>
                <w:sz w:val="18"/>
              </w:rPr>
              <w:t>地下水</w:t>
            </w:r>
          </w:p>
        </w:tc>
        <w:tc>
          <w:tcPr>
            <w:tcW w:w="7305" w:type="dxa"/>
            <w:gridSpan w:val="8"/>
          </w:tcPr>
          <w:p>
            <w:pPr>
              <w:pStyle w:val="TableParagraph"/>
              <w:spacing w:before="2"/>
              <w:ind w:left="2242" w:right="2213"/>
              <w:rPr>
                <w:rFonts w:ascii="Times New Roman" w:eastAsia="Times New Roman"/>
                <w:sz w:val="18"/>
              </w:rPr>
            </w:pPr>
            <w:r>
              <w:rPr>
                <w:sz w:val="18"/>
              </w:rPr>
              <w:t>下游厂区边界到达时间</w:t>
            </w:r>
            <w:r>
              <w:rPr>
                <w:sz w:val="18"/>
                <w:u w:val="single"/>
              </w:rPr>
              <w:t> </w:t>
            </w:r>
            <w:r>
              <w:rPr>
                <w:rFonts w:ascii="Times New Roman" w:eastAsia="Times New Roman"/>
                <w:sz w:val="18"/>
                <w:u w:val="single"/>
              </w:rPr>
              <w:t>/   </w:t>
            </w:r>
            <w:r>
              <w:rPr>
                <w:rFonts w:ascii="Times New Roman" w:eastAsia="Times New Roman"/>
                <w:sz w:val="18"/>
              </w:rPr>
              <w:t>d</w:t>
            </w:r>
          </w:p>
        </w:tc>
      </w:tr>
      <w:tr>
        <w:trPr>
          <w:trHeight w:val="350" w:hRule="atLeast"/>
        </w:trPr>
        <w:tc>
          <w:tcPr>
            <w:tcW w:w="641" w:type="dxa"/>
            <w:vMerge/>
            <w:tcBorders>
              <w:top w:val="nil"/>
            </w:tcBorders>
          </w:tcPr>
          <w:p>
            <w:pPr>
              <w:rPr>
                <w:sz w:val="2"/>
                <w:szCs w:val="2"/>
              </w:rPr>
            </w:pPr>
          </w:p>
        </w:tc>
        <w:tc>
          <w:tcPr>
            <w:tcW w:w="1504" w:type="dxa"/>
            <w:vMerge/>
            <w:tcBorders>
              <w:top w:val="nil"/>
            </w:tcBorders>
          </w:tcPr>
          <w:p>
            <w:pPr>
              <w:rPr>
                <w:sz w:val="2"/>
                <w:szCs w:val="2"/>
              </w:rPr>
            </w:pPr>
          </w:p>
        </w:tc>
        <w:tc>
          <w:tcPr>
            <w:tcW w:w="7305" w:type="dxa"/>
            <w:gridSpan w:val="8"/>
          </w:tcPr>
          <w:p>
            <w:pPr>
              <w:pStyle w:val="TableParagraph"/>
              <w:spacing w:before="2"/>
              <w:ind w:left="2242" w:right="2213"/>
              <w:rPr>
                <w:rFonts w:ascii="Times New Roman" w:eastAsia="Times New Roman"/>
                <w:sz w:val="18"/>
              </w:rPr>
            </w:pPr>
            <w:r>
              <w:rPr>
                <w:sz w:val="18"/>
              </w:rPr>
              <w:t>最近环境敏感目标</w:t>
            </w:r>
            <w:r>
              <w:rPr>
                <w:sz w:val="18"/>
                <w:u w:val="single"/>
              </w:rPr>
              <w:t> </w:t>
            </w:r>
            <w:r>
              <w:rPr>
                <w:rFonts w:ascii="Times New Roman" w:eastAsia="Times New Roman"/>
                <w:sz w:val="18"/>
                <w:u w:val="single"/>
              </w:rPr>
              <w:t>/ </w:t>
            </w:r>
            <w:r>
              <w:rPr>
                <w:sz w:val="18"/>
              </w:rPr>
              <w:t>，到达时间</w:t>
            </w:r>
            <w:r>
              <w:rPr>
                <w:sz w:val="18"/>
                <w:u w:val="single"/>
              </w:rPr>
              <w:t> </w:t>
            </w:r>
            <w:r>
              <w:rPr>
                <w:rFonts w:ascii="Times New Roman" w:eastAsia="Times New Roman"/>
                <w:sz w:val="18"/>
                <w:u w:val="single"/>
              </w:rPr>
              <w:t>/</w:t>
            </w:r>
            <w:r>
              <w:rPr>
                <w:rFonts w:ascii="Times New Roman" w:eastAsia="Times New Roman"/>
                <w:sz w:val="18"/>
              </w:rPr>
              <w:t> h</w:t>
            </w:r>
          </w:p>
        </w:tc>
      </w:tr>
      <w:tr>
        <w:trPr>
          <w:trHeight w:val="359" w:hRule="atLeast"/>
        </w:trPr>
        <w:tc>
          <w:tcPr>
            <w:tcW w:w="2145" w:type="dxa"/>
            <w:gridSpan w:val="2"/>
          </w:tcPr>
          <w:p>
            <w:pPr>
              <w:pStyle w:val="TableParagraph"/>
              <w:spacing w:before="7"/>
              <w:ind w:left="350"/>
              <w:jc w:val="left"/>
              <w:rPr>
                <w:sz w:val="18"/>
              </w:rPr>
            </w:pPr>
            <w:r>
              <w:rPr>
                <w:sz w:val="18"/>
              </w:rPr>
              <w:t>重点风险防范措施</w:t>
            </w:r>
          </w:p>
        </w:tc>
        <w:tc>
          <w:tcPr>
            <w:tcW w:w="7305" w:type="dxa"/>
            <w:gridSpan w:val="8"/>
          </w:tcPr>
          <w:p>
            <w:pPr>
              <w:pStyle w:val="TableParagraph"/>
              <w:spacing w:before="7"/>
              <w:ind w:left="58"/>
              <w:jc w:val="left"/>
              <w:rPr>
                <w:rFonts w:ascii="Times New Roman" w:eastAsia="Times New Roman"/>
                <w:sz w:val="18"/>
              </w:rPr>
            </w:pPr>
            <w:r>
              <w:rPr>
                <w:sz w:val="18"/>
              </w:rPr>
              <w:t>详见 </w:t>
            </w:r>
            <w:r>
              <w:rPr>
                <w:rFonts w:ascii="Times New Roman" w:eastAsia="Times New Roman"/>
                <w:sz w:val="18"/>
              </w:rPr>
              <w:t>Pg231-242</w:t>
            </w:r>
          </w:p>
        </w:tc>
      </w:tr>
      <w:tr>
        <w:trPr>
          <w:trHeight w:val="1867" w:hRule="atLeast"/>
        </w:trPr>
        <w:tc>
          <w:tcPr>
            <w:tcW w:w="2145" w:type="dxa"/>
            <w:gridSpan w:val="2"/>
          </w:tcPr>
          <w:p>
            <w:pPr>
              <w:pStyle w:val="TableParagraph"/>
              <w:jc w:val="left"/>
              <w:rPr>
                <w:b/>
                <w:sz w:val="18"/>
              </w:rPr>
            </w:pPr>
          </w:p>
          <w:p>
            <w:pPr>
              <w:pStyle w:val="TableParagraph"/>
              <w:jc w:val="left"/>
              <w:rPr>
                <w:b/>
                <w:sz w:val="18"/>
              </w:rPr>
            </w:pPr>
          </w:p>
          <w:p>
            <w:pPr>
              <w:pStyle w:val="TableParagraph"/>
              <w:spacing w:before="5"/>
              <w:jc w:val="left"/>
              <w:rPr>
                <w:b/>
                <w:sz w:val="23"/>
              </w:rPr>
            </w:pPr>
          </w:p>
          <w:p>
            <w:pPr>
              <w:pStyle w:val="TableParagraph"/>
              <w:ind w:left="441"/>
              <w:jc w:val="left"/>
              <w:rPr>
                <w:sz w:val="18"/>
              </w:rPr>
            </w:pPr>
            <w:r>
              <w:rPr>
                <w:sz w:val="18"/>
              </w:rPr>
              <w:t>评价结论与建议</w:t>
            </w:r>
          </w:p>
        </w:tc>
        <w:tc>
          <w:tcPr>
            <w:tcW w:w="7305" w:type="dxa"/>
            <w:gridSpan w:val="8"/>
          </w:tcPr>
          <w:p>
            <w:pPr>
              <w:pStyle w:val="TableParagraph"/>
              <w:spacing w:line="242" w:lineRule="auto"/>
              <w:ind w:left="58" w:right="23"/>
              <w:jc w:val="left"/>
              <w:rPr>
                <w:sz w:val="18"/>
              </w:rPr>
            </w:pPr>
            <w:r>
              <w:rPr>
                <w:sz w:val="18"/>
              </w:rPr>
              <w:t>根据风险辨识，本次项目最大可信事故是生产车间反应釜发生事故导致火灾爆炸和甲酸储罐泄漏。</w:t>
            </w:r>
          </w:p>
          <w:p>
            <w:pPr>
              <w:pStyle w:val="TableParagraph"/>
              <w:spacing w:line="242" w:lineRule="auto"/>
              <w:ind w:left="58" w:right="25"/>
              <w:jc w:val="both"/>
              <w:rPr>
                <w:sz w:val="18"/>
              </w:rPr>
            </w:pPr>
            <w:r>
              <w:rPr>
                <w:sz w:val="18"/>
              </w:rPr>
              <w:t>根据事故预测及评价结果，最大可信事故的风险值小于化工行业可接受风险水平。从预测</w:t>
            </w:r>
            <w:r>
              <w:rPr>
                <w:spacing w:val="-109"/>
                <w:sz w:val="18"/>
              </w:rPr>
              <w:t>结</w:t>
            </w:r>
            <w:r>
              <w:rPr>
                <w:spacing w:val="-8"/>
                <w:sz w:val="18"/>
              </w:rPr>
              <w:t>果可见，最大可信事故发生时，最不利气象条件，距离事故源 </w:t>
            </w:r>
            <w:r>
              <w:rPr>
                <w:rFonts w:ascii="Times New Roman" w:eastAsia="Times New Roman"/>
                <w:sz w:val="18"/>
              </w:rPr>
              <w:t>660m </w:t>
            </w:r>
            <w:r>
              <w:rPr>
                <w:spacing w:val="-2"/>
                <w:sz w:val="18"/>
              </w:rPr>
              <w:t>的范围内，</w:t>
            </w:r>
            <w:r>
              <w:rPr>
                <w:rFonts w:ascii="Times New Roman" w:eastAsia="Times New Roman"/>
                <w:spacing w:val="-6"/>
                <w:sz w:val="18"/>
              </w:rPr>
              <w:t>CO </w:t>
            </w:r>
            <w:r>
              <w:rPr>
                <w:spacing w:val="-1"/>
                <w:sz w:val="18"/>
              </w:rPr>
              <w:t>浓度大于</w:t>
            </w:r>
            <w:r>
              <w:rPr>
                <w:spacing w:val="-8"/>
                <w:sz w:val="18"/>
              </w:rPr>
              <w:t>毒性终点浓度 </w:t>
            </w:r>
            <w:r>
              <w:rPr>
                <w:rFonts w:ascii="Times New Roman" w:eastAsia="Times New Roman"/>
                <w:sz w:val="18"/>
              </w:rPr>
              <w:t>1 </w:t>
            </w:r>
            <w:r>
              <w:rPr>
                <w:spacing w:val="-10"/>
                <w:sz w:val="18"/>
              </w:rPr>
              <w:t>级；距离事故源 </w:t>
            </w:r>
            <w:r>
              <w:rPr>
                <w:rFonts w:ascii="Times New Roman" w:eastAsia="Times New Roman"/>
                <w:sz w:val="18"/>
              </w:rPr>
              <w:t>30m </w:t>
            </w:r>
            <w:r>
              <w:rPr>
                <w:spacing w:val="-7"/>
                <w:sz w:val="18"/>
              </w:rPr>
              <w:t>的范围内，甲酸浓度大于毒性终点浓度 </w:t>
            </w:r>
            <w:r>
              <w:rPr>
                <w:rFonts w:ascii="Times New Roman" w:eastAsia="Times New Roman"/>
                <w:sz w:val="18"/>
              </w:rPr>
              <w:t>1 </w:t>
            </w:r>
            <w:r>
              <w:rPr>
                <w:spacing w:val="-5"/>
                <w:sz w:val="18"/>
              </w:rPr>
              <w:t>级，此范围能</w:t>
            </w:r>
            <w:r>
              <w:rPr>
                <w:spacing w:val="-6"/>
                <w:sz w:val="18"/>
              </w:rPr>
              <w:t>对人群造成生命威胁。因此，企业应加强管理，坚决杜绝该类事故发生。企业拟建的应急   </w:t>
            </w:r>
            <w:r>
              <w:rPr>
                <w:spacing w:val="-14"/>
                <w:sz w:val="18"/>
              </w:rPr>
              <w:t>事故池能够满足接纳本项目的事故水量。只要做好安全防范措施和应急对策，本项目的安全 </w:t>
            </w:r>
            <w:r>
              <w:rPr>
                <w:spacing w:val="-88"/>
                <w:sz w:val="18"/>
              </w:rPr>
              <w:t>隐</w:t>
            </w:r>
          </w:p>
          <w:p>
            <w:pPr>
              <w:pStyle w:val="TableParagraph"/>
              <w:spacing w:line="213" w:lineRule="exact" w:before="4"/>
              <w:ind w:left="58"/>
              <w:jc w:val="left"/>
              <w:rPr>
                <w:sz w:val="18"/>
              </w:rPr>
            </w:pPr>
            <w:r>
              <w:rPr>
                <w:w w:val="105"/>
                <w:sz w:val="18"/>
              </w:rPr>
              <w:t>患可以控制，其风险水平可以接受</w:t>
            </w:r>
            <w:r>
              <w:rPr>
                <w:w w:val="180"/>
                <w:sz w:val="18"/>
              </w:rPr>
              <w:t>。</w:t>
            </w:r>
          </w:p>
        </w:tc>
      </w:tr>
      <w:tr>
        <w:trPr>
          <w:trHeight w:val="349" w:hRule="atLeast"/>
        </w:trPr>
        <w:tc>
          <w:tcPr>
            <w:tcW w:w="9450" w:type="dxa"/>
            <w:gridSpan w:val="10"/>
          </w:tcPr>
          <w:p>
            <w:pPr>
              <w:pStyle w:val="TableParagraph"/>
              <w:tabs>
                <w:tab w:pos="2186" w:val="left" w:leader="none"/>
              </w:tabs>
              <w:spacing w:before="2"/>
              <w:ind w:left="55"/>
              <w:jc w:val="left"/>
              <w:rPr>
                <w:sz w:val="18"/>
              </w:rPr>
            </w:pPr>
            <w:r>
              <w:rPr>
                <w:spacing w:val="-12"/>
                <w:sz w:val="18"/>
              </w:rPr>
              <w:t>注</w:t>
            </w:r>
            <w:r>
              <w:rPr>
                <w:spacing w:val="-7"/>
                <w:sz w:val="18"/>
              </w:rPr>
              <w:t>：</w:t>
            </w:r>
            <w:r>
              <w:rPr>
                <w:rFonts w:ascii="Times New Roman" w:hAnsi="Times New Roman" w:eastAsia="Times New Roman"/>
                <w:spacing w:val="-7"/>
                <w:sz w:val="18"/>
              </w:rPr>
              <w:t>“□”</w:t>
            </w:r>
            <w:r>
              <w:rPr>
                <w:spacing w:val="-12"/>
                <w:sz w:val="18"/>
              </w:rPr>
              <w:t>为勾选项</w:t>
            </w:r>
            <w:r>
              <w:rPr>
                <w:spacing w:val="-11"/>
                <w:sz w:val="18"/>
              </w:rPr>
              <w:t>，</w:t>
            </w:r>
            <w:r>
              <w:rPr>
                <w:rFonts w:ascii="Times New Roman" w:hAnsi="Times New Roman" w:eastAsia="Times New Roman"/>
                <w:spacing w:val="-11"/>
                <w:sz w:val="18"/>
              </w:rPr>
              <w:t>“</w:t>
            </w:r>
            <w:r>
              <w:rPr>
                <w:rFonts w:ascii="Times New Roman" w:hAnsi="Times New Roman" w:eastAsia="Times New Roman"/>
                <w:spacing w:val="-11"/>
                <w:sz w:val="18"/>
                <w:u w:val="single"/>
              </w:rPr>
              <w:t> </w:t>
              <w:tab/>
            </w:r>
            <w:r>
              <w:rPr>
                <w:rFonts w:ascii="Times New Roman" w:hAnsi="Times New Roman" w:eastAsia="Times New Roman"/>
                <w:spacing w:val="-6"/>
                <w:sz w:val="18"/>
              </w:rPr>
              <w:t>”</w:t>
            </w:r>
            <w:r>
              <w:rPr>
                <w:spacing w:val="-12"/>
                <w:sz w:val="18"/>
              </w:rPr>
              <w:t>为填写</w:t>
            </w:r>
            <w:r>
              <w:rPr>
                <w:sz w:val="18"/>
              </w:rPr>
              <w:t>项</w:t>
            </w:r>
          </w:p>
        </w:tc>
      </w:tr>
    </w:tbl>
    <w:p>
      <w:pPr>
        <w:spacing w:after="0"/>
        <w:jc w:val="left"/>
        <w:rPr>
          <w:sz w:val="18"/>
        </w:rPr>
        <w:sectPr>
          <w:pgSz w:w="11910" w:h="16840"/>
          <w:pgMar w:header="872" w:footer="1015" w:top="1100" w:bottom="1200" w:left="1100" w:right="1100"/>
        </w:sectPr>
      </w:pPr>
    </w:p>
    <w:p>
      <w:pPr>
        <w:pStyle w:val="BodyText"/>
        <w:spacing w:line="20" w:lineRule="exact"/>
        <w:ind w:left="282"/>
        <w:rPr>
          <w:sz w:val="2"/>
        </w:rPr>
      </w:pPr>
      <w:r>
        <w:rPr>
          <w:sz w:val="2"/>
        </w:rPr>
        <w:pict>
          <v:group style="width:456.55pt;height:.75pt;mso-position-horizontal-relative:char;mso-position-vertical-relative:line" coordorigin="0,0" coordsize="9131,15">
            <v:line style="position:absolute" from="0,7" to="9131,7" stroked="true" strokeweight=".72pt" strokecolor="#000000">
              <v:stroke dashstyle="solid"/>
            </v:line>
          </v:group>
        </w:pict>
      </w:r>
      <w:r>
        <w:rPr>
          <w:sz w:val="2"/>
        </w:rPr>
      </w:r>
    </w:p>
    <w:p>
      <w:pPr>
        <w:pStyle w:val="BodyText"/>
        <w:rPr>
          <w:b/>
          <w:sz w:val="20"/>
        </w:rPr>
      </w:pPr>
    </w:p>
    <w:p>
      <w:pPr>
        <w:spacing w:before="203" w:after="3"/>
        <w:ind w:left="318" w:right="0" w:firstLine="0"/>
        <w:jc w:val="left"/>
        <w:rPr>
          <w:b/>
          <w:sz w:val="24"/>
        </w:rPr>
      </w:pPr>
      <w:bookmarkStart w:name="_bookmark87" w:id="171"/>
      <w:bookmarkEnd w:id="171"/>
      <w:r>
        <w:rPr/>
      </w:r>
      <w:r>
        <w:rPr>
          <w:b/>
          <w:sz w:val="24"/>
        </w:rPr>
        <w:t>土壤环境影响评价自查表</w:t>
      </w: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3"/>
        <w:gridCol w:w="1827"/>
        <w:gridCol w:w="1429"/>
        <w:gridCol w:w="317"/>
        <w:gridCol w:w="1111"/>
        <w:gridCol w:w="1299"/>
        <w:gridCol w:w="130"/>
        <w:gridCol w:w="1428"/>
        <w:gridCol w:w="1433"/>
      </w:tblGrid>
      <w:tr>
        <w:trPr>
          <w:trHeight w:val="299" w:hRule="atLeast"/>
        </w:trPr>
        <w:tc>
          <w:tcPr>
            <w:tcW w:w="2240" w:type="dxa"/>
            <w:gridSpan w:val="2"/>
          </w:tcPr>
          <w:p>
            <w:pPr>
              <w:pStyle w:val="TableParagraph"/>
              <w:spacing w:line="220" w:lineRule="exact" w:before="59"/>
              <w:ind w:left="735" w:right="732"/>
              <w:rPr>
                <w:b/>
                <w:sz w:val="18"/>
              </w:rPr>
            </w:pPr>
            <w:r>
              <w:rPr>
                <w:b/>
                <w:sz w:val="18"/>
              </w:rPr>
              <w:t>工作内容</w:t>
            </w:r>
          </w:p>
        </w:tc>
        <w:tc>
          <w:tcPr>
            <w:tcW w:w="5714" w:type="dxa"/>
            <w:gridSpan w:val="6"/>
          </w:tcPr>
          <w:p>
            <w:pPr>
              <w:pStyle w:val="TableParagraph"/>
              <w:spacing w:line="220" w:lineRule="exact" w:before="59"/>
              <w:ind w:left="60" w:right="56"/>
              <w:rPr>
                <w:b/>
                <w:sz w:val="18"/>
              </w:rPr>
            </w:pPr>
            <w:r>
              <w:rPr>
                <w:b/>
                <w:sz w:val="18"/>
              </w:rPr>
              <w:t>完成情况</w:t>
            </w:r>
          </w:p>
        </w:tc>
        <w:tc>
          <w:tcPr>
            <w:tcW w:w="1433" w:type="dxa"/>
          </w:tcPr>
          <w:p>
            <w:pPr>
              <w:pStyle w:val="TableParagraph"/>
              <w:spacing w:line="220" w:lineRule="exact" w:before="59"/>
              <w:ind w:left="153" w:right="149"/>
              <w:rPr>
                <w:b/>
                <w:sz w:val="18"/>
              </w:rPr>
            </w:pPr>
            <w:r>
              <w:rPr>
                <w:b/>
                <w:sz w:val="18"/>
              </w:rPr>
              <w:t>备注</w:t>
            </w:r>
          </w:p>
        </w:tc>
      </w:tr>
      <w:tr>
        <w:trPr>
          <w:trHeight w:val="299" w:hRule="atLeast"/>
        </w:trPr>
        <w:tc>
          <w:tcPr>
            <w:tcW w:w="413" w:type="dxa"/>
            <w:vMerge w:val="restart"/>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6"/>
              <w:jc w:val="left"/>
              <w:rPr>
                <w:b/>
                <w:sz w:val="26"/>
              </w:rPr>
            </w:pPr>
          </w:p>
          <w:p>
            <w:pPr>
              <w:pStyle w:val="TableParagraph"/>
              <w:spacing w:line="312" w:lineRule="auto"/>
              <w:ind w:left="112" w:right="108"/>
              <w:jc w:val="both"/>
              <w:rPr>
                <w:sz w:val="18"/>
              </w:rPr>
            </w:pPr>
            <w:r>
              <w:rPr>
                <w:sz w:val="18"/>
              </w:rPr>
              <w:t>风险调查</w:t>
            </w:r>
          </w:p>
        </w:tc>
        <w:tc>
          <w:tcPr>
            <w:tcW w:w="1827" w:type="dxa"/>
          </w:tcPr>
          <w:p>
            <w:pPr>
              <w:pStyle w:val="TableParagraph"/>
              <w:spacing w:line="220" w:lineRule="exact" w:before="60"/>
              <w:ind w:left="169" w:right="168"/>
              <w:rPr>
                <w:sz w:val="18"/>
              </w:rPr>
            </w:pPr>
            <w:r>
              <w:rPr>
                <w:sz w:val="18"/>
              </w:rPr>
              <w:t>影响类型</w:t>
            </w:r>
          </w:p>
        </w:tc>
        <w:tc>
          <w:tcPr>
            <w:tcW w:w="5714" w:type="dxa"/>
            <w:gridSpan w:val="6"/>
          </w:tcPr>
          <w:p>
            <w:pPr>
              <w:pStyle w:val="TableParagraph"/>
              <w:spacing w:line="280" w:lineRule="exact"/>
              <w:ind w:left="106"/>
              <w:jc w:val="left"/>
              <w:rPr>
                <w:rFonts w:ascii="Wingdings" w:hAnsi="Wingdings"/>
                <w:sz w:val="18"/>
              </w:rPr>
            </w:pPr>
            <w:r>
              <w:rPr>
                <w:sz w:val="18"/>
              </w:rPr>
              <w:t>污染影响型</w:t>
            </w:r>
            <w:r>
              <w:rPr>
                <w:rFonts w:ascii="Wingdings" w:hAnsi="Wingdings"/>
                <w:sz w:val="18"/>
              </w:rPr>
              <w:t></w:t>
            </w:r>
            <w:r>
              <w:rPr>
                <w:sz w:val="24"/>
              </w:rPr>
              <w:t>；</w:t>
            </w:r>
            <w:r>
              <w:rPr>
                <w:sz w:val="18"/>
              </w:rPr>
              <w:t>生态影响型</w:t>
            </w:r>
            <w:r>
              <w:rPr>
                <w:rFonts w:ascii="Wingdings" w:hAnsi="Wingdings"/>
                <w:sz w:val="18"/>
              </w:rPr>
              <w:t></w:t>
            </w:r>
            <w:r>
              <w:rPr>
                <w:sz w:val="18"/>
              </w:rPr>
              <w:t>；两种兼有</w:t>
            </w:r>
            <w:r>
              <w:rPr>
                <w:rFonts w:ascii="Wingdings" w:hAnsi="Wingdings"/>
                <w:sz w:val="18"/>
              </w:rPr>
              <w:t></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60"/>
              <w:ind w:left="169" w:right="168"/>
              <w:rPr>
                <w:sz w:val="18"/>
              </w:rPr>
            </w:pPr>
            <w:r>
              <w:rPr>
                <w:sz w:val="18"/>
              </w:rPr>
              <w:t>土地利用情况</w:t>
            </w:r>
          </w:p>
        </w:tc>
        <w:tc>
          <w:tcPr>
            <w:tcW w:w="5714" w:type="dxa"/>
            <w:gridSpan w:val="6"/>
          </w:tcPr>
          <w:p>
            <w:pPr>
              <w:pStyle w:val="TableParagraph"/>
              <w:spacing w:line="220" w:lineRule="exact" w:before="60"/>
              <w:ind w:left="106"/>
              <w:jc w:val="left"/>
              <w:rPr>
                <w:rFonts w:ascii="Wingdings" w:hAnsi="Wingdings"/>
                <w:sz w:val="18"/>
              </w:rPr>
            </w:pPr>
            <w:r>
              <w:rPr>
                <w:sz w:val="18"/>
              </w:rPr>
              <w:t>建设用地</w:t>
            </w:r>
            <w:r>
              <w:rPr>
                <w:rFonts w:ascii="Wingdings" w:hAnsi="Wingdings"/>
                <w:sz w:val="18"/>
              </w:rPr>
              <w:t></w:t>
            </w:r>
            <w:r>
              <w:rPr>
                <w:sz w:val="18"/>
              </w:rPr>
              <w:t>；农用地</w:t>
            </w:r>
            <w:r>
              <w:rPr>
                <w:rFonts w:ascii="Wingdings" w:hAnsi="Wingdings"/>
                <w:sz w:val="18"/>
              </w:rPr>
              <w:t></w:t>
            </w:r>
            <w:r>
              <w:rPr>
                <w:sz w:val="18"/>
              </w:rPr>
              <w:t>；未利用地</w:t>
            </w:r>
            <w:r>
              <w:rPr>
                <w:rFonts w:ascii="Wingdings" w:hAnsi="Wingdings"/>
                <w:sz w:val="18"/>
              </w:rPr>
              <w:t></w:t>
            </w:r>
          </w:p>
        </w:tc>
        <w:tc>
          <w:tcPr>
            <w:tcW w:w="1433" w:type="dxa"/>
          </w:tcPr>
          <w:p>
            <w:pPr>
              <w:pStyle w:val="TableParagraph"/>
              <w:spacing w:line="220" w:lineRule="exact" w:before="60"/>
              <w:ind w:left="153" w:right="149"/>
              <w:rPr>
                <w:sz w:val="18"/>
              </w:rPr>
            </w:pPr>
            <w:r>
              <w:rPr>
                <w:sz w:val="18"/>
              </w:rPr>
              <w:t>土地利用类型</w:t>
            </w: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59"/>
              <w:ind w:left="169" w:right="168"/>
              <w:rPr>
                <w:sz w:val="18"/>
              </w:rPr>
            </w:pPr>
            <w:r>
              <w:rPr>
                <w:sz w:val="18"/>
              </w:rPr>
              <w:t>占地规模</w:t>
            </w:r>
          </w:p>
        </w:tc>
        <w:tc>
          <w:tcPr>
            <w:tcW w:w="5714" w:type="dxa"/>
            <w:gridSpan w:val="6"/>
          </w:tcPr>
          <w:p>
            <w:pPr>
              <w:pStyle w:val="TableParagraph"/>
              <w:spacing w:line="220" w:lineRule="exact" w:before="59"/>
              <w:ind w:left="106"/>
              <w:jc w:val="left"/>
              <w:rPr>
                <w:rFonts w:ascii="Times New Roman" w:eastAsia="Times New Roman"/>
                <w:sz w:val="12"/>
              </w:rPr>
            </w:pPr>
            <w:r>
              <w:rPr>
                <w:sz w:val="18"/>
              </w:rPr>
              <w:t>（ </w:t>
            </w:r>
            <w:r>
              <w:rPr>
                <w:rFonts w:ascii="Times New Roman" w:eastAsia="Times New Roman"/>
                <w:sz w:val="18"/>
              </w:rPr>
              <w:t>1.33 </w:t>
            </w:r>
            <w:r>
              <w:rPr>
                <w:sz w:val="18"/>
              </w:rPr>
              <w:t>）</w:t>
            </w:r>
            <w:r>
              <w:rPr>
                <w:rFonts w:ascii="Times New Roman" w:eastAsia="Times New Roman"/>
                <w:sz w:val="18"/>
              </w:rPr>
              <w:t>hm</w:t>
            </w:r>
            <w:r>
              <w:rPr>
                <w:rFonts w:ascii="Times New Roman" w:eastAsia="Times New Roman"/>
                <w:position w:val="6"/>
                <w:sz w:val="12"/>
              </w:rPr>
              <w:t>2</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60"/>
              <w:ind w:left="169" w:right="168"/>
              <w:rPr>
                <w:sz w:val="18"/>
              </w:rPr>
            </w:pPr>
            <w:r>
              <w:rPr>
                <w:sz w:val="18"/>
              </w:rPr>
              <w:t>敏感目标信息</w:t>
            </w:r>
          </w:p>
        </w:tc>
        <w:tc>
          <w:tcPr>
            <w:tcW w:w="5714" w:type="dxa"/>
            <w:gridSpan w:val="6"/>
          </w:tcPr>
          <w:p>
            <w:pPr>
              <w:pStyle w:val="TableParagraph"/>
              <w:tabs>
                <w:tab w:pos="1461" w:val="left" w:leader="none"/>
                <w:tab w:pos="2901" w:val="left" w:leader="none"/>
                <w:tab w:pos="4341" w:val="left" w:leader="none"/>
              </w:tabs>
              <w:spacing w:line="220" w:lineRule="exact" w:before="60"/>
              <w:ind w:left="106"/>
              <w:jc w:val="left"/>
              <w:rPr>
                <w:sz w:val="18"/>
              </w:rPr>
            </w:pPr>
            <w:r>
              <w:rPr>
                <w:sz w:val="18"/>
              </w:rPr>
              <w:t>敏感目标（</w:t>
              <w:tab/>
              <w:t>）、方位（</w:t>
              <w:tab/>
              <w:t>）、距离（</w:t>
              <w:tab/>
              <w:t>）</w:t>
            </w:r>
          </w:p>
        </w:tc>
        <w:tc>
          <w:tcPr>
            <w:tcW w:w="1433" w:type="dxa"/>
          </w:tcPr>
          <w:p>
            <w:pPr>
              <w:pStyle w:val="TableParagraph"/>
              <w:jc w:val="left"/>
              <w:rPr>
                <w:rFonts w:ascii="Times New Roman"/>
                <w:sz w:val="18"/>
              </w:rPr>
            </w:pPr>
          </w:p>
        </w:tc>
      </w:tr>
      <w:tr>
        <w:trPr>
          <w:trHeight w:val="364" w:hRule="atLeast"/>
        </w:trPr>
        <w:tc>
          <w:tcPr>
            <w:tcW w:w="413" w:type="dxa"/>
            <w:vMerge/>
            <w:tcBorders>
              <w:top w:val="nil"/>
            </w:tcBorders>
          </w:tcPr>
          <w:p>
            <w:pPr>
              <w:rPr>
                <w:sz w:val="2"/>
                <w:szCs w:val="2"/>
              </w:rPr>
            </w:pPr>
          </w:p>
        </w:tc>
        <w:tc>
          <w:tcPr>
            <w:tcW w:w="1827" w:type="dxa"/>
          </w:tcPr>
          <w:p>
            <w:pPr>
              <w:pStyle w:val="TableParagraph"/>
              <w:spacing w:before="93"/>
              <w:ind w:left="169" w:right="168"/>
              <w:rPr>
                <w:sz w:val="18"/>
              </w:rPr>
            </w:pPr>
            <w:r>
              <w:rPr>
                <w:sz w:val="18"/>
              </w:rPr>
              <w:t>影响途径</w:t>
            </w:r>
          </w:p>
        </w:tc>
        <w:tc>
          <w:tcPr>
            <w:tcW w:w="5714" w:type="dxa"/>
            <w:gridSpan w:val="6"/>
          </w:tcPr>
          <w:p>
            <w:pPr>
              <w:pStyle w:val="TableParagraph"/>
              <w:spacing w:before="93"/>
              <w:ind w:left="106"/>
              <w:jc w:val="left"/>
              <w:rPr>
                <w:sz w:val="18"/>
              </w:rPr>
            </w:pPr>
            <w:r>
              <w:rPr>
                <w:sz w:val="18"/>
              </w:rPr>
              <w:t>大气沉降</w:t>
            </w:r>
            <w:r>
              <w:rPr>
                <w:rFonts w:ascii="Wingdings" w:hAnsi="Wingdings" w:eastAsia="Wingdings"/>
                <w:sz w:val="18"/>
              </w:rPr>
              <w:t></w:t>
            </w:r>
            <w:r>
              <w:rPr>
                <w:sz w:val="18"/>
              </w:rPr>
              <w:t>；地面漫流</w:t>
            </w:r>
            <w:r>
              <w:rPr>
                <w:rFonts w:ascii="Wingdings" w:hAnsi="Wingdings" w:eastAsia="Wingdings"/>
                <w:sz w:val="18"/>
              </w:rPr>
              <w:t></w:t>
            </w:r>
            <w:r>
              <w:rPr>
                <w:sz w:val="18"/>
              </w:rPr>
              <w:t>；垂直入渗</w:t>
            </w:r>
            <w:r>
              <w:rPr>
                <w:rFonts w:ascii="Wingdings" w:hAnsi="Wingdings" w:eastAsia="Wingdings"/>
                <w:sz w:val="18"/>
              </w:rPr>
              <w:t></w:t>
            </w:r>
            <w:r>
              <w:rPr>
                <w:sz w:val="18"/>
              </w:rPr>
              <w:t>；地下水位</w:t>
            </w:r>
            <w:r>
              <w:rPr>
                <w:rFonts w:ascii="Wingdings" w:hAnsi="Wingdings" w:eastAsia="Wingdings"/>
                <w:sz w:val="18"/>
              </w:rPr>
              <w:t></w:t>
            </w:r>
            <w:r>
              <w:rPr>
                <w:sz w:val="18"/>
              </w:rPr>
              <w:t>；其他（ ）</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59"/>
              <w:ind w:left="169" w:right="168"/>
              <w:rPr>
                <w:sz w:val="18"/>
              </w:rPr>
            </w:pPr>
            <w:r>
              <w:rPr>
                <w:sz w:val="18"/>
              </w:rPr>
              <w:t>全部污染因子</w:t>
            </w:r>
          </w:p>
        </w:tc>
        <w:tc>
          <w:tcPr>
            <w:tcW w:w="5714" w:type="dxa"/>
            <w:gridSpan w:val="6"/>
          </w:tcPr>
          <w:p>
            <w:pPr>
              <w:pStyle w:val="TableParagraph"/>
              <w:spacing w:line="220" w:lineRule="exact" w:before="59"/>
              <w:ind w:left="106"/>
              <w:jc w:val="left"/>
              <w:rPr>
                <w:sz w:val="18"/>
              </w:rPr>
            </w:pPr>
            <w:r>
              <w:rPr>
                <w:sz w:val="18"/>
              </w:rPr>
              <w:t>甲酸、颗粒物等</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60"/>
              <w:ind w:left="169" w:right="168"/>
              <w:rPr>
                <w:sz w:val="18"/>
              </w:rPr>
            </w:pPr>
            <w:r>
              <w:rPr>
                <w:sz w:val="18"/>
              </w:rPr>
              <w:t>特征因子</w:t>
            </w:r>
          </w:p>
        </w:tc>
        <w:tc>
          <w:tcPr>
            <w:tcW w:w="5714" w:type="dxa"/>
            <w:gridSpan w:val="6"/>
          </w:tcPr>
          <w:p>
            <w:pPr>
              <w:pStyle w:val="TableParagraph"/>
              <w:spacing w:line="220" w:lineRule="exact" w:before="60"/>
              <w:ind w:left="106"/>
              <w:jc w:val="left"/>
              <w:rPr>
                <w:sz w:val="18"/>
              </w:rPr>
            </w:pPr>
            <w:r>
              <w:rPr>
                <w:sz w:val="18"/>
              </w:rPr>
              <w:t>甲酸</w:t>
            </w:r>
          </w:p>
        </w:tc>
        <w:tc>
          <w:tcPr>
            <w:tcW w:w="1433" w:type="dxa"/>
          </w:tcPr>
          <w:p>
            <w:pPr>
              <w:pStyle w:val="TableParagraph"/>
              <w:jc w:val="left"/>
              <w:rPr>
                <w:rFonts w:ascii="Times New Roman"/>
                <w:sz w:val="18"/>
              </w:rPr>
            </w:pPr>
          </w:p>
        </w:tc>
      </w:tr>
      <w:tr>
        <w:trPr>
          <w:trHeight w:val="599" w:hRule="atLeast"/>
        </w:trPr>
        <w:tc>
          <w:tcPr>
            <w:tcW w:w="413" w:type="dxa"/>
            <w:vMerge/>
            <w:tcBorders>
              <w:top w:val="nil"/>
            </w:tcBorders>
          </w:tcPr>
          <w:p>
            <w:pPr>
              <w:rPr>
                <w:sz w:val="2"/>
                <w:szCs w:val="2"/>
              </w:rPr>
            </w:pPr>
          </w:p>
        </w:tc>
        <w:tc>
          <w:tcPr>
            <w:tcW w:w="1827" w:type="dxa"/>
          </w:tcPr>
          <w:p>
            <w:pPr>
              <w:pStyle w:val="TableParagraph"/>
              <w:spacing w:before="59"/>
              <w:ind w:left="169" w:right="168"/>
              <w:rPr>
                <w:sz w:val="18"/>
              </w:rPr>
            </w:pPr>
            <w:r>
              <w:rPr>
                <w:sz w:val="18"/>
              </w:rPr>
              <w:t>所属土壤环境影响</w:t>
            </w:r>
          </w:p>
          <w:p>
            <w:pPr>
              <w:pStyle w:val="TableParagraph"/>
              <w:spacing w:line="220" w:lineRule="exact" w:before="70"/>
              <w:ind w:left="169" w:right="168"/>
              <w:rPr>
                <w:sz w:val="18"/>
              </w:rPr>
            </w:pPr>
            <w:r>
              <w:rPr>
                <w:sz w:val="18"/>
              </w:rPr>
              <w:t>评价类别</w:t>
            </w:r>
          </w:p>
        </w:tc>
        <w:tc>
          <w:tcPr>
            <w:tcW w:w="5714" w:type="dxa"/>
            <w:gridSpan w:val="6"/>
          </w:tcPr>
          <w:p>
            <w:pPr>
              <w:pStyle w:val="TableParagraph"/>
              <w:spacing w:before="6"/>
              <w:jc w:val="left"/>
              <w:rPr>
                <w:b/>
                <w:sz w:val="16"/>
              </w:rPr>
            </w:pPr>
          </w:p>
          <w:p>
            <w:pPr>
              <w:pStyle w:val="TableParagraph"/>
              <w:ind w:left="106"/>
              <w:jc w:val="left"/>
              <w:rPr>
                <w:rFonts w:ascii="Wingdings" w:hAnsi="Wingdings"/>
                <w:sz w:val="18"/>
              </w:rPr>
            </w:pPr>
            <w:r>
              <w:rPr>
                <w:rFonts w:ascii="Times New Roman" w:hAnsi="Times New Roman"/>
                <w:sz w:val="18"/>
              </w:rPr>
              <w:t>Ⅰ</w:t>
            </w:r>
            <w:r>
              <w:rPr>
                <w:sz w:val="18"/>
              </w:rPr>
              <w:t>类</w:t>
            </w:r>
            <w:r>
              <w:rPr>
                <w:rFonts w:ascii="Wingdings" w:hAnsi="Wingdings"/>
                <w:sz w:val="18"/>
              </w:rPr>
              <w:t></w:t>
            </w:r>
            <w:r>
              <w:rPr>
                <w:sz w:val="18"/>
              </w:rPr>
              <w:t>；</w:t>
            </w:r>
            <w:r>
              <w:rPr>
                <w:rFonts w:ascii="Times New Roman" w:hAnsi="Times New Roman"/>
                <w:sz w:val="18"/>
              </w:rPr>
              <w:t>Ⅱ</w:t>
            </w:r>
            <w:r>
              <w:rPr>
                <w:sz w:val="18"/>
              </w:rPr>
              <w:t>类</w:t>
            </w:r>
            <w:r>
              <w:rPr>
                <w:rFonts w:ascii="Wingdings" w:hAnsi="Wingdings"/>
                <w:sz w:val="18"/>
              </w:rPr>
              <w:t></w:t>
            </w:r>
            <w:r>
              <w:rPr>
                <w:sz w:val="18"/>
              </w:rPr>
              <w:t>；</w:t>
            </w:r>
            <w:r>
              <w:rPr>
                <w:rFonts w:ascii="Times New Roman" w:hAnsi="Times New Roman"/>
                <w:sz w:val="18"/>
              </w:rPr>
              <w:t>Ⅲ</w:t>
            </w:r>
            <w:r>
              <w:rPr>
                <w:sz w:val="18"/>
              </w:rPr>
              <w:t>类</w:t>
            </w:r>
            <w:r>
              <w:rPr>
                <w:rFonts w:ascii="Wingdings" w:hAnsi="Wingdings"/>
                <w:sz w:val="18"/>
              </w:rPr>
              <w:t></w:t>
            </w:r>
            <w:r>
              <w:rPr>
                <w:sz w:val="18"/>
              </w:rPr>
              <w:t>；</w:t>
            </w:r>
            <w:r>
              <w:rPr>
                <w:rFonts w:ascii="Times New Roman" w:hAnsi="Times New Roman"/>
                <w:sz w:val="18"/>
              </w:rPr>
              <w:t>Ⅳ</w:t>
            </w:r>
            <w:r>
              <w:rPr>
                <w:sz w:val="18"/>
              </w:rPr>
              <w:t>类</w:t>
            </w:r>
            <w:r>
              <w:rPr>
                <w:rFonts w:ascii="Wingdings" w:hAnsi="Wingdings"/>
                <w:sz w:val="18"/>
              </w:rPr>
              <w:t></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59"/>
              <w:ind w:left="169" w:right="168"/>
              <w:rPr>
                <w:sz w:val="18"/>
              </w:rPr>
            </w:pPr>
            <w:r>
              <w:rPr>
                <w:sz w:val="18"/>
              </w:rPr>
              <w:t>敏感程度</w:t>
            </w:r>
          </w:p>
        </w:tc>
        <w:tc>
          <w:tcPr>
            <w:tcW w:w="5714" w:type="dxa"/>
            <w:gridSpan w:val="6"/>
          </w:tcPr>
          <w:p>
            <w:pPr>
              <w:pStyle w:val="TableParagraph"/>
              <w:spacing w:line="220" w:lineRule="exact" w:before="59"/>
              <w:ind w:left="106"/>
              <w:jc w:val="left"/>
              <w:rPr>
                <w:rFonts w:ascii="Wingdings" w:hAnsi="Wingdings"/>
                <w:sz w:val="18"/>
              </w:rPr>
            </w:pPr>
            <w:r>
              <w:rPr>
                <w:sz w:val="18"/>
              </w:rPr>
              <w:t>敏感</w:t>
            </w:r>
            <w:r>
              <w:rPr>
                <w:rFonts w:ascii="Wingdings" w:hAnsi="Wingdings"/>
                <w:sz w:val="18"/>
              </w:rPr>
              <w:t></w:t>
            </w:r>
            <w:r>
              <w:rPr>
                <w:sz w:val="18"/>
              </w:rPr>
              <w:t>；较敏感</w:t>
            </w:r>
            <w:r>
              <w:rPr>
                <w:rFonts w:ascii="Wingdings" w:hAnsi="Wingdings"/>
                <w:sz w:val="18"/>
              </w:rPr>
              <w:t></w:t>
            </w:r>
            <w:r>
              <w:rPr>
                <w:sz w:val="18"/>
              </w:rPr>
              <w:t>；不敏感</w:t>
            </w:r>
            <w:r>
              <w:rPr>
                <w:rFonts w:ascii="Wingdings" w:hAnsi="Wingdings"/>
                <w:sz w:val="18"/>
              </w:rPr>
              <w:t></w:t>
            </w:r>
          </w:p>
        </w:tc>
        <w:tc>
          <w:tcPr>
            <w:tcW w:w="1433" w:type="dxa"/>
          </w:tcPr>
          <w:p>
            <w:pPr>
              <w:pStyle w:val="TableParagraph"/>
              <w:jc w:val="left"/>
              <w:rPr>
                <w:rFonts w:ascii="Times New Roman"/>
                <w:sz w:val="18"/>
              </w:rPr>
            </w:pPr>
          </w:p>
        </w:tc>
      </w:tr>
      <w:tr>
        <w:trPr>
          <w:trHeight w:val="302" w:hRule="atLeast"/>
        </w:trPr>
        <w:tc>
          <w:tcPr>
            <w:tcW w:w="2240" w:type="dxa"/>
            <w:gridSpan w:val="2"/>
          </w:tcPr>
          <w:p>
            <w:pPr>
              <w:pStyle w:val="TableParagraph"/>
              <w:spacing w:line="220" w:lineRule="exact" w:before="62"/>
              <w:ind w:left="575"/>
              <w:jc w:val="left"/>
              <w:rPr>
                <w:sz w:val="18"/>
              </w:rPr>
            </w:pPr>
            <w:r>
              <w:rPr>
                <w:sz w:val="18"/>
              </w:rPr>
              <w:t>评价工作等级</w:t>
            </w:r>
          </w:p>
        </w:tc>
        <w:tc>
          <w:tcPr>
            <w:tcW w:w="5714" w:type="dxa"/>
            <w:gridSpan w:val="6"/>
          </w:tcPr>
          <w:p>
            <w:pPr>
              <w:pStyle w:val="TableParagraph"/>
              <w:spacing w:line="220" w:lineRule="exact" w:before="62"/>
              <w:ind w:left="106"/>
              <w:jc w:val="left"/>
              <w:rPr>
                <w:rFonts w:ascii="Wingdings" w:hAnsi="Wingdings"/>
                <w:sz w:val="18"/>
              </w:rPr>
            </w:pPr>
            <w:r>
              <w:rPr>
                <w:sz w:val="18"/>
              </w:rPr>
              <w:t>一级</w:t>
            </w:r>
            <w:r>
              <w:rPr>
                <w:rFonts w:ascii="Wingdings" w:hAnsi="Wingdings"/>
                <w:sz w:val="18"/>
              </w:rPr>
              <w:t></w:t>
            </w:r>
            <w:r>
              <w:rPr>
                <w:sz w:val="18"/>
              </w:rPr>
              <w:t>；二级</w:t>
            </w:r>
            <w:r>
              <w:rPr>
                <w:rFonts w:ascii="Wingdings" w:hAnsi="Wingdings"/>
                <w:sz w:val="18"/>
              </w:rPr>
              <w:t></w:t>
            </w:r>
            <w:r>
              <w:rPr>
                <w:sz w:val="18"/>
              </w:rPr>
              <w:t>；三级</w:t>
            </w:r>
            <w:r>
              <w:rPr>
                <w:rFonts w:ascii="Wingdings" w:hAnsi="Wingdings"/>
                <w:sz w:val="18"/>
              </w:rPr>
              <w:t></w:t>
            </w:r>
          </w:p>
        </w:tc>
        <w:tc>
          <w:tcPr>
            <w:tcW w:w="1433" w:type="dxa"/>
          </w:tcPr>
          <w:p>
            <w:pPr>
              <w:pStyle w:val="TableParagraph"/>
              <w:jc w:val="left"/>
              <w:rPr>
                <w:rFonts w:ascii="Times New Roman"/>
                <w:sz w:val="18"/>
              </w:rPr>
            </w:pPr>
          </w:p>
        </w:tc>
      </w:tr>
      <w:tr>
        <w:trPr>
          <w:trHeight w:val="299" w:hRule="atLeast"/>
        </w:trPr>
        <w:tc>
          <w:tcPr>
            <w:tcW w:w="413" w:type="dxa"/>
            <w:vMerge w:val="restart"/>
          </w:tcPr>
          <w:p>
            <w:pPr>
              <w:pStyle w:val="TableParagraph"/>
              <w:spacing w:before="9"/>
              <w:jc w:val="left"/>
              <w:rPr>
                <w:b/>
                <w:sz w:val="15"/>
              </w:rPr>
            </w:pPr>
          </w:p>
          <w:p>
            <w:pPr>
              <w:pStyle w:val="TableParagraph"/>
              <w:spacing w:line="312" w:lineRule="auto"/>
              <w:ind w:left="112" w:right="108"/>
              <w:jc w:val="both"/>
              <w:rPr>
                <w:sz w:val="18"/>
              </w:rPr>
            </w:pPr>
            <w:r>
              <w:rPr>
                <w:sz w:val="18"/>
              </w:rPr>
              <w:t>现状调查内容</w:t>
            </w:r>
          </w:p>
        </w:tc>
        <w:tc>
          <w:tcPr>
            <w:tcW w:w="1827" w:type="dxa"/>
          </w:tcPr>
          <w:p>
            <w:pPr>
              <w:pStyle w:val="TableParagraph"/>
              <w:spacing w:line="220" w:lineRule="exact" w:before="60"/>
              <w:ind w:left="169" w:right="168"/>
              <w:rPr>
                <w:sz w:val="18"/>
              </w:rPr>
            </w:pPr>
            <w:r>
              <w:rPr>
                <w:sz w:val="18"/>
              </w:rPr>
              <w:t>资料收集</w:t>
            </w:r>
          </w:p>
        </w:tc>
        <w:tc>
          <w:tcPr>
            <w:tcW w:w="5714" w:type="dxa"/>
            <w:gridSpan w:val="6"/>
          </w:tcPr>
          <w:p>
            <w:pPr>
              <w:pStyle w:val="TableParagraph"/>
              <w:spacing w:line="220" w:lineRule="exact" w:before="60"/>
              <w:ind w:left="106"/>
              <w:jc w:val="left"/>
              <w:rPr>
                <w:rFonts w:ascii="Wingdings" w:hAnsi="Wingdings"/>
                <w:sz w:val="18"/>
              </w:rPr>
            </w:pPr>
            <w:r>
              <w:rPr>
                <w:rFonts w:ascii="Times New Roman" w:hAnsi="Times New Roman"/>
                <w:sz w:val="18"/>
              </w:rPr>
              <w:t>a</w:t>
            </w:r>
            <w:r>
              <w:rPr>
                <w:sz w:val="18"/>
              </w:rPr>
              <w:t>）</w:t>
            </w:r>
            <w:r>
              <w:rPr>
                <w:rFonts w:ascii="Wingdings" w:hAnsi="Wingdings"/>
                <w:sz w:val="18"/>
              </w:rPr>
              <w:t></w:t>
            </w:r>
            <w:r>
              <w:rPr>
                <w:sz w:val="18"/>
              </w:rPr>
              <w:t>；</w:t>
            </w:r>
            <w:r>
              <w:rPr>
                <w:rFonts w:ascii="Times New Roman" w:hAnsi="Times New Roman"/>
                <w:sz w:val="18"/>
              </w:rPr>
              <w:t>b</w:t>
            </w:r>
            <w:r>
              <w:rPr>
                <w:sz w:val="18"/>
              </w:rPr>
              <w:t>）</w:t>
            </w:r>
            <w:r>
              <w:rPr>
                <w:rFonts w:ascii="Wingdings" w:hAnsi="Wingdings"/>
                <w:sz w:val="18"/>
              </w:rPr>
              <w:t></w:t>
            </w:r>
            <w:r>
              <w:rPr>
                <w:sz w:val="18"/>
              </w:rPr>
              <w:t>；</w:t>
            </w:r>
            <w:r>
              <w:rPr>
                <w:rFonts w:ascii="Times New Roman" w:hAnsi="Times New Roman"/>
                <w:sz w:val="18"/>
              </w:rPr>
              <w:t>c</w:t>
            </w:r>
            <w:r>
              <w:rPr>
                <w:sz w:val="18"/>
              </w:rPr>
              <w:t>）</w:t>
            </w:r>
            <w:r>
              <w:rPr>
                <w:rFonts w:ascii="Wingdings" w:hAnsi="Wingdings"/>
                <w:sz w:val="18"/>
              </w:rPr>
              <w:t></w:t>
            </w:r>
            <w:r>
              <w:rPr>
                <w:sz w:val="18"/>
              </w:rPr>
              <w:t>；</w:t>
            </w:r>
            <w:r>
              <w:rPr>
                <w:rFonts w:ascii="Times New Roman" w:hAnsi="Times New Roman"/>
                <w:sz w:val="18"/>
              </w:rPr>
              <w:t>d</w:t>
            </w:r>
            <w:r>
              <w:rPr>
                <w:sz w:val="18"/>
              </w:rPr>
              <w:t>）</w:t>
            </w:r>
            <w:r>
              <w:rPr>
                <w:rFonts w:ascii="Wingdings" w:hAnsi="Wingdings"/>
                <w:sz w:val="18"/>
              </w:rPr>
              <w:t></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60"/>
              <w:ind w:left="169" w:right="168"/>
              <w:rPr>
                <w:sz w:val="18"/>
              </w:rPr>
            </w:pPr>
            <w:r>
              <w:rPr>
                <w:sz w:val="18"/>
              </w:rPr>
              <w:t>理化特性</w:t>
            </w:r>
          </w:p>
        </w:tc>
        <w:tc>
          <w:tcPr>
            <w:tcW w:w="5714" w:type="dxa"/>
            <w:gridSpan w:val="6"/>
          </w:tcPr>
          <w:p>
            <w:pPr>
              <w:pStyle w:val="TableParagraph"/>
              <w:spacing w:line="220" w:lineRule="exact" w:before="60"/>
              <w:ind w:left="106"/>
              <w:jc w:val="left"/>
              <w:rPr>
                <w:sz w:val="18"/>
              </w:rPr>
            </w:pPr>
            <w:r>
              <w:rPr>
                <w:sz w:val="18"/>
              </w:rPr>
              <w:t>机械组成、阳离子交换量、容重、氧化还原电位</w:t>
            </w:r>
          </w:p>
        </w:tc>
        <w:tc>
          <w:tcPr>
            <w:tcW w:w="1433" w:type="dxa"/>
          </w:tcPr>
          <w:p>
            <w:pPr>
              <w:pStyle w:val="TableParagraph"/>
              <w:spacing w:line="220" w:lineRule="exact" w:before="60"/>
              <w:ind w:left="151" w:right="149"/>
              <w:rPr>
                <w:rFonts w:ascii="Times New Roman" w:eastAsia="Times New Roman"/>
                <w:sz w:val="18"/>
              </w:rPr>
            </w:pPr>
            <w:r>
              <w:rPr>
                <w:sz w:val="18"/>
              </w:rPr>
              <w:t>同附录</w:t>
            </w:r>
            <w:r>
              <w:rPr>
                <w:rFonts w:ascii="Times New Roman" w:eastAsia="Times New Roman"/>
                <w:sz w:val="18"/>
              </w:rPr>
              <w:t>C</w:t>
            </w:r>
          </w:p>
        </w:tc>
      </w:tr>
      <w:tr>
        <w:trPr>
          <w:trHeight w:val="299" w:hRule="atLeast"/>
        </w:trPr>
        <w:tc>
          <w:tcPr>
            <w:tcW w:w="413" w:type="dxa"/>
            <w:vMerge/>
            <w:tcBorders>
              <w:top w:val="nil"/>
            </w:tcBorders>
          </w:tcPr>
          <w:p>
            <w:pPr>
              <w:rPr>
                <w:sz w:val="2"/>
                <w:szCs w:val="2"/>
              </w:rPr>
            </w:pPr>
          </w:p>
        </w:tc>
        <w:tc>
          <w:tcPr>
            <w:tcW w:w="1827" w:type="dxa"/>
            <w:vMerge w:val="restart"/>
          </w:tcPr>
          <w:p>
            <w:pPr>
              <w:pStyle w:val="TableParagraph"/>
              <w:jc w:val="left"/>
              <w:rPr>
                <w:b/>
                <w:sz w:val="18"/>
              </w:rPr>
            </w:pPr>
          </w:p>
          <w:p>
            <w:pPr>
              <w:pStyle w:val="TableParagraph"/>
              <w:spacing w:before="138"/>
              <w:ind w:left="369"/>
              <w:jc w:val="left"/>
              <w:rPr>
                <w:sz w:val="18"/>
              </w:rPr>
            </w:pPr>
            <w:r>
              <w:rPr>
                <w:sz w:val="18"/>
              </w:rPr>
              <w:t>现状监测点位</w:t>
            </w:r>
          </w:p>
        </w:tc>
        <w:tc>
          <w:tcPr>
            <w:tcW w:w="1429" w:type="dxa"/>
          </w:tcPr>
          <w:p>
            <w:pPr>
              <w:pStyle w:val="TableParagraph"/>
              <w:jc w:val="left"/>
              <w:rPr>
                <w:rFonts w:ascii="Times New Roman"/>
                <w:sz w:val="18"/>
              </w:rPr>
            </w:pPr>
          </w:p>
        </w:tc>
        <w:tc>
          <w:tcPr>
            <w:tcW w:w="1428" w:type="dxa"/>
            <w:gridSpan w:val="2"/>
          </w:tcPr>
          <w:p>
            <w:pPr>
              <w:pStyle w:val="TableParagraph"/>
              <w:spacing w:line="220" w:lineRule="exact" w:before="59"/>
              <w:ind w:left="262"/>
              <w:jc w:val="left"/>
              <w:rPr>
                <w:sz w:val="18"/>
              </w:rPr>
            </w:pPr>
            <w:r>
              <w:rPr>
                <w:sz w:val="18"/>
              </w:rPr>
              <w:t>占地范围内</w:t>
            </w:r>
          </w:p>
        </w:tc>
        <w:tc>
          <w:tcPr>
            <w:tcW w:w="1429" w:type="dxa"/>
            <w:gridSpan w:val="2"/>
          </w:tcPr>
          <w:p>
            <w:pPr>
              <w:pStyle w:val="TableParagraph"/>
              <w:spacing w:line="220" w:lineRule="exact" w:before="59"/>
              <w:ind w:left="262"/>
              <w:jc w:val="left"/>
              <w:rPr>
                <w:sz w:val="18"/>
              </w:rPr>
            </w:pPr>
            <w:r>
              <w:rPr>
                <w:sz w:val="18"/>
              </w:rPr>
              <w:t>占地范围外</w:t>
            </w:r>
          </w:p>
        </w:tc>
        <w:tc>
          <w:tcPr>
            <w:tcW w:w="1428" w:type="dxa"/>
          </w:tcPr>
          <w:p>
            <w:pPr>
              <w:pStyle w:val="TableParagraph"/>
              <w:spacing w:line="220" w:lineRule="exact" w:before="59"/>
              <w:ind w:left="413" w:right="410"/>
              <w:rPr>
                <w:sz w:val="18"/>
              </w:rPr>
            </w:pPr>
            <w:r>
              <w:rPr>
                <w:sz w:val="18"/>
              </w:rPr>
              <w:t>深度</w:t>
            </w:r>
          </w:p>
        </w:tc>
        <w:tc>
          <w:tcPr>
            <w:tcW w:w="1433" w:type="dxa"/>
            <w:vMerge w:val="restart"/>
          </w:tcPr>
          <w:p>
            <w:pPr>
              <w:pStyle w:val="TableParagraph"/>
              <w:jc w:val="left"/>
              <w:rPr>
                <w:b/>
                <w:sz w:val="18"/>
              </w:rPr>
            </w:pPr>
          </w:p>
          <w:p>
            <w:pPr>
              <w:pStyle w:val="TableParagraph"/>
              <w:spacing w:before="138"/>
              <w:ind w:left="262"/>
              <w:jc w:val="left"/>
              <w:rPr>
                <w:sz w:val="18"/>
              </w:rPr>
            </w:pPr>
            <w:r>
              <w:rPr>
                <w:sz w:val="18"/>
              </w:rPr>
              <w:t>点位布置图</w:t>
            </w:r>
          </w:p>
        </w:tc>
      </w:tr>
      <w:tr>
        <w:trPr>
          <w:trHeight w:val="299" w:hRule="atLeast"/>
        </w:trPr>
        <w:tc>
          <w:tcPr>
            <w:tcW w:w="413" w:type="dxa"/>
            <w:vMerge/>
            <w:tcBorders>
              <w:top w:val="nil"/>
            </w:tcBorders>
          </w:tcPr>
          <w:p>
            <w:pPr>
              <w:rPr>
                <w:sz w:val="2"/>
                <w:szCs w:val="2"/>
              </w:rPr>
            </w:pPr>
          </w:p>
        </w:tc>
        <w:tc>
          <w:tcPr>
            <w:tcW w:w="1827" w:type="dxa"/>
            <w:vMerge/>
            <w:tcBorders>
              <w:top w:val="nil"/>
            </w:tcBorders>
          </w:tcPr>
          <w:p>
            <w:pPr>
              <w:rPr>
                <w:sz w:val="2"/>
                <w:szCs w:val="2"/>
              </w:rPr>
            </w:pPr>
          </w:p>
        </w:tc>
        <w:tc>
          <w:tcPr>
            <w:tcW w:w="1429" w:type="dxa"/>
          </w:tcPr>
          <w:p>
            <w:pPr>
              <w:pStyle w:val="TableParagraph"/>
              <w:spacing w:line="220" w:lineRule="exact" w:before="59"/>
              <w:ind w:left="262"/>
              <w:jc w:val="left"/>
              <w:rPr>
                <w:sz w:val="18"/>
              </w:rPr>
            </w:pPr>
            <w:r>
              <w:rPr>
                <w:sz w:val="18"/>
              </w:rPr>
              <w:t>表层样点数</w:t>
            </w:r>
          </w:p>
        </w:tc>
        <w:tc>
          <w:tcPr>
            <w:tcW w:w="1428" w:type="dxa"/>
            <w:gridSpan w:val="2"/>
          </w:tcPr>
          <w:p>
            <w:pPr>
              <w:pStyle w:val="TableParagraph"/>
              <w:spacing w:before="71"/>
              <w:ind w:left="3"/>
              <w:rPr>
                <w:rFonts w:ascii="Times New Roman"/>
                <w:sz w:val="18"/>
              </w:rPr>
            </w:pPr>
            <w:r>
              <w:rPr>
                <w:rFonts w:ascii="Times New Roman"/>
                <w:sz w:val="18"/>
              </w:rPr>
              <w:t>1</w:t>
            </w:r>
          </w:p>
        </w:tc>
        <w:tc>
          <w:tcPr>
            <w:tcW w:w="1429" w:type="dxa"/>
            <w:gridSpan w:val="2"/>
          </w:tcPr>
          <w:p>
            <w:pPr>
              <w:pStyle w:val="TableParagraph"/>
              <w:spacing w:before="71"/>
              <w:ind w:left="3"/>
              <w:rPr>
                <w:rFonts w:ascii="Times New Roman"/>
                <w:sz w:val="18"/>
              </w:rPr>
            </w:pPr>
            <w:r>
              <w:rPr>
                <w:rFonts w:ascii="Times New Roman"/>
                <w:sz w:val="18"/>
              </w:rPr>
              <w:t>2</w:t>
            </w:r>
          </w:p>
        </w:tc>
        <w:tc>
          <w:tcPr>
            <w:tcW w:w="1428" w:type="dxa"/>
          </w:tcPr>
          <w:p>
            <w:pPr>
              <w:pStyle w:val="TableParagraph"/>
              <w:spacing w:before="71"/>
              <w:ind w:left="415" w:right="410"/>
              <w:rPr>
                <w:rFonts w:ascii="Times New Roman"/>
                <w:sz w:val="18"/>
              </w:rPr>
            </w:pPr>
            <w:r>
              <w:rPr>
                <w:rFonts w:ascii="Times New Roman"/>
                <w:sz w:val="18"/>
              </w:rPr>
              <w:t>0~0.2m</w:t>
            </w:r>
          </w:p>
        </w:tc>
        <w:tc>
          <w:tcPr>
            <w:tcW w:w="1433" w:type="dxa"/>
            <w:vMerge/>
            <w:tcBorders>
              <w:top w:val="nil"/>
            </w:tcBorders>
          </w:tcPr>
          <w:p>
            <w:pPr>
              <w:rPr>
                <w:sz w:val="2"/>
                <w:szCs w:val="2"/>
              </w:rPr>
            </w:pPr>
          </w:p>
        </w:tc>
      </w:tr>
      <w:tr>
        <w:trPr>
          <w:trHeight w:val="299" w:hRule="atLeast"/>
        </w:trPr>
        <w:tc>
          <w:tcPr>
            <w:tcW w:w="413" w:type="dxa"/>
            <w:vMerge/>
            <w:tcBorders>
              <w:top w:val="nil"/>
            </w:tcBorders>
          </w:tcPr>
          <w:p>
            <w:pPr>
              <w:rPr>
                <w:sz w:val="2"/>
                <w:szCs w:val="2"/>
              </w:rPr>
            </w:pPr>
          </w:p>
        </w:tc>
        <w:tc>
          <w:tcPr>
            <w:tcW w:w="1827" w:type="dxa"/>
            <w:vMerge/>
            <w:tcBorders>
              <w:top w:val="nil"/>
            </w:tcBorders>
          </w:tcPr>
          <w:p>
            <w:pPr>
              <w:rPr>
                <w:sz w:val="2"/>
                <w:szCs w:val="2"/>
              </w:rPr>
            </w:pPr>
          </w:p>
        </w:tc>
        <w:tc>
          <w:tcPr>
            <w:tcW w:w="1429" w:type="dxa"/>
          </w:tcPr>
          <w:p>
            <w:pPr>
              <w:pStyle w:val="TableParagraph"/>
              <w:spacing w:line="220" w:lineRule="exact" w:before="60"/>
              <w:ind w:left="262"/>
              <w:jc w:val="left"/>
              <w:rPr>
                <w:sz w:val="18"/>
              </w:rPr>
            </w:pPr>
            <w:r>
              <w:rPr>
                <w:sz w:val="18"/>
              </w:rPr>
              <w:t>柱状样点数</w:t>
            </w:r>
          </w:p>
        </w:tc>
        <w:tc>
          <w:tcPr>
            <w:tcW w:w="1428" w:type="dxa"/>
            <w:gridSpan w:val="2"/>
          </w:tcPr>
          <w:p>
            <w:pPr>
              <w:pStyle w:val="TableParagraph"/>
              <w:spacing w:before="71"/>
              <w:ind w:left="3"/>
              <w:rPr>
                <w:rFonts w:ascii="Times New Roman"/>
                <w:sz w:val="18"/>
              </w:rPr>
            </w:pPr>
            <w:r>
              <w:rPr>
                <w:rFonts w:ascii="Times New Roman"/>
                <w:sz w:val="18"/>
              </w:rPr>
              <w:t>3</w:t>
            </w:r>
          </w:p>
        </w:tc>
        <w:tc>
          <w:tcPr>
            <w:tcW w:w="1429" w:type="dxa"/>
            <w:gridSpan w:val="2"/>
          </w:tcPr>
          <w:p>
            <w:pPr>
              <w:pStyle w:val="TableParagraph"/>
              <w:spacing w:before="71"/>
              <w:ind w:left="3"/>
              <w:rPr>
                <w:rFonts w:ascii="Times New Roman"/>
                <w:sz w:val="18"/>
              </w:rPr>
            </w:pPr>
            <w:r>
              <w:rPr>
                <w:rFonts w:ascii="Times New Roman"/>
                <w:sz w:val="18"/>
              </w:rPr>
              <w:t>0</w:t>
            </w:r>
          </w:p>
        </w:tc>
        <w:tc>
          <w:tcPr>
            <w:tcW w:w="1428" w:type="dxa"/>
          </w:tcPr>
          <w:p>
            <w:pPr>
              <w:pStyle w:val="TableParagraph"/>
              <w:spacing w:before="71"/>
              <w:ind w:left="415" w:right="408"/>
              <w:rPr>
                <w:rFonts w:ascii="Times New Roman"/>
                <w:sz w:val="18"/>
              </w:rPr>
            </w:pPr>
            <w:r>
              <w:rPr>
                <w:rFonts w:ascii="Times New Roman"/>
                <w:sz w:val="18"/>
              </w:rPr>
              <w:t>~6m</w:t>
            </w:r>
          </w:p>
        </w:tc>
        <w:tc>
          <w:tcPr>
            <w:tcW w:w="1433" w:type="dxa"/>
            <w:vMerge/>
            <w:tcBorders>
              <w:top w:val="nil"/>
            </w:tcBorders>
          </w:tcPr>
          <w:p>
            <w:pPr>
              <w:rPr>
                <w:sz w:val="2"/>
                <w:szCs w:val="2"/>
              </w:rPr>
            </w:pPr>
          </w:p>
        </w:tc>
      </w:tr>
      <w:tr>
        <w:trPr>
          <w:trHeight w:val="534" w:hRule="atLeast"/>
        </w:trPr>
        <w:tc>
          <w:tcPr>
            <w:tcW w:w="413" w:type="dxa"/>
            <w:vMerge/>
            <w:tcBorders>
              <w:top w:val="nil"/>
            </w:tcBorders>
          </w:tcPr>
          <w:p>
            <w:pPr>
              <w:rPr>
                <w:sz w:val="2"/>
                <w:szCs w:val="2"/>
              </w:rPr>
            </w:pPr>
          </w:p>
        </w:tc>
        <w:tc>
          <w:tcPr>
            <w:tcW w:w="1827" w:type="dxa"/>
          </w:tcPr>
          <w:p>
            <w:pPr>
              <w:pStyle w:val="TableParagraph"/>
              <w:spacing w:before="10"/>
              <w:jc w:val="left"/>
              <w:rPr>
                <w:b/>
                <w:sz w:val="13"/>
              </w:rPr>
            </w:pPr>
          </w:p>
          <w:p>
            <w:pPr>
              <w:pStyle w:val="TableParagraph"/>
              <w:spacing w:before="1"/>
              <w:ind w:left="169" w:right="168"/>
              <w:rPr>
                <w:sz w:val="18"/>
              </w:rPr>
            </w:pPr>
            <w:r>
              <w:rPr>
                <w:sz w:val="18"/>
              </w:rPr>
              <w:t>现状监测因子</w:t>
            </w:r>
          </w:p>
        </w:tc>
        <w:tc>
          <w:tcPr>
            <w:tcW w:w="5714" w:type="dxa"/>
            <w:gridSpan w:val="6"/>
          </w:tcPr>
          <w:p>
            <w:pPr>
              <w:pStyle w:val="TableParagraph"/>
              <w:spacing w:before="2"/>
              <w:ind w:left="61" w:right="56"/>
              <w:rPr>
                <w:sz w:val="18"/>
              </w:rPr>
            </w:pPr>
            <w:r>
              <w:rPr>
                <w:sz w:val="18"/>
              </w:rPr>
              <w:t>常规因子：</w:t>
            </w:r>
            <w:r>
              <w:rPr>
                <w:rFonts w:ascii="Times New Roman" w:eastAsia="Times New Roman"/>
                <w:sz w:val="18"/>
              </w:rPr>
              <w:t>GB36600-2018 </w:t>
            </w:r>
            <w:r>
              <w:rPr>
                <w:sz w:val="18"/>
              </w:rPr>
              <w:t>中表 </w:t>
            </w:r>
            <w:r>
              <w:rPr>
                <w:rFonts w:ascii="Times New Roman" w:eastAsia="Times New Roman"/>
                <w:sz w:val="18"/>
              </w:rPr>
              <w:t>1 </w:t>
            </w:r>
            <w:r>
              <w:rPr>
                <w:sz w:val="18"/>
              </w:rPr>
              <w:t>所列必测的 </w:t>
            </w:r>
            <w:r>
              <w:rPr>
                <w:rFonts w:ascii="Times New Roman" w:eastAsia="Times New Roman"/>
                <w:sz w:val="18"/>
              </w:rPr>
              <w:t>45 </w:t>
            </w:r>
            <w:r>
              <w:rPr>
                <w:sz w:val="18"/>
              </w:rPr>
              <w:t>种基本项目；</w:t>
            </w:r>
          </w:p>
          <w:p>
            <w:pPr>
              <w:pStyle w:val="TableParagraph"/>
              <w:spacing w:line="220" w:lineRule="exact" w:before="62"/>
              <w:ind w:left="63" w:right="56"/>
              <w:rPr>
                <w:sz w:val="18"/>
              </w:rPr>
            </w:pPr>
            <w:r>
              <w:rPr>
                <w:sz w:val="18"/>
              </w:rPr>
              <w:t>特征因子：</w:t>
            </w:r>
            <w:r>
              <w:rPr>
                <w:rFonts w:ascii="Times New Roman" w:eastAsia="Times New Roman"/>
                <w:sz w:val="18"/>
              </w:rPr>
              <w:t>pH</w:t>
            </w:r>
            <w:r>
              <w:rPr>
                <w:sz w:val="18"/>
              </w:rPr>
              <w:t>值、石油烃（</w:t>
            </w:r>
            <w:r>
              <w:rPr>
                <w:rFonts w:ascii="Times New Roman" w:eastAsia="Times New Roman"/>
                <w:sz w:val="18"/>
              </w:rPr>
              <w:t>C10-C40</w:t>
            </w:r>
            <w:r>
              <w:rPr>
                <w:sz w:val="18"/>
              </w:rPr>
              <w:t>）</w:t>
            </w:r>
          </w:p>
        </w:tc>
        <w:tc>
          <w:tcPr>
            <w:tcW w:w="1433" w:type="dxa"/>
          </w:tcPr>
          <w:p>
            <w:pPr>
              <w:pStyle w:val="TableParagraph"/>
              <w:jc w:val="left"/>
              <w:rPr>
                <w:rFonts w:ascii="Times New Roman"/>
                <w:sz w:val="18"/>
              </w:rPr>
            </w:pPr>
          </w:p>
        </w:tc>
      </w:tr>
      <w:tr>
        <w:trPr>
          <w:trHeight w:val="532" w:hRule="atLeast"/>
        </w:trPr>
        <w:tc>
          <w:tcPr>
            <w:tcW w:w="413" w:type="dxa"/>
            <w:vMerge w:val="restart"/>
          </w:tcPr>
          <w:p>
            <w:pPr>
              <w:pStyle w:val="TableParagraph"/>
              <w:spacing w:before="2"/>
              <w:jc w:val="left"/>
              <w:rPr>
                <w:b/>
                <w:sz w:val="26"/>
              </w:rPr>
            </w:pPr>
          </w:p>
          <w:p>
            <w:pPr>
              <w:pStyle w:val="TableParagraph"/>
              <w:spacing w:line="312" w:lineRule="auto"/>
              <w:ind w:left="112" w:right="108"/>
              <w:jc w:val="both"/>
              <w:rPr>
                <w:sz w:val="18"/>
              </w:rPr>
            </w:pPr>
            <w:r>
              <w:rPr>
                <w:sz w:val="18"/>
              </w:rPr>
              <w:t>现状评价</w:t>
            </w:r>
          </w:p>
        </w:tc>
        <w:tc>
          <w:tcPr>
            <w:tcW w:w="1827" w:type="dxa"/>
          </w:tcPr>
          <w:p>
            <w:pPr>
              <w:pStyle w:val="TableParagraph"/>
              <w:spacing w:before="10"/>
              <w:jc w:val="left"/>
              <w:rPr>
                <w:b/>
                <w:sz w:val="13"/>
              </w:rPr>
            </w:pPr>
          </w:p>
          <w:p>
            <w:pPr>
              <w:pStyle w:val="TableParagraph"/>
              <w:spacing w:before="1"/>
              <w:ind w:left="169" w:right="168"/>
              <w:rPr>
                <w:sz w:val="18"/>
              </w:rPr>
            </w:pPr>
            <w:r>
              <w:rPr>
                <w:sz w:val="18"/>
              </w:rPr>
              <w:t>评级因子</w:t>
            </w:r>
          </w:p>
        </w:tc>
        <w:tc>
          <w:tcPr>
            <w:tcW w:w="5714" w:type="dxa"/>
            <w:gridSpan w:val="6"/>
          </w:tcPr>
          <w:p>
            <w:pPr>
              <w:pStyle w:val="TableParagraph"/>
              <w:ind w:left="58" w:right="56"/>
              <w:rPr>
                <w:sz w:val="18"/>
              </w:rPr>
            </w:pPr>
            <w:r>
              <w:rPr>
                <w:sz w:val="18"/>
              </w:rPr>
              <w:t>常规因子：</w:t>
            </w:r>
            <w:r>
              <w:rPr>
                <w:rFonts w:ascii="Times New Roman" w:eastAsia="Times New Roman"/>
                <w:sz w:val="18"/>
              </w:rPr>
              <w:t>GB36600-2018 </w:t>
            </w:r>
            <w:r>
              <w:rPr>
                <w:sz w:val="18"/>
              </w:rPr>
              <w:t>中表 </w:t>
            </w:r>
            <w:r>
              <w:rPr>
                <w:rFonts w:ascii="Times New Roman" w:eastAsia="Times New Roman"/>
                <w:sz w:val="18"/>
              </w:rPr>
              <w:t>1 </w:t>
            </w:r>
            <w:r>
              <w:rPr>
                <w:sz w:val="18"/>
              </w:rPr>
              <w:t>所列必测的 </w:t>
            </w:r>
            <w:r>
              <w:rPr>
                <w:rFonts w:ascii="Times New Roman" w:eastAsia="Times New Roman"/>
                <w:sz w:val="18"/>
              </w:rPr>
              <w:t>45 </w:t>
            </w:r>
            <w:r>
              <w:rPr>
                <w:sz w:val="18"/>
              </w:rPr>
              <w:t>种基本项目；</w:t>
            </w:r>
          </w:p>
          <w:p>
            <w:pPr>
              <w:pStyle w:val="TableParagraph"/>
              <w:spacing w:line="220" w:lineRule="exact" w:before="62"/>
              <w:ind w:left="63" w:right="56"/>
              <w:rPr>
                <w:sz w:val="18"/>
              </w:rPr>
            </w:pPr>
            <w:r>
              <w:rPr>
                <w:sz w:val="18"/>
              </w:rPr>
              <w:t>特征因子：</w:t>
            </w:r>
            <w:r>
              <w:rPr>
                <w:rFonts w:ascii="Times New Roman" w:eastAsia="Times New Roman"/>
                <w:sz w:val="18"/>
              </w:rPr>
              <w:t>pH</w:t>
            </w:r>
            <w:r>
              <w:rPr>
                <w:sz w:val="18"/>
              </w:rPr>
              <w:t>值、石油烃（</w:t>
            </w:r>
            <w:r>
              <w:rPr>
                <w:rFonts w:ascii="Times New Roman" w:eastAsia="Times New Roman"/>
                <w:sz w:val="18"/>
              </w:rPr>
              <w:t>C10-C40</w:t>
            </w:r>
            <w:r>
              <w:rPr>
                <w:sz w:val="18"/>
              </w:rPr>
              <w:t>）</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59"/>
              <w:ind w:left="169" w:right="168"/>
              <w:rPr>
                <w:sz w:val="18"/>
              </w:rPr>
            </w:pPr>
            <w:r>
              <w:rPr>
                <w:sz w:val="18"/>
              </w:rPr>
              <w:t>评价标准</w:t>
            </w:r>
          </w:p>
        </w:tc>
        <w:tc>
          <w:tcPr>
            <w:tcW w:w="5714" w:type="dxa"/>
            <w:gridSpan w:val="6"/>
          </w:tcPr>
          <w:p>
            <w:pPr>
              <w:pStyle w:val="TableParagraph"/>
              <w:tabs>
                <w:tab w:pos="4571" w:val="left" w:leader="none"/>
              </w:tabs>
              <w:spacing w:line="220" w:lineRule="exact" w:before="59"/>
              <w:ind w:left="106"/>
              <w:jc w:val="left"/>
              <w:rPr>
                <w:sz w:val="18"/>
              </w:rPr>
            </w:pPr>
            <w:r>
              <w:rPr>
                <w:rFonts w:ascii="Times New Roman" w:hAnsi="Times New Roman" w:eastAsia="Times New Roman"/>
                <w:sz w:val="18"/>
              </w:rPr>
              <w:t>GB15618</w:t>
            </w:r>
            <w:r>
              <w:rPr>
                <w:rFonts w:ascii="Wingdings" w:hAnsi="Wingdings" w:eastAsia="Wingdings"/>
                <w:sz w:val="18"/>
              </w:rPr>
              <w:t></w:t>
            </w:r>
            <w:r>
              <w:rPr>
                <w:sz w:val="18"/>
              </w:rPr>
              <w:t>；</w:t>
            </w:r>
            <w:r>
              <w:rPr>
                <w:rFonts w:ascii="Times New Roman" w:hAnsi="Times New Roman" w:eastAsia="Times New Roman"/>
                <w:sz w:val="18"/>
              </w:rPr>
              <w:t>GB36600</w:t>
            </w:r>
            <w:r>
              <w:rPr>
                <w:rFonts w:ascii="Wingdings" w:hAnsi="Wingdings" w:eastAsia="Wingdings"/>
                <w:sz w:val="18"/>
              </w:rPr>
              <w:t></w:t>
            </w:r>
            <w:r>
              <w:rPr>
                <w:sz w:val="18"/>
              </w:rPr>
              <w:t>；表</w:t>
            </w:r>
            <w:r>
              <w:rPr>
                <w:rFonts w:ascii="Times New Roman" w:hAnsi="Times New Roman" w:eastAsia="Times New Roman"/>
                <w:sz w:val="18"/>
              </w:rPr>
              <w:t>D.1</w:t>
            </w:r>
            <w:r>
              <w:rPr>
                <w:rFonts w:ascii="Wingdings" w:hAnsi="Wingdings" w:eastAsia="Wingdings"/>
                <w:sz w:val="18"/>
              </w:rPr>
              <w:t></w:t>
            </w:r>
            <w:r>
              <w:rPr>
                <w:sz w:val="18"/>
              </w:rPr>
              <w:t>；表</w:t>
            </w:r>
            <w:r>
              <w:rPr>
                <w:rFonts w:ascii="Times New Roman" w:hAnsi="Times New Roman" w:eastAsia="Times New Roman"/>
                <w:sz w:val="18"/>
              </w:rPr>
              <w:t>D.2</w:t>
            </w:r>
            <w:r>
              <w:rPr>
                <w:rFonts w:ascii="Wingdings" w:hAnsi="Wingdings" w:eastAsia="Wingdings"/>
                <w:sz w:val="18"/>
              </w:rPr>
              <w:t></w:t>
            </w:r>
            <w:r>
              <w:rPr>
                <w:sz w:val="18"/>
              </w:rPr>
              <w:t>；其他（</w:t>
              <w:tab/>
              <w:t>）</w:t>
            </w:r>
          </w:p>
        </w:tc>
        <w:tc>
          <w:tcPr>
            <w:tcW w:w="1433" w:type="dxa"/>
          </w:tcPr>
          <w:p>
            <w:pPr>
              <w:pStyle w:val="TableParagraph"/>
              <w:jc w:val="left"/>
              <w:rPr>
                <w:rFonts w:ascii="Times New Roman"/>
                <w:sz w:val="18"/>
              </w:rPr>
            </w:pPr>
          </w:p>
        </w:tc>
      </w:tr>
      <w:tr>
        <w:trPr>
          <w:trHeight w:val="902" w:hRule="atLeast"/>
        </w:trPr>
        <w:tc>
          <w:tcPr>
            <w:tcW w:w="413" w:type="dxa"/>
            <w:vMerge/>
            <w:tcBorders>
              <w:top w:val="nil"/>
            </w:tcBorders>
          </w:tcPr>
          <w:p>
            <w:pPr>
              <w:rPr>
                <w:sz w:val="2"/>
                <w:szCs w:val="2"/>
              </w:rPr>
            </w:pPr>
          </w:p>
        </w:tc>
        <w:tc>
          <w:tcPr>
            <w:tcW w:w="1827" w:type="dxa"/>
          </w:tcPr>
          <w:p>
            <w:pPr>
              <w:pStyle w:val="TableParagraph"/>
              <w:jc w:val="left"/>
              <w:rPr>
                <w:b/>
                <w:sz w:val="18"/>
              </w:rPr>
            </w:pPr>
          </w:p>
          <w:p>
            <w:pPr>
              <w:pStyle w:val="TableParagraph"/>
              <w:spacing w:before="132"/>
              <w:ind w:left="169" w:right="168"/>
              <w:rPr>
                <w:sz w:val="18"/>
              </w:rPr>
            </w:pPr>
            <w:r>
              <w:rPr>
                <w:sz w:val="18"/>
              </w:rPr>
              <w:t>现状评价结论</w:t>
            </w:r>
          </w:p>
        </w:tc>
        <w:tc>
          <w:tcPr>
            <w:tcW w:w="5714" w:type="dxa"/>
            <w:gridSpan w:val="6"/>
          </w:tcPr>
          <w:p>
            <w:pPr>
              <w:pStyle w:val="TableParagraph"/>
              <w:spacing w:line="300" w:lineRule="exact" w:before="2"/>
              <w:ind w:left="66" w:right="56"/>
              <w:rPr>
                <w:sz w:val="18"/>
              </w:rPr>
            </w:pPr>
            <w:r>
              <w:rPr>
                <w:sz w:val="18"/>
              </w:rPr>
              <w:t>项目所在区域范围内土壤能达到环境功能区划要求，可以达到《土壤环境质量 建设用地土壤污染风险管控标准</w:t>
            </w:r>
            <w:r>
              <w:rPr>
                <w:rFonts w:ascii="Times New Roman" w:eastAsia="Times New Roman"/>
                <w:sz w:val="18"/>
              </w:rPr>
              <w:t>(</w:t>
            </w:r>
            <w:r>
              <w:rPr>
                <w:sz w:val="18"/>
              </w:rPr>
              <w:t>试行</w:t>
            </w:r>
            <w:r>
              <w:rPr>
                <w:rFonts w:ascii="Times New Roman" w:eastAsia="Times New Roman"/>
                <w:sz w:val="18"/>
              </w:rPr>
              <w:t>)</w:t>
            </w:r>
            <w:r>
              <w:rPr>
                <w:sz w:val="18"/>
              </w:rPr>
              <w:t>》</w:t>
            </w:r>
            <w:r>
              <w:rPr>
                <w:rFonts w:ascii="Times New Roman" w:eastAsia="Times New Roman"/>
                <w:sz w:val="18"/>
              </w:rPr>
              <w:t>(GB36600-2018)</w:t>
            </w:r>
            <w:r>
              <w:rPr>
                <w:sz w:val="18"/>
              </w:rPr>
              <w:t>筛选值限值要求，项目所在地土壤现状环境质量较好</w:t>
            </w:r>
          </w:p>
        </w:tc>
        <w:tc>
          <w:tcPr>
            <w:tcW w:w="1433" w:type="dxa"/>
          </w:tcPr>
          <w:p>
            <w:pPr>
              <w:pStyle w:val="TableParagraph"/>
              <w:jc w:val="left"/>
              <w:rPr>
                <w:rFonts w:ascii="Times New Roman"/>
                <w:sz w:val="18"/>
              </w:rPr>
            </w:pPr>
          </w:p>
        </w:tc>
      </w:tr>
      <w:tr>
        <w:trPr>
          <w:trHeight w:val="299" w:hRule="atLeast"/>
        </w:trPr>
        <w:tc>
          <w:tcPr>
            <w:tcW w:w="413" w:type="dxa"/>
            <w:vMerge w:val="restart"/>
          </w:tcPr>
          <w:p>
            <w:pPr>
              <w:pStyle w:val="TableParagraph"/>
              <w:jc w:val="left"/>
              <w:rPr>
                <w:b/>
                <w:sz w:val="18"/>
              </w:rPr>
            </w:pPr>
          </w:p>
          <w:p>
            <w:pPr>
              <w:pStyle w:val="TableParagraph"/>
              <w:spacing w:line="312" w:lineRule="auto" w:before="143"/>
              <w:ind w:left="112" w:right="108"/>
              <w:jc w:val="both"/>
              <w:rPr>
                <w:sz w:val="18"/>
              </w:rPr>
            </w:pPr>
            <w:r>
              <w:rPr>
                <w:sz w:val="18"/>
              </w:rPr>
              <w:t>影响预测</w:t>
            </w:r>
          </w:p>
        </w:tc>
        <w:tc>
          <w:tcPr>
            <w:tcW w:w="1827" w:type="dxa"/>
          </w:tcPr>
          <w:p>
            <w:pPr>
              <w:pStyle w:val="TableParagraph"/>
              <w:spacing w:line="220" w:lineRule="exact" w:before="60"/>
              <w:ind w:left="169" w:right="168"/>
              <w:rPr>
                <w:sz w:val="18"/>
              </w:rPr>
            </w:pPr>
            <w:r>
              <w:rPr>
                <w:sz w:val="18"/>
              </w:rPr>
              <w:t>预测因子</w:t>
            </w:r>
          </w:p>
        </w:tc>
        <w:tc>
          <w:tcPr>
            <w:tcW w:w="5714" w:type="dxa"/>
            <w:gridSpan w:val="6"/>
          </w:tcPr>
          <w:p>
            <w:pPr>
              <w:pStyle w:val="TableParagraph"/>
              <w:spacing w:line="220" w:lineRule="exact" w:before="60"/>
              <w:ind w:left="63" w:right="56"/>
              <w:rPr>
                <w:sz w:val="18"/>
              </w:rPr>
            </w:pPr>
            <w:r>
              <w:rPr>
                <w:sz w:val="18"/>
              </w:rPr>
              <w:t>甲酸</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tcPr>
          <w:p>
            <w:pPr>
              <w:pStyle w:val="TableParagraph"/>
              <w:spacing w:line="220" w:lineRule="exact" w:before="59"/>
              <w:ind w:left="169" w:right="168"/>
              <w:rPr>
                <w:sz w:val="18"/>
              </w:rPr>
            </w:pPr>
            <w:r>
              <w:rPr>
                <w:sz w:val="18"/>
              </w:rPr>
              <w:t>预测方法</w:t>
            </w:r>
          </w:p>
        </w:tc>
        <w:tc>
          <w:tcPr>
            <w:tcW w:w="5714" w:type="dxa"/>
            <w:gridSpan w:val="6"/>
          </w:tcPr>
          <w:p>
            <w:pPr>
              <w:pStyle w:val="TableParagraph"/>
              <w:spacing w:line="220" w:lineRule="exact" w:before="59"/>
              <w:ind w:left="106"/>
              <w:jc w:val="left"/>
              <w:rPr>
                <w:sz w:val="18"/>
              </w:rPr>
            </w:pPr>
            <w:r>
              <w:rPr>
                <w:sz w:val="18"/>
              </w:rPr>
              <w:t>附录</w:t>
            </w:r>
            <w:r>
              <w:rPr>
                <w:rFonts w:ascii="Times New Roman" w:hAnsi="Times New Roman" w:eastAsia="Times New Roman"/>
                <w:sz w:val="18"/>
              </w:rPr>
              <w:t>E</w:t>
            </w:r>
            <w:r>
              <w:rPr>
                <w:rFonts w:ascii="Wingdings" w:hAnsi="Wingdings" w:eastAsia="Wingdings"/>
                <w:sz w:val="18"/>
              </w:rPr>
              <w:t></w:t>
            </w:r>
            <w:r>
              <w:rPr>
                <w:sz w:val="18"/>
              </w:rPr>
              <w:t>；附录</w:t>
            </w:r>
            <w:r>
              <w:rPr>
                <w:rFonts w:ascii="Times New Roman" w:hAnsi="Times New Roman" w:eastAsia="Times New Roman"/>
                <w:sz w:val="18"/>
              </w:rPr>
              <w:t>F</w:t>
            </w:r>
            <w:r>
              <w:rPr>
                <w:rFonts w:ascii="Wingdings" w:hAnsi="Wingdings" w:eastAsia="Wingdings"/>
                <w:sz w:val="18"/>
              </w:rPr>
              <w:t></w:t>
            </w:r>
            <w:r>
              <w:rPr>
                <w:sz w:val="18"/>
              </w:rPr>
              <w:t>；其他（ 类比分析 ）</w:t>
            </w:r>
          </w:p>
        </w:tc>
        <w:tc>
          <w:tcPr>
            <w:tcW w:w="1433" w:type="dxa"/>
          </w:tcPr>
          <w:p>
            <w:pPr>
              <w:pStyle w:val="TableParagraph"/>
              <w:jc w:val="left"/>
              <w:rPr>
                <w:rFonts w:ascii="Times New Roman"/>
                <w:sz w:val="18"/>
              </w:rPr>
            </w:pPr>
          </w:p>
        </w:tc>
      </w:tr>
      <w:tr>
        <w:trPr>
          <w:trHeight w:val="599" w:hRule="atLeast"/>
        </w:trPr>
        <w:tc>
          <w:tcPr>
            <w:tcW w:w="413" w:type="dxa"/>
            <w:vMerge/>
            <w:tcBorders>
              <w:top w:val="nil"/>
            </w:tcBorders>
          </w:tcPr>
          <w:p>
            <w:pPr>
              <w:rPr>
                <w:sz w:val="2"/>
                <w:szCs w:val="2"/>
              </w:rPr>
            </w:pPr>
          </w:p>
        </w:tc>
        <w:tc>
          <w:tcPr>
            <w:tcW w:w="1827" w:type="dxa"/>
          </w:tcPr>
          <w:p>
            <w:pPr>
              <w:pStyle w:val="TableParagraph"/>
              <w:spacing w:before="6"/>
              <w:jc w:val="left"/>
              <w:rPr>
                <w:b/>
                <w:sz w:val="16"/>
              </w:rPr>
            </w:pPr>
          </w:p>
          <w:p>
            <w:pPr>
              <w:pStyle w:val="TableParagraph"/>
              <w:ind w:left="169" w:right="168"/>
              <w:rPr>
                <w:sz w:val="18"/>
              </w:rPr>
            </w:pPr>
            <w:r>
              <w:rPr>
                <w:sz w:val="18"/>
              </w:rPr>
              <w:t>预测分析内容</w:t>
            </w:r>
          </w:p>
        </w:tc>
        <w:tc>
          <w:tcPr>
            <w:tcW w:w="5714" w:type="dxa"/>
            <w:gridSpan w:val="6"/>
          </w:tcPr>
          <w:p>
            <w:pPr>
              <w:pStyle w:val="TableParagraph"/>
              <w:tabs>
                <w:tab w:pos="1549" w:val="left" w:leader="none"/>
              </w:tabs>
              <w:spacing w:before="59"/>
              <w:ind w:left="106"/>
              <w:jc w:val="left"/>
              <w:rPr>
                <w:sz w:val="18"/>
              </w:rPr>
            </w:pPr>
            <w:r>
              <w:rPr>
                <w:sz w:val="18"/>
              </w:rPr>
              <w:t>影响范围（</w:t>
              <w:tab/>
              <w:t>）</w:t>
            </w:r>
          </w:p>
          <w:p>
            <w:pPr>
              <w:pStyle w:val="TableParagraph"/>
              <w:tabs>
                <w:tab w:pos="1549" w:val="left" w:leader="none"/>
              </w:tabs>
              <w:spacing w:line="220" w:lineRule="exact" w:before="70"/>
              <w:ind w:left="106"/>
              <w:jc w:val="left"/>
              <w:rPr>
                <w:sz w:val="18"/>
              </w:rPr>
            </w:pPr>
            <w:r>
              <w:rPr>
                <w:sz w:val="18"/>
              </w:rPr>
              <w:t>影响程度（</w:t>
              <w:tab/>
              <w:t>）</w:t>
            </w:r>
          </w:p>
        </w:tc>
        <w:tc>
          <w:tcPr>
            <w:tcW w:w="1433" w:type="dxa"/>
          </w:tcPr>
          <w:p>
            <w:pPr>
              <w:pStyle w:val="TableParagraph"/>
              <w:jc w:val="left"/>
              <w:rPr>
                <w:rFonts w:ascii="Times New Roman"/>
                <w:sz w:val="18"/>
              </w:rPr>
            </w:pPr>
          </w:p>
        </w:tc>
      </w:tr>
      <w:tr>
        <w:trPr>
          <w:trHeight w:val="599" w:hRule="atLeast"/>
        </w:trPr>
        <w:tc>
          <w:tcPr>
            <w:tcW w:w="413" w:type="dxa"/>
            <w:vMerge/>
            <w:tcBorders>
              <w:top w:val="nil"/>
            </w:tcBorders>
          </w:tcPr>
          <w:p>
            <w:pPr>
              <w:rPr>
                <w:sz w:val="2"/>
                <w:szCs w:val="2"/>
              </w:rPr>
            </w:pPr>
          </w:p>
        </w:tc>
        <w:tc>
          <w:tcPr>
            <w:tcW w:w="1827" w:type="dxa"/>
          </w:tcPr>
          <w:p>
            <w:pPr>
              <w:pStyle w:val="TableParagraph"/>
              <w:spacing w:before="6"/>
              <w:jc w:val="left"/>
              <w:rPr>
                <w:b/>
                <w:sz w:val="16"/>
              </w:rPr>
            </w:pPr>
          </w:p>
          <w:p>
            <w:pPr>
              <w:pStyle w:val="TableParagraph"/>
              <w:ind w:left="169" w:right="168"/>
              <w:rPr>
                <w:sz w:val="18"/>
              </w:rPr>
            </w:pPr>
            <w:r>
              <w:rPr>
                <w:sz w:val="18"/>
              </w:rPr>
              <w:t>预测结论</w:t>
            </w:r>
          </w:p>
        </w:tc>
        <w:tc>
          <w:tcPr>
            <w:tcW w:w="5714" w:type="dxa"/>
            <w:gridSpan w:val="6"/>
          </w:tcPr>
          <w:p>
            <w:pPr>
              <w:pStyle w:val="TableParagraph"/>
              <w:spacing w:line="300" w:lineRule="exact"/>
              <w:ind w:left="106" w:right="3062"/>
              <w:jc w:val="left"/>
              <w:rPr>
                <w:rFonts w:ascii="Wingdings" w:hAnsi="Wingdings"/>
                <w:sz w:val="18"/>
              </w:rPr>
            </w:pPr>
            <w:r>
              <w:rPr>
                <w:sz w:val="18"/>
              </w:rPr>
              <w:t>达标结论：</w:t>
            </w:r>
            <w:r>
              <w:rPr>
                <w:rFonts w:ascii="Times New Roman" w:hAnsi="Times New Roman"/>
                <w:sz w:val="18"/>
              </w:rPr>
              <w:t>a</w:t>
            </w:r>
            <w:r>
              <w:rPr>
                <w:sz w:val="18"/>
              </w:rPr>
              <w:t>）</w:t>
            </w:r>
            <w:r>
              <w:rPr>
                <w:rFonts w:ascii="Wingdings" w:hAnsi="Wingdings"/>
                <w:sz w:val="18"/>
              </w:rPr>
              <w:t></w:t>
            </w:r>
            <w:r>
              <w:rPr>
                <w:sz w:val="18"/>
              </w:rPr>
              <w:t>；</w:t>
            </w:r>
            <w:r>
              <w:rPr>
                <w:rFonts w:ascii="Times New Roman" w:hAnsi="Times New Roman"/>
                <w:sz w:val="18"/>
              </w:rPr>
              <w:t>b</w:t>
            </w:r>
            <w:r>
              <w:rPr>
                <w:sz w:val="18"/>
              </w:rPr>
              <w:t>）</w:t>
            </w:r>
            <w:r>
              <w:rPr>
                <w:rFonts w:ascii="Wingdings" w:hAnsi="Wingdings"/>
                <w:sz w:val="18"/>
              </w:rPr>
              <w:t></w:t>
            </w:r>
            <w:r>
              <w:rPr>
                <w:sz w:val="18"/>
              </w:rPr>
              <w:t>；</w:t>
            </w:r>
            <w:r>
              <w:rPr>
                <w:rFonts w:ascii="Times New Roman" w:hAnsi="Times New Roman"/>
                <w:sz w:val="18"/>
              </w:rPr>
              <w:t>c</w:t>
            </w:r>
            <w:r>
              <w:rPr>
                <w:sz w:val="18"/>
              </w:rPr>
              <w:t>）</w:t>
            </w:r>
            <w:r>
              <w:rPr>
                <w:rFonts w:ascii="Wingdings" w:hAnsi="Wingdings"/>
                <w:sz w:val="18"/>
              </w:rPr>
              <w:t></w:t>
            </w:r>
            <w:r>
              <w:rPr>
                <w:rFonts w:ascii="Times New Roman" w:hAnsi="Times New Roman"/>
                <w:sz w:val="18"/>
              </w:rPr>
              <w:t> </w:t>
            </w:r>
            <w:r>
              <w:rPr>
                <w:sz w:val="18"/>
              </w:rPr>
              <w:t>不达标结论：</w:t>
            </w:r>
            <w:r>
              <w:rPr>
                <w:rFonts w:ascii="Times New Roman" w:hAnsi="Times New Roman"/>
                <w:sz w:val="18"/>
              </w:rPr>
              <w:t>a</w:t>
            </w:r>
            <w:r>
              <w:rPr>
                <w:sz w:val="18"/>
              </w:rPr>
              <w:t>）</w:t>
            </w:r>
            <w:r>
              <w:rPr>
                <w:rFonts w:ascii="Wingdings" w:hAnsi="Wingdings"/>
                <w:sz w:val="18"/>
              </w:rPr>
              <w:t></w:t>
            </w:r>
            <w:r>
              <w:rPr>
                <w:sz w:val="18"/>
              </w:rPr>
              <w:t>；</w:t>
            </w:r>
            <w:r>
              <w:rPr>
                <w:rFonts w:ascii="Times New Roman" w:hAnsi="Times New Roman"/>
                <w:sz w:val="18"/>
              </w:rPr>
              <w:t>b</w:t>
            </w:r>
            <w:r>
              <w:rPr>
                <w:sz w:val="18"/>
              </w:rPr>
              <w:t>）</w:t>
            </w:r>
            <w:r>
              <w:rPr>
                <w:rFonts w:ascii="Wingdings" w:hAnsi="Wingdings"/>
                <w:sz w:val="18"/>
              </w:rPr>
              <w:t></w:t>
            </w:r>
          </w:p>
        </w:tc>
        <w:tc>
          <w:tcPr>
            <w:tcW w:w="1433" w:type="dxa"/>
          </w:tcPr>
          <w:p>
            <w:pPr>
              <w:pStyle w:val="TableParagraph"/>
              <w:jc w:val="left"/>
              <w:rPr>
                <w:rFonts w:ascii="Times New Roman"/>
                <w:sz w:val="18"/>
              </w:rPr>
            </w:pPr>
          </w:p>
        </w:tc>
      </w:tr>
      <w:tr>
        <w:trPr>
          <w:trHeight w:val="299" w:hRule="atLeast"/>
        </w:trPr>
        <w:tc>
          <w:tcPr>
            <w:tcW w:w="413" w:type="dxa"/>
            <w:vMerge w:val="restart"/>
          </w:tcPr>
          <w:p>
            <w:pPr>
              <w:pStyle w:val="TableParagraph"/>
              <w:spacing w:line="312" w:lineRule="auto" w:before="76"/>
              <w:ind w:left="112" w:right="108"/>
              <w:jc w:val="both"/>
              <w:rPr>
                <w:sz w:val="18"/>
              </w:rPr>
            </w:pPr>
            <w:r>
              <w:rPr>
                <w:sz w:val="18"/>
              </w:rPr>
              <w:t>防治措</w:t>
            </w:r>
          </w:p>
          <w:p>
            <w:pPr>
              <w:pStyle w:val="TableParagraph"/>
              <w:spacing w:before="1"/>
              <w:ind w:left="112"/>
              <w:jc w:val="left"/>
              <w:rPr>
                <w:sz w:val="18"/>
              </w:rPr>
            </w:pPr>
            <w:r>
              <w:rPr>
                <w:sz w:val="18"/>
              </w:rPr>
              <w:t>施</w:t>
            </w:r>
          </w:p>
        </w:tc>
        <w:tc>
          <w:tcPr>
            <w:tcW w:w="1827" w:type="dxa"/>
          </w:tcPr>
          <w:p>
            <w:pPr>
              <w:pStyle w:val="TableParagraph"/>
              <w:spacing w:line="220" w:lineRule="exact" w:before="59"/>
              <w:ind w:left="169" w:right="168"/>
              <w:rPr>
                <w:sz w:val="18"/>
              </w:rPr>
            </w:pPr>
            <w:r>
              <w:rPr>
                <w:sz w:val="18"/>
              </w:rPr>
              <w:t>防控措施</w:t>
            </w:r>
          </w:p>
        </w:tc>
        <w:tc>
          <w:tcPr>
            <w:tcW w:w="5714" w:type="dxa"/>
            <w:gridSpan w:val="6"/>
          </w:tcPr>
          <w:p>
            <w:pPr>
              <w:pStyle w:val="TableParagraph"/>
              <w:spacing w:line="220" w:lineRule="exact" w:before="59"/>
              <w:ind w:left="106"/>
              <w:jc w:val="left"/>
              <w:rPr>
                <w:sz w:val="18"/>
              </w:rPr>
            </w:pPr>
            <w:r>
              <w:rPr>
                <w:sz w:val="18"/>
              </w:rPr>
              <w:t>土壤环境质量现状保障</w:t>
            </w:r>
            <w:r>
              <w:rPr>
                <w:rFonts w:ascii="Wingdings" w:hAnsi="Wingdings" w:eastAsia="Wingdings"/>
                <w:sz w:val="18"/>
              </w:rPr>
              <w:t></w:t>
            </w:r>
            <w:r>
              <w:rPr>
                <w:sz w:val="18"/>
              </w:rPr>
              <w:t>；源头控制</w:t>
            </w:r>
            <w:r>
              <w:rPr>
                <w:rFonts w:ascii="Wingdings" w:hAnsi="Wingdings" w:eastAsia="Wingdings"/>
                <w:sz w:val="18"/>
              </w:rPr>
              <w:t></w:t>
            </w:r>
            <w:r>
              <w:rPr>
                <w:sz w:val="18"/>
              </w:rPr>
              <w:t>；过程防控</w:t>
            </w:r>
            <w:r>
              <w:rPr>
                <w:rFonts w:ascii="Wingdings" w:hAnsi="Wingdings" w:eastAsia="Wingdings"/>
                <w:sz w:val="18"/>
              </w:rPr>
              <w:t></w:t>
            </w:r>
            <w:r>
              <w:rPr>
                <w:sz w:val="18"/>
              </w:rPr>
              <w:t>；其他（ ）</w:t>
            </w:r>
          </w:p>
        </w:tc>
        <w:tc>
          <w:tcPr>
            <w:tcW w:w="1433" w:type="dxa"/>
          </w:tcPr>
          <w:p>
            <w:pPr>
              <w:pStyle w:val="TableParagraph"/>
              <w:jc w:val="left"/>
              <w:rPr>
                <w:rFonts w:ascii="Times New Roman"/>
                <w:sz w:val="18"/>
              </w:rPr>
            </w:pPr>
          </w:p>
        </w:tc>
      </w:tr>
      <w:tr>
        <w:trPr>
          <w:trHeight w:val="302" w:hRule="atLeast"/>
        </w:trPr>
        <w:tc>
          <w:tcPr>
            <w:tcW w:w="413" w:type="dxa"/>
            <w:vMerge/>
            <w:tcBorders>
              <w:top w:val="nil"/>
            </w:tcBorders>
          </w:tcPr>
          <w:p>
            <w:pPr>
              <w:rPr>
                <w:sz w:val="2"/>
                <w:szCs w:val="2"/>
              </w:rPr>
            </w:pPr>
          </w:p>
        </w:tc>
        <w:tc>
          <w:tcPr>
            <w:tcW w:w="1827" w:type="dxa"/>
            <w:vMerge w:val="restart"/>
          </w:tcPr>
          <w:p>
            <w:pPr>
              <w:pStyle w:val="TableParagraph"/>
              <w:spacing w:before="10"/>
              <w:jc w:val="left"/>
              <w:rPr>
                <w:b/>
                <w:sz w:val="16"/>
              </w:rPr>
            </w:pPr>
          </w:p>
          <w:p>
            <w:pPr>
              <w:pStyle w:val="TableParagraph"/>
              <w:spacing w:before="1"/>
              <w:ind w:left="549"/>
              <w:jc w:val="left"/>
              <w:rPr>
                <w:sz w:val="18"/>
              </w:rPr>
            </w:pPr>
            <w:r>
              <w:rPr>
                <w:sz w:val="18"/>
              </w:rPr>
              <w:t>跟踪监测</w:t>
            </w:r>
          </w:p>
        </w:tc>
        <w:tc>
          <w:tcPr>
            <w:tcW w:w="1746" w:type="dxa"/>
            <w:gridSpan w:val="2"/>
          </w:tcPr>
          <w:p>
            <w:pPr>
              <w:pStyle w:val="TableParagraph"/>
              <w:spacing w:line="220" w:lineRule="exact" w:before="62"/>
              <w:ind w:left="510"/>
              <w:jc w:val="left"/>
              <w:rPr>
                <w:sz w:val="18"/>
              </w:rPr>
            </w:pPr>
            <w:r>
              <w:rPr>
                <w:sz w:val="18"/>
              </w:rPr>
              <w:t>监测点数</w:t>
            </w:r>
          </w:p>
        </w:tc>
        <w:tc>
          <w:tcPr>
            <w:tcW w:w="2410" w:type="dxa"/>
            <w:gridSpan w:val="2"/>
          </w:tcPr>
          <w:p>
            <w:pPr>
              <w:pStyle w:val="TableParagraph"/>
              <w:spacing w:line="220" w:lineRule="exact" w:before="62"/>
              <w:ind w:left="443" w:right="437"/>
              <w:rPr>
                <w:sz w:val="18"/>
              </w:rPr>
            </w:pPr>
            <w:r>
              <w:rPr>
                <w:sz w:val="18"/>
              </w:rPr>
              <w:t>监测指标</w:t>
            </w:r>
          </w:p>
        </w:tc>
        <w:tc>
          <w:tcPr>
            <w:tcW w:w="1558" w:type="dxa"/>
            <w:gridSpan w:val="2"/>
          </w:tcPr>
          <w:p>
            <w:pPr>
              <w:pStyle w:val="TableParagraph"/>
              <w:spacing w:line="220" w:lineRule="exact" w:before="62"/>
              <w:ind w:left="418"/>
              <w:jc w:val="left"/>
              <w:rPr>
                <w:sz w:val="18"/>
              </w:rPr>
            </w:pPr>
            <w:r>
              <w:rPr>
                <w:sz w:val="18"/>
              </w:rPr>
              <w:t>监测频次</w:t>
            </w:r>
          </w:p>
        </w:tc>
        <w:tc>
          <w:tcPr>
            <w:tcW w:w="1433" w:type="dxa"/>
          </w:tcPr>
          <w:p>
            <w:pPr>
              <w:pStyle w:val="TableParagraph"/>
              <w:jc w:val="left"/>
              <w:rPr>
                <w:rFonts w:ascii="Times New Roman"/>
                <w:sz w:val="18"/>
              </w:rPr>
            </w:pPr>
          </w:p>
        </w:tc>
      </w:tr>
      <w:tr>
        <w:trPr>
          <w:trHeight w:val="299" w:hRule="atLeast"/>
        </w:trPr>
        <w:tc>
          <w:tcPr>
            <w:tcW w:w="413" w:type="dxa"/>
            <w:vMerge/>
            <w:tcBorders>
              <w:top w:val="nil"/>
            </w:tcBorders>
          </w:tcPr>
          <w:p>
            <w:pPr>
              <w:rPr>
                <w:sz w:val="2"/>
                <w:szCs w:val="2"/>
              </w:rPr>
            </w:pPr>
          </w:p>
        </w:tc>
        <w:tc>
          <w:tcPr>
            <w:tcW w:w="1827" w:type="dxa"/>
            <w:vMerge/>
            <w:tcBorders>
              <w:top w:val="nil"/>
            </w:tcBorders>
          </w:tcPr>
          <w:p>
            <w:pPr>
              <w:rPr>
                <w:sz w:val="2"/>
                <w:szCs w:val="2"/>
              </w:rPr>
            </w:pPr>
          </w:p>
        </w:tc>
        <w:tc>
          <w:tcPr>
            <w:tcW w:w="1746" w:type="dxa"/>
            <w:gridSpan w:val="2"/>
          </w:tcPr>
          <w:p>
            <w:pPr>
              <w:pStyle w:val="TableParagraph"/>
              <w:spacing w:before="71"/>
              <w:ind w:left="4"/>
              <w:rPr>
                <w:rFonts w:ascii="Times New Roman"/>
                <w:sz w:val="18"/>
              </w:rPr>
            </w:pPr>
            <w:r>
              <w:rPr>
                <w:rFonts w:ascii="Times New Roman"/>
                <w:sz w:val="18"/>
              </w:rPr>
              <w:t>3</w:t>
            </w:r>
          </w:p>
        </w:tc>
        <w:tc>
          <w:tcPr>
            <w:tcW w:w="2410" w:type="dxa"/>
            <w:gridSpan w:val="2"/>
          </w:tcPr>
          <w:p>
            <w:pPr>
              <w:pStyle w:val="TableParagraph"/>
              <w:spacing w:line="220" w:lineRule="exact" w:before="59"/>
              <w:ind w:left="443" w:right="437"/>
              <w:rPr>
                <w:sz w:val="18"/>
              </w:rPr>
            </w:pPr>
            <w:r>
              <w:rPr>
                <w:sz w:val="18"/>
              </w:rPr>
              <w:t>甲酸</w:t>
            </w:r>
          </w:p>
        </w:tc>
        <w:tc>
          <w:tcPr>
            <w:tcW w:w="1558" w:type="dxa"/>
            <w:gridSpan w:val="2"/>
          </w:tcPr>
          <w:p>
            <w:pPr>
              <w:pStyle w:val="TableParagraph"/>
              <w:spacing w:line="220" w:lineRule="exact" w:before="59"/>
              <w:ind w:left="192"/>
              <w:jc w:val="left"/>
              <w:rPr>
                <w:sz w:val="18"/>
              </w:rPr>
            </w:pPr>
            <w:r>
              <w:rPr>
                <w:rFonts w:ascii="Times New Roman" w:eastAsia="Times New Roman"/>
                <w:sz w:val="18"/>
              </w:rPr>
              <w:t>5</w:t>
            </w:r>
            <w:r>
              <w:rPr>
                <w:sz w:val="18"/>
              </w:rPr>
              <w:t>年内开展一次</w:t>
            </w:r>
          </w:p>
        </w:tc>
        <w:tc>
          <w:tcPr>
            <w:tcW w:w="1433" w:type="dxa"/>
          </w:tcPr>
          <w:p>
            <w:pPr>
              <w:pStyle w:val="TableParagraph"/>
              <w:jc w:val="left"/>
              <w:rPr>
                <w:rFonts w:ascii="Times New Roman"/>
                <w:sz w:val="18"/>
              </w:rPr>
            </w:pPr>
          </w:p>
        </w:tc>
      </w:tr>
      <w:tr>
        <w:trPr>
          <w:trHeight w:val="300" w:hRule="atLeast"/>
        </w:trPr>
        <w:tc>
          <w:tcPr>
            <w:tcW w:w="413" w:type="dxa"/>
            <w:vMerge/>
            <w:tcBorders>
              <w:top w:val="nil"/>
            </w:tcBorders>
          </w:tcPr>
          <w:p>
            <w:pPr>
              <w:rPr>
                <w:sz w:val="2"/>
                <w:szCs w:val="2"/>
              </w:rPr>
            </w:pPr>
          </w:p>
        </w:tc>
        <w:tc>
          <w:tcPr>
            <w:tcW w:w="1827" w:type="dxa"/>
          </w:tcPr>
          <w:p>
            <w:pPr>
              <w:pStyle w:val="TableParagraph"/>
              <w:spacing w:line="220" w:lineRule="exact" w:before="60"/>
              <w:ind w:left="169" w:right="168"/>
              <w:rPr>
                <w:sz w:val="18"/>
              </w:rPr>
            </w:pPr>
            <w:r>
              <w:rPr>
                <w:sz w:val="18"/>
              </w:rPr>
              <w:t>信息公开指标</w:t>
            </w:r>
          </w:p>
        </w:tc>
        <w:tc>
          <w:tcPr>
            <w:tcW w:w="5714" w:type="dxa"/>
            <w:gridSpan w:val="6"/>
          </w:tcPr>
          <w:p>
            <w:pPr>
              <w:pStyle w:val="TableParagraph"/>
              <w:spacing w:before="72"/>
              <w:ind w:left="4"/>
              <w:rPr>
                <w:rFonts w:ascii="Times New Roman"/>
                <w:sz w:val="18"/>
              </w:rPr>
            </w:pPr>
            <w:r>
              <w:rPr>
                <w:rFonts w:ascii="Times New Roman"/>
                <w:sz w:val="18"/>
              </w:rPr>
              <w:t>/</w:t>
            </w:r>
          </w:p>
        </w:tc>
        <w:tc>
          <w:tcPr>
            <w:tcW w:w="1433" w:type="dxa"/>
          </w:tcPr>
          <w:p>
            <w:pPr>
              <w:pStyle w:val="TableParagraph"/>
              <w:jc w:val="left"/>
              <w:rPr>
                <w:rFonts w:ascii="Times New Roman"/>
                <w:sz w:val="18"/>
              </w:rPr>
            </w:pPr>
          </w:p>
        </w:tc>
      </w:tr>
      <w:tr>
        <w:trPr>
          <w:trHeight w:val="299" w:hRule="atLeast"/>
        </w:trPr>
        <w:tc>
          <w:tcPr>
            <w:tcW w:w="2240" w:type="dxa"/>
            <w:gridSpan w:val="2"/>
          </w:tcPr>
          <w:p>
            <w:pPr>
              <w:pStyle w:val="TableParagraph"/>
              <w:spacing w:line="220" w:lineRule="exact" w:before="59"/>
              <w:ind w:left="733" w:right="732"/>
              <w:rPr>
                <w:sz w:val="18"/>
              </w:rPr>
            </w:pPr>
            <w:r>
              <w:rPr>
                <w:sz w:val="18"/>
              </w:rPr>
              <w:t>评价结论</w:t>
            </w:r>
          </w:p>
        </w:tc>
        <w:tc>
          <w:tcPr>
            <w:tcW w:w="5714" w:type="dxa"/>
            <w:gridSpan w:val="6"/>
          </w:tcPr>
          <w:p>
            <w:pPr>
              <w:pStyle w:val="TableParagraph"/>
              <w:spacing w:line="220" w:lineRule="exact" w:before="59"/>
              <w:ind w:left="106"/>
              <w:jc w:val="left"/>
              <w:rPr>
                <w:sz w:val="18"/>
              </w:rPr>
            </w:pPr>
            <w:r>
              <w:rPr>
                <w:sz w:val="18"/>
              </w:rPr>
              <w:t>项目的土壤环境影响是可接受的</w:t>
            </w:r>
          </w:p>
        </w:tc>
        <w:tc>
          <w:tcPr>
            <w:tcW w:w="1433" w:type="dxa"/>
          </w:tcPr>
          <w:p>
            <w:pPr>
              <w:pStyle w:val="TableParagraph"/>
              <w:jc w:val="left"/>
              <w:rPr>
                <w:rFonts w:ascii="Times New Roman"/>
                <w:sz w:val="18"/>
              </w:rPr>
            </w:pPr>
          </w:p>
        </w:tc>
      </w:tr>
      <w:tr>
        <w:trPr>
          <w:trHeight w:val="599" w:hRule="atLeast"/>
        </w:trPr>
        <w:tc>
          <w:tcPr>
            <w:tcW w:w="9387" w:type="dxa"/>
            <w:gridSpan w:val="9"/>
          </w:tcPr>
          <w:p>
            <w:pPr>
              <w:pStyle w:val="TableParagraph"/>
              <w:spacing w:before="59"/>
              <w:ind w:left="105"/>
              <w:jc w:val="left"/>
              <w:rPr>
                <w:sz w:val="18"/>
              </w:rPr>
            </w:pPr>
            <w:r>
              <w:rPr>
                <w:sz w:val="18"/>
              </w:rPr>
              <w:t>注</w:t>
            </w:r>
            <w:r>
              <w:rPr>
                <w:rFonts w:ascii="Times New Roman" w:hAnsi="Times New Roman" w:eastAsia="Times New Roman"/>
                <w:sz w:val="18"/>
              </w:rPr>
              <w:t>1</w:t>
            </w:r>
            <w:r>
              <w:rPr>
                <w:sz w:val="18"/>
              </w:rPr>
              <w:t>：</w:t>
            </w:r>
            <w:r>
              <w:rPr>
                <w:rFonts w:ascii="Times New Roman" w:hAnsi="Times New Roman" w:eastAsia="Times New Roman"/>
                <w:sz w:val="18"/>
              </w:rPr>
              <w:t>“□”</w:t>
            </w:r>
            <w:r>
              <w:rPr>
                <w:sz w:val="18"/>
              </w:rPr>
              <w:t>为勾选项，可</w:t>
            </w:r>
            <w:r>
              <w:rPr>
                <w:rFonts w:ascii="Times New Roman" w:hAnsi="Times New Roman" w:eastAsia="Times New Roman"/>
                <w:sz w:val="18"/>
              </w:rPr>
              <w:t>√</w:t>
            </w:r>
            <w:r>
              <w:rPr>
                <w:sz w:val="18"/>
              </w:rPr>
              <w:t>，</w:t>
            </w:r>
            <w:r>
              <w:rPr>
                <w:rFonts w:ascii="Times New Roman" w:hAnsi="Times New Roman" w:eastAsia="Times New Roman"/>
                <w:sz w:val="18"/>
              </w:rPr>
              <w:t>“</w:t>
            </w:r>
            <w:r>
              <w:rPr>
                <w:rFonts w:ascii="Times New Roman" w:hAnsi="Times New Roman" w:eastAsia="Times New Roman"/>
                <w:sz w:val="18"/>
                <w:u w:val="single"/>
              </w:rPr>
              <w:t> </w:t>
            </w:r>
            <w:r>
              <w:rPr>
                <w:rFonts w:ascii="Times New Roman" w:hAnsi="Times New Roman" w:eastAsia="Times New Roman"/>
                <w:sz w:val="18"/>
              </w:rPr>
              <w:t>”</w:t>
            </w:r>
            <w:r>
              <w:rPr>
                <w:sz w:val="18"/>
              </w:rPr>
              <w:t>为填写项；</w:t>
            </w:r>
            <w:r>
              <w:rPr>
                <w:rFonts w:ascii="Times New Roman" w:hAnsi="Times New Roman" w:eastAsia="Times New Roman"/>
                <w:sz w:val="18"/>
              </w:rPr>
              <w:t>“</w:t>
            </w:r>
            <w:r>
              <w:rPr>
                <w:sz w:val="18"/>
              </w:rPr>
              <w:t>备注</w:t>
            </w:r>
            <w:r>
              <w:rPr>
                <w:rFonts w:ascii="Times New Roman" w:hAnsi="Times New Roman" w:eastAsia="Times New Roman"/>
                <w:sz w:val="18"/>
              </w:rPr>
              <w:t>”</w:t>
            </w:r>
            <w:r>
              <w:rPr>
                <w:sz w:val="18"/>
              </w:rPr>
              <w:t>为其他补充内容。</w:t>
            </w:r>
          </w:p>
          <w:p>
            <w:pPr>
              <w:pStyle w:val="TableParagraph"/>
              <w:spacing w:line="220" w:lineRule="exact" w:before="70"/>
              <w:ind w:left="105"/>
              <w:jc w:val="left"/>
              <w:rPr>
                <w:sz w:val="18"/>
              </w:rPr>
            </w:pPr>
            <w:r>
              <w:rPr>
                <w:sz w:val="18"/>
              </w:rPr>
              <w:t>注</w:t>
            </w:r>
            <w:r>
              <w:rPr>
                <w:rFonts w:ascii="Times New Roman" w:eastAsia="Times New Roman"/>
                <w:sz w:val="18"/>
              </w:rPr>
              <w:t>2</w:t>
            </w:r>
            <w:r>
              <w:rPr>
                <w:sz w:val="18"/>
              </w:rPr>
              <w:t>：需要分别开展土壤环境影响评级工作的，分别填写自查表。</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8"/>
        </w:rPr>
      </w:pPr>
      <w:r>
        <w:rPr/>
        <w:pict>
          <v:line style="position:absolute;mso-position-horizontal-relative:page;mso-position-vertical-relative:paragraph;z-index:-251341824;mso-wrap-distance-left:0;mso-wrap-distance-right:0" from="69.949997pt,14.0pt" to="511.699997pt,14.0pt" stroked="true" strokeweight=".75pt" strokecolor="#000000">
            <v:stroke dashstyle="solid"/>
            <w10:wrap type="topAndBottom"/>
          </v:line>
        </w:pict>
      </w:r>
    </w:p>
    <w:p>
      <w:pPr>
        <w:spacing w:before="160"/>
        <w:ind w:left="87" w:right="59" w:firstLine="0"/>
        <w:jc w:val="center"/>
        <w:rPr>
          <w:rFonts w:ascii="Times New Roman"/>
          <w:sz w:val="18"/>
        </w:rPr>
      </w:pPr>
      <w:r>
        <w:rPr>
          <w:rFonts w:ascii="Times New Roman"/>
          <w:sz w:val="18"/>
        </w:rPr>
        <w:t>287</w:t>
      </w:r>
    </w:p>
    <w:sectPr>
      <w:headerReference w:type="default" r:id="rId189"/>
      <w:footerReference w:type="default" r:id="rId190"/>
      <w:pgSz w:w="11910" w:h="16850"/>
      <w:pgMar w:header="0" w:footer="0" w:top="940" w:bottom="280" w:left="110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宋体">
    <w:altName w:val="宋体"/>
    <w:charset w:val="86"/>
    <w:family w:val="auto"/>
    <w:pitch w:val="variable"/>
  </w:font>
  <w:font w:name="黑体">
    <w:altName w:val="黑体"/>
    <w:charset w:val="86"/>
    <w:family w:val="modern"/>
    <w:pitch w:val="fixed"/>
  </w:font>
  <w:font w:name="Symbol">
    <w:altName w:val="Symbol"/>
    <w:charset w:val="2"/>
    <w:family w:val="roman"/>
    <w:pitch w:val="variable"/>
  </w:font>
  <w:font w:name="Wingdings">
    <w:altName w:val="Wingdings"/>
    <w:charset w:val="2"/>
    <w:family w:val="auto"/>
    <w:pitch w:val="variable"/>
  </w:font>
  <w:font w:name="等线">
    <w:altName w:val="等线"/>
    <w:charset w:val="86"/>
    <w:family w:val="auto"/>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25376" from="69.503998pt,773.856018pt" to="527.253998pt,773.856018pt" stroked="true" strokeweight=".47998pt" strokecolor="#000000">
          <v:stroke dashstyle="solid"/>
          <w10:wrap type="none"/>
        </v:line>
      </w:pict>
    </w:r>
    <w:r>
      <w:rPr/>
      <w:pict>
        <v:shape style="position:absolute;margin-left:293.369995pt;margin-top:774.435974pt;width:10pt;height:12pt;mso-position-horizontal-relative:page;mso-position-vertical-relative:page;z-index:-31792435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 ROMAN </w:instrText>
                </w:r>
                <w:r>
                  <w:rPr/>
                  <w:fldChar w:fldCharType="separate"/>
                </w:r>
                <w:r>
                  <w:rPr/>
                  <w:t>II</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90560" from="69.503998pt,788.015991pt" to="527.253998pt,788.015991pt" stroked="true" strokeweight=".47998pt" strokecolor="#000000">
          <v:stroke dashstyle="solid"/>
          <w10:wrap type="none"/>
        </v:line>
      </w:pict>
    </w:r>
    <w:r>
      <w:rPr/>
      <w:pict>
        <v:shape style="position:absolute;margin-left:291.809998pt;margin-top:788.595947pt;width:13.15pt;height:12pt;mso-position-horizontal-relative:page;mso-position-vertical-relative:page;z-index:-31788953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75</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86464" from="69.503998pt,788.015991pt" to="527.253998pt,788.015991pt" stroked="true" strokeweight=".47998pt" strokecolor="#000000">
          <v:stroke dashstyle="solid"/>
          <w10:wrap type="none"/>
        </v:line>
      </w:pict>
    </w:r>
    <w:r>
      <w:rPr/>
      <w:pict>
        <v:shape style="position:absolute;margin-left:291.809998pt;margin-top:788.595947pt;width:13.15pt;height:12pt;mso-position-horizontal-relative:page;mso-position-vertical-relative:page;z-index:-31788544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81</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6.170013pt;margin-top:541.036011pt;width:11.15pt;height:12pt;mso-position-horizontal-relative:page;mso-position-vertical-relative:page;z-index:-317884416" type="#_x0000_t202" filled="false" stroked="false">
          <v:textbox inset="0,0,0,0">
            <w:txbxContent>
              <w:p>
                <w:pPr>
                  <w:spacing w:before="12"/>
                  <w:ind w:left="20" w:right="0" w:firstLine="0"/>
                  <w:jc w:val="left"/>
                  <w:rPr>
                    <w:rFonts w:ascii="Times New Roman"/>
                    <w:sz w:val="18"/>
                  </w:rPr>
                </w:pPr>
                <w:r>
                  <w:rPr>
                    <w:rFonts w:ascii="Times New Roman"/>
                    <w:sz w:val="18"/>
                  </w:rPr>
                  <w:t>88</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809998pt;margin-top:788.619934pt;width:13.15pt;height:12pt;mso-position-horizontal-relative:page;mso-position-vertical-relative:page;z-index:-31788134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89</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80320" from="69.503998pt,788.135986pt" to="527.253998pt,788.135986pt" stroked="true" strokeweight=".47998pt" strokecolor="#000000">
          <v:stroke dashstyle="solid"/>
          <w10:wrap type="none"/>
        </v:line>
      </w:pict>
    </w:r>
    <w:r>
      <w:rPr/>
      <w:pict>
        <v:shape style="position:absolute;margin-left:291.809998pt;margin-top:788.739929pt;width:13.15pt;height:12pt;mso-position-horizontal-relative:page;mso-position-vertical-relative:page;z-index:-31787929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90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809998pt;margin-top:794.259949pt;width:13.15pt;height:12.1pt;mso-position-horizontal-relative:page;mso-position-vertical-relative:page;z-index:-317876224" type="#_x0000_t202" filled="false" stroked="false">
          <v:textbox inset="0,0,0,0">
            <w:txbxContent>
              <w:p>
                <w:pPr>
                  <w:spacing w:before="14"/>
                  <w:ind w:left="40" w:right="0" w:firstLine="0"/>
                  <w:jc w:val="left"/>
                  <w:rPr>
                    <w:rFonts w:ascii="Times New Roman"/>
                    <w:sz w:val="18"/>
                  </w:rPr>
                </w:pPr>
                <w:r>
                  <w:rPr/>
                  <w:fldChar w:fldCharType="begin"/>
                </w:r>
                <w:r>
                  <w:rPr>
                    <w:rFonts w:ascii="Times New Roman"/>
                    <w:sz w:val="18"/>
                  </w:rPr>
                  <w:instrText> PAGE </w:instrText>
                </w:r>
                <w:r>
                  <w:rPr/>
                  <w:fldChar w:fldCharType="separate"/>
                </w:r>
                <w:r>
                  <w:rPr/>
                  <w:t>96</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73152" from="69.949997pt,544pt" to="511.699997pt,544pt" stroked="true" strokeweight=".75pt" strokecolor="#000000">
          <v:stroke dashstyle="solid"/>
          <w10:wrap type="none"/>
        </v:line>
      </w:pict>
    </w:r>
    <w:r>
      <w:rPr/>
      <w:pict>
        <v:shape style="position:absolute;margin-left:415.170013pt;margin-top:547.635986pt;width:13.15pt;height:12pt;mso-position-horizontal-relative:page;mso-position-vertical-relative:page;z-index:-31787212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97</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809998pt;margin-top:794.259949pt;width:13.15pt;height:12pt;mso-position-horizontal-relative:page;mso-position-vertical-relative:page;z-index:-31786905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99</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8"/>
      </w:rPr>
    </w:pPr>
    <w:r>
      <w:rPr/>
      <w:pict>
        <v:line style="position:absolute;mso-position-horizontal-relative:page;mso-position-vertical-relative:page;z-index:-317868032" from="69.503998pt,793.776001pt" to="527.253998pt,793.776001pt" stroked="true" strokeweight=".47998pt" strokecolor="#000000">
          <v:stroke dashstyle="solid"/>
          <w10:wrap type="none"/>
        </v:line>
      </w:pict>
    </w:r>
    <w:r>
      <w:rPr/>
      <w:pict>
        <v:shape style="position:absolute;margin-left:289.529999pt;margin-top:794.379944pt;width:17.7pt;height:12.85pt;mso-position-horizontal-relative:page;mso-position-vertical-relative:page;z-index:-317867008" type="#_x0000_t202" filled="false" stroked="false">
          <v:textbox inset="0,0,0,0">
            <w:txbxContent>
              <w:p>
                <w:pPr>
                  <w:spacing w:before="29"/>
                  <w:ind w:left="40" w:right="0" w:firstLine="0"/>
                  <w:jc w:val="left"/>
                  <w:rPr>
                    <w:rFonts w:ascii="Times New Roman"/>
                    <w:sz w:val="18"/>
                  </w:rPr>
                </w:pPr>
                <w:r>
                  <w:rPr/>
                  <w:fldChar w:fldCharType="begin"/>
                </w:r>
                <w:r>
                  <w:rPr>
                    <w:rFonts w:ascii="Times New Roman"/>
                    <w:sz w:val="18"/>
                  </w:rPr>
                  <w:instrText> PAGE </w:instrText>
                </w:r>
                <w:r>
                  <w:rPr/>
                  <w:fldChar w:fldCharType="separate"/>
                </w:r>
                <w:r>
                  <w:rPr/>
                  <w:t>103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23328" from="69.503998pt,773.856018pt" to="527.253998pt,773.856018pt" stroked="true" strokeweight=".47998pt" strokecolor="#000000">
          <v:stroke dashstyle="solid"/>
          <w10:wrap type="none"/>
        </v:line>
      </w:pict>
    </w:r>
    <w:r>
      <w:rPr/>
      <w:pict>
        <v:shape style="position:absolute;margin-left:291.570007pt;margin-top:774.435974pt;width:13.55pt;height:12pt;mso-position-horizontal-relative:page;mso-position-vertical-relative:page;z-index:-31792230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 ROMAN </w:instrText>
                </w:r>
                <w:r>
                  <w:rPr/>
                  <w:fldChar w:fldCharType="separate"/>
                </w:r>
                <w:r>
                  <w:rPr/>
                  <w:t>IV</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65984" from="69.503998pt,794.627991pt" to="527.253998pt,794.627991pt" stroked="true" strokeweight=".50403pt" strokecolor="#000000">
          <v:stroke dashstyle="solid"/>
          <w10:wrap type="none"/>
        </v:line>
      </w:pict>
    </w:r>
    <w:r>
      <w:rPr/>
      <w:pict>
        <v:shape style="position:absolute;margin-left:289.769989pt;margin-top:795.219971pt;width:17.3pt;height:12pt;mso-position-horizontal-relative:page;mso-position-vertical-relative:page;z-index:-31786496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110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529999pt;margin-top:774.435974pt;width:17.7pt;height:12pt;mso-position-horizontal-relative:page;mso-position-vertical-relative:page;z-index:-31786188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120</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60864" from="69.503998pt,773.856018pt" to="527.253998pt,773.856018pt" stroked="true" strokeweight=".47998pt" strokecolor="#000000">
          <v:stroke dashstyle="solid"/>
          <w10:wrap type="none"/>
        </v:line>
      </w:pict>
    </w:r>
    <w:r>
      <w:rPr/>
      <w:pict>
        <v:shape style="position:absolute;margin-left:289.529999pt;margin-top:774.435974pt;width:17.7pt;height:12pt;mso-position-horizontal-relative:page;mso-position-vertical-relative:page;z-index:-31785984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121</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3.890015pt;margin-top:527.835999pt;width:15.7pt;height:12pt;mso-position-horizontal-relative:page;mso-position-vertical-relative:page;z-index:-317858816" type="#_x0000_t202" filled="false" stroked="false">
          <v:textbox inset="0,0,0,0">
            <w:txbxContent>
              <w:p>
                <w:pPr>
                  <w:spacing w:before="12"/>
                  <w:ind w:left="20" w:right="0" w:firstLine="0"/>
                  <w:jc w:val="left"/>
                  <w:rPr>
                    <w:rFonts w:ascii="Times New Roman"/>
                    <w:sz w:val="18"/>
                  </w:rPr>
                </w:pPr>
                <w:r>
                  <w:rPr>
                    <w:rFonts w:ascii="Times New Roman"/>
                    <w:sz w:val="18"/>
                  </w:rPr>
                  <w:t>126</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55744" from="69.503998pt,780.935974pt" to="527.253998pt,780.935974pt" stroked="true" strokeweight=".48004pt" strokecolor="#000000">
          <v:stroke dashstyle="solid"/>
          <w10:wrap type="none"/>
        </v:line>
      </w:pict>
    </w:r>
    <w:r>
      <w:rPr/>
      <w:pict>
        <v:shape style="position:absolute;margin-left:289.529999pt;margin-top:781.515991pt;width:17.7pt;height:12pt;mso-position-horizontal-relative:page;mso-position-vertical-relative:page;z-index:-31785472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127</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51648" from="75.143997pt,773.856018pt" to="535.773997pt,773.856018pt" stroked="true" strokeweight=".47998pt" strokecolor="#000000">
          <v:stroke dashstyle="solid"/>
          <w10:wrap type="none"/>
        </v:line>
      </w:pict>
    </w:r>
    <w:r>
      <w:rPr/>
      <w:pict>
        <v:shape style="position:absolute;margin-left:296.609985pt;margin-top:774.435974pt;width:17.7pt;height:12pt;mso-position-horizontal-relative:page;mso-position-vertical-relative:page;z-index:-31785062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130</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49600" from="75.143997pt,773.856018pt" to="535.773997pt,773.856018pt" stroked="true" strokeweight=".47998pt" strokecolor="#000000">
          <v:stroke dashstyle="solid"/>
          <w10:wrap type="none"/>
        </v:line>
      </w:pict>
    </w:r>
    <w:r>
      <w:rPr/>
      <w:pict>
        <v:shape style="position:absolute;margin-left:297.609985pt;margin-top:774.435974pt;width:15.7pt;height:12pt;mso-position-horizontal-relative:page;mso-position-vertical-relative:page;z-index:-317848576" type="#_x0000_t202" filled="false" stroked="false">
          <v:textbox inset="0,0,0,0">
            <w:txbxContent>
              <w:p>
                <w:pPr>
                  <w:spacing w:before="12"/>
                  <w:ind w:left="20" w:right="0" w:firstLine="0"/>
                  <w:jc w:val="left"/>
                  <w:rPr>
                    <w:rFonts w:ascii="Times New Roman"/>
                    <w:sz w:val="18"/>
                  </w:rPr>
                </w:pPr>
                <w:r>
                  <w:rPr>
                    <w:rFonts w:ascii="Times New Roman"/>
                    <w:sz w:val="18"/>
                  </w:rPr>
                  <w:t>140</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47552" from="75.143997pt,773.856018pt" to="535.773997pt,773.856018pt" stroked="true" strokeweight=".47998pt" strokecolor="#000000">
          <v:stroke dashstyle="solid"/>
          <w10:wrap type="none"/>
        </v:line>
      </w:pict>
    </w:r>
    <w:r>
      <w:rPr/>
      <w:pict>
        <v:shape style="position:absolute;margin-left:296.609985pt;margin-top:774.435974pt;width:17.7pt;height:12pt;mso-position-horizontal-relative:page;mso-position-vertical-relative:page;z-index:-31784652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141</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529999pt;margin-top:788.619934pt;width:17.7pt;height:12pt;mso-position-horizontal-relative:page;mso-position-vertical-relative:page;z-index:-31784345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143</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42432" from="69.503998pt,780.935974pt" to="527.253998pt,780.935974pt" stroked="true" strokeweight=".48004pt" strokecolor="#000000">
          <v:stroke dashstyle="solid"/>
          <w10:wrap type="none"/>
        </v:line>
      </w:pict>
    </w:r>
    <w:r>
      <w:rPr/>
      <w:pict>
        <v:shape style="position:absolute;margin-left:289.529999pt;margin-top:781.515991pt;width:17.7pt;height:12pt;mso-position-horizontal-relative:page;mso-position-vertical-relative:page;z-index:-31784140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144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19232" from="69.503998pt,793.776001pt" to="527.253998pt,793.776001pt" stroked="true" strokeweight=".47998pt" strokecolor="#000000">
          <v:stroke dashstyle="solid"/>
          <w10:wrap type="none"/>
        </v:line>
      </w:pict>
    </w:r>
    <w:r>
      <w:rPr/>
      <w:pict>
        <v:shape style="position:absolute;margin-left:294.089996pt;margin-top:794.379944pt;width:8.5pt;height:12pt;mso-position-horizontal-relative:page;mso-position-vertical-relative:page;z-index:-31791820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38336" from="69.480003pt,534.335999pt" to="773.860003pt,534.335999pt" stroked="true" strokeweight=".47998pt" strokecolor="#000000">
          <v:stroke dashstyle="solid"/>
          <w10:wrap type="none"/>
        </v:line>
      </w:pict>
    </w:r>
    <w:r>
      <w:rPr/>
      <w:pict>
        <v:shape style="position:absolute;margin-left:412.890015pt;margin-top:534.795959pt;width:17.7pt;height:12pt;mso-position-horizontal-relative:page;mso-position-vertical-relative:page;z-index:-31783731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148</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34240" from="75.143997pt,773.856018pt" to="535.773997pt,773.856018pt" stroked="true" strokeweight=".47998pt" strokecolor="#000000">
          <v:stroke dashstyle="solid"/>
          <w10:wrap type="none"/>
        </v:line>
      </w:pict>
    </w:r>
    <w:r>
      <w:rPr/>
      <w:pict>
        <v:shape style="position:absolute;margin-left:296.609985pt;margin-top:774.435974pt;width:17.7pt;height:12pt;mso-position-horizontal-relative:page;mso-position-vertical-relative:page;z-index:-31783321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150</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32192" from="75.143997pt,773.856018pt" to="535.773997pt,773.856018pt" stroked="true" strokeweight=".47998pt" strokecolor="#000000">
          <v:stroke dashstyle="solid"/>
          <w10:wrap type="none"/>
        </v:line>
      </w:pict>
    </w:r>
    <w:r>
      <w:rPr/>
      <w:pict>
        <v:shape style="position:absolute;margin-left:297.609985pt;margin-top:774.435974pt;width:15.7pt;height:12pt;mso-position-horizontal-relative:page;mso-position-vertical-relative:page;z-index:-317831168" type="#_x0000_t202" filled="false" stroked="false">
          <v:textbox inset="0,0,0,0">
            <w:txbxContent>
              <w:p>
                <w:pPr>
                  <w:spacing w:before="12"/>
                  <w:ind w:left="20" w:right="0" w:firstLine="0"/>
                  <w:jc w:val="left"/>
                  <w:rPr>
                    <w:rFonts w:ascii="Times New Roman"/>
                    <w:sz w:val="18"/>
                  </w:rPr>
                </w:pPr>
                <w:r>
                  <w:rPr>
                    <w:rFonts w:ascii="Times New Roman"/>
                    <w:sz w:val="18"/>
                  </w:rPr>
                  <w:t>160</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30144" from="75.143997pt,773.856018pt" to="535.773997pt,773.856018pt" stroked="true" strokeweight=".47998pt" strokecolor="#000000">
          <v:stroke dashstyle="solid"/>
          <w10:wrap type="none"/>
        </v:line>
      </w:pict>
    </w:r>
    <w:r>
      <w:rPr/>
      <w:pict>
        <v:shape style="position:absolute;margin-left:296.609985pt;margin-top:774.435974pt;width:17.7pt;height:12pt;mso-position-horizontal-relative:page;mso-position-vertical-relative:page;z-index:-31782912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161</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26048" from="70.559998pt,541.416016pt" to="772.779998pt,541.416016pt" stroked="true" strokeweight=".47998pt" strokecolor="#000000">
          <v:stroke dashstyle="solid"/>
          <w10:wrap type="none"/>
        </v:line>
      </w:pict>
    </w:r>
    <w:r>
      <w:rPr/>
      <w:pict>
        <v:shape style="position:absolute;margin-left:412.890015pt;margin-top:541.995972pt;width:16.7pt;height:12pt;mso-position-horizontal-relative:page;mso-position-vertical-relative:page;z-index:-31782502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16</w:t>
                </w:r>
                <w:r>
                  <w:rPr/>
                  <w:fldChar w:fldCharType="end"/>
                </w:r>
                <w:r>
                  <w:rPr>
                    <w:rFonts w:ascii="Times New Roman"/>
                    <w:sz w:val="18"/>
                  </w:rPr>
                  <w:t>9</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21952" from="69.503998pt,788.015991pt" to="527.253998pt,788.015991pt" stroked="true" strokeweight=".47998pt" strokecolor="#000000">
          <v:stroke dashstyle="solid"/>
          <w10:wrap type="none"/>
        </v:line>
      </w:pict>
    </w:r>
    <w:r>
      <w:rPr/>
      <w:pict>
        <v:shape style="position:absolute;margin-left:289.529999pt;margin-top:788.595947pt;width:17.7pt;height:12pt;mso-position-horizontal-relative:page;mso-position-vertical-relative:page;z-index:-31782092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171</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19904" from="69.503998pt,788.015991pt" to="527.253998pt,788.015991pt" stroked="true" strokeweight=".47998pt" strokecolor="#000000">
          <v:stroke dashstyle="solid"/>
          <w10:wrap type="none"/>
        </v:line>
      </w:pict>
    </w:r>
    <w:r>
      <w:rPr/>
      <w:pict>
        <v:shape style="position:absolute;margin-left:290.529999pt;margin-top:788.595947pt;width:15.7pt;height:12pt;mso-position-horizontal-relative:page;mso-position-vertical-relative:page;z-index:-317818880" type="#_x0000_t202" filled="false" stroked="false">
          <v:textbox inset="0,0,0,0">
            <w:txbxContent>
              <w:p>
                <w:pPr>
                  <w:spacing w:before="12"/>
                  <w:ind w:left="20" w:right="0" w:firstLine="0"/>
                  <w:jc w:val="left"/>
                  <w:rPr>
                    <w:rFonts w:ascii="Times New Roman"/>
                    <w:sz w:val="18"/>
                  </w:rPr>
                </w:pPr>
                <w:r>
                  <w:rPr>
                    <w:rFonts w:ascii="Times New Roman"/>
                    <w:sz w:val="18"/>
                  </w:rPr>
                  <w:t>180</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17856" from="69.503998pt,788.015991pt" to="527.253998pt,788.015991pt" stroked="true" strokeweight=".47998pt" strokecolor="#000000">
          <v:stroke dashstyle="solid"/>
          <w10:wrap type="none"/>
        </v:line>
      </w:pict>
    </w:r>
    <w:r>
      <w:rPr/>
      <w:pict>
        <v:shape style="position:absolute;margin-left:289.529999pt;margin-top:788.595947pt;width:17.7pt;height:12pt;mso-position-horizontal-relative:page;mso-position-vertical-relative:page;z-index:-31781683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181</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15808" from="69.503998pt,788.015991pt" to="527.253998pt,788.015991pt" stroked="true" strokeweight=".47998pt" strokecolor="#000000">
          <v:stroke dashstyle="solid"/>
          <w10:wrap type="none"/>
        </v:line>
      </w:pict>
    </w:r>
    <w:r>
      <w:rPr/>
      <w:pict>
        <v:shape style="position:absolute;margin-left:290.529999pt;margin-top:788.595947pt;width:15.7pt;height:12pt;mso-position-horizontal-relative:page;mso-position-vertical-relative:page;z-index:-317814784" type="#_x0000_t202" filled="false" stroked="false">
          <v:textbox inset="0,0,0,0">
            <w:txbxContent>
              <w:p>
                <w:pPr>
                  <w:spacing w:before="12"/>
                  <w:ind w:left="20" w:right="0" w:firstLine="0"/>
                  <w:jc w:val="left"/>
                  <w:rPr>
                    <w:rFonts w:ascii="Times New Roman"/>
                    <w:sz w:val="18"/>
                  </w:rPr>
                </w:pPr>
                <w:r>
                  <w:rPr>
                    <w:rFonts w:ascii="Times New Roman"/>
                    <w:sz w:val="18"/>
                  </w:rPr>
                  <w:t>190</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13760" from="69.503998pt,788.015991pt" to="527.253998pt,788.015991pt" stroked="true" strokeweight=".47998pt" strokecolor="#000000">
          <v:stroke dashstyle="solid"/>
          <w10:wrap type="none"/>
        </v:line>
      </w:pict>
    </w:r>
    <w:r>
      <w:rPr/>
      <w:pict>
        <v:shape style="position:absolute;margin-left:289.529999pt;margin-top:788.595947pt;width:17.7pt;height:12pt;mso-position-horizontal-relative:page;mso-position-vertical-relative:page;z-index:-31781273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191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15136" from="69.503998pt,780.935974pt" to="527.253998pt,780.935974pt" stroked="true" strokeweight=".48004pt" strokecolor="#000000">
          <v:stroke dashstyle="solid"/>
          <w10:wrap type="none"/>
        </v:line>
      </w:pict>
    </w:r>
    <w:r>
      <w:rPr/>
      <w:pict>
        <v:shape style="position:absolute;margin-left:291.809998pt;margin-top:781.515991pt;width:13.15pt;height:12pt;mso-position-horizontal-relative:page;mso-position-vertical-relative:page;z-index:-31791411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10</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11712" from="71.449997pt,781.049988pt" to="513.199997pt,781.049988pt" stroked="true" strokeweight=".75pt" strokecolor="#000000">
          <v:stroke dashstyle="solid"/>
          <w10:wrap type="none"/>
        </v:line>
      </w:pict>
    </w:r>
    <w:r>
      <w:rPr/>
      <w:pict>
        <v:shape style="position:absolute;margin-left:289.529999pt;margin-top:781.395935pt;width:17.7pt;height:12pt;mso-position-horizontal-relative:page;mso-position-vertical-relative:page;z-index:-31781068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204</w:t>
                </w:r>
                <w:r>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09664" from="71.449997pt,781.049988pt" to="513.199997pt,781.049988pt" stroked="true" strokeweight=".75pt" strokecolor="#000000">
          <v:stroke dashstyle="solid"/>
          <w10:wrap type="none"/>
        </v:line>
      </w:pict>
    </w:r>
    <w:r>
      <w:rPr/>
      <w:pict>
        <v:shape style="position:absolute;margin-left:290.529999pt;margin-top:781.395935pt;width:15.7pt;height:12pt;mso-position-horizontal-relative:page;mso-position-vertical-relative:page;z-index:-317808640" type="#_x0000_t202" filled="false" stroked="false">
          <v:textbox inset="0,0,0,0">
            <w:txbxContent>
              <w:p>
                <w:pPr>
                  <w:spacing w:before="12"/>
                  <w:ind w:left="20" w:right="0" w:firstLine="0"/>
                  <w:jc w:val="left"/>
                  <w:rPr>
                    <w:rFonts w:ascii="Times New Roman"/>
                    <w:sz w:val="18"/>
                  </w:rPr>
                </w:pPr>
                <w:r>
                  <w:rPr>
                    <w:rFonts w:ascii="Times New Roman"/>
                    <w:sz w:val="18"/>
                  </w:rPr>
                  <w:t>210</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07616" from="71.449997pt,781.049988pt" to="513.199997pt,781.049988pt" stroked="true" strokeweight=".75pt" strokecolor="#000000">
          <v:stroke dashstyle="solid"/>
          <w10:wrap type="none"/>
        </v:line>
      </w:pict>
    </w:r>
    <w:r>
      <w:rPr/>
      <w:pict>
        <v:shape style="position:absolute;margin-left:289.529999pt;margin-top:781.395935pt;width:17.7pt;height:12pt;mso-position-horizontal-relative:page;mso-position-vertical-relative:page;z-index:-31780659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212</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05568" from="71.449997pt,781.049988pt" to="513.199997pt,781.049988pt" stroked="true" strokeweight=".75pt" strokecolor="#000000">
          <v:stroke dashstyle="solid"/>
          <w10:wrap type="none"/>
        </v:line>
      </w:pict>
    </w:r>
    <w:r>
      <w:rPr/>
      <w:pict>
        <v:shape style="position:absolute;margin-left:290.529999pt;margin-top:781.395935pt;width:15.7pt;height:12pt;mso-position-horizontal-relative:page;mso-position-vertical-relative:page;z-index:-317804544" type="#_x0000_t202" filled="false" stroked="false">
          <v:textbox inset="0,0,0,0">
            <w:txbxContent>
              <w:p>
                <w:pPr>
                  <w:spacing w:before="12"/>
                  <w:ind w:left="20" w:right="0" w:firstLine="0"/>
                  <w:jc w:val="left"/>
                  <w:rPr>
                    <w:rFonts w:ascii="Times New Roman"/>
                    <w:sz w:val="18"/>
                  </w:rPr>
                </w:pPr>
                <w:r>
                  <w:rPr>
                    <w:rFonts w:ascii="Times New Roman"/>
                    <w:sz w:val="18"/>
                  </w:rPr>
                  <w:t>220</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03520" from="71.449997pt,781.049988pt" to="513.199997pt,781.049988pt" stroked="true" strokeweight=".75pt" strokecolor="#000000">
          <v:stroke dashstyle="solid"/>
          <w10:wrap type="none"/>
        </v:line>
      </w:pict>
    </w:r>
    <w:r>
      <w:rPr/>
      <w:pict>
        <v:shape style="position:absolute;margin-left:289.529999pt;margin-top:781.395935pt;width:17.7pt;height:12pt;mso-position-horizontal-relative:page;mso-position-vertical-relative:page;z-index:-31780249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221</w:t>
                </w:r>
                <w:r>
                  <w:rPr/>
                  <w:fldChar w:fldCharType="end"/>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01472" from="71.449997pt,781.049988pt" to="513.199997pt,781.049988pt" stroked="true" strokeweight=".75pt" strokecolor="#000000">
          <v:stroke dashstyle="solid"/>
          <w10:wrap type="none"/>
        </v:line>
      </w:pict>
    </w:r>
    <w:r>
      <w:rPr/>
      <w:pict>
        <v:shape style="position:absolute;margin-left:290.529999pt;margin-top:781.395935pt;width:15.7pt;height:12pt;mso-position-horizontal-relative:page;mso-position-vertical-relative:page;z-index:-317800448" type="#_x0000_t202" filled="false" stroked="false">
          <v:textbox inset="0,0,0,0">
            <w:txbxContent>
              <w:p>
                <w:pPr>
                  <w:spacing w:before="12"/>
                  <w:ind w:left="20" w:right="0" w:firstLine="0"/>
                  <w:jc w:val="left"/>
                  <w:rPr>
                    <w:rFonts w:ascii="Times New Roman"/>
                    <w:sz w:val="18"/>
                  </w:rPr>
                </w:pPr>
                <w:r>
                  <w:rPr>
                    <w:rFonts w:ascii="Times New Roman"/>
                    <w:sz w:val="18"/>
                  </w:rPr>
                  <w:t>230</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99424" from="71.449997pt,781.049988pt" to="513.199997pt,781.049988pt" stroked="true" strokeweight=".75pt" strokecolor="#000000">
          <v:stroke dashstyle="solid"/>
          <w10:wrap type="none"/>
        </v:line>
      </w:pict>
    </w:r>
    <w:r>
      <w:rPr/>
      <w:pict>
        <v:shape style="position:absolute;margin-left:289.529999pt;margin-top:781.395935pt;width:17.7pt;height:12pt;mso-position-horizontal-relative:page;mso-position-vertical-relative:page;z-index:-31779840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231</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97376" from="71.449997pt,788.25pt" to="513.199997pt,788.25pt" stroked="true" strokeweight=".75pt" strokecolor="#000000">
          <v:stroke dashstyle="solid"/>
          <w10:wrap type="none"/>
        </v:line>
      </w:pict>
    </w:r>
    <w:r>
      <w:rPr/>
      <w:pict>
        <v:shape style="position:absolute;margin-left:289.529999pt;margin-top:788.619934pt;width:16.7pt;height:12pt;mso-position-horizontal-relative:page;mso-position-vertical-relative:page;z-index:-31779635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23</w:t>
                </w:r>
                <w:r>
                  <w:rPr/>
                  <w:fldChar w:fldCharType="end"/>
                </w:r>
                <w:r>
                  <w:rPr>
                    <w:rFonts w:ascii="Times New Roman"/>
                    <w:sz w:val="18"/>
                  </w:rPr>
                  <w:t>9</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95328" from="71.449997pt,788.25pt" to="513.199997pt,788.25pt" stroked="true" strokeweight=".75pt" strokecolor="#000000">
          <v:stroke dashstyle="solid"/>
          <w10:wrap type="none"/>
        </v:line>
      </w:pict>
    </w:r>
    <w:r>
      <w:rPr/>
      <w:pict>
        <v:shape style="position:absolute;margin-left:289.529999pt;margin-top:788.619934pt;width:17.7pt;height:12pt;mso-position-horizontal-relative:page;mso-position-vertical-relative:page;z-index:-31779430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241</w:t>
                </w:r>
                <w:r>
                  <w:rPr/>
                  <w:fldChar w:fldCharType="end"/>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93280" from="71.050003pt,785pt" to="523.850003pt,784.75pt" stroked="true" strokeweight=".75pt" strokecolor="#000000">
          <v:stroke dashstyle="solid"/>
          <w10:wrap type="none"/>
        </v:line>
      </w:pict>
    </w:r>
    <w:r>
      <w:rPr/>
      <w:pict>
        <v:shape style="position:absolute;margin-left:289.529999pt;margin-top:788.595947pt;width:17.7pt;height:12pt;mso-position-horizontal-relative:page;mso-position-vertical-relative:page;z-index:-31779225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245</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11040" from="69.480003pt,534.335999pt" to="773.860003pt,534.335999pt" stroked="true" strokeweight=".47998pt" strokecolor="#000000">
          <v:stroke dashstyle="solid"/>
          <w10:wrap type="none"/>
        </v:line>
      </w:pict>
    </w:r>
    <w:r>
      <w:rPr/>
      <w:pict>
        <v:shape style="position:absolute;margin-left:415.170013pt;margin-top:534.795959pt;width:13.15pt;height:12pt;mso-position-horizontal-relative:page;mso-position-vertical-relative:page;z-index:-31791001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33</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91232" from="71.050003pt,784.899963pt" to="523.850003pt,784.649963pt" stroked="true" strokeweight=".75pt" strokecolor="#000000">
          <v:stroke dashstyle="solid"/>
          <w10:wrap type="none"/>
        </v:line>
      </w:pict>
    </w:r>
    <w:r>
      <w:rPr/>
      <w:pict>
        <v:shape style="position:absolute;margin-left:290.529999pt;margin-top:788.475952pt;width:15.7pt;height:12pt;mso-position-horizontal-relative:page;mso-position-vertical-relative:page;z-index:-317790208" type="#_x0000_t202" filled="false" stroked="false">
          <v:textbox inset="0,0,0,0">
            <w:txbxContent>
              <w:p>
                <w:pPr>
                  <w:spacing w:before="12"/>
                  <w:ind w:left="20" w:right="0" w:firstLine="0"/>
                  <w:jc w:val="left"/>
                  <w:rPr>
                    <w:rFonts w:ascii="Times New Roman"/>
                    <w:sz w:val="18"/>
                  </w:rPr>
                </w:pPr>
                <w:r>
                  <w:rPr>
                    <w:rFonts w:ascii="Times New Roman"/>
                    <w:sz w:val="18"/>
                  </w:rPr>
                  <w:t>250</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89184" from="71.050003pt,784.899963pt" to="523.850003pt,784.649963pt" stroked="true" strokeweight=".75pt" strokecolor="#000000">
          <v:stroke dashstyle="solid"/>
          <w10:wrap type="none"/>
        </v:line>
      </w:pict>
    </w:r>
    <w:r>
      <w:rPr/>
      <w:pict>
        <v:shape style="position:absolute;margin-left:289.529999pt;margin-top:788.475952pt;width:17.7pt;height:12pt;mso-position-horizontal-relative:page;mso-position-vertical-relative:page;z-index:-31778816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251</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87136" from="71.050003pt,784.899963pt" to="523.850003pt,784.649963pt" stroked="true" strokeweight=".75pt" strokecolor="#000000">
          <v:stroke dashstyle="solid"/>
          <w10:wrap type="none"/>
        </v:line>
      </w:pict>
    </w:r>
    <w:r>
      <w:rPr/>
      <w:pict>
        <v:shape style="position:absolute;margin-left:290.529999pt;margin-top:788.475952pt;width:15.7pt;height:12pt;mso-position-horizontal-relative:page;mso-position-vertical-relative:page;z-index:-317786112" type="#_x0000_t202" filled="false" stroked="false">
          <v:textbox inset="0,0,0,0">
            <w:txbxContent>
              <w:p>
                <w:pPr>
                  <w:spacing w:before="12"/>
                  <w:ind w:left="20" w:right="0" w:firstLine="0"/>
                  <w:jc w:val="left"/>
                  <w:rPr>
                    <w:rFonts w:ascii="Times New Roman"/>
                    <w:sz w:val="18"/>
                  </w:rPr>
                </w:pPr>
                <w:r>
                  <w:rPr>
                    <w:rFonts w:ascii="Times New Roman"/>
                    <w:sz w:val="18"/>
                  </w:rPr>
                  <w:t>260</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85088" from="71.050003pt,784.899963pt" to="523.850003pt,784.649963pt" stroked="true" strokeweight=".75pt" strokecolor="#000000">
          <v:stroke dashstyle="solid"/>
          <w10:wrap type="none"/>
        </v:line>
      </w:pict>
    </w:r>
    <w:r>
      <w:rPr/>
      <w:pict>
        <v:shape style="position:absolute;margin-left:289.529999pt;margin-top:788.475952pt;width:17.7pt;height:12pt;mso-position-horizontal-relative:page;mso-position-vertical-relative:page;z-index:-31778406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261</w:t>
                </w:r>
                <w:r>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80992" from="71.050003pt,538.299988pt" to="523.850003pt,538.049988pt" stroked="true" strokeweight=".75pt" strokecolor="#000000">
          <v:stroke dashstyle="solid"/>
          <w10:wrap type="none"/>
        </v:line>
      </w:pict>
    </w:r>
    <w:r>
      <w:rPr/>
      <w:pict>
        <v:shape style="position:absolute;margin-left:412.890015pt;margin-top:541.875977pt;width:17.7pt;height:12pt;mso-position-horizontal-relative:page;mso-position-vertical-relative:page;z-index:-31777996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265</w:t>
                </w:r>
                <w:r>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78944" from="71.050003pt,538.299988pt" to="523.850003pt,538.049988pt" stroked="true" strokeweight=".75pt" strokecolor="#000000">
          <v:stroke dashstyle="solid"/>
          <w10:wrap type="none"/>
        </v:line>
      </w:pict>
    </w:r>
    <w:r>
      <w:rPr/>
      <w:pict>
        <v:shape style="position:absolute;margin-left:413.890015pt;margin-top:541.875977pt;width:15.7pt;height:12pt;mso-position-horizontal-relative:page;mso-position-vertical-relative:page;z-index:-317777920" type="#_x0000_t202" filled="false" stroked="false">
          <v:textbox inset="0,0,0,0">
            <w:txbxContent>
              <w:p>
                <w:pPr>
                  <w:spacing w:before="12"/>
                  <w:ind w:left="20" w:right="0" w:firstLine="0"/>
                  <w:jc w:val="left"/>
                  <w:rPr>
                    <w:rFonts w:ascii="Times New Roman"/>
                    <w:sz w:val="18"/>
                  </w:rPr>
                </w:pPr>
                <w:r>
                  <w:rPr>
                    <w:rFonts w:ascii="Times New Roman"/>
                    <w:sz w:val="18"/>
                  </w:rPr>
                  <w:t>270</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74848" from="71.050003pt,784.899963pt" to="523.850003pt,784.649963pt" stroked="true" strokeweight=".75pt" strokecolor="#000000">
          <v:stroke dashstyle="solid"/>
          <w10:wrap type="none"/>
        </v:line>
      </w:pict>
    </w:r>
    <w:r>
      <w:rPr/>
      <w:pict>
        <v:shape style="position:absolute;margin-left:289.529999pt;margin-top:788.475952pt;width:17.7pt;height:12pt;mso-position-horizontal-relative:page;mso-position-vertical-relative:page;z-index:-31777382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271</w:t>
                </w:r>
                <w:r>
                  <w:rPr/>
                  <w:fldChar w:fldCharType="end"/>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72800" from="71.050003pt,777.799988pt" to="523.850003pt,777.549988pt" stroked="true" strokeweight=".75pt" strokecolor="#000000">
          <v:stroke dashstyle="solid"/>
          <w10:wrap type="none"/>
        </v:line>
      </w:pict>
    </w:r>
    <w:r>
      <w:rPr/>
      <w:pict>
        <v:shape style="position:absolute;margin-left:289.529999pt;margin-top:781.395935pt;width:17.7pt;height:12pt;mso-position-horizontal-relative:page;mso-position-vertical-relative:page;z-index:-317771776"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277</w:t>
                </w:r>
                <w:r>
                  <w:rPr/>
                  <w:fldChar w:fldCharType="end"/>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70752" from="71.050003pt,777.799988pt" to="523.850003pt,777.549988pt" stroked="true" strokeweight=".75pt" strokecolor="#000000">
          <v:stroke dashstyle="solid"/>
          <w10:wrap type="none"/>
        </v:line>
      </w:pict>
    </w:r>
    <w:r>
      <w:rPr/>
      <w:pict>
        <v:shape style="position:absolute;margin-left:290.529999pt;margin-top:781.395935pt;width:15.7pt;height:12pt;mso-position-horizontal-relative:page;mso-position-vertical-relative:page;z-index:-317769728" type="#_x0000_t202" filled="false" stroked="false">
          <v:textbox inset="0,0,0,0">
            <w:txbxContent>
              <w:p>
                <w:pPr>
                  <w:spacing w:before="12"/>
                  <w:ind w:left="20" w:right="0" w:firstLine="0"/>
                  <w:jc w:val="left"/>
                  <w:rPr>
                    <w:rFonts w:ascii="Times New Roman"/>
                    <w:sz w:val="18"/>
                  </w:rPr>
                </w:pPr>
                <w:r>
                  <w:rPr>
                    <w:rFonts w:ascii="Times New Roman"/>
                    <w:sz w:val="18"/>
                  </w:rPr>
                  <w:t>280</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68704" from="71.050003pt,777.799988pt" to="523.850003pt,777.549988pt" stroked="true" strokeweight=".75pt" strokecolor="#000000">
          <v:stroke dashstyle="solid"/>
          <w10:wrap type="none"/>
        </v:line>
      </w:pict>
    </w:r>
    <w:r>
      <w:rPr/>
      <w:pict>
        <v:shape style="position:absolute;margin-left:289.529999pt;margin-top:781.395935pt;width:17.7pt;height:12pt;mso-position-horizontal-relative:page;mso-position-vertical-relative:page;z-index:-31776768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281</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06944" from="69.503998pt,780.935974pt" to="527.253998pt,780.935974pt" stroked="true" strokeweight=".48004pt" strokecolor="#000000">
          <v:stroke dashstyle="solid"/>
          <w10:wrap type="none"/>
        </v:line>
      </w:pict>
    </w:r>
    <w:r>
      <w:rPr/>
      <w:pict>
        <v:shape style="position:absolute;margin-left:291.809998pt;margin-top:781.515991pt;width:13.15pt;height:12pt;mso-position-horizontal-relative:page;mso-position-vertical-relative:page;z-index:-317905920"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35</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02848" from="69.503998pt,793.776001pt" to="527.253998pt,793.776001pt" stroked="true" strokeweight=".47998pt" strokecolor="#000000">
          <v:stroke dashstyle="solid"/>
          <w10:wrap type="none"/>
        </v:line>
      </w:pict>
    </w:r>
    <w:r>
      <w:rPr/>
      <w:pict>
        <v:shape style="position:absolute;margin-left:291.809998pt;margin-top:794.379944pt;width:13.15pt;height:12pt;mso-position-horizontal-relative:page;mso-position-vertical-relative:page;z-index:-317901824"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42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98752" from="69.480003pt,547.055969pt" to="773.860003pt,547.055969pt" stroked="true" strokeweight=".48004pt" strokecolor="#000000">
          <v:stroke dashstyle="solid"/>
          <w10:wrap type="none"/>
        </v:line>
      </w:pict>
    </w:r>
    <w:r>
      <w:rPr/>
      <w:pict>
        <v:shape style="position:absolute;margin-left:415.170013pt;margin-top:547.635986pt;width:13.15pt;height:12pt;mso-position-horizontal-relative:page;mso-position-vertical-relative:page;z-index:-31789772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64</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94656" from="69.503998pt,793.776001pt" to="527.253998pt,793.776001pt" stroked="true" strokeweight=".47998pt" strokecolor="#000000">
          <v:stroke dashstyle="solid"/>
          <w10:wrap type="none"/>
        </v:line>
      </w:pict>
    </w:r>
    <w:r>
      <w:rPr/>
      <w:pict>
        <v:shape style="position:absolute;margin-left:291.809998pt;margin-top:794.379944pt;width:13.15pt;height:12pt;mso-position-horizontal-relative:page;mso-position-vertical-relative:page;z-index:-317893632"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66</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27424" from="69.503998pt,62.159977pt" to="526.053998pt,62.159977pt" stroked="true" strokeweight=".72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126.82pt;margin-top:49.179958pt;width:341.9pt;height:12pt;mso-position-horizontal-relative:page;mso-position-vertical-relative:page;z-index:-317926400"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88512" from="69.503998pt,55.559982pt" to="525.933998pt,55.559982pt" stroked="true" strokeweight=".72pt" strokecolor="#000000">
          <v:stroke dashstyle="solid"/>
          <w10:wrap type="none"/>
        </v:line>
      </w:pict>
    </w:r>
    <w:r>
      <w:rPr/>
      <w:pict>
        <v:shape style="position:absolute;margin-left:126.82pt;margin-top:42.579964pt;width:341.9pt;height:12pt;mso-position-horizontal-relative:page;mso-position-vertical-relative:page;z-index:-317887488"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83392" from="69.503998pt,55.559978pt" to="526.053998pt,55.559978pt" stroked="true" strokeweight=".72pt" strokecolor="#000000">
          <v:stroke dashstyle="solid"/>
          <w10:wrap type="none"/>
        </v:line>
      </w:pict>
    </w:r>
    <w:r>
      <w:rPr/>
      <w:pict>
        <v:shape style="position:absolute;margin-left:126.82pt;margin-top:42.57996pt;width:341.9pt;height:12pt;mso-position-horizontal-relative:page;mso-position-vertical-relative:page;z-index:-317882368"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78272" from="69.503998pt,48.479977pt" to="526.053998pt,48.479977pt" stroked="true" strokeweight=".72pt" strokecolor="#000000">
          <v:stroke dashstyle="solid"/>
          <w10:wrap type="none"/>
        </v:line>
      </w:pict>
    </w:r>
    <w:r>
      <w:rPr/>
      <w:pict>
        <v:shape style="position:absolute;margin-left:126.82pt;margin-top:35.499958pt;width:341.9pt;height:12pt;mso-position-horizontal-relative:page;mso-position-vertical-relative:page;z-index:-317877248"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75200" from="69.480003pt,48.480007pt" to="772.660003pt,48.480007pt" stroked="true" strokeweight=".72pt" strokecolor="#000000">
          <v:stroke dashstyle="solid"/>
          <w10:wrap type="none"/>
        </v:line>
      </w:pict>
    </w:r>
    <w:r>
      <w:rPr/>
      <w:pict>
        <v:shape style="position:absolute;margin-left:250.179993pt;margin-top:35.499989pt;width:341.9pt;height:12pt;mso-position-horizontal-relative:page;mso-position-vertical-relative:page;z-index:-317874176"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71104" from="69.503998pt,48.479977pt" to="526.053998pt,48.479977pt" stroked="true" strokeweight=".72pt" strokecolor="#000000">
          <v:stroke dashstyle="solid"/>
          <w10:wrap type="none"/>
        </v:line>
      </w:pict>
    </w:r>
    <w:r>
      <w:rPr/>
      <w:pict>
        <v:shape style="position:absolute;margin-left:126.82pt;margin-top:35.499958pt;width:341.9pt;height:12pt;mso-position-horizontal-relative:page;mso-position-vertical-relative:page;z-index:-317870080"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63936" from="69.503998pt,62.159977pt" to="526.053998pt,62.159977pt" stroked="true" strokeweight=".72pt" strokecolor="#000000">
          <v:stroke dashstyle="solid"/>
          <w10:wrap type="none"/>
        </v:line>
      </w:pict>
    </w:r>
    <w:r>
      <w:rPr/>
      <w:pict>
        <v:shape style="position:absolute;margin-left:126.82pt;margin-top:49.179958pt;width:341.9pt;height:12pt;mso-position-horizontal-relative:page;mso-position-vertical-relative:page;z-index:-317862912"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57792" from="69.503998pt,55.559982pt" to="525.933998pt,55.559982pt" stroked="true" strokeweight=".72pt" strokecolor="#000000">
          <v:stroke dashstyle="solid"/>
          <w10:wrap type="none"/>
        </v:line>
      </w:pict>
    </w:r>
    <w:r>
      <w:rPr/>
      <w:pict>
        <v:shape style="position:absolute;margin-left:126.82pt;margin-top:42.699963pt;width:341.9pt;height:12pt;mso-position-horizontal-relative:page;mso-position-vertical-relative:page;z-index:-317856768"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21280" from="69.503998pt,48.479977pt" to="526.053998pt,48.479977pt" stroked="true" strokeweight=".72pt" strokecolor="#000000">
          <v:stroke dashstyle="solid"/>
          <w10:wrap type="none"/>
        </v:line>
      </w:pict>
    </w:r>
    <w:r>
      <w:rPr/>
      <w:pict>
        <v:shape style="position:absolute;margin-left:126.82pt;margin-top:35.499958pt;width:341.9pt;height:12pt;mso-position-horizontal-relative:page;mso-position-vertical-relative:page;z-index:-317920256"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53696" from="75.143997pt,62.159977pt" to="534.573997pt,62.159977pt" stroked="true" strokeweight=".72pt" strokecolor="#000000">
          <v:stroke dashstyle="solid"/>
          <w10:wrap type="none"/>
        </v:line>
      </w:pict>
    </w:r>
    <w:r>
      <w:rPr/>
      <w:pict>
        <v:shape style="position:absolute;margin-left:133.899994pt;margin-top:49.179958pt;width:341.9pt;height:12pt;mso-position-horizontal-relative:page;mso-position-vertical-relative:page;z-index:-317852672"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45504" from="69.503998pt,55.559978pt" to="526.053998pt,55.559978pt" stroked="true" strokeweight=".72pt" strokecolor="#000000">
          <v:stroke dashstyle="solid"/>
          <w10:wrap type="none"/>
        </v:line>
      </w:pict>
    </w:r>
    <w:r>
      <w:rPr/>
      <w:pict>
        <v:shape style="position:absolute;margin-left:126.82pt;margin-top:42.57996pt;width:341.9pt;height:12pt;mso-position-horizontal-relative:page;mso-position-vertical-relative:page;z-index:-317844480"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40384" from="69.480003pt,55.560009pt" to="772.540003pt,55.560009pt" stroked="true" strokeweight=".72pt" strokecolor="#000000">
          <v:stroke dashstyle="solid"/>
          <w10:wrap type="none"/>
        </v:line>
      </w:pict>
    </w:r>
    <w:r>
      <w:rPr/>
      <w:pict>
        <v:shape style="position:absolute;margin-left:250.059998pt;margin-top:42.699989pt;width:341.9pt;height:12pt;mso-position-horizontal-relative:page;mso-position-vertical-relative:page;z-index:-317839360"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36288" from="75.143997pt,62.159977pt" to="534.573997pt,62.159977pt" stroked="true" strokeweight=".72pt" strokecolor="#000000">
          <v:stroke dashstyle="solid"/>
          <w10:wrap type="none"/>
        </v:line>
      </w:pict>
    </w:r>
    <w:r>
      <w:rPr/>
      <w:pict>
        <v:shape style="position:absolute;margin-left:133.899994pt;margin-top:49.179958pt;width:341.9pt;height:12pt;mso-position-horizontal-relative:page;mso-position-vertical-relative:page;z-index:-317835264"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28096" from="70.559998pt,62.160007pt" to="771.579998pt,62.160007pt" stroked="true" strokeweight=".72pt" strokecolor="#000000">
          <v:stroke dashstyle="solid"/>
          <w10:wrap type="none"/>
        </v:line>
      </w:pict>
    </w:r>
    <w:r>
      <w:rPr/>
      <w:pict>
        <v:shape style="position:absolute;margin-left:250.179993pt;margin-top:49.179989pt;width:341.9pt;height:12pt;mso-position-horizontal-relative:page;mso-position-vertical-relative:page;z-index:-317827072"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24000" from="69.503998pt,55.559982pt" to="525.933998pt,55.559982pt" stroked="true" strokeweight=".72pt" strokecolor="#000000">
          <v:stroke dashstyle="solid"/>
          <w10:wrap type="none"/>
        </v:line>
      </w:pict>
    </w:r>
    <w:r>
      <w:rPr/>
      <w:pict>
        <v:shape style="position:absolute;margin-left:126.82pt;margin-top:42.459965pt;width:341.9pt;height:12pt;mso-position-horizontal-relative:page;mso-position-vertical-relative:page;z-index:-317822976"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83040" from="69.480003pt,55.560009pt" to="772.540003pt,55.560009pt" stroked="true" strokeweight=".72pt" strokecolor="#000000">
          <v:stroke dashstyle="solid"/>
          <w10:wrap type="none"/>
        </v:line>
      </w:pict>
    </w:r>
    <w:r>
      <w:rPr/>
      <w:pict>
        <v:shape style="position:absolute;margin-left:250.059998pt;margin-top:42.579987pt;width:341.9pt;height:12pt;mso-position-horizontal-relative:page;mso-position-vertical-relative:page;z-index:-317782016"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776896" from="69.503998pt,55.559982pt" to="525.933998pt,55.559982pt" stroked="true" strokeweight=".72pt" strokecolor="#000000">
          <v:stroke dashstyle="solid"/>
          <w10:wrap type="none"/>
        </v:line>
      </w:pict>
    </w:r>
    <w:r>
      <w:rPr/>
      <w:pict>
        <v:shape style="position:absolute;margin-left:126.82pt;margin-top:42.579964pt;width:341.9pt;height:12pt;mso-position-horizontal-relative:page;mso-position-vertical-relative:page;z-index:-317775872"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17184" from="69.503998pt,55.559982pt" to="525.933998pt,55.559982pt" stroked="true" strokeweight=".72pt" strokecolor="#000000">
          <v:stroke dashstyle="solid"/>
          <w10:wrap type="none"/>
        </v:line>
      </w:pict>
    </w:r>
    <w:r>
      <w:rPr/>
      <w:pict>
        <v:shape style="position:absolute;margin-left:126.82pt;margin-top:42.699963pt;width:341.9pt;height:12pt;mso-position-horizontal-relative:page;mso-position-vertical-relative:page;z-index:-317916160"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13088" from="69.480003pt,55.560009pt" to="772.540003pt,55.560009pt" stroked="true" strokeweight=".72pt" strokecolor="#000000">
          <v:stroke dashstyle="solid"/>
          <w10:wrap type="none"/>
        </v:line>
      </w:pict>
    </w:r>
    <w:r>
      <w:rPr/>
      <w:pict>
        <v:shape style="position:absolute;margin-left:250.059998pt;margin-top:42.699989pt;width:341.9pt;height:12pt;mso-position-horizontal-relative:page;mso-position-vertical-relative:page;z-index:-317912064"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08992" from="69.503998pt,55.559982pt" to="525.933998pt,55.559982pt" stroked="true" strokeweight=".72pt" strokecolor="#000000">
          <v:stroke dashstyle="solid"/>
          <w10:wrap type="none"/>
        </v:line>
      </w:pict>
    </w:r>
    <w:r>
      <w:rPr/>
      <w:pict>
        <v:shape style="position:absolute;margin-left:126.82pt;margin-top:42.699963pt;width:341.9pt;height:12pt;mso-position-horizontal-relative:page;mso-position-vertical-relative:page;z-index:-317907968"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04896" from="69.503998pt,48.479977pt" to="526.053998pt,48.479977pt" stroked="true" strokeweight=".72pt" strokecolor="#000000">
          <v:stroke dashstyle="solid"/>
          <w10:wrap type="none"/>
        </v:line>
      </w:pict>
    </w:r>
    <w:r>
      <w:rPr/>
      <w:pict>
        <v:shape style="position:absolute;margin-left:126.82pt;margin-top:35.499958pt;width:341.9pt;height:12pt;mso-position-horizontal-relative:page;mso-position-vertical-relative:page;z-index:-317903872"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900800" from="69.480003pt,48.480007pt" to="772.660003pt,48.480007pt" stroked="true" strokeweight=".72pt" strokecolor="#000000">
          <v:stroke dashstyle="solid"/>
          <w10:wrap type="none"/>
        </v:line>
      </w:pict>
    </w:r>
    <w:r>
      <w:rPr/>
      <w:pict>
        <v:shape style="position:absolute;margin-left:250.179993pt;margin-top:35.499989pt;width:341.9pt;height:12pt;mso-position-horizontal-relative:page;mso-position-vertical-relative:page;z-index:-317899776"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96704" from="69.503998pt,48.479977pt" to="526.053998pt,48.479977pt" stroked="true" strokeweight=".72pt" strokecolor="#000000">
          <v:stroke dashstyle="solid"/>
          <w10:wrap type="none"/>
        </v:line>
      </w:pict>
    </w:r>
    <w:r>
      <w:rPr/>
      <w:pict>
        <v:shape style="position:absolute;margin-left:126.82pt;margin-top:35.499958pt;width:341.9pt;height:12pt;mso-position-horizontal-relative:page;mso-position-vertical-relative:page;z-index:-317895680"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317892608" from="69.503998pt,55.559982pt" to="525.933998pt,55.559982pt" stroked="true" strokeweight=".72pt" strokecolor="#000000">
          <v:stroke dashstyle="solid"/>
          <w10:wrap type="none"/>
        </v:line>
      </w:pict>
    </w:r>
    <w:r>
      <w:rPr/>
      <w:pict>
        <v:shape style="position:absolute;margin-left:126.82pt;margin-top:42.579964pt;width:341.9pt;height:12pt;mso-position-horizontal-relative:page;mso-position-vertical-relative:page;z-index:-317891584" type="#_x0000_t202" filled="false" stroked="false">
          <v:textbox inset="0,0,0,0">
            <w:txbxContent>
              <w:p>
                <w:pPr>
                  <w:spacing w:before="0"/>
                  <w:ind w:left="20" w:right="0" w:firstLine="0"/>
                  <w:jc w:val="left"/>
                  <w:rPr>
                    <w:sz w:val="18"/>
                  </w:rPr>
                </w:pPr>
                <w:r>
                  <w:rPr>
                    <w:spacing w:val="-3"/>
                    <w:sz w:val="18"/>
                  </w:rPr>
                  <w:t>绍兴贝斯美化工股份有限公司贝斯美年产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
    <w:multiLevelType w:val="hybridMultilevel"/>
    <w:lvl w:ilvl="0">
      <w:start w:val="12"/>
      <w:numFmt w:val="decimal"/>
      <w:lvlText w:val="%1"/>
      <w:lvlJc w:val="left"/>
      <w:pPr>
        <w:ind w:left="719" w:hanging="401"/>
        <w:jc w:val="left"/>
      </w:pPr>
      <w:rPr>
        <w:rFonts w:hint="default" w:ascii="Times New Roman" w:hAnsi="Times New Roman" w:eastAsia="Times New Roman" w:cs="Times New Roman"/>
        <w:b/>
        <w:bCs/>
        <w:spacing w:val="0"/>
        <w:w w:val="99"/>
        <w:sz w:val="32"/>
        <w:szCs w:val="32"/>
        <w:lang w:val="zh-CN" w:eastAsia="zh-CN" w:bidi="zh-CN"/>
      </w:rPr>
    </w:lvl>
    <w:lvl w:ilvl="1">
      <w:start w:val="1"/>
      <w:numFmt w:val="decimal"/>
      <w:lvlText w:val="%1.%2"/>
      <w:lvlJc w:val="left"/>
      <w:pPr>
        <w:ind w:left="880" w:hanging="562"/>
        <w:jc w:val="left"/>
      </w:pPr>
      <w:rPr>
        <w:rFonts w:hint="default" w:ascii="Times New Roman" w:hAnsi="Times New Roman" w:eastAsia="Times New Roman" w:cs="Times New Roman"/>
        <w:b/>
        <w:bCs/>
        <w:spacing w:val="-4"/>
        <w:w w:val="100"/>
        <w:sz w:val="28"/>
        <w:szCs w:val="28"/>
        <w:lang w:val="zh-CN" w:eastAsia="zh-CN" w:bidi="zh-CN"/>
      </w:rPr>
    </w:lvl>
    <w:lvl w:ilvl="2">
      <w:start w:val="1"/>
      <w:numFmt w:val="decimal"/>
      <w:lvlText w:val="(%3)"/>
      <w:lvlJc w:val="left"/>
      <w:pPr>
        <w:ind w:left="318" w:hanging="281"/>
        <w:jc w:val="left"/>
      </w:pPr>
      <w:rPr>
        <w:rFonts w:hint="default" w:ascii="Times New Roman" w:hAnsi="Times New Roman" w:eastAsia="Times New Roman" w:cs="Times New Roman"/>
        <w:spacing w:val="-2"/>
        <w:w w:val="99"/>
        <w:position w:val="2"/>
        <w:sz w:val="22"/>
        <w:szCs w:val="22"/>
        <w:lang w:val="zh-CN" w:eastAsia="zh-CN" w:bidi="zh-CN"/>
      </w:rPr>
    </w:lvl>
    <w:lvl w:ilvl="3">
      <w:start w:val="0"/>
      <w:numFmt w:val="bullet"/>
      <w:lvlText w:val="•"/>
      <w:lvlJc w:val="left"/>
      <w:pPr>
        <w:ind w:left="1983" w:hanging="281"/>
      </w:pPr>
      <w:rPr>
        <w:rFonts w:hint="default"/>
        <w:lang w:val="zh-CN" w:eastAsia="zh-CN" w:bidi="zh-CN"/>
      </w:rPr>
    </w:lvl>
    <w:lvl w:ilvl="4">
      <w:start w:val="0"/>
      <w:numFmt w:val="bullet"/>
      <w:lvlText w:val="•"/>
      <w:lvlJc w:val="left"/>
      <w:pPr>
        <w:ind w:left="3086" w:hanging="281"/>
      </w:pPr>
      <w:rPr>
        <w:rFonts w:hint="default"/>
        <w:lang w:val="zh-CN" w:eastAsia="zh-CN" w:bidi="zh-CN"/>
      </w:rPr>
    </w:lvl>
    <w:lvl w:ilvl="5">
      <w:start w:val="0"/>
      <w:numFmt w:val="bullet"/>
      <w:lvlText w:val="•"/>
      <w:lvlJc w:val="left"/>
      <w:pPr>
        <w:ind w:left="4189" w:hanging="281"/>
      </w:pPr>
      <w:rPr>
        <w:rFonts w:hint="default"/>
        <w:lang w:val="zh-CN" w:eastAsia="zh-CN" w:bidi="zh-CN"/>
      </w:rPr>
    </w:lvl>
    <w:lvl w:ilvl="6">
      <w:start w:val="0"/>
      <w:numFmt w:val="bullet"/>
      <w:lvlText w:val="•"/>
      <w:lvlJc w:val="left"/>
      <w:pPr>
        <w:ind w:left="5293" w:hanging="281"/>
      </w:pPr>
      <w:rPr>
        <w:rFonts w:hint="default"/>
        <w:lang w:val="zh-CN" w:eastAsia="zh-CN" w:bidi="zh-CN"/>
      </w:rPr>
    </w:lvl>
    <w:lvl w:ilvl="7">
      <w:start w:val="0"/>
      <w:numFmt w:val="bullet"/>
      <w:lvlText w:val="•"/>
      <w:lvlJc w:val="left"/>
      <w:pPr>
        <w:ind w:left="6396" w:hanging="281"/>
      </w:pPr>
      <w:rPr>
        <w:rFonts w:hint="default"/>
        <w:lang w:val="zh-CN" w:eastAsia="zh-CN" w:bidi="zh-CN"/>
      </w:rPr>
    </w:lvl>
    <w:lvl w:ilvl="8">
      <w:start w:val="0"/>
      <w:numFmt w:val="bullet"/>
      <w:lvlText w:val="•"/>
      <w:lvlJc w:val="left"/>
      <w:pPr>
        <w:ind w:left="7499" w:hanging="281"/>
      </w:pPr>
      <w:rPr>
        <w:rFonts w:hint="default"/>
        <w:lang w:val="zh-CN" w:eastAsia="zh-CN" w:bidi="zh-CN"/>
      </w:rPr>
    </w:lvl>
  </w:abstractNum>
  <w:abstractNum w:abstractNumId="76">
    <w:multiLevelType w:val="hybridMultilevel"/>
    <w:lvl w:ilvl="0">
      <w:start w:val="12"/>
      <w:numFmt w:val="decimal"/>
      <w:lvlText w:val="%1"/>
      <w:lvlJc w:val="left"/>
      <w:pPr>
        <w:ind w:left="880" w:hanging="562"/>
        <w:jc w:val="left"/>
      </w:pPr>
      <w:rPr>
        <w:rFonts w:hint="default"/>
        <w:lang w:val="zh-CN" w:eastAsia="zh-CN" w:bidi="zh-CN"/>
      </w:rPr>
    </w:lvl>
    <w:lvl w:ilvl="1">
      <w:start w:val="8"/>
      <w:numFmt w:val="decimal"/>
      <w:lvlText w:val="%1.%2"/>
      <w:lvlJc w:val="left"/>
      <w:pPr>
        <w:ind w:left="880" w:hanging="562"/>
        <w:jc w:val="left"/>
      </w:pPr>
      <w:rPr>
        <w:rFonts w:hint="default" w:ascii="Times New Roman" w:hAnsi="Times New Roman" w:eastAsia="Times New Roman" w:cs="Times New Roman"/>
        <w:b/>
        <w:bCs/>
        <w:spacing w:val="-4"/>
        <w:w w:val="100"/>
        <w:sz w:val="28"/>
        <w:szCs w:val="28"/>
        <w:lang w:val="zh-CN" w:eastAsia="zh-CN" w:bidi="zh-CN"/>
      </w:rPr>
    </w:lvl>
    <w:lvl w:ilvl="2">
      <w:start w:val="0"/>
      <w:numFmt w:val="bullet"/>
      <w:lvlText w:val="•"/>
      <w:lvlJc w:val="left"/>
      <w:pPr>
        <w:ind w:left="2645" w:hanging="562"/>
      </w:pPr>
      <w:rPr>
        <w:rFonts w:hint="default"/>
        <w:lang w:val="zh-CN" w:eastAsia="zh-CN" w:bidi="zh-CN"/>
      </w:rPr>
    </w:lvl>
    <w:lvl w:ilvl="3">
      <w:start w:val="0"/>
      <w:numFmt w:val="bullet"/>
      <w:lvlText w:val="•"/>
      <w:lvlJc w:val="left"/>
      <w:pPr>
        <w:ind w:left="3527" w:hanging="562"/>
      </w:pPr>
      <w:rPr>
        <w:rFonts w:hint="default"/>
        <w:lang w:val="zh-CN" w:eastAsia="zh-CN" w:bidi="zh-CN"/>
      </w:rPr>
    </w:lvl>
    <w:lvl w:ilvl="4">
      <w:start w:val="0"/>
      <w:numFmt w:val="bullet"/>
      <w:lvlText w:val="•"/>
      <w:lvlJc w:val="left"/>
      <w:pPr>
        <w:ind w:left="4410" w:hanging="562"/>
      </w:pPr>
      <w:rPr>
        <w:rFonts w:hint="default"/>
        <w:lang w:val="zh-CN" w:eastAsia="zh-CN" w:bidi="zh-CN"/>
      </w:rPr>
    </w:lvl>
    <w:lvl w:ilvl="5">
      <w:start w:val="0"/>
      <w:numFmt w:val="bullet"/>
      <w:lvlText w:val="•"/>
      <w:lvlJc w:val="left"/>
      <w:pPr>
        <w:ind w:left="5293" w:hanging="562"/>
      </w:pPr>
      <w:rPr>
        <w:rFonts w:hint="default"/>
        <w:lang w:val="zh-CN" w:eastAsia="zh-CN" w:bidi="zh-CN"/>
      </w:rPr>
    </w:lvl>
    <w:lvl w:ilvl="6">
      <w:start w:val="0"/>
      <w:numFmt w:val="bullet"/>
      <w:lvlText w:val="•"/>
      <w:lvlJc w:val="left"/>
      <w:pPr>
        <w:ind w:left="6175" w:hanging="562"/>
      </w:pPr>
      <w:rPr>
        <w:rFonts w:hint="default"/>
        <w:lang w:val="zh-CN" w:eastAsia="zh-CN" w:bidi="zh-CN"/>
      </w:rPr>
    </w:lvl>
    <w:lvl w:ilvl="7">
      <w:start w:val="0"/>
      <w:numFmt w:val="bullet"/>
      <w:lvlText w:val="•"/>
      <w:lvlJc w:val="left"/>
      <w:pPr>
        <w:ind w:left="7058" w:hanging="562"/>
      </w:pPr>
      <w:rPr>
        <w:rFonts w:hint="default"/>
        <w:lang w:val="zh-CN" w:eastAsia="zh-CN" w:bidi="zh-CN"/>
      </w:rPr>
    </w:lvl>
    <w:lvl w:ilvl="8">
      <w:start w:val="0"/>
      <w:numFmt w:val="bullet"/>
      <w:lvlText w:val="•"/>
      <w:lvlJc w:val="left"/>
      <w:pPr>
        <w:ind w:left="7941" w:hanging="562"/>
      </w:pPr>
      <w:rPr>
        <w:rFonts w:hint="default"/>
        <w:lang w:val="zh-CN" w:eastAsia="zh-CN" w:bidi="zh-CN"/>
      </w:rPr>
    </w:lvl>
  </w:abstractNum>
  <w:abstractNum w:abstractNumId="74">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73">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72">
    <w:multiLevelType w:val="hybridMultilevel"/>
    <w:lvl w:ilvl="0">
      <w:start w:val="2"/>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71">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70">
    <w:multiLevelType w:val="hybridMultilevel"/>
    <w:lvl w:ilvl="0">
      <w:start w:val="3"/>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69">
    <w:multiLevelType w:val="hybridMultilevel"/>
    <w:lvl w:ilvl="0">
      <w:start w:val="3"/>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68">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67">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66">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65">
    <w:multiLevelType w:val="hybridMultilevel"/>
    <w:lvl w:ilvl="0">
      <w:start w:val="2"/>
      <w:numFmt w:val="decimal"/>
      <w:lvlText w:val="%1."/>
      <w:lvlJc w:val="left"/>
      <w:pPr>
        <w:ind w:left="164"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554" w:hanging="138"/>
      </w:pPr>
      <w:rPr>
        <w:rFonts w:hint="default"/>
        <w:lang w:val="zh-CN" w:eastAsia="zh-CN" w:bidi="zh-CN"/>
      </w:rPr>
    </w:lvl>
    <w:lvl w:ilvl="2">
      <w:start w:val="0"/>
      <w:numFmt w:val="bullet"/>
      <w:lvlText w:val="•"/>
      <w:lvlJc w:val="left"/>
      <w:pPr>
        <w:ind w:left="948" w:hanging="138"/>
      </w:pPr>
      <w:rPr>
        <w:rFonts w:hint="default"/>
        <w:lang w:val="zh-CN" w:eastAsia="zh-CN" w:bidi="zh-CN"/>
      </w:rPr>
    </w:lvl>
    <w:lvl w:ilvl="3">
      <w:start w:val="0"/>
      <w:numFmt w:val="bullet"/>
      <w:lvlText w:val="•"/>
      <w:lvlJc w:val="left"/>
      <w:pPr>
        <w:ind w:left="1342" w:hanging="138"/>
      </w:pPr>
      <w:rPr>
        <w:rFonts w:hint="default"/>
        <w:lang w:val="zh-CN" w:eastAsia="zh-CN" w:bidi="zh-CN"/>
      </w:rPr>
    </w:lvl>
    <w:lvl w:ilvl="4">
      <w:start w:val="0"/>
      <w:numFmt w:val="bullet"/>
      <w:lvlText w:val="•"/>
      <w:lvlJc w:val="left"/>
      <w:pPr>
        <w:ind w:left="1736" w:hanging="138"/>
      </w:pPr>
      <w:rPr>
        <w:rFonts w:hint="default"/>
        <w:lang w:val="zh-CN" w:eastAsia="zh-CN" w:bidi="zh-CN"/>
      </w:rPr>
    </w:lvl>
    <w:lvl w:ilvl="5">
      <w:start w:val="0"/>
      <w:numFmt w:val="bullet"/>
      <w:lvlText w:val="•"/>
      <w:lvlJc w:val="left"/>
      <w:pPr>
        <w:ind w:left="2130" w:hanging="138"/>
      </w:pPr>
      <w:rPr>
        <w:rFonts w:hint="default"/>
        <w:lang w:val="zh-CN" w:eastAsia="zh-CN" w:bidi="zh-CN"/>
      </w:rPr>
    </w:lvl>
    <w:lvl w:ilvl="6">
      <w:start w:val="0"/>
      <w:numFmt w:val="bullet"/>
      <w:lvlText w:val="•"/>
      <w:lvlJc w:val="left"/>
      <w:pPr>
        <w:ind w:left="2524" w:hanging="138"/>
      </w:pPr>
      <w:rPr>
        <w:rFonts w:hint="default"/>
        <w:lang w:val="zh-CN" w:eastAsia="zh-CN" w:bidi="zh-CN"/>
      </w:rPr>
    </w:lvl>
    <w:lvl w:ilvl="7">
      <w:start w:val="0"/>
      <w:numFmt w:val="bullet"/>
      <w:lvlText w:val="•"/>
      <w:lvlJc w:val="left"/>
      <w:pPr>
        <w:ind w:left="2918" w:hanging="138"/>
      </w:pPr>
      <w:rPr>
        <w:rFonts w:hint="default"/>
        <w:lang w:val="zh-CN" w:eastAsia="zh-CN" w:bidi="zh-CN"/>
      </w:rPr>
    </w:lvl>
    <w:lvl w:ilvl="8">
      <w:start w:val="0"/>
      <w:numFmt w:val="bullet"/>
      <w:lvlText w:val="•"/>
      <w:lvlJc w:val="left"/>
      <w:pPr>
        <w:ind w:left="3312" w:hanging="138"/>
      </w:pPr>
      <w:rPr>
        <w:rFonts w:hint="default"/>
        <w:lang w:val="zh-CN" w:eastAsia="zh-CN" w:bidi="zh-CN"/>
      </w:rPr>
    </w:lvl>
  </w:abstractNum>
  <w:abstractNum w:abstractNumId="64">
    <w:multiLevelType w:val="hybridMultilevel"/>
    <w:lvl w:ilvl="0">
      <w:start w:val="1"/>
      <w:numFmt w:val="decimal"/>
      <w:lvlText w:val="%1."/>
      <w:lvlJc w:val="left"/>
      <w:pPr>
        <w:ind w:left="27" w:hanging="228"/>
        <w:jc w:val="left"/>
      </w:pPr>
      <w:rPr>
        <w:rFonts w:hint="default" w:ascii="Times New Roman" w:hAnsi="Times New Roman" w:eastAsia="Times New Roman" w:cs="Times New Roman"/>
        <w:spacing w:val="-31"/>
        <w:w w:val="99"/>
        <w:sz w:val="18"/>
        <w:szCs w:val="18"/>
        <w:lang w:val="zh-CN" w:eastAsia="zh-CN" w:bidi="zh-CN"/>
      </w:rPr>
    </w:lvl>
    <w:lvl w:ilvl="1">
      <w:start w:val="0"/>
      <w:numFmt w:val="bullet"/>
      <w:lvlText w:val="•"/>
      <w:lvlJc w:val="left"/>
      <w:pPr>
        <w:ind w:left="428" w:hanging="228"/>
      </w:pPr>
      <w:rPr>
        <w:rFonts w:hint="default"/>
        <w:lang w:val="zh-CN" w:eastAsia="zh-CN" w:bidi="zh-CN"/>
      </w:rPr>
    </w:lvl>
    <w:lvl w:ilvl="2">
      <w:start w:val="0"/>
      <w:numFmt w:val="bullet"/>
      <w:lvlText w:val="•"/>
      <w:lvlJc w:val="left"/>
      <w:pPr>
        <w:ind w:left="836" w:hanging="228"/>
      </w:pPr>
      <w:rPr>
        <w:rFonts w:hint="default"/>
        <w:lang w:val="zh-CN" w:eastAsia="zh-CN" w:bidi="zh-CN"/>
      </w:rPr>
    </w:lvl>
    <w:lvl w:ilvl="3">
      <w:start w:val="0"/>
      <w:numFmt w:val="bullet"/>
      <w:lvlText w:val="•"/>
      <w:lvlJc w:val="left"/>
      <w:pPr>
        <w:ind w:left="1244" w:hanging="228"/>
      </w:pPr>
      <w:rPr>
        <w:rFonts w:hint="default"/>
        <w:lang w:val="zh-CN" w:eastAsia="zh-CN" w:bidi="zh-CN"/>
      </w:rPr>
    </w:lvl>
    <w:lvl w:ilvl="4">
      <w:start w:val="0"/>
      <w:numFmt w:val="bullet"/>
      <w:lvlText w:val="•"/>
      <w:lvlJc w:val="left"/>
      <w:pPr>
        <w:ind w:left="1652" w:hanging="228"/>
      </w:pPr>
      <w:rPr>
        <w:rFonts w:hint="default"/>
        <w:lang w:val="zh-CN" w:eastAsia="zh-CN" w:bidi="zh-CN"/>
      </w:rPr>
    </w:lvl>
    <w:lvl w:ilvl="5">
      <w:start w:val="0"/>
      <w:numFmt w:val="bullet"/>
      <w:lvlText w:val="•"/>
      <w:lvlJc w:val="left"/>
      <w:pPr>
        <w:ind w:left="2060" w:hanging="228"/>
      </w:pPr>
      <w:rPr>
        <w:rFonts w:hint="default"/>
        <w:lang w:val="zh-CN" w:eastAsia="zh-CN" w:bidi="zh-CN"/>
      </w:rPr>
    </w:lvl>
    <w:lvl w:ilvl="6">
      <w:start w:val="0"/>
      <w:numFmt w:val="bullet"/>
      <w:lvlText w:val="•"/>
      <w:lvlJc w:val="left"/>
      <w:pPr>
        <w:ind w:left="2468" w:hanging="228"/>
      </w:pPr>
      <w:rPr>
        <w:rFonts w:hint="default"/>
        <w:lang w:val="zh-CN" w:eastAsia="zh-CN" w:bidi="zh-CN"/>
      </w:rPr>
    </w:lvl>
    <w:lvl w:ilvl="7">
      <w:start w:val="0"/>
      <w:numFmt w:val="bullet"/>
      <w:lvlText w:val="•"/>
      <w:lvlJc w:val="left"/>
      <w:pPr>
        <w:ind w:left="2876" w:hanging="228"/>
      </w:pPr>
      <w:rPr>
        <w:rFonts w:hint="default"/>
        <w:lang w:val="zh-CN" w:eastAsia="zh-CN" w:bidi="zh-CN"/>
      </w:rPr>
    </w:lvl>
    <w:lvl w:ilvl="8">
      <w:start w:val="0"/>
      <w:numFmt w:val="bullet"/>
      <w:lvlText w:val="•"/>
      <w:lvlJc w:val="left"/>
      <w:pPr>
        <w:ind w:left="3284" w:hanging="228"/>
      </w:pPr>
      <w:rPr>
        <w:rFonts w:hint="default"/>
        <w:lang w:val="zh-CN" w:eastAsia="zh-CN" w:bidi="zh-CN"/>
      </w:rPr>
    </w:lvl>
  </w:abstractNum>
  <w:abstractNum w:abstractNumId="63">
    <w:multiLevelType w:val="hybridMultilevel"/>
    <w:lvl w:ilvl="0">
      <w:start w:val="1"/>
      <w:numFmt w:val="decimal"/>
      <w:lvlText w:val="%1."/>
      <w:lvlJc w:val="left"/>
      <w:pPr>
        <w:ind w:left="27"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428" w:hanging="138"/>
      </w:pPr>
      <w:rPr>
        <w:rFonts w:hint="default"/>
        <w:lang w:val="zh-CN" w:eastAsia="zh-CN" w:bidi="zh-CN"/>
      </w:rPr>
    </w:lvl>
    <w:lvl w:ilvl="2">
      <w:start w:val="0"/>
      <w:numFmt w:val="bullet"/>
      <w:lvlText w:val="•"/>
      <w:lvlJc w:val="left"/>
      <w:pPr>
        <w:ind w:left="836" w:hanging="138"/>
      </w:pPr>
      <w:rPr>
        <w:rFonts w:hint="default"/>
        <w:lang w:val="zh-CN" w:eastAsia="zh-CN" w:bidi="zh-CN"/>
      </w:rPr>
    </w:lvl>
    <w:lvl w:ilvl="3">
      <w:start w:val="0"/>
      <w:numFmt w:val="bullet"/>
      <w:lvlText w:val="•"/>
      <w:lvlJc w:val="left"/>
      <w:pPr>
        <w:ind w:left="1244" w:hanging="138"/>
      </w:pPr>
      <w:rPr>
        <w:rFonts w:hint="default"/>
        <w:lang w:val="zh-CN" w:eastAsia="zh-CN" w:bidi="zh-CN"/>
      </w:rPr>
    </w:lvl>
    <w:lvl w:ilvl="4">
      <w:start w:val="0"/>
      <w:numFmt w:val="bullet"/>
      <w:lvlText w:val="•"/>
      <w:lvlJc w:val="left"/>
      <w:pPr>
        <w:ind w:left="1652" w:hanging="138"/>
      </w:pPr>
      <w:rPr>
        <w:rFonts w:hint="default"/>
        <w:lang w:val="zh-CN" w:eastAsia="zh-CN" w:bidi="zh-CN"/>
      </w:rPr>
    </w:lvl>
    <w:lvl w:ilvl="5">
      <w:start w:val="0"/>
      <w:numFmt w:val="bullet"/>
      <w:lvlText w:val="•"/>
      <w:lvlJc w:val="left"/>
      <w:pPr>
        <w:ind w:left="2060" w:hanging="138"/>
      </w:pPr>
      <w:rPr>
        <w:rFonts w:hint="default"/>
        <w:lang w:val="zh-CN" w:eastAsia="zh-CN" w:bidi="zh-CN"/>
      </w:rPr>
    </w:lvl>
    <w:lvl w:ilvl="6">
      <w:start w:val="0"/>
      <w:numFmt w:val="bullet"/>
      <w:lvlText w:val="•"/>
      <w:lvlJc w:val="left"/>
      <w:pPr>
        <w:ind w:left="2468" w:hanging="138"/>
      </w:pPr>
      <w:rPr>
        <w:rFonts w:hint="default"/>
        <w:lang w:val="zh-CN" w:eastAsia="zh-CN" w:bidi="zh-CN"/>
      </w:rPr>
    </w:lvl>
    <w:lvl w:ilvl="7">
      <w:start w:val="0"/>
      <w:numFmt w:val="bullet"/>
      <w:lvlText w:val="•"/>
      <w:lvlJc w:val="left"/>
      <w:pPr>
        <w:ind w:left="2876" w:hanging="138"/>
      </w:pPr>
      <w:rPr>
        <w:rFonts w:hint="default"/>
        <w:lang w:val="zh-CN" w:eastAsia="zh-CN" w:bidi="zh-CN"/>
      </w:rPr>
    </w:lvl>
    <w:lvl w:ilvl="8">
      <w:start w:val="0"/>
      <w:numFmt w:val="bullet"/>
      <w:lvlText w:val="•"/>
      <w:lvlJc w:val="left"/>
      <w:pPr>
        <w:ind w:left="3284" w:hanging="138"/>
      </w:pPr>
      <w:rPr>
        <w:rFonts w:hint="default"/>
        <w:lang w:val="zh-CN" w:eastAsia="zh-CN" w:bidi="zh-CN"/>
      </w:rPr>
    </w:lvl>
  </w:abstractNum>
  <w:abstractNum w:abstractNumId="62">
    <w:multiLevelType w:val="hybridMultilevel"/>
    <w:lvl w:ilvl="0">
      <w:start w:val="1"/>
      <w:numFmt w:val="decimal"/>
      <w:lvlText w:val="%1."/>
      <w:lvlJc w:val="left"/>
      <w:pPr>
        <w:ind w:left="164" w:hanging="138"/>
        <w:jc w:val="left"/>
      </w:pPr>
      <w:rPr>
        <w:rFonts w:hint="default" w:ascii="Times New Roman" w:hAnsi="Times New Roman" w:eastAsia="Times New Roman" w:cs="Times New Roman"/>
        <w:spacing w:val="0"/>
        <w:w w:val="100"/>
        <w:sz w:val="16"/>
        <w:szCs w:val="16"/>
        <w:lang w:val="zh-CN" w:eastAsia="zh-CN" w:bidi="zh-CN"/>
      </w:rPr>
    </w:lvl>
    <w:lvl w:ilvl="1">
      <w:start w:val="0"/>
      <w:numFmt w:val="bullet"/>
      <w:lvlText w:val="•"/>
      <w:lvlJc w:val="left"/>
      <w:pPr>
        <w:ind w:left="554" w:hanging="138"/>
      </w:pPr>
      <w:rPr>
        <w:rFonts w:hint="default"/>
        <w:lang w:val="zh-CN" w:eastAsia="zh-CN" w:bidi="zh-CN"/>
      </w:rPr>
    </w:lvl>
    <w:lvl w:ilvl="2">
      <w:start w:val="0"/>
      <w:numFmt w:val="bullet"/>
      <w:lvlText w:val="•"/>
      <w:lvlJc w:val="left"/>
      <w:pPr>
        <w:ind w:left="948" w:hanging="138"/>
      </w:pPr>
      <w:rPr>
        <w:rFonts w:hint="default"/>
        <w:lang w:val="zh-CN" w:eastAsia="zh-CN" w:bidi="zh-CN"/>
      </w:rPr>
    </w:lvl>
    <w:lvl w:ilvl="3">
      <w:start w:val="0"/>
      <w:numFmt w:val="bullet"/>
      <w:lvlText w:val="•"/>
      <w:lvlJc w:val="left"/>
      <w:pPr>
        <w:ind w:left="1342" w:hanging="138"/>
      </w:pPr>
      <w:rPr>
        <w:rFonts w:hint="default"/>
        <w:lang w:val="zh-CN" w:eastAsia="zh-CN" w:bidi="zh-CN"/>
      </w:rPr>
    </w:lvl>
    <w:lvl w:ilvl="4">
      <w:start w:val="0"/>
      <w:numFmt w:val="bullet"/>
      <w:lvlText w:val="•"/>
      <w:lvlJc w:val="left"/>
      <w:pPr>
        <w:ind w:left="1736" w:hanging="138"/>
      </w:pPr>
      <w:rPr>
        <w:rFonts w:hint="default"/>
        <w:lang w:val="zh-CN" w:eastAsia="zh-CN" w:bidi="zh-CN"/>
      </w:rPr>
    </w:lvl>
    <w:lvl w:ilvl="5">
      <w:start w:val="0"/>
      <w:numFmt w:val="bullet"/>
      <w:lvlText w:val="•"/>
      <w:lvlJc w:val="left"/>
      <w:pPr>
        <w:ind w:left="2130" w:hanging="138"/>
      </w:pPr>
      <w:rPr>
        <w:rFonts w:hint="default"/>
        <w:lang w:val="zh-CN" w:eastAsia="zh-CN" w:bidi="zh-CN"/>
      </w:rPr>
    </w:lvl>
    <w:lvl w:ilvl="6">
      <w:start w:val="0"/>
      <w:numFmt w:val="bullet"/>
      <w:lvlText w:val="•"/>
      <w:lvlJc w:val="left"/>
      <w:pPr>
        <w:ind w:left="2524" w:hanging="138"/>
      </w:pPr>
      <w:rPr>
        <w:rFonts w:hint="default"/>
        <w:lang w:val="zh-CN" w:eastAsia="zh-CN" w:bidi="zh-CN"/>
      </w:rPr>
    </w:lvl>
    <w:lvl w:ilvl="7">
      <w:start w:val="0"/>
      <w:numFmt w:val="bullet"/>
      <w:lvlText w:val="•"/>
      <w:lvlJc w:val="left"/>
      <w:pPr>
        <w:ind w:left="2918" w:hanging="138"/>
      </w:pPr>
      <w:rPr>
        <w:rFonts w:hint="default"/>
        <w:lang w:val="zh-CN" w:eastAsia="zh-CN" w:bidi="zh-CN"/>
      </w:rPr>
    </w:lvl>
    <w:lvl w:ilvl="8">
      <w:start w:val="0"/>
      <w:numFmt w:val="bullet"/>
      <w:lvlText w:val="•"/>
      <w:lvlJc w:val="left"/>
      <w:pPr>
        <w:ind w:left="3312" w:hanging="138"/>
      </w:pPr>
      <w:rPr>
        <w:rFonts w:hint="default"/>
        <w:lang w:val="zh-CN" w:eastAsia="zh-CN" w:bidi="zh-CN"/>
      </w:rPr>
    </w:lvl>
  </w:abstractNum>
  <w:abstractNum w:abstractNumId="61">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60">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59">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58">
    <w:multiLevelType w:val="hybridMultilevel"/>
    <w:lvl w:ilvl="0">
      <w:start w:val="1"/>
      <w:numFmt w:val="decimal"/>
      <w:lvlText w:val="（%1）"/>
      <w:lvlJc w:val="left"/>
      <w:pPr>
        <w:ind w:left="218" w:hanging="601"/>
        <w:jc w:val="left"/>
      </w:pPr>
      <w:rPr>
        <w:rFonts w:hint="default" w:ascii="宋体" w:hAnsi="宋体" w:eastAsia="宋体" w:cs="宋体"/>
        <w:spacing w:val="-24"/>
        <w:w w:val="100"/>
        <w:sz w:val="22"/>
        <w:szCs w:val="22"/>
        <w:lang w:val="zh-CN" w:eastAsia="zh-CN" w:bidi="zh-CN"/>
      </w:rPr>
    </w:lvl>
    <w:lvl w:ilvl="1">
      <w:start w:val="0"/>
      <w:numFmt w:val="bullet"/>
      <w:lvlText w:val="•"/>
      <w:lvlJc w:val="left"/>
      <w:pPr>
        <w:ind w:left="1150" w:hanging="601"/>
      </w:pPr>
      <w:rPr>
        <w:rFonts w:hint="default"/>
        <w:lang w:val="zh-CN" w:eastAsia="zh-CN" w:bidi="zh-CN"/>
      </w:rPr>
    </w:lvl>
    <w:lvl w:ilvl="2">
      <w:start w:val="0"/>
      <w:numFmt w:val="bullet"/>
      <w:lvlText w:val="•"/>
      <w:lvlJc w:val="left"/>
      <w:pPr>
        <w:ind w:left="2081" w:hanging="601"/>
      </w:pPr>
      <w:rPr>
        <w:rFonts w:hint="default"/>
        <w:lang w:val="zh-CN" w:eastAsia="zh-CN" w:bidi="zh-CN"/>
      </w:rPr>
    </w:lvl>
    <w:lvl w:ilvl="3">
      <w:start w:val="0"/>
      <w:numFmt w:val="bullet"/>
      <w:lvlText w:val="•"/>
      <w:lvlJc w:val="left"/>
      <w:pPr>
        <w:ind w:left="3011" w:hanging="601"/>
      </w:pPr>
      <w:rPr>
        <w:rFonts w:hint="default"/>
        <w:lang w:val="zh-CN" w:eastAsia="zh-CN" w:bidi="zh-CN"/>
      </w:rPr>
    </w:lvl>
    <w:lvl w:ilvl="4">
      <w:start w:val="0"/>
      <w:numFmt w:val="bullet"/>
      <w:lvlText w:val="•"/>
      <w:lvlJc w:val="left"/>
      <w:pPr>
        <w:ind w:left="3942" w:hanging="601"/>
      </w:pPr>
      <w:rPr>
        <w:rFonts w:hint="default"/>
        <w:lang w:val="zh-CN" w:eastAsia="zh-CN" w:bidi="zh-CN"/>
      </w:rPr>
    </w:lvl>
    <w:lvl w:ilvl="5">
      <w:start w:val="0"/>
      <w:numFmt w:val="bullet"/>
      <w:lvlText w:val="•"/>
      <w:lvlJc w:val="left"/>
      <w:pPr>
        <w:ind w:left="4873" w:hanging="601"/>
      </w:pPr>
      <w:rPr>
        <w:rFonts w:hint="default"/>
        <w:lang w:val="zh-CN" w:eastAsia="zh-CN" w:bidi="zh-CN"/>
      </w:rPr>
    </w:lvl>
    <w:lvl w:ilvl="6">
      <w:start w:val="0"/>
      <w:numFmt w:val="bullet"/>
      <w:lvlText w:val="•"/>
      <w:lvlJc w:val="left"/>
      <w:pPr>
        <w:ind w:left="5803" w:hanging="601"/>
      </w:pPr>
      <w:rPr>
        <w:rFonts w:hint="default"/>
        <w:lang w:val="zh-CN" w:eastAsia="zh-CN" w:bidi="zh-CN"/>
      </w:rPr>
    </w:lvl>
    <w:lvl w:ilvl="7">
      <w:start w:val="0"/>
      <w:numFmt w:val="bullet"/>
      <w:lvlText w:val="•"/>
      <w:lvlJc w:val="left"/>
      <w:pPr>
        <w:ind w:left="6734" w:hanging="601"/>
      </w:pPr>
      <w:rPr>
        <w:rFonts w:hint="default"/>
        <w:lang w:val="zh-CN" w:eastAsia="zh-CN" w:bidi="zh-CN"/>
      </w:rPr>
    </w:lvl>
    <w:lvl w:ilvl="8">
      <w:start w:val="0"/>
      <w:numFmt w:val="bullet"/>
      <w:lvlText w:val="•"/>
      <w:lvlJc w:val="left"/>
      <w:pPr>
        <w:ind w:left="7665" w:hanging="601"/>
      </w:pPr>
      <w:rPr>
        <w:rFonts w:hint="default"/>
        <w:lang w:val="zh-CN" w:eastAsia="zh-CN" w:bidi="zh-CN"/>
      </w:rPr>
    </w:lvl>
  </w:abstractNum>
  <w:abstractNum w:abstractNumId="57">
    <w:multiLevelType w:val="hybridMultilevel"/>
    <w:lvl w:ilvl="0">
      <w:start w:val="1"/>
      <w:numFmt w:val="decimal"/>
      <w:lvlText w:val="（%1）"/>
      <w:lvlJc w:val="left"/>
      <w:pPr>
        <w:ind w:left="218" w:hanging="601"/>
        <w:jc w:val="left"/>
      </w:pPr>
      <w:rPr>
        <w:rFonts w:hint="default" w:ascii="宋体" w:hAnsi="宋体" w:eastAsia="宋体" w:cs="宋体"/>
        <w:spacing w:val="-12"/>
        <w:w w:val="100"/>
        <w:sz w:val="22"/>
        <w:szCs w:val="22"/>
        <w:lang w:val="zh-CN" w:eastAsia="zh-CN" w:bidi="zh-CN"/>
      </w:rPr>
    </w:lvl>
    <w:lvl w:ilvl="1">
      <w:start w:val="0"/>
      <w:numFmt w:val="bullet"/>
      <w:lvlText w:val="•"/>
      <w:lvlJc w:val="left"/>
      <w:pPr>
        <w:ind w:left="1150" w:hanging="601"/>
      </w:pPr>
      <w:rPr>
        <w:rFonts w:hint="default"/>
        <w:lang w:val="zh-CN" w:eastAsia="zh-CN" w:bidi="zh-CN"/>
      </w:rPr>
    </w:lvl>
    <w:lvl w:ilvl="2">
      <w:start w:val="0"/>
      <w:numFmt w:val="bullet"/>
      <w:lvlText w:val="•"/>
      <w:lvlJc w:val="left"/>
      <w:pPr>
        <w:ind w:left="2081" w:hanging="601"/>
      </w:pPr>
      <w:rPr>
        <w:rFonts w:hint="default"/>
        <w:lang w:val="zh-CN" w:eastAsia="zh-CN" w:bidi="zh-CN"/>
      </w:rPr>
    </w:lvl>
    <w:lvl w:ilvl="3">
      <w:start w:val="0"/>
      <w:numFmt w:val="bullet"/>
      <w:lvlText w:val="•"/>
      <w:lvlJc w:val="left"/>
      <w:pPr>
        <w:ind w:left="3011" w:hanging="601"/>
      </w:pPr>
      <w:rPr>
        <w:rFonts w:hint="default"/>
        <w:lang w:val="zh-CN" w:eastAsia="zh-CN" w:bidi="zh-CN"/>
      </w:rPr>
    </w:lvl>
    <w:lvl w:ilvl="4">
      <w:start w:val="0"/>
      <w:numFmt w:val="bullet"/>
      <w:lvlText w:val="•"/>
      <w:lvlJc w:val="left"/>
      <w:pPr>
        <w:ind w:left="3942" w:hanging="601"/>
      </w:pPr>
      <w:rPr>
        <w:rFonts w:hint="default"/>
        <w:lang w:val="zh-CN" w:eastAsia="zh-CN" w:bidi="zh-CN"/>
      </w:rPr>
    </w:lvl>
    <w:lvl w:ilvl="5">
      <w:start w:val="0"/>
      <w:numFmt w:val="bullet"/>
      <w:lvlText w:val="•"/>
      <w:lvlJc w:val="left"/>
      <w:pPr>
        <w:ind w:left="4873" w:hanging="601"/>
      </w:pPr>
      <w:rPr>
        <w:rFonts w:hint="default"/>
        <w:lang w:val="zh-CN" w:eastAsia="zh-CN" w:bidi="zh-CN"/>
      </w:rPr>
    </w:lvl>
    <w:lvl w:ilvl="6">
      <w:start w:val="0"/>
      <w:numFmt w:val="bullet"/>
      <w:lvlText w:val="•"/>
      <w:lvlJc w:val="left"/>
      <w:pPr>
        <w:ind w:left="5803" w:hanging="601"/>
      </w:pPr>
      <w:rPr>
        <w:rFonts w:hint="default"/>
        <w:lang w:val="zh-CN" w:eastAsia="zh-CN" w:bidi="zh-CN"/>
      </w:rPr>
    </w:lvl>
    <w:lvl w:ilvl="7">
      <w:start w:val="0"/>
      <w:numFmt w:val="bullet"/>
      <w:lvlText w:val="•"/>
      <w:lvlJc w:val="left"/>
      <w:pPr>
        <w:ind w:left="6734" w:hanging="601"/>
      </w:pPr>
      <w:rPr>
        <w:rFonts w:hint="default"/>
        <w:lang w:val="zh-CN" w:eastAsia="zh-CN" w:bidi="zh-CN"/>
      </w:rPr>
    </w:lvl>
    <w:lvl w:ilvl="8">
      <w:start w:val="0"/>
      <w:numFmt w:val="bullet"/>
      <w:lvlText w:val="•"/>
      <w:lvlJc w:val="left"/>
      <w:pPr>
        <w:ind w:left="7665" w:hanging="601"/>
      </w:pPr>
      <w:rPr>
        <w:rFonts w:hint="default"/>
        <w:lang w:val="zh-CN" w:eastAsia="zh-CN" w:bidi="zh-CN"/>
      </w:rPr>
    </w:lvl>
  </w:abstractNum>
  <w:abstractNum w:abstractNumId="56">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55">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54">
    <w:multiLevelType w:val="hybridMultilevel"/>
    <w:lvl w:ilvl="0">
      <w:start w:val="1"/>
      <w:numFmt w:val="decimal"/>
      <w:lvlText w:val="（%1）"/>
      <w:lvlJc w:val="left"/>
      <w:pPr>
        <w:ind w:left="218" w:hanging="608"/>
        <w:jc w:val="left"/>
      </w:pPr>
      <w:rPr>
        <w:rFonts w:hint="default" w:ascii="宋体" w:hAnsi="宋体" w:eastAsia="宋体" w:cs="宋体"/>
        <w:spacing w:val="2"/>
        <w:w w:val="100"/>
        <w:sz w:val="22"/>
        <w:szCs w:val="22"/>
        <w:lang w:val="zh-CN" w:eastAsia="zh-CN" w:bidi="zh-CN"/>
      </w:rPr>
    </w:lvl>
    <w:lvl w:ilvl="1">
      <w:start w:val="0"/>
      <w:numFmt w:val="bullet"/>
      <w:lvlText w:val="•"/>
      <w:lvlJc w:val="left"/>
      <w:pPr>
        <w:ind w:left="1150" w:hanging="608"/>
      </w:pPr>
      <w:rPr>
        <w:rFonts w:hint="default"/>
        <w:lang w:val="zh-CN" w:eastAsia="zh-CN" w:bidi="zh-CN"/>
      </w:rPr>
    </w:lvl>
    <w:lvl w:ilvl="2">
      <w:start w:val="0"/>
      <w:numFmt w:val="bullet"/>
      <w:lvlText w:val="•"/>
      <w:lvlJc w:val="left"/>
      <w:pPr>
        <w:ind w:left="2081" w:hanging="608"/>
      </w:pPr>
      <w:rPr>
        <w:rFonts w:hint="default"/>
        <w:lang w:val="zh-CN" w:eastAsia="zh-CN" w:bidi="zh-CN"/>
      </w:rPr>
    </w:lvl>
    <w:lvl w:ilvl="3">
      <w:start w:val="0"/>
      <w:numFmt w:val="bullet"/>
      <w:lvlText w:val="•"/>
      <w:lvlJc w:val="left"/>
      <w:pPr>
        <w:ind w:left="3011" w:hanging="608"/>
      </w:pPr>
      <w:rPr>
        <w:rFonts w:hint="default"/>
        <w:lang w:val="zh-CN" w:eastAsia="zh-CN" w:bidi="zh-CN"/>
      </w:rPr>
    </w:lvl>
    <w:lvl w:ilvl="4">
      <w:start w:val="0"/>
      <w:numFmt w:val="bullet"/>
      <w:lvlText w:val="•"/>
      <w:lvlJc w:val="left"/>
      <w:pPr>
        <w:ind w:left="3942" w:hanging="608"/>
      </w:pPr>
      <w:rPr>
        <w:rFonts w:hint="default"/>
        <w:lang w:val="zh-CN" w:eastAsia="zh-CN" w:bidi="zh-CN"/>
      </w:rPr>
    </w:lvl>
    <w:lvl w:ilvl="5">
      <w:start w:val="0"/>
      <w:numFmt w:val="bullet"/>
      <w:lvlText w:val="•"/>
      <w:lvlJc w:val="left"/>
      <w:pPr>
        <w:ind w:left="4873" w:hanging="608"/>
      </w:pPr>
      <w:rPr>
        <w:rFonts w:hint="default"/>
        <w:lang w:val="zh-CN" w:eastAsia="zh-CN" w:bidi="zh-CN"/>
      </w:rPr>
    </w:lvl>
    <w:lvl w:ilvl="6">
      <w:start w:val="0"/>
      <w:numFmt w:val="bullet"/>
      <w:lvlText w:val="•"/>
      <w:lvlJc w:val="left"/>
      <w:pPr>
        <w:ind w:left="5803" w:hanging="608"/>
      </w:pPr>
      <w:rPr>
        <w:rFonts w:hint="default"/>
        <w:lang w:val="zh-CN" w:eastAsia="zh-CN" w:bidi="zh-CN"/>
      </w:rPr>
    </w:lvl>
    <w:lvl w:ilvl="7">
      <w:start w:val="0"/>
      <w:numFmt w:val="bullet"/>
      <w:lvlText w:val="•"/>
      <w:lvlJc w:val="left"/>
      <w:pPr>
        <w:ind w:left="6734" w:hanging="608"/>
      </w:pPr>
      <w:rPr>
        <w:rFonts w:hint="default"/>
        <w:lang w:val="zh-CN" w:eastAsia="zh-CN" w:bidi="zh-CN"/>
      </w:rPr>
    </w:lvl>
    <w:lvl w:ilvl="8">
      <w:start w:val="0"/>
      <w:numFmt w:val="bullet"/>
      <w:lvlText w:val="•"/>
      <w:lvlJc w:val="left"/>
      <w:pPr>
        <w:ind w:left="7665" w:hanging="608"/>
      </w:pPr>
      <w:rPr>
        <w:rFonts w:hint="default"/>
        <w:lang w:val="zh-CN" w:eastAsia="zh-CN" w:bidi="zh-CN"/>
      </w:rPr>
    </w:lvl>
  </w:abstractNum>
  <w:abstractNum w:abstractNumId="53">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52">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51">
    <w:multiLevelType w:val="hybridMultilevel"/>
    <w:lvl w:ilvl="0">
      <w:start w:val="1"/>
      <w:numFmt w:val="decimal"/>
      <w:lvlText w:val="（%1）"/>
      <w:lvlJc w:val="left"/>
      <w:pPr>
        <w:ind w:left="1306" w:hanging="605"/>
        <w:jc w:val="left"/>
      </w:pPr>
      <w:rPr>
        <w:rFonts w:hint="default" w:ascii="宋体" w:hAnsi="宋体" w:eastAsia="宋体" w:cs="宋体"/>
        <w:b/>
        <w:bCs/>
        <w:spacing w:val="0"/>
        <w:w w:val="99"/>
        <w:sz w:val="22"/>
        <w:szCs w:val="22"/>
        <w:lang w:val="zh-CN" w:eastAsia="zh-CN" w:bidi="zh-CN"/>
      </w:rPr>
    </w:lvl>
    <w:lvl w:ilvl="1">
      <w:start w:val="0"/>
      <w:numFmt w:val="bullet"/>
      <w:lvlText w:val="•"/>
      <w:lvlJc w:val="left"/>
      <w:pPr>
        <w:ind w:left="2122" w:hanging="605"/>
      </w:pPr>
      <w:rPr>
        <w:rFonts w:hint="default"/>
        <w:lang w:val="zh-CN" w:eastAsia="zh-CN" w:bidi="zh-CN"/>
      </w:rPr>
    </w:lvl>
    <w:lvl w:ilvl="2">
      <w:start w:val="0"/>
      <w:numFmt w:val="bullet"/>
      <w:lvlText w:val="•"/>
      <w:lvlJc w:val="left"/>
      <w:pPr>
        <w:ind w:left="2945" w:hanging="605"/>
      </w:pPr>
      <w:rPr>
        <w:rFonts w:hint="default"/>
        <w:lang w:val="zh-CN" w:eastAsia="zh-CN" w:bidi="zh-CN"/>
      </w:rPr>
    </w:lvl>
    <w:lvl w:ilvl="3">
      <w:start w:val="0"/>
      <w:numFmt w:val="bullet"/>
      <w:lvlText w:val="•"/>
      <w:lvlJc w:val="left"/>
      <w:pPr>
        <w:ind w:left="3767" w:hanging="605"/>
      </w:pPr>
      <w:rPr>
        <w:rFonts w:hint="default"/>
        <w:lang w:val="zh-CN" w:eastAsia="zh-CN" w:bidi="zh-CN"/>
      </w:rPr>
    </w:lvl>
    <w:lvl w:ilvl="4">
      <w:start w:val="0"/>
      <w:numFmt w:val="bullet"/>
      <w:lvlText w:val="•"/>
      <w:lvlJc w:val="left"/>
      <w:pPr>
        <w:ind w:left="4590" w:hanging="605"/>
      </w:pPr>
      <w:rPr>
        <w:rFonts w:hint="default"/>
        <w:lang w:val="zh-CN" w:eastAsia="zh-CN" w:bidi="zh-CN"/>
      </w:rPr>
    </w:lvl>
    <w:lvl w:ilvl="5">
      <w:start w:val="0"/>
      <w:numFmt w:val="bullet"/>
      <w:lvlText w:val="•"/>
      <w:lvlJc w:val="left"/>
      <w:pPr>
        <w:ind w:left="5413" w:hanging="605"/>
      </w:pPr>
      <w:rPr>
        <w:rFonts w:hint="default"/>
        <w:lang w:val="zh-CN" w:eastAsia="zh-CN" w:bidi="zh-CN"/>
      </w:rPr>
    </w:lvl>
    <w:lvl w:ilvl="6">
      <w:start w:val="0"/>
      <w:numFmt w:val="bullet"/>
      <w:lvlText w:val="•"/>
      <w:lvlJc w:val="left"/>
      <w:pPr>
        <w:ind w:left="6235" w:hanging="605"/>
      </w:pPr>
      <w:rPr>
        <w:rFonts w:hint="default"/>
        <w:lang w:val="zh-CN" w:eastAsia="zh-CN" w:bidi="zh-CN"/>
      </w:rPr>
    </w:lvl>
    <w:lvl w:ilvl="7">
      <w:start w:val="0"/>
      <w:numFmt w:val="bullet"/>
      <w:lvlText w:val="•"/>
      <w:lvlJc w:val="left"/>
      <w:pPr>
        <w:ind w:left="7058" w:hanging="605"/>
      </w:pPr>
      <w:rPr>
        <w:rFonts w:hint="default"/>
        <w:lang w:val="zh-CN" w:eastAsia="zh-CN" w:bidi="zh-CN"/>
      </w:rPr>
    </w:lvl>
    <w:lvl w:ilvl="8">
      <w:start w:val="0"/>
      <w:numFmt w:val="bullet"/>
      <w:lvlText w:val="•"/>
      <w:lvlJc w:val="left"/>
      <w:pPr>
        <w:ind w:left="7881" w:hanging="605"/>
      </w:pPr>
      <w:rPr>
        <w:rFonts w:hint="default"/>
        <w:lang w:val="zh-CN" w:eastAsia="zh-CN" w:bidi="zh-CN"/>
      </w:rPr>
    </w:lvl>
  </w:abstractNum>
  <w:abstractNum w:abstractNumId="50">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49">
    <w:multiLevelType w:val="hybridMultilevel"/>
    <w:lvl w:ilvl="0">
      <w:start w:val="1"/>
      <w:numFmt w:val="decimal"/>
      <w:lvlText w:val="（%1）"/>
      <w:lvlJc w:val="left"/>
      <w:pPr>
        <w:ind w:left="218" w:hanging="601"/>
        <w:jc w:val="left"/>
      </w:pPr>
      <w:rPr>
        <w:rFonts w:hint="default"/>
        <w:spacing w:val="-61"/>
        <w:w w:val="100"/>
        <w:lang w:val="zh-CN" w:eastAsia="zh-CN" w:bidi="zh-CN"/>
      </w:rPr>
    </w:lvl>
    <w:lvl w:ilvl="1">
      <w:start w:val="0"/>
      <w:numFmt w:val="bullet"/>
      <w:lvlText w:val="•"/>
      <w:lvlJc w:val="left"/>
      <w:pPr>
        <w:ind w:left="1150" w:hanging="601"/>
      </w:pPr>
      <w:rPr>
        <w:rFonts w:hint="default"/>
        <w:lang w:val="zh-CN" w:eastAsia="zh-CN" w:bidi="zh-CN"/>
      </w:rPr>
    </w:lvl>
    <w:lvl w:ilvl="2">
      <w:start w:val="0"/>
      <w:numFmt w:val="bullet"/>
      <w:lvlText w:val="•"/>
      <w:lvlJc w:val="left"/>
      <w:pPr>
        <w:ind w:left="2081" w:hanging="601"/>
      </w:pPr>
      <w:rPr>
        <w:rFonts w:hint="default"/>
        <w:lang w:val="zh-CN" w:eastAsia="zh-CN" w:bidi="zh-CN"/>
      </w:rPr>
    </w:lvl>
    <w:lvl w:ilvl="3">
      <w:start w:val="0"/>
      <w:numFmt w:val="bullet"/>
      <w:lvlText w:val="•"/>
      <w:lvlJc w:val="left"/>
      <w:pPr>
        <w:ind w:left="3011" w:hanging="601"/>
      </w:pPr>
      <w:rPr>
        <w:rFonts w:hint="default"/>
        <w:lang w:val="zh-CN" w:eastAsia="zh-CN" w:bidi="zh-CN"/>
      </w:rPr>
    </w:lvl>
    <w:lvl w:ilvl="4">
      <w:start w:val="0"/>
      <w:numFmt w:val="bullet"/>
      <w:lvlText w:val="•"/>
      <w:lvlJc w:val="left"/>
      <w:pPr>
        <w:ind w:left="3942" w:hanging="601"/>
      </w:pPr>
      <w:rPr>
        <w:rFonts w:hint="default"/>
        <w:lang w:val="zh-CN" w:eastAsia="zh-CN" w:bidi="zh-CN"/>
      </w:rPr>
    </w:lvl>
    <w:lvl w:ilvl="5">
      <w:start w:val="0"/>
      <w:numFmt w:val="bullet"/>
      <w:lvlText w:val="•"/>
      <w:lvlJc w:val="left"/>
      <w:pPr>
        <w:ind w:left="4873" w:hanging="601"/>
      </w:pPr>
      <w:rPr>
        <w:rFonts w:hint="default"/>
        <w:lang w:val="zh-CN" w:eastAsia="zh-CN" w:bidi="zh-CN"/>
      </w:rPr>
    </w:lvl>
    <w:lvl w:ilvl="6">
      <w:start w:val="0"/>
      <w:numFmt w:val="bullet"/>
      <w:lvlText w:val="•"/>
      <w:lvlJc w:val="left"/>
      <w:pPr>
        <w:ind w:left="5803" w:hanging="601"/>
      </w:pPr>
      <w:rPr>
        <w:rFonts w:hint="default"/>
        <w:lang w:val="zh-CN" w:eastAsia="zh-CN" w:bidi="zh-CN"/>
      </w:rPr>
    </w:lvl>
    <w:lvl w:ilvl="7">
      <w:start w:val="0"/>
      <w:numFmt w:val="bullet"/>
      <w:lvlText w:val="•"/>
      <w:lvlJc w:val="left"/>
      <w:pPr>
        <w:ind w:left="6734" w:hanging="601"/>
      </w:pPr>
      <w:rPr>
        <w:rFonts w:hint="default"/>
        <w:lang w:val="zh-CN" w:eastAsia="zh-CN" w:bidi="zh-CN"/>
      </w:rPr>
    </w:lvl>
    <w:lvl w:ilvl="8">
      <w:start w:val="0"/>
      <w:numFmt w:val="bullet"/>
      <w:lvlText w:val="•"/>
      <w:lvlJc w:val="left"/>
      <w:pPr>
        <w:ind w:left="7665" w:hanging="601"/>
      </w:pPr>
      <w:rPr>
        <w:rFonts w:hint="default"/>
        <w:lang w:val="zh-CN" w:eastAsia="zh-CN" w:bidi="zh-CN"/>
      </w:rPr>
    </w:lvl>
  </w:abstractNum>
  <w:abstractNum w:abstractNumId="48">
    <w:multiLevelType w:val="hybridMultilevel"/>
    <w:lvl w:ilvl="0">
      <w:start w:val="1"/>
      <w:numFmt w:val="lowerLetter"/>
      <w:lvlText w:val="%1."/>
      <w:lvlJc w:val="left"/>
      <w:pPr>
        <w:ind w:left="865" w:hanging="167"/>
        <w:jc w:val="left"/>
      </w:pPr>
      <w:rPr>
        <w:rFonts w:hint="default" w:ascii="Times New Roman" w:hAnsi="Times New Roman" w:eastAsia="Times New Roman" w:cs="Times New Roman"/>
        <w:spacing w:val="-1"/>
        <w:w w:val="100"/>
        <w:sz w:val="22"/>
        <w:szCs w:val="22"/>
        <w:lang w:val="zh-CN" w:eastAsia="zh-CN" w:bidi="zh-CN"/>
      </w:rPr>
    </w:lvl>
    <w:lvl w:ilvl="1">
      <w:start w:val="0"/>
      <w:numFmt w:val="bullet"/>
      <w:lvlText w:val="•"/>
      <w:lvlJc w:val="left"/>
      <w:pPr>
        <w:ind w:left="1726" w:hanging="167"/>
      </w:pPr>
      <w:rPr>
        <w:rFonts w:hint="default"/>
        <w:lang w:val="zh-CN" w:eastAsia="zh-CN" w:bidi="zh-CN"/>
      </w:rPr>
    </w:lvl>
    <w:lvl w:ilvl="2">
      <w:start w:val="0"/>
      <w:numFmt w:val="bullet"/>
      <w:lvlText w:val="•"/>
      <w:lvlJc w:val="left"/>
      <w:pPr>
        <w:ind w:left="2593" w:hanging="167"/>
      </w:pPr>
      <w:rPr>
        <w:rFonts w:hint="default"/>
        <w:lang w:val="zh-CN" w:eastAsia="zh-CN" w:bidi="zh-CN"/>
      </w:rPr>
    </w:lvl>
    <w:lvl w:ilvl="3">
      <w:start w:val="0"/>
      <w:numFmt w:val="bullet"/>
      <w:lvlText w:val="•"/>
      <w:lvlJc w:val="left"/>
      <w:pPr>
        <w:ind w:left="3459" w:hanging="167"/>
      </w:pPr>
      <w:rPr>
        <w:rFonts w:hint="default"/>
        <w:lang w:val="zh-CN" w:eastAsia="zh-CN" w:bidi="zh-CN"/>
      </w:rPr>
    </w:lvl>
    <w:lvl w:ilvl="4">
      <w:start w:val="0"/>
      <w:numFmt w:val="bullet"/>
      <w:lvlText w:val="•"/>
      <w:lvlJc w:val="left"/>
      <w:pPr>
        <w:ind w:left="4326" w:hanging="167"/>
      </w:pPr>
      <w:rPr>
        <w:rFonts w:hint="default"/>
        <w:lang w:val="zh-CN" w:eastAsia="zh-CN" w:bidi="zh-CN"/>
      </w:rPr>
    </w:lvl>
    <w:lvl w:ilvl="5">
      <w:start w:val="0"/>
      <w:numFmt w:val="bullet"/>
      <w:lvlText w:val="•"/>
      <w:lvlJc w:val="left"/>
      <w:pPr>
        <w:ind w:left="5193" w:hanging="167"/>
      </w:pPr>
      <w:rPr>
        <w:rFonts w:hint="default"/>
        <w:lang w:val="zh-CN" w:eastAsia="zh-CN" w:bidi="zh-CN"/>
      </w:rPr>
    </w:lvl>
    <w:lvl w:ilvl="6">
      <w:start w:val="0"/>
      <w:numFmt w:val="bullet"/>
      <w:lvlText w:val="•"/>
      <w:lvlJc w:val="left"/>
      <w:pPr>
        <w:ind w:left="6059" w:hanging="167"/>
      </w:pPr>
      <w:rPr>
        <w:rFonts w:hint="default"/>
        <w:lang w:val="zh-CN" w:eastAsia="zh-CN" w:bidi="zh-CN"/>
      </w:rPr>
    </w:lvl>
    <w:lvl w:ilvl="7">
      <w:start w:val="0"/>
      <w:numFmt w:val="bullet"/>
      <w:lvlText w:val="•"/>
      <w:lvlJc w:val="left"/>
      <w:pPr>
        <w:ind w:left="6926" w:hanging="167"/>
      </w:pPr>
      <w:rPr>
        <w:rFonts w:hint="default"/>
        <w:lang w:val="zh-CN" w:eastAsia="zh-CN" w:bidi="zh-CN"/>
      </w:rPr>
    </w:lvl>
    <w:lvl w:ilvl="8">
      <w:start w:val="0"/>
      <w:numFmt w:val="bullet"/>
      <w:lvlText w:val="•"/>
      <w:lvlJc w:val="left"/>
      <w:pPr>
        <w:ind w:left="7793" w:hanging="167"/>
      </w:pPr>
      <w:rPr>
        <w:rFonts w:hint="default"/>
        <w:lang w:val="zh-CN" w:eastAsia="zh-CN" w:bidi="zh-CN"/>
      </w:rPr>
    </w:lvl>
  </w:abstractNum>
  <w:abstractNum w:abstractNumId="47">
    <w:multiLevelType w:val="hybridMultilevel"/>
    <w:lvl w:ilvl="0">
      <w:start w:val="8"/>
      <w:numFmt w:val="decimal"/>
      <w:lvlText w:val="%1"/>
      <w:lvlJc w:val="left"/>
      <w:pPr>
        <w:ind w:left="698" w:hanging="600"/>
        <w:jc w:val="left"/>
      </w:pPr>
      <w:rPr>
        <w:rFonts w:hint="default"/>
        <w:lang w:val="zh-CN" w:eastAsia="zh-CN" w:bidi="zh-CN"/>
      </w:rPr>
    </w:lvl>
    <w:lvl w:ilvl="1">
      <w:start w:val="4"/>
      <w:numFmt w:val="decimal"/>
      <w:lvlText w:val="%1.%2"/>
      <w:lvlJc w:val="left"/>
      <w:pPr>
        <w:ind w:left="698" w:hanging="600"/>
        <w:jc w:val="left"/>
      </w:pPr>
      <w:rPr>
        <w:rFonts w:hint="default"/>
        <w:lang w:val="zh-CN" w:eastAsia="zh-CN" w:bidi="zh-CN"/>
      </w:rPr>
    </w:lvl>
    <w:lvl w:ilvl="2">
      <w:start w:val="5"/>
      <w:numFmt w:val="decimal"/>
      <w:lvlText w:val="%1.%2.%3"/>
      <w:lvlJc w:val="left"/>
      <w:pPr>
        <w:ind w:left="698" w:hanging="600"/>
        <w:jc w:val="left"/>
      </w:pPr>
      <w:rPr>
        <w:rFonts w:hint="default" w:ascii="Times New Roman" w:hAnsi="Times New Roman" w:eastAsia="Times New Roman" w:cs="Times New Roman"/>
        <w:b/>
        <w:bCs/>
        <w:spacing w:val="-16"/>
        <w:w w:val="99"/>
        <w:sz w:val="24"/>
        <w:szCs w:val="24"/>
        <w:lang w:val="zh-CN" w:eastAsia="zh-CN" w:bidi="zh-CN"/>
      </w:rPr>
    </w:lvl>
    <w:lvl w:ilvl="3">
      <w:start w:val="0"/>
      <w:numFmt w:val="bullet"/>
      <w:lvlText w:val="•"/>
      <w:lvlJc w:val="left"/>
      <w:pPr>
        <w:ind w:left="3347" w:hanging="600"/>
      </w:pPr>
      <w:rPr>
        <w:rFonts w:hint="default"/>
        <w:lang w:val="zh-CN" w:eastAsia="zh-CN" w:bidi="zh-CN"/>
      </w:rPr>
    </w:lvl>
    <w:lvl w:ilvl="4">
      <w:start w:val="0"/>
      <w:numFmt w:val="bullet"/>
      <w:lvlText w:val="•"/>
      <w:lvlJc w:val="left"/>
      <w:pPr>
        <w:ind w:left="4230" w:hanging="600"/>
      </w:pPr>
      <w:rPr>
        <w:rFonts w:hint="default"/>
        <w:lang w:val="zh-CN" w:eastAsia="zh-CN" w:bidi="zh-CN"/>
      </w:rPr>
    </w:lvl>
    <w:lvl w:ilvl="5">
      <w:start w:val="0"/>
      <w:numFmt w:val="bullet"/>
      <w:lvlText w:val="•"/>
      <w:lvlJc w:val="left"/>
      <w:pPr>
        <w:ind w:left="5113" w:hanging="600"/>
      </w:pPr>
      <w:rPr>
        <w:rFonts w:hint="default"/>
        <w:lang w:val="zh-CN" w:eastAsia="zh-CN" w:bidi="zh-CN"/>
      </w:rPr>
    </w:lvl>
    <w:lvl w:ilvl="6">
      <w:start w:val="0"/>
      <w:numFmt w:val="bullet"/>
      <w:lvlText w:val="•"/>
      <w:lvlJc w:val="left"/>
      <w:pPr>
        <w:ind w:left="5995" w:hanging="600"/>
      </w:pPr>
      <w:rPr>
        <w:rFonts w:hint="default"/>
        <w:lang w:val="zh-CN" w:eastAsia="zh-CN" w:bidi="zh-CN"/>
      </w:rPr>
    </w:lvl>
    <w:lvl w:ilvl="7">
      <w:start w:val="0"/>
      <w:numFmt w:val="bullet"/>
      <w:lvlText w:val="•"/>
      <w:lvlJc w:val="left"/>
      <w:pPr>
        <w:ind w:left="6878" w:hanging="600"/>
      </w:pPr>
      <w:rPr>
        <w:rFonts w:hint="default"/>
        <w:lang w:val="zh-CN" w:eastAsia="zh-CN" w:bidi="zh-CN"/>
      </w:rPr>
    </w:lvl>
    <w:lvl w:ilvl="8">
      <w:start w:val="0"/>
      <w:numFmt w:val="bullet"/>
      <w:lvlText w:val="•"/>
      <w:lvlJc w:val="left"/>
      <w:pPr>
        <w:ind w:left="7761" w:hanging="600"/>
      </w:pPr>
      <w:rPr>
        <w:rFonts w:hint="default"/>
        <w:lang w:val="zh-CN" w:eastAsia="zh-CN" w:bidi="zh-CN"/>
      </w:rPr>
    </w:lvl>
  </w:abstractNum>
  <w:abstractNum w:abstractNumId="46">
    <w:multiLevelType w:val="hybridMultilevel"/>
    <w:lvl w:ilvl="0">
      <w:start w:val="1"/>
      <w:numFmt w:val="decimal"/>
      <w:lvlText w:val="（%1）"/>
      <w:lvlJc w:val="left"/>
      <w:pPr>
        <w:ind w:left="1299" w:hanging="601"/>
        <w:jc w:val="righ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45">
    <w:multiLevelType w:val="hybridMultilevel"/>
    <w:lvl w:ilvl="0">
      <w:start w:val="1"/>
      <w:numFmt w:val="decimal"/>
      <w:lvlText w:val="（%1）"/>
      <w:lvlJc w:val="left"/>
      <w:pPr>
        <w:ind w:left="218" w:hanging="601"/>
        <w:jc w:val="left"/>
      </w:pPr>
      <w:rPr>
        <w:rFonts w:hint="default" w:ascii="宋体" w:hAnsi="宋体" w:eastAsia="宋体" w:cs="宋体"/>
        <w:spacing w:val="-12"/>
        <w:w w:val="100"/>
        <w:sz w:val="22"/>
        <w:szCs w:val="22"/>
        <w:lang w:val="zh-CN" w:eastAsia="zh-CN" w:bidi="zh-CN"/>
      </w:rPr>
    </w:lvl>
    <w:lvl w:ilvl="1">
      <w:start w:val="1"/>
      <w:numFmt w:val="decimal"/>
      <w:lvlText w:val="（%2）"/>
      <w:lvlJc w:val="left"/>
      <w:pPr>
        <w:ind w:left="1299" w:hanging="601"/>
        <w:jc w:val="left"/>
      </w:pPr>
      <w:rPr>
        <w:rFonts w:hint="default" w:ascii="宋体" w:hAnsi="宋体" w:eastAsia="宋体" w:cs="宋体"/>
        <w:spacing w:val="-1"/>
        <w:w w:val="100"/>
        <w:sz w:val="22"/>
        <w:szCs w:val="22"/>
        <w:lang w:val="zh-CN" w:eastAsia="zh-CN" w:bidi="zh-CN"/>
      </w:rPr>
    </w:lvl>
    <w:lvl w:ilvl="2">
      <w:start w:val="0"/>
      <w:numFmt w:val="bullet"/>
      <w:lvlText w:val="•"/>
      <w:lvlJc w:val="left"/>
      <w:pPr>
        <w:ind w:left="2214" w:hanging="601"/>
      </w:pPr>
      <w:rPr>
        <w:rFonts w:hint="default"/>
        <w:lang w:val="zh-CN" w:eastAsia="zh-CN" w:bidi="zh-CN"/>
      </w:rPr>
    </w:lvl>
    <w:lvl w:ilvl="3">
      <w:start w:val="0"/>
      <w:numFmt w:val="bullet"/>
      <w:lvlText w:val="•"/>
      <w:lvlJc w:val="left"/>
      <w:pPr>
        <w:ind w:left="3128" w:hanging="601"/>
      </w:pPr>
      <w:rPr>
        <w:rFonts w:hint="default"/>
        <w:lang w:val="zh-CN" w:eastAsia="zh-CN" w:bidi="zh-CN"/>
      </w:rPr>
    </w:lvl>
    <w:lvl w:ilvl="4">
      <w:start w:val="0"/>
      <w:numFmt w:val="bullet"/>
      <w:lvlText w:val="•"/>
      <w:lvlJc w:val="left"/>
      <w:pPr>
        <w:ind w:left="4042" w:hanging="601"/>
      </w:pPr>
      <w:rPr>
        <w:rFonts w:hint="default"/>
        <w:lang w:val="zh-CN" w:eastAsia="zh-CN" w:bidi="zh-CN"/>
      </w:rPr>
    </w:lvl>
    <w:lvl w:ilvl="5">
      <w:start w:val="0"/>
      <w:numFmt w:val="bullet"/>
      <w:lvlText w:val="•"/>
      <w:lvlJc w:val="left"/>
      <w:pPr>
        <w:ind w:left="4956" w:hanging="601"/>
      </w:pPr>
      <w:rPr>
        <w:rFonts w:hint="default"/>
        <w:lang w:val="zh-CN" w:eastAsia="zh-CN" w:bidi="zh-CN"/>
      </w:rPr>
    </w:lvl>
    <w:lvl w:ilvl="6">
      <w:start w:val="0"/>
      <w:numFmt w:val="bullet"/>
      <w:lvlText w:val="•"/>
      <w:lvlJc w:val="left"/>
      <w:pPr>
        <w:ind w:left="5870" w:hanging="601"/>
      </w:pPr>
      <w:rPr>
        <w:rFonts w:hint="default"/>
        <w:lang w:val="zh-CN" w:eastAsia="zh-CN" w:bidi="zh-CN"/>
      </w:rPr>
    </w:lvl>
    <w:lvl w:ilvl="7">
      <w:start w:val="0"/>
      <w:numFmt w:val="bullet"/>
      <w:lvlText w:val="•"/>
      <w:lvlJc w:val="left"/>
      <w:pPr>
        <w:ind w:left="6784" w:hanging="601"/>
      </w:pPr>
      <w:rPr>
        <w:rFonts w:hint="default"/>
        <w:lang w:val="zh-CN" w:eastAsia="zh-CN" w:bidi="zh-CN"/>
      </w:rPr>
    </w:lvl>
    <w:lvl w:ilvl="8">
      <w:start w:val="0"/>
      <w:numFmt w:val="bullet"/>
      <w:lvlText w:val="•"/>
      <w:lvlJc w:val="left"/>
      <w:pPr>
        <w:ind w:left="7698" w:hanging="601"/>
      </w:pPr>
      <w:rPr>
        <w:rFonts w:hint="default"/>
        <w:lang w:val="zh-CN" w:eastAsia="zh-CN" w:bidi="zh-CN"/>
      </w:rPr>
    </w:lvl>
  </w:abstractNum>
  <w:abstractNum w:abstractNumId="44">
    <w:multiLevelType w:val="hybridMultilevel"/>
    <w:lvl w:ilvl="0">
      <w:start w:val="1"/>
      <w:numFmt w:val="decimal"/>
      <w:lvlText w:val="(%1)"/>
      <w:lvlJc w:val="left"/>
      <w:pPr>
        <w:ind w:left="982" w:hanging="281"/>
        <w:jc w:val="left"/>
      </w:pPr>
      <w:rPr>
        <w:rFonts w:hint="default" w:ascii="Times New Roman" w:hAnsi="Times New Roman" w:eastAsia="Times New Roman" w:cs="Times New Roman"/>
        <w:b/>
        <w:bCs/>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43">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42">
    <w:multiLevelType w:val="hybridMultilevel"/>
    <w:lvl w:ilvl="0">
      <w:start w:val="1"/>
      <w:numFmt w:val="decimal"/>
      <w:lvlText w:val="（%1）"/>
      <w:lvlJc w:val="left"/>
      <w:pPr>
        <w:ind w:left="1299" w:hanging="601"/>
        <w:jc w:val="left"/>
      </w:pPr>
      <w:rPr>
        <w:rFonts w:hint="default" w:ascii="宋体" w:hAnsi="宋体" w:eastAsia="宋体" w:cs="宋体"/>
        <w:spacing w:val="-1"/>
        <w:w w:val="99"/>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41">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40">
    <w:multiLevelType w:val="hybridMultilevel"/>
    <w:lvl w:ilvl="0">
      <w:start w:val="0"/>
      <w:numFmt w:val="bullet"/>
      <w:lvlText w:val="-"/>
      <w:lvlJc w:val="left"/>
      <w:pPr>
        <w:ind w:left="291" w:hanging="210"/>
      </w:pPr>
      <w:rPr>
        <w:rFonts w:hint="default" w:ascii="宋体" w:hAnsi="宋体" w:eastAsia="宋体" w:cs="宋体"/>
        <w:w w:val="104"/>
        <w:position w:val="6"/>
        <w:sz w:val="24"/>
        <w:szCs w:val="24"/>
        <w:lang w:val="zh-CN" w:eastAsia="zh-CN" w:bidi="zh-CN"/>
      </w:rPr>
    </w:lvl>
    <w:lvl w:ilvl="1">
      <w:start w:val="0"/>
      <w:numFmt w:val="bullet"/>
      <w:lvlText w:val="•"/>
      <w:lvlJc w:val="left"/>
      <w:pPr>
        <w:ind w:left="374" w:hanging="210"/>
      </w:pPr>
      <w:rPr>
        <w:rFonts w:hint="default"/>
        <w:lang w:val="zh-CN" w:eastAsia="zh-CN" w:bidi="zh-CN"/>
      </w:rPr>
    </w:lvl>
    <w:lvl w:ilvl="2">
      <w:start w:val="0"/>
      <w:numFmt w:val="bullet"/>
      <w:lvlText w:val="•"/>
      <w:lvlJc w:val="left"/>
      <w:pPr>
        <w:ind w:left="449" w:hanging="210"/>
      </w:pPr>
      <w:rPr>
        <w:rFonts w:hint="default"/>
        <w:lang w:val="zh-CN" w:eastAsia="zh-CN" w:bidi="zh-CN"/>
      </w:rPr>
    </w:lvl>
    <w:lvl w:ilvl="3">
      <w:start w:val="0"/>
      <w:numFmt w:val="bullet"/>
      <w:lvlText w:val="•"/>
      <w:lvlJc w:val="left"/>
      <w:pPr>
        <w:ind w:left="523" w:hanging="210"/>
      </w:pPr>
      <w:rPr>
        <w:rFonts w:hint="default"/>
        <w:lang w:val="zh-CN" w:eastAsia="zh-CN" w:bidi="zh-CN"/>
      </w:rPr>
    </w:lvl>
    <w:lvl w:ilvl="4">
      <w:start w:val="0"/>
      <w:numFmt w:val="bullet"/>
      <w:lvlText w:val="•"/>
      <w:lvlJc w:val="left"/>
      <w:pPr>
        <w:ind w:left="598" w:hanging="210"/>
      </w:pPr>
      <w:rPr>
        <w:rFonts w:hint="default"/>
        <w:lang w:val="zh-CN" w:eastAsia="zh-CN" w:bidi="zh-CN"/>
      </w:rPr>
    </w:lvl>
    <w:lvl w:ilvl="5">
      <w:start w:val="0"/>
      <w:numFmt w:val="bullet"/>
      <w:lvlText w:val="•"/>
      <w:lvlJc w:val="left"/>
      <w:pPr>
        <w:ind w:left="672" w:hanging="210"/>
      </w:pPr>
      <w:rPr>
        <w:rFonts w:hint="default"/>
        <w:lang w:val="zh-CN" w:eastAsia="zh-CN" w:bidi="zh-CN"/>
      </w:rPr>
    </w:lvl>
    <w:lvl w:ilvl="6">
      <w:start w:val="0"/>
      <w:numFmt w:val="bullet"/>
      <w:lvlText w:val="•"/>
      <w:lvlJc w:val="left"/>
      <w:pPr>
        <w:ind w:left="747" w:hanging="210"/>
      </w:pPr>
      <w:rPr>
        <w:rFonts w:hint="default"/>
        <w:lang w:val="zh-CN" w:eastAsia="zh-CN" w:bidi="zh-CN"/>
      </w:rPr>
    </w:lvl>
    <w:lvl w:ilvl="7">
      <w:start w:val="0"/>
      <w:numFmt w:val="bullet"/>
      <w:lvlText w:val="•"/>
      <w:lvlJc w:val="left"/>
      <w:pPr>
        <w:ind w:left="821" w:hanging="210"/>
      </w:pPr>
      <w:rPr>
        <w:rFonts w:hint="default"/>
        <w:lang w:val="zh-CN" w:eastAsia="zh-CN" w:bidi="zh-CN"/>
      </w:rPr>
    </w:lvl>
    <w:lvl w:ilvl="8">
      <w:start w:val="0"/>
      <w:numFmt w:val="bullet"/>
      <w:lvlText w:val="•"/>
      <w:lvlJc w:val="left"/>
      <w:pPr>
        <w:ind w:left="896" w:hanging="210"/>
      </w:pPr>
      <w:rPr>
        <w:rFonts w:hint="default"/>
        <w:lang w:val="zh-CN" w:eastAsia="zh-CN" w:bidi="zh-CN"/>
      </w:rPr>
    </w:lvl>
  </w:abstractNum>
  <w:abstractNum w:abstractNumId="39">
    <w:multiLevelType w:val="hybridMultilevel"/>
    <w:lvl w:ilvl="0">
      <w:start w:val="0"/>
      <w:numFmt w:val="bullet"/>
      <w:lvlText w:val=""/>
      <w:lvlJc w:val="left"/>
      <w:pPr>
        <w:ind w:left="309" w:hanging="225"/>
      </w:pPr>
      <w:rPr>
        <w:rFonts w:hint="default" w:ascii="Symbol" w:hAnsi="Symbol" w:eastAsia="Symbol" w:cs="Symbol"/>
        <w:w w:val="104"/>
        <w:position w:val="6"/>
        <w:sz w:val="24"/>
        <w:szCs w:val="24"/>
        <w:lang w:val="zh-CN" w:eastAsia="zh-CN" w:bidi="zh-CN"/>
      </w:rPr>
    </w:lvl>
    <w:lvl w:ilvl="1">
      <w:start w:val="0"/>
      <w:numFmt w:val="bullet"/>
      <w:lvlText w:val="•"/>
      <w:lvlJc w:val="left"/>
      <w:pPr>
        <w:ind w:left="354" w:hanging="225"/>
      </w:pPr>
      <w:rPr>
        <w:rFonts w:hint="default"/>
        <w:lang w:val="zh-CN" w:eastAsia="zh-CN" w:bidi="zh-CN"/>
      </w:rPr>
    </w:lvl>
    <w:lvl w:ilvl="2">
      <w:start w:val="0"/>
      <w:numFmt w:val="bullet"/>
      <w:lvlText w:val="•"/>
      <w:lvlJc w:val="left"/>
      <w:pPr>
        <w:ind w:left="408" w:hanging="225"/>
      </w:pPr>
      <w:rPr>
        <w:rFonts w:hint="default"/>
        <w:lang w:val="zh-CN" w:eastAsia="zh-CN" w:bidi="zh-CN"/>
      </w:rPr>
    </w:lvl>
    <w:lvl w:ilvl="3">
      <w:start w:val="0"/>
      <w:numFmt w:val="bullet"/>
      <w:lvlText w:val="•"/>
      <w:lvlJc w:val="left"/>
      <w:pPr>
        <w:ind w:left="463" w:hanging="225"/>
      </w:pPr>
      <w:rPr>
        <w:rFonts w:hint="default"/>
        <w:lang w:val="zh-CN" w:eastAsia="zh-CN" w:bidi="zh-CN"/>
      </w:rPr>
    </w:lvl>
    <w:lvl w:ilvl="4">
      <w:start w:val="0"/>
      <w:numFmt w:val="bullet"/>
      <w:lvlText w:val="•"/>
      <w:lvlJc w:val="left"/>
      <w:pPr>
        <w:ind w:left="517" w:hanging="225"/>
      </w:pPr>
      <w:rPr>
        <w:rFonts w:hint="default"/>
        <w:lang w:val="zh-CN" w:eastAsia="zh-CN" w:bidi="zh-CN"/>
      </w:rPr>
    </w:lvl>
    <w:lvl w:ilvl="5">
      <w:start w:val="0"/>
      <w:numFmt w:val="bullet"/>
      <w:lvlText w:val="•"/>
      <w:lvlJc w:val="left"/>
      <w:pPr>
        <w:ind w:left="571" w:hanging="225"/>
      </w:pPr>
      <w:rPr>
        <w:rFonts w:hint="default"/>
        <w:lang w:val="zh-CN" w:eastAsia="zh-CN" w:bidi="zh-CN"/>
      </w:rPr>
    </w:lvl>
    <w:lvl w:ilvl="6">
      <w:start w:val="0"/>
      <w:numFmt w:val="bullet"/>
      <w:lvlText w:val="•"/>
      <w:lvlJc w:val="left"/>
      <w:pPr>
        <w:ind w:left="626" w:hanging="225"/>
      </w:pPr>
      <w:rPr>
        <w:rFonts w:hint="default"/>
        <w:lang w:val="zh-CN" w:eastAsia="zh-CN" w:bidi="zh-CN"/>
      </w:rPr>
    </w:lvl>
    <w:lvl w:ilvl="7">
      <w:start w:val="0"/>
      <w:numFmt w:val="bullet"/>
      <w:lvlText w:val="•"/>
      <w:lvlJc w:val="left"/>
      <w:pPr>
        <w:ind w:left="680" w:hanging="225"/>
      </w:pPr>
      <w:rPr>
        <w:rFonts w:hint="default"/>
        <w:lang w:val="zh-CN" w:eastAsia="zh-CN" w:bidi="zh-CN"/>
      </w:rPr>
    </w:lvl>
    <w:lvl w:ilvl="8">
      <w:start w:val="0"/>
      <w:numFmt w:val="bullet"/>
      <w:lvlText w:val="•"/>
      <w:lvlJc w:val="left"/>
      <w:pPr>
        <w:ind w:left="734" w:hanging="225"/>
      </w:pPr>
      <w:rPr>
        <w:rFonts w:hint="default"/>
        <w:lang w:val="zh-CN" w:eastAsia="zh-CN" w:bidi="zh-CN"/>
      </w:rPr>
    </w:lvl>
  </w:abstractNum>
  <w:abstractNum w:abstractNumId="38">
    <w:multiLevelType w:val="hybridMultilevel"/>
    <w:lvl w:ilvl="0">
      <w:start w:val="7"/>
      <w:numFmt w:val="decimal"/>
      <w:lvlText w:val="%1"/>
      <w:lvlJc w:val="left"/>
      <w:pPr>
        <w:ind w:left="780" w:hanging="420"/>
        <w:jc w:val="left"/>
      </w:pPr>
      <w:rPr>
        <w:rFonts w:hint="default"/>
        <w:lang w:val="zh-CN" w:eastAsia="zh-CN" w:bidi="zh-CN"/>
      </w:rPr>
    </w:lvl>
    <w:lvl w:ilvl="1">
      <w:start w:val="3"/>
      <w:numFmt w:val="decimal"/>
      <w:lvlText w:val="%1.%2"/>
      <w:lvlJc w:val="left"/>
      <w:pPr>
        <w:ind w:left="780" w:hanging="420"/>
        <w:jc w:val="right"/>
      </w:pPr>
      <w:rPr>
        <w:rFonts w:hint="default" w:ascii="Times New Roman" w:hAnsi="Times New Roman" w:eastAsia="Times New Roman" w:cs="Times New Roman"/>
        <w:b/>
        <w:bCs/>
        <w:w w:val="100"/>
        <w:sz w:val="28"/>
        <w:szCs w:val="28"/>
        <w:lang w:val="zh-CN" w:eastAsia="zh-CN" w:bidi="zh-CN"/>
      </w:rPr>
    </w:lvl>
    <w:lvl w:ilvl="2">
      <w:start w:val="1"/>
      <w:numFmt w:val="decimal"/>
      <w:lvlText w:val="%1.%2.%3"/>
      <w:lvlJc w:val="left"/>
      <w:pPr>
        <w:ind w:left="758" w:hanging="540"/>
        <w:jc w:val="right"/>
      </w:pPr>
      <w:rPr>
        <w:rFonts w:hint="default" w:ascii="Times New Roman" w:hAnsi="Times New Roman" w:eastAsia="Times New Roman" w:cs="Times New Roman"/>
        <w:b/>
        <w:bCs/>
        <w:w w:val="99"/>
        <w:sz w:val="24"/>
        <w:szCs w:val="24"/>
        <w:lang w:val="zh-CN" w:eastAsia="zh-CN" w:bidi="zh-CN"/>
      </w:rPr>
    </w:lvl>
    <w:lvl w:ilvl="3">
      <w:start w:val="1"/>
      <w:numFmt w:val="decimal"/>
      <w:lvlText w:val="（%4）"/>
      <w:lvlJc w:val="left"/>
      <w:pPr>
        <w:ind w:left="218" w:hanging="607"/>
        <w:jc w:val="left"/>
      </w:pPr>
      <w:rPr>
        <w:rFonts w:hint="default" w:ascii="宋体" w:hAnsi="宋体" w:eastAsia="宋体" w:cs="宋体"/>
        <w:spacing w:val="2"/>
        <w:w w:val="100"/>
        <w:sz w:val="22"/>
        <w:szCs w:val="22"/>
        <w:lang w:val="zh-CN" w:eastAsia="zh-CN" w:bidi="zh-CN"/>
      </w:rPr>
    </w:lvl>
    <w:lvl w:ilvl="4">
      <w:start w:val="0"/>
      <w:numFmt w:val="bullet"/>
      <w:lvlText w:val="•"/>
      <w:lvlJc w:val="left"/>
      <w:pPr>
        <w:ind w:left="2966" w:hanging="607"/>
      </w:pPr>
      <w:rPr>
        <w:rFonts w:hint="default"/>
        <w:lang w:val="zh-CN" w:eastAsia="zh-CN" w:bidi="zh-CN"/>
      </w:rPr>
    </w:lvl>
    <w:lvl w:ilvl="5">
      <w:start w:val="0"/>
      <w:numFmt w:val="bullet"/>
      <w:lvlText w:val="•"/>
      <w:lvlJc w:val="left"/>
      <w:pPr>
        <w:ind w:left="4059" w:hanging="607"/>
      </w:pPr>
      <w:rPr>
        <w:rFonts w:hint="default"/>
        <w:lang w:val="zh-CN" w:eastAsia="zh-CN" w:bidi="zh-CN"/>
      </w:rPr>
    </w:lvl>
    <w:lvl w:ilvl="6">
      <w:start w:val="0"/>
      <w:numFmt w:val="bullet"/>
      <w:lvlText w:val="•"/>
      <w:lvlJc w:val="left"/>
      <w:pPr>
        <w:ind w:left="5153" w:hanging="607"/>
      </w:pPr>
      <w:rPr>
        <w:rFonts w:hint="default"/>
        <w:lang w:val="zh-CN" w:eastAsia="zh-CN" w:bidi="zh-CN"/>
      </w:rPr>
    </w:lvl>
    <w:lvl w:ilvl="7">
      <w:start w:val="0"/>
      <w:numFmt w:val="bullet"/>
      <w:lvlText w:val="•"/>
      <w:lvlJc w:val="left"/>
      <w:pPr>
        <w:ind w:left="6246" w:hanging="607"/>
      </w:pPr>
      <w:rPr>
        <w:rFonts w:hint="default"/>
        <w:lang w:val="zh-CN" w:eastAsia="zh-CN" w:bidi="zh-CN"/>
      </w:rPr>
    </w:lvl>
    <w:lvl w:ilvl="8">
      <w:start w:val="0"/>
      <w:numFmt w:val="bullet"/>
      <w:lvlText w:val="•"/>
      <w:lvlJc w:val="left"/>
      <w:pPr>
        <w:ind w:left="7339" w:hanging="607"/>
      </w:pPr>
      <w:rPr>
        <w:rFonts w:hint="default"/>
        <w:lang w:val="zh-CN" w:eastAsia="zh-CN" w:bidi="zh-CN"/>
      </w:rPr>
    </w:lvl>
  </w:abstractNum>
  <w:abstractNum w:abstractNumId="37">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36">
    <w:multiLevelType w:val="hybridMultilevel"/>
    <w:lvl w:ilvl="0">
      <w:start w:val="2"/>
      <w:numFmt w:val="decimal"/>
      <w:lvlText w:val="(%1)"/>
      <w:lvlJc w:val="left"/>
      <w:pPr>
        <w:ind w:left="982"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35">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34">
    <w:multiLevelType w:val="hybridMultilevel"/>
    <w:lvl w:ilvl="0">
      <w:start w:val="1"/>
      <w:numFmt w:val="decimal"/>
      <w:lvlText w:val="（%1）"/>
      <w:lvlJc w:val="left"/>
      <w:pPr>
        <w:ind w:left="218" w:hanging="601"/>
        <w:jc w:val="left"/>
      </w:pPr>
      <w:rPr>
        <w:rFonts w:hint="default" w:ascii="宋体" w:hAnsi="宋体" w:eastAsia="宋体" w:cs="宋体"/>
        <w:spacing w:val="-61"/>
        <w:w w:val="100"/>
        <w:sz w:val="22"/>
        <w:szCs w:val="22"/>
        <w:lang w:val="zh-CN" w:eastAsia="zh-CN" w:bidi="zh-CN"/>
      </w:rPr>
    </w:lvl>
    <w:lvl w:ilvl="1">
      <w:start w:val="0"/>
      <w:numFmt w:val="bullet"/>
      <w:lvlText w:val="•"/>
      <w:lvlJc w:val="left"/>
      <w:pPr>
        <w:ind w:left="1150" w:hanging="601"/>
      </w:pPr>
      <w:rPr>
        <w:rFonts w:hint="default"/>
        <w:lang w:val="zh-CN" w:eastAsia="zh-CN" w:bidi="zh-CN"/>
      </w:rPr>
    </w:lvl>
    <w:lvl w:ilvl="2">
      <w:start w:val="0"/>
      <w:numFmt w:val="bullet"/>
      <w:lvlText w:val="•"/>
      <w:lvlJc w:val="left"/>
      <w:pPr>
        <w:ind w:left="2081" w:hanging="601"/>
      </w:pPr>
      <w:rPr>
        <w:rFonts w:hint="default"/>
        <w:lang w:val="zh-CN" w:eastAsia="zh-CN" w:bidi="zh-CN"/>
      </w:rPr>
    </w:lvl>
    <w:lvl w:ilvl="3">
      <w:start w:val="0"/>
      <w:numFmt w:val="bullet"/>
      <w:lvlText w:val="•"/>
      <w:lvlJc w:val="left"/>
      <w:pPr>
        <w:ind w:left="3011" w:hanging="601"/>
      </w:pPr>
      <w:rPr>
        <w:rFonts w:hint="default"/>
        <w:lang w:val="zh-CN" w:eastAsia="zh-CN" w:bidi="zh-CN"/>
      </w:rPr>
    </w:lvl>
    <w:lvl w:ilvl="4">
      <w:start w:val="0"/>
      <w:numFmt w:val="bullet"/>
      <w:lvlText w:val="•"/>
      <w:lvlJc w:val="left"/>
      <w:pPr>
        <w:ind w:left="3942" w:hanging="601"/>
      </w:pPr>
      <w:rPr>
        <w:rFonts w:hint="default"/>
        <w:lang w:val="zh-CN" w:eastAsia="zh-CN" w:bidi="zh-CN"/>
      </w:rPr>
    </w:lvl>
    <w:lvl w:ilvl="5">
      <w:start w:val="0"/>
      <w:numFmt w:val="bullet"/>
      <w:lvlText w:val="•"/>
      <w:lvlJc w:val="left"/>
      <w:pPr>
        <w:ind w:left="4873" w:hanging="601"/>
      </w:pPr>
      <w:rPr>
        <w:rFonts w:hint="default"/>
        <w:lang w:val="zh-CN" w:eastAsia="zh-CN" w:bidi="zh-CN"/>
      </w:rPr>
    </w:lvl>
    <w:lvl w:ilvl="6">
      <w:start w:val="0"/>
      <w:numFmt w:val="bullet"/>
      <w:lvlText w:val="•"/>
      <w:lvlJc w:val="left"/>
      <w:pPr>
        <w:ind w:left="5803" w:hanging="601"/>
      </w:pPr>
      <w:rPr>
        <w:rFonts w:hint="default"/>
        <w:lang w:val="zh-CN" w:eastAsia="zh-CN" w:bidi="zh-CN"/>
      </w:rPr>
    </w:lvl>
    <w:lvl w:ilvl="7">
      <w:start w:val="0"/>
      <w:numFmt w:val="bullet"/>
      <w:lvlText w:val="•"/>
      <w:lvlJc w:val="left"/>
      <w:pPr>
        <w:ind w:left="6734" w:hanging="601"/>
      </w:pPr>
      <w:rPr>
        <w:rFonts w:hint="default"/>
        <w:lang w:val="zh-CN" w:eastAsia="zh-CN" w:bidi="zh-CN"/>
      </w:rPr>
    </w:lvl>
    <w:lvl w:ilvl="8">
      <w:start w:val="0"/>
      <w:numFmt w:val="bullet"/>
      <w:lvlText w:val="•"/>
      <w:lvlJc w:val="left"/>
      <w:pPr>
        <w:ind w:left="7665" w:hanging="601"/>
      </w:pPr>
      <w:rPr>
        <w:rFonts w:hint="default"/>
        <w:lang w:val="zh-CN" w:eastAsia="zh-CN" w:bidi="zh-CN"/>
      </w:rPr>
    </w:lvl>
  </w:abstractNum>
  <w:abstractNum w:abstractNumId="33">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32">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31">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30">
    <w:multiLevelType w:val="hybridMultilevel"/>
    <w:lvl w:ilvl="0">
      <w:start w:val="1"/>
      <w:numFmt w:val="decimal"/>
      <w:lvlText w:val="(%1)"/>
      <w:lvlJc w:val="left"/>
      <w:pPr>
        <w:ind w:left="218"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150" w:hanging="281"/>
      </w:pPr>
      <w:rPr>
        <w:rFonts w:hint="default"/>
        <w:lang w:val="zh-CN" w:eastAsia="zh-CN" w:bidi="zh-CN"/>
      </w:rPr>
    </w:lvl>
    <w:lvl w:ilvl="2">
      <w:start w:val="0"/>
      <w:numFmt w:val="bullet"/>
      <w:lvlText w:val="•"/>
      <w:lvlJc w:val="left"/>
      <w:pPr>
        <w:ind w:left="2081" w:hanging="281"/>
      </w:pPr>
      <w:rPr>
        <w:rFonts w:hint="default"/>
        <w:lang w:val="zh-CN" w:eastAsia="zh-CN" w:bidi="zh-CN"/>
      </w:rPr>
    </w:lvl>
    <w:lvl w:ilvl="3">
      <w:start w:val="0"/>
      <w:numFmt w:val="bullet"/>
      <w:lvlText w:val="•"/>
      <w:lvlJc w:val="left"/>
      <w:pPr>
        <w:ind w:left="3011" w:hanging="281"/>
      </w:pPr>
      <w:rPr>
        <w:rFonts w:hint="default"/>
        <w:lang w:val="zh-CN" w:eastAsia="zh-CN" w:bidi="zh-CN"/>
      </w:rPr>
    </w:lvl>
    <w:lvl w:ilvl="4">
      <w:start w:val="0"/>
      <w:numFmt w:val="bullet"/>
      <w:lvlText w:val="•"/>
      <w:lvlJc w:val="left"/>
      <w:pPr>
        <w:ind w:left="3942" w:hanging="281"/>
      </w:pPr>
      <w:rPr>
        <w:rFonts w:hint="default"/>
        <w:lang w:val="zh-CN" w:eastAsia="zh-CN" w:bidi="zh-CN"/>
      </w:rPr>
    </w:lvl>
    <w:lvl w:ilvl="5">
      <w:start w:val="0"/>
      <w:numFmt w:val="bullet"/>
      <w:lvlText w:val="•"/>
      <w:lvlJc w:val="left"/>
      <w:pPr>
        <w:ind w:left="4873" w:hanging="281"/>
      </w:pPr>
      <w:rPr>
        <w:rFonts w:hint="default"/>
        <w:lang w:val="zh-CN" w:eastAsia="zh-CN" w:bidi="zh-CN"/>
      </w:rPr>
    </w:lvl>
    <w:lvl w:ilvl="6">
      <w:start w:val="0"/>
      <w:numFmt w:val="bullet"/>
      <w:lvlText w:val="•"/>
      <w:lvlJc w:val="left"/>
      <w:pPr>
        <w:ind w:left="5803" w:hanging="281"/>
      </w:pPr>
      <w:rPr>
        <w:rFonts w:hint="default"/>
        <w:lang w:val="zh-CN" w:eastAsia="zh-CN" w:bidi="zh-CN"/>
      </w:rPr>
    </w:lvl>
    <w:lvl w:ilvl="7">
      <w:start w:val="0"/>
      <w:numFmt w:val="bullet"/>
      <w:lvlText w:val="•"/>
      <w:lvlJc w:val="left"/>
      <w:pPr>
        <w:ind w:left="6734" w:hanging="281"/>
      </w:pPr>
      <w:rPr>
        <w:rFonts w:hint="default"/>
        <w:lang w:val="zh-CN" w:eastAsia="zh-CN" w:bidi="zh-CN"/>
      </w:rPr>
    </w:lvl>
    <w:lvl w:ilvl="8">
      <w:start w:val="0"/>
      <w:numFmt w:val="bullet"/>
      <w:lvlText w:val="•"/>
      <w:lvlJc w:val="left"/>
      <w:pPr>
        <w:ind w:left="7665" w:hanging="281"/>
      </w:pPr>
      <w:rPr>
        <w:rFonts w:hint="default"/>
        <w:lang w:val="zh-CN" w:eastAsia="zh-CN" w:bidi="zh-CN"/>
      </w:rPr>
    </w:lvl>
  </w:abstractNum>
  <w:abstractNum w:abstractNumId="29">
    <w:multiLevelType w:val="hybridMultilevel"/>
    <w:lvl w:ilvl="0">
      <w:start w:val="7"/>
      <w:numFmt w:val="decimal"/>
      <w:lvlText w:val="%1"/>
      <w:lvlJc w:val="left"/>
      <w:pPr>
        <w:ind w:left="1298" w:hanging="720"/>
        <w:jc w:val="left"/>
      </w:pPr>
      <w:rPr>
        <w:rFonts w:hint="default"/>
        <w:lang w:val="zh-CN" w:eastAsia="zh-CN" w:bidi="zh-CN"/>
      </w:rPr>
    </w:lvl>
    <w:lvl w:ilvl="1">
      <w:start w:val="2"/>
      <w:numFmt w:val="decimal"/>
      <w:lvlText w:val="%1.%2"/>
      <w:lvlJc w:val="left"/>
      <w:pPr>
        <w:ind w:left="1298" w:hanging="720"/>
        <w:jc w:val="left"/>
      </w:pPr>
      <w:rPr>
        <w:rFonts w:hint="default"/>
        <w:lang w:val="zh-CN" w:eastAsia="zh-CN" w:bidi="zh-CN"/>
      </w:rPr>
    </w:lvl>
    <w:lvl w:ilvl="2">
      <w:start w:val="3"/>
      <w:numFmt w:val="decimal"/>
      <w:lvlText w:val="%1.%2.%3"/>
      <w:lvlJc w:val="left"/>
      <w:pPr>
        <w:ind w:left="1298" w:hanging="720"/>
        <w:jc w:val="left"/>
      </w:pPr>
      <w:rPr>
        <w:rFonts w:hint="default"/>
        <w:lang w:val="zh-CN" w:eastAsia="zh-CN" w:bidi="zh-CN"/>
      </w:rPr>
    </w:lvl>
    <w:lvl w:ilvl="3">
      <w:start w:val="1"/>
      <w:numFmt w:val="decimal"/>
      <w:lvlText w:val="%1.%2.%3.%4"/>
      <w:lvlJc w:val="left"/>
      <w:pPr>
        <w:ind w:left="1298" w:hanging="720"/>
        <w:jc w:val="left"/>
      </w:pPr>
      <w:rPr>
        <w:rFonts w:hint="default" w:ascii="Times New Roman" w:hAnsi="Times New Roman" w:eastAsia="Times New Roman" w:cs="Times New Roman"/>
        <w:b/>
        <w:bCs/>
        <w:w w:val="100"/>
        <w:sz w:val="24"/>
        <w:szCs w:val="24"/>
        <w:lang w:val="zh-CN" w:eastAsia="zh-CN" w:bidi="zh-CN"/>
      </w:rPr>
    </w:lvl>
    <w:lvl w:ilvl="4">
      <w:start w:val="1"/>
      <w:numFmt w:val="decimal"/>
      <w:lvlText w:val="(%5)"/>
      <w:lvlJc w:val="left"/>
      <w:pPr>
        <w:ind w:left="218" w:hanging="281"/>
        <w:jc w:val="left"/>
      </w:pPr>
      <w:rPr>
        <w:rFonts w:hint="default" w:ascii="Times New Roman" w:hAnsi="Times New Roman" w:eastAsia="Times New Roman" w:cs="Times New Roman"/>
        <w:spacing w:val="-2"/>
        <w:w w:val="99"/>
        <w:sz w:val="22"/>
        <w:szCs w:val="22"/>
        <w:lang w:val="zh-CN" w:eastAsia="zh-CN" w:bidi="zh-CN"/>
      </w:rPr>
    </w:lvl>
    <w:lvl w:ilvl="5">
      <w:start w:val="0"/>
      <w:numFmt w:val="bullet"/>
      <w:lvlText w:val="•"/>
      <w:lvlJc w:val="left"/>
      <w:pPr>
        <w:ind w:left="4384" w:hanging="281"/>
      </w:pPr>
      <w:rPr>
        <w:rFonts w:hint="default"/>
        <w:lang w:val="zh-CN" w:eastAsia="zh-CN" w:bidi="zh-CN"/>
      </w:rPr>
    </w:lvl>
    <w:lvl w:ilvl="6">
      <w:start w:val="0"/>
      <w:numFmt w:val="bullet"/>
      <w:lvlText w:val="•"/>
      <w:lvlJc w:val="left"/>
      <w:pPr>
        <w:ind w:left="5413" w:hanging="281"/>
      </w:pPr>
      <w:rPr>
        <w:rFonts w:hint="default"/>
        <w:lang w:val="zh-CN" w:eastAsia="zh-CN" w:bidi="zh-CN"/>
      </w:rPr>
    </w:lvl>
    <w:lvl w:ilvl="7">
      <w:start w:val="0"/>
      <w:numFmt w:val="bullet"/>
      <w:lvlText w:val="•"/>
      <w:lvlJc w:val="left"/>
      <w:pPr>
        <w:ind w:left="6441" w:hanging="281"/>
      </w:pPr>
      <w:rPr>
        <w:rFonts w:hint="default"/>
        <w:lang w:val="zh-CN" w:eastAsia="zh-CN" w:bidi="zh-CN"/>
      </w:rPr>
    </w:lvl>
    <w:lvl w:ilvl="8">
      <w:start w:val="0"/>
      <w:numFmt w:val="bullet"/>
      <w:lvlText w:val="•"/>
      <w:lvlJc w:val="left"/>
      <w:pPr>
        <w:ind w:left="7469" w:hanging="281"/>
      </w:pPr>
      <w:rPr>
        <w:rFonts w:hint="default"/>
        <w:lang w:val="zh-CN" w:eastAsia="zh-CN" w:bidi="zh-CN"/>
      </w:rPr>
    </w:lvl>
  </w:abstractNum>
  <w:abstractNum w:abstractNumId="28">
    <w:multiLevelType w:val="hybridMultilevel"/>
    <w:lvl w:ilvl="0">
      <w:start w:val="1"/>
      <w:numFmt w:val="decimal"/>
      <w:lvlText w:val="（%1）"/>
      <w:lvlJc w:val="left"/>
      <w:pPr>
        <w:ind w:left="1312" w:hanging="601"/>
        <w:jc w:val="left"/>
      </w:pPr>
      <w:rPr>
        <w:rFonts w:hint="default" w:ascii="宋体" w:hAnsi="宋体" w:eastAsia="宋体" w:cs="宋体"/>
        <w:w w:val="100"/>
        <w:sz w:val="22"/>
        <w:szCs w:val="22"/>
        <w:lang w:val="zh-CN" w:eastAsia="zh-CN" w:bidi="zh-CN"/>
      </w:rPr>
    </w:lvl>
    <w:lvl w:ilvl="1">
      <w:start w:val="0"/>
      <w:numFmt w:val="bullet"/>
      <w:lvlText w:val="•"/>
      <w:lvlJc w:val="left"/>
      <w:pPr>
        <w:ind w:left="2146" w:hanging="601"/>
      </w:pPr>
      <w:rPr>
        <w:rFonts w:hint="default"/>
        <w:lang w:val="zh-CN" w:eastAsia="zh-CN" w:bidi="zh-CN"/>
      </w:rPr>
    </w:lvl>
    <w:lvl w:ilvl="2">
      <w:start w:val="0"/>
      <w:numFmt w:val="bullet"/>
      <w:lvlText w:val="•"/>
      <w:lvlJc w:val="left"/>
      <w:pPr>
        <w:ind w:left="2973" w:hanging="601"/>
      </w:pPr>
      <w:rPr>
        <w:rFonts w:hint="default"/>
        <w:lang w:val="zh-CN" w:eastAsia="zh-CN" w:bidi="zh-CN"/>
      </w:rPr>
    </w:lvl>
    <w:lvl w:ilvl="3">
      <w:start w:val="0"/>
      <w:numFmt w:val="bullet"/>
      <w:lvlText w:val="•"/>
      <w:lvlJc w:val="left"/>
      <w:pPr>
        <w:ind w:left="3799" w:hanging="601"/>
      </w:pPr>
      <w:rPr>
        <w:rFonts w:hint="default"/>
        <w:lang w:val="zh-CN" w:eastAsia="zh-CN" w:bidi="zh-CN"/>
      </w:rPr>
    </w:lvl>
    <w:lvl w:ilvl="4">
      <w:start w:val="0"/>
      <w:numFmt w:val="bullet"/>
      <w:lvlText w:val="•"/>
      <w:lvlJc w:val="left"/>
      <w:pPr>
        <w:ind w:left="4626" w:hanging="601"/>
      </w:pPr>
      <w:rPr>
        <w:rFonts w:hint="default"/>
        <w:lang w:val="zh-CN" w:eastAsia="zh-CN" w:bidi="zh-CN"/>
      </w:rPr>
    </w:lvl>
    <w:lvl w:ilvl="5">
      <w:start w:val="0"/>
      <w:numFmt w:val="bullet"/>
      <w:lvlText w:val="•"/>
      <w:lvlJc w:val="left"/>
      <w:pPr>
        <w:ind w:left="5453" w:hanging="601"/>
      </w:pPr>
      <w:rPr>
        <w:rFonts w:hint="default"/>
        <w:lang w:val="zh-CN" w:eastAsia="zh-CN" w:bidi="zh-CN"/>
      </w:rPr>
    </w:lvl>
    <w:lvl w:ilvl="6">
      <w:start w:val="0"/>
      <w:numFmt w:val="bullet"/>
      <w:lvlText w:val="•"/>
      <w:lvlJc w:val="left"/>
      <w:pPr>
        <w:ind w:left="6279" w:hanging="601"/>
      </w:pPr>
      <w:rPr>
        <w:rFonts w:hint="default"/>
        <w:lang w:val="zh-CN" w:eastAsia="zh-CN" w:bidi="zh-CN"/>
      </w:rPr>
    </w:lvl>
    <w:lvl w:ilvl="7">
      <w:start w:val="0"/>
      <w:numFmt w:val="bullet"/>
      <w:lvlText w:val="•"/>
      <w:lvlJc w:val="left"/>
      <w:pPr>
        <w:ind w:left="7106" w:hanging="601"/>
      </w:pPr>
      <w:rPr>
        <w:rFonts w:hint="default"/>
        <w:lang w:val="zh-CN" w:eastAsia="zh-CN" w:bidi="zh-CN"/>
      </w:rPr>
    </w:lvl>
    <w:lvl w:ilvl="8">
      <w:start w:val="0"/>
      <w:numFmt w:val="bullet"/>
      <w:lvlText w:val="•"/>
      <w:lvlJc w:val="left"/>
      <w:pPr>
        <w:ind w:left="7933" w:hanging="601"/>
      </w:pPr>
      <w:rPr>
        <w:rFonts w:hint="default"/>
        <w:lang w:val="zh-CN" w:eastAsia="zh-CN" w:bidi="zh-CN"/>
      </w:rPr>
    </w:lvl>
  </w:abstractNum>
  <w:abstractNum w:abstractNumId="27">
    <w:multiLevelType w:val="hybridMultilevel"/>
    <w:lvl w:ilvl="0">
      <w:start w:val="1"/>
      <w:numFmt w:val="decimal"/>
      <w:lvlText w:val="（%1）"/>
      <w:lvlJc w:val="left"/>
      <w:pPr>
        <w:ind w:left="1312" w:hanging="601"/>
        <w:jc w:val="left"/>
      </w:pPr>
      <w:rPr>
        <w:rFonts w:hint="default" w:ascii="宋体" w:hAnsi="宋体" w:eastAsia="宋体" w:cs="宋体"/>
        <w:w w:val="100"/>
        <w:sz w:val="22"/>
        <w:szCs w:val="22"/>
        <w:lang w:val="zh-CN" w:eastAsia="zh-CN" w:bidi="zh-CN"/>
      </w:rPr>
    </w:lvl>
    <w:lvl w:ilvl="1">
      <w:start w:val="0"/>
      <w:numFmt w:val="bullet"/>
      <w:lvlText w:val="•"/>
      <w:lvlJc w:val="left"/>
      <w:pPr>
        <w:ind w:left="2146" w:hanging="601"/>
      </w:pPr>
      <w:rPr>
        <w:rFonts w:hint="default"/>
        <w:lang w:val="zh-CN" w:eastAsia="zh-CN" w:bidi="zh-CN"/>
      </w:rPr>
    </w:lvl>
    <w:lvl w:ilvl="2">
      <w:start w:val="0"/>
      <w:numFmt w:val="bullet"/>
      <w:lvlText w:val="•"/>
      <w:lvlJc w:val="left"/>
      <w:pPr>
        <w:ind w:left="2973" w:hanging="601"/>
      </w:pPr>
      <w:rPr>
        <w:rFonts w:hint="default"/>
        <w:lang w:val="zh-CN" w:eastAsia="zh-CN" w:bidi="zh-CN"/>
      </w:rPr>
    </w:lvl>
    <w:lvl w:ilvl="3">
      <w:start w:val="0"/>
      <w:numFmt w:val="bullet"/>
      <w:lvlText w:val="•"/>
      <w:lvlJc w:val="left"/>
      <w:pPr>
        <w:ind w:left="3799" w:hanging="601"/>
      </w:pPr>
      <w:rPr>
        <w:rFonts w:hint="default"/>
        <w:lang w:val="zh-CN" w:eastAsia="zh-CN" w:bidi="zh-CN"/>
      </w:rPr>
    </w:lvl>
    <w:lvl w:ilvl="4">
      <w:start w:val="0"/>
      <w:numFmt w:val="bullet"/>
      <w:lvlText w:val="•"/>
      <w:lvlJc w:val="left"/>
      <w:pPr>
        <w:ind w:left="4626" w:hanging="601"/>
      </w:pPr>
      <w:rPr>
        <w:rFonts w:hint="default"/>
        <w:lang w:val="zh-CN" w:eastAsia="zh-CN" w:bidi="zh-CN"/>
      </w:rPr>
    </w:lvl>
    <w:lvl w:ilvl="5">
      <w:start w:val="0"/>
      <w:numFmt w:val="bullet"/>
      <w:lvlText w:val="•"/>
      <w:lvlJc w:val="left"/>
      <w:pPr>
        <w:ind w:left="5453" w:hanging="601"/>
      </w:pPr>
      <w:rPr>
        <w:rFonts w:hint="default"/>
        <w:lang w:val="zh-CN" w:eastAsia="zh-CN" w:bidi="zh-CN"/>
      </w:rPr>
    </w:lvl>
    <w:lvl w:ilvl="6">
      <w:start w:val="0"/>
      <w:numFmt w:val="bullet"/>
      <w:lvlText w:val="•"/>
      <w:lvlJc w:val="left"/>
      <w:pPr>
        <w:ind w:left="6279" w:hanging="601"/>
      </w:pPr>
      <w:rPr>
        <w:rFonts w:hint="default"/>
        <w:lang w:val="zh-CN" w:eastAsia="zh-CN" w:bidi="zh-CN"/>
      </w:rPr>
    </w:lvl>
    <w:lvl w:ilvl="7">
      <w:start w:val="0"/>
      <w:numFmt w:val="bullet"/>
      <w:lvlText w:val="•"/>
      <w:lvlJc w:val="left"/>
      <w:pPr>
        <w:ind w:left="7106" w:hanging="601"/>
      </w:pPr>
      <w:rPr>
        <w:rFonts w:hint="default"/>
        <w:lang w:val="zh-CN" w:eastAsia="zh-CN" w:bidi="zh-CN"/>
      </w:rPr>
    </w:lvl>
    <w:lvl w:ilvl="8">
      <w:start w:val="0"/>
      <w:numFmt w:val="bullet"/>
      <w:lvlText w:val="•"/>
      <w:lvlJc w:val="left"/>
      <w:pPr>
        <w:ind w:left="7933" w:hanging="601"/>
      </w:pPr>
      <w:rPr>
        <w:rFonts w:hint="default"/>
        <w:lang w:val="zh-CN" w:eastAsia="zh-CN" w:bidi="zh-CN"/>
      </w:rPr>
    </w:lvl>
  </w:abstractNum>
  <w:abstractNum w:abstractNumId="26">
    <w:multiLevelType w:val="hybridMultilevel"/>
    <w:lvl w:ilvl="0">
      <w:start w:val="1"/>
      <w:numFmt w:val="decimal"/>
      <w:lvlText w:val="（%1）"/>
      <w:lvlJc w:val="left"/>
      <w:pPr>
        <w:ind w:left="1312" w:hanging="601"/>
        <w:jc w:val="left"/>
      </w:pPr>
      <w:rPr>
        <w:rFonts w:hint="default" w:ascii="宋体" w:hAnsi="宋体" w:eastAsia="宋体" w:cs="宋体"/>
        <w:w w:val="100"/>
        <w:sz w:val="22"/>
        <w:szCs w:val="22"/>
        <w:lang w:val="zh-CN" w:eastAsia="zh-CN" w:bidi="zh-CN"/>
      </w:rPr>
    </w:lvl>
    <w:lvl w:ilvl="1">
      <w:start w:val="0"/>
      <w:numFmt w:val="bullet"/>
      <w:lvlText w:val="•"/>
      <w:lvlJc w:val="left"/>
      <w:pPr>
        <w:ind w:left="2146" w:hanging="601"/>
      </w:pPr>
      <w:rPr>
        <w:rFonts w:hint="default"/>
        <w:lang w:val="zh-CN" w:eastAsia="zh-CN" w:bidi="zh-CN"/>
      </w:rPr>
    </w:lvl>
    <w:lvl w:ilvl="2">
      <w:start w:val="0"/>
      <w:numFmt w:val="bullet"/>
      <w:lvlText w:val="•"/>
      <w:lvlJc w:val="left"/>
      <w:pPr>
        <w:ind w:left="2973" w:hanging="601"/>
      </w:pPr>
      <w:rPr>
        <w:rFonts w:hint="default"/>
        <w:lang w:val="zh-CN" w:eastAsia="zh-CN" w:bidi="zh-CN"/>
      </w:rPr>
    </w:lvl>
    <w:lvl w:ilvl="3">
      <w:start w:val="0"/>
      <w:numFmt w:val="bullet"/>
      <w:lvlText w:val="•"/>
      <w:lvlJc w:val="left"/>
      <w:pPr>
        <w:ind w:left="3799" w:hanging="601"/>
      </w:pPr>
      <w:rPr>
        <w:rFonts w:hint="default"/>
        <w:lang w:val="zh-CN" w:eastAsia="zh-CN" w:bidi="zh-CN"/>
      </w:rPr>
    </w:lvl>
    <w:lvl w:ilvl="4">
      <w:start w:val="0"/>
      <w:numFmt w:val="bullet"/>
      <w:lvlText w:val="•"/>
      <w:lvlJc w:val="left"/>
      <w:pPr>
        <w:ind w:left="4626" w:hanging="601"/>
      </w:pPr>
      <w:rPr>
        <w:rFonts w:hint="default"/>
        <w:lang w:val="zh-CN" w:eastAsia="zh-CN" w:bidi="zh-CN"/>
      </w:rPr>
    </w:lvl>
    <w:lvl w:ilvl="5">
      <w:start w:val="0"/>
      <w:numFmt w:val="bullet"/>
      <w:lvlText w:val="•"/>
      <w:lvlJc w:val="left"/>
      <w:pPr>
        <w:ind w:left="5453" w:hanging="601"/>
      </w:pPr>
      <w:rPr>
        <w:rFonts w:hint="default"/>
        <w:lang w:val="zh-CN" w:eastAsia="zh-CN" w:bidi="zh-CN"/>
      </w:rPr>
    </w:lvl>
    <w:lvl w:ilvl="6">
      <w:start w:val="0"/>
      <w:numFmt w:val="bullet"/>
      <w:lvlText w:val="•"/>
      <w:lvlJc w:val="left"/>
      <w:pPr>
        <w:ind w:left="6279" w:hanging="601"/>
      </w:pPr>
      <w:rPr>
        <w:rFonts w:hint="default"/>
        <w:lang w:val="zh-CN" w:eastAsia="zh-CN" w:bidi="zh-CN"/>
      </w:rPr>
    </w:lvl>
    <w:lvl w:ilvl="7">
      <w:start w:val="0"/>
      <w:numFmt w:val="bullet"/>
      <w:lvlText w:val="•"/>
      <w:lvlJc w:val="left"/>
      <w:pPr>
        <w:ind w:left="7106" w:hanging="601"/>
      </w:pPr>
      <w:rPr>
        <w:rFonts w:hint="default"/>
        <w:lang w:val="zh-CN" w:eastAsia="zh-CN" w:bidi="zh-CN"/>
      </w:rPr>
    </w:lvl>
    <w:lvl w:ilvl="8">
      <w:start w:val="0"/>
      <w:numFmt w:val="bullet"/>
      <w:lvlText w:val="•"/>
      <w:lvlJc w:val="left"/>
      <w:pPr>
        <w:ind w:left="7933" w:hanging="601"/>
      </w:pPr>
      <w:rPr>
        <w:rFonts w:hint="default"/>
        <w:lang w:val="zh-CN" w:eastAsia="zh-CN" w:bidi="zh-CN"/>
      </w:rPr>
    </w:lvl>
  </w:abstractNum>
  <w:abstractNum w:abstractNumId="25">
    <w:multiLevelType w:val="hybridMultilevel"/>
    <w:lvl w:ilvl="0">
      <w:start w:val="7"/>
      <w:numFmt w:val="decimal"/>
      <w:lvlText w:val="%1"/>
      <w:lvlJc w:val="left"/>
      <w:pPr>
        <w:ind w:left="1421" w:hanging="720"/>
        <w:jc w:val="left"/>
      </w:pPr>
      <w:rPr>
        <w:rFonts w:hint="default"/>
        <w:lang w:val="zh-CN" w:eastAsia="zh-CN" w:bidi="zh-CN"/>
      </w:rPr>
    </w:lvl>
    <w:lvl w:ilvl="1">
      <w:start w:val="2"/>
      <w:numFmt w:val="decimal"/>
      <w:lvlText w:val="%1.%2"/>
      <w:lvlJc w:val="left"/>
      <w:pPr>
        <w:ind w:left="1421" w:hanging="720"/>
        <w:jc w:val="left"/>
      </w:pPr>
      <w:rPr>
        <w:rFonts w:hint="default"/>
        <w:lang w:val="zh-CN" w:eastAsia="zh-CN" w:bidi="zh-CN"/>
      </w:rPr>
    </w:lvl>
    <w:lvl w:ilvl="2">
      <w:start w:val="1"/>
      <w:numFmt w:val="decimal"/>
      <w:lvlText w:val="%1.%2.%3"/>
      <w:lvlJc w:val="left"/>
      <w:pPr>
        <w:ind w:left="1421" w:hanging="720"/>
        <w:jc w:val="left"/>
      </w:pPr>
      <w:rPr>
        <w:rFonts w:hint="default"/>
        <w:lang w:val="zh-CN" w:eastAsia="zh-CN" w:bidi="zh-CN"/>
      </w:rPr>
    </w:lvl>
    <w:lvl w:ilvl="3">
      <w:start w:val="1"/>
      <w:numFmt w:val="decimal"/>
      <w:lvlText w:val="%1.%2.%3.%4"/>
      <w:lvlJc w:val="left"/>
      <w:pPr>
        <w:ind w:left="1421" w:hanging="720"/>
        <w:jc w:val="right"/>
      </w:pPr>
      <w:rPr>
        <w:rFonts w:hint="default" w:ascii="Times New Roman" w:hAnsi="Times New Roman" w:eastAsia="Times New Roman" w:cs="Times New Roman"/>
        <w:b/>
        <w:bCs/>
        <w:w w:val="100"/>
        <w:sz w:val="24"/>
        <w:szCs w:val="24"/>
        <w:lang w:val="zh-CN" w:eastAsia="zh-CN" w:bidi="zh-CN"/>
      </w:rPr>
    </w:lvl>
    <w:lvl w:ilvl="4">
      <w:start w:val="1"/>
      <w:numFmt w:val="decimal"/>
      <w:lvlText w:val="(%5)"/>
      <w:lvlJc w:val="left"/>
      <w:pPr>
        <w:ind w:left="1099" w:hanging="281"/>
        <w:jc w:val="right"/>
      </w:pPr>
      <w:rPr>
        <w:rFonts w:hint="default" w:ascii="Times New Roman" w:hAnsi="Times New Roman" w:eastAsia="Times New Roman" w:cs="Times New Roman"/>
        <w:spacing w:val="-2"/>
        <w:w w:val="99"/>
        <w:sz w:val="22"/>
        <w:szCs w:val="22"/>
        <w:lang w:val="zh-CN" w:eastAsia="zh-CN" w:bidi="zh-CN"/>
      </w:rPr>
    </w:lvl>
    <w:lvl w:ilvl="5">
      <w:start w:val="0"/>
      <w:numFmt w:val="bullet"/>
      <w:lvlText w:val="•"/>
      <w:lvlJc w:val="left"/>
      <w:pPr>
        <w:ind w:left="4482" w:hanging="281"/>
      </w:pPr>
      <w:rPr>
        <w:rFonts w:hint="default"/>
        <w:lang w:val="zh-CN" w:eastAsia="zh-CN" w:bidi="zh-CN"/>
      </w:rPr>
    </w:lvl>
    <w:lvl w:ilvl="6">
      <w:start w:val="0"/>
      <w:numFmt w:val="bullet"/>
      <w:lvlText w:val="•"/>
      <w:lvlJc w:val="left"/>
      <w:pPr>
        <w:ind w:left="5503" w:hanging="281"/>
      </w:pPr>
      <w:rPr>
        <w:rFonts w:hint="default"/>
        <w:lang w:val="zh-CN" w:eastAsia="zh-CN" w:bidi="zh-CN"/>
      </w:rPr>
    </w:lvl>
    <w:lvl w:ilvl="7">
      <w:start w:val="0"/>
      <w:numFmt w:val="bullet"/>
      <w:lvlText w:val="•"/>
      <w:lvlJc w:val="left"/>
      <w:pPr>
        <w:ind w:left="6524" w:hanging="281"/>
      </w:pPr>
      <w:rPr>
        <w:rFonts w:hint="default"/>
        <w:lang w:val="zh-CN" w:eastAsia="zh-CN" w:bidi="zh-CN"/>
      </w:rPr>
    </w:lvl>
    <w:lvl w:ilvl="8">
      <w:start w:val="0"/>
      <w:numFmt w:val="bullet"/>
      <w:lvlText w:val="•"/>
      <w:lvlJc w:val="left"/>
      <w:pPr>
        <w:ind w:left="7544" w:hanging="281"/>
      </w:pPr>
      <w:rPr>
        <w:rFonts w:hint="default"/>
        <w:lang w:val="zh-CN" w:eastAsia="zh-CN" w:bidi="zh-CN"/>
      </w:rPr>
    </w:lvl>
  </w:abstractNum>
  <w:abstractNum w:abstractNumId="24">
    <w:multiLevelType w:val="hybridMultilevel"/>
    <w:lvl w:ilvl="0">
      <w:start w:val="1"/>
      <w:numFmt w:val="decimal"/>
      <w:lvlText w:val="(%1)"/>
      <w:lvlJc w:val="left"/>
      <w:pPr>
        <w:ind w:left="1094" w:hanging="281"/>
        <w:jc w:val="left"/>
      </w:pPr>
      <w:rPr>
        <w:rFonts w:hint="default" w:ascii="Times New Roman" w:hAnsi="Times New Roman" w:eastAsia="Times New Roman" w:cs="Times New Roman"/>
        <w:b/>
        <w:bCs/>
        <w:spacing w:val="-2"/>
        <w:w w:val="99"/>
        <w:sz w:val="22"/>
        <w:szCs w:val="22"/>
        <w:lang w:val="zh-CN" w:eastAsia="zh-CN" w:bidi="zh-CN"/>
      </w:rPr>
    </w:lvl>
    <w:lvl w:ilvl="1">
      <w:start w:val="0"/>
      <w:numFmt w:val="bullet"/>
      <w:lvlText w:val="•"/>
      <w:lvlJc w:val="left"/>
      <w:pPr>
        <w:ind w:left="1960" w:hanging="281"/>
      </w:pPr>
      <w:rPr>
        <w:rFonts w:hint="default"/>
        <w:lang w:val="zh-CN" w:eastAsia="zh-CN" w:bidi="zh-CN"/>
      </w:rPr>
    </w:lvl>
    <w:lvl w:ilvl="2">
      <w:start w:val="0"/>
      <w:numFmt w:val="bullet"/>
      <w:lvlText w:val="•"/>
      <w:lvlJc w:val="left"/>
      <w:pPr>
        <w:ind w:left="2821" w:hanging="281"/>
      </w:pPr>
      <w:rPr>
        <w:rFonts w:hint="default"/>
        <w:lang w:val="zh-CN" w:eastAsia="zh-CN" w:bidi="zh-CN"/>
      </w:rPr>
    </w:lvl>
    <w:lvl w:ilvl="3">
      <w:start w:val="0"/>
      <w:numFmt w:val="bullet"/>
      <w:lvlText w:val="•"/>
      <w:lvlJc w:val="left"/>
      <w:pPr>
        <w:ind w:left="3681" w:hanging="281"/>
      </w:pPr>
      <w:rPr>
        <w:rFonts w:hint="default"/>
        <w:lang w:val="zh-CN" w:eastAsia="zh-CN" w:bidi="zh-CN"/>
      </w:rPr>
    </w:lvl>
    <w:lvl w:ilvl="4">
      <w:start w:val="0"/>
      <w:numFmt w:val="bullet"/>
      <w:lvlText w:val="•"/>
      <w:lvlJc w:val="left"/>
      <w:pPr>
        <w:ind w:left="4542" w:hanging="281"/>
      </w:pPr>
      <w:rPr>
        <w:rFonts w:hint="default"/>
        <w:lang w:val="zh-CN" w:eastAsia="zh-CN" w:bidi="zh-CN"/>
      </w:rPr>
    </w:lvl>
    <w:lvl w:ilvl="5">
      <w:start w:val="0"/>
      <w:numFmt w:val="bullet"/>
      <w:lvlText w:val="•"/>
      <w:lvlJc w:val="left"/>
      <w:pPr>
        <w:ind w:left="5403" w:hanging="281"/>
      </w:pPr>
      <w:rPr>
        <w:rFonts w:hint="default"/>
        <w:lang w:val="zh-CN" w:eastAsia="zh-CN" w:bidi="zh-CN"/>
      </w:rPr>
    </w:lvl>
    <w:lvl w:ilvl="6">
      <w:start w:val="0"/>
      <w:numFmt w:val="bullet"/>
      <w:lvlText w:val="•"/>
      <w:lvlJc w:val="left"/>
      <w:pPr>
        <w:ind w:left="6263" w:hanging="281"/>
      </w:pPr>
      <w:rPr>
        <w:rFonts w:hint="default"/>
        <w:lang w:val="zh-CN" w:eastAsia="zh-CN" w:bidi="zh-CN"/>
      </w:rPr>
    </w:lvl>
    <w:lvl w:ilvl="7">
      <w:start w:val="0"/>
      <w:numFmt w:val="bullet"/>
      <w:lvlText w:val="•"/>
      <w:lvlJc w:val="left"/>
      <w:pPr>
        <w:ind w:left="7124" w:hanging="281"/>
      </w:pPr>
      <w:rPr>
        <w:rFonts w:hint="default"/>
        <w:lang w:val="zh-CN" w:eastAsia="zh-CN" w:bidi="zh-CN"/>
      </w:rPr>
    </w:lvl>
    <w:lvl w:ilvl="8">
      <w:start w:val="0"/>
      <w:numFmt w:val="bullet"/>
      <w:lvlText w:val="•"/>
      <w:lvlJc w:val="left"/>
      <w:pPr>
        <w:ind w:left="7985" w:hanging="281"/>
      </w:pPr>
      <w:rPr>
        <w:rFonts w:hint="default"/>
        <w:lang w:val="zh-CN" w:eastAsia="zh-CN" w:bidi="zh-CN"/>
      </w:rPr>
    </w:lvl>
  </w:abstractNum>
  <w:abstractNum w:abstractNumId="23">
    <w:multiLevelType w:val="hybridMultilevel"/>
    <w:lvl w:ilvl="0">
      <w:start w:val="1"/>
      <w:numFmt w:val="decimal"/>
      <w:lvlText w:val="(%1)"/>
      <w:lvlJc w:val="left"/>
      <w:pPr>
        <w:ind w:left="982" w:hanging="281"/>
        <w:jc w:val="left"/>
      </w:pPr>
      <w:rPr>
        <w:rFonts w:hint="default" w:ascii="Times New Roman" w:hAnsi="Times New Roman" w:eastAsia="Times New Roman" w:cs="Times New Roman"/>
        <w:b/>
        <w:bCs/>
        <w:spacing w:val="-2"/>
        <w:w w:val="99"/>
        <w:sz w:val="22"/>
        <w:szCs w:val="22"/>
        <w:lang w:val="zh-CN" w:eastAsia="zh-CN" w:bidi="zh-CN"/>
      </w:rPr>
    </w:lvl>
    <w:lvl w:ilvl="1">
      <w:start w:val="0"/>
      <w:numFmt w:val="bullet"/>
      <w:lvlText w:val="•"/>
      <w:lvlJc w:val="left"/>
      <w:pPr>
        <w:ind w:left="1852" w:hanging="281"/>
      </w:pPr>
      <w:rPr>
        <w:rFonts w:hint="default"/>
        <w:lang w:val="zh-CN" w:eastAsia="zh-CN" w:bidi="zh-CN"/>
      </w:rPr>
    </w:lvl>
    <w:lvl w:ilvl="2">
      <w:start w:val="0"/>
      <w:numFmt w:val="bullet"/>
      <w:lvlText w:val="•"/>
      <w:lvlJc w:val="left"/>
      <w:pPr>
        <w:ind w:left="2725" w:hanging="281"/>
      </w:pPr>
      <w:rPr>
        <w:rFonts w:hint="default"/>
        <w:lang w:val="zh-CN" w:eastAsia="zh-CN" w:bidi="zh-CN"/>
      </w:rPr>
    </w:lvl>
    <w:lvl w:ilvl="3">
      <w:start w:val="0"/>
      <w:numFmt w:val="bullet"/>
      <w:lvlText w:val="•"/>
      <w:lvlJc w:val="left"/>
      <w:pPr>
        <w:ind w:left="3597" w:hanging="281"/>
      </w:pPr>
      <w:rPr>
        <w:rFonts w:hint="default"/>
        <w:lang w:val="zh-CN" w:eastAsia="zh-CN" w:bidi="zh-CN"/>
      </w:rPr>
    </w:lvl>
    <w:lvl w:ilvl="4">
      <w:start w:val="0"/>
      <w:numFmt w:val="bullet"/>
      <w:lvlText w:val="•"/>
      <w:lvlJc w:val="left"/>
      <w:pPr>
        <w:ind w:left="4470" w:hanging="281"/>
      </w:pPr>
      <w:rPr>
        <w:rFonts w:hint="default"/>
        <w:lang w:val="zh-CN" w:eastAsia="zh-CN" w:bidi="zh-CN"/>
      </w:rPr>
    </w:lvl>
    <w:lvl w:ilvl="5">
      <w:start w:val="0"/>
      <w:numFmt w:val="bullet"/>
      <w:lvlText w:val="•"/>
      <w:lvlJc w:val="left"/>
      <w:pPr>
        <w:ind w:left="5343" w:hanging="281"/>
      </w:pPr>
      <w:rPr>
        <w:rFonts w:hint="default"/>
        <w:lang w:val="zh-CN" w:eastAsia="zh-CN" w:bidi="zh-CN"/>
      </w:rPr>
    </w:lvl>
    <w:lvl w:ilvl="6">
      <w:start w:val="0"/>
      <w:numFmt w:val="bullet"/>
      <w:lvlText w:val="•"/>
      <w:lvlJc w:val="left"/>
      <w:pPr>
        <w:ind w:left="6215" w:hanging="281"/>
      </w:pPr>
      <w:rPr>
        <w:rFonts w:hint="default"/>
        <w:lang w:val="zh-CN" w:eastAsia="zh-CN" w:bidi="zh-CN"/>
      </w:rPr>
    </w:lvl>
    <w:lvl w:ilvl="7">
      <w:start w:val="0"/>
      <w:numFmt w:val="bullet"/>
      <w:lvlText w:val="•"/>
      <w:lvlJc w:val="left"/>
      <w:pPr>
        <w:ind w:left="7088" w:hanging="281"/>
      </w:pPr>
      <w:rPr>
        <w:rFonts w:hint="default"/>
        <w:lang w:val="zh-CN" w:eastAsia="zh-CN" w:bidi="zh-CN"/>
      </w:rPr>
    </w:lvl>
    <w:lvl w:ilvl="8">
      <w:start w:val="0"/>
      <w:numFmt w:val="bullet"/>
      <w:lvlText w:val="•"/>
      <w:lvlJc w:val="left"/>
      <w:pPr>
        <w:ind w:left="7961" w:hanging="281"/>
      </w:pPr>
      <w:rPr>
        <w:rFonts w:hint="default"/>
        <w:lang w:val="zh-CN" w:eastAsia="zh-CN" w:bidi="zh-CN"/>
      </w:rPr>
    </w:lvl>
  </w:abstractNum>
  <w:abstractNum w:abstractNumId="22">
    <w:multiLevelType w:val="hybridMultilevel"/>
    <w:lvl w:ilvl="0">
      <w:start w:val="6"/>
      <w:numFmt w:val="decimal"/>
      <w:lvlText w:val="%1"/>
      <w:lvlJc w:val="left"/>
      <w:pPr>
        <w:ind w:left="484" w:hanging="226"/>
        <w:jc w:val="left"/>
      </w:pPr>
      <w:rPr>
        <w:rFonts w:hint="default"/>
        <w:b/>
        <w:bCs/>
        <w:w w:val="99"/>
        <w:lang w:val="zh-CN" w:eastAsia="zh-CN" w:bidi="zh-CN"/>
      </w:rPr>
    </w:lvl>
    <w:lvl w:ilvl="1">
      <w:start w:val="1"/>
      <w:numFmt w:val="decimal"/>
      <w:lvlText w:val="%1.%2"/>
      <w:lvlJc w:val="left"/>
      <w:pPr>
        <w:ind w:left="820" w:hanging="420"/>
        <w:jc w:val="left"/>
      </w:pPr>
      <w:rPr>
        <w:rFonts w:hint="default" w:ascii="Times New Roman" w:hAnsi="Times New Roman" w:eastAsia="Times New Roman" w:cs="Times New Roman"/>
        <w:b/>
        <w:bCs/>
        <w:w w:val="100"/>
        <w:sz w:val="28"/>
        <w:szCs w:val="28"/>
        <w:lang w:val="zh-CN" w:eastAsia="zh-CN" w:bidi="zh-CN"/>
      </w:rPr>
    </w:lvl>
    <w:lvl w:ilvl="2">
      <w:start w:val="1"/>
      <w:numFmt w:val="decimal"/>
      <w:lvlText w:val="%1.%2.%3"/>
      <w:lvlJc w:val="left"/>
      <w:pPr>
        <w:ind w:left="1038" w:hanging="540"/>
        <w:jc w:val="left"/>
      </w:pPr>
      <w:rPr>
        <w:rFonts w:hint="default" w:ascii="Times New Roman" w:hAnsi="Times New Roman" w:eastAsia="Times New Roman" w:cs="Times New Roman"/>
        <w:b/>
        <w:bCs/>
        <w:w w:val="100"/>
        <w:sz w:val="24"/>
        <w:szCs w:val="24"/>
        <w:lang w:val="zh-CN" w:eastAsia="zh-CN" w:bidi="zh-CN"/>
      </w:rPr>
    </w:lvl>
    <w:lvl w:ilvl="3">
      <w:start w:val="1"/>
      <w:numFmt w:val="decimal"/>
      <w:lvlText w:val="%1.%2.%3.%4"/>
      <w:lvlJc w:val="left"/>
      <w:pPr>
        <w:ind w:left="1051" w:hanging="720"/>
        <w:jc w:val="left"/>
      </w:pPr>
      <w:rPr>
        <w:rFonts w:hint="default" w:ascii="Times New Roman" w:hAnsi="Times New Roman" w:eastAsia="Times New Roman" w:cs="Times New Roman"/>
        <w:b/>
        <w:bCs/>
        <w:w w:val="100"/>
        <w:sz w:val="24"/>
        <w:szCs w:val="24"/>
        <w:lang w:val="zh-CN" w:eastAsia="zh-CN" w:bidi="zh-CN"/>
      </w:rPr>
    </w:lvl>
    <w:lvl w:ilvl="4">
      <w:start w:val="1"/>
      <w:numFmt w:val="decimal"/>
      <w:lvlText w:val="(%5)"/>
      <w:lvlJc w:val="left"/>
      <w:pPr>
        <w:ind w:left="1094" w:hanging="281"/>
        <w:jc w:val="left"/>
      </w:pPr>
      <w:rPr>
        <w:rFonts w:hint="default" w:ascii="Times New Roman" w:hAnsi="Times New Roman" w:eastAsia="Times New Roman" w:cs="Times New Roman"/>
        <w:b/>
        <w:bCs/>
        <w:spacing w:val="-2"/>
        <w:w w:val="99"/>
        <w:sz w:val="22"/>
        <w:szCs w:val="22"/>
        <w:lang w:val="zh-CN" w:eastAsia="zh-CN" w:bidi="zh-CN"/>
      </w:rPr>
    </w:lvl>
    <w:lvl w:ilvl="5">
      <w:start w:val="0"/>
      <w:numFmt w:val="bullet"/>
      <w:lvlText w:val="•"/>
      <w:lvlJc w:val="left"/>
      <w:pPr>
        <w:ind w:left="840" w:hanging="281"/>
      </w:pPr>
      <w:rPr>
        <w:rFonts w:hint="default"/>
        <w:lang w:val="zh-CN" w:eastAsia="zh-CN" w:bidi="zh-CN"/>
      </w:rPr>
    </w:lvl>
    <w:lvl w:ilvl="6">
      <w:start w:val="0"/>
      <w:numFmt w:val="bullet"/>
      <w:lvlText w:val="•"/>
      <w:lvlJc w:val="left"/>
      <w:pPr>
        <w:ind w:left="860" w:hanging="281"/>
      </w:pPr>
      <w:rPr>
        <w:rFonts w:hint="default"/>
        <w:lang w:val="zh-CN" w:eastAsia="zh-CN" w:bidi="zh-CN"/>
      </w:rPr>
    </w:lvl>
    <w:lvl w:ilvl="7">
      <w:start w:val="0"/>
      <w:numFmt w:val="bullet"/>
      <w:lvlText w:val="•"/>
      <w:lvlJc w:val="left"/>
      <w:pPr>
        <w:ind w:left="880" w:hanging="281"/>
      </w:pPr>
      <w:rPr>
        <w:rFonts w:hint="default"/>
        <w:lang w:val="zh-CN" w:eastAsia="zh-CN" w:bidi="zh-CN"/>
      </w:rPr>
    </w:lvl>
    <w:lvl w:ilvl="8">
      <w:start w:val="0"/>
      <w:numFmt w:val="bullet"/>
      <w:lvlText w:val="•"/>
      <w:lvlJc w:val="left"/>
      <w:pPr>
        <w:ind w:left="1000" w:hanging="281"/>
      </w:pPr>
      <w:rPr>
        <w:rFonts w:hint="default"/>
        <w:lang w:val="zh-CN" w:eastAsia="zh-CN" w:bidi="zh-CN"/>
      </w:rPr>
    </w:lvl>
  </w:abstractNum>
  <w:abstractNum w:abstractNumId="21">
    <w:multiLevelType w:val="hybridMultilevel"/>
    <w:lvl w:ilvl="0">
      <w:start w:val="1"/>
      <w:numFmt w:val="decimal"/>
      <w:lvlText w:val="（%1）"/>
      <w:lvlJc w:val="left"/>
      <w:pPr>
        <w:ind w:left="133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72" w:hanging="601"/>
      </w:pPr>
      <w:rPr>
        <w:rFonts w:hint="default"/>
        <w:lang w:val="zh-CN" w:eastAsia="zh-CN" w:bidi="zh-CN"/>
      </w:rPr>
    </w:lvl>
    <w:lvl w:ilvl="2">
      <w:start w:val="0"/>
      <w:numFmt w:val="bullet"/>
      <w:lvlText w:val="•"/>
      <w:lvlJc w:val="left"/>
      <w:pPr>
        <w:ind w:left="3005" w:hanging="601"/>
      </w:pPr>
      <w:rPr>
        <w:rFonts w:hint="default"/>
        <w:lang w:val="zh-CN" w:eastAsia="zh-CN" w:bidi="zh-CN"/>
      </w:rPr>
    </w:lvl>
    <w:lvl w:ilvl="3">
      <w:start w:val="0"/>
      <w:numFmt w:val="bullet"/>
      <w:lvlText w:val="•"/>
      <w:lvlJc w:val="left"/>
      <w:pPr>
        <w:ind w:left="3837" w:hanging="601"/>
      </w:pPr>
      <w:rPr>
        <w:rFonts w:hint="default"/>
        <w:lang w:val="zh-CN" w:eastAsia="zh-CN" w:bidi="zh-CN"/>
      </w:rPr>
    </w:lvl>
    <w:lvl w:ilvl="4">
      <w:start w:val="0"/>
      <w:numFmt w:val="bullet"/>
      <w:lvlText w:val="•"/>
      <w:lvlJc w:val="left"/>
      <w:pPr>
        <w:ind w:left="4670" w:hanging="601"/>
      </w:pPr>
      <w:rPr>
        <w:rFonts w:hint="default"/>
        <w:lang w:val="zh-CN" w:eastAsia="zh-CN" w:bidi="zh-CN"/>
      </w:rPr>
    </w:lvl>
    <w:lvl w:ilvl="5">
      <w:start w:val="0"/>
      <w:numFmt w:val="bullet"/>
      <w:lvlText w:val="•"/>
      <w:lvlJc w:val="left"/>
      <w:pPr>
        <w:ind w:left="5503" w:hanging="601"/>
      </w:pPr>
      <w:rPr>
        <w:rFonts w:hint="default"/>
        <w:lang w:val="zh-CN" w:eastAsia="zh-CN" w:bidi="zh-CN"/>
      </w:rPr>
    </w:lvl>
    <w:lvl w:ilvl="6">
      <w:start w:val="0"/>
      <w:numFmt w:val="bullet"/>
      <w:lvlText w:val="•"/>
      <w:lvlJc w:val="left"/>
      <w:pPr>
        <w:ind w:left="6335" w:hanging="601"/>
      </w:pPr>
      <w:rPr>
        <w:rFonts w:hint="default"/>
        <w:lang w:val="zh-CN" w:eastAsia="zh-CN" w:bidi="zh-CN"/>
      </w:rPr>
    </w:lvl>
    <w:lvl w:ilvl="7">
      <w:start w:val="0"/>
      <w:numFmt w:val="bullet"/>
      <w:lvlText w:val="•"/>
      <w:lvlJc w:val="left"/>
      <w:pPr>
        <w:ind w:left="7168" w:hanging="601"/>
      </w:pPr>
      <w:rPr>
        <w:rFonts w:hint="default"/>
        <w:lang w:val="zh-CN" w:eastAsia="zh-CN" w:bidi="zh-CN"/>
      </w:rPr>
    </w:lvl>
    <w:lvl w:ilvl="8">
      <w:start w:val="0"/>
      <w:numFmt w:val="bullet"/>
      <w:lvlText w:val="•"/>
      <w:lvlJc w:val="left"/>
      <w:pPr>
        <w:ind w:left="8001" w:hanging="601"/>
      </w:pPr>
      <w:rPr>
        <w:rFonts w:hint="default"/>
        <w:lang w:val="zh-CN" w:eastAsia="zh-CN" w:bidi="zh-CN"/>
      </w:rPr>
    </w:lvl>
  </w:abstractNum>
  <w:abstractNum w:abstractNumId="20">
    <w:multiLevelType w:val="hybridMultilevel"/>
    <w:lvl w:ilvl="0">
      <w:start w:val="1"/>
      <w:numFmt w:val="decimal"/>
      <w:lvlText w:val="（%1）"/>
      <w:lvlJc w:val="left"/>
      <w:pPr>
        <w:ind w:left="258" w:hanging="608"/>
        <w:jc w:val="left"/>
      </w:pPr>
      <w:rPr>
        <w:rFonts w:hint="default" w:ascii="宋体" w:hAnsi="宋体" w:eastAsia="宋体" w:cs="宋体"/>
        <w:spacing w:val="-12"/>
        <w:w w:val="99"/>
        <w:sz w:val="22"/>
        <w:szCs w:val="22"/>
        <w:lang w:val="zh-CN" w:eastAsia="zh-CN" w:bidi="zh-CN"/>
      </w:rPr>
    </w:lvl>
    <w:lvl w:ilvl="1">
      <w:start w:val="0"/>
      <w:numFmt w:val="bullet"/>
      <w:lvlText w:val="•"/>
      <w:lvlJc w:val="left"/>
      <w:pPr>
        <w:ind w:left="1200" w:hanging="608"/>
      </w:pPr>
      <w:rPr>
        <w:rFonts w:hint="default"/>
        <w:lang w:val="zh-CN" w:eastAsia="zh-CN" w:bidi="zh-CN"/>
      </w:rPr>
    </w:lvl>
    <w:lvl w:ilvl="2">
      <w:start w:val="0"/>
      <w:numFmt w:val="bullet"/>
      <w:lvlText w:val="•"/>
      <w:lvlJc w:val="left"/>
      <w:pPr>
        <w:ind w:left="2141" w:hanging="608"/>
      </w:pPr>
      <w:rPr>
        <w:rFonts w:hint="default"/>
        <w:lang w:val="zh-CN" w:eastAsia="zh-CN" w:bidi="zh-CN"/>
      </w:rPr>
    </w:lvl>
    <w:lvl w:ilvl="3">
      <w:start w:val="0"/>
      <w:numFmt w:val="bullet"/>
      <w:lvlText w:val="•"/>
      <w:lvlJc w:val="left"/>
      <w:pPr>
        <w:ind w:left="3081" w:hanging="608"/>
      </w:pPr>
      <w:rPr>
        <w:rFonts w:hint="default"/>
        <w:lang w:val="zh-CN" w:eastAsia="zh-CN" w:bidi="zh-CN"/>
      </w:rPr>
    </w:lvl>
    <w:lvl w:ilvl="4">
      <w:start w:val="0"/>
      <w:numFmt w:val="bullet"/>
      <w:lvlText w:val="•"/>
      <w:lvlJc w:val="left"/>
      <w:pPr>
        <w:ind w:left="4022" w:hanging="608"/>
      </w:pPr>
      <w:rPr>
        <w:rFonts w:hint="default"/>
        <w:lang w:val="zh-CN" w:eastAsia="zh-CN" w:bidi="zh-CN"/>
      </w:rPr>
    </w:lvl>
    <w:lvl w:ilvl="5">
      <w:start w:val="0"/>
      <w:numFmt w:val="bullet"/>
      <w:lvlText w:val="•"/>
      <w:lvlJc w:val="left"/>
      <w:pPr>
        <w:ind w:left="4963" w:hanging="608"/>
      </w:pPr>
      <w:rPr>
        <w:rFonts w:hint="default"/>
        <w:lang w:val="zh-CN" w:eastAsia="zh-CN" w:bidi="zh-CN"/>
      </w:rPr>
    </w:lvl>
    <w:lvl w:ilvl="6">
      <w:start w:val="0"/>
      <w:numFmt w:val="bullet"/>
      <w:lvlText w:val="•"/>
      <w:lvlJc w:val="left"/>
      <w:pPr>
        <w:ind w:left="5903" w:hanging="608"/>
      </w:pPr>
      <w:rPr>
        <w:rFonts w:hint="default"/>
        <w:lang w:val="zh-CN" w:eastAsia="zh-CN" w:bidi="zh-CN"/>
      </w:rPr>
    </w:lvl>
    <w:lvl w:ilvl="7">
      <w:start w:val="0"/>
      <w:numFmt w:val="bullet"/>
      <w:lvlText w:val="•"/>
      <w:lvlJc w:val="left"/>
      <w:pPr>
        <w:ind w:left="6844" w:hanging="608"/>
      </w:pPr>
      <w:rPr>
        <w:rFonts w:hint="default"/>
        <w:lang w:val="zh-CN" w:eastAsia="zh-CN" w:bidi="zh-CN"/>
      </w:rPr>
    </w:lvl>
    <w:lvl w:ilvl="8">
      <w:start w:val="0"/>
      <w:numFmt w:val="bullet"/>
      <w:lvlText w:val="•"/>
      <w:lvlJc w:val="left"/>
      <w:pPr>
        <w:ind w:left="7785" w:hanging="608"/>
      </w:pPr>
      <w:rPr>
        <w:rFonts w:hint="default"/>
        <w:lang w:val="zh-CN" w:eastAsia="zh-CN" w:bidi="zh-CN"/>
      </w:rPr>
    </w:lvl>
  </w:abstractNum>
  <w:abstractNum w:abstractNumId="19">
    <w:multiLevelType w:val="hybridMultilevel"/>
    <w:lvl w:ilvl="0">
      <w:start w:val="1"/>
      <w:numFmt w:val="decimal"/>
      <w:lvlText w:val="(%1)"/>
      <w:lvlJc w:val="left"/>
      <w:pPr>
        <w:ind w:left="1019" w:hanging="281"/>
        <w:jc w:val="left"/>
      </w:pPr>
      <w:rPr>
        <w:rFonts w:hint="default" w:ascii="Times New Roman" w:hAnsi="Times New Roman" w:eastAsia="Times New Roman" w:cs="Times New Roman"/>
        <w:spacing w:val="-2"/>
        <w:w w:val="99"/>
        <w:sz w:val="22"/>
        <w:szCs w:val="22"/>
        <w:lang w:val="zh-CN" w:eastAsia="zh-CN" w:bidi="zh-CN"/>
      </w:rPr>
    </w:lvl>
    <w:lvl w:ilvl="1">
      <w:start w:val="2"/>
      <w:numFmt w:val="decimal"/>
      <w:lvlText w:val="(%2)"/>
      <w:lvlJc w:val="left"/>
      <w:pPr>
        <w:ind w:left="1139" w:hanging="281"/>
        <w:jc w:val="right"/>
      </w:pPr>
      <w:rPr>
        <w:rFonts w:hint="default" w:ascii="Times New Roman" w:hAnsi="Times New Roman" w:eastAsia="Times New Roman" w:cs="Times New Roman"/>
        <w:spacing w:val="-2"/>
        <w:w w:val="99"/>
        <w:sz w:val="22"/>
        <w:szCs w:val="22"/>
        <w:lang w:val="zh-CN" w:eastAsia="zh-CN" w:bidi="zh-CN"/>
      </w:rPr>
    </w:lvl>
    <w:lvl w:ilvl="2">
      <w:start w:val="0"/>
      <w:numFmt w:val="bullet"/>
      <w:lvlText w:val="•"/>
      <w:lvlJc w:val="left"/>
      <w:pPr>
        <w:ind w:left="2087" w:hanging="281"/>
      </w:pPr>
      <w:rPr>
        <w:rFonts w:hint="default"/>
        <w:lang w:val="zh-CN" w:eastAsia="zh-CN" w:bidi="zh-CN"/>
      </w:rPr>
    </w:lvl>
    <w:lvl w:ilvl="3">
      <w:start w:val="0"/>
      <w:numFmt w:val="bullet"/>
      <w:lvlText w:val="•"/>
      <w:lvlJc w:val="left"/>
      <w:pPr>
        <w:ind w:left="3034" w:hanging="281"/>
      </w:pPr>
      <w:rPr>
        <w:rFonts w:hint="default"/>
        <w:lang w:val="zh-CN" w:eastAsia="zh-CN" w:bidi="zh-CN"/>
      </w:rPr>
    </w:lvl>
    <w:lvl w:ilvl="4">
      <w:start w:val="0"/>
      <w:numFmt w:val="bullet"/>
      <w:lvlText w:val="•"/>
      <w:lvlJc w:val="left"/>
      <w:pPr>
        <w:ind w:left="3982" w:hanging="281"/>
      </w:pPr>
      <w:rPr>
        <w:rFonts w:hint="default"/>
        <w:lang w:val="zh-CN" w:eastAsia="zh-CN" w:bidi="zh-CN"/>
      </w:rPr>
    </w:lvl>
    <w:lvl w:ilvl="5">
      <w:start w:val="0"/>
      <w:numFmt w:val="bullet"/>
      <w:lvlText w:val="•"/>
      <w:lvlJc w:val="left"/>
      <w:pPr>
        <w:ind w:left="4929" w:hanging="281"/>
      </w:pPr>
      <w:rPr>
        <w:rFonts w:hint="default"/>
        <w:lang w:val="zh-CN" w:eastAsia="zh-CN" w:bidi="zh-CN"/>
      </w:rPr>
    </w:lvl>
    <w:lvl w:ilvl="6">
      <w:start w:val="0"/>
      <w:numFmt w:val="bullet"/>
      <w:lvlText w:val="•"/>
      <w:lvlJc w:val="left"/>
      <w:pPr>
        <w:ind w:left="5876" w:hanging="281"/>
      </w:pPr>
      <w:rPr>
        <w:rFonts w:hint="default"/>
        <w:lang w:val="zh-CN" w:eastAsia="zh-CN" w:bidi="zh-CN"/>
      </w:rPr>
    </w:lvl>
    <w:lvl w:ilvl="7">
      <w:start w:val="0"/>
      <w:numFmt w:val="bullet"/>
      <w:lvlText w:val="•"/>
      <w:lvlJc w:val="left"/>
      <w:pPr>
        <w:ind w:left="6824" w:hanging="281"/>
      </w:pPr>
      <w:rPr>
        <w:rFonts w:hint="default"/>
        <w:lang w:val="zh-CN" w:eastAsia="zh-CN" w:bidi="zh-CN"/>
      </w:rPr>
    </w:lvl>
    <w:lvl w:ilvl="8">
      <w:start w:val="0"/>
      <w:numFmt w:val="bullet"/>
      <w:lvlText w:val="•"/>
      <w:lvlJc w:val="left"/>
      <w:pPr>
        <w:ind w:left="7771" w:hanging="281"/>
      </w:pPr>
      <w:rPr>
        <w:rFonts w:hint="default"/>
        <w:lang w:val="zh-CN" w:eastAsia="zh-CN" w:bidi="zh-CN"/>
      </w:rPr>
    </w:lvl>
  </w:abstractNum>
  <w:abstractNum w:abstractNumId="18">
    <w:multiLevelType w:val="hybridMultilevel"/>
    <w:lvl w:ilvl="0">
      <w:start w:val="4"/>
      <w:numFmt w:val="decimal"/>
      <w:lvlText w:val="%1"/>
      <w:lvlJc w:val="left"/>
      <w:pPr>
        <w:ind w:left="678" w:hanging="420"/>
        <w:jc w:val="left"/>
      </w:pPr>
      <w:rPr>
        <w:rFonts w:hint="default"/>
        <w:lang w:val="zh-CN" w:eastAsia="zh-CN" w:bidi="zh-CN"/>
      </w:rPr>
    </w:lvl>
    <w:lvl w:ilvl="1">
      <w:start w:val="7"/>
      <w:numFmt w:val="decimal"/>
      <w:lvlText w:val="%1.%2"/>
      <w:lvlJc w:val="left"/>
      <w:pPr>
        <w:ind w:left="678" w:hanging="420"/>
        <w:jc w:val="left"/>
      </w:pPr>
      <w:rPr>
        <w:rFonts w:hint="default" w:ascii="Times New Roman" w:hAnsi="Times New Roman" w:eastAsia="Times New Roman" w:cs="Times New Roman"/>
        <w:b/>
        <w:bCs/>
        <w:w w:val="100"/>
        <w:sz w:val="28"/>
        <w:szCs w:val="28"/>
        <w:lang w:val="zh-CN" w:eastAsia="zh-CN" w:bidi="zh-CN"/>
      </w:rPr>
    </w:lvl>
    <w:lvl w:ilvl="2">
      <w:start w:val="1"/>
      <w:numFmt w:val="decimal"/>
      <w:lvlText w:val="（%3）"/>
      <w:lvlJc w:val="left"/>
      <w:pPr>
        <w:ind w:left="1339" w:hanging="601"/>
        <w:jc w:val="left"/>
      </w:pPr>
      <w:rPr>
        <w:rFonts w:hint="default" w:ascii="宋体" w:hAnsi="宋体" w:eastAsia="宋体" w:cs="宋体"/>
        <w:spacing w:val="-1"/>
        <w:w w:val="100"/>
        <w:sz w:val="22"/>
        <w:szCs w:val="22"/>
        <w:lang w:val="zh-CN" w:eastAsia="zh-CN" w:bidi="zh-CN"/>
      </w:rPr>
    </w:lvl>
    <w:lvl w:ilvl="3">
      <w:start w:val="0"/>
      <w:numFmt w:val="bullet"/>
      <w:lvlText w:val="•"/>
      <w:lvlJc w:val="left"/>
      <w:pPr>
        <w:ind w:left="3190" w:hanging="601"/>
      </w:pPr>
      <w:rPr>
        <w:rFonts w:hint="default"/>
        <w:lang w:val="zh-CN" w:eastAsia="zh-CN" w:bidi="zh-CN"/>
      </w:rPr>
    </w:lvl>
    <w:lvl w:ilvl="4">
      <w:start w:val="0"/>
      <w:numFmt w:val="bullet"/>
      <w:lvlText w:val="•"/>
      <w:lvlJc w:val="left"/>
      <w:pPr>
        <w:ind w:left="4115" w:hanging="601"/>
      </w:pPr>
      <w:rPr>
        <w:rFonts w:hint="default"/>
        <w:lang w:val="zh-CN" w:eastAsia="zh-CN" w:bidi="zh-CN"/>
      </w:rPr>
    </w:lvl>
    <w:lvl w:ilvl="5">
      <w:start w:val="0"/>
      <w:numFmt w:val="bullet"/>
      <w:lvlText w:val="•"/>
      <w:lvlJc w:val="left"/>
      <w:pPr>
        <w:ind w:left="5040" w:hanging="601"/>
      </w:pPr>
      <w:rPr>
        <w:rFonts w:hint="default"/>
        <w:lang w:val="zh-CN" w:eastAsia="zh-CN" w:bidi="zh-CN"/>
      </w:rPr>
    </w:lvl>
    <w:lvl w:ilvl="6">
      <w:start w:val="0"/>
      <w:numFmt w:val="bullet"/>
      <w:lvlText w:val="•"/>
      <w:lvlJc w:val="left"/>
      <w:pPr>
        <w:ind w:left="5965" w:hanging="601"/>
      </w:pPr>
      <w:rPr>
        <w:rFonts w:hint="default"/>
        <w:lang w:val="zh-CN" w:eastAsia="zh-CN" w:bidi="zh-CN"/>
      </w:rPr>
    </w:lvl>
    <w:lvl w:ilvl="7">
      <w:start w:val="0"/>
      <w:numFmt w:val="bullet"/>
      <w:lvlText w:val="•"/>
      <w:lvlJc w:val="left"/>
      <w:pPr>
        <w:ind w:left="6890" w:hanging="601"/>
      </w:pPr>
      <w:rPr>
        <w:rFonts w:hint="default"/>
        <w:lang w:val="zh-CN" w:eastAsia="zh-CN" w:bidi="zh-CN"/>
      </w:rPr>
    </w:lvl>
    <w:lvl w:ilvl="8">
      <w:start w:val="0"/>
      <w:numFmt w:val="bullet"/>
      <w:lvlText w:val="•"/>
      <w:lvlJc w:val="left"/>
      <w:pPr>
        <w:ind w:left="7816" w:hanging="601"/>
      </w:pPr>
      <w:rPr>
        <w:rFonts w:hint="default"/>
        <w:lang w:val="zh-CN" w:eastAsia="zh-CN" w:bidi="zh-CN"/>
      </w:rPr>
    </w:lvl>
  </w:abstractNum>
  <w:abstractNum w:abstractNumId="17">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16">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15">
    <w:multiLevelType w:val="hybridMultilevel"/>
    <w:lvl w:ilvl="0">
      <w:start w:val="1"/>
      <w:numFmt w:val="decimal"/>
      <w:lvlText w:val="（%1）"/>
      <w:lvlJc w:val="left"/>
      <w:pPr>
        <w:ind w:left="218" w:hanging="601"/>
        <w:jc w:val="left"/>
      </w:pPr>
      <w:rPr>
        <w:rFonts w:hint="default" w:ascii="宋体" w:hAnsi="宋体" w:eastAsia="宋体" w:cs="宋体"/>
        <w:spacing w:val="-48"/>
        <w:w w:val="100"/>
        <w:sz w:val="22"/>
        <w:szCs w:val="22"/>
        <w:lang w:val="zh-CN" w:eastAsia="zh-CN" w:bidi="zh-CN"/>
      </w:rPr>
    </w:lvl>
    <w:lvl w:ilvl="1">
      <w:start w:val="0"/>
      <w:numFmt w:val="bullet"/>
      <w:lvlText w:val="•"/>
      <w:lvlJc w:val="left"/>
      <w:pPr>
        <w:ind w:left="1160" w:hanging="601"/>
      </w:pPr>
      <w:rPr>
        <w:rFonts w:hint="default"/>
        <w:lang w:val="zh-CN" w:eastAsia="zh-CN" w:bidi="zh-CN"/>
      </w:rPr>
    </w:lvl>
    <w:lvl w:ilvl="2">
      <w:start w:val="0"/>
      <w:numFmt w:val="bullet"/>
      <w:lvlText w:val="•"/>
      <w:lvlJc w:val="left"/>
      <w:pPr>
        <w:ind w:left="2101" w:hanging="601"/>
      </w:pPr>
      <w:rPr>
        <w:rFonts w:hint="default"/>
        <w:lang w:val="zh-CN" w:eastAsia="zh-CN" w:bidi="zh-CN"/>
      </w:rPr>
    </w:lvl>
    <w:lvl w:ilvl="3">
      <w:start w:val="0"/>
      <w:numFmt w:val="bullet"/>
      <w:lvlText w:val="•"/>
      <w:lvlJc w:val="left"/>
      <w:pPr>
        <w:ind w:left="3041" w:hanging="601"/>
      </w:pPr>
      <w:rPr>
        <w:rFonts w:hint="default"/>
        <w:lang w:val="zh-CN" w:eastAsia="zh-CN" w:bidi="zh-CN"/>
      </w:rPr>
    </w:lvl>
    <w:lvl w:ilvl="4">
      <w:start w:val="0"/>
      <w:numFmt w:val="bullet"/>
      <w:lvlText w:val="•"/>
      <w:lvlJc w:val="left"/>
      <w:pPr>
        <w:ind w:left="3982" w:hanging="601"/>
      </w:pPr>
      <w:rPr>
        <w:rFonts w:hint="default"/>
        <w:lang w:val="zh-CN" w:eastAsia="zh-CN" w:bidi="zh-CN"/>
      </w:rPr>
    </w:lvl>
    <w:lvl w:ilvl="5">
      <w:start w:val="0"/>
      <w:numFmt w:val="bullet"/>
      <w:lvlText w:val="•"/>
      <w:lvlJc w:val="left"/>
      <w:pPr>
        <w:ind w:left="4923" w:hanging="601"/>
      </w:pPr>
      <w:rPr>
        <w:rFonts w:hint="default"/>
        <w:lang w:val="zh-CN" w:eastAsia="zh-CN" w:bidi="zh-CN"/>
      </w:rPr>
    </w:lvl>
    <w:lvl w:ilvl="6">
      <w:start w:val="0"/>
      <w:numFmt w:val="bullet"/>
      <w:lvlText w:val="•"/>
      <w:lvlJc w:val="left"/>
      <w:pPr>
        <w:ind w:left="5863" w:hanging="601"/>
      </w:pPr>
      <w:rPr>
        <w:rFonts w:hint="default"/>
        <w:lang w:val="zh-CN" w:eastAsia="zh-CN" w:bidi="zh-CN"/>
      </w:rPr>
    </w:lvl>
    <w:lvl w:ilvl="7">
      <w:start w:val="0"/>
      <w:numFmt w:val="bullet"/>
      <w:lvlText w:val="•"/>
      <w:lvlJc w:val="left"/>
      <w:pPr>
        <w:ind w:left="6804" w:hanging="601"/>
      </w:pPr>
      <w:rPr>
        <w:rFonts w:hint="default"/>
        <w:lang w:val="zh-CN" w:eastAsia="zh-CN" w:bidi="zh-CN"/>
      </w:rPr>
    </w:lvl>
    <w:lvl w:ilvl="8">
      <w:start w:val="0"/>
      <w:numFmt w:val="bullet"/>
      <w:lvlText w:val="•"/>
      <w:lvlJc w:val="left"/>
      <w:pPr>
        <w:ind w:left="7745" w:hanging="601"/>
      </w:pPr>
      <w:rPr>
        <w:rFonts w:hint="default"/>
        <w:lang w:val="zh-CN" w:eastAsia="zh-CN" w:bidi="zh-CN"/>
      </w:rPr>
    </w:lvl>
  </w:abstractNum>
  <w:abstractNum w:abstractNumId="14">
    <w:multiLevelType w:val="hybridMultilevel"/>
    <w:lvl w:ilvl="0">
      <w:start w:val="1"/>
      <w:numFmt w:val="decimal"/>
      <w:lvlText w:val="（%1）"/>
      <w:lvlJc w:val="left"/>
      <w:pPr>
        <w:ind w:left="1304" w:hanging="604"/>
        <w:jc w:val="left"/>
      </w:pPr>
      <w:rPr>
        <w:rFonts w:hint="default" w:ascii="宋体" w:hAnsi="宋体" w:eastAsia="宋体" w:cs="宋体"/>
        <w:b/>
        <w:bCs/>
        <w:spacing w:val="0"/>
        <w:w w:val="99"/>
        <w:sz w:val="22"/>
        <w:szCs w:val="22"/>
        <w:lang w:val="zh-CN" w:eastAsia="zh-CN" w:bidi="zh-CN"/>
      </w:rPr>
    </w:lvl>
    <w:lvl w:ilvl="1">
      <w:start w:val="0"/>
      <w:numFmt w:val="bullet"/>
      <w:lvlText w:val="•"/>
      <w:lvlJc w:val="left"/>
      <w:pPr>
        <w:ind w:left="2122" w:hanging="604"/>
      </w:pPr>
      <w:rPr>
        <w:rFonts w:hint="default"/>
        <w:lang w:val="zh-CN" w:eastAsia="zh-CN" w:bidi="zh-CN"/>
      </w:rPr>
    </w:lvl>
    <w:lvl w:ilvl="2">
      <w:start w:val="0"/>
      <w:numFmt w:val="bullet"/>
      <w:lvlText w:val="•"/>
      <w:lvlJc w:val="left"/>
      <w:pPr>
        <w:ind w:left="2945" w:hanging="604"/>
      </w:pPr>
      <w:rPr>
        <w:rFonts w:hint="default"/>
        <w:lang w:val="zh-CN" w:eastAsia="zh-CN" w:bidi="zh-CN"/>
      </w:rPr>
    </w:lvl>
    <w:lvl w:ilvl="3">
      <w:start w:val="0"/>
      <w:numFmt w:val="bullet"/>
      <w:lvlText w:val="•"/>
      <w:lvlJc w:val="left"/>
      <w:pPr>
        <w:ind w:left="3767" w:hanging="604"/>
      </w:pPr>
      <w:rPr>
        <w:rFonts w:hint="default"/>
        <w:lang w:val="zh-CN" w:eastAsia="zh-CN" w:bidi="zh-CN"/>
      </w:rPr>
    </w:lvl>
    <w:lvl w:ilvl="4">
      <w:start w:val="0"/>
      <w:numFmt w:val="bullet"/>
      <w:lvlText w:val="•"/>
      <w:lvlJc w:val="left"/>
      <w:pPr>
        <w:ind w:left="4590" w:hanging="604"/>
      </w:pPr>
      <w:rPr>
        <w:rFonts w:hint="default"/>
        <w:lang w:val="zh-CN" w:eastAsia="zh-CN" w:bidi="zh-CN"/>
      </w:rPr>
    </w:lvl>
    <w:lvl w:ilvl="5">
      <w:start w:val="0"/>
      <w:numFmt w:val="bullet"/>
      <w:lvlText w:val="•"/>
      <w:lvlJc w:val="left"/>
      <w:pPr>
        <w:ind w:left="5413" w:hanging="604"/>
      </w:pPr>
      <w:rPr>
        <w:rFonts w:hint="default"/>
        <w:lang w:val="zh-CN" w:eastAsia="zh-CN" w:bidi="zh-CN"/>
      </w:rPr>
    </w:lvl>
    <w:lvl w:ilvl="6">
      <w:start w:val="0"/>
      <w:numFmt w:val="bullet"/>
      <w:lvlText w:val="•"/>
      <w:lvlJc w:val="left"/>
      <w:pPr>
        <w:ind w:left="6235" w:hanging="604"/>
      </w:pPr>
      <w:rPr>
        <w:rFonts w:hint="default"/>
        <w:lang w:val="zh-CN" w:eastAsia="zh-CN" w:bidi="zh-CN"/>
      </w:rPr>
    </w:lvl>
    <w:lvl w:ilvl="7">
      <w:start w:val="0"/>
      <w:numFmt w:val="bullet"/>
      <w:lvlText w:val="•"/>
      <w:lvlJc w:val="left"/>
      <w:pPr>
        <w:ind w:left="7058" w:hanging="604"/>
      </w:pPr>
      <w:rPr>
        <w:rFonts w:hint="default"/>
        <w:lang w:val="zh-CN" w:eastAsia="zh-CN" w:bidi="zh-CN"/>
      </w:rPr>
    </w:lvl>
    <w:lvl w:ilvl="8">
      <w:start w:val="0"/>
      <w:numFmt w:val="bullet"/>
      <w:lvlText w:val="•"/>
      <w:lvlJc w:val="left"/>
      <w:pPr>
        <w:ind w:left="7881" w:hanging="604"/>
      </w:pPr>
      <w:rPr>
        <w:rFonts w:hint="default"/>
        <w:lang w:val="zh-CN" w:eastAsia="zh-CN" w:bidi="zh-CN"/>
      </w:rPr>
    </w:lvl>
  </w:abstractNum>
  <w:abstractNum w:abstractNumId="13">
    <w:multiLevelType w:val="hybridMultilevel"/>
    <w:lvl w:ilvl="0">
      <w:start w:val="1"/>
      <w:numFmt w:val="decimal"/>
      <w:lvlText w:val="(%1)"/>
      <w:lvlJc w:val="left"/>
      <w:pPr>
        <w:ind w:left="97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34" w:hanging="281"/>
      </w:pPr>
      <w:rPr>
        <w:rFonts w:hint="default"/>
        <w:lang w:val="zh-CN" w:eastAsia="zh-CN" w:bidi="zh-CN"/>
      </w:rPr>
    </w:lvl>
    <w:lvl w:ilvl="2">
      <w:start w:val="0"/>
      <w:numFmt w:val="bullet"/>
      <w:lvlText w:val="•"/>
      <w:lvlJc w:val="left"/>
      <w:pPr>
        <w:ind w:left="2689" w:hanging="281"/>
      </w:pPr>
      <w:rPr>
        <w:rFonts w:hint="default"/>
        <w:lang w:val="zh-CN" w:eastAsia="zh-CN" w:bidi="zh-CN"/>
      </w:rPr>
    </w:lvl>
    <w:lvl w:ilvl="3">
      <w:start w:val="0"/>
      <w:numFmt w:val="bullet"/>
      <w:lvlText w:val="•"/>
      <w:lvlJc w:val="left"/>
      <w:pPr>
        <w:ind w:left="3543" w:hanging="281"/>
      </w:pPr>
      <w:rPr>
        <w:rFonts w:hint="default"/>
        <w:lang w:val="zh-CN" w:eastAsia="zh-CN" w:bidi="zh-CN"/>
      </w:rPr>
    </w:lvl>
    <w:lvl w:ilvl="4">
      <w:start w:val="0"/>
      <w:numFmt w:val="bullet"/>
      <w:lvlText w:val="•"/>
      <w:lvlJc w:val="left"/>
      <w:pPr>
        <w:ind w:left="4398" w:hanging="281"/>
      </w:pPr>
      <w:rPr>
        <w:rFonts w:hint="default"/>
        <w:lang w:val="zh-CN" w:eastAsia="zh-CN" w:bidi="zh-CN"/>
      </w:rPr>
    </w:lvl>
    <w:lvl w:ilvl="5">
      <w:start w:val="0"/>
      <w:numFmt w:val="bullet"/>
      <w:lvlText w:val="•"/>
      <w:lvlJc w:val="left"/>
      <w:pPr>
        <w:ind w:left="5253" w:hanging="281"/>
      </w:pPr>
      <w:rPr>
        <w:rFonts w:hint="default"/>
        <w:lang w:val="zh-CN" w:eastAsia="zh-CN" w:bidi="zh-CN"/>
      </w:rPr>
    </w:lvl>
    <w:lvl w:ilvl="6">
      <w:start w:val="0"/>
      <w:numFmt w:val="bullet"/>
      <w:lvlText w:val="•"/>
      <w:lvlJc w:val="left"/>
      <w:pPr>
        <w:ind w:left="6107" w:hanging="281"/>
      </w:pPr>
      <w:rPr>
        <w:rFonts w:hint="default"/>
        <w:lang w:val="zh-CN" w:eastAsia="zh-CN" w:bidi="zh-CN"/>
      </w:rPr>
    </w:lvl>
    <w:lvl w:ilvl="7">
      <w:start w:val="0"/>
      <w:numFmt w:val="bullet"/>
      <w:lvlText w:val="•"/>
      <w:lvlJc w:val="left"/>
      <w:pPr>
        <w:ind w:left="6962" w:hanging="281"/>
      </w:pPr>
      <w:rPr>
        <w:rFonts w:hint="default"/>
        <w:lang w:val="zh-CN" w:eastAsia="zh-CN" w:bidi="zh-CN"/>
      </w:rPr>
    </w:lvl>
    <w:lvl w:ilvl="8">
      <w:start w:val="0"/>
      <w:numFmt w:val="bullet"/>
      <w:lvlText w:val="•"/>
      <w:lvlJc w:val="left"/>
      <w:pPr>
        <w:ind w:left="7817" w:hanging="281"/>
      </w:pPr>
      <w:rPr>
        <w:rFonts w:hint="default"/>
        <w:lang w:val="zh-CN" w:eastAsia="zh-CN" w:bidi="zh-CN"/>
      </w:rPr>
    </w:lvl>
  </w:abstractNum>
  <w:abstractNum w:abstractNumId="12">
    <w:multiLevelType w:val="hybridMultilevel"/>
    <w:lvl w:ilvl="0">
      <w:start w:val="3"/>
      <w:numFmt w:val="decimal"/>
      <w:lvlText w:val="%1"/>
      <w:lvlJc w:val="left"/>
      <w:pPr>
        <w:ind w:left="444" w:hanging="226"/>
        <w:jc w:val="left"/>
      </w:pPr>
      <w:rPr>
        <w:rFonts w:hint="default" w:ascii="Times New Roman" w:hAnsi="Times New Roman" w:eastAsia="Times New Roman" w:cs="Times New Roman"/>
        <w:b/>
        <w:bCs/>
        <w:w w:val="99"/>
        <w:sz w:val="30"/>
        <w:szCs w:val="30"/>
        <w:lang w:val="zh-CN" w:eastAsia="zh-CN" w:bidi="zh-CN"/>
      </w:rPr>
    </w:lvl>
    <w:lvl w:ilvl="1">
      <w:start w:val="1"/>
      <w:numFmt w:val="decimal"/>
      <w:lvlText w:val="%1.%2"/>
      <w:lvlJc w:val="left"/>
      <w:pPr>
        <w:ind w:left="780" w:hanging="420"/>
        <w:jc w:val="right"/>
      </w:pPr>
      <w:rPr>
        <w:rFonts w:hint="default" w:ascii="Times New Roman" w:hAnsi="Times New Roman" w:eastAsia="Times New Roman" w:cs="Times New Roman"/>
        <w:b/>
        <w:bCs/>
        <w:w w:val="100"/>
        <w:sz w:val="28"/>
        <w:szCs w:val="28"/>
        <w:lang w:val="zh-CN" w:eastAsia="zh-CN" w:bidi="zh-CN"/>
      </w:rPr>
    </w:lvl>
    <w:lvl w:ilvl="2">
      <w:start w:val="1"/>
      <w:numFmt w:val="decimal"/>
      <w:lvlText w:val="%1.%2.%3"/>
      <w:lvlJc w:val="left"/>
      <w:pPr>
        <w:ind w:left="1111" w:hanging="540"/>
        <w:jc w:val="right"/>
      </w:pPr>
      <w:rPr>
        <w:rFonts w:hint="default" w:ascii="Times New Roman" w:hAnsi="Times New Roman" w:eastAsia="Times New Roman" w:cs="Times New Roman"/>
        <w:b/>
        <w:bCs/>
        <w:w w:val="100"/>
        <w:sz w:val="24"/>
        <w:szCs w:val="24"/>
        <w:lang w:val="zh-CN" w:eastAsia="zh-CN" w:bidi="zh-CN"/>
      </w:rPr>
    </w:lvl>
    <w:lvl w:ilvl="3">
      <w:start w:val="1"/>
      <w:numFmt w:val="decimal"/>
      <w:lvlText w:val="%1.%2.%3.%4"/>
      <w:lvlJc w:val="left"/>
      <w:pPr>
        <w:ind w:left="1409" w:hanging="720"/>
        <w:jc w:val="left"/>
      </w:pPr>
      <w:rPr>
        <w:rFonts w:hint="default" w:ascii="Times New Roman" w:hAnsi="Times New Roman" w:eastAsia="Times New Roman" w:cs="Times New Roman"/>
        <w:b/>
        <w:bCs/>
        <w:w w:val="100"/>
        <w:sz w:val="24"/>
        <w:szCs w:val="24"/>
        <w:lang w:val="zh-CN" w:eastAsia="zh-CN" w:bidi="zh-CN"/>
      </w:rPr>
    </w:lvl>
    <w:lvl w:ilvl="4">
      <w:start w:val="0"/>
      <w:numFmt w:val="bullet"/>
      <w:lvlText w:val="•"/>
      <w:lvlJc w:val="left"/>
      <w:pPr>
        <w:ind w:left="800" w:hanging="720"/>
      </w:pPr>
      <w:rPr>
        <w:rFonts w:hint="default"/>
        <w:lang w:val="zh-CN" w:eastAsia="zh-CN" w:bidi="zh-CN"/>
      </w:rPr>
    </w:lvl>
    <w:lvl w:ilvl="5">
      <w:start w:val="0"/>
      <w:numFmt w:val="bullet"/>
      <w:lvlText w:val="•"/>
      <w:lvlJc w:val="left"/>
      <w:pPr>
        <w:ind w:left="820" w:hanging="720"/>
      </w:pPr>
      <w:rPr>
        <w:rFonts w:hint="default"/>
        <w:lang w:val="zh-CN" w:eastAsia="zh-CN" w:bidi="zh-CN"/>
      </w:rPr>
    </w:lvl>
    <w:lvl w:ilvl="6">
      <w:start w:val="0"/>
      <w:numFmt w:val="bullet"/>
      <w:lvlText w:val="•"/>
      <w:lvlJc w:val="left"/>
      <w:pPr>
        <w:ind w:left="940" w:hanging="720"/>
      </w:pPr>
      <w:rPr>
        <w:rFonts w:hint="default"/>
        <w:lang w:val="zh-CN" w:eastAsia="zh-CN" w:bidi="zh-CN"/>
      </w:rPr>
    </w:lvl>
    <w:lvl w:ilvl="7">
      <w:start w:val="0"/>
      <w:numFmt w:val="bullet"/>
      <w:lvlText w:val="•"/>
      <w:lvlJc w:val="left"/>
      <w:pPr>
        <w:ind w:left="1000" w:hanging="720"/>
      </w:pPr>
      <w:rPr>
        <w:rFonts w:hint="default"/>
        <w:lang w:val="zh-CN" w:eastAsia="zh-CN" w:bidi="zh-CN"/>
      </w:rPr>
    </w:lvl>
    <w:lvl w:ilvl="8">
      <w:start w:val="0"/>
      <w:numFmt w:val="bullet"/>
      <w:lvlText w:val="•"/>
      <w:lvlJc w:val="left"/>
      <w:pPr>
        <w:ind w:left="1040" w:hanging="720"/>
      </w:pPr>
      <w:rPr>
        <w:rFonts w:hint="default"/>
        <w:lang w:val="zh-CN" w:eastAsia="zh-CN" w:bidi="zh-CN"/>
      </w:rPr>
    </w:lvl>
  </w:abstractNum>
  <w:abstractNum w:abstractNumId="11">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10">
    <w:multiLevelType w:val="hybridMultilevel"/>
    <w:lvl w:ilvl="0">
      <w:start w:val="1"/>
      <w:numFmt w:val="decimal"/>
      <w:lvlText w:val="（%1）"/>
      <w:lvlJc w:val="left"/>
      <w:pPr>
        <w:ind w:left="1299" w:hanging="601"/>
        <w:jc w:val="left"/>
      </w:pPr>
      <w:rPr>
        <w:rFonts w:hint="default" w:ascii="宋体" w:hAnsi="宋体" w:eastAsia="宋体" w:cs="宋体"/>
        <w:spacing w:val="-1"/>
        <w:w w:val="100"/>
        <w:sz w:val="22"/>
        <w:szCs w:val="22"/>
        <w:lang w:val="zh-CN" w:eastAsia="zh-CN" w:bidi="zh-CN"/>
      </w:rPr>
    </w:lvl>
    <w:lvl w:ilvl="1">
      <w:start w:val="0"/>
      <w:numFmt w:val="bullet"/>
      <w:lvlText w:val="•"/>
      <w:lvlJc w:val="left"/>
      <w:pPr>
        <w:ind w:left="212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767"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13" w:hanging="601"/>
      </w:pPr>
      <w:rPr>
        <w:rFonts w:hint="default"/>
        <w:lang w:val="zh-CN" w:eastAsia="zh-CN" w:bidi="zh-CN"/>
      </w:rPr>
    </w:lvl>
    <w:lvl w:ilvl="6">
      <w:start w:val="0"/>
      <w:numFmt w:val="bullet"/>
      <w:lvlText w:val="•"/>
      <w:lvlJc w:val="left"/>
      <w:pPr>
        <w:ind w:left="6235" w:hanging="601"/>
      </w:pPr>
      <w:rPr>
        <w:rFonts w:hint="default"/>
        <w:lang w:val="zh-CN" w:eastAsia="zh-CN" w:bidi="zh-CN"/>
      </w:rPr>
    </w:lvl>
    <w:lvl w:ilvl="7">
      <w:start w:val="0"/>
      <w:numFmt w:val="bullet"/>
      <w:lvlText w:val="•"/>
      <w:lvlJc w:val="left"/>
      <w:pPr>
        <w:ind w:left="7058" w:hanging="601"/>
      </w:pPr>
      <w:rPr>
        <w:rFonts w:hint="default"/>
        <w:lang w:val="zh-CN" w:eastAsia="zh-CN" w:bidi="zh-CN"/>
      </w:rPr>
    </w:lvl>
    <w:lvl w:ilvl="8">
      <w:start w:val="0"/>
      <w:numFmt w:val="bullet"/>
      <w:lvlText w:val="•"/>
      <w:lvlJc w:val="left"/>
      <w:pPr>
        <w:ind w:left="7881" w:hanging="601"/>
      </w:pPr>
      <w:rPr>
        <w:rFonts w:hint="default"/>
        <w:lang w:val="zh-CN" w:eastAsia="zh-CN" w:bidi="zh-CN"/>
      </w:rPr>
    </w:lvl>
  </w:abstractNum>
  <w:abstractNum w:abstractNumId="9">
    <w:multiLevelType w:val="hybridMultilevel"/>
    <w:lvl w:ilvl="0">
      <w:start w:val="3"/>
      <w:numFmt w:val="decimal"/>
      <w:lvlText w:val="(%1)"/>
      <w:lvlJc w:val="left"/>
      <w:pPr>
        <w:ind w:left="999" w:hanging="281"/>
        <w:jc w:val="left"/>
      </w:pPr>
      <w:rPr>
        <w:rFonts w:hint="default" w:ascii="Times New Roman" w:hAnsi="Times New Roman" w:eastAsia="Times New Roman" w:cs="Times New Roman"/>
        <w:spacing w:val="-2"/>
        <w:w w:val="99"/>
        <w:sz w:val="22"/>
        <w:szCs w:val="22"/>
        <w:lang w:val="zh-CN" w:eastAsia="zh-CN" w:bidi="zh-CN"/>
      </w:rPr>
    </w:lvl>
    <w:lvl w:ilvl="1">
      <w:start w:val="0"/>
      <w:numFmt w:val="bullet"/>
      <w:lvlText w:val="•"/>
      <w:lvlJc w:val="left"/>
      <w:pPr>
        <w:ind w:left="1854" w:hanging="281"/>
      </w:pPr>
      <w:rPr>
        <w:rFonts w:hint="default"/>
        <w:lang w:val="zh-CN" w:eastAsia="zh-CN" w:bidi="zh-CN"/>
      </w:rPr>
    </w:lvl>
    <w:lvl w:ilvl="2">
      <w:start w:val="0"/>
      <w:numFmt w:val="bullet"/>
      <w:lvlText w:val="•"/>
      <w:lvlJc w:val="left"/>
      <w:pPr>
        <w:ind w:left="2709" w:hanging="281"/>
      </w:pPr>
      <w:rPr>
        <w:rFonts w:hint="default"/>
        <w:lang w:val="zh-CN" w:eastAsia="zh-CN" w:bidi="zh-CN"/>
      </w:rPr>
    </w:lvl>
    <w:lvl w:ilvl="3">
      <w:start w:val="0"/>
      <w:numFmt w:val="bullet"/>
      <w:lvlText w:val="•"/>
      <w:lvlJc w:val="left"/>
      <w:pPr>
        <w:ind w:left="3563" w:hanging="281"/>
      </w:pPr>
      <w:rPr>
        <w:rFonts w:hint="default"/>
        <w:lang w:val="zh-CN" w:eastAsia="zh-CN" w:bidi="zh-CN"/>
      </w:rPr>
    </w:lvl>
    <w:lvl w:ilvl="4">
      <w:start w:val="0"/>
      <w:numFmt w:val="bullet"/>
      <w:lvlText w:val="•"/>
      <w:lvlJc w:val="left"/>
      <w:pPr>
        <w:ind w:left="4418" w:hanging="281"/>
      </w:pPr>
      <w:rPr>
        <w:rFonts w:hint="default"/>
        <w:lang w:val="zh-CN" w:eastAsia="zh-CN" w:bidi="zh-CN"/>
      </w:rPr>
    </w:lvl>
    <w:lvl w:ilvl="5">
      <w:start w:val="0"/>
      <w:numFmt w:val="bullet"/>
      <w:lvlText w:val="•"/>
      <w:lvlJc w:val="left"/>
      <w:pPr>
        <w:ind w:left="5273" w:hanging="281"/>
      </w:pPr>
      <w:rPr>
        <w:rFonts w:hint="default"/>
        <w:lang w:val="zh-CN" w:eastAsia="zh-CN" w:bidi="zh-CN"/>
      </w:rPr>
    </w:lvl>
    <w:lvl w:ilvl="6">
      <w:start w:val="0"/>
      <w:numFmt w:val="bullet"/>
      <w:lvlText w:val="•"/>
      <w:lvlJc w:val="left"/>
      <w:pPr>
        <w:ind w:left="6127" w:hanging="281"/>
      </w:pPr>
      <w:rPr>
        <w:rFonts w:hint="default"/>
        <w:lang w:val="zh-CN" w:eastAsia="zh-CN" w:bidi="zh-CN"/>
      </w:rPr>
    </w:lvl>
    <w:lvl w:ilvl="7">
      <w:start w:val="0"/>
      <w:numFmt w:val="bullet"/>
      <w:lvlText w:val="•"/>
      <w:lvlJc w:val="left"/>
      <w:pPr>
        <w:ind w:left="6982" w:hanging="281"/>
      </w:pPr>
      <w:rPr>
        <w:rFonts w:hint="default"/>
        <w:lang w:val="zh-CN" w:eastAsia="zh-CN" w:bidi="zh-CN"/>
      </w:rPr>
    </w:lvl>
    <w:lvl w:ilvl="8">
      <w:start w:val="0"/>
      <w:numFmt w:val="bullet"/>
      <w:lvlText w:val="•"/>
      <w:lvlJc w:val="left"/>
      <w:pPr>
        <w:ind w:left="7837" w:hanging="281"/>
      </w:pPr>
      <w:rPr>
        <w:rFonts w:hint="default"/>
        <w:lang w:val="zh-CN" w:eastAsia="zh-CN" w:bidi="zh-CN"/>
      </w:rPr>
    </w:lvl>
  </w:abstractNum>
  <w:abstractNum w:abstractNumId="8">
    <w:multiLevelType w:val="hybridMultilevel"/>
    <w:lvl w:ilvl="0">
      <w:start w:val="2"/>
      <w:numFmt w:val="decimal"/>
      <w:lvlText w:val="(%1)"/>
      <w:lvlJc w:val="left"/>
      <w:pPr>
        <w:ind w:left="992" w:hanging="281"/>
        <w:jc w:val="left"/>
      </w:pPr>
      <w:rPr>
        <w:rFonts w:hint="default" w:ascii="Times New Roman" w:hAnsi="Times New Roman" w:eastAsia="Times New Roman" w:cs="Times New Roman"/>
        <w:b/>
        <w:bCs/>
        <w:spacing w:val="-2"/>
        <w:w w:val="99"/>
        <w:sz w:val="22"/>
        <w:szCs w:val="22"/>
        <w:lang w:val="zh-CN" w:eastAsia="zh-CN" w:bidi="zh-CN"/>
      </w:rPr>
    </w:lvl>
    <w:lvl w:ilvl="1">
      <w:start w:val="0"/>
      <w:numFmt w:val="bullet"/>
      <w:lvlText w:val="•"/>
      <w:lvlJc w:val="left"/>
      <w:pPr>
        <w:ind w:left="1854" w:hanging="281"/>
      </w:pPr>
      <w:rPr>
        <w:rFonts w:hint="default"/>
        <w:lang w:val="zh-CN" w:eastAsia="zh-CN" w:bidi="zh-CN"/>
      </w:rPr>
    </w:lvl>
    <w:lvl w:ilvl="2">
      <w:start w:val="0"/>
      <w:numFmt w:val="bullet"/>
      <w:lvlText w:val="•"/>
      <w:lvlJc w:val="left"/>
      <w:pPr>
        <w:ind w:left="2709" w:hanging="281"/>
      </w:pPr>
      <w:rPr>
        <w:rFonts w:hint="default"/>
        <w:lang w:val="zh-CN" w:eastAsia="zh-CN" w:bidi="zh-CN"/>
      </w:rPr>
    </w:lvl>
    <w:lvl w:ilvl="3">
      <w:start w:val="0"/>
      <w:numFmt w:val="bullet"/>
      <w:lvlText w:val="•"/>
      <w:lvlJc w:val="left"/>
      <w:pPr>
        <w:ind w:left="3563" w:hanging="281"/>
      </w:pPr>
      <w:rPr>
        <w:rFonts w:hint="default"/>
        <w:lang w:val="zh-CN" w:eastAsia="zh-CN" w:bidi="zh-CN"/>
      </w:rPr>
    </w:lvl>
    <w:lvl w:ilvl="4">
      <w:start w:val="0"/>
      <w:numFmt w:val="bullet"/>
      <w:lvlText w:val="•"/>
      <w:lvlJc w:val="left"/>
      <w:pPr>
        <w:ind w:left="4418" w:hanging="281"/>
      </w:pPr>
      <w:rPr>
        <w:rFonts w:hint="default"/>
        <w:lang w:val="zh-CN" w:eastAsia="zh-CN" w:bidi="zh-CN"/>
      </w:rPr>
    </w:lvl>
    <w:lvl w:ilvl="5">
      <w:start w:val="0"/>
      <w:numFmt w:val="bullet"/>
      <w:lvlText w:val="•"/>
      <w:lvlJc w:val="left"/>
      <w:pPr>
        <w:ind w:left="5273" w:hanging="281"/>
      </w:pPr>
      <w:rPr>
        <w:rFonts w:hint="default"/>
        <w:lang w:val="zh-CN" w:eastAsia="zh-CN" w:bidi="zh-CN"/>
      </w:rPr>
    </w:lvl>
    <w:lvl w:ilvl="6">
      <w:start w:val="0"/>
      <w:numFmt w:val="bullet"/>
      <w:lvlText w:val="•"/>
      <w:lvlJc w:val="left"/>
      <w:pPr>
        <w:ind w:left="6127" w:hanging="281"/>
      </w:pPr>
      <w:rPr>
        <w:rFonts w:hint="default"/>
        <w:lang w:val="zh-CN" w:eastAsia="zh-CN" w:bidi="zh-CN"/>
      </w:rPr>
    </w:lvl>
    <w:lvl w:ilvl="7">
      <w:start w:val="0"/>
      <w:numFmt w:val="bullet"/>
      <w:lvlText w:val="•"/>
      <w:lvlJc w:val="left"/>
      <w:pPr>
        <w:ind w:left="6982" w:hanging="281"/>
      </w:pPr>
      <w:rPr>
        <w:rFonts w:hint="default"/>
        <w:lang w:val="zh-CN" w:eastAsia="zh-CN" w:bidi="zh-CN"/>
      </w:rPr>
    </w:lvl>
    <w:lvl w:ilvl="8">
      <w:start w:val="0"/>
      <w:numFmt w:val="bullet"/>
      <w:lvlText w:val="•"/>
      <w:lvlJc w:val="left"/>
      <w:pPr>
        <w:ind w:left="7837" w:hanging="281"/>
      </w:pPr>
      <w:rPr>
        <w:rFonts w:hint="default"/>
        <w:lang w:val="zh-CN" w:eastAsia="zh-CN" w:bidi="zh-CN"/>
      </w:rPr>
    </w:lvl>
  </w:abstractNum>
  <w:abstractNum w:abstractNumId="7">
    <w:multiLevelType w:val="hybridMultilevel"/>
    <w:lvl w:ilvl="0">
      <w:start w:val="1"/>
      <w:numFmt w:val="decimal"/>
      <w:lvlText w:val="(%1)"/>
      <w:lvlJc w:val="left"/>
      <w:pPr>
        <w:ind w:left="991" w:hanging="281"/>
        <w:jc w:val="left"/>
      </w:pPr>
      <w:rPr>
        <w:rFonts w:hint="default" w:ascii="Times New Roman" w:hAnsi="Times New Roman" w:eastAsia="Times New Roman" w:cs="Times New Roman"/>
        <w:b/>
        <w:bCs/>
        <w:spacing w:val="-1"/>
        <w:w w:val="99"/>
        <w:sz w:val="22"/>
        <w:szCs w:val="22"/>
        <w:lang w:val="zh-CN" w:eastAsia="zh-CN" w:bidi="zh-CN"/>
      </w:rPr>
    </w:lvl>
    <w:lvl w:ilvl="1">
      <w:start w:val="0"/>
      <w:numFmt w:val="bullet"/>
      <w:lvlText w:val="•"/>
      <w:lvlJc w:val="left"/>
      <w:pPr>
        <w:ind w:left="1854" w:hanging="281"/>
      </w:pPr>
      <w:rPr>
        <w:rFonts w:hint="default"/>
        <w:lang w:val="zh-CN" w:eastAsia="zh-CN" w:bidi="zh-CN"/>
      </w:rPr>
    </w:lvl>
    <w:lvl w:ilvl="2">
      <w:start w:val="0"/>
      <w:numFmt w:val="bullet"/>
      <w:lvlText w:val="•"/>
      <w:lvlJc w:val="left"/>
      <w:pPr>
        <w:ind w:left="2709" w:hanging="281"/>
      </w:pPr>
      <w:rPr>
        <w:rFonts w:hint="default"/>
        <w:lang w:val="zh-CN" w:eastAsia="zh-CN" w:bidi="zh-CN"/>
      </w:rPr>
    </w:lvl>
    <w:lvl w:ilvl="3">
      <w:start w:val="0"/>
      <w:numFmt w:val="bullet"/>
      <w:lvlText w:val="•"/>
      <w:lvlJc w:val="left"/>
      <w:pPr>
        <w:ind w:left="3563" w:hanging="281"/>
      </w:pPr>
      <w:rPr>
        <w:rFonts w:hint="default"/>
        <w:lang w:val="zh-CN" w:eastAsia="zh-CN" w:bidi="zh-CN"/>
      </w:rPr>
    </w:lvl>
    <w:lvl w:ilvl="4">
      <w:start w:val="0"/>
      <w:numFmt w:val="bullet"/>
      <w:lvlText w:val="•"/>
      <w:lvlJc w:val="left"/>
      <w:pPr>
        <w:ind w:left="4418" w:hanging="281"/>
      </w:pPr>
      <w:rPr>
        <w:rFonts w:hint="default"/>
        <w:lang w:val="zh-CN" w:eastAsia="zh-CN" w:bidi="zh-CN"/>
      </w:rPr>
    </w:lvl>
    <w:lvl w:ilvl="5">
      <w:start w:val="0"/>
      <w:numFmt w:val="bullet"/>
      <w:lvlText w:val="•"/>
      <w:lvlJc w:val="left"/>
      <w:pPr>
        <w:ind w:left="5273" w:hanging="281"/>
      </w:pPr>
      <w:rPr>
        <w:rFonts w:hint="default"/>
        <w:lang w:val="zh-CN" w:eastAsia="zh-CN" w:bidi="zh-CN"/>
      </w:rPr>
    </w:lvl>
    <w:lvl w:ilvl="6">
      <w:start w:val="0"/>
      <w:numFmt w:val="bullet"/>
      <w:lvlText w:val="•"/>
      <w:lvlJc w:val="left"/>
      <w:pPr>
        <w:ind w:left="6127" w:hanging="281"/>
      </w:pPr>
      <w:rPr>
        <w:rFonts w:hint="default"/>
        <w:lang w:val="zh-CN" w:eastAsia="zh-CN" w:bidi="zh-CN"/>
      </w:rPr>
    </w:lvl>
    <w:lvl w:ilvl="7">
      <w:start w:val="0"/>
      <w:numFmt w:val="bullet"/>
      <w:lvlText w:val="•"/>
      <w:lvlJc w:val="left"/>
      <w:pPr>
        <w:ind w:left="6982" w:hanging="281"/>
      </w:pPr>
      <w:rPr>
        <w:rFonts w:hint="default"/>
        <w:lang w:val="zh-CN" w:eastAsia="zh-CN" w:bidi="zh-CN"/>
      </w:rPr>
    </w:lvl>
    <w:lvl w:ilvl="8">
      <w:start w:val="0"/>
      <w:numFmt w:val="bullet"/>
      <w:lvlText w:val="•"/>
      <w:lvlJc w:val="left"/>
      <w:pPr>
        <w:ind w:left="7837" w:hanging="281"/>
      </w:pPr>
      <w:rPr>
        <w:rFonts w:hint="default"/>
        <w:lang w:val="zh-CN" w:eastAsia="zh-CN" w:bidi="zh-CN"/>
      </w:rPr>
    </w:lvl>
  </w:abstractNum>
  <w:abstractNum w:abstractNumId="6">
    <w:multiLevelType w:val="hybridMultilevel"/>
    <w:lvl w:ilvl="0">
      <w:start w:val="2"/>
      <w:numFmt w:val="decimal"/>
      <w:lvlText w:val="%1"/>
      <w:lvlJc w:val="left"/>
      <w:pPr>
        <w:ind w:left="1018" w:hanging="540"/>
        <w:jc w:val="left"/>
      </w:pPr>
      <w:rPr>
        <w:rFonts w:hint="default"/>
        <w:lang w:val="zh-CN" w:eastAsia="zh-CN" w:bidi="zh-CN"/>
      </w:rPr>
    </w:lvl>
    <w:lvl w:ilvl="1">
      <w:start w:val="1"/>
      <w:numFmt w:val="decimal"/>
      <w:lvlText w:val="%1.%2"/>
      <w:lvlJc w:val="left"/>
      <w:pPr>
        <w:ind w:left="1018" w:hanging="540"/>
        <w:jc w:val="left"/>
      </w:pPr>
      <w:rPr>
        <w:rFonts w:hint="default"/>
        <w:lang w:val="zh-CN" w:eastAsia="zh-CN" w:bidi="zh-CN"/>
      </w:rPr>
    </w:lvl>
    <w:lvl w:ilvl="2">
      <w:start w:val="4"/>
      <w:numFmt w:val="decimal"/>
      <w:lvlText w:val="%1.%2.%3"/>
      <w:lvlJc w:val="left"/>
      <w:pPr>
        <w:ind w:left="1018" w:hanging="540"/>
        <w:jc w:val="left"/>
      </w:pPr>
      <w:rPr>
        <w:rFonts w:hint="default" w:ascii="Times New Roman" w:hAnsi="Times New Roman" w:eastAsia="Times New Roman" w:cs="Times New Roman"/>
        <w:b/>
        <w:bCs/>
        <w:w w:val="100"/>
        <w:sz w:val="24"/>
        <w:szCs w:val="24"/>
        <w:lang w:val="zh-CN" w:eastAsia="zh-CN" w:bidi="zh-CN"/>
      </w:rPr>
    </w:lvl>
    <w:lvl w:ilvl="3">
      <w:start w:val="0"/>
      <w:numFmt w:val="bullet"/>
      <w:lvlText w:val="•"/>
      <w:lvlJc w:val="left"/>
      <w:pPr>
        <w:ind w:left="3577" w:hanging="540"/>
      </w:pPr>
      <w:rPr>
        <w:rFonts w:hint="default"/>
        <w:lang w:val="zh-CN" w:eastAsia="zh-CN" w:bidi="zh-CN"/>
      </w:rPr>
    </w:lvl>
    <w:lvl w:ilvl="4">
      <w:start w:val="0"/>
      <w:numFmt w:val="bullet"/>
      <w:lvlText w:val="•"/>
      <w:lvlJc w:val="left"/>
      <w:pPr>
        <w:ind w:left="4430" w:hanging="540"/>
      </w:pPr>
      <w:rPr>
        <w:rFonts w:hint="default"/>
        <w:lang w:val="zh-CN" w:eastAsia="zh-CN" w:bidi="zh-CN"/>
      </w:rPr>
    </w:lvl>
    <w:lvl w:ilvl="5">
      <w:start w:val="0"/>
      <w:numFmt w:val="bullet"/>
      <w:lvlText w:val="•"/>
      <w:lvlJc w:val="left"/>
      <w:pPr>
        <w:ind w:left="5283" w:hanging="540"/>
      </w:pPr>
      <w:rPr>
        <w:rFonts w:hint="default"/>
        <w:lang w:val="zh-CN" w:eastAsia="zh-CN" w:bidi="zh-CN"/>
      </w:rPr>
    </w:lvl>
    <w:lvl w:ilvl="6">
      <w:start w:val="0"/>
      <w:numFmt w:val="bullet"/>
      <w:lvlText w:val="•"/>
      <w:lvlJc w:val="left"/>
      <w:pPr>
        <w:ind w:left="6135" w:hanging="540"/>
      </w:pPr>
      <w:rPr>
        <w:rFonts w:hint="default"/>
        <w:lang w:val="zh-CN" w:eastAsia="zh-CN" w:bidi="zh-CN"/>
      </w:rPr>
    </w:lvl>
    <w:lvl w:ilvl="7">
      <w:start w:val="0"/>
      <w:numFmt w:val="bullet"/>
      <w:lvlText w:val="•"/>
      <w:lvlJc w:val="left"/>
      <w:pPr>
        <w:ind w:left="6988" w:hanging="540"/>
      </w:pPr>
      <w:rPr>
        <w:rFonts w:hint="default"/>
        <w:lang w:val="zh-CN" w:eastAsia="zh-CN" w:bidi="zh-CN"/>
      </w:rPr>
    </w:lvl>
    <w:lvl w:ilvl="8">
      <w:start w:val="0"/>
      <w:numFmt w:val="bullet"/>
      <w:lvlText w:val="•"/>
      <w:lvlJc w:val="left"/>
      <w:pPr>
        <w:ind w:left="7841" w:hanging="540"/>
      </w:pPr>
      <w:rPr>
        <w:rFonts w:hint="default"/>
        <w:lang w:val="zh-CN" w:eastAsia="zh-CN" w:bidi="zh-CN"/>
      </w:rPr>
    </w:lvl>
  </w:abstractNum>
  <w:abstractNum w:abstractNumId="5">
    <w:multiLevelType w:val="hybridMultilevel"/>
    <w:lvl w:ilvl="0">
      <w:start w:val="2"/>
      <w:numFmt w:val="decimal"/>
      <w:lvlText w:val="%1"/>
      <w:lvlJc w:val="left"/>
      <w:pPr>
        <w:ind w:left="464" w:hanging="226"/>
        <w:jc w:val="left"/>
      </w:pPr>
      <w:rPr>
        <w:rFonts w:hint="default" w:ascii="Times New Roman" w:hAnsi="Times New Roman" w:eastAsia="Times New Roman" w:cs="Times New Roman"/>
        <w:b/>
        <w:bCs/>
        <w:w w:val="99"/>
        <w:sz w:val="30"/>
        <w:szCs w:val="30"/>
        <w:lang w:val="zh-CN" w:eastAsia="zh-CN" w:bidi="zh-CN"/>
      </w:rPr>
    </w:lvl>
    <w:lvl w:ilvl="1">
      <w:start w:val="1"/>
      <w:numFmt w:val="decimal"/>
      <w:lvlText w:val="%1.%2"/>
      <w:lvlJc w:val="left"/>
      <w:pPr>
        <w:ind w:left="800" w:hanging="420"/>
        <w:jc w:val="left"/>
      </w:pPr>
      <w:rPr>
        <w:rFonts w:hint="default" w:ascii="Times New Roman" w:hAnsi="Times New Roman" w:eastAsia="Times New Roman" w:cs="Times New Roman"/>
        <w:b/>
        <w:bCs/>
        <w:w w:val="100"/>
        <w:sz w:val="28"/>
        <w:szCs w:val="28"/>
        <w:lang w:val="zh-CN" w:eastAsia="zh-CN" w:bidi="zh-CN"/>
      </w:rPr>
    </w:lvl>
    <w:lvl w:ilvl="2">
      <w:start w:val="1"/>
      <w:numFmt w:val="decimal"/>
      <w:lvlText w:val="%1.%2.%3"/>
      <w:lvlJc w:val="left"/>
      <w:pPr>
        <w:ind w:left="1018" w:hanging="540"/>
        <w:jc w:val="left"/>
      </w:pPr>
      <w:rPr>
        <w:rFonts w:hint="default" w:ascii="Times New Roman" w:hAnsi="Times New Roman" w:eastAsia="Times New Roman" w:cs="Times New Roman"/>
        <w:b/>
        <w:bCs/>
        <w:w w:val="100"/>
        <w:sz w:val="24"/>
        <w:szCs w:val="24"/>
        <w:lang w:val="zh-CN" w:eastAsia="zh-CN" w:bidi="zh-CN"/>
      </w:rPr>
    </w:lvl>
    <w:lvl w:ilvl="3">
      <w:start w:val="1"/>
      <w:numFmt w:val="decimal"/>
      <w:lvlText w:val="(%4)"/>
      <w:lvlJc w:val="left"/>
      <w:pPr>
        <w:ind w:left="718" w:hanging="281"/>
        <w:jc w:val="left"/>
      </w:pPr>
      <w:rPr>
        <w:rFonts w:hint="default" w:ascii="Times New Roman" w:hAnsi="Times New Roman" w:eastAsia="Times New Roman" w:cs="Times New Roman"/>
        <w:spacing w:val="-2"/>
        <w:w w:val="99"/>
        <w:sz w:val="22"/>
        <w:szCs w:val="22"/>
        <w:lang w:val="zh-CN" w:eastAsia="zh-CN" w:bidi="zh-CN"/>
      </w:rPr>
    </w:lvl>
    <w:lvl w:ilvl="4">
      <w:start w:val="0"/>
      <w:numFmt w:val="bullet"/>
      <w:lvlText w:val="•"/>
      <w:lvlJc w:val="left"/>
      <w:pPr>
        <w:ind w:left="2238" w:hanging="281"/>
      </w:pPr>
      <w:rPr>
        <w:rFonts w:hint="default"/>
        <w:lang w:val="zh-CN" w:eastAsia="zh-CN" w:bidi="zh-CN"/>
      </w:rPr>
    </w:lvl>
    <w:lvl w:ilvl="5">
      <w:start w:val="0"/>
      <w:numFmt w:val="bullet"/>
      <w:lvlText w:val="•"/>
      <w:lvlJc w:val="left"/>
      <w:pPr>
        <w:ind w:left="3456" w:hanging="281"/>
      </w:pPr>
      <w:rPr>
        <w:rFonts w:hint="default"/>
        <w:lang w:val="zh-CN" w:eastAsia="zh-CN" w:bidi="zh-CN"/>
      </w:rPr>
    </w:lvl>
    <w:lvl w:ilvl="6">
      <w:start w:val="0"/>
      <w:numFmt w:val="bullet"/>
      <w:lvlText w:val="•"/>
      <w:lvlJc w:val="left"/>
      <w:pPr>
        <w:ind w:left="4674" w:hanging="281"/>
      </w:pPr>
      <w:rPr>
        <w:rFonts w:hint="default"/>
        <w:lang w:val="zh-CN" w:eastAsia="zh-CN" w:bidi="zh-CN"/>
      </w:rPr>
    </w:lvl>
    <w:lvl w:ilvl="7">
      <w:start w:val="0"/>
      <w:numFmt w:val="bullet"/>
      <w:lvlText w:val="•"/>
      <w:lvlJc w:val="left"/>
      <w:pPr>
        <w:ind w:left="5892" w:hanging="281"/>
      </w:pPr>
      <w:rPr>
        <w:rFonts w:hint="default"/>
        <w:lang w:val="zh-CN" w:eastAsia="zh-CN" w:bidi="zh-CN"/>
      </w:rPr>
    </w:lvl>
    <w:lvl w:ilvl="8">
      <w:start w:val="0"/>
      <w:numFmt w:val="bullet"/>
      <w:lvlText w:val="•"/>
      <w:lvlJc w:val="left"/>
      <w:pPr>
        <w:ind w:left="7110" w:hanging="281"/>
      </w:pPr>
      <w:rPr>
        <w:rFonts w:hint="default"/>
        <w:lang w:val="zh-CN" w:eastAsia="zh-CN" w:bidi="zh-CN"/>
      </w:rPr>
    </w:lvl>
  </w:abstractNum>
  <w:abstractNum w:abstractNumId="4">
    <w:multiLevelType w:val="hybridMultilevel"/>
    <w:lvl w:ilvl="0">
      <w:start w:val="1"/>
      <w:numFmt w:val="decimal"/>
      <w:lvlText w:val="%1"/>
      <w:lvlJc w:val="left"/>
      <w:pPr>
        <w:ind w:left="464" w:hanging="226"/>
        <w:jc w:val="left"/>
      </w:pPr>
      <w:rPr>
        <w:rFonts w:hint="default" w:ascii="Times New Roman" w:hAnsi="Times New Roman" w:eastAsia="Times New Roman" w:cs="Times New Roman"/>
        <w:b/>
        <w:bCs/>
        <w:w w:val="99"/>
        <w:sz w:val="30"/>
        <w:szCs w:val="30"/>
        <w:lang w:val="zh-CN" w:eastAsia="zh-CN" w:bidi="zh-CN"/>
      </w:rPr>
    </w:lvl>
    <w:lvl w:ilvl="1">
      <w:start w:val="1"/>
      <w:numFmt w:val="decimal"/>
      <w:lvlText w:val="%1.%2"/>
      <w:lvlJc w:val="left"/>
      <w:pPr>
        <w:ind w:left="800" w:hanging="420"/>
        <w:jc w:val="right"/>
      </w:pPr>
      <w:rPr>
        <w:rFonts w:hint="default" w:ascii="Times New Roman" w:hAnsi="Times New Roman" w:eastAsia="Times New Roman" w:cs="Times New Roman"/>
        <w:b/>
        <w:bCs/>
        <w:w w:val="100"/>
        <w:sz w:val="28"/>
        <w:szCs w:val="28"/>
        <w:lang w:val="zh-CN" w:eastAsia="zh-CN" w:bidi="zh-CN"/>
      </w:rPr>
    </w:lvl>
    <w:lvl w:ilvl="2">
      <w:start w:val="1"/>
      <w:numFmt w:val="decimal"/>
      <w:lvlText w:val="%1.%2.%3"/>
      <w:lvlJc w:val="left"/>
      <w:pPr>
        <w:ind w:left="778" w:hanging="540"/>
        <w:jc w:val="left"/>
      </w:pPr>
      <w:rPr>
        <w:rFonts w:hint="default" w:ascii="Times New Roman" w:hAnsi="Times New Roman" w:eastAsia="Times New Roman" w:cs="Times New Roman"/>
        <w:b/>
        <w:bCs/>
        <w:w w:val="99"/>
        <w:sz w:val="24"/>
        <w:szCs w:val="24"/>
        <w:lang w:val="zh-CN" w:eastAsia="zh-CN" w:bidi="zh-CN"/>
      </w:rPr>
    </w:lvl>
    <w:lvl w:ilvl="3">
      <w:start w:val="1"/>
      <w:numFmt w:val="decimal"/>
      <w:lvlText w:val="(%4)"/>
      <w:lvlJc w:val="left"/>
      <w:pPr>
        <w:ind w:left="999" w:hanging="281"/>
        <w:jc w:val="left"/>
      </w:pPr>
      <w:rPr>
        <w:rFonts w:hint="default" w:ascii="Times New Roman" w:hAnsi="Times New Roman" w:eastAsia="Times New Roman" w:cs="Times New Roman"/>
        <w:spacing w:val="-2"/>
        <w:w w:val="99"/>
        <w:sz w:val="22"/>
        <w:szCs w:val="22"/>
        <w:lang w:val="zh-CN" w:eastAsia="zh-CN" w:bidi="zh-CN"/>
      </w:rPr>
    </w:lvl>
    <w:lvl w:ilvl="4">
      <w:start w:val="0"/>
      <w:numFmt w:val="bullet"/>
      <w:lvlText w:val="•"/>
      <w:lvlJc w:val="left"/>
      <w:pPr>
        <w:ind w:left="2220" w:hanging="281"/>
      </w:pPr>
      <w:rPr>
        <w:rFonts w:hint="default"/>
        <w:lang w:val="zh-CN" w:eastAsia="zh-CN" w:bidi="zh-CN"/>
      </w:rPr>
    </w:lvl>
    <w:lvl w:ilvl="5">
      <w:start w:val="0"/>
      <w:numFmt w:val="bullet"/>
      <w:lvlText w:val="•"/>
      <w:lvlJc w:val="left"/>
      <w:pPr>
        <w:ind w:left="3441" w:hanging="281"/>
      </w:pPr>
      <w:rPr>
        <w:rFonts w:hint="default"/>
        <w:lang w:val="zh-CN" w:eastAsia="zh-CN" w:bidi="zh-CN"/>
      </w:rPr>
    </w:lvl>
    <w:lvl w:ilvl="6">
      <w:start w:val="0"/>
      <w:numFmt w:val="bullet"/>
      <w:lvlText w:val="•"/>
      <w:lvlJc w:val="left"/>
      <w:pPr>
        <w:ind w:left="4662" w:hanging="281"/>
      </w:pPr>
      <w:rPr>
        <w:rFonts w:hint="default"/>
        <w:lang w:val="zh-CN" w:eastAsia="zh-CN" w:bidi="zh-CN"/>
      </w:rPr>
    </w:lvl>
    <w:lvl w:ilvl="7">
      <w:start w:val="0"/>
      <w:numFmt w:val="bullet"/>
      <w:lvlText w:val="•"/>
      <w:lvlJc w:val="left"/>
      <w:pPr>
        <w:ind w:left="5883" w:hanging="281"/>
      </w:pPr>
      <w:rPr>
        <w:rFonts w:hint="default"/>
        <w:lang w:val="zh-CN" w:eastAsia="zh-CN" w:bidi="zh-CN"/>
      </w:rPr>
    </w:lvl>
    <w:lvl w:ilvl="8">
      <w:start w:val="0"/>
      <w:numFmt w:val="bullet"/>
      <w:lvlText w:val="•"/>
      <w:lvlJc w:val="left"/>
      <w:pPr>
        <w:ind w:left="7104" w:hanging="281"/>
      </w:pPr>
      <w:rPr>
        <w:rFonts w:hint="default"/>
        <w:lang w:val="zh-CN" w:eastAsia="zh-CN" w:bidi="zh-CN"/>
      </w:rPr>
    </w:lvl>
  </w:abstractNum>
  <w:abstractNum w:abstractNumId="3">
    <w:multiLevelType w:val="hybridMultilevel"/>
    <w:lvl w:ilvl="0">
      <w:start w:val="12"/>
      <w:numFmt w:val="decimal"/>
      <w:lvlText w:val="%1"/>
      <w:lvlJc w:val="left"/>
      <w:pPr>
        <w:ind w:left="882" w:hanging="404"/>
        <w:jc w:val="left"/>
      </w:pPr>
      <w:rPr>
        <w:rFonts w:hint="default"/>
        <w:lang w:val="zh-CN" w:eastAsia="zh-CN" w:bidi="zh-CN"/>
      </w:rPr>
    </w:lvl>
    <w:lvl w:ilvl="1">
      <w:start w:val="8"/>
      <w:numFmt w:val="decimal"/>
      <w:lvlText w:val="%1.%2"/>
      <w:lvlJc w:val="left"/>
      <w:pPr>
        <w:ind w:left="882" w:hanging="404"/>
        <w:jc w:val="left"/>
      </w:pPr>
      <w:rPr>
        <w:rFonts w:hint="default" w:ascii="Times New Roman" w:hAnsi="Times New Roman" w:eastAsia="Times New Roman" w:cs="Times New Roman"/>
        <w:spacing w:val="0"/>
        <w:w w:val="99"/>
        <w:sz w:val="20"/>
        <w:szCs w:val="20"/>
        <w:lang w:val="zh-CN" w:eastAsia="zh-CN" w:bidi="zh-CN"/>
      </w:rPr>
    </w:lvl>
    <w:lvl w:ilvl="2">
      <w:start w:val="0"/>
      <w:numFmt w:val="bullet"/>
      <w:lvlText w:val="•"/>
      <w:lvlJc w:val="left"/>
      <w:pPr>
        <w:ind w:left="2613" w:hanging="404"/>
      </w:pPr>
      <w:rPr>
        <w:rFonts w:hint="default"/>
        <w:lang w:val="zh-CN" w:eastAsia="zh-CN" w:bidi="zh-CN"/>
      </w:rPr>
    </w:lvl>
    <w:lvl w:ilvl="3">
      <w:start w:val="0"/>
      <w:numFmt w:val="bullet"/>
      <w:lvlText w:val="•"/>
      <w:lvlJc w:val="left"/>
      <w:pPr>
        <w:ind w:left="3479" w:hanging="404"/>
      </w:pPr>
      <w:rPr>
        <w:rFonts w:hint="default"/>
        <w:lang w:val="zh-CN" w:eastAsia="zh-CN" w:bidi="zh-CN"/>
      </w:rPr>
    </w:lvl>
    <w:lvl w:ilvl="4">
      <w:start w:val="0"/>
      <w:numFmt w:val="bullet"/>
      <w:lvlText w:val="•"/>
      <w:lvlJc w:val="left"/>
      <w:pPr>
        <w:ind w:left="4346" w:hanging="404"/>
      </w:pPr>
      <w:rPr>
        <w:rFonts w:hint="default"/>
        <w:lang w:val="zh-CN" w:eastAsia="zh-CN" w:bidi="zh-CN"/>
      </w:rPr>
    </w:lvl>
    <w:lvl w:ilvl="5">
      <w:start w:val="0"/>
      <w:numFmt w:val="bullet"/>
      <w:lvlText w:val="•"/>
      <w:lvlJc w:val="left"/>
      <w:pPr>
        <w:ind w:left="5213" w:hanging="404"/>
      </w:pPr>
      <w:rPr>
        <w:rFonts w:hint="default"/>
        <w:lang w:val="zh-CN" w:eastAsia="zh-CN" w:bidi="zh-CN"/>
      </w:rPr>
    </w:lvl>
    <w:lvl w:ilvl="6">
      <w:start w:val="0"/>
      <w:numFmt w:val="bullet"/>
      <w:lvlText w:val="•"/>
      <w:lvlJc w:val="left"/>
      <w:pPr>
        <w:ind w:left="6079" w:hanging="404"/>
      </w:pPr>
      <w:rPr>
        <w:rFonts w:hint="default"/>
        <w:lang w:val="zh-CN" w:eastAsia="zh-CN" w:bidi="zh-CN"/>
      </w:rPr>
    </w:lvl>
    <w:lvl w:ilvl="7">
      <w:start w:val="0"/>
      <w:numFmt w:val="bullet"/>
      <w:lvlText w:val="•"/>
      <w:lvlJc w:val="left"/>
      <w:pPr>
        <w:ind w:left="6946" w:hanging="404"/>
      </w:pPr>
      <w:rPr>
        <w:rFonts w:hint="default"/>
        <w:lang w:val="zh-CN" w:eastAsia="zh-CN" w:bidi="zh-CN"/>
      </w:rPr>
    </w:lvl>
    <w:lvl w:ilvl="8">
      <w:start w:val="0"/>
      <w:numFmt w:val="bullet"/>
      <w:lvlText w:val="•"/>
      <w:lvlJc w:val="left"/>
      <w:pPr>
        <w:ind w:left="7813" w:hanging="404"/>
      </w:pPr>
      <w:rPr>
        <w:rFonts w:hint="default"/>
        <w:lang w:val="zh-CN" w:eastAsia="zh-CN" w:bidi="zh-CN"/>
      </w:rPr>
    </w:lvl>
  </w:abstractNum>
  <w:abstractNum w:abstractNumId="2">
    <w:multiLevelType w:val="hybridMultilevel"/>
    <w:lvl w:ilvl="0">
      <w:start w:val="3"/>
      <w:numFmt w:val="decimal"/>
      <w:lvlText w:val="%1"/>
      <w:lvlJc w:val="left"/>
      <w:pPr>
        <w:ind w:left="397" w:hanging="159"/>
        <w:jc w:val="left"/>
      </w:pPr>
      <w:rPr>
        <w:rFonts w:hint="default" w:ascii="Times New Roman" w:hAnsi="Times New Roman" w:eastAsia="Times New Roman" w:cs="Times New Roman"/>
        <w:b/>
        <w:bCs/>
        <w:w w:val="100"/>
        <w:sz w:val="21"/>
        <w:szCs w:val="21"/>
        <w:lang w:val="zh-CN" w:eastAsia="zh-CN" w:bidi="zh-CN"/>
      </w:rPr>
    </w:lvl>
    <w:lvl w:ilvl="1">
      <w:start w:val="1"/>
      <w:numFmt w:val="decimal"/>
      <w:lvlText w:val="%1.%2"/>
      <w:lvlJc w:val="left"/>
      <w:pPr>
        <w:ind w:left="781" w:hanging="303"/>
        <w:jc w:val="left"/>
      </w:pPr>
      <w:rPr>
        <w:rFonts w:hint="default" w:ascii="Times New Roman" w:hAnsi="Times New Roman" w:eastAsia="Times New Roman" w:cs="Times New Roman"/>
        <w:spacing w:val="0"/>
        <w:w w:val="99"/>
        <w:sz w:val="20"/>
        <w:szCs w:val="20"/>
        <w:lang w:val="zh-CN" w:eastAsia="zh-CN" w:bidi="zh-CN"/>
      </w:rPr>
    </w:lvl>
    <w:lvl w:ilvl="2">
      <w:start w:val="0"/>
      <w:numFmt w:val="bullet"/>
      <w:lvlText w:val="•"/>
      <w:lvlJc w:val="left"/>
      <w:pPr>
        <w:ind w:left="880" w:hanging="303"/>
      </w:pPr>
      <w:rPr>
        <w:rFonts w:hint="default"/>
        <w:lang w:val="zh-CN" w:eastAsia="zh-CN" w:bidi="zh-CN"/>
      </w:rPr>
    </w:lvl>
    <w:lvl w:ilvl="3">
      <w:start w:val="0"/>
      <w:numFmt w:val="bullet"/>
      <w:lvlText w:val="•"/>
      <w:lvlJc w:val="left"/>
      <w:pPr>
        <w:ind w:left="1963" w:hanging="303"/>
      </w:pPr>
      <w:rPr>
        <w:rFonts w:hint="default"/>
        <w:lang w:val="zh-CN" w:eastAsia="zh-CN" w:bidi="zh-CN"/>
      </w:rPr>
    </w:lvl>
    <w:lvl w:ilvl="4">
      <w:start w:val="0"/>
      <w:numFmt w:val="bullet"/>
      <w:lvlText w:val="•"/>
      <w:lvlJc w:val="left"/>
      <w:pPr>
        <w:ind w:left="3046" w:hanging="303"/>
      </w:pPr>
      <w:rPr>
        <w:rFonts w:hint="default"/>
        <w:lang w:val="zh-CN" w:eastAsia="zh-CN" w:bidi="zh-CN"/>
      </w:rPr>
    </w:lvl>
    <w:lvl w:ilvl="5">
      <w:start w:val="0"/>
      <w:numFmt w:val="bullet"/>
      <w:lvlText w:val="•"/>
      <w:lvlJc w:val="left"/>
      <w:pPr>
        <w:ind w:left="4129" w:hanging="303"/>
      </w:pPr>
      <w:rPr>
        <w:rFonts w:hint="default"/>
        <w:lang w:val="zh-CN" w:eastAsia="zh-CN" w:bidi="zh-CN"/>
      </w:rPr>
    </w:lvl>
    <w:lvl w:ilvl="6">
      <w:start w:val="0"/>
      <w:numFmt w:val="bullet"/>
      <w:lvlText w:val="•"/>
      <w:lvlJc w:val="left"/>
      <w:pPr>
        <w:ind w:left="5213" w:hanging="303"/>
      </w:pPr>
      <w:rPr>
        <w:rFonts w:hint="default"/>
        <w:lang w:val="zh-CN" w:eastAsia="zh-CN" w:bidi="zh-CN"/>
      </w:rPr>
    </w:lvl>
    <w:lvl w:ilvl="7">
      <w:start w:val="0"/>
      <w:numFmt w:val="bullet"/>
      <w:lvlText w:val="•"/>
      <w:lvlJc w:val="left"/>
      <w:pPr>
        <w:ind w:left="6296" w:hanging="303"/>
      </w:pPr>
      <w:rPr>
        <w:rFonts w:hint="default"/>
        <w:lang w:val="zh-CN" w:eastAsia="zh-CN" w:bidi="zh-CN"/>
      </w:rPr>
    </w:lvl>
    <w:lvl w:ilvl="8">
      <w:start w:val="0"/>
      <w:numFmt w:val="bullet"/>
      <w:lvlText w:val="•"/>
      <w:lvlJc w:val="left"/>
      <w:pPr>
        <w:ind w:left="7379" w:hanging="303"/>
      </w:pPr>
      <w:rPr>
        <w:rFonts w:hint="default"/>
        <w:lang w:val="zh-CN" w:eastAsia="zh-CN" w:bidi="zh-CN"/>
      </w:rPr>
    </w:lvl>
  </w:abstractNum>
  <w:abstractNum w:abstractNumId="1">
    <w:multiLevelType w:val="hybridMultilevel"/>
    <w:lvl w:ilvl="0">
      <w:start w:val="2"/>
      <w:numFmt w:val="decimal"/>
      <w:lvlText w:val="%1"/>
      <w:lvlJc w:val="left"/>
      <w:pPr>
        <w:ind w:left="781" w:hanging="303"/>
        <w:jc w:val="left"/>
      </w:pPr>
      <w:rPr>
        <w:rFonts w:hint="default"/>
        <w:lang w:val="zh-CN" w:eastAsia="zh-CN" w:bidi="zh-CN"/>
      </w:rPr>
    </w:lvl>
    <w:lvl w:ilvl="1">
      <w:start w:val="1"/>
      <w:numFmt w:val="decimal"/>
      <w:lvlText w:val="%1.%2"/>
      <w:lvlJc w:val="left"/>
      <w:pPr>
        <w:ind w:left="781" w:hanging="303"/>
        <w:jc w:val="left"/>
      </w:pPr>
      <w:rPr>
        <w:rFonts w:hint="default" w:ascii="Times New Roman" w:hAnsi="Times New Roman" w:eastAsia="Times New Roman" w:cs="Times New Roman"/>
        <w:spacing w:val="0"/>
        <w:w w:val="99"/>
        <w:sz w:val="20"/>
        <w:szCs w:val="20"/>
        <w:lang w:val="zh-CN" w:eastAsia="zh-CN" w:bidi="zh-CN"/>
      </w:rPr>
    </w:lvl>
    <w:lvl w:ilvl="2">
      <w:start w:val="0"/>
      <w:numFmt w:val="bullet"/>
      <w:lvlText w:val="•"/>
      <w:lvlJc w:val="left"/>
      <w:pPr>
        <w:ind w:left="2533" w:hanging="303"/>
      </w:pPr>
      <w:rPr>
        <w:rFonts w:hint="default"/>
        <w:lang w:val="zh-CN" w:eastAsia="zh-CN" w:bidi="zh-CN"/>
      </w:rPr>
    </w:lvl>
    <w:lvl w:ilvl="3">
      <w:start w:val="0"/>
      <w:numFmt w:val="bullet"/>
      <w:lvlText w:val="•"/>
      <w:lvlJc w:val="left"/>
      <w:pPr>
        <w:ind w:left="3409" w:hanging="303"/>
      </w:pPr>
      <w:rPr>
        <w:rFonts w:hint="default"/>
        <w:lang w:val="zh-CN" w:eastAsia="zh-CN" w:bidi="zh-CN"/>
      </w:rPr>
    </w:lvl>
    <w:lvl w:ilvl="4">
      <w:start w:val="0"/>
      <w:numFmt w:val="bullet"/>
      <w:lvlText w:val="•"/>
      <w:lvlJc w:val="left"/>
      <w:pPr>
        <w:ind w:left="4286" w:hanging="303"/>
      </w:pPr>
      <w:rPr>
        <w:rFonts w:hint="default"/>
        <w:lang w:val="zh-CN" w:eastAsia="zh-CN" w:bidi="zh-CN"/>
      </w:rPr>
    </w:lvl>
    <w:lvl w:ilvl="5">
      <w:start w:val="0"/>
      <w:numFmt w:val="bullet"/>
      <w:lvlText w:val="•"/>
      <w:lvlJc w:val="left"/>
      <w:pPr>
        <w:ind w:left="5163" w:hanging="303"/>
      </w:pPr>
      <w:rPr>
        <w:rFonts w:hint="default"/>
        <w:lang w:val="zh-CN" w:eastAsia="zh-CN" w:bidi="zh-CN"/>
      </w:rPr>
    </w:lvl>
    <w:lvl w:ilvl="6">
      <w:start w:val="0"/>
      <w:numFmt w:val="bullet"/>
      <w:lvlText w:val="•"/>
      <w:lvlJc w:val="left"/>
      <w:pPr>
        <w:ind w:left="6039" w:hanging="303"/>
      </w:pPr>
      <w:rPr>
        <w:rFonts w:hint="default"/>
        <w:lang w:val="zh-CN" w:eastAsia="zh-CN" w:bidi="zh-CN"/>
      </w:rPr>
    </w:lvl>
    <w:lvl w:ilvl="7">
      <w:start w:val="0"/>
      <w:numFmt w:val="bullet"/>
      <w:lvlText w:val="•"/>
      <w:lvlJc w:val="left"/>
      <w:pPr>
        <w:ind w:left="6916" w:hanging="303"/>
      </w:pPr>
      <w:rPr>
        <w:rFonts w:hint="default"/>
        <w:lang w:val="zh-CN" w:eastAsia="zh-CN" w:bidi="zh-CN"/>
      </w:rPr>
    </w:lvl>
    <w:lvl w:ilvl="8">
      <w:start w:val="0"/>
      <w:numFmt w:val="bullet"/>
      <w:lvlText w:val="•"/>
      <w:lvlJc w:val="left"/>
      <w:pPr>
        <w:ind w:left="7793" w:hanging="303"/>
      </w:pPr>
      <w:rPr>
        <w:rFonts w:hint="default"/>
        <w:lang w:val="zh-CN" w:eastAsia="zh-CN" w:bidi="zh-CN"/>
      </w:rPr>
    </w:lvl>
  </w:abstractNum>
  <w:abstractNum w:abstractNumId="0">
    <w:multiLevelType w:val="hybridMultilevel"/>
    <w:lvl w:ilvl="0">
      <w:start w:val="1"/>
      <w:numFmt w:val="decimal"/>
      <w:lvlText w:val="%1"/>
      <w:lvlJc w:val="left"/>
      <w:pPr>
        <w:ind w:left="397" w:hanging="159"/>
        <w:jc w:val="left"/>
      </w:pPr>
      <w:rPr>
        <w:rFonts w:hint="default" w:ascii="Times New Roman" w:hAnsi="Times New Roman" w:eastAsia="Times New Roman" w:cs="Times New Roman"/>
        <w:b/>
        <w:bCs/>
        <w:w w:val="100"/>
        <w:sz w:val="21"/>
        <w:szCs w:val="21"/>
        <w:lang w:val="zh-CN" w:eastAsia="zh-CN" w:bidi="zh-CN"/>
      </w:rPr>
    </w:lvl>
    <w:lvl w:ilvl="1">
      <w:start w:val="1"/>
      <w:numFmt w:val="decimal"/>
      <w:lvlText w:val="%1.%2"/>
      <w:lvlJc w:val="left"/>
      <w:pPr>
        <w:ind w:left="781" w:hanging="303"/>
        <w:jc w:val="left"/>
      </w:pPr>
      <w:rPr>
        <w:rFonts w:hint="default" w:ascii="Times New Roman" w:hAnsi="Times New Roman" w:eastAsia="Times New Roman" w:cs="Times New Roman"/>
        <w:spacing w:val="0"/>
        <w:w w:val="99"/>
        <w:sz w:val="20"/>
        <w:szCs w:val="20"/>
        <w:lang w:val="zh-CN" w:eastAsia="zh-CN" w:bidi="zh-CN"/>
      </w:rPr>
    </w:lvl>
    <w:lvl w:ilvl="2">
      <w:start w:val="0"/>
      <w:numFmt w:val="bullet"/>
      <w:lvlText w:val="•"/>
      <w:lvlJc w:val="left"/>
      <w:pPr>
        <w:ind w:left="1754" w:hanging="303"/>
      </w:pPr>
      <w:rPr>
        <w:rFonts w:hint="default"/>
        <w:lang w:val="zh-CN" w:eastAsia="zh-CN" w:bidi="zh-CN"/>
      </w:rPr>
    </w:lvl>
    <w:lvl w:ilvl="3">
      <w:start w:val="0"/>
      <w:numFmt w:val="bullet"/>
      <w:lvlText w:val="•"/>
      <w:lvlJc w:val="left"/>
      <w:pPr>
        <w:ind w:left="2728" w:hanging="303"/>
      </w:pPr>
      <w:rPr>
        <w:rFonts w:hint="default"/>
        <w:lang w:val="zh-CN" w:eastAsia="zh-CN" w:bidi="zh-CN"/>
      </w:rPr>
    </w:lvl>
    <w:lvl w:ilvl="4">
      <w:start w:val="0"/>
      <w:numFmt w:val="bullet"/>
      <w:lvlText w:val="•"/>
      <w:lvlJc w:val="left"/>
      <w:pPr>
        <w:ind w:left="3702" w:hanging="303"/>
      </w:pPr>
      <w:rPr>
        <w:rFonts w:hint="default"/>
        <w:lang w:val="zh-CN" w:eastAsia="zh-CN" w:bidi="zh-CN"/>
      </w:rPr>
    </w:lvl>
    <w:lvl w:ilvl="5">
      <w:start w:val="0"/>
      <w:numFmt w:val="bullet"/>
      <w:lvlText w:val="•"/>
      <w:lvlJc w:val="left"/>
      <w:pPr>
        <w:ind w:left="4676" w:hanging="303"/>
      </w:pPr>
      <w:rPr>
        <w:rFonts w:hint="default"/>
        <w:lang w:val="zh-CN" w:eastAsia="zh-CN" w:bidi="zh-CN"/>
      </w:rPr>
    </w:lvl>
    <w:lvl w:ilvl="6">
      <w:start w:val="0"/>
      <w:numFmt w:val="bullet"/>
      <w:lvlText w:val="•"/>
      <w:lvlJc w:val="left"/>
      <w:pPr>
        <w:ind w:left="5650" w:hanging="303"/>
      </w:pPr>
      <w:rPr>
        <w:rFonts w:hint="default"/>
        <w:lang w:val="zh-CN" w:eastAsia="zh-CN" w:bidi="zh-CN"/>
      </w:rPr>
    </w:lvl>
    <w:lvl w:ilvl="7">
      <w:start w:val="0"/>
      <w:numFmt w:val="bullet"/>
      <w:lvlText w:val="•"/>
      <w:lvlJc w:val="left"/>
      <w:pPr>
        <w:ind w:left="6624" w:hanging="303"/>
      </w:pPr>
      <w:rPr>
        <w:rFonts w:hint="default"/>
        <w:lang w:val="zh-CN" w:eastAsia="zh-CN" w:bidi="zh-CN"/>
      </w:rPr>
    </w:lvl>
    <w:lvl w:ilvl="8">
      <w:start w:val="0"/>
      <w:numFmt w:val="bullet"/>
      <w:lvlText w:val="•"/>
      <w:lvlJc w:val="left"/>
      <w:pPr>
        <w:ind w:left="7598" w:hanging="303"/>
      </w:pPr>
      <w:rPr>
        <w:rFonts w:hint="default"/>
        <w:lang w:val="zh-CN" w:eastAsia="zh-CN" w:bidi="zh-CN"/>
      </w:rPr>
    </w:lvl>
  </w:abstractNum>
  <w:num w:numId="76">
    <w:abstractNumId w:val="75"/>
  </w:num>
  <w:num w:numId="77">
    <w:abstractNumId w:val="76"/>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TOC1" w:type="paragraph">
    <w:name w:val="TOC 1"/>
    <w:basedOn w:val="Normal"/>
    <w:uiPriority w:val="1"/>
    <w:qFormat/>
    <w:pPr>
      <w:spacing w:before="132"/>
      <w:ind w:left="397" w:right="229" w:hanging="398"/>
      <w:jc w:val="right"/>
    </w:pPr>
    <w:rPr>
      <w:rFonts w:ascii="宋体" w:hAnsi="宋体" w:eastAsia="宋体" w:cs="宋体"/>
      <w:b/>
      <w:bCs/>
      <w:sz w:val="21"/>
      <w:szCs w:val="21"/>
      <w:lang w:val="zh-CN" w:eastAsia="zh-CN" w:bidi="zh-CN"/>
    </w:rPr>
  </w:style>
  <w:style w:styleId="TOC2" w:type="paragraph">
    <w:name w:val="TOC 2"/>
    <w:basedOn w:val="Normal"/>
    <w:uiPriority w:val="1"/>
    <w:qFormat/>
    <w:pPr>
      <w:spacing w:before="133"/>
      <w:ind w:left="781" w:right="229" w:hanging="782"/>
      <w:jc w:val="right"/>
    </w:pPr>
    <w:rPr>
      <w:rFonts w:ascii="宋体" w:hAnsi="宋体" w:eastAsia="宋体" w:cs="宋体"/>
      <w:sz w:val="20"/>
      <w:szCs w:val="20"/>
      <w:lang w:val="zh-CN" w:eastAsia="zh-CN" w:bidi="zh-CN"/>
    </w:rPr>
  </w:style>
  <w:style w:styleId="TOC3" w:type="paragraph">
    <w:name w:val="TOC 3"/>
    <w:basedOn w:val="Normal"/>
    <w:uiPriority w:val="1"/>
    <w:qFormat/>
    <w:pPr>
      <w:spacing w:before="132"/>
      <w:ind w:left="781" w:hanging="304"/>
    </w:pPr>
    <w:rPr>
      <w:rFonts w:ascii="宋体" w:hAnsi="宋体" w:eastAsia="宋体" w:cs="宋体"/>
      <w:sz w:val="20"/>
      <w:szCs w:val="20"/>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spacing w:before="65"/>
      <w:ind w:left="684" w:hanging="467"/>
      <w:outlineLvl w:val="1"/>
    </w:pPr>
    <w:rPr>
      <w:rFonts w:ascii="宋体" w:hAnsi="宋体" w:eastAsia="宋体" w:cs="宋体"/>
      <w:b/>
      <w:bCs/>
      <w:sz w:val="32"/>
      <w:szCs w:val="32"/>
      <w:lang w:val="zh-CN" w:eastAsia="zh-CN" w:bidi="zh-CN"/>
    </w:rPr>
  </w:style>
  <w:style w:styleId="Heading2" w:type="paragraph">
    <w:name w:val="Heading 2"/>
    <w:basedOn w:val="Normal"/>
    <w:uiPriority w:val="1"/>
    <w:qFormat/>
    <w:pPr>
      <w:spacing w:before="67"/>
      <w:ind w:left="444" w:hanging="227"/>
      <w:outlineLvl w:val="2"/>
    </w:pPr>
    <w:rPr>
      <w:rFonts w:ascii="宋体" w:hAnsi="宋体" w:eastAsia="宋体" w:cs="宋体"/>
      <w:b/>
      <w:bCs/>
      <w:sz w:val="30"/>
      <w:szCs w:val="30"/>
      <w:lang w:val="zh-CN" w:eastAsia="zh-CN" w:bidi="zh-CN"/>
    </w:rPr>
  </w:style>
  <w:style w:styleId="Heading3" w:type="paragraph">
    <w:name w:val="Heading 3"/>
    <w:basedOn w:val="Normal"/>
    <w:uiPriority w:val="1"/>
    <w:qFormat/>
    <w:pPr>
      <w:ind w:left="638" w:hanging="421"/>
      <w:outlineLvl w:val="3"/>
    </w:pPr>
    <w:rPr>
      <w:rFonts w:ascii="宋体" w:hAnsi="宋体" w:eastAsia="宋体" w:cs="宋体"/>
      <w:b/>
      <w:bCs/>
      <w:sz w:val="28"/>
      <w:szCs w:val="28"/>
      <w:lang w:val="zh-CN" w:eastAsia="zh-CN" w:bidi="zh-CN"/>
    </w:rPr>
  </w:style>
  <w:style w:styleId="Heading4" w:type="paragraph">
    <w:name w:val="Heading 4"/>
    <w:basedOn w:val="Normal"/>
    <w:uiPriority w:val="1"/>
    <w:qFormat/>
    <w:pPr>
      <w:ind w:left="701"/>
      <w:outlineLvl w:val="4"/>
    </w:pPr>
    <w:rPr>
      <w:rFonts w:ascii="宋体" w:hAnsi="宋体" w:eastAsia="宋体" w:cs="宋体"/>
      <w:b/>
      <w:bCs/>
      <w:sz w:val="24"/>
      <w:szCs w:val="24"/>
      <w:lang w:val="zh-CN" w:eastAsia="zh-CN" w:bidi="zh-CN"/>
    </w:rPr>
  </w:style>
  <w:style w:styleId="ListParagraph" w:type="paragraph">
    <w:name w:val="List Paragraph"/>
    <w:basedOn w:val="Normal"/>
    <w:uiPriority w:val="1"/>
    <w:qFormat/>
    <w:pPr>
      <w:ind w:left="218" w:hanging="541"/>
    </w:pPr>
    <w:rPr>
      <w:rFonts w:ascii="宋体" w:hAnsi="宋体" w:eastAsia="宋体" w:cs="宋体"/>
      <w:lang w:val="zh-CN" w:eastAsia="zh-CN" w:bidi="zh-CN"/>
    </w:rPr>
  </w:style>
  <w:style w:styleId="TableParagraph" w:type="paragraph">
    <w:name w:val="Table Paragraph"/>
    <w:basedOn w:val="Normal"/>
    <w:uiPriority w:val="1"/>
    <w:qFormat/>
    <w:pPr>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image" Target="media/image2.jpeg"/><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jpeg"/><Relationship Id="rId19" Type="http://schemas.openxmlformats.org/officeDocument/2006/relationships/image" Target="media/image8.png"/><Relationship Id="rId20" Type="http://schemas.openxmlformats.org/officeDocument/2006/relationships/header" Target="header4.xml"/><Relationship Id="rId21" Type="http://schemas.openxmlformats.org/officeDocument/2006/relationships/footer" Target="footer5.xml"/><Relationship Id="rId22" Type="http://schemas.openxmlformats.org/officeDocument/2006/relationships/image" Target="media/image9.jpeg"/><Relationship Id="rId23" Type="http://schemas.openxmlformats.org/officeDocument/2006/relationships/header" Target="header5.xml"/><Relationship Id="rId24" Type="http://schemas.openxmlformats.org/officeDocument/2006/relationships/footer" Target="footer6.xml"/><Relationship Id="rId25" Type="http://schemas.openxmlformats.org/officeDocument/2006/relationships/image" Target="media/image10.png"/><Relationship Id="rId26" Type="http://schemas.openxmlformats.org/officeDocument/2006/relationships/image" Target="media/image11.jpeg"/><Relationship Id="rId27" Type="http://schemas.openxmlformats.org/officeDocument/2006/relationships/image" Target="media/image12.jpeg"/><Relationship Id="rId28" Type="http://schemas.openxmlformats.org/officeDocument/2006/relationships/image" Target="media/image13.jpeg"/><Relationship Id="rId29" Type="http://schemas.openxmlformats.org/officeDocument/2006/relationships/image" Target="media/image14.jpeg"/><Relationship Id="rId30" Type="http://schemas.openxmlformats.org/officeDocument/2006/relationships/image" Target="media/image15.jpeg"/><Relationship Id="rId31" Type="http://schemas.openxmlformats.org/officeDocument/2006/relationships/header" Target="header6.xml"/><Relationship Id="rId32" Type="http://schemas.openxmlformats.org/officeDocument/2006/relationships/footer" Target="footer7.xml"/><Relationship Id="rId33" Type="http://schemas.openxmlformats.org/officeDocument/2006/relationships/header" Target="header7.xml"/><Relationship Id="rId34" Type="http://schemas.openxmlformats.org/officeDocument/2006/relationships/footer" Target="footer8.xml"/><Relationship Id="rId35" Type="http://schemas.openxmlformats.org/officeDocument/2006/relationships/header" Target="header8.xml"/><Relationship Id="rId36" Type="http://schemas.openxmlformats.org/officeDocument/2006/relationships/footer" Target="footer9.xml"/><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header" Target="header9.xml"/><Relationship Id="rId41" Type="http://schemas.openxmlformats.org/officeDocument/2006/relationships/footer" Target="footer10.xml"/><Relationship Id="rId42" Type="http://schemas.openxmlformats.org/officeDocument/2006/relationships/header" Target="header10.xml"/><Relationship Id="rId43" Type="http://schemas.openxmlformats.org/officeDocument/2006/relationships/footer" Target="footer11.xml"/><Relationship Id="rId44" Type="http://schemas.openxmlformats.org/officeDocument/2006/relationships/header" Target="header11.xml"/><Relationship Id="rId45" Type="http://schemas.openxmlformats.org/officeDocument/2006/relationships/footer" Target="footer12.xml"/><Relationship Id="rId46" Type="http://schemas.openxmlformats.org/officeDocument/2006/relationships/image" Target="media/image19.png"/><Relationship Id="rId47" Type="http://schemas.openxmlformats.org/officeDocument/2006/relationships/header" Target="header12.xml"/><Relationship Id="rId48" Type="http://schemas.openxmlformats.org/officeDocument/2006/relationships/footer" Target="footer13.xml"/><Relationship Id="rId49" Type="http://schemas.openxmlformats.org/officeDocument/2006/relationships/header" Target="header13.xml"/><Relationship Id="rId50" Type="http://schemas.openxmlformats.org/officeDocument/2006/relationships/footer" Target="footer14.xml"/><Relationship Id="rId51" Type="http://schemas.openxmlformats.org/officeDocument/2006/relationships/footer" Target="footer15.xml"/><Relationship Id="rId52" Type="http://schemas.openxmlformats.org/officeDocument/2006/relationships/image" Target="media/image20.png"/><Relationship Id="rId53" Type="http://schemas.openxmlformats.org/officeDocument/2006/relationships/header" Target="header14.xml"/><Relationship Id="rId54" Type="http://schemas.openxmlformats.org/officeDocument/2006/relationships/footer" Target="footer16.xml"/><Relationship Id="rId55" Type="http://schemas.openxmlformats.org/officeDocument/2006/relationships/header" Target="header15.xml"/><Relationship Id="rId56" Type="http://schemas.openxmlformats.org/officeDocument/2006/relationships/footer" Target="footer17.xml"/><Relationship Id="rId57" Type="http://schemas.openxmlformats.org/officeDocument/2006/relationships/header" Target="header16.xml"/><Relationship Id="rId58" Type="http://schemas.openxmlformats.org/officeDocument/2006/relationships/footer" Target="footer18.xml"/><Relationship Id="rId59" Type="http://schemas.openxmlformats.org/officeDocument/2006/relationships/footer" Target="footer19.xml"/><Relationship Id="rId60" Type="http://schemas.openxmlformats.org/officeDocument/2006/relationships/footer" Target="footer20.xml"/><Relationship Id="rId61" Type="http://schemas.openxmlformats.org/officeDocument/2006/relationships/image" Target="media/image21.jpeg"/><Relationship Id="rId62" Type="http://schemas.openxmlformats.org/officeDocument/2006/relationships/image" Target="media/image22.png"/><Relationship Id="rId63" Type="http://schemas.openxmlformats.org/officeDocument/2006/relationships/image" Target="media/image23.pn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header" Target="header17.xml"/><Relationship Id="rId67" Type="http://schemas.openxmlformats.org/officeDocument/2006/relationships/footer" Target="footer21.xml"/><Relationship Id="rId68" Type="http://schemas.openxmlformats.org/officeDocument/2006/relationships/footer" Target="footer22.xml"/><Relationship Id="rId69" Type="http://schemas.openxmlformats.org/officeDocument/2006/relationships/header" Target="header18.xml"/><Relationship Id="rId70" Type="http://schemas.openxmlformats.org/officeDocument/2006/relationships/footer" Target="footer23.xml"/><Relationship Id="rId71" Type="http://schemas.openxmlformats.org/officeDocument/2006/relationships/header" Target="header19.xml"/><Relationship Id="rId72" Type="http://schemas.openxmlformats.org/officeDocument/2006/relationships/footer" Target="footer24.xml"/><Relationship Id="rId73" Type="http://schemas.openxmlformats.org/officeDocument/2006/relationships/header" Target="header20.xml"/><Relationship Id="rId74" Type="http://schemas.openxmlformats.org/officeDocument/2006/relationships/footer" Target="footer25.xml"/><Relationship Id="rId75" Type="http://schemas.openxmlformats.org/officeDocument/2006/relationships/hyperlink" Target="http://www.mep.gov.cn/info/bgw/bgg/200809/W020080917334259620241.pdf" TargetMode="External"/><Relationship Id="rId76" Type="http://schemas.openxmlformats.org/officeDocument/2006/relationships/image" Target="media/image26.jpeg"/><Relationship Id="rId77" Type="http://schemas.openxmlformats.org/officeDocument/2006/relationships/footer" Target="footer26.xml"/><Relationship Id="rId78" Type="http://schemas.openxmlformats.org/officeDocument/2006/relationships/footer" Target="footer27.xml"/><Relationship Id="rId79" Type="http://schemas.openxmlformats.org/officeDocument/2006/relationships/header" Target="header21.xml"/><Relationship Id="rId80" Type="http://schemas.openxmlformats.org/officeDocument/2006/relationships/footer" Target="footer28.xml"/><Relationship Id="rId81" Type="http://schemas.openxmlformats.org/officeDocument/2006/relationships/image" Target="media/image27.jpeg"/><Relationship Id="rId82" Type="http://schemas.openxmlformats.org/officeDocument/2006/relationships/image" Target="media/image28.png"/><Relationship Id="rId83" Type="http://schemas.openxmlformats.org/officeDocument/2006/relationships/image" Target="media/image29.png"/><Relationship Id="rId84" Type="http://schemas.openxmlformats.org/officeDocument/2006/relationships/image" Target="media/image30.png"/><Relationship Id="rId85" Type="http://schemas.openxmlformats.org/officeDocument/2006/relationships/image" Target="media/image31.png"/><Relationship Id="rId86" Type="http://schemas.openxmlformats.org/officeDocument/2006/relationships/image" Target="media/image32.png"/><Relationship Id="rId87" Type="http://schemas.openxmlformats.org/officeDocument/2006/relationships/image" Target="media/image33.png"/><Relationship Id="rId88" Type="http://schemas.openxmlformats.org/officeDocument/2006/relationships/image" Target="media/image34.png"/><Relationship Id="rId89" Type="http://schemas.openxmlformats.org/officeDocument/2006/relationships/footer" Target="footer29.xml"/><Relationship Id="rId90" Type="http://schemas.openxmlformats.org/officeDocument/2006/relationships/image" Target="media/image35.png"/><Relationship Id="rId91" Type="http://schemas.openxmlformats.org/officeDocument/2006/relationships/header" Target="header22.xml"/><Relationship Id="rId92" Type="http://schemas.openxmlformats.org/officeDocument/2006/relationships/footer" Target="footer30.xml"/><Relationship Id="rId93" Type="http://schemas.openxmlformats.org/officeDocument/2006/relationships/image" Target="media/image36.png"/><Relationship Id="rId94" Type="http://schemas.openxmlformats.org/officeDocument/2006/relationships/image" Target="media/image37.png"/><Relationship Id="rId95" Type="http://schemas.openxmlformats.org/officeDocument/2006/relationships/image" Target="media/image38.png"/><Relationship Id="rId96" Type="http://schemas.openxmlformats.org/officeDocument/2006/relationships/image" Target="media/image39.png"/><Relationship Id="rId97" Type="http://schemas.openxmlformats.org/officeDocument/2006/relationships/image" Target="media/image40.png"/><Relationship Id="rId98" Type="http://schemas.openxmlformats.org/officeDocument/2006/relationships/header" Target="header23.xml"/><Relationship Id="rId99" Type="http://schemas.openxmlformats.org/officeDocument/2006/relationships/footer" Target="footer31.xml"/><Relationship Id="rId100" Type="http://schemas.openxmlformats.org/officeDocument/2006/relationships/image" Target="media/image41.png"/><Relationship Id="rId101" Type="http://schemas.openxmlformats.org/officeDocument/2006/relationships/image" Target="media/image42.png"/><Relationship Id="rId102" Type="http://schemas.openxmlformats.org/officeDocument/2006/relationships/image" Target="media/image43.jpeg"/><Relationship Id="rId103" Type="http://schemas.openxmlformats.org/officeDocument/2006/relationships/image" Target="media/image44.jpeg"/><Relationship Id="rId104" Type="http://schemas.openxmlformats.org/officeDocument/2006/relationships/image" Target="media/image45.jpeg"/><Relationship Id="rId105" Type="http://schemas.openxmlformats.org/officeDocument/2006/relationships/image" Target="media/image46.jpeg"/><Relationship Id="rId106" Type="http://schemas.openxmlformats.org/officeDocument/2006/relationships/image" Target="media/image47.jpeg"/><Relationship Id="rId107" Type="http://schemas.openxmlformats.org/officeDocument/2006/relationships/image" Target="media/image48.jpeg"/><Relationship Id="rId108" Type="http://schemas.openxmlformats.org/officeDocument/2006/relationships/image" Target="media/image49.jpeg"/><Relationship Id="rId109" Type="http://schemas.openxmlformats.org/officeDocument/2006/relationships/footer" Target="footer32.xml"/><Relationship Id="rId110" Type="http://schemas.openxmlformats.org/officeDocument/2006/relationships/footer" Target="footer33.xml"/><Relationship Id="rId111" Type="http://schemas.openxmlformats.org/officeDocument/2006/relationships/image" Target="media/image50.jpeg"/><Relationship Id="rId112" Type="http://schemas.openxmlformats.org/officeDocument/2006/relationships/image" Target="media/image51.jpeg"/><Relationship Id="rId113" Type="http://schemas.openxmlformats.org/officeDocument/2006/relationships/image" Target="media/image52.jpeg"/><Relationship Id="rId114" Type="http://schemas.openxmlformats.org/officeDocument/2006/relationships/image" Target="media/image53.jpeg"/><Relationship Id="rId115" Type="http://schemas.openxmlformats.org/officeDocument/2006/relationships/image" Target="media/image54.jpeg"/><Relationship Id="rId116" Type="http://schemas.openxmlformats.org/officeDocument/2006/relationships/image" Target="media/image55.jpeg"/><Relationship Id="rId117" Type="http://schemas.openxmlformats.org/officeDocument/2006/relationships/header" Target="header24.xml"/><Relationship Id="rId118" Type="http://schemas.openxmlformats.org/officeDocument/2006/relationships/footer" Target="footer34.xml"/><Relationship Id="rId119" Type="http://schemas.openxmlformats.org/officeDocument/2006/relationships/header" Target="header25.xml"/><Relationship Id="rId120" Type="http://schemas.openxmlformats.org/officeDocument/2006/relationships/footer" Target="footer35.xml"/><Relationship Id="rId121" Type="http://schemas.openxmlformats.org/officeDocument/2006/relationships/footer" Target="footer36.xml"/><Relationship Id="rId122" Type="http://schemas.openxmlformats.org/officeDocument/2006/relationships/footer" Target="footer37.xml"/><Relationship Id="rId123" Type="http://schemas.openxmlformats.org/officeDocument/2006/relationships/image" Target="media/image56.png"/><Relationship Id="rId124" Type="http://schemas.openxmlformats.org/officeDocument/2006/relationships/image" Target="media/image57.png"/><Relationship Id="rId125" Type="http://schemas.openxmlformats.org/officeDocument/2006/relationships/image" Target="media/image58.png"/><Relationship Id="rId126" Type="http://schemas.openxmlformats.org/officeDocument/2006/relationships/footer" Target="footer38.xml"/><Relationship Id="rId127" Type="http://schemas.openxmlformats.org/officeDocument/2006/relationships/footer" Target="footer39.xml"/><Relationship Id="rId128" Type="http://schemas.openxmlformats.org/officeDocument/2006/relationships/image" Target="media/image59.jpeg"/><Relationship Id="rId129" Type="http://schemas.openxmlformats.org/officeDocument/2006/relationships/footer" Target="footer40.xml"/><Relationship Id="rId130" Type="http://schemas.openxmlformats.org/officeDocument/2006/relationships/image" Target="media/image60.png"/><Relationship Id="rId131" Type="http://schemas.openxmlformats.org/officeDocument/2006/relationships/image" Target="media/image61.png"/><Relationship Id="rId132" Type="http://schemas.openxmlformats.org/officeDocument/2006/relationships/image" Target="media/image62.png"/><Relationship Id="rId133" Type="http://schemas.openxmlformats.org/officeDocument/2006/relationships/image" Target="media/image63.png"/><Relationship Id="rId134" Type="http://schemas.openxmlformats.org/officeDocument/2006/relationships/image" Target="media/image64.png"/><Relationship Id="rId135" Type="http://schemas.openxmlformats.org/officeDocument/2006/relationships/image" Target="media/image65.png"/><Relationship Id="rId136" Type="http://schemas.openxmlformats.org/officeDocument/2006/relationships/image" Target="media/image66.png"/><Relationship Id="rId137" Type="http://schemas.openxmlformats.org/officeDocument/2006/relationships/image" Target="media/image67.png"/><Relationship Id="rId138" Type="http://schemas.openxmlformats.org/officeDocument/2006/relationships/image" Target="media/image68.png"/><Relationship Id="rId139" Type="http://schemas.openxmlformats.org/officeDocument/2006/relationships/image" Target="media/image69.png"/><Relationship Id="rId140" Type="http://schemas.openxmlformats.org/officeDocument/2006/relationships/image" Target="media/image70.png"/><Relationship Id="rId141" Type="http://schemas.openxmlformats.org/officeDocument/2006/relationships/image" Target="media/image71.png"/><Relationship Id="rId142" Type="http://schemas.openxmlformats.org/officeDocument/2006/relationships/image" Target="media/image72.png"/><Relationship Id="rId143" Type="http://schemas.openxmlformats.org/officeDocument/2006/relationships/image" Target="media/image73.png"/><Relationship Id="rId144" Type="http://schemas.openxmlformats.org/officeDocument/2006/relationships/image" Target="media/image74.png"/><Relationship Id="rId145" Type="http://schemas.openxmlformats.org/officeDocument/2006/relationships/image" Target="media/image75.png"/><Relationship Id="rId146" Type="http://schemas.openxmlformats.org/officeDocument/2006/relationships/image" Target="media/image76.png"/><Relationship Id="rId147" Type="http://schemas.openxmlformats.org/officeDocument/2006/relationships/image" Target="media/image77.png"/><Relationship Id="rId148" Type="http://schemas.openxmlformats.org/officeDocument/2006/relationships/image" Target="media/image78.jpeg"/><Relationship Id="rId149" Type="http://schemas.openxmlformats.org/officeDocument/2006/relationships/footer" Target="footer41.xml"/><Relationship Id="rId150" Type="http://schemas.openxmlformats.org/officeDocument/2006/relationships/image" Target="media/image79.jpeg"/><Relationship Id="rId151" Type="http://schemas.openxmlformats.org/officeDocument/2006/relationships/footer" Target="footer42.xml"/><Relationship Id="rId152" Type="http://schemas.openxmlformats.org/officeDocument/2006/relationships/image" Target="media/image80.jpeg"/><Relationship Id="rId153" Type="http://schemas.openxmlformats.org/officeDocument/2006/relationships/image" Target="media/image81.jpeg"/><Relationship Id="rId154" Type="http://schemas.openxmlformats.org/officeDocument/2006/relationships/image" Target="media/image82.png"/><Relationship Id="rId155" Type="http://schemas.openxmlformats.org/officeDocument/2006/relationships/image" Target="media/image83.png"/><Relationship Id="rId156" Type="http://schemas.openxmlformats.org/officeDocument/2006/relationships/image" Target="media/image84.png"/><Relationship Id="rId157" Type="http://schemas.openxmlformats.org/officeDocument/2006/relationships/footer" Target="footer43.xml"/><Relationship Id="rId158" Type="http://schemas.openxmlformats.org/officeDocument/2006/relationships/image" Target="media/image85.jpeg"/><Relationship Id="rId159" Type="http://schemas.openxmlformats.org/officeDocument/2006/relationships/footer" Target="footer44.xml"/><Relationship Id="rId160" Type="http://schemas.openxmlformats.org/officeDocument/2006/relationships/image" Target="media/image86.jpeg"/><Relationship Id="rId161" Type="http://schemas.openxmlformats.org/officeDocument/2006/relationships/image" Target="media/image87.jpeg"/><Relationship Id="rId162" Type="http://schemas.openxmlformats.org/officeDocument/2006/relationships/image" Target="media/image88.jpeg"/><Relationship Id="rId163" Type="http://schemas.openxmlformats.org/officeDocument/2006/relationships/image" Target="media/image89.jpeg"/><Relationship Id="rId164" Type="http://schemas.openxmlformats.org/officeDocument/2006/relationships/image" Target="media/image90.png"/><Relationship Id="rId165" Type="http://schemas.openxmlformats.org/officeDocument/2006/relationships/image" Target="media/image91.png"/><Relationship Id="rId166" Type="http://schemas.openxmlformats.org/officeDocument/2006/relationships/footer" Target="footer45.xml"/><Relationship Id="rId167" Type="http://schemas.openxmlformats.org/officeDocument/2006/relationships/footer" Target="footer46.xml"/><Relationship Id="rId168" Type="http://schemas.openxmlformats.org/officeDocument/2006/relationships/image" Target="media/image92.jpeg"/><Relationship Id="rId169" Type="http://schemas.openxmlformats.org/officeDocument/2006/relationships/footer" Target="footer47.xml"/><Relationship Id="rId170" Type="http://schemas.openxmlformats.org/officeDocument/2006/relationships/image" Target="media/image93.jpeg"/><Relationship Id="rId171" Type="http://schemas.openxmlformats.org/officeDocument/2006/relationships/image" Target="media/image94.png"/><Relationship Id="rId172" Type="http://schemas.openxmlformats.org/officeDocument/2006/relationships/image" Target="media/image95.png"/><Relationship Id="rId173" Type="http://schemas.openxmlformats.org/officeDocument/2006/relationships/footer" Target="footer48.xml"/><Relationship Id="rId174" Type="http://schemas.openxmlformats.org/officeDocument/2006/relationships/footer" Target="footer49.xml"/><Relationship Id="rId175" Type="http://schemas.openxmlformats.org/officeDocument/2006/relationships/image" Target="media/image96.png"/><Relationship Id="rId176" Type="http://schemas.openxmlformats.org/officeDocument/2006/relationships/image" Target="media/image97.png"/><Relationship Id="rId177" Type="http://schemas.openxmlformats.org/officeDocument/2006/relationships/footer" Target="footer50.xml"/><Relationship Id="rId178" Type="http://schemas.openxmlformats.org/officeDocument/2006/relationships/footer" Target="footer51.xml"/><Relationship Id="rId179" Type="http://schemas.openxmlformats.org/officeDocument/2006/relationships/footer" Target="footer52.xml"/><Relationship Id="rId180" Type="http://schemas.openxmlformats.org/officeDocument/2006/relationships/footer" Target="footer53.xml"/><Relationship Id="rId181" Type="http://schemas.openxmlformats.org/officeDocument/2006/relationships/header" Target="header26.xml"/><Relationship Id="rId182" Type="http://schemas.openxmlformats.org/officeDocument/2006/relationships/footer" Target="footer54.xml"/><Relationship Id="rId183" Type="http://schemas.openxmlformats.org/officeDocument/2006/relationships/footer" Target="footer55.xml"/><Relationship Id="rId184" Type="http://schemas.openxmlformats.org/officeDocument/2006/relationships/header" Target="header27.xml"/><Relationship Id="rId185" Type="http://schemas.openxmlformats.org/officeDocument/2006/relationships/footer" Target="footer56.xml"/><Relationship Id="rId186" Type="http://schemas.openxmlformats.org/officeDocument/2006/relationships/footer" Target="footer57.xml"/><Relationship Id="rId187" Type="http://schemas.openxmlformats.org/officeDocument/2006/relationships/footer" Target="footer58.xml"/><Relationship Id="rId188" Type="http://schemas.openxmlformats.org/officeDocument/2006/relationships/footer" Target="footer59.xml"/><Relationship Id="rId189" Type="http://schemas.openxmlformats.org/officeDocument/2006/relationships/header" Target="header28.xml"/><Relationship Id="rId190" Type="http://schemas.openxmlformats.org/officeDocument/2006/relationships/footer" Target="footer60.xml"/><Relationship Id="rId19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dc:title>1总论</dc:title>
  <dcterms:created xsi:type="dcterms:W3CDTF">2022-06-21T06:02:17Z</dcterms:created>
  <dcterms:modified xsi:type="dcterms:W3CDTF">2022-06-21T06:02:17Z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Microsoft® Word 2019</vt:lpwstr>
  </property>
  <property fmtid="{D5CDD505-2E9C-101B-9397-08002B2CF9AE}" pid="4" name="LastSaved">
    <vt:filetime>2022-06-21T00:00:00Z</vt:filetime>
  </property>
</Properties>
</file>